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93D5" w14:textId="77777777" w:rsidR="00077F49" w:rsidRPr="00EB5BCF" w:rsidRDefault="00077F49" w:rsidP="00077F49">
      <w:pPr>
        <w:keepNext/>
        <w:bidi/>
        <w:jc w:val="both"/>
        <w:rPr>
          <w:rFonts w:ascii="Traditional Arabic" w:hAnsi="Traditional Arabic" w:cs="Traditional Arabic"/>
          <w:sz w:val="30"/>
          <w:szCs w:val="30"/>
        </w:rPr>
      </w:pPr>
      <w:bookmarkStart w:id="0" w:name="_Hlk118813613"/>
    </w:p>
    <w:p w14:paraId="4E162194" w14:textId="77777777" w:rsidR="00077F49" w:rsidRPr="00EB5BCF" w:rsidRDefault="00077F49" w:rsidP="00077F49">
      <w:pPr>
        <w:keepNext/>
        <w:rPr>
          <w:rFonts w:ascii="Traditional Arabic" w:hAnsi="Traditional Arabic" w:cs="Traditional Arabic"/>
          <w:sz w:val="30"/>
          <w:szCs w:val="30"/>
          <w:lang w:val="en-GB"/>
        </w:rPr>
      </w:pPr>
    </w:p>
    <w:p w14:paraId="42130461" w14:textId="77777777" w:rsidR="00077F49" w:rsidRPr="00EB5BCF" w:rsidRDefault="00077F49" w:rsidP="00077F49">
      <w:pPr>
        <w:keepNext/>
        <w:rPr>
          <w:rFonts w:ascii="Traditional Arabic" w:hAnsi="Traditional Arabic" w:cs="Traditional Arabic"/>
          <w:sz w:val="30"/>
          <w:szCs w:val="30"/>
          <w:lang w:val="en-GB"/>
        </w:rPr>
      </w:pPr>
    </w:p>
    <w:p w14:paraId="6E9BE05E" w14:textId="77777777" w:rsidR="00077F49" w:rsidRPr="00EB5BCF" w:rsidRDefault="00077F49" w:rsidP="00077F49">
      <w:pPr>
        <w:keepNext/>
        <w:rPr>
          <w:rFonts w:ascii="Traditional Arabic" w:hAnsi="Traditional Arabic" w:cs="Traditional Arabic"/>
          <w:sz w:val="30"/>
          <w:szCs w:val="30"/>
          <w:lang w:val="en-GB"/>
        </w:rPr>
      </w:pPr>
    </w:p>
    <w:p w14:paraId="6CFB5BE6" w14:textId="77777777" w:rsidR="00077F49" w:rsidRPr="00C76C99" w:rsidRDefault="00077F49" w:rsidP="00077F49">
      <w:pPr>
        <w:keepNext/>
        <w:rPr>
          <w:rFonts w:ascii="Traditional Arabic" w:hAnsi="Traditional Arabic" w:cs="Traditional Arabic"/>
          <w:sz w:val="30"/>
          <w:szCs w:val="30"/>
        </w:rPr>
      </w:pPr>
    </w:p>
    <w:p w14:paraId="02017A2C" w14:textId="77777777" w:rsidR="00077F49" w:rsidRPr="00EB5BCF" w:rsidRDefault="00077F49" w:rsidP="00077F49">
      <w:pPr>
        <w:keepNext/>
        <w:rPr>
          <w:rFonts w:ascii="Traditional Arabic" w:hAnsi="Traditional Arabic" w:cs="Traditional Arabic"/>
          <w:sz w:val="30"/>
          <w:szCs w:val="30"/>
          <w:lang w:val="en-GB"/>
        </w:rPr>
      </w:pPr>
    </w:p>
    <w:p w14:paraId="0DB8A7F4" w14:textId="77777777" w:rsidR="00077F49" w:rsidRPr="00EB5BCF" w:rsidRDefault="00077F49" w:rsidP="00077F49">
      <w:pPr>
        <w:keepNext/>
        <w:bidi/>
        <w:jc w:val="center"/>
        <w:rPr>
          <w:rFonts w:ascii="Traditional Arabic" w:hAnsi="Traditional Arabic" w:cs="Traditional Arabic"/>
          <w:sz w:val="30"/>
          <w:szCs w:val="30"/>
          <w:lang w:val="en-GB"/>
        </w:rPr>
      </w:pPr>
    </w:p>
    <w:p w14:paraId="000FF771" w14:textId="77777777" w:rsidR="00077F49" w:rsidRPr="00EB5BCF" w:rsidRDefault="00077F49" w:rsidP="00077F49">
      <w:pPr>
        <w:keepNext/>
        <w:bidi/>
        <w:jc w:val="center"/>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lang w:val="en-GB"/>
        </w:rPr>
        <w:t>{</w:t>
      </w:r>
      <w:r w:rsidRPr="00EB5BCF">
        <w:rPr>
          <w:rFonts w:ascii="Traditional Arabic" w:hAnsi="Traditional Arabic" w:cs="Traditional Arabic"/>
          <w:sz w:val="30"/>
          <w:szCs w:val="30"/>
          <w:rtl/>
          <w:lang w:val="en-GB"/>
        </w:rPr>
        <w:t>صورة فوتوغرافية</w:t>
      </w:r>
      <w:r w:rsidRPr="00EB5BCF">
        <w:rPr>
          <w:rFonts w:ascii="Traditional Arabic" w:hAnsi="Traditional Arabic" w:cs="Traditional Arabic"/>
          <w:b/>
          <w:bCs/>
          <w:sz w:val="30"/>
          <w:szCs w:val="30"/>
          <w:rtl/>
          <w:lang w:val="en-GB"/>
        </w:rPr>
        <w:t>}</w:t>
      </w:r>
    </w:p>
    <w:p w14:paraId="7F944C37" w14:textId="77777777" w:rsidR="00077F49" w:rsidRPr="00EB5BCF" w:rsidRDefault="00077F49" w:rsidP="00077F49">
      <w:pPr>
        <w:keepNext/>
        <w:bidi/>
        <w:jc w:val="center"/>
        <w:rPr>
          <w:rFonts w:ascii="Traditional Arabic" w:hAnsi="Traditional Arabic" w:cs="Traditional Arabic"/>
          <w:b/>
          <w:sz w:val="30"/>
          <w:szCs w:val="30"/>
          <w:lang w:val="en-GB"/>
        </w:rPr>
      </w:pPr>
    </w:p>
    <w:p w14:paraId="773CD396" w14:textId="77777777" w:rsidR="00077F49" w:rsidRPr="00EB5BCF" w:rsidRDefault="00077F49" w:rsidP="00077F49">
      <w:pPr>
        <w:keepNext/>
        <w:bidi/>
        <w:jc w:val="center"/>
        <w:rPr>
          <w:rFonts w:ascii="Traditional Arabic" w:hAnsi="Traditional Arabic" w:cs="Traditional Arabic"/>
          <w:b/>
          <w:sz w:val="30"/>
          <w:szCs w:val="30"/>
          <w:lang w:val="en-GB"/>
        </w:rPr>
      </w:pPr>
    </w:p>
    <w:p w14:paraId="738E27D6" w14:textId="77777777" w:rsidR="00077F49" w:rsidRPr="00EB5BCF" w:rsidRDefault="00077F49" w:rsidP="00077F49">
      <w:pPr>
        <w:keepNext/>
        <w:bidi/>
        <w:jc w:val="center"/>
        <w:rPr>
          <w:rFonts w:ascii="Traditional Arabic" w:hAnsi="Traditional Arabic" w:cs="Traditional Arabic"/>
          <w:sz w:val="30"/>
          <w:szCs w:val="30"/>
          <w:lang w:val="en-GB"/>
        </w:rPr>
      </w:pPr>
    </w:p>
    <w:p w14:paraId="2F9B30CF" w14:textId="77777777" w:rsidR="00077F49" w:rsidRPr="00EB5BCF" w:rsidRDefault="00077F49" w:rsidP="00077F49">
      <w:pPr>
        <w:keepNext/>
        <w:bidi/>
        <w:jc w:val="center"/>
        <w:rPr>
          <w:rFonts w:ascii="Traditional Arabic" w:hAnsi="Traditional Arabic" w:cs="Traditional Arabic"/>
          <w:sz w:val="30"/>
          <w:szCs w:val="30"/>
          <w:lang w:val="en-GB"/>
        </w:rPr>
      </w:pPr>
    </w:p>
    <w:p w14:paraId="6FAC369C" w14:textId="77777777" w:rsidR="00077F49" w:rsidRPr="00EB5BCF" w:rsidRDefault="00077F49" w:rsidP="00077F49">
      <w:pPr>
        <w:keepNext/>
        <w:rPr>
          <w:rFonts w:ascii="Traditional Arabic" w:hAnsi="Traditional Arabic" w:cs="Traditional Arabic"/>
          <w:sz w:val="30"/>
          <w:szCs w:val="30"/>
          <w:lang w:val="en-GB"/>
        </w:rPr>
      </w:pPr>
    </w:p>
    <w:p w14:paraId="3CB7EE77" w14:textId="77777777" w:rsidR="00077F49" w:rsidRPr="00EB5BCF" w:rsidRDefault="00077F49" w:rsidP="00077F49">
      <w:pPr>
        <w:keepNext/>
        <w:rPr>
          <w:rFonts w:ascii="Traditional Arabic" w:hAnsi="Traditional Arabic" w:cs="Traditional Arabic"/>
          <w:sz w:val="30"/>
          <w:szCs w:val="30"/>
          <w:lang w:val="en-GB"/>
        </w:rPr>
      </w:pPr>
    </w:p>
    <w:p w14:paraId="7744255E" w14:textId="77777777" w:rsidR="00077F49" w:rsidRPr="00EB5BCF" w:rsidRDefault="00077F49" w:rsidP="00077F49">
      <w:pPr>
        <w:keepNext/>
        <w:rPr>
          <w:rFonts w:ascii="Traditional Arabic" w:hAnsi="Traditional Arabic" w:cs="Traditional Arabic"/>
          <w:sz w:val="30"/>
          <w:szCs w:val="30"/>
          <w:lang w:val="en-GB"/>
        </w:rPr>
      </w:pPr>
    </w:p>
    <w:p w14:paraId="0C5A74B2" w14:textId="77777777" w:rsidR="00077F49" w:rsidRPr="00EB5BCF" w:rsidRDefault="00077F49" w:rsidP="00077F49">
      <w:pPr>
        <w:keepNext/>
        <w:rPr>
          <w:rFonts w:ascii="Traditional Arabic" w:hAnsi="Traditional Arabic" w:cs="Traditional Arabic"/>
          <w:sz w:val="30"/>
          <w:szCs w:val="30"/>
          <w:lang w:val="en-GB"/>
        </w:rPr>
      </w:pPr>
    </w:p>
    <w:p w14:paraId="053B99B9" w14:textId="77777777" w:rsidR="00077F49" w:rsidRPr="00EB5BCF" w:rsidRDefault="00077F49" w:rsidP="00077F49">
      <w:pPr>
        <w:keepNext/>
        <w:rPr>
          <w:rFonts w:ascii="Traditional Arabic" w:hAnsi="Traditional Arabic" w:cs="Traditional Arabic"/>
          <w:sz w:val="30"/>
          <w:szCs w:val="30"/>
          <w:lang w:val="en-GB"/>
        </w:rPr>
      </w:pPr>
    </w:p>
    <w:p w14:paraId="5A850581" w14:textId="77777777" w:rsidR="00077F49" w:rsidRPr="00EB5BCF" w:rsidRDefault="00077F49" w:rsidP="00077F49">
      <w:pPr>
        <w:keepNext/>
        <w:rPr>
          <w:rFonts w:ascii="Traditional Arabic" w:hAnsi="Traditional Arabic" w:cs="Traditional Arabic"/>
          <w:sz w:val="30"/>
          <w:szCs w:val="30"/>
          <w:lang w:val="en-GB"/>
        </w:rPr>
      </w:pPr>
    </w:p>
    <w:p w14:paraId="3C3101A7" w14:textId="77777777" w:rsidR="00077F49" w:rsidRPr="00EB5BCF" w:rsidRDefault="00077F49" w:rsidP="00077F49">
      <w:pPr>
        <w:keepNext/>
        <w:rPr>
          <w:rFonts w:ascii="Traditional Arabic" w:hAnsi="Traditional Arabic" w:cs="Traditional Arabic"/>
          <w:sz w:val="30"/>
          <w:szCs w:val="30"/>
          <w:lang w:val="en-GB"/>
        </w:rPr>
      </w:pPr>
    </w:p>
    <w:p w14:paraId="3F192AB3" w14:textId="77777777" w:rsidR="00077F49" w:rsidRPr="00EB5BCF" w:rsidRDefault="00077F49" w:rsidP="00077F49">
      <w:pPr>
        <w:keepNext/>
        <w:rPr>
          <w:rFonts w:ascii="Traditional Arabic" w:hAnsi="Traditional Arabic" w:cs="Traditional Arabic"/>
          <w:sz w:val="30"/>
          <w:szCs w:val="30"/>
          <w:lang w:val="en-GB"/>
        </w:rPr>
      </w:pPr>
    </w:p>
    <w:p w14:paraId="4387F65C" w14:textId="77777777" w:rsidR="00077F49" w:rsidRPr="00EB5BCF" w:rsidRDefault="00077F49" w:rsidP="00077F49">
      <w:pPr>
        <w:keepNext/>
        <w:rPr>
          <w:rFonts w:ascii="Traditional Arabic" w:hAnsi="Traditional Arabic" w:cs="Traditional Arabic"/>
          <w:sz w:val="30"/>
          <w:szCs w:val="30"/>
          <w:lang w:val="en-GB"/>
        </w:rPr>
      </w:pPr>
    </w:p>
    <w:p w14:paraId="5202FF63" w14:textId="77777777" w:rsidR="00077F49" w:rsidRPr="00EB5BCF" w:rsidRDefault="00077F49" w:rsidP="00077F49">
      <w:pPr>
        <w:keepNext/>
        <w:rPr>
          <w:rFonts w:ascii="Traditional Arabic" w:hAnsi="Traditional Arabic" w:cs="Traditional Arabic"/>
          <w:sz w:val="30"/>
          <w:szCs w:val="30"/>
          <w:lang w:val="en-GB"/>
        </w:rPr>
      </w:pPr>
    </w:p>
    <w:p w14:paraId="580C5C3E" w14:textId="77777777" w:rsidR="00077F49" w:rsidRPr="00EB5BCF" w:rsidRDefault="00077F49" w:rsidP="00077F49">
      <w:pPr>
        <w:keepNext/>
        <w:rPr>
          <w:rFonts w:ascii="Traditional Arabic" w:hAnsi="Traditional Arabic" w:cs="Traditional Arabic"/>
          <w:sz w:val="30"/>
          <w:szCs w:val="30"/>
          <w:lang w:val="en-GB"/>
        </w:rPr>
      </w:pPr>
    </w:p>
    <w:p w14:paraId="6D3BAA36" w14:textId="77777777" w:rsidR="00077F49" w:rsidRPr="00EB5BCF" w:rsidRDefault="00077F49" w:rsidP="00077F49">
      <w:pPr>
        <w:keepNext/>
        <w:rPr>
          <w:rFonts w:ascii="Traditional Arabic" w:hAnsi="Traditional Arabic" w:cs="Traditional Arabic"/>
          <w:sz w:val="30"/>
          <w:szCs w:val="30"/>
          <w:lang w:val="en-GB"/>
        </w:rPr>
      </w:pPr>
    </w:p>
    <w:p w14:paraId="24FDC4D7" w14:textId="77777777" w:rsidR="00077F49" w:rsidRPr="00EB5BCF" w:rsidRDefault="00077F49" w:rsidP="00077F49">
      <w:pPr>
        <w:keepNext/>
        <w:rPr>
          <w:rFonts w:ascii="Traditional Arabic" w:hAnsi="Traditional Arabic" w:cs="Traditional Arabic"/>
          <w:sz w:val="30"/>
          <w:szCs w:val="30"/>
          <w:lang w:val="en-GB"/>
        </w:rPr>
      </w:pPr>
    </w:p>
    <w:p w14:paraId="3675433F" w14:textId="77777777" w:rsidR="00077F49" w:rsidRDefault="00077F49" w:rsidP="00077F49">
      <w:pPr>
        <w:keepNext/>
        <w:rPr>
          <w:rFonts w:ascii="Traditional Arabic" w:hAnsi="Traditional Arabic" w:cs="Traditional Arabic"/>
          <w:sz w:val="30"/>
          <w:szCs w:val="30"/>
          <w:rtl/>
          <w:lang w:val="en-GB"/>
        </w:rPr>
      </w:pPr>
    </w:p>
    <w:p w14:paraId="4BA1AB3E" w14:textId="77777777" w:rsidR="00F709BA" w:rsidRPr="00EB5BCF" w:rsidRDefault="00F709BA" w:rsidP="00077F49">
      <w:pPr>
        <w:keepNext/>
        <w:rPr>
          <w:rFonts w:ascii="Traditional Arabic" w:hAnsi="Traditional Arabic" w:cs="Traditional Arabic"/>
          <w:sz w:val="30"/>
          <w:szCs w:val="30"/>
          <w:lang w:val="en-GB"/>
        </w:rPr>
      </w:pPr>
    </w:p>
    <w:p w14:paraId="14333DD2" w14:textId="77777777" w:rsidR="00077F49" w:rsidRPr="00EB5BCF" w:rsidRDefault="00077F49" w:rsidP="00077F49">
      <w:pPr>
        <w:keepNext/>
        <w:bidi/>
        <w:jc w:val="both"/>
        <w:rPr>
          <w:rFonts w:ascii="Traditional Arabic" w:hAnsi="Traditional Arabic" w:cs="Traditional Arabic"/>
          <w:b/>
          <w:sz w:val="30"/>
          <w:szCs w:val="30"/>
          <w:rtl/>
          <w:lang w:bidi="ar-OM"/>
        </w:rPr>
      </w:pPr>
    </w:p>
    <w:p w14:paraId="0CD76208" w14:textId="77777777" w:rsidR="00077F49" w:rsidRPr="00EB5BCF" w:rsidRDefault="00077F49" w:rsidP="00077F49">
      <w:pPr>
        <w:keepNext/>
        <w:bidi/>
        <w:jc w:val="both"/>
        <w:rPr>
          <w:rFonts w:ascii="Traditional Arabic" w:hAnsi="Traditional Arabic" w:cs="Traditional Arabic"/>
          <w:b/>
          <w:sz w:val="30"/>
          <w:szCs w:val="30"/>
          <w:lang w:bidi="ar-OM"/>
        </w:rPr>
      </w:pPr>
    </w:p>
    <w:p w14:paraId="3DD87DFC" w14:textId="3AF9CF4C" w:rsidR="00A93EE1" w:rsidRPr="00BF7E25" w:rsidRDefault="00A93EE1" w:rsidP="00BF7E25">
      <w:pPr>
        <w:keepNext/>
        <w:bidi/>
        <w:rPr>
          <w:rFonts w:ascii="Traditional Arabic" w:hAnsi="Traditional Arabic" w:cs="Traditional Arabic"/>
          <w:b/>
          <w:sz w:val="24"/>
          <w:rtl/>
          <w:lang w:val="en-GB"/>
        </w:rPr>
      </w:pPr>
      <w:r w:rsidRPr="00EB5BCF">
        <w:rPr>
          <w:rFonts w:ascii="Traditional Arabic" w:hAnsi="Traditional Arabic" w:cs="Traditional Arabic" w:hint="eastAsia"/>
          <w:b/>
          <w:sz w:val="24"/>
          <w:rtl/>
          <w:lang w:val="en-GB"/>
        </w:rPr>
        <w:t>النشرة</w:t>
      </w:r>
      <w:r w:rsidRPr="00EB5BCF">
        <w:rPr>
          <w:rFonts w:ascii="Traditional Arabic" w:hAnsi="Traditional Arabic" w:cs="Traditional Arabic"/>
          <w:b/>
          <w:sz w:val="24"/>
          <w:rtl/>
          <w:lang w:val="en-GB"/>
        </w:rPr>
        <w:t xml:space="preserve"> </w:t>
      </w:r>
      <w:r w:rsidRPr="00EB5BCF">
        <w:rPr>
          <w:rFonts w:ascii="Traditional Arabic" w:hAnsi="Traditional Arabic" w:cs="Traditional Arabic" w:hint="eastAsia"/>
          <w:b/>
          <w:sz w:val="24"/>
          <w:rtl/>
          <w:lang w:val="en-GB"/>
        </w:rPr>
        <w:t>ب</w:t>
      </w:r>
      <w:r w:rsidR="00077F49" w:rsidRPr="00EB5BCF">
        <w:rPr>
          <w:rFonts w:ascii="Traditional Arabic" w:hAnsi="Traditional Arabic" w:cs="Traditional Arabic"/>
          <w:b/>
          <w:sz w:val="24"/>
          <w:rtl/>
          <w:lang w:val="en-GB"/>
        </w:rPr>
        <w:t xml:space="preserve">تاريخ: </w:t>
      </w:r>
      <w:r w:rsidR="009111FF" w:rsidRPr="00DA0B2B">
        <w:rPr>
          <w:rFonts w:ascii="Traditional Arabic" w:hAnsi="Traditional Arabic" w:cs="Traditional Arabic"/>
          <w:bCs/>
          <w:sz w:val="24"/>
        </w:rPr>
        <w:t>]</w:t>
      </w:r>
      <w:r w:rsidR="009111FF" w:rsidRPr="00DA0B2B">
        <w:rPr>
          <w:rFonts w:ascii="Traditional Arabic" w:hAnsi="Traditional Arabic" w:cs="Traditional Arabic" w:hint="cs"/>
          <w:bCs/>
          <w:sz w:val="24"/>
          <w:rtl/>
        </w:rPr>
        <w:t xml:space="preserve"> </w:t>
      </w:r>
      <w:r w:rsidR="009111FF">
        <w:rPr>
          <w:rFonts w:ascii="Traditional Arabic" w:hAnsi="Traditional Arabic" w:cs="Traditional Arabic" w:hint="cs"/>
          <w:b/>
          <w:sz w:val="24"/>
          <w:rtl/>
        </w:rPr>
        <w:t>16</w:t>
      </w:r>
      <w:r w:rsidR="009111FF" w:rsidRPr="00DA0B2B">
        <w:rPr>
          <w:rFonts w:ascii="Traditional Arabic" w:hAnsi="Traditional Arabic" w:cs="Traditional Arabic"/>
          <w:bCs/>
          <w:sz w:val="24"/>
        </w:rPr>
        <w:t>[</w:t>
      </w:r>
      <w:r w:rsidR="00E96B39">
        <w:rPr>
          <w:rFonts w:ascii="Traditional Arabic" w:hAnsi="Traditional Arabic" w:cs="Traditional Arabic" w:hint="cs"/>
          <w:b/>
          <w:sz w:val="24"/>
          <w:rtl/>
        </w:rPr>
        <w:t xml:space="preserve"> </w:t>
      </w:r>
      <w:r w:rsidR="00BF0F27">
        <w:rPr>
          <w:rFonts w:ascii="Traditional Arabic" w:hAnsi="Traditional Arabic" w:cs="Traditional Arabic" w:hint="cs"/>
          <w:b/>
          <w:sz w:val="24"/>
          <w:rtl/>
        </w:rPr>
        <w:t>فبراير</w:t>
      </w:r>
      <w:r w:rsidR="00BF0F27" w:rsidRPr="00EB5BCF">
        <w:rPr>
          <w:rFonts w:ascii="Traditional Arabic" w:hAnsi="Traditional Arabic" w:cs="Traditional Arabic"/>
          <w:b/>
          <w:sz w:val="24"/>
          <w:rtl/>
          <w:lang w:val="en-GB"/>
        </w:rPr>
        <w:t xml:space="preserve"> </w:t>
      </w:r>
      <w:r w:rsidR="00893BCF" w:rsidRPr="00EB5BCF">
        <w:rPr>
          <w:rFonts w:ascii="Traditional Arabic" w:hAnsi="Traditional Arabic" w:cs="Traditional Arabic"/>
          <w:b/>
          <w:sz w:val="24"/>
          <w:rtl/>
          <w:lang w:val="en-GB"/>
        </w:rPr>
        <w:t>202</w:t>
      </w:r>
      <w:r w:rsidR="00893BCF">
        <w:rPr>
          <w:rFonts w:ascii="Traditional Arabic" w:hAnsi="Traditional Arabic" w:cs="Traditional Arabic" w:hint="cs"/>
          <w:b/>
          <w:sz w:val="24"/>
          <w:rtl/>
          <w:lang w:val="en-GB"/>
        </w:rPr>
        <w:t>5</w:t>
      </w:r>
    </w:p>
    <w:p w14:paraId="3566056A" w14:textId="77777777" w:rsidR="007A58CF" w:rsidRDefault="00BF294D" w:rsidP="007A58CF">
      <w:pPr>
        <w:keepNext/>
        <w:bidi/>
        <w:jc w:val="center"/>
        <w:rPr>
          <w:rFonts w:ascii="Traditional Arabic" w:hAnsi="Traditional Arabic" w:cs="Traditional Arabic"/>
          <w:bCs/>
          <w:sz w:val="30"/>
          <w:szCs w:val="30"/>
          <w:rtl/>
          <w:lang w:val="en-GB"/>
        </w:rPr>
      </w:pPr>
      <w:r w:rsidRPr="000C2A2D">
        <w:rPr>
          <w:noProof/>
        </w:rPr>
        <w:drawing>
          <wp:anchor distT="0" distB="0" distL="114300" distR="114300" simplePos="0" relativeHeight="251658241" behindDoc="1" locked="0" layoutInCell="1" allowOverlap="1" wp14:anchorId="0EA3D0E9" wp14:editId="3D923D8E">
            <wp:simplePos x="0" y="0"/>
            <wp:positionH relativeFrom="margin">
              <wp:posOffset>2006600</wp:posOffset>
            </wp:positionH>
            <wp:positionV relativeFrom="paragraph">
              <wp:posOffset>203835</wp:posOffset>
            </wp:positionV>
            <wp:extent cx="1745615" cy="905510"/>
            <wp:effectExtent l="0" t="0" r="6985" b="8890"/>
            <wp:wrapTight wrapText="bothSides">
              <wp:wrapPolygon edited="0">
                <wp:start x="0" y="0"/>
                <wp:lineTo x="0" y="454"/>
                <wp:lineTo x="943" y="7271"/>
                <wp:lineTo x="236" y="9997"/>
                <wp:lineTo x="1886" y="10906"/>
                <wp:lineTo x="10843" y="14541"/>
                <wp:lineTo x="471" y="14541"/>
                <wp:lineTo x="471" y="19086"/>
                <wp:lineTo x="9193" y="21358"/>
                <wp:lineTo x="15322" y="21358"/>
                <wp:lineTo x="21215" y="15905"/>
                <wp:lineTo x="20979" y="14541"/>
                <wp:lineTo x="13908" y="14541"/>
                <wp:lineTo x="21215" y="9543"/>
                <wp:lineTo x="21451" y="454"/>
                <wp:lineTo x="21451" y="0"/>
                <wp:lineTo x="0" y="0"/>
              </wp:wrapPolygon>
            </wp:wrapTight>
            <wp:docPr id="85" name="Picture 2" descr="Asyad Shipping expands service footprint to Singapore - BBN |  Breakbulk.News™">
              <a:extLst xmlns:a="http://schemas.openxmlformats.org/drawingml/2006/main">
                <a:ext uri="{FF2B5EF4-FFF2-40B4-BE49-F238E27FC236}">
                  <a16:creationId xmlns:a16="http://schemas.microsoft.com/office/drawing/2014/main" id="{F769E9CE-E05F-9D70-8B93-26D0F491AC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2" descr="Asyad Shipping expands service footprint to Singapore - BBN |  Breakbulk.News™">
                      <a:extLst>
                        <a:ext uri="{FF2B5EF4-FFF2-40B4-BE49-F238E27FC236}">
                          <a16:creationId xmlns:a16="http://schemas.microsoft.com/office/drawing/2014/main" id="{F769E9CE-E05F-9D70-8B93-26D0F491ACE9}"/>
                        </a:ext>
                      </a:extLst>
                    </pic:cNvPr>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11650" b="15010"/>
                    <a:stretch/>
                  </pic:blipFill>
                  <pic:spPr bwMode="auto">
                    <a:xfrm>
                      <a:off x="0" y="0"/>
                      <a:ext cx="1745615" cy="905510"/>
                    </a:xfrm>
                    <a:prstGeom prst="rect">
                      <a:avLst/>
                    </a:prstGeom>
                    <a:noFill/>
                  </pic:spPr>
                </pic:pic>
              </a:graphicData>
            </a:graphic>
            <wp14:sizeRelH relativeFrom="page">
              <wp14:pctWidth>0</wp14:pctWidth>
            </wp14:sizeRelH>
            <wp14:sizeRelV relativeFrom="page">
              <wp14:pctHeight>0</wp14:pctHeight>
            </wp14:sizeRelV>
          </wp:anchor>
        </w:drawing>
      </w:r>
    </w:p>
    <w:p w14:paraId="25EA7752" w14:textId="77777777" w:rsidR="00BF7E25" w:rsidRDefault="00BF7E25" w:rsidP="00BF7E25">
      <w:pPr>
        <w:keepNext/>
        <w:bidi/>
        <w:jc w:val="center"/>
        <w:rPr>
          <w:rFonts w:ascii="Traditional Arabic" w:hAnsi="Traditional Arabic" w:cs="Traditional Arabic"/>
          <w:bCs/>
          <w:sz w:val="30"/>
          <w:szCs w:val="30"/>
          <w:rtl/>
          <w:lang w:val="en-GB"/>
        </w:rPr>
      </w:pPr>
    </w:p>
    <w:p w14:paraId="2EF04707" w14:textId="77777777" w:rsidR="00BF7E25" w:rsidRDefault="00BF7E25" w:rsidP="00BF7E25">
      <w:pPr>
        <w:keepNext/>
        <w:bidi/>
        <w:jc w:val="center"/>
        <w:rPr>
          <w:rFonts w:ascii="Traditional Arabic" w:hAnsi="Traditional Arabic" w:cs="Traditional Arabic"/>
          <w:bCs/>
          <w:sz w:val="30"/>
          <w:szCs w:val="30"/>
          <w:rtl/>
          <w:lang w:val="en-GB"/>
        </w:rPr>
      </w:pPr>
    </w:p>
    <w:p w14:paraId="52E1A0E6" w14:textId="77777777" w:rsidR="00BF7E25" w:rsidRPr="00EB5BCF" w:rsidRDefault="00BF7E25" w:rsidP="00BF7E25">
      <w:pPr>
        <w:keepNext/>
        <w:bidi/>
        <w:jc w:val="center"/>
        <w:rPr>
          <w:rFonts w:ascii="Traditional Arabic" w:hAnsi="Traditional Arabic" w:cs="Traditional Arabic"/>
          <w:bCs/>
          <w:sz w:val="30"/>
          <w:szCs w:val="30"/>
          <w:rtl/>
          <w:lang w:val="en-GB"/>
        </w:rPr>
      </w:pPr>
    </w:p>
    <w:p w14:paraId="34E66ABA" w14:textId="77777777" w:rsidR="00077F49" w:rsidRPr="00EB5BCF" w:rsidRDefault="00077F49" w:rsidP="00077F49">
      <w:pPr>
        <w:keepNext/>
        <w:bidi/>
        <w:jc w:val="center"/>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 xml:space="preserve">شركة </w:t>
      </w:r>
      <w:r w:rsidR="00A15C68">
        <w:rPr>
          <w:rFonts w:ascii="Traditional Arabic" w:hAnsi="Traditional Arabic" w:cs="Traditional Arabic"/>
          <w:bCs/>
          <w:sz w:val="30"/>
          <w:szCs w:val="30"/>
          <w:rtl/>
          <w:lang w:val="en-GB"/>
        </w:rPr>
        <w:t>أسياد للنقل البحري</w:t>
      </w:r>
      <w:r w:rsidR="007366E6">
        <w:rPr>
          <w:rFonts w:ascii="Traditional Arabic" w:hAnsi="Traditional Arabic" w:cs="Traditional Arabic" w:hint="cs"/>
          <w:bCs/>
          <w:sz w:val="30"/>
          <w:szCs w:val="30"/>
          <w:rtl/>
          <w:lang w:val="en-GB"/>
        </w:rPr>
        <w:t xml:space="preserve"> </w:t>
      </w:r>
      <w:r w:rsidR="008F7399">
        <w:rPr>
          <w:rFonts w:ascii="Traditional Arabic" w:hAnsi="Traditional Arabic" w:cs="Traditional Arabic"/>
          <w:bCs/>
          <w:sz w:val="30"/>
          <w:szCs w:val="30"/>
          <w:rtl/>
          <w:lang w:val="en-GB"/>
        </w:rPr>
        <w:t>ش م ع ع</w:t>
      </w:r>
    </w:p>
    <w:p w14:paraId="06992CE1" w14:textId="77777777" w:rsidR="00693BC3" w:rsidRDefault="00763F1F" w:rsidP="00077F49">
      <w:pPr>
        <w:keepNext/>
        <w:bidi/>
        <w:jc w:val="center"/>
        <w:rPr>
          <w:rFonts w:ascii="Traditional Arabic" w:hAnsi="Traditional Arabic" w:cs="Traditional Arabic"/>
          <w:bCs/>
          <w:sz w:val="30"/>
          <w:szCs w:val="30"/>
          <w:rtl/>
          <w:lang w:val="en-GB" w:bidi="ar-EG"/>
        </w:rPr>
      </w:pPr>
      <w:r w:rsidRPr="00EB5BCF">
        <w:rPr>
          <w:rFonts w:ascii="Traditional Arabic" w:hAnsi="Traditional Arabic" w:cs="Traditional Arabic"/>
          <w:bCs/>
          <w:sz w:val="30"/>
          <w:szCs w:val="30"/>
          <w:rtl/>
          <w:lang w:val="en-GB"/>
        </w:rPr>
        <w:t>(قيد التحول)</w:t>
      </w:r>
    </w:p>
    <w:p w14:paraId="3D5B55E8" w14:textId="77777777" w:rsidR="00C70CDB" w:rsidRDefault="00C70CDB" w:rsidP="00C70CDB">
      <w:pPr>
        <w:keepNext/>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مدينة السلطان قابوس، بوشر</w:t>
      </w:r>
    </w:p>
    <w:p w14:paraId="73FB7886" w14:textId="77777777" w:rsidR="00C70CDB" w:rsidRDefault="00C70CDB" w:rsidP="00C70CDB">
      <w:pPr>
        <w:keepNext/>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 xml:space="preserve">ص.ب </w:t>
      </w:r>
      <w:r>
        <w:rPr>
          <w:rFonts w:ascii="Traditional Arabic" w:hAnsi="Traditional Arabic" w:cs="Traditional Arabic" w:hint="cs"/>
          <w:b/>
          <w:sz w:val="30"/>
          <w:szCs w:val="30"/>
          <w:rtl/>
        </w:rPr>
        <w:t>104</w:t>
      </w:r>
      <w:r>
        <w:rPr>
          <w:rFonts w:ascii="Traditional Arabic" w:hAnsi="Traditional Arabic" w:cs="Traditional Arabic" w:hint="cs"/>
          <w:b/>
          <w:sz w:val="30"/>
          <w:szCs w:val="30"/>
          <w:rtl/>
          <w:lang w:val="en-GB"/>
        </w:rPr>
        <w:t xml:space="preserve">، والرمز البريدي 118 </w:t>
      </w:r>
    </w:p>
    <w:p w14:paraId="114BA551" w14:textId="77777777" w:rsidR="00C70CDB" w:rsidRPr="001F6155" w:rsidRDefault="00C70CDB" w:rsidP="00C70CDB">
      <w:pPr>
        <w:keepNext/>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 xml:space="preserve"> محافظة مسقط، سلطنة عمان</w:t>
      </w:r>
      <w:r w:rsidRPr="004577EC" w:rsidDel="004577EC">
        <w:rPr>
          <w:rFonts w:ascii="Traditional Arabic" w:hAnsi="Traditional Arabic" w:cs="Traditional Arabic" w:hint="cs"/>
          <w:b/>
          <w:sz w:val="30"/>
          <w:szCs w:val="30"/>
          <w:rtl/>
          <w:lang w:val="en-GB"/>
        </w:rPr>
        <w:t xml:space="preserve"> </w:t>
      </w:r>
    </w:p>
    <w:p w14:paraId="1E11D8FD" w14:textId="77777777" w:rsidR="009B0495" w:rsidRPr="00EB5BCF" w:rsidRDefault="009B0495" w:rsidP="00130F5A">
      <w:pPr>
        <w:keepNext/>
        <w:bidi/>
        <w:jc w:val="center"/>
        <w:rPr>
          <w:rFonts w:ascii="Traditional Arabic" w:hAnsi="Traditional Arabic" w:cs="Traditional Arabic"/>
          <w:b/>
          <w:sz w:val="30"/>
          <w:szCs w:val="30"/>
          <w:lang w:val="en-GB"/>
        </w:rPr>
      </w:pPr>
    </w:p>
    <w:p w14:paraId="2DBE1D1B" w14:textId="77777777" w:rsidR="00077F49" w:rsidRPr="00EB5BCF" w:rsidRDefault="00077F49" w:rsidP="00077F49">
      <w:pPr>
        <w:keepNext/>
        <w:bidi/>
        <w:jc w:val="center"/>
        <w:rPr>
          <w:rFonts w:ascii="Traditional Arabic" w:hAnsi="Traditional Arabic" w:cs="Traditional Arabic"/>
          <w:b/>
          <w:bCs/>
          <w:sz w:val="30"/>
          <w:szCs w:val="30"/>
          <w:rtl/>
          <w:lang w:val="en-GB"/>
        </w:rPr>
      </w:pPr>
    </w:p>
    <w:p w14:paraId="716F5B50" w14:textId="77777777" w:rsidR="00077F49" w:rsidRPr="00EB5BCF" w:rsidRDefault="00077F49" w:rsidP="00077F49">
      <w:pPr>
        <w:keepNext/>
        <w:bidi/>
        <w:jc w:val="center"/>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rPr>
        <w:t xml:space="preserve">نشرة إصدار أسهم </w:t>
      </w:r>
    </w:p>
    <w:p w14:paraId="580F0957" w14:textId="77777777" w:rsidR="00077F49" w:rsidRPr="00EB5BCF" w:rsidRDefault="00077F49" w:rsidP="00077F49">
      <w:pPr>
        <w:keepNext/>
        <w:bidi/>
        <w:jc w:val="center"/>
        <w:rPr>
          <w:rFonts w:ascii="Traditional Arabic" w:hAnsi="Traditional Arabic" w:cs="Traditional Arabic"/>
          <w:b/>
          <w:sz w:val="30"/>
          <w:szCs w:val="30"/>
          <w:lang w:val="en-GB"/>
        </w:rPr>
      </w:pPr>
      <w:r w:rsidRPr="00EB5BCF">
        <w:rPr>
          <w:rFonts w:ascii="Traditional Arabic" w:hAnsi="Traditional Arabic" w:cs="Traditional Arabic"/>
          <w:b/>
          <w:bCs/>
          <w:sz w:val="30"/>
          <w:szCs w:val="30"/>
          <w:rtl/>
          <w:lang w:val="en-GB"/>
        </w:rPr>
        <w:t xml:space="preserve">من خلال طرح عدد </w:t>
      </w:r>
      <w:r w:rsidR="00650B8F">
        <w:rPr>
          <w:rFonts w:ascii="Traditional Arabic" w:hAnsi="Traditional Arabic" w:cs="Traditional Arabic" w:hint="cs"/>
          <w:b/>
          <w:bCs/>
          <w:sz w:val="30"/>
          <w:szCs w:val="30"/>
          <w:rtl/>
          <w:lang w:val="en-GB"/>
        </w:rPr>
        <w:t>١</w:t>
      </w:r>
      <w:r w:rsidR="007A1013" w:rsidRPr="007A1013">
        <w:rPr>
          <w:rFonts w:ascii="Traditional Arabic" w:hAnsi="Traditional Arabic" w:cs="Traditional Arabic"/>
          <w:b/>
          <w:bCs/>
          <w:sz w:val="30"/>
          <w:szCs w:val="30"/>
          <w:rtl/>
          <w:lang w:val="en-GB"/>
        </w:rPr>
        <w:t>,٠٤١,٧٤٨,٨٥٦</w:t>
      </w:r>
      <w:r w:rsidRPr="00EB5BCF">
        <w:rPr>
          <w:rFonts w:ascii="Traditional Arabic" w:hAnsi="Traditional Arabic" w:cs="Traditional Arabic"/>
          <w:b/>
          <w:bCs/>
          <w:sz w:val="30"/>
          <w:szCs w:val="30"/>
          <w:rtl/>
          <w:lang w:val="en-GB"/>
        </w:rPr>
        <w:t>سهم للاكتتاب العام</w:t>
      </w:r>
    </w:p>
    <w:p w14:paraId="53E6436B" w14:textId="3949D971" w:rsidR="00077F49" w:rsidRDefault="00FA7FCD" w:rsidP="00077F49">
      <w:pPr>
        <w:keepNext/>
        <w:bidi/>
        <w:jc w:val="center"/>
        <w:rPr>
          <w:rFonts w:ascii="Traditional Arabic" w:hAnsi="Traditional Arabic" w:cs="Traditional Arabic"/>
          <w:b/>
          <w:bCs/>
          <w:sz w:val="30"/>
          <w:szCs w:val="30"/>
          <w:rtl/>
          <w:lang w:val="en-GB"/>
        </w:rPr>
      </w:pPr>
      <w:r>
        <w:rPr>
          <w:rFonts w:ascii="Traditional Arabic" w:hAnsi="Traditional Arabic" w:cs="Traditional Arabic" w:hint="cs"/>
          <w:b/>
          <w:bCs/>
          <w:sz w:val="30"/>
          <w:szCs w:val="30"/>
          <w:rtl/>
          <w:lang w:val="en-GB"/>
        </w:rPr>
        <w:t xml:space="preserve">يتراوح </w:t>
      </w:r>
      <w:r w:rsidR="002F03B1">
        <w:rPr>
          <w:rFonts w:ascii="Traditional Arabic" w:hAnsi="Traditional Arabic" w:cs="Traditional Arabic" w:hint="cs"/>
          <w:b/>
          <w:bCs/>
          <w:sz w:val="30"/>
          <w:szCs w:val="30"/>
          <w:rtl/>
          <w:lang w:val="en-GB"/>
        </w:rPr>
        <w:t>ال</w:t>
      </w:r>
      <w:r w:rsidR="00077F49" w:rsidRPr="00EB5BCF">
        <w:rPr>
          <w:rFonts w:ascii="Traditional Arabic" w:hAnsi="Traditional Arabic" w:cs="Traditional Arabic"/>
          <w:b/>
          <w:bCs/>
          <w:sz w:val="30"/>
          <w:szCs w:val="30"/>
          <w:rtl/>
          <w:lang w:val="en-GB"/>
        </w:rPr>
        <w:t xml:space="preserve">نطاق </w:t>
      </w:r>
      <w:r w:rsidR="002F03B1">
        <w:rPr>
          <w:rFonts w:ascii="Traditional Arabic" w:hAnsi="Traditional Arabic" w:cs="Traditional Arabic" w:hint="cs"/>
          <w:b/>
          <w:bCs/>
          <w:sz w:val="30"/>
          <w:szCs w:val="30"/>
          <w:rtl/>
          <w:lang w:val="en-GB"/>
        </w:rPr>
        <w:t>ال</w:t>
      </w:r>
      <w:r w:rsidR="00077F49" w:rsidRPr="00EB5BCF">
        <w:rPr>
          <w:rFonts w:ascii="Traditional Arabic" w:hAnsi="Traditional Arabic" w:cs="Traditional Arabic"/>
          <w:b/>
          <w:bCs/>
          <w:sz w:val="30"/>
          <w:szCs w:val="30"/>
          <w:rtl/>
          <w:lang w:val="en-GB"/>
        </w:rPr>
        <w:t>سعر</w:t>
      </w:r>
      <w:r w:rsidR="002F03B1">
        <w:rPr>
          <w:rFonts w:ascii="Traditional Arabic" w:hAnsi="Traditional Arabic" w:cs="Traditional Arabic" w:hint="cs"/>
          <w:b/>
          <w:bCs/>
          <w:sz w:val="30"/>
          <w:szCs w:val="30"/>
          <w:rtl/>
          <w:lang w:val="en-GB"/>
        </w:rPr>
        <w:t>ي للاكتتاب</w:t>
      </w:r>
      <w:r>
        <w:rPr>
          <w:rFonts w:ascii="Traditional Arabic" w:hAnsi="Traditional Arabic" w:cs="Traditional Arabic" w:hint="cs"/>
          <w:b/>
          <w:bCs/>
          <w:sz w:val="30"/>
          <w:szCs w:val="30"/>
          <w:rtl/>
          <w:lang w:val="en-GB"/>
        </w:rPr>
        <w:t xml:space="preserve"> ب</w:t>
      </w:r>
      <w:r w:rsidR="002F03B1">
        <w:rPr>
          <w:rFonts w:ascii="Traditional Arabic" w:hAnsi="Traditional Arabic" w:cs="Traditional Arabic" w:hint="cs"/>
          <w:b/>
          <w:bCs/>
          <w:sz w:val="30"/>
          <w:szCs w:val="30"/>
          <w:rtl/>
          <w:lang w:val="en-GB"/>
        </w:rPr>
        <w:t>الفئة الأولى</w:t>
      </w:r>
      <w:r w:rsidR="00077F49" w:rsidRPr="00EB5BCF">
        <w:rPr>
          <w:rFonts w:ascii="Traditional Arabic" w:hAnsi="Traditional Arabic" w:cs="Traditional Arabic"/>
          <w:b/>
          <w:bCs/>
          <w:sz w:val="30"/>
          <w:szCs w:val="30"/>
          <w:rtl/>
          <w:lang w:val="en-GB"/>
        </w:rPr>
        <w:t xml:space="preserve"> بين </w:t>
      </w:r>
      <w:r w:rsidR="0010730F">
        <w:rPr>
          <w:rFonts w:ascii="Traditional Arabic" w:hAnsi="Traditional Arabic" w:cs="Traditional Arabic" w:hint="cs"/>
          <w:b/>
          <w:bCs/>
          <w:sz w:val="30"/>
          <w:szCs w:val="30"/>
          <w:rtl/>
        </w:rPr>
        <w:t>117</w:t>
      </w:r>
      <w:r w:rsidR="0010730F" w:rsidRPr="00EB5BCF">
        <w:rPr>
          <w:rFonts w:ascii="Traditional Arabic" w:hAnsi="Traditional Arabic" w:cs="Traditional Arabic"/>
          <w:b/>
          <w:bCs/>
          <w:sz w:val="30"/>
          <w:szCs w:val="30"/>
          <w:rtl/>
          <w:lang w:val="en-GB"/>
        </w:rPr>
        <w:t xml:space="preserve"> </w:t>
      </w:r>
      <w:r w:rsidR="00077F49" w:rsidRPr="00EB5BCF">
        <w:rPr>
          <w:rFonts w:ascii="Traditional Arabic" w:hAnsi="Traditional Arabic" w:cs="Traditional Arabic"/>
          <w:b/>
          <w:bCs/>
          <w:sz w:val="30"/>
          <w:szCs w:val="30"/>
          <w:rtl/>
          <w:lang w:val="en-GB"/>
        </w:rPr>
        <w:t xml:space="preserve">بيسة إلى </w:t>
      </w:r>
      <w:r w:rsidR="0010730F">
        <w:rPr>
          <w:rFonts w:ascii="Traditional Arabic" w:hAnsi="Traditional Arabic" w:cs="Traditional Arabic" w:hint="cs"/>
          <w:b/>
          <w:bCs/>
          <w:sz w:val="30"/>
          <w:szCs w:val="30"/>
          <w:rtl/>
          <w:lang w:val="en-GB"/>
        </w:rPr>
        <w:t>123</w:t>
      </w:r>
      <w:r w:rsidR="0010730F" w:rsidRPr="00EB5BCF">
        <w:rPr>
          <w:rFonts w:ascii="Traditional Arabic" w:hAnsi="Traditional Arabic" w:cs="Traditional Arabic"/>
          <w:b/>
          <w:bCs/>
          <w:sz w:val="30"/>
          <w:szCs w:val="30"/>
          <w:rtl/>
          <w:lang w:val="en-GB"/>
        </w:rPr>
        <w:t xml:space="preserve"> </w:t>
      </w:r>
      <w:r w:rsidR="00077F49" w:rsidRPr="00EB5BCF">
        <w:rPr>
          <w:rFonts w:ascii="Traditional Arabic" w:hAnsi="Traditional Arabic" w:cs="Traditional Arabic"/>
          <w:b/>
          <w:bCs/>
          <w:sz w:val="30"/>
          <w:szCs w:val="30"/>
          <w:rtl/>
          <w:lang w:val="en-GB"/>
        </w:rPr>
        <w:t>بيسة للسهم الواحد</w:t>
      </w:r>
    </w:p>
    <w:p w14:paraId="43B54087" w14:textId="77777777" w:rsidR="0070241D" w:rsidRPr="00785453" w:rsidRDefault="00340B67" w:rsidP="00102160">
      <w:pPr>
        <w:keepNext/>
        <w:bidi/>
        <w:jc w:val="center"/>
        <w:rPr>
          <w:rFonts w:ascii="Traditional Arabic" w:hAnsi="Traditional Arabic" w:cs="Traditional Arabic"/>
          <w:b/>
          <w:bCs/>
          <w:sz w:val="30"/>
          <w:szCs w:val="30"/>
          <w:rtl/>
          <w:lang w:val="en-GB" w:bidi="ar-OM"/>
        </w:rPr>
      </w:pPr>
      <w:r>
        <w:rPr>
          <w:rFonts w:ascii="Traditional Arabic" w:hAnsi="Traditional Arabic" w:cs="Traditional Arabic" w:hint="cs"/>
          <w:b/>
          <w:bCs/>
          <w:sz w:val="30"/>
          <w:szCs w:val="30"/>
          <w:rtl/>
          <w:lang w:val="en-GB" w:bidi="ar-OM"/>
        </w:rPr>
        <w:t xml:space="preserve">سعر الاكتتاب في الفئة الثانية: </w:t>
      </w:r>
      <w:r w:rsidR="0010730F">
        <w:rPr>
          <w:rFonts w:ascii="Traditional Arabic" w:hAnsi="Traditional Arabic" w:cs="Traditional Arabic" w:hint="cs"/>
          <w:b/>
          <w:bCs/>
          <w:sz w:val="30"/>
          <w:szCs w:val="30"/>
          <w:rtl/>
          <w:lang w:val="en-GB" w:bidi="ar-OM"/>
        </w:rPr>
        <w:t xml:space="preserve">123 </w:t>
      </w:r>
      <w:r>
        <w:rPr>
          <w:rFonts w:ascii="Traditional Arabic" w:hAnsi="Traditional Arabic" w:cs="Traditional Arabic" w:hint="cs"/>
          <w:b/>
          <w:bCs/>
          <w:sz w:val="30"/>
          <w:szCs w:val="30"/>
          <w:rtl/>
          <w:lang w:val="en-GB" w:bidi="ar-OM"/>
        </w:rPr>
        <w:t xml:space="preserve">بيسة </w:t>
      </w:r>
      <w:r w:rsidR="00B530B2">
        <w:rPr>
          <w:rFonts w:ascii="Traditional Arabic" w:hAnsi="Traditional Arabic" w:cs="Traditional Arabic" w:hint="cs"/>
          <w:b/>
          <w:bCs/>
          <w:sz w:val="30"/>
          <w:szCs w:val="30"/>
          <w:rtl/>
          <w:lang w:val="en-GB" w:bidi="ar-OM"/>
        </w:rPr>
        <w:t>للسهم الواحد</w:t>
      </w:r>
    </w:p>
    <w:p w14:paraId="1B796106" w14:textId="77777777" w:rsidR="00077F49" w:rsidRPr="00EB5BCF" w:rsidRDefault="00077F49" w:rsidP="00077F49">
      <w:pPr>
        <w:keepNext/>
        <w:bidi/>
        <w:jc w:val="center"/>
        <w:rPr>
          <w:rFonts w:ascii="Traditional Arabic" w:hAnsi="Traditional Arabic" w:cs="Traditional Arabic"/>
          <w:b/>
          <w:sz w:val="30"/>
          <w:szCs w:val="30"/>
          <w:lang w:val="en-GB" w:bidi="ar-OM"/>
        </w:rPr>
      </w:pPr>
    </w:p>
    <w:p w14:paraId="1A8BDED3" w14:textId="77777777" w:rsidR="00077F49" w:rsidRPr="00EB5BCF" w:rsidRDefault="008D58E0" w:rsidP="00077F49">
      <w:pPr>
        <w:keepNext/>
        <w:bidi/>
        <w:jc w:val="center"/>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bidi="ar-OM"/>
        </w:rPr>
        <w:t xml:space="preserve"> </w:t>
      </w:r>
      <w:r w:rsidR="00B42A7C">
        <w:rPr>
          <w:rFonts w:ascii="Traditional Arabic" w:hAnsi="Traditional Arabic" w:cs="Traditional Arabic" w:hint="cs"/>
          <w:b/>
          <w:bCs/>
          <w:sz w:val="30"/>
          <w:szCs w:val="30"/>
          <w:rtl/>
          <w:lang w:val="en-GB" w:bidi="ar-OM"/>
        </w:rPr>
        <w:t xml:space="preserve">اكتتاب </w:t>
      </w:r>
      <w:r w:rsidR="006437CB">
        <w:rPr>
          <w:rFonts w:ascii="Traditional Arabic" w:hAnsi="Traditional Arabic" w:cs="Traditional Arabic" w:hint="cs"/>
          <w:b/>
          <w:bCs/>
          <w:sz w:val="30"/>
          <w:szCs w:val="30"/>
          <w:rtl/>
          <w:lang w:val="en-GB" w:bidi="ar-OM"/>
        </w:rPr>
        <w:t xml:space="preserve">الفئة </w:t>
      </w:r>
      <w:r w:rsidR="00B42A7C">
        <w:rPr>
          <w:rFonts w:ascii="Traditional Arabic" w:hAnsi="Traditional Arabic" w:cs="Traditional Arabic" w:hint="cs"/>
          <w:b/>
          <w:bCs/>
          <w:sz w:val="30"/>
          <w:szCs w:val="30"/>
          <w:rtl/>
          <w:lang w:val="en-GB" w:bidi="ar-OM"/>
        </w:rPr>
        <w:t>الأولى</w:t>
      </w:r>
      <w:r w:rsidR="00BA0BC0">
        <w:rPr>
          <w:rFonts w:ascii="Traditional Arabic" w:hAnsi="Traditional Arabic" w:cs="Traditional Arabic" w:hint="cs"/>
          <w:b/>
          <w:bCs/>
          <w:sz w:val="30"/>
          <w:szCs w:val="30"/>
          <w:rtl/>
          <w:lang w:val="en-GB" w:bidi="ar-OM"/>
        </w:rPr>
        <w:t>:</w:t>
      </w:r>
      <w:r w:rsidR="00B42A7C">
        <w:rPr>
          <w:rFonts w:ascii="Traditional Arabic" w:hAnsi="Traditional Arabic" w:cs="Traditional Arabic" w:hint="cs"/>
          <w:b/>
          <w:bCs/>
          <w:sz w:val="30"/>
          <w:szCs w:val="30"/>
          <w:rtl/>
          <w:lang w:val="en-GB" w:bidi="ar-OM"/>
        </w:rPr>
        <w:t xml:space="preserve"> من </w:t>
      </w:r>
      <w:r w:rsidR="0010730F">
        <w:rPr>
          <w:rFonts w:ascii="Traditional Arabic" w:hAnsi="Traditional Arabic" w:cs="Traditional Arabic" w:hint="cs"/>
          <w:b/>
          <w:bCs/>
          <w:sz w:val="30"/>
          <w:szCs w:val="30"/>
          <w:rtl/>
        </w:rPr>
        <w:t xml:space="preserve">20 </w:t>
      </w:r>
      <w:r w:rsidR="00630747">
        <w:rPr>
          <w:rFonts w:ascii="Traditional Arabic" w:hAnsi="Traditional Arabic" w:cs="Traditional Arabic" w:hint="cs"/>
          <w:b/>
          <w:bCs/>
          <w:sz w:val="30"/>
          <w:szCs w:val="30"/>
          <w:rtl/>
        </w:rPr>
        <w:t>فبراير 2025</w:t>
      </w:r>
      <w:r w:rsidR="00630747">
        <w:rPr>
          <w:rFonts w:ascii="Traditional Arabic" w:hAnsi="Traditional Arabic" w:cs="Traditional Arabic" w:hint="cs"/>
          <w:b/>
          <w:bCs/>
          <w:sz w:val="30"/>
          <w:szCs w:val="30"/>
          <w:rtl/>
          <w:lang w:val="en-GB" w:bidi="ar-OM"/>
        </w:rPr>
        <w:t xml:space="preserve"> </w:t>
      </w:r>
      <w:r w:rsidR="00B42A7C">
        <w:rPr>
          <w:rFonts w:ascii="Traditional Arabic" w:hAnsi="Traditional Arabic" w:cs="Traditional Arabic" w:hint="cs"/>
          <w:b/>
          <w:bCs/>
          <w:sz w:val="30"/>
          <w:szCs w:val="30"/>
          <w:rtl/>
          <w:lang w:val="en-GB" w:bidi="ar-OM"/>
        </w:rPr>
        <w:t xml:space="preserve">إلى </w:t>
      </w:r>
      <w:r w:rsidR="0010730F">
        <w:rPr>
          <w:rFonts w:ascii="Traditional Arabic" w:hAnsi="Traditional Arabic" w:cs="Traditional Arabic" w:hint="cs"/>
          <w:b/>
          <w:bCs/>
          <w:sz w:val="30"/>
          <w:szCs w:val="30"/>
          <w:rtl/>
          <w:lang w:val="en-GB" w:bidi="ar-OM"/>
        </w:rPr>
        <w:t xml:space="preserve">27 </w:t>
      </w:r>
      <w:r w:rsidR="00630747">
        <w:rPr>
          <w:rFonts w:ascii="Traditional Arabic" w:hAnsi="Traditional Arabic" w:cs="Traditional Arabic" w:hint="cs"/>
          <w:b/>
          <w:bCs/>
          <w:sz w:val="30"/>
          <w:szCs w:val="30"/>
          <w:rtl/>
          <w:lang w:val="en-GB" w:bidi="ar-OM"/>
        </w:rPr>
        <w:t xml:space="preserve">فبراير </w:t>
      </w:r>
      <w:r w:rsidR="00893BCF">
        <w:rPr>
          <w:rFonts w:ascii="Traditional Arabic" w:hAnsi="Traditional Arabic" w:cs="Traditional Arabic" w:hint="cs"/>
          <w:b/>
          <w:bCs/>
          <w:sz w:val="30"/>
          <w:szCs w:val="30"/>
          <w:rtl/>
          <w:lang w:val="en-GB" w:bidi="ar-OM"/>
        </w:rPr>
        <w:t xml:space="preserve">2025 </w:t>
      </w:r>
    </w:p>
    <w:p w14:paraId="02F00E9C" w14:textId="77777777" w:rsidR="00077F49" w:rsidRPr="00EB5BCF" w:rsidRDefault="00BA0BC0" w:rsidP="00077F49">
      <w:pPr>
        <w:keepNext/>
        <w:bidi/>
        <w:jc w:val="center"/>
        <w:rPr>
          <w:rFonts w:ascii="Traditional Arabic" w:hAnsi="Traditional Arabic" w:cs="Traditional Arabic"/>
          <w:b/>
          <w:bCs/>
          <w:sz w:val="30"/>
          <w:szCs w:val="30"/>
          <w:lang w:val="en-GB"/>
        </w:rPr>
      </w:pPr>
      <w:r>
        <w:rPr>
          <w:rFonts w:ascii="Traditional Arabic" w:hAnsi="Traditional Arabic" w:cs="Traditional Arabic" w:hint="cs"/>
          <w:b/>
          <w:bCs/>
          <w:sz w:val="30"/>
          <w:szCs w:val="30"/>
          <w:rtl/>
          <w:lang w:val="en-GB"/>
        </w:rPr>
        <w:t xml:space="preserve">اكتتاب </w:t>
      </w:r>
      <w:r w:rsidR="006437CB">
        <w:rPr>
          <w:rFonts w:ascii="Traditional Arabic" w:hAnsi="Traditional Arabic" w:cs="Traditional Arabic" w:hint="cs"/>
          <w:b/>
          <w:bCs/>
          <w:sz w:val="30"/>
          <w:szCs w:val="30"/>
          <w:rtl/>
          <w:lang w:val="en-GB"/>
        </w:rPr>
        <w:t xml:space="preserve">الفئة </w:t>
      </w:r>
      <w:r>
        <w:rPr>
          <w:rFonts w:ascii="Traditional Arabic" w:hAnsi="Traditional Arabic" w:cs="Traditional Arabic" w:hint="cs"/>
          <w:b/>
          <w:bCs/>
          <w:sz w:val="30"/>
          <w:szCs w:val="30"/>
          <w:rtl/>
          <w:lang w:val="en-GB"/>
        </w:rPr>
        <w:t xml:space="preserve">الثانية: من </w:t>
      </w:r>
      <w:r w:rsidR="0010730F">
        <w:rPr>
          <w:rFonts w:ascii="Traditional Arabic" w:hAnsi="Traditional Arabic" w:cs="Traditional Arabic" w:hint="cs"/>
          <w:b/>
          <w:bCs/>
          <w:sz w:val="30"/>
          <w:szCs w:val="30"/>
          <w:rtl/>
          <w:lang w:val="en-GB"/>
        </w:rPr>
        <w:t xml:space="preserve">20 </w:t>
      </w:r>
      <w:r w:rsidR="00630747">
        <w:rPr>
          <w:rFonts w:ascii="Traditional Arabic" w:hAnsi="Traditional Arabic" w:cs="Traditional Arabic" w:hint="cs"/>
          <w:b/>
          <w:bCs/>
          <w:sz w:val="30"/>
          <w:szCs w:val="30"/>
          <w:rtl/>
          <w:lang w:val="en-GB"/>
        </w:rPr>
        <w:t xml:space="preserve">فبراير 2025 </w:t>
      </w:r>
      <w:r>
        <w:rPr>
          <w:rFonts w:ascii="Traditional Arabic" w:hAnsi="Traditional Arabic" w:cs="Traditional Arabic" w:hint="cs"/>
          <w:b/>
          <w:bCs/>
          <w:sz w:val="30"/>
          <w:szCs w:val="30"/>
          <w:rtl/>
          <w:lang w:val="en-GB"/>
        </w:rPr>
        <w:t xml:space="preserve">إلى </w:t>
      </w:r>
      <w:r w:rsidR="0010730F">
        <w:rPr>
          <w:rFonts w:ascii="Traditional Arabic" w:hAnsi="Traditional Arabic" w:cs="Traditional Arabic" w:hint="cs"/>
          <w:b/>
          <w:bCs/>
          <w:sz w:val="30"/>
          <w:szCs w:val="30"/>
          <w:rtl/>
          <w:lang w:val="en-GB"/>
        </w:rPr>
        <w:t xml:space="preserve">26 </w:t>
      </w:r>
      <w:r w:rsidR="00630747">
        <w:rPr>
          <w:rFonts w:ascii="Traditional Arabic" w:hAnsi="Traditional Arabic" w:cs="Traditional Arabic" w:hint="cs"/>
          <w:b/>
          <w:bCs/>
          <w:sz w:val="30"/>
          <w:szCs w:val="30"/>
          <w:rtl/>
          <w:lang w:val="en-GB"/>
        </w:rPr>
        <w:t xml:space="preserve">فبراير </w:t>
      </w:r>
      <w:r w:rsidR="00893BCF">
        <w:rPr>
          <w:rFonts w:ascii="Traditional Arabic" w:hAnsi="Traditional Arabic" w:cs="Traditional Arabic" w:hint="cs"/>
          <w:b/>
          <w:bCs/>
          <w:sz w:val="30"/>
          <w:szCs w:val="30"/>
          <w:rtl/>
          <w:lang w:val="en-GB"/>
        </w:rPr>
        <w:t xml:space="preserve">2025 </w:t>
      </w:r>
    </w:p>
    <w:p w14:paraId="4E6D34DD" w14:textId="77777777" w:rsidR="008252E9" w:rsidRPr="00EB5BCF" w:rsidRDefault="008252E9" w:rsidP="008252E9">
      <w:pPr>
        <w:keepNext/>
        <w:bidi/>
        <w:jc w:val="center"/>
        <w:rPr>
          <w:rFonts w:ascii="Traditional Arabic" w:hAnsi="Traditional Arabic" w:cs="Traditional Arabic"/>
          <w:b/>
          <w:bCs/>
          <w:sz w:val="30"/>
          <w:szCs w:val="30"/>
          <w:lang w:val="en-GB"/>
        </w:rPr>
      </w:pPr>
    </w:p>
    <w:p w14:paraId="4E91D2FC" w14:textId="77777777" w:rsidR="00077F49" w:rsidRPr="00EB5BCF" w:rsidRDefault="00077F49" w:rsidP="000A0150">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طرحت </w:t>
      </w:r>
      <w:r w:rsidR="00A15C68">
        <w:rPr>
          <w:rFonts w:ascii="Traditional Arabic" w:hAnsi="Traditional Arabic" w:cs="Traditional Arabic"/>
          <w:b/>
          <w:sz w:val="30"/>
          <w:szCs w:val="30"/>
          <w:rtl/>
          <w:lang w:val="en-GB"/>
        </w:rPr>
        <w:t>مجموعة أسياد ش م ع م</w:t>
      </w:r>
      <w:r w:rsidR="00A15C68">
        <w:rPr>
          <w:rFonts w:ascii="Traditional Arabic" w:hAnsi="Traditional Arabic" w:cs="Traditional Arabic" w:hint="cs"/>
          <w:b/>
          <w:sz w:val="30"/>
          <w:szCs w:val="30"/>
          <w:rtl/>
          <w:lang w:val="en-GB" w:bidi="ar-EG"/>
        </w:rPr>
        <w:t xml:space="preserve"> </w:t>
      </w:r>
      <w:r w:rsidRPr="00EB5BCF">
        <w:rPr>
          <w:rFonts w:ascii="Traditional Arabic" w:hAnsi="Traditional Arabic" w:cs="Traditional Arabic"/>
          <w:b/>
          <w:sz w:val="30"/>
          <w:szCs w:val="30"/>
          <w:rtl/>
          <w:lang w:val="en-GB"/>
        </w:rPr>
        <w:t>(</w:t>
      </w:r>
      <w:r w:rsidR="008C6415" w:rsidRPr="00EB5BCF">
        <w:rPr>
          <w:rFonts w:ascii="Traditional Arabic" w:hAnsi="Traditional Arabic" w:cs="Traditional Arabic"/>
          <w:b/>
          <w:sz w:val="30"/>
          <w:szCs w:val="30"/>
          <w:rtl/>
          <w:lang w:val="en-GB"/>
        </w:rPr>
        <w:t>يشار إليه</w:t>
      </w:r>
      <w:r w:rsidR="00C44ECA">
        <w:rPr>
          <w:rFonts w:ascii="Traditional Arabic" w:hAnsi="Traditional Arabic" w:cs="Traditional Arabic" w:hint="cs"/>
          <w:b/>
          <w:sz w:val="30"/>
          <w:szCs w:val="30"/>
          <w:rtl/>
          <w:lang w:val="en-GB"/>
        </w:rPr>
        <w:t>م</w:t>
      </w:r>
      <w:r w:rsidR="008C6415" w:rsidRPr="00EB5BCF">
        <w:rPr>
          <w:rFonts w:ascii="Traditional Arabic" w:hAnsi="Traditional Arabic" w:cs="Traditional Arabic"/>
          <w:b/>
          <w:sz w:val="30"/>
          <w:szCs w:val="30"/>
          <w:rtl/>
          <w:lang w:val="en-GB"/>
        </w:rPr>
        <w:t xml:space="preserve"> فيما بعد بـ</w:t>
      </w:r>
      <w:r w:rsidRPr="00EB5BCF">
        <w:rPr>
          <w:rFonts w:ascii="Traditional Arabic" w:hAnsi="Traditional Arabic" w:cs="Traditional Arabic"/>
          <w:b/>
          <w:sz w:val="30"/>
          <w:szCs w:val="30"/>
          <w:rtl/>
          <w:lang w:val="en-GB"/>
        </w:rPr>
        <w:t>"</w:t>
      </w:r>
      <w:r w:rsidR="00C56521">
        <w:rPr>
          <w:rFonts w:ascii="Traditional Arabic" w:hAnsi="Traditional Arabic" w:cs="Traditional Arabic"/>
          <w:bCs/>
          <w:sz w:val="30"/>
          <w:szCs w:val="30"/>
          <w:rtl/>
          <w:lang w:val="en-GB"/>
        </w:rPr>
        <w:t>المساهم البائع</w:t>
      </w:r>
      <w:r w:rsidRPr="00EB5BCF">
        <w:rPr>
          <w:rFonts w:ascii="Traditional Arabic" w:hAnsi="Traditional Arabic" w:cs="Traditional Arabic"/>
          <w:b/>
          <w:sz w:val="30"/>
          <w:szCs w:val="30"/>
          <w:rtl/>
          <w:lang w:val="en-GB"/>
        </w:rPr>
        <w:t>"</w:t>
      </w:r>
      <w:r w:rsidR="00C44ECA">
        <w:rPr>
          <w:rFonts w:ascii="Traditional Arabic" w:hAnsi="Traditional Arabic" w:cs="Traditional Arabic" w:hint="cs"/>
          <w:b/>
          <w:sz w:val="30"/>
          <w:szCs w:val="30"/>
          <w:rtl/>
          <w:lang w:val="en-GB"/>
        </w:rPr>
        <w:t>)</w:t>
      </w:r>
      <w:r w:rsidR="00C87447">
        <w:rPr>
          <w:rFonts w:ascii="Traditional Arabic" w:hAnsi="Traditional Arabic" w:cs="Traditional Arabic" w:hint="cs"/>
          <w:b/>
          <w:sz w:val="30"/>
          <w:szCs w:val="30"/>
          <w:rtl/>
          <w:lang w:val="en-GB"/>
        </w:rPr>
        <w:t xml:space="preserve"> </w:t>
      </w:r>
      <w:r w:rsidRPr="00EB5BCF">
        <w:rPr>
          <w:rFonts w:ascii="Traditional Arabic" w:hAnsi="Traditional Arabic" w:cs="Traditional Arabic"/>
          <w:b/>
          <w:sz w:val="30"/>
          <w:szCs w:val="30"/>
          <w:rtl/>
          <w:lang w:val="en-GB"/>
        </w:rPr>
        <w:t xml:space="preserve">عدد </w:t>
      </w:r>
      <w:r w:rsidR="004A10A9" w:rsidRPr="004A10A9">
        <w:rPr>
          <w:rFonts w:ascii="Traditional Arabic" w:hAnsi="Traditional Arabic" w:cs="Traditional Arabic"/>
          <w:b/>
          <w:sz w:val="30"/>
          <w:szCs w:val="30"/>
          <w:rtl/>
          <w:lang w:val="en-GB"/>
        </w:rPr>
        <w:t>١,٠٤١,٧٤٨,٨٥٦</w:t>
      </w:r>
      <w:r w:rsidR="004846E5">
        <w:rPr>
          <w:rFonts w:ascii="Traditional Arabic" w:hAnsi="Traditional Arabic" w:cs="Traditional Arabic" w:hint="cs"/>
          <w:b/>
          <w:sz w:val="30"/>
          <w:szCs w:val="30"/>
          <w:rtl/>
          <w:lang w:val="en-GB"/>
        </w:rPr>
        <w:t xml:space="preserve"> سهم</w:t>
      </w:r>
      <w:r w:rsidR="00F234E6">
        <w:rPr>
          <w:rFonts w:ascii="Traditional Arabic" w:hAnsi="Traditional Arabic" w:cs="Traditional Arabic" w:hint="cs"/>
          <w:b/>
          <w:sz w:val="30"/>
          <w:szCs w:val="30"/>
          <w:rtl/>
          <w:lang w:val="en-GB"/>
        </w:rPr>
        <w:t xml:space="preserve"> </w:t>
      </w:r>
      <w:r w:rsidR="00F234E6" w:rsidRPr="00EB5BCF">
        <w:rPr>
          <w:rFonts w:ascii="Traditional Arabic" w:hAnsi="Traditional Arabic" w:cs="Traditional Arabic"/>
          <w:b/>
          <w:sz w:val="30"/>
          <w:szCs w:val="30"/>
          <w:rtl/>
          <w:lang w:val="en-GB"/>
        </w:rPr>
        <w:t>عادي</w:t>
      </w:r>
      <w:r w:rsidR="00F234E6">
        <w:rPr>
          <w:rFonts w:ascii="Traditional Arabic" w:hAnsi="Traditional Arabic" w:cs="Traditional Arabic" w:hint="cs"/>
          <w:b/>
          <w:sz w:val="30"/>
          <w:szCs w:val="30"/>
          <w:rtl/>
          <w:lang w:val="en-GB"/>
        </w:rPr>
        <w:t xml:space="preserve"> (</w:t>
      </w:r>
      <w:r w:rsidR="00F234E6" w:rsidRPr="009630F0">
        <w:rPr>
          <w:rFonts w:ascii="Traditional Arabic" w:hAnsi="Traditional Arabic" w:cs="Traditional Arabic"/>
          <w:b/>
          <w:sz w:val="30"/>
          <w:szCs w:val="30"/>
          <w:rtl/>
          <w:lang w:val="en-GB"/>
        </w:rPr>
        <w:t>يشار إليها فيما بعد بـ"</w:t>
      </w:r>
      <w:r w:rsidR="00F234E6" w:rsidRPr="009630F0">
        <w:rPr>
          <w:rFonts w:ascii="Traditional Arabic" w:hAnsi="Traditional Arabic" w:cs="Traditional Arabic"/>
          <w:bCs/>
          <w:sz w:val="30"/>
          <w:szCs w:val="30"/>
          <w:rtl/>
          <w:lang w:val="en-GB"/>
        </w:rPr>
        <w:t>أسهم</w:t>
      </w:r>
      <w:r w:rsidR="00F234E6" w:rsidRPr="009630F0">
        <w:rPr>
          <w:rFonts w:ascii="Traditional Arabic" w:hAnsi="Traditional Arabic" w:cs="Traditional Arabic"/>
          <w:bCs/>
          <w:sz w:val="30"/>
          <w:szCs w:val="30"/>
          <w:lang w:val="en-GB"/>
        </w:rPr>
        <w:t xml:space="preserve"> </w:t>
      </w:r>
      <w:r w:rsidR="00F234E6" w:rsidRPr="009630F0">
        <w:rPr>
          <w:rFonts w:ascii="Traditional Arabic" w:hAnsi="Traditional Arabic" w:cs="Traditional Arabic" w:hint="cs"/>
          <w:bCs/>
          <w:sz w:val="30"/>
          <w:szCs w:val="30"/>
          <w:rtl/>
        </w:rPr>
        <w:t>الطرح</w:t>
      </w:r>
      <w:r w:rsidR="00F234E6" w:rsidRPr="009630F0">
        <w:rPr>
          <w:rFonts w:ascii="Traditional Arabic" w:hAnsi="Traditional Arabic" w:cs="Traditional Arabic"/>
          <w:b/>
          <w:sz w:val="30"/>
          <w:szCs w:val="30"/>
          <w:rtl/>
          <w:lang w:val="en-GB"/>
        </w:rPr>
        <w:t>")</w:t>
      </w:r>
      <w:r w:rsidR="004846E5">
        <w:rPr>
          <w:rFonts w:ascii="Traditional Arabic" w:hAnsi="Traditional Arabic" w:cs="Traditional Arabic" w:hint="cs"/>
          <w:b/>
          <w:sz w:val="30"/>
          <w:szCs w:val="30"/>
          <w:rtl/>
          <w:lang w:val="en-GB"/>
        </w:rPr>
        <w:t xml:space="preserve"> من إجمالي 5,208,744,280</w:t>
      </w:r>
      <w:r w:rsidR="00102160">
        <w:rPr>
          <w:rFonts w:ascii="Traditional Arabic" w:hAnsi="Traditional Arabic" w:cs="Traditional Arabic" w:hint="cs"/>
          <w:b/>
          <w:sz w:val="30"/>
          <w:szCs w:val="30"/>
          <w:rtl/>
          <w:lang w:val="en-GB"/>
        </w:rPr>
        <w:t xml:space="preserve"> </w:t>
      </w:r>
      <w:r w:rsidRPr="00EB5BCF">
        <w:rPr>
          <w:rFonts w:ascii="Traditional Arabic" w:hAnsi="Traditional Arabic" w:cs="Traditional Arabic"/>
          <w:b/>
          <w:sz w:val="30"/>
          <w:szCs w:val="30"/>
          <w:rtl/>
          <w:lang w:val="en-GB"/>
        </w:rPr>
        <w:t>سهم</w:t>
      </w:r>
      <w:r w:rsidR="004846E5">
        <w:rPr>
          <w:rFonts w:ascii="Traditional Arabic" w:hAnsi="Traditional Arabic" w:cs="Traditional Arabic" w:hint="cs"/>
          <w:b/>
          <w:sz w:val="30"/>
          <w:szCs w:val="30"/>
          <w:rtl/>
          <w:lang w:val="en-GB"/>
        </w:rPr>
        <w:t>ا</w:t>
      </w:r>
      <w:r w:rsidRPr="00EB5BCF">
        <w:rPr>
          <w:rFonts w:ascii="Traditional Arabic" w:hAnsi="Traditional Arabic" w:cs="Traditional Arabic"/>
          <w:b/>
          <w:sz w:val="30"/>
          <w:szCs w:val="30"/>
          <w:rtl/>
          <w:lang w:val="en-GB"/>
        </w:rPr>
        <w:t xml:space="preserve"> عادي</w:t>
      </w:r>
      <w:r w:rsidR="004846E5">
        <w:rPr>
          <w:rFonts w:ascii="Traditional Arabic" w:hAnsi="Traditional Arabic" w:cs="Traditional Arabic" w:hint="cs"/>
          <w:b/>
          <w:sz w:val="30"/>
          <w:szCs w:val="30"/>
          <w:rtl/>
          <w:lang w:val="en-GB"/>
        </w:rPr>
        <w:t>ا</w:t>
      </w:r>
      <w:r w:rsidR="00146BEF">
        <w:rPr>
          <w:rFonts w:ascii="Traditional Arabic" w:hAnsi="Traditional Arabic" w:cs="Traditional Arabic" w:hint="cs"/>
          <w:b/>
          <w:sz w:val="30"/>
          <w:szCs w:val="30"/>
          <w:rtl/>
          <w:lang w:val="en-GB"/>
        </w:rPr>
        <w:t>،</w:t>
      </w:r>
      <w:r w:rsidRPr="00EB5BCF">
        <w:rPr>
          <w:rFonts w:ascii="Traditional Arabic" w:hAnsi="Traditional Arabic" w:cs="Traditional Arabic"/>
          <w:b/>
          <w:sz w:val="30"/>
          <w:szCs w:val="30"/>
          <w:rtl/>
          <w:lang w:val="en-GB"/>
        </w:rPr>
        <w:t xml:space="preserve"> بقيمة </w:t>
      </w:r>
      <w:r w:rsidR="00D43185">
        <w:rPr>
          <w:rFonts w:ascii="Traditional Arabic" w:hAnsi="Traditional Arabic" w:cs="Traditional Arabic" w:hint="cs"/>
          <w:b/>
          <w:sz w:val="30"/>
          <w:szCs w:val="30"/>
          <w:rtl/>
          <w:lang w:val="en-GB"/>
        </w:rPr>
        <w:t xml:space="preserve">25 </w:t>
      </w:r>
      <w:r w:rsidR="0070241D">
        <w:rPr>
          <w:rFonts w:ascii="Traditional Arabic" w:hAnsi="Traditional Arabic" w:cs="Traditional Arabic" w:hint="cs"/>
          <w:b/>
          <w:sz w:val="30"/>
          <w:szCs w:val="30"/>
          <w:rtl/>
          <w:lang w:val="en-GB"/>
        </w:rPr>
        <w:t>بيسة</w:t>
      </w:r>
      <w:r w:rsidR="0070241D"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لكل سهم (</w:t>
      </w:r>
      <w:r w:rsidR="008C6415" w:rsidRPr="00EB5BCF">
        <w:rPr>
          <w:rFonts w:ascii="Traditional Arabic" w:hAnsi="Traditional Arabic" w:cs="Traditional Arabic"/>
          <w:b/>
          <w:sz w:val="30"/>
          <w:szCs w:val="30"/>
          <w:rtl/>
          <w:lang w:val="en-GB"/>
        </w:rPr>
        <w:t>يشار إليها فيما بعد بـ</w:t>
      </w:r>
      <w:r w:rsidRPr="00EB5BCF">
        <w:rPr>
          <w:rFonts w:ascii="Traditional Arabic" w:hAnsi="Traditional Arabic" w:cs="Traditional Arabic"/>
          <w:b/>
          <w:sz w:val="30"/>
          <w:szCs w:val="30"/>
          <w:rtl/>
          <w:lang w:val="en-GB"/>
        </w:rPr>
        <w:t>"</w:t>
      </w:r>
      <w:r w:rsidRPr="00EB5BCF">
        <w:rPr>
          <w:rFonts w:ascii="Traditional Arabic" w:hAnsi="Traditional Arabic" w:cs="Traditional Arabic"/>
          <w:bCs/>
          <w:sz w:val="30"/>
          <w:szCs w:val="30"/>
          <w:rtl/>
          <w:lang w:val="en-GB"/>
        </w:rPr>
        <w:t>الأسهم</w:t>
      </w:r>
      <w:r w:rsidRPr="00EB5BCF">
        <w:rPr>
          <w:rFonts w:ascii="Traditional Arabic" w:hAnsi="Traditional Arabic" w:cs="Traditional Arabic"/>
          <w:b/>
          <w:sz w:val="30"/>
          <w:szCs w:val="30"/>
          <w:rtl/>
          <w:lang w:val="en-GB"/>
        </w:rPr>
        <w:t xml:space="preserve">") في شركة </w:t>
      </w:r>
      <w:r w:rsidR="00A15C68">
        <w:rPr>
          <w:rFonts w:ascii="Traditional Arabic" w:hAnsi="Traditional Arabic" w:cs="Traditional Arabic"/>
          <w:b/>
          <w:sz w:val="30"/>
          <w:szCs w:val="30"/>
          <w:rtl/>
          <w:lang w:val="en-GB"/>
        </w:rPr>
        <w:t>أسياد للنقل البحري</w:t>
      </w:r>
      <w:r w:rsidR="0034195E">
        <w:rPr>
          <w:rFonts w:ascii="Traditional Arabic" w:hAnsi="Traditional Arabic" w:cs="Traditional Arabic"/>
          <w:b/>
          <w:sz w:val="30"/>
          <w:szCs w:val="30"/>
          <w:rtl/>
          <w:lang w:val="en-GB"/>
        </w:rPr>
        <w:t xml:space="preserve"> ش م ع ع (قيد التحول)</w:t>
      </w:r>
      <w:r w:rsidRPr="00EB5BCF">
        <w:rPr>
          <w:rFonts w:ascii="Traditional Arabic" w:hAnsi="Traditional Arabic" w:cs="Traditional Arabic"/>
          <w:b/>
          <w:sz w:val="30"/>
          <w:szCs w:val="30"/>
          <w:rtl/>
          <w:lang w:val="en-GB"/>
        </w:rPr>
        <w:t xml:space="preserve"> (</w:t>
      </w:r>
      <w:r w:rsidR="008C6415" w:rsidRPr="00EB5BCF">
        <w:rPr>
          <w:rFonts w:ascii="Traditional Arabic" w:hAnsi="Traditional Arabic" w:cs="Traditional Arabic"/>
          <w:b/>
          <w:sz w:val="30"/>
          <w:szCs w:val="30"/>
          <w:rtl/>
          <w:lang w:val="en-GB"/>
        </w:rPr>
        <w:t>يشار إليها فيما بعد بـ</w:t>
      </w:r>
      <w:r w:rsidRPr="00EB5BCF">
        <w:rPr>
          <w:rFonts w:ascii="Traditional Arabic" w:hAnsi="Traditional Arabic" w:cs="Traditional Arabic"/>
          <w:b/>
          <w:sz w:val="30"/>
          <w:szCs w:val="30"/>
          <w:rtl/>
          <w:lang w:val="en-GB"/>
        </w:rPr>
        <w:t>"</w:t>
      </w:r>
      <w:r w:rsidRPr="00EB5BCF">
        <w:rPr>
          <w:rFonts w:ascii="Traditional Arabic" w:hAnsi="Traditional Arabic" w:cs="Traditional Arabic"/>
          <w:bCs/>
          <w:sz w:val="30"/>
          <w:szCs w:val="30"/>
          <w:rtl/>
          <w:lang w:val="en-GB"/>
        </w:rPr>
        <w:t>الشركة</w:t>
      </w:r>
      <w:r w:rsidRPr="00EB5BCF">
        <w:rPr>
          <w:rFonts w:ascii="Traditional Arabic" w:hAnsi="Traditional Arabic" w:cs="Traditional Arabic"/>
          <w:b/>
          <w:sz w:val="30"/>
          <w:szCs w:val="30"/>
          <w:rtl/>
          <w:lang w:val="en-GB"/>
        </w:rPr>
        <w:t>") في اكتتاب عام (</w:t>
      </w:r>
      <w:r w:rsidR="008C6415" w:rsidRPr="00EB5BCF">
        <w:rPr>
          <w:rFonts w:ascii="Traditional Arabic" w:hAnsi="Traditional Arabic" w:cs="Traditional Arabic"/>
          <w:b/>
          <w:sz w:val="30"/>
          <w:szCs w:val="30"/>
          <w:rtl/>
          <w:lang w:val="en-GB"/>
        </w:rPr>
        <w:t>يشار إليه فيما بعد بـ</w:t>
      </w:r>
      <w:r w:rsidRPr="00EB5BCF">
        <w:rPr>
          <w:rFonts w:ascii="Traditional Arabic" w:hAnsi="Traditional Arabic" w:cs="Traditional Arabic"/>
          <w:b/>
          <w:sz w:val="30"/>
          <w:szCs w:val="30"/>
          <w:rtl/>
          <w:lang w:val="en-GB"/>
        </w:rPr>
        <w:t>"</w:t>
      </w:r>
      <w:r w:rsidRPr="00EB5BCF">
        <w:rPr>
          <w:rFonts w:ascii="Traditional Arabic" w:hAnsi="Traditional Arabic" w:cs="Traditional Arabic"/>
          <w:bCs/>
          <w:sz w:val="30"/>
          <w:szCs w:val="30"/>
          <w:rtl/>
          <w:lang w:val="en-GB"/>
        </w:rPr>
        <w:t>الطرح</w:t>
      </w:r>
      <w:r w:rsidRPr="00EB5BCF">
        <w:rPr>
          <w:rFonts w:ascii="Traditional Arabic" w:hAnsi="Traditional Arabic" w:cs="Traditional Arabic"/>
          <w:b/>
          <w:sz w:val="30"/>
          <w:szCs w:val="30"/>
          <w:rtl/>
          <w:lang w:val="en-GB"/>
        </w:rPr>
        <w:t>")، وتحتفظ الشركة و</w:t>
      </w:r>
      <w:r w:rsidR="000861C6">
        <w:rPr>
          <w:rFonts w:ascii="Traditional Arabic" w:hAnsi="Traditional Arabic" w:cs="Traditional Arabic"/>
          <w:b/>
          <w:sz w:val="30"/>
          <w:szCs w:val="30"/>
          <w:rtl/>
          <w:lang w:val="en-GB"/>
        </w:rPr>
        <w:t>المساهم البائع</w:t>
      </w:r>
      <w:r w:rsidRPr="00EB5BCF">
        <w:rPr>
          <w:rFonts w:ascii="Traditional Arabic" w:hAnsi="Traditional Arabic" w:cs="Traditional Arabic"/>
          <w:b/>
          <w:sz w:val="30"/>
          <w:szCs w:val="30"/>
          <w:rtl/>
          <w:lang w:val="en-GB"/>
        </w:rPr>
        <w:t xml:space="preserve"> بالحق في تعديل عدد الأسهم المطروحة في أي وقت قبل نهاية فترة الاكتتاب </w:t>
      </w:r>
      <w:r w:rsidR="00EA05DB">
        <w:rPr>
          <w:rFonts w:ascii="Traditional Arabic" w:hAnsi="Traditional Arabic" w:cs="Traditional Arabic" w:hint="cs"/>
          <w:b/>
          <w:sz w:val="30"/>
          <w:szCs w:val="30"/>
          <w:rtl/>
          <w:lang w:val="en-GB"/>
        </w:rPr>
        <w:t xml:space="preserve">(بحسب تعريفه في فصل التعريفات) </w:t>
      </w:r>
      <w:r w:rsidRPr="00EB5BCF">
        <w:rPr>
          <w:rFonts w:ascii="Traditional Arabic" w:hAnsi="Traditional Arabic" w:cs="Traditional Arabic"/>
          <w:b/>
          <w:sz w:val="30"/>
          <w:szCs w:val="30"/>
          <w:rtl/>
          <w:lang w:val="en-GB"/>
        </w:rPr>
        <w:t>وذلك حسب</w:t>
      </w:r>
      <w:r w:rsidR="008D58E0"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تقديرهم</w:t>
      </w:r>
      <w:r w:rsidR="00C87447">
        <w:rPr>
          <w:rFonts w:ascii="Traditional Arabic" w:hAnsi="Traditional Arabic" w:cs="Traditional Arabic" w:hint="cs"/>
          <w:b/>
          <w:sz w:val="30"/>
          <w:szCs w:val="30"/>
          <w:rtl/>
          <w:lang w:val="en-GB"/>
        </w:rPr>
        <w:t>ا</w:t>
      </w:r>
      <w:r w:rsidRPr="00EB5BCF">
        <w:rPr>
          <w:rFonts w:ascii="Traditional Arabic" w:hAnsi="Traditional Arabic" w:cs="Traditional Arabic"/>
          <w:b/>
          <w:sz w:val="30"/>
          <w:szCs w:val="30"/>
          <w:rtl/>
          <w:lang w:val="en-GB"/>
        </w:rPr>
        <w:t xml:space="preserve">، مع مراعاة القوانين المعمول بها وبعد الحصول على </w:t>
      </w:r>
      <w:r w:rsidRPr="00EB5BCF">
        <w:rPr>
          <w:rFonts w:ascii="Traditional Arabic" w:hAnsi="Traditional Arabic" w:cs="Traditional Arabic"/>
          <w:b/>
          <w:sz w:val="30"/>
          <w:szCs w:val="30"/>
          <w:rtl/>
          <w:lang w:val="en-GB"/>
        </w:rPr>
        <w:lastRenderedPageBreak/>
        <w:t xml:space="preserve">موافقة </w:t>
      </w:r>
      <w:r w:rsidR="002D7E14">
        <w:rPr>
          <w:rFonts w:ascii="Traditional Arabic" w:hAnsi="Traditional Arabic" w:cs="Traditional Arabic"/>
          <w:b/>
          <w:sz w:val="30"/>
          <w:szCs w:val="30"/>
          <w:rtl/>
          <w:lang w:val="en-GB"/>
        </w:rPr>
        <w:t>هيئة الخدمات المالية</w:t>
      </w:r>
      <w:r w:rsidRPr="00EB5BCF">
        <w:rPr>
          <w:rFonts w:ascii="Traditional Arabic" w:hAnsi="Traditional Arabic" w:cs="Traditional Arabic"/>
          <w:b/>
          <w:sz w:val="30"/>
          <w:szCs w:val="30"/>
          <w:rtl/>
          <w:lang w:val="en-GB"/>
        </w:rPr>
        <w:t xml:space="preserve"> بسلطنة عمان</w:t>
      </w:r>
      <w:r w:rsidR="002D7E14">
        <w:rPr>
          <w:rFonts w:ascii="Traditional Arabic" w:hAnsi="Traditional Arabic" w:cs="Traditional Arabic" w:hint="cs"/>
          <w:b/>
          <w:sz w:val="30"/>
          <w:szCs w:val="30"/>
          <w:rtl/>
          <w:lang w:val="en-GB"/>
        </w:rPr>
        <w:t xml:space="preserve"> </w:t>
      </w:r>
      <w:r w:rsidRPr="00EB5BCF">
        <w:rPr>
          <w:rFonts w:ascii="Traditional Arabic" w:hAnsi="Traditional Arabic" w:cs="Traditional Arabic"/>
          <w:b/>
          <w:sz w:val="30"/>
          <w:szCs w:val="30"/>
          <w:rtl/>
          <w:lang w:val="en-GB"/>
        </w:rPr>
        <w:t>(</w:t>
      </w:r>
      <w:r w:rsidR="008C6415" w:rsidRPr="00EB5BCF">
        <w:rPr>
          <w:rFonts w:ascii="Traditional Arabic" w:hAnsi="Traditional Arabic" w:cs="Traditional Arabic"/>
          <w:b/>
          <w:sz w:val="30"/>
          <w:szCs w:val="30"/>
          <w:rtl/>
          <w:lang w:val="en-GB"/>
        </w:rPr>
        <w:t>يشار إليها فيما بعد بـ</w:t>
      </w:r>
      <w:r w:rsidRPr="00EB5BCF">
        <w:rPr>
          <w:rFonts w:ascii="Traditional Arabic" w:hAnsi="Traditional Arabic" w:cs="Traditional Arabic"/>
          <w:b/>
          <w:sz w:val="30"/>
          <w:szCs w:val="30"/>
          <w:rtl/>
          <w:lang w:val="en-GB"/>
        </w:rPr>
        <w:t>"</w:t>
      </w:r>
      <w:r w:rsidR="002D7E14">
        <w:rPr>
          <w:rFonts w:ascii="Traditional Arabic" w:hAnsi="Traditional Arabic" w:cs="Traditional Arabic"/>
          <w:b/>
          <w:sz w:val="30"/>
          <w:szCs w:val="30"/>
          <w:rtl/>
          <w:lang w:val="en-GB"/>
        </w:rPr>
        <w:t>هيئة الخدمات المالية</w:t>
      </w:r>
      <w:r w:rsidRPr="00EB5BCF">
        <w:rPr>
          <w:rFonts w:ascii="Traditional Arabic" w:hAnsi="Traditional Arabic" w:cs="Traditional Arabic"/>
          <w:b/>
          <w:sz w:val="30"/>
          <w:szCs w:val="30"/>
          <w:rtl/>
          <w:lang w:val="en-GB"/>
        </w:rPr>
        <w:t>")</w:t>
      </w:r>
      <w:r w:rsidR="00150A16" w:rsidRPr="00EB5BCF">
        <w:rPr>
          <w:rFonts w:ascii="Traditional Arabic" w:hAnsi="Traditional Arabic" w:cs="Traditional Arabic"/>
          <w:b/>
          <w:sz w:val="30"/>
          <w:szCs w:val="30"/>
          <w:rtl/>
          <w:lang w:val="en-GB"/>
        </w:rPr>
        <w:t>، على أن ت</w:t>
      </w:r>
      <w:r w:rsidR="00BE58FE" w:rsidRPr="00EB5BCF">
        <w:rPr>
          <w:rFonts w:ascii="Traditional Arabic" w:hAnsi="Traditional Arabic" w:cs="Traditional Arabic"/>
          <w:b/>
          <w:sz w:val="30"/>
          <w:szCs w:val="30"/>
          <w:rtl/>
          <w:lang w:val="en-GB"/>
        </w:rPr>
        <w:t>ُ</w:t>
      </w:r>
      <w:r w:rsidR="00150A16" w:rsidRPr="00EB5BCF">
        <w:rPr>
          <w:rFonts w:ascii="Traditional Arabic" w:hAnsi="Traditional Arabic" w:cs="Traditional Arabic"/>
          <w:b/>
          <w:sz w:val="30"/>
          <w:szCs w:val="30"/>
          <w:rtl/>
          <w:lang w:val="en-GB"/>
        </w:rPr>
        <w:t xml:space="preserve">رد حصيلة بيع الأسهم إلى </w:t>
      </w:r>
      <w:r w:rsidR="000861C6">
        <w:rPr>
          <w:rFonts w:ascii="Traditional Arabic" w:hAnsi="Traditional Arabic" w:cs="Traditional Arabic"/>
          <w:b/>
          <w:sz w:val="30"/>
          <w:szCs w:val="30"/>
          <w:rtl/>
          <w:lang w:val="en-GB"/>
        </w:rPr>
        <w:t>المساهم البائع</w:t>
      </w:r>
      <w:r w:rsidR="00150A16" w:rsidRPr="00EB5BCF">
        <w:rPr>
          <w:rFonts w:ascii="Traditional Arabic" w:hAnsi="Traditional Arabic" w:cs="Traditional Arabic"/>
          <w:b/>
          <w:sz w:val="30"/>
          <w:szCs w:val="30"/>
          <w:rtl/>
          <w:lang w:val="en-GB"/>
        </w:rPr>
        <w:t>.</w:t>
      </w:r>
    </w:p>
    <w:p w14:paraId="4B57F014" w14:textId="77777777" w:rsidR="00077F49" w:rsidRPr="00EB5BCF" w:rsidRDefault="00077F49" w:rsidP="00077F49">
      <w:pPr>
        <w:keepNext/>
        <w:bidi/>
        <w:rPr>
          <w:rFonts w:ascii="Traditional Arabic" w:hAnsi="Traditional Arabic" w:cs="Traditional Arabic"/>
          <w:b/>
          <w:sz w:val="30"/>
          <w:szCs w:val="30"/>
          <w:rtl/>
          <w:lang w:val="en-GB"/>
        </w:rPr>
      </w:pPr>
    </w:p>
    <w:p w14:paraId="07A203A3" w14:textId="77777777" w:rsidR="00077F49" w:rsidRPr="00EB5BCF" w:rsidRDefault="00077F49" w:rsidP="000A0150">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تتألف عملية الاكتتاب من طرحٍ للأسهم: (1) </w:t>
      </w:r>
      <w:r w:rsidR="00A44B7A" w:rsidRPr="00EB5BCF">
        <w:rPr>
          <w:rFonts w:ascii="Traditional Arabic" w:hAnsi="Traditional Arabic" w:cs="Traditional Arabic"/>
          <w:b/>
          <w:sz w:val="30"/>
          <w:szCs w:val="30"/>
          <w:rtl/>
          <w:lang w:val="en-GB"/>
        </w:rPr>
        <w:t>في سلطنة عمان وفق</w:t>
      </w:r>
      <w:r w:rsidR="00C47049">
        <w:rPr>
          <w:rFonts w:ascii="Traditional Arabic" w:hAnsi="Traditional Arabic" w:cs="Traditional Arabic" w:hint="cs"/>
          <w:b/>
          <w:sz w:val="30"/>
          <w:szCs w:val="30"/>
          <w:rtl/>
          <w:lang w:val="en-GB"/>
        </w:rPr>
        <w:t>ا للقوانين العمانية</w:t>
      </w:r>
      <w:r w:rsidR="00A44B7A" w:rsidRPr="00EB5BCF">
        <w:rPr>
          <w:rFonts w:ascii="Traditional Arabic" w:hAnsi="Traditional Arabic" w:cs="Traditional Arabic"/>
          <w:b/>
          <w:sz w:val="30"/>
          <w:szCs w:val="30"/>
          <w:rtl/>
          <w:lang w:val="en-GB"/>
        </w:rPr>
        <w:t xml:space="preserve"> </w:t>
      </w:r>
      <w:r w:rsidR="00C47049">
        <w:rPr>
          <w:rFonts w:ascii="Traditional Arabic" w:hAnsi="Traditional Arabic" w:cs="Traditional Arabic" w:hint="cs"/>
          <w:b/>
          <w:sz w:val="30"/>
          <w:szCs w:val="30"/>
          <w:rtl/>
          <w:lang w:val="en-GB"/>
        </w:rPr>
        <w:t xml:space="preserve">(ولاسيما </w:t>
      </w:r>
      <w:r w:rsidR="00A44B7A" w:rsidRPr="00EB5BCF">
        <w:rPr>
          <w:rFonts w:ascii="Traditional Arabic" w:hAnsi="Traditional Arabic" w:cs="Traditional Arabic"/>
          <w:b/>
          <w:sz w:val="30"/>
          <w:szCs w:val="30"/>
          <w:rtl/>
          <w:lang w:val="en-GB"/>
        </w:rPr>
        <w:t>لائحة الشركات المساهمة العامة</w:t>
      </w:r>
      <w:r w:rsidR="00C47049">
        <w:rPr>
          <w:rFonts w:ascii="Traditional Arabic" w:hAnsi="Traditional Arabic" w:cs="Traditional Arabic" w:hint="cs"/>
          <w:b/>
          <w:sz w:val="30"/>
          <w:szCs w:val="30"/>
          <w:rtl/>
          <w:lang w:val="en-GB"/>
        </w:rPr>
        <w:t xml:space="preserve">)؛ (2) </w:t>
      </w:r>
      <w:r w:rsidRPr="00EB5BCF">
        <w:rPr>
          <w:rFonts w:ascii="Traditional Arabic" w:hAnsi="Traditional Arabic" w:cs="Traditional Arabic"/>
          <w:b/>
          <w:sz w:val="30"/>
          <w:szCs w:val="30"/>
          <w:rtl/>
          <w:lang w:val="en-GB"/>
        </w:rPr>
        <w:t xml:space="preserve">خارج الولايات المتحدة لبعض </w:t>
      </w:r>
      <w:r w:rsidR="00DF0C02" w:rsidRPr="00EB5BCF">
        <w:rPr>
          <w:rFonts w:ascii="Traditional Arabic" w:hAnsi="Traditional Arabic" w:cs="Traditional Arabic" w:hint="eastAsia"/>
          <w:b/>
          <w:sz w:val="30"/>
          <w:szCs w:val="30"/>
          <w:rtl/>
          <w:lang w:val="en-GB"/>
        </w:rPr>
        <w:t>كبار</w:t>
      </w:r>
      <w:r w:rsidR="00DF0C02" w:rsidRPr="00EB5BCF">
        <w:rPr>
          <w:rFonts w:ascii="Traditional Arabic" w:hAnsi="Traditional Arabic" w:cs="Traditional Arabic"/>
          <w:b/>
          <w:sz w:val="30"/>
          <w:szCs w:val="30"/>
          <w:rtl/>
          <w:lang w:val="en-GB"/>
        </w:rPr>
        <w:t xml:space="preserve"> </w:t>
      </w:r>
      <w:r w:rsidR="00490E8C" w:rsidRPr="00EB5BCF">
        <w:rPr>
          <w:rFonts w:ascii="Traditional Arabic" w:hAnsi="Traditional Arabic" w:cs="Traditional Arabic"/>
          <w:b/>
          <w:sz w:val="30"/>
          <w:szCs w:val="30"/>
          <w:rtl/>
          <w:lang w:val="en-GB"/>
        </w:rPr>
        <w:t>المستثمر</w:t>
      </w:r>
      <w:r w:rsidR="00DF0C02" w:rsidRPr="00EB5BCF">
        <w:rPr>
          <w:rFonts w:ascii="Traditional Arabic" w:hAnsi="Traditional Arabic" w:cs="Traditional Arabic" w:hint="eastAsia"/>
          <w:b/>
          <w:sz w:val="30"/>
          <w:szCs w:val="30"/>
          <w:rtl/>
          <w:lang w:val="en-GB"/>
        </w:rPr>
        <w:t>ي</w:t>
      </w:r>
      <w:r w:rsidR="00490E8C" w:rsidRPr="00EB5BCF">
        <w:rPr>
          <w:rFonts w:ascii="Traditional Arabic" w:hAnsi="Traditional Arabic" w:cs="Traditional Arabic"/>
          <w:b/>
          <w:sz w:val="30"/>
          <w:szCs w:val="30"/>
          <w:rtl/>
          <w:lang w:val="en-GB"/>
        </w:rPr>
        <w:t xml:space="preserve">ن </w:t>
      </w:r>
      <w:r w:rsidRPr="00EB5BCF">
        <w:rPr>
          <w:rFonts w:ascii="Traditional Arabic" w:hAnsi="Traditional Arabic" w:cs="Traditional Arabic"/>
          <w:b/>
          <w:sz w:val="30"/>
          <w:szCs w:val="30"/>
          <w:rtl/>
          <w:lang w:val="en-GB"/>
        </w:rPr>
        <w:t>طبقا</w:t>
      </w:r>
      <w:r w:rsidR="00AF53AF"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للائحة (س) من قانون الأوراق المالية الأمريكي لسنة 1933 </w:t>
      </w:r>
      <w:r w:rsidR="00413D10" w:rsidRPr="00EB5BCF">
        <w:rPr>
          <w:rFonts w:ascii="Traditional Arabic" w:hAnsi="Traditional Arabic" w:cs="Traditional Arabic"/>
          <w:b/>
          <w:sz w:val="30"/>
          <w:szCs w:val="30"/>
          <w:rtl/>
          <w:lang w:val="en-GB"/>
        </w:rPr>
        <w:t xml:space="preserve">وتعديلاته </w:t>
      </w:r>
      <w:r w:rsidRPr="00EB5BCF">
        <w:rPr>
          <w:rFonts w:ascii="Traditional Arabic" w:hAnsi="Traditional Arabic" w:cs="Traditional Arabic"/>
          <w:b/>
          <w:sz w:val="30"/>
          <w:szCs w:val="30"/>
          <w:rtl/>
          <w:lang w:val="en-GB"/>
        </w:rPr>
        <w:t>(</w:t>
      </w:r>
      <w:r w:rsidR="00AF53AF" w:rsidRPr="00EB5BCF">
        <w:rPr>
          <w:rFonts w:ascii="Traditional Arabic" w:hAnsi="Traditional Arabic" w:cs="Traditional Arabic"/>
          <w:b/>
          <w:sz w:val="30"/>
          <w:szCs w:val="30"/>
          <w:rtl/>
          <w:lang w:val="en-GB"/>
        </w:rPr>
        <w:t>يشار إليه فيما بعد بـ</w:t>
      </w:r>
      <w:r w:rsidRPr="00EB5BCF">
        <w:rPr>
          <w:rFonts w:ascii="Traditional Arabic" w:hAnsi="Traditional Arabic" w:cs="Traditional Arabic"/>
          <w:b/>
          <w:sz w:val="30"/>
          <w:szCs w:val="30"/>
          <w:rtl/>
          <w:lang w:val="en-GB"/>
        </w:rPr>
        <w:t>"قانون الأوراق المالية").</w:t>
      </w:r>
    </w:p>
    <w:p w14:paraId="6D724BEB" w14:textId="77777777" w:rsidR="00077F49" w:rsidRPr="00EB5BCF" w:rsidRDefault="00077F49" w:rsidP="000A0150">
      <w:pPr>
        <w:keepNext/>
        <w:bidi/>
        <w:jc w:val="both"/>
        <w:rPr>
          <w:rFonts w:ascii="Traditional Arabic" w:hAnsi="Traditional Arabic" w:cs="Traditional Arabic"/>
          <w:b/>
          <w:sz w:val="30"/>
          <w:szCs w:val="30"/>
          <w:rtl/>
          <w:lang w:val="en-GB"/>
        </w:rPr>
      </w:pPr>
    </w:p>
    <w:p w14:paraId="54D7700E" w14:textId="77777777" w:rsidR="00077F49" w:rsidRPr="00EB5BCF" w:rsidRDefault="00077F49" w:rsidP="007011BB">
      <w:pPr>
        <w:keepNext/>
        <w:bidi/>
        <w:jc w:val="both"/>
        <w:rPr>
          <w:rFonts w:ascii="Traditional Arabic" w:hAnsi="Traditional Arabic" w:cs="Traditional Arabic"/>
          <w:b/>
          <w:sz w:val="30"/>
          <w:szCs w:val="30"/>
          <w:lang w:val="en-GB"/>
        </w:rPr>
      </w:pPr>
      <w:r w:rsidRPr="00EB5BCF">
        <w:rPr>
          <w:rFonts w:ascii="Traditional Arabic" w:hAnsi="Traditional Arabic" w:cs="Traditional Arabic"/>
          <w:b/>
          <w:sz w:val="30"/>
          <w:szCs w:val="30"/>
          <w:rtl/>
          <w:lang w:val="en-GB"/>
        </w:rPr>
        <w:t xml:space="preserve">لم تكن </w:t>
      </w:r>
      <w:r w:rsidR="0084444F" w:rsidRPr="00EB5BCF">
        <w:rPr>
          <w:rFonts w:ascii="Traditional Arabic" w:hAnsi="Traditional Arabic" w:cs="Traditional Arabic"/>
          <w:b/>
          <w:sz w:val="30"/>
          <w:szCs w:val="30"/>
          <w:rtl/>
          <w:lang w:val="en-GB"/>
        </w:rPr>
        <w:t xml:space="preserve">أسهم الشركة مطروحة </w:t>
      </w:r>
      <w:r w:rsidR="007011BB" w:rsidRPr="00EB5BCF">
        <w:rPr>
          <w:rFonts w:ascii="Traditional Arabic" w:hAnsi="Traditional Arabic" w:cs="Traditional Arabic" w:hint="eastAsia"/>
          <w:b/>
          <w:sz w:val="30"/>
          <w:szCs w:val="30"/>
          <w:rtl/>
          <w:lang w:val="en-GB"/>
        </w:rPr>
        <w:t>للاكتتاب</w:t>
      </w:r>
      <w:r w:rsidR="0084444F" w:rsidRPr="00EB5BCF">
        <w:rPr>
          <w:rFonts w:ascii="Traditional Arabic" w:hAnsi="Traditional Arabic" w:cs="Traditional Arabic"/>
          <w:b/>
          <w:sz w:val="30"/>
          <w:szCs w:val="30"/>
          <w:rtl/>
          <w:lang w:val="en-GB"/>
        </w:rPr>
        <w:t xml:space="preserve"> العام </w:t>
      </w:r>
      <w:r w:rsidRPr="00EB5BCF">
        <w:rPr>
          <w:rFonts w:ascii="Traditional Arabic" w:hAnsi="Traditional Arabic" w:cs="Traditional Arabic"/>
          <w:b/>
          <w:sz w:val="30"/>
          <w:szCs w:val="30"/>
          <w:rtl/>
          <w:lang w:val="en-GB"/>
        </w:rPr>
        <w:t xml:space="preserve">قبل </w:t>
      </w:r>
      <w:r w:rsidR="0084444F" w:rsidRPr="00EB5BCF">
        <w:rPr>
          <w:rFonts w:ascii="Traditional Arabic" w:hAnsi="Traditional Arabic" w:cs="Traditional Arabic"/>
          <w:b/>
          <w:sz w:val="30"/>
          <w:szCs w:val="30"/>
          <w:rtl/>
          <w:lang w:val="en-GB"/>
        </w:rPr>
        <w:t>هذا الطرح</w:t>
      </w:r>
      <w:r w:rsidRPr="00EB5BCF">
        <w:rPr>
          <w:rFonts w:ascii="Traditional Arabic" w:hAnsi="Traditional Arabic" w:cs="Traditional Arabic"/>
          <w:b/>
          <w:sz w:val="30"/>
          <w:szCs w:val="30"/>
          <w:rtl/>
          <w:lang w:val="en-GB"/>
        </w:rPr>
        <w:t xml:space="preserve">، ولذا تقدمت الشركة بطلب تسجيل الأسهم لدى بورصة مسقط تحت الرمز </w:t>
      </w:r>
      <w:r w:rsidR="00B06394" w:rsidRPr="00CB188B">
        <w:rPr>
          <w:sz w:val="28"/>
          <w:rtl/>
        </w:rPr>
        <w:t>"</w:t>
      </w:r>
      <w:r w:rsidR="00B06394" w:rsidRPr="00CB188B">
        <w:rPr>
          <w:sz w:val="28"/>
        </w:rPr>
        <w:t>ASCO</w:t>
      </w:r>
      <w:r w:rsidR="00B06394">
        <w:rPr>
          <w:rFonts w:hint="cs"/>
          <w:sz w:val="28"/>
          <w:rtl/>
        </w:rPr>
        <w:t>"</w:t>
      </w:r>
      <w:r w:rsidRPr="00EB5BCF">
        <w:rPr>
          <w:rFonts w:ascii="Traditional Arabic" w:hAnsi="Traditional Arabic" w:cs="Traditional Arabic"/>
          <w:b/>
          <w:sz w:val="30"/>
          <w:szCs w:val="30"/>
          <w:rtl/>
          <w:lang w:val="en-GB"/>
        </w:rPr>
        <w:t xml:space="preserve"> ("تسجيل الأسهم")، ولن تكون هناك ثمة تعاملات مشروطة في الأسهم قبل تسجيل</w:t>
      </w:r>
      <w:r w:rsidR="00071580" w:rsidRPr="00EB5BCF">
        <w:rPr>
          <w:rFonts w:ascii="Traditional Arabic" w:hAnsi="Traditional Arabic" w:cs="Traditional Arabic"/>
          <w:b/>
          <w:sz w:val="30"/>
          <w:szCs w:val="30"/>
          <w:rtl/>
          <w:lang w:val="en-GB"/>
        </w:rPr>
        <w:t>ها</w:t>
      </w:r>
      <w:r w:rsidRPr="00EB5BCF">
        <w:rPr>
          <w:rFonts w:ascii="Traditional Arabic" w:hAnsi="Traditional Arabic" w:cs="Traditional Arabic"/>
          <w:b/>
          <w:sz w:val="30"/>
          <w:szCs w:val="30"/>
          <w:rtl/>
          <w:lang w:val="en-GB"/>
        </w:rPr>
        <w:t>. ومن المتوقع أن تنتهي عملية تسجيل الأسهم وأن يبدأ التداول في الأسهم في بورصة مسقط بحلول</w:t>
      </w:r>
      <w:r w:rsidR="00834975">
        <w:rPr>
          <w:rFonts w:ascii="Traditional Arabic" w:hAnsi="Traditional Arabic" w:cs="Traditional Arabic" w:hint="cs"/>
          <w:b/>
          <w:sz w:val="30"/>
          <w:szCs w:val="30"/>
          <w:rtl/>
          <w:lang w:val="en-GB"/>
        </w:rPr>
        <w:t xml:space="preserve"> </w:t>
      </w:r>
      <w:r w:rsidR="005035D5" w:rsidRPr="00CB188B">
        <w:rPr>
          <w:rFonts w:ascii="Traditional Arabic" w:hAnsi="Traditional Arabic" w:cs="Traditional Arabic"/>
          <w:b/>
          <w:sz w:val="30"/>
          <w:szCs w:val="30"/>
          <w:rtl/>
          <w:lang w:val="en-GB"/>
        </w:rPr>
        <w:t>12</w:t>
      </w:r>
      <w:r w:rsidR="00834975">
        <w:rPr>
          <w:rFonts w:ascii="Traditional Arabic" w:hAnsi="Traditional Arabic" w:cs="Traditional Arabic" w:hint="cs"/>
          <w:b/>
          <w:sz w:val="30"/>
          <w:szCs w:val="30"/>
          <w:rtl/>
          <w:lang w:val="en-GB"/>
        </w:rPr>
        <w:t xml:space="preserve"> مارس</w:t>
      </w:r>
      <w:r w:rsidRPr="00EB5BCF">
        <w:rPr>
          <w:rFonts w:ascii="Traditional Arabic" w:hAnsi="Traditional Arabic" w:cs="Traditional Arabic"/>
          <w:b/>
          <w:sz w:val="30"/>
          <w:szCs w:val="30"/>
          <w:rtl/>
          <w:lang w:val="en-GB"/>
        </w:rPr>
        <w:t xml:space="preserve"> </w:t>
      </w:r>
      <w:r w:rsidR="00893BCF" w:rsidRPr="00EB5BCF">
        <w:rPr>
          <w:rFonts w:ascii="Traditional Arabic" w:hAnsi="Traditional Arabic" w:cs="Traditional Arabic"/>
          <w:b/>
          <w:sz w:val="30"/>
          <w:szCs w:val="30"/>
          <w:rtl/>
          <w:lang w:val="en-GB"/>
        </w:rPr>
        <w:t>202</w:t>
      </w:r>
      <w:r w:rsidR="00893BCF">
        <w:rPr>
          <w:rFonts w:ascii="Traditional Arabic" w:hAnsi="Traditional Arabic" w:cs="Traditional Arabic" w:hint="cs"/>
          <w:b/>
          <w:sz w:val="30"/>
          <w:szCs w:val="30"/>
          <w:rtl/>
          <w:lang w:val="en-GB"/>
        </w:rPr>
        <w:t>5</w:t>
      </w:r>
      <w:r w:rsidR="00FD75D3" w:rsidRPr="00EB5BCF">
        <w:rPr>
          <w:rFonts w:ascii="Traditional Arabic" w:hAnsi="Traditional Arabic" w:cs="Traditional Arabic" w:hint="eastAsia"/>
          <w:b/>
          <w:sz w:val="30"/>
          <w:szCs w:val="30"/>
          <w:rtl/>
          <w:lang w:val="en-GB"/>
        </w:rPr>
        <w:t>،</w:t>
      </w:r>
      <w:r w:rsidR="00FD75D3" w:rsidRPr="00EB5BCF">
        <w:rPr>
          <w:rFonts w:ascii="Traditional Arabic" w:hAnsi="Traditional Arabic" w:cs="Traditional Arabic"/>
          <w:b/>
          <w:sz w:val="30"/>
          <w:szCs w:val="30"/>
          <w:rtl/>
          <w:lang w:val="en-GB"/>
        </w:rPr>
        <w:t xml:space="preserve"> أو أي تاريخ </w:t>
      </w:r>
      <w:r w:rsidR="00681B2B">
        <w:rPr>
          <w:rFonts w:ascii="Traditional Arabic" w:hAnsi="Traditional Arabic" w:cs="Traditional Arabic" w:hint="cs"/>
          <w:b/>
          <w:sz w:val="30"/>
          <w:szCs w:val="30"/>
          <w:rtl/>
          <w:lang w:val="en-GB"/>
        </w:rPr>
        <w:t>آخر</w:t>
      </w:r>
      <w:r w:rsidR="00FD75D3" w:rsidRPr="00EB5BCF">
        <w:rPr>
          <w:rFonts w:ascii="Traditional Arabic" w:hAnsi="Traditional Arabic" w:cs="Traditional Arabic"/>
          <w:b/>
          <w:sz w:val="30"/>
          <w:szCs w:val="30"/>
          <w:rtl/>
          <w:lang w:val="en-GB"/>
        </w:rPr>
        <w:t xml:space="preserve"> قد يتم</w:t>
      </w:r>
      <w:r w:rsidR="00681B2B">
        <w:rPr>
          <w:rFonts w:ascii="Traditional Arabic" w:hAnsi="Traditional Arabic" w:cs="Traditional Arabic" w:hint="cs"/>
          <w:b/>
          <w:sz w:val="30"/>
          <w:szCs w:val="30"/>
          <w:rtl/>
          <w:lang w:val="en-GB"/>
        </w:rPr>
        <w:t xml:space="preserve"> تحديده وإعلانه</w:t>
      </w:r>
      <w:r w:rsidR="00FD75D3" w:rsidRPr="00EB5BCF">
        <w:rPr>
          <w:rFonts w:ascii="Traditional Arabic" w:hAnsi="Traditional Arabic" w:cs="Traditional Arabic"/>
          <w:b/>
          <w:sz w:val="30"/>
          <w:szCs w:val="30"/>
          <w:rtl/>
          <w:lang w:val="en-GB"/>
        </w:rPr>
        <w:t xml:space="preserve"> من قبل المنسق العالمي المشترك</w:t>
      </w:r>
      <w:r w:rsidR="00681B2B">
        <w:rPr>
          <w:rFonts w:ascii="Traditional Arabic" w:hAnsi="Traditional Arabic" w:cs="Traditional Arabic" w:hint="cs"/>
          <w:b/>
          <w:sz w:val="30"/>
          <w:szCs w:val="30"/>
          <w:rtl/>
          <w:lang w:val="en-GB"/>
        </w:rPr>
        <w:t>، على نحو ما سيأتي</w:t>
      </w:r>
      <w:r w:rsidR="00AF53AF"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w:t>
      </w:r>
      <w:r w:rsidRPr="00EB5BCF">
        <w:rPr>
          <w:rFonts w:ascii="Traditional Arabic" w:hAnsi="Traditional Arabic" w:cs="Traditional Arabic"/>
          <w:bCs/>
          <w:sz w:val="30"/>
          <w:szCs w:val="30"/>
          <w:rtl/>
          <w:lang w:val="en-GB"/>
        </w:rPr>
        <w:t xml:space="preserve">تاريخ </w:t>
      </w:r>
      <w:r w:rsidR="005263BB" w:rsidRPr="00EB5BCF">
        <w:rPr>
          <w:rFonts w:ascii="Traditional Arabic" w:hAnsi="Traditional Arabic" w:cs="Traditional Arabic" w:hint="eastAsia"/>
          <w:bCs/>
          <w:sz w:val="30"/>
          <w:szCs w:val="30"/>
          <w:rtl/>
          <w:lang w:val="en-GB"/>
        </w:rPr>
        <w:t>الإدراج</w:t>
      </w:r>
      <w:r w:rsidRPr="00EB5BCF">
        <w:rPr>
          <w:rFonts w:ascii="Traditional Arabic" w:hAnsi="Traditional Arabic" w:cs="Traditional Arabic"/>
          <w:b/>
          <w:sz w:val="30"/>
          <w:szCs w:val="30"/>
          <w:rtl/>
          <w:lang w:val="en-GB"/>
        </w:rPr>
        <w:t>").</w:t>
      </w:r>
    </w:p>
    <w:p w14:paraId="67F2A253" w14:textId="77777777" w:rsidR="00077F49" w:rsidRDefault="00077F49" w:rsidP="000A0150">
      <w:pPr>
        <w:keepNext/>
        <w:bidi/>
        <w:jc w:val="both"/>
        <w:rPr>
          <w:rFonts w:ascii="Traditional Arabic" w:hAnsi="Traditional Arabic" w:cs="Traditional Arabic"/>
          <w:bCs/>
          <w:sz w:val="30"/>
          <w:szCs w:val="30"/>
          <w:rtl/>
          <w:lang w:val="en-GB"/>
        </w:rPr>
      </w:pPr>
    </w:p>
    <w:p w14:paraId="624A30CD" w14:textId="77777777" w:rsidR="00C44C9C" w:rsidRDefault="00F67877" w:rsidP="000638FE">
      <w:pPr>
        <w:keepNext/>
        <w:bidi/>
        <w:jc w:val="both"/>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تُخصص الأسهم لجميع المستثمرين</w:t>
      </w:r>
      <w:r w:rsidR="00C44C9C">
        <w:rPr>
          <w:rFonts w:ascii="Traditional Arabic" w:hAnsi="Traditional Arabic" w:cs="Traditional Arabic" w:hint="cs"/>
          <w:b/>
          <w:sz w:val="30"/>
          <w:szCs w:val="30"/>
          <w:rtl/>
          <w:lang w:val="en-GB"/>
        </w:rPr>
        <w:t xml:space="preserve"> </w:t>
      </w:r>
      <w:r>
        <w:rPr>
          <w:rFonts w:ascii="Traditional Arabic" w:hAnsi="Traditional Arabic" w:cs="Traditional Arabic" w:hint="cs"/>
          <w:b/>
          <w:sz w:val="30"/>
          <w:szCs w:val="30"/>
          <w:rtl/>
          <w:lang w:val="en-GB"/>
        </w:rPr>
        <w:t>بسعر الطرح</w:t>
      </w:r>
      <w:r w:rsidR="00BE17BC">
        <w:rPr>
          <w:rFonts w:ascii="Traditional Arabic" w:hAnsi="Traditional Arabic" w:cs="Traditional Arabic" w:hint="cs"/>
          <w:b/>
          <w:sz w:val="30"/>
          <w:szCs w:val="30"/>
          <w:rtl/>
          <w:lang w:val="en-GB"/>
        </w:rPr>
        <w:t xml:space="preserve"> (</w:t>
      </w:r>
      <w:r w:rsidR="007C1C53">
        <w:rPr>
          <w:rFonts w:ascii="Traditional Arabic" w:hAnsi="Traditional Arabic" w:cs="Traditional Arabic" w:hint="cs"/>
          <w:b/>
          <w:sz w:val="30"/>
          <w:szCs w:val="30"/>
          <w:rtl/>
          <w:lang w:val="en-GB"/>
        </w:rPr>
        <w:t xml:space="preserve">حسب التعريف </w:t>
      </w:r>
      <w:r w:rsidR="00BE17BC">
        <w:rPr>
          <w:rFonts w:ascii="Traditional Arabic" w:hAnsi="Traditional Arabic" w:cs="Traditional Arabic" w:hint="cs"/>
          <w:b/>
          <w:sz w:val="30"/>
          <w:szCs w:val="30"/>
          <w:rtl/>
          <w:lang w:val="en-GB"/>
        </w:rPr>
        <w:t>ادناه)</w:t>
      </w:r>
      <w:r>
        <w:rPr>
          <w:rFonts w:ascii="Traditional Arabic" w:hAnsi="Traditional Arabic" w:cs="Traditional Arabic" w:hint="cs"/>
          <w:b/>
          <w:sz w:val="30"/>
          <w:szCs w:val="30"/>
          <w:rtl/>
          <w:lang w:val="en-GB"/>
        </w:rPr>
        <w:t xml:space="preserve"> الذي </w:t>
      </w:r>
      <w:r w:rsidR="00CB2F30">
        <w:rPr>
          <w:rFonts w:ascii="Traditional Arabic" w:hAnsi="Traditional Arabic" w:cs="Traditional Arabic" w:hint="cs"/>
          <w:b/>
          <w:sz w:val="30"/>
          <w:szCs w:val="30"/>
          <w:rtl/>
          <w:lang w:val="en-GB"/>
        </w:rPr>
        <w:t xml:space="preserve">سيتم تحديده من قبل </w:t>
      </w:r>
      <w:r w:rsidR="002B6995">
        <w:rPr>
          <w:rFonts w:ascii="Traditional Arabic" w:hAnsi="Traditional Arabic" w:cs="Traditional Arabic" w:hint="cs"/>
          <w:b/>
          <w:sz w:val="30"/>
          <w:szCs w:val="30"/>
          <w:rtl/>
          <w:lang w:val="en-GB"/>
        </w:rPr>
        <w:t>المساهم البائع</w:t>
      </w:r>
      <w:r w:rsidR="00CB2F30">
        <w:rPr>
          <w:rFonts w:ascii="Traditional Arabic" w:hAnsi="Traditional Arabic" w:cs="Traditional Arabic" w:hint="cs"/>
          <w:b/>
          <w:sz w:val="30"/>
          <w:szCs w:val="30"/>
          <w:rtl/>
          <w:lang w:val="en-GB"/>
        </w:rPr>
        <w:t xml:space="preserve"> بالتشاور مع </w:t>
      </w:r>
      <w:r w:rsidR="003A4A12">
        <w:rPr>
          <w:rFonts w:ascii="Traditional Arabic" w:hAnsi="Traditional Arabic" w:cs="Traditional Arabic" w:hint="cs"/>
          <w:b/>
          <w:sz w:val="30"/>
          <w:szCs w:val="30"/>
          <w:rtl/>
          <w:lang w:val="en-GB"/>
        </w:rPr>
        <w:t>المنسق العالمي المشترك</w:t>
      </w:r>
      <w:r w:rsidR="00CB2F30">
        <w:rPr>
          <w:rFonts w:ascii="Traditional Arabic" w:hAnsi="Traditional Arabic" w:cs="Traditional Arabic" w:hint="cs"/>
          <w:b/>
          <w:sz w:val="30"/>
          <w:szCs w:val="30"/>
          <w:rtl/>
          <w:lang w:val="en-GB"/>
        </w:rPr>
        <w:t xml:space="preserve"> </w:t>
      </w:r>
      <w:r w:rsidR="001362D8">
        <w:rPr>
          <w:rFonts w:ascii="Traditional Arabic" w:hAnsi="Traditional Arabic" w:cs="Traditional Arabic" w:hint="cs"/>
          <w:b/>
          <w:sz w:val="30"/>
          <w:szCs w:val="30"/>
          <w:rtl/>
          <w:lang w:val="en-GB"/>
        </w:rPr>
        <w:t>بعد</w:t>
      </w:r>
      <w:r>
        <w:rPr>
          <w:rFonts w:ascii="Traditional Arabic" w:hAnsi="Traditional Arabic" w:cs="Traditional Arabic" w:hint="cs"/>
          <w:b/>
          <w:sz w:val="30"/>
          <w:szCs w:val="30"/>
          <w:rtl/>
          <w:lang w:val="en-GB"/>
        </w:rPr>
        <w:t xml:space="preserve"> عملية بناء سجل الأوامر للفئة الأولى</w:t>
      </w:r>
      <w:r w:rsidR="000638FE">
        <w:rPr>
          <w:rFonts w:ascii="Traditional Arabic" w:hAnsi="Traditional Arabic" w:cs="Traditional Arabic" w:hint="cs"/>
          <w:b/>
          <w:sz w:val="30"/>
          <w:szCs w:val="30"/>
          <w:rtl/>
          <w:lang w:val="en-GB"/>
        </w:rPr>
        <w:t>.</w:t>
      </w:r>
    </w:p>
    <w:p w14:paraId="533F22D4" w14:textId="77777777" w:rsidR="007224F5" w:rsidRPr="00F67877" w:rsidRDefault="00F67877" w:rsidP="00C44C9C">
      <w:pPr>
        <w:keepNext/>
        <w:bidi/>
        <w:jc w:val="both"/>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 xml:space="preserve"> </w:t>
      </w:r>
    </w:p>
    <w:p w14:paraId="3828109C" w14:textId="77777777" w:rsidR="00077F49" w:rsidRPr="00EB5BCF" w:rsidRDefault="00077F49" w:rsidP="000A0150">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وقد تلقت الشركة من </w:t>
      </w:r>
      <w:r w:rsidR="00490E8C" w:rsidRPr="00EB5BCF">
        <w:rPr>
          <w:rFonts w:ascii="Traditional Arabic" w:hAnsi="Traditional Arabic" w:cs="Traditional Arabic"/>
          <w:b/>
          <w:sz w:val="30"/>
          <w:szCs w:val="30"/>
          <w:rtl/>
          <w:lang w:val="en-GB"/>
        </w:rPr>
        <w:t>المستثمر</w:t>
      </w:r>
      <w:r w:rsidR="00DF0C02" w:rsidRPr="00EB5BCF">
        <w:rPr>
          <w:rFonts w:ascii="Traditional Arabic" w:hAnsi="Traditional Arabic" w:cs="Traditional Arabic" w:hint="eastAsia"/>
          <w:b/>
          <w:sz w:val="30"/>
          <w:szCs w:val="30"/>
          <w:rtl/>
          <w:lang w:val="en-GB"/>
        </w:rPr>
        <w:t>ي</w:t>
      </w:r>
      <w:r w:rsidR="00490E8C" w:rsidRPr="00EB5BCF">
        <w:rPr>
          <w:rFonts w:ascii="Traditional Arabic" w:hAnsi="Traditional Arabic" w:cs="Traditional Arabic"/>
          <w:b/>
          <w:sz w:val="30"/>
          <w:szCs w:val="30"/>
          <w:rtl/>
          <w:lang w:val="en-GB"/>
        </w:rPr>
        <w:t xml:space="preserve">ن </w:t>
      </w:r>
      <w:r w:rsidR="00DF0C02" w:rsidRPr="00EB5BCF">
        <w:rPr>
          <w:rFonts w:ascii="Traditional Arabic" w:hAnsi="Traditional Arabic" w:cs="Traditional Arabic" w:hint="eastAsia"/>
          <w:b/>
          <w:sz w:val="30"/>
          <w:szCs w:val="30"/>
          <w:rtl/>
          <w:lang w:val="en-GB"/>
        </w:rPr>
        <w:t>الرئيسيين</w:t>
      </w:r>
      <w:r w:rsidR="00DF0C02"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(بحسب التعريف الموضح أدناه)</w:t>
      </w:r>
      <w:r w:rsidR="008E67B4">
        <w:rPr>
          <w:rFonts w:ascii="Traditional Arabic" w:hAnsi="Traditional Arabic" w:cs="Traditional Arabic" w:hint="cs"/>
          <w:b/>
          <w:sz w:val="30"/>
          <w:szCs w:val="30"/>
          <w:rtl/>
          <w:lang w:val="en-GB"/>
        </w:rPr>
        <w:t>، وفقا للشروط الواردة في اتفاقيات الاستثمار الرئيسي</w:t>
      </w:r>
      <w:r w:rsidR="003E796A">
        <w:rPr>
          <w:rFonts w:ascii="Traditional Arabic" w:hAnsi="Traditional Arabic" w:cs="Traditional Arabic" w:hint="cs"/>
          <w:b/>
          <w:sz w:val="30"/>
          <w:szCs w:val="30"/>
          <w:rtl/>
          <w:lang w:val="en-GB"/>
        </w:rPr>
        <w:t xml:space="preserve"> (على النحو المحدد في </w:t>
      </w:r>
      <w:r w:rsidR="00130F5A">
        <w:rPr>
          <w:rFonts w:ascii="Traditional Arabic" w:hAnsi="Traditional Arabic" w:cs="Traditional Arabic" w:hint="cs"/>
          <w:b/>
          <w:sz w:val="30"/>
          <w:szCs w:val="30"/>
          <w:rtl/>
          <w:lang w:val="en-GB"/>
        </w:rPr>
        <w:t xml:space="preserve">الفصل </w:t>
      </w:r>
      <w:r w:rsidR="00F227D9">
        <w:rPr>
          <w:rFonts w:ascii="Traditional Arabic" w:hAnsi="Traditional Arabic" w:cs="Traditional Arabic" w:hint="cs"/>
          <w:b/>
          <w:sz w:val="30"/>
          <w:szCs w:val="30"/>
          <w:rtl/>
          <w:lang w:val="en-GB"/>
        </w:rPr>
        <w:t>العشرون</w:t>
      </w:r>
      <w:r w:rsidR="003E796A">
        <w:rPr>
          <w:rFonts w:ascii="Traditional Arabic" w:hAnsi="Traditional Arabic" w:cs="Traditional Arabic" w:hint="cs"/>
          <w:b/>
          <w:sz w:val="30"/>
          <w:szCs w:val="30"/>
          <w:rtl/>
          <w:lang w:val="en-GB"/>
        </w:rPr>
        <w:t xml:space="preserve"> بعنوان الاكتتاب والبيع </w:t>
      </w:r>
      <w:r w:rsidR="003E796A">
        <w:rPr>
          <w:rFonts w:ascii="Traditional Arabic" w:hAnsi="Traditional Arabic" w:cs="Traditional Arabic"/>
          <w:b/>
          <w:sz w:val="30"/>
          <w:szCs w:val="30"/>
          <w:rtl/>
          <w:lang w:val="en-GB"/>
        </w:rPr>
        <w:t>–</w:t>
      </w:r>
      <w:r w:rsidR="003E796A">
        <w:rPr>
          <w:rFonts w:ascii="Traditional Arabic" w:hAnsi="Traditional Arabic" w:cs="Traditional Arabic" w:hint="cs"/>
          <w:b/>
          <w:sz w:val="30"/>
          <w:szCs w:val="30"/>
          <w:rtl/>
          <w:lang w:val="en-GB"/>
        </w:rPr>
        <w:t xml:space="preserve"> المستثمرين الرئيسيين)</w:t>
      </w:r>
      <w:r w:rsidR="00EB3482">
        <w:rPr>
          <w:rFonts w:ascii="Traditional Arabic" w:hAnsi="Traditional Arabic" w:cs="Traditional Arabic" w:hint="cs"/>
          <w:b/>
          <w:sz w:val="30"/>
          <w:szCs w:val="30"/>
          <w:rtl/>
          <w:lang w:val="en-GB"/>
        </w:rPr>
        <w:t>،</w:t>
      </w:r>
      <w:r w:rsidRPr="00EB5BCF">
        <w:rPr>
          <w:rFonts w:ascii="Traditional Arabic" w:hAnsi="Traditional Arabic" w:cs="Traditional Arabic"/>
          <w:b/>
          <w:sz w:val="30"/>
          <w:szCs w:val="30"/>
          <w:rtl/>
          <w:lang w:val="en-GB"/>
        </w:rPr>
        <w:t xml:space="preserve"> تعهدات نهائيّة لغرض الاكتتاب في أسهم الطرح عند </w:t>
      </w:r>
      <w:r w:rsidR="00EB3482">
        <w:rPr>
          <w:rFonts w:ascii="Traditional Arabic" w:hAnsi="Traditional Arabic" w:cs="Traditional Arabic" w:hint="cs"/>
          <w:b/>
          <w:sz w:val="30"/>
          <w:szCs w:val="30"/>
          <w:rtl/>
          <w:lang w:val="en-GB"/>
        </w:rPr>
        <w:t>السعر الأعلى</w:t>
      </w:r>
      <w:r w:rsidR="008D6D27">
        <w:rPr>
          <w:rFonts w:ascii="Traditional Arabic" w:hAnsi="Traditional Arabic" w:cs="Traditional Arabic" w:hint="cs"/>
          <w:b/>
          <w:sz w:val="30"/>
          <w:szCs w:val="30"/>
          <w:rtl/>
          <w:lang w:val="en-GB"/>
        </w:rPr>
        <w:t xml:space="preserve"> من النطاق</w:t>
      </w:r>
      <w:r w:rsidR="00EB3482">
        <w:rPr>
          <w:rFonts w:ascii="Traditional Arabic" w:hAnsi="Traditional Arabic" w:cs="Traditional Arabic" w:hint="cs"/>
          <w:b/>
          <w:sz w:val="30"/>
          <w:szCs w:val="30"/>
          <w:rtl/>
          <w:lang w:val="en-GB"/>
        </w:rPr>
        <w:t xml:space="preserve"> </w:t>
      </w:r>
      <w:r w:rsidR="008D6D27">
        <w:rPr>
          <w:rFonts w:ascii="Traditional Arabic" w:hAnsi="Traditional Arabic" w:cs="Traditional Arabic" w:hint="cs"/>
          <w:b/>
          <w:sz w:val="30"/>
          <w:szCs w:val="30"/>
          <w:rtl/>
          <w:lang w:val="en-GB"/>
        </w:rPr>
        <w:t>السعري</w:t>
      </w:r>
      <w:r w:rsidR="00EB3482">
        <w:rPr>
          <w:rFonts w:ascii="Traditional Arabic" w:hAnsi="Traditional Arabic" w:cs="Traditional Arabic" w:hint="cs"/>
          <w:b/>
          <w:sz w:val="30"/>
          <w:szCs w:val="30"/>
          <w:rtl/>
          <w:lang w:val="en-GB"/>
        </w:rPr>
        <w:t>(حسب التعريف أدناه)</w:t>
      </w:r>
      <w:r w:rsidRPr="00EB5BCF">
        <w:rPr>
          <w:rFonts w:ascii="Traditional Arabic" w:hAnsi="Traditional Arabic" w:cs="Traditional Arabic"/>
          <w:b/>
          <w:sz w:val="30"/>
          <w:szCs w:val="30"/>
          <w:rtl/>
          <w:lang w:val="en-GB"/>
        </w:rPr>
        <w:t xml:space="preserve">، ويوضح الجدول الآتي تفاصيل </w:t>
      </w:r>
      <w:r w:rsidR="00EB3482">
        <w:rPr>
          <w:rFonts w:ascii="Traditional Arabic" w:hAnsi="Traditional Arabic" w:cs="Traditional Arabic" w:hint="cs"/>
          <w:b/>
          <w:sz w:val="30"/>
          <w:szCs w:val="30"/>
          <w:rtl/>
          <w:lang w:val="en-GB"/>
        </w:rPr>
        <w:t>هذه التعهدات</w:t>
      </w:r>
      <w:r w:rsidRPr="00EB5BCF">
        <w:rPr>
          <w:rFonts w:ascii="Traditional Arabic" w:hAnsi="Traditional Arabic" w:cs="Traditional Arabic"/>
          <w:b/>
          <w:sz w:val="30"/>
          <w:szCs w:val="30"/>
          <w:rtl/>
          <w:lang w:val="en-GB"/>
        </w:rPr>
        <w:t>:</w:t>
      </w:r>
    </w:p>
    <w:p w14:paraId="7411F23B" w14:textId="77777777" w:rsidR="00077F49" w:rsidRPr="00EB5BCF" w:rsidRDefault="00077F49" w:rsidP="00077F49">
      <w:pPr>
        <w:keepNext/>
        <w:bidi/>
        <w:rPr>
          <w:rFonts w:ascii="Traditional Arabic" w:hAnsi="Traditional Arabic" w:cs="Traditional Arabic"/>
          <w:bCs/>
          <w:sz w:val="30"/>
          <w:szCs w:val="30"/>
          <w:rtl/>
          <w:lang w:val="en-GB"/>
        </w:rPr>
      </w:pPr>
    </w:p>
    <w:tbl>
      <w:tblPr>
        <w:tblStyle w:val="TableGrid"/>
        <w:tblW w:w="4950" w:type="pct"/>
        <w:tblInd w:w="-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67"/>
        <w:gridCol w:w="3113"/>
        <w:gridCol w:w="2051"/>
        <w:gridCol w:w="2335"/>
      </w:tblGrid>
      <w:tr w:rsidR="003F12DC" w:rsidRPr="00EB5BCF" w14:paraId="4D4440E4" w14:textId="77777777" w:rsidTr="00FF4D70">
        <w:tc>
          <w:tcPr>
            <w:tcW w:w="953" w:type="pct"/>
            <w:vAlign w:val="bottom"/>
            <w:hideMark/>
          </w:tcPr>
          <w:p w14:paraId="6F86BF29" w14:textId="77777777" w:rsidR="00077F49" w:rsidRPr="00EB5BCF" w:rsidRDefault="00A626C5" w:rsidP="0017399F">
            <w:pPr>
              <w:pBdr>
                <w:bottom w:val="single" w:sz="2" w:space="1" w:color="auto"/>
              </w:pBdr>
              <w:bidi/>
              <w:jc w:val="both"/>
              <w:rPr>
                <w:rFonts w:ascii="Traditional Arabic" w:hAnsi="Traditional Arabic" w:cs="Traditional Arabic"/>
                <w:b/>
                <w:sz w:val="30"/>
                <w:szCs w:val="30"/>
              </w:rPr>
            </w:pPr>
            <w:r w:rsidRPr="009630F0">
              <w:rPr>
                <w:rFonts w:ascii="Traditional Arabic" w:hAnsi="Traditional Arabic" w:cs="Traditional Arabic"/>
                <w:b/>
                <w:bCs/>
                <w:sz w:val="30"/>
                <w:szCs w:val="30"/>
                <w:rtl/>
              </w:rPr>
              <w:t>النسبة المئوية من الطرح</w:t>
            </w:r>
          </w:p>
        </w:tc>
        <w:tc>
          <w:tcPr>
            <w:tcW w:w="1680" w:type="pct"/>
            <w:vAlign w:val="bottom"/>
            <w:hideMark/>
          </w:tcPr>
          <w:p w14:paraId="1F60804E" w14:textId="77777777" w:rsidR="00077F49" w:rsidRPr="00CA4D73" w:rsidRDefault="00416483" w:rsidP="0017399F">
            <w:pPr>
              <w:pBdr>
                <w:bottom w:val="single" w:sz="2" w:space="1" w:color="auto"/>
              </w:pBdr>
              <w:bidi/>
              <w:jc w:val="both"/>
              <w:rPr>
                <w:rFonts w:ascii="Traditional Arabic" w:hAnsi="Traditional Arabic" w:cs="Traditional Arabic"/>
                <w:b/>
                <w:sz w:val="30"/>
                <w:szCs w:val="30"/>
                <w:vertAlign w:val="superscript"/>
              </w:rPr>
            </w:pPr>
            <w:r w:rsidRPr="009630F0">
              <w:rPr>
                <w:rFonts w:ascii="Traditional Arabic" w:hAnsi="Traditional Arabic" w:cs="Traditional Arabic"/>
                <w:b/>
                <w:bCs/>
                <w:sz w:val="30"/>
                <w:szCs w:val="30"/>
                <w:rtl/>
              </w:rPr>
              <w:t xml:space="preserve">القيمة المكتتب بها بسعر </w:t>
            </w:r>
            <w:r w:rsidR="008D6D27">
              <w:rPr>
                <w:rFonts w:ascii="Traditional Arabic" w:hAnsi="Traditional Arabic" w:cs="Traditional Arabic" w:hint="cs"/>
                <w:b/>
                <w:bCs/>
                <w:sz w:val="30"/>
                <w:szCs w:val="30"/>
                <w:rtl/>
              </w:rPr>
              <w:t>الطرح</w:t>
            </w:r>
            <w:r w:rsidR="008D6D27" w:rsidRPr="009630F0">
              <w:rPr>
                <w:rFonts w:ascii="Traditional Arabic" w:hAnsi="Traditional Arabic" w:cs="Traditional Arabic"/>
                <w:b/>
                <w:bCs/>
                <w:sz w:val="30"/>
                <w:szCs w:val="30"/>
                <w:rtl/>
              </w:rPr>
              <w:t xml:space="preserve"> </w:t>
            </w:r>
            <w:r w:rsidRPr="009630F0">
              <w:rPr>
                <w:rFonts w:ascii="Traditional Arabic" w:hAnsi="Traditional Arabic" w:cs="Traditional Arabic"/>
                <w:b/>
                <w:bCs/>
                <w:sz w:val="30"/>
                <w:szCs w:val="30"/>
                <w:rtl/>
              </w:rPr>
              <w:t>(ر.ع)</w:t>
            </w:r>
            <w:r w:rsidR="006A163E">
              <w:rPr>
                <w:rFonts w:ascii="Traditional Arabic" w:hAnsi="Traditional Arabic" w:cs="Traditional Arabic" w:hint="cs"/>
                <w:b/>
                <w:bCs/>
                <w:sz w:val="30"/>
                <w:szCs w:val="30"/>
                <w:vertAlign w:val="superscript"/>
                <w:rtl/>
              </w:rPr>
              <w:t>(١)</w:t>
            </w:r>
          </w:p>
        </w:tc>
        <w:tc>
          <w:tcPr>
            <w:tcW w:w="1107" w:type="pct"/>
            <w:vAlign w:val="bottom"/>
            <w:hideMark/>
          </w:tcPr>
          <w:p w14:paraId="54270647" w14:textId="77777777" w:rsidR="00077F49" w:rsidRPr="00CA4D73" w:rsidRDefault="007D5014" w:rsidP="005E5107">
            <w:pPr>
              <w:pBdr>
                <w:bottom w:val="single" w:sz="2" w:space="1" w:color="auto"/>
              </w:pBdr>
              <w:bidi/>
              <w:jc w:val="both"/>
              <w:rPr>
                <w:rFonts w:ascii="Traditional Arabic" w:hAnsi="Traditional Arabic" w:cs="Traditional Arabic"/>
                <w:bCs/>
                <w:sz w:val="30"/>
                <w:szCs w:val="30"/>
                <w:vertAlign w:val="superscript"/>
                <w:rtl/>
              </w:rPr>
            </w:pPr>
            <w:r w:rsidRPr="009630F0">
              <w:rPr>
                <w:rFonts w:ascii="Traditional Arabic" w:hAnsi="Traditional Arabic" w:cs="Traditional Arabic"/>
                <w:bCs/>
                <w:sz w:val="30"/>
                <w:szCs w:val="30"/>
                <w:rtl/>
              </w:rPr>
              <w:t xml:space="preserve">عدد الأسهم المكتتب بها بسعر </w:t>
            </w:r>
            <w:r w:rsidR="008D6D27">
              <w:rPr>
                <w:rFonts w:ascii="Traditional Arabic" w:hAnsi="Traditional Arabic" w:cs="Traditional Arabic" w:hint="cs"/>
                <w:bCs/>
                <w:sz w:val="30"/>
                <w:szCs w:val="30"/>
                <w:rtl/>
              </w:rPr>
              <w:t>الطرح</w:t>
            </w:r>
            <w:r w:rsidR="006A163E">
              <w:rPr>
                <w:rFonts w:ascii="Traditional Arabic" w:hAnsi="Traditional Arabic" w:cs="Traditional Arabic" w:hint="cs"/>
                <w:bCs/>
                <w:sz w:val="30"/>
                <w:szCs w:val="30"/>
                <w:vertAlign w:val="superscript"/>
                <w:rtl/>
              </w:rPr>
              <w:t>(١)</w:t>
            </w:r>
          </w:p>
        </w:tc>
        <w:tc>
          <w:tcPr>
            <w:tcW w:w="1260" w:type="pct"/>
            <w:vAlign w:val="bottom"/>
            <w:hideMark/>
          </w:tcPr>
          <w:p w14:paraId="7828B8BE" w14:textId="77777777" w:rsidR="00077F49" w:rsidRPr="00EB5BCF" w:rsidRDefault="00305132" w:rsidP="0017399F">
            <w:pPr>
              <w:pBdr>
                <w:bottom w:val="single" w:sz="2" w:space="1" w:color="auto"/>
              </w:pBdr>
              <w:bidi/>
              <w:jc w:val="both"/>
              <w:rPr>
                <w:rFonts w:ascii="Traditional Arabic" w:hAnsi="Traditional Arabic" w:cs="Traditional Arabic"/>
                <w:bCs/>
                <w:sz w:val="30"/>
                <w:szCs w:val="30"/>
              </w:rPr>
            </w:pPr>
            <w:r>
              <w:rPr>
                <w:rFonts w:ascii="Traditional Arabic" w:hAnsi="Traditional Arabic" w:cs="Traditional Arabic" w:hint="cs"/>
                <w:bCs/>
                <w:sz w:val="30"/>
                <w:szCs w:val="30"/>
                <w:rtl/>
              </w:rPr>
              <w:t>أ</w:t>
            </w:r>
            <w:r w:rsidRPr="00EB5BCF">
              <w:rPr>
                <w:rFonts w:ascii="Traditional Arabic" w:hAnsi="Traditional Arabic" w:cs="Traditional Arabic"/>
                <w:bCs/>
                <w:sz w:val="30"/>
                <w:szCs w:val="30"/>
                <w:rtl/>
              </w:rPr>
              <w:t>سم</w:t>
            </w:r>
            <w:r w:rsidRPr="00EB5BCF">
              <w:rPr>
                <w:rFonts w:ascii="Traditional Arabic" w:hAnsi="Traditional Arabic" w:cs="Traditional Arabic" w:hint="eastAsia"/>
                <w:bCs/>
                <w:sz w:val="30"/>
                <w:szCs w:val="30"/>
                <w:rtl/>
              </w:rPr>
              <w:t>اء</w:t>
            </w:r>
            <w:r w:rsidRPr="00EB5BCF">
              <w:rPr>
                <w:rFonts w:ascii="Traditional Arabic" w:hAnsi="Traditional Arabic" w:cs="Traditional Arabic"/>
                <w:bCs/>
                <w:sz w:val="30"/>
                <w:szCs w:val="30"/>
                <w:rtl/>
              </w:rPr>
              <w:t xml:space="preserve"> </w:t>
            </w:r>
            <w:r w:rsidR="00490E8C" w:rsidRPr="00EB5BCF">
              <w:rPr>
                <w:rFonts w:ascii="Traditional Arabic" w:hAnsi="Traditional Arabic" w:cs="Traditional Arabic"/>
                <w:bCs/>
                <w:sz w:val="30"/>
                <w:szCs w:val="30"/>
                <w:rtl/>
              </w:rPr>
              <w:t>المستثمر</w:t>
            </w:r>
            <w:r w:rsidR="00DF0C02" w:rsidRPr="00EB5BCF">
              <w:rPr>
                <w:rFonts w:ascii="Traditional Arabic" w:hAnsi="Traditional Arabic" w:cs="Traditional Arabic" w:hint="eastAsia"/>
                <w:bCs/>
                <w:sz w:val="30"/>
                <w:szCs w:val="30"/>
                <w:rtl/>
              </w:rPr>
              <w:t>ي</w:t>
            </w:r>
            <w:r w:rsidR="00490E8C" w:rsidRPr="00EB5BCF">
              <w:rPr>
                <w:rFonts w:ascii="Traditional Arabic" w:hAnsi="Traditional Arabic" w:cs="Traditional Arabic"/>
                <w:bCs/>
                <w:sz w:val="30"/>
                <w:szCs w:val="30"/>
                <w:rtl/>
              </w:rPr>
              <w:t xml:space="preserve">ن </w:t>
            </w:r>
            <w:r w:rsidR="00DF0C02" w:rsidRPr="00EB5BCF">
              <w:rPr>
                <w:rFonts w:ascii="Traditional Arabic" w:hAnsi="Traditional Arabic" w:cs="Traditional Arabic" w:hint="eastAsia"/>
                <w:bCs/>
                <w:sz w:val="30"/>
                <w:szCs w:val="30"/>
                <w:rtl/>
              </w:rPr>
              <w:t>الرئيسيين</w:t>
            </w:r>
          </w:p>
        </w:tc>
      </w:tr>
      <w:tr w:rsidR="00FF4D70" w:rsidRPr="00EB5BCF" w14:paraId="60399D77" w14:textId="77777777" w:rsidTr="00FF4D70">
        <w:trPr>
          <w:trHeight w:val="414"/>
        </w:trPr>
        <w:tc>
          <w:tcPr>
            <w:tcW w:w="953" w:type="pct"/>
            <w:hideMark/>
          </w:tcPr>
          <w:p w14:paraId="4E7A4C02" w14:textId="77777777" w:rsidR="00FF4D70" w:rsidRPr="00CB188B" w:rsidRDefault="001A3E61" w:rsidP="00FF4D70">
            <w:pPr>
              <w:jc w:val="right"/>
              <w:rPr>
                <w:rFonts w:ascii="Traditional Arabic" w:hAnsi="Traditional Arabic" w:cs="Traditional Arabic"/>
                <w:b/>
                <w:sz w:val="30"/>
                <w:szCs w:val="30"/>
              </w:rPr>
            </w:pPr>
            <w:r w:rsidRPr="00CB188B">
              <w:rPr>
                <w:rFonts w:ascii="Traditional Arabic" w:hAnsi="Traditional Arabic" w:cs="Traditional Arabic"/>
                <w:b/>
                <w:sz w:val="30"/>
                <w:szCs w:val="30"/>
                <w:rtl/>
              </w:rPr>
              <w:t>20%</w:t>
            </w:r>
          </w:p>
        </w:tc>
        <w:tc>
          <w:tcPr>
            <w:tcW w:w="1680" w:type="pct"/>
            <w:hideMark/>
          </w:tcPr>
          <w:p w14:paraId="44C2D91E" w14:textId="3C7A7606" w:rsidR="00FF4D70" w:rsidRPr="00CB188B" w:rsidRDefault="00D41767" w:rsidP="00FF4D70">
            <w:pPr>
              <w:jc w:val="right"/>
              <w:rPr>
                <w:rFonts w:ascii="Traditional Arabic" w:hAnsi="Traditional Arabic" w:cs="Traditional Arabic"/>
                <w:b/>
                <w:sz w:val="30"/>
                <w:szCs w:val="30"/>
                <w:rtl/>
              </w:rPr>
            </w:pPr>
            <w:r>
              <w:rPr>
                <w:rFonts w:ascii="Traditional Arabic" w:hAnsi="Traditional Arabic" w:cs="Traditional Arabic" w:hint="cs"/>
                <w:b/>
                <w:sz w:val="30"/>
                <w:szCs w:val="30"/>
                <w:rtl/>
              </w:rPr>
              <w:t>25.</w:t>
            </w:r>
            <w:r w:rsidR="008A54FE">
              <w:rPr>
                <w:rFonts w:ascii="Traditional Arabic" w:hAnsi="Traditional Arabic" w:cs="Traditional Arabic" w:hint="cs"/>
                <w:b/>
                <w:sz w:val="30"/>
                <w:szCs w:val="30"/>
                <w:rtl/>
              </w:rPr>
              <w:t>627</w:t>
            </w:r>
            <w:r w:rsidR="00196E3F">
              <w:rPr>
                <w:rFonts w:ascii="Traditional Arabic" w:hAnsi="Traditional Arabic" w:cs="Traditional Arabic" w:hint="cs"/>
                <w:b/>
                <w:sz w:val="30"/>
                <w:szCs w:val="30"/>
                <w:rtl/>
              </w:rPr>
              <w:t>.021</w:t>
            </w:r>
            <w:r w:rsidR="008A4272">
              <w:rPr>
                <w:rFonts w:ascii="Traditional Arabic" w:hAnsi="Traditional Arabic" w:cs="Traditional Arabic"/>
                <w:b/>
                <w:sz w:val="30"/>
                <w:szCs w:val="30"/>
              </w:rPr>
              <w:t>.</w:t>
            </w:r>
            <w:r w:rsidR="008A4272">
              <w:rPr>
                <w:rFonts w:ascii="Traditional Arabic" w:hAnsi="Traditional Arabic" w:cs="Traditional Arabic" w:hint="cs"/>
                <w:b/>
                <w:sz w:val="30"/>
                <w:szCs w:val="30"/>
                <w:rtl/>
              </w:rPr>
              <w:t>833</w:t>
            </w:r>
          </w:p>
        </w:tc>
        <w:tc>
          <w:tcPr>
            <w:tcW w:w="1107" w:type="pct"/>
            <w:hideMark/>
          </w:tcPr>
          <w:p w14:paraId="02103F6D" w14:textId="77777777" w:rsidR="00FF4D70" w:rsidRPr="00CB188B" w:rsidRDefault="00C0383E" w:rsidP="00FF4D70">
            <w:pPr>
              <w:tabs>
                <w:tab w:val="right" w:pos="3543"/>
              </w:tabs>
              <w:jc w:val="right"/>
              <w:rPr>
                <w:rFonts w:ascii="Traditional Arabic" w:hAnsi="Traditional Arabic" w:cs="Traditional Arabic"/>
                <w:b/>
                <w:sz w:val="30"/>
                <w:szCs w:val="30"/>
              </w:rPr>
            </w:pPr>
            <w:r w:rsidRPr="00CB188B">
              <w:rPr>
                <w:rFonts w:ascii="Traditional Arabic" w:hAnsi="Traditional Arabic" w:cs="Traditional Arabic"/>
                <w:b/>
                <w:sz w:val="30"/>
                <w:szCs w:val="30"/>
                <w:rtl/>
              </w:rPr>
              <w:t>208.349.771</w:t>
            </w:r>
          </w:p>
        </w:tc>
        <w:tc>
          <w:tcPr>
            <w:tcW w:w="1260" w:type="pct"/>
            <w:hideMark/>
          </w:tcPr>
          <w:p w14:paraId="445DDED0" w14:textId="77777777" w:rsidR="00FF4D70" w:rsidRPr="00EB5BCF" w:rsidRDefault="00A939DE" w:rsidP="00FF4D70">
            <w:pPr>
              <w:tabs>
                <w:tab w:val="left" w:leader="dot" w:pos="4820"/>
              </w:tabs>
              <w:bidi/>
              <w:jc w:val="both"/>
              <w:rPr>
                <w:rFonts w:ascii="Traditional Arabic" w:hAnsi="Traditional Arabic" w:cs="Traditional Arabic"/>
                <w:sz w:val="30"/>
                <w:szCs w:val="30"/>
                <w:rtl/>
              </w:rPr>
            </w:pPr>
            <w:r w:rsidRPr="009630F0">
              <w:rPr>
                <w:rFonts w:ascii="Traditional Arabic" w:hAnsi="Traditional Arabic" w:cs="Traditional Arabic" w:hint="eastAsia"/>
                <w:b/>
                <w:sz w:val="30"/>
                <w:szCs w:val="30"/>
                <w:rtl/>
              </w:rPr>
              <w:t>فالكون</w:t>
            </w:r>
            <w:r w:rsidRPr="009630F0">
              <w:rPr>
                <w:rFonts w:ascii="Traditional Arabic" w:hAnsi="Traditional Arabic" w:cs="Traditional Arabic"/>
                <w:b/>
                <w:sz w:val="30"/>
                <w:szCs w:val="30"/>
                <w:rtl/>
              </w:rPr>
              <w:t xml:space="preserve"> </w:t>
            </w:r>
            <w:r w:rsidRPr="009630F0">
              <w:rPr>
                <w:rFonts w:ascii="Traditional Arabic" w:hAnsi="Traditional Arabic" w:cs="Traditional Arabic" w:hint="eastAsia"/>
                <w:b/>
                <w:sz w:val="30"/>
                <w:szCs w:val="30"/>
                <w:rtl/>
              </w:rPr>
              <w:t>للاستثمار</w:t>
            </w:r>
            <w:r w:rsidRPr="009630F0">
              <w:rPr>
                <w:rFonts w:ascii="Traditional Arabic" w:hAnsi="Traditional Arabic" w:cs="Traditional Arabic"/>
                <w:b/>
                <w:sz w:val="30"/>
                <w:szCs w:val="30"/>
                <w:rtl/>
              </w:rPr>
              <w:t xml:space="preserve"> </w:t>
            </w:r>
            <w:r>
              <w:rPr>
                <w:rFonts w:ascii="Traditional Arabic" w:hAnsi="Traditional Arabic" w:cs="Traditional Arabic" w:hint="cs"/>
                <w:b/>
                <w:sz w:val="30"/>
                <w:szCs w:val="30"/>
                <w:rtl/>
              </w:rPr>
              <w:t>ذ</w:t>
            </w:r>
            <w:r w:rsidRPr="009630F0">
              <w:rPr>
                <w:rFonts w:ascii="Traditional Arabic" w:hAnsi="Traditional Arabic" w:cs="Traditional Arabic"/>
                <w:b/>
                <w:sz w:val="30"/>
                <w:szCs w:val="30"/>
                <w:rtl/>
              </w:rPr>
              <w:t>.م.م</w:t>
            </w:r>
            <w:r>
              <w:rPr>
                <w:rFonts w:ascii="Traditional Arabic" w:hAnsi="Traditional Arabic" w:cs="Traditional Arabic" w:hint="cs"/>
                <w:b/>
                <w:sz w:val="30"/>
                <w:szCs w:val="30"/>
                <w:vertAlign w:val="superscript"/>
                <w:rtl/>
              </w:rPr>
              <w:t>(</w:t>
            </w:r>
            <w:r w:rsidRPr="009630F0">
              <w:rPr>
                <w:rFonts w:ascii="Traditional Arabic" w:hAnsi="Traditional Arabic" w:cs="Traditional Arabic" w:hint="cs"/>
                <w:b/>
                <w:sz w:val="30"/>
                <w:szCs w:val="30"/>
                <w:vertAlign w:val="superscript"/>
                <w:rtl/>
              </w:rPr>
              <w:t>2)</w:t>
            </w:r>
          </w:p>
        </w:tc>
      </w:tr>
      <w:tr w:rsidR="00FF4D70" w:rsidRPr="00494377" w14:paraId="4C36F10B" w14:textId="77777777" w:rsidTr="00FF4D70">
        <w:trPr>
          <w:trHeight w:val="540"/>
        </w:trPr>
        <w:tc>
          <w:tcPr>
            <w:tcW w:w="953" w:type="pct"/>
            <w:hideMark/>
          </w:tcPr>
          <w:p w14:paraId="1D5ACF26" w14:textId="77777777" w:rsidR="00FF4D70" w:rsidRPr="00CB188B" w:rsidRDefault="001A3E61" w:rsidP="00FF4D70">
            <w:pPr>
              <w:jc w:val="right"/>
              <w:rPr>
                <w:rFonts w:ascii="Traditional Arabic" w:hAnsi="Traditional Arabic" w:cs="Traditional Arabic"/>
                <w:b/>
                <w:sz w:val="30"/>
                <w:szCs w:val="30"/>
              </w:rPr>
            </w:pPr>
            <w:r w:rsidRPr="00CB188B">
              <w:rPr>
                <w:rFonts w:ascii="Traditional Arabic" w:hAnsi="Traditional Arabic" w:cs="Traditional Arabic"/>
                <w:b/>
                <w:sz w:val="30"/>
                <w:szCs w:val="30"/>
                <w:rtl/>
              </w:rPr>
              <w:t>10%</w:t>
            </w:r>
          </w:p>
        </w:tc>
        <w:tc>
          <w:tcPr>
            <w:tcW w:w="1680" w:type="pct"/>
            <w:hideMark/>
          </w:tcPr>
          <w:p w14:paraId="3FC9B461" w14:textId="68BFB843" w:rsidR="00FF4D70" w:rsidRPr="00240371" w:rsidRDefault="004C4E53" w:rsidP="00FF4D70">
            <w:pPr>
              <w:jc w:val="right"/>
              <w:rPr>
                <w:rFonts w:ascii="Traditional Arabic" w:hAnsi="Traditional Arabic" w:cs="Traditional Arabic"/>
                <w:b/>
                <w:sz w:val="30"/>
                <w:szCs w:val="30"/>
                <w:lang w:val="en-GB"/>
              </w:rPr>
            </w:pPr>
            <w:r>
              <w:rPr>
                <w:rFonts w:ascii="Traditional Arabic" w:hAnsi="Traditional Arabic" w:cs="Traditional Arabic" w:hint="cs"/>
                <w:b/>
                <w:sz w:val="30"/>
                <w:szCs w:val="30"/>
                <w:rtl/>
              </w:rPr>
              <w:t>12.</w:t>
            </w:r>
            <w:r w:rsidR="00341B4A">
              <w:rPr>
                <w:rFonts w:ascii="Traditional Arabic" w:hAnsi="Traditional Arabic" w:cs="Traditional Arabic" w:hint="cs"/>
                <w:b/>
                <w:sz w:val="30"/>
                <w:szCs w:val="30"/>
                <w:rtl/>
              </w:rPr>
              <w:t>813.</w:t>
            </w:r>
            <w:r w:rsidR="00096BC2">
              <w:rPr>
                <w:rFonts w:ascii="Traditional Arabic" w:hAnsi="Traditional Arabic" w:cs="Traditional Arabic" w:hint="cs"/>
                <w:b/>
                <w:sz w:val="30"/>
                <w:szCs w:val="30"/>
                <w:rtl/>
              </w:rPr>
              <w:t>510</w:t>
            </w:r>
            <w:r w:rsidR="00571FA2">
              <w:rPr>
                <w:rFonts w:ascii="Traditional Arabic" w:hAnsi="Traditional Arabic" w:cs="Traditional Arabic"/>
                <w:b/>
                <w:sz w:val="30"/>
                <w:szCs w:val="30"/>
              </w:rPr>
              <w:t>.</w:t>
            </w:r>
            <w:r w:rsidR="00F56C33">
              <w:rPr>
                <w:rFonts w:ascii="Traditional Arabic" w:hAnsi="Traditional Arabic" w:cs="Traditional Arabic" w:hint="cs"/>
                <w:b/>
                <w:sz w:val="30"/>
                <w:szCs w:val="30"/>
                <w:rtl/>
              </w:rPr>
              <w:t>978</w:t>
            </w:r>
          </w:p>
        </w:tc>
        <w:tc>
          <w:tcPr>
            <w:tcW w:w="1107" w:type="pct"/>
            <w:hideMark/>
          </w:tcPr>
          <w:p w14:paraId="3819C355" w14:textId="77777777" w:rsidR="00FF4D70" w:rsidRPr="00CB188B" w:rsidRDefault="00C0383E" w:rsidP="00FF4D70">
            <w:pPr>
              <w:jc w:val="right"/>
              <w:rPr>
                <w:rFonts w:ascii="Traditional Arabic" w:hAnsi="Traditional Arabic" w:cs="Traditional Arabic"/>
                <w:b/>
                <w:sz w:val="30"/>
                <w:szCs w:val="30"/>
                <w:rtl/>
              </w:rPr>
            </w:pPr>
            <w:r w:rsidRPr="00CB188B">
              <w:rPr>
                <w:rFonts w:ascii="Traditional Arabic" w:hAnsi="Traditional Arabic" w:cs="Traditional Arabic"/>
                <w:b/>
                <w:sz w:val="30"/>
                <w:szCs w:val="30"/>
                <w:rtl/>
              </w:rPr>
              <w:t>104.174.886</w:t>
            </w:r>
          </w:p>
        </w:tc>
        <w:tc>
          <w:tcPr>
            <w:tcW w:w="1260" w:type="pct"/>
            <w:hideMark/>
          </w:tcPr>
          <w:p w14:paraId="4F676267" w14:textId="4DF05A45" w:rsidR="00FF4D70" w:rsidRPr="00EB5BCF" w:rsidRDefault="00602951" w:rsidP="00FF4D70">
            <w:pPr>
              <w:tabs>
                <w:tab w:val="left" w:leader="dot" w:pos="4820"/>
              </w:tabs>
              <w:bidi/>
              <w:jc w:val="both"/>
              <w:rPr>
                <w:rFonts w:ascii="Traditional Arabic" w:hAnsi="Traditional Arabic" w:cs="Traditional Arabic"/>
                <w:sz w:val="30"/>
                <w:szCs w:val="30"/>
              </w:rPr>
            </w:pPr>
            <w:r w:rsidRPr="00785453">
              <w:rPr>
                <w:rFonts w:ascii="Traditional Arabic" w:hAnsi="Traditional Arabic" w:cs="Traditional Arabic" w:hint="eastAsia"/>
                <w:sz w:val="28"/>
                <w:szCs w:val="28"/>
                <w:rtl/>
              </w:rPr>
              <w:t>المريخ</w:t>
            </w:r>
            <w:r w:rsidRPr="00785453">
              <w:rPr>
                <w:rFonts w:ascii="Traditional Arabic" w:hAnsi="Traditional Arabic" w:cs="Traditional Arabic"/>
                <w:sz w:val="28"/>
                <w:szCs w:val="28"/>
                <w:rtl/>
              </w:rPr>
              <w:t xml:space="preserve"> للتنمية والاستثمار </w:t>
            </w:r>
            <w:r w:rsidRPr="00785453">
              <w:rPr>
                <w:rFonts w:ascii="Traditional Arabic" w:hAnsi="Traditional Arabic" w:cs="Traditional Arabic" w:hint="eastAsia"/>
                <w:sz w:val="28"/>
                <w:szCs w:val="28"/>
                <w:rtl/>
              </w:rPr>
              <w:t>ش</w:t>
            </w:r>
            <w:r w:rsidRPr="00785453">
              <w:rPr>
                <w:rFonts w:ascii="Traditional Arabic" w:hAnsi="Traditional Arabic" w:cs="Traditional Arabic" w:hint="cs"/>
                <w:sz w:val="28"/>
                <w:szCs w:val="28"/>
                <w:rtl/>
              </w:rPr>
              <w:t>.</w:t>
            </w:r>
            <w:r w:rsidRPr="00785453">
              <w:rPr>
                <w:rFonts w:ascii="Traditional Arabic" w:hAnsi="Traditional Arabic" w:cs="Traditional Arabic" w:hint="eastAsia"/>
                <w:sz w:val="28"/>
                <w:szCs w:val="28"/>
                <w:rtl/>
              </w:rPr>
              <w:t>م</w:t>
            </w:r>
            <w:r w:rsidRPr="00785453">
              <w:rPr>
                <w:rFonts w:ascii="Traditional Arabic" w:hAnsi="Traditional Arabic" w:cs="Traditional Arabic" w:hint="cs"/>
                <w:sz w:val="28"/>
                <w:szCs w:val="28"/>
                <w:rtl/>
              </w:rPr>
              <w:t>.</w:t>
            </w:r>
            <w:r w:rsidRPr="00785453">
              <w:rPr>
                <w:rFonts w:ascii="Traditional Arabic" w:hAnsi="Traditional Arabic" w:cs="Traditional Arabic" w:hint="eastAsia"/>
                <w:sz w:val="28"/>
                <w:szCs w:val="28"/>
                <w:rtl/>
              </w:rPr>
              <w:t>م</w:t>
            </w:r>
            <w:r w:rsidDel="00602951">
              <w:rPr>
                <w:rFonts w:ascii="Traditional Arabic" w:hAnsi="Traditional Arabic" w:cs="Traditional Arabic"/>
                <w:b/>
                <w:sz w:val="30"/>
                <w:szCs w:val="30"/>
              </w:rPr>
              <w:t xml:space="preserve"> </w:t>
            </w:r>
            <w:r w:rsidR="000F47E6">
              <w:rPr>
                <w:rFonts w:ascii="Traditional Arabic" w:hAnsi="Traditional Arabic" w:cs="Traditional Arabic" w:hint="cs"/>
                <w:b/>
                <w:sz w:val="30"/>
                <w:szCs w:val="30"/>
                <w:vertAlign w:val="superscript"/>
                <w:rtl/>
              </w:rPr>
              <w:t>(3)</w:t>
            </w:r>
          </w:p>
        </w:tc>
      </w:tr>
      <w:tr w:rsidR="00FF4D70" w:rsidRPr="00EB5BCF" w14:paraId="6BB351C8" w14:textId="77777777" w:rsidTr="00FF4D70">
        <w:tc>
          <w:tcPr>
            <w:tcW w:w="953" w:type="pct"/>
          </w:tcPr>
          <w:p w14:paraId="72CA14DA" w14:textId="77777777" w:rsidR="00FF4D70" w:rsidRPr="00CB188B" w:rsidRDefault="001A3E61" w:rsidP="00FF4D70">
            <w:pPr>
              <w:pBdr>
                <w:bottom w:val="double" w:sz="4" w:space="1" w:color="auto"/>
              </w:pBdr>
              <w:jc w:val="right"/>
              <w:rPr>
                <w:rFonts w:ascii="Traditional Arabic" w:hAnsi="Traditional Arabic" w:cs="Traditional Arabic"/>
                <w:b/>
                <w:sz w:val="30"/>
                <w:szCs w:val="30"/>
              </w:rPr>
            </w:pPr>
            <w:r w:rsidRPr="00CB188B">
              <w:rPr>
                <w:rFonts w:ascii="Traditional Arabic" w:hAnsi="Traditional Arabic" w:cs="Traditional Arabic"/>
                <w:b/>
                <w:sz w:val="30"/>
                <w:szCs w:val="30"/>
                <w:rtl/>
              </w:rPr>
              <w:t>30%</w:t>
            </w:r>
          </w:p>
        </w:tc>
        <w:tc>
          <w:tcPr>
            <w:tcW w:w="1680" w:type="pct"/>
          </w:tcPr>
          <w:p w14:paraId="4D8ED193" w14:textId="18C3E5AE" w:rsidR="00FF4D70" w:rsidRPr="00240371" w:rsidRDefault="0030048D" w:rsidP="00FF4D70">
            <w:pPr>
              <w:pBdr>
                <w:bottom w:val="double" w:sz="4" w:space="1" w:color="auto"/>
              </w:pBdr>
              <w:tabs>
                <w:tab w:val="decimal" w:pos="0"/>
              </w:tabs>
              <w:jc w:val="right"/>
              <w:rPr>
                <w:rFonts w:ascii="Traditional Arabic" w:hAnsi="Traditional Arabic" w:cs="Traditional Arabic"/>
                <w:b/>
                <w:sz w:val="30"/>
                <w:szCs w:val="30"/>
                <w:rtl/>
                <w:lang w:val="en-GB"/>
              </w:rPr>
            </w:pPr>
            <w:r>
              <w:rPr>
                <w:rFonts w:ascii="Traditional Arabic" w:hAnsi="Traditional Arabic" w:cs="Traditional Arabic" w:hint="cs"/>
                <w:b/>
                <w:sz w:val="30"/>
                <w:szCs w:val="30"/>
                <w:rtl/>
              </w:rPr>
              <w:t>38.</w:t>
            </w:r>
            <w:r w:rsidR="00807D2E">
              <w:rPr>
                <w:rFonts w:ascii="Traditional Arabic" w:hAnsi="Traditional Arabic" w:cs="Traditional Arabic" w:hint="cs"/>
                <w:b/>
                <w:sz w:val="30"/>
                <w:szCs w:val="30"/>
                <w:rtl/>
              </w:rPr>
              <w:t>440</w:t>
            </w:r>
            <w:r w:rsidR="001235E3">
              <w:rPr>
                <w:rFonts w:ascii="Traditional Arabic" w:hAnsi="Traditional Arabic" w:cs="Traditional Arabic" w:hint="cs"/>
                <w:b/>
                <w:sz w:val="30"/>
                <w:szCs w:val="30"/>
                <w:rtl/>
              </w:rPr>
              <w:t>.533</w:t>
            </w:r>
          </w:p>
        </w:tc>
        <w:tc>
          <w:tcPr>
            <w:tcW w:w="1107" w:type="pct"/>
          </w:tcPr>
          <w:p w14:paraId="7B0AE145" w14:textId="77777777" w:rsidR="00FF4D70" w:rsidRPr="00CB188B" w:rsidRDefault="00C0383E" w:rsidP="00FF4D70">
            <w:pPr>
              <w:pBdr>
                <w:bottom w:val="double" w:sz="4" w:space="1" w:color="auto"/>
              </w:pBdr>
              <w:jc w:val="right"/>
              <w:rPr>
                <w:rFonts w:ascii="Traditional Arabic" w:hAnsi="Traditional Arabic" w:cs="Traditional Arabic"/>
                <w:b/>
                <w:sz w:val="30"/>
                <w:szCs w:val="30"/>
              </w:rPr>
            </w:pPr>
            <w:r w:rsidRPr="00CB188B">
              <w:rPr>
                <w:rFonts w:ascii="Traditional Arabic" w:hAnsi="Traditional Arabic" w:cs="Traditional Arabic"/>
                <w:b/>
                <w:sz w:val="30"/>
                <w:szCs w:val="30"/>
                <w:rtl/>
              </w:rPr>
              <w:t>312.524.657</w:t>
            </w:r>
          </w:p>
        </w:tc>
        <w:tc>
          <w:tcPr>
            <w:tcW w:w="1260" w:type="pct"/>
            <w:vAlign w:val="bottom"/>
          </w:tcPr>
          <w:p w14:paraId="6B711158" w14:textId="77777777" w:rsidR="00FF4D70" w:rsidRPr="00EB5BCF" w:rsidRDefault="00FF4D70" w:rsidP="00FF4D70">
            <w:pPr>
              <w:tabs>
                <w:tab w:val="left" w:leader="dot" w:pos="4180"/>
              </w:tabs>
              <w:bidi/>
              <w:jc w:val="both"/>
              <w:rPr>
                <w:rFonts w:ascii="Traditional Arabic" w:hAnsi="Traditional Arabic" w:cs="Traditional Arabic"/>
                <w:b/>
                <w:bCs/>
                <w:sz w:val="30"/>
                <w:szCs w:val="30"/>
              </w:rPr>
            </w:pPr>
            <w:r w:rsidRPr="00EB5BCF">
              <w:rPr>
                <w:rFonts w:ascii="Traditional Arabic" w:hAnsi="Traditional Arabic" w:cs="Traditional Arabic" w:hint="eastAsia"/>
                <w:b/>
                <w:bCs/>
                <w:sz w:val="30"/>
                <w:szCs w:val="30"/>
                <w:rtl/>
              </w:rPr>
              <w:t>المجموع</w:t>
            </w:r>
          </w:p>
        </w:tc>
      </w:tr>
    </w:tbl>
    <w:p w14:paraId="59554663" w14:textId="77777777" w:rsidR="001A3E61" w:rsidRDefault="001A3E61" w:rsidP="00771058">
      <w:pPr>
        <w:keepNext/>
        <w:bidi/>
        <w:jc w:val="both"/>
        <w:rPr>
          <w:rFonts w:ascii="Traditional Arabic" w:hAnsi="Traditional Arabic" w:cs="Traditional Arabic"/>
          <w:b/>
          <w:sz w:val="30"/>
          <w:szCs w:val="30"/>
          <w:rtl/>
          <w:lang w:val="en-GB"/>
        </w:rPr>
      </w:pPr>
    </w:p>
    <w:p w14:paraId="377A30FD" w14:textId="77777777" w:rsidR="006A163E" w:rsidRDefault="006A163E" w:rsidP="001A3E61">
      <w:pPr>
        <w:keepNext/>
        <w:bidi/>
        <w:jc w:val="both"/>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5B61866" w14:textId="77777777" w:rsidR="006A163E" w:rsidRDefault="00D40847" w:rsidP="00CA4D73">
      <w:pPr>
        <w:keepNext/>
        <w:bidi/>
        <w:jc w:val="both"/>
        <w:rPr>
          <w:rFonts w:ascii="Traditional Arabic" w:hAnsi="Traditional Arabic" w:cs="Traditional Arabic"/>
          <w:b/>
          <w:sz w:val="24"/>
          <w:lang w:val="en-GB"/>
        </w:rPr>
      </w:pPr>
      <w:r w:rsidRPr="00D925C8">
        <w:rPr>
          <w:rFonts w:ascii="Traditional Arabic" w:hAnsi="Traditional Arabic" w:cs="Traditional Arabic" w:hint="cs"/>
          <w:b/>
          <w:sz w:val="24"/>
          <w:rtl/>
          <w:lang w:val="en-GB"/>
        </w:rPr>
        <w:t xml:space="preserve">(١) </w:t>
      </w:r>
      <w:r w:rsidRPr="00D925C8">
        <w:rPr>
          <w:rFonts w:ascii="Traditional Arabic" w:hAnsi="Traditional Arabic" w:cs="Traditional Arabic" w:hint="eastAsia"/>
          <w:b/>
          <w:sz w:val="24"/>
          <w:rtl/>
          <w:lang w:val="en-GB"/>
        </w:rPr>
        <w:t>على</w:t>
      </w:r>
      <w:r w:rsidRPr="00D925C8">
        <w:rPr>
          <w:rFonts w:ascii="Traditional Arabic" w:hAnsi="Traditional Arabic" w:cs="Traditional Arabic"/>
          <w:b/>
          <w:sz w:val="24"/>
          <w:rtl/>
          <w:lang w:val="en-GB"/>
        </w:rPr>
        <w:t xml:space="preserve"> </w:t>
      </w:r>
      <w:r w:rsidRPr="00D925C8">
        <w:rPr>
          <w:rFonts w:ascii="Traditional Arabic" w:hAnsi="Traditional Arabic" w:cs="Traditional Arabic" w:hint="eastAsia"/>
          <w:b/>
          <w:sz w:val="24"/>
          <w:rtl/>
          <w:lang w:val="en-GB"/>
        </w:rPr>
        <w:t>افتراض</w:t>
      </w:r>
      <w:r w:rsidRPr="00D925C8">
        <w:rPr>
          <w:rFonts w:ascii="Traditional Arabic" w:hAnsi="Traditional Arabic" w:cs="Traditional Arabic"/>
          <w:b/>
          <w:sz w:val="24"/>
          <w:rtl/>
          <w:lang w:val="en-GB"/>
        </w:rPr>
        <w:t xml:space="preserve"> </w:t>
      </w:r>
      <w:r w:rsidRPr="00D925C8">
        <w:rPr>
          <w:rFonts w:ascii="Traditional Arabic" w:hAnsi="Traditional Arabic" w:cs="Traditional Arabic" w:hint="eastAsia"/>
          <w:b/>
          <w:sz w:val="24"/>
          <w:rtl/>
          <w:lang w:val="en-GB"/>
        </w:rPr>
        <w:t>ان</w:t>
      </w:r>
      <w:r w:rsidRPr="00D925C8">
        <w:rPr>
          <w:rFonts w:ascii="Traditional Arabic" w:hAnsi="Traditional Arabic" w:cs="Traditional Arabic"/>
          <w:b/>
          <w:sz w:val="24"/>
          <w:rtl/>
          <w:lang w:val="en-GB"/>
        </w:rPr>
        <w:t xml:space="preserve"> </w:t>
      </w:r>
      <w:r w:rsidRPr="00D925C8">
        <w:rPr>
          <w:rFonts w:ascii="Traditional Arabic" w:hAnsi="Traditional Arabic" w:cs="Traditional Arabic" w:hint="eastAsia"/>
          <w:b/>
          <w:sz w:val="24"/>
          <w:rtl/>
          <w:lang w:val="en-GB"/>
        </w:rPr>
        <w:t>سعر</w:t>
      </w:r>
      <w:r w:rsidRPr="00D925C8">
        <w:rPr>
          <w:rFonts w:ascii="Traditional Arabic" w:hAnsi="Traditional Arabic" w:cs="Traditional Arabic"/>
          <w:b/>
          <w:sz w:val="24"/>
          <w:rtl/>
          <w:lang w:val="en-GB"/>
        </w:rPr>
        <w:t xml:space="preserve"> </w:t>
      </w:r>
      <w:r w:rsidRPr="00D925C8">
        <w:rPr>
          <w:rFonts w:ascii="Traditional Arabic" w:hAnsi="Traditional Arabic" w:cs="Traditional Arabic" w:hint="eastAsia"/>
          <w:b/>
          <w:sz w:val="24"/>
          <w:rtl/>
          <w:lang w:val="en-GB"/>
        </w:rPr>
        <w:t>الطرح</w:t>
      </w:r>
      <w:r w:rsidRPr="00D925C8">
        <w:rPr>
          <w:rFonts w:ascii="Traditional Arabic" w:hAnsi="Traditional Arabic" w:cs="Traditional Arabic"/>
          <w:b/>
          <w:sz w:val="24"/>
          <w:rtl/>
          <w:lang w:val="en-GB"/>
        </w:rPr>
        <w:t xml:space="preserve"> </w:t>
      </w:r>
      <w:r w:rsidRPr="00D925C8">
        <w:rPr>
          <w:rFonts w:ascii="Traditional Arabic" w:hAnsi="Traditional Arabic" w:cs="Traditional Arabic" w:hint="eastAsia"/>
          <w:b/>
          <w:sz w:val="24"/>
          <w:rtl/>
          <w:lang w:val="en-GB"/>
        </w:rPr>
        <w:t>هو</w:t>
      </w:r>
      <w:r w:rsidRPr="00D925C8">
        <w:rPr>
          <w:rFonts w:ascii="Traditional Arabic" w:hAnsi="Traditional Arabic" w:cs="Traditional Arabic"/>
          <w:b/>
          <w:sz w:val="24"/>
          <w:rtl/>
          <w:lang w:val="en-GB"/>
        </w:rPr>
        <w:t xml:space="preserve"> </w:t>
      </w:r>
      <w:r w:rsidRPr="00D925C8">
        <w:rPr>
          <w:rFonts w:ascii="Traditional Arabic" w:hAnsi="Traditional Arabic" w:cs="Traditional Arabic" w:hint="eastAsia"/>
          <w:b/>
          <w:sz w:val="24"/>
          <w:rtl/>
          <w:lang w:val="en-GB"/>
        </w:rPr>
        <w:t>السعر</w:t>
      </w:r>
      <w:r w:rsidRPr="00D925C8">
        <w:rPr>
          <w:rFonts w:ascii="Traditional Arabic" w:hAnsi="Traditional Arabic" w:cs="Traditional Arabic"/>
          <w:b/>
          <w:sz w:val="24"/>
          <w:rtl/>
          <w:lang w:val="en-GB"/>
        </w:rPr>
        <w:t xml:space="preserve"> </w:t>
      </w:r>
      <w:r w:rsidRPr="00D925C8">
        <w:rPr>
          <w:rFonts w:ascii="Traditional Arabic" w:hAnsi="Traditional Arabic" w:cs="Traditional Arabic" w:hint="eastAsia"/>
          <w:b/>
          <w:sz w:val="24"/>
          <w:rtl/>
          <w:lang w:val="en-GB"/>
        </w:rPr>
        <w:t>الأعلى</w:t>
      </w:r>
      <w:r w:rsidRPr="00D925C8">
        <w:rPr>
          <w:rFonts w:ascii="Traditional Arabic" w:hAnsi="Traditional Arabic" w:cs="Traditional Arabic"/>
          <w:b/>
          <w:sz w:val="24"/>
          <w:rtl/>
          <w:lang w:val="en-GB"/>
        </w:rPr>
        <w:t xml:space="preserve"> </w:t>
      </w:r>
      <w:r w:rsidRPr="00D925C8">
        <w:rPr>
          <w:rFonts w:ascii="Traditional Arabic" w:hAnsi="Traditional Arabic" w:cs="Traditional Arabic" w:hint="eastAsia"/>
          <w:b/>
          <w:sz w:val="24"/>
          <w:rtl/>
          <w:lang w:val="en-GB"/>
        </w:rPr>
        <w:t>من</w:t>
      </w:r>
      <w:r w:rsidRPr="00D925C8">
        <w:rPr>
          <w:rFonts w:ascii="Traditional Arabic" w:hAnsi="Traditional Arabic" w:cs="Traditional Arabic"/>
          <w:b/>
          <w:sz w:val="24"/>
          <w:rtl/>
          <w:lang w:val="en-GB"/>
        </w:rPr>
        <w:t xml:space="preserve"> </w:t>
      </w:r>
      <w:r w:rsidRPr="00D925C8">
        <w:rPr>
          <w:rFonts w:ascii="Traditional Arabic" w:hAnsi="Traditional Arabic" w:cs="Traditional Arabic" w:hint="eastAsia"/>
          <w:b/>
          <w:sz w:val="24"/>
          <w:rtl/>
          <w:lang w:val="en-GB"/>
        </w:rPr>
        <w:t>النطاق</w:t>
      </w:r>
      <w:r w:rsidRPr="00D925C8">
        <w:rPr>
          <w:rFonts w:ascii="Traditional Arabic" w:hAnsi="Traditional Arabic" w:cs="Traditional Arabic"/>
          <w:b/>
          <w:sz w:val="24"/>
          <w:rtl/>
          <w:lang w:val="en-GB"/>
        </w:rPr>
        <w:t xml:space="preserve"> </w:t>
      </w:r>
      <w:r w:rsidRPr="00D925C8">
        <w:rPr>
          <w:rFonts w:ascii="Traditional Arabic" w:hAnsi="Traditional Arabic" w:cs="Traditional Arabic" w:hint="eastAsia"/>
          <w:b/>
          <w:sz w:val="24"/>
          <w:rtl/>
          <w:lang w:val="en-GB"/>
        </w:rPr>
        <w:t>السعري</w:t>
      </w:r>
    </w:p>
    <w:p w14:paraId="15D2EDA1" w14:textId="77777777" w:rsidR="008B7527" w:rsidRDefault="008B7527" w:rsidP="008B7527">
      <w:pPr>
        <w:bidi/>
        <w:rPr>
          <w:rFonts w:ascii="Traditional Arabic" w:hAnsi="Traditional Arabic" w:cs="Traditional Arabic"/>
          <w:b/>
          <w:sz w:val="24"/>
        </w:rPr>
      </w:pPr>
      <w:r w:rsidRPr="00D925C8">
        <w:rPr>
          <w:rFonts w:ascii="Traditional Arabic" w:hAnsi="Traditional Arabic" w:cs="Traditional Arabic" w:hint="cs"/>
          <w:b/>
          <w:sz w:val="24"/>
          <w:rtl/>
          <w:lang w:val="en-GB"/>
        </w:rPr>
        <w:t xml:space="preserve">(2) </w:t>
      </w:r>
      <w:r w:rsidRPr="00D925C8">
        <w:rPr>
          <w:rFonts w:ascii="Traditional Arabic" w:hAnsi="Traditional Arabic" w:cs="Traditional Arabic"/>
          <w:b/>
          <w:sz w:val="24"/>
          <w:rtl/>
        </w:rPr>
        <w:t>شركة فالكون للاستثمارات ذ</w:t>
      </w:r>
      <w:r w:rsidRPr="00D925C8">
        <w:rPr>
          <w:rFonts w:ascii="Traditional Arabic" w:hAnsi="Traditional Arabic" w:cs="Traditional Arabic"/>
          <w:b/>
          <w:sz w:val="24"/>
        </w:rPr>
        <w:t>.</w:t>
      </w:r>
      <w:r w:rsidRPr="00D925C8">
        <w:rPr>
          <w:rFonts w:ascii="Traditional Arabic" w:hAnsi="Traditional Arabic" w:cs="Traditional Arabic"/>
          <w:b/>
          <w:sz w:val="24"/>
          <w:rtl/>
        </w:rPr>
        <w:t>م</w:t>
      </w:r>
      <w:r w:rsidRPr="00D925C8">
        <w:rPr>
          <w:rFonts w:ascii="Traditional Arabic" w:hAnsi="Traditional Arabic" w:cs="Traditional Arabic"/>
          <w:b/>
          <w:sz w:val="24"/>
        </w:rPr>
        <w:t>.</w:t>
      </w:r>
      <w:r w:rsidRPr="00D925C8">
        <w:rPr>
          <w:rFonts w:ascii="Traditional Arabic" w:hAnsi="Traditional Arabic" w:cs="Traditional Arabic"/>
          <w:b/>
          <w:sz w:val="24"/>
          <w:rtl/>
        </w:rPr>
        <w:t>م هي شركة تابعة لجهاز قطر للاستثمار، وهو صندوق الثروة السيادي لدولة قطر.</w:t>
      </w:r>
    </w:p>
    <w:p w14:paraId="48DC7A6F" w14:textId="77777777" w:rsidR="000F47E6" w:rsidRPr="00CB188B" w:rsidRDefault="000F47E6" w:rsidP="00CB188B">
      <w:pPr>
        <w:keepNext/>
        <w:bidi/>
        <w:jc w:val="both"/>
        <w:rPr>
          <w:rFonts w:ascii="Traditional Arabic" w:hAnsi="Traditional Arabic" w:cs="Traditional Arabic"/>
          <w:b/>
          <w:sz w:val="24"/>
          <w:rtl/>
        </w:rPr>
      </w:pPr>
      <w:r w:rsidRPr="00CB188B">
        <w:rPr>
          <w:rFonts w:ascii="Traditional Arabic" w:hAnsi="Traditional Arabic" w:cs="Traditional Arabic"/>
          <w:b/>
          <w:sz w:val="24"/>
          <w:rtl/>
        </w:rPr>
        <w:lastRenderedPageBreak/>
        <w:t>(3)</w:t>
      </w:r>
      <w:r w:rsidRPr="00CB188B">
        <w:rPr>
          <w:rFonts w:ascii="Traditional Arabic" w:hAnsi="Traditional Arabic" w:cs="Traditional Arabic"/>
          <w:sz w:val="24"/>
          <w:rtl/>
        </w:rPr>
        <w:t xml:space="preserve"> </w:t>
      </w:r>
      <w:r w:rsidR="002F1B80" w:rsidRPr="002F1B80">
        <w:rPr>
          <w:rFonts w:ascii="Traditional Arabic" w:hAnsi="Traditional Arabic" w:cs="Traditional Arabic"/>
          <w:sz w:val="24"/>
          <w:rtl/>
        </w:rPr>
        <w:t xml:space="preserve">تأسست شركة المريخ للتنمية والاستثمار </w:t>
      </w:r>
      <w:r w:rsidR="002F1B80">
        <w:rPr>
          <w:rFonts w:ascii="Traditional Arabic" w:hAnsi="Traditional Arabic" w:cs="Traditional Arabic" w:hint="cs"/>
          <w:sz w:val="24"/>
          <w:rtl/>
        </w:rPr>
        <w:t xml:space="preserve">ش.م.م </w:t>
      </w:r>
      <w:r w:rsidR="002F1B80" w:rsidRPr="002F1B80">
        <w:rPr>
          <w:rFonts w:ascii="Traditional Arabic" w:hAnsi="Traditional Arabic" w:cs="Traditional Arabic"/>
          <w:sz w:val="24"/>
          <w:rtl/>
        </w:rPr>
        <w:t xml:space="preserve">في عام 2017 كشركة استثمارية مملوكة بالكامل للحكومة مسجلة في سلطنة عمان وتستثمر في فئات أصول وقطاعات متعددة محليًا ودوليًا. الشركة ديناميكية في نهجها </w:t>
      </w:r>
      <w:r w:rsidR="00915829">
        <w:rPr>
          <w:rFonts w:ascii="Traditional Arabic" w:hAnsi="Traditional Arabic" w:cs="Traditional Arabic" w:hint="cs"/>
          <w:sz w:val="24"/>
          <w:rtl/>
        </w:rPr>
        <w:t>بغاية تتمثل</w:t>
      </w:r>
      <w:r w:rsidR="002F1B80" w:rsidRPr="002F1B80">
        <w:rPr>
          <w:rFonts w:ascii="Traditional Arabic" w:hAnsi="Traditional Arabic" w:cs="Traditional Arabic"/>
          <w:sz w:val="24"/>
          <w:rtl/>
        </w:rPr>
        <w:t xml:space="preserve"> في توليد قيمة مباشرة وغير مباشرة لسلطنة عمان من خلال نقل المعرفة والتقدم التكنولوجي والتنمية الاجتماعية والاقتصادية.</w:t>
      </w:r>
    </w:p>
    <w:p w14:paraId="1E9BE458" w14:textId="77777777" w:rsidR="00DA4DE7" w:rsidRPr="00CA4D73" w:rsidRDefault="00DA4DE7" w:rsidP="00DA4DE7">
      <w:pPr>
        <w:keepNext/>
        <w:bidi/>
        <w:jc w:val="both"/>
        <w:rPr>
          <w:rFonts w:ascii="Traditional Arabic" w:hAnsi="Traditional Arabic" w:cs="Traditional Arabic"/>
          <w:b/>
          <w:sz w:val="30"/>
          <w:szCs w:val="30"/>
          <w:lang w:val="en-GB"/>
        </w:rPr>
      </w:pPr>
    </w:p>
    <w:p w14:paraId="5D93BCC3" w14:textId="77777777" w:rsidR="00D40847" w:rsidRPr="00CA4D73" w:rsidRDefault="00D40847" w:rsidP="00CA4D73">
      <w:pPr>
        <w:pStyle w:val="ListParagraph"/>
        <w:keepNext/>
        <w:bidi/>
        <w:ind w:left="1080"/>
        <w:jc w:val="both"/>
        <w:rPr>
          <w:rFonts w:ascii="Traditional Arabic" w:hAnsi="Traditional Arabic" w:cs="Traditional Arabic"/>
          <w:b/>
          <w:sz w:val="30"/>
          <w:szCs w:val="30"/>
          <w:rtl/>
          <w:lang w:val="en-GB"/>
        </w:rPr>
      </w:pPr>
    </w:p>
    <w:p w14:paraId="07BD78E8" w14:textId="77777777" w:rsidR="00077F49" w:rsidRDefault="00771058" w:rsidP="006A163E">
      <w:pPr>
        <w:keepNext/>
        <w:bidi/>
        <w:jc w:val="both"/>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يرجى الاطلاع على الفصل الثامن بعنوان "</w:t>
      </w:r>
      <w:r w:rsidR="00640B0A">
        <w:rPr>
          <w:rFonts w:ascii="Traditional Arabic" w:hAnsi="Traditional Arabic" w:cs="Traditional Arabic" w:hint="cs"/>
          <w:b/>
          <w:sz w:val="30"/>
          <w:szCs w:val="30"/>
          <w:rtl/>
          <w:lang w:val="en-GB"/>
        </w:rPr>
        <w:t>بيانات</w:t>
      </w:r>
      <w:r>
        <w:rPr>
          <w:rFonts w:ascii="Traditional Arabic" w:hAnsi="Traditional Arabic" w:cs="Traditional Arabic" w:hint="cs"/>
          <w:b/>
          <w:sz w:val="30"/>
          <w:szCs w:val="30"/>
          <w:rtl/>
          <w:lang w:val="en-GB"/>
        </w:rPr>
        <w:t xml:space="preserve"> المساهمين في الشركة"، وذلك للحصول على مزيد من المعلومات بخصوص المستثمرين الرئيسيين.</w:t>
      </w:r>
    </w:p>
    <w:p w14:paraId="0AD41D9F" w14:textId="77777777" w:rsidR="00771058" w:rsidRPr="00771058" w:rsidRDefault="00771058" w:rsidP="00771058">
      <w:pPr>
        <w:keepNext/>
        <w:bidi/>
        <w:rPr>
          <w:rFonts w:ascii="Traditional Arabic" w:hAnsi="Traditional Arabic" w:cs="Traditional Arabic"/>
          <w:b/>
          <w:sz w:val="30"/>
          <w:szCs w:val="30"/>
          <w:rtl/>
          <w:lang w:val="en-GB"/>
        </w:rPr>
      </w:pPr>
    </w:p>
    <w:p w14:paraId="06811F3A" w14:textId="77777777" w:rsidR="00077F49" w:rsidRPr="00EB5BCF" w:rsidRDefault="007936A9" w:rsidP="00077F49">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Cs/>
          <w:sz w:val="30"/>
          <w:szCs w:val="30"/>
          <w:rtl/>
          <w:lang w:val="en-GB"/>
        </w:rPr>
        <w:t>ينطوي</w:t>
      </w:r>
      <w:r w:rsidR="00077F49" w:rsidRPr="00EB5BCF">
        <w:rPr>
          <w:rFonts w:ascii="Traditional Arabic" w:hAnsi="Traditional Arabic" w:cs="Traditional Arabic"/>
          <w:bCs/>
          <w:sz w:val="30"/>
          <w:szCs w:val="30"/>
          <w:rtl/>
          <w:lang w:val="en-GB"/>
        </w:rPr>
        <w:t xml:space="preserve"> الاستثمار في الأسهم على مخاطر عالية</w:t>
      </w:r>
      <w:r w:rsidR="009601E7">
        <w:rPr>
          <w:rFonts w:ascii="Traditional Arabic" w:hAnsi="Traditional Arabic" w:cs="Traditional Arabic" w:hint="cs"/>
          <w:bCs/>
          <w:sz w:val="30"/>
          <w:szCs w:val="30"/>
          <w:rtl/>
          <w:lang w:val="en-GB"/>
        </w:rPr>
        <w:t xml:space="preserve"> بما في ذلك خسارة رأس المال كليا أو جزئيا</w:t>
      </w:r>
      <w:r w:rsidR="00077F49" w:rsidRPr="00EB5BCF">
        <w:rPr>
          <w:rFonts w:ascii="Traditional Arabic" w:hAnsi="Traditional Arabic" w:cs="Traditional Arabic"/>
          <w:bCs/>
          <w:sz w:val="30"/>
          <w:szCs w:val="30"/>
          <w:rtl/>
          <w:lang w:val="en-GB"/>
        </w:rPr>
        <w:t xml:space="preserve">، وعليه نرجو من المستثمرين الجدد قراءة هذا المستند بالكامل ولا سيما مطالعة المخاطر المتصلة بالاستثمار في الأسهم، وبالأخص الاطلاع على </w:t>
      </w:r>
      <w:r w:rsidR="00077F49" w:rsidRPr="00EB5BCF">
        <w:rPr>
          <w:rFonts w:ascii="Traditional Arabic" w:hAnsi="Traditional Arabic" w:cs="Traditional Arabic"/>
          <w:bCs/>
          <w:sz w:val="30"/>
          <w:szCs w:val="30"/>
          <w:rtl/>
          <w:lang w:val="en-GB" w:bidi="ar-EG"/>
        </w:rPr>
        <w:t>ال</w:t>
      </w:r>
      <w:r w:rsidR="00077F49" w:rsidRPr="00EB5BCF">
        <w:rPr>
          <w:rFonts w:ascii="Traditional Arabic" w:hAnsi="Traditional Arabic" w:cs="Traditional Arabic"/>
          <w:bCs/>
          <w:sz w:val="30"/>
          <w:szCs w:val="30"/>
          <w:rtl/>
          <w:lang w:val="en-GB"/>
        </w:rPr>
        <w:t>فصل الرابع بعنوان "عوامل المخاطرة " للتعرف على بعض المخاطر والعوامل الأخرى التي ينبغي مراعاتها قبل اتخاذ قرار الاستثمار والاكتتاب في الأسهم.</w:t>
      </w:r>
    </w:p>
    <w:p w14:paraId="2297ABF8" w14:textId="77777777" w:rsidR="00077F49" w:rsidRPr="00EB5BCF" w:rsidRDefault="00077F49" w:rsidP="00077F49">
      <w:pPr>
        <w:keepNext/>
        <w:bidi/>
        <w:rPr>
          <w:rFonts w:ascii="Traditional Arabic" w:hAnsi="Traditional Arabic" w:cs="Traditional Arabic"/>
          <w:b/>
          <w:sz w:val="30"/>
          <w:szCs w:val="30"/>
          <w:rtl/>
          <w:lang w:val="en-GB"/>
        </w:rPr>
      </w:pPr>
    </w:p>
    <w:p w14:paraId="2FAD0FE7" w14:textId="77777777" w:rsidR="00077F49" w:rsidRPr="00EB5BCF" w:rsidRDefault="00077F49" w:rsidP="000D1272">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 xml:space="preserve">لم تُسجل الأسهم ولن تُسجل بموجب قانون الأوراق المالية أو قوانين الأوراق المالية السارية في أي ولاية أو مكان في الولايات المتحدة، بل لا يجوز طرحها ولا بيعها داخل الولايات المتحدة إلا </w:t>
      </w:r>
      <w:r w:rsidR="00AA45E0">
        <w:rPr>
          <w:rFonts w:ascii="Traditional Arabic" w:hAnsi="Traditional Arabic" w:cs="Traditional Arabic" w:hint="cs"/>
          <w:b/>
          <w:sz w:val="30"/>
          <w:szCs w:val="30"/>
          <w:rtl/>
          <w:lang w:bidi="ar-EG"/>
        </w:rPr>
        <w:t>بموجب إعفاء من متطلبات التسجيل الواردة في قانون الأوراق المالية المشار إليه</w:t>
      </w:r>
      <w:r w:rsidR="006E0670">
        <w:rPr>
          <w:rFonts w:ascii="Traditional Arabic" w:hAnsi="Traditional Arabic" w:cs="Traditional Arabic" w:hint="cs"/>
          <w:b/>
          <w:sz w:val="30"/>
          <w:szCs w:val="30"/>
          <w:rtl/>
          <w:lang w:bidi="ar-EG"/>
        </w:rPr>
        <w:t xml:space="preserve"> أو في معاملة لا تخضع لمتطلبات التسجيل المشار إليها</w:t>
      </w:r>
      <w:r w:rsidRPr="00EB5BCF">
        <w:rPr>
          <w:rFonts w:ascii="Traditional Arabic" w:hAnsi="Traditional Arabic" w:cs="Traditional Arabic"/>
          <w:b/>
          <w:sz w:val="30"/>
          <w:szCs w:val="30"/>
          <w:rtl/>
          <w:lang w:bidi="ar-EG"/>
        </w:rPr>
        <w:t>. ويتم طرح الأسهم وبيعها خارج الولايات المتحدة طبقا للائحة (س). لمزيد من المعلومات عن الاشتراطات والقيود المتعلقة بطرح الأسهم وبيعها ونقلها وتوزيع هذه النشرة (</w:t>
      </w:r>
      <w:r w:rsidR="005E5107" w:rsidRPr="00EB5BCF">
        <w:rPr>
          <w:rFonts w:ascii="Traditional Arabic" w:hAnsi="Traditional Arabic" w:cs="Traditional Arabic"/>
          <w:b/>
          <w:sz w:val="30"/>
          <w:szCs w:val="30"/>
          <w:rtl/>
          <w:lang w:bidi="ar-EG"/>
        </w:rPr>
        <w:t>يشار إليها فيما بعد بـ</w:t>
      </w:r>
      <w:r w:rsidRPr="00EB5BCF">
        <w:rPr>
          <w:rFonts w:ascii="Traditional Arabic" w:hAnsi="Traditional Arabic" w:cs="Traditional Arabic"/>
          <w:b/>
          <w:sz w:val="30"/>
          <w:szCs w:val="30"/>
          <w:rtl/>
          <w:lang w:bidi="ar-EG"/>
        </w:rPr>
        <w:t>"النشرة") يرجى الاطلاع على</w:t>
      </w:r>
      <w:r w:rsidR="006E0670">
        <w:rPr>
          <w:rFonts w:ascii="Traditional Arabic" w:hAnsi="Traditional Arabic" w:cs="Traditional Arabic" w:hint="cs"/>
          <w:b/>
          <w:sz w:val="30"/>
          <w:szCs w:val="30"/>
          <w:rtl/>
          <w:lang w:bidi="ar-EG"/>
        </w:rPr>
        <w:t xml:space="preserve"> </w:t>
      </w:r>
      <w:r w:rsidR="0088689B">
        <w:rPr>
          <w:rFonts w:ascii="Traditional Arabic" w:hAnsi="Traditional Arabic" w:cs="Traditional Arabic" w:hint="cs"/>
          <w:b/>
          <w:sz w:val="30"/>
          <w:szCs w:val="30"/>
          <w:rtl/>
          <w:lang w:bidi="ar-EG"/>
        </w:rPr>
        <w:t>فقرة "قيود البيع"</w:t>
      </w:r>
      <w:r w:rsidRPr="00EB5BCF">
        <w:rPr>
          <w:rFonts w:ascii="Traditional Arabic" w:hAnsi="Traditional Arabic" w:cs="Traditional Arabic"/>
          <w:b/>
          <w:sz w:val="30"/>
          <w:szCs w:val="30"/>
          <w:rtl/>
          <w:lang w:bidi="ar-EG"/>
        </w:rPr>
        <w:t xml:space="preserve"> </w:t>
      </w:r>
      <w:r w:rsidR="0088689B">
        <w:rPr>
          <w:rFonts w:ascii="Traditional Arabic" w:hAnsi="Traditional Arabic" w:cs="Traditional Arabic" w:hint="cs"/>
          <w:b/>
          <w:sz w:val="30"/>
          <w:szCs w:val="30"/>
          <w:rtl/>
          <w:lang w:bidi="ar-EG"/>
        </w:rPr>
        <w:t>و</w:t>
      </w:r>
      <w:r w:rsidRPr="00EB5BCF">
        <w:rPr>
          <w:rFonts w:ascii="Traditional Arabic" w:hAnsi="Traditional Arabic" w:cs="Traditional Arabic"/>
          <w:b/>
          <w:sz w:val="30"/>
          <w:szCs w:val="30"/>
          <w:rtl/>
          <w:lang w:bidi="ar-EG"/>
        </w:rPr>
        <w:t xml:space="preserve">الفصل </w:t>
      </w:r>
      <w:r w:rsidR="00E91F30">
        <w:rPr>
          <w:rFonts w:ascii="Traditional Arabic" w:hAnsi="Traditional Arabic" w:cs="Traditional Arabic" w:hint="cs"/>
          <w:b/>
          <w:sz w:val="30"/>
          <w:szCs w:val="30"/>
          <w:rtl/>
          <w:lang w:bidi="ar-EG"/>
        </w:rPr>
        <w:t>التاسع</w:t>
      </w:r>
      <w:r w:rsidR="00E91F30">
        <w:rPr>
          <w:rFonts w:ascii="Traditional Arabic" w:hAnsi="Traditional Arabic" w:cs="Traditional Arabic"/>
          <w:b/>
          <w:sz w:val="30"/>
          <w:szCs w:val="30"/>
          <w:rtl/>
          <w:lang w:bidi="ar-EG"/>
        </w:rPr>
        <w:t xml:space="preserve"> </w:t>
      </w:r>
      <w:r w:rsidR="001D0336">
        <w:rPr>
          <w:rFonts w:ascii="Traditional Arabic" w:hAnsi="Traditional Arabic" w:cs="Traditional Arabic"/>
          <w:b/>
          <w:sz w:val="30"/>
          <w:szCs w:val="30"/>
          <w:rtl/>
          <w:lang w:bidi="ar-EG"/>
        </w:rPr>
        <w:t>عشر</w:t>
      </w:r>
      <w:r w:rsidRPr="00EB5BCF">
        <w:rPr>
          <w:rFonts w:ascii="Traditional Arabic" w:hAnsi="Traditional Arabic" w:cs="Traditional Arabic"/>
          <w:b/>
          <w:sz w:val="30"/>
          <w:szCs w:val="30"/>
          <w:rtl/>
          <w:lang w:bidi="ar-EG"/>
        </w:rPr>
        <w:t xml:space="preserve"> بعنوان "شروط الاكتتاب وإجراءاته".</w:t>
      </w:r>
    </w:p>
    <w:p w14:paraId="1D47DD59" w14:textId="77777777" w:rsidR="00077F49" w:rsidRPr="00EB5BCF" w:rsidRDefault="00077F49" w:rsidP="000D1272">
      <w:pPr>
        <w:keepNext/>
        <w:bidi/>
        <w:jc w:val="both"/>
        <w:rPr>
          <w:rFonts w:ascii="Traditional Arabic" w:hAnsi="Traditional Arabic" w:cs="Traditional Arabic"/>
          <w:b/>
          <w:sz w:val="30"/>
          <w:szCs w:val="30"/>
          <w:rtl/>
          <w:lang w:bidi="ar-EG"/>
        </w:rPr>
      </w:pPr>
    </w:p>
    <w:p w14:paraId="69035D4C" w14:textId="77777777" w:rsidR="00077F49" w:rsidRPr="00EB5BCF" w:rsidRDefault="005263BB" w:rsidP="000D1272">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 xml:space="preserve">سوف </w:t>
      </w:r>
      <w:r w:rsidR="00077F49" w:rsidRPr="00EB5BCF">
        <w:rPr>
          <w:rFonts w:ascii="Traditional Arabic" w:hAnsi="Traditional Arabic" w:cs="Traditional Arabic"/>
          <w:b/>
          <w:sz w:val="30"/>
          <w:szCs w:val="30"/>
          <w:rtl/>
          <w:lang w:bidi="ar-EG"/>
        </w:rPr>
        <w:t xml:space="preserve">تُطرح الأسهم من خلال المنسق العالمي المشترك </w:t>
      </w:r>
      <w:r w:rsidR="00E4207B">
        <w:rPr>
          <w:rFonts w:ascii="Traditional Arabic" w:hAnsi="Traditional Arabic" w:cs="Traditional Arabic" w:hint="cs"/>
          <w:b/>
          <w:sz w:val="30"/>
          <w:szCs w:val="30"/>
          <w:rtl/>
          <w:lang w:bidi="ar-EG"/>
        </w:rPr>
        <w:t>و</w:t>
      </w:r>
      <w:r w:rsidR="00E4207B">
        <w:rPr>
          <w:rFonts w:ascii="Traditional Arabic" w:hAnsi="Traditional Arabic" w:cs="Traditional Arabic" w:hint="cs"/>
          <w:b/>
          <w:sz w:val="30"/>
          <w:szCs w:val="30"/>
          <w:rtl/>
          <w:lang w:val="en-GB" w:bidi="ar-EG"/>
        </w:rPr>
        <w:t>مدير الإصدار</w:t>
      </w:r>
      <w:r w:rsidR="00E4207B" w:rsidRPr="00EB5BCF">
        <w:rPr>
          <w:rFonts w:ascii="Traditional Arabic" w:hAnsi="Traditional Arabic" w:cs="Traditional Arabic" w:hint="eastAsia"/>
          <w:b/>
          <w:sz w:val="30"/>
          <w:szCs w:val="30"/>
          <w:rtl/>
          <w:lang w:bidi="ar-EG"/>
        </w:rPr>
        <w:t xml:space="preserve"> </w:t>
      </w:r>
      <w:r w:rsidRPr="00EB5BCF">
        <w:rPr>
          <w:rFonts w:ascii="Traditional Arabic" w:hAnsi="Traditional Arabic" w:cs="Traditional Arabic" w:hint="eastAsia"/>
          <w:b/>
          <w:sz w:val="30"/>
          <w:szCs w:val="30"/>
          <w:rtl/>
          <w:lang w:bidi="ar-EG"/>
        </w:rPr>
        <w:t>ووكلاء</w:t>
      </w:r>
      <w:r w:rsidRPr="00EB5BCF">
        <w:rPr>
          <w:rFonts w:ascii="Traditional Arabic" w:hAnsi="Traditional Arabic" w:cs="Traditional Arabic"/>
          <w:b/>
          <w:sz w:val="30"/>
          <w:szCs w:val="30"/>
          <w:rtl/>
          <w:lang w:bidi="ar-EG"/>
        </w:rPr>
        <w:t xml:space="preserve"> التحصيل </w:t>
      </w:r>
      <w:r w:rsidR="00077F49" w:rsidRPr="00EB5BCF">
        <w:rPr>
          <w:rFonts w:ascii="Traditional Arabic" w:hAnsi="Traditional Arabic" w:cs="Traditional Arabic"/>
          <w:b/>
          <w:sz w:val="30"/>
          <w:szCs w:val="30"/>
          <w:rtl/>
          <w:lang w:bidi="ar-EG"/>
        </w:rPr>
        <w:t>المذكور</w:t>
      </w:r>
      <w:r w:rsidRPr="00EB5BCF">
        <w:rPr>
          <w:rFonts w:ascii="Traditional Arabic" w:hAnsi="Traditional Arabic" w:cs="Traditional Arabic" w:hint="eastAsia"/>
          <w:b/>
          <w:sz w:val="30"/>
          <w:szCs w:val="30"/>
          <w:rtl/>
          <w:lang w:bidi="ar-EG"/>
        </w:rPr>
        <w:t>ين</w:t>
      </w:r>
      <w:r w:rsidR="00077F49" w:rsidRPr="00EB5BCF">
        <w:rPr>
          <w:rFonts w:ascii="Traditional Arabic" w:hAnsi="Traditional Arabic" w:cs="Traditional Arabic"/>
          <w:b/>
          <w:sz w:val="30"/>
          <w:szCs w:val="30"/>
          <w:rtl/>
          <w:lang w:bidi="ar-EG"/>
        </w:rPr>
        <w:t xml:space="preserve"> باسم</w:t>
      </w:r>
      <w:r w:rsidRPr="00EB5BCF">
        <w:rPr>
          <w:rFonts w:ascii="Traditional Arabic" w:hAnsi="Traditional Arabic" w:cs="Traditional Arabic" w:hint="eastAsia"/>
          <w:b/>
          <w:sz w:val="30"/>
          <w:szCs w:val="30"/>
          <w:rtl/>
          <w:lang w:bidi="ar-EG"/>
        </w:rPr>
        <w:t>هم</w:t>
      </w:r>
      <w:r w:rsidR="00077F49" w:rsidRPr="00EB5BCF">
        <w:rPr>
          <w:rFonts w:ascii="Traditional Arabic" w:hAnsi="Traditional Arabic" w:cs="Traditional Arabic"/>
          <w:b/>
          <w:sz w:val="30"/>
          <w:szCs w:val="30"/>
          <w:rtl/>
          <w:lang w:bidi="ar-EG"/>
        </w:rPr>
        <w:t xml:space="preserve"> في هذا المستند نيابة</w:t>
      </w:r>
      <w:r w:rsidR="0040265B" w:rsidRPr="00EB5BCF">
        <w:rPr>
          <w:rFonts w:ascii="Traditional Arabic" w:hAnsi="Traditional Arabic" w:cs="Traditional Arabic"/>
          <w:b/>
          <w:sz w:val="30"/>
          <w:szCs w:val="30"/>
          <w:rtl/>
          <w:lang w:bidi="ar-EG"/>
        </w:rPr>
        <w:t xml:space="preserve"> </w:t>
      </w:r>
      <w:r w:rsidR="00077F49" w:rsidRPr="00EB5BCF">
        <w:rPr>
          <w:rFonts w:ascii="Traditional Arabic" w:hAnsi="Traditional Arabic" w:cs="Traditional Arabic"/>
          <w:b/>
          <w:sz w:val="30"/>
          <w:szCs w:val="30"/>
          <w:rtl/>
          <w:lang w:bidi="ar-EG"/>
        </w:rPr>
        <w:t xml:space="preserve">عن </w:t>
      </w:r>
      <w:r w:rsidR="000861C6">
        <w:rPr>
          <w:rFonts w:ascii="Traditional Arabic" w:hAnsi="Traditional Arabic" w:cs="Traditional Arabic"/>
          <w:b/>
          <w:sz w:val="30"/>
          <w:szCs w:val="30"/>
          <w:rtl/>
          <w:lang w:bidi="ar-EG"/>
        </w:rPr>
        <w:t>المساهم البائع</w:t>
      </w:r>
      <w:r w:rsidR="00077F49" w:rsidRPr="00EB5BCF">
        <w:rPr>
          <w:rFonts w:ascii="Traditional Arabic" w:hAnsi="Traditional Arabic" w:cs="Traditional Arabic"/>
          <w:b/>
          <w:sz w:val="30"/>
          <w:szCs w:val="30"/>
          <w:rtl/>
          <w:lang w:bidi="ar-EG"/>
        </w:rPr>
        <w:t>، بحيث يكون من حقه</w:t>
      </w:r>
      <w:r w:rsidRPr="00EB5BCF">
        <w:rPr>
          <w:rFonts w:ascii="Traditional Arabic" w:hAnsi="Traditional Arabic" w:cs="Traditional Arabic" w:hint="eastAsia"/>
          <w:b/>
          <w:sz w:val="30"/>
          <w:szCs w:val="30"/>
          <w:rtl/>
          <w:lang w:bidi="ar-EG"/>
        </w:rPr>
        <w:t>م</w:t>
      </w:r>
      <w:r w:rsidR="00077F49" w:rsidRPr="00EB5BCF">
        <w:rPr>
          <w:rFonts w:ascii="Traditional Arabic" w:hAnsi="Traditional Arabic" w:cs="Traditional Arabic"/>
          <w:b/>
          <w:sz w:val="30"/>
          <w:szCs w:val="30"/>
          <w:rtl/>
          <w:lang w:bidi="ar-EG"/>
        </w:rPr>
        <w:t xml:space="preserve"> رفض طلبات الشراء </w:t>
      </w:r>
      <w:r w:rsidR="00B14E5D" w:rsidRPr="00EB5BCF">
        <w:rPr>
          <w:rFonts w:ascii="Traditional Arabic" w:hAnsi="Traditional Arabic" w:cs="Traditional Arabic" w:hint="eastAsia"/>
          <w:b/>
          <w:sz w:val="30"/>
          <w:szCs w:val="30"/>
          <w:rtl/>
          <w:lang w:bidi="ar-EG"/>
        </w:rPr>
        <w:t>كلياً</w:t>
      </w:r>
      <w:r w:rsidR="00B14E5D" w:rsidRPr="00EB5BCF">
        <w:rPr>
          <w:rFonts w:ascii="Traditional Arabic" w:hAnsi="Traditional Arabic" w:cs="Traditional Arabic"/>
          <w:b/>
          <w:sz w:val="30"/>
          <w:szCs w:val="30"/>
          <w:rtl/>
          <w:lang w:bidi="ar-EG"/>
        </w:rPr>
        <w:t xml:space="preserve"> </w:t>
      </w:r>
      <w:r w:rsidR="00077F49" w:rsidRPr="00EB5BCF">
        <w:rPr>
          <w:rFonts w:ascii="Traditional Arabic" w:hAnsi="Traditional Arabic" w:cs="Traditional Arabic"/>
          <w:b/>
          <w:sz w:val="30"/>
          <w:szCs w:val="30"/>
          <w:rtl/>
          <w:lang w:bidi="ar-EG"/>
        </w:rPr>
        <w:t>أو جزئيا</w:t>
      </w:r>
      <w:r w:rsidR="005E5107" w:rsidRPr="00EB5BCF">
        <w:rPr>
          <w:rFonts w:ascii="Traditional Arabic" w:hAnsi="Traditional Arabic" w:cs="Traditional Arabic"/>
          <w:b/>
          <w:sz w:val="30"/>
          <w:szCs w:val="30"/>
          <w:rtl/>
          <w:lang w:bidi="ar-EG"/>
        </w:rPr>
        <w:t>ً</w:t>
      </w:r>
      <w:r w:rsidR="00077F49" w:rsidRPr="00EB5BCF">
        <w:rPr>
          <w:rFonts w:ascii="Traditional Arabic" w:hAnsi="Traditional Arabic" w:cs="Traditional Arabic"/>
          <w:b/>
          <w:sz w:val="30"/>
          <w:szCs w:val="30"/>
          <w:rtl/>
          <w:lang w:bidi="ar-EG"/>
        </w:rPr>
        <w:t xml:space="preserve">. وعليه سيتعين على </w:t>
      </w:r>
      <w:r w:rsidR="006C070B" w:rsidRPr="00EB5BCF">
        <w:rPr>
          <w:rFonts w:ascii="Traditional Arabic" w:hAnsi="Traditional Arabic" w:cs="Traditional Arabic"/>
          <w:b/>
          <w:sz w:val="30"/>
          <w:szCs w:val="30"/>
          <w:rtl/>
          <w:lang w:bidi="ar-EG"/>
        </w:rPr>
        <w:t>الم</w:t>
      </w:r>
      <w:r w:rsidR="006C070B">
        <w:rPr>
          <w:rFonts w:ascii="Traditional Arabic" w:hAnsi="Traditional Arabic" w:cs="Traditional Arabic" w:hint="cs"/>
          <w:b/>
          <w:sz w:val="30"/>
          <w:szCs w:val="30"/>
          <w:rtl/>
          <w:lang w:bidi="ar-EG"/>
        </w:rPr>
        <w:t>ستثمرين</w:t>
      </w:r>
      <w:r w:rsidR="006C070B" w:rsidRPr="00EB5BCF">
        <w:rPr>
          <w:rFonts w:ascii="Traditional Arabic" w:hAnsi="Traditional Arabic" w:cs="Traditional Arabic"/>
          <w:b/>
          <w:sz w:val="30"/>
          <w:szCs w:val="30"/>
          <w:rtl/>
          <w:lang w:bidi="ar-EG"/>
        </w:rPr>
        <w:t xml:space="preserve"> </w:t>
      </w:r>
      <w:r w:rsidR="00077F49" w:rsidRPr="00EB5BCF">
        <w:rPr>
          <w:rFonts w:ascii="Traditional Arabic" w:hAnsi="Traditional Arabic" w:cs="Traditional Arabic"/>
          <w:b/>
          <w:sz w:val="30"/>
          <w:szCs w:val="30"/>
          <w:rtl/>
          <w:lang w:bidi="ar-EG"/>
        </w:rPr>
        <w:t xml:space="preserve">دفع مبلغ الاكتتاب </w:t>
      </w:r>
      <w:r w:rsidR="008E528B">
        <w:rPr>
          <w:rFonts w:ascii="Traditional Arabic" w:hAnsi="Traditional Arabic" w:cs="Traditional Arabic" w:hint="cs"/>
          <w:b/>
          <w:sz w:val="30"/>
          <w:szCs w:val="30"/>
          <w:rtl/>
          <w:lang w:bidi="ar-EG"/>
        </w:rPr>
        <w:t xml:space="preserve">كاملا </w:t>
      </w:r>
      <w:r w:rsidR="00077F49" w:rsidRPr="00EB5BCF">
        <w:rPr>
          <w:rFonts w:ascii="Traditional Arabic" w:hAnsi="Traditional Arabic" w:cs="Traditional Arabic"/>
          <w:b/>
          <w:sz w:val="30"/>
          <w:szCs w:val="30"/>
          <w:rtl/>
          <w:lang w:bidi="ar-EG"/>
        </w:rPr>
        <w:t xml:space="preserve">إلى </w:t>
      </w:r>
      <w:r w:rsidRPr="00EB5BCF">
        <w:rPr>
          <w:rFonts w:ascii="Traditional Arabic" w:hAnsi="Traditional Arabic" w:cs="Traditional Arabic" w:hint="eastAsia"/>
          <w:b/>
          <w:sz w:val="30"/>
          <w:szCs w:val="30"/>
          <w:rtl/>
          <w:lang w:bidi="ar-EG"/>
        </w:rPr>
        <w:t>وكلاء</w:t>
      </w:r>
      <w:r w:rsidRPr="00EB5BCF">
        <w:rPr>
          <w:rFonts w:ascii="Traditional Arabic" w:hAnsi="Traditional Arabic" w:cs="Traditional Arabic"/>
          <w:b/>
          <w:sz w:val="30"/>
          <w:szCs w:val="30"/>
          <w:rtl/>
          <w:lang w:bidi="ar-EG"/>
        </w:rPr>
        <w:t xml:space="preserve"> التحصيل </w:t>
      </w:r>
      <w:r w:rsidR="00A87C7F">
        <w:rPr>
          <w:rFonts w:ascii="Traditional Arabic" w:hAnsi="Traditional Arabic" w:cs="Traditional Arabic" w:hint="cs"/>
          <w:b/>
          <w:sz w:val="30"/>
          <w:szCs w:val="30"/>
          <w:rtl/>
        </w:rPr>
        <w:t>ا</w:t>
      </w:r>
      <w:r w:rsidR="000503E5">
        <w:rPr>
          <w:rFonts w:ascii="Traditional Arabic" w:hAnsi="Traditional Arabic" w:cs="Traditional Arabic" w:hint="cs"/>
          <w:b/>
          <w:sz w:val="30"/>
          <w:szCs w:val="30"/>
          <w:rtl/>
          <w:lang w:bidi="ar-EG"/>
        </w:rPr>
        <w:t>لذين يجب عليهم بدورهم تحويل عوائد الاكتتاب إلى مدير الإصدار</w:t>
      </w:r>
      <w:r w:rsidRPr="00EB5BCF">
        <w:rPr>
          <w:rFonts w:ascii="Traditional Arabic" w:hAnsi="Traditional Arabic" w:cs="Traditional Arabic" w:hint="eastAsia"/>
          <w:b/>
          <w:sz w:val="30"/>
          <w:szCs w:val="30"/>
          <w:rtl/>
          <w:lang w:bidi="ar-EG"/>
        </w:rPr>
        <w:t>،</w:t>
      </w:r>
      <w:r w:rsidRPr="00EB5BCF">
        <w:rPr>
          <w:rFonts w:ascii="Traditional Arabic" w:hAnsi="Traditional Arabic" w:cs="Traditional Arabic"/>
          <w:b/>
          <w:sz w:val="30"/>
          <w:szCs w:val="30"/>
          <w:rtl/>
          <w:lang w:bidi="ar-EG"/>
        </w:rPr>
        <w:t xml:space="preserve"> </w:t>
      </w:r>
      <w:r w:rsidR="00077F49" w:rsidRPr="00EB5BCF">
        <w:rPr>
          <w:rFonts w:ascii="Traditional Arabic" w:hAnsi="Traditional Arabic" w:cs="Traditional Arabic"/>
          <w:b/>
          <w:sz w:val="30"/>
          <w:szCs w:val="30"/>
          <w:rtl/>
          <w:lang w:bidi="ar-EG"/>
        </w:rPr>
        <w:t>بحيث يستلمه</w:t>
      </w:r>
      <w:r w:rsidRPr="00EB5BCF">
        <w:rPr>
          <w:rFonts w:ascii="Traditional Arabic" w:hAnsi="Traditional Arabic" w:cs="Traditional Arabic" w:hint="eastAsia"/>
          <w:b/>
          <w:sz w:val="30"/>
          <w:szCs w:val="30"/>
          <w:rtl/>
          <w:lang w:bidi="ar-EG"/>
        </w:rPr>
        <w:t>ا</w:t>
      </w:r>
      <w:r w:rsidR="00077F49" w:rsidRPr="00EB5BCF">
        <w:rPr>
          <w:rFonts w:ascii="Traditional Arabic" w:hAnsi="Traditional Arabic" w:cs="Traditional Arabic"/>
          <w:b/>
          <w:sz w:val="30"/>
          <w:szCs w:val="30"/>
          <w:rtl/>
          <w:lang w:bidi="ar-EG"/>
        </w:rPr>
        <w:t xml:space="preserve"> </w:t>
      </w:r>
      <w:r w:rsidR="00F11A6C" w:rsidRPr="00EB5BCF">
        <w:rPr>
          <w:rFonts w:ascii="Traditional Arabic" w:hAnsi="Traditional Arabic" w:cs="Traditional Arabic" w:hint="eastAsia"/>
          <w:b/>
          <w:sz w:val="30"/>
          <w:szCs w:val="30"/>
          <w:rtl/>
          <w:lang w:bidi="ar-EG"/>
        </w:rPr>
        <w:t>مدير</w:t>
      </w:r>
      <w:r w:rsidR="00F11A6C" w:rsidRPr="00EB5BCF">
        <w:rPr>
          <w:rFonts w:ascii="Traditional Arabic" w:hAnsi="Traditional Arabic" w:cs="Traditional Arabic"/>
          <w:b/>
          <w:sz w:val="30"/>
          <w:szCs w:val="30"/>
          <w:rtl/>
          <w:lang w:bidi="ar-EG"/>
        </w:rPr>
        <w:t xml:space="preserve"> </w:t>
      </w:r>
      <w:r w:rsidR="00F11A6C" w:rsidRPr="00EB5BCF">
        <w:rPr>
          <w:rFonts w:ascii="Traditional Arabic" w:hAnsi="Traditional Arabic" w:cs="Traditional Arabic" w:hint="eastAsia"/>
          <w:b/>
          <w:sz w:val="30"/>
          <w:szCs w:val="30"/>
          <w:rtl/>
          <w:lang w:bidi="ar-EG"/>
        </w:rPr>
        <w:t>الإصدار</w:t>
      </w:r>
      <w:r w:rsidRPr="00EB5BCF">
        <w:rPr>
          <w:rFonts w:ascii="Traditional Arabic" w:hAnsi="Traditional Arabic" w:cs="Traditional Arabic"/>
          <w:b/>
          <w:sz w:val="30"/>
          <w:szCs w:val="30"/>
          <w:rtl/>
          <w:lang w:bidi="ar-EG"/>
        </w:rPr>
        <w:t xml:space="preserve"> </w:t>
      </w:r>
      <w:r w:rsidR="00F11A6C" w:rsidRPr="00EB5BCF">
        <w:rPr>
          <w:rFonts w:ascii="Traditional Arabic" w:hAnsi="Traditional Arabic" w:cs="Traditional Arabic" w:hint="eastAsia"/>
          <w:b/>
          <w:sz w:val="30"/>
          <w:szCs w:val="30"/>
          <w:rtl/>
          <w:lang w:bidi="ar-EG"/>
        </w:rPr>
        <w:t>قبل</w:t>
      </w:r>
      <w:r w:rsidR="00077F49" w:rsidRPr="00EB5BCF">
        <w:rPr>
          <w:rFonts w:ascii="Traditional Arabic" w:hAnsi="Traditional Arabic" w:cs="Traditional Arabic"/>
          <w:b/>
          <w:sz w:val="30"/>
          <w:szCs w:val="30"/>
          <w:rtl/>
          <w:lang w:bidi="ar-EG"/>
        </w:rPr>
        <w:t xml:space="preserve"> تاريخ </w:t>
      </w:r>
      <w:r w:rsidR="00F11A6C" w:rsidRPr="00EB5BCF">
        <w:rPr>
          <w:rFonts w:ascii="Traditional Arabic" w:hAnsi="Traditional Arabic" w:cs="Traditional Arabic" w:hint="eastAsia"/>
          <w:b/>
          <w:sz w:val="30"/>
          <w:szCs w:val="30"/>
          <w:rtl/>
          <w:lang w:bidi="ar-EG"/>
        </w:rPr>
        <w:t>التسوية</w:t>
      </w:r>
      <w:r w:rsidR="007C5403" w:rsidRPr="00EB5BCF">
        <w:rPr>
          <w:rFonts w:ascii="Traditional Arabic" w:hAnsi="Traditional Arabic" w:cs="Traditional Arabic"/>
          <w:b/>
          <w:sz w:val="30"/>
          <w:szCs w:val="30"/>
          <w:rtl/>
        </w:rPr>
        <w:t xml:space="preserve"> </w:t>
      </w:r>
      <w:r w:rsidR="00B14E5D" w:rsidRPr="00EB5BCF">
        <w:rPr>
          <w:rFonts w:ascii="Traditional Arabic" w:hAnsi="Traditional Arabic" w:cs="Traditional Arabic" w:hint="eastAsia"/>
          <w:b/>
          <w:sz w:val="30"/>
          <w:szCs w:val="30"/>
          <w:rtl/>
        </w:rPr>
        <w:t>ب</w:t>
      </w:r>
      <w:r w:rsidR="00B14E5D" w:rsidRPr="00EB5BCF">
        <w:rPr>
          <w:rFonts w:ascii="Traditional Arabic" w:hAnsi="Traditional Arabic" w:cs="Traditional Arabic"/>
          <w:b/>
          <w:sz w:val="30"/>
          <w:szCs w:val="30"/>
          <w:rtl/>
          <w:lang w:bidi="ar-EG"/>
        </w:rPr>
        <w:t xml:space="preserve">يوم </w:t>
      </w:r>
      <w:r w:rsidR="00B14E5D" w:rsidRPr="00EB5BCF">
        <w:rPr>
          <w:rFonts w:ascii="Traditional Arabic" w:hAnsi="Traditional Arabic" w:cs="Traditional Arabic" w:hint="eastAsia"/>
          <w:b/>
          <w:sz w:val="30"/>
          <w:szCs w:val="30"/>
          <w:rtl/>
          <w:lang w:bidi="ar-EG"/>
        </w:rPr>
        <w:t>عمل</w:t>
      </w:r>
      <w:r w:rsidR="00B14E5D" w:rsidRPr="00EB5BCF">
        <w:rPr>
          <w:rFonts w:ascii="Traditional Arabic" w:hAnsi="Traditional Arabic" w:cs="Traditional Arabic"/>
          <w:b/>
          <w:sz w:val="30"/>
          <w:szCs w:val="30"/>
          <w:rtl/>
          <w:lang w:bidi="ar-EG"/>
        </w:rPr>
        <w:t xml:space="preserve"> </w:t>
      </w:r>
      <w:r w:rsidR="006545CB">
        <w:rPr>
          <w:rFonts w:ascii="Traditional Arabic" w:hAnsi="Traditional Arabic" w:cs="Traditional Arabic" w:hint="cs"/>
          <w:b/>
          <w:sz w:val="30"/>
          <w:szCs w:val="30"/>
          <w:rtl/>
          <w:lang w:bidi="ar-EG"/>
        </w:rPr>
        <w:t xml:space="preserve">واحد </w:t>
      </w:r>
      <w:r w:rsidR="00B14E5D" w:rsidRPr="00EB5BCF">
        <w:rPr>
          <w:rFonts w:ascii="Traditional Arabic" w:hAnsi="Traditional Arabic" w:cs="Traditional Arabic" w:hint="eastAsia"/>
          <w:b/>
          <w:sz w:val="30"/>
          <w:szCs w:val="30"/>
          <w:rtl/>
          <w:lang w:bidi="ar-EG"/>
        </w:rPr>
        <w:t>على</w:t>
      </w:r>
      <w:r w:rsidR="00B14E5D" w:rsidRPr="00EB5BCF">
        <w:rPr>
          <w:rFonts w:ascii="Traditional Arabic" w:hAnsi="Traditional Arabic" w:cs="Traditional Arabic"/>
          <w:b/>
          <w:sz w:val="30"/>
          <w:szCs w:val="30"/>
          <w:rtl/>
          <w:lang w:bidi="ar-EG"/>
        </w:rPr>
        <w:t xml:space="preserve"> </w:t>
      </w:r>
      <w:r w:rsidR="00B14E5D" w:rsidRPr="00EB5BCF">
        <w:rPr>
          <w:rFonts w:ascii="Traditional Arabic" w:hAnsi="Traditional Arabic" w:cs="Traditional Arabic" w:hint="eastAsia"/>
          <w:b/>
          <w:sz w:val="30"/>
          <w:szCs w:val="30"/>
          <w:rtl/>
          <w:lang w:bidi="ar-EG"/>
        </w:rPr>
        <w:t>الأقل</w:t>
      </w:r>
      <w:r w:rsidR="00B14E5D" w:rsidRPr="00EB5BCF">
        <w:rPr>
          <w:rFonts w:ascii="Traditional Arabic" w:hAnsi="Traditional Arabic" w:cs="Traditional Arabic"/>
          <w:b/>
          <w:sz w:val="30"/>
          <w:szCs w:val="30"/>
          <w:rtl/>
          <w:lang w:bidi="ar-EG"/>
        </w:rPr>
        <w:t xml:space="preserve"> </w:t>
      </w:r>
      <w:r w:rsidR="006545CB">
        <w:rPr>
          <w:rFonts w:ascii="Traditional Arabic" w:hAnsi="Traditional Arabic" w:cs="Traditional Arabic" w:hint="cs"/>
          <w:b/>
          <w:sz w:val="30"/>
          <w:szCs w:val="30"/>
          <w:rtl/>
          <w:lang w:bidi="ar-EG"/>
        </w:rPr>
        <w:t xml:space="preserve">حسب </w:t>
      </w:r>
      <w:r w:rsidR="00DC3E26">
        <w:rPr>
          <w:rFonts w:ascii="Traditional Arabic" w:hAnsi="Traditional Arabic" w:cs="Traditional Arabic" w:hint="cs"/>
          <w:b/>
          <w:sz w:val="30"/>
          <w:szCs w:val="30"/>
          <w:rtl/>
          <w:lang w:bidi="ar-EG"/>
        </w:rPr>
        <w:t xml:space="preserve">أيام العمل في </w:t>
      </w:r>
      <w:r w:rsidR="00F5575F">
        <w:rPr>
          <w:rFonts w:ascii="Traditional Arabic" w:hAnsi="Traditional Arabic" w:cs="Traditional Arabic" w:hint="cs"/>
          <w:b/>
          <w:sz w:val="30"/>
          <w:szCs w:val="30"/>
          <w:rtl/>
          <w:lang w:bidi="ar-EG"/>
        </w:rPr>
        <w:t xml:space="preserve">سلطنة عمان </w:t>
      </w:r>
      <w:r w:rsidR="00F11A6C" w:rsidRPr="00EB5BCF">
        <w:rPr>
          <w:rFonts w:ascii="Traditional Arabic" w:hAnsi="Traditional Arabic" w:cs="Traditional Arabic"/>
          <w:b/>
          <w:sz w:val="30"/>
          <w:szCs w:val="30"/>
          <w:rtl/>
        </w:rPr>
        <w:t xml:space="preserve">(كما هو محدد أدناه) أو أي تاريخ </w:t>
      </w:r>
      <w:r w:rsidR="00FD75D3" w:rsidRPr="00EB5BCF">
        <w:rPr>
          <w:rFonts w:ascii="Traditional Arabic" w:hAnsi="Traditional Arabic" w:cs="Traditional Arabic" w:hint="eastAsia"/>
          <w:b/>
          <w:sz w:val="30"/>
          <w:szCs w:val="30"/>
          <w:rtl/>
        </w:rPr>
        <w:t>سابق</w:t>
      </w:r>
      <w:r w:rsidR="00FD75D3" w:rsidRPr="00EB5BCF">
        <w:rPr>
          <w:rFonts w:ascii="Traditional Arabic" w:hAnsi="Traditional Arabic" w:cs="Traditional Arabic"/>
          <w:b/>
          <w:sz w:val="30"/>
          <w:szCs w:val="30"/>
          <w:rtl/>
        </w:rPr>
        <w:t xml:space="preserve"> </w:t>
      </w:r>
      <w:r w:rsidR="006C070B">
        <w:rPr>
          <w:rFonts w:ascii="Traditional Arabic" w:hAnsi="Traditional Arabic" w:cs="Traditional Arabic" w:hint="cs"/>
          <w:b/>
          <w:sz w:val="30"/>
          <w:szCs w:val="30"/>
          <w:rtl/>
        </w:rPr>
        <w:t>يحدده</w:t>
      </w:r>
      <w:r w:rsidR="00F11A6C" w:rsidRPr="00EB5BCF">
        <w:rPr>
          <w:rFonts w:ascii="Traditional Arabic" w:hAnsi="Traditional Arabic" w:cs="Traditional Arabic"/>
          <w:b/>
          <w:sz w:val="30"/>
          <w:szCs w:val="30"/>
          <w:rtl/>
        </w:rPr>
        <w:t xml:space="preserve"> </w:t>
      </w:r>
      <w:r w:rsidRPr="00EB5BCF">
        <w:rPr>
          <w:rFonts w:ascii="Traditional Arabic" w:hAnsi="Traditional Arabic" w:cs="Traditional Arabic"/>
          <w:b/>
          <w:sz w:val="30"/>
          <w:szCs w:val="30"/>
          <w:rtl/>
        </w:rPr>
        <w:t>المنسق العالمي المشترك</w:t>
      </w:r>
      <w:r w:rsidR="00077F49" w:rsidRPr="00EB5BCF">
        <w:rPr>
          <w:rFonts w:ascii="Traditional Arabic" w:hAnsi="Traditional Arabic" w:cs="Traditional Arabic"/>
          <w:b/>
          <w:sz w:val="30"/>
          <w:szCs w:val="30"/>
          <w:rtl/>
          <w:lang w:bidi="ar-EG"/>
        </w:rPr>
        <w:t xml:space="preserve">، ويُتوقع أن تُسلم الأسهم في تاريخ </w:t>
      </w:r>
      <w:r w:rsidR="00F11A6C" w:rsidRPr="00EB5BCF">
        <w:rPr>
          <w:rFonts w:ascii="Traditional Arabic" w:hAnsi="Traditional Arabic" w:cs="Traditional Arabic" w:hint="eastAsia"/>
          <w:b/>
          <w:sz w:val="30"/>
          <w:szCs w:val="30"/>
          <w:rtl/>
          <w:lang w:bidi="ar-EG"/>
        </w:rPr>
        <w:t>التسوية</w:t>
      </w:r>
      <w:r w:rsidR="003C0D88" w:rsidRPr="00EB5BCF">
        <w:rPr>
          <w:rFonts w:ascii="Traditional Arabic" w:hAnsi="Traditional Arabic" w:cs="Traditional Arabic"/>
          <w:b/>
          <w:sz w:val="30"/>
          <w:szCs w:val="30"/>
          <w:rtl/>
          <w:lang w:bidi="ar-EG"/>
        </w:rPr>
        <w:t xml:space="preserve"> </w:t>
      </w:r>
      <w:r w:rsidR="00077F49" w:rsidRPr="00EB5BCF">
        <w:rPr>
          <w:rFonts w:ascii="Traditional Arabic" w:hAnsi="Traditional Arabic" w:cs="Traditional Arabic"/>
          <w:b/>
          <w:sz w:val="30"/>
          <w:szCs w:val="30"/>
          <w:rtl/>
          <w:lang w:bidi="ar-EG"/>
        </w:rPr>
        <w:t xml:space="preserve">من خلال خاصية القيد الدفتري </w:t>
      </w:r>
      <w:r w:rsidR="00281176">
        <w:rPr>
          <w:rFonts w:ascii="Traditional Arabic" w:hAnsi="Traditional Arabic" w:cs="Traditional Arabic" w:hint="cs"/>
          <w:b/>
          <w:sz w:val="30"/>
          <w:szCs w:val="30"/>
          <w:rtl/>
          <w:lang w:bidi="ar-EG"/>
        </w:rPr>
        <w:t xml:space="preserve">التي </w:t>
      </w:r>
      <w:r w:rsidR="00591545">
        <w:rPr>
          <w:rFonts w:ascii="Traditional Arabic" w:hAnsi="Traditional Arabic" w:cs="Traditional Arabic" w:hint="cs"/>
          <w:b/>
          <w:sz w:val="30"/>
          <w:szCs w:val="30"/>
          <w:rtl/>
          <w:lang w:bidi="ar-EG"/>
        </w:rPr>
        <w:t>تُشرف عليه شركة مسقط للمقاصة والإيداع ش م ع م</w:t>
      </w:r>
      <w:r w:rsidR="00077F49" w:rsidRPr="00EB5BCF">
        <w:rPr>
          <w:rFonts w:ascii="Traditional Arabic" w:hAnsi="Traditional Arabic" w:cs="Traditional Arabic"/>
          <w:b/>
          <w:sz w:val="30"/>
          <w:szCs w:val="30"/>
          <w:rtl/>
          <w:lang w:bidi="ar-EG"/>
        </w:rPr>
        <w:t>.</w:t>
      </w:r>
    </w:p>
    <w:p w14:paraId="411F0EC4" w14:textId="77777777" w:rsidR="000D1272" w:rsidRPr="00EB5BCF" w:rsidRDefault="000D1272" w:rsidP="00882781">
      <w:pPr>
        <w:keepNext/>
        <w:bidi/>
        <w:jc w:val="lowKashida"/>
        <w:rPr>
          <w:rFonts w:ascii="Traditional Arabic" w:hAnsi="Traditional Arabic" w:cs="Traditional Arabic"/>
          <w:b/>
          <w:sz w:val="30"/>
          <w:szCs w:val="30"/>
          <w:rtl/>
          <w:lang w:bidi="ar-EG"/>
        </w:rPr>
      </w:pPr>
    </w:p>
    <w:p w14:paraId="5F864D18" w14:textId="77777777" w:rsidR="000D1272" w:rsidRPr="00EB5BCF" w:rsidRDefault="000D1272" w:rsidP="00882781">
      <w:pPr>
        <w:keepNext/>
        <w:bidi/>
        <w:jc w:val="lowKashida"/>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 xml:space="preserve">لن تتحمل </w:t>
      </w:r>
      <w:r w:rsidR="00F24356">
        <w:rPr>
          <w:rFonts w:ascii="Traditional Arabic" w:hAnsi="Traditional Arabic" w:cs="Traditional Arabic" w:hint="cs"/>
          <w:sz w:val="30"/>
          <w:szCs w:val="30"/>
          <w:rtl/>
          <w:lang w:val="en-GB" w:bidi="ar-EG"/>
        </w:rPr>
        <w:t>هيئة الخدمات المالية</w:t>
      </w:r>
      <w:r w:rsidRPr="00EB5BCF">
        <w:rPr>
          <w:rFonts w:ascii="Traditional Arabic" w:hAnsi="Traditional Arabic" w:cs="Traditional Arabic"/>
          <w:sz w:val="30"/>
          <w:szCs w:val="30"/>
          <w:rtl/>
          <w:lang w:val="en-GB"/>
        </w:rPr>
        <w:t xml:space="preserve"> </w:t>
      </w:r>
      <w:r w:rsidR="005E5107" w:rsidRPr="00EB5BCF">
        <w:rPr>
          <w:rFonts w:ascii="Traditional Arabic" w:hAnsi="Traditional Arabic" w:cs="Traditional Arabic"/>
          <w:sz w:val="30"/>
          <w:szCs w:val="30"/>
          <w:rtl/>
          <w:lang w:val="en-GB"/>
        </w:rPr>
        <w:t>(يشار إليها فيما بعد بـ "</w:t>
      </w:r>
      <w:r w:rsidRPr="00EB5BCF">
        <w:rPr>
          <w:rFonts w:ascii="Traditional Arabic" w:hAnsi="Traditional Arabic" w:cs="Traditional Arabic"/>
          <w:sz w:val="30"/>
          <w:szCs w:val="30"/>
          <w:rtl/>
          <w:lang w:val="en-GB"/>
        </w:rPr>
        <w:t>الهيئة"</w:t>
      </w:r>
      <w:r w:rsidR="005E5107"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 xml:space="preserve"> مسؤولية دقة وكفاية البيانات والمعلومات الواردة في هذه النشرة كما أن الهيئة لن تكون مسؤولة عن أي ضرر أو خسارة تنتج عن الاعتماد على هذه المعلومات والبيانات</w:t>
      </w:r>
      <w:r w:rsidR="008252E9" w:rsidRPr="00EB5BCF">
        <w:rPr>
          <w:rFonts w:ascii="Traditional Arabic" w:hAnsi="Traditional Arabic" w:cs="Traditional Arabic"/>
          <w:sz w:val="30"/>
          <w:szCs w:val="30"/>
          <w:rtl/>
          <w:lang w:val="en-GB"/>
        </w:rPr>
        <w:t xml:space="preserve"> </w:t>
      </w:r>
      <w:r w:rsidRPr="00EB5BCF">
        <w:rPr>
          <w:rFonts w:ascii="Traditional Arabic" w:hAnsi="Traditional Arabic" w:cs="Traditional Arabic"/>
          <w:sz w:val="30"/>
          <w:szCs w:val="30"/>
          <w:rtl/>
          <w:lang w:val="en-GB"/>
        </w:rPr>
        <w:t xml:space="preserve">أو استخدام </w:t>
      </w:r>
      <w:r w:rsidRPr="00EB5BCF">
        <w:rPr>
          <w:rFonts w:ascii="Traditional Arabic" w:hAnsi="Traditional Arabic" w:cs="Traditional Arabic"/>
          <w:sz w:val="30"/>
          <w:szCs w:val="30"/>
          <w:rtl/>
          <w:lang w:val="en-GB"/>
        </w:rPr>
        <w:lastRenderedPageBreak/>
        <w:t xml:space="preserve">أي جزء منها من قبل أي شخص، وقد تم إعداد هذه النشرة وفقاً لمتطلبات نشرات الإصدار المقررة من قبل </w:t>
      </w:r>
      <w:r w:rsidR="00F24356">
        <w:rPr>
          <w:rFonts w:ascii="Traditional Arabic" w:hAnsi="Traditional Arabic" w:cs="Traditional Arabic" w:hint="cs"/>
          <w:sz w:val="30"/>
          <w:szCs w:val="30"/>
          <w:rtl/>
          <w:lang w:val="en-GB"/>
        </w:rPr>
        <w:t>هيئة الخدمات المالية</w:t>
      </w:r>
      <w:r w:rsidR="00DB35FF">
        <w:rPr>
          <w:rFonts w:ascii="Traditional Arabic" w:hAnsi="Traditional Arabic" w:cs="Traditional Arabic" w:hint="cs"/>
          <w:sz w:val="30"/>
          <w:szCs w:val="30"/>
          <w:rtl/>
          <w:lang w:val="en-GB"/>
        </w:rPr>
        <w:t>.</w:t>
      </w:r>
    </w:p>
    <w:p w14:paraId="3E486E08" w14:textId="77777777" w:rsidR="000D1272" w:rsidRPr="00EB5BCF" w:rsidRDefault="000D1272" w:rsidP="00882781">
      <w:pPr>
        <w:keepNext/>
        <w:bidi/>
        <w:jc w:val="lowKashida"/>
        <w:rPr>
          <w:rFonts w:ascii="Traditional Arabic" w:hAnsi="Traditional Arabic" w:cs="Traditional Arabic"/>
          <w:sz w:val="30"/>
          <w:szCs w:val="30"/>
          <w:rtl/>
          <w:lang w:val="en-GB"/>
        </w:rPr>
      </w:pPr>
    </w:p>
    <w:p w14:paraId="7BB1FA5A" w14:textId="77777777" w:rsidR="000D1272" w:rsidRPr="00EB5BCF" w:rsidRDefault="000D1272" w:rsidP="00882781">
      <w:pPr>
        <w:keepNext/>
        <w:bidi/>
        <w:jc w:val="lowKashida"/>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ولا تشكل هذه النشرة عرضًا من قبل الشركة أو بالنيابة عنها لبيع الأسهم أو الدعوة للاكتتاب في أي من أسهم الطرح في أي مكان خارج سلطنة عمان يُحتمل أن يكون توزيع هذه النشرة فيه محظورا</w:t>
      </w:r>
      <w:r w:rsidR="005E5107"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w:t>
      </w:r>
    </w:p>
    <w:p w14:paraId="75DE398A" w14:textId="77777777" w:rsidR="000D1272" w:rsidRPr="00EB5BCF" w:rsidRDefault="000D1272" w:rsidP="00882781">
      <w:pPr>
        <w:keepNext/>
        <w:bidi/>
        <w:jc w:val="lowKashida"/>
        <w:rPr>
          <w:rFonts w:ascii="Traditional Arabic" w:hAnsi="Traditional Arabic" w:cs="Traditional Arabic"/>
          <w:sz w:val="30"/>
          <w:szCs w:val="30"/>
          <w:rtl/>
          <w:lang w:val="en-GB"/>
        </w:rPr>
      </w:pPr>
    </w:p>
    <w:p w14:paraId="6952643B" w14:textId="77777777" w:rsidR="000D1272" w:rsidRPr="00EB5BCF" w:rsidRDefault="000D1272" w:rsidP="00882781">
      <w:pPr>
        <w:keepNext/>
        <w:bidi/>
        <w:jc w:val="lowKashida"/>
        <w:rPr>
          <w:rFonts w:ascii="Traditional Arabic" w:hAnsi="Traditional Arabic" w:cs="Traditional Arabic"/>
          <w:sz w:val="30"/>
          <w:szCs w:val="30"/>
          <w:rtl/>
          <w:lang w:bidi="ar-EG"/>
        </w:rPr>
      </w:pPr>
      <w:r w:rsidRPr="00EB5BCF">
        <w:rPr>
          <w:rFonts w:ascii="Traditional Arabic" w:hAnsi="Traditional Arabic" w:cs="Traditional Arabic"/>
          <w:sz w:val="30"/>
          <w:szCs w:val="30"/>
          <w:rtl/>
          <w:lang w:bidi="ar-EG"/>
        </w:rPr>
        <w:t xml:space="preserve">قد تكون الأسهم غير سائلة، </w:t>
      </w:r>
      <w:r w:rsidR="001F4E67" w:rsidRPr="00EB5BCF">
        <w:rPr>
          <w:rFonts w:ascii="Traditional Arabic" w:hAnsi="Traditional Arabic" w:cs="Traditional Arabic"/>
          <w:sz w:val="30"/>
          <w:szCs w:val="30"/>
          <w:rtl/>
          <w:lang w:bidi="ar-EG"/>
        </w:rPr>
        <w:t xml:space="preserve">عليه </w:t>
      </w:r>
      <w:r w:rsidRPr="00EB5BCF">
        <w:rPr>
          <w:rFonts w:ascii="Traditional Arabic" w:hAnsi="Traditional Arabic" w:cs="Traditional Arabic"/>
          <w:sz w:val="30"/>
          <w:szCs w:val="30"/>
          <w:rtl/>
          <w:lang w:bidi="ar-EG"/>
        </w:rPr>
        <w:t xml:space="preserve">يتعين على </w:t>
      </w:r>
      <w:r w:rsidR="001F4E67" w:rsidRPr="00EB5BCF">
        <w:rPr>
          <w:rFonts w:ascii="Traditional Arabic" w:hAnsi="Traditional Arabic" w:cs="Traditional Arabic"/>
          <w:sz w:val="30"/>
          <w:szCs w:val="30"/>
          <w:rtl/>
          <w:lang w:bidi="ar-EG"/>
        </w:rPr>
        <w:t xml:space="preserve">المستثمرين المحتملين </w:t>
      </w:r>
      <w:r w:rsidRPr="00EB5BCF">
        <w:rPr>
          <w:rFonts w:ascii="Traditional Arabic" w:hAnsi="Traditional Arabic" w:cs="Traditional Arabic"/>
          <w:sz w:val="30"/>
          <w:szCs w:val="30"/>
          <w:rtl/>
          <w:lang w:bidi="ar-EG"/>
        </w:rPr>
        <w:t xml:space="preserve">تحمل المخاطر المالية لمدة غير محددة من الزمن، ومن ثم ينبغي </w:t>
      </w:r>
      <w:r w:rsidR="001F4E67" w:rsidRPr="00EB5BCF">
        <w:rPr>
          <w:rFonts w:ascii="Traditional Arabic" w:hAnsi="Traditional Arabic" w:cs="Traditional Arabic"/>
          <w:sz w:val="30"/>
          <w:szCs w:val="30"/>
          <w:rtl/>
          <w:lang w:bidi="ar-EG"/>
        </w:rPr>
        <w:t xml:space="preserve">عليهم التحري والبحث </w:t>
      </w:r>
      <w:r w:rsidRPr="00EB5BCF">
        <w:rPr>
          <w:rFonts w:ascii="Traditional Arabic" w:hAnsi="Traditional Arabic" w:cs="Traditional Arabic"/>
          <w:sz w:val="30"/>
          <w:szCs w:val="30"/>
          <w:rtl/>
          <w:lang w:bidi="ar-EG"/>
        </w:rPr>
        <w:t xml:space="preserve">عن الأوراق المالية </w:t>
      </w:r>
      <w:r w:rsidR="001F4E67" w:rsidRPr="00EB5BCF">
        <w:rPr>
          <w:rFonts w:ascii="Traditional Arabic" w:hAnsi="Traditional Arabic" w:cs="Traditional Arabic"/>
          <w:sz w:val="30"/>
          <w:szCs w:val="30"/>
          <w:rtl/>
          <w:lang w:bidi="ar-EG"/>
        </w:rPr>
        <w:t>المطروحة</w:t>
      </w:r>
      <w:r w:rsidRPr="00EB5BCF">
        <w:rPr>
          <w:rFonts w:ascii="Traditional Arabic" w:hAnsi="Traditional Arabic" w:cs="Traditional Arabic"/>
          <w:sz w:val="30"/>
          <w:szCs w:val="30"/>
          <w:rtl/>
          <w:lang w:bidi="ar-EG"/>
        </w:rPr>
        <w:t xml:space="preserve">، </w:t>
      </w:r>
      <w:r w:rsidR="00B14E5D" w:rsidRPr="00EB5BCF">
        <w:rPr>
          <w:rFonts w:ascii="Traditional Arabic" w:hAnsi="Traditional Arabic" w:cs="Traditional Arabic" w:hint="eastAsia"/>
          <w:sz w:val="30"/>
          <w:szCs w:val="30"/>
          <w:rtl/>
          <w:lang w:bidi="ar-EG"/>
        </w:rPr>
        <w:t>ففي</w:t>
      </w:r>
      <w:r w:rsidR="00B14E5D" w:rsidRPr="00EB5BCF">
        <w:rPr>
          <w:rFonts w:ascii="Traditional Arabic" w:hAnsi="Traditional Arabic" w:cs="Traditional Arabic"/>
          <w:sz w:val="30"/>
          <w:szCs w:val="30"/>
          <w:rtl/>
          <w:lang w:bidi="ar-EG"/>
        </w:rPr>
        <w:t xml:space="preserve"> حال </w:t>
      </w:r>
      <w:r w:rsidR="00B14E5D" w:rsidRPr="00EB5BCF">
        <w:rPr>
          <w:rFonts w:ascii="Traditional Arabic" w:hAnsi="Traditional Arabic" w:cs="Traditional Arabic" w:hint="eastAsia"/>
          <w:sz w:val="30"/>
          <w:szCs w:val="30"/>
          <w:rtl/>
          <w:lang w:bidi="ar-EG"/>
        </w:rPr>
        <w:t>وجود</w:t>
      </w:r>
      <w:r w:rsidR="00B14E5D" w:rsidRPr="00EB5BCF">
        <w:rPr>
          <w:rFonts w:ascii="Traditional Arabic" w:hAnsi="Traditional Arabic" w:cs="Traditional Arabic"/>
          <w:sz w:val="30"/>
          <w:szCs w:val="30"/>
          <w:rtl/>
          <w:lang w:bidi="ar-EG"/>
        </w:rPr>
        <w:t xml:space="preserve"> بعض الغموض في </w:t>
      </w:r>
      <w:r w:rsidRPr="00EB5BCF">
        <w:rPr>
          <w:rFonts w:ascii="Traditional Arabic" w:hAnsi="Traditional Arabic" w:cs="Traditional Arabic"/>
          <w:sz w:val="30"/>
          <w:szCs w:val="30"/>
          <w:rtl/>
          <w:lang w:bidi="ar-EG"/>
        </w:rPr>
        <w:t>محتوى هذه النشرة فالأولى استشارة مستشار مالي معتمد.</w:t>
      </w:r>
    </w:p>
    <w:p w14:paraId="18DC2A71" w14:textId="77777777" w:rsidR="005E6F24" w:rsidRDefault="005E6F24" w:rsidP="004400EC">
      <w:pPr>
        <w:keepNext/>
        <w:bidi/>
        <w:rPr>
          <w:rFonts w:ascii="Traditional Arabic" w:hAnsi="Traditional Arabic" w:cs="Traditional Arabic"/>
          <w:bCs/>
          <w:sz w:val="30"/>
          <w:szCs w:val="30"/>
          <w:rtl/>
          <w:lang w:val="en-GB"/>
        </w:rPr>
      </w:pPr>
    </w:p>
    <w:p w14:paraId="5154DFF5" w14:textId="77777777" w:rsidR="00077F49" w:rsidRPr="00EB5BCF" w:rsidRDefault="00077F49" w:rsidP="00CA4D73">
      <w:pPr>
        <w:keepNext/>
        <w:bidi/>
        <w:rPr>
          <w:rFonts w:ascii="Traditional Arabic" w:hAnsi="Traditional Arabic" w:cs="Traditional Arabic"/>
          <w:bCs/>
          <w:sz w:val="30"/>
          <w:szCs w:val="30"/>
        </w:rPr>
      </w:pPr>
    </w:p>
    <w:tbl>
      <w:tblPr>
        <w:tblStyle w:val="TableGrid"/>
        <w:bidiVisual/>
        <w:tblW w:w="0" w:type="auto"/>
        <w:tblLook w:val="04A0" w:firstRow="1" w:lastRow="0" w:firstColumn="1" w:lastColumn="0" w:noHBand="0" w:noVBand="1"/>
      </w:tblPr>
      <w:tblGrid>
        <w:gridCol w:w="4675"/>
        <w:gridCol w:w="4675"/>
      </w:tblGrid>
      <w:tr w:rsidR="004400EC" w:rsidRPr="00EB5BCF" w14:paraId="3B256A8A" w14:textId="77777777" w:rsidTr="00C64EDB">
        <w:tc>
          <w:tcPr>
            <w:tcW w:w="9350" w:type="dxa"/>
            <w:gridSpan w:val="2"/>
          </w:tcPr>
          <w:p w14:paraId="4020889B" w14:textId="77777777" w:rsidR="004400EC" w:rsidRDefault="004400EC" w:rsidP="00CA4D73">
            <w:pPr>
              <w:keepNext/>
              <w:bidi/>
              <w:jc w:val="center"/>
              <w:rPr>
                <w:rtl/>
                <w:lang w:val="en-GB"/>
              </w:rPr>
            </w:pPr>
            <w:r>
              <w:rPr>
                <w:rFonts w:ascii="Traditional Arabic" w:hAnsi="Traditional Arabic" w:cs="Traditional Arabic" w:hint="cs"/>
                <w:bCs/>
                <w:sz w:val="30"/>
                <w:szCs w:val="30"/>
                <w:rtl/>
                <w:lang w:val="en-GB"/>
              </w:rPr>
              <w:t>الشركة</w:t>
            </w:r>
          </w:p>
        </w:tc>
      </w:tr>
      <w:tr w:rsidR="004400EC" w:rsidRPr="00EB5BCF" w14:paraId="3830612C" w14:textId="77777777" w:rsidTr="00C64EDB">
        <w:tc>
          <w:tcPr>
            <w:tcW w:w="9350" w:type="dxa"/>
            <w:gridSpan w:val="2"/>
          </w:tcPr>
          <w:p w14:paraId="25750DDF" w14:textId="77777777" w:rsidR="004400EC" w:rsidRDefault="004400EC" w:rsidP="00010339">
            <w:pPr>
              <w:keepNext/>
              <w:bidi/>
              <w:jc w:val="center"/>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 xml:space="preserve">شركة </w:t>
            </w:r>
            <w:r>
              <w:rPr>
                <w:rFonts w:ascii="Traditional Arabic" w:hAnsi="Traditional Arabic" w:cs="Traditional Arabic"/>
                <w:bCs/>
                <w:sz w:val="30"/>
                <w:szCs w:val="30"/>
                <w:rtl/>
                <w:lang w:val="en-GB"/>
              </w:rPr>
              <w:t>أسياد للنقل البحري ش م ع ع</w:t>
            </w:r>
            <w:r w:rsidR="00010339">
              <w:rPr>
                <w:rFonts w:ascii="Traditional Arabic" w:hAnsi="Traditional Arabic" w:cs="Traditional Arabic"/>
                <w:bCs/>
                <w:sz w:val="30"/>
                <w:szCs w:val="30"/>
                <w:lang w:val="en-GB"/>
              </w:rPr>
              <w:t xml:space="preserve"> </w:t>
            </w:r>
            <w:r w:rsidRPr="00EB5BCF">
              <w:rPr>
                <w:rFonts w:ascii="Traditional Arabic" w:hAnsi="Traditional Arabic" w:cs="Traditional Arabic"/>
                <w:bCs/>
                <w:sz w:val="30"/>
                <w:szCs w:val="30"/>
                <w:rtl/>
                <w:lang w:val="en-GB"/>
              </w:rPr>
              <w:t>(قيد التحول)</w:t>
            </w:r>
          </w:p>
          <w:p w14:paraId="16A1E068" w14:textId="77777777" w:rsidR="004400EC" w:rsidRPr="00CA4D73" w:rsidRDefault="004400EC" w:rsidP="004400EC">
            <w:pPr>
              <w:keepNext/>
              <w:bidi/>
              <w:jc w:val="center"/>
              <w:rPr>
                <w:rFonts w:ascii="Traditional Arabic" w:hAnsi="Traditional Arabic" w:cs="Traditional Arabic"/>
                <w:b/>
                <w:sz w:val="24"/>
                <w:rtl/>
                <w:lang w:val="en-GB"/>
              </w:rPr>
            </w:pPr>
            <w:r w:rsidRPr="00CA4D73">
              <w:rPr>
                <w:rFonts w:ascii="Traditional Arabic" w:hAnsi="Traditional Arabic" w:cs="Traditional Arabic" w:hint="eastAsia"/>
                <w:b/>
                <w:sz w:val="24"/>
                <w:rtl/>
                <w:lang w:val="en-GB"/>
              </w:rPr>
              <w:t>مدينة</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السلطان</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قابوس،</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بوشر</w:t>
            </w:r>
          </w:p>
          <w:p w14:paraId="5B2AB8B1" w14:textId="77777777" w:rsidR="004400EC" w:rsidRPr="00CA4D73" w:rsidRDefault="004400EC" w:rsidP="004400EC">
            <w:pPr>
              <w:keepNext/>
              <w:bidi/>
              <w:jc w:val="center"/>
              <w:rPr>
                <w:rFonts w:ascii="Traditional Arabic" w:hAnsi="Traditional Arabic" w:cs="Traditional Arabic"/>
                <w:b/>
                <w:sz w:val="24"/>
                <w:rtl/>
                <w:lang w:val="en-GB"/>
              </w:rPr>
            </w:pPr>
            <w:r w:rsidRPr="00CA4D73">
              <w:rPr>
                <w:rFonts w:ascii="Traditional Arabic" w:hAnsi="Traditional Arabic" w:cs="Traditional Arabic" w:hint="eastAsia"/>
                <w:b/>
                <w:sz w:val="24"/>
                <w:rtl/>
                <w:lang w:val="en-GB"/>
              </w:rPr>
              <w:t>ص</w:t>
            </w:r>
            <w:r w:rsidRPr="00CA4D73">
              <w:rPr>
                <w:rFonts w:ascii="Traditional Arabic" w:hAnsi="Traditional Arabic" w:cs="Traditional Arabic"/>
                <w:b/>
                <w:sz w:val="24"/>
                <w:rtl/>
                <w:lang w:val="en-GB"/>
              </w:rPr>
              <w:t xml:space="preserve">.ب </w:t>
            </w:r>
            <w:r w:rsidRPr="00CA4D73">
              <w:rPr>
                <w:rFonts w:ascii="Traditional Arabic" w:hAnsi="Traditional Arabic" w:cs="Traditional Arabic"/>
                <w:b/>
                <w:sz w:val="24"/>
                <w:rtl/>
              </w:rPr>
              <w:t>104</w:t>
            </w:r>
            <w:r w:rsidRPr="00CA4D73">
              <w:rPr>
                <w:rFonts w:ascii="Traditional Arabic" w:hAnsi="Traditional Arabic" w:cs="Traditional Arabic" w:hint="eastAsia"/>
                <w:b/>
                <w:sz w:val="24"/>
                <w:rtl/>
                <w:lang w:val="en-GB"/>
              </w:rPr>
              <w:t>،</w:t>
            </w:r>
            <w:r w:rsidRPr="00CA4D73">
              <w:rPr>
                <w:rFonts w:ascii="Traditional Arabic" w:hAnsi="Traditional Arabic" w:cs="Traditional Arabic"/>
                <w:b/>
                <w:sz w:val="24"/>
                <w:rtl/>
                <w:lang w:val="en-GB"/>
              </w:rPr>
              <w:t xml:space="preserve"> والرمز البريدي 118 </w:t>
            </w:r>
          </w:p>
          <w:p w14:paraId="10FC4003" w14:textId="77777777" w:rsidR="004400EC" w:rsidRDefault="004400EC" w:rsidP="00CA4D73">
            <w:pPr>
              <w:keepNext/>
              <w:bidi/>
              <w:jc w:val="center"/>
              <w:rPr>
                <w:rtl/>
                <w:lang w:val="en-GB"/>
              </w:rPr>
            </w:pPr>
            <w:r w:rsidRPr="00CA4D73">
              <w:rPr>
                <w:rFonts w:ascii="Traditional Arabic" w:hAnsi="Traditional Arabic" w:cs="Traditional Arabic"/>
                <w:b/>
                <w:sz w:val="24"/>
                <w:rtl/>
                <w:lang w:val="en-GB"/>
              </w:rPr>
              <w:t xml:space="preserve"> محافظة مسقط، سلطنة عمان</w:t>
            </w:r>
            <w:r w:rsidRPr="004577EC" w:rsidDel="004577EC">
              <w:rPr>
                <w:rFonts w:ascii="Traditional Arabic" w:hAnsi="Traditional Arabic" w:cs="Traditional Arabic" w:hint="cs"/>
                <w:b/>
                <w:sz w:val="30"/>
                <w:szCs w:val="30"/>
                <w:rtl/>
                <w:lang w:val="en-GB"/>
              </w:rPr>
              <w:t xml:space="preserve"> </w:t>
            </w:r>
          </w:p>
        </w:tc>
      </w:tr>
      <w:tr w:rsidR="004400EC" w:rsidRPr="00EB5BCF" w14:paraId="06EF5999" w14:textId="77777777" w:rsidTr="00C64EDB">
        <w:tc>
          <w:tcPr>
            <w:tcW w:w="9350" w:type="dxa"/>
            <w:gridSpan w:val="2"/>
          </w:tcPr>
          <w:p w14:paraId="330CA3A9" w14:textId="77777777" w:rsidR="004400EC" w:rsidRDefault="004400EC" w:rsidP="00CA4D73">
            <w:pPr>
              <w:keepNext/>
              <w:bidi/>
              <w:jc w:val="center"/>
              <w:rPr>
                <w:rtl/>
                <w:lang w:val="en-GB"/>
              </w:rPr>
            </w:pPr>
            <w:r>
              <w:rPr>
                <w:rFonts w:ascii="Traditional Arabic" w:hAnsi="Traditional Arabic" w:cs="Traditional Arabic"/>
                <w:bCs/>
                <w:sz w:val="30"/>
                <w:szCs w:val="30"/>
                <w:rtl/>
                <w:lang w:val="en-GB"/>
              </w:rPr>
              <w:t>المساهم البائع</w:t>
            </w:r>
          </w:p>
        </w:tc>
      </w:tr>
      <w:tr w:rsidR="004400EC" w:rsidRPr="00EB5BCF" w14:paraId="184893FB" w14:textId="77777777" w:rsidTr="00C64EDB">
        <w:tc>
          <w:tcPr>
            <w:tcW w:w="9350" w:type="dxa"/>
            <w:gridSpan w:val="2"/>
          </w:tcPr>
          <w:p w14:paraId="274CF5D6" w14:textId="77777777" w:rsidR="004400EC" w:rsidRDefault="004400EC" w:rsidP="004400EC">
            <w:pPr>
              <w:keepNext/>
              <w:bidi/>
              <w:jc w:val="center"/>
              <w:rPr>
                <w:rFonts w:ascii="Traditional Arabic" w:hAnsi="Traditional Arabic" w:cs="Traditional Arabic"/>
                <w:bCs/>
                <w:sz w:val="30"/>
                <w:szCs w:val="30"/>
                <w:rtl/>
                <w:lang w:val="en-GB"/>
              </w:rPr>
            </w:pPr>
            <w:r>
              <w:rPr>
                <w:rFonts w:ascii="Traditional Arabic" w:hAnsi="Traditional Arabic" w:cs="Traditional Arabic" w:hint="cs"/>
                <w:bCs/>
                <w:sz w:val="30"/>
                <w:szCs w:val="30"/>
                <w:rtl/>
                <w:lang w:val="en-GB"/>
              </w:rPr>
              <w:t>مجموعة أسياد ش م ع م</w:t>
            </w:r>
          </w:p>
          <w:p w14:paraId="4E7FCF82" w14:textId="77777777" w:rsidR="004400EC" w:rsidRPr="00CA4D73" w:rsidRDefault="004400EC" w:rsidP="004400EC">
            <w:pPr>
              <w:pStyle w:val="Centered"/>
              <w:bidi/>
              <w:spacing w:after="0"/>
              <w:rPr>
                <w:rFonts w:ascii="Traditional Arabic" w:hAnsi="Traditional Arabic" w:cs="Traditional Arabic"/>
                <w:bCs/>
                <w:sz w:val="24"/>
                <w:rtl/>
                <w:lang w:val="en-GB"/>
              </w:rPr>
            </w:pPr>
            <w:r w:rsidRPr="00CA4D73">
              <w:rPr>
                <w:rFonts w:ascii="Traditional Arabic" w:hAnsi="Traditional Arabic" w:cs="Traditional Arabic" w:hint="eastAsia"/>
                <w:b/>
                <w:sz w:val="24"/>
                <w:rtl/>
                <w:lang w:val="en-GB"/>
              </w:rPr>
              <w:t>ص</w:t>
            </w:r>
            <w:r w:rsidRPr="00CA4D73">
              <w:rPr>
                <w:rFonts w:ascii="Traditional Arabic" w:hAnsi="Traditional Arabic" w:cs="Traditional Arabic"/>
                <w:b/>
                <w:sz w:val="24"/>
                <w:rtl/>
                <w:lang w:val="en-GB"/>
              </w:rPr>
              <w:t xml:space="preserve">.ب 470، </w:t>
            </w:r>
            <w:r w:rsidRPr="00CA4D73">
              <w:rPr>
                <w:rFonts w:ascii="Traditional Arabic" w:hAnsi="Traditional Arabic" w:cs="Traditional Arabic" w:hint="eastAsia"/>
                <w:b/>
                <w:sz w:val="24"/>
                <w:rtl/>
                <w:lang w:val="en-GB"/>
              </w:rPr>
              <w:t>والرمز</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البريدي</w:t>
            </w:r>
            <w:r w:rsidRPr="00CA4D73">
              <w:rPr>
                <w:rFonts w:ascii="Traditional Arabic" w:hAnsi="Traditional Arabic" w:cs="Traditional Arabic"/>
                <w:b/>
                <w:sz w:val="24"/>
                <w:rtl/>
                <w:lang w:val="en-GB"/>
              </w:rPr>
              <w:t xml:space="preserve"> 115، </w:t>
            </w:r>
            <w:r w:rsidRPr="00CA4D73">
              <w:rPr>
                <w:rFonts w:ascii="Traditional Arabic" w:hAnsi="Traditional Arabic" w:cs="Traditional Arabic" w:hint="eastAsia"/>
                <w:b/>
                <w:sz w:val="24"/>
                <w:rtl/>
                <w:lang w:val="en-GB"/>
              </w:rPr>
              <w:t>مدينة</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السلطان</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قابوس،</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مسقط،</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سلطنة</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عمان</w:t>
            </w:r>
          </w:p>
        </w:tc>
      </w:tr>
      <w:tr w:rsidR="004400EC" w:rsidRPr="00EB5BCF" w14:paraId="4AA6B3D6" w14:textId="77777777" w:rsidTr="00C64EDB">
        <w:tc>
          <w:tcPr>
            <w:tcW w:w="9350" w:type="dxa"/>
            <w:gridSpan w:val="2"/>
          </w:tcPr>
          <w:p w14:paraId="3361D149" w14:textId="77777777" w:rsidR="004400EC" w:rsidRDefault="004400EC" w:rsidP="009271CE">
            <w:pPr>
              <w:pStyle w:val="Centered"/>
              <w:bidi/>
              <w:spacing w:after="0"/>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 xml:space="preserve">المنسق العالمي المشترك </w:t>
            </w:r>
            <w:r>
              <w:rPr>
                <w:rFonts w:ascii="Traditional Arabic" w:hAnsi="Traditional Arabic" w:cs="Traditional Arabic" w:hint="cs"/>
                <w:bCs/>
                <w:sz w:val="30"/>
                <w:szCs w:val="30"/>
                <w:rtl/>
                <w:lang w:val="en-GB"/>
              </w:rPr>
              <w:t>ومدير سجل الاكتتاب المشترك</w:t>
            </w:r>
          </w:p>
        </w:tc>
      </w:tr>
      <w:tr w:rsidR="002F5741" w:rsidRPr="00EB5BCF" w14:paraId="62CFFF3F" w14:textId="77777777" w:rsidTr="00C64EDB">
        <w:tc>
          <w:tcPr>
            <w:tcW w:w="9350" w:type="dxa"/>
            <w:gridSpan w:val="2"/>
          </w:tcPr>
          <w:p w14:paraId="784DFC2B" w14:textId="77777777" w:rsidR="002F5741" w:rsidRPr="009E518B" w:rsidRDefault="00E01047" w:rsidP="00E01047">
            <w:pPr>
              <w:pStyle w:val="BodyText1"/>
              <w:bidi/>
              <w:jc w:val="center"/>
              <w:rPr>
                <w:rtl/>
                <w:lang w:val="en-GB"/>
              </w:rPr>
            </w:pPr>
            <w:bookmarkStart w:id="1" w:name="_Hlk116247099"/>
            <w:r w:rsidRPr="00BC6A32">
              <w:rPr>
                <w:rFonts w:ascii="Traditional Arabic" w:hAnsi="Traditional Arabic" w:cs="Traditional Arabic" w:hint="cs"/>
                <w:bCs/>
                <w:sz w:val="30"/>
                <w:szCs w:val="30"/>
                <w:rtl/>
                <w:lang w:val="en-GB"/>
              </w:rPr>
              <w:t xml:space="preserve">ثلاث </w:t>
            </w:r>
            <w:r w:rsidR="002F5741" w:rsidRPr="00BC6A32">
              <w:rPr>
                <w:rFonts w:ascii="Traditional Arabic" w:hAnsi="Traditional Arabic" w:cs="Traditional Arabic" w:hint="cs"/>
                <w:bCs/>
                <w:sz w:val="30"/>
                <w:szCs w:val="30"/>
                <w:rtl/>
                <w:lang w:val="en-GB"/>
              </w:rPr>
              <w:t>مؤسس</w:t>
            </w:r>
            <w:r w:rsidRPr="00BC6A32">
              <w:rPr>
                <w:rFonts w:ascii="Traditional Arabic" w:hAnsi="Traditional Arabic" w:cs="Traditional Arabic" w:hint="cs"/>
                <w:bCs/>
                <w:sz w:val="30"/>
                <w:szCs w:val="30"/>
                <w:rtl/>
                <w:lang w:val="en-GB"/>
              </w:rPr>
              <w:t>ات</w:t>
            </w:r>
            <w:r w:rsidR="002F5741" w:rsidRPr="00BC6A32">
              <w:rPr>
                <w:rFonts w:ascii="Traditional Arabic" w:hAnsi="Traditional Arabic" w:cs="Traditional Arabic" w:hint="cs"/>
                <w:bCs/>
                <w:sz w:val="30"/>
                <w:szCs w:val="30"/>
                <w:rtl/>
                <w:lang w:val="en-GB"/>
              </w:rPr>
              <w:t xml:space="preserve"> دولي</w:t>
            </w:r>
            <w:r w:rsidRPr="00BC6A32">
              <w:rPr>
                <w:rFonts w:ascii="Traditional Arabic" w:hAnsi="Traditional Arabic" w:cs="Traditional Arabic" w:hint="cs"/>
                <w:bCs/>
                <w:sz w:val="30"/>
                <w:szCs w:val="30"/>
                <w:rtl/>
                <w:lang w:val="en-GB"/>
              </w:rPr>
              <w:t>ة</w:t>
            </w:r>
          </w:p>
        </w:tc>
      </w:tr>
      <w:tr w:rsidR="00B92EDC" w:rsidRPr="00EB5BCF" w14:paraId="612A526E" w14:textId="77777777" w:rsidTr="00C64EDB">
        <w:tc>
          <w:tcPr>
            <w:tcW w:w="4675" w:type="dxa"/>
          </w:tcPr>
          <w:p w14:paraId="607FF704" w14:textId="77777777" w:rsidR="00B92EDC" w:rsidRPr="000953EC" w:rsidRDefault="00B92EDC" w:rsidP="00B92EDC">
            <w:pPr>
              <w:pStyle w:val="Centered"/>
              <w:bidi/>
              <w:spacing w:after="0"/>
              <w:rPr>
                <w:rFonts w:ascii="Traditional Arabic" w:hAnsi="Traditional Arabic" w:cs="Traditional Arabic"/>
                <w:bCs/>
                <w:sz w:val="30"/>
                <w:szCs w:val="30"/>
                <w:rtl/>
                <w:lang w:val="en-GB"/>
              </w:rPr>
            </w:pPr>
            <w:r w:rsidRPr="00172A65">
              <w:rPr>
                <w:rFonts w:ascii="Traditional Arabic" w:hAnsi="Traditional Arabic" w:cs="Traditional Arabic" w:hint="cs"/>
                <w:bCs/>
                <w:sz w:val="30"/>
                <w:szCs w:val="30"/>
                <w:rtl/>
                <w:lang w:val="en-GB"/>
              </w:rPr>
              <w:t>بنك الاستثمار العماني ش م ع م</w:t>
            </w:r>
          </w:p>
          <w:p w14:paraId="28343A35" w14:textId="77777777" w:rsidR="00B92EDC" w:rsidRPr="00CA4D73" w:rsidRDefault="00B92EDC" w:rsidP="00B92EDC">
            <w:pPr>
              <w:pStyle w:val="BodyText1"/>
              <w:bidi/>
              <w:spacing w:after="0"/>
              <w:jc w:val="center"/>
              <w:rPr>
                <w:rFonts w:ascii="Traditional Arabic" w:hAnsi="Traditional Arabic" w:cs="Traditional Arabic"/>
                <w:b/>
                <w:sz w:val="24"/>
                <w:rtl/>
                <w:lang w:val="en-GB"/>
              </w:rPr>
            </w:pPr>
            <w:r w:rsidRPr="00CA4D73">
              <w:rPr>
                <w:rFonts w:ascii="Traditional Arabic" w:hAnsi="Traditional Arabic" w:cs="Traditional Arabic" w:hint="eastAsia"/>
                <w:b/>
                <w:sz w:val="24"/>
                <w:rtl/>
                <w:lang w:val="en-GB"/>
              </w:rPr>
              <w:t>الخوير،</w:t>
            </w:r>
            <w:r w:rsidRPr="00CA4D73">
              <w:rPr>
                <w:rFonts w:ascii="Traditional Arabic" w:hAnsi="Traditional Arabic" w:cs="Traditional Arabic"/>
                <w:b/>
                <w:sz w:val="24"/>
                <w:rtl/>
                <w:lang w:val="en-GB"/>
              </w:rPr>
              <w:t xml:space="preserve"> بوشر، ص.ب 10، </w:t>
            </w:r>
            <w:r w:rsidRPr="00CA4D73">
              <w:rPr>
                <w:rFonts w:ascii="Traditional Arabic" w:hAnsi="Traditional Arabic" w:cs="Traditional Arabic" w:hint="eastAsia"/>
                <w:b/>
                <w:sz w:val="24"/>
                <w:rtl/>
                <w:lang w:val="en-GB"/>
              </w:rPr>
              <w:t>والرمز</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البريدي</w:t>
            </w:r>
            <w:r w:rsidRPr="00CA4D73">
              <w:rPr>
                <w:rFonts w:ascii="Traditional Arabic" w:hAnsi="Traditional Arabic" w:cs="Traditional Arabic"/>
                <w:b/>
                <w:sz w:val="24"/>
                <w:rtl/>
                <w:lang w:val="en-GB"/>
              </w:rPr>
              <w:t xml:space="preserve"> 133</w:t>
            </w:r>
          </w:p>
          <w:p w14:paraId="76A9D05A" w14:textId="77777777" w:rsidR="00B92EDC" w:rsidRPr="002452CF" w:rsidDel="00730400" w:rsidRDefault="00B92EDC" w:rsidP="00B92EDC">
            <w:pPr>
              <w:pStyle w:val="BodyText1"/>
              <w:bidi/>
              <w:spacing w:after="0"/>
              <w:jc w:val="center"/>
              <w:rPr>
                <w:rFonts w:ascii="Traditional Arabic" w:hAnsi="Traditional Arabic" w:cs="Traditional Arabic"/>
                <w:b/>
                <w:sz w:val="22"/>
                <w:szCs w:val="22"/>
                <w:rtl/>
                <w:lang w:val="en-GB"/>
              </w:rPr>
            </w:pPr>
            <w:r>
              <w:rPr>
                <w:rFonts w:ascii="Traditional Arabic" w:hAnsi="Traditional Arabic" w:cs="Traditional Arabic" w:hint="cs"/>
                <w:b/>
                <w:sz w:val="22"/>
                <w:szCs w:val="22"/>
                <w:rtl/>
                <w:lang w:val="en-GB"/>
              </w:rPr>
              <w:t>مسقط، سلطنة عمان</w:t>
            </w:r>
          </w:p>
          <w:p w14:paraId="6BAB0960" w14:textId="77777777" w:rsidR="00B92EDC" w:rsidRPr="003D1A54" w:rsidRDefault="00B92EDC" w:rsidP="00B92EDC">
            <w:pPr>
              <w:pStyle w:val="BodyText1"/>
              <w:bidi/>
              <w:spacing w:after="0"/>
              <w:jc w:val="center"/>
              <w:rPr>
                <w:rFonts w:ascii="Traditional Arabic" w:hAnsi="Traditional Arabic" w:cs="Traditional Arabic"/>
                <w:b/>
                <w:sz w:val="22"/>
                <w:szCs w:val="22"/>
                <w:rtl/>
                <w:lang w:val="en-GB"/>
              </w:rPr>
            </w:pPr>
          </w:p>
        </w:tc>
        <w:tc>
          <w:tcPr>
            <w:tcW w:w="4675" w:type="dxa"/>
          </w:tcPr>
          <w:p w14:paraId="1B938B4F" w14:textId="77777777" w:rsidR="00B92EDC" w:rsidRDefault="00B92EDC" w:rsidP="00B92EDC">
            <w:pPr>
              <w:pStyle w:val="Centered"/>
              <w:bidi/>
              <w:spacing w:after="0"/>
              <w:rPr>
                <w:rFonts w:ascii="Traditional Arabic" w:hAnsi="Traditional Arabic" w:cs="Traditional Arabic"/>
                <w:b/>
                <w:sz w:val="30"/>
                <w:szCs w:val="30"/>
                <w:rtl/>
                <w:lang w:val="en-GB"/>
              </w:rPr>
            </w:pPr>
            <w:r>
              <w:rPr>
                <w:rFonts w:ascii="Traditional Arabic" w:hAnsi="Traditional Arabic" w:cs="Traditional Arabic" w:hint="cs"/>
                <w:bCs/>
                <w:sz w:val="30"/>
                <w:szCs w:val="30"/>
                <w:rtl/>
                <w:lang w:val="en-GB"/>
              </w:rPr>
              <w:t>بنك صحار الدولي ش م ع ع</w:t>
            </w:r>
          </w:p>
          <w:p w14:paraId="06540AAD" w14:textId="77777777" w:rsidR="00B92EDC" w:rsidRPr="000953EC" w:rsidDel="008B2E18" w:rsidRDefault="00B92EDC" w:rsidP="00B92EDC">
            <w:pPr>
              <w:pStyle w:val="BodyText1"/>
              <w:bidi/>
              <w:jc w:val="center"/>
              <w:rPr>
                <w:rFonts w:ascii="Traditional Arabic" w:hAnsi="Traditional Arabic" w:cs="Traditional Arabic"/>
                <w:b/>
                <w:sz w:val="22"/>
                <w:szCs w:val="22"/>
                <w:rtl/>
                <w:lang w:val="en-GB"/>
              </w:rPr>
            </w:pPr>
            <w:r w:rsidRPr="00CA4D73">
              <w:rPr>
                <w:rFonts w:ascii="Traditional Arabic" w:hAnsi="Traditional Arabic" w:cs="Traditional Arabic" w:hint="eastAsia"/>
                <w:b/>
                <w:sz w:val="24"/>
                <w:rtl/>
                <w:lang w:val="en-GB"/>
              </w:rPr>
              <w:t>الواجهة</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المائية،</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القرم،</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محافظة</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مسقط،</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ص</w:t>
            </w:r>
            <w:r w:rsidRPr="00CA4D73">
              <w:rPr>
                <w:rFonts w:ascii="Traditional Arabic" w:hAnsi="Traditional Arabic" w:cs="Traditional Arabic"/>
                <w:b/>
                <w:sz w:val="24"/>
                <w:rtl/>
                <w:lang w:val="en-GB"/>
              </w:rPr>
              <w:t xml:space="preserve">.ب 44، </w:t>
            </w:r>
            <w:r w:rsidRPr="00CA4D73">
              <w:rPr>
                <w:rFonts w:ascii="Traditional Arabic" w:hAnsi="Traditional Arabic" w:cs="Traditional Arabic" w:hint="eastAsia"/>
                <w:b/>
                <w:sz w:val="24"/>
                <w:rtl/>
                <w:lang w:val="en-GB"/>
              </w:rPr>
              <w:t>حي</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الميناء،</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والرمز</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البريدي</w:t>
            </w:r>
            <w:r w:rsidRPr="00CA4D73">
              <w:rPr>
                <w:rFonts w:ascii="Traditional Arabic" w:hAnsi="Traditional Arabic" w:cs="Traditional Arabic"/>
                <w:b/>
                <w:sz w:val="24"/>
                <w:rtl/>
                <w:lang w:val="en-GB"/>
              </w:rPr>
              <w:t xml:space="preserve"> 114، </w:t>
            </w:r>
            <w:r w:rsidRPr="00CA4D73">
              <w:rPr>
                <w:rFonts w:ascii="Traditional Arabic" w:hAnsi="Traditional Arabic" w:cs="Traditional Arabic" w:hint="eastAsia"/>
                <w:b/>
                <w:sz w:val="24"/>
                <w:rtl/>
                <w:lang w:val="en-GB"/>
              </w:rPr>
              <w:t>سلطنة</w:t>
            </w:r>
            <w:r w:rsidRPr="00CA4D73">
              <w:rPr>
                <w:rFonts w:ascii="Traditional Arabic" w:hAnsi="Traditional Arabic" w:cs="Traditional Arabic"/>
                <w:b/>
                <w:sz w:val="24"/>
                <w:rtl/>
                <w:lang w:val="en-GB"/>
              </w:rPr>
              <w:t xml:space="preserve"> </w:t>
            </w:r>
            <w:r w:rsidRPr="00CA4D73">
              <w:rPr>
                <w:rFonts w:ascii="Traditional Arabic" w:hAnsi="Traditional Arabic" w:cs="Traditional Arabic" w:hint="eastAsia"/>
                <w:b/>
                <w:sz w:val="24"/>
                <w:rtl/>
                <w:lang w:val="en-GB"/>
              </w:rPr>
              <w:t>عمان</w:t>
            </w:r>
          </w:p>
        </w:tc>
      </w:tr>
      <w:tr w:rsidR="00B92EDC" w:rsidRPr="00EB5BCF" w14:paraId="0B09D58A" w14:textId="77777777" w:rsidTr="00922116">
        <w:tc>
          <w:tcPr>
            <w:tcW w:w="9350" w:type="dxa"/>
            <w:gridSpan w:val="2"/>
          </w:tcPr>
          <w:p w14:paraId="2FA94005" w14:textId="77777777" w:rsidR="00B92EDC" w:rsidRDefault="00B92EDC" w:rsidP="00B92EDC">
            <w:pPr>
              <w:pStyle w:val="Centered"/>
              <w:bidi/>
              <w:spacing w:after="0"/>
              <w:rPr>
                <w:rFonts w:ascii="Traditional Arabic" w:hAnsi="Traditional Arabic" w:cs="Traditional Arabic"/>
                <w:bCs/>
                <w:sz w:val="30"/>
                <w:szCs w:val="30"/>
                <w:rtl/>
                <w:lang w:val="en-GB"/>
              </w:rPr>
            </w:pPr>
            <w:r>
              <w:rPr>
                <w:rFonts w:ascii="Traditional Arabic" w:hAnsi="Traditional Arabic" w:cs="Traditional Arabic" w:hint="cs"/>
                <w:bCs/>
                <w:sz w:val="30"/>
                <w:szCs w:val="30"/>
                <w:rtl/>
                <w:lang w:val="en-GB"/>
              </w:rPr>
              <w:t>مدير سجل الاكتتاب المشترك</w:t>
            </w:r>
          </w:p>
        </w:tc>
      </w:tr>
      <w:tr w:rsidR="00833895" w:rsidRPr="00EB5BCF" w14:paraId="4178B9CB" w14:textId="77777777" w:rsidTr="00C64EDB">
        <w:tc>
          <w:tcPr>
            <w:tcW w:w="9350" w:type="dxa"/>
            <w:gridSpan w:val="2"/>
          </w:tcPr>
          <w:p w14:paraId="1351BAD2" w14:textId="77777777" w:rsidR="00833895" w:rsidRPr="00AD355E" w:rsidRDefault="00833895" w:rsidP="00B92EDC">
            <w:pPr>
              <w:pStyle w:val="Centered"/>
              <w:bidi/>
              <w:spacing w:after="0"/>
              <w:rPr>
                <w:rFonts w:ascii="Traditional Arabic" w:hAnsi="Traditional Arabic" w:cs="Traditional Arabic"/>
                <w:bCs/>
                <w:sz w:val="30"/>
                <w:szCs w:val="30"/>
                <w:rtl/>
              </w:rPr>
            </w:pPr>
            <w:r>
              <w:rPr>
                <w:rFonts w:ascii="Traditional Arabic" w:hAnsi="Traditional Arabic" w:cs="Traditional Arabic" w:hint="cs"/>
                <w:bCs/>
                <w:sz w:val="30"/>
                <w:szCs w:val="30"/>
                <w:rtl/>
              </w:rPr>
              <w:t>مؤسستان دوليتان</w:t>
            </w:r>
          </w:p>
        </w:tc>
      </w:tr>
      <w:tr w:rsidR="00B92EDC" w:rsidRPr="00EB5BCF" w14:paraId="7663538E" w14:textId="77777777" w:rsidTr="00922116">
        <w:tc>
          <w:tcPr>
            <w:tcW w:w="9350" w:type="dxa"/>
            <w:gridSpan w:val="2"/>
          </w:tcPr>
          <w:p w14:paraId="4F7C80BB" w14:textId="77777777" w:rsidR="00B92EDC" w:rsidRPr="008604CD" w:rsidRDefault="00B92EDC" w:rsidP="00B92EDC">
            <w:pPr>
              <w:tabs>
                <w:tab w:val="left" w:leader="dot" w:pos="3672"/>
              </w:tabs>
              <w:bidi/>
              <w:jc w:val="center"/>
              <w:rPr>
                <w:rFonts w:ascii="Traditional Arabic" w:hAnsi="Traditional Arabic" w:cs="Traditional Arabic"/>
                <w:b/>
                <w:bCs/>
                <w:sz w:val="30"/>
                <w:szCs w:val="30"/>
                <w:rtl/>
                <w:lang w:val="en-GB"/>
              </w:rPr>
            </w:pPr>
            <w:r>
              <w:rPr>
                <w:rFonts w:ascii="Traditional Arabic" w:hAnsi="Traditional Arabic" w:cs="Traditional Arabic" w:hint="cs"/>
                <w:b/>
                <w:bCs/>
                <w:sz w:val="30"/>
                <w:szCs w:val="30"/>
                <w:rtl/>
                <w:lang w:val="en-GB"/>
              </w:rPr>
              <w:t>مدير الإصدار</w:t>
            </w:r>
          </w:p>
        </w:tc>
      </w:tr>
      <w:tr w:rsidR="00B92EDC" w:rsidRPr="00EB5BCF" w14:paraId="3A74BDC3" w14:textId="77777777" w:rsidTr="00922116">
        <w:tc>
          <w:tcPr>
            <w:tcW w:w="9350" w:type="dxa"/>
            <w:gridSpan w:val="2"/>
          </w:tcPr>
          <w:p w14:paraId="5B8975AE" w14:textId="77777777" w:rsidR="00B92EDC" w:rsidRDefault="00B92EDC" w:rsidP="00B92EDC">
            <w:pPr>
              <w:tabs>
                <w:tab w:val="left" w:leader="dot" w:pos="3672"/>
              </w:tabs>
              <w:bidi/>
              <w:jc w:val="center"/>
              <w:rPr>
                <w:rFonts w:ascii="Traditional Arabic" w:hAnsi="Traditional Arabic" w:cs="Traditional Arabic"/>
                <w:b/>
                <w:bCs/>
                <w:sz w:val="30"/>
                <w:szCs w:val="30"/>
                <w:rtl/>
                <w:lang w:val="en-GB"/>
              </w:rPr>
            </w:pPr>
            <w:r>
              <w:rPr>
                <w:rFonts w:ascii="Traditional Arabic" w:hAnsi="Traditional Arabic" w:cs="Traditional Arabic" w:hint="cs"/>
                <w:b/>
                <w:bCs/>
                <w:sz w:val="30"/>
                <w:szCs w:val="30"/>
                <w:rtl/>
                <w:lang w:val="en-GB"/>
              </w:rPr>
              <w:t>بنك صحار الدولي ش م ع ع</w:t>
            </w:r>
          </w:p>
          <w:p w14:paraId="4374813B" w14:textId="77777777" w:rsidR="00B92EDC" w:rsidRPr="00985281" w:rsidRDefault="00B92EDC" w:rsidP="00B92EDC">
            <w:pPr>
              <w:tabs>
                <w:tab w:val="left" w:leader="dot" w:pos="3672"/>
              </w:tabs>
              <w:bidi/>
              <w:jc w:val="center"/>
              <w:rPr>
                <w:rFonts w:ascii="Traditional Arabic" w:hAnsi="Traditional Arabic" w:cs="Traditional Arabic"/>
                <w:sz w:val="24"/>
                <w:rtl/>
                <w:lang w:val="en-GB"/>
              </w:rPr>
            </w:pPr>
            <w:r w:rsidRPr="00985281">
              <w:rPr>
                <w:rFonts w:ascii="Traditional Arabic" w:hAnsi="Traditional Arabic" w:cs="Traditional Arabic" w:hint="eastAsia"/>
                <w:sz w:val="24"/>
                <w:rtl/>
                <w:lang w:val="en-GB"/>
              </w:rPr>
              <w:lastRenderedPageBreak/>
              <w:t>الواجهة</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البحرية،</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القرم،</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مسقط</w:t>
            </w:r>
          </w:p>
          <w:p w14:paraId="678E9949" w14:textId="77777777" w:rsidR="00B92EDC" w:rsidRPr="00985281" w:rsidRDefault="00B92EDC" w:rsidP="00B92EDC">
            <w:pPr>
              <w:tabs>
                <w:tab w:val="left" w:leader="dot" w:pos="3672"/>
              </w:tabs>
              <w:bidi/>
              <w:jc w:val="center"/>
              <w:rPr>
                <w:rFonts w:ascii="Traditional Arabic" w:hAnsi="Traditional Arabic" w:cs="Traditional Arabic"/>
                <w:sz w:val="24"/>
                <w:rtl/>
                <w:lang w:val="en-GB"/>
              </w:rPr>
            </w:pPr>
            <w:r w:rsidRPr="00985281">
              <w:rPr>
                <w:rFonts w:ascii="Traditional Arabic" w:hAnsi="Traditional Arabic" w:cs="Traditional Arabic" w:hint="eastAsia"/>
                <w:sz w:val="24"/>
                <w:rtl/>
                <w:lang w:val="en-GB"/>
              </w:rPr>
              <w:t>ص</w:t>
            </w:r>
            <w:r w:rsidRPr="00985281">
              <w:rPr>
                <w:rFonts w:ascii="Traditional Arabic" w:hAnsi="Traditional Arabic" w:cs="Traditional Arabic"/>
                <w:sz w:val="24"/>
                <w:rtl/>
                <w:lang w:val="en-GB"/>
              </w:rPr>
              <w:t xml:space="preserve">.ب 44، </w:t>
            </w:r>
            <w:r w:rsidRPr="00985281">
              <w:rPr>
                <w:rFonts w:ascii="Traditional Arabic" w:hAnsi="Traditional Arabic" w:cs="Traditional Arabic" w:hint="eastAsia"/>
                <w:sz w:val="24"/>
                <w:rtl/>
                <w:lang w:val="en-GB"/>
              </w:rPr>
              <w:t>حي</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الميناء،</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الرمز</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البريدي</w:t>
            </w:r>
            <w:r w:rsidRPr="00985281">
              <w:rPr>
                <w:rFonts w:ascii="Traditional Arabic" w:hAnsi="Traditional Arabic" w:cs="Traditional Arabic"/>
                <w:sz w:val="24"/>
                <w:rtl/>
                <w:lang w:val="en-GB"/>
              </w:rPr>
              <w:t xml:space="preserve"> 114</w:t>
            </w:r>
          </w:p>
          <w:p w14:paraId="649B7217" w14:textId="77777777" w:rsidR="00B92EDC" w:rsidRPr="008604CD" w:rsidRDefault="00B92EDC" w:rsidP="00B92EDC">
            <w:pPr>
              <w:tabs>
                <w:tab w:val="left" w:leader="dot" w:pos="3672"/>
              </w:tabs>
              <w:bidi/>
              <w:jc w:val="center"/>
              <w:rPr>
                <w:rFonts w:ascii="Traditional Arabic" w:hAnsi="Traditional Arabic" w:cs="Traditional Arabic"/>
                <w:b/>
                <w:bCs/>
                <w:sz w:val="30"/>
                <w:szCs w:val="30"/>
                <w:rtl/>
                <w:lang w:val="en-GB"/>
              </w:rPr>
            </w:pPr>
            <w:r w:rsidRPr="00985281">
              <w:rPr>
                <w:rFonts w:ascii="Traditional Arabic" w:hAnsi="Traditional Arabic" w:cs="Traditional Arabic" w:hint="eastAsia"/>
                <w:sz w:val="24"/>
                <w:rtl/>
                <w:lang w:val="en-GB"/>
              </w:rPr>
              <w:t>سلطنة</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عمان</w:t>
            </w:r>
          </w:p>
        </w:tc>
      </w:tr>
      <w:tr w:rsidR="00B92EDC" w:rsidRPr="00EB5BCF" w14:paraId="51104B17" w14:textId="77777777" w:rsidTr="00922116">
        <w:tc>
          <w:tcPr>
            <w:tcW w:w="9350" w:type="dxa"/>
            <w:gridSpan w:val="2"/>
          </w:tcPr>
          <w:p w14:paraId="2BA0C0C7" w14:textId="77777777" w:rsidR="00B92EDC" w:rsidRDefault="00B92EDC" w:rsidP="00B92EDC">
            <w:pPr>
              <w:keepNext/>
              <w:bidi/>
              <w:jc w:val="center"/>
              <w:rPr>
                <w:rFonts w:ascii="Traditional Arabic" w:hAnsi="Traditional Arabic" w:cs="Traditional Arabic"/>
                <w:b/>
                <w:bCs/>
                <w:sz w:val="30"/>
                <w:szCs w:val="30"/>
                <w:rtl/>
                <w:lang w:val="en-GB"/>
              </w:rPr>
            </w:pPr>
            <w:r w:rsidRPr="00EB5BCF">
              <w:rPr>
                <w:rFonts w:ascii="Traditional Arabic" w:hAnsi="Traditional Arabic" w:cs="Traditional Arabic" w:hint="eastAsia"/>
                <w:bCs/>
                <w:sz w:val="30"/>
                <w:szCs w:val="30"/>
                <w:rtl/>
                <w:lang w:val="en-GB" w:bidi="ar-EG"/>
              </w:rPr>
              <w:lastRenderedPageBreak/>
              <w:t>وكلاء</w:t>
            </w:r>
            <w:r w:rsidRPr="00EB5BCF">
              <w:rPr>
                <w:rFonts w:ascii="Traditional Arabic" w:hAnsi="Traditional Arabic" w:cs="Traditional Arabic"/>
                <w:bCs/>
                <w:sz w:val="30"/>
                <w:szCs w:val="30"/>
                <w:rtl/>
                <w:lang w:val="en-GB" w:bidi="ar-EG"/>
              </w:rPr>
              <w:t xml:space="preserve"> </w:t>
            </w:r>
            <w:r w:rsidRPr="00EB5BCF">
              <w:rPr>
                <w:rFonts w:ascii="Traditional Arabic" w:hAnsi="Traditional Arabic" w:cs="Traditional Arabic" w:hint="eastAsia"/>
                <w:bCs/>
                <w:sz w:val="30"/>
                <w:szCs w:val="30"/>
                <w:rtl/>
                <w:lang w:val="en-GB" w:bidi="ar-EG"/>
              </w:rPr>
              <w:t>التحصيل</w:t>
            </w:r>
          </w:p>
        </w:tc>
      </w:tr>
      <w:tr w:rsidR="00B92EDC" w:rsidRPr="00EB5BCF" w14:paraId="49F2F74F" w14:textId="77777777" w:rsidTr="00C64EDB">
        <w:tc>
          <w:tcPr>
            <w:tcW w:w="4675" w:type="dxa"/>
          </w:tcPr>
          <w:p w14:paraId="791D7F0E" w14:textId="77777777" w:rsidR="00B92EDC" w:rsidRDefault="00B92EDC" w:rsidP="00B92EDC">
            <w:pPr>
              <w:tabs>
                <w:tab w:val="left" w:leader="dot" w:pos="3672"/>
              </w:tabs>
              <w:bidi/>
              <w:jc w:val="center"/>
              <w:rPr>
                <w:rFonts w:ascii="Traditional Arabic" w:hAnsi="Traditional Arabic" w:cs="Traditional Arabic"/>
                <w:b/>
                <w:bCs/>
                <w:sz w:val="30"/>
                <w:szCs w:val="30"/>
                <w:rtl/>
                <w:lang w:val="en-GB"/>
              </w:rPr>
            </w:pPr>
            <w:r>
              <w:rPr>
                <w:rFonts w:ascii="Traditional Arabic" w:hAnsi="Traditional Arabic" w:cs="Traditional Arabic" w:hint="cs"/>
                <w:b/>
                <w:bCs/>
                <w:sz w:val="30"/>
                <w:szCs w:val="30"/>
                <w:rtl/>
                <w:lang w:val="en-GB"/>
              </w:rPr>
              <w:t>بنك مسقط ش.م.ع.ع</w:t>
            </w:r>
          </w:p>
          <w:p w14:paraId="7BA023C9" w14:textId="77777777" w:rsidR="00B92EDC" w:rsidRPr="00CA4D73" w:rsidRDefault="00B92EDC" w:rsidP="00B92EDC">
            <w:pPr>
              <w:tabs>
                <w:tab w:val="left" w:leader="dot" w:pos="3672"/>
              </w:tabs>
              <w:bidi/>
              <w:jc w:val="center"/>
              <w:rPr>
                <w:rFonts w:ascii="Traditional Arabic" w:hAnsi="Traditional Arabic" w:cs="Traditional Arabic"/>
                <w:sz w:val="24"/>
                <w:rtl/>
                <w:lang w:val="en-GB"/>
              </w:rPr>
            </w:pPr>
            <w:r w:rsidRPr="00CA4D73">
              <w:rPr>
                <w:rFonts w:ascii="Traditional Arabic" w:hAnsi="Traditional Arabic" w:cs="Traditional Arabic" w:hint="eastAsia"/>
                <w:sz w:val="24"/>
                <w:rtl/>
                <w:lang w:val="en-GB"/>
              </w:rPr>
              <w:t>ص</w:t>
            </w:r>
            <w:r w:rsidRPr="00CA4D73">
              <w:rPr>
                <w:rFonts w:ascii="Traditional Arabic" w:hAnsi="Traditional Arabic" w:cs="Traditional Arabic"/>
                <w:sz w:val="24"/>
                <w:rtl/>
                <w:lang w:val="en-GB"/>
              </w:rPr>
              <w:t>.ب ١٣٤</w:t>
            </w:r>
            <w:r w:rsidRPr="00CA4D73">
              <w:rPr>
                <w:rFonts w:ascii="Traditional Arabic" w:hAnsi="Traditional Arabic" w:cs="Traditional Arabic" w:hint="eastAsia"/>
                <w:sz w:val="24"/>
                <w:rtl/>
                <w:lang w:val="en-GB"/>
              </w:rPr>
              <w:t>،</w:t>
            </w:r>
            <w:r w:rsidRPr="00CA4D73">
              <w:rPr>
                <w:rFonts w:ascii="Traditional Arabic" w:hAnsi="Traditional Arabic" w:cs="Traditional Arabic"/>
                <w:sz w:val="24"/>
                <w:rtl/>
                <w:lang w:val="en-GB"/>
              </w:rPr>
              <w:t xml:space="preserve"> </w:t>
            </w:r>
            <w:r w:rsidRPr="00CA4D73">
              <w:rPr>
                <w:rFonts w:ascii="Traditional Arabic" w:hAnsi="Traditional Arabic" w:cs="Traditional Arabic" w:hint="eastAsia"/>
                <w:sz w:val="24"/>
                <w:rtl/>
                <w:lang w:val="en-GB"/>
              </w:rPr>
              <w:t>ر</w:t>
            </w:r>
            <w:r w:rsidRPr="00CA4D73">
              <w:rPr>
                <w:rFonts w:ascii="Traditional Arabic" w:hAnsi="Traditional Arabic" w:cs="Traditional Arabic"/>
                <w:sz w:val="24"/>
                <w:rtl/>
                <w:lang w:val="en-GB"/>
              </w:rPr>
              <w:t>.ب ١١٢</w:t>
            </w:r>
          </w:p>
          <w:p w14:paraId="4989BED8" w14:textId="77777777" w:rsidR="00B92EDC" w:rsidRPr="00CA4D73" w:rsidRDefault="00B92EDC" w:rsidP="00B92EDC">
            <w:pPr>
              <w:tabs>
                <w:tab w:val="left" w:leader="dot" w:pos="3672"/>
              </w:tabs>
              <w:bidi/>
              <w:jc w:val="center"/>
              <w:rPr>
                <w:rFonts w:ascii="Traditional Arabic" w:hAnsi="Traditional Arabic" w:cs="Traditional Arabic"/>
                <w:b/>
                <w:bCs/>
                <w:sz w:val="30"/>
                <w:szCs w:val="30"/>
                <w:rtl/>
              </w:rPr>
            </w:pPr>
            <w:r w:rsidRPr="00CA4D73">
              <w:rPr>
                <w:rFonts w:ascii="Traditional Arabic" w:hAnsi="Traditional Arabic" w:cs="Traditional Arabic" w:hint="eastAsia"/>
                <w:sz w:val="24"/>
                <w:rtl/>
                <w:lang w:val="en-GB"/>
              </w:rPr>
              <w:t>مسقط،</w:t>
            </w:r>
            <w:r w:rsidRPr="00CA4D73">
              <w:rPr>
                <w:rFonts w:ascii="Traditional Arabic" w:hAnsi="Traditional Arabic" w:cs="Traditional Arabic"/>
                <w:sz w:val="24"/>
                <w:rtl/>
                <w:lang w:val="en-GB"/>
              </w:rPr>
              <w:t xml:space="preserve"> </w:t>
            </w:r>
            <w:r w:rsidRPr="00CA4D73">
              <w:rPr>
                <w:rFonts w:ascii="Traditional Arabic" w:hAnsi="Traditional Arabic" w:cs="Traditional Arabic" w:hint="eastAsia"/>
                <w:sz w:val="24"/>
                <w:rtl/>
                <w:lang w:val="en-GB"/>
              </w:rPr>
              <w:t>سلطنة</w:t>
            </w:r>
            <w:r w:rsidRPr="00CA4D73">
              <w:rPr>
                <w:rFonts w:ascii="Traditional Arabic" w:hAnsi="Traditional Arabic" w:cs="Traditional Arabic"/>
                <w:sz w:val="24"/>
                <w:rtl/>
                <w:lang w:val="en-GB"/>
              </w:rPr>
              <w:t xml:space="preserve"> </w:t>
            </w:r>
            <w:r w:rsidRPr="00CA4D73">
              <w:rPr>
                <w:rFonts w:ascii="Traditional Arabic" w:hAnsi="Traditional Arabic" w:cs="Traditional Arabic" w:hint="eastAsia"/>
                <w:sz w:val="24"/>
                <w:rtl/>
                <w:lang w:val="en-GB"/>
              </w:rPr>
              <w:t>عمان</w:t>
            </w:r>
          </w:p>
        </w:tc>
        <w:tc>
          <w:tcPr>
            <w:tcW w:w="4675" w:type="dxa"/>
          </w:tcPr>
          <w:p w14:paraId="446B42CE" w14:textId="77777777" w:rsidR="00B92EDC" w:rsidRDefault="00B92EDC" w:rsidP="00B92EDC">
            <w:pPr>
              <w:tabs>
                <w:tab w:val="left" w:leader="dot" w:pos="3672"/>
              </w:tabs>
              <w:bidi/>
              <w:jc w:val="center"/>
              <w:rPr>
                <w:rFonts w:ascii="Traditional Arabic" w:hAnsi="Traditional Arabic" w:cs="Traditional Arabic"/>
                <w:b/>
                <w:bCs/>
                <w:sz w:val="30"/>
                <w:szCs w:val="30"/>
                <w:rtl/>
                <w:lang w:val="en-GB"/>
              </w:rPr>
            </w:pPr>
            <w:r>
              <w:rPr>
                <w:rFonts w:ascii="Traditional Arabic" w:hAnsi="Traditional Arabic" w:cs="Traditional Arabic" w:hint="cs"/>
                <w:b/>
                <w:bCs/>
                <w:sz w:val="30"/>
                <w:szCs w:val="30"/>
                <w:rtl/>
                <w:lang w:val="en-GB"/>
              </w:rPr>
              <w:t>بنك صحار الدولي ش.م.ع.ع</w:t>
            </w:r>
          </w:p>
          <w:p w14:paraId="61EEA69C" w14:textId="77777777" w:rsidR="00B92EDC" w:rsidRPr="00985281" w:rsidRDefault="00B92EDC" w:rsidP="00B92EDC">
            <w:pPr>
              <w:tabs>
                <w:tab w:val="left" w:leader="dot" w:pos="3672"/>
              </w:tabs>
              <w:bidi/>
              <w:jc w:val="center"/>
              <w:rPr>
                <w:rFonts w:ascii="Traditional Arabic" w:hAnsi="Traditional Arabic" w:cs="Traditional Arabic"/>
                <w:sz w:val="24"/>
                <w:rtl/>
                <w:lang w:val="en-GB"/>
              </w:rPr>
            </w:pPr>
            <w:r w:rsidRPr="00985281">
              <w:rPr>
                <w:rFonts w:ascii="Traditional Arabic" w:hAnsi="Traditional Arabic" w:cs="Traditional Arabic" w:hint="eastAsia"/>
                <w:sz w:val="24"/>
                <w:rtl/>
                <w:lang w:val="en-GB"/>
              </w:rPr>
              <w:t>ص</w:t>
            </w:r>
            <w:r w:rsidRPr="00985281">
              <w:rPr>
                <w:rFonts w:ascii="Traditional Arabic" w:hAnsi="Traditional Arabic" w:cs="Traditional Arabic"/>
                <w:sz w:val="24"/>
                <w:rtl/>
                <w:lang w:val="en-GB"/>
              </w:rPr>
              <w:t xml:space="preserve">.ب </w:t>
            </w:r>
            <w:r>
              <w:rPr>
                <w:rFonts w:ascii="Traditional Arabic" w:hAnsi="Traditional Arabic" w:cs="Traditional Arabic" w:hint="cs"/>
                <w:sz w:val="24"/>
                <w:rtl/>
                <w:lang w:val="en-GB"/>
              </w:rPr>
              <w:t>٤٤</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حي</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الميناء،</w:t>
            </w:r>
            <w:r w:rsidRPr="00985281">
              <w:rPr>
                <w:rFonts w:ascii="Traditional Arabic" w:hAnsi="Traditional Arabic" w:cs="Traditional Arabic"/>
                <w:sz w:val="24"/>
                <w:rtl/>
                <w:lang w:val="en-GB"/>
              </w:rPr>
              <w:t xml:space="preserve"> </w:t>
            </w:r>
            <w:r>
              <w:rPr>
                <w:rFonts w:ascii="Traditional Arabic" w:hAnsi="Traditional Arabic" w:cs="Traditional Arabic" w:hint="cs"/>
                <w:sz w:val="24"/>
                <w:rtl/>
                <w:lang w:val="en-GB"/>
              </w:rPr>
              <w:t>ر.ب</w:t>
            </w:r>
            <w:r w:rsidRPr="00985281">
              <w:rPr>
                <w:rFonts w:ascii="Traditional Arabic" w:hAnsi="Traditional Arabic" w:cs="Traditional Arabic"/>
                <w:sz w:val="24"/>
                <w:rtl/>
                <w:lang w:val="en-GB"/>
              </w:rPr>
              <w:t xml:space="preserve"> </w:t>
            </w:r>
            <w:r>
              <w:rPr>
                <w:rFonts w:ascii="Traditional Arabic" w:hAnsi="Traditional Arabic" w:cs="Traditional Arabic" w:hint="cs"/>
                <w:sz w:val="24"/>
                <w:rtl/>
                <w:lang w:val="en-GB"/>
              </w:rPr>
              <w:t>١١٤</w:t>
            </w:r>
          </w:p>
          <w:p w14:paraId="1B7A9D58" w14:textId="77777777" w:rsidR="00B92EDC" w:rsidRDefault="00B92EDC" w:rsidP="00B92EDC">
            <w:pPr>
              <w:tabs>
                <w:tab w:val="left" w:leader="dot" w:pos="3672"/>
              </w:tabs>
              <w:bidi/>
              <w:jc w:val="center"/>
              <w:rPr>
                <w:rFonts w:ascii="Traditional Arabic" w:hAnsi="Traditional Arabic" w:cs="Traditional Arabic"/>
                <w:b/>
                <w:bCs/>
                <w:sz w:val="30"/>
                <w:szCs w:val="30"/>
                <w:rtl/>
                <w:lang w:val="en-GB"/>
              </w:rPr>
            </w:pPr>
            <w:r>
              <w:rPr>
                <w:rFonts w:ascii="Traditional Arabic" w:hAnsi="Traditional Arabic" w:cs="Traditional Arabic" w:hint="cs"/>
                <w:sz w:val="24"/>
                <w:rtl/>
                <w:lang w:val="en-GB"/>
              </w:rPr>
              <w:t xml:space="preserve">مسقط، </w:t>
            </w:r>
            <w:r w:rsidRPr="00985281">
              <w:rPr>
                <w:rFonts w:ascii="Traditional Arabic" w:hAnsi="Traditional Arabic" w:cs="Traditional Arabic" w:hint="eastAsia"/>
                <w:sz w:val="24"/>
                <w:rtl/>
                <w:lang w:val="en-GB"/>
              </w:rPr>
              <w:t>سلطنة</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عمان</w:t>
            </w:r>
          </w:p>
        </w:tc>
      </w:tr>
      <w:tr w:rsidR="00B92EDC" w:rsidRPr="00EB5BCF" w14:paraId="60B8927A" w14:textId="77777777" w:rsidTr="00C64EDB">
        <w:tc>
          <w:tcPr>
            <w:tcW w:w="4675" w:type="dxa"/>
          </w:tcPr>
          <w:p w14:paraId="09067056" w14:textId="4A4B6097" w:rsidR="00B92EDC" w:rsidRDefault="00C64EDB" w:rsidP="00B92EDC">
            <w:pPr>
              <w:tabs>
                <w:tab w:val="left" w:leader="dot" w:pos="3672"/>
              </w:tabs>
              <w:bidi/>
              <w:jc w:val="center"/>
              <w:rPr>
                <w:rFonts w:ascii="Traditional Arabic" w:hAnsi="Traditional Arabic" w:cs="Traditional Arabic"/>
                <w:b/>
                <w:bCs/>
                <w:sz w:val="30"/>
                <w:szCs w:val="30"/>
                <w:rtl/>
                <w:lang w:val="en-GB"/>
              </w:rPr>
            </w:pPr>
            <w:r>
              <w:rPr>
                <w:rFonts w:ascii="Traditional Arabic" w:hAnsi="Traditional Arabic" w:cs="Traditional Arabic" w:hint="cs"/>
                <w:b/>
                <w:bCs/>
                <w:sz w:val="30"/>
                <w:szCs w:val="30"/>
                <w:rtl/>
                <w:lang w:val="en-GB"/>
              </w:rPr>
              <w:t>ال</w:t>
            </w:r>
            <w:r w:rsidR="00B92EDC">
              <w:rPr>
                <w:rFonts w:ascii="Traditional Arabic" w:hAnsi="Traditional Arabic" w:cs="Traditional Arabic" w:hint="cs"/>
                <w:b/>
                <w:bCs/>
                <w:sz w:val="30"/>
                <w:szCs w:val="30"/>
                <w:rtl/>
                <w:lang w:val="en-GB"/>
              </w:rPr>
              <w:t>بنك الأهلي ش.م.ع.ع</w:t>
            </w:r>
          </w:p>
          <w:p w14:paraId="57105687" w14:textId="77777777" w:rsidR="00B92EDC" w:rsidRPr="00985281" w:rsidRDefault="00B92EDC" w:rsidP="00B92EDC">
            <w:pPr>
              <w:tabs>
                <w:tab w:val="left" w:leader="dot" w:pos="3672"/>
              </w:tabs>
              <w:bidi/>
              <w:jc w:val="center"/>
              <w:rPr>
                <w:rFonts w:ascii="Traditional Arabic" w:hAnsi="Traditional Arabic" w:cs="Traditional Arabic"/>
                <w:sz w:val="24"/>
                <w:rtl/>
                <w:lang w:val="en-GB"/>
              </w:rPr>
            </w:pPr>
            <w:r w:rsidRPr="00985281">
              <w:rPr>
                <w:rFonts w:ascii="Traditional Arabic" w:hAnsi="Traditional Arabic" w:cs="Traditional Arabic" w:hint="eastAsia"/>
                <w:sz w:val="24"/>
                <w:rtl/>
                <w:lang w:val="en-GB"/>
              </w:rPr>
              <w:t>ص</w:t>
            </w:r>
            <w:r w:rsidRPr="00985281">
              <w:rPr>
                <w:rFonts w:ascii="Traditional Arabic" w:hAnsi="Traditional Arabic" w:cs="Traditional Arabic"/>
                <w:sz w:val="24"/>
                <w:rtl/>
                <w:lang w:val="en-GB"/>
              </w:rPr>
              <w:t xml:space="preserve">.ب </w:t>
            </w:r>
            <w:r>
              <w:rPr>
                <w:rFonts w:ascii="Traditional Arabic" w:hAnsi="Traditional Arabic" w:cs="Traditional Arabic" w:hint="cs"/>
                <w:sz w:val="24"/>
                <w:rtl/>
                <w:lang w:val="en-GB"/>
              </w:rPr>
              <w:t>٥٤٥</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الرمز</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البريدي</w:t>
            </w:r>
            <w:r w:rsidRPr="00985281">
              <w:rPr>
                <w:rFonts w:ascii="Traditional Arabic" w:hAnsi="Traditional Arabic" w:cs="Traditional Arabic"/>
                <w:sz w:val="24"/>
                <w:rtl/>
                <w:lang w:val="en-GB"/>
              </w:rPr>
              <w:t xml:space="preserve"> </w:t>
            </w:r>
            <w:r>
              <w:rPr>
                <w:rFonts w:ascii="Traditional Arabic" w:hAnsi="Traditional Arabic" w:cs="Traditional Arabic" w:hint="cs"/>
                <w:sz w:val="24"/>
                <w:rtl/>
                <w:lang w:val="en-GB"/>
              </w:rPr>
              <w:t>١١٦، ميناء الفحل</w:t>
            </w:r>
          </w:p>
          <w:p w14:paraId="28D4573B" w14:textId="77777777" w:rsidR="00B92EDC" w:rsidRDefault="00B92EDC" w:rsidP="00B92EDC">
            <w:pPr>
              <w:tabs>
                <w:tab w:val="left" w:leader="dot" w:pos="3672"/>
              </w:tabs>
              <w:bidi/>
              <w:jc w:val="center"/>
              <w:rPr>
                <w:rFonts w:ascii="Traditional Arabic" w:hAnsi="Traditional Arabic" w:cs="Traditional Arabic"/>
                <w:b/>
                <w:bCs/>
                <w:sz w:val="30"/>
                <w:szCs w:val="30"/>
                <w:rtl/>
                <w:lang w:val="en-GB"/>
              </w:rPr>
            </w:pPr>
            <w:r>
              <w:rPr>
                <w:rFonts w:ascii="Traditional Arabic" w:hAnsi="Traditional Arabic" w:cs="Traditional Arabic" w:hint="cs"/>
                <w:sz w:val="24"/>
                <w:rtl/>
                <w:lang w:val="en-GB"/>
              </w:rPr>
              <w:t xml:space="preserve">مسقط، </w:t>
            </w:r>
            <w:r w:rsidRPr="00985281">
              <w:rPr>
                <w:rFonts w:ascii="Traditional Arabic" w:hAnsi="Traditional Arabic" w:cs="Traditional Arabic" w:hint="eastAsia"/>
                <w:sz w:val="24"/>
                <w:rtl/>
                <w:lang w:val="en-GB"/>
              </w:rPr>
              <w:t>سلطنة</w:t>
            </w:r>
            <w:r w:rsidRPr="00985281">
              <w:rPr>
                <w:rFonts w:ascii="Traditional Arabic" w:hAnsi="Traditional Arabic" w:cs="Traditional Arabic"/>
                <w:sz w:val="24"/>
                <w:rtl/>
                <w:lang w:val="en-GB"/>
              </w:rPr>
              <w:t xml:space="preserve"> </w:t>
            </w:r>
            <w:r w:rsidRPr="00985281">
              <w:rPr>
                <w:rFonts w:ascii="Traditional Arabic" w:hAnsi="Traditional Arabic" w:cs="Traditional Arabic" w:hint="eastAsia"/>
                <w:sz w:val="24"/>
                <w:rtl/>
                <w:lang w:val="en-GB"/>
              </w:rPr>
              <w:t>عمان</w:t>
            </w:r>
          </w:p>
        </w:tc>
        <w:tc>
          <w:tcPr>
            <w:tcW w:w="4675" w:type="dxa"/>
          </w:tcPr>
          <w:p w14:paraId="75233245" w14:textId="77777777" w:rsidR="00B92EDC" w:rsidRDefault="00B92EDC" w:rsidP="00B92EDC">
            <w:pPr>
              <w:tabs>
                <w:tab w:val="left" w:leader="dot" w:pos="3672"/>
              </w:tabs>
              <w:bidi/>
              <w:jc w:val="center"/>
              <w:rPr>
                <w:rFonts w:ascii="Traditional Arabic" w:hAnsi="Traditional Arabic" w:cs="Traditional Arabic"/>
                <w:b/>
                <w:bCs/>
                <w:sz w:val="30"/>
                <w:szCs w:val="30"/>
                <w:rtl/>
                <w:lang w:val="en-GB"/>
              </w:rPr>
            </w:pPr>
            <w:r>
              <w:rPr>
                <w:rFonts w:ascii="Traditional Arabic" w:hAnsi="Traditional Arabic" w:cs="Traditional Arabic" w:hint="cs"/>
                <w:b/>
                <w:bCs/>
                <w:sz w:val="30"/>
                <w:szCs w:val="30"/>
                <w:rtl/>
                <w:lang w:val="en-GB"/>
              </w:rPr>
              <w:t>بنك ظفار ش.م.ع.ع</w:t>
            </w:r>
          </w:p>
          <w:p w14:paraId="624C77FA" w14:textId="77777777" w:rsidR="00B92EDC" w:rsidRPr="00F826B7" w:rsidRDefault="00B92EDC" w:rsidP="00B92EDC">
            <w:pPr>
              <w:tabs>
                <w:tab w:val="left" w:leader="dot" w:pos="3672"/>
              </w:tabs>
              <w:bidi/>
              <w:jc w:val="center"/>
              <w:rPr>
                <w:rFonts w:ascii="Traditional Arabic" w:hAnsi="Traditional Arabic" w:cs="Traditional Arabic"/>
                <w:sz w:val="24"/>
                <w:rtl/>
                <w:lang w:val="en-GB"/>
              </w:rPr>
            </w:pPr>
            <w:r w:rsidRPr="00F826B7">
              <w:rPr>
                <w:rFonts w:ascii="Traditional Arabic" w:hAnsi="Traditional Arabic" w:cs="Traditional Arabic" w:hint="cs"/>
                <w:sz w:val="24"/>
                <w:rtl/>
                <w:lang w:val="en-GB"/>
              </w:rPr>
              <w:t xml:space="preserve">ص.ب </w:t>
            </w:r>
            <w:r>
              <w:rPr>
                <w:rFonts w:ascii="Traditional Arabic" w:hAnsi="Traditional Arabic" w:cs="Traditional Arabic" w:hint="cs"/>
                <w:sz w:val="24"/>
                <w:rtl/>
                <w:lang w:val="en-GB"/>
              </w:rPr>
              <w:t>١٥٠٧</w:t>
            </w:r>
            <w:r w:rsidRPr="00F826B7">
              <w:rPr>
                <w:rFonts w:ascii="Traditional Arabic" w:hAnsi="Traditional Arabic" w:cs="Traditional Arabic" w:hint="cs"/>
                <w:sz w:val="24"/>
                <w:rtl/>
                <w:lang w:val="en-GB"/>
              </w:rPr>
              <w:t>، ر.ب ١١٢</w:t>
            </w:r>
            <w:r>
              <w:rPr>
                <w:rFonts w:ascii="Traditional Arabic" w:hAnsi="Traditional Arabic" w:cs="Traditional Arabic" w:hint="cs"/>
                <w:sz w:val="24"/>
                <w:rtl/>
                <w:lang w:val="en-GB"/>
              </w:rPr>
              <w:t>، روي</w:t>
            </w:r>
          </w:p>
          <w:p w14:paraId="2AA395DA" w14:textId="77777777" w:rsidR="00B92EDC" w:rsidRDefault="00B92EDC" w:rsidP="00B92EDC">
            <w:pPr>
              <w:tabs>
                <w:tab w:val="left" w:leader="dot" w:pos="3672"/>
              </w:tabs>
              <w:bidi/>
              <w:jc w:val="center"/>
              <w:rPr>
                <w:rFonts w:ascii="Traditional Arabic" w:hAnsi="Traditional Arabic" w:cs="Traditional Arabic"/>
                <w:b/>
                <w:bCs/>
                <w:sz w:val="30"/>
                <w:szCs w:val="30"/>
                <w:rtl/>
                <w:lang w:val="en-GB"/>
              </w:rPr>
            </w:pPr>
            <w:r w:rsidRPr="00F826B7">
              <w:rPr>
                <w:rFonts w:ascii="Traditional Arabic" w:hAnsi="Traditional Arabic" w:cs="Traditional Arabic" w:hint="cs"/>
                <w:sz w:val="24"/>
                <w:rtl/>
                <w:lang w:val="en-GB"/>
              </w:rPr>
              <w:t>مسقط، سلطنة عمان</w:t>
            </w:r>
          </w:p>
        </w:tc>
      </w:tr>
      <w:tr w:rsidR="00B92EDC" w:rsidRPr="00EB5BCF" w14:paraId="32D74637" w14:textId="77777777" w:rsidTr="00C64EDB">
        <w:tc>
          <w:tcPr>
            <w:tcW w:w="4675" w:type="dxa"/>
          </w:tcPr>
          <w:p w14:paraId="23D83AB3" w14:textId="77777777" w:rsidR="00B92EDC" w:rsidRPr="00CA4D73" w:rsidRDefault="00B92EDC" w:rsidP="00B92EDC">
            <w:pPr>
              <w:tabs>
                <w:tab w:val="left" w:leader="dot" w:pos="3672"/>
              </w:tabs>
              <w:bidi/>
              <w:jc w:val="center"/>
              <w:rPr>
                <w:rFonts w:ascii="Traditional Arabic" w:hAnsi="Traditional Arabic" w:cs="Traditional Arabic"/>
                <w:bCs/>
                <w:sz w:val="30"/>
                <w:szCs w:val="30"/>
                <w:rtl/>
                <w:lang w:val="en-GB" w:bidi="ar-EG"/>
              </w:rPr>
            </w:pPr>
            <w:r w:rsidRPr="00CA4D73">
              <w:rPr>
                <w:rFonts w:ascii="Traditional Arabic" w:hAnsi="Traditional Arabic" w:cs="Traditional Arabic" w:hint="eastAsia"/>
                <w:bCs/>
                <w:sz w:val="30"/>
                <w:szCs w:val="30"/>
                <w:rtl/>
                <w:lang w:val="en-GB" w:bidi="ar-EG"/>
              </w:rPr>
              <w:t>البنك</w:t>
            </w:r>
            <w:r w:rsidRPr="00CA4D73">
              <w:rPr>
                <w:rFonts w:ascii="Traditional Arabic" w:hAnsi="Traditional Arabic" w:cs="Traditional Arabic"/>
                <w:bCs/>
                <w:sz w:val="30"/>
                <w:szCs w:val="30"/>
                <w:rtl/>
                <w:lang w:val="en-GB" w:bidi="ar-EG"/>
              </w:rPr>
              <w:t xml:space="preserve"> </w:t>
            </w:r>
            <w:r w:rsidRPr="00CA4D73">
              <w:rPr>
                <w:rFonts w:ascii="Traditional Arabic" w:hAnsi="Traditional Arabic" w:cs="Traditional Arabic" w:hint="eastAsia"/>
                <w:bCs/>
                <w:sz w:val="30"/>
                <w:szCs w:val="30"/>
                <w:rtl/>
                <w:lang w:val="en-GB" w:bidi="ar-EG"/>
              </w:rPr>
              <w:t>الوطني</w:t>
            </w:r>
            <w:r w:rsidRPr="00CA4D73">
              <w:rPr>
                <w:rFonts w:ascii="Traditional Arabic" w:hAnsi="Traditional Arabic" w:cs="Traditional Arabic"/>
                <w:bCs/>
                <w:sz w:val="30"/>
                <w:szCs w:val="30"/>
                <w:rtl/>
                <w:lang w:val="en-GB" w:bidi="ar-EG"/>
              </w:rPr>
              <w:t xml:space="preserve"> </w:t>
            </w:r>
            <w:r w:rsidRPr="00CA4D73">
              <w:rPr>
                <w:rFonts w:ascii="Traditional Arabic" w:hAnsi="Traditional Arabic" w:cs="Traditional Arabic" w:hint="eastAsia"/>
                <w:bCs/>
                <w:sz w:val="30"/>
                <w:szCs w:val="30"/>
                <w:rtl/>
                <w:lang w:val="en-GB" w:bidi="ar-EG"/>
              </w:rPr>
              <w:t>العماني</w:t>
            </w:r>
            <w:r w:rsidRPr="00CA4D73">
              <w:rPr>
                <w:rFonts w:ascii="Traditional Arabic" w:hAnsi="Traditional Arabic" w:cs="Traditional Arabic"/>
                <w:bCs/>
                <w:sz w:val="30"/>
                <w:szCs w:val="30"/>
                <w:rtl/>
                <w:lang w:val="en-GB" w:bidi="ar-EG"/>
              </w:rPr>
              <w:t xml:space="preserve"> </w:t>
            </w:r>
            <w:r w:rsidRPr="00CA4D73">
              <w:rPr>
                <w:rFonts w:ascii="Traditional Arabic" w:hAnsi="Traditional Arabic" w:cs="Traditional Arabic" w:hint="eastAsia"/>
                <w:bCs/>
                <w:sz w:val="30"/>
                <w:szCs w:val="30"/>
                <w:rtl/>
                <w:lang w:val="en-GB" w:bidi="ar-EG"/>
              </w:rPr>
              <w:t>ش</w:t>
            </w:r>
            <w:r w:rsidRPr="00CA4D73">
              <w:rPr>
                <w:rFonts w:ascii="Traditional Arabic" w:hAnsi="Traditional Arabic" w:cs="Traditional Arabic"/>
                <w:bCs/>
                <w:sz w:val="30"/>
                <w:szCs w:val="30"/>
                <w:rtl/>
                <w:lang w:val="en-GB" w:bidi="ar-EG"/>
              </w:rPr>
              <w:t>.م.ع.ع</w:t>
            </w:r>
          </w:p>
          <w:p w14:paraId="3950997A" w14:textId="77777777" w:rsidR="00B92EDC" w:rsidRPr="00F826B7" w:rsidRDefault="00B92EDC" w:rsidP="00B92EDC">
            <w:pPr>
              <w:tabs>
                <w:tab w:val="left" w:leader="dot" w:pos="3672"/>
              </w:tabs>
              <w:bidi/>
              <w:jc w:val="center"/>
              <w:rPr>
                <w:rFonts w:ascii="Traditional Arabic" w:hAnsi="Traditional Arabic" w:cs="Traditional Arabic"/>
                <w:sz w:val="24"/>
                <w:rtl/>
                <w:lang w:val="en-GB"/>
              </w:rPr>
            </w:pPr>
            <w:r w:rsidRPr="00F826B7">
              <w:rPr>
                <w:rFonts w:ascii="Traditional Arabic" w:hAnsi="Traditional Arabic" w:cs="Traditional Arabic" w:hint="cs"/>
                <w:sz w:val="24"/>
                <w:rtl/>
                <w:lang w:val="en-GB"/>
              </w:rPr>
              <w:t xml:space="preserve">ص.ب </w:t>
            </w:r>
            <w:r>
              <w:rPr>
                <w:rFonts w:ascii="Traditional Arabic" w:hAnsi="Traditional Arabic" w:cs="Traditional Arabic" w:hint="cs"/>
                <w:sz w:val="24"/>
                <w:rtl/>
                <w:lang w:val="en-GB"/>
              </w:rPr>
              <w:t>٧٥١</w:t>
            </w:r>
            <w:r w:rsidRPr="00F826B7">
              <w:rPr>
                <w:rFonts w:ascii="Traditional Arabic" w:hAnsi="Traditional Arabic" w:cs="Traditional Arabic" w:hint="cs"/>
                <w:sz w:val="24"/>
                <w:rtl/>
                <w:lang w:val="en-GB"/>
              </w:rPr>
              <w:t>، ر.ب ١١٢</w:t>
            </w:r>
            <w:r>
              <w:rPr>
                <w:rFonts w:ascii="Traditional Arabic" w:hAnsi="Traditional Arabic" w:cs="Traditional Arabic" w:hint="cs"/>
                <w:sz w:val="24"/>
                <w:rtl/>
                <w:lang w:val="en-GB"/>
              </w:rPr>
              <w:t>، روي</w:t>
            </w:r>
          </w:p>
          <w:p w14:paraId="641CBCDA" w14:textId="77777777" w:rsidR="00B92EDC" w:rsidRPr="00CA4D73" w:rsidRDefault="00B92EDC" w:rsidP="00B92EDC">
            <w:pPr>
              <w:tabs>
                <w:tab w:val="left" w:leader="dot" w:pos="3672"/>
              </w:tabs>
              <w:bidi/>
              <w:jc w:val="center"/>
              <w:rPr>
                <w:rFonts w:ascii="Traditional Arabic" w:hAnsi="Traditional Arabic" w:cs="Traditional Arabic"/>
                <w:b/>
                <w:sz w:val="30"/>
                <w:szCs w:val="30"/>
                <w:rtl/>
                <w:lang w:val="en-GB" w:bidi="ar-EG"/>
              </w:rPr>
            </w:pPr>
            <w:r w:rsidRPr="00F826B7">
              <w:rPr>
                <w:rFonts w:ascii="Traditional Arabic" w:hAnsi="Traditional Arabic" w:cs="Traditional Arabic" w:hint="cs"/>
                <w:sz w:val="24"/>
                <w:rtl/>
                <w:lang w:val="en-GB"/>
              </w:rPr>
              <w:t>مسقط، سلطنة عمان</w:t>
            </w:r>
          </w:p>
        </w:tc>
        <w:tc>
          <w:tcPr>
            <w:tcW w:w="4675" w:type="dxa"/>
          </w:tcPr>
          <w:p w14:paraId="3D85E7BD" w14:textId="77777777" w:rsidR="00B92EDC" w:rsidRPr="00CA4D73" w:rsidRDefault="00B92EDC" w:rsidP="00B92EDC">
            <w:pPr>
              <w:tabs>
                <w:tab w:val="left" w:leader="dot" w:pos="3672"/>
              </w:tabs>
              <w:bidi/>
              <w:jc w:val="center"/>
              <w:rPr>
                <w:rFonts w:ascii="Traditional Arabic" w:hAnsi="Traditional Arabic" w:cs="Traditional Arabic"/>
                <w:bCs/>
                <w:sz w:val="30"/>
                <w:szCs w:val="30"/>
                <w:rtl/>
                <w:lang w:val="en-GB" w:bidi="ar-EG"/>
              </w:rPr>
            </w:pPr>
            <w:r w:rsidRPr="00CA4D73">
              <w:rPr>
                <w:rFonts w:ascii="Traditional Arabic" w:hAnsi="Traditional Arabic" w:cs="Traditional Arabic" w:hint="eastAsia"/>
                <w:bCs/>
                <w:sz w:val="30"/>
                <w:szCs w:val="30"/>
                <w:rtl/>
                <w:lang w:val="en-GB" w:bidi="ar-EG"/>
              </w:rPr>
              <w:t>بنك</w:t>
            </w:r>
            <w:r w:rsidRPr="00CA4D73">
              <w:rPr>
                <w:rFonts w:ascii="Traditional Arabic" w:hAnsi="Traditional Arabic" w:cs="Traditional Arabic"/>
                <w:bCs/>
                <w:sz w:val="30"/>
                <w:szCs w:val="30"/>
                <w:rtl/>
                <w:lang w:val="en-GB" w:bidi="ar-EG"/>
              </w:rPr>
              <w:t xml:space="preserve"> </w:t>
            </w:r>
            <w:r w:rsidRPr="00CA4D73">
              <w:rPr>
                <w:rFonts w:ascii="Traditional Arabic" w:hAnsi="Traditional Arabic" w:cs="Traditional Arabic" w:hint="eastAsia"/>
                <w:bCs/>
                <w:sz w:val="30"/>
                <w:szCs w:val="30"/>
                <w:rtl/>
                <w:lang w:val="en-GB" w:bidi="ar-EG"/>
              </w:rPr>
              <w:t>عمان</w:t>
            </w:r>
            <w:r w:rsidRPr="00CA4D73">
              <w:rPr>
                <w:rFonts w:ascii="Traditional Arabic" w:hAnsi="Traditional Arabic" w:cs="Traditional Arabic"/>
                <w:bCs/>
                <w:sz w:val="30"/>
                <w:szCs w:val="30"/>
                <w:rtl/>
                <w:lang w:val="en-GB" w:bidi="ar-EG"/>
              </w:rPr>
              <w:t xml:space="preserve"> </w:t>
            </w:r>
            <w:r w:rsidRPr="00CA4D73">
              <w:rPr>
                <w:rFonts w:ascii="Traditional Arabic" w:hAnsi="Traditional Arabic" w:cs="Traditional Arabic" w:hint="eastAsia"/>
                <w:bCs/>
                <w:sz w:val="30"/>
                <w:szCs w:val="30"/>
                <w:rtl/>
                <w:lang w:val="en-GB" w:bidi="ar-EG"/>
              </w:rPr>
              <w:t>العربي</w:t>
            </w:r>
            <w:r w:rsidRPr="00CA4D73">
              <w:rPr>
                <w:rFonts w:ascii="Traditional Arabic" w:hAnsi="Traditional Arabic" w:cs="Traditional Arabic"/>
                <w:bCs/>
                <w:sz w:val="30"/>
                <w:szCs w:val="30"/>
                <w:rtl/>
                <w:lang w:val="en-GB" w:bidi="ar-EG"/>
              </w:rPr>
              <w:t xml:space="preserve"> </w:t>
            </w:r>
            <w:r w:rsidRPr="00CA4D73">
              <w:rPr>
                <w:rFonts w:ascii="Traditional Arabic" w:hAnsi="Traditional Arabic" w:cs="Traditional Arabic" w:hint="eastAsia"/>
                <w:bCs/>
                <w:sz w:val="30"/>
                <w:szCs w:val="30"/>
                <w:rtl/>
                <w:lang w:val="en-GB" w:bidi="ar-EG"/>
              </w:rPr>
              <w:t>ش</w:t>
            </w:r>
            <w:r w:rsidRPr="00CA4D73">
              <w:rPr>
                <w:rFonts w:ascii="Traditional Arabic" w:hAnsi="Traditional Arabic" w:cs="Traditional Arabic"/>
                <w:bCs/>
                <w:sz w:val="30"/>
                <w:szCs w:val="30"/>
                <w:rtl/>
                <w:lang w:val="en-GB" w:bidi="ar-EG"/>
              </w:rPr>
              <w:t>.م.ع.ع</w:t>
            </w:r>
          </w:p>
          <w:p w14:paraId="551810C1" w14:textId="77777777" w:rsidR="00B92EDC" w:rsidRPr="00F826B7" w:rsidRDefault="00B92EDC" w:rsidP="00B92EDC">
            <w:pPr>
              <w:tabs>
                <w:tab w:val="left" w:leader="dot" w:pos="3672"/>
              </w:tabs>
              <w:bidi/>
              <w:jc w:val="center"/>
              <w:rPr>
                <w:rFonts w:ascii="Traditional Arabic" w:hAnsi="Traditional Arabic" w:cs="Traditional Arabic"/>
                <w:sz w:val="24"/>
                <w:rtl/>
                <w:lang w:val="en-GB"/>
              </w:rPr>
            </w:pPr>
            <w:r w:rsidRPr="00F826B7">
              <w:rPr>
                <w:rFonts w:ascii="Traditional Arabic" w:hAnsi="Traditional Arabic" w:cs="Traditional Arabic" w:hint="cs"/>
                <w:sz w:val="24"/>
                <w:rtl/>
                <w:lang w:val="en-GB"/>
              </w:rPr>
              <w:t xml:space="preserve">ص.ب </w:t>
            </w:r>
            <w:r>
              <w:rPr>
                <w:rFonts w:ascii="Traditional Arabic" w:hAnsi="Traditional Arabic" w:cs="Traditional Arabic" w:hint="cs"/>
                <w:sz w:val="24"/>
                <w:rtl/>
                <w:lang w:val="en-GB"/>
              </w:rPr>
              <w:t>٢٢٤٠</w:t>
            </w:r>
            <w:r w:rsidRPr="00F826B7">
              <w:rPr>
                <w:rFonts w:ascii="Traditional Arabic" w:hAnsi="Traditional Arabic" w:cs="Traditional Arabic" w:hint="cs"/>
                <w:sz w:val="24"/>
                <w:rtl/>
                <w:lang w:val="en-GB"/>
              </w:rPr>
              <w:t xml:space="preserve">، ر.ب </w:t>
            </w:r>
            <w:r>
              <w:rPr>
                <w:rFonts w:ascii="Traditional Arabic" w:hAnsi="Traditional Arabic" w:cs="Traditional Arabic" w:hint="cs"/>
                <w:sz w:val="24"/>
                <w:rtl/>
                <w:lang w:val="en-GB"/>
              </w:rPr>
              <w:t>١٣٠، الغبرة الشمالية</w:t>
            </w:r>
          </w:p>
          <w:p w14:paraId="1747A6D0" w14:textId="77777777" w:rsidR="00B92EDC" w:rsidRPr="00CA4D73" w:rsidRDefault="00B92EDC" w:rsidP="00B92EDC">
            <w:pPr>
              <w:tabs>
                <w:tab w:val="left" w:leader="dot" w:pos="3672"/>
              </w:tabs>
              <w:bidi/>
              <w:jc w:val="center"/>
              <w:rPr>
                <w:rFonts w:ascii="Traditional Arabic" w:hAnsi="Traditional Arabic" w:cs="Traditional Arabic"/>
                <w:b/>
                <w:sz w:val="30"/>
                <w:szCs w:val="30"/>
                <w:rtl/>
                <w:lang w:val="en-GB" w:bidi="ar-EG"/>
              </w:rPr>
            </w:pPr>
            <w:r w:rsidRPr="00F826B7">
              <w:rPr>
                <w:rFonts w:ascii="Traditional Arabic" w:hAnsi="Traditional Arabic" w:cs="Traditional Arabic" w:hint="cs"/>
                <w:sz w:val="24"/>
                <w:rtl/>
                <w:lang w:val="en-GB"/>
              </w:rPr>
              <w:t>مسقط، سلطنة عمان</w:t>
            </w:r>
          </w:p>
        </w:tc>
      </w:tr>
      <w:tr w:rsidR="00B92EDC" w:rsidRPr="00EB5BCF" w14:paraId="1015AB22" w14:textId="77777777" w:rsidTr="00C64EDB">
        <w:tc>
          <w:tcPr>
            <w:tcW w:w="4675" w:type="dxa"/>
          </w:tcPr>
          <w:p w14:paraId="07AD7EDB" w14:textId="77777777" w:rsidR="00B92EDC" w:rsidRPr="00CA4D73" w:rsidRDefault="00B92EDC" w:rsidP="00B92EDC">
            <w:pPr>
              <w:tabs>
                <w:tab w:val="left" w:leader="dot" w:pos="3672"/>
              </w:tabs>
              <w:bidi/>
              <w:jc w:val="center"/>
              <w:rPr>
                <w:rFonts w:ascii="Traditional Arabic" w:hAnsi="Traditional Arabic" w:cs="Traditional Arabic"/>
                <w:b/>
                <w:bCs/>
                <w:sz w:val="30"/>
                <w:szCs w:val="30"/>
                <w:rtl/>
              </w:rPr>
            </w:pPr>
            <w:r w:rsidRPr="00CA4D73">
              <w:rPr>
                <w:rFonts w:ascii="Traditional Arabic" w:hAnsi="Traditional Arabic" w:cs="Traditional Arabic" w:hint="eastAsia"/>
                <w:b/>
                <w:bCs/>
                <w:sz w:val="30"/>
                <w:szCs w:val="30"/>
                <w:rtl/>
              </w:rPr>
              <w:t>الافاق</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لأسواق</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المال</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ش</w:t>
            </w:r>
            <w:r w:rsidRPr="00CA4D73">
              <w:rPr>
                <w:rFonts w:ascii="Traditional Arabic" w:hAnsi="Traditional Arabic" w:cs="Traditional Arabic"/>
                <w:b/>
                <w:bCs/>
                <w:sz w:val="30"/>
                <w:szCs w:val="30"/>
                <w:rtl/>
              </w:rPr>
              <w:t>.م.ع.م</w:t>
            </w:r>
          </w:p>
          <w:p w14:paraId="25E846FD" w14:textId="77777777" w:rsidR="00B92EDC" w:rsidRPr="00F826B7" w:rsidRDefault="00B92EDC" w:rsidP="00B92EDC">
            <w:pPr>
              <w:tabs>
                <w:tab w:val="left" w:leader="dot" w:pos="3672"/>
              </w:tabs>
              <w:bidi/>
              <w:jc w:val="center"/>
              <w:rPr>
                <w:rFonts w:ascii="Traditional Arabic" w:hAnsi="Traditional Arabic" w:cs="Traditional Arabic"/>
                <w:sz w:val="24"/>
                <w:rtl/>
                <w:lang w:val="en-GB"/>
              </w:rPr>
            </w:pPr>
            <w:r w:rsidRPr="00F826B7">
              <w:rPr>
                <w:rFonts w:ascii="Traditional Arabic" w:hAnsi="Traditional Arabic" w:cs="Traditional Arabic" w:hint="cs"/>
                <w:sz w:val="24"/>
                <w:rtl/>
                <w:lang w:val="en-GB"/>
              </w:rPr>
              <w:t xml:space="preserve">ص.ب </w:t>
            </w:r>
            <w:r>
              <w:rPr>
                <w:rFonts w:ascii="Traditional Arabic" w:hAnsi="Traditional Arabic" w:cs="Traditional Arabic" w:hint="cs"/>
                <w:sz w:val="24"/>
                <w:rtl/>
                <w:lang w:val="en-GB"/>
              </w:rPr>
              <w:t>٦٨٥</w:t>
            </w:r>
            <w:r w:rsidRPr="00F826B7">
              <w:rPr>
                <w:rFonts w:ascii="Traditional Arabic" w:hAnsi="Traditional Arabic" w:cs="Traditional Arabic" w:hint="cs"/>
                <w:sz w:val="24"/>
                <w:rtl/>
                <w:lang w:val="en-GB"/>
              </w:rPr>
              <w:t xml:space="preserve">، ر.ب </w:t>
            </w:r>
            <w:r>
              <w:rPr>
                <w:rFonts w:ascii="Traditional Arabic" w:hAnsi="Traditional Arabic" w:cs="Traditional Arabic" w:hint="cs"/>
                <w:sz w:val="24"/>
                <w:rtl/>
                <w:lang w:val="en-GB"/>
              </w:rPr>
              <w:t>١١٥، روي</w:t>
            </w:r>
          </w:p>
          <w:p w14:paraId="5AF830EC" w14:textId="77777777" w:rsidR="00B92EDC" w:rsidRPr="00CA4D73" w:rsidRDefault="00B92EDC" w:rsidP="00B92EDC">
            <w:pPr>
              <w:tabs>
                <w:tab w:val="left" w:leader="dot" w:pos="3672"/>
              </w:tabs>
              <w:bidi/>
              <w:jc w:val="center"/>
              <w:rPr>
                <w:rFonts w:ascii="Traditional Arabic" w:hAnsi="Traditional Arabic" w:cs="Traditional Arabic"/>
                <w:b/>
                <w:sz w:val="30"/>
                <w:szCs w:val="30"/>
                <w:rtl/>
                <w:lang w:val="en-GB" w:bidi="ar-EG"/>
              </w:rPr>
            </w:pPr>
            <w:r w:rsidRPr="00F826B7">
              <w:rPr>
                <w:rFonts w:ascii="Traditional Arabic" w:hAnsi="Traditional Arabic" w:cs="Traditional Arabic" w:hint="cs"/>
                <w:sz w:val="24"/>
                <w:rtl/>
                <w:lang w:val="en-GB"/>
              </w:rPr>
              <w:t>مسقط، سلطنة عمان</w:t>
            </w:r>
          </w:p>
        </w:tc>
        <w:tc>
          <w:tcPr>
            <w:tcW w:w="4675" w:type="dxa"/>
          </w:tcPr>
          <w:p w14:paraId="7E79C5D7" w14:textId="77777777" w:rsidR="00B92EDC" w:rsidRPr="00CA4D73" w:rsidRDefault="00B92EDC" w:rsidP="00B92EDC">
            <w:pPr>
              <w:tabs>
                <w:tab w:val="left" w:leader="dot" w:pos="3672"/>
              </w:tabs>
              <w:bidi/>
              <w:jc w:val="center"/>
              <w:rPr>
                <w:rFonts w:ascii="Traditional Arabic" w:hAnsi="Traditional Arabic" w:cs="Traditional Arabic"/>
                <w:b/>
                <w:bCs/>
                <w:sz w:val="30"/>
                <w:szCs w:val="30"/>
                <w:rtl/>
              </w:rPr>
            </w:pPr>
            <w:r w:rsidRPr="00CA4D73">
              <w:rPr>
                <w:rFonts w:ascii="Traditional Arabic" w:hAnsi="Traditional Arabic" w:cs="Traditional Arabic" w:hint="eastAsia"/>
                <w:b/>
                <w:bCs/>
                <w:sz w:val="30"/>
                <w:szCs w:val="30"/>
                <w:rtl/>
              </w:rPr>
              <w:t>جبل</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لإدارة</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الأصول</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ش</w:t>
            </w:r>
            <w:r w:rsidRPr="00CA4D73">
              <w:rPr>
                <w:rFonts w:ascii="Traditional Arabic" w:hAnsi="Traditional Arabic" w:cs="Traditional Arabic"/>
                <w:b/>
                <w:bCs/>
                <w:sz w:val="30"/>
                <w:szCs w:val="30"/>
                <w:rtl/>
              </w:rPr>
              <w:t>.م.م</w:t>
            </w:r>
          </w:p>
          <w:p w14:paraId="20A7CFD4" w14:textId="77777777" w:rsidR="00B92EDC" w:rsidRPr="00F826B7" w:rsidRDefault="00B92EDC" w:rsidP="00B92EDC">
            <w:pPr>
              <w:tabs>
                <w:tab w:val="left" w:leader="dot" w:pos="3672"/>
              </w:tabs>
              <w:bidi/>
              <w:jc w:val="center"/>
              <w:rPr>
                <w:rFonts w:ascii="Traditional Arabic" w:hAnsi="Traditional Arabic" w:cs="Traditional Arabic"/>
                <w:sz w:val="24"/>
                <w:rtl/>
                <w:lang w:val="en-GB"/>
              </w:rPr>
            </w:pPr>
            <w:r w:rsidRPr="00F826B7">
              <w:rPr>
                <w:rFonts w:ascii="Traditional Arabic" w:hAnsi="Traditional Arabic" w:cs="Traditional Arabic" w:hint="cs"/>
                <w:sz w:val="24"/>
                <w:rtl/>
                <w:lang w:val="en-GB"/>
              </w:rPr>
              <w:t xml:space="preserve">ص.ب </w:t>
            </w:r>
            <w:r>
              <w:rPr>
                <w:rFonts w:ascii="Traditional Arabic" w:hAnsi="Traditional Arabic" w:cs="Traditional Arabic" w:hint="cs"/>
                <w:sz w:val="24"/>
                <w:rtl/>
                <w:lang w:val="en-GB"/>
              </w:rPr>
              <w:t>٢٢٠٩</w:t>
            </w:r>
            <w:r w:rsidRPr="00F826B7">
              <w:rPr>
                <w:rFonts w:ascii="Traditional Arabic" w:hAnsi="Traditional Arabic" w:cs="Traditional Arabic" w:hint="cs"/>
                <w:sz w:val="24"/>
                <w:rtl/>
                <w:lang w:val="en-GB"/>
              </w:rPr>
              <w:t xml:space="preserve">، ر.ب </w:t>
            </w:r>
            <w:r>
              <w:rPr>
                <w:rFonts w:ascii="Traditional Arabic" w:hAnsi="Traditional Arabic" w:cs="Traditional Arabic" w:hint="cs"/>
                <w:sz w:val="24"/>
                <w:rtl/>
                <w:lang w:val="en-GB"/>
              </w:rPr>
              <w:t>١٣٠، الخوير الشمالية</w:t>
            </w:r>
          </w:p>
          <w:p w14:paraId="60DCC245" w14:textId="77777777" w:rsidR="00B92EDC" w:rsidRDefault="00B92EDC" w:rsidP="00B92EDC">
            <w:pPr>
              <w:tabs>
                <w:tab w:val="left" w:leader="dot" w:pos="3672"/>
              </w:tabs>
              <w:bidi/>
              <w:jc w:val="center"/>
              <w:rPr>
                <w:rFonts w:ascii="Traditional Arabic" w:hAnsi="Traditional Arabic" w:cs="Traditional Arabic"/>
                <w:b/>
                <w:bCs/>
                <w:sz w:val="30"/>
                <w:szCs w:val="30"/>
                <w:rtl/>
                <w:lang w:val="en-GB"/>
              </w:rPr>
            </w:pPr>
            <w:r w:rsidRPr="00F826B7">
              <w:rPr>
                <w:rFonts w:ascii="Traditional Arabic" w:hAnsi="Traditional Arabic" w:cs="Traditional Arabic" w:hint="cs"/>
                <w:sz w:val="24"/>
                <w:rtl/>
                <w:lang w:val="en-GB"/>
              </w:rPr>
              <w:t>مسقط، سلطنة عمان</w:t>
            </w:r>
          </w:p>
        </w:tc>
      </w:tr>
      <w:tr w:rsidR="00B92EDC" w:rsidRPr="00EB5BCF" w14:paraId="58A3D135" w14:textId="77777777" w:rsidTr="00C64EDB">
        <w:tc>
          <w:tcPr>
            <w:tcW w:w="4675" w:type="dxa"/>
          </w:tcPr>
          <w:p w14:paraId="2A52F791" w14:textId="77777777" w:rsidR="00B92EDC" w:rsidRDefault="00B92EDC" w:rsidP="00B92EDC">
            <w:pPr>
              <w:tabs>
                <w:tab w:val="left" w:leader="dot" w:pos="3672"/>
              </w:tabs>
              <w:bidi/>
              <w:jc w:val="center"/>
              <w:rPr>
                <w:rFonts w:ascii="Traditional Arabic" w:hAnsi="Traditional Arabic" w:cs="Traditional Arabic"/>
                <w:b/>
                <w:bCs/>
                <w:sz w:val="30"/>
                <w:szCs w:val="30"/>
                <w:rtl/>
              </w:rPr>
            </w:pPr>
            <w:r w:rsidRPr="00CA4D73">
              <w:rPr>
                <w:rFonts w:ascii="Traditional Arabic" w:hAnsi="Traditional Arabic" w:cs="Traditional Arabic" w:hint="eastAsia"/>
                <w:b/>
                <w:bCs/>
                <w:sz w:val="30"/>
                <w:szCs w:val="30"/>
                <w:rtl/>
              </w:rPr>
              <w:t>الشركة</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المتحدة</w:t>
            </w:r>
            <w:r w:rsidRPr="00CA4D73">
              <w:rPr>
                <w:rFonts w:ascii="Traditional Arabic" w:hAnsi="Traditional Arabic" w:cs="Traditional Arabic"/>
                <w:b/>
                <w:bCs/>
                <w:sz w:val="30"/>
                <w:szCs w:val="30"/>
                <w:rtl/>
              </w:rPr>
              <w:t xml:space="preserve"> </w:t>
            </w:r>
            <w:r w:rsidRPr="00536355">
              <w:rPr>
                <w:rFonts w:ascii="Traditional Arabic" w:hAnsi="Traditional Arabic" w:cs="Traditional Arabic" w:hint="cs"/>
                <w:b/>
                <w:bCs/>
                <w:sz w:val="30"/>
                <w:szCs w:val="30"/>
                <w:rtl/>
              </w:rPr>
              <w:t>للأوراق</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المالية</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ش</w:t>
            </w:r>
            <w:r w:rsidRPr="00CA4D73">
              <w:rPr>
                <w:rFonts w:ascii="Traditional Arabic" w:hAnsi="Traditional Arabic" w:cs="Traditional Arabic"/>
                <w:b/>
                <w:bCs/>
                <w:sz w:val="30"/>
                <w:szCs w:val="30"/>
                <w:rtl/>
              </w:rPr>
              <w:t>.م.م</w:t>
            </w:r>
          </w:p>
          <w:p w14:paraId="4BF042B4" w14:textId="77777777" w:rsidR="00B92EDC" w:rsidRDefault="00B92EDC" w:rsidP="00B92EDC">
            <w:pPr>
              <w:tabs>
                <w:tab w:val="left" w:leader="dot" w:pos="3672"/>
              </w:tabs>
              <w:bidi/>
              <w:jc w:val="center"/>
              <w:rPr>
                <w:rFonts w:ascii="Traditional Arabic" w:hAnsi="Traditional Arabic" w:cs="Traditional Arabic"/>
                <w:sz w:val="24"/>
                <w:rtl/>
                <w:lang w:val="en-GB"/>
              </w:rPr>
            </w:pPr>
            <w:r w:rsidRPr="00F826B7">
              <w:rPr>
                <w:rFonts w:ascii="Traditional Arabic" w:hAnsi="Traditional Arabic" w:cs="Traditional Arabic" w:hint="cs"/>
                <w:sz w:val="24"/>
                <w:rtl/>
                <w:lang w:val="en-GB"/>
              </w:rPr>
              <w:t xml:space="preserve">ص.ب </w:t>
            </w:r>
            <w:r>
              <w:rPr>
                <w:rFonts w:ascii="Traditional Arabic" w:hAnsi="Traditional Arabic" w:cs="Traditional Arabic" w:hint="cs"/>
                <w:sz w:val="24"/>
                <w:rtl/>
                <w:lang w:val="en-GB"/>
              </w:rPr>
              <w:t>٢٥٦٦</w:t>
            </w:r>
            <w:r w:rsidRPr="00F826B7">
              <w:rPr>
                <w:rFonts w:ascii="Traditional Arabic" w:hAnsi="Traditional Arabic" w:cs="Traditional Arabic" w:hint="cs"/>
                <w:sz w:val="24"/>
                <w:rtl/>
                <w:lang w:val="en-GB"/>
              </w:rPr>
              <w:t xml:space="preserve">، ر.ب </w:t>
            </w:r>
            <w:r>
              <w:rPr>
                <w:rFonts w:ascii="Traditional Arabic" w:hAnsi="Traditional Arabic" w:cs="Traditional Arabic" w:hint="cs"/>
                <w:sz w:val="24"/>
                <w:rtl/>
                <w:lang w:val="en-GB"/>
              </w:rPr>
              <w:t>١١٢</w:t>
            </w:r>
          </w:p>
          <w:p w14:paraId="5B3BC2BD" w14:textId="77777777" w:rsidR="00B92EDC" w:rsidRPr="00536355" w:rsidRDefault="00B92EDC" w:rsidP="00B92EDC">
            <w:pPr>
              <w:tabs>
                <w:tab w:val="left" w:leader="dot" w:pos="3672"/>
              </w:tabs>
              <w:bidi/>
              <w:jc w:val="center"/>
              <w:rPr>
                <w:rFonts w:ascii="Traditional Arabic" w:hAnsi="Traditional Arabic" w:cs="Traditional Arabic"/>
                <w:b/>
                <w:bCs/>
                <w:sz w:val="30"/>
                <w:szCs w:val="30"/>
                <w:rtl/>
                <w:lang w:val="en-GB"/>
              </w:rPr>
            </w:pPr>
            <w:r w:rsidRPr="00F826B7">
              <w:rPr>
                <w:rFonts w:ascii="Traditional Arabic" w:hAnsi="Traditional Arabic" w:cs="Traditional Arabic" w:hint="cs"/>
                <w:sz w:val="24"/>
                <w:rtl/>
                <w:lang w:val="en-GB"/>
              </w:rPr>
              <w:t>مسقط، سلطنة عمان</w:t>
            </w:r>
          </w:p>
        </w:tc>
        <w:tc>
          <w:tcPr>
            <w:tcW w:w="4675" w:type="dxa"/>
          </w:tcPr>
          <w:p w14:paraId="1EAAB437" w14:textId="77777777" w:rsidR="00B92EDC" w:rsidRPr="00CA4D73" w:rsidRDefault="00B92EDC" w:rsidP="00B92EDC">
            <w:pPr>
              <w:tabs>
                <w:tab w:val="left" w:leader="dot" w:pos="3672"/>
              </w:tabs>
              <w:bidi/>
              <w:jc w:val="center"/>
              <w:rPr>
                <w:rFonts w:ascii="Traditional Arabic" w:hAnsi="Traditional Arabic" w:cs="Traditional Arabic"/>
                <w:b/>
                <w:bCs/>
                <w:sz w:val="30"/>
                <w:szCs w:val="30"/>
                <w:rtl/>
              </w:rPr>
            </w:pPr>
            <w:r w:rsidRPr="00CA4D73">
              <w:rPr>
                <w:rFonts w:ascii="Traditional Arabic" w:hAnsi="Traditional Arabic" w:cs="Traditional Arabic" w:hint="eastAsia"/>
                <w:b/>
                <w:bCs/>
                <w:sz w:val="30"/>
                <w:szCs w:val="30"/>
                <w:rtl/>
              </w:rPr>
              <w:t>الرؤية</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للأوراق</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المالية</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ش</w:t>
            </w:r>
            <w:r w:rsidRPr="00CA4D73">
              <w:rPr>
                <w:rFonts w:ascii="Traditional Arabic" w:hAnsi="Traditional Arabic" w:cs="Traditional Arabic"/>
                <w:b/>
                <w:bCs/>
                <w:sz w:val="30"/>
                <w:szCs w:val="30"/>
                <w:rtl/>
              </w:rPr>
              <w:t>.م.م</w:t>
            </w:r>
          </w:p>
          <w:p w14:paraId="15D05682" w14:textId="77777777" w:rsidR="00B92EDC" w:rsidRDefault="00B92EDC" w:rsidP="00B92EDC">
            <w:pPr>
              <w:tabs>
                <w:tab w:val="left" w:pos="1152"/>
                <w:tab w:val="center" w:pos="2229"/>
                <w:tab w:val="left" w:leader="dot" w:pos="3672"/>
              </w:tabs>
              <w:bidi/>
              <w:rPr>
                <w:rFonts w:ascii="Traditional Arabic" w:hAnsi="Traditional Arabic" w:cs="Traditional Arabic"/>
                <w:sz w:val="24"/>
                <w:rtl/>
                <w:lang w:val="en-GB"/>
              </w:rPr>
            </w:pPr>
            <w:r>
              <w:rPr>
                <w:rFonts w:ascii="Traditional Arabic" w:hAnsi="Traditional Arabic" w:cs="Traditional Arabic"/>
                <w:sz w:val="24"/>
                <w:rtl/>
                <w:lang w:val="en-GB"/>
              </w:rPr>
              <w:tab/>
            </w:r>
            <w:r>
              <w:rPr>
                <w:rFonts w:ascii="Traditional Arabic" w:hAnsi="Traditional Arabic" w:cs="Traditional Arabic"/>
                <w:sz w:val="24"/>
                <w:rtl/>
                <w:lang w:val="en-GB"/>
              </w:rPr>
              <w:tab/>
            </w:r>
            <w:r w:rsidRPr="00F826B7">
              <w:rPr>
                <w:rFonts w:ascii="Traditional Arabic" w:hAnsi="Traditional Arabic" w:cs="Traditional Arabic" w:hint="cs"/>
                <w:sz w:val="24"/>
                <w:rtl/>
                <w:lang w:val="en-GB"/>
              </w:rPr>
              <w:t xml:space="preserve">ص.ب </w:t>
            </w:r>
            <w:r>
              <w:rPr>
                <w:rFonts w:ascii="Traditional Arabic" w:hAnsi="Traditional Arabic" w:cs="Traditional Arabic" w:hint="cs"/>
                <w:sz w:val="24"/>
                <w:rtl/>
                <w:lang w:val="en-GB"/>
              </w:rPr>
              <w:t>٧١٢</w:t>
            </w:r>
            <w:r w:rsidRPr="00F826B7">
              <w:rPr>
                <w:rFonts w:ascii="Traditional Arabic" w:hAnsi="Traditional Arabic" w:cs="Traditional Arabic" w:hint="cs"/>
                <w:sz w:val="24"/>
                <w:rtl/>
                <w:lang w:val="en-GB"/>
              </w:rPr>
              <w:t xml:space="preserve">، ر.ب </w:t>
            </w:r>
            <w:r>
              <w:rPr>
                <w:rFonts w:ascii="Traditional Arabic" w:hAnsi="Traditional Arabic" w:cs="Traditional Arabic" w:hint="cs"/>
                <w:sz w:val="24"/>
                <w:rtl/>
                <w:lang w:val="en-GB"/>
              </w:rPr>
              <w:t>١٣١</w:t>
            </w:r>
          </w:p>
          <w:p w14:paraId="7493795D" w14:textId="77777777" w:rsidR="00B92EDC" w:rsidRDefault="00B92EDC" w:rsidP="00B92EDC">
            <w:pPr>
              <w:tabs>
                <w:tab w:val="left" w:leader="dot" w:pos="3672"/>
              </w:tabs>
              <w:bidi/>
              <w:jc w:val="center"/>
              <w:rPr>
                <w:rFonts w:ascii="Traditional Arabic" w:hAnsi="Traditional Arabic" w:cs="Traditional Arabic"/>
                <w:b/>
                <w:bCs/>
                <w:sz w:val="30"/>
                <w:szCs w:val="30"/>
                <w:rtl/>
                <w:lang w:val="en-GB"/>
              </w:rPr>
            </w:pPr>
            <w:r w:rsidRPr="00F826B7">
              <w:rPr>
                <w:rFonts w:ascii="Traditional Arabic" w:hAnsi="Traditional Arabic" w:cs="Traditional Arabic" w:hint="cs"/>
                <w:sz w:val="24"/>
                <w:rtl/>
                <w:lang w:val="en-GB"/>
              </w:rPr>
              <w:t>مسقط، سلطنة عمان</w:t>
            </w:r>
          </w:p>
        </w:tc>
      </w:tr>
      <w:tr w:rsidR="00B92EDC" w:rsidRPr="00EB5BCF" w14:paraId="4CC2C5D1" w14:textId="77777777" w:rsidTr="00C64EDB">
        <w:tc>
          <w:tcPr>
            <w:tcW w:w="4675" w:type="dxa"/>
          </w:tcPr>
          <w:p w14:paraId="1F9DB1CD" w14:textId="77777777" w:rsidR="00B92EDC" w:rsidRDefault="00B92EDC" w:rsidP="00B92EDC">
            <w:pPr>
              <w:tabs>
                <w:tab w:val="left" w:leader="dot" w:pos="3672"/>
              </w:tabs>
              <w:bidi/>
              <w:jc w:val="center"/>
              <w:rPr>
                <w:rFonts w:ascii="Traditional Arabic" w:hAnsi="Traditional Arabic" w:cs="Traditional Arabic"/>
                <w:b/>
                <w:bCs/>
                <w:sz w:val="30"/>
                <w:szCs w:val="30"/>
                <w:rtl/>
                <w:lang w:val="en-GB" w:bidi="ar-EG"/>
              </w:rPr>
            </w:pPr>
            <w:r w:rsidRPr="00CA4D73">
              <w:rPr>
                <w:rFonts w:ascii="Traditional Arabic" w:hAnsi="Traditional Arabic" w:cs="Traditional Arabic" w:hint="eastAsia"/>
                <w:b/>
                <w:bCs/>
                <w:sz w:val="30"/>
                <w:szCs w:val="30"/>
                <w:rtl/>
              </w:rPr>
              <w:t>سي</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اف</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اي</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المالية</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ش</w:t>
            </w:r>
            <w:r w:rsidRPr="00CA4D73">
              <w:rPr>
                <w:rFonts w:ascii="Traditional Arabic" w:hAnsi="Traditional Arabic" w:cs="Traditional Arabic"/>
                <w:b/>
                <w:bCs/>
                <w:sz w:val="30"/>
                <w:szCs w:val="30"/>
                <w:rtl/>
              </w:rPr>
              <w:t>.م.م</w:t>
            </w:r>
            <w:r w:rsidRPr="00CA4D73">
              <w:rPr>
                <w:rFonts w:ascii="Traditional Arabic" w:hAnsi="Traditional Arabic" w:cs="Traditional Arabic"/>
                <w:b/>
                <w:bCs/>
                <w:sz w:val="30"/>
                <w:szCs w:val="30"/>
                <w:rtl/>
                <w:lang w:val="en-GB" w:bidi="ar-EG"/>
              </w:rPr>
              <w:t xml:space="preserve"> </w:t>
            </w:r>
          </w:p>
          <w:p w14:paraId="7FBACD40" w14:textId="77777777" w:rsidR="00B92EDC" w:rsidRDefault="00B92EDC" w:rsidP="00B92EDC">
            <w:pPr>
              <w:tabs>
                <w:tab w:val="left" w:leader="dot" w:pos="3672"/>
              </w:tabs>
              <w:bidi/>
              <w:jc w:val="center"/>
              <w:rPr>
                <w:rFonts w:ascii="Traditional Arabic" w:hAnsi="Traditional Arabic" w:cs="Traditional Arabic"/>
                <w:sz w:val="24"/>
                <w:rtl/>
                <w:lang w:val="en-GB"/>
              </w:rPr>
            </w:pPr>
            <w:r w:rsidRPr="00F826B7">
              <w:rPr>
                <w:rFonts w:ascii="Traditional Arabic" w:hAnsi="Traditional Arabic" w:cs="Traditional Arabic" w:hint="cs"/>
                <w:sz w:val="24"/>
                <w:rtl/>
                <w:lang w:val="en-GB"/>
              </w:rPr>
              <w:t xml:space="preserve">ص.ب </w:t>
            </w:r>
            <w:r>
              <w:rPr>
                <w:rFonts w:ascii="Traditional Arabic" w:hAnsi="Traditional Arabic" w:cs="Traditional Arabic" w:hint="cs"/>
                <w:sz w:val="24"/>
                <w:rtl/>
                <w:lang w:val="en-GB"/>
              </w:rPr>
              <w:t>١٢٣</w:t>
            </w:r>
            <w:r w:rsidRPr="00F826B7">
              <w:rPr>
                <w:rFonts w:ascii="Traditional Arabic" w:hAnsi="Traditional Arabic" w:cs="Traditional Arabic" w:hint="cs"/>
                <w:sz w:val="24"/>
                <w:rtl/>
                <w:lang w:val="en-GB"/>
              </w:rPr>
              <w:t xml:space="preserve">، ر.ب </w:t>
            </w:r>
            <w:r>
              <w:rPr>
                <w:rFonts w:ascii="Traditional Arabic" w:hAnsi="Traditional Arabic" w:cs="Traditional Arabic" w:hint="cs"/>
                <w:sz w:val="24"/>
                <w:rtl/>
                <w:lang w:val="en-GB"/>
              </w:rPr>
              <w:t>١١٤</w:t>
            </w:r>
          </w:p>
          <w:p w14:paraId="3C6110E7" w14:textId="77777777" w:rsidR="00B92EDC" w:rsidRPr="00F71873" w:rsidRDefault="00B92EDC" w:rsidP="00B92EDC">
            <w:pPr>
              <w:tabs>
                <w:tab w:val="left" w:leader="dot" w:pos="3672"/>
              </w:tabs>
              <w:bidi/>
              <w:jc w:val="center"/>
              <w:rPr>
                <w:rFonts w:ascii="Traditional Arabic" w:hAnsi="Traditional Arabic" w:cs="Traditional Arabic"/>
                <w:b/>
                <w:bCs/>
                <w:sz w:val="30"/>
                <w:szCs w:val="30"/>
                <w:rtl/>
                <w:lang w:val="en-GB"/>
              </w:rPr>
            </w:pPr>
            <w:r w:rsidRPr="00F826B7">
              <w:rPr>
                <w:rFonts w:ascii="Traditional Arabic" w:hAnsi="Traditional Arabic" w:cs="Traditional Arabic" w:hint="cs"/>
                <w:sz w:val="24"/>
                <w:rtl/>
                <w:lang w:val="en-GB"/>
              </w:rPr>
              <w:t>مسقط، سلطنة عمان</w:t>
            </w:r>
            <w:r w:rsidRPr="00CA4D73">
              <w:rPr>
                <w:rFonts w:ascii="Traditional Arabic" w:hAnsi="Traditional Arabic" w:cs="Traditional Arabic"/>
                <w:b/>
                <w:bCs/>
                <w:sz w:val="30"/>
                <w:szCs w:val="30"/>
                <w:rtl/>
                <w:lang w:val="en-GB" w:bidi="ar-EG"/>
              </w:rPr>
              <w:t xml:space="preserve"> </w:t>
            </w:r>
          </w:p>
        </w:tc>
        <w:tc>
          <w:tcPr>
            <w:tcW w:w="4675" w:type="dxa"/>
          </w:tcPr>
          <w:p w14:paraId="72D2431C" w14:textId="77777777" w:rsidR="00B92EDC" w:rsidRPr="00CA4D73" w:rsidRDefault="00B92EDC" w:rsidP="00B92EDC">
            <w:pPr>
              <w:tabs>
                <w:tab w:val="left" w:leader="dot" w:pos="3672"/>
              </w:tabs>
              <w:bidi/>
              <w:jc w:val="center"/>
              <w:rPr>
                <w:rFonts w:ascii="Traditional Arabic" w:hAnsi="Traditional Arabic" w:cs="Traditional Arabic"/>
                <w:b/>
                <w:bCs/>
                <w:sz w:val="30"/>
                <w:szCs w:val="30"/>
                <w:rtl/>
              </w:rPr>
            </w:pPr>
            <w:r w:rsidRPr="00CA4D73">
              <w:rPr>
                <w:rFonts w:ascii="Traditional Arabic" w:hAnsi="Traditional Arabic" w:cs="Traditional Arabic" w:hint="eastAsia"/>
                <w:b/>
                <w:bCs/>
                <w:sz w:val="30"/>
                <w:szCs w:val="30"/>
                <w:rtl/>
              </w:rPr>
              <w:t>شركة</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اوبار</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للاستثمارات</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المالية</w:t>
            </w:r>
            <w:r w:rsidRPr="00CA4D73">
              <w:rPr>
                <w:rFonts w:ascii="Traditional Arabic" w:hAnsi="Traditional Arabic" w:cs="Traditional Arabic"/>
                <w:b/>
                <w:bCs/>
                <w:sz w:val="30"/>
                <w:szCs w:val="30"/>
                <w:rtl/>
              </w:rPr>
              <w:t xml:space="preserve"> </w:t>
            </w:r>
            <w:r w:rsidRPr="00CA4D73">
              <w:rPr>
                <w:rFonts w:ascii="Traditional Arabic" w:hAnsi="Traditional Arabic" w:cs="Traditional Arabic" w:hint="eastAsia"/>
                <w:b/>
                <w:bCs/>
                <w:sz w:val="30"/>
                <w:szCs w:val="30"/>
                <w:rtl/>
              </w:rPr>
              <w:t>ش</w:t>
            </w:r>
            <w:r w:rsidRPr="00CA4D73">
              <w:rPr>
                <w:rFonts w:ascii="Traditional Arabic" w:hAnsi="Traditional Arabic" w:cs="Traditional Arabic"/>
                <w:b/>
                <w:bCs/>
                <w:sz w:val="30"/>
                <w:szCs w:val="30"/>
                <w:rtl/>
              </w:rPr>
              <w:t xml:space="preserve">.م.ع.م </w:t>
            </w:r>
          </w:p>
          <w:p w14:paraId="0765772C" w14:textId="77777777" w:rsidR="00B92EDC" w:rsidRDefault="00B92EDC" w:rsidP="00B92EDC">
            <w:pPr>
              <w:tabs>
                <w:tab w:val="left" w:leader="dot" w:pos="3672"/>
              </w:tabs>
              <w:bidi/>
              <w:jc w:val="center"/>
              <w:rPr>
                <w:rFonts w:ascii="Traditional Arabic" w:hAnsi="Traditional Arabic" w:cs="Traditional Arabic"/>
                <w:sz w:val="24"/>
                <w:rtl/>
                <w:lang w:val="en-GB"/>
              </w:rPr>
            </w:pPr>
            <w:r w:rsidRPr="00F826B7">
              <w:rPr>
                <w:rFonts w:ascii="Traditional Arabic" w:hAnsi="Traditional Arabic" w:cs="Traditional Arabic" w:hint="cs"/>
                <w:sz w:val="24"/>
                <w:rtl/>
                <w:lang w:val="en-GB"/>
              </w:rPr>
              <w:t xml:space="preserve">ص.ب </w:t>
            </w:r>
            <w:r>
              <w:rPr>
                <w:rFonts w:ascii="Traditional Arabic" w:hAnsi="Traditional Arabic" w:cs="Traditional Arabic" w:hint="cs"/>
                <w:sz w:val="24"/>
                <w:rtl/>
                <w:lang w:val="en-GB"/>
              </w:rPr>
              <w:t>١١٣٧</w:t>
            </w:r>
            <w:r w:rsidRPr="00F826B7">
              <w:rPr>
                <w:rFonts w:ascii="Traditional Arabic" w:hAnsi="Traditional Arabic" w:cs="Traditional Arabic" w:hint="cs"/>
                <w:sz w:val="24"/>
                <w:rtl/>
                <w:lang w:val="en-GB"/>
              </w:rPr>
              <w:t xml:space="preserve">، ر.ب </w:t>
            </w:r>
            <w:r>
              <w:rPr>
                <w:rFonts w:ascii="Traditional Arabic" w:hAnsi="Traditional Arabic" w:cs="Traditional Arabic" w:hint="cs"/>
                <w:sz w:val="24"/>
                <w:rtl/>
                <w:lang w:val="en-GB"/>
              </w:rPr>
              <w:t>١١١</w:t>
            </w:r>
          </w:p>
          <w:p w14:paraId="5A9978F9" w14:textId="77777777" w:rsidR="00B92EDC" w:rsidRDefault="00B92EDC" w:rsidP="00B92EDC">
            <w:pPr>
              <w:tabs>
                <w:tab w:val="left" w:leader="dot" w:pos="3672"/>
              </w:tabs>
              <w:bidi/>
              <w:jc w:val="center"/>
              <w:rPr>
                <w:rFonts w:ascii="Traditional Arabic" w:hAnsi="Traditional Arabic" w:cs="Traditional Arabic"/>
                <w:sz w:val="30"/>
                <w:szCs w:val="30"/>
                <w:rtl/>
              </w:rPr>
            </w:pPr>
            <w:r w:rsidRPr="00F826B7">
              <w:rPr>
                <w:rFonts w:ascii="Traditional Arabic" w:hAnsi="Traditional Arabic" w:cs="Traditional Arabic" w:hint="cs"/>
                <w:sz w:val="24"/>
                <w:rtl/>
                <w:lang w:val="en-GB"/>
              </w:rPr>
              <w:t>مسقط، سلطنة عمان</w:t>
            </w:r>
          </w:p>
        </w:tc>
      </w:tr>
      <w:tr w:rsidR="00B92EDC" w:rsidRPr="00EB5BCF" w14:paraId="6E890D16" w14:textId="77777777" w:rsidTr="00C64EDB">
        <w:tc>
          <w:tcPr>
            <w:tcW w:w="9350" w:type="dxa"/>
            <w:gridSpan w:val="2"/>
          </w:tcPr>
          <w:p w14:paraId="672BC933" w14:textId="77777777" w:rsidR="00B92EDC" w:rsidRDefault="00B92EDC" w:rsidP="00B92EDC">
            <w:pPr>
              <w:tabs>
                <w:tab w:val="left" w:leader="dot" w:pos="3672"/>
              </w:tabs>
              <w:bidi/>
              <w:jc w:val="center"/>
              <w:rPr>
                <w:rFonts w:ascii="Traditional Arabic" w:hAnsi="Traditional Arabic" w:cs="Traditional Arabic"/>
                <w:b/>
                <w:bCs/>
                <w:sz w:val="30"/>
                <w:szCs w:val="30"/>
                <w:rtl/>
              </w:rPr>
            </w:pPr>
            <w:r w:rsidRPr="00880FE8">
              <w:rPr>
                <w:rFonts w:ascii="Traditional Arabic" w:hAnsi="Traditional Arabic" w:cs="Traditional Arabic"/>
                <w:b/>
                <w:bCs/>
                <w:sz w:val="30"/>
                <w:szCs w:val="30"/>
                <w:rtl/>
              </w:rPr>
              <w:t>شركة الخدمات المالية ش</w:t>
            </w:r>
            <w:r>
              <w:rPr>
                <w:rFonts w:ascii="Traditional Arabic" w:hAnsi="Traditional Arabic" w:cs="Traditional Arabic" w:hint="cs"/>
                <w:b/>
                <w:bCs/>
                <w:sz w:val="30"/>
                <w:szCs w:val="30"/>
                <w:rtl/>
              </w:rPr>
              <w:t>.</w:t>
            </w:r>
            <w:r w:rsidRPr="00880FE8">
              <w:rPr>
                <w:rFonts w:ascii="Traditional Arabic" w:hAnsi="Traditional Arabic" w:cs="Traditional Arabic"/>
                <w:b/>
                <w:bCs/>
                <w:sz w:val="30"/>
                <w:szCs w:val="30"/>
                <w:rtl/>
              </w:rPr>
              <w:t>م</w:t>
            </w:r>
            <w:r>
              <w:rPr>
                <w:rFonts w:ascii="Traditional Arabic" w:hAnsi="Traditional Arabic" w:cs="Traditional Arabic" w:hint="cs"/>
                <w:b/>
                <w:bCs/>
                <w:sz w:val="30"/>
                <w:szCs w:val="30"/>
                <w:rtl/>
              </w:rPr>
              <w:t>.</w:t>
            </w:r>
            <w:r w:rsidRPr="00880FE8">
              <w:rPr>
                <w:rFonts w:ascii="Traditional Arabic" w:hAnsi="Traditional Arabic" w:cs="Traditional Arabic"/>
                <w:b/>
                <w:bCs/>
                <w:sz w:val="30"/>
                <w:szCs w:val="30"/>
                <w:rtl/>
              </w:rPr>
              <w:t>ع</w:t>
            </w:r>
            <w:r>
              <w:rPr>
                <w:rFonts w:ascii="Traditional Arabic" w:hAnsi="Traditional Arabic" w:cs="Traditional Arabic" w:hint="cs"/>
                <w:b/>
                <w:bCs/>
                <w:sz w:val="30"/>
                <w:szCs w:val="30"/>
                <w:rtl/>
              </w:rPr>
              <w:t>.</w:t>
            </w:r>
            <w:r w:rsidRPr="00880FE8">
              <w:rPr>
                <w:rFonts w:ascii="Traditional Arabic" w:hAnsi="Traditional Arabic" w:cs="Traditional Arabic"/>
                <w:b/>
                <w:bCs/>
                <w:sz w:val="30"/>
                <w:szCs w:val="30"/>
                <w:rtl/>
              </w:rPr>
              <w:t>ع</w:t>
            </w:r>
          </w:p>
          <w:p w14:paraId="15D2A769" w14:textId="77777777" w:rsidR="00B92EDC" w:rsidRPr="003832A3" w:rsidRDefault="00B92EDC" w:rsidP="00B92EDC">
            <w:pPr>
              <w:tabs>
                <w:tab w:val="left" w:leader="dot" w:pos="3672"/>
              </w:tabs>
              <w:bidi/>
              <w:jc w:val="center"/>
              <w:rPr>
                <w:rFonts w:ascii="Traditional Arabic" w:hAnsi="Traditional Arabic" w:cs="Traditional Arabic"/>
                <w:sz w:val="24"/>
                <w:rtl/>
                <w:lang w:val="en-GB"/>
              </w:rPr>
            </w:pPr>
            <w:r w:rsidRPr="003832A3">
              <w:rPr>
                <w:rFonts w:ascii="Traditional Arabic" w:hAnsi="Traditional Arabic" w:cs="Traditional Arabic" w:hint="eastAsia"/>
                <w:sz w:val="24"/>
                <w:rtl/>
                <w:lang w:val="en-GB"/>
              </w:rPr>
              <w:t>ص</w:t>
            </w:r>
            <w:r w:rsidRPr="003832A3">
              <w:rPr>
                <w:rFonts w:ascii="Traditional Arabic" w:hAnsi="Traditional Arabic" w:cs="Traditional Arabic"/>
                <w:sz w:val="24"/>
                <w:rtl/>
                <w:lang w:val="en-GB"/>
              </w:rPr>
              <w:t xml:space="preserve">.ب 2777، </w:t>
            </w:r>
            <w:r w:rsidRPr="003832A3">
              <w:rPr>
                <w:rFonts w:ascii="Traditional Arabic" w:hAnsi="Traditional Arabic" w:cs="Traditional Arabic" w:hint="eastAsia"/>
                <w:sz w:val="24"/>
                <w:rtl/>
                <w:lang w:val="en-GB"/>
              </w:rPr>
              <w:t>ر</w:t>
            </w:r>
            <w:r w:rsidRPr="003832A3">
              <w:rPr>
                <w:rFonts w:ascii="Traditional Arabic" w:hAnsi="Traditional Arabic" w:cs="Traditional Arabic"/>
                <w:sz w:val="24"/>
                <w:rtl/>
                <w:lang w:val="en-GB"/>
              </w:rPr>
              <w:t>.ب 112</w:t>
            </w:r>
          </w:p>
          <w:p w14:paraId="4D6D209D" w14:textId="77777777" w:rsidR="00B92EDC" w:rsidRPr="00CA4D73" w:rsidRDefault="00B92EDC" w:rsidP="00B92EDC">
            <w:pPr>
              <w:tabs>
                <w:tab w:val="left" w:leader="dot" w:pos="3672"/>
              </w:tabs>
              <w:bidi/>
              <w:jc w:val="center"/>
              <w:rPr>
                <w:rFonts w:ascii="Traditional Arabic" w:hAnsi="Traditional Arabic" w:cs="Traditional Arabic"/>
                <w:b/>
                <w:bCs/>
                <w:sz w:val="30"/>
                <w:szCs w:val="30"/>
                <w:rtl/>
              </w:rPr>
            </w:pPr>
            <w:r w:rsidRPr="003832A3">
              <w:rPr>
                <w:rFonts w:ascii="Traditional Arabic" w:hAnsi="Traditional Arabic" w:cs="Traditional Arabic" w:hint="eastAsia"/>
                <w:sz w:val="24"/>
                <w:rtl/>
                <w:lang w:val="en-GB"/>
              </w:rPr>
              <w:t>روي،</w:t>
            </w:r>
            <w:r w:rsidRPr="003832A3">
              <w:rPr>
                <w:rFonts w:ascii="Traditional Arabic" w:hAnsi="Traditional Arabic" w:cs="Traditional Arabic"/>
                <w:sz w:val="24"/>
                <w:rtl/>
                <w:lang w:val="en-GB"/>
              </w:rPr>
              <w:t xml:space="preserve"> </w:t>
            </w:r>
            <w:r w:rsidRPr="003832A3">
              <w:rPr>
                <w:rFonts w:ascii="Traditional Arabic" w:hAnsi="Traditional Arabic" w:cs="Traditional Arabic" w:hint="eastAsia"/>
                <w:sz w:val="24"/>
                <w:rtl/>
                <w:lang w:val="en-GB"/>
              </w:rPr>
              <w:t>سلطنة</w:t>
            </w:r>
            <w:r w:rsidRPr="003832A3">
              <w:rPr>
                <w:rFonts w:ascii="Traditional Arabic" w:hAnsi="Traditional Arabic" w:cs="Traditional Arabic"/>
                <w:sz w:val="24"/>
                <w:rtl/>
                <w:lang w:val="en-GB"/>
              </w:rPr>
              <w:t xml:space="preserve"> </w:t>
            </w:r>
            <w:r w:rsidRPr="003832A3">
              <w:rPr>
                <w:rFonts w:ascii="Traditional Arabic" w:hAnsi="Traditional Arabic" w:cs="Traditional Arabic" w:hint="eastAsia"/>
                <w:sz w:val="24"/>
                <w:rtl/>
                <w:lang w:val="en-GB"/>
              </w:rPr>
              <w:t>عمان</w:t>
            </w:r>
          </w:p>
        </w:tc>
      </w:tr>
      <w:tr w:rsidR="00B92EDC" w:rsidRPr="00EB5BCF" w14:paraId="03010902" w14:textId="77777777" w:rsidTr="00C64EDB">
        <w:tc>
          <w:tcPr>
            <w:tcW w:w="9350" w:type="dxa"/>
            <w:gridSpan w:val="2"/>
          </w:tcPr>
          <w:p w14:paraId="1AC7EDF8" w14:textId="77777777" w:rsidR="00B92EDC" w:rsidRPr="00A660EB" w:rsidRDefault="00B92EDC" w:rsidP="00B92EDC">
            <w:pPr>
              <w:tabs>
                <w:tab w:val="left" w:leader="dot" w:pos="3672"/>
              </w:tabs>
              <w:bidi/>
              <w:jc w:val="center"/>
              <w:rPr>
                <w:rFonts w:ascii="Traditional Arabic" w:hAnsi="Traditional Arabic" w:cs="Traditional Arabic"/>
                <w:sz w:val="30"/>
                <w:szCs w:val="30"/>
                <w:rtl/>
              </w:rPr>
            </w:pPr>
            <w:r w:rsidRPr="00EB5BCF">
              <w:rPr>
                <w:rFonts w:ascii="Traditional Arabic" w:hAnsi="Traditional Arabic" w:cs="Traditional Arabic"/>
                <w:bCs/>
                <w:sz w:val="30"/>
                <w:szCs w:val="30"/>
                <w:rtl/>
                <w:lang w:val="en-GB"/>
              </w:rPr>
              <w:t>المستشار</w:t>
            </w:r>
            <w:r>
              <w:rPr>
                <w:rFonts w:ascii="Traditional Arabic" w:hAnsi="Traditional Arabic" w:cs="Traditional Arabic" w:hint="cs"/>
                <w:bCs/>
                <w:sz w:val="30"/>
                <w:szCs w:val="30"/>
                <w:rtl/>
                <w:lang w:val="en-GB"/>
              </w:rPr>
              <w:t>ون</w:t>
            </w:r>
            <w:r w:rsidRPr="00EB5BCF">
              <w:rPr>
                <w:rFonts w:ascii="Traditional Arabic" w:hAnsi="Traditional Arabic" w:cs="Traditional Arabic"/>
                <w:bCs/>
                <w:sz w:val="30"/>
                <w:szCs w:val="30"/>
                <w:rtl/>
                <w:lang w:val="en-GB"/>
              </w:rPr>
              <w:t xml:space="preserve"> القانون</w:t>
            </w:r>
            <w:r>
              <w:rPr>
                <w:rFonts w:ascii="Traditional Arabic" w:hAnsi="Traditional Arabic" w:cs="Traditional Arabic" w:hint="cs"/>
                <w:bCs/>
                <w:sz w:val="30"/>
                <w:szCs w:val="30"/>
                <w:rtl/>
                <w:lang w:val="en-GB"/>
              </w:rPr>
              <w:t>يون</w:t>
            </w:r>
            <w:r w:rsidRPr="00EB5BCF">
              <w:rPr>
                <w:rFonts w:ascii="Traditional Arabic" w:hAnsi="Traditional Arabic" w:cs="Traditional Arabic"/>
                <w:bCs/>
                <w:sz w:val="30"/>
                <w:szCs w:val="30"/>
                <w:rtl/>
                <w:lang w:val="en-GB"/>
              </w:rPr>
              <w:t xml:space="preserve"> للشركة</w:t>
            </w:r>
          </w:p>
        </w:tc>
      </w:tr>
      <w:tr w:rsidR="00B92EDC" w:rsidRPr="00EB5BCF" w14:paraId="445A14DD" w14:textId="77777777" w:rsidTr="00C64EDB">
        <w:tc>
          <w:tcPr>
            <w:tcW w:w="4675" w:type="dxa"/>
          </w:tcPr>
          <w:p w14:paraId="59C330E5" w14:textId="77777777" w:rsidR="00B92EDC" w:rsidRDefault="00B92EDC" w:rsidP="00B92EDC">
            <w:pPr>
              <w:keepNext/>
              <w:bidi/>
              <w:jc w:val="center"/>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lastRenderedPageBreak/>
              <w:t>المستشار القانوني عن القانون الإنكليزي</w:t>
            </w:r>
          </w:p>
          <w:p w14:paraId="3037B09D" w14:textId="77777777" w:rsidR="00B92EDC" w:rsidRPr="00EB5BCF" w:rsidRDefault="00B92EDC" w:rsidP="00B92EDC">
            <w:pPr>
              <w:keepNext/>
              <w:bidi/>
              <w:jc w:val="center"/>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وقانون الولايات المتحدة</w:t>
            </w:r>
          </w:p>
          <w:p w14:paraId="637F4555" w14:textId="77777777" w:rsidR="00B92EDC" w:rsidRPr="00EB5BCF" w:rsidRDefault="00B92EDC" w:rsidP="00B92EDC">
            <w:pPr>
              <w:keepNext/>
              <w:bidi/>
              <w:jc w:val="center"/>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لينكلاترز إل إل بي</w:t>
            </w:r>
          </w:p>
          <w:p w14:paraId="2493C6F7" w14:textId="77777777" w:rsidR="00B92EDC" w:rsidRPr="00583F7E" w:rsidRDefault="00B92EDC" w:rsidP="00B92EDC">
            <w:pPr>
              <w:tabs>
                <w:tab w:val="left" w:leader="dot" w:pos="3672"/>
              </w:tabs>
              <w:bidi/>
              <w:jc w:val="center"/>
              <w:rPr>
                <w:rFonts w:ascii="Traditional Arabic" w:hAnsi="Traditional Arabic" w:cs="Traditional Arabic"/>
                <w:b/>
                <w:bCs/>
                <w:sz w:val="30"/>
                <w:szCs w:val="30"/>
                <w:rtl/>
              </w:rPr>
            </w:pPr>
            <w:r w:rsidRPr="00EB5BCF">
              <w:rPr>
                <w:rFonts w:ascii="Traditional Arabic" w:hAnsi="Traditional Arabic" w:cs="Traditional Arabic"/>
                <w:b/>
                <w:sz w:val="30"/>
                <w:szCs w:val="30"/>
                <w:rtl/>
                <w:lang w:val="en-GB"/>
              </w:rPr>
              <w:t>شارع وان سيلك، لندن إي سي 2 واي 8 اتش كيو – المملكة المتحدة</w:t>
            </w:r>
          </w:p>
        </w:tc>
        <w:tc>
          <w:tcPr>
            <w:tcW w:w="4675" w:type="dxa"/>
          </w:tcPr>
          <w:p w14:paraId="5444B996" w14:textId="77777777" w:rsidR="00B92EDC" w:rsidRDefault="00B92EDC" w:rsidP="00B92EDC">
            <w:pPr>
              <w:keepNext/>
              <w:bidi/>
              <w:jc w:val="center"/>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المستشار القانوني عن القانون العماني</w:t>
            </w:r>
          </w:p>
          <w:p w14:paraId="6B9090BF" w14:textId="77777777" w:rsidR="00B92EDC" w:rsidRPr="00EB5BCF" w:rsidRDefault="00B92EDC" w:rsidP="00B92EDC">
            <w:pPr>
              <w:keepNext/>
              <w:bidi/>
              <w:jc w:val="center"/>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مكتب المعمرية، والعبري وشركاؤهم للمحاماة والاستشارات القانونية</w:t>
            </w:r>
          </w:p>
          <w:p w14:paraId="240DE6C0" w14:textId="77777777" w:rsidR="00B92EDC" w:rsidRPr="00A660EB" w:rsidRDefault="00B92EDC" w:rsidP="00B92EDC">
            <w:pPr>
              <w:tabs>
                <w:tab w:val="left" w:leader="dot" w:pos="3672"/>
              </w:tabs>
              <w:bidi/>
              <w:jc w:val="center"/>
              <w:rPr>
                <w:rFonts w:ascii="Traditional Arabic" w:hAnsi="Traditional Arabic" w:cs="Traditional Arabic"/>
                <w:sz w:val="30"/>
                <w:szCs w:val="30"/>
                <w:rtl/>
              </w:rPr>
            </w:pPr>
            <w:r>
              <w:rPr>
                <w:rFonts w:ascii="Traditional Arabic" w:hAnsi="Traditional Arabic" w:cs="Traditional Arabic" w:hint="cs"/>
                <w:b/>
                <w:sz w:val="30"/>
                <w:szCs w:val="30"/>
                <w:rtl/>
                <w:lang w:val="en-GB"/>
              </w:rPr>
              <w:t xml:space="preserve">مبنى المكتب 1991، </w:t>
            </w:r>
            <w:r w:rsidRPr="00EB5BCF">
              <w:rPr>
                <w:rFonts w:ascii="Traditional Arabic" w:hAnsi="Traditional Arabic" w:cs="Traditional Arabic"/>
                <w:b/>
                <w:sz w:val="30"/>
                <w:szCs w:val="30"/>
                <w:rtl/>
                <w:lang w:val="en-GB"/>
              </w:rPr>
              <w:t xml:space="preserve">وحدة </w:t>
            </w:r>
            <w:r>
              <w:rPr>
                <w:rFonts w:ascii="Traditional Arabic" w:hAnsi="Traditional Arabic" w:cs="Traditional Arabic" w:hint="cs"/>
                <w:b/>
                <w:sz w:val="30"/>
                <w:szCs w:val="30"/>
                <w:rtl/>
                <w:lang w:val="en-GB"/>
              </w:rPr>
              <w:t>321/ 322، ص.ب 1963، والرمز البريدي 130</w:t>
            </w:r>
            <w:r w:rsidRPr="00EB5BCF">
              <w:rPr>
                <w:rFonts w:ascii="Traditional Arabic" w:hAnsi="Traditional Arabic" w:cs="Traditional Arabic"/>
                <w:b/>
                <w:sz w:val="30"/>
                <w:szCs w:val="30"/>
                <w:rtl/>
                <w:lang w:val="en-GB"/>
              </w:rPr>
              <w:t>، بوشر – مسقط – سلطنة عمان</w:t>
            </w:r>
          </w:p>
        </w:tc>
      </w:tr>
      <w:tr w:rsidR="00B92EDC" w:rsidRPr="00EB5BCF" w14:paraId="642F5383" w14:textId="77777777" w:rsidTr="00C64EDB">
        <w:tc>
          <w:tcPr>
            <w:tcW w:w="9350" w:type="dxa"/>
            <w:gridSpan w:val="2"/>
          </w:tcPr>
          <w:p w14:paraId="4EDF3634" w14:textId="77777777" w:rsidR="00B92EDC" w:rsidRPr="00CA4D73" w:rsidRDefault="00B92EDC" w:rsidP="00B92EDC">
            <w:pPr>
              <w:keepNext/>
              <w:bidi/>
              <w:jc w:val="center"/>
              <w:rPr>
                <w:rFonts w:ascii="Traditional Arabic" w:hAnsi="Traditional Arabic" w:cs="Traditional Arabic"/>
                <w:b/>
                <w:bCs/>
                <w:sz w:val="30"/>
                <w:szCs w:val="30"/>
                <w:rtl/>
                <w:lang w:val="en-GB" w:bidi="ar-OM"/>
              </w:rPr>
            </w:pPr>
            <w:r w:rsidRPr="00EB5BCF">
              <w:rPr>
                <w:rFonts w:ascii="Traditional Arabic" w:hAnsi="Traditional Arabic" w:cs="Traditional Arabic"/>
                <w:b/>
                <w:bCs/>
                <w:sz w:val="30"/>
                <w:szCs w:val="30"/>
                <w:rtl/>
                <w:lang w:val="en-GB" w:bidi="ar-OM"/>
              </w:rPr>
              <w:t>المستشار</w:t>
            </w:r>
            <w:r>
              <w:rPr>
                <w:rFonts w:ascii="Traditional Arabic" w:hAnsi="Traditional Arabic" w:cs="Traditional Arabic" w:hint="cs"/>
                <w:b/>
                <w:bCs/>
                <w:sz w:val="30"/>
                <w:szCs w:val="30"/>
                <w:rtl/>
                <w:lang w:val="en-GB" w:bidi="ar-OM"/>
              </w:rPr>
              <w:t>ون</w:t>
            </w:r>
            <w:r w:rsidRPr="00EB5BCF">
              <w:rPr>
                <w:rFonts w:ascii="Traditional Arabic" w:hAnsi="Traditional Arabic" w:cs="Traditional Arabic"/>
                <w:b/>
                <w:bCs/>
                <w:sz w:val="30"/>
                <w:szCs w:val="30"/>
                <w:rtl/>
                <w:lang w:val="en-GB" w:bidi="ar-OM"/>
              </w:rPr>
              <w:t xml:space="preserve"> القانوني</w:t>
            </w:r>
            <w:r>
              <w:rPr>
                <w:rFonts w:ascii="Traditional Arabic" w:hAnsi="Traditional Arabic" w:cs="Traditional Arabic" w:hint="cs"/>
                <w:b/>
                <w:bCs/>
                <w:sz w:val="30"/>
                <w:szCs w:val="30"/>
                <w:rtl/>
                <w:lang w:val="en-GB" w:bidi="ar-OM"/>
              </w:rPr>
              <w:t>ون</w:t>
            </w:r>
            <w:r w:rsidRPr="00EB5BCF">
              <w:rPr>
                <w:rFonts w:ascii="Traditional Arabic" w:hAnsi="Traditional Arabic" w:cs="Traditional Arabic"/>
                <w:b/>
                <w:bCs/>
                <w:sz w:val="30"/>
                <w:szCs w:val="30"/>
                <w:rtl/>
                <w:lang w:val="en-GB" w:bidi="ar-OM"/>
              </w:rPr>
              <w:t xml:space="preserve"> عن </w:t>
            </w:r>
            <w:r>
              <w:rPr>
                <w:rFonts w:ascii="Traditional Arabic" w:hAnsi="Traditional Arabic" w:cs="Traditional Arabic" w:hint="cs"/>
                <w:b/>
                <w:bCs/>
                <w:sz w:val="30"/>
                <w:szCs w:val="30"/>
                <w:rtl/>
                <w:lang w:val="en-GB" w:bidi="ar-OM"/>
              </w:rPr>
              <w:t>المنسق العالمي المشترك</w:t>
            </w:r>
            <w:r w:rsidRPr="00EB5BCF">
              <w:rPr>
                <w:rFonts w:ascii="Traditional Arabic" w:hAnsi="Traditional Arabic" w:cs="Traditional Arabic" w:hint="eastAsia"/>
                <w:b/>
                <w:bCs/>
                <w:sz w:val="30"/>
                <w:szCs w:val="30"/>
                <w:rtl/>
                <w:lang w:val="en-GB" w:bidi="ar-OM"/>
              </w:rPr>
              <w:t>،</w:t>
            </w:r>
            <w:r w:rsidRPr="00EB5BCF">
              <w:rPr>
                <w:rFonts w:ascii="Traditional Arabic" w:hAnsi="Traditional Arabic" w:cs="Traditional Arabic"/>
                <w:b/>
                <w:bCs/>
                <w:sz w:val="30"/>
                <w:szCs w:val="30"/>
                <w:rtl/>
                <w:lang w:val="en-GB" w:bidi="ar-OM"/>
              </w:rPr>
              <w:t xml:space="preserve"> وم</w:t>
            </w:r>
            <w:r>
              <w:rPr>
                <w:rFonts w:ascii="Traditional Arabic" w:hAnsi="Traditional Arabic" w:cs="Traditional Arabic" w:hint="cs"/>
                <w:b/>
                <w:bCs/>
                <w:sz w:val="30"/>
                <w:szCs w:val="30"/>
                <w:rtl/>
                <w:lang w:val="en-GB" w:bidi="ar-OM"/>
              </w:rPr>
              <w:t>دير</w:t>
            </w:r>
            <w:r w:rsidRPr="00EB5BCF">
              <w:rPr>
                <w:rFonts w:ascii="Traditional Arabic" w:hAnsi="Traditional Arabic" w:cs="Traditional Arabic"/>
                <w:b/>
                <w:bCs/>
                <w:sz w:val="30"/>
                <w:szCs w:val="30"/>
                <w:rtl/>
                <w:lang w:val="en-GB" w:bidi="ar-OM"/>
              </w:rPr>
              <w:t xml:space="preserve"> الإصدار، ووكلاء التحصيل </w:t>
            </w:r>
          </w:p>
        </w:tc>
      </w:tr>
      <w:tr w:rsidR="00B92EDC" w:rsidRPr="00EB5BCF" w14:paraId="5155A835" w14:textId="77777777" w:rsidTr="00C64EDB">
        <w:tc>
          <w:tcPr>
            <w:tcW w:w="9350" w:type="dxa"/>
            <w:gridSpan w:val="2"/>
          </w:tcPr>
          <w:p w14:paraId="06A3B4A4" w14:textId="77777777" w:rsidR="00B92EDC" w:rsidRPr="00EB5BCF" w:rsidRDefault="00B92EDC" w:rsidP="00B92EDC">
            <w:pPr>
              <w:keepNext/>
              <w:bidi/>
              <w:jc w:val="center"/>
              <w:rPr>
                <w:rFonts w:ascii="Traditional Arabic" w:hAnsi="Traditional Arabic" w:cs="Traditional Arabic"/>
                <w:bCs/>
                <w:sz w:val="30"/>
                <w:szCs w:val="30"/>
                <w:rtl/>
                <w:lang w:val="en-GB"/>
              </w:rPr>
            </w:pPr>
            <w:r w:rsidRPr="00EB5BCF">
              <w:rPr>
                <w:rFonts w:ascii="Traditional Arabic" w:hAnsi="Traditional Arabic" w:cs="Traditional Arabic"/>
                <w:sz w:val="30"/>
                <w:szCs w:val="30"/>
                <w:rtl/>
                <w:lang w:val="en-GB" w:bidi="ar-OM"/>
              </w:rPr>
              <w:t>عن القانون الإن</w:t>
            </w:r>
            <w:r w:rsidRPr="00EB5BCF">
              <w:rPr>
                <w:rFonts w:ascii="Traditional Arabic" w:hAnsi="Traditional Arabic" w:cs="Traditional Arabic" w:hint="eastAsia"/>
                <w:sz w:val="30"/>
                <w:szCs w:val="30"/>
                <w:rtl/>
                <w:lang w:val="en-GB" w:bidi="ar-OM"/>
              </w:rPr>
              <w:t>ج</w:t>
            </w:r>
            <w:r w:rsidRPr="00EB5BCF">
              <w:rPr>
                <w:rFonts w:ascii="Traditional Arabic" w:hAnsi="Traditional Arabic" w:cs="Traditional Arabic"/>
                <w:sz w:val="30"/>
                <w:szCs w:val="30"/>
                <w:rtl/>
                <w:lang w:val="en-GB" w:bidi="ar-OM"/>
              </w:rPr>
              <w:t>ليزي وقانون الولايات المتحدة</w:t>
            </w:r>
          </w:p>
        </w:tc>
      </w:tr>
      <w:tr w:rsidR="00B92EDC" w:rsidRPr="00EB5BCF" w14:paraId="2077F52E" w14:textId="77777777" w:rsidTr="00C64EDB">
        <w:tc>
          <w:tcPr>
            <w:tcW w:w="4675" w:type="dxa"/>
          </w:tcPr>
          <w:p w14:paraId="5E22CEAC" w14:textId="77777777" w:rsidR="00B92EDC" w:rsidRPr="00EB5BCF" w:rsidRDefault="00B92EDC" w:rsidP="00B92EDC">
            <w:pPr>
              <w:keepNext/>
              <w:bidi/>
              <w:jc w:val="center"/>
              <w:rPr>
                <w:rFonts w:ascii="Traditional Arabic" w:hAnsi="Traditional Arabic" w:cs="Traditional Arabic"/>
                <w:b/>
                <w:bCs/>
                <w:sz w:val="30"/>
                <w:szCs w:val="30"/>
                <w:rtl/>
                <w:lang w:val="en-GB" w:bidi="ar-OM"/>
              </w:rPr>
            </w:pPr>
            <w:r w:rsidRPr="00EB5BCF">
              <w:rPr>
                <w:rFonts w:ascii="Traditional Arabic" w:hAnsi="Traditional Arabic" w:cs="Traditional Arabic"/>
                <w:b/>
                <w:bCs/>
                <w:sz w:val="30"/>
                <w:szCs w:val="30"/>
                <w:rtl/>
                <w:lang w:val="en-GB" w:bidi="ar-OM"/>
              </w:rPr>
              <w:t>آلين آند أوفري إل إل بي</w:t>
            </w:r>
          </w:p>
          <w:p w14:paraId="785F7905" w14:textId="77777777" w:rsidR="00B92EDC" w:rsidRPr="00EB5BCF" w:rsidRDefault="00B92EDC" w:rsidP="00B92EDC">
            <w:pPr>
              <w:keepNext/>
              <w:bidi/>
              <w:jc w:val="center"/>
              <w:rPr>
                <w:rFonts w:ascii="Traditional Arabic" w:hAnsi="Traditional Arabic" w:cs="Traditional Arabic"/>
                <w:sz w:val="30"/>
                <w:szCs w:val="30"/>
                <w:rtl/>
                <w:lang w:val="en-GB" w:bidi="ar-OM"/>
              </w:rPr>
            </w:pPr>
            <w:r w:rsidRPr="00EB5BCF">
              <w:rPr>
                <w:rFonts w:ascii="Traditional Arabic" w:hAnsi="Traditional Arabic" w:cs="Traditional Arabic"/>
                <w:sz w:val="30"/>
                <w:szCs w:val="30"/>
                <w:rtl/>
                <w:lang w:val="en-GB" w:bidi="ar-OM"/>
              </w:rPr>
              <w:t>ميدان وان بيشوب</w:t>
            </w:r>
          </w:p>
          <w:p w14:paraId="01B29B2C" w14:textId="77777777" w:rsidR="00B92EDC" w:rsidRPr="00EB5BCF" w:rsidRDefault="00B92EDC" w:rsidP="00B92EDC">
            <w:pPr>
              <w:keepNext/>
              <w:bidi/>
              <w:jc w:val="center"/>
              <w:rPr>
                <w:rFonts w:ascii="Traditional Arabic" w:hAnsi="Traditional Arabic" w:cs="Traditional Arabic"/>
                <w:bCs/>
                <w:sz w:val="30"/>
                <w:szCs w:val="30"/>
                <w:rtl/>
                <w:lang w:val="en-GB"/>
              </w:rPr>
            </w:pPr>
            <w:r w:rsidRPr="00EB5BCF">
              <w:rPr>
                <w:rFonts w:ascii="Traditional Arabic" w:hAnsi="Traditional Arabic" w:cs="Traditional Arabic"/>
                <w:sz w:val="30"/>
                <w:szCs w:val="30"/>
                <w:rtl/>
                <w:lang w:val="en-GB" w:bidi="ar-OM"/>
              </w:rPr>
              <w:t>لندن إي 1 6 إيه دي، المملكة المتحدة</w:t>
            </w:r>
          </w:p>
        </w:tc>
        <w:tc>
          <w:tcPr>
            <w:tcW w:w="4675" w:type="dxa"/>
          </w:tcPr>
          <w:p w14:paraId="3BF79F42" w14:textId="77777777" w:rsidR="00B92EDC" w:rsidRPr="00EB5BCF" w:rsidRDefault="00B92EDC" w:rsidP="00B92EDC">
            <w:pPr>
              <w:keepNext/>
              <w:bidi/>
              <w:jc w:val="center"/>
              <w:rPr>
                <w:rFonts w:ascii="Traditional Arabic" w:hAnsi="Traditional Arabic" w:cs="Traditional Arabic"/>
                <w:b/>
                <w:bCs/>
                <w:sz w:val="30"/>
                <w:szCs w:val="30"/>
                <w:rtl/>
                <w:lang w:val="en-GB" w:bidi="ar-OM"/>
              </w:rPr>
            </w:pPr>
            <w:r w:rsidRPr="00EB5BCF">
              <w:rPr>
                <w:rFonts w:ascii="Traditional Arabic" w:hAnsi="Traditional Arabic" w:cs="Traditional Arabic"/>
                <w:b/>
                <w:bCs/>
                <w:sz w:val="30"/>
                <w:szCs w:val="30"/>
                <w:rtl/>
                <w:lang w:val="en-GB" w:bidi="ar-OM"/>
              </w:rPr>
              <w:t>آلين آند أوفري إل إل بي</w:t>
            </w:r>
          </w:p>
          <w:p w14:paraId="25A56A44" w14:textId="77777777" w:rsidR="00B92EDC" w:rsidRPr="00EB5BCF" w:rsidRDefault="00B92EDC" w:rsidP="00B92EDC">
            <w:pPr>
              <w:keepNext/>
              <w:bidi/>
              <w:jc w:val="center"/>
              <w:rPr>
                <w:rFonts w:ascii="Traditional Arabic" w:hAnsi="Traditional Arabic" w:cs="Traditional Arabic"/>
                <w:b/>
                <w:sz w:val="30"/>
                <w:szCs w:val="30"/>
                <w:rtl/>
                <w:lang w:val="en-GB" w:bidi="ar-OM"/>
              </w:rPr>
            </w:pPr>
            <w:r w:rsidRPr="00EB5BCF">
              <w:rPr>
                <w:rFonts w:ascii="Traditional Arabic" w:hAnsi="Traditional Arabic" w:cs="Traditional Arabic"/>
                <w:b/>
                <w:sz w:val="30"/>
                <w:szCs w:val="30"/>
                <w:rtl/>
                <w:lang w:val="en-GB" w:bidi="ar-OM"/>
              </w:rPr>
              <w:t>الطابق الخامس، مبنى المعمورة ب، طريق المرور</w:t>
            </w:r>
          </w:p>
          <w:p w14:paraId="55EA8187" w14:textId="77777777" w:rsidR="00B92EDC" w:rsidRPr="00EB5BCF" w:rsidRDefault="00B92EDC" w:rsidP="00B92EDC">
            <w:pPr>
              <w:keepNext/>
              <w:bidi/>
              <w:jc w:val="center"/>
              <w:rPr>
                <w:rFonts w:ascii="Traditional Arabic" w:hAnsi="Traditional Arabic" w:cs="Traditional Arabic"/>
                <w:bCs/>
                <w:sz w:val="30"/>
                <w:szCs w:val="30"/>
                <w:rtl/>
                <w:lang w:val="en-GB"/>
              </w:rPr>
            </w:pPr>
            <w:r w:rsidRPr="00EB5BCF">
              <w:rPr>
                <w:rFonts w:ascii="Traditional Arabic" w:hAnsi="Traditional Arabic" w:cs="Traditional Arabic"/>
                <w:b/>
                <w:sz w:val="30"/>
                <w:szCs w:val="30"/>
                <w:rtl/>
                <w:lang w:val="en-GB" w:bidi="ar-OM"/>
              </w:rPr>
              <w:t>ص.ب 7907، أبو ظبي، الإمارات العربية المتحدة</w:t>
            </w:r>
          </w:p>
        </w:tc>
      </w:tr>
      <w:tr w:rsidR="00B92EDC" w:rsidRPr="00EB5BCF" w14:paraId="374D8482" w14:textId="77777777" w:rsidTr="00C64EDB">
        <w:tc>
          <w:tcPr>
            <w:tcW w:w="9350" w:type="dxa"/>
            <w:gridSpan w:val="2"/>
          </w:tcPr>
          <w:p w14:paraId="3505B716" w14:textId="77777777" w:rsidR="00B92EDC" w:rsidRPr="00CA4D73" w:rsidRDefault="00B92EDC" w:rsidP="00B92EDC">
            <w:pPr>
              <w:keepNext/>
              <w:bidi/>
              <w:jc w:val="center"/>
              <w:rPr>
                <w:rFonts w:ascii="Traditional Arabic" w:hAnsi="Traditional Arabic" w:cs="Traditional Arabic"/>
                <w:b/>
                <w:sz w:val="30"/>
                <w:szCs w:val="30"/>
                <w:rtl/>
                <w:lang w:val="en-GB"/>
              </w:rPr>
            </w:pPr>
            <w:r w:rsidRPr="00EB5BCF">
              <w:rPr>
                <w:rFonts w:ascii="Traditional Arabic" w:hAnsi="Traditional Arabic" w:cs="Traditional Arabic"/>
                <w:bCs/>
                <w:sz w:val="30"/>
                <w:szCs w:val="30"/>
                <w:rtl/>
                <w:lang w:val="en-GB"/>
              </w:rPr>
              <w:t>مراقب الحسابات المستقل</w:t>
            </w:r>
          </w:p>
        </w:tc>
      </w:tr>
      <w:tr w:rsidR="00B92EDC" w:rsidRPr="00EB5BCF" w14:paraId="0A4AC4F3" w14:textId="77777777" w:rsidTr="00C64EDB">
        <w:tc>
          <w:tcPr>
            <w:tcW w:w="9350" w:type="dxa"/>
            <w:gridSpan w:val="2"/>
          </w:tcPr>
          <w:p w14:paraId="33E14DF0" w14:textId="77777777" w:rsidR="00B92EDC" w:rsidRPr="00EB5BCF" w:rsidRDefault="00B92EDC" w:rsidP="00B92EDC">
            <w:pPr>
              <w:keepNext/>
              <w:bidi/>
              <w:jc w:val="center"/>
              <w:rPr>
                <w:rFonts w:ascii="Traditional Arabic" w:hAnsi="Traditional Arabic" w:cs="Traditional Arabic"/>
                <w:b/>
                <w:sz w:val="30"/>
                <w:szCs w:val="30"/>
                <w:rtl/>
                <w:lang w:val="en-GB"/>
              </w:rPr>
            </w:pPr>
            <w:r w:rsidRPr="00EB5BCF">
              <w:rPr>
                <w:rFonts w:ascii="Traditional Arabic" w:hAnsi="Traditional Arabic" w:cs="Traditional Arabic"/>
                <w:bCs/>
                <w:sz w:val="30"/>
                <w:szCs w:val="30"/>
                <w:rtl/>
                <w:lang w:val="en-GB"/>
              </w:rPr>
              <w:t>شركة كي بي إم جي ش.م.م</w:t>
            </w:r>
          </w:p>
          <w:p w14:paraId="6577BA71" w14:textId="77777777" w:rsidR="00B92EDC" w:rsidRPr="00EB5BCF" w:rsidRDefault="00B92EDC" w:rsidP="00B92EDC">
            <w:pPr>
              <w:keepNext/>
              <w:bidi/>
              <w:jc w:val="center"/>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مبنى مكتبة الأطفال العامة، الطابق الرابع</w:t>
            </w:r>
          </w:p>
          <w:p w14:paraId="3D385B1D" w14:textId="77777777" w:rsidR="00B92EDC" w:rsidRPr="00EB5BCF" w:rsidRDefault="00B92EDC" w:rsidP="00B92EDC">
            <w:pPr>
              <w:keepNext/>
              <w:bidi/>
              <w:jc w:val="center"/>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شاطئ القرم</w:t>
            </w:r>
          </w:p>
          <w:p w14:paraId="360C4E1D" w14:textId="77777777" w:rsidR="00B92EDC" w:rsidRPr="00EB5BCF" w:rsidRDefault="00B92EDC" w:rsidP="00B92EDC">
            <w:pPr>
              <w:keepNext/>
              <w:bidi/>
              <w:jc w:val="center"/>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ص.ب 641، والرمز البريدي 112</w:t>
            </w:r>
          </w:p>
          <w:p w14:paraId="111D7B91" w14:textId="77777777" w:rsidR="00B92EDC" w:rsidRPr="00EB5BCF" w:rsidRDefault="00B92EDC" w:rsidP="00B92EDC">
            <w:pPr>
              <w:keepNext/>
              <w:bidi/>
              <w:jc w:val="center"/>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مسقط – سلطنة عمان</w:t>
            </w:r>
          </w:p>
          <w:p w14:paraId="331A12AA" w14:textId="77777777" w:rsidR="00B92EDC" w:rsidRPr="00EB5BCF" w:rsidRDefault="00B92EDC" w:rsidP="00B92EDC">
            <w:pPr>
              <w:keepNext/>
              <w:bidi/>
              <w:jc w:val="center"/>
              <w:rPr>
                <w:rFonts w:ascii="Traditional Arabic" w:hAnsi="Traditional Arabic" w:cs="Traditional Arabic"/>
                <w:bCs/>
                <w:sz w:val="30"/>
                <w:szCs w:val="30"/>
                <w:rtl/>
                <w:lang w:val="en-GB"/>
              </w:rPr>
            </w:pPr>
          </w:p>
        </w:tc>
      </w:tr>
      <w:bookmarkEnd w:id="1"/>
    </w:tbl>
    <w:p w14:paraId="717252CD" w14:textId="77777777" w:rsidR="00A15665" w:rsidRPr="00EB5BCF" w:rsidRDefault="00A15665" w:rsidP="00272B36">
      <w:pPr>
        <w:keepNext/>
        <w:bidi/>
        <w:rPr>
          <w:rFonts w:ascii="Traditional Arabic" w:hAnsi="Traditional Arabic" w:cs="Traditional Arabic"/>
          <w:b/>
          <w:bCs/>
          <w:sz w:val="30"/>
          <w:szCs w:val="30"/>
          <w:rtl/>
          <w:lang w:val="en-GB" w:bidi="ar-OM"/>
        </w:rPr>
      </w:pPr>
    </w:p>
    <w:p w14:paraId="49DF68F9" w14:textId="77777777" w:rsidR="002337CD" w:rsidRPr="00EB5BCF" w:rsidRDefault="002337CD" w:rsidP="002337CD">
      <w:pPr>
        <w:keepNext/>
        <w:bidi/>
        <w:jc w:val="lowKashida"/>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 xml:space="preserve">لن تتحمل </w:t>
      </w:r>
      <w:r>
        <w:rPr>
          <w:rFonts w:ascii="Traditional Arabic" w:hAnsi="Traditional Arabic" w:cs="Traditional Arabic" w:hint="cs"/>
          <w:sz w:val="30"/>
          <w:szCs w:val="30"/>
          <w:rtl/>
          <w:lang w:val="en-GB"/>
        </w:rPr>
        <w:t>هيئة الخدمات المالية</w:t>
      </w:r>
      <w:r w:rsidRPr="00EB5BCF">
        <w:rPr>
          <w:rFonts w:ascii="Traditional Arabic" w:hAnsi="Traditional Arabic" w:cs="Traditional Arabic"/>
          <w:sz w:val="30"/>
          <w:szCs w:val="30"/>
          <w:rtl/>
          <w:lang w:val="en-GB"/>
        </w:rPr>
        <w:t xml:space="preserve"> (يشار إليها فيما بعد بـ "الهيئة") مسؤولية دقة وكفاية البيانات والمعلومات الواردة في هذه النشرة كما أن الهيئة لن تكون مسؤولة عن أي ضرر أو خسارة تنتج عن الاعتماد على هذه المعلومات والبيانات أو استخدام</w:t>
      </w:r>
      <w:r w:rsidR="00ED7E7C">
        <w:rPr>
          <w:rFonts w:ascii="Traditional Arabic" w:hAnsi="Traditional Arabic" w:cs="Traditional Arabic"/>
          <w:sz w:val="30"/>
          <w:szCs w:val="30"/>
          <w:lang w:val="en-GB"/>
        </w:rPr>
        <w:t xml:space="preserve"> </w:t>
      </w:r>
      <w:r w:rsidRPr="00EB5BCF">
        <w:rPr>
          <w:rFonts w:ascii="Traditional Arabic" w:hAnsi="Traditional Arabic" w:cs="Traditional Arabic"/>
          <w:sz w:val="30"/>
          <w:szCs w:val="30"/>
          <w:rtl/>
          <w:lang w:val="en-GB"/>
        </w:rPr>
        <w:lastRenderedPageBreak/>
        <w:t xml:space="preserve">أي جزء منها من قبل أي شخص، وقد تم إعداد هذه النشرة وفقاً لمتطلبات نشرات الإصدار المقررة من قبل </w:t>
      </w:r>
      <w:r>
        <w:rPr>
          <w:rFonts w:ascii="Traditional Arabic" w:hAnsi="Traditional Arabic" w:cs="Traditional Arabic" w:hint="cs"/>
          <w:sz w:val="30"/>
          <w:szCs w:val="30"/>
          <w:rtl/>
          <w:lang w:val="en-GB"/>
        </w:rPr>
        <w:t>هيئة</w:t>
      </w:r>
      <w:r w:rsidR="003E2DD9">
        <w:rPr>
          <w:rFonts w:ascii="Traditional Arabic" w:hAnsi="Traditional Arabic" w:cs="Traditional Arabic" w:hint="cs"/>
          <w:sz w:val="30"/>
          <w:szCs w:val="30"/>
          <w:rtl/>
          <w:lang w:val="en-GB"/>
        </w:rPr>
        <w:t xml:space="preserve"> الخدمات المالية</w:t>
      </w:r>
      <w:r w:rsidRPr="00EB5BCF">
        <w:rPr>
          <w:rFonts w:ascii="Traditional Arabic" w:hAnsi="Traditional Arabic" w:cs="Traditional Arabic"/>
          <w:sz w:val="30"/>
          <w:szCs w:val="30"/>
          <w:rtl/>
          <w:lang w:val="en-GB"/>
        </w:rPr>
        <w:t xml:space="preserve"> واعتمدتها الهيئة بموجب القرار الإداري رقم [</w:t>
      </w:r>
      <w:r w:rsidRPr="00EB5BCF">
        <w:rPr>
          <w:rFonts w:cs="Times New Roman"/>
          <w:sz w:val="30"/>
          <w:szCs w:val="30"/>
          <w:rtl/>
          <w:lang w:val="en-GB"/>
        </w:rPr>
        <w:t>●</w:t>
      </w:r>
      <w:r w:rsidRPr="00EB5BCF">
        <w:rPr>
          <w:rFonts w:ascii="Traditional Arabic" w:hAnsi="Traditional Arabic" w:cs="Traditional Arabic"/>
          <w:sz w:val="30"/>
          <w:szCs w:val="30"/>
          <w:rtl/>
          <w:lang w:val="en-GB"/>
        </w:rPr>
        <w:t>] الصادر بتاريخ [</w:t>
      </w:r>
      <w:r w:rsidRPr="00EB5BCF">
        <w:rPr>
          <w:rFonts w:cs="Times New Roman"/>
          <w:sz w:val="30"/>
          <w:szCs w:val="30"/>
          <w:rtl/>
          <w:lang w:val="en-GB"/>
        </w:rPr>
        <w:t>●</w:t>
      </w:r>
      <w:r w:rsidRPr="00EB5BCF">
        <w:rPr>
          <w:rFonts w:ascii="Traditional Arabic" w:hAnsi="Traditional Arabic" w:cs="Traditional Arabic"/>
          <w:sz w:val="30"/>
          <w:szCs w:val="30"/>
          <w:rtl/>
          <w:lang w:val="en-GB"/>
        </w:rPr>
        <w:t>]</w:t>
      </w:r>
      <w:r w:rsidR="0099528A">
        <w:rPr>
          <w:rFonts w:ascii="Traditional Arabic" w:hAnsi="Traditional Arabic" w:cs="Traditional Arabic" w:hint="cs"/>
          <w:sz w:val="30"/>
          <w:szCs w:val="30"/>
          <w:rtl/>
          <w:lang w:val="en-GB"/>
        </w:rPr>
        <w:t xml:space="preserve"> ٢٠٢٥</w:t>
      </w:r>
      <w:r w:rsidRPr="00EB5BCF">
        <w:rPr>
          <w:rFonts w:ascii="Traditional Arabic" w:hAnsi="Traditional Arabic" w:cs="Traditional Arabic"/>
          <w:sz w:val="30"/>
          <w:szCs w:val="30"/>
          <w:rtl/>
          <w:lang w:val="en-GB"/>
        </w:rPr>
        <w:t>.</w:t>
      </w:r>
    </w:p>
    <w:p w14:paraId="1ACB04E2" w14:textId="77777777" w:rsidR="002337CD" w:rsidRPr="00EB5BCF" w:rsidRDefault="002337CD" w:rsidP="002337CD">
      <w:pPr>
        <w:keepNext/>
        <w:bidi/>
        <w:jc w:val="lowKashida"/>
        <w:rPr>
          <w:rFonts w:ascii="Traditional Arabic" w:hAnsi="Traditional Arabic" w:cs="Traditional Arabic"/>
          <w:sz w:val="30"/>
          <w:szCs w:val="30"/>
          <w:rtl/>
          <w:lang w:val="en-GB"/>
        </w:rPr>
      </w:pPr>
    </w:p>
    <w:p w14:paraId="7986FF35" w14:textId="77777777" w:rsidR="002337CD" w:rsidRPr="00EB5BCF" w:rsidRDefault="002337CD" w:rsidP="002337CD">
      <w:pPr>
        <w:keepNext/>
        <w:bidi/>
        <w:jc w:val="lowKashida"/>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ولا تشكل هذه النشرة عرضًا من قبل الشركة أو بالنيابة عنها لبيع الأسهم أو الدعوة للاكتتاب في أي من أسهم الطرح في أي مكان خارج سلطنة عمان يُحتمل أن يكون توزيع هذه النشرة فيه محظوراً.</w:t>
      </w:r>
    </w:p>
    <w:p w14:paraId="4AF97B6E" w14:textId="77777777" w:rsidR="00922315" w:rsidRPr="00EB5BCF" w:rsidRDefault="00922315" w:rsidP="00CD53BC">
      <w:pPr>
        <w:pStyle w:val="Title"/>
        <w:keepNext/>
        <w:bidi/>
        <w:spacing w:after="0"/>
        <w:jc w:val="left"/>
        <w:rPr>
          <w:rFonts w:ascii="Traditional Arabic" w:hAnsi="Traditional Arabic" w:cs="Traditional Arabic"/>
          <w:b w:val="0"/>
          <w:bCs/>
          <w:sz w:val="30"/>
          <w:szCs w:val="30"/>
          <w:rtl/>
          <w:lang w:val="en-GB"/>
        </w:rPr>
      </w:pPr>
    </w:p>
    <w:p w14:paraId="60010972" w14:textId="77777777" w:rsidR="00077F49" w:rsidRPr="00EB5BCF" w:rsidRDefault="00077F49" w:rsidP="00077F49">
      <w:pPr>
        <w:pStyle w:val="Title"/>
        <w:keepNext/>
        <w:bidi/>
        <w:spacing w:after="0"/>
        <w:rPr>
          <w:rFonts w:ascii="Traditional Arabic" w:hAnsi="Traditional Arabic" w:cs="Traditional Arabic"/>
          <w:b w:val="0"/>
          <w:bCs/>
          <w:sz w:val="30"/>
          <w:szCs w:val="30"/>
          <w:rtl/>
          <w:lang w:val="en-GB"/>
        </w:rPr>
      </w:pPr>
    </w:p>
    <w:p w14:paraId="22D43621" w14:textId="77777777" w:rsidR="00077F49" w:rsidRPr="00EB5BCF" w:rsidRDefault="00077F49" w:rsidP="00077F49">
      <w:pPr>
        <w:pStyle w:val="Title"/>
        <w:keepNext/>
        <w:bidi/>
        <w:spacing w:after="0"/>
        <w:rPr>
          <w:rFonts w:ascii="Traditional Arabic" w:hAnsi="Traditional Arabic" w:cs="Traditional Arabic"/>
          <w:b w:val="0"/>
          <w:bCs/>
          <w:sz w:val="30"/>
          <w:szCs w:val="30"/>
          <w:rtl/>
          <w:lang w:val="en-GB"/>
        </w:rPr>
      </w:pPr>
    </w:p>
    <w:p w14:paraId="422D500D" w14:textId="77777777" w:rsidR="00370341" w:rsidRPr="00EB5BCF" w:rsidRDefault="00370341">
      <w:pPr>
        <w:spacing w:after="160" w:line="259" w:lineRule="auto"/>
        <w:rPr>
          <w:rFonts w:ascii="Traditional Arabic" w:hAnsi="Traditional Arabic" w:cs="Traditional Arabic"/>
          <w:bCs/>
          <w:kern w:val="28"/>
          <w:sz w:val="30"/>
          <w:szCs w:val="30"/>
          <w:rtl/>
          <w:lang w:val="en-GB"/>
        </w:rPr>
      </w:pPr>
      <w:r w:rsidRPr="00EB5BCF">
        <w:rPr>
          <w:rFonts w:ascii="Traditional Arabic" w:hAnsi="Traditional Arabic" w:cs="Traditional Arabic"/>
          <w:b/>
          <w:bCs/>
          <w:sz w:val="30"/>
          <w:szCs w:val="30"/>
          <w:rtl/>
          <w:lang w:val="en-GB"/>
        </w:rPr>
        <w:br w:type="page"/>
      </w:r>
    </w:p>
    <w:p w14:paraId="5F64E82D" w14:textId="77777777" w:rsidR="00077F49" w:rsidRPr="00EB5BCF" w:rsidRDefault="00077F49" w:rsidP="00077F49">
      <w:pPr>
        <w:pStyle w:val="Title"/>
        <w:keepNext/>
        <w:bidi/>
        <w:spacing w:after="0"/>
        <w:rPr>
          <w:rFonts w:ascii="Traditional Arabic" w:hAnsi="Traditional Arabic" w:cs="Traditional Arabic"/>
          <w:b w:val="0"/>
          <w:bCs/>
          <w:sz w:val="30"/>
          <w:szCs w:val="30"/>
          <w:rtl/>
          <w:lang w:val="en-GB"/>
        </w:rPr>
      </w:pPr>
    </w:p>
    <w:p w14:paraId="3D2BDDF0" w14:textId="77777777" w:rsidR="00077F49" w:rsidRPr="00EB5BCF" w:rsidRDefault="00077F49" w:rsidP="00077F49">
      <w:pPr>
        <w:pStyle w:val="Title"/>
        <w:keepNext/>
        <w:bidi/>
        <w:spacing w:after="0"/>
        <w:rPr>
          <w:rFonts w:ascii="Traditional Arabic" w:hAnsi="Traditional Arabic" w:cs="Traditional Arabic"/>
          <w:b w:val="0"/>
          <w:bCs/>
          <w:sz w:val="30"/>
          <w:szCs w:val="30"/>
          <w:rtl/>
          <w:lang w:val="en-GB"/>
        </w:rPr>
      </w:pPr>
      <w:r w:rsidRPr="00EB5BCF">
        <w:rPr>
          <w:rFonts w:ascii="Traditional Arabic" w:hAnsi="Traditional Arabic" w:cs="Traditional Arabic"/>
          <w:b w:val="0"/>
          <w:bCs/>
          <w:sz w:val="30"/>
          <w:szCs w:val="30"/>
          <w:rtl/>
          <w:lang w:val="en-GB"/>
        </w:rPr>
        <w:t>بيان هام للمستثمرين</w:t>
      </w:r>
    </w:p>
    <w:p w14:paraId="56EE26FD" w14:textId="77777777" w:rsidR="00077F49" w:rsidRPr="00EB5BCF" w:rsidRDefault="00077F49" w:rsidP="00077F49">
      <w:pPr>
        <w:keepNext/>
        <w:bidi/>
        <w:jc w:val="both"/>
        <w:rPr>
          <w:rFonts w:ascii="Traditional Arabic" w:hAnsi="Traditional Arabic" w:cs="Traditional Arabic"/>
          <w:b/>
          <w:sz w:val="30"/>
          <w:szCs w:val="30"/>
          <w:rtl/>
          <w:lang w:bidi="ar-EG"/>
        </w:rPr>
      </w:pPr>
    </w:p>
    <w:p w14:paraId="095A99D8" w14:textId="77777777" w:rsidR="00077F49" w:rsidRPr="00EB5BCF" w:rsidRDefault="00077F49" w:rsidP="001F4E67">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إن الهدف الرئيس</w:t>
      </w:r>
      <w:r w:rsidRPr="00EB5BCF">
        <w:rPr>
          <w:rFonts w:ascii="Traditional Arabic" w:hAnsi="Traditional Arabic" w:cs="Traditional Arabic"/>
          <w:b/>
          <w:sz w:val="30"/>
          <w:szCs w:val="30"/>
          <w:rtl/>
          <w:lang w:val="en-GB" w:bidi="ar-OM"/>
        </w:rPr>
        <w:t>ي</w:t>
      </w:r>
      <w:r w:rsidRPr="00EB5BCF">
        <w:rPr>
          <w:rFonts w:ascii="Traditional Arabic" w:hAnsi="Traditional Arabic" w:cs="Traditional Arabic"/>
          <w:b/>
          <w:sz w:val="30"/>
          <w:szCs w:val="30"/>
          <w:rtl/>
          <w:lang w:val="en-GB"/>
        </w:rPr>
        <w:t xml:space="preserve"> من إعداد هذه النشرة هو تزويد المستثمرين بالمعلومات الجوهرية التي تساعدهم على اتخاذ القرار المناسب حول الاستثمار من عدمه في </w:t>
      </w:r>
      <w:r w:rsidR="004878A9" w:rsidRPr="00EB5BCF">
        <w:rPr>
          <w:rFonts w:ascii="Traditional Arabic" w:hAnsi="Traditional Arabic" w:cs="Traditional Arabic"/>
          <w:b/>
          <w:sz w:val="30"/>
          <w:szCs w:val="30"/>
          <w:rtl/>
          <w:lang w:val="en-GB"/>
        </w:rPr>
        <w:t>ال</w:t>
      </w:r>
      <w:r w:rsidRPr="00EB5BCF">
        <w:rPr>
          <w:rFonts w:ascii="Traditional Arabic" w:hAnsi="Traditional Arabic" w:cs="Traditional Arabic"/>
          <w:b/>
          <w:sz w:val="30"/>
          <w:szCs w:val="30"/>
          <w:rtl/>
          <w:lang w:val="en-GB"/>
        </w:rPr>
        <w:t>أسهم</w:t>
      </w:r>
      <w:r w:rsidR="001F4E67" w:rsidRPr="00EB5BCF">
        <w:rPr>
          <w:rFonts w:ascii="Traditional Arabic" w:hAnsi="Traditional Arabic" w:cs="Traditional Arabic"/>
          <w:b/>
          <w:sz w:val="30"/>
          <w:szCs w:val="30"/>
          <w:rtl/>
          <w:lang w:val="en-GB"/>
        </w:rPr>
        <w:t xml:space="preserve"> بموجب الطرح.</w:t>
      </w:r>
    </w:p>
    <w:p w14:paraId="73CCB674" w14:textId="77777777" w:rsidR="00077F49" w:rsidRPr="00EB5BCF" w:rsidRDefault="00077F49" w:rsidP="00077F49">
      <w:pPr>
        <w:keepNext/>
        <w:bidi/>
        <w:jc w:val="both"/>
        <w:rPr>
          <w:rFonts w:ascii="Traditional Arabic" w:hAnsi="Traditional Arabic" w:cs="Traditional Arabic"/>
          <w:b/>
          <w:sz w:val="30"/>
          <w:szCs w:val="30"/>
          <w:lang w:val="en-GB"/>
        </w:rPr>
      </w:pPr>
    </w:p>
    <w:p w14:paraId="0F8068D2" w14:textId="77777777" w:rsidR="005B5B57" w:rsidRPr="00EB5BCF" w:rsidRDefault="00077F49" w:rsidP="005B5B57">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تشتمل هذه النشرة </w:t>
      </w:r>
      <w:r w:rsidR="00027BEB">
        <w:rPr>
          <w:rFonts w:ascii="Traditional Arabic" w:hAnsi="Traditional Arabic" w:cs="Traditional Arabic"/>
          <w:b/>
          <w:sz w:val="30"/>
          <w:szCs w:val="30"/>
          <w:rtl/>
          <w:lang w:val="en-GB"/>
        </w:rPr>
        <w:t>–</w:t>
      </w:r>
      <w:r w:rsidR="00027BEB">
        <w:rPr>
          <w:rFonts w:ascii="Traditional Arabic" w:hAnsi="Traditional Arabic" w:cs="Traditional Arabic" w:hint="cs"/>
          <w:b/>
          <w:sz w:val="30"/>
          <w:szCs w:val="30"/>
          <w:rtl/>
          <w:lang w:val="en-GB"/>
        </w:rPr>
        <w:t xml:space="preserve"> حسب علم الشركة ومجلس إدارتها - </w:t>
      </w:r>
      <w:r w:rsidRPr="00EB5BCF">
        <w:rPr>
          <w:rFonts w:ascii="Traditional Arabic" w:hAnsi="Traditional Arabic" w:cs="Traditional Arabic"/>
          <w:b/>
          <w:sz w:val="30"/>
          <w:szCs w:val="30"/>
          <w:rtl/>
          <w:lang w:val="en-GB"/>
        </w:rPr>
        <w:t>جميع البيانات والمعلومات الجوهرية، ولا تحوي أي معلومات تنطوي على تدليس، ولم تغفل أية معلومات جوهرية قد تؤثر إيجابا</w:t>
      </w:r>
      <w:r w:rsidR="001F4E67"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أو سلبا</w:t>
      </w:r>
      <w:r w:rsidR="001F4E67"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على قرار المستثمر بخصوص استثماره في الأسهم من عدمه.</w:t>
      </w:r>
      <w:r w:rsidR="005B5B57" w:rsidRPr="00EB5BCF">
        <w:rPr>
          <w:rFonts w:ascii="Traditional Arabic" w:hAnsi="Traditional Arabic" w:cs="Traditional Arabic"/>
          <w:b/>
          <w:sz w:val="30"/>
          <w:szCs w:val="30"/>
          <w:rtl/>
          <w:lang w:val="en-GB"/>
        </w:rPr>
        <w:t xml:space="preserve"> </w:t>
      </w:r>
    </w:p>
    <w:p w14:paraId="4C41EA53" w14:textId="77777777" w:rsidR="00077F49" w:rsidRPr="00EB5BCF" w:rsidRDefault="00077F49" w:rsidP="00077F49">
      <w:pPr>
        <w:keepNext/>
        <w:bidi/>
        <w:jc w:val="both"/>
        <w:rPr>
          <w:rFonts w:ascii="Traditional Arabic" w:hAnsi="Traditional Arabic" w:cs="Traditional Arabic"/>
          <w:b/>
          <w:sz w:val="30"/>
          <w:szCs w:val="30"/>
          <w:rtl/>
          <w:lang w:val="en-GB"/>
        </w:rPr>
      </w:pPr>
    </w:p>
    <w:p w14:paraId="17C7482C" w14:textId="77777777" w:rsidR="00077F49" w:rsidRPr="00EB5BCF" w:rsidRDefault="00077F49" w:rsidP="00077F49">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يتحمل أعضاء مجلس إدارة الشركة – </w:t>
      </w:r>
      <w:r w:rsidR="0099528A">
        <w:rPr>
          <w:rFonts w:ascii="Traditional Arabic" w:hAnsi="Traditional Arabic" w:cs="Traditional Arabic" w:hint="cs"/>
          <w:b/>
          <w:sz w:val="30"/>
          <w:szCs w:val="30"/>
          <w:rtl/>
          <w:lang w:val="en-GB"/>
        </w:rPr>
        <w:t>منفردين ومتضامنين</w:t>
      </w:r>
      <w:r w:rsidRPr="00EB5BCF">
        <w:rPr>
          <w:rFonts w:ascii="Traditional Arabic" w:hAnsi="Traditional Arabic" w:cs="Traditional Arabic"/>
          <w:b/>
          <w:sz w:val="30"/>
          <w:szCs w:val="30"/>
          <w:rtl/>
          <w:lang w:val="en-GB"/>
        </w:rPr>
        <w:t xml:space="preserve"> - مسؤولية دقة وكفاية المعلومات الواردة في هذه النشرة ويؤكدون - حسب علمهم واعتقادهم- بأنه قد تم إيلاء العناية الواجبة عند إعداد هذه النشرة</w:t>
      </w:r>
      <w:r w:rsidR="005B5B57"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كما يؤكدون أنها لم تغفل أية معلومات جوهرية قد يؤدي إغفالها أو السهو عنها إلى التدليس على المستثمر.</w:t>
      </w:r>
      <w:r w:rsidR="005B5B57" w:rsidRPr="00EB5BCF">
        <w:rPr>
          <w:rFonts w:ascii="Traditional Arabic" w:hAnsi="Traditional Arabic" w:cs="Traditional Arabic"/>
          <w:b/>
          <w:sz w:val="30"/>
          <w:szCs w:val="30"/>
          <w:rtl/>
          <w:lang w:val="en-GB"/>
        </w:rPr>
        <w:t xml:space="preserve"> هذا، وتتحمل الشركة المسؤولية عن </w:t>
      </w:r>
      <w:r w:rsidR="005043F0" w:rsidRPr="00EB5BCF">
        <w:rPr>
          <w:rFonts w:ascii="Traditional Arabic" w:hAnsi="Traditional Arabic" w:cs="Traditional Arabic"/>
          <w:b/>
          <w:sz w:val="30"/>
          <w:szCs w:val="30"/>
          <w:rtl/>
          <w:lang w:val="en-GB"/>
        </w:rPr>
        <w:t>اكتمال المعلومات التي تحتويها هذه النشرة وعن صحتها أيضا</w:t>
      </w:r>
      <w:r w:rsidR="001F4E67" w:rsidRPr="00EB5BCF">
        <w:rPr>
          <w:rFonts w:ascii="Traditional Arabic" w:hAnsi="Traditional Arabic" w:cs="Traditional Arabic"/>
          <w:b/>
          <w:sz w:val="30"/>
          <w:szCs w:val="30"/>
          <w:rtl/>
          <w:lang w:val="en-GB"/>
        </w:rPr>
        <w:t>ً</w:t>
      </w:r>
      <w:r w:rsidR="005043F0" w:rsidRPr="00EB5BCF">
        <w:rPr>
          <w:rFonts w:ascii="Traditional Arabic" w:hAnsi="Traditional Arabic" w:cs="Traditional Arabic"/>
          <w:b/>
          <w:sz w:val="30"/>
          <w:szCs w:val="30"/>
          <w:rtl/>
          <w:lang w:val="en-GB"/>
        </w:rPr>
        <w:t>، وقد اتخذت الشركة ما يلزم لضمان ذلك</w:t>
      </w:r>
      <w:r w:rsidR="0003239E" w:rsidRPr="00EB5BCF">
        <w:rPr>
          <w:rFonts w:ascii="Traditional Arabic" w:hAnsi="Traditional Arabic" w:cs="Traditional Arabic"/>
          <w:b/>
          <w:sz w:val="30"/>
          <w:szCs w:val="30"/>
          <w:rtl/>
          <w:lang w:val="en-GB"/>
        </w:rPr>
        <w:t xml:space="preserve"> وفي كل ما اشتملت عليه النشرة</w:t>
      </w:r>
      <w:r w:rsidR="001633DA" w:rsidRPr="00EB5BCF">
        <w:rPr>
          <w:rFonts w:ascii="Traditional Arabic" w:hAnsi="Traditional Arabic" w:cs="Traditional Arabic"/>
          <w:b/>
          <w:sz w:val="30"/>
          <w:szCs w:val="30"/>
          <w:rtl/>
          <w:lang w:val="en-GB"/>
        </w:rPr>
        <w:t xml:space="preserve">، وأنها لم تغفل أي </w:t>
      </w:r>
      <w:r w:rsidR="0003239E" w:rsidRPr="00EB5BCF">
        <w:rPr>
          <w:rFonts w:ascii="Traditional Arabic" w:hAnsi="Traditional Arabic" w:cs="Traditional Arabic"/>
          <w:b/>
          <w:sz w:val="30"/>
          <w:szCs w:val="30"/>
          <w:rtl/>
          <w:lang w:val="en-GB"/>
        </w:rPr>
        <w:t xml:space="preserve">معلومة جوهرية قد يكون إغفالها </w:t>
      </w:r>
      <w:r w:rsidR="00D972FF" w:rsidRPr="00EB5BCF">
        <w:rPr>
          <w:rFonts w:ascii="Traditional Arabic" w:hAnsi="Traditional Arabic" w:cs="Traditional Arabic"/>
          <w:b/>
          <w:sz w:val="30"/>
          <w:szCs w:val="30"/>
          <w:rtl/>
          <w:lang w:val="en-GB"/>
        </w:rPr>
        <w:t xml:space="preserve">سببا لأن تكون البيانات أو الآراء المذكورة في النشرة </w:t>
      </w:r>
      <w:r w:rsidR="009C44A1" w:rsidRPr="00EB5BCF">
        <w:rPr>
          <w:rFonts w:ascii="Traditional Arabic" w:hAnsi="Traditional Arabic" w:cs="Traditional Arabic"/>
          <w:b/>
          <w:sz w:val="30"/>
          <w:szCs w:val="30"/>
          <w:rtl/>
          <w:lang w:val="en-GB"/>
        </w:rPr>
        <w:t>مضللة.</w:t>
      </w:r>
    </w:p>
    <w:p w14:paraId="5328878A" w14:textId="77777777" w:rsidR="00077F49" w:rsidRPr="00EB5BCF" w:rsidRDefault="00077F49" w:rsidP="00892B98">
      <w:pPr>
        <w:pStyle w:val="Title"/>
        <w:keepNext/>
        <w:bidi/>
        <w:spacing w:after="0"/>
        <w:jc w:val="left"/>
        <w:rPr>
          <w:rFonts w:ascii="Traditional Arabic" w:hAnsi="Traditional Arabic" w:cs="Traditional Arabic"/>
          <w:sz w:val="30"/>
          <w:szCs w:val="30"/>
          <w:rtl/>
          <w:lang w:val="en-GB"/>
        </w:rPr>
      </w:pPr>
    </w:p>
    <w:p w14:paraId="54E4A4E1" w14:textId="77777777" w:rsidR="00077F49" w:rsidRPr="00EB5BCF" w:rsidRDefault="00077F49" w:rsidP="00077F49">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 xml:space="preserve">يُعفى </w:t>
      </w:r>
      <w:r w:rsidR="00745D4B">
        <w:rPr>
          <w:rFonts w:ascii="Traditional Arabic" w:hAnsi="Traditional Arabic" w:cs="Traditional Arabic" w:hint="cs"/>
          <w:b/>
          <w:sz w:val="30"/>
          <w:szCs w:val="30"/>
          <w:rtl/>
          <w:lang w:bidi="ar-EG"/>
        </w:rPr>
        <w:t>مدير سجل الاكتتاب</w:t>
      </w:r>
      <w:r w:rsidR="000D2725">
        <w:rPr>
          <w:rFonts w:ascii="Traditional Arabic" w:hAnsi="Traditional Arabic" w:cs="Traditional Arabic" w:hint="cs"/>
          <w:b/>
          <w:sz w:val="30"/>
          <w:szCs w:val="30"/>
          <w:rtl/>
          <w:lang w:bidi="ar-EG"/>
        </w:rPr>
        <w:t xml:space="preserve"> </w:t>
      </w:r>
      <w:r w:rsidR="004F4EE6">
        <w:rPr>
          <w:rFonts w:ascii="Traditional Arabic" w:hAnsi="Traditional Arabic" w:cs="Traditional Arabic" w:hint="cs"/>
          <w:b/>
          <w:sz w:val="30"/>
          <w:szCs w:val="30"/>
          <w:rtl/>
          <w:lang w:bidi="ar-EG"/>
        </w:rPr>
        <w:t>المشترك</w:t>
      </w:r>
      <w:r w:rsidR="00E913E4">
        <w:rPr>
          <w:rFonts w:ascii="Traditional Arabic" w:hAnsi="Traditional Arabic" w:cs="Traditional Arabic" w:hint="cs"/>
          <w:b/>
          <w:sz w:val="30"/>
          <w:szCs w:val="30"/>
          <w:rtl/>
          <w:lang w:bidi="ar-EG"/>
        </w:rPr>
        <w:t xml:space="preserve"> (بحسب تعريفه)</w:t>
      </w:r>
      <w:r w:rsidR="003C0D88" w:rsidRPr="00EB5BCF">
        <w:rPr>
          <w:rFonts w:ascii="Traditional Arabic" w:hAnsi="Traditional Arabic" w:cs="Traditional Arabic" w:hint="eastAsia"/>
          <w:b/>
          <w:sz w:val="30"/>
          <w:szCs w:val="30"/>
          <w:rtl/>
          <w:lang w:bidi="ar-EG"/>
        </w:rPr>
        <w:t>،</w:t>
      </w:r>
      <w:r w:rsidR="003C0D88" w:rsidRPr="00EB5BCF">
        <w:rPr>
          <w:rFonts w:ascii="Traditional Arabic" w:hAnsi="Traditional Arabic" w:cs="Traditional Arabic"/>
          <w:b/>
          <w:sz w:val="30"/>
          <w:szCs w:val="30"/>
          <w:rtl/>
          <w:lang w:bidi="ar-EG"/>
        </w:rPr>
        <w:t xml:space="preserve"> </w:t>
      </w:r>
      <w:r w:rsidR="00724A83">
        <w:rPr>
          <w:rFonts w:ascii="Traditional Arabic" w:hAnsi="Traditional Arabic" w:cs="Traditional Arabic" w:hint="cs"/>
          <w:b/>
          <w:sz w:val="30"/>
          <w:szCs w:val="30"/>
          <w:rtl/>
          <w:lang w:bidi="ar-EG"/>
        </w:rPr>
        <w:t xml:space="preserve">ومدير الإصدار ( بحسب تعريفه) </w:t>
      </w:r>
      <w:r w:rsidR="003C0D88" w:rsidRPr="00EB5BCF">
        <w:rPr>
          <w:rFonts w:ascii="Traditional Arabic" w:hAnsi="Traditional Arabic" w:cs="Traditional Arabic" w:hint="eastAsia"/>
          <w:b/>
          <w:sz w:val="30"/>
          <w:szCs w:val="30"/>
          <w:rtl/>
          <w:lang w:bidi="ar-EG"/>
        </w:rPr>
        <w:t>ووكلاء</w:t>
      </w:r>
      <w:r w:rsidR="003C0D88" w:rsidRPr="00EB5BCF">
        <w:rPr>
          <w:rFonts w:ascii="Traditional Arabic" w:hAnsi="Traditional Arabic" w:cs="Traditional Arabic"/>
          <w:b/>
          <w:sz w:val="30"/>
          <w:szCs w:val="30"/>
          <w:rtl/>
          <w:lang w:bidi="ar-EG"/>
        </w:rPr>
        <w:t xml:space="preserve"> </w:t>
      </w:r>
      <w:r w:rsidR="003C0D88" w:rsidRPr="00EB5BCF">
        <w:rPr>
          <w:rFonts w:ascii="Traditional Arabic" w:hAnsi="Traditional Arabic" w:cs="Traditional Arabic" w:hint="eastAsia"/>
          <w:b/>
          <w:sz w:val="30"/>
          <w:szCs w:val="30"/>
          <w:rtl/>
          <w:lang w:bidi="ar-EG"/>
        </w:rPr>
        <w:t>التحصيل</w:t>
      </w:r>
      <w:r w:rsidR="001F1B65">
        <w:rPr>
          <w:rFonts w:ascii="Traditional Arabic" w:hAnsi="Traditional Arabic" w:cs="Traditional Arabic" w:hint="cs"/>
          <w:b/>
          <w:sz w:val="30"/>
          <w:szCs w:val="30"/>
          <w:rtl/>
          <w:lang w:bidi="ar-EG"/>
        </w:rPr>
        <w:t xml:space="preserve"> (بحسب تعريفهم)</w:t>
      </w:r>
      <w:r w:rsidR="003C0D88" w:rsidRPr="00EB5BCF">
        <w:rPr>
          <w:rFonts w:ascii="Traditional Arabic" w:hAnsi="Traditional Arabic" w:cs="Traditional Arabic" w:hint="eastAsia"/>
          <w:b/>
          <w:sz w:val="30"/>
          <w:szCs w:val="30"/>
          <w:rtl/>
          <w:lang w:bidi="ar-EG"/>
        </w:rPr>
        <w:t>،</w:t>
      </w:r>
      <w:r w:rsidR="003C0D88" w:rsidRPr="00EB5BCF">
        <w:rPr>
          <w:rFonts w:ascii="Traditional Arabic" w:hAnsi="Traditional Arabic" w:cs="Traditional Arabic"/>
          <w:b/>
          <w:sz w:val="30"/>
          <w:szCs w:val="30"/>
          <w:rtl/>
          <w:lang w:bidi="ar-EG"/>
        </w:rPr>
        <w:t xml:space="preserve"> </w:t>
      </w:r>
      <w:r w:rsidR="009C44A1" w:rsidRPr="00EB5BCF">
        <w:rPr>
          <w:rFonts w:ascii="Traditional Arabic" w:hAnsi="Traditional Arabic" w:cs="Traditional Arabic"/>
          <w:b/>
          <w:sz w:val="30"/>
          <w:szCs w:val="30"/>
          <w:rtl/>
          <w:lang w:bidi="ar-EG"/>
        </w:rPr>
        <w:t>والمدراء والمسؤولون والموظفون والوكلاء</w:t>
      </w:r>
      <w:r w:rsidRPr="00EB5BCF">
        <w:rPr>
          <w:rFonts w:ascii="Traditional Arabic" w:hAnsi="Traditional Arabic" w:cs="Traditional Arabic"/>
          <w:b/>
          <w:sz w:val="30"/>
          <w:szCs w:val="30"/>
          <w:rtl/>
          <w:lang w:bidi="ar-EG"/>
        </w:rPr>
        <w:t xml:space="preserve"> </w:t>
      </w:r>
      <w:r w:rsidR="001F4E67" w:rsidRPr="00EB5BCF">
        <w:rPr>
          <w:rFonts w:ascii="Traditional Arabic" w:hAnsi="Traditional Arabic" w:cs="Traditional Arabic"/>
          <w:b/>
          <w:sz w:val="30"/>
          <w:szCs w:val="30"/>
          <w:rtl/>
          <w:lang w:bidi="ar-EG"/>
        </w:rPr>
        <w:t xml:space="preserve">والتابعون له </w:t>
      </w:r>
      <w:r w:rsidRPr="00EB5BCF">
        <w:rPr>
          <w:rFonts w:ascii="Traditional Arabic" w:hAnsi="Traditional Arabic" w:cs="Traditional Arabic"/>
          <w:b/>
          <w:sz w:val="30"/>
          <w:szCs w:val="30"/>
          <w:rtl/>
          <w:lang w:bidi="ar-EG"/>
        </w:rPr>
        <w:t>من أية مسؤولية فيما يتعلق بأي إقرار أو تعهد صر</w:t>
      </w:r>
      <w:r w:rsidR="003D6960" w:rsidRPr="00EB5BCF">
        <w:rPr>
          <w:rFonts w:ascii="Traditional Arabic" w:hAnsi="Traditional Arabic" w:cs="Traditional Arabic"/>
          <w:b/>
          <w:sz w:val="30"/>
          <w:szCs w:val="30"/>
          <w:rtl/>
          <w:lang w:bidi="ar-EG"/>
        </w:rPr>
        <w:t>احةً</w:t>
      </w:r>
      <w:r w:rsidRPr="00EB5BCF">
        <w:rPr>
          <w:rFonts w:ascii="Traditional Arabic" w:hAnsi="Traditional Arabic" w:cs="Traditional Arabic"/>
          <w:b/>
          <w:sz w:val="30"/>
          <w:szCs w:val="30"/>
          <w:rtl/>
          <w:lang w:bidi="ar-EG"/>
        </w:rPr>
        <w:t xml:space="preserve"> أو ضمنا</w:t>
      </w:r>
      <w:r w:rsidR="003D6960"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 عن دقة المعلومات الواردة في هذه النشرة ولا عن اكتمالها ولا عن التحقق منها ولا كفايتها</w:t>
      </w:r>
      <w:r w:rsidR="00E0566A" w:rsidRPr="00EB5BCF">
        <w:rPr>
          <w:rFonts w:ascii="Traditional Arabic" w:hAnsi="Traditional Arabic" w:cs="Traditional Arabic"/>
          <w:b/>
          <w:sz w:val="30"/>
          <w:szCs w:val="30"/>
          <w:rtl/>
          <w:lang w:bidi="ar-EG"/>
        </w:rPr>
        <w:t>. هذا،</w:t>
      </w:r>
      <w:r w:rsidRPr="00EB5BCF">
        <w:rPr>
          <w:rFonts w:ascii="Traditional Arabic" w:hAnsi="Traditional Arabic" w:cs="Traditional Arabic"/>
          <w:b/>
          <w:sz w:val="30"/>
          <w:szCs w:val="30"/>
          <w:rtl/>
          <w:lang w:bidi="ar-EG"/>
        </w:rPr>
        <w:t xml:space="preserve"> ولا يُمكن الاعتماد على أي شيء في هذه النشرة على أنه وعد أو إقرار بهذا الخصوص فيما مضى أو فيما يُستقبل. ويتبرأ </w:t>
      </w:r>
      <w:r w:rsidR="00745D4B">
        <w:rPr>
          <w:rFonts w:ascii="Traditional Arabic" w:hAnsi="Traditional Arabic" w:cs="Traditional Arabic" w:hint="cs"/>
          <w:b/>
          <w:sz w:val="30"/>
          <w:szCs w:val="30"/>
          <w:rtl/>
          <w:lang w:bidi="ar-EG"/>
        </w:rPr>
        <w:t>مدير سجل الاكتتاب</w:t>
      </w:r>
      <w:r w:rsidR="000D2725" w:rsidDel="000D2725">
        <w:rPr>
          <w:rFonts w:ascii="Traditional Arabic" w:hAnsi="Traditional Arabic" w:cs="Traditional Arabic" w:hint="cs"/>
          <w:b/>
          <w:sz w:val="30"/>
          <w:szCs w:val="30"/>
          <w:rtl/>
          <w:lang w:bidi="ar-EG"/>
        </w:rPr>
        <w:t xml:space="preserve"> </w:t>
      </w:r>
      <w:r w:rsidR="004F4EE6">
        <w:rPr>
          <w:rFonts w:ascii="Traditional Arabic" w:hAnsi="Traditional Arabic" w:cs="Traditional Arabic" w:hint="cs"/>
          <w:b/>
          <w:sz w:val="30"/>
          <w:szCs w:val="30"/>
          <w:rtl/>
          <w:lang w:bidi="ar-EG"/>
        </w:rPr>
        <w:t xml:space="preserve"> المشترك</w:t>
      </w:r>
      <w:r w:rsidR="00724A83">
        <w:rPr>
          <w:rFonts w:ascii="Traditional Arabic" w:hAnsi="Traditional Arabic" w:cs="Traditional Arabic" w:hint="cs"/>
          <w:b/>
          <w:sz w:val="30"/>
          <w:szCs w:val="30"/>
          <w:rtl/>
          <w:lang w:bidi="ar-EG"/>
        </w:rPr>
        <w:t xml:space="preserve"> ومدير الإصدار</w:t>
      </w:r>
      <w:r w:rsidR="003C0D88" w:rsidRPr="00EB5BCF">
        <w:rPr>
          <w:rFonts w:ascii="Traditional Arabic" w:hAnsi="Traditional Arabic" w:cs="Traditional Arabic"/>
          <w:b/>
          <w:sz w:val="30"/>
          <w:szCs w:val="30"/>
          <w:rtl/>
          <w:lang w:bidi="ar-EG"/>
        </w:rPr>
        <w:t xml:space="preserve"> </w:t>
      </w:r>
      <w:r w:rsidR="003C0D88" w:rsidRPr="00EB5BCF">
        <w:rPr>
          <w:rFonts w:ascii="Traditional Arabic" w:hAnsi="Traditional Arabic" w:cs="Traditional Arabic" w:hint="eastAsia"/>
          <w:b/>
          <w:sz w:val="30"/>
          <w:szCs w:val="30"/>
          <w:rtl/>
          <w:lang w:bidi="ar-EG"/>
        </w:rPr>
        <w:t>ووكلاء</w:t>
      </w:r>
      <w:r w:rsidR="003C0D88" w:rsidRPr="00EB5BCF">
        <w:rPr>
          <w:rFonts w:ascii="Traditional Arabic" w:hAnsi="Traditional Arabic" w:cs="Traditional Arabic"/>
          <w:b/>
          <w:sz w:val="30"/>
          <w:szCs w:val="30"/>
          <w:rtl/>
          <w:lang w:bidi="ar-EG"/>
        </w:rPr>
        <w:t xml:space="preserve"> </w:t>
      </w:r>
      <w:r w:rsidR="003C0D88" w:rsidRPr="00EB5BCF">
        <w:rPr>
          <w:rFonts w:ascii="Traditional Arabic" w:hAnsi="Traditional Arabic" w:cs="Traditional Arabic" w:hint="eastAsia"/>
          <w:b/>
          <w:sz w:val="30"/>
          <w:szCs w:val="30"/>
          <w:rtl/>
          <w:lang w:bidi="ar-EG"/>
        </w:rPr>
        <w:t>التحصيل</w:t>
      </w:r>
      <w:r w:rsidRPr="00EB5BCF">
        <w:rPr>
          <w:rFonts w:ascii="Traditional Arabic" w:hAnsi="Traditional Arabic" w:cs="Traditional Arabic"/>
          <w:b/>
          <w:sz w:val="30"/>
          <w:szCs w:val="30"/>
          <w:rtl/>
          <w:lang w:bidi="ar-EG"/>
        </w:rPr>
        <w:t xml:space="preserve"> </w:t>
      </w:r>
      <w:r w:rsidR="00341F90" w:rsidRPr="00EB5BCF">
        <w:rPr>
          <w:rFonts w:ascii="Traditional Arabic" w:hAnsi="Traditional Arabic" w:cs="Traditional Arabic"/>
          <w:b/>
          <w:sz w:val="30"/>
          <w:szCs w:val="30"/>
          <w:rtl/>
          <w:lang w:bidi="ar-EG"/>
        </w:rPr>
        <w:t xml:space="preserve">والمدراء والمسؤولون والموظفون والوكلاء </w:t>
      </w:r>
      <w:r w:rsidR="003D6960" w:rsidRPr="00EB5BCF">
        <w:rPr>
          <w:rFonts w:ascii="Traditional Arabic" w:hAnsi="Traditional Arabic" w:cs="Traditional Arabic"/>
          <w:b/>
          <w:sz w:val="30"/>
          <w:szCs w:val="30"/>
          <w:rtl/>
          <w:lang w:bidi="ar-EG"/>
        </w:rPr>
        <w:t xml:space="preserve">والتابعون له </w:t>
      </w:r>
      <w:r w:rsidRPr="00EB5BCF">
        <w:rPr>
          <w:rFonts w:ascii="Traditional Arabic" w:hAnsi="Traditional Arabic" w:cs="Traditional Arabic"/>
          <w:b/>
          <w:sz w:val="30"/>
          <w:szCs w:val="30"/>
          <w:rtl/>
          <w:lang w:bidi="ar-EG"/>
        </w:rPr>
        <w:t>- بالحد الأقصى الذي يسمح به القانون - من جميع الالتزامات</w:t>
      </w:r>
      <w:r w:rsidR="00341F90" w:rsidRPr="00EB5BCF">
        <w:rPr>
          <w:rFonts w:ascii="Traditional Arabic" w:hAnsi="Traditional Arabic" w:cs="Traditional Arabic"/>
          <w:b/>
          <w:sz w:val="30"/>
          <w:szCs w:val="30"/>
          <w:rtl/>
          <w:lang w:bidi="ar-EG"/>
        </w:rPr>
        <w:t xml:space="preserve"> والمسؤوليات</w:t>
      </w:r>
      <w:r w:rsidRPr="00EB5BCF">
        <w:rPr>
          <w:rFonts w:ascii="Traditional Arabic" w:hAnsi="Traditional Arabic" w:cs="Traditional Arabic"/>
          <w:b/>
          <w:sz w:val="30"/>
          <w:szCs w:val="30"/>
          <w:rtl/>
          <w:lang w:bidi="ar-EG"/>
        </w:rPr>
        <w:t xml:space="preserve"> الناشئة عن هذه النشرة أو عن أي تصريح سواء كان الالتزام تقصيريا</w:t>
      </w:r>
      <w:r w:rsidR="003D6960"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 أو تعاقديا</w:t>
      </w:r>
      <w:r w:rsidR="003D6960"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 أو غير ذلك، بل </w:t>
      </w:r>
      <w:r w:rsidRPr="00EB5BCF">
        <w:rPr>
          <w:rFonts w:ascii="Traditional Arabic" w:hAnsi="Traditional Arabic" w:cs="Traditional Arabic"/>
          <w:b/>
          <w:sz w:val="30"/>
          <w:szCs w:val="30"/>
          <w:rtl/>
          <w:lang w:bidi="ar-EG"/>
        </w:rPr>
        <w:lastRenderedPageBreak/>
        <w:t xml:space="preserve">لم يصدر عن </w:t>
      </w:r>
      <w:r w:rsidR="00D63DA9">
        <w:rPr>
          <w:rFonts w:ascii="Traditional Arabic" w:hAnsi="Traditional Arabic" w:cs="Traditional Arabic"/>
          <w:b/>
          <w:sz w:val="30"/>
          <w:szCs w:val="30"/>
          <w:rtl/>
          <w:lang w:bidi="ar-EG"/>
        </w:rPr>
        <w:t>المنسق العالمي المشترك</w:t>
      </w:r>
      <w:r w:rsidR="003C0D88" w:rsidRPr="00EB5BCF">
        <w:rPr>
          <w:rFonts w:ascii="Traditional Arabic" w:hAnsi="Traditional Arabic" w:cs="Traditional Arabic"/>
          <w:b/>
          <w:sz w:val="30"/>
          <w:szCs w:val="30"/>
          <w:rtl/>
          <w:lang w:bidi="ar-EG"/>
        </w:rPr>
        <w:t xml:space="preserve"> </w:t>
      </w:r>
      <w:r w:rsidR="003C0D88" w:rsidRPr="00EB5BCF">
        <w:rPr>
          <w:rFonts w:ascii="Traditional Arabic" w:hAnsi="Traditional Arabic" w:cs="Traditional Arabic" w:hint="eastAsia"/>
          <w:b/>
          <w:sz w:val="30"/>
          <w:szCs w:val="30"/>
          <w:rtl/>
          <w:lang w:bidi="ar-EG"/>
        </w:rPr>
        <w:t>ولا</w:t>
      </w:r>
      <w:r w:rsidR="003C0D88" w:rsidRPr="00EB5BCF">
        <w:rPr>
          <w:rFonts w:ascii="Traditional Arabic" w:hAnsi="Traditional Arabic" w:cs="Traditional Arabic"/>
          <w:b/>
          <w:sz w:val="30"/>
          <w:szCs w:val="30"/>
          <w:rtl/>
          <w:lang w:bidi="ar-EG"/>
        </w:rPr>
        <w:t xml:space="preserve"> عن </w:t>
      </w:r>
      <w:r w:rsidR="003C0D88" w:rsidRPr="00EB5BCF">
        <w:rPr>
          <w:rFonts w:ascii="Traditional Arabic" w:hAnsi="Traditional Arabic" w:cs="Traditional Arabic" w:hint="eastAsia"/>
          <w:b/>
          <w:sz w:val="30"/>
          <w:szCs w:val="30"/>
          <w:rtl/>
          <w:lang w:bidi="ar-EG"/>
        </w:rPr>
        <w:t>وكلاء</w:t>
      </w:r>
      <w:r w:rsidR="003C0D88" w:rsidRPr="00EB5BCF">
        <w:rPr>
          <w:rFonts w:ascii="Traditional Arabic" w:hAnsi="Traditional Arabic" w:cs="Traditional Arabic"/>
          <w:b/>
          <w:sz w:val="30"/>
          <w:szCs w:val="30"/>
          <w:rtl/>
          <w:lang w:bidi="ar-EG"/>
        </w:rPr>
        <w:t xml:space="preserve"> </w:t>
      </w:r>
      <w:r w:rsidR="003C0D88" w:rsidRPr="00EB5BCF">
        <w:rPr>
          <w:rFonts w:ascii="Traditional Arabic" w:hAnsi="Traditional Arabic" w:cs="Traditional Arabic" w:hint="eastAsia"/>
          <w:b/>
          <w:sz w:val="30"/>
          <w:szCs w:val="30"/>
          <w:rtl/>
          <w:lang w:bidi="ar-EG"/>
        </w:rPr>
        <w:t>التحصيل</w:t>
      </w:r>
      <w:r w:rsidRPr="00EB5BCF">
        <w:rPr>
          <w:rFonts w:ascii="Traditional Arabic" w:hAnsi="Traditional Arabic" w:cs="Traditional Arabic"/>
          <w:b/>
          <w:sz w:val="30"/>
          <w:szCs w:val="30"/>
          <w:rtl/>
          <w:lang w:bidi="ar-EG"/>
        </w:rPr>
        <w:t xml:space="preserve"> ولا عن أحد </w:t>
      </w:r>
      <w:r w:rsidR="00DD24D2" w:rsidRPr="00EB5BCF">
        <w:rPr>
          <w:rFonts w:ascii="Traditional Arabic" w:hAnsi="Traditional Arabic" w:cs="Traditional Arabic"/>
          <w:b/>
          <w:sz w:val="30"/>
          <w:szCs w:val="30"/>
          <w:rtl/>
          <w:lang w:bidi="ar-EG"/>
        </w:rPr>
        <w:t xml:space="preserve">من </w:t>
      </w:r>
      <w:r w:rsidRPr="00EB5BCF">
        <w:rPr>
          <w:rFonts w:ascii="Traditional Arabic" w:hAnsi="Traditional Arabic" w:cs="Traditional Arabic"/>
          <w:b/>
          <w:sz w:val="30"/>
          <w:szCs w:val="30"/>
          <w:rtl/>
          <w:lang w:bidi="ar-EG"/>
        </w:rPr>
        <w:t>تابعيه</w:t>
      </w:r>
      <w:r w:rsidR="003C0D88" w:rsidRPr="00EB5BCF">
        <w:rPr>
          <w:rFonts w:ascii="Traditional Arabic" w:hAnsi="Traditional Arabic" w:cs="Traditional Arabic" w:hint="eastAsia"/>
          <w:b/>
          <w:sz w:val="30"/>
          <w:szCs w:val="30"/>
          <w:rtl/>
          <w:lang w:bidi="ar-EG"/>
        </w:rPr>
        <w:t>م</w:t>
      </w:r>
      <w:r w:rsidRPr="00EB5BCF">
        <w:rPr>
          <w:rFonts w:ascii="Traditional Arabic" w:hAnsi="Traditional Arabic" w:cs="Traditional Arabic"/>
          <w:b/>
          <w:sz w:val="30"/>
          <w:szCs w:val="30"/>
          <w:rtl/>
          <w:lang w:bidi="ar-EG"/>
        </w:rPr>
        <w:t xml:space="preserve"> </w:t>
      </w:r>
      <w:r w:rsidR="00DD24D2" w:rsidRPr="00EB5BCF">
        <w:rPr>
          <w:rFonts w:ascii="Traditional Arabic" w:hAnsi="Traditional Arabic" w:cs="Traditional Arabic"/>
          <w:b/>
          <w:sz w:val="30"/>
          <w:szCs w:val="30"/>
          <w:rtl/>
          <w:lang w:bidi="ar-EG"/>
        </w:rPr>
        <w:t>ولا المدراء ولا المسؤولين ولا الموظفين ولا الوكلاء</w:t>
      </w:r>
      <w:r w:rsidRPr="00EB5BCF">
        <w:rPr>
          <w:rFonts w:ascii="Traditional Arabic" w:hAnsi="Traditional Arabic" w:cs="Traditional Arabic"/>
          <w:b/>
          <w:sz w:val="30"/>
          <w:szCs w:val="30"/>
          <w:rtl/>
          <w:lang w:bidi="ar-EG"/>
        </w:rPr>
        <w:t xml:space="preserve"> إقرار</w:t>
      </w:r>
      <w:r w:rsidR="00A062F2" w:rsidRPr="00EB5BCF">
        <w:rPr>
          <w:rFonts w:ascii="Traditional Arabic" w:hAnsi="Traditional Arabic" w:cs="Traditional Arabic" w:hint="eastAsia"/>
          <w:b/>
          <w:sz w:val="30"/>
          <w:szCs w:val="30"/>
          <w:rtl/>
          <w:lang w:bidi="ar-EG"/>
        </w:rPr>
        <w:t>اً</w:t>
      </w:r>
      <w:r w:rsidRPr="00EB5BCF">
        <w:rPr>
          <w:rFonts w:ascii="Traditional Arabic" w:hAnsi="Traditional Arabic" w:cs="Traditional Arabic"/>
          <w:b/>
          <w:sz w:val="30"/>
          <w:szCs w:val="30"/>
          <w:rtl/>
          <w:lang w:bidi="ar-EG"/>
        </w:rPr>
        <w:t xml:space="preserve"> </w:t>
      </w:r>
      <w:r w:rsidR="00A062F2" w:rsidRPr="00EB5BCF">
        <w:rPr>
          <w:rFonts w:ascii="Traditional Arabic" w:hAnsi="Traditional Arabic" w:cs="Traditional Arabic" w:hint="eastAsia"/>
          <w:b/>
          <w:sz w:val="30"/>
          <w:szCs w:val="30"/>
          <w:rtl/>
          <w:lang w:bidi="ar-EG"/>
        </w:rPr>
        <w:t>أو</w:t>
      </w:r>
      <w:r w:rsidR="00A062F2" w:rsidRPr="00EB5BCF">
        <w:rPr>
          <w:rFonts w:ascii="Traditional Arabic" w:hAnsi="Traditional Arabic" w:cs="Traditional Arabic"/>
          <w:b/>
          <w:sz w:val="30"/>
          <w:szCs w:val="30"/>
          <w:rtl/>
          <w:lang w:bidi="ar-EG"/>
        </w:rPr>
        <w:t xml:space="preserve"> </w:t>
      </w:r>
      <w:r w:rsidRPr="00EB5BCF">
        <w:rPr>
          <w:rFonts w:ascii="Traditional Arabic" w:hAnsi="Traditional Arabic" w:cs="Traditional Arabic"/>
          <w:b/>
          <w:sz w:val="30"/>
          <w:szCs w:val="30"/>
          <w:rtl/>
          <w:lang w:bidi="ar-EG"/>
        </w:rPr>
        <w:t>تعهد – صراحة</w:t>
      </w:r>
      <w:r w:rsidR="003D6960"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 أو ضمنا</w:t>
      </w:r>
      <w:r w:rsidR="003D6960"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 – عن صحة المعلومات الواردة في هذه النشرة أو اكتمالها أو سوغها أو كفايتها.</w:t>
      </w:r>
    </w:p>
    <w:p w14:paraId="62962D38" w14:textId="77777777" w:rsidR="00077F49" w:rsidRPr="00EB5BCF" w:rsidRDefault="00077F49" w:rsidP="00077F49">
      <w:pPr>
        <w:keepNext/>
        <w:bidi/>
        <w:jc w:val="both"/>
        <w:rPr>
          <w:rFonts w:ascii="Traditional Arabic" w:hAnsi="Traditional Arabic" w:cs="Traditional Arabic"/>
          <w:b/>
          <w:sz w:val="30"/>
          <w:szCs w:val="30"/>
          <w:rtl/>
          <w:lang w:val="en-GB" w:bidi="ar-EG"/>
        </w:rPr>
      </w:pPr>
    </w:p>
    <w:p w14:paraId="3651A33F" w14:textId="77777777" w:rsidR="00077F49" w:rsidRPr="00EB5BCF" w:rsidRDefault="00077F49" w:rsidP="00077F49">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لا يجوز نشر المعلومات الواردة في هذه النشرة ولا تصويرها ولا نسخها ولا الإفصاح عنها – بالكامل أو جزئيا</w:t>
      </w:r>
      <w:r w:rsidR="003D6960"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 ولا استخدامها في غير الغرض المتعلق بالطرح دون الحصول على موافقة خطية مسبقة من الشركة و</w:t>
      </w:r>
      <w:r w:rsidR="000861C6">
        <w:rPr>
          <w:rFonts w:ascii="Traditional Arabic" w:hAnsi="Traditional Arabic" w:cs="Traditional Arabic"/>
          <w:b/>
          <w:sz w:val="30"/>
          <w:szCs w:val="30"/>
          <w:rtl/>
          <w:lang w:val="en-GB"/>
        </w:rPr>
        <w:t>المساهم البائع</w:t>
      </w:r>
      <w:r w:rsidRPr="00EB5BCF">
        <w:rPr>
          <w:rFonts w:ascii="Traditional Arabic" w:hAnsi="Traditional Arabic" w:cs="Traditional Arabic"/>
          <w:b/>
          <w:sz w:val="30"/>
          <w:szCs w:val="30"/>
          <w:rtl/>
          <w:lang w:val="en-GB"/>
        </w:rPr>
        <w:t xml:space="preserve"> و</w:t>
      </w:r>
      <w:r w:rsidR="00D63DA9">
        <w:rPr>
          <w:rFonts w:ascii="Traditional Arabic" w:hAnsi="Traditional Arabic" w:cs="Traditional Arabic"/>
          <w:b/>
          <w:sz w:val="30"/>
          <w:szCs w:val="30"/>
          <w:rtl/>
          <w:lang w:val="en-GB"/>
        </w:rPr>
        <w:t>المنسق العالمي المشترك</w:t>
      </w:r>
      <w:r w:rsidR="002024D3">
        <w:rPr>
          <w:rFonts w:ascii="Traditional Arabic" w:hAnsi="Traditional Arabic" w:cs="Traditional Arabic" w:hint="cs"/>
          <w:b/>
          <w:sz w:val="30"/>
          <w:szCs w:val="30"/>
          <w:rtl/>
          <w:lang w:val="en-GB"/>
        </w:rPr>
        <w:t xml:space="preserve"> ( بحسب تعريفه)</w:t>
      </w:r>
      <w:r w:rsidRPr="00EB5BCF">
        <w:rPr>
          <w:rFonts w:ascii="Traditional Arabic" w:hAnsi="Traditional Arabic" w:cs="Traditional Arabic"/>
          <w:b/>
          <w:sz w:val="30"/>
          <w:szCs w:val="30"/>
          <w:rtl/>
          <w:lang w:val="en-GB"/>
        </w:rPr>
        <w:t>.</w:t>
      </w:r>
    </w:p>
    <w:p w14:paraId="74F082EC" w14:textId="77777777" w:rsidR="00077F49" w:rsidRPr="00EB5BCF" w:rsidRDefault="00077F49" w:rsidP="00077F49">
      <w:pPr>
        <w:keepNext/>
        <w:bidi/>
        <w:jc w:val="both"/>
        <w:rPr>
          <w:rFonts w:ascii="Traditional Arabic" w:hAnsi="Traditional Arabic" w:cs="Traditional Arabic"/>
          <w:b/>
          <w:sz w:val="30"/>
          <w:szCs w:val="30"/>
          <w:rtl/>
          <w:lang w:val="en-GB"/>
        </w:rPr>
      </w:pPr>
    </w:p>
    <w:p w14:paraId="49DB8C2C" w14:textId="77777777" w:rsidR="00077F49" w:rsidRPr="00EB5BCF" w:rsidRDefault="00077F49" w:rsidP="00077F49">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Cs/>
          <w:sz w:val="30"/>
          <w:szCs w:val="30"/>
          <w:rtl/>
          <w:lang w:val="en-GB"/>
        </w:rPr>
        <w:t>لا تشكل هذه النشرة جزء من أي عرض أو دعوة لبيع أو إصدار أو الترويج لشراء أو الاكتتاب في أية أوراق مالية بخلاف الأوراق المالية المرتبطة بهذه النشرة، ولا تشكل عرضا</w:t>
      </w:r>
      <w:r w:rsidR="003D6960" w:rsidRPr="00EB5BCF">
        <w:rPr>
          <w:rFonts w:ascii="Traditional Arabic" w:hAnsi="Traditional Arabic" w:cs="Traditional Arabic"/>
          <w:bCs/>
          <w:sz w:val="30"/>
          <w:szCs w:val="30"/>
          <w:rtl/>
          <w:lang w:val="en-GB"/>
        </w:rPr>
        <w:t>ً</w:t>
      </w:r>
      <w:r w:rsidRPr="00EB5BCF">
        <w:rPr>
          <w:rFonts w:ascii="Traditional Arabic" w:hAnsi="Traditional Arabic" w:cs="Traditional Arabic"/>
          <w:bCs/>
          <w:sz w:val="30"/>
          <w:szCs w:val="30"/>
          <w:rtl/>
          <w:lang w:val="en-GB"/>
        </w:rPr>
        <w:t xml:space="preserve"> أو دعوة لبيع أو إصدار أو الترويج لشراء أو الاكتتاب في الأوراق المالية من قبل أي شخص يكون العرض عليه أو الترويج له محظورا</w:t>
      </w:r>
      <w:r w:rsidR="003D6960" w:rsidRPr="00EB5BCF">
        <w:rPr>
          <w:rFonts w:ascii="Traditional Arabic" w:hAnsi="Traditional Arabic" w:cs="Traditional Arabic"/>
          <w:bCs/>
          <w:sz w:val="30"/>
          <w:szCs w:val="30"/>
          <w:rtl/>
          <w:lang w:val="en-GB"/>
        </w:rPr>
        <w:t>ً</w:t>
      </w:r>
      <w:r w:rsidRPr="00EB5BCF">
        <w:rPr>
          <w:rFonts w:ascii="Traditional Arabic" w:hAnsi="Traditional Arabic" w:cs="Traditional Arabic"/>
          <w:bCs/>
          <w:sz w:val="30"/>
          <w:szCs w:val="30"/>
          <w:rtl/>
          <w:lang w:val="en-GB"/>
        </w:rPr>
        <w:t>.</w:t>
      </w:r>
    </w:p>
    <w:p w14:paraId="069D5851" w14:textId="77777777" w:rsidR="00ED5608" w:rsidRPr="00EB5BCF" w:rsidRDefault="00ED5608" w:rsidP="00ED5608">
      <w:pPr>
        <w:keepNext/>
        <w:bidi/>
        <w:jc w:val="both"/>
        <w:rPr>
          <w:rFonts w:ascii="Traditional Arabic" w:hAnsi="Traditional Arabic" w:cs="Traditional Arabic"/>
          <w:b/>
          <w:sz w:val="30"/>
          <w:szCs w:val="30"/>
          <w:rtl/>
          <w:lang w:val="en-GB"/>
        </w:rPr>
      </w:pPr>
    </w:p>
    <w:p w14:paraId="5D51D738" w14:textId="77777777" w:rsidR="00077F49" w:rsidRPr="00EB5BCF" w:rsidRDefault="00077F49" w:rsidP="003D6960">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تشتمل هذه النشرة على معلومات تخضع لل</w:t>
      </w:r>
      <w:r w:rsidR="005B56B8" w:rsidRPr="00EB5BCF">
        <w:rPr>
          <w:rFonts w:ascii="Traditional Arabic" w:hAnsi="Traditional Arabic" w:cs="Traditional Arabic"/>
          <w:b/>
          <w:sz w:val="30"/>
          <w:szCs w:val="30"/>
          <w:rtl/>
          <w:lang w:val="en-GB"/>
        </w:rPr>
        <w:t>تعديل</w:t>
      </w:r>
      <w:r w:rsidRPr="00EB5BCF">
        <w:rPr>
          <w:rFonts w:ascii="Traditional Arabic" w:hAnsi="Traditional Arabic" w:cs="Traditional Arabic"/>
          <w:b/>
          <w:sz w:val="30"/>
          <w:szCs w:val="30"/>
          <w:rtl/>
          <w:lang w:val="en-GB"/>
        </w:rPr>
        <w:t xml:space="preserve"> والتغيير، وبالتالي لن تُطرح الأوراق المالية </w:t>
      </w:r>
      <w:r w:rsidR="003D6960" w:rsidRPr="00EB5BCF">
        <w:rPr>
          <w:rFonts w:ascii="Traditional Arabic" w:hAnsi="Traditional Arabic" w:cs="Traditional Arabic"/>
          <w:b/>
          <w:sz w:val="30"/>
          <w:szCs w:val="30"/>
          <w:rtl/>
          <w:lang w:val="en-GB"/>
        </w:rPr>
        <w:t>ولا ينبغي اتخاذ أي قرار بالاستثمار على أساس هذه النشرة وحدها، بل على أساس نسختها النهائية المكتملة وحسب</w:t>
      </w:r>
      <w:r w:rsidR="004E459B">
        <w:rPr>
          <w:rFonts w:ascii="Traditional Arabic" w:hAnsi="Traditional Arabic" w:cs="Traditional Arabic" w:hint="cs"/>
          <w:b/>
          <w:sz w:val="30"/>
          <w:szCs w:val="30"/>
          <w:rtl/>
          <w:lang w:val="en-GB"/>
        </w:rPr>
        <w:t xml:space="preserve"> بيان</w:t>
      </w:r>
      <w:r w:rsidR="003D6960" w:rsidRPr="00EB5BCF">
        <w:rPr>
          <w:rFonts w:ascii="Traditional Arabic" w:hAnsi="Traditional Arabic" w:cs="Traditional Arabic"/>
          <w:b/>
          <w:sz w:val="30"/>
          <w:szCs w:val="30"/>
          <w:rtl/>
          <w:lang w:val="en-GB"/>
        </w:rPr>
        <w:t xml:space="preserve"> التسعير المذكور فيها</w:t>
      </w:r>
      <w:r w:rsidR="004E459B">
        <w:rPr>
          <w:rFonts w:ascii="Traditional Arabic" w:hAnsi="Traditional Arabic" w:cs="Traditional Arabic" w:hint="cs"/>
          <w:b/>
          <w:sz w:val="30"/>
          <w:szCs w:val="30"/>
          <w:rtl/>
          <w:lang w:val="en-GB"/>
        </w:rPr>
        <w:t xml:space="preserve"> (بحسب تعريفه)</w:t>
      </w:r>
      <w:r w:rsidR="003D6960" w:rsidRPr="00EB5BCF">
        <w:rPr>
          <w:rFonts w:ascii="Traditional Arabic" w:hAnsi="Traditional Arabic" w:cs="Traditional Arabic"/>
          <w:b/>
          <w:sz w:val="30"/>
          <w:szCs w:val="30"/>
          <w:rtl/>
          <w:lang w:val="en-GB"/>
        </w:rPr>
        <w:t xml:space="preserve">. </w:t>
      </w:r>
    </w:p>
    <w:p w14:paraId="27BA573D" w14:textId="77777777" w:rsidR="00077F49" w:rsidRPr="00EB5BCF" w:rsidRDefault="00077F49" w:rsidP="00077F49">
      <w:pPr>
        <w:keepNext/>
        <w:bidi/>
        <w:jc w:val="both"/>
        <w:rPr>
          <w:rFonts w:ascii="Traditional Arabic" w:hAnsi="Traditional Arabic" w:cs="Traditional Arabic"/>
          <w:b/>
          <w:sz w:val="30"/>
          <w:szCs w:val="30"/>
          <w:rtl/>
          <w:lang w:val="en-GB"/>
        </w:rPr>
      </w:pPr>
    </w:p>
    <w:p w14:paraId="32B1751C" w14:textId="77777777" w:rsidR="00077F49" w:rsidRPr="00EB5BCF" w:rsidRDefault="00077F49" w:rsidP="00077F49">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يستطيع المستلم لهذه النشرة أن يستخدمها فقط لغرض دراسة شراء الأسهم، ولكن لا يجوز له إعادة </w:t>
      </w:r>
      <w:r w:rsidR="00190DB7" w:rsidRPr="00EB5BCF">
        <w:rPr>
          <w:rFonts w:ascii="Traditional Arabic" w:hAnsi="Traditional Arabic" w:cs="Traditional Arabic"/>
          <w:b/>
          <w:sz w:val="30"/>
          <w:szCs w:val="30"/>
          <w:rtl/>
          <w:lang w:val="en-GB"/>
        </w:rPr>
        <w:t xml:space="preserve">طباعتها </w:t>
      </w:r>
      <w:r w:rsidRPr="00EB5BCF">
        <w:rPr>
          <w:rFonts w:ascii="Traditional Arabic" w:hAnsi="Traditional Arabic" w:cs="Traditional Arabic"/>
          <w:b/>
          <w:sz w:val="30"/>
          <w:szCs w:val="30"/>
          <w:rtl/>
          <w:lang w:val="en-GB"/>
        </w:rPr>
        <w:t>ولا توزيعها – كليا</w:t>
      </w:r>
      <w:r w:rsidR="00695B27"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أو جزئيا</w:t>
      </w:r>
      <w:r w:rsidR="00695B27"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 ولا إفشاء محتواها ولا استخدام المعلومات الواردة فيها في أي غرض بخلاف الاستثمار في الأسهم. ويوافق المستلم لهذه النشرة على الشروط السابقة بمجرد قبوله بالاستلام.</w:t>
      </w:r>
    </w:p>
    <w:p w14:paraId="5CE6849E" w14:textId="77777777" w:rsidR="00077F49" w:rsidRPr="00EB5BCF" w:rsidRDefault="00077F49" w:rsidP="00077F49">
      <w:pPr>
        <w:keepNext/>
        <w:bidi/>
        <w:jc w:val="both"/>
        <w:rPr>
          <w:rFonts w:ascii="Traditional Arabic" w:hAnsi="Traditional Arabic" w:cs="Traditional Arabic"/>
          <w:b/>
          <w:sz w:val="30"/>
          <w:szCs w:val="30"/>
          <w:rtl/>
          <w:lang w:val="en-GB"/>
        </w:rPr>
      </w:pPr>
    </w:p>
    <w:p w14:paraId="127A8C40" w14:textId="47334647" w:rsidR="00126384" w:rsidRDefault="00077F49" w:rsidP="00077F49">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Cs/>
          <w:sz w:val="30"/>
          <w:szCs w:val="30"/>
          <w:rtl/>
          <w:lang w:val="en-GB"/>
        </w:rPr>
        <w:t xml:space="preserve">نرجو من </w:t>
      </w:r>
      <w:r w:rsidR="009A709D">
        <w:rPr>
          <w:rFonts w:ascii="Traditional Arabic" w:hAnsi="Traditional Arabic" w:cs="Traditional Arabic" w:hint="cs"/>
          <w:bCs/>
          <w:sz w:val="30"/>
          <w:szCs w:val="30"/>
          <w:rtl/>
          <w:lang w:val="en-GB"/>
        </w:rPr>
        <w:t>مقدمي الطلبات</w:t>
      </w:r>
      <w:r w:rsidRPr="00EB5BCF">
        <w:rPr>
          <w:rFonts w:ascii="Traditional Arabic" w:hAnsi="Traditional Arabic" w:cs="Traditional Arabic"/>
          <w:bCs/>
          <w:sz w:val="30"/>
          <w:szCs w:val="30"/>
          <w:rtl/>
          <w:lang w:val="en-GB"/>
        </w:rPr>
        <w:t xml:space="preserve"> قبل اتخاذ قرار الاستثمار في الأسهم قراءة هذه النشرة بالكامل، وبالأخص الاطلاع على فصل "عوامل المخاطرة</w:t>
      </w:r>
      <w:r w:rsidR="00204285" w:rsidRPr="00EB5BCF">
        <w:rPr>
          <w:rFonts w:ascii="Traditional Arabic" w:hAnsi="Traditional Arabic" w:cs="Traditional Arabic"/>
          <w:bCs/>
          <w:sz w:val="30"/>
          <w:szCs w:val="30"/>
          <w:rtl/>
          <w:lang w:val="en-GB"/>
        </w:rPr>
        <w:t xml:space="preserve"> </w:t>
      </w:r>
      <w:r w:rsidRPr="00EB5BCF">
        <w:rPr>
          <w:rFonts w:ascii="Traditional Arabic" w:hAnsi="Traditional Arabic" w:cs="Traditional Arabic"/>
          <w:bCs/>
          <w:sz w:val="30"/>
          <w:szCs w:val="30"/>
          <w:rtl/>
          <w:lang w:val="en-GB"/>
        </w:rPr>
        <w:t>"</w:t>
      </w:r>
      <w:r w:rsidR="00BC5E02" w:rsidRPr="00EB5BCF">
        <w:rPr>
          <w:rFonts w:ascii="Traditional Arabic" w:hAnsi="Traditional Arabic" w:cs="Traditional Arabic"/>
          <w:bCs/>
          <w:sz w:val="30"/>
          <w:szCs w:val="30"/>
          <w:rtl/>
          <w:lang w:val="en-GB"/>
        </w:rPr>
        <w:t xml:space="preserve"> في حال رغبتهم في الاستثمار في الشركة</w:t>
      </w:r>
      <w:r w:rsidRPr="00EB5BCF">
        <w:rPr>
          <w:rFonts w:ascii="Traditional Arabic" w:hAnsi="Traditional Arabic" w:cs="Traditional Arabic"/>
          <w:bCs/>
          <w:sz w:val="30"/>
          <w:szCs w:val="30"/>
          <w:rtl/>
          <w:lang w:val="en-GB"/>
        </w:rPr>
        <w:t>.</w:t>
      </w:r>
    </w:p>
    <w:p w14:paraId="0263277B" w14:textId="77777777" w:rsidR="00126384" w:rsidRDefault="00126384" w:rsidP="00126384">
      <w:pPr>
        <w:keepNext/>
        <w:bidi/>
        <w:jc w:val="both"/>
        <w:rPr>
          <w:rFonts w:ascii="Traditional Arabic" w:hAnsi="Traditional Arabic" w:cs="Traditional Arabic"/>
          <w:b/>
          <w:sz w:val="30"/>
          <w:szCs w:val="30"/>
          <w:rtl/>
          <w:lang w:val="en-GB"/>
        </w:rPr>
      </w:pPr>
    </w:p>
    <w:p w14:paraId="30EE3DF3" w14:textId="77777777" w:rsidR="00CC7BA5" w:rsidRPr="00CC7BA5" w:rsidRDefault="00CC7BA5" w:rsidP="00CC7BA5">
      <w:pPr>
        <w:bidi/>
        <w:spacing w:beforeLines="40" w:before="96" w:afterLines="40" w:after="96" w:line="276" w:lineRule="auto"/>
        <w:jc w:val="both"/>
        <w:rPr>
          <w:rFonts w:ascii="Traditional Arabic" w:hAnsi="Traditional Arabic" w:cs="Traditional Arabic"/>
          <w:b/>
          <w:sz w:val="30"/>
          <w:szCs w:val="30"/>
          <w:rtl/>
          <w:lang w:val="en-GB"/>
        </w:rPr>
      </w:pPr>
      <w:r w:rsidRPr="00CC7BA5">
        <w:rPr>
          <w:rFonts w:ascii="Traditional Arabic" w:hAnsi="Traditional Arabic" w:cs="Traditional Arabic"/>
          <w:b/>
          <w:sz w:val="30"/>
          <w:szCs w:val="30"/>
          <w:rtl/>
          <w:lang w:val="en-GB"/>
        </w:rPr>
        <w:t xml:space="preserve">ويتعين على المستثمرين أيضا ألا يعتبروا هذه النشرة بمثابة توصية من الشركة لشراء أسهمها المطروحة للاكتتاب، </w:t>
      </w:r>
      <w:r w:rsidR="008805B1">
        <w:rPr>
          <w:rFonts w:ascii="Traditional Arabic" w:hAnsi="Traditional Arabic" w:cs="Traditional Arabic" w:hint="cs"/>
          <w:b/>
          <w:sz w:val="30"/>
          <w:szCs w:val="30"/>
          <w:rtl/>
          <w:lang w:val="en-GB"/>
        </w:rPr>
        <w:t>بل</w:t>
      </w:r>
      <w:r w:rsidRPr="00CC7BA5">
        <w:rPr>
          <w:rFonts w:ascii="Traditional Arabic" w:hAnsi="Traditional Arabic" w:cs="Traditional Arabic"/>
          <w:b/>
          <w:sz w:val="30"/>
          <w:szCs w:val="30"/>
          <w:rtl/>
          <w:lang w:val="en-GB"/>
        </w:rPr>
        <w:t xml:space="preserve"> يتحمل كل مستثمر مسؤولية الحصول على ما يحتاج إليه من نصائح مهنية مستقلة عن الاستثمار في الأسهم المطروحة للاكتتاب وعن إجراء تقييم مستقل للمعلومات والافتراضات التي تحتوي عليها هذه النشرة باستخدام التحليل والتوقعات التي يراها مناسبة في اتخاذ أي قرار بشأن الاستثمار في الأسهم المطروحة من عدمه. إن الاستثمار في الأسهم ينطوي على مخاطر السوق المختلفة، وقيمة الورقة المالية قد تنخفض أو تزيد بناء على أحوال السوق</w:t>
      </w:r>
      <w:r w:rsidR="008805B1">
        <w:rPr>
          <w:rFonts w:ascii="Traditional Arabic" w:hAnsi="Traditional Arabic" w:cs="Traditional Arabic" w:hint="cs"/>
          <w:b/>
          <w:sz w:val="30"/>
          <w:szCs w:val="30"/>
          <w:rtl/>
          <w:lang w:val="en-GB"/>
        </w:rPr>
        <w:t xml:space="preserve">، </w:t>
      </w:r>
      <w:r w:rsidRPr="00CC7BA5">
        <w:rPr>
          <w:rFonts w:ascii="Traditional Arabic" w:hAnsi="Traditional Arabic" w:cs="Traditional Arabic"/>
          <w:b/>
          <w:sz w:val="30"/>
          <w:szCs w:val="30"/>
          <w:rtl/>
          <w:lang w:val="en-GB"/>
        </w:rPr>
        <w:t>ولذا يجب على المستثمرين الاطلاع على الفصل الرابع من هذه النشرة</w:t>
      </w:r>
      <w:r w:rsidR="0030744B">
        <w:rPr>
          <w:rFonts w:ascii="Traditional Arabic" w:hAnsi="Traditional Arabic" w:cs="Traditional Arabic" w:hint="cs"/>
          <w:b/>
          <w:sz w:val="30"/>
          <w:szCs w:val="30"/>
          <w:rtl/>
          <w:lang w:val="en-GB"/>
        </w:rPr>
        <w:t xml:space="preserve"> </w:t>
      </w:r>
      <w:r w:rsidR="0030744B">
        <w:rPr>
          <w:rFonts w:ascii="Traditional Arabic" w:hAnsi="Traditional Arabic" w:cs="Traditional Arabic" w:hint="cs"/>
          <w:b/>
          <w:sz w:val="30"/>
          <w:szCs w:val="30"/>
          <w:rtl/>
          <w:lang w:val="en-GB"/>
        </w:rPr>
        <w:lastRenderedPageBreak/>
        <w:t xml:space="preserve">بعنوان "عوامل المخاطرة"، لمزيد من المعلومات عن عوامل المخاطرة الأساسية التي </w:t>
      </w:r>
      <w:r w:rsidR="00575FB0">
        <w:rPr>
          <w:rFonts w:ascii="Traditional Arabic" w:hAnsi="Traditional Arabic" w:cs="Traditional Arabic" w:hint="cs"/>
          <w:b/>
          <w:sz w:val="30"/>
          <w:szCs w:val="30"/>
          <w:rtl/>
          <w:lang w:val="en-GB"/>
        </w:rPr>
        <w:t>قد تؤثر في أعمال الشركة وفي القطاع الذي تعمل فيه</w:t>
      </w:r>
      <w:r w:rsidRPr="00CC7BA5">
        <w:rPr>
          <w:rFonts w:ascii="Traditional Arabic" w:hAnsi="Traditional Arabic" w:cs="Traditional Arabic"/>
          <w:b/>
          <w:sz w:val="30"/>
          <w:szCs w:val="30"/>
          <w:rtl/>
          <w:lang w:val="en-GB"/>
        </w:rPr>
        <w:t>.</w:t>
      </w:r>
    </w:p>
    <w:p w14:paraId="3ECB69D2" w14:textId="77777777" w:rsidR="00126384" w:rsidRDefault="00126384" w:rsidP="00126384">
      <w:pPr>
        <w:keepNext/>
        <w:bidi/>
        <w:jc w:val="both"/>
        <w:rPr>
          <w:rFonts w:ascii="Traditional Arabic" w:hAnsi="Traditional Arabic" w:cs="Traditional Arabic"/>
          <w:b/>
          <w:sz w:val="30"/>
          <w:szCs w:val="30"/>
          <w:rtl/>
          <w:lang w:val="en-GB"/>
        </w:rPr>
      </w:pPr>
    </w:p>
    <w:p w14:paraId="1CA78644" w14:textId="754E0C88" w:rsidR="00077F49" w:rsidRPr="00EB5BCF" w:rsidRDefault="00077F49" w:rsidP="00126384">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فينبغي على المستثمر الذي يرغب في الاستثمار في الأسهم أن يعتمد على تحليله للشركة و</w:t>
      </w:r>
      <w:r w:rsidR="005B56B8" w:rsidRPr="00EB5BCF">
        <w:rPr>
          <w:rFonts w:ascii="Traditional Arabic" w:hAnsi="Traditional Arabic" w:cs="Traditional Arabic"/>
          <w:b/>
          <w:sz w:val="30"/>
          <w:szCs w:val="30"/>
          <w:rtl/>
          <w:lang w:val="en-GB"/>
        </w:rPr>
        <w:t>معرفته</w:t>
      </w:r>
      <w:r w:rsidRPr="00EB5BCF">
        <w:rPr>
          <w:rFonts w:ascii="Traditional Arabic" w:hAnsi="Traditional Arabic" w:cs="Traditional Arabic"/>
          <w:b/>
          <w:sz w:val="30"/>
          <w:szCs w:val="30"/>
          <w:rtl/>
          <w:lang w:val="en-GB"/>
        </w:rPr>
        <w:t xml:space="preserve"> </w:t>
      </w:r>
      <w:r w:rsidR="005B56B8" w:rsidRPr="00EB5BCF">
        <w:rPr>
          <w:rFonts w:ascii="Traditional Arabic" w:hAnsi="Traditional Arabic" w:cs="Traditional Arabic"/>
          <w:b/>
          <w:sz w:val="30"/>
          <w:szCs w:val="30"/>
          <w:rtl/>
          <w:lang w:val="en-GB"/>
        </w:rPr>
        <w:t>ب</w:t>
      </w:r>
      <w:r w:rsidRPr="00EB5BCF">
        <w:rPr>
          <w:rFonts w:ascii="Traditional Arabic" w:hAnsi="Traditional Arabic" w:cs="Traditional Arabic"/>
          <w:b/>
          <w:sz w:val="30"/>
          <w:szCs w:val="30"/>
          <w:rtl/>
          <w:lang w:val="en-GB"/>
        </w:rPr>
        <w:t xml:space="preserve">شروط الطرح وتقييم المخاطر التي ينطوي عليها الاستثمار. ويقر المستثمر: (1) بأنه لم يعتمد على </w:t>
      </w:r>
      <w:r w:rsidR="00745D4B">
        <w:rPr>
          <w:rFonts w:ascii="Traditional Arabic" w:hAnsi="Traditional Arabic" w:cs="Traditional Arabic" w:hint="cs"/>
          <w:b/>
          <w:sz w:val="30"/>
          <w:szCs w:val="30"/>
          <w:rtl/>
          <w:lang w:bidi="ar-EG"/>
        </w:rPr>
        <w:t>مدير سجل الاكتتاب</w:t>
      </w:r>
      <w:r w:rsidR="00D63DA9">
        <w:rPr>
          <w:rFonts w:ascii="Traditional Arabic" w:hAnsi="Traditional Arabic" w:cs="Traditional Arabic"/>
          <w:b/>
          <w:sz w:val="30"/>
          <w:szCs w:val="30"/>
          <w:rtl/>
          <w:lang w:val="en-GB"/>
        </w:rPr>
        <w:t xml:space="preserve"> </w:t>
      </w:r>
      <w:r w:rsidR="00B97F11">
        <w:rPr>
          <w:rFonts w:ascii="Traditional Arabic" w:hAnsi="Traditional Arabic" w:cs="Traditional Arabic" w:hint="cs"/>
          <w:b/>
          <w:sz w:val="30"/>
          <w:szCs w:val="30"/>
          <w:rtl/>
          <w:lang w:val="en-GB"/>
        </w:rPr>
        <w:t>المشترك</w:t>
      </w:r>
      <w:r w:rsidR="00B97F11" w:rsidRPr="00EB5BCF">
        <w:rPr>
          <w:rFonts w:ascii="Traditional Arabic" w:hAnsi="Traditional Arabic" w:cs="Traditional Arabic" w:hint="cs"/>
          <w:b/>
          <w:sz w:val="30"/>
          <w:szCs w:val="30"/>
          <w:rtl/>
          <w:lang w:val="en-GB"/>
        </w:rPr>
        <w:t xml:space="preserve"> ولا</w:t>
      </w:r>
      <w:r w:rsidR="00B1015D">
        <w:rPr>
          <w:rFonts w:ascii="Traditional Arabic" w:hAnsi="Traditional Arabic" w:cs="Traditional Arabic" w:hint="cs"/>
          <w:b/>
          <w:sz w:val="30"/>
          <w:szCs w:val="30"/>
          <w:rtl/>
          <w:lang w:val="en-GB"/>
        </w:rPr>
        <w:t xml:space="preserve"> مدير الإصدار ولا</w:t>
      </w:r>
      <w:r w:rsidR="00A062F2" w:rsidRPr="00EB5BCF">
        <w:rPr>
          <w:rFonts w:ascii="Traditional Arabic" w:hAnsi="Traditional Arabic" w:cs="Traditional Arabic"/>
          <w:b/>
          <w:sz w:val="30"/>
          <w:szCs w:val="30"/>
          <w:rtl/>
          <w:lang w:val="en-GB"/>
        </w:rPr>
        <w:t xml:space="preserve"> على </w:t>
      </w:r>
      <w:r w:rsidR="00A062F2" w:rsidRPr="00EB5BCF">
        <w:rPr>
          <w:rFonts w:ascii="Traditional Arabic" w:hAnsi="Traditional Arabic" w:cs="Traditional Arabic" w:hint="eastAsia"/>
          <w:b/>
          <w:sz w:val="30"/>
          <w:szCs w:val="30"/>
          <w:rtl/>
          <w:lang w:bidi="ar-EG"/>
        </w:rPr>
        <w:t>وكلاء</w:t>
      </w:r>
      <w:r w:rsidR="00A062F2" w:rsidRPr="00EB5BCF">
        <w:rPr>
          <w:rFonts w:ascii="Traditional Arabic" w:hAnsi="Traditional Arabic" w:cs="Traditional Arabic"/>
          <w:b/>
          <w:sz w:val="30"/>
          <w:szCs w:val="30"/>
          <w:rtl/>
          <w:lang w:bidi="ar-EG"/>
        </w:rPr>
        <w:t xml:space="preserve"> </w:t>
      </w:r>
      <w:r w:rsidR="00A062F2" w:rsidRPr="00EB5BCF">
        <w:rPr>
          <w:rFonts w:ascii="Traditional Arabic" w:hAnsi="Traditional Arabic" w:cs="Traditional Arabic" w:hint="eastAsia"/>
          <w:b/>
          <w:sz w:val="30"/>
          <w:szCs w:val="30"/>
          <w:rtl/>
          <w:lang w:bidi="ar-EG"/>
        </w:rPr>
        <w:t>التحصيل</w:t>
      </w:r>
      <w:r w:rsidR="00A062F2"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ولا على أي من الأشخاص التابعين له</w:t>
      </w:r>
      <w:r w:rsidR="00A062F2" w:rsidRPr="00EB5BCF">
        <w:rPr>
          <w:rFonts w:ascii="Traditional Arabic" w:hAnsi="Traditional Arabic" w:cs="Traditional Arabic" w:hint="eastAsia"/>
          <w:b/>
          <w:sz w:val="30"/>
          <w:szCs w:val="30"/>
          <w:rtl/>
          <w:lang w:val="en-GB"/>
        </w:rPr>
        <w:t>م</w:t>
      </w:r>
      <w:r w:rsidRPr="00EB5BCF">
        <w:rPr>
          <w:rFonts w:ascii="Traditional Arabic" w:hAnsi="Traditional Arabic" w:cs="Traditional Arabic"/>
          <w:b/>
          <w:sz w:val="30"/>
          <w:szCs w:val="30"/>
          <w:rtl/>
          <w:lang w:val="en-GB"/>
        </w:rPr>
        <w:t xml:space="preserve"> في التحقق من صحة المعلومات الواردة في هذه النشرة ولا على قراره بالاستثمار. (2) بأنه اعتمد على المعلومات الموضحة في هذه النشرة</w:t>
      </w:r>
      <w:r w:rsidR="00191C74">
        <w:rPr>
          <w:rFonts w:ascii="Traditional Arabic" w:hAnsi="Traditional Arabic" w:cs="Traditional Arabic" w:hint="cs"/>
          <w:b/>
          <w:sz w:val="30"/>
          <w:szCs w:val="30"/>
          <w:rtl/>
          <w:lang w:val="en-GB"/>
        </w:rPr>
        <w:t>، وعلى بيان التسعير (بحسب تعريفه)</w:t>
      </w:r>
      <w:r w:rsidRPr="00EB5BCF">
        <w:rPr>
          <w:rFonts w:ascii="Traditional Arabic" w:hAnsi="Traditional Arabic" w:cs="Traditional Arabic"/>
          <w:b/>
          <w:sz w:val="30"/>
          <w:szCs w:val="30"/>
          <w:rtl/>
          <w:lang w:val="en-GB"/>
        </w:rPr>
        <w:t xml:space="preserve">. (3) لم يتم تفويض أي شخص في الإدلاء بأية معلومات ولا التصريح بإقرارات تتعلق بالشركة </w:t>
      </w:r>
      <w:r w:rsidR="00191C74">
        <w:rPr>
          <w:rFonts w:ascii="Traditional Arabic" w:hAnsi="Traditional Arabic" w:cs="Traditional Arabic" w:hint="cs"/>
          <w:b/>
          <w:sz w:val="30"/>
          <w:szCs w:val="30"/>
          <w:rtl/>
          <w:lang w:val="en-GB"/>
        </w:rPr>
        <w:t xml:space="preserve">أو الشركات التابعة لها </w:t>
      </w:r>
      <w:r w:rsidRPr="00EB5BCF">
        <w:rPr>
          <w:rFonts w:ascii="Traditional Arabic" w:hAnsi="Traditional Arabic" w:cs="Traditional Arabic"/>
          <w:b/>
          <w:sz w:val="30"/>
          <w:szCs w:val="30"/>
          <w:rtl/>
          <w:lang w:val="en-GB"/>
        </w:rPr>
        <w:t xml:space="preserve">أو الأسهم بخلاف ما هو مذكور في هذه النشرة، وإن كانت، فلا يجب الاعتماد عليها على أنه إدلاء أو تصريح من قبل الشركة أو </w:t>
      </w:r>
      <w:r w:rsidR="000861C6">
        <w:rPr>
          <w:rFonts w:ascii="Traditional Arabic" w:hAnsi="Traditional Arabic" w:cs="Traditional Arabic"/>
          <w:b/>
          <w:sz w:val="30"/>
          <w:szCs w:val="30"/>
          <w:rtl/>
          <w:lang w:val="en-GB"/>
        </w:rPr>
        <w:t>المساهم البائع</w:t>
      </w:r>
      <w:r w:rsidRPr="00EB5BCF">
        <w:rPr>
          <w:rFonts w:ascii="Traditional Arabic" w:hAnsi="Traditional Arabic" w:cs="Traditional Arabic"/>
          <w:b/>
          <w:sz w:val="30"/>
          <w:szCs w:val="30"/>
          <w:rtl/>
          <w:lang w:val="en-GB"/>
        </w:rPr>
        <w:t xml:space="preserve"> أو </w:t>
      </w:r>
      <w:r w:rsidR="00745D4B">
        <w:rPr>
          <w:rFonts w:ascii="Traditional Arabic" w:hAnsi="Traditional Arabic" w:cs="Traditional Arabic" w:hint="cs"/>
          <w:b/>
          <w:sz w:val="30"/>
          <w:szCs w:val="30"/>
          <w:rtl/>
          <w:lang w:bidi="ar-EG"/>
        </w:rPr>
        <w:t>مدير سجل الاكتتاب</w:t>
      </w:r>
      <w:r w:rsidR="00D63DA9">
        <w:rPr>
          <w:rFonts w:ascii="Traditional Arabic" w:hAnsi="Traditional Arabic" w:cs="Traditional Arabic"/>
          <w:b/>
          <w:sz w:val="30"/>
          <w:szCs w:val="30"/>
          <w:rtl/>
          <w:lang w:val="en-GB"/>
        </w:rPr>
        <w:t xml:space="preserve"> المشترك</w:t>
      </w:r>
      <w:r w:rsidR="00A062F2" w:rsidRPr="00EB5BCF">
        <w:rPr>
          <w:rFonts w:ascii="Traditional Arabic" w:hAnsi="Traditional Arabic" w:cs="Traditional Arabic"/>
          <w:b/>
          <w:sz w:val="30"/>
          <w:szCs w:val="30"/>
          <w:rtl/>
          <w:lang w:val="en-GB"/>
        </w:rPr>
        <w:t xml:space="preserve"> أو </w:t>
      </w:r>
      <w:r w:rsidR="00C90710">
        <w:rPr>
          <w:rFonts w:ascii="Traditional Arabic" w:hAnsi="Traditional Arabic" w:cs="Traditional Arabic" w:hint="cs"/>
          <w:b/>
          <w:sz w:val="30"/>
          <w:szCs w:val="30"/>
          <w:rtl/>
          <w:lang w:val="en-GB" w:bidi="ar-EG"/>
        </w:rPr>
        <w:t>مدير الإصدار</w:t>
      </w:r>
      <w:r w:rsidR="00C90710" w:rsidRPr="00EB5BCF">
        <w:rPr>
          <w:rFonts w:ascii="Traditional Arabic" w:hAnsi="Traditional Arabic" w:cs="Traditional Arabic" w:hint="eastAsia"/>
          <w:b/>
          <w:sz w:val="30"/>
          <w:szCs w:val="30"/>
          <w:rtl/>
          <w:lang w:bidi="ar-EG"/>
        </w:rPr>
        <w:t xml:space="preserve"> </w:t>
      </w:r>
      <w:r w:rsidR="00C90710">
        <w:rPr>
          <w:rFonts w:ascii="Traditional Arabic" w:hAnsi="Traditional Arabic" w:cs="Traditional Arabic" w:hint="cs"/>
          <w:b/>
          <w:sz w:val="30"/>
          <w:szCs w:val="30"/>
          <w:rtl/>
        </w:rPr>
        <w:t xml:space="preserve">أو </w:t>
      </w:r>
      <w:r w:rsidR="00A062F2" w:rsidRPr="00EB5BCF">
        <w:rPr>
          <w:rFonts w:ascii="Traditional Arabic" w:hAnsi="Traditional Arabic" w:cs="Traditional Arabic" w:hint="eastAsia"/>
          <w:b/>
          <w:sz w:val="30"/>
          <w:szCs w:val="30"/>
          <w:rtl/>
          <w:lang w:bidi="ar-EG"/>
        </w:rPr>
        <w:t>وكلاء</w:t>
      </w:r>
      <w:r w:rsidR="00A062F2" w:rsidRPr="00EB5BCF">
        <w:rPr>
          <w:rFonts w:ascii="Traditional Arabic" w:hAnsi="Traditional Arabic" w:cs="Traditional Arabic"/>
          <w:b/>
          <w:sz w:val="30"/>
          <w:szCs w:val="30"/>
          <w:rtl/>
          <w:lang w:bidi="ar-EG"/>
        </w:rPr>
        <w:t xml:space="preserve"> </w:t>
      </w:r>
      <w:r w:rsidR="00A062F2" w:rsidRPr="00EB5BCF">
        <w:rPr>
          <w:rFonts w:ascii="Traditional Arabic" w:hAnsi="Traditional Arabic" w:cs="Traditional Arabic" w:hint="eastAsia"/>
          <w:b/>
          <w:sz w:val="30"/>
          <w:szCs w:val="30"/>
          <w:rtl/>
          <w:lang w:bidi="ar-EG"/>
        </w:rPr>
        <w:t>التحصيل</w:t>
      </w:r>
      <w:r w:rsidRPr="00EB5BCF">
        <w:rPr>
          <w:rFonts w:ascii="Traditional Arabic" w:hAnsi="Traditional Arabic" w:cs="Traditional Arabic"/>
          <w:b/>
          <w:sz w:val="30"/>
          <w:szCs w:val="30"/>
          <w:rtl/>
          <w:lang w:val="en-GB"/>
        </w:rPr>
        <w:t>. ولا يُفهم من استلام هذه النشرة ولا الاكتتاب فيها ولا البيع الذي تم بموجبها – بأي حال من الأحوال – أن أحوال الشركة لم يعتريها التغيير ولا أن المعلومات التي تحويها لاتزال صحيحة في أي وقت لاحق على صدورها.</w:t>
      </w:r>
    </w:p>
    <w:p w14:paraId="61D6A489" w14:textId="77777777" w:rsidR="00077F49" w:rsidRPr="00EB5BCF" w:rsidRDefault="00077F49" w:rsidP="00077F49">
      <w:pPr>
        <w:keepNext/>
        <w:bidi/>
        <w:jc w:val="both"/>
        <w:rPr>
          <w:rFonts w:ascii="Traditional Arabic" w:hAnsi="Traditional Arabic" w:cs="Traditional Arabic"/>
          <w:b/>
          <w:sz w:val="30"/>
          <w:szCs w:val="30"/>
          <w:rtl/>
          <w:lang w:val="en-GB"/>
        </w:rPr>
      </w:pPr>
    </w:p>
    <w:p w14:paraId="027300B4" w14:textId="77777777" w:rsidR="00077F49" w:rsidRPr="00EB5BCF" w:rsidRDefault="00077F49" w:rsidP="00077F49">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لم يصدر </w:t>
      </w:r>
      <w:r w:rsidR="005838C8">
        <w:rPr>
          <w:rFonts w:ascii="Traditional Arabic" w:hAnsi="Traditional Arabic" w:cs="Traditional Arabic" w:hint="cs"/>
          <w:b/>
          <w:sz w:val="30"/>
          <w:szCs w:val="30"/>
          <w:rtl/>
          <w:lang w:val="en-GB"/>
        </w:rPr>
        <w:t>عن</w:t>
      </w:r>
      <w:r w:rsidRPr="00EB5BCF">
        <w:rPr>
          <w:rFonts w:ascii="Traditional Arabic" w:hAnsi="Traditional Arabic" w:cs="Traditional Arabic"/>
          <w:b/>
          <w:sz w:val="30"/>
          <w:szCs w:val="30"/>
          <w:rtl/>
          <w:lang w:val="en-GB"/>
        </w:rPr>
        <w:t xml:space="preserve"> الشركة أو </w:t>
      </w:r>
      <w:r w:rsidR="000861C6">
        <w:rPr>
          <w:rFonts w:ascii="Traditional Arabic" w:hAnsi="Traditional Arabic" w:cs="Traditional Arabic"/>
          <w:b/>
          <w:sz w:val="30"/>
          <w:szCs w:val="30"/>
          <w:rtl/>
          <w:lang w:val="en-GB"/>
        </w:rPr>
        <w:t>المساهم البائع</w:t>
      </w:r>
      <w:r w:rsidRPr="00EB5BCF">
        <w:rPr>
          <w:rFonts w:ascii="Traditional Arabic" w:hAnsi="Traditional Arabic" w:cs="Traditional Arabic"/>
          <w:b/>
          <w:sz w:val="30"/>
          <w:szCs w:val="30"/>
          <w:rtl/>
          <w:lang w:val="en-GB"/>
        </w:rPr>
        <w:t xml:space="preserve"> أو </w:t>
      </w:r>
      <w:r w:rsidR="00745D4B">
        <w:rPr>
          <w:rFonts w:ascii="Traditional Arabic" w:hAnsi="Traditional Arabic" w:cs="Traditional Arabic" w:hint="cs"/>
          <w:b/>
          <w:sz w:val="30"/>
          <w:szCs w:val="30"/>
          <w:rtl/>
          <w:lang w:bidi="ar-EG"/>
        </w:rPr>
        <w:t>مدير سجل الاكتتاب</w:t>
      </w:r>
      <w:r w:rsidR="00ED5608" w:rsidDel="00ED5608">
        <w:rPr>
          <w:rFonts w:ascii="Traditional Arabic" w:hAnsi="Traditional Arabic" w:cs="Traditional Arabic"/>
          <w:b/>
          <w:sz w:val="30"/>
          <w:szCs w:val="30"/>
          <w:rtl/>
          <w:lang w:val="en-GB"/>
        </w:rPr>
        <w:t xml:space="preserve"> </w:t>
      </w:r>
      <w:r w:rsidR="00D63DA9">
        <w:rPr>
          <w:rFonts w:ascii="Traditional Arabic" w:hAnsi="Traditional Arabic" w:cs="Traditional Arabic"/>
          <w:b/>
          <w:sz w:val="30"/>
          <w:szCs w:val="30"/>
          <w:rtl/>
          <w:lang w:val="en-GB"/>
        </w:rPr>
        <w:t>المشترك</w:t>
      </w:r>
      <w:r w:rsidRPr="00EB5BCF">
        <w:rPr>
          <w:rFonts w:ascii="Traditional Arabic" w:hAnsi="Traditional Arabic" w:cs="Traditional Arabic"/>
          <w:b/>
          <w:sz w:val="30"/>
          <w:szCs w:val="30"/>
          <w:rtl/>
          <w:lang w:val="en-GB"/>
        </w:rPr>
        <w:t xml:space="preserve"> </w:t>
      </w:r>
      <w:r w:rsidR="00A062F2" w:rsidRPr="00EB5BCF">
        <w:rPr>
          <w:rFonts w:ascii="Traditional Arabic" w:hAnsi="Traditional Arabic" w:cs="Traditional Arabic" w:hint="eastAsia"/>
          <w:b/>
          <w:sz w:val="30"/>
          <w:szCs w:val="30"/>
          <w:rtl/>
          <w:lang w:val="en-GB"/>
        </w:rPr>
        <w:t>أو</w:t>
      </w:r>
      <w:r w:rsidR="00DB74F0">
        <w:rPr>
          <w:rFonts w:ascii="Traditional Arabic" w:hAnsi="Traditional Arabic" w:cs="Traditional Arabic" w:hint="cs"/>
          <w:b/>
          <w:sz w:val="30"/>
          <w:szCs w:val="30"/>
          <w:rtl/>
          <w:lang w:val="en-GB"/>
        </w:rPr>
        <w:t xml:space="preserve"> مدير الإصدار أو</w:t>
      </w:r>
      <w:r w:rsidR="00A062F2" w:rsidRPr="00EB5BCF">
        <w:rPr>
          <w:rFonts w:ascii="Traditional Arabic" w:hAnsi="Traditional Arabic" w:cs="Traditional Arabic"/>
          <w:b/>
          <w:sz w:val="30"/>
          <w:szCs w:val="30"/>
          <w:rtl/>
          <w:lang w:val="en-GB"/>
        </w:rPr>
        <w:t xml:space="preserve"> </w:t>
      </w:r>
      <w:r w:rsidR="00A062F2" w:rsidRPr="00EB5BCF">
        <w:rPr>
          <w:rFonts w:ascii="Traditional Arabic" w:hAnsi="Traditional Arabic" w:cs="Traditional Arabic" w:hint="eastAsia"/>
          <w:b/>
          <w:sz w:val="30"/>
          <w:szCs w:val="30"/>
          <w:rtl/>
          <w:lang w:bidi="ar-EG"/>
        </w:rPr>
        <w:t>وكلاء</w:t>
      </w:r>
      <w:r w:rsidR="00A062F2" w:rsidRPr="00EB5BCF">
        <w:rPr>
          <w:rFonts w:ascii="Traditional Arabic" w:hAnsi="Traditional Arabic" w:cs="Traditional Arabic"/>
          <w:b/>
          <w:sz w:val="30"/>
          <w:szCs w:val="30"/>
          <w:rtl/>
          <w:lang w:bidi="ar-EG"/>
        </w:rPr>
        <w:t xml:space="preserve"> </w:t>
      </w:r>
      <w:r w:rsidR="00A062F2" w:rsidRPr="00EB5BCF">
        <w:rPr>
          <w:rFonts w:ascii="Traditional Arabic" w:hAnsi="Traditional Arabic" w:cs="Traditional Arabic" w:hint="eastAsia"/>
          <w:b/>
          <w:sz w:val="30"/>
          <w:szCs w:val="30"/>
          <w:rtl/>
          <w:lang w:bidi="ar-EG"/>
        </w:rPr>
        <w:t>التحصيل</w:t>
      </w:r>
      <w:r w:rsidR="00A062F2"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 xml:space="preserve">أو من أي شخص يمثلهم أي إقرار لأي مستثمر في الأسهم بخصوص قانونية استثماره في الأسهم </w:t>
      </w:r>
      <w:r w:rsidR="00BC120C" w:rsidRPr="00EB5BCF">
        <w:rPr>
          <w:rFonts w:ascii="Traditional Arabic" w:hAnsi="Traditional Arabic" w:cs="Traditional Arabic"/>
          <w:b/>
          <w:sz w:val="30"/>
          <w:szCs w:val="30"/>
          <w:rtl/>
          <w:lang w:val="en-GB"/>
        </w:rPr>
        <w:t>طبقا للقوانين</w:t>
      </w:r>
      <w:r w:rsidRPr="00EB5BCF">
        <w:rPr>
          <w:rFonts w:ascii="Traditional Arabic" w:hAnsi="Traditional Arabic" w:cs="Traditional Arabic"/>
          <w:b/>
          <w:sz w:val="30"/>
          <w:szCs w:val="30"/>
          <w:rtl/>
          <w:lang w:val="en-GB"/>
        </w:rPr>
        <w:t xml:space="preserve"> </w:t>
      </w:r>
      <w:r w:rsidR="00BC120C" w:rsidRPr="00EB5BCF">
        <w:rPr>
          <w:rFonts w:ascii="Traditional Arabic" w:hAnsi="Traditional Arabic" w:cs="Traditional Arabic"/>
          <w:b/>
          <w:sz w:val="30"/>
          <w:szCs w:val="30"/>
          <w:rtl/>
          <w:lang w:val="en-GB"/>
        </w:rPr>
        <w:t>التي تسري</w:t>
      </w:r>
      <w:r w:rsidRPr="00EB5BCF">
        <w:rPr>
          <w:rFonts w:ascii="Traditional Arabic" w:hAnsi="Traditional Arabic" w:cs="Traditional Arabic"/>
          <w:b/>
          <w:sz w:val="30"/>
          <w:szCs w:val="30"/>
          <w:rtl/>
          <w:lang w:val="en-GB"/>
        </w:rPr>
        <w:t xml:space="preserve"> عليه. ولا يُفهم من هذه النشرة على أن بها توجيهات قانونية أو مالية أو ضريبية، وعلى المستثمر أن يتشاور مع مستشاره القانوني أو مستشاره الخاص بالأعمال أو م</w:t>
      </w:r>
      <w:r w:rsidR="00715138" w:rsidRPr="00EB5BCF">
        <w:rPr>
          <w:rFonts w:ascii="Traditional Arabic" w:hAnsi="Traditional Arabic" w:cs="Traditional Arabic"/>
          <w:b/>
          <w:sz w:val="30"/>
          <w:szCs w:val="30"/>
          <w:rtl/>
          <w:lang w:val="en-GB"/>
        </w:rPr>
        <w:t>س</w:t>
      </w:r>
      <w:r w:rsidRPr="00EB5BCF">
        <w:rPr>
          <w:rFonts w:ascii="Traditional Arabic" w:hAnsi="Traditional Arabic" w:cs="Traditional Arabic"/>
          <w:b/>
          <w:sz w:val="30"/>
          <w:szCs w:val="30"/>
          <w:rtl/>
          <w:lang w:val="en-GB"/>
        </w:rPr>
        <w:t>تشاره المالي أو الضريبي في كل ما يتعلق بالأمور القانونية أو الأعمال أو المالية أو الضريبية التي تخص استثماره في الأسهم.</w:t>
      </w:r>
    </w:p>
    <w:p w14:paraId="10EEA035" w14:textId="77777777" w:rsidR="00077F49" w:rsidRPr="00EB5BCF" w:rsidRDefault="00077F49" w:rsidP="00077F49">
      <w:pPr>
        <w:keepNext/>
        <w:bidi/>
        <w:jc w:val="both"/>
        <w:rPr>
          <w:rFonts w:ascii="Traditional Arabic" w:hAnsi="Traditional Arabic" w:cs="Traditional Arabic"/>
          <w:b/>
          <w:sz w:val="30"/>
          <w:szCs w:val="30"/>
          <w:rtl/>
          <w:lang w:val="en-GB"/>
        </w:rPr>
      </w:pPr>
    </w:p>
    <w:p w14:paraId="2D84C82E" w14:textId="77777777" w:rsidR="00077F49" w:rsidRPr="00EB5BCF" w:rsidRDefault="00077F49" w:rsidP="00077F49">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لا تتحمل الشركة ولا </w:t>
      </w:r>
      <w:r w:rsidR="000861C6">
        <w:rPr>
          <w:rFonts w:ascii="Traditional Arabic" w:hAnsi="Traditional Arabic" w:cs="Traditional Arabic"/>
          <w:b/>
          <w:sz w:val="30"/>
          <w:szCs w:val="30"/>
          <w:rtl/>
          <w:lang w:val="en-GB"/>
        </w:rPr>
        <w:t>المساهم البائع</w:t>
      </w:r>
      <w:r w:rsidRPr="00EB5BCF">
        <w:rPr>
          <w:rFonts w:ascii="Traditional Arabic" w:hAnsi="Traditional Arabic" w:cs="Traditional Arabic"/>
          <w:b/>
          <w:sz w:val="30"/>
          <w:szCs w:val="30"/>
          <w:rtl/>
          <w:lang w:val="en-GB"/>
        </w:rPr>
        <w:t xml:space="preserve"> ولا </w:t>
      </w:r>
      <w:r w:rsidR="00745D4B">
        <w:rPr>
          <w:rFonts w:ascii="Traditional Arabic" w:hAnsi="Traditional Arabic" w:cs="Traditional Arabic" w:hint="cs"/>
          <w:b/>
          <w:sz w:val="30"/>
          <w:szCs w:val="30"/>
          <w:rtl/>
          <w:lang w:bidi="ar-EG"/>
        </w:rPr>
        <w:t>مدير سجل الاكتتاب</w:t>
      </w:r>
      <w:r w:rsidR="00CE7804" w:rsidDel="00CE7804">
        <w:rPr>
          <w:rFonts w:ascii="Traditional Arabic" w:hAnsi="Traditional Arabic" w:cs="Traditional Arabic"/>
          <w:b/>
          <w:sz w:val="30"/>
          <w:szCs w:val="30"/>
          <w:rtl/>
          <w:lang w:val="en-GB"/>
        </w:rPr>
        <w:t xml:space="preserve"> </w:t>
      </w:r>
      <w:r w:rsidR="00D63DA9">
        <w:rPr>
          <w:rFonts w:ascii="Traditional Arabic" w:hAnsi="Traditional Arabic" w:cs="Traditional Arabic"/>
          <w:b/>
          <w:sz w:val="30"/>
          <w:szCs w:val="30"/>
          <w:rtl/>
          <w:lang w:val="en-GB"/>
        </w:rPr>
        <w:t>المشترك</w:t>
      </w:r>
      <w:r w:rsidRPr="00EB5BCF">
        <w:rPr>
          <w:rFonts w:ascii="Traditional Arabic" w:hAnsi="Traditional Arabic" w:cs="Traditional Arabic"/>
          <w:b/>
          <w:sz w:val="30"/>
          <w:szCs w:val="30"/>
          <w:rtl/>
          <w:lang w:val="en-GB"/>
        </w:rPr>
        <w:t xml:space="preserve"> </w:t>
      </w:r>
      <w:r w:rsidR="003279C9">
        <w:rPr>
          <w:rFonts w:ascii="Traditional Arabic" w:hAnsi="Traditional Arabic" w:cs="Traditional Arabic" w:hint="cs"/>
          <w:b/>
          <w:sz w:val="30"/>
          <w:szCs w:val="30"/>
          <w:rtl/>
          <w:lang w:val="en-GB"/>
        </w:rPr>
        <w:t xml:space="preserve">ولا مدير الإصدار </w:t>
      </w:r>
      <w:r w:rsidR="00A062F2" w:rsidRPr="00EB5BCF">
        <w:rPr>
          <w:rFonts w:ascii="Traditional Arabic" w:hAnsi="Traditional Arabic" w:cs="Traditional Arabic" w:hint="eastAsia"/>
          <w:b/>
          <w:sz w:val="30"/>
          <w:szCs w:val="30"/>
          <w:rtl/>
          <w:lang w:val="en-GB"/>
        </w:rPr>
        <w:t>ولا</w:t>
      </w:r>
      <w:r w:rsidR="00A062F2" w:rsidRPr="00EB5BCF">
        <w:rPr>
          <w:rFonts w:ascii="Traditional Arabic" w:hAnsi="Traditional Arabic" w:cs="Traditional Arabic"/>
          <w:b/>
          <w:sz w:val="30"/>
          <w:szCs w:val="30"/>
          <w:rtl/>
          <w:lang w:val="en-GB"/>
        </w:rPr>
        <w:t xml:space="preserve"> </w:t>
      </w:r>
      <w:r w:rsidR="00A062F2" w:rsidRPr="00EB5BCF">
        <w:rPr>
          <w:rFonts w:ascii="Traditional Arabic" w:hAnsi="Traditional Arabic" w:cs="Traditional Arabic" w:hint="eastAsia"/>
          <w:b/>
          <w:sz w:val="30"/>
          <w:szCs w:val="30"/>
          <w:rtl/>
          <w:lang w:bidi="ar-EG"/>
        </w:rPr>
        <w:t>وكلاء</w:t>
      </w:r>
      <w:r w:rsidR="00A062F2" w:rsidRPr="00EB5BCF">
        <w:rPr>
          <w:rFonts w:ascii="Traditional Arabic" w:hAnsi="Traditional Arabic" w:cs="Traditional Arabic"/>
          <w:b/>
          <w:sz w:val="30"/>
          <w:szCs w:val="30"/>
          <w:rtl/>
          <w:lang w:bidi="ar-EG"/>
        </w:rPr>
        <w:t xml:space="preserve"> </w:t>
      </w:r>
      <w:r w:rsidR="00A062F2" w:rsidRPr="00EB5BCF">
        <w:rPr>
          <w:rFonts w:ascii="Traditional Arabic" w:hAnsi="Traditional Arabic" w:cs="Traditional Arabic" w:hint="eastAsia"/>
          <w:b/>
          <w:sz w:val="30"/>
          <w:szCs w:val="30"/>
          <w:rtl/>
          <w:lang w:bidi="ar-EG"/>
        </w:rPr>
        <w:t>التحصيل</w:t>
      </w:r>
      <w:r w:rsidR="00A062F2"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أية مسؤولية عن صحة واكتمال المعلومات التي تنشرها الصحافة أو وسائل الإعلام الأخرى،</w:t>
      </w:r>
      <w:r w:rsidR="00BD378E" w:rsidRPr="00EB5BCF">
        <w:rPr>
          <w:rFonts w:ascii="Traditional Arabic" w:hAnsi="Traditional Arabic" w:cs="Traditional Arabic"/>
          <w:b/>
          <w:sz w:val="30"/>
          <w:szCs w:val="30"/>
          <w:rtl/>
          <w:lang w:val="en-GB"/>
        </w:rPr>
        <w:t xml:space="preserve"> ولا عن التحقق منها،</w:t>
      </w:r>
      <w:r w:rsidRPr="00EB5BCF">
        <w:rPr>
          <w:rFonts w:ascii="Traditional Arabic" w:hAnsi="Traditional Arabic" w:cs="Traditional Arabic"/>
          <w:b/>
          <w:sz w:val="30"/>
          <w:szCs w:val="30"/>
          <w:rtl/>
          <w:lang w:val="en-GB"/>
        </w:rPr>
        <w:t xml:space="preserve"> ولا عن احتمالية ومناسبة أية توقعات أو آراء أو وجهات نظر تسردها الصحافة أو وسائل الإعلام الأخرى بخصوص الطرح أو الشركة. ولم يصدر عن الشركة ولا </w:t>
      </w:r>
      <w:r w:rsidR="00743F5A">
        <w:rPr>
          <w:rFonts w:ascii="Traditional Arabic" w:hAnsi="Traditional Arabic" w:cs="Traditional Arabic"/>
          <w:b/>
          <w:sz w:val="30"/>
          <w:szCs w:val="30"/>
          <w:rtl/>
          <w:lang w:val="en-GB"/>
        </w:rPr>
        <w:t>المساهم البائع</w:t>
      </w:r>
      <w:r w:rsidRPr="00EB5BCF">
        <w:rPr>
          <w:rFonts w:ascii="Traditional Arabic" w:hAnsi="Traditional Arabic" w:cs="Traditional Arabic"/>
          <w:b/>
          <w:sz w:val="30"/>
          <w:szCs w:val="30"/>
          <w:rtl/>
          <w:lang w:val="en-GB"/>
        </w:rPr>
        <w:t xml:space="preserve"> ولا </w:t>
      </w:r>
      <w:r w:rsidR="00745D4B">
        <w:rPr>
          <w:rFonts w:ascii="Traditional Arabic" w:hAnsi="Traditional Arabic" w:cs="Traditional Arabic" w:hint="cs"/>
          <w:b/>
          <w:sz w:val="30"/>
          <w:szCs w:val="30"/>
          <w:rtl/>
          <w:lang w:bidi="ar-EG"/>
        </w:rPr>
        <w:t>مدير سجل الاكتتاب</w:t>
      </w:r>
      <w:r w:rsidR="000F01A9" w:rsidDel="000F01A9">
        <w:rPr>
          <w:rFonts w:ascii="Traditional Arabic" w:hAnsi="Traditional Arabic" w:cs="Traditional Arabic"/>
          <w:b/>
          <w:sz w:val="30"/>
          <w:szCs w:val="30"/>
          <w:rtl/>
          <w:lang w:val="en-GB"/>
        </w:rPr>
        <w:t xml:space="preserve"> </w:t>
      </w:r>
      <w:r w:rsidR="00D63DA9">
        <w:rPr>
          <w:rFonts w:ascii="Traditional Arabic" w:hAnsi="Traditional Arabic" w:cs="Traditional Arabic"/>
          <w:b/>
          <w:sz w:val="30"/>
          <w:szCs w:val="30"/>
          <w:rtl/>
          <w:lang w:val="en-GB"/>
        </w:rPr>
        <w:t>المشترك</w:t>
      </w:r>
      <w:r w:rsidRPr="00EB5BCF">
        <w:rPr>
          <w:rFonts w:ascii="Traditional Arabic" w:hAnsi="Traditional Arabic" w:cs="Traditional Arabic"/>
          <w:b/>
          <w:sz w:val="30"/>
          <w:szCs w:val="30"/>
          <w:rtl/>
          <w:lang w:val="en-GB"/>
        </w:rPr>
        <w:t xml:space="preserve"> </w:t>
      </w:r>
      <w:r w:rsidR="003279C9">
        <w:rPr>
          <w:rFonts w:ascii="Traditional Arabic" w:hAnsi="Traditional Arabic" w:cs="Traditional Arabic" w:hint="cs"/>
          <w:b/>
          <w:sz w:val="30"/>
          <w:szCs w:val="30"/>
          <w:rtl/>
          <w:lang w:val="en-GB"/>
        </w:rPr>
        <w:t xml:space="preserve">ولا مدير الإصدار </w:t>
      </w:r>
      <w:r w:rsidR="00A062F2" w:rsidRPr="00EB5BCF">
        <w:rPr>
          <w:rFonts w:ascii="Traditional Arabic" w:hAnsi="Traditional Arabic" w:cs="Traditional Arabic" w:hint="eastAsia"/>
          <w:b/>
          <w:sz w:val="30"/>
          <w:szCs w:val="30"/>
          <w:rtl/>
          <w:lang w:val="en-GB"/>
        </w:rPr>
        <w:t>ولا</w:t>
      </w:r>
      <w:r w:rsidR="00A062F2" w:rsidRPr="00EB5BCF">
        <w:rPr>
          <w:rFonts w:ascii="Traditional Arabic" w:hAnsi="Traditional Arabic" w:cs="Traditional Arabic"/>
          <w:b/>
          <w:sz w:val="30"/>
          <w:szCs w:val="30"/>
          <w:rtl/>
          <w:lang w:val="en-GB"/>
        </w:rPr>
        <w:t xml:space="preserve"> </w:t>
      </w:r>
      <w:r w:rsidR="00A062F2" w:rsidRPr="00EB5BCF">
        <w:rPr>
          <w:rFonts w:ascii="Traditional Arabic" w:hAnsi="Traditional Arabic" w:cs="Traditional Arabic" w:hint="eastAsia"/>
          <w:b/>
          <w:sz w:val="30"/>
          <w:szCs w:val="30"/>
          <w:rtl/>
          <w:lang w:bidi="ar-EG"/>
        </w:rPr>
        <w:t>وكلاء</w:t>
      </w:r>
      <w:r w:rsidR="00A062F2" w:rsidRPr="00EB5BCF">
        <w:rPr>
          <w:rFonts w:ascii="Traditional Arabic" w:hAnsi="Traditional Arabic" w:cs="Traditional Arabic"/>
          <w:b/>
          <w:sz w:val="30"/>
          <w:szCs w:val="30"/>
          <w:rtl/>
          <w:lang w:bidi="ar-EG"/>
        </w:rPr>
        <w:t xml:space="preserve"> </w:t>
      </w:r>
      <w:r w:rsidR="00A062F2" w:rsidRPr="00EB5BCF">
        <w:rPr>
          <w:rFonts w:ascii="Traditional Arabic" w:hAnsi="Traditional Arabic" w:cs="Traditional Arabic" w:hint="eastAsia"/>
          <w:b/>
          <w:sz w:val="30"/>
          <w:szCs w:val="30"/>
          <w:rtl/>
          <w:lang w:bidi="ar-EG"/>
        </w:rPr>
        <w:t>التحصيل</w:t>
      </w:r>
      <w:r w:rsidR="00A062F2"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 xml:space="preserve">أي إقرار عن مناسبة أو صحة أو اكتمال </w:t>
      </w:r>
      <w:r w:rsidR="006E50E5" w:rsidRPr="00EB5BCF">
        <w:rPr>
          <w:rFonts w:ascii="Traditional Arabic" w:hAnsi="Traditional Arabic" w:cs="Traditional Arabic"/>
          <w:b/>
          <w:sz w:val="30"/>
          <w:szCs w:val="30"/>
          <w:rtl/>
          <w:lang w:val="en-GB"/>
        </w:rPr>
        <w:t xml:space="preserve">أو معقولية </w:t>
      </w:r>
      <w:r w:rsidRPr="00EB5BCF">
        <w:rPr>
          <w:rFonts w:ascii="Traditional Arabic" w:hAnsi="Traditional Arabic" w:cs="Traditional Arabic"/>
          <w:b/>
          <w:sz w:val="30"/>
          <w:szCs w:val="30"/>
          <w:rtl/>
          <w:lang w:val="en-GB"/>
        </w:rPr>
        <w:t>أو موثوقية تلك المعلومات أو ما يتم نشره.</w:t>
      </w:r>
    </w:p>
    <w:p w14:paraId="5A005CA8" w14:textId="77777777" w:rsidR="00077F49" w:rsidRPr="00EB5BCF" w:rsidRDefault="00077F49" w:rsidP="00077F49">
      <w:pPr>
        <w:keepNext/>
        <w:bidi/>
        <w:jc w:val="both"/>
        <w:rPr>
          <w:rFonts w:ascii="Traditional Arabic" w:hAnsi="Traditional Arabic" w:cs="Traditional Arabic"/>
          <w:b/>
          <w:sz w:val="30"/>
          <w:szCs w:val="30"/>
          <w:rtl/>
          <w:lang w:val="en-GB"/>
        </w:rPr>
      </w:pPr>
    </w:p>
    <w:p w14:paraId="5AEF91F7" w14:textId="4E43BF42" w:rsidR="00AE6327" w:rsidRPr="00AD355E" w:rsidRDefault="00077F49" w:rsidP="00331BB9">
      <w:pPr>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تم تعيين </w:t>
      </w:r>
      <w:r w:rsidR="00783A58">
        <w:rPr>
          <w:rFonts w:ascii="Traditional Arabic" w:hAnsi="Traditional Arabic" w:cs="Traditional Arabic" w:hint="cs"/>
          <w:b/>
          <w:sz w:val="30"/>
          <w:szCs w:val="30"/>
          <w:rtl/>
          <w:lang w:val="en-GB" w:bidi="ar-EG"/>
        </w:rPr>
        <w:t xml:space="preserve">بنك الاستثمار العماني ش م ع م، وبنك صحار الدولي ش م ع ع </w:t>
      </w:r>
      <w:r w:rsidR="000D425A">
        <w:rPr>
          <w:rFonts w:ascii="Traditional Arabic" w:hAnsi="Traditional Arabic" w:cs="Traditional Arabic" w:hint="cs"/>
          <w:b/>
          <w:sz w:val="30"/>
          <w:szCs w:val="30"/>
          <w:rtl/>
          <w:lang w:val="en-GB" w:bidi="ar-EG"/>
        </w:rPr>
        <w:t xml:space="preserve">، وثلاث مؤسسات دولية </w:t>
      </w:r>
      <w:r w:rsidRPr="00EB5BCF">
        <w:rPr>
          <w:rFonts w:ascii="Traditional Arabic" w:hAnsi="Traditional Arabic" w:cs="Traditional Arabic"/>
          <w:b/>
          <w:sz w:val="30"/>
          <w:szCs w:val="30"/>
          <w:rtl/>
          <w:lang w:val="en-GB"/>
        </w:rPr>
        <w:t xml:space="preserve">باعتبارهم </w:t>
      </w:r>
      <w:r w:rsidR="00D63DA9">
        <w:rPr>
          <w:rFonts w:ascii="Traditional Arabic" w:hAnsi="Traditional Arabic" w:cs="Traditional Arabic"/>
          <w:b/>
          <w:sz w:val="30"/>
          <w:szCs w:val="30"/>
          <w:rtl/>
          <w:lang w:val="en-GB"/>
        </w:rPr>
        <w:t>المنسق العالمي المشترك</w:t>
      </w:r>
      <w:r w:rsidR="00F15096" w:rsidRPr="00EB5BCF">
        <w:rPr>
          <w:rFonts w:ascii="Traditional Arabic" w:hAnsi="Traditional Arabic" w:cs="Traditional Arabic" w:hint="eastAsia"/>
          <w:b/>
          <w:sz w:val="30"/>
          <w:szCs w:val="30"/>
          <w:rtl/>
          <w:lang w:val="en-GB"/>
        </w:rPr>
        <w:t>،</w:t>
      </w:r>
      <w:r w:rsidRPr="00EB5BCF">
        <w:rPr>
          <w:rFonts w:ascii="Traditional Arabic" w:hAnsi="Traditional Arabic" w:cs="Traditional Arabic"/>
          <w:b/>
          <w:sz w:val="30"/>
          <w:szCs w:val="30"/>
          <w:rtl/>
          <w:lang w:val="en-GB"/>
        </w:rPr>
        <w:t xml:space="preserve"> </w:t>
      </w:r>
      <w:r w:rsidR="00F6192A" w:rsidRPr="00EB5BCF">
        <w:rPr>
          <w:rFonts w:ascii="Traditional Arabic" w:hAnsi="Traditional Arabic" w:cs="Traditional Arabic" w:hint="eastAsia"/>
          <w:b/>
          <w:sz w:val="30"/>
          <w:szCs w:val="30"/>
          <w:rtl/>
          <w:lang w:val="en-GB"/>
        </w:rPr>
        <w:t>وتم</w:t>
      </w:r>
      <w:r w:rsidR="00F6192A" w:rsidRPr="00EB5BCF">
        <w:rPr>
          <w:rFonts w:ascii="Traditional Arabic" w:hAnsi="Traditional Arabic" w:cs="Traditional Arabic"/>
          <w:b/>
          <w:sz w:val="30"/>
          <w:szCs w:val="30"/>
          <w:rtl/>
          <w:lang w:val="en-GB"/>
        </w:rPr>
        <w:t xml:space="preserve"> </w:t>
      </w:r>
      <w:r w:rsidR="00F6192A" w:rsidRPr="00EB5BCF">
        <w:rPr>
          <w:rFonts w:ascii="Traditional Arabic" w:hAnsi="Traditional Arabic" w:cs="Traditional Arabic" w:hint="eastAsia"/>
          <w:b/>
          <w:sz w:val="30"/>
          <w:szCs w:val="30"/>
          <w:rtl/>
          <w:lang w:val="en-GB"/>
        </w:rPr>
        <w:t>تعيين</w:t>
      </w:r>
      <w:r w:rsidR="00F6192A" w:rsidRPr="00EB5BCF">
        <w:rPr>
          <w:rFonts w:ascii="Traditional Arabic" w:hAnsi="Traditional Arabic" w:cs="Traditional Arabic"/>
          <w:b/>
          <w:sz w:val="30"/>
          <w:szCs w:val="30"/>
          <w:rtl/>
          <w:lang w:val="en-GB"/>
        </w:rPr>
        <w:t xml:space="preserve"> </w:t>
      </w:r>
      <w:r w:rsidR="00F7535A">
        <w:rPr>
          <w:rFonts w:ascii="Traditional Arabic" w:hAnsi="Traditional Arabic" w:cs="Traditional Arabic" w:hint="cs"/>
          <w:b/>
          <w:sz w:val="30"/>
          <w:szCs w:val="30"/>
          <w:rtl/>
          <w:lang w:val="en-GB" w:bidi="ar-EG"/>
        </w:rPr>
        <w:t>مؤسستان دوليتان</w:t>
      </w:r>
      <w:r w:rsidR="00D06D2C">
        <w:rPr>
          <w:rFonts w:ascii="Traditional Arabic" w:hAnsi="Traditional Arabic" w:cs="Traditional Arabic" w:hint="cs"/>
          <w:b/>
          <w:sz w:val="30"/>
          <w:szCs w:val="30"/>
          <w:rtl/>
          <w:lang w:val="en-GB" w:bidi="ar-EG"/>
        </w:rPr>
        <w:t xml:space="preserve"> (وجميعهم بالإضافة إلى المنسق العالمي المشترك يشار إليهم "مد</w:t>
      </w:r>
      <w:r w:rsidR="00745D4B">
        <w:rPr>
          <w:rFonts w:ascii="Traditional Arabic" w:hAnsi="Traditional Arabic" w:cs="Traditional Arabic" w:hint="cs"/>
          <w:b/>
          <w:sz w:val="30"/>
          <w:szCs w:val="30"/>
          <w:rtl/>
        </w:rPr>
        <w:t>ير</w:t>
      </w:r>
      <w:r w:rsidR="00745D4B">
        <w:rPr>
          <w:rFonts w:ascii="Traditional Arabic" w:hAnsi="Traditional Arabic" w:cs="Traditional Arabic" w:hint="cs"/>
          <w:b/>
          <w:sz w:val="30"/>
          <w:szCs w:val="30"/>
          <w:rtl/>
          <w:lang w:val="en-GB" w:bidi="ar-EG"/>
        </w:rPr>
        <w:t xml:space="preserve"> </w:t>
      </w:r>
      <w:r w:rsidR="00D06D2C">
        <w:rPr>
          <w:rFonts w:ascii="Traditional Arabic" w:hAnsi="Traditional Arabic" w:cs="Traditional Arabic" w:hint="cs"/>
          <w:b/>
          <w:sz w:val="30"/>
          <w:szCs w:val="30"/>
          <w:rtl/>
          <w:lang w:val="en-GB" w:bidi="ar-EG"/>
        </w:rPr>
        <w:t>سجل الاكتتاب المشترك")</w:t>
      </w:r>
      <w:r w:rsidR="00D06D2C" w:rsidRPr="00EB5BCF">
        <w:rPr>
          <w:rFonts w:ascii="Traditional Arabic" w:hAnsi="Traditional Arabic" w:cs="Traditional Arabic"/>
          <w:b/>
          <w:sz w:val="30"/>
          <w:szCs w:val="30"/>
          <w:rtl/>
          <w:lang w:val="en-GB" w:bidi="ar-EG"/>
        </w:rPr>
        <w:t xml:space="preserve"> </w:t>
      </w:r>
      <w:r w:rsidR="00D06D2C">
        <w:rPr>
          <w:rFonts w:ascii="Traditional Arabic" w:hAnsi="Traditional Arabic" w:cs="Traditional Arabic" w:hint="cs"/>
          <w:b/>
          <w:sz w:val="30"/>
          <w:szCs w:val="30"/>
          <w:rtl/>
          <w:lang w:val="en-GB" w:bidi="ar-EG"/>
        </w:rPr>
        <w:t>وبنك صحار الدولي</w:t>
      </w:r>
      <w:r w:rsidR="003C1484">
        <w:rPr>
          <w:rFonts w:ascii="Traditional Arabic" w:hAnsi="Traditional Arabic" w:cs="Traditional Arabic" w:hint="cs"/>
          <w:b/>
          <w:sz w:val="30"/>
          <w:szCs w:val="30"/>
          <w:rtl/>
          <w:lang w:val="en-GB"/>
        </w:rPr>
        <w:t xml:space="preserve"> </w:t>
      </w:r>
      <w:r w:rsidR="00F6192A" w:rsidRPr="00EB5BCF">
        <w:rPr>
          <w:rFonts w:ascii="Traditional Arabic" w:hAnsi="Traditional Arabic" w:cs="Traditional Arabic" w:hint="eastAsia"/>
          <w:b/>
          <w:sz w:val="30"/>
          <w:szCs w:val="30"/>
          <w:rtl/>
          <w:lang w:val="en-GB"/>
        </w:rPr>
        <w:t>باعتباره</w:t>
      </w:r>
      <w:r w:rsidR="00F6192A" w:rsidRPr="00EB5BCF">
        <w:rPr>
          <w:rFonts w:ascii="Traditional Arabic" w:hAnsi="Traditional Arabic" w:cs="Traditional Arabic"/>
          <w:b/>
          <w:sz w:val="30"/>
          <w:szCs w:val="30"/>
          <w:rtl/>
          <w:lang w:val="en-GB"/>
        </w:rPr>
        <w:t xml:space="preserve"> </w:t>
      </w:r>
      <w:r w:rsidR="00F6192A" w:rsidRPr="00EB5BCF">
        <w:rPr>
          <w:rFonts w:ascii="Traditional Arabic" w:hAnsi="Traditional Arabic" w:cs="Traditional Arabic" w:hint="eastAsia"/>
          <w:b/>
          <w:sz w:val="30"/>
          <w:szCs w:val="30"/>
          <w:rtl/>
          <w:lang w:val="en-GB"/>
        </w:rPr>
        <w:t>مد</w:t>
      </w:r>
      <w:r w:rsidR="00494C82">
        <w:rPr>
          <w:rFonts w:ascii="Traditional Arabic" w:hAnsi="Traditional Arabic" w:cs="Traditional Arabic" w:hint="cs"/>
          <w:b/>
          <w:sz w:val="30"/>
          <w:szCs w:val="30"/>
          <w:rtl/>
          <w:lang w:val="en-GB"/>
        </w:rPr>
        <w:t xml:space="preserve">ير </w:t>
      </w:r>
      <w:r w:rsidR="00F6192A" w:rsidRPr="00EB5BCF">
        <w:rPr>
          <w:rFonts w:ascii="Traditional Arabic" w:hAnsi="Traditional Arabic" w:cs="Traditional Arabic" w:hint="eastAsia"/>
          <w:b/>
          <w:sz w:val="30"/>
          <w:szCs w:val="30"/>
          <w:rtl/>
          <w:lang w:val="en-GB"/>
        </w:rPr>
        <w:t>الإصدار</w:t>
      </w:r>
      <w:r w:rsidR="000B6977" w:rsidRPr="00AD355E">
        <w:rPr>
          <w:rFonts w:ascii="Traditional Arabic" w:hAnsi="Traditional Arabic" w:cs="Traditional Arabic"/>
          <w:b/>
          <w:sz w:val="30"/>
          <w:szCs w:val="30"/>
          <w:rtl/>
          <w:lang w:val="en-GB"/>
        </w:rPr>
        <w:t xml:space="preserve">. ويخضع بنك الاستثمار العماني لترخيص وتنظيم البنك المركزي العماني وهيئة </w:t>
      </w:r>
      <w:r w:rsidR="000B6977" w:rsidRPr="00AD355E">
        <w:rPr>
          <w:rFonts w:ascii="Traditional Arabic" w:hAnsi="Traditional Arabic" w:cs="Traditional Arabic"/>
          <w:b/>
          <w:sz w:val="30"/>
          <w:szCs w:val="30"/>
          <w:rtl/>
          <w:lang w:val="en-GB"/>
        </w:rPr>
        <w:lastRenderedPageBreak/>
        <w:t>الخدمات المالية. كما يخضع بنك صحار الدولي لترخيص وتنظيم البنك المركزي العماني وهيئة الخدمات المالية</w:t>
      </w:r>
      <w:r w:rsidR="004017A4">
        <w:rPr>
          <w:rFonts w:ascii="Traditional Arabic" w:hAnsi="Traditional Arabic" w:cs="Traditional Arabic"/>
          <w:b/>
          <w:sz w:val="30"/>
          <w:szCs w:val="30"/>
          <w:lang w:val="en-GB"/>
        </w:rPr>
        <w:t>.</w:t>
      </w:r>
      <w:r w:rsidR="00331BB9">
        <w:rPr>
          <w:rFonts w:ascii="Traditional Arabic" w:hAnsi="Traditional Arabic" w:cs="Traditional Arabic" w:hint="cs"/>
          <w:b/>
          <w:sz w:val="30"/>
          <w:szCs w:val="30"/>
          <w:rtl/>
          <w:lang w:val="en-GB"/>
        </w:rPr>
        <w:t xml:space="preserve"> </w:t>
      </w:r>
      <w:r w:rsidR="00A062F2" w:rsidRPr="00EB5BCF">
        <w:rPr>
          <w:rFonts w:ascii="Traditional Arabic" w:hAnsi="Traditional Arabic" w:cs="Traditional Arabic"/>
          <w:b/>
          <w:sz w:val="30"/>
          <w:szCs w:val="30"/>
          <w:rtl/>
          <w:lang w:val="en-GB"/>
        </w:rPr>
        <w:t xml:space="preserve">كما تم تعيين كل من </w:t>
      </w:r>
      <w:r w:rsidR="004C134C">
        <w:rPr>
          <w:rFonts w:ascii="Traditional Arabic" w:hAnsi="Traditional Arabic" w:cs="Traditional Arabic" w:hint="cs"/>
          <w:b/>
          <w:sz w:val="30"/>
          <w:szCs w:val="30"/>
          <w:rtl/>
          <w:lang w:val="en-GB"/>
        </w:rPr>
        <w:t>بنك صحار الدولي ش.م.ع.ع ، وبنك مسقط ش.م.ع.ع، و</w:t>
      </w:r>
      <w:r w:rsidR="005171FF">
        <w:rPr>
          <w:rFonts w:ascii="Traditional Arabic" w:hAnsi="Traditional Arabic" w:cs="Traditional Arabic" w:hint="cs"/>
          <w:b/>
          <w:sz w:val="30"/>
          <w:szCs w:val="30"/>
          <w:rtl/>
          <w:lang w:val="en-GB"/>
        </w:rPr>
        <w:t>ال</w:t>
      </w:r>
      <w:r w:rsidR="004C134C">
        <w:rPr>
          <w:rFonts w:ascii="Traditional Arabic" w:hAnsi="Traditional Arabic" w:cs="Traditional Arabic" w:hint="cs"/>
          <w:b/>
          <w:sz w:val="30"/>
          <w:szCs w:val="30"/>
          <w:rtl/>
          <w:lang w:val="en-GB"/>
        </w:rPr>
        <w:t>بنك الاهلي ش.م.ع.ع، وبنك ظفار ش.م.ع.ع، والبنك الوطني العماني ش.م.ع.ع، وبنك عمان العربي ش.م.ع.ع</w:t>
      </w:r>
      <w:r w:rsidR="004C134C" w:rsidRPr="00AD355E">
        <w:rPr>
          <w:rFonts w:ascii="Traditional Arabic" w:hAnsi="Traditional Arabic" w:cs="Traditional Arabic" w:hint="cs"/>
          <w:b/>
          <w:sz w:val="30"/>
          <w:szCs w:val="30"/>
          <w:rtl/>
          <w:lang w:val="en-GB"/>
        </w:rPr>
        <w:t>، والافاق</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لأسواق</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المال</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ش.م.ع.م، وجبل</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لإدارة</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الأصول</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ش.م.م، وشركة</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اوبار</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للاستثمارات</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المالية</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ش.م.ع.م، والشركة</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المتحدة</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للأوراق</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المالية</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ش.م.م، والرؤية</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للأوراق</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المالية</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ش.م.م، و سي</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اف</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اي</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المالية</w:t>
      </w:r>
      <w:r w:rsidR="004C134C" w:rsidRPr="00AD355E">
        <w:rPr>
          <w:rFonts w:ascii="Traditional Arabic" w:hAnsi="Traditional Arabic" w:cs="Traditional Arabic"/>
          <w:b/>
          <w:sz w:val="30"/>
          <w:szCs w:val="30"/>
          <w:rtl/>
          <w:lang w:val="en-GB"/>
        </w:rPr>
        <w:t xml:space="preserve"> </w:t>
      </w:r>
      <w:r w:rsidR="004C134C" w:rsidRPr="00AD355E">
        <w:rPr>
          <w:rFonts w:ascii="Traditional Arabic" w:hAnsi="Traditional Arabic" w:cs="Traditional Arabic" w:hint="cs"/>
          <w:b/>
          <w:sz w:val="30"/>
          <w:szCs w:val="30"/>
          <w:rtl/>
          <w:lang w:val="en-GB"/>
        </w:rPr>
        <w:t>ش.م.م</w:t>
      </w:r>
      <w:r w:rsidR="00977A9B" w:rsidRPr="00AD355E">
        <w:rPr>
          <w:rFonts w:ascii="Traditional Arabic" w:hAnsi="Traditional Arabic" w:cs="Traditional Arabic" w:hint="cs"/>
          <w:b/>
          <w:sz w:val="30"/>
          <w:szCs w:val="30"/>
          <w:rtl/>
          <w:lang w:val="en-GB"/>
        </w:rPr>
        <w:t xml:space="preserve">، </w:t>
      </w:r>
      <w:r w:rsidR="00053E79" w:rsidRPr="00AD355E">
        <w:rPr>
          <w:rFonts w:ascii="Traditional Arabic" w:hAnsi="Traditional Arabic" w:cs="Traditional Arabic" w:hint="cs"/>
          <w:b/>
          <w:sz w:val="30"/>
          <w:szCs w:val="30"/>
          <w:rtl/>
          <w:lang w:val="en-GB"/>
        </w:rPr>
        <w:t>و</w:t>
      </w:r>
      <w:r w:rsidR="00977A9B" w:rsidRPr="00AD355E">
        <w:rPr>
          <w:rFonts w:ascii="Traditional Arabic" w:hAnsi="Traditional Arabic" w:cs="Traditional Arabic"/>
          <w:b/>
          <w:sz w:val="30"/>
          <w:szCs w:val="30"/>
          <w:rtl/>
          <w:lang w:val="en-GB"/>
        </w:rPr>
        <w:t>شركة الخدمات المالية ش</w:t>
      </w:r>
      <w:r w:rsidR="00053E79" w:rsidRPr="00AD355E">
        <w:rPr>
          <w:rFonts w:ascii="Traditional Arabic" w:hAnsi="Traditional Arabic" w:cs="Traditional Arabic" w:hint="cs"/>
          <w:b/>
          <w:sz w:val="30"/>
          <w:szCs w:val="30"/>
          <w:rtl/>
          <w:lang w:val="en-GB"/>
        </w:rPr>
        <w:t>.</w:t>
      </w:r>
      <w:r w:rsidR="00977A9B" w:rsidRPr="00AD355E">
        <w:rPr>
          <w:rFonts w:ascii="Traditional Arabic" w:hAnsi="Traditional Arabic" w:cs="Traditional Arabic"/>
          <w:b/>
          <w:sz w:val="30"/>
          <w:szCs w:val="30"/>
          <w:rtl/>
          <w:lang w:val="en-GB"/>
        </w:rPr>
        <w:t>م</w:t>
      </w:r>
      <w:r w:rsidR="00053E79" w:rsidRPr="00AD355E">
        <w:rPr>
          <w:rFonts w:ascii="Traditional Arabic" w:hAnsi="Traditional Arabic" w:cs="Traditional Arabic" w:hint="cs"/>
          <w:b/>
          <w:sz w:val="30"/>
          <w:szCs w:val="30"/>
          <w:rtl/>
          <w:lang w:val="en-GB"/>
        </w:rPr>
        <w:t>.</w:t>
      </w:r>
      <w:r w:rsidR="00977A9B" w:rsidRPr="00AD355E">
        <w:rPr>
          <w:rFonts w:ascii="Traditional Arabic" w:hAnsi="Traditional Arabic" w:cs="Traditional Arabic"/>
          <w:b/>
          <w:sz w:val="30"/>
          <w:szCs w:val="30"/>
          <w:rtl/>
          <w:lang w:val="en-GB"/>
        </w:rPr>
        <w:t>ع</w:t>
      </w:r>
      <w:r w:rsidR="00053E79" w:rsidRPr="00AD355E">
        <w:rPr>
          <w:rFonts w:ascii="Traditional Arabic" w:hAnsi="Traditional Arabic" w:cs="Traditional Arabic" w:hint="cs"/>
          <w:b/>
          <w:sz w:val="30"/>
          <w:szCs w:val="30"/>
          <w:rtl/>
          <w:lang w:val="en-GB"/>
        </w:rPr>
        <w:t>.</w:t>
      </w:r>
      <w:r w:rsidR="00977A9B" w:rsidRPr="00AD355E">
        <w:rPr>
          <w:rFonts w:ascii="Traditional Arabic" w:hAnsi="Traditional Arabic" w:cs="Traditional Arabic"/>
          <w:b/>
          <w:sz w:val="30"/>
          <w:szCs w:val="30"/>
          <w:rtl/>
          <w:lang w:val="en-GB"/>
        </w:rPr>
        <w:t>ع</w:t>
      </w:r>
      <w:r w:rsidR="004C134C">
        <w:rPr>
          <w:rFonts w:ascii="Traditional Arabic" w:hAnsi="Traditional Arabic" w:cs="Traditional Arabic" w:hint="cs"/>
          <w:b/>
          <w:sz w:val="30"/>
          <w:szCs w:val="30"/>
          <w:rtl/>
          <w:lang w:val="en-GB"/>
        </w:rPr>
        <w:t xml:space="preserve"> </w:t>
      </w:r>
      <w:r w:rsidR="004C134C" w:rsidRPr="00EB5BCF">
        <w:rPr>
          <w:rFonts w:ascii="Traditional Arabic" w:hAnsi="Traditional Arabic" w:cs="Traditional Arabic"/>
          <w:b/>
          <w:sz w:val="30"/>
          <w:szCs w:val="30"/>
          <w:rtl/>
          <w:lang w:val="en-GB"/>
        </w:rPr>
        <w:t xml:space="preserve"> </w:t>
      </w:r>
      <w:r w:rsidR="00A062F2" w:rsidRPr="00EB5BCF">
        <w:rPr>
          <w:rFonts w:ascii="Traditional Arabic" w:hAnsi="Traditional Arabic" w:cs="Traditional Arabic" w:hint="eastAsia"/>
          <w:b/>
          <w:sz w:val="30"/>
          <w:szCs w:val="30"/>
          <w:rtl/>
          <w:lang w:val="en-GB"/>
        </w:rPr>
        <w:t>كوكلاء</w:t>
      </w:r>
      <w:r w:rsidR="00A062F2" w:rsidRPr="00EB5BCF">
        <w:rPr>
          <w:rFonts w:ascii="Traditional Arabic" w:hAnsi="Traditional Arabic" w:cs="Traditional Arabic"/>
          <w:b/>
          <w:sz w:val="30"/>
          <w:szCs w:val="30"/>
          <w:rtl/>
          <w:lang w:val="en-GB"/>
        </w:rPr>
        <w:t xml:space="preserve"> </w:t>
      </w:r>
      <w:r w:rsidR="00A062F2" w:rsidRPr="00EB5BCF">
        <w:rPr>
          <w:rFonts w:ascii="Traditional Arabic" w:hAnsi="Traditional Arabic" w:cs="Traditional Arabic" w:hint="eastAsia"/>
          <w:b/>
          <w:sz w:val="30"/>
          <w:szCs w:val="30"/>
          <w:rtl/>
          <w:lang w:val="en-GB"/>
        </w:rPr>
        <w:t>للتحصيل</w:t>
      </w:r>
      <w:r w:rsidR="006E41E5" w:rsidRPr="00EB5BCF">
        <w:rPr>
          <w:rFonts w:ascii="Traditional Arabic" w:hAnsi="Traditional Arabic" w:cs="Traditional Arabic"/>
          <w:b/>
          <w:sz w:val="30"/>
          <w:szCs w:val="30"/>
          <w:rtl/>
          <w:lang w:val="en-GB"/>
        </w:rPr>
        <w:t xml:space="preserve">. </w:t>
      </w:r>
    </w:p>
    <w:p w14:paraId="33BF9104" w14:textId="77777777" w:rsidR="00133F5A" w:rsidRDefault="00133F5A" w:rsidP="00AE6327">
      <w:pPr>
        <w:keepNext/>
        <w:bidi/>
        <w:jc w:val="both"/>
        <w:rPr>
          <w:rFonts w:ascii="Traditional Arabic" w:hAnsi="Traditional Arabic" w:cs="Traditional Arabic"/>
          <w:b/>
          <w:sz w:val="30"/>
          <w:szCs w:val="30"/>
          <w:rtl/>
          <w:lang w:val="en-GB"/>
        </w:rPr>
      </w:pPr>
    </w:p>
    <w:p w14:paraId="572B0996" w14:textId="77777777" w:rsidR="00077F49" w:rsidRPr="00EB5BCF" w:rsidRDefault="006E41E5" w:rsidP="00133F5A">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hint="eastAsia"/>
          <w:b/>
          <w:sz w:val="30"/>
          <w:szCs w:val="30"/>
          <w:rtl/>
          <w:lang w:val="en-GB"/>
        </w:rPr>
        <w:t>ل</w:t>
      </w:r>
      <w:r w:rsidR="00077F49" w:rsidRPr="00EB5BCF">
        <w:rPr>
          <w:rFonts w:ascii="Traditional Arabic" w:hAnsi="Traditional Arabic" w:cs="Traditional Arabic"/>
          <w:b/>
          <w:sz w:val="30"/>
          <w:szCs w:val="30"/>
          <w:rtl/>
          <w:lang w:val="en-GB"/>
        </w:rPr>
        <w:t xml:space="preserve">قد </w:t>
      </w:r>
      <w:r w:rsidR="00077F49" w:rsidRPr="00EB5BCF">
        <w:rPr>
          <w:rFonts w:ascii="Traditional Arabic" w:hAnsi="Traditional Arabic" w:cs="Traditional Arabic"/>
          <w:b/>
          <w:sz w:val="30"/>
          <w:szCs w:val="30"/>
          <w:rtl/>
          <w:lang w:bidi="ar-EG"/>
        </w:rPr>
        <w:t xml:space="preserve">فُوض </w:t>
      </w:r>
      <w:r w:rsidRPr="00EB5BCF">
        <w:rPr>
          <w:rFonts w:ascii="Traditional Arabic" w:hAnsi="Traditional Arabic" w:cs="Traditional Arabic" w:hint="eastAsia"/>
          <w:b/>
          <w:sz w:val="30"/>
          <w:szCs w:val="30"/>
          <w:rtl/>
          <w:lang w:bidi="ar-EG"/>
        </w:rPr>
        <w:t>كل</w:t>
      </w:r>
      <w:r w:rsidRPr="00EB5BCF">
        <w:rPr>
          <w:rFonts w:ascii="Traditional Arabic" w:hAnsi="Traditional Arabic" w:cs="Traditional Arabic"/>
          <w:b/>
          <w:sz w:val="30"/>
          <w:szCs w:val="30"/>
          <w:rtl/>
          <w:lang w:bidi="ar-EG"/>
        </w:rPr>
        <w:t xml:space="preserve"> من </w:t>
      </w:r>
      <w:r w:rsidR="006B1AFD">
        <w:rPr>
          <w:rFonts w:ascii="Traditional Arabic" w:hAnsi="Traditional Arabic" w:cs="Traditional Arabic" w:hint="cs"/>
          <w:b/>
          <w:sz w:val="30"/>
          <w:szCs w:val="30"/>
          <w:rtl/>
          <w:lang w:bidi="ar-EG"/>
        </w:rPr>
        <w:t>مدير سجل الاكتتاب</w:t>
      </w:r>
      <w:r w:rsidR="004F45EA">
        <w:rPr>
          <w:rFonts w:ascii="Traditional Arabic" w:hAnsi="Traditional Arabic" w:cs="Traditional Arabic" w:hint="cs"/>
          <w:b/>
          <w:sz w:val="30"/>
          <w:szCs w:val="30"/>
          <w:rtl/>
          <w:lang w:bidi="ar-EG"/>
        </w:rPr>
        <w:t xml:space="preserve"> المشترك</w:t>
      </w:r>
      <w:r w:rsidR="00077F49" w:rsidRPr="00EB5BCF">
        <w:rPr>
          <w:rFonts w:ascii="Traditional Arabic" w:hAnsi="Traditional Arabic" w:cs="Traditional Arabic"/>
          <w:b/>
          <w:sz w:val="30"/>
          <w:szCs w:val="30"/>
          <w:rtl/>
          <w:lang w:bidi="ar-EG"/>
        </w:rPr>
        <w:t xml:space="preserve"> </w:t>
      </w:r>
      <w:r w:rsidR="003279C9">
        <w:rPr>
          <w:rFonts w:ascii="Traditional Arabic" w:hAnsi="Traditional Arabic" w:cs="Traditional Arabic" w:hint="cs"/>
          <w:b/>
          <w:sz w:val="30"/>
          <w:szCs w:val="30"/>
          <w:rtl/>
          <w:lang w:bidi="ar-EG"/>
        </w:rPr>
        <w:t xml:space="preserve">ومدير الإصدار </w:t>
      </w:r>
      <w:r w:rsidRPr="00EB5BCF">
        <w:rPr>
          <w:rFonts w:ascii="Traditional Arabic" w:hAnsi="Traditional Arabic" w:cs="Traditional Arabic" w:hint="eastAsia"/>
          <w:b/>
          <w:sz w:val="30"/>
          <w:szCs w:val="30"/>
          <w:rtl/>
          <w:lang w:bidi="ar-EG"/>
        </w:rPr>
        <w:t>ووكلاء</w:t>
      </w:r>
      <w:r w:rsidRPr="00EB5BCF">
        <w:rPr>
          <w:rFonts w:ascii="Traditional Arabic" w:hAnsi="Traditional Arabic" w:cs="Traditional Arabic"/>
          <w:b/>
          <w:sz w:val="30"/>
          <w:szCs w:val="30"/>
          <w:rtl/>
          <w:lang w:bidi="ar-EG"/>
        </w:rPr>
        <w:t xml:space="preserve"> التحصيل </w:t>
      </w:r>
      <w:r w:rsidR="00164EF8" w:rsidRPr="00EB5BCF">
        <w:rPr>
          <w:rFonts w:ascii="Traditional Arabic" w:hAnsi="Traditional Arabic" w:cs="Traditional Arabic"/>
          <w:b/>
          <w:sz w:val="30"/>
          <w:szCs w:val="30"/>
          <w:rtl/>
          <w:lang w:bidi="ar-EG"/>
        </w:rPr>
        <w:t>لينوب</w:t>
      </w:r>
      <w:r w:rsidRPr="00EB5BCF">
        <w:rPr>
          <w:rFonts w:ascii="Traditional Arabic" w:hAnsi="Traditional Arabic" w:cs="Traditional Arabic" w:hint="eastAsia"/>
          <w:b/>
          <w:sz w:val="30"/>
          <w:szCs w:val="30"/>
          <w:rtl/>
          <w:lang w:bidi="ar-EG"/>
        </w:rPr>
        <w:t>وا</w:t>
      </w:r>
      <w:r w:rsidR="00077F49" w:rsidRPr="00EB5BCF">
        <w:rPr>
          <w:rFonts w:ascii="Traditional Arabic" w:hAnsi="Traditional Arabic" w:cs="Traditional Arabic"/>
          <w:b/>
          <w:sz w:val="30"/>
          <w:szCs w:val="30"/>
          <w:rtl/>
          <w:lang w:bidi="ar-EG"/>
        </w:rPr>
        <w:t xml:space="preserve"> عن الشركة و</w:t>
      </w:r>
      <w:r w:rsidR="000861C6">
        <w:rPr>
          <w:rFonts w:ascii="Traditional Arabic" w:hAnsi="Traditional Arabic" w:cs="Traditional Arabic"/>
          <w:b/>
          <w:sz w:val="30"/>
          <w:szCs w:val="30"/>
          <w:rtl/>
          <w:lang w:bidi="ar-EG"/>
        </w:rPr>
        <w:t>المساهم البائع</w:t>
      </w:r>
      <w:r w:rsidR="00077F49" w:rsidRPr="00EB5BCF">
        <w:rPr>
          <w:rFonts w:ascii="Traditional Arabic" w:hAnsi="Traditional Arabic" w:cs="Traditional Arabic"/>
          <w:b/>
          <w:sz w:val="30"/>
          <w:szCs w:val="30"/>
          <w:rtl/>
          <w:lang w:bidi="ar-EG"/>
        </w:rPr>
        <w:t xml:space="preserve"> حصريا في شأن الطرح وليس عن أحد سواهما، ولن يكون أي شخص آخر (وإن كان مستلما</w:t>
      </w:r>
      <w:r w:rsidRPr="00EB5BCF">
        <w:rPr>
          <w:rFonts w:ascii="Traditional Arabic" w:hAnsi="Traditional Arabic" w:cs="Traditional Arabic" w:hint="eastAsia"/>
          <w:b/>
          <w:sz w:val="30"/>
          <w:szCs w:val="30"/>
          <w:rtl/>
          <w:lang w:bidi="ar-EG"/>
        </w:rPr>
        <w:t>ً</w:t>
      </w:r>
      <w:r w:rsidR="00077F49" w:rsidRPr="00EB5BCF">
        <w:rPr>
          <w:rFonts w:ascii="Traditional Arabic" w:hAnsi="Traditional Arabic" w:cs="Traditional Arabic"/>
          <w:b/>
          <w:sz w:val="30"/>
          <w:szCs w:val="30"/>
          <w:rtl/>
          <w:lang w:bidi="ar-EG"/>
        </w:rPr>
        <w:t xml:space="preserve"> للمستند المرافق) بمثابة عميل </w:t>
      </w:r>
      <w:r w:rsidR="007931A8">
        <w:rPr>
          <w:rFonts w:ascii="Traditional Arabic" w:hAnsi="Traditional Arabic" w:cs="Traditional Arabic" w:hint="cs"/>
          <w:b/>
          <w:sz w:val="30"/>
          <w:szCs w:val="30"/>
          <w:rtl/>
          <w:lang w:bidi="ar-EG"/>
        </w:rPr>
        <w:t>لأيا منهم</w:t>
      </w:r>
      <w:r w:rsidR="007931A8" w:rsidRPr="00EB5BCF">
        <w:rPr>
          <w:rFonts w:ascii="Traditional Arabic" w:hAnsi="Traditional Arabic" w:cs="Traditional Arabic"/>
          <w:b/>
          <w:sz w:val="30"/>
          <w:szCs w:val="30"/>
          <w:rtl/>
          <w:lang w:bidi="ar-EG"/>
        </w:rPr>
        <w:t xml:space="preserve"> </w:t>
      </w:r>
      <w:r w:rsidR="00077F49" w:rsidRPr="00EB5BCF">
        <w:rPr>
          <w:rFonts w:ascii="Traditional Arabic" w:hAnsi="Traditional Arabic" w:cs="Traditional Arabic"/>
          <w:b/>
          <w:sz w:val="30"/>
          <w:szCs w:val="30"/>
          <w:rtl/>
          <w:lang w:bidi="ar-EG"/>
        </w:rPr>
        <w:t xml:space="preserve">لأغراض الطرح، ولن يكون </w:t>
      </w:r>
      <w:r w:rsidR="00965CD7">
        <w:rPr>
          <w:rFonts w:ascii="Traditional Arabic" w:hAnsi="Traditional Arabic" w:cs="Traditional Arabic" w:hint="cs"/>
          <w:b/>
          <w:sz w:val="30"/>
          <w:szCs w:val="30"/>
          <w:rtl/>
          <w:lang w:bidi="ar-EG"/>
        </w:rPr>
        <w:t xml:space="preserve">أي منهم </w:t>
      </w:r>
      <w:r w:rsidR="00077F49" w:rsidRPr="00EB5BCF">
        <w:rPr>
          <w:rFonts w:ascii="Traditional Arabic" w:hAnsi="Traditional Arabic" w:cs="Traditional Arabic"/>
          <w:b/>
          <w:sz w:val="30"/>
          <w:szCs w:val="30"/>
          <w:rtl/>
          <w:lang w:bidi="ar-EG"/>
        </w:rPr>
        <w:t>مسؤولا</w:t>
      </w:r>
      <w:r w:rsidR="00027513" w:rsidRPr="00EB5BCF">
        <w:rPr>
          <w:rFonts w:ascii="Traditional Arabic" w:hAnsi="Traditional Arabic" w:cs="Traditional Arabic"/>
          <w:b/>
          <w:sz w:val="30"/>
          <w:szCs w:val="30"/>
          <w:rtl/>
          <w:lang w:bidi="ar-EG"/>
        </w:rPr>
        <w:t>ً</w:t>
      </w:r>
      <w:r w:rsidR="00077F49" w:rsidRPr="00EB5BCF">
        <w:rPr>
          <w:rFonts w:ascii="Traditional Arabic" w:hAnsi="Traditional Arabic" w:cs="Traditional Arabic"/>
          <w:b/>
          <w:sz w:val="30"/>
          <w:szCs w:val="30"/>
          <w:rtl/>
          <w:lang w:bidi="ar-EG"/>
        </w:rPr>
        <w:t xml:space="preserve"> أمام أحد غير الشركة </w:t>
      </w:r>
      <w:r w:rsidR="00F23122" w:rsidRPr="00EB5BCF">
        <w:rPr>
          <w:rFonts w:ascii="Traditional Arabic" w:hAnsi="Traditional Arabic" w:cs="Traditional Arabic"/>
          <w:b/>
          <w:sz w:val="30"/>
          <w:szCs w:val="30"/>
          <w:rtl/>
          <w:lang w:bidi="ar-EG"/>
        </w:rPr>
        <w:t>و</w:t>
      </w:r>
      <w:r w:rsidR="000861C6">
        <w:rPr>
          <w:rFonts w:ascii="Traditional Arabic" w:hAnsi="Traditional Arabic" w:cs="Traditional Arabic"/>
          <w:b/>
          <w:sz w:val="30"/>
          <w:szCs w:val="30"/>
          <w:rtl/>
          <w:lang w:bidi="ar-EG"/>
        </w:rPr>
        <w:t>المساهم البائع</w:t>
      </w:r>
      <w:r w:rsidR="00F23122" w:rsidRPr="00EB5BCF">
        <w:rPr>
          <w:rFonts w:ascii="Traditional Arabic" w:hAnsi="Traditional Arabic" w:cs="Traditional Arabic"/>
          <w:b/>
          <w:sz w:val="30"/>
          <w:szCs w:val="30"/>
          <w:rtl/>
          <w:lang w:bidi="ar-EG"/>
        </w:rPr>
        <w:t xml:space="preserve"> </w:t>
      </w:r>
      <w:r w:rsidR="00077F49" w:rsidRPr="00EB5BCF">
        <w:rPr>
          <w:rFonts w:ascii="Traditional Arabic" w:hAnsi="Traditional Arabic" w:cs="Traditional Arabic"/>
          <w:b/>
          <w:sz w:val="30"/>
          <w:szCs w:val="30"/>
          <w:rtl/>
          <w:lang w:bidi="ar-EG"/>
        </w:rPr>
        <w:t xml:space="preserve">عن توفير الحماية التي تُمنح لعملائه ولا عن تقديم توجيهات ونصائح بخصوص الطرح أو </w:t>
      </w:r>
      <w:r w:rsidR="007409E4" w:rsidRPr="00EB5BCF">
        <w:rPr>
          <w:rFonts w:ascii="Traditional Arabic" w:hAnsi="Traditional Arabic" w:cs="Traditional Arabic"/>
          <w:b/>
          <w:sz w:val="30"/>
          <w:szCs w:val="30"/>
          <w:rtl/>
          <w:lang w:bidi="ar-EG"/>
        </w:rPr>
        <w:t>المعاملات أو الترتيبات المذكورة</w:t>
      </w:r>
      <w:r w:rsidR="00077F49" w:rsidRPr="00EB5BCF">
        <w:rPr>
          <w:rFonts w:ascii="Traditional Arabic" w:hAnsi="Traditional Arabic" w:cs="Traditional Arabic"/>
          <w:b/>
          <w:sz w:val="30"/>
          <w:szCs w:val="30"/>
          <w:rtl/>
          <w:lang w:bidi="ar-EG"/>
        </w:rPr>
        <w:t xml:space="preserve"> في هذه النشرة.</w:t>
      </w:r>
    </w:p>
    <w:p w14:paraId="291BB61B" w14:textId="77777777" w:rsidR="00077F49" w:rsidRPr="00EB5BCF" w:rsidRDefault="00077F49" w:rsidP="00077F49">
      <w:pPr>
        <w:keepNext/>
        <w:bidi/>
        <w:jc w:val="both"/>
        <w:rPr>
          <w:rFonts w:ascii="Traditional Arabic" w:hAnsi="Traditional Arabic" w:cs="Traditional Arabic"/>
          <w:b/>
          <w:sz w:val="30"/>
          <w:szCs w:val="30"/>
          <w:rtl/>
          <w:lang w:bidi="ar-EG"/>
        </w:rPr>
      </w:pPr>
    </w:p>
    <w:p w14:paraId="2725F1E4" w14:textId="497491D3" w:rsidR="00077F49" w:rsidRDefault="00077F49" w:rsidP="00077F49">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يجوز ل</w:t>
      </w:r>
      <w:r w:rsidR="006B1AFD">
        <w:rPr>
          <w:rFonts w:ascii="Traditional Arabic" w:hAnsi="Traditional Arabic" w:cs="Traditional Arabic" w:hint="cs"/>
          <w:b/>
          <w:sz w:val="30"/>
          <w:szCs w:val="30"/>
          <w:rtl/>
          <w:lang w:bidi="ar-EG"/>
        </w:rPr>
        <w:t>مدير سجل الاكتتاب</w:t>
      </w:r>
      <w:r w:rsidRPr="00EB5BCF">
        <w:rPr>
          <w:rFonts w:ascii="Traditional Arabic" w:hAnsi="Traditional Arabic" w:cs="Traditional Arabic"/>
          <w:b/>
          <w:sz w:val="30"/>
          <w:szCs w:val="30"/>
          <w:rtl/>
          <w:lang w:bidi="ar-EG"/>
        </w:rPr>
        <w:t xml:space="preserve"> المشترك</w:t>
      </w:r>
      <w:r w:rsidR="006E41E5" w:rsidRPr="00EB5BCF">
        <w:rPr>
          <w:rFonts w:ascii="Traditional Arabic" w:hAnsi="Traditional Arabic" w:cs="Traditional Arabic"/>
          <w:b/>
          <w:sz w:val="30"/>
          <w:szCs w:val="30"/>
          <w:rtl/>
          <w:lang w:bidi="ar-EG"/>
        </w:rPr>
        <w:t xml:space="preserve"> </w:t>
      </w:r>
      <w:r w:rsidR="003279C9">
        <w:rPr>
          <w:rFonts w:ascii="Traditional Arabic" w:hAnsi="Traditional Arabic" w:cs="Traditional Arabic" w:hint="cs"/>
          <w:b/>
          <w:sz w:val="30"/>
          <w:szCs w:val="30"/>
          <w:rtl/>
          <w:lang w:bidi="ar-EG"/>
        </w:rPr>
        <w:t xml:space="preserve">ومدير الإصدار </w:t>
      </w:r>
      <w:r w:rsidR="006E41E5" w:rsidRPr="00EB5BCF">
        <w:rPr>
          <w:rFonts w:ascii="Traditional Arabic" w:hAnsi="Traditional Arabic" w:cs="Traditional Arabic"/>
          <w:b/>
          <w:sz w:val="30"/>
          <w:szCs w:val="30"/>
          <w:rtl/>
          <w:lang w:bidi="ar-EG"/>
        </w:rPr>
        <w:t>ووكلاء التحصيل</w:t>
      </w:r>
      <w:r w:rsidRPr="00EB5BCF">
        <w:rPr>
          <w:rFonts w:ascii="Traditional Arabic" w:hAnsi="Traditional Arabic" w:cs="Traditional Arabic"/>
          <w:b/>
          <w:sz w:val="30"/>
          <w:szCs w:val="30"/>
          <w:rtl/>
          <w:lang w:bidi="ar-EG"/>
        </w:rPr>
        <w:t xml:space="preserve"> وأي من تابعيه</w:t>
      </w:r>
      <w:r w:rsidR="006E41E5" w:rsidRPr="00EB5BCF">
        <w:rPr>
          <w:rFonts w:ascii="Traditional Arabic" w:hAnsi="Traditional Arabic" w:cs="Traditional Arabic" w:hint="eastAsia"/>
          <w:b/>
          <w:sz w:val="30"/>
          <w:szCs w:val="30"/>
          <w:rtl/>
          <w:lang w:bidi="ar-EG"/>
        </w:rPr>
        <w:t>م</w:t>
      </w:r>
      <w:r w:rsidRPr="00EB5BCF">
        <w:rPr>
          <w:rFonts w:ascii="Traditional Arabic" w:hAnsi="Traditional Arabic" w:cs="Traditional Arabic"/>
          <w:b/>
          <w:sz w:val="30"/>
          <w:szCs w:val="30"/>
          <w:rtl/>
          <w:lang w:bidi="ar-EG"/>
        </w:rPr>
        <w:t xml:space="preserve"> أن يأخذ جزءً من الأسهم باعتباره </w:t>
      </w:r>
      <w:r w:rsidR="00F6028A" w:rsidRPr="00EB5BCF">
        <w:rPr>
          <w:rFonts w:ascii="Traditional Arabic" w:hAnsi="Traditional Arabic" w:cs="Traditional Arabic"/>
          <w:b/>
          <w:sz w:val="30"/>
          <w:szCs w:val="30"/>
          <w:rtl/>
          <w:lang w:bidi="ar-EG"/>
        </w:rPr>
        <w:t>أصيلا</w:t>
      </w:r>
      <w:r w:rsidR="006E41E5" w:rsidRPr="00EB5BCF">
        <w:rPr>
          <w:rFonts w:ascii="Traditional Arabic" w:hAnsi="Traditional Arabic" w:cs="Traditional Arabic" w:hint="eastAsia"/>
          <w:b/>
          <w:sz w:val="30"/>
          <w:szCs w:val="30"/>
          <w:rtl/>
          <w:lang w:bidi="ar-EG"/>
        </w:rPr>
        <w:t>ً</w:t>
      </w:r>
      <w:r w:rsidRPr="00EB5BCF">
        <w:rPr>
          <w:rFonts w:ascii="Traditional Arabic" w:hAnsi="Traditional Arabic" w:cs="Traditional Arabic"/>
          <w:b/>
          <w:sz w:val="30"/>
          <w:szCs w:val="30"/>
          <w:rtl/>
          <w:lang w:bidi="ar-EG"/>
        </w:rPr>
        <w:t xml:space="preserve"> وبهذه الصفة يجوز له الاكتتاب فيها أو الاستحواذ عليها؛ وبهذه الصفة يجوز له الاحتفاظ بها أو شراؤها أو بيعها أو عرضها للبيع أو التداول بها أو بالأوراق المالية الخاصة بالشركة أو الاستثمارات المتصلة بالطرح أو بغير الطرح لحسابه. وعليه، ينبغي قراءة أي إشارة في هذه النشرة إلى الأسهم المطروحة أو المكتتب فيها</w:t>
      </w:r>
      <w:r w:rsidR="008F3E15">
        <w:rPr>
          <w:rFonts w:ascii="Traditional Arabic" w:hAnsi="Traditional Arabic" w:cs="Traditional Arabic" w:hint="cs"/>
          <w:b/>
          <w:sz w:val="30"/>
          <w:szCs w:val="30"/>
          <w:rtl/>
          <w:lang w:bidi="ar-EG"/>
        </w:rPr>
        <w:t xml:space="preserve"> </w:t>
      </w:r>
      <w:r w:rsidRPr="00EB5BCF">
        <w:rPr>
          <w:rFonts w:ascii="Traditional Arabic" w:hAnsi="Traditional Arabic" w:cs="Traditional Arabic"/>
          <w:b/>
          <w:sz w:val="30"/>
          <w:szCs w:val="30"/>
          <w:rtl/>
          <w:lang w:bidi="ar-EG"/>
        </w:rPr>
        <w:t xml:space="preserve">أو المطروحة في اكتتاب خاص على أنها تتضمن الطرح أو الاكتتاب أو الطرح في اكتتاب خاص </w:t>
      </w:r>
      <w:r w:rsidR="00C56D08">
        <w:rPr>
          <w:rFonts w:ascii="Traditional Arabic" w:hAnsi="Traditional Arabic" w:cs="Traditional Arabic" w:hint="cs"/>
          <w:b/>
          <w:sz w:val="30"/>
          <w:szCs w:val="30"/>
          <w:rtl/>
          <w:lang w:bidi="ar-EG"/>
        </w:rPr>
        <w:t>لصالح</w:t>
      </w:r>
      <w:r w:rsidRPr="00EB5BCF">
        <w:rPr>
          <w:rFonts w:ascii="Traditional Arabic" w:hAnsi="Traditional Arabic" w:cs="Traditional Arabic"/>
          <w:b/>
          <w:sz w:val="30"/>
          <w:szCs w:val="30"/>
          <w:rtl/>
          <w:lang w:bidi="ar-EG"/>
        </w:rPr>
        <w:t xml:space="preserve"> طرف </w:t>
      </w:r>
      <w:r w:rsidR="0078313E">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bidi="ar-EG"/>
        </w:rPr>
        <w:t xml:space="preserve"> المشترك</w:t>
      </w:r>
      <w:r w:rsidR="006E41E5" w:rsidRPr="00EB5BCF">
        <w:rPr>
          <w:rFonts w:ascii="Traditional Arabic" w:hAnsi="Traditional Arabic" w:cs="Traditional Arabic"/>
          <w:b/>
          <w:sz w:val="30"/>
          <w:szCs w:val="30"/>
          <w:rtl/>
          <w:lang w:bidi="ar-EG"/>
        </w:rPr>
        <w:t xml:space="preserve"> أو </w:t>
      </w:r>
      <w:r w:rsidR="003279C9">
        <w:rPr>
          <w:rFonts w:ascii="Traditional Arabic" w:hAnsi="Traditional Arabic" w:cs="Traditional Arabic" w:hint="cs"/>
          <w:b/>
          <w:sz w:val="30"/>
          <w:szCs w:val="30"/>
          <w:rtl/>
          <w:lang w:bidi="ar-EG"/>
        </w:rPr>
        <w:t xml:space="preserve">مدير الإصدار أو </w:t>
      </w:r>
      <w:r w:rsidR="006E41E5" w:rsidRPr="00EB5BCF">
        <w:rPr>
          <w:rFonts w:ascii="Traditional Arabic" w:hAnsi="Traditional Arabic" w:cs="Traditional Arabic" w:hint="eastAsia"/>
          <w:b/>
          <w:sz w:val="30"/>
          <w:szCs w:val="30"/>
          <w:rtl/>
          <w:lang w:bidi="ar-EG"/>
        </w:rPr>
        <w:t>وكلاء</w:t>
      </w:r>
      <w:r w:rsidR="006E41E5"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التحصيل</w:t>
      </w:r>
      <w:r w:rsidRPr="00EB5BCF">
        <w:rPr>
          <w:rFonts w:ascii="Traditional Arabic" w:hAnsi="Traditional Arabic" w:cs="Traditional Arabic"/>
          <w:b/>
          <w:sz w:val="30"/>
          <w:szCs w:val="30"/>
          <w:rtl/>
          <w:lang w:bidi="ar-EG"/>
        </w:rPr>
        <w:t xml:space="preserve"> أو أي من التابعين له</w:t>
      </w:r>
      <w:r w:rsidR="006E41E5" w:rsidRPr="00EB5BCF">
        <w:rPr>
          <w:rFonts w:ascii="Traditional Arabic" w:hAnsi="Traditional Arabic" w:cs="Traditional Arabic" w:hint="eastAsia"/>
          <w:b/>
          <w:sz w:val="30"/>
          <w:szCs w:val="30"/>
          <w:rtl/>
          <w:lang w:bidi="ar-EG"/>
        </w:rPr>
        <w:t>م</w:t>
      </w:r>
      <w:r w:rsidRPr="00EB5BCF">
        <w:rPr>
          <w:rFonts w:ascii="Traditional Arabic" w:hAnsi="Traditional Arabic" w:cs="Traditional Arabic"/>
          <w:b/>
          <w:sz w:val="30"/>
          <w:szCs w:val="30"/>
          <w:rtl/>
          <w:lang w:bidi="ar-EG"/>
        </w:rPr>
        <w:t xml:space="preserve"> باعتباره مستثمرا</w:t>
      </w:r>
      <w:r w:rsidR="00027513"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 لحسابه الخاص. بالإضافة إلى ذلك، يجوز لبعض كيانات</w:t>
      </w:r>
      <w:r w:rsidR="0078313E">
        <w:rPr>
          <w:rFonts w:ascii="Traditional Arabic" w:hAnsi="Traditional Arabic" w:cs="Traditional Arabic" w:hint="cs"/>
          <w:b/>
          <w:sz w:val="30"/>
          <w:szCs w:val="30"/>
          <w:rtl/>
          <w:lang w:bidi="ar-EG"/>
        </w:rPr>
        <w:t xml:space="preserve"> مدير سجل الاكتتاب</w:t>
      </w:r>
      <w:r w:rsidR="00F37CF6">
        <w:rPr>
          <w:rFonts w:ascii="Traditional Arabic" w:hAnsi="Traditional Arabic" w:cs="Traditional Arabic"/>
          <w:b/>
          <w:sz w:val="30"/>
          <w:szCs w:val="30"/>
          <w:rtl/>
          <w:lang w:bidi="ar-EG"/>
        </w:rPr>
        <w:t xml:space="preserve"> المشترك</w:t>
      </w:r>
      <w:r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أو</w:t>
      </w:r>
      <w:r w:rsidR="003279C9">
        <w:rPr>
          <w:rFonts w:ascii="Traditional Arabic" w:hAnsi="Traditional Arabic" w:cs="Traditional Arabic" w:hint="cs"/>
          <w:b/>
          <w:sz w:val="30"/>
          <w:szCs w:val="30"/>
          <w:rtl/>
          <w:lang w:bidi="ar-EG"/>
        </w:rPr>
        <w:t xml:space="preserve"> مدير الإصدار </w:t>
      </w:r>
      <w:r w:rsidR="00347B53">
        <w:rPr>
          <w:rFonts w:ascii="Traditional Arabic" w:hAnsi="Traditional Arabic" w:cs="Traditional Arabic" w:hint="cs"/>
          <w:b/>
          <w:sz w:val="30"/>
          <w:szCs w:val="30"/>
          <w:rtl/>
          <w:lang w:bidi="ar-EG"/>
        </w:rPr>
        <w:t>أو</w:t>
      </w:r>
      <w:r w:rsidR="00347B53" w:rsidRPr="00EB5BCF">
        <w:rPr>
          <w:rFonts w:ascii="Traditional Arabic" w:hAnsi="Traditional Arabic" w:cs="Traditional Arabic" w:hint="cs"/>
          <w:b/>
          <w:sz w:val="30"/>
          <w:szCs w:val="30"/>
          <w:rtl/>
          <w:lang w:bidi="ar-EG"/>
        </w:rPr>
        <w:t xml:space="preserve"> وكلاء</w:t>
      </w:r>
      <w:r w:rsidR="006E41E5"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التحصيل</w:t>
      </w:r>
      <w:r w:rsidR="006E41E5" w:rsidRPr="00EB5BCF">
        <w:rPr>
          <w:rFonts w:ascii="Traditional Arabic" w:hAnsi="Traditional Arabic" w:cs="Traditional Arabic"/>
          <w:b/>
          <w:sz w:val="30"/>
          <w:szCs w:val="30"/>
          <w:rtl/>
          <w:lang w:bidi="ar-EG"/>
        </w:rPr>
        <w:t xml:space="preserve"> </w:t>
      </w:r>
      <w:r w:rsidRPr="00EB5BCF">
        <w:rPr>
          <w:rFonts w:ascii="Traditional Arabic" w:hAnsi="Traditional Arabic" w:cs="Traditional Arabic"/>
          <w:b/>
          <w:sz w:val="30"/>
          <w:szCs w:val="30"/>
          <w:rtl/>
          <w:lang w:bidi="ar-EG"/>
        </w:rPr>
        <w:t>أو التابعين له</w:t>
      </w:r>
      <w:r w:rsidR="006E41E5" w:rsidRPr="00EB5BCF">
        <w:rPr>
          <w:rFonts w:ascii="Traditional Arabic" w:hAnsi="Traditional Arabic" w:cs="Traditional Arabic" w:hint="eastAsia"/>
          <w:b/>
          <w:sz w:val="30"/>
          <w:szCs w:val="30"/>
          <w:rtl/>
          <w:lang w:bidi="ar-EG"/>
        </w:rPr>
        <w:t>م</w:t>
      </w:r>
      <w:r w:rsidRPr="00EB5BCF">
        <w:rPr>
          <w:rFonts w:ascii="Traditional Arabic" w:hAnsi="Traditional Arabic" w:cs="Traditional Arabic"/>
          <w:b/>
          <w:sz w:val="30"/>
          <w:szCs w:val="30"/>
          <w:rtl/>
          <w:lang w:bidi="ar-EG"/>
        </w:rPr>
        <w:t xml:space="preserve"> إبرام ترتيبات تمويلية (بما فيها المبادلات أو الضمانات أو العقود مقابل الفروقات) مع مستثمرين بخصوص الأسهم التي يستحوذ عليها </w:t>
      </w:r>
      <w:r w:rsidR="0078313E">
        <w:rPr>
          <w:rFonts w:ascii="Traditional Arabic" w:hAnsi="Traditional Arabic" w:cs="Traditional Arabic" w:hint="cs"/>
          <w:b/>
          <w:sz w:val="30"/>
          <w:szCs w:val="30"/>
          <w:rtl/>
          <w:lang w:bidi="ar-EG"/>
        </w:rPr>
        <w:t>مدير</w:t>
      </w:r>
      <w:r w:rsidR="0078313E">
        <w:rPr>
          <w:rFonts w:ascii="Traditional Arabic" w:hAnsi="Traditional Arabic" w:cs="Traditional Arabic"/>
          <w:b/>
          <w:sz w:val="30"/>
          <w:szCs w:val="30"/>
          <w:rtl/>
          <w:lang w:bidi="ar-EG"/>
        </w:rPr>
        <w:t xml:space="preserve"> </w:t>
      </w:r>
      <w:r w:rsidR="00CB65F8">
        <w:rPr>
          <w:rFonts w:ascii="Traditional Arabic" w:hAnsi="Traditional Arabic" w:cs="Traditional Arabic"/>
          <w:b/>
          <w:sz w:val="30"/>
          <w:szCs w:val="30"/>
          <w:rtl/>
          <w:lang w:bidi="ar-EG"/>
        </w:rPr>
        <w:t>سجل الاكتتاب المشترك</w:t>
      </w:r>
      <w:r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أو</w:t>
      </w:r>
      <w:r w:rsidR="006E41E5" w:rsidRPr="00EB5BCF">
        <w:rPr>
          <w:rFonts w:ascii="Traditional Arabic" w:hAnsi="Traditional Arabic" w:cs="Traditional Arabic"/>
          <w:b/>
          <w:sz w:val="30"/>
          <w:szCs w:val="30"/>
          <w:rtl/>
          <w:lang w:bidi="ar-EG"/>
        </w:rPr>
        <w:t xml:space="preserve"> </w:t>
      </w:r>
      <w:r w:rsidR="003279C9">
        <w:rPr>
          <w:rFonts w:ascii="Traditional Arabic" w:hAnsi="Traditional Arabic" w:cs="Traditional Arabic" w:hint="cs"/>
          <w:b/>
          <w:sz w:val="30"/>
          <w:szCs w:val="30"/>
          <w:rtl/>
          <w:lang w:bidi="ar-EG"/>
        </w:rPr>
        <w:t xml:space="preserve">مدير الإصدار أو </w:t>
      </w:r>
      <w:r w:rsidR="006E41E5" w:rsidRPr="00EB5BCF">
        <w:rPr>
          <w:rFonts w:ascii="Traditional Arabic" w:hAnsi="Traditional Arabic" w:cs="Traditional Arabic" w:hint="eastAsia"/>
          <w:b/>
          <w:sz w:val="30"/>
          <w:szCs w:val="30"/>
          <w:rtl/>
          <w:lang w:bidi="ar-EG"/>
        </w:rPr>
        <w:t>وكلاء</w:t>
      </w:r>
      <w:r w:rsidR="006E41E5"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التحصيل</w:t>
      </w:r>
      <w:r w:rsidR="006E41E5" w:rsidRPr="00EB5BCF">
        <w:rPr>
          <w:rFonts w:ascii="Traditional Arabic" w:hAnsi="Traditional Arabic" w:cs="Traditional Arabic"/>
          <w:b/>
          <w:sz w:val="30"/>
          <w:szCs w:val="30"/>
          <w:rtl/>
          <w:lang w:bidi="ar-EG"/>
        </w:rPr>
        <w:t xml:space="preserve"> </w:t>
      </w:r>
      <w:r w:rsidRPr="00EB5BCF">
        <w:rPr>
          <w:rFonts w:ascii="Traditional Arabic" w:hAnsi="Traditional Arabic" w:cs="Traditional Arabic"/>
          <w:b/>
          <w:sz w:val="30"/>
          <w:szCs w:val="30"/>
          <w:rtl/>
          <w:lang w:bidi="ar-EG"/>
        </w:rPr>
        <w:t>أو أي من التابعين له</w:t>
      </w:r>
      <w:r w:rsidR="006E41E5" w:rsidRPr="00EB5BCF">
        <w:rPr>
          <w:rFonts w:ascii="Traditional Arabic" w:hAnsi="Traditional Arabic" w:cs="Traditional Arabic" w:hint="eastAsia"/>
          <w:b/>
          <w:sz w:val="30"/>
          <w:szCs w:val="30"/>
          <w:rtl/>
          <w:lang w:bidi="ar-EG"/>
        </w:rPr>
        <w:t>م</w:t>
      </w:r>
      <w:r w:rsidRPr="00EB5BCF">
        <w:rPr>
          <w:rFonts w:ascii="Traditional Arabic" w:hAnsi="Traditional Arabic" w:cs="Traditional Arabic"/>
          <w:b/>
          <w:sz w:val="30"/>
          <w:szCs w:val="30"/>
          <w:rtl/>
          <w:lang w:bidi="ar-EG"/>
        </w:rPr>
        <w:t xml:space="preserve"> أو يحتفظ بها أو يتصرف فيها من وقت لآخر. ولا يعتزم </w:t>
      </w:r>
      <w:r w:rsidR="000861C6">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bidi="ar-EG"/>
        </w:rPr>
        <w:t xml:space="preserve"> المشترك</w:t>
      </w:r>
      <w:r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ولا</w:t>
      </w:r>
      <w:r w:rsidR="006E41E5" w:rsidRPr="00EB5BCF">
        <w:rPr>
          <w:rFonts w:ascii="Traditional Arabic" w:hAnsi="Traditional Arabic" w:cs="Traditional Arabic"/>
          <w:b/>
          <w:sz w:val="30"/>
          <w:szCs w:val="30"/>
          <w:rtl/>
          <w:lang w:bidi="ar-EG"/>
        </w:rPr>
        <w:t xml:space="preserve"> وكلاء التحصيل </w:t>
      </w:r>
      <w:r w:rsidRPr="00EB5BCF">
        <w:rPr>
          <w:rFonts w:ascii="Traditional Arabic" w:hAnsi="Traditional Arabic" w:cs="Traditional Arabic"/>
          <w:b/>
          <w:sz w:val="30"/>
          <w:szCs w:val="30"/>
          <w:rtl/>
          <w:lang w:bidi="ar-EG"/>
        </w:rPr>
        <w:t>الإفصاح عن ماهية تلك الاستثمارات أو المعاملات إلا ما يكون بموجب التزام قانوني أو تنظيمي.</w:t>
      </w:r>
    </w:p>
    <w:p w14:paraId="75BD87A0" w14:textId="77777777" w:rsidR="00453662" w:rsidRDefault="00453662" w:rsidP="00453662">
      <w:pPr>
        <w:keepNext/>
        <w:bidi/>
        <w:jc w:val="both"/>
        <w:rPr>
          <w:rFonts w:ascii="Traditional Arabic" w:hAnsi="Traditional Arabic" w:cs="Traditional Arabic"/>
          <w:b/>
          <w:sz w:val="30"/>
          <w:szCs w:val="30"/>
          <w:rtl/>
          <w:lang w:bidi="ar-EG"/>
        </w:rPr>
      </w:pPr>
    </w:p>
    <w:p w14:paraId="0308F020" w14:textId="77777777" w:rsidR="00453662" w:rsidRPr="00EB5BCF" w:rsidRDefault="00453662" w:rsidP="00453662">
      <w:pPr>
        <w:keepNext/>
        <w:bidi/>
        <w:jc w:val="both"/>
        <w:rPr>
          <w:rFonts w:ascii="Traditional Arabic" w:hAnsi="Traditional Arabic" w:cs="Traditional Arabic"/>
          <w:b/>
          <w:sz w:val="30"/>
          <w:szCs w:val="30"/>
          <w:rtl/>
          <w:lang w:bidi="ar-EG"/>
        </w:rPr>
      </w:pPr>
      <w:r w:rsidRPr="00453662">
        <w:rPr>
          <w:rFonts w:ascii="Traditional Arabic" w:hAnsi="Traditional Arabic" w:cs="Traditional Arabic"/>
          <w:b/>
          <w:sz w:val="30"/>
          <w:szCs w:val="30"/>
          <w:rtl/>
          <w:lang w:bidi="ar-EG"/>
        </w:rPr>
        <w:t xml:space="preserve">ومما تجدر الإشارة إليه هنا أنه لم يتم تفويض أي شخص للإدلاء بأية بيانات أو تقديم أية معلومات عن الشركة ولا عن الأسهم المطروحة للاكتتاب، بخلاف الأشخاص الواردة أسماؤهم في هذه النشرة. وفي حالة قيام أي شخص آخر – باستثناء الشخص المخول من الشركة أو </w:t>
      </w:r>
      <w:r w:rsidR="000861C6">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bidi="ar-EG"/>
        </w:rPr>
        <w:t xml:space="preserve"> المشترك</w:t>
      </w:r>
      <w:r w:rsidRPr="00453662">
        <w:rPr>
          <w:rFonts w:ascii="Traditional Arabic" w:hAnsi="Traditional Arabic" w:cs="Traditional Arabic"/>
          <w:b/>
          <w:sz w:val="30"/>
          <w:szCs w:val="30"/>
          <w:rtl/>
          <w:lang w:bidi="ar-EG"/>
        </w:rPr>
        <w:t xml:space="preserve"> </w:t>
      </w:r>
      <w:r w:rsidR="00DF36DC">
        <w:rPr>
          <w:rFonts w:ascii="Traditional Arabic" w:hAnsi="Traditional Arabic" w:cs="Traditional Arabic" w:hint="cs"/>
          <w:b/>
          <w:sz w:val="30"/>
          <w:szCs w:val="30"/>
          <w:rtl/>
          <w:lang w:bidi="ar-EG"/>
        </w:rPr>
        <w:t xml:space="preserve">ومدير الإصدار </w:t>
      </w:r>
      <w:r w:rsidRPr="00453662">
        <w:rPr>
          <w:rFonts w:ascii="Traditional Arabic" w:hAnsi="Traditional Arabic" w:cs="Traditional Arabic"/>
          <w:b/>
          <w:sz w:val="30"/>
          <w:szCs w:val="30"/>
          <w:rtl/>
          <w:lang w:bidi="ar-EG"/>
        </w:rPr>
        <w:t xml:space="preserve">ووكلاء التحصيل - بالإدلاء بأية بيانات أو تقديم أية </w:t>
      </w:r>
      <w:r w:rsidRPr="00453662">
        <w:rPr>
          <w:rFonts w:ascii="Traditional Arabic" w:hAnsi="Traditional Arabic" w:cs="Traditional Arabic"/>
          <w:b/>
          <w:sz w:val="30"/>
          <w:szCs w:val="30"/>
          <w:rtl/>
          <w:lang w:bidi="ar-EG"/>
        </w:rPr>
        <w:lastRenderedPageBreak/>
        <w:t xml:space="preserve">معلومات، فإنه يجب عدم الاعتداد بها أو الاستناد إليها على إنها صادرة من شخص مفوض من قبل الشركة أو من قبل </w:t>
      </w:r>
      <w:r w:rsidR="000861C6">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bidi="ar-EG"/>
        </w:rPr>
        <w:t xml:space="preserve"> المشترك</w:t>
      </w:r>
      <w:r w:rsidRPr="00453662">
        <w:rPr>
          <w:rFonts w:ascii="Traditional Arabic" w:hAnsi="Traditional Arabic" w:cs="Traditional Arabic"/>
          <w:b/>
          <w:sz w:val="30"/>
          <w:szCs w:val="30"/>
          <w:rtl/>
          <w:lang w:bidi="ar-EG"/>
        </w:rPr>
        <w:t xml:space="preserve"> </w:t>
      </w:r>
      <w:r w:rsidR="00DF36DC">
        <w:rPr>
          <w:rFonts w:ascii="Traditional Arabic" w:hAnsi="Traditional Arabic" w:cs="Traditional Arabic" w:hint="cs"/>
          <w:b/>
          <w:sz w:val="30"/>
          <w:szCs w:val="30"/>
          <w:rtl/>
          <w:lang w:bidi="ar-EG"/>
        </w:rPr>
        <w:t xml:space="preserve">ومدير الإصدار </w:t>
      </w:r>
      <w:r w:rsidRPr="00453662">
        <w:rPr>
          <w:rFonts w:ascii="Traditional Arabic" w:hAnsi="Traditional Arabic" w:cs="Traditional Arabic"/>
          <w:b/>
          <w:sz w:val="30"/>
          <w:szCs w:val="30"/>
          <w:rtl/>
          <w:lang w:bidi="ar-EG"/>
        </w:rPr>
        <w:t>ووكلاء التحصيل</w:t>
      </w:r>
      <w:r w:rsidR="00D4572C">
        <w:rPr>
          <w:rFonts w:ascii="Traditional Arabic" w:hAnsi="Traditional Arabic" w:cs="Traditional Arabic" w:hint="cs"/>
          <w:b/>
          <w:sz w:val="30"/>
          <w:szCs w:val="30"/>
          <w:rtl/>
          <w:lang w:bidi="ar-EG"/>
        </w:rPr>
        <w:t>.</w:t>
      </w:r>
    </w:p>
    <w:p w14:paraId="08F0BDCA" w14:textId="77777777" w:rsidR="00077F49" w:rsidRPr="00EB5BCF" w:rsidRDefault="00077F49" w:rsidP="00077F49">
      <w:pPr>
        <w:keepNext/>
        <w:bidi/>
        <w:jc w:val="both"/>
        <w:rPr>
          <w:rFonts w:ascii="Traditional Arabic" w:hAnsi="Traditional Arabic" w:cs="Traditional Arabic"/>
          <w:b/>
          <w:sz w:val="30"/>
          <w:szCs w:val="30"/>
          <w:rtl/>
          <w:lang w:bidi="ar-EG"/>
        </w:rPr>
      </w:pPr>
    </w:p>
    <w:p w14:paraId="16ADB0C6" w14:textId="77777777" w:rsidR="00077F49" w:rsidRPr="00EB5BCF" w:rsidRDefault="00077F49" w:rsidP="00077F49">
      <w:pPr>
        <w:keepNext/>
        <w:bidi/>
        <w:jc w:val="both"/>
        <w:rPr>
          <w:rFonts w:ascii="Traditional Arabic" w:hAnsi="Traditional Arabic" w:cs="Traditional Arabic"/>
          <w:b/>
          <w:sz w:val="30"/>
          <w:szCs w:val="30"/>
          <w:lang w:bidi="ar-EG"/>
        </w:rPr>
      </w:pPr>
      <w:r w:rsidRPr="00EB5BCF">
        <w:rPr>
          <w:rFonts w:ascii="Traditional Arabic" w:hAnsi="Traditional Arabic" w:cs="Traditional Arabic"/>
          <w:b/>
          <w:sz w:val="30"/>
          <w:szCs w:val="30"/>
          <w:rtl/>
          <w:lang w:bidi="ar-EG"/>
        </w:rPr>
        <w:t xml:space="preserve">هذا الطرح هو طرح لأوراق مالية </w:t>
      </w:r>
      <w:r w:rsidR="00427028" w:rsidRPr="00EB5BCF">
        <w:rPr>
          <w:rFonts w:ascii="Traditional Arabic" w:hAnsi="Traditional Arabic" w:cs="Traditional Arabic"/>
          <w:b/>
          <w:sz w:val="30"/>
          <w:szCs w:val="30"/>
          <w:rtl/>
          <w:lang w:bidi="ar-EG"/>
        </w:rPr>
        <w:t xml:space="preserve">والتي سوف </w:t>
      </w:r>
      <w:r w:rsidRPr="00EB5BCF">
        <w:rPr>
          <w:rFonts w:ascii="Traditional Arabic" w:hAnsi="Traditional Arabic" w:cs="Traditional Arabic"/>
          <w:b/>
          <w:sz w:val="30"/>
          <w:szCs w:val="30"/>
          <w:rtl/>
          <w:lang w:bidi="ar-EG"/>
        </w:rPr>
        <w:t>يتم تسجيلها في بورصة مسقط، وعلى المستثمرين معرفة أن هذه النشرة وأي مستند آخر أو إعلان يتعلق بالطرح قد تم إعداده أو سيتم إعداده وفق متطلبات الإفصاح السارية على الشركة المدرجة في بورصة مسقط، وأن هذه المتطلبات قد تختلف عن غيرها من المتطلبات المعمول بها في بلد</w:t>
      </w:r>
      <w:r w:rsidR="00427028" w:rsidRPr="00EB5BCF">
        <w:rPr>
          <w:rFonts w:ascii="Traditional Arabic" w:hAnsi="Traditional Arabic" w:cs="Traditional Arabic"/>
          <w:b/>
          <w:sz w:val="30"/>
          <w:szCs w:val="30"/>
          <w:rtl/>
          <w:lang w:bidi="ar-EG"/>
        </w:rPr>
        <w:t>ان</w:t>
      </w:r>
      <w:r w:rsidRPr="00EB5BCF">
        <w:rPr>
          <w:rFonts w:ascii="Traditional Arabic" w:hAnsi="Traditional Arabic" w:cs="Traditional Arabic"/>
          <w:b/>
          <w:sz w:val="30"/>
          <w:szCs w:val="30"/>
          <w:rtl/>
          <w:lang w:bidi="ar-EG"/>
        </w:rPr>
        <w:t xml:space="preserve"> أخرى.</w:t>
      </w:r>
    </w:p>
    <w:p w14:paraId="206363DB" w14:textId="77777777" w:rsidR="000861C6" w:rsidRPr="00EB5BCF" w:rsidRDefault="000861C6" w:rsidP="000861C6">
      <w:pPr>
        <w:keepNext/>
        <w:bidi/>
        <w:jc w:val="both"/>
        <w:rPr>
          <w:rFonts w:ascii="Traditional Arabic" w:hAnsi="Traditional Arabic" w:cs="Traditional Arabic"/>
          <w:b/>
          <w:sz w:val="30"/>
          <w:szCs w:val="30"/>
          <w:lang w:bidi="ar-EG"/>
        </w:rPr>
      </w:pPr>
    </w:p>
    <w:p w14:paraId="1FFA7B2D" w14:textId="77777777" w:rsidR="00077F49" w:rsidRPr="00EB5BCF" w:rsidRDefault="00077F49" w:rsidP="00077F49">
      <w:pPr>
        <w:keepNext/>
        <w:bidi/>
        <w:jc w:val="center"/>
        <w:rPr>
          <w:rFonts w:ascii="Traditional Arabic" w:hAnsi="Traditional Arabic" w:cs="Traditional Arabic"/>
          <w:bCs/>
          <w:sz w:val="30"/>
          <w:szCs w:val="30"/>
          <w:rtl/>
          <w:lang w:bidi="ar-EG"/>
        </w:rPr>
      </w:pPr>
      <w:r w:rsidRPr="00EB5BCF">
        <w:rPr>
          <w:rFonts w:ascii="Traditional Arabic" w:hAnsi="Traditional Arabic" w:cs="Traditional Arabic"/>
          <w:bCs/>
          <w:sz w:val="30"/>
          <w:szCs w:val="30"/>
          <w:rtl/>
          <w:lang w:bidi="ar-EG"/>
        </w:rPr>
        <w:t>تنبيه مهم للمستثمرين</w:t>
      </w:r>
    </w:p>
    <w:p w14:paraId="6754286D" w14:textId="77777777" w:rsidR="00077F49" w:rsidRPr="00EB5BCF" w:rsidRDefault="00077F49" w:rsidP="00077F49">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قد يُحظر قانونا</w:t>
      </w:r>
      <w:r w:rsidR="00427028"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 توزيع هذه النشرة وطرح الأسهم في بعض البلد</w:t>
      </w:r>
      <w:r w:rsidR="00427028" w:rsidRPr="00EB5BCF">
        <w:rPr>
          <w:rFonts w:ascii="Traditional Arabic" w:hAnsi="Traditional Arabic" w:cs="Traditional Arabic"/>
          <w:b/>
          <w:sz w:val="30"/>
          <w:szCs w:val="30"/>
          <w:rtl/>
          <w:lang w:bidi="ar-EG"/>
        </w:rPr>
        <w:t>ان</w:t>
      </w:r>
      <w:r w:rsidR="006E0FF6">
        <w:rPr>
          <w:rFonts w:ascii="Traditional Arabic" w:hAnsi="Traditional Arabic" w:cs="Traditional Arabic" w:hint="cs"/>
          <w:b/>
          <w:sz w:val="30"/>
          <w:szCs w:val="30"/>
          <w:rtl/>
          <w:lang w:bidi="ar-EG"/>
        </w:rPr>
        <w:t xml:space="preserve"> أو قد يتطلب توزيعها وطرحها الحصول على موافقات</w:t>
      </w:r>
      <w:r w:rsidR="00965CD7">
        <w:rPr>
          <w:rFonts w:ascii="Traditional Arabic" w:hAnsi="Traditional Arabic" w:cs="Traditional Arabic" w:hint="cs"/>
          <w:b/>
          <w:sz w:val="30"/>
          <w:szCs w:val="30"/>
          <w:rtl/>
          <w:lang w:bidi="ar-EG"/>
        </w:rPr>
        <w:t xml:space="preserve"> تنظيمية</w:t>
      </w:r>
      <w:r w:rsidR="006E0FF6">
        <w:rPr>
          <w:rFonts w:ascii="Traditional Arabic" w:hAnsi="Traditional Arabic" w:cs="Traditional Arabic" w:hint="cs"/>
          <w:b/>
          <w:sz w:val="30"/>
          <w:szCs w:val="30"/>
          <w:rtl/>
          <w:lang w:bidi="ar-EG"/>
        </w:rPr>
        <w:t xml:space="preserve"> مسبقة</w:t>
      </w:r>
      <w:r w:rsidRPr="00EB5BCF">
        <w:rPr>
          <w:rFonts w:ascii="Traditional Arabic" w:hAnsi="Traditional Arabic" w:cs="Traditional Arabic"/>
          <w:b/>
          <w:sz w:val="30"/>
          <w:szCs w:val="30"/>
          <w:rtl/>
          <w:lang w:bidi="ar-EG"/>
        </w:rPr>
        <w:t>،</w:t>
      </w:r>
      <w:r w:rsidR="00CD09F9" w:rsidRPr="00EB5BCF">
        <w:rPr>
          <w:rFonts w:ascii="Traditional Arabic" w:hAnsi="Traditional Arabic" w:cs="Traditional Arabic"/>
          <w:b/>
          <w:sz w:val="30"/>
          <w:szCs w:val="30"/>
          <w:rtl/>
          <w:lang w:bidi="ar-EG"/>
        </w:rPr>
        <w:t xml:space="preserve"> </w:t>
      </w:r>
      <w:r w:rsidR="006E0FF6">
        <w:rPr>
          <w:rFonts w:ascii="Traditional Arabic" w:hAnsi="Traditional Arabic" w:cs="Traditional Arabic" w:hint="cs"/>
          <w:b/>
          <w:sz w:val="30"/>
          <w:szCs w:val="30"/>
          <w:rtl/>
          <w:lang w:bidi="ar-EG"/>
        </w:rPr>
        <w:t xml:space="preserve">هذا، </w:t>
      </w:r>
      <w:bookmarkStart w:id="2" w:name="_Hlk116847884"/>
      <w:r w:rsidR="006E0FF6">
        <w:rPr>
          <w:rFonts w:ascii="Traditional Arabic" w:hAnsi="Traditional Arabic" w:cs="Traditional Arabic" w:hint="cs"/>
          <w:b/>
          <w:sz w:val="30"/>
          <w:szCs w:val="30"/>
          <w:rtl/>
          <w:lang w:bidi="ar-EG"/>
        </w:rPr>
        <w:t>و</w:t>
      </w:r>
      <w:r w:rsidR="00CD09F9" w:rsidRPr="00EB5BCF">
        <w:rPr>
          <w:rFonts w:ascii="Traditional Arabic" w:hAnsi="Traditional Arabic" w:cs="Traditional Arabic"/>
          <w:b/>
          <w:sz w:val="30"/>
          <w:szCs w:val="30"/>
          <w:rtl/>
          <w:lang w:bidi="ar-EG"/>
        </w:rPr>
        <w:t xml:space="preserve">لم تتخذ الشركة ولا </w:t>
      </w:r>
      <w:r w:rsidR="000861C6">
        <w:rPr>
          <w:rFonts w:ascii="Traditional Arabic" w:hAnsi="Traditional Arabic" w:cs="Traditional Arabic"/>
          <w:b/>
          <w:sz w:val="30"/>
          <w:szCs w:val="30"/>
          <w:rtl/>
          <w:lang w:bidi="ar-EG"/>
        </w:rPr>
        <w:t>المساهم البائع</w:t>
      </w:r>
      <w:r w:rsidR="00CD09F9" w:rsidRPr="00EB5BCF">
        <w:rPr>
          <w:rFonts w:ascii="Traditional Arabic" w:hAnsi="Traditional Arabic" w:cs="Traditional Arabic"/>
          <w:b/>
          <w:sz w:val="30"/>
          <w:szCs w:val="30"/>
          <w:rtl/>
          <w:lang w:bidi="ar-EG"/>
        </w:rPr>
        <w:t xml:space="preserve"> ولا </w:t>
      </w:r>
      <w:r w:rsidR="000861C6">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bidi="ar-EG"/>
        </w:rPr>
        <w:t xml:space="preserve"> المشترك</w:t>
      </w:r>
      <w:r w:rsidR="00CD09F9"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ولا</w:t>
      </w:r>
      <w:r w:rsidR="00DF36DC">
        <w:rPr>
          <w:rFonts w:ascii="Traditional Arabic" w:hAnsi="Traditional Arabic" w:cs="Traditional Arabic" w:hint="cs"/>
          <w:b/>
          <w:sz w:val="30"/>
          <w:szCs w:val="30"/>
          <w:rtl/>
          <w:lang w:bidi="ar-EG"/>
        </w:rPr>
        <w:t xml:space="preserve"> مدير الإصدار ولا</w:t>
      </w:r>
      <w:r w:rsidR="006E41E5" w:rsidRPr="00EB5BCF">
        <w:rPr>
          <w:rFonts w:ascii="Traditional Arabic" w:hAnsi="Traditional Arabic" w:cs="Traditional Arabic"/>
          <w:b/>
          <w:sz w:val="30"/>
          <w:szCs w:val="30"/>
          <w:rtl/>
          <w:lang w:bidi="ar-EG"/>
        </w:rPr>
        <w:t xml:space="preserve"> وكلاء التحصيل </w:t>
      </w:r>
      <w:r w:rsidR="00CD09F9" w:rsidRPr="00EB5BCF">
        <w:rPr>
          <w:rFonts w:ascii="Traditional Arabic" w:hAnsi="Traditional Arabic" w:cs="Traditional Arabic"/>
          <w:b/>
          <w:sz w:val="30"/>
          <w:szCs w:val="30"/>
          <w:rtl/>
          <w:lang w:bidi="ar-EG"/>
        </w:rPr>
        <w:t xml:space="preserve">أي </w:t>
      </w:r>
      <w:r w:rsidR="00161581" w:rsidRPr="00EB5BCF">
        <w:rPr>
          <w:rFonts w:ascii="Traditional Arabic" w:hAnsi="Traditional Arabic" w:cs="Traditional Arabic"/>
          <w:b/>
          <w:sz w:val="30"/>
          <w:szCs w:val="30"/>
          <w:rtl/>
          <w:lang w:bidi="ar-EG"/>
        </w:rPr>
        <w:t xml:space="preserve">إجراء </w:t>
      </w:r>
      <w:r w:rsidR="004013C2" w:rsidRPr="00EB5BCF">
        <w:rPr>
          <w:rFonts w:ascii="Traditional Arabic" w:hAnsi="Traditional Arabic" w:cs="Traditional Arabic"/>
          <w:b/>
          <w:sz w:val="30"/>
          <w:szCs w:val="30"/>
          <w:rtl/>
          <w:lang w:bidi="ar-EG"/>
        </w:rPr>
        <w:t>قد يسمح</w:t>
      </w:r>
      <w:r w:rsidR="00161581" w:rsidRPr="00EB5BCF">
        <w:rPr>
          <w:rFonts w:ascii="Traditional Arabic" w:hAnsi="Traditional Arabic" w:cs="Traditional Arabic"/>
          <w:b/>
          <w:sz w:val="30"/>
          <w:szCs w:val="30"/>
          <w:rtl/>
          <w:lang w:bidi="ar-EG"/>
        </w:rPr>
        <w:t xml:space="preserve"> باكتتاب </w:t>
      </w:r>
      <w:r w:rsidR="004013C2" w:rsidRPr="00EB5BCF">
        <w:rPr>
          <w:rFonts w:ascii="Traditional Arabic" w:hAnsi="Traditional Arabic" w:cs="Traditional Arabic"/>
          <w:b/>
          <w:sz w:val="30"/>
          <w:szCs w:val="30"/>
          <w:rtl/>
          <w:lang w:bidi="ar-EG"/>
        </w:rPr>
        <w:t xml:space="preserve">عام </w:t>
      </w:r>
      <w:r w:rsidR="00161581" w:rsidRPr="00EB5BCF">
        <w:rPr>
          <w:rFonts w:ascii="Traditional Arabic" w:hAnsi="Traditional Arabic" w:cs="Traditional Arabic"/>
          <w:b/>
          <w:sz w:val="30"/>
          <w:szCs w:val="30"/>
          <w:rtl/>
          <w:lang w:bidi="ar-EG"/>
        </w:rPr>
        <w:t xml:space="preserve">في الأسهم أو </w:t>
      </w:r>
      <w:r w:rsidR="004013C2" w:rsidRPr="00EB5BCF">
        <w:rPr>
          <w:rFonts w:ascii="Traditional Arabic" w:hAnsi="Traditional Arabic" w:cs="Traditional Arabic"/>
          <w:b/>
          <w:sz w:val="30"/>
          <w:szCs w:val="30"/>
          <w:rtl/>
          <w:lang w:bidi="ar-EG"/>
        </w:rPr>
        <w:t xml:space="preserve">قد يسمح </w:t>
      </w:r>
      <w:r w:rsidR="00161581" w:rsidRPr="00EB5BCF">
        <w:rPr>
          <w:rFonts w:ascii="Traditional Arabic" w:hAnsi="Traditional Arabic" w:cs="Traditional Arabic"/>
          <w:b/>
          <w:sz w:val="30"/>
          <w:szCs w:val="30"/>
          <w:rtl/>
          <w:lang w:bidi="ar-EG"/>
        </w:rPr>
        <w:t>بتملك هذه النشرة أو توزيعها</w:t>
      </w:r>
      <w:r w:rsidR="005966F9" w:rsidRPr="00EB5BCF">
        <w:rPr>
          <w:rFonts w:ascii="Traditional Arabic" w:hAnsi="Traditional Arabic" w:cs="Traditional Arabic"/>
          <w:b/>
          <w:sz w:val="30"/>
          <w:szCs w:val="30"/>
          <w:rtl/>
          <w:lang w:bidi="ar-EG"/>
        </w:rPr>
        <w:t xml:space="preserve"> (أو أي طرح آخر أو مواد دعائية خاصة بالأسهم) في أي مكان يلزم فيه اتخاذ مثل هذا الإجراء باستثناء سلطنة عمان</w:t>
      </w:r>
      <w:r w:rsidRPr="00EB5BCF">
        <w:rPr>
          <w:rFonts w:ascii="Traditional Arabic" w:hAnsi="Traditional Arabic" w:cs="Traditional Arabic"/>
          <w:b/>
          <w:sz w:val="30"/>
          <w:szCs w:val="30"/>
          <w:rtl/>
          <w:lang w:bidi="ar-EG"/>
        </w:rPr>
        <w:t>.</w:t>
      </w:r>
    </w:p>
    <w:bookmarkEnd w:id="2"/>
    <w:p w14:paraId="229FD333" w14:textId="77777777" w:rsidR="00077F49" w:rsidRPr="00EB5BCF" w:rsidRDefault="00077F49" w:rsidP="00077F49">
      <w:pPr>
        <w:keepNext/>
        <w:bidi/>
        <w:jc w:val="both"/>
        <w:rPr>
          <w:rFonts w:ascii="Traditional Arabic" w:hAnsi="Traditional Arabic" w:cs="Traditional Arabic"/>
          <w:b/>
          <w:sz w:val="30"/>
          <w:szCs w:val="30"/>
          <w:rtl/>
          <w:lang w:bidi="ar-EG"/>
        </w:rPr>
      </w:pPr>
    </w:p>
    <w:p w14:paraId="68761568" w14:textId="77777777" w:rsidR="005579AD" w:rsidRPr="005579AD" w:rsidRDefault="005579AD" w:rsidP="005579AD">
      <w:pPr>
        <w:bidi/>
        <w:spacing w:beforeLines="40" w:before="96" w:afterLines="40" w:after="96" w:line="276" w:lineRule="auto"/>
        <w:jc w:val="both"/>
        <w:rPr>
          <w:rFonts w:ascii="Traditional Arabic" w:hAnsi="Traditional Arabic" w:cs="Traditional Arabic"/>
          <w:b/>
          <w:sz w:val="30"/>
          <w:szCs w:val="30"/>
          <w:rtl/>
          <w:lang w:bidi="ar-EG"/>
        </w:rPr>
      </w:pPr>
      <w:r w:rsidRPr="005579AD">
        <w:rPr>
          <w:rFonts w:ascii="Traditional Arabic" w:hAnsi="Traditional Arabic" w:cs="Traditional Arabic"/>
          <w:b/>
          <w:sz w:val="30"/>
          <w:szCs w:val="30"/>
          <w:rtl/>
          <w:lang w:bidi="ar-EG"/>
        </w:rPr>
        <w:t>لا تعتبر هذه النشرة عرضاً للبيع أو دعوة من قبل الشركة أو بالنيابة عنها لأي شخص للاكتتاب في أي من الأسهم المطروحة في أي منطقة خارج سلطنة عُمان؛ إذ يعدّ ذلك أمراً مخالفاً للقانون. ولا يجوز توزيع هذه النشرة في أي منطقة يكون أو قد يكون فيها مثل هذا التوزيع تجاوزاً للقانون، وبناء عليه فإن الشركة و</w:t>
      </w:r>
      <w:r w:rsidR="000861C6">
        <w:rPr>
          <w:rFonts w:ascii="Traditional Arabic" w:hAnsi="Traditional Arabic" w:cs="Traditional Arabic" w:hint="cs"/>
          <w:b/>
          <w:sz w:val="30"/>
          <w:szCs w:val="30"/>
          <w:rtl/>
          <w:lang w:bidi="ar-EG"/>
        </w:rPr>
        <w:t xml:space="preserve">مدير سجل الاكتتاب </w:t>
      </w:r>
      <w:r w:rsidR="00F37CF6">
        <w:rPr>
          <w:rFonts w:ascii="Traditional Arabic" w:hAnsi="Traditional Arabic" w:cs="Traditional Arabic"/>
          <w:b/>
          <w:sz w:val="30"/>
          <w:szCs w:val="30"/>
          <w:rtl/>
          <w:lang w:bidi="ar-EG"/>
        </w:rPr>
        <w:t>المشترك</w:t>
      </w:r>
      <w:r w:rsidRPr="005579AD">
        <w:rPr>
          <w:rFonts w:ascii="Traditional Arabic" w:hAnsi="Traditional Arabic" w:cs="Traditional Arabic"/>
          <w:b/>
          <w:sz w:val="30"/>
          <w:szCs w:val="30"/>
          <w:rtl/>
          <w:lang w:bidi="ar-EG"/>
        </w:rPr>
        <w:t xml:space="preserve"> </w:t>
      </w:r>
      <w:r w:rsidR="00DF36DC">
        <w:rPr>
          <w:rFonts w:ascii="Traditional Arabic" w:hAnsi="Traditional Arabic" w:cs="Traditional Arabic" w:hint="cs"/>
          <w:b/>
          <w:sz w:val="30"/>
          <w:szCs w:val="30"/>
          <w:rtl/>
          <w:lang w:bidi="ar-EG"/>
        </w:rPr>
        <w:t xml:space="preserve">ومدير الإصدار </w:t>
      </w:r>
      <w:r w:rsidRPr="005579AD">
        <w:rPr>
          <w:rFonts w:ascii="Traditional Arabic" w:hAnsi="Traditional Arabic" w:cs="Traditional Arabic"/>
          <w:b/>
          <w:sz w:val="30"/>
          <w:szCs w:val="30"/>
          <w:rtl/>
          <w:lang w:bidi="ar-EG"/>
        </w:rPr>
        <w:t xml:space="preserve">ووكلاء التحصيل يطالبون الأشخاص الذين يحصلون على هذه النشرة بالعلم بضرورة مراعاة جميع القيود الواردة فيها والتقيد بها، لأن عدم الالتزام بها قد يتسبب في مخالفة لقوانين الأوراق المالية في الدول التي نشأ فيها عدم الالتزام. ولن تتحمل الشركة ولا </w:t>
      </w:r>
      <w:r w:rsidR="000861C6">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bidi="ar-EG"/>
        </w:rPr>
        <w:t xml:space="preserve"> المشترك</w:t>
      </w:r>
      <w:r w:rsidRPr="005579AD">
        <w:rPr>
          <w:rFonts w:ascii="Traditional Arabic" w:hAnsi="Traditional Arabic" w:cs="Traditional Arabic"/>
          <w:b/>
          <w:sz w:val="30"/>
          <w:szCs w:val="30"/>
          <w:rtl/>
          <w:lang w:bidi="ar-EG"/>
        </w:rPr>
        <w:t xml:space="preserve"> </w:t>
      </w:r>
      <w:r w:rsidR="00DF36DC">
        <w:rPr>
          <w:rFonts w:ascii="Traditional Arabic" w:hAnsi="Traditional Arabic" w:cs="Traditional Arabic" w:hint="cs"/>
          <w:b/>
          <w:sz w:val="30"/>
          <w:szCs w:val="30"/>
          <w:rtl/>
          <w:lang w:bidi="ar-EG"/>
        </w:rPr>
        <w:t xml:space="preserve">ولا مدير الإصدار </w:t>
      </w:r>
      <w:r w:rsidRPr="005579AD">
        <w:rPr>
          <w:rFonts w:ascii="Traditional Arabic" w:hAnsi="Traditional Arabic" w:cs="Traditional Arabic"/>
          <w:b/>
          <w:sz w:val="30"/>
          <w:szCs w:val="30"/>
          <w:rtl/>
          <w:lang w:bidi="ar-EG"/>
        </w:rPr>
        <w:t>ولا وكلاء التحصيل أو أي من أعضاء مجالس إداراتهم أو المدراء أو المحاسبين أو المستشارين أو المحامين أو الموظفين أية مسؤولية قانونية عن أي انتهاك قد يحصل لأي من هذه القيود المفروضة على بيع الأسهم المكتتب فيها أو طرحها أو الترويج لها من قبل أي شخص، سواء كان - أو لم يكن - من مقدمي الطلبات المحتملين في أي منطقة خارج سلطنة عُمان؛ إذ أن ذلك يُعتبر أمراً غير مشروع</w:t>
      </w:r>
      <w:r w:rsidRPr="005579AD">
        <w:rPr>
          <w:rFonts w:ascii="Traditional Arabic" w:hAnsi="Traditional Arabic" w:cs="Traditional Arabic"/>
          <w:b/>
          <w:sz w:val="30"/>
          <w:szCs w:val="30"/>
          <w:lang w:bidi="ar-EG"/>
        </w:rPr>
        <w:t>.</w:t>
      </w:r>
    </w:p>
    <w:p w14:paraId="1520145F" w14:textId="77777777" w:rsidR="005579AD" w:rsidRDefault="005579AD" w:rsidP="00845BF9">
      <w:pPr>
        <w:keepNext/>
        <w:bidi/>
        <w:jc w:val="both"/>
        <w:rPr>
          <w:rFonts w:ascii="Traditional Arabic" w:hAnsi="Traditional Arabic" w:cs="Traditional Arabic"/>
          <w:b/>
          <w:sz w:val="30"/>
          <w:szCs w:val="30"/>
          <w:rtl/>
          <w:lang w:bidi="ar-EG"/>
        </w:rPr>
      </w:pPr>
    </w:p>
    <w:p w14:paraId="0ABA2EF9" w14:textId="77777777" w:rsidR="00D04BC1" w:rsidRPr="00EB5BCF" w:rsidRDefault="00351FF3" w:rsidP="00DC7B26">
      <w:pPr>
        <w:bidi/>
        <w:spacing w:beforeLines="40" w:before="96" w:afterLines="40" w:after="96" w:line="276" w:lineRule="auto"/>
        <w:jc w:val="both"/>
        <w:rPr>
          <w:rFonts w:ascii="Traditional Arabic" w:hAnsi="Traditional Arabic" w:cs="Traditional Arabic"/>
          <w:b/>
          <w:sz w:val="30"/>
          <w:szCs w:val="30"/>
          <w:rtl/>
          <w:lang w:bidi="ar-EG"/>
        </w:rPr>
      </w:pPr>
      <w:r w:rsidRPr="00351FF3">
        <w:rPr>
          <w:rFonts w:ascii="Traditional Arabic" w:hAnsi="Traditional Arabic" w:cs="Traditional Arabic"/>
          <w:b/>
          <w:sz w:val="30"/>
          <w:szCs w:val="30"/>
          <w:rtl/>
          <w:lang w:bidi="ar-EG"/>
        </w:rPr>
        <w:t>تخضع أسهم الطرح لقيود على نقلها وإعادة بيعها، وقد لا يجوز نقلها ولا بيعها إلا وفق أحكام قوانين الأوراق المالية واللائحة التنفيذية لقانون سوق المال. هذا</w:t>
      </w:r>
      <w:r w:rsidRPr="009D62FD">
        <w:rPr>
          <w:rFonts w:ascii="Arabic Typesetting" w:hAnsi="Arabic Typesetting" w:cs="Arabic Typesetting"/>
          <w:sz w:val="36"/>
          <w:szCs w:val="36"/>
          <w:rtl/>
        </w:rPr>
        <w:t xml:space="preserve">، </w:t>
      </w:r>
      <w:r w:rsidRPr="00351FF3">
        <w:rPr>
          <w:rFonts w:ascii="Traditional Arabic" w:hAnsi="Traditional Arabic" w:cs="Traditional Arabic"/>
          <w:b/>
          <w:bCs/>
          <w:sz w:val="28"/>
          <w:szCs w:val="28"/>
          <w:rtl/>
        </w:rPr>
        <w:t>ويتعين على المستثمرين إدراك أنه قد يُطلب منهم تحمل المخاطر المالية الخاصة بهذا الاستثمار لمدة زمنية غير محددة. انظر "قيود البيع" أدناه.</w:t>
      </w:r>
    </w:p>
    <w:p w14:paraId="23A8AB40" w14:textId="77777777" w:rsidR="00845BF9" w:rsidRPr="00EB5BCF" w:rsidRDefault="00845BF9" w:rsidP="00845BF9">
      <w:pPr>
        <w:keepNext/>
        <w:bidi/>
        <w:jc w:val="center"/>
        <w:rPr>
          <w:rFonts w:ascii="Traditional Arabic" w:hAnsi="Traditional Arabic" w:cs="Traditional Arabic"/>
          <w:b/>
          <w:sz w:val="30"/>
          <w:szCs w:val="30"/>
          <w:rtl/>
          <w:lang w:bidi="ar-EG"/>
        </w:rPr>
      </w:pPr>
      <w:r w:rsidRPr="00EB5BCF">
        <w:rPr>
          <w:rFonts w:ascii="Traditional Arabic" w:hAnsi="Traditional Arabic" w:cs="Traditional Arabic"/>
          <w:bCs/>
          <w:sz w:val="30"/>
          <w:szCs w:val="30"/>
          <w:rtl/>
          <w:lang w:bidi="ar-EG"/>
        </w:rPr>
        <w:lastRenderedPageBreak/>
        <w:t>قيود البيع</w:t>
      </w:r>
    </w:p>
    <w:p w14:paraId="18BE70D9" w14:textId="77777777" w:rsidR="006F57FF" w:rsidRPr="00EB5BCF" w:rsidRDefault="006F57FF" w:rsidP="00845BF9">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 xml:space="preserve">لم </w:t>
      </w:r>
      <w:r w:rsidR="004013C2" w:rsidRPr="00EB5BCF">
        <w:rPr>
          <w:rFonts w:ascii="Traditional Arabic" w:hAnsi="Traditional Arabic" w:cs="Traditional Arabic"/>
          <w:b/>
          <w:sz w:val="30"/>
          <w:szCs w:val="30"/>
          <w:rtl/>
          <w:lang w:bidi="ar-EG"/>
        </w:rPr>
        <w:t xml:space="preserve">يتم اتخاذ </w:t>
      </w:r>
      <w:r w:rsidRPr="00EB5BCF">
        <w:rPr>
          <w:rFonts w:ascii="Traditional Arabic" w:hAnsi="Traditional Arabic" w:cs="Traditional Arabic"/>
          <w:b/>
          <w:sz w:val="30"/>
          <w:szCs w:val="30"/>
          <w:rtl/>
          <w:lang w:bidi="ar-EG"/>
        </w:rPr>
        <w:t>أي إجراء</w:t>
      </w:r>
      <w:r w:rsidR="00E31550" w:rsidRPr="00EB5BCF">
        <w:rPr>
          <w:rFonts w:ascii="Traditional Arabic" w:hAnsi="Traditional Arabic" w:cs="Traditional Arabic"/>
          <w:b/>
          <w:sz w:val="30"/>
          <w:szCs w:val="30"/>
          <w:rtl/>
          <w:lang w:bidi="ar-EG"/>
        </w:rPr>
        <w:t xml:space="preserve"> ولن يتم اتخاذ أي إجراء</w:t>
      </w:r>
      <w:r w:rsidRPr="00EB5BCF">
        <w:rPr>
          <w:rFonts w:ascii="Traditional Arabic" w:hAnsi="Traditional Arabic" w:cs="Traditional Arabic"/>
          <w:b/>
          <w:sz w:val="30"/>
          <w:szCs w:val="30"/>
          <w:rtl/>
          <w:lang w:bidi="ar-EG"/>
        </w:rPr>
        <w:t xml:space="preserve"> </w:t>
      </w:r>
      <w:r w:rsidR="004013C2" w:rsidRPr="00EB5BCF">
        <w:rPr>
          <w:rFonts w:ascii="Traditional Arabic" w:hAnsi="Traditional Arabic" w:cs="Traditional Arabic"/>
          <w:b/>
          <w:sz w:val="30"/>
          <w:szCs w:val="30"/>
          <w:rtl/>
          <w:lang w:bidi="ar-EG"/>
        </w:rPr>
        <w:t>قد يسمح</w:t>
      </w:r>
      <w:r w:rsidRPr="00EB5BCF">
        <w:rPr>
          <w:rFonts w:ascii="Traditional Arabic" w:hAnsi="Traditional Arabic" w:cs="Traditional Arabic"/>
          <w:b/>
          <w:sz w:val="30"/>
          <w:szCs w:val="30"/>
          <w:rtl/>
          <w:lang w:bidi="ar-EG"/>
        </w:rPr>
        <w:t xml:space="preserve"> باكتتاب </w:t>
      </w:r>
      <w:r w:rsidR="004013C2" w:rsidRPr="00EB5BCF">
        <w:rPr>
          <w:rFonts w:ascii="Traditional Arabic" w:hAnsi="Traditional Arabic" w:cs="Traditional Arabic"/>
          <w:b/>
          <w:sz w:val="30"/>
          <w:szCs w:val="30"/>
          <w:rtl/>
          <w:lang w:bidi="ar-EG"/>
        </w:rPr>
        <w:t xml:space="preserve">عام </w:t>
      </w:r>
      <w:r w:rsidRPr="00EB5BCF">
        <w:rPr>
          <w:rFonts w:ascii="Traditional Arabic" w:hAnsi="Traditional Arabic" w:cs="Traditional Arabic"/>
          <w:b/>
          <w:sz w:val="30"/>
          <w:szCs w:val="30"/>
          <w:rtl/>
          <w:lang w:bidi="ar-EG"/>
        </w:rPr>
        <w:t xml:space="preserve">في الأسهم أو </w:t>
      </w:r>
      <w:r w:rsidR="004013C2" w:rsidRPr="00EB5BCF">
        <w:rPr>
          <w:rFonts w:ascii="Traditional Arabic" w:hAnsi="Traditional Arabic" w:cs="Traditional Arabic"/>
          <w:b/>
          <w:sz w:val="30"/>
          <w:szCs w:val="30"/>
          <w:rtl/>
          <w:lang w:bidi="ar-EG"/>
        </w:rPr>
        <w:t>قد يسمح</w:t>
      </w:r>
      <w:r w:rsidRPr="00EB5BCF">
        <w:rPr>
          <w:rFonts w:ascii="Traditional Arabic" w:hAnsi="Traditional Arabic" w:cs="Traditional Arabic"/>
          <w:b/>
          <w:sz w:val="30"/>
          <w:szCs w:val="30"/>
          <w:rtl/>
          <w:lang w:bidi="ar-EG"/>
        </w:rPr>
        <w:t xml:space="preserve"> بتملك هذه النشرة أو توزيعها</w:t>
      </w:r>
      <w:r w:rsidR="00CA6BD2" w:rsidRPr="00EB5BCF">
        <w:rPr>
          <w:rFonts w:ascii="Traditional Arabic" w:hAnsi="Traditional Arabic" w:cs="Traditional Arabic"/>
          <w:b/>
          <w:sz w:val="30"/>
          <w:szCs w:val="30"/>
          <w:rtl/>
          <w:lang w:bidi="ar-EG"/>
        </w:rPr>
        <w:t xml:space="preserve"> </w:t>
      </w:r>
      <w:r w:rsidRPr="00EB5BCF">
        <w:rPr>
          <w:rFonts w:ascii="Traditional Arabic" w:hAnsi="Traditional Arabic" w:cs="Traditional Arabic"/>
          <w:b/>
          <w:sz w:val="30"/>
          <w:szCs w:val="30"/>
          <w:rtl/>
          <w:lang w:bidi="ar-EG"/>
        </w:rPr>
        <w:t xml:space="preserve">أو </w:t>
      </w:r>
      <w:r w:rsidR="00CA6BD2" w:rsidRPr="00EB5BCF">
        <w:rPr>
          <w:rFonts w:ascii="Traditional Arabic" w:hAnsi="Traditional Arabic" w:cs="Traditional Arabic"/>
          <w:b/>
          <w:sz w:val="30"/>
          <w:szCs w:val="30"/>
          <w:rtl/>
          <w:lang w:bidi="ar-EG"/>
        </w:rPr>
        <w:t xml:space="preserve">أي </w:t>
      </w:r>
      <w:r w:rsidRPr="00EB5BCF">
        <w:rPr>
          <w:rFonts w:ascii="Traditional Arabic" w:hAnsi="Traditional Arabic" w:cs="Traditional Arabic"/>
          <w:b/>
          <w:sz w:val="30"/>
          <w:szCs w:val="30"/>
          <w:rtl/>
          <w:lang w:bidi="ar-EG"/>
        </w:rPr>
        <w:t xml:space="preserve">مواد </w:t>
      </w:r>
      <w:r w:rsidR="00CA6BD2" w:rsidRPr="00EB5BCF">
        <w:rPr>
          <w:rFonts w:ascii="Traditional Arabic" w:hAnsi="Traditional Arabic" w:cs="Traditional Arabic"/>
          <w:b/>
          <w:sz w:val="30"/>
          <w:szCs w:val="30"/>
          <w:rtl/>
          <w:lang w:bidi="ar-EG"/>
        </w:rPr>
        <w:t>أخرى تتعلق بالشركة أو</w:t>
      </w:r>
      <w:r w:rsidRPr="00EB5BCF">
        <w:rPr>
          <w:rFonts w:ascii="Traditional Arabic" w:hAnsi="Traditional Arabic" w:cs="Traditional Arabic"/>
          <w:b/>
          <w:sz w:val="30"/>
          <w:szCs w:val="30"/>
          <w:rtl/>
          <w:lang w:bidi="ar-EG"/>
        </w:rPr>
        <w:t xml:space="preserve"> بالأسهم في أي مكان يلزم فيه اتخاذ مثل هذا الإجراء باست</w:t>
      </w:r>
      <w:r w:rsidR="006F231A" w:rsidRPr="00EB5BCF">
        <w:rPr>
          <w:rFonts w:ascii="Traditional Arabic" w:hAnsi="Traditional Arabic" w:cs="Traditional Arabic"/>
          <w:b/>
          <w:sz w:val="30"/>
          <w:szCs w:val="30"/>
          <w:rtl/>
          <w:lang w:bidi="ar-EG"/>
        </w:rPr>
        <w:t xml:space="preserve">ثناء سلطنة عمان ومن ثم لا يجوز </w:t>
      </w:r>
      <w:r w:rsidR="005D3570" w:rsidRPr="00EB5BCF">
        <w:rPr>
          <w:rFonts w:ascii="Traditional Arabic" w:hAnsi="Traditional Arabic" w:cs="Traditional Arabic"/>
          <w:b/>
          <w:sz w:val="30"/>
          <w:szCs w:val="30"/>
          <w:rtl/>
          <w:lang w:bidi="ar-EG"/>
        </w:rPr>
        <w:t xml:space="preserve">طرح هذه الأسهم ولا بيعها بصورة مباشرة أو غير مباشرة </w:t>
      </w:r>
      <w:r w:rsidR="007A680A" w:rsidRPr="00EB5BCF">
        <w:rPr>
          <w:rFonts w:ascii="Traditional Arabic" w:hAnsi="Traditional Arabic" w:cs="Traditional Arabic"/>
          <w:b/>
          <w:sz w:val="30"/>
          <w:szCs w:val="30"/>
          <w:rtl/>
          <w:lang w:bidi="ar-EG"/>
        </w:rPr>
        <w:t xml:space="preserve">كما لا يجوز </w:t>
      </w:r>
      <w:r w:rsidR="006F231A" w:rsidRPr="00EB5BCF">
        <w:rPr>
          <w:rFonts w:ascii="Traditional Arabic" w:hAnsi="Traditional Arabic" w:cs="Traditional Arabic"/>
          <w:b/>
          <w:sz w:val="30"/>
          <w:szCs w:val="30"/>
          <w:rtl/>
          <w:lang w:bidi="ar-EG"/>
        </w:rPr>
        <w:t>توزيع هذه النشرة ولا نشر أي إعلان أو ترويج خاص بالطرح</w:t>
      </w:r>
      <w:r w:rsidR="007A680A" w:rsidRPr="00EB5BCF">
        <w:rPr>
          <w:rFonts w:ascii="Traditional Arabic" w:hAnsi="Traditional Arabic" w:cs="Traditional Arabic"/>
          <w:b/>
          <w:sz w:val="30"/>
          <w:szCs w:val="30"/>
          <w:rtl/>
          <w:lang w:bidi="ar-EG"/>
        </w:rPr>
        <w:t xml:space="preserve"> أو أي مستند أو معلومات أخرى</w:t>
      </w:r>
      <w:r w:rsidR="006F231A" w:rsidRPr="00EB5BCF">
        <w:rPr>
          <w:rFonts w:ascii="Traditional Arabic" w:hAnsi="Traditional Arabic" w:cs="Traditional Arabic"/>
          <w:b/>
          <w:sz w:val="30"/>
          <w:szCs w:val="30"/>
          <w:rtl/>
          <w:lang w:bidi="ar-EG"/>
        </w:rPr>
        <w:t xml:space="preserve"> في أي بلد إلا بما يوافق القوانين واللوائح السارية في ذلك البلد.</w:t>
      </w:r>
    </w:p>
    <w:p w14:paraId="5CFBE9F4" w14:textId="77777777" w:rsidR="00427028" w:rsidRPr="00EB5BCF" w:rsidRDefault="00427028" w:rsidP="00427028">
      <w:pPr>
        <w:keepNext/>
        <w:bidi/>
        <w:jc w:val="both"/>
        <w:rPr>
          <w:rFonts w:ascii="Traditional Arabic" w:hAnsi="Traditional Arabic" w:cs="Traditional Arabic"/>
          <w:bCs/>
          <w:sz w:val="30"/>
          <w:szCs w:val="30"/>
          <w:rtl/>
          <w:lang w:bidi="ar-EG"/>
        </w:rPr>
      </w:pPr>
    </w:p>
    <w:p w14:paraId="474B2D87" w14:textId="77777777" w:rsidR="00845BF9" w:rsidRPr="00EB5BCF" w:rsidRDefault="00845BF9" w:rsidP="006F57FF">
      <w:pPr>
        <w:keepNext/>
        <w:bidi/>
        <w:jc w:val="both"/>
        <w:rPr>
          <w:rFonts w:ascii="Traditional Arabic" w:hAnsi="Traditional Arabic" w:cs="Traditional Arabic"/>
          <w:bCs/>
          <w:sz w:val="30"/>
          <w:szCs w:val="30"/>
          <w:rtl/>
          <w:lang w:bidi="ar-EG"/>
        </w:rPr>
      </w:pPr>
      <w:r w:rsidRPr="00EB5BCF">
        <w:rPr>
          <w:rFonts w:ascii="Traditional Arabic" w:hAnsi="Traditional Arabic" w:cs="Traditional Arabic"/>
          <w:bCs/>
          <w:sz w:val="30"/>
          <w:szCs w:val="30"/>
          <w:rtl/>
          <w:lang w:bidi="ar-EG"/>
        </w:rPr>
        <w:t>الولايات المتحدة</w:t>
      </w:r>
    </w:p>
    <w:p w14:paraId="2A1E5F7F" w14:textId="77777777" w:rsidR="00845BF9" w:rsidRPr="00EB5BCF" w:rsidRDefault="00845BF9" w:rsidP="00845BF9">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لم تُسجل الأسهم ولن تُسجل وفق قانون الأوراق المالية</w:t>
      </w:r>
      <w:r w:rsidR="00B43BB6" w:rsidRPr="00EB5BCF">
        <w:rPr>
          <w:rFonts w:ascii="Traditional Arabic" w:hAnsi="Traditional Arabic" w:cs="Traditional Arabic"/>
          <w:b/>
          <w:sz w:val="30"/>
          <w:szCs w:val="30"/>
          <w:rtl/>
          <w:lang w:bidi="ar-EG"/>
        </w:rPr>
        <w:t xml:space="preserve"> ولا أي قانون معمول به في شأن الأوراق المالية ولا أي لائحة سارية في أي ولاية من ولايات </w:t>
      </w:r>
      <w:r w:rsidR="007A3DD1" w:rsidRPr="00EB5BCF">
        <w:rPr>
          <w:rFonts w:ascii="Traditional Arabic" w:hAnsi="Traditional Arabic" w:cs="Traditional Arabic"/>
          <w:b/>
          <w:sz w:val="30"/>
          <w:szCs w:val="30"/>
          <w:rtl/>
          <w:lang w:bidi="ar-EG"/>
        </w:rPr>
        <w:t>الولايات المتحدة</w:t>
      </w:r>
      <w:r w:rsidRPr="00EB5BCF">
        <w:rPr>
          <w:rFonts w:ascii="Traditional Arabic" w:hAnsi="Traditional Arabic" w:cs="Traditional Arabic"/>
          <w:b/>
          <w:sz w:val="30"/>
          <w:szCs w:val="30"/>
          <w:rtl/>
          <w:lang w:bidi="ar-EG"/>
        </w:rPr>
        <w:t xml:space="preserve">، ولن تُطرح أو تُباع داخل الولايات المتحدة </w:t>
      </w:r>
      <w:r w:rsidR="007A3DD1" w:rsidRPr="00EB5BCF">
        <w:rPr>
          <w:rFonts w:ascii="Traditional Arabic" w:hAnsi="Traditional Arabic" w:cs="Traditional Arabic"/>
          <w:b/>
          <w:sz w:val="30"/>
          <w:szCs w:val="30"/>
          <w:rtl/>
          <w:lang w:bidi="ar-EG"/>
        </w:rPr>
        <w:t>مع مراعاة بعض الاستثناءات</w:t>
      </w:r>
      <w:r w:rsidRPr="00EB5BCF">
        <w:rPr>
          <w:rFonts w:ascii="Traditional Arabic" w:hAnsi="Traditional Arabic" w:cs="Traditional Arabic"/>
          <w:b/>
          <w:sz w:val="30"/>
          <w:szCs w:val="30"/>
          <w:rtl/>
          <w:lang w:bidi="ar-EG"/>
        </w:rPr>
        <w:t>.</w:t>
      </w:r>
    </w:p>
    <w:p w14:paraId="6A42619A" w14:textId="77777777" w:rsidR="00885687" w:rsidRPr="00EB5BCF" w:rsidRDefault="00885687" w:rsidP="00845BF9">
      <w:pPr>
        <w:keepNext/>
        <w:bidi/>
        <w:jc w:val="both"/>
        <w:rPr>
          <w:rFonts w:ascii="Traditional Arabic" w:hAnsi="Traditional Arabic" w:cs="Traditional Arabic"/>
          <w:b/>
          <w:sz w:val="30"/>
          <w:szCs w:val="30"/>
          <w:rtl/>
          <w:lang w:bidi="ar-EG"/>
        </w:rPr>
      </w:pPr>
    </w:p>
    <w:p w14:paraId="0FA74251" w14:textId="77777777" w:rsidR="00845BF9" w:rsidRPr="00EB5BCF" w:rsidRDefault="00845BF9" w:rsidP="00885687">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تُطرح الأسهم وتُباع خارج الولايات المتحدة طبقا للائحة (س).</w:t>
      </w:r>
    </w:p>
    <w:p w14:paraId="1EA7CA16" w14:textId="77777777" w:rsidR="00885687" w:rsidRPr="00EB5BCF" w:rsidRDefault="00885687" w:rsidP="00845BF9">
      <w:pPr>
        <w:keepNext/>
        <w:bidi/>
        <w:jc w:val="both"/>
        <w:rPr>
          <w:rFonts w:ascii="Traditional Arabic" w:hAnsi="Traditional Arabic" w:cs="Traditional Arabic"/>
          <w:b/>
          <w:sz w:val="30"/>
          <w:szCs w:val="30"/>
          <w:rtl/>
          <w:lang w:bidi="ar-EG"/>
        </w:rPr>
      </w:pPr>
    </w:p>
    <w:p w14:paraId="26006B5C" w14:textId="77777777" w:rsidR="00845BF9" w:rsidRPr="00EB5BCF" w:rsidRDefault="00845BF9" w:rsidP="00885687">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بالإضافة إلى ذلك، فإن طرح الأسهم أو بيعها داخل الولايات المتحدة من قبل أي متعامل (سواء كان مشاركا</w:t>
      </w:r>
      <w:r w:rsidR="00427028"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 في عملية الطرح أم لا) </w:t>
      </w:r>
      <w:r w:rsidR="00763D1D" w:rsidRPr="00EB5BCF">
        <w:rPr>
          <w:rFonts w:ascii="Traditional Arabic" w:hAnsi="Traditional Arabic" w:cs="Traditional Arabic"/>
          <w:b/>
          <w:sz w:val="30"/>
          <w:szCs w:val="30"/>
          <w:rtl/>
          <w:lang w:bidi="ar-EG"/>
        </w:rPr>
        <w:t>سيعتبر مخالفة لمتطلبات التسجيل المنصوص عليها في قانون الأوراق المالية.</w:t>
      </w:r>
    </w:p>
    <w:p w14:paraId="79237931" w14:textId="77777777" w:rsidR="00763D1D" w:rsidRPr="00EB5BCF" w:rsidRDefault="00763D1D" w:rsidP="00763D1D">
      <w:pPr>
        <w:keepNext/>
        <w:bidi/>
        <w:jc w:val="both"/>
        <w:rPr>
          <w:rFonts w:ascii="Traditional Arabic" w:hAnsi="Traditional Arabic" w:cs="Traditional Arabic"/>
          <w:b/>
          <w:sz w:val="30"/>
          <w:szCs w:val="30"/>
          <w:rtl/>
          <w:lang w:bidi="ar-EG"/>
        </w:rPr>
      </w:pPr>
    </w:p>
    <w:p w14:paraId="60ED45A9" w14:textId="77777777" w:rsidR="00763D1D" w:rsidRPr="00EB5BCF" w:rsidRDefault="00763D1D" w:rsidP="00763D1D">
      <w:pPr>
        <w:keepNext/>
        <w:bidi/>
        <w:jc w:val="both"/>
        <w:rPr>
          <w:rFonts w:ascii="Traditional Arabic" w:hAnsi="Traditional Arabic" w:cs="Traditional Arabic"/>
          <w:bCs/>
          <w:sz w:val="30"/>
          <w:szCs w:val="30"/>
          <w:rtl/>
          <w:lang w:bidi="ar-EG"/>
        </w:rPr>
      </w:pPr>
      <w:r w:rsidRPr="00EB5BCF">
        <w:rPr>
          <w:rFonts w:ascii="Traditional Arabic" w:hAnsi="Traditional Arabic" w:cs="Traditional Arabic"/>
          <w:bCs/>
          <w:sz w:val="30"/>
          <w:szCs w:val="30"/>
          <w:rtl/>
          <w:lang w:bidi="ar-EG"/>
        </w:rPr>
        <w:t>المملكة المتحدة</w:t>
      </w:r>
    </w:p>
    <w:p w14:paraId="09963DCA" w14:textId="77777777" w:rsidR="00763D1D" w:rsidRPr="00EB5BCF" w:rsidRDefault="00763D1D" w:rsidP="00763D1D">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 xml:space="preserve">لم تُطرح الأسهم ولن تُطرح في اكتتاب عام في المملكة المتحدة قبل نشر هذه النشرة </w:t>
      </w:r>
      <w:r w:rsidR="0038275B" w:rsidRPr="00EB5BCF">
        <w:rPr>
          <w:rFonts w:ascii="Traditional Arabic" w:hAnsi="Traditional Arabic" w:cs="Traditional Arabic"/>
          <w:b/>
          <w:sz w:val="30"/>
          <w:szCs w:val="30"/>
          <w:rtl/>
          <w:lang w:bidi="ar-EG"/>
        </w:rPr>
        <w:t xml:space="preserve">والتي تمت الموافقة عليها من قبل هيئة السلوك المالي بالمملكة المتحدة، </w:t>
      </w:r>
      <w:r w:rsidR="00AC0E9A" w:rsidRPr="00EB5BCF">
        <w:rPr>
          <w:rFonts w:ascii="Traditional Arabic" w:hAnsi="Traditional Arabic" w:cs="Traditional Arabic"/>
          <w:b/>
          <w:sz w:val="30"/>
          <w:szCs w:val="30"/>
          <w:rtl/>
          <w:lang w:bidi="ar-EG"/>
        </w:rPr>
        <w:t xml:space="preserve">وذلك وفق </w:t>
      </w:r>
      <w:r w:rsidR="00BB1DAD" w:rsidRPr="00EB5BCF">
        <w:rPr>
          <w:rFonts w:ascii="Traditional Arabic" w:hAnsi="Traditional Arabic" w:cs="Traditional Arabic"/>
          <w:b/>
          <w:sz w:val="30"/>
          <w:szCs w:val="30"/>
          <w:rtl/>
          <w:lang w:bidi="ar-EG"/>
        </w:rPr>
        <w:t>لائحة تنظيم نشرات الإصدار</w:t>
      </w:r>
      <w:r w:rsidR="00AC0E9A" w:rsidRPr="00EB5BCF">
        <w:rPr>
          <w:rFonts w:ascii="Traditional Arabic" w:hAnsi="Traditional Arabic" w:cs="Traditional Arabic"/>
          <w:b/>
          <w:sz w:val="30"/>
          <w:szCs w:val="30"/>
          <w:rtl/>
          <w:lang w:bidi="ar-EG"/>
        </w:rPr>
        <w:t xml:space="preserve"> وقانون الخدمات والأسواق المالية لسنة 2000 </w:t>
      </w:r>
      <w:r w:rsidR="0038275B" w:rsidRPr="00EB5BCF">
        <w:rPr>
          <w:rFonts w:ascii="Traditional Arabic" w:hAnsi="Traditional Arabic" w:cs="Traditional Arabic"/>
          <w:b/>
          <w:sz w:val="30"/>
          <w:szCs w:val="30"/>
          <w:rtl/>
          <w:lang w:bidi="ar-EG"/>
        </w:rPr>
        <w:t>على أنه يُستثنى من ذلك</w:t>
      </w:r>
      <w:r w:rsidR="00795B44" w:rsidRPr="00EB5BCF">
        <w:rPr>
          <w:rFonts w:ascii="Traditional Arabic" w:hAnsi="Traditional Arabic" w:cs="Traditional Arabic"/>
          <w:b/>
          <w:sz w:val="30"/>
          <w:szCs w:val="30"/>
          <w:rtl/>
          <w:lang w:bidi="ar-EG"/>
        </w:rPr>
        <w:t xml:space="preserve"> حسب اللائحة والقانون السابقين</w:t>
      </w:r>
      <w:r w:rsidR="0038275B" w:rsidRPr="00EB5BCF">
        <w:rPr>
          <w:rFonts w:ascii="Traditional Arabic" w:hAnsi="Traditional Arabic" w:cs="Traditional Arabic"/>
          <w:b/>
          <w:sz w:val="30"/>
          <w:szCs w:val="30"/>
          <w:rtl/>
          <w:lang w:bidi="ar-EG"/>
        </w:rPr>
        <w:t>:</w:t>
      </w:r>
    </w:p>
    <w:p w14:paraId="63CD163E" w14:textId="77777777" w:rsidR="0038275B" w:rsidRPr="00EB5BCF" w:rsidRDefault="0038275B" w:rsidP="00922116">
      <w:pPr>
        <w:pStyle w:val="ListParagraph"/>
        <w:keepNext/>
        <w:numPr>
          <w:ilvl w:val="0"/>
          <w:numId w:val="1"/>
        </w:numPr>
        <w:bidi/>
        <w:jc w:val="both"/>
        <w:rPr>
          <w:rFonts w:ascii="Traditional Arabic" w:hAnsi="Traditional Arabic" w:cs="Traditional Arabic"/>
          <w:b/>
          <w:sz w:val="30"/>
          <w:szCs w:val="30"/>
          <w:lang w:bidi="ar-EG"/>
        </w:rPr>
      </w:pPr>
      <w:r w:rsidRPr="00EB5BCF">
        <w:rPr>
          <w:rFonts w:ascii="Traditional Arabic" w:hAnsi="Traditional Arabic" w:cs="Traditional Arabic"/>
          <w:b/>
          <w:sz w:val="30"/>
          <w:szCs w:val="30"/>
          <w:rtl/>
          <w:lang w:bidi="ar-EG"/>
        </w:rPr>
        <w:t>أي شخص اعتباري من المستثمرين المؤهلين بحسب التعريف المحدد في المادة 2 من لائحة تنظيم نشرات الإصدار بالمملكة المتحدة.</w:t>
      </w:r>
    </w:p>
    <w:p w14:paraId="4DDB3AA4" w14:textId="77777777" w:rsidR="0038275B" w:rsidRPr="00EB5BCF" w:rsidRDefault="0038275B" w:rsidP="00922116">
      <w:pPr>
        <w:pStyle w:val="ListParagraph"/>
        <w:keepNext/>
        <w:numPr>
          <w:ilvl w:val="0"/>
          <w:numId w:val="1"/>
        </w:numPr>
        <w:bidi/>
        <w:jc w:val="both"/>
        <w:rPr>
          <w:rFonts w:ascii="Traditional Arabic" w:hAnsi="Traditional Arabic" w:cs="Traditional Arabic"/>
          <w:b/>
          <w:sz w:val="30"/>
          <w:szCs w:val="30"/>
          <w:lang w:bidi="ar-EG"/>
        </w:rPr>
      </w:pPr>
      <w:r w:rsidRPr="00EB5BCF">
        <w:rPr>
          <w:rFonts w:ascii="Traditional Arabic" w:hAnsi="Traditional Arabic" w:cs="Traditional Arabic"/>
          <w:b/>
          <w:sz w:val="30"/>
          <w:szCs w:val="30"/>
          <w:rtl/>
          <w:lang w:bidi="ar-EG"/>
        </w:rPr>
        <w:t xml:space="preserve">أقل من 150 شخصا طبيعيا أو اعتباريا (بخلاف المستثمرين المؤهلين بحسب التعريف المحدد في لائحة تنظيم نشرات الإصدار بالمملكة المتحدة) مع مراعاة الحصول على الموافقة المسبقة من </w:t>
      </w:r>
      <w:r w:rsidR="00F37CF6">
        <w:rPr>
          <w:rFonts w:ascii="Traditional Arabic" w:hAnsi="Traditional Arabic" w:cs="Traditional Arabic"/>
          <w:b/>
          <w:sz w:val="30"/>
          <w:szCs w:val="30"/>
          <w:rtl/>
          <w:lang w:bidi="ar-EG"/>
        </w:rPr>
        <w:t>المنسق العالمي المشترك</w:t>
      </w:r>
      <w:r w:rsidRPr="00EB5BCF">
        <w:rPr>
          <w:rFonts w:ascii="Traditional Arabic" w:hAnsi="Traditional Arabic" w:cs="Traditional Arabic"/>
          <w:b/>
          <w:sz w:val="30"/>
          <w:szCs w:val="30"/>
          <w:rtl/>
          <w:lang w:bidi="ar-EG"/>
        </w:rPr>
        <w:t xml:space="preserve"> بخصوص أي طرح</w:t>
      </w:r>
      <w:r w:rsidR="00360FF4" w:rsidRPr="00EB5BCF">
        <w:rPr>
          <w:rFonts w:ascii="Traditional Arabic" w:hAnsi="Traditional Arabic" w:cs="Traditional Arabic"/>
          <w:b/>
          <w:sz w:val="30"/>
          <w:szCs w:val="30"/>
          <w:rtl/>
          <w:lang w:bidi="ar-EG"/>
        </w:rPr>
        <w:t>.</w:t>
      </w:r>
    </w:p>
    <w:p w14:paraId="6E65718E" w14:textId="77777777" w:rsidR="00360FF4" w:rsidRPr="00EB5BCF" w:rsidRDefault="00360FF4" w:rsidP="00922116">
      <w:pPr>
        <w:pStyle w:val="ListParagraph"/>
        <w:keepNext/>
        <w:numPr>
          <w:ilvl w:val="0"/>
          <w:numId w:val="1"/>
        </w:numPr>
        <w:bidi/>
        <w:jc w:val="both"/>
        <w:rPr>
          <w:rFonts w:ascii="Traditional Arabic" w:hAnsi="Traditional Arabic" w:cs="Traditional Arabic"/>
          <w:b/>
          <w:sz w:val="30"/>
          <w:szCs w:val="30"/>
          <w:lang w:bidi="ar-EG"/>
        </w:rPr>
      </w:pPr>
      <w:r w:rsidRPr="00EB5BCF">
        <w:rPr>
          <w:rFonts w:ascii="Traditional Arabic" w:hAnsi="Traditional Arabic" w:cs="Traditional Arabic"/>
          <w:b/>
          <w:sz w:val="30"/>
          <w:szCs w:val="30"/>
          <w:rtl/>
          <w:lang w:bidi="ar-EG"/>
        </w:rPr>
        <w:t xml:space="preserve">في أي حالة أخرى وفق القسم 86 من </w:t>
      </w:r>
      <w:r w:rsidR="00C155D4" w:rsidRPr="00EB5BCF">
        <w:rPr>
          <w:rFonts w:ascii="Traditional Arabic" w:hAnsi="Traditional Arabic" w:cs="Traditional Arabic"/>
          <w:b/>
          <w:sz w:val="30"/>
          <w:szCs w:val="30"/>
          <w:rtl/>
          <w:lang w:bidi="ar-EG"/>
        </w:rPr>
        <w:t>قانون الخدمات والأسواق المالية.</w:t>
      </w:r>
    </w:p>
    <w:p w14:paraId="44C23578" w14:textId="77777777" w:rsidR="00CD5CD6" w:rsidRPr="00EB5BCF" w:rsidRDefault="00CD5CD6" w:rsidP="00C155D4">
      <w:pPr>
        <w:keepNext/>
        <w:bidi/>
        <w:jc w:val="both"/>
        <w:rPr>
          <w:rFonts w:ascii="Traditional Arabic" w:hAnsi="Traditional Arabic" w:cs="Traditional Arabic"/>
          <w:b/>
          <w:sz w:val="30"/>
          <w:szCs w:val="30"/>
          <w:rtl/>
          <w:lang w:bidi="ar-EG"/>
        </w:rPr>
      </w:pPr>
    </w:p>
    <w:p w14:paraId="698A1130" w14:textId="77777777" w:rsidR="00C155D4" w:rsidRPr="00EB5BCF" w:rsidRDefault="00C155D4" w:rsidP="00CD5CD6">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على أنّ طرحا</w:t>
      </w:r>
      <w:r w:rsidR="00427028"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 من هذا النوع لن يُلزم الشركة أو </w:t>
      </w:r>
      <w:r w:rsidR="007D24E4">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bidi="ar-EG"/>
        </w:rPr>
        <w:t xml:space="preserve"> المشترك</w:t>
      </w:r>
      <w:r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أو</w:t>
      </w:r>
      <w:r w:rsidR="006E41E5" w:rsidRPr="00EB5BCF">
        <w:rPr>
          <w:rFonts w:ascii="Traditional Arabic" w:hAnsi="Traditional Arabic" w:cs="Traditional Arabic"/>
          <w:b/>
          <w:sz w:val="30"/>
          <w:szCs w:val="30"/>
          <w:rtl/>
          <w:lang w:bidi="ar-EG"/>
        </w:rPr>
        <w:t xml:space="preserve"> </w:t>
      </w:r>
      <w:r w:rsidR="006773C9">
        <w:rPr>
          <w:rFonts w:ascii="Traditional Arabic" w:hAnsi="Traditional Arabic" w:cs="Traditional Arabic" w:hint="cs"/>
          <w:b/>
          <w:sz w:val="30"/>
          <w:szCs w:val="30"/>
          <w:rtl/>
          <w:lang w:bidi="ar-EG"/>
        </w:rPr>
        <w:t xml:space="preserve">مدير الإصدار أو </w:t>
      </w:r>
      <w:r w:rsidR="006E41E5" w:rsidRPr="00EB5BCF">
        <w:rPr>
          <w:rFonts w:ascii="Traditional Arabic" w:hAnsi="Traditional Arabic" w:cs="Traditional Arabic" w:hint="eastAsia"/>
          <w:b/>
          <w:sz w:val="30"/>
          <w:szCs w:val="30"/>
          <w:rtl/>
          <w:lang w:bidi="ar-EG"/>
        </w:rPr>
        <w:t>وكلاء</w:t>
      </w:r>
      <w:r w:rsidR="006E41E5"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التحصيل</w:t>
      </w:r>
      <w:r w:rsidR="006E41E5" w:rsidRPr="00EB5BCF">
        <w:rPr>
          <w:rFonts w:ascii="Traditional Arabic" w:hAnsi="Traditional Arabic" w:cs="Traditional Arabic"/>
          <w:b/>
          <w:sz w:val="30"/>
          <w:szCs w:val="30"/>
          <w:rtl/>
          <w:lang w:bidi="ar-EG"/>
        </w:rPr>
        <w:t xml:space="preserve"> </w:t>
      </w:r>
      <w:r w:rsidRPr="00EB5BCF">
        <w:rPr>
          <w:rFonts w:ascii="Traditional Arabic" w:hAnsi="Traditional Arabic" w:cs="Traditional Arabic"/>
          <w:b/>
          <w:sz w:val="30"/>
          <w:szCs w:val="30"/>
          <w:rtl/>
          <w:lang w:bidi="ar-EG"/>
        </w:rPr>
        <w:t>بنشر نشرة إصدار طبقا للقسم 85 من قانون الخدمات والأسواق المالية أو نش</w:t>
      </w:r>
      <w:r w:rsidR="00885687"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ر نشرة تكميلية بموجب المادة 23 من لائحة تنظيم نشرات </w:t>
      </w:r>
      <w:r w:rsidRPr="00EB5BCF">
        <w:rPr>
          <w:rFonts w:ascii="Traditional Arabic" w:hAnsi="Traditional Arabic" w:cs="Traditional Arabic"/>
          <w:b/>
          <w:sz w:val="30"/>
          <w:szCs w:val="30"/>
          <w:rtl/>
          <w:lang w:bidi="ar-EG"/>
        </w:rPr>
        <w:lastRenderedPageBreak/>
        <w:t xml:space="preserve">الإصدار بالمملكة المتحدة. ولأغراض هذه الفقرة، </w:t>
      </w:r>
      <w:r w:rsidR="00A526DF" w:rsidRPr="00EB5BCF">
        <w:rPr>
          <w:rFonts w:ascii="Traditional Arabic" w:hAnsi="Traditional Arabic" w:cs="Traditional Arabic"/>
          <w:b/>
          <w:sz w:val="30"/>
          <w:szCs w:val="30"/>
          <w:rtl/>
          <w:lang w:bidi="ar-EG"/>
        </w:rPr>
        <w:t xml:space="preserve">فإن عبارة "طرح للجمهور" في سياق الأسهم في المملكة المتحدة يعني إرسال معلومات كافية </w:t>
      </w:r>
      <w:r w:rsidR="00CD5CD6" w:rsidRPr="00EB5BCF">
        <w:rPr>
          <w:rFonts w:ascii="Traditional Arabic" w:hAnsi="Traditional Arabic" w:cs="Traditional Arabic"/>
          <w:b/>
          <w:sz w:val="30"/>
          <w:szCs w:val="30"/>
          <w:rtl/>
          <w:lang w:bidi="ar-EG"/>
        </w:rPr>
        <w:t>–</w:t>
      </w:r>
      <w:r w:rsidR="00606F88" w:rsidRPr="00EB5BCF">
        <w:rPr>
          <w:rFonts w:ascii="Traditional Arabic" w:hAnsi="Traditional Arabic" w:cs="Traditional Arabic"/>
          <w:b/>
          <w:sz w:val="30"/>
          <w:szCs w:val="30"/>
          <w:rtl/>
          <w:lang w:bidi="ar-EG"/>
        </w:rPr>
        <w:t xml:space="preserve"> </w:t>
      </w:r>
      <w:r w:rsidR="00A526DF" w:rsidRPr="00EB5BCF">
        <w:rPr>
          <w:rFonts w:ascii="Traditional Arabic" w:hAnsi="Traditional Arabic" w:cs="Traditional Arabic"/>
          <w:b/>
          <w:sz w:val="30"/>
          <w:szCs w:val="30"/>
          <w:rtl/>
          <w:lang w:bidi="ar-EG"/>
        </w:rPr>
        <w:t>بأي طريقة كانت</w:t>
      </w:r>
      <w:r w:rsidR="00606F88" w:rsidRPr="00EB5BCF">
        <w:rPr>
          <w:rFonts w:ascii="Traditional Arabic" w:hAnsi="Traditional Arabic" w:cs="Traditional Arabic"/>
          <w:b/>
          <w:sz w:val="30"/>
          <w:szCs w:val="30"/>
          <w:rtl/>
          <w:lang w:bidi="ar-EG"/>
        </w:rPr>
        <w:t xml:space="preserve"> </w:t>
      </w:r>
      <w:r w:rsidR="00CD5CD6" w:rsidRPr="00EB5BCF">
        <w:rPr>
          <w:rFonts w:ascii="Traditional Arabic" w:hAnsi="Traditional Arabic" w:cs="Traditional Arabic"/>
          <w:b/>
          <w:sz w:val="30"/>
          <w:szCs w:val="30"/>
          <w:rtl/>
          <w:lang w:bidi="ar-EG"/>
        </w:rPr>
        <w:t>–</w:t>
      </w:r>
      <w:r w:rsidR="00A526DF" w:rsidRPr="00EB5BCF">
        <w:rPr>
          <w:rFonts w:ascii="Traditional Arabic" w:hAnsi="Traditional Arabic" w:cs="Traditional Arabic"/>
          <w:b/>
          <w:sz w:val="30"/>
          <w:szCs w:val="30"/>
          <w:rtl/>
          <w:lang w:bidi="ar-EG"/>
        </w:rPr>
        <w:t xml:space="preserve"> عن شروط الطرح والأسهم التي سيتم طرحها لتمكين المستثمر من اتخاذ قراره بالشراء أو الاكتتاب في الأسهم.</w:t>
      </w:r>
    </w:p>
    <w:p w14:paraId="70C23B0C" w14:textId="77777777" w:rsidR="00B8422A" w:rsidRPr="00EB5BCF" w:rsidRDefault="00B8422A" w:rsidP="00710F67">
      <w:pPr>
        <w:keepNext/>
        <w:bidi/>
        <w:jc w:val="both"/>
        <w:rPr>
          <w:rFonts w:ascii="Traditional Arabic" w:hAnsi="Traditional Arabic" w:cs="Traditional Arabic"/>
          <w:b/>
          <w:sz w:val="30"/>
          <w:szCs w:val="30"/>
          <w:rtl/>
          <w:lang w:val="en-GB" w:bidi="ar-EG"/>
        </w:rPr>
      </w:pPr>
    </w:p>
    <w:p w14:paraId="666028AE" w14:textId="77777777" w:rsidR="00710F67" w:rsidRPr="00EB5BCF" w:rsidRDefault="00B8422A" w:rsidP="00B8422A">
      <w:pPr>
        <w:keepNext/>
        <w:bidi/>
        <w:jc w:val="both"/>
        <w:rPr>
          <w:rFonts w:ascii="Traditional Arabic" w:hAnsi="Traditional Arabic" w:cs="Traditional Arabic"/>
          <w:b/>
          <w:sz w:val="30"/>
          <w:szCs w:val="30"/>
          <w:rtl/>
          <w:lang w:val="en-GB" w:bidi="ar-EG"/>
        </w:rPr>
      </w:pPr>
      <w:r w:rsidRPr="00EB5BCF">
        <w:rPr>
          <w:rFonts w:ascii="Traditional Arabic" w:hAnsi="Traditional Arabic" w:cs="Traditional Arabic"/>
          <w:b/>
          <w:sz w:val="30"/>
          <w:szCs w:val="30"/>
          <w:rtl/>
          <w:lang w:val="en-GB" w:bidi="ar-EG"/>
        </w:rPr>
        <w:t xml:space="preserve">توزع هذه النشرة فقط على الأشخاص الذين ينطبق عليهم تعريف "المستثمر المؤهل" بحسب </w:t>
      </w:r>
      <w:r w:rsidR="00A613D8" w:rsidRPr="00EB5BCF">
        <w:rPr>
          <w:rFonts w:ascii="Traditional Arabic" w:hAnsi="Traditional Arabic" w:cs="Traditional Arabic"/>
          <w:b/>
          <w:sz w:val="30"/>
          <w:szCs w:val="30"/>
          <w:rtl/>
          <w:lang w:val="en-GB" w:bidi="ar-EG"/>
        </w:rPr>
        <w:t>لائحة تنظيم نشرات الإصدار</w:t>
      </w:r>
      <w:r w:rsidRPr="00EB5BCF">
        <w:rPr>
          <w:rFonts w:ascii="Traditional Arabic" w:hAnsi="Traditional Arabic" w:cs="Traditional Arabic"/>
          <w:b/>
          <w:sz w:val="30"/>
          <w:szCs w:val="30"/>
          <w:rtl/>
          <w:lang w:val="en-GB" w:bidi="ar-EG"/>
        </w:rPr>
        <w:t xml:space="preserve"> ممن تتوفر فيهم الشروط التالية:</w:t>
      </w:r>
      <w:r w:rsidR="00CA5711" w:rsidRPr="00EB5BCF">
        <w:rPr>
          <w:rFonts w:ascii="Traditional Arabic" w:hAnsi="Traditional Arabic" w:cs="Traditional Arabic"/>
          <w:b/>
          <w:sz w:val="30"/>
          <w:szCs w:val="30"/>
          <w:rtl/>
          <w:lang w:val="en-GB" w:bidi="ar-EG"/>
        </w:rPr>
        <w:t xml:space="preserve"> (1)</w:t>
      </w:r>
      <w:r w:rsidRPr="00EB5BCF">
        <w:rPr>
          <w:rFonts w:ascii="Traditional Arabic" w:hAnsi="Traditional Arabic" w:cs="Traditional Arabic"/>
          <w:b/>
          <w:sz w:val="30"/>
          <w:szCs w:val="30"/>
          <w:rtl/>
          <w:lang w:val="en-GB" w:bidi="ar-EG"/>
        </w:rPr>
        <w:t xml:space="preserve"> أصحاب الخبرة المهنية في الأمور المتعلقة بالاستثمارات التي يشملها نص المادة (19/5) من قانون الخدمات والأسواق المالية لسنة 2000 أمر (الترويج المالي) لسنة 2005 وتعديلاته ("الأمر"). (2) </w:t>
      </w:r>
      <w:r w:rsidR="00D50D96" w:rsidRPr="00EB5BCF">
        <w:rPr>
          <w:rFonts w:ascii="Traditional Arabic" w:hAnsi="Traditional Arabic" w:cs="Traditional Arabic"/>
          <w:b/>
          <w:sz w:val="30"/>
          <w:szCs w:val="30"/>
          <w:rtl/>
          <w:lang w:val="en-GB" w:bidi="ar-EG"/>
        </w:rPr>
        <w:t>الأشخاص</w:t>
      </w:r>
      <w:r w:rsidRPr="00EB5BCF">
        <w:rPr>
          <w:rFonts w:ascii="Traditional Arabic" w:hAnsi="Traditional Arabic" w:cs="Traditional Arabic"/>
          <w:b/>
          <w:sz w:val="30"/>
          <w:szCs w:val="30"/>
          <w:rtl/>
          <w:lang w:val="en-GB" w:bidi="ar-EG"/>
        </w:rPr>
        <w:t xml:space="preserve"> الذين يشملهم نص المادة (49/2) (أ) إلى (2/د) من الأمر. (3) أو الأشخاص</w:t>
      </w:r>
      <w:r w:rsidR="006B185E" w:rsidRPr="00EB5BCF">
        <w:rPr>
          <w:rFonts w:ascii="Traditional Arabic" w:hAnsi="Traditional Arabic" w:cs="Traditional Arabic"/>
          <w:b/>
          <w:sz w:val="30"/>
          <w:szCs w:val="30"/>
          <w:rtl/>
          <w:lang w:val="en-GB" w:bidi="ar-EG"/>
        </w:rPr>
        <w:t xml:space="preserve"> من خارج المملكة المتحدة. (4) أو </w:t>
      </w:r>
      <w:r w:rsidR="00F70811" w:rsidRPr="00EB5BCF">
        <w:rPr>
          <w:rFonts w:ascii="Traditional Arabic" w:hAnsi="Traditional Arabic" w:cs="Traditional Arabic"/>
          <w:b/>
          <w:sz w:val="30"/>
          <w:szCs w:val="30"/>
          <w:rtl/>
          <w:lang w:val="en-GB" w:bidi="ar-EG"/>
        </w:rPr>
        <w:t>الأشخاص</w:t>
      </w:r>
      <w:r w:rsidRPr="00EB5BCF">
        <w:rPr>
          <w:rFonts w:ascii="Traditional Arabic" w:hAnsi="Traditional Arabic" w:cs="Traditional Arabic"/>
          <w:b/>
          <w:sz w:val="30"/>
          <w:szCs w:val="30"/>
          <w:rtl/>
          <w:lang w:val="en-GB" w:bidi="ar-EG"/>
        </w:rPr>
        <w:t xml:space="preserve"> المسموح لهم بتلقي هذه الرسالة والمستند المرافق والطرح </w:t>
      </w:r>
      <w:r w:rsidR="00504254" w:rsidRPr="00EB5BCF">
        <w:rPr>
          <w:rFonts w:ascii="Traditional Arabic" w:hAnsi="Traditional Arabic" w:cs="Traditional Arabic"/>
          <w:b/>
          <w:sz w:val="30"/>
          <w:szCs w:val="30"/>
          <w:rtl/>
          <w:lang w:val="en-GB" w:bidi="ar-EG"/>
        </w:rPr>
        <w:t xml:space="preserve">للمشاركة في نشاط استثماري (في حدود المعنى المذكور في القسم 21 من قانون الخدمات والأسواق المالية) </w:t>
      </w:r>
      <w:r w:rsidRPr="00EB5BCF">
        <w:rPr>
          <w:rFonts w:ascii="Traditional Arabic" w:hAnsi="Traditional Arabic" w:cs="Traditional Arabic"/>
          <w:b/>
          <w:sz w:val="30"/>
          <w:szCs w:val="30"/>
          <w:rtl/>
          <w:lang w:val="en-GB" w:bidi="ar-EG"/>
        </w:rPr>
        <w:t xml:space="preserve">(ويشار إلى جميع هؤلاء الأشخاص "بالأشخاص </w:t>
      </w:r>
      <w:r w:rsidR="00900E17" w:rsidRPr="00EB5BCF">
        <w:rPr>
          <w:rFonts w:ascii="Traditional Arabic" w:hAnsi="Traditional Arabic" w:cs="Traditional Arabic"/>
          <w:b/>
          <w:sz w:val="30"/>
          <w:szCs w:val="30"/>
          <w:rtl/>
          <w:lang w:val="en-GB" w:bidi="ar-EG"/>
        </w:rPr>
        <w:t xml:space="preserve">ذوي </w:t>
      </w:r>
      <w:r w:rsidRPr="00EB5BCF">
        <w:rPr>
          <w:rFonts w:ascii="Traditional Arabic" w:hAnsi="Traditional Arabic" w:cs="Traditional Arabic"/>
          <w:b/>
          <w:sz w:val="30"/>
          <w:szCs w:val="30"/>
          <w:rtl/>
          <w:lang w:val="en-GB" w:bidi="ar-EG"/>
        </w:rPr>
        <w:t xml:space="preserve">الصلة"). </w:t>
      </w:r>
      <w:r w:rsidR="009F75F2" w:rsidRPr="00EB5BCF">
        <w:rPr>
          <w:rFonts w:ascii="Traditional Arabic" w:hAnsi="Traditional Arabic" w:cs="Traditional Arabic"/>
          <w:b/>
          <w:sz w:val="30"/>
          <w:szCs w:val="30"/>
          <w:rtl/>
          <w:lang w:val="en-GB" w:bidi="ar-EG"/>
        </w:rPr>
        <w:t xml:space="preserve">ستتوفر الأسهم والدعوة إليها وطرحها وإمكانية شرائها </w:t>
      </w:r>
      <w:r w:rsidR="002E4D2F" w:rsidRPr="00EB5BCF">
        <w:rPr>
          <w:rFonts w:ascii="Traditional Arabic" w:hAnsi="Traditional Arabic" w:cs="Traditional Arabic"/>
          <w:b/>
          <w:sz w:val="30"/>
          <w:szCs w:val="30"/>
          <w:rtl/>
          <w:lang w:val="en-GB" w:bidi="ar-EG"/>
        </w:rPr>
        <w:t xml:space="preserve">أو الاستحواذ عليها للأشخاص </w:t>
      </w:r>
      <w:r w:rsidR="00900E17" w:rsidRPr="00EB5BCF">
        <w:rPr>
          <w:rFonts w:ascii="Traditional Arabic" w:hAnsi="Traditional Arabic" w:cs="Traditional Arabic"/>
          <w:b/>
          <w:sz w:val="30"/>
          <w:szCs w:val="30"/>
          <w:rtl/>
          <w:lang w:val="en-GB" w:bidi="ar-EG"/>
        </w:rPr>
        <w:t xml:space="preserve">ذوي </w:t>
      </w:r>
      <w:r w:rsidR="002E4D2F" w:rsidRPr="00EB5BCF">
        <w:rPr>
          <w:rFonts w:ascii="Traditional Arabic" w:hAnsi="Traditional Arabic" w:cs="Traditional Arabic"/>
          <w:b/>
          <w:sz w:val="30"/>
          <w:szCs w:val="30"/>
          <w:rtl/>
          <w:lang w:val="en-GB" w:bidi="ar-EG"/>
        </w:rPr>
        <w:t xml:space="preserve">الصلة فقط، ويجب على أي شخص بخلاف الشخص </w:t>
      </w:r>
      <w:r w:rsidR="00900E17" w:rsidRPr="00EB5BCF">
        <w:rPr>
          <w:rFonts w:ascii="Traditional Arabic" w:hAnsi="Traditional Arabic" w:cs="Traditional Arabic"/>
          <w:b/>
          <w:sz w:val="30"/>
          <w:szCs w:val="30"/>
          <w:rtl/>
          <w:lang w:val="en-GB" w:bidi="ar-EG"/>
        </w:rPr>
        <w:t xml:space="preserve">ذو </w:t>
      </w:r>
      <w:r w:rsidR="002E4D2F" w:rsidRPr="00EB5BCF">
        <w:rPr>
          <w:rFonts w:ascii="Traditional Arabic" w:hAnsi="Traditional Arabic" w:cs="Traditional Arabic"/>
          <w:b/>
          <w:sz w:val="30"/>
          <w:szCs w:val="30"/>
          <w:rtl/>
          <w:lang w:val="en-GB" w:bidi="ar-EG"/>
        </w:rPr>
        <w:t>الصلة ألا يعتمد على هذه النشرة ولا على محتوياتها.</w:t>
      </w:r>
    </w:p>
    <w:p w14:paraId="120575A7" w14:textId="77777777" w:rsidR="00851D42" w:rsidRPr="00EB5BCF" w:rsidRDefault="00851D42" w:rsidP="00851D42">
      <w:pPr>
        <w:keepNext/>
        <w:bidi/>
        <w:jc w:val="both"/>
        <w:rPr>
          <w:rFonts w:ascii="Traditional Arabic" w:hAnsi="Traditional Arabic" w:cs="Traditional Arabic"/>
          <w:b/>
          <w:sz w:val="30"/>
          <w:szCs w:val="30"/>
          <w:rtl/>
          <w:lang w:val="en-GB" w:bidi="ar-EG"/>
        </w:rPr>
      </w:pPr>
    </w:p>
    <w:p w14:paraId="767F445B" w14:textId="77777777" w:rsidR="00851D42" w:rsidRPr="00EB5BCF" w:rsidRDefault="00851D42" w:rsidP="00851D42">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val="en-GB" w:bidi="ar-EG"/>
        </w:rPr>
        <w:t xml:space="preserve">لم يُقصد من الأسهم أن تُطرح أو تُباع أو تُتاح للمستثمرين الأفراد </w:t>
      </w:r>
      <w:r w:rsidR="00D13B3C" w:rsidRPr="00EB5BCF">
        <w:rPr>
          <w:rFonts w:ascii="Traditional Arabic" w:hAnsi="Traditional Arabic" w:cs="Traditional Arabic"/>
          <w:b/>
          <w:sz w:val="30"/>
          <w:szCs w:val="30"/>
          <w:rtl/>
          <w:lang w:val="en-GB" w:bidi="ar-EG"/>
        </w:rPr>
        <w:t xml:space="preserve">في المملكة المتحدة ولا ينبغي ذلك، ويُقصد "بالمستمر الفرد" </w:t>
      </w:r>
      <w:r w:rsidR="00A04C44" w:rsidRPr="00EB5BCF">
        <w:rPr>
          <w:rFonts w:ascii="Traditional Arabic" w:hAnsi="Traditional Arabic" w:cs="Traditional Arabic"/>
          <w:b/>
          <w:sz w:val="30"/>
          <w:szCs w:val="30"/>
          <w:rtl/>
          <w:lang w:val="en-GB" w:bidi="ar-EG"/>
        </w:rPr>
        <w:t xml:space="preserve">هو الشخص الذي يكون: (1) عميل فرد بحسب التعريف في الفقرة (8) من المادة (2) من </w:t>
      </w:r>
      <w:r w:rsidR="00D3071E" w:rsidRPr="00EB5BCF">
        <w:rPr>
          <w:rFonts w:ascii="Traditional Arabic" w:hAnsi="Traditional Arabic" w:cs="Traditional Arabic"/>
          <w:b/>
          <w:sz w:val="30"/>
          <w:szCs w:val="30"/>
          <w:rtl/>
          <w:lang w:val="en-GB" w:bidi="ar-EG"/>
        </w:rPr>
        <w:t>ل</w:t>
      </w:r>
      <w:r w:rsidR="00A04C44" w:rsidRPr="00EB5BCF">
        <w:rPr>
          <w:rFonts w:ascii="Traditional Arabic" w:hAnsi="Traditional Arabic" w:cs="Traditional Arabic"/>
          <w:b/>
          <w:sz w:val="30"/>
          <w:szCs w:val="30"/>
          <w:rtl/>
          <w:lang w:val="en-GB" w:bidi="ar-EG"/>
        </w:rPr>
        <w:t xml:space="preserve">ائحة </w:t>
      </w:r>
      <w:r w:rsidR="00D3071E" w:rsidRPr="00EB5BCF">
        <w:rPr>
          <w:rFonts w:ascii="Traditional Arabic" w:hAnsi="Traditional Arabic" w:cs="Traditional Arabic"/>
          <w:b/>
          <w:sz w:val="30"/>
          <w:szCs w:val="30"/>
          <w:rtl/>
          <w:lang w:val="en-GB" w:bidi="ar-EG"/>
        </w:rPr>
        <w:t xml:space="preserve">(الاتحاد الأوروبي) رقم 2017/565، وتُشكل </w:t>
      </w:r>
      <w:r w:rsidR="00B928FE" w:rsidRPr="00EB5BCF">
        <w:rPr>
          <w:rFonts w:ascii="Traditional Arabic" w:hAnsi="Traditional Arabic" w:cs="Traditional Arabic"/>
          <w:b/>
          <w:sz w:val="30"/>
          <w:szCs w:val="30"/>
          <w:rtl/>
          <w:lang w:val="en-GB" w:bidi="ar-EG"/>
        </w:rPr>
        <w:t xml:space="preserve">جزءً من القانون المحلي </w:t>
      </w:r>
      <w:r w:rsidR="00B928FE" w:rsidRPr="00EB5BCF">
        <w:rPr>
          <w:rFonts w:ascii="Traditional Arabic" w:hAnsi="Traditional Arabic" w:cs="Traditional Arabic"/>
          <w:b/>
          <w:sz w:val="30"/>
          <w:szCs w:val="30"/>
          <w:rtl/>
          <w:lang w:bidi="ar-EG"/>
        </w:rPr>
        <w:t xml:space="preserve">بموجب قانون </w:t>
      </w:r>
      <w:r w:rsidR="00900E17" w:rsidRPr="00EB5BCF">
        <w:rPr>
          <w:rFonts w:ascii="Traditional Arabic" w:hAnsi="Traditional Arabic" w:cs="Traditional Arabic"/>
          <w:b/>
          <w:sz w:val="30"/>
          <w:szCs w:val="30"/>
          <w:rtl/>
          <w:lang w:bidi="ar-EG"/>
        </w:rPr>
        <w:t xml:space="preserve">الاتحاد الأوروبي </w:t>
      </w:r>
      <w:r w:rsidR="00F6192A" w:rsidRPr="00EB5BCF">
        <w:rPr>
          <w:rFonts w:ascii="Traditional Arabic" w:hAnsi="Traditional Arabic" w:cs="Traditional Arabic" w:hint="eastAsia"/>
          <w:b/>
          <w:sz w:val="30"/>
          <w:szCs w:val="30"/>
          <w:rtl/>
          <w:lang w:bidi="ar-EG"/>
        </w:rPr>
        <w:t>لعام</w:t>
      </w:r>
      <w:r w:rsidR="00F6192A" w:rsidRPr="00EB5BCF">
        <w:rPr>
          <w:rFonts w:ascii="Traditional Arabic" w:hAnsi="Traditional Arabic" w:cs="Traditional Arabic"/>
          <w:b/>
          <w:sz w:val="30"/>
          <w:szCs w:val="30"/>
          <w:rtl/>
          <w:lang w:bidi="ar-EG"/>
        </w:rPr>
        <w:t xml:space="preserve"> 2018</w:t>
      </w:r>
      <w:r w:rsidR="00900E17" w:rsidRPr="00EB5BCF">
        <w:rPr>
          <w:rFonts w:ascii="Traditional Arabic" w:hAnsi="Traditional Arabic" w:cs="Traditional Arabic"/>
          <w:b/>
          <w:sz w:val="30"/>
          <w:szCs w:val="30"/>
          <w:rtl/>
          <w:lang w:bidi="ar-EG"/>
        </w:rPr>
        <w:t xml:space="preserve"> </w:t>
      </w:r>
      <w:r w:rsidR="00B928FE" w:rsidRPr="00EB5BCF">
        <w:rPr>
          <w:rFonts w:ascii="Traditional Arabic" w:hAnsi="Traditional Arabic" w:cs="Traditional Arabic"/>
          <w:b/>
          <w:sz w:val="30"/>
          <w:szCs w:val="30"/>
          <w:rtl/>
          <w:lang w:bidi="ar-EG"/>
        </w:rPr>
        <w:t xml:space="preserve">(الانسحاب). (2) </w:t>
      </w:r>
      <w:r w:rsidR="00D97F61" w:rsidRPr="00EB5BCF">
        <w:rPr>
          <w:rFonts w:ascii="Traditional Arabic" w:hAnsi="Traditional Arabic" w:cs="Traditional Arabic"/>
          <w:b/>
          <w:sz w:val="30"/>
          <w:szCs w:val="30"/>
          <w:rtl/>
          <w:lang w:bidi="ar-EG"/>
        </w:rPr>
        <w:t xml:space="preserve">عميل بالمعنى المذكور في قانون الخدمات والأسواق المالية والضوابط واللوائح الصادرة بموجب قانون الخدمات والأسواق المالية </w:t>
      </w:r>
      <w:r w:rsidR="00E5186A" w:rsidRPr="00EB5BCF">
        <w:rPr>
          <w:rFonts w:ascii="Traditional Arabic" w:hAnsi="Traditional Arabic" w:cs="Traditional Arabic"/>
          <w:b/>
          <w:sz w:val="30"/>
          <w:szCs w:val="30"/>
          <w:rtl/>
          <w:lang w:bidi="ar-EG"/>
        </w:rPr>
        <w:t xml:space="preserve">تنفيذا لتوجيهات (الاتحاد الأوروبي) رقم 2016/97، </w:t>
      </w:r>
      <w:r w:rsidR="00214990" w:rsidRPr="00EB5BCF">
        <w:rPr>
          <w:rFonts w:ascii="Traditional Arabic" w:hAnsi="Traditional Arabic" w:cs="Traditional Arabic"/>
          <w:b/>
          <w:sz w:val="30"/>
          <w:szCs w:val="30"/>
          <w:rtl/>
          <w:lang w:bidi="ar-EG"/>
        </w:rPr>
        <w:t>بحيث لا يكون هذا العميل عميلا مهنيا بحسب التعريف المذكور في الفقرة (8) من المادة (2/1) من لائحة (الاتحاد الأوروبي) رقم 600/2014</w:t>
      </w:r>
      <w:r w:rsidR="00B928FE" w:rsidRPr="00EB5BCF">
        <w:rPr>
          <w:rFonts w:ascii="Traditional Arabic" w:hAnsi="Traditional Arabic" w:cs="Traditional Arabic"/>
          <w:b/>
          <w:sz w:val="30"/>
          <w:szCs w:val="30"/>
          <w:rtl/>
          <w:lang w:val="en-GB" w:bidi="ar-EG"/>
        </w:rPr>
        <w:t xml:space="preserve"> </w:t>
      </w:r>
      <w:r w:rsidR="00951FF1" w:rsidRPr="00EB5BCF">
        <w:rPr>
          <w:rFonts w:ascii="Traditional Arabic" w:hAnsi="Traditional Arabic" w:cs="Traditional Arabic"/>
          <w:b/>
          <w:sz w:val="30"/>
          <w:szCs w:val="30"/>
          <w:rtl/>
          <w:lang w:val="en-GB" w:bidi="ar-EG"/>
        </w:rPr>
        <w:t xml:space="preserve">وتُشكل جزءً من القانون المحلي </w:t>
      </w:r>
      <w:r w:rsidR="00951FF1" w:rsidRPr="00EB5BCF">
        <w:rPr>
          <w:rFonts w:ascii="Traditional Arabic" w:hAnsi="Traditional Arabic" w:cs="Traditional Arabic"/>
          <w:b/>
          <w:sz w:val="30"/>
          <w:szCs w:val="30"/>
          <w:rtl/>
          <w:lang w:bidi="ar-EG"/>
        </w:rPr>
        <w:t xml:space="preserve">بموجب قانون </w:t>
      </w:r>
      <w:r w:rsidR="00900E17" w:rsidRPr="00EB5BCF">
        <w:rPr>
          <w:rFonts w:ascii="Traditional Arabic" w:hAnsi="Traditional Arabic" w:cs="Traditional Arabic"/>
          <w:b/>
          <w:sz w:val="30"/>
          <w:szCs w:val="30"/>
          <w:rtl/>
          <w:lang w:bidi="ar-EG"/>
        </w:rPr>
        <w:t xml:space="preserve">الاتحاد الأوروبي </w:t>
      </w:r>
      <w:r w:rsidR="00951FF1" w:rsidRPr="00EB5BCF">
        <w:rPr>
          <w:rFonts w:ascii="Traditional Arabic" w:hAnsi="Traditional Arabic" w:cs="Traditional Arabic"/>
          <w:b/>
          <w:sz w:val="30"/>
          <w:szCs w:val="30"/>
          <w:rtl/>
          <w:lang w:bidi="ar-EG"/>
        </w:rPr>
        <w:t xml:space="preserve">(الانسحاب). (3) أو عميل غير مؤهل وفق المادة (2) من </w:t>
      </w:r>
      <w:r w:rsidR="00A613D8" w:rsidRPr="00EB5BCF">
        <w:rPr>
          <w:rFonts w:ascii="Traditional Arabic" w:hAnsi="Traditional Arabic" w:cs="Traditional Arabic"/>
          <w:b/>
          <w:sz w:val="30"/>
          <w:szCs w:val="30"/>
          <w:rtl/>
          <w:lang w:bidi="ar-EG"/>
        </w:rPr>
        <w:t>لائحة تنظيم نشرات الإصدار</w:t>
      </w:r>
      <w:r w:rsidR="00951FF1" w:rsidRPr="00EB5BCF">
        <w:rPr>
          <w:rFonts w:ascii="Traditional Arabic" w:hAnsi="Traditional Arabic" w:cs="Traditional Arabic"/>
          <w:b/>
          <w:sz w:val="30"/>
          <w:szCs w:val="30"/>
          <w:rtl/>
          <w:lang w:bidi="ar-EG"/>
        </w:rPr>
        <w:t>.</w:t>
      </w:r>
    </w:p>
    <w:p w14:paraId="0B6E5C36" w14:textId="77777777" w:rsidR="00710F67" w:rsidRPr="00EB5BCF" w:rsidRDefault="00710F67" w:rsidP="00710F67">
      <w:pPr>
        <w:keepNext/>
        <w:bidi/>
        <w:jc w:val="both"/>
        <w:rPr>
          <w:rFonts w:ascii="Traditional Arabic" w:hAnsi="Traditional Arabic" w:cs="Traditional Arabic"/>
          <w:b/>
          <w:sz w:val="30"/>
          <w:szCs w:val="30"/>
          <w:rtl/>
          <w:lang w:bidi="ar-EG"/>
        </w:rPr>
      </w:pPr>
    </w:p>
    <w:p w14:paraId="23D42E8E" w14:textId="77777777" w:rsidR="00A526DF" w:rsidRPr="00EB5BCF" w:rsidRDefault="00A526DF" w:rsidP="00A526DF">
      <w:pPr>
        <w:keepNext/>
        <w:bidi/>
        <w:jc w:val="both"/>
        <w:rPr>
          <w:rFonts w:ascii="Traditional Arabic" w:hAnsi="Traditional Arabic" w:cs="Traditional Arabic"/>
          <w:bCs/>
          <w:sz w:val="30"/>
          <w:szCs w:val="30"/>
          <w:rtl/>
          <w:lang w:bidi="ar-EG"/>
        </w:rPr>
      </w:pPr>
      <w:r w:rsidRPr="00EB5BCF">
        <w:rPr>
          <w:rFonts w:ascii="Traditional Arabic" w:hAnsi="Traditional Arabic" w:cs="Traditional Arabic"/>
          <w:bCs/>
          <w:sz w:val="30"/>
          <w:szCs w:val="30"/>
          <w:rtl/>
          <w:lang w:bidi="ar-EG"/>
        </w:rPr>
        <w:t>المنطقة الاقتصادية الأوروبية</w:t>
      </w:r>
    </w:p>
    <w:p w14:paraId="1E0AB423" w14:textId="77777777" w:rsidR="00A526DF" w:rsidRPr="00EB5BCF" w:rsidRDefault="00AB3D50" w:rsidP="00A526DF">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 xml:space="preserve">بالنسبة للدول الأعضاء بالمنطقة الاقتصادية الأوروبية </w:t>
      </w:r>
      <w:r w:rsidR="001618A2" w:rsidRPr="00EB5BCF">
        <w:rPr>
          <w:rFonts w:ascii="Traditional Arabic" w:hAnsi="Traditional Arabic" w:cs="Traditional Arabic"/>
          <w:b/>
          <w:sz w:val="30"/>
          <w:szCs w:val="30"/>
          <w:rtl/>
          <w:lang w:bidi="ar-EG"/>
        </w:rPr>
        <w:t xml:space="preserve">التي طبقت </w:t>
      </w:r>
      <w:r w:rsidR="00A613D8" w:rsidRPr="00EB5BCF">
        <w:rPr>
          <w:rFonts w:ascii="Traditional Arabic" w:hAnsi="Traditional Arabic" w:cs="Traditional Arabic"/>
          <w:b/>
          <w:sz w:val="30"/>
          <w:szCs w:val="30"/>
          <w:rtl/>
          <w:lang w:bidi="ar-EG"/>
        </w:rPr>
        <w:t>لائحة تنظيم نشرات الإصدار</w:t>
      </w:r>
      <w:r w:rsidR="001618A2" w:rsidRPr="00EB5BCF">
        <w:rPr>
          <w:rFonts w:ascii="Traditional Arabic" w:hAnsi="Traditional Arabic" w:cs="Traditional Arabic"/>
          <w:b/>
          <w:sz w:val="30"/>
          <w:szCs w:val="30"/>
          <w:rtl/>
          <w:lang w:bidi="ar-EG"/>
        </w:rPr>
        <w:t xml:space="preserve"> </w:t>
      </w:r>
      <w:r w:rsidRPr="00EB5BCF">
        <w:rPr>
          <w:rFonts w:ascii="Traditional Arabic" w:hAnsi="Traditional Arabic" w:cs="Traditional Arabic"/>
          <w:b/>
          <w:sz w:val="30"/>
          <w:szCs w:val="30"/>
          <w:rtl/>
          <w:lang w:bidi="ar-EG"/>
        </w:rPr>
        <w:t>(</w:t>
      </w:r>
      <w:r w:rsidR="00900E17" w:rsidRPr="00EB5BCF">
        <w:rPr>
          <w:rFonts w:ascii="Traditional Arabic" w:hAnsi="Traditional Arabic" w:cs="Traditional Arabic"/>
          <w:b/>
          <w:sz w:val="30"/>
          <w:szCs w:val="30"/>
          <w:rtl/>
          <w:lang w:bidi="ar-EG"/>
        </w:rPr>
        <w:t>يشار إليها فيما بعد بـ</w:t>
      </w:r>
      <w:r w:rsidRPr="00EB5BCF">
        <w:rPr>
          <w:rFonts w:ascii="Traditional Arabic" w:hAnsi="Traditional Arabic" w:cs="Traditional Arabic"/>
          <w:b/>
          <w:sz w:val="30"/>
          <w:szCs w:val="30"/>
          <w:rtl/>
          <w:lang w:bidi="ar-EG"/>
        </w:rPr>
        <w:t xml:space="preserve">"الدولة </w:t>
      </w:r>
      <w:r w:rsidR="001618A2" w:rsidRPr="00EB5BCF">
        <w:rPr>
          <w:rFonts w:ascii="Traditional Arabic" w:hAnsi="Traditional Arabic" w:cs="Traditional Arabic"/>
          <w:b/>
          <w:sz w:val="30"/>
          <w:szCs w:val="30"/>
          <w:rtl/>
          <w:lang w:bidi="ar-EG"/>
        </w:rPr>
        <w:t xml:space="preserve">العضو </w:t>
      </w:r>
      <w:r w:rsidRPr="00EB5BCF">
        <w:rPr>
          <w:rFonts w:ascii="Traditional Arabic" w:hAnsi="Traditional Arabic" w:cs="Traditional Arabic"/>
          <w:b/>
          <w:sz w:val="30"/>
          <w:szCs w:val="30"/>
          <w:rtl/>
          <w:lang w:bidi="ar-EG"/>
        </w:rPr>
        <w:t xml:space="preserve">ذات الصلة")، فلم يتم طرح الأسهم ولن يتم طرحها في اكتتاب عام في </w:t>
      </w:r>
      <w:r w:rsidR="001618A2" w:rsidRPr="00EB5BCF">
        <w:rPr>
          <w:rFonts w:ascii="Traditional Arabic" w:hAnsi="Traditional Arabic" w:cs="Traditional Arabic"/>
          <w:b/>
          <w:sz w:val="30"/>
          <w:szCs w:val="30"/>
          <w:rtl/>
          <w:lang w:bidi="ar-EG"/>
        </w:rPr>
        <w:t>الدولة العضو ذات الصلة</w:t>
      </w:r>
      <w:r w:rsidRPr="00EB5BCF">
        <w:rPr>
          <w:rFonts w:ascii="Traditional Arabic" w:hAnsi="Traditional Arabic" w:cs="Traditional Arabic"/>
          <w:b/>
          <w:sz w:val="30"/>
          <w:szCs w:val="30"/>
          <w:rtl/>
          <w:lang w:bidi="ar-EG"/>
        </w:rPr>
        <w:t xml:space="preserve"> قبل نشر نشرة الإصدار والتي تمت الموفقة عليها من قبل الجهة المختصة في </w:t>
      </w:r>
      <w:r w:rsidR="001618A2" w:rsidRPr="00EB5BCF">
        <w:rPr>
          <w:rFonts w:ascii="Traditional Arabic" w:hAnsi="Traditional Arabic" w:cs="Traditional Arabic"/>
          <w:b/>
          <w:sz w:val="30"/>
          <w:szCs w:val="30"/>
          <w:rtl/>
          <w:lang w:bidi="ar-EG"/>
        </w:rPr>
        <w:t>الدولة العضو ذات الصلة</w:t>
      </w:r>
      <w:r w:rsidRPr="00EB5BCF">
        <w:rPr>
          <w:rFonts w:ascii="Traditional Arabic" w:hAnsi="Traditional Arabic" w:cs="Traditional Arabic"/>
          <w:b/>
          <w:sz w:val="30"/>
          <w:szCs w:val="30"/>
          <w:rtl/>
          <w:lang w:bidi="ar-EG"/>
        </w:rPr>
        <w:t xml:space="preserve"> أو تمت الموافقة عليها في دولة أخرى ذات صلة </w:t>
      </w:r>
      <w:r w:rsidRPr="00EB5BCF">
        <w:rPr>
          <w:rFonts w:ascii="Traditional Arabic" w:hAnsi="Traditional Arabic" w:cs="Traditional Arabic"/>
          <w:b/>
          <w:sz w:val="30"/>
          <w:szCs w:val="30"/>
          <w:rtl/>
          <w:lang w:bidi="ar-EG"/>
        </w:rPr>
        <w:lastRenderedPageBreak/>
        <w:t xml:space="preserve">وتم إخطار الجهة المختصة في </w:t>
      </w:r>
      <w:r w:rsidR="001618A2" w:rsidRPr="00EB5BCF">
        <w:rPr>
          <w:rFonts w:ascii="Traditional Arabic" w:hAnsi="Traditional Arabic" w:cs="Traditional Arabic"/>
          <w:b/>
          <w:sz w:val="30"/>
          <w:szCs w:val="30"/>
          <w:rtl/>
          <w:lang w:bidi="ar-EG"/>
        </w:rPr>
        <w:t>الدولة العضو ذات الصلة</w:t>
      </w:r>
      <w:r w:rsidRPr="00EB5BCF">
        <w:rPr>
          <w:rFonts w:ascii="Traditional Arabic" w:hAnsi="Traditional Arabic" w:cs="Traditional Arabic"/>
          <w:b/>
          <w:sz w:val="30"/>
          <w:szCs w:val="30"/>
          <w:rtl/>
          <w:lang w:bidi="ar-EG"/>
        </w:rPr>
        <w:t>، وبما يتفق مع لائحة تنظيم نشرات الإصدار، على أنه يُستثنى من ذلك</w:t>
      </w:r>
      <w:r w:rsidR="00A81B74" w:rsidRPr="00EB5BCF">
        <w:rPr>
          <w:rFonts w:ascii="Traditional Arabic" w:hAnsi="Traditional Arabic" w:cs="Traditional Arabic"/>
          <w:b/>
          <w:sz w:val="30"/>
          <w:szCs w:val="30"/>
          <w:rtl/>
          <w:lang w:bidi="ar-EG"/>
        </w:rPr>
        <w:t xml:space="preserve"> إذا تم تطبيقها في الدولة العضو ذات الصلة:</w:t>
      </w:r>
    </w:p>
    <w:p w14:paraId="1BAD5F2F" w14:textId="77777777" w:rsidR="00AB3D50" w:rsidRPr="00EB5BCF" w:rsidRDefault="00AB3D50" w:rsidP="00922116">
      <w:pPr>
        <w:pStyle w:val="ListParagraph"/>
        <w:keepNext/>
        <w:numPr>
          <w:ilvl w:val="0"/>
          <w:numId w:val="2"/>
        </w:numPr>
        <w:bidi/>
        <w:jc w:val="both"/>
        <w:rPr>
          <w:rFonts w:ascii="Traditional Arabic" w:hAnsi="Traditional Arabic" w:cs="Traditional Arabic"/>
          <w:b/>
          <w:sz w:val="30"/>
          <w:szCs w:val="30"/>
          <w:lang w:bidi="ar-EG"/>
        </w:rPr>
      </w:pPr>
      <w:r w:rsidRPr="00EB5BCF">
        <w:rPr>
          <w:rFonts w:ascii="Traditional Arabic" w:hAnsi="Traditional Arabic" w:cs="Traditional Arabic"/>
          <w:b/>
          <w:sz w:val="30"/>
          <w:szCs w:val="30"/>
          <w:rtl/>
          <w:lang w:bidi="ar-EG"/>
        </w:rPr>
        <w:t>أي شخص اعتباري من المستثمرين المؤهلين بحسب التعريف المحدد في المادة 2 من لائحة تنظيم نشرات الإصدار.</w:t>
      </w:r>
    </w:p>
    <w:p w14:paraId="652957F4" w14:textId="77777777" w:rsidR="00AB3D50" w:rsidRPr="00EB5BCF" w:rsidRDefault="00AB3D50" w:rsidP="00922116">
      <w:pPr>
        <w:pStyle w:val="ListParagraph"/>
        <w:keepNext/>
        <w:numPr>
          <w:ilvl w:val="0"/>
          <w:numId w:val="2"/>
        </w:numPr>
        <w:bidi/>
        <w:jc w:val="both"/>
        <w:rPr>
          <w:rFonts w:ascii="Traditional Arabic" w:hAnsi="Traditional Arabic" w:cs="Traditional Arabic"/>
          <w:b/>
          <w:sz w:val="30"/>
          <w:szCs w:val="30"/>
          <w:lang w:bidi="ar-EG"/>
        </w:rPr>
      </w:pPr>
      <w:r w:rsidRPr="00EB5BCF">
        <w:rPr>
          <w:rFonts w:ascii="Traditional Arabic" w:hAnsi="Traditional Arabic" w:cs="Traditional Arabic"/>
          <w:b/>
          <w:sz w:val="30"/>
          <w:szCs w:val="30"/>
          <w:rtl/>
          <w:lang w:bidi="ar-EG"/>
        </w:rPr>
        <w:t xml:space="preserve">أقل من 150 شخصا طبيعيا أو اعتباريا (بخلاف المستثمرين المؤهلين بحسب التعريف المحدد في لائحة تنظيم نشرات الإصدار) مع مراعاة الحصول على الموافقة المسبقة من </w:t>
      </w:r>
      <w:r w:rsidR="00F37CF6">
        <w:rPr>
          <w:rFonts w:ascii="Traditional Arabic" w:hAnsi="Traditional Arabic" w:cs="Traditional Arabic"/>
          <w:b/>
          <w:sz w:val="30"/>
          <w:szCs w:val="30"/>
          <w:rtl/>
          <w:lang w:bidi="ar-EG"/>
        </w:rPr>
        <w:t>المنسق العالمي المشترك</w:t>
      </w:r>
      <w:r w:rsidRPr="00EB5BCF">
        <w:rPr>
          <w:rFonts w:ascii="Traditional Arabic" w:hAnsi="Traditional Arabic" w:cs="Traditional Arabic"/>
          <w:b/>
          <w:sz w:val="30"/>
          <w:szCs w:val="30"/>
          <w:rtl/>
          <w:lang w:bidi="ar-EG"/>
        </w:rPr>
        <w:t xml:space="preserve"> بخصوص أي طرح.</w:t>
      </w:r>
    </w:p>
    <w:p w14:paraId="7E200939" w14:textId="77777777" w:rsidR="00AB3D50" w:rsidRPr="00EB5BCF" w:rsidRDefault="00AB3D50" w:rsidP="00922116">
      <w:pPr>
        <w:pStyle w:val="ListParagraph"/>
        <w:keepNext/>
        <w:numPr>
          <w:ilvl w:val="0"/>
          <w:numId w:val="2"/>
        </w:numPr>
        <w:bidi/>
        <w:jc w:val="both"/>
        <w:rPr>
          <w:rFonts w:ascii="Traditional Arabic" w:hAnsi="Traditional Arabic" w:cs="Traditional Arabic"/>
          <w:b/>
          <w:sz w:val="30"/>
          <w:szCs w:val="30"/>
          <w:lang w:bidi="ar-EG"/>
        </w:rPr>
      </w:pPr>
      <w:r w:rsidRPr="00EB5BCF">
        <w:rPr>
          <w:rFonts w:ascii="Traditional Arabic" w:hAnsi="Traditional Arabic" w:cs="Traditional Arabic"/>
          <w:b/>
          <w:sz w:val="30"/>
          <w:szCs w:val="30"/>
          <w:rtl/>
          <w:lang w:bidi="ar-EG"/>
        </w:rPr>
        <w:t xml:space="preserve">في أي حالة أخرى وفق المادة </w:t>
      </w:r>
      <w:r w:rsidR="008D619C" w:rsidRPr="00EB5BCF">
        <w:rPr>
          <w:rFonts w:ascii="Traditional Arabic" w:hAnsi="Traditional Arabic" w:cs="Traditional Arabic"/>
          <w:b/>
          <w:sz w:val="30"/>
          <w:szCs w:val="30"/>
          <w:rtl/>
          <w:lang w:bidi="ar-EG"/>
        </w:rPr>
        <w:t>1 (4)</w:t>
      </w:r>
      <w:r w:rsidRPr="00EB5BCF">
        <w:rPr>
          <w:rFonts w:ascii="Traditional Arabic" w:hAnsi="Traditional Arabic" w:cs="Traditional Arabic"/>
          <w:b/>
          <w:sz w:val="30"/>
          <w:szCs w:val="30"/>
          <w:rtl/>
          <w:lang w:bidi="ar-EG"/>
        </w:rPr>
        <w:t xml:space="preserve"> من لائحة تنظيم نشرات الإصدار.</w:t>
      </w:r>
    </w:p>
    <w:p w14:paraId="2E0ECAE4" w14:textId="77777777" w:rsidR="00900E17" w:rsidRPr="00EB5BCF" w:rsidRDefault="00900E17" w:rsidP="008252E9">
      <w:pPr>
        <w:pStyle w:val="ListParagraph"/>
        <w:keepNext/>
        <w:bidi/>
        <w:ind w:left="1080"/>
        <w:jc w:val="both"/>
        <w:rPr>
          <w:rFonts w:ascii="Traditional Arabic" w:hAnsi="Traditional Arabic" w:cs="Traditional Arabic"/>
          <w:b/>
          <w:sz w:val="30"/>
          <w:szCs w:val="30"/>
          <w:lang w:bidi="ar-EG"/>
        </w:rPr>
      </w:pPr>
    </w:p>
    <w:p w14:paraId="088A57FC" w14:textId="77777777" w:rsidR="00AB3D50" w:rsidRPr="00EB5BCF" w:rsidRDefault="00AB3D50" w:rsidP="00AB3D50">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على أنّ طرحا</w:t>
      </w:r>
      <w:r w:rsidR="00900E17" w:rsidRPr="00EB5BCF">
        <w:rPr>
          <w:rFonts w:ascii="Traditional Arabic" w:hAnsi="Traditional Arabic" w:cs="Traditional Arabic"/>
          <w:b/>
          <w:sz w:val="30"/>
          <w:szCs w:val="30"/>
          <w:rtl/>
          <w:lang w:bidi="ar-EG"/>
        </w:rPr>
        <w:t>ً</w:t>
      </w:r>
      <w:r w:rsidRPr="00EB5BCF">
        <w:rPr>
          <w:rFonts w:ascii="Traditional Arabic" w:hAnsi="Traditional Arabic" w:cs="Traditional Arabic"/>
          <w:b/>
          <w:sz w:val="30"/>
          <w:szCs w:val="30"/>
          <w:rtl/>
          <w:lang w:bidi="ar-EG"/>
        </w:rPr>
        <w:t xml:space="preserve"> من هذا النوع لن يُلزم الشركة أو </w:t>
      </w:r>
      <w:r w:rsidR="007D24E4">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bidi="ar-EG"/>
        </w:rPr>
        <w:t xml:space="preserve"> المشترك</w:t>
      </w:r>
      <w:r w:rsidRPr="00EB5BCF">
        <w:rPr>
          <w:rFonts w:ascii="Traditional Arabic" w:hAnsi="Traditional Arabic" w:cs="Traditional Arabic"/>
          <w:b/>
          <w:sz w:val="30"/>
          <w:szCs w:val="30"/>
          <w:rtl/>
          <w:lang w:bidi="ar-EG"/>
        </w:rPr>
        <w:t xml:space="preserve"> </w:t>
      </w:r>
      <w:r w:rsidR="00B944EE">
        <w:rPr>
          <w:rFonts w:ascii="Traditional Arabic" w:hAnsi="Traditional Arabic" w:cs="Traditional Arabic" w:hint="cs"/>
          <w:b/>
          <w:sz w:val="30"/>
          <w:szCs w:val="30"/>
          <w:rtl/>
          <w:lang w:bidi="ar-EG"/>
        </w:rPr>
        <w:t xml:space="preserve">أو مدير الإصدار </w:t>
      </w:r>
      <w:r w:rsidR="006E41E5" w:rsidRPr="00EB5BCF">
        <w:rPr>
          <w:rFonts w:ascii="Traditional Arabic" w:hAnsi="Traditional Arabic" w:cs="Traditional Arabic" w:hint="eastAsia"/>
          <w:b/>
          <w:sz w:val="30"/>
          <w:szCs w:val="30"/>
          <w:rtl/>
          <w:lang w:bidi="ar-EG"/>
        </w:rPr>
        <w:t>أو</w:t>
      </w:r>
      <w:r w:rsidR="006E41E5"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وكلاء</w:t>
      </w:r>
      <w:r w:rsidR="006E41E5"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التحصيل</w:t>
      </w:r>
      <w:r w:rsidR="006E41E5" w:rsidRPr="00EB5BCF">
        <w:rPr>
          <w:rFonts w:ascii="Traditional Arabic" w:hAnsi="Traditional Arabic" w:cs="Traditional Arabic"/>
          <w:b/>
          <w:sz w:val="30"/>
          <w:szCs w:val="30"/>
          <w:rtl/>
          <w:lang w:bidi="ar-EG"/>
        </w:rPr>
        <w:t xml:space="preserve"> </w:t>
      </w:r>
      <w:r w:rsidRPr="00EB5BCF">
        <w:rPr>
          <w:rFonts w:ascii="Traditional Arabic" w:hAnsi="Traditional Arabic" w:cs="Traditional Arabic"/>
          <w:b/>
          <w:sz w:val="30"/>
          <w:szCs w:val="30"/>
          <w:rtl/>
          <w:lang w:bidi="ar-EG"/>
        </w:rPr>
        <w:t>بنشر نشرة إصدار طبقا المادة (3) من لائحة تنظيم نشرات الإصدار أو نشر نشرة تكميلية بموجب المادة 23 من لائحة تنظيم نشرات الإصدار</w:t>
      </w:r>
      <w:r w:rsidR="002C096D" w:rsidRPr="00EB5BCF">
        <w:rPr>
          <w:rFonts w:ascii="Traditional Arabic" w:hAnsi="Traditional Arabic" w:cs="Traditional Arabic"/>
          <w:b/>
          <w:sz w:val="30"/>
          <w:szCs w:val="30"/>
          <w:rtl/>
          <w:lang w:bidi="ar-EG"/>
        </w:rPr>
        <w:t>، أو أي إجراء لت</w:t>
      </w:r>
      <w:r w:rsidR="00EF3B19" w:rsidRPr="00EB5BCF">
        <w:rPr>
          <w:rFonts w:ascii="Traditional Arabic" w:hAnsi="Traditional Arabic" w:cs="Traditional Arabic"/>
          <w:b/>
          <w:sz w:val="30"/>
          <w:szCs w:val="30"/>
          <w:rtl/>
          <w:lang w:bidi="ar-EG"/>
        </w:rPr>
        <w:t>طبيق</w:t>
      </w:r>
      <w:r w:rsidR="002C096D" w:rsidRPr="00EB5BCF">
        <w:rPr>
          <w:rFonts w:ascii="Traditional Arabic" w:hAnsi="Traditional Arabic" w:cs="Traditional Arabic"/>
          <w:b/>
          <w:sz w:val="30"/>
          <w:szCs w:val="30"/>
          <w:rtl/>
          <w:lang w:bidi="ar-EG"/>
        </w:rPr>
        <w:t xml:space="preserve"> لائحة تنظيم نشرات الإصدار في الدولة العضو ذات الصلة</w:t>
      </w:r>
      <w:r w:rsidR="00EF3B19" w:rsidRPr="00EB5BCF">
        <w:rPr>
          <w:rFonts w:ascii="Traditional Arabic" w:hAnsi="Traditional Arabic" w:cs="Traditional Arabic"/>
          <w:b/>
          <w:sz w:val="30"/>
          <w:szCs w:val="30"/>
          <w:rtl/>
          <w:lang w:bidi="ar-EG"/>
        </w:rPr>
        <w:t>،</w:t>
      </w:r>
      <w:r w:rsidR="002C096D" w:rsidRPr="00EB5BCF">
        <w:rPr>
          <w:rFonts w:ascii="Traditional Arabic" w:hAnsi="Traditional Arabic" w:cs="Traditional Arabic"/>
          <w:b/>
          <w:sz w:val="30"/>
          <w:szCs w:val="30"/>
          <w:rtl/>
          <w:lang w:bidi="ar-EG"/>
        </w:rPr>
        <w:t xml:space="preserve"> و</w:t>
      </w:r>
      <w:r w:rsidR="00A541CC" w:rsidRPr="00EB5BCF">
        <w:rPr>
          <w:rFonts w:ascii="Traditional Arabic" w:hAnsi="Traditional Arabic" w:cs="Traditional Arabic"/>
          <w:b/>
          <w:sz w:val="30"/>
          <w:szCs w:val="30"/>
          <w:rtl/>
          <w:lang w:bidi="ar-EG"/>
        </w:rPr>
        <w:t xml:space="preserve">سيعتبر </w:t>
      </w:r>
      <w:r w:rsidR="002C096D" w:rsidRPr="00EB5BCF">
        <w:rPr>
          <w:rFonts w:ascii="Traditional Arabic" w:hAnsi="Traditional Arabic" w:cs="Traditional Arabic"/>
          <w:b/>
          <w:sz w:val="30"/>
          <w:szCs w:val="30"/>
          <w:rtl/>
          <w:lang w:bidi="ar-EG"/>
        </w:rPr>
        <w:t xml:space="preserve">أي شخص يستحوذ على الأسهم </w:t>
      </w:r>
      <w:r w:rsidR="00EF3B19" w:rsidRPr="00EB5BCF">
        <w:rPr>
          <w:rFonts w:ascii="Traditional Arabic" w:hAnsi="Traditional Arabic" w:cs="Traditional Arabic"/>
          <w:b/>
          <w:sz w:val="30"/>
          <w:szCs w:val="30"/>
          <w:rtl/>
          <w:lang w:bidi="ar-EG"/>
        </w:rPr>
        <w:t>أو أي شخص يتم تقديم أي عرض له بموجب الطرح</w:t>
      </w:r>
      <w:r w:rsidR="00A541CC" w:rsidRPr="00EB5BCF">
        <w:rPr>
          <w:rFonts w:ascii="Traditional Arabic" w:hAnsi="Traditional Arabic" w:cs="Traditional Arabic"/>
          <w:b/>
          <w:sz w:val="30"/>
          <w:szCs w:val="30"/>
          <w:rtl/>
          <w:lang w:bidi="ar-EG"/>
        </w:rPr>
        <w:t xml:space="preserve"> قد أقر واعترف </w:t>
      </w:r>
      <w:r w:rsidR="00D2134D" w:rsidRPr="00EB5BCF">
        <w:rPr>
          <w:rFonts w:ascii="Traditional Arabic" w:hAnsi="Traditional Arabic" w:cs="Traditional Arabic"/>
          <w:b/>
          <w:sz w:val="30"/>
          <w:szCs w:val="30"/>
          <w:rtl/>
          <w:lang w:bidi="ar-EG"/>
        </w:rPr>
        <w:t xml:space="preserve">ووافق على أنه "مستثمر مؤهل" </w:t>
      </w:r>
      <w:r w:rsidR="00BB1DAD" w:rsidRPr="00EB5BCF">
        <w:rPr>
          <w:rFonts w:ascii="Traditional Arabic" w:hAnsi="Traditional Arabic" w:cs="Traditional Arabic"/>
          <w:b/>
          <w:sz w:val="30"/>
          <w:szCs w:val="30"/>
          <w:rtl/>
          <w:lang w:bidi="ar-EG"/>
        </w:rPr>
        <w:t>بحسب التعريف الوارد في لائحة تنظيم نشرات الإصدار</w:t>
      </w:r>
      <w:r w:rsidRPr="00EB5BCF">
        <w:rPr>
          <w:rFonts w:ascii="Traditional Arabic" w:hAnsi="Traditional Arabic" w:cs="Traditional Arabic"/>
          <w:b/>
          <w:sz w:val="30"/>
          <w:szCs w:val="30"/>
          <w:rtl/>
          <w:lang w:bidi="ar-EG"/>
        </w:rPr>
        <w:t>.</w:t>
      </w:r>
    </w:p>
    <w:p w14:paraId="3E5E1924" w14:textId="77777777" w:rsidR="00CD5CD6" w:rsidRPr="00EB5BCF" w:rsidRDefault="00CD5CD6" w:rsidP="00AB3D50">
      <w:pPr>
        <w:keepNext/>
        <w:bidi/>
        <w:jc w:val="both"/>
        <w:rPr>
          <w:rFonts w:ascii="Traditional Arabic" w:hAnsi="Traditional Arabic" w:cs="Traditional Arabic"/>
          <w:b/>
          <w:sz w:val="30"/>
          <w:szCs w:val="30"/>
          <w:rtl/>
          <w:lang w:bidi="ar-EG"/>
        </w:rPr>
      </w:pPr>
    </w:p>
    <w:p w14:paraId="3AF75591" w14:textId="77777777" w:rsidR="00AB3D50" w:rsidRPr="00EB5BCF" w:rsidRDefault="00AB3D50" w:rsidP="00CD5CD6">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bidi="ar-EG"/>
        </w:rPr>
        <w:t xml:space="preserve">ولأغراض هذه الفقرة، فإن عبارة "طرح للجمهور" في سياق الأسهم في </w:t>
      </w:r>
      <w:r w:rsidR="001618A2" w:rsidRPr="00EB5BCF">
        <w:rPr>
          <w:rFonts w:ascii="Traditional Arabic" w:hAnsi="Traditional Arabic" w:cs="Traditional Arabic"/>
          <w:b/>
          <w:sz w:val="30"/>
          <w:szCs w:val="30"/>
          <w:rtl/>
          <w:lang w:bidi="ar-EG"/>
        </w:rPr>
        <w:t>الدولة العضو ذات الصلة</w:t>
      </w:r>
      <w:r w:rsidRPr="00EB5BCF">
        <w:rPr>
          <w:rFonts w:ascii="Traditional Arabic" w:hAnsi="Traditional Arabic" w:cs="Traditional Arabic"/>
          <w:b/>
          <w:sz w:val="30"/>
          <w:szCs w:val="30"/>
          <w:rtl/>
          <w:lang w:bidi="ar-EG"/>
        </w:rPr>
        <w:t xml:space="preserve"> يعني إرسال معلومات كافية بأي طريقة كانت عن شروط الطرح والأسهم التي سيتم طرحها لتمكين المستثمر من اتخاذ قراره بالشراء أو الاكتتاب في الأسهم، </w:t>
      </w:r>
      <w:r w:rsidR="000C308B" w:rsidRPr="00EB5BCF">
        <w:rPr>
          <w:rFonts w:ascii="Traditional Arabic" w:hAnsi="Traditional Arabic" w:cs="Traditional Arabic"/>
          <w:b/>
          <w:sz w:val="30"/>
          <w:szCs w:val="30"/>
          <w:rtl/>
          <w:lang w:bidi="ar-EG"/>
        </w:rPr>
        <w:t xml:space="preserve">"بحسب اختلاف ذلك في الدولة العضو ذات الصلة باختلاف </w:t>
      </w:r>
      <w:r w:rsidR="00194912" w:rsidRPr="00EB5BCF">
        <w:rPr>
          <w:rFonts w:ascii="Traditional Arabic" w:hAnsi="Traditional Arabic" w:cs="Traditional Arabic"/>
          <w:b/>
          <w:sz w:val="30"/>
          <w:szCs w:val="30"/>
          <w:rtl/>
          <w:lang w:bidi="ar-EG"/>
        </w:rPr>
        <w:t xml:space="preserve">تطبيق لائحة تنظيم نشرات الإصدار"، </w:t>
      </w:r>
      <w:r w:rsidRPr="00EB5BCF">
        <w:rPr>
          <w:rFonts w:ascii="Traditional Arabic" w:hAnsi="Traditional Arabic" w:cs="Traditional Arabic"/>
          <w:b/>
          <w:sz w:val="30"/>
          <w:szCs w:val="30"/>
          <w:rtl/>
          <w:lang w:bidi="ar-EG"/>
        </w:rPr>
        <w:t xml:space="preserve">وعبارة "لائحة تنظيم نشرات الإصدار" </w:t>
      </w:r>
      <w:r w:rsidR="00194912" w:rsidRPr="00EB5BCF">
        <w:rPr>
          <w:rFonts w:ascii="Traditional Arabic" w:hAnsi="Traditional Arabic" w:cs="Traditional Arabic"/>
          <w:b/>
          <w:sz w:val="30"/>
          <w:szCs w:val="30"/>
          <w:rtl/>
          <w:lang w:bidi="ar-EG"/>
        </w:rPr>
        <w:t>ت</w:t>
      </w:r>
      <w:r w:rsidRPr="00EB5BCF">
        <w:rPr>
          <w:rFonts w:ascii="Traditional Arabic" w:hAnsi="Traditional Arabic" w:cs="Traditional Arabic"/>
          <w:b/>
          <w:sz w:val="30"/>
          <w:szCs w:val="30"/>
          <w:rtl/>
          <w:lang w:bidi="ar-EG"/>
        </w:rPr>
        <w:t>عني لائحة (الاتحاد الأوروبي) 2017/1129</w:t>
      </w:r>
      <w:r w:rsidR="00194912" w:rsidRPr="00EB5BCF">
        <w:rPr>
          <w:rFonts w:ascii="Traditional Arabic" w:hAnsi="Traditional Arabic" w:cs="Traditional Arabic"/>
          <w:b/>
          <w:sz w:val="30"/>
          <w:szCs w:val="30"/>
          <w:rtl/>
          <w:lang w:bidi="ar-EG"/>
        </w:rPr>
        <w:t xml:space="preserve"> وتتضمن أي إجراء ذات صلة لتطبيقها في </w:t>
      </w:r>
      <w:r w:rsidR="00A312CB" w:rsidRPr="00EB5BCF">
        <w:rPr>
          <w:rFonts w:ascii="Traditional Arabic" w:hAnsi="Traditional Arabic" w:cs="Traditional Arabic"/>
          <w:b/>
          <w:sz w:val="30"/>
          <w:szCs w:val="30"/>
          <w:rtl/>
          <w:lang w:bidi="ar-EG"/>
        </w:rPr>
        <w:t>كل دولة عضو ذات صلة.</w:t>
      </w:r>
    </w:p>
    <w:p w14:paraId="3D9A6D33" w14:textId="77777777" w:rsidR="00AB3D50" w:rsidRPr="00EB5BCF" w:rsidRDefault="00AB3D50" w:rsidP="00AB3D50">
      <w:pPr>
        <w:keepNext/>
        <w:bidi/>
        <w:jc w:val="both"/>
        <w:rPr>
          <w:rFonts w:ascii="Traditional Arabic" w:hAnsi="Traditional Arabic" w:cs="Traditional Arabic"/>
          <w:b/>
          <w:sz w:val="30"/>
          <w:szCs w:val="30"/>
          <w:rtl/>
          <w:lang w:bidi="ar-EG"/>
        </w:rPr>
      </w:pPr>
    </w:p>
    <w:p w14:paraId="685C08FA" w14:textId="77777777" w:rsidR="007E5540" w:rsidRPr="00EB5BCF" w:rsidRDefault="007E5540" w:rsidP="007E5540">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val="en-GB" w:bidi="ar-EG"/>
        </w:rPr>
        <w:t xml:space="preserve">في حالة الأسهم المعروضة لوسيط مالي بحسب تعريفه في المادة (5/1) من لائحة تنظيم نشرات الإصدار </w:t>
      </w:r>
      <w:r w:rsidR="00B108D2" w:rsidRPr="00EB5BCF">
        <w:rPr>
          <w:rFonts w:ascii="Traditional Arabic" w:hAnsi="Traditional Arabic" w:cs="Traditional Arabic"/>
          <w:b/>
          <w:sz w:val="30"/>
          <w:szCs w:val="30"/>
          <w:rtl/>
          <w:lang w:val="en-GB" w:bidi="ar-EG"/>
        </w:rPr>
        <w:t>فسيت</w:t>
      </w:r>
      <w:r w:rsidR="00D82BD1" w:rsidRPr="00EB5BCF">
        <w:rPr>
          <w:rFonts w:ascii="Traditional Arabic" w:hAnsi="Traditional Arabic" w:cs="Traditional Arabic"/>
          <w:b/>
          <w:sz w:val="30"/>
          <w:szCs w:val="30"/>
          <w:rtl/>
          <w:lang w:val="en-GB" w:bidi="ar-EG"/>
        </w:rPr>
        <w:t>م اعتبار كل وسيط مالي على أنه أقر واعترف ووافق على أن الأسهم</w:t>
      </w:r>
      <w:r w:rsidRPr="00EB5BCF">
        <w:rPr>
          <w:rFonts w:ascii="Traditional Arabic" w:hAnsi="Traditional Arabic" w:cs="Traditional Arabic"/>
          <w:b/>
          <w:sz w:val="30"/>
          <w:szCs w:val="30"/>
          <w:rtl/>
          <w:lang w:val="en-GB" w:bidi="ar-EG"/>
        </w:rPr>
        <w:t xml:space="preserve"> التي استحوذ عليها من الطرح لم يتم الاستحواذ عليها بالرجوع إل</w:t>
      </w:r>
      <w:r w:rsidR="00D67D36" w:rsidRPr="00EB5BCF">
        <w:rPr>
          <w:rFonts w:ascii="Traditional Arabic" w:hAnsi="Traditional Arabic" w:cs="Traditional Arabic"/>
          <w:b/>
          <w:sz w:val="30"/>
          <w:szCs w:val="30"/>
          <w:rtl/>
          <w:lang w:val="en-GB" w:bidi="ar-EG"/>
        </w:rPr>
        <w:t>يكم</w:t>
      </w:r>
      <w:r w:rsidRPr="00EB5BCF">
        <w:rPr>
          <w:rFonts w:ascii="Traditional Arabic" w:hAnsi="Traditional Arabic" w:cs="Traditional Arabic"/>
          <w:b/>
          <w:sz w:val="30"/>
          <w:szCs w:val="30"/>
          <w:rtl/>
          <w:lang w:val="en-GB" w:bidi="ar-EG"/>
        </w:rPr>
        <w:t>، ولم يتم الاستحواذ عليها بنية عرضها أو إعادة بيعها لأي شخص بحيث يشكل هذا العرض أو إعادة البيع طرحا</w:t>
      </w:r>
      <w:r w:rsidR="00CC25A5" w:rsidRPr="00EB5BCF">
        <w:rPr>
          <w:rFonts w:ascii="Traditional Arabic" w:hAnsi="Traditional Arabic" w:cs="Traditional Arabic"/>
          <w:b/>
          <w:sz w:val="30"/>
          <w:szCs w:val="30"/>
          <w:rtl/>
          <w:lang w:val="en-GB" w:bidi="ar-EG"/>
        </w:rPr>
        <w:t>ً</w:t>
      </w:r>
      <w:r w:rsidRPr="00EB5BCF">
        <w:rPr>
          <w:rFonts w:ascii="Traditional Arabic" w:hAnsi="Traditional Arabic" w:cs="Traditional Arabic"/>
          <w:b/>
          <w:sz w:val="30"/>
          <w:szCs w:val="30"/>
          <w:rtl/>
          <w:lang w:val="en-GB" w:bidi="ar-EG"/>
        </w:rPr>
        <w:t xml:space="preserve"> </w:t>
      </w:r>
      <w:r w:rsidR="00881006" w:rsidRPr="00EB5BCF">
        <w:rPr>
          <w:rFonts w:ascii="Traditional Arabic" w:hAnsi="Traditional Arabic" w:cs="Traditional Arabic"/>
          <w:b/>
          <w:sz w:val="30"/>
          <w:szCs w:val="30"/>
          <w:rtl/>
          <w:lang w:val="en-GB" w:bidi="ar-EG"/>
        </w:rPr>
        <w:t>لها</w:t>
      </w:r>
      <w:r w:rsidRPr="00EB5BCF">
        <w:rPr>
          <w:rFonts w:ascii="Traditional Arabic" w:hAnsi="Traditional Arabic" w:cs="Traditional Arabic"/>
          <w:b/>
          <w:sz w:val="30"/>
          <w:szCs w:val="30"/>
          <w:rtl/>
          <w:lang w:val="en-GB" w:bidi="ar-EG"/>
        </w:rPr>
        <w:t xml:space="preserve"> للجمهور باستثناء عرضهم أو إعادة بيعهم </w:t>
      </w:r>
      <w:r w:rsidR="00393347" w:rsidRPr="00EB5BCF">
        <w:rPr>
          <w:rFonts w:ascii="Traditional Arabic" w:hAnsi="Traditional Arabic" w:cs="Traditional Arabic"/>
          <w:b/>
          <w:sz w:val="30"/>
          <w:szCs w:val="30"/>
          <w:rtl/>
          <w:lang w:val="en-GB" w:bidi="ar-EG"/>
        </w:rPr>
        <w:t xml:space="preserve">لمستثمرين مؤهلين </w:t>
      </w:r>
      <w:r w:rsidRPr="00EB5BCF">
        <w:rPr>
          <w:rFonts w:ascii="Traditional Arabic" w:hAnsi="Traditional Arabic" w:cs="Traditional Arabic"/>
          <w:b/>
          <w:sz w:val="30"/>
          <w:szCs w:val="30"/>
          <w:rtl/>
          <w:lang w:val="en-GB" w:bidi="ar-EG"/>
        </w:rPr>
        <w:t>في</w:t>
      </w:r>
      <w:r w:rsidR="00393347" w:rsidRPr="00EB5BCF">
        <w:rPr>
          <w:rFonts w:ascii="Traditional Arabic" w:hAnsi="Traditional Arabic" w:cs="Traditional Arabic"/>
          <w:b/>
          <w:sz w:val="30"/>
          <w:szCs w:val="30"/>
          <w:rtl/>
          <w:lang w:val="en-GB" w:bidi="ar-EG"/>
        </w:rPr>
        <w:t xml:space="preserve"> أي دولة عضو ذات صلة بحيث يكون قد تم الحصول على موافقة مسبقة من </w:t>
      </w:r>
      <w:r w:rsidR="007D24E4">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val="en-GB" w:bidi="ar-EG"/>
        </w:rPr>
        <w:t xml:space="preserve"> المشترك</w:t>
      </w:r>
      <w:r w:rsidR="00393347" w:rsidRPr="00EB5BCF">
        <w:rPr>
          <w:rFonts w:ascii="Traditional Arabic" w:hAnsi="Traditional Arabic" w:cs="Traditional Arabic"/>
          <w:b/>
          <w:sz w:val="30"/>
          <w:szCs w:val="30"/>
          <w:rtl/>
          <w:lang w:val="en-GB" w:bidi="ar-EG"/>
        </w:rPr>
        <w:t xml:space="preserve"> لكل حالة </w:t>
      </w:r>
      <w:r w:rsidR="00647F1C" w:rsidRPr="00EB5BCF">
        <w:rPr>
          <w:rFonts w:ascii="Traditional Arabic" w:hAnsi="Traditional Arabic" w:cs="Traditional Arabic"/>
          <w:b/>
          <w:sz w:val="30"/>
          <w:szCs w:val="30"/>
          <w:rtl/>
          <w:lang w:val="en-GB" w:bidi="ar-EG"/>
        </w:rPr>
        <w:t>عرض أو إعادة بيع مقترحة. وسوف تعتمد الشركة و</w:t>
      </w:r>
      <w:r w:rsidR="000861C6">
        <w:rPr>
          <w:rFonts w:ascii="Traditional Arabic" w:hAnsi="Traditional Arabic" w:cs="Traditional Arabic"/>
          <w:b/>
          <w:sz w:val="30"/>
          <w:szCs w:val="30"/>
          <w:rtl/>
          <w:lang w:val="en-GB" w:bidi="ar-EG"/>
        </w:rPr>
        <w:t>المساهم البائع</w:t>
      </w:r>
      <w:r w:rsidR="00647F1C" w:rsidRPr="00EB5BCF">
        <w:rPr>
          <w:rFonts w:ascii="Traditional Arabic" w:hAnsi="Traditional Arabic" w:cs="Traditional Arabic"/>
          <w:b/>
          <w:sz w:val="30"/>
          <w:szCs w:val="30"/>
          <w:rtl/>
          <w:lang w:val="en-GB" w:bidi="ar-EG"/>
        </w:rPr>
        <w:t xml:space="preserve"> </w:t>
      </w:r>
      <w:r w:rsidR="00117FDE" w:rsidRPr="00EB5BCF">
        <w:rPr>
          <w:rFonts w:ascii="Traditional Arabic" w:hAnsi="Traditional Arabic" w:cs="Traditional Arabic"/>
          <w:b/>
          <w:sz w:val="30"/>
          <w:szCs w:val="30"/>
          <w:rtl/>
          <w:lang w:val="en-GB" w:bidi="ar-EG"/>
        </w:rPr>
        <w:t>و</w:t>
      </w:r>
      <w:r w:rsidR="007D24E4">
        <w:rPr>
          <w:rFonts w:ascii="Traditional Arabic" w:hAnsi="Traditional Arabic" w:cs="Traditional Arabic" w:hint="cs"/>
          <w:b/>
          <w:sz w:val="30"/>
          <w:szCs w:val="30"/>
          <w:rtl/>
          <w:lang w:bidi="ar-EG"/>
        </w:rPr>
        <w:t>مدير سجل الاكتتاب</w:t>
      </w:r>
      <w:r w:rsidR="00256157">
        <w:rPr>
          <w:rFonts w:ascii="Traditional Arabic" w:hAnsi="Traditional Arabic" w:cs="Traditional Arabic" w:hint="cs"/>
          <w:b/>
          <w:sz w:val="30"/>
          <w:szCs w:val="30"/>
          <w:rtl/>
          <w:lang w:bidi="ar-EG"/>
        </w:rPr>
        <w:t xml:space="preserve"> المشترك ومدير الإصدار</w:t>
      </w:r>
      <w:r w:rsidR="00117FDE" w:rsidRPr="00EB5BCF">
        <w:rPr>
          <w:rFonts w:ascii="Traditional Arabic" w:hAnsi="Traditional Arabic" w:cs="Traditional Arabic"/>
          <w:b/>
          <w:sz w:val="30"/>
          <w:szCs w:val="30"/>
          <w:rtl/>
          <w:lang w:val="en-GB" w:bidi="ar-EG"/>
        </w:rPr>
        <w:t xml:space="preserve"> </w:t>
      </w:r>
      <w:r w:rsidR="006E41E5" w:rsidRPr="00EB5BCF">
        <w:rPr>
          <w:rFonts w:ascii="Traditional Arabic" w:hAnsi="Traditional Arabic" w:cs="Traditional Arabic" w:hint="eastAsia"/>
          <w:b/>
          <w:sz w:val="30"/>
          <w:szCs w:val="30"/>
          <w:rtl/>
          <w:lang w:val="en-GB" w:bidi="ar-EG"/>
        </w:rPr>
        <w:t>و</w:t>
      </w:r>
      <w:r w:rsidR="006E41E5" w:rsidRPr="00EB5BCF">
        <w:rPr>
          <w:rFonts w:ascii="Traditional Arabic" w:hAnsi="Traditional Arabic" w:cs="Traditional Arabic" w:hint="eastAsia"/>
          <w:b/>
          <w:sz w:val="30"/>
          <w:szCs w:val="30"/>
          <w:rtl/>
          <w:lang w:bidi="ar-EG"/>
        </w:rPr>
        <w:t>وكلاء</w:t>
      </w:r>
      <w:r w:rsidR="006E41E5"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التحصيل</w:t>
      </w:r>
      <w:r w:rsidR="006E41E5" w:rsidRPr="00EB5BCF">
        <w:rPr>
          <w:rFonts w:ascii="Traditional Arabic" w:hAnsi="Traditional Arabic" w:cs="Traditional Arabic"/>
          <w:b/>
          <w:sz w:val="30"/>
          <w:szCs w:val="30"/>
          <w:rtl/>
          <w:lang w:val="en-GB" w:bidi="ar-EG"/>
        </w:rPr>
        <w:t xml:space="preserve"> </w:t>
      </w:r>
      <w:r w:rsidR="00117FDE" w:rsidRPr="00EB5BCF">
        <w:rPr>
          <w:rFonts w:ascii="Traditional Arabic" w:hAnsi="Traditional Arabic" w:cs="Traditional Arabic"/>
          <w:b/>
          <w:sz w:val="30"/>
          <w:szCs w:val="30"/>
          <w:rtl/>
          <w:lang w:val="en-GB" w:bidi="ar-EG"/>
        </w:rPr>
        <w:t>والتابعون له</w:t>
      </w:r>
      <w:r w:rsidR="006E41E5" w:rsidRPr="00EB5BCF">
        <w:rPr>
          <w:rFonts w:ascii="Traditional Arabic" w:hAnsi="Traditional Arabic" w:cs="Traditional Arabic" w:hint="eastAsia"/>
          <w:b/>
          <w:sz w:val="30"/>
          <w:szCs w:val="30"/>
          <w:rtl/>
          <w:lang w:val="en-GB" w:bidi="ar-EG"/>
        </w:rPr>
        <w:t>م</w:t>
      </w:r>
      <w:r w:rsidR="00117FDE" w:rsidRPr="00EB5BCF">
        <w:rPr>
          <w:rFonts w:ascii="Traditional Arabic" w:hAnsi="Traditional Arabic" w:cs="Traditional Arabic"/>
          <w:b/>
          <w:sz w:val="30"/>
          <w:szCs w:val="30"/>
          <w:rtl/>
          <w:lang w:val="en-GB" w:bidi="ar-EG"/>
        </w:rPr>
        <w:t xml:space="preserve"> (وتُقر الشركة بأن </w:t>
      </w:r>
      <w:r w:rsidR="00F37CF6">
        <w:rPr>
          <w:rFonts w:ascii="Traditional Arabic" w:hAnsi="Traditional Arabic" w:cs="Traditional Arabic"/>
          <w:b/>
          <w:sz w:val="30"/>
          <w:szCs w:val="30"/>
          <w:rtl/>
          <w:lang w:val="en-GB" w:bidi="ar-EG"/>
        </w:rPr>
        <w:t>المنسق العالمي المشترك</w:t>
      </w:r>
      <w:r w:rsidR="00117FDE" w:rsidRPr="00EB5BCF">
        <w:rPr>
          <w:rFonts w:ascii="Traditional Arabic" w:hAnsi="Traditional Arabic" w:cs="Traditional Arabic"/>
          <w:b/>
          <w:sz w:val="30"/>
          <w:szCs w:val="30"/>
          <w:rtl/>
          <w:lang w:val="en-GB" w:bidi="ar-EG"/>
        </w:rPr>
        <w:t xml:space="preserve"> </w:t>
      </w:r>
      <w:r w:rsidR="00EB4010">
        <w:rPr>
          <w:rFonts w:ascii="Traditional Arabic" w:hAnsi="Traditional Arabic" w:cs="Traditional Arabic" w:hint="cs"/>
          <w:b/>
          <w:sz w:val="30"/>
          <w:szCs w:val="30"/>
          <w:rtl/>
          <w:lang w:val="en-GB" w:bidi="ar-EG"/>
        </w:rPr>
        <w:t>و</w:t>
      </w:r>
      <w:r w:rsidR="00EB4010">
        <w:rPr>
          <w:rFonts w:ascii="Traditional Arabic" w:hAnsi="Traditional Arabic" w:cs="Traditional Arabic" w:hint="cs"/>
          <w:b/>
          <w:sz w:val="30"/>
          <w:szCs w:val="30"/>
          <w:rtl/>
          <w:lang w:bidi="ar-EG"/>
        </w:rPr>
        <w:t xml:space="preserve">مدير الإصدار </w:t>
      </w:r>
      <w:r w:rsidR="006E41E5" w:rsidRPr="00EB5BCF">
        <w:rPr>
          <w:rFonts w:ascii="Traditional Arabic" w:hAnsi="Traditional Arabic" w:cs="Traditional Arabic" w:hint="eastAsia"/>
          <w:b/>
          <w:sz w:val="30"/>
          <w:szCs w:val="30"/>
          <w:rtl/>
          <w:lang w:val="en-GB" w:bidi="ar-EG"/>
        </w:rPr>
        <w:t>و</w:t>
      </w:r>
      <w:r w:rsidR="006E41E5" w:rsidRPr="00EB5BCF">
        <w:rPr>
          <w:rFonts w:ascii="Traditional Arabic" w:hAnsi="Traditional Arabic" w:cs="Traditional Arabic" w:hint="eastAsia"/>
          <w:b/>
          <w:sz w:val="30"/>
          <w:szCs w:val="30"/>
          <w:rtl/>
          <w:lang w:bidi="ar-EG"/>
        </w:rPr>
        <w:t>وكلاء</w:t>
      </w:r>
      <w:r w:rsidR="006E41E5"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التحصيل</w:t>
      </w:r>
      <w:r w:rsidR="006E41E5" w:rsidRPr="00EB5BCF">
        <w:rPr>
          <w:rFonts w:ascii="Traditional Arabic" w:hAnsi="Traditional Arabic" w:cs="Traditional Arabic"/>
          <w:b/>
          <w:sz w:val="30"/>
          <w:szCs w:val="30"/>
          <w:rtl/>
          <w:lang w:val="en-GB" w:bidi="ar-EG"/>
        </w:rPr>
        <w:t xml:space="preserve"> </w:t>
      </w:r>
      <w:r w:rsidR="00117FDE" w:rsidRPr="00EB5BCF">
        <w:rPr>
          <w:rFonts w:ascii="Traditional Arabic" w:hAnsi="Traditional Arabic" w:cs="Traditional Arabic"/>
          <w:b/>
          <w:sz w:val="30"/>
          <w:szCs w:val="30"/>
          <w:rtl/>
          <w:lang w:val="en-GB" w:bidi="ar-EG"/>
        </w:rPr>
        <w:t>والتابعين له</w:t>
      </w:r>
      <w:r w:rsidR="006E41E5" w:rsidRPr="00EB5BCF">
        <w:rPr>
          <w:rFonts w:ascii="Traditional Arabic" w:hAnsi="Traditional Arabic" w:cs="Traditional Arabic" w:hint="eastAsia"/>
          <w:b/>
          <w:sz w:val="30"/>
          <w:szCs w:val="30"/>
          <w:rtl/>
          <w:lang w:val="en-GB" w:bidi="ar-EG"/>
        </w:rPr>
        <w:t>م</w:t>
      </w:r>
      <w:r w:rsidR="00117FDE" w:rsidRPr="00EB5BCF">
        <w:rPr>
          <w:rFonts w:ascii="Traditional Arabic" w:hAnsi="Traditional Arabic" w:cs="Traditional Arabic"/>
          <w:b/>
          <w:sz w:val="30"/>
          <w:szCs w:val="30"/>
          <w:rtl/>
          <w:lang w:val="en-GB" w:bidi="ar-EG"/>
        </w:rPr>
        <w:t xml:space="preserve"> وغيرهم سيعتمدون) على </w:t>
      </w:r>
      <w:r w:rsidR="0060733C" w:rsidRPr="00EB5BCF">
        <w:rPr>
          <w:rFonts w:ascii="Traditional Arabic" w:hAnsi="Traditional Arabic" w:cs="Traditional Arabic"/>
          <w:b/>
          <w:sz w:val="30"/>
          <w:szCs w:val="30"/>
          <w:rtl/>
          <w:lang w:val="en-GB" w:bidi="ar-EG"/>
        </w:rPr>
        <w:t>صحة ودقة الإقرارات والاتفاقات السابقة ولن يكونوا مسؤولين عن أي خسارة ناتجة عن هذا الاعتماد</w:t>
      </w:r>
      <w:r w:rsidR="00A209E1" w:rsidRPr="00EB5BCF">
        <w:rPr>
          <w:rFonts w:ascii="Traditional Arabic" w:hAnsi="Traditional Arabic" w:cs="Traditional Arabic"/>
          <w:b/>
          <w:sz w:val="30"/>
          <w:szCs w:val="30"/>
          <w:rtl/>
          <w:lang w:val="en-GB" w:bidi="ar-EG"/>
        </w:rPr>
        <w:t>. وبغض النظر عما ذُكر أعلاه، فإن الشخص الذي لا يعتبر مستثمرا</w:t>
      </w:r>
      <w:r w:rsidR="006E41E5" w:rsidRPr="00EB5BCF">
        <w:rPr>
          <w:rFonts w:ascii="Traditional Arabic" w:hAnsi="Traditional Arabic" w:cs="Traditional Arabic" w:hint="eastAsia"/>
          <w:b/>
          <w:sz w:val="30"/>
          <w:szCs w:val="30"/>
          <w:rtl/>
          <w:lang w:val="en-GB" w:bidi="ar-EG"/>
        </w:rPr>
        <w:t>ً</w:t>
      </w:r>
      <w:r w:rsidR="00A209E1" w:rsidRPr="00EB5BCF">
        <w:rPr>
          <w:rFonts w:ascii="Traditional Arabic" w:hAnsi="Traditional Arabic" w:cs="Traditional Arabic"/>
          <w:b/>
          <w:sz w:val="30"/>
          <w:szCs w:val="30"/>
          <w:rtl/>
          <w:lang w:val="en-GB" w:bidi="ar-EG"/>
        </w:rPr>
        <w:t xml:space="preserve"> مؤهلا</w:t>
      </w:r>
      <w:r w:rsidR="006E41E5" w:rsidRPr="00EB5BCF">
        <w:rPr>
          <w:rFonts w:ascii="Traditional Arabic" w:hAnsi="Traditional Arabic" w:cs="Traditional Arabic" w:hint="eastAsia"/>
          <w:b/>
          <w:sz w:val="30"/>
          <w:szCs w:val="30"/>
          <w:rtl/>
          <w:lang w:val="en-GB" w:bidi="ar-EG"/>
        </w:rPr>
        <w:t>ً</w:t>
      </w:r>
      <w:r w:rsidR="00A209E1" w:rsidRPr="00EB5BCF">
        <w:rPr>
          <w:rFonts w:ascii="Traditional Arabic" w:hAnsi="Traditional Arabic" w:cs="Traditional Arabic"/>
          <w:b/>
          <w:sz w:val="30"/>
          <w:szCs w:val="30"/>
          <w:rtl/>
          <w:lang w:val="en-GB" w:bidi="ar-EG"/>
        </w:rPr>
        <w:t xml:space="preserve"> والذي قد أخبر </w:t>
      </w:r>
      <w:r w:rsidR="009013BB">
        <w:rPr>
          <w:rFonts w:ascii="Traditional Arabic" w:hAnsi="Traditional Arabic" w:cs="Traditional Arabic" w:hint="cs"/>
          <w:b/>
          <w:sz w:val="30"/>
          <w:szCs w:val="30"/>
          <w:rtl/>
          <w:lang w:bidi="ar-EG"/>
        </w:rPr>
        <w:lastRenderedPageBreak/>
        <w:t>مدير سجل الاكتتاب</w:t>
      </w:r>
      <w:r w:rsidR="00F37CF6">
        <w:rPr>
          <w:rFonts w:ascii="Traditional Arabic" w:hAnsi="Traditional Arabic" w:cs="Traditional Arabic"/>
          <w:b/>
          <w:sz w:val="30"/>
          <w:szCs w:val="30"/>
          <w:rtl/>
          <w:lang w:val="en-GB" w:bidi="ar-EG"/>
        </w:rPr>
        <w:t xml:space="preserve"> المشترك</w:t>
      </w:r>
      <w:r w:rsidR="00EB4010">
        <w:rPr>
          <w:rFonts w:ascii="Traditional Arabic" w:hAnsi="Traditional Arabic" w:cs="Traditional Arabic" w:hint="cs"/>
          <w:b/>
          <w:sz w:val="30"/>
          <w:szCs w:val="30"/>
          <w:rtl/>
          <w:lang w:val="en-GB" w:bidi="ar-EG"/>
        </w:rPr>
        <w:t xml:space="preserve"> أو </w:t>
      </w:r>
      <w:r w:rsidR="00EB4010">
        <w:rPr>
          <w:rFonts w:ascii="Traditional Arabic" w:hAnsi="Traditional Arabic" w:cs="Traditional Arabic" w:hint="cs"/>
          <w:b/>
          <w:sz w:val="30"/>
          <w:szCs w:val="30"/>
          <w:rtl/>
          <w:lang w:bidi="ar-EG"/>
        </w:rPr>
        <w:t>مدير الإصدار</w:t>
      </w:r>
      <w:r w:rsidR="00CC25A5" w:rsidRPr="00EB5BCF">
        <w:rPr>
          <w:rFonts w:ascii="Traditional Arabic" w:hAnsi="Traditional Arabic" w:cs="Traditional Arabic"/>
          <w:b/>
          <w:sz w:val="30"/>
          <w:szCs w:val="30"/>
          <w:rtl/>
          <w:lang w:val="en-GB" w:bidi="ar-EG"/>
        </w:rPr>
        <w:t xml:space="preserve"> </w:t>
      </w:r>
      <w:r w:rsidR="006E41E5" w:rsidRPr="00EB5BCF">
        <w:rPr>
          <w:rFonts w:ascii="Traditional Arabic" w:hAnsi="Traditional Arabic" w:cs="Traditional Arabic" w:hint="eastAsia"/>
          <w:b/>
          <w:sz w:val="30"/>
          <w:szCs w:val="30"/>
          <w:rtl/>
          <w:lang w:val="en-GB" w:bidi="ar-EG"/>
        </w:rPr>
        <w:t>أو</w:t>
      </w:r>
      <w:r w:rsidR="006E41E5" w:rsidRPr="00EB5BCF">
        <w:rPr>
          <w:rFonts w:ascii="Traditional Arabic" w:hAnsi="Traditional Arabic" w:cs="Traditional Arabic"/>
          <w:b/>
          <w:sz w:val="30"/>
          <w:szCs w:val="30"/>
          <w:rtl/>
          <w:lang w:val="en-GB" w:bidi="ar-EG"/>
        </w:rPr>
        <w:t xml:space="preserve"> </w:t>
      </w:r>
      <w:r w:rsidR="006E41E5" w:rsidRPr="00EB5BCF">
        <w:rPr>
          <w:rFonts w:ascii="Traditional Arabic" w:hAnsi="Traditional Arabic" w:cs="Traditional Arabic" w:hint="eastAsia"/>
          <w:b/>
          <w:sz w:val="30"/>
          <w:szCs w:val="30"/>
          <w:rtl/>
          <w:lang w:bidi="ar-EG"/>
        </w:rPr>
        <w:t>وكلاء</w:t>
      </w:r>
      <w:r w:rsidR="006E41E5" w:rsidRPr="00EB5BCF">
        <w:rPr>
          <w:rFonts w:ascii="Traditional Arabic" w:hAnsi="Traditional Arabic" w:cs="Traditional Arabic"/>
          <w:b/>
          <w:sz w:val="30"/>
          <w:szCs w:val="30"/>
          <w:rtl/>
          <w:lang w:bidi="ar-EG"/>
        </w:rPr>
        <w:t xml:space="preserve"> </w:t>
      </w:r>
      <w:r w:rsidR="006E41E5" w:rsidRPr="00EB5BCF">
        <w:rPr>
          <w:rFonts w:ascii="Traditional Arabic" w:hAnsi="Traditional Arabic" w:cs="Traditional Arabic" w:hint="eastAsia"/>
          <w:b/>
          <w:sz w:val="30"/>
          <w:szCs w:val="30"/>
          <w:rtl/>
          <w:lang w:bidi="ar-EG"/>
        </w:rPr>
        <w:t>التحصيل</w:t>
      </w:r>
      <w:r w:rsidR="006E41E5" w:rsidRPr="00EB5BCF">
        <w:rPr>
          <w:rFonts w:ascii="Traditional Arabic" w:hAnsi="Traditional Arabic" w:cs="Traditional Arabic"/>
          <w:b/>
          <w:sz w:val="30"/>
          <w:szCs w:val="30"/>
          <w:rtl/>
          <w:lang w:val="en-GB" w:bidi="ar-EG"/>
        </w:rPr>
        <w:t xml:space="preserve"> </w:t>
      </w:r>
      <w:r w:rsidR="00A209E1" w:rsidRPr="00EB5BCF">
        <w:rPr>
          <w:rFonts w:ascii="Traditional Arabic" w:hAnsi="Traditional Arabic" w:cs="Traditional Arabic"/>
          <w:b/>
          <w:sz w:val="30"/>
          <w:szCs w:val="30"/>
          <w:rtl/>
          <w:lang w:val="en-GB" w:bidi="ar-EG"/>
        </w:rPr>
        <w:t xml:space="preserve">بهذه الحقيقة عن طريق الكتابة </w:t>
      </w:r>
      <w:r w:rsidR="009D0B8C" w:rsidRPr="00EB5BCF">
        <w:rPr>
          <w:rFonts w:ascii="Traditional Arabic" w:hAnsi="Traditional Arabic" w:cs="Traditional Arabic"/>
          <w:b/>
          <w:sz w:val="30"/>
          <w:szCs w:val="30"/>
          <w:rtl/>
          <w:lang w:val="en-GB" w:bidi="ar-EG"/>
        </w:rPr>
        <w:t>قد يُسمح له بأن يكتتب في الأسهم أو يشتريها</w:t>
      </w:r>
      <w:r w:rsidR="00C35E9C" w:rsidRPr="00EB5BCF">
        <w:rPr>
          <w:rFonts w:ascii="Traditional Arabic" w:hAnsi="Traditional Arabic" w:cs="Traditional Arabic"/>
          <w:b/>
          <w:sz w:val="30"/>
          <w:szCs w:val="30"/>
          <w:rtl/>
          <w:lang w:val="en-GB" w:bidi="ar-EG"/>
        </w:rPr>
        <w:t xml:space="preserve"> بعد موافقة </w:t>
      </w:r>
      <w:r w:rsidR="00F37CF6">
        <w:rPr>
          <w:rFonts w:ascii="Traditional Arabic" w:hAnsi="Traditional Arabic" w:cs="Traditional Arabic"/>
          <w:b/>
          <w:sz w:val="30"/>
          <w:szCs w:val="30"/>
          <w:rtl/>
          <w:lang w:val="en-GB" w:bidi="ar-EG"/>
        </w:rPr>
        <w:t>المنسق العالمي المشترك</w:t>
      </w:r>
      <w:r w:rsidR="009D0B8C" w:rsidRPr="00EB5BCF">
        <w:rPr>
          <w:rFonts w:ascii="Traditional Arabic" w:hAnsi="Traditional Arabic" w:cs="Traditional Arabic"/>
          <w:b/>
          <w:sz w:val="30"/>
          <w:szCs w:val="30"/>
          <w:rtl/>
          <w:lang w:val="en-GB" w:bidi="ar-EG"/>
        </w:rPr>
        <w:t>.</w:t>
      </w:r>
    </w:p>
    <w:p w14:paraId="2DD15BA7" w14:textId="77777777" w:rsidR="007E5540" w:rsidRPr="00EB5BCF" w:rsidRDefault="007E5540" w:rsidP="007E5540">
      <w:pPr>
        <w:keepNext/>
        <w:bidi/>
        <w:jc w:val="both"/>
        <w:rPr>
          <w:rFonts w:ascii="Traditional Arabic" w:hAnsi="Traditional Arabic" w:cs="Traditional Arabic"/>
          <w:b/>
          <w:sz w:val="30"/>
          <w:szCs w:val="30"/>
          <w:rtl/>
          <w:lang w:bidi="ar-EG"/>
        </w:rPr>
      </w:pPr>
    </w:p>
    <w:p w14:paraId="53B5E0AC" w14:textId="77777777" w:rsidR="00AB3D50" w:rsidRPr="00EB5BCF" w:rsidRDefault="00AB3D50" w:rsidP="00AB3D50">
      <w:pPr>
        <w:keepNext/>
        <w:bidi/>
        <w:jc w:val="both"/>
        <w:rPr>
          <w:rFonts w:ascii="Traditional Arabic" w:hAnsi="Traditional Arabic" w:cs="Traditional Arabic"/>
          <w:b/>
          <w:bCs/>
          <w:iCs/>
          <w:sz w:val="30"/>
          <w:szCs w:val="30"/>
          <w:rtl/>
          <w:lang w:bidi="ar-OM"/>
        </w:rPr>
      </w:pPr>
      <w:r w:rsidRPr="00EB5BCF">
        <w:rPr>
          <w:rFonts w:ascii="Traditional Arabic" w:hAnsi="Traditional Arabic" w:cs="Traditional Arabic"/>
          <w:b/>
          <w:bCs/>
          <w:iCs/>
          <w:sz w:val="30"/>
          <w:szCs w:val="30"/>
          <w:rtl/>
        </w:rPr>
        <w:t>مملكة البحرين</w:t>
      </w:r>
    </w:p>
    <w:p w14:paraId="0378F982" w14:textId="77777777" w:rsidR="007C122B" w:rsidRPr="00EB5BCF" w:rsidRDefault="00B16658" w:rsidP="00AB3D50">
      <w:pPr>
        <w:keepNext/>
        <w:bidi/>
        <w:jc w:val="both"/>
        <w:rPr>
          <w:rFonts w:ascii="Traditional Arabic" w:hAnsi="Traditional Arabic" w:cs="Traditional Arabic"/>
          <w:b/>
          <w:sz w:val="30"/>
          <w:szCs w:val="30"/>
          <w:rtl/>
        </w:rPr>
      </w:pPr>
      <w:r w:rsidRPr="00EB5BCF">
        <w:rPr>
          <w:rFonts w:ascii="Traditional Arabic" w:hAnsi="Traditional Arabic" w:cs="Traditional Arabic"/>
          <w:b/>
          <w:sz w:val="30"/>
          <w:szCs w:val="30"/>
          <w:rtl/>
        </w:rPr>
        <w:t xml:space="preserve">لم يتم </w:t>
      </w:r>
      <w:r w:rsidR="00F7225D" w:rsidRPr="00EB5BCF">
        <w:rPr>
          <w:rFonts w:ascii="Traditional Arabic" w:hAnsi="Traditional Arabic" w:cs="Traditional Arabic"/>
          <w:b/>
          <w:sz w:val="30"/>
          <w:szCs w:val="30"/>
          <w:rtl/>
        </w:rPr>
        <w:t>عرض الأسهم ولا بيعها ولن يتم عرضها ولا بيعها لأي شخص في</w:t>
      </w:r>
      <w:r w:rsidR="00AB3D50" w:rsidRPr="00EB5BCF">
        <w:rPr>
          <w:rFonts w:ascii="Traditional Arabic" w:hAnsi="Traditional Arabic" w:cs="Traditional Arabic"/>
          <w:b/>
          <w:sz w:val="30"/>
          <w:szCs w:val="30"/>
          <w:rtl/>
        </w:rPr>
        <w:t xml:space="preserve"> مملكة البحرين</w:t>
      </w:r>
      <w:r w:rsidR="00F7225D" w:rsidRPr="00EB5BCF">
        <w:rPr>
          <w:rFonts w:ascii="Traditional Arabic" w:hAnsi="Traditional Arabic" w:cs="Traditional Arabic"/>
          <w:b/>
          <w:sz w:val="30"/>
          <w:szCs w:val="30"/>
          <w:rtl/>
        </w:rPr>
        <w:t xml:space="preserve"> باستثناء أن يكون ذلك في اكتتاب خاص</w:t>
      </w:r>
      <w:r w:rsidR="007C122B" w:rsidRPr="00EB5BCF">
        <w:rPr>
          <w:rFonts w:ascii="Traditional Arabic" w:hAnsi="Traditional Arabic" w:cs="Traditional Arabic"/>
          <w:b/>
          <w:sz w:val="30"/>
          <w:szCs w:val="30"/>
          <w:rtl/>
        </w:rPr>
        <w:t xml:space="preserve"> إلى أشخاص من "المستثمرين المعتمدين". ويُعرف المستثمر المعتمد على أنه:</w:t>
      </w:r>
    </w:p>
    <w:p w14:paraId="5308AD98" w14:textId="77777777" w:rsidR="00AB3D50" w:rsidRPr="00EB5BCF" w:rsidRDefault="003005CC" w:rsidP="00922116">
      <w:pPr>
        <w:pStyle w:val="ListParagraph"/>
        <w:keepNext/>
        <w:numPr>
          <w:ilvl w:val="0"/>
          <w:numId w:val="27"/>
        </w:numPr>
        <w:bidi/>
        <w:jc w:val="both"/>
        <w:rPr>
          <w:rFonts w:ascii="Traditional Arabic" w:hAnsi="Traditional Arabic" w:cs="Traditional Arabic"/>
          <w:b/>
          <w:sz w:val="30"/>
          <w:szCs w:val="30"/>
          <w:lang w:bidi="ar-OM"/>
        </w:rPr>
      </w:pPr>
      <w:r w:rsidRPr="00EB5BCF">
        <w:rPr>
          <w:rFonts w:ascii="Traditional Arabic" w:hAnsi="Traditional Arabic" w:cs="Traditional Arabic"/>
          <w:b/>
          <w:sz w:val="30"/>
          <w:szCs w:val="30"/>
          <w:rtl/>
        </w:rPr>
        <w:t>فرد يملك أصولا مالية (وحده أو بالاشتراك مع زوجه) بقيمة 1</w:t>
      </w:r>
      <w:r w:rsidR="009C575C" w:rsidRPr="00EB5BCF">
        <w:rPr>
          <w:rFonts w:ascii="Traditional Arabic" w:hAnsi="Traditional Arabic" w:cs="Traditional Arabic"/>
          <w:b/>
          <w:sz w:val="30"/>
          <w:szCs w:val="30"/>
          <w:rtl/>
        </w:rPr>
        <w:t>,</w:t>
      </w:r>
      <w:r w:rsidRPr="00EB5BCF">
        <w:rPr>
          <w:rFonts w:ascii="Traditional Arabic" w:hAnsi="Traditional Arabic" w:cs="Traditional Arabic"/>
          <w:b/>
          <w:sz w:val="30"/>
          <w:szCs w:val="30"/>
          <w:rtl/>
        </w:rPr>
        <w:t xml:space="preserve">000,000 </w:t>
      </w:r>
      <w:r w:rsidR="00BF05B7" w:rsidRPr="00EB5BCF">
        <w:rPr>
          <w:rFonts w:ascii="Traditional Arabic" w:hAnsi="Traditional Arabic" w:cs="Traditional Arabic"/>
          <w:b/>
          <w:sz w:val="30"/>
          <w:szCs w:val="30"/>
          <w:rtl/>
        </w:rPr>
        <w:t>دولار أمريكي أو أكثر.</w:t>
      </w:r>
    </w:p>
    <w:p w14:paraId="0EF870FF" w14:textId="77777777" w:rsidR="00BF05B7" w:rsidRPr="00EB5BCF" w:rsidRDefault="00BF05B7" w:rsidP="00922116">
      <w:pPr>
        <w:pStyle w:val="ListParagraph"/>
        <w:keepNext/>
        <w:numPr>
          <w:ilvl w:val="0"/>
          <w:numId w:val="27"/>
        </w:numPr>
        <w:bidi/>
        <w:jc w:val="both"/>
        <w:rPr>
          <w:rFonts w:ascii="Traditional Arabic" w:hAnsi="Traditional Arabic" w:cs="Traditional Arabic"/>
          <w:b/>
          <w:sz w:val="30"/>
          <w:szCs w:val="30"/>
          <w:rtl/>
          <w:lang w:bidi="ar-OM"/>
        </w:rPr>
      </w:pPr>
      <w:r w:rsidRPr="00EB5BCF">
        <w:rPr>
          <w:rFonts w:ascii="Traditional Arabic" w:hAnsi="Traditional Arabic" w:cs="Traditional Arabic"/>
          <w:b/>
          <w:sz w:val="30"/>
          <w:szCs w:val="30"/>
          <w:rtl/>
        </w:rPr>
        <w:t>شركة أو شراكة أو عهدة أو أي تعهد تجاري آخر يملك أصولا</w:t>
      </w:r>
      <w:r w:rsidR="009C575C" w:rsidRPr="00EB5BCF">
        <w:rPr>
          <w:rFonts w:ascii="Traditional Arabic" w:hAnsi="Traditional Arabic" w:cs="Traditional Arabic"/>
          <w:b/>
          <w:sz w:val="30"/>
          <w:szCs w:val="30"/>
          <w:rtl/>
        </w:rPr>
        <w:t>ً</w:t>
      </w:r>
      <w:r w:rsidRPr="00EB5BCF">
        <w:rPr>
          <w:rFonts w:ascii="Traditional Arabic" w:hAnsi="Traditional Arabic" w:cs="Traditional Arabic"/>
          <w:b/>
          <w:sz w:val="30"/>
          <w:szCs w:val="30"/>
          <w:rtl/>
        </w:rPr>
        <w:t xml:space="preserve"> مالية للاستثمار </w:t>
      </w:r>
      <w:r w:rsidR="00256909" w:rsidRPr="00EB5BCF">
        <w:rPr>
          <w:rFonts w:ascii="Traditional Arabic" w:hAnsi="Traditional Arabic" w:cs="Traditional Arabic"/>
          <w:b/>
          <w:sz w:val="30"/>
          <w:szCs w:val="30"/>
          <w:rtl/>
        </w:rPr>
        <w:t>بما لا يقل عن 1,000,000 دولار أمريكي.</w:t>
      </w:r>
    </w:p>
    <w:p w14:paraId="6C1392C4" w14:textId="77777777" w:rsidR="00AB3D50" w:rsidRPr="00EB5BCF" w:rsidRDefault="00AB3D50" w:rsidP="00AB3D50">
      <w:pPr>
        <w:keepNext/>
        <w:bidi/>
        <w:jc w:val="both"/>
        <w:rPr>
          <w:rFonts w:ascii="Traditional Arabic" w:hAnsi="Traditional Arabic" w:cs="Traditional Arabic"/>
          <w:b/>
          <w:sz w:val="30"/>
          <w:szCs w:val="30"/>
          <w:rtl/>
          <w:lang w:bidi="ar-OM"/>
        </w:rPr>
      </w:pPr>
    </w:p>
    <w:p w14:paraId="45F268E2" w14:textId="77777777" w:rsidR="00AB3D50" w:rsidRPr="00EB5BCF" w:rsidRDefault="00AB3D50" w:rsidP="00AB3D50">
      <w:pPr>
        <w:keepNext/>
        <w:bidi/>
        <w:jc w:val="both"/>
        <w:rPr>
          <w:rFonts w:ascii="Traditional Arabic" w:hAnsi="Traditional Arabic" w:cs="Traditional Arabic"/>
          <w:b/>
          <w:sz w:val="30"/>
          <w:szCs w:val="30"/>
          <w:rtl/>
        </w:rPr>
      </w:pPr>
      <w:r w:rsidRPr="00EB5BCF">
        <w:rPr>
          <w:rFonts w:ascii="Traditional Arabic" w:hAnsi="Traditional Arabic" w:cs="Traditional Arabic"/>
          <w:b/>
          <w:sz w:val="30"/>
          <w:szCs w:val="30"/>
          <w:rtl/>
        </w:rPr>
        <w:t>لا يشكل هذا الاكتتاب عرضاً للأوراق المالية في مملكة البحرين وفقا لأحكام المادة 81 من قانون البنك المركزي والمؤسسات المالية لسنة 2006م (المرسوم رقم 64 لسنة 2006م</w:t>
      </w:r>
      <w:r w:rsidRPr="00EB5BCF">
        <w:rPr>
          <w:rFonts w:ascii="Traditional Arabic" w:hAnsi="Traditional Arabic" w:cs="Traditional Arabic"/>
          <w:b/>
          <w:sz w:val="30"/>
          <w:szCs w:val="30"/>
          <w:lang w:bidi="ar-EG"/>
        </w:rPr>
        <w:t>(</w:t>
      </w:r>
      <w:r w:rsidRPr="00EB5BCF">
        <w:rPr>
          <w:rFonts w:ascii="Traditional Arabic" w:hAnsi="Traditional Arabic" w:cs="Traditional Arabic"/>
          <w:b/>
          <w:sz w:val="30"/>
          <w:szCs w:val="30"/>
          <w:rtl/>
        </w:rPr>
        <w:t>، كما لم يتم تسجيل هذه النشرة والوثائق ذات الصلة كنشرة إصدار لدى مصرف البحرين المركزي، وبالتالي لن يتم عرض أو بيع أوراق مالية أو جعلها موضوع دعوة للاكتتاب أو الشراء، فضلا</w:t>
      </w:r>
      <w:r w:rsidR="009C575C" w:rsidRPr="00EB5BCF">
        <w:rPr>
          <w:rFonts w:ascii="Traditional Arabic" w:hAnsi="Traditional Arabic" w:cs="Traditional Arabic"/>
          <w:b/>
          <w:sz w:val="30"/>
          <w:szCs w:val="30"/>
          <w:rtl/>
        </w:rPr>
        <w:t>ً</w:t>
      </w:r>
      <w:r w:rsidRPr="00EB5BCF">
        <w:rPr>
          <w:rFonts w:ascii="Traditional Arabic" w:hAnsi="Traditional Arabic" w:cs="Traditional Arabic"/>
          <w:b/>
          <w:sz w:val="30"/>
          <w:szCs w:val="30"/>
          <w:rtl/>
        </w:rPr>
        <w:t xml:space="preserve"> عن أنه لن يتم </w:t>
      </w:r>
      <w:r w:rsidR="00C433C0" w:rsidRPr="00EB5BCF">
        <w:rPr>
          <w:rFonts w:ascii="Traditional Arabic" w:hAnsi="Traditional Arabic" w:cs="Traditional Arabic"/>
          <w:b/>
          <w:sz w:val="30"/>
          <w:szCs w:val="30"/>
          <w:rtl/>
        </w:rPr>
        <w:t xml:space="preserve">تسليم </w:t>
      </w:r>
      <w:r w:rsidRPr="00EB5BCF">
        <w:rPr>
          <w:rFonts w:ascii="Traditional Arabic" w:hAnsi="Traditional Arabic" w:cs="Traditional Arabic"/>
          <w:b/>
          <w:sz w:val="30"/>
          <w:szCs w:val="30"/>
          <w:rtl/>
        </w:rPr>
        <w:t xml:space="preserve">هذه النشرة أو أي مستند أو أي مواد أخرى متعلقة بها في أي عرض أو بيع أو دعوة للاكتتاب أو لشراء الأوراق المالية، سواء بشكل مباشر أو غير مباشر لأي شخص في مملكة البحرين بخلاف المستثمرين المعتمدين </w:t>
      </w:r>
      <w:r w:rsidR="00822A20" w:rsidRPr="00EB5BCF">
        <w:rPr>
          <w:rFonts w:ascii="Traditional Arabic" w:hAnsi="Traditional Arabic" w:cs="Traditional Arabic"/>
          <w:b/>
          <w:sz w:val="30"/>
          <w:szCs w:val="30"/>
          <w:rtl/>
        </w:rPr>
        <w:t>وذلك ل</w:t>
      </w:r>
      <w:r w:rsidRPr="00EB5BCF">
        <w:rPr>
          <w:rFonts w:ascii="Traditional Arabic" w:hAnsi="Traditional Arabic" w:cs="Traditional Arabic"/>
          <w:b/>
          <w:sz w:val="30"/>
          <w:szCs w:val="30"/>
          <w:rtl/>
        </w:rPr>
        <w:t>لحصول على عرض خارج البحرين</w:t>
      </w:r>
      <w:r w:rsidRPr="00EB5BCF">
        <w:rPr>
          <w:rFonts w:ascii="Traditional Arabic" w:hAnsi="Traditional Arabic" w:cs="Traditional Arabic"/>
          <w:b/>
          <w:sz w:val="30"/>
          <w:szCs w:val="30"/>
          <w:lang w:bidi="ar-EG"/>
        </w:rPr>
        <w:t>.</w:t>
      </w:r>
    </w:p>
    <w:p w14:paraId="7FAE6D5B" w14:textId="77777777" w:rsidR="00AB3D50" w:rsidRPr="00EB5BCF" w:rsidRDefault="00AB3D50" w:rsidP="00AB3D50">
      <w:pPr>
        <w:keepNext/>
        <w:bidi/>
        <w:jc w:val="both"/>
        <w:rPr>
          <w:rFonts w:ascii="Traditional Arabic" w:hAnsi="Traditional Arabic" w:cs="Traditional Arabic"/>
          <w:b/>
          <w:sz w:val="30"/>
          <w:szCs w:val="30"/>
          <w:rtl/>
        </w:rPr>
      </w:pPr>
    </w:p>
    <w:p w14:paraId="61A6324B" w14:textId="77777777" w:rsidR="00AB3D50" w:rsidRPr="00EB5BCF" w:rsidRDefault="00AB3D50" w:rsidP="00AB3D50">
      <w:pPr>
        <w:keepNext/>
        <w:bidi/>
        <w:jc w:val="both"/>
        <w:rPr>
          <w:rFonts w:ascii="Traditional Arabic" w:hAnsi="Traditional Arabic" w:cs="Traditional Arabic"/>
          <w:b/>
          <w:sz w:val="30"/>
          <w:szCs w:val="30"/>
          <w:lang w:val="en-GB" w:bidi="ar-EG"/>
        </w:rPr>
      </w:pPr>
      <w:r w:rsidRPr="00EB5BCF">
        <w:rPr>
          <w:rFonts w:ascii="Traditional Arabic" w:hAnsi="Traditional Arabic" w:cs="Traditional Arabic"/>
          <w:b/>
          <w:sz w:val="30"/>
          <w:szCs w:val="30"/>
          <w:rtl/>
        </w:rPr>
        <w:t>لم يقم مصرف البحرين المركزي بمراجعة هذه النشرة والوثائق ذات الصلة أو اعتمادها وتسجيلها</w:t>
      </w:r>
      <w:r w:rsidR="00822A20" w:rsidRPr="00EB5BCF">
        <w:rPr>
          <w:rFonts w:ascii="Traditional Arabic" w:hAnsi="Traditional Arabic" w:cs="Traditional Arabic"/>
          <w:b/>
          <w:sz w:val="30"/>
          <w:szCs w:val="30"/>
          <w:rtl/>
        </w:rPr>
        <w:t>،</w:t>
      </w:r>
      <w:r w:rsidRPr="00EB5BCF">
        <w:rPr>
          <w:rFonts w:ascii="Traditional Arabic" w:hAnsi="Traditional Arabic" w:cs="Traditional Arabic"/>
          <w:b/>
          <w:sz w:val="30"/>
          <w:szCs w:val="30"/>
          <w:rtl/>
        </w:rPr>
        <w:t xml:space="preserve"> كما لم يقم بأي شكل من الأشكال بالنظر في ميزات الأوراق المالية المطروحة للاستثمار سواء داخل مملكة البحرين أو خارجها</w:t>
      </w:r>
      <w:r w:rsidRPr="00EB5BCF">
        <w:rPr>
          <w:rFonts w:ascii="Traditional Arabic" w:hAnsi="Traditional Arabic" w:cs="Traditional Arabic"/>
          <w:b/>
          <w:sz w:val="30"/>
          <w:szCs w:val="30"/>
          <w:rtl/>
          <w:lang w:bidi="ar-OM"/>
        </w:rPr>
        <w:t xml:space="preserve">، </w:t>
      </w:r>
      <w:r w:rsidR="00822A20" w:rsidRPr="00EB5BCF">
        <w:rPr>
          <w:rFonts w:ascii="Traditional Arabic" w:hAnsi="Traditional Arabic" w:cs="Traditional Arabic"/>
          <w:b/>
          <w:sz w:val="30"/>
          <w:szCs w:val="30"/>
          <w:rtl/>
          <w:lang w:bidi="ar-OM"/>
        </w:rPr>
        <w:t>و</w:t>
      </w:r>
      <w:r w:rsidRPr="00EB5BCF">
        <w:rPr>
          <w:rFonts w:ascii="Traditional Arabic" w:hAnsi="Traditional Arabic" w:cs="Traditional Arabic"/>
          <w:b/>
          <w:sz w:val="30"/>
          <w:szCs w:val="30"/>
          <w:rtl/>
        </w:rPr>
        <w:t>لذلك فإن مصرف البحرين المركزي لا يتحمل أية مسؤولية عن دقة البيانات والمعلومات الواردة في هذا المستند وكفايتها، ويؤكد بكل وضوح عدم تحمله لأي مسؤولية تتعلق بأي خسارة ناجمة عن الاعتماد كليا أو جزئيا</w:t>
      </w:r>
      <w:r w:rsidR="009C575C" w:rsidRPr="00EB5BCF">
        <w:rPr>
          <w:rFonts w:ascii="Traditional Arabic" w:hAnsi="Traditional Arabic" w:cs="Traditional Arabic"/>
          <w:b/>
          <w:sz w:val="30"/>
          <w:szCs w:val="30"/>
          <w:rtl/>
        </w:rPr>
        <w:t>ً</w:t>
      </w:r>
      <w:r w:rsidRPr="00EB5BCF">
        <w:rPr>
          <w:rFonts w:ascii="Traditional Arabic" w:hAnsi="Traditional Arabic" w:cs="Traditional Arabic"/>
          <w:b/>
          <w:sz w:val="30"/>
          <w:szCs w:val="30"/>
          <w:rtl/>
        </w:rPr>
        <w:t xml:space="preserve"> على محتويات هذا المستند</w:t>
      </w:r>
      <w:r w:rsidRPr="00EB5BCF">
        <w:rPr>
          <w:rFonts w:ascii="Traditional Arabic" w:hAnsi="Traditional Arabic" w:cs="Traditional Arabic"/>
          <w:b/>
          <w:sz w:val="30"/>
          <w:szCs w:val="30"/>
          <w:lang w:bidi="ar-EG"/>
        </w:rPr>
        <w:t>.</w:t>
      </w:r>
    </w:p>
    <w:p w14:paraId="3FE4595D" w14:textId="77777777" w:rsidR="00AB3D50" w:rsidRPr="00EB5BCF" w:rsidRDefault="00AB3D50" w:rsidP="00AB3D50">
      <w:pPr>
        <w:keepNext/>
        <w:bidi/>
        <w:jc w:val="both"/>
        <w:rPr>
          <w:rFonts w:ascii="Traditional Arabic" w:hAnsi="Traditional Arabic" w:cs="Traditional Arabic"/>
          <w:b/>
          <w:sz w:val="30"/>
          <w:szCs w:val="30"/>
          <w:rtl/>
          <w:lang w:val="en-GB" w:bidi="ar-EG"/>
        </w:rPr>
      </w:pPr>
    </w:p>
    <w:p w14:paraId="364510C3" w14:textId="77777777" w:rsidR="00AB3D50" w:rsidRPr="00EB5BCF" w:rsidRDefault="00AB3D50" w:rsidP="00AB3D50">
      <w:pPr>
        <w:keepNext/>
        <w:bidi/>
        <w:jc w:val="both"/>
        <w:rPr>
          <w:rFonts w:ascii="Traditional Arabic" w:hAnsi="Traditional Arabic" w:cs="Traditional Arabic"/>
          <w:b/>
          <w:i/>
          <w:iCs/>
          <w:sz w:val="30"/>
          <w:szCs w:val="30"/>
          <w:rtl/>
          <w:lang w:val="en-GB"/>
        </w:rPr>
      </w:pPr>
      <w:r w:rsidRPr="00EB5BCF">
        <w:rPr>
          <w:rFonts w:ascii="Traditional Arabic" w:hAnsi="Traditional Arabic" w:cs="Traditional Arabic"/>
          <w:b/>
          <w:bCs/>
          <w:i/>
          <w:iCs/>
          <w:sz w:val="30"/>
          <w:szCs w:val="30"/>
          <w:rtl/>
          <w:lang w:val="en-GB"/>
        </w:rPr>
        <w:t>دولة الكويت</w:t>
      </w:r>
    </w:p>
    <w:p w14:paraId="12A0E9BA" w14:textId="77777777" w:rsidR="00AB3D50" w:rsidRPr="00EB5BCF" w:rsidRDefault="00AB3D50" w:rsidP="00AB3D50">
      <w:pPr>
        <w:keepNext/>
        <w:bidi/>
        <w:jc w:val="both"/>
        <w:rPr>
          <w:rFonts w:ascii="Traditional Arabic" w:hAnsi="Traditional Arabic" w:cs="Traditional Arabic"/>
          <w:b/>
          <w:sz w:val="30"/>
          <w:szCs w:val="30"/>
          <w:lang w:val="en-GB" w:bidi="ar-EG"/>
        </w:rPr>
      </w:pPr>
      <w:r w:rsidRPr="00EB5BCF">
        <w:rPr>
          <w:rFonts w:ascii="Traditional Arabic" w:hAnsi="Traditional Arabic" w:cs="Traditional Arabic"/>
          <w:b/>
          <w:sz w:val="30"/>
          <w:szCs w:val="30"/>
          <w:rtl/>
          <w:lang w:val="en-GB"/>
        </w:rPr>
        <w:t xml:space="preserve">تُعطى هذه النشرة على أساس حصري خصيصًا للأشخاص المقصود تقديمها لهم وبناءً على طلبهم ومبادرتهم الشخصية لطلبها ولاستخدامهم الشخصي فقط، </w:t>
      </w:r>
      <w:r w:rsidR="00822A20" w:rsidRPr="00EB5BCF">
        <w:rPr>
          <w:rFonts w:ascii="Traditional Arabic" w:hAnsi="Traditional Arabic" w:cs="Traditional Arabic"/>
          <w:b/>
          <w:sz w:val="30"/>
          <w:szCs w:val="30"/>
          <w:rtl/>
          <w:lang w:val="en-GB"/>
        </w:rPr>
        <w:t>فهي غير</w:t>
      </w:r>
      <w:r w:rsidRPr="00EB5BCF">
        <w:rPr>
          <w:rFonts w:ascii="Traditional Arabic" w:hAnsi="Traditional Arabic" w:cs="Traditional Arabic"/>
          <w:b/>
          <w:sz w:val="30"/>
          <w:szCs w:val="30"/>
          <w:rtl/>
          <w:lang w:val="en-GB"/>
        </w:rPr>
        <w:t xml:space="preserve"> </w:t>
      </w:r>
      <w:r w:rsidR="00822A20" w:rsidRPr="00EB5BCF">
        <w:rPr>
          <w:rFonts w:ascii="Traditional Arabic" w:hAnsi="Traditional Arabic" w:cs="Traditional Arabic"/>
          <w:b/>
          <w:sz w:val="30"/>
          <w:szCs w:val="30"/>
          <w:rtl/>
          <w:lang w:val="en-GB"/>
        </w:rPr>
        <w:t xml:space="preserve">متوفرة </w:t>
      </w:r>
      <w:r w:rsidRPr="00EB5BCF">
        <w:rPr>
          <w:rFonts w:ascii="Traditional Arabic" w:hAnsi="Traditional Arabic" w:cs="Traditional Arabic"/>
          <w:b/>
          <w:sz w:val="30"/>
          <w:szCs w:val="30"/>
          <w:rtl/>
          <w:lang w:val="en-GB"/>
        </w:rPr>
        <w:t>للجمهور.</w:t>
      </w:r>
    </w:p>
    <w:p w14:paraId="423332BA" w14:textId="77777777" w:rsidR="00AB3D50" w:rsidRPr="00EB5BCF" w:rsidRDefault="00AB3D50" w:rsidP="00AB3D50">
      <w:pPr>
        <w:keepNext/>
        <w:bidi/>
        <w:jc w:val="both"/>
        <w:rPr>
          <w:rFonts w:ascii="Traditional Arabic" w:hAnsi="Traditional Arabic" w:cs="Traditional Arabic"/>
          <w:b/>
          <w:sz w:val="30"/>
          <w:szCs w:val="30"/>
          <w:rtl/>
          <w:lang w:val="en-GB"/>
        </w:rPr>
      </w:pPr>
    </w:p>
    <w:p w14:paraId="412DDF37" w14:textId="77777777" w:rsidR="00AB3D50" w:rsidRPr="00EB5BCF" w:rsidRDefault="00AB3D50" w:rsidP="00AB3D50">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لم يتم ترخيص هذه النشرة لطرحها أو الترويج لها أو تسويقها أو الدعاية لها أو بيعها في الكويت من قبل هيئة سوق المال </w:t>
      </w:r>
      <w:r w:rsidR="0009602B" w:rsidRPr="00EB5BCF">
        <w:rPr>
          <w:rFonts w:ascii="Traditional Arabic" w:hAnsi="Traditional Arabic" w:cs="Traditional Arabic" w:hint="eastAsia"/>
          <w:b/>
          <w:sz w:val="30"/>
          <w:szCs w:val="30"/>
          <w:rtl/>
          <w:lang w:val="en-GB"/>
        </w:rPr>
        <w:t>الكويتية</w:t>
      </w:r>
      <w:r w:rsidRPr="00EB5BCF">
        <w:rPr>
          <w:rFonts w:ascii="Traditional Arabic" w:hAnsi="Traditional Arabic" w:cs="Traditional Arabic"/>
          <w:b/>
          <w:sz w:val="30"/>
          <w:szCs w:val="30"/>
          <w:rtl/>
          <w:lang w:val="en-GB"/>
        </w:rPr>
        <w:t xml:space="preserve"> أو أي جهات أو سلطات أخرى مختصة في دولة الكويت. وعليه، لا يجوز طرح هذه النشرة داخل الدولة للاكتتاب </w:t>
      </w:r>
      <w:r w:rsidRPr="00EB5BCF">
        <w:rPr>
          <w:rFonts w:ascii="Traditional Arabic" w:hAnsi="Traditional Arabic" w:cs="Traditional Arabic"/>
          <w:b/>
          <w:sz w:val="30"/>
          <w:szCs w:val="30"/>
          <w:rtl/>
          <w:lang w:val="en-GB"/>
        </w:rPr>
        <w:lastRenderedPageBreak/>
        <w:t xml:space="preserve">العام أو الخاص، ولا تسويقها والدعاية لها أو بيعها في الكويت </w:t>
      </w:r>
      <w:r w:rsidR="00822A20" w:rsidRPr="00EB5BCF">
        <w:rPr>
          <w:rFonts w:ascii="Traditional Arabic" w:hAnsi="Traditional Arabic" w:cs="Traditional Arabic"/>
          <w:b/>
          <w:sz w:val="30"/>
          <w:szCs w:val="30"/>
          <w:rtl/>
          <w:lang w:val="en-GB"/>
        </w:rPr>
        <w:t>و</w:t>
      </w:r>
      <w:r w:rsidRPr="00EB5BCF">
        <w:rPr>
          <w:rFonts w:ascii="Traditional Arabic" w:hAnsi="Traditional Arabic" w:cs="Traditional Arabic"/>
          <w:b/>
          <w:sz w:val="30"/>
          <w:szCs w:val="30"/>
          <w:rtl/>
          <w:lang w:val="en-GB"/>
        </w:rPr>
        <w:t>ذلك طب</w:t>
      </w:r>
      <w:r w:rsidR="00635F3F" w:rsidRPr="00EB5BCF">
        <w:rPr>
          <w:rFonts w:ascii="Traditional Arabic" w:hAnsi="Traditional Arabic" w:cs="Traditional Arabic"/>
          <w:b/>
          <w:sz w:val="30"/>
          <w:szCs w:val="30"/>
          <w:rtl/>
          <w:lang w:val="en-GB"/>
        </w:rPr>
        <w:t>قا لمرسوم القانون رقم 31 لسنة 1990واللائحة المنفذة له وتعديلاتها، وا</w:t>
      </w:r>
      <w:r w:rsidRPr="00EB5BCF">
        <w:rPr>
          <w:rFonts w:ascii="Traditional Arabic" w:hAnsi="Traditional Arabic" w:cs="Traditional Arabic"/>
          <w:b/>
          <w:sz w:val="30"/>
          <w:szCs w:val="30"/>
          <w:rtl/>
          <w:lang w:val="en-GB"/>
        </w:rPr>
        <w:t>لقانون رقم 7 لسنة 2010م، واللائحة التنفيذية رقم 7 لسنة 2010م وتعديلاتها التي تختص بتنظيم عملية إصدار الأوراق المالية وطرحها وبيعها والترويج لها في دولة الكويت ("قانون الأوراق المالية الكويتي").</w:t>
      </w:r>
    </w:p>
    <w:p w14:paraId="17D90C10" w14:textId="77777777" w:rsidR="00AB3D50" w:rsidRPr="00EB5BCF" w:rsidRDefault="00AB3D50" w:rsidP="00AB3D50">
      <w:pPr>
        <w:keepNext/>
        <w:bidi/>
        <w:jc w:val="both"/>
        <w:rPr>
          <w:rFonts w:ascii="Traditional Arabic" w:hAnsi="Traditional Arabic" w:cs="Traditional Arabic"/>
          <w:b/>
          <w:sz w:val="30"/>
          <w:szCs w:val="30"/>
          <w:rtl/>
          <w:lang w:val="en-GB"/>
        </w:rPr>
      </w:pPr>
    </w:p>
    <w:p w14:paraId="7CB0756F" w14:textId="77777777" w:rsidR="00AB3D50" w:rsidRPr="00EB5BCF" w:rsidRDefault="00AB3D50" w:rsidP="00AB3D50">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و</w:t>
      </w:r>
      <w:r w:rsidR="00EC3277" w:rsidRPr="00EB5BCF">
        <w:rPr>
          <w:rFonts w:ascii="Traditional Arabic" w:hAnsi="Traditional Arabic" w:cs="Traditional Arabic"/>
          <w:b/>
          <w:sz w:val="30"/>
          <w:szCs w:val="30"/>
          <w:rtl/>
          <w:lang w:val="en-GB"/>
        </w:rPr>
        <w:t xml:space="preserve">من ثم لم يتم عرض </w:t>
      </w:r>
      <w:r w:rsidR="00A14D0A" w:rsidRPr="00EB5BCF">
        <w:rPr>
          <w:rFonts w:ascii="Traditional Arabic" w:hAnsi="Traditional Arabic" w:cs="Traditional Arabic"/>
          <w:b/>
          <w:sz w:val="30"/>
          <w:szCs w:val="30"/>
          <w:rtl/>
          <w:lang w:val="en-GB"/>
        </w:rPr>
        <w:t xml:space="preserve">الأسهم ولا بيعها ولا الترويج لها ولا الإعلان عنها في دولة الكويت ولن يتم ذلك باستثناء ما يكون </w:t>
      </w:r>
      <w:r w:rsidRPr="00EB5BCF">
        <w:rPr>
          <w:rFonts w:ascii="Traditional Arabic" w:hAnsi="Traditional Arabic" w:cs="Traditional Arabic"/>
          <w:b/>
          <w:sz w:val="30"/>
          <w:szCs w:val="30"/>
          <w:rtl/>
          <w:lang w:val="en-GB"/>
        </w:rPr>
        <w:t xml:space="preserve">طبقًا </w:t>
      </w:r>
      <w:r w:rsidR="00C0541C" w:rsidRPr="00EB5BCF">
        <w:rPr>
          <w:rFonts w:ascii="Traditional Arabic" w:hAnsi="Traditional Arabic" w:cs="Traditional Arabic" w:hint="eastAsia"/>
          <w:b/>
          <w:sz w:val="30"/>
          <w:szCs w:val="30"/>
          <w:rtl/>
          <w:lang w:val="en-GB"/>
        </w:rPr>
        <w:t>لقانون</w:t>
      </w:r>
      <w:r w:rsidR="00C0541C" w:rsidRPr="00EB5BCF">
        <w:rPr>
          <w:rFonts w:ascii="Traditional Arabic" w:hAnsi="Traditional Arabic" w:cs="Traditional Arabic"/>
          <w:b/>
          <w:sz w:val="30"/>
          <w:szCs w:val="30"/>
          <w:rtl/>
          <w:lang w:val="en-GB"/>
        </w:rPr>
        <w:t xml:space="preserve"> </w:t>
      </w:r>
      <w:r w:rsidR="00C0541C" w:rsidRPr="00EB5BCF">
        <w:rPr>
          <w:rFonts w:ascii="Traditional Arabic" w:hAnsi="Traditional Arabic" w:cs="Traditional Arabic" w:hint="eastAsia"/>
          <w:b/>
          <w:sz w:val="30"/>
          <w:szCs w:val="30"/>
          <w:rtl/>
          <w:lang w:val="en-GB"/>
        </w:rPr>
        <w:t>الأوراق</w:t>
      </w:r>
      <w:r w:rsidR="00C0541C" w:rsidRPr="00EB5BCF">
        <w:rPr>
          <w:rFonts w:ascii="Traditional Arabic" w:hAnsi="Traditional Arabic" w:cs="Traditional Arabic"/>
          <w:b/>
          <w:sz w:val="30"/>
          <w:szCs w:val="30"/>
          <w:rtl/>
          <w:lang w:val="en-GB"/>
        </w:rPr>
        <w:t xml:space="preserve"> </w:t>
      </w:r>
      <w:r w:rsidR="00C0541C" w:rsidRPr="00EB5BCF">
        <w:rPr>
          <w:rFonts w:ascii="Traditional Arabic" w:hAnsi="Traditional Arabic" w:cs="Traditional Arabic" w:hint="eastAsia"/>
          <w:b/>
          <w:sz w:val="30"/>
          <w:szCs w:val="30"/>
          <w:rtl/>
          <w:lang w:val="en-GB"/>
        </w:rPr>
        <w:t>المالية</w:t>
      </w:r>
      <w:r w:rsidR="00C0541C" w:rsidRPr="00EB5BCF">
        <w:rPr>
          <w:rFonts w:ascii="Traditional Arabic" w:hAnsi="Traditional Arabic" w:cs="Traditional Arabic"/>
          <w:b/>
          <w:sz w:val="30"/>
          <w:szCs w:val="30"/>
          <w:rtl/>
          <w:lang w:val="en-GB"/>
        </w:rPr>
        <w:t xml:space="preserve"> </w:t>
      </w:r>
      <w:r w:rsidR="00C0541C" w:rsidRPr="00EB5BCF">
        <w:rPr>
          <w:rFonts w:ascii="Traditional Arabic" w:hAnsi="Traditional Arabic" w:cs="Traditional Arabic" w:hint="eastAsia"/>
          <w:b/>
          <w:sz w:val="30"/>
          <w:szCs w:val="30"/>
          <w:rtl/>
          <w:lang w:val="en-GB"/>
        </w:rPr>
        <w:t>الكويتي</w:t>
      </w:r>
      <w:r w:rsidRPr="00EB5BCF">
        <w:rPr>
          <w:rFonts w:ascii="Traditional Arabic" w:hAnsi="Traditional Arabic" w:cs="Traditional Arabic"/>
          <w:b/>
          <w:sz w:val="30"/>
          <w:szCs w:val="30"/>
          <w:rtl/>
          <w:lang w:val="en-GB"/>
        </w:rPr>
        <w:t xml:space="preserve">، </w:t>
      </w:r>
      <w:r w:rsidR="00A14D0A" w:rsidRPr="00EB5BCF">
        <w:rPr>
          <w:rFonts w:ascii="Traditional Arabic" w:hAnsi="Traditional Arabic" w:cs="Traditional Arabic"/>
          <w:b/>
          <w:sz w:val="30"/>
          <w:szCs w:val="30"/>
          <w:rtl/>
          <w:lang w:val="en-GB"/>
        </w:rPr>
        <w:t>و</w:t>
      </w:r>
      <w:r w:rsidRPr="00EB5BCF">
        <w:rPr>
          <w:rFonts w:ascii="Traditional Arabic" w:hAnsi="Traditional Arabic" w:cs="Traditional Arabic"/>
          <w:b/>
          <w:sz w:val="30"/>
          <w:szCs w:val="30"/>
          <w:rtl/>
          <w:lang w:val="en-GB"/>
        </w:rPr>
        <w:t>لن يُقام اكتتاب عام أو خاص في الأسهم في دولة الكويت، كما لن يتم إبرام عقود بيع في هذا الخصوص أو الترويج لهذه النشرة.</w:t>
      </w:r>
      <w:r w:rsidR="00F15096" w:rsidRPr="00EB5BCF">
        <w:rPr>
          <w:rFonts w:ascii="Traditional Arabic" w:hAnsi="Traditional Arabic" w:cs="Traditional Arabic"/>
          <w:b/>
          <w:sz w:val="30"/>
          <w:szCs w:val="30"/>
          <w:rtl/>
          <w:lang w:val="en-GB"/>
        </w:rPr>
        <w:t xml:space="preserve"> </w:t>
      </w:r>
      <w:r w:rsidR="00C0541C" w:rsidRPr="00EB5BCF">
        <w:rPr>
          <w:rFonts w:ascii="Traditional Arabic" w:hAnsi="Traditional Arabic" w:cs="Traditional Arabic" w:hint="eastAsia"/>
          <w:b/>
          <w:sz w:val="30"/>
          <w:szCs w:val="30"/>
          <w:rtl/>
          <w:lang w:val="en-GB"/>
        </w:rPr>
        <w:t>و</w:t>
      </w:r>
      <w:r w:rsidR="00C0541C" w:rsidRPr="00EB5BCF">
        <w:rPr>
          <w:rFonts w:ascii="Traditional Arabic" w:hAnsi="Traditional Arabic" w:cs="Traditional Arabic"/>
          <w:b/>
          <w:sz w:val="30"/>
          <w:szCs w:val="30"/>
          <w:rtl/>
          <w:lang w:val="en-GB"/>
        </w:rPr>
        <w:t>ل</w:t>
      </w:r>
      <w:r w:rsidR="00C0541C" w:rsidRPr="00EB5BCF">
        <w:rPr>
          <w:rFonts w:ascii="Traditional Arabic" w:hAnsi="Traditional Arabic" w:cs="Traditional Arabic" w:hint="eastAsia"/>
          <w:b/>
          <w:sz w:val="30"/>
          <w:szCs w:val="30"/>
          <w:rtl/>
          <w:lang w:val="en-GB"/>
        </w:rPr>
        <w:t>ن</w:t>
      </w:r>
      <w:r w:rsidR="00C0541C" w:rsidRPr="00EB5BCF">
        <w:rPr>
          <w:rFonts w:ascii="Traditional Arabic" w:hAnsi="Traditional Arabic" w:cs="Traditional Arabic"/>
          <w:b/>
          <w:sz w:val="30"/>
          <w:szCs w:val="30"/>
          <w:rtl/>
          <w:lang w:val="en-GB"/>
        </w:rPr>
        <w:t xml:space="preserve"> يتم استخدام أي أنشطة تسويقية أو استدراج أو تحفيز لعرض أو تسويق الأسهم في دولة الكويت.</w:t>
      </w:r>
    </w:p>
    <w:p w14:paraId="1896294C" w14:textId="77777777" w:rsidR="00AB3D50" w:rsidRPr="00EB5BCF" w:rsidRDefault="00AB3D50" w:rsidP="00AB3D50">
      <w:pPr>
        <w:keepNext/>
        <w:bidi/>
        <w:jc w:val="both"/>
        <w:rPr>
          <w:rFonts w:ascii="Traditional Arabic" w:hAnsi="Traditional Arabic" w:cs="Traditional Arabic"/>
          <w:b/>
          <w:sz w:val="30"/>
          <w:szCs w:val="30"/>
          <w:rtl/>
          <w:lang w:val="en-GB"/>
        </w:rPr>
      </w:pPr>
    </w:p>
    <w:p w14:paraId="53BB19C1" w14:textId="77777777" w:rsidR="00AB3D50" w:rsidRPr="00EB5BCF" w:rsidRDefault="00AB3D50" w:rsidP="00AB3D50">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ويتحمل الناشر لهذه النشرة في دولة الكويت </w:t>
      </w:r>
      <w:r w:rsidR="00822A20" w:rsidRPr="00EB5BCF">
        <w:rPr>
          <w:rFonts w:ascii="Traditional Arabic" w:hAnsi="Traditional Arabic" w:cs="Traditional Arabic"/>
          <w:b/>
          <w:sz w:val="30"/>
          <w:szCs w:val="30"/>
          <w:rtl/>
          <w:lang w:val="en-GB"/>
        </w:rPr>
        <w:t>ال</w:t>
      </w:r>
      <w:r w:rsidRPr="00EB5BCF">
        <w:rPr>
          <w:rFonts w:ascii="Traditional Arabic" w:hAnsi="Traditional Arabic" w:cs="Traditional Arabic"/>
          <w:b/>
          <w:sz w:val="30"/>
          <w:szCs w:val="30"/>
          <w:rtl/>
          <w:lang w:val="en-GB"/>
        </w:rPr>
        <w:t xml:space="preserve">مسؤولية </w:t>
      </w:r>
      <w:r w:rsidR="00822A20" w:rsidRPr="00EB5BCF">
        <w:rPr>
          <w:rFonts w:ascii="Traditional Arabic" w:hAnsi="Traditional Arabic" w:cs="Traditional Arabic"/>
          <w:b/>
          <w:sz w:val="30"/>
          <w:szCs w:val="30"/>
          <w:rtl/>
          <w:lang w:val="en-GB"/>
        </w:rPr>
        <w:t xml:space="preserve">عن </w:t>
      </w:r>
      <w:r w:rsidRPr="00EB5BCF">
        <w:rPr>
          <w:rFonts w:ascii="Traditional Arabic" w:hAnsi="Traditional Arabic" w:cs="Traditional Arabic"/>
          <w:b/>
          <w:sz w:val="30"/>
          <w:szCs w:val="30"/>
          <w:rtl/>
          <w:lang w:val="en-GB"/>
        </w:rPr>
        <w:t>ذلك.</w:t>
      </w:r>
    </w:p>
    <w:p w14:paraId="4BD7F673" w14:textId="77777777" w:rsidR="00AB3D50" w:rsidRPr="00EB5BCF" w:rsidRDefault="00AB3D50" w:rsidP="00AB3D50">
      <w:pPr>
        <w:keepNext/>
        <w:bidi/>
        <w:jc w:val="both"/>
        <w:rPr>
          <w:rFonts w:ascii="Traditional Arabic" w:hAnsi="Traditional Arabic" w:cs="Traditional Arabic"/>
          <w:b/>
          <w:sz w:val="30"/>
          <w:szCs w:val="30"/>
          <w:rtl/>
          <w:lang w:val="en-GB" w:bidi="ar-OM"/>
        </w:rPr>
      </w:pPr>
    </w:p>
    <w:p w14:paraId="371684DA" w14:textId="77777777" w:rsidR="00AB3D50" w:rsidRPr="00EB5BCF" w:rsidRDefault="00AB3D50" w:rsidP="00AB3D50">
      <w:pPr>
        <w:keepNext/>
        <w:bidi/>
        <w:jc w:val="both"/>
        <w:rPr>
          <w:rFonts w:ascii="Traditional Arabic" w:hAnsi="Traditional Arabic" w:cs="Traditional Arabic"/>
          <w:b/>
          <w:i/>
          <w:iCs/>
          <w:sz w:val="30"/>
          <w:szCs w:val="30"/>
          <w:rtl/>
          <w:lang w:val="en-GB"/>
        </w:rPr>
      </w:pPr>
      <w:r w:rsidRPr="00EB5BCF">
        <w:rPr>
          <w:rFonts w:ascii="Traditional Arabic" w:hAnsi="Traditional Arabic" w:cs="Traditional Arabic"/>
          <w:b/>
          <w:bCs/>
          <w:i/>
          <w:iCs/>
          <w:sz w:val="30"/>
          <w:szCs w:val="30"/>
          <w:rtl/>
          <w:lang w:val="en-GB"/>
        </w:rPr>
        <w:t>دولة قطر</w:t>
      </w:r>
    </w:p>
    <w:p w14:paraId="75F36853" w14:textId="77777777" w:rsidR="00AB3D50" w:rsidRPr="00EB5BCF" w:rsidRDefault="00AB3D50" w:rsidP="00AB3D50">
      <w:pPr>
        <w:keepNext/>
        <w:bidi/>
        <w:jc w:val="both"/>
        <w:rPr>
          <w:rFonts w:ascii="Traditional Arabic" w:hAnsi="Traditional Arabic" w:cs="Traditional Arabic"/>
          <w:b/>
          <w:sz w:val="30"/>
          <w:szCs w:val="30"/>
          <w:lang w:val="en-GB" w:bidi="ar-EG"/>
        </w:rPr>
      </w:pPr>
      <w:r w:rsidRPr="00EB5BCF">
        <w:rPr>
          <w:rFonts w:ascii="Traditional Arabic" w:hAnsi="Traditional Arabic" w:cs="Traditional Arabic"/>
          <w:b/>
          <w:sz w:val="30"/>
          <w:szCs w:val="30"/>
          <w:rtl/>
          <w:lang w:val="en-GB"/>
        </w:rPr>
        <w:t xml:space="preserve">لا تشكل هذه النشرة دعوة أو عرضا للأوراق المالية في دولة قطر، ولن يتم عرض هذه الأسهم أو بيعها أو تسليمها في أي وقت، بشكل مباشر أو غير مباشر، كما لن يتم تقديم طلب قيد تلك الأوراق أو تداولها في </w:t>
      </w:r>
      <w:r w:rsidRPr="00EB5BCF">
        <w:rPr>
          <w:rFonts w:ascii="Traditional Arabic" w:hAnsi="Traditional Arabic" w:cs="Traditional Arabic"/>
          <w:b/>
          <w:sz w:val="30"/>
          <w:szCs w:val="30"/>
          <w:rtl/>
          <w:lang w:val="en-GB" w:bidi="ar-OM"/>
        </w:rPr>
        <w:t>بورصة قطر</w:t>
      </w:r>
      <w:r w:rsidRPr="00EB5BCF">
        <w:rPr>
          <w:rFonts w:ascii="Traditional Arabic" w:hAnsi="Traditional Arabic" w:cs="Traditional Arabic"/>
          <w:b/>
          <w:sz w:val="30"/>
          <w:szCs w:val="30"/>
          <w:rtl/>
          <w:lang w:val="en-GB"/>
        </w:rPr>
        <w:t xml:space="preserve"> أو مركز قطر للمال</w:t>
      </w:r>
      <w:r w:rsidR="00822A20" w:rsidRPr="00EB5BCF">
        <w:rPr>
          <w:rFonts w:ascii="Traditional Arabic" w:hAnsi="Traditional Arabic" w:cs="Traditional Arabic"/>
          <w:b/>
          <w:sz w:val="30"/>
          <w:szCs w:val="30"/>
          <w:rtl/>
          <w:lang w:val="en-GB" w:bidi="ar-OM"/>
        </w:rPr>
        <w:t>،</w:t>
      </w:r>
      <w:r w:rsidRPr="00EB5BCF">
        <w:rPr>
          <w:rFonts w:ascii="Traditional Arabic" w:hAnsi="Traditional Arabic" w:cs="Traditional Arabic"/>
          <w:b/>
          <w:sz w:val="30"/>
          <w:szCs w:val="30"/>
          <w:rtl/>
          <w:lang w:val="en-GB" w:bidi="ar-OM"/>
        </w:rPr>
        <w:t xml:space="preserve"> </w:t>
      </w:r>
      <w:r w:rsidR="00822A20" w:rsidRPr="00EB5BCF">
        <w:rPr>
          <w:rFonts w:ascii="Traditional Arabic" w:hAnsi="Traditional Arabic" w:cs="Traditional Arabic"/>
          <w:b/>
          <w:sz w:val="30"/>
          <w:szCs w:val="30"/>
          <w:rtl/>
          <w:lang w:val="en-GB"/>
        </w:rPr>
        <w:t>و</w:t>
      </w:r>
      <w:r w:rsidRPr="00EB5BCF">
        <w:rPr>
          <w:rFonts w:ascii="Traditional Arabic" w:hAnsi="Traditional Arabic" w:cs="Traditional Arabic"/>
          <w:b/>
          <w:sz w:val="30"/>
          <w:szCs w:val="30"/>
          <w:rtl/>
          <w:lang w:val="en-GB"/>
        </w:rPr>
        <w:t>لم يتم ترخيص هذه النشرة لطرحها أو الترويج لها أو تسويقها أو الدعاية لها أو بيعها في دولة قطر أو في مركز قطر للمال أو تسويقها داخليا في أحد الصناديق الاستثمارية أو محاولة القيام بالأعمال كبنك أو شركة استثمارية أو غير ذلك في دولة قطر أو في مركز قطر للمال</w:t>
      </w:r>
      <w:r w:rsidR="00822A20"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ولن يتم النظر في هذه النشرة أو اعتمادها أو تسجيلها أو تقديمها إلى هيئة قطر للأسواق المالية أو هيئة تنظيم مركز قطر للمال أو مصرف قطر المركزي. علاوة على ذلك، لا يجوز طرحها للتداول العام؛ إذ أن هذه النشرة موجهة للمستلم الأصلي فقط ولا يجوز تقديمها لأي شخص آخر، ولا يجوز نسخها أو استخدامها لأي غرض آخر.</w:t>
      </w:r>
    </w:p>
    <w:p w14:paraId="15F61CC9" w14:textId="77777777" w:rsidR="00AB3D50" w:rsidRPr="00EB5BCF" w:rsidRDefault="00AB3D50" w:rsidP="00AB3D50">
      <w:pPr>
        <w:keepNext/>
        <w:bidi/>
        <w:jc w:val="both"/>
        <w:rPr>
          <w:rFonts w:ascii="Traditional Arabic" w:hAnsi="Traditional Arabic" w:cs="Traditional Arabic"/>
          <w:b/>
          <w:bCs/>
          <w:i/>
          <w:iCs/>
          <w:sz w:val="30"/>
          <w:szCs w:val="30"/>
          <w:rtl/>
          <w:lang w:val="en-GB"/>
        </w:rPr>
      </w:pPr>
    </w:p>
    <w:p w14:paraId="1DBAFC66" w14:textId="77777777" w:rsidR="00AB3D50" w:rsidRPr="00EB5BCF" w:rsidRDefault="00AB3D50" w:rsidP="00AB3D50">
      <w:pPr>
        <w:keepNext/>
        <w:bidi/>
        <w:jc w:val="both"/>
        <w:rPr>
          <w:rFonts w:ascii="Traditional Arabic" w:hAnsi="Traditional Arabic" w:cs="Traditional Arabic"/>
          <w:b/>
          <w:bCs/>
          <w:sz w:val="30"/>
          <w:szCs w:val="30"/>
          <w:rtl/>
          <w:lang w:val="en-GB"/>
        </w:rPr>
      </w:pPr>
    </w:p>
    <w:p w14:paraId="2971A36E" w14:textId="77777777" w:rsidR="00AB3D50" w:rsidRPr="00EB5BCF" w:rsidRDefault="00AB3D50" w:rsidP="00AB3D50">
      <w:pPr>
        <w:keepNext/>
        <w:bidi/>
        <w:jc w:val="both"/>
        <w:rPr>
          <w:rFonts w:ascii="Traditional Arabic" w:hAnsi="Traditional Arabic" w:cs="Traditional Arabic"/>
          <w:b/>
          <w:i/>
          <w:iCs/>
          <w:sz w:val="30"/>
          <w:szCs w:val="30"/>
          <w:rtl/>
          <w:lang w:val="en-GB"/>
        </w:rPr>
      </w:pPr>
      <w:r w:rsidRPr="00EB5BCF">
        <w:rPr>
          <w:rFonts w:ascii="Traditional Arabic" w:hAnsi="Traditional Arabic" w:cs="Traditional Arabic"/>
          <w:b/>
          <w:bCs/>
          <w:i/>
          <w:iCs/>
          <w:sz w:val="30"/>
          <w:szCs w:val="30"/>
          <w:rtl/>
          <w:lang w:val="en-GB"/>
        </w:rPr>
        <w:t>دولة الإمارات العربية المتحدة (باستثناء</w:t>
      </w:r>
      <w:r w:rsidR="00D50B95" w:rsidRPr="00EB5BCF">
        <w:rPr>
          <w:rFonts w:ascii="Traditional Arabic" w:hAnsi="Traditional Arabic" w:cs="Traditional Arabic"/>
          <w:b/>
          <w:bCs/>
          <w:i/>
          <w:iCs/>
          <w:sz w:val="30"/>
          <w:szCs w:val="30"/>
          <w:rtl/>
          <w:lang w:val="en-GB"/>
        </w:rPr>
        <w:t xml:space="preserve"> سوق أبو</w:t>
      </w:r>
      <w:r w:rsidR="0084103D" w:rsidRPr="00EB5BCF">
        <w:rPr>
          <w:rFonts w:ascii="Traditional Arabic" w:hAnsi="Traditional Arabic" w:cs="Traditional Arabic"/>
          <w:b/>
          <w:bCs/>
          <w:i/>
          <w:iCs/>
          <w:sz w:val="30"/>
          <w:szCs w:val="30"/>
          <w:rtl/>
          <w:lang w:val="en-GB"/>
        </w:rPr>
        <w:t xml:space="preserve"> </w:t>
      </w:r>
      <w:r w:rsidR="00D50B95" w:rsidRPr="00EB5BCF">
        <w:rPr>
          <w:rFonts w:ascii="Traditional Arabic" w:hAnsi="Traditional Arabic" w:cs="Traditional Arabic"/>
          <w:b/>
          <w:bCs/>
          <w:i/>
          <w:iCs/>
          <w:sz w:val="30"/>
          <w:szCs w:val="30"/>
          <w:rtl/>
          <w:lang w:val="en-GB"/>
        </w:rPr>
        <w:t>ظبي العالمي</w:t>
      </w:r>
      <w:r w:rsidRPr="00EB5BCF">
        <w:rPr>
          <w:rFonts w:ascii="Traditional Arabic" w:hAnsi="Traditional Arabic" w:cs="Traditional Arabic"/>
          <w:b/>
          <w:bCs/>
          <w:i/>
          <w:iCs/>
          <w:sz w:val="30"/>
          <w:szCs w:val="30"/>
          <w:rtl/>
          <w:lang w:val="en-GB"/>
        </w:rPr>
        <w:t xml:space="preserve"> </w:t>
      </w:r>
      <w:r w:rsidR="00D50B95" w:rsidRPr="00EB5BCF">
        <w:rPr>
          <w:rFonts w:ascii="Traditional Arabic" w:hAnsi="Traditional Arabic" w:cs="Traditional Arabic"/>
          <w:b/>
          <w:bCs/>
          <w:i/>
          <w:iCs/>
          <w:sz w:val="30"/>
          <w:szCs w:val="30"/>
          <w:rtl/>
          <w:lang w:val="en-GB"/>
        </w:rPr>
        <w:t>و</w:t>
      </w:r>
      <w:r w:rsidRPr="00EB5BCF">
        <w:rPr>
          <w:rFonts w:ascii="Traditional Arabic" w:hAnsi="Traditional Arabic" w:cs="Traditional Arabic"/>
          <w:b/>
          <w:bCs/>
          <w:i/>
          <w:iCs/>
          <w:sz w:val="30"/>
          <w:szCs w:val="30"/>
          <w:rtl/>
          <w:lang w:val="en-GB"/>
        </w:rPr>
        <w:t>مركز دبي المالي العالمي</w:t>
      </w:r>
      <w:r w:rsidRPr="00EB5BCF">
        <w:rPr>
          <w:rFonts w:ascii="Traditional Arabic" w:hAnsi="Traditional Arabic" w:cs="Traditional Arabic"/>
          <w:b/>
          <w:bCs/>
          <w:i/>
          <w:iCs/>
          <w:sz w:val="30"/>
          <w:szCs w:val="30"/>
          <w:lang w:bidi="ar-EG"/>
        </w:rPr>
        <w:t>(</w:t>
      </w:r>
    </w:p>
    <w:p w14:paraId="07978CA7" w14:textId="77777777" w:rsidR="00AB3D50" w:rsidRPr="00EB5BCF" w:rsidRDefault="00AB3D50" w:rsidP="00D50B95">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تعتبر هذه النشرة خاصة وسرية ولا يجوز استنساخها أو استخدامها لأي غرض آ</w:t>
      </w:r>
      <w:r w:rsidR="00652720" w:rsidRPr="00EB5BCF">
        <w:rPr>
          <w:rFonts w:ascii="Traditional Arabic" w:hAnsi="Traditional Arabic" w:cs="Traditional Arabic"/>
          <w:b/>
          <w:sz w:val="30"/>
          <w:szCs w:val="30"/>
          <w:rtl/>
          <w:lang w:val="en-GB"/>
        </w:rPr>
        <w:t xml:space="preserve">خر، </w:t>
      </w:r>
      <w:r w:rsidRPr="00EB5BCF">
        <w:rPr>
          <w:rFonts w:ascii="Traditional Arabic" w:hAnsi="Traditional Arabic" w:cs="Traditional Arabic"/>
          <w:b/>
          <w:sz w:val="30"/>
          <w:szCs w:val="30"/>
          <w:rtl/>
          <w:lang w:val="en-GB"/>
        </w:rPr>
        <w:t>وقد تم توزيعها على عدد محدود من المستثمرين</w:t>
      </w:r>
      <w:r w:rsidR="00652720" w:rsidRPr="00EB5BCF">
        <w:rPr>
          <w:rFonts w:ascii="Traditional Arabic" w:hAnsi="Traditional Arabic" w:cs="Traditional Arabic"/>
          <w:b/>
          <w:sz w:val="30"/>
          <w:szCs w:val="30"/>
          <w:rtl/>
          <w:lang w:val="en-GB"/>
        </w:rPr>
        <w:t>، ويُمنع</w:t>
      </w:r>
      <w:r w:rsidRPr="00EB5BCF">
        <w:rPr>
          <w:rFonts w:ascii="Traditional Arabic" w:hAnsi="Traditional Arabic" w:cs="Traditional Arabic"/>
          <w:b/>
          <w:sz w:val="30"/>
          <w:szCs w:val="30"/>
          <w:rtl/>
          <w:lang w:val="en-GB"/>
        </w:rPr>
        <w:t xml:space="preserve"> </w:t>
      </w:r>
      <w:r w:rsidR="00652720" w:rsidRPr="00EB5BCF">
        <w:rPr>
          <w:rFonts w:ascii="Traditional Arabic" w:hAnsi="Traditional Arabic" w:cs="Traditional Arabic"/>
          <w:b/>
          <w:sz w:val="30"/>
          <w:szCs w:val="30"/>
          <w:rtl/>
          <w:lang w:val="en-GB"/>
        </w:rPr>
        <w:t>تقديمها</w:t>
      </w:r>
      <w:r w:rsidRPr="00EB5BCF">
        <w:rPr>
          <w:rFonts w:ascii="Traditional Arabic" w:hAnsi="Traditional Arabic" w:cs="Traditional Arabic"/>
          <w:b/>
          <w:sz w:val="30"/>
          <w:szCs w:val="30"/>
          <w:rtl/>
          <w:lang w:val="en-GB"/>
        </w:rPr>
        <w:t xml:space="preserve"> إلى أي شخص آخر غير المستلم الأصلي.</w:t>
      </w:r>
      <w:r w:rsidR="00D50B95" w:rsidRPr="00EB5BCF">
        <w:rPr>
          <w:rFonts w:ascii="Traditional Arabic" w:hAnsi="Traditional Arabic" w:cs="Traditional Arabic"/>
          <w:b/>
          <w:sz w:val="30"/>
          <w:szCs w:val="30"/>
          <w:rtl/>
          <w:lang w:val="en-GB"/>
        </w:rPr>
        <w:t xml:space="preserve"> وإذا لم تكن على يقين بمحتوى هذه النشرة فينبغي لك مراجعة مستشار مالي معتمد.</w:t>
      </w:r>
    </w:p>
    <w:p w14:paraId="5BFBA667" w14:textId="77777777" w:rsidR="00D50B95" w:rsidRPr="00EB5BCF" w:rsidRDefault="00D50B95" w:rsidP="00D50B95">
      <w:pPr>
        <w:keepNext/>
        <w:bidi/>
        <w:jc w:val="both"/>
        <w:rPr>
          <w:rFonts w:ascii="Traditional Arabic" w:hAnsi="Traditional Arabic" w:cs="Traditional Arabic"/>
          <w:b/>
          <w:sz w:val="30"/>
          <w:szCs w:val="30"/>
          <w:rtl/>
          <w:lang w:val="en-GB"/>
        </w:rPr>
      </w:pPr>
    </w:p>
    <w:p w14:paraId="602B9F0C" w14:textId="77777777" w:rsidR="00AB3D50" w:rsidRPr="00EB5BCF" w:rsidRDefault="00AB3D50" w:rsidP="00AB3D50">
      <w:pPr>
        <w:keepNext/>
        <w:bidi/>
        <w:jc w:val="both"/>
        <w:rPr>
          <w:rFonts w:ascii="Traditional Arabic" w:hAnsi="Traditional Arabic" w:cs="Traditional Arabic"/>
          <w:b/>
          <w:sz w:val="30"/>
          <w:szCs w:val="30"/>
          <w:rtl/>
          <w:lang w:bidi="ar-EG"/>
        </w:rPr>
      </w:pPr>
      <w:r w:rsidRPr="00EB5BCF">
        <w:rPr>
          <w:rFonts w:ascii="Traditional Arabic" w:hAnsi="Traditional Arabic" w:cs="Traditional Arabic"/>
          <w:b/>
          <w:sz w:val="30"/>
          <w:szCs w:val="30"/>
          <w:rtl/>
          <w:lang w:val="en-GB"/>
        </w:rPr>
        <w:t xml:space="preserve">عند استلام هذه النشرة، ينبغي على الشخص أو الجهة المستلمة أن تفهم وتقر على أنه لم تتم الموافقة على أي من الأسهم أو نشرة الإصدار بواسطة مصرف الإمارات العربية المتحدة المركزي، أو وزارة الاقتصاد، أو هيئة الأوراق المالية والسلع أو أي سلطات </w:t>
      </w:r>
      <w:r w:rsidRPr="00EB5BCF">
        <w:rPr>
          <w:rFonts w:ascii="Traditional Arabic" w:hAnsi="Traditional Arabic" w:cs="Traditional Arabic"/>
          <w:b/>
          <w:sz w:val="30"/>
          <w:szCs w:val="30"/>
          <w:rtl/>
          <w:lang w:val="en-GB"/>
        </w:rPr>
        <w:lastRenderedPageBreak/>
        <w:t>مختصة أخرى فيها</w:t>
      </w:r>
      <w:r w:rsidR="00652720"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كما ينبغي العلم أن </w:t>
      </w:r>
      <w:r w:rsidR="009013BB">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val="en-GB"/>
        </w:rPr>
        <w:t xml:space="preserve"> المشترك</w:t>
      </w:r>
      <w:r w:rsidR="00764653">
        <w:rPr>
          <w:rFonts w:ascii="Traditional Arabic" w:hAnsi="Traditional Arabic" w:cs="Traditional Arabic" w:hint="cs"/>
          <w:b/>
          <w:sz w:val="30"/>
          <w:szCs w:val="30"/>
          <w:rtl/>
          <w:lang w:val="en-GB"/>
        </w:rPr>
        <w:t xml:space="preserve"> و</w:t>
      </w:r>
      <w:r w:rsidR="00764653">
        <w:rPr>
          <w:rFonts w:ascii="Traditional Arabic" w:hAnsi="Traditional Arabic" w:cs="Traditional Arabic" w:hint="cs"/>
          <w:b/>
          <w:sz w:val="30"/>
          <w:szCs w:val="30"/>
          <w:rtl/>
          <w:lang w:bidi="ar-EG"/>
        </w:rPr>
        <w:t>مدير الإصدار</w:t>
      </w:r>
      <w:r w:rsidRPr="00EB5BCF">
        <w:rPr>
          <w:rFonts w:ascii="Traditional Arabic" w:hAnsi="Traditional Arabic" w:cs="Traditional Arabic"/>
          <w:b/>
          <w:sz w:val="30"/>
          <w:szCs w:val="30"/>
          <w:rtl/>
          <w:lang w:val="en-GB"/>
        </w:rPr>
        <w:t xml:space="preserve"> </w:t>
      </w:r>
      <w:r w:rsidR="00376F78" w:rsidRPr="00EB5BCF">
        <w:rPr>
          <w:rFonts w:ascii="Traditional Arabic" w:hAnsi="Traditional Arabic" w:cs="Traditional Arabic" w:hint="eastAsia"/>
          <w:b/>
          <w:sz w:val="30"/>
          <w:szCs w:val="30"/>
          <w:rtl/>
          <w:lang w:val="en-GB"/>
        </w:rPr>
        <w:t>و</w:t>
      </w:r>
      <w:r w:rsidR="00376F78" w:rsidRPr="00EB5BCF">
        <w:rPr>
          <w:rFonts w:ascii="Traditional Arabic" w:hAnsi="Traditional Arabic" w:cs="Traditional Arabic" w:hint="eastAsia"/>
          <w:b/>
          <w:sz w:val="30"/>
          <w:szCs w:val="30"/>
          <w:rtl/>
          <w:lang w:bidi="ar-EG"/>
        </w:rPr>
        <w:t>وكلاء</w:t>
      </w:r>
      <w:r w:rsidR="00376F78" w:rsidRPr="00EB5BCF">
        <w:rPr>
          <w:rFonts w:ascii="Traditional Arabic" w:hAnsi="Traditional Arabic" w:cs="Traditional Arabic"/>
          <w:b/>
          <w:sz w:val="30"/>
          <w:szCs w:val="30"/>
          <w:rtl/>
          <w:lang w:bidi="ar-EG"/>
        </w:rPr>
        <w:t xml:space="preserve"> </w:t>
      </w:r>
      <w:r w:rsidR="00376F78" w:rsidRPr="00EB5BCF">
        <w:rPr>
          <w:rFonts w:ascii="Traditional Arabic" w:hAnsi="Traditional Arabic" w:cs="Traditional Arabic" w:hint="eastAsia"/>
          <w:b/>
          <w:sz w:val="30"/>
          <w:szCs w:val="30"/>
          <w:rtl/>
          <w:lang w:bidi="ar-EG"/>
        </w:rPr>
        <w:t>التحصيل</w:t>
      </w:r>
      <w:r w:rsidR="00376F78"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لم يحصل</w:t>
      </w:r>
      <w:r w:rsidR="00376F78" w:rsidRPr="00EB5BCF">
        <w:rPr>
          <w:rFonts w:ascii="Traditional Arabic" w:hAnsi="Traditional Arabic" w:cs="Traditional Arabic" w:hint="eastAsia"/>
          <w:b/>
          <w:sz w:val="30"/>
          <w:szCs w:val="30"/>
          <w:rtl/>
          <w:lang w:val="en-GB"/>
        </w:rPr>
        <w:t>وا</w:t>
      </w:r>
      <w:r w:rsidRPr="00EB5BCF">
        <w:rPr>
          <w:rFonts w:ascii="Traditional Arabic" w:hAnsi="Traditional Arabic" w:cs="Traditional Arabic"/>
          <w:b/>
          <w:sz w:val="30"/>
          <w:szCs w:val="30"/>
          <w:rtl/>
          <w:lang w:val="en-GB"/>
        </w:rPr>
        <w:t xml:space="preserve"> على أي تفويض أو ترخيص من مصرف الإمارات العربية المتحدة المركزي، أو وزارة الاقتصاد، أو هيئة الأوراق المالية والسلع أو أي سلطات أخرى لتسويق هذه الأسهم أو بيعها في الدولة</w:t>
      </w:r>
      <w:r w:rsidR="00516F8C" w:rsidRPr="00EB5BCF">
        <w:rPr>
          <w:rFonts w:ascii="Traditional Arabic" w:hAnsi="Traditional Arabic" w:cs="Traditional Arabic"/>
          <w:b/>
          <w:sz w:val="30"/>
          <w:szCs w:val="30"/>
          <w:rtl/>
          <w:lang w:val="en-GB"/>
        </w:rPr>
        <w:t xml:space="preserve"> إلا ما يكون وفق قوانين دولة الإمارات العربية المتحدة</w:t>
      </w:r>
      <w:r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lang w:bidi="ar-EG"/>
        </w:rPr>
        <w:t xml:space="preserve"> </w:t>
      </w:r>
      <w:r w:rsidRPr="00EB5BCF">
        <w:rPr>
          <w:rFonts w:ascii="Traditional Arabic" w:hAnsi="Traditional Arabic" w:cs="Traditional Arabic"/>
          <w:b/>
          <w:sz w:val="30"/>
          <w:szCs w:val="30"/>
          <w:rtl/>
          <w:lang w:val="en-GB"/>
        </w:rPr>
        <w:t xml:space="preserve">لم ولن يتم تسويق هذه الأسهم أو طرحها أو </w:t>
      </w:r>
      <w:r w:rsidR="00652720" w:rsidRPr="00EB5BCF">
        <w:rPr>
          <w:rFonts w:ascii="Traditional Arabic" w:hAnsi="Traditional Arabic" w:cs="Traditional Arabic"/>
          <w:b/>
          <w:sz w:val="30"/>
          <w:szCs w:val="30"/>
          <w:rtl/>
          <w:lang w:val="en-GB"/>
        </w:rPr>
        <w:t>الاكتتاب بها</w:t>
      </w:r>
      <w:r w:rsidRPr="00EB5BCF">
        <w:rPr>
          <w:rFonts w:ascii="Traditional Arabic" w:hAnsi="Traditional Arabic" w:cs="Traditional Arabic"/>
          <w:b/>
          <w:sz w:val="30"/>
          <w:szCs w:val="30"/>
          <w:rtl/>
          <w:lang w:val="en-GB"/>
        </w:rPr>
        <w:t xml:space="preserve"> داخل دولة الإمارات العربية المتحدة</w:t>
      </w:r>
      <w:r w:rsidR="00652720"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ولا ينبغي أن ي</w:t>
      </w:r>
      <w:r w:rsidR="00652720"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فترض أن </w:t>
      </w:r>
      <w:r w:rsidR="009013BB">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lang w:val="en-GB"/>
        </w:rPr>
        <w:t xml:space="preserve"> المشترك</w:t>
      </w:r>
      <w:r w:rsidRPr="00EB5BCF">
        <w:rPr>
          <w:rFonts w:ascii="Traditional Arabic" w:hAnsi="Traditional Arabic" w:cs="Traditional Arabic"/>
          <w:b/>
          <w:sz w:val="30"/>
          <w:szCs w:val="30"/>
          <w:rtl/>
          <w:lang w:val="en-GB"/>
        </w:rPr>
        <w:t xml:space="preserve"> </w:t>
      </w:r>
      <w:r w:rsidR="00376F78" w:rsidRPr="00EB5BCF">
        <w:rPr>
          <w:rFonts w:ascii="Traditional Arabic" w:hAnsi="Traditional Arabic" w:cs="Traditional Arabic" w:hint="eastAsia"/>
          <w:b/>
          <w:sz w:val="30"/>
          <w:szCs w:val="30"/>
          <w:rtl/>
          <w:lang w:val="en-GB"/>
        </w:rPr>
        <w:t>أو</w:t>
      </w:r>
      <w:r w:rsidR="00C81BAD">
        <w:rPr>
          <w:rFonts w:ascii="Traditional Arabic" w:hAnsi="Traditional Arabic" w:cs="Traditional Arabic"/>
          <w:b/>
          <w:sz w:val="30"/>
          <w:szCs w:val="30"/>
          <w:lang w:val="en-GB"/>
        </w:rPr>
        <w:t xml:space="preserve"> </w:t>
      </w:r>
      <w:r w:rsidR="00C81BAD">
        <w:rPr>
          <w:rFonts w:ascii="Traditional Arabic" w:hAnsi="Traditional Arabic" w:cs="Traditional Arabic" w:hint="cs"/>
          <w:b/>
          <w:sz w:val="30"/>
          <w:szCs w:val="30"/>
          <w:rtl/>
        </w:rPr>
        <w:t xml:space="preserve"> مدير الإصدار أو</w:t>
      </w:r>
      <w:r w:rsidR="00376F78" w:rsidRPr="00EB5BCF">
        <w:rPr>
          <w:rFonts w:ascii="Traditional Arabic" w:hAnsi="Traditional Arabic" w:cs="Traditional Arabic"/>
          <w:b/>
          <w:sz w:val="30"/>
          <w:szCs w:val="30"/>
          <w:rtl/>
          <w:lang w:val="en-GB"/>
        </w:rPr>
        <w:t xml:space="preserve"> </w:t>
      </w:r>
      <w:r w:rsidR="00376F78" w:rsidRPr="00EB5BCF">
        <w:rPr>
          <w:rFonts w:ascii="Traditional Arabic" w:hAnsi="Traditional Arabic" w:cs="Traditional Arabic" w:hint="eastAsia"/>
          <w:b/>
          <w:sz w:val="30"/>
          <w:szCs w:val="30"/>
          <w:rtl/>
          <w:lang w:bidi="ar-EG"/>
        </w:rPr>
        <w:t>وكلاء</w:t>
      </w:r>
      <w:r w:rsidR="00376F78" w:rsidRPr="00EB5BCF">
        <w:rPr>
          <w:rFonts w:ascii="Traditional Arabic" w:hAnsi="Traditional Arabic" w:cs="Traditional Arabic"/>
          <w:b/>
          <w:sz w:val="30"/>
          <w:szCs w:val="30"/>
          <w:rtl/>
          <w:lang w:bidi="ar-EG"/>
        </w:rPr>
        <w:t xml:space="preserve"> </w:t>
      </w:r>
      <w:r w:rsidR="00376F78" w:rsidRPr="00EB5BCF">
        <w:rPr>
          <w:rFonts w:ascii="Traditional Arabic" w:hAnsi="Traditional Arabic" w:cs="Traditional Arabic" w:hint="eastAsia"/>
          <w:b/>
          <w:sz w:val="30"/>
          <w:szCs w:val="30"/>
          <w:rtl/>
          <w:lang w:bidi="ar-EG"/>
        </w:rPr>
        <w:t>التحصيل</w:t>
      </w:r>
      <w:r w:rsidR="00376F78"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ه</w:t>
      </w:r>
      <w:r w:rsidR="00376F78" w:rsidRPr="00EB5BCF">
        <w:rPr>
          <w:rFonts w:ascii="Traditional Arabic" w:hAnsi="Traditional Arabic" w:cs="Traditional Arabic" w:hint="eastAsia"/>
          <w:b/>
          <w:sz w:val="30"/>
          <w:szCs w:val="30"/>
          <w:rtl/>
          <w:lang w:val="en-GB"/>
        </w:rPr>
        <w:t>م</w:t>
      </w:r>
      <w:r w:rsidRPr="00EB5BCF">
        <w:rPr>
          <w:rFonts w:ascii="Traditional Arabic" w:hAnsi="Traditional Arabic" w:cs="Traditional Arabic"/>
          <w:b/>
          <w:sz w:val="30"/>
          <w:szCs w:val="30"/>
          <w:rtl/>
          <w:lang w:val="en-GB"/>
        </w:rPr>
        <w:t xml:space="preserve"> وسط</w:t>
      </w:r>
      <w:r w:rsidR="00376F78" w:rsidRPr="00EB5BCF">
        <w:rPr>
          <w:rFonts w:ascii="Traditional Arabic" w:hAnsi="Traditional Arabic" w:cs="Traditional Arabic" w:hint="eastAsia"/>
          <w:b/>
          <w:sz w:val="30"/>
          <w:szCs w:val="30"/>
          <w:rtl/>
          <w:lang w:val="en-GB"/>
        </w:rPr>
        <w:t>اء</w:t>
      </w:r>
      <w:r w:rsidRPr="00EB5BCF">
        <w:rPr>
          <w:rFonts w:ascii="Traditional Arabic" w:hAnsi="Traditional Arabic" w:cs="Traditional Arabic"/>
          <w:b/>
          <w:sz w:val="30"/>
          <w:szCs w:val="30"/>
          <w:rtl/>
          <w:lang w:val="en-GB"/>
        </w:rPr>
        <w:t xml:space="preserve"> أو </w:t>
      </w:r>
      <w:r w:rsidR="00376F78" w:rsidRPr="00EB5BCF">
        <w:rPr>
          <w:rFonts w:ascii="Traditional Arabic" w:hAnsi="Traditional Arabic" w:cs="Traditional Arabic" w:hint="eastAsia"/>
          <w:b/>
          <w:sz w:val="30"/>
          <w:szCs w:val="30"/>
          <w:rtl/>
          <w:lang w:val="en-GB"/>
        </w:rPr>
        <w:t>تجار</w:t>
      </w:r>
      <w:r w:rsidR="00376F78"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أو مستشار</w:t>
      </w:r>
      <w:r w:rsidR="00376F78" w:rsidRPr="00EB5BCF">
        <w:rPr>
          <w:rFonts w:ascii="Traditional Arabic" w:hAnsi="Traditional Arabic" w:cs="Traditional Arabic" w:hint="eastAsia"/>
          <w:b/>
          <w:sz w:val="30"/>
          <w:szCs w:val="30"/>
          <w:rtl/>
          <w:lang w:val="en-GB"/>
        </w:rPr>
        <w:t>ين</w:t>
      </w:r>
      <w:r w:rsidRPr="00EB5BCF">
        <w:rPr>
          <w:rFonts w:ascii="Traditional Arabic" w:hAnsi="Traditional Arabic" w:cs="Traditional Arabic"/>
          <w:b/>
          <w:sz w:val="30"/>
          <w:szCs w:val="30"/>
          <w:rtl/>
          <w:lang w:val="en-GB"/>
        </w:rPr>
        <w:t xml:space="preserve"> استثمار</w:t>
      </w:r>
      <w:r w:rsidR="00376F78" w:rsidRPr="00EB5BCF">
        <w:rPr>
          <w:rFonts w:ascii="Traditional Arabic" w:hAnsi="Traditional Arabic" w:cs="Traditional Arabic" w:hint="eastAsia"/>
          <w:b/>
          <w:sz w:val="30"/>
          <w:szCs w:val="30"/>
          <w:rtl/>
          <w:lang w:val="en-GB"/>
        </w:rPr>
        <w:t>يين</w:t>
      </w:r>
      <w:r w:rsidRPr="00EB5BCF">
        <w:rPr>
          <w:rFonts w:ascii="Traditional Arabic" w:hAnsi="Traditional Arabic" w:cs="Traditional Arabic"/>
          <w:b/>
          <w:sz w:val="30"/>
          <w:szCs w:val="30"/>
          <w:rtl/>
          <w:lang w:val="en-GB"/>
        </w:rPr>
        <w:t xml:space="preserve"> مرخص</w:t>
      </w:r>
      <w:r w:rsidR="00376F78" w:rsidRPr="00EB5BCF">
        <w:rPr>
          <w:rFonts w:ascii="Traditional Arabic" w:hAnsi="Traditional Arabic" w:cs="Traditional Arabic" w:hint="eastAsia"/>
          <w:b/>
          <w:sz w:val="30"/>
          <w:szCs w:val="30"/>
          <w:rtl/>
          <w:lang w:val="en-GB"/>
        </w:rPr>
        <w:t>ين</w:t>
      </w:r>
      <w:r w:rsidRPr="00EB5BCF">
        <w:rPr>
          <w:rFonts w:ascii="Traditional Arabic" w:hAnsi="Traditional Arabic" w:cs="Traditional Arabic"/>
          <w:b/>
          <w:sz w:val="30"/>
          <w:szCs w:val="30"/>
          <w:rtl/>
          <w:lang w:val="en-GB"/>
        </w:rPr>
        <w:t xml:space="preserve"> بموجب القوانين المعمول بها في دولة الإمارات العربية المتحدة</w:t>
      </w:r>
      <w:r w:rsidR="005444B5" w:rsidRPr="00EB5BCF">
        <w:rPr>
          <w:rFonts w:ascii="Traditional Arabic" w:hAnsi="Traditional Arabic" w:cs="Traditional Arabic"/>
          <w:b/>
          <w:sz w:val="30"/>
          <w:szCs w:val="30"/>
          <w:rtl/>
          <w:lang w:val="en-GB"/>
        </w:rPr>
        <w:t>،</w:t>
      </w:r>
      <w:r w:rsidRPr="00EB5BCF">
        <w:rPr>
          <w:rFonts w:ascii="Traditional Arabic" w:hAnsi="Traditional Arabic" w:cs="Traditional Arabic"/>
          <w:b/>
          <w:sz w:val="30"/>
          <w:szCs w:val="30"/>
          <w:rtl/>
          <w:lang w:val="en-GB"/>
        </w:rPr>
        <w:t xml:space="preserve"> كما لا </w:t>
      </w:r>
      <w:r w:rsidR="00613D8D" w:rsidRPr="00EB5BCF">
        <w:rPr>
          <w:rFonts w:ascii="Traditional Arabic" w:hAnsi="Traditional Arabic" w:cs="Traditional Arabic"/>
          <w:b/>
          <w:sz w:val="30"/>
          <w:szCs w:val="30"/>
          <w:rtl/>
          <w:lang w:val="en-GB"/>
        </w:rPr>
        <w:t>يُفترض فيه تقديم توجيهات</w:t>
      </w:r>
      <w:r w:rsidRPr="00EB5BCF">
        <w:rPr>
          <w:rFonts w:ascii="Traditional Arabic" w:hAnsi="Traditional Arabic" w:cs="Traditional Arabic"/>
          <w:b/>
          <w:sz w:val="30"/>
          <w:szCs w:val="30"/>
          <w:rtl/>
          <w:lang w:val="en-GB"/>
        </w:rPr>
        <w:t xml:space="preserve"> </w:t>
      </w:r>
      <w:r w:rsidR="00613D8D" w:rsidRPr="00EB5BCF">
        <w:rPr>
          <w:rFonts w:ascii="Traditional Arabic" w:hAnsi="Traditional Arabic" w:cs="Traditional Arabic"/>
          <w:b/>
          <w:sz w:val="30"/>
          <w:szCs w:val="30"/>
          <w:rtl/>
          <w:lang w:val="en-GB"/>
        </w:rPr>
        <w:t>ونصائح</w:t>
      </w:r>
      <w:r w:rsidRPr="00EB5BCF">
        <w:rPr>
          <w:rFonts w:ascii="Traditional Arabic" w:hAnsi="Traditional Arabic" w:cs="Traditional Arabic"/>
          <w:b/>
          <w:sz w:val="30"/>
          <w:szCs w:val="30"/>
          <w:rtl/>
          <w:lang w:val="en-GB"/>
        </w:rPr>
        <w:t xml:space="preserve"> للأفراد المقيمين في دولة الإمارات العربية المتحدة حول مدى ملاءمة الاستثمار في</w:t>
      </w:r>
      <w:r w:rsidR="00613D8D" w:rsidRPr="00EB5BCF">
        <w:rPr>
          <w:rFonts w:ascii="Traditional Arabic" w:hAnsi="Traditional Arabic" w:cs="Traditional Arabic"/>
          <w:b/>
          <w:sz w:val="30"/>
          <w:szCs w:val="30"/>
          <w:rtl/>
          <w:lang w:val="en-GB"/>
        </w:rPr>
        <w:t xml:space="preserve"> الأوراق المالية أو</w:t>
      </w:r>
      <w:r w:rsidRPr="00EB5BCF">
        <w:rPr>
          <w:rFonts w:ascii="Traditional Arabic" w:hAnsi="Traditional Arabic" w:cs="Traditional Arabic"/>
          <w:b/>
          <w:sz w:val="30"/>
          <w:szCs w:val="30"/>
          <w:rtl/>
          <w:lang w:val="en-GB"/>
        </w:rPr>
        <w:t xml:space="preserve"> شرا</w:t>
      </w:r>
      <w:r w:rsidR="00613D8D" w:rsidRPr="00EB5BCF">
        <w:rPr>
          <w:rFonts w:ascii="Traditional Arabic" w:hAnsi="Traditional Arabic" w:cs="Traditional Arabic"/>
          <w:b/>
          <w:sz w:val="30"/>
          <w:szCs w:val="30"/>
          <w:rtl/>
          <w:lang w:val="en-GB"/>
        </w:rPr>
        <w:t>ؤها</w:t>
      </w:r>
      <w:r w:rsidRPr="00EB5BCF">
        <w:rPr>
          <w:rFonts w:ascii="Traditional Arabic" w:hAnsi="Traditional Arabic" w:cs="Traditional Arabic"/>
          <w:b/>
          <w:sz w:val="30"/>
          <w:szCs w:val="30"/>
          <w:rtl/>
          <w:lang w:val="en-GB"/>
        </w:rPr>
        <w:t xml:space="preserve"> </w:t>
      </w:r>
      <w:r w:rsidR="00613D8D" w:rsidRPr="00EB5BCF">
        <w:rPr>
          <w:rFonts w:ascii="Traditional Arabic" w:hAnsi="Traditional Arabic" w:cs="Traditional Arabic"/>
          <w:b/>
          <w:sz w:val="30"/>
          <w:szCs w:val="30"/>
          <w:rtl/>
          <w:lang w:val="en-GB"/>
        </w:rPr>
        <w:t xml:space="preserve">أو شراء </w:t>
      </w:r>
      <w:r w:rsidRPr="00EB5BCF">
        <w:rPr>
          <w:rFonts w:ascii="Traditional Arabic" w:hAnsi="Traditional Arabic" w:cs="Traditional Arabic"/>
          <w:b/>
          <w:sz w:val="30"/>
          <w:szCs w:val="30"/>
          <w:rtl/>
          <w:lang w:val="en-GB"/>
        </w:rPr>
        <w:t xml:space="preserve">غيرها من المنتجات المالية وبيعها. لا يجوز طرح الأسهم أو بيعها بشكل مباشر أو غير مباشر للجمهور في دولة الإمارات العربية المتحدة. ولا تشكل هذه النشرة </w:t>
      </w:r>
      <w:r w:rsidR="00613D8D" w:rsidRPr="00EB5BCF">
        <w:rPr>
          <w:rFonts w:ascii="Traditional Arabic" w:hAnsi="Traditional Arabic" w:cs="Traditional Arabic"/>
          <w:b/>
          <w:sz w:val="30"/>
          <w:szCs w:val="30"/>
          <w:rtl/>
          <w:lang w:val="en-GB"/>
        </w:rPr>
        <w:t>اكتتابا</w:t>
      </w:r>
      <w:r w:rsidR="0084103D" w:rsidRPr="00EB5BCF">
        <w:rPr>
          <w:rFonts w:ascii="Traditional Arabic" w:hAnsi="Traditional Arabic" w:cs="Traditional Arabic"/>
          <w:b/>
          <w:sz w:val="30"/>
          <w:szCs w:val="30"/>
          <w:rtl/>
          <w:lang w:val="en-GB"/>
        </w:rPr>
        <w:t>ً</w:t>
      </w:r>
      <w:r w:rsidR="00613D8D" w:rsidRPr="00EB5BCF">
        <w:rPr>
          <w:rFonts w:ascii="Traditional Arabic" w:hAnsi="Traditional Arabic" w:cs="Traditional Arabic"/>
          <w:b/>
          <w:sz w:val="30"/>
          <w:szCs w:val="30"/>
          <w:rtl/>
          <w:lang w:val="en-GB"/>
        </w:rPr>
        <w:t xml:space="preserve"> عاما</w:t>
      </w:r>
      <w:r w:rsidR="0084103D" w:rsidRPr="00EB5BCF">
        <w:rPr>
          <w:rFonts w:ascii="Traditional Arabic" w:hAnsi="Traditional Arabic" w:cs="Traditional Arabic"/>
          <w:b/>
          <w:sz w:val="30"/>
          <w:szCs w:val="30"/>
          <w:rtl/>
          <w:lang w:val="en-GB"/>
        </w:rPr>
        <w:t>ً</w:t>
      </w:r>
      <w:r w:rsidR="00613D8D" w:rsidRPr="00EB5BCF">
        <w:rPr>
          <w:rFonts w:ascii="Traditional Arabic" w:hAnsi="Traditional Arabic" w:cs="Traditional Arabic"/>
          <w:b/>
          <w:sz w:val="30"/>
          <w:szCs w:val="30"/>
          <w:rtl/>
          <w:lang w:val="en-GB"/>
        </w:rPr>
        <w:t xml:space="preserve"> في</w:t>
      </w:r>
      <w:r w:rsidRPr="00EB5BCF">
        <w:rPr>
          <w:rFonts w:ascii="Traditional Arabic" w:hAnsi="Traditional Arabic" w:cs="Traditional Arabic"/>
          <w:b/>
          <w:sz w:val="30"/>
          <w:szCs w:val="30"/>
          <w:rtl/>
          <w:lang w:val="en-GB"/>
        </w:rPr>
        <w:t xml:space="preserve"> </w:t>
      </w:r>
      <w:r w:rsidR="00613D8D" w:rsidRPr="00EB5BCF">
        <w:rPr>
          <w:rFonts w:ascii="Traditional Arabic" w:hAnsi="Traditional Arabic" w:cs="Traditional Arabic"/>
          <w:b/>
          <w:sz w:val="30"/>
          <w:szCs w:val="30"/>
          <w:rtl/>
          <w:lang w:val="en-GB"/>
        </w:rPr>
        <w:t>ا</w:t>
      </w:r>
      <w:r w:rsidRPr="00EB5BCF">
        <w:rPr>
          <w:rFonts w:ascii="Traditional Arabic" w:hAnsi="Traditional Arabic" w:cs="Traditional Arabic"/>
          <w:b/>
          <w:sz w:val="30"/>
          <w:szCs w:val="30"/>
          <w:rtl/>
          <w:lang w:val="en-GB"/>
        </w:rPr>
        <w:t>لأوراق المالية وفقا لقانون الشركات التجارية في دولة الإمارات العربية المتحدة</w:t>
      </w:r>
      <w:r w:rsidRPr="00EB5BCF">
        <w:rPr>
          <w:rFonts w:ascii="Traditional Arabic" w:hAnsi="Traditional Arabic" w:cs="Traditional Arabic"/>
          <w:b/>
          <w:sz w:val="30"/>
          <w:szCs w:val="30"/>
          <w:lang w:bidi="ar-EG"/>
        </w:rPr>
        <w:t xml:space="preserve"> - </w:t>
      </w:r>
      <w:r w:rsidRPr="00EB5BCF">
        <w:rPr>
          <w:rFonts w:ascii="Traditional Arabic" w:hAnsi="Traditional Arabic" w:cs="Traditional Arabic"/>
          <w:b/>
          <w:sz w:val="30"/>
          <w:szCs w:val="30"/>
          <w:rtl/>
          <w:lang w:val="en-GB"/>
        </w:rPr>
        <w:t xml:space="preserve">القانون الاتحادي رقم </w:t>
      </w:r>
      <w:r w:rsidR="00516F8C" w:rsidRPr="00EB5BCF">
        <w:rPr>
          <w:rFonts w:ascii="Traditional Arabic" w:hAnsi="Traditional Arabic" w:cs="Traditional Arabic"/>
          <w:b/>
          <w:sz w:val="30"/>
          <w:szCs w:val="30"/>
          <w:rtl/>
          <w:lang w:val="en-GB"/>
        </w:rPr>
        <w:t>32</w:t>
      </w:r>
      <w:r w:rsidRPr="00EB5BCF">
        <w:rPr>
          <w:rFonts w:ascii="Traditional Arabic" w:hAnsi="Traditional Arabic" w:cs="Traditional Arabic"/>
          <w:b/>
          <w:sz w:val="30"/>
          <w:szCs w:val="30"/>
          <w:rtl/>
          <w:lang w:val="en-GB"/>
        </w:rPr>
        <w:t xml:space="preserve"> لسنة </w:t>
      </w:r>
      <w:r w:rsidR="00516F8C" w:rsidRPr="00EB5BCF">
        <w:rPr>
          <w:rFonts w:ascii="Traditional Arabic" w:hAnsi="Traditional Arabic" w:cs="Traditional Arabic"/>
          <w:b/>
          <w:sz w:val="30"/>
          <w:szCs w:val="30"/>
          <w:rtl/>
          <w:lang w:val="en-GB"/>
        </w:rPr>
        <w:t>2021</w:t>
      </w:r>
      <w:r w:rsidRPr="00EB5BCF">
        <w:rPr>
          <w:rFonts w:ascii="Traditional Arabic" w:hAnsi="Traditional Arabic" w:cs="Traditional Arabic"/>
          <w:b/>
          <w:sz w:val="30"/>
          <w:szCs w:val="30"/>
          <w:rtl/>
          <w:lang w:val="en-GB"/>
        </w:rPr>
        <w:t xml:space="preserve"> (وتعديلاته) أو غير ذلك</w:t>
      </w:r>
      <w:r w:rsidRPr="00EB5BCF">
        <w:rPr>
          <w:rFonts w:ascii="Traditional Arabic" w:hAnsi="Traditional Arabic" w:cs="Traditional Arabic"/>
          <w:b/>
          <w:sz w:val="30"/>
          <w:szCs w:val="30"/>
          <w:lang w:bidi="ar-EG"/>
        </w:rPr>
        <w:t>.</w:t>
      </w:r>
    </w:p>
    <w:p w14:paraId="04818334" w14:textId="77777777" w:rsidR="00CD5CD6" w:rsidRPr="00EB5BCF" w:rsidRDefault="00CD5CD6" w:rsidP="00CD5CD6">
      <w:pPr>
        <w:keepNext/>
        <w:bidi/>
        <w:jc w:val="both"/>
        <w:rPr>
          <w:rFonts w:ascii="Traditional Arabic" w:hAnsi="Traditional Arabic" w:cs="Traditional Arabic"/>
          <w:b/>
          <w:sz w:val="30"/>
          <w:szCs w:val="30"/>
          <w:rtl/>
          <w:lang w:val="en-GB"/>
        </w:rPr>
      </w:pPr>
    </w:p>
    <w:p w14:paraId="77930E52" w14:textId="77777777" w:rsidR="00AB3D50" w:rsidRPr="00EB5BCF" w:rsidRDefault="00AB3D50" w:rsidP="00AB3D50">
      <w:pPr>
        <w:keepNext/>
        <w:bidi/>
        <w:jc w:val="both"/>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 xml:space="preserve">لا تحوي هذه النشرة على ما يمكن أن يمثّل استشارة استثمارية أو قانونية أو ضريبية أو محاسبية أو مهنية؛ إذ تم إعداد هذه النشرة لتوفير المعلومات لك فقط، وليس المقصود منها الموافقة أو التوصية على القيام بعمل بعينه. وينبغي طلب المشورة من </w:t>
      </w:r>
      <w:r w:rsidR="00613D8D" w:rsidRPr="00EB5BCF">
        <w:rPr>
          <w:rFonts w:ascii="Traditional Arabic" w:hAnsi="Traditional Arabic" w:cs="Traditional Arabic"/>
          <w:b/>
          <w:sz w:val="30"/>
          <w:szCs w:val="30"/>
          <w:rtl/>
          <w:lang w:val="en-GB"/>
        </w:rPr>
        <w:t>الخبير المهني</w:t>
      </w:r>
      <w:r w:rsidRPr="00EB5BCF">
        <w:rPr>
          <w:rFonts w:ascii="Traditional Arabic" w:hAnsi="Traditional Arabic" w:cs="Traditional Arabic"/>
          <w:b/>
          <w:sz w:val="30"/>
          <w:szCs w:val="30"/>
          <w:rtl/>
          <w:lang w:val="en-GB"/>
        </w:rPr>
        <w:t xml:space="preserve"> المناسب لتقديم النصيحة </w:t>
      </w:r>
      <w:r w:rsidR="00613D8D" w:rsidRPr="00EB5BCF">
        <w:rPr>
          <w:rFonts w:ascii="Traditional Arabic" w:hAnsi="Traditional Arabic" w:cs="Traditional Arabic"/>
          <w:b/>
          <w:sz w:val="30"/>
          <w:szCs w:val="30"/>
          <w:rtl/>
          <w:lang w:val="en-GB"/>
        </w:rPr>
        <w:t>حسب حالتك.</w:t>
      </w:r>
    </w:p>
    <w:p w14:paraId="5F9954FA" w14:textId="77777777" w:rsidR="00AB3D50" w:rsidRPr="00EB5BCF" w:rsidRDefault="00AB3D50" w:rsidP="00AB3D50">
      <w:pPr>
        <w:keepNext/>
        <w:bidi/>
        <w:jc w:val="both"/>
        <w:rPr>
          <w:rFonts w:ascii="Traditional Arabic" w:hAnsi="Traditional Arabic" w:cs="Traditional Arabic"/>
          <w:b/>
          <w:sz w:val="30"/>
          <w:szCs w:val="30"/>
          <w:rtl/>
          <w:lang w:val="en-GB"/>
        </w:rPr>
      </w:pPr>
    </w:p>
    <w:p w14:paraId="185DD7F5" w14:textId="77777777" w:rsidR="002B0EB1" w:rsidRPr="00EB5BCF" w:rsidRDefault="002B0EB1" w:rsidP="00AB3D50">
      <w:pPr>
        <w:keepNext/>
        <w:bidi/>
        <w:jc w:val="both"/>
        <w:rPr>
          <w:rFonts w:ascii="Traditional Arabic" w:hAnsi="Traditional Arabic" w:cs="Traditional Arabic"/>
          <w:b/>
          <w:bCs/>
          <w:iCs/>
          <w:sz w:val="30"/>
          <w:szCs w:val="30"/>
          <w:rtl/>
          <w:lang w:val="en-GB"/>
        </w:rPr>
      </w:pPr>
      <w:r w:rsidRPr="00EB5BCF">
        <w:rPr>
          <w:rFonts w:ascii="Traditional Arabic" w:hAnsi="Traditional Arabic" w:cs="Traditional Arabic"/>
          <w:b/>
          <w:bCs/>
          <w:iCs/>
          <w:sz w:val="30"/>
          <w:szCs w:val="30"/>
          <w:rtl/>
          <w:lang w:val="en-GB"/>
        </w:rPr>
        <w:t xml:space="preserve">سوق أبو ظبي العالمي </w:t>
      </w:r>
    </w:p>
    <w:p w14:paraId="6332A360" w14:textId="77777777" w:rsidR="00875FC4" w:rsidRPr="00EB5BCF" w:rsidRDefault="002B0EB1" w:rsidP="00875FC4">
      <w:pPr>
        <w:keepNext/>
        <w:bidi/>
        <w:jc w:val="both"/>
        <w:rPr>
          <w:rFonts w:ascii="Traditional Arabic" w:hAnsi="Traditional Arabic" w:cs="Traditional Arabic"/>
          <w:b/>
          <w:i/>
          <w:sz w:val="30"/>
          <w:szCs w:val="30"/>
          <w:rtl/>
          <w:lang w:val="en-GB" w:bidi="ar-OM"/>
        </w:rPr>
      </w:pPr>
      <w:r w:rsidRPr="00EB5BCF">
        <w:rPr>
          <w:rFonts w:ascii="Traditional Arabic" w:hAnsi="Traditional Arabic" w:cs="Traditional Arabic"/>
          <w:i/>
          <w:sz w:val="30"/>
          <w:szCs w:val="30"/>
          <w:rtl/>
          <w:lang w:val="en-GB"/>
        </w:rPr>
        <w:t xml:space="preserve"> </w:t>
      </w:r>
      <w:r w:rsidR="0084103D" w:rsidRPr="00EB5BCF">
        <w:rPr>
          <w:rFonts w:ascii="Traditional Arabic" w:hAnsi="Traditional Arabic" w:cs="Traditional Arabic"/>
          <w:i/>
          <w:sz w:val="30"/>
          <w:szCs w:val="30"/>
          <w:rtl/>
          <w:lang w:val="en-GB"/>
        </w:rPr>
        <w:t xml:space="preserve">لا تخضع </w:t>
      </w:r>
      <w:r w:rsidRPr="00EB5BCF">
        <w:rPr>
          <w:rFonts w:ascii="Traditional Arabic" w:hAnsi="Traditional Arabic" w:cs="Traditional Arabic"/>
          <w:i/>
          <w:sz w:val="30"/>
          <w:szCs w:val="30"/>
          <w:rtl/>
          <w:lang w:val="en-GB"/>
        </w:rPr>
        <w:t xml:space="preserve">هذه </w:t>
      </w:r>
      <w:r w:rsidR="0084103D" w:rsidRPr="00EB5BCF">
        <w:rPr>
          <w:rFonts w:ascii="Traditional Arabic" w:hAnsi="Traditional Arabic" w:cs="Traditional Arabic"/>
          <w:i/>
          <w:sz w:val="30"/>
          <w:szCs w:val="30"/>
          <w:rtl/>
          <w:lang w:val="en-GB"/>
        </w:rPr>
        <w:t>ال</w:t>
      </w:r>
      <w:r w:rsidRPr="00EB5BCF">
        <w:rPr>
          <w:rFonts w:ascii="Traditional Arabic" w:hAnsi="Traditional Arabic" w:cs="Traditional Arabic"/>
          <w:i/>
          <w:sz w:val="30"/>
          <w:szCs w:val="30"/>
          <w:rtl/>
          <w:lang w:val="en-GB"/>
        </w:rPr>
        <w:t xml:space="preserve">نشرة </w:t>
      </w:r>
      <w:r w:rsidR="00911741" w:rsidRPr="00EB5BCF">
        <w:rPr>
          <w:rFonts w:ascii="Traditional Arabic" w:hAnsi="Traditional Arabic" w:cs="Traditional Arabic"/>
          <w:i/>
          <w:sz w:val="30"/>
          <w:szCs w:val="30"/>
          <w:rtl/>
          <w:lang w:val="en-GB"/>
        </w:rPr>
        <w:t>لأي تنظيم أو موافقة من هيئة تنظيم الخدمات المالية لسوق أبو ظبي العالمي</w:t>
      </w:r>
      <w:r w:rsidR="00282ABA" w:rsidRPr="00EB5BCF">
        <w:rPr>
          <w:rFonts w:ascii="Traditional Arabic" w:hAnsi="Traditional Arabic" w:cs="Traditional Arabic"/>
          <w:i/>
          <w:sz w:val="30"/>
          <w:szCs w:val="30"/>
          <w:rtl/>
          <w:lang w:val="en-GB"/>
        </w:rPr>
        <w:t>، وتجدر الإشارة إلى أن هذه النشرة لم يتم اعتمادها من هيئة تنظيم الخدمات المالية ولا يقع على عاتقها مسؤولية مراجعتها أو التحقق منها</w:t>
      </w:r>
      <w:r w:rsidR="00426676" w:rsidRPr="00EB5BCF">
        <w:rPr>
          <w:rFonts w:ascii="Traditional Arabic" w:hAnsi="Traditional Arabic" w:cs="Traditional Arabic"/>
          <w:i/>
          <w:sz w:val="30"/>
          <w:szCs w:val="30"/>
          <w:rtl/>
          <w:lang w:val="en-GB"/>
        </w:rPr>
        <w:t xml:space="preserve"> أو من أي مستند</w:t>
      </w:r>
      <w:r w:rsidR="00D04BC1">
        <w:rPr>
          <w:rFonts w:ascii="Traditional Arabic" w:hAnsi="Traditional Arabic" w:cs="Traditional Arabic" w:hint="cs"/>
          <w:i/>
          <w:sz w:val="30"/>
          <w:szCs w:val="30"/>
          <w:rtl/>
          <w:lang w:val="en-GB"/>
        </w:rPr>
        <w:t xml:space="preserve"> </w:t>
      </w:r>
      <w:r w:rsidR="00426676" w:rsidRPr="00EB5BCF">
        <w:rPr>
          <w:rFonts w:ascii="Traditional Arabic" w:hAnsi="Traditional Arabic" w:cs="Traditional Arabic"/>
          <w:i/>
          <w:sz w:val="30"/>
          <w:szCs w:val="30"/>
          <w:rtl/>
          <w:lang w:val="en-GB"/>
        </w:rPr>
        <w:lastRenderedPageBreak/>
        <w:t>آخر يتعلق بهذا الطرح</w:t>
      </w:r>
      <w:r w:rsidR="00DD04A1" w:rsidRPr="00EB5BCF">
        <w:rPr>
          <w:rFonts w:ascii="Traditional Arabic" w:hAnsi="Traditional Arabic" w:cs="Traditional Arabic"/>
          <w:i/>
          <w:sz w:val="30"/>
          <w:szCs w:val="30"/>
          <w:rtl/>
          <w:lang w:val="en-GB"/>
        </w:rPr>
        <w:t>؛</w:t>
      </w:r>
      <w:r w:rsidR="00875FC4" w:rsidRPr="00EB5BCF">
        <w:rPr>
          <w:rFonts w:ascii="Traditional Arabic" w:hAnsi="Traditional Arabic" w:cs="Traditional Arabic"/>
          <w:i/>
          <w:sz w:val="30"/>
          <w:szCs w:val="30"/>
          <w:rtl/>
          <w:lang w:val="en-GB"/>
        </w:rPr>
        <w:t xml:space="preserve"> </w:t>
      </w:r>
      <w:r w:rsidR="00DD04A1" w:rsidRPr="00EB5BCF">
        <w:rPr>
          <w:rFonts w:ascii="Traditional Arabic" w:hAnsi="Traditional Arabic" w:cs="Traditional Arabic"/>
          <w:i/>
          <w:sz w:val="30"/>
          <w:szCs w:val="30"/>
          <w:rtl/>
          <w:lang w:val="en-GB"/>
        </w:rPr>
        <w:t>ف</w:t>
      </w:r>
      <w:r w:rsidR="00875FC4" w:rsidRPr="00EB5BCF">
        <w:rPr>
          <w:rFonts w:ascii="Traditional Arabic" w:hAnsi="Traditional Arabic" w:cs="Traditional Arabic"/>
          <w:b/>
          <w:i/>
          <w:sz w:val="30"/>
          <w:szCs w:val="30"/>
          <w:rtl/>
          <w:lang w:val="en-GB" w:bidi="ar-OM"/>
        </w:rPr>
        <w:t xml:space="preserve">لم تقم </w:t>
      </w:r>
      <w:r w:rsidR="00DD04A1" w:rsidRPr="00EB5BCF">
        <w:rPr>
          <w:rFonts w:ascii="Traditional Arabic" w:hAnsi="Traditional Arabic" w:cs="Traditional Arabic"/>
          <w:b/>
          <w:i/>
          <w:sz w:val="30"/>
          <w:szCs w:val="30"/>
          <w:rtl/>
          <w:lang w:val="en-GB" w:bidi="ar-OM"/>
        </w:rPr>
        <w:t>ب</w:t>
      </w:r>
      <w:r w:rsidR="00875FC4" w:rsidRPr="00EB5BCF">
        <w:rPr>
          <w:rFonts w:ascii="Traditional Arabic" w:hAnsi="Traditional Arabic" w:cs="Traditional Arabic"/>
          <w:b/>
          <w:i/>
          <w:sz w:val="30"/>
          <w:szCs w:val="30"/>
          <w:rtl/>
          <w:lang w:val="en-GB" w:bidi="ar-OM"/>
        </w:rPr>
        <w:t>اعتماد طرح الأسهم ولا هذه النشرة، ولم تتخذ أي خطوات تجاه التحقق من المعلومات الواردة فيها ول</w:t>
      </w:r>
      <w:r w:rsidR="005F18AE" w:rsidRPr="00EB5BCF">
        <w:rPr>
          <w:rFonts w:ascii="Traditional Arabic" w:hAnsi="Traditional Arabic" w:cs="Traditional Arabic"/>
          <w:b/>
          <w:i/>
          <w:sz w:val="30"/>
          <w:szCs w:val="30"/>
          <w:rtl/>
          <w:lang w:val="en-GB" w:bidi="ar-OM"/>
        </w:rPr>
        <w:t>ن</w:t>
      </w:r>
      <w:r w:rsidR="00875FC4" w:rsidRPr="00EB5BCF">
        <w:rPr>
          <w:rFonts w:ascii="Traditional Arabic" w:hAnsi="Traditional Arabic" w:cs="Traditional Arabic"/>
          <w:b/>
          <w:i/>
          <w:sz w:val="30"/>
          <w:szCs w:val="30"/>
          <w:rtl/>
          <w:lang w:val="en-GB" w:bidi="ar-OM"/>
        </w:rPr>
        <w:t xml:space="preserve"> تتحمل أي مسؤولية تجاهها.</w:t>
      </w:r>
    </w:p>
    <w:p w14:paraId="28B27DC2" w14:textId="77777777" w:rsidR="001C035E" w:rsidRPr="00EB5BCF" w:rsidRDefault="001C035E" w:rsidP="001C035E">
      <w:pPr>
        <w:keepNext/>
        <w:bidi/>
        <w:jc w:val="both"/>
        <w:rPr>
          <w:rFonts w:ascii="Traditional Arabic" w:hAnsi="Traditional Arabic" w:cs="Traditional Arabic"/>
          <w:b/>
          <w:i/>
          <w:sz w:val="30"/>
          <w:szCs w:val="30"/>
          <w:rtl/>
          <w:lang w:val="en-GB" w:bidi="ar-OM"/>
        </w:rPr>
      </w:pPr>
    </w:p>
    <w:p w14:paraId="628F33D2" w14:textId="77777777" w:rsidR="001C035E" w:rsidRPr="00EB5BCF" w:rsidRDefault="001C035E" w:rsidP="001C035E">
      <w:pPr>
        <w:keepNext/>
        <w:bidi/>
        <w:jc w:val="both"/>
        <w:rPr>
          <w:rFonts w:ascii="Traditional Arabic" w:hAnsi="Traditional Arabic" w:cs="Traditional Arabic"/>
          <w:b/>
          <w:i/>
          <w:sz w:val="30"/>
          <w:szCs w:val="30"/>
          <w:rtl/>
          <w:lang w:val="en-GB" w:bidi="ar-OM"/>
        </w:rPr>
      </w:pPr>
      <w:r w:rsidRPr="00EB5BCF">
        <w:rPr>
          <w:rFonts w:ascii="Traditional Arabic" w:hAnsi="Traditional Arabic" w:cs="Traditional Arabic"/>
          <w:b/>
          <w:i/>
          <w:sz w:val="30"/>
          <w:szCs w:val="30"/>
          <w:rtl/>
          <w:lang w:val="en-GB" w:bidi="ar-OM"/>
        </w:rPr>
        <w:t xml:space="preserve">لم يتم عرض الأسهم ولن يتم عرضها على أي شخص في </w:t>
      </w:r>
      <w:r w:rsidR="00B408B8" w:rsidRPr="00EB5BCF">
        <w:rPr>
          <w:rFonts w:ascii="Traditional Arabic" w:hAnsi="Traditional Arabic" w:cs="Traditional Arabic"/>
          <w:b/>
          <w:i/>
          <w:sz w:val="30"/>
          <w:szCs w:val="30"/>
          <w:rtl/>
          <w:lang w:val="en-GB" w:bidi="ar-OM"/>
        </w:rPr>
        <w:t>سوق أبو ظبي العالمي باستثناء أن يكون العرض:</w:t>
      </w:r>
    </w:p>
    <w:p w14:paraId="2AC3EFE8" w14:textId="77777777" w:rsidR="00B408B8" w:rsidRPr="00EB5BCF" w:rsidRDefault="00B408B8" w:rsidP="00922116">
      <w:pPr>
        <w:pStyle w:val="ListParagraph"/>
        <w:keepNext/>
        <w:numPr>
          <w:ilvl w:val="0"/>
          <w:numId w:val="28"/>
        </w:numPr>
        <w:bidi/>
        <w:jc w:val="both"/>
        <w:rPr>
          <w:rFonts w:ascii="Traditional Arabic" w:hAnsi="Traditional Arabic" w:cs="Traditional Arabic"/>
          <w:b/>
          <w:i/>
          <w:sz w:val="30"/>
          <w:szCs w:val="30"/>
          <w:lang w:val="en-GB" w:bidi="ar-OM"/>
        </w:rPr>
      </w:pPr>
      <w:r w:rsidRPr="00EB5BCF">
        <w:rPr>
          <w:rFonts w:ascii="Traditional Arabic" w:hAnsi="Traditional Arabic" w:cs="Traditional Arabic"/>
          <w:b/>
          <w:i/>
          <w:sz w:val="30"/>
          <w:szCs w:val="30"/>
          <w:rtl/>
          <w:lang w:val="en-GB" w:bidi="ar-OM"/>
        </w:rPr>
        <w:t xml:space="preserve">"عرض مستثنى" وفق لوائح الخدمات والأسواق المالية </w:t>
      </w:r>
      <w:r w:rsidR="00950129" w:rsidRPr="00EB5BCF">
        <w:rPr>
          <w:rFonts w:ascii="Traditional Arabic" w:hAnsi="Traditional Arabic" w:cs="Traditional Arabic"/>
          <w:b/>
          <w:i/>
          <w:sz w:val="30"/>
          <w:szCs w:val="30"/>
          <w:rtl/>
          <w:lang w:val="en-GB" w:bidi="ar-OM"/>
        </w:rPr>
        <w:t>وقواعد السوق الخاصة بهيئة تنظيم الخدمات المالية.</w:t>
      </w:r>
    </w:p>
    <w:p w14:paraId="39D77159" w14:textId="77777777" w:rsidR="00950129" w:rsidRPr="00EB5BCF" w:rsidRDefault="00950129" w:rsidP="00922116">
      <w:pPr>
        <w:pStyle w:val="ListParagraph"/>
        <w:keepNext/>
        <w:numPr>
          <w:ilvl w:val="0"/>
          <w:numId w:val="28"/>
        </w:numPr>
        <w:bidi/>
        <w:jc w:val="both"/>
        <w:rPr>
          <w:rFonts w:ascii="Traditional Arabic" w:hAnsi="Traditional Arabic" w:cs="Traditional Arabic"/>
          <w:b/>
          <w:i/>
          <w:sz w:val="30"/>
          <w:szCs w:val="30"/>
          <w:lang w:val="en-GB" w:bidi="ar-OM"/>
        </w:rPr>
      </w:pPr>
      <w:r w:rsidRPr="00EB5BCF">
        <w:rPr>
          <w:rFonts w:ascii="Traditional Arabic" w:hAnsi="Traditional Arabic" w:cs="Traditional Arabic"/>
          <w:b/>
          <w:i/>
          <w:sz w:val="30"/>
          <w:szCs w:val="30"/>
          <w:rtl/>
          <w:lang w:val="en-GB" w:bidi="ar-OM"/>
        </w:rPr>
        <w:t>مقدمٌ فقط للأشخاص "المعتمدين" أو "الجهات المعترف بها" (</w:t>
      </w:r>
      <w:r w:rsidR="00CC49F8" w:rsidRPr="00EB5BCF">
        <w:rPr>
          <w:rFonts w:ascii="Traditional Arabic" w:hAnsi="Traditional Arabic" w:cs="Traditional Arabic"/>
          <w:b/>
          <w:i/>
          <w:sz w:val="30"/>
          <w:szCs w:val="30"/>
          <w:rtl/>
          <w:lang w:val="en-GB" w:bidi="ar-OM"/>
        </w:rPr>
        <w:t xml:space="preserve">بحسب التعريف المحدد في </w:t>
      </w:r>
      <w:r w:rsidR="0083344A" w:rsidRPr="00EB5BCF">
        <w:rPr>
          <w:rFonts w:ascii="Traditional Arabic" w:hAnsi="Traditional Arabic" w:cs="Traditional Arabic"/>
          <w:b/>
          <w:i/>
          <w:sz w:val="30"/>
          <w:szCs w:val="30"/>
          <w:rtl/>
          <w:lang w:val="en-GB" w:bidi="ar-OM"/>
        </w:rPr>
        <w:t>لائحة</w:t>
      </w:r>
      <w:r w:rsidR="00CC49F8" w:rsidRPr="00EB5BCF">
        <w:rPr>
          <w:rFonts w:ascii="Traditional Arabic" w:hAnsi="Traditional Arabic" w:cs="Traditional Arabic"/>
          <w:b/>
          <w:i/>
          <w:sz w:val="30"/>
          <w:szCs w:val="30"/>
          <w:rtl/>
          <w:lang w:val="en-GB" w:bidi="ar-OM"/>
        </w:rPr>
        <w:t xml:space="preserve"> الخدمات والأسواق المالية)</w:t>
      </w:r>
      <w:r w:rsidR="003C5E4B" w:rsidRPr="00EB5BCF">
        <w:rPr>
          <w:rFonts w:ascii="Traditional Arabic" w:hAnsi="Traditional Arabic" w:cs="Traditional Arabic"/>
          <w:b/>
          <w:i/>
          <w:sz w:val="30"/>
          <w:szCs w:val="30"/>
          <w:rtl/>
          <w:lang w:val="en-GB" w:bidi="ar-OM"/>
        </w:rPr>
        <w:t xml:space="preserve"> </w:t>
      </w:r>
      <w:r w:rsidR="00692B88" w:rsidRPr="00EB5BCF">
        <w:rPr>
          <w:rFonts w:ascii="Traditional Arabic" w:hAnsi="Traditional Arabic" w:cs="Traditional Arabic"/>
          <w:b/>
          <w:sz w:val="30"/>
          <w:szCs w:val="30"/>
          <w:rtl/>
          <w:lang w:val="en-GB" w:bidi="ar-EG"/>
        </w:rPr>
        <w:t xml:space="preserve">أو الأشخاص المسموح لهم بتلقي هذه الدعوة والمستند المرافق والطرح للمشاركة في نشاط استثماري (في حدود المعنى المذكور في القسم </w:t>
      </w:r>
      <w:r w:rsidR="003137F2" w:rsidRPr="00EB5BCF">
        <w:rPr>
          <w:rFonts w:ascii="Traditional Arabic" w:hAnsi="Traditional Arabic" w:cs="Traditional Arabic"/>
          <w:b/>
          <w:sz w:val="30"/>
          <w:szCs w:val="30"/>
          <w:rtl/>
          <w:lang w:val="en-GB" w:bidi="ar-EG"/>
        </w:rPr>
        <w:t>18</w:t>
      </w:r>
      <w:r w:rsidR="00692B88" w:rsidRPr="00EB5BCF">
        <w:rPr>
          <w:rFonts w:ascii="Traditional Arabic" w:hAnsi="Traditional Arabic" w:cs="Traditional Arabic"/>
          <w:b/>
          <w:sz w:val="30"/>
          <w:szCs w:val="30"/>
          <w:rtl/>
          <w:lang w:val="en-GB" w:bidi="ar-EG"/>
        </w:rPr>
        <w:t xml:space="preserve"> من </w:t>
      </w:r>
      <w:r w:rsidR="003137F2" w:rsidRPr="00EB5BCF">
        <w:rPr>
          <w:rFonts w:ascii="Traditional Arabic" w:hAnsi="Traditional Arabic" w:cs="Traditional Arabic"/>
          <w:b/>
          <w:sz w:val="30"/>
          <w:szCs w:val="30"/>
          <w:rtl/>
          <w:lang w:val="en-GB" w:bidi="ar-EG"/>
        </w:rPr>
        <w:t>لائحة</w:t>
      </w:r>
      <w:r w:rsidR="00692B88" w:rsidRPr="00EB5BCF">
        <w:rPr>
          <w:rFonts w:ascii="Traditional Arabic" w:hAnsi="Traditional Arabic" w:cs="Traditional Arabic"/>
          <w:b/>
          <w:sz w:val="30"/>
          <w:szCs w:val="30"/>
          <w:rtl/>
          <w:lang w:val="en-GB" w:bidi="ar-EG"/>
        </w:rPr>
        <w:t xml:space="preserve"> الخدمات والأسواق المالية)</w:t>
      </w:r>
      <w:r w:rsidR="003137F2" w:rsidRPr="00EB5BCF">
        <w:rPr>
          <w:rFonts w:ascii="Traditional Arabic" w:hAnsi="Traditional Arabic" w:cs="Traditional Arabic"/>
          <w:b/>
          <w:i/>
          <w:sz w:val="30"/>
          <w:szCs w:val="30"/>
          <w:rtl/>
          <w:lang w:val="en-GB" w:bidi="ar-OM"/>
        </w:rPr>
        <w:t>.</w:t>
      </w:r>
    </w:p>
    <w:p w14:paraId="1924238C" w14:textId="77777777" w:rsidR="00CD5CD6" w:rsidRPr="00EB5BCF" w:rsidRDefault="00CD5CD6" w:rsidP="008252E9">
      <w:pPr>
        <w:keepNext/>
        <w:bidi/>
        <w:jc w:val="both"/>
        <w:rPr>
          <w:rFonts w:ascii="Traditional Arabic" w:hAnsi="Traditional Arabic" w:cs="Traditional Arabic"/>
          <w:b/>
          <w:i/>
          <w:sz w:val="30"/>
          <w:szCs w:val="30"/>
          <w:rtl/>
          <w:lang w:val="en-GB" w:bidi="ar-OM"/>
        </w:rPr>
      </w:pPr>
    </w:p>
    <w:p w14:paraId="1A747EE3" w14:textId="77777777" w:rsidR="0097425E" w:rsidRPr="00EB5BCF" w:rsidRDefault="0097425E" w:rsidP="00CD5CD6">
      <w:pPr>
        <w:keepNext/>
        <w:bidi/>
        <w:jc w:val="both"/>
        <w:rPr>
          <w:rFonts w:ascii="Traditional Arabic" w:hAnsi="Traditional Arabic" w:cs="Traditional Arabic"/>
          <w:b/>
          <w:i/>
          <w:sz w:val="30"/>
          <w:szCs w:val="30"/>
          <w:rtl/>
          <w:lang w:val="en-GB" w:bidi="ar-OM"/>
        </w:rPr>
      </w:pPr>
      <w:r w:rsidRPr="00EB5BCF">
        <w:rPr>
          <w:rFonts w:ascii="Traditional Arabic" w:hAnsi="Traditional Arabic" w:cs="Traditional Arabic"/>
          <w:b/>
          <w:i/>
          <w:sz w:val="30"/>
          <w:szCs w:val="30"/>
          <w:rtl/>
          <w:lang w:val="en-GB" w:bidi="ar-OM"/>
        </w:rPr>
        <w:t>لم تتخذ هيئة تنظيم الخدمات المالية أي خطوات تجاه التحقق من المعلومات الواردة في هذه النشرة ول</w:t>
      </w:r>
      <w:r w:rsidR="005F18AE" w:rsidRPr="00EB5BCF">
        <w:rPr>
          <w:rFonts w:ascii="Traditional Arabic" w:hAnsi="Traditional Arabic" w:cs="Traditional Arabic"/>
          <w:b/>
          <w:i/>
          <w:sz w:val="30"/>
          <w:szCs w:val="30"/>
          <w:rtl/>
          <w:lang w:val="en-GB" w:bidi="ar-OM"/>
        </w:rPr>
        <w:t>ن</w:t>
      </w:r>
      <w:r w:rsidRPr="00EB5BCF">
        <w:rPr>
          <w:rFonts w:ascii="Traditional Arabic" w:hAnsi="Traditional Arabic" w:cs="Traditional Arabic"/>
          <w:b/>
          <w:i/>
          <w:sz w:val="30"/>
          <w:szCs w:val="30"/>
          <w:rtl/>
          <w:lang w:val="en-GB" w:bidi="ar-OM"/>
        </w:rPr>
        <w:t xml:space="preserve"> تتحمل أي مسؤولية تجاهها.</w:t>
      </w:r>
      <w:r w:rsidR="005F18AE" w:rsidRPr="00EB5BCF">
        <w:rPr>
          <w:rFonts w:ascii="Traditional Arabic" w:hAnsi="Traditional Arabic" w:cs="Traditional Arabic"/>
          <w:b/>
          <w:i/>
          <w:sz w:val="30"/>
          <w:szCs w:val="30"/>
          <w:rtl/>
          <w:lang w:val="en-GB" w:bidi="ar-OM"/>
        </w:rPr>
        <w:t xml:space="preserve"> </w:t>
      </w:r>
      <w:r w:rsidR="00A03416" w:rsidRPr="00EB5BCF">
        <w:rPr>
          <w:rFonts w:ascii="Traditional Arabic" w:hAnsi="Traditional Arabic" w:cs="Traditional Arabic"/>
          <w:b/>
          <w:i/>
          <w:sz w:val="30"/>
          <w:szCs w:val="30"/>
          <w:rtl/>
          <w:lang w:val="en-GB" w:bidi="ar-OM"/>
        </w:rPr>
        <w:t>و</w:t>
      </w:r>
      <w:r w:rsidR="005F18AE" w:rsidRPr="00EB5BCF">
        <w:rPr>
          <w:rFonts w:ascii="Traditional Arabic" w:hAnsi="Traditional Arabic" w:cs="Traditional Arabic"/>
          <w:b/>
          <w:i/>
          <w:sz w:val="30"/>
          <w:szCs w:val="30"/>
          <w:rtl/>
          <w:lang w:val="en-GB" w:bidi="ar-OM"/>
        </w:rPr>
        <w:t xml:space="preserve">إذا لم تكن تفهم </w:t>
      </w:r>
      <w:r w:rsidR="00753DC4" w:rsidRPr="00EB5BCF">
        <w:rPr>
          <w:rFonts w:ascii="Traditional Arabic" w:hAnsi="Traditional Arabic" w:cs="Traditional Arabic"/>
          <w:b/>
          <w:i/>
          <w:sz w:val="30"/>
          <w:szCs w:val="30"/>
          <w:rtl/>
          <w:lang w:val="en-GB" w:bidi="ar-OM"/>
        </w:rPr>
        <w:t>محتوى هذا الطرح ولا تعلم إذا كانت الأوراق المالية المطروحة تناسب أهدافك الاستثمارية وظروفك من عدمه فينبغي لك مراجعة مستشار مالي معتمد.</w:t>
      </w:r>
    </w:p>
    <w:p w14:paraId="023499D1" w14:textId="77777777" w:rsidR="002B0EB1" w:rsidRPr="00EB5BCF" w:rsidRDefault="002B0EB1" w:rsidP="002B0EB1">
      <w:pPr>
        <w:keepNext/>
        <w:bidi/>
        <w:jc w:val="both"/>
        <w:rPr>
          <w:rFonts w:ascii="Traditional Arabic" w:hAnsi="Traditional Arabic" w:cs="Traditional Arabic"/>
          <w:i/>
          <w:sz w:val="30"/>
          <w:szCs w:val="30"/>
          <w:rtl/>
          <w:lang w:val="en-GB" w:bidi="ar-OM"/>
        </w:rPr>
      </w:pPr>
    </w:p>
    <w:p w14:paraId="36FDA81D" w14:textId="77777777" w:rsidR="00AB3D50" w:rsidRPr="00EB5BCF" w:rsidRDefault="00AB3D50" w:rsidP="002B0EB1">
      <w:pPr>
        <w:keepNext/>
        <w:bidi/>
        <w:jc w:val="both"/>
        <w:rPr>
          <w:rFonts w:ascii="Traditional Arabic" w:hAnsi="Traditional Arabic" w:cs="Traditional Arabic"/>
          <w:b/>
          <w:iCs/>
          <w:sz w:val="30"/>
          <w:szCs w:val="30"/>
          <w:rtl/>
          <w:lang w:val="en-GB"/>
        </w:rPr>
      </w:pPr>
      <w:r w:rsidRPr="00EB5BCF">
        <w:rPr>
          <w:rFonts w:ascii="Traditional Arabic" w:hAnsi="Traditional Arabic" w:cs="Traditional Arabic"/>
          <w:b/>
          <w:bCs/>
          <w:iCs/>
          <w:sz w:val="30"/>
          <w:szCs w:val="30"/>
          <w:rtl/>
          <w:lang w:val="en-GB"/>
        </w:rPr>
        <w:t>مركز دبي المالي العالمي</w:t>
      </w:r>
    </w:p>
    <w:p w14:paraId="3C273B6D" w14:textId="77777777" w:rsidR="00967FB9" w:rsidRPr="00EB5BCF" w:rsidRDefault="0084103D" w:rsidP="00967FB9">
      <w:pPr>
        <w:keepNext/>
        <w:bidi/>
        <w:jc w:val="both"/>
        <w:rPr>
          <w:rFonts w:ascii="Traditional Arabic" w:hAnsi="Traditional Arabic" w:cs="Traditional Arabic"/>
          <w:b/>
          <w:i/>
          <w:sz w:val="30"/>
          <w:szCs w:val="30"/>
          <w:rtl/>
          <w:lang w:val="en-GB" w:bidi="ar-OM"/>
        </w:rPr>
      </w:pPr>
      <w:r w:rsidRPr="00EB5BCF">
        <w:rPr>
          <w:rFonts w:ascii="Traditional Arabic" w:hAnsi="Traditional Arabic" w:cs="Traditional Arabic"/>
          <w:i/>
          <w:sz w:val="30"/>
          <w:szCs w:val="30"/>
          <w:rtl/>
          <w:lang w:val="en-GB"/>
        </w:rPr>
        <w:t xml:space="preserve">لا تخضع </w:t>
      </w:r>
      <w:r w:rsidR="00967FB9" w:rsidRPr="00EB5BCF">
        <w:rPr>
          <w:rFonts w:ascii="Traditional Arabic" w:hAnsi="Traditional Arabic" w:cs="Traditional Arabic"/>
          <w:i/>
          <w:sz w:val="30"/>
          <w:szCs w:val="30"/>
          <w:rtl/>
          <w:lang w:val="en-GB"/>
        </w:rPr>
        <w:t xml:space="preserve">هذه </w:t>
      </w:r>
      <w:r w:rsidRPr="00EB5BCF">
        <w:rPr>
          <w:rFonts w:ascii="Traditional Arabic" w:hAnsi="Traditional Arabic" w:cs="Traditional Arabic"/>
          <w:i/>
          <w:sz w:val="30"/>
          <w:szCs w:val="30"/>
          <w:rtl/>
          <w:lang w:val="en-GB"/>
        </w:rPr>
        <w:t>ال</w:t>
      </w:r>
      <w:r w:rsidR="00967FB9" w:rsidRPr="00EB5BCF">
        <w:rPr>
          <w:rFonts w:ascii="Traditional Arabic" w:hAnsi="Traditional Arabic" w:cs="Traditional Arabic"/>
          <w:i/>
          <w:sz w:val="30"/>
          <w:szCs w:val="30"/>
          <w:rtl/>
          <w:lang w:val="en-GB"/>
        </w:rPr>
        <w:t xml:space="preserve">نشرة لأي تنظيم أو موافقة من </w:t>
      </w:r>
      <w:r w:rsidR="000A01B9" w:rsidRPr="00EB5BCF">
        <w:rPr>
          <w:rFonts w:ascii="Traditional Arabic" w:hAnsi="Traditional Arabic" w:cs="Traditional Arabic"/>
          <w:i/>
          <w:sz w:val="30"/>
          <w:szCs w:val="30"/>
          <w:rtl/>
          <w:lang w:val="en-GB"/>
        </w:rPr>
        <w:t>سلطة دبي</w:t>
      </w:r>
      <w:r w:rsidR="00967FB9" w:rsidRPr="00EB5BCF">
        <w:rPr>
          <w:rFonts w:ascii="Traditional Arabic" w:hAnsi="Traditional Arabic" w:cs="Traditional Arabic"/>
          <w:i/>
          <w:sz w:val="30"/>
          <w:szCs w:val="30"/>
          <w:rtl/>
          <w:lang w:val="en-GB"/>
        </w:rPr>
        <w:t xml:space="preserve"> </w:t>
      </w:r>
      <w:r w:rsidR="000A01B9" w:rsidRPr="00EB5BCF">
        <w:rPr>
          <w:rFonts w:ascii="Traditional Arabic" w:hAnsi="Traditional Arabic" w:cs="Traditional Arabic"/>
          <w:i/>
          <w:sz w:val="30"/>
          <w:szCs w:val="30"/>
          <w:rtl/>
          <w:lang w:val="en-GB"/>
        </w:rPr>
        <w:t>لل</w:t>
      </w:r>
      <w:r w:rsidR="00967FB9" w:rsidRPr="00EB5BCF">
        <w:rPr>
          <w:rFonts w:ascii="Traditional Arabic" w:hAnsi="Traditional Arabic" w:cs="Traditional Arabic"/>
          <w:i/>
          <w:sz w:val="30"/>
          <w:szCs w:val="30"/>
          <w:rtl/>
          <w:lang w:val="en-GB"/>
        </w:rPr>
        <w:t xml:space="preserve">خدمات المالية، وتجدر الإشارة إلى أن هذه النشرة لم يتم اعتمادها من </w:t>
      </w:r>
      <w:r w:rsidR="000A01B9" w:rsidRPr="00EB5BCF">
        <w:rPr>
          <w:rFonts w:ascii="Traditional Arabic" w:hAnsi="Traditional Arabic" w:cs="Traditional Arabic"/>
          <w:i/>
          <w:sz w:val="30"/>
          <w:szCs w:val="30"/>
          <w:rtl/>
          <w:lang w:val="en-GB"/>
        </w:rPr>
        <w:t xml:space="preserve">سلطة دبي للخدمات المالية </w:t>
      </w:r>
      <w:r w:rsidR="00967FB9" w:rsidRPr="00EB5BCF">
        <w:rPr>
          <w:rFonts w:ascii="Traditional Arabic" w:hAnsi="Traditional Arabic" w:cs="Traditional Arabic"/>
          <w:i/>
          <w:sz w:val="30"/>
          <w:szCs w:val="30"/>
          <w:rtl/>
          <w:lang w:val="en-GB"/>
        </w:rPr>
        <w:t xml:space="preserve">ولا يقع على عاتقها مسؤولية مراجعتها أو التحقق منها أو من أي مستند آخر يتعلق بهذا </w:t>
      </w:r>
      <w:r w:rsidR="00967FB9" w:rsidRPr="00EB5BCF">
        <w:rPr>
          <w:rFonts w:ascii="Traditional Arabic" w:hAnsi="Traditional Arabic" w:cs="Traditional Arabic"/>
          <w:i/>
          <w:sz w:val="30"/>
          <w:szCs w:val="30"/>
          <w:rtl/>
          <w:lang w:val="en-GB"/>
        </w:rPr>
        <w:lastRenderedPageBreak/>
        <w:t>لطرح؛ ف</w:t>
      </w:r>
      <w:r w:rsidR="00967FB9" w:rsidRPr="00EB5BCF">
        <w:rPr>
          <w:rFonts w:ascii="Traditional Arabic" w:hAnsi="Traditional Arabic" w:cs="Traditional Arabic"/>
          <w:b/>
          <w:i/>
          <w:sz w:val="30"/>
          <w:szCs w:val="30"/>
          <w:rtl/>
          <w:lang w:val="en-GB" w:bidi="ar-OM"/>
        </w:rPr>
        <w:t>لم تقم باعتماد طرح الأسهم ولا هذه النشرة، ولم تتخذ أي خطوات تجاه التحقق من المعلومات الواردة فيها ولن تتحمل أي مسؤولية تجاهها.</w:t>
      </w:r>
    </w:p>
    <w:p w14:paraId="481F9BBD" w14:textId="77777777" w:rsidR="00967FB9" w:rsidRPr="00EB5BCF" w:rsidRDefault="00967FB9" w:rsidP="00967FB9">
      <w:pPr>
        <w:keepNext/>
        <w:bidi/>
        <w:jc w:val="both"/>
        <w:rPr>
          <w:rFonts w:ascii="Traditional Arabic" w:hAnsi="Traditional Arabic" w:cs="Traditional Arabic"/>
          <w:b/>
          <w:i/>
          <w:sz w:val="30"/>
          <w:szCs w:val="30"/>
          <w:rtl/>
          <w:lang w:val="en-GB" w:bidi="ar-OM"/>
        </w:rPr>
      </w:pPr>
    </w:p>
    <w:p w14:paraId="7FA68503" w14:textId="77777777" w:rsidR="00967FB9" w:rsidRPr="00EB5BCF" w:rsidRDefault="00967FB9" w:rsidP="00967FB9">
      <w:pPr>
        <w:keepNext/>
        <w:bidi/>
        <w:jc w:val="both"/>
        <w:rPr>
          <w:rFonts w:ascii="Traditional Arabic" w:hAnsi="Traditional Arabic" w:cs="Traditional Arabic"/>
          <w:b/>
          <w:i/>
          <w:sz w:val="30"/>
          <w:szCs w:val="30"/>
          <w:rtl/>
          <w:lang w:val="en-GB" w:bidi="ar-OM"/>
        </w:rPr>
      </w:pPr>
      <w:r w:rsidRPr="00EB5BCF">
        <w:rPr>
          <w:rFonts w:ascii="Traditional Arabic" w:hAnsi="Traditional Arabic" w:cs="Traditional Arabic"/>
          <w:b/>
          <w:i/>
          <w:sz w:val="30"/>
          <w:szCs w:val="30"/>
          <w:rtl/>
          <w:lang w:val="en-GB" w:bidi="ar-OM"/>
        </w:rPr>
        <w:t xml:space="preserve">لم يتم عرض الأسهم ولن يتم عرضها على أي شخص في </w:t>
      </w:r>
      <w:r w:rsidR="000A01B9" w:rsidRPr="00EB5BCF">
        <w:rPr>
          <w:rFonts w:ascii="Traditional Arabic" w:hAnsi="Traditional Arabic" w:cs="Traditional Arabic"/>
          <w:i/>
          <w:sz w:val="30"/>
          <w:szCs w:val="30"/>
          <w:rtl/>
          <w:lang w:val="en-GB"/>
        </w:rPr>
        <w:t>سلطة دبي للخدمات المالية</w:t>
      </w:r>
      <w:r w:rsidR="000A01B9" w:rsidRPr="00EB5BCF">
        <w:rPr>
          <w:rFonts w:ascii="Traditional Arabic" w:hAnsi="Traditional Arabic" w:cs="Traditional Arabic"/>
          <w:b/>
          <w:i/>
          <w:sz w:val="30"/>
          <w:szCs w:val="30"/>
          <w:rtl/>
          <w:lang w:val="en-GB" w:bidi="ar-OM"/>
        </w:rPr>
        <w:t xml:space="preserve"> </w:t>
      </w:r>
      <w:r w:rsidRPr="00EB5BCF">
        <w:rPr>
          <w:rFonts w:ascii="Traditional Arabic" w:hAnsi="Traditional Arabic" w:cs="Traditional Arabic"/>
          <w:b/>
          <w:i/>
          <w:sz w:val="30"/>
          <w:szCs w:val="30"/>
          <w:rtl/>
          <w:lang w:val="en-GB" w:bidi="ar-OM"/>
        </w:rPr>
        <w:t>باستثناء أن يكون العرض:</w:t>
      </w:r>
    </w:p>
    <w:p w14:paraId="3249BEC0" w14:textId="77777777" w:rsidR="00967FB9" w:rsidRPr="00EB5BCF" w:rsidRDefault="00967FB9" w:rsidP="00922116">
      <w:pPr>
        <w:pStyle w:val="ListParagraph"/>
        <w:keepNext/>
        <w:numPr>
          <w:ilvl w:val="0"/>
          <w:numId w:val="29"/>
        </w:numPr>
        <w:bidi/>
        <w:jc w:val="both"/>
        <w:rPr>
          <w:rFonts w:ascii="Traditional Arabic" w:hAnsi="Traditional Arabic" w:cs="Traditional Arabic"/>
          <w:b/>
          <w:i/>
          <w:sz w:val="30"/>
          <w:szCs w:val="30"/>
          <w:lang w:val="en-GB" w:bidi="ar-OM"/>
        </w:rPr>
      </w:pPr>
      <w:r w:rsidRPr="00EB5BCF">
        <w:rPr>
          <w:rFonts w:ascii="Traditional Arabic" w:hAnsi="Traditional Arabic" w:cs="Traditional Arabic"/>
          <w:b/>
          <w:i/>
          <w:sz w:val="30"/>
          <w:szCs w:val="30"/>
          <w:rtl/>
          <w:lang w:val="en-GB" w:bidi="ar-OM"/>
        </w:rPr>
        <w:t>"عرض مستثنى" وفق قواعد السوق الخاصة ب</w:t>
      </w:r>
      <w:r w:rsidR="00D02A67" w:rsidRPr="00EB5BCF">
        <w:rPr>
          <w:rFonts w:ascii="Traditional Arabic" w:hAnsi="Traditional Arabic" w:cs="Traditional Arabic"/>
          <w:i/>
          <w:sz w:val="30"/>
          <w:szCs w:val="30"/>
          <w:rtl/>
          <w:lang w:val="en-GB"/>
        </w:rPr>
        <w:t>سلطة دبي للخدمات المالية</w:t>
      </w:r>
      <w:r w:rsidRPr="00EB5BCF">
        <w:rPr>
          <w:rFonts w:ascii="Traditional Arabic" w:hAnsi="Traditional Arabic" w:cs="Traditional Arabic"/>
          <w:b/>
          <w:i/>
          <w:sz w:val="30"/>
          <w:szCs w:val="30"/>
          <w:rtl/>
          <w:lang w:val="en-GB" w:bidi="ar-OM"/>
        </w:rPr>
        <w:t>.</w:t>
      </w:r>
    </w:p>
    <w:p w14:paraId="52278C90" w14:textId="77777777" w:rsidR="009D2D8C" w:rsidRPr="00EB5BCF" w:rsidRDefault="00967FB9" w:rsidP="00922116">
      <w:pPr>
        <w:pStyle w:val="ListParagraph"/>
        <w:keepNext/>
        <w:numPr>
          <w:ilvl w:val="0"/>
          <w:numId w:val="29"/>
        </w:numPr>
        <w:bidi/>
        <w:jc w:val="both"/>
        <w:rPr>
          <w:rFonts w:ascii="Traditional Arabic" w:hAnsi="Traditional Arabic" w:cs="Traditional Arabic"/>
          <w:b/>
          <w:i/>
          <w:sz w:val="30"/>
          <w:szCs w:val="30"/>
          <w:lang w:val="en-GB" w:bidi="ar-OM"/>
        </w:rPr>
      </w:pPr>
      <w:r w:rsidRPr="00EB5BCF">
        <w:rPr>
          <w:rFonts w:ascii="Traditional Arabic" w:hAnsi="Traditional Arabic" w:cs="Traditional Arabic"/>
          <w:b/>
          <w:i/>
          <w:sz w:val="30"/>
          <w:szCs w:val="30"/>
          <w:rtl/>
          <w:lang w:val="en-GB" w:bidi="ar-OM"/>
        </w:rPr>
        <w:t xml:space="preserve">مقدمٌ فقط </w:t>
      </w:r>
      <w:r w:rsidR="007A5A5B" w:rsidRPr="00EB5BCF">
        <w:rPr>
          <w:rFonts w:ascii="Traditional Arabic" w:hAnsi="Traditional Arabic" w:cs="Traditional Arabic"/>
          <w:b/>
          <w:i/>
          <w:sz w:val="30"/>
          <w:szCs w:val="30"/>
          <w:rtl/>
          <w:lang w:val="en-GB" w:bidi="ar-OM"/>
        </w:rPr>
        <w:t>"للعملاء المهنيين</w:t>
      </w:r>
      <w:r w:rsidR="009D2D8C" w:rsidRPr="00EB5BCF">
        <w:rPr>
          <w:rFonts w:ascii="Traditional Arabic" w:hAnsi="Traditional Arabic" w:cs="Traditional Arabic"/>
          <w:b/>
          <w:i/>
          <w:sz w:val="30"/>
          <w:szCs w:val="30"/>
          <w:rtl/>
          <w:lang w:val="en-GB" w:bidi="ar-OM"/>
        </w:rPr>
        <w:t xml:space="preserve"> </w:t>
      </w:r>
      <w:r w:rsidR="00E4350C" w:rsidRPr="00EB5BCF">
        <w:rPr>
          <w:rFonts w:ascii="Traditional Arabic" w:hAnsi="Traditional Arabic" w:cs="Traditional Arabic"/>
          <w:b/>
          <w:i/>
          <w:sz w:val="30"/>
          <w:szCs w:val="30"/>
          <w:rtl/>
          <w:lang w:val="en-GB" w:bidi="ar-OM"/>
        </w:rPr>
        <w:t>الاعتباريين فقط</w:t>
      </w:r>
      <w:r w:rsidR="007A5A5B" w:rsidRPr="00EB5BCF">
        <w:rPr>
          <w:rFonts w:ascii="Traditional Arabic" w:hAnsi="Traditional Arabic" w:cs="Traditional Arabic"/>
          <w:b/>
          <w:i/>
          <w:sz w:val="30"/>
          <w:szCs w:val="30"/>
          <w:rtl/>
          <w:lang w:val="en-GB" w:bidi="ar-OM"/>
        </w:rPr>
        <w:t>"</w:t>
      </w:r>
      <w:r w:rsidR="00C070D1" w:rsidRPr="00EB5BCF">
        <w:rPr>
          <w:rFonts w:ascii="Traditional Arabic" w:hAnsi="Traditional Arabic" w:cs="Traditional Arabic"/>
          <w:b/>
          <w:sz w:val="30"/>
          <w:szCs w:val="30"/>
          <w:rtl/>
          <w:lang w:val="en-GB" w:bidi="ar-EG"/>
        </w:rPr>
        <w:t xml:space="preserve"> الذين يستوفون المعايير المنصوص عليها في كتاب قواعد</w:t>
      </w:r>
      <w:r w:rsidR="009D2D8C" w:rsidRPr="00EB5BCF">
        <w:rPr>
          <w:rFonts w:ascii="Traditional Arabic" w:hAnsi="Traditional Arabic" w:cs="Traditional Arabic"/>
          <w:b/>
          <w:sz w:val="30"/>
          <w:szCs w:val="30"/>
          <w:rtl/>
          <w:lang w:val="en-GB" w:bidi="ar-EG"/>
        </w:rPr>
        <w:t xml:space="preserve"> سلطة دبي للخدمات المالية، ونموذج ممارسة الأعمال</w:t>
      </w:r>
      <w:r w:rsidR="00E4350C" w:rsidRPr="00EB5BCF">
        <w:rPr>
          <w:rFonts w:ascii="Traditional Arabic" w:hAnsi="Traditional Arabic" w:cs="Traditional Arabic"/>
          <w:b/>
          <w:sz w:val="30"/>
          <w:szCs w:val="30"/>
          <w:rtl/>
          <w:lang w:val="en-GB" w:bidi="ar-EG"/>
        </w:rPr>
        <w:t>.</w:t>
      </w:r>
    </w:p>
    <w:p w14:paraId="52484EB9" w14:textId="77777777" w:rsidR="00CD5CD6" w:rsidRPr="00EB5BCF" w:rsidRDefault="00CD5CD6" w:rsidP="00884639">
      <w:pPr>
        <w:keepNext/>
        <w:bidi/>
        <w:ind w:left="-360"/>
        <w:jc w:val="both"/>
        <w:rPr>
          <w:rFonts w:ascii="Traditional Arabic" w:hAnsi="Traditional Arabic" w:cs="Traditional Arabic"/>
          <w:b/>
          <w:i/>
          <w:sz w:val="30"/>
          <w:szCs w:val="30"/>
          <w:rtl/>
          <w:lang w:val="en-GB" w:bidi="ar-OM"/>
        </w:rPr>
      </w:pPr>
    </w:p>
    <w:p w14:paraId="3B00E3F4" w14:textId="77777777" w:rsidR="00884639" w:rsidRPr="00EB5BCF" w:rsidRDefault="00E4350C" w:rsidP="00CD5CD6">
      <w:pPr>
        <w:keepNext/>
        <w:bidi/>
        <w:ind w:left="-360"/>
        <w:jc w:val="both"/>
        <w:rPr>
          <w:rFonts w:ascii="Traditional Arabic" w:hAnsi="Traditional Arabic" w:cs="Traditional Arabic"/>
          <w:b/>
          <w:i/>
          <w:sz w:val="30"/>
          <w:szCs w:val="30"/>
          <w:rtl/>
          <w:lang w:val="en-GB" w:bidi="ar-OM"/>
        </w:rPr>
      </w:pPr>
      <w:r w:rsidRPr="00EB5BCF">
        <w:rPr>
          <w:rFonts w:ascii="Traditional Arabic" w:hAnsi="Traditional Arabic" w:cs="Traditional Arabic"/>
          <w:b/>
          <w:i/>
          <w:sz w:val="30"/>
          <w:szCs w:val="30"/>
          <w:rtl/>
          <w:lang w:val="en-GB" w:bidi="ar-OM"/>
        </w:rPr>
        <w:t>وبالتالي لا ينبغي لأي شخص آخر استلام هذه النشرة ولا الاعتماد عليها</w:t>
      </w:r>
      <w:r w:rsidR="00804DF8" w:rsidRPr="00EB5BCF">
        <w:rPr>
          <w:rFonts w:ascii="Traditional Arabic" w:hAnsi="Traditional Arabic" w:cs="Traditional Arabic"/>
          <w:b/>
          <w:i/>
          <w:sz w:val="30"/>
          <w:szCs w:val="30"/>
          <w:rtl/>
          <w:lang w:val="en-GB" w:bidi="ar-OM"/>
        </w:rPr>
        <w:t xml:space="preserve">، وقد تكون أسهم هذا الطرح غير سائلة أو قد تخضع لقيود عن إعادة بيعها، ومن ثم يجب على المستثمرين </w:t>
      </w:r>
      <w:r w:rsidR="00884639" w:rsidRPr="00EB5BCF">
        <w:rPr>
          <w:rFonts w:ascii="Traditional Arabic" w:hAnsi="Traditional Arabic" w:cs="Traditional Arabic"/>
          <w:b/>
          <w:i/>
          <w:sz w:val="30"/>
          <w:szCs w:val="30"/>
          <w:rtl/>
          <w:lang w:val="en-GB" w:bidi="ar-OM"/>
        </w:rPr>
        <w:t>البحث والتقصي جيدا</w:t>
      </w:r>
      <w:r w:rsidR="0084103D" w:rsidRPr="00EB5BCF">
        <w:rPr>
          <w:rFonts w:ascii="Traditional Arabic" w:hAnsi="Traditional Arabic" w:cs="Traditional Arabic"/>
          <w:b/>
          <w:i/>
          <w:sz w:val="30"/>
          <w:szCs w:val="30"/>
          <w:rtl/>
          <w:lang w:val="en-GB" w:bidi="ar-OM"/>
        </w:rPr>
        <w:t>ً</w:t>
      </w:r>
      <w:r w:rsidR="00884639" w:rsidRPr="00EB5BCF">
        <w:rPr>
          <w:rFonts w:ascii="Traditional Arabic" w:hAnsi="Traditional Arabic" w:cs="Traditional Arabic"/>
          <w:b/>
          <w:i/>
          <w:sz w:val="30"/>
          <w:szCs w:val="30"/>
          <w:rtl/>
          <w:lang w:val="en-GB" w:bidi="ar-OM"/>
        </w:rPr>
        <w:t>.</w:t>
      </w:r>
    </w:p>
    <w:p w14:paraId="2C35CBD4" w14:textId="77777777" w:rsidR="00884639" w:rsidRPr="00EB5BCF" w:rsidRDefault="00884639" w:rsidP="00884639">
      <w:pPr>
        <w:keepNext/>
        <w:bidi/>
        <w:ind w:left="-360"/>
        <w:jc w:val="both"/>
        <w:rPr>
          <w:rFonts w:ascii="Traditional Arabic" w:hAnsi="Traditional Arabic" w:cs="Traditional Arabic"/>
          <w:b/>
          <w:i/>
          <w:sz w:val="30"/>
          <w:szCs w:val="30"/>
          <w:rtl/>
          <w:lang w:val="en-GB" w:bidi="ar-OM"/>
        </w:rPr>
      </w:pPr>
    </w:p>
    <w:p w14:paraId="26D942BC" w14:textId="77777777" w:rsidR="007B6E3E" w:rsidRDefault="00967FB9" w:rsidP="007B6E3E">
      <w:pPr>
        <w:keepNext/>
        <w:bidi/>
        <w:ind w:left="-360"/>
        <w:jc w:val="both"/>
        <w:rPr>
          <w:rFonts w:ascii="Traditional Arabic" w:hAnsi="Traditional Arabic" w:cs="Traditional Arabic"/>
          <w:bCs/>
          <w:iCs/>
          <w:sz w:val="30"/>
          <w:szCs w:val="30"/>
          <w:rtl/>
          <w:lang w:val="en-GB" w:bidi="ar-OM"/>
        </w:rPr>
      </w:pPr>
      <w:r w:rsidRPr="00EB5BCF">
        <w:rPr>
          <w:rFonts w:ascii="Traditional Arabic" w:hAnsi="Traditional Arabic" w:cs="Traditional Arabic"/>
          <w:b/>
          <w:i/>
          <w:sz w:val="30"/>
          <w:szCs w:val="30"/>
          <w:rtl/>
          <w:lang w:val="en-GB" w:bidi="ar-OM"/>
        </w:rPr>
        <w:t xml:space="preserve">لم تتخذ </w:t>
      </w:r>
      <w:r w:rsidR="00884639" w:rsidRPr="00EB5BCF">
        <w:rPr>
          <w:rFonts w:ascii="Traditional Arabic" w:hAnsi="Traditional Arabic" w:cs="Traditional Arabic"/>
          <w:i/>
          <w:sz w:val="30"/>
          <w:szCs w:val="30"/>
          <w:rtl/>
          <w:lang w:val="en-GB"/>
        </w:rPr>
        <w:t>سلطة دبي للخدمات المالية</w:t>
      </w:r>
      <w:r w:rsidR="00884639" w:rsidRPr="00EB5BCF">
        <w:rPr>
          <w:rFonts w:ascii="Traditional Arabic" w:hAnsi="Traditional Arabic" w:cs="Traditional Arabic"/>
          <w:b/>
          <w:i/>
          <w:sz w:val="30"/>
          <w:szCs w:val="30"/>
          <w:rtl/>
          <w:lang w:val="en-GB" w:bidi="ar-OM"/>
        </w:rPr>
        <w:t xml:space="preserve"> </w:t>
      </w:r>
      <w:r w:rsidRPr="00EB5BCF">
        <w:rPr>
          <w:rFonts w:ascii="Traditional Arabic" w:hAnsi="Traditional Arabic" w:cs="Traditional Arabic"/>
          <w:b/>
          <w:i/>
          <w:sz w:val="30"/>
          <w:szCs w:val="30"/>
          <w:rtl/>
          <w:lang w:val="en-GB" w:bidi="ar-OM"/>
        </w:rPr>
        <w:t>أي خطوات تجاه التحقق من المعلومات الواردة في هذه النشرة ولن تتحمل أي مسؤولية تجاهها. إذا لم تكن تفهم محتوى هذا الطرح ولا تعلم إذا كانت الأوراق المالية المطروحة تناسب أهدافك الاستثمارية وظروفك من عدمه فينبغي لك مراجعة مستشار مالي معتمد.</w:t>
      </w:r>
    </w:p>
    <w:p w14:paraId="77E1DB0B" w14:textId="77777777" w:rsidR="007B6E3E" w:rsidRDefault="007B6E3E" w:rsidP="007B6E3E">
      <w:pPr>
        <w:keepNext/>
        <w:bidi/>
        <w:ind w:left="-360"/>
        <w:jc w:val="both"/>
        <w:rPr>
          <w:rFonts w:ascii="Traditional Arabic" w:hAnsi="Traditional Arabic" w:cs="Traditional Arabic"/>
          <w:bCs/>
          <w:iCs/>
          <w:sz w:val="30"/>
          <w:szCs w:val="30"/>
          <w:rtl/>
          <w:lang w:val="en-GB" w:bidi="ar-OM"/>
        </w:rPr>
      </w:pPr>
    </w:p>
    <w:p w14:paraId="2E9D3068" w14:textId="77777777" w:rsidR="007B6E3E" w:rsidRDefault="007B6E3E" w:rsidP="007B6E3E">
      <w:pPr>
        <w:keepNext/>
        <w:bidi/>
        <w:ind w:left="-360"/>
        <w:jc w:val="both"/>
        <w:rPr>
          <w:rFonts w:ascii="Traditional Arabic" w:hAnsi="Traditional Arabic" w:cs="Traditional Arabic"/>
          <w:bCs/>
          <w:iCs/>
          <w:sz w:val="30"/>
          <w:szCs w:val="30"/>
          <w:rtl/>
          <w:lang w:val="en-GB" w:bidi="ar-OM"/>
        </w:rPr>
      </w:pPr>
      <w:r w:rsidRPr="00C73B2D">
        <w:rPr>
          <w:rFonts w:ascii="Traditional Arabic" w:hAnsi="Traditional Arabic" w:cs="Traditional Arabic"/>
          <w:b/>
          <w:bCs/>
          <w:sz w:val="30"/>
          <w:szCs w:val="30"/>
          <w:rtl/>
        </w:rPr>
        <w:t>المملكة العربية السعودية</w:t>
      </w:r>
    </w:p>
    <w:p w14:paraId="5F56BF8D" w14:textId="77777777" w:rsidR="007B6E3E" w:rsidRDefault="007B6E3E" w:rsidP="007B6E3E">
      <w:pPr>
        <w:keepNext/>
        <w:bidi/>
        <w:ind w:left="-360"/>
        <w:jc w:val="both"/>
        <w:rPr>
          <w:rFonts w:ascii="Traditional Arabic" w:hAnsi="Traditional Arabic" w:cs="Traditional Arabic"/>
          <w:bCs/>
          <w:iCs/>
          <w:sz w:val="30"/>
          <w:szCs w:val="30"/>
          <w:rtl/>
          <w:lang w:val="en-GB"/>
        </w:rPr>
      </w:pPr>
      <w:r w:rsidRPr="00C73B2D">
        <w:rPr>
          <w:rFonts w:ascii="Traditional Arabic" w:hAnsi="Traditional Arabic" w:cs="Traditional Arabic"/>
          <w:sz w:val="30"/>
          <w:szCs w:val="30"/>
          <w:rtl/>
        </w:rPr>
        <w:t>لا يجوز توزيع نشرة الإصدار هذه في المملكة العربية السعودية إلا للأشخاص المصرح لهم بموجب لائحة طرح الأوراق المالية والالتزامات المستمرة الصادرة عن هيئة السوق المالية بالمملكة</w:t>
      </w:r>
      <w:r w:rsidR="00E16994">
        <w:rPr>
          <w:rFonts w:ascii="Traditional Arabic" w:hAnsi="Traditional Arabic" w:cs="Traditional Arabic" w:hint="cs"/>
          <w:sz w:val="30"/>
          <w:szCs w:val="30"/>
          <w:rtl/>
        </w:rPr>
        <w:t>.</w:t>
      </w:r>
    </w:p>
    <w:p w14:paraId="1DFF5FCA" w14:textId="77777777" w:rsidR="007B6E3E" w:rsidRDefault="007B6E3E" w:rsidP="007B6E3E">
      <w:pPr>
        <w:keepNext/>
        <w:bidi/>
        <w:ind w:left="-360"/>
        <w:jc w:val="both"/>
        <w:rPr>
          <w:rFonts w:ascii="Traditional Arabic" w:hAnsi="Traditional Arabic" w:cs="Traditional Arabic"/>
          <w:bCs/>
          <w:iCs/>
          <w:sz w:val="30"/>
          <w:szCs w:val="30"/>
          <w:rtl/>
          <w:lang w:val="en-GB"/>
        </w:rPr>
      </w:pPr>
    </w:p>
    <w:p w14:paraId="690A7A82" w14:textId="77777777" w:rsidR="007B6E3E" w:rsidRDefault="007B6E3E" w:rsidP="007B6E3E">
      <w:pPr>
        <w:keepNext/>
        <w:bidi/>
        <w:ind w:left="-360"/>
        <w:jc w:val="both"/>
        <w:rPr>
          <w:rFonts w:ascii="Traditional Arabic" w:hAnsi="Traditional Arabic" w:cs="Traditional Arabic"/>
          <w:bCs/>
          <w:iCs/>
          <w:sz w:val="30"/>
          <w:szCs w:val="30"/>
          <w:rtl/>
          <w:lang w:val="en-GB" w:bidi="ar-OM"/>
        </w:rPr>
      </w:pPr>
      <w:r w:rsidRPr="00C73B2D">
        <w:rPr>
          <w:rFonts w:ascii="Traditional Arabic" w:hAnsi="Traditional Arabic" w:cs="Traditional Arabic"/>
          <w:sz w:val="30"/>
          <w:szCs w:val="30"/>
          <w:rtl/>
        </w:rPr>
        <w:t xml:space="preserve">لم تقدم هيئة السوق المالية في المملكة العربية السعودية أي بيان يتعلق بدقة هذا المستند أو كفايته. ولهذا، فإن هيئة السوق المالية تؤكد عدم تحملها أي خسارة ناتجة عن الاعتماد على أي جزء من هذه النشرة. وعليه، يجب على المستثمرين المحتملين الراغبين في </w:t>
      </w:r>
      <w:r w:rsidRPr="00C73B2D">
        <w:rPr>
          <w:rFonts w:ascii="Traditional Arabic" w:hAnsi="Traditional Arabic" w:cs="Traditional Arabic"/>
          <w:sz w:val="30"/>
          <w:szCs w:val="30"/>
          <w:rtl/>
        </w:rPr>
        <w:lastRenderedPageBreak/>
        <w:t>شراء الأوراق المالية المطروحة بموجب هذا المستند التحري والتأكد بشكل خاص عن مدى صحة المعلومات المتعلقة بالأوراق المالية محل الاكتتاب. وفي حال عدم فهم محتويات هذا المستند، يجب استشارة مستشار مالي معتمد</w:t>
      </w:r>
      <w:r w:rsidRPr="00C73B2D">
        <w:rPr>
          <w:rFonts w:ascii="Traditional Arabic" w:hAnsi="Traditional Arabic" w:cs="Traditional Arabic"/>
          <w:sz w:val="30"/>
          <w:szCs w:val="30"/>
          <w:lang w:val="en-GB"/>
        </w:rPr>
        <w:t>.</w:t>
      </w:r>
    </w:p>
    <w:p w14:paraId="520ABAEC" w14:textId="77777777" w:rsidR="007B6E3E" w:rsidRDefault="007B6E3E" w:rsidP="007B6E3E">
      <w:pPr>
        <w:keepNext/>
        <w:bidi/>
        <w:ind w:left="-360"/>
        <w:jc w:val="both"/>
        <w:rPr>
          <w:rFonts w:ascii="Traditional Arabic" w:hAnsi="Traditional Arabic" w:cs="Traditional Arabic"/>
          <w:bCs/>
          <w:iCs/>
          <w:sz w:val="30"/>
          <w:szCs w:val="30"/>
          <w:rtl/>
          <w:lang w:val="en-GB" w:bidi="ar-OM"/>
        </w:rPr>
      </w:pPr>
    </w:p>
    <w:p w14:paraId="00B1C695" w14:textId="77777777" w:rsidR="007B6E3E" w:rsidRDefault="007B6E3E" w:rsidP="007B6E3E">
      <w:pPr>
        <w:keepNext/>
        <w:bidi/>
        <w:ind w:left="-360"/>
        <w:jc w:val="both"/>
        <w:rPr>
          <w:rFonts w:ascii="Traditional Arabic" w:hAnsi="Traditional Arabic" w:cs="Traditional Arabic"/>
          <w:bCs/>
          <w:iCs/>
          <w:sz w:val="30"/>
          <w:szCs w:val="30"/>
          <w:rtl/>
          <w:lang w:val="en-GB"/>
        </w:rPr>
      </w:pPr>
      <w:r w:rsidRPr="00C73B2D">
        <w:rPr>
          <w:rFonts w:ascii="Traditional Arabic" w:hAnsi="Traditional Arabic" w:cs="Traditional Arabic"/>
          <w:sz w:val="30"/>
          <w:szCs w:val="30"/>
          <w:rtl/>
        </w:rPr>
        <w:t>لا يجوز الإعلان عن أسهم الطرح ولا عرضها ولا بيعها، كما لن يتم توزيع أي مذكرة أو تعميم أو كُتيب أو أي مستند مماثل ولن يتم توزيع أي منها بشكل مباشر أو غير مباشر على أي شخص في المملكة العربية السعودية بخلاف ما يكون مسموحا به بموجب اللائحة السعودية.</w:t>
      </w:r>
    </w:p>
    <w:p w14:paraId="3F1BE33F" w14:textId="77777777" w:rsidR="007B6E3E" w:rsidRDefault="007B6E3E" w:rsidP="007B6E3E">
      <w:pPr>
        <w:keepNext/>
        <w:bidi/>
        <w:ind w:left="-360"/>
        <w:jc w:val="both"/>
        <w:rPr>
          <w:rFonts w:ascii="Traditional Arabic" w:hAnsi="Traditional Arabic" w:cs="Traditional Arabic"/>
          <w:bCs/>
          <w:iCs/>
          <w:sz w:val="30"/>
          <w:szCs w:val="30"/>
          <w:rtl/>
          <w:lang w:val="en-GB"/>
        </w:rPr>
      </w:pPr>
    </w:p>
    <w:p w14:paraId="2BE9CCAB" w14:textId="77777777" w:rsidR="007B6E3E" w:rsidRPr="00CD53BC" w:rsidRDefault="007B6E3E" w:rsidP="00CD53BC">
      <w:pPr>
        <w:keepNext/>
        <w:bidi/>
        <w:ind w:left="-360"/>
        <w:jc w:val="both"/>
        <w:rPr>
          <w:rFonts w:ascii="Traditional Arabic" w:hAnsi="Traditional Arabic" w:cs="Traditional Arabic"/>
          <w:bCs/>
          <w:iCs/>
          <w:sz w:val="30"/>
          <w:szCs w:val="30"/>
          <w:rtl/>
          <w:lang w:val="en-GB" w:bidi="ar-OM"/>
        </w:rPr>
      </w:pPr>
      <w:r w:rsidRPr="00C73B2D">
        <w:rPr>
          <w:rFonts w:ascii="Traditional Arabic" w:hAnsi="Traditional Arabic" w:cs="Traditional Arabic"/>
          <w:sz w:val="30"/>
          <w:szCs w:val="30"/>
          <w:rtl/>
        </w:rPr>
        <w:t>لا يشكل طرح الأسهم في المملكة العربية السعودية "طرحا للجمهور" وفق اللائحة السعودية، وينبغي للمستثمرين المحتملين معرفة أن المادة 14 من اللائحة السعودية تفرض قيودا على نشاط السوق الثانوية بخصوص أسهم الطرح، وعليه لن تعترف الشركة ببيع أو نقل أو محاول بيع أو نقل الأسهم إلا أن يكون ذلك وفق اللائحة السعودية.</w:t>
      </w:r>
    </w:p>
    <w:p w14:paraId="435D86D3" w14:textId="77777777" w:rsidR="007B6E3E" w:rsidRDefault="007B6E3E" w:rsidP="007B6E3E">
      <w:pPr>
        <w:keepNext/>
        <w:bidi/>
        <w:ind w:left="-360"/>
        <w:jc w:val="both"/>
        <w:rPr>
          <w:rFonts w:ascii="Traditional Arabic" w:hAnsi="Traditional Arabic" w:cs="Traditional Arabic"/>
          <w:b/>
          <w:i/>
          <w:sz w:val="30"/>
          <w:szCs w:val="30"/>
          <w:rtl/>
          <w:lang w:val="en-GB"/>
        </w:rPr>
      </w:pPr>
    </w:p>
    <w:p w14:paraId="760A2A29" w14:textId="77777777" w:rsidR="007B6E3E" w:rsidRPr="00C73B2D" w:rsidRDefault="007B6E3E" w:rsidP="007B6E3E">
      <w:pPr>
        <w:bidi/>
        <w:spacing w:beforeLines="40" w:before="96" w:afterLines="40" w:after="96" w:line="276" w:lineRule="auto"/>
        <w:jc w:val="both"/>
        <w:rPr>
          <w:rFonts w:ascii="Traditional Arabic" w:hAnsi="Traditional Arabic" w:cs="Traditional Arabic"/>
          <w:b/>
          <w:bCs/>
          <w:sz w:val="30"/>
          <w:szCs w:val="30"/>
          <w:rtl/>
        </w:rPr>
      </w:pPr>
      <w:r w:rsidRPr="00C73B2D">
        <w:rPr>
          <w:rFonts w:ascii="Traditional Arabic" w:hAnsi="Traditional Arabic" w:cs="Traditional Arabic"/>
          <w:b/>
          <w:bCs/>
          <w:sz w:val="30"/>
          <w:szCs w:val="30"/>
          <w:rtl/>
        </w:rPr>
        <w:t>سويسرا</w:t>
      </w:r>
    </w:p>
    <w:p w14:paraId="7F005B1B" w14:textId="77777777" w:rsidR="007B6E3E" w:rsidRPr="00C73B2D" w:rsidRDefault="007B6E3E" w:rsidP="007B6E3E">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لن تُطرح الأسهم للجمهور في سويسرا ولن تُسجل في البورصة السويسرية ولا في أي بورصة أخرى أو مؤسسة للتداول في سويسرا. وقد تم إعداد هذه النشرة دون مراعاة لمعايير الإفصاح لإصدار نشرات الإصدار بموجب قانون الخدمات المالية الصادر في 15 يونيو 2018 أو معايير الإفصاح الخاصة بتسجيل نشرات الإصدار بموجب المادة 27 من قواعد التسجيل في البورصة ولا قواعد التسجيل الخاصة بأي بورصة أخرى أو مؤسسة للتداول في سويسرا. ولا يجوز توزيع هذه النشرة للجمهور ولا أية مواد خاصة بالطرح أو تسويق الأسهم في سويسرا.</w:t>
      </w:r>
    </w:p>
    <w:p w14:paraId="4BB41085" w14:textId="77777777" w:rsidR="007B6E3E" w:rsidRPr="00C73B2D" w:rsidRDefault="007B6E3E" w:rsidP="007B6E3E">
      <w:pPr>
        <w:bidi/>
        <w:spacing w:beforeLines="40" w:before="96" w:afterLines="40" w:after="96" w:line="276" w:lineRule="auto"/>
        <w:jc w:val="both"/>
        <w:rPr>
          <w:rFonts w:ascii="Traditional Arabic" w:hAnsi="Traditional Arabic" w:cs="Traditional Arabic"/>
          <w:sz w:val="30"/>
          <w:szCs w:val="30"/>
          <w:rtl/>
        </w:rPr>
      </w:pPr>
    </w:p>
    <w:p w14:paraId="55EAA5F1" w14:textId="77777777" w:rsidR="007B6E3E" w:rsidRPr="00C73B2D" w:rsidRDefault="007B6E3E" w:rsidP="007B6E3E">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لن يتم إيداع هذه النشرة ولا المواد الخاصة بالطرح أو تسويقه أو الشركة أو أسهم الطرح لدى أية جهة تنظيمية سويسرية ولم تتم الموافقة عليه من قبلها. وعلى الأخص، لن يتم إيداع هذه النشرة ولن يتم الإشراف على أسهم الطرح من قبل جهة الإشراف السويسرية على السوق المالي، ولم تتم الموفقة على الطرح ولن تتم الموافقة عليه بموجب القانون الفيدرالي السويسري بخصوص خطط الاستثمار الجماعي، والحماية الموفرة للمستثمر في خطط الاستثمار الجماعي المنصوص عليها في القانون الفيدرالي السويسري المشار إليه لا تتعدى من اشتروا أسهم الطرح.</w:t>
      </w:r>
    </w:p>
    <w:p w14:paraId="25ECF069" w14:textId="77777777" w:rsidR="007B6E3E" w:rsidRPr="00C73B2D" w:rsidRDefault="007B6E3E" w:rsidP="007B6E3E">
      <w:pPr>
        <w:bidi/>
        <w:spacing w:beforeLines="40" w:before="96" w:afterLines="40" w:after="96" w:line="276" w:lineRule="auto"/>
        <w:jc w:val="both"/>
        <w:rPr>
          <w:rFonts w:ascii="Traditional Arabic" w:hAnsi="Traditional Arabic" w:cs="Traditional Arabic"/>
          <w:sz w:val="30"/>
          <w:szCs w:val="30"/>
          <w:rtl/>
        </w:rPr>
      </w:pPr>
    </w:p>
    <w:p w14:paraId="0DCFA82A" w14:textId="77777777" w:rsidR="007B6E3E" w:rsidRPr="00C73B2D" w:rsidRDefault="007B6E3E" w:rsidP="007B6E3E">
      <w:pPr>
        <w:bidi/>
        <w:spacing w:beforeLines="40" w:before="96" w:afterLines="40" w:after="96" w:line="276" w:lineRule="auto"/>
        <w:jc w:val="both"/>
        <w:rPr>
          <w:rFonts w:ascii="Traditional Arabic" w:hAnsi="Traditional Arabic" w:cs="Traditional Arabic"/>
          <w:b/>
          <w:bCs/>
          <w:sz w:val="30"/>
          <w:szCs w:val="30"/>
          <w:rtl/>
        </w:rPr>
      </w:pPr>
      <w:r w:rsidRPr="00C73B2D">
        <w:rPr>
          <w:rFonts w:ascii="Traditional Arabic" w:hAnsi="Traditional Arabic" w:cs="Traditional Arabic"/>
          <w:b/>
          <w:bCs/>
          <w:sz w:val="30"/>
          <w:szCs w:val="30"/>
          <w:rtl/>
        </w:rPr>
        <w:t>اليابان</w:t>
      </w:r>
    </w:p>
    <w:p w14:paraId="727319B0" w14:textId="77777777" w:rsidR="00E362C4" w:rsidRDefault="007B6E3E" w:rsidP="00E362C4">
      <w:pPr>
        <w:keepNext/>
        <w:bidi/>
        <w:ind w:left="-360"/>
        <w:jc w:val="both"/>
        <w:rPr>
          <w:rFonts w:ascii="Traditional Arabic" w:hAnsi="Traditional Arabic" w:cs="Traditional Arabic"/>
          <w:sz w:val="30"/>
          <w:szCs w:val="30"/>
          <w:rtl/>
        </w:rPr>
      </w:pPr>
      <w:r w:rsidRPr="00C73B2D">
        <w:rPr>
          <w:rFonts w:ascii="Traditional Arabic" w:hAnsi="Traditional Arabic" w:cs="Traditional Arabic"/>
          <w:sz w:val="30"/>
          <w:szCs w:val="30"/>
          <w:rtl/>
        </w:rPr>
        <w:lastRenderedPageBreak/>
        <w:t>لم ولن يتم تسجيل أسهم الطرح وفق قانون الأدوات المالية والبورصة، وتعديلاته. وبالتالي هذه النشرة ليست بيعا للأوراق المالية بشكل مباشر أو غير مباشر في اليابان أو لصالح أي مقيم في اليابان (ويشمل الشخص المقيم: أي شركة أو كيان مؤسس وفق قوانين اليابان) أو للآخرين للعرض أو البيع بشكل مباشر أو غير مباشر في اليابان لمصلحة أي مقيم في اليابان باستثناء ما يكون بموجب الإعفاء من متطلبات التسجيل وفق قانون الأدوات المالية والبورصة أو ما يكون بموجب الالتزام بالقانون المشار إليه والقوانين الأخرى السارية واللوائح والتوجيهات الوزارية في اليابان.</w:t>
      </w:r>
    </w:p>
    <w:p w14:paraId="44AD6B40" w14:textId="77777777" w:rsidR="00D2132A" w:rsidRDefault="00D2132A" w:rsidP="00E362C4">
      <w:pPr>
        <w:keepNext/>
        <w:bidi/>
        <w:ind w:left="-360"/>
        <w:jc w:val="both"/>
        <w:rPr>
          <w:rFonts w:ascii="Traditional Arabic" w:hAnsi="Traditional Arabic" w:cs="Traditional Arabic"/>
          <w:sz w:val="30"/>
          <w:szCs w:val="30"/>
          <w:rtl/>
        </w:rPr>
      </w:pPr>
    </w:p>
    <w:p w14:paraId="4BF848E5" w14:textId="77777777" w:rsidR="00D2132A" w:rsidRPr="00CD53BC" w:rsidRDefault="00E362C4" w:rsidP="00D2132A">
      <w:pPr>
        <w:keepNext/>
        <w:bidi/>
        <w:ind w:left="-360"/>
        <w:jc w:val="both"/>
        <w:rPr>
          <w:rFonts w:ascii="Traditional Arabic" w:hAnsi="Traditional Arabic" w:cs="Traditional Arabic"/>
          <w:b/>
          <w:bCs/>
          <w:sz w:val="30"/>
          <w:szCs w:val="30"/>
          <w:rtl/>
        </w:rPr>
      </w:pPr>
      <w:r w:rsidRPr="00CD53BC">
        <w:rPr>
          <w:rFonts w:ascii="Traditional Arabic" w:hAnsi="Traditional Arabic" w:cs="Traditional Arabic"/>
          <w:b/>
          <w:bCs/>
          <w:sz w:val="30"/>
          <w:szCs w:val="30"/>
          <w:rtl/>
        </w:rPr>
        <w:t>كند</w:t>
      </w:r>
      <w:r w:rsidR="00D2132A" w:rsidRPr="00CD53BC">
        <w:rPr>
          <w:rFonts w:ascii="Traditional Arabic" w:hAnsi="Traditional Arabic" w:cs="Traditional Arabic" w:hint="eastAsia"/>
          <w:b/>
          <w:bCs/>
          <w:sz w:val="30"/>
          <w:szCs w:val="30"/>
          <w:rtl/>
        </w:rPr>
        <w:t>ا</w:t>
      </w:r>
    </w:p>
    <w:p w14:paraId="0F116072" w14:textId="77777777" w:rsidR="00D2132A" w:rsidRDefault="00E362C4" w:rsidP="00D2132A">
      <w:pPr>
        <w:keepNext/>
        <w:bidi/>
        <w:ind w:left="-360"/>
        <w:jc w:val="both"/>
        <w:rPr>
          <w:rFonts w:ascii="Traditional Arabic" w:hAnsi="Traditional Arabic" w:cs="Traditional Arabic"/>
          <w:sz w:val="30"/>
          <w:szCs w:val="30"/>
          <w:rtl/>
        </w:rPr>
      </w:pPr>
      <w:r w:rsidRPr="00676F69">
        <w:rPr>
          <w:rFonts w:ascii="Traditional Arabic" w:hAnsi="Traditional Arabic" w:cs="Traditional Arabic"/>
          <w:sz w:val="30"/>
          <w:szCs w:val="30"/>
          <w:rtl/>
        </w:rPr>
        <w:t>يجوز بيع الأسهم للمشترين بصفتهم مستثمرين معتمدين، على النحو المحدد في الوثيقة الوطنية 45-106 الإعفاءات الخاصة بنشرة الاكتتاب أو البند الفرعي 73.3(1) من قانون الأوراق المالية (أونتاريو)، وهم عملاء مسموح لهم، حسب ما</w:t>
      </w:r>
      <w:r w:rsidRPr="00676F69">
        <w:rPr>
          <w:rFonts w:ascii="Traditional Arabic" w:hAnsi="Traditional Arabic" w:cs="Traditional Arabic"/>
          <w:sz w:val="30"/>
          <w:szCs w:val="30"/>
        </w:rPr>
        <w:t xml:space="preserve"> </w:t>
      </w:r>
      <w:r w:rsidRPr="00676F69">
        <w:rPr>
          <w:rFonts w:ascii="Traditional Arabic" w:hAnsi="Traditional Arabic" w:cs="Traditional Arabic"/>
          <w:sz w:val="30"/>
          <w:szCs w:val="30"/>
          <w:rtl/>
        </w:rPr>
        <w:t>هو مذكور في الوثيقة الوطنية 31-103 متطلبات التسجيل والإعفاءات والتزامات التسجيل المستمرة. وتباع الأسهم وفقًا للإعفاء من متطلبات نشرة الإصدار بحسب قوانين الأوراق المالية المعمول بها أو في معاملة لا تخضع لتلك المتطلبات.</w:t>
      </w:r>
    </w:p>
    <w:p w14:paraId="28ADB46E" w14:textId="77777777" w:rsidR="00D2132A" w:rsidRDefault="00D2132A" w:rsidP="00D2132A">
      <w:pPr>
        <w:keepNext/>
        <w:bidi/>
        <w:ind w:left="-360"/>
        <w:jc w:val="both"/>
        <w:rPr>
          <w:rFonts w:ascii="Traditional Arabic" w:hAnsi="Traditional Arabic" w:cs="Traditional Arabic"/>
          <w:sz w:val="30"/>
          <w:szCs w:val="30"/>
          <w:rtl/>
        </w:rPr>
      </w:pPr>
    </w:p>
    <w:p w14:paraId="2AEFB096" w14:textId="77777777" w:rsidR="00D2132A" w:rsidRDefault="00E362C4" w:rsidP="00D2132A">
      <w:pPr>
        <w:keepNext/>
        <w:bidi/>
        <w:ind w:left="-360"/>
        <w:jc w:val="both"/>
        <w:rPr>
          <w:rFonts w:ascii="Traditional Arabic" w:hAnsi="Traditional Arabic" w:cs="Traditional Arabic"/>
          <w:sz w:val="30"/>
          <w:szCs w:val="30"/>
          <w:rtl/>
        </w:rPr>
      </w:pPr>
      <w:r w:rsidRPr="00676F69">
        <w:rPr>
          <w:rFonts w:ascii="Traditional Arabic" w:hAnsi="Traditional Arabic" w:cs="Traditional Arabic"/>
          <w:sz w:val="30"/>
          <w:szCs w:val="30"/>
          <w:rtl/>
        </w:rPr>
        <w:t>قد توفر قوانين الأوراق المالية في بعض المقاطعات أو الأقاليم الكندية للمشتري تعويضات عن الإلغاء أو الأضرار إذا كانت هذه النشرة (بما في ذلك أي تعديل عليها) تحتوي على أي تحريف في البيانات، شريطة أن يمارس المشتري حقه في الإلغاء أو الحصول على التعويض خلال المهلة الزمنية المنصوص عليها في قوانين الأوراق المالية للمقاطعة أو الإقليم الذي يقطن فيه المشتري. وينبغي للمشتري أن يطلع على أحكام الأوراق المالية وقوانينها المعمول بها في المقاطعة أو الإقليم الذي يقطن فيه للحصول على تفاصيل هذه الحقوق أو التشاور مع مستشار قانوني.</w:t>
      </w:r>
    </w:p>
    <w:p w14:paraId="48562F0D" w14:textId="77777777" w:rsidR="00D2132A" w:rsidRDefault="00D2132A" w:rsidP="00D2132A">
      <w:pPr>
        <w:keepNext/>
        <w:bidi/>
        <w:ind w:left="-360"/>
        <w:jc w:val="both"/>
        <w:rPr>
          <w:rFonts w:ascii="Traditional Arabic" w:hAnsi="Traditional Arabic" w:cs="Traditional Arabic"/>
          <w:sz w:val="30"/>
          <w:szCs w:val="30"/>
          <w:rtl/>
        </w:rPr>
      </w:pPr>
    </w:p>
    <w:p w14:paraId="2D57E748" w14:textId="77777777" w:rsidR="00D2132A" w:rsidRDefault="00E362C4" w:rsidP="00D2132A">
      <w:pPr>
        <w:keepNext/>
        <w:bidi/>
        <w:ind w:left="-360"/>
        <w:jc w:val="both"/>
        <w:rPr>
          <w:rFonts w:ascii="Traditional Arabic" w:hAnsi="Traditional Arabic" w:cs="Traditional Arabic"/>
          <w:sz w:val="30"/>
          <w:szCs w:val="30"/>
          <w:rtl/>
        </w:rPr>
      </w:pPr>
      <w:r w:rsidRPr="00676F69">
        <w:rPr>
          <w:rFonts w:ascii="Traditional Arabic" w:hAnsi="Traditional Arabic" w:cs="Traditional Arabic"/>
          <w:sz w:val="30"/>
          <w:szCs w:val="30"/>
          <w:rtl/>
        </w:rPr>
        <w:t>وفقًا للقسم 3 أ .3 (أو، في حالة الأوراق المالية الصادرة أو المضمونة من قبل حكومة أية ولاية غير كندية، القسم 3 أ .4) من الوثيقة الوطنية 33-105 تضارب المصالح في نشرة الاكتتاب (NI 33-105)، فإنه لا يُطلب من المصدرين الامتثال لمتطلبات الإفصاح الخاصة بـ NI 33-105 فيما يتعلق بتضارب المصالح بين المصدرين فيما يتعلق بهذا الطرح.]</w:t>
      </w:r>
    </w:p>
    <w:p w14:paraId="20507BAB" w14:textId="77777777" w:rsidR="00967FB9" w:rsidRPr="00EB5BCF" w:rsidRDefault="00967FB9" w:rsidP="00AF3A06">
      <w:pPr>
        <w:keepNext/>
        <w:bidi/>
        <w:jc w:val="both"/>
        <w:rPr>
          <w:rFonts w:ascii="Traditional Arabic" w:hAnsi="Traditional Arabic" w:cs="Traditional Arabic"/>
          <w:b/>
          <w:i/>
          <w:sz w:val="30"/>
          <w:szCs w:val="30"/>
          <w:rtl/>
          <w:lang w:val="en-GB" w:bidi="ar-OM"/>
        </w:rPr>
      </w:pPr>
    </w:p>
    <w:p w14:paraId="4AA4FFAD" w14:textId="77777777" w:rsidR="00AF3A06" w:rsidRPr="00EB5BCF" w:rsidRDefault="00AF3A06" w:rsidP="008252E9">
      <w:pPr>
        <w:keepNext/>
        <w:bidi/>
        <w:ind w:left="-270"/>
        <w:jc w:val="both"/>
        <w:rPr>
          <w:rFonts w:ascii="Traditional Arabic" w:hAnsi="Traditional Arabic" w:cs="Traditional Arabic"/>
          <w:b/>
          <w:bCs/>
          <w:iCs/>
          <w:sz w:val="30"/>
          <w:szCs w:val="30"/>
          <w:rtl/>
        </w:rPr>
      </w:pPr>
      <w:r w:rsidRPr="00EB5BCF">
        <w:rPr>
          <w:rFonts w:ascii="Traditional Arabic" w:hAnsi="Traditional Arabic" w:cs="Traditional Arabic"/>
          <w:b/>
          <w:bCs/>
          <w:iCs/>
          <w:sz w:val="30"/>
          <w:szCs w:val="30"/>
          <w:rtl/>
        </w:rPr>
        <w:t>دول أخرى</w:t>
      </w:r>
    </w:p>
    <w:p w14:paraId="36F15E4C" w14:textId="77777777" w:rsidR="00AF3A06" w:rsidRPr="00EB5BCF" w:rsidRDefault="00943880" w:rsidP="008252E9">
      <w:pPr>
        <w:keepNext/>
        <w:bidi/>
        <w:ind w:left="-360"/>
        <w:jc w:val="both"/>
        <w:rPr>
          <w:rFonts w:ascii="Traditional Arabic" w:hAnsi="Traditional Arabic" w:cs="Traditional Arabic"/>
          <w:b/>
          <w:i/>
          <w:sz w:val="30"/>
          <w:szCs w:val="30"/>
          <w:rtl/>
        </w:rPr>
      </w:pPr>
      <w:r w:rsidRPr="00EB5BCF">
        <w:rPr>
          <w:rFonts w:ascii="Traditional Arabic" w:hAnsi="Traditional Arabic" w:cs="Traditional Arabic"/>
          <w:b/>
          <w:sz w:val="30"/>
          <w:szCs w:val="30"/>
          <w:rtl/>
        </w:rPr>
        <w:t xml:space="preserve">في حال وقوع </w:t>
      </w:r>
      <w:r w:rsidR="00AF3A06" w:rsidRPr="00EB5BCF">
        <w:rPr>
          <w:rFonts w:ascii="Traditional Arabic" w:hAnsi="Traditional Arabic" w:cs="Traditional Arabic"/>
          <w:b/>
          <w:sz w:val="30"/>
          <w:szCs w:val="30"/>
          <w:rtl/>
        </w:rPr>
        <w:t>هذه النشرة في يد أحد المستثمرين الذين يقطنون أي دولة غير الدول المذكورة أعلاه، فإنه يتوجب عليه تجاهلها إن كان توزيعها ونشرها في هذا البلد يخالف القوانين السارية. وتهيب الشركة و</w:t>
      </w:r>
      <w:r w:rsidR="000861C6">
        <w:rPr>
          <w:rFonts w:ascii="Traditional Arabic" w:hAnsi="Traditional Arabic" w:cs="Traditional Arabic"/>
          <w:b/>
          <w:sz w:val="30"/>
          <w:szCs w:val="30"/>
          <w:rtl/>
        </w:rPr>
        <w:t>المساهم البائع</w:t>
      </w:r>
      <w:r w:rsidR="00AF3A06" w:rsidRPr="00EB5BCF">
        <w:rPr>
          <w:rFonts w:ascii="Traditional Arabic" w:hAnsi="Traditional Arabic" w:cs="Traditional Arabic"/>
          <w:b/>
          <w:sz w:val="30"/>
          <w:szCs w:val="30"/>
          <w:rtl/>
        </w:rPr>
        <w:t xml:space="preserve"> و</w:t>
      </w:r>
      <w:r w:rsidR="009013BB">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rPr>
        <w:t xml:space="preserve"> المشترك</w:t>
      </w:r>
      <w:r w:rsidR="00AF3A06" w:rsidRPr="00EB5BCF">
        <w:rPr>
          <w:rFonts w:ascii="Traditional Arabic" w:hAnsi="Traditional Arabic" w:cs="Traditional Arabic"/>
          <w:b/>
          <w:sz w:val="30"/>
          <w:szCs w:val="30"/>
          <w:rtl/>
        </w:rPr>
        <w:t xml:space="preserve"> </w:t>
      </w:r>
      <w:r w:rsidR="00760A3F">
        <w:rPr>
          <w:rFonts w:ascii="Traditional Arabic" w:hAnsi="Traditional Arabic" w:cs="Traditional Arabic" w:hint="cs"/>
          <w:b/>
          <w:sz w:val="30"/>
          <w:szCs w:val="30"/>
          <w:rtl/>
        </w:rPr>
        <w:t xml:space="preserve">ومدير الإصدار </w:t>
      </w:r>
      <w:r w:rsidR="00376F78" w:rsidRPr="00EB5BCF">
        <w:rPr>
          <w:rFonts w:ascii="Traditional Arabic" w:hAnsi="Traditional Arabic" w:cs="Traditional Arabic" w:hint="eastAsia"/>
          <w:b/>
          <w:sz w:val="30"/>
          <w:szCs w:val="30"/>
          <w:rtl/>
        </w:rPr>
        <w:t>و</w:t>
      </w:r>
      <w:r w:rsidR="00376F78" w:rsidRPr="00EB5BCF">
        <w:rPr>
          <w:rFonts w:ascii="Traditional Arabic" w:hAnsi="Traditional Arabic" w:cs="Traditional Arabic" w:hint="eastAsia"/>
          <w:b/>
          <w:sz w:val="30"/>
          <w:szCs w:val="30"/>
          <w:rtl/>
          <w:lang w:bidi="ar-EG"/>
        </w:rPr>
        <w:t>وكلاء</w:t>
      </w:r>
      <w:r w:rsidR="00376F78" w:rsidRPr="00EB5BCF">
        <w:rPr>
          <w:rFonts w:ascii="Traditional Arabic" w:hAnsi="Traditional Arabic" w:cs="Traditional Arabic"/>
          <w:b/>
          <w:sz w:val="30"/>
          <w:szCs w:val="30"/>
          <w:rtl/>
          <w:lang w:bidi="ar-EG"/>
        </w:rPr>
        <w:t xml:space="preserve"> </w:t>
      </w:r>
      <w:r w:rsidR="00376F78" w:rsidRPr="00EB5BCF">
        <w:rPr>
          <w:rFonts w:ascii="Traditional Arabic" w:hAnsi="Traditional Arabic" w:cs="Traditional Arabic" w:hint="eastAsia"/>
          <w:b/>
          <w:sz w:val="30"/>
          <w:szCs w:val="30"/>
          <w:rtl/>
          <w:lang w:bidi="ar-EG"/>
        </w:rPr>
        <w:t>التحصيل</w:t>
      </w:r>
      <w:r w:rsidR="00376F78" w:rsidRPr="00EB5BCF">
        <w:rPr>
          <w:rFonts w:ascii="Traditional Arabic" w:hAnsi="Traditional Arabic" w:cs="Traditional Arabic"/>
          <w:b/>
          <w:sz w:val="30"/>
          <w:szCs w:val="30"/>
          <w:rtl/>
        </w:rPr>
        <w:t xml:space="preserve"> </w:t>
      </w:r>
      <w:r w:rsidR="00AF3A06" w:rsidRPr="00EB5BCF">
        <w:rPr>
          <w:rFonts w:ascii="Traditional Arabic" w:hAnsi="Traditional Arabic" w:cs="Traditional Arabic"/>
          <w:b/>
          <w:sz w:val="30"/>
          <w:szCs w:val="30"/>
          <w:rtl/>
        </w:rPr>
        <w:t>بالأشخاص الذين بحوزتهم هذه النشرة أن يكونوا على دراية بالقيود والموانع المفروضة على الاستثمار في الدول التي ينتمون إليها أو يقيمون فيها، كيفما يكون الحال، وأن يراعوا تلك القيود. ولن تتحمل الشركة و</w:t>
      </w:r>
      <w:r w:rsidR="000861C6">
        <w:rPr>
          <w:rFonts w:ascii="Traditional Arabic" w:hAnsi="Traditional Arabic" w:cs="Traditional Arabic"/>
          <w:b/>
          <w:sz w:val="30"/>
          <w:szCs w:val="30"/>
          <w:rtl/>
        </w:rPr>
        <w:t>المساهم البائع</w:t>
      </w:r>
      <w:r w:rsidR="00AF3A06" w:rsidRPr="00EB5BCF">
        <w:rPr>
          <w:rFonts w:ascii="Traditional Arabic" w:hAnsi="Traditional Arabic" w:cs="Traditional Arabic"/>
          <w:b/>
          <w:sz w:val="30"/>
          <w:szCs w:val="30"/>
          <w:rtl/>
        </w:rPr>
        <w:t xml:space="preserve"> و</w:t>
      </w:r>
      <w:r w:rsidR="009013BB">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b/>
          <w:sz w:val="30"/>
          <w:szCs w:val="30"/>
          <w:rtl/>
        </w:rPr>
        <w:t xml:space="preserve"> المشترك</w:t>
      </w:r>
      <w:r w:rsidR="00AF3A06" w:rsidRPr="00EB5BCF">
        <w:rPr>
          <w:rFonts w:ascii="Traditional Arabic" w:hAnsi="Traditional Arabic" w:cs="Traditional Arabic"/>
          <w:b/>
          <w:sz w:val="30"/>
          <w:szCs w:val="30"/>
          <w:rtl/>
        </w:rPr>
        <w:t xml:space="preserve"> </w:t>
      </w:r>
      <w:r w:rsidR="00760A3F">
        <w:rPr>
          <w:rFonts w:ascii="Traditional Arabic" w:hAnsi="Traditional Arabic" w:cs="Traditional Arabic" w:hint="cs"/>
          <w:b/>
          <w:sz w:val="30"/>
          <w:szCs w:val="30"/>
          <w:rtl/>
        </w:rPr>
        <w:t xml:space="preserve">ومدير الإصدار </w:t>
      </w:r>
      <w:r w:rsidR="00376F78" w:rsidRPr="00EB5BCF">
        <w:rPr>
          <w:rFonts w:ascii="Traditional Arabic" w:hAnsi="Traditional Arabic" w:cs="Traditional Arabic" w:hint="eastAsia"/>
          <w:b/>
          <w:sz w:val="30"/>
          <w:szCs w:val="30"/>
          <w:rtl/>
        </w:rPr>
        <w:t>و</w:t>
      </w:r>
      <w:r w:rsidR="00376F78" w:rsidRPr="00EB5BCF">
        <w:rPr>
          <w:rFonts w:ascii="Traditional Arabic" w:hAnsi="Traditional Arabic" w:cs="Traditional Arabic" w:hint="eastAsia"/>
          <w:b/>
          <w:sz w:val="30"/>
          <w:szCs w:val="30"/>
          <w:rtl/>
          <w:lang w:bidi="ar-EG"/>
        </w:rPr>
        <w:t>وكلاء</w:t>
      </w:r>
      <w:r w:rsidR="00376F78" w:rsidRPr="00EB5BCF">
        <w:rPr>
          <w:rFonts w:ascii="Traditional Arabic" w:hAnsi="Traditional Arabic" w:cs="Traditional Arabic"/>
          <w:b/>
          <w:sz w:val="30"/>
          <w:szCs w:val="30"/>
          <w:rtl/>
          <w:lang w:bidi="ar-EG"/>
        </w:rPr>
        <w:t xml:space="preserve"> </w:t>
      </w:r>
      <w:r w:rsidR="00376F78" w:rsidRPr="00EB5BCF">
        <w:rPr>
          <w:rFonts w:ascii="Traditional Arabic" w:hAnsi="Traditional Arabic" w:cs="Traditional Arabic" w:hint="eastAsia"/>
          <w:b/>
          <w:sz w:val="30"/>
          <w:szCs w:val="30"/>
          <w:rtl/>
          <w:lang w:bidi="ar-EG"/>
        </w:rPr>
        <w:t>التحصيل</w:t>
      </w:r>
      <w:r w:rsidR="00376F78" w:rsidRPr="00EB5BCF">
        <w:rPr>
          <w:rFonts w:ascii="Traditional Arabic" w:hAnsi="Traditional Arabic" w:cs="Traditional Arabic"/>
          <w:b/>
          <w:sz w:val="30"/>
          <w:szCs w:val="30"/>
          <w:rtl/>
        </w:rPr>
        <w:t xml:space="preserve"> </w:t>
      </w:r>
      <w:r w:rsidR="00AF3A06" w:rsidRPr="00EB5BCF">
        <w:rPr>
          <w:rFonts w:ascii="Traditional Arabic" w:hAnsi="Traditional Arabic" w:cs="Traditional Arabic"/>
          <w:b/>
          <w:sz w:val="30"/>
          <w:szCs w:val="30"/>
          <w:rtl/>
        </w:rPr>
        <w:t xml:space="preserve">أية مسؤولية قانونية عن أية مخالفة يرتكبها غيرهم </w:t>
      </w:r>
      <w:r w:rsidRPr="00EB5BCF">
        <w:rPr>
          <w:rFonts w:ascii="Traditional Arabic" w:hAnsi="Traditional Arabic" w:cs="Traditional Arabic"/>
          <w:b/>
          <w:sz w:val="30"/>
          <w:szCs w:val="30"/>
          <w:rtl/>
        </w:rPr>
        <w:t>-</w:t>
      </w:r>
      <w:r w:rsidR="00AF3A06" w:rsidRPr="00EB5BCF">
        <w:rPr>
          <w:rFonts w:ascii="Traditional Arabic" w:hAnsi="Traditional Arabic" w:cs="Traditional Arabic"/>
          <w:b/>
          <w:sz w:val="30"/>
          <w:szCs w:val="30"/>
          <w:rtl/>
        </w:rPr>
        <w:t>مستثمر كان أم لا</w:t>
      </w:r>
      <w:r w:rsidRPr="00EB5BCF">
        <w:rPr>
          <w:rFonts w:ascii="Traditional Arabic" w:hAnsi="Traditional Arabic" w:cs="Traditional Arabic"/>
          <w:b/>
          <w:sz w:val="30"/>
          <w:szCs w:val="30"/>
          <w:rtl/>
        </w:rPr>
        <w:t xml:space="preserve">- </w:t>
      </w:r>
      <w:r w:rsidR="00AF3A06" w:rsidRPr="00EB5BCF">
        <w:rPr>
          <w:rFonts w:ascii="Traditional Arabic" w:hAnsi="Traditional Arabic" w:cs="Traditional Arabic"/>
          <w:b/>
          <w:sz w:val="30"/>
          <w:szCs w:val="30"/>
          <w:rtl/>
        </w:rPr>
        <w:lastRenderedPageBreak/>
        <w:t xml:space="preserve">فيما يتعلق بالقيود القانونية التي </w:t>
      </w:r>
      <w:r w:rsidR="000C3ECD" w:rsidRPr="00EB5BCF">
        <w:rPr>
          <w:rFonts w:ascii="Traditional Arabic" w:hAnsi="Traditional Arabic" w:cs="Traditional Arabic"/>
          <w:b/>
          <w:sz w:val="30"/>
          <w:szCs w:val="30"/>
          <w:rtl/>
        </w:rPr>
        <w:t>يخضع لها بيع أسهم الطرح أو عرضها أو الترويج للاكتتاب فيها</w:t>
      </w:r>
      <w:r w:rsidR="00AF3A06" w:rsidRPr="00EB5BCF">
        <w:rPr>
          <w:rFonts w:ascii="Traditional Arabic" w:hAnsi="Traditional Arabic" w:cs="Traditional Arabic"/>
          <w:b/>
          <w:i/>
          <w:sz w:val="30"/>
          <w:szCs w:val="30"/>
          <w:rtl/>
        </w:rPr>
        <w:t xml:space="preserve"> </w:t>
      </w:r>
      <w:r w:rsidR="000C3ECD" w:rsidRPr="00EB5BCF">
        <w:rPr>
          <w:rFonts w:ascii="Traditional Arabic" w:hAnsi="Traditional Arabic" w:cs="Traditional Arabic"/>
          <w:b/>
          <w:i/>
          <w:sz w:val="30"/>
          <w:szCs w:val="30"/>
          <w:rtl/>
        </w:rPr>
        <w:t>ف</w:t>
      </w:r>
      <w:r w:rsidR="00AF3A06" w:rsidRPr="00EB5BCF">
        <w:rPr>
          <w:rFonts w:ascii="Traditional Arabic" w:hAnsi="Traditional Arabic" w:cs="Traditional Arabic"/>
          <w:b/>
          <w:i/>
          <w:sz w:val="30"/>
          <w:szCs w:val="30"/>
          <w:rtl/>
        </w:rPr>
        <w:t>ي</w:t>
      </w:r>
      <w:r w:rsidR="000C3ECD" w:rsidRPr="00EB5BCF">
        <w:rPr>
          <w:rFonts w:ascii="Traditional Arabic" w:hAnsi="Traditional Arabic" w:cs="Traditional Arabic"/>
          <w:b/>
          <w:i/>
          <w:sz w:val="30"/>
          <w:szCs w:val="30"/>
          <w:rtl/>
        </w:rPr>
        <w:t xml:space="preserve"> أي</w:t>
      </w:r>
      <w:r w:rsidR="00AF3A06" w:rsidRPr="00EB5BCF">
        <w:rPr>
          <w:rFonts w:ascii="Traditional Arabic" w:hAnsi="Traditional Arabic" w:cs="Traditional Arabic"/>
          <w:b/>
          <w:i/>
          <w:sz w:val="30"/>
          <w:szCs w:val="30"/>
          <w:rtl/>
        </w:rPr>
        <w:t xml:space="preserve"> دولة</w:t>
      </w:r>
      <w:r w:rsidR="000C3ECD" w:rsidRPr="00EB5BCF">
        <w:rPr>
          <w:rFonts w:ascii="Traditional Arabic" w:hAnsi="Traditional Arabic" w:cs="Traditional Arabic"/>
          <w:b/>
          <w:i/>
          <w:sz w:val="30"/>
          <w:szCs w:val="30"/>
          <w:rtl/>
        </w:rPr>
        <w:t xml:space="preserve"> أخرى</w:t>
      </w:r>
      <w:r w:rsidR="00AF3A06" w:rsidRPr="00EB5BCF">
        <w:rPr>
          <w:rFonts w:ascii="Traditional Arabic" w:hAnsi="Traditional Arabic" w:cs="Traditional Arabic"/>
          <w:b/>
          <w:i/>
          <w:sz w:val="30"/>
          <w:szCs w:val="30"/>
          <w:rtl/>
        </w:rPr>
        <w:t xml:space="preserve"> غير سلطنة عمان</w:t>
      </w:r>
      <w:r w:rsidR="000C3ECD" w:rsidRPr="00EB5BCF">
        <w:rPr>
          <w:rFonts w:ascii="Traditional Arabic" w:hAnsi="Traditional Arabic" w:cs="Traditional Arabic"/>
          <w:b/>
          <w:i/>
          <w:sz w:val="30"/>
          <w:szCs w:val="30"/>
          <w:rtl/>
        </w:rPr>
        <w:t xml:space="preserve"> إذا كان إجراء</w:t>
      </w:r>
      <w:r w:rsidR="00AF3A06" w:rsidRPr="00EB5BCF">
        <w:rPr>
          <w:rFonts w:ascii="Traditional Arabic" w:hAnsi="Traditional Arabic" w:cs="Traditional Arabic"/>
          <w:b/>
          <w:i/>
          <w:sz w:val="30"/>
          <w:szCs w:val="30"/>
          <w:rtl/>
        </w:rPr>
        <w:t xml:space="preserve"> </w:t>
      </w:r>
      <w:r w:rsidR="000C3ECD" w:rsidRPr="00EB5BCF">
        <w:rPr>
          <w:rFonts w:ascii="Traditional Arabic" w:hAnsi="Traditional Arabic" w:cs="Traditional Arabic"/>
          <w:b/>
          <w:sz w:val="30"/>
          <w:szCs w:val="30"/>
          <w:rtl/>
        </w:rPr>
        <w:t xml:space="preserve">بيع </w:t>
      </w:r>
      <w:r w:rsidR="00AC2C95" w:rsidRPr="00EB5BCF">
        <w:rPr>
          <w:rFonts w:ascii="Traditional Arabic" w:hAnsi="Traditional Arabic" w:cs="Traditional Arabic"/>
          <w:b/>
          <w:sz w:val="30"/>
          <w:szCs w:val="30"/>
          <w:rtl/>
        </w:rPr>
        <w:t>الأسهم</w:t>
      </w:r>
      <w:r w:rsidR="000C3ECD" w:rsidRPr="00EB5BCF">
        <w:rPr>
          <w:rFonts w:ascii="Traditional Arabic" w:hAnsi="Traditional Arabic" w:cs="Traditional Arabic"/>
          <w:b/>
          <w:sz w:val="30"/>
          <w:szCs w:val="30"/>
          <w:rtl/>
        </w:rPr>
        <w:t xml:space="preserve"> أو عرضها أو الترويج للاكتتاب فيها</w:t>
      </w:r>
      <w:r w:rsidR="000C3ECD" w:rsidRPr="00EB5BCF">
        <w:rPr>
          <w:rFonts w:ascii="Traditional Arabic" w:hAnsi="Traditional Arabic" w:cs="Traditional Arabic"/>
          <w:b/>
          <w:i/>
          <w:sz w:val="30"/>
          <w:szCs w:val="30"/>
          <w:rtl/>
        </w:rPr>
        <w:t xml:space="preserve"> غير جائز قانونا</w:t>
      </w:r>
      <w:r w:rsidRPr="00EB5BCF">
        <w:rPr>
          <w:rFonts w:ascii="Traditional Arabic" w:hAnsi="Traditional Arabic" w:cs="Traditional Arabic"/>
          <w:b/>
          <w:i/>
          <w:sz w:val="30"/>
          <w:szCs w:val="30"/>
          <w:rtl/>
        </w:rPr>
        <w:t>ً</w:t>
      </w:r>
      <w:r w:rsidR="00AF3A06" w:rsidRPr="00EB5BCF">
        <w:rPr>
          <w:rFonts w:ascii="Traditional Arabic" w:hAnsi="Traditional Arabic" w:cs="Traditional Arabic"/>
          <w:b/>
          <w:i/>
          <w:sz w:val="30"/>
          <w:szCs w:val="30"/>
          <w:rtl/>
        </w:rPr>
        <w:t xml:space="preserve">. </w:t>
      </w:r>
    </w:p>
    <w:p w14:paraId="64BB6A44" w14:textId="77777777" w:rsidR="00943880" w:rsidRPr="00EB5BCF" w:rsidRDefault="00943880">
      <w:pPr>
        <w:spacing w:after="160" w:line="259" w:lineRule="auto"/>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rPr>
        <w:br w:type="page"/>
      </w:r>
    </w:p>
    <w:p w14:paraId="04E898AF" w14:textId="77777777" w:rsidR="00006776" w:rsidRPr="00EB5BCF" w:rsidRDefault="00006776" w:rsidP="00006776">
      <w:pPr>
        <w:pStyle w:val="BodyText1"/>
        <w:bidi/>
        <w:spacing w:after="0"/>
        <w:jc w:val="center"/>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rPr>
        <w:lastRenderedPageBreak/>
        <w:t>بيانات النظرة المستقبلية</w:t>
      </w:r>
    </w:p>
    <w:p w14:paraId="6A362D37" w14:textId="77777777" w:rsidR="00006776" w:rsidRPr="00EB5BCF" w:rsidRDefault="00006776" w:rsidP="00006776">
      <w:pPr>
        <w:pStyle w:val="BodyText1"/>
        <w:bidi/>
        <w:spacing w:after="0"/>
        <w:rPr>
          <w:rFonts w:ascii="Traditional Arabic" w:hAnsi="Traditional Arabic" w:cs="Traditional Arabic"/>
          <w:sz w:val="30"/>
          <w:szCs w:val="30"/>
          <w:rtl/>
          <w:lang w:val="en-GB"/>
        </w:rPr>
      </w:pPr>
    </w:p>
    <w:p w14:paraId="3B71874C" w14:textId="77777777" w:rsidR="0017399F" w:rsidRPr="00826D63" w:rsidRDefault="00006776" w:rsidP="00006776">
      <w:pPr>
        <w:keepNext/>
        <w:bidi/>
        <w:jc w:val="both"/>
        <w:rPr>
          <w:rFonts w:ascii="Traditional Arabic" w:hAnsi="Traditional Arabic" w:cs="Traditional Arabic"/>
          <w:sz w:val="30"/>
          <w:szCs w:val="30"/>
          <w:rtl/>
        </w:rPr>
      </w:pPr>
      <w:r w:rsidRPr="00EB5BCF">
        <w:rPr>
          <w:rFonts w:ascii="Traditional Arabic" w:hAnsi="Traditional Arabic" w:cs="Traditional Arabic"/>
          <w:sz w:val="30"/>
          <w:szCs w:val="30"/>
          <w:rtl/>
          <w:lang w:val="en-GB"/>
        </w:rPr>
        <w:t>تتضمن نشرة الإصدار هذه بعض بيانات النظرة المستقبلية</w:t>
      </w:r>
      <w:r w:rsidR="008E5F71" w:rsidRPr="00EB5BCF">
        <w:rPr>
          <w:rFonts w:ascii="Traditional Arabic" w:hAnsi="Traditional Arabic" w:cs="Traditional Arabic"/>
          <w:sz w:val="30"/>
          <w:szCs w:val="30"/>
          <w:rtl/>
          <w:lang w:val="en-GB"/>
        </w:rPr>
        <w:t xml:space="preserve"> والتي تتعلق بخطط الشركة وأهدافها </w:t>
      </w:r>
      <w:r w:rsidR="00C0541C" w:rsidRPr="00EB5BCF">
        <w:rPr>
          <w:rFonts w:ascii="Traditional Arabic" w:hAnsi="Traditional Arabic" w:cs="Traditional Arabic" w:hint="eastAsia"/>
          <w:sz w:val="30"/>
          <w:szCs w:val="30"/>
          <w:rtl/>
          <w:lang w:val="en-GB"/>
        </w:rPr>
        <w:t>وغاياتها</w:t>
      </w:r>
      <w:r w:rsidR="008E5F71" w:rsidRPr="00EB5BCF">
        <w:rPr>
          <w:rFonts w:ascii="Traditional Arabic" w:hAnsi="Traditional Arabic" w:cs="Traditional Arabic"/>
          <w:sz w:val="30"/>
          <w:szCs w:val="30"/>
          <w:rtl/>
          <w:lang w:val="en-GB"/>
        </w:rPr>
        <w:t xml:space="preserve"> واستراتيجيتها وأدائها التشغيلي في المستقبل والتطورات المتوقعة في السوق الذي تعمل فيه الشركة</w:t>
      </w:r>
      <w:r w:rsidR="00494298" w:rsidRPr="00EB5BCF">
        <w:rPr>
          <w:rFonts w:ascii="Traditional Arabic" w:hAnsi="Traditional Arabic" w:cs="Traditional Arabic"/>
          <w:sz w:val="30"/>
          <w:szCs w:val="30"/>
          <w:rtl/>
          <w:lang w:val="en-GB"/>
        </w:rPr>
        <w:t xml:space="preserve"> والأسواق التي ستعمل فيها مستقبلا</w:t>
      </w:r>
      <w:r w:rsidR="00943880"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w:t>
      </w:r>
      <w:r w:rsidR="00494298" w:rsidRPr="00EB5BCF">
        <w:rPr>
          <w:rFonts w:ascii="Traditional Arabic" w:hAnsi="Traditional Arabic" w:cs="Traditional Arabic"/>
          <w:sz w:val="30"/>
          <w:szCs w:val="30"/>
          <w:rtl/>
          <w:lang w:val="en-GB"/>
        </w:rPr>
        <w:t xml:space="preserve"> وبيانات النظرة المستقبلية هذه تتضمن مخاطر معروفة ومخاطر غير معروفة وحالات من عدم اليقين</w:t>
      </w:r>
      <w:r w:rsidR="003A5597" w:rsidRPr="00EB5BCF">
        <w:rPr>
          <w:rFonts w:ascii="Traditional Arabic" w:hAnsi="Traditional Arabic" w:cs="Traditional Arabic"/>
          <w:sz w:val="30"/>
          <w:szCs w:val="30"/>
          <w:rtl/>
          <w:lang w:val="en-GB"/>
        </w:rPr>
        <w:t xml:space="preserve">، وكثير منها خارج سيطرة الشركة، وجميعها </w:t>
      </w:r>
      <w:r w:rsidR="00C71F56" w:rsidRPr="00EB5BCF">
        <w:rPr>
          <w:rFonts w:ascii="Traditional Arabic" w:hAnsi="Traditional Arabic" w:cs="Traditional Arabic"/>
          <w:sz w:val="30"/>
          <w:szCs w:val="30"/>
          <w:rtl/>
          <w:lang w:val="en-GB"/>
        </w:rPr>
        <w:t>مبني</w:t>
      </w:r>
      <w:r w:rsidR="00860976" w:rsidRPr="00EB5BCF">
        <w:rPr>
          <w:rFonts w:ascii="Traditional Arabic" w:hAnsi="Traditional Arabic" w:cs="Traditional Arabic" w:hint="eastAsia"/>
          <w:sz w:val="30"/>
          <w:szCs w:val="30"/>
          <w:rtl/>
          <w:lang w:val="en-GB"/>
        </w:rPr>
        <w:t>ة</w:t>
      </w:r>
      <w:r w:rsidR="00C71F56" w:rsidRPr="00EB5BCF">
        <w:rPr>
          <w:rFonts w:ascii="Traditional Arabic" w:hAnsi="Traditional Arabic" w:cs="Traditional Arabic"/>
          <w:sz w:val="30"/>
          <w:szCs w:val="30"/>
          <w:rtl/>
          <w:lang w:val="en-GB"/>
        </w:rPr>
        <w:t xml:space="preserve"> على معتقدات الشركة وتوقعاتها عن المستقبل.</w:t>
      </w:r>
      <w:r w:rsidRPr="00EB5BCF">
        <w:rPr>
          <w:rFonts w:ascii="Traditional Arabic" w:hAnsi="Traditional Arabic" w:cs="Traditional Arabic"/>
          <w:sz w:val="30"/>
          <w:szCs w:val="30"/>
          <w:rtl/>
          <w:lang w:val="en-GB"/>
        </w:rPr>
        <w:t xml:space="preserve"> ويمكن تحديدها بشكل عام بكلمات أو عبارات مثل " نهدف"، "نتنبأ "، " نعتقد"، " نتوقع"، " نقدِّر"، " ننوي"، "نعتزم"، " خطة"، "مشروع"، " توقع"،" سوف"، " ينبغي"، " سوف يستمر"، "سوف نتابع" أو بكلمات وعبارات أخرى دالة على الشيء ذاته. وبالمثل، فان البيانات التي تصف استراتيجيات الشركة وأهدافها وغاياتها وخططها هي أيضا تصريحات ذات نظرة مستقبلية</w:t>
      </w:r>
      <w:r w:rsidR="00341039" w:rsidRPr="00EB5BCF">
        <w:rPr>
          <w:rFonts w:ascii="Traditional Arabic" w:hAnsi="Traditional Arabic" w:cs="Traditional Arabic"/>
          <w:sz w:val="30"/>
          <w:szCs w:val="30"/>
          <w:rtl/>
          <w:lang w:val="en-GB"/>
        </w:rPr>
        <w:t xml:space="preserve">، فهي متضمنة في أكثر من فصل في النشرة وتتضمن بيانات عن </w:t>
      </w:r>
      <w:r w:rsidR="00267082" w:rsidRPr="00EB5BCF">
        <w:rPr>
          <w:rFonts w:ascii="Traditional Arabic" w:hAnsi="Traditional Arabic" w:cs="Traditional Arabic"/>
          <w:sz w:val="30"/>
          <w:szCs w:val="30"/>
          <w:rtl/>
          <w:lang w:val="en-GB"/>
        </w:rPr>
        <w:t xml:space="preserve">نوايا الشركة ورؤيتها وتوقعاتها الحالية التي تخص نتائج أعمالها ومركزها المالي وتدفقاتها النقدية </w:t>
      </w:r>
      <w:r w:rsidR="00A52ACC" w:rsidRPr="00EB5BCF">
        <w:rPr>
          <w:rFonts w:ascii="Traditional Arabic" w:hAnsi="Traditional Arabic" w:cs="Traditional Arabic"/>
          <w:sz w:val="30"/>
          <w:szCs w:val="30"/>
          <w:rtl/>
          <w:lang w:val="en-GB"/>
        </w:rPr>
        <w:t>والأعمال المستقبلية والنمو والخطط الاستراتيجية والأعمال المتراكمة وسياسة توزيع الأرباح والقطاع الذي تعمل فيه</w:t>
      </w:r>
      <w:r w:rsidR="004B6D70" w:rsidRPr="00EB5BCF">
        <w:rPr>
          <w:rFonts w:ascii="Traditional Arabic" w:hAnsi="Traditional Arabic" w:cs="Traditional Arabic"/>
          <w:sz w:val="30"/>
          <w:szCs w:val="30"/>
          <w:rtl/>
          <w:lang w:val="en-GB"/>
        </w:rPr>
        <w:t>، ولاسيما البيانات المذكورة تحت العناوين التي تناقش استراتيجية الشركة أو الأحداث المستقبلية أو أعمالها المستقبلية</w:t>
      </w:r>
      <w:r w:rsidR="0017399F" w:rsidRPr="00EB5BCF">
        <w:rPr>
          <w:rFonts w:ascii="Traditional Arabic" w:hAnsi="Traditional Arabic" w:cs="Traditional Arabic"/>
          <w:sz w:val="30"/>
          <w:szCs w:val="30"/>
          <w:rtl/>
          <w:lang w:val="en-GB"/>
        </w:rPr>
        <w:t xml:space="preserve"> هي من قبيل بيانات النظرة المستقبلية: موجودة في الفصل الثاني، والفصل الرابع، و</w:t>
      </w:r>
      <w:r w:rsidR="001B316A">
        <w:rPr>
          <w:rFonts w:ascii="Traditional Arabic" w:hAnsi="Traditional Arabic" w:cs="Traditional Arabic" w:hint="cs"/>
          <w:sz w:val="30"/>
          <w:szCs w:val="30"/>
          <w:rtl/>
          <w:lang w:val="en-GB"/>
        </w:rPr>
        <w:t>الفصل العاشر، و</w:t>
      </w:r>
      <w:r w:rsidR="0017399F" w:rsidRPr="00EB5BCF">
        <w:rPr>
          <w:rFonts w:ascii="Traditional Arabic" w:hAnsi="Traditional Arabic" w:cs="Traditional Arabic"/>
          <w:sz w:val="30"/>
          <w:szCs w:val="30"/>
          <w:rtl/>
          <w:lang w:val="en-GB"/>
        </w:rPr>
        <w:t>الفصل ال</w:t>
      </w:r>
      <w:r w:rsidR="00882B99">
        <w:rPr>
          <w:rFonts w:ascii="Traditional Arabic" w:hAnsi="Traditional Arabic" w:cs="Traditional Arabic" w:hint="cs"/>
          <w:sz w:val="30"/>
          <w:szCs w:val="30"/>
          <w:rtl/>
          <w:lang w:val="en-GB"/>
        </w:rPr>
        <w:t xml:space="preserve">حادي </w:t>
      </w:r>
      <w:r w:rsidR="0017399F" w:rsidRPr="00EB5BCF">
        <w:rPr>
          <w:rFonts w:ascii="Traditional Arabic" w:hAnsi="Traditional Arabic" w:cs="Traditional Arabic"/>
          <w:sz w:val="30"/>
          <w:szCs w:val="30"/>
          <w:rtl/>
          <w:lang w:val="en-GB"/>
        </w:rPr>
        <w:t>عشر، و</w:t>
      </w:r>
      <w:r w:rsidR="00206DDC">
        <w:rPr>
          <w:rFonts w:ascii="Traditional Arabic" w:hAnsi="Traditional Arabic" w:cs="Traditional Arabic" w:hint="cs"/>
          <w:sz w:val="30"/>
          <w:szCs w:val="30"/>
          <w:rtl/>
          <w:lang w:val="en-GB"/>
        </w:rPr>
        <w:t>الفصل الثاني عشر، و</w:t>
      </w:r>
      <w:r w:rsidR="0017399F" w:rsidRPr="00EB5BCF">
        <w:rPr>
          <w:rFonts w:ascii="Traditional Arabic" w:hAnsi="Traditional Arabic" w:cs="Traditional Arabic"/>
          <w:sz w:val="30"/>
          <w:szCs w:val="30"/>
          <w:rtl/>
          <w:lang w:val="en-GB"/>
        </w:rPr>
        <w:t xml:space="preserve">الفصل </w:t>
      </w:r>
      <w:r w:rsidR="00206DDC">
        <w:rPr>
          <w:rFonts w:ascii="Traditional Arabic" w:hAnsi="Traditional Arabic" w:cs="Traditional Arabic" w:hint="cs"/>
          <w:sz w:val="30"/>
          <w:szCs w:val="30"/>
          <w:rtl/>
          <w:lang w:val="en-GB"/>
        </w:rPr>
        <w:t>الرابع</w:t>
      </w:r>
      <w:r w:rsidR="00206DDC" w:rsidRPr="00EB5BCF">
        <w:rPr>
          <w:rFonts w:ascii="Traditional Arabic" w:hAnsi="Traditional Arabic" w:cs="Traditional Arabic"/>
          <w:sz w:val="30"/>
          <w:szCs w:val="30"/>
          <w:rtl/>
          <w:lang w:val="en-GB"/>
        </w:rPr>
        <w:t xml:space="preserve"> </w:t>
      </w:r>
      <w:r w:rsidR="0017399F" w:rsidRPr="00EB5BCF">
        <w:rPr>
          <w:rFonts w:ascii="Traditional Arabic" w:hAnsi="Traditional Arabic" w:cs="Traditional Arabic"/>
          <w:sz w:val="30"/>
          <w:szCs w:val="30"/>
          <w:rtl/>
          <w:lang w:val="en-GB"/>
        </w:rPr>
        <w:t>عشر</w:t>
      </w:r>
      <w:r w:rsidR="003C3D37">
        <w:rPr>
          <w:rFonts w:ascii="Traditional Arabic" w:hAnsi="Traditional Arabic" w:cs="Traditional Arabic" w:hint="cs"/>
          <w:sz w:val="30"/>
          <w:szCs w:val="30"/>
          <w:rtl/>
          <w:lang w:val="en-GB"/>
        </w:rPr>
        <w:t>، والفصل</w:t>
      </w:r>
      <w:r w:rsidR="00FD3A07">
        <w:rPr>
          <w:rFonts w:ascii="Traditional Arabic" w:hAnsi="Traditional Arabic" w:cs="Traditional Arabic" w:hint="cs"/>
          <w:sz w:val="30"/>
          <w:szCs w:val="30"/>
          <w:rtl/>
          <w:lang w:val="en-GB"/>
        </w:rPr>
        <w:t xml:space="preserve"> </w:t>
      </w:r>
      <w:r w:rsidR="00206DDC">
        <w:rPr>
          <w:rFonts w:ascii="Traditional Arabic" w:hAnsi="Traditional Arabic" w:cs="Traditional Arabic" w:hint="cs"/>
          <w:sz w:val="30"/>
          <w:szCs w:val="30"/>
          <w:rtl/>
          <w:lang w:val="en-GB"/>
        </w:rPr>
        <w:t xml:space="preserve">الخامس </w:t>
      </w:r>
      <w:r w:rsidR="00FD3A07">
        <w:rPr>
          <w:rFonts w:ascii="Traditional Arabic" w:hAnsi="Traditional Arabic" w:cs="Traditional Arabic" w:hint="cs"/>
          <w:sz w:val="30"/>
          <w:szCs w:val="30"/>
          <w:rtl/>
          <w:lang w:val="en-GB"/>
        </w:rPr>
        <w:t>عشر</w:t>
      </w:r>
      <w:r w:rsidR="0004411E">
        <w:rPr>
          <w:rFonts w:ascii="Traditional Arabic" w:hAnsi="Traditional Arabic" w:cs="Traditional Arabic" w:hint="cs"/>
          <w:sz w:val="30"/>
          <w:szCs w:val="30"/>
          <w:rtl/>
        </w:rPr>
        <w:t>.</w:t>
      </w:r>
    </w:p>
    <w:p w14:paraId="0D60532B" w14:textId="77777777" w:rsidR="00D50739" w:rsidRPr="00EB5BCF" w:rsidRDefault="00D50739" w:rsidP="0017399F">
      <w:pPr>
        <w:keepNext/>
        <w:bidi/>
        <w:jc w:val="both"/>
        <w:rPr>
          <w:rFonts w:ascii="Traditional Arabic" w:hAnsi="Traditional Arabic" w:cs="Traditional Arabic"/>
          <w:sz w:val="30"/>
          <w:szCs w:val="30"/>
          <w:rtl/>
          <w:lang w:val="en-GB"/>
        </w:rPr>
      </w:pPr>
    </w:p>
    <w:p w14:paraId="436342F5" w14:textId="77777777" w:rsidR="00006776" w:rsidRPr="00EB5BCF" w:rsidRDefault="00006776" w:rsidP="00640406">
      <w:pPr>
        <w:keepNext/>
        <w:bidi/>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قد تكون جميع البيانات ذات النظرة المستقبلية</w:t>
      </w:r>
      <w:r w:rsidR="00F10183" w:rsidRPr="00EB5BCF">
        <w:rPr>
          <w:rFonts w:ascii="Traditional Arabic" w:hAnsi="Traditional Arabic" w:cs="Traditional Arabic"/>
          <w:sz w:val="30"/>
          <w:szCs w:val="30"/>
          <w:rtl/>
          <w:lang w:val="en-GB"/>
        </w:rPr>
        <w:t xml:space="preserve">، بما في ذلك نتائج عمليات الشركة ووضعها المالي وتدفقاتها النقدية والسيولة والتوقعات المالية ونموها، </w:t>
      </w:r>
      <w:r w:rsidRPr="00EB5BCF">
        <w:rPr>
          <w:rFonts w:ascii="Traditional Arabic" w:hAnsi="Traditional Arabic" w:cs="Traditional Arabic"/>
          <w:sz w:val="30"/>
          <w:szCs w:val="30"/>
          <w:rtl/>
          <w:lang w:val="en-GB"/>
        </w:rPr>
        <w:t>عرضة لمخاطر وتكهنات وافتراضات قد تؤدي بالنتائج الفعلية</w:t>
      </w:r>
      <w:r w:rsidR="00F10183" w:rsidRPr="00EB5BCF">
        <w:rPr>
          <w:rFonts w:ascii="Traditional Arabic" w:hAnsi="Traditional Arabic" w:cs="Traditional Arabic"/>
          <w:sz w:val="30"/>
          <w:szCs w:val="30"/>
          <w:rtl/>
          <w:lang w:val="en-GB"/>
        </w:rPr>
        <w:t xml:space="preserve"> بأن تكون </w:t>
      </w:r>
      <w:r w:rsidRPr="00EB5BCF">
        <w:rPr>
          <w:rFonts w:ascii="Traditional Arabic" w:hAnsi="Traditional Arabic" w:cs="Traditional Arabic"/>
          <w:sz w:val="30"/>
          <w:szCs w:val="30"/>
          <w:rtl/>
          <w:lang w:val="en-GB"/>
        </w:rPr>
        <w:t>مختلفة اختلافاً جوهرياً عما هو مقصود أو وارد في تصريح النظرة المستقبلية.</w:t>
      </w:r>
      <w:r w:rsidR="00777386" w:rsidRPr="00EB5BCF">
        <w:rPr>
          <w:rFonts w:ascii="Traditional Arabic" w:hAnsi="Traditional Arabic" w:cs="Traditional Arabic"/>
          <w:sz w:val="30"/>
          <w:szCs w:val="30"/>
          <w:rtl/>
          <w:lang w:val="en-GB"/>
        </w:rPr>
        <w:t xml:space="preserve"> ورغم </w:t>
      </w:r>
      <w:r w:rsidR="00D37B65" w:rsidRPr="00EB5BCF">
        <w:rPr>
          <w:rFonts w:ascii="Traditional Arabic" w:hAnsi="Traditional Arabic" w:cs="Traditional Arabic"/>
          <w:sz w:val="30"/>
          <w:szCs w:val="30"/>
          <w:rtl/>
          <w:lang w:val="en-GB"/>
        </w:rPr>
        <w:t>اعتقاد الشركة</w:t>
      </w:r>
      <w:r w:rsidR="00777386" w:rsidRPr="00EB5BCF">
        <w:rPr>
          <w:rFonts w:ascii="Traditional Arabic" w:hAnsi="Traditional Arabic" w:cs="Traditional Arabic"/>
          <w:sz w:val="30"/>
          <w:szCs w:val="30"/>
          <w:rtl/>
          <w:lang w:val="en-GB"/>
        </w:rPr>
        <w:t xml:space="preserve"> بأن التوقعات الواردة في بيانات النظرة المستقبلية </w:t>
      </w:r>
      <w:r w:rsidR="00C41C82" w:rsidRPr="00EB5BCF">
        <w:rPr>
          <w:rFonts w:ascii="Traditional Arabic" w:hAnsi="Traditional Arabic" w:cs="Traditional Arabic"/>
          <w:sz w:val="30"/>
          <w:szCs w:val="30"/>
          <w:rtl/>
          <w:lang w:val="en-GB"/>
        </w:rPr>
        <w:t>هي توقعات مقبولة وسائغة وقت كتابة هذه النشرة إلا أنها لا تضمن أن تصدق هذه التوقعات، ولذ</w:t>
      </w:r>
      <w:r w:rsidR="00640406">
        <w:rPr>
          <w:rFonts w:ascii="Traditional Arabic" w:hAnsi="Traditional Arabic" w:cs="Traditional Arabic" w:hint="cs"/>
          <w:sz w:val="30"/>
          <w:szCs w:val="30"/>
          <w:rtl/>
          <w:lang w:val="en-GB"/>
        </w:rPr>
        <w:t xml:space="preserve">لك </w:t>
      </w:r>
      <w:r w:rsidR="00640406" w:rsidRPr="00640406">
        <w:rPr>
          <w:rFonts w:ascii="Traditional Arabic" w:hAnsi="Traditional Arabic" w:cs="Traditional Arabic"/>
          <w:sz w:val="30"/>
          <w:szCs w:val="30"/>
          <w:rtl/>
          <w:lang w:val="en-GB"/>
        </w:rPr>
        <w:t>لا يُنصح بالاعتماد الكلي على بيانات النظرة المستقبلية، حيث إنها عرضة للتغير بناءً على عوامل خارجة عن سيطرة الشركة</w:t>
      </w:r>
      <w:r w:rsidR="00640406">
        <w:rPr>
          <w:rFonts w:ascii="Traditional Arabic" w:hAnsi="Traditional Arabic" w:cs="Traditional Arabic" w:hint="cs"/>
          <w:sz w:val="30"/>
          <w:szCs w:val="30"/>
          <w:rtl/>
          <w:lang w:val="en-GB"/>
        </w:rPr>
        <w:t>.</w:t>
      </w:r>
    </w:p>
    <w:p w14:paraId="520C7C88" w14:textId="77777777" w:rsidR="00165346" w:rsidRPr="00EB5BCF" w:rsidRDefault="00165346" w:rsidP="00165346">
      <w:pPr>
        <w:keepNext/>
        <w:bidi/>
        <w:jc w:val="both"/>
        <w:rPr>
          <w:rFonts w:ascii="Traditional Arabic" w:hAnsi="Traditional Arabic" w:cs="Traditional Arabic"/>
          <w:sz w:val="30"/>
          <w:szCs w:val="30"/>
          <w:rtl/>
          <w:lang w:val="en-GB"/>
        </w:rPr>
      </w:pPr>
    </w:p>
    <w:p w14:paraId="44124AD8" w14:textId="77777777" w:rsidR="00006776" w:rsidRPr="00EB5BCF" w:rsidRDefault="00006776" w:rsidP="00006776">
      <w:pPr>
        <w:pStyle w:val="BodyText1"/>
        <w:bidi/>
        <w:spacing w:after="0"/>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وت</w:t>
      </w:r>
      <w:r w:rsidR="000820EC" w:rsidRPr="00EB5BCF">
        <w:rPr>
          <w:rFonts w:ascii="Traditional Arabic" w:hAnsi="Traditional Arabic" w:cs="Traditional Arabic"/>
          <w:sz w:val="30"/>
          <w:szCs w:val="30"/>
          <w:rtl/>
          <w:lang w:val="en-GB"/>
        </w:rPr>
        <w:t xml:space="preserve">تضمن هذه النشرة </w:t>
      </w:r>
      <w:r w:rsidRPr="00EB5BCF">
        <w:rPr>
          <w:rFonts w:ascii="Traditional Arabic" w:hAnsi="Traditional Arabic" w:cs="Traditional Arabic"/>
          <w:sz w:val="30"/>
          <w:szCs w:val="30"/>
          <w:rtl/>
          <w:lang w:val="en-GB"/>
        </w:rPr>
        <w:t>العوامل الرئيسة التي قد تؤدي إلى اختلاف النتائج الفعلية اختلافا جوهرياً عن توقعات الشركة</w:t>
      </w:r>
      <w:r w:rsidR="000820EC" w:rsidRPr="00EB5BCF">
        <w:rPr>
          <w:rFonts w:ascii="Traditional Arabic" w:hAnsi="Traditional Arabic" w:cs="Traditional Arabic"/>
          <w:sz w:val="30"/>
          <w:szCs w:val="30"/>
          <w:rtl/>
          <w:lang w:val="en-GB"/>
        </w:rPr>
        <w:t xml:space="preserve">، وهي مضمنة </w:t>
      </w:r>
      <w:r w:rsidRPr="00EB5BCF">
        <w:rPr>
          <w:rFonts w:ascii="Traditional Arabic" w:hAnsi="Traditional Arabic" w:cs="Traditional Arabic"/>
          <w:sz w:val="30"/>
          <w:szCs w:val="30"/>
          <w:rtl/>
          <w:lang w:val="en-GB"/>
        </w:rPr>
        <w:t>على سبيل المثال لا الحصر</w:t>
      </w:r>
      <w:r w:rsidR="00745DE1" w:rsidRPr="00EB5BCF">
        <w:rPr>
          <w:rFonts w:ascii="Traditional Arabic" w:hAnsi="Traditional Arabic" w:cs="Traditional Arabic"/>
          <w:sz w:val="30"/>
          <w:szCs w:val="30"/>
          <w:rtl/>
          <w:lang w:val="en-GB"/>
        </w:rPr>
        <w:t xml:space="preserve"> في بيانات النظرة المستقبلية، وفي بعض فصول هذه النشرة كالفصل الرابع بعنوان "عوامل المخاطرة "، وتشمل هذه العوامل على سبيل المثال لا الحصر:</w:t>
      </w:r>
    </w:p>
    <w:p w14:paraId="0CCE075B" w14:textId="77777777" w:rsidR="00006776" w:rsidRDefault="00006776" w:rsidP="00006776">
      <w:pPr>
        <w:pStyle w:val="BodyText1"/>
        <w:bidi/>
        <w:spacing w:after="0"/>
        <w:rPr>
          <w:rFonts w:ascii="Traditional Arabic" w:hAnsi="Traditional Arabic" w:cs="Traditional Arabic"/>
          <w:sz w:val="30"/>
          <w:szCs w:val="30"/>
          <w:rtl/>
          <w:lang w:val="en-GB" w:bidi="ar-OM"/>
        </w:rPr>
      </w:pPr>
    </w:p>
    <w:p w14:paraId="56FCDB17" w14:textId="77777777" w:rsidR="001A3C60" w:rsidRPr="00C73B2D" w:rsidRDefault="001A3C60" w:rsidP="00922116">
      <w:pPr>
        <w:numPr>
          <w:ilvl w:val="0"/>
          <w:numId w:val="39"/>
        </w:numPr>
        <w:bidi/>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rPr>
        <w:t>عدم القدرة على تقدير الأداء المستقبلي.</w:t>
      </w:r>
    </w:p>
    <w:p w14:paraId="3D6DE190" w14:textId="77777777" w:rsidR="001A3C60" w:rsidRPr="00C73B2D" w:rsidRDefault="001A3C60" w:rsidP="00922116">
      <w:pPr>
        <w:numPr>
          <w:ilvl w:val="0"/>
          <w:numId w:val="39"/>
        </w:numPr>
        <w:bidi/>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rPr>
        <w:t>عدم القدرة على إدارة المتطلبات التنظيمية الحالية والمستقبلية إذا تم تطبيق إجراءات تنظيمية فيما يتعلق بأعمال الشركة.</w:t>
      </w:r>
    </w:p>
    <w:p w14:paraId="3B7333D8" w14:textId="77777777" w:rsidR="001A3C60" w:rsidRDefault="001A3C60" w:rsidP="00922116">
      <w:pPr>
        <w:numPr>
          <w:ilvl w:val="0"/>
          <w:numId w:val="39"/>
        </w:numPr>
        <w:bidi/>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rPr>
        <w:lastRenderedPageBreak/>
        <w:t>عدم القدرة على توسعة أعمال الشركة</w:t>
      </w:r>
      <w:r w:rsidR="00344FE2">
        <w:rPr>
          <w:rFonts w:ascii="Traditional Arabic" w:hAnsi="Traditional Arabic" w:cs="Traditional Arabic" w:hint="cs"/>
          <w:sz w:val="30"/>
          <w:szCs w:val="30"/>
          <w:rtl/>
        </w:rPr>
        <w:t>.</w:t>
      </w:r>
    </w:p>
    <w:p w14:paraId="4D98B9D6" w14:textId="77777777" w:rsidR="00E16994" w:rsidRPr="00C73B2D" w:rsidRDefault="00E16994" w:rsidP="00922116">
      <w:pPr>
        <w:numPr>
          <w:ilvl w:val="0"/>
          <w:numId w:val="39"/>
        </w:numPr>
        <w:bidi/>
        <w:spacing w:beforeLines="40" w:before="96" w:afterLines="40" w:after="96" w:line="276" w:lineRule="auto"/>
        <w:jc w:val="both"/>
        <w:rPr>
          <w:rFonts w:ascii="Traditional Arabic" w:hAnsi="Traditional Arabic" w:cs="Traditional Arabic"/>
          <w:sz w:val="30"/>
          <w:szCs w:val="30"/>
        </w:rPr>
      </w:pPr>
      <w:r>
        <w:rPr>
          <w:rFonts w:ascii="Traditional Arabic" w:hAnsi="Traditional Arabic" w:cs="Traditional Arabic" w:hint="cs"/>
          <w:sz w:val="30"/>
          <w:szCs w:val="30"/>
          <w:rtl/>
        </w:rPr>
        <w:t>عدم القدرة على الحصول على التمويل اللازم لتمويل</w:t>
      </w:r>
      <w:r w:rsidR="00C8390F">
        <w:rPr>
          <w:rFonts w:ascii="Traditional Arabic" w:hAnsi="Traditional Arabic" w:cs="Traditional Arabic" w:hint="cs"/>
          <w:sz w:val="30"/>
          <w:szCs w:val="30"/>
          <w:rtl/>
        </w:rPr>
        <w:t xml:space="preserve"> مشاريع الإنفاق الرأسمالي.</w:t>
      </w:r>
    </w:p>
    <w:p w14:paraId="771E34CF" w14:textId="77777777" w:rsidR="001A3C60" w:rsidRPr="00C73B2D" w:rsidRDefault="001A3C60" w:rsidP="00922116">
      <w:pPr>
        <w:numPr>
          <w:ilvl w:val="0"/>
          <w:numId w:val="39"/>
        </w:numPr>
        <w:bidi/>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rPr>
        <w:t>عدم القدرة على الوفاء بالتزامات السداد.</w:t>
      </w:r>
    </w:p>
    <w:p w14:paraId="5CDCE2E2" w14:textId="77777777" w:rsidR="001A3C60" w:rsidRPr="00C73B2D" w:rsidRDefault="001A3C60" w:rsidP="00922116">
      <w:pPr>
        <w:numPr>
          <w:ilvl w:val="0"/>
          <w:numId w:val="39"/>
        </w:num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التغير المناخي وتأثير التخلي عن الكربون على أعمال الشركة.</w:t>
      </w:r>
    </w:p>
    <w:p w14:paraId="20F8D158" w14:textId="77777777" w:rsidR="00FD3A07" w:rsidRDefault="001A3C60" w:rsidP="00922116">
      <w:pPr>
        <w:numPr>
          <w:ilvl w:val="0"/>
          <w:numId w:val="39"/>
        </w:numPr>
        <w:bidi/>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rPr>
        <w:t>التغير في السياسات النقدية وسياسات الفائدة في سلطنة عُمان، والتضخم المحلي والدولي، وأسعار الفائدة المحلية والدولية.</w:t>
      </w:r>
    </w:p>
    <w:p w14:paraId="0483DD43" w14:textId="77777777" w:rsidR="001A3C60" w:rsidRDefault="00344FE2" w:rsidP="00922116">
      <w:pPr>
        <w:numPr>
          <w:ilvl w:val="0"/>
          <w:numId w:val="39"/>
        </w:numPr>
        <w:bidi/>
        <w:spacing w:beforeLines="40" w:before="96" w:afterLines="40" w:after="96" w:line="276" w:lineRule="auto"/>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تذبذب أسعار </w:t>
      </w:r>
      <w:r w:rsidR="001A3C60" w:rsidRPr="00C73B2D">
        <w:rPr>
          <w:rFonts w:ascii="Traditional Arabic" w:hAnsi="Traditional Arabic" w:cs="Traditional Arabic"/>
          <w:sz w:val="30"/>
          <w:szCs w:val="30"/>
          <w:rtl/>
        </w:rPr>
        <w:t>صرف العملات الأجنبية وأسعار الأسهم أو أي أسعار أخرى.</w:t>
      </w:r>
    </w:p>
    <w:p w14:paraId="51CC00F8" w14:textId="77777777" w:rsidR="001A3C60" w:rsidRPr="00C73B2D" w:rsidRDefault="001A3C60" w:rsidP="00922116">
      <w:pPr>
        <w:numPr>
          <w:ilvl w:val="0"/>
          <w:numId w:val="39"/>
        </w:num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أداء الأسواق المالية في سلطنة عُمان.</w:t>
      </w:r>
    </w:p>
    <w:p w14:paraId="1A4E1BB0" w14:textId="77777777" w:rsidR="001A3C60" w:rsidRPr="00C73B2D" w:rsidRDefault="001A3C60" w:rsidP="00922116">
      <w:pPr>
        <w:numPr>
          <w:ilvl w:val="0"/>
          <w:numId w:val="39"/>
        </w:numPr>
        <w:bidi/>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rPr>
        <w:t>الظروف السياسية والاقتصادية العامة وظروف سوق الأعمال في سلطنة عُمان التي ستؤثر على أعمال الشركة وأنشطتها.</w:t>
      </w:r>
    </w:p>
    <w:p w14:paraId="4188F080" w14:textId="77777777" w:rsidR="001A3C60" w:rsidRPr="00C73B2D" w:rsidRDefault="001A3C60" w:rsidP="00922116">
      <w:pPr>
        <w:numPr>
          <w:ilvl w:val="0"/>
          <w:numId w:val="39"/>
        </w:numPr>
        <w:bidi/>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rPr>
        <w:t>مخاطر أخرى مذكورة في الفصل الرابع بعنوان "عوامل المخاطرة ".</w:t>
      </w:r>
    </w:p>
    <w:p w14:paraId="3D7F35DE" w14:textId="77777777" w:rsidR="00F10183" w:rsidRPr="00EB5BCF" w:rsidRDefault="00F10183" w:rsidP="003A1B83">
      <w:pPr>
        <w:pStyle w:val="BodyText1"/>
        <w:bidi/>
        <w:spacing w:after="0"/>
        <w:rPr>
          <w:rFonts w:ascii="Traditional Arabic" w:hAnsi="Traditional Arabic" w:cs="Traditional Arabic"/>
          <w:sz w:val="30"/>
          <w:szCs w:val="30"/>
          <w:rtl/>
          <w:lang w:val="en-GB"/>
        </w:rPr>
      </w:pPr>
    </w:p>
    <w:p w14:paraId="5442578B" w14:textId="77777777" w:rsidR="00686FEB" w:rsidRPr="00C73B2D" w:rsidRDefault="00686FEB" w:rsidP="00CD53BC">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لا تمثل القائمة أعلاه جميع العوامل</w:t>
      </w:r>
      <w:r w:rsidR="0031408F">
        <w:rPr>
          <w:rFonts w:ascii="Traditional Arabic" w:hAnsi="Traditional Arabic" w:cs="Traditional Arabic" w:hint="cs"/>
          <w:sz w:val="30"/>
          <w:szCs w:val="30"/>
          <w:rtl/>
        </w:rPr>
        <w:t>،</w:t>
      </w:r>
      <w:r w:rsidRPr="00C73B2D">
        <w:rPr>
          <w:rFonts w:ascii="Traditional Arabic" w:hAnsi="Traditional Arabic" w:cs="Traditional Arabic"/>
          <w:sz w:val="30"/>
          <w:szCs w:val="30"/>
          <w:rtl/>
        </w:rPr>
        <w:t xml:space="preserve"> وللمزيد من النقاش حول العوامل التي قد تؤدي إلى اختلاف النتائج الفعلية عن التقديرات، يرجى الاطلاع على الفصل الرابع من هذه النشرة بعنوان "عوامل المخاطرة".</w:t>
      </w:r>
    </w:p>
    <w:p w14:paraId="10255DCB" w14:textId="77777777" w:rsidR="0031408F" w:rsidRDefault="0031408F" w:rsidP="00F10183">
      <w:pPr>
        <w:pStyle w:val="BodyText1"/>
        <w:bidi/>
        <w:spacing w:after="0"/>
        <w:rPr>
          <w:rFonts w:ascii="Traditional Arabic" w:hAnsi="Traditional Arabic" w:cs="Traditional Arabic"/>
          <w:sz w:val="30"/>
          <w:szCs w:val="30"/>
          <w:rtl/>
          <w:lang w:val="en-GB"/>
        </w:rPr>
      </w:pPr>
    </w:p>
    <w:p w14:paraId="048BF69D" w14:textId="77777777" w:rsidR="00AA5357" w:rsidRPr="00C73B2D" w:rsidRDefault="00AA5357" w:rsidP="00AA5357">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وبحكم طبيعة هذه العوامل المتأصلة، فإن الإفصاح عن بعض مخاطر السوق ما هي إلا تقديرات فقط، ويمكن أن تختلف اختلافا جوهريا عما يحدث فعلا في المستقبل، وكنتيجة لذلك، يمكن أن تكون الأرباح أو الخسائر الفعلية في المستقبل مختلفة اختلافاً جوهريا عن الأرباح والخسائر المقدرة في هذه النشرة. ولا يجب التشبث ببيانات النظرة المستقبلية الواردة في هذه النشرة إلا في الحدود الزمنية لوقت كتابة هذه النشرة. وبالتالي لن تتحمل الشركة أو </w:t>
      </w:r>
      <w:r w:rsidR="000861C6">
        <w:rPr>
          <w:rFonts w:ascii="Traditional Arabic" w:hAnsi="Traditional Arabic" w:cs="Traditional Arabic"/>
          <w:sz w:val="30"/>
          <w:szCs w:val="30"/>
          <w:rtl/>
        </w:rPr>
        <w:t>المساهم البائع</w:t>
      </w:r>
      <w:r w:rsidRPr="00C73B2D">
        <w:rPr>
          <w:rFonts w:ascii="Traditional Arabic" w:hAnsi="Traditional Arabic" w:cs="Traditional Arabic"/>
          <w:sz w:val="30"/>
          <w:szCs w:val="30"/>
          <w:rtl/>
        </w:rPr>
        <w:t xml:space="preserve"> أو </w:t>
      </w:r>
      <w:r w:rsidR="009013BB">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sz w:val="30"/>
          <w:szCs w:val="30"/>
          <w:rtl/>
        </w:rPr>
        <w:t xml:space="preserve"> المشترك</w:t>
      </w:r>
      <w:r w:rsidRPr="00C73B2D">
        <w:rPr>
          <w:rFonts w:ascii="Traditional Arabic" w:hAnsi="Traditional Arabic" w:cs="Traditional Arabic"/>
          <w:sz w:val="30"/>
          <w:szCs w:val="30"/>
          <w:rtl/>
        </w:rPr>
        <w:t xml:space="preserve"> أو </w:t>
      </w:r>
      <w:r w:rsidR="00D26C4F">
        <w:rPr>
          <w:rFonts w:ascii="Traditional Arabic" w:hAnsi="Traditional Arabic" w:cs="Traditional Arabic" w:hint="cs"/>
          <w:sz w:val="30"/>
          <w:szCs w:val="30"/>
          <w:rtl/>
        </w:rPr>
        <w:t xml:space="preserve">مدير الإصدار أو </w:t>
      </w:r>
      <w:r w:rsidRPr="00C73B2D">
        <w:rPr>
          <w:rFonts w:ascii="Traditional Arabic" w:hAnsi="Traditional Arabic" w:cs="Traditional Arabic"/>
          <w:b/>
          <w:sz w:val="30"/>
          <w:szCs w:val="30"/>
          <w:rtl/>
          <w:lang w:bidi="ar-EG"/>
        </w:rPr>
        <w:t>وكلاء التحصيل</w:t>
      </w:r>
      <w:r w:rsidRPr="00C73B2D">
        <w:rPr>
          <w:rFonts w:ascii="Traditional Arabic" w:hAnsi="Traditional Arabic" w:cs="Traditional Arabic"/>
          <w:sz w:val="30"/>
          <w:szCs w:val="30"/>
          <w:rtl/>
        </w:rPr>
        <w:t xml:space="preserve"> أو أي من الشركات ذات العلاقة التابعة لها أي التزام لتحديث البيانات الواردة في هذه النشرة أو مراجعتها لتعكس الظروف التي تنشأ بعد تاريخ اعتماد النشرة أو لتعكس وقوع أحداث أساسية، وإن كانت الافتراضات التي تقوم عليها غير صحيحة أو كانت الأرباح والخسائر مختلفة جوهريا عن التقديرات المذكورة في النشرة. لن تتحمل الشركة أو </w:t>
      </w:r>
      <w:r w:rsidR="000861C6">
        <w:rPr>
          <w:rFonts w:ascii="Traditional Arabic" w:hAnsi="Traditional Arabic" w:cs="Traditional Arabic"/>
          <w:sz w:val="30"/>
          <w:szCs w:val="30"/>
          <w:rtl/>
        </w:rPr>
        <w:t>المساهم البائع</w:t>
      </w:r>
      <w:r w:rsidRPr="00C73B2D">
        <w:rPr>
          <w:rFonts w:ascii="Traditional Arabic" w:hAnsi="Traditional Arabic" w:cs="Traditional Arabic"/>
          <w:sz w:val="30"/>
          <w:szCs w:val="30"/>
          <w:rtl/>
        </w:rPr>
        <w:t xml:space="preserve"> أو </w:t>
      </w:r>
      <w:r w:rsidR="009013BB">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sz w:val="30"/>
          <w:szCs w:val="30"/>
          <w:rtl/>
        </w:rPr>
        <w:t xml:space="preserve"> المشترك</w:t>
      </w:r>
      <w:r w:rsidRPr="00C73B2D">
        <w:rPr>
          <w:rFonts w:ascii="Traditional Arabic" w:hAnsi="Traditional Arabic" w:cs="Traditional Arabic"/>
          <w:sz w:val="30"/>
          <w:szCs w:val="30"/>
          <w:rtl/>
        </w:rPr>
        <w:t xml:space="preserve"> أو</w:t>
      </w:r>
      <w:r w:rsidR="00D26C4F">
        <w:rPr>
          <w:rFonts w:ascii="Traditional Arabic" w:hAnsi="Traditional Arabic" w:cs="Traditional Arabic" w:hint="cs"/>
          <w:sz w:val="30"/>
          <w:szCs w:val="30"/>
          <w:rtl/>
        </w:rPr>
        <w:t xml:space="preserve"> مدير الإصدار</w:t>
      </w:r>
      <w:r w:rsidRPr="00C73B2D">
        <w:rPr>
          <w:rFonts w:ascii="Traditional Arabic" w:hAnsi="Traditional Arabic" w:cs="Traditional Arabic"/>
          <w:sz w:val="30"/>
          <w:szCs w:val="30"/>
          <w:rtl/>
        </w:rPr>
        <w:t xml:space="preserve"> </w:t>
      </w:r>
      <w:r w:rsidRPr="00C73B2D">
        <w:rPr>
          <w:rFonts w:ascii="Traditional Arabic" w:hAnsi="Traditional Arabic" w:cs="Traditional Arabic"/>
          <w:b/>
          <w:sz w:val="30"/>
          <w:szCs w:val="30"/>
          <w:rtl/>
          <w:lang w:bidi="ar-EG"/>
        </w:rPr>
        <w:t>وكلاء التحصيل</w:t>
      </w:r>
      <w:r w:rsidRPr="00C73B2D">
        <w:rPr>
          <w:rFonts w:ascii="Traditional Arabic" w:hAnsi="Traditional Arabic" w:cs="Traditional Arabic"/>
          <w:sz w:val="30"/>
          <w:szCs w:val="30"/>
          <w:rtl/>
        </w:rPr>
        <w:t xml:space="preserve"> أي التزام لتحديث بيانات النظرة المستقبلية </w:t>
      </w:r>
      <w:r w:rsidRPr="00C73B2D">
        <w:rPr>
          <w:rFonts w:ascii="Traditional Arabic" w:hAnsi="Traditional Arabic" w:cs="Traditional Arabic"/>
          <w:sz w:val="30"/>
          <w:szCs w:val="30"/>
          <w:rtl/>
        </w:rPr>
        <w:lastRenderedPageBreak/>
        <w:t>الواردة في هذه النشرة لتعكس التغييرات في توقعاتهم أو أي تغيير في الأحوال أو الظروف أو الأوضاع المؤسس عليها هذه البيانات ما لم يكن ذلك لازماً بموجب القانون المعمول به.</w:t>
      </w:r>
    </w:p>
    <w:p w14:paraId="08808B8D" w14:textId="77777777" w:rsidR="001855A5" w:rsidRPr="00EB5BCF" w:rsidRDefault="001855A5" w:rsidP="001855A5">
      <w:pPr>
        <w:pStyle w:val="BodyText1"/>
        <w:bidi/>
        <w:spacing w:after="0"/>
        <w:rPr>
          <w:rFonts w:ascii="Traditional Arabic" w:hAnsi="Traditional Arabic" w:cs="Traditional Arabic"/>
          <w:sz w:val="30"/>
          <w:szCs w:val="30"/>
          <w:rtl/>
          <w:lang w:val="en-GB"/>
        </w:rPr>
      </w:pPr>
    </w:p>
    <w:p w14:paraId="467661A3" w14:textId="77777777" w:rsidR="00DE57BD" w:rsidRPr="00C73B2D" w:rsidRDefault="00DE57BD" w:rsidP="00DE57BD">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وعليه لا يعتبر بأي حال من الأحوال تضمين هذه النشرة بيانات النظرة المستقبلية على أنه إقرار أو ضمان من الشركة أو </w:t>
      </w:r>
      <w:r w:rsidR="000861C6">
        <w:rPr>
          <w:rFonts w:ascii="Traditional Arabic" w:hAnsi="Traditional Arabic" w:cs="Traditional Arabic"/>
          <w:sz w:val="30"/>
          <w:szCs w:val="30"/>
          <w:rtl/>
        </w:rPr>
        <w:t>المساهم البائع</w:t>
      </w:r>
      <w:r w:rsidRPr="00C73B2D">
        <w:rPr>
          <w:rFonts w:ascii="Traditional Arabic" w:hAnsi="Traditional Arabic" w:cs="Traditional Arabic"/>
          <w:sz w:val="30"/>
          <w:szCs w:val="30"/>
          <w:rtl/>
        </w:rPr>
        <w:t xml:space="preserve"> أو </w:t>
      </w:r>
      <w:r w:rsidR="00BB1E80">
        <w:rPr>
          <w:rFonts w:ascii="Traditional Arabic" w:hAnsi="Traditional Arabic" w:cs="Traditional Arabic" w:hint="cs"/>
          <w:b/>
          <w:sz w:val="30"/>
          <w:szCs w:val="30"/>
          <w:rtl/>
          <w:lang w:bidi="ar-EG"/>
        </w:rPr>
        <w:t>مدير سجل الاكتتاب</w:t>
      </w:r>
      <w:r w:rsidR="00F37CF6">
        <w:rPr>
          <w:rFonts w:ascii="Traditional Arabic" w:hAnsi="Traditional Arabic" w:cs="Traditional Arabic"/>
          <w:sz w:val="30"/>
          <w:szCs w:val="30"/>
          <w:rtl/>
        </w:rPr>
        <w:t xml:space="preserve"> المشترك</w:t>
      </w:r>
      <w:r w:rsidRPr="00C73B2D">
        <w:rPr>
          <w:rFonts w:ascii="Traditional Arabic" w:hAnsi="Traditional Arabic" w:cs="Traditional Arabic"/>
          <w:sz w:val="30"/>
          <w:szCs w:val="30"/>
          <w:rtl/>
        </w:rPr>
        <w:t xml:space="preserve"> </w:t>
      </w:r>
      <w:r w:rsidR="00B6545F">
        <w:rPr>
          <w:rFonts w:ascii="Traditional Arabic" w:hAnsi="Traditional Arabic" w:cs="Traditional Arabic" w:hint="cs"/>
          <w:sz w:val="30"/>
          <w:szCs w:val="30"/>
          <w:rtl/>
        </w:rPr>
        <w:t>أو مدير الإصدار</w:t>
      </w:r>
      <w:r w:rsidR="00B6545F"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 xml:space="preserve">أو مسجل الاكتتاب أو </w:t>
      </w:r>
      <w:r w:rsidRPr="00C73B2D">
        <w:rPr>
          <w:rFonts w:ascii="Traditional Arabic" w:hAnsi="Traditional Arabic" w:cs="Traditional Arabic"/>
          <w:b/>
          <w:sz w:val="30"/>
          <w:szCs w:val="30"/>
          <w:rtl/>
          <w:lang w:bidi="ar-EG"/>
        </w:rPr>
        <w:t>وكلاء التحصيل</w:t>
      </w:r>
      <w:r w:rsidRPr="00C73B2D">
        <w:rPr>
          <w:rFonts w:ascii="Traditional Arabic" w:hAnsi="Traditional Arabic" w:cs="Traditional Arabic"/>
          <w:sz w:val="30"/>
          <w:szCs w:val="30"/>
          <w:rtl/>
        </w:rPr>
        <w:t xml:space="preserve"> أو أي شخص آخر بخصوص تحقيق النتائج الواردة في تلك البيانات.</w:t>
      </w:r>
    </w:p>
    <w:p w14:paraId="468C73A5" w14:textId="77777777" w:rsidR="00B9730E" w:rsidRPr="00EB5BCF" w:rsidRDefault="00B9730E" w:rsidP="001855A5">
      <w:pPr>
        <w:pStyle w:val="BodyText1"/>
        <w:bidi/>
        <w:spacing w:after="0"/>
        <w:rPr>
          <w:rFonts w:ascii="Traditional Arabic" w:hAnsi="Traditional Arabic" w:cs="Traditional Arabic"/>
          <w:sz w:val="30"/>
          <w:szCs w:val="30"/>
          <w:rtl/>
          <w:lang w:val="en-GB"/>
        </w:rPr>
        <w:sectPr w:rsidR="00B9730E" w:rsidRPr="00EB5BCF">
          <w:footerReference w:type="default" r:id="rId12"/>
          <w:pgSz w:w="12240" w:h="15840"/>
          <w:pgMar w:top="1440" w:right="1440" w:bottom="1440" w:left="1440" w:header="720" w:footer="720" w:gutter="0"/>
          <w:cols w:space="720"/>
          <w:docGrid w:linePitch="360"/>
        </w:sectPr>
      </w:pPr>
      <w:r w:rsidRPr="00EB5BCF">
        <w:rPr>
          <w:rFonts w:ascii="Traditional Arabic" w:hAnsi="Traditional Arabic" w:cs="Traditional Arabic"/>
          <w:sz w:val="30"/>
          <w:szCs w:val="30"/>
          <w:rtl/>
          <w:lang w:val="en-GB"/>
        </w:rPr>
        <w:t xml:space="preserve">وسوف تلتزم </w:t>
      </w:r>
      <w:r w:rsidR="0088584A" w:rsidRPr="00EB5BCF">
        <w:rPr>
          <w:rFonts w:ascii="Traditional Arabic" w:hAnsi="Traditional Arabic" w:cs="Traditional Arabic"/>
          <w:sz w:val="30"/>
          <w:szCs w:val="30"/>
          <w:rtl/>
          <w:lang w:val="en-GB"/>
        </w:rPr>
        <w:t>ال</w:t>
      </w:r>
      <w:r w:rsidRPr="00EB5BCF">
        <w:rPr>
          <w:rFonts w:ascii="Traditional Arabic" w:hAnsi="Traditional Arabic" w:cs="Traditional Arabic"/>
          <w:sz w:val="30"/>
          <w:szCs w:val="30"/>
          <w:rtl/>
          <w:lang w:val="en-GB"/>
        </w:rPr>
        <w:t xml:space="preserve">شركة بعد إدراجها في بورصة مسقط بقواعد الإفصاح وشروطه الصادرة من قبل </w:t>
      </w:r>
      <w:r w:rsidR="002D7E14">
        <w:rPr>
          <w:rFonts w:ascii="Traditional Arabic" w:hAnsi="Traditional Arabic" w:cs="Traditional Arabic"/>
          <w:sz w:val="30"/>
          <w:szCs w:val="30"/>
          <w:rtl/>
          <w:lang w:val="en-GB"/>
        </w:rPr>
        <w:t>هيئة الخدمات المالية</w:t>
      </w:r>
      <w:r w:rsidRPr="00EB5BCF">
        <w:rPr>
          <w:rFonts w:ascii="Traditional Arabic" w:hAnsi="Traditional Arabic" w:cs="Traditional Arabic"/>
          <w:sz w:val="30"/>
          <w:szCs w:val="30"/>
          <w:rtl/>
          <w:lang w:val="en-GB"/>
        </w:rPr>
        <w:t xml:space="preserve"> والتي تستوجب الإفصاح في المواعيد المحددة عن نتائج التشغيل الخاصة </w:t>
      </w:r>
      <w:r w:rsidR="0088584A" w:rsidRPr="00EB5BCF">
        <w:rPr>
          <w:rFonts w:ascii="Traditional Arabic" w:hAnsi="Traditional Arabic" w:cs="Traditional Arabic"/>
          <w:sz w:val="30"/>
          <w:szCs w:val="30"/>
          <w:rtl/>
          <w:lang w:val="en-GB"/>
        </w:rPr>
        <w:t>بها</w:t>
      </w:r>
      <w:r w:rsidRPr="00EB5BCF">
        <w:rPr>
          <w:rFonts w:ascii="Traditional Arabic" w:hAnsi="Traditional Arabic" w:cs="Traditional Arabic"/>
          <w:sz w:val="30"/>
          <w:szCs w:val="30"/>
          <w:rtl/>
          <w:lang w:val="en-GB"/>
        </w:rPr>
        <w:t xml:space="preserve">. وتود الشركة أن توجه عناية المستثمرين المحتملين والمساهمين إلى متابعة أية معلومات أو إعلانات تصدرها بعد إدراجها في بورصة مسقط عبر الموقع الإلكتروني للسوق: </w:t>
      </w:r>
      <w:hyperlink r:id="rId13" w:history="1">
        <w:r w:rsidRPr="00EB5BCF">
          <w:rPr>
            <w:rStyle w:val="Hyperlink"/>
            <w:rFonts w:ascii="Traditional Arabic" w:hAnsi="Traditional Arabic" w:cs="Traditional Arabic"/>
            <w:i/>
            <w:iCs/>
            <w:sz w:val="30"/>
            <w:szCs w:val="30"/>
          </w:rPr>
          <w:t>www.msx.om</w:t>
        </w:r>
      </w:hyperlink>
      <w:r w:rsidRPr="00EB5BCF">
        <w:rPr>
          <w:rFonts w:ascii="Traditional Arabic" w:hAnsi="Traditional Arabic" w:cs="Traditional Arabic"/>
          <w:sz w:val="30"/>
          <w:szCs w:val="30"/>
          <w:rtl/>
          <w:lang w:val="en-GB"/>
        </w:rPr>
        <w:t>.</w:t>
      </w:r>
    </w:p>
    <w:p w14:paraId="153D5B15" w14:textId="77777777" w:rsidR="00AB6446" w:rsidRPr="00EB5BCF" w:rsidRDefault="00B9730E" w:rsidP="00B9730E">
      <w:pPr>
        <w:pStyle w:val="BodyText1"/>
        <w:bidi/>
        <w:spacing w:after="0"/>
        <w:jc w:val="center"/>
        <w:rPr>
          <w:rFonts w:ascii="Traditional Arabic" w:hAnsi="Traditional Arabic" w:cs="Traditional Arabic"/>
          <w:b/>
          <w:bCs/>
          <w:sz w:val="30"/>
          <w:szCs w:val="30"/>
          <w:rtl/>
          <w:lang w:val="en-GB" w:bidi="ar-EG"/>
        </w:rPr>
      </w:pPr>
      <w:r w:rsidRPr="00EB5BCF">
        <w:rPr>
          <w:rFonts w:ascii="Traditional Arabic" w:hAnsi="Traditional Arabic" w:cs="Traditional Arabic"/>
          <w:b/>
          <w:bCs/>
          <w:sz w:val="30"/>
          <w:szCs w:val="30"/>
          <w:rtl/>
          <w:lang w:val="en-GB" w:bidi="ar-EG"/>
        </w:rPr>
        <w:lastRenderedPageBreak/>
        <w:t>عرض البيانات المالية وبيانات القطاع والسوق</w:t>
      </w:r>
    </w:p>
    <w:p w14:paraId="6DDBFBCF" w14:textId="77777777" w:rsidR="00CD5CD6" w:rsidRPr="00EB5BCF" w:rsidRDefault="00CD5CD6" w:rsidP="00B9730E">
      <w:pPr>
        <w:pStyle w:val="BodyText1"/>
        <w:bidi/>
        <w:spacing w:after="0"/>
        <w:rPr>
          <w:rFonts w:ascii="Traditional Arabic" w:hAnsi="Traditional Arabic" w:cs="Traditional Arabic"/>
          <w:b/>
          <w:bCs/>
          <w:sz w:val="30"/>
          <w:szCs w:val="30"/>
          <w:rtl/>
          <w:lang w:val="en-GB" w:bidi="ar-EG"/>
        </w:rPr>
      </w:pPr>
    </w:p>
    <w:p w14:paraId="2B582378" w14:textId="77777777" w:rsidR="00B9730E" w:rsidRPr="00EB5BCF" w:rsidRDefault="00B9730E" w:rsidP="00CD5CD6">
      <w:pPr>
        <w:pStyle w:val="BodyText1"/>
        <w:bidi/>
        <w:spacing w:after="0"/>
        <w:rPr>
          <w:rFonts w:ascii="Traditional Arabic" w:hAnsi="Traditional Arabic" w:cs="Traditional Arabic"/>
          <w:b/>
          <w:bCs/>
          <w:sz w:val="30"/>
          <w:szCs w:val="30"/>
          <w:rtl/>
          <w:lang w:val="en-GB" w:bidi="ar-EG"/>
        </w:rPr>
      </w:pPr>
      <w:r w:rsidRPr="00EB5BCF">
        <w:rPr>
          <w:rFonts w:ascii="Traditional Arabic" w:hAnsi="Traditional Arabic" w:cs="Traditional Arabic"/>
          <w:b/>
          <w:bCs/>
          <w:sz w:val="30"/>
          <w:szCs w:val="30"/>
          <w:rtl/>
          <w:lang w:val="en-GB" w:bidi="ar-EG"/>
        </w:rPr>
        <w:t>البيانات المالية</w:t>
      </w:r>
    </w:p>
    <w:p w14:paraId="6F558264" w14:textId="77777777" w:rsidR="004527FC" w:rsidRDefault="00226840" w:rsidP="00222C90">
      <w:pPr>
        <w:pStyle w:val="BodyText1"/>
        <w:bidi/>
        <w:spacing w:after="0"/>
        <w:rPr>
          <w:rFonts w:ascii="Traditional Arabic" w:hAnsi="Traditional Arabic" w:cs="Traditional Arabic"/>
          <w:sz w:val="30"/>
          <w:szCs w:val="30"/>
          <w:rtl/>
          <w:lang w:val="en-GB" w:bidi="ar-EG"/>
        </w:rPr>
      </w:pPr>
      <w:r w:rsidRPr="00C73B2D">
        <w:rPr>
          <w:rFonts w:ascii="Traditional Arabic" w:hAnsi="Traditional Arabic" w:cs="Traditional Arabic"/>
          <w:sz w:val="30"/>
          <w:szCs w:val="30"/>
          <w:rtl/>
          <w:lang w:bidi="ar-EG"/>
        </w:rPr>
        <w:t>البيانات المالية المدققة</w:t>
      </w:r>
      <w:r w:rsidR="00C8390F">
        <w:rPr>
          <w:rFonts w:ascii="Traditional Arabic" w:hAnsi="Traditional Arabic" w:cs="Traditional Arabic" w:hint="cs"/>
          <w:sz w:val="30"/>
          <w:szCs w:val="30"/>
          <w:rtl/>
          <w:lang w:bidi="ar-EG"/>
        </w:rPr>
        <w:t xml:space="preserve"> </w:t>
      </w:r>
      <w:r w:rsidR="006F275E">
        <w:rPr>
          <w:rFonts w:ascii="Traditional Arabic" w:hAnsi="Traditional Arabic" w:cs="Traditional Arabic" w:hint="cs"/>
          <w:sz w:val="30"/>
          <w:szCs w:val="30"/>
          <w:rtl/>
          <w:lang w:bidi="ar-EG"/>
        </w:rPr>
        <w:t xml:space="preserve">الموحدة </w:t>
      </w:r>
      <w:r w:rsidRPr="00C73B2D">
        <w:rPr>
          <w:rFonts w:ascii="Traditional Arabic" w:hAnsi="Traditional Arabic" w:cs="Traditional Arabic"/>
          <w:sz w:val="30"/>
          <w:szCs w:val="30"/>
          <w:rtl/>
          <w:lang w:bidi="ar-EG"/>
        </w:rPr>
        <w:t>للشركة للسنوات المنتهية في (1) 31 ديسمبر من عام 202</w:t>
      </w:r>
      <w:r w:rsidR="008118F6">
        <w:rPr>
          <w:rFonts w:ascii="Traditional Arabic" w:hAnsi="Traditional Arabic" w:cs="Traditional Arabic" w:hint="cs"/>
          <w:sz w:val="30"/>
          <w:szCs w:val="30"/>
          <w:rtl/>
          <w:lang w:bidi="ar-EG"/>
        </w:rPr>
        <w:t>3</w:t>
      </w:r>
      <w:r w:rsidRPr="00C73B2D">
        <w:rPr>
          <w:rFonts w:ascii="Traditional Arabic" w:hAnsi="Traditional Arabic" w:cs="Traditional Arabic"/>
          <w:sz w:val="30"/>
          <w:szCs w:val="30"/>
          <w:rtl/>
          <w:lang w:bidi="ar-EG"/>
        </w:rPr>
        <w:t xml:space="preserve"> (والتي تتضمن </w:t>
      </w:r>
      <w:r w:rsidR="005E64AE">
        <w:rPr>
          <w:rFonts w:ascii="Traditional Arabic" w:hAnsi="Traditional Arabic" w:cs="Traditional Arabic" w:hint="cs"/>
          <w:sz w:val="30"/>
          <w:szCs w:val="30"/>
          <w:rtl/>
          <w:lang w:bidi="ar-EG"/>
        </w:rPr>
        <w:t>بيانات</w:t>
      </w:r>
      <w:r w:rsidR="005E64AE" w:rsidRPr="00C73B2D">
        <w:rPr>
          <w:rFonts w:ascii="Traditional Arabic" w:hAnsi="Traditional Arabic" w:cs="Traditional Arabic"/>
          <w:sz w:val="30"/>
          <w:szCs w:val="30"/>
          <w:rtl/>
          <w:lang w:bidi="ar-EG"/>
        </w:rPr>
        <w:t xml:space="preserve"> </w:t>
      </w:r>
      <w:r w:rsidRPr="00C73B2D">
        <w:rPr>
          <w:rFonts w:ascii="Traditional Arabic" w:hAnsi="Traditional Arabic" w:cs="Traditional Arabic"/>
          <w:sz w:val="30"/>
          <w:szCs w:val="30"/>
          <w:rtl/>
          <w:lang w:bidi="ar-EG"/>
        </w:rPr>
        <w:t xml:space="preserve">مالية </w:t>
      </w:r>
      <w:r w:rsidR="002C2565">
        <w:rPr>
          <w:rFonts w:ascii="Traditional Arabic" w:hAnsi="Traditional Arabic" w:cs="Traditional Arabic" w:hint="cs"/>
          <w:sz w:val="30"/>
          <w:szCs w:val="30"/>
          <w:rtl/>
          <w:lang w:bidi="ar-EG"/>
        </w:rPr>
        <w:t xml:space="preserve">موحدة </w:t>
      </w:r>
      <w:r w:rsidRPr="00C73B2D">
        <w:rPr>
          <w:rFonts w:ascii="Traditional Arabic" w:hAnsi="Traditional Arabic" w:cs="Traditional Arabic"/>
          <w:sz w:val="30"/>
          <w:szCs w:val="30"/>
          <w:rtl/>
          <w:lang w:bidi="ar-EG"/>
        </w:rPr>
        <w:t>مقارنة للسنة المنتهية في 31 ديسمبر 202</w:t>
      </w:r>
      <w:r w:rsidR="008118F6">
        <w:rPr>
          <w:rFonts w:ascii="Traditional Arabic" w:hAnsi="Traditional Arabic" w:cs="Traditional Arabic" w:hint="cs"/>
          <w:sz w:val="30"/>
          <w:szCs w:val="30"/>
          <w:rtl/>
          <w:lang w:bidi="ar-EG"/>
        </w:rPr>
        <w:t>2</w:t>
      </w:r>
      <w:r w:rsidRPr="00C73B2D">
        <w:rPr>
          <w:rFonts w:ascii="Traditional Arabic" w:hAnsi="Traditional Arabic" w:cs="Traditional Arabic"/>
          <w:sz w:val="30"/>
          <w:szCs w:val="30"/>
          <w:rtl/>
          <w:lang w:bidi="ar-EG"/>
        </w:rPr>
        <w:t>) ("البيانات المالية لسنة 202</w:t>
      </w:r>
      <w:r w:rsidR="008118F6">
        <w:rPr>
          <w:rFonts w:ascii="Traditional Arabic" w:hAnsi="Traditional Arabic" w:cs="Traditional Arabic" w:hint="cs"/>
          <w:sz w:val="30"/>
          <w:szCs w:val="30"/>
          <w:rtl/>
          <w:lang w:bidi="ar-EG"/>
        </w:rPr>
        <w:t>3</w:t>
      </w:r>
      <w:r w:rsidRPr="00C73B2D">
        <w:rPr>
          <w:rFonts w:ascii="Traditional Arabic" w:hAnsi="Traditional Arabic" w:cs="Traditional Arabic"/>
          <w:sz w:val="30"/>
          <w:szCs w:val="30"/>
          <w:rtl/>
          <w:lang w:bidi="ar-EG"/>
        </w:rPr>
        <w:t>")، (2) 31 ديسمبر 202</w:t>
      </w:r>
      <w:r w:rsidR="008118F6">
        <w:rPr>
          <w:rFonts w:ascii="Traditional Arabic" w:hAnsi="Traditional Arabic" w:cs="Traditional Arabic" w:hint="cs"/>
          <w:sz w:val="30"/>
          <w:szCs w:val="30"/>
          <w:rtl/>
          <w:lang w:bidi="ar-EG"/>
        </w:rPr>
        <w:t>2</w:t>
      </w:r>
      <w:r w:rsidRPr="00C73B2D">
        <w:rPr>
          <w:rFonts w:ascii="Traditional Arabic" w:hAnsi="Traditional Arabic" w:cs="Traditional Arabic"/>
          <w:sz w:val="30"/>
          <w:szCs w:val="30"/>
          <w:rtl/>
          <w:lang w:bidi="ar-EG"/>
        </w:rPr>
        <w:t xml:space="preserve"> (والتي تتضمن </w:t>
      </w:r>
      <w:r w:rsidR="005E64AE">
        <w:rPr>
          <w:rFonts w:ascii="Traditional Arabic" w:hAnsi="Traditional Arabic" w:cs="Traditional Arabic" w:hint="cs"/>
          <w:sz w:val="30"/>
          <w:szCs w:val="30"/>
          <w:rtl/>
          <w:lang w:bidi="ar-EG"/>
        </w:rPr>
        <w:t>بيانات</w:t>
      </w:r>
      <w:r w:rsidR="005E64AE" w:rsidRPr="00C73B2D">
        <w:rPr>
          <w:rFonts w:ascii="Traditional Arabic" w:hAnsi="Traditional Arabic" w:cs="Traditional Arabic"/>
          <w:sz w:val="30"/>
          <w:szCs w:val="30"/>
          <w:rtl/>
          <w:lang w:bidi="ar-EG"/>
        </w:rPr>
        <w:t xml:space="preserve"> </w:t>
      </w:r>
      <w:r w:rsidRPr="00C73B2D">
        <w:rPr>
          <w:rFonts w:ascii="Traditional Arabic" w:hAnsi="Traditional Arabic" w:cs="Traditional Arabic"/>
          <w:sz w:val="30"/>
          <w:szCs w:val="30"/>
          <w:rtl/>
          <w:lang w:bidi="ar-EG"/>
        </w:rPr>
        <w:t>مالية مقارنة</w:t>
      </w:r>
      <w:r w:rsidR="00803585">
        <w:rPr>
          <w:rFonts w:ascii="Traditional Arabic" w:hAnsi="Traditional Arabic" w:cs="Traditional Arabic" w:hint="cs"/>
          <w:sz w:val="30"/>
          <w:szCs w:val="30"/>
          <w:rtl/>
          <w:lang w:bidi="ar-EG"/>
        </w:rPr>
        <w:t xml:space="preserve"> موحدة</w:t>
      </w:r>
      <w:r w:rsidRPr="00C73B2D">
        <w:rPr>
          <w:rFonts w:ascii="Traditional Arabic" w:hAnsi="Traditional Arabic" w:cs="Traditional Arabic"/>
          <w:sz w:val="30"/>
          <w:szCs w:val="30"/>
          <w:rtl/>
          <w:lang w:bidi="ar-EG"/>
        </w:rPr>
        <w:t xml:space="preserve"> للسنة المنتهية في 31 ديسمبر 202</w:t>
      </w:r>
      <w:r w:rsidR="008118F6">
        <w:rPr>
          <w:rFonts w:ascii="Traditional Arabic" w:hAnsi="Traditional Arabic" w:cs="Traditional Arabic" w:hint="cs"/>
          <w:sz w:val="30"/>
          <w:szCs w:val="30"/>
          <w:rtl/>
          <w:lang w:bidi="ar-EG"/>
        </w:rPr>
        <w:t>1</w:t>
      </w:r>
      <w:r w:rsidRPr="00C73B2D">
        <w:rPr>
          <w:rFonts w:ascii="Traditional Arabic" w:hAnsi="Traditional Arabic" w:cs="Traditional Arabic"/>
          <w:sz w:val="30"/>
          <w:szCs w:val="30"/>
          <w:rtl/>
          <w:lang w:bidi="ar-EG"/>
        </w:rPr>
        <w:t>) ("البيانات المالية</w:t>
      </w:r>
      <w:r w:rsidR="002C2565" w:rsidRPr="002C2565">
        <w:rPr>
          <w:rFonts w:ascii="Traditional Arabic" w:hAnsi="Traditional Arabic" w:cs="Traditional Arabic" w:hint="cs"/>
          <w:sz w:val="30"/>
          <w:szCs w:val="30"/>
          <w:rtl/>
          <w:lang w:bidi="ar-EG"/>
        </w:rPr>
        <w:t xml:space="preserve"> </w:t>
      </w:r>
      <w:r w:rsidRPr="00C73B2D">
        <w:rPr>
          <w:rFonts w:ascii="Traditional Arabic" w:hAnsi="Traditional Arabic" w:cs="Traditional Arabic"/>
          <w:sz w:val="30"/>
          <w:szCs w:val="30"/>
          <w:rtl/>
          <w:lang w:bidi="ar-EG"/>
        </w:rPr>
        <w:t>لسنة 202</w:t>
      </w:r>
      <w:r w:rsidR="00515011">
        <w:rPr>
          <w:rFonts w:ascii="Traditional Arabic" w:hAnsi="Traditional Arabic" w:cs="Traditional Arabic" w:hint="cs"/>
          <w:sz w:val="30"/>
          <w:szCs w:val="30"/>
          <w:rtl/>
          <w:lang w:bidi="ar-EG"/>
        </w:rPr>
        <w:t>2</w:t>
      </w:r>
      <w:r w:rsidRPr="00C73B2D">
        <w:rPr>
          <w:rFonts w:ascii="Traditional Arabic" w:hAnsi="Traditional Arabic" w:cs="Traditional Arabic"/>
          <w:sz w:val="30"/>
          <w:szCs w:val="30"/>
          <w:rtl/>
          <w:lang w:bidi="ar-EG"/>
        </w:rPr>
        <w:t xml:space="preserve">") (يشار إليها جميعاً بـ"البيانات المالية السنوية") </w:t>
      </w:r>
      <w:r w:rsidR="00D46A0C" w:rsidRPr="00EB5BCF">
        <w:rPr>
          <w:rFonts w:ascii="Traditional Arabic" w:hAnsi="Traditional Arabic" w:cs="Traditional Arabic"/>
          <w:sz w:val="30"/>
          <w:szCs w:val="30"/>
          <w:rtl/>
          <w:lang w:val="en-GB" w:bidi="ar-EG"/>
        </w:rPr>
        <w:t>والبيانات المالية المرحلية المدققة</w:t>
      </w:r>
      <w:r w:rsidR="008F5A2F">
        <w:rPr>
          <w:rFonts w:ascii="Traditional Arabic" w:hAnsi="Traditional Arabic" w:cs="Traditional Arabic" w:hint="cs"/>
          <w:sz w:val="30"/>
          <w:szCs w:val="30"/>
          <w:rtl/>
          <w:lang w:val="en-GB" w:bidi="ar-EG"/>
        </w:rPr>
        <w:t xml:space="preserve"> الموحدة</w:t>
      </w:r>
      <w:r w:rsidR="002E205A">
        <w:rPr>
          <w:rFonts w:ascii="Traditional Arabic" w:hAnsi="Traditional Arabic" w:cs="Traditional Arabic" w:hint="cs"/>
          <w:sz w:val="30"/>
          <w:szCs w:val="30"/>
          <w:rtl/>
          <w:lang w:val="en-GB" w:bidi="ar-EG"/>
        </w:rPr>
        <w:t xml:space="preserve"> </w:t>
      </w:r>
      <w:r w:rsidR="00D46A0C" w:rsidRPr="00EB5BCF">
        <w:rPr>
          <w:rFonts w:ascii="Traditional Arabic" w:hAnsi="Traditional Arabic" w:cs="Traditional Arabic"/>
          <w:sz w:val="30"/>
          <w:szCs w:val="30"/>
          <w:rtl/>
          <w:lang w:val="en-GB" w:bidi="ar-EG"/>
        </w:rPr>
        <w:t xml:space="preserve">للشركة لفترة </w:t>
      </w:r>
      <w:r w:rsidR="00367F91">
        <w:rPr>
          <w:rFonts w:ascii="Traditional Arabic" w:hAnsi="Traditional Arabic" w:cs="Traditional Arabic" w:hint="cs"/>
          <w:sz w:val="30"/>
          <w:szCs w:val="30"/>
          <w:rtl/>
          <w:lang w:val="en-GB" w:bidi="ar-EG"/>
        </w:rPr>
        <w:t>التسعة</w:t>
      </w:r>
      <w:r w:rsidR="00367F91" w:rsidRPr="00EB5BCF">
        <w:rPr>
          <w:rFonts w:ascii="Traditional Arabic" w:hAnsi="Traditional Arabic" w:cs="Traditional Arabic"/>
          <w:sz w:val="30"/>
          <w:szCs w:val="30"/>
          <w:rtl/>
          <w:lang w:val="en-GB" w:bidi="ar-EG"/>
        </w:rPr>
        <w:t xml:space="preserve"> </w:t>
      </w:r>
      <w:r w:rsidR="00D46A0C" w:rsidRPr="00EB5BCF">
        <w:rPr>
          <w:rFonts w:ascii="Traditional Arabic" w:hAnsi="Traditional Arabic" w:cs="Traditional Arabic"/>
          <w:sz w:val="30"/>
          <w:szCs w:val="30"/>
          <w:rtl/>
          <w:lang w:val="en-GB" w:bidi="ar-EG"/>
        </w:rPr>
        <w:t xml:space="preserve">أشهر المنتهية في 30 </w:t>
      </w:r>
      <w:r w:rsidR="00E050F0">
        <w:rPr>
          <w:rFonts w:ascii="Traditional Arabic" w:hAnsi="Traditional Arabic" w:cs="Traditional Arabic" w:hint="cs"/>
          <w:sz w:val="30"/>
          <w:szCs w:val="30"/>
          <w:rtl/>
          <w:lang w:val="en-GB" w:bidi="ar-EG"/>
        </w:rPr>
        <w:t>سبتمبر</w:t>
      </w:r>
      <w:r w:rsidR="00E050F0" w:rsidRPr="00EB5BCF">
        <w:rPr>
          <w:rFonts w:ascii="Traditional Arabic" w:hAnsi="Traditional Arabic" w:cs="Traditional Arabic"/>
          <w:sz w:val="30"/>
          <w:szCs w:val="30"/>
          <w:rtl/>
          <w:lang w:val="en-GB" w:bidi="ar-EG"/>
        </w:rPr>
        <w:t xml:space="preserve"> </w:t>
      </w:r>
      <w:r w:rsidR="006D3693" w:rsidRPr="00EB5BCF">
        <w:rPr>
          <w:rFonts w:ascii="Traditional Arabic" w:hAnsi="Traditional Arabic" w:cs="Traditional Arabic"/>
          <w:sz w:val="30"/>
          <w:szCs w:val="30"/>
          <w:rtl/>
          <w:lang w:val="en-GB" w:bidi="ar-EG"/>
        </w:rPr>
        <w:t>202</w:t>
      </w:r>
      <w:r w:rsidR="006D3693">
        <w:rPr>
          <w:rFonts w:ascii="Traditional Arabic" w:hAnsi="Traditional Arabic" w:cs="Traditional Arabic" w:hint="cs"/>
          <w:sz w:val="30"/>
          <w:szCs w:val="30"/>
          <w:rtl/>
          <w:lang w:val="en-GB" w:bidi="ar-EG"/>
        </w:rPr>
        <w:t>4</w:t>
      </w:r>
      <w:r w:rsidR="006D3693" w:rsidRPr="00EB5BCF">
        <w:rPr>
          <w:rFonts w:ascii="Traditional Arabic" w:hAnsi="Traditional Arabic" w:cs="Traditional Arabic"/>
          <w:sz w:val="30"/>
          <w:szCs w:val="30"/>
          <w:rtl/>
          <w:lang w:val="en-GB" w:bidi="ar-EG"/>
        </w:rPr>
        <w:t xml:space="preserve"> </w:t>
      </w:r>
      <w:r w:rsidR="00D46A0C" w:rsidRPr="00EB5BCF">
        <w:rPr>
          <w:rFonts w:ascii="Traditional Arabic" w:hAnsi="Traditional Arabic" w:cs="Traditional Arabic"/>
          <w:sz w:val="30"/>
          <w:szCs w:val="30"/>
          <w:rtl/>
          <w:lang w:val="en-GB" w:bidi="ar-EG"/>
        </w:rPr>
        <w:t>(</w:t>
      </w:r>
      <w:r w:rsidR="007A1E5F" w:rsidRPr="00EB5BCF">
        <w:rPr>
          <w:rFonts w:ascii="Traditional Arabic" w:hAnsi="Traditional Arabic" w:cs="Traditional Arabic"/>
          <w:sz w:val="30"/>
          <w:szCs w:val="30"/>
          <w:rtl/>
          <w:lang w:val="en-GB" w:bidi="ar-EG"/>
        </w:rPr>
        <w:t xml:space="preserve">يشار إليها مع </w:t>
      </w:r>
      <w:r w:rsidR="00D46A0C" w:rsidRPr="00EB5BCF">
        <w:rPr>
          <w:rFonts w:ascii="Traditional Arabic" w:hAnsi="Traditional Arabic" w:cs="Traditional Arabic"/>
          <w:sz w:val="30"/>
          <w:szCs w:val="30"/>
          <w:rtl/>
          <w:lang w:val="en-GB" w:bidi="ar-EG"/>
        </w:rPr>
        <w:t>المعلومات المالية المقارنة</w:t>
      </w:r>
      <w:r w:rsidR="004759B8">
        <w:rPr>
          <w:rFonts w:ascii="Traditional Arabic" w:hAnsi="Traditional Arabic" w:cs="Traditional Arabic" w:hint="cs"/>
          <w:sz w:val="30"/>
          <w:szCs w:val="30"/>
          <w:rtl/>
          <w:lang w:val="en-GB" w:bidi="ar-EG"/>
        </w:rPr>
        <w:t xml:space="preserve"> المراجعة</w:t>
      </w:r>
      <w:r w:rsidR="00F26967">
        <w:rPr>
          <w:rFonts w:ascii="Traditional Arabic" w:hAnsi="Traditional Arabic" w:cs="Traditional Arabic" w:hint="cs"/>
          <w:sz w:val="30"/>
          <w:szCs w:val="30"/>
          <w:rtl/>
        </w:rPr>
        <w:t xml:space="preserve"> الموحدة</w:t>
      </w:r>
      <w:r w:rsidR="00D46A0C" w:rsidRPr="00EB5BCF">
        <w:rPr>
          <w:rFonts w:ascii="Traditional Arabic" w:hAnsi="Traditional Arabic" w:cs="Traditional Arabic"/>
          <w:sz w:val="30"/>
          <w:szCs w:val="30"/>
          <w:rtl/>
          <w:lang w:val="en-GB" w:bidi="ar-EG"/>
        </w:rPr>
        <w:t xml:space="preserve"> لفترة </w:t>
      </w:r>
      <w:r w:rsidR="00367F91">
        <w:rPr>
          <w:rFonts w:ascii="Traditional Arabic" w:hAnsi="Traditional Arabic" w:cs="Traditional Arabic" w:hint="cs"/>
          <w:sz w:val="30"/>
          <w:szCs w:val="30"/>
          <w:rtl/>
          <w:lang w:val="en-GB" w:bidi="ar-EG"/>
        </w:rPr>
        <w:t>التسعة</w:t>
      </w:r>
      <w:r w:rsidR="00367F91" w:rsidRPr="00EB5BCF">
        <w:rPr>
          <w:rFonts w:ascii="Traditional Arabic" w:hAnsi="Traditional Arabic" w:cs="Traditional Arabic"/>
          <w:sz w:val="30"/>
          <w:szCs w:val="30"/>
          <w:rtl/>
          <w:lang w:val="en-GB" w:bidi="ar-EG"/>
        </w:rPr>
        <w:t xml:space="preserve"> </w:t>
      </w:r>
      <w:r w:rsidR="00D46A0C" w:rsidRPr="00EB5BCF">
        <w:rPr>
          <w:rFonts w:ascii="Traditional Arabic" w:hAnsi="Traditional Arabic" w:cs="Traditional Arabic"/>
          <w:sz w:val="30"/>
          <w:szCs w:val="30"/>
          <w:rtl/>
          <w:lang w:val="en-GB" w:bidi="ar-EG"/>
        </w:rPr>
        <w:t xml:space="preserve">أشهر المنتهية في 30 </w:t>
      </w:r>
      <w:r w:rsidR="00367F91">
        <w:rPr>
          <w:rFonts w:ascii="Traditional Arabic" w:hAnsi="Traditional Arabic" w:cs="Traditional Arabic" w:hint="cs"/>
          <w:sz w:val="30"/>
          <w:szCs w:val="30"/>
          <w:rtl/>
          <w:lang w:val="en-GB" w:bidi="ar-EG"/>
        </w:rPr>
        <w:t>سبتمبر</w:t>
      </w:r>
      <w:r w:rsidR="00367F91" w:rsidRPr="00EB5BCF">
        <w:rPr>
          <w:rFonts w:ascii="Traditional Arabic" w:hAnsi="Traditional Arabic" w:cs="Traditional Arabic"/>
          <w:sz w:val="30"/>
          <w:szCs w:val="30"/>
          <w:rtl/>
          <w:lang w:val="en-GB" w:bidi="ar-EG"/>
        </w:rPr>
        <w:t xml:space="preserve"> </w:t>
      </w:r>
      <w:r w:rsidR="006D3693" w:rsidRPr="00EB5BCF">
        <w:rPr>
          <w:rFonts w:ascii="Traditional Arabic" w:hAnsi="Traditional Arabic" w:cs="Traditional Arabic"/>
          <w:sz w:val="30"/>
          <w:szCs w:val="30"/>
          <w:rtl/>
          <w:lang w:val="en-GB" w:bidi="ar-EG"/>
        </w:rPr>
        <w:t>202</w:t>
      </w:r>
      <w:r w:rsidR="006D3693">
        <w:rPr>
          <w:rFonts w:ascii="Traditional Arabic" w:hAnsi="Traditional Arabic" w:cs="Traditional Arabic" w:hint="cs"/>
          <w:sz w:val="30"/>
          <w:szCs w:val="30"/>
          <w:rtl/>
          <w:lang w:val="en-GB" w:bidi="ar-EG"/>
        </w:rPr>
        <w:t>3</w:t>
      </w:r>
      <w:r w:rsidR="006D3693" w:rsidRPr="00EB5BCF">
        <w:rPr>
          <w:rFonts w:ascii="Traditional Arabic" w:hAnsi="Traditional Arabic" w:cs="Traditional Arabic"/>
          <w:sz w:val="30"/>
          <w:szCs w:val="30"/>
          <w:rtl/>
          <w:lang w:val="en-GB" w:bidi="ar-EG"/>
        </w:rPr>
        <w:t xml:space="preserve"> </w:t>
      </w:r>
      <w:r w:rsidR="007A1E5F" w:rsidRPr="00EB5BCF">
        <w:rPr>
          <w:rFonts w:ascii="Traditional Arabic" w:hAnsi="Traditional Arabic" w:cs="Traditional Arabic"/>
          <w:sz w:val="30"/>
          <w:szCs w:val="30"/>
          <w:rtl/>
          <w:lang w:val="en-GB" w:bidi="ar-EG"/>
        </w:rPr>
        <w:t>بـ</w:t>
      </w:r>
      <w:r w:rsidR="00D46A0C" w:rsidRPr="00EB5BCF">
        <w:rPr>
          <w:rFonts w:ascii="Traditional Arabic" w:hAnsi="Traditional Arabic" w:cs="Traditional Arabic"/>
          <w:sz w:val="30"/>
          <w:szCs w:val="30"/>
          <w:rtl/>
          <w:lang w:val="en-GB" w:bidi="ar-EG"/>
        </w:rPr>
        <w:t>"البيانات المالية المرحلية</w:t>
      </w:r>
      <w:r w:rsidR="00D12012" w:rsidRPr="00D12012">
        <w:rPr>
          <w:rFonts w:ascii="Traditional Arabic" w:hAnsi="Traditional Arabic" w:cs="Traditional Arabic" w:hint="cs"/>
          <w:sz w:val="30"/>
          <w:szCs w:val="30"/>
          <w:rtl/>
          <w:lang w:bidi="ar-EG"/>
        </w:rPr>
        <w:t xml:space="preserve"> </w:t>
      </w:r>
      <w:r w:rsidR="00D46A0C" w:rsidRPr="00EB5BCF">
        <w:rPr>
          <w:rFonts w:ascii="Traditional Arabic" w:hAnsi="Traditional Arabic" w:cs="Traditional Arabic"/>
          <w:sz w:val="30"/>
          <w:szCs w:val="30"/>
          <w:rtl/>
          <w:lang w:val="en-GB" w:bidi="ar-EG"/>
        </w:rPr>
        <w:t>"</w:t>
      </w:r>
      <w:r w:rsidR="007A1E5F" w:rsidRPr="00EB5BCF">
        <w:rPr>
          <w:rFonts w:ascii="Traditional Arabic" w:hAnsi="Traditional Arabic" w:cs="Traditional Arabic"/>
          <w:sz w:val="30"/>
          <w:szCs w:val="30"/>
          <w:rtl/>
          <w:lang w:val="en-GB" w:bidi="ar-EG"/>
        </w:rPr>
        <w:t>،</w:t>
      </w:r>
      <w:r w:rsidR="00D46A0C" w:rsidRPr="00EB5BCF">
        <w:rPr>
          <w:rFonts w:ascii="Traditional Arabic" w:hAnsi="Traditional Arabic" w:cs="Traditional Arabic"/>
          <w:sz w:val="30"/>
          <w:szCs w:val="30"/>
          <w:rtl/>
          <w:lang w:val="en-GB" w:bidi="ar-EG"/>
        </w:rPr>
        <w:t xml:space="preserve"> </w:t>
      </w:r>
      <w:r w:rsidR="007A1E5F" w:rsidRPr="00EB5BCF">
        <w:rPr>
          <w:rFonts w:ascii="Traditional Arabic" w:hAnsi="Traditional Arabic" w:cs="Traditional Arabic"/>
          <w:sz w:val="30"/>
          <w:szCs w:val="30"/>
          <w:rtl/>
          <w:lang w:val="en-GB" w:bidi="ar-EG"/>
        </w:rPr>
        <w:t xml:space="preserve">ويشار إليها مع </w:t>
      </w:r>
      <w:r w:rsidR="00D46A0C" w:rsidRPr="00EB5BCF">
        <w:rPr>
          <w:rFonts w:ascii="Traditional Arabic" w:hAnsi="Traditional Arabic" w:cs="Traditional Arabic"/>
          <w:sz w:val="30"/>
          <w:szCs w:val="30"/>
          <w:rtl/>
          <w:lang w:val="en-GB" w:bidi="ar-EG"/>
        </w:rPr>
        <w:t xml:space="preserve">البيانات المالية السنوية </w:t>
      </w:r>
      <w:r w:rsidR="007A1E5F" w:rsidRPr="00EB5BCF">
        <w:rPr>
          <w:rFonts w:ascii="Traditional Arabic" w:hAnsi="Traditional Arabic" w:cs="Traditional Arabic"/>
          <w:sz w:val="30"/>
          <w:szCs w:val="30"/>
          <w:rtl/>
          <w:lang w:val="en-GB" w:bidi="ar-EG"/>
        </w:rPr>
        <w:t>بـ</w:t>
      </w:r>
      <w:r w:rsidR="00D46A0C" w:rsidRPr="00EB5BCF">
        <w:rPr>
          <w:rFonts w:ascii="Traditional Arabic" w:hAnsi="Traditional Arabic" w:cs="Traditional Arabic"/>
          <w:sz w:val="30"/>
          <w:szCs w:val="30"/>
          <w:rtl/>
          <w:lang w:val="en-GB" w:bidi="ar-EG"/>
        </w:rPr>
        <w:t xml:space="preserve">"البيانات المالية") قد تم إيرادها في الفصل </w:t>
      </w:r>
      <w:r w:rsidR="005E64AE">
        <w:rPr>
          <w:rFonts w:ascii="Traditional Arabic" w:hAnsi="Traditional Arabic" w:cs="Traditional Arabic" w:hint="cs"/>
          <w:sz w:val="30"/>
          <w:szCs w:val="30"/>
          <w:rtl/>
          <w:lang w:val="en-GB" w:bidi="ar-EG"/>
        </w:rPr>
        <w:t xml:space="preserve">السادس </w:t>
      </w:r>
      <w:r w:rsidR="006F42E6">
        <w:rPr>
          <w:rFonts w:ascii="Traditional Arabic" w:hAnsi="Traditional Arabic" w:cs="Traditional Arabic" w:hint="cs"/>
          <w:sz w:val="30"/>
          <w:szCs w:val="30"/>
          <w:rtl/>
          <w:lang w:val="en-GB" w:bidi="ar-EG"/>
        </w:rPr>
        <w:t>والعشرين</w:t>
      </w:r>
      <w:r w:rsidR="00D46A0C" w:rsidRPr="00EB5BCF">
        <w:rPr>
          <w:rFonts w:ascii="Traditional Arabic" w:hAnsi="Traditional Arabic" w:cs="Traditional Arabic"/>
          <w:sz w:val="30"/>
          <w:szCs w:val="30"/>
          <w:rtl/>
          <w:lang w:val="en-GB" w:bidi="ar-EG"/>
        </w:rPr>
        <w:t xml:space="preserve"> من هذه النشرة بعنوان "البيانات المالية التاريخية"</w:t>
      </w:r>
      <w:r w:rsidR="004527FC">
        <w:rPr>
          <w:rFonts w:ascii="Traditional Arabic" w:hAnsi="Traditional Arabic" w:cs="Traditional Arabic" w:hint="cs"/>
          <w:sz w:val="30"/>
          <w:szCs w:val="30"/>
          <w:rtl/>
          <w:lang w:val="en-GB" w:bidi="ar-EG"/>
        </w:rPr>
        <w:t>.</w:t>
      </w:r>
    </w:p>
    <w:p w14:paraId="3E782153" w14:textId="77777777" w:rsidR="00CD56AD" w:rsidRPr="00EF2C0D" w:rsidRDefault="00CD56AD" w:rsidP="00CD56AD">
      <w:pPr>
        <w:pStyle w:val="BodyText1"/>
        <w:bidi/>
        <w:spacing w:after="0"/>
        <w:rPr>
          <w:rFonts w:ascii="Traditional Arabic" w:hAnsi="Traditional Arabic" w:cs="Traditional Arabic"/>
          <w:sz w:val="30"/>
          <w:szCs w:val="30"/>
          <w:rtl/>
          <w:lang w:bidi="ar-EG"/>
        </w:rPr>
      </w:pPr>
    </w:p>
    <w:p w14:paraId="21A355AE" w14:textId="77777777" w:rsidR="00FD2987" w:rsidRDefault="00D46A0C" w:rsidP="004527FC">
      <w:pPr>
        <w:pStyle w:val="BodyText1"/>
        <w:bidi/>
        <w:spacing w:after="0"/>
        <w:rPr>
          <w:rFonts w:ascii="Traditional Arabic" w:hAnsi="Traditional Arabic" w:cs="Traditional Arabic"/>
          <w:sz w:val="30"/>
          <w:szCs w:val="30"/>
          <w:rtl/>
          <w:lang w:val="en-GB" w:bidi="ar-EG"/>
        </w:rPr>
      </w:pPr>
      <w:r w:rsidRPr="00EB5BCF">
        <w:rPr>
          <w:rFonts w:ascii="Traditional Arabic" w:hAnsi="Traditional Arabic" w:cs="Traditional Arabic"/>
          <w:sz w:val="30"/>
          <w:szCs w:val="30"/>
          <w:rtl/>
          <w:lang w:val="en-GB" w:bidi="ar-EG"/>
        </w:rPr>
        <w:t>حيث تم إعداد البيانات المالية</w:t>
      </w:r>
      <w:r w:rsidR="00524D45" w:rsidRPr="00524D45">
        <w:rPr>
          <w:rFonts w:ascii="Traditional Arabic" w:hAnsi="Traditional Arabic" w:cs="Traditional Arabic" w:hint="cs"/>
          <w:sz w:val="30"/>
          <w:szCs w:val="30"/>
          <w:rtl/>
          <w:lang w:bidi="ar-EG"/>
        </w:rPr>
        <w:t xml:space="preserve"> </w:t>
      </w:r>
      <w:r w:rsidRPr="00EB5BCF">
        <w:rPr>
          <w:rFonts w:ascii="Traditional Arabic" w:hAnsi="Traditional Arabic" w:cs="Traditional Arabic"/>
          <w:sz w:val="30"/>
          <w:szCs w:val="30"/>
          <w:rtl/>
          <w:lang w:val="en-GB" w:bidi="ar-EG"/>
        </w:rPr>
        <w:t xml:space="preserve">السنوية وفق المعايير الدولية </w:t>
      </w:r>
      <w:r w:rsidR="008B33B5" w:rsidRPr="00EB5BCF">
        <w:rPr>
          <w:rFonts w:ascii="Traditional Arabic" w:hAnsi="Traditional Arabic" w:cs="Traditional Arabic"/>
          <w:sz w:val="30"/>
          <w:szCs w:val="30"/>
          <w:rtl/>
          <w:lang w:val="en-GB" w:bidi="ar-EG"/>
        </w:rPr>
        <w:t>لإعداد التقارير المالية</w:t>
      </w:r>
      <w:r w:rsidR="005A5F9D" w:rsidRPr="00EB5BCF">
        <w:rPr>
          <w:rFonts w:ascii="Traditional Arabic" w:hAnsi="Traditional Arabic" w:cs="Traditional Arabic"/>
          <w:sz w:val="30"/>
          <w:szCs w:val="30"/>
          <w:rtl/>
          <w:lang w:val="en-GB" w:bidi="ar-EG"/>
        </w:rPr>
        <w:t xml:space="preserve"> الصادرة عن مجلس معايير المحاسبة الدولية</w:t>
      </w:r>
      <w:r w:rsidR="00FD2987">
        <w:rPr>
          <w:rFonts w:ascii="Traditional Arabic" w:hAnsi="Traditional Arabic" w:cs="Traditional Arabic" w:hint="cs"/>
          <w:sz w:val="30"/>
          <w:szCs w:val="30"/>
          <w:rtl/>
          <w:lang w:val="en-GB" w:bidi="ar-EG"/>
        </w:rPr>
        <w:t>.</w:t>
      </w:r>
    </w:p>
    <w:p w14:paraId="121AB69A" w14:textId="77777777" w:rsidR="00FD2987" w:rsidRDefault="00FD2987" w:rsidP="00FD2987">
      <w:pPr>
        <w:pStyle w:val="BodyText1"/>
        <w:bidi/>
        <w:spacing w:after="0"/>
        <w:rPr>
          <w:rFonts w:ascii="Traditional Arabic" w:hAnsi="Traditional Arabic" w:cs="Traditional Arabic"/>
          <w:sz w:val="30"/>
          <w:szCs w:val="30"/>
          <w:rtl/>
          <w:lang w:val="en-GB" w:bidi="ar-EG"/>
        </w:rPr>
      </w:pPr>
    </w:p>
    <w:p w14:paraId="25DBE2E0" w14:textId="77777777" w:rsidR="00222C90" w:rsidRPr="00EB5BCF" w:rsidRDefault="00AA2E52" w:rsidP="00FD2987">
      <w:pPr>
        <w:pStyle w:val="BodyText1"/>
        <w:bidi/>
        <w:spacing w:after="0"/>
        <w:rPr>
          <w:rFonts w:ascii="Traditional Arabic" w:hAnsi="Traditional Arabic" w:cs="Traditional Arabic"/>
          <w:sz w:val="30"/>
          <w:szCs w:val="30"/>
          <w:rtl/>
          <w:lang w:val="en-GB" w:bidi="ar-EG"/>
        </w:rPr>
      </w:pPr>
      <w:r w:rsidRPr="00EB5BCF">
        <w:rPr>
          <w:rFonts w:ascii="Traditional Arabic" w:hAnsi="Traditional Arabic" w:cs="Traditional Arabic"/>
          <w:sz w:val="30"/>
          <w:szCs w:val="30"/>
          <w:rtl/>
          <w:lang w:val="en-GB" w:bidi="ar-EG"/>
        </w:rPr>
        <w:t>وتم إعداد البيانات المالية المرحلية</w:t>
      </w:r>
      <w:r w:rsidR="00FD2987">
        <w:rPr>
          <w:rFonts w:ascii="Traditional Arabic" w:hAnsi="Traditional Arabic" w:cs="Traditional Arabic" w:hint="cs"/>
          <w:sz w:val="30"/>
          <w:szCs w:val="30"/>
          <w:rtl/>
          <w:lang w:val="en-GB" w:bidi="ar-EG"/>
        </w:rPr>
        <w:t xml:space="preserve"> </w:t>
      </w:r>
      <w:r w:rsidRPr="00EB5BCF">
        <w:rPr>
          <w:rFonts w:ascii="Traditional Arabic" w:hAnsi="Traditional Arabic" w:cs="Traditional Arabic"/>
          <w:sz w:val="30"/>
          <w:szCs w:val="30"/>
          <w:rtl/>
          <w:lang w:val="en-GB" w:bidi="ar-EG"/>
        </w:rPr>
        <w:t>وفق متطلبات المعيار المحاسبي رقم 34</w:t>
      </w:r>
      <w:r w:rsidR="001223EB" w:rsidRPr="00EB5BCF">
        <w:rPr>
          <w:rFonts w:ascii="Traditional Arabic" w:hAnsi="Traditional Arabic" w:cs="Traditional Arabic"/>
          <w:sz w:val="30"/>
          <w:szCs w:val="30"/>
          <w:rtl/>
          <w:lang w:val="en-GB" w:bidi="ar-EG"/>
        </w:rPr>
        <w:t>، وعليه فإن السنة المالية للشركة تبدأ في 1 يناير وتنتهي في 31 ديسمبر</w:t>
      </w:r>
      <w:r w:rsidR="007A1E5F" w:rsidRPr="00EB5BCF">
        <w:rPr>
          <w:rFonts w:ascii="Traditional Arabic" w:hAnsi="Traditional Arabic" w:cs="Traditional Arabic"/>
          <w:sz w:val="30"/>
          <w:szCs w:val="30"/>
          <w:rtl/>
          <w:lang w:val="en-GB" w:bidi="ar-EG"/>
        </w:rPr>
        <w:t xml:space="preserve"> من كل عام</w:t>
      </w:r>
      <w:r w:rsidR="001223EB" w:rsidRPr="00EB5BCF">
        <w:rPr>
          <w:rFonts w:ascii="Traditional Arabic" w:hAnsi="Traditional Arabic" w:cs="Traditional Arabic"/>
          <w:sz w:val="30"/>
          <w:szCs w:val="30"/>
          <w:rtl/>
          <w:lang w:val="en-GB" w:bidi="ar-EG"/>
        </w:rPr>
        <w:t>.</w:t>
      </w:r>
    </w:p>
    <w:p w14:paraId="7F9B764D" w14:textId="77777777" w:rsidR="001223EB" w:rsidRPr="00EB5BCF" w:rsidRDefault="001223EB" w:rsidP="001223EB">
      <w:pPr>
        <w:pStyle w:val="BodyText1"/>
        <w:bidi/>
        <w:spacing w:after="0"/>
        <w:rPr>
          <w:rFonts w:ascii="Traditional Arabic" w:hAnsi="Traditional Arabic" w:cs="Traditional Arabic"/>
          <w:sz w:val="30"/>
          <w:szCs w:val="30"/>
          <w:rtl/>
          <w:lang w:val="en-GB" w:bidi="ar-EG"/>
        </w:rPr>
      </w:pPr>
    </w:p>
    <w:p w14:paraId="0A165A64" w14:textId="77777777" w:rsidR="001223EB" w:rsidRPr="00EB5BCF" w:rsidRDefault="001223EB" w:rsidP="001223EB">
      <w:pPr>
        <w:pStyle w:val="BodyText1"/>
        <w:bidi/>
        <w:spacing w:after="0"/>
        <w:rPr>
          <w:rFonts w:ascii="Traditional Arabic" w:hAnsi="Traditional Arabic" w:cs="Traditional Arabic"/>
          <w:sz w:val="30"/>
          <w:szCs w:val="30"/>
          <w:rtl/>
          <w:lang w:val="en-GB" w:bidi="ar-EG"/>
        </w:rPr>
      </w:pPr>
      <w:r w:rsidRPr="00EB5BCF">
        <w:rPr>
          <w:rFonts w:ascii="Traditional Arabic" w:hAnsi="Traditional Arabic" w:cs="Traditional Arabic"/>
          <w:b/>
          <w:bCs/>
          <w:sz w:val="30"/>
          <w:szCs w:val="30"/>
          <w:rtl/>
          <w:lang w:val="en-GB" w:bidi="ar-EG"/>
        </w:rPr>
        <w:t xml:space="preserve">معلومات غير متصلة بالمعايير الدولية لإعداد التقارير المالية </w:t>
      </w:r>
      <w:r w:rsidR="00D86F20" w:rsidRPr="00EB5BCF">
        <w:rPr>
          <w:rFonts w:ascii="Traditional Arabic" w:hAnsi="Traditional Arabic" w:cs="Traditional Arabic"/>
          <w:b/>
          <w:bCs/>
          <w:sz w:val="30"/>
          <w:szCs w:val="30"/>
          <w:rtl/>
          <w:lang w:val="en-GB" w:bidi="ar-EG"/>
        </w:rPr>
        <w:t>وبعض البيانات التشغيلية</w:t>
      </w:r>
    </w:p>
    <w:p w14:paraId="16966FE5" w14:textId="77777777" w:rsidR="00D86F20" w:rsidRPr="00826D63" w:rsidRDefault="00D86F20" w:rsidP="00D86F20">
      <w:pPr>
        <w:pStyle w:val="BodyText1"/>
        <w:bidi/>
        <w:spacing w:after="0"/>
        <w:rPr>
          <w:rFonts w:ascii="Traditional Arabic" w:hAnsi="Traditional Arabic" w:cs="Traditional Arabic"/>
          <w:b/>
          <w:bCs/>
          <w:sz w:val="16"/>
          <w:szCs w:val="16"/>
          <w:rtl/>
          <w:lang w:val="en-GB" w:bidi="ar-EG"/>
        </w:rPr>
      </w:pPr>
    </w:p>
    <w:p w14:paraId="244F5532" w14:textId="77777777" w:rsidR="00D86F20" w:rsidRPr="00EB5BCF" w:rsidRDefault="00D86F20" w:rsidP="00D86F20">
      <w:pPr>
        <w:pStyle w:val="BodyText1"/>
        <w:bidi/>
        <w:spacing w:after="0"/>
        <w:rPr>
          <w:rFonts w:ascii="Traditional Arabic" w:hAnsi="Traditional Arabic" w:cs="Traditional Arabic"/>
          <w:sz w:val="30"/>
          <w:szCs w:val="30"/>
          <w:rtl/>
          <w:lang w:val="en-GB" w:bidi="ar-EG"/>
        </w:rPr>
      </w:pPr>
      <w:r w:rsidRPr="00EB5BCF">
        <w:rPr>
          <w:rFonts w:ascii="Traditional Arabic" w:hAnsi="Traditional Arabic" w:cs="Traditional Arabic"/>
          <w:b/>
          <w:bCs/>
          <w:sz w:val="30"/>
          <w:szCs w:val="30"/>
          <w:rtl/>
          <w:lang w:val="en-GB" w:bidi="ar-EG"/>
        </w:rPr>
        <w:t>معلومات غير متصلة بالمعايير الدولية لإعداد التقارير المالية</w:t>
      </w:r>
    </w:p>
    <w:p w14:paraId="12843110" w14:textId="77777777" w:rsidR="00D86F20" w:rsidRPr="00EB5BCF" w:rsidRDefault="001E4DD3" w:rsidP="001E4DD3">
      <w:pPr>
        <w:pStyle w:val="BodyText1"/>
        <w:bidi/>
        <w:spacing w:after="0"/>
        <w:rPr>
          <w:rFonts w:ascii="Traditional Arabic" w:hAnsi="Traditional Arabic" w:cs="Traditional Arabic"/>
          <w:sz w:val="30"/>
          <w:szCs w:val="30"/>
          <w:rtl/>
          <w:lang w:val="en-GB" w:bidi="ar-EG"/>
        </w:rPr>
      </w:pPr>
      <w:r w:rsidRPr="001E4DD3">
        <w:rPr>
          <w:rFonts w:ascii="Traditional Arabic" w:hAnsi="Traditional Arabic" w:cs="Traditional Arabic"/>
          <w:sz w:val="30"/>
          <w:szCs w:val="30"/>
          <w:rtl/>
          <w:lang w:val="en-GB"/>
        </w:rPr>
        <w:t xml:space="preserve">تستخدم الشركة في هذه النشرة بعض أدوات القياس في تقييم الأداء المالي لأعمالها، وهي أدوات لا تقيس الأداء المالي وفق المعايير الدولية لإعداد التقارير المالية أو أي معايير محاسبية أخرى متعارف عليها إجمالا، وتشمل هذه الأدوات المالية المختارة غير المتصلة بالمعايير الدولية لإعداد التقارير المالية </w:t>
      </w:r>
      <w:r w:rsidR="000D1F47" w:rsidRPr="000D1F47">
        <w:rPr>
          <w:rFonts w:ascii="Traditional Arabic" w:hAnsi="Traditional Arabic" w:cs="Traditional Arabic"/>
          <w:sz w:val="30"/>
          <w:szCs w:val="30"/>
          <w:rtl/>
          <w:lang w:val="en-GB"/>
        </w:rPr>
        <w:t>الأرباح قبل خصم الفوائد والضرائب والإهلاك والإطفاء، وهامش الأرباح قبل خصم الفوائد والضرائب والإهلاك والإطفاء، والأرباح المعدلة قبل خصم الفوائد والضرائب والإهلاك والإطفاء، والهامش المعدل قبل خصم الفوائد والضرائب والإهلاك والإطفاء، والإيرادات المكافئة من تأجير السفن المجهزة بالمدة، ،</w:t>
      </w:r>
      <w:r w:rsidR="00853563" w:rsidRPr="00853563">
        <w:rPr>
          <w:rFonts w:ascii="Traditional Arabic" w:eastAsia="Sakkal Majalla" w:hAnsi="Traditional Arabic" w:cs="Traditional Arabic"/>
          <w:sz w:val="30"/>
          <w:szCs w:val="30"/>
          <w:rtl/>
        </w:rPr>
        <w:t xml:space="preserve"> </w:t>
      </w:r>
      <w:r w:rsidR="00853563" w:rsidRPr="00B65701">
        <w:rPr>
          <w:rFonts w:ascii="Traditional Arabic" w:eastAsia="Sakkal Majalla" w:hAnsi="Traditional Arabic" w:cs="Traditional Arabic"/>
          <w:sz w:val="30"/>
          <w:szCs w:val="30"/>
          <w:rtl/>
        </w:rPr>
        <w:t>مكافئ تأجير السفن المجهزة بالمدة ل</w:t>
      </w:r>
      <w:r w:rsidR="00167760">
        <w:rPr>
          <w:rFonts w:ascii="Traditional Arabic" w:eastAsia="Sakkal Majalla" w:hAnsi="Traditional Arabic" w:cs="Traditional Arabic"/>
          <w:sz w:val="30"/>
          <w:szCs w:val="30"/>
          <w:rtl/>
        </w:rPr>
        <w:t>نقل</w:t>
      </w:r>
      <w:r w:rsidR="00853563" w:rsidRPr="00B65701">
        <w:rPr>
          <w:rFonts w:ascii="Traditional Arabic" w:eastAsia="Sakkal Majalla" w:hAnsi="Traditional Arabic" w:cs="Traditional Arabic"/>
          <w:sz w:val="30"/>
          <w:szCs w:val="30"/>
          <w:rtl/>
        </w:rPr>
        <w:t xml:space="preserve"> النفط</w:t>
      </w:r>
      <w:r w:rsidR="00853563">
        <w:rPr>
          <w:rFonts w:ascii="Traditional Arabic" w:eastAsia="Sakkal Majalla" w:hAnsi="Traditional Arabic" w:cs="Traditional Arabic" w:hint="cs"/>
          <w:sz w:val="30"/>
          <w:szCs w:val="30"/>
          <w:rtl/>
        </w:rPr>
        <w:t>،</w:t>
      </w:r>
      <w:r w:rsidR="00507144">
        <w:rPr>
          <w:rFonts w:ascii="Traditional Arabic" w:eastAsia="Sakkal Majalla" w:hAnsi="Traditional Arabic" w:cs="Traditional Arabic" w:hint="cs"/>
          <w:sz w:val="30"/>
          <w:szCs w:val="30"/>
          <w:rtl/>
        </w:rPr>
        <w:t xml:space="preserve"> </w:t>
      </w:r>
      <w:r w:rsidR="00507144" w:rsidRPr="00B65701">
        <w:rPr>
          <w:rFonts w:ascii="Traditional Arabic" w:eastAsia="Sakkal Majalla" w:hAnsi="Traditional Arabic" w:cs="Traditional Arabic"/>
          <w:sz w:val="30"/>
          <w:szCs w:val="30"/>
          <w:rtl/>
        </w:rPr>
        <w:t>إيرادات مكافئ تأجير السفن المجهزة بالمدة ل</w:t>
      </w:r>
      <w:r w:rsidR="00167760">
        <w:rPr>
          <w:rFonts w:ascii="Traditional Arabic" w:eastAsia="Sakkal Majalla" w:hAnsi="Traditional Arabic" w:cs="Traditional Arabic"/>
          <w:sz w:val="30"/>
          <w:szCs w:val="30"/>
          <w:rtl/>
        </w:rPr>
        <w:t>نقل</w:t>
      </w:r>
      <w:r w:rsidR="00507144" w:rsidRPr="00B65701">
        <w:rPr>
          <w:rFonts w:ascii="Traditional Arabic" w:eastAsia="Sakkal Majalla" w:hAnsi="Traditional Arabic" w:cs="Traditional Arabic"/>
          <w:sz w:val="30"/>
          <w:szCs w:val="30"/>
          <w:rtl/>
        </w:rPr>
        <w:t xml:space="preserve"> المنتجات</w:t>
      </w:r>
      <w:r w:rsidR="004D3A9C">
        <w:rPr>
          <w:rFonts w:ascii="Traditional Arabic" w:eastAsia="Sakkal Majalla" w:hAnsi="Traditional Arabic" w:cs="Traditional Arabic" w:hint="cs"/>
          <w:sz w:val="30"/>
          <w:szCs w:val="30"/>
          <w:rtl/>
        </w:rPr>
        <w:t xml:space="preserve">، </w:t>
      </w:r>
      <w:r w:rsidR="004D3A9C" w:rsidRPr="00B65701">
        <w:rPr>
          <w:rFonts w:ascii="Traditional Arabic" w:eastAsia="Sakkal Majalla" w:hAnsi="Traditional Arabic" w:cs="Traditional Arabic"/>
          <w:sz w:val="30"/>
          <w:szCs w:val="30"/>
          <w:rtl/>
        </w:rPr>
        <w:t>إيرادات مكافئ تأجير السفن المجهزة بالمدة ل</w:t>
      </w:r>
      <w:r w:rsidR="00167760">
        <w:rPr>
          <w:rFonts w:ascii="Traditional Arabic" w:eastAsia="Sakkal Majalla" w:hAnsi="Traditional Arabic" w:cs="Traditional Arabic"/>
          <w:sz w:val="30"/>
          <w:szCs w:val="30"/>
          <w:rtl/>
        </w:rPr>
        <w:t>نقل</w:t>
      </w:r>
      <w:r w:rsidR="004D3A9C" w:rsidRPr="00B65701">
        <w:rPr>
          <w:rFonts w:ascii="Traditional Arabic" w:eastAsia="Sakkal Majalla" w:hAnsi="Traditional Arabic" w:cs="Traditional Arabic"/>
          <w:sz w:val="30"/>
          <w:szCs w:val="30"/>
          <w:rtl/>
        </w:rPr>
        <w:t xml:space="preserve"> البضائع السائبة الجافة</w:t>
      </w:r>
      <w:r w:rsidR="004A6140">
        <w:rPr>
          <w:rFonts w:ascii="Traditional Arabic" w:eastAsia="Sakkal Majalla" w:hAnsi="Traditional Arabic" w:cs="Traditional Arabic" w:hint="cs"/>
          <w:sz w:val="30"/>
          <w:szCs w:val="30"/>
          <w:rtl/>
        </w:rPr>
        <w:t xml:space="preserve">، </w:t>
      </w:r>
      <w:r w:rsidR="004A6140" w:rsidRPr="00B65701">
        <w:rPr>
          <w:rFonts w:ascii="Traditional Arabic" w:eastAsia="Sakkal Majalla" w:hAnsi="Traditional Arabic" w:cs="Traditional Arabic"/>
          <w:sz w:val="30"/>
          <w:szCs w:val="30"/>
          <w:rtl/>
        </w:rPr>
        <w:t>إيرادات مكافئ تأجير السفن ل</w:t>
      </w:r>
      <w:r w:rsidR="00167760">
        <w:rPr>
          <w:rFonts w:ascii="Traditional Arabic" w:eastAsia="Sakkal Majalla" w:hAnsi="Traditional Arabic" w:cs="Traditional Arabic"/>
          <w:sz w:val="30"/>
          <w:szCs w:val="30"/>
          <w:rtl/>
        </w:rPr>
        <w:t>نقل</w:t>
      </w:r>
      <w:r w:rsidR="004A6140" w:rsidRPr="00B65701">
        <w:rPr>
          <w:rFonts w:ascii="Traditional Arabic" w:eastAsia="Sakkal Majalla" w:hAnsi="Traditional Arabic" w:cs="Traditional Arabic"/>
          <w:sz w:val="30"/>
          <w:szCs w:val="30"/>
          <w:rtl/>
        </w:rPr>
        <w:t xml:space="preserve"> الغاز</w:t>
      </w:r>
      <w:r w:rsidR="00DC5D22">
        <w:rPr>
          <w:rFonts w:ascii="Traditional Arabic" w:eastAsia="Sakkal Majalla" w:hAnsi="Traditional Arabic" w:cs="Traditional Arabic" w:hint="cs"/>
          <w:sz w:val="30"/>
          <w:szCs w:val="30"/>
          <w:rtl/>
        </w:rPr>
        <w:t xml:space="preserve">، </w:t>
      </w:r>
      <w:r w:rsidR="00DC5D22" w:rsidRPr="00B65701">
        <w:rPr>
          <w:rFonts w:ascii="Traditional Arabic" w:eastAsia="Sakkal Majalla" w:hAnsi="Traditional Arabic" w:cs="Traditional Arabic"/>
          <w:sz w:val="30"/>
          <w:szCs w:val="30"/>
          <w:rtl/>
        </w:rPr>
        <w:t>إيرادات مكافئ تأجير السفن المجهزة بمدة لل</w:t>
      </w:r>
      <w:r w:rsidR="00167760">
        <w:rPr>
          <w:rFonts w:ascii="Traditional Arabic" w:eastAsia="Sakkal Majalla" w:hAnsi="Traditional Arabic" w:cs="Traditional Arabic"/>
          <w:sz w:val="30"/>
          <w:szCs w:val="30"/>
          <w:rtl/>
        </w:rPr>
        <w:t>نقل</w:t>
      </w:r>
      <w:r w:rsidR="00DC5D22" w:rsidRPr="00B65701">
        <w:rPr>
          <w:rFonts w:ascii="Traditional Arabic" w:eastAsia="Sakkal Majalla" w:hAnsi="Traditional Arabic" w:cs="Traditional Arabic"/>
          <w:sz w:val="30"/>
          <w:szCs w:val="30"/>
          <w:rtl/>
        </w:rPr>
        <w:t xml:space="preserve"> المنتظم</w:t>
      </w:r>
      <w:r w:rsidR="00DC5D22">
        <w:rPr>
          <w:rFonts w:ascii="Traditional Arabic" w:eastAsia="Sakkal Majalla" w:hAnsi="Traditional Arabic" w:cs="Traditional Arabic" w:hint="cs"/>
          <w:sz w:val="30"/>
          <w:szCs w:val="30"/>
          <w:rtl/>
        </w:rPr>
        <w:t>،</w:t>
      </w:r>
      <w:r w:rsidR="000D1F47" w:rsidRPr="000D1F47">
        <w:rPr>
          <w:rFonts w:ascii="Traditional Arabic" w:hAnsi="Traditional Arabic" w:cs="Traditional Arabic"/>
          <w:sz w:val="30"/>
          <w:szCs w:val="30"/>
          <w:rtl/>
          <w:lang w:val="en-GB"/>
        </w:rPr>
        <w:t xml:space="preserve"> وهامش التدفق النقدي،</w:t>
      </w:r>
      <w:r w:rsidR="00F93390">
        <w:rPr>
          <w:rFonts w:ascii="Traditional Arabic" w:hAnsi="Traditional Arabic" w:cs="Traditional Arabic" w:hint="cs"/>
          <w:sz w:val="30"/>
          <w:szCs w:val="30"/>
          <w:rtl/>
          <w:lang w:val="en-GB"/>
        </w:rPr>
        <w:t xml:space="preserve"> وصافي الدين (باستثناء عقود الإيجار)</w:t>
      </w:r>
      <w:r w:rsidR="000D1F47" w:rsidRPr="000D1F47">
        <w:rPr>
          <w:rFonts w:ascii="Traditional Arabic" w:hAnsi="Traditional Arabic" w:cs="Traditional Arabic"/>
          <w:sz w:val="30"/>
          <w:szCs w:val="30"/>
          <w:rtl/>
          <w:lang w:val="en-GB"/>
        </w:rPr>
        <w:t xml:space="preserve"> وصافي الرافعة المالية</w:t>
      </w:r>
      <w:r w:rsidR="006A47CE">
        <w:rPr>
          <w:rFonts w:ascii="Traditional Arabic" w:hAnsi="Traditional Arabic" w:cs="Traditional Arabic" w:hint="cs"/>
          <w:sz w:val="30"/>
          <w:szCs w:val="30"/>
          <w:rtl/>
          <w:lang w:val="en-GB"/>
        </w:rPr>
        <w:t>، والقيمة الإجمالية لإيرادات العقود</w:t>
      </w:r>
      <w:r w:rsidRPr="001E4DD3">
        <w:rPr>
          <w:rFonts w:ascii="Traditional Arabic" w:hAnsi="Traditional Arabic" w:cs="Traditional Arabic"/>
          <w:sz w:val="30"/>
          <w:szCs w:val="30"/>
          <w:rtl/>
          <w:lang w:val="en-GB"/>
        </w:rPr>
        <w:t xml:space="preserve"> </w:t>
      </w:r>
      <w:r w:rsidR="00F22BC2">
        <w:rPr>
          <w:rFonts w:ascii="Traditional Arabic" w:hAnsi="Traditional Arabic" w:cs="Traditional Arabic" w:hint="cs"/>
          <w:sz w:val="30"/>
          <w:szCs w:val="30"/>
          <w:rtl/>
          <w:lang w:val="en-GB" w:bidi="ar-EG"/>
        </w:rPr>
        <w:t>(الأدوات المالية غير المتصلة بالمعايير الدولية لإعداد التقارير المالية).</w:t>
      </w:r>
    </w:p>
    <w:p w14:paraId="745AFABE" w14:textId="77777777" w:rsidR="00486E15" w:rsidRPr="00EB5BCF" w:rsidRDefault="00486E15" w:rsidP="003F190E">
      <w:pPr>
        <w:pStyle w:val="BodyText1"/>
        <w:bidi/>
        <w:spacing w:after="0"/>
        <w:rPr>
          <w:rFonts w:ascii="Traditional Arabic" w:hAnsi="Traditional Arabic" w:cs="Traditional Arabic"/>
          <w:sz w:val="30"/>
          <w:szCs w:val="30"/>
          <w:rtl/>
          <w:lang w:val="en-GB" w:bidi="ar-EG"/>
        </w:rPr>
      </w:pPr>
    </w:p>
    <w:p w14:paraId="6152333F" w14:textId="77777777" w:rsidR="006A70ED" w:rsidRPr="00EB5BCF" w:rsidRDefault="009807BA" w:rsidP="00486E15">
      <w:pPr>
        <w:pStyle w:val="BodyText1"/>
        <w:bidi/>
        <w:spacing w:after="0"/>
        <w:rPr>
          <w:rFonts w:ascii="Traditional Arabic" w:hAnsi="Traditional Arabic" w:cs="Traditional Arabic"/>
          <w:sz w:val="30"/>
          <w:szCs w:val="30"/>
          <w:rtl/>
          <w:lang w:val="en-GB" w:bidi="ar-EG"/>
        </w:rPr>
      </w:pPr>
      <w:r w:rsidRPr="00EB5BCF">
        <w:rPr>
          <w:rFonts w:ascii="Traditional Arabic" w:hAnsi="Traditional Arabic" w:cs="Traditional Arabic"/>
          <w:sz w:val="30"/>
          <w:szCs w:val="30"/>
          <w:rtl/>
          <w:lang w:val="en-GB" w:bidi="ar-EG"/>
        </w:rPr>
        <w:lastRenderedPageBreak/>
        <w:t xml:space="preserve">وتستخدم الشركة أدوات غير متصلة بالمعايير الدولية لإعداد التقارير المالية لأنها تعتقد أن هذه الأدوات </w:t>
      </w:r>
      <w:r w:rsidR="00A52970">
        <w:rPr>
          <w:rFonts w:ascii="Traditional Arabic" w:hAnsi="Traditional Arabic" w:cs="Traditional Arabic" w:hint="cs"/>
          <w:sz w:val="30"/>
          <w:szCs w:val="30"/>
          <w:rtl/>
          <w:lang w:val="en-GB" w:bidi="ar-EG"/>
        </w:rPr>
        <w:t xml:space="preserve">مفيدة لجمهور المستثمرين </w:t>
      </w:r>
      <w:r w:rsidR="001F3A28" w:rsidRPr="00EB5BCF">
        <w:rPr>
          <w:rFonts w:ascii="Traditional Arabic" w:hAnsi="Traditional Arabic" w:cs="Traditional Arabic"/>
          <w:sz w:val="30"/>
          <w:szCs w:val="30"/>
          <w:rtl/>
          <w:lang w:val="en-GB" w:bidi="ar-EG"/>
        </w:rPr>
        <w:t xml:space="preserve">ومحللي الأوراق المالية </w:t>
      </w:r>
      <w:r w:rsidR="0070674E">
        <w:rPr>
          <w:rFonts w:ascii="Traditional Arabic" w:hAnsi="Traditional Arabic" w:cs="Traditional Arabic" w:hint="cs"/>
          <w:sz w:val="30"/>
          <w:szCs w:val="30"/>
          <w:rtl/>
          <w:lang w:val="en-GB" w:bidi="ar-EG"/>
        </w:rPr>
        <w:t xml:space="preserve">للتعريف بتوجهات أعمال الشركة، كما يُمكن استخدامها </w:t>
      </w:r>
      <w:r w:rsidR="001F3A28" w:rsidRPr="00EB5BCF">
        <w:rPr>
          <w:rFonts w:ascii="Traditional Arabic" w:hAnsi="Traditional Arabic" w:cs="Traditional Arabic"/>
          <w:sz w:val="30"/>
          <w:szCs w:val="30"/>
          <w:rtl/>
          <w:lang w:val="en-GB" w:bidi="ar-EG"/>
        </w:rPr>
        <w:t>كأدوات تكميلية لقياس الأداء والسيولة</w:t>
      </w:r>
      <w:r w:rsidR="00F54085" w:rsidRPr="00EB5BCF">
        <w:rPr>
          <w:rFonts w:ascii="Traditional Arabic" w:hAnsi="Traditional Arabic" w:cs="Traditional Arabic"/>
          <w:sz w:val="30"/>
          <w:szCs w:val="30"/>
          <w:rtl/>
          <w:lang w:val="en-GB" w:bidi="ar-EG"/>
        </w:rPr>
        <w:t>.</w:t>
      </w:r>
    </w:p>
    <w:p w14:paraId="2984EB34" w14:textId="77777777" w:rsidR="007A1E5F" w:rsidRPr="00EB5BCF" w:rsidRDefault="007A1E5F" w:rsidP="007A1E5F">
      <w:pPr>
        <w:pStyle w:val="BodyText1"/>
        <w:bidi/>
        <w:spacing w:after="0"/>
        <w:rPr>
          <w:rFonts w:ascii="Traditional Arabic" w:hAnsi="Traditional Arabic" w:cs="Traditional Arabic"/>
          <w:sz w:val="30"/>
          <w:szCs w:val="30"/>
          <w:rtl/>
          <w:lang w:val="en-GB" w:bidi="ar-EG"/>
        </w:rPr>
      </w:pPr>
    </w:p>
    <w:p w14:paraId="6B3FF245" w14:textId="77777777" w:rsidR="006A70ED" w:rsidRPr="00CD53BC" w:rsidRDefault="006A70ED" w:rsidP="00C04802">
      <w:pPr>
        <w:bidi/>
        <w:spacing w:beforeLines="40" w:before="96" w:afterLines="40" w:after="96" w:line="276" w:lineRule="auto"/>
        <w:jc w:val="both"/>
        <w:rPr>
          <w:rFonts w:ascii="Traditional Arabic" w:hAnsi="Traditional Arabic" w:cs="Traditional Arabic"/>
          <w:sz w:val="30"/>
          <w:szCs w:val="30"/>
          <w:rtl/>
        </w:rPr>
      </w:pPr>
      <w:r w:rsidRPr="00EB5BCF">
        <w:rPr>
          <w:rFonts w:ascii="Traditional Arabic" w:hAnsi="Traditional Arabic" w:cs="Traditional Arabic"/>
          <w:sz w:val="30"/>
          <w:szCs w:val="30"/>
          <w:rtl/>
          <w:lang w:val="en-GB" w:bidi="ar-EG"/>
        </w:rPr>
        <w:t xml:space="preserve">لا تعتبر </w:t>
      </w:r>
      <w:r w:rsidR="00AA4A9D" w:rsidRPr="00EB5BCF">
        <w:rPr>
          <w:rFonts w:ascii="Traditional Arabic" w:hAnsi="Traditional Arabic" w:cs="Traditional Arabic"/>
          <w:sz w:val="30"/>
          <w:szCs w:val="30"/>
          <w:rtl/>
          <w:lang w:val="en-GB" w:bidi="ar-EG"/>
        </w:rPr>
        <w:t xml:space="preserve">الأدوات غير المتصلة بالمعايير الدولية لإعداد التقارير المالية أداة لقياس الأداء أو السيولة وفق المعايير المذكورة ولا وفق </w:t>
      </w:r>
      <w:r w:rsidR="00550A18" w:rsidRPr="00EB5BCF">
        <w:rPr>
          <w:rFonts w:ascii="Traditional Arabic" w:hAnsi="Traditional Arabic" w:cs="Traditional Arabic"/>
          <w:sz w:val="30"/>
          <w:szCs w:val="30"/>
          <w:rtl/>
          <w:lang w:val="en-GB" w:bidi="ar-EG"/>
        </w:rPr>
        <w:t>أي معايير محاسبية معترف بها إجمالا</w:t>
      </w:r>
      <w:r w:rsidR="0075379C" w:rsidRPr="00EB5BCF">
        <w:rPr>
          <w:rFonts w:ascii="Traditional Arabic" w:hAnsi="Traditional Arabic" w:cs="Traditional Arabic"/>
          <w:sz w:val="30"/>
          <w:szCs w:val="30"/>
          <w:rtl/>
          <w:lang w:val="en-GB" w:bidi="ar-EG"/>
        </w:rPr>
        <w:t>ً</w:t>
      </w:r>
      <w:r w:rsidR="00550A18" w:rsidRPr="00EB5BCF">
        <w:rPr>
          <w:rFonts w:ascii="Traditional Arabic" w:hAnsi="Traditional Arabic" w:cs="Traditional Arabic"/>
          <w:sz w:val="30"/>
          <w:szCs w:val="30"/>
          <w:rtl/>
          <w:lang w:val="en-GB" w:bidi="ar-EG"/>
        </w:rPr>
        <w:t>، ولا ينبغي اعتبار تلك الأدوات كبديل للأدوات المالية المحددة وفق المعايير الدولية أو المعايير المحاسبية المعترف بها إجمالا</w:t>
      </w:r>
      <w:r w:rsidR="0075379C" w:rsidRPr="00EB5BCF">
        <w:rPr>
          <w:rFonts w:ascii="Traditional Arabic" w:hAnsi="Traditional Arabic" w:cs="Traditional Arabic"/>
          <w:sz w:val="30"/>
          <w:szCs w:val="30"/>
          <w:rtl/>
          <w:lang w:val="en-GB" w:bidi="ar-EG"/>
        </w:rPr>
        <w:t>ً</w:t>
      </w:r>
      <w:r w:rsidR="004F4841" w:rsidRPr="00EB5BCF">
        <w:rPr>
          <w:rFonts w:ascii="Traditional Arabic" w:hAnsi="Traditional Arabic" w:cs="Traditional Arabic"/>
          <w:sz w:val="30"/>
          <w:szCs w:val="30"/>
          <w:rtl/>
          <w:lang w:val="en-GB" w:bidi="ar-EG"/>
        </w:rPr>
        <w:t xml:space="preserve">، فهي محدودة من حيث القدرة التحليلية ويجب ألا تُستخدم </w:t>
      </w:r>
      <w:r w:rsidR="00B90BC6">
        <w:rPr>
          <w:rFonts w:ascii="Traditional Arabic" w:hAnsi="Traditional Arabic" w:cs="Traditional Arabic" w:hint="cs"/>
          <w:sz w:val="30"/>
          <w:szCs w:val="30"/>
          <w:rtl/>
        </w:rPr>
        <w:t>ك</w:t>
      </w:r>
      <w:r w:rsidR="004F4841" w:rsidRPr="00EB5BCF">
        <w:rPr>
          <w:rFonts w:ascii="Traditional Arabic" w:hAnsi="Traditional Arabic" w:cs="Traditional Arabic"/>
          <w:sz w:val="30"/>
          <w:szCs w:val="30"/>
          <w:rtl/>
          <w:lang w:val="en-GB" w:bidi="ar-EG"/>
        </w:rPr>
        <w:t>بديلا</w:t>
      </w:r>
      <w:r w:rsidR="0075379C" w:rsidRPr="00EB5BCF">
        <w:rPr>
          <w:rFonts w:ascii="Traditional Arabic" w:hAnsi="Traditional Arabic" w:cs="Traditional Arabic"/>
          <w:sz w:val="30"/>
          <w:szCs w:val="30"/>
          <w:rtl/>
          <w:lang w:val="en-GB" w:bidi="ar-EG"/>
        </w:rPr>
        <w:t>ً</w:t>
      </w:r>
      <w:r w:rsidR="004F4841" w:rsidRPr="00EB5BCF">
        <w:rPr>
          <w:rFonts w:ascii="Traditional Arabic" w:hAnsi="Traditional Arabic" w:cs="Traditional Arabic"/>
          <w:sz w:val="30"/>
          <w:szCs w:val="30"/>
          <w:rtl/>
          <w:lang w:val="en-GB" w:bidi="ar-EG"/>
        </w:rPr>
        <w:t xml:space="preserve"> عن </w:t>
      </w:r>
      <w:r w:rsidR="00CA3AC6" w:rsidRPr="00EB5BCF">
        <w:rPr>
          <w:rFonts w:ascii="Traditional Arabic" w:hAnsi="Traditional Arabic" w:cs="Traditional Arabic"/>
          <w:sz w:val="30"/>
          <w:szCs w:val="30"/>
          <w:rtl/>
          <w:lang w:val="en-GB" w:bidi="ar-EG"/>
        </w:rPr>
        <w:t xml:space="preserve">تحليل الأداء </w:t>
      </w:r>
      <w:r w:rsidR="000E298F" w:rsidRPr="00EB5BCF">
        <w:rPr>
          <w:rFonts w:ascii="Traditional Arabic" w:hAnsi="Traditional Arabic" w:cs="Traditional Arabic"/>
          <w:sz w:val="30"/>
          <w:szCs w:val="30"/>
          <w:rtl/>
          <w:lang w:val="en-GB" w:bidi="ar-EG"/>
        </w:rPr>
        <w:t>ال</w:t>
      </w:r>
      <w:r w:rsidR="000E298F">
        <w:rPr>
          <w:rFonts w:ascii="Traditional Arabic" w:hAnsi="Traditional Arabic" w:cs="Traditional Arabic" w:hint="cs"/>
          <w:sz w:val="30"/>
          <w:szCs w:val="30"/>
          <w:rtl/>
          <w:lang w:val="en-GB" w:bidi="ar-EG"/>
        </w:rPr>
        <w:t>مالي</w:t>
      </w:r>
      <w:r w:rsidR="000E298F" w:rsidRPr="00EB5BCF">
        <w:rPr>
          <w:rFonts w:ascii="Traditional Arabic" w:hAnsi="Traditional Arabic" w:cs="Traditional Arabic"/>
          <w:sz w:val="30"/>
          <w:szCs w:val="30"/>
          <w:rtl/>
          <w:lang w:val="en-GB" w:bidi="ar-EG"/>
        </w:rPr>
        <w:t xml:space="preserve"> </w:t>
      </w:r>
      <w:r w:rsidR="00CA3AC6" w:rsidRPr="00EB5BCF">
        <w:rPr>
          <w:rFonts w:ascii="Traditional Arabic" w:hAnsi="Traditional Arabic" w:cs="Traditional Arabic"/>
          <w:sz w:val="30"/>
          <w:szCs w:val="30"/>
          <w:rtl/>
          <w:lang w:val="en-GB" w:bidi="ar-EG"/>
        </w:rPr>
        <w:t>للشركة المعلن حسب المعايير الدولية لإعداد التقارير المالية.</w:t>
      </w:r>
      <w:r w:rsidR="000E298F">
        <w:rPr>
          <w:rFonts w:ascii="Traditional Arabic" w:hAnsi="Traditional Arabic" w:cs="Traditional Arabic" w:hint="cs"/>
          <w:sz w:val="30"/>
          <w:szCs w:val="30"/>
          <w:rtl/>
          <w:lang w:val="en-GB" w:bidi="ar-EG"/>
        </w:rPr>
        <w:t xml:space="preserve"> </w:t>
      </w:r>
      <w:r w:rsidR="000E298F" w:rsidRPr="00C73B2D">
        <w:rPr>
          <w:rFonts w:ascii="Traditional Arabic" w:hAnsi="Traditional Arabic" w:cs="Traditional Arabic"/>
          <w:sz w:val="30"/>
          <w:szCs w:val="30"/>
          <w:rtl/>
          <w:lang w:bidi="ar-EG"/>
        </w:rPr>
        <w:t>إضافة إلى ذلك، فقد تحسب الشركات الأخرى – وحتى الشركات العاملة في نفس المجال – الأدوات المالية المشابهة بشكل مختلف عن الشركة.</w:t>
      </w:r>
    </w:p>
    <w:p w14:paraId="0F3E2CBE" w14:textId="77777777" w:rsidR="00CA3AC6" w:rsidRPr="00EB5BCF" w:rsidRDefault="00CA3AC6" w:rsidP="00CA3AC6">
      <w:pPr>
        <w:pStyle w:val="BodyText1"/>
        <w:bidi/>
        <w:spacing w:after="0"/>
        <w:rPr>
          <w:rFonts w:ascii="Traditional Arabic" w:hAnsi="Traditional Arabic" w:cs="Traditional Arabic"/>
          <w:sz w:val="30"/>
          <w:szCs w:val="30"/>
          <w:rtl/>
          <w:lang w:val="en-GB" w:bidi="ar-EG"/>
        </w:rPr>
      </w:pPr>
    </w:p>
    <w:p w14:paraId="5F47293F" w14:textId="77777777" w:rsidR="00CA3AC6" w:rsidRPr="00EB5BCF" w:rsidRDefault="005B3588" w:rsidP="00CA3AC6">
      <w:pPr>
        <w:pStyle w:val="BodyText1"/>
        <w:bidi/>
        <w:spacing w:after="0"/>
        <w:rPr>
          <w:rFonts w:ascii="Traditional Arabic" w:hAnsi="Traditional Arabic" w:cs="Traditional Arabic"/>
          <w:sz w:val="30"/>
          <w:szCs w:val="30"/>
          <w:rtl/>
          <w:lang w:val="en-GB" w:bidi="ar-EG"/>
        </w:rPr>
      </w:pPr>
      <w:r w:rsidRPr="00EB5BCF">
        <w:rPr>
          <w:rFonts w:ascii="Traditional Arabic" w:hAnsi="Traditional Arabic" w:cs="Traditional Arabic"/>
          <w:sz w:val="30"/>
          <w:szCs w:val="30"/>
          <w:rtl/>
          <w:lang w:val="en-GB" w:bidi="ar-EG"/>
        </w:rPr>
        <w:t xml:space="preserve">تعتبر الأدوات غير المتصلة بالمعايير الدولية لإعداد التقارير المالية من مسؤوليات </w:t>
      </w:r>
      <w:r w:rsidR="00FA42B8">
        <w:rPr>
          <w:rFonts w:ascii="Traditional Arabic" w:hAnsi="Traditional Arabic" w:cs="Traditional Arabic" w:hint="cs"/>
          <w:sz w:val="30"/>
          <w:szCs w:val="30"/>
          <w:rtl/>
          <w:lang w:val="en-GB" w:bidi="ar-EG"/>
        </w:rPr>
        <w:t>الإدارة</w:t>
      </w:r>
      <w:r w:rsidR="00FA42B8" w:rsidRPr="00EB5BCF">
        <w:rPr>
          <w:rFonts w:ascii="Traditional Arabic" w:hAnsi="Traditional Arabic" w:cs="Traditional Arabic"/>
          <w:sz w:val="30"/>
          <w:szCs w:val="30"/>
          <w:rtl/>
          <w:lang w:val="en-GB" w:bidi="ar-EG"/>
        </w:rPr>
        <w:t xml:space="preserve"> </w:t>
      </w:r>
      <w:r w:rsidRPr="00EB5BCF">
        <w:rPr>
          <w:rFonts w:ascii="Traditional Arabic" w:hAnsi="Traditional Arabic" w:cs="Traditional Arabic"/>
          <w:sz w:val="30"/>
          <w:szCs w:val="30"/>
          <w:rtl/>
          <w:lang w:val="en-GB" w:bidi="ar-EG"/>
        </w:rPr>
        <w:t xml:space="preserve">وهي مبنية على مراجعة الشركة لنتائج أعمالها وتقديراتها، ومن ثم لم تدقق المعلومات السابقة </w:t>
      </w:r>
      <w:r w:rsidR="008F08B5" w:rsidRPr="00EB5BCF">
        <w:rPr>
          <w:rFonts w:ascii="Traditional Arabic" w:hAnsi="Traditional Arabic" w:cs="Traditional Arabic"/>
          <w:sz w:val="30"/>
          <w:szCs w:val="30"/>
          <w:rtl/>
          <w:lang w:val="en-GB" w:bidi="ar-EG"/>
        </w:rPr>
        <w:t xml:space="preserve">ولم تراجع من قبل </w:t>
      </w:r>
      <w:r w:rsidR="00FA42B8">
        <w:rPr>
          <w:rFonts w:ascii="Traditional Arabic" w:hAnsi="Traditional Arabic" w:cs="Traditional Arabic" w:hint="cs"/>
          <w:sz w:val="30"/>
          <w:szCs w:val="30"/>
          <w:rtl/>
          <w:lang w:val="en-GB" w:bidi="ar-EG"/>
        </w:rPr>
        <w:t>جهة خارجية مستقلة</w:t>
      </w:r>
      <w:r w:rsidR="008F08B5" w:rsidRPr="00EB5BCF">
        <w:rPr>
          <w:rFonts w:ascii="Traditional Arabic" w:hAnsi="Traditional Arabic" w:cs="Traditional Arabic"/>
          <w:sz w:val="30"/>
          <w:szCs w:val="30"/>
          <w:rtl/>
          <w:lang w:val="en-GB" w:bidi="ar-EG"/>
        </w:rPr>
        <w:t xml:space="preserve"> أو أي مكتب تدقيق حسابات </w:t>
      </w:r>
      <w:r w:rsidR="00FA42B8">
        <w:rPr>
          <w:rFonts w:ascii="Traditional Arabic" w:hAnsi="Traditional Arabic" w:cs="Traditional Arabic" w:hint="cs"/>
          <w:sz w:val="30"/>
          <w:szCs w:val="30"/>
          <w:rtl/>
          <w:lang w:val="en-GB" w:bidi="ar-EG"/>
        </w:rPr>
        <w:t>مستقل أو استشاري</w:t>
      </w:r>
      <w:r w:rsidR="000A48F1">
        <w:rPr>
          <w:rFonts w:ascii="Traditional Arabic" w:hAnsi="Traditional Arabic" w:cs="Traditional Arabic" w:hint="cs"/>
          <w:sz w:val="30"/>
          <w:szCs w:val="30"/>
          <w:rtl/>
          <w:lang w:val="en-GB" w:bidi="ar-EG"/>
        </w:rPr>
        <w:t xml:space="preserve"> أو خبير</w:t>
      </w:r>
      <w:r w:rsidR="008F08B5" w:rsidRPr="00EB5BCF">
        <w:rPr>
          <w:rFonts w:ascii="Traditional Arabic" w:hAnsi="Traditional Arabic" w:cs="Traditional Arabic"/>
          <w:sz w:val="30"/>
          <w:szCs w:val="30"/>
          <w:rtl/>
          <w:lang w:val="en-GB" w:bidi="ar-EG"/>
        </w:rPr>
        <w:t xml:space="preserve">، ويجب </w:t>
      </w:r>
      <w:r w:rsidR="00444AA0" w:rsidRPr="00EB5BCF">
        <w:rPr>
          <w:rFonts w:ascii="Traditional Arabic" w:hAnsi="Traditional Arabic" w:cs="Traditional Arabic" w:hint="eastAsia"/>
          <w:sz w:val="30"/>
          <w:szCs w:val="30"/>
          <w:rtl/>
          <w:lang w:val="en-GB" w:bidi="ar-EG"/>
        </w:rPr>
        <w:t>قراءة</w:t>
      </w:r>
      <w:r w:rsidR="00444AA0" w:rsidRPr="00EB5BCF">
        <w:rPr>
          <w:rFonts w:ascii="Traditional Arabic" w:hAnsi="Traditional Arabic" w:cs="Traditional Arabic"/>
          <w:sz w:val="30"/>
          <w:szCs w:val="30"/>
          <w:rtl/>
          <w:lang w:val="en-GB" w:bidi="ar-EG"/>
        </w:rPr>
        <w:t xml:space="preserve"> هذه الأدوات</w:t>
      </w:r>
      <w:r w:rsidR="008F08B5" w:rsidRPr="00EB5BCF">
        <w:rPr>
          <w:rFonts w:ascii="Traditional Arabic" w:hAnsi="Traditional Arabic" w:cs="Traditional Arabic"/>
          <w:sz w:val="30"/>
          <w:szCs w:val="30"/>
          <w:rtl/>
          <w:lang w:val="en-GB" w:bidi="ar-EG"/>
        </w:rPr>
        <w:t xml:space="preserve"> مع البيانات التاريخية </w:t>
      </w:r>
      <w:r w:rsidR="00025FEB" w:rsidRPr="00EB5BCF">
        <w:rPr>
          <w:rFonts w:ascii="Traditional Arabic" w:hAnsi="Traditional Arabic" w:cs="Traditional Arabic"/>
          <w:sz w:val="30"/>
          <w:szCs w:val="30"/>
          <w:rtl/>
          <w:lang w:val="en-GB" w:bidi="ar-EG"/>
        </w:rPr>
        <w:t>ولكنها لا تشكل جزءً من البيانات المالية</w:t>
      </w:r>
      <w:r w:rsidR="00C04802">
        <w:rPr>
          <w:rFonts w:ascii="Traditional Arabic" w:hAnsi="Traditional Arabic" w:cs="Traditional Arabic" w:hint="cs"/>
          <w:sz w:val="30"/>
          <w:szCs w:val="30"/>
          <w:rtl/>
          <w:lang w:val="en-GB" w:bidi="ar-EG"/>
        </w:rPr>
        <w:t xml:space="preserve"> </w:t>
      </w:r>
      <w:r w:rsidR="00025FEB" w:rsidRPr="00EB5BCF">
        <w:rPr>
          <w:rFonts w:ascii="Traditional Arabic" w:hAnsi="Traditional Arabic" w:cs="Traditional Arabic"/>
          <w:sz w:val="30"/>
          <w:szCs w:val="30"/>
          <w:rtl/>
          <w:lang w:val="en-GB" w:bidi="ar-EG"/>
        </w:rPr>
        <w:t>للشركة</w:t>
      </w:r>
      <w:r w:rsidR="005164B8" w:rsidRPr="00EB5BCF">
        <w:rPr>
          <w:rFonts w:ascii="Traditional Arabic" w:hAnsi="Traditional Arabic" w:cs="Traditional Arabic"/>
          <w:sz w:val="30"/>
          <w:szCs w:val="30"/>
          <w:rtl/>
          <w:lang w:val="en-GB" w:bidi="ar-EG"/>
        </w:rPr>
        <w:t xml:space="preserve">. وبالتالي ينبغي للمستثمرين ألا يعتمدوا كامل الاعتماد على الأدوات </w:t>
      </w:r>
      <w:r w:rsidR="009765A2" w:rsidRPr="00EB5BCF">
        <w:rPr>
          <w:rFonts w:ascii="Traditional Arabic" w:hAnsi="Traditional Arabic" w:cs="Traditional Arabic"/>
          <w:sz w:val="30"/>
          <w:szCs w:val="30"/>
          <w:rtl/>
          <w:lang w:val="en-GB" w:bidi="ar-EG"/>
        </w:rPr>
        <w:t>غير المتصلة بالمعايير الدولية المذكورة في هذه النشرة.</w:t>
      </w:r>
    </w:p>
    <w:p w14:paraId="480646E1" w14:textId="77777777" w:rsidR="009765A2" w:rsidRPr="00EB5BCF" w:rsidRDefault="009765A2" w:rsidP="006A70ED">
      <w:pPr>
        <w:pStyle w:val="BodyText1"/>
        <w:bidi/>
        <w:spacing w:after="0"/>
        <w:rPr>
          <w:rFonts w:ascii="Traditional Arabic" w:hAnsi="Traditional Arabic" w:cs="Traditional Arabic"/>
          <w:sz w:val="30"/>
          <w:szCs w:val="30"/>
          <w:rtl/>
          <w:lang w:val="en-GB" w:bidi="ar-EG"/>
        </w:rPr>
      </w:pPr>
    </w:p>
    <w:p w14:paraId="33D9FC48" w14:textId="77777777" w:rsidR="003F190E" w:rsidRDefault="000822FA" w:rsidP="009765A2">
      <w:pPr>
        <w:pStyle w:val="BodyText1"/>
        <w:bidi/>
        <w:spacing w:after="0"/>
        <w:rPr>
          <w:rFonts w:ascii="Traditional Arabic" w:hAnsi="Traditional Arabic" w:cs="Traditional Arabic"/>
          <w:sz w:val="30"/>
          <w:szCs w:val="30"/>
          <w:rtl/>
          <w:lang w:val="en-GB" w:bidi="ar-EG"/>
        </w:rPr>
      </w:pPr>
      <w:r w:rsidRPr="00EB5BCF">
        <w:rPr>
          <w:rFonts w:ascii="Traditional Arabic" w:hAnsi="Traditional Arabic" w:cs="Traditional Arabic"/>
          <w:sz w:val="30"/>
          <w:szCs w:val="30"/>
          <w:rtl/>
          <w:lang w:val="en-GB" w:bidi="ar-EG"/>
        </w:rPr>
        <w:t>وفيما يلي بعض تعريفات الأدوات المستخدمة:</w:t>
      </w:r>
    </w:p>
    <w:p w14:paraId="4CB02821" w14:textId="77777777" w:rsidR="00D32CB8" w:rsidRPr="00D32CB8" w:rsidRDefault="00D32CB8" w:rsidP="007B36AC">
      <w:pPr>
        <w:pStyle w:val="BodyText1"/>
        <w:bidi/>
        <w:ind w:left="571" w:hanging="571"/>
        <w:rPr>
          <w:rFonts w:ascii="Traditional Arabic" w:hAnsi="Traditional Arabic" w:cs="Traditional Arabic"/>
          <w:sz w:val="30"/>
          <w:szCs w:val="30"/>
          <w:rtl/>
          <w:lang w:val="en-GB" w:bidi="ar-EG"/>
        </w:rPr>
      </w:pPr>
      <w:r w:rsidRPr="00D32CB8">
        <w:rPr>
          <w:rFonts w:ascii="Traditional Arabic" w:hAnsi="Traditional Arabic" w:cs="Traditional Arabic"/>
          <w:sz w:val="30"/>
          <w:szCs w:val="30"/>
          <w:lang w:val="en-GB" w:bidi="ar-EG"/>
        </w:rPr>
        <w:t>•</w:t>
      </w:r>
      <w:r w:rsidRPr="00D32CB8">
        <w:rPr>
          <w:rFonts w:ascii="Traditional Arabic" w:hAnsi="Traditional Arabic" w:cs="Traditional Arabic"/>
          <w:sz w:val="30"/>
          <w:szCs w:val="30"/>
          <w:lang w:val="en-GB" w:bidi="ar-EG"/>
        </w:rPr>
        <w:tab/>
        <w:t>"</w:t>
      </w:r>
      <w:r w:rsidRPr="00D32CB8">
        <w:rPr>
          <w:rFonts w:ascii="Traditional Arabic" w:hAnsi="Traditional Arabic" w:cs="Traditional Arabic"/>
          <w:sz w:val="30"/>
          <w:szCs w:val="30"/>
          <w:rtl/>
          <w:lang w:val="en-GB" w:bidi="ar-EG"/>
        </w:rPr>
        <w:t>الأرباح قبل حساب الفوائد والضرائب والإهلاك والإطفاء" هي الأرباح قبل حساب الفوائد</w:t>
      </w:r>
      <w:r w:rsidR="00372AAD">
        <w:rPr>
          <w:rFonts w:ascii="Traditional Arabic" w:hAnsi="Traditional Arabic" w:cs="Traditional Arabic" w:hint="cs"/>
          <w:sz w:val="30"/>
          <w:szCs w:val="30"/>
          <w:rtl/>
          <w:lang w:val="en-GB" w:bidi="ar-EG"/>
        </w:rPr>
        <w:t xml:space="preserve"> (تكاليف </w:t>
      </w:r>
      <w:r w:rsidR="00766F29">
        <w:rPr>
          <w:rFonts w:ascii="Traditional Arabic" w:hAnsi="Traditional Arabic" w:cs="Traditional Arabic" w:hint="cs"/>
          <w:sz w:val="30"/>
          <w:szCs w:val="30"/>
          <w:rtl/>
        </w:rPr>
        <w:t xml:space="preserve">وايرادات </w:t>
      </w:r>
      <w:r w:rsidR="00372AAD">
        <w:rPr>
          <w:rFonts w:ascii="Traditional Arabic" w:hAnsi="Traditional Arabic" w:cs="Traditional Arabic" w:hint="cs"/>
          <w:sz w:val="30"/>
          <w:szCs w:val="30"/>
          <w:rtl/>
          <w:lang w:val="en-GB" w:bidi="ar-EG"/>
        </w:rPr>
        <w:t>التمويل</w:t>
      </w:r>
      <w:r w:rsidR="00766F29">
        <w:rPr>
          <w:rFonts w:ascii="Traditional Arabic" w:hAnsi="Traditional Arabic" w:cs="Traditional Arabic" w:hint="cs"/>
          <w:sz w:val="30"/>
          <w:szCs w:val="30"/>
          <w:rtl/>
          <w:lang w:val="en-GB" w:bidi="ar-EG"/>
        </w:rPr>
        <w:t>)</w:t>
      </w:r>
      <w:r w:rsidR="00934FE1">
        <w:rPr>
          <w:rFonts w:ascii="Traditional Arabic" w:hAnsi="Traditional Arabic" w:cs="Traditional Arabic" w:hint="cs"/>
          <w:sz w:val="30"/>
          <w:szCs w:val="30"/>
          <w:rtl/>
          <w:lang w:val="en-GB" w:bidi="ar-EG"/>
        </w:rPr>
        <w:t xml:space="preserve"> </w:t>
      </w:r>
      <w:r w:rsidRPr="00D32CB8">
        <w:rPr>
          <w:rFonts w:ascii="Traditional Arabic" w:hAnsi="Traditional Arabic" w:cs="Traditional Arabic"/>
          <w:sz w:val="30"/>
          <w:szCs w:val="30"/>
          <w:rtl/>
          <w:lang w:val="en-GB" w:bidi="ar-EG"/>
        </w:rPr>
        <w:t>والضرائب والإهلاك والإطفاء</w:t>
      </w:r>
      <w:r w:rsidRPr="00D32CB8">
        <w:rPr>
          <w:rFonts w:ascii="Traditional Arabic" w:hAnsi="Traditional Arabic" w:cs="Traditional Arabic"/>
          <w:sz w:val="30"/>
          <w:szCs w:val="30"/>
          <w:lang w:val="en-GB" w:bidi="ar-EG"/>
        </w:rPr>
        <w:t>.</w:t>
      </w:r>
    </w:p>
    <w:p w14:paraId="1D0048E4" w14:textId="77777777" w:rsidR="00D32CB8" w:rsidRPr="00D32CB8" w:rsidRDefault="00D32CB8" w:rsidP="007B36AC">
      <w:pPr>
        <w:pStyle w:val="BodyText1"/>
        <w:bidi/>
        <w:ind w:left="571" w:hanging="571"/>
        <w:rPr>
          <w:rFonts w:ascii="Traditional Arabic" w:hAnsi="Traditional Arabic" w:cs="Traditional Arabic"/>
          <w:sz w:val="30"/>
          <w:szCs w:val="30"/>
          <w:rtl/>
          <w:lang w:val="en-GB" w:bidi="ar-EG"/>
        </w:rPr>
      </w:pPr>
      <w:r w:rsidRPr="00D32CB8">
        <w:rPr>
          <w:rFonts w:ascii="Traditional Arabic" w:hAnsi="Traditional Arabic" w:cs="Traditional Arabic"/>
          <w:sz w:val="30"/>
          <w:szCs w:val="30"/>
          <w:lang w:val="en-GB" w:bidi="ar-EG"/>
        </w:rPr>
        <w:t>•</w:t>
      </w:r>
      <w:r w:rsidRPr="00D32CB8">
        <w:rPr>
          <w:rFonts w:ascii="Traditional Arabic" w:hAnsi="Traditional Arabic" w:cs="Traditional Arabic"/>
          <w:sz w:val="30"/>
          <w:szCs w:val="30"/>
          <w:lang w:val="en-GB" w:bidi="ar-EG"/>
        </w:rPr>
        <w:tab/>
        <w:t>"</w:t>
      </w:r>
      <w:r w:rsidRPr="00D32CB8">
        <w:rPr>
          <w:rFonts w:ascii="Traditional Arabic" w:hAnsi="Traditional Arabic" w:cs="Traditional Arabic"/>
          <w:sz w:val="30"/>
          <w:szCs w:val="30"/>
          <w:rtl/>
          <w:lang w:val="en-GB" w:bidi="ar-EG"/>
        </w:rPr>
        <w:t>هامش الأرباح قبل حساب الفوائد والضرائب والإهلاك والإطفاء" هو الأرباح قبل حساب الفوائد والضرائب والإهلاك والإطفاء مقسومًا على الإيرادات المكافئة من تأجير السفن المجهزة بالمدة، ويتم التعبير عنه بنسبة مئوية</w:t>
      </w:r>
      <w:r w:rsidRPr="00D32CB8">
        <w:rPr>
          <w:rFonts w:ascii="Traditional Arabic" w:hAnsi="Traditional Arabic" w:cs="Traditional Arabic"/>
          <w:sz w:val="30"/>
          <w:szCs w:val="30"/>
          <w:lang w:val="en-GB" w:bidi="ar-EG"/>
        </w:rPr>
        <w:t>.</w:t>
      </w:r>
    </w:p>
    <w:p w14:paraId="2EF91092" w14:textId="08BA12DD" w:rsidR="00BD47BA" w:rsidRPr="00CA4D73" w:rsidRDefault="00D32CB8" w:rsidP="00E14CC0">
      <w:pPr>
        <w:pStyle w:val="BodyText1"/>
        <w:bidi/>
        <w:ind w:left="571" w:hanging="571"/>
        <w:rPr>
          <w:rFonts w:ascii="Traditional Arabic" w:hAnsi="Traditional Arabic" w:cs="Traditional Arabic"/>
          <w:b/>
          <w:sz w:val="30"/>
          <w:szCs w:val="30"/>
          <w:rtl/>
          <w:lang w:val="en-GB"/>
        </w:rPr>
      </w:pPr>
      <w:r w:rsidRPr="00D32CB8">
        <w:rPr>
          <w:rFonts w:ascii="Traditional Arabic" w:hAnsi="Traditional Arabic" w:cs="Traditional Arabic"/>
          <w:sz w:val="30"/>
          <w:szCs w:val="30"/>
          <w:lang w:val="en-GB" w:bidi="ar-EG"/>
        </w:rPr>
        <w:t>•</w:t>
      </w:r>
      <w:r w:rsidRPr="00D32CB8">
        <w:rPr>
          <w:rFonts w:ascii="Traditional Arabic" w:hAnsi="Traditional Arabic" w:cs="Traditional Arabic"/>
          <w:sz w:val="30"/>
          <w:szCs w:val="30"/>
          <w:lang w:val="en-GB" w:bidi="ar-EG"/>
        </w:rPr>
        <w:tab/>
        <w:t>"</w:t>
      </w:r>
      <w:r w:rsidRPr="00D32CB8">
        <w:rPr>
          <w:rFonts w:ascii="Traditional Arabic" w:hAnsi="Traditional Arabic" w:cs="Traditional Arabic"/>
          <w:sz w:val="30"/>
          <w:szCs w:val="30"/>
          <w:rtl/>
          <w:lang w:val="en-GB" w:bidi="ar-EG"/>
        </w:rPr>
        <w:t xml:space="preserve">الأرباح المعدلة قبل خصم الفوائد والضرائب والإهلاك والإطفاء" هي مجموع الأرباح قبل خصم الفوائد والضرائب والإهلاك والإطفاء وتعديلات الأرباح بما في ذلك المكاسب أو الخسائر لمرة واحدة من بيع الأصول الثابتة </w:t>
      </w:r>
      <w:r w:rsidR="00E14CC0">
        <w:rPr>
          <w:rFonts w:ascii="Traditional Arabic" w:hAnsi="Traditional Arabic" w:cs="Traditional Arabic" w:hint="cs"/>
          <w:sz w:val="30"/>
          <w:szCs w:val="30"/>
          <w:rtl/>
        </w:rPr>
        <w:t>و</w:t>
      </w:r>
      <w:r w:rsidR="00E14CC0" w:rsidRPr="00E14CC0">
        <w:rPr>
          <w:rFonts w:ascii="Traditional Arabic" w:hAnsi="Traditional Arabic" w:cs="Traditional Arabic"/>
          <w:sz w:val="30"/>
          <w:szCs w:val="30"/>
          <w:rtl/>
          <w:lang w:val="en-GB" w:bidi="ar-EG"/>
        </w:rPr>
        <w:t xml:space="preserve">دخل الأرباح، وخسائر انخفاض القيمة على </w:t>
      </w:r>
      <w:r w:rsidR="00C87E3F">
        <w:rPr>
          <w:rFonts w:ascii="Traditional Arabic" w:hAnsi="Traditional Arabic" w:cs="Traditional Arabic" w:hint="cs"/>
          <w:sz w:val="30"/>
          <w:szCs w:val="30"/>
          <w:rtl/>
          <w:lang w:val="en-GB" w:bidi="ar-EG"/>
        </w:rPr>
        <w:t>ال</w:t>
      </w:r>
      <w:r w:rsidR="00E14CC0" w:rsidRPr="00E14CC0">
        <w:rPr>
          <w:rFonts w:ascii="Traditional Arabic" w:hAnsi="Traditional Arabic" w:cs="Traditional Arabic"/>
          <w:sz w:val="30"/>
          <w:szCs w:val="30"/>
          <w:rtl/>
          <w:lang w:val="en-GB" w:bidi="ar-EG"/>
        </w:rPr>
        <w:t xml:space="preserve">أصول </w:t>
      </w:r>
      <w:r w:rsidR="00C87E3F">
        <w:rPr>
          <w:rFonts w:ascii="Traditional Arabic" w:hAnsi="Traditional Arabic" w:cs="Traditional Arabic" w:hint="cs"/>
          <w:sz w:val="30"/>
          <w:szCs w:val="30"/>
          <w:rtl/>
          <w:lang w:val="en-GB" w:bidi="ar-EG"/>
        </w:rPr>
        <w:t>الخا</w:t>
      </w:r>
      <w:r w:rsidR="009F6D58" w:rsidRPr="00240371">
        <w:rPr>
          <w:rFonts w:ascii="Traditional Arabic" w:hAnsi="Traditional Arabic" w:cs="Traditional Arabic" w:hint="eastAsia"/>
          <w:sz w:val="30"/>
          <w:szCs w:val="30"/>
          <w:rtl/>
          <w:lang w:val="en-GB" w:bidi="ar-OM"/>
        </w:rPr>
        <w:t>ض</w:t>
      </w:r>
      <w:r w:rsidR="00C87E3F">
        <w:rPr>
          <w:rFonts w:ascii="Traditional Arabic" w:hAnsi="Traditional Arabic" w:cs="Traditional Arabic" w:hint="cs"/>
          <w:sz w:val="30"/>
          <w:szCs w:val="30"/>
          <w:rtl/>
          <w:lang w:val="en-GB" w:bidi="ar-EG"/>
        </w:rPr>
        <w:t>عة ل</w:t>
      </w:r>
      <w:r w:rsidR="00E14CC0" w:rsidRPr="00E14CC0">
        <w:rPr>
          <w:rFonts w:ascii="Traditional Arabic" w:hAnsi="Traditional Arabic" w:cs="Traditional Arabic"/>
          <w:sz w:val="30"/>
          <w:szCs w:val="30"/>
          <w:rtl/>
          <w:lang w:val="en-GB" w:bidi="ar-EG"/>
        </w:rPr>
        <w:t xml:space="preserve">حق الاستخدام، </w:t>
      </w:r>
      <w:r w:rsidR="006D1BCB">
        <w:rPr>
          <w:rFonts w:ascii="Traditional Arabic" w:hAnsi="Traditional Arabic" w:cs="Traditional Arabic" w:hint="cs"/>
          <w:sz w:val="30"/>
          <w:szCs w:val="30"/>
          <w:rtl/>
          <w:lang w:val="en-GB" w:bidi="ar-EG"/>
        </w:rPr>
        <w:t>والتعديلات الاضافية</w:t>
      </w:r>
      <w:r w:rsidR="00E14CC0" w:rsidRPr="00E14CC0">
        <w:rPr>
          <w:rFonts w:ascii="Traditional Arabic" w:hAnsi="Traditional Arabic" w:cs="Traditional Arabic"/>
          <w:sz w:val="30"/>
          <w:szCs w:val="30"/>
          <w:rtl/>
          <w:lang w:val="en-GB" w:bidi="ar-EG"/>
        </w:rPr>
        <w:t xml:space="preserve"> فيما يتعلق بالسنة المنتهية في 31 ديسمبر 2022، لمتوسط </w:t>
      </w:r>
      <w:r w:rsidR="00E14CC0" w:rsidRPr="00E14CC0">
        <w:rPr>
          <w:rFonts w:cs="Times New Roman" w:hint="cs"/>
          <w:sz w:val="30"/>
          <w:szCs w:val="30"/>
          <w:rtl/>
          <w:lang w:val="en-GB" w:bidi="ar-EG"/>
        </w:rPr>
        <w:t>​​</w:t>
      </w:r>
      <w:r w:rsidR="00E14CC0" w:rsidRPr="00E14CC0">
        <w:rPr>
          <w:rFonts w:ascii="Traditional Arabic" w:hAnsi="Traditional Arabic" w:cs="Traditional Arabic" w:hint="cs"/>
          <w:sz w:val="30"/>
          <w:szCs w:val="30"/>
          <w:rtl/>
          <w:lang w:val="en-GB" w:bidi="ar-EG"/>
        </w:rPr>
        <w:t>مصاريف</w:t>
      </w:r>
      <w:r w:rsidR="00E14CC0" w:rsidRPr="00E14CC0">
        <w:rPr>
          <w:rFonts w:ascii="Traditional Arabic" w:hAnsi="Traditional Arabic" w:cs="Traditional Arabic"/>
          <w:sz w:val="30"/>
          <w:szCs w:val="30"/>
          <w:rtl/>
          <w:lang w:val="en-GB" w:bidi="ar-EG"/>
        </w:rPr>
        <w:t xml:space="preserve"> </w:t>
      </w:r>
      <w:r w:rsidR="00E14CC0" w:rsidRPr="00E14CC0">
        <w:rPr>
          <w:rFonts w:ascii="Traditional Arabic" w:hAnsi="Traditional Arabic" w:cs="Traditional Arabic" w:hint="cs"/>
          <w:sz w:val="30"/>
          <w:szCs w:val="30"/>
          <w:rtl/>
          <w:lang w:val="en-GB" w:bidi="ar-EG"/>
        </w:rPr>
        <w:t>الإصلاح</w:t>
      </w:r>
      <w:r w:rsidR="00E14CC0" w:rsidRPr="00E14CC0">
        <w:rPr>
          <w:rFonts w:ascii="Traditional Arabic" w:hAnsi="Traditional Arabic" w:cs="Traditional Arabic"/>
          <w:sz w:val="30"/>
          <w:szCs w:val="30"/>
          <w:rtl/>
          <w:lang w:val="en-GB" w:bidi="ar-EG"/>
        </w:rPr>
        <w:t xml:space="preserve"> </w:t>
      </w:r>
      <w:r w:rsidR="00E14CC0" w:rsidRPr="00E14CC0">
        <w:rPr>
          <w:rFonts w:ascii="Traditional Arabic" w:hAnsi="Traditional Arabic" w:cs="Traditional Arabic" w:hint="cs"/>
          <w:sz w:val="30"/>
          <w:szCs w:val="30"/>
          <w:rtl/>
          <w:lang w:val="en-GB" w:bidi="ar-EG"/>
        </w:rPr>
        <w:t>والصيانة</w:t>
      </w:r>
    </w:p>
    <w:p w14:paraId="23FD7E4B" w14:textId="77777777" w:rsidR="00D32CB8" w:rsidRPr="00D32CB8" w:rsidRDefault="00D32CB8" w:rsidP="00CA4D73">
      <w:pPr>
        <w:pStyle w:val="BodyText1"/>
        <w:bidi/>
        <w:ind w:left="571" w:hanging="571"/>
        <w:rPr>
          <w:rFonts w:ascii="Traditional Arabic" w:hAnsi="Traditional Arabic" w:cs="Traditional Arabic"/>
          <w:sz w:val="30"/>
          <w:szCs w:val="30"/>
          <w:rtl/>
          <w:lang w:val="en-GB" w:bidi="ar-EG"/>
        </w:rPr>
      </w:pPr>
      <w:r w:rsidRPr="00D32CB8">
        <w:rPr>
          <w:rFonts w:ascii="Traditional Arabic" w:hAnsi="Traditional Arabic" w:cs="Traditional Arabic"/>
          <w:sz w:val="30"/>
          <w:szCs w:val="30"/>
          <w:lang w:val="en-GB" w:bidi="ar-EG"/>
        </w:rPr>
        <w:t>•</w:t>
      </w:r>
      <w:r w:rsidRPr="00D32CB8">
        <w:rPr>
          <w:rFonts w:ascii="Traditional Arabic" w:hAnsi="Traditional Arabic" w:cs="Traditional Arabic"/>
          <w:sz w:val="30"/>
          <w:szCs w:val="30"/>
          <w:lang w:val="en-GB" w:bidi="ar-EG"/>
        </w:rPr>
        <w:tab/>
        <w:t>"</w:t>
      </w:r>
      <w:r w:rsidRPr="00D32CB8">
        <w:rPr>
          <w:rFonts w:ascii="Traditional Arabic" w:hAnsi="Traditional Arabic" w:cs="Traditional Arabic"/>
          <w:sz w:val="30"/>
          <w:szCs w:val="30"/>
          <w:rtl/>
          <w:lang w:val="en-GB" w:bidi="ar-EG"/>
        </w:rPr>
        <w:t>هامش الأرباح المعدلة قبل حساب الفوائد والضرائب والإهلاك والإطفاء": هي الأرباح المعدلة قبل حساب الفوائد والضرائب والإهلاك والإطفاء مقسومة على الإيرادات المكافئة من تأجير السفن المجهزة بالمدة، ويتم التعبير عنه بنسبة مئوية</w:t>
      </w:r>
      <w:r w:rsidRPr="00D32CB8">
        <w:rPr>
          <w:rFonts w:ascii="Traditional Arabic" w:hAnsi="Traditional Arabic" w:cs="Traditional Arabic"/>
          <w:sz w:val="30"/>
          <w:szCs w:val="30"/>
          <w:lang w:val="en-GB" w:bidi="ar-EG"/>
        </w:rPr>
        <w:t>.</w:t>
      </w:r>
    </w:p>
    <w:p w14:paraId="4EE2C123" w14:textId="77777777" w:rsidR="00C47B5C" w:rsidRPr="003832A3" w:rsidRDefault="00D32CB8" w:rsidP="003832A3">
      <w:pPr>
        <w:pStyle w:val="BodyText1"/>
        <w:bidi/>
        <w:rPr>
          <w:rFonts w:ascii="Traditional Arabic" w:hAnsi="Traditional Arabic" w:cs="Traditional Arabic"/>
          <w:sz w:val="18"/>
          <w:szCs w:val="18"/>
          <w:rtl/>
          <w:lang w:val="en-GB" w:bidi="ar-EG"/>
        </w:rPr>
      </w:pPr>
      <w:r w:rsidRPr="00D32CB8">
        <w:rPr>
          <w:rFonts w:ascii="Traditional Arabic" w:hAnsi="Traditional Arabic" w:cs="Traditional Arabic"/>
          <w:sz w:val="30"/>
          <w:szCs w:val="30"/>
          <w:lang w:val="en-GB" w:bidi="ar-EG"/>
        </w:rPr>
        <w:lastRenderedPageBreak/>
        <w:t>•</w:t>
      </w:r>
      <w:r w:rsidRPr="00D32CB8">
        <w:rPr>
          <w:rFonts w:ascii="Traditional Arabic" w:hAnsi="Traditional Arabic" w:cs="Traditional Arabic"/>
          <w:sz w:val="30"/>
          <w:szCs w:val="30"/>
          <w:lang w:val="en-GB" w:bidi="ar-EG"/>
        </w:rPr>
        <w:tab/>
        <w:t>"</w:t>
      </w:r>
      <w:r w:rsidRPr="00D32CB8">
        <w:rPr>
          <w:rFonts w:ascii="Traditional Arabic" w:hAnsi="Traditional Arabic" w:cs="Traditional Arabic"/>
          <w:sz w:val="30"/>
          <w:szCs w:val="30"/>
          <w:rtl/>
          <w:lang w:val="en-GB" w:bidi="ar-EG"/>
        </w:rPr>
        <w:t>الإيرادات المكافئة من تأجير السفن المجهزة بالمدة" هي الإيرادات مخصوماً منها تكاليف تشغيل الرحلة</w:t>
      </w:r>
      <w:r w:rsidRPr="00D32CB8">
        <w:rPr>
          <w:rFonts w:ascii="Traditional Arabic" w:hAnsi="Traditional Arabic" w:cs="Traditional Arabic"/>
          <w:sz w:val="30"/>
          <w:szCs w:val="30"/>
          <w:lang w:val="en-GB" w:bidi="ar-EG"/>
        </w:rPr>
        <w:t>.</w:t>
      </w:r>
    </w:p>
    <w:p w14:paraId="6C1836E6" w14:textId="77777777" w:rsidR="00A11AFA" w:rsidRDefault="00A11AFA" w:rsidP="00D925C8">
      <w:pPr>
        <w:pStyle w:val="BodyText1"/>
        <w:numPr>
          <w:ilvl w:val="0"/>
          <w:numId w:val="72"/>
        </w:numPr>
        <w:bidi/>
        <w:ind w:left="571" w:hanging="567"/>
        <w:rPr>
          <w:rFonts w:ascii="Traditional Arabic" w:eastAsia="Sakkal Majalla" w:hAnsi="Traditional Arabic" w:cs="Traditional Arabic"/>
          <w:sz w:val="30"/>
          <w:szCs w:val="30"/>
        </w:rPr>
      </w:pPr>
      <w:r>
        <w:rPr>
          <w:rFonts w:ascii="Traditional Arabic" w:eastAsia="Sakkal Majalla" w:hAnsi="Traditional Arabic" w:cs="Traditional Arabic" w:hint="cs"/>
          <w:sz w:val="30"/>
          <w:szCs w:val="30"/>
          <w:rtl/>
        </w:rPr>
        <w:t>"</w:t>
      </w:r>
      <w:r w:rsidRPr="00B65701">
        <w:rPr>
          <w:rFonts w:ascii="Traditional Arabic" w:eastAsia="Sakkal Majalla" w:hAnsi="Traditional Arabic" w:cs="Traditional Arabic"/>
          <w:sz w:val="30"/>
          <w:szCs w:val="30"/>
          <w:rtl/>
        </w:rPr>
        <w:t>مكافئ تأجير السفن المجهزة بالمدة 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النفط</w:t>
      </w:r>
      <w:r>
        <w:rPr>
          <w:rFonts w:ascii="Traditional Arabic" w:eastAsia="Sakkal Majalla" w:hAnsi="Traditional Arabic" w:cs="Traditional Arabic" w:hint="cs"/>
          <w:sz w:val="30"/>
          <w:szCs w:val="30"/>
          <w:rtl/>
        </w:rPr>
        <w:t>": ا</w:t>
      </w:r>
      <w:r w:rsidRPr="00566F91">
        <w:rPr>
          <w:rFonts w:ascii="Traditional Arabic" w:eastAsia="Sakkal Majalla" w:hAnsi="Traditional Arabic" w:cs="Traditional Arabic"/>
          <w:sz w:val="30"/>
          <w:szCs w:val="30"/>
          <w:rtl/>
        </w:rPr>
        <w:t xml:space="preserve">لإيرادات </w:t>
      </w:r>
      <w:r>
        <w:rPr>
          <w:rFonts w:ascii="Traditional Arabic" w:eastAsia="Sakkal Majalla" w:hAnsi="Traditional Arabic" w:cs="Traditional Arabic" w:hint="cs"/>
          <w:sz w:val="30"/>
          <w:szCs w:val="30"/>
          <w:rtl/>
        </w:rPr>
        <w:t>من</w:t>
      </w:r>
      <w:r w:rsidRPr="00566F91">
        <w:rPr>
          <w:rFonts w:ascii="Traditional Arabic" w:eastAsia="Sakkal Majalla" w:hAnsi="Traditional Arabic" w:cs="Traditional Arabic"/>
          <w:sz w:val="30"/>
          <w:szCs w:val="30"/>
          <w:rtl/>
        </w:rPr>
        <w:t xml:space="preserve"> قطاع </w:t>
      </w:r>
      <w:r w:rsidR="00167760">
        <w:rPr>
          <w:rFonts w:ascii="Traditional Arabic" w:eastAsia="Sakkal Majalla" w:hAnsi="Traditional Arabic" w:cs="Traditional Arabic"/>
          <w:sz w:val="30"/>
          <w:szCs w:val="30"/>
          <w:rtl/>
        </w:rPr>
        <w:t>نقل</w:t>
      </w:r>
      <w:r w:rsidRPr="00566F91">
        <w:rPr>
          <w:rFonts w:ascii="Traditional Arabic" w:eastAsia="Sakkal Majalla" w:hAnsi="Traditional Arabic" w:cs="Traditional Arabic"/>
          <w:sz w:val="30"/>
          <w:szCs w:val="30"/>
          <w:rtl/>
        </w:rPr>
        <w:t xml:space="preserve"> النفط الخام مطروحًا منها تكاليف تشغيل الرحلة</w:t>
      </w:r>
      <w:r>
        <w:rPr>
          <w:rFonts w:ascii="Traditional Arabic" w:eastAsia="Sakkal Majalla" w:hAnsi="Traditional Arabic" w:cs="Traditional Arabic" w:hint="cs"/>
          <w:sz w:val="30"/>
          <w:szCs w:val="30"/>
          <w:rtl/>
        </w:rPr>
        <w:t xml:space="preserve"> </w:t>
      </w:r>
      <w:r w:rsidRPr="00566F91">
        <w:rPr>
          <w:rFonts w:ascii="Traditional Arabic" w:eastAsia="Sakkal Majalla" w:hAnsi="Traditional Arabic" w:cs="Traditional Arabic"/>
          <w:sz w:val="30"/>
          <w:szCs w:val="30"/>
          <w:rtl/>
        </w:rPr>
        <w:t xml:space="preserve">في قطاع </w:t>
      </w:r>
      <w:r w:rsidR="00167760">
        <w:rPr>
          <w:rFonts w:ascii="Traditional Arabic" w:eastAsia="Sakkal Majalla" w:hAnsi="Traditional Arabic" w:cs="Traditional Arabic"/>
          <w:sz w:val="30"/>
          <w:szCs w:val="30"/>
          <w:rtl/>
        </w:rPr>
        <w:t>نقل</w:t>
      </w:r>
      <w:r w:rsidRPr="00566F91">
        <w:rPr>
          <w:rFonts w:ascii="Traditional Arabic" w:eastAsia="Sakkal Majalla" w:hAnsi="Traditional Arabic" w:cs="Traditional Arabic"/>
          <w:sz w:val="30"/>
          <w:szCs w:val="30"/>
          <w:rtl/>
        </w:rPr>
        <w:t xml:space="preserve"> النفط الخام</w:t>
      </w:r>
      <w:r>
        <w:rPr>
          <w:rFonts w:ascii="Traditional Arabic" w:eastAsia="Sakkal Majalla" w:hAnsi="Traditional Arabic" w:cs="Traditional Arabic" w:hint="cs"/>
          <w:sz w:val="30"/>
          <w:szCs w:val="30"/>
          <w:rtl/>
        </w:rPr>
        <w:t>.</w:t>
      </w:r>
    </w:p>
    <w:p w14:paraId="77FF17ED" w14:textId="039A27CB" w:rsidR="00A11AFA" w:rsidRPr="00713C0F" w:rsidRDefault="00A11AFA" w:rsidP="00D925C8">
      <w:pPr>
        <w:pStyle w:val="ListParagraph"/>
        <w:numPr>
          <w:ilvl w:val="0"/>
          <w:numId w:val="72"/>
        </w:numPr>
        <w:bidi/>
        <w:ind w:left="571" w:hanging="567"/>
        <w:jc w:val="both"/>
        <w:rPr>
          <w:rFonts w:ascii="Traditional Arabic" w:hAnsi="Traditional Arabic" w:cs="Traditional Arabic"/>
          <w:b/>
          <w:sz w:val="30"/>
          <w:szCs w:val="30"/>
          <w:lang w:val="en-GB"/>
        </w:rPr>
      </w:pPr>
      <w:r w:rsidRPr="00713C0F">
        <w:rPr>
          <w:rFonts w:ascii="Traditional Arabic" w:eastAsia="Sakkal Majalla" w:hAnsi="Traditional Arabic" w:cs="Traditional Arabic" w:hint="cs"/>
          <w:sz w:val="30"/>
          <w:szCs w:val="30"/>
          <w:rtl/>
        </w:rPr>
        <w:t>"</w:t>
      </w:r>
      <w:r w:rsidRPr="00713C0F">
        <w:rPr>
          <w:rFonts w:ascii="Traditional Arabic" w:eastAsia="Sakkal Majalla" w:hAnsi="Traditional Arabic" w:cs="Traditional Arabic"/>
          <w:sz w:val="30"/>
          <w:szCs w:val="30"/>
          <w:rtl/>
        </w:rPr>
        <w:t>إيرادات مكافئ تأجير السفن المجهزة بالمدة ل</w:t>
      </w:r>
      <w:r w:rsidR="00167760">
        <w:rPr>
          <w:rFonts w:ascii="Traditional Arabic" w:eastAsia="Sakkal Majalla" w:hAnsi="Traditional Arabic" w:cs="Traditional Arabic"/>
          <w:sz w:val="30"/>
          <w:szCs w:val="30"/>
          <w:rtl/>
        </w:rPr>
        <w:t>نقل</w:t>
      </w:r>
      <w:r w:rsidRPr="00713C0F">
        <w:rPr>
          <w:rFonts w:ascii="Traditional Arabic" w:eastAsia="Sakkal Majalla" w:hAnsi="Traditional Arabic" w:cs="Traditional Arabic"/>
          <w:sz w:val="30"/>
          <w:szCs w:val="30"/>
          <w:rtl/>
        </w:rPr>
        <w:t xml:space="preserve"> </w:t>
      </w:r>
      <w:r w:rsidR="00393546" w:rsidRPr="00713C0F">
        <w:rPr>
          <w:rFonts w:ascii="Traditional Arabic" w:eastAsia="Sakkal Majalla" w:hAnsi="Traditional Arabic" w:cs="Traditional Arabic" w:hint="cs"/>
          <w:sz w:val="30"/>
          <w:szCs w:val="30"/>
          <w:rtl/>
        </w:rPr>
        <w:t>المنتجات"</w:t>
      </w:r>
      <w:r w:rsidR="00393546">
        <w:rPr>
          <w:rFonts w:ascii="Traditional Arabic" w:eastAsia="Sakkal Majalla" w:hAnsi="Traditional Arabic" w:cs="Traditional Arabic" w:hint="cs"/>
          <w:sz w:val="30"/>
          <w:szCs w:val="30"/>
          <w:rtl/>
        </w:rPr>
        <w:t xml:space="preserve">: </w:t>
      </w:r>
      <w:r>
        <w:rPr>
          <w:rFonts w:ascii="Traditional Arabic" w:eastAsia="Sakkal Majalla" w:hAnsi="Traditional Arabic" w:cs="Traditional Arabic" w:hint="cs"/>
          <w:sz w:val="30"/>
          <w:szCs w:val="30"/>
          <w:rtl/>
        </w:rPr>
        <w:t>ال</w:t>
      </w:r>
      <w:r w:rsidRPr="005A4DE6">
        <w:rPr>
          <w:rFonts w:ascii="Traditional Arabic" w:eastAsia="Sakkal Majalla" w:hAnsi="Traditional Arabic" w:cs="Traditional Arabic"/>
          <w:sz w:val="30"/>
          <w:szCs w:val="30"/>
          <w:rtl/>
        </w:rPr>
        <w:t xml:space="preserve">إيرادات </w:t>
      </w:r>
      <w:r>
        <w:rPr>
          <w:rFonts w:ascii="Traditional Arabic" w:eastAsia="Sakkal Majalla" w:hAnsi="Traditional Arabic" w:cs="Traditional Arabic" w:hint="cs"/>
          <w:sz w:val="30"/>
          <w:szCs w:val="30"/>
          <w:rtl/>
        </w:rPr>
        <w:t>من</w:t>
      </w:r>
      <w:r w:rsidRPr="005A4DE6">
        <w:rPr>
          <w:rFonts w:ascii="Traditional Arabic" w:eastAsia="Sakkal Majalla" w:hAnsi="Traditional Arabic" w:cs="Traditional Arabic"/>
          <w:sz w:val="30"/>
          <w:szCs w:val="30"/>
          <w:rtl/>
        </w:rPr>
        <w:t xml:space="preserve"> قطاع </w:t>
      </w:r>
      <w:r w:rsidR="00167760">
        <w:rPr>
          <w:rFonts w:ascii="Traditional Arabic" w:eastAsia="Sakkal Majalla" w:hAnsi="Traditional Arabic" w:cs="Traditional Arabic"/>
          <w:sz w:val="30"/>
          <w:szCs w:val="30"/>
          <w:rtl/>
        </w:rPr>
        <w:t>نقل</w:t>
      </w:r>
      <w:r w:rsidRPr="005A4DE6">
        <w:rPr>
          <w:rFonts w:ascii="Traditional Arabic" w:eastAsia="Sakkal Majalla" w:hAnsi="Traditional Arabic" w:cs="Traditional Arabic"/>
          <w:sz w:val="30"/>
          <w:szCs w:val="30"/>
          <w:rtl/>
        </w:rPr>
        <w:t xml:space="preserve"> المنتجات مطروحًا منها تكاليف تشغيل الرحلة في قطاع </w:t>
      </w:r>
      <w:r w:rsidR="00167760">
        <w:rPr>
          <w:rFonts w:ascii="Traditional Arabic" w:eastAsia="Sakkal Majalla" w:hAnsi="Traditional Arabic" w:cs="Traditional Arabic"/>
          <w:sz w:val="30"/>
          <w:szCs w:val="30"/>
          <w:rtl/>
        </w:rPr>
        <w:t>نقل</w:t>
      </w:r>
      <w:r w:rsidRPr="005A4DE6">
        <w:rPr>
          <w:rFonts w:ascii="Traditional Arabic" w:eastAsia="Sakkal Majalla" w:hAnsi="Traditional Arabic" w:cs="Traditional Arabic"/>
          <w:sz w:val="30"/>
          <w:szCs w:val="30"/>
          <w:rtl/>
        </w:rPr>
        <w:t xml:space="preserve"> المنتجات</w:t>
      </w:r>
      <w:r>
        <w:rPr>
          <w:rFonts w:ascii="Traditional Arabic" w:eastAsia="Sakkal Majalla" w:hAnsi="Traditional Arabic" w:cs="Traditional Arabic" w:hint="cs"/>
          <w:sz w:val="30"/>
          <w:szCs w:val="30"/>
          <w:rtl/>
        </w:rPr>
        <w:t>.</w:t>
      </w:r>
    </w:p>
    <w:p w14:paraId="1045E167" w14:textId="77777777" w:rsidR="00A11AFA" w:rsidRDefault="00A11AFA" w:rsidP="00D925C8">
      <w:pPr>
        <w:pStyle w:val="BodyText1"/>
        <w:numPr>
          <w:ilvl w:val="0"/>
          <w:numId w:val="72"/>
        </w:numPr>
        <w:bidi/>
        <w:ind w:left="571" w:hanging="567"/>
        <w:rPr>
          <w:rFonts w:ascii="Traditional Arabic" w:eastAsia="Sakkal Majalla" w:hAnsi="Traditional Arabic" w:cs="Traditional Arabic"/>
          <w:sz w:val="30"/>
          <w:szCs w:val="30"/>
        </w:rPr>
      </w:pPr>
      <w:r>
        <w:rPr>
          <w:rFonts w:ascii="Traditional Arabic" w:eastAsia="Sakkal Majalla" w:hAnsi="Traditional Arabic" w:cs="Traditional Arabic" w:hint="cs"/>
          <w:sz w:val="30"/>
          <w:szCs w:val="30"/>
          <w:rtl/>
        </w:rPr>
        <w:t>"</w:t>
      </w:r>
      <w:r w:rsidRPr="00B65701">
        <w:rPr>
          <w:rFonts w:ascii="Traditional Arabic" w:eastAsia="Sakkal Majalla" w:hAnsi="Traditional Arabic" w:cs="Traditional Arabic"/>
          <w:sz w:val="30"/>
          <w:szCs w:val="30"/>
          <w:rtl/>
        </w:rPr>
        <w:t>إيرادات مكافئ تأجير السفن المجهزة بالمدة 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البضائع السائبة الجافة</w:t>
      </w:r>
      <w:r>
        <w:rPr>
          <w:rFonts w:ascii="Traditional Arabic" w:eastAsia="Sakkal Majalla" w:hAnsi="Traditional Arabic" w:cs="Traditional Arabic" w:hint="cs"/>
          <w:sz w:val="30"/>
          <w:szCs w:val="30"/>
          <w:rtl/>
        </w:rPr>
        <w:t>":</w:t>
      </w:r>
      <w:r w:rsidRPr="003C7CE1">
        <w:rPr>
          <w:rFonts w:ascii="Traditional Arabic" w:eastAsia="Sakkal Majalla" w:hAnsi="Traditional Arabic" w:cs="Traditional Arabic" w:hint="cs"/>
          <w:sz w:val="30"/>
          <w:szCs w:val="30"/>
          <w:rtl/>
        </w:rPr>
        <w:t xml:space="preserve"> </w:t>
      </w:r>
      <w:r>
        <w:rPr>
          <w:rFonts w:ascii="Traditional Arabic" w:eastAsia="Sakkal Majalla" w:hAnsi="Traditional Arabic" w:cs="Traditional Arabic" w:hint="cs"/>
          <w:sz w:val="30"/>
          <w:szCs w:val="30"/>
          <w:rtl/>
        </w:rPr>
        <w:t>ا</w:t>
      </w:r>
      <w:r w:rsidRPr="00566F91">
        <w:rPr>
          <w:rFonts w:ascii="Traditional Arabic" w:eastAsia="Sakkal Majalla" w:hAnsi="Traditional Arabic" w:cs="Traditional Arabic"/>
          <w:sz w:val="30"/>
          <w:szCs w:val="30"/>
          <w:rtl/>
        </w:rPr>
        <w:t xml:space="preserve">لإيرادات </w:t>
      </w:r>
      <w:r>
        <w:rPr>
          <w:rFonts w:ascii="Traditional Arabic" w:eastAsia="Sakkal Majalla" w:hAnsi="Traditional Arabic" w:cs="Traditional Arabic" w:hint="cs"/>
          <w:sz w:val="30"/>
          <w:szCs w:val="30"/>
          <w:rtl/>
        </w:rPr>
        <w:t>من</w:t>
      </w:r>
      <w:r w:rsidRPr="00566F91">
        <w:rPr>
          <w:rFonts w:ascii="Traditional Arabic" w:eastAsia="Sakkal Majalla" w:hAnsi="Traditional Arabic" w:cs="Traditional Arabic"/>
          <w:sz w:val="30"/>
          <w:szCs w:val="30"/>
          <w:rtl/>
        </w:rPr>
        <w:t xml:space="preserve"> قطاع </w:t>
      </w:r>
      <w:r w:rsidR="00167760">
        <w:rPr>
          <w:rFonts w:ascii="Traditional Arabic" w:eastAsia="Sakkal Majalla" w:hAnsi="Traditional Arabic" w:cs="Traditional Arabic"/>
          <w:sz w:val="30"/>
          <w:szCs w:val="30"/>
          <w:rtl/>
        </w:rPr>
        <w:t>نقل</w:t>
      </w:r>
      <w:r w:rsidRPr="00566F9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البضائع السائبة الجافة</w:t>
      </w:r>
      <w:r w:rsidRPr="00566F91">
        <w:rPr>
          <w:rFonts w:ascii="Traditional Arabic" w:eastAsia="Sakkal Majalla" w:hAnsi="Traditional Arabic" w:cs="Traditional Arabic"/>
          <w:sz w:val="30"/>
          <w:szCs w:val="30"/>
          <w:rtl/>
        </w:rPr>
        <w:t xml:space="preserve"> مطروحًا منها تكاليف تشغيل الرحلة</w:t>
      </w:r>
      <w:r>
        <w:rPr>
          <w:rFonts w:ascii="Traditional Arabic" w:eastAsia="Sakkal Majalla" w:hAnsi="Traditional Arabic" w:cs="Traditional Arabic" w:hint="cs"/>
          <w:sz w:val="30"/>
          <w:szCs w:val="30"/>
          <w:rtl/>
        </w:rPr>
        <w:t xml:space="preserve"> </w:t>
      </w:r>
      <w:r w:rsidRPr="00566F91">
        <w:rPr>
          <w:rFonts w:ascii="Traditional Arabic" w:eastAsia="Sakkal Majalla" w:hAnsi="Traditional Arabic" w:cs="Traditional Arabic"/>
          <w:sz w:val="30"/>
          <w:szCs w:val="30"/>
          <w:rtl/>
        </w:rPr>
        <w:t xml:space="preserve">في قطاع </w:t>
      </w:r>
      <w:r w:rsidRPr="00B65701">
        <w:rPr>
          <w:rFonts w:ascii="Traditional Arabic" w:eastAsia="Sakkal Majalla" w:hAnsi="Traditional Arabic" w:cs="Traditional Arabic"/>
          <w:sz w:val="30"/>
          <w:szCs w:val="30"/>
          <w:rtl/>
        </w:rPr>
        <w:t>البضائع السائبة الجافة</w:t>
      </w:r>
      <w:r>
        <w:rPr>
          <w:rFonts w:ascii="Traditional Arabic" w:eastAsia="Sakkal Majalla" w:hAnsi="Traditional Arabic" w:cs="Traditional Arabic" w:hint="cs"/>
          <w:sz w:val="30"/>
          <w:szCs w:val="30"/>
          <w:rtl/>
        </w:rPr>
        <w:t>.</w:t>
      </w:r>
    </w:p>
    <w:p w14:paraId="63E4DB19" w14:textId="77777777" w:rsidR="00A11AFA" w:rsidRPr="00713C0F" w:rsidRDefault="00A11AFA" w:rsidP="00D925C8">
      <w:pPr>
        <w:pStyle w:val="ListParagraph"/>
        <w:numPr>
          <w:ilvl w:val="0"/>
          <w:numId w:val="72"/>
        </w:numPr>
        <w:bidi/>
        <w:ind w:left="571" w:hanging="567"/>
        <w:jc w:val="both"/>
        <w:rPr>
          <w:rFonts w:ascii="Traditional Arabic" w:hAnsi="Traditional Arabic" w:cs="Traditional Arabic"/>
          <w:b/>
          <w:sz w:val="30"/>
          <w:szCs w:val="30"/>
          <w:lang w:val="en-GB"/>
        </w:rPr>
      </w:pPr>
      <w:r>
        <w:rPr>
          <w:rFonts w:ascii="Traditional Arabic" w:hAnsi="Traditional Arabic" w:cs="Traditional Arabic" w:hint="cs"/>
          <w:b/>
          <w:sz w:val="30"/>
          <w:szCs w:val="30"/>
          <w:rtl/>
          <w:lang w:val="en-GB"/>
        </w:rPr>
        <w:t>"</w:t>
      </w:r>
      <w:r w:rsidRPr="007310C4">
        <w:rPr>
          <w:rFonts w:ascii="Traditional Arabic" w:hAnsi="Traditional Arabic" w:cs="Traditional Arabic"/>
          <w:b/>
          <w:sz w:val="30"/>
          <w:szCs w:val="30"/>
          <w:rtl/>
          <w:lang w:val="en-GB"/>
        </w:rPr>
        <w:t>إيرادات مكافئ تأجير السفن ل</w:t>
      </w:r>
      <w:r w:rsidR="00167760">
        <w:rPr>
          <w:rFonts w:ascii="Traditional Arabic" w:hAnsi="Traditional Arabic" w:cs="Traditional Arabic"/>
          <w:b/>
          <w:sz w:val="30"/>
          <w:szCs w:val="30"/>
          <w:rtl/>
          <w:lang w:val="en-GB"/>
        </w:rPr>
        <w:t>نقل</w:t>
      </w:r>
      <w:r w:rsidRPr="007310C4">
        <w:rPr>
          <w:rFonts w:ascii="Traditional Arabic" w:hAnsi="Traditional Arabic" w:cs="Traditional Arabic"/>
          <w:b/>
          <w:sz w:val="30"/>
          <w:szCs w:val="30"/>
          <w:rtl/>
          <w:lang w:val="en-GB"/>
        </w:rPr>
        <w:t xml:space="preserve"> الغاز</w:t>
      </w:r>
      <w:r>
        <w:rPr>
          <w:rFonts w:ascii="Traditional Arabic" w:hAnsi="Traditional Arabic" w:cs="Traditional Arabic" w:hint="cs"/>
          <w:b/>
          <w:sz w:val="30"/>
          <w:szCs w:val="30"/>
          <w:rtl/>
          <w:lang w:val="en-GB"/>
        </w:rPr>
        <w:t xml:space="preserve">": </w:t>
      </w:r>
      <w:r>
        <w:rPr>
          <w:rFonts w:ascii="Traditional Arabic" w:eastAsia="Sakkal Majalla" w:hAnsi="Traditional Arabic" w:cs="Traditional Arabic" w:hint="cs"/>
          <w:sz w:val="30"/>
          <w:szCs w:val="30"/>
          <w:rtl/>
        </w:rPr>
        <w:t>ا</w:t>
      </w:r>
      <w:r w:rsidRPr="00566F91">
        <w:rPr>
          <w:rFonts w:ascii="Traditional Arabic" w:eastAsia="Sakkal Majalla" w:hAnsi="Traditional Arabic" w:cs="Traditional Arabic"/>
          <w:sz w:val="30"/>
          <w:szCs w:val="30"/>
          <w:rtl/>
        </w:rPr>
        <w:t xml:space="preserve">لإيرادات </w:t>
      </w:r>
      <w:r>
        <w:rPr>
          <w:rFonts w:ascii="Traditional Arabic" w:eastAsia="Sakkal Majalla" w:hAnsi="Traditional Arabic" w:cs="Traditional Arabic" w:hint="cs"/>
          <w:sz w:val="30"/>
          <w:szCs w:val="30"/>
          <w:rtl/>
        </w:rPr>
        <w:t>من</w:t>
      </w:r>
      <w:r w:rsidRPr="00566F91">
        <w:rPr>
          <w:rFonts w:ascii="Traditional Arabic" w:eastAsia="Sakkal Majalla" w:hAnsi="Traditional Arabic" w:cs="Traditional Arabic"/>
          <w:sz w:val="30"/>
          <w:szCs w:val="30"/>
          <w:rtl/>
        </w:rPr>
        <w:t xml:space="preserve"> قطاع </w:t>
      </w:r>
      <w:r w:rsidR="00167760">
        <w:rPr>
          <w:rFonts w:ascii="Traditional Arabic" w:eastAsia="Sakkal Majalla" w:hAnsi="Traditional Arabic" w:cs="Traditional Arabic"/>
          <w:sz w:val="30"/>
          <w:szCs w:val="30"/>
          <w:rtl/>
        </w:rPr>
        <w:t>نقل</w:t>
      </w:r>
      <w:r w:rsidRPr="00566F91">
        <w:rPr>
          <w:rFonts w:ascii="Traditional Arabic" w:eastAsia="Sakkal Majalla" w:hAnsi="Traditional Arabic" w:cs="Traditional Arabic"/>
          <w:sz w:val="30"/>
          <w:szCs w:val="30"/>
          <w:rtl/>
        </w:rPr>
        <w:t xml:space="preserve"> </w:t>
      </w:r>
      <w:r>
        <w:rPr>
          <w:rFonts w:ascii="Traditional Arabic" w:eastAsia="Sakkal Majalla" w:hAnsi="Traditional Arabic" w:cs="Traditional Arabic" w:hint="cs"/>
          <w:sz w:val="30"/>
          <w:szCs w:val="30"/>
          <w:rtl/>
        </w:rPr>
        <w:t>الغاز</w:t>
      </w:r>
      <w:r w:rsidRPr="00566F91">
        <w:rPr>
          <w:rFonts w:ascii="Traditional Arabic" w:eastAsia="Sakkal Majalla" w:hAnsi="Traditional Arabic" w:cs="Traditional Arabic"/>
          <w:sz w:val="30"/>
          <w:szCs w:val="30"/>
          <w:rtl/>
        </w:rPr>
        <w:t xml:space="preserve"> مطروحًا منها تكاليف تشغيل الرحلة</w:t>
      </w:r>
      <w:r>
        <w:rPr>
          <w:rFonts w:ascii="Traditional Arabic" w:eastAsia="Sakkal Majalla" w:hAnsi="Traditional Arabic" w:cs="Traditional Arabic" w:hint="cs"/>
          <w:sz w:val="30"/>
          <w:szCs w:val="30"/>
          <w:rtl/>
        </w:rPr>
        <w:t xml:space="preserve"> </w:t>
      </w:r>
      <w:r w:rsidRPr="00566F91">
        <w:rPr>
          <w:rFonts w:ascii="Traditional Arabic" w:eastAsia="Sakkal Majalla" w:hAnsi="Traditional Arabic" w:cs="Traditional Arabic"/>
          <w:sz w:val="30"/>
          <w:szCs w:val="30"/>
          <w:rtl/>
        </w:rPr>
        <w:t xml:space="preserve">في قطاع </w:t>
      </w:r>
      <w:r w:rsidR="00167760">
        <w:rPr>
          <w:rFonts w:ascii="Traditional Arabic" w:eastAsia="Sakkal Majalla" w:hAnsi="Traditional Arabic" w:cs="Traditional Arabic" w:hint="cs"/>
          <w:sz w:val="30"/>
          <w:szCs w:val="30"/>
          <w:rtl/>
        </w:rPr>
        <w:t>نقل</w:t>
      </w:r>
      <w:r>
        <w:rPr>
          <w:rFonts w:ascii="Traditional Arabic" w:eastAsia="Sakkal Majalla" w:hAnsi="Traditional Arabic" w:cs="Traditional Arabic" w:hint="cs"/>
          <w:sz w:val="30"/>
          <w:szCs w:val="30"/>
          <w:rtl/>
        </w:rPr>
        <w:t xml:space="preserve"> الغاز.</w:t>
      </w:r>
    </w:p>
    <w:p w14:paraId="5DB62E23" w14:textId="77777777" w:rsidR="00A11AFA" w:rsidRPr="003832A3" w:rsidRDefault="00A11AFA" w:rsidP="00D925C8">
      <w:pPr>
        <w:pStyle w:val="ListParagraph"/>
        <w:numPr>
          <w:ilvl w:val="0"/>
          <w:numId w:val="72"/>
        </w:numPr>
        <w:bidi/>
        <w:ind w:left="571" w:hanging="567"/>
        <w:jc w:val="both"/>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w:t>
      </w:r>
      <w:r w:rsidRPr="00BD47BA">
        <w:rPr>
          <w:rFonts w:ascii="Traditional Arabic" w:hAnsi="Traditional Arabic" w:cs="Traditional Arabic"/>
          <w:b/>
          <w:sz w:val="30"/>
          <w:szCs w:val="30"/>
          <w:rtl/>
          <w:lang w:val="en-GB"/>
        </w:rPr>
        <w:t>إيرادات مكافئ تأجير السفن المجهزة بمدة لل</w:t>
      </w:r>
      <w:r w:rsidR="00167760">
        <w:rPr>
          <w:rFonts w:ascii="Traditional Arabic" w:hAnsi="Traditional Arabic" w:cs="Traditional Arabic"/>
          <w:b/>
          <w:sz w:val="30"/>
          <w:szCs w:val="30"/>
          <w:rtl/>
          <w:lang w:val="en-GB"/>
        </w:rPr>
        <w:t>نقل</w:t>
      </w:r>
      <w:r w:rsidRPr="00BD47BA">
        <w:rPr>
          <w:rFonts w:ascii="Traditional Arabic" w:hAnsi="Traditional Arabic" w:cs="Traditional Arabic"/>
          <w:b/>
          <w:sz w:val="30"/>
          <w:szCs w:val="30"/>
          <w:rtl/>
          <w:lang w:val="en-GB"/>
        </w:rPr>
        <w:t xml:space="preserve"> المنتظم</w:t>
      </w:r>
      <w:r>
        <w:rPr>
          <w:rFonts w:ascii="Traditional Arabic" w:hAnsi="Traditional Arabic" w:cs="Traditional Arabic" w:hint="cs"/>
          <w:b/>
          <w:sz w:val="30"/>
          <w:szCs w:val="30"/>
          <w:rtl/>
          <w:lang w:val="en-GB"/>
        </w:rPr>
        <w:t xml:space="preserve">": </w:t>
      </w:r>
      <w:r>
        <w:rPr>
          <w:rFonts w:ascii="Traditional Arabic" w:eastAsia="Sakkal Majalla" w:hAnsi="Traditional Arabic" w:cs="Traditional Arabic" w:hint="cs"/>
          <w:sz w:val="30"/>
          <w:szCs w:val="30"/>
          <w:rtl/>
        </w:rPr>
        <w:t>ا</w:t>
      </w:r>
      <w:r w:rsidRPr="00566F91">
        <w:rPr>
          <w:rFonts w:ascii="Traditional Arabic" w:eastAsia="Sakkal Majalla" w:hAnsi="Traditional Arabic" w:cs="Traditional Arabic"/>
          <w:sz w:val="30"/>
          <w:szCs w:val="30"/>
          <w:rtl/>
        </w:rPr>
        <w:t xml:space="preserve">لإيرادات </w:t>
      </w:r>
      <w:r>
        <w:rPr>
          <w:rFonts w:ascii="Traditional Arabic" w:eastAsia="Sakkal Majalla" w:hAnsi="Traditional Arabic" w:cs="Traditional Arabic" w:hint="cs"/>
          <w:sz w:val="30"/>
          <w:szCs w:val="30"/>
          <w:rtl/>
        </w:rPr>
        <w:t>من</w:t>
      </w:r>
      <w:r w:rsidRPr="00566F91">
        <w:rPr>
          <w:rFonts w:ascii="Traditional Arabic" w:eastAsia="Sakkal Majalla" w:hAnsi="Traditional Arabic" w:cs="Traditional Arabic"/>
          <w:sz w:val="30"/>
          <w:szCs w:val="30"/>
          <w:rtl/>
        </w:rPr>
        <w:t xml:space="preserve"> قطاع </w:t>
      </w:r>
      <w:r>
        <w:rPr>
          <w:rFonts w:ascii="Traditional Arabic" w:eastAsia="Sakkal Majalla" w:hAnsi="Traditional Arabic" w:cs="Traditional Arabic" w:hint="cs"/>
          <w:sz w:val="30"/>
          <w:szCs w:val="30"/>
          <w:rtl/>
        </w:rPr>
        <w:t>ال</w:t>
      </w:r>
      <w:r w:rsidR="00167760">
        <w:rPr>
          <w:rFonts w:ascii="Traditional Arabic" w:eastAsia="Sakkal Majalla" w:hAnsi="Traditional Arabic" w:cs="Traditional Arabic"/>
          <w:sz w:val="30"/>
          <w:szCs w:val="30"/>
          <w:rtl/>
        </w:rPr>
        <w:t>نقل</w:t>
      </w:r>
      <w:r w:rsidRPr="00566F91">
        <w:rPr>
          <w:rFonts w:ascii="Traditional Arabic" w:eastAsia="Sakkal Majalla" w:hAnsi="Traditional Arabic" w:cs="Traditional Arabic"/>
          <w:sz w:val="30"/>
          <w:szCs w:val="30"/>
          <w:rtl/>
        </w:rPr>
        <w:t xml:space="preserve"> </w:t>
      </w:r>
      <w:r>
        <w:rPr>
          <w:rFonts w:ascii="Traditional Arabic" w:eastAsia="Sakkal Majalla" w:hAnsi="Traditional Arabic" w:cs="Traditional Arabic" w:hint="cs"/>
          <w:sz w:val="30"/>
          <w:szCs w:val="30"/>
          <w:rtl/>
        </w:rPr>
        <w:t xml:space="preserve">المنتظم </w:t>
      </w:r>
      <w:r w:rsidRPr="00566F91">
        <w:rPr>
          <w:rFonts w:ascii="Traditional Arabic" w:eastAsia="Sakkal Majalla" w:hAnsi="Traditional Arabic" w:cs="Traditional Arabic"/>
          <w:sz w:val="30"/>
          <w:szCs w:val="30"/>
          <w:rtl/>
        </w:rPr>
        <w:t>مطروحًا منها تكاليف تشغيل الرحلة</w:t>
      </w:r>
      <w:r>
        <w:rPr>
          <w:rFonts w:ascii="Traditional Arabic" w:eastAsia="Sakkal Majalla" w:hAnsi="Traditional Arabic" w:cs="Traditional Arabic" w:hint="cs"/>
          <w:sz w:val="30"/>
          <w:szCs w:val="30"/>
          <w:rtl/>
        </w:rPr>
        <w:t xml:space="preserve"> </w:t>
      </w:r>
      <w:r w:rsidRPr="00566F91">
        <w:rPr>
          <w:rFonts w:ascii="Traditional Arabic" w:eastAsia="Sakkal Majalla" w:hAnsi="Traditional Arabic" w:cs="Traditional Arabic"/>
          <w:sz w:val="30"/>
          <w:szCs w:val="30"/>
          <w:rtl/>
        </w:rPr>
        <w:t xml:space="preserve">في قطاع </w:t>
      </w:r>
      <w:r>
        <w:rPr>
          <w:rFonts w:ascii="Traditional Arabic" w:eastAsia="Sakkal Majalla" w:hAnsi="Traditional Arabic" w:cs="Traditional Arabic" w:hint="cs"/>
          <w:sz w:val="30"/>
          <w:szCs w:val="30"/>
          <w:rtl/>
        </w:rPr>
        <w:t>ال</w:t>
      </w:r>
      <w:r w:rsidR="00167760">
        <w:rPr>
          <w:rFonts w:ascii="Traditional Arabic" w:eastAsia="Sakkal Majalla" w:hAnsi="Traditional Arabic" w:cs="Traditional Arabic" w:hint="cs"/>
          <w:sz w:val="30"/>
          <w:szCs w:val="30"/>
          <w:rtl/>
        </w:rPr>
        <w:t>نقل</w:t>
      </w:r>
      <w:r>
        <w:rPr>
          <w:rFonts w:ascii="Traditional Arabic" w:eastAsia="Sakkal Majalla" w:hAnsi="Traditional Arabic" w:cs="Traditional Arabic" w:hint="cs"/>
          <w:sz w:val="30"/>
          <w:szCs w:val="30"/>
          <w:rtl/>
        </w:rPr>
        <w:t xml:space="preserve"> المنتظم.</w:t>
      </w:r>
    </w:p>
    <w:p w14:paraId="3114EFAC" w14:textId="77777777" w:rsidR="00A11AFA" w:rsidRPr="00826D63" w:rsidRDefault="002A3FDC" w:rsidP="00826D63">
      <w:pPr>
        <w:pStyle w:val="ListParagraph"/>
        <w:numPr>
          <w:ilvl w:val="0"/>
          <w:numId w:val="72"/>
        </w:numPr>
        <w:bidi/>
        <w:ind w:left="571" w:hanging="567"/>
        <w:jc w:val="both"/>
        <w:rPr>
          <w:rFonts w:ascii="Traditional Arabic" w:hAnsi="Traditional Arabic" w:cs="Traditional Arabic"/>
          <w:sz w:val="16"/>
          <w:szCs w:val="16"/>
          <w:rtl/>
          <w:lang w:val="en-GB" w:bidi="ar-EG"/>
        </w:rPr>
      </w:pPr>
      <w:r>
        <w:rPr>
          <w:rFonts w:ascii="Traditional Arabic" w:hAnsi="Traditional Arabic" w:cs="Traditional Arabic" w:hint="cs"/>
          <w:sz w:val="30"/>
          <w:szCs w:val="30"/>
          <w:rtl/>
          <w:lang w:val="en-GB"/>
        </w:rPr>
        <w:t>"</w:t>
      </w:r>
      <w:r w:rsidR="008068F0" w:rsidRPr="000D1F47">
        <w:rPr>
          <w:rFonts w:ascii="Traditional Arabic" w:hAnsi="Traditional Arabic" w:cs="Traditional Arabic"/>
          <w:sz w:val="30"/>
          <w:szCs w:val="30"/>
          <w:rtl/>
          <w:lang w:val="en-GB"/>
        </w:rPr>
        <w:t>الإيرادات</w:t>
      </w:r>
      <w:r>
        <w:rPr>
          <w:rFonts w:ascii="Traditional Arabic" w:hAnsi="Traditional Arabic" w:cs="Traditional Arabic" w:hint="cs"/>
          <w:sz w:val="30"/>
          <w:szCs w:val="30"/>
          <w:rtl/>
          <w:lang w:val="en-GB"/>
        </w:rPr>
        <w:t xml:space="preserve"> الأخرى</w:t>
      </w:r>
      <w:r w:rsidR="008068F0" w:rsidRPr="000D1F47">
        <w:rPr>
          <w:rFonts w:ascii="Traditional Arabic" w:hAnsi="Traditional Arabic" w:cs="Traditional Arabic"/>
          <w:sz w:val="30"/>
          <w:szCs w:val="30"/>
          <w:rtl/>
          <w:lang w:val="en-GB"/>
        </w:rPr>
        <w:t xml:space="preserve"> المكافئة من تأجير السفن المجهزة بالمدة</w:t>
      </w:r>
      <w:r>
        <w:rPr>
          <w:rFonts w:ascii="Traditional Arabic" w:hAnsi="Traditional Arabic" w:cs="Traditional Arabic" w:hint="cs"/>
          <w:sz w:val="30"/>
          <w:szCs w:val="30"/>
          <w:rtl/>
          <w:lang w:val="en-GB"/>
        </w:rPr>
        <w:t>":</w:t>
      </w:r>
      <w:r w:rsidR="005D0E85">
        <w:rPr>
          <w:rFonts w:ascii="Traditional Arabic" w:hAnsi="Traditional Arabic" w:cs="Traditional Arabic" w:hint="cs"/>
          <w:sz w:val="30"/>
          <w:szCs w:val="30"/>
          <w:rtl/>
          <w:lang w:val="en-GB"/>
        </w:rPr>
        <w:t xml:space="preserve"> الإيرادات من </w:t>
      </w:r>
      <w:r w:rsidR="002E5765">
        <w:rPr>
          <w:rFonts w:ascii="Traditional Arabic" w:hAnsi="Traditional Arabic" w:cs="Traditional Arabic" w:hint="cs"/>
          <w:sz w:val="30"/>
          <w:szCs w:val="30"/>
          <w:rtl/>
          <w:lang w:val="en-GB"/>
        </w:rPr>
        <w:t xml:space="preserve">القطاع </w:t>
      </w:r>
      <w:r w:rsidR="00F129DF">
        <w:rPr>
          <w:rFonts w:ascii="Traditional Arabic" w:hAnsi="Traditional Arabic" w:cs="Traditional Arabic" w:hint="cs"/>
          <w:sz w:val="30"/>
          <w:szCs w:val="30"/>
          <w:rtl/>
        </w:rPr>
        <w:t>الآخر</w:t>
      </w:r>
      <w:r w:rsidR="002E5765">
        <w:rPr>
          <w:rFonts w:ascii="Traditional Arabic" w:hAnsi="Traditional Arabic" w:cs="Traditional Arabic" w:hint="cs"/>
          <w:sz w:val="30"/>
          <w:szCs w:val="30"/>
          <w:rtl/>
          <w:lang w:val="en-GB"/>
        </w:rPr>
        <w:t xml:space="preserve"> مطروحا منها</w:t>
      </w:r>
      <w:r w:rsidR="00036F52">
        <w:rPr>
          <w:rFonts w:ascii="Traditional Arabic" w:hAnsi="Traditional Arabic" w:cs="Traditional Arabic" w:hint="cs"/>
          <w:sz w:val="30"/>
          <w:szCs w:val="30"/>
          <w:rtl/>
          <w:lang w:val="en-GB"/>
        </w:rPr>
        <w:t xml:space="preserve"> تكاليف تشغيل الرحلة من القطاع ال</w:t>
      </w:r>
      <w:r w:rsidR="00F129DF">
        <w:rPr>
          <w:rFonts w:ascii="Traditional Arabic" w:hAnsi="Traditional Arabic" w:cs="Traditional Arabic" w:hint="cs"/>
          <w:sz w:val="30"/>
          <w:szCs w:val="30"/>
          <w:rtl/>
          <w:lang w:val="en-GB"/>
        </w:rPr>
        <w:t>آ</w:t>
      </w:r>
      <w:r w:rsidR="00036F52">
        <w:rPr>
          <w:rFonts w:ascii="Traditional Arabic" w:hAnsi="Traditional Arabic" w:cs="Traditional Arabic" w:hint="cs"/>
          <w:sz w:val="30"/>
          <w:szCs w:val="30"/>
          <w:rtl/>
          <w:lang w:val="en-GB"/>
        </w:rPr>
        <w:t>خر.</w:t>
      </w:r>
    </w:p>
    <w:p w14:paraId="0B3B7619" w14:textId="77777777" w:rsidR="00F93390" w:rsidRDefault="00D32CB8" w:rsidP="003832A3">
      <w:pPr>
        <w:pStyle w:val="BodyText1"/>
        <w:bidi/>
        <w:ind w:left="571" w:hanging="567"/>
        <w:rPr>
          <w:rFonts w:ascii="Traditional Arabic" w:hAnsi="Traditional Arabic" w:cs="Traditional Arabic"/>
          <w:sz w:val="30"/>
          <w:szCs w:val="30"/>
          <w:rtl/>
          <w:lang w:val="en-GB" w:bidi="ar-EG"/>
        </w:rPr>
      </w:pPr>
      <w:r w:rsidRPr="00D32CB8">
        <w:rPr>
          <w:rFonts w:ascii="Traditional Arabic" w:hAnsi="Traditional Arabic" w:cs="Traditional Arabic"/>
          <w:sz w:val="30"/>
          <w:szCs w:val="30"/>
          <w:lang w:val="en-GB" w:bidi="ar-EG"/>
        </w:rPr>
        <w:t>•</w:t>
      </w:r>
      <w:r w:rsidRPr="00D32CB8">
        <w:rPr>
          <w:rFonts w:ascii="Traditional Arabic" w:hAnsi="Traditional Arabic" w:cs="Traditional Arabic"/>
          <w:sz w:val="30"/>
          <w:szCs w:val="30"/>
          <w:lang w:val="en-GB" w:bidi="ar-EG"/>
        </w:rPr>
        <w:tab/>
        <w:t>"</w:t>
      </w:r>
      <w:r w:rsidRPr="00D32CB8">
        <w:rPr>
          <w:rFonts w:ascii="Traditional Arabic" w:hAnsi="Traditional Arabic" w:cs="Traditional Arabic"/>
          <w:sz w:val="30"/>
          <w:szCs w:val="30"/>
          <w:rtl/>
          <w:lang w:val="en-GB" w:bidi="ar-EG"/>
        </w:rPr>
        <w:t>هامش التدفق النقدي" هو النقد الناتج من الأنشطة التشغيلية مقسومًا على الإيرادات المكافئة من تأجير السفن المجهزة بالمدة، المتوقعة كنسبة مئوية</w:t>
      </w:r>
      <w:r w:rsidRPr="00D32CB8">
        <w:rPr>
          <w:rFonts w:ascii="Traditional Arabic" w:hAnsi="Traditional Arabic" w:cs="Traditional Arabic"/>
          <w:sz w:val="30"/>
          <w:szCs w:val="30"/>
          <w:lang w:val="en-GB" w:bidi="ar-EG"/>
        </w:rPr>
        <w:t>.</w:t>
      </w:r>
    </w:p>
    <w:p w14:paraId="032E640B" w14:textId="77777777" w:rsidR="00F93390" w:rsidRPr="00127350" w:rsidRDefault="00F93390" w:rsidP="00826D63">
      <w:pPr>
        <w:pStyle w:val="BodyText1"/>
        <w:bidi/>
        <w:spacing w:after="0"/>
        <w:ind w:left="571" w:hanging="571"/>
        <w:rPr>
          <w:rFonts w:ascii="Traditional Arabic" w:hAnsi="Traditional Arabic" w:cs="Traditional Arabic"/>
          <w:sz w:val="30"/>
          <w:szCs w:val="30"/>
          <w:rtl/>
          <w:lang w:val="en-GB" w:bidi="ar-EG"/>
        </w:rPr>
      </w:pPr>
      <w:r w:rsidRPr="00D32CB8">
        <w:rPr>
          <w:rFonts w:ascii="Traditional Arabic" w:hAnsi="Traditional Arabic" w:cs="Traditional Arabic"/>
          <w:sz w:val="30"/>
          <w:szCs w:val="30"/>
          <w:rtl/>
          <w:lang w:val="en-GB" w:bidi="ar-EG"/>
        </w:rPr>
        <w:t>•</w:t>
      </w:r>
      <w:r w:rsidRPr="00D32CB8">
        <w:rPr>
          <w:rFonts w:ascii="Traditional Arabic" w:hAnsi="Traditional Arabic" w:cs="Traditional Arabic"/>
          <w:sz w:val="30"/>
          <w:szCs w:val="30"/>
          <w:rtl/>
          <w:lang w:val="en-GB" w:bidi="ar-EG"/>
        </w:rPr>
        <w:tab/>
        <w:t xml:space="preserve">"صافي </w:t>
      </w:r>
      <w:r>
        <w:rPr>
          <w:rFonts w:ascii="Traditional Arabic" w:hAnsi="Traditional Arabic" w:cs="Traditional Arabic" w:hint="cs"/>
          <w:sz w:val="30"/>
          <w:szCs w:val="30"/>
          <w:rtl/>
          <w:lang w:val="en-GB" w:bidi="ar-EG"/>
        </w:rPr>
        <w:t>الدين (باستثناء عقود الإيجار</w:t>
      </w:r>
      <w:r w:rsidRPr="003832A3">
        <w:rPr>
          <w:rFonts w:ascii="Traditional Arabic" w:hAnsi="Traditional Arabic" w:cs="Traditional Arabic"/>
          <w:sz w:val="30"/>
          <w:szCs w:val="30"/>
          <w:rtl/>
          <w:lang w:val="en-GB" w:bidi="ar-EG"/>
        </w:rPr>
        <w:t xml:space="preserve">)" </w:t>
      </w:r>
      <w:r w:rsidR="00127350" w:rsidRPr="003832A3">
        <w:rPr>
          <w:rFonts w:ascii="Traditional Arabic" w:hAnsi="Traditional Arabic" w:cs="Traditional Arabic" w:hint="eastAsia"/>
          <w:sz w:val="30"/>
          <w:szCs w:val="30"/>
          <w:rtl/>
          <w:lang w:val="en-GB" w:bidi="ar-EG"/>
        </w:rPr>
        <w:t>ويشمل</w:t>
      </w:r>
      <w:r w:rsidR="00127350" w:rsidRPr="003832A3">
        <w:rPr>
          <w:rFonts w:ascii="Traditional Arabic" w:hAnsi="Traditional Arabic" w:cs="Traditional Arabic"/>
          <w:sz w:val="30"/>
          <w:szCs w:val="30"/>
          <w:lang w:val="en-GB" w:bidi="ar-EG"/>
        </w:rPr>
        <w:t xml:space="preserve"> </w:t>
      </w:r>
      <w:r w:rsidR="00127350" w:rsidRPr="003832A3">
        <w:rPr>
          <w:rFonts w:ascii="Traditional Arabic" w:hAnsi="Traditional Arabic" w:cs="Traditional Arabic" w:hint="eastAsia"/>
          <w:sz w:val="30"/>
          <w:szCs w:val="30"/>
          <w:rtl/>
          <w:lang w:val="en-GB" w:bidi="ar-EG"/>
        </w:rPr>
        <w:t>ا</w:t>
      </w:r>
      <w:r w:rsidR="00127350" w:rsidRPr="003832A3">
        <w:rPr>
          <w:rFonts w:ascii="Traditional Arabic" w:hAnsi="Traditional Arabic" w:cs="Traditional Arabic"/>
          <w:sz w:val="30"/>
          <w:szCs w:val="30"/>
          <w:rtl/>
          <w:lang w:val="en-GB" w:bidi="ar-EG"/>
        </w:rPr>
        <w:t xml:space="preserve">لقروض </w:t>
      </w:r>
      <w:r w:rsidR="00127350" w:rsidRPr="003832A3">
        <w:rPr>
          <w:rFonts w:ascii="Traditional Arabic" w:hAnsi="Traditional Arabic" w:cs="Traditional Arabic" w:hint="eastAsia"/>
          <w:sz w:val="30"/>
          <w:szCs w:val="30"/>
          <w:rtl/>
        </w:rPr>
        <w:t>الحالَة</w:t>
      </w:r>
      <w:r w:rsidR="00127350" w:rsidRPr="003832A3">
        <w:rPr>
          <w:rFonts w:ascii="Traditional Arabic" w:hAnsi="Traditional Arabic" w:cs="Traditional Arabic"/>
          <w:sz w:val="30"/>
          <w:szCs w:val="30"/>
          <w:rtl/>
          <w:lang w:val="en-GB" w:bidi="ar-EG"/>
        </w:rPr>
        <w:t xml:space="preserve"> وغير الحالَة والودائع الثابتة </w:t>
      </w:r>
      <w:r w:rsidR="00127350" w:rsidRPr="003832A3">
        <w:rPr>
          <w:rFonts w:ascii="Traditional Arabic" w:hAnsi="Traditional Arabic" w:cs="Traditional Arabic" w:hint="eastAsia"/>
          <w:sz w:val="30"/>
          <w:szCs w:val="30"/>
          <w:rtl/>
          <w:lang w:val="en-GB" w:bidi="ar-EG"/>
        </w:rPr>
        <w:t>والهامشية</w:t>
      </w:r>
      <w:r w:rsidR="00127350" w:rsidRPr="003832A3">
        <w:rPr>
          <w:rFonts w:ascii="Traditional Arabic" w:hAnsi="Traditional Arabic" w:cs="Traditional Arabic"/>
          <w:sz w:val="30"/>
          <w:szCs w:val="30"/>
          <w:rtl/>
          <w:lang w:val="en-GB" w:bidi="ar-EG"/>
        </w:rPr>
        <w:t xml:space="preserve"> </w:t>
      </w:r>
      <w:r w:rsidR="00127350" w:rsidRPr="003832A3">
        <w:rPr>
          <w:rFonts w:ascii="Traditional Arabic" w:hAnsi="Traditional Arabic" w:cs="Traditional Arabic" w:hint="eastAsia"/>
          <w:sz w:val="30"/>
          <w:szCs w:val="30"/>
          <w:rtl/>
          <w:lang w:val="en-GB" w:bidi="ar-EG"/>
        </w:rPr>
        <w:t>الحالـية</w:t>
      </w:r>
      <w:r w:rsidR="00127350" w:rsidRPr="003832A3">
        <w:rPr>
          <w:rFonts w:ascii="Traditional Arabic" w:hAnsi="Traditional Arabic" w:cs="Traditional Arabic"/>
          <w:sz w:val="30"/>
          <w:szCs w:val="30"/>
          <w:rtl/>
          <w:lang w:val="en-GB" w:bidi="ar-EG"/>
        </w:rPr>
        <w:t xml:space="preserve"> </w:t>
      </w:r>
      <w:r w:rsidR="00127350" w:rsidRPr="003832A3">
        <w:rPr>
          <w:rFonts w:ascii="Traditional Arabic" w:hAnsi="Traditional Arabic" w:cs="Traditional Arabic" w:hint="eastAsia"/>
          <w:sz w:val="30"/>
          <w:szCs w:val="30"/>
          <w:rtl/>
          <w:lang w:val="en-GB" w:bidi="ar-EG"/>
        </w:rPr>
        <w:t>وغير</w:t>
      </w:r>
      <w:r w:rsidR="00127350" w:rsidRPr="003832A3">
        <w:rPr>
          <w:rFonts w:ascii="Traditional Arabic" w:hAnsi="Traditional Arabic" w:cs="Traditional Arabic"/>
          <w:sz w:val="30"/>
          <w:szCs w:val="30"/>
          <w:rtl/>
          <w:lang w:val="en-GB" w:bidi="ar-EG"/>
        </w:rPr>
        <w:t xml:space="preserve"> </w:t>
      </w:r>
      <w:r w:rsidR="00127350" w:rsidRPr="003832A3">
        <w:rPr>
          <w:rFonts w:ascii="Traditional Arabic" w:hAnsi="Traditional Arabic" w:cs="Traditional Arabic" w:hint="eastAsia"/>
          <w:sz w:val="30"/>
          <w:szCs w:val="30"/>
          <w:rtl/>
          <w:lang w:val="en-GB" w:bidi="ar-EG"/>
        </w:rPr>
        <w:t>الجارية</w:t>
      </w:r>
      <w:r w:rsidR="00127350" w:rsidRPr="003832A3">
        <w:rPr>
          <w:rFonts w:ascii="Traditional Arabic" w:hAnsi="Traditional Arabic" w:cs="Traditional Arabic"/>
          <w:sz w:val="30"/>
          <w:szCs w:val="30"/>
          <w:rtl/>
          <w:lang w:val="en-GB" w:bidi="ar-EG"/>
        </w:rPr>
        <w:t xml:space="preserve">، </w:t>
      </w:r>
      <w:r w:rsidR="00127350" w:rsidRPr="003832A3">
        <w:rPr>
          <w:rFonts w:ascii="Traditional Arabic" w:hAnsi="Traditional Arabic" w:cs="Traditional Arabic" w:hint="eastAsia"/>
          <w:sz w:val="30"/>
          <w:szCs w:val="30"/>
          <w:rtl/>
          <w:lang w:val="en-GB" w:bidi="ar-EG"/>
        </w:rPr>
        <w:t>مخصوما</w:t>
      </w:r>
      <w:r w:rsidR="00127350" w:rsidRPr="003832A3">
        <w:rPr>
          <w:rFonts w:ascii="Traditional Arabic" w:hAnsi="Traditional Arabic" w:cs="Traditional Arabic"/>
          <w:sz w:val="30"/>
          <w:szCs w:val="30"/>
          <w:rtl/>
          <w:lang w:val="en-GB" w:bidi="ar-EG"/>
        </w:rPr>
        <w:t xml:space="preserve"> منها النقد وما يعادله.</w:t>
      </w:r>
    </w:p>
    <w:p w14:paraId="25C0AE00" w14:textId="77777777" w:rsidR="000D1F47" w:rsidRDefault="00D32CB8" w:rsidP="007B36AC">
      <w:pPr>
        <w:pStyle w:val="BodyText1"/>
        <w:bidi/>
        <w:spacing w:after="0"/>
        <w:ind w:left="571" w:hanging="571"/>
        <w:rPr>
          <w:rFonts w:ascii="Traditional Arabic" w:hAnsi="Traditional Arabic" w:cs="Traditional Arabic"/>
          <w:sz w:val="30"/>
          <w:szCs w:val="30"/>
          <w:rtl/>
          <w:lang w:val="en-GB" w:bidi="ar-EG"/>
        </w:rPr>
      </w:pPr>
      <w:r w:rsidRPr="00D32CB8">
        <w:rPr>
          <w:rFonts w:ascii="Traditional Arabic" w:hAnsi="Traditional Arabic" w:cs="Traditional Arabic"/>
          <w:sz w:val="30"/>
          <w:szCs w:val="30"/>
          <w:rtl/>
          <w:lang w:val="en-GB" w:bidi="ar-EG"/>
        </w:rPr>
        <w:t>•</w:t>
      </w:r>
      <w:r w:rsidRPr="00D32CB8">
        <w:rPr>
          <w:rFonts w:ascii="Traditional Arabic" w:hAnsi="Traditional Arabic" w:cs="Traditional Arabic"/>
          <w:sz w:val="30"/>
          <w:szCs w:val="30"/>
          <w:rtl/>
          <w:lang w:val="en-GB" w:bidi="ar-EG"/>
        </w:rPr>
        <w:tab/>
        <w:t>"صافي الرافعة المالية" هو صافي الدين (باستثناء عقود الإيجار) مقسومًا على الأرباح المعدلة قبل حساب الفوائد والضرائب والإهلاك والإطفاء.</w:t>
      </w:r>
    </w:p>
    <w:p w14:paraId="6BDFEBB9" w14:textId="77777777" w:rsidR="00503F57" w:rsidRPr="00EB5BCF" w:rsidRDefault="00503F57" w:rsidP="00CA4D73">
      <w:pPr>
        <w:pStyle w:val="BodyText1"/>
        <w:bidi/>
        <w:spacing w:after="0"/>
        <w:ind w:left="571" w:hanging="571"/>
        <w:rPr>
          <w:rFonts w:ascii="Traditional Arabic" w:hAnsi="Traditional Arabic" w:cs="Traditional Arabic"/>
          <w:sz w:val="30"/>
          <w:szCs w:val="30"/>
          <w:rtl/>
          <w:lang w:val="en-GB"/>
        </w:rPr>
      </w:pPr>
      <w:r w:rsidRPr="00503F57">
        <w:rPr>
          <w:rFonts w:ascii="Traditional Arabic" w:hAnsi="Traditional Arabic" w:cs="Traditional Arabic"/>
          <w:sz w:val="30"/>
          <w:szCs w:val="30"/>
          <w:rtl/>
          <w:lang w:val="en-GB" w:bidi="ar-EG"/>
        </w:rPr>
        <w:t>•</w:t>
      </w:r>
      <w:r w:rsidRPr="00503F57">
        <w:rPr>
          <w:rFonts w:ascii="Traditional Arabic" w:hAnsi="Traditional Arabic" w:cs="Traditional Arabic"/>
          <w:sz w:val="30"/>
          <w:szCs w:val="30"/>
          <w:rtl/>
          <w:lang w:val="en-GB" w:bidi="ar-EG"/>
        </w:rPr>
        <w:tab/>
        <w:t>"القيمة الإجمالية لإيرادات العقود" هي معدل إيجار السفن المجهزة بالمدة المتعاقد عليها مضروبًا في إجمالي عدد الأيام المتبقية حتى نهاية الفترة المتعاقد عليها.</w:t>
      </w:r>
    </w:p>
    <w:p w14:paraId="0863121E" w14:textId="77777777" w:rsidR="008252E9" w:rsidRPr="00EB5BCF" w:rsidRDefault="008252E9" w:rsidP="00D71DF7">
      <w:pPr>
        <w:pStyle w:val="BodyText1"/>
        <w:bidi/>
        <w:spacing w:after="0"/>
        <w:ind w:left="720"/>
        <w:rPr>
          <w:rFonts w:ascii="Traditional Arabic" w:hAnsi="Traditional Arabic" w:cs="Traditional Arabic"/>
          <w:sz w:val="30"/>
          <w:szCs w:val="30"/>
          <w:lang w:val="en-GB" w:bidi="ar-EG"/>
        </w:rPr>
      </w:pPr>
    </w:p>
    <w:p w14:paraId="5BBAD0C1" w14:textId="77777777" w:rsidR="00AF4308" w:rsidRPr="00EB5BCF" w:rsidRDefault="00AF4308" w:rsidP="00D71DF7">
      <w:pPr>
        <w:pStyle w:val="BodyText1"/>
        <w:bidi/>
        <w:spacing w:after="0"/>
        <w:rPr>
          <w:rFonts w:ascii="Traditional Arabic" w:hAnsi="Traditional Arabic" w:cs="Traditional Arabic"/>
          <w:sz w:val="30"/>
          <w:szCs w:val="30"/>
          <w:rtl/>
          <w:lang w:val="en-GB" w:bidi="ar-EG"/>
        </w:rPr>
      </w:pPr>
    </w:p>
    <w:p w14:paraId="28E75D5F" w14:textId="77777777" w:rsidR="00AF4308" w:rsidRPr="00EB5BCF" w:rsidRDefault="00497DE1" w:rsidP="00AF4308">
      <w:pPr>
        <w:pStyle w:val="BodyText1"/>
        <w:bidi/>
        <w:spacing w:after="0"/>
        <w:rPr>
          <w:rFonts w:ascii="Traditional Arabic" w:hAnsi="Traditional Arabic" w:cs="Traditional Arabic"/>
          <w:sz w:val="30"/>
          <w:szCs w:val="30"/>
          <w:rtl/>
          <w:lang w:val="en-GB" w:bidi="ar-EG"/>
        </w:rPr>
      </w:pPr>
      <w:r w:rsidRPr="00EB5BCF">
        <w:rPr>
          <w:rFonts w:ascii="Traditional Arabic" w:hAnsi="Traditional Arabic" w:cs="Traditional Arabic"/>
          <w:b/>
          <w:bCs/>
          <w:sz w:val="30"/>
          <w:szCs w:val="30"/>
          <w:rtl/>
          <w:lang w:val="en-GB" w:bidi="ar-EG"/>
        </w:rPr>
        <w:t>بعض البيانات التشغيلية</w:t>
      </w:r>
    </w:p>
    <w:p w14:paraId="4EF5D682" w14:textId="77777777" w:rsidR="00D95F2C" w:rsidRPr="00C73B2D" w:rsidRDefault="00D95F2C" w:rsidP="00D95F2C">
      <w:pPr>
        <w:bidi/>
        <w:spacing w:beforeLines="40" w:before="96" w:afterLines="40" w:after="96" w:line="276" w:lineRule="auto"/>
        <w:jc w:val="both"/>
        <w:rPr>
          <w:rFonts w:ascii="Traditional Arabic" w:hAnsi="Traditional Arabic" w:cs="Traditional Arabic"/>
          <w:sz w:val="30"/>
          <w:szCs w:val="30"/>
          <w:rtl/>
          <w:lang w:bidi="ar-EG"/>
        </w:rPr>
      </w:pPr>
      <w:r w:rsidRPr="00C73B2D">
        <w:rPr>
          <w:rFonts w:ascii="Traditional Arabic" w:hAnsi="Traditional Arabic" w:cs="Traditional Arabic"/>
          <w:sz w:val="30"/>
          <w:szCs w:val="30"/>
          <w:rtl/>
        </w:rPr>
        <w:t>تتضمن نشرة الإصدار بحثا بخصوص بعض مؤشرات الأداء الأساسية للشركة، منها:</w:t>
      </w:r>
      <w:r>
        <w:rPr>
          <w:rFonts w:ascii="Traditional Arabic" w:hAnsi="Traditional Arabic" w:cs="Traditional Arabic" w:hint="cs"/>
          <w:sz w:val="30"/>
          <w:szCs w:val="30"/>
          <w:rtl/>
        </w:rPr>
        <w:t xml:space="preserve"> </w:t>
      </w:r>
      <w:r w:rsidR="00830397">
        <w:rPr>
          <w:rFonts w:ascii="Traditional Arabic" w:hAnsi="Traditional Arabic" w:cs="Traditional Arabic" w:hint="cs"/>
          <w:sz w:val="30"/>
          <w:szCs w:val="30"/>
          <w:rtl/>
        </w:rPr>
        <w:t>نسبة استخدام أسطول السفن</w:t>
      </w:r>
      <w:r w:rsidR="00344E9F">
        <w:rPr>
          <w:rFonts w:ascii="Traditional Arabic" w:hAnsi="Traditional Arabic" w:cs="Traditional Arabic" w:hint="cs"/>
          <w:sz w:val="30"/>
          <w:szCs w:val="30"/>
          <w:rtl/>
        </w:rPr>
        <w:t>،</w:t>
      </w:r>
      <w:r w:rsidR="004E2019">
        <w:rPr>
          <w:rFonts w:ascii="Traditional Arabic" w:hAnsi="Traditional Arabic" w:cs="Traditional Arabic" w:hint="cs"/>
          <w:sz w:val="30"/>
          <w:szCs w:val="30"/>
          <w:rtl/>
        </w:rPr>
        <w:t xml:space="preserve"> </w:t>
      </w:r>
      <w:r w:rsidR="00503F57">
        <w:rPr>
          <w:rFonts w:ascii="Traditional Arabic" w:hAnsi="Traditional Arabic" w:cs="Traditional Arabic" w:hint="cs"/>
          <w:sz w:val="30"/>
          <w:szCs w:val="30"/>
          <w:rtl/>
        </w:rPr>
        <w:t xml:space="preserve">ومعدل خفض ثاني أكسيد الكربون، وتكرار حوادث </w:t>
      </w:r>
      <w:r w:rsidR="003970D8">
        <w:rPr>
          <w:rFonts w:ascii="Traditional Arabic" w:hAnsi="Traditional Arabic" w:cs="Traditional Arabic" w:hint="cs"/>
          <w:sz w:val="30"/>
          <w:szCs w:val="30"/>
          <w:rtl/>
        </w:rPr>
        <w:t>الوقت الضائع</w:t>
      </w:r>
      <w:r w:rsidR="00503F57">
        <w:rPr>
          <w:rFonts w:ascii="Traditional Arabic" w:hAnsi="Traditional Arabic" w:cs="Traditional Arabic" w:hint="cs"/>
          <w:sz w:val="30"/>
          <w:szCs w:val="30"/>
          <w:rtl/>
        </w:rPr>
        <w:t xml:space="preserve"> </w:t>
      </w:r>
      <w:r w:rsidRPr="00C73B2D">
        <w:rPr>
          <w:rFonts w:ascii="Traditional Arabic" w:hAnsi="Traditional Arabic" w:cs="Traditional Arabic"/>
          <w:sz w:val="30"/>
          <w:szCs w:val="30"/>
          <w:rtl/>
          <w:lang w:bidi="ar-OM"/>
        </w:rPr>
        <w:t xml:space="preserve">(وسيتم تعريف كل منها فيما يلي). ويأتي بعضها من تقديرات </w:t>
      </w:r>
      <w:r w:rsidRPr="00C73B2D">
        <w:rPr>
          <w:rFonts w:ascii="Traditional Arabic" w:hAnsi="Traditional Arabic" w:cs="Traditional Arabic"/>
          <w:sz w:val="30"/>
          <w:szCs w:val="30"/>
          <w:rtl/>
          <w:lang w:bidi="ar-OM"/>
        </w:rPr>
        <w:lastRenderedPageBreak/>
        <w:t xml:space="preserve">الإدارة وتكون مبنية على البيانات التشغيلية وليست البيانات المالية، ولا تشكل هذه المؤشرات جزءً من سجل التقارير المالية للشركة، ولم يتم تدقيقها ولا مراجعتها من قبل جهة خارجية مستقلة، كمراقبين مستقلين أو استشاريين أو خبراء. </w:t>
      </w:r>
      <w:r w:rsidRPr="00C73B2D">
        <w:rPr>
          <w:rFonts w:ascii="Traditional Arabic" w:hAnsi="Traditional Arabic" w:cs="Traditional Arabic"/>
          <w:sz w:val="30"/>
          <w:szCs w:val="30"/>
          <w:rtl/>
          <w:lang w:bidi="ar-EG"/>
        </w:rPr>
        <w:t xml:space="preserve">وبالتالي لا يمكن مقارنة طريقة حساب هذه المؤشرات مع مثيلاتها من الأدوات التي تستخدمها الشركات الأخرى أو بحسب تقارير السوق أو الخبراء. وتعتقد الإدارة أن كل أداة من تلك الأدوات يعتبر مؤشرا مفيدا على نشاط الشركة وأدائها. </w:t>
      </w:r>
    </w:p>
    <w:p w14:paraId="483320A1" w14:textId="77777777" w:rsidR="008544FE" w:rsidRPr="00EB5BCF" w:rsidRDefault="001D67DF" w:rsidP="008544FE">
      <w:pPr>
        <w:pStyle w:val="BodyText1"/>
        <w:bidi/>
        <w:spacing w:after="0"/>
        <w:rPr>
          <w:rFonts w:ascii="Traditional Arabic" w:hAnsi="Traditional Arabic" w:cs="Traditional Arabic"/>
          <w:sz w:val="30"/>
          <w:szCs w:val="30"/>
          <w:rtl/>
          <w:lang w:bidi="ar-EG"/>
        </w:rPr>
      </w:pPr>
      <w:r w:rsidRPr="00EB5BCF">
        <w:rPr>
          <w:rFonts w:ascii="Traditional Arabic" w:hAnsi="Traditional Arabic" w:cs="Traditional Arabic"/>
          <w:sz w:val="30"/>
          <w:szCs w:val="30"/>
          <w:rtl/>
          <w:lang w:bidi="ar-EG"/>
        </w:rPr>
        <w:t xml:space="preserve">وفيما يلي </w:t>
      </w:r>
      <w:r w:rsidR="008A4385" w:rsidRPr="00EB5BCF">
        <w:rPr>
          <w:rFonts w:ascii="Traditional Arabic" w:hAnsi="Traditional Arabic" w:cs="Traditional Arabic"/>
          <w:sz w:val="30"/>
          <w:szCs w:val="30"/>
          <w:rtl/>
          <w:lang w:bidi="ar-EG"/>
        </w:rPr>
        <w:t xml:space="preserve">تعريف بعض </w:t>
      </w:r>
      <w:r w:rsidRPr="00EB5BCF">
        <w:rPr>
          <w:rFonts w:ascii="Traditional Arabic" w:hAnsi="Traditional Arabic" w:cs="Traditional Arabic"/>
          <w:sz w:val="30"/>
          <w:szCs w:val="30"/>
          <w:rtl/>
          <w:lang w:bidi="ar-EG"/>
        </w:rPr>
        <w:t>البيانات التشغيلية الأساسية التي تستخدمها الشركة</w:t>
      </w:r>
      <w:r w:rsidR="006A06D8" w:rsidRPr="00EB5BCF">
        <w:rPr>
          <w:rFonts w:ascii="Traditional Arabic" w:hAnsi="Traditional Arabic" w:cs="Traditional Arabic"/>
          <w:sz w:val="30"/>
          <w:szCs w:val="30"/>
          <w:rtl/>
          <w:lang w:bidi="ar-EG"/>
        </w:rPr>
        <w:t>،</w:t>
      </w:r>
      <w:r w:rsidRPr="00EB5BCF">
        <w:rPr>
          <w:rFonts w:ascii="Traditional Arabic" w:hAnsi="Traditional Arabic" w:cs="Traditional Arabic"/>
          <w:sz w:val="30"/>
          <w:szCs w:val="30"/>
          <w:rtl/>
          <w:lang w:bidi="ar-EG"/>
        </w:rPr>
        <w:t>:</w:t>
      </w:r>
    </w:p>
    <w:p w14:paraId="6C778D70" w14:textId="77777777" w:rsidR="008B08F7" w:rsidRDefault="008B08F7" w:rsidP="00922116">
      <w:pPr>
        <w:pStyle w:val="ListParagraph"/>
        <w:numPr>
          <w:ilvl w:val="0"/>
          <w:numId w:val="3"/>
        </w:numPr>
        <w:bidi/>
        <w:rPr>
          <w:rFonts w:ascii="Traditional Arabic" w:hAnsi="Traditional Arabic" w:cs="Traditional Arabic"/>
          <w:sz w:val="30"/>
          <w:szCs w:val="30"/>
          <w:lang w:bidi="ar-EG"/>
        </w:rPr>
      </w:pPr>
      <w:r w:rsidRPr="008B08F7">
        <w:rPr>
          <w:rFonts w:ascii="Traditional Arabic" w:hAnsi="Traditional Arabic" w:cs="Traditional Arabic"/>
          <w:sz w:val="30"/>
          <w:szCs w:val="30"/>
          <w:rtl/>
          <w:lang w:bidi="ar-EG"/>
        </w:rPr>
        <w:t>"معدل استخدام الأسطول" هو 365 يوما ناقص عدد الأيام في الحوض الجاف، مقسومًا على 365.</w:t>
      </w:r>
    </w:p>
    <w:p w14:paraId="4179F06F" w14:textId="77777777" w:rsidR="00503F57" w:rsidRPr="00503F57" w:rsidRDefault="00503F57" w:rsidP="00922116">
      <w:pPr>
        <w:pStyle w:val="ListParagraph"/>
        <w:numPr>
          <w:ilvl w:val="0"/>
          <w:numId w:val="3"/>
        </w:numPr>
        <w:bidi/>
        <w:rPr>
          <w:rFonts w:ascii="Traditional Arabic" w:hAnsi="Traditional Arabic" w:cs="Traditional Arabic"/>
          <w:sz w:val="30"/>
          <w:szCs w:val="30"/>
          <w:rtl/>
          <w:lang w:bidi="ar-EG"/>
        </w:rPr>
      </w:pPr>
      <w:r w:rsidRPr="00503F57">
        <w:rPr>
          <w:rFonts w:ascii="Traditional Arabic" w:hAnsi="Traditional Arabic" w:cs="Traditional Arabic"/>
          <w:sz w:val="30"/>
          <w:szCs w:val="30"/>
          <w:lang w:bidi="ar-EG"/>
        </w:rPr>
        <w:t>"</w:t>
      </w:r>
      <w:r w:rsidRPr="00503F57">
        <w:rPr>
          <w:rFonts w:ascii="Traditional Arabic" w:hAnsi="Traditional Arabic" w:cs="Traditional Arabic"/>
          <w:sz w:val="30"/>
          <w:szCs w:val="30"/>
          <w:rtl/>
          <w:lang w:bidi="ar-EG"/>
        </w:rPr>
        <w:t>معدل خفض ثاني أكسيد الكربون" هو معدل خفض ثاني أكسيد الكربون مقارنة بالعام السابق، معبراً عنه بنسبة مئوية</w:t>
      </w:r>
      <w:r w:rsidRPr="00503F57">
        <w:rPr>
          <w:rFonts w:ascii="Traditional Arabic" w:hAnsi="Traditional Arabic" w:cs="Traditional Arabic"/>
          <w:sz w:val="30"/>
          <w:szCs w:val="30"/>
          <w:lang w:bidi="ar-EG"/>
        </w:rPr>
        <w:t>.</w:t>
      </w:r>
    </w:p>
    <w:p w14:paraId="7E0997C7" w14:textId="77777777" w:rsidR="00503F57" w:rsidRPr="00503F57" w:rsidRDefault="00503F57" w:rsidP="00922116">
      <w:pPr>
        <w:pStyle w:val="ListParagraph"/>
        <w:numPr>
          <w:ilvl w:val="0"/>
          <w:numId w:val="3"/>
        </w:numPr>
        <w:bidi/>
        <w:rPr>
          <w:rFonts w:ascii="Traditional Arabic" w:hAnsi="Traditional Arabic" w:cs="Traditional Arabic"/>
          <w:sz w:val="30"/>
          <w:szCs w:val="30"/>
          <w:rtl/>
          <w:lang w:bidi="ar-EG"/>
        </w:rPr>
      </w:pPr>
      <w:r w:rsidRPr="00503F57">
        <w:rPr>
          <w:rFonts w:ascii="Traditional Arabic" w:hAnsi="Traditional Arabic" w:cs="Traditional Arabic"/>
          <w:sz w:val="30"/>
          <w:szCs w:val="30"/>
          <w:lang w:bidi="ar-EG"/>
        </w:rPr>
        <w:t>"</w:t>
      </w:r>
      <w:r w:rsidRPr="00503F57">
        <w:rPr>
          <w:rFonts w:ascii="Traditional Arabic" w:hAnsi="Traditional Arabic" w:cs="Traditional Arabic"/>
          <w:sz w:val="30"/>
          <w:szCs w:val="30"/>
          <w:rtl/>
          <w:lang w:bidi="ar-EG"/>
        </w:rPr>
        <w:t>متوسط سعر الحاويات التي يملكها الناقل البحري" هو متوسط السعر لكل وحدة مكافئة لعشرين قدمًا للحاويات المملوكة للناقل البحري</w:t>
      </w:r>
      <w:r w:rsidRPr="00503F57">
        <w:rPr>
          <w:rFonts w:ascii="Traditional Arabic" w:hAnsi="Traditional Arabic" w:cs="Traditional Arabic"/>
          <w:sz w:val="30"/>
          <w:szCs w:val="30"/>
          <w:lang w:bidi="ar-EG"/>
        </w:rPr>
        <w:t>.</w:t>
      </w:r>
    </w:p>
    <w:p w14:paraId="5110BC1B" w14:textId="77777777" w:rsidR="00503F57" w:rsidRPr="00503F57" w:rsidRDefault="00503F57" w:rsidP="00922116">
      <w:pPr>
        <w:pStyle w:val="ListParagraph"/>
        <w:numPr>
          <w:ilvl w:val="0"/>
          <w:numId w:val="3"/>
        </w:numPr>
        <w:bidi/>
        <w:rPr>
          <w:rFonts w:ascii="Traditional Arabic" w:hAnsi="Traditional Arabic" w:cs="Traditional Arabic"/>
          <w:sz w:val="30"/>
          <w:szCs w:val="30"/>
          <w:rtl/>
          <w:lang w:bidi="ar-EG"/>
        </w:rPr>
      </w:pPr>
      <w:r w:rsidRPr="00503F57">
        <w:rPr>
          <w:rFonts w:ascii="Traditional Arabic" w:hAnsi="Traditional Arabic" w:cs="Traditional Arabic"/>
          <w:sz w:val="30"/>
          <w:szCs w:val="30"/>
          <w:lang w:bidi="ar-EG"/>
        </w:rPr>
        <w:t>"</w:t>
      </w:r>
      <w:r w:rsidRPr="00503F57">
        <w:rPr>
          <w:rFonts w:ascii="Traditional Arabic" w:hAnsi="Traditional Arabic" w:cs="Traditional Arabic"/>
          <w:sz w:val="30"/>
          <w:szCs w:val="30"/>
          <w:rtl/>
          <w:lang w:bidi="ar-EG"/>
        </w:rPr>
        <w:t>تكرار حوادث الوقت الضائع" هو عدد حوادث الوقت الضائع (على النحو المحدد في هذه النشرة) لكل مليون ساعة عمل</w:t>
      </w:r>
      <w:r w:rsidRPr="00503F57">
        <w:rPr>
          <w:rFonts w:ascii="Traditional Arabic" w:hAnsi="Traditional Arabic" w:cs="Traditional Arabic"/>
          <w:sz w:val="30"/>
          <w:szCs w:val="30"/>
          <w:lang w:bidi="ar-EG"/>
        </w:rPr>
        <w:t xml:space="preserve">. </w:t>
      </w:r>
    </w:p>
    <w:p w14:paraId="0A0D39BE" w14:textId="77777777" w:rsidR="00503F57" w:rsidRPr="00503F57" w:rsidRDefault="00503F57" w:rsidP="00922116">
      <w:pPr>
        <w:pStyle w:val="ListParagraph"/>
        <w:numPr>
          <w:ilvl w:val="0"/>
          <w:numId w:val="3"/>
        </w:numPr>
        <w:bidi/>
        <w:rPr>
          <w:rFonts w:ascii="Traditional Arabic" w:hAnsi="Traditional Arabic" w:cs="Traditional Arabic"/>
          <w:sz w:val="30"/>
          <w:szCs w:val="30"/>
          <w:rtl/>
          <w:lang w:bidi="ar-EG"/>
        </w:rPr>
      </w:pPr>
      <w:r w:rsidRPr="00503F57">
        <w:rPr>
          <w:rFonts w:ascii="Traditional Arabic" w:hAnsi="Traditional Arabic" w:cs="Traditional Arabic"/>
          <w:sz w:val="30"/>
          <w:szCs w:val="30"/>
          <w:lang w:bidi="ar-EG"/>
        </w:rPr>
        <w:t>"</w:t>
      </w:r>
      <w:r w:rsidRPr="00503F57">
        <w:rPr>
          <w:rFonts w:ascii="Traditional Arabic" w:hAnsi="Traditional Arabic" w:cs="Traditional Arabic"/>
          <w:sz w:val="30"/>
          <w:szCs w:val="30"/>
          <w:rtl/>
          <w:lang w:bidi="ar-EG"/>
        </w:rPr>
        <w:t>متوسط سعر الحاويات المملوكة للشاحن البحري" هو متوسط السعر لكل وحدة مكافئة لعشرين قدما للحاويات المملوكة للشاحن البحري</w:t>
      </w:r>
      <w:r w:rsidRPr="00503F57">
        <w:rPr>
          <w:rFonts w:ascii="Traditional Arabic" w:hAnsi="Traditional Arabic" w:cs="Traditional Arabic"/>
          <w:sz w:val="30"/>
          <w:szCs w:val="30"/>
          <w:lang w:bidi="ar-EG"/>
        </w:rPr>
        <w:t>.</w:t>
      </w:r>
    </w:p>
    <w:p w14:paraId="386CF103" w14:textId="77777777" w:rsidR="00503F57" w:rsidRPr="00503F57" w:rsidRDefault="00503F57" w:rsidP="00922116">
      <w:pPr>
        <w:pStyle w:val="ListParagraph"/>
        <w:numPr>
          <w:ilvl w:val="0"/>
          <w:numId w:val="3"/>
        </w:numPr>
        <w:bidi/>
        <w:rPr>
          <w:rFonts w:ascii="Traditional Arabic" w:hAnsi="Traditional Arabic" w:cs="Traditional Arabic"/>
          <w:sz w:val="30"/>
          <w:szCs w:val="30"/>
          <w:rtl/>
          <w:lang w:bidi="ar-EG"/>
        </w:rPr>
      </w:pPr>
      <w:r w:rsidRPr="00503F57">
        <w:rPr>
          <w:rFonts w:ascii="Traditional Arabic" w:hAnsi="Traditional Arabic" w:cs="Traditional Arabic"/>
          <w:sz w:val="30"/>
          <w:szCs w:val="30"/>
          <w:lang w:bidi="ar-EG"/>
        </w:rPr>
        <w:t>"</w:t>
      </w:r>
      <w:r w:rsidRPr="00503F57">
        <w:rPr>
          <w:rFonts w:ascii="Traditional Arabic" w:hAnsi="Traditional Arabic" w:cs="Traditional Arabic"/>
          <w:sz w:val="30"/>
          <w:szCs w:val="30"/>
          <w:rtl/>
          <w:lang w:bidi="ar-EG"/>
        </w:rPr>
        <w:t>معدل مكافئ تأجير السفن المجهزة بالمدة" هو المتوسط المرجح زمنيًا لمعدل إيجار سفينة مجهزة بالمدة بناءً على أسعار السفن الفردية وفترات التأجير المعنية</w:t>
      </w:r>
      <w:r w:rsidRPr="00503F57">
        <w:rPr>
          <w:rFonts w:ascii="Traditional Arabic" w:hAnsi="Traditional Arabic" w:cs="Traditional Arabic"/>
          <w:sz w:val="30"/>
          <w:szCs w:val="30"/>
          <w:lang w:bidi="ar-EG"/>
        </w:rPr>
        <w:t>.</w:t>
      </w:r>
    </w:p>
    <w:p w14:paraId="4666C267" w14:textId="77777777" w:rsidR="00F204B5" w:rsidRPr="00576FC2" w:rsidRDefault="00F204B5" w:rsidP="00F204B5">
      <w:pPr>
        <w:pStyle w:val="BodyText1"/>
        <w:bidi/>
        <w:spacing w:after="0"/>
        <w:rPr>
          <w:rFonts w:ascii="Traditional Arabic" w:hAnsi="Traditional Arabic" w:cs="Traditional Arabic"/>
          <w:sz w:val="30"/>
          <w:szCs w:val="30"/>
          <w:rtl/>
          <w:lang w:bidi="ar-EG"/>
        </w:rPr>
      </w:pPr>
    </w:p>
    <w:p w14:paraId="6F3CB9BD" w14:textId="77777777" w:rsidR="00F204B5" w:rsidRPr="00EB5BCF" w:rsidRDefault="00F204B5" w:rsidP="00F204B5">
      <w:pPr>
        <w:pStyle w:val="BodyText1"/>
        <w:bidi/>
        <w:rPr>
          <w:rFonts w:ascii="Traditional Arabic" w:hAnsi="Traditional Arabic" w:cs="Traditional Arabic"/>
          <w:b/>
          <w:bCs/>
          <w:sz w:val="30"/>
          <w:szCs w:val="30"/>
          <w:rtl/>
          <w:lang w:bidi="ar-OM"/>
        </w:rPr>
      </w:pPr>
      <w:r w:rsidRPr="00EB5BCF">
        <w:rPr>
          <w:rFonts w:ascii="Traditional Arabic" w:hAnsi="Traditional Arabic" w:cs="Traditional Arabic"/>
          <w:b/>
          <w:bCs/>
          <w:sz w:val="30"/>
          <w:szCs w:val="30"/>
          <w:rtl/>
        </w:rPr>
        <w:t>العملة المستخدمة في عرض البيانات المالية</w:t>
      </w:r>
    </w:p>
    <w:p w14:paraId="07AE7D14" w14:textId="77777777" w:rsidR="009F1966" w:rsidRPr="009F1966" w:rsidRDefault="00F204B5" w:rsidP="008B08F7">
      <w:pPr>
        <w:pStyle w:val="BodyText1"/>
        <w:bidi/>
        <w:rPr>
          <w:rFonts w:ascii="Traditional Arabic" w:hAnsi="Traditional Arabic" w:cs="Traditional Arabic"/>
          <w:sz w:val="30"/>
          <w:szCs w:val="30"/>
        </w:rPr>
      </w:pPr>
      <w:r w:rsidRPr="00EB5BCF">
        <w:rPr>
          <w:rFonts w:ascii="Traditional Arabic" w:hAnsi="Traditional Arabic" w:cs="Traditional Arabic"/>
          <w:sz w:val="30"/>
          <w:szCs w:val="30"/>
          <w:rtl/>
        </w:rPr>
        <w:t>في هذه النشرة، جميع الإشارات الخاصة "بالريـال العماني" أو "ر.ع" تعني الريـال العماني وهي العملة القانونية لسلطنة عمان</w:t>
      </w:r>
      <w:r w:rsidR="008A4359">
        <w:rPr>
          <w:rFonts w:ascii="Traditional Arabic" w:hAnsi="Traditional Arabic" w:cs="Traditional Arabic" w:hint="cs"/>
          <w:sz w:val="30"/>
          <w:szCs w:val="30"/>
          <w:rtl/>
        </w:rPr>
        <w:t xml:space="preserve"> </w:t>
      </w:r>
      <w:r w:rsidRPr="00EB5BCF">
        <w:rPr>
          <w:rFonts w:ascii="Traditional Arabic" w:hAnsi="Traditional Arabic" w:cs="Traditional Arabic"/>
          <w:sz w:val="30"/>
          <w:szCs w:val="30"/>
          <w:rtl/>
        </w:rPr>
        <w:t xml:space="preserve">كما أن جميع الإشارات إلى الدولار الأمريكي تعني العملة القانونية للولايات المتحدة الأمريكية، وعليه يكون تحويل المبالغ المذكورة في هذه النشرة من الدولار الأمريكي </w:t>
      </w:r>
      <w:r w:rsidR="002F43C6">
        <w:rPr>
          <w:rFonts w:ascii="Traditional Arabic" w:hAnsi="Traditional Arabic" w:cs="Traditional Arabic" w:hint="cs"/>
          <w:sz w:val="30"/>
          <w:szCs w:val="30"/>
          <w:rtl/>
        </w:rPr>
        <w:t xml:space="preserve">إلى الريال العماني </w:t>
      </w:r>
      <w:r w:rsidRPr="00EB5BCF">
        <w:rPr>
          <w:rFonts w:ascii="Traditional Arabic" w:hAnsi="Traditional Arabic" w:cs="Traditional Arabic"/>
          <w:sz w:val="30"/>
          <w:szCs w:val="30"/>
          <w:rtl/>
        </w:rPr>
        <w:t>من أجل التسهيل على القارئ. ولقد تم ربط الريـال العماني بالدولار الأمريكي منذ</w:t>
      </w:r>
      <w:r w:rsidR="0015074D">
        <w:rPr>
          <w:rFonts w:ascii="Traditional Arabic" w:hAnsi="Traditional Arabic" w:cs="Traditional Arabic" w:hint="cs"/>
          <w:sz w:val="30"/>
          <w:szCs w:val="30"/>
          <w:rtl/>
        </w:rPr>
        <w:t xml:space="preserve"> عام 1973، ولم يتغير سعر الصرف منذ</w:t>
      </w:r>
      <w:r w:rsidRPr="00EB5BCF">
        <w:rPr>
          <w:rFonts w:ascii="Traditional Arabic" w:hAnsi="Traditional Arabic" w:cs="Traditional Arabic"/>
          <w:sz w:val="30"/>
          <w:szCs w:val="30"/>
          <w:rtl/>
        </w:rPr>
        <w:t xml:space="preserve"> يونيو 1986م، وما لم يُنَص على خلافه، فإن سعر التحويل بين الريـال العماني والدولار الأمريكي مبني على أساس أن سعر الصرف لكل 1 دولار أمريكي = </w:t>
      </w:r>
      <w:r w:rsidR="006C69B1">
        <w:rPr>
          <w:rFonts w:ascii="Traditional Arabic" w:hAnsi="Traditional Arabic" w:cs="Traditional Arabic" w:hint="cs"/>
          <w:sz w:val="30"/>
          <w:szCs w:val="30"/>
          <w:rtl/>
        </w:rPr>
        <w:t xml:space="preserve"> يعادل </w:t>
      </w:r>
      <w:r w:rsidRPr="00EB5BCF">
        <w:rPr>
          <w:rFonts w:ascii="Traditional Arabic" w:hAnsi="Traditional Arabic" w:cs="Traditional Arabic"/>
          <w:sz w:val="30"/>
          <w:szCs w:val="30"/>
          <w:rtl/>
        </w:rPr>
        <w:t>0.</w:t>
      </w:r>
      <w:r w:rsidR="00FB7242" w:rsidRPr="00EB5BCF">
        <w:rPr>
          <w:rFonts w:ascii="Traditional Arabic" w:hAnsi="Traditional Arabic" w:cs="Traditional Arabic"/>
          <w:sz w:val="30"/>
          <w:szCs w:val="30"/>
          <w:rtl/>
        </w:rPr>
        <w:t>0385</w:t>
      </w:r>
      <w:r w:rsidRPr="00EB5BCF">
        <w:rPr>
          <w:rFonts w:ascii="Traditional Arabic" w:hAnsi="Traditional Arabic" w:cs="Traditional Arabic"/>
          <w:sz w:val="30"/>
          <w:szCs w:val="30"/>
          <w:rtl/>
        </w:rPr>
        <w:t xml:space="preserve"> ريـال عماني.</w:t>
      </w:r>
      <w:r w:rsidR="009F1966">
        <w:rPr>
          <w:rFonts w:ascii="Traditional Arabic" w:hAnsi="Traditional Arabic" w:cs="Traditional Arabic" w:hint="cs"/>
          <w:sz w:val="30"/>
          <w:szCs w:val="30"/>
          <w:rtl/>
        </w:rPr>
        <w:t xml:space="preserve"> </w:t>
      </w:r>
    </w:p>
    <w:p w14:paraId="4C010DA8" w14:textId="77777777" w:rsidR="00F204B5" w:rsidRPr="009F1966" w:rsidRDefault="00F204B5" w:rsidP="00F204B5">
      <w:pPr>
        <w:pStyle w:val="BodyText1"/>
        <w:bidi/>
        <w:rPr>
          <w:rFonts w:ascii="Traditional Arabic" w:hAnsi="Traditional Arabic" w:cs="Traditional Arabic"/>
          <w:sz w:val="30"/>
          <w:szCs w:val="30"/>
          <w:rtl/>
        </w:rPr>
      </w:pPr>
    </w:p>
    <w:p w14:paraId="5F75B202" w14:textId="77777777" w:rsidR="00982DCF" w:rsidRPr="00EB5BCF" w:rsidRDefault="00982DCF" w:rsidP="00982DCF">
      <w:pPr>
        <w:pStyle w:val="BodyText1"/>
        <w:bidi/>
        <w:rPr>
          <w:rFonts w:ascii="Traditional Arabic" w:hAnsi="Traditional Arabic" w:cs="Traditional Arabic"/>
          <w:sz w:val="30"/>
          <w:szCs w:val="30"/>
          <w:rtl/>
        </w:rPr>
      </w:pPr>
      <w:r w:rsidRPr="00EB5BCF">
        <w:rPr>
          <w:rFonts w:ascii="Traditional Arabic" w:hAnsi="Traditional Arabic" w:cs="Traditional Arabic"/>
          <w:b/>
          <w:bCs/>
          <w:sz w:val="30"/>
          <w:szCs w:val="30"/>
          <w:rtl/>
        </w:rPr>
        <w:t>بيانات القطاع والسوق</w:t>
      </w:r>
    </w:p>
    <w:p w14:paraId="413AD79C" w14:textId="77777777" w:rsidR="005013F6" w:rsidRPr="00C73B2D" w:rsidRDefault="005013F6" w:rsidP="005013F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lastRenderedPageBreak/>
        <w:t>أدرجت الشركة في نشرة الإصدار هذه بيانات السوق ومعلومات السوق الأخرى المستمدة من منشورات القطاع، والدراسات الاستقصائية أو الدراسات التي أجرتها الإدارة، أو مستشارو السوق التابعون لجهات خارجية وشركات أبحاث السوق، أو المعلومات المتاحة للجمهور، في كل حالة، من المصادر التي يُعتقد بشكل عام أنها موثوقة</w:t>
      </w:r>
      <w:r>
        <w:rPr>
          <w:rFonts w:ascii="Traditional Arabic" w:hAnsi="Traditional Arabic" w:cs="Traditional Arabic" w:hint="cs"/>
          <w:sz w:val="30"/>
          <w:szCs w:val="30"/>
          <w:rtl/>
        </w:rPr>
        <w:t>. هذا، و</w:t>
      </w:r>
      <w:r w:rsidRPr="00C73B2D">
        <w:rPr>
          <w:rFonts w:ascii="Traditional Arabic" w:hAnsi="Traditional Arabic" w:cs="Traditional Arabic"/>
          <w:sz w:val="30"/>
          <w:szCs w:val="30"/>
          <w:rtl/>
        </w:rPr>
        <w:t xml:space="preserve">لا يمكن للشركة أن تؤكد للمستثمر أن أيًا من الافتراضات </w:t>
      </w:r>
      <w:r w:rsidR="00E53E84">
        <w:rPr>
          <w:rFonts w:ascii="Traditional Arabic" w:hAnsi="Traditional Arabic" w:cs="Traditional Arabic" w:hint="cs"/>
          <w:sz w:val="30"/>
          <w:szCs w:val="30"/>
          <w:rtl/>
        </w:rPr>
        <w:t xml:space="preserve">الخاصة </w:t>
      </w:r>
      <w:r w:rsidR="00BF6FEE">
        <w:rPr>
          <w:rFonts w:ascii="Traditional Arabic" w:hAnsi="Traditional Arabic" w:cs="Traditional Arabic" w:hint="cs"/>
          <w:sz w:val="30"/>
          <w:szCs w:val="30"/>
          <w:rtl/>
        </w:rPr>
        <w:t xml:space="preserve">بالسوق </w:t>
      </w:r>
      <w:r w:rsidRPr="00C73B2D">
        <w:rPr>
          <w:rFonts w:ascii="Traditional Arabic" w:hAnsi="Traditional Arabic" w:cs="Traditional Arabic"/>
          <w:sz w:val="30"/>
          <w:szCs w:val="30"/>
          <w:rtl/>
        </w:rPr>
        <w:t>دقيقة أو أنها تعكس بشكل صحيح وضع الشركة في هذا السوق. هذا، وتعتبر بيانات وإحصاءات السوق من البيانات المتوقعة بطبيعتها ولا تعكس بالضرورة ظروف السوق الفعلية، كما أن هذه البيانات والإحصاءات تستند إلى أبحاث السوق، والتي تعتمد في حد ذاتها على أخذ العينات والأحكام الشخصية من قبل كل من الباحثين والأطراف الأخرى، بالإضافة إلى المعلومات المتاحة للجمهور المتعلقة بحجم السوق، بما في ذلك الأحكام حول نوعية المنتجات والمعاملات التي ينبغي إدراجها في السوق ذات الصلة.</w:t>
      </w:r>
    </w:p>
    <w:p w14:paraId="096E5032" w14:textId="77777777" w:rsidR="005013F6" w:rsidRPr="00C73B2D" w:rsidRDefault="005013F6" w:rsidP="005013F6">
      <w:pPr>
        <w:bidi/>
        <w:spacing w:beforeLines="40" w:before="96" w:afterLines="40" w:after="96" w:line="276" w:lineRule="auto"/>
        <w:jc w:val="both"/>
        <w:rPr>
          <w:rFonts w:ascii="Traditional Arabic" w:hAnsi="Traditional Arabic" w:cs="Traditional Arabic"/>
          <w:sz w:val="30"/>
          <w:szCs w:val="30"/>
          <w:rtl/>
        </w:rPr>
      </w:pPr>
    </w:p>
    <w:p w14:paraId="68073D71" w14:textId="77777777" w:rsidR="005013F6" w:rsidRPr="00C73B2D" w:rsidRDefault="005013F6" w:rsidP="005013F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rPr>
        <w:t xml:space="preserve">بالإضافة إلى ذلك، تستند بعض الإحصاءات والمعلومات المتعلقة بأعمال الشركة وأسواقها </w:t>
      </w:r>
      <w:r w:rsidR="00E26FEA">
        <w:rPr>
          <w:rFonts w:ascii="Traditional Arabic" w:hAnsi="Traditional Arabic" w:cs="Traditional Arabic" w:hint="cs"/>
          <w:sz w:val="30"/>
          <w:szCs w:val="30"/>
          <w:rtl/>
        </w:rPr>
        <w:t>(</w:t>
      </w:r>
      <w:r w:rsidRPr="00C73B2D">
        <w:rPr>
          <w:rFonts w:ascii="Traditional Arabic" w:hAnsi="Traditional Arabic" w:cs="Traditional Arabic"/>
          <w:sz w:val="30"/>
          <w:szCs w:val="30"/>
          <w:rtl/>
        </w:rPr>
        <w:t>والبيانات الأخرى الخاصة بالقطاع الواردة في نشرة الإصدار هذه إلى تقرير وبيانات ومعلومات أعد</w:t>
      </w:r>
      <w:r w:rsidR="003374E2">
        <w:rPr>
          <w:rFonts w:ascii="Traditional Arabic" w:hAnsi="Traditional Arabic" w:cs="Traditional Arabic" w:hint="cs"/>
          <w:sz w:val="30"/>
          <w:szCs w:val="30"/>
          <w:rtl/>
        </w:rPr>
        <w:t>ته</w:t>
      </w:r>
      <w:r w:rsidRPr="00C73B2D">
        <w:rPr>
          <w:rFonts w:ascii="Traditional Arabic" w:hAnsi="Traditional Arabic" w:cs="Traditional Arabic"/>
          <w:sz w:val="30"/>
          <w:szCs w:val="30"/>
          <w:rtl/>
        </w:rPr>
        <w:t xml:space="preserve">ا </w:t>
      </w:r>
      <w:r w:rsidR="00196CF8">
        <w:rPr>
          <w:rFonts w:ascii="Traditional Arabic" w:hAnsi="Traditional Arabic" w:cs="Traditional Arabic" w:hint="cs"/>
          <w:sz w:val="30"/>
          <w:szCs w:val="30"/>
          <w:rtl/>
        </w:rPr>
        <w:t xml:space="preserve">شركة ماريتيم ستراتيجيز إنترناشيونال ليمتد </w:t>
      </w:r>
      <w:r w:rsidRPr="00C73B2D">
        <w:rPr>
          <w:rFonts w:ascii="Traditional Arabic" w:hAnsi="Traditional Arabic" w:cs="Traditional Arabic"/>
          <w:sz w:val="30"/>
          <w:szCs w:val="30"/>
          <w:rtl/>
        </w:rPr>
        <w:t xml:space="preserve">("مستشار السوق") للشركة </w:t>
      </w:r>
      <w:r w:rsidR="00D83F71">
        <w:rPr>
          <w:rFonts w:ascii="Traditional Arabic" w:hAnsi="Traditional Arabic" w:cs="Traditional Arabic" w:hint="cs"/>
          <w:sz w:val="30"/>
          <w:szCs w:val="30"/>
          <w:rtl/>
        </w:rPr>
        <w:t xml:space="preserve">في سياق الطرح </w:t>
      </w:r>
      <w:r w:rsidRPr="00C73B2D">
        <w:rPr>
          <w:rFonts w:ascii="Traditional Arabic" w:hAnsi="Traditional Arabic" w:cs="Traditional Arabic"/>
          <w:sz w:val="30"/>
          <w:szCs w:val="30"/>
          <w:rtl/>
        </w:rPr>
        <w:t>(يشار إليها مجتمعة باسم "تقرير السوق") و</w:t>
      </w:r>
      <w:r w:rsidR="00F45A25">
        <w:rPr>
          <w:rFonts w:ascii="Traditional Arabic" w:hAnsi="Traditional Arabic" w:cs="Traditional Arabic" w:hint="cs"/>
          <w:sz w:val="30"/>
          <w:szCs w:val="30"/>
          <w:rtl/>
        </w:rPr>
        <w:t>قد صدر</w:t>
      </w:r>
      <w:r w:rsidRPr="00C73B2D">
        <w:rPr>
          <w:rFonts w:ascii="Traditional Arabic" w:hAnsi="Traditional Arabic" w:cs="Traditional Arabic"/>
          <w:sz w:val="30"/>
          <w:szCs w:val="30"/>
          <w:rtl/>
        </w:rPr>
        <w:t xml:space="preserve"> تقرير السوق في </w:t>
      </w:r>
      <w:r w:rsidR="00196CF8">
        <w:rPr>
          <w:rFonts w:ascii="Traditional Arabic" w:hAnsi="Traditional Arabic" w:cs="Traditional Arabic" w:hint="cs"/>
          <w:sz w:val="30"/>
          <w:szCs w:val="30"/>
          <w:rtl/>
        </w:rPr>
        <w:t xml:space="preserve">6 ديسمبر </w:t>
      </w:r>
      <w:r w:rsidR="00F406ED">
        <w:rPr>
          <w:rFonts w:ascii="Traditional Arabic" w:hAnsi="Traditional Arabic" w:cs="Traditional Arabic" w:hint="cs"/>
          <w:sz w:val="30"/>
          <w:szCs w:val="30"/>
          <w:rtl/>
        </w:rPr>
        <w:t>2024</w:t>
      </w:r>
      <w:r w:rsidR="00F406ED"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 xml:space="preserve">وعلى هذا النحو، </w:t>
      </w:r>
      <w:r w:rsidR="00F45A25">
        <w:rPr>
          <w:rFonts w:ascii="Traditional Arabic" w:hAnsi="Traditional Arabic" w:cs="Traditional Arabic" w:hint="cs"/>
          <w:sz w:val="30"/>
          <w:szCs w:val="30"/>
          <w:rtl/>
        </w:rPr>
        <w:t xml:space="preserve">فإنه يناقش </w:t>
      </w:r>
      <w:r w:rsidRPr="00C73B2D">
        <w:rPr>
          <w:rFonts w:ascii="Traditional Arabic" w:hAnsi="Traditional Arabic" w:cs="Traditional Arabic"/>
          <w:sz w:val="30"/>
          <w:szCs w:val="30"/>
          <w:rtl/>
        </w:rPr>
        <w:t xml:space="preserve">المسائل </w:t>
      </w:r>
      <w:r w:rsidR="00F45A25">
        <w:rPr>
          <w:rFonts w:ascii="Traditional Arabic" w:hAnsi="Traditional Arabic" w:cs="Traditional Arabic" w:hint="cs"/>
          <w:sz w:val="30"/>
          <w:szCs w:val="30"/>
          <w:rtl/>
        </w:rPr>
        <w:t>المطروحة</w:t>
      </w:r>
      <w:r w:rsidRPr="00C73B2D">
        <w:rPr>
          <w:rFonts w:ascii="Traditional Arabic" w:hAnsi="Traditional Arabic" w:cs="Traditional Arabic"/>
          <w:sz w:val="30"/>
          <w:szCs w:val="30"/>
          <w:rtl/>
        </w:rPr>
        <w:t xml:space="preserve"> في ذلك الوقت أو في الأوقات المحددة فيه ولا يأخذ في الاعتبار </w:t>
      </w:r>
      <w:r w:rsidR="00F45A25">
        <w:rPr>
          <w:rFonts w:ascii="Traditional Arabic" w:hAnsi="Traditional Arabic" w:cs="Traditional Arabic" w:hint="cs"/>
          <w:sz w:val="30"/>
          <w:szCs w:val="30"/>
          <w:rtl/>
        </w:rPr>
        <w:t>ما يطرأ وما يُستجد</w:t>
      </w:r>
      <w:r w:rsidRPr="00C73B2D">
        <w:rPr>
          <w:rFonts w:ascii="Traditional Arabic" w:hAnsi="Traditional Arabic" w:cs="Traditional Arabic"/>
          <w:sz w:val="30"/>
          <w:szCs w:val="30"/>
          <w:rtl/>
        </w:rPr>
        <w:t xml:space="preserve"> منذ ذلك الحين. </w:t>
      </w:r>
      <w:r w:rsidR="005F72D8">
        <w:rPr>
          <w:rFonts w:ascii="Traditional Arabic" w:hAnsi="Traditional Arabic" w:cs="Traditional Arabic" w:hint="cs"/>
          <w:sz w:val="30"/>
          <w:szCs w:val="30"/>
          <w:rtl/>
        </w:rPr>
        <w:t xml:space="preserve">هذا، ونجد أن </w:t>
      </w:r>
      <w:r w:rsidRPr="00C73B2D">
        <w:rPr>
          <w:rFonts w:ascii="Traditional Arabic" w:hAnsi="Traditional Arabic" w:cs="Traditional Arabic"/>
          <w:sz w:val="30"/>
          <w:szCs w:val="30"/>
          <w:rtl/>
        </w:rPr>
        <w:t xml:space="preserve">تقرير السوق </w:t>
      </w:r>
      <w:r w:rsidR="005F72D8">
        <w:rPr>
          <w:rFonts w:ascii="Traditional Arabic" w:hAnsi="Traditional Arabic" w:cs="Traditional Arabic" w:hint="cs"/>
          <w:sz w:val="30"/>
          <w:szCs w:val="30"/>
          <w:rtl/>
        </w:rPr>
        <w:t xml:space="preserve">قد اشتمل </w:t>
      </w:r>
      <w:r w:rsidRPr="00C73B2D">
        <w:rPr>
          <w:rFonts w:ascii="Traditional Arabic" w:hAnsi="Traditional Arabic" w:cs="Traditional Arabic"/>
          <w:sz w:val="30"/>
          <w:szCs w:val="30"/>
          <w:rtl/>
        </w:rPr>
        <w:t>على وجهات النظر المستقبلية لمستشار السوق، و</w:t>
      </w:r>
      <w:r w:rsidR="005F72D8">
        <w:rPr>
          <w:rFonts w:ascii="Traditional Arabic" w:hAnsi="Traditional Arabic" w:cs="Traditional Arabic" w:hint="cs"/>
          <w:sz w:val="30"/>
          <w:szCs w:val="30"/>
          <w:rtl/>
        </w:rPr>
        <w:t xml:space="preserve">قد دلل عليها </w:t>
      </w:r>
      <w:r w:rsidRPr="00C73B2D">
        <w:rPr>
          <w:rFonts w:ascii="Traditional Arabic" w:hAnsi="Traditional Arabic" w:cs="Traditional Arabic"/>
          <w:sz w:val="30"/>
          <w:szCs w:val="30"/>
          <w:rtl/>
        </w:rPr>
        <w:t>من افتراضاته المتعلقة بالنمو المتوقع للسوق ذي الصلة بالشركة. وقد أعطى مستشار السوق – حتى تاريخ هذه النشرة - الإذن باستخدام اسمه والبيانات بالشكل وبالصيغة الموضحة في هذه النشرة</w:t>
      </w:r>
      <w:r w:rsidRPr="00C73B2D">
        <w:rPr>
          <w:rFonts w:ascii="Traditional Arabic" w:hAnsi="Traditional Arabic" w:cs="Traditional Arabic"/>
          <w:sz w:val="30"/>
          <w:szCs w:val="30"/>
          <w:rtl/>
          <w:lang w:bidi="ar-OM"/>
        </w:rPr>
        <w:t>.</w:t>
      </w:r>
    </w:p>
    <w:p w14:paraId="78CD097D" w14:textId="77777777" w:rsidR="00AF62A9" w:rsidRPr="00C73B2D" w:rsidRDefault="002C46CF" w:rsidP="004740FB">
      <w:pPr>
        <w:bidi/>
        <w:spacing w:beforeLines="40" w:before="96" w:afterLines="40" w:after="96" w:line="276" w:lineRule="auto"/>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لا شك أن بيانات القطاع والسوق تخضع للتغيير ولا يمكن تأكيدها على وجه اليقين بسبب محدودية البيانات الأولية ومسائل تتعلق بالاعتماد عليها، بالإضافة إلى طرق جمع البيانات وقيود أخرى ملازمة للمسوحات التي تُجرى لأسواق كبيرة كالتي نحن بصددها، وقد تم الاعتماد على بعض المصادر الخارجية في شأن المنافسين؛ ولم يتم الاتصال بهم للتحقق من صحة واكتمال المعلومات المضمنة في هذا التقرير</w:t>
      </w:r>
      <w:r w:rsidRPr="00EB5BCF">
        <w:rPr>
          <w:rFonts w:ascii="Traditional Arabic" w:hAnsi="Traditional Arabic" w:cs="Traditional Arabic"/>
          <w:sz w:val="30"/>
          <w:szCs w:val="30"/>
        </w:rPr>
        <w:t>.</w:t>
      </w:r>
      <w:r w:rsidR="00F941FF"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 xml:space="preserve">وإذ </w:t>
      </w:r>
      <w:r w:rsidR="00965282" w:rsidRPr="00EB5BCF">
        <w:rPr>
          <w:rFonts w:ascii="Traditional Arabic" w:hAnsi="Traditional Arabic" w:cs="Traditional Arabic" w:hint="eastAsia"/>
          <w:sz w:val="30"/>
          <w:szCs w:val="30"/>
          <w:rtl/>
        </w:rPr>
        <w:t>ت</w:t>
      </w:r>
      <w:r w:rsidRPr="00EB5BCF">
        <w:rPr>
          <w:rFonts w:ascii="Traditional Arabic" w:hAnsi="Traditional Arabic" w:cs="Traditional Arabic"/>
          <w:sz w:val="30"/>
          <w:szCs w:val="30"/>
          <w:rtl/>
        </w:rPr>
        <w:t xml:space="preserve">عتقد </w:t>
      </w:r>
      <w:r w:rsidR="00965282" w:rsidRPr="00EB5BCF">
        <w:rPr>
          <w:rFonts w:ascii="Traditional Arabic" w:hAnsi="Traditional Arabic" w:cs="Traditional Arabic" w:hint="eastAsia"/>
          <w:sz w:val="30"/>
          <w:szCs w:val="30"/>
          <w:rtl/>
        </w:rPr>
        <w:t>الشركة</w:t>
      </w:r>
      <w:r w:rsidR="00965282"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 xml:space="preserve">بموثوقية المعلومات والبيانات التي تم الحصول عليها من مصادر خارجية وضُمنت في هذه النشرة بما في ذلك المعلومات والبيانات المأخوذة عن مصادر عامة أو عن مستشار السوق إلا أن تلك المعلومات والبيانات لم يتم التحقق منها بشكل مستقل من قبل المجموعة أو مجلس الإدارة أو </w:t>
      </w:r>
      <w:r w:rsidR="007C5AA3">
        <w:rPr>
          <w:rFonts w:ascii="Traditional Arabic" w:hAnsi="Traditional Arabic" w:cs="Traditional Arabic" w:hint="cs"/>
          <w:sz w:val="30"/>
          <w:szCs w:val="30"/>
          <w:rtl/>
        </w:rPr>
        <w:t>مدير سجل الاكتتاب</w:t>
      </w:r>
      <w:r w:rsidR="009B360D">
        <w:rPr>
          <w:rFonts w:ascii="Traditional Arabic" w:hAnsi="Traditional Arabic" w:cs="Traditional Arabic" w:hint="cs"/>
          <w:sz w:val="30"/>
          <w:szCs w:val="30"/>
          <w:rtl/>
        </w:rPr>
        <w:t xml:space="preserve"> المشترك</w:t>
      </w:r>
      <w:r w:rsidR="00E71AC3">
        <w:rPr>
          <w:rFonts w:ascii="Traditional Arabic" w:hAnsi="Traditional Arabic" w:cs="Traditional Arabic" w:hint="cs"/>
          <w:sz w:val="30"/>
          <w:szCs w:val="30"/>
          <w:rtl/>
        </w:rPr>
        <w:t xml:space="preserve"> أو مدير الإصدار</w:t>
      </w:r>
      <w:r w:rsidR="009B360D" w:rsidRPr="00EB5BCF">
        <w:rPr>
          <w:rFonts w:ascii="Traditional Arabic" w:hAnsi="Traditional Arabic" w:cs="Traditional Arabic"/>
          <w:sz w:val="30"/>
          <w:szCs w:val="30"/>
          <w:rtl/>
        </w:rPr>
        <w:t xml:space="preserve"> </w:t>
      </w:r>
      <w:r w:rsidR="00965282" w:rsidRPr="00EB5BCF">
        <w:rPr>
          <w:rFonts w:ascii="Traditional Arabic" w:hAnsi="Traditional Arabic" w:cs="Traditional Arabic" w:hint="eastAsia"/>
          <w:sz w:val="30"/>
          <w:szCs w:val="30"/>
          <w:rtl/>
        </w:rPr>
        <w:t>أو</w:t>
      </w:r>
      <w:r w:rsidR="00965282" w:rsidRPr="00EB5BCF">
        <w:rPr>
          <w:rFonts w:ascii="Traditional Arabic" w:hAnsi="Traditional Arabic" w:cs="Traditional Arabic"/>
          <w:sz w:val="30"/>
          <w:szCs w:val="30"/>
          <w:rtl/>
        </w:rPr>
        <w:t xml:space="preserve"> وكلاء التحصيل </w:t>
      </w:r>
      <w:r w:rsidRPr="00EB5BCF">
        <w:rPr>
          <w:rFonts w:ascii="Traditional Arabic" w:hAnsi="Traditional Arabic" w:cs="Traditional Arabic"/>
          <w:sz w:val="30"/>
          <w:szCs w:val="30"/>
          <w:rtl/>
        </w:rPr>
        <w:t xml:space="preserve">أو </w:t>
      </w:r>
      <w:r w:rsidR="005838C8">
        <w:rPr>
          <w:rFonts w:ascii="Traditional Arabic" w:hAnsi="Traditional Arabic" w:cs="Traditional Arabic"/>
          <w:sz w:val="30"/>
          <w:szCs w:val="30"/>
          <w:rtl/>
        </w:rPr>
        <w:t>المساهم البائع</w:t>
      </w:r>
      <w:r w:rsidRPr="00EB5BCF">
        <w:rPr>
          <w:rFonts w:ascii="Traditional Arabic" w:hAnsi="Traditional Arabic" w:cs="Traditional Arabic"/>
          <w:sz w:val="30"/>
          <w:szCs w:val="30"/>
          <w:rtl/>
        </w:rPr>
        <w:t>، ومن ثم لا يتحملون المسؤولية عن صحة واكتمال تلك المعلومات والبيانات</w:t>
      </w:r>
      <w:r w:rsidRPr="00EB5BCF">
        <w:rPr>
          <w:rFonts w:ascii="Traditional Arabic" w:hAnsi="Traditional Arabic" w:cs="Traditional Arabic"/>
          <w:sz w:val="30"/>
          <w:szCs w:val="30"/>
        </w:rPr>
        <w:t>.</w:t>
      </w:r>
      <w:r w:rsidR="00250DF3" w:rsidRPr="00EB5BCF">
        <w:rPr>
          <w:rFonts w:ascii="Traditional Arabic" w:hAnsi="Traditional Arabic" w:cs="Traditional Arabic"/>
          <w:sz w:val="30"/>
          <w:szCs w:val="30"/>
          <w:rtl/>
        </w:rPr>
        <w:t xml:space="preserve"> </w:t>
      </w:r>
      <w:r w:rsidR="0058775A">
        <w:rPr>
          <w:rFonts w:ascii="Traditional Arabic" w:hAnsi="Traditional Arabic" w:cs="Traditional Arabic" w:hint="cs"/>
          <w:sz w:val="30"/>
          <w:szCs w:val="30"/>
          <w:rtl/>
        </w:rPr>
        <w:lastRenderedPageBreak/>
        <w:t>وعليه</w:t>
      </w:r>
      <w:r w:rsidR="00AF62A9" w:rsidRPr="00C73B2D">
        <w:rPr>
          <w:rFonts w:ascii="Traditional Arabic" w:hAnsi="Traditional Arabic" w:cs="Traditional Arabic"/>
          <w:sz w:val="30"/>
          <w:szCs w:val="30"/>
          <w:rtl/>
        </w:rPr>
        <w:t xml:space="preserve">، فإنه </w:t>
      </w:r>
      <w:r w:rsidR="0058775A">
        <w:rPr>
          <w:rFonts w:ascii="Traditional Arabic" w:hAnsi="Traditional Arabic" w:cs="Traditional Arabic" w:hint="cs"/>
          <w:sz w:val="30"/>
          <w:szCs w:val="30"/>
          <w:rtl/>
        </w:rPr>
        <w:t>ينبغي</w:t>
      </w:r>
      <w:r w:rsidR="00AF62A9" w:rsidRPr="00C73B2D">
        <w:rPr>
          <w:rFonts w:ascii="Traditional Arabic" w:hAnsi="Traditional Arabic" w:cs="Traditional Arabic"/>
          <w:sz w:val="30"/>
          <w:szCs w:val="30"/>
          <w:rtl/>
        </w:rPr>
        <w:t xml:space="preserve"> </w:t>
      </w:r>
      <w:r w:rsidR="0058775A">
        <w:rPr>
          <w:rFonts w:ascii="Traditional Arabic" w:hAnsi="Traditional Arabic" w:cs="Traditional Arabic" w:hint="cs"/>
          <w:sz w:val="30"/>
          <w:szCs w:val="30"/>
          <w:rtl/>
        </w:rPr>
        <w:t>التعامل</w:t>
      </w:r>
      <w:r w:rsidR="00AF62A9" w:rsidRPr="00C73B2D">
        <w:rPr>
          <w:rFonts w:ascii="Traditional Arabic" w:hAnsi="Traditional Arabic" w:cs="Traditional Arabic"/>
          <w:sz w:val="30"/>
          <w:szCs w:val="30"/>
          <w:rtl/>
        </w:rPr>
        <w:t xml:space="preserve"> بحذر </w:t>
      </w:r>
      <w:r w:rsidR="0058775A">
        <w:rPr>
          <w:rFonts w:ascii="Traditional Arabic" w:hAnsi="Traditional Arabic" w:cs="Traditional Arabic" w:hint="cs"/>
          <w:sz w:val="30"/>
          <w:szCs w:val="30"/>
          <w:rtl/>
        </w:rPr>
        <w:t>مع</w:t>
      </w:r>
      <w:r w:rsidR="00AF62A9" w:rsidRPr="00C73B2D">
        <w:rPr>
          <w:rFonts w:ascii="Traditional Arabic" w:hAnsi="Traditional Arabic" w:cs="Traditional Arabic"/>
          <w:sz w:val="30"/>
          <w:szCs w:val="30"/>
          <w:rtl/>
        </w:rPr>
        <w:t xml:space="preserve"> بيانات وإحصاءات السوق والاقتصاد و</w:t>
      </w:r>
      <w:r w:rsidR="0058775A">
        <w:rPr>
          <w:rFonts w:ascii="Traditional Arabic" w:hAnsi="Traditional Arabic" w:cs="Traditional Arabic" w:hint="cs"/>
          <w:sz w:val="30"/>
          <w:szCs w:val="30"/>
          <w:rtl/>
        </w:rPr>
        <w:t>القطاع</w:t>
      </w:r>
      <w:r w:rsidR="00AF62A9" w:rsidRPr="00C73B2D">
        <w:rPr>
          <w:rFonts w:ascii="Traditional Arabic" w:hAnsi="Traditional Arabic" w:cs="Traditional Arabic"/>
          <w:sz w:val="30"/>
          <w:szCs w:val="30"/>
          <w:rtl/>
        </w:rPr>
        <w:t xml:space="preserve"> وأي</w:t>
      </w:r>
      <w:r w:rsidR="00E85FAF">
        <w:rPr>
          <w:rFonts w:ascii="Traditional Arabic" w:hAnsi="Traditional Arabic" w:cs="Traditional Arabic" w:hint="cs"/>
          <w:sz w:val="30"/>
          <w:szCs w:val="30"/>
          <w:rtl/>
        </w:rPr>
        <w:t>ة</w:t>
      </w:r>
      <w:r w:rsidR="00AF62A9" w:rsidRPr="00C73B2D">
        <w:rPr>
          <w:rFonts w:ascii="Traditional Arabic" w:hAnsi="Traditional Arabic" w:cs="Traditional Arabic"/>
          <w:sz w:val="30"/>
          <w:szCs w:val="30"/>
          <w:rtl/>
        </w:rPr>
        <w:t xml:space="preserve"> معلومات أخرى </w:t>
      </w:r>
      <w:r w:rsidR="00E85FAF">
        <w:rPr>
          <w:rFonts w:ascii="Traditional Arabic" w:hAnsi="Traditional Arabic" w:cs="Traditional Arabic" w:hint="cs"/>
          <w:sz w:val="30"/>
          <w:szCs w:val="30"/>
          <w:rtl/>
        </w:rPr>
        <w:t xml:space="preserve">ترد في هذه النشرة ويشار إلى أنه قد تم جلبها </w:t>
      </w:r>
      <w:r w:rsidR="00AF62A9" w:rsidRPr="00C73B2D">
        <w:rPr>
          <w:rFonts w:ascii="Traditional Arabic" w:hAnsi="Traditional Arabic" w:cs="Traditional Arabic"/>
          <w:sz w:val="30"/>
          <w:szCs w:val="30"/>
          <w:rtl/>
        </w:rPr>
        <w:t>من مصادر الجهات الخارجي</w:t>
      </w:r>
      <w:r w:rsidR="00E85FAF">
        <w:rPr>
          <w:rFonts w:ascii="Traditional Arabic" w:hAnsi="Traditional Arabic" w:cs="Traditional Arabic" w:hint="cs"/>
          <w:sz w:val="30"/>
          <w:szCs w:val="30"/>
          <w:rtl/>
        </w:rPr>
        <w:t>ة</w:t>
      </w:r>
      <w:r w:rsidR="00AF62A9" w:rsidRPr="00C73B2D">
        <w:rPr>
          <w:rFonts w:ascii="Traditional Arabic" w:hAnsi="Traditional Arabic" w:cs="Traditional Arabic"/>
          <w:sz w:val="30"/>
          <w:szCs w:val="30"/>
          <w:rtl/>
        </w:rPr>
        <w:t>.</w:t>
      </w:r>
    </w:p>
    <w:p w14:paraId="6CF200C3" w14:textId="77777777" w:rsidR="00AF62A9" w:rsidRPr="00C73B2D" w:rsidRDefault="00AF62A9" w:rsidP="00AF62A9">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rPr>
        <w:t xml:space="preserve">بالإضافة إلى ذلك، </w:t>
      </w:r>
      <w:r w:rsidR="008E2FB2">
        <w:rPr>
          <w:rFonts w:ascii="Traditional Arabic" w:hAnsi="Traditional Arabic" w:cs="Traditional Arabic" w:hint="cs"/>
          <w:sz w:val="30"/>
          <w:szCs w:val="30"/>
          <w:rtl/>
        </w:rPr>
        <w:t xml:space="preserve">فإن الشركة قد قامت بتضمين </w:t>
      </w:r>
      <w:r w:rsidRPr="00C73B2D">
        <w:rPr>
          <w:rFonts w:ascii="Traditional Arabic" w:hAnsi="Traditional Arabic" w:cs="Traditional Arabic"/>
          <w:sz w:val="30"/>
          <w:szCs w:val="30"/>
          <w:rtl/>
        </w:rPr>
        <w:t>تقديراتها وتقييماتها وتعديلاتها وأحكامها في</w:t>
      </w:r>
      <w:r w:rsidR="008E2FB2" w:rsidRPr="00C73B2D">
        <w:rPr>
          <w:rFonts w:ascii="Traditional Arabic" w:hAnsi="Traditional Arabic" w:cs="Traditional Arabic"/>
          <w:sz w:val="30"/>
          <w:szCs w:val="30"/>
          <w:rtl/>
        </w:rPr>
        <w:t xml:space="preserve"> </w:t>
      </w:r>
      <w:r w:rsidR="008E2FB2">
        <w:rPr>
          <w:rFonts w:ascii="Traditional Arabic" w:hAnsi="Traditional Arabic" w:cs="Traditional Arabic" w:hint="cs"/>
          <w:sz w:val="30"/>
          <w:szCs w:val="30"/>
          <w:rtl/>
        </w:rPr>
        <w:t>بعض سياقات</w:t>
      </w:r>
      <w:r w:rsidR="008E2FB2" w:rsidRPr="00C73B2D">
        <w:rPr>
          <w:rFonts w:ascii="Traditional Arabic" w:hAnsi="Traditional Arabic" w:cs="Traditional Arabic"/>
          <w:sz w:val="30"/>
          <w:szCs w:val="30"/>
          <w:rtl/>
        </w:rPr>
        <w:t xml:space="preserve"> </w:t>
      </w:r>
      <w:r w:rsidR="008E2FB2">
        <w:rPr>
          <w:rFonts w:ascii="Traditional Arabic" w:hAnsi="Traditional Arabic" w:cs="Traditional Arabic" w:hint="cs"/>
          <w:sz w:val="30"/>
          <w:szCs w:val="30"/>
          <w:rtl/>
        </w:rPr>
        <w:t xml:space="preserve">هذه النشرة أثناء </w:t>
      </w:r>
      <w:r w:rsidRPr="00C73B2D">
        <w:rPr>
          <w:rFonts w:ascii="Traditional Arabic" w:hAnsi="Traditional Arabic" w:cs="Traditional Arabic"/>
          <w:sz w:val="30"/>
          <w:szCs w:val="30"/>
          <w:rtl/>
        </w:rPr>
        <w:t>إعداد معلومات السوق، ولم يتم التحقق منها من قبل جهة خارجية مستقلة، وبالتالي فإن</w:t>
      </w:r>
      <w:r w:rsidRPr="00C73B2D">
        <w:rPr>
          <w:rFonts w:ascii="Traditional Arabic" w:hAnsi="Traditional Arabic" w:cs="Traditional Arabic"/>
          <w:sz w:val="30"/>
          <w:szCs w:val="30"/>
        </w:rPr>
        <w:t xml:space="preserve"> </w:t>
      </w:r>
      <w:r w:rsidRPr="00C73B2D">
        <w:rPr>
          <w:rFonts w:ascii="Traditional Arabic" w:hAnsi="Traditional Arabic" w:cs="Traditional Arabic"/>
          <w:sz w:val="30"/>
          <w:szCs w:val="30"/>
          <w:rtl/>
        </w:rPr>
        <w:t xml:space="preserve">هذه المعلومات </w:t>
      </w:r>
      <w:r w:rsidR="007246FD">
        <w:rPr>
          <w:rFonts w:ascii="Traditional Arabic" w:hAnsi="Traditional Arabic" w:cs="Traditional Arabic" w:hint="cs"/>
          <w:sz w:val="30"/>
          <w:szCs w:val="30"/>
          <w:rtl/>
        </w:rPr>
        <w:t xml:space="preserve">تعتبر </w:t>
      </w:r>
      <w:r w:rsidRPr="00C73B2D">
        <w:rPr>
          <w:rFonts w:ascii="Traditional Arabic" w:hAnsi="Traditional Arabic" w:cs="Traditional Arabic"/>
          <w:sz w:val="30"/>
          <w:szCs w:val="30"/>
          <w:rtl/>
        </w:rPr>
        <w:t>معلومات غير موضوعية</w:t>
      </w:r>
      <w:r w:rsidRPr="00C73B2D">
        <w:rPr>
          <w:rFonts w:ascii="Traditional Arabic" w:hAnsi="Traditional Arabic" w:cs="Traditional Arabic"/>
          <w:sz w:val="30"/>
          <w:szCs w:val="30"/>
          <w:rtl/>
          <w:lang w:bidi="ar-OM"/>
        </w:rPr>
        <w:t>. وإذ</w:t>
      </w:r>
      <w:r w:rsidRPr="00C73B2D">
        <w:rPr>
          <w:rFonts w:ascii="Traditional Arabic" w:hAnsi="Traditional Arabic" w:cs="Traditional Arabic"/>
          <w:sz w:val="30"/>
          <w:szCs w:val="30"/>
          <w:rtl/>
        </w:rPr>
        <w:t xml:space="preserve"> تعتقد الشركة أن تقديراتها وتقييماتها وتعديلاتها وأحكامها معقولة وأن معلومات السوق التي </w:t>
      </w:r>
      <w:r w:rsidR="007246FD">
        <w:rPr>
          <w:rFonts w:ascii="Traditional Arabic" w:hAnsi="Traditional Arabic" w:cs="Traditional Arabic" w:hint="cs"/>
          <w:sz w:val="30"/>
          <w:szCs w:val="30"/>
          <w:rtl/>
        </w:rPr>
        <w:t>أعدتها</w:t>
      </w:r>
      <w:r w:rsidRPr="00C73B2D">
        <w:rPr>
          <w:rFonts w:ascii="Traditional Arabic" w:hAnsi="Traditional Arabic" w:cs="Traditional Arabic"/>
          <w:sz w:val="30"/>
          <w:szCs w:val="30"/>
          <w:rtl/>
        </w:rPr>
        <w:t xml:space="preserve"> تعكس تقريبًا وضع القطاع والسوق الذي تعمل فيه الشركة، ف</w:t>
      </w:r>
      <w:r w:rsidR="007246FD">
        <w:rPr>
          <w:rFonts w:ascii="Traditional Arabic" w:hAnsi="Traditional Arabic" w:cs="Traditional Arabic" w:hint="cs"/>
          <w:sz w:val="30"/>
          <w:szCs w:val="30"/>
          <w:rtl/>
        </w:rPr>
        <w:t xml:space="preserve">إنه </w:t>
      </w:r>
      <w:r w:rsidRPr="00C73B2D">
        <w:rPr>
          <w:rFonts w:ascii="Traditional Arabic" w:hAnsi="Traditional Arabic" w:cs="Traditional Arabic"/>
          <w:sz w:val="30"/>
          <w:szCs w:val="30"/>
          <w:rtl/>
        </w:rPr>
        <w:t xml:space="preserve">لا يوجد </w:t>
      </w:r>
      <w:r w:rsidR="007246FD">
        <w:rPr>
          <w:rFonts w:ascii="Traditional Arabic" w:hAnsi="Traditional Arabic" w:cs="Traditional Arabic" w:hint="cs"/>
          <w:sz w:val="30"/>
          <w:szCs w:val="30"/>
          <w:rtl/>
        </w:rPr>
        <w:t>ما يضمن</w:t>
      </w:r>
      <w:r w:rsidRPr="00C73B2D">
        <w:rPr>
          <w:rFonts w:ascii="Traditional Arabic" w:hAnsi="Traditional Arabic" w:cs="Traditional Arabic"/>
          <w:sz w:val="30"/>
          <w:szCs w:val="30"/>
          <w:rtl/>
        </w:rPr>
        <w:t xml:space="preserve"> أن </w:t>
      </w:r>
      <w:r w:rsidR="007246FD">
        <w:rPr>
          <w:rFonts w:ascii="Traditional Arabic" w:hAnsi="Traditional Arabic" w:cs="Traditional Arabic" w:hint="cs"/>
          <w:sz w:val="30"/>
          <w:szCs w:val="30"/>
          <w:rtl/>
        </w:rPr>
        <w:t xml:space="preserve">تكون </w:t>
      </w:r>
      <w:r w:rsidRPr="00C73B2D">
        <w:rPr>
          <w:rFonts w:ascii="Traditional Arabic" w:hAnsi="Traditional Arabic" w:cs="Traditional Arabic"/>
          <w:sz w:val="30"/>
          <w:szCs w:val="30"/>
          <w:rtl/>
        </w:rPr>
        <w:t xml:space="preserve">تقديرات الشركة نفسها وتقييماتها وتعديلاتها وأحكامها هي الأنسب </w:t>
      </w:r>
      <w:r w:rsidR="007246FD">
        <w:rPr>
          <w:rFonts w:ascii="Traditional Arabic" w:hAnsi="Traditional Arabic" w:cs="Traditional Arabic" w:hint="cs"/>
          <w:sz w:val="30"/>
          <w:szCs w:val="30"/>
          <w:rtl/>
        </w:rPr>
        <w:t xml:space="preserve">في </w:t>
      </w:r>
      <w:r w:rsidRPr="00C73B2D">
        <w:rPr>
          <w:rFonts w:ascii="Traditional Arabic" w:hAnsi="Traditional Arabic" w:cs="Traditional Arabic"/>
          <w:sz w:val="30"/>
          <w:szCs w:val="30"/>
          <w:rtl/>
        </w:rPr>
        <w:t>اتخاذ القرارات المتعلقة بمعلومات السوق أو أن معلومات السوق التي أعدتها مصادر أخرى لن تختلف جوهريًا عن معلومات السوق الم</w:t>
      </w:r>
      <w:r w:rsidR="007246FD">
        <w:rPr>
          <w:rFonts w:ascii="Traditional Arabic" w:hAnsi="Traditional Arabic" w:cs="Traditional Arabic" w:hint="cs"/>
          <w:sz w:val="30"/>
          <w:szCs w:val="30"/>
          <w:rtl/>
        </w:rPr>
        <w:t>ضمنة في النشرة</w:t>
      </w:r>
      <w:r w:rsidRPr="00C73B2D">
        <w:rPr>
          <w:rFonts w:ascii="Traditional Arabic" w:hAnsi="Traditional Arabic" w:cs="Traditional Arabic"/>
          <w:sz w:val="30"/>
          <w:szCs w:val="30"/>
          <w:rtl/>
          <w:lang w:bidi="ar-OM"/>
        </w:rPr>
        <w:t xml:space="preserve">. </w:t>
      </w:r>
    </w:p>
    <w:p w14:paraId="1B141887" w14:textId="77777777" w:rsidR="009A6623" w:rsidRPr="00EB5BCF" w:rsidRDefault="00AD0557" w:rsidP="009A6623">
      <w:pPr>
        <w:pStyle w:val="BodyText1"/>
        <w:bidi/>
        <w:rPr>
          <w:rFonts w:ascii="Traditional Arabic" w:hAnsi="Traditional Arabic" w:cs="Traditional Arabic"/>
          <w:sz w:val="30"/>
          <w:szCs w:val="30"/>
          <w:rtl/>
        </w:rPr>
      </w:pPr>
      <w:r w:rsidRPr="00EB5BCF">
        <w:rPr>
          <w:rFonts w:ascii="Traditional Arabic" w:hAnsi="Traditional Arabic" w:cs="Traditional Arabic"/>
          <w:b/>
          <w:bCs/>
          <w:sz w:val="30"/>
          <w:szCs w:val="30"/>
          <w:rtl/>
        </w:rPr>
        <w:t>التقريب</w:t>
      </w:r>
    </w:p>
    <w:p w14:paraId="6CFDA4DE" w14:textId="77777777" w:rsidR="00AD0557" w:rsidRDefault="00AD0557" w:rsidP="00AD0557">
      <w:pPr>
        <w:pStyle w:val="BodyText1"/>
        <w:bidi/>
        <w:rPr>
          <w:rFonts w:ascii="Traditional Arabic" w:hAnsi="Traditional Arabic" w:cs="Traditional Arabic"/>
          <w:sz w:val="30"/>
          <w:szCs w:val="30"/>
          <w:rtl/>
          <w:lang w:bidi="ar-EG"/>
        </w:rPr>
      </w:pPr>
      <w:r w:rsidRPr="00EB5BCF">
        <w:rPr>
          <w:rFonts w:ascii="Traditional Arabic" w:hAnsi="Traditional Arabic" w:cs="Traditional Arabic"/>
          <w:sz w:val="30"/>
          <w:szCs w:val="30"/>
          <w:rtl/>
        </w:rPr>
        <w:t xml:space="preserve">بعض بيانات هذه النشرة كالبيانات المالية والإحصائية والمعلومات التشغيلية قد تم تقريبها، ولذا قد تختلف إجمالي البيانات الموضحة في هذه النشرة قليلا </w:t>
      </w:r>
      <w:r w:rsidR="00D83DFA" w:rsidRPr="00EB5BCF">
        <w:rPr>
          <w:rFonts w:ascii="Traditional Arabic" w:hAnsi="Traditional Arabic" w:cs="Traditional Arabic"/>
          <w:sz w:val="30"/>
          <w:szCs w:val="30"/>
          <w:rtl/>
        </w:rPr>
        <w:t xml:space="preserve">عن إجمالي العملية الحسابية الفعلية للبيانات؛ فالنسب المئوية في الجداول قد تم تقريبها أيضا ومن ثم قد لا ينتج عنها </w:t>
      </w:r>
      <w:r w:rsidR="00D22F8B" w:rsidRPr="00EB5BCF">
        <w:rPr>
          <w:rFonts w:ascii="Traditional Arabic" w:hAnsi="Traditional Arabic" w:cs="Traditional Arabic"/>
          <w:sz w:val="30"/>
          <w:szCs w:val="30"/>
          <w:rtl/>
        </w:rPr>
        <w:t>كامل نسبة 100%.</w:t>
      </w:r>
    </w:p>
    <w:p w14:paraId="59AAD0D5" w14:textId="77777777" w:rsidR="00D22F8B" w:rsidRPr="00EB5BCF" w:rsidRDefault="00D22F8B" w:rsidP="00D22F8B">
      <w:pPr>
        <w:pStyle w:val="BodyText1"/>
        <w:bidi/>
        <w:rPr>
          <w:rFonts w:ascii="Traditional Arabic" w:hAnsi="Traditional Arabic" w:cs="Traditional Arabic"/>
          <w:sz w:val="30"/>
          <w:szCs w:val="30"/>
          <w:rtl/>
        </w:rPr>
      </w:pPr>
      <w:r w:rsidRPr="00EB5BCF">
        <w:rPr>
          <w:rFonts w:ascii="Traditional Arabic" w:hAnsi="Traditional Arabic" w:cs="Traditional Arabic"/>
          <w:b/>
          <w:bCs/>
          <w:sz w:val="30"/>
          <w:szCs w:val="30"/>
          <w:rtl/>
        </w:rPr>
        <w:t>عدم الإشارة إلى معلومات الموقع الإلكتروني</w:t>
      </w:r>
    </w:p>
    <w:p w14:paraId="091A62B5" w14:textId="77777777" w:rsidR="00D22F8B" w:rsidRPr="00EB5BCF" w:rsidRDefault="00CD583D" w:rsidP="00D22F8B">
      <w:pPr>
        <w:pStyle w:val="BodyText1"/>
        <w:bidi/>
        <w:rPr>
          <w:rFonts w:ascii="Traditional Arabic" w:hAnsi="Traditional Arabic" w:cs="Traditional Arabic"/>
          <w:sz w:val="30"/>
          <w:szCs w:val="30"/>
          <w:rtl/>
          <w:lang w:bidi="ar-EG"/>
        </w:rPr>
      </w:pPr>
      <w:r w:rsidRPr="00EB5BCF">
        <w:rPr>
          <w:rFonts w:ascii="Traditional Arabic" w:hAnsi="Traditional Arabic" w:cs="Traditional Arabic"/>
          <w:sz w:val="30"/>
          <w:szCs w:val="30"/>
          <w:rtl/>
          <w:lang w:bidi="ar-EG"/>
        </w:rPr>
        <w:t xml:space="preserve">لم يتم التحقق من </w:t>
      </w:r>
      <w:r w:rsidR="00201C4A" w:rsidRPr="00EB5BCF">
        <w:rPr>
          <w:rFonts w:ascii="Traditional Arabic" w:hAnsi="Traditional Arabic" w:cs="Traditional Arabic" w:hint="eastAsia"/>
          <w:sz w:val="30"/>
          <w:szCs w:val="30"/>
          <w:rtl/>
          <w:lang w:bidi="ar-EG"/>
        </w:rPr>
        <w:t>أي</w:t>
      </w:r>
      <w:r w:rsidR="00201C4A" w:rsidRPr="00EB5BCF">
        <w:rPr>
          <w:rFonts w:ascii="Traditional Arabic" w:hAnsi="Traditional Arabic" w:cs="Traditional Arabic"/>
          <w:sz w:val="30"/>
          <w:szCs w:val="30"/>
          <w:rtl/>
          <w:lang w:bidi="ar-EG"/>
        </w:rPr>
        <w:t xml:space="preserve"> </w:t>
      </w:r>
      <w:r w:rsidRPr="00EB5BCF">
        <w:rPr>
          <w:rFonts w:ascii="Traditional Arabic" w:hAnsi="Traditional Arabic" w:cs="Traditional Arabic"/>
          <w:sz w:val="30"/>
          <w:szCs w:val="30"/>
          <w:rtl/>
          <w:lang w:bidi="ar-EG"/>
        </w:rPr>
        <w:t xml:space="preserve">محتويات </w:t>
      </w:r>
      <w:r w:rsidR="00201C4A" w:rsidRPr="00EB5BCF">
        <w:rPr>
          <w:rFonts w:ascii="Traditional Arabic" w:hAnsi="Traditional Arabic" w:cs="Traditional Arabic" w:hint="eastAsia"/>
          <w:sz w:val="30"/>
          <w:szCs w:val="30"/>
          <w:rtl/>
          <w:lang w:bidi="ar-EG"/>
        </w:rPr>
        <w:t>ل</w:t>
      </w:r>
      <w:r w:rsidRPr="00EB5BCF">
        <w:rPr>
          <w:rFonts w:ascii="Traditional Arabic" w:hAnsi="Traditional Arabic" w:cs="Traditional Arabic"/>
          <w:sz w:val="30"/>
          <w:szCs w:val="30"/>
          <w:rtl/>
          <w:lang w:bidi="ar-EG"/>
        </w:rPr>
        <w:t xml:space="preserve">لموقع الإلكتروني للشركة </w:t>
      </w:r>
      <w:r w:rsidR="0014409A" w:rsidRPr="00EB5BCF">
        <w:rPr>
          <w:rFonts w:ascii="Traditional Arabic" w:hAnsi="Traditional Arabic" w:cs="Traditional Arabic"/>
          <w:sz w:val="30"/>
          <w:szCs w:val="30"/>
          <w:rtl/>
          <w:lang w:bidi="ar-EG"/>
        </w:rPr>
        <w:t>ولا محتويات أي موقع أو رابط متصل بشكل مباشر أو غير مباشر بهذه المواقع</w:t>
      </w:r>
      <w:r w:rsidR="00FB7242" w:rsidRPr="00EB5BCF">
        <w:rPr>
          <w:rFonts w:ascii="Traditional Arabic" w:hAnsi="Traditional Arabic" w:cs="Traditional Arabic"/>
          <w:sz w:val="30"/>
          <w:szCs w:val="30"/>
          <w:rtl/>
          <w:lang w:bidi="ar-EG"/>
        </w:rPr>
        <w:t xml:space="preserve"> ولا أي مواقع أخرى يشار إليها في هذه النشرة</w:t>
      </w:r>
      <w:r w:rsidR="0014409A" w:rsidRPr="00EB5BCF">
        <w:rPr>
          <w:rFonts w:ascii="Traditional Arabic" w:hAnsi="Traditional Arabic" w:cs="Traditional Arabic"/>
          <w:sz w:val="30"/>
          <w:szCs w:val="30"/>
          <w:rtl/>
          <w:lang w:bidi="ar-EG"/>
        </w:rPr>
        <w:t>، ولا تُشكل جزءً من هذه النشرة، ولا ينبغي للمستثمرين الاعتماد على مثل هذه المعلومات.</w:t>
      </w:r>
    </w:p>
    <w:p w14:paraId="54497FBC" w14:textId="77777777" w:rsidR="008D619C" w:rsidRPr="00EB5BCF" w:rsidRDefault="008D619C" w:rsidP="008259B2">
      <w:pPr>
        <w:spacing w:after="160" w:line="259" w:lineRule="auto"/>
        <w:rPr>
          <w:rFonts w:ascii="Traditional Arabic" w:hAnsi="Traditional Arabic" w:cs="Traditional Arabic"/>
          <w:sz w:val="30"/>
          <w:szCs w:val="30"/>
          <w:rtl/>
          <w:lang w:bidi="ar-EG"/>
        </w:rPr>
      </w:pPr>
      <w:r w:rsidRPr="00EB5BCF">
        <w:rPr>
          <w:rFonts w:ascii="Traditional Arabic" w:hAnsi="Traditional Arabic" w:cs="Traditional Arabic"/>
          <w:sz w:val="30"/>
          <w:szCs w:val="30"/>
          <w:rtl/>
          <w:lang w:bidi="ar-EG"/>
        </w:rPr>
        <w:br w:type="page"/>
      </w:r>
    </w:p>
    <w:p w14:paraId="22B6422A" w14:textId="77777777" w:rsidR="0014409A" w:rsidRPr="00EB5BCF" w:rsidRDefault="009B360D" w:rsidP="0014409A">
      <w:pPr>
        <w:pStyle w:val="BodyText1"/>
        <w:bidi/>
        <w:spacing w:after="0"/>
        <w:jc w:val="center"/>
        <w:rPr>
          <w:rFonts w:ascii="Traditional Arabic" w:hAnsi="Traditional Arabic" w:cs="Traditional Arabic"/>
          <w:sz w:val="24"/>
          <w:rtl/>
          <w:lang w:bidi="ar-EG"/>
        </w:rPr>
      </w:pPr>
      <w:r>
        <w:rPr>
          <w:rFonts w:ascii="Traditional Arabic" w:hAnsi="Traditional Arabic" w:cs="Traditional Arabic" w:hint="cs"/>
          <w:b/>
          <w:bCs/>
          <w:sz w:val="24"/>
          <w:rtl/>
          <w:lang w:bidi="ar-EG"/>
        </w:rPr>
        <w:lastRenderedPageBreak/>
        <w:t>الفهرس</w:t>
      </w:r>
    </w:p>
    <w:p w14:paraId="45150A31" w14:textId="77777777" w:rsidR="00D85EA6" w:rsidRPr="00DC7B26" w:rsidRDefault="00D85EA6" w:rsidP="00D85EA6">
      <w:pPr>
        <w:pStyle w:val="TOC1"/>
        <w:bidi/>
        <w:ind w:right="0"/>
        <w:rPr>
          <w:rFonts w:ascii="Traditional Arabic" w:eastAsiaTheme="minorEastAsia" w:hAnsi="Traditional Arabic" w:cs="Traditional Arabic"/>
          <w:noProof/>
          <w:sz w:val="24"/>
          <w:rtl/>
          <w:lang w:val="en-GB" w:eastAsia="en-GB"/>
        </w:rPr>
      </w:pPr>
      <w:r w:rsidRPr="00DC7B26">
        <w:rPr>
          <w:rFonts w:ascii="Traditional Arabic" w:hAnsi="Traditional Arabic" w:cs="Traditional Arabic"/>
          <w:bCs/>
          <w:noProof/>
          <w:sz w:val="24"/>
          <w:lang w:val="en-GB"/>
        </w:rPr>
        <w:fldChar w:fldCharType="begin"/>
      </w:r>
      <w:r w:rsidRPr="00DC7B26">
        <w:rPr>
          <w:rFonts w:ascii="Traditional Arabic" w:hAnsi="Traditional Arabic" w:cs="Traditional Arabic"/>
          <w:bCs/>
          <w:noProof/>
          <w:sz w:val="24"/>
          <w:lang w:val="en-GB"/>
        </w:rPr>
        <w:instrText xml:space="preserve"> TOC \z \t "Heading 1,1" </w:instrText>
      </w:r>
      <w:r w:rsidRPr="00DC7B26">
        <w:rPr>
          <w:rFonts w:ascii="Traditional Arabic" w:hAnsi="Traditional Arabic" w:cs="Traditional Arabic"/>
          <w:bCs/>
          <w:noProof/>
          <w:sz w:val="24"/>
          <w:lang w:val="en-GB"/>
        </w:rPr>
        <w:fldChar w:fldCharType="separate"/>
      </w:r>
      <w:r w:rsidRPr="00DC7B26">
        <w:rPr>
          <w:rFonts w:ascii="Traditional Arabic" w:hAnsi="Traditional Arabic" w:cs="Traditional Arabic"/>
          <w:bCs/>
          <w:noProof/>
          <w:sz w:val="24"/>
          <w:rtl/>
          <w:lang w:eastAsia="zh-CN"/>
        </w:rPr>
        <w:t>الفصل الأول: مصطلحات وتعريفات</w:t>
      </w:r>
      <w:r w:rsidRPr="00DC7B26">
        <w:rPr>
          <w:rFonts w:ascii="Traditional Arabic" w:hAnsi="Traditional Arabic" w:cs="Traditional Arabic"/>
          <w:noProof/>
          <w:webHidden/>
          <w:sz w:val="24"/>
        </w:rPr>
        <w:tab/>
      </w:r>
      <w:r w:rsidR="0076177D">
        <w:rPr>
          <w:rFonts w:ascii="Traditional Arabic" w:hAnsi="Traditional Arabic" w:cs="Traditional Arabic" w:hint="cs"/>
          <w:sz w:val="24"/>
          <w:rtl/>
        </w:rPr>
        <w:t>36</w:t>
      </w:r>
    </w:p>
    <w:p w14:paraId="5334D7D6"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i/>
          <w:noProof/>
          <w:sz w:val="24"/>
          <w:rtl/>
          <w:lang w:val="en-GB"/>
        </w:rPr>
        <w:t>الفصل الثاني: معلومات موجزة عن الشركة</w:t>
      </w:r>
      <w:r w:rsidRPr="00DC7B26">
        <w:rPr>
          <w:rFonts w:ascii="Traditional Arabic" w:hAnsi="Traditional Arabic" w:cs="Traditional Arabic"/>
          <w:noProof/>
          <w:webHidden/>
          <w:sz w:val="24"/>
        </w:rPr>
        <w:tab/>
      </w:r>
      <w:r w:rsidR="00AE46EA">
        <w:rPr>
          <w:rFonts w:ascii="Traditional Arabic" w:hAnsi="Traditional Arabic" w:cs="Traditional Arabic" w:hint="cs"/>
          <w:sz w:val="24"/>
          <w:rtl/>
        </w:rPr>
        <w:t>4</w:t>
      </w:r>
      <w:r w:rsidR="004740FB">
        <w:rPr>
          <w:rFonts w:ascii="Traditional Arabic" w:hAnsi="Traditional Arabic" w:cs="Traditional Arabic" w:hint="cs"/>
          <w:sz w:val="24"/>
          <w:rtl/>
        </w:rPr>
        <w:t>8</w:t>
      </w:r>
    </w:p>
    <w:p w14:paraId="2D490502"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lang w:eastAsia="zh-CN"/>
        </w:rPr>
        <w:t>الفصل الثالث: معلومات عامة عن</w:t>
      </w:r>
      <w:r w:rsidRPr="00DC7B26">
        <w:rPr>
          <w:rFonts w:ascii="Traditional Arabic" w:hAnsi="Traditional Arabic" w:cs="Traditional Arabic"/>
          <w:bCs/>
          <w:noProof/>
          <w:sz w:val="24"/>
          <w:lang w:eastAsia="zh-CN"/>
        </w:rPr>
        <w:t xml:space="preserve"> </w:t>
      </w:r>
      <w:r w:rsidRPr="00DC7B26">
        <w:rPr>
          <w:rFonts w:ascii="Traditional Arabic" w:hAnsi="Traditional Arabic" w:cs="Traditional Arabic"/>
          <w:bCs/>
          <w:noProof/>
          <w:sz w:val="24"/>
          <w:rtl/>
          <w:lang w:eastAsia="zh-CN"/>
        </w:rPr>
        <w:t xml:space="preserve"> الطرح والشركة</w:t>
      </w:r>
      <w:r w:rsidRPr="00DC7B26">
        <w:rPr>
          <w:rFonts w:ascii="Traditional Arabic" w:hAnsi="Traditional Arabic" w:cs="Traditional Arabic"/>
          <w:noProof/>
          <w:webHidden/>
          <w:sz w:val="24"/>
        </w:rPr>
        <w:tab/>
      </w:r>
      <w:r w:rsidR="005C1569">
        <w:rPr>
          <w:rFonts w:ascii="Traditional Arabic" w:hAnsi="Traditional Arabic" w:cs="Traditional Arabic" w:hint="cs"/>
          <w:sz w:val="24"/>
          <w:rtl/>
        </w:rPr>
        <w:t>54</w:t>
      </w:r>
    </w:p>
    <w:p w14:paraId="6551F684"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lang w:val="en-GB"/>
        </w:rPr>
        <w:t>الفصل الرابع :</w:t>
      </w:r>
      <w:r w:rsidRPr="00DC7B26">
        <w:rPr>
          <w:rFonts w:ascii="Traditional Arabic" w:hAnsi="Traditional Arabic" w:cs="Traditional Arabic"/>
          <w:bCs/>
          <w:noProof/>
          <w:sz w:val="24"/>
          <w:lang w:val="en-GB"/>
        </w:rPr>
        <w:t xml:space="preserve"> </w:t>
      </w:r>
      <w:r w:rsidRPr="00DC7B26">
        <w:rPr>
          <w:rFonts w:ascii="Traditional Arabic" w:hAnsi="Traditional Arabic" w:cs="Traditional Arabic"/>
          <w:bCs/>
          <w:noProof/>
          <w:sz w:val="24"/>
          <w:rtl/>
          <w:lang w:val="en-GB"/>
        </w:rPr>
        <w:t>عوامل المخاطرة</w:t>
      </w:r>
      <w:r w:rsidRPr="00DC7B26">
        <w:rPr>
          <w:rFonts w:ascii="Traditional Arabic" w:hAnsi="Traditional Arabic" w:cs="Traditional Arabic"/>
          <w:noProof/>
          <w:webHidden/>
          <w:sz w:val="24"/>
        </w:rPr>
        <w:tab/>
      </w:r>
      <w:r w:rsidR="005C1569">
        <w:rPr>
          <w:rFonts w:ascii="Traditional Arabic" w:hAnsi="Traditional Arabic" w:cs="Traditional Arabic" w:hint="cs"/>
          <w:sz w:val="24"/>
          <w:rtl/>
        </w:rPr>
        <w:t>61</w:t>
      </w:r>
    </w:p>
    <w:p w14:paraId="146B0929"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lang w:val="en-GB"/>
        </w:rPr>
        <w:t>الفصل الخامس: استخدام عوائد الطرح</w:t>
      </w:r>
      <w:r w:rsidRPr="00DC7B26">
        <w:rPr>
          <w:rFonts w:ascii="Traditional Arabic" w:hAnsi="Traditional Arabic" w:cs="Traditional Arabic"/>
          <w:noProof/>
          <w:webHidden/>
          <w:sz w:val="24"/>
        </w:rPr>
        <w:tab/>
      </w:r>
      <w:r w:rsidR="005C1569">
        <w:rPr>
          <w:rFonts w:ascii="Traditional Arabic" w:hAnsi="Traditional Arabic" w:cs="Traditional Arabic" w:hint="cs"/>
          <w:sz w:val="24"/>
          <w:rtl/>
        </w:rPr>
        <w:t>104</w:t>
      </w:r>
    </w:p>
    <w:p w14:paraId="694B3040" w14:textId="77777777" w:rsidR="00AC7F41" w:rsidRPr="00DC7B26" w:rsidRDefault="00D85EA6" w:rsidP="008252E9">
      <w:pPr>
        <w:pStyle w:val="TOC1"/>
        <w:tabs>
          <w:tab w:val="clear" w:pos="9360"/>
          <w:tab w:val="right" w:leader="dot" w:pos="9000"/>
        </w:tabs>
        <w:bidi/>
        <w:ind w:right="-90"/>
        <w:rPr>
          <w:rFonts w:ascii="Traditional Arabic" w:hAnsi="Traditional Arabic" w:cs="Traditional Arabic"/>
          <w:bCs/>
          <w:noProof/>
          <w:sz w:val="24"/>
          <w:rtl/>
        </w:rPr>
      </w:pPr>
      <w:r w:rsidRPr="00DC7B26">
        <w:rPr>
          <w:rFonts w:ascii="Traditional Arabic" w:hAnsi="Traditional Arabic" w:cs="Traditional Arabic"/>
          <w:bCs/>
          <w:noProof/>
          <w:sz w:val="24"/>
          <w:rtl/>
        </w:rPr>
        <w:t>الفصل السادس</w:t>
      </w:r>
      <w:r w:rsidRPr="00DC7B26">
        <w:rPr>
          <w:rFonts w:ascii="Traditional Arabic" w:hAnsi="Traditional Arabic" w:cs="Traditional Arabic"/>
          <w:bCs/>
          <w:noProof/>
          <w:sz w:val="24"/>
        </w:rPr>
        <w:t xml:space="preserve">: </w:t>
      </w:r>
      <w:r w:rsidR="00EF753D" w:rsidRPr="00DC7B26">
        <w:rPr>
          <w:rFonts w:ascii="Traditional Arabic" w:hAnsi="Traditional Arabic" w:cs="Traditional Arabic"/>
          <w:bCs/>
          <w:noProof/>
          <w:sz w:val="24"/>
          <w:rtl/>
        </w:rPr>
        <w:t>قيمة الشركة</w:t>
      </w:r>
      <w:r w:rsidR="008252E9" w:rsidRPr="00DC7B26">
        <w:rPr>
          <w:rFonts w:ascii="Traditional Arabic" w:hAnsi="Traditional Arabic" w:cs="Traditional Arabic"/>
          <w:bCs/>
          <w:noProof/>
          <w:sz w:val="24"/>
          <w:rtl/>
        </w:rPr>
        <w:t xml:space="preserve"> ...</w:t>
      </w:r>
      <w:r w:rsidR="002E51FC" w:rsidRPr="00DC7B26">
        <w:rPr>
          <w:rFonts w:ascii="Traditional Arabic" w:hAnsi="Traditional Arabic" w:cs="Traditional Arabic"/>
          <w:bCs/>
          <w:noProof/>
          <w:sz w:val="24"/>
          <w:rtl/>
        </w:rPr>
        <w:t>.......................................................................</w:t>
      </w:r>
      <w:r w:rsidR="008259B2" w:rsidRPr="00DC7B26">
        <w:rPr>
          <w:rFonts w:ascii="Traditional Arabic" w:hAnsi="Traditional Arabic" w:cs="Traditional Arabic"/>
          <w:bCs/>
          <w:noProof/>
          <w:sz w:val="24"/>
          <w:rtl/>
        </w:rPr>
        <w:t>.</w:t>
      </w:r>
      <w:r w:rsidR="002E51FC" w:rsidRPr="00DC7B26">
        <w:rPr>
          <w:rFonts w:ascii="Traditional Arabic" w:hAnsi="Traditional Arabic" w:cs="Traditional Arabic"/>
          <w:bCs/>
          <w:noProof/>
          <w:sz w:val="24"/>
          <w:rtl/>
        </w:rPr>
        <w:t>......</w:t>
      </w:r>
      <w:r w:rsidR="004F49E8" w:rsidRPr="00DC7B26">
        <w:rPr>
          <w:rFonts w:ascii="Traditional Arabic" w:hAnsi="Traditional Arabic" w:cs="Traditional Arabic"/>
          <w:bCs/>
          <w:noProof/>
          <w:sz w:val="24"/>
          <w:rtl/>
        </w:rPr>
        <w:t>.......................</w:t>
      </w:r>
      <w:r w:rsidR="002E51FC" w:rsidRPr="00DC7B26">
        <w:rPr>
          <w:rFonts w:ascii="Traditional Arabic" w:hAnsi="Traditional Arabic" w:cs="Traditional Arabic"/>
          <w:bCs/>
          <w:noProof/>
          <w:sz w:val="24"/>
          <w:rtl/>
        </w:rPr>
        <w:t>.</w:t>
      </w:r>
      <w:r w:rsidR="004F49E8" w:rsidRPr="00DC7B26">
        <w:rPr>
          <w:rFonts w:ascii="Traditional Arabic" w:hAnsi="Traditional Arabic" w:cs="Traditional Arabic"/>
          <w:sz w:val="24"/>
        </w:rPr>
        <w:t xml:space="preserve"> </w:t>
      </w:r>
      <w:r w:rsidR="005C1569">
        <w:rPr>
          <w:rFonts w:ascii="Traditional Arabic" w:hAnsi="Traditional Arabic" w:cs="Traditional Arabic" w:hint="cs"/>
          <w:sz w:val="24"/>
          <w:rtl/>
        </w:rPr>
        <w:t>105</w:t>
      </w:r>
    </w:p>
    <w:p w14:paraId="0486F699" w14:textId="77777777" w:rsidR="00D85EA6" w:rsidRPr="00DC7B26" w:rsidRDefault="00AC7F41" w:rsidP="00AC7F41">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rPr>
        <w:t xml:space="preserve">الفصل السابع: </w:t>
      </w:r>
      <w:r w:rsidR="00D85EA6" w:rsidRPr="00DC7B26">
        <w:rPr>
          <w:rFonts w:ascii="Traditional Arabic" w:hAnsi="Traditional Arabic" w:cs="Traditional Arabic"/>
          <w:bCs/>
          <w:noProof/>
          <w:sz w:val="24"/>
          <w:rtl/>
        </w:rPr>
        <w:t>أهداف الشركة والموافقات الصادرة بشأنها</w:t>
      </w:r>
      <w:r w:rsidR="00D85EA6" w:rsidRPr="00DC7B26">
        <w:rPr>
          <w:rFonts w:ascii="Traditional Arabic" w:hAnsi="Traditional Arabic" w:cs="Traditional Arabic"/>
          <w:noProof/>
          <w:webHidden/>
          <w:sz w:val="24"/>
        </w:rPr>
        <w:tab/>
      </w:r>
      <w:r w:rsidR="00517AC0">
        <w:rPr>
          <w:rFonts w:ascii="Traditional Arabic" w:hAnsi="Traditional Arabic" w:cs="Traditional Arabic" w:hint="cs"/>
          <w:sz w:val="24"/>
          <w:rtl/>
        </w:rPr>
        <w:t>106</w:t>
      </w:r>
    </w:p>
    <w:p w14:paraId="48AEFBE9"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lang w:val="en-GB"/>
        </w:rPr>
        <w:t>الفصل ا</w:t>
      </w:r>
      <w:r w:rsidR="002E51FC" w:rsidRPr="00DC7B26">
        <w:rPr>
          <w:rFonts w:ascii="Traditional Arabic" w:hAnsi="Traditional Arabic" w:cs="Traditional Arabic"/>
          <w:bCs/>
          <w:noProof/>
          <w:sz w:val="24"/>
          <w:rtl/>
          <w:lang w:val="en-GB"/>
        </w:rPr>
        <w:t>لثامن</w:t>
      </w:r>
      <w:r w:rsidRPr="00DC7B26">
        <w:rPr>
          <w:rFonts w:ascii="Traditional Arabic" w:hAnsi="Traditional Arabic" w:cs="Traditional Arabic"/>
          <w:bCs/>
          <w:noProof/>
          <w:sz w:val="24"/>
          <w:lang w:val="en-GB"/>
        </w:rPr>
        <w:t xml:space="preserve"> :</w:t>
      </w:r>
      <w:r w:rsidRPr="00DC7B26">
        <w:rPr>
          <w:rFonts w:ascii="Traditional Arabic" w:hAnsi="Traditional Arabic" w:cs="Traditional Arabic"/>
          <w:bCs/>
          <w:noProof/>
          <w:sz w:val="24"/>
          <w:rtl/>
          <w:lang w:val="en-GB"/>
        </w:rPr>
        <w:t>بيانات المساهمين في الشركة</w:t>
      </w:r>
      <w:r w:rsidRPr="00DC7B26">
        <w:rPr>
          <w:rFonts w:ascii="Traditional Arabic" w:hAnsi="Traditional Arabic" w:cs="Traditional Arabic"/>
          <w:noProof/>
          <w:webHidden/>
          <w:sz w:val="24"/>
        </w:rPr>
        <w:tab/>
      </w:r>
      <w:r w:rsidR="00517AC0">
        <w:rPr>
          <w:rFonts w:ascii="Traditional Arabic" w:hAnsi="Traditional Arabic" w:cs="Traditional Arabic" w:hint="cs"/>
          <w:sz w:val="24"/>
          <w:rtl/>
        </w:rPr>
        <w:t>109</w:t>
      </w:r>
    </w:p>
    <w:p w14:paraId="7C02F98D" w14:textId="77777777" w:rsidR="0004407F" w:rsidRPr="00DC7B26" w:rsidRDefault="00D85EA6" w:rsidP="00522CFA">
      <w:pPr>
        <w:pStyle w:val="TOC1"/>
        <w:bidi/>
        <w:rPr>
          <w:rFonts w:ascii="Traditional Arabic" w:eastAsiaTheme="minorEastAsia" w:hAnsi="Traditional Arabic" w:cs="Traditional Arabic"/>
          <w:noProof/>
          <w:sz w:val="24"/>
          <w:rtl/>
          <w:lang w:val="en-GB" w:eastAsia="en-GB"/>
        </w:rPr>
      </w:pPr>
      <w:r w:rsidRPr="00DC7B26">
        <w:rPr>
          <w:rFonts w:ascii="Traditional Arabic" w:hAnsi="Traditional Arabic" w:cs="Traditional Arabic"/>
          <w:bCs/>
          <w:noProof/>
          <w:kern w:val="28"/>
          <w:sz w:val="24"/>
          <w:rtl/>
          <w:lang w:val="en-GB"/>
        </w:rPr>
        <w:t>الفصل ا</w:t>
      </w:r>
      <w:r w:rsidR="002E51FC" w:rsidRPr="00DC7B26">
        <w:rPr>
          <w:rFonts w:ascii="Traditional Arabic" w:hAnsi="Traditional Arabic" w:cs="Traditional Arabic"/>
          <w:bCs/>
          <w:noProof/>
          <w:kern w:val="28"/>
          <w:sz w:val="24"/>
          <w:rtl/>
          <w:lang w:val="en-GB"/>
        </w:rPr>
        <w:t>لتاسع</w:t>
      </w:r>
      <w:r w:rsidRPr="00DC7B26">
        <w:rPr>
          <w:rFonts w:ascii="Traditional Arabic" w:hAnsi="Traditional Arabic" w:cs="Traditional Arabic"/>
          <w:bCs/>
          <w:noProof/>
          <w:kern w:val="28"/>
          <w:sz w:val="24"/>
          <w:lang w:val="en-GB"/>
        </w:rPr>
        <w:t>:</w:t>
      </w:r>
      <w:r w:rsidR="002E51FC" w:rsidRPr="00DC7B26">
        <w:rPr>
          <w:rFonts w:ascii="Traditional Arabic" w:hAnsi="Traditional Arabic" w:cs="Traditional Arabic"/>
          <w:bCs/>
          <w:noProof/>
          <w:kern w:val="28"/>
          <w:sz w:val="24"/>
          <w:rtl/>
          <w:lang w:val="en-GB"/>
        </w:rPr>
        <w:t xml:space="preserve"> </w:t>
      </w:r>
      <w:r w:rsidRPr="00DC7B26">
        <w:rPr>
          <w:rFonts w:ascii="Traditional Arabic" w:hAnsi="Traditional Arabic" w:cs="Traditional Arabic"/>
          <w:bCs/>
          <w:noProof/>
          <w:kern w:val="28"/>
          <w:sz w:val="24"/>
          <w:rtl/>
          <w:lang w:val="en-GB"/>
        </w:rPr>
        <w:t>نظرة عامة على الاقتصاد العماني</w:t>
      </w:r>
      <w:r w:rsidRPr="00DC7B26">
        <w:rPr>
          <w:rFonts w:ascii="Traditional Arabic" w:hAnsi="Traditional Arabic" w:cs="Traditional Arabic"/>
          <w:noProof/>
          <w:webHidden/>
          <w:sz w:val="24"/>
        </w:rPr>
        <w:tab/>
      </w:r>
      <w:r w:rsidR="005B2DC6">
        <w:rPr>
          <w:rFonts w:ascii="Traditional Arabic" w:hAnsi="Traditional Arabic" w:cs="Traditional Arabic" w:hint="cs"/>
          <w:sz w:val="24"/>
          <w:rtl/>
        </w:rPr>
        <w:t>11</w:t>
      </w:r>
      <w:r w:rsidR="00A65668">
        <w:rPr>
          <w:rFonts w:ascii="Traditional Arabic" w:hAnsi="Traditional Arabic" w:cs="Traditional Arabic" w:hint="cs"/>
          <w:sz w:val="24"/>
          <w:rtl/>
        </w:rPr>
        <w:t>1</w:t>
      </w:r>
    </w:p>
    <w:p w14:paraId="192C833F" w14:textId="77777777" w:rsidR="00D85EA6" w:rsidRPr="00DC7B26" w:rsidRDefault="00D85EA6" w:rsidP="0004407F">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i/>
          <w:noProof/>
          <w:sz w:val="24"/>
          <w:rtl/>
        </w:rPr>
        <w:t>الفصل ال</w:t>
      </w:r>
      <w:r w:rsidR="00E35CEA" w:rsidRPr="00DC7B26">
        <w:rPr>
          <w:rFonts w:ascii="Traditional Arabic" w:hAnsi="Traditional Arabic" w:cs="Traditional Arabic"/>
          <w:bCs/>
          <w:i/>
          <w:noProof/>
          <w:sz w:val="24"/>
          <w:rtl/>
        </w:rPr>
        <w:t>عاشر</w:t>
      </w:r>
      <w:r w:rsidR="00E27740" w:rsidRPr="00DC7B26">
        <w:rPr>
          <w:rFonts w:ascii="Traditional Arabic" w:hAnsi="Traditional Arabic" w:cs="Traditional Arabic" w:hint="cs"/>
          <w:bCs/>
          <w:i/>
          <w:noProof/>
          <w:sz w:val="24"/>
          <w:rtl/>
        </w:rPr>
        <w:t xml:space="preserve">: </w:t>
      </w:r>
      <w:r w:rsidR="00522CFA" w:rsidRPr="00DC7B26">
        <w:rPr>
          <w:rFonts w:ascii="Traditional Arabic" w:hAnsi="Traditional Arabic" w:cs="Traditional Arabic"/>
          <w:bCs/>
          <w:i/>
          <w:noProof/>
          <w:sz w:val="24"/>
          <w:rtl/>
        </w:rPr>
        <w:t>الإطار التنظيمي</w:t>
      </w:r>
      <w:r w:rsidRPr="00DC7B26">
        <w:rPr>
          <w:rFonts w:ascii="Traditional Arabic" w:hAnsi="Traditional Arabic" w:cs="Traditional Arabic"/>
          <w:noProof/>
          <w:webHidden/>
          <w:sz w:val="24"/>
        </w:rPr>
        <w:tab/>
      </w:r>
      <w:r w:rsidR="005B2DC6">
        <w:rPr>
          <w:rFonts w:ascii="Traditional Arabic" w:hAnsi="Traditional Arabic" w:cs="Traditional Arabic" w:hint="cs"/>
          <w:sz w:val="24"/>
          <w:rtl/>
        </w:rPr>
        <w:t>1</w:t>
      </w:r>
      <w:r w:rsidR="00CC6498">
        <w:rPr>
          <w:rFonts w:ascii="Traditional Arabic" w:hAnsi="Traditional Arabic" w:cs="Traditional Arabic" w:hint="cs"/>
          <w:sz w:val="24"/>
          <w:rtl/>
        </w:rPr>
        <w:t>19</w:t>
      </w:r>
    </w:p>
    <w:p w14:paraId="5BB3C673" w14:textId="77777777" w:rsidR="00765FF7" w:rsidRPr="00DC7B26" w:rsidRDefault="00765FF7" w:rsidP="00D85EA6">
      <w:pPr>
        <w:pStyle w:val="TOC1"/>
        <w:bidi/>
        <w:rPr>
          <w:rFonts w:ascii="Traditional Arabic" w:hAnsi="Traditional Arabic" w:cs="Traditional Arabic"/>
          <w:bCs/>
          <w:i/>
          <w:noProof/>
          <w:sz w:val="24"/>
          <w:rtl/>
        </w:rPr>
      </w:pPr>
      <w:r w:rsidRPr="00DC7B26">
        <w:rPr>
          <w:rFonts w:ascii="Traditional Arabic" w:hAnsi="Traditional Arabic" w:cs="Traditional Arabic" w:hint="cs"/>
          <w:bCs/>
          <w:i/>
          <w:noProof/>
          <w:sz w:val="24"/>
          <w:rtl/>
        </w:rPr>
        <w:t xml:space="preserve">الفصل الحادي عشر: </w:t>
      </w:r>
      <w:r w:rsidR="00CB1D8C" w:rsidRPr="00DC7B26">
        <w:rPr>
          <w:rFonts w:ascii="Traditional Arabic" w:hAnsi="Traditional Arabic" w:cs="Traditional Arabic" w:hint="cs"/>
          <w:bCs/>
          <w:i/>
          <w:noProof/>
          <w:sz w:val="24"/>
          <w:rtl/>
        </w:rPr>
        <w:t>نظرة عامة علي القطاع</w:t>
      </w:r>
      <w:r w:rsidR="00CB1D8C" w:rsidRPr="00DC7B26">
        <w:rPr>
          <w:rFonts w:ascii="Traditional Arabic" w:hAnsi="Traditional Arabic" w:cs="Traditional Arabic"/>
          <w:noProof/>
          <w:webHidden/>
          <w:sz w:val="24"/>
        </w:rPr>
        <w:tab/>
      </w:r>
      <w:r w:rsidR="003C070C">
        <w:rPr>
          <w:rFonts w:ascii="Traditional Arabic" w:hAnsi="Traditional Arabic" w:cs="Traditional Arabic" w:hint="cs"/>
          <w:sz w:val="24"/>
          <w:rtl/>
        </w:rPr>
        <w:t>12</w:t>
      </w:r>
      <w:r w:rsidR="00CC6498">
        <w:rPr>
          <w:rFonts w:ascii="Traditional Arabic" w:hAnsi="Traditional Arabic" w:cs="Traditional Arabic" w:hint="cs"/>
          <w:sz w:val="24"/>
          <w:rtl/>
        </w:rPr>
        <w:t>3</w:t>
      </w:r>
    </w:p>
    <w:p w14:paraId="1AD11D52" w14:textId="77777777" w:rsidR="00D85EA6" w:rsidRPr="00DC7B26" w:rsidRDefault="00D85EA6" w:rsidP="00765FF7">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i/>
          <w:noProof/>
          <w:sz w:val="24"/>
          <w:rtl/>
        </w:rPr>
        <w:t xml:space="preserve">الفصل </w:t>
      </w:r>
      <w:r w:rsidR="00331AC2" w:rsidRPr="00DC7B26">
        <w:rPr>
          <w:rFonts w:ascii="Traditional Arabic" w:hAnsi="Traditional Arabic" w:cs="Traditional Arabic" w:hint="cs"/>
          <w:bCs/>
          <w:i/>
          <w:noProof/>
          <w:sz w:val="24"/>
          <w:rtl/>
        </w:rPr>
        <w:t>الثاني</w:t>
      </w:r>
      <w:r w:rsidR="00331AC2" w:rsidRPr="00DC7B26">
        <w:rPr>
          <w:rFonts w:ascii="Traditional Arabic" w:hAnsi="Traditional Arabic" w:cs="Traditional Arabic"/>
          <w:bCs/>
          <w:i/>
          <w:noProof/>
          <w:sz w:val="24"/>
          <w:rtl/>
        </w:rPr>
        <w:t xml:space="preserve"> </w:t>
      </w:r>
      <w:r w:rsidR="00E35CEA" w:rsidRPr="00DC7B26">
        <w:rPr>
          <w:rFonts w:ascii="Traditional Arabic" w:hAnsi="Traditional Arabic" w:cs="Traditional Arabic"/>
          <w:bCs/>
          <w:i/>
          <w:noProof/>
          <w:sz w:val="24"/>
          <w:rtl/>
        </w:rPr>
        <w:t>عشر</w:t>
      </w:r>
      <w:r w:rsidRPr="00DC7B26">
        <w:rPr>
          <w:rFonts w:ascii="Traditional Arabic" w:hAnsi="Traditional Arabic" w:cs="Traditional Arabic"/>
          <w:bCs/>
          <w:i/>
          <w:noProof/>
          <w:sz w:val="24"/>
        </w:rPr>
        <w:t xml:space="preserve">: </w:t>
      </w:r>
      <w:r w:rsidRPr="00DC7B26">
        <w:rPr>
          <w:rFonts w:ascii="Traditional Arabic" w:hAnsi="Traditional Arabic" w:cs="Traditional Arabic"/>
          <w:bCs/>
          <w:i/>
          <w:noProof/>
          <w:sz w:val="24"/>
          <w:rtl/>
        </w:rPr>
        <w:t>وصف الشركة ونظرة عامة على الأعمال</w:t>
      </w:r>
      <w:r w:rsidRPr="00DC7B26">
        <w:rPr>
          <w:rFonts w:ascii="Traditional Arabic" w:hAnsi="Traditional Arabic" w:cs="Traditional Arabic"/>
          <w:noProof/>
          <w:webHidden/>
          <w:sz w:val="24"/>
        </w:rPr>
        <w:tab/>
      </w:r>
      <w:r w:rsidR="003C070C">
        <w:rPr>
          <w:rFonts w:ascii="Traditional Arabic" w:hAnsi="Traditional Arabic" w:cs="Traditional Arabic" w:hint="cs"/>
          <w:sz w:val="24"/>
          <w:rtl/>
        </w:rPr>
        <w:t>19</w:t>
      </w:r>
      <w:r w:rsidR="00CC6498">
        <w:rPr>
          <w:rFonts w:ascii="Traditional Arabic" w:hAnsi="Traditional Arabic" w:cs="Traditional Arabic" w:hint="cs"/>
          <w:sz w:val="24"/>
          <w:rtl/>
        </w:rPr>
        <w:t>3</w:t>
      </w:r>
    </w:p>
    <w:p w14:paraId="635E89B6"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lang w:val="en-GB"/>
        </w:rPr>
        <w:t xml:space="preserve">الفصل </w:t>
      </w:r>
      <w:r w:rsidR="00331AC2" w:rsidRPr="00DC7B26">
        <w:rPr>
          <w:rFonts w:ascii="Traditional Arabic" w:hAnsi="Traditional Arabic" w:cs="Traditional Arabic" w:hint="cs"/>
          <w:bCs/>
          <w:noProof/>
          <w:sz w:val="24"/>
          <w:rtl/>
          <w:lang w:val="en-GB"/>
        </w:rPr>
        <w:t>الثالث</w:t>
      </w:r>
      <w:r w:rsidR="00331AC2" w:rsidRPr="00DC7B26">
        <w:rPr>
          <w:rFonts w:ascii="Traditional Arabic" w:hAnsi="Traditional Arabic" w:cs="Traditional Arabic"/>
          <w:bCs/>
          <w:noProof/>
          <w:sz w:val="24"/>
          <w:rtl/>
          <w:lang w:val="en-GB"/>
        </w:rPr>
        <w:t xml:space="preserve"> </w:t>
      </w:r>
      <w:r w:rsidRPr="00DC7B26">
        <w:rPr>
          <w:rFonts w:ascii="Traditional Arabic" w:hAnsi="Traditional Arabic" w:cs="Traditional Arabic"/>
          <w:bCs/>
          <w:noProof/>
          <w:sz w:val="24"/>
          <w:rtl/>
          <w:lang w:val="en-GB"/>
        </w:rPr>
        <w:t>عشر</w:t>
      </w:r>
      <w:r w:rsidRPr="00DC7B26">
        <w:rPr>
          <w:rFonts w:ascii="Traditional Arabic" w:hAnsi="Traditional Arabic" w:cs="Traditional Arabic"/>
          <w:bCs/>
          <w:noProof/>
          <w:sz w:val="24"/>
          <w:lang w:val="en-GB"/>
        </w:rPr>
        <w:t xml:space="preserve">: </w:t>
      </w:r>
      <w:r w:rsidRPr="00DC7B26">
        <w:rPr>
          <w:rFonts w:ascii="Traditional Arabic" w:hAnsi="Traditional Arabic" w:cs="Traditional Arabic"/>
          <w:bCs/>
          <w:noProof/>
          <w:sz w:val="24"/>
          <w:rtl/>
          <w:lang w:val="en-GB"/>
        </w:rPr>
        <w:t xml:space="preserve"> بيانات مالية </w:t>
      </w:r>
      <w:r w:rsidR="003C070C">
        <w:rPr>
          <w:rFonts w:ascii="Traditional Arabic" w:hAnsi="Traditional Arabic" w:cs="Traditional Arabic" w:hint="cs"/>
          <w:bCs/>
          <w:noProof/>
          <w:sz w:val="24"/>
          <w:rtl/>
          <w:lang w:val="en-GB"/>
        </w:rPr>
        <w:t xml:space="preserve">وتشغيلية </w:t>
      </w:r>
      <w:r w:rsidRPr="00DC7B26">
        <w:rPr>
          <w:rFonts w:ascii="Traditional Arabic" w:hAnsi="Traditional Arabic" w:cs="Traditional Arabic"/>
          <w:bCs/>
          <w:noProof/>
          <w:sz w:val="24"/>
          <w:rtl/>
          <w:lang w:val="en-GB"/>
        </w:rPr>
        <w:t>مختارة</w:t>
      </w:r>
      <w:r w:rsidRPr="00DC7B26">
        <w:rPr>
          <w:rFonts w:ascii="Traditional Arabic" w:hAnsi="Traditional Arabic" w:cs="Traditional Arabic"/>
          <w:noProof/>
          <w:webHidden/>
          <w:sz w:val="24"/>
        </w:rPr>
        <w:tab/>
      </w:r>
      <w:r w:rsidR="003C070C">
        <w:rPr>
          <w:rFonts w:ascii="Traditional Arabic" w:hAnsi="Traditional Arabic" w:cs="Traditional Arabic" w:hint="cs"/>
          <w:sz w:val="24"/>
          <w:rtl/>
        </w:rPr>
        <w:t>26</w:t>
      </w:r>
      <w:r w:rsidR="00CC6498">
        <w:rPr>
          <w:rFonts w:ascii="Traditional Arabic" w:hAnsi="Traditional Arabic" w:cs="Traditional Arabic" w:hint="cs"/>
          <w:sz w:val="24"/>
          <w:rtl/>
        </w:rPr>
        <w:t>2</w:t>
      </w:r>
    </w:p>
    <w:p w14:paraId="3CD5EA6D"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lang w:val="en-GB"/>
        </w:rPr>
        <w:t xml:space="preserve">الفصل </w:t>
      </w:r>
      <w:r w:rsidR="00DC7B26" w:rsidRPr="00DC7B26">
        <w:rPr>
          <w:rFonts w:ascii="Traditional Arabic" w:hAnsi="Traditional Arabic" w:cs="Traditional Arabic" w:hint="cs"/>
          <w:bCs/>
          <w:noProof/>
          <w:sz w:val="24"/>
          <w:rtl/>
          <w:lang w:val="en-GB"/>
        </w:rPr>
        <w:t>الرابع</w:t>
      </w:r>
      <w:r w:rsidR="00DC7B26" w:rsidRPr="00DC7B26">
        <w:rPr>
          <w:rFonts w:ascii="Traditional Arabic" w:hAnsi="Traditional Arabic" w:cs="Traditional Arabic"/>
          <w:bCs/>
          <w:noProof/>
          <w:sz w:val="24"/>
          <w:rtl/>
          <w:lang w:val="en-GB"/>
        </w:rPr>
        <w:t xml:space="preserve"> </w:t>
      </w:r>
      <w:r w:rsidRPr="00DC7B26">
        <w:rPr>
          <w:rFonts w:ascii="Traditional Arabic" w:hAnsi="Traditional Arabic" w:cs="Traditional Arabic"/>
          <w:bCs/>
          <w:noProof/>
          <w:sz w:val="24"/>
          <w:rtl/>
          <w:lang w:val="en-GB"/>
        </w:rPr>
        <w:t xml:space="preserve">عشر: </w:t>
      </w:r>
      <w:r w:rsidR="00DB5EF7" w:rsidRPr="00DC7B26">
        <w:rPr>
          <w:rFonts w:ascii="Traditional Arabic" w:hAnsi="Traditional Arabic" w:cs="Traditional Arabic" w:hint="eastAsia"/>
          <w:bCs/>
          <w:noProof/>
          <w:sz w:val="24"/>
          <w:rtl/>
          <w:lang w:val="en-GB"/>
        </w:rPr>
        <w:t>مناقشة</w:t>
      </w:r>
      <w:r w:rsidR="00DB5EF7" w:rsidRPr="00DC7B26">
        <w:rPr>
          <w:rFonts w:ascii="Traditional Arabic" w:hAnsi="Traditional Arabic" w:cs="Traditional Arabic"/>
          <w:bCs/>
          <w:noProof/>
          <w:sz w:val="24"/>
          <w:rtl/>
          <w:lang w:val="en-GB"/>
        </w:rPr>
        <w:t xml:space="preserve"> </w:t>
      </w:r>
      <w:r w:rsidR="00DB5EF7" w:rsidRPr="00DC7B26">
        <w:rPr>
          <w:rFonts w:ascii="Traditional Arabic" w:hAnsi="Traditional Arabic" w:cs="Traditional Arabic" w:hint="eastAsia"/>
          <w:bCs/>
          <w:noProof/>
          <w:sz w:val="24"/>
          <w:rtl/>
          <w:lang w:val="en-GB"/>
        </w:rPr>
        <w:t>الإدارة</w:t>
      </w:r>
      <w:r w:rsidR="00DB5EF7" w:rsidRPr="00DC7B26">
        <w:rPr>
          <w:rFonts w:ascii="Traditional Arabic" w:hAnsi="Traditional Arabic" w:cs="Traditional Arabic"/>
          <w:bCs/>
          <w:noProof/>
          <w:sz w:val="24"/>
          <w:rtl/>
          <w:lang w:val="en-GB"/>
        </w:rPr>
        <w:t xml:space="preserve"> </w:t>
      </w:r>
      <w:r w:rsidR="00DB5EF7" w:rsidRPr="00DC7B26">
        <w:rPr>
          <w:rFonts w:ascii="Traditional Arabic" w:hAnsi="Traditional Arabic" w:cs="Traditional Arabic" w:hint="eastAsia"/>
          <w:bCs/>
          <w:noProof/>
          <w:sz w:val="24"/>
          <w:rtl/>
          <w:lang w:val="en-GB"/>
        </w:rPr>
        <w:t>وتحليلها</w:t>
      </w:r>
      <w:r w:rsidR="00DB5EF7" w:rsidRPr="00DC7B26">
        <w:rPr>
          <w:rFonts w:ascii="Traditional Arabic" w:hAnsi="Traditional Arabic" w:cs="Traditional Arabic"/>
          <w:bCs/>
          <w:noProof/>
          <w:sz w:val="24"/>
          <w:rtl/>
          <w:lang w:val="en-GB"/>
        </w:rPr>
        <w:t xml:space="preserve"> </w:t>
      </w:r>
      <w:r w:rsidR="00DB5EF7" w:rsidRPr="00DC7B26">
        <w:rPr>
          <w:rFonts w:ascii="Traditional Arabic" w:hAnsi="Traditional Arabic" w:cs="Traditional Arabic" w:hint="eastAsia"/>
          <w:bCs/>
          <w:noProof/>
          <w:sz w:val="24"/>
          <w:rtl/>
          <w:lang w:val="en-GB"/>
        </w:rPr>
        <w:t>للوضع</w:t>
      </w:r>
      <w:r w:rsidR="00DB5EF7" w:rsidRPr="00DC7B26">
        <w:rPr>
          <w:rFonts w:ascii="Traditional Arabic" w:hAnsi="Traditional Arabic" w:cs="Traditional Arabic"/>
          <w:bCs/>
          <w:noProof/>
          <w:sz w:val="24"/>
          <w:rtl/>
          <w:lang w:val="en-GB"/>
        </w:rPr>
        <w:t xml:space="preserve"> </w:t>
      </w:r>
      <w:r w:rsidR="00DB5EF7" w:rsidRPr="00DC7B26">
        <w:rPr>
          <w:rFonts w:ascii="Traditional Arabic" w:hAnsi="Traditional Arabic" w:cs="Traditional Arabic" w:hint="eastAsia"/>
          <w:bCs/>
          <w:noProof/>
          <w:sz w:val="24"/>
          <w:rtl/>
          <w:lang w:val="en-GB"/>
        </w:rPr>
        <w:t>المالي</w:t>
      </w:r>
      <w:r w:rsidR="00DB5EF7" w:rsidRPr="00DC7B26">
        <w:rPr>
          <w:rFonts w:ascii="Traditional Arabic" w:hAnsi="Traditional Arabic" w:cs="Traditional Arabic"/>
          <w:bCs/>
          <w:noProof/>
          <w:sz w:val="24"/>
          <w:rtl/>
          <w:lang w:val="en-GB"/>
        </w:rPr>
        <w:t xml:space="preserve"> </w:t>
      </w:r>
      <w:r w:rsidR="00DB5EF7" w:rsidRPr="00DC7B26">
        <w:rPr>
          <w:rFonts w:ascii="Traditional Arabic" w:hAnsi="Traditional Arabic" w:cs="Traditional Arabic" w:hint="eastAsia"/>
          <w:bCs/>
          <w:noProof/>
          <w:sz w:val="24"/>
          <w:rtl/>
          <w:lang w:val="en-GB"/>
        </w:rPr>
        <w:t>ونتائج</w:t>
      </w:r>
      <w:r w:rsidR="00DB5EF7" w:rsidRPr="00DC7B26">
        <w:rPr>
          <w:rFonts w:ascii="Traditional Arabic" w:hAnsi="Traditional Arabic" w:cs="Traditional Arabic"/>
          <w:bCs/>
          <w:noProof/>
          <w:sz w:val="24"/>
          <w:rtl/>
          <w:lang w:val="en-GB"/>
        </w:rPr>
        <w:t xml:space="preserve"> </w:t>
      </w:r>
      <w:r w:rsidR="00DB5EF7" w:rsidRPr="00DC7B26">
        <w:rPr>
          <w:rFonts w:ascii="Traditional Arabic" w:hAnsi="Traditional Arabic" w:cs="Traditional Arabic" w:hint="eastAsia"/>
          <w:bCs/>
          <w:noProof/>
          <w:sz w:val="24"/>
          <w:rtl/>
          <w:lang w:val="en-GB"/>
        </w:rPr>
        <w:t>الأعمال</w:t>
      </w:r>
      <w:r w:rsidRPr="00DC7B26">
        <w:rPr>
          <w:rFonts w:ascii="Traditional Arabic" w:hAnsi="Traditional Arabic" w:cs="Traditional Arabic"/>
          <w:noProof/>
          <w:webHidden/>
          <w:sz w:val="24"/>
        </w:rPr>
        <w:tab/>
      </w:r>
      <w:r w:rsidR="003C070C">
        <w:rPr>
          <w:rFonts w:ascii="Traditional Arabic" w:hAnsi="Traditional Arabic" w:cs="Traditional Arabic" w:hint="cs"/>
          <w:sz w:val="24"/>
          <w:rtl/>
        </w:rPr>
        <w:t>28</w:t>
      </w:r>
      <w:r w:rsidR="009973B5">
        <w:rPr>
          <w:rFonts w:ascii="Traditional Arabic" w:hAnsi="Traditional Arabic" w:cs="Traditional Arabic" w:hint="cs"/>
          <w:sz w:val="24"/>
          <w:rtl/>
        </w:rPr>
        <w:t>4</w:t>
      </w:r>
    </w:p>
    <w:p w14:paraId="758F333B"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i/>
          <w:noProof/>
          <w:sz w:val="24"/>
          <w:rtl/>
          <w:lang w:val="en-GB" w:bidi="ar-OM"/>
        </w:rPr>
        <w:t xml:space="preserve">الفصل </w:t>
      </w:r>
      <w:r w:rsidR="00DC7B26" w:rsidRPr="00DC7B26">
        <w:rPr>
          <w:rFonts w:ascii="Traditional Arabic" w:hAnsi="Traditional Arabic" w:cs="Traditional Arabic" w:hint="cs"/>
          <w:bCs/>
          <w:i/>
          <w:noProof/>
          <w:sz w:val="24"/>
          <w:rtl/>
          <w:lang w:val="en-GB" w:bidi="ar-OM"/>
        </w:rPr>
        <w:t>الخامس</w:t>
      </w:r>
      <w:r w:rsidR="00DC7B26" w:rsidRPr="00DC7B26">
        <w:rPr>
          <w:rFonts w:ascii="Traditional Arabic" w:hAnsi="Traditional Arabic" w:cs="Traditional Arabic"/>
          <w:bCs/>
          <w:i/>
          <w:noProof/>
          <w:sz w:val="24"/>
          <w:rtl/>
          <w:lang w:val="en-GB" w:bidi="ar-OM"/>
        </w:rPr>
        <w:t xml:space="preserve"> </w:t>
      </w:r>
      <w:r w:rsidRPr="00DC7B26">
        <w:rPr>
          <w:rFonts w:ascii="Traditional Arabic" w:hAnsi="Traditional Arabic" w:cs="Traditional Arabic"/>
          <w:bCs/>
          <w:i/>
          <w:noProof/>
          <w:sz w:val="24"/>
          <w:rtl/>
          <w:lang w:val="en-GB" w:bidi="ar-OM"/>
        </w:rPr>
        <w:t>عشر</w:t>
      </w:r>
      <w:r w:rsidRPr="00DC7B26">
        <w:rPr>
          <w:rFonts w:ascii="Traditional Arabic" w:hAnsi="Traditional Arabic" w:cs="Traditional Arabic"/>
          <w:bCs/>
          <w:i/>
          <w:noProof/>
          <w:sz w:val="24"/>
          <w:lang w:val="en-GB" w:bidi="ar-OM"/>
        </w:rPr>
        <w:t xml:space="preserve">: </w:t>
      </w:r>
      <w:r w:rsidRPr="00DC7B26">
        <w:rPr>
          <w:rFonts w:ascii="Traditional Arabic" w:hAnsi="Traditional Arabic" w:cs="Traditional Arabic"/>
          <w:bCs/>
          <w:i/>
          <w:noProof/>
          <w:sz w:val="24"/>
          <w:rtl/>
          <w:lang w:val="en-GB" w:bidi="ar-OM"/>
        </w:rPr>
        <w:t>سياسة توزيع الأرباح</w:t>
      </w:r>
      <w:r w:rsidRPr="00DC7B26">
        <w:rPr>
          <w:rFonts w:ascii="Traditional Arabic" w:hAnsi="Traditional Arabic" w:cs="Traditional Arabic"/>
          <w:noProof/>
          <w:webHidden/>
          <w:sz w:val="24"/>
        </w:rPr>
        <w:tab/>
      </w:r>
      <w:r w:rsidR="009973B5">
        <w:rPr>
          <w:rFonts w:ascii="Traditional Arabic" w:hAnsi="Traditional Arabic" w:cs="Traditional Arabic" w:hint="cs"/>
          <w:sz w:val="24"/>
          <w:rtl/>
        </w:rPr>
        <w:t>340</w:t>
      </w:r>
    </w:p>
    <w:p w14:paraId="11AD6442"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lang w:val="en-GB"/>
        </w:rPr>
        <w:t xml:space="preserve">الفصل </w:t>
      </w:r>
      <w:r w:rsidR="00DC7B26" w:rsidRPr="00DC7B26">
        <w:rPr>
          <w:rFonts w:ascii="Traditional Arabic" w:hAnsi="Traditional Arabic" w:cs="Traditional Arabic" w:hint="cs"/>
          <w:bCs/>
          <w:noProof/>
          <w:sz w:val="24"/>
          <w:rtl/>
          <w:lang w:val="en-GB"/>
        </w:rPr>
        <w:t>السادس</w:t>
      </w:r>
      <w:r w:rsidR="00DC7B26" w:rsidRPr="00DC7B26">
        <w:rPr>
          <w:rFonts w:ascii="Traditional Arabic" w:hAnsi="Traditional Arabic" w:cs="Traditional Arabic"/>
          <w:bCs/>
          <w:noProof/>
          <w:sz w:val="24"/>
          <w:rtl/>
          <w:lang w:val="en-GB"/>
        </w:rPr>
        <w:t xml:space="preserve"> </w:t>
      </w:r>
      <w:r w:rsidRPr="00DC7B26">
        <w:rPr>
          <w:rFonts w:ascii="Traditional Arabic" w:hAnsi="Traditional Arabic" w:cs="Traditional Arabic"/>
          <w:bCs/>
          <w:noProof/>
          <w:sz w:val="24"/>
          <w:rtl/>
          <w:lang w:val="en-GB"/>
        </w:rPr>
        <w:t xml:space="preserve">عشر: </w:t>
      </w:r>
      <w:r w:rsidR="00F51932" w:rsidRPr="00DC7B26">
        <w:rPr>
          <w:rFonts w:ascii="Traditional Arabic" w:hAnsi="Traditional Arabic" w:cs="Traditional Arabic"/>
          <w:bCs/>
          <w:noProof/>
          <w:sz w:val="24"/>
          <w:rtl/>
          <w:lang w:val="en-GB"/>
        </w:rPr>
        <w:t>ت</w:t>
      </w:r>
      <w:r w:rsidRPr="00DC7B26">
        <w:rPr>
          <w:rFonts w:ascii="Traditional Arabic" w:hAnsi="Traditional Arabic" w:cs="Traditional Arabic"/>
          <w:bCs/>
          <w:noProof/>
          <w:sz w:val="24"/>
          <w:rtl/>
          <w:lang w:val="en-GB"/>
        </w:rPr>
        <w:t>عاملات الأطراف ذات العلاقة والعقود الرئيسة</w:t>
      </w:r>
      <w:r w:rsidRPr="00DC7B26">
        <w:rPr>
          <w:rFonts w:ascii="Traditional Arabic" w:hAnsi="Traditional Arabic" w:cs="Traditional Arabic"/>
          <w:noProof/>
          <w:webHidden/>
          <w:sz w:val="24"/>
        </w:rPr>
        <w:tab/>
      </w:r>
      <w:r w:rsidR="009973B5">
        <w:rPr>
          <w:rFonts w:ascii="Traditional Arabic" w:hAnsi="Traditional Arabic" w:cs="Traditional Arabic" w:hint="cs"/>
          <w:sz w:val="24"/>
          <w:rtl/>
        </w:rPr>
        <w:t>343</w:t>
      </w:r>
    </w:p>
    <w:p w14:paraId="43EBFB56"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lang w:val="en-GB"/>
        </w:rPr>
        <w:t xml:space="preserve">الفصل </w:t>
      </w:r>
      <w:r w:rsidR="00DC7B26" w:rsidRPr="00DC7B26">
        <w:rPr>
          <w:rFonts w:ascii="Traditional Arabic" w:hAnsi="Traditional Arabic" w:cs="Traditional Arabic" w:hint="cs"/>
          <w:bCs/>
          <w:noProof/>
          <w:sz w:val="24"/>
          <w:rtl/>
          <w:lang w:val="en-GB"/>
        </w:rPr>
        <w:t>السابع</w:t>
      </w:r>
      <w:r w:rsidR="00DC7B26" w:rsidRPr="00DC7B26">
        <w:rPr>
          <w:rFonts w:ascii="Traditional Arabic" w:hAnsi="Traditional Arabic" w:cs="Traditional Arabic"/>
          <w:bCs/>
          <w:noProof/>
          <w:sz w:val="24"/>
          <w:rtl/>
          <w:lang w:val="en-GB"/>
        </w:rPr>
        <w:t xml:space="preserve"> </w:t>
      </w:r>
      <w:r w:rsidRPr="00DC7B26">
        <w:rPr>
          <w:rFonts w:ascii="Traditional Arabic" w:hAnsi="Traditional Arabic" w:cs="Traditional Arabic"/>
          <w:bCs/>
          <w:noProof/>
          <w:sz w:val="24"/>
          <w:rtl/>
          <w:lang w:val="en-GB"/>
        </w:rPr>
        <w:t xml:space="preserve">عشر: تنظيم </w:t>
      </w:r>
      <w:r w:rsidR="00B907A6" w:rsidRPr="00DC7B26">
        <w:rPr>
          <w:rFonts w:ascii="Traditional Arabic" w:hAnsi="Traditional Arabic" w:cs="Traditional Arabic"/>
          <w:bCs/>
          <w:noProof/>
          <w:sz w:val="24"/>
          <w:rtl/>
          <w:lang w:val="en-GB"/>
        </w:rPr>
        <w:t>الشركة وإدارتها</w:t>
      </w:r>
      <w:r w:rsidRPr="00DC7B26">
        <w:rPr>
          <w:rFonts w:ascii="Traditional Arabic" w:hAnsi="Traditional Arabic" w:cs="Traditional Arabic"/>
          <w:noProof/>
          <w:webHidden/>
          <w:sz w:val="24"/>
        </w:rPr>
        <w:tab/>
      </w:r>
      <w:r w:rsidR="009973B5">
        <w:rPr>
          <w:rFonts w:ascii="Traditional Arabic" w:hAnsi="Traditional Arabic" w:cs="Traditional Arabic" w:hint="cs"/>
          <w:sz w:val="24"/>
          <w:rtl/>
        </w:rPr>
        <w:t>345</w:t>
      </w:r>
    </w:p>
    <w:p w14:paraId="4F15F765" w14:textId="77777777" w:rsidR="00D85EA6" w:rsidRPr="00DC7B26" w:rsidRDefault="00D85EA6" w:rsidP="00D85EA6">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lang w:val="en-GB"/>
        </w:rPr>
        <w:t xml:space="preserve">الفصل </w:t>
      </w:r>
      <w:r w:rsidR="00DC7B26" w:rsidRPr="00DC7B26">
        <w:rPr>
          <w:rFonts w:ascii="Traditional Arabic" w:hAnsi="Traditional Arabic" w:cs="Traditional Arabic" w:hint="cs"/>
          <w:bCs/>
          <w:noProof/>
          <w:sz w:val="24"/>
          <w:rtl/>
          <w:lang w:val="en-GB"/>
        </w:rPr>
        <w:t>الثامن</w:t>
      </w:r>
      <w:r w:rsidR="00635D26" w:rsidRPr="00DC7B26">
        <w:rPr>
          <w:rFonts w:ascii="Traditional Arabic" w:hAnsi="Traditional Arabic" w:cs="Traditional Arabic"/>
          <w:bCs/>
          <w:noProof/>
          <w:sz w:val="24"/>
          <w:rtl/>
          <w:lang w:val="en-GB"/>
        </w:rPr>
        <w:t xml:space="preserve"> </w:t>
      </w:r>
      <w:r w:rsidRPr="00DC7B26">
        <w:rPr>
          <w:rFonts w:ascii="Traditional Arabic" w:hAnsi="Traditional Arabic" w:cs="Traditional Arabic"/>
          <w:bCs/>
          <w:noProof/>
          <w:sz w:val="24"/>
          <w:rtl/>
          <w:lang w:val="en-GB"/>
        </w:rPr>
        <w:t xml:space="preserve">عشر: </w:t>
      </w:r>
      <w:r w:rsidRPr="00DC7B26">
        <w:rPr>
          <w:rFonts w:ascii="Traditional Arabic" w:hAnsi="Traditional Arabic" w:cs="Traditional Arabic"/>
          <w:bCs/>
          <w:noProof/>
          <w:sz w:val="24"/>
          <w:rtl/>
          <w:lang w:val="en-GB" w:bidi="ar-OM"/>
        </w:rPr>
        <w:t>حقوق ومسؤوليات المساهمين</w:t>
      </w:r>
      <w:r w:rsidRPr="00DC7B26">
        <w:rPr>
          <w:rFonts w:ascii="Traditional Arabic" w:hAnsi="Traditional Arabic" w:cs="Traditional Arabic"/>
          <w:noProof/>
          <w:webHidden/>
          <w:sz w:val="24"/>
        </w:rPr>
        <w:tab/>
      </w:r>
      <w:r w:rsidR="009973B5">
        <w:rPr>
          <w:rFonts w:ascii="Traditional Arabic" w:hAnsi="Traditional Arabic" w:cs="Traditional Arabic" w:hint="cs"/>
          <w:sz w:val="24"/>
          <w:rtl/>
        </w:rPr>
        <w:t>359</w:t>
      </w:r>
    </w:p>
    <w:p w14:paraId="18C0BFC6" w14:textId="77777777" w:rsidR="00D85EA6" w:rsidRPr="00DC7B26" w:rsidRDefault="00D85EA6" w:rsidP="0069640E">
      <w:pPr>
        <w:pStyle w:val="TOC1"/>
        <w:bidi/>
        <w:rPr>
          <w:rFonts w:ascii="Traditional Arabic" w:eastAsiaTheme="minorEastAsia" w:hAnsi="Traditional Arabic" w:cs="Traditional Arabic"/>
          <w:noProof/>
          <w:sz w:val="24"/>
          <w:lang w:val="en-GB" w:eastAsia="en-GB"/>
        </w:rPr>
      </w:pPr>
      <w:r w:rsidRPr="00DC7B26">
        <w:rPr>
          <w:rFonts w:ascii="Traditional Arabic" w:hAnsi="Traditional Arabic" w:cs="Traditional Arabic"/>
          <w:bCs/>
          <w:noProof/>
          <w:sz w:val="24"/>
          <w:rtl/>
          <w:lang w:val="en-GB"/>
        </w:rPr>
        <w:t xml:space="preserve">الفصل </w:t>
      </w:r>
      <w:r w:rsidR="00DC7B26" w:rsidRPr="00DC7B26">
        <w:rPr>
          <w:rFonts w:ascii="Traditional Arabic" w:hAnsi="Traditional Arabic" w:cs="Traditional Arabic" w:hint="cs"/>
          <w:bCs/>
          <w:noProof/>
          <w:sz w:val="24"/>
          <w:rtl/>
          <w:lang w:val="en-GB"/>
        </w:rPr>
        <w:t>التاسع</w:t>
      </w:r>
      <w:r w:rsidR="00DC7B26" w:rsidRPr="00DC7B26">
        <w:rPr>
          <w:rFonts w:ascii="Traditional Arabic" w:hAnsi="Traditional Arabic" w:cs="Traditional Arabic"/>
          <w:bCs/>
          <w:noProof/>
          <w:sz w:val="24"/>
          <w:rtl/>
          <w:lang w:val="en-GB"/>
        </w:rPr>
        <w:t xml:space="preserve"> </w:t>
      </w:r>
      <w:r w:rsidR="001D0336" w:rsidRPr="00DC7B26">
        <w:rPr>
          <w:rFonts w:ascii="Traditional Arabic" w:hAnsi="Traditional Arabic" w:cs="Traditional Arabic"/>
          <w:bCs/>
          <w:noProof/>
          <w:sz w:val="24"/>
          <w:rtl/>
          <w:lang w:val="en-GB"/>
        </w:rPr>
        <w:t>عشر</w:t>
      </w:r>
      <w:r w:rsidRPr="00DC7B26">
        <w:rPr>
          <w:rFonts w:ascii="Traditional Arabic" w:hAnsi="Traditional Arabic" w:cs="Traditional Arabic"/>
          <w:bCs/>
          <w:noProof/>
          <w:sz w:val="24"/>
          <w:rtl/>
          <w:lang w:val="en-GB"/>
        </w:rPr>
        <w:t>: شروط الاكتتاب وإجراءات</w:t>
      </w:r>
      <w:r w:rsidR="00860976" w:rsidRPr="00DC7B26">
        <w:rPr>
          <w:rFonts w:ascii="Traditional Arabic" w:hAnsi="Traditional Arabic" w:cs="Traditional Arabic" w:hint="eastAsia"/>
          <w:bCs/>
          <w:noProof/>
          <w:sz w:val="24"/>
          <w:rtl/>
          <w:lang w:val="en-GB"/>
        </w:rPr>
        <w:t>ه</w:t>
      </w:r>
      <w:r w:rsidRPr="00DC7B26">
        <w:rPr>
          <w:rFonts w:ascii="Traditional Arabic" w:hAnsi="Traditional Arabic" w:cs="Traditional Arabic"/>
          <w:bCs/>
          <w:noProof/>
          <w:sz w:val="24"/>
          <w:rtl/>
          <w:lang w:val="en-GB"/>
        </w:rPr>
        <w:tab/>
      </w:r>
      <w:r w:rsidR="003C070C">
        <w:rPr>
          <w:rFonts w:ascii="Traditional Arabic" w:hAnsi="Traditional Arabic" w:cs="Traditional Arabic" w:hint="cs"/>
          <w:sz w:val="24"/>
          <w:rtl/>
        </w:rPr>
        <w:t>3</w:t>
      </w:r>
      <w:r w:rsidR="009973B5">
        <w:rPr>
          <w:rFonts w:ascii="Traditional Arabic" w:hAnsi="Traditional Arabic" w:cs="Traditional Arabic" w:hint="cs"/>
          <w:sz w:val="24"/>
          <w:rtl/>
        </w:rPr>
        <w:t>65</w:t>
      </w:r>
    </w:p>
    <w:p w14:paraId="3589DFDA" w14:textId="77777777" w:rsidR="00D85EA6" w:rsidRPr="00DC7B26" w:rsidRDefault="00D85EA6" w:rsidP="00D85EA6">
      <w:pPr>
        <w:pStyle w:val="TOC1"/>
        <w:bidi/>
        <w:rPr>
          <w:rFonts w:ascii="Traditional Arabic" w:hAnsi="Traditional Arabic" w:cs="Traditional Arabic"/>
          <w:sz w:val="24"/>
        </w:rPr>
      </w:pPr>
      <w:r w:rsidRPr="00DC7B26">
        <w:rPr>
          <w:rFonts w:ascii="Traditional Arabic" w:hAnsi="Traditional Arabic" w:cs="Traditional Arabic"/>
          <w:bCs/>
          <w:noProof/>
          <w:sz w:val="24"/>
          <w:rtl/>
          <w:lang w:val="en-GB" w:bidi="ar-OM"/>
        </w:rPr>
        <w:t xml:space="preserve">الفصل </w:t>
      </w:r>
      <w:r w:rsidR="00DC7B26" w:rsidRPr="00DC7B26">
        <w:rPr>
          <w:rFonts w:ascii="Traditional Arabic" w:hAnsi="Traditional Arabic" w:cs="Traditional Arabic" w:hint="cs"/>
          <w:bCs/>
          <w:noProof/>
          <w:sz w:val="24"/>
          <w:rtl/>
          <w:lang w:val="en-GB" w:bidi="ar-OM"/>
        </w:rPr>
        <w:t>العشرون</w:t>
      </w:r>
      <w:r w:rsidRPr="00DC7B26">
        <w:rPr>
          <w:rFonts w:ascii="Traditional Arabic" w:hAnsi="Traditional Arabic" w:cs="Traditional Arabic"/>
          <w:bCs/>
          <w:noProof/>
          <w:sz w:val="24"/>
          <w:rtl/>
          <w:lang w:val="en-GB" w:bidi="ar-OM"/>
        </w:rPr>
        <w:t>:</w:t>
      </w:r>
      <w:r w:rsidR="008259B2" w:rsidRPr="00DC7B26">
        <w:rPr>
          <w:rFonts w:ascii="Traditional Arabic" w:hAnsi="Traditional Arabic" w:cs="Traditional Arabic"/>
          <w:bCs/>
          <w:noProof/>
          <w:sz w:val="24"/>
          <w:rtl/>
          <w:lang w:val="en-GB" w:bidi="ar-OM"/>
        </w:rPr>
        <w:t xml:space="preserve"> الإكتتاب والبيع </w:t>
      </w:r>
      <w:r w:rsidRPr="00DC7B26">
        <w:rPr>
          <w:rFonts w:ascii="Traditional Arabic" w:hAnsi="Traditional Arabic" w:cs="Traditional Arabic"/>
          <w:noProof/>
          <w:webHidden/>
          <w:sz w:val="24"/>
        </w:rPr>
        <w:tab/>
      </w:r>
      <w:r w:rsidR="003C070C">
        <w:rPr>
          <w:rFonts w:ascii="Traditional Arabic" w:hAnsi="Traditional Arabic" w:cs="Traditional Arabic" w:hint="cs"/>
          <w:sz w:val="24"/>
          <w:rtl/>
        </w:rPr>
        <w:t>38</w:t>
      </w:r>
      <w:r w:rsidR="009973B5">
        <w:rPr>
          <w:rFonts w:ascii="Traditional Arabic" w:hAnsi="Traditional Arabic" w:cs="Traditional Arabic" w:hint="cs"/>
          <w:sz w:val="24"/>
          <w:rtl/>
        </w:rPr>
        <w:t>6</w:t>
      </w:r>
    </w:p>
    <w:p w14:paraId="055D8EA2" w14:textId="77777777" w:rsidR="008259B2" w:rsidRPr="00DC7B26" w:rsidRDefault="008259B2" w:rsidP="008259B2">
      <w:pPr>
        <w:pStyle w:val="TOC1"/>
        <w:bidi/>
        <w:rPr>
          <w:rFonts w:ascii="Traditional Arabic" w:hAnsi="Traditional Arabic" w:cs="Traditional Arabic"/>
          <w:sz w:val="24"/>
        </w:rPr>
      </w:pPr>
      <w:r w:rsidRPr="00DC7B26">
        <w:rPr>
          <w:rFonts w:ascii="Traditional Arabic" w:hAnsi="Traditional Arabic" w:cs="Traditional Arabic" w:hint="eastAsia"/>
          <w:bCs/>
          <w:noProof/>
          <w:sz w:val="24"/>
          <w:rtl/>
          <w:lang w:val="en-GB" w:bidi="ar-OM"/>
        </w:rPr>
        <w:lastRenderedPageBreak/>
        <w:t>ال</w:t>
      </w:r>
      <w:r w:rsidRPr="00DC7B26">
        <w:rPr>
          <w:rFonts w:ascii="Traditional Arabic" w:hAnsi="Traditional Arabic" w:cs="Traditional Arabic"/>
          <w:bCs/>
          <w:noProof/>
          <w:sz w:val="24"/>
          <w:rtl/>
          <w:lang w:val="en-GB" w:bidi="ar-OM"/>
        </w:rPr>
        <w:t xml:space="preserve">فصل </w:t>
      </w:r>
      <w:r w:rsidR="00CA3ABB" w:rsidRPr="00DC7B26">
        <w:rPr>
          <w:rFonts w:ascii="Traditional Arabic" w:hAnsi="Traditional Arabic" w:cs="Traditional Arabic" w:hint="eastAsia"/>
          <w:bCs/>
          <w:noProof/>
          <w:sz w:val="24"/>
          <w:rtl/>
          <w:lang w:val="en-GB" w:bidi="ar-OM"/>
        </w:rPr>
        <w:t>الحادي</w:t>
      </w:r>
      <w:r w:rsidR="00CA3ABB" w:rsidRPr="00DC7B26">
        <w:rPr>
          <w:rFonts w:ascii="Traditional Arabic" w:hAnsi="Traditional Arabic" w:cs="Traditional Arabic"/>
          <w:bCs/>
          <w:noProof/>
          <w:sz w:val="24"/>
          <w:rtl/>
          <w:lang w:val="en-GB" w:bidi="ar-OM"/>
        </w:rPr>
        <w:t xml:space="preserve"> </w:t>
      </w:r>
      <w:r w:rsidR="00CA3ABB" w:rsidRPr="00DC7B26">
        <w:rPr>
          <w:rFonts w:ascii="Traditional Arabic" w:hAnsi="Traditional Arabic" w:cs="Traditional Arabic" w:hint="eastAsia"/>
          <w:bCs/>
          <w:noProof/>
          <w:sz w:val="24"/>
          <w:rtl/>
          <w:lang w:val="en-GB" w:bidi="ar-OM"/>
        </w:rPr>
        <w:t>و</w:t>
      </w:r>
      <w:r w:rsidRPr="00DC7B26">
        <w:rPr>
          <w:rFonts w:ascii="Traditional Arabic" w:hAnsi="Traditional Arabic" w:cs="Traditional Arabic" w:hint="eastAsia"/>
          <w:bCs/>
          <w:noProof/>
          <w:sz w:val="24"/>
          <w:rtl/>
          <w:lang w:val="en-GB" w:bidi="ar-OM"/>
        </w:rPr>
        <w:t>العشرون</w:t>
      </w:r>
      <w:r w:rsidRPr="00DC7B26">
        <w:rPr>
          <w:rFonts w:ascii="Traditional Arabic" w:hAnsi="Traditional Arabic" w:cs="Traditional Arabic"/>
          <w:bCs/>
          <w:noProof/>
          <w:sz w:val="24"/>
          <w:rtl/>
          <w:lang w:val="en-GB" w:bidi="ar-OM"/>
        </w:rPr>
        <w:t>: عملية بناء سجل الأوامر</w:t>
      </w:r>
      <w:r w:rsidRPr="00DC7B26">
        <w:rPr>
          <w:rFonts w:ascii="Traditional Arabic" w:hAnsi="Traditional Arabic" w:cs="Traditional Arabic"/>
          <w:noProof/>
          <w:webHidden/>
          <w:sz w:val="24"/>
        </w:rPr>
        <w:tab/>
      </w:r>
      <w:r w:rsidR="00D90907">
        <w:rPr>
          <w:rFonts w:ascii="Traditional Arabic" w:hAnsi="Traditional Arabic" w:cs="Traditional Arabic" w:hint="cs"/>
          <w:sz w:val="24"/>
          <w:rtl/>
        </w:rPr>
        <w:t>392</w:t>
      </w:r>
    </w:p>
    <w:p w14:paraId="7135878F" w14:textId="77777777" w:rsidR="008259B2" w:rsidRPr="00DC7B26" w:rsidRDefault="008259B2" w:rsidP="008259B2">
      <w:pPr>
        <w:pStyle w:val="TOC1"/>
        <w:bidi/>
        <w:rPr>
          <w:rFonts w:ascii="Traditional Arabic" w:hAnsi="Traditional Arabic" w:cs="Traditional Arabic"/>
          <w:sz w:val="24"/>
        </w:rPr>
      </w:pPr>
      <w:r w:rsidRPr="004B3DB4">
        <w:rPr>
          <w:rFonts w:ascii="Traditional Arabic" w:hAnsi="Traditional Arabic" w:cs="Traditional Arabic" w:hint="eastAsia"/>
          <w:bCs/>
          <w:noProof/>
          <w:sz w:val="24"/>
          <w:rtl/>
          <w:lang w:val="en-GB" w:bidi="ar-OM"/>
        </w:rPr>
        <w:t>ال</w:t>
      </w:r>
      <w:r w:rsidRPr="004B3DB4">
        <w:rPr>
          <w:rFonts w:ascii="Traditional Arabic" w:hAnsi="Traditional Arabic" w:cs="Traditional Arabic"/>
          <w:bCs/>
          <w:noProof/>
          <w:sz w:val="24"/>
          <w:rtl/>
          <w:lang w:val="en-GB" w:bidi="ar-OM"/>
        </w:rPr>
        <w:t>فصل ال</w:t>
      </w:r>
      <w:r w:rsidR="00CA3ABB" w:rsidRPr="004B3DB4">
        <w:rPr>
          <w:rFonts w:ascii="Traditional Arabic" w:hAnsi="Traditional Arabic" w:cs="Traditional Arabic" w:hint="eastAsia"/>
          <w:bCs/>
          <w:noProof/>
          <w:sz w:val="24"/>
          <w:rtl/>
          <w:lang w:val="en-GB" w:bidi="ar-OM"/>
        </w:rPr>
        <w:t>ثاني</w:t>
      </w:r>
      <w:r w:rsidRPr="004B3DB4">
        <w:rPr>
          <w:rFonts w:ascii="Traditional Arabic" w:hAnsi="Traditional Arabic" w:cs="Traditional Arabic"/>
          <w:bCs/>
          <w:noProof/>
          <w:sz w:val="24"/>
          <w:rtl/>
          <w:lang w:val="en-GB" w:bidi="ar-OM"/>
        </w:rPr>
        <w:t xml:space="preserve"> </w:t>
      </w:r>
      <w:r w:rsidRPr="004B3DB4">
        <w:rPr>
          <w:rFonts w:ascii="Traditional Arabic" w:hAnsi="Traditional Arabic" w:cs="Traditional Arabic" w:hint="eastAsia"/>
          <w:bCs/>
          <w:noProof/>
          <w:sz w:val="24"/>
          <w:rtl/>
          <w:lang w:val="en-GB" w:bidi="ar-OM"/>
        </w:rPr>
        <w:t>والعشرون</w:t>
      </w:r>
      <w:r w:rsidRPr="004B3DB4">
        <w:rPr>
          <w:rFonts w:ascii="Traditional Arabic" w:hAnsi="Traditional Arabic" w:cs="Traditional Arabic"/>
          <w:bCs/>
          <w:noProof/>
          <w:sz w:val="24"/>
          <w:rtl/>
          <w:lang w:val="en-GB" w:bidi="ar-OM"/>
        </w:rPr>
        <w:t xml:space="preserve">: </w:t>
      </w:r>
      <w:r w:rsidR="00A619CE" w:rsidRPr="00B934CE">
        <w:rPr>
          <w:rFonts w:ascii="Traditional Arabic" w:hAnsi="Traditional Arabic" w:cs="Traditional Arabic" w:hint="cs"/>
          <w:bCs/>
          <w:noProof/>
          <w:sz w:val="24"/>
          <w:rtl/>
          <w:lang w:val="en-GB" w:bidi="ar-OM"/>
        </w:rPr>
        <w:t>منهجيات التقييم</w:t>
      </w:r>
      <w:r w:rsidR="00574611" w:rsidRPr="004B3DB4" w:rsidDel="00574611">
        <w:rPr>
          <w:rFonts w:ascii="Traditional Arabic" w:hAnsi="Traditional Arabic" w:cs="Traditional Arabic"/>
          <w:bCs/>
          <w:noProof/>
          <w:sz w:val="24"/>
          <w:rtl/>
          <w:lang w:val="en-GB" w:bidi="ar-OM"/>
        </w:rPr>
        <w:t xml:space="preserve"> </w:t>
      </w:r>
      <w:r w:rsidRPr="004B3DB4">
        <w:rPr>
          <w:rFonts w:ascii="Traditional Arabic" w:hAnsi="Traditional Arabic" w:cs="Traditional Arabic"/>
          <w:noProof/>
          <w:webHidden/>
          <w:sz w:val="24"/>
        </w:rPr>
        <w:tab/>
      </w:r>
      <w:r w:rsidR="00D90907" w:rsidRPr="004B3DB4">
        <w:rPr>
          <w:rFonts w:ascii="Traditional Arabic" w:hAnsi="Traditional Arabic" w:cs="Traditional Arabic" w:hint="cs"/>
          <w:sz w:val="24"/>
          <w:rtl/>
        </w:rPr>
        <w:t>39</w:t>
      </w:r>
      <w:r w:rsidR="00D90907">
        <w:rPr>
          <w:rFonts w:ascii="Traditional Arabic" w:hAnsi="Traditional Arabic" w:cs="Traditional Arabic" w:hint="cs"/>
          <w:sz w:val="24"/>
          <w:rtl/>
        </w:rPr>
        <w:t>4</w:t>
      </w:r>
    </w:p>
    <w:p w14:paraId="2D9E6752" w14:textId="77777777" w:rsidR="008259B2" w:rsidRPr="00DC7B26" w:rsidRDefault="008259B2" w:rsidP="008259B2">
      <w:pPr>
        <w:pStyle w:val="TOC1"/>
        <w:bidi/>
        <w:rPr>
          <w:rFonts w:ascii="Traditional Arabic" w:hAnsi="Traditional Arabic" w:cs="Traditional Arabic"/>
          <w:sz w:val="24"/>
        </w:rPr>
      </w:pPr>
      <w:r w:rsidRPr="00DC7B26">
        <w:rPr>
          <w:rFonts w:ascii="Traditional Arabic" w:hAnsi="Traditional Arabic" w:cs="Traditional Arabic" w:hint="eastAsia"/>
          <w:bCs/>
          <w:noProof/>
          <w:sz w:val="24"/>
          <w:rtl/>
          <w:lang w:val="en-GB" w:bidi="ar-OM"/>
        </w:rPr>
        <w:t>ال</w:t>
      </w:r>
      <w:r w:rsidRPr="00DC7B26">
        <w:rPr>
          <w:rFonts w:ascii="Traditional Arabic" w:hAnsi="Traditional Arabic" w:cs="Traditional Arabic"/>
          <w:bCs/>
          <w:noProof/>
          <w:sz w:val="24"/>
          <w:rtl/>
          <w:lang w:val="en-GB" w:bidi="ar-OM"/>
        </w:rPr>
        <w:t xml:space="preserve">فصل </w:t>
      </w:r>
      <w:r w:rsidR="00CA3ABB" w:rsidRPr="00DC7B26">
        <w:rPr>
          <w:rFonts w:ascii="Traditional Arabic" w:hAnsi="Traditional Arabic" w:cs="Traditional Arabic"/>
          <w:bCs/>
          <w:noProof/>
          <w:sz w:val="24"/>
          <w:rtl/>
          <w:lang w:val="en-GB" w:bidi="ar-OM"/>
        </w:rPr>
        <w:t>الثا</w:t>
      </w:r>
      <w:r w:rsidR="00CA3ABB" w:rsidRPr="00DC7B26">
        <w:rPr>
          <w:rFonts w:ascii="Traditional Arabic" w:hAnsi="Traditional Arabic" w:cs="Traditional Arabic" w:hint="eastAsia"/>
          <w:bCs/>
          <w:noProof/>
          <w:sz w:val="24"/>
          <w:rtl/>
          <w:lang w:val="en-GB" w:bidi="ar-OM"/>
        </w:rPr>
        <w:t>لث</w:t>
      </w:r>
      <w:r w:rsidR="00CA3ABB" w:rsidRPr="00DC7B26">
        <w:rPr>
          <w:rFonts w:ascii="Traditional Arabic" w:hAnsi="Traditional Arabic" w:cs="Traditional Arabic"/>
          <w:bCs/>
          <w:noProof/>
          <w:sz w:val="24"/>
          <w:rtl/>
          <w:lang w:val="en-GB" w:bidi="ar-OM"/>
        </w:rPr>
        <w:t xml:space="preserve"> </w:t>
      </w:r>
      <w:r w:rsidRPr="00DC7B26">
        <w:rPr>
          <w:rFonts w:ascii="Traditional Arabic" w:hAnsi="Traditional Arabic" w:cs="Traditional Arabic"/>
          <w:bCs/>
          <w:noProof/>
          <w:sz w:val="24"/>
          <w:rtl/>
          <w:lang w:val="en-GB" w:bidi="ar-OM"/>
        </w:rPr>
        <w:t xml:space="preserve">والعشرون: </w:t>
      </w:r>
      <w:r w:rsidR="00F32DCE">
        <w:rPr>
          <w:rFonts w:ascii="Traditional Arabic" w:hAnsi="Traditional Arabic" w:cs="Traditional Arabic" w:hint="cs"/>
          <w:bCs/>
          <w:noProof/>
          <w:sz w:val="24"/>
          <w:rtl/>
          <w:lang w:val="en-GB" w:bidi="ar-OM"/>
        </w:rPr>
        <w:t>الضرائب</w:t>
      </w:r>
      <w:r w:rsidR="00F32DCE" w:rsidRPr="00DC7B26" w:rsidDel="00F32DCE">
        <w:rPr>
          <w:rFonts w:ascii="Traditional Arabic" w:hAnsi="Traditional Arabic" w:cs="Traditional Arabic"/>
          <w:bCs/>
          <w:noProof/>
          <w:sz w:val="24"/>
          <w:rtl/>
          <w:lang w:val="en-GB" w:bidi="ar-OM"/>
        </w:rPr>
        <w:t xml:space="preserve"> </w:t>
      </w:r>
      <w:r w:rsidRPr="00DC7B26">
        <w:rPr>
          <w:rFonts w:ascii="Traditional Arabic" w:hAnsi="Traditional Arabic" w:cs="Traditional Arabic"/>
          <w:noProof/>
          <w:webHidden/>
          <w:sz w:val="24"/>
        </w:rPr>
        <w:tab/>
      </w:r>
      <w:r w:rsidR="00D90907">
        <w:rPr>
          <w:rFonts w:ascii="Traditional Arabic" w:hAnsi="Traditional Arabic" w:cs="Traditional Arabic" w:hint="cs"/>
          <w:sz w:val="24"/>
          <w:rtl/>
        </w:rPr>
        <w:t>398</w:t>
      </w:r>
    </w:p>
    <w:p w14:paraId="30EE7DB2" w14:textId="77777777" w:rsidR="00D440BA" w:rsidRPr="00DC7B26" w:rsidRDefault="00D85EA6" w:rsidP="008252E9">
      <w:pPr>
        <w:pStyle w:val="TOC1"/>
        <w:tabs>
          <w:tab w:val="clear" w:pos="9360"/>
        </w:tabs>
        <w:bidi/>
        <w:ind w:right="-90"/>
        <w:rPr>
          <w:rFonts w:ascii="Traditional Arabic" w:hAnsi="Traditional Arabic" w:cs="Traditional Arabic"/>
          <w:bCs/>
          <w:noProof/>
          <w:sz w:val="24"/>
          <w:rtl/>
          <w:lang w:val="en-GB"/>
        </w:rPr>
      </w:pPr>
      <w:r w:rsidRPr="00DC7B26">
        <w:rPr>
          <w:rFonts w:ascii="Traditional Arabic" w:hAnsi="Traditional Arabic" w:cs="Traditional Arabic"/>
          <w:bCs/>
          <w:noProof/>
          <w:sz w:val="24"/>
          <w:rtl/>
          <w:lang w:val="en-GB"/>
        </w:rPr>
        <w:t>الفصل</w:t>
      </w:r>
      <w:r w:rsidR="008259B2" w:rsidRPr="00DC7B26">
        <w:rPr>
          <w:rFonts w:ascii="Traditional Arabic" w:hAnsi="Traditional Arabic" w:cs="Traditional Arabic"/>
          <w:bCs/>
          <w:noProof/>
          <w:sz w:val="24"/>
          <w:rtl/>
          <w:lang w:val="en-GB"/>
        </w:rPr>
        <w:t xml:space="preserve"> </w:t>
      </w:r>
      <w:r w:rsidR="001C6560" w:rsidRPr="00DC7B26">
        <w:rPr>
          <w:rFonts w:ascii="Traditional Arabic" w:hAnsi="Traditional Arabic" w:cs="Traditional Arabic" w:hint="eastAsia"/>
          <w:bCs/>
          <w:noProof/>
          <w:sz w:val="24"/>
          <w:rtl/>
          <w:lang w:val="en-GB"/>
        </w:rPr>
        <w:t>الرابع</w:t>
      </w:r>
      <w:r w:rsidR="001C6560" w:rsidRPr="00DC7B26">
        <w:rPr>
          <w:rFonts w:ascii="Traditional Arabic" w:hAnsi="Traditional Arabic" w:cs="Traditional Arabic"/>
          <w:bCs/>
          <w:noProof/>
          <w:sz w:val="24"/>
          <w:rtl/>
          <w:lang w:val="en-GB"/>
        </w:rPr>
        <w:t xml:space="preserve"> </w:t>
      </w:r>
      <w:r w:rsidR="00D90907">
        <w:rPr>
          <w:rFonts w:ascii="Traditional Arabic" w:hAnsi="Traditional Arabic" w:cs="Traditional Arabic" w:hint="cs"/>
          <w:bCs/>
          <w:noProof/>
          <w:sz w:val="24"/>
          <w:rtl/>
          <w:lang w:val="en-GB"/>
        </w:rPr>
        <w:t>و</w:t>
      </w:r>
      <w:r w:rsidRPr="00DC7B26">
        <w:rPr>
          <w:rFonts w:ascii="Traditional Arabic" w:hAnsi="Traditional Arabic" w:cs="Traditional Arabic"/>
          <w:bCs/>
          <w:noProof/>
          <w:sz w:val="24"/>
          <w:rtl/>
          <w:lang w:val="en-GB"/>
        </w:rPr>
        <w:t>العشرون</w:t>
      </w:r>
      <w:r w:rsidRPr="00DC7B26">
        <w:rPr>
          <w:rFonts w:ascii="Traditional Arabic" w:hAnsi="Traditional Arabic" w:cs="Traditional Arabic"/>
          <w:bCs/>
          <w:noProof/>
          <w:sz w:val="24"/>
          <w:lang w:val="en-GB"/>
        </w:rPr>
        <w:t>:</w:t>
      </w:r>
      <w:r w:rsidRPr="00DC7B26">
        <w:rPr>
          <w:rFonts w:ascii="Traditional Arabic" w:hAnsi="Traditional Arabic" w:cs="Traditional Arabic"/>
          <w:bCs/>
          <w:noProof/>
          <w:sz w:val="24"/>
          <w:rtl/>
          <w:lang w:val="en-GB"/>
        </w:rPr>
        <w:t xml:space="preserve"> </w:t>
      </w:r>
      <w:r w:rsidR="00140924">
        <w:rPr>
          <w:rFonts w:ascii="Traditional Arabic" w:hAnsi="Traditional Arabic" w:cs="Traditional Arabic" w:hint="cs"/>
          <w:bCs/>
          <w:noProof/>
          <w:sz w:val="24"/>
          <w:rtl/>
          <w:lang w:val="en-GB"/>
        </w:rPr>
        <w:t>المسائل القانونية</w:t>
      </w:r>
      <w:r w:rsidR="00C74E6B" w:rsidRPr="00DC7B26" w:rsidDel="00C74E6B">
        <w:rPr>
          <w:rFonts w:ascii="Traditional Arabic" w:hAnsi="Traditional Arabic" w:cs="Traditional Arabic" w:hint="eastAsia"/>
          <w:bCs/>
          <w:noProof/>
          <w:sz w:val="24"/>
          <w:rtl/>
          <w:lang w:val="en-GB"/>
        </w:rPr>
        <w:t xml:space="preserve"> </w:t>
      </w:r>
      <w:r w:rsidR="00E325AE" w:rsidRPr="00DC7B26">
        <w:rPr>
          <w:rFonts w:ascii="Traditional Arabic" w:hAnsi="Traditional Arabic" w:cs="Traditional Arabic"/>
          <w:bCs/>
          <w:noProof/>
          <w:sz w:val="24"/>
          <w:rtl/>
          <w:lang w:val="en-GB"/>
        </w:rPr>
        <w:t xml:space="preserve"> .</w:t>
      </w:r>
      <w:r w:rsidR="00140924">
        <w:rPr>
          <w:rFonts w:ascii="Traditional Arabic" w:hAnsi="Traditional Arabic" w:cs="Traditional Arabic" w:hint="cs"/>
          <w:bCs/>
          <w:noProof/>
          <w:sz w:val="24"/>
          <w:rtl/>
          <w:lang w:val="en-GB"/>
        </w:rPr>
        <w:t>..........</w:t>
      </w:r>
      <w:r w:rsidR="00E325AE" w:rsidRPr="00DC7B26">
        <w:rPr>
          <w:rFonts w:ascii="Traditional Arabic" w:hAnsi="Traditional Arabic" w:cs="Traditional Arabic"/>
          <w:bCs/>
          <w:noProof/>
          <w:sz w:val="24"/>
          <w:rtl/>
          <w:lang w:val="en-GB"/>
        </w:rPr>
        <w:t>..........</w:t>
      </w:r>
      <w:r w:rsidR="008252E9" w:rsidRPr="00DC7B26">
        <w:rPr>
          <w:rFonts w:ascii="Traditional Arabic" w:hAnsi="Traditional Arabic" w:cs="Traditional Arabic"/>
          <w:bCs/>
          <w:noProof/>
          <w:sz w:val="24"/>
          <w:rtl/>
          <w:lang w:val="en-GB"/>
        </w:rPr>
        <w:t>.</w:t>
      </w:r>
      <w:r w:rsidR="00E325AE" w:rsidRPr="00DC7B26">
        <w:rPr>
          <w:rFonts w:ascii="Traditional Arabic" w:hAnsi="Traditional Arabic" w:cs="Traditional Arabic"/>
          <w:bCs/>
          <w:noProof/>
          <w:sz w:val="24"/>
          <w:rtl/>
          <w:lang w:val="en-GB"/>
        </w:rPr>
        <w:t>....</w:t>
      </w:r>
      <w:r w:rsidR="00DC7B26" w:rsidRPr="00DC7B26">
        <w:rPr>
          <w:rFonts w:ascii="Traditional Arabic" w:hAnsi="Traditional Arabic" w:cs="Traditional Arabic" w:hint="cs"/>
          <w:bCs/>
          <w:noProof/>
          <w:sz w:val="24"/>
          <w:rtl/>
          <w:lang w:val="en-GB"/>
        </w:rPr>
        <w:t>............</w:t>
      </w:r>
      <w:r w:rsidR="00E325AE" w:rsidRPr="00DC7B26">
        <w:rPr>
          <w:rFonts w:ascii="Traditional Arabic" w:hAnsi="Traditional Arabic" w:cs="Traditional Arabic"/>
          <w:bCs/>
          <w:noProof/>
          <w:sz w:val="24"/>
          <w:rtl/>
          <w:lang w:val="en-GB"/>
        </w:rPr>
        <w:t>.......................................................</w:t>
      </w:r>
      <w:r w:rsidR="00E325AE" w:rsidRPr="00DC7B26">
        <w:rPr>
          <w:rFonts w:ascii="Traditional Arabic" w:hAnsi="Traditional Arabic" w:cs="Traditional Arabic"/>
          <w:sz w:val="24"/>
        </w:rPr>
        <w:t xml:space="preserve"> </w:t>
      </w:r>
      <w:r w:rsidR="00D90907">
        <w:rPr>
          <w:rFonts w:ascii="Traditional Arabic" w:hAnsi="Traditional Arabic" w:cs="Traditional Arabic" w:hint="cs"/>
          <w:sz w:val="24"/>
          <w:rtl/>
        </w:rPr>
        <w:t>403</w:t>
      </w:r>
    </w:p>
    <w:p w14:paraId="4858E563" w14:textId="77777777" w:rsidR="00D440BA" w:rsidRPr="00DC7B26" w:rsidRDefault="00D440BA" w:rsidP="008252E9">
      <w:pPr>
        <w:pStyle w:val="TOC1"/>
        <w:bidi/>
        <w:ind w:right="-90"/>
        <w:rPr>
          <w:rFonts w:ascii="Traditional Arabic" w:hAnsi="Traditional Arabic" w:cs="Traditional Arabic"/>
          <w:bCs/>
          <w:noProof/>
          <w:sz w:val="24"/>
          <w:rtl/>
          <w:lang w:val="en-GB"/>
        </w:rPr>
      </w:pPr>
      <w:r w:rsidRPr="00DC7B26">
        <w:rPr>
          <w:rFonts w:ascii="Traditional Arabic" w:hAnsi="Traditional Arabic" w:cs="Traditional Arabic"/>
          <w:bCs/>
          <w:noProof/>
          <w:sz w:val="24"/>
          <w:rtl/>
          <w:lang w:val="en-GB"/>
        </w:rPr>
        <w:t xml:space="preserve">الفصل </w:t>
      </w:r>
      <w:r w:rsidR="00DC7B26" w:rsidRPr="00DC7B26">
        <w:rPr>
          <w:rFonts w:ascii="Traditional Arabic" w:hAnsi="Traditional Arabic" w:cs="Traditional Arabic" w:hint="cs"/>
          <w:bCs/>
          <w:noProof/>
          <w:sz w:val="24"/>
          <w:rtl/>
          <w:lang w:val="en-GB"/>
        </w:rPr>
        <w:t>الخامس</w:t>
      </w:r>
      <w:r w:rsidR="00DC7B26" w:rsidRPr="00DC7B26">
        <w:rPr>
          <w:rFonts w:ascii="Traditional Arabic" w:hAnsi="Traditional Arabic" w:cs="Traditional Arabic"/>
          <w:bCs/>
          <w:noProof/>
          <w:sz w:val="24"/>
          <w:rtl/>
          <w:lang w:val="en-GB"/>
        </w:rPr>
        <w:t xml:space="preserve"> </w:t>
      </w:r>
      <w:r w:rsidR="0084783E" w:rsidRPr="00DC7B26">
        <w:rPr>
          <w:rFonts w:ascii="Traditional Arabic" w:hAnsi="Traditional Arabic" w:cs="Traditional Arabic"/>
          <w:bCs/>
          <w:noProof/>
          <w:sz w:val="24"/>
          <w:rtl/>
          <w:lang w:val="en-GB"/>
        </w:rPr>
        <w:t>والعشر</w:t>
      </w:r>
      <w:r w:rsidR="0084783E" w:rsidRPr="00DC7B26">
        <w:rPr>
          <w:rFonts w:ascii="Traditional Arabic" w:hAnsi="Traditional Arabic" w:cs="Traditional Arabic" w:hint="eastAsia"/>
          <w:bCs/>
          <w:noProof/>
          <w:sz w:val="24"/>
          <w:rtl/>
          <w:lang w:val="en-GB"/>
        </w:rPr>
        <w:t>ون</w:t>
      </w:r>
      <w:r w:rsidRPr="00DC7B26">
        <w:rPr>
          <w:rFonts w:ascii="Traditional Arabic" w:hAnsi="Traditional Arabic" w:cs="Traditional Arabic"/>
          <w:bCs/>
          <w:noProof/>
          <w:sz w:val="24"/>
          <w:rtl/>
          <w:lang w:val="en-GB"/>
        </w:rPr>
        <w:t xml:space="preserve">: </w:t>
      </w:r>
      <w:r w:rsidR="00006E57">
        <w:rPr>
          <w:rFonts w:ascii="Traditional Arabic" w:hAnsi="Traditional Arabic" w:cs="Traditional Arabic" w:hint="cs"/>
          <w:bCs/>
          <w:noProof/>
          <w:sz w:val="24"/>
          <w:rtl/>
          <w:lang w:val="en-GB"/>
        </w:rPr>
        <w:t>مراقب الحسابات المستقل</w:t>
      </w:r>
      <w:r w:rsidR="00006E57" w:rsidRPr="00DC7B26" w:rsidDel="00006E57">
        <w:rPr>
          <w:rFonts w:ascii="Traditional Arabic" w:hAnsi="Traditional Arabic" w:cs="Traditional Arabic"/>
          <w:bCs/>
          <w:noProof/>
          <w:sz w:val="24"/>
          <w:rtl/>
          <w:lang w:val="en-GB"/>
        </w:rPr>
        <w:t xml:space="preserve"> </w:t>
      </w:r>
      <w:r w:rsidR="00E325AE" w:rsidRPr="00DC7B26">
        <w:rPr>
          <w:rFonts w:ascii="Traditional Arabic" w:hAnsi="Traditional Arabic" w:cs="Traditional Arabic"/>
          <w:bCs/>
          <w:noProof/>
          <w:sz w:val="24"/>
          <w:rtl/>
          <w:lang w:val="en-GB"/>
        </w:rPr>
        <w:t xml:space="preserve"> ......................</w:t>
      </w:r>
      <w:r w:rsidR="008259B2" w:rsidRPr="00DC7B26">
        <w:rPr>
          <w:rFonts w:ascii="Traditional Arabic" w:hAnsi="Traditional Arabic" w:cs="Traditional Arabic"/>
          <w:bCs/>
          <w:noProof/>
          <w:sz w:val="24"/>
          <w:rtl/>
          <w:lang w:val="en-GB"/>
        </w:rPr>
        <w:t>..</w:t>
      </w:r>
      <w:r w:rsidR="00E325AE" w:rsidRPr="00DC7B26">
        <w:rPr>
          <w:rFonts w:ascii="Traditional Arabic" w:hAnsi="Traditional Arabic" w:cs="Traditional Arabic"/>
          <w:bCs/>
          <w:noProof/>
          <w:sz w:val="24"/>
          <w:rtl/>
          <w:lang w:val="en-GB"/>
        </w:rPr>
        <w:t>..........................................................</w:t>
      </w:r>
      <w:r w:rsidR="00E325AE" w:rsidRPr="00DC7B26">
        <w:rPr>
          <w:rFonts w:ascii="Traditional Arabic" w:hAnsi="Traditional Arabic" w:cs="Traditional Arabic"/>
          <w:sz w:val="24"/>
        </w:rPr>
        <w:t xml:space="preserve"> </w:t>
      </w:r>
      <w:r w:rsidR="00D90907">
        <w:rPr>
          <w:rFonts w:ascii="Traditional Arabic" w:hAnsi="Traditional Arabic" w:cs="Traditional Arabic" w:hint="cs"/>
          <w:sz w:val="24"/>
          <w:rtl/>
        </w:rPr>
        <w:t>404</w:t>
      </w:r>
    </w:p>
    <w:p w14:paraId="1564EAFF" w14:textId="77777777" w:rsidR="00D85EA6" w:rsidRDefault="00D440BA" w:rsidP="008252E9">
      <w:pPr>
        <w:pStyle w:val="TOC1"/>
        <w:bidi/>
        <w:ind w:right="-90"/>
        <w:rPr>
          <w:rFonts w:ascii="Traditional Arabic" w:hAnsi="Traditional Arabic" w:cs="Traditional Arabic"/>
          <w:bCs/>
          <w:noProof/>
          <w:sz w:val="24"/>
          <w:rtl/>
          <w:lang w:val="en-GB"/>
        </w:rPr>
      </w:pPr>
      <w:r w:rsidRPr="00DC7B26">
        <w:rPr>
          <w:rFonts w:ascii="Traditional Arabic" w:hAnsi="Traditional Arabic" w:cs="Traditional Arabic"/>
          <w:bCs/>
          <w:noProof/>
          <w:webHidden/>
          <w:sz w:val="24"/>
          <w:rtl/>
          <w:lang w:val="en-GB"/>
        </w:rPr>
        <w:t xml:space="preserve">الفصل </w:t>
      </w:r>
      <w:r w:rsidR="00DE2F31" w:rsidRPr="00DC7B26">
        <w:rPr>
          <w:rFonts w:ascii="Traditional Arabic" w:hAnsi="Traditional Arabic" w:cs="Traditional Arabic" w:hint="eastAsia"/>
          <w:bCs/>
          <w:noProof/>
          <w:webHidden/>
          <w:sz w:val="24"/>
          <w:rtl/>
          <w:lang w:val="en-GB"/>
        </w:rPr>
        <w:t>السادس</w:t>
      </w:r>
      <w:r w:rsidR="00DE2F31" w:rsidRPr="00DC7B26">
        <w:rPr>
          <w:rFonts w:ascii="Traditional Arabic" w:hAnsi="Traditional Arabic" w:cs="Traditional Arabic"/>
          <w:bCs/>
          <w:noProof/>
          <w:webHidden/>
          <w:sz w:val="24"/>
          <w:rtl/>
          <w:lang w:val="en-GB"/>
        </w:rPr>
        <w:t xml:space="preserve"> والعشر</w:t>
      </w:r>
      <w:r w:rsidR="00DE2F31" w:rsidRPr="00DC7B26">
        <w:rPr>
          <w:rFonts w:ascii="Traditional Arabic" w:hAnsi="Traditional Arabic" w:cs="Traditional Arabic" w:hint="eastAsia"/>
          <w:bCs/>
          <w:noProof/>
          <w:webHidden/>
          <w:sz w:val="24"/>
          <w:rtl/>
          <w:lang w:val="en-GB"/>
        </w:rPr>
        <w:t>ون</w:t>
      </w:r>
      <w:r w:rsidRPr="00DC7B26">
        <w:rPr>
          <w:rFonts w:ascii="Traditional Arabic" w:hAnsi="Traditional Arabic" w:cs="Traditional Arabic"/>
          <w:bCs/>
          <w:noProof/>
          <w:webHidden/>
          <w:sz w:val="24"/>
          <w:rtl/>
          <w:lang w:val="en-GB"/>
        </w:rPr>
        <w:t xml:space="preserve">: </w:t>
      </w:r>
      <w:r w:rsidR="00AE7A61" w:rsidRPr="00DC7B26">
        <w:rPr>
          <w:rFonts w:ascii="Traditional Arabic" w:hAnsi="Traditional Arabic" w:cs="Traditional Arabic"/>
          <w:bCs/>
          <w:noProof/>
          <w:webHidden/>
          <w:sz w:val="24"/>
          <w:rtl/>
          <w:lang w:val="en-GB"/>
        </w:rPr>
        <w:t>ال</w:t>
      </w:r>
      <w:r w:rsidR="00AE7A61">
        <w:rPr>
          <w:rFonts w:ascii="Traditional Arabic" w:hAnsi="Traditional Arabic" w:cs="Traditional Arabic" w:hint="cs"/>
          <w:bCs/>
          <w:noProof/>
          <w:webHidden/>
          <w:sz w:val="24"/>
          <w:rtl/>
          <w:lang w:val="en-GB"/>
        </w:rPr>
        <w:t>بيانات المالية التاريخية</w:t>
      </w:r>
      <w:r w:rsidR="00AE7A61" w:rsidRPr="00DC7B26" w:rsidDel="00AE7A61">
        <w:rPr>
          <w:rFonts w:ascii="Traditional Arabic" w:hAnsi="Traditional Arabic" w:cs="Traditional Arabic"/>
          <w:bCs/>
          <w:noProof/>
          <w:webHidden/>
          <w:sz w:val="24"/>
          <w:rtl/>
          <w:lang w:val="en-GB"/>
        </w:rPr>
        <w:t xml:space="preserve"> </w:t>
      </w:r>
      <w:r w:rsidR="00D85EA6" w:rsidRPr="00DC7B26">
        <w:rPr>
          <w:rFonts w:ascii="Traditional Arabic" w:hAnsi="Traditional Arabic" w:cs="Traditional Arabic"/>
          <w:bCs/>
          <w:noProof/>
          <w:webHidden/>
          <w:sz w:val="24"/>
          <w:lang w:val="en-GB"/>
        </w:rPr>
        <w:tab/>
      </w:r>
      <w:r w:rsidR="00D90907" w:rsidRPr="00B934CE">
        <w:rPr>
          <w:rFonts w:ascii="Traditional Arabic" w:hAnsi="Traditional Arabic" w:cs="Traditional Arabic" w:hint="cs"/>
          <w:b/>
          <w:noProof/>
          <w:sz w:val="24"/>
          <w:rtl/>
          <w:lang w:val="en-GB"/>
        </w:rPr>
        <w:t>40</w:t>
      </w:r>
      <w:r w:rsidR="00D90907">
        <w:rPr>
          <w:rFonts w:ascii="Traditional Arabic" w:hAnsi="Traditional Arabic" w:cs="Traditional Arabic" w:hint="cs"/>
          <w:b/>
          <w:noProof/>
          <w:sz w:val="24"/>
          <w:rtl/>
          <w:lang w:val="en-GB"/>
        </w:rPr>
        <w:t>5</w:t>
      </w:r>
    </w:p>
    <w:p w14:paraId="5B97FEEB" w14:textId="77777777" w:rsidR="00AE7A61" w:rsidRPr="00DC7B26" w:rsidRDefault="00AE7A61" w:rsidP="00AE7A61">
      <w:pPr>
        <w:pStyle w:val="TOC1"/>
        <w:bidi/>
        <w:ind w:right="-90"/>
        <w:rPr>
          <w:rFonts w:ascii="Traditional Arabic" w:hAnsi="Traditional Arabic" w:cs="Traditional Arabic"/>
          <w:bCs/>
          <w:noProof/>
          <w:sz w:val="24"/>
          <w:rtl/>
          <w:lang w:val="en-GB"/>
        </w:rPr>
      </w:pPr>
      <w:r w:rsidRPr="00DC7B26">
        <w:rPr>
          <w:rFonts w:ascii="Traditional Arabic" w:hAnsi="Traditional Arabic" w:cs="Traditional Arabic"/>
          <w:bCs/>
          <w:noProof/>
          <w:webHidden/>
          <w:sz w:val="24"/>
          <w:rtl/>
          <w:lang w:val="en-GB"/>
        </w:rPr>
        <w:t xml:space="preserve">الفصل </w:t>
      </w:r>
      <w:r>
        <w:rPr>
          <w:rFonts w:ascii="Traditional Arabic" w:hAnsi="Traditional Arabic" w:cs="Traditional Arabic" w:hint="cs"/>
          <w:bCs/>
          <w:noProof/>
          <w:webHidden/>
          <w:sz w:val="24"/>
          <w:rtl/>
          <w:lang w:val="en-GB"/>
        </w:rPr>
        <w:t>السابع</w:t>
      </w:r>
      <w:r w:rsidRPr="00DC7B26">
        <w:rPr>
          <w:rFonts w:ascii="Traditional Arabic" w:hAnsi="Traditional Arabic" w:cs="Traditional Arabic"/>
          <w:bCs/>
          <w:noProof/>
          <w:webHidden/>
          <w:sz w:val="24"/>
          <w:rtl/>
          <w:lang w:val="en-GB"/>
        </w:rPr>
        <w:t xml:space="preserve"> والعشر</w:t>
      </w:r>
      <w:r w:rsidRPr="00DC7B26">
        <w:rPr>
          <w:rFonts w:ascii="Traditional Arabic" w:hAnsi="Traditional Arabic" w:cs="Traditional Arabic" w:hint="eastAsia"/>
          <w:bCs/>
          <w:noProof/>
          <w:webHidden/>
          <w:sz w:val="24"/>
          <w:rtl/>
          <w:lang w:val="en-GB"/>
        </w:rPr>
        <w:t>ون</w:t>
      </w:r>
      <w:r w:rsidRPr="00DC7B26">
        <w:rPr>
          <w:rFonts w:ascii="Traditional Arabic" w:hAnsi="Traditional Arabic" w:cs="Traditional Arabic"/>
          <w:bCs/>
          <w:noProof/>
          <w:webHidden/>
          <w:sz w:val="24"/>
          <w:rtl/>
          <w:lang w:val="en-GB"/>
        </w:rPr>
        <w:t xml:space="preserve">: </w:t>
      </w:r>
      <w:r w:rsidR="003D4668">
        <w:rPr>
          <w:rFonts w:ascii="Traditional Arabic" w:hAnsi="Traditional Arabic" w:cs="Traditional Arabic" w:hint="cs"/>
          <w:bCs/>
          <w:noProof/>
          <w:webHidden/>
          <w:sz w:val="24"/>
          <w:rtl/>
          <w:lang w:val="en-GB"/>
        </w:rPr>
        <w:t>التعهدات</w:t>
      </w:r>
      <w:r w:rsidRPr="00DC7B26">
        <w:rPr>
          <w:rFonts w:ascii="Traditional Arabic" w:hAnsi="Traditional Arabic" w:cs="Traditional Arabic"/>
          <w:bCs/>
          <w:noProof/>
          <w:webHidden/>
          <w:sz w:val="24"/>
          <w:lang w:val="en-GB"/>
        </w:rPr>
        <w:tab/>
      </w:r>
      <w:r w:rsidR="00D90907" w:rsidRPr="00B934CE">
        <w:rPr>
          <w:rFonts w:ascii="Traditional Arabic" w:hAnsi="Traditional Arabic" w:cs="Traditional Arabic" w:hint="cs"/>
          <w:b/>
          <w:noProof/>
          <w:sz w:val="24"/>
          <w:rtl/>
          <w:lang w:val="en-GB"/>
        </w:rPr>
        <w:t>40</w:t>
      </w:r>
      <w:r w:rsidR="00D90907">
        <w:rPr>
          <w:rFonts w:ascii="Traditional Arabic" w:hAnsi="Traditional Arabic" w:cs="Traditional Arabic" w:hint="cs"/>
          <w:b/>
          <w:noProof/>
          <w:sz w:val="24"/>
          <w:rtl/>
          <w:lang w:val="en-GB"/>
        </w:rPr>
        <w:t>6</w:t>
      </w:r>
    </w:p>
    <w:p w14:paraId="711B65BE" w14:textId="77777777" w:rsidR="00AE7A61" w:rsidRPr="00DC7B26" w:rsidRDefault="00AE7A61" w:rsidP="00AE7A61">
      <w:pPr>
        <w:pStyle w:val="TOC1"/>
        <w:bidi/>
        <w:ind w:right="-90"/>
        <w:rPr>
          <w:rFonts w:ascii="Traditional Arabic" w:hAnsi="Traditional Arabic" w:cs="Traditional Arabic"/>
          <w:bCs/>
          <w:noProof/>
          <w:sz w:val="24"/>
          <w:rtl/>
          <w:lang w:val="en-GB"/>
        </w:rPr>
      </w:pPr>
    </w:p>
    <w:p w14:paraId="431B2B33" w14:textId="77777777" w:rsidR="008252E9" w:rsidRDefault="008252E9">
      <w:pPr>
        <w:spacing w:after="160" w:line="259" w:lineRule="auto"/>
        <w:rPr>
          <w:rFonts w:ascii="Traditional Arabic" w:hAnsi="Traditional Arabic" w:cs="Traditional Arabic"/>
          <w:bCs/>
          <w:noProof/>
          <w:sz w:val="24"/>
          <w:rtl/>
          <w:lang w:val="en-GB"/>
        </w:rPr>
      </w:pPr>
    </w:p>
    <w:p w14:paraId="04552311" w14:textId="77777777" w:rsidR="00DC7B26" w:rsidRDefault="00DC7B26">
      <w:pPr>
        <w:spacing w:after="160" w:line="259" w:lineRule="auto"/>
        <w:rPr>
          <w:rFonts w:ascii="Traditional Arabic" w:hAnsi="Traditional Arabic" w:cs="Traditional Arabic"/>
          <w:bCs/>
          <w:noProof/>
          <w:sz w:val="24"/>
          <w:rtl/>
          <w:lang w:val="en-GB"/>
        </w:rPr>
      </w:pPr>
    </w:p>
    <w:p w14:paraId="512EE6FE" w14:textId="77777777" w:rsidR="00DC7B26" w:rsidRDefault="00DC7B26">
      <w:pPr>
        <w:spacing w:after="160" w:line="259" w:lineRule="auto"/>
        <w:rPr>
          <w:rFonts w:ascii="Traditional Arabic" w:hAnsi="Traditional Arabic" w:cs="Traditional Arabic"/>
          <w:bCs/>
          <w:noProof/>
          <w:sz w:val="24"/>
          <w:rtl/>
          <w:lang w:val="en-GB"/>
        </w:rPr>
      </w:pPr>
    </w:p>
    <w:p w14:paraId="0F60715F" w14:textId="77777777" w:rsidR="00DC7B26" w:rsidRDefault="00DC7B26">
      <w:pPr>
        <w:spacing w:after="160" w:line="259" w:lineRule="auto"/>
        <w:rPr>
          <w:rFonts w:ascii="Traditional Arabic" w:hAnsi="Traditional Arabic" w:cs="Traditional Arabic"/>
          <w:bCs/>
          <w:noProof/>
          <w:sz w:val="24"/>
          <w:rtl/>
          <w:lang w:val="en-GB"/>
        </w:rPr>
      </w:pPr>
    </w:p>
    <w:p w14:paraId="01EA0DDA" w14:textId="77777777" w:rsidR="00DC7B26" w:rsidRDefault="00DC7B26">
      <w:pPr>
        <w:spacing w:after="160" w:line="259" w:lineRule="auto"/>
        <w:rPr>
          <w:rFonts w:ascii="Traditional Arabic" w:hAnsi="Traditional Arabic" w:cs="Traditional Arabic"/>
          <w:bCs/>
          <w:noProof/>
          <w:sz w:val="24"/>
          <w:rtl/>
          <w:lang w:val="en-GB"/>
        </w:rPr>
      </w:pPr>
    </w:p>
    <w:p w14:paraId="0B220A7D" w14:textId="77777777" w:rsidR="00DC7B26" w:rsidRDefault="00DC7B26">
      <w:pPr>
        <w:spacing w:after="160" w:line="259" w:lineRule="auto"/>
        <w:rPr>
          <w:rFonts w:ascii="Traditional Arabic" w:hAnsi="Traditional Arabic" w:cs="Traditional Arabic"/>
          <w:bCs/>
          <w:noProof/>
          <w:sz w:val="24"/>
          <w:rtl/>
          <w:lang w:val="en-GB"/>
        </w:rPr>
      </w:pPr>
    </w:p>
    <w:p w14:paraId="33F909EC" w14:textId="77777777" w:rsidR="00DC7B26" w:rsidRDefault="00DC7B26">
      <w:pPr>
        <w:spacing w:after="160" w:line="259" w:lineRule="auto"/>
        <w:rPr>
          <w:rFonts w:ascii="Traditional Arabic" w:hAnsi="Traditional Arabic" w:cs="Traditional Arabic"/>
          <w:bCs/>
          <w:noProof/>
          <w:sz w:val="24"/>
          <w:rtl/>
          <w:lang w:val="en-GB"/>
        </w:rPr>
      </w:pPr>
    </w:p>
    <w:p w14:paraId="73FE6928" w14:textId="77777777" w:rsidR="00DC7B26" w:rsidRDefault="00DC7B26">
      <w:pPr>
        <w:spacing w:after="160" w:line="259" w:lineRule="auto"/>
        <w:rPr>
          <w:rFonts w:ascii="Traditional Arabic" w:hAnsi="Traditional Arabic" w:cs="Traditional Arabic"/>
          <w:bCs/>
          <w:noProof/>
          <w:sz w:val="24"/>
          <w:rtl/>
          <w:lang w:val="en-GB"/>
        </w:rPr>
      </w:pPr>
    </w:p>
    <w:p w14:paraId="02150A99" w14:textId="77777777" w:rsidR="00DC7B26" w:rsidRDefault="00DC7B26">
      <w:pPr>
        <w:spacing w:after="160" w:line="259" w:lineRule="auto"/>
        <w:rPr>
          <w:rFonts w:ascii="Traditional Arabic" w:hAnsi="Traditional Arabic" w:cs="Traditional Arabic"/>
          <w:bCs/>
          <w:noProof/>
          <w:sz w:val="24"/>
          <w:rtl/>
          <w:lang w:val="en-GB"/>
        </w:rPr>
      </w:pPr>
    </w:p>
    <w:p w14:paraId="7C445064" w14:textId="77777777" w:rsidR="00DC7B26" w:rsidRDefault="00DC7B26">
      <w:pPr>
        <w:spacing w:after="160" w:line="259" w:lineRule="auto"/>
        <w:rPr>
          <w:rFonts w:ascii="Traditional Arabic" w:hAnsi="Traditional Arabic" w:cs="Traditional Arabic"/>
          <w:bCs/>
          <w:noProof/>
          <w:sz w:val="24"/>
          <w:rtl/>
          <w:lang w:val="en-GB"/>
        </w:rPr>
      </w:pPr>
    </w:p>
    <w:p w14:paraId="63CD111A" w14:textId="77777777" w:rsidR="00DC7B26" w:rsidRDefault="00DC7B26">
      <w:pPr>
        <w:spacing w:after="160" w:line="259" w:lineRule="auto"/>
        <w:rPr>
          <w:rFonts w:ascii="Traditional Arabic" w:hAnsi="Traditional Arabic" w:cs="Traditional Arabic"/>
          <w:bCs/>
          <w:noProof/>
          <w:sz w:val="24"/>
          <w:rtl/>
          <w:lang w:val="en-GB"/>
        </w:rPr>
      </w:pPr>
    </w:p>
    <w:p w14:paraId="4D15FE44" w14:textId="77777777" w:rsidR="00DC7B26" w:rsidRDefault="00DC7B26">
      <w:pPr>
        <w:spacing w:after="160" w:line="259" w:lineRule="auto"/>
        <w:rPr>
          <w:rFonts w:ascii="Traditional Arabic" w:hAnsi="Traditional Arabic" w:cs="Traditional Arabic"/>
          <w:bCs/>
          <w:noProof/>
          <w:sz w:val="24"/>
          <w:rtl/>
          <w:lang w:val="en-GB"/>
        </w:rPr>
      </w:pPr>
    </w:p>
    <w:p w14:paraId="5FC85F27" w14:textId="77777777" w:rsidR="00DC7B26" w:rsidRPr="00DC7B26" w:rsidRDefault="00DC7B26">
      <w:pPr>
        <w:spacing w:after="160" w:line="259" w:lineRule="auto"/>
        <w:rPr>
          <w:rFonts w:ascii="Traditional Arabic" w:hAnsi="Traditional Arabic" w:cs="Traditional Arabic"/>
          <w:bCs/>
          <w:noProof/>
          <w:sz w:val="24"/>
        </w:rPr>
      </w:pPr>
    </w:p>
    <w:p w14:paraId="24F73CF4" w14:textId="77777777" w:rsidR="008252E9" w:rsidRPr="00DC7B26" w:rsidRDefault="008252E9" w:rsidP="008252E9">
      <w:pPr>
        <w:pStyle w:val="TOC1"/>
        <w:bidi/>
        <w:ind w:right="-90"/>
        <w:rPr>
          <w:rFonts w:ascii="Traditional Arabic" w:hAnsi="Traditional Arabic" w:cs="Traditional Arabic"/>
          <w:bCs/>
          <w:noProof/>
          <w:sz w:val="24"/>
          <w:lang w:val="en-GB"/>
        </w:rPr>
      </w:pPr>
    </w:p>
    <w:p w14:paraId="3BEA11B1" w14:textId="77777777" w:rsidR="00585226" w:rsidRPr="00DC7B26" w:rsidRDefault="00D85EA6" w:rsidP="008252E9">
      <w:pPr>
        <w:pStyle w:val="Heading2"/>
        <w:bidi/>
        <w:jc w:val="center"/>
        <w:rPr>
          <w:rFonts w:ascii="Traditional Arabic" w:hAnsi="Traditional Arabic" w:cs="Traditional Arabic"/>
          <w:b w:val="0"/>
          <w:bCs/>
          <w:noProof/>
          <w:sz w:val="30"/>
          <w:szCs w:val="30"/>
          <w:lang w:val="en-GB"/>
        </w:rPr>
      </w:pPr>
      <w:r w:rsidRPr="00DC7B26">
        <w:rPr>
          <w:rFonts w:ascii="Traditional Arabic" w:hAnsi="Traditional Arabic" w:cs="Traditional Arabic"/>
          <w:noProof/>
          <w:sz w:val="24"/>
          <w:lang w:val="en-GB"/>
        </w:rPr>
        <w:lastRenderedPageBreak/>
        <w:fldChar w:fldCharType="end"/>
      </w:r>
      <w:r w:rsidR="0000166D" w:rsidRPr="00DC7B26">
        <w:rPr>
          <w:rFonts w:ascii="Traditional Arabic" w:hAnsi="Traditional Arabic" w:cs="Traditional Arabic"/>
          <w:b w:val="0"/>
          <w:bCs/>
          <w:noProof/>
          <w:sz w:val="30"/>
          <w:szCs w:val="30"/>
          <w:rtl/>
          <w:lang w:val="en-GB"/>
        </w:rPr>
        <w:t>الفصل الأول</w:t>
      </w:r>
    </w:p>
    <w:p w14:paraId="1DB57DDB" w14:textId="77777777" w:rsidR="0000166D" w:rsidRDefault="0000166D" w:rsidP="008252E9">
      <w:pPr>
        <w:pStyle w:val="Heading2"/>
        <w:bidi/>
        <w:jc w:val="center"/>
        <w:rPr>
          <w:rFonts w:ascii="Traditional Arabic" w:hAnsi="Traditional Arabic" w:cs="Traditional Arabic"/>
          <w:b w:val="0"/>
          <w:bCs/>
          <w:noProof/>
          <w:sz w:val="30"/>
          <w:szCs w:val="30"/>
          <w:rtl/>
          <w:lang w:val="en-GB"/>
        </w:rPr>
      </w:pPr>
      <w:r w:rsidRPr="00EB5BCF">
        <w:rPr>
          <w:rFonts w:ascii="Traditional Arabic" w:hAnsi="Traditional Arabic" w:cs="Traditional Arabic"/>
          <w:b w:val="0"/>
          <w:bCs/>
          <w:noProof/>
          <w:sz w:val="30"/>
          <w:szCs w:val="30"/>
          <w:rtl/>
          <w:lang w:val="en-GB"/>
        </w:rPr>
        <w:t>مصطلحات وتعريفات</w:t>
      </w:r>
    </w:p>
    <w:tbl>
      <w:tblPr>
        <w:tblpPr w:leftFromText="180" w:rightFromText="180" w:vertAnchor="text" w:tblpXSpec="center" w:tblpY="1"/>
        <w:tblOverlap w:val="never"/>
        <w:tblW w:w="57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7822"/>
        <w:gridCol w:w="2876"/>
      </w:tblGrid>
      <w:tr w:rsidR="00352F9E" w:rsidRPr="00C73B2D" w14:paraId="24D933F1" w14:textId="77777777" w:rsidTr="00922116">
        <w:trPr>
          <w:trHeight w:val="1107"/>
        </w:trPr>
        <w:tc>
          <w:tcPr>
            <w:tcW w:w="3656" w:type="pct"/>
          </w:tcPr>
          <w:p w14:paraId="56AA0A22"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lang w:bidi="ar-OM"/>
              </w:rPr>
              <w:t xml:space="preserve">البيانات المالية </w:t>
            </w:r>
            <w:r w:rsidR="00DF747E">
              <w:rPr>
                <w:rFonts w:ascii="Traditional Arabic" w:hAnsi="Traditional Arabic" w:cs="Traditional Arabic" w:hint="cs"/>
                <w:sz w:val="30"/>
                <w:szCs w:val="30"/>
                <w:rtl/>
                <w:lang w:bidi="ar-OM"/>
              </w:rPr>
              <w:t>الموحدة</w:t>
            </w:r>
            <w:r w:rsidR="00DF747E" w:rsidRPr="00C73B2D">
              <w:rPr>
                <w:rFonts w:ascii="Traditional Arabic" w:hAnsi="Traditional Arabic" w:cs="Traditional Arabic"/>
                <w:sz w:val="30"/>
                <w:szCs w:val="30"/>
                <w:rtl/>
                <w:lang w:bidi="ar-OM"/>
              </w:rPr>
              <w:t xml:space="preserve"> </w:t>
            </w:r>
            <w:r w:rsidRPr="00C73B2D">
              <w:rPr>
                <w:rFonts w:ascii="Traditional Arabic" w:hAnsi="Traditional Arabic" w:cs="Traditional Arabic"/>
                <w:sz w:val="30"/>
                <w:szCs w:val="30"/>
                <w:rtl/>
                <w:lang w:bidi="ar-OM"/>
              </w:rPr>
              <w:t>المدققة للشركة بنهاية السنة المنتهية في 31 ديسمبر 202</w:t>
            </w:r>
            <w:r w:rsidR="005804FD">
              <w:rPr>
                <w:rFonts w:ascii="Traditional Arabic" w:hAnsi="Traditional Arabic" w:cs="Traditional Arabic" w:hint="cs"/>
                <w:sz w:val="30"/>
                <w:szCs w:val="30"/>
                <w:rtl/>
                <w:lang w:bidi="ar-OM"/>
              </w:rPr>
              <w:t>2</w:t>
            </w:r>
            <w:r w:rsidRPr="00C73B2D">
              <w:rPr>
                <w:rFonts w:ascii="Traditional Arabic" w:hAnsi="Traditional Arabic" w:cs="Traditional Arabic"/>
                <w:sz w:val="30"/>
                <w:szCs w:val="30"/>
                <w:rtl/>
                <w:lang w:bidi="ar-OM"/>
              </w:rPr>
              <w:t xml:space="preserve"> (والتي تتضمن معلومات مالية</w:t>
            </w:r>
            <w:r w:rsidR="00DF747E">
              <w:rPr>
                <w:rFonts w:ascii="Traditional Arabic" w:hAnsi="Traditional Arabic" w:cs="Traditional Arabic" w:hint="cs"/>
                <w:sz w:val="30"/>
                <w:szCs w:val="30"/>
                <w:rtl/>
                <w:lang w:bidi="ar-OM"/>
              </w:rPr>
              <w:t xml:space="preserve"> </w:t>
            </w:r>
            <w:r w:rsidRPr="00C73B2D">
              <w:rPr>
                <w:rFonts w:ascii="Traditional Arabic" w:hAnsi="Traditional Arabic" w:cs="Traditional Arabic"/>
                <w:sz w:val="30"/>
                <w:szCs w:val="30"/>
                <w:rtl/>
                <w:lang w:bidi="ar-OM"/>
              </w:rPr>
              <w:t>مقارنة حتى نهاية السنة المنتهية في 31 ديسمبر 202</w:t>
            </w:r>
            <w:r w:rsidR="005804FD">
              <w:rPr>
                <w:rFonts w:ascii="Traditional Arabic" w:hAnsi="Traditional Arabic" w:cs="Traditional Arabic" w:hint="cs"/>
                <w:sz w:val="30"/>
                <w:szCs w:val="30"/>
                <w:rtl/>
                <w:lang w:bidi="ar-OM"/>
              </w:rPr>
              <w:t>1</w:t>
            </w:r>
            <w:r w:rsidRPr="00C73B2D">
              <w:rPr>
                <w:rFonts w:ascii="Traditional Arabic" w:hAnsi="Traditional Arabic" w:cs="Traditional Arabic"/>
                <w:sz w:val="30"/>
                <w:szCs w:val="30"/>
                <w:rtl/>
                <w:lang w:bidi="ar-OM"/>
              </w:rPr>
              <w:t>.)</w:t>
            </w:r>
          </w:p>
        </w:tc>
        <w:tc>
          <w:tcPr>
            <w:tcW w:w="1344" w:type="pct"/>
          </w:tcPr>
          <w:p w14:paraId="5453907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lang w:bidi="ar-OM"/>
              </w:rPr>
              <w:t>البيانات المالية</w:t>
            </w:r>
            <w:r w:rsidR="00DF747E">
              <w:rPr>
                <w:rFonts w:ascii="Traditional Arabic" w:hAnsi="Traditional Arabic" w:cs="Traditional Arabic" w:hint="cs"/>
                <w:sz w:val="30"/>
                <w:szCs w:val="30"/>
                <w:rtl/>
                <w:lang w:bidi="ar-OM"/>
              </w:rPr>
              <w:t xml:space="preserve"> </w:t>
            </w:r>
            <w:r w:rsidRPr="00C73B2D">
              <w:rPr>
                <w:rFonts w:ascii="Traditional Arabic" w:hAnsi="Traditional Arabic" w:cs="Traditional Arabic"/>
                <w:sz w:val="30"/>
                <w:szCs w:val="30"/>
                <w:rtl/>
                <w:lang w:bidi="ar-OM"/>
              </w:rPr>
              <w:t>السنوية لعام 202</w:t>
            </w:r>
            <w:r w:rsidR="005804FD">
              <w:rPr>
                <w:rFonts w:ascii="Traditional Arabic" w:hAnsi="Traditional Arabic" w:cs="Traditional Arabic" w:hint="cs"/>
                <w:sz w:val="30"/>
                <w:szCs w:val="30"/>
                <w:rtl/>
                <w:lang w:bidi="ar-OM"/>
              </w:rPr>
              <w:t>2</w:t>
            </w:r>
          </w:p>
        </w:tc>
      </w:tr>
      <w:tr w:rsidR="00352F9E" w:rsidRPr="00C73B2D" w14:paraId="0465F142" w14:textId="77777777" w:rsidTr="00922116">
        <w:trPr>
          <w:trHeight w:val="1107"/>
        </w:trPr>
        <w:tc>
          <w:tcPr>
            <w:tcW w:w="3656" w:type="pct"/>
          </w:tcPr>
          <w:p w14:paraId="3BAA65D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lang w:bidi="ar-OM"/>
              </w:rPr>
              <w:t>البيانات المالية</w:t>
            </w:r>
            <w:r w:rsidR="00DF747E">
              <w:rPr>
                <w:rFonts w:ascii="Traditional Arabic" w:hAnsi="Traditional Arabic" w:cs="Traditional Arabic" w:hint="cs"/>
                <w:sz w:val="30"/>
                <w:szCs w:val="30"/>
                <w:rtl/>
                <w:lang w:bidi="ar-OM"/>
              </w:rPr>
              <w:t xml:space="preserve"> الموحدة</w:t>
            </w:r>
            <w:r w:rsidRPr="00C73B2D">
              <w:rPr>
                <w:rFonts w:ascii="Traditional Arabic" w:hAnsi="Traditional Arabic" w:cs="Traditional Arabic"/>
                <w:sz w:val="30"/>
                <w:szCs w:val="30"/>
                <w:rtl/>
                <w:lang w:bidi="ar-OM"/>
              </w:rPr>
              <w:t xml:space="preserve"> المدققة للشركة</w:t>
            </w:r>
            <w:r w:rsidR="00D336A4">
              <w:rPr>
                <w:rFonts w:ascii="Traditional Arabic" w:hAnsi="Traditional Arabic" w:cs="Traditional Arabic" w:hint="cs"/>
                <w:sz w:val="30"/>
                <w:szCs w:val="30"/>
                <w:rtl/>
                <w:lang w:bidi="ar-OM"/>
              </w:rPr>
              <w:t xml:space="preserve"> </w:t>
            </w:r>
            <w:r w:rsidRPr="00C73B2D">
              <w:rPr>
                <w:rFonts w:ascii="Traditional Arabic" w:hAnsi="Traditional Arabic" w:cs="Traditional Arabic"/>
                <w:sz w:val="30"/>
                <w:szCs w:val="30"/>
                <w:rtl/>
                <w:lang w:bidi="ar-OM"/>
              </w:rPr>
              <w:t>بنهاية السنة المنتهية في 31 ديسمبر 202</w:t>
            </w:r>
            <w:r w:rsidR="005804FD">
              <w:rPr>
                <w:rFonts w:ascii="Traditional Arabic" w:hAnsi="Traditional Arabic" w:cs="Traditional Arabic" w:hint="cs"/>
                <w:sz w:val="30"/>
                <w:szCs w:val="30"/>
                <w:rtl/>
                <w:lang w:bidi="ar-OM"/>
              </w:rPr>
              <w:t>3</w:t>
            </w:r>
            <w:r w:rsidRPr="00C73B2D">
              <w:rPr>
                <w:rFonts w:ascii="Traditional Arabic" w:hAnsi="Traditional Arabic" w:cs="Traditional Arabic"/>
                <w:sz w:val="30"/>
                <w:szCs w:val="30"/>
                <w:rtl/>
                <w:lang w:bidi="ar-OM"/>
              </w:rPr>
              <w:t xml:space="preserve"> (والتي تتضمن معلومات مالية</w:t>
            </w:r>
            <w:r w:rsidR="00DF747E">
              <w:rPr>
                <w:rFonts w:ascii="Traditional Arabic" w:hAnsi="Traditional Arabic" w:cs="Traditional Arabic" w:hint="cs"/>
                <w:sz w:val="30"/>
                <w:szCs w:val="30"/>
                <w:rtl/>
                <w:lang w:bidi="ar-OM"/>
              </w:rPr>
              <w:t xml:space="preserve"> </w:t>
            </w:r>
            <w:r w:rsidRPr="00C73B2D">
              <w:rPr>
                <w:rFonts w:ascii="Traditional Arabic" w:hAnsi="Traditional Arabic" w:cs="Traditional Arabic"/>
                <w:sz w:val="30"/>
                <w:szCs w:val="30"/>
                <w:rtl/>
                <w:lang w:bidi="ar-OM"/>
              </w:rPr>
              <w:t>مقارنة حتى نهاية السنة المنتهية في 31 ديسمبر 202</w:t>
            </w:r>
            <w:r w:rsidR="005804FD">
              <w:rPr>
                <w:rFonts w:ascii="Traditional Arabic" w:hAnsi="Traditional Arabic" w:cs="Traditional Arabic" w:hint="cs"/>
                <w:sz w:val="30"/>
                <w:szCs w:val="30"/>
                <w:rtl/>
                <w:lang w:bidi="ar-OM"/>
              </w:rPr>
              <w:t>2</w:t>
            </w:r>
            <w:r w:rsidRPr="00C73B2D">
              <w:rPr>
                <w:rFonts w:ascii="Traditional Arabic" w:hAnsi="Traditional Arabic" w:cs="Traditional Arabic"/>
                <w:sz w:val="30"/>
                <w:szCs w:val="30"/>
                <w:rtl/>
                <w:lang w:bidi="ar-OM"/>
              </w:rPr>
              <w:t>.)</w:t>
            </w:r>
          </w:p>
        </w:tc>
        <w:tc>
          <w:tcPr>
            <w:tcW w:w="1344" w:type="pct"/>
          </w:tcPr>
          <w:p w14:paraId="1310BE6C"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lang w:bidi="ar-OM"/>
              </w:rPr>
              <w:t>البيانات المالية</w:t>
            </w:r>
            <w:r w:rsidR="00DF747E">
              <w:rPr>
                <w:rFonts w:ascii="Traditional Arabic" w:hAnsi="Traditional Arabic" w:cs="Traditional Arabic" w:hint="cs"/>
                <w:sz w:val="30"/>
                <w:szCs w:val="30"/>
                <w:rtl/>
                <w:lang w:bidi="ar-OM"/>
              </w:rPr>
              <w:t xml:space="preserve"> </w:t>
            </w:r>
            <w:r w:rsidRPr="00C73B2D">
              <w:rPr>
                <w:rFonts w:ascii="Traditional Arabic" w:hAnsi="Traditional Arabic" w:cs="Traditional Arabic"/>
                <w:sz w:val="30"/>
                <w:szCs w:val="30"/>
                <w:rtl/>
                <w:lang w:bidi="ar-OM"/>
              </w:rPr>
              <w:t>السنوية لعام 202</w:t>
            </w:r>
            <w:r w:rsidR="005804FD">
              <w:rPr>
                <w:rFonts w:ascii="Traditional Arabic" w:hAnsi="Traditional Arabic" w:cs="Traditional Arabic" w:hint="cs"/>
                <w:sz w:val="30"/>
                <w:szCs w:val="30"/>
                <w:rtl/>
                <w:lang w:bidi="ar-OM"/>
              </w:rPr>
              <w:t>3</w:t>
            </w:r>
          </w:p>
        </w:tc>
      </w:tr>
      <w:tr w:rsidR="00D336A4" w:rsidRPr="00C73B2D" w14:paraId="57F6AE45" w14:textId="77777777" w:rsidTr="00922116">
        <w:trPr>
          <w:trHeight w:val="1107"/>
        </w:trPr>
        <w:tc>
          <w:tcPr>
            <w:tcW w:w="3656" w:type="pct"/>
          </w:tcPr>
          <w:p w14:paraId="55E5110B" w14:textId="77777777" w:rsidR="00D336A4" w:rsidRPr="00C73B2D" w:rsidRDefault="000231AE" w:rsidP="000231AE">
            <w:pPr>
              <w:bidi/>
              <w:spacing w:beforeLines="40" w:before="96" w:afterLines="40" w:after="96" w:line="276" w:lineRule="auto"/>
              <w:jc w:val="both"/>
              <w:rPr>
                <w:rFonts w:ascii="Traditional Arabic" w:hAnsi="Traditional Arabic" w:cs="Traditional Arabic"/>
                <w:sz w:val="30"/>
                <w:szCs w:val="30"/>
                <w:rtl/>
                <w:lang w:bidi="ar-OM"/>
              </w:rPr>
            </w:pPr>
            <w:r w:rsidRPr="000231AE">
              <w:rPr>
                <w:rFonts w:ascii="Traditional Arabic" w:hAnsi="Traditional Arabic" w:cs="Traditional Arabic"/>
                <w:sz w:val="30"/>
                <w:szCs w:val="30"/>
                <w:lang w:bidi="ar-OM"/>
              </w:rPr>
              <w:t> </w:t>
            </w:r>
            <w:r w:rsidRPr="000231AE">
              <w:rPr>
                <w:rFonts w:ascii="Traditional Arabic" w:hAnsi="Traditional Arabic" w:cs="Traditional Arabic"/>
                <w:sz w:val="30"/>
                <w:szCs w:val="30"/>
                <w:rtl/>
              </w:rPr>
              <w:t>هيئة المحاسبة والمراجعة للمؤسسات المالية الإسلامية</w:t>
            </w:r>
          </w:p>
        </w:tc>
        <w:tc>
          <w:tcPr>
            <w:tcW w:w="1344" w:type="pct"/>
          </w:tcPr>
          <w:p w14:paraId="4FCBC94F" w14:textId="77777777" w:rsidR="00D336A4" w:rsidRPr="00C73B2D" w:rsidRDefault="00D336A4" w:rsidP="00922116">
            <w:pPr>
              <w:bidi/>
              <w:spacing w:beforeLines="40" w:before="96" w:afterLines="40" w:after="96" w:line="276" w:lineRule="auto"/>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أيوفي</w:t>
            </w:r>
          </w:p>
        </w:tc>
      </w:tr>
      <w:tr w:rsidR="00352F9E" w:rsidRPr="00C73B2D" w14:paraId="24A633A1" w14:textId="77777777" w:rsidTr="00922116">
        <w:trPr>
          <w:trHeight w:val="1107"/>
        </w:trPr>
        <w:tc>
          <w:tcPr>
            <w:tcW w:w="3656" w:type="pct"/>
          </w:tcPr>
          <w:p w14:paraId="2D886D5A"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lang w:bidi="ar-OM"/>
              </w:rPr>
              <w:t>إدراج الأسهم في بورصة مسقط تحت الرمز (</w:t>
            </w:r>
            <w:r w:rsidR="005B43DB" w:rsidRPr="003A3361">
              <w:rPr>
                <w:rFonts w:hint="cs"/>
                <w:sz w:val="28"/>
                <w:rtl/>
              </w:rPr>
              <w:t>"</w:t>
            </w:r>
            <w:r w:rsidR="005B43DB" w:rsidRPr="003A3361">
              <w:rPr>
                <w:sz w:val="28"/>
              </w:rPr>
              <w:t>ASCO</w:t>
            </w:r>
            <w:r w:rsidR="005B43DB">
              <w:rPr>
                <w:rFonts w:hint="cs"/>
                <w:sz w:val="28"/>
                <w:rtl/>
              </w:rPr>
              <w:t>"</w:t>
            </w:r>
            <w:r w:rsidRPr="00C73B2D">
              <w:rPr>
                <w:rFonts w:ascii="Traditional Arabic" w:hAnsi="Traditional Arabic" w:cs="Traditional Arabic"/>
                <w:sz w:val="30"/>
                <w:szCs w:val="30"/>
                <w:rtl/>
                <w:lang w:bidi="ar-OM"/>
              </w:rPr>
              <w:t>)</w:t>
            </w:r>
          </w:p>
        </w:tc>
        <w:tc>
          <w:tcPr>
            <w:tcW w:w="1344" w:type="pct"/>
          </w:tcPr>
          <w:p w14:paraId="65D7D8D4"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lang w:bidi="ar-OM"/>
              </w:rPr>
              <w:t>التسجيل</w:t>
            </w:r>
          </w:p>
        </w:tc>
      </w:tr>
      <w:tr w:rsidR="00352F9E" w:rsidRPr="00C73B2D" w14:paraId="5C4013BD" w14:textId="77777777" w:rsidTr="00922116">
        <w:trPr>
          <w:trHeight w:val="1008"/>
        </w:trPr>
        <w:tc>
          <w:tcPr>
            <w:tcW w:w="3656" w:type="pct"/>
          </w:tcPr>
          <w:p w14:paraId="17176F92"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الجمعية العامة السنوية للمساهمين.</w:t>
            </w:r>
          </w:p>
        </w:tc>
        <w:tc>
          <w:tcPr>
            <w:tcW w:w="1344" w:type="pct"/>
          </w:tcPr>
          <w:p w14:paraId="792003D6"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الجمعية العامة السنوية</w:t>
            </w:r>
          </w:p>
        </w:tc>
      </w:tr>
      <w:tr w:rsidR="00352F9E" w:rsidRPr="00C73B2D" w14:paraId="35846EF2" w14:textId="77777777" w:rsidTr="00922116">
        <w:trPr>
          <w:trHeight w:val="1008"/>
        </w:trPr>
        <w:tc>
          <w:tcPr>
            <w:tcW w:w="3656" w:type="pct"/>
          </w:tcPr>
          <w:p w14:paraId="21422230" w14:textId="607E8576" w:rsidR="00352F9E" w:rsidRPr="00C73B2D" w:rsidRDefault="00DD645E" w:rsidP="009A587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المستثمر</w:t>
            </w:r>
            <w:r>
              <w:rPr>
                <w:rFonts w:ascii="Traditional Arabic" w:hAnsi="Traditional Arabic" w:cs="Traditional Arabic" w:hint="cs"/>
                <w:sz w:val="30"/>
                <w:szCs w:val="30"/>
                <w:rtl/>
              </w:rPr>
              <w:t>ون</w:t>
            </w:r>
            <w:r w:rsidRPr="00C73B2D">
              <w:rPr>
                <w:rFonts w:ascii="Traditional Arabic" w:hAnsi="Traditional Arabic" w:cs="Traditional Arabic"/>
                <w:sz w:val="30"/>
                <w:szCs w:val="30"/>
                <w:rtl/>
              </w:rPr>
              <w:t xml:space="preserve"> </w:t>
            </w:r>
            <w:r w:rsidR="00352F9E" w:rsidRPr="00C73B2D">
              <w:rPr>
                <w:rFonts w:ascii="Traditional Arabic" w:hAnsi="Traditional Arabic" w:cs="Traditional Arabic"/>
                <w:sz w:val="30"/>
                <w:szCs w:val="30"/>
                <w:rtl/>
              </w:rPr>
              <w:t xml:space="preserve">الذين تم تحديدهم كمستثمرين رئيسيين في الفصل </w:t>
            </w:r>
            <w:r w:rsidR="002C0F51">
              <w:rPr>
                <w:rFonts w:ascii="Traditional Arabic" w:hAnsi="Traditional Arabic" w:cs="Traditional Arabic" w:hint="cs"/>
                <w:sz w:val="30"/>
                <w:szCs w:val="30"/>
                <w:rtl/>
                <w:lang w:bidi="ar-EG"/>
              </w:rPr>
              <w:t xml:space="preserve">الثامن </w:t>
            </w:r>
            <w:r w:rsidR="00352F9E" w:rsidRPr="00C73B2D">
              <w:rPr>
                <w:rFonts w:ascii="Traditional Arabic" w:hAnsi="Traditional Arabic" w:cs="Traditional Arabic"/>
                <w:sz w:val="30"/>
                <w:szCs w:val="30"/>
                <w:rtl/>
              </w:rPr>
              <w:t xml:space="preserve">بعنوان "بيانات المساهمين في الشركة"، وهم: </w:t>
            </w:r>
            <w:r w:rsidR="009A5876" w:rsidRPr="009A5876">
              <w:rPr>
                <w:rFonts w:ascii="Traditional Arabic" w:hAnsi="Traditional Arabic" w:cs="Traditional Arabic"/>
                <w:sz w:val="30"/>
                <w:szCs w:val="30"/>
                <w:rtl/>
              </w:rPr>
              <w:t>فالكون للاستثمار ذ.م.م</w:t>
            </w:r>
            <w:r w:rsidR="009A5876">
              <w:rPr>
                <w:rFonts w:ascii="Traditional Arabic" w:hAnsi="Traditional Arabic" w:cs="Traditional Arabic" w:hint="cs"/>
                <w:sz w:val="30"/>
                <w:szCs w:val="30"/>
                <w:rtl/>
              </w:rPr>
              <w:t xml:space="preserve"> ، و</w:t>
            </w:r>
            <w:r w:rsidR="00791F26" w:rsidRPr="00785453">
              <w:rPr>
                <w:rFonts w:ascii="Traditional Arabic" w:hAnsi="Traditional Arabic" w:cs="Traditional Arabic" w:hint="eastAsia"/>
                <w:sz w:val="28"/>
                <w:szCs w:val="28"/>
                <w:rtl/>
              </w:rPr>
              <w:t>المريخ</w:t>
            </w:r>
            <w:r w:rsidR="00791F26" w:rsidRPr="00785453">
              <w:rPr>
                <w:rFonts w:ascii="Traditional Arabic" w:hAnsi="Traditional Arabic" w:cs="Traditional Arabic"/>
                <w:sz w:val="28"/>
                <w:szCs w:val="28"/>
                <w:rtl/>
              </w:rPr>
              <w:t xml:space="preserve"> للتنمية والاستثمار </w:t>
            </w:r>
            <w:r w:rsidR="00791F26" w:rsidRPr="00785453">
              <w:rPr>
                <w:rFonts w:ascii="Traditional Arabic" w:hAnsi="Traditional Arabic" w:cs="Traditional Arabic" w:hint="eastAsia"/>
                <w:sz w:val="28"/>
                <w:szCs w:val="28"/>
                <w:rtl/>
              </w:rPr>
              <w:t>ش</w:t>
            </w:r>
            <w:r w:rsidR="00791F26" w:rsidRPr="00785453">
              <w:rPr>
                <w:rFonts w:ascii="Traditional Arabic" w:hAnsi="Traditional Arabic" w:cs="Traditional Arabic" w:hint="cs"/>
                <w:sz w:val="28"/>
                <w:szCs w:val="28"/>
                <w:rtl/>
              </w:rPr>
              <w:t>.</w:t>
            </w:r>
            <w:r w:rsidR="00791F26" w:rsidRPr="00785453">
              <w:rPr>
                <w:rFonts w:ascii="Traditional Arabic" w:hAnsi="Traditional Arabic" w:cs="Traditional Arabic" w:hint="eastAsia"/>
                <w:sz w:val="28"/>
                <w:szCs w:val="28"/>
                <w:rtl/>
              </w:rPr>
              <w:t>م</w:t>
            </w:r>
            <w:r w:rsidR="00791F26" w:rsidRPr="00785453">
              <w:rPr>
                <w:rFonts w:ascii="Traditional Arabic" w:hAnsi="Traditional Arabic" w:cs="Traditional Arabic" w:hint="cs"/>
                <w:sz w:val="28"/>
                <w:szCs w:val="28"/>
                <w:rtl/>
              </w:rPr>
              <w:t>.</w:t>
            </w:r>
            <w:r w:rsidR="00791F26" w:rsidRPr="00785453">
              <w:rPr>
                <w:rFonts w:ascii="Traditional Arabic" w:hAnsi="Traditional Arabic" w:cs="Traditional Arabic" w:hint="eastAsia"/>
                <w:sz w:val="28"/>
                <w:szCs w:val="28"/>
                <w:rtl/>
              </w:rPr>
              <w:t>م</w:t>
            </w:r>
          </w:p>
        </w:tc>
        <w:tc>
          <w:tcPr>
            <w:tcW w:w="1344" w:type="pct"/>
            <w:hideMark/>
          </w:tcPr>
          <w:p w14:paraId="01264DD4"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المستثمر</w:t>
            </w:r>
            <w:r w:rsidR="00DD645E">
              <w:rPr>
                <w:rFonts w:ascii="Traditional Arabic" w:hAnsi="Traditional Arabic" w:cs="Traditional Arabic" w:hint="cs"/>
                <w:sz w:val="30"/>
                <w:szCs w:val="30"/>
                <w:rtl/>
              </w:rPr>
              <w:t>ون</w:t>
            </w:r>
            <w:r w:rsidRPr="00C73B2D">
              <w:rPr>
                <w:rFonts w:ascii="Traditional Arabic" w:hAnsi="Traditional Arabic" w:cs="Traditional Arabic"/>
                <w:sz w:val="30"/>
                <w:szCs w:val="30"/>
                <w:rtl/>
              </w:rPr>
              <w:t xml:space="preserve"> الرئيسي</w:t>
            </w:r>
            <w:r w:rsidR="00DD645E">
              <w:rPr>
                <w:rFonts w:ascii="Traditional Arabic" w:hAnsi="Traditional Arabic" w:cs="Traditional Arabic" w:hint="cs"/>
                <w:sz w:val="30"/>
                <w:szCs w:val="30"/>
                <w:rtl/>
              </w:rPr>
              <w:t>ون</w:t>
            </w:r>
          </w:p>
        </w:tc>
      </w:tr>
      <w:tr w:rsidR="00352F9E" w:rsidRPr="00C73B2D" w14:paraId="5EDD0861" w14:textId="77777777" w:rsidTr="00922116">
        <w:tc>
          <w:tcPr>
            <w:tcW w:w="3656" w:type="pct"/>
          </w:tcPr>
          <w:p w14:paraId="34A104D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rPr>
              <w:t>البيانات المالية</w:t>
            </w:r>
            <w:r w:rsidR="0092460F">
              <w:rPr>
                <w:rFonts w:ascii="Traditional Arabic" w:hAnsi="Traditional Arabic" w:cs="Traditional Arabic" w:hint="cs"/>
                <w:sz w:val="30"/>
                <w:szCs w:val="30"/>
                <w:rtl/>
                <w:lang w:bidi="ar-OM"/>
              </w:rPr>
              <w:t xml:space="preserve"> </w:t>
            </w:r>
            <w:r w:rsidRPr="00C73B2D">
              <w:rPr>
                <w:rFonts w:ascii="Traditional Arabic" w:hAnsi="Traditional Arabic" w:cs="Traditional Arabic"/>
                <w:sz w:val="30"/>
                <w:szCs w:val="30"/>
                <w:rtl/>
              </w:rPr>
              <w:t>السنوية لعام 202</w:t>
            </w:r>
            <w:r w:rsidR="00404C6C">
              <w:rPr>
                <w:rFonts w:ascii="Traditional Arabic" w:hAnsi="Traditional Arabic" w:cs="Traditional Arabic" w:hint="cs"/>
                <w:sz w:val="30"/>
                <w:szCs w:val="30"/>
                <w:rtl/>
              </w:rPr>
              <w:t>2</w:t>
            </w:r>
            <w:r w:rsidRPr="00C73B2D">
              <w:rPr>
                <w:rFonts w:ascii="Traditional Arabic" w:hAnsi="Traditional Arabic" w:cs="Traditional Arabic"/>
                <w:sz w:val="30"/>
                <w:szCs w:val="30"/>
                <w:rtl/>
              </w:rPr>
              <w:t xml:space="preserve"> والبيانات المالية</w:t>
            </w:r>
            <w:r w:rsidR="0092460F">
              <w:rPr>
                <w:rFonts w:ascii="Traditional Arabic" w:hAnsi="Traditional Arabic" w:cs="Traditional Arabic" w:hint="cs"/>
                <w:sz w:val="30"/>
                <w:szCs w:val="30"/>
                <w:rtl/>
                <w:lang w:bidi="ar-OM"/>
              </w:rPr>
              <w:t xml:space="preserve"> </w:t>
            </w:r>
            <w:r w:rsidRPr="00C73B2D">
              <w:rPr>
                <w:rFonts w:ascii="Traditional Arabic" w:hAnsi="Traditional Arabic" w:cs="Traditional Arabic"/>
                <w:sz w:val="30"/>
                <w:szCs w:val="30"/>
                <w:rtl/>
              </w:rPr>
              <w:t>السنوية لعام 202</w:t>
            </w:r>
            <w:r w:rsidR="00404C6C">
              <w:rPr>
                <w:rFonts w:ascii="Traditional Arabic" w:hAnsi="Traditional Arabic" w:cs="Traditional Arabic" w:hint="cs"/>
                <w:sz w:val="30"/>
                <w:szCs w:val="30"/>
                <w:rtl/>
              </w:rPr>
              <w:t>3</w:t>
            </w:r>
            <w:r w:rsidRPr="00C73B2D">
              <w:rPr>
                <w:rFonts w:ascii="Traditional Arabic" w:hAnsi="Traditional Arabic" w:cs="Traditional Arabic"/>
                <w:sz w:val="30"/>
                <w:szCs w:val="30"/>
                <w:rtl/>
              </w:rPr>
              <w:t>.</w:t>
            </w:r>
          </w:p>
        </w:tc>
        <w:tc>
          <w:tcPr>
            <w:tcW w:w="1344" w:type="pct"/>
          </w:tcPr>
          <w:p w14:paraId="2043A9F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البيانات المالية</w:t>
            </w:r>
            <w:r w:rsidR="0092460F">
              <w:rPr>
                <w:rFonts w:ascii="Traditional Arabic" w:hAnsi="Traditional Arabic" w:cs="Traditional Arabic" w:hint="cs"/>
                <w:sz w:val="30"/>
                <w:szCs w:val="30"/>
                <w:rtl/>
                <w:lang w:bidi="ar-OM"/>
              </w:rPr>
              <w:t xml:space="preserve"> </w:t>
            </w:r>
            <w:r w:rsidRPr="00C73B2D">
              <w:rPr>
                <w:rFonts w:ascii="Traditional Arabic" w:hAnsi="Traditional Arabic" w:cs="Traditional Arabic"/>
                <w:sz w:val="30"/>
                <w:szCs w:val="30"/>
                <w:rtl/>
              </w:rPr>
              <w:t>السنوية</w:t>
            </w:r>
          </w:p>
        </w:tc>
      </w:tr>
      <w:tr w:rsidR="00352F9E" w:rsidRPr="00C73B2D" w14:paraId="56DC640A" w14:textId="77777777" w:rsidTr="00922116">
        <w:tc>
          <w:tcPr>
            <w:tcW w:w="3656" w:type="pct"/>
          </w:tcPr>
          <w:p w14:paraId="6097574A" w14:textId="70D2FBDF" w:rsidR="00352F9E" w:rsidRPr="00C73B2D" w:rsidRDefault="00A05B1B"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مقدم الطلب</w:t>
            </w:r>
            <w:r w:rsidRPr="00C73B2D">
              <w:rPr>
                <w:rFonts w:ascii="Traditional Arabic" w:hAnsi="Traditional Arabic" w:cs="Traditional Arabic"/>
                <w:sz w:val="30"/>
                <w:szCs w:val="30"/>
                <w:rtl/>
              </w:rPr>
              <w:t xml:space="preserve"> </w:t>
            </w:r>
            <w:r w:rsidR="00352F9E" w:rsidRPr="00C73B2D">
              <w:rPr>
                <w:rFonts w:ascii="Traditional Arabic" w:hAnsi="Traditional Arabic" w:cs="Traditional Arabic"/>
                <w:sz w:val="30"/>
                <w:szCs w:val="30"/>
                <w:rtl/>
              </w:rPr>
              <w:t>في الفئة الأولى أو الثانية.</w:t>
            </w:r>
          </w:p>
          <w:p w14:paraId="28FC9ADC"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7DCDAFC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مقدم الطلب</w:t>
            </w:r>
          </w:p>
        </w:tc>
      </w:tr>
      <w:tr w:rsidR="00352F9E" w:rsidRPr="00C73B2D" w14:paraId="6445046A" w14:textId="77777777" w:rsidTr="00922116">
        <w:trPr>
          <w:trHeight w:val="796"/>
        </w:trPr>
        <w:tc>
          <w:tcPr>
            <w:tcW w:w="3656" w:type="pct"/>
          </w:tcPr>
          <w:p w14:paraId="5FF6C73F"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الاستمارة التي يتقدم بموجبها مقدم الطلب لشراء الأسهم المطروحة وفقاً للشروط الواردة في هذه النشرة.</w:t>
            </w:r>
          </w:p>
          <w:p w14:paraId="1946A02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457A6044"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طلب الاكتتاب</w:t>
            </w:r>
          </w:p>
          <w:p w14:paraId="02CBECB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352F9E" w:rsidRPr="00C73B2D" w14:paraId="5BE2BC68" w14:textId="77777777" w:rsidTr="00922116">
        <w:trPr>
          <w:trHeight w:val="1590"/>
        </w:trPr>
        <w:tc>
          <w:tcPr>
            <w:tcW w:w="3656" w:type="pct"/>
          </w:tcPr>
          <w:p w14:paraId="46C751D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lastRenderedPageBreak/>
              <w:t>استمارة طلب الاكتتاب التي يستخدمها مقدم الطلب في الفئة الأولى لتعديل العروض المقدمة في الفئة الأولى طبقًا لشروط هذه النشرة.</w:t>
            </w:r>
          </w:p>
          <w:p w14:paraId="679B9532"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56B7952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استمارة تعديل طلب الاكتتاب</w:t>
            </w:r>
          </w:p>
        </w:tc>
      </w:tr>
      <w:tr w:rsidR="00352F9E" w:rsidRPr="00C73B2D" w14:paraId="37F3FBD4" w14:textId="77777777" w:rsidTr="00922116">
        <w:tc>
          <w:tcPr>
            <w:tcW w:w="3656" w:type="pct"/>
          </w:tcPr>
          <w:p w14:paraId="2462D28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المبلغ الذي سيدفعه كل مقدم طلب عند تقديم طلب اكتتابه في الأسهم المطروحة على النحو المحدد في الفصل </w:t>
            </w:r>
            <w:r w:rsidR="00757A8D">
              <w:rPr>
                <w:rFonts w:ascii="Traditional Arabic" w:hAnsi="Traditional Arabic" w:cs="Traditional Arabic" w:hint="cs"/>
                <w:sz w:val="30"/>
                <w:szCs w:val="30"/>
                <w:rtl/>
              </w:rPr>
              <w:t>التاسع</w:t>
            </w:r>
            <w:r w:rsidR="00757A8D">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من هذه النشرة بعنوان "شروط الاكتتاب وإجراءاته".</w:t>
            </w:r>
          </w:p>
          <w:p w14:paraId="7E342CD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32A9D242"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قيمة الأسهم المكتتب بها</w:t>
            </w:r>
          </w:p>
        </w:tc>
      </w:tr>
      <w:tr w:rsidR="00352F9E" w:rsidRPr="00C73B2D" w14:paraId="53CD2C49" w14:textId="77777777" w:rsidTr="00922116">
        <w:trPr>
          <w:trHeight w:val="1278"/>
        </w:trPr>
        <w:tc>
          <w:tcPr>
            <w:tcW w:w="3656" w:type="pct"/>
          </w:tcPr>
          <w:p w14:paraId="2610C34B" w14:textId="77777777" w:rsidR="00352F9E" w:rsidRPr="00C73B2D" w:rsidRDefault="00352F9E" w:rsidP="00D16934">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النظام الأساسي ل</w:t>
            </w:r>
            <w:r w:rsidR="00733AFD">
              <w:rPr>
                <w:rFonts w:ascii="Traditional Arabic" w:hAnsi="Traditional Arabic" w:cs="Traditional Arabic" w:hint="cs"/>
                <w:sz w:val="30"/>
                <w:szCs w:val="30"/>
                <w:rtl/>
              </w:rPr>
              <w:t xml:space="preserve">لشركة </w:t>
            </w:r>
            <w:r w:rsidR="00D16934">
              <w:rPr>
                <w:rFonts w:ascii="Traditional Arabic" w:hAnsi="Traditional Arabic" w:cs="Traditional Arabic" w:hint="cs"/>
                <w:sz w:val="30"/>
                <w:szCs w:val="30"/>
                <w:rtl/>
              </w:rPr>
              <w:t>المعد وفقا لنموذج هيئة الخدمات المالية</w:t>
            </w:r>
          </w:p>
        </w:tc>
        <w:tc>
          <w:tcPr>
            <w:tcW w:w="1344" w:type="pct"/>
          </w:tcPr>
          <w:p w14:paraId="6C20CE7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النظام الأساسي</w:t>
            </w:r>
          </w:p>
          <w:p w14:paraId="419D8A3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4E2D8A" w:rsidRPr="00C73B2D" w14:paraId="37123CDB" w14:textId="77777777" w:rsidTr="00922116">
        <w:trPr>
          <w:trHeight w:val="1278"/>
        </w:trPr>
        <w:tc>
          <w:tcPr>
            <w:tcW w:w="3656" w:type="pct"/>
          </w:tcPr>
          <w:p w14:paraId="0128DC77" w14:textId="77777777" w:rsidR="004E2D8A" w:rsidRPr="00C73B2D" w:rsidRDefault="00530A21"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شركة خط أسياد </w:t>
            </w:r>
            <w:r w:rsidR="00A91AB5">
              <w:rPr>
                <w:rFonts w:ascii="Traditional Arabic" w:hAnsi="Traditional Arabic" w:cs="Traditional Arabic" w:hint="cs"/>
                <w:sz w:val="30"/>
                <w:szCs w:val="30"/>
                <w:rtl/>
              </w:rPr>
              <w:t>ش.م.م</w:t>
            </w:r>
          </w:p>
        </w:tc>
        <w:tc>
          <w:tcPr>
            <w:tcW w:w="1344" w:type="pct"/>
          </w:tcPr>
          <w:p w14:paraId="179E82F2" w14:textId="77777777" w:rsidR="004E2D8A" w:rsidRPr="00C73B2D" w:rsidRDefault="00530A21" w:rsidP="00922116">
            <w:pPr>
              <w:bidi/>
              <w:spacing w:beforeLines="40" w:before="96" w:afterLines="40" w:after="96" w:line="276" w:lineRule="auto"/>
              <w:jc w:val="both"/>
              <w:rPr>
                <w:rFonts w:ascii="Traditional Arabic" w:hAnsi="Traditional Arabic" w:cs="Traditional Arabic"/>
                <w:sz w:val="30"/>
                <w:szCs w:val="30"/>
                <w:lang w:bidi="ar-EG"/>
              </w:rPr>
            </w:pPr>
            <w:r>
              <w:rPr>
                <w:rFonts w:ascii="Traditional Arabic" w:hAnsi="Traditional Arabic" w:cs="Traditional Arabic" w:hint="cs"/>
                <w:sz w:val="30"/>
                <w:szCs w:val="30"/>
                <w:rtl/>
                <w:lang w:bidi="ar-EG"/>
              </w:rPr>
              <w:t>شركة خط أسياد</w:t>
            </w:r>
          </w:p>
        </w:tc>
      </w:tr>
      <w:tr w:rsidR="00D16934" w:rsidRPr="00C73B2D" w14:paraId="1D602FBB" w14:textId="77777777" w:rsidTr="00922116">
        <w:trPr>
          <w:trHeight w:val="1278"/>
        </w:trPr>
        <w:tc>
          <w:tcPr>
            <w:tcW w:w="3656" w:type="pct"/>
          </w:tcPr>
          <w:p w14:paraId="51B572B7" w14:textId="77777777" w:rsidR="00D16934" w:rsidRDefault="00D16934"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شركة أسياد لإدارة السفن ش ش و</w:t>
            </w:r>
          </w:p>
        </w:tc>
        <w:tc>
          <w:tcPr>
            <w:tcW w:w="1344" w:type="pct"/>
          </w:tcPr>
          <w:p w14:paraId="38FEADD9" w14:textId="77777777" w:rsidR="00D16934" w:rsidRDefault="00D16934" w:rsidP="00922116">
            <w:pPr>
              <w:bidi/>
              <w:spacing w:beforeLines="40" w:before="96" w:afterLines="40" w:after="96" w:line="276" w:lineRule="auto"/>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شركة أسياد لإدارة السفن</w:t>
            </w:r>
          </w:p>
        </w:tc>
      </w:tr>
      <w:tr w:rsidR="00530A21" w:rsidRPr="00C73B2D" w14:paraId="29B77C78" w14:textId="77777777" w:rsidTr="00922116">
        <w:trPr>
          <w:trHeight w:val="1064"/>
        </w:trPr>
        <w:tc>
          <w:tcPr>
            <w:tcW w:w="3656" w:type="pct"/>
          </w:tcPr>
          <w:p w14:paraId="0E13E0DE" w14:textId="77777777" w:rsidR="00530A21" w:rsidRPr="00C73B2D" w:rsidRDefault="00530A21"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شركة أسياد شيبينغ بي تي إي ليمتد</w:t>
            </w:r>
          </w:p>
        </w:tc>
        <w:tc>
          <w:tcPr>
            <w:tcW w:w="1344" w:type="pct"/>
          </w:tcPr>
          <w:p w14:paraId="2BA66683" w14:textId="77777777" w:rsidR="00530A21" w:rsidRPr="00C73B2D" w:rsidRDefault="00530A21"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شركة أسياد شيبينغ</w:t>
            </w:r>
          </w:p>
        </w:tc>
      </w:tr>
      <w:tr w:rsidR="00D16934" w:rsidRPr="00C73B2D" w14:paraId="3D38A7AC" w14:textId="77777777" w:rsidTr="00922116">
        <w:trPr>
          <w:trHeight w:val="1064"/>
        </w:trPr>
        <w:tc>
          <w:tcPr>
            <w:tcW w:w="3656" w:type="pct"/>
          </w:tcPr>
          <w:p w14:paraId="7F2EC901" w14:textId="77777777" w:rsidR="00D16934" w:rsidRDefault="00D16934"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مجموعة أسياد ش م ع م</w:t>
            </w:r>
          </w:p>
        </w:tc>
        <w:tc>
          <w:tcPr>
            <w:tcW w:w="1344" w:type="pct"/>
          </w:tcPr>
          <w:p w14:paraId="40E21B28" w14:textId="77777777" w:rsidR="00D16934" w:rsidRDefault="00D16934"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مجموعة أسياد</w:t>
            </w:r>
          </w:p>
        </w:tc>
      </w:tr>
      <w:tr w:rsidR="00352F9E" w:rsidRPr="00C73B2D" w14:paraId="3F88F944" w14:textId="77777777" w:rsidTr="00922116">
        <w:trPr>
          <w:trHeight w:val="1064"/>
        </w:trPr>
        <w:tc>
          <w:tcPr>
            <w:tcW w:w="3656" w:type="pct"/>
          </w:tcPr>
          <w:p w14:paraId="418538AB" w14:textId="77777777" w:rsidR="00352F9E" w:rsidRPr="00C73B2D" w:rsidRDefault="00352F9E" w:rsidP="0055592E">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كي بي إم جي </w:t>
            </w:r>
            <w:r w:rsidR="00511678">
              <w:rPr>
                <w:rFonts w:ascii="Traditional Arabic" w:hAnsi="Traditional Arabic" w:cs="Traditional Arabic" w:hint="cs"/>
                <w:sz w:val="30"/>
                <w:szCs w:val="30"/>
                <w:rtl/>
              </w:rPr>
              <w:t>ش.م.م</w:t>
            </w:r>
          </w:p>
        </w:tc>
        <w:tc>
          <w:tcPr>
            <w:tcW w:w="1344" w:type="pct"/>
            <w:hideMark/>
          </w:tcPr>
          <w:p w14:paraId="2EDBC10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مراقب الحسابات</w:t>
            </w:r>
          </w:p>
        </w:tc>
      </w:tr>
      <w:tr w:rsidR="00352F9E" w:rsidRPr="00C73B2D" w14:paraId="43069124" w14:textId="77777777" w:rsidTr="00922116">
        <w:tc>
          <w:tcPr>
            <w:tcW w:w="3656" w:type="pct"/>
          </w:tcPr>
          <w:p w14:paraId="04CF89BD" w14:textId="77777777" w:rsidR="00352F9E" w:rsidRPr="00C73B2D" w:rsidRDefault="00352F9E" w:rsidP="003E2F38">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الأساس الذي يتم بموجبه تخصيص الأسهم المطروحة للمتقدمين بطلبات الاكتتاب على النحو المحدد في</w:t>
            </w:r>
            <w:r w:rsidR="00E60FDA">
              <w:rPr>
                <w:rFonts w:ascii="Traditional Arabic" w:hAnsi="Traditional Arabic" w:cs="Traditional Arabic" w:hint="cs"/>
                <w:sz w:val="30"/>
                <w:szCs w:val="30"/>
                <w:rtl/>
              </w:rPr>
              <w:t xml:space="preserve"> فقرة "أساس التخصيص" في</w:t>
            </w:r>
            <w:r w:rsidRPr="00C73B2D">
              <w:rPr>
                <w:rFonts w:ascii="Traditional Arabic" w:hAnsi="Traditional Arabic" w:cs="Traditional Arabic"/>
                <w:sz w:val="30"/>
                <w:szCs w:val="30"/>
                <w:rtl/>
              </w:rPr>
              <w:t xml:space="preserve"> الفصل </w:t>
            </w:r>
            <w:r w:rsidR="00E60FDA">
              <w:rPr>
                <w:rFonts w:ascii="Traditional Arabic" w:hAnsi="Traditional Arabic" w:cs="Traditional Arabic" w:hint="cs"/>
                <w:sz w:val="30"/>
                <w:szCs w:val="30"/>
                <w:rtl/>
              </w:rPr>
              <w:t>التاسع</w:t>
            </w:r>
            <w:r w:rsidR="00E60FDA">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من هذه النشرة بعنوان "شروط الاكتتاب وإجراءاته".</w:t>
            </w:r>
          </w:p>
        </w:tc>
        <w:tc>
          <w:tcPr>
            <w:tcW w:w="1344" w:type="pct"/>
            <w:hideMark/>
          </w:tcPr>
          <w:p w14:paraId="28E3B79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أساس التخصيص</w:t>
            </w:r>
          </w:p>
        </w:tc>
      </w:tr>
      <w:tr w:rsidR="004374D2" w:rsidRPr="00C73B2D" w14:paraId="24ECA80B" w14:textId="77777777" w:rsidTr="00922116">
        <w:trPr>
          <w:trHeight w:val="1236"/>
        </w:trPr>
        <w:tc>
          <w:tcPr>
            <w:tcW w:w="3656" w:type="pct"/>
          </w:tcPr>
          <w:p w14:paraId="6DFAECE4" w14:textId="77777777" w:rsidR="004374D2" w:rsidRPr="00C73B2D" w:rsidRDefault="004374D2"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 xml:space="preserve">سعر العرض مضروبا في إجمالي عدد الأسهم التي يراد الاكتتاب فيها </w:t>
            </w:r>
            <w:r w:rsidR="006F4EB4">
              <w:rPr>
                <w:rFonts w:ascii="Traditional Arabic" w:hAnsi="Traditional Arabic" w:cs="Traditional Arabic" w:hint="cs"/>
                <w:sz w:val="30"/>
                <w:szCs w:val="30"/>
                <w:rtl/>
              </w:rPr>
              <w:t>بسعر العرض.</w:t>
            </w:r>
          </w:p>
        </w:tc>
        <w:tc>
          <w:tcPr>
            <w:tcW w:w="1344" w:type="pct"/>
          </w:tcPr>
          <w:p w14:paraId="4E5EC65C" w14:textId="77777777" w:rsidR="004374D2" w:rsidRPr="00C73B2D" w:rsidRDefault="004374D2"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مبلغ العرض</w:t>
            </w:r>
          </w:p>
        </w:tc>
      </w:tr>
      <w:tr w:rsidR="00352F9E" w:rsidRPr="00C73B2D" w14:paraId="2920A78D" w14:textId="77777777" w:rsidTr="00922116">
        <w:trPr>
          <w:trHeight w:val="1236"/>
        </w:trPr>
        <w:tc>
          <w:tcPr>
            <w:tcW w:w="3656" w:type="pct"/>
          </w:tcPr>
          <w:p w14:paraId="25F761B3" w14:textId="77777777" w:rsidR="00352F9E" w:rsidRPr="00C73B2D" w:rsidRDefault="00352F9E" w:rsidP="00384CC0">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مجلس إدارة </w:t>
            </w:r>
            <w:r w:rsidR="00384CC0">
              <w:rPr>
                <w:rFonts w:ascii="Traditional Arabic" w:hAnsi="Traditional Arabic" w:cs="Traditional Arabic" w:hint="cs"/>
                <w:sz w:val="30"/>
                <w:szCs w:val="30"/>
                <w:rtl/>
              </w:rPr>
              <w:t xml:space="preserve">الشركة </w:t>
            </w:r>
          </w:p>
        </w:tc>
        <w:tc>
          <w:tcPr>
            <w:tcW w:w="1344" w:type="pct"/>
            <w:hideMark/>
          </w:tcPr>
          <w:p w14:paraId="1E6BD03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المجلس / مجلس الإدارة</w:t>
            </w:r>
          </w:p>
        </w:tc>
      </w:tr>
      <w:tr w:rsidR="00352F9E" w:rsidRPr="00C73B2D" w14:paraId="0166D6BF" w14:textId="77777777" w:rsidTr="00922116">
        <w:tc>
          <w:tcPr>
            <w:tcW w:w="3656" w:type="pct"/>
          </w:tcPr>
          <w:p w14:paraId="64C89B92"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البيسة العُمانية، وهي ألف بيسة من الريال العُماني العملة الرسمية لسلطنة عُمان.</w:t>
            </w:r>
          </w:p>
        </w:tc>
        <w:tc>
          <w:tcPr>
            <w:tcW w:w="1344" w:type="pct"/>
          </w:tcPr>
          <w:p w14:paraId="7F051796"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بيسة</w:t>
            </w:r>
          </w:p>
        </w:tc>
      </w:tr>
      <w:tr w:rsidR="00352F9E" w:rsidRPr="00C73B2D" w14:paraId="4653469A" w14:textId="77777777" w:rsidTr="00922116">
        <w:trPr>
          <w:trHeight w:val="1429"/>
        </w:trPr>
        <w:tc>
          <w:tcPr>
            <w:tcW w:w="3656" w:type="pct"/>
          </w:tcPr>
          <w:p w14:paraId="61491D99"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تمثل أعلى </w:t>
            </w:r>
            <w:r w:rsidRPr="00C73B2D">
              <w:rPr>
                <w:rFonts w:ascii="Traditional Arabic" w:hAnsi="Traditional Arabic" w:cs="Traditional Arabic"/>
                <w:sz w:val="30"/>
                <w:szCs w:val="30"/>
                <w:rtl/>
                <w:lang w:bidi="ar-OM"/>
              </w:rPr>
              <w:t xml:space="preserve">قيمة </w:t>
            </w:r>
            <w:r w:rsidRPr="00C73B2D">
              <w:rPr>
                <w:rFonts w:ascii="Traditional Arabic" w:hAnsi="Traditional Arabic" w:cs="Traditional Arabic"/>
                <w:sz w:val="30"/>
                <w:szCs w:val="30"/>
                <w:rtl/>
              </w:rPr>
              <w:t xml:space="preserve">للعرض من العروض المقدمة في طلب الاكتتاب بالفئة </w:t>
            </w:r>
            <w:r w:rsidR="0055100A">
              <w:rPr>
                <w:rFonts w:ascii="Traditional Arabic" w:hAnsi="Traditional Arabic" w:cs="Traditional Arabic" w:hint="cs"/>
                <w:sz w:val="30"/>
                <w:szCs w:val="30"/>
                <w:rtl/>
              </w:rPr>
              <w:t xml:space="preserve">الأولى. يرجى الاطلاع على </w:t>
            </w:r>
            <w:r w:rsidRPr="00C73B2D">
              <w:rPr>
                <w:rFonts w:ascii="Traditional Arabic" w:hAnsi="Traditional Arabic" w:cs="Traditional Arabic"/>
                <w:sz w:val="30"/>
                <w:szCs w:val="30"/>
                <w:rtl/>
              </w:rPr>
              <w:t xml:space="preserve"> "</w:t>
            </w:r>
            <w:r w:rsidR="0055100A">
              <w:rPr>
                <w:rFonts w:ascii="Traditional Arabic" w:hAnsi="Traditional Arabic" w:cs="Traditional Arabic" w:hint="cs"/>
                <w:sz w:val="30"/>
                <w:szCs w:val="30"/>
                <w:rtl/>
              </w:rPr>
              <w:t>ا</w:t>
            </w:r>
            <w:r w:rsidRPr="00C73B2D">
              <w:rPr>
                <w:rFonts w:ascii="Traditional Arabic" w:hAnsi="Traditional Arabic" w:cs="Traditional Arabic"/>
                <w:sz w:val="30"/>
                <w:szCs w:val="30"/>
                <w:rtl/>
              </w:rPr>
              <w:t xml:space="preserve">لفصل </w:t>
            </w:r>
            <w:r w:rsidR="009C1286">
              <w:rPr>
                <w:rFonts w:ascii="Traditional Arabic" w:hAnsi="Traditional Arabic" w:cs="Traditional Arabic" w:hint="cs"/>
                <w:sz w:val="30"/>
                <w:szCs w:val="30"/>
                <w:rtl/>
              </w:rPr>
              <w:t>التاسع</w:t>
            </w:r>
            <w:r w:rsidR="009C1286">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 شروط الاكتتاب وإجراءاته" </w:t>
            </w:r>
            <w:r w:rsidR="009B3C5F">
              <w:rPr>
                <w:rFonts w:ascii="Traditional Arabic" w:hAnsi="Traditional Arabic" w:cs="Traditional Arabic" w:hint="cs"/>
                <w:sz w:val="30"/>
                <w:szCs w:val="30"/>
                <w:rtl/>
              </w:rPr>
              <w:t>وقراءة</w:t>
            </w:r>
            <w:r w:rsidRPr="00C73B2D">
              <w:rPr>
                <w:rFonts w:ascii="Traditional Arabic" w:hAnsi="Traditional Arabic" w:cs="Traditional Arabic"/>
                <w:sz w:val="30"/>
                <w:szCs w:val="30"/>
                <w:rtl/>
              </w:rPr>
              <w:t xml:space="preserve"> </w:t>
            </w:r>
            <w:r w:rsidR="009B3C5F">
              <w:rPr>
                <w:rFonts w:ascii="Traditional Arabic" w:hAnsi="Traditional Arabic" w:cs="Traditional Arabic" w:hint="cs"/>
                <w:sz w:val="30"/>
                <w:szCs w:val="30"/>
                <w:rtl/>
              </w:rPr>
              <w:t>ال</w:t>
            </w:r>
            <w:r w:rsidRPr="00C73B2D">
              <w:rPr>
                <w:rFonts w:ascii="Traditional Arabic" w:hAnsi="Traditional Arabic" w:cs="Traditional Arabic"/>
                <w:sz w:val="30"/>
                <w:szCs w:val="30"/>
                <w:rtl/>
              </w:rPr>
              <w:t xml:space="preserve">جدول </w:t>
            </w:r>
            <w:r w:rsidR="009B3C5F">
              <w:rPr>
                <w:rFonts w:ascii="Traditional Arabic" w:hAnsi="Traditional Arabic" w:cs="Traditional Arabic" w:hint="cs"/>
                <w:sz w:val="30"/>
                <w:szCs w:val="30"/>
                <w:rtl/>
              </w:rPr>
              <w:t>ال</w:t>
            </w:r>
            <w:r w:rsidRPr="00C73B2D">
              <w:rPr>
                <w:rFonts w:ascii="Traditional Arabic" w:hAnsi="Traditional Arabic" w:cs="Traditional Arabic"/>
                <w:sz w:val="30"/>
                <w:szCs w:val="30"/>
                <w:rtl/>
              </w:rPr>
              <w:t>توضيحي لحساب قيمة الاكتتاب في أسهم الفئة الأولى.</w:t>
            </w:r>
          </w:p>
        </w:tc>
        <w:tc>
          <w:tcPr>
            <w:tcW w:w="1344" w:type="pct"/>
          </w:tcPr>
          <w:p w14:paraId="4D0169F9"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قيمة الاكتتاب في أسهم الفئة الأولى</w:t>
            </w:r>
          </w:p>
          <w:p w14:paraId="4A4B504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p>
        </w:tc>
      </w:tr>
      <w:tr w:rsidR="00352F9E" w:rsidRPr="00C73B2D" w14:paraId="202548AD" w14:textId="77777777" w:rsidTr="00922116">
        <w:tc>
          <w:tcPr>
            <w:tcW w:w="3656" w:type="pct"/>
          </w:tcPr>
          <w:p w14:paraId="03C84C2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 xml:space="preserve">القيمة التي يدفعها مستثمرو الفئة الثانية وقت تقديم طلباتهم على السعر الثابت على النحو الوارد في الفصل </w:t>
            </w:r>
            <w:r w:rsidR="00713CFE">
              <w:rPr>
                <w:rFonts w:ascii="Traditional Arabic" w:hAnsi="Traditional Arabic" w:cs="Traditional Arabic" w:hint="cs"/>
                <w:sz w:val="30"/>
                <w:szCs w:val="30"/>
                <w:rtl/>
              </w:rPr>
              <w:t>التاسع</w:t>
            </w:r>
            <w:r w:rsidR="00713CFE">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من هذه النشرة بعنوان "شروط الاكتتاب وإجراءاته".</w:t>
            </w:r>
          </w:p>
          <w:p w14:paraId="361D3AB9"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1A628F8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قيمة الاكتتاب في أسهم الفئة الثانية</w:t>
            </w:r>
          </w:p>
          <w:p w14:paraId="52299426"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p>
        </w:tc>
      </w:tr>
      <w:tr w:rsidR="00352F9E" w:rsidRPr="00C73B2D" w14:paraId="38877A17" w14:textId="77777777" w:rsidTr="00922116">
        <w:tc>
          <w:tcPr>
            <w:tcW w:w="3656" w:type="pct"/>
          </w:tcPr>
          <w:p w14:paraId="5161EAA4" w14:textId="77777777" w:rsidR="00352F9E" w:rsidRPr="00C73B2D" w:rsidRDefault="00F06565" w:rsidP="00922116">
            <w:pPr>
              <w:bidi/>
              <w:spacing w:beforeLines="40" w:before="96" w:afterLines="40" w:after="96" w:line="276" w:lineRule="auto"/>
              <w:jc w:val="both"/>
              <w:rPr>
                <w:rFonts w:ascii="Traditional Arabic" w:hAnsi="Traditional Arabic" w:cs="Traditional Arabic"/>
                <w:sz w:val="30"/>
                <w:szCs w:val="30"/>
                <w:rtl/>
              </w:rPr>
            </w:pPr>
            <w:r w:rsidRPr="009630F0">
              <w:rPr>
                <w:rFonts w:ascii="Traditional Arabic" w:hAnsi="Traditional Arabic" w:cs="Traditional Arabic"/>
                <w:sz w:val="30"/>
                <w:szCs w:val="30"/>
                <w:rtl/>
              </w:rPr>
              <w:t xml:space="preserve">هم </w:t>
            </w:r>
            <w:r w:rsidRPr="009630F0">
              <w:rPr>
                <w:rFonts w:ascii="Traditional Arabic" w:hAnsi="Traditional Arabic" w:cs="Traditional Arabic" w:hint="cs"/>
                <w:sz w:val="30"/>
                <w:szCs w:val="30"/>
                <w:rtl/>
              </w:rPr>
              <w:t xml:space="preserve">مقدمو الطلبات من الفئة الأولى </w:t>
            </w:r>
            <w:r w:rsidRPr="009630F0">
              <w:rPr>
                <w:rFonts w:ascii="Traditional Arabic" w:hAnsi="Traditional Arabic" w:cs="Traditional Arabic"/>
                <w:sz w:val="30"/>
                <w:szCs w:val="30"/>
                <w:rtl/>
              </w:rPr>
              <w:t>الذين يتقدمون بطلبات</w:t>
            </w:r>
            <w:r w:rsidRPr="009630F0">
              <w:rPr>
                <w:rFonts w:ascii="Traditional Arabic" w:hAnsi="Traditional Arabic" w:cs="Traditional Arabic"/>
                <w:sz w:val="30"/>
                <w:szCs w:val="30"/>
                <w:rtl/>
                <w:lang w:bidi="ar-OM"/>
              </w:rPr>
              <w:t xml:space="preserve"> للاكتتاب في أسهم الفئة الأولى </w:t>
            </w:r>
            <w:r w:rsidRPr="009630F0">
              <w:rPr>
                <w:rFonts w:ascii="Traditional Arabic" w:hAnsi="Traditional Arabic" w:cs="Traditional Arabic" w:hint="cs"/>
                <w:sz w:val="30"/>
                <w:szCs w:val="30"/>
                <w:rtl/>
                <w:lang w:bidi="ar-OM"/>
              </w:rPr>
              <w:t xml:space="preserve">بعدد </w:t>
            </w:r>
            <w:r w:rsidRPr="009630F0">
              <w:rPr>
                <w:rFonts w:ascii="Traditional Arabic" w:hAnsi="Traditional Arabic" w:cs="Traditional Arabic"/>
                <w:sz w:val="30"/>
                <w:szCs w:val="30"/>
                <w:rtl/>
                <w:lang w:bidi="ar-OM"/>
              </w:rPr>
              <w:t xml:space="preserve"> </w:t>
            </w:r>
            <w:r w:rsidR="00165E92">
              <w:rPr>
                <w:rFonts w:ascii="Traditional Arabic" w:hAnsi="Traditional Arabic" w:cs="Traditional Arabic" w:hint="cs"/>
                <w:sz w:val="30"/>
                <w:szCs w:val="30"/>
                <w:rtl/>
                <w:lang w:bidi="ar-OM"/>
              </w:rPr>
              <w:t>100.000</w:t>
            </w:r>
            <w:r w:rsidRPr="009630F0">
              <w:rPr>
                <w:rFonts w:ascii="Traditional Arabic" w:hAnsi="Traditional Arabic" w:cs="Traditional Arabic" w:hint="cs"/>
                <w:sz w:val="30"/>
                <w:szCs w:val="30"/>
                <w:rtl/>
                <w:lang w:bidi="ar-OM"/>
              </w:rPr>
              <w:t>سهم كحد أدنى،</w:t>
            </w:r>
            <w:r w:rsidRPr="009630F0">
              <w:rPr>
                <w:rFonts w:ascii="Traditional Arabic" w:hAnsi="Traditional Arabic" w:cs="Traditional Arabic"/>
                <w:sz w:val="30"/>
                <w:szCs w:val="30"/>
                <w:rtl/>
                <w:lang w:bidi="ar-OM"/>
              </w:rPr>
              <w:t xml:space="preserve"> ومن ثم مضاعفات 100 سهمٍ </w:t>
            </w:r>
            <w:r w:rsidRPr="009630F0">
              <w:rPr>
                <w:rFonts w:ascii="Traditional Arabic" w:hAnsi="Traditional Arabic" w:cs="Traditional Arabic" w:hint="cs"/>
                <w:sz w:val="30"/>
                <w:szCs w:val="30"/>
                <w:rtl/>
                <w:lang w:bidi="ar-OM"/>
              </w:rPr>
              <w:t xml:space="preserve">بعد ذلك. </w:t>
            </w:r>
          </w:p>
        </w:tc>
        <w:tc>
          <w:tcPr>
            <w:tcW w:w="1344" w:type="pct"/>
          </w:tcPr>
          <w:p w14:paraId="34736E98" w14:textId="77777777" w:rsidR="00352F9E" w:rsidRPr="00C73B2D" w:rsidRDefault="00D12667"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مقدمو الطلبات</w:t>
            </w:r>
            <w:r w:rsidRPr="00C73B2D">
              <w:rPr>
                <w:rFonts w:ascii="Traditional Arabic" w:hAnsi="Traditional Arabic" w:cs="Traditional Arabic"/>
                <w:sz w:val="30"/>
                <w:szCs w:val="30"/>
                <w:rtl/>
              </w:rPr>
              <w:t xml:space="preserve"> </w:t>
            </w:r>
            <w:r w:rsidR="00352F9E" w:rsidRPr="00C73B2D">
              <w:rPr>
                <w:rFonts w:ascii="Traditional Arabic" w:hAnsi="Traditional Arabic" w:cs="Traditional Arabic"/>
                <w:sz w:val="30"/>
                <w:szCs w:val="30"/>
                <w:rtl/>
              </w:rPr>
              <w:t>في الفئة الأولى</w:t>
            </w:r>
          </w:p>
          <w:p w14:paraId="4B668EF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p>
        </w:tc>
      </w:tr>
      <w:tr w:rsidR="00225D69" w:rsidRPr="00C73B2D" w14:paraId="7B61CF17" w14:textId="77777777" w:rsidTr="00922116">
        <w:tc>
          <w:tcPr>
            <w:tcW w:w="3656" w:type="pct"/>
          </w:tcPr>
          <w:p w14:paraId="40638E76" w14:textId="77777777" w:rsidR="00225D69" w:rsidRPr="00C73B2D" w:rsidRDefault="00225D69" w:rsidP="00225D69">
            <w:pPr>
              <w:bidi/>
              <w:spacing w:beforeLines="40" w:before="96" w:afterLines="40" w:after="96" w:line="276" w:lineRule="auto"/>
              <w:jc w:val="both"/>
              <w:rPr>
                <w:rFonts w:ascii="Traditional Arabic" w:hAnsi="Traditional Arabic" w:cs="Traditional Arabic"/>
                <w:sz w:val="30"/>
                <w:szCs w:val="30"/>
                <w:rtl/>
              </w:rPr>
            </w:pPr>
            <w:r w:rsidRPr="00B34641">
              <w:rPr>
                <w:rFonts w:ascii="Traditional Arabic" w:hAnsi="Traditional Arabic" w:cs="Traditional Arabic" w:hint="cs"/>
                <w:sz w:val="30"/>
                <w:szCs w:val="30"/>
                <w:rtl/>
              </w:rPr>
              <w:t>صغار المستثمرين وكبار المستثمرين في الفئة الثانية</w:t>
            </w:r>
            <w:r>
              <w:rPr>
                <w:rFonts w:ascii="Traditional Arabic" w:hAnsi="Traditional Arabic" w:cs="Traditional Arabic" w:hint="cs"/>
                <w:sz w:val="30"/>
                <w:szCs w:val="30"/>
                <w:rtl/>
              </w:rPr>
              <w:t>.</w:t>
            </w:r>
          </w:p>
        </w:tc>
        <w:tc>
          <w:tcPr>
            <w:tcW w:w="1344" w:type="pct"/>
          </w:tcPr>
          <w:p w14:paraId="465D10FF" w14:textId="77777777" w:rsidR="00225D69" w:rsidRPr="00C73B2D" w:rsidRDefault="00711F85" w:rsidP="00225D69">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مقدمو الطلبات</w:t>
            </w:r>
            <w:r w:rsidRPr="00B34641">
              <w:rPr>
                <w:rFonts w:ascii="Traditional Arabic" w:hAnsi="Traditional Arabic" w:cs="Traditional Arabic" w:hint="cs"/>
                <w:sz w:val="30"/>
                <w:szCs w:val="30"/>
                <w:rtl/>
              </w:rPr>
              <w:t xml:space="preserve"> </w:t>
            </w:r>
            <w:r w:rsidR="00225D69" w:rsidRPr="00B34641">
              <w:rPr>
                <w:rFonts w:ascii="Traditional Arabic" w:hAnsi="Traditional Arabic" w:cs="Traditional Arabic" w:hint="cs"/>
                <w:sz w:val="30"/>
                <w:szCs w:val="30"/>
                <w:rtl/>
              </w:rPr>
              <w:t>في الفئة الثانية</w:t>
            </w:r>
          </w:p>
        </w:tc>
      </w:tr>
      <w:tr w:rsidR="00225D69" w:rsidRPr="00C73B2D" w14:paraId="75E0FEC1" w14:textId="77777777" w:rsidTr="00922116">
        <w:tc>
          <w:tcPr>
            <w:tcW w:w="3656" w:type="pct"/>
          </w:tcPr>
          <w:p w14:paraId="725297FE" w14:textId="77777777" w:rsidR="00225D69" w:rsidRPr="00C73B2D" w:rsidRDefault="00225D69" w:rsidP="00225D69">
            <w:pPr>
              <w:bidi/>
              <w:spacing w:beforeLines="40" w:before="96" w:afterLines="40" w:after="96" w:line="276" w:lineRule="auto"/>
              <w:jc w:val="both"/>
              <w:rPr>
                <w:rFonts w:ascii="Traditional Arabic" w:hAnsi="Traditional Arabic" w:cs="Traditional Arabic"/>
                <w:sz w:val="30"/>
                <w:szCs w:val="30"/>
                <w:rtl/>
              </w:rPr>
            </w:pPr>
            <w:r w:rsidRPr="00B34641">
              <w:rPr>
                <w:rFonts w:ascii="Traditional Arabic" w:hAnsi="Traditional Arabic" w:cs="Traditional Arabic"/>
                <w:sz w:val="30"/>
                <w:szCs w:val="30"/>
                <w:rtl/>
              </w:rPr>
              <w:t xml:space="preserve">هم </w:t>
            </w:r>
            <w:r>
              <w:rPr>
                <w:rFonts w:ascii="Traditional Arabic" w:hAnsi="Traditional Arabic" w:cs="Traditional Arabic" w:hint="cs"/>
                <w:sz w:val="30"/>
                <w:szCs w:val="30"/>
                <w:rtl/>
              </w:rPr>
              <w:t xml:space="preserve">الأفراد </w:t>
            </w:r>
            <w:r w:rsidRPr="00B34641">
              <w:rPr>
                <w:rFonts w:ascii="Traditional Arabic" w:hAnsi="Traditional Arabic" w:cs="Traditional Arabic"/>
                <w:sz w:val="30"/>
                <w:szCs w:val="30"/>
                <w:rtl/>
              </w:rPr>
              <w:t>الذين يتقدمون بطلبات</w:t>
            </w:r>
            <w:r w:rsidRPr="00B34641">
              <w:rPr>
                <w:rFonts w:ascii="Traditional Arabic" w:hAnsi="Traditional Arabic" w:cs="Traditional Arabic"/>
                <w:sz w:val="30"/>
                <w:szCs w:val="30"/>
                <w:rtl/>
                <w:lang w:bidi="ar-OM"/>
              </w:rPr>
              <w:t xml:space="preserve"> للاكتتاب في أسهم الفئة الثانية ب</w:t>
            </w:r>
            <w:r w:rsidRPr="00B34641">
              <w:rPr>
                <w:rFonts w:ascii="Traditional Arabic" w:hAnsi="Traditional Arabic" w:cs="Traditional Arabic" w:hint="cs"/>
                <w:sz w:val="30"/>
                <w:szCs w:val="30"/>
                <w:rtl/>
                <w:lang w:bidi="ar-OM"/>
              </w:rPr>
              <w:t xml:space="preserve">عدد </w:t>
            </w:r>
            <w:r w:rsidR="00456E87">
              <w:rPr>
                <w:rFonts w:ascii="Traditional Arabic" w:hAnsi="Traditional Arabic" w:cs="Traditional Arabic" w:hint="cs"/>
                <w:sz w:val="30"/>
                <w:szCs w:val="30"/>
                <w:rtl/>
                <w:lang w:bidi="ar-OM"/>
              </w:rPr>
              <w:t xml:space="preserve">81.400 </w:t>
            </w:r>
            <w:r w:rsidRPr="00B34641">
              <w:rPr>
                <w:rFonts w:ascii="Traditional Arabic" w:hAnsi="Traditional Arabic" w:cs="Traditional Arabic" w:hint="cs"/>
                <w:sz w:val="30"/>
                <w:szCs w:val="30"/>
                <w:rtl/>
              </w:rPr>
              <w:t>سهم</w:t>
            </w:r>
            <w:r>
              <w:rPr>
                <w:rFonts w:ascii="Traditional Arabic" w:hAnsi="Traditional Arabic" w:cs="Traditional Arabic" w:hint="cs"/>
                <w:sz w:val="30"/>
                <w:szCs w:val="30"/>
                <w:rtl/>
              </w:rPr>
              <w:t xml:space="preserve"> على الأقل </w:t>
            </w:r>
            <w:r w:rsidRPr="00B34641">
              <w:rPr>
                <w:rFonts w:ascii="Traditional Arabic" w:hAnsi="Traditional Arabic" w:cs="Traditional Arabic"/>
                <w:sz w:val="30"/>
                <w:szCs w:val="30"/>
                <w:rtl/>
                <w:lang w:bidi="ar-OM"/>
              </w:rPr>
              <w:t>ومن ثم مضاعفات 100 سهمٍ بعد ذلك</w:t>
            </w:r>
            <w:r w:rsidRPr="00B34641">
              <w:rPr>
                <w:rFonts w:ascii="Traditional Arabic" w:hAnsi="Traditional Arabic" w:cs="Traditional Arabic"/>
                <w:sz w:val="30"/>
                <w:szCs w:val="30"/>
                <w:rtl/>
              </w:rPr>
              <w:t>.</w:t>
            </w:r>
          </w:p>
        </w:tc>
        <w:tc>
          <w:tcPr>
            <w:tcW w:w="1344" w:type="pct"/>
          </w:tcPr>
          <w:p w14:paraId="659DE82D" w14:textId="77777777" w:rsidR="00225D69" w:rsidRPr="00C73B2D" w:rsidRDefault="00405837" w:rsidP="00225D69">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مقدمو الطلبات</w:t>
            </w:r>
            <w:r w:rsidRPr="00B34641">
              <w:rPr>
                <w:rFonts w:ascii="Traditional Arabic" w:hAnsi="Traditional Arabic" w:cs="Traditional Arabic"/>
                <w:sz w:val="30"/>
                <w:szCs w:val="30"/>
                <w:rtl/>
              </w:rPr>
              <w:t xml:space="preserve"> </w:t>
            </w:r>
            <w:r w:rsidR="00225D69" w:rsidRPr="00B34641">
              <w:rPr>
                <w:rFonts w:ascii="Traditional Arabic" w:hAnsi="Traditional Arabic" w:cs="Traditional Arabic"/>
                <w:sz w:val="30"/>
                <w:szCs w:val="30"/>
                <w:rtl/>
              </w:rPr>
              <w:t>في الفئة الثانية</w:t>
            </w:r>
            <w:r w:rsidR="00225D69" w:rsidRPr="00B34641">
              <w:rPr>
                <w:rFonts w:ascii="Traditional Arabic" w:hAnsi="Traditional Arabic" w:cs="Traditional Arabic" w:hint="cs"/>
                <w:sz w:val="30"/>
                <w:szCs w:val="30"/>
                <w:rtl/>
              </w:rPr>
              <w:t xml:space="preserve"> (كبار المستثمرين)</w:t>
            </w:r>
          </w:p>
        </w:tc>
      </w:tr>
      <w:tr w:rsidR="00225D69" w:rsidRPr="00C73B2D" w14:paraId="1BECAF03" w14:textId="77777777" w:rsidTr="00922116">
        <w:tc>
          <w:tcPr>
            <w:tcW w:w="3656" w:type="pct"/>
          </w:tcPr>
          <w:p w14:paraId="539A2E58" w14:textId="77777777" w:rsidR="00225D69" w:rsidRPr="00C73B2D" w:rsidRDefault="00225D69" w:rsidP="00225D69">
            <w:pPr>
              <w:bidi/>
              <w:spacing w:beforeLines="40" w:before="96" w:afterLines="40" w:after="96" w:line="276" w:lineRule="auto"/>
              <w:jc w:val="both"/>
              <w:rPr>
                <w:rFonts w:ascii="Traditional Arabic" w:hAnsi="Traditional Arabic" w:cs="Traditional Arabic"/>
                <w:sz w:val="30"/>
                <w:szCs w:val="30"/>
                <w:rtl/>
              </w:rPr>
            </w:pPr>
            <w:r w:rsidRPr="00B34641">
              <w:rPr>
                <w:rFonts w:ascii="Traditional Arabic" w:hAnsi="Traditional Arabic" w:cs="Traditional Arabic"/>
                <w:sz w:val="30"/>
                <w:szCs w:val="30"/>
                <w:rtl/>
              </w:rPr>
              <w:t xml:space="preserve">هم </w:t>
            </w:r>
            <w:r>
              <w:rPr>
                <w:rFonts w:ascii="Traditional Arabic" w:hAnsi="Traditional Arabic" w:cs="Traditional Arabic" w:hint="cs"/>
                <w:sz w:val="30"/>
                <w:szCs w:val="30"/>
                <w:rtl/>
              </w:rPr>
              <w:t xml:space="preserve">الأفراد </w:t>
            </w:r>
            <w:r w:rsidRPr="00B34641">
              <w:rPr>
                <w:rFonts w:ascii="Traditional Arabic" w:hAnsi="Traditional Arabic" w:cs="Traditional Arabic"/>
                <w:sz w:val="30"/>
                <w:szCs w:val="30"/>
                <w:rtl/>
              </w:rPr>
              <w:t>الذين يتقدمون بطلبات</w:t>
            </w:r>
            <w:r w:rsidRPr="00B34641">
              <w:rPr>
                <w:rFonts w:ascii="Traditional Arabic" w:hAnsi="Traditional Arabic" w:cs="Traditional Arabic"/>
                <w:sz w:val="30"/>
                <w:szCs w:val="30"/>
                <w:rtl/>
                <w:lang w:bidi="ar-OM"/>
              </w:rPr>
              <w:t xml:space="preserve"> للاكتتاب في أسهم الفئة الثانية </w:t>
            </w:r>
            <w:r w:rsidRPr="00B34641">
              <w:rPr>
                <w:rFonts w:ascii="Traditional Arabic" w:hAnsi="Traditional Arabic" w:cs="Traditional Arabic" w:hint="cs"/>
                <w:sz w:val="30"/>
                <w:szCs w:val="30"/>
                <w:rtl/>
                <w:lang w:bidi="ar-OM"/>
              </w:rPr>
              <w:t xml:space="preserve">بعدد </w:t>
            </w:r>
            <w:r w:rsidR="00707DF4">
              <w:rPr>
                <w:rFonts w:ascii="Traditional Arabic" w:hAnsi="Traditional Arabic" w:cs="Traditional Arabic" w:hint="cs"/>
                <w:sz w:val="30"/>
                <w:szCs w:val="30"/>
                <w:rtl/>
                <w:lang w:bidi="ar-OM"/>
              </w:rPr>
              <w:t>1.000</w:t>
            </w:r>
            <w:r w:rsidR="00707DF4" w:rsidRPr="00B34641">
              <w:rPr>
                <w:rFonts w:ascii="Traditional Arabic" w:hAnsi="Traditional Arabic" w:cs="Traditional Arabic" w:hint="cs"/>
                <w:sz w:val="30"/>
                <w:szCs w:val="30"/>
                <w:rtl/>
                <w:lang w:bidi="ar-OM"/>
              </w:rPr>
              <w:t xml:space="preserve"> </w:t>
            </w:r>
            <w:r w:rsidRPr="00B34641">
              <w:rPr>
                <w:rFonts w:ascii="Traditional Arabic" w:hAnsi="Traditional Arabic" w:cs="Traditional Arabic" w:hint="cs"/>
                <w:sz w:val="30"/>
                <w:szCs w:val="30"/>
                <w:rtl/>
                <w:lang w:bidi="ar-OM"/>
              </w:rPr>
              <w:t xml:space="preserve">سهم </w:t>
            </w:r>
            <w:r w:rsidRPr="00B34641">
              <w:rPr>
                <w:rFonts w:ascii="Traditional Arabic" w:hAnsi="Traditional Arabic" w:cs="Traditional Arabic"/>
                <w:sz w:val="30"/>
                <w:szCs w:val="30"/>
                <w:rtl/>
                <w:lang w:bidi="ar-OM"/>
              </w:rPr>
              <w:t>كحد أدنى</w:t>
            </w:r>
            <w:r w:rsidRPr="00B34641">
              <w:rPr>
                <w:rFonts w:ascii="Traditional Arabic" w:hAnsi="Traditional Arabic" w:cs="Traditional Arabic" w:hint="cs"/>
                <w:sz w:val="30"/>
                <w:szCs w:val="30"/>
                <w:rtl/>
                <w:lang w:bidi="ar-OM"/>
              </w:rPr>
              <w:t xml:space="preserve">، </w:t>
            </w:r>
            <w:r>
              <w:rPr>
                <w:rFonts w:ascii="Traditional Arabic" w:hAnsi="Traditional Arabic" w:cs="Traditional Arabic" w:hint="cs"/>
                <w:sz w:val="30"/>
                <w:szCs w:val="30"/>
                <w:rtl/>
                <w:lang w:bidi="ar-OM"/>
              </w:rPr>
              <w:t xml:space="preserve">وبعدد </w:t>
            </w:r>
            <w:r w:rsidR="00707DF4">
              <w:rPr>
                <w:rFonts w:ascii="Traditional Arabic" w:hAnsi="Traditional Arabic" w:cs="Traditional Arabic" w:hint="cs"/>
                <w:sz w:val="30"/>
                <w:szCs w:val="30"/>
                <w:rtl/>
                <w:lang w:bidi="ar-OM"/>
              </w:rPr>
              <w:t>81.300</w:t>
            </w:r>
            <w:r w:rsidR="00707DF4" w:rsidRPr="00B34641">
              <w:rPr>
                <w:rFonts w:ascii="Traditional Arabic" w:hAnsi="Traditional Arabic" w:cs="Traditional Arabic" w:hint="cs"/>
                <w:sz w:val="30"/>
                <w:szCs w:val="30"/>
                <w:rtl/>
                <w:lang w:bidi="ar-OM"/>
              </w:rPr>
              <w:t xml:space="preserve"> </w:t>
            </w:r>
            <w:r w:rsidRPr="00B34641">
              <w:rPr>
                <w:rFonts w:ascii="Traditional Arabic" w:hAnsi="Traditional Arabic" w:cs="Traditional Arabic" w:hint="cs"/>
                <w:sz w:val="30"/>
                <w:szCs w:val="30"/>
                <w:rtl/>
                <w:lang w:bidi="ar-OM"/>
              </w:rPr>
              <w:t>سهم</w:t>
            </w:r>
            <w:r>
              <w:rPr>
                <w:rFonts w:ascii="Traditional Arabic" w:hAnsi="Traditional Arabic" w:cs="Traditional Arabic" w:hint="cs"/>
                <w:sz w:val="30"/>
                <w:szCs w:val="30"/>
                <w:rtl/>
                <w:lang w:bidi="ar-OM"/>
              </w:rPr>
              <w:t xml:space="preserve"> كحد أقصى </w:t>
            </w:r>
            <w:r w:rsidRPr="00B34641">
              <w:rPr>
                <w:rFonts w:ascii="Traditional Arabic" w:hAnsi="Traditional Arabic" w:cs="Traditional Arabic"/>
                <w:sz w:val="30"/>
                <w:szCs w:val="30"/>
                <w:rtl/>
                <w:lang w:bidi="ar-OM"/>
              </w:rPr>
              <w:t>ومن ثم مضاعفات 100 سهمٍ بعد ذلك</w:t>
            </w:r>
            <w:r w:rsidRPr="00B34641">
              <w:rPr>
                <w:rFonts w:ascii="Traditional Arabic" w:hAnsi="Traditional Arabic" w:cs="Traditional Arabic"/>
                <w:sz w:val="30"/>
                <w:szCs w:val="30"/>
                <w:rtl/>
              </w:rPr>
              <w:t>.</w:t>
            </w:r>
          </w:p>
        </w:tc>
        <w:tc>
          <w:tcPr>
            <w:tcW w:w="1344" w:type="pct"/>
          </w:tcPr>
          <w:p w14:paraId="5CF0C61A" w14:textId="77777777" w:rsidR="00225D69" w:rsidRPr="00C73B2D" w:rsidRDefault="00540D4C" w:rsidP="00225D69">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مقدمو الطلبات</w:t>
            </w:r>
            <w:r w:rsidRPr="00B34641">
              <w:rPr>
                <w:rFonts w:ascii="Traditional Arabic" w:hAnsi="Traditional Arabic" w:cs="Traditional Arabic"/>
                <w:sz w:val="30"/>
                <w:szCs w:val="30"/>
                <w:rtl/>
              </w:rPr>
              <w:t xml:space="preserve"> </w:t>
            </w:r>
            <w:r w:rsidR="00225D69" w:rsidRPr="00B34641">
              <w:rPr>
                <w:rFonts w:ascii="Traditional Arabic" w:hAnsi="Traditional Arabic" w:cs="Traditional Arabic"/>
                <w:sz w:val="30"/>
                <w:szCs w:val="30"/>
                <w:rtl/>
              </w:rPr>
              <w:t>في الفئة الثانية</w:t>
            </w:r>
            <w:r w:rsidR="00225D69" w:rsidRPr="00B34641">
              <w:rPr>
                <w:rFonts w:ascii="Traditional Arabic" w:hAnsi="Traditional Arabic" w:cs="Traditional Arabic" w:hint="cs"/>
                <w:sz w:val="30"/>
                <w:szCs w:val="30"/>
                <w:rtl/>
              </w:rPr>
              <w:t xml:space="preserve"> (صغار المستثمرين)</w:t>
            </w:r>
          </w:p>
        </w:tc>
      </w:tr>
      <w:tr w:rsidR="00352F9E" w:rsidRPr="00C73B2D" w14:paraId="5888006F" w14:textId="77777777" w:rsidTr="00922116">
        <w:tc>
          <w:tcPr>
            <w:tcW w:w="3656" w:type="pct"/>
          </w:tcPr>
          <w:p w14:paraId="6202B83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الفئة الأولى من الطرح </w:t>
            </w:r>
            <w:r w:rsidR="00EC20E0">
              <w:rPr>
                <w:rFonts w:ascii="Traditional Arabic" w:hAnsi="Traditional Arabic" w:cs="Traditional Arabic" w:hint="cs"/>
                <w:sz w:val="30"/>
                <w:szCs w:val="30"/>
                <w:rtl/>
              </w:rPr>
              <w:t>موضحة</w:t>
            </w:r>
            <w:r w:rsidR="00EC20E0"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 xml:space="preserve">في الفصل </w:t>
            </w:r>
            <w:r w:rsidR="007C5C1C">
              <w:rPr>
                <w:rFonts w:ascii="Traditional Arabic" w:hAnsi="Traditional Arabic" w:cs="Traditional Arabic" w:hint="cs"/>
                <w:sz w:val="30"/>
                <w:szCs w:val="30"/>
                <w:rtl/>
              </w:rPr>
              <w:t>التاسع</w:t>
            </w:r>
            <w:r w:rsidR="007C5C1C">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بعنوان "شروط الاكتتاب وإجراءاته".</w:t>
            </w:r>
          </w:p>
          <w:p w14:paraId="1D6203A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5433DAB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الاكتتاب في الفئة الأولى</w:t>
            </w:r>
          </w:p>
          <w:p w14:paraId="64597FC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p>
        </w:tc>
      </w:tr>
      <w:tr w:rsidR="00352F9E" w:rsidRPr="00C73B2D" w14:paraId="75D2FCC2" w14:textId="77777777" w:rsidTr="00922116">
        <w:tc>
          <w:tcPr>
            <w:tcW w:w="3656" w:type="pct"/>
          </w:tcPr>
          <w:p w14:paraId="748587E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lastRenderedPageBreak/>
              <w:t xml:space="preserve">التاريخ المحدد لذلك بالنسبة </w:t>
            </w:r>
            <w:r w:rsidR="00EC20E0" w:rsidRPr="00C73B2D">
              <w:rPr>
                <w:rFonts w:ascii="Traditional Arabic" w:hAnsi="Traditional Arabic" w:cs="Traditional Arabic" w:hint="cs"/>
                <w:sz w:val="30"/>
                <w:szCs w:val="30"/>
                <w:rtl/>
              </w:rPr>
              <w:t>ل</w:t>
            </w:r>
            <w:r w:rsidR="00E67753">
              <w:rPr>
                <w:rFonts w:ascii="Traditional Arabic" w:hAnsi="Traditional Arabic" w:cs="Traditional Arabic" w:hint="cs"/>
                <w:sz w:val="30"/>
                <w:szCs w:val="30"/>
                <w:rtl/>
              </w:rPr>
              <w:t>بدء ا</w:t>
            </w:r>
            <w:r w:rsidR="00EC20E0" w:rsidRPr="00C73B2D">
              <w:rPr>
                <w:rFonts w:ascii="Traditional Arabic" w:hAnsi="Traditional Arabic" w:cs="Traditional Arabic" w:hint="cs"/>
                <w:sz w:val="30"/>
                <w:szCs w:val="30"/>
                <w:rtl/>
              </w:rPr>
              <w:t>لاكتتاب</w:t>
            </w:r>
            <w:r w:rsidRPr="00C73B2D">
              <w:rPr>
                <w:rFonts w:ascii="Traditional Arabic" w:hAnsi="Traditional Arabic" w:cs="Traditional Arabic"/>
                <w:sz w:val="30"/>
                <w:szCs w:val="30"/>
                <w:rtl/>
              </w:rPr>
              <w:t xml:space="preserve"> في هذه الفئة والموضح في الفصل </w:t>
            </w:r>
            <w:r w:rsidR="007C5C1C">
              <w:rPr>
                <w:rFonts w:ascii="Traditional Arabic" w:hAnsi="Traditional Arabic" w:cs="Traditional Arabic" w:hint="cs"/>
                <w:sz w:val="30"/>
                <w:szCs w:val="30"/>
                <w:rtl/>
              </w:rPr>
              <w:t>التاسع</w:t>
            </w:r>
            <w:r w:rsidR="007C5C1C">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بعنوان "شروط الاكتتاب وإجراءاته".</w:t>
            </w:r>
          </w:p>
        </w:tc>
        <w:tc>
          <w:tcPr>
            <w:tcW w:w="1344" w:type="pct"/>
          </w:tcPr>
          <w:p w14:paraId="41BC74A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تاريخ فتح الاكتتاب في الفئة الأولى</w:t>
            </w:r>
          </w:p>
        </w:tc>
      </w:tr>
      <w:tr w:rsidR="00352F9E" w:rsidRPr="00C73B2D" w14:paraId="3CB3D825" w14:textId="77777777" w:rsidTr="00922116">
        <w:tc>
          <w:tcPr>
            <w:tcW w:w="3656" w:type="pct"/>
          </w:tcPr>
          <w:p w14:paraId="3A37882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التاريخ المحدد لذلك بالنسبة </w:t>
            </w:r>
            <w:r w:rsidR="005A23D7" w:rsidRPr="00C73B2D">
              <w:rPr>
                <w:rFonts w:ascii="Traditional Arabic" w:hAnsi="Traditional Arabic" w:cs="Traditional Arabic" w:hint="cs"/>
                <w:sz w:val="30"/>
                <w:szCs w:val="30"/>
                <w:rtl/>
              </w:rPr>
              <w:t>ل</w:t>
            </w:r>
            <w:r w:rsidR="00E67753">
              <w:rPr>
                <w:rFonts w:ascii="Traditional Arabic" w:hAnsi="Traditional Arabic" w:cs="Traditional Arabic" w:hint="cs"/>
                <w:sz w:val="30"/>
                <w:szCs w:val="30"/>
                <w:rtl/>
              </w:rPr>
              <w:t>إغلاق ا</w:t>
            </w:r>
            <w:r w:rsidR="005A23D7" w:rsidRPr="00C73B2D">
              <w:rPr>
                <w:rFonts w:ascii="Traditional Arabic" w:hAnsi="Traditional Arabic" w:cs="Traditional Arabic" w:hint="cs"/>
                <w:sz w:val="30"/>
                <w:szCs w:val="30"/>
                <w:rtl/>
              </w:rPr>
              <w:t>لاكتتاب</w:t>
            </w:r>
            <w:r w:rsidRPr="00C73B2D">
              <w:rPr>
                <w:rFonts w:ascii="Traditional Arabic" w:hAnsi="Traditional Arabic" w:cs="Traditional Arabic"/>
                <w:sz w:val="30"/>
                <w:szCs w:val="30"/>
                <w:rtl/>
              </w:rPr>
              <w:t xml:space="preserve"> في هذه الفئة والموضح في الفصل </w:t>
            </w:r>
            <w:r w:rsidR="007C5C1C">
              <w:rPr>
                <w:rFonts w:ascii="Traditional Arabic" w:hAnsi="Traditional Arabic" w:cs="Traditional Arabic" w:hint="cs"/>
                <w:sz w:val="30"/>
                <w:szCs w:val="30"/>
                <w:rtl/>
              </w:rPr>
              <w:t>التاسع</w:t>
            </w:r>
            <w:r w:rsidR="007C5C1C">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بعنوان "شروط الاكتتاب وإجراءاته".</w:t>
            </w:r>
          </w:p>
        </w:tc>
        <w:tc>
          <w:tcPr>
            <w:tcW w:w="1344" w:type="pct"/>
          </w:tcPr>
          <w:p w14:paraId="7F6E11F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تاريخ </w:t>
            </w:r>
            <w:r w:rsidR="006B31C4">
              <w:rPr>
                <w:rFonts w:ascii="Traditional Arabic" w:hAnsi="Traditional Arabic" w:cs="Traditional Arabic" w:hint="cs"/>
                <w:sz w:val="30"/>
                <w:szCs w:val="30"/>
                <w:rtl/>
              </w:rPr>
              <w:t>إغلاق</w:t>
            </w:r>
            <w:r w:rsidR="006B31C4"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باب الاكتتاب في الفئة الأولى</w:t>
            </w:r>
          </w:p>
        </w:tc>
      </w:tr>
      <w:tr w:rsidR="00352F9E" w:rsidRPr="00C73B2D" w14:paraId="4174C0DF" w14:textId="77777777" w:rsidTr="00922116">
        <w:tc>
          <w:tcPr>
            <w:tcW w:w="3656" w:type="pct"/>
          </w:tcPr>
          <w:p w14:paraId="5A77CBE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الفئة الثانية من الطرح </w:t>
            </w:r>
            <w:r w:rsidR="005A23D7">
              <w:rPr>
                <w:rFonts w:ascii="Traditional Arabic" w:hAnsi="Traditional Arabic" w:cs="Traditional Arabic" w:hint="cs"/>
                <w:sz w:val="30"/>
                <w:szCs w:val="30"/>
                <w:rtl/>
              </w:rPr>
              <w:t>موضحة</w:t>
            </w:r>
            <w:r w:rsidR="005A23D7"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 xml:space="preserve">في الفصل </w:t>
            </w:r>
            <w:r w:rsidR="007C5C1C">
              <w:rPr>
                <w:rFonts w:ascii="Traditional Arabic" w:hAnsi="Traditional Arabic" w:cs="Traditional Arabic" w:hint="cs"/>
                <w:sz w:val="30"/>
                <w:szCs w:val="30"/>
                <w:rtl/>
              </w:rPr>
              <w:t>التاسع</w:t>
            </w:r>
            <w:r w:rsidR="007C5C1C">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بعنوان "شروط الاكتتاب وإجراءاته ".</w:t>
            </w:r>
          </w:p>
          <w:p w14:paraId="40D602D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6D377BC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الاكتتاب في الفئة الثانية</w:t>
            </w:r>
          </w:p>
          <w:p w14:paraId="04941EF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p>
        </w:tc>
      </w:tr>
      <w:tr w:rsidR="00352F9E" w:rsidRPr="00C73B2D" w14:paraId="68D9D626" w14:textId="77777777" w:rsidTr="00922116">
        <w:tc>
          <w:tcPr>
            <w:tcW w:w="3656" w:type="pct"/>
          </w:tcPr>
          <w:p w14:paraId="37180E5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التاريخ المحدد لذلك بالنسبة </w:t>
            </w:r>
            <w:r w:rsidR="006B31C4" w:rsidRPr="00C73B2D">
              <w:rPr>
                <w:rFonts w:ascii="Traditional Arabic" w:hAnsi="Traditional Arabic" w:cs="Traditional Arabic" w:hint="cs"/>
                <w:sz w:val="30"/>
                <w:szCs w:val="30"/>
                <w:rtl/>
              </w:rPr>
              <w:t>ل</w:t>
            </w:r>
            <w:r w:rsidR="00C21607">
              <w:rPr>
                <w:rFonts w:ascii="Traditional Arabic" w:hAnsi="Traditional Arabic" w:cs="Traditional Arabic" w:hint="cs"/>
                <w:sz w:val="30"/>
                <w:szCs w:val="30"/>
                <w:rtl/>
              </w:rPr>
              <w:t>فتح ا</w:t>
            </w:r>
            <w:r w:rsidR="006B31C4" w:rsidRPr="00C73B2D">
              <w:rPr>
                <w:rFonts w:ascii="Traditional Arabic" w:hAnsi="Traditional Arabic" w:cs="Traditional Arabic" w:hint="cs"/>
                <w:sz w:val="30"/>
                <w:szCs w:val="30"/>
                <w:rtl/>
              </w:rPr>
              <w:t>لاكتتاب</w:t>
            </w:r>
            <w:r w:rsidRPr="00C73B2D">
              <w:rPr>
                <w:rFonts w:ascii="Traditional Arabic" w:hAnsi="Traditional Arabic" w:cs="Traditional Arabic"/>
                <w:sz w:val="30"/>
                <w:szCs w:val="30"/>
                <w:rtl/>
              </w:rPr>
              <w:t xml:space="preserve"> في هذه الفئة والموضح في الفصل </w:t>
            </w:r>
            <w:r w:rsidR="007C5C1C">
              <w:rPr>
                <w:rFonts w:ascii="Traditional Arabic" w:hAnsi="Traditional Arabic" w:cs="Traditional Arabic" w:hint="cs"/>
                <w:sz w:val="30"/>
                <w:szCs w:val="30"/>
                <w:rtl/>
              </w:rPr>
              <w:t>التاسع</w:t>
            </w:r>
            <w:r w:rsidR="007C5C1C">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بعنوان "شروط الاكتتاب وإجراءاته".</w:t>
            </w:r>
          </w:p>
        </w:tc>
        <w:tc>
          <w:tcPr>
            <w:tcW w:w="1344" w:type="pct"/>
          </w:tcPr>
          <w:p w14:paraId="30EC0072"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تاريخ فتح الاكتتاب في الفئة الثانية</w:t>
            </w:r>
          </w:p>
        </w:tc>
      </w:tr>
      <w:tr w:rsidR="00352F9E" w:rsidRPr="00C73B2D" w14:paraId="130FBBF2" w14:textId="77777777" w:rsidTr="00922116">
        <w:tc>
          <w:tcPr>
            <w:tcW w:w="3656" w:type="pct"/>
          </w:tcPr>
          <w:p w14:paraId="07F96D9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التاريخ المحدد لذلك بالنسبة </w:t>
            </w:r>
            <w:r w:rsidR="006B31C4" w:rsidRPr="00C73B2D">
              <w:rPr>
                <w:rFonts w:ascii="Traditional Arabic" w:hAnsi="Traditional Arabic" w:cs="Traditional Arabic" w:hint="cs"/>
                <w:sz w:val="30"/>
                <w:szCs w:val="30"/>
                <w:rtl/>
              </w:rPr>
              <w:t>ل</w:t>
            </w:r>
            <w:r w:rsidR="00C21607">
              <w:rPr>
                <w:rFonts w:ascii="Traditional Arabic" w:hAnsi="Traditional Arabic" w:cs="Traditional Arabic" w:hint="cs"/>
                <w:sz w:val="30"/>
                <w:szCs w:val="30"/>
                <w:rtl/>
              </w:rPr>
              <w:t>إغلاق ا</w:t>
            </w:r>
            <w:r w:rsidR="006B31C4" w:rsidRPr="00C73B2D">
              <w:rPr>
                <w:rFonts w:ascii="Traditional Arabic" w:hAnsi="Traditional Arabic" w:cs="Traditional Arabic" w:hint="cs"/>
                <w:sz w:val="30"/>
                <w:szCs w:val="30"/>
                <w:rtl/>
              </w:rPr>
              <w:t>لاكتتاب</w:t>
            </w:r>
            <w:r w:rsidRPr="00C73B2D">
              <w:rPr>
                <w:rFonts w:ascii="Traditional Arabic" w:hAnsi="Traditional Arabic" w:cs="Traditional Arabic"/>
                <w:sz w:val="30"/>
                <w:szCs w:val="30"/>
                <w:rtl/>
              </w:rPr>
              <w:t xml:space="preserve"> في هذه الفئة والموضح في الفصل </w:t>
            </w:r>
            <w:r w:rsidR="007C5C1C">
              <w:rPr>
                <w:rFonts w:ascii="Traditional Arabic" w:hAnsi="Traditional Arabic" w:cs="Traditional Arabic" w:hint="cs"/>
                <w:sz w:val="30"/>
                <w:szCs w:val="30"/>
                <w:rtl/>
              </w:rPr>
              <w:t>التاسع</w:t>
            </w:r>
            <w:r w:rsidR="007C5C1C">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بعنوان "شروط الاكتتاب وإجراءاته".</w:t>
            </w:r>
          </w:p>
        </w:tc>
        <w:tc>
          <w:tcPr>
            <w:tcW w:w="1344" w:type="pct"/>
          </w:tcPr>
          <w:p w14:paraId="06EED28A"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تاريخ </w:t>
            </w:r>
            <w:r w:rsidR="006B31C4">
              <w:rPr>
                <w:rFonts w:ascii="Traditional Arabic" w:hAnsi="Traditional Arabic" w:cs="Traditional Arabic" w:hint="cs"/>
                <w:sz w:val="30"/>
                <w:szCs w:val="30"/>
                <w:rtl/>
              </w:rPr>
              <w:t>إغلاق</w:t>
            </w:r>
            <w:r w:rsidR="006B31C4"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باب الاكتتاب في الفئة الثانية</w:t>
            </w:r>
          </w:p>
        </w:tc>
      </w:tr>
      <w:tr w:rsidR="00352F9E" w:rsidRPr="00C73B2D" w14:paraId="04A29381" w14:textId="77777777" w:rsidTr="00922116">
        <w:tc>
          <w:tcPr>
            <w:tcW w:w="3656" w:type="pct"/>
          </w:tcPr>
          <w:p w14:paraId="5DA9F526"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البنك المركزي العُماني.</w:t>
            </w:r>
          </w:p>
          <w:p w14:paraId="5C2EA28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041DC1D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 xml:space="preserve">البنك المركزي </w:t>
            </w:r>
          </w:p>
        </w:tc>
      </w:tr>
      <w:tr w:rsidR="00352F9E" w:rsidRPr="00C73B2D" w14:paraId="12D04988" w14:textId="77777777" w:rsidTr="00922116">
        <w:tc>
          <w:tcPr>
            <w:tcW w:w="3656" w:type="pct"/>
          </w:tcPr>
          <w:p w14:paraId="6C015E0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 xml:space="preserve">قانون الشركات التجارية </w:t>
            </w:r>
            <w:r w:rsidR="006B31C4">
              <w:rPr>
                <w:rFonts w:ascii="Traditional Arabic" w:hAnsi="Traditional Arabic" w:cs="Traditional Arabic" w:hint="cs"/>
                <w:sz w:val="30"/>
                <w:szCs w:val="30"/>
                <w:rtl/>
              </w:rPr>
              <w:t xml:space="preserve">المعمول به </w:t>
            </w:r>
            <w:r w:rsidRPr="00C73B2D">
              <w:rPr>
                <w:rFonts w:ascii="Traditional Arabic" w:hAnsi="Traditional Arabic" w:cs="Traditional Arabic"/>
                <w:sz w:val="30"/>
                <w:szCs w:val="30"/>
                <w:rtl/>
              </w:rPr>
              <w:t>في سلطنة عُمان الصادر بموجب المرسوم السلطاني رقم 18/2019.</w:t>
            </w:r>
          </w:p>
          <w:p w14:paraId="0B812C2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7587A683"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قانون الشركات التجارية</w:t>
            </w:r>
          </w:p>
          <w:p w14:paraId="700BE154"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p>
        </w:tc>
      </w:tr>
      <w:tr w:rsidR="00352F9E" w:rsidRPr="00C73B2D" w14:paraId="440A6C82" w14:textId="77777777" w:rsidTr="00922116">
        <w:tc>
          <w:tcPr>
            <w:tcW w:w="3656" w:type="pct"/>
          </w:tcPr>
          <w:p w14:paraId="5BA19D2D" w14:textId="69158B73" w:rsidR="00352F9E" w:rsidRPr="00C73B2D" w:rsidRDefault="00A05B1B"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لائحة</w:t>
            </w:r>
            <w:r w:rsidR="00352F9E" w:rsidRPr="00C73B2D">
              <w:rPr>
                <w:rFonts w:ascii="Traditional Arabic" w:hAnsi="Traditional Arabic" w:cs="Traditional Arabic"/>
                <w:sz w:val="30"/>
                <w:szCs w:val="30"/>
                <w:rtl/>
              </w:rPr>
              <w:t xml:space="preserve"> الشركات التجارية الصادر</w:t>
            </w:r>
            <w:r w:rsidR="00967DF8">
              <w:rPr>
                <w:rFonts w:ascii="Traditional Arabic" w:hAnsi="Traditional Arabic" w:cs="Traditional Arabic" w:hint="cs"/>
                <w:sz w:val="30"/>
                <w:szCs w:val="30"/>
                <w:rtl/>
              </w:rPr>
              <w:t>ة</w:t>
            </w:r>
            <w:r w:rsidR="00352F9E" w:rsidRPr="00C73B2D">
              <w:rPr>
                <w:rFonts w:ascii="Traditional Arabic" w:hAnsi="Traditional Arabic" w:cs="Traditional Arabic"/>
                <w:sz w:val="30"/>
                <w:szCs w:val="30"/>
                <w:rtl/>
              </w:rPr>
              <w:t xml:space="preserve"> بالقرار الوزاري رقم 146/2021</w:t>
            </w:r>
          </w:p>
        </w:tc>
        <w:tc>
          <w:tcPr>
            <w:tcW w:w="1344" w:type="pct"/>
          </w:tcPr>
          <w:p w14:paraId="6217BF15" w14:textId="7A93BB20" w:rsidR="00352F9E" w:rsidRPr="00C73B2D" w:rsidRDefault="00A05B1B"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لائحة</w:t>
            </w:r>
            <w:r w:rsidR="00352F9E" w:rsidRPr="00C73B2D">
              <w:rPr>
                <w:rFonts w:ascii="Traditional Arabic" w:hAnsi="Traditional Arabic" w:cs="Traditional Arabic"/>
                <w:sz w:val="30"/>
                <w:szCs w:val="30"/>
                <w:rtl/>
              </w:rPr>
              <w:t xml:space="preserve"> الشركات التجارية</w:t>
            </w:r>
          </w:p>
        </w:tc>
      </w:tr>
      <w:tr w:rsidR="00352F9E" w:rsidRPr="00C73B2D" w14:paraId="4666034D" w14:textId="77777777" w:rsidTr="00922116">
        <w:trPr>
          <w:trHeight w:val="1170"/>
        </w:trPr>
        <w:tc>
          <w:tcPr>
            <w:tcW w:w="3656" w:type="pct"/>
          </w:tcPr>
          <w:p w14:paraId="5EF195EF" w14:textId="107EC09A"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اللائحة الصادرة عن </w:t>
            </w:r>
            <w:r w:rsidR="00DD70E2">
              <w:rPr>
                <w:rFonts w:ascii="Traditional Arabic" w:hAnsi="Traditional Arabic" w:cs="Traditional Arabic" w:hint="cs"/>
                <w:sz w:val="30"/>
                <w:szCs w:val="30"/>
                <w:rtl/>
              </w:rPr>
              <w:t>هيئة الخدمات المالية</w:t>
            </w:r>
            <w:r w:rsidRPr="00C73B2D">
              <w:rPr>
                <w:rFonts w:ascii="Traditional Arabic" w:hAnsi="Traditional Arabic" w:cs="Traditional Arabic"/>
                <w:sz w:val="30"/>
                <w:szCs w:val="30"/>
                <w:rtl/>
              </w:rPr>
              <w:t xml:space="preserve"> بالقرار رقم 1/2009 بإصدار اللائحة التنفيذية لقانون سوق رأس المال، وتعديلاته</w:t>
            </w:r>
            <w:r w:rsidR="00D14B8B">
              <w:rPr>
                <w:rFonts w:ascii="Traditional Arabic" w:hAnsi="Traditional Arabic" w:cs="Traditional Arabic" w:hint="cs"/>
                <w:sz w:val="30"/>
                <w:szCs w:val="30"/>
                <w:rtl/>
              </w:rPr>
              <w:t>ا</w:t>
            </w:r>
            <w:r w:rsidRPr="00C73B2D">
              <w:rPr>
                <w:rFonts w:ascii="Traditional Arabic" w:hAnsi="Traditional Arabic" w:cs="Traditional Arabic"/>
                <w:sz w:val="30"/>
                <w:szCs w:val="30"/>
                <w:rtl/>
              </w:rPr>
              <w:t>.</w:t>
            </w:r>
          </w:p>
          <w:p w14:paraId="7511E27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Pr>
            </w:pPr>
          </w:p>
        </w:tc>
        <w:tc>
          <w:tcPr>
            <w:tcW w:w="1344" w:type="pct"/>
          </w:tcPr>
          <w:p w14:paraId="4A28E31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اللائحة التنفيذية لقانون سوق رأس المال</w:t>
            </w:r>
          </w:p>
          <w:p w14:paraId="1D9DB644"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352F9E" w:rsidRPr="00C73B2D" w14:paraId="34A936CA" w14:textId="77777777" w:rsidTr="00922116">
        <w:tc>
          <w:tcPr>
            <w:tcW w:w="3656" w:type="pct"/>
          </w:tcPr>
          <w:p w14:paraId="52998E71" w14:textId="77777777" w:rsidR="00352F9E" w:rsidRPr="00C73B2D" w:rsidRDefault="001D4C5A" w:rsidP="00922116">
            <w:pPr>
              <w:bidi/>
              <w:spacing w:beforeLines="40" w:before="96" w:afterLines="40" w:after="96" w:line="276" w:lineRule="auto"/>
              <w:jc w:val="both"/>
              <w:rPr>
                <w:rFonts w:ascii="Traditional Arabic" w:hAnsi="Traditional Arabic" w:cs="Traditional Arabic"/>
                <w:sz w:val="30"/>
                <w:szCs w:val="30"/>
                <w:rtl/>
              </w:rPr>
            </w:pPr>
            <w:r w:rsidRPr="009630F0">
              <w:rPr>
                <w:rFonts w:ascii="Traditional Arabic" w:hAnsi="Traditional Arabic" w:cs="Traditional Arabic"/>
                <w:sz w:val="30"/>
                <w:szCs w:val="30"/>
                <w:rtl/>
              </w:rPr>
              <w:t xml:space="preserve">ميثاق </w:t>
            </w:r>
            <w:r w:rsidRPr="009630F0">
              <w:rPr>
                <w:rFonts w:ascii="Traditional Arabic" w:hAnsi="Traditional Arabic" w:cs="Traditional Arabic" w:hint="cs"/>
                <w:sz w:val="30"/>
                <w:szCs w:val="30"/>
                <w:rtl/>
              </w:rPr>
              <w:t>حوكمة ال</w:t>
            </w:r>
            <w:r w:rsidRPr="009630F0">
              <w:rPr>
                <w:rFonts w:ascii="Traditional Arabic" w:hAnsi="Traditional Arabic" w:cs="Traditional Arabic"/>
                <w:sz w:val="30"/>
                <w:szCs w:val="30"/>
                <w:rtl/>
              </w:rPr>
              <w:t>شركات المساهمة العامة الصادر عن هيئة الخدمات المالية</w:t>
            </w:r>
            <w:r w:rsidRPr="009630F0">
              <w:rPr>
                <w:rFonts w:ascii="Traditional Arabic" w:hAnsi="Traditional Arabic" w:cs="Traditional Arabic" w:hint="cs"/>
                <w:sz w:val="30"/>
                <w:szCs w:val="30"/>
                <w:rtl/>
              </w:rPr>
              <w:t xml:space="preserve"> بالقرار رقم خ/10/2016</w:t>
            </w:r>
            <w:r w:rsidRPr="009630F0">
              <w:rPr>
                <w:rFonts w:ascii="Traditional Arabic" w:hAnsi="Traditional Arabic" w:cs="Traditional Arabic"/>
                <w:sz w:val="30"/>
                <w:szCs w:val="30"/>
                <w:rtl/>
              </w:rPr>
              <w:t>، وتعديلاته</w:t>
            </w:r>
            <w:r w:rsidRPr="00C73B2D" w:rsidDel="001D4C5A">
              <w:rPr>
                <w:rFonts w:ascii="Traditional Arabic" w:hAnsi="Traditional Arabic" w:cs="Traditional Arabic"/>
                <w:sz w:val="30"/>
                <w:szCs w:val="30"/>
                <w:rtl/>
              </w:rPr>
              <w:t xml:space="preserve"> </w:t>
            </w:r>
          </w:p>
        </w:tc>
        <w:tc>
          <w:tcPr>
            <w:tcW w:w="1344" w:type="pct"/>
          </w:tcPr>
          <w:p w14:paraId="67FA6D59"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الميثاق</w:t>
            </w:r>
          </w:p>
          <w:p w14:paraId="0D41E98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352F9E" w:rsidRPr="00C73B2D" w14:paraId="07786A66" w14:textId="77777777" w:rsidTr="00922116">
        <w:trPr>
          <w:trHeight w:val="978"/>
        </w:trPr>
        <w:tc>
          <w:tcPr>
            <w:tcW w:w="3656" w:type="pct"/>
          </w:tcPr>
          <w:p w14:paraId="5AA7AD3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lastRenderedPageBreak/>
              <w:t>هم بنوك ووسطاء التحصيل ال</w:t>
            </w:r>
            <w:r w:rsidR="004F0F19">
              <w:rPr>
                <w:rFonts w:ascii="Traditional Arabic" w:hAnsi="Traditional Arabic" w:cs="Traditional Arabic" w:hint="cs"/>
                <w:sz w:val="30"/>
                <w:szCs w:val="30"/>
                <w:rtl/>
              </w:rPr>
              <w:t>ذين</w:t>
            </w:r>
            <w:r w:rsidRPr="00C73B2D">
              <w:rPr>
                <w:rFonts w:ascii="Traditional Arabic" w:hAnsi="Traditional Arabic" w:cs="Traditional Arabic"/>
                <w:sz w:val="30"/>
                <w:szCs w:val="30"/>
                <w:rtl/>
              </w:rPr>
              <w:t xml:space="preserve"> يتم تعيينهم لاستلام عروض وطلبات الاكتتاب.</w:t>
            </w:r>
          </w:p>
          <w:p w14:paraId="6DABE10D" w14:textId="77777777" w:rsidR="00352F9E" w:rsidRPr="00CD53BC" w:rsidRDefault="00352F9E" w:rsidP="00922116">
            <w:pPr>
              <w:bidi/>
              <w:spacing w:beforeLines="40" w:before="96" w:afterLines="40" w:after="96" w:line="276" w:lineRule="auto"/>
              <w:jc w:val="both"/>
              <w:rPr>
                <w:rFonts w:ascii="Traditional Arabic" w:hAnsi="Traditional Arabic" w:cs="Traditional Arabic"/>
                <w:sz w:val="30"/>
                <w:szCs w:val="30"/>
                <w:rtl/>
                <w:lang w:val="en-GB"/>
              </w:rPr>
            </w:pPr>
          </w:p>
        </w:tc>
        <w:tc>
          <w:tcPr>
            <w:tcW w:w="1344" w:type="pct"/>
            <w:hideMark/>
          </w:tcPr>
          <w:p w14:paraId="75E5AF06"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وكلاء التحصيل</w:t>
            </w:r>
          </w:p>
        </w:tc>
      </w:tr>
      <w:tr w:rsidR="00352F9E" w:rsidRPr="00C73B2D" w14:paraId="1A63BEAF" w14:textId="77777777" w:rsidTr="00922116">
        <w:tc>
          <w:tcPr>
            <w:tcW w:w="3656" w:type="pct"/>
          </w:tcPr>
          <w:p w14:paraId="3196903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السجل التجاري المودع لدى وزارة التجارة والصناعة وترويج الاستثمار وفقاً لقانون السجل التجاري الصادر بالمرسوم السلطاني رقم 3/1974م وتعديلاته.</w:t>
            </w:r>
          </w:p>
          <w:p w14:paraId="78275A8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18C9EBD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السجل التجاري</w:t>
            </w:r>
          </w:p>
          <w:p w14:paraId="1569E43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626DB1" w:rsidRPr="00C73B2D" w14:paraId="2168C7EF" w14:textId="77777777" w:rsidTr="00922116">
        <w:trPr>
          <w:trHeight w:val="870"/>
        </w:trPr>
        <w:tc>
          <w:tcPr>
            <w:tcW w:w="3656" w:type="pct"/>
          </w:tcPr>
          <w:p w14:paraId="7F9710B8" w14:textId="77777777" w:rsidR="00626DB1" w:rsidRPr="00C73B2D" w:rsidRDefault="00626DB1"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شركة </w:t>
            </w:r>
            <w:r w:rsidR="00A15C68">
              <w:rPr>
                <w:rFonts w:ascii="Traditional Arabic" w:hAnsi="Traditional Arabic" w:cs="Traditional Arabic" w:hint="cs"/>
                <w:sz w:val="30"/>
                <w:szCs w:val="30"/>
                <w:rtl/>
              </w:rPr>
              <w:t>أسياد للنقل البحري</w:t>
            </w:r>
            <w:r>
              <w:rPr>
                <w:rFonts w:ascii="Traditional Arabic" w:hAnsi="Traditional Arabic" w:cs="Traditional Arabic" w:hint="cs"/>
                <w:sz w:val="30"/>
                <w:szCs w:val="30"/>
                <w:rtl/>
              </w:rPr>
              <w:t xml:space="preserve"> ش م ع ع (قيد التحول)</w:t>
            </w:r>
          </w:p>
        </w:tc>
        <w:tc>
          <w:tcPr>
            <w:tcW w:w="1344" w:type="pct"/>
          </w:tcPr>
          <w:p w14:paraId="6169582E" w14:textId="77777777" w:rsidR="00626DB1" w:rsidRPr="00C73B2D" w:rsidRDefault="00626DB1"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الشركة</w:t>
            </w:r>
          </w:p>
        </w:tc>
      </w:tr>
      <w:tr w:rsidR="00DD645E" w:rsidRPr="00C73B2D" w14:paraId="5B36A365" w14:textId="77777777" w:rsidTr="00922116">
        <w:trPr>
          <w:trHeight w:val="870"/>
        </w:trPr>
        <w:tc>
          <w:tcPr>
            <w:tcW w:w="3656" w:type="pct"/>
          </w:tcPr>
          <w:p w14:paraId="4BCAF2E4" w14:textId="77777777" w:rsidR="00DD645E" w:rsidRDefault="00DD645E" w:rsidP="00DD645E">
            <w:pPr>
              <w:bidi/>
              <w:spacing w:beforeLines="40" w:before="96" w:afterLines="40" w:after="96" w:line="276" w:lineRule="auto"/>
              <w:jc w:val="both"/>
              <w:rPr>
                <w:rFonts w:ascii="Traditional Arabic" w:hAnsi="Traditional Arabic" w:cs="Traditional Arabic"/>
                <w:sz w:val="30"/>
                <w:szCs w:val="30"/>
                <w:rtl/>
              </w:rPr>
            </w:pPr>
            <w:r w:rsidRPr="008C2E30">
              <w:rPr>
                <w:rFonts w:ascii="Traditional Arabic" w:hAnsi="Traditional Arabic" w:cs="Traditional Arabic" w:hint="cs"/>
                <w:sz w:val="30"/>
                <w:szCs w:val="30"/>
                <w:rtl/>
              </w:rPr>
              <w:t>الجهاز التنفيذي للحكومة، ويُسند إليه مهام تنفيذ السياسات والإشراف على أعمال الحكومة وتقديم الاستشارات لجلالة السلطان، ويرأسه السلطان، ويضم الوزراء في جميع الوزارات والهيئات الحكومية.</w:t>
            </w:r>
          </w:p>
        </w:tc>
        <w:tc>
          <w:tcPr>
            <w:tcW w:w="1344" w:type="pct"/>
          </w:tcPr>
          <w:p w14:paraId="43D4F137" w14:textId="77777777" w:rsidR="00DD645E" w:rsidRDefault="00DD645E" w:rsidP="00DD645E">
            <w:pPr>
              <w:bidi/>
              <w:spacing w:beforeLines="40" w:before="96" w:afterLines="40" w:after="96" w:line="276" w:lineRule="auto"/>
              <w:jc w:val="both"/>
              <w:rPr>
                <w:rFonts w:ascii="Traditional Arabic" w:hAnsi="Traditional Arabic" w:cs="Traditional Arabic"/>
                <w:sz w:val="30"/>
                <w:szCs w:val="30"/>
                <w:rtl/>
              </w:rPr>
            </w:pPr>
            <w:r w:rsidRPr="008C2E30">
              <w:rPr>
                <w:rFonts w:ascii="Traditional Arabic" w:hAnsi="Traditional Arabic" w:cs="Traditional Arabic" w:hint="cs"/>
                <w:sz w:val="30"/>
                <w:szCs w:val="30"/>
                <w:rtl/>
                <w:lang w:bidi="ar-EG"/>
              </w:rPr>
              <w:t>مجلس الوزراء</w:t>
            </w:r>
          </w:p>
        </w:tc>
      </w:tr>
      <w:tr w:rsidR="00532835" w:rsidRPr="00C73B2D" w14:paraId="416E8FD9" w14:textId="77777777" w:rsidTr="00922116">
        <w:trPr>
          <w:trHeight w:val="870"/>
        </w:trPr>
        <w:tc>
          <w:tcPr>
            <w:tcW w:w="3656" w:type="pct"/>
          </w:tcPr>
          <w:p w14:paraId="5A27406B" w14:textId="77777777" w:rsidR="00532835" w:rsidRPr="00C73B2D" w:rsidRDefault="00532835"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نظام جمع البيانات الخاص </w:t>
            </w:r>
            <w:r w:rsidR="00020AC6">
              <w:rPr>
                <w:rFonts w:ascii="Traditional Arabic" w:hAnsi="Traditional Arabic" w:cs="Traditional Arabic" w:hint="cs"/>
                <w:sz w:val="30"/>
                <w:szCs w:val="30"/>
                <w:rtl/>
              </w:rPr>
              <w:t>بالمنظمة البحرية الدولية</w:t>
            </w:r>
          </w:p>
        </w:tc>
        <w:tc>
          <w:tcPr>
            <w:tcW w:w="1344" w:type="pct"/>
          </w:tcPr>
          <w:p w14:paraId="2EDF23D6" w14:textId="77777777" w:rsidR="00532835" w:rsidRPr="00C73B2D" w:rsidRDefault="00532835"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نظام جمع البيانات</w:t>
            </w:r>
          </w:p>
        </w:tc>
      </w:tr>
      <w:tr w:rsidR="00352F9E" w:rsidRPr="00C73B2D" w14:paraId="50A37DD1" w14:textId="77777777" w:rsidTr="00922116">
        <w:trPr>
          <w:trHeight w:val="870"/>
        </w:trPr>
        <w:tc>
          <w:tcPr>
            <w:tcW w:w="3656" w:type="pct"/>
          </w:tcPr>
          <w:p w14:paraId="49916022" w14:textId="77777777" w:rsidR="00352F9E" w:rsidRPr="00C73B2D" w:rsidRDefault="003C24EC" w:rsidP="00922116">
            <w:pPr>
              <w:bidi/>
              <w:spacing w:beforeLines="40" w:before="96" w:afterLines="40" w:after="96" w:line="276" w:lineRule="auto"/>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الحمولة القصوى للسفينة</w:t>
            </w:r>
          </w:p>
        </w:tc>
        <w:tc>
          <w:tcPr>
            <w:tcW w:w="1344" w:type="pct"/>
          </w:tcPr>
          <w:p w14:paraId="6921CC32" w14:textId="77777777" w:rsidR="00352F9E" w:rsidRPr="00C73B2D" w:rsidRDefault="00445DB2" w:rsidP="00922116">
            <w:pPr>
              <w:bidi/>
              <w:spacing w:beforeLines="40" w:before="96" w:afterLines="40" w:after="96" w:line="276" w:lineRule="auto"/>
              <w:jc w:val="both"/>
              <w:rPr>
                <w:rFonts w:ascii="Traditional Arabic" w:hAnsi="Traditional Arabic" w:cs="Traditional Arabic"/>
                <w:sz w:val="30"/>
                <w:szCs w:val="30"/>
              </w:rPr>
            </w:pPr>
            <w:r>
              <w:rPr>
                <w:rFonts w:ascii="Traditional Arabic" w:hAnsi="Traditional Arabic" w:cs="Traditional Arabic" w:hint="cs"/>
                <w:sz w:val="30"/>
                <w:szCs w:val="30"/>
                <w:rtl/>
              </w:rPr>
              <w:t>طن ساكن</w:t>
            </w:r>
          </w:p>
        </w:tc>
      </w:tr>
      <w:tr w:rsidR="00352F9E" w:rsidRPr="00C73B2D" w14:paraId="36609FDB" w14:textId="77777777" w:rsidTr="00922116">
        <w:trPr>
          <w:trHeight w:val="801"/>
        </w:trPr>
        <w:tc>
          <w:tcPr>
            <w:tcW w:w="3656" w:type="pct"/>
            <w:hideMark/>
          </w:tcPr>
          <w:p w14:paraId="2B1EAB1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طلب الاكتتاب طبقًا لآلية الاكتتاب الإلكتروني.</w:t>
            </w:r>
          </w:p>
        </w:tc>
        <w:tc>
          <w:tcPr>
            <w:tcW w:w="1344" w:type="pct"/>
          </w:tcPr>
          <w:p w14:paraId="52968E56"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طلب الاكتتاب الإلكتروني</w:t>
            </w:r>
          </w:p>
          <w:p w14:paraId="74DF522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352F9E" w:rsidRPr="00C73B2D" w14:paraId="3754E22F" w14:textId="77777777" w:rsidTr="00922116">
        <w:trPr>
          <w:trHeight w:val="1296"/>
        </w:trPr>
        <w:tc>
          <w:tcPr>
            <w:tcW w:w="3656" w:type="pct"/>
          </w:tcPr>
          <w:p w14:paraId="33E152D3"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آلية تقديم طلبات الاكتتاب في </w:t>
            </w:r>
            <w:r w:rsidR="00026541">
              <w:rPr>
                <w:rFonts w:ascii="Traditional Arabic" w:hAnsi="Traditional Arabic" w:cs="Traditional Arabic" w:hint="cs"/>
                <w:sz w:val="30"/>
                <w:szCs w:val="30"/>
                <w:rtl/>
              </w:rPr>
              <w:t>ال</w:t>
            </w:r>
            <w:r w:rsidRPr="00C73B2D">
              <w:rPr>
                <w:rFonts w:ascii="Traditional Arabic" w:hAnsi="Traditional Arabic" w:cs="Traditional Arabic"/>
                <w:sz w:val="30"/>
                <w:szCs w:val="30"/>
                <w:rtl/>
              </w:rPr>
              <w:t>أسهم عبر إحدى قنوات الاكتتاب الإلكتروني التي يقدمها وكلاء التحصيل.</w:t>
            </w:r>
          </w:p>
          <w:p w14:paraId="6633405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57375132"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آلية الاكتتاب الإلكتروني</w:t>
            </w:r>
          </w:p>
          <w:p w14:paraId="0032C8FA"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352F9E" w:rsidRPr="00C73B2D" w14:paraId="0AE60477" w14:textId="77777777" w:rsidTr="00922116">
        <w:trPr>
          <w:trHeight w:val="1350"/>
        </w:trPr>
        <w:tc>
          <w:tcPr>
            <w:tcW w:w="3656" w:type="pct"/>
          </w:tcPr>
          <w:p w14:paraId="4E75E3D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النظام المتاح لمقدمي طلبات الاكتتاب ليقوموا من خلالها بإنشاء طلبات الاكتتاب الإلكتروني للفئة الثانية.</w:t>
            </w:r>
          </w:p>
          <w:p w14:paraId="1BB385C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511F093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نظام الاكتتاب الإلكتروني</w:t>
            </w:r>
          </w:p>
          <w:p w14:paraId="2EB257F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352F9E" w:rsidRPr="00C73B2D" w14:paraId="3B7129CF" w14:textId="77777777" w:rsidTr="00922116">
        <w:tc>
          <w:tcPr>
            <w:tcW w:w="3656" w:type="pct"/>
          </w:tcPr>
          <w:p w14:paraId="3545F943"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اجتماع الجمعية العامة غير العادية للمساهمين في الشركة.</w:t>
            </w:r>
          </w:p>
          <w:p w14:paraId="5878436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18BD910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lastRenderedPageBreak/>
              <w:t>اجتماع الجمعية العامة غير العادية</w:t>
            </w:r>
          </w:p>
        </w:tc>
      </w:tr>
      <w:tr w:rsidR="005C4EF8" w:rsidRPr="00C73B2D" w14:paraId="254A3ED1" w14:textId="77777777" w:rsidTr="00922116">
        <w:trPr>
          <w:trHeight w:val="1171"/>
        </w:trPr>
        <w:tc>
          <w:tcPr>
            <w:tcW w:w="3656" w:type="pct"/>
          </w:tcPr>
          <w:p w14:paraId="7F5DBE7D" w14:textId="77777777" w:rsidR="005C4EF8" w:rsidRPr="00C73B2D" w:rsidRDefault="005C4EF8"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البيانات المالية السنوية والبيانات المالية المرحلية</w:t>
            </w:r>
          </w:p>
        </w:tc>
        <w:tc>
          <w:tcPr>
            <w:tcW w:w="1344" w:type="pct"/>
          </w:tcPr>
          <w:p w14:paraId="4A61CEE0" w14:textId="77777777" w:rsidR="005C4EF8" w:rsidRPr="00C73B2D" w:rsidRDefault="005C4EF8"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البيانات المالية</w:t>
            </w:r>
          </w:p>
        </w:tc>
      </w:tr>
      <w:tr w:rsidR="00352F9E" w:rsidRPr="00C73B2D" w14:paraId="28985BFE" w14:textId="77777777" w:rsidTr="00922116">
        <w:trPr>
          <w:trHeight w:val="1171"/>
        </w:trPr>
        <w:tc>
          <w:tcPr>
            <w:tcW w:w="3656" w:type="pct"/>
          </w:tcPr>
          <w:p w14:paraId="2C58B0C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فترة اثني عشر (12) شهراً التي تبدأ في اليوم الأول من شهر يناير وتنتهي في اليوم الحادي والثلاثين من شهر ديسمبر من كل عام.</w:t>
            </w:r>
          </w:p>
          <w:p w14:paraId="61831F8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7E5E732F"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السنة المالية</w:t>
            </w:r>
          </w:p>
          <w:p w14:paraId="0875C1CC"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857F16" w:rsidRPr="00C73B2D" w14:paraId="5592C6C3" w14:textId="77777777" w:rsidTr="00922116">
        <w:trPr>
          <w:trHeight w:val="1171"/>
        </w:trPr>
        <w:tc>
          <w:tcPr>
            <w:tcW w:w="3656" w:type="pct"/>
          </w:tcPr>
          <w:p w14:paraId="780DF18B" w14:textId="77777777" w:rsidR="00857F16" w:rsidRPr="00C73B2D" w:rsidRDefault="00857F16"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هيئة الخدمات المالية </w:t>
            </w:r>
            <w:r w:rsidR="001C56BA">
              <w:rPr>
                <w:rFonts w:ascii="Traditional Arabic" w:hAnsi="Traditional Arabic" w:cs="Traditional Arabic" w:hint="cs"/>
                <w:sz w:val="30"/>
                <w:szCs w:val="30"/>
                <w:rtl/>
              </w:rPr>
              <w:t>بسلطنة عمان، المعروفة سابقا باسم الهيئة العامة لسوق المال، وقد أُعيدت تسميتها وهيكلتها بموجب المرسوم السلطاني رقم 20/2024.</w:t>
            </w:r>
          </w:p>
        </w:tc>
        <w:tc>
          <w:tcPr>
            <w:tcW w:w="1344" w:type="pct"/>
          </w:tcPr>
          <w:p w14:paraId="49F84C45" w14:textId="77777777" w:rsidR="00857F16" w:rsidRPr="00C73B2D" w:rsidRDefault="00857F16"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الهيئة</w:t>
            </w:r>
          </w:p>
        </w:tc>
      </w:tr>
      <w:tr w:rsidR="00352F9E" w:rsidRPr="00C73B2D" w14:paraId="4FF5E338" w14:textId="77777777" w:rsidTr="00922116">
        <w:tc>
          <w:tcPr>
            <w:tcW w:w="3656" w:type="pct"/>
          </w:tcPr>
          <w:p w14:paraId="7ADFFC8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مجلس التعاون لدول الخليج العربية، الذي يضم سلطنة عُمان ودولة الإمارات العربية المتحدة والمملكة العربية السعودية ودولة قطر ومملكة البحرين ودولة الكويت.</w:t>
            </w:r>
          </w:p>
          <w:p w14:paraId="7DE8CBF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
              </w:rPr>
            </w:pPr>
          </w:p>
        </w:tc>
        <w:tc>
          <w:tcPr>
            <w:tcW w:w="1344" w:type="pct"/>
          </w:tcPr>
          <w:p w14:paraId="66E6CB94"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مجلس التعاون الخليجي</w:t>
            </w:r>
          </w:p>
          <w:p w14:paraId="3F1CD3C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p>
        </w:tc>
      </w:tr>
      <w:tr w:rsidR="00352F9E" w:rsidRPr="00C73B2D" w14:paraId="07CB78B8" w14:textId="77777777" w:rsidTr="00922116">
        <w:trPr>
          <w:trHeight w:val="1193"/>
        </w:trPr>
        <w:tc>
          <w:tcPr>
            <w:tcW w:w="3656" w:type="pct"/>
          </w:tcPr>
          <w:p w14:paraId="271AB85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حكومة سلطنة عُمان.</w:t>
            </w:r>
          </w:p>
          <w:p w14:paraId="471E585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722EE12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الحكومة</w:t>
            </w:r>
          </w:p>
          <w:p w14:paraId="0B81A60A"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637F4F" w:rsidRPr="00C73B2D" w14:paraId="42B58A70" w14:textId="77777777" w:rsidTr="00922116">
        <w:tc>
          <w:tcPr>
            <w:tcW w:w="3656" w:type="pct"/>
          </w:tcPr>
          <w:p w14:paraId="23E2EF55" w14:textId="77777777" w:rsidR="00637F4F" w:rsidRPr="00C73B2D" w:rsidRDefault="00637F4F" w:rsidP="00637F4F">
            <w:pPr>
              <w:bidi/>
              <w:spacing w:beforeLines="40" w:before="96" w:afterLines="40" w:after="96" w:line="276" w:lineRule="auto"/>
              <w:jc w:val="both"/>
              <w:rPr>
                <w:rFonts w:ascii="Traditional Arabic" w:hAnsi="Traditional Arabic" w:cs="Traditional Arabic"/>
                <w:sz w:val="30"/>
                <w:szCs w:val="30"/>
                <w:rtl/>
              </w:rPr>
            </w:pPr>
            <w:r w:rsidRPr="00B34641">
              <w:rPr>
                <w:rFonts w:ascii="Traditional Arabic" w:hAnsi="Traditional Arabic" w:cs="Traditional Arabic" w:hint="cs"/>
                <w:sz w:val="30"/>
                <w:szCs w:val="30"/>
                <w:rtl/>
                <w:lang w:val="en-GB" w:bidi="ar-EG"/>
              </w:rPr>
              <w:t>إجمالي النفقات المحلية التي تُفيد تطوير الأعمال وتساهم في بناء القدرات البشرية وتحفز الإنتاجية في الاقتصاد العماني.</w:t>
            </w:r>
          </w:p>
        </w:tc>
        <w:tc>
          <w:tcPr>
            <w:tcW w:w="1344" w:type="pct"/>
          </w:tcPr>
          <w:p w14:paraId="5404441A" w14:textId="77777777" w:rsidR="00637F4F" w:rsidRPr="00C73B2D" w:rsidRDefault="00637F4F" w:rsidP="00637F4F">
            <w:pPr>
              <w:bidi/>
              <w:spacing w:beforeLines="40" w:before="96" w:afterLines="40" w:after="96" w:line="276" w:lineRule="auto"/>
              <w:jc w:val="both"/>
              <w:rPr>
                <w:rFonts w:ascii="Traditional Arabic" w:hAnsi="Traditional Arabic" w:cs="Traditional Arabic"/>
                <w:sz w:val="30"/>
                <w:szCs w:val="30"/>
                <w:rtl/>
              </w:rPr>
            </w:pPr>
            <w:r w:rsidRPr="00B34641">
              <w:rPr>
                <w:rFonts w:ascii="Traditional Arabic" w:hAnsi="Traditional Arabic" w:cs="Traditional Arabic" w:hint="cs"/>
                <w:sz w:val="30"/>
                <w:szCs w:val="30"/>
                <w:rtl/>
              </w:rPr>
              <w:t>القيمة المحلية المضافة</w:t>
            </w:r>
          </w:p>
        </w:tc>
      </w:tr>
      <w:tr w:rsidR="00352F9E" w:rsidRPr="00C73B2D" w14:paraId="521152AE" w14:textId="77777777" w:rsidTr="00922116">
        <w:tc>
          <w:tcPr>
            <w:tcW w:w="3656" w:type="pct"/>
          </w:tcPr>
          <w:p w14:paraId="498CC13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عضو مجلس الإدارة المستقل على النحو المحدد في ميثاق حوكمة الشركات المساهمة العامة.</w:t>
            </w:r>
          </w:p>
        </w:tc>
        <w:tc>
          <w:tcPr>
            <w:tcW w:w="1344" w:type="pct"/>
            <w:hideMark/>
          </w:tcPr>
          <w:p w14:paraId="37DDC66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العضو المستقل</w:t>
            </w:r>
          </w:p>
        </w:tc>
      </w:tr>
      <w:tr w:rsidR="00352F9E" w:rsidRPr="00C73B2D" w14:paraId="3E2F8A2D" w14:textId="77777777" w:rsidTr="00922116">
        <w:tc>
          <w:tcPr>
            <w:tcW w:w="3656" w:type="pct"/>
          </w:tcPr>
          <w:p w14:paraId="7D9DC15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مركز المعلومات ببورصة مسقط.</w:t>
            </w:r>
          </w:p>
        </w:tc>
        <w:tc>
          <w:tcPr>
            <w:tcW w:w="1344" w:type="pct"/>
          </w:tcPr>
          <w:p w14:paraId="280E0DA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مركز المعلومات</w:t>
            </w:r>
          </w:p>
        </w:tc>
      </w:tr>
      <w:tr w:rsidR="00352F9E" w:rsidRPr="00C73B2D" w14:paraId="74A8166C" w14:textId="77777777" w:rsidTr="00922116">
        <w:tc>
          <w:tcPr>
            <w:tcW w:w="3656" w:type="pct"/>
          </w:tcPr>
          <w:p w14:paraId="40D4C281" w14:textId="69AF7EBA" w:rsidR="00352F9E" w:rsidRPr="00240371" w:rsidRDefault="00352F9E" w:rsidP="00922116">
            <w:pPr>
              <w:bidi/>
              <w:spacing w:beforeLines="40" w:before="96" w:afterLines="40" w:after="96" w:line="276" w:lineRule="auto"/>
              <w:jc w:val="both"/>
              <w:rPr>
                <w:rFonts w:ascii="Traditional Arabic" w:hAnsi="Traditional Arabic"/>
                <w:sz w:val="30"/>
              </w:rPr>
            </w:pPr>
            <w:r w:rsidRPr="00240371">
              <w:rPr>
                <w:rFonts w:ascii="Traditional Arabic" w:hAnsi="Traditional Arabic" w:cs="Traditional Arabic"/>
                <w:sz w:val="30"/>
                <w:szCs w:val="30"/>
                <w:rtl/>
              </w:rPr>
              <w:t>اتفاقية التسوية المؤسسية بين الشركة و</w:t>
            </w:r>
            <w:r w:rsidR="005838C8" w:rsidRPr="00240371">
              <w:rPr>
                <w:rFonts w:ascii="Traditional Arabic" w:hAnsi="Traditional Arabic" w:cs="Traditional Arabic"/>
                <w:sz w:val="30"/>
                <w:szCs w:val="30"/>
                <w:highlight w:val="yellow"/>
                <w:rtl/>
              </w:rPr>
              <w:t>المساهم البائع</w:t>
            </w:r>
            <w:r w:rsidRPr="00240371">
              <w:rPr>
                <w:rFonts w:ascii="Traditional Arabic" w:hAnsi="Traditional Arabic" w:cs="Traditional Arabic"/>
                <w:sz w:val="30"/>
                <w:szCs w:val="30"/>
                <w:rtl/>
              </w:rPr>
              <w:t xml:space="preserve"> و</w:t>
            </w:r>
            <w:r w:rsidR="00C07CAD" w:rsidRPr="00240371">
              <w:rPr>
                <w:rFonts w:ascii="Traditional Arabic" w:hAnsi="Traditional Arabic" w:cs="Traditional Arabic" w:hint="eastAsia"/>
                <w:sz w:val="30"/>
                <w:szCs w:val="30"/>
                <w:highlight w:val="yellow"/>
                <w:rtl/>
              </w:rPr>
              <w:t>مدير</w:t>
            </w:r>
            <w:r w:rsidR="00C07CAD" w:rsidRPr="00240371">
              <w:rPr>
                <w:rFonts w:ascii="Traditional Arabic" w:hAnsi="Traditional Arabic" w:cs="Traditional Arabic"/>
                <w:sz w:val="30"/>
                <w:szCs w:val="30"/>
                <w:highlight w:val="yellow"/>
                <w:rtl/>
              </w:rPr>
              <w:t xml:space="preserve"> </w:t>
            </w:r>
            <w:r w:rsidR="00C07CAD" w:rsidRPr="00240371">
              <w:rPr>
                <w:rFonts w:ascii="Traditional Arabic" w:hAnsi="Traditional Arabic" w:cs="Traditional Arabic" w:hint="eastAsia"/>
                <w:sz w:val="30"/>
                <w:szCs w:val="30"/>
                <w:highlight w:val="yellow"/>
                <w:rtl/>
              </w:rPr>
              <w:t>سجل</w:t>
            </w:r>
            <w:r w:rsidR="00C07CAD" w:rsidRPr="00240371">
              <w:rPr>
                <w:rFonts w:ascii="Traditional Arabic" w:hAnsi="Traditional Arabic" w:cs="Traditional Arabic"/>
                <w:sz w:val="30"/>
                <w:szCs w:val="30"/>
                <w:highlight w:val="yellow"/>
                <w:rtl/>
              </w:rPr>
              <w:t xml:space="preserve"> </w:t>
            </w:r>
            <w:r w:rsidR="00C07CAD" w:rsidRPr="00240371">
              <w:rPr>
                <w:rFonts w:ascii="Traditional Arabic" w:hAnsi="Traditional Arabic" w:cs="Traditional Arabic" w:hint="eastAsia"/>
                <w:sz w:val="30"/>
                <w:szCs w:val="30"/>
                <w:highlight w:val="yellow"/>
                <w:rtl/>
              </w:rPr>
              <w:t>الاكتتاب</w:t>
            </w:r>
            <w:r w:rsidR="00F37CF6" w:rsidRPr="00240371">
              <w:rPr>
                <w:rFonts w:ascii="Traditional Arabic" w:hAnsi="Traditional Arabic" w:cs="Traditional Arabic"/>
                <w:sz w:val="30"/>
                <w:szCs w:val="30"/>
                <w:highlight w:val="yellow"/>
                <w:rtl/>
              </w:rPr>
              <w:t xml:space="preserve"> المشترك</w:t>
            </w:r>
            <w:r w:rsidRPr="00240371">
              <w:rPr>
                <w:rFonts w:ascii="Traditional Arabic" w:hAnsi="Traditional Arabic" w:cs="Traditional Arabic"/>
                <w:sz w:val="30"/>
                <w:szCs w:val="30"/>
                <w:rtl/>
              </w:rPr>
              <w:t xml:space="preserve"> ووكلاء التحصيل المؤرخة في </w:t>
            </w:r>
            <w:r w:rsidR="0021263A" w:rsidRPr="00DA0B2B">
              <w:rPr>
                <w:rFonts w:ascii="Traditional Arabic" w:hAnsi="Traditional Arabic" w:cs="Traditional Arabic"/>
                <w:sz w:val="30"/>
                <w:szCs w:val="30"/>
              </w:rPr>
              <w:t>]</w:t>
            </w:r>
            <w:r w:rsidR="0021263A">
              <w:rPr>
                <w:rFonts w:ascii="Traditional Arabic" w:hAnsi="Traditional Arabic" w:cs="Traditional Arabic" w:hint="cs"/>
                <w:sz w:val="30"/>
                <w:szCs w:val="30"/>
                <w:rtl/>
              </w:rPr>
              <w:t>16</w:t>
            </w:r>
            <w:r w:rsidR="0021263A">
              <w:rPr>
                <w:rFonts w:ascii="Traditional Arabic" w:hAnsi="Traditional Arabic" w:cs="Traditional Arabic"/>
                <w:sz w:val="30"/>
                <w:szCs w:val="30"/>
              </w:rPr>
              <w:t>[</w:t>
            </w:r>
            <w:r w:rsidR="002033D7" w:rsidRPr="00240371">
              <w:rPr>
                <w:rFonts w:ascii="Traditional Arabic" w:hAnsi="Traditional Arabic" w:cs="Traditional Arabic"/>
                <w:sz w:val="30"/>
                <w:szCs w:val="30"/>
                <w:rtl/>
              </w:rPr>
              <w:t xml:space="preserve"> </w:t>
            </w:r>
            <w:r w:rsidR="008A6451" w:rsidRPr="00240371">
              <w:rPr>
                <w:rFonts w:ascii="Traditional Arabic" w:hAnsi="Traditional Arabic" w:cs="Traditional Arabic" w:hint="eastAsia"/>
                <w:sz w:val="30"/>
                <w:szCs w:val="30"/>
                <w:highlight w:val="yellow"/>
                <w:rtl/>
              </w:rPr>
              <w:t>فبراير</w:t>
            </w:r>
            <w:r w:rsidRPr="00240371">
              <w:rPr>
                <w:rFonts w:ascii="Traditional Arabic" w:hAnsi="Traditional Arabic" w:cs="Traditional Arabic"/>
                <w:sz w:val="30"/>
                <w:szCs w:val="30"/>
                <w:rtl/>
              </w:rPr>
              <w:t xml:space="preserve"> </w:t>
            </w:r>
            <w:r w:rsidR="00C07CAD" w:rsidRPr="00240371">
              <w:rPr>
                <w:rFonts w:ascii="Traditional Arabic" w:hAnsi="Traditional Arabic" w:cs="Traditional Arabic"/>
                <w:sz w:val="30"/>
                <w:szCs w:val="30"/>
                <w:highlight w:val="yellow"/>
                <w:rtl/>
              </w:rPr>
              <w:t>٢٠٢٥</w:t>
            </w:r>
            <w:r w:rsidRPr="00240371">
              <w:rPr>
                <w:rFonts w:ascii="Traditional Arabic" w:hAnsi="Traditional Arabic" w:cs="Traditional Arabic"/>
                <w:sz w:val="30"/>
                <w:szCs w:val="30"/>
                <w:rtl/>
              </w:rPr>
              <w:t>، فيما يتعلق بأسهم الطرح.</w:t>
            </w:r>
          </w:p>
        </w:tc>
        <w:tc>
          <w:tcPr>
            <w:tcW w:w="1344" w:type="pct"/>
          </w:tcPr>
          <w:p w14:paraId="3D36A6C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اتفاقية التسوية المؤسسية</w:t>
            </w:r>
          </w:p>
        </w:tc>
      </w:tr>
      <w:tr w:rsidR="00352F9E" w:rsidRPr="00C73B2D" w14:paraId="3C017601" w14:textId="77777777" w:rsidTr="00922116">
        <w:tc>
          <w:tcPr>
            <w:tcW w:w="3656" w:type="pct"/>
          </w:tcPr>
          <w:p w14:paraId="6F71250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lastRenderedPageBreak/>
              <w:t>البيانات المالية المرحلية المدققة للشركة</w:t>
            </w:r>
            <w:r w:rsidR="000F0103">
              <w:rPr>
                <w:rFonts w:ascii="Traditional Arabic" w:hAnsi="Traditional Arabic" w:cs="Traditional Arabic" w:hint="cs"/>
                <w:sz w:val="30"/>
                <w:szCs w:val="30"/>
                <w:rtl/>
              </w:rPr>
              <w:t xml:space="preserve"> </w:t>
            </w:r>
            <w:r w:rsidRPr="00C73B2D">
              <w:rPr>
                <w:rFonts w:ascii="Traditional Arabic" w:hAnsi="Traditional Arabic" w:cs="Traditional Arabic"/>
                <w:sz w:val="30"/>
                <w:szCs w:val="30"/>
                <w:rtl/>
              </w:rPr>
              <w:t xml:space="preserve">لفترة </w:t>
            </w:r>
            <w:r w:rsidR="006057D9" w:rsidRPr="00C73B2D">
              <w:rPr>
                <w:rFonts w:ascii="Traditional Arabic" w:hAnsi="Traditional Arabic" w:cs="Traditional Arabic"/>
                <w:sz w:val="30"/>
                <w:szCs w:val="30"/>
                <w:rtl/>
              </w:rPr>
              <w:t>ال</w:t>
            </w:r>
            <w:r w:rsidR="006057D9">
              <w:rPr>
                <w:rFonts w:ascii="Traditional Arabic" w:hAnsi="Traditional Arabic" w:cs="Traditional Arabic" w:hint="cs"/>
                <w:sz w:val="30"/>
                <w:szCs w:val="30"/>
                <w:rtl/>
              </w:rPr>
              <w:t>تسعة</w:t>
            </w:r>
            <w:r w:rsidR="006057D9"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w:t>
            </w:r>
            <w:r w:rsidR="006057D9">
              <w:rPr>
                <w:rFonts w:ascii="Traditional Arabic" w:hAnsi="Traditional Arabic" w:cs="Traditional Arabic" w:hint="cs"/>
                <w:sz w:val="30"/>
                <w:szCs w:val="30"/>
                <w:rtl/>
              </w:rPr>
              <w:t>9</w:t>
            </w:r>
            <w:r w:rsidRPr="00C73B2D">
              <w:rPr>
                <w:rFonts w:ascii="Traditional Arabic" w:hAnsi="Traditional Arabic" w:cs="Traditional Arabic"/>
                <w:sz w:val="30"/>
                <w:szCs w:val="30"/>
                <w:rtl/>
              </w:rPr>
              <w:t xml:space="preserve">) أشهر المنتهية في 30 </w:t>
            </w:r>
            <w:r w:rsidR="006057D9">
              <w:rPr>
                <w:rFonts w:ascii="Traditional Arabic" w:hAnsi="Traditional Arabic" w:cs="Traditional Arabic" w:hint="cs"/>
                <w:sz w:val="30"/>
                <w:szCs w:val="30"/>
                <w:rtl/>
              </w:rPr>
              <w:t>سبتمبر</w:t>
            </w:r>
            <w:r w:rsidR="006057D9" w:rsidRPr="00C73B2D">
              <w:rPr>
                <w:rFonts w:ascii="Traditional Arabic" w:hAnsi="Traditional Arabic" w:cs="Traditional Arabic"/>
                <w:sz w:val="30"/>
                <w:szCs w:val="30"/>
                <w:rtl/>
              </w:rPr>
              <w:t xml:space="preserve"> </w:t>
            </w:r>
            <w:r w:rsidR="00613F7E" w:rsidRPr="00C73B2D">
              <w:rPr>
                <w:rFonts w:ascii="Traditional Arabic" w:hAnsi="Traditional Arabic" w:cs="Traditional Arabic"/>
                <w:sz w:val="30"/>
                <w:szCs w:val="30"/>
                <w:rtl/>
              </w:rPr>
              <w:t>202</w:t>
            </w:r>
            <w:r w:rsidR="00613F7E">
              <w:rPr>
                <w:rFonts w:ascii="Traditional Arabic" w:hAnsi="Traditional Arabic" w:cs="Traditional Arabic" w:hint="cs"/>
                <w:sz w:val="30"/>
                <w:szCs w:val="30"/>
                <w:rtl/>
              </w:rPr>
              <w:t>4</w:t>
            </w:r>
            <w:r w:rsidR="00613F7E"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والبيانات المالية</w:t>
            </w:r>
            <w:r w:rsidR="00E81EC0">
              <w:rPr>
                <w:rFonts w:ascii="Traditional Arabic" w:hAnsi="Traditional Arabic" w:cs="Traditional Arabic" w:hint="cs"/>
                <w:sz w:val="30"/>
                <w:szCs w:val="30"/>
                <w:rtl/>
              </w:rPr>
              <w:t xml:space="preserve"> </w:t>
            </w:r>
            <w:r w:rsidRPr="00C73B2D">
              <w:rPr>
                <w:rFonts w:ascii="Traditional Arabic" w:hAnsi="Traditional Arabic" w:cs="Traditional Arabic"/>
                <w:sz w:val="30"/>
                <w:szCs w:val="30"/>
                <w:rtl/>
              </w:rPr>
              <w:t xml:space="preserve">المقارنة لفترة </w:t>
            </w:r>
            <w:r w:rsidR="00E80527" w:rsidRPr="00C73B2D">
              <w:rPr>
                <w:rFonts w:ascii="Traditional Arabic" w:hAnsi="Traditional Arabic" w:cs="Traditional Arabic"/>
                <w:sz w:val="30"/>
                <w:szCs w:val="30"/>
                <w:rtl/>
              </w:rPr>
              <w:t>ال</w:t>
            </w:r>
            <w:r w:rsidR="00E80527">
              <w:rPr>
                <w:rFonts w:ascii="Traditional Arabic" w:hAnsi="Traditional Arabic" w:cs="Traditional Arabic" w:hint="cs"/>
                <w:sz w:val="30"/>
                <w:szCs w:val="30"/>
                <w:rtl/>
              </w:rPr>
              <w:t>تسعة</w:t>
            </w:r>
            <w:r w:rsidR="00E80527"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w:t>
            </w:r>
            <w:r w:rsidR="00E80527">
              <w:rPr>
                <w:rFonts w:ascii="Traditional Arabic" w:hAnsi="Traditional Arabic" w:cs="Traditional Arabic" w:hint="cs"/>
                <w:sz w:val="30"/>
                <w:szCs w:val="30"/>
                <w:rtl/>
              </w:rPr>
              <w:t>9</w:t>
            </w:r>
            <w:r w:rsidRPr="00C73B2D">
              <w:rPr>
                <w:rFonts w:ascii="Traditional Arabic" w:hAnsi="Traditional Arabic" w:cs="Traditional Arabic"/>
                <w:sz w:val="30"/>
                <w:szCs w:val="30"/>
                <w:rtl/>
              </w:rPr>
              <w:t xml:space="preserve">) أشهر المنتهية في 30 </w:t>
            </w:r>
            <w:r w:rsidR="00E80527">
              <w:rPr>
                <w:rFonts w:ascii="Traditional Arabic" w:hAnsi="Traditional Arabic" w:cs="Traditional Arabic" w:hint="cs"/>
                <w:sz w:val="30"/>
                <w:szCs w:val="30"/>
                <w:rtl/>
              </w:rPr>
              <w:t>سبتمبر</w:t>
            </w:r>
            <w:r w:rsidR="00E80527" w:rsidRPr="00C73B2D">
              <w:rPr>
                <w:rFonts w:ascii="Traditional Arabic" w:hAnsi="Traditional Arabic" w:cs="Traditional Arabic"/>
                <w:sz w:val="30"/>
                <w:szCs w:val="30"/>
                <w:rtl/>
              </w:rPr>
              <w:t xml:space="preserve"> </w:t>
            </w:r>
            <w:r w:rsidR="00613F7E" w:rsidRPr="00C73B2D">
              <w:rPr>
                <w:rFonts w:ascii="Traditional Arabic" w:hAnsi="Traditional Arabic" w:cs="Traditional Arabic"/>
                <w:sz w:val="30"/>
                <w:szCs w:val="30"/>
                <w:rtl/>
              </w:rPr>
              <w:t>202</w:t>
            </w:r>
            <w:r w:rsidR="00613F7E">
              <w:rPr>
                <w:rFonts w:ascii="Traditional Arabic" w:hAnsi="Traditional Arabic" w:cs="Traditional Arabic" w:hint="cs"/>
                <w:sz w:val="30"/>
                <w:szCs w:val="30"/>
                <w:rtl/>
              </w:rPr>
              <w:t>3</w:t>
            </w:r>
            <w:r w:rsidRPr="00C73B2D">
              <w:rPr>
                <w:rFonts w:ascii="Traditional Arabic" w:hAnsi="Traditional Arabic" w:cs="Traditional Arabic"/>
                <w:sz w:val="30"/>
                <w:szCs w:val="30"/>
                <w:rtl/>
              </w:rPr>
              <w:t>.</w:t>
            </w:r>
          </w:p>
        </w:tc>
        <w:tc>
          <w:tcPr>
            <w:tcW w:w="1344" w:type="pct"/>
          </w:tcPr>
          <w:p w14:paraId="62A701E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lang w:bidi="ar-OM"/>
              </w:rPr>
              <w:t>البيانات المالية المرحلية</w:t>
            </w:r>
            <w:r w:rsidR="00E81EC0">
              <w:rPr>
                <w:rFonts w:ascii="Traditional Arabic" w:hAnsi="Traditional Arabic" w:cs="Traditional Arabic" w:hint="cs"/>
                <w:sz w:val="30"/>
                <w:szCs w:val="30"/>
                <w:rtl/>
                <w:lang w:bidi="ar-OM"/>
              </w:rPr>
              <w:t xml:space="preserve"> </w:t>
            </w:r>
          </w:p>
        </w:tc>
      </w:tr>
      <w:tr w:rsidR="006751D8" w:rsidRPr="00C73B2D" w14:paraId="55D127BE" w14:textId="77777777" w:rsidTr="00922116">
        <w:tc>
          <w:tcPr>
            <w:tcW w:w="3656" w:type="pct"/>
          </w:tcPr>
          <w:p w14:paraId="1F18D1D7" w14:textId="77777777" w:rsidR="006751D8" w:rsidRPr="00C73B2D" w:rsidRDefault="006751D8"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الفحص السنوي الثاني أو الثالث من مساح جمعية التصنيف (مسح </w:t>
            </w:r>
            <w:r w:rsidR="00B35433">
              <w:rPr>
                <w:rFonts w:ascii="Traditional Arabic" w:hAnsi="Traditional Arabic" w:cs="Traditional Arabic" w:hint="cs"/>
                <w:sz w:val="30"/>
                <w:szCs w:val="30"/>
                <w:rtl/>
              </w:rPr>
              <w:t>تفصيلي).</w:t>
            </w:r>
          </w:p>
        </w:tc>
        <w:tc>
          <w:tcPr>
            <w:tcW w:w="1344" w:type="pct"/>
          </w:tcPr>
          <w:p w14:paraId="1636F7E7" w14:textId="77777777" w:rsidR="006751D8" w:rsidRPr="00C73B2D" w:rsidRDefault="006751D8" w:rsidP="00922116">
            <w:pPr>
              <w:bidi/>
              <w:spacing w:beforeLines="40" w:before="96" w:afterLines="40" w:after="96" w:line="276" w:lineRule="auto"/>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المسح المتوسط</w:t>
            </w:r>
          </w:p>
        </w:tc>
      </w:tr>
      <w:tr w:rsidR="00352F9E" w:rsidRPr="00C73B2D" w14:paraId="7BFEBB94" w14:textId="77777777" w:rsidTr="00922116">
        <w:tc>
          <w:tcPr>
            <w:tcW w:w="3656" w:type="pct"/>
          </w:tcPr>
          <w:p w14:paraId="53EE8129"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رقم المستثمر الذي تصدره شركة مسقط للمقاصة والإيداع للمستثمرين الذين يملكون حسابات مستثمرين لديها.</w:t>
            </w:r>
          </w:p>
        </w:tc>
        <w:tc>
          <w:tcPr>
            <w:tcW w:w="1344" w:type="pct"/>
            <w:hideMark/>
          </w:tcPr>
          <w:p w14:paraId="7FDDD343"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رقم المستثمر</w:t>
            </w:r>
          </w:p>
        </w:tc>
      </w:tr>
      <w:tr w:rsidR="00352F9E" w:rsidRPr="00C73B2D" w14:paraId="3EA79053" w14:textId="77777777" w:rsidTr="00922116">
        <w:tc>
          <w:tcPr>
            <w:tcW w:w="3656" w:type="pct"/>
          </w:tcPr>
          <w:p w14:paraId="766F21E9" w14:textId="77777777" w:rsidR="00352F9E" w:rsidRPr="00C73B2D" w:rsidRDefault="00BF01CD" w:rsidP="00E80527">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بنك </w:t>
            </w:r>
            <w:r w:rsidR="00B35433">
              <w:rPr>
                <w:rFonts w:ascii="Traditional Arabic" w:hAnsi="Traditional Arabic" w:cs="Traditional Arabic" w:hint="cs"/>
                <w:sz w:val="30"/>
                <w:szCs w:val="30"/>
                <w:rtl/>
              </w:rPr>
              <w:t>صحار الدولي</w:t>
            </w:r>
            <w:r w:rsidR="003611AA">
              <w:rPr>
                <w:rFonts w:ascii="Traditional Arabic" w:hAnsi="Traditional Arabic" w:cs="Traditional Arabic" w:hint="cs"/>
                <w:sz w:val="30"/>
                <w:szCs w:val="30"/>
                <w:rtl/>
              </w:rPr>
              <w:t xml:space="preserve"> ش م ع ع</w:t>
            </w:r>
          </w:p>
        </w:tc>
        <w:tc>
          <w:tcPr>
            <w:tcW w:w="1344" w:type="pct"/>
          </w:tcPr>
          <w:p w14:paraId="2074DF4F"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مدير الإصدار</w:t>
            </w:r>
          </w:p>
        </w:tc>
      </w:tr>
      <w:tr w:rsidR="00352F9E" w:rsidRPr="00C73B2D" w14:paraId="3B6F00EF" w14:textId="77777777" w:rsidTr="00922116">
        <w:tc>
          <w:tcPr>
            <w:tcW w:w="3656" w:type="pct"/>
          </w:tcPr>
          <w:p w14:paraId="3D58839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 xml:space="preserve">رأس المال المصدر للشركة البالغ </w:t>
            </w:r>
            <w:r w:rsidR="00421555">
              <w:rPr>
                <w:rFonts w:ascii="Traditional Arabic" w:hAnsi="Traditional Arabic" w:cs="Traditional Arabic" w:hint="cs"/>
                <w:sz w:val="30"/>
                <w:szCs w:val="30"/>
                <w:rtl/>
              </w:rPr>
              <w:t xml:space="preserve">130,218,607 </w:t>
            </w:r>
            <w:r w:rsidRPr="00C73B2D">
              <w:rPr>
                <w:rFonts w:ascii="Traditional Arabic" w:hAnsi="Traditional Arabic" w:cs="Traditional Arabic"/>
                <w:sz w:val="30"/>
                <w:szCs w:val="30"/>
                <w:rtl/>
              </w:rPr>
              <w:t xml:space="preserve">ريال عُماني مقسم إلى </w:t>
            </w:r>
            <w:r w:rsidR="00421555">
              <w:rPr>
                <w:rFonts w:ascii="Traditional Arabic" w:hAnsi="Traditional Arabic" w:cs="Traditional Arabic" w:hint="cs"/>
                <w:sz w:val="30"/>
                <w:szCs w:val="30"/>
                <w:rtl/>
              </w:rPr>
              <w:t xml:space="preserve">5,208,744,280 </w:t>
            </w:r>
            <w:r w:rsidRPr="00C73B2D">
              <w:rPr>
                <w:rFonts w:ascii="Traditional Arabic" w:hAnsi="Traditional Arabic" w:cs="Traditional Arabic"/>
                <w:sz w:val="30"/>
                <w:szCs w:val="30"/>
                <w:rtl/>
              </w:rPr>
              <w:t>سهم</w:t>
            </w:r>
            <w:r w:rsidR="00B35433">
              <w:rPr>
                <w:rFonts w:ascii="Traditional Arabic" w:hAnsi="Traditional Arabic" w:cs="Traditional Arabic" w:hint="cs"/>
                <w:sz w:val="30"/>
                <w:szCs w:val="30"/>
                <w:rtl/>
              </w:rPr>
              <w:t xml:space="preserve">، بقيمة </w:t>
            </w:r>
            <w:r w:rsidR="00421555">
              <w:rPr>
                <w:rFonts w:ascii="Traditional Arabic" w:hAnsi="Traditional Arabic" w:cs="Traditional Arabic" w:hint="cs"/>
                <w:sz w:val="30"/>
                <w:szCs w:val="30"/>
                <w:rtl/>
              </w:rPr>
              <w:t xml:space="preserve">25 </w:t>
            </w:r>
            <w:r w:rsidR="00B35433">
              <w:rPr>
                <w:rFonts w:ascii="Traditional Arabic" w:hAnsi="Traditional Arabic" w:cs="Traditional Arabic" w:hint="cs"/>
                <w:sz w:val="30"/>
                <w:szCs w:val="30"/>
                <w:rtl/>
              </w:rPr>
              <w:t>بيسة للسهم</w:t>
            </w:r>
            <w:r w:rsidRPr="00C73B2D">
              <w:rPr>
                <w:rFonts w:ascii="Traditional Arabic" w:hAnsi="Traditional Arabic" w:cs="Traditional Arabic"/>
                <w:sz w:val="30"/>
                <w:szCs w:val="30"/>
                <w:rtl/>
              </w:rPr>
              <w:t>.</w:t>
            </w:r>
          </w:p>
          <w:p w14:paraId="07BCFD9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785A4DF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 xml:space="preserve">رأس المال المصدر </w:t>
            </w:r>
          </w:p>
        </w:tc>
      </w:tr>
      <w:tr w:rsidR="00B35433" w:rsidRPr="00C73B2D" w14:paraId="3C986DC2" w14:textId="77777777" w:rsidTr="00922116">
        <w:tc>
          <w:tcPr>
            <w:tcW w:w="3656" w:type="pct"/>
          </w:tcPr>
          <w:p w14:paraId="2C83ADD0" w14:textId="77777777" w:rsidR="00B35433" w:rsidRPr="00C73B2D" w:rsidRDefault="00B35433"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بنك الاستثمار العماني، وبنك صحار الدولي، </w:t>
            </w:r>
            <w:r w:rsidR="003C7F75">
              <w:rPr>
                <w:rFonts w:ascii="Traditional Arabic" w:hAnsi="Traditional Arabic" w:cs="Traditional Arabic" w:hint="cs"/>
                <w:sz w:val="30"/>
                <w:szCs w:val="30"/>
                <w:rtl/>
              </w:rPr>
              <w:t>وخمس مؤسسات دولية</w:t>
            </w:r>
            <w:r w:rsidR="00893BFE">
              <w:rPr>
                <w:rFonts w:ascii="Traditional Arabic" w:hAnsi="Traditional Arabic" w:cs="Traditional Arabic" w:hint="cs"/>
                <w:sz w:val="30"/>
                <w:szCs w:val="30"/>
                <w:rtl/>
              </w:rPr>
              <w:t>.</w:t>
            </w:r>
          </w:p>
        </w:tc>
        <w:tc>
          <w:tcPr>
            <w:tcW w:w="1344" w:type="pct"/>
          </w:tcPr>
          <w:p w14:paraId="52AFC7FF" w14:textId="77777777" w:rsidR="00B35433" w:rsidRPr="00C73B2D" w:rsidRDefault="00B35433"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مدير سجل الاكتتاب المشترك</w:t>
            </w:r>
          </w:p>
        </w:tc>
      </w:tr>
      <w:tr w:rsidR="00352F9E" w:rsidRPr="00C73B2D" w14:paraId="53125955" w14:textId="77777777" w:rsidTr="00922116">
        <w:trPr>
          <w:trHeight w:val="900"/>
        </w:trPr>
        <w:tc>
          <w:tcPr>
            <w:tcW w:w="3656" w:type="pct"/>
          </w:tcPr>
          <w:p w14:paraId="3EB78970" w14:textId="77777777" w:rsidR="00352F9E" w:rsidRPr="00C73B2D" w:rsidRDefault="00463283" w:rsidP="00463283">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b/>
                <w:sz w:val="30"/>
                <w:szCs w:val="30"/>
                <w:rtl/>
                <w:lang w:val="en-GB" w:bidi="ar-EG"/>
              </w:rPr>
              <w:t>بنك الاستثمار العماني ش م ع م، وبنك صحار الدولي ش م ع ع</w:t>
            </w:r>
            <w:r w:rsidR="00893BFE">
              <w:rPr>
                <w:rFonts w:ascii="Traditional Arabic" w:hAnsi="Traditional Arabic" w:cs="Traditional Arabic" w:hint="cs"/>
                <w:b/>
                <w:sz w:val="30"/>
                <w:szCs w:val="30"/>
                <w:rtl/>
                <w:lang w:val="en-GB" w:bidi="ar-EG"/>
              </w:rPr>
              <w:t>، وثلاث مؤسسات دولية.</w:t>
            </w:r>
          </w:p>
        </w:tc>
        <w:tc>
          <w:tcPr>
            <w:tcW w:w="1344" w:type="pct"/>
          </w:tcPr>
          <w:p w14:paraId="22205EF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المنسق العالمي المشترك</w:t>
            </w:r>
          </w:p>
          <w:p w14:paraId="4EE8C67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352F9E" w:rsidRPr="00C73B2D" w14:paraId="289B25A8" w14:textId="77777777" w:rsidTr="00922116">
        <w:trPr>
          <w:trHeight w:val="900"/>
        </w:trPr>
        <w:tc>
          <w:tcPr>
            <w:tcW w:w="3656" w:type="pct"/>
          </w:tcPr>
          <w:p w14:paraId="01FA0220" w14:textId="77777777" w:rsidR="00352F9E" w:rsidRPr="00C73B2D" w:rsidRDefault="009546E1"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ب</w:t>
            </w:r>
            <w:r w:rsidRPr="009546E1">
              <w:rPr>
                <w:rFonts w:ascii="Traditional Arabic" w:hAnsi="Traditional Arabic" w:cs="Traditional Arabic"/>
                <w:sz w:val="30"/>
                <w:szCs w:val="30"/>
                <w:rtl/>
              </w:rPr>
              <w:t>روتوكول كيوتو لاتفاقية الأمم المتحدة الإطارية بشأن تغير المناخ</w:t>
            </w:r>
            <w:r w:rsidRPr="009546E1" w:rsidDel="006B08D5">
              <w:rPr>
                <w:rFonts w:ascii="Traditional Arabic" w:hAnsi="Traditional Arabic" w:cs="Traditional Arabic"/>
                <w:sz w:val="30"/>
                <w:szCs w:val="30"/>
                <w:rtl/>
              </w:rPr>
              <w:t xml:space="preserve"> </w:t>
            </w:r>
          </w:p>
        </w:tc>
        <w:tc>
          <w:tcPr>
            <w:tcW w:w="1344" w:type="pct"/>
          </w:tcPr>
          <w:p w14:paraId="6F303CD8" w14:textId="77777777" w:rsidR="00352F9E" w:rsidRPr="00C73B2D" w:rsidRDefault="006B08D5"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بروتوكول كيوتو</w:t>
            </w:r>
          </w:p>
        </w:tc>
      </w:tr>
      <w:tr w:rsidR="006B08D5" w:rsidRPr="00C73B2D" w14:paraId="660DD9B2" w14:textId="77777777" w:rsidTr="00922116">
        <w:trPr>
          <w:trHeight w:val="900"/>
        </w:trPr>
        <w:tc>
          <w:tcPr>
            <w:tcW w:w="3656" w:type="pct"/>
          </w:tcPr>
          <w:p w14:paraId="630059E6" w14:textId="77777777" w:rsidR="006B08D5" w:rsidRPr="00C73B2D" w:rsidRDefault="006B08D5" w:rsidP="006B08D5">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المرسوم السلطاني رقم 114/2001 بإصدار قانون حماية البيئة ومكافحة التلوث، وتعديلاته.</w:t>
            </w:r>
          </w:p>
        </w:tc>
        <w:tc>
          <w:tcPr>
            <w:tcW w:w="1344" w:type="pct"/>
          </w:tcPr>
          <w:p w14:paraId="1F85AB6B" w14:textId="77777777" w:rsidR="006B08D5" w:rsidRPr="00C73B2D" w:rsidRDefault="006B08D5" w:rsidP="006B08D5">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قانون البيئة</w:t>
            </w:r>
          </w:p>
        </w:tc>
      </w:tr>
      <w:tr w:rsidR="00352F9E" w:rsidRPr="00C73B2D" w14:paraId="559C27E0" w14:textId="77777777" w:rsidTr="00922116">
        <w:trPr>
          <w:trHeight w:val="792"/>
        </w:trPr>
        <w:tc>
          <w:tcPr>
            <w:tcW w:w="3656" w:type="pct"/>
          </w:tcPr>
          <w:p w14:paraId="3C6579D9"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تاريخ الإدراج الذي سيتاح فيه تداول الأسهم في بورصة مسقط (خلال </w:t>
            </w:r>
            <w:r w:rsidR="000179D8">
              <w:rPr>
                <w:rFonts w:ascii="Traditional Arabic" w:hAnsi="Traditional Arabic" w:cs="Traditional Arabic" w:hint="cs"/>
                <w:sz w:val="30"/>
                <w:szCs w:val="30"/>
                <w:rtl/>
              </w:rPr>
              <w:t xml:space="preserve">ثلاثة أيام </w:t>
            </w:r>
            <w:r w:rsidR="005F4100">
              <w:rPr>
                <w:rFonts w:ascii="Traditional Arabic" w:hAnsi="Traditional Arabic" w:cs="Traditional Arabic" w:hint="cs"/>
                <w:sz w:val="30"/>
                <w:szCs w:val="30"/>
                <w:rtl/>
              </w:rPr>
              <w:t>عمل</w:t>
            </w:r>
            <w:r w:rsidR="005F4100" w:rsidRPr="00C73B2D">
              <w:rPr>
                <w:rFonts w:ascii="Traditional Arabic" w:hAnsi="Traditional Arabic" w:cs="Traditional Arabic"/>
                <w:sz w:val="30"/>
                <w:szCs w:val="30"/>
                <w:rtl/>
              </w:rPr>
              <w:t xml:space="preserve"> </w:t>
            </w:r>
            <w:r w:rsidR="005F4100">
              <w:rPr>
                <w:rFonts w:ascii="Traditional Arabic" w:hAnsi="Traditional Arabic" w:cs="Traditional Arabic" w:hint="cs"/>
                <w:sz w:val="30"/>
                <w:szCs w:val="30"/>
                <w:rtl/>
              </w:rPr>
              <w:t>بتوقيت سلطنة عمان، وذلك</w:t>
            </w:r>
            <w:r w:rsidRPr="00C73B2D">
              <w:rPr>
                <w:rFonts w:ascii="Traditional Arabic" w:hAnsi="Traditional Arabic" w:cs="Traditional Arabic"/>
                <w:sz w:val="30"/>
                <w:szCs w:val="30"/>
                <w:rtl/>
              </w:rPr>
              <w:t xml:space="preserve"> من تاريخ التسوية) أو أي تاريخ آخر يحدده </w:t>
            </w:r>
            <w:r w:rsidR="00C7022E">
              <w:rPr>
                <w:rFonts w:ascii="Traditional Arabic" w:hAnsi="Traditional Arabic" w:cs="Traditional Arabic"/>
                <w:sz w:val="30"/>
                <w:szCs w:val="30"/>
                <w:rtl/>
              </w:rPr>
              <w:t>المنسق العالمي المشترك</w:t>
            </w:r>
            <w:r w:rsidRPr="00C73B2D">
              <w:rPr>
                <w:rFonts w:ascii="Traditional Arabic" w:hAnsi="Traditional Arabic" w:cs="Traditional Arabic"/>
                <w:sz w:val="30"/>
                <w:szCs w:val="30"/>
                <w:rtl/>
              </w:rPr>
              <w:t xml:space="preserve"> </w:t>
            </w:r>
            <w:r w:rsidR="00380507">
              <w:rPr>
                <w:rFonts w:ascii="Traditional Arabic" w:hAnsi="Traditional Arabic" w:cs="Traditional Arabic" w:hint="cs"/>
                <w:sz w:val="30"/>
                <w:szCs w:val="30"/>
                <w:rtl/>
              </w:rPr>
              <w:t>ويُعلن عنه</w:t>
            </w:r>
            <w:r w:rsidRPr="00C73B2D">
              <w:rPr>
                <w:rFonts w:ascii="Traditional Arabic" w:hAnsi="Traditional Arabic" w:cs="Traditional Arabic"/>
                <w:sz w:val="30"/>
                <w:szCs w:val="30"/>
                <w:rtl/>
              </w:rPr>
              <w:t>.</w:t>
            </w:r>
          </w:p>
        </w:tc>
        <w:tc>
          <w:tcPr>
            <w:tcW w:w="1344" w:type="pct"/>
          </w:tcPr>
          <w:p w14:paraId="1C006129"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rPr>
              <w:t>تاريخ ا</w:t>
            </w:r>
            <w:r w:rsidRPr="00C73B2D">
              <w:rPr>
                <w:rFonts w:ascii="Traditional Arabic" w:hAnsi="Traditional Arabic" w:cs="Traditional Arabic"/>
                <w:sz w:val="30"/>
                <w:szCs w:val="30"/>
                <w:rtl/>
                <w:lang w:bidi="ar-OM"/>
              </w:rPr>
              <w:t>لإدراج</w:t>
            </w:r>
          </w:p>
        </w:tc>
      </w:tr>
      <w:tr w:rsidR="00CA11B9" w:rsidRPr="00C73B2D" w14:paraId="32DA408A" w14:textId="77777777" w:rsidTr="00922116">
        <w:trPr>
          <w:trHeight w:val="792"/>
        </w:trPr>
        <w:tc>
          <w:tcPr>
            <w:tcW w:w="3656" w:type="pct"/>
          </w:tcPr>
          <w:p w14:paraId="62B2AF3D" w14:textId="0C9D9AE9" w:rsidR="00CA11B9" w:rsidRPr="00C73B2D" w:rsidRDefault="00CA11B9"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شركة محدودة المسؤولية </w:t>
            </w:r>
          </w:p>
        </w:tc>
        <w:tc>
          <w:tcPr>
            <w:tcW w:w="1344" w:type="pct"/>
          </w:tcPr>
          <w:p w14:paraId="7BF9A274" w14:textId="77777777" w:rsidR="00CA11B9" w:rsidRPr="00C73B2D" w:rsidRDefault="00CA11B9" w:rsidP="00922116">
            <w:pPr>
              <w:bidi/>
              <w:spacing w:beforeLines="40" w:before="96" w:afterLines="40" w:after="96" w:line="276" w:lineRule="auto"/>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ش م م</w:t>
            </w:r>
          </w:p>
        </w:tc>
      </w:tr>
      <w:tr w:rsidR="00352F9E" w:rsidRPr="00C73B2D" w14:paraId="57151EB7" w14:textId="77777777" w:rsidTr="00922116">
        <w:tc>
          <w:tcPr>
            <w:tcW w:w="3656" w:type="pct"/>
          </w:tcPr>
          <w:p w14:paraId="79EAC67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فريق الإدارة العليا ل</w:t>
            </w:r>
            <w:r w:rsidR="00482A1F">
              <w:rPr>
                <w:rFonts w:ascii="Traditional Arabic" w:hAnsi="Traditional Arabic" w:cs="Traditional Arabic" w:hint="cs"/>
                <w:sz w:val="30"/>
                <w:szCs w:val="30"/>
                <w:rtl/>
              </w:rPr>
              <w:t>ل</w:t>
            </w:r>
            <w:r w:rsidRPr="00C73B2D">
              <w:rPr>
                <w:rFonts w:ascii="Traditional Arabic" w:hAnsi="Traditional Arabic" w:cs="Traditional Arabic"/>
                <w:sz w:val="30"/>
                <w:szCs w:val="30"/>
                <w:rtl/>
              </w:rPr>
              <w:t xml:space="preserve">شركة </w:t>
            </w:r>
          </w:p>
        </w:tc>
        <w:tc>
          <w:tcPr>
            <w:tcW w:w="1344" w:type="pct"/>
          </w:tcPr>
          <w:p w14:paraId="3ECCEFB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val="en-GB"/>
              </w:rPr>
            </w:pPr>
            <w:r w:rsidRPr="00C73B2D">
              <w:rPr>
                <w:rFonts w:ascii="Traditional Arabic" w:hAnsi="Traditional Arabic" w:cs="Traditional Arabic"/>
                <w:sz w:val="30"/>
                <w:szCs w:val="30"/>
                <w:rtl/>
              </w:rPr>
              <w:t>الإدارة</w:t>
            </w:r>
          </w:p>
        </w:tc>
      </w:tr>
      <w:tr w:rsidR="004C4448" w:rsidRPr="00C73B2D" w14:paraId="296B58CD" w14:textId="77777777" w:rsidTr="00922116">
        <w:tc>
          <w:tcPr>
            <w:tcW w:w="3656" w:type="pct"/>
          </w:tcPr>
          <w:p w14:paraId="60482726" w14:textId="77777777" w:rsidR="004C4448" w:rsidRPr="00C73B2D" w:rsidRDefault="004C4448"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الصادر بالمرسوم السلطاني رقم 19/2023</w:t>
            </w:r>
          </w:p>
        </w:tc>
        <w:tc>
          <w:tcPr>
            <w:tcW w:w="1344" w:type="pct"/>
          </w:tcPr>
          <w:p w14:paraId="4B12C062" w14:textId="77777777" w:rsidR="004C4448" w:rsidRPr="00C73B2D" w:rsidRDefault="004C4448"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القانون البحري</w:t>
            </w:r>
          </w:p>
        </w:tc>
      </w:tr>
      <w:tr w:rsidR="00352F9E" w:rsidRPr="00C73B2D" w14:paraId="6EE52C5F" w14:textId="77777777" w:rsidTr="00922116">
        <w:tc>
          <w:tcPr>
            <w:tcW w:w="3656" w:type="pct"/>
          </w:tcPr>
          <w:p w14:paraId="163A8B37" w14:textId="77777777" w:rsidR="00352F9E" w:rsidRPr="00C73B2D" w:rsidRDefault="000F763D"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ماريتيم ستراتيجيز إنترناشيونال ليمتد</w:t>
            </w:r>
          </w:p>
        </w:tc>
        <w:tc>
          <w:tcPr>
            <w:tcW w:w="1344" w:type="pct"/>
          </w:tcPr>
          <w:p w14:paraId="5EFB6F2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lang w:bidi="ar-OM"/>
              </w:rPr>
              <w:t>مستشار السوق</w:t>
            </w:r>
          </w:p>
        </w:tc>
      </w:tr>
      <w:tr w:rsidR="00352F9E" w:rsidRPr="00C73B2D" w14:paraId="264BE3F2" w14:textId="77777777" w:rsidTr="00922116">
        <w:tc>
          <w:tcPr>
            <w:tcW w:w="3656" w:type="pct"/>
          </w:tcPr>
          <w:p w14:paraId="68E4319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التقرير والبيانات والمعلومات التي أعدها مستشار السوق نيابة عن الشركة فيما يتعلق بالطرح.</w:t>
            </w:r>
          </w:p>
        </w:tc>
        <w:tc>
          <w:tcPr>
            <w:tcW w:w="1344" w:type="pct"/>
          </w:tcPr>
          <w:p w14:paraId="154F827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تقرير السوق</w:t>
            </w:r>
          </w:p>
        </w:tc>
      </w:tr>
      <w:tr w:rsidR="006B2DF9" w:rsidRPr="00C73B2D" w14:paraId="37BA0650" w14:textId="77777777" w:rsidTr="00922116">
        <w:tc>
          <w:tcPr>
            <w:tcW w:w="3656" w:type="pct"/>
          </w:tcPr>
          <w:p w14:paraId="48748BE9" w14:textId="77777777" w:rsidR="006B2DF9" w:rsidRPr="00C73B2D" w:rsidRDefault="006B2DF9" w:rsidP="006B2DF9">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ا</w:t>
            </w:r>
            <w:r w:rsidRPr="006B2DF9">
              <w:rPr>
                <w:rFonts w:ascii="Traditional Arabic" w:hAnsi="Traditional Arabic" w:cs="Traditional Arabic"/>
                <w:sz w:val="30"/>
                <w:szCs w:val="30"/>
                <w:rtl/>
              </w:rPr>
              <w:t>لاتفاقية الدولية لمنع التلوث الناجم عن السفن</w:t>
            </w:r>
          </w:p>
        </w:tc>
        <w:tc>
          <w:tcPr>
            <w:tcW w:w="1344" w:type="pct"/>
          </w:tcPr>
          <w:p w14:paraId="3A28510C" w14:textId="77777777" w:rsidR="006B2DF9" w:rsidRPr="00C73B2D" w:rsidRDefault="006B2DF9"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ماربول</w:t>
            </w:r>
          </w:p>
        </w:tc>
      </w:tr>
      <w:tr w:rsidR="00352F9E" w:rsidRPr="00C73B2D" w14:paraId="50C9ACBD" w14:textId="77777777" w:rsidTr="00922116">
        <w:tc>
          <w:tcPr>
            <w:tcW w:w="3656" w:type="pct"/>
          </w:tcPr>
          <w:p w14:paraId="7690F37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شركة مسقط للمقاصة والإيداع ش م ع م</w:t>
            </w:r>
          </w:p>
          <w:p w14:paraId="31D821B9"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4B9290CC"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شركة مسقط للمقاصة والإيداع</w:t>
            </w:r>
          </w:p>
        </w:tc>
      </w:tr>
      <w:tr w:rsidR="00352F9E" w:rsidRPr="00C73B2D" w14:paraId="34B92630" w14:textId="77777777" w:rsidTr="00922116">
        <w:tc>
          <w:tcPr>
            <w:tcW w:w="3656" w:type="pct"/>
          </w:tcPr>
          <w:p w14:paraId="63F4A533"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وزارة الطاقة والمعادن</w:t>
            </w:r>
            <w:r w:rsidR="00B167FF">
              <w:rPr>
                <w:rFonts w:ascii="Traditional Arabic" w:hAnsi="Traditional Arabic" w:cs="Traditional Arabic" w:hint="cs"/>
                <w:sz w:val="30"/>
                <w:szCs w:val="30"/>
                <w:rtl/>
              </w:rPr>
              <w:t xml:space="preserve"> بسلطنة عمان</w:t>
            </w:r>
            <w:r w:rsidRPr="00C73B2D">
              <w:rPr>
                <w:rFonts w:ascii="Traditional Arabic" w:hAnsi="Traditional Arabic" w:cs="Traditional Arabic"/>
                <w:sz w:val="30"/>
                <w:szCs w:val="30"/>
                <w:rtl/>
              </w:rPr>
              <w:t>، المعروفة سابقا باسم وزارة النفط والغاز، حيث أُعيدت تسميتها</w:t>
            </w:r>
            <w:r w:rsidRPr="00C73B2D">
              <w:rPr>
                <w:rFonts w:ascii="Traditional Arabic" w:hAnsi="Traditional Arabic" w:cs="Traditional Arabic"/>
                <w:sz w:val="30"/>
                <w:szCs w:val="30"/>
                <w:rtl/>
                <w:lang w:bidi="ar-OM"/>
              </w:rPr>
              <w:t xml:space="preserve"> وهيكلتها</w:t>
            </w:r>
            <w:r w:rsidRPr="00C73B2D">
              <w:rPr>
                <w:rFonts w:ascii="Traditional Arabic" w:hAnsi="Traditional Arabic" w:cs="Traditional Arabic"/>
                <w:sz w:val="30"/>
                <w:szCs w:val="30"/>
                <w:rtl/>
              </w:rPr>
              <w:t xml:space="preserve"> بموجب المرسوم السلطاني رقم 96/2020، وتعديلاته.</w:t>
            </w:r>
          </w:p>
        </w:tc>
        <w:tc>
          <w:tcPr>
            <w:tcW w:w="1344" w:type="pct"/>
          </w:tcPr>
          <w:p w14:paraId="3B728DD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وزارة الطاقة والمعادن</w:t>
            </w:r>
          </w:p>
        </w:tc>
      </w:tr>
      <w:tr w:rsidR="00352F9E" w:rsidRPr="00C73B2D" w14:paraId="1A8E75F4" w14:textId="77777777" w:rsidTr="00922116">
        <w:tc>
          <w:tcPr>
            <w:tcW w:w="3656" w:type="pct"/>
          </w:tcPr>
          <w:p w14:paraId="3DFABD2E"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عقد تأسيس الشركة المسجل لدى وزارة التجارة والصناعة وترويج الاستثمار.</w:t>
            </w:r>
          </w:p>
          <w:p w14:paraId="57385AF6"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2806739F"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عقد التأسيس</w:t>
            </w:r>
          </w:p>
        </w:tc>
      </w:tr>
      <w:tr w:rsidR="00352F9E" w:rsidRPr="00C73B2D" w14:paraId="671A9B10" w14:textId="77777777" w:rsidTr="00922116">
        <w:tc>
          <w:tcPr>
            <w:tcW w:w="3656" w:type="pct"/>
          </w:tcPr>
          <w:p w14:paraId="664FC74A"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وزارة التجارة والصناعة وترويج الاستثمار بسلطنة عُمان، المعروفة سابقا بوزارة التجارة والصناعة، حيث أُعيدت تسميتها وهيكلتها بموجب المرسوم السلطاني رقم 97/2020، وتعديلاته.</w:t>
            </w:r>
          </w:p>
          <w:p w14:paraId="1D9D3DD2"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34597642"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وزارة التجارة والصناعة</w:t>
            </w:r>
            <w:r w:rsidRPr="00C73B2D">
              <w:rPr>
                <w:rFonts w:ascii="Traditional Arabic" w:hAnsi="Traditional Arabic" w:cs="Traditional Arabic"/>
                <w:sz w:val="30"/>
                <w:szCs w:val="30"/>
                <w:rtl/>
                <w:lang w:bidi="ar-OM"/>
              </w:rPr>
              <w:t xml:space="preserve"> وترويج الاستثمار</w:t>
            </w:r>
          </w:p>
        </w:tc>
      </w:tr>
      <w:tr w:rsidR="00352F9E" w:rsidRPr="00C73B2D" w14:paraId="3A1648B7" w14:textId="77777777" w:rsidTr="00922116">
        <w:tc>
          <w:tcPr>
            <w:tcW w:w="3656" w:type="pct"/>
          </w:tcPr>
          <w:p w14:paraId="02BBB3E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وزارة المالية بسلطنة عُمان</w:t>
            </w:r>
          </w:p>
          <w:p w14:paraId="75F10E1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3BB56CA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وزارة المالية</w:t>
            </w:r>
          </w:p>
        </w:tc>
      </w:tr>
      <w:tr w:rsidR="00352F9E" w:rsidRPr="00C73B2D" w14:paraId="39CA3E8A" w14:textId="77777777" w:rsidTr="00922116">
        <w:tc>
          <w:tcPr>
            <w:tcW w:w="3656" w:type="pct"/>
          </w:tcPr>
          <w:p w14:paraId="03F06C9A"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وزارة الإسكان والتخطيط العمراني</w:t>
            </w:r>
            <w:r w:rsidR="004F5431">
              <w:rPr>
                <w:rFonts w:ascii="Traditional Arabic" w:hAnsi="Traditional Arabic" w:cs="Traditional Arabic" w:hint="cs"/>
                <w:sz w:val="30"/>
                <w:szCs w:val="30"/>
                <w:rtl/>
              </w:rPr>
              <w:t xml:space="preserve"> بسلطنة عمان، وقد</w:t>
            </w:r>
            <w:r w:rsidRPr="00C73B2D">
              <w:rPr>
                <w:rFonts w:ascii="Traditional Arabic" w:hAnsi="Traditional Arabic" w:cs="Traditional Arabic"/>
                <w:sz w:val="30"/>
                <w:szCs w:val="30"/>
                <w:rtl/>
              </w:rPr>
              <w:t xml:space="preserve"> أُعيدت تسميتها وهيكلتها بموجب المرسوم السلطاني رقم 93/2020، وتعديلاته</w:t>
            </w:r>
            <w:r w:rsidR="004F5431">
              <w:rPr>
                <w:rFonts w:ascii="Traditional Arabic" w:hAnsi="Traditional Arabic" w:cs="Traditional Arabic" w:hint="cs"/>
                <w:sz w:val="30"/>
                <w:szCs w:val="30"/>
                <w:rtl/>
              </w:rPr>
              <w:t>.</w:t>
            </w:r>
          </w:p>
          <w:p w14:paraId="3982F47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6FE831C5"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وزارة الإسكان والتخطيط العمراني</w:t>
            </w:r>
          </w:p>
        </w:tc>
      </w:tr>
      <w:tr w:rsidR="00352F9E" w:rsidRPr="00C73B2D" w14:paraId="6E984F1A" w14:textId="77777777" w:rsidTr="00922116">
        <w:tc>
          <w:tcPr>
            <w:tcW w:w="3656" w:type="pct"/>
          </w:tcPr>
          <w:p w14:paraId="1ECE043C"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lastRenderedPageBreak/>
              <w:t xml:space="preserve">وزارة العمل </w:t>
            </w:r>
            <w:r w:rsidR="004F5431">
              <w:rPr>
                <w:rFonts w:ascii="Traditional Arabic" w:hAnsi="Traditional Arabic" w:cs="Traditional Arabic" w:hint="cs"/>
                <w:sz w:val="30"/>
                <w:szCs w:val="30"/>
                <w:rtl/>
              </w:rPr>
              <w:t xml:space="preserve">بسلطنة عمان </w:t>
            </w:r>
            <w:r w:rsidRPr="00C73B2D">
              <w:rPr>
                <w:rFonts w:ascii="Traditional Arabic" w:hAnsi="Traditional Arabic" w:cs="Traditional Arabic"/>
                <w:sz w:val="30"/>
                <w:szCs w:val="30"/>
                <w:rtl/>
              </w:rPr>
              <w:t>المعروفة سابقا باسم وزارة القوى العاملة، وقد أُعيدت تسميتها وهيكلتها بموجب المرسوم السلطاني رقم 89/2020، وتعديلاته.</w:t>
            </w:r>
          </w:p>
          <w:p w14:paraId="60852BF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6FF3949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وزارة العمل</w:t>
            </w:r>
          </w:p>
        </w:tc>
      </w:tr>
      <w:tr w:rsidR="000F763D" w:rsidRPr="00C73B2D" w14:paraId="23AFD523" w14:textId="77777777" w:rsidTr="00922116">
        <w:tc>
          <w:tcPr>
            <w:tcW w:w="3656" w:type="pct"/>
          </w:tcPr>
          <w:p w14:paraId="641F8829" w14:textId="77777777" w:rsidR="000F763D" w:rsidRPr="00C73B2D" w:rsidRDefault="00570E6F"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شركة متسوي أو إس كيه لاينز ليمتد</w:t>
            </w:r>
          </w:p>
        </w:tc>
        <w:tc>
          <w:tcPr>
            <w:tcW w:w="1344" w:type="pct"/>
          </w:tcPr>
          <w:p w14:paraId="28B78681" w14:textId="77777777" w:rsidR="000F763D" w:rsidRPr="00C73B2D" w:rsidRDefault="00570E6F"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شركة متسوي</w:t>
            </w:r>
          </w:p>
        </w:tc>
      </w:tr>
      <w:tr w:rsidR="00570E6F" w:rsidRPr="00C73B2D" w14:paraId="784986A2" w14:textId="77777777" w:rsidTr="00922116">
        <w:tc>
          <w:tcPr>
            <w:tcW w:w="3656" w:type="pct"/>
          </w:tcPr>
          <w:p w14:paraId="2B906420" w14:textId="77777777" w:rsidR="00570E6F" w:rsidRPr="00C73B2D" w:rsidRDefault="00004AE1" w:rsidP="00922116">
            <w:pPr>
              <w:bidi/>
              <w:spacing w:beforeLines="40" w:before="96" w:afterLines="40" w:after="96" w:line="276" w:lineRule="auto"/>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rPr>
              <w:t>قانون مراقبة التلويث البحري الصادر بالمرسوم السلطاني رقم 34/1974</w:t>
            </w:r>
          </w:p>
        </w:tc>
        <w:tc>
          <w:tcPr>
            <w:tcW w:w="1344" w:type="pct"/>
          </w:tcPr>
          <w:p w14:paraId="5D5DF33E" w14:textId="77777777" w:rsidR="00570E6F" w:rsidRPr="00C73B2D" w:rsidRDefault="00570E6F"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قانون م</w:t>
            </w:r>
            <w:r w:rsidR="00004AE1">
              <w:rPr>
                <w:rFonts w:ascii="Traditional Arabic" w:hAnsi="Traditional Arabic" w:cs="Traditional Arabic" w:hint="cs"/>
                <w:sz w:val="30"/>
                <w:szCs w:val="30"/>
                <w:rtl/>
              </w:rPr>
              <w:t>راقبة</w:t>
            </w:r>
            <w:r>
              <w:rPr>
                <w:rFonts w:ascii="Traditional Arabic" w:hAnsi="Traditional Arabic" w:cs="Traditional Arabic" w:hint="cs"/>
                <w:sz w:val="30"/>
                <w:szCs w:val="30"/>
                <w:rtl/>
              </w:rPr>
              <w:t xml:space="preserve"> التلو</w:t>
            </w:r>
            <w:r w:rsidR="00004AE1">
              <w:rPr>
                <w:rFonts w:ascii="Traditional Arabic" w:hAnsi="Traditional Arabic" w:cs="Traditional Arabic" w:hint="cs"/>
                <w:sz w:val="30"/>
                <w:szCs w:val="30"/>
                <w:rtl/>
              </w:rPr>
              <w:t>ي</w:t>
            </w:r>
            <w:r>
              <w:rPr>
                <w:rFonts w:ascii="Traditional Arabic" w:hAnsi="Traditional Arabic" w:cs="Traditional Arabic" w:hint="cs"/>
                <w:sz w:val="30"/>
                <w:szCs w:val="30"/>
                <w:rtl/>
              </w:rPr>
              <w:t>ث البحري</w:t>
            </w:r>
          </w:p>
        </w:tc>
      </w:tr>
      <w:tr w:rsidR="00352F9E" w:rsidRPr="00C73B2D" w14:paraId="32626874" w14:textId="77777777" w:rsidTr="00922116">
        <w:tc>
          <w:tcPr>
            <w:tcW w:w="3656" w:type="pct"/>
          </w:tcPr>
          <w:p w14:paraId="37BEF162" w14:textId="45E18363" w:rsidR="00352F9E" w:rsidRPr="00C73B2D" w:rsidRDefault="00A05B1B" w:rsidP="00922116">
            <w:pPr>
              <w:bidi/>
              <w:spacing w:beforeLines="40" w:before="96" w:afterLines="40" w:after="96" w:line="276" w:lineRule="auto"/>
              <w:jc w:val="both"/>
              <w:rPr>
                <w:rFonts w:ascii="Traditional Arabic" w:hAnsi="Traditional Arabic" w:cs="Traditional Arabic"/>
                <w:sz w:val="30"/>
                <w:szCs w:val="30"/>
                <w:lang w:val="en-GB"/>
              </w:rPr>
            </w:pPr>
            <w:r>
              <w:rPr>
                <w:rFonts w:ascii="Traditional Arabic" w:hAnsi="Traditional Arabic" w:cs="Traditional Arabic" w:hint="cs"/>
                <w:sz w:val="30"/>
                <w:szCs w:val="30"/>
                <w:rtl/>
              </w:rPr>
              <w:t xml:space="preserve">شركة </w:t>
            </w:r>
            <w:r w:rsidR="00352F9E" w:rsidRPr="00C73B2D">
              <w:rPr>
                <w:rFonts w:ascii="Traditional Arabic" w:hAnsi="Traditional Arabic" w:cs="Traditional Arabic"/>
                <w:sz w:val="30"/>
                <w:szCs w:val="30"/>
                <w:rtl/>
              </w:rPr>
              <w:t xml:space="preserve">بورصة مسقط </w:t>
            </w:r>
            <w:r>
              <w:rPr>
                <w:rFonts w:ascii="Traditional Arabic" w:hAnsi="Traditional Arabic" w:cs="Traditional Arabic" w:hint="cs"/>
                <w:sz w:val="30"/>
                <w:szCs w:val="30"/>
                <w:rtl/>
              </w:rPr>
              <w:t xml:space="preserve">ش.م.ع.م </w:t>
            </w:r>
            <w:r w:rsidR="00352F9E" w:rsidRPr="00C73B2D">
              <w:rPr>
                <w:rFonts w:ascii="Traditional Arabic" w:hAnsi="Traditional Arabic" w:cs="Traditional Arabic"/>
                <w:sz w:val="30"/>
                <w:szCs w:val="30"/>
                <w:rtl/>
              </w:rPr>
              <w:t>المعروفة سابقا باسم سوق مسقط للأوراق المالية التي تشغلها شركة بورصة مسقط ش م ع م بعد تعديل اسمها وإعادة هيكلتها بالمرسوم السلطاني رقم 5/2021، وتعديلاته.</w:t>
            </w:r>
          </w:p>
          <w:p w14:paraId="333F123F"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15ABC5F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البورصة</w:t>
            </w:r>
          </w:p>
          <w:p w14:paraId="79D66EB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5E7C1D" w:rsidRPr="00C73B2D" w14:paraId="376300A2" w14:textId="77777777" w:rsidTr="00922116">
        <w:tc>
          <w:tcPr>
            <w:tcW w:w="3656" w:type="pct"/>
          </w:tcPr>
          <w:p w14:paraId="044DFB4B" w14:textId="77777777" w:rsidR="005E7C1D" w:rsidRDefault="0020754F" w:rsidP="00922116">
            <w:pPr>
              <w:bidi/>
              <w:spacing w:beforeLines="40" w:before="96" w:afterLines="40" w:after="96" w:line="276" w:lineRule="auto"/>
              <w:jc w:val="both"/>
              <w:rPr>
                <w:rFonts w:ascii="Traditional Arabic" w:hAnsi="Traditional Arabic" w:cs="Traditional Arabic"/>
                <w:sz w:val="30"/>
                <w:szCs w:val="30"/>
                <w:rtl/>
              </w:rPr>
            </w:pPr>
            <w:r w:rsidRPr="000D1F47">
              <w:rPr>
                <w:rFonts w:ascii="Traditional Arabic" w:hAnsi="Traditional Arabic" w:cs="Traditional Arabic"/>
                <w:sz w:val="30"/>
                <w:szCs w:val="30"/>
                <w:rtl/>
                <w:lang w:val="en-GB"/>
              </w:rPr>
              <w:t>الأرباح قبل خصم الفوائد والضرائب والإهلاك والإطفاء، وهامش الأرباح قبل خصم الفوائد والضرائب والإهلاك والإطفاء، والأرباح المعدلة قبل خصم الفوائد والضرائب والإهلاك والإطفاء، والهامش المعدل قبل خصم الفوائد والضرائب والإهلاك والإطفاء، والإيرادات المكافئة من تأجير السفن المجهزة بالمدة،</w:t>
            </w:r>
            <w:r w:rsidR="009024DC" w:rsidRPr="00B65701">
              <w:rPr>
                <w:rFonts w:ascii="Traditional Arabic" w:eastAsia="Sakkal Majalla" w:hAnsi="Traditional Arabic" w:cs="Traditional Arabic"/>
                <w:sz w:val="30"/>
                <w:szCs w:val="30"/>
                <w:rtl/>
              </w:rPr>
              <w:t xml:space="preserve"> مكافئ تأجير السفن المجهزة بالمدة ل</w:t>
            </w:r>
            <w:r w:rsidR="00167760">
              <w:rPr>
                <w:rFonts w:ascii="Traditional Arabic" w:eastAsia="Sakkal Majalla" w:hAnsi="Traditional Arabic" w:cs="Traditional Arabic"/>
                <w:sz w:val="30"/>
                <w:szCs w:val="30"/>
                <w:rtl/>
              </w:rPr>
              <w:t>نقل</w:t>
            </w:r>
            <w:r w:rsidR="009024DC" w:rsidRPr="00B65701">
              <w:rPr>
                <w:rFonts w:ascii="Traditional Arabic" w:eastAsia="Sakkal Majalla" w:hAnsi="Traditional Arabic" w:cs="Traditional Arabic"/>
                <w:sz w:val="30"/>
                <w:szCs w:val="30"/>
                <w:rtl/>
              </w:rPr>
              <w:t xml:space="preserve"> النفط</w:t>
            </w:r>
            <w:r w:rsidR="009024DC">
              <w:rPr>
                <w:rFonts w:ascii="Traditional Arabic" w:eastAsia="Sakkal Majalla" w:hAnsi="Traditional Arabic" w:cs="Traditional Arabic" w:hint="cs"/>
                <w:sz w:val="30"/>
                <w:szCs w:val="30"/>
                <w:rtl/>
              </w:rPr>
              <w:t xml:space="preserve">، </w:t>
            </w:r>
            <w:r w:rsidR="009024DC" w:rsidRPr="00B65701">
              <w:rPr>
                <w:rFonts w:ascii="Traditional Arabic" w:eastAsia="Sakkal Majalla" w:hAnsi="Traditional Arabic" w:cs="Traditional Arabic"/>
                <w:sz w:val="30"/>
                <w:szCs w:val="30"/>
                <w:rtl/>
              </w:rPr>
              <w:t>إيرادات مكافئ تأجير السفن المجهزة بالمدة ل</w:t>
            </w:r>
            <w:r w:rsidR="00167760">
              <w:rPr>
                <w:rFonts w:ascii="Traditional Arabic" w:eastAsia="Sakkal Majalla" w:hAnsi="Traditional Arabic" w:cs="Traditional Arabic"/>
                <w:sz w:val="30"/>
                <w:szCs w:val="30"/>
                <w:rtl/>
              </w:rPr>
              <w:t>نقل</w:t>
            </w:r>
            <w:r w:rsidR="009024DC" w:rsidRPr="00B65701">
              <w:rPr>
                <w:rFonts w:ascii="Traditional Arabic" w:eastAsia="Sakkal Majalla" w:hAnsi="Traditional Arabic" w:cs="Traditional Arabic"/>
                <w:sz w:val="30"/>
                <w:szCs w:val="30"/>
                <w:rtl/>
              </w:rPr>
              <w:t xml:space="preserve"> المنتجات</w:t>
            </w:r>
            <w:r w:rsidR="009024DC">
              <w:rPr>
                <w:rFonts w:ascii="Traditional Arabic" w:eastAsia="Sakkal Majalla" w:hAnsi="Traditional Arabic" w:cs="Traditional Arabic" w:hint="cs"/>
                <w:sz w:val="30"/>
                <w:szCs w:val="30"/>
                <w:rtl/>
              </w:rPr>
              <w:t xml:space="preserve">، </w:t>
            </w:r>
            <w:r w:rsidR="009024DC" w:rsidRPr="00B65701">
              <w:rPr>
                <w:rFonts w:ascii="Traditional Arabic" w:eastAsia="Sakkal Majalla" w:hAnsi="Traditional Arabic" w:cs="Traditional Arabic"/>
                <w:sz w:val="30"/>
                <w:szCs w:val="30"/>
                <w:rtl/>
              </w:rPr>
              <w:t>إيرادات مكافئ تأجير السفن المجهزة بالمدة ل</w:t>
            </w:r>
            <w:r w:rsidR="00167760">
              <w:rPr>
                <w:rFonts w:ascii="Traditional Arabic" w:eastAsia="Sakkal Majalla" w:hAnsi="Traditional Arabic" w:cs="Traditional Arabic"/>
                <w:sz w:val="30"/>
                <w:szCs w:val="30"/>
                <w:rtl/>
              </w:rPr>
              <w:t>نقل</w:t>
            </w:r>
            <w:r w:rsidR="009024DC" w:rsidRPr="00B65701">
              <w:rPr>
                <w:rFonts w:ascii="Traditional Arabic" w:eastAsia="Sakkal Majalla" w:hAnsi="Traditional Arabic" w:cs="Traditional Arabic"/>
                <w:sz w:val="30"/>
                <w:szCs w:val="30"/>
                <w:rtl/>
              </w:rPr>
              <w:t xml:space="preserve"> البضائع السائبة الجافة</w:t>
            </w:r>
            <w:r w:rsidR="009024DC">
              <w:rPr>
                <w:rFonts w:ascii="Traditional Arabic" w:eastAsia="Sakkal Majalla" w:hAnsi="Traditional Arabic" w:cs="Traditional Arabic" w:hint="cs"/>
                <w:sz w:val="30"/>
                <w:szCs w:val="30"/>
                <w:rtl/>
              </w:rPr>
              <w:t xml:space="preserve">، </w:t>
            </w:r>
            <w:r w:rsidR="009024DC" w:rsidRPr="00B65701">
              <w:rPr>
                <w:rFonts w:ascii="Traditional Arabic" w:eastAsia="Sakkal Majalla" w:hAnsi="Traditional Arabic" w:cs="Traditional Arabic"/>
                <w:sz w:val="30"/>
                <w:szCs w:val="30"/>
                <w:rtl/>
              </w:rPr>
              <w:t>إيرادات مكافئ تأجير السفن ل</w:t>
            </w:r>
            <w:r w:rsidR="00167760">
              <w:rPr>
                <w:rFonts w:ascii="Traditional Arabic" w:eastAsia="Sakkal Majalla" w:hAnsi="Traditional Arabic" w:cs="Traditional Arabic"/>
                <w:sz w:val="30"/>
                <w:szCs w:val="30"/>
                <w:rtl/>
              </w:rPr>
              <w:t>نقل</w:t>
            </w:r>
            <w:r w:rsidR="009024DC" w:rsidRPr="00B65701">
              <w:rPr>
                <w:rFonts w:ascii="Traditional Arabic" w:eastAsia="Sakkal Majalla" w:hAnsi="Traditional Arabic" w:cs="Traditional Arabic"/>
                <w:sz w:val="30"/>
                <w:szCs w:val="30"/>
                <w:rtl/>
              </w:rPr>
              <w:t xml:space="preserve"> الغاز</w:t>
            </w:r>
            <w:r w:rsidR="009024DC">
              <w:rPr>
                <w:rFonts w:ascii="Traditional Arabic" w:eastAsia="Sakkal Majalla" w:hAnsi="Traditional Arabic" w:cs="Traditional Arabic" w:hint="cs"/>
                <w:sz w:val="30"/>
                <w:szCs w:val="30"/>
                <w:rtl/>
              </w:rPr>
              <w:t xml:space="preserve">، </w:t>
            </w:r>
            <w:r w:rsidR="009024DC" w:rsidRPr="00B65701">
              <w:rPr>
                <w:rFonts w:ascii="Traditional Arabic" w:eastAsia="Sakkal Majalla" w:hAnsi="Traditional Arabic" w:cs="Traditional Arabic"/>
                <w:sz w:val="30"/>
                <w:szCs w:val="30"/>
                <w:rtl/>
              </w:rPr>
              <w:t>إيرادات مكافئ تأجير السفن المجهزة بمدة لل</w:t>
            </w:r>
            <w:r w:rsidR="00167760">
              <w:rPr>
                <w:rFonts w:ascii="Traditional Arabic" w:eastAsia="Sakkal Majalla" w:hAnsi="Traditional Arabic" w:cs="Traditional Arabic"/>
                <w:sz w:val="30"/>
                <w:szCs w:val="30"/>
                <w:rtl/>
              </w:rPr>
              <w:t>نقل</w:t>
            </w:r>
            <w:r w:rsidR="009024DC" w:rsidRPr="00B65701">
              <w:rPr>
                <w:rFonts w:ascii="Traditional Arabic" w:eastAsia="Sakkal Majalla" w:hAnsi="Traditional Arabic" w:cs="Traditional Arabic"/>
                <w:sz w:val="30"/>
                <w:szCs w:val="30"/>
                <w:rtl/>
              </w:rPr>
              <w:t xml:space="preserve"> المنتظم</w:t>
            </w:r>
            <w:r w:rsidR="009024DC">
              <w:rPr>
                <w:rFonts w:ascii="Traditional Arabic" w:eastAsia="Sakkal Majalla" w:hAnsi="Traditional Arabic" w:cs="Traditional Arabic" w:hint="cs"/>
                <w:sz w:val="30"/>
                <w:szCs w:val="30"/>
                <w:rtl/>
              </w:rPr>
              <w:t>،</w:t>
            </w:r>
            <w:r w:rsidRPr="000D1F47">
              <w:rPr>
                <w:rFonts w:ascii="Traditional Arabic" w:hAnsi="Traditional Arabic" w:cs="Traditional Arabic"/>
                <w:sz w:val="30"/>
                <w:szCs w:val="30"/>
                <w:rtl/>
                <w:lang w:val="en-GB"/>
              </w:rPr>
              <w:t xml:space="preserve"> والسعر المكافئ من تأجير السفن المجهزة بالمدة، وهامش التدفق النقدي، </w:t>
            </w:r>
            <w:r w:rsidR="001837AB">
              <w:rPr>
                <w:rFonts w:ascii="Traditional Arabic" w:hAnsi="Traditional Arabic" w:cs="Traditional Arabic" w:hint="cs"/>
                <w:sz w:val="30"/>
                <w:szCs w:val="30"/>
                <w:rtl/>
                <w:lang w:val="en-GB"/>
              </w:rPr>
              <w:t xml:space="preserve">وصافي الدين </w:t>
            </w:r>
            <w:r w:rsidR="001837AB" w:rsidRPr="00D32CB8">
              <w:rPr>
                <w:rFonts w:ascii="Traditional Arabic" w:hAnsi="Traditional Arabic" w:cs="Traditional Arabic"/>
                <w:sz w:val="30"/>
                <w:szCs w:val="30"/>
                <w:rtl/>
                <w:lang w:val="en-GB" w:bidi="ar-EG"/>
              </w:rPr>
              <w:t>(باستثناء عقود الإيجار)</w:t>
            </w:r>
            <w:r w:rsidR="001837AB">
              <w:rPr>
                <w:rFonts w:ascii="Traditional Arabic" w:hAnsi="Traditional Arabic" w:cs="Traditional Arabic" w:hint="cs"/>
                <w:sz w:val="30"/>
                <w:szCs w:val="30"/>
                <w:rtl/>
                <w:lang w:val="en-GB" w:bidi="ar-EG"/>
              </w:rPr>
              <w:t>،</w:t>
            </w:r>
            <w:r w:rsidR="001837AB">
              <w:rPr>
                <w:rFonts w:ascii="Traditional Arabic" w:hAnsi="Traditional Arabic" w:cs="Traditional Arabic" w:hint="cs"/>
                <w:sz w:val="30"/>
                <w:szCs w:val="30"/>
                <w:rtl/>
                <w:lang w:val="en-GB"/>
              </w:rPr>
              <w:t xml:space="preserve"> </w:t>
            </w:r>
            <w:r w:rsidRPr="000D1F47">
              <w:rPr>
                <w:rFonts w:ascii="Traditional Arabic" w:hAnsi="Traditional Arabic" w:cs="Traditional Arabic"/>
                <w:sz w:val="30"/>
                <w:szCs w:val="30"/>
                <w:rtl/>
                <w:lang w:val="en-GB"/>
              </w:rPr>
              <w:t>وصافي الرافعة المالية</w:t>
            </w:r>
            <w:r>
              <w:rPr>
                <w:rFonts w:ascii="Traditional Arabic" w:hAnsi="Traditional Arabic" w:cs="Traditional Arabic" w:hint="cs"/>
                <w:sz w:val="30"/>
                <w:szCs w:val="30"/>
                <w:rtl/>
                <w:lang w:val="en-GB"/>
              </w:rPr>
              <w:t>، والقيمة الإجمالية لإيرادات العقود</w:t>
            </w:r>
          </w:p>
        </w:tc>
        <w:tc>
          <w:tcPr>
            <w:tcW w:w="1344" w:type="pct"/>
          </w:tcPr>
          <w:p w14:paraId="3EAE14DC" w14:textId="77777777" w:rsidR="005E7C1D" w:rsidRPr="00421555" w:rsidRDefault="0020754F" w:rsidP="00985281">
            <w:pPr>
              <w:pStyle w:val="BodyText1"/>
              <w:bidi/>
              <w:spacing w:after="0"/>
              <w:rPr>
                <w:rFonts w:ascii="Traditional Arabic" w:hAnsi="Traditional Arabic" w:cs="Traditional Arabic"/>
                <w:sz w:val="30"/>
                <w:szCs w:val="30"/>
                <w:rtl/>
                <w:lang w:val="en-GB" w:bidi="ar-EG"/>
              </w:rPr>
            </w:pPr>
            <w:r w:rsidRPr="00272B36">
              <w:rPr>
                <w:rFonts w:ascii="Traditional Arabic" w:hAnsi="Traditional Arabic" w:cs="Traditional Arabic" w:hint="eastAsia"/>
                <w:sz w:val="30"/>
                <w:szCs w:val="30"/>
                <w:rtl/>
                <w:lang w:val="en-GB" w:bidi="ar-EG"/>
              </w:rPr>
              <w:t>أدوات</w:t>
            </w:r>
            <w:r w:rsidRPr="00272B36">
              <w:rPr>
                <w:rFonts w:ascii="Traditional Arabic" w:hAnsi="Traditional Arabic" w:cs="Traditional Arabic"/>
                <w:sz w:val="30"/>
                <w:szCs w:val="30"/>
                <w:rtl/>
                <w:lang w:val="en-GB" w:bidi="ar-EG"/>
              </w:rPr>
              <w:t xml:space="preserve"> </w:t>
            </w:r>
            <w:r w:rsidRPr="00272B36">
              <w:rPr>
                <w:rFonts w:ascii="Traditional Arabic" w:hAnsi="Traditional Arabic" w:cs="Traditional Arabic" w:hint="eastAsia"/>
                <w:sz w:val="30"/>
                <w:szCs w:val="30"/>
                <w:rtl/>
                <w:lang w:val="en-GB" w:bidi="ar-EG"/>
              </w:rPr>
              <w:t>قياس</w:t>
            </w:r>
            <w:r w:rsidR="00503D52" w:rsidRPr="00272B36">
              <w:rPr>
                <w:rFonts w:ascii="Traditional Arabic" w:hAnsi="Traditional Arabic" w:cs="Traditional Arabic"/>
                <w:sz w:val="30"/>
                <w:szCs w:val="30"/>
                <w:rtl/>
                <w:lang w:val="en-GB" w:bidi="ar-EG"/>
              </w:rPr>
              <w:t xml:space="preserve"> غير متصلة بالمعايير الدولية لإعداد التقارير المالية</w:t>
            </w:r>
          </w:p>
        </w:tc>
      </w:tr>
      <w:tr w:rsidR="00352F9E" w:rsidRPr="00C73B2D" w14:paraId="633D04CE" w14:textId="77777777" w:rsidTr="00922116">
        <w:tc>
          <w:tcPr>
            <w:tcW w:w="3656" w:type="pct"/>
          </w:tcPr>
          <w:p w14:paraId="6C1C0FFB" w14:textId="77777777" w:rsidR="00352F9E" w:rsidRPr="00C73B2D" w:rsidRDefault="00120915" w:rsidP="00922116">
            <w:pPr>
              <w:bidi/>
              <w:spacing w:beforeLines="40" w:before="96" w:afterLines="40" w:after="96" w:line="276" w:lineRule="auto"/>
              <w:jc w:val="both"/>
              <w:rPr>
                <w:rFonts w:ascii="Traditional Arabic" w:hAnsi="Traditional Arabic" w:cs="Traditional Arabic"/>
                <w:sz w:val="30"/>
                <w:szCs w:val="30"/>
                <w:lang w:val="en-GB"/>
              </w:rPr>
            </w:pPr>
            <w:r>
              <w:rPr>
                <w:rFonts w:ascii="Traditional Arabic" w:hAnsi="Traditional Arabic" w:cs="Traditional Arabic" w:hint="cs"/>
                <w:sz w:val="30"/>
                <w:szCs w:val="30"/>
                <w:rtl/>
              </w:rPr>
              <w:t xml:space="preserve">الشخص الاعتباري الإقليمي أو الدولي (غير الأفراد) ممن يتقدم بطلب الاكتتاب في أسهم الطرح في الفئة </w:t>
            </w:r>
            <w:r w:rsidR="00AD39A9">
              <w:rPr>
                <w:rFonts w:ascii="Traditional Arabic" w:hAnsi="Traditional Arabic" w:cs="Traditional Arabic" w:hint="cs"/>
                <w:sz w:val="30"/>
                <w:szCs w:val="30"/>
                <w:rtl/>
              </w:rPr>
              <w:t>ال</w:t>
            </w:r>
            <w:r w:rsidR="00FE6DF6">
              <w:rPr>
                <w:rFonts w:ascii="Traditional Arabic" w:hAnsi="Traditional Arabic" w:cs="Traditional Arabic" w:hint="cs"/>
                <w:sz w:val="30"/>
                <w:szCs w:val="30"/>
                <w:rtl/>
              </w:rPr>
              <w:t>أولى</w:t>
            </w:r>
            <w:r w:rsidR="00D56F4E">
              <w:rPr>
                <w:rFonts w:ascii="Traditional Arabic" w:hAnsi="Traditional Arabic" w:cs="Traditional Arabic" w:hint="cs"/>
                <w:sz w:val="30"/>
                <w:szCs w:val="30"/>
                <w:rtl/>
              </w:rPr>
              <w:t>، دون أن يكون مسجلا في سلطنة عمان.</w:t>
            </w:r>
          </w:p>
          <w:p w14:paraId="0B9DF4D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45C5A74E" w14:textId="77777777" w:rsidR="00352F9E" w:rsidRPr="00C73B2D" w:rsidRDefault="00120915" w:rsidP="00922116">
            <w:pPr>
              <w:bidi/>
              <w:spacing w:beforeLines="40" w:before="96" w:afterLines="40" w:after="96" w:line="276" w:lineRule="auto"/>
              <w:jc w:val="both"/>
              <w:rPr>
                <w:rFonts w:ascii="Traditional Arabic" w:hAnsi="Traditional Arabic" w:cs="Traditional Arabic"/>
                <w:sz w:val="30"/>
                <w:szCs w:val="30"/>
                <w:lang w:val="en-GB"/>
              </w:rPr>
            </w:pPr>
            <w:r>
              <w:rPr>
                <w:rFonts w:ascii="Traditional Arabic" w:hAnsi="Traditional Arabic" w:cs="Traditional Arabic" w:hint="cs"/>
                <w:sz w:val="30"/>
                <w:szCs w:val="30"/>
                <w:rtl/>
              </w:rPr>
              <w:t>المستثمر غير المحلي</w:t>
            </w:r>
          </w:p>
          <w:p w14:paraId="4AB029B6"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352F9E" w:rsidRPr="00C73B2D" w14:paraId="36023F21" w14:textId="77777777" w:rsidTr="00922116">
        <w:tc>
          <w:tcPr>
            <w:tcW w:w="3656" w:type="pct"/>
          </w:tcPr>
          <w:p w14:paraId="36EE3CEF" w14:textId="77777777" w:rsidR="00352F9E" w:rsidRPr="00C73B2D" w:rsidRDefault="00CA4C42" w:rsidP="00922116">
            <w:pPr>
              <w:bidi/>
              <w:spacing w:beforeLines="40" w:before="96" w:afterLines="40" w:after="96" w:line="276" w:lineRule="auto"/>
              <w:jc w:val="both"/>
              <w:rPr>
                <w:rFonts w:ascii="Traditional Arabic" w:hAnsi="Traditional Arabic" w:cs="Traditional Arabic"/>
                <w:sz w:val="30"/>
                <w:szCs w:val="30"/>
                <w:lang w:val="en-GB"/>
              </w:rPr>
            </w:pPr>
            <w:r>
              <w:rPr>
                <w:rFonts w:ascii="Traditional Arabic" w:hAnsi="Traditional Arabic" w:cs="Traditional Arabic" w:hint="cs"/>
                <w:sz w:val="30"/>
                <w:szCs w:val="30"/>
                <w:rtl/>
              </w:rPr>
              <w:t>طرح المساهم البائع عدد</w:t>
            </w:r>
            <w:r w:rsidR="00352F9E" w:rsidRPr="00C73B2D">
              <w:rPr>
                <w:rFonts w:ascii="Traditional Arabic" w:hAnsi="Traditional Arabic" w:cs="Traditional Arabic"/>
                <w:sz w:val="30"/>
                <w:szCs w:val="30"/>
                <w:rtl/>
              </w:rPr>
              <w:t xml:space="preserve"> </w:t>
            </w:r>
            <w:r w:rsidR="00D20339" w:rsidRPr="00D20339">
              <w:rPr>
                <w:rFonts w:ascii="Traditional Arabic" w:hAnsi="Traditional Arabic" w:cs="Traditional Arabic"/>
                <w:sz w:val="30"/>
                <w:szCs w:val="30"/>
                <w:rtl/>
              </w:rPr>
              <w:t>١,٠٤١,٧٤٨,٨٥٦</w:t>
            </w:r>
            <w:r w:rsidR="005F31E5" w:rsidRPr="00C73B2D">
              <w:rPr>
                <w:rFonts w:ascii="Traditional Arabic" w:hAnsi="Traditional Arabic" w:cs="Traditional Arabic"/>
                <w:sz w:val="30"/>
                <w:szCs w:val="30"/>
                <w:rtl/>
              </w:rPr>
              <w:t xml:space="preserve"> </w:t>
            </w:r>
            <w:r w:rsidR="00352F9E" w:rsidRPr="00C73B2D">
              <w:rPr>
                <w:rFonts w:ascii="Traditional Arabic" w:hAnsi="Traditional Arabic" w:cs="Traditional Arabic"/>
                <w:sz w:val="30"/>
                <w:szCs w:val="30"/>
                <w:rtl/>
              </w:rPr>
              <w:t>سهم من الأسهم</w:t>
            </w:r>
            <w:r w:rsidR="00F27B44">
              <w:rPr>
                <w:rFonts w:ascii="Traditional Arabic" w:hAnsi="Traditional Arabic" w:cs="Traditional Arabic" w:hint="cs"/>
                <w:sz w:val="30"/>
                <w:szCs w:val="30"/>
                <w:rtl/>
              </w:rPr>
              <w:t xml:space="preserve"> التي يملكونها</w:t>
            </w:r>
            <w:r w:rsidR="00352F9E" w:rsidRPr="00C73B2D">
              <w:rPr>
                <w:rFonts w:ascii="Traditional Arabic" w:hAnsi="Traditional Arabic" w:cs="Traditional Arabic"/>
                <w:sz w:val="30"/>
                <w:szCs w:val="30"/>
                <w:rtl/>
              </w:rPr>
              <w:t xml:space="preserve"> بقيمة تتراوح ما بين </w:t>
            </w:r>
            <w:r w:rsidR="003E53F4">
              <w:rPr>
                <w:rFonts w:ascii="Traditional Arabic" w:hAnsi="Traditional Arabic" w:cs="Traditional Arabic" w:hint="cs"/>
                <w:sz w:val="30"/>
                <w:szCs w:val="30"/>
                <w:rtl/>
              </w:rPr>
              <w:t>117بيسة</w:t>
            </w:r>
            <w:r w:rsidR="003E53F4" w:rsidRPr="00C73B2D">
              <w:rPr>
                <w:rFonts w:ascii="Traditional Arabic" w:hAnsi="Traditional Arabic" w:cs="Traditional Arabic"/>
                <w:sz w:val="30"/>
                <w:szCs w:val="30"/>
                <w:rtl/>
              </w:rPr>
              <w:t xml:space="preserve"> </w:t>
            </w:r>
            <w:r w:rsidR="00352F9E" w:rsidRPr="00C73B2D">
              <w:rPr>
                <w:rFonts w:ascii="Traditional Arabic" w:hAnsi="Traditional Arabic" w:cs="Traditional Arabic"/>
                <w:sz w:val="30"/>
                <w:szCs w:val="30"/>
                <w:rtl/>
              </w:rPr>
              <w:t xml:space="preserve">إلى </w:t>
            </w:r>
            <w:r w:rsidR="003E53F4">
              <w:rPr>
                <w:rFonts w:ascii="Traditional Arabic" w:hAnsi="Traditional Arabic" w:cs="Traditional Arabic" w:hint="cs"/>
                <w:sz w:val="30"/>
                <w:szCs w:val="30"/>
                <w:rtl/>
              </w:rPr>
              <w:t>123</w:t>
            </w:r>
            <w:r w:rsidR="003E53F4" w:rsidRPr="00C73B2D">
              <w:rPr>
                <w:rFonts w:ascii="Traditional Arabic" w:hAnsi="Traditional Arabic" w:cs="Traditional Arabic"/>
                <w:sz w:val="30"/>
                <w:szCs w:val="30"/>
                <w:rtl/>
              </w:rPr>
              <w:t xml:space="preserve"> </w:t>
            </w:r>
            <w:r w:rsidR="00352F9E" w:rsidRPr="00C73B2D">
              <w:rPr>
                <w:rFonts w:ascii="Traditional Arabic" w:hAnsi="Traditional Arabic" w:cs="Traditional Arabic"/>
                <w:sz w:val="30"/>
                <w:szCs w:val="30"/>
                <w:rtl/>
              </w:rPr>
              <w:t xml:space="preserve">بيسة للسهم الواحد، ويأتي هذا الاكتتاب على فئتين؛ طرح الاكتتاب في الفئة </w:t>
            </w:r>
            <w:r w:rsidR="00352F9E" w:rsidRPr="00C73B2D">
              <w:rPr>
                <w:rFonts w:ascii="Traditional Arabic" w:hAnsi="Traditional Arabic" w:cs="Traditional Arabic"/>
                <w:sz w:val="30"/>
                <w:szCs w:val="30"/>
                <w:rtl/>
              </w:rPr>
              <w:lastRenderedPageBreak/>
              <w:t>الأولى، وطرح الاكتتاب في الفئة الثانية وفقاً للإجراءات والشروط المنصوص عليها في نشرة الإصدار هذه.</w:t>
            </w:r>
          </w:p>
          <w:p w14:paraId="6CA47E74"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7D941BFA"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lastRenderedPageBreak/>
              <w:t>الطرح</w:t>
            </w:r>
          </w:p>
        </w:tc>
      </w:tr>
      <w:tr w:rsidR="00352F9E" w:rsidRPr="00C73B2D" w14:paraId="68B8E0F4" w14:textId="77777777" w:rsidTr="00922116">
        <w:tc>
          <w:tcPr>
            <w:tcW w:w="3656" w:type="pct"/>
          </w:tcPr>
          <w:p w14:paraId="0F3CB1D4"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lang w:bidi="ar-OM"/>
              </w:rPr>
              <w:t xml:space="preserve">هي المدة الزمنية الواقعة بين موعد فتح الاكتتاب وموعد </w:t>
            </w:r>
            <w:r w:rsidR="00425CC2">
              <w:rPr>
                <w:rFonts w:ascii="Traditional Arabic" w:hAnsi="Traditional Arabic" w:cs="Traditional Arabic" w:hint="cs"/>
                <w:sz w:val="30"/>
                <w:szCs w:val="30"/>
                <w:rtl/>
                <w:lang w:bidi="ar-OM"/>
              </w:rPr>
              <w:t>إغلاق</w:t>
            </w:r>
            <w:r w:rsidRPr="00C73B2D">
              <w:rPr>
                <w:rFonts w:ascii="Traditional Arabic" w:hAnsi="Traditional Arabic" w:cs="Traditional Arabic"/>
                <w:sz w:val="30"/>
                <w:szCs w:val="30"/>
                <w:rtl/>
                <w:lang w:bidi="ar-OM"/>
              </w:rPr>
              <w:t xml:space="preserve"> باب الاكتتاب ويدخل ضمنها يوم فتح باب الاكتتاب ويوم </w:t>
            </w:r>
            <w:r w:rsidR="00425CC2">
              <w:rPr>
                <w:rFonts w:ascii="Traditional Arabic" w:hAnsi="Traditional Arabic" w:cs="Traditional Arabic" w:hint="cs"/>
                <w:sz w:val="30"/>
                <w:szCs w:val="30"/>
                <w:rtl/>
                <w:lang w:bidi="ar-OM"/>
              </w:rPr>
              <w:t>إغلاقه</w:t>
            </w:r>
            <w:r w:rsidR="00425CC2" w:rsidRPr="00C73B2D">
              <w:rPr>
                <w:rFonts w:ascii="Traditional Arabic" w:hAnsi="Traditional Arabic" w:cs="Traditional Arabic"/>
                <w:sz w:val="30"/>
                <w:szCs w:val="30"/>
                <w:rtl/>
                <w:lang w:bidi="ar-OM"/>
              </w:rPr>
              <w:t xml:space="preserve"> </w:t>
            </w:r>
            <w:r w:rsidRPr="00C73B2D">
              <w:rPr>
                <w:rFonts w:ascii="Traditional Arabic" w:hAnsi="Traditional Arabic" w:cs="Traditional Arabic"/>
                <w:sz w:val="30"/>
                <w:szCs w:val="30"/>
                <w:rtl/>
                <w:lang w:bidi="ar-OM"/>
              </w:rPr>
              <w:t xml:space="preserve">وأي تمديد لها - بموافقة </w:t>
            </w:r>
            <w:r w:rsidR="00425CC2">
              <w:rPr>
                <w:rFonts w:ascii="Traditional Arabic" w:hAnsi="Traditional Arabic" w:cs="Traditional Arabic" w:hint="cs"/>
                <w:sz w:val="30"/>
                <w:szCs w:val="30"/>
                <w:rtl/>
                <w:lang w:bidi="ar-OM"/>
              </w:rPr>
              <w:t>هيئة الخدمات المالية</w:t>
            </w:r>
            <w:r w:rsidRPr="00C73B2D">
              <w:rPr>
                <w:rFonts w:ascii="Traditional Arabic" w:hAnsi="Traditional Arabic" w:cs="Traditional Arabic"/>
                <w:sz w:val="30"/>
                <w:szCs w:val="30"/>
                <w:rtl/>
                <w:lang w:bidi="ar-OM"/>
              </w:rPr>
              <w:t>.</w:t>
            </w:r>
          </w:p>
        </w:tc>
        <w:tc>
          <w:tcPr>
            <w:tcW w:w="1344" w:type="pct"/>
          </w:tcPr>
          <w:p w14:paraId="267EC784"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مدة الطرح</w:t>
            </w:r>
          </w:p>
        </w:tc>
      </w:tr>
      <w:tr w:rsidR="00352F9E" w:rsidRPr="00C73B2D" w14:paraId="762E6120" w14:textId="77777777" w:rsidTr="00922116">
        <w:tc>
          <w:tcPr>
            <w:tcW w:w="3656" w:type="pct"/>
          </w:tcPr>
          <w:p w14:paraId="179ACDD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 xml:space="preserve">السعر المختار من </w:t>
            </w:r>
            <w:r w:rsidR="00327AAA">
              <w:rPr>
                <w:rFonts w:ascii="Traditional Arabic" w:hAnsi="Traditional Arabic" w:cs="Traditional Arabic" w:hint="cs"/>
                <w:sz w:val="30"/>
                <w:szCs w:val="30"/>
                <w:rtl/>
              </w:rPr>
              <w:t>ال</w:t>
            </w:r>
            <w:r w:rsidRPr="00C73B2D">
              <w:rPr>
                <w:rFonts w:ascii="Traditional Arabic" w:hAnsi="Traditional Arabic" w:cs="Traditional Arabic"/>
                <w:sz w:val="30"/>
                <w:szCs w:val="30"/>
                <w:rtl/>
              </w:rPr>
              <w:t>نطاق ا</w:t>
            </w:r>
            <w:r w:rsidR="007D54C5">
              <w:rPr>
                <w:rFonts w:ascii="Traditional Arabic" w:hAnsi="Traditional Arabic" w:cs="Traditional Arabic" w:hint="cs"/>
                <w:sz w:val="30"/>
                <w:szCs w:val="30"/>
                <w:rtl/>
              </w:rPr>
              <w:t>ل</w:t>
            </w:r>
            <w:r w:rsidRPr="00C73B2D">
              <w:rPr>
                <w:rFonts w:ascii="Traditional Arabic" w:hAnsi="Traditional Arabic" w:cs="Traditional Arabic"/>
                <w:sz w:val="30"/>
                <w:szCs w:val="30"/>
                <w:rtl/>
              </w:rPr>
              <w:t>سع</w:t>
            </w:r>
            <w:r w:rsidR="007D54C5">
              <w:rPr>
                <w:rFonts w:ascii="Traditional Arabic" w:hAnsi="Traditional Arabic" w:cs="Traditional Arabic" w:hint="cs"/>
                <w:sz w:val="30"/>
                <w:szCs w:val="30"/>
                <w:rtl/>
              </w:rPr>
              <w:t>ر</w:t>
            </w:r>
            <w:r w:rsidR="009A3618">
              <w:rPr>
                <w:rFonts w:ascii="Traditional Arabic" w:hAnsi="Traditional Arabic" w:cs="Traditional Arabic" w:hint="cs"/>
                <w:sz w:val="30"/>
                <w:szCs w:val="30"/>
                <w:rtl/>
              </w:rPr>
              <w:t>ي ٫ والذي سيتم تحديده من قبل المساهم البائع بالتشاور مع المنسق العالمي المشترك</w:t>
            </w:r>
            <w:r w:rsidR="002906A6">
              <w:rPr>
                <w:rFonts w:ascii="Traditional Arabic" w:hAnsi="Traditional Arabic" w:cs="Traditional Arabic" w:hint="cs"/>
                <w:sz w:val="30"/>
                <w:szCs w:val="30"/>
                <w:rtl/>
              </w:rPr>
              <w:t xml:space="preserve"> بعد الانتهاء من </w:t>
            </w:r>
            <w:r w:rsidR="002906A6">
              <w:rPr>
                <w:rFonts w:ascii="Traditional Arabic" w:hAnsi="Traditional Arabic" w:cs="Traditional Arabic" w:hint="cs"/>
                <w:b/>
                <w:sz w:val="30"/>
                <w:szCs w:val="30"/>
                <w:rtl/>
                <w:lang w:val="en-GB"/>
              </w:rPr>
              <w:t>عملية بناء سجل الأوامر للفئة الأولى</w:t>
            </w:r>
            <w:r w:rsidR="00471A17">
              <w:rPr>
                <w:rFonts w:ascii="Traditional Arabic" w:hAnsi="Traditional Arabic" w:cs="Traditional Arabic" w:hint="cs"/>
                <w:b/>
                <w:sz w:val="30"/>
                <w:szCs w:val="30"/>
                <w:rtl/>
                <w:lang w:val="en-GB"/>
              </w:rPr>
              <w:t xml:space="preserve"> </w:t>
            </w:r>
            <w:r w:rsidRPr="00C73B2D">
              <w:rPr>
                <w:rFonts w:ascii="Traditional Arabic" w:hAnsi="Traditional Arabic" w:cs="Traditional Arabic"/>
                <w:sz w:val="30"/>
                <w:szCs w:val="30"/>
                <w:rtl/>
              </w:rPr>
              <w:t xml:space="preserve">على النحو الوارد في الفصل </w:t>
            </w:r>
            <w:r w:rsidR="00082B0B">
              <w:rPr>
                <w:rFonts w:ascii="Traditional Arabic" w:hAnsi="Traditional Arabic" w:cs="Traditional Arabic" w:hint="cs"/>
                <w:sz w:val="30"/>
                <w:szCs w:val="30"/>
                <w:rtl/>
              </w:rPr>
              <w:t>التاسع</w:t>
            </w:r>
            <w:r w:rsidR="00082B0B">
              <w:rPr>
                <w:rFonts w:ascii="Traditional Arabic" w:hAnsi="Traditional Arabic" w:cs="Traditional Arabic"/>
                <w:sz w:val="30"/>
                <w:szCs w:val="30"/>
                <w:rtl/>
              </w:rPr>
              <w:t xml:space="preserve"> </w:t>
            </w:r>
            <w:r w:rsidR="001D0336">
              <w:rPr>
                <w:rFonts w:ascii="Traditional Arabic" w:hAnsi="Traditional Arabic" w:cs="Traditional Arabic"/>
                <w:sz w:val="30"/>
                <w:szCs w:val="30"/>
                <w:rtl/>
              </w:rPr>
              <w:t>عشر</w:t>
            </w:r>
            <w:r w:rsidRPr="00C73B2D">
              <w:rPr>
                <w:rFonts w:ascii="Traditional Arabic" w:hAnsi="Traditional Arabic" w:cs="Traditional Arabic"/>
                <w:sz w:val="30"/>
                <w:szCs w:val="30"/>
                <w:rtl/>
              </w:rPr>
              <w:t xml:space="preserve"> من هذه النشرة بعنوان "شروط الاكتتاب وإجراءاته"، وهو سعر </w:t>
            </w:r>
            <w:r w:rsidR="00B4389B">
              <w:rPr>
                <w:rFonts w:ascii="Traditional Arabic" w:hAnsi="Traditional Arabic" w:cs="Traditional Arabic" w:hint="cs"/>
                <w:sz w:val="30"/>
                <w:szCs w:val="30"/>
                <w:rtl/>
              </w:rPr>
              <w:t>الشراء</w:t>
            </w:r>
            <w:r w:rsidR="00B4389B" w:rsidRPr="00C73B2D">
              <w:rPr>
                <w:rFonts w:ascii="Traditional Arabic" w:hAnsi="Traditional Arabic" w:cs="Traditional Arabic"/>
                <w:sz w:val="30"/>
                <w:szCs w:val="30"/>
                <w:rtl/>
              </w:rPr>
              <w:t xml:space="preserve"> </w:t>
            </w:r>
            <w:r w:rsidR="00471A17">
              <w:rPr>
                <w:rFonts w:ascii="Traditional Arabic" w:hAnsi="Traditional Arabic" w:cs="Traditional Arabic" w:hint="cs"/>
                <w:sz w:val="30"/>
                <w:szCs w:val="30"/>
                <w:rtl/>
              </w:rPr>
              <w:t xml:space="preserve">لكلا من </w:t>
            </w:r>
            <w:r w:rsidRPr="00C73B2D">
              <w:rPr>
                <w:rFonts w:ascii="Traditional Arabic" w:hAnsi="Traditional Arabic" w:cs="Traditional Arabic"/>
                <w:sz w:val="30"/>
                <w:szCs w:val="30"/>
                <w:rtl/>
              </w:rPr>
              <w:t>الفئة</w:t>
            </w:r>
            <w:r w:rsidR="00471A17">
              <w:rPr>
                <w:rFonts w:ascii="Traditional Arabic" w:hAnsi="Traditional Arabic" w:cs="Traditional Arabic" w:hint="cs"/>
                <w:sz w:val="30"/>
                <w:szCs w:val="30"/>
                <w:rtl/>
              </w:rPr>
              <w:t xml:space="preserve"> الأولى و</w:t>
            </w:r>
            <w:r w:rsidRPr="00C73B2D">
              <w:rPr>
                <w:rFonts w:ascii="Traditional Arabic" w:hAnsi="Traditional Arabic" w:cs="Traditional Arabic"/>
                <w:sz w:val="30"/>
                <w:szCs w:val="30"/>
                <w:rtl/>
              </w:rPr>
              <w:t xml:space="preserve">الثانية </w:t>
            </w:r>
          </w:p>
          <w:p w14:paraId="28D7FC8A"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p>
        </w:tc>
        <w:tc>
          <w:tcPr>
            <w:tcW w:w="1344" w:type="pct"/>
            <w:hideMark/>
          </w:tcPr>
          <w:p w14:paraId="00FFF38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سعر الطرح</w:t>
            </w:r>
          </w:p>
        </w:tc>
      </w:tr>
      <w:tr w:rsidR="00352F9E" w:rsidRPr="00C73B2D" w14:paraId="06BEB726" w14:textId="77777777" w:rsidTr="00922116">
        <w:tc>
          <w:tcPr>
            <w:tcW w:w="3656" w:type="pct"/>
          </w:tcPr>
          <w:p w14:paraId="6C50F5B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الأسهم موضوع هذه النشرة والمطروحة للاكتتاب.</w:t>
            </w:r>
          </w:p>
          <w:p w14:paraId="78EF8B34"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hideMark/>
          </w:tcPr>
          <w:p w14:paraId="18BC315F"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الأسهم المطروحة</w:t>
            </w:r>
          </w:p>
        </w:tc>
      </w:tr>
      <w:tr w:rsidR="009A7A53" w:rsidRPr="00C73B2D" w14:paraId="1AD324BA" w14:textId="77777777" w:rsidTr="00922116">
        <w:tc>
          <w:tcPr>
            <w:tcW w:w="3656" w:type="pct"/>
          </w:tcPr>
          <w:p w14:paraId="5D84D1AB" w14:textId="77777777" w:rsidR="009A7A53" w:rsidRPr="00C73B2D" w:rsidRDefault="00A228D1"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ال</w:t>
            </w:r>
            <w:r w:rsidR="009A7A53">
              <w:rPr>
                <w:rFonts w:ascii="Traditional Arabic" w:hAnsi="Traditional Arabic" w:cs="Traditional Arabic" w:hint="cs"/>
                <w:sz w:val="30"/>
                <w:szCs w:val="30"/>
                <w:rtl/>
              </w:rPr>
              <w:t>شركة العمانية</w:t>
            </w:r>
            <w:r>
              <w:rPr>
                <w:rFonts w:ascii="Traditional Arabic" w:hAnsi="Traditional Arabic" w:cs="Traditional Arabic" w:hint="cs"/>
                <w:sz w:val="30"/>
                <w:szCs w:val="30"/>
                <w:rtl/>
              </w:rPr>
              <w:t xml:space="preserve"> لاستئجار السفن </w:t>
            </w:r>
            <w:r w:rsidR="00D55B27">
              <w:rPr>
                <w:rFonts w:ascii="Traditional Arabic" w:hAnsi="Traditional Arabic" w:cs="Traditional Arabic" w:hint="cs"/>
                <w:sz w:val="30"/>
                <w:szCs w:val="30"/>
                <w:rtl/>
              </w:rPr>
              <w:t>ش.م.ع.م</w:t>
            </w:r>
          </w:p>
        </w:tc>
        <w:tc>
          <w:tcPr>
            <w:tcW w:w="1344" w:type="pct"/>
          </w:tcPr>
          <w:p w14:paraId="4B6C750C" w14:textId="77777777" w:rsidR="009A7A53" w:rsidRPr="00C73B2D" w:rsidRDefault="00226270"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ال</w:t>
            </w:r>
            <w:r w:rsidR="009A7A53">
              <w:rPr>
                <w:rFonts w:ascii="Traditional Arabic" w:hAnsi="Traditional Arabic" w:cs="Traditional Arabic" w:hint="cs"/>
                <w:sz w:val="30"/>
                <w:szCs w:val="30"/>
                <w:rtl/>
              </w:rPr>
              <w:t>شركة العمانية</w:t>
            </w:r>
            <w:r>
              <w:rPr>
                <w:rFonts w:ascii="Traditional Arabic" w:hAnsi="Traditional Arabic" w:cs="Traditional Arabic" w:hint="cs"/>
                <w:sz w:val="30"/>
                <w:szCs w:val="30"/>
                <w:rtl/>
              </w:rPr>
              <w:t xml:space="preserve"> لاستئجار السفن</w:t>
            </w:r>
          </w:p>
        </w:tc>
      </w:tr>
      <w:tr w:rsidR="00352F9E" w:rsidRPr="00C73B2D" w14:paraId="191F80E8" w14:textId="77777777" w:rsidTr="00922116">
        <w:tc>
          <w:tcPr>
            <w:tcW w:w="3656" w:type="pct"/>
          </w:tcPr>
          <w:p w14:paraId="3134C57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val="en-GB"/>
              </w:rPr>
            </w:pPr>
            <w:r w:rsidRPr="00C73B2D">
              <w:rPr>
                <w:rFonts w:ascii="Traditional Arabic" w:hAnsi="Traditional Arabic" w:cs="Traditional Arabic"/>
                <w:sz w:val="30"/>
                <w:szCs w:val="30"/>
                <w:rtl/>
              </w:rPr>
              <w:t>اجتماع الجمعية العامة العادية للمساهمين في الشركة</w:t>
            </w:r>
          </w:p>
        </w:tc>
        <w:tc>
          <w:tcPr>
            <w:tcW w:w="1344" w:type="pct"/>
          </w:tcPr>
          <w:p w14:paraId="50885486"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اجتماع الجمعية العامة العادية</w:t>
            </w:r>
          </w:p>
        </w:tc>
      </w:tr>
      <w:tr w:rsidR="00352F9E" w:rsidRPr="00C73B2D" w14:paraId="7E1D8720" w14:textId="77777777" w:rsidTr="00922116">
        <w:tc>
          <w:tcPr>
            <w:tcW w:w="3656" w:type="pct"/>
          </w:tcPr>
          <w:p w14:paraId="68A11128"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جهاز الاستثمار العُماني المؤسس وفقا للمرسوم السلطاني رقم 61/2020، وتعديلاته.</w:t>
            </w:r>
          </w:p>
        </w:tc>
        <w:tc>
          <w:tcPr>
            <w:tcW w:w="1344" w:type="pct"/>
          </w:tcPr>
          <w:p w14:paraId="061C135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جهاز الاستثمار العُماني</w:t>
            </w:r>
          </w:p>
        </w:tc>
      </w:tr>
      <w:tr w:rsidR="00352F9E" w:rsidRPr="00C73B2D" w14:paraId="779D44C2" w14:textId="77777777" w:rsidTr="00922116">
        <w:tc>
          <w:tcPr>
            <w:tcW w:w="3656" w:type="pct"/>
          </w:tcPr>
          <w:p w14:paraId="4DD5D72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سلطنة عُمان</w:t>
            </w:r>
          </w:p>
        </w:tc>
        <w:tc>
          <w:tcPr>
            <w:tcW w:w="1344" w:type="pct"/>
          </w:tcPr>
          <w:p w14:paraId="1FAAD43F"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عُمان</w:t>
            </w:r>
          </w:p>
        </w:tc>
      </w:tr>
      <w:tr w:rsidR="00352F9E" w:rsidRPr="00C73B2D" w14:paraId="4265FCEC" w14:textId="77777777" w:rsidTr="00922116">
        <w:tc>
          <w:tcPr>
            <w:tcW w:w="3656" w:type="pct"/>
          </w:tcPr>
          <w:p w14:paraId="6763B87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 xml:space="preserve">الريال العُماني، العملة </w:t>
            </w:r>
            <w:r w:rsidRPr="00C73B2D">
              <w:rPr>
                <w:rFonts w:ascii="Traditional Arabic" w:hAnsi="Traditional Arabic" w:cs="Traditional Arabic"/>
                <w:sz w:val="30"/>
                <w:szCs w:val="30"/>
                <w:rtl/>
                <w:lang w:bidi="ar-OM"/>
              </w:rPr>
              <w:t>الرسمية</w:t>
            </w:r>
            <w:r w:rsidRPr="00C73B2D">
              <w:rPr>
                <w:rFonts w:ascii="Traditional Arabic" w:hAnsi="Traditional Arabic" w:cs="Traditional Arabic"/>
                <w:sz w:val="30"/>
                <w:szCs w:val="30"/>
                <w:rtl/>
              </w:rPr>
              <w:t xml:space="preserve"> لسلطنة عُمان، ويتكون من ألف بيسة عُمانية</w:t>
            </w:r>
          </w:p>
          <w:p w14:paraId="77A7AB87"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766C4A22"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ريال عُماني / ر. ع</w:t>
            </w:r>
          </w:p>
          <w:p w14:paraId="3364F05D"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352F9E" w:rsidRPr="00C73B2D" w14:paraId="75690E03" w14:textId="77777777" w:rsidTr="00922116">
        <w:trPr>
          <w:trHeight w:val="810"/>
        </w:trPr>
        <w:tc>
          <w:tcPr>
            <w:tcW w:w="3656" w:type="pct"/>
          </w:tcPr>
          <w:p w14:paraId="5DA4BB1B"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 xml:space="preserve">يتراوح النطاق السعري من </w:t>
            </w:r>
            <w:r w:rsidR="00785C31">
              <w:rPr>
                <w:rFonts w:ascii="Traditional Arabic" w:hAnsi="Traditional Arabic" w:cs="Traditional Arabic" w:hint="cs"/>
                <w:sz w:val="30"/>
                <w:szCs w:val="30"/>
                <w:rtl/>
              </w:rPr>
              <w:t>117</w:t>
            </w:r>
            <w:r w:rsidR="00785C31" w:rsidRPr="00C73B2D">
              <w:rPr>
                <w:rFonts w:ascii="Traditional Arabic" w:hAnsi="Traditional Arabic" w:cs="Traditional Arabic"/>
                <w:sz w:val="30"/>
                <w:szCs w:val="30"/>
                <w:rtl/>
              </w:rPr>
              <w:t xml:space="preserve">بيسة </w:t>
            </w:r>
            <w:r w:rsidRPr="00C73B2D">
              <w:rPr>
                <w:rFonts w:ascii="Traditional Arabic" w:hAnsi="Traditional Arabic" w:cs="Traditional Arabic"/>
                <w:sz w:val="30"/>
                <w:szCs w:val="30"/>
                <w:rtl/>
              </w:rPr>
              <w:t xml:space="preserve">إلى </w:t>
            </w:r>
            <w:r w:rsidR="00785C31">
              <w:rPr>
                <w:rFonts w:ascii="Traditional Arabic" w:hAnsi="Traditional Arabic" w:cs="Traditional Arabic" w:hint="cs"/>
                <w:sz w:val="30"/>
                <w:szCs w:val="30"/>
                <w:rtl/>
              </w:rPr>
              <w:t>123</w:t>
            </w:r>
            <w:r w:rsidR="00785C31"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بيسة لسهم الطرح المطبق على طرح الفئة الأولى</w:t>
            </w:r>
            <w:r w:rsidR="003758C0">
              <w:rPr>
                <w:rFonts w:ascii="Traditional Arabic" w:hAnsi="Traditional Arabic" w:cs="Traditional Arabic" w:hint="cs"/>
                <w:sz w:val="30"/>
                <w:szCs w:val="30"/>
                <w:rtl/>
              </w:rPr>
              <w:t xml:space="preserve"> </w:t>
            </w:r>
          </w:p>
          <w:p w14:paraId="13AADEB1"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c>
          <w:tcPr>
            <w:tcW w:w="1344" w:type="pct"/>
          </w:tcPr>
          <w:p w14:paraId="1D2DE4A6"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lang w:bidi="ar-OM"/>
              </w:rPr>
              <w:t>ال</w:t>
            </w:r>
            <w:r w:rsidRPr="00C73B2D">
              <w:rPr>
                <w:rFonts w:ascii="Traditional Arabic" w:hAnsi="Traditional Arabic" w:cs="Traditional Arabic"/>
                <w:sz w:val="30"/>
                <w:szCs w:val="30"/>
                <w:rtl/>
              </w:rPr>
              <w:t>نطاق السعري</w:t>
            </w:r>
          </w:p>
          <w:p w14:paraId="04A97E90"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p>
        </w:tc>
      </w:tr>
      <w:tr w:rsidR="00352F9E" w:rsidRPr="00C73B2D" w14:paraId="13662107" w14:textId="77777777" w:rsidTr="00922116">
        <w:trPr>
          <w:trHeight w:val="810"/>
        </w:trPr>
        <w:tc>
          <w:tcPr>
            <w:tcW w:w="3656" w:type="pct"/>
          </w:tcPr>
          <w:p w14:paraId="5A4B6FAA"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lastRenderedPageBreak/>
              <w:t xml:space="preserve">تاريخ تسعير الطرح، والمتوقع أن يكون في </w:t>
            </w:r>
            <w:r w:rsidR="00785C31">
              <w:rPr>
                <w:rFonts w:ascii="Traditional Arabic" w:hAnsi="Traditional Arabic" w:cs="Traditional Arabic" w:hint="cs"/>
                <w:sz w:val="30"/>
                <w:szCs w:val="30"/>
                <w:rtl/>
              </w:rPr>
              <w:t>4 مارس</w:t>
            </w:r>
            <w:r w:rsidR="00985E6A" w:rsidRPr="00C73B2D">
              <w:rPr>
                <w:rFonts w:ascii="Traditional Arabic" w:hAnsi="Traditional Arabic" w:cs="Traditional Arabic"/>
                <w:sz w:val="30"/>
                <w:szCs w:val="30"/>
                <w:rtl/>
              </w:rPr>
              <w:t xml:space="preserve"> </w:t>
            </w:r>
            <w:r w:rsidR="00D553DD" w:rsidRPr="00C73B2D">
              <w:rPr>
                <w:rFonts w:ascii="Traditional Arabic" w:hAnsi="Traditional Arabic" w:cs="Traditional Arabic"/>
                <w:sz w:val="30"/>
                <w:szCs w:val="30"/>
                <w:rtl/>
              </w:rPr>
              <w:t>202</w:t>
            </w:r>
            <w:r w:rsidR="00D553DD">
              <w:rPr>
                <w:rFonts w:ascii="Traditional Arabic" w:hAnsi="Traditional Arabic" w:cs="Traditional Arabic" w:hint="cs"/>
                <w:sz w:val="30"/>
                <w:szCs w:val="30"/>
                <w:rtl/>
              </w:rPr>
              <w:t>5</w:t>
            </w:r>
            <w:r w:rsidRPr="00C73B2D">
              <w:rPr>
                <w:rFonts w:ascii="Traditional Arabic" w:hAnsi="Traditional Arabic" w:cs="Traditional Arabic"/>
                <w:sz w:val="30"/>
                <w:szCs w:val="30"/>
                <w:rtl/>
              </w:rPr>
              <w:t>.</w:t>
            </w:r>
          </w:p>
        </w:tc>
        <w:tc>
          <w:tcPr>
            <w:tcW w:w="1344" w:type="pct"/>
          </w:tcPr>
          <w:p w14:paraId="1B07C03A"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lang w:bidi="ar-OM"/>
              </w:rPr>
              <w:t>تاريخ التسعير</w:t>
            </w:r>
          </w:p>
        </w:tc>
      </w:tr>
      <w:tr w:rsidR="00352F9E" w:rsidRPr="00C73B2D" w14:paraId="181A98CF" w14:textId="77777777" w:rsidTr="00922116">
        <w:trPr>
          <w:trHeight w:val="810"/>
        </w:trPr>
        <w:tc>
          <w:tcPr>
            <w:tcW w:w="3656" w:type="pct"/>
          </w:tcPr>
          <w:p w14:paraId="500DC69C"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مذكرة التسعير الملحقة باتفاقية التسوية المؤسسية.</w:t>
            </w:r>
          </w:p>
        </w:tc>
        <w:tc>
          <w:tcPr>
            <w:tcW w:w="1344" w:type="pct"/>
          </w:tcPr>
          <w:p w14:paraId="3B8929EF" w14:textId="77777777" w:rsidR="00352F9E" w:rsidRPr="00C73B2D" w:rsidRDefault="00352F9E" w:rsidP="00922116">
            <w:pPr>
              <w:bidi/>
              <w:spacing w:beforeLines="40" w:before="96" w:afterLines="40" w:after="96" w:line="276" w:lineRule="auto"/>
              <w:jc w:val="both"/>
              <w:rPr>
                <w:rFonts w:ascii="Traditional Arabic" w:hAnsi="Traditional Arabic" w:cs="Traditional Arabic"/>
                <w:sz w:val="30"/>
                <w:szCs w:val="30"/>
                <w:rtl/>
                <w:lang w:bidi="ar-OM"/>
              </w:rPr>
            </w:pPr>
            <w:r w:rsidRPr="00C73B2D">
              <w:rPr>
                <w:rFonts w:ascii="Traditional Arabic" w:hAnsi="Traditional Arabic" w:cs="Traditional Arabic"/>
                <w:sz w:val="30"/>
                <w:szCs w:val="30"/>
                <w:rtl/>
                <w:lang w:bidi="ar-OM"/>
              </w:rPr>
              <w:t>مذكرة التسعير</w:t>
            </w:r>
          </w:p>
        </w:tc>
      </w:tr>
      <w:tr w:rsidR="000D48CB" w:rsidRPr="00C73B2D" w14:paraId="026B12A9" w14:textId="77777777" w:rsidTr="00922116">
        <w:trPr>
          <w:trHeight w:val="810"/>
        </w:trPr>
        <w:tc>
          <w:tcPr>
            <w:tcW w:w="3656" w:type="pct"/>
          </w:tcPr>
          <w:p w14:paraId="4F64EEA7" w14:textId="77777777" w:rsidR="000D48CB" w:rsidRPr="00C73B2D" w:rsidRDefault="000D48CB"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قائمة تتضمن سعر الطرح وبعض المعلومات الأخرى.</w:t>
            </w:r>
          </w:p>
        </w:tc>
        <w:tc>
          <w:tcPr>
            <w:tcW w:w="1344" w:type="pct"/>
          </w:tcPr>
          <w:p w14:paraId="6E245202" w14:textId="77777777" w:rsidR="000D48CB" w:rsidRPr="00C73B2D" w:rsidRDefault="000D48CB" w:rsidP="00922116">
            <w:pPr>
              <w:bidi/>
              <w:spacing w:beforeLines="40" w:before="96" w:afterLines="40" w:after="96" w:line="276" w:lineRule="auto"/>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قائمة التسعير</w:t>
            </w:r>
          </w:p>
        </w:tc>
      </w:tr>
    </w:tbl>
    <w:tbl>
      <w:tblPr>
        <w:tblW w:w="1070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7824"/>
        <w:gridCol w:w="2880"/>
      </w:tblGrid>
      <w:tr w:rsidR="00E91F43" w:rsidRPr="00C73B2D" w14:paraId="3AE7AD7A" w14:textId="77777777" w:rsidTr="00CB188B">
        <w:tc>
          <w:tcPr>
            <w:tcW w:w="7824" w:type="dxa"/>
          </w:tcPr>
          <w:p w14:paraId="60B7A1A7"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شركة مساهمة عُمانية مقفلة</w:t>
            </w:r>
          </w:p>
        </w:tc>
        <w:tc>
          <w:tcPr>
            <w:tcW w:w="2880" w:type="dxa"/>
          </w:tcPr>
          <w:p w14:paraId="7FC16FB7"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ش م ع م</w:t>
            </w:r>
          </w:p>
        </w:tc>
      </w:tr>
      <w:tr w:rsidR="00E91F43" w:rsidRPr="00C73B2D" w14:paraId="15904BA0" w14:textId="77777777" w:rsidTr="00CB188B">
        <w:tc>
          <w:tcPr>
            <w:tcW w:w="7824" w:type="dxa"/>
          </w:tcPr>
          <w:p w14:paraId="64F6EDAC"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شركة مساهمة عُمانية عامة</w:t>
            </w:r>
          </w:p>
          <w:p w14:paraId="7008BCD8"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p>
        </w:tc>
        <w:tc>
          <w:tcPr>
            <w:tcW w:w="2880" w:type="dxa"/>
          </w:tcPr>
          <w:p w14:paraId="1A4190C0"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ش م ع ع</w:t>
            </w:r>
          </w:p>
          <w:p w14:paraId="605AC6FA"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p>
        </w:tc>
      </w:tr>
      <w:tr w:rsidR="00E91F43" w:rsidRPr="00C73B2D" w14:paraId="409F0082" w14:textId="77777777" w:rsidTr="00CB188B">
        <w:tc>
          <w:tcPr>
            <w:tcW w:w="7824" w:type="dxa"/>
          </w:tcPr>
          <w:p w14:paraId="5BB1F4B1"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لائحة الشركات المساهمة العامة الصادرة بقرار الهيئة العامة لسوق المال رقم 27/2021.</w:t>
            </w:r>
          </w:p>
          <w:p w14:paraId="550513A6"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p>
        </w:tc>
        <w:tc>
          <w:tcPr>
            <w:tcW w:w="2880" w:type="dxa"/>
            <w:hideMark/>
          </w:tcPr>
          <w:p w14:paraId="3ECFAFFB"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لائحة الشركات المساهمة العامة</w:t>
            </w:r>
          </w:p>
        </w:tc>
      </w:tr>
      <w:tr w:rsidR="00E91F43" w:rsidRPr="00C73B2D" w14:paraId="69290FBB" w14:textId="77777777" w:rsidTr="00CB188B">
        <w:tc>
          <w:tcPr>
            <w:tcW w:w="7824" w:type="dxa"/>
          </w:tcPr>
          <w:p w14:paraId="2EE34A47"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قانون الأوراق المالية الصادر بالمرسوم السلطاني رقم 46/2022.</w:t>
            </w:r>
          </w:p>
          <w:p w14:paraId="60A55178"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p>
        </w:tc>
        <w:tc>
          <w:tcPr>
            <w:tcW w:w="2880" w:type="dxa"/>
            <w:hideMark/>
          </w:tcPr>
          <w:p w14:paraId="413353F7"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قانون الأوراق المالية</w:t>
            </w:r>
          </w:p>
        </w:tc>
      </w:tr>
      <w:tr w:rsidR="00E91F43" w:rsidRPr="00C73B2D" w14:paraId="628521DF" w14:textId="77777777" w:rsidTr="00CB188B">
        <w:tc>
          <w:tcPr>
            <w:tcW w:w="7824" w:type="dxa"/>
          </w:tcPr>
          <w:p w14:paraId="674D7370" w14:textId="77777777" w:rsidR="00E91F43" w:rsidRPr="00CD53BC" w:rsidRDefault="00A15C68" w:rsidP="00C11E85">
            <w:pPr>
              <w:bidi/>
              <w:spacing w:beforeLines="40" w:before="96" w:afterLines="40" w:after="96" w:line="276" w:lineRule="auto"/>
              <w:jc w:val="both"/>
              <w:rPr>
                <w:rFonts w:ascii="Traditional Arabic" w:hAnsi="Traditional Arabic" w:cs="Traditional Arabic"/>
                <w:sz w:val="30"/>
                <w:szCs w:val="30"/>
                <w:rtl/>
                <w:lang w:val="en-GB"/>
              </w:rPr>
            </w:pPr>
            <w:r>
              <w:rPr>
                <w:rFonts w:ascii="Traditional Arabic" w:hAnsi="Traditional Arabic" w:cs="Traditional Arabic"/>
                <w:sz w:val="30"/>
                <w:szCs w:val="30"/>
                <w:rtl/>
              </w:rPr>
              <w:t>مجموعة أسياد ش م ع م</w:t>
            </w:r>
          </w:p>
        </w:tc>
        <w:tc>
          <w:tcPr>
            <w:tcW w:w="2880" w:type="dxa"/>
          </w:tcPr>
          <w:p w14:paraId="21528F38" w14:textId="77777777" w:rsidR="00E91F43" w:rsidRPr="00C73B2D" w:rsidRDefault="00E663CB" w:rsidP="00922116">
            <w:pPr>
              <w:bidi/>
              <w:spacing w:beforeLines="40" w:before="96" w:afterLines="40" w:after="96" w:line="276" w:lineRule="auto"/>
              <w:jc w:val="both"/>
              <w:rPr>
                <w:rFonts w:ascii="Traditional Arabic" w:hAnsi="Traditional Arabic" w:cs="Traditional Arabic"/>
                <w:sz w:val="30"/>
                <w:szCs w:val="30"/>
                <w:lang w:val="en-GB"/>
              </w:rPr>
            </w:pPr>
            <w:r>
              <w:rPr>
                <w:rFonts w:ascii="Traditional Arabic" w:hAnsi="Traditional Arabic" w:cs="Traditional Arabic"/>
                <w:sz w:val="30"/>
                <w:szCs w:val="30"/>
                <w:rtl/>
              </w:rPr>
              <w:t>المساهم البائع</w:t>
            </w:r>
            <w:r w:rsidR="004350BF">
              <w:rPr>
                <w:rFonts w:ascii="Traditional Arabic" w:hAnsi="Traditional Arabic" w:cs="Traditional Arabic" w:hint="cs"/>
                <w:sz w:val="30"/>
                <w:szCs w:val="30"/>
                <w:rtl/>
              </w:rPr>
              <w:t xml:space="preserve"> </w:t>
            </w:r>
          </w:p>
          <w:p w14:paraId="774D10A9"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p>
        </w:tc>
      </w:tr>
      <w:tr w:rsidR="00083570" w:rsidRPr="00C73B2D" w14:paraId="7DD640EC" w14:textId="77777777" w:rsidTr="00CB188B">
        <w:tc>
          <w:tcPr>
            <w:tcW w:w="7824" w:type="dxa"/>
          </w:tcPr>
          <w:p w14:paraId="2871593B" w14:textId="77777777" w:rsidR="00083570" w:rsidRPr="004A6FEC" w:rsidRDefault="00DB3BBB" w:rsidP="00C11E85">
            <w:pPr>
              <w:bidi/>
              <w:spacing w:beforeLines="40" w:before="96" w:afterLines="40" w:after="96" w:line="276" w:lineRule="auto"/>
              <w:jc w:val="both"/>
              <w:rPr>
                <w:rFonts w:ascii="Traditional Arabic" w:hAnsi="Traditional Arabic" w:cs="Traditional Arabic"/>
                <w:sz w:val="30"/>
                <w:szCs w:val="30"/>
                <w:rtl/>
              </w:rPr>
            </w:pPr>
            <w:r w:rsidRPr="00A656B1">
              <w:rPr>
                <w:rFonts w:ascii="Traditional Arabic" w:hAnsi="Traditional Arabic" w:cs="Traditional Arabic" w:hint="eastAsia"/>
                <w:sz w:val="30"/>
                <w:szCs w:val="30"/>
                <w:rtl/>
              </w:rPr>
              <w:t>هي</w:t>
            </w:r>
            <w:r w:rsidRPr="00A656B1">
              <w:rPr>
                <w:rFonts w:ascii="Traditional Arabic" w:hAnsi="Traditional Arabic" w:cs="Traditional Arabic"/>
                <w:sz w:val="30"/>
                <w:szCs w:val="30"/>
                <w:rtl/>
              </w:rPr>
              <w:t xml:space="preserve"> </w:t>
            </w:r>
            <w:r w:rsidR="004A6FEC" w:rsidRPr="00A656B1">
              <w:rPr>
                <w:rFonts w:ascii="Traditional Arabic" w:hAnsi="Traditional Arabic" w:cs="Traditional Arabic" w:hint="eastAsia"/>
                <w:sz w:val="30"/>
                <w:szCs w:val="30"/>
                <w:rtl/>
              </w:rPr>
              <w:t>اتفاقية</w:t>
            </w:r>
            <w:r w:rsidR="004A6FEC" w:rsidRPr="00A656B1">
              <w:rPr>
                <w:rFonts w:ascii="Traditional Arabic" w:hAnsi="Traditional Arabic" w:cs="Traditional Arabic"/>
                <w:sz w:val="30"/>
                <w:szCs w:val="30"/>
                <w:rtl/>
              </w:rPr>
              <w:t xml:space="preserve"> </w:t>
            </w:r>
            <w:r w:rsidR="004A6FEC" w:rsidRPr="00A656B1">
              <w:rPr>
                <w:rFonts w:ascii="Traditional Arabic" w:hAnsi="Traditional Arabic" w:cs="Traditional Arabic" w:hint="eastAsia"/>
                <w:sz w:val="30"/>
                <w:szCs w:val="30"/>
                <w:rtl/>
              </w:rPr>
              <w:t>مستوى</w:t>
            </w:r>
            <w:r w:rsidR="004A6FEC" w:rsidRPr="00A656B1">
              <w:rPr>
                <w:rFonts w:ascii="Traditional Arabic" w:hAnsi="Traditional Arabic" w:cs="Traditional Arabic"/>
                <w:sz w:val="30"/>
                <w:szCs w:val="30"/>
                <w:rtl/>
              </w:rPr>
              <w:t xml:space="preserve"> </w:t>
            </w:r>
            <w:r w:rsidR="004A6FEC" w:rsidRPr="00A656B1">
              <w:rPr>
                <w:rFonts w:ascii="Traditional Arabic" w:hAnsi="Traditional Arabic" w:cs="Traditional Arabic" w:hint="eastAsia"/>
                <w:sz w:val="30"/>
                <w:szCs w:val="30"/>
                <w:rtl/>
              </w:rPr>
              <w:t>الخدم</w:t>
            </w:r>
            <w:r w:rsidR="00861187">
              <w:rPr>
                <w:rFonts w:ascii="Traditional Arabic" w:hAnsi="Traditional Arabic" w:cs="Traditional Arabic" w:hint="cs"/>
                <w:sz w:val="30"/>
                <w:szCs w:val="30"/>
                <w:rtl/>
              </w:rPr>
              <w:t>ة</w:t>
            </w:r>
            <w:r w:rsidR="004A6FEC" w:rsidRPr="00A656B1">
              <w:rPr>
                <w:rFonts w:ascii="Traditional Arabic" w:hAnsi="Traditional Arabic" w:cs="Traditional Arabic"/>
                <w:sz w:val="30"/>
                <w:szCs w:val="30"/>
                <w:rtl/>
              </w:rPr>
              <w:t xml:space="preserve"> </w:t>
            </w:r>
            <w:r w:rsidRPr="00A656B1">
              <w:rPr>
                <w:rFonts w:ascii="Traditional Arabic" w:hAnsi="Traditional Arabic" w:cs="Traditional Arabic" w:hint="eastAsia"/>
                <w:sz w:val="30"/>
                <w:szCs w:val="30"/>
                <w:rtl/>
              </w:rPr>
              <w:t>التي</w:t>
            </w:r>
            <w:r w:rsidRPr="00A656B1">
              <w:rPr>
                <w:rFonts w:ascii="Traditional Arabic" w:hAnsi="Traditional Arabic" w:cs="Traditional Arabic"/>
                <w:sz w:val="30"/>
                <w:szCs w:val="30"/>
                <w:rtl/>
              </w:rPr>
              <w:t xml:space="preserve"> </w:t>
            </w:r>
            <w:r w:rsidRPr="00A656B1">
              <w:rPr>
                <w:rFonts w:ascii="Traditional Arabic" w:hAnsi="Traditional Arabic" w:cs="Traditional Arabic" w:hint="eastAsia"/>
                <w:sz w:val="30"/>
                <w:szCs w:val="30"/>
                <w:rtl/>
              </w:rPr>
              <w:t>أبرمتها</w:t>
            </w:r>
            <w:r w:rsidR="004A6FEC" w:rsidRPr="00A656B1">
              <w:rPr>
                <w:rFonts w:ascii="Traditional Arabic" w:hAnsi="Traditional Arabic" w:cs="Traditional Arabic"/>
                <w:sz w:val="30"/>
                <w:szCs w:val="30"/>
                <w:rtl/>
              </w:rPr>
              <w:t xml:space="preserve"> الشركة مع مجموعة أسياد</w:t>
            </w:r>
          </w:p>
        </w:tc>
        <w:tc>
          <w:tcPr>
            <w:tcW w:w="2880" w:type="dxa"/>
          </w:tcPr>
          <w:p w14:paraId="1F78F185" w14:textId="77777777" w:rsidR="00083570" w:rsidRPr="004A6FEC" w:rsidRDefault="00DB3BBB" w:rsidP="00922116">
            <w:pPr>
              <w:bidi/>
              <w:spacing w:beforeLines="40" w:before="96" w:afterLines="40" w:after="96" w:line="276" w:lineRule="auto"/>
              <w:jc w:val="both"/>
              <w:rPr>
                <w:rFonts w:ascii="Traditional Arabic" w:hAnsi="Traditional Arabic" w:cs="Traditional Arabic"/>
                <w:sz w:val="30"/>
                <w:szCs w:val="30"/>
                <w:rtl/>
              </w:rPr>
            </w:pPr>
            <w:r w:rsidRPr="00A656B1">
              <w:rPr>
                <w:rFonts w:ascii="Traditional Arabic" w:hAnsi="Traditional Arabic" w:cs="Traditional Arabic" w:hint="eastAsia"/>
                <w:sz w:val="30"/>
                <w:szCs w:val="30"/>
                <w:rtl/>
              </w:rPr>
              <w:t>اتفاقية</w:t>
            </w:r>
            <w:r w:rsidRPr="00A656B1">
              <w:rPr>
                <w:rFonts w:ascii="Traditional Arabic" w:hAnsi="Traditional Arabic" w:cs="Traditional Arabic"/>
                <w:sz w:val="30"/>
                <w:szCs w:val="30"/>
                <w:rtl/>
              </w:rPr>
              <w:t xml:space="preserve"> </w:t>
            </w:r>
            <w:r w:rsidRPr="00A656B1">
              <w:rPr>
                <w:rFonts w:ascii="Traditional Arabic" w:hAnsi="Traditional Arabic" w:cs="Traditional Arabic" w:hint="eastAsia"/>
                <w:sz w:val="30"/>
                <w:szCs w:val="30"/>
                <w:rtl/>
              </w:rPr>
              <w:t>مستوى</w:t>
            </w:r>
            <w:r w:rsidRPr="00A656B1">
              <w:rPr>
                <w:rFonts w:ascii="Traditional Arabic" w:hAnsi="Traditional Arabic" w:cs="Traditional Arabic"/>
                <w:sz w:val="30"/>
                <w:szCs w:val="30"/>
                <w:rtl/>
              </w:rPr>
              <w:t xml:space="preserve"> </w:t>
            </w:r>
            <w:r w:rsidRPr="00A656B1">
              <w:rPr>
                <w:rFonts w:ascii="Traditional Arabic" w:hAnsi="Traditional Arabic" w:cs="Traditional Arabic" w:hint="eastAsia"/>
                <w:sz w:val="30"/>
                <w:szCs w:val="30"/>
                <w:rtl/>
              </w:rPr>
              <w:t>الخدم</w:t>
            </w:r>
            <w:r w:rsidR="00861187">
              <w:rPr>
                <w:rFonts w:ascii="Traditional Arabic" w:hAnsi="Traditional Arabic" w:cs="Traditional Arabic" w:hint="cs"/>
                <w:sz w:val="30"/>
                <w:szCs w:val="30"/>
                <w:rtl/>
              </w:rPr>
              <w:t>ة</w:t>
            </w:r>
          </w:p>
        </w:tc>
      </w:tr>
      <w:tr w:rsidR="00E91F43" w:rsidRPr="00C73B2D" w14:paraId="535F8EA2" w14:textId="77777777" w:rsidTr="00CB188B">
        <w:tc>
          <w:tcPr>
            <w:tcW w:w="7824" w:type="dxa"/>
          </w:tcPr>
          <w:p w14:paraId="1F859420" w14:textId="154CA15B"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تاريخ</w:t>
            </w:r>
            <w:r w:rsidR="004350BF">
              <w:rPr>
                <w:rFonts w:ascii="Traditional Arabic" w:hAnsi="Traditional Arabic" w:cs="Traditional Arabic" w:hint="cs"/>
                <w:sz w:val="30"/>
                <w:szCs w:val="30"/>
                <w:rtl/>
              </w:rPr>
              <w:t>:</w:t>
            </w:r>
            <w:r w:rsidRPr="00C73B2D">
              <w:rPr>
                <w:rFonts w:ascii="Traditional Arabic" w:hAnsi="Traditional Arabic" w:cs="Traditional Arabic"/>
                <w:sz w:val="30"/>
                <w:szCs w:val="30"/>
                <w:rtl/>
              </w:rPr>
              <w:t xml:space="preserve"> (1) </w:t>
            </w:r>
            <w:r w:rsidRPr="00C73B2D">
              <w:rPr>
                <w:rFonts w:ascii="Traditional Arabic" w:hAnsi="Traditional Arabic" w:cs="Traditional Arabic"/>
                <w:sz w:val="30"/>
                <w:szCs w:val="30"/>
                <w:rtl/>
                <w:lang w:bidi="ar-OM"/>
              </w:rPr>
              <w:t xml:space="preserve">تسليم الأسهم من خلال </w:t>
            </w:r>
            <w:r w:rsidR="004350BF">
              <w:rPr>
                <w:rFonts w:ascii="Traditional Arabic" w:hAnsi="Traditional Arabic" w:cs="Traditional Arabic" w:hint="cs"/>
                <w:sz w:val="30"/>
                <w:szCs w:val="30"/>
                <w:rtl/>
                <w:lang w:bidi="ar-OM"/>
              </w:rPr>
              <w:t xml:space="preserve">نظام </w:t>
            </w:r>
            <w:r w:rsidRPr="00C73B2D">
              <w:rPr>
                <w:rFonts w:ascii="Traditional Arabic" w:hAnsi="Traditional Arabic" w:cs="Traditional Arabic"/>
                <w:sz w:val="30"/>
                <w:szCs w:val="30"/>
                <w:rtl/>
                <w:lang w:bidi="ar-OM"/>
              </w:rPr>
              <w:t xml:space="preserve">القيد الدفتري </w:t>
            </w:r>
            <w:r w:rsidR="004350BF">
              <w:rPr>
                <w:rFonts w:ascii="Traditional Arabic" w:hAnsi="Traditional Arabic" w:cs="Traditional Arabic" w:hint="cs"/>
                <w:sz w:val="30"/>
                <w:szCs w:val="30"/>
                <w:rtl/>
                <w:lang w:bidi="ar-OM"/>
              </w:rPr>
              <w:t xml:space="preserve">الذي تشرف عليه </w:t>
            </w:r>
            <w:r w:rsidRPr="00C73B2D">
              <w:rPr>
                <w:rFonts w:ascii="Traditional Arabic" w:hAnsi="Traditional Arabic" w:cs="Traditional Arabic"/>
                <w:sz w:val="30"/>
                <w:szCs w:val="30"/>
                <w:rtl/>
                <w:lang w:bidi="ar-OM"/>
              </w:rPr>
              <w:t xml:space="preserve">شركة مسقط للمقاصة والإيداع إلى </w:t>
            </w:r>
            <w:r w:rsidR="00CE0376">
              <w:rPr>
                <w:rFonts w:ascii="Traditional Arabic" w:hAnsi="Traditional Arabic" w:cs="Traditional Arabic" w:hint="cs"/>
                <w:sz w:val="30"/>
                <w:szCs w:val="30"/>
                <w:rtl/>
                <w:lang w:bidi="ar-OM"/>
              </w:rPr>
              <w:t>ا</w:t>
            </w:r>
            <w:r w:rsidRPr="00C73B2D">
              <w:rPr>
                <w:rFonts w:ascii="Traditional Arabic" w:hAnsi="Traditional Arabic" w:cs="Traditional Arabic"/>
                <w:sz w:val="30"/>
                <w:szCs w:val="30"/>
                <w:rtl/>
                <w:lang w:bidi="ar-OM"/>
              </w:rPr>
              <w:t>لمستثمرين الذين يملكون حسابات بأرقام. (2) تحويل مدير الإصدار صافي العائد إلى حساب العهدة المودع لدى شركة مسقط للمقاصة والإيداع في الموعد</w:t>
            </w:r>
            <w:r w:rsidR="00CE0376">
              <w:rPr>
                <w:rFonts w:ascii="Traditional Arabic" w:hAnsi="Traditional Arabic" w:cs="Traditional Arabic" w:hint="cs"/>
                <w:sz w:val="30"/>
                <w:szCs w:val="30"/>
                <w:rtl/>
                <w:lang w:bidi="ar-OM"/>
              </w:rPr>
              <w:t xml:space="preserve"> </w:t>
            </w:r>
            <w:r w:rsidRPr="00C73B2D">
              <w:rPr>
                <w:rFonts w:ascii="Traditional Arabic" w:hAnsi="Traditional Arabic" w:cs="Traditional Arabic"/>
                <w:sz w:val="30"/>
                <w:szCs w:val="30"/>
                <w:rtl/>
              </w:rPr>
              <w:t xml:space="preserve">المتوقع أن يستمر لمدة </w:t>
            </w:r>
            <w:r w:rsidR="00FF567C" w:rsidRPr="00FF567C">
              <w:rPr>
                <w:rFonts w:ascii="Traditional Arabic" w:hAnsi="Traditional Arabic" w:cs="Traditional Arabic" w:hint="cs"/>
                <w:sz w:val="30"/>
                <w:szCs w:val="30"/>
                <w:rtl/>
              </w:rPr>
              <w:t>سبعه</w:t>
            </w:r>
            <w:r w:rsidR="002D7C71" w:rsidRPr="00240371">
              <w:rPr>
                <w:rFonts w:ascii="Traditional Arabic" w:hAnsi="Traditional Arabic" w:cs="Traditional Arabic"/>
                <w:color w:val="FF0000"/>
                <w:sz w:val="30"/>
                <w:szCs w:val="30"/>
                <w:rtl/>
              </w:rPr>
              <w:t xml:space="preserve"> </w:t>
            </w:r>
            <w:r w:rsidR="00CE0376">
              <w:rPr>
                <w:rFonts w:ascii="Traditional Arabic" w:hAnsi="Traditional Arabic" w:cs="Traditional Arabic" w:hint="cs"/>
                <w:sz w:val="30"/>
                <w:szCs w:val="30"/>
                <w:rtl/>
              </w:rPr>
              <w:t>أيام</w:t>
            </w:r>
            <w:r w:rsidRPr="00C73B2D">
              <w:rPr>
                <w:rFonts w:ascii="Traditional Arabic" w:hAnsi="Traditional Arabic" w:cs="Traditional Arabic"/>
                <w:sz w:val="30"/>
                <w:szCs w:val="30"/>
                <w:rtl/>
              </w:rPr>
              <w:t xml:space="preserve"> بعد تاريخ التسعير أو أي موعد آخر </w:t>
            </w:r>
            <w:r w:rsidR="00CE0376">
              <w:rPr>
                <w:rFonts w:ascii="Traditional Arabic" w:hAnsi="Traditional Arabic" w:cs="Traditional Arabic" w:hint="cs"/>
                <w:sz w:val="30"/>
                <w:szCs w:val="30"/>
                <w:rtl/>
              </w:rPr>
              <w:t>يُعلن عنه</w:t>
            </w:r>
            <w:r w:rsidRPr="00C73B2D">
              <w:rPr>
                <w:rFonts w:ascii="Traditional Arabic" w:hAnsi="Traditional Arabic" w:cs="Traditional Arabic"/>
                <w:sz w:val="30"/>
                <w:szCs w:val="30"/>
                <w:rtl/>
              </w:rPr>
              <w:t xml:space="preserve"> </w:t>
            </w:r>
            <w:r w:rsidR="00C7022E">
              <w:rPr>
                <w:rFonts w:ascii="Traditional Arabic" w:hAnsi="Traditional Arabic" w:cs="Traditional Arabic"/>
                <w:sz w:val="30"/>
                <w:szCs w:val="30"/>
                <w:rtl/>
              </w:rPr>
              <w:t>المنسق العالمي المشترك</w:t>
            </w:r>
            <w:r w:rsidRPr="00C73B2D">
              <w:rPr>
                <w:rFonts w:ascii="Traditional Arabic" w:hAnsi="Traditional Arabic" w:cs="Traditional Arabic"/>
                <w:sz w:val="30"/>
                <w:szCs w:val="30"/>
                <w:rtl/>
              </w:rPr>
              <w:t>.</w:t>
            </w:r>
          </w:p>
        </w:tc>
        <w:tc>
          <w:tcPr>
            <w:tcW w:w="2880" w:type="dxa"/>
          </w:tcPr>
          <w:p w14:paraId="629042CD"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تاريخ التسوية</w:t>
            </w:r>
          </w:p>
        </w:tc>
      </w:tr>
      <w:tr w:rsidR="00E91F43" w:rsidRPr="00C73B2D" w14:paraId="68D72F72" w14:textId="77777777" w:rsidTr="00CB188B">
        <w:tc>
          <w:tcPr>
            <w:tcW w:w="7824" w:type="dxa"/>
          </w:tcPr>
          <w:p w14:paraId="13EFC6BA" w14:textId="4ABCBB11"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rPr>
              <w:t xml:space="preserve">سهم عادي في الشركة بقيمة قدرها </w:t>
            </w:r>
            <w:r w:rsidR="00312F41">
              <w:rPr>
                <w:rFonts w:ascii="Traditional Arabic" w:hAnsi="Traditional Arabic" w:cs="Traditional Arabic" w:hint="cs"/>
                <w:sz w:val="30"/>
                <w:szCs w:val="30"/>
                <w:rtl/>
              </w:rPr>
              <w:t>25</w:t>
            </w:r>
            <w:r w:rsidR="00312F41"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بيسة.</w:t>
            </w:r>
          </w:p>
        </w:tc>
        <w:tc>
          <w:tcPr>
            <w:tcW w:w="2880" w:type="dxa"/>
            <w:hideMark/>
          </w:tcPr>
          <w:p w14:paraId="70A79A4B"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سهم</w:t>
            </w:r>
          </w:p>
        </w:tc>
      </w:tr>
      <w:tr w:rsidR="00E91F43" w:rsidRPr="00C73B2D" w14:paraId="6D362DD6" w14:textId="77777777" w:rsidTr="00CB188B">
        <w:tc>
          <w:tcPr>
            <w:tcW w:w="7824" w:type="dxa"/>
          </w:tcPr>
          <w:p w14:paraId="22442087"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مساهم في الشركة.</w:t>
            </w:r>
          </w:p>
          <w:p w14:paraId="2AA0950A"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p>
        </w:tc>
        <w:tc>
          <w:tcPr>
            <w:tcW w:w="2880" w:type="dxa"/>
          </w:tcPr>
          <w:p w14:paraId="6D826ABC"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lastRenderedPageBreak/>
              <w:t>مساهم</w:t>
            </w:r>
          </w:p>
          <w:p w14:paraId="3F45A0CA"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p>
        </w:tc>
      </w:tr>
      <w:tr w:rsidR="00B6697D" w:rsidRPr="00C73B2D" w14:paraId="2479106A" w14:textId="77777777" w:rsidTr="00CB188B">
        <w:tc>
          <w:tcPr>
            <w:tcW w:w="7824" w:type="dxa"/>
          </w:tcPr>
          <w:p w14:paraId="52895D62" w14:textId="77777777" w:rsidR="00B6697D" w:rsidRPr="00C73B2D" w:rsidRDefault="00B6697D"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 xml:space="preserve">الفحص السنوي الخامس </w:t>
            </w:r>
            <w:r w:rsidR="00B305D0">
              <w:rPr>
                <w:rFonts w:ascii="Traditional Arabic" w:hAnsi="Traditional Arabic" w:cs="Traditional Arabic" w:hint="cs"/>
                <w:sz w:val="30"/>
                <w:szCs w:val="30"/>
                <w:rtl/>
              </w:rPr>
              <w:t>لمقيم جمعية التصنيف (تقرير المسح الشامل)</w:t>
            </w:r>
          </w:p>
        </w:tc>
        <w:tc>
          <w:tcPr>
            <w:tcW w:w="2880" w:type="dxa"/>
          </w:tcPr>
          <w:p w14:paraId="7AD04F24" w14:textId="77777777" w:rsidR="00B6697D" w:rsidRPr="00C73B2D" w:rsidRDefault="00B6697D"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المسح الخاص</w:t>
            </w:r>
          </w:p>
        </w:tc>
      </w:tr>
      <w:tr w:rsidR="00E91F43" w:rsidRPr="00C73B2D" w14:paraId="338C8D39" w14:textId="77777777" w:rsidTr="00CB188B">
        <w:tc>
          <w:tcPr>
            <w:tcW w:w="7824" w:type="dxa"/>
          </w:tcPr>
          <w:p w14:paraId="5377818E"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القواعد التي تخضع لها عمليات الاستحواذ والسيطرة على شركات المساهمة العامة الصادرة بقرار الهيئة العامة لسوق المال رقم 2/2019.</w:t>
            </w:r>
          </w:p>
          <w:p w14:paraId="2AB216A1"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p>
        </w:tc>
        <w:tc>
          <w:tcPr>
            <w:tcW w:w="2880" w:type="dxa"/>
          </w:tcPr>
          <w:p w14:paraId="0D1AE380"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لائحة الاستحواذ والسيطرة</w:t>
            </w:r>
          </w:p>
          <w:p w14:paraId="5B966424"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p>
        </w:tc>
      </w:tr>
      <w:tr w:rsidR="00B305D0" w:rsidRPr="00C73B2D" w14:paraId="4BBCE2C8" w14:textId="77777777" w:rsidTr="00CB188B">
        <w:tc>
          <w:tcPr>
            <w:tcW w:w="7824" w:type="dxa"/>
          </w:tcPr>
          <w:p w14:paraId="32129CDF" w14:textId="77777777" w:rsidR="00B305D0" w:rsidRPr="00C73B2D" w:rsidRDefault="001630DE"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هي وحدة تعادل حاوية واحدة مقاس 20 قدم</w:t>
            </w:r>
          </w:p>
        </w:tc>
        <w:tc>
          <w:tcPr>
            <w:tcW w:w="2880" w:type="dxa"/>
          </w:tcPr>
          <w:p w14:paraId="0F18F6B3" w14:textId="77777777" w:rsidR="00B305D0" w:rsidRPr="00C73B2D" w:rsidRDefault="001630DE" w:rsidP="00922116">
            <w:pPr>
              <w:bidi/>
              <w:spacing w:beforeLines="40" w:before="96" w:afterLines="40" w:after="96" w:line="276"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وحدة مكافئ 20 قدما</w:t>
            </w:r>
          </w:p>
        </w:tc>
      </w:tr>
      <w:tr w:rsidR="00E91F43" w:rsidRPr="00C73B2D" w14:paraId="42883995" w14:textId="77777777" w:rsidTr="00CB188B">
        <w:tc>
          <w:tcPr>
            <w:tcW w:w="7824" w:type="dxa"/>
          </w:tcPr>
          <w:p w14:paraId="2854DD83"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الولايات المتحدة الأمريكية.</w:t>
            </w:r>
          </w:p>
          <w:p w14:paraId="5AC2AFAC"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Pr>
            </w:pPr>
          </w:p>
        </w:tc>
        <w:tc>
          <w:tcPr>
            <w:tcW w:w="2880" w:type="dxa"/>
          </w:tcPr>
          <w:p w14:paraId="79DA4574"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الولايات المتحدة</w:t>
            </w:r>
          </w:p>
          <w:p w14:paraId="45A76987"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p>
        </w:tc>
      </w:tr>
      <w:tr w:rsidR="00E91F43" w:rsidRPr="00C73B2D" w14:paraId="5023AC47" w14:textId="77777777" w:rsidTr="00CB188B">
        <w:tc>
          <w:tcPr>
            <w:tcW w:w="7824" w:type="dxa"/>
          </w:tcPr>
          <w:p w14:paraId="7F15E54A"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rtl/>
              </w:rPr>
            </w:pPr>
            <w:r w:rsidRPr="00C73B2D">
              <w:rPr>
                <w:rFonts w:ascii="Traditional Arabic" w:hAnsi="Traditional Arabic" w:cs="Traditional Arabic"/>
                <w:sz w:val="30"/>
                <w:szCs w:val="30"/>
                <w:rtl/>
              </w:rPr>
              <w:t>الدولار / الدولار الأمريكي؛ العملة الرسمية للولايات المتحدة الأمريكية.</w:t>
            </w:r>
          </w:p>
        </w:tc>
        <w:tc>
          <w:tcPr>
            <w:tcW w:w="2880" w:type="dxa"/>
            <w:hideMark/>
          </w:tcPr>
          <w:p w14:paraId="060A31C3" w14:textId="77777777" w:rsidR="00E91F43" w:rsidRPr="00C73B2D" w:rsidRDefault="00E91F43" w:rsidP="00922116">
            <w:pPr>
              <w:bidi/>
              <w:spacing w:beforeLines="40" w:before="96" w:afterLines="40" w:after="96" w:line="276" w:lineRule="auto"/>
              <w:jc w:val="both"/>
              <w:rPr>
                <w:rFonts w:ascii="Traditional Arabic" w:hAnsi="Traditional Arabic" w:cs="Traditional Arabic"/>
                <w:sz w:val="30"/>
                <w:szCs w:val="30"/>
                <w:lang w:val="en-GB"/>
              </w:rPr>
            </w:pPr>
            <w:r w:rsidRPr="00C73B2D">
              <w:rPr>
                <w:rFonts w:ascii="Traditional Arabic" w:hAnsi="Traditional Arabic" w:cs="Traditional Arabic"/>
                <w:sz w:val="30"/>
                <w:szCs w:val="30"/>
                <w:rtl/>
              </w:rPr>
              <w:t>الدولار / الدولار الأمريكي</w:t>
            </w:r>
          </w:p>
        </w:tc>
      </w:tr>
    </w:tbl>
    <w:p w14:paraId="0395009B" w14:textId="77777777" w:rsidR="00352F9E" w:rsidRPr="00CD53BC" w:rsidRDefault="00352F9E" w:rsidP="00CD53BC">
      <w:pPr>
        <w:pStyle w:val="BodyText1"/>
        <w:bidi/>
        <w:rPr>
          <w:rFonts w:ascii="Traditional Arabic" w:hAnsi="Traditional Arabic" w:cs="Traditional Arabic"/>
          <w:b/>
          <w:sz w:val="28"/>
          <w:szCs w:val="36"/>
          <w:rtl/>
        </w:rPr>
      </w:pPr>
    </w:p>
    <w:p w14:paraId="0644E180" w14:textId="77777777" w:rsidR="00701F87" w:rsidRDefault="00701F87" w:rsidP="00CD53BC">
      <w:pPr>
        <w:pStyle w:val="BodyText1"/>
        <w:bidi/>
        <w:rPr>
          <w:b/>
          <w:rtl/>
          <w:lang w:val="en-GB"/>
        </w:rPr>
      </w:pPr>
    </w:p>
    <w:p w14:paraId="1B8B9EE7" w14:textId="77777777" w:rsidR="00200EB6" w:rsidRDefault="00200EB6" w:rsidP="00200EB6">
      <w:pPr>
        <w:pStyle w:val="BodyText1"/>
        <w:bidi/>
        <w:rPr>
          <w:b/>
          <w:rtl/>
          <w:lang w:val="en-GB"/>
        </w:rPr>
      </w:pPr>
    </w:p>
    <w:p w14:paraId="565BCE9F" w14:textId="77777777" w:rsidR="00200EB6" w:rsidRDefault="00200EB6" w:rsidP="00200EB6">
      <w:pPr>
        <w:pStyle w:val="BodyText1"/>
        <w:bidi/>
        <w:rPr>
          <w:b/>
          <w:rtl/>
          <w:lang w:val="en-GB"/>
        </w:rPr>
      </w:pPr>
    </w:p>
    <w:p w14:paraId="1B128746" w14:textId="77777777" w:rsidR="00200EB6" w:rsidRDefault="00200EB6" w:rsidP="00200EB6">
      <w:pPr>
        <w:pStyle w:val="BodyText1"/>
        <w:bidi/>
        <w:rPr>
          <w:b/>
          <w:rtl/>
          <w:lang w:val="en-GB"/>
        </w:rPr>
      </w:pPr>
    </w:p>
    <w:p w14:paraId="30DC5648" w14:textId="77777777" w:rsidR="00AE46EA" w:rsidRDefault="00AE46EA" w:rsidP="00AE46EA">
      <w:pPr>
        <w:pStyle w:val="BodyText1"/>
        <w:bidi/>
        <w:rPr>
          <w:b/>
          <w:rtl/>
          <w:lang w:val="en-GB"/>
        </w:rPr>
      </w:pPr>
    </w:p>
    <w:p w14:paraId="0FE6D76F" w14:textId="77777777" w:rsidR="00AE46EA" w:rsidRDefault="00AE46EA" w:rsidP="00AE46EA">
      <w:pPr>
        <w:pStyle w:val="BodyText1"/>
        <w:bidi/>
        <w:rPr>
          <w:b/>
          <w:rtl/>
          <w:lang w:val="en-GB"/>
        </w:rPr>
      </w:pPr>
    </w:p>
    <w:p w14:paraId="25E3778C" w14:textId="77777777" w:rsidR="00DC7B26" w:rsidRDefault="00DC7B26" w:rsidP="00DC7B26">
      <w:pPr>
        <w:pStyle w:val="BodyText1"/>
        <w:bidi/>
        <w:rPr>
          <w:b/>
          <w:rtl/>
          <w:lang w:val="en-GB"/>
        </w:rPr>
      </w:pPr>
    </w:p>
    <w:p w14:paraId="226DEE82" w14:textId="77777777" w:rsidR="00DC7B26" w:rsidRDefault="00DC7B26" w:rsidP="00DC7B26">
      <w:pPr>
        <w:pStyle w:val="BodyText1"/>
        <w:bidi/>
        <w:rPr>
          <w:b/>
          <w:rtl/>
          <w:lang w:val="en-GB"/>
        </w:rPr>
      </w:pPr>
    </w:p>
    <w:p w14:paraId="6E63B0FD" w14:textId="77777777" w:rsidR="00DC7B26" w:rsidRDefault="00DC7B26" w:rsidP="00DC7B26">
      <w:pPr>
        <w:pStyle w:val="BodyText1"/>
        <w:bidi/>
        <w:rPr>
          <w:b/>
          <w:lang w:val="en-GB"/>
        </w:rPr>
      </w:pPr>
    </w:p>
    <w:p w14:paraId="0189C9DB" w14:textId="77777777" w:rsidR="00DC7B26" w:rsidRPr="00CD53BC" w:rsidRDefault="00DC7B26" w:rsidP="00DC7B26">
      <w:pPr>
        <w:pStyle w:val="BodyText1"/>
        <w:bidi/>
        <w:rPr>
          <w:b/>
          <w:rtl/>
          <w:lang w:val="en-GB"/>
        </w:rPr>
      </w:pPr>
    </w:p>
    <w:p w14:paraId="1E11986C" w14:textId="77777777" w:rsidR="00585226" w:rsidRPr="00EB5BCF" w:rsidRDefault="00A64E73"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lastRenderedPageBreak/>
        <w:t>الفصل الثاني</w:t>
      </w:r>
    </w:p>
    <w:p w14:paraId="2411341D" w14:textId="77777777" w:rsidR="00A64E73" w:rsidRPr="00EB5BCF" w:rsidRDefault="00A64E73"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معلومات موجزة عن الشركة</w:t>
      </w:r>
    </w:p>
    <w:p w14:paraId="43090973" w14:textId="77777777" w:rsidR="008252E9" w:rsidRPr="00EB5BCF" w:rsidRDefault="008252E9" w:rsidP="008252E9">
      <w:pPr>
        <w:pStyle w:val="TOC1"/>
        <w:tabs>
          <w:tab w:val="clear" w:pos="9360"/>
          <w:tab w:val="left" w:pos="1772"/>
        </w:tabs>
        <w:bidi/>
        <w:spacing w:before="0" w:after="0"/>
        <w:jc w:val="center"/>
        <w:rPr>
          <w:rFonts w:ascii="Traditional Arabic" w:hAnsi="Traditional Arabic" w:cs="Traditional Arabic"/>
          <w:b/>
          <w:noProof/>
          <w:sz w:val="30"/>
          <w:szCs w:val="30"/>
          <w:rtl/>
          <w:lang w:val="en-GB"/>
        </w:rPr>
      </w:pPr>
    </w:p>
    <w:p w14:paraId="4CBC58DB" w14:textId="77777777" w:rsidR="00A64E73" w:rsidRPr="00EB5BCF" w:rsidRDefault="00A64E73" w:rsidP="00A64E73">
      <w:pPr>
        <w:pStyle w:val="BodyText1"/>
        <w:bidi/>
        <w:spacing w:after="0"/>
        <w:rPr>
          <w:rFonts w:ascii="Traditional Arabic" w:hAnsi="Traditional Arabic" w:cs="Traditional Arabic"/>
          <w:i/>
          <w:sz w:val="30"/>
          <w:szCs w:val="30"/>
          <w:rtl/>
          <w:lang w:val="en-GB"/>
        </w:rPr>
      </w:pPr>
      <w:r w:rsidRPr="00EB5BCF">
        <w:rPr>
          <w:rFonts w:ascii="Traditional Arabic" w:hAnsi="Traditional Arabic" w:cs="Traditional Arabic"/>
          <w:i/>
          <w:sz w:val="30"/>
          <w:szCs w:val="30"/>
          <w:rtl/>
          <w:lang w:val="en-GB"/>
        </w:rPr>
        <w:t xml:space="preserve">يسلط هذا الموجز الضوء على المعلومات الواردة في هذه النشرة، إلا أنه لا يحتوي على جميع المعلومات التي ينبغي </w:t>
      </w:r>
      <w:r w:rsidR="00DA56CA">
        <w:rPr>
          <w:rFonts w:ascii="Traditional Arabic" w:hAnsi="Traditional Arabic" w:cs="Traditional Arabic" w:hint="cs"/>
          <w:i/>
          <w:sz w:val="30"/>
          <w:szCs w:val="30"/>
          <w:rtl/>
          <w:lang w:val="en-GB"/>
        </w:rPr>
        <w:t>ل</w:t>
      </w:r>
      <w:r w:rsidR="00532FA3" w:rsidRPr="00EB5BCF">
        <w:rPr>
          <w:rFonts w:ascii="Traditional Arabic" w:hAnsi="Traditional Arabic" w:cs="Traditional Arabic" w:hint="eastAsia"/>
          <w:i/>
          <w:sz w:val="30"/>
          <w:szCs w:val="30"/>
          <w:rtl/>
          <w:lang w:val="en-GB"/>
        </w:rPr>
        <w:t>لمستثمرين</w:t>
      </w:r>
      <w:r w:rsidR="00532FA3" w:rsidRPr="00EB5BCF">
        <w:rPr>
          <w:rFonts w:ascii="Traditional Arabic" w:hAnsi="Traditional Arabic" w:cs="Traditional Arabic"/>
          <w:i/>
          <w:sz w:val="30"/>
          <w:szCs w:val="30"/>
          <w:rtl/>
          <w:lang w:val="en-GB"/>
        </w:rPr>
        <w:t xml:space="preserve"> </w:t>
      </w:r>
      <w:r w:rsidRPr="00EB5BCF">
        <w:rPr>
          <w:rFonts w:ascii="Traditional Arabic" w:hAnsi="Traditional Arabic" w:cs="Traditional Arabic"/>
          <w:i/>
          <w:sz w:val="30"/>
          <w:szCs w:val="30"/>
          <w:rtl/>
          <w:lang w:val="en-GB"/>
        </w:rPr>
        <w:t xml:space="preserve">أخذها بعين الاعتبار قبل الاستثمار في الأسهم، ولذا يتعين على جميع </w:t>
      </w:r>
      <w:r w:rsidR="00532FA3" w:rsidRPr="00EB5BCF">
        <w:rPr>
          <w:rFonts w:ascii="Traditional Arabic" w:hAnsi="Traditional Arabic" w:cs="Traditional Arabic" w:hint="eastAsia"/>
          <w:i/>
          <w:sz w:val="30"/>
          <w:szCs w:val="30"/>
          <w:rtl/>
          <w:lang w:val="en-GB"/>
        </w:rPr>
        <w:t>المستثمرين</w:t>
      </w:r>
      <w:r w:rsidR="00532FA3" w:rsidRPr="00EB5BCF">
        <w:rPr>
          <w:rFonts w:ascii="Traditional Arabic" w:hAnsi="Traditional Arabic" w:cs="Traditional Arabic"/>
          <w:i/>
          <w:sz w:val="30"/>
          <w:szCs w:val="30"/>
          <w:rtl/>
          <w:lang w:val="en-GB"/>
        </w:rPr>
        <w:t xml:space="preserve"> </w:t>
      </w:r>
      <w:r w:rsidRPr="00EB5BCF">
        <w:rPr>
          <w:rFonts w:ascii="Traditional Arabic" w:hAnsi="Traditional Arabic" w:cs="Traditional Arabic"/>
          <w:i/>
          <w:sz w:val="30"/>
          <w:szCs w:val="30"/>
          <w:rtl/>
          <w:lang w:val="en-GB"/>
        </w:rPr>
        <w:t>قراءة هذه النشرة بالكامل وبعناية تامة بما في ذلك البيانات المالية</w:t>
      </w:r>
      <w:r w:rsidR="006E4170">
        <w:rPr>
          <w:rFonts w:ascii="Traditional Arabic" w:hAnsi="Traditional Arabic" w:cs="Traditional Arabic" w:hint="cs"/>
          <w:i/>
          <w:sz w:val="30"/>
          <w:szCs w:val="30"/>
          <w:rtl/>
          <w:lang w:val="en-GB"/>
        </w:rPr>
        <w:t xml:space="preserve"> </w:t>
      </w:r>
      <w:r w:rsidRPr="00EB5BCF">
        <w:rPr>
          <w:rFonts w:ascii="Traditional Arabic" w:hAnsi="Traditional Arabic" w:cs="Traditional Arabic"/>
          <w:i/>
          <w:sz w:val="30"/>
          <w:szCs w:val="30"/>
          <w:rtl/>
          <w:lang w:val="en-GB"/>
        </w:rPr>
        <w:t xml:space="preserve">للشركة الواردة في الفصل </w:t>
      </w:r>
      <w:r w:rsidR="0022403A">
        <w:rPr>
          <w:rFonts w:ascii="Traditional Arabic" w:hAnsi="Traditional Arabic" w:cs="Traditional Arabic" w:hint="cs"/>
          <w:i/>
          <w:sz w:val="30"/>
          <w:szCs w:val="30"/>
          <w:rtl/>
          <w:lang w:val="en-GB"/>
        </w:rPr>
        <w:t xml:space="preserve">السادس </w:t>
      </w:r>
      <w:r w:rsidR="00355102">
        <w:rPr>
          <w:rFonts w:ascii="Traditional Arabic" w:hAnsi="Traditional Arabic" w:cs="Traditional Arabic" w:hint="cs"/>
          <w:i/>
          <w:sz w:val="30"/>
          <w:szCs w:val="30"/>
          <w:rtl/>
          <w:lang w:val="en-GB"/>
        </w:rPr>
        <w:t>والعشرين</w:t>
      </w:r>
      <w:r w:rsidRPr="00EB5BCF">
        <w:rPr>
          <w:rFonts w:ascii="Traditional Arabic" w:hAnsi="Traditional Arabic" w:cs="Traditional Arabic"/>
          <w:i/>
          <w:sz w:val="30"/>
          <w:szCs w:val="30"/>
          <w:rtl/>
          <w:lang w:val="en-GB"/>
        </w:rPr>
        <w:t xml:space="preserve"> من هذه النشرة بعنوان "البيانات المالية التاريخية". علاوة على ما تقدم، يجب على جميع </w:t>
      </w:r>
      <w:r w:rsidR="00532FA3" w:rsidRPr="00EB5BCF">
        <w:rPr>
          <w:rFonts w:ascii="Traditional Arabic" w:hAnsi="Traditional Arabic" w:cs="Traditional Arabic" w:hint="eastAsia"/>
          <w:i/>
          <w:sz w:val="30"/>
          <w:szCs w:val="30"/>
          <w:rtl/>
          <w:lang w:val="en-GB"/>
        </w:rPr>
        <w:t>المستثمرين</w:t>
      </w:r>
      <w:r w:rsidR="00532FA3" w:rsidRPr="00EB5BCF">
        <w:rPr>
          <w:rFonts w:ascii="Traditional Arabic" w:hAnsi="Traditional Arabic" w:cs="Traditional Arabic"/>
          <w:i/>
          <w:sz w:val="30"/>
          <w:szCs w:val="30"/>
          <w:rtl/>
          <w:lang w:val="en-GB"/>
        </w:rPr>
        <w:t xml:space="preserve"> </w:t>
      </w:r>
      <w:r w:rsidRPr="00EB5BCF">
        <w:rPr>
          <w:rFonts w:ascii="Traditional Arabic" w:hAnsi="Traditional Arabic" w:cs="Traditional Arabic"/>
          <w:i/>
          <w:sz w:val="30"/>
          <w:szCs w:val="30"/>
          <w:rtl/>
          <w:lang w:val="en-GB"/>
        </w:rPr>
        <w:t xml:space="preserve">الاطلاع بالتحديد على الفصل الرابع من هذه النشرة بعنوان "عوامل المخاطرة " للتعرف على المزيد من المعلومات حول العوامل المهمة التي يجب أخذها بعين الاعتبار قبل شراء </w:t>
      </w:r>
      <w:r w:rsidR="00325C59" w:rsidRPr="00EB5BCF">
        <w:rPr>
          <w:rFonts w:ascii="Traditional Arabic" w:hAnsi="Traditional Arabic" w:cs="Traditional Arabic"/>
          <w:i/>
          <w:sz w:val="30"/>
          <w:szCs w:val="30"/>
          <w:rtl/>
          <w:lang w:val="en-GB"/>
        </w:rPr>
        <w:t>ال</w:t>
      </w:r>
      <w:r w:rsidRPr="00EB5BCF">
        <w:rPr>
          <w:rFonts w:ascii="Traditional Arabic" w:hAnsi="Traditional Arabic" w:cs="Traditional Arabic"/>
          <w:i/>
          <w:sz w:val="30"/>
          <w:szCs w:val="30"/>
          <w:rtl/>
          <w:lang w:val="en-GB"/>
        </w:rPr>
        <w:t>أسهم.</w:t>
      </w:r>
    </w:p>
    <w:p w14:paraId="70A9A412" w14:textId="77777777" w:rsidR="0091786B" w:rsidRPr="00EB5BCF" w:rsidRDefault="0091786B" w:rsidP="0091786B">
      <w:pPr>
        <w:pStyle w:val="BodyText1"/>
        <w:bidi/>
        <w:spacing w:after="0"/>
        <w:rPr>
          <w:rFonts w:ascii="Traditional Arabic" w:hAnsi="Traditional Arabic" w:cs="Traditional Arabic"/>
          <w:i/>
          <w:sz w:val="30"/>
          <w:szCs w:val="30"/>
          <w:rtl/>
          <w:lang w:val="en-GB"/>
        </w:rPr>
      </w:pPr>
    </w:p>
    <w:p w14:paraId="37083090" w14:textId="77777777" w:rsidR="00775FC8" w:rsidRPr="00EB5BCF" w:rsidRDefault="00775FC8" w:rsidP="00775FC8">
      <w:pPr>
        <w:bidi/>
        <w:jc w:val="both"/>
        <w:rPr>
          <w:rFonts w:ascii="Traditional Arabic" w:hAnsi="Traditional Arabic" w:cs="Traditional Arabic"/>
          <w:b/>
          <w:bCs/>
          <w:sz w:val="30"/>
          <w:szCs w:val="30"/>
          <w:rtl/>
          <w:lang w:bidi="ar-OM"/>
        </w:rPr>
      </w:pPr>
      <w:r w:rsidRPr="00EB5BCF">
        <w:rPr>
          <w:rFonts w:ascii="Traditional Arabic" w:hAnsi="Traditional Arabic" w:cs="Traditional Arabic"/>
          <w:b/>
          <w:bCs/>
          <w:sz w:val="30"/>
          <w:szCs w:val="30"/>
          <w:rtl/>
          <w:lang w:bidi="ar-OM"/>
        </w:rPr>
        <w:t>نُبذة</w:t>
      </w:r>
    </w:p>
    <w:p w14:paraId="503BDF0D"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p>
    <w:p w14:paraId="23E8CE4A" w14:textId="77777777" w:rsidR="00B65701" w:rsidRDefault="00B65701" w:rsidP="00B65701">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 xml:space="preserve">تعد الشركة واحدة من الشركات الرائدة في مجال النقل البحري عبر البحار والمحيطات باستخدام سفن كبيرة مصممة للإبحار لمسافات طويلة، حيث تتميز بتقديم حلول </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موثوقة وبتكلفة تنافسية للعملاء </w:t>
      </w:r>
      <w:r w:rsidR="006F1C90">
        <w:rPr>
          <w:rFonts w:ascii="Traditional Arabic" w:eastAsia="Sakkal Majalla" w:hAnsi="Traditional Arabic" w:cs="Traditional Arabic" w:hint="cs"/>
          <w:sz w:val="30"/>
          <w:szCs w:val="30"/>
          <w:rtl/>
        </w:rPr>
        <w:t>المحليين و</w:t>
      </w:r>
      <w:r w:rsidRPr="00B65701">
        <w:rPr>
          <w:rFonts w:ascii="Traditional Arabic" w:eastAsia="Sakkal Majalla" w:hAnsi="Traditional Arabic" w:cs="Traditional Arabic"/>
          <w:sz w:val="30"/>
          <w:szCs w:val="30"/>
          <w:rtl/>
        </w:rPr>
        <w:t>الدوليين الحاصلين على تصنيف عالٍ. كما تقدم الشركة مجموعة متنوعة من حلول النقل البحري لعملائها، وتعمل من خلال خمسة قطاعات أعمال</w:t>
      </w:r>
      <w:r w:rsidRPr="00B65701">
        <w:rPr>
          <w:rFonts w:ascii="Traditional Arabic" w:eastAsia="Sakkal Majalla" w:hAnsi="Traditional Arabic" w:cs="Traditional Arabic"/>
          <w:sz w:val="30"/>
          <w:szCs w:val="30"/>
        </w:rPr>
        <w:t>:</w:t>
      </w:r>
    </w:p>
    <w:p w14:paraId="353EBB2F" w14:textId="77777777" w:rsidR="00B65701" w:rsidRPr="00B65701" w:rsidRDefault="00B65701" w:rsidP="00B65701">
      <w:pPr>
        <w:widowControl w:val="0"/>
        <w:bidi/>
        <w:jc w:val="both"/>
        <w:rPr>
          <w:rFonts w:ascii="Traditional Arabic" w:eastAsia="Sakkal Majalla" w:hAnsi="Traditional Arabic" w:cs="Traditional Arabic"/>
          <w:sz w:val="30"/>
          <w:szCs w:val="30"/>
          <w:rtl/>
        </w:rPr>
      </w:pPr>
    </w:p>
    <w:p w14:paraId="429FCCCC" w14:textId="77777777" w:rsidR="00B65701" w:rsidRDefault="00B65701" w:rsidP="00D925C8">
      <w:pPr>
        <w:widowControl w:val="0"/>
        <w:bidi/>
        <w:ind w:left="429" w:hanging="429"/>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Pr>
        <w:t>•</w:t>
      </w:r>
      <w:r w:rsidRPr="00B65701">
        <w:rPr>
          <w:rFonts w:ascii="Traditional Arabic" w:eastAsia="Sakkal Majalla" w:hAnsi="Traditional Arabic" w:cs="Traditional Arabic"/>
          <w:sz w:val="30"/>
          <w:szCs w:val="30"/>
        </w:rPr>
        <w:tab/>
      </w:r>
      <w:r w:rsidR="00DA6A17">
        <w:rPr>
          <w:rFonts w:ascii="Traditional Arabic" w:eastAsia="Sakkal Majalla" w:hAnsi="Traditional Arabic" w:cs="Traditional Arabic" w:hint="cs"/>
          <w:b/>
          <w:bCs/>
          <w:sz w:val="30"/>
          <w:szCs w:val="30"/>
          <w:rtl/>
        </w:rPr>
        <w:t>نقل</w:t>
      </w:r>
      <w:r w:rsidR="00DA6A17" w:rsidRPr="00272B36">
        <w:rPr>
          <w:rFonts w:ascii="Traditional Arabic" w:eastAsia="Sakkal Majalla" w:hAnsi="Traditional Arabic" w:cs="Traditional Arabic"/>
          <w:b/>
          <w:bCs/>
          <w:sz w:val="30"/>
          <w:szCs w:val="30"/>
          <w:rtl/>
        </w:rPr>
        <w:t xml:space="preserve"> </w:t>
      </w:r>
      <w:r w:rsidRPr="00272B36">
        <w:rPr>
          <w:rFonts w:ascii="Traditional Arabic" w:eastAsia="Sakkal Majalla" w:hAnsi="Traditional Arabic" w:cs="Traditional Arabic"/>
          <w:b/>
          <w:bCs/>
          <w:sz w:val="30"/>
          <w:szCs w:val="30"/>
          <w:rtl/>
        </w:rPr>
        <w:t>النفط الخام:</w:t>
      </w:r>
      <w:r w:rsidRPr="00B65701">
        <w:rPr>
          <w:rFonts w:ascii="Traditional Arabic" w:eastAsia="Sakkal Majalla" w:hAnsi="Traditional Arabic" w:cs="Traditional Arabic"/>
          <w:sz w:val="30"/>
          <w:szCs w:val="30"/>
          <w:rtl/>
        </w:rPr>
        <w:t xml:space="preserve"> من خلال قطاع </w:t>
      </w:r>
      <w:r w:rsidR="00DA6A17">
        <w:rPr>
          <w:rFonts w:ascii="Traditional Arabic" w:eastAsia="Sakkal Majalla" w:hAnsi="Traditional Arabic" w:cs="Traditional Arabic" w:hint="cs"/>
          <w:sz w:val="30"/>
          <w:szCs w:val="30"/>
          <w:rtl/>
        </w:rPr>
        <w:t>نقل</w:t>
      </w:r>
      <w:r w:rsidR="00DA6A17"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النفط الخام، تدير الشركة 12 سفينة نفط خام عملاقة مملوكة بالكامل، وأربع سفن مستأجرة (سويسماكس)، وسفينتين مستأجرتين من نوع أفراماكس لنقل النفط الخام. وقد </w:t>
      </w:r>
      <w:r w:rsidR="00411277">
        <w:rPr>
          <w:rFonts w:ascii="Traditional Arabic" w:eastAsia="Sakkal Majalla" w:hAnsi="Traditional Arabic" w:cs="Traditional Arabic" w:hint="cs"/>
          <w:sz w:val="30"/>
          <w:szCs w:val="30"/>
          <w:rtl/>
        </w:rPr>
        <w:t>أسندت</w:t>
      </w:r>
      <w:r w:rsidR="00411277"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الشركة أيضًا </w:t>
      </w:r>
      <w:r w:rsidR="00A94F4B">
        <w:rPr>
          <w:rFonts w:ascii="Traditional Arabic" w:eastAsia="Sakkal Majalla" w:hAnsi="Traditional Arabic" w:cs="Traditional Arabic" w:hint="cs"/>
          <w:sz w:val="30"/>
          <w:szCs w:val="30"/>
          <w:rtl/>
        </w:rPr>
        <w:t xml:space="preserve">بناء </w:t>
      </w:r>
      <w:r w:rsidRPr="00B65701">
        <w:rPr>
          <w:rFonts w:ascii="Traditional Arabic" w:eastAsia="Sakkal Majalla" w:hAnsi="Traditional Arabic" w:cs="Traditional Arabic"/>
          <w:sz w:val="30"/>
          <w:szCs w:val="30"/>
          <w:rtl/>
        </w:rPr>
        <w:t>أربع ناقلات نفط خام</w:t>
      </w:r>
      <w:r w:rsidR="007E7ECF">
        <w:rPr>
          <w:rFonts w:ascii="Traditional Arabic" w:eastAsia="Sakkal Majalla" w:hAnsi="Traditional Arabic" w:cs="Traditional Arabic" w:hint="cs"/>
          <w:sz w:val="30"/>
          <w:szCs w:val="30"/>
          <w:rtl/>
        </w:rPr>
        <w:t xml:space="preserve"> جديدة</w:t>
      </w:r>
      <w:r w:rsidRPr="00B65701">
        <w:rPr>
          <w:rFonts w:ascii="Traditional Arabic" w:eastAsia="Sakkal Majalla" w:hAnsi="Traditional Arabic" w:cs="Traditional Arabic"/>
          <w:sz w:val="30"/>
          <w:szCs w:val="30"/>
          <w:rtl/>
        </w:rPr>
        <w:t>. وبالنسبة للسنة المنتهية في 31 ديسمبر 2023 والأشهر التسعة المنتهية في 30 سبتمبر 2024، بلغ</w:t>
      </w:r>
      <w:r w:rsidR="001862A9">
        <w:rPr>
          <w:rFonts w:ascii="Traditional Arabic" w:eastAsia="Sakkal Majalla" w:hAnsi="Traditional Arabic" w:cs="Traditional Arabic" w:hint="cs"/>
          <w:sz w:val="30"/>
          <w:szCs w:val="30"/>
          <w:rtl/>
        </w:rPr>
        <w:t>ت</w:t>
      </w:r>
      <w:r w:rsidR="00DA6A17">
        <w:rPr>
          <w:rFonts w:ascii="Traditional Arabic" w:eastAsia="Sakkal Majalla" w:hAnsi="Traditional Arabic" w:cs="Traditional Arabic" w:hint="cs"/>
          <w:sz w:val="30"/>
          <w:szCs w:val="30"/>
          <w:rtl/>
        </w:rPr>
        <w:t xml:space="preserve"> </w:t>
      </w:r>
      <w:r w:rsidRPr="00B65701">
        <w:rPr>
          <w:rFonts w:ascii="Traditional Arabic" w:eastAsia="Sakkal Majalla" w:hAnsi="Traditional Arabic" w:cs="Traditional Arabic"/>
          <w:sz w:val="30"/>
          <w:szCs w:val="30"/>
          <w:rtl/>
        </w:rPr>
        <w:t>إيرادات ال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الخام </w:t>
      </w:r>
      <w:r w:rsidR="0047700D">
        <w:rPr>
          <w:rFonts w:ascii="Traditional Arabic" w:eastAsia="Sakkal Majalla" w:hAnsi="Traditional Arabic" w:cs="Traditional Arabic" w:hint="cs"/>
          <w:sz w:val="30"/>
          <w:szCs w:val="30"/>
          <w:rtl/>
        </w:rPr>
        <w:t>118.6</w:t>
      </w:r>
      <w:r w:rsidRPr="00B65701">
        <w:rPr>
          <w:rFonts w:ascii="Traditional Arabic" w:eastAsia="Sakkal Majalla" w:hAnsi="Traditional Arabic" w:cs="Traditional Arabic"/>
          <w:sz w:val="30"/>
          <w:szCs w:val="30"/>
          <w:rtl/>
        </w:rPr>
        <w:t xml:space="preserve"> مليون ريال عماني (</w:t>
      </w:r>
      <w:r w:rsidR="0047700D">
        <w:rPr>
          <w:rFonts w:ascii="Traditional Arabic" w:eastAsia="Sakkal Majalla" w:hAnsi="Traditional Arabic" w:cs="Traditional Arabic" w:hint="cs"/>
          <w:sz w:val="30"/>
          <w:szCs w:val="30"/>
          <w:rtl/>
        </w:rPr>
        <w:t>308.1</w:t>
      </w:r>
      <w:r w:rsidRPr="00B65701">
        <w:rPr>
          <w:rFonts w:ascii="Traditional Arabic" w:eastAsia="Sakkal Majalla" w:hAnsi="Traditional Arabic" w:cs="Traditional Arabic"/>
          <w:sz w:val="30"/>
          <w:szCs w:val="30"/>
          <w:rtl/>
        </w:rPr>
        <w:t xml:space="preserve"> مليون دولار أمريكي) و 74.4 مليون ريال عماني (193.</w:t>
      </w:r>
      <w:r w:rsidR="006D08BF">
        <w:rPr>
          <w:rFonts w:ascii="Traditional Arabic" w:eastAsia="Sakkal Majalla" w:hAnsi="Traditional Arabic" w:cs="Traditional Arabic" w:hint="cs"/>
          <w:sz w:val="30"/>
          <w:szCs w:val="30"/>
          <w:rtl/>
        </w:rPr>
        <w:t>1</w:t>
      </w:r>
      <w:r w:rsidR="006D08BF"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مليون دولار أمريكي)، على التوالي (ما يمثل </w:t>
      </w:r>
      <w:r w:rsidR="00AC7586">
        <w:rPr>
          <w:rFonts w:ascii="Traditional Arabic" w:eastAsia="Sakkal Majalla" w:hAnsi="Traditional Arabic" w:cs="Traditional Arabic" w:hint="cs"/>
          <w:sz w:val="30"/>
          <w:szCs w:val="30"/>
          <w:rtl/>
        </w:rPr>
        <w:t>32.6</w:t>
      </w:r>
      <w:r w:rsidRPr="00B65701">
        <w:rPr>
          <w:rFonts w:ascii="Traditional Arabic" w:eastAsia="Sakkal Majalla" w:hAnsi="Traditional Arabic" w:cs="Traditional Arabic"/>
          <w:sz w:val="30"/>
          <w:szCs w:val="30"/>
          <w:rtl/>
        </w:rPr>
        <w:t xml:space="preserve"> في المائة و 27.</w:t>
      </w:r>
      <w:r w:rsidR="00AC7586">
        <w:rPr>
          <w:rFonts w:ascii="Traditional Arabic" w:eastAsia="Sakkal Majalla" w:hAnsi="Traditional Arabic" w:cs="Traditional Arabic" w:hint="cs"/>
          <w:sz w:val="30"/>
          <w:szCs w:val="30"/>
          <w:rtl/>
        </w:rPr>
        <w:t>1</w:t>
      </w:r>
      <w:r w:rsidR="00AC7586"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في المائة، على التوالي، من إيرادات الشركة). وبالنسبة للسنة المنتهية في 31 ديسمبر 2023 والأشهر التسعة المنتهية في 30 سبتمبر 2024، بلغت إيرادات تأجير سفن </w:t>
      </w:r>
      <w:r w:rsidR="008D311A">
        <w:rPr>
          <w:rFonts w:ascii="Traditional Arabic" w:eastAsia="Sakkal Majalla" w:hAnsi="Traditional Arabic" w:cs="Traditional Arabic" w:hint="cs"/>
          <w:sz w:val="30"/>
          <w:szCs w:val="30"/>
          <w:rtl/>
        </w:rPr>
        <w:t>نقل</w:t>
      </w:r>
      <w:r w:rsidRPr="00B65701">
        <w:rPr>
          <w:rFonts w:ascii="Traditional Arabic" w:eastAsia="Sakkal Majalla" w:hAnsi="Traditional Arabic" w:cs="Traditional Arabic"/>
          <w:sz w:val="30"/>
          <w:szCs w:val="30"/>
          <w:rtl/>
        </w:rPr>
        <w:t xml:space="preserve"> النفط الخام </w:t>
      </w:r>
      <w:r w:rsidR="00B800E9">
        <w:rPr>
          <w:rFonts w:ascii="Traditional Arabic" w:eastAsia="Sakkal Majalla" w:hAnsi="Traditional Arabic" w:cs="Traditional Arabic" w:hint="cs"/>
          <w:sz w:val="30"/>
          <w:szCs w:val="30"/>
          <w:rtl/>
        </w:rPr>
        <w:t>93.8</w:t>
      </w:r>
      <w:r w:rsidRPr="00B65701">
        <w:rPr>
          <w:rFonts w:ascii="Traditional Arabic" w:eastAsia="Sakkal Majalla" w:hAnsi="Traditional Arabic" w:cs="Traditional Arabic"/>
          <w:sz w:val="30"/>
          <w:szCs w:val="30"/>
          <w:rtl/>
        </w:rPr>
        <w:t xml:space="preserve"> مليون ريال عماني (</w:t>
      </w:r>
      <w:r w:rsidR="00B800E9">
        <w:rPr>
          <w:rFonts w:ascii="Traditional Arabic" w:eastAsia="Sakkal Majalla" w:hAnsi="Traditional Arabic" w:cs="Traditional Arabic" w:hint="cs"/>
          <w:sz w:val="30"/>
          <w:szCs w:val="30"/>
          <w:rtl/>
        </w:rPr>
        <w:t>243.7</w:t>
      </w:r>
      <w:r w:rsidRPr="00B65701">
        <w:rPr>
          <w:rFonts w:ascii="Traditional Arabic" w:eastAsia="Sakkal Majalla" w:hAnsi="Traditional Arabic" w:cs="Traditional Arabic"/>
          <w:sz w:val="30"/>
          <w:szCs w:val="30"/>
          <w:rtl/>
        </w:rPr>
        <w:t xml:space="preserve"> مليون دولار أمريكي) و 65.9 مليون ريال عماني (171.2 مليون دولار أمريكي)، على التوالي</w:t>
      </w:r>
      <w:r w:rsidRPr="00B65701">
        <w:rPr>
          <w:rFonts w:ascii="Traditional Arabic" w:eastAsia="Sakkal Majalla" w:hAnsi="Traditional Arabic" w:cs="Traditional Arabic"/>
          <w:sz w:val="30"/>
          <w:szCs w:val="30"/>
        </w:rPr>
        <w:t>.</w:t>
      </w:r>
    </w:p>
    <w:p w14:paraId="078075F8"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p>
    <w:p w14:paraId="663A65FC" w14:textId="77777777" w:rsidR="00B65701" w:rsidRDefault="00B65701" w:rsidP="00D925C8">
      <w:pPr>
        <w:widowControl w:val="0"/>
        <w:bidi/>
        <w:ind w:left="429" w:hanging="429"/>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Pr>
        <w:t>•</w:t>
      </w:r>
      <w:r w:rsidRPr="00B65701">
        <w:rPr>
          <w:rFonts w:ascii="Traditional Arabic" w:eastAsia="Sakkal Majalla" w:hAnsi="Traditional Arabic" w:cs="Traditional Arabic"/>
          <w:sz w:val="30"/>
          <w:szCs w:val="30"/>
        </w:rPr>
        <w:tab/>
      </w:r>
      <w:r w:rsidR="00167760">
        <w:rPr>
          <w:rFonts w:ascii="Traditional Arabic" w:eastAsia="Sakkal Majalla" w:hAnsi="Traditional Arabic" w:cs="Traditional Arabic"/>
          <w:b/>
          <w:bCs/>
          <w:sz w:val="30"/>
          <w:szCs w:val="30"/>
          <w:rtl/>
        </w:rPr>
        <w:t>نقل</w:t>
      </w:r>
      <w:r w:rsidRPr="00272B36">
        <w:rPr>
          <w:rFonts w:ascii="Traditional Arabic" w:eastAsia="Sakkal Majalla" w:hAnsi="Traditional Arabic" w:cs="Traditional Arabic"/>
          <w:b/>
          <w:bCs/>
          <w:sz w:val="30"/>
          <w:szCs w:val="30"/>
          <w:rtl/>
        </w:rPr>
        <w:t xml:space="preserve"> المنتجات:</w:t>
      </w:r>
      <w:r w:rsidRPr="00B65701">
        <w:rPr>
          <w:rFonts w:ascii="Traditional Arabic" w:eastAsia="Sakkal Majalla" w:hAnsi="Traditional Arabic" w:cs="Traditional Arabic"/>
          <w:sz w:val="30"/>
          <w:szCs w:val="30"/>
          <w:rtl/>
        </w:rPr>
        <w:t xml:space="preserve"> من خلال قطاع </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المنتجات، تدير الشركة </w:t>
      </w:r>
      <w:r w:rsidR="00CA015D" w:rsidRPr="00B65701">
        <w:rPr>
          <w:rFonts w:ascii="Traditional Arabic" w:eastAsia="Sakkal Majalla" w:hAnsi="Traditional Arabic" w:cs="Traditional Arabic"/>
          <w:sz w:val="30"/>
          <w:szCs w:val="30"/>
          <w:rtl/>
        </w:rPr>
        <w:t>1</w:t>
      </w:r>
      <w:r w:rsidR="00CA015D">
        <w:rPr>
          <w:rFonts w:ascii="Traditional Arabic" w:eastAsia="Sakkal Majalla" w:hAnsi="Traditional Arabic" w:cs="Traditional Arabic" w:hint="cs"/>
          <w:sz w:val="30"/>
          <w:szCs w:val="30"/>
          <w:rtl/>
        </w:rPr>
        <w:t>3</w:t>
      </w:r>
      <w:r w:rsidR="00CA015D"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ناقلة مملوكة بالكامل، واثنتين مملوكتين </w:t>
      </w:r>
      <w:r w:rsidR="00E65E26">
        <w:rPr>
          <w:rFonts w:ascii="Traditional Arabic" w:hAnsi="Traditional Arabic" w:cs="Traditional Arabic" w:hint="cs"/>
          <w:sz w:val="30"/>
          <w:szCs w:val="30"/>
          <w:rtl/>
        </w:rPr>
        <w:t>بشكل مشترك</w:t>
      </w:r>
      <w:r w:rsidRPr="00B65701">
        <w:rPr>
          <w:rFonts w:ascii="Traditional Arabic" w:eastAsia="Sakkal Majalla" w:hAnsi="Traditional Arabic" w:cs="Traditional Arabic"/>
          <w:sz w:val="30"/>
          <w:szCs w:val="30"/>
          <w:rtl/>
        </w:rPr>
        <w:t>، و 19 ناقلة منتجات مستأجرة تنقل بضائع سائلة، بما في ذلك المنتجات البترولية والكيماوية المكررة. وبالنسبة للسنة المنتهية في 31 ديسمبر 2023 والأشهر التسعة المنتهية في 30 سبتمبر 2024، بلغ</w:t>
      </w:r>
      <w:r w:rsidR="009A7EAE">
        <w:rPr>
          <w:rFonts w:ascii="Traditional Arabic" w:eastAsia="Sakkal Majalla" w:hAnsi="Traditional Arabic" w:cs="Traditional Arabic" w:hint="cs"/>
          <w:sz w:val="30"/>
          <w:szCs w:val="30"/>
          <w:rtl/>
        </w:rPr>
        <w:t>ت</w:t>
      </w:r>
      <w:r w:rsidR="00167760">
        <w:rPr>
          <w:rFonts w:ascii="Traditional Arabic" w:eastAsia="Sakkal Majalla" w:hAnsi="Traditional Arabic" w:cs="Traditional Arabic" w:hint="cs"/>
          <w:sz w:val="30"/>
          <w:szCs w:val="30"/>
          <w:rtl/>
        </w:rPr>
        <w:t xml:space="preserve"> </w:t>
      </w:r>
      <w:r w:rsidRPr="00B65701">
        <w:rPr>
          <w:rFonts w:ascii="Traditional Arabic" w:eastAsia="Sakkal Majalla" w:hAnsi="Traditional Arabic" w:cs="Traditional Arabic"/>
          <w:sz w:val="30"/>
          <w:szCs w:val="30"/>
          <w:rtl/>
        </w:rPr>
        <w:t xml:space="preserve">إيرادات </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المنتجات </w:t>
      </w:r>
      <w:r w:rsidR="009842B8">
        <w:rPr>
          <w:rFonts w:ascii="Traditional Arabic" w:eastAsia="Sakkal Majalla" w:hAnsi="Traditional Arabic" w:cs="Traditional Arabic" w:hint="cs"/>
          <w:sz w:val="30"/>
          <w:szCs w:val="30"/>
          <w:rtl/>
        </w:rPr>
        <w:t>83.0</w:t>
      </w:r>
      <w:r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lastRenderedPageBreak/>
        <w:t>مليون ريال عماني (</w:t>
      </w:r>
      <w:r w:rsidR="009842B8">
        <w:rPr>
          <w:rFonts w:ascii="Traditional Arabic" w:eastAsia="Sakkal Majalla" w:hAnsi="Traditional Arabic" w:cs="Traditional Arabic" w:hint="cs"/>
          <w:sz w:val="30"/>
          <w:szCs w:val="30"/>
          <w:rtl/>
        </w:rPr>
        <w:t>215.5</w:t>
      </w:r>
      <w:r w:rsidRPr="00B65701">
        <w:rPr>
          <w:rFonts w:ascii="Traditional Arabic" w:eastAsia="Sakkal Majalla" w:hAnsi="Traditional Arabic" w:cs="Traditional Arabic"/>
          <w:sz w:val="30"/>
          <w:szCs w:val="30"/>
          <w:rtl/>
        </w:rPr>
        <w:t xml:space="preserve"> مليون دولار أمريكي)  و </w:t>
      </w:r>
      <w:r w:rsidR="009842B8">
        <w:rPr>
          <w:rFonts w:ascii="Traditional Arabic" w:eastAsia="Sakkal Majalla" w:hAnsi="Traditional Arabic" w:cs="Traditional Arabic" w:hint="cs"/>
          <w:sz w:val="30"/>
          <w:szCs w:val="30"/>
          <w:rtl/>
        </w:rPr>
        <w:t>74.2</w:t>
      </w:r>
      <w:r w:rsidRPr="00B65701">
        <w:rPr>
          <w:rFonts w:ascii="Traditional Arabic" w:eastAsia="Sakkal Majalla" w:hAnsi="Traditional Arabic" w:cs="Traditional Arabic"/>
          <w:sz w:val="30"/>
          <w:szCs w:val="30"/>
          <w:rtl/>
        </w:rPr>
        <w:t xml:space="preserve"> مليون ريال عماني (</w:t>
      </w:r>
      <w:r w:rsidR="003703B9">
        <w:rPr>
          <w:rFonts w:ascii="Traditional Arabic" w:eastAsia="Sakkal Majalla" w:hAnsi="Traditional Arabic" w:cs="Traditional Arabic" w:hint="cs"/>
          <w:sz w:val="30"/>
          <w:szCs w:val="30"/>
          <w:rtl/>
        </w:rPr>
        <w:t>192.8</w:t>
      </w:r>
      <w:r w:rsidRPr="00B65701">
        <w:rPr>
          <w:rFonts w:ascii="Traditional Arabic" w:eastAsia="Sakkal Majalla" w:hAnsi="Traditional Arabic" w:cs="Traditional Arabic"/>
          <w:sz w:val="30"/>
          <w:szCs w:val="30"/>
          <w:rtl/>
        </w:rPr>
        <w:t xml:space="preserve"> مليون دولار أمريكي)، على التوالي (ما يمثل 22.</w:t>
      </w:r>
      <w:r w:rsidR="00A25EC0">
        <w:rPr>
          <w:rFonts w:ascii="Traditional Arabic" w:eastAsia="Sakkal Majalla" w:hAnsi="Traditional Arabic" w:cs="Traditional Arabic" w:hint="cs"/>
          <w:sz w:val="30"/>
          <w:szCs w:val="30"/>
          <w:rtl/>
        </w:rPr>
        <w:t>8</w:t>
      </w:r>
      <w:r w:rsidR="00A25EC0"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في المائة و </w:t>
      </w:r>
      <w:r w:rsidR="00B74215">
        <w:rPr>
          <w:rFonts w:ascii="Traditional Arabic" w:eastAsia="Sakkal Majalla" w:hAnsi="Traditional Arabic" w:cs="Traditional Arabic" w:hint="cs"/>
          <w:sz w:val="30"/>
          <w:szCs w:val="30"/>
          <w:rtl/>
        </w:rPr>
        <w:t>27.0</w:t>
      </w:r>
      <w:r w:rsidRPr="00B65701">
        <w:rPr>
          <w:rFonts w:ascii="Traditional Arabic" w:eastAsia="Sakkal Majalla" w:hAnsi="Traditional Arabic" w:cs="Traditional Arabic"/>
          <w:sz w:val="30"/>
          <w:szCs w:val="30"/>
          <w:rtl/>
        </w:rPr>
        <w:t xml:space="preserve"> في المائة، على التوالي، من إيرادات الشركة). وبالنسبة للسنة المنتهية في 31 ديسمبر 2023 والأشهر التسعة المنتهية في 30 سبتمبر 2024، بلغت إيرادات مكافئ تأجير السفن المجهزة بالمدة 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المنتجات </w:t>
      </w:r>
      <w:r w:rsidR="00B74215">
        <w:rPr>
          <w:rFonts w:ascii="Traditional Arabic" w:eastAsia="Sakkal Majalla" w:hAnsi="Traditional Arabic" w:cs="Traditional Arabic" w:hint="cs"/>
          <w:sz w:val="30"/>
          <w:szCs w:val="30"/>
          <w:rtl/>
        </w:rPr>
        <w:t>77.0</w:t>
      </w:r>
      <w:r w:rsidRPr="00B65701">
        <w:rPr>
          <w:rFonts w:ascii="Traditional Arabic" w:eastAsia="Sakkal Majalla" w:hAnsi="Traditional Arabic" w:cs="Traditional Arabic"/>
          <w:sz w:val="30"/>
          <w:szCs w:val="30"/>
          <w:rtl/>
        </w:rPr>
        <w:t xml:space="preserve"> مليون ريال عماني (</w:t>
      </w:r>
      <w:r w:rsidR="00B74215">
        <w:rPr>
          <w:rFonts w:ascii="Traditional Arabic" w:eastAsia="Sakkal Majalla" w:hAnsi="Traditional Arabic" w:cs="Traditional Arabic" w:hint="cs"/>
          <w:sz w:val="30"/>
          <w:szCs w:val="30"/>
          <w:rtl/>
        </w:rPr>
        <w:t>199.9</w:t>
      </w:r>
      <w:r w:rsidRPr="00B65701">
        <w:rPr>
          <w:rFonts w:ascii="Traditional Arabic" w:eastAsia="Sakkal Majalla" w:hAnsi="Traditional Arabic" w:cs="Traditional Arabic"/>
          <w:sz w:val="30"/>
          <w:szCs w:val="30"/>
          <w:rtl/>
        </w:rPr>
        <w:t xml:space="preserve"> مليون دولار أمريكي) و 73.6 مليون ريال عماني (191.0 مليون دولار أمريكي)، على التوالي</w:t>
      </w:r>
      <w:r w:rsidRPr="00B65701">
        <w:rPr>
          <w:rFonts w:ascii="Traditional Arabic" w:eastAsia="Sakkal Majalla" w:hAnsi="Traditional Arabic" w:cs="Traditional Arabic"/>
          <w:sz w:val="30"/>
          <w:szCs w:val="30"/>
        </w:rPr>
        <w:t>.</w:t>
      </w:r>
    </w:p>
    <w:p w14:paraId="69676BE8"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p>
    <w:p w14:paraId="3FA38AAF" w14:textId="77777777" w:rsidR="00B65701" w:rsidRDefault="00B65701" w:rsidP="00D925C8">
      <w:pPr>
        <w:widowControl w:val="0"/>
        <w:bidi/>
        <w:ind w:left="429" w:hanging="429"/>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Pr>
        <w:t>•</w:t>
      </w:r>
      <w:r w:rsidRPr="00B65701">
        <w:rPr>
          <w:rFonts w:ascii="Traditional Arabic" w:eastAsia="Sakkal Majalla" w:hAnsi="Traditional Arabic" w:cs="Traditional Arabic"/>
          <w:sz w:val="30"/>
          <w:szCs w:val="30"/>
        </w:rPr>
        <w:tab/>
      </w:r>
      <w:r w:rsidR="00167760">
        <w:rPr>
          <w:rFonts w:ascii="Traditional Arabic" w:eastAsia="Sakkal Majalla" w:hAnsi="Traditional Arabic" w:cs="Traditional Arabic"/>
          <w:b/>
          <w:bCs/>
          <w:sz w:val="30"/>
          <w:szCs w:val="30"/>
          <w:rtl/>
        </w:rPr>
        <w:t>نقل</w:t>
      </w:r>
      <w:r w:rsidRPr="00272B36">
        <w:rPr>
          <w:rFonts w:ascii="Traditional Arabic" w:eastAsia="Sakkal Majalla" w:hAnsi="Traditional Arabic" w:cs="Traditional Arabic"/>
          <w:b/>
          <w:bCs/>
          <w:sz w:val="30"/>
          <w:szCs w:val="30"/>
          <w:rtl/>
        </w:rPr>
        <w:t xml:space="preserve"> البضائع السائبة الجافة:</w:t>
      </w:r>
      <w:r w:rsidRPr="00B65701">
        <w:rPr>
          <w:rFonts w:ascii="Traditional Arabic" w:eastAsia="Sakkal Majalla" w:hAnsi="Traditional Arabic" w:cs="Traditional Arabic"/>
          <w:sz w:val="30"/>
          <w:szCs w:val="30"/>
          <w:rtl/>
        </w:rPr>
        <w:t xml:space="preserve"> من خلال قطاع </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البضائع السائبة الجافة، تدير الشركة أربع سفن ناقلات خام عملاقة مملوكة بالكامل، </w:t>
      </w:r>
      <w:r w:rsidR="00477DA4">
        <w:rPr>
          <w:rFonts w:ascii="Traditional Arabic" w:eastAsia="Sakkal Majalla" w:hAnsi="Traditional Arabic" w:cs="Traditional Arabic" w:hint="cs"/>
          <w:sz w:val="30"/>
          <w:szCs w:val="30"/>
          <w:rtl/>
        </w:rPr>
        <w:t>وسبع</w:t>
      </w:r>
      <w:r w:rsidR="00477DA4"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سفن كبيرة (ألتراماكس) مملوكة بالكامل، </w:t>
      </w:r>
      <w:r w:rsidR="00244B31">
        <w:rPr>
          <w:rFonts w:ascii="Traditional Arabic" w:eastAsia="Sakkal Majalla" w:hAnsi="Traditional Arabic" w:cs="Traditional Arabic" w:hint="cs"/>
          <w:sz w:val="30"/>
          <w:szCs w:val="30"/>
          <w:rtl/>
        </w:rPr>
        <w:t xml:space="preserve">وسفينة واحدة </w:t>
      </w:r>
      <w:r w:rsidR="00195B0F">
        <w:rPr>
          <w:rFonts w:ascii="Traditional Arabic" w:eastAsia="Sakkal Majalla" w:hAnsi="Traditional Arabic" w:cs="Traditional Arabic" w:hint="cs"/>
          <w:sz w:val="30"/>
          <w:szCs w:val="30"/>
          <w:rtl/>
        </w:rPr>
        <w:t>من</w:t>
      </w:r>
      <w:r w:rsidR="00195B0F" w:rsidRPr="00B65701">
        <w:rPr>
          <w:rFonts w:ascii="Traditional Arabic" w:eastAsia="Sakkal Majalla" w:hAnsi="Traditional Arabic" w:cs="Traditional Arabic"/>
          <w:sz w:val="30"/>
          <w:szCs w:val="30"/>
          <w:rtl/>
        </w:rPr>
        <w:t xml:space="preserve"> </w:t>
      </w:r>
      <w:r w:rsidR="00195B0F">
        <w:rPr>
          <w:rFonts w:ascii="Traditional Arabic" w:eastAsia="Sakkal Majalla" w:hAnsi="Traditional Arabic" w:cs="Traditional Arabic" w:hint="cs"/>
          <w:sz w:val="30"/>
          <w:szCs w:val="30"/>
          <w:rtl/>
        </w:rPr>
        <w:t>ال</w:t>
      </w:r>
      <w:r w:rsidRPr="00B65701">
        <w:rPr>
          <w:rFonts w:ascii="Traditional Arabic" w:eastAsia="Sakkal Majalla" w:hAnsi="Traditional Arabic" w:cs="Traditional Arabic"/>
          <w:sz w:val="30"/>
          <w:szCs w:val="30"/>
          <w:rtl/>
        </w:rPr>
        <w:t xml:space="preserve">سفن </w:t>
      </w:r>
      <w:r w:rsidR="009E1E36">
        <w:rPr>
          <w:rFonts w:ascii="Traditional Arabic" w:eastAsia="Sakkal Majalla" w:hAnsi="Traditional Arabic" w:cs="Traditional Arabic" w:hint="cs"/>
          <w:sz w:val="30"/>
          <w:szCs w:val="30"/>
          <w:rtl/>
        </w:rPr>
        <w:t>ال</w:t>
      </w:r>
      <w:r w:rsidRPr="00B65701">
        <w:rPr>
          <w:rFonts w:ascii="Traditional Arabic" w:eastAsia="Sakkal Majalla" w:hAnsi="Traditional Arabic" w:cs="Traditional Arabic"/>
          <w:sz w:val="30"/>
          <w:szCs w:val="30"/>
          <w:rtl/>
        </w:rPr>
        <w:t xml:space="preserve">كبيرة (ألتراماكس) </w:t>
      </w:r>
      <w:r w:rsidR="009E1E36">
        <w:rPr>
          <w:rFonts w:ascii="Traditional Arabic" w:eastAsia="Sakkal Majalla" w:hAnsi="Traditional Arabic" w:cs="Traditional Arabic" w:hint="cs"/>
          <w:sz w:val="30"/>
          <w:szCs w:val="30"/>
          <w:rtl/>
        </w:rPr>
        <w:t>ال</w:t>
      </w:r>
      <w:r w:rsidRPr="00B65701">
        <w:rPr>
          <w:rFonts w:ascii="Traditional Arabic" w:eastAsia="Sakkal Majalla" w:hAnsi="Traditional Arabic" w:cs="Traditional Arabic"/>
          <w:sz w:val="30"/>
          <w:szCs w:val="30"/>
          <w:rtl/>
        </w:rPr>
        <w:t xml:space="preserve">مستأجرة، ، وثلاث سفن كبيرة (سوبراماكس) مستأجرة، </w:t>
      </w:r>
      <w:r w:rsidR="00A57A0A" w:rsidRPr="00B65701">
        <w:rPr>
          <w:rFonts w:ascii="Traditional Arabic" w:eastAsia="Sakkal Majalla" w:hAnsi="Traditional Arabic" w:cs="Traditional Arabic"/>
          <w:sz w:val="30"/>
          <w:szCs w:val="30"/>
          <w:rtl/>
        </w:rPr>
        <w:t>و</w:t>
      </w:r>
      <w:r w:rsidR="00A57A0A">
        <w:rPr>
          <w:rFonts w:ascii="Traditional Arabic" w:eastAsia="Sakkal Majalla" w:hAnsi="Traditional Arabic" w:cs="Traditional Arabic" w:hint="cs"/>
          <w:sz w:val="30"/>
          <w:szCs w:val="30"/>
          <w:rtl/>
        </w:rPr>
        <w:t>اثنان من السفن</w:t>
      </w:r>
      <w:r w:rsidR="00A57A0A" w:rsidRPr="00B65701">
        <w:rPr>
          <w:rFonts w:ascii="Traditional Arabic" w:eastAsia="Sakkal Majalla" w:hAnsi="Traditional Arabic" w:cs="Traditional Arabic"/>
          <w:sz w:val="30"/>
          <w:szCs w:val="30"/>
          <w:rtl/>
        </w:rPr>
        <w:t xml:space="preserve"> </w:t>
      </w:r>
      <w:r w:rsidR="00A57A0A">
        <w:rPr>
          <w:rFonts w:ascii="Traditional Arabic" w:eastAsia="Sakkal Majalla" w:hAnsi="Traditional Arabic" w:cs="Traditional Arabic" w:hint="cs"/>
          <w:sz w:val="30"/>
          <w:szCs w:val="30"/>
          <w:rtl/>
        </w:rPr>
        <w:t>ال</w:t>
      </w:r>
      <w:r w:rsidRPr="00B65701">
        <w:rPr>
          <w:rFonts w:ascii="Traditional Arabic" w:eastAsia="Sakkal Majalla" w:hAnsi="Traditional Arabic" w:cs="Traditional Arabic"/>
          <w:sz w:val="30"/>
          <w:szCs w:val="30"/>
          <w:rtl/>
        </w:rPr>
        <w:t>متوسطة مناسبة للموانئ الصغيرة (هانديماكس) مستأجرة</w:t>
      </w:r>
      <w:r w:rsidR="00A57A0A">
        <w:rPr>
          <w:rFonts w:ascii="Traditional Arabic" w:eastAsia="Sakkal Majalla" w:hAnsi="Traditional Arabic" w:cs="Traditional Arabic" w:hint="cs"/>
          <w:sz w:val="30"/>
          <w:szCs w:val="30"/>
          <w:rtl/>
        </w:rPr>
        <w:t xml:space="preserve">، </w:t>
      </w:r>
      <w:r w:rsidR="007F18BA">
        <w:rPr>
          <w:rFonts w:ascii="Traditional Arabic" w:eastAsia="Sakkal Majalla" w:hAnsi="Traditional Arabic" w:cs="Traditional Arabic" w:hint="cs"/>
          <w:sz w:val="30"/>
          <w:szCs w:val="30"/>
          <w:rtl/>
        </w:rPr>
        <w:t>وسفينة</w:t>
      </w:r>
      <w:r w:rsidR="00A57A0A" w:rsidRPr="00B65701">
        <w:rPr>
          <w:rFonts w:ascii="Traditional Arabic" w:eastAsia="Sakkal Majalla" w:hAnsi="Traditional Arabic" w:cs="Traditional Arabic"/>
          <w:sz w:val="30"/>
          <w:szCs w:val="30"/>
          <w:rtl/>
        </w:rPr>
        <w:t xml:space="preserve"> مستأجرة (كمزارماكس) بأقصى حجم مناسب لميناء كمزار</w:t>
      </w:r>
      <w:r w:rsidR="00A57A0A">
        <w:rPr>
          <w:rFonts w:ascii="Traditional Arabic" w:eastAsia="Sakkal Majalla" w:hAnsi="Traditional Arabic" w:cs="Traditional Arabic" w:hint="cs"/>
          <w:sz w:val="30"/>
          <w:szCs w:val="30"/>
          <w:rtl/>
        </w:rPr>
        <w:t xml:space="preserve"> </w:t>
      </w:r>
      <w:r w:rsidRPr="00B65701">
        <w:rPr>
          <w:rFonts w:ascii="Traditional Arabic" w:eastAsia="Sakkal Majalla" w:hAnsi="Traditional Arabic" w:cs="Traditional Arabic"/>
          <w:sz w:val="30"/>
          <w:szCs w:val="30"/>
          <w:rtl/>
        </w:rPr>
        <w:t>تنقل مواد خام ومنتجات مكررة وسلع جاهزة للاستهلاك أو البيع بموجب عقود طويلة الأجل مع شركات إنتاج المعادن. وبالنسبة للسنة المنتهية في 31 ديسمبر 2023 والأشهر التسعة المنتهية في 30 سبتمبر 2024، بلغ</w:t>
      </w:r>
      <w:r w:rsidR="00DC5507">
        <w:rPr>
          <w:rFonts w:ascii="Traditional Arabic" w:eastAsia="Sakkal Majalla" w:hAnsi="Traditional Arabic" w:cs="Traditional Arabic" w:hint="cs"/>
          <w:sz w:val="30"/>
          <w:szCs w:val="30"/>
          <w:rtl/>
        </w:rPr>
        <w:t xml:space="preserve">ت </w:t>
      </w:r>
      <w:r w:rsidRPr="00B65701">
        <w:rPr>
          <w:rFonts w:ascii="Traditional Arabic" w:eastAsia="Sakkal Majalla" w:hAnsi="Traditional Arabic" w:cs="Traditional Arabic"/>
          <w:sz w:val="30"/>
          <w:szCs w:val="30"/>
          <w:rtl/>
        </w:rPr>
        <w:t xml:space="preserve">إيرادات </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البضائع السائبة الجافة 64.8 مليون ريال عماني (168.3 مليون دولار أمريكي) و </w:t>
      </w:r>
      <w:r w:rsidR="007230A3">
        <w:rPr>
          <w:rFonts w:ascii="Traditional Arabic" w:eastAsia="Sakkal Majalla" w:hAnsi="Traditional Arabic" w:cs="Traditional Arabic" w:hint="cs"/>
          <w:sz w:val="30"/>
          <w:szCs w:val="30"/>
          <w:rtl/>
        </w:rPr>
        <w:t>44.9</w:t>
      </w:r>
      <w:r w:rsidRPr="00B65701">
        <w:rPr>
          <w:rFonts w:ascii="Traditional Arabic" w:eastAsia="Sakkal Majalla" w:hAnsi="Traditional Arabic" w:cs="Traditional Arabic"/>
          <w:sz w:val="30"/>
          <w:szCs w:val="30"/>
          <w:rtl/>
        </w:rPr>
        <w:t xml:space="preserve"> مليون ريال عماني (</w:t>
      </w:r>
      <w:r w:rsidR="007230A3">
        <w:rPr>
          <w:rFonts w:ascii="Traditional Arabic" w:eastAsia="Sakkal Majalla" w:hAnsi="Traditional Arabic" w:cs="Traditional Arabic" w:hint="cs"/>
          <w:sz w:val="30"/>
          <w:szCs w:val="30"/>
          <w:rtl/>
        </w:rPr>
        <w:t>116.6</w:t>
      </w:r>
      <w:r w:rsidRPr="00B65701">
        <w:rPr>
          <w:rFonts w:ascii="Traditional Arabic" w:eastAsia="Sakkal Majalla" w:hAnsi="Traditional Arabic" w:cs="Traditional Arabic"/>
          <w:sz w:val="30"/>
          <w:szCs w:val="30"/>
          <w:rtl/>
        </w:rPr>
        <w:t xml:space="preserve"> مليون دولار أمريكي)، على التوالي (ما يمثل </w:t>
      </w:r>
      <w:r w:rsidR="007230A3">
        <w:rPr>
          <w:rFonts w:ascii="Traditional Arabic" w:eastAsia="Sakkal Majalla" w:hAnsi="Traditional Arabic" w:cs="Traditional Arabic" w:hint="cs"/>
          <w:sz w:val="30"/>
          <w:szCs w:val="30"/>
          <w:rtl/>
        </w:rPr>
        <w:t>17.8</w:t>
      </w:r>
      <w:r w:rsidRPr="00B65701">
        <w:rPr>
          <w:rFonts w:ascii="Traditional Arabic" w:eastAsia="Sakkal Majalla" w:hAnsi="Traditional Arabic" w:cs="Traditional Arabic"/>
          <w:sz w:val="30"/>
          <w:szCs w:val="30"/>
          <w:rtl/>
        </w:rPr>
        <w:t xml:space="preserve"> في المائة و </w:t>
      </w:r>
      <w:r w:rsidR="005727EF">
        <w:rPr>
          <w:rFonts w:ascii="Traditional Arabic" w:eastAsia="Sakkal Majalla" w:hAnsi="Traditional Arabic" w:cs="Traditional Arabic" w:hint="cs"/>
          <w:sz w:val="30"/>
          <w:szCs w:val="30"/>
          <w:rtl/>
        </w:rPr>
        <w:t>16.3</w:t>
      </w:r>
      <w:r w:rsidRPr="00B65701">
        <w:rPr>
          <w:rFonts w:ascii="Traditional Arabic" w:eastAsia="Sakkal Majalla" w:hAnsi="Traditional Arabic" w:cs="Traditional Arabic"/>
          <w:sz w:val="30"/>
          <w:szCs w:val="30"/>
          <w:rtl/>
        </w:rPr>
        <w:t xml:space="preserve"> في المائة، على التوالي، من إيرادات الشركة). وبالنسبة للسنة المنتهية في 31 ديسمبر 2023 والأشهر التسعة المنتهية في 30 سبتمبر 2024، بلغت إيرادات مكافئ تأجير السفن المجهزة بالمدة 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البضائع السائبة الجافة 54.2 مليون ريال عماني (140.7 مليون دولار أمريكي) و </w:t>
      </w:r>
      <w:r w:rsidR="005727EF">
        <w:rPr>
          <w:rFonts w:ascii="Traditional Arabic" w:eastAsia="Sakkal Majalla" w:hAnsi="Traditional Arabic" w:cs="Traditional Arabic" w:hint="cs"/>
          <w:sz w:val="30"/>
          <w:szCs w:val="30"/>
          <w:rtl/>
        </w:rPr>
        <w:t>41.1</w:t>
      </w:r>
      <w:r w:rsidRPr="00B65701">
        <w:rPr>
          <w:rFonts w:ascii="Traditional Arabic" w:eastAsia="Sakkal Majalla" w:hAnsi="Traditional Arabic" w:cs="Traditional Arabic"/>
          <w:sz w:val="30"/>
          <w:szCs w:val="30"/>
          <w:rtl/>
        </w:rPr>
        <w:t xml:space="preserve"> مليون ريال عماني (</w:t>
      </w:r>
      <w:r w:rsidR="005727EF">
        <w:rPr>
          <w:rFonts w:ascii="Traditional Arabic" w:eastAsia="Sakkal Majalla" w:hAnsi="Traditional Arabic" w:cs="Traditional Arabic" w:hint="cs"/>
          <w:sz w:val="30"/>
          <w:szCs w:val="30"/>
          <w:rtl/>
        </w:rPr>
        <w:t>106.6</w:t>
      </w:r>
      <w:r w:rsidRPr="00B65701">
        <w:rPr>
          <w:rFonts w:ascii="Traditional Arabic" w:eastAsia="Sakkal Majalla" w:hAnsi="Traditional Arabic" w:cs="Traditional Arabic"/>
          <w:sz w:val="30"/>
          <w:szCs w:val="30"/>
          <w:rtl/>
        </w:rPr>
        <w:t xml:space="preserve"> مليون دولار أمريكي)، على التوالي</w:t>
      </w:r>
      <w:r w:rsidRPr="00B65701">
        <w:rPr>
          <w:rFonts w:ascii="Traditional Arabic" w:eastAsia="Sakkal Majalla" w:hAnsi="Traditional Arabic" w:cs="Traditional Arabic"/>
          <w:sz w:val="30"/>
          <w:szCs w:val="30"/>
        </w:rPr>
        <w:t>.</w:t>
      </w:r>
    </w:p>
    <w:p w14:paraId="000C2888"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p>
    <w:p w14:paraId="6D7B8B6C" w14:textId="77777777" w:rsidR="00B65701" w:rsidRDefault="00B65701" w:rsidP="00D925C8">
      <w:pPr>
        <w:widowControl w:val="0"/>
        <w:bidi/>
        <w:ind w:left="429" w:hanging="429"/>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Pr>
        <w:t>•</w:t>
      </w:r>
      <w:r w:rsidRPr="00B65701">
        <w:rPr>
          <w:rFonts w:ascii="Traditional Arabic" w:eastAsia="Sakkal Majalla" w:hAnsi="Traditional Arabic" w:cs="Traditional Arabic"/>
          <w:sz w:val="30"/>
          <w:szCs w:val="30"/>
        </w:rPr>
        <w:tab/>
      </w:r>
      <w:r w:rsidR="00167760">
        <w:rPr>
          <w:rFonts w:ascii="Traditional Arabic" w:eastAsia="Sakkal Majalla" w:hAnsi="Traditional Arabic" w:cs="Traditional Arabic"/>
          <w:b/>
          <w:bCs/>
          <w:sz w:val="30"/>
          <w:szCs w:val="30"/>
          <w:rtl/>
        </w:rPr>
        <w:t>نقل</w:t>
      </w:r>
      <w:r w:rsidRPr="00272B36">
        <w:rPr>
          <w:rFonts w:ascii="Traditional Arabic" w:eastAsia="Sakkal Majalla" w:hAnsi="Traditional Arabic" w:cs="Traditional Arabic"/>
          <w:b/>
          <w:bCs/>
          <w:sz w:val="30"/>
          <w:szCs w:val="30"/>
          <w:rtl/>
        </w:rPr>
        <w:t xml:space="preserve"> الغاز:</w:t>
      </w:r>
      <w:r w:rsidRPr="00B65701">
        <w:rPr>
          <w:rFonts w:ascii="Traditional Arabic" w:eastAsia="Sakkal Majalla" w:hAnsi="Traditional Arabic" w:cs="Traditional Arabic"/>
          <w:sz w:val="30"/>
          <w:szCs w:val="30"/>
          <w:rtl/>
        </w:rPr>
        <w:t xml:space="preserve"> من خلال قطاع </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الغاز، تدير الشركة خمس ناقلات للغاز الطبيعي المسال مملوكة </w:t>
      </w:r>
      <w:r w:rsidR="00E65E26">
        <w:rPr>
          <w:rFonts w:ascii="Traditional Arabic" w:eastAsia="Sakkal Majalla" w:hAnsi="Traditional Arabic" w:cs="Traditional Arabic"/>
          <w:sz w:val="30"/>
          <w:szCs w:val="30"/>
          <w:rtl/>
        </w:rPr>
        <w:t>بشكل مشترك</w:t>
      </w:r>
      <w:r w:rsidRPr="00B65701">
        <w:rPr>
          <w:rFonts w:ascii="Traditional Arabic" w:eastAsia="Sakkal Majalla" w:hAnsi="Traditional Arabic" w:cs="Traditional Arabic"/>
          <w:sz w:val="30"/>
          <w:szCs w:val="30"/>
          <w:rtl/>
        </w:rPr>
        <w:t xml:space="preserve">، وناقلة واحدة مملوكة بالكامل، وناقلة غاز عملاقة مملوكة </w:t>
      </w:r>
      <w:r w:rsidR="00E65E26">
        <w:rPr>
          <w:rFonts w:ascii="Traditional Arabic" w:eastAsia="Sakkal Majalla" w:hAnsi="Traditional Arabic" w:cs="Traditional Arabic"/>
          <w:sz w:val="30"/>
          <w:szCs w:val="30"/>
          <w:rtl/>
        </w:rPr>
        <w:t>بشكل مشترك</w:t>
      </w:r>
      <w:r w:rsidRPr="00B65701">
        <w:rPr>
          <w:rFonts w:ascii="Traditional Arabic" w:eastAsia="Sakkal Majalla" w:hAnsi="Traditional Arabic" w:cs="Traditional Arabic"/>
          <w:sz w:val="30"/>
          <w:szCs w:val="30"/>
          <w:rtl/>
        </w:rPr>
        <w:t>، وناقلة غاز متوسطة مستأجرة لنقل الغاز الطبيعي المسال والغاز البترولي المسال إلى الأسواق في جميع أنحاء العالم. وقد طلبت الشركة أيضًا ناقلتين للغاز الطبيعي المسال؛ مصممتين بميزات صديقة للبيئة. وبالنسبة للسنة المنتهية في 31 ديسمبر 2023 والأشهر التسعة المنتهية في 30 سبتمبر 2024، بلغ</w:t>
      </w:r>
      <w:r w:rsidR="00C93938">
        <w:rPr>
          <w:rFonts w:ascii="Traditional Arabic" w:eastAsia="Sakkal Majalla" w:hAnsi="Traditional Arabic" w:cs="Traditional Arabic" w:hint="cs"/>
          <w:sz w:val="30"/>
          <w:szCs w:val="30"/>
          <w:rtl/>
        </w:rPr>
        <w:t xml:space="preserve">ت </w:t>
      </w:r>
      <w:r w:rsidRPr="00B65701">
        <w:rPr>
          <w:rFonts w:ascii="Traditional Arabic" w:eastAsia="Sakkal Majalla" w:hAnsi="Traditional Arabic" w:cs="Traditional Arabic"/>
          <w:sz w:val="30"/>
          <w:szCs w:val="30"/>
          <w:rtl/>
        </w:rPr>
        <w:t xml:space="preserve">إيرادات </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الغاز </w:t>
      </w:r>
      <w:r w:rsidR="00C93938">
        <w:rPr>
          <w:rFonts w:ascii="Traditional Arabic" w:eastAsia="Sakkal Majalla" w:hAnsi="Traditional Arabic" w:cs="Traditional Arabic" w:hint="cs"/>
          <w:sz w:val="30"/>
          <w:szCs w:val="30"/>
          <w:rtl/>
        </w:rPr>
        <w:t>51.6</w:t>
      </w:r>
      <w:r w:rsidRPr="00B65701">
        <w:rPr>
          <w:rFonts w:ascii="Traditional Arabic" w:eastAsia="Sakkal Majalla" w:hAnsi="Traditional Arabic" w:cs="Traditional Arabic"/>
          <w:sz w:val="30"/>
          <w:szCs w:val="30"/>
          <w:rtl/>
        </w:rPr>
        <w:t xml:space="preserve"> مليون ريال عماني (</w:t>
      </w:r>
      <w:r w:rsidR="007076C3">
        <w:rPr>
          <w:rFonts w:ascii="Traditional Arabic" w:eastAsia="Sakkal Majalla" w:hAnsi="Traditional Arabic" w:cs="Traditional Arabic" w:hint="cs"/>
          <w:sz w:val="30"/>
          <w:szCs w:val="30"/>
          <w:rtl/>
        </w:rPr>
        <w:t>134.0</w:t>
      </w:r>
      <w:r w:rsidRPr="00B65701">
        <w:rPr>
          <w:rFonts w:ascii="Traditional Arabic" w:eastAsia="Sakkal Majalla" w:hAnsi="Traditional Arabic" w:cs="Traditional Arabic"/>
          <w:sz w:val="30"/>
          <w:szCs w:val="30"/>
          <w:rtl/>
        </w:rPr>
        <w:t xml:space="preserve"> مليون دولار أمريكي) و 37.5 مليون ريال عماني (97.4 مليون دولار أمريكي)، على التوالي (ما يمثل </w:t>
      </w:r>
      <w:r w:rsidR="007076C3">
        <w:rPr>
          <w:rFonts w:ascii="Traditional Arabic" w:eastAsia="Sakkal Majalla" w:hAnsi="Traditional Arabic" w:cs="Traditional Arabic" w:hint="cs"/>
          <w:sz w:val="30"/>
          <w:szCs w:val="30"/>
          <w:rtl/>
        </w:rPr>
        <w:t>14.2</w:t>
      </w:r>
      <w:r w:rsidRPr="00B65701">
        <w:rPr>
          <w:rFonts w:ascii="Traditional Arabic" w:eastAsia="Sakkal Majalla" w:hAnsi="Traditional Arabic" w:cs="Traditional Arabic"/>
          <w:sz w:val="30"/>
          <w:szCs w:val="30"/>
          <w:rtl/>
        </w:rPr>
        <w:t xml:space="preserve"> في المائة و 13.6 في المائة، على التوالي، من إيرادات الشركة). وبالنسبة للسنة المنتهية في 31 ديسمبر 2023 والأشهر التسعة المنتهية في 30 سبتمبر 2024، بلغت إيرادات مكافئ تأجير السفن 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الغاز </w:t>
      </w:r>
      <w:r w:rsidR="007076C3">
        <w:rPr>
          <w:rFonts w:ascii="Traditional Arabic" w:eastAsia="Sakkal Majalla" w:hAnsi="Traditional Arabic" w:cs="Traditional Arabic" w:hint="cs"/>
          <w:sz w:val="30"/>
          <w:szCs w:val="30"/>
          <w:rtl/>
        </w:rPr>
        <w:t>51.1</w:t>
      </w:r>
      <w:r w:rsidRPr="00B65701">
        <w:rPr>
          <w:rFonts w:ascii="Traditional Arabic" w:eastAsia="Sakkal Majalla" w:hAnsi="Traditional Arabic" w:cs="Traditional Arabic"/>
          <w:sz w:val="30"/>
          <w:szCs w:val="30"/>
          <w:rtl/>
        </w:rPr>
        <w:t xml:space="preserve"> مليون ريال عماني (</w:t>
      </w:r>
      <w:r w:rsidR="007076C3">
        <w:rPr>
          <w:rFonts w:ascii="Traditional Arabic" w:eastAsia="Sakkal Majalla" w:hAnsi="Traditional Arabic" w:cs="Traditional Arabic" w:hint="cs"/>
          <w:sz w:val="30"/>
          <w:szCs w:val="30"/>
          <w:rtl/>
        </w:rPr>
        <w:t>132.7</w:t>
      </w:r>
      <w:r w:rsidRPr="00B65701">
        <w:rPr>
          <w:rFonts w:ascii="Traditional Arabic" w:eastAsia="Sakkal Majalla" w:hAnsi="Traditional Arabic" w:cs="Traditional Arabic"/>
          <w:sz w:val="30"/>
          <w:szCs w:val="30"/>
          <w:rtl/>
        </w:rPr>
        <w:t xml:space="preserve"> مليون دولار أمريكي) و 37.5 مليون ريال عماني (97.5 مليون دولار أمريكي)، على التوالي</w:t>
      </w:r>
      <w:r w:rsidRPr="00B65701">
        <w:rPr>
          <w:rFonts w:ascii="Traditional Arabic" w:eastAsia="Sakkal Majalla" w:hAnsi="Traditional Arabic" w:cs="Traditional Arabic"/>
          <w:sz w:val="30"/>
          <w:szCs w:val="30"/>
        </w:rPr>
        <w:t>.</w:t>
      </w:r>
    </w:p>
    <w:p w14:paraId="37A099E9"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p>
    <w:p w14:paraId="273D4182" w14:textId="77777777" w:rsidR="00B65701" w:rsidRDefault="00B65701" w:rsidP="00D925C8">
      <w:pPr>
        <w:widowControl w:val="0"/>
        <w:bidi/>
        <w:ind w:left="429" w:hanging="429"/>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Pr>
        <w:lastRenderedPageBreak/>
        <w:t>•</w:t>
      </w:r>
      <w:r w:rsidRPr="00B65701">
        <w:rPr>
          <w:rFonts w:ascii="Traditional Arabic" w:eastAsia="Sakkal Majalla" w:hAnsi="Traditional Arabic" w:cs="Traditional Arabic"/>
          <w:sz w:val="30"/>
          <w:szCs w:val="30"/>
        </w:rPr>
        <w:tab/>
      </w:r>
      <w:r w:rsidRPr="00272B36">
        <w:rPr>
          <w:rFonts w:ascii="Traditional Arabic" w:eastAsia="Sakkal Majalla" w:hAnsi="Traditional Arabic" w:cs="Traditional Arabic"/>
          <w:b/>
          <w:bCs/>
          <w:sz w:val="30"/>
          <w:szCs w:val="30"/>
          <w:rtl/>
        </w:rPr>
        <w:t>ال</w:t>
      </w:r>
      <w:r w:rsidR="00167760">
        <w:rPr>
          <w:rFonts w:ascii="Traditional Arabic" w:eastAsia="Sakkal Majalla" w:hAnsi="Traditional Arabic" w:cs="Traditional Arabic"/>
          <w:b/>
          <w:bCs/>
          <w:sz w:val="30"/>
          <w:szCs w:val="30"/>
          <w:rtl/>
        </w:rPr>
        <w:t>نقل</w:t>
      </w:r>
      <w:r w:rsidRPr="00272B36">
        <w:rPr>
          <w:rFonts w:ascii="Traditional Arabic" w:eastAsia="Sakkal Majalla" w:hAnsi="Traditional Arabic" w:cs="Traditional Arabic"/>
          <w:b/>
          <w:bCs/>
          <w:sz w:val="30"/>
          <w:szCs w:val="30"/>
          <w:rtl/>
        </w:rPr>
        <w:t xml:space="preserve"> الملاحي المنتظم:</w:t>
      </w:r>
      <w:r w:rsidRPr="00B65701">
        <w:rPr>
          <w:rFonts w:ascii="Traditional Arabic" w:eastAsia="Sakkal Majalla" w:hAnsi="Traditional Arabic" w:cs="Traditional Arabic"/>
          <w:sz w:val="30"/>
          <w:szCs w:val="30"/>
          <w:rtl/>
        </w:rPr>
        <w:t xml:space="preserve"> من خلال قطاع ال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الملاحي المنتظم، تدير شركة خط أسياد التابعة والمملوكة بالكامل للشركة شبكة من الخطوط البحرية التي تخدمها خمس سفن حاويات. وتؤدي شركة خط أسياد دورًا حاسمًا في ربط الموانئ العمانية بالأسواق العالمية الرئيسية في دول مجلس التعاون الخليجي والصين وجنوب شرق آسيا وخارجها من خلال شبكتها الإقليمية، حيث تقدم حلول نقل الحاويات بين الموانيء الصغيرة والإقليمية والرئيسية الكبيرة إلى مشغلي الخطوط الملاحية الرئيسية وخدمات الخطوط الملاحية التجارية المنتظمة. بالإضافة إلى ذلك، تقدم شركة خط أسياد مجموعة واسعة من الخدمات ذات القيمة المضافة؛ بداية من التخزين والنقل وانتهاءً بخدمات التخليص الجمركي، وكل ذلك ضمن عرض لوجستي متكامل ومرن وموثوق به يستهدف العملاء المحليين على وجه الخصوص. وبالنسبة للسنة المنتهية في 31 ديسمبر 2023 والأشهر التسعة المنتهية في 30 سبتمبر 2024، بلغ</w:t>
      </w:r>
      <w:r w:rsidR="00BB1924">
        <w:rPr>
          <w:rFonts w:ascii="Traditional Arabic" w:eastAsia="Sakkal Majalla" w:hAnsi="Traditional Arabic" w:cs="Traditional Arabic" w:hint="cs"/>
          <w:sz w:val="30"/>
          <w:szCs w:val="30"/>
          <w:rtl/>
        </w:rPr>
        <w:t xml:space="preserve">ت </w:t>
      </w:r>
      <w:r w:rsidRPr="00B65701">
        <w:rPr>
          <w:rFonts w:ascii="Traditional Arabic" w:eastAsia="Sakkal Majalla" w:hAnsi="Traditional Arabic" w:cs="Traditional Arabic"/>
          <w:sz w:val="30"/>
          <w:szCs w:val="30"/>
          <w:rtl/>
        </w:rPr>
        <w:t>إيرادات ال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البحري 44.</w:t>
      </w:r>
      <w:r w:rsidR="00BB1924">
        <w:rPr>
          <w:rFonts w:ascii="Traditional Arabic" w:eastAsia="Sakkal Majalla" w:hAnsi="Traditional Arabic" w:cs="Traditional Arabic" w:hint="cs"/>
          <w:sz w:val="30"/>
          <w:szCs w:val="30"/>
          <w:rtl/>
        </w:rPr>
        <w:t>2</w:t>
      </w:r>
      <w:r w:rsidR="00BB1924"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مليون ريال عماني (</w:t>
      </w:r>
      <w:r w:rsidR="00FA35C6">
        <w:rPr>
          <w:rFonts w:ascii="Traditional Arabic" w:eastAsia="Sakkal Majalla" w:hAnsi="Traditional Arabic" w:cs="Traditional Arabic" w:hint="cs"/>
          <w:sz w:val="30"/>
          <w:szCs w:val="30"/>
          <w:rtl/>
        </w:rPr>
        <w:t>114.9</w:t>
      </w:r>
      <w:r w:rsidRPr="00B65701">
        <w:rPr>
          <w:rFonts w:ascii="Traditional Arabic" w:eastAsia="Sakkal Majalla" w:hAnsi="Traditional Arabic" w:cs="Traditional Arabic"/>
          <w:sz w:val="30"/>
          <w:szCs w:val="30"/>
          <w:rtl/>
        </w:rPr>
        <w:t xml:space="preserve"> مليون دولار أمريكي) و 42.</w:t>
      </w:r>
      <w:r w:rsidR="00FA35C6">
        <w:rPr>
          <w:rFonts w:ascii="Traditional Arabic" w:eastAsia="Sakkal Majalla" w:hAnsi="Traditional Arabic" w:cs="Traditional Arabic" w:hint="cs"/>
          <w:sz w:val="30"/>
          <w:szCs w:val="30"/>
          <w:rtl/>
        </w:rPr>
        <w:t>7</w:t>
      </w:r>
      <w:r w:rsidR="00FA35C6"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مليون ريال عماني (</w:t>
      </w:r>
      <w:r w:rsidR="00FA35C6">
        <w:rPr>
          <w:rFonts w:ascii="Traditional Arabic" w:eastAsia="Sakkal Majalla" w:hAnsi="Traditional Arabic" w:cs="Traditional Arabic" w:hint="cs"/>
          <w:sz w:val="30"/>
          <w:szCs w:val="30"/>
          <w:rtl/>
        </w:rPr>
        <w:t>110.8</w:t>
      </w:r>
      <w:r w:rsidRPr="00B65701">
        <w:rPr>
          <w:rFonts w:ascii="Traditional Arabic" w:eastAsia="Sakkal Majalla" w:hAnsi="Traditional Arabic" w:cs="Traditional Arabic"/>
          <w:sz w:val="30"/>
          <w:szCs w:val="30"/>
          <w:rtl/>
        </w:rPr>
        <w:t xml:space="preserve"> مليون دولار أمريكي)، على التوالي (ما يمثل </w:t>
      </w:r>
      <w:r w:rsidR="007D537D">
        <w:rPr>
          <w:rFonts w:ascii="Traditional Arabic" w:eastAsia="Sakkal Majalla" w:hAnsi="Traditional Arabic" w:cs="Traditional Arabic" w:hint="cs"/>
          <w:sz w:val="30"/>
          <w:szCs w:val="30"/>
          <w:rtl/>
        </w:rPr>
        <w:t>12.2</w:t>
      </w:r>
      <w:r w:rsidRPr="00B65701">
        <w:rPr>
          <w:rFonts w:ascii="Traditional Arabic" w:eastAsia="Sakkal Majalla" w:hAnsi="Traditional Arabic" w:cs="Traditional Arabic"/>
          <w:sz w:val="30"/>
          <w:szCs w:val="30"/>
          <w:rtl/>
        </w:rPr>
        <w:t xml:space="preserve"> في المائة و 15.</w:t>
      </w:r>
      <w:r w:rsidR="007D537D">
        <w:rPr>
          <w:rFonts w:ascii="Traditional Arabic" w:eastAsia="Sakkal Majalla" w:hAnsi="Traditional Arabic" w:cs="Traditional Arabic" w:hint="cs"/>
          <w:sz w:val="30"/>
          <w:szCs w:val="30"/>
          <w:rtl/>
        </w:rPr>
        <w:t>5</w:t>
      </w:r>
      <w:r w:rsidR="007D537D"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في المائة، على التوالي، من إيرادات الشركة). وبالنسبة للسنة المنتهية في 31 ديسمبر 2023 والأشهر التسعة المنتهية في 30 سبتمبر 2024، بلغت إيرادات مكافئ تأجير السفن المجهزة بمدة لل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المنتظم 4.5 مليون ريال عماني (11.7 مليون دولار أمريكي) و </w:t>
      </w:r>
      <w:r w:rsidR="00FA5E66">
        <w:rPr>
          <w:rFonts w:ascii="Traditional Arabic" w:eastAsia="Sakkal Majalla" w:hAnsi="Traditional Arabic" w:cs="Traditional Arabic" w:hint="cs"/>
          <w:sz w:val="30"/>
          <w:szCs w:val="30"/>
          <w:rtl/>
        </w:rPr>
        <w:t>16.9</w:t>
      </w:r>
      <w:r w:rsidRPr="00B65701">
        <w:rPr>
          <w:rFonts w:ascii="Traditional Arabic" w:eastAsia="Sakkal Majalla" w:hAnsi="Traditional Arabic" w:cs="Traditional Arabic"/>
          <w:sz w:val="30"/>
          <w:szCs w:val="30"/>
          <w:rtl/>
        </w:rPr>
        <w:t xml:space="preserve"> مليون ريال عماني (</w:t>
      </w:r>
      <w:r w:rsidR="00FA5E66">
        <w:rPr>
          <w:rFonts w:ascii="Traditional Arabic" w:eastAsia="Sakkal Majalla" w:hAnsi="Traditional Arabic" w:cs="Traditional Arabic" w:hint="cs"/>
          <w:sz w:val="30"/>
          <w:szCs w:val="30"/>
          <w:rtl/>
        </w:rPr>
        <w:t>43.8</w:t>
      </w:r>
      <w:r w:rsidRPr="00B65701">
        <w:rPr>
          <w:rFonts w:ascii="Traditional Arabic" w:eastAsia="Sakkal Majalla" w:hAnsi="Traditional Arabic" w:cs="Traditional Arabic"/>
          <w:sz w:val="30"/>
          <w:szCs w:val="30"/>
          <w:rtl/>
        </w:rPr>
        <w:t xml:space="preserve"> مليون دولار أمريكي)، على التوالي</w:t>
      </w:r>
      <w:r w:rsidRPr="00B65701">
        <w:rPr>
          <w:rFonts w:ascii="Traditional Arabic" w:eastAsia="Sakkal Majalla" w:hAnsi="Traditional Arabic" w:cs="Traditional Arabic"/>
          <w:sz w:val="30"/>
          <w:szCs w:val="30"/>
        </w:rPr>
        <w:t>.</w:t>
      </w:r>
    </w:p>
    <w:p w14:paraId="7406E51A" w14:textId="77777777" w:rsidR="002516A5" w:rsidRDefault="002516A5" w:rsidP="002516A5">
      <w:pPr>
        <w:widowControl w:val="0"/>
        <w:bidi/>
        <w:jc w:val="both"/>
        <w:rPr>
          <w:rFonts w:ascii="Traditional Arabic" w:eastAsia="Sakkal Majalla" w:hAnsi="Traditional Arabic" w:cs="Traditional Arabic"/>
          <w:sz w:val="30"/>
          <w:szCs w:val="30"/>
          <w:rtl/>
        </w:rPr>
      </w:pPr>
    </w:p>
    <w:p w14:paraId="478FFE39" w14:textId="77777777" w:rsidR="002516A5" w:rsidRDefault="002516A5" w:rsidP="002516A5">
      <w:pPr>
        <w:widowControl w:val="0"/>
        <w:bidi/>
        <w:jc w:val="both"/>
        <w:rPr>
          <w:rFonts w:ascii="Traditional Arabic" w:eastAsia="Sakkal Majalla" w:hAnsi="Traditional Arabic" w:cs="Traditional Arabic"/>
          <w:sz w:val="30"/>
          <w:szCs w:val="30"/>
          <w:rtl/>
        </w:rPr>
      </w:pPr>
      <w:r>
        <w:rPr>
          <w:rFonts w:ascii="Traditional Arabic" w:hAnsi="Traditional Arabic" w:cs="Traditional Arabic" w:hint="cs"/>
          <w:b/>
          <w:sz w:val="30"/>
          <w:szCs w:val="30"/>
          <w:rtl/>
        </w:rPr>
        <w:t>لمزيد من التعريفات المتعلقة بالمعلومات</w:t>
      </w:r>
      <w:r w:rsidRPr="008D7454">
        <w:rPr>
          <w:rFonts w:ascii="Traditional Arabic" w:hAnsi="Traditional Arabic" w:cs="Traditional Arabic"/>
          <w:b/>
          <w:sz w:val="30"/>
          <w:szCs w:val="30"/>
          <w:rtl/>
        </w:rPr>
        <w:t xml:space="preserve"> غير </w:t>
      </w:r>
      <w:r w:rsidRPr="008D7454">
        <w:rPr>
          <w:rFonts w:ascii="Traditional Arabic" w:hAnsi="Traditional Arabic" w:cs="Traditional Arabic" w:hint="cs"/>
          <w:b/>
          <w:sz w:val="30"/>
          <w:szCs w:val="30"/>
          <w:rtl/>
        </w:rPr>
        <w:t>ال</w:t>
      </w:r>
      <w:r w:rsidRPr="008D7454">
        <w:rPr>
          <w:rFonts w:ascii="Traditional Arabic" w:hAnsi="Traditional Arabic" w:cs="Traditional Arabic"/>
          <w:b/>
          <w:sz w:val="30"/>
          <w:szCs w:val="30"/>
          <w:rtl/>
        </w:rPr>
        <w:t>متصلة بالمعايير الدولية</w:t>
      </w:r>
      <w:r>
        <w:rPr>
          <w:rFonts w:ascii="Traditional Arabic" w:hAnsi="Traditional Arabic" w:cs="Traditional Arabic" w:hint="cs"/>
          <w:b/>
          <w:sz w:val="30"/>
          <w:szCs w:val="30"/>
          <w:rtl/>
        </w:rPr>
        <w:t xml:space="preserve"> </w:t>
      </w:r>
      <w:r w:rsidRPr="00B142CA">
        <w:rPr>
          <w:rFonts w:ascii="Traditional Arabic" w:hAnsi="Traditional Arabic" w:cs="Traditional Arabic"/>
          <w:b/>
          <w:sz w:val="30"/>
          <w:szCs w:val="30"/>
          <w:rtl/>
        </w:rPr>
        <w:t>لإعداد التقارير المالية</w:t>
      </w:r>
      <w:r w:rsidRPr="008D7454">
        <w:rPr>
          <w:rFonts w:ascii="Traditional Arabic" w:hAnsi="Traditional Arabic" w:cs="Traditional Arabic" w:hint="cs"/>
          <w:b/>
          <w:sz w:val="30"/>
          <w:szCs w:val="30"/>
          <w:rtl/>
        </w:rPr>
        <w:t xml:space="preserve"> وغيرها من </w:t>
      </w:r>
      <w:r w:rsidRPr="008D7454">
        <w:rPr>
          <w:rFonts w:ascii="Traditional Arabic" w:hAnsi="Traditional Arabic" w:cs="Traditional Arabic"/>
          <w:b/>
          <w:sz w:val="30"/>
          <w:szCs w:val="30"/>
          <w:rtl/>
        </w:rPr>
        <w:t>البيانات التشغيلية</w:t>
      </w:r>
      <w:r w:rsidRPr="008D7454">
        <w:rPr>
          <w:rFonts w:ascii="Traditional Arabic" w:hAnsi="Traditional Arabic" w:cs="Traditional Arabic" w:hint="cs"/>
          <w:b/>
          <w:sz w:val="30"/>
          <w:szCs w:val="30"/>
          <w:rtl/>
        </w:rPr>
        <w:t xml:space="preserve"> المستخدمة ، بالرجاء الرجوع ل " </w:t>
      </w:r>
      <w:r w:rsidRPr="008D7454">
        <w:rPr>
          <w:rFonts w:ascii="Traditional Arabic" w:hAnsi="Traditional Arabic" w:cs="Traditional Arabic"/>
          <w:b/>
          <w:i/>
          <w:iCs/>
          <w:sz w:val="30"/>
          <w:szCs w:val="30"/>
          <w:rtl/>
        </w:rPr>
        <w:t>عرض البيانات المالية وبيانات القطاع والسوق</w:t>
      </w:r>
      <w:r w:rsidRPr="008D7454">
        <w:rPr>
          <w:rFonts w:ascii="Traditional Arabic" w:hAnsi="Traditional Arabic" w:cs="Traditional Arabic" w:hint="cs"/>
          <w:b/>
          <w:i/>
          <w:iCs/>
          <w:sz w:val="30"/>
          <w:szCs w:val="30"/>
          <w:rtl/>
        </w:rPr>
        <w:t xml:space="preserve">- </w:t>
      </w:r>
      <w:r w:rsidRPr="008D7454">
        <w:rPr>
          <w:rFonts w:ascii="Traditional Arabic" w:hAnsi="Traditional Arabic" w:cs="Traditional Arabic"/>
          <w:b/>
          <w:i/>
          <w:iCs/>
          <w:sz w:val="30"/>
          <w:szCs w:val="30"/>
          <w:rtl/>
        </w:rPr>
        <w:t>معلومات غير متصلة بالمعايير الدولية لإعداد التقارير المالية وبعض البيانات التشغيلية</w:t>
      </w:r>
    </w:p>
    <w:p w14:paraId="7A189A35"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p>
    <w:p w14:paraId="1CE0EABA" w14:textId="77777777" w:rsidR="00B65701" w:rsidRDefault="00B65701" w:rsidP="00B65701">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 xml:space="preserve">بالإضافة إلى ذلك، توفر الشركة أيضًا خدمات تأجير السفن، وإدارة البضائع والرحلات، وخدمات الحاويات وخدمات نقل الحاويات والبضائع من الموانئ الصغيرة إلى الموانئ الكبيرة، وخدمات الإدارة الفنية للسفن من خلال الشركات التابعة لها، بما في ذلك الشركة العمانية </w:t>
      </w:r>
      <w:r w:rsidR="00556AFB">
        <w:rPr>
          <w:rFonts w:ascii="Traditional Arabic" w:eastAsia="Sakkal Majalla" w:hAnsi="Traditional Arabic" w:cs="Traditional Arabic" w:hint="cs"/>
          <w:sz w:val="30"/>
          <w:szCs w:val="30"/>
          <w:rtl/>
        </w:rPr>
        <w:t>لاستئجار</w:t>
      </w:r>
      <w:r w:rsidR="00556AFB"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السفن والشركة العمانية لإدارة السفن، وشركة أسياد لإدارة السفن، وشركة خط أسياد، وشركة أسياد شيبينغ</w:t>
      </w:r>
      <w:r w:rsidR="00421ED3">
        <w:rPr>
          <w:rFonts w:ascii="Traditional Arabic" w:eastAsia="Sakkal Majalla" w:hAnsi="Traditional Arabic" w:cs="Traditional Arabic" w:hint="cs"/>
          <w:sz w:val="30"/>
          <w:szCs w:val="30"/>
          <w:rtl/>
        </w:rPr>
        <w:t xml:space="preserve"> </w:t>
      </w:r>
      <w:r w:rsidR="00421ED3">
        <w:rPr>
          <w:rFonts w:ascii="Traditional Arabic" w:hAnsi="Traditional Arabic" w:cs="Traditional Arabic" w:hint="cs"/>
          <w:sz w:val="30"/>
          <w:szCs w:val="30"/>
          <w:rtl/>
        </w:rPr>
        <w:t>بي تي إي ليمتد</w:t>
      </w:r>
      <w:r w:rsidR="00421ED3"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 مما يسمح لها بتقديم خدمات نقل بحري </w:t>
      </w:r>
      <w:r w:rsidR="00E83492">
        <w:rPr>
          <w:rFonts w:ascii="Traditional Arabic" w:eastAsia="Sakkal Majalla" w:hAnsi="Traditional Arabic" w:cs="Traditional Arabic" w:hint="cs"/>
          <w:sz w:val="30"/>
          <w:szCs w:val="30"/>
          <w:rtl/>
        </w:rPr>
        <w:t>متكاملة</w:t>
      </w:r>
      <w:r w:rsidR="00E83492"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وفقًا لأعلى معايير الصناعة. تشرف الشركة العمانية </w:t>
      </w:r>
      <w:r w:rsidR="004C2EAB">
        <w:rPr>
          <w:rFonts w:ascii="Traditional Arabic" w:eastAsia="Sakkal Majalla" w:hAnsi="Traditional Arabic" w:cs="Traditional Arabic" w:hint="cs"/>
          <w:sz w:val="30"/>
          <w:szCs w:val="30"/>
          <w:rtl/>
        </w:rPr>
        <w:t>لاستئجار</w:t>
      </w:r>
      <w:r w:rsidR="004C2EAB"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السفن وشركة أسياد شيبينغ</w:t>
      </w:r>
      <w:r w:rsidR="00421ED3">
        <w:rPr>
          <w:rFonts w:ascii="Traditional Arabic" w:eastAsia="Sakkal Majalla" w:hAnsi="Traditional Arabic" w:cs="Traditional Arabic" w:hint="cs"/>
          <w:sz w:val="30"/>
          <w:szCs w:val="30"/>
          <w:rtl/>
        </w:rPr>
        <w:t xml:space="preserve"> </w:t>
      </w:r>
      <w:r w:rsidR="00421ED3">
        <w:rPr>
          <w:rFonts w:ascii="Traditional Arabic" w:hAnsi="Traditional Arabic" w:cs="Traditional Arabic" w:hint="cs"/>
          <w:sz w:val="30"/>
          <w:szCs w:val="30"/>
          <w:rtl/>
        </w:rPr>
        <w:t>بي تي إي ليمتد</w:t>
      </w:r>
      <w:r w:rsidRPr="00B65701">
        <w:rPr>
          <w:rFonts w:ascii="Traditional Arabic" w:eastAsia="Sakkal Majalla" w:hAnsi="Traditional Arabic" w:cs="Traditional Arabic"/>
          <w:sz w:val="30"/>
          <w:szCs w:val="30"/>
          <w:rtl/>
        </w:rPr>
        <w:t xml:space="preserve"> على أنشطة التأجير والسمسرة الموسعة للشركة، والتي تشمل السفن المملوكة للشركة وسفن الشركات الأخرى أيضا. كما تدير الشركة العمانية </w:t>
      </w:r>
      <w:r w:rsidR="004C2EAB">
        <w:rPr>
          <w:rFonts w:ascii="Traditional Arabic" w:eastAsia="Sakkal Majalla" w:hAnsi="Traditional Arabic" w:cs="Traditional Arabic" w:hint="cs"/>
          <w:sz w:val="30"/>
          <w:szCs w:val="30"/>
          <w:rtl/>
        </w:rPr>
        <w:t>لاستئجار</w:t>
      </w:r>
      <w:r w:rsidR="004C2EAB"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السفن وشركة أسياد شيبينغ</w:t>
      </w:r>
      <w:r w:rsidR="00421ED3">
        <w:rPr>
          <w:rFonts w:ascii="Traditional Arabic" w:eastAsia="Sakkal Majalla" w:hAnsi="Traditional Arabic" w:cs="Traditional Arabic" w:hint="cs"/>
          <w:sz w:val="30"/>
          <w:szCs w:val="30"/>
          <w:rtl/>
        </w:rPr>
        <w:t xml:space="preserve"> </w:t>
      </w:r>
      <w:r w:rsidR="00421ED3">
        <w:rPr>
          <w:rFonts w:ascii="Traditional Arabic" w:hAnsi="Traditional Arabic" w:cs="Traditional Arabic" w:hint="cs"/>
          <w:sz w:val="30"/>
          <w:szCs w:val="30"/>
          <w:rtl/>
        </w:rPr>
        <w:t>بي تي إي ليمتد</w:t>
      </w:r>
      <w:r w:rsidRPr="00B65701">
        <w:rPr>
          <w:rFonts w:ascii="Traditional Arabic" w:eastAsia="Sakkal Majalla" w:hAnsi="Traditional Arabic" w:cs="Traditional Arabic"/>
          <w:sz w:val="30"/>
          <w:szCs w:val="30"/>
          <w:rtl/>
        </w:rPr>
        <w:t xml:space="preserve"> تجاريا العديد من السفن التي تم استئجارها لدعم عملاء الشركة. تتم إدارة الغالبية العظمى من السفن المملوكة للشركة، بما في ذلك ناقلات خام النفط العملاقة، وناقلات خام الحديد العملاقة، وناقلات الغاز الطبيعي المسال، وناقلات المنتجات وناقلات السوائب الجافة، داخليًا بواسطة الشركة العمانية لإدارة السفن</w:t>
      </w:r>
      <w:r w:rsidRPr="00B65701">
        <w:rPr>
          <w:rFonts w:ascii="Traditional Arabic" w:eastAsia="Sakkal Majalla" w:hAnsi="Traditional Arabic" w:cs="Traditional Arabic"/>
          <w:sz w:val="30"/>
          <w:szCs w:val="30"/>
        </w:rPr>
        <w:t xml:space="preserve">. </w:t>
      </w:r>
    </w:p>
    <w:p w14:paraId="7B99A4A1"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p>
    <w:p w14:paraId="504DA421" w14:textId="77777777" w:rsidR="00B65701" w:rsidRDefault="00B65701" w:rsidP="00B65701">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 xml:space="preserve">ومنذ إنشائها في عام 2003، دعمت الشركة رؤية الحكومة العمانية لتطوير أسطول </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وطني يلبي متطلبات النقل البحري </w:t>
      </w:r>
      <w:r w:rsidRPr="00B65701">
        <w:rPr>
          <w:rFonts w:ascii="Traditional Arabic" w:eastAsia="Sakkal Majalla" w:hAnsi="Traditional Arabic" w:cs="Traditional Arabic"/>
          <w:sz w:val="30"/>
          <w:szCs w:val="30"/>
          <w:rtl/>
        </w:rPr>
        <w:lastRenderedPageBreak/>
        <w:t xml:space="preserve">للصناعات الهيدروكربونية والبتروكيماوية والتعدينية والمعدنية سريعة النمو في البلاد. ومن الجدير بالذكر أن الشركة مدعومة من قبل جهاز الاستثمار العماني، وهو الذراع الاستثماري لسلطنة عمان، والذي يوفر </w:t>
      </w:r>
      <w:r w:rsidR="00EF62CF">
        <w:rPr>
          <w:rFonts w:ascii="Traditional Arabic" w:eastAsia="Sakkal Majalla" w:hAnsi="Traditional Arabic" w:cs="Traditional Arabic" w:hint="cs"/>
          <w:sz w:val="30"/>
          <w:szCs w:val="30"/>
          <w:rtl/>
        </w:rPr>
        <w:t>منفذا</w:t>
      </w:r>
      <w:r w:rsidR="00EF62CF"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إلى شبكة واسعة من شركات المحفظة والشركات الوطنية الرائدة، مما يجعلها شريكا مفضلا للمشاريع الرئيسية والعملاء في سلطنة عمان. ولا شك أن عمليات ال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الخاصة بالشركة تؤدي دورًا حاسمًا في قطاع النقل والإمداد العماني ودول مجلس التعاون الخليجي الأوسع، وهي شركة النقل البحري المفضلة في النظام البيئي العماني، ونظرا للدور القيادي الذي تؤديه، ستساعد في دفع عجلة الحد من الانبعاثات الكربونية في قطاع الملاحة والنقل البحري العماني</w:t>
      </w:r>
      <w:r w:rsidRPr="00B65701">
        <w:rPr>
          <w:rFonts w:ascii="Traditional Arabic" w:eastAsia="Sakkal Majalla" w:hAnsi="Traditional Arabic" w:cs="Traditional Arabic"/>
          <w:sz w:val="30"/>
          <w:szCs w:val="30"/>
        </w:rPr>
        <w:t xml:space="preserve">. </w:t>
      </w:r>
    </w:p>
    <w:p w14:paraId="4D9E78B4"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p>
    <w:p w14:paraId="53896EC0" w14:textId="77777777" w:rsidR="00B65701" w:rsidRDefault="00B65701" w:rsidP="00B65701">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الشركة هي شركة تابعة ضمن مجموعة أسياد، وهي مزود لوجستي وطني متكامل يمتلك شبكة قوية وشهرة تجارية عبر الأسواق الإقليمية والدولية. وبصفتها إحدى شركات مجموعة أسياد، فإنها تستفيد من الموارد المشتركة، وإمكانية الوصول إلى مجموعة متكاملة من الخدمات التكاملية، بما في ذلك الأحواض الجافة، ومرافق الإصلاح والصيانة، والبنية التحتية المشتركة (الموانئ، والمناطق الحرة، وغيرها)، والموارد البشرية (الخزينة، والموارد البشرية، والمشتريات، وخدمات الاتصالات، والخدمات القانونية، وخدمات تكنولوجيا المعلومات)</w:t>
      </w:r>
      <w:r w:rsidRPr="00B65701">
        <w:rPr>
          <w:rFonts w:ascii="Traditional Arabic" w:eastAsia="Sakkal Majalla" w:hAnsi="Traditional Arabic" w:cs="Traditional Arabic"/>
          <w:sz w:val="30"/>
          <w:szCs w:val="30"/>
        </w:rPr>
        <w:t>.</w:t>
      </w:r>
    </w:p>
    <w:p w14:paraId="5A6AA207"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p>
    <w:p w14:paraId="47D6BE0F" w14:textId="77777777" w:rsidR="00B65701" w:rsidRDefault="00B65701" w:rsidP="00B65701">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 xml:space="preserve">كما أنها تملك أسطولا من أكبر الأساطيل المتنوعة عالميًا، ولذا، فإنها قادرة على خدمة أكثر من 60 دولة، وهي في وضع جيد لتزويد الأسواق ذات النمو المرتفع، مثل دول آسيا والشرق الأوسط وشمال إفريقيا. تجري الشركة عملياتها من خلال أسطولها المكون من 89 سفينة، منها 47 سفينة مملوكة بالكامل أو </w:t>
      </w:r>
      <w:r w:rsidR="00E65E26">
        <w:rPr>
          <w:rFonts w:ascii="Traditional Arabic" w:eastAsia="Sakkal Majalla" w:hAnsi="Traditional Arabic" w:cs="Traditional Arabic"/>
          <w:sz w:val="30"/>
          <w:szCs w:val="30"/>
          <w:rtl/>
        </w:rPr>
        <w:t>بشكل مشترك</w:t>
      </w:r>
      <w:r w:rsidRPr="00B65701">
        <w:rPr>
          <w:rFonts w:ascii="Traditional Arabic" w:eastAsia="Sakkal Majalla" w:hAnsi="Traditional Arabic" w:cs="Traditional Arabic"/>
          <w:sz w:val="30"/>
          <w:szCs w:val="30"/>
          <w:rtl/>
        </w:rPr>
        <w:t>، و 36 سفينة مستأجرة و 6 سفن تم طلبها في الوقت الحالي، بسعة إجمالية تزيد على 9.5 مليون طن ساكن، وذلك حتى 30 سبتمبر 2024. هذا، ويتألف أسطول سفن الشركة من</w:t>
      </w:r>
      <w:r w:rsidRPr="00B65701">
        <w:rPr>
          <w:rFonts w:ascii="Traditional Arabic" w:eastAsia="Sakkal Majalla" w:hAnsi="Traditional Arabic" w:cs="Traditional Arabic"/>
          <w:sz w:val="30"/>
          <w:szCs w:val="30"/>
        </w:rPr>
        <w:t>:</w:t>
      </w:r>
    </w:p>
    <w:p w14:paraId="14462549"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p>
    <w:p w14:paraId="62112135" w14:textId="77777777" w:rsidR="00B65701" w:rsidRPr="00B65701" w:rsidRDefault="00E3785C" w:rsidP="00D925C8">
      <w:pPr>
        <w:pStyle w:val="ListParagraph"/>
        <w:widowControl w:val="0"/>
        <w:numPr>
          <w:ilvl w:val="0"/>
          <w:numId w:val="64"/>
        </w:numPr>
        <w:bidi/>
        <w:ind w:left="571" w:hanging="573"/>
        <w:jc w:val="both"/>
        <w:rPr>
          <w:rFonts w:ascii="Traditional Arabic" w:eastAsia="Sakkal Majalla" w:hAnsi="Traditional Arabic" w:cs="Traditional Arabic"/>
          <w:sz w:val="30"/>
          <w:szCs w:val="30"/>
          <w:rtl/>
        </w:rPr>
      </w:pPr>
      <w:r>
        <w:rPr>
          <w:rFonts w:ascii="Traditional Arabic" w:eastAsia="Sakkal Majalla" w:hAnsi="Traditional Arabic" w:cs="Traditional Arabic" w:hint="cs"/>
          <w:sz w:val="30"/>
          <w:szCs w:val="30"/>
          <w:rtl/>
        </w:rPr>
        <w:t>22</w:t>
      </w:r>
      <w:r w:rsidRPr="00B65701">
        <w:rPr>
          <w:rFonts w:ascii="Traditional Arabic" w:eastAsia="Sakkal Majalla" w:hAnsi="Traditional Arabic" w:cs="Traditional Arabic"/>
          <w:sz w:val="30"/>
          <w:szCs w:val="30"/>
        </w:rPr>
        <w:t xml:space="preserve"> </w:t>
      </w:r>
      <w:r w:rsidRPr="00B65701">
        <w:rPr>
          <w:rFonts w:ascii="Traditional Arabic" w:eastAsia="Sakkal Majalla" w:hAnsi="Traditional Arabic" w:cs="Traditional Arabic" w:hint="cs"/>
          <w:sz w:val="30"/>
          <w:szCs w:val="30"/>
          <w:rtl/>
        </w:rPr>
        <w:t xml:space="preserve"> </w:t>
      </w:r>
      <w:r w:rsidR="00B65701" w:rsidRPr="00B65701">
        <w:rPr>
          <w:rFonts w:ascii="Traditional Arabic" w:eastAsia="Sakkal Majalla" w:hAnsi="Traditional Arabic" w:cs="Traditional Arabic"/>
          <w:sz w:val="30"/>
          <w:szCs w:val="30"/>
          <w:rtl/>
        </w:rPr>
        <w:t>ناقلة نفط خام (16 ناقلة نفط كبيرة (أربعة منها قيد الطلب)، وأربع سفن مناسبة لقناة السويس (سويسماكس) وسفينتان متوسطة الحمولة (أفراماكس))</w:t>
      </w:r>
      <w:r w:rsidR="00B65701" w:rsidRPr="00B65701">
        <w:rPr>
          <w:rFonts w:ascii="Traditional Arabic" w:eastAsia="Sakkal Majalla" w:hAnsi="Traditional Arabic" w:cs="Traditional Arabic"/>
          <w:sz w:val="30"/>
          <w:szCs w:val="30"/>
        </w:rPr>
        <w:t xml:space="preserve"> </w:t>
      </w:r>
    </w:p>
    <w:p w14:paraId="4633D73A" w14:textId="77777777" w:rsidR="00B65701" w:rsidRPr="00B65701" w:rsidRDefault="00E3785C" w:rsidP="00D925C8">
      <w:pPr>
        <w:pStyle w:val="ListParagraph"/>
        <w:widowControl w:val="0"/>
        <w:numPr>
          <w:ilvl w:val="0"/>
          <w:numId w:val="64"/>
        </w:numPr>
        <w:bidi/>
        <w:ind w:left="571" w:hanging="573"/>
        <w:jc w:val="both"/>
        <w:rPr>
          <w:rFonts w:ascii="Traditional Arabic" w:eastAsia="Sakkal Majalla" w:hAnsi="Traditional Arabic" w:cs="Traditional Arabic"/>
          <w:sz w:val="30"/>
          <w:szCs w:val="30"/>
          <w:rtl/>
        </w:rPr>
      </w:pPr>
      <w:r>
        <w:rPr>
          <w:rFonts w:ascii="Traditional Arabic" w:eastAsia="Sakkal Majalla" w:hAnsi="Traditional Arabic" w:cs="Traditional Arabic" w:hint="cs"/>
          <w:sz w:val="30"/>
          <w:szCs w:val="30"/>
          <w:rtl/>
        </w:rPr>
        <w:t>34</w:t>
      </w:r>
      <w:r w:rsidRPr="00B65701">
        <w:rPr>
          <w:rFonts w:ascii="Traditional Arabic" w:eastAsia="Sakkal Majalla" w:hAnsi="Traditional Arabic" w:cs="Traditional Arabic"/>
          <w:sz w:val="30"/>
          <w:szCs w:val="30"/>
        </w:rPr>
        <w:t xml:space="preserve"> </w:t>
      </w:r>
      <w:r w:rsidRPr="00B65701">
        <w:rPr>
          <w:rFonts w:ascii="Traditional Arabic" w:eastAsia="Sakkal Majalla" w:hAnsi="Traditional Arabic" w:cs="Traditional Arabic" w:hint="cs"/>
          <w:sz w:val="30"/>
          <w:szCs w:val="30"/>
          <w:rtl/>
        </w:rPr>
        <w:t xml:space="preserve"> </w:t>
      </w:r>
      <w:r w:rsidR="00B65701" w:rsidRPr="00B65701">
        <w:rPr>
          <w:rFonts w:ascii="Traditional Arabic" w:eastAsia="Sakkal Majalla" w:hAnsi="Traditional Arabic" w:cs="Traditional Arabic"/>
          <w:sz w:val="30"/>
          <w:szCs w:val="30"/>
          <w:rtl/>
        </w:rPr>
        <w:t xml:space="preserve">ناقلة منتجات (27 متوسطة الحجم، وناقلتان كبيرة الحجم، وناقلتان للميثانول، وناقلتان صغيرتان، وناقلة صغيرة للمواد الكيمائية)، </w:t>
      </w:r>
    </w:p>
    <w:p w14:paraId="4DD4B844" w14:textId="77777777" w:rsidR="00B65701" w:rsidRPr="00B65701" w:rsidRDefault="00E3785C" w:rsidP="00D925C8">
      <w:pPr>
        <w:pStyle w:val="ListParagraph"/>
        <w:widowControl w:val="0"/>
        <w:numPr>
          <w:ilvl w:val="0"/>
          <w:numId w:val="64"/>
        </w:numPr>
        <w:bidi/>
        <w:ind w:left="571" w:hanging="573"/>
        <w:jc w:val="both"/>
        <w:rPr>
          <w:rFonts w:ascii="Traditional Arabic" w:eastAsia="Sakkal Majalla" w:hAnsi="Traditional Arabic" w:cs="Traditional Arabic"/>
          <w:sz w:val="30"/>
          <w:szCs w:val="30"/>
          <w:rtl/>
        </w:rPr>
      </w:pPr>
      <w:r>
        <w:rPr>
          <w:rFonts w:ascii="Traditional Arabic" w:eastAsia="Sakkal Majalla" w:hAnsi="Traditional Arabic" w:cs="Traditional Arabic" w:hint="cs"/>
          <w:sz w:val="30"/>
          <w:szCs w:val="30"/>
          <w:rtl/>
        </w:rPr>
        <w:t>18</w:t>
      </w:r>
      <w:r w:rsidRPr="00B65701">
        <w:rPr>
          <w:rFonts w:ascii="Traditional Arabic" w:eastAsia="Sakkal Majalla" w:hAnsi="Traditional Arabic" w:cs="Traditional Arabic"/>
          <w:sz w:val="30"/>
          <w:szCs w:val="30"/>
        </w:rPr>
        <w:t xml:space="preserve"> </w:t>
      </w:r>
      <w:r w:rsidR="00B65701" w:rsidRPr="00B65701">
        <w:rPr>
          <w:rFonts w:ascii="Traditional Arabic" w:eastAsia="Sakkal Majalla" w:hAnsi="Traditional Arabic" w:cs="Traditional Arabic"/>
          <w:sz w:val="30"/>
          <w:szCs w:val="30"/>
          <w:rtl/>
        </w:rPr>
        <w:t>ناقلة سوائب جافة (أربع ناقلات خام الحديد العملاقة، وثماني سفن ألتراماكس، وثلاث سفن سوبراماكس، وسفينتان هانديماكس وسفينة كامزاراماكس)</w:t>
      </w:r>
      <w:r w:rsidR="00B65701" w:rsidRPr="00B65701">
        <w:rPr>
          <w:rFonts w:ascii="Traditional Arabic" w:eastAsia="Sakkal Majalla" w:hAnsi="Traditional Arabic" w:cs="Traditional Arabic"/>
          <w:sz w:val="30"/>
          <w:szCs w:val="30"/>
        </w:rPr>
        <w:t xml:space="preserve"> </w:t>
      </w:r>
    </w:p>
    <w:p w14:paraId="74ADEDA1" w14:textId="77777777" w:rsidR="00B65701" w:rsidRPr="00B65701" w:rsidRDefault="00B65701" w:rsidP="00D925C8">
      <w:pPr>
        <w:pStyle w:val="ListParagraph"/>
        <w:widowControl w:val="0"/>
        <w:numPr>
          <w:ilvl w:val="0"/>
          <w:numId w:val="64"/>
        </w:numPr>
        <w:bidi/>
        <w:ind w:left="571" w:hanging="573"/>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عشر ناقلات للغاز (ثماني ناقلات للغاز الطبيعي المسال (اثنتان منها قيد الطلب)، وناقلة غاز عملاقة، وناقلة غاز متوسطة)</w:t>
      </w:r>
      <w:r w:rsidRPr="00B65701">
        <w:rPr>
          <w:rFonts w:ascii="Traditional Arabic" w:eastAsia="Sakkal Majalla" w:hAnsi="Traditional Arabic" w:cs="Traditional Arabic"/>
          <w:sz w:val="30"/>
          <w:szCs w:val="30"/>
        </w:rPr>
        <w:t xml:space="preserve"> </w:t>
      </w:r>
    </w:p>
    <w:p w14:paraId="4F822D07" w14:textId="77777777" w:rsidR="00B65701" w:rsidRPr="00B65701" w:rsidRDefault="00B65701" w:rsidP="00D925C8">
      <w:pPr>
        <w:pStyle w:val="ListParagraph"/>
        <w:widowControl w:val="0"/>
        <w:numPr>
          <w:ilvl w:val="0"/>
          <w:numId w:val="64"/>
        </w:numPr>
        <w:bidi/>
        <w:ind w:left="571" w:hanging="573"/>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 xml:space="preserve">خمس سفن حاويات (سفينتان هانديماكس، وسفينة هانديسايز، وسفينة سوبراماكس وسفينة مناسبة لقناة بنما (بنما </w:t>
      </w:r>
      <w:r w:rsidRPr="00B65701">
        <w:rPr>
          <w:rFonts w:ascii="Traditional Arabic" w:eastAsia="Sakkal Majalla" w:hAnsi="Traditional Arabic" w:cs="Traditional Arabic"/>
          <w:sz w:val="30"/>
          <w:szCs w:val="30"/>
          <w:rtl/>
        </w:rPr>
        <w:lastRenderedPageBreak/>
        <w:t>ماك</w:t>
      </w:r>
      <w:r>
        <w:rPr>
          <w:rFonts w:ascii="Traditional Arabic" w:eastAsia="Sakkal Majalla" w:hAnsi="Traditional Arabic" w:cs="Traditional Arabic" w:hint="cs"/>
          <w:sz w:val="30"/>
          <w:szCs w:val="30"/>
          <w:rtl/>
        </w:rPr>
        <w:t>س)</w:t>
      </w:r>
      <w:r w:rsidRPr="00B65701">
        <w:rPr>
          <w:rFonts w:ascii="Traditional Arabic" w:eastAsia="Sakkal Majalla" w:hAnsi="Traditional Arabic" w:cs="Traditional Arabic"/>
          <w:sz w:val="30"/>
          <w:szCs w:val="30"/>
        </w:rPr>
        <w:t xml:space="preserve">. </w:t>
      </w:r>
    </w:p>
    <w:p w14:paraId="500642FA" w14:textId="77777777" w:rsidR="00B65701" w:rsidRDefault="00B65701" w:rsidP="00B65701">
      <w:pPr>
        <w:widowControl w:val="0"/>
        <w:bidi/>
        <w:jc w:val="both"/>
        <w:rPr>
          <w:rFonts w:ascii="Traditional Arabic" w:eastAsia="Sakkal Majalla" w:hAnsi="Traditional Arabic" w:cs="Traditional Arabic"/>
          <w:sz w:val="30"/>
          <w:szCs w:val="30"/>
          <w:rtl/>
        </w:rPr>
      </w:pPr>
    </w:p>
    <w:p w14:paraId="1B445E11" w14:textId="77777777" w:rsidR="00250532" w:rsidRPr="00EB5BCF" w:rsidRDefault="00B65701" w:rsidP="00250532">
      <w:pPr>
        <w:pStyle w:val="BodyText1"/>
        <w:bidi/>
        <w:spacing w:after="0"/>
        <w:rPr>
          <w:rFonts w:ascii="Traditional Arabic" w:hAnsi="Traditional Arabic" w:cs="Traditional Arabic"/>
          <w:sz w:val="30"/>
          <w:szCs w:val="30"/>
          <w:rtl/>
          <w:lang w:val="en-GB" w:bidi="ar-EG"/>
        </w:rPr>
      </w:pPr>
      <w:r w:rsidRPr="00B65701">
        <w:rPr>
          <w:rFonts w:ascii="Traditional Arabic" w:eastAsia="Sakkal Majalla" w:hAnsi="Traditional Arabic" w:cs="Traditional Arabic"/>
          <w:sz w:val="30"/>
          <w:szCs w:val="30"/>
          <w:rtl/>
        </w:rPr>
        <w:t xml:space="preserve">وبالنسبة للسنة المنتهية في 31 ديسمبر 2023 والأشهر التسعة المنتهية في 30 سبتمبر 2024، حققت الشركة إيرادات قدرها 363.7 مليون ريال عماني (944.7 مليون دولار أمريكي) و </w:t>
      </w:r>
      <w:r w:rsidR="000E0EC4">
        <w:rPr>
          <w:rFonts w:ascii="Traditional Arabic" w:eastAsia="Sakkal Majalla" w:hAnsi="Traditional Arabic" w:cs="Traditional Arabic" w:hint="cs"/>
          <w:sz w:val="30"/>
          <w:szCs w:val="30"/>
          <w:rtl/>
        </w:rPr>
        <w:t>274.9</w:t>
      </w:r>
      <w:r w:rsidRPr="00B65701">
        <w:rPr>
          <w:rFonts w:ascii="Traditional Arabic" w:eastAsia="Sakkal Majalla" w:hAnsi="Traditional Arabic" w:cs="Traditional Arabic"/>
          <w:sz w:val="30"/>
          <w:szCs w:val="30"/>
          <w:rtl/>
        </w:rPr>
        <w:t xml:space="preserve"> مليون ريال عماني (</w:t>
      </w:r>
      <w:r w:rsidR="000E0EC4">
        <w:rPr>
          <w:rFonts w:ascii="Traditional Arabic" w:eastAsia="Sakkal Majalla" w:hAnsi="Traditional Arabic" w:cs="Traditional Arabic" w:hint="cs"/>
          <w:sz w:val="30"/>
          <w:szCs w:val="30"/>
          <w:rtl/>
        </w:rPr>
        <w:t>713.9</w:t>
      </w:r>
      <w:r w:rsidRPr="00B65701">
        <w:rPr>
          <w:rFonts w:ascii="Traditional Arabic" w:eastAsia="Sakkal Majalla" w:hAnsi="Traditional Arabic" w:cs="Traditional Arabic"/>
          <w:sz w:val="30"/>
          <w:szCs w:val="30"/>
          <w:rtl/>
        </w:rPr>
        <w:t xml:space="preserve"> مليون دولار أمريكي)، على التوالي، وإيرادات مكافئ تكلفة الإيجار البالغة </w:t>
      </w:r>
      <w:r w:rsidR="000E0EC4">
        <w:rPr>
          <w:rFonts w:ascii="Traditional Arabic" w:eastAsia="Sakkal Majalla" w:hAnsi="Traditional Arabic" w:cs="Traditional Arabic" w:hint="cs"/>
          <w:sz w:val="30"/>
          <w:szCs w:val="30"/>
          <w:rtl/>
        </w:rPr>
        <w:t>28</w:t>
      </w:r>
      <w:r w:rsidR="006074BE">
        <w:rPr>
          <w:rFonts w:ascii="Traditional Arabic" w:eastAsia="Sakkal Majalla" w:hAnsi="Traditional Arabic" w:cs="Traditional Arabic" w:hint="cs"/>
          <w:sz w:val="30"/>
          <w:szCs w:val="30"/>
          <w:rtl/>
        </w:rPr>
        <w:t>2.0</w:t>
      </w:r>
      <w:r w:rsidRPr="00B65701">
        <w:rPr>
          <w:rFonts w:ascii="Traditional Arabic" w:eastAsia="Sakkal Majalla" w:hAnsi="Traditional Arabic" w:cs="Traditional Arabic"/>
          <w:sz w:val="30"/>
          <w:szCs w:val="30"/>
          <w:rtl/>
        </w:rPr>
        <w:t xml:space="preserve"> مليون ريال عماني (</w:t>
      </w:r>
      <w:r w:rsidR="006074BE">
        <w:rPr>
          <w:rFonts w:ascii="Traditional Arabic" w:eastAsia="Sakkal Majalla" w:hAnsi="Traditional Arabic" w:cs="Traditional Arabic" w:hint="cs"/>
          <w:sz w:val="30"/>
          <w:szCs w:val="30"/>
          <w:rtl/>
        </w:rPr>
        <w:t>732.5</w:t>
      </w:r>
      <w:r w:rsidRPr="00B65701">
        <w:rPr>
          <w:rFonts w:ascii="Traditional Arabic" w:eastAsia="Sakkal Majalla" w:hAnsi="Traditional Arabic" w:cs="Traditional Arabic"/>
          <w:sz w:val="30"/>
          <w:szCs w:val="30"/>
          <w:rtl/>
        </w:rPr>
        <w:t xml:space="preserve"> مليون دولار أمريكي) و 236.</w:t>
      </w:r>
      <w:r w:rsidR="006074BE">
        <w:rPr>
          <w:rFonts w:ascii="Traditional Arabic" w:eastAsia="Sakkal Majalla" w:hAnsi="Traditional Arabic" w:cs="Traditional Arabic" w:hint="cs"/>
          <w:sz w:val="30"/>
          <w:szCs w:val="30"/>
          <w:rtl/>
        </w:rPr>
        <w:t>1</w:t>
      </w:r>
      <w:r w:rsidR="006074BE"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مليون ريال عماني (</w:t>
      </w:r>
      <w:r w:rsidR="00545CB7">
        <w:rPr>
          <w:rFonts w:ascii="Traditional Arabic" w:eastAsia="Sakkal Majalla" w:hAnsi="Traditional Arabic" w:cs="Traditional Arabic" w:hint="cs"/>
          <w:sz w:val="30"/>
          <w:szCs w:val="30"/>
          <w:rtl/>
        </w:rPr>
        <w:t>613.3</w:t>
      </w:r>
      <w:r w:rsidRPr="00B65701">
        <w:rPr>
          <w:rFonts w:ascii="Traditional Arabic" w:eastAsia="Sakkal Majalla" w:hAnsi="Traditional Arabic" w:cs="Traditional Arabic"/>
          <w:sz w:val="30"/>
          <w:szCs w:val="30"/>
          <w:rtl/>
        </w:rPr>
        <w:t xml:space="preserve"> مليون دولار أمريكي)، على التوالي، وأرباحا </w:t>
      </w:r>
      <w:r w:rsidR="00F64D79">
        <w:rPr>
          <w:rFonts w:ascii="Traditional Arabic" w:eastAsia="Sakkal Majalla" w:hAnsi="Traditional Arabic" w:cs="Traditional Arabic" w:hint="cs"/>
          <w:sz w:val="30"/>
          <w:szCs w:val="30"/>
          <w:rtl/>
        </w:rPr>
        <w:t xml:space="preserve">معدلة </w:t>
      </w:r>
      <w:r w:rsidRPr="00B65701">
        <w:rPr>
          <w:rFonts w:ascii="Traditional Arabic" w:eastAsia="Sakkal Majalla" w:hAnsi="Traditional Arabic" w:cs="Traditional Arabic"/>
          <w:sz w:val="30"/>
          <w:szCs w:val="30"/>
          <w:rtl/>
        </w:rPr>
        <w:t xml:space="preserve">قبل حساب الفائدة والضريبة والإهلاك والإطفاء البالغة </w:t>
      </w:r>
      <w:r w:rsidR="00F64D79">
        <w:rPr>
          <w:rFonts w:ascii="Traditional Arabic" w:eastAsia="Sakkal Majalla" w:hAnsi="Traditional Arabic" w:cs="Traditional Arabic" w:hint="cs"/>
          <w:sz w:val="30"/>
          <w:szCs w:val="30"/>
          <w:rtl/>
        </w:rPr>
        <w:t>184.0</w:t>
      </w:r>
      <w:r w:rsidRPr="00B65701">
        <w:rPr>
          <w:rFonts w:ascii="Traditional Arabic" w:eastAsia="Sakkal Majalla" w:hAnsi="Traditional Arabic" w:cs="Traditional Arabic"/>
          <w:sz w:val="30"/>
          <w:szCs w:val="30"/>
          <w:rtl/>
        </w:rPr>
        <w:t xml:space="preserve"> مليون ريال عماني (</w:t>
      </w:r>
      <w:r w:rsidR="00F64D79">
        <w:rPr>
          <w:rFonts w:ascii="Traditional Arabic" w:eastAsia="Sakkal Majalla" w:hAnsi="Traditional Arabic" w:cs="Traditional Arabic" w:hint="cs"/>
          <w:sz w:val="30"/>
          <w:szCs w:val="30"/>
          <w:rtl/>
        </w:rPr>
        <w:t>478.0</w:t>
      </w:r>
      <w:r w:rsidRPr="00B65701">
        <w:rPr>
          <w:rFonts w:ascii="Traditional Arabic" w:eastAsia="Sakkal Majalla" w:hAnsi="Traditional Arabic" w:cs="Traditional Arabic"/>
          <w:sz w:val="30"/>
          <w:szCs w:val="30"/>
          <w:rtl/>
        </w:rPr>
        <w:t xml:space="preserve"> مليون دولار أمريكي) و </w:t>
      </w:r>
      <w:r w:rsidR="00671ED4">
        <w:rPr>
          <w:rFonts w:ascii="Traditional Arabic" w:eastAsia="Sakkal Majalla" w:hAnsi="Traditional Arabic" w:cs="Traditional Arabic" w:hint="cs"/>
          <w:sz w:val="30"/>
          <w:szCs w:val="30"/>
          <w:rtl/>
        </w:rPr>
        <w:t>162.9</w:t>
      </w:r>
      <w:r w:rsidRPr="00B65701">
        <w:rPr>
          <w:rFonts w:ascii="Traditional Arabic" w:eastAsia="Sakkal Majalla" w:hAnsi="Traditional Arabic" w:cs="Traditional Arabic"/>
          <w:sz w:val="30"/>
          <w:szCs w:val="30"/>
          <w:rtl/>
        </w:rPr>
        <w:t xml:space="preserve"> مليون ريال عماني (</w:t>
      </w:r>
      <w:r w:rsidR="00671ED4">
        <w:rPr>
          <w:rFonts w:ascii="Traditional Arabic" w:eastAsia="Sakkal Majalla" w:hAnsi="Traditional Arabic" w:cs="Traditional Arabic" w:hint="cs"/>
          <w:sz w:val="30"/>
          <w:szCs w:val="30"/>
          <w:rtl/>
        </w:rPr>
        <w:t>423.0</w:t>
      </w:r>
      <w:r w:rsidRPr="00B65701">
        <w:rPr>
          <w:rFonts w:ascii="Traditional Arabic" w:eastAsia="Sakkal Majalla" w:hAnsi="Traditional Arabic" w:cs="Traditional Arabic"/>
          <w:sz w:val="30"/>
          <w:szCs w:val="30"/>
          <w:rtl/>
        </w:rPr>
        <w:t xml:space="preserve"> مليون دولار أمريكي)، على التوالي، وأرباحا قدرها 39.5 مليون ريال عماني (102.6 مليون دولار أمريكي) و </w:t>
      </w:r>
      <w:r w:rsidR="00671ED4">
        <w:rPr>
          <w:rFonts w:ascii="Traditional Arabic" w:eastAsia="Sakkal Majalla" w:hAnsi="Traditional Arabic" w:cs="Traditional Arabic" w:hint="cs"/>
          <w:sz w:val="30"/>
          <w:szCs w:val="30"/>
          <w:rtl/>
        </w:rPr>
        <w:t>45.9</w:t>
      </w:r>
      <w:r w:rsidRPr="00B65701">
        <w:rPr>
          <w:rFonts w:ascii="Traditional Arabic" w:eastAsia="Sakkal Majalla" w:hAnsi="Traditional Arabic" w:cs="Traditional Arabic"/>
          <w:sz w:val="30"/>
          <w:szCs w:val="30"/>
          <w:rtl/>
        </w:rPr>
        <w:t xml:space="preserve"> مليون ريال عماني (</w:t>
      </w:r>
      <w:r w:rsidR="00671ED4">
        <w:rPr>
          <w:rFonts w:ascii="Traditional Arabic" w:eastAsia="Sakkal Majalla" w:hAnsi="Traditional Arabic" w:cs="Traditional Arabic" w:hint="cs"/>
          <w:sz w:val="30"/>
          <w:szCs w:val="30"/>
          <w:rtl/>
        </w:rPr>
        <w:t>119.2</w:t>
      </w:r>
      <w:r w:rsidRPr="00B65701">
        <w:rPr>
          <w:rFonts w:ascii="Traditional Arabic" w:eastAsia="Sakkal Majalla" w:hAnsi="Traditional Arabic" w:cs="Traditional Arabic"/>
          <w:sz w:val="30"/>
          <w:szCs w:val="30"/>
          <w:rtl/>
        </w:rPr>
        <w:t xml:space="preserve"> مليون دولار أمريكي)، على التوالي</w:t>
      </w:r>
      <w:r w:rsidRPr="00B65701">
        <w:rPr>
          <w:rFonts w:ascii="Traditional Arabic" w:eastAsia="Sakkal Majalla" w:hAnsi="Traditional Arabic" w:cs="Traditional Arabic"/>
          <w:sz w:val="30"/>
          <w:szCs w:val="30"/>
        </w:rPr>
        <w:t xml:space="preserve">. </w:t>
      </w:r>
      <w:r w:rsidR="00292F2E">
        <w:rPr>
          <w:rFonts w:ascii="Traditional Arabic" w:eastAsia="Sakkal Majalla" w:hAnsi="Traditional Arabic" w:cs="Traditional Arabic" w:hint="cs"/>
          <w:sz w:val="30"/>
          <w:szCs w:val="30"/>
          <w:rtl/>
        </w:rPr>
        <w:t xml:space="preserve"> </w:t>
      </w:r>
      <w:r w:rsidR="00250532">
        <w:rPr>
          <w:rFonts w:ascii="Traditional Arabic" w:hAnsi="Traditional Arabic" w:cs="Traditional Arabic" w:hint="cs"/>
          <w:b/>
          <w:sz w:val="30"/>
          <w:szCs w:val="30"/>
          <w:rtl/>
        </w:rPr>
        <w:t>لمزيد من التعريفات المتعلقة بالمعلومات</w:t>
      </w:r>
      <w:r w:rsidR="00250532" w:rsidRPr="008D7454">
        <w:rPr>
          <w:rFonts w:ascii="Traditional Arabic" w:hAnsi="Traditional Arabic" w:cs="Traditional Arabic"/>
          <w:b/>
          <w:sz w:val="30"/>
          <w:szCs w:val="30"/>
          <w:rtl/>
        </w:rPr>
        <w:t xml:space="preserve"> غير </w:t>
      </w:r>
      <w:r w:rsidR="00250532" w:rsidRPr="008D7454">
        <w:rPr>
          <w:rFonts w:ascii="Traditional Arabic" w:hAnsi="Traditional Arabic" w:cs="Traditional Arabic" w:hint="cs"/>
          <w:b/>
          <w:sz w:val="30"/>
          <w:szCs w:val="30"/>
          <w:rtl/>
        </w:rPr>
        <w:t>ال</w:t>
      </w:r>
      <w:r w:rsidR="00250532" w:rsidRPr="008D7454">
        <w:rPr>
          <w:rFonts w:ascii="Traditional Arabic" w:hAnsi="Traditional Arabic" w:cs="Traditional Arabic"/>
          <w:b/>
          <w:sz w:val="30"/>
          <w:szCs w:val="30"/>
          <w:rtl/>
        </w:rPr>
        <w:t>متصلة بالمعايير الدولية</w:t>
      </w:r>
      <w:r w:rsidR="00250532">
        <w:rPr>
          <w:rFonts w:ascii="Traditional Arabic" w:hAnsi="Traditional Arabic" w:cs="Traditional Arabic" w:hint="cs"/>
          <w:b/>
          <w:sz w:val="30"/>
          <w:szCs w:val="30"/>
          <w:rtl/>
        </w:rPr>
        <w:t xml:space="preserve"> </w:t>
      </w:r>
      <w:r w:rsidR="00250532" w:rsidRPr="00B142CA">
        <w:rPr>
          <w:rFonts w:ascii="Traditional Arabic" w:hAnsi="Traditional Arabic" w:cs="Traditional Arabic"/>
          <w:b/>
          <w:sz w:val="30"/>
          <w:szCs w:val="30"/>
          <w:rtl/>
        </w:rPr>
        <w:t>لإعداد التقارير المالية</w:t>
      </w:r>
      <w:r w:rsidR="00250532" w:rsidRPr="008D7454">
        <w:rPr>
          <w:rFonts w:ascii="Traditional Arabic" w:hAnsi="Traditional Arabic" w:cs="Traditional Arabic" w:hint="cs"/>
          <w:b/>
          <w:sz w:val="30"/>
          <w:szCs w:val="30"/>
          <w:rtl/>
        </w:rPr>
        <w:t xml:space="preserve"> وغيرها من </w:t>
      </w:r>
      <w:r w:rsidR="00250532" w:rsidRPr="008D7454">
        <w:rPr>
          <w:rFonts w:ascii="Traditional Arabic" w:hAnsi="Traditional Arabic" w:cs="Traditional Arabic"/>
          <w:b/>
          <w:sz w:val="30"/>
          <w:szCs w:val="30"/>
          <w:rtl/>
        </w:rPr>
        <w:t>البيانات التشغيلية</w:t>
      </w:r>
      <w:r w:rsidR="00250532" w:rsidRPr="008D7454">
        <w:rPr>
          <w:rFonts w:ascii="Traditional Arabic" w:hAnsi="Traditional Arabic" w:cs="Traditional Arabic" w:hint="cs"/>
          <w:b/>
          <w:sz w:val="30"/>
          <w:szCs w:val="30"/>
          <w:rtl/>
        </w:rPr>
        <w:t xml:space="preserve"> المستخدمة ، بالرجاء الرجوع ل " </w:t>
      </w:r>
      <w:r w:rsidR="00250532" w:rsidRPr="008D7454">
        <w:rPr>
          <w:rFonts w:ascii="Traditional Arabic" w:hAnsi="Traditional Arabic" w:cs="Traditional Arabic"/>
          <w:b/>
          <w:i/>
          <w:iCs/>
          <w:sz w:val="30"/>
          <w:szCs w:val="30"/>
          <w:rtl/>
        </w:rPr>
        <w:t>عرض البيانات المالية وبيانات القطاع والسوق</w:t>
      </w:r>
      <w:r w:rsidR="00250532" w:rsidRPr="008D7454">
        <w:rPr>
          <w:rFonts w:ascii="Traditional Arabic" w:hAnsi="Traditional Arabic" w:cs="Traditional Arabic" w:hint="cs"/>
          <w:b/>
          <w:i/>
          <w:iCs/>
          <w:sz w:val="30"/>
          <w:szCs w:val="30"/>
          <w:rtl/>
        </w:rPr>
        <w:t xml:space="preserve">- </w:t>
      </w:r>
      <w:r w:rsidR="00250532" w:rsidRPr="008D7454">
        <w:rPr>
          <w:rFonts w:ascii="Traditional Arabic" w:hAnsi="Traditional Arabic" w:cs="Traditional Arabic"/>
          <w:b/>
          <w:i/>
          <w:iCs/>
          <w:sz w:val="30"/>
          <w:szCs w:val="30"/>
          <w:rtl/>
        </w:rPr>
        <w:t>معلومات غير متصلة بالمعايير الدولية لإعداد التقارير المالية وبعض البيانات التشغيلية</w:t>
      </w:r>
      <w:r w:rsidR="00250532">
        <w:rPr>
          <w:rFonts w:ascii="Traditional Arabic" w:hAnsi="Traditional Arabic" w:cs="Traditional Arabic" w:hint="cs"/>
          <w:b/>
          <w:i/>
          <w:iCs/>
          <w:sz w:val="30"/>
          <w:szCs w:val="30"/>
          <w:rtl/>
        </w:rPr>
        <w:t xml:space="preserve">" </w:t>
      </w:r>
    </w:p>
    <w:p w14:paraId="28D98593" w14:textId="77777777" w:rsidR="00B65701" w:rsidRDefault="00B65701" w:rsidP="00B65701">
      <w:pPr>
        <w:widowControl w:val="0"/>
        <w:bidi/>
        <w:jc w:val="both"/>
        <w:rPr>
          <w:rFonts w:ascii="Traditional Arabic" w:eastAsia="Sakkal Majalla" w:hAnsi="Traditional Arabic" w:cs="Traditional Arabic"/>
          <w:sz w:val="30"/>
          <w:szCs w:val="30"/>
          <w:rtl/>
        </w:rPr>
      </w:pPr>
    </w:p>
    <w:p w14:paraId="3BE6123F" w14:textId="77777777" w:rsidR="00B65701" w:rsidRPr="00272B36" w:rsidRDefault="00B65701" w:rsidP="00272B36">
      <w:pPr>
        <w:widowControl w:val="0"/>
        <w:bidi/>
        <w:jc w:val="both"/>
        <w:rPr>
          <w:rFonts w:ascii="Traditional Arabic" w:eastAsia="Sakkal Majalla" w:hAnsi="Traditional Arabic" w:cs="Traditional Arabic"/>
          <w:b/>
          <w:bCs/>
          <w:sz w:val="30"/>
          <w:szCs w:val="30"/>
          <w:rtl/>
        </w:rPr>
      </w:pPr>
      <w:r w:rsidRPr="00272B36">
        <w:rPr>
          <w:rFonts w:ascii="Traditional Arabic" w:eastAsia="Sakkal Majalla" w:hAnsi="Traditional Arabic" w:cs="Traditional Arabic"/>
          <w:b/>
          <w:bCs/>
          <w:sz w:val="30"/>
          <w:szCs w:val="30"/>
          <w:rtl/>
        </w:rPr>
        <w:t>نقاط القوة التنافسية والاستراتيجيات</w:t>
      </w:r>
    </w:p>
    <w:p w14:paraId="0456DD6C" w14:textId="77777777" w:rsidR="00B65701" w:rsidRPr="00272B36" w:rsidRDefault="00B65701" w:rsidP="00272B36">
      <w:pPr>
        <w:widowControl w:val="0"/>
        <w:bidi/>
        <w:jc w:val="both"/>
        <w:rPr>
          <w:rFonts w:ascii="Traditional Arabic" w:eastAsia="Sakkal Majalla" w:hAnsi="Traditional Arabic" w:cs="Traditional Arabic"/>
          <w:sz w:val="30"/>
          <w:szCs w:val="30"/>
          <w:rtl/>
        </w:rPr>
      </w:pPr>
      <w:r w:rsidRPr="00272B36">
        <w:rPr>
          <w:rFonts w:ascii="Traditional Arabic" w:eastAsia="Sakkal Majalla" w:hAnsi="Traditional Arabic" w:cs="Traditional Arabic"/>
          <w:sz w:val="30"/>
          <w:szCs w:val="30"/>
          <w:rtl/>
        </w:rPr>
        <w:t>تشمل نقاط القوة التنافسية للشركة ما يلي</w:t>
      </w:r>
      <w:r w:rsidRPr="00272B36">
        <w:rPr>
          <w:rFonts w:ascii="Traditional Arabic" w:eastAsia="Sakkal Majalla" w:hAnsi="Traditional Arabic" w:cs="Traditional Arabic"/>
          <w:sz w:val="30"/>
          <w:szCs w:val="30"/>
        </w:rPr>
        <w:t>:</w:t>
      </w:r>
    </w:p>
    <w:p w14:paraId="1379263E"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 xml:space="preserve">منصة </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عالمية المستوى مقرها في موقع استراتيجي مع وصول عالمي</w:t>
      </w:r>
      <w:r w:rsidRPr="00B65701">
        <w:rPr>
          <w:rFonts w:ascii="Traditional Arabic" w:eastAsia="Sakkal Majalla" w:hAnsi="Traditional Arabic" w:cs="Traditional Arabic"/>
          <w:sz w:val="30"/>
          <w:szCs w:val="30"/>
        </w:rPr>
        <w:t xml:space="preserve"> </w:t>
      </w:r>
    </w:p>
    <w:p w14:paraId="29BCE03B"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الاستفادة من توقعات قوية للسوق عبر القطاعات الأساسية للشركة مدعومة بالطلب المتزايد على ال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والحاجة إلى استبدال الأسطول القديم</w:t>
      </w:r>
      <w:r w:rsidRPr="00B65701">
        <w:rPr>
          <w:rFonts w:ascii="Traditional Arabic" w:eastAsia="Sakkal Majalla" w:hAnsi="Traditional Arabic" w:cs="Traditional Arabic"/>
          <w:sz w:val="30"/>
          <w:szCs w:val="30"/>
        </w:rPr>
        <w:t xml:space="preserve"> </w:t>
      </w:r>
    </w:p>
    <w:p w14:paraId="4DF30AC1"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قيمة إجمالية قوية في إيرادات العقود مدعومة بعلاقات طويلة الأمد مع أفضل العملاء، مما يوفر توقعات جيدة للتدفقات النقدية المستقبلية</w:t>
      </w:r>
      <w:r w:rsidRPr="00B65701">
        <w:rPr>
          <w:rFonts w:ascii="Traditional Arabic" w:eastAsia="Sakkal Majalla" w:hAnsi="Traditional Arabic" w:cs="Traditional Arabic"/>
          <w:sz w:val="30"/>
          <w:szCs w:val="30"/>
        </w:rPr>
        <w:t xml:space="preserve"> </w:t>
      </w:r>
    </w:p>
    <w:p w14:paraId="7FF06759"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محفظة مالية قوية ويمكن التنبؤ بها ومتنامية مدعومة بهوامش قوية</w:t>
      </w:r>
      <w:r w:rsidRPr="00B65701">
        <w:rPr>
          <w:rFonts w:ascii="Traditional Arabic" w:eastAsia="Sakkal Majalla" w:hAnsi="Traditional Arabic" w:cs="Traditional Arabic"/>
          <w:sz w:val="30"/>
          <w:szCs w:val="30"/>
        </w:rPr>
        <w:t xml:space="preserve"> </w:t>
      </w:r>
    </w:p>
    <w:p w14:paraId="44B9CE59"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استراتيجية نمو واضحة للتطوير في القطاعات ذات الأولوية</w:t>
      </w:r>
      <w:r w:rsidRPr="00B65701">
        <w:rPr>
          <w:rFonts w:ascii="Traditional Arabic" w:eastAsia="Sakkal Majalla" w:hAnsi="Traditional Arabic" w:cs="Traditional Arabic"/>
          <w:sz w:val="30"/>
          <w:szCs w:val="30"/>
        </w:rPr>
        <w:t xml:space="preserve"> </w:t>
      </w:r>
    </w:p>
    <w:p w14:paraId="272E007A"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فريق إدارة مؤهل تأهيلاً عالياً مدعوم بمساهم سيادي من ذوي الخبرة</w:t>
      </w:r>
      <w:r w:rsidRPr="00B65701">
        <w:rPr>
          <w:rFonts w:ascii="Traditional Arabic" w:eastAsia="Sakkal Majalla" w:hAnsi="Traditional Arabic" w:cs="Traditional Arabic"/>
          <w:sz w:val="30"/>
          <w:szCs w:val="30"/>
        </w:rPr>
        <w:t xml:space="preserve"> </w:t>
      </w:r>
    </w:p>
    <w:p w14:paraId="2AD5217D"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قيادة وتنفيذ مبادرات الممارسات البيئية والاجتماعية والحوكمة لضمان المزايا التنافسية وتعزيز مكانة السوق</w:t>
      </w:r>
      <w:r w:rsidRPr="00B65701">
        <w:rPr>
          <w:rFonts w:ascii="Traditional Arabic" w:eastAsia="Sakkal Majalla" w:hAnsi="Traditional Arabic" w:cs="Traditional Arabic"/>
          <w:sz w:val="30"/>
          <w:szCs w:val="30"/>
        </w:rPr>
        <w:t xml:space="preserve"> </w:t>
      </w:r>
    </w:p>
    <w:p w14:paraId="4D7271BB" w14:textId="77777777" w:rsidR="00B65701" w:rsidRDefault="00B65701" w:rsidP="00B65701">
      <w:pPr>
        <w:widowControl w:val="0"/>
        <w:bidi/>
        <w:jc w:val="both"/>
        <w:rPr>
          <w:rFonts w:ascii="Traditional Arabic" w:eastAsia="Sakkal Majalla" w:hAnsi="Traditional Arabic" w:cs="Traditional Arabic"/>
          <w:sz w:val="30"/>
          <w:szCs w:val="30"/>
          <w:rtl/>
        </w:rPr>
      </w:pPr>
    </w:p>
    <w:p w14:paraId="3A81EB0D" w14:textId="77777777" w:rsidR="00B65701" w:rsidRPr="00B65701" w:rsidRDefault="00B65701" w:rsidP="00272B36">
      <w:pPr>
        <w:widowControl w:val="0"/>
        <w:bidi/>
        <w:jc w:val="both"/>
        <w:rPr>
          <w:rFonts w:ascii="Traditional Arabic" w:eastAsia="Sakkal Majalla" w:hAnsi="Traditional Arabic" w:cs="Traditional Arabic"/>
          <w:b/>
          <w:bCs/>
          <w:sz w:val="30"/>
          <w:szCs w:val="30"/>
          <w:rtl/>
        </w:rPr>
      </w:pPr>
      <w:r w:rsidRPr="00B65701">
        <w:rPr>
          <w:rFonts w:ascii="Traditional Arabic" w:eastAsia="Sakkal Majalla" w:hAnsi="Traditional Arabic" w:cs="Traditional Arabic"/>
          <w:b/>
          <w:bCs/>
          <w:sz w:val="30"/>
          <w:szCs w:val="30"/>
          <w:rtl/>
        </w:rPr>
        <w:t>تشمل استراتيجيات الشركة ما يلي</w:t>
      </w:r>
      <w:r w:rsidRPr="00B65701">
        <w:rPr>
          <w:rFonts w:ascii="Traditional Arabic" w:eastAsia="Sakkal Majalla" w:hAnsi="Traditional Arabic" w:cs="Traditional Arabic"/>
          <w:b/>
          <w:bCs/>
          <w:sz w:val="30"/>
          <w:szCs w:val="30"/>
        </w:rPr>
        <w:t>:</w:t>
      </w:r>
    </w:p>
    <w:p w14:paraId="25231C94"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 xml:space="preserve">تنفيذ برنامج قوي للإنفاق الرأسمالي، يركز على (1) تجديد الأسطول للحفاظ على أسطول حديث، (2) استثمارات النمو لجذب فرص النمو في السوق، و (3) تنويع محفظة سفنها بناءً على التوقعات لقطاعات </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النفط الخام، و</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البضائع السائبة الجافة، وال</w:t>
      </w:r>
      <w:r w:rsidR="00167760">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الملاحي المنتظم</w:t>
      </w:r>
      <w:r w:rsidRPr="00B65701">
        <w:rPr>
          <w:rFonts w:ascii="Traditional Arabic" w:eastAsia="Sakkal Majalla" w:hAnsi="Traditional Arabic" w:cs="Traditional Arabic"/>
          <w:sz w:val="30"/>
          <w:szCs w:val="30"/>
        </w:rPr>
        <w:t>.</w:t>
      </w:r>
    </w:p>
    <w:p w14:paraId="4F0C1ED9"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lastRenderedPageBreak/>
        <w:t xml:space="preserve">تهدف استراتيجية تحسين أعمال الشركة إلى </w:t>
      </w:r>
      <w:r w:rsidR="00BA3DB6">
        <w:rPr>
          <w:rFonts w:ascii="Traditional Arabic" w:eastAsia="Sakkal Majalla" w:hAnsi="Traditional Arabic" w:cs="Traditional Arabic" w:hint="cs"/>
          <w:sz w:val="30"/>
          <w:szCs w:val="30"/>
          <w:rtl/>
        </w:rPr>
        <w:t>مساعدة</w:t>
      </w:r>
      <w:r w:rsidRPr="00B65701">
        <w:rPr>
          <w:rFonts w:ascii="Traditional Arabic" w:eastAsia="Sakkal Majalla" w:hAnsi="Traditional Arabic" w:cs="Traditional Arabic"/>
          <w:sz w:val="30"/>
          <w:szCs w:val="30"/>
          <w:rtl/>
        </w:rPr>
        <w:t xml:space="preserve"> الشركة على الحفاظ على تميزها التشغيلي مع الاستفادة من نقاط قوتها الحالية للاستفادة من توقعات السوق المواتية عند ظهورها</w:t>
      </w:r>
      <w:r w:rsidRPr="00B65701">
        <w:rPr>
          <w:rFonts w:ascii="Traditional Arabic" w:eastAsia="Sakkal Majalla" w:hAnsi="Traditional Arabic" w:cs="Traditional Arabic"/>
          <w:sz w:val="30"/>
          <w:szCs w:val="30"/>
        </w:rPr>
        <w:t>.</w:t>
      </w:r>
    </w:p>
    <w:p w14:paraId="1F0856CE"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الاستفادة من فرص القروض الجديدة وإعادة التمويل من أجل تحسين قوة ميزانيتها العامة وتحسين استخدام الأصول</w:t>
      </w:r>
    </w:p>
    <w:p w14:paraId="1DF6ECDD"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مواصلة مواءمة ديونها مع استراتيجيات مساهمها الرئيسي، مجموعة أسياد، من أجل تعظيم الفوائد الضريبية والاستفادة من أوجه التعاون وتكامل الجهود في التخطيط المالي حيثما وجدت</w:t>
      </w:r>
      <w:r w:rsidRPr="00B65701">
        <w:rPr>
          <w:rFonts w:ascii="Traditional Arabic" w:eastAsia="Sakkal Majalla" w:hAnsi="Traditional Arabic" w:cs="Traditional Arabic"/>
          <w:sz w:val="30"/>
          <w:szCs w:val="30"/>
        </w:rPr>
        <w:t>.</w:t>
      </w:r>
    </w:p>
    <w:p w14:paraId="24E98D77"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تنفيذ أفضل الممارسات التي تضمن أن عمليات صنع القرار تتسم بالكفاءة والفعالية، من أجل تبسيط عمليات</w:t>
      </w:r>
      <w:r w:rsidR="00991F3A">
        <w:rPr>
          <w:rFonts w:ascii="Traditional Arabic" w:eastAsia="Sakkal Majalla" w:hAnsi="Traditional Arabic" w:cs="Traditional Arabic" w:hint="cs"/>
          <w:sz w:val="30"/>
          <w:szCs w:val="30"/>
          <w:rtl/>
        </w:rPr>
        <w:t xml:space="preserve"> الشركة</w:t>
      </w:r>
      <w:r w:rsidRPr="00B65701">
        <w:rPr>
          <w:rFonts w:ascii="Traditional Arabic" w:eastAsia="Sakkal Majalla" w:hAnsi="Traditional Arabic" w:cs="Traditional Arabic"/>
          <w:sz w:val="30"/>
          <w:szCs w:val="30"/>
          <w:rtl/>
        </w:rPr>
        <w:t>، ونتيجة لذلك، تقليل تكاليف التشغيل</w:t>
      </w:r>
      <w:r w:rsidRPr="00B65701">
        <w:rPr>
          <w:rFonts w:ascii="Traditional Arabic" w:eastAsia="Sakkal Majalla" w:hAnsi="Traditional Arabic" w:cs="Traditional Arabic"/>
          <w:sz w:val="30"/>
          <w:szCs w:val="30"/>
        </w:rPr>
        <w:t xml:space="preserve">. </w:t>
      </w:r>
    </w:p>
    <w:p w14:paraId="2EE4C408" w14:textId="77777777" w:rsidR="00B65701" w:rsidRPr="00B65701" w:rsidRDefault="00B65701" w:rsidP="00D925C8">
      <w:pPr>
        <w:pStyle w:val="ListParagraph"/>
        <w:widowControl w:val="0"/>
        <w:numPr>
          <w:ilvl w:val="0"/>
          <w:numId w:val="64"/>
        </w:numPr>
        <w:bidi/>
        <w:ind w:left="571" w:hanging="567"/>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تقييم فرص تأسيس شركات متخصصة ل</w:t>
      </w:r>
      <w:r w:rsidR="00633A67">
        <w:rPr>
          <w:rFonts w:ascii="Traditional Arabic" w:eastAsia="Sakkal Majalla" w:hAnsi="Traditional Arabic" w:cs="Traditional Arabic" w:hint="cs"/>
          <w:sz w:val="30"/>
          <w:szCs w:val="30"/>
          <w:rtl/>
        </w:rPr>
        <w:t>بلغ م</w:t>
      </w:r>
      <w:r w:rsidRPr="00B65701">
        <w:rPr>
          <w:rFonts w:ascii="Traditional Arabic" w:eastAsia="Sakkal Majalla" w:hAnsi="Traditional Arabic" w:cs="Traditional Arabic"/>
          <w:sz w:val="30"/>
          <w:szCs w:val="30"/>
          <w:rtl/>
        </w:rPr>
        <w:t xml:space="preserve"> التركيز التشغيلي والكفاءة</w:t>
      </w:r>
      <w:r w:rsidRPr="00B65701">
        <w:rPr>
          <w:rFonts w:ascii="Traditional Arabic" w:eastAsia="Sakkal Majalla" w:hAnsi="Traditional Arabic" w:cs="Traditional Arabic"/>
          <w:sz w:val="30"/>
          <w:szCs w:val="30"/>
        </w:rPr>
        <w:t xml:space="preserve">. </w:t>
      </w:r>
    </w:p>
    <w:p w14:paraId="19412A6B" w14:textId="77777777" w:rsidR="00B65701" w:rsidRDefault="00B65701" w:rsidP="00B65701">
      <w:pPr>
        <w:widowControl w:val="0"/>
        <w:bidi/>
        <w:jc w:val="both"/>
        <w:rPr>
          <w:rFonts w:ascii="Traditional Arabic" w:eastAsia="Sakkal Majalla" w:hAnsi="Traditional Arabic" w:cs="Traditional Arabic"/>
          <w:sz w:val="30"/>
          <w:szCs w:val="30"/>
          <w:rtl/>
        </w:rPr>
      </w:pPr>
    </w:p>
    <w:p w14:paraId="74051798" w14:textId="77777777" w:rsidR="00B65701" w:rsidRPr="00B65701" w:rsidRDefault="00B65701" w:rsidP="00272B36">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لمزيد من المعلومات حول نقاط القوة التنافسية والاستراتيجيات للشركة، يرجى الاطلاع على "الفصل الثاني عشر - وصف الشركة ونظرة عامة على الأعمال</w:t>
      </w:r>
      <w:r w:rsidRPr="00B65701">
        <w:rPr>
          <w:rFonts w:ascii="Traditional Arabic" w:eastAsia="Sakkal Majalla" w:hAnsi="Traditional Arabic" w:cs="Traditional Arabic"/>
          <w:sz w:val="30"/>
          <w:szCs w:val="30"/>
        </w:rPr>
        <w:t xml:space="preserve"> ".</w:t>
      </w:r>
    </w:p>
    <w:p w14:paraId="0267226D" w14:textId="77777777" w:rsidR="00B46AB2" w:rsidRPr="00B46AB2" w:rsidRDefault="00B46AB2" w:rsidP="00B46AB2">
      <w:pPr>
        <w:widowControl w:val="0"/>
        <w:bidi/>
        <w:jc w:val="both"/>
        <w:rPr>
          <w:rFonts w:ascii="Traditional Arabic" w:eastAsia="Sakkal Majalla" w:hAnsi="Traditional Arabic" w:cs="Traditional Arabic"/>
          <w:sz w:val="30"/>
          <w:szCs w:val="30"/>
        </w:rPr>
      </w:pPr>
    </w:p>
    <w:p w14:paraId="49A05AFB" w14:textId="77777777" w:rsidR="00BB22CD" w:rsidRPr="00EB5BCF" w:rsidRDefault="00BB22CD" w:rsidP="00BB22CD">
      <w:pPr>
        <w:pStyle w:val="BodyText1"/>
        <w:bidi/>
        <w:spacing w:after="0"/>
        <w:rPr>
          <w:rFonts w:ascii="Traditional Arabic" w:hAnsi="Traditional Arabic" w:cs="Traditional Arabic"/>
          <w:i/>
          <w:sz w:val="30"/>
          <w:szCs w:val="30"/>
          <w:rtl/>
          <w:lang w:val="en-GB"/>
        </w:rPr>
      </w:pPr>
    </w:p>
    <w:p w14:paraId="27CF2F8C" w14:textId="77777777" w:rsidR="00BB22CD" w:rsidRPr="00EB5BCF" w:rsidRDefault="00BB22CD" w:rsidP="00BB22CD">
      <w:pPr>
        <w:pStyle w:val="BodyText1"/>
        <w:bidi/>
        <w:spacing w:after="0"/>
        <w:rPr>
          <w:rFonts w:ascii="Traditional Arabic" w:hAnsi="Traditional Arabic" w:cs="Traditional Arabic"/>
          <w:i/>
          <w:sz w:val="30"/>
          <w:szCs w:val="30"/>
          <w:rtl/>
          <w:lang w:val="en-GB"/>
        </w:rPr>
      </w:pPr>
    </w:p>
    <w:p w14:paraId="525FC89A" w14:textId="77777777" w:rsidR="00BB22CD" w:rsidRPr="00EB5BCF" w:rsidRDefault="00BB22CD" w:rsidP="00BB22CD">
      <w:pPr>
        <w:pStyle w:val="BodyText1"/>
        <w:bidi/>
        <w:spacing w:after="0"/>
        <w:rPr>
          <w:rFonts w:ascii="Traditional Arabic" w:hAnsi="Traditional Arabic" w:cs="Traditional Arabic"/>
          <w:i/>
          <w:sz w:val="30"/>
          <w:szCs w:val="30"/>
          <w:rtl/>
          <w:lang w:val="en-GB"/>
        </w:rPr>
      </w:pPr>
    </w:p>
    <w:p w14:paraId="3F9FA55F" w14:textId="77777777" w:rsidR="00BB22CD" w:rsidRPr="00EB5BCF" w:rsidRDefault="00BB22CD" w:rsidP="00BB22CD">
      <w:pPr>
        <w:pStyle w:val="BodyText1"/>
        <w:bidi/>
        <w:spacing w:after="0"/>
        <w:rPr>
          <w:rFonts w:ascii="Traditional Arabic" w:hAnsi="Traditional Arabic" w:cs="Traditional Arabic"/>
          <w:i/>
          <w:sz w:val="30"/>
          <w:szCs w:val="30"/>
          <w:rtl/>
          <w:lang w:val="en-GB"/>
        </w:rPr>
      </w:pPr>
    </w:p>
    <w:p w14:paraId="6A97F6CA" w14:textId="77777777" w:rsidR="00BB22CD" w:rsidRPr="00EB5BCF" w:rsidRDefault="00BB22CD" w:rsidP="00BB22CD">
      <w:pPr>
        <w:pStyle w:val="BodyText1"/>
        <w:bidi/>
        <w:spacing w:after="0"/>
        <w:rPr>
          <w:rFonts w:ascii="Traditional Arabic" w:hAnsi="Traditional Arabic" w:cs="Traditional Arabic"/>
          <w:i/>
          <w:sz w:val="30"/>
          <w:szCs w:val="30"/>
          <w:rtl/>
          <w:lang w:val="en-GB"/>
        </w:rPr>
      </w:pPr>
    </w:p>
    <w:p w14:paraId="62E395F2" w14:textId="77777777" w:rsidR="00BB22CD" w:rsidRPr="00EB5BCF" w:rsidRDefault="00BB22CD" w:rsidP="00BB22CD">
      <w:pPr>
        <w:pStyle w:val="BodyText1"/>
        <w:bidi/>
        <w:spacing w:after="0"/>
        <w:rPr>
          <w:rFonts w:ascii="Traditional Arabic" w:hAnsi="Traditional Arabic" w:cs="Traditional Arabic"/>
          <w:i/>
          <w:sz w:val="30"/>
          <w:szCs w:val="30"/>
          <w:rtl/>
          <w:lang w:val="en-GB"/>
        </w:rPr>
      </w:pPr>
    </w:p>
    <w:p w14:paraId="4FFC5AB3" w14:textId="77777777" w:rsidR="004C2C8B" w:rsidRPr="00EB5BCF" w:rsidRDefault="004C2C8B" w:rsidP="004C2C8B">
      <w:pPr>
        <w:pStyle w:val="BodyText1"/>
        <w:bidi/>
        <w:spacing w:after="0"/>
        <w:rPr>
          <w:rFonts w:ascii="Traditional Arabic" w:hAnsi="Traditional Arabic" w:cs="Traditional Arabic"/>
          <w:i/>
          <w:sz w:val="30"/>
          <w:szCs w:val="30"/>
          <w:rtl/>
          <w:lang w:val="en-GB"/>
        </w:rPr>
      </w:pPr>
    </w:p>
    <w:p w14:paraId="1F30738D" w14:textId="77777777" w:rsidR="00BB22CD" w:rsidRDefault="00BB22CD" w:rsidP="00BB22CD">
      <w:pPr>
        <w:pStyle w:val="BodyText1"/>
        <w:bidi/>
        <w:spacing w:after="0"/>
        <w:rPr>
          <w:rFonts w:ascii="Traditional Arabic" w:hAnsi="Traditional Arabic" w:cs="Traditional Arabic"/>
          <w:i/>
          <w:sz w:val="30"/>
          <w:szCs w:val="30"/>
          <w:rtl/>
          <w:lang w:val="en-GB"/>
        </w:rPr>
      </w:pPr>
    </w:p>
    <w:p w14:paraId="20CD98A1" w14:textId="77777777" w:rsidR="00DC7B26" w:rsidRDefault="00DC7B26" w:rsidP="00DC7B26">
      <w:pPr>
        <w:pStyle w:val="BodyText1"/>
        <w:bidi/>
        <w:spacing w:after="0"/>
        <w:rPr>
          <w:rFonts w:ascii="Traditional Arabic" w:hAnsi="Traditional Arabic" w:cs="Traditional Arabic"/>
          <w:i/>
          <w:sz w:val="30"/>
          <w:szCs w:val="30"/>
          <w:rtl/>
          <w:lang w:val="en-GB"/>
        </w:rPr>
      </w:pPr>
    </w:p>
    <w:p w14:paraId="0A651901" w14:textId="77777777" w:rsidR="00DC7B26" w:rsidRDefault="00DC7B26" w:rsidP="00DC7B26">
      <w:pPr>
        <w:pStyle w:val="BodyText1"/>
        <w:bidi/>
        <w:spacing w:after="0"/>
        <w:rPr>
          <w:rFonts w:ascii="Traditional Arabic" w:hAnsi="Traditional Arabic" w:cs="Traditional Arabic"/>
          <w:i/>
          <w:sz w:val="30"/>
          <w:szCs w:val="30"/>
          <w:rtl/>
          <w:lang w:val="en-GB"/>
        </w:rPr>
      </w:pPr>
    </w:p>
    <w:p w14:paraId="637CFDE6" w14:textId="77777777" w:rsidR="00DC7B26" w:rsidRDefault="00DC7B26" w:rsidP="00DC7B26">
      <w:pPr>
        <w:pStyle w:val="BodyText1"/>
        <w:bidi/>
        <w:spacing w:after="0"/>
        <w:rPr>
          <w:rFonts w:ascii="Traditional Arabic" w:hAnsi="Traditional Arabic" w:cs="Traditional Arabic"/>
          <w:i/>
          <w:sz w:val="30"/>
          <w:szCs w:val="30"/>
          <w:rtl/>
          <w:lang w:val="en-GB"/>
        </w:rPr>
      </w:pPr>
    </w:p>
    <w:p w14:paraId="4D2545C8" w14:textId="77777777" w:rsidR="00DC7B26" w:rsidRDefault="00DC7B26" w:rsidP="00DC7B26">
      <w:pPr>
        <w:pStyle w:val="BodyText1"/>
        <w:bidi/>
        <w:spacing w:after="0"/>
        <w:rPr>
          <w:rFonts w:ascii="Traditional Arabic" w:hAnsi="Traditional Arabic" w:cs="Traditional Arabic"/>
          <w:i/>
          <w:sz w:val="30"/>
          <w:szCs w:val="30"/>
          <w:rtl/>
          <w:lang w:val="en-GB"/>
        </w:rPr>
      </w:pPr>
    </w:p>
    <w:p w14:paraId="29F2F2B5" w14:textId="77777777" w:rsidR="00DC7B26" w:rsidRDefault="00DC7B26" w:rsidP="00DC7B26">
      <w:pPr>
        <w:pStyle w:val="BodyText1"/>
        <w:bidi/>
        <w:spacing w:after="0"/>
        <w:rPr>
          <w:rFonts w:ascii="Traditional Arabic" w:hAnsi="Traditional Arabic" w:cs="Traditional Arabic"/>
          <w:i/>
          <w:sz w:val="30"/>
          <w:szCs w:val="30"/>
          <w:rtl/>
          <w:lang w:val="en-GB"/>
        </w:rPr>
      </w:pPr>
    </w:p>
    <w:p w14:paraId="6855D68E" w14:textId="77777777" w:rsidR="00DC7B26" w:rsidRDefault="00DC7B26" w:rsidP="00DC7B26">
      <w:pPr>
        <w:pStyle w:val="BodyText1"/>
        <w:bidi/>
        <w:spacing w:after="0"/>
        <w:rPr>
          <w:rFonts w:ascii="Traditional Arabic" w:hAnsi="Traditional Arabic" w:cs="Traditional Arabic"/>
          <w:i/>
          <w:sz w:val="30"/>
          <w:szCs w:val="30"/>
          <w:rtl/>
          <w:lang w:val="en-GB"/>
        </w:rPr>
      </w:pPr>
    </w:p>
    <w:p w14:paraId="4014E665" w14:textId="77777777" w:rsidR="00DC7B26" w:rsidRDefault="00DC7B26" w:rsidP="00DC7B26">
      <w:pPr>
        <w:pStyle w:val="BodyText1"/>
        <w:bidi/>
        <w:spacing w:after="0"/>
        <w:rPr>
          <w:rFonts w:ascii="Traditional Arabic" w:hAnsi="Traditional Arabic" w:cs="Traditional Arabic"/>
          <w:i/>
          <w:sz w:val="30"/>
          <w:szCs w:val="30"/>
          <w:rtl/>
          <w:lang w:val="en-GB"/>
        </w:rPr>
      </w:pPr>
    </w:p>
    <w:p w14:paraId="7CD77E3D" w14:textId="77777777" w:rsidR="00DC7B26" w:rsidRPr="00EB5BCF" w:rsidRDefault="00DC7B26" w:rsidP="00DC7B26">
      <w:pPr>
        <w:pStyle w:val="BodyText1"/>
        <w:bidi/>
        <w:spacing w:after="0"/>
        <w:rPr>
          <w:rFonts w:ascii="Traditional Arabic" w:hAnsi="Traditional Arabic" w:cs="Traditional Arabic"/>
          <w:i/>
          <w:sz w:val="30"/>
          <w:szCs w:val="30"/>
          <w:rtl/>
          <w:lang w:val="en-GB"/>
        </w:rPr>
      </w:pPr>
    </w:p>
    <w:p w14:paraId="7212EA49" w14:textId="77777777" w:rsidR="00BB22CD" w:rsidRPr="00EB5BCF" w:rsidRDefault="00BB22CD" w:rsidP="00BB22CD">
      <w:pPr>
        <w:pStyle w:val="BodyText1"/>
        <w:bidi/>
        <w:spacing w:after="0"/>
        <w:rPr>
          <w:rFonts w:ascii="Traditional Arabic" w:hAnsi="Traditional Arabic" w:cs="Traditional Arabic"/>
          <w:i/>
          <w:sz w:val="30"/>
          <w:szCs w:val="30"/>
          <w:rtl/>
          <w:lang w:val="en-GB"/>
        </w:rPr>
      </w:pPr>
    </w:p>
    <w:p w14:paraId="5AB2E3BC" w14:textId="77777777" w:rsidR="00BB22CD" w:rsidRPr="00EB5BCF" w:rsidRDefault="00BB22CD" w:rsidP="00BB22CD">
      <w:pPr>
        <w:pStyle w:val="BodyText1"/>
        <w:bidi/>
        <w:spacing w:after="0"/>
        <w:rPr>
          <w:rFonts w:ascii="Traditional Arabic" w:hAnsi="Traditional Arabic" w:cs="Traditional Arabic"/>
          <w:i/>
          <w:sz w:val="30"/>
          <w:szCs w:val="30"/>
          <w:rtl/>
          <w:lang w:val="en-GB"/>
        </w:rPr>
      </w:pPr>
    </w:p>
    <w:p w14:paraId="1BD78ED2" w14:textId="77777777" w:rsidR="00BB22CD" w:rsidRPr="00EB5BCF" w:rsidRDefault="00BB22CD" w:rsidP="00BB22CD">
      <w:pPr>
        <w:pStyle w:val="BodyText1"/>
        <w:bidi/>
        <w:spacing w:after="0"/>
        <w:rPr>
          <w:rFonts w:ascii="Traditional Arabic" w:hAnsi="Traditional Arabic" w:cs="Traditional Arabic"/>
          <w:i/>
          <w:sz w:val="30"/>
          <w:szCs w:val="30"/>
          <w:rtl/>
          <w:lang w:val="en-GB"/>
        </w:rPr>
      </w:pPr>
    </w:p>
    <w:p w14:paraId="378EDADE" w14:textId="77777777" w:rsidR="00585226" w:rsidRPr="00EB5BCF" w:rsidRDefault="00BB22CD"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الفصل الثالث</w:t>
      </w:r>
    </w:p>
    <w:p w14:paraId="7E6F428C" w14:textId="77777777" w:rsidR="00BB22CD" w:rsidRPr="00EB5BCF" w:rsidRDefault="004C2C8B"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معلومات عامة عن الطرح والشركة</w:t>
      </w:r>
    </w:p>
    <w:tbl>
      <w:tblPr>
        <w:tblStyle w:val="TableGrid"/>
        <w:bidiVisual/>
        <w:tblW w:w="0" w:type="auto"/>
        <w:tblLook w:val="04A0" w:firstRow="1" w:lastRow="0" w:firstColumn="1" w:lastColumn="0" w:noHBand="0" w:noVBand="1"/>
      </w:tblPr>
      <w:tblGrid>
        <w:gridCol w:w="2516"/>
        <w:gridCol w:w="6834"/>
      </w:tblGrid>
      <w:tr w:rsidR="004C2C8B" w:rsidRPr="00EB5BCF" w14:paraId="12D03054" w14:textId="77777777" w:rsidTr="004C2C8B">
        <w:tc>
          <w:tcPr>
            <w:tcW w:w="2516" w:type="dxa"/>
          </w:tcPr>
          <w:p w14:paraId="0D58F524" w14:textId="77777777" w:rsidR="004C2C8B" w:rsidRPr="00EB5BCF" w:rsidRDefault="004C2C8B" w:rsidP="00A64E73">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noProof/>
                <w:sz w:val="30"/>
                <w:szCs w:val="30"/>
                <w:rtl/>
                <w:lang w:val="en-GB"/>
              </w:rPr>
              <w:t>الاسم</w:t>
            </w:r>
          </w:p>
        </w:tc>
        <w:tc>
          <w:tcPr>
            <w:tcW w:w="6834" w:type="dxa"/>
          </w:tcPr>
          <w:p w14:paraId="28C1185B" w14:textId="77777777" w:rsidR="004C2C8B" w:rsidRPr="00EB5BCF" w:rsidRDefault="00586C45" w:rsidP="00A64E73">
            <w:pPr>
              <w:pStyle w:val="TOC1"/>
              <w:tabs>
                <w:tab w:val="clear" w:pos="9360"/>
                <w:tab w:val="left" w:pos="1772"/>
              </w:tabs>
              <w:bidi/>
              <w:jc w:val="both"/>
              <w:rPr>
                <w:rFonts w:ascii="Traditional Arabic" w:hAnsi="Traditional Arabic" w:cs="Traditional Arabic"/>
                <w:b/>
                <w:noProof/>
                <w:sz w:val="30"/>
                <w:szCs w:val="30"/>
                <w:rtl/>
                <w:lang w:val="en-GB"/>
              </w:rPr>
            </w:pPr>
            <w:r>
              <w:rPr>
                <w:rFonts w:ascii="Traditional Arabic" w:hAnsi="Traditional Arabic" w:cs="Traditional Arabic" w:hint="cs"/>
                <w:b/>
                <w:noProof/>
                <w:sz w:val="30"/>
                <w:szCs w:val="30"/>
                <w:rtl/>
                <w:lang w:val="en-GB"/>
              </w:rPr>
              <w:t xml:space="preserve">شركة </w:t>
            </w:r>
            <w:r w:rsidR="00A15C68">
              <w:rPr>
                <w:rFonts w:ascii="Traditional Arabic" w:hAnsi="Traditional Arabic" w:cs="Traditional Arabic"/>
                <w:b/>
                <w:noProof/>
                <w:sz w:val="30"/>
                <w:szCs w:val="30"/>
                <w:rtl/>
                <w:lang w:val="en-GB"/>
              </w:rPr>
              <w:t>أسياد للنقل البحري</w:t>
            </w:r>
            <w:r w:rsidR="0034195E">
              <w:rPr>
                <w:rFonts w:ascii="Traditional Arabic" w:hAnsi="Traditional Arabic" w:cs="Traditional Arabic"/>
                <w:b/>
                <w:noProof/>
                <w:sz w:val="30"/>
                <w:szCs w:val="30"/>
                <w:rtl/>
                <w:lang w:val="en-GB"/>
              </w:rPr>
              <w:t xml:space="preserve"> ش م ع ع (قيد التحول)</w:t>
            </w:r>
            <w:r w:rsidR="00F1281F" w:rsidRPr="00EB5BCF">
              <w:rPr>
                <w:rFonts w:ascii="Traditional Arabic" w:hAnsi="Traditional Arabic" w:cs="Traditional Arabic"/>
                <w:b/>
                <w:noProof/>
                <w:sz w:val="30"/>
                <w:szCs w:val="30"/>
                <w:rtl/>
                <w:lang w:val="en-GB"/>
              </w:rPr>
              <w:t>.</w:t>
            </w:r>
          </w:p>
        </w:tc>
      </w:tr>
      <w:tr w:rsidR="004C2C8B" w:rsidRPr="00EB5BCF" w14:paraId="75F4D7B8" w14:textId="77777777" w:rsidTr="004C2C8B">
        <w:tc>
          <w:tcPr>
            <w:tcW w:w="2516" w:type="dxa"/>
          </w:tcPr>
          <w:p w14:paraId="57DAD51D" w14:textId="77777777" w:rsidR="004C2C8B" w:rsidRPr="00EB5BCF" w:rsidRDefault="004C2C8B" w:rsidP="00A64E73">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noProof/>
                <w:sz w:val="30"/>
                <w:szCs w:val="30"/>
                <w:rtl/>
                <w:lang w:val="en-GB"/>
              </w:rPr>
              <w:t>رقم السجل التجاري</w:t>
            </w:r>
          </w:p>
        </w:tc>
        <w:tc>
          <w:tcPr>
            <w:tcW w:w="6834" w:type="dxa"/>
          </w:tcPr>
          <w:p w14:paraId="012EA822" w14:textId="77777777" w:rsidR="004C2C8B" w:rsidRPr="00EB5BCF" w:rsidRDefault="00164451" w:rsidP="00A64E73">
            <w:pPr>
              <w:pStyle w:val="TOC1"/>
              <w:tabs>
                <w:tab w:val="clear" w:pos="9360"/>
                <w:tab w:val="left" w:pos="1772"/>
              </w:tabs>
              <w:bidi/>
              <w:jc w:val="both"/>
              <w:rPr>
                <w:rFonts w:ascii="Traditional Arabic" w:hAnsi="Traditional Arabic" w:cs="Traditional Arabic"/>
                <w:b/>
                <w:noProof/>
                <w:sz w:val="30"/>
                <w:szCs w:val="30"/>
                <w:rtl/>
                <w:lang w:val="en-GB"/>
              </w:rPr>
            </w:pPr>
            <w:r>
              <w:rPr>
                <w:rFonts w:ascii="Traditional Arabic" w:hAnsi="Traditional Arabic" w:cs="Traditional Arabic" w:hint="cs"/>
                <w:b/>
                <w:noProof/>
                <w:sz w:val="30"/>
                <w:szCs w:val="30"/>
                <w:rtl/>
                <w:lang w:val="en-GB"/>
              </w:rPr>
              <w:t>1723154</w:t>
            </w:r>
          </w:p>
        </w:tc>
      </w:tr>
      <w:tr w:rsidR="004C2C8B" w:rsidRPr="00EB5BCF" w14:paraId="1E69F55F" w14:textId="77777777" w:rsidTr="004C2C8B">
        <w:tc>
          <w:tcPr>
            <w:tcW w:w="2516" w:type="dxa"/>
          </w:tcPr>
          <w:p w14:paraId="4D04B6F7" w14:textId="77777777" w:rsidR="004C2C8B" w:rsidRPr="00EB5BCF" w:rsidRDefault="004C2C8B" w:rsidP="00A64E73">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noProof/>
                <w:sz w:val="30"/>
                <w:szCs w:val="30"/>
                <w:rtl/>
                <w:lang w:val="en-GB"/>
              </w:rPr>
              <w:t>تاريخ التسجيل</w:t>
            </w:r>
          </w:p>
        </w:tc>
        <w:tc>
          <w:tcPr>
            <w:tcW w:w="6834" w:type="dxa"/>
          </w:tcPr>
          <w:p w14:paraId="48EBF02E" w14:textId="77777777" w:rsidR="004C2C8B" w:rsidRPr="00EB5BCF" w:rsidRDefault="00164451" w:rsidP="00A64E73">
            <w:pPr>
              <w:pStyle w:val="TOC1"/>
              <w:tabs>
                <w:tab w:val="clear" w:pos="9360"/>
                <w:tab w:val="left" w:pos="1772"/>
              </w:tabs>
              <w:bidi/>
              <w:jc w:val="both"/>
              <w:rPr>
                <w:rFonts w:ascii="Traditional Arabic" w:hAnsi="Traditional Arabic" w:cs="Traditional Arabic"/>
                <w:b/>
                <w:noProof/>
                <w:sz w:val="30"/>
                <w:szCs w:val="30"/>
                <w:rtl/>
                <w:lang w:val="en-GB"/>
              </w:rPr>
            </w:pPr>
            <w:r>
              <w:rPr>
                <w:rFonts w:ascii="Traditional Arabic" w:hAnsi="Traditional Arabic" w:cs="Traditional Arabic" w:hint="cs"/>
                <w:b/>
                <w:noProof/>
                <w:sz w:val="30"/>
                <w:szCs w:val="30"/>
                <w:rtl/>
                <w:lang w:val="en-GB"/>
              </w:rPr>
              <w:t>20 مايو 2003</w:t>
            </w:r>
          </w:p>
        </w:tc>
      </w:tr>
      <w:tr w:rsidR="004C2C8B" w:rsidRPr="00EB5BCF" w14:paraId="16F48ECF" w14:textId="77777777" w:rsidTr="004C2C8B">
        <w:tc>
          <w:tcPr>
            <w:tcW w:w="2516" w:type="dxa"/>
          </w:tcPr>
          <w:p w14:paraId="61F6FD20" w14:textId="77777777" w:rsidR="004C2C8B" w:rsidRPr="00EB5BCF" w:rsidRDefault="004C2C8B" w:rsidP="00A64E73">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noProof/>
                <w:sz w:val="30"/>
                <w:szCs w:val="30"/>
                <w:rtl/>
                <w:lang w:val="en-GB"/>
              </w:rPr>
              <w:t>العنوان المسجل</w:t>
            </w:r>
          </w:p>
        </w:tc>
        <w:tc>
          <w:tcPr>
            <w:tcW w:w="6834" w:type="dxa"/>
          </w:tcPr>
          <w:p w14:paraId="5B5996A1" w14:textId="77777777" w:rsidR="004C2C8B" w:rsidRPr="00EB5BCF" w:rsidRDefault="00972E10" w:rsidP="00A64E73">
            <w:pPr>
              <w:pStyle w:val="TOC1"/>
              <w:tabs>
                <w:tab w:val="clear" w:pos="9360"/>
                <w:tab w:val="left" w:pos="1772"/>
              </w:tabs>
              <w:bidi/>
              <w:jc w:val="both"/>
              <w:rPr>
                <w:rFonts w:ascii="Traditional Arabic" w:hAnsi="Traditional Arabic" w:cs="Traditional Arabic"/>
                <w:b/>
                <w:noProof/>
                <w:sz w:val="30"/>
                <w:szCs w:val="30"/>
                <w:rtl/>
                <w:lang w:val="en-GB"/>
              </w:rPr>
            </w:pPr>
            <w:r>
              <w:rPr>
                <w:rFonts w:ascii="Traditional Arabic" w:hAnsi="Traditional Arabic" w:cs="Traditional Arabic" w:hint="cs"/>
                <w:b/>
                <w:noProof/>
                <w:sz w:val="30"/>
                <w:szCs w:val="30"/>
                <w:rtl/>
                <w:lang w:val="en-GB"/>
              </w:rPr>
              <w:t>ص.ب ١٠٤،</w:t>
            </w:r>
            <w:r w:rsidR="00A56BCE">
              <w:rPr>
                <w:rFonts w:ascii="Traditional Arabic" w:hAnsi="Traditional Arabic" w:cs="Traditional Arabic" w:hint="cs"/>
                <w:b/>
                <w:noProof/>
                <w:sz w:val="30"/>
                <w:szCs w:val="30"/>
                <w:rtl/>
                <w:lang w:val="en-GB"/>
              </w:rPr>
              <w:t xml:space="preserve"> ر.ب </w:t>
            </w:r>
            <w:r w:rsidR="00CB45B3">
              <w:rPr>
                <w:rFonts w:ascii="Traditional Arabic" w:hAnsi="Traditional Arabic" w:cs="Traditional Arabic" w:hint="cs"/>
                <w:b/>
                <w:noProof/>
                <w:sz w:val="30"/>
                <w:szCs w:val="30"/>
                <w:rtl/>
                <w:lang w:val="en-GB"/>
              </w:rPr>
              <w:t>١١٨</w:t>
            </w:r>
          </w:p>
        </w:tc>
      </w:tr>
      <w:tr w:rsidR="004C2C8B" w:rsidRPr="00EB5BCF" w14:paraId="419F3212" w14:textId="77777777" w:rsidTr="004C2C8B">
        <w:tc>
          <w:tcPr>
            <w:tcW w:w="2516" w:type="dxa"/>
          </w:tcPr>
          <w:p w14:paraId="3F175964" w14:textId="77777777" w:rsidR="004C2C8B" w:rsidRPr="00EB5BCF" w:rsidRDefault="004C2C8B" w:rsidP="00A64E73">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noProof/>
                <w:sz w:val="30"/>
                <w:szCs w:val="30"/>
                <w:rtl/>
                <w:lang w:val="en-GB"/>
              </w:rPr>
              <w:t>المقر الرئيس</w:t>
            </w:r>
          </w:p>
        </w:tc>
        <w:tc>
          <w:tcPr>
            <w:tcW w:w="6834" w:type="dxa"/>
          </w:tcPr>
          <w:p w14:paraId="7DCD2206" w14:textId="77777777" w:rsidR="004C2C8B" w:rsidRPr="00EB5BCF" w:rsidRDefault="00CB45B3" w:rsidP="00A64E73">
            <w:pPr>
              <w:pStyle w:val="TOC1"/>
              <w:tabs>
                <w:tab w:val="clear" w:pos="9360"/>
                <w:tab w:val="left" w:pos="1772"/>
              </w:tabs>
              <w:bidi/>
              <w:jc w:val="both"/>
              <w:rPr>
                <w:rFonts w:ascii="Traditional Arabic" w:hAnsi="Traditional Arabic" w:cs="Traditional Arabic"/>
                <w:b/>
                <w:noProof/>
                <w:sz w:val="30"/>
                <w:szCs w:val="30"/>
                <w:rtl/>
                <w:lang w:val="en-GB"/>
              </w:rPr>
            </w:pPr>
            <w:r>
              <w:rPr>
                <w:rFonts w:ascii="Traditional Arabic" w:hAnsi="Traditional Arabic" w:cs="Traditional Arabic" w:hint="cs"/>
                <w:b/>
                <w:noProof/>
                <w:sz w:val="30"/>
                <w:szCs w:val="30"/>
                <w:rtl/>
                <w:lang w:val="en-GB"/>
              </w:rPr>
              <w:t xml:space="preserve">مدينة السلطان قابوس، </w:t>
            </w:r>
            <w:r w:rsidR="00586C45">
              <w:rPr>
                <w:rFonts w:ascii="Traditional Arabic" w:hAnsi="Traditional Arabic" w:cs="Traditional Arabic" w:hint="cs"/>
                <w:b/>
                <w:noProof/>
                <w:sz w:val="30"/>
                <w:szCs w:val="30"/>
                <w:rtl/>
                <w:lang w:val="en-GB"/>
              </w:rPr>
              <w:t xml:space="preserve">بوشر، </w:t>
            </w:r>
            <w:r w:rsidR="009619FB">
              <w:rPr>
                <w:rFonts w:ascii="Traditional Arabic" w:hAnsi="Traditional Arabic" w:cs="Traditional Arabic" w:hint="cs"/>
                <w:b/>
                <w:noProof/>
                <w:sz w:val="30"/>
                <w:szCs w:val="30"/>
                <w:rtl/>
                <w:lang w:val="en-GB"/>
              </w:rPr>
              <w:t xml:space="preserve">محافظة </w:t>
            </w:r>
            <w:r w:rsidR="00586C45">
              <w:rPr>
                <w:rFonts w:ascii="Traditional Arabic" w:hAnsi="Traditional Arabic" w:cs="Traditional Arabic" w:hint="cs"/>
                <w:b/>
                <w:noProof/>
                <w:sz w:val="30"/>
                <w:szCs w:val="30"/>
                <w:rtl/>
                <w:lang w:val="en-GB"/>
              </w:rPr>
              <w:t>مسقط</w:t>
            </w:r>
          </w:p>
        </w:tc>
      </w:tr>
      <w:tr w:rsidR="004C2C8B" w:rsidRPr="00EB5BCF" w14:paraId="3B6C36C9" w14:textId="77777777" w:rsidTr="004C2C8B">
        <w:tc>
          <w:tcPr>
            <w:tcW w:w="2516" w:type="dxa"/>
          </w:tcPr>
          <w:p w14:paraId="1350B9FA" w14:textId="77777777" w:rsidR="004C2C8B" w:rsidRPr="00EB5BCF" w:rsidRDefault="004C2C8B" w:rsidP="00A64E73">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noProof/>
                <w:sz w:val="30"/>
                <w:szCs w:val="30"/>
                <w:rtl/>
                <w:lang w:val="en-GB"/>
              </w:rPr>
              <w:t>مدة الشركة</w:t>
            </w:r>
          </w:p>
        </w:tc>
        <w:tc>
          <w:tcPr>
            <w:tcW w:w="6834" w:type="dxa"/>
          </w:tcPr>
          <w:p w14:paraId="1AFB72B4" w14:textId="77777777" w:rsidR="004C2C8B" w:rsidRPr="00EB5BCF" w:rsidRDefault="004C2C8B" w:rsidP="00A64E73">
            <w:pPr>
              <w:pStyle w:val="TOC1"/>
              <w:tabs>
                <w:tab w:val="clear" w:pos="9360"/>
                <w:tab w:val="left" w:pos="1772"/>
              </w:tabs>
              <w:bidi/>
              <w:jc w:val="both"/>
              <w:rPr>
                <w:rFonts w:ascii="Traditional Arabic" w:hAnsi="Traditional Arabic" w:cs="Traditional Arabic"/>
                <w:b/>
                <w:noProof/>
                <w:sz w:val="30"/>
                <w:szCs w:val="30"/>
                <w:rtl/>
                <w:lang w:val="en-GB"/>
              </w:rPr>
            </w:pPr>
            <w:r w:rsidRPr="00EB5BCF">
              <w:rPr>
                <w:rFonts w:ascii="Traditional Arabic" w:hAnsi="Traditional Arabic" w:cs="Traditional Arabic"/>
                <w:b/>
                <w:noProof/>
                <w:sz w:val="30"/>
                <w:szCs w:val="30"/>
                <w:rtl/>
                <w:lang w:val="en-GB"/>
              </w:rPr>
              <w:t>غير محد</w:t>
            </w:r>
            <w:r w:rsidR="00F1281F" w:rsidRPr="00EB5BCF">
              <w:rPr>
                <w:rFonts w:ascii="Traditional Arabic" w:hAnsi="Traditional Arabic" w:cs="Traditional Arabic" w:hint="eastAsia"/>
                <w:b/>
                <w:noProof/>
                <w:sz w:val="30"/>
                <w:szCs w:val="30"/>
                <w:rtl/>
                <w:lang w:val="en-GB"/>
              </w:rPr>
              <w:t>و</w:t>
            </w:r>
            <w:r w:rsidRPr="00EB5BCF">
              <w:rPr>
                <w:rFonts w:ascii="Traditional Arabic" w:hAnsi="Traditional Arabic" w:cs="Traditional Arabic"/>
                <w:b/>
                <w:noProof/>
                <w:sz w:val="30"/>
                <w:szCs w:val="30"/>
                <w:rtl/>
                <w:lang w:val="en-GB"/>
              </w:rPr>
              <w:t>دة</w:t>
            </w:r>
            <w:r w:rsidR="00F1281F" w:rsidRPr="00EB5BCF">
              <w:rPr>
                <w:rFonts w:ascii="Traditional Arabic" w:hAnsi="Traditional Arabic" w:cs="Traditional Arabic"/>
                <w:b/>
                <w:noProof/>
                <w:sz w:val="30"/>
                <w:szCs w:val="30"/>
                <w:rtl/>
                <w:lang w:val="en-GB"/>
              </w:rPr>
              <w:t>.</w:t>
            </w:r>
          </w:p>
        </w:tc>
      </w:tr>
      <w:tr w:rsidR="004C2C8B" w:rsidRPr="00EB5BCF" w14:paraId="2F1E9451" w14:textId="77777777" w:rsidTr="004C2C8B">
        <w:tc>
          <w:tcPr>
            <w:tcW w:w="2516" w:type="dxa"/>
          </w:tcPr>
          <w:p w14:paraId="417E9D3A" w14:textId="77777777" w:rsidR="004C2C8B" w:rsidRPr="00EB5BCF" w:rsidRDefault="004C2C8B" w:rsidP="00A64E73">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noProof/>
                <w:sz w:val="30"/>
                <w:szCs w:val="30"/>
                <w:rtl/>
                <w:lang w:val="en-GB"/>
              </w:rPr>
              <w:t>السنة المالية للشركة</w:t>
            </w:r>
          </w:p>
        </w:tc>
        <w:tc>
          <w:tcPr>
            <w:tcW w:w="6834" w:type="dxa"/>
          </w:tcPr>
          <w:p w14:paraId="31629C9A" w14:textId="77777777" w:rsidR="004C2C8B" w:rsidRPr="00EB5BCF" w:rsidRDefault="004C2C8B" w:rsidP="00A64E73">
            <w:pPr>
              <w:pStyle w:val="TOC1"/>
              <w:tabs>
                <w:tab w:val="clear" w:pos="9360"/>
                <w:tab w:val="left" w:pos="1772"/>
              </w:tabs>
              <w:bidi/>
              <w:jc w:val="both"/>
              <w:rPr>
                <w:rFonts w:ascii="Traditional Arabic" w:hAnsi="Traditional Arabic" w:cs="Traditional Arabic"/>
                <w:b/>
                <w:noProof/>
                <w:sz w:val="30"/>
                <w:szCs w:val="30"/>
                <w:rtl/>
                <w:lang w:val="en-GB"/>
              </w:rPr>
            </w:pPr>
            <w:r w:rsidRPr="00EB5BCF">
              <w:rPr>
                <w:rFonts w:ascii="Traditional Arabic" w:hAnsi="Traditional Arabic" w:cs="Traditional Arabic"/>
                <w:b/>
                <w:noProof/>
                <w:sz w:val="30"/>
                <w:szCs w:val="30"/>
                <w:rtl/>
                <w:lang w:val="en-GB"/>
              </w:rPr>
              <w:t>تبدأ في 1 يناير وتنتهي في 31 ديسمبر من كل عام</w:t>
            </w:r>
            <w:r w:rsidR="00CC2FBD" w:rsidRPr="00EB5BCF">
              <w:rPr>
                <w:rFonts w:ascii="Traditional Arabic" w:hAnsi="Traditional Arabic" w:cs="Traditional Arabic"/>
                <w:b/>
                <w:noProof/>
                <w:sz w:val="30"/>
                <w:szCs w:val="30"/>
                <w:rtl/>
                <w:lang w:val="en-GB"/>
              </w:rPr>
              <w:t>.</w:t>
            </w:r>
          </w:p>
        </w:tc>
      </w:tr>
      <w:tr w:rsidR="004C2C8B" w:rsidRPr="00EB5BCF" w14:paraId="65D365B9" w14:textId="77777777" w:rsidTr="004C2C8B">
        <w:tc>
          <w:tcPr>
            <w:tcW w:w="2516" w:type="dxa"/>
          </w:tcPr>
          <w:p w14:paraId="432CAF22" w14:textId="77777777" w:rsidR="004C2C8B" w:rsidRPr="00EB5BCF" w:rsidRDefault="004C2C8B" w:rsidP="00A64E73">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noProof/>
                <w:sz w:val="30"/>
                <w:szCs w:val="30"/>
                <w:rtl/>
                <w:lang w:val="en-GB"/>
              </w:rPr>
              <w:t xml:space="preserve">رأس </w:t>
            </w:r>
            <w:r w:rsidR="004E607A">
              <w:rPr>
                <w:rFonts w:ascii="Traditional Arabic" w:hAnsi="Traditional Arabic" w:cs="Traditional Arabic" w:hint="cs"/>
                <w:bCs/>
                <w:noProof/>
                <w:sz w:val="30"/>
                <w:szCs w:val="30"/>
                <w:rtl/>
                <w:lang w:val="en-GB"/>
              </w:rPr>
              <w:t xml:space="preserve">مال الشركة المصدر </w:t>
            </w:r>
          </w:p>
        </w:tc>
        <w:tc>
          <w:tcPr>
            <w:tcW w:w="6834" w:type="dxa"/>
          </w:tcPr>
          <w:p w14:paraId="24477EAD" w14:textId="77777777" w:rsidR="004C2C8B" w:rsidRPr="00EB5BCF" w:rsidRDefault="004C2C8B" w:rsidP="004C2C8B">
            <w:pPr>
              <w:tabs>
                <w:tab w:val="left" w:leader="dot" w:pos="3672"/>
              </w:tabs>
              <w:bidi/>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رأس المال المصدر للشركة </w:t>
            </w:r>
            <w:r w:rsidR="00164451">
              <w:rPr>
                <w:rFonts w:ascii="Traditional Arabic" w:hAnsi="Traditional Arabic" w:cs="Traditional Arabic" w:hint="cs"/>
                <w:sz w:val="30"/>
                <w:szCs w:val="30"/>
                <w:rtl/>
              </w:rPr>
              <w:t>130,218,607</w:t>
            </w:r>
            <w:r w:rsidR="00164451"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 xml:space="preserve">ريال عماني مقسم إلى </w:t>
            </w:r>
            <w:r w:rsidR="00164451">
              <w:rPr>
                <w:rFonts w:ascii="Traditional Arabic" w:hAnsi="Traditional Arabic" w:cs="Traditional Arabic" w:hint="cs"/>
                <w:sz w:val="30"/>
                <w:szCs w:val="30"/>
                <w:rtl/>
              </w:rPr>
              <w:t>5,208,744,280</w:t>
            </w:r>
            <w:r w:rsidR="00164451"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 xml:space="preserve">سهمٍ بقيمة </w:t>
            </w:r>
            <w:r w:rsidR="00164451">
              <w:rPr>
                <w:rFonts w:ascii="Traditional Arabic" w:hAnsi="Traditional Arabic" w:cs="Traditional Arabic" w:hint="cs"/>
                <w:sz w:val="30"/>
                <w:szCs w:val="30"/>
                <w:rtl/>
              </w:rPr>
              <w:t>25</w:t>
            </w:r>
            <w:r w:rsidR="00164451" w:rsidRPr="00EB5BCF">
              <w:rPr>
                <w:rFonts w:ascii="Traditional Arabic" w:hAnsi="Traditional Arabic" w:cs="Traditional Arabic"/>
                <w:sz w:val="30"/>
                <w:szCs w:val="30"/>
                <w:rtl/>
              </w:rPr>
              <w:t xml:space="preserve"> </w:t>
            </w:r>
            <w:r w:rsidR="004C7DEE" w:rsidRPr="00EB5BCF">
              <w:rPr>
                <w:rFonts w:ascii="Traditional Arabic" w:hAnsi="Traditional Arabic" w:cs="Traditional Arabic" w:hint="eastAsia"/>
                <w:sz w:val="30"/>
                <w:szCs w:val="30"/>
                <w:rtl/>
              </w:rPr>
              <w:t>بيسة</w:t>
            </w:r>
            <w:r w:rsidRPr="00EB5BCF">
              <w:rPr>
                <w:rFonts w:ascii="Traditional Arabic" w:hAnsi="Traditional Arabic" w:cs="Traditional Arabic"/>
                <w:sz w:val="30"/>
                <w:szCs w:val="30"/>
                <w:rtl/>
              </w:rPr>
              <w:t xml:space="preserve"> للسهم.</w:t>
            </w:r>
          </w:p>
        </w:tc>
      </w:tr>
      <w:tr w:rsidR="00C8617F" w:rsidRPr="00EB5BCF" w14:paraId="1B4591AD" w14:textId="77777777" w:rsidTr="004C2C8B">
        <w:tc>
          <w:tcPr>
            <w:tcW w:w="2516" w:type="dxa"/>
          </w:tcPr>
          <w:p w14:paraId="79F250DB" w14:textId="77777777" w:rsidR="00C8617F" w:rsidRPr="00EB5BCF" w:rsidRDefault="00C8617F" w:rsidP="00C8617F">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noProof/>
                <w:sz w:val="30"/>
                <w:szCs w:val="30"/>
                <w:rtl/>
                <w:lang w:val="en-GB"/>
              </w:rPr>
              <w:t xml:space="preserve">عدد الأسهم المطروحة للاكتتاب </w:t>
            </w:r>
          </w:p>
        </w:tc>
        <w:tc>
          <w:tcPr>
            <w:tcW w:w="6834" w:type="dxa"/>
          </w:tcPr>
          <w:p w14:paraId="6014DBEA" w14:textId="77777777" w:rsidR="00C8617F" w:rsidRPr="00EB5BCF" w:rsidRDefault="00C8617F" w:rsidP="004C2C8B">
            <w:pPr>
              <w:tabs>
                <w:tab w:val="left" w:leader="dot" w:pos="3672"/>
              </w:tabs>
              <w:bidi/>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عدد الأسهم المطروحة للاكتتاب </w:t>
            </w:r>
            <w:r w:rsidR="00F3334F" w:rsidRPr="00F3334F">
              <w:rPr>
                <w:rFonts w:ascii="Traditional Arabic" w:hAnsi="Traditional Arabic" w:cs="Traditional Arabic"/>
                <w:sz w:val="30"/>
                <w:szCs w:val="30"/>
                <w:rtl/>
                <w:lang w:val="en-GB"/>
              </w:rPr>
              <w:t>١,٠٤١,٧٤٨,٨٥٦</w:t>
            </w:r>
            <w:r w:rsidR="00164451"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 xml:space="preserve">سهم، تمثل </w:t>
            </w:r>
            <w:r w:rsidR="00F3334F">
              <w:rPr>
                <w:rFonts w:ascii="Traditional Arabic" w:hAnsi="Traditional Arabic" w:cs="Traditional Arabic" w:hint="cs"/>
                <w:sz w:val="30"/>
                <w:szCs w:val="30"/>
                <w:rtl/>
              </w:rPr>
              <w:t>٢٠</w:t>
            </w:r>
            <w:r w:rsidR="00164451"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من إجمالي رأس</w:t>
            </w:r>
            <w:r w:rsidR="001A5ECB">
              <w:rPr>
                <w:rFonts w:ascii="Traditional Arabic" w:hAnsi="Traditional Arabic" w:cs="Traditional Arabic" w:hint="cs"/>
                <w:sz w:val="30"/>
                <w:szCs w:val="30"/>
                <w:rtl/>
              </w:rPr>
              <w:t xml:space="preserve"> مال الشركة المصدر</w:t>
            </w:r>
            <w:r w:rsidR="00B9621A">
              <w:rPr>
                <w:rFonts w:ascii="Traditional Arabic" w:hAnsi="Traditional Arabic" w:cs="Traditional Arabic" w:hint="cs"/>
                <w:sz w:val="30"/>
                <w:szCs w:val="30"/>
                <w:rtl/>
              </w:rPr>
              <w:t xml:space="preserve">، </w:t>
            </w:r>
            <w:r w:rsidR="00275A73">
              <w:rPr>
                <w:rFonts w:ascii="Traditional Arabic" w:hAnsi="Traditional Arabic" w:cs="Traditional Arabic" w:hint="cs"/>
                <w:sz w:val="30"/>
                <w:szCs w:val="30"/>
                <w:rtl/>
              </w:rPr>
              <w:t>مع مراعاة خيار زيادة حجم الاكتتاب الموضح ادناه</w:t>
            </w:r>
          </w:p>
        </w:tc>
      </w:tr>
      <w:tr w:rsidR="00275A73" w:rsidRPr="00EB5BCF" w14:paraId="5860C551" w14:textId="77777777" w:rsidTr="004C2C8B">
        <w:tc>
          <w:tcPr>
            <w:tcW w:w="2516" w:type="dxa"/>
          </w:tcPr>
          <w:p w14:paraId="56F26261" w14:textId="77777777" w:rsidR="00275A73" w:rsidRPr="00EB5BCF" w:rsidRDefault="00275A73" w:rsidP="00C8617F">
            <w:pPr>
              <w:pStyle w:val="TOC1"/>
              <w:tabs>
                <w:tab w:val="clear" w:pos="9360"/>
                <w:tab w:val="left" w:pos="1772"/>
              </w:tabs>
              <w:bidi/>
              <w:jc w:val="both"/>
              <w:rPr>
                <w:rFonts w:ascii="Traditional Arabic" w:hAnsi="Traditional Arabic" w:cs="Traditional Arabic"/>
                <w:bCs/>
                <w:noProof/>
                <w:sz w:val="30"/>
                <w:szCs w:val="30"/>
                <w:rtl/>
                <w:lang w:val="en-GB"/>
              </w:rPr>
            </w:pPr>
            <w:r>
              <w:rPr>
                <w:rFonts w:ascii="Traditional Arabic" w:hAnsi="Traditional Arabic" w:cs="Traditional Arabic" w:hint="cs"/>
                <w:bCs/>
                <w:noProof/>
                <w:sz w:val="30"/>
                <w:szCs w:val="30"/>
                <w:rtl/>
                <w:lang w:val="en-GB"/>
              </w:rPr>
              <w:lastRenderedPageBreak/>
              <w:t>خيار زيادة حجم الاكتتاب</w:t>
            </w:r>
          </w:p>
        </w:tc>
        <w:tc>
          <w:tcPr>
            <w:tcW w:w="6834" w:type="dxa"/>
          </w:tcPr>
          <w:p w14:paraId="2BB4F67C" w14:textId="77777777" w:rsidR="00275A73" w:rsidRPr="00EB5BCF" w:rsidRDefault="000649A5" w:rsidP="004C2C8B">
            <w:pPr>
              <w:tabs>
                <w:tab w:val="left" w:leader="dot" w:pos="3672"/>
              </w:tabs>
              <w:bidi/>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يمكن </w:t>
            </w:r>
            <w:r w:rsidR="00297693">
              <w:rPr>
                <w:rFonts w:ascii="Traditional Arabic" w:hAnsi="Traditional Arabic" w:cs="Traditional Arabic" w:hint="cs"/>
                <w:sz w:val="30"/>
                <w:szCs w:val="30"/>
                <w:rtl/>
              </w:rPr>
              <w:t>للمساهم</w:t>
            </w:r>
            <w:r>
              <w:rPr>
                <w:rFonts w:ascii="Traditional Arabic" w:hAnsi="Traditional Arabic" w:cs="Traditional Arabic" w:hint="cs"/>
                <w:sz w:val="30"/>
                <w:szCs w:val="30"/>
                <w:rtl/>
              </w:rPr>
              <w:t xml:space="preserve"> البائ</w:t>
            </w:r>
            <w:r w:rsidR="00E86E37">
              <w:rPr>
                <w:rFonts w:ascii="Traditional Arabic" w:hAnsi="Traditional Arabic" w:cs="Traditional Arabic" w:hint="cs"/>
                <w:sz w:val="30"/>
                <w:szCs w:val="30"/>
                <w:rtl/>
              </w:rPr>
              <w:t>ع ان يمارس خيار زيادة حجم الاكتتاب</w:t>
            </w:r>
            <w:r w:rsidR="00E75828">
              <w:rPr>
                <w:rFonts w:ascii="Traditional Arabic" w:hAnsi="Traditional Arabic" w:cs="Traditional Arabic" w:hint="cs"/>
                <w:sz w:val="30"/>
                <w:szCs w:val="30"/>
                <w:rtl/>
              </w:rPr>
              <w:t>،</w:t>
            </w:r>
            <w:r w:rsidR="00E86E37">
              <w:rPr>
                <w:rFonts w:ascii="Traditional Arabic" w:hAnsi="Traditional Arabic" w:cs="Traditional Arabic" w:hint="cs"/>
                <w:sz w:val="30"/>
                <w:szCs w:val="30"/>
                <w:rtl/>
              </w:rPr>
              <w:t xml:space="preserve"> </w:t>
            </w:r>
            <w:r w:rsidR="00B4086B">
              <w:rPr>
                <w:rFonts w:ascii="Traditional Arabic" w:hAnsi="Traditional Arabic" w:cs="Traditional Arabic" w:hint="cs"/>
                <w:sz w:val="30"/>
                <w:szCs w:val="30"/>
                <w:rtl/>
              </w:rPr>
              <w:t xml:space="preserve">الذي </w:t>
            </w:r>
            <w:r w:rsidR="009A3D78">
              <w:rPr>
                <w:rFonts w:ascii="Traditional Arabic" w:hAnsi="Traditional Arabic" w:cs="Traditional Arabic" w:hint="cs"/>
                <w:sz w:val="30"/>
                <w:szCs w:val="30"/>
                <w:rtl/>
              </w:rPr>
              <w:t xml:space="preserve">بموجبه </w:t>
            </w:r>
            <w:r w:rsidR="00432B15">
              <w:rPr>
                <w:rFonts w:ascii="Traditional Arabic" w:hAnsi="Traditional Arabic" w:cs="Traditional Arabic" w:hint="cs"/>
                <w:sz w:val="30"/>
                <w:szCs w:val="30"/>
                <w:rtl/>
              </w:rPr>
              <w:t xml:space="preserve">يمكن للمساهم البائع ان </w:t>
            </w:r>
            <w:r w:rsidR="00C12621">
              <w:rPr>
                <w:rFonts w:ascii="Traditional Arabic" w:hAnsi="Traditional Arabic" w:cs="Traditional Arabic" w:hint="cs"/>
                <w:sz w:val="30"/>
                <w:szCs w:val="30"/>
                <w:rtl/>
              </w:rPr>
              <w:t>يقوم بتخصيص</w:t>
            </w:r>
            <w:r w:rsidR="00432B15">
              <w:rPr>
                <w:rFonts w:ascii="Traditional Arabic" w:hAnsi="Traditional Arabic" w:cs="Traditional Arabic" w:hint="cs"/>
                <w:sz w:val="30"/>
                <w:szCs w:val="30"/>
                <w:rtl/>
              </w:rPr>
              <w:t xml:space="preserve"> او </w:t>
            </w:r>
            <w:r w:rsidR="00C12621">
              <w:rPr>
                <w:rFonts w:ascii="Traditional Arabic" w:hAnsi="Traditional Arabic" w:cs="Traditional Arabic" w:hint="cs"/>
                <w:sz w:val="30"/>
                <w:szCs w:val="30"/>
                <w:rtl/>
              </w:rPr>
              <w:t xml:space="preserve">بيع عدد إضافي من </w:t>
            </w:r>
            <w:r w:rsidR="00BB4418">
              <w:rPr>
                <w:rFonts w:ascii="Traditional Arabic" w:hAnsi="Traditional Arabic" w:cs="Traditional Arabic" w:hint="cs"/>
                <w:sz w:val="30"/>
                <w:szCs w:val="30"/>
                <w:rtl/>
              </w:rPr>
              <w:t xml:space="preserve">الأسهم </w:t>
            </w:r>
            <w:r w:rsidR="00CE05B1">
              <w:rPr>
                <w:rFonts w:ascii="Traditional Arabic" w:hAnsi="Traditional Arabic" w:cs="Traditional Arabic" w:hint="cs"/>
                <w:sz w:val="30"/>
                <w:szCs w:val="30"/>
                <w:rtl/>
              </w:rPr>
              <w:t>يصل الى</w:t>
            </w:r>
            <w:r w:rsidR="003D2FEC">
              <w:rPr>
                <w:rFonts w:ascii="Traditional Arabic" w:hAnsi="Traditional Arabic" w:cs="Traditional Arabic" w:hint="cs"/>
                <w:sz w:val="30"/>
                <w:szCs w:val="30"/>
                <w:rtl/>
              </w:rPr>
              <w:t xml:space="preserve"> ١٥٪ من </w:t>
            </w:r>
            <w:r w:rsidR="00E34480">
              <w:rPr>
                <w:rFonts w:ascii="Traditional Arabic" w:hAnsi="Traditional Arabic" w:cs="Traditional Arabic" w:hint="cs"/>
                <w:sz w:val="30"/>
                <w:szCs w:val="30"/>
                <w:rtl/>
              </w:rPr>
              <w:t>أسهم</w:t>
            </w:r>
            <w:r w:rsidR="003D2FEC">
              <w:rPr>
                <w:rFonts w:ascii="Traditional Arabic" w:hAnsi="Traditional Arabic" w:cs="Traditional Arabic" w:hint="cs"/>
                <w:sz w:val="30"/>
                <w:szCs w:val="30"/>
                <w:rtl/>
              </w:rPr>
              <w:t xml:space="preserve"> الطرح</w:t>
            </w:r>
            <w:r w:rsidR="00657886">
              <w:rPr>
                <w:rFonts w:ascii="Traditional Arabic" w:hAnsi="Traditional Arabic" w:cs="Traditional Arabic" w:hint="cs"/>
                <w:sz w:val="30"/>
                <w:szCs w:val="30"/>
                <w:rtl/>
              </w:rPr>
              <w:t>،</w:t>
            </w:r>
            <w:r w:rsidR="006A33A6">
              <w:rPr>
                <w:rFonts w:ascii="Traditional Arabic" w:hAnsi="Traditional Arabic" w:cs="Traditional Arabic" w:hint="cs"/>
                <w:sz w:val="30"/>
                <w:szCs w:val="30"/>
                <w:rtl/>
              </w:rPr>
              <w:t xml:space="preserve"> وذلك</w:t>
            </w:r>
            <w:r w:rsidR="00657886">
              <w:rPr>
                <w:rFonts w:ascii="Traditional Arabic" w:hAnsi="Traditional Arabic" w:cs="Traditional Arabic" w:hint="cs"/>
                <w:sz w:val="30"/>
                <w:szCs w:val="30"/>
                <w:rtl/>
              </w:rPr>
              <w:t xml:space="preserve"> بمراعاة </w:t>
            </w:r>
            <w:r w:rsidR="00356CCF">
              <w:rPr>
                <w:rFonts w:ascii="Traditional Arabic" w:hAnsi="Traditional Arabic" w:cs="Traditional Arabic" w:hint="cs"/>
                <w:sz w:val="30"/>
                <w:szCs w:val="30"/>
                <w:rtl/>
              </w:rPr>
              <w:t xml:space="preserve">حجم الطلب على </w:t>
            </w:r>
            <w:r w:rsidR="00E75828">
              <w:rPr>
                <w:rFonts w:ascii="Traditional Arabic" w:hAnsi="Traditional Arabic" w:cs="Traditional Arabic" w:hint="cs"/>
                <w:sz w:val="30"/>
                <w:szCs w:val="30"/>
                <w:rtl/>
              </w:rPr>
              <w:t>الأسهم.</w:t>
            </w:r>
            <w:r w:rsidR="006A33A6">
              <w:rPr>
                <w:rFonts w:ascii="Traditional Arabic" w:hAnsi="Traditional Arabic" w:cs="Traditional Arabic" w:hint="cs"/>
                <w:sz w:val="30"/>
                <w:szCs w:val="30"/>
                <w:rtl/>
              </w:rPr>
              <w:t xml:space="preserve"> </w:t>
            </w:r>
            <w:r w:rsidR="00432B15">
              <w:rPr>
                <w:rFonts w:ascii="Traditional Arabic" w:hAnsi="Traditional Arabic" w:cs="Traditional Arabic" w:hint="cs"/>
                <w:sz w:val="30"/>
                <w:szCs w:val="30"/>
                <w:rtl/>
              </w:rPr>
              <w:t xml:space="preserve"> </w:t>
            </w:r>
          </w:p>
        </w:tc>
      </w:tr>
      <w:tr w:rsidR="00F63629" w:rsidRPr="00EB5BCF" w14:paraId="661FEF8D" w14:textId="77777777" w:rsidTr="004C2C8B">
        <w:tc>
          <w:tcPr>
            <w:tcW w:w="2516" w:type="dxa"/>
          </w:tcPr>
          <w:p w14:paraId="137E9F34" w14:textId="77777777" w:rsidR="00F63629" w:rsidRPr="00EB5BCF" w:rsidRDefault="00F63629" w:rsidP="00C8617F">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sz w:val="30"/>
                <w:szCs w:val="30"/>
                <w:rtl/>
              </w:rPr>
              <w:t>نوع الأسهم المطروحة للاكتتاب</w:t>
            </w:r>
          </w:p>
        </w:tc>
        <w:tc>
          <w:tcPr>
            <w:tcW w:w="6834" w:type="dxa"/>
          </w:tcPr>
          <w:p w14:paraId="7BAE3B25" w14:textId="77777777" w:rsidR="00F63629" w:rsidRPr="00EB5BCF" w:rsidRDefault="00F63629" w:rsidP="00F63629">
            <w:pPr>
              <w:tabs>
                <w:tab w:val="left" w:leader="dot" w:pos="3672"/>
              </w:tabs>
              <w:bidi/>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جميع الأسهم المصدرة للشركة وجميع أسهم رأسمال الشركة أسهمٌ عادية، ولكل سهم بالشركة حق التصويت بصوت واحد في الجمعيات العامة للشركة، </w:t>
            </w:r>
            <w:r w:rsidR="00B53C77">
              <w:rPr>
                <w:rFonts w:ascii="Traditional Arabic" w:hAnsi="Traditional Arabic" w:cs="Traditional Arabic" w:hint="cs"/>
                <w:sz w:val="30"/>
                <w:szCs w:val="30"/>
                <w:rtl/>
              </w:rPr>
              <w:t>والجمعية العامة السنوية</w:t>
            </w:r>
            <w:r w:rsidRPr="00EB5BCF">
              <w:rPr>
                <w:rFonts w:ascii="Traditional Arabic" w:hAnsi="Traditional Arabic" w:cs="Traditional Arabic"/>
                <w:sz w:val="30"/>
                <w:szCs w:val="30"/>
                <w:rtl/>
              </w:rPr>
              <w:t xml:space="preserve"> </w:t>
            </w:r>
            <w:r w:rsidR="00B53C77">
              <w:rPr>
                <w:rFonts w:ascii="Traditional Arabic" w:hAnsi="Traditional Arabic" w:cs="Traditional Arabic" w:hint="cs"/>
                <w:sz w:val="30"/>
                <w:szCs w:val="30"/>
                <w:rtl/>
              </w:rPr>
              <w:t>و</w:t>
            </w:r>
            <w:r w:rsidRPr="00EB5BCF">
              <w:rPr>
                <w:rFonts w:ascii="Traditional Arabic" w:hAnsi="Traditional Arabic" w:cs="Traditional Arabic"/>
                <w:sz w:val="30"/>
                <w:szCs w:val="30"/>
                <w:rtl/>
              </w:rPr>
              <w:t>الجمعيات العامة العادية وغير العادية.</w:t>
            </w:r>
          </w:p>
        </w:tc>
      </w:tr>
      <w:tr w:rsidR="004102DA" w:rsidRPr="00EB5BCF" w14:paraId="28C514DB" w14:textId="77777777" w:rsidTr="004C2C8B">
        <w:tc>
          <w:tcPr>
            <w:tcW w:w="2516" w:type="dxa"/>
          </w:tcPr>
          <w:p w14:paraId="7235F0D3" w14:textId="77777777" w:rsidR="004102DA" w:rsidRPr="00EB5BCF" w:rsidRDefault="004102DA" w:rsidP="004102DA">
            <w:pPr>
              <w:pStyle w:val="TOC1"/>
              <w:tabs>
                <w:tab w:val="clear" w:pos="9360"/>
                <w:tab w:val="left" w:pos="1772"/>
              </w:tabs>
              <w:bidi/>
              <w:jc w:val="both"/>
              <w:rPr>
                <w:rFonts w:ascii="Traditional Arabic" w:hAnsi="Traditional Arabic" w:cs="Traditional Arabic"/>
                <w:bCs/>
                <w:sz w:val="30"/>
                <w:szCs w:val="30"/>
                <w:rtl/>
              </w:rPr>
            </w:pPr>
            <w:r>
              <w:rPr>
                <w:rFonts w:ascii="Traditional Arabic" w:hAnsi="Traditional Arabic" w:cs="Traditional Arabic" w:hint="cs"/>
                <w:bCs/>
                <w:sz w:val="30"/>
                <w:szCs w:val="30"/>
                <w:rtl/>
              </w:rPr>
              <w:t xml:space="preserve">نطاق سعر الاكتتاب في الفئة الأولى </w:t>
            </w:r>
          </w:p>
        </w:tc>
        <w:tc>
          <w:tcPr>
            <w:tcW w:w="6834" w:type="dxa"/>
          </w:tcPr>
          <w:p w14:paraId="1A64D17B" w14:textId="77777777" w:rsidR="004102DA" w:rsidRPr="00EB5BCF" w:rsidRDefault="004102DA" w:rsidP="004102DA">
            <w:pPr>
              <w:tabs>
                <w:tab w:val="left" w:leader="dot" w:pos="3672"/>
              </w:tabs>
              <w:bidi/>
              <w:jc w:val="both"/>
              <w:rPr>
                <w:rFonts w:ascii="Traditional Arabic" w:hAnsi="Traditional Arabic" w:cs="Traditional Arabic"/>
                <w:sz w:val="30"/>
                <w:szCs w:val="30"/>
                <w:rtl/>
              </w:rPr>
            </w:pPr>
            <w:r>
              <w:rPr>
                <w:rFonts w:ascii="Traditional Arabic" w:hAnsi="Traditional Arabic" w:cs="Traditional Arabic" w:hint="cs"/>
                <w:sz w:val="30"/>
                <w:szCs w:val="30"/>
                <w:rtl/>
                <w:lang w:val="en-GB"/>
              </w:rPr>
              <w:t xml:space="preserve">من </w:t>
            </w:r>
            <w:r w:rsidR="00534E99">
              <w:rPr>
                <w:rFonts w:ascii="Traditional Arabic" w:hAnsi="Traditional Arabic" w:cs="Traditional Arabic" w:hint="cs"/>
                <w:sz w:val="30"/>
                <w:szCs w:val="30"/>
                <w:rtl/>
                <w:lang w:val="en-GB"/>
              </w:rPr>
              <w:t xml:space="preserve">117 </w:t>
            </w:r>
            <w:r>
              <w:rPr>
                <w:rFonts w:ascii="Traditional Arabic" w:hAnsi="Traditional Arabic" w:cs="Traditional Arabic" w:hint="cs"/>
                <w:sz w:val="30"/>
                <w:szCs w:val="30"/>
                <w:rtl/>
                <w:lang w:val="en-GB"/>
              </w:rPr>
              <w:t xml:space="preserve">بيسة إلى </w:t>
            </w:r>
            <w:r w:rsidR="00534E99">
              <w:rPr>
                <w:rFonts w:ascii="Traditional Arabic" w:hAnsi="Traditional Arabic" w:cs="Traditional Arabic" w:hint="cs"/>
                <w:sz w:val="30"/>
                <w:szCs w:val="30"/>
                <w:rtl/>
                <w:lang w:val="en-GB"/>
              </w:rPr>
              <w:t xml:space="preserve">123 </w:t>
            </w:r>
            <w:r w:rsidR="0001163B">
              <w:rPr>
                <w:rFonts w:ascii="Traditional Arabic" w:hAnsi="Traditional Arabic" w:cs="Traditional Arabic" w:hint="cs"/>
                <w:sz w:val="30"/>
                <w:szCs w:val="30"/>
                <w:rtl/>
                <w:lang w:val="en-GB"/>
              </w:rPr>
              <w:t xml:space="preserve">بيسة </w:t>
            </w:r>
            <w:r>
              <w:rPr>
                <w:rFonts w:ascii="Traditional Arabic" w:hAnsi="Traditional Arabic" w:cs="Traditional Arabic" w:hint="cs"/>
                <w:sz w:val="30"/>
                <w:szCs w:val="30"/>
                <w:rtl/>
                <w:lang w:val="en-GB"/>
              </w:rPr>
              <w:t>لكل سهم</w:t>
            </w:r>
          </w:p>
        </w:tc>
      </w:tr>
      <w:tr w:rsidR="004102DA" w:rsidRPr="00EB5BCF" w14:paraId="7B515ECF" w14:textId="77777777" w:rsidTr="004C2C8B">
        <w:tc>
          <w:tcPr>
            <w:tcW w:w="2516" w:type="dxa"/>
          </w:tcPr>
          <w:p w14:paraId="2BBDDFBD" w14:textId="77777777" w:rsidR="004102DA" w:rsidRPr="00EB5BCF" w:rsidRDefault="004102DA" w:rsidP="004102DA">
            <w:pPr>
              <w:pStyle w:val="TOC1"/>
              <w:tabs>
                <w:tab w:val="clear" w:pos="9360"/>
                <w:tab w:val="left" w:pos="1772"/>
              </w:tabs>
              <w:bidi/>
              <w:jc w:val="both"/>
              <w:rPr>
                <w:rFonts w:ascii="Traditional Arabic" w:hAnsi="Traditional Arabic" w:cs="Traditional Arabic"/>
                <w:bCs/>
                <w:sz w:val="30"/>
                <w:szCs w:val="30"/>
                <w:rtl/>
              </w:rPr>
            </w:pPr>
            <w:r>
              <w:rPr>
                <w:rFonts w:ascii="Traditional Arabic" w:hAnsi="Traditional Arabic" w:cs="Traditional Arabic" w:hint="cs"/>
                <w:bCs/>
                <w:sz w:val="30"/>
                <w:szCs w:val="30"/>
                <w:rtl/>
              </w:rPr>
              <w:t>سعر الاكتتاب في الفئة الثانية</w:t>
            </w:r>
          </w:p>
        </w:tc>
        <w:tc>
          <w:tcPr>
            <w:tcW w:w="6834" w:type="dxa"/>
          </w:tcPr>
          <w:p w14:paraId="2E3D28C2" w14:textId="77777777" w:rsidR="00C70F83" w:rsidRPr="00EB5BCF" w:rsidRDefault="00534E99" w:rsidP="00C70F83">
            <w:pPr>
              <w:tabs>
                <w:tab w:val="left" w:leader="dot" w:pos="3672"/>
              </w:tabs>
              <w:bidi/>
              <w:jc w:val="both"/>
              <w:rPr>
                <w:rFonts w:ascii="Traditional Arabic" w:hAnsi="Traditional Arabic" w:cs="Traditional Arabic"/>
                <w:sz w:val="30"/>
                <w:szCs w:val="30"/>
                <w:rtl/>
              </w:rPr>
            </w:pPr>
            <w:r>
              <w:rPr>
                <w:rFonts w:ascii="Traditional Arabic" w:hAnsi="Traditional Arabic" w:cs="Traditional Arabic" w:hint="cs"/>
                <w:sz w:val="30"/>
                <w:szCs w:val="30"/>
                <w:rtl/>
                <w:lang w:val="en-GB" w:bidi="ar-OM"/>
              </w:rPr>
              <w:t>123</w:t>
            </w:r>
            <w:r w:rsidRPr="00785453">
              <w:rPr>
                <w:rFonts w:ascii="Traditional Arabic" w:hAnsi="Traditional Arabic" w:cs="Traditional Arabic"/>
                <w:sz w:val="30"/>
                <w:szCs w:val="30"/>
                <w:rtl/>
                <w:lang w:val="en-GB" w:bidi="ar-OM"/>
              </w:rPr>
              <w:t xml:space="preserve"> </w:t>
            </w:r>
            <w:r w:rsidR="00C70F83" w:rsidRPr="00785453">
              <w:rPr>
                <w:rFonts w:ascii="Traditional Arabic" w:hAnsi="Traditional Arabic" w:cs="Traditional Arabic"/>
                <w:sz w:val="30"/>
                <w:szCs w:val="30"/>
                <w:rtl/>
                <w:lang w:val="en-GB" w:bidi="ar-OM"/>
              </w:rPr>
              <w:t>بيسة للسهم</w:t>
            </w:r>
            <w:r w:rsidR="00C70F83" w:rsidRPr="00785453">
              <w:rPr>
                <w:rFonts w:ascii="Traditional Arabic" w:hAnsi="Traditional Arabic" w:cs="Traditional Arabic" w:hint="cs"/>
                <w:sz w:val="30"/>
                <w:szCs w:val="30"/>
                <w:rtl/>
                <w:lang w:val="en-GB" w:bidi="ar-OM"/>
              </w:rPr>
              <w:t>.</w:t>
            </w:r>
          </w:p>
        </w:tc>
      </w:tr>
      <w:tr w:rsidR="00F63629" w:rsidRPr="00EB5BCF" w14:paraId="59DBBEEF" w14:textId="77777777" w:rsidTr="00272B36">
        <w:trPr>
          <w:trHeight w:val="1578"/>
        </w:trPr>
        <w:tc>
          <w:tcPr>
            <w:tcW w:w="2516" w:type="dxa"/>
          </w:tcPr>
          <w:p w14:paraId="7BAF1E36" w14:textId="77777777" w:rsidR="00F63629" w:rsidRPr="00EB5BCF" w:rsidRDefault="00F63629" w:rsidP="00C8617F">
            <w:pPr>
              <w:pStyle w:val="TOC1"/>
              <w:tabs>
                <w:tab w:val="clear" w:pos="9360"/>
                <w:tab w:val="left" w:pos="1772"/>
              </w:tabs>
              <w:bidi/>
              <w:jc w:val="both"/>
              <w:rPr>
                <w:rFonts w:ascii="Traditional Arabic" w:hAnsi="Traditional Arabic" w:cs="Traditional Arabic"/>
                <w:bCs/>
                <w:sz w:val="30"/>
                <w:szCs w:val="30"/>
                <w:rtl/>
              </w:rPr>
            </w:pPr>
            <w:r w:rsidRPr="00EB5BCF">
              <w:rPr>
                <w:rFonts w:ascii="Traditional Arabic" w:hAnsi="Traditional Arabic" w:cs="Traditional Arabic"/>
                <w:bCs/>
                <w:sz w:val="30"/>
                <w:szCs w:val="30"/>
                <w:rtl/>
              </w:rPr>
              <w:t>سعر الطرح</w:t>
            </w:r>
          </w:p>
        </w:tc>
        <w:tc>
          <w:tcPr>
            <w:tcW w:w="6834" w:type="dxa"/>
          </w:tcPr>
          <w:p w14:paraId="0826F6EE" w14:textId="77777777" w:rsidR="00F63629" w:rsidRPr="00EB5BCF" w:rsidRDefault="007106F1" w:rsidP="00F63629">
            <w:pPr>
              <w:tabs>
                <w:tab w:val="left" w:leader="dot" w:pos="3672"/>
              </w:tabs>
              <w:bidi/>
              <w:jc w:val="both"/>
              <w:rPr>
                <w:rFonts w:ascii="Traditional Arabic" w:hAnsi="Traditional Arabic" w:cs="Traditional Arabic"/>
                <w:sz w:val="30"/>
                <w:szCs w:val="30"/>
                <w:rtl/>
              </w:rPr>
            </w:pPr>
            <w:r>
              <w:rPr>
                <w:rFonts w:ascii="Traditional Arabic" w:hAnsi="Traditional Arabic" w:cs="Traditional Arabic" w:hint="cs"/>
                <w:sz w:val="30"/>
                <w:szCs w:val="30"/>
                <w:rtl/>
                <w:lang w:val="en-GB"/>
              </w:rPr>
              <w:t xml:space="preserve">هو السعر </w:t>
            </w:r>
            <w:r w:rsidR="002D15F0">
              <w:rPr>
                <w:rFonts w:ascii="Traditional Arabic" w:hAnsi="Traditional Arabic" w:cs="Traditional Arabic" w:hint="cs"/>
                <w:sz w:val="30"/>
                <w:szCs w:val="30"/>
                <w:rtl/>
                <w:lang w:val="en-GB"/>
              </w:rPr>
              <w:t>الذي تم اختياره</w:t>
            </w:r>
            <w:r w:rsidR="00090CF6">
              <w:rPr>
                <w:rFonts w:ascii="Traditional Arabic" w:hAnsi="Traditional Arabic" w:cs="Traditional Arabic" w:hint="cs"/>
                <w:sz w:val="30"/>
                <w:szCs w:val="30"/>
                <w:rtl/>
                <w:lang w:val="en-GB"/>
              </w:rPr>
              <w:t xml:space="preserve"> من ضمن النطاق السعري</w:t>
            </w:r>
            <w:r w:rsidR="004D597D">
              <w:rPr>
                <w:rFonts w:ascii="Traditional Arabic" w:hAnsi="Traditional Arabic" w:cs="Traditional Arabic" w:hint="cs"/>
                <w:sz w:val="30"/>
                <w:szCs w:val="30"/>
                <w:rtl/>
                <w:lang w:val="en-GB"/>
              </w:rPr>
              <w:t>،</w:t>
            </w:r>
            <w:r w:rsidR="002D15F0">
              <w:rPr>
                <w:rFonts w:ascii="Traditional Arabic" w:hAnsi="Traditional Arabic" w:cs="Traditional Arabic" w:hint="cs"/>
                <w:sz w:val="30"/>
                <w:szCs w:val="30"/>
                <w:rtl/>
                <w:lang w:val="en-GB"/>
              </w:rPr>
              <w:t xml:space="preserve"> والذي سيتم </w:t>
            </w:r>
            <w:r w:rsidR="007D59A8">
              <w:rPr>
                <w:rFonts w:ascii="Traditional Arabic" w:hAnsi="Traditional Arabic" w:cs="Traditional Arabic" w:hint="cs"/>
                <w:sz w:val="30"/>
                <w:szCs w:val="30"/>
                <w:rtl/>
                <w:lang w:val="en-GB"/>
              </w:rPr>
              <w:t>تعيينه</w:t>
            </w:r>
            <w:r w:rsidR="002D15F0">
              <w:rPr>
                <w:rFonts w:ascii="Traditional Arabic" w:hAnsi="Traditional Arabic" w:cs="Traditional Arabic" w:hint="cs"/>
                <w:sz w:val="30"/>
                <w:szCs w:val="30"/>
                <w:rtl/>
                <w:lang w:val="en-GB"/>
              </w:rPr>
              <w:t xml:space="preserve"> من قبل </w:t>
            </w:r>
            <w:r w:rsidR="007138F8">
              <w:rPr>
                <w:rFonts w:ascii="Traditional Arabic" w:hAnsi="Traditional Arabic" w:cs="Traditional Arabic" w:hint="cs"/>
                <w:sz w:val="30"/>
                <w:szCs w:val="30"/>
                <w:rtl/>
                <w:lang w:val="en-GB"/>
              </w:rPr>
              <w:t>المساهم البائع والمنسق العالمي المشترك،</w:t>
            </w:r>
            <w:r w:rsidR="004D597D">
              <w:rPr>
                <w:rFonts w:ascii="Traditional Arabic" w:hAnsi="Traditional Arabic" w:cs="Traditional Arabic" w:hint="cs"/>
                <w:sz w:val="30"/>
                <w:szCs w:val="30"/>
                <w:rtl/>
                <w:lang w:val="en-GB"/>
              </w:rPr>
              <w:t xml:space="preserve"> وذلك على النحو الموضح في </w:t>
            </w:r>
            <w:r w:rsidR="00F63629" w:rsidRPr="00EB5BCF">
              <w:rPr>
                <w:rFonts w:ascii="Traditional Arabic" w:hAnsi="Traditional Arabic" w:cs="Traditional Arabic"/>
                <w:sz w:val="30"/>
                <w:szCs w:val="30"/>
                <w:rtl/>
                <w:lang w:val="en-GB"/>
              </w:rPr>
              <w:t xml:space="preserve">الفصل </w:t>
            </w:r>
            <w:r w:rsidR="00AA426D">
              <w:rPr>
                <w:rFonts w:ascii="Traditional Arabic" w:hAnsi="Traditional Arabic" w:cs="Traditional Arabic" w:hint="cs"/>
                <w:sz w:val="30"/>
                <w:szCs w:val="30"/>
                <w:rtl/>
                <w:lang w:val="en-GB"/>
              </w:rPr>
              <w:t xml:space="preserve">التاسع </w:t>
            </w:r>
            <w:r w:rsidR="001D0336">
              <w:rPr>
                <w:rFonts w:ascii="Traditional Arabic" w:hAnsi="Traditional Arabic" w:cs="Traditional Arabic" w:hint="cs"/>
                <w:sz w:val="30"/>
                <w:szCs w:val="30"/>
                <w:rtl/>
                <w:lang w:val="en-GB"/>
              </w:rPr>
              <w:t>عشر</w:t>
            </w:r>
            <w:r w:rsidR="00F63629" w:rsidRPr="00EB5BCF">
              <w:rPr>
                <w:rFonts w:ascii="Traditional Arabic" w:hAnsi="Traditional Arabic" w:cs="Traditional Arabic"/>
                <w:sz w:val="30"/>
                <w:szCs w:val="30"/>
                <w:rtl/>
                <w:lang w:val="en-GB"/>
              </w:rPr>
              <w:t xml:space="preserve"> من هذه النشرة بعنوان "شروط الاكتتاب وإجراءاته".</w:t>
            </w:r>
            <w:r w:rsidR="00F63629" w:rsidRPr="00EB5BCF">
              <w:rPr>
                <w:rFonts w:ascii="Traditional Arabic" w:hAnsi="Traditional Arabic" w:cs="Traditional Arabic"/>
                <w:sz w:val="30"/>
                <w:szCs w:val="30"/>
                <w:rtl/>
              </w:rPr>
              <w:t xml:space="preserve"> </w:t>
            </w:r>
            <w:r w:rsidR="0082182B">
              <w:rPr>
                <w:rFonts w:ascii="Traditional Arabic" w:hAnsi="Traditional Arabic" w:cs="Traditional Arabic" w:hint="cs"/>
                <w:sz w:val="30"/>
                <w:szCs w:val="30"/>
                <w:rtl/>
              </w:rPr>
              <w:t xml:space="preserve">والذي سيكون </w:t>
            </w:r>
            <w:r w:rsidR="00F24B99">
              <w:rPr>
                <w:rFonts w:ascii="Traditional Arabic" w:hAnsi="Traditional Arabic" w:cs="Traditional Arabic" w:hint="cs"/>
                <w:sz w:val="30"/>
                <w:szCs w:val="30"/>
                <w:rtl/>
              </w:rPr>
              <w:t xml:space="preserve">سعر </w:t>
            </w:r>
            <w:r w:rsidR="005F44D3">
              <w:rPr>
                <w:rFonts w:ascii="Traditional Arabic" w:hAnsi="Traditional Arabic" w:cs="Traditional Arabic" w:hint="cs"/>
                <w:sz w:val="30"/>
                <w:szCs w:val="30"/>
                <w:rtl/>
              </w:rPr>
              <w:t>ال</w:t>
            </w:r>
            <w:r w:rsidR="006D1858">
              <w:rPr>
                <w:rFonts w:ascii="Traditional Arabic" w:hAnsi="Traditional Arabic" w:cs="Traditional Arabic" w:hint="cs"/>
                <w:sz w:val="30"/>
                <w:szCs w:val="30"/>
                <w:rtl/>
              </w:rPr>
              <w:t>شراء</w:t>
            </w:r>
            <w:r w:rsidR="005F44D3">
              <w:rPr>
                <w:rFonts w:ascii="Traditional Arabic" w:hAnsi="Traditional Arabic" w:cs="Traditional Arabic" w:hint="cs"/>
                <w:sz w:val="30"/>
                <w:szCs w:val="30"/>
                <w:rtl/>
              </w:rPr>
              <w:t xml:space="preserve"> </w:t>
            </w:r>
            <w:r w:rsidR="00F24B99">
              <w:rPr>
                <w:rFonts w:ascii="Traditional Arabic" w:hAnsi="Traditional Arabic" w:cs="Traditional Arabic" w:hint="cs"/>
                <w:sz w:val="30"/>
                <w:szCs w:val="30"/>
                <w:rtl/>
              </w:rPr>
              <w:t>لكلا من مقدمي طلبات من الفئة الاولى والثانية.</w:t>
            </w:r>
          </w:p>
        </w:tc>
      </w:tr>
      <w:tr w:rsidR="00F63629" w:rsidRPr="00EB5BCF" w14:paraId="6D07EF65" w14:textId="77777777" w:rsidTr="004C2C8B">
        <w:tc>
          <w:tcPr>
            <w:tcW w:w="2516" w:type="dxa"/>
          </w:tcPr>
          <w:p w14:paraId="5E38B2AF" w14:textId="77777777" w:rsidR="00F63629" w:rsidRPr="00EB5BCF" w:rsidRDefault="00F63629" w:rsidP="00C8617F">
            <w:pPr>
              <w:pStyle w:val="TOC1"/>
              <w:tabs>
                <w:tab w:val="clear" w:pos="9360"/>
                <w:tab w:val="left" w:pos="1772"/>
              </w:tabs>
              <w:bidi/>
              <w:jc w:val="both"/>
              <w:rPr>
                <w:rFonts w:ascii="Traditional Arabic" w:hAnsi="Traditional Arabic" w:cs="Traditional Arabic"/>
                <w:bCs/>
                <w:sz w:val="30"/>
                <w:szCs w:val="30"/>
                <w:rtl/>
              </w:rPr>
            </w:pPr>
            <w:r w:rsidRPr="00EB5BCF">
              <w:rPr>
                <w:rFonts w:ascii="Traditional Arabic" w:hAnsi="Traditional Arabic" w:cs="Traditional Arabic"/>
                <w:bCs/>
                <w:sz w:val="30"/>
                <w:szCs w:val="30"/>
                <w:rtl/>
              </w:rPr>
              <w:t>النسبة المئوية للأسهم المطروحة من إجمالي أسهم رأس</w:t>
            </w:r>
            <w:r w:rsidR="00342548">
              <w:rPr>
                <w:rFonts w:ascii="Traditional Arabic" w:hAnsi="Traditional Arabic" w:cs="Traditional Arabic" w:hint="cs"/>
                <w:bCs/>
                <w:sz w:val="30"/>
                <w:szCs w:val="30"/>
                <w:rtl/>
              </w:rPr>
              <w:t xml:space="preserve"> مال الشركة المصدر</w:t>
            </w:r>
            <w:r w:rsidRPr="00EB5BCF">
              <w:rPr>
                <w:rFonts w:ascii="Traditional Arabic" w:hAnsi="Traditional Arabic" w:cs="Traditional Arabic"/>
                <w:bCs/>
                <w:sz w:val="30"/>
                <w:szCs w:val="30"/>
                <w:rtl/>
              </w:rPr>
              <w:t xml:space="preserve"> </w:t>
            </w:r>
          </w:p>
        </w:tc>
        <w:tc>
          <w:tcPr>
            <w:tcW w:w="6834" w:type="dxa"/>
          </w:tcPr>
          <w:p w14:paraId="402BD7F0" w14:textId="77777777" w:rsidR="00F63629" w:rsidRPr="00EB5BCF" w:rsidRDefault="00F63629" w:rsidP="00F63629">
            <w:pPr>
              <w:tabs>
                <w:tab w:val="left" w:leader="dot" w:pos="3672"/>
              </w:tabs>
              <w:bidi/>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rPr>
              <w:t xml:space="preserve">تبلغ نسبة الأسهم المطروحة من إجمالي أسهم رأس </w:t>
            </w:r>
            <w:r w:rsidR="00342548">
              <w:rPr>
                <w:rFonts w:ascii="Traditional Arabic" w:hAnsi="Traditional Arabic" w:cs="Traditional Arabic" w:hint="cs"/>
                <w:sz w:val="30"/>
                <w:szCs w:val="30"/>
                <w:rtl/>
              </w:rPr>
              <w:t xml:space="preserve">مال الشركة المصدر </w:t>
            </w:r>
            <w:r w:rsidRPr="00EB5BCF">
              <w:rPr>
                <w:rFonts w:ascii="Traditional Arabic" w:hAnsi="Traditional Arabic" w:cs="Traditional Arabic"/>
                <w:sz w:val="30"/>
                <w:szCs w:val="30"/>
                <w:rtl/>
              </w:rPr>
              <w:t xml:space="preserve">ما نسبته </w:t>
            </w:r>
            <w:r w:rsidR="006D4544">
              <w:rPr>
                <w:rFonts w:ascii="Traditional Arabic" w:hAnsi="Traditional Arabic" w:cs="Traditional Arabic" w:hint="cs"/>
                <w:sz w:val="30"/>
                <w:szCs w:val="30"/>
                <w:rtl/>
              </w:rPr>
              <w:t>٢٠</w:t>
            </w:r>
            <w:r w:rsidR="00164451">
              <w:rPr>
                <w:rFonts w:ascii="Traditional Arabic" w:hAnsi="Traditional Arabic" w:cs="Traditional Arabic" w:hint="cs"/>
                <w:sz w:val="30"/>
                <w:szCs w:val="30"/>
                <w:rtl/>
                <w:lang w:val="en-GB"/>
              </w:rPr>
              <w:t>%</w:t>
            </w:r>
            <w:r w:rsidR="006D4544">
              <w:rPr>
                <w:rFonts w:ascii="Traditional Arabic" w:hAnsi="Traditional Arabic" w:cs="Traditional Arabic" w:hint="cs"/>
                <w:sz w:val="30"/>
                <w:szCs w:val="30"/>
                <w:rtl/>
                <w:lang w:val="en-GB"/>
              </w:rPr>
              <w:t xml:space="preserve"> على الأقل</w:t>
            </w:r>
            <w:r w:rsidR="00907C3D">
              <w:rPr>
                <w:rFonts w:ascii="Traditional Arabic" w:hAnsi="Traditional Arabic" w:cs="Traditional Arabic" w:hint="cs"/>
                <w:sz w:val="30"/>
                <w:szCs w:val="30"/>
                <w:rtl/>
                <w:lang w:val="en-GB"/>
              </w:rPr>
              <w:t xml:space="preserve">، </w:t>
            </w:r>
            <w:r w:rsidR="00907C3D">
              <w:rPr>
                <w:rFonts w:ascii="Traditional Arabic" w:hAnsi="Traditional Arabic" w:cs="Traditional Arabic" w:hint="cs"/>
                <w:sz w:val="30"/>
                <w:szCs w:val="30"/>
                <w:rtl/>
              </w:rPr>
              <w:t>مع مراعاة مم</w:t>
            </w:r>
            <w:r w:rsidR="00C033BC">
              <w:rPr>
                <w:rFonts w:ascii="Traditional Arabic" w:hAnsi="Traditional Arabic" w:cs="Traditional Arabic" w:hint="cs"/>
                <w:sz w:val="30"/>
                <w:szCs w:val="30"/>
                <w:rtl/>
              </w:rPr>
              <w:t>ارسة المساهم البائع ل</w:t>
            </w:r>
            <w:r w:rsidR="00907C3D">
              <w:rPr>
                <w:rFonts w:ascii="Traditional Arabic" w:hAnsi="Traditional Arabic" w:cs="Traditional Arabic" w:hint="cs"/>
                <w:sz w:val="30"/>
                <w:szCs w:val="30"/>
                <w:rtl/>
              </w:rPr>
              <w:t>خيار زيادة حجم الاكتتاب</w:t>
            </w:r>
            <w:r w:rsidR="00C033BC">
              <w:rPr>
                <w:rFonts w:ascii="Traditional Arabic" w:hAnsi="Traditional Arabic" w:cs="Traditional Arabic" w:hint="cs"/>
                <w:sz w:val="30"/>
                <w:szCs w:val="30"/>
                <w:rtl/>
              </w:rPr>
              <w:t>.</w:t>
            </w:r>
          </w:p>
        </w:tc>
      </w:tr>
      <w:tr w:rsidR="00F63629" w:rsidRPr="00EB5BCF" w14:paraId="100EAE7B" w14:textId="77777777" w:rsidTr="004C2C8B">
        <w:tc>
          <w:tcPr>
            <w:tcW w:w="2516" w:type="dxa"/>
          </w:tcPr>
          <w:p w14:paraId="6477F465" w14:textId="77777777" w:rsidR="00F63629" w:rsidRPr="00EB5BCF" w:rsidRDefault="00342548" w:rsidP="00C8617F">
            <w:pPr>
              <w:pStyle w:val="TOC1"/>
              <w:tabs>
                <w:tab w:val="clear" w:pos="9360"/>
                <w:tab w:val="left" w:pos="1772"/>
              </w:tabs>
              <w:bidi/>
              <w:jc w:val="both"/>
              <w:rPr>
                <w:rFonts w:ascii="Traditional Arabic" w:hAnsi="Traditional Arabic" w:cs="Traditional Arabic"/>
                <w:bCs/>
                <w:sz w:val="30"/>
                <w:szCs w:val="30"/>
                <w:rtl/>
              </w:rPr>
            </w:pPr>
            <w:r>
              <w:rPr>
                <w:rFonts w:ascii="Traditional Arabic" w:hAnsi="Traditional Arabic" w:cs="Traditional Arabic" w:hint="cs"/>
                <w:bCs/>
                <w:sz w:val="30"/>
                <w:szCs w:val="30"/>
                <w:rtl/>
              </w:rPr>
              <w:t>اسم</w:t>
            </w:r>
            <w:r w:rsidRPr="00EB5BCF">
              <w:rPr>
                <w:rFonts w:ascii="Traditional Arabic" w:hAnsi="Traditional Arabic" w:cs="Traditional Arabic"/>
                <w:bCs/>
                <w:sz w:val="30"/>
                <w:szCs w:val="30"/>
                <w:rtl/>
              </w:rPr>
              <w:t xml:space="preserve"> </w:t>
            </w:r>
            <w:r w:rsidR="00743F5A">
              <w:rPr>
                <w:rFonts w:ascii="Traditional Arabic" w:hAnsi="Traditional Arabic" w:cs="Traditional Arabic"/>
                <w:bCs/>
                <w:sz w:val="30"/>
                <w:szCs w:val="30"/>
                <w:rtl/>
              </w:rPr>
              <w:t>المساهم البائع</w:t>
            </w:r>
            <w:r w:rsidR="00F63629" w:rsidRPr="00EB5BCF">
              <w:rPr>
                <w:rFonts w:ascii="Traditional Arabic" w:hAnsi="Traditional Arabic" w:cs="Traditional Arabic"/>
                <w:bCs/>
                <w:sz w:val="30"/>
                <w:szCs w:val="30"/>
                <w:rtl/>
              </w:rPr>
              <w:t xml:space="preserve"> وعدد الأسهم المعروضة للبيع من قبل</w:t>
            </w:r>
            <w:r w:rsidR="00264A52">
              <w:rPr>
                <w:rFonts w:ascii="Traditional Arabic" w:hAnsi="Traditional Arabic" w:cs="Traditional Arabic" w:hint="cs"/>
                <w:bCs/>
                <w:sz w:val="30"/>
                <w:szCs w:val="30"/>
                <w:rtl/>
              </w:rPr>
              <w:t>ه</w:t>
            </w:r>
            <w:r w:rsidR="00F63629" w:rsidRPr="00EB5BCF">
              <w:rPr>
                <w:rFonts w:ascii="Traditional Arabic" w:hAnsi="Traditional Arabic" w:cs="Traditional Arabic"/>
                <w:bCs/>
                <w:sz w:val="30"/>
                <w:szCs w:val="30"/>
                <w:rtl/>
              </w:rPr>
              <w:t xml:space="preserve"> </w:t>
            </w:r>
          </w:p>
        </w:tc>
        <w:tc>
          <w:tcPr>
            <w:tcW w:w="6834" w:type="dxa"/>
          </w:tcPr>
          <w:p w14:paraId="68E7A686" w14:textId="456152D8" w:rsidR="00251D1B" w:rsidRPr="00EB5BCF" w:rsidRDefault="00A15C68" w:rsidP="00251D1B">
            <w:pPr>
              <w:tabs>
                <w:tab w:val="left" w:leader="dot" w:pos="3672"/>
              </w:tabs>
              <w:bidi/>
              <w:jc w:val="both"/>
              <w:rPr>
                <w:rFonts w:ascii="Traditional Arabic" w:hAnsi="Traditional Arabic" w:cs="Traditional Arabic"/>
                <w:sz w:val="30"/>
                <w:szCs w:val="30"/>
                <w:rtl/>
              </w:rPr>
            </w:pPr>
            <w:r>
              <w:rPr>
                <w:rFonts w:ascii="Traditional Arabic" w:hAnsi="Traditional Arabic" w:cs="Traditional Arabic"/>
                <w:sz w:val="30"/>
                <w:szCs w:val="30"/>
                <w:rtl/>
              </w:rPr>
              <w:t>مجموعة أسياد ش م ع م</w:t>
            </w:r>
            <w:r w:rsidR="00264A52">
              <w:rPr>
                <w:rFonts w:ascii="Traditional Arabic" w:hAnsi="Traditional Arabic" w:cs="Traditional Arabic" w:hint="cs"/>
                <w:sz w:val="30"/>
                <w:szCs w:val="30"/>
                <w:rtl/>
              </w:rPr>
              <w:t xml:space="preserve">: </w:t>
            </w:r>
            <w:r w:rsidR="009E3058" w:rsidRPr="009E3058">
              <w:rPr>
                <w:rFonts w:ascii="Traditional Arabic" w:hAnsi="Traditional Arabic" w:cs="Traditional Arabic"/>
                <w:sz w:val="30"/>
                <w:szCs w:val="30"/>
                <w:rtl/>
                <w:lang w:val="en-GB"/>
              </w:rPr>
              <w:t>١,٠٤١,٧٤٨,٨٥٦</w:t>
            </w:r>
            <w:r w:rsidR="00251D1B" w:rsidRPr="00EB5BCF">
              <w:rPr>
                <w:rFonts w:ascii="Traditional Arabic" w:hAnsi="Traditional Arabic" w:cs="Traditional Arabic"/>
                <w:sz w:val="30"/>
                <w:szCs w:val="30"/>
                <w:rtl/>
              </w:rPr>
              <w:t xml:space="preserve">سهم، وتمثل ما نسبته </w:t>
            </w:r>
            <w:r w:rsidR="00BB4479">
              <w:rPr>
                <w:rFonts w:cs="Traditional Arabic" w:hint="cs"/>
                <w:sz w:val="30"/>
                <w:szCs w:val="30"/>
                <w:rtl/>
                <w:lang w:val="en-GB"/>
              </w:rPr>
              <w:t>١٠٠</w:t>
            </w:r>
            <w:r w:rsidR="00BB4479" w:rsidRPr="00EB5BCF">
              <w:rPr>
                <w:rFonts w:ascii="Traditional Arabic" w:hAnsi="Traditional Arabic" w:cs="Traditional Arabic"/>
                <w:sz w:val="30"/>
                <w:szCs w:val="30"/>
                <w:rtl/>
              </w:rPr>
              <w:t xml:space="preserve"> </w:t>
            </w:r>
            <w:r w:rsidR="00251D1B" w:rsidRPr="00EB5BCF">
              <w:rPr>
                <w:rFonts w:ascii="Traditional Arabic" w:hAnsi="Traditional Arabic" w:cs="Traditional Arabic"/>
                <w:sz w:val="30"/>
                <w:szCs w:val="30"/>
                <w:rtl/>
              </w:rPr>
              <w:t>% من الأسهم</w:t>
            </w:r>
            <w:r w:rsidR="00441D72" w:rsidRPr="00EB5BCF">
              <w:rPr>
                <w:rFonts w:ascii="Traditional Arabic" w:hAnsi="Traditional Arabic" w:cs="Traditional Arabic"/>
                <w:sz w:val="30"/>
                <w:szCs w:val="30"/>
                <w:rtl/>
              </w:rPr>
              <w:t xml:space="preserve"> المطروحة</w:t>
            </w:r>
            <w:r w:rsidR="00E3275B">
              <w:rPr>
                <w:rFonts w:ascii="Traditional Arabic" w:hAnsi="Traditional Arabic" w:cs="Traditional Arabic" w:hint="cs"/>
                <w:sz w:val="30"/>
                <w:szCs w:val="30"/>
                <w:rtl/>
              </w:rPr>
              <w:t>، مع مراعاة ممارسة المساهم البائع لخيار زيادة حجم الاكتتاب.</w:t>
            </w:r>
          </w:p>
          <w:p w14:paraId="19EC48BC" w14:textId="77777777" w:rsidR="00C514BC" w:rsidRDefault="00C514BC" w:rsidP="00096DC8">
            <w:pPr>
              <w:tabs>
                <w:tab w:val="left" w:leader="dot" w:pos="3672"/>
              </w:tabs>
              <w:bidi/>
              <w:jc w:val="both"/>
              <w:rPr>
                <w:rFonts w:ascii="Traditional Arabic" w:hAnsi="Traditional Arabic" w:cs="Traditional Arabic"/>
                <w:sz w:val="30"/>
                <w:szCs w:val="30"/>
                <w:rtl/>
              </w:rPr>
            </w:pPr>
          </w:p>
          <w:p w14:paraId="18AF16E9" w14:textId="77777777" w:rsidR="00C514BC" w:rsidRPr="00EB5BCF" w:rsidRDefault="00C514BC" w:rsidP="00C514BC">
            <w:pPr>
              <w:tabs>
                <w:tab w:val="left" w:leader="dot" w:pos="3672"/>
              </w:tabs>
              <w:bidi/>
              <w:jc w:val="both"/>
              <w:rPr>
                <w:rFonts w:ascii="Traditional Arabic" w:hAnsi="Traditional Arabic" w:cs="Traditional Arabic"/>
                <w:sz w:val="30"/>
                <w:szCs w:val="30"/>
                <w:rtl/>
              </w:rPr>
            </w:pPr>
          </w:p>
        </w:tc>
      </w:tr>
      <w:tr w:rsidR="00F63629" w:rsidRPr="00EB5BCF" w14:paraId="5A0441E2" w14:textId="77777777" w:rsidTr="004C2C8B">
        <w:tc>
          <w:tcPr>
            <w:tcW w:w="2516" w:type="dxa"/>
          </w:tcPr>
          <w:p w14:paraId="1E486340" w14:textId="77777777" w:rsidR="00F63629" w:rsidRPr="00EB5BCF" w:rsidRDefault="00F63629" w:rsidP="00C8617F">
            <w:pPr>
              <w:pStyle w:val="TOC1"/>
              <w:tabs>
                <w:tab w:val="clear" w:pos="9360"/>
                <w:tab w:val="left" w:pos="1772"/>
              </w:tabs>
              <w:bidi/>
              <w:jc w:val="both"/>
              <w:rPr>
                <w:rFonts w:ascii="Traditional Arabic" w:hAnsi="Traditional Arabic" w:cs="Traditional Arabic"/>
                <w:bCs/>
                <w:sz w:val="30"/>
                <w:szCs w:val="30"/>
                <w:rtl/>
              </w:rPr>
            </w:pPr>
            <w:r w:rsidRPr="00EB5BCF">
              <w:rPr>
                <w:rFonts w:ascii="Traditional Arabic" w:hAnsi="Traditional Arabic" w:cs="Traditional Arabic"/>
                <w:bCs/>
                <w:sz w:val="30"/>
                <w:szCs w:val="30"/>
                <w:rtl/>
              </w:rPr>
              <w:lastRenderedPageBreak/>
              <w:t>الغرض من الاكتتاب العام</w:t>
            </w:r>
          </w:p>
        </w:tc>
        <w:tc>
          <w:tcPr>
            <w:tcW w:w="6834" w:type="dxa"/>
          </w:tcPr>
          <w:p w14:paraId="5A145B6D" w14:textId="3046ED44" w:rsidR="00F63629" w:rsidRPr="00EB5BCF" w:rsidRDefault="00D658B2" w:rsidP="00F63629">
            <w:pPr>
              <w:tabs>
                <w:tab w:val="left" w:leader="dot" w:pos="3672"/>
              </w:tabs>
              <w:bidi/>
              <w:jc w:val="both"/>
              <w:rPr>
                <w:rFonts w:ascii="Traditional Arabic" w:hAnsi="Traditional Arabic" w:cs="Traditional Arabic"/>
                <w:sz w:val="30"/>
                <w:szCs w:val="30"/>
                <w:rtl/>
              </w:rPr>
            </w:pPr>
            <w:r>
              <w:rPr>
                <w:rFonts w:ascii="Traditional Arabic" w:hAnsi="Traditional Arabic" w:cs="Traditional Arabic" w:hint="cs"/>
                <w:sz w:val="30"/>
                <w:szCs w:val="30"/>
                <w:rtl/>
              </w:rPr>
              <w:t>مضت الشركة و</w:t>
            </w:r>
            <w:r w:rsidR="00E663CB">
              <w:rPr>
                <w:rFonts w:ascii="Traditional Arabic" w:hAnsi="Traditional Arabic" w:cs="Traditional Arabic" w:hint="cs"/>
                <w:sz w:val="30"/>
                <w:szCs w:val="30"/>
                <w:rtl/>
              </w:rPr>
              <w:t>المساهم البائع</w:t>
            </w:r>
            <w:r>
              <w:rPr>
                <w:rFonts w:ascii="Traditional Arabic" w:hAnsi="Traditional Arabic" w:cs="Traditional Arabic" w:hint="cs"/>
                <w:sz w:val="30"/>
                <w:szCs w:val="30"/>
                <w:rtl/>
              </w:rPr>
              <w:t xml:space="preserve"> في الاكتتاب العام </w:t>
            </w:r>
            <w:r w:rsidR="00E34F95">
              <w:rPr>
                <w:rFonts w:ascii="Traditional Arabic" w:hAnsi="Traditional Arabic" w:cs="Traditional Arabic" w:hint="cs"/>
                <w:sz w:val="30"/>
                <w:szCs w:val="30"/>
                <w:rtl/>
              </w:rPr>
              <w:t>ل</w:t>
            </w:r>
            <w:r w:rsidR="007A7018" w:rsidRPr="00EB5BCF">
              <w:rPr>
                <w:rFonts w:ascii="Traditional Arabic" w:hAnsi="Traditional Arabic" w:cs="Traditional Arabic"/>
                <w:sz w:val="30"/>
                <w:szCs w:val="30"/>
                <w:rtl/>
              </w:rPr>
              <w:t xml:space="preserve">بيع </w:t>
            </w:r>
            <w:r w:rsidR="00490649">
              <w:rPr>
                <w:rFonts w:ascii="Traditional Arabic" w:hAnsi="Traditional Arabic" w:cs="Traditional Arabic" w:hint="cs"/>
                <w:sz w:val="30"/>
                <w:szCs w:val="30"/>
                <w:rtl/>
                <w:lang w:bidi="ar-OM"/>
              </w:rPr>
              <w:t xml:space="preserve">جزء من </w:t>
            </w:r>
            <w:r w:rsidR="004E018C">
              <w:rPr>
                <w:rFonts w:ascii="Traditional Arabic" w:hAnsi="Traditional Arabic" w:cs="Traditional Arabic" w:hint="cs"/>
                <w:sz w:val="30"/>
                <w:szCs w:val="30"/>
                <w:rtl/>
                <w:lang w:bidi="ar-OM"/>
              </w:rPr>
              <w:t>رأسمال</w:t>
            </w:r>
            <w:r w:rsidR="007A7018" w:rsidRPr="00EB5BCF">
              <w:rPr>
                <w:rFonts w:ascii="Traditional Arabic" w:hAnsi="Traditional Arabic" w:cs="Traditional Arabic"/>
                <w:sz w:val="30"/>
                <w:szCs w:val="30"/>
                <w:rtl/>
              </w:rPr>
              <w:t xml:space="preserve"> الشركة </w:t>
            </w:r>
            <w:r w:rsidR="00A05B1B">
              <w:rPr>
                <w:rFonts w:ascii="Traditional Arabic" w:hAnsi="Traditional Arabic" w:cs="Traditional Arabic" w:hint="cs"/>
                <w:sz w:val="30"/>
                <w:szCs w:val="30"/>
                <w:rtl/>
              </w:rPr>
              <w:t xml:space="preserve">وذلك </w:t>
            </w:r>
            <w:r w:rsidR="007A7018" w:rsidRPr="00EB5BCF">
              <w:rPr>
                <w:rFonts w:ascii="Traditional Arabic" w:hAnsi="Traditional Arabic" w:cs="Traditional Arabic"/>
                <w:sz w:val="30"/>
                <w:szCs w:val="30"/>
                <w:rtl/>
              </w:rPr>
              <w:t xml:space="preserve">وفق برنامج </w:t>
            </w:r>
            <w:r w:rsidR="00B72C18">
              <w:rPr>
                <w:rFonts w:ascii="Traditional Arabic" w:hAnsi="Traditional Arabic" w:cs="Traditional Arabic" w:hint="cs"/>
                <w:sz w:val="30"/>
                <w:szCs w:val="30"/>
                <w:rtl/>
              </w:rPr>
              <w:t>التخارج</w:t>
            </w:r>
            <w:r w:rsidR="00F61360" w:rsidRPr="00EB5BCF">
              <w:rPr>
                <w:rFonts w:ascii="Traditional Arabic" w:hAnsi="Traditional Arabic" w:cs="Traditional Arabic"/>
                <w:sz w:val="30"/>
                <w:szCs w:val="30"/>
                <w:rtl/>
              </w:rPr>
              <w:t xml:space="preserve"> </w:t>
            </w:r>
            <w:r w:rsidR="007A7018" w:rsidRPr="00EB5BCF">
              <w:rPr>
                <w:rFonts w:ascii="Traditional Arabic" w:hAnsi="Traditional Arabic" w:cs="Traditional Arabic"/>
                <w:sz w:val="30"/>
                <w:szCs w:val="30"/>
                <w:rtl/>
              </w:rPr>
              <w:t>الحكومي.</w:t>
            </w:r>
          </w:p>
        </w:tc>
      </w:tr>
      <w:tr w:rsidR="00E34F95" w:rsidRPr="00EB5BCF" w14:paraId="37105D31" w14:textId="77777777" w:rsidTr="004C2C8B">
        <w:tc>
          <w:tcPr>
            <w:tcW w:w="2516" w:type="dxa"/>
          </w:tcPr>
          <w:p w14:paraId="70605A68" w14:textId="77777777" w:rsidR="00E34F95" w:rsidRPr="00EB5BCF" w:rsidRDefault="000A41AE" w:rsidP="00070AA4">
            <w:pPr>
              <w:bidi/>
              <w:rPr>
                <w:rFonts w:ascii="Traditional Arabic" w:hAnsi="Traditional Arabic" w:cs="Traditional Arabic"/>
                <w:bCs/>
                <w:sz w:val="30"/>
                <w:szCs w:val="30"/>
                <w:rtl/>
                <w:lang w:bidi="ar-OM"/>
              </w:rPr>
            </w:pPr>
            <w:r>
              <w:rPr>
                <w:rFonts w:ascii="Traditional Arabic" w:hAnsi="Traditional Arabic" w:cs="Traditional Arabic" w:hint="cs"/>
                <w:bCs/>
                <w:sz w:val="30"/>
                <w:szCs w:val="30"/>
                <w:rtl/>
                <w:lang w:bidi="ar-OM"/>
              </w:rPr>
              <w:t>المؤهلون للاكتتاب في أسهم طرح الفئة الأولى</w:t>
            </w:r>
          </w:p>
        </w:tc>
        <w:tc>
          <w:tcPr>
            <w:tcW w:w="6834" w:type="dxa"/>
          </w:tcPr>
          <w:p w14:paraId="3B7949C8" w14:textId="77777777" w:rsidR="00E34F95" w:rsidRPr="00EB5BCF" w:rsidRDefault="000A41AE" w:rsidP="00070AA4">
            <w:pPr>
              <w:tabs>
                <w:tab w:val="left" w:leader="dot" w:pos="3672"/>
              </w:tabs>
              <w:bidi/>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مستثمرو الفئة الأولى، على النحو المحدد في الفصل </w:t>
            </w:r>
            <w:r w:rsidR="00050F71">
              <w:rPr>
                <w:rFonts w:ascii="Traditional Arabic" w:hAnsi="Traditional Arabic" w:cs="Traditional Arabic" w:hint="cs"/>
                <w:sz w:val="30"/>
                <w:szCs w:val="30"/>
                <w:rtl/>
              </w:rPr>
              <w:t xml:space="preserve">التاسع </w:t>
            </w:r>
            <w:r w:rsidR="001D0336">
              <w:rPr>
                <w:rFonts w:ascii="Traditional Arabic" w:hAnsi="Traditional Arabic" w:cs="Traditional Arabic" w:hint="cs"/>
                <w:sz w:val="30"/>
                <w:szCs w:val="30"/>
                <w:rtl/>
              </w:rPr>
              <w:t>عشر</w:t>
            </w:r>
            <w:r>
              <w:rPr>
                <w:rFonts w:ascii="Traditional Arabic" w:hAnsi="Traditional Arabic" w:cs="Traditional Arabic" w:hint="cs"/>
                <w:sz w:val="30"/>
                <w:szCs w:val="30"/>
                <w:rtl/>
              </w:rPr>
              <w:t xml:space="preserve"> من هذه النشرة بعنوان "شروط الاكتتاب وإجراءاته".</w:t>
            </w:r>
          </w:p>
        </w:tc>
      </w:tr>
      <w:tr w:rsidR="00575AA4" w:rsidRPr="00EB5BCF" w14:paraId="3A2EF87E" w14:textId="77777777" w:rsidTr="004C2C8B">
        <w:tc>
          <w:tcPr>
            <w:tcW w:w="2516" w:type="dxa"/>
          </w:tcPr>
          <w:p w14:paraId="09D3EAFC" w14:textId="77777777" w:rsidR="00575AA4" w:rsidRPr="00EB5BCF" w:rsidRDefault="00575AA4" w:rsidP="00575AA4">
            <w:pPr>
              <w:bidi/>
              <w:rPr>
                <w:rFonts w:ascii="Traditional Arabic" w:hAnsi="Traditional Arabic" w:cs="Traditional Arabic"/>
                <w:bCs/>
                <w:sz w:val="30"/>
                <w:szCs w:val="30"/>
                <w:rtl/>
                <w:lang w:bidi="ar-OM"/>
              </w:rPr>
            </w:pPr>
            <w:r>
              <w:rPr>
                <w:rFonts w:ascii="Traditional Arabic" w:hAnsi="Traditional Arabic" w:cs="Traditional Arabic" w:hint="cs"/>
                <w:bCs/>
                <w:sz w:val="30"/>
                <w:szCs w:val="30"/>
                <w:rtl/>
                <w:lang w:bidi="ar-OM"/>
              </w:rPr>
              <w:t>المؤهلون للاكتتاب في أسهم طرح الفئة الثانية</w:t>
            </w:r>
          </w:p>
        </w:tc>
        <w:tc>
          <w:tcPr>
            <w:tcW w:w="6834" w:type="dxa"/>
          </w:tcPr>
          <w:p w14:paraId="21EA7248" w14:textId="77777777" w:rsidR="00575AA4" w:rsidRPr="00EB5BCF" w:rsidRDefault="00575AA4" w:rsidP="00575AA4">
            <w:pPr>
              <w:tabs>
                <w:tab w:val="left" w:leader="dot" w:pos="3672"/>
              </w:tabs>
              <w:bidi/>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مستثمرو الفئة الثانية، على النحو المحدد في الفصل </w:t>
            </w:r>
            <w:r w:rsidR="00050F71">
              <w:rPr>
                <w:rFonts w:ascii="Traditional Arabic" w:hAnsi="Traditional Arabic" w:cs="Traditional Arabic" w:hint="cs"/>
                <w:sz w:val="30"/>
                <w:szCs w:val="30"/>
                <w:rtl/>
              </w:rPr>
              <w:t xml:space="preserve">التاسع </w:t>
            </w:r>
            <w:r w:rsidR="001D0336">
              <w:rPr>
                <w:rFonts w:ascii="Traditional Arabic" w:hAnsi="Traditional Arabic" w:cs="Traditional Arabic" w:hint="cs"/>
                <w:sz w:val="30"/>
                <w:szCs w:val="30"/>
                <w:rtl/>
              </w:rPr>
              <w:t>عشر</w:t>
            </w:r>
            <w:r>
              <w:rPr>
                <w:rFonts w:ascii="Traditional Arabic" w:hAnsi="Traditional Arabic" w:cs="Traditional Arabic" w:hint="cs"/>
                <w:sz w:val="30"/>
                <w:szCs w:val="30"/>
                <w:rtl/>
              </w:rPr>
              <w:t xml:space="preserve"> من هذه النشرة بعنوان "شروط الاكتتاب وإجراءاته".</w:t>
            </w:r>
          </w:p>
        </w:tc>
      </w:tr>
      <w:tr w:rsidR="00F63629" w:rsidRPr="00EB5BCF" w14:paraId="343255BF" w14:textId="77777777" w:rsidTr="004C2C8B">
        <w:tc>
          <w:tcPr>
            <w:tcW w:w="2516" w:type="dxa"/>
          </w:tcPr>
          <w:p w14:paraId="36FFC66D" w14:textId="77777777" w:rsidR="00F63629" w:rsidRPr="00EB5BCF" w:rsidRDefault="00070AA4" w:rsidP="00070AA4">
            <w:pPr>
              <w:bidi/>
              <w:rPr>
                <w:rFonts w:ascii="Traditional Arabic" w:hAnsi="Traditional Arabic" w:cs="Traditional Arabic"/>
                <w:bCs/>
                <w:sz w:val="30"/>
                <w:szCs w:val="30"/>
                <w:rtl/>
              </w:rPr>
            </w:pPr>
            <w:r w:rsidRPr="00EB5BCF">
              <w:rPr>
                <w:rFonts w:ascii="Traditional Arabic" w:hAnsi="Traditional Arabic" w:cs="Traditional Arabic"/>
                <w:bCs/>
                <w:sz w:val="30"/>
                <w:szCs w:val="30"/>
                <w:rtl/>
                <w:lang w:bidi="ar-OM"/>
              </w:rPr>
              <w:t>المحظورون من الاكتتاب في الأسهم المطروحة:</w:t>
            </w:r>
          </w:p>
        </w:tc>
        <w:tc>
          <w:tcPr>
            <w:tcW w:w="6834" w:type="dxa"/>
          </w:tcPr>
          <w:p w14:paraId="0D6C1679" w14:textId="77777777" w:rsidR="00070AA4" w:rsidRPr="00EB5BCF" w:rsidRDefault="00070AA4" w:rsidP="00070AA4">
            <w:pPr>
              <w:tabs>
                <w:tab w:val="left" w:leader="dot" w:pos="3672"/>
              </w:tabs>
              <w:bidi/>
              <w:jc w:val="both"/>
              <w:rPr>
                <w:rFonts w:ascii="Traditional Arabic" w:hAnsi="Traditional Arabic" w:cs="Traditional Arabic"/>
                <w:sz w:val="30"/>
                <w:szCs w:val="30"/>
                <w:rtl/>
              </w:rPr>
            </w:pPr>
            <w:r w:rsidRPr="00EB5BCF">
              <w:rPr>
                <w:rFonts w:ascii="Traditional Arabic" w:hAnsi="Traditional Arabic" w:cs="Traditional Arabic"/>
                <w:sz w:val="30"/>
                <w:szCs w:val="30"/>
                <w:rtl/>
              </w:rPr>
              <w:t>غير مسموح للأشخاص المذكورين أدناه الاكتتاب في الأسهم المطروحة:</w:t>
            </w:r>
          </w:p>
          <w:p w14:paraId="06A6CF64" w14:textId="77777777" w:rsidR="00070AA4" w:rsidRPr="00EB5BCF" w:rsidRDefault="00070AA4" w:rsidP="00826D63">
            <w:pPr>
              <w:numPr>
                <w:ilvl w:val="0"/>
                <w:numId w:val="4"/>
              </w:numPr>
              <w:tabs>
                <w:tab w:val="left" w:leader="dot" w:pos="3672"/>
              </w:tabs>
              <w:bidi/>
              <w:spacing w:after="240"/>
              <w:ind w:left="245" w:hanging="245"/>
              <w:jc w:val="both"/>
              <w:rPr>
                <w:rFonts w:ascii="Traditional Arabic" w:hAnsi="Traditional Arabic" w:cs="Traditional Arabic"/>
                <w:sz w:val="30"/>
                <w:szCs w:val="30"/>
              </w:rPr>
            </w:pPr>
            <w:r w:rsidRPr="00EB5BCF">
              <w:rPr>
                <w:rFonts w:ascii="Traditional Arabic" w:hAnsi="Traditional Arabic" w:cs="Traditional Arabic"/>
                <w:bCs/>
                <w:sz w:val="30"/>
                <w:szCs w:val="30"/>
                <w:rtl/>
              </w:rPr>
              <w:t>المؤسسات الفردية</w:t>
            </w:r>
            <w:r w:rsidRPr="00EB5BCF">
              <w:rPr>
                <w:rFonts w:ascii="Traditional Arabic" w:hAnsi="Traditional Arabic" w:cs="Traditional Arabic"/>
                <w:sz w:val="30"/>
                <w:szCs w:val="30"/>
                <w:rtl/>
              </w:rPr>
              <w:t>، حيث يتعين على صاحب المؤسسة الفردية الاكتتاب باسمه الشخصي فقط.</w:t>
            </w:r>
          </w:p>
          <w:p w14:paraId="486EE1FB" w14:textId="77777777" w:rsidR="006F728F" w:rsidRPr="007421FD" w:rsidRDefault="00070AA4" w:rsidP="00826D63">
            <w:pPr>
              <w:numPr>
                <w:ilvl w:val="0"/>
                <w:numId w:val="4"/>
              </w:numPr>
              <w:tabs>
                <w:tab w:val="left" w:leader="dot" w:pos="3672"/>
              </w:tabs>
              <w:bidi/>
              <w:ind w:left="245" w:hanging="245"/>
              <w:jc w:val="both"/>
              <w:rPr>
                <w:rFonts w:ascii="Traditional Arabic" w:hAnsi="Traditional Arabic" w:cs="Traditional Arabic"/>
                <w:bCs/>
                <w:sz w:val="30"/>
                <w:szCs w:val="30"/>
              </w:rPr>
            </w:pPr>
            <w:r w:rsidRPr="00EB5BCF">
              <w:rPr>
                <w:rFonts w:ascii="Traditional Arabic" w:hAnsi="Traditional Arabic" w:cs="Traditional Arabic"/>
                <w:bCs/>
                <w:sz w:val="30"/>
                <w:szCs w:val="30"/>
                <w:rtl/>
              </w:rPr>
              <w:t>حسابات العهدة</w:t>
            </w:r>
            <w:r w:rsidRPr="00EB5BCF">
              <w:rPr>
                <w:rFonts w:ascii="Traditional Arabic" w:hAnsi="Traditional Arabic" w:cs="Traditional Arabic"/>
                <w:sz w:val="30"/>
                <w:szCs w:val="30"/>
                <w:rtl/>
              </w:rPr>
              <w:t>: يتعين على العملاء المسجلين تحت حسابات العهدة أن يقدموا طلباتهم بأسمائهم الشخصية (</w:t>
            </w:r>
            <w:r w:rsidR="006F728F">
              <w:rPr>
                <w:rFonts w:ascii="Traditional Arabic" w:hAnsi="Traditional Arabic" w:cs="Traditional Arabic" w:hint="cs"/>
                <w:sz w:val="30"/>
                <w:szCs w:val="30"/>
                <w:rtl/>
              </w:rPr>
              <w:t xml:space="preserve">باستثناء بعض الحالات الخاصة الموضحة في الفصل </w:t>
            </w:r>
            <w:r w:rsidR="00285753">
              <w:rPr>
                <w:rFonts w:ascii="Traditional Arabic" w:hAnsi="Traditional Arabic" w:cs="Traditional Arabic" w:hint="cs"/>
                <w:sz w:val="30"/>
                <w:szCs w:val="30"/>
                <w:rtl/>
              </w:rPr>
              <w:t xml:space="preserve">التاسع </w:t>
            </w:r>
            <w:r w:rsidR="001D0336">
              <w:rPr>
                <w:rFonts w:ascii="Traditional Arabic" w:hAnsi="Traditional Arabic" w:cs="Traditional Arabic" w:hint="cs"/>
                <w:sz w:val="30"/>
                <w:szCs w:val="30"/>
                <w:rtl/>
              </w:rPr>
              <w:t>عشر</w:t>
            </w:r>
            <w:r w:rsidR="006F728F">
              <w:rPr>
                <w:rFonts w:ascii="Traditional Arabic" w:hAnsi="Traditional Arabic" w:cs="Traditional Arabic" w:hint="cs"/>
                <w:sz w:val="30"/>
                <w:szCs w:val="30"/>
                <w:rtl/>
              </w:rPr>
              <w:t xml:space="preserve"> من هذه النشرة بعنوان "شروط الاكتتاب وإجراءاته"</w:t>
            </w:r>
            <w:r w:rsidRPr="00EB5BCF">
              <w:rPr>
                <w:rFonts w:ascii="Traditional Arabic" w:hAnsi="Traditional Arabic" w:cs="Traditional Arabic"/>
                <w:sz w:val="30"/>
                <w:szCs w:val="30"/>
                <w:rtl/>
              </w:rPr>
              <w:t>).</w:t>
            </w:r>
          </w:p>
          <w:p w14:paraId="60E02BEE" w14:textId="77777777" w:rsidR="006F728F" w:rsidRPr="00EB5BCF" w:rsidRDefault="000861C6" w:rsidP="00826D63">
            <w:pPr>
              <w:numPr>
                <w:ilvl w:val="0"/>
                <w:numId w:val="4"/>
              </w:numPr>
              <w:tabs>
                <w:tab w:val="left" w:leader="dot" w:pos="3672"/>
              </w:tabs>
              <w:bidi/>
              <w:spacing w:before="240" w:after="240"/>
              <w:ind w:left="245" w:hanging="245"/>
              <w:jc w:val="both"/>
              <w:rPr>
                <w:rFonts w:ascii="Traditional Arabic" w:hAnsi="Traditional Arabic" w:cs="Traditional Arabic"/>
                <w:bCs/>
                <w:sz w:val="30"/>
                <w:szCs w:val="30"/>
              </w:rPr>
            </w:pPr>
            <w:r>
              <w:rPr>
                <w:rFonts w:ascii="Traditional Arabic" w:hAnsi="Traditional Arabic" w:cs="Traditional Arabic" w:hint="cs"/>
                <w:bCs/>
                <w:sz w:val="30"/>
                <w:szCs w:val="30"/>
                <w:rtl/>
              </w:rPr>
              <w:t>المساهم البائع</w:t>
            </w:r>
            <w:r w:rsidR="006F728F">
              <w:rPr>
                <w:rFonts w:ascii="Traditional Arabic" w:hAnsi="Traditional Arabic" w:cs="Traditional Arabic" w:hint="cs"/>
                <w:bCs/>
                <w:sz w:val="30"/>
                <w:szCs w:val="30"/>
                <w:rtl/>
              </w:rPr>
              <w:t xml:space="preserve">: </w:t>
            </w:r>
            <w:r w:rsidR="006F728F">
              <w:rPr>
                <w:rFonts w:ascii="Traditional Arabic" w:hAnsi="Traditional Arabic" w:cs="Traditional Arabic" w:hint="cs"/>
                <w:b/>
                <w:sz w:val="30"/>
                <w:szCs w:val="30"/>
                <w:rtl/>
              </w:rPr>
              <w:t xml:space="preserve">لا يجوز </w:t>
            </w:r>
            <w:r w:rsidR="00C37AEC">
              <w:rPr>
                <w:rFonts w:ascii="Traditional Arabic" w:hAnsi="Traditional Arabic" w:cs="Traditional Arabic" w:hint="cs"/>
                <w:b/>
                <w:sz w:val="30"/>
                <w:szCs w:val="30"/>
                <w:rtl/>
              </w:rPr>
              <w:t>للمساهم البائع</w:t>
            </w:r>
            <w:r w:rsidR="006F728F">
              <w:rPr>
                <w:rFonts w:ascii="Traditional Arabic" w:hAnsi="Traditional Arabic" w:cs="Traditional Arabic" w:hint="cs"/>
                <w:b/>
                <w:sz w:val="30"/>
                <w:szCs w:val="30"/>
                <w:rtl/>
              </w:rPr>
              <w:t xml:space="preserve"> أن يكتتب في أسهم الطرح.</w:t>
            </w:r>
          </w:p>
          <w:p w14:paraId="130229D2" w14:textId="77777777" w:rsidR="00070AA4" w:rsidRPr="00583AB9" w:rsidRDefault="00070AA4" w:rsidP="00826D63">
            <w:pPr>
              <w:numPr>
                <w:ilvl w:val="0"/>
                <w:numId w:val="4"/>
              </w:numPr>
              <w:tabs>
                <w:tab w:val="left" w:leader="dot" w:pos="3672"/>
              </w:tabs>
              <w:bidi/>
              <w:spacing w:before="240" w:after="240"/>
              <w:ind w:left="245" w:hanging="245"/>
              <w:jc w:val="both"/>
              <w:rPr>
                <w:rFonts w:ascii="Traditional Arabic" w:hAnsi="Traditional Arabic" w:cs="Traditional Arabic"/>
                <w:bCs/>
                <w:sz w:val="30"/>
                <w:szCs w:val="30"/>
              </w:rPr>
            </w:pPr>
            <w:r w:rsidRPr="00EB5BCF">
              <w:rPr>
                <w:rFonts w:ascii="Traditional Arabic" w:hAnsi="Traditional Arabic" w:cs="Traditional Arabic"/>
                <w:bCs/>
                <w:sz w:val="30"/>
                <w:szCs w:val="30"/>
                <w:rtl/>
              </w:rPr>
              <w:t>الطلبات المتكررة</w:t>
            </w:r>
            <w:r w:rsidRPr="00EB5BCF">
              <w:rPr>
                <w:rFonts w:ascii="Traditional Arabic" w:hAnsi="Traditional Arabic" w:cs="Traditional Arabic"/>
                <w:sz w:val="30"/>
                <w:szCs w:val="30"/>
                <w:rtl/>
              </w:rPr>
              <w:t xml:space="preserve">: لا يجوز </w:t>
            </w:r>
            <w:r w:rsidR="007C1B7D" w:rsidRPr="00EB5BCF">
              <w:rPr>
                <w:rFonts w:ascii="Traditional Arabic" w:hAnsi="Traditional Arabic" w:cs="Traditional Arabic"/>
                <w:sz w:val="30"/>
                <w:szCs w:val="30"/>
                <w:rtl/>
              </w:rPr>
              <w:t>للم</w:t>
            </w:r>
            <w:r w:rsidR="007C1B7D" w:rsidRPr="00EB5BCF">
              <w:rPr>
                <w:rFonts w:ascii="Traditional Arabic" w:hAnsi="Traditional Arabic" w:cs="Traditional Arabic" w:hint="eastAsia"/>
                <w:sz w:val="30"/>
                <w:szCs w:val="30"/>
                <w:rtl/>
              </w:rPr>
              <w:t>ساهمين</w:t>
            </w:r>
            <w:r w:rsidR="007C1B7D"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تقديم أكثر من طلب اكتتاب واحد باسمه.</w:t>
            </w:r>
          </w:p>
          <w:p w14:paraId="550B2764" w14:textId="77777777" w:rsidR="007421FD" w:rsidRPr="00EB5BCF" w:rsidRDefault="00070AA4" w:rsidP="007421FD">
            <w:pPr>
              <w:numPr>
                <w:ilvl w:val="0"/>
                <w:numId w:val="4"/>
              </w:numPr>
              <w:tabs>
                <w:tab w:val="left" w:leader="dot" w:pos="3672"/>
              </w:tabs>
              <w:bidi/>
              <w:ind w:left="245" w:hanging="245"/>
              <w:jc w:val="both"/>
              <w:rPr>
                <w:rFonts w:ascii="Traditional Arabic" w:hAnsi="Traditional Arabic" w:cs="Traditional Arabic"/>
                <w:sz w:val="30"/>
                <w:szCs w:val="30"/>
                <w:rtl/>
              </w:rPr>
            </w:pPr>
            <w:r w:rsidRPr="00EB5BCF">
              <w:rPr>
                <w:rFonts w:ascii="Traditional Arabic" w:hAnsi="Traditional Arabic" w:cs="Traditional Arabic"/>
                <w:bCs/>
                <w:sz w:val="30"/>
                <w:szCs w:val="30"/>
                <w:rtl/>
              </w:rPr>
              <w:t>الطلبات المشتركة</w:t>
            </w:r>
            <w:r w:rsidRPr="00EB5BCF">
              <w:rPr>
                <w:rFonts w:ascii="Traditional Arabic" w:hAnsi="Traditional Arabic" w:cs="Traditional Arabic"/>
                <w:sz w:val="30"/>
                <w:szCs w:val="30"/>
                <w:rtl/>
              </w:rPr>
              <w:t xml:space="preserve">: لا يجوز </w:t>
            </w:r>
            <w:r w:rsidR="004212CF" w:rsidRPr="00EB5BCF">
              <w:rPr>
                <w:rFonts w:ascii="Traditional Arabic" w:hAnsi="Traditional Arabic" w:cs="Traditional Arabic"/>
                <w:sz w:val="30"/>
                <w:szCs w:val="30"/>
                <w:rtl/>
              </w:rPr>
              <w:t>لل</w:t>
            </w:r>
            <w:r w:rsidR="004212CF" w:rsidRPr="00EB5BCF">
              <w:rPr>
                <w:rFonts w:ascii="Traditional Arabic" w:hAnsi="Traditional Arabic" w:cs="Traditional Arabic" w:hint="eastAsia"/>
                <w:sz w:val="30"/>
                <w:szCs w:val="30"/>
                <w:rtl/>
              </w:rPr>
              <w:t>مساهمين</w:t>
            </w:r>
            <w:r w:rsidR="004212CF"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التقدم</w:t>
            </w:r>
            <w:r w:rsidRPr="00EB5BCF">
              <w:rPr>
                <w:rFonts w:ascii="Traditional Arabic" w:hAnsi="Traditional Arabic" w:cs="Traditional Arabic"/>
                <w:sz w:val="30"/>
                <w:szCs w:val="30"/>
                <w:rtl/>
                <w:lang w:bidi="ar-OM"/>
              </w:rPr>
              <w:t xml:space="preserve"> </w:t>
            </w:r>
            <w:r w:rsidRPr="00EB5BCF">
              <w:rPr>
                <w:rFonts w:ascii="Traditional Arabic" w:hAnsi="Traditional Arabic" w:cs="Traditional Arabic"/>
                <w:sz w:val="30"/>
                <w:szCs w:val="30"/>
                <w:rtl/>
              </w:rPr>
              <w:t>بطلبات باسم أكثر من شخص (ويشمل ذلك الطلبات المقدمة بالإنابة عن الورثة الشرعيين).</w:t>
            </w:r>
          </w:p>
          <w:p w14:paraId="27F319D2" w14:textId="77777777" w:rsidR="00F63629" w:rsidRPr="007421FD" w:rsidRDefault="00070AA4" w:rsidP="00826D63">
            <w:pPr>
              <w:numPr>
                <w:ilvl w:val="0"/>
                <w:numId w:val="4"/>
              </w:numPr>
              <w:tabs>
                <w:tab w:val="left" w:leader="dot" w:pos="3672"/>
              </w:tabs>
              <w:bidi/>
              <w:spacing w:before="240"/>
              <w:ind w:left="245" w:hanging="245"/>
              <w:jc w:val="both"/>
              <w:rPr>
                <w:rFonts w:ascii="Traditional Arabic" w:hAnsi="Traditional Arabic" w:cs="Traditional Arabic"/>
                <w:sz w:val="30"/>
                <w:szCs w:val="30"/>
                <w:rtl/>
              </w:rPr>
            </w:pPr>
            <w:r w:rsidRPr="007421FD">
              <w:rPr>
                <w:rFonts w:ascii="Traditional Arabic" w:hAnsi="Traditional Arabic" w:cs="Traditional Arabic"/>
                <w:b/>
                <w:bCs/>
                <w:sz w:val="30"/>
                <w:szCs w:val="30"/>
                <w:rtl/>
              </w:rPr>
              <w:t>الأطراف</w:t>
            </w:r>
            <w:r w:rsidRPr="007421FD">
              <w:rPr>
                <w:rFonts w:ascii="Traditional Arabic" w:hAnsi="Traditional Arabic" w:cs="Traditional Arabic"/>
                <w:sz w:val="30"/>
                <w:szCs w:val="30"/>
                <w:rtl/>
              </w:rPr>
              <w:t xml:space="preserve"> </w:t>
            </w:r>
            <w:r w:rsidRPr="007421FD">
              <w:rPr>
                <w:rFonts w:ascii="Traditional Arabic" w:hAnsi="Traditional Arabic" w:cs="Traditional Arabic"/>
                <w:b/>
                <w:bCs/>
                <w:sz w:val="30"/>
                <w:szCs w:val="30"/>
                <w:rtl/>
              </w:rPr>
              <w:t>ذات</w:t>
            </w:r>
            <w:r w:rsidRPr="007421FD">
              <w:rPr>
                <w:rFonts w:ascii="Traditional Arabic" w:hAnsi="Traditional Arabic" w:cs="Traditional Arabic"/>
                <w:sz w:val="30"/>
                <w:szCs w:val="30"/>
                <w:rtl/>
              </w:rPr>
              <w:t xml:space="preserve"> </w:t>
            </w:r>
            <w:r w:rsidRPr="007421FD">
              <w:rPr>
                <w:rFonts w:ascii="Traditional Arabic" w:hAnsi="Traditional Arabic" w:cs="Traditional Arabic"/>
                <w:b/>
                <w:bCs/>
                <w:sz w:val="30"/>
                <w:szCs w:val="30"/>
                <w:rtl/>
              </w:rPr>
              <w:t>العلاق</w:t>
            </w:r>
            <w:r w:rsidR="00E71851" w:rsidRPr="007421FD">
              <w:rPr>
                <w:rFonts w:ascii="Traditional Arabic" w:hAnsi="Traditional Arabic" w:cs="Traditional Arabic"/>
                <w:b/>
                <w:bCs/>
                <w:sz w:val="30"/>
                <w:szCs w:val="30"/>
                <w:rtl/>
              </w:rPr>
              <w:t>ة</w:t>
            </w:r>
            <w:r w:rsidRPr="007421FD">
              <w:rPr>
                <w:rFonts w:ascii="Traditional Arabic" w:hAnsi="Traditional Arabic" w:cs="Traditional Arabic"/>
                <w:b/>
                <w:bCs/>
                <w:sz w:val="30"/>
                <w:szCs w:val="30"/>
                <w:rtl/>
              </w:rPr>
              <w:t>:</w:t>
            </w:r>
            <w:r w:rsidRPr="007421FD">
              <w:rPr>
                <w:rFonts w:ascii="Traditional Arabic" w:hAnsi="Traditional Arabic" w:cs="Traditional Arabic"/>
                <w:sz w:val="30"/>
                <w:szCs w:val="30"/>
                <w:rtl/>
              </w:rPr>
              <w:t xml:space="preserve"> لا يجوز للأطراف ذات العلاقة بالشركة المشاركة في مرحلة </w:t>
            </w:r>
            <w:r w:rsidR="003869C2" w:rsidRPr="007421FD">
              <w:rPr>
                <w:rFonts w:ascii="Traditional Arabic" w:hAnsi="Traditional Arabic" w:cs="Traditional Arabic" w:hint="cs"/>
                <w:sz w:val="30"/>
                <w:szCs w:val="30"/>
                <w:rtl/>
              </w:rPr>
              <w:t>الطرح العام الأولي للفئة الأولى</w:t>
            </w:r>
            <w:r w:rsidR="003869C2" w:rsidRPr="007421FD">
              <w:rPr>
                <w:rFonts w:ascii="Traditional Arabic" w:hAnsi="Traditional Arabic" w:cs="Traditional Arabic"/>
                <w:sz w:val="30"/>
                <w:szCs w:val="30"/>
                <w:rtl/>
              </w:rPr>
              <w:t xml:space="preserve"> </w:t>
            </w:r>
            <w:r w:rsidR="00B378E6" w:rsidRPr="007421FD">
              <w:rPr>
                <w:rFonts w:ascii="Traditional Arabic" w:hAnsi="Traditional Arabic" w:cs="Traditional Arabic"/>
                <w:sz w:val="30"/>
                <w:szCs w:val="30"/>
                <w:rtl/>
              </w:rPr>
              <w:t>إلا إذا كانت العلاقة ناتجة عن ملكية مشتركة أو سيطرة تمارسها أي من الأجهزة الإدارية للدولة</w:t>
            </w:r>
            <w:r w:rsidR="00211B1B" w:rsidRPr="007421FD">
              <w:rPr>
                <w:rFonts w:ascii="Traditional Arabic" w:hAnsi="Traditional Arabic" w:cs="Traditional Arabic" w:hint="cs"/>
                <w:sz w:val="30"/>
                <w:szCs w:val="30"/>
                <w:rtl/>
              </w:rPr>
              <w:t xml:space="preserve"> أو أن يكون نشاطه</w:t>
            </w:r>
            <w:r w:rsidR="00CA6658" w:rsidRPr="007421FD">
              <w:rPr>
                <w:rFonts w:ascii="Traditional Arabic" w:hAnsi="Traditional Arabic" w:cs="Traditional Arabic" w:hint="cs"/>
                <w:sz w:val="30"/>
                <w:szCs w:val="30"/>
                <w:rtl/>
                <w:lang w:bidi="ar-EG"/>
              </w:rPr>
              <w:t>م الرئيسي هو الاستثمار</w:t>
            </w:r>
            <w:r w:rsidR="00CA6658" w:rsidRPr="007421FD">
              <w:rPr>
                <w:rFonts w:ascii="Traditional Arabic" w:hAnsi="Traditional Arabic" w:cs="Traditional Arabic" w:hint="cs"/>
                <w:sz w:val="30"/>
                <w:szCs w:val="30"/>
                <w:rtl/>
              </w:rPr>
              <w:t>.</w:t>
            </w:r>
          </w:p>
        </w:tc>
      </w:tr>
      <w:tr w:rsidR="00B9223D" w:rsidRPr="00EB5BCF" w14:paraId="040B9EEE" w14:textId="77777777" w:rsidTr="004C2C8B">
        <w:tc>
          <w:tcPr>
            <w:tcW w:w="2516" w:type="dxa"/>
          </w:tcPr>
          <w:p w14:paraId="0A104CAB" w14:textId="77777777" w:rsidR="00B9223D" w:rsidRPr="00EB5BCF" w:rsidRDefault="00B9223D" w:rsidP="00B9223D">
            <w:pPr>
              <w:bidi/>
              <w:rPr>
                <w:rFonts w:ascii="Traditional Arabic" w:hAnsi="Traditional Arabic" w:cs="Traditional Arabic"/>
                <w:bCs/>
                <w:sz w:val="30"/>
                <w:szCs w:val="30"/>
                <w:rtl/>
              </w:rPr>
            </w:pPr>
            <w:r w:rsidRPr="00EB5BCF">
              <w:rPr>
                <w:rFonts w:ascii="Traditional Arabic" w:hAnsi="Traditional Arabic" w:cs="Traditional Arabic"/>
                <w:bCs/>
                <w:sz w:val="30"/>
                <w:szCs w:val="30"/>
                <w:rtl/>
              </w:rPr>
              <w:t>طريقة التخصيص المقترحة</w:t>
            </w:r>
          </w:p>
        </w:tc>
        <w:tc>
          <w:tcPr>
            <w:tcW w:w="6834" w:type="dxa"/>
          </w:tcPr>
          <w:p w14:paraId="2E59EC27" w14:textId="2C09056C" w:rsidR="00B9223D" w:rsidRPr="00EB5BCF" w:rsidRDefault="00B9223D" w:rsidP="00826D63">
            <w:pPr>
              <w:tabs>
                <w:tab w:val="left" w:leader="dot" w:pos="3672"/>
              </w:tabs>
              <w:bidi/>
              <w:spacing w:after="240"/>
              <w:jc w:val="both"/>
              <w:rPr>
                <w:rFonts w:ascii="Traditional Arabic" w:hAnsi="Traditional Arabic" w:cs="Traditional Arabic"/>
                <w:sz w:val="30"/>
                <w:szCs w:val="30"/>
                <w:rtl/>
                <w:lang w:bidi="ar-OM"/>
              </w:rPr>
            </w:pPr>
            <w:r w:rsidRPr="00EB5BCF">
              <w:rPr>
                <w:rFonts w:ascii="Traditional Arabic" w:hAnsi="Traditional Arabic" w:cs="Traditional Arabic"/>
                <w:sz w:val="30"/>
                <w:szCs w:val="30"/>
                <w:rtl/>
                <w:lang w:bidi="ar-OM"/>
              </w:rPr>
              <w:t>سيتم تخصيص الأسهم على النحو التالي</w:t>
            </w:r>
            <w:r w:rsidR="00D406C5">
              <w:rPr>
                <w:rFonts w:ascii="Traditional Arabic" w:hAnsi="Traditional Arabic" w:cs="Traditional Arabic" w:hint="cs"/>
                <w:sz w:val="30"/>
                <w:szCs w:val="30"/>
                <w:rtl/>
                <w:lang w:bidi="ar-OM"/>
              </w:rPr>
              <w:t xml:space="preserve">، كما انها </w:t>
            </w:r>
            <w:r w:rsidR="00451995">
              <w:rPr>
                <w:rFonts w:ascii="Traditional Arabic" w:hAnsi="Traditional Arabic" w:cs="Traditional Arabic" w:hint="cs"/>
                <w:sz w:val="30"/>
                <w:szCs w:val="30"/>
                <w:rtl/>
                <w:lang w:bidi="ar-OM"/>
              </w:rPr>
              <w:t xml:space="preserve">محكومة باحتمالية </w:t>
            </w:r>
            <w:r w:rsidR="008100F4">
              <w:rPr>
                <w:rFonts w:ascii="Traditional Arabic" w:hAnsi="Traditional Arabic" w:cs="Traditional Arabic" w:hint="cs"/>
                <w:sz w:val="30"/>
                <w:szCs w:val="30"/>
                <w:rtl/>
                <w:lang w:bidi="ar-OM"/>
              </w:rPr>
              <w:t>تخص</w:t>
            </w:r>
            <w:r w:rsidR="002D6520">
              <w:rPr>
                <w:rFonts w:ascii="Traditional Arabic" w:hAnsi="Traditional Arabic" w:cs="Traditional Arabic" w:hint="cs"/>
                <w:sz w:val="30"/>
                <w:szCs w:val="30"/>
                <w:rtl/>
                <w:lang w:bidi="ar-OM"/>
              </w:rPr>
              <w:t>ي</w:t>
            </w:r>
            <w:r w:rsidR="008100F4">
              <w:rPr>
                <w:rFonts w:ascii="Traditional Arabic" w:hAnsi="Traditional Arabic" w:cs="Traditional Arabic" w:hint="cs"/>
                <w:sz w:val="30"/>
                <w:szCs w:val="30"/>
                <w:rtl/>
                <w:lang w:bidi="ar-OM"/>
              </w:rPr>
              <w:t>ص</w:t>
            </w:r>
            <w:r w:rsidR="004D0828">
              <w:rPr>
                <w:rFonts w:ascii="Traditional Arabic" w:hAnsi="Traditional Arabic" w:cs="Traditional Arabic" w:hint="cs"/>
                <w:sz w:val="30"/>
                <w:szCs w:val="30"/>
                <w:rtl/>
                <w:lang w:bidi="ar-OM"/>
              </w:rPr>
              <w:t xml:space="preserve"> او بيع </w:t>
            </w:r>
            <w:r w:rsidR="00B05CC3">
              <w:rPr>
                <w:rFonts w:ascii="Traditional Arabic" w:hAnsi="Traditional Arabic" w:cs="Traditional Arabic" w:hint="cs"/>
                <w:sz w:val="30"/>
                <w:szCs w:val="30"/>
                <w:rtl/>
                <w:lang w:bidi="ar-OM"/>
              </w:rPr>
              <w:t>أسهم</w:t>
            </w:r>
            <w:r w:rsidR="004D0828">
              <w:rPr>
                <w:rFonts w:ascii="Traditional Arabic" w:hAnsi="Traditional Arabic" w:cs="Traditional Arabic" w:hint="cs"/>
                <w:sz w:val="30"/>
                <w:szCs w:val="30"/>
                <w:rtl/>
                <w:lang w:bidi="ar-OM"/>
              </w:rPr>
              <w:t xml:space="preserve"> إضافية من قبل المساهم البائع و</w:t>
            </w:r>
            <w:r w:rsidR="005A3156">
              <w:rPr>
                <w:rFonts w:ascii="Traditional Arabic" w:hAnsi="Traditional Arabic" w:cs="Traditional Arabic" w:hint="cs"/>
                <w:sz w:val="30"/>
                <w:szCs w:val="30"/>
                <w:rtl/>
                <w:lang w:bidi="ar-OM"/>
              </w:rPr>
              <w:t>فق</w:t>
            </w:r>
            <w:r w:rsidR="004D0828">
              <w:rPr>
                <w:rFonts w:ascii="Traditional Arabic" w:hAnsi="Traditional Arabic" w:cs="Traditional Arabic" w:hint="cs"/>
                <w:sz w:val="30"/>
                <w:szCs w:val="30"/>
                <w:rtl/>
                <w:lang w:bidi="ar-OM"/>
              </w:rPr>
              <w:t>ا لخيار زيادة حجم الاكتتاب</w:t>
            </w:r>
            <w:r w:rsidRPr="00EB5BCF">
              <w:rPr>
                <w:rFonts w:ascii="Traditional Arabic" w:hAnsi="Traditional Arabic" w:cs="Traditional Arabic"/>
                <w:sz w:val="30"/>
                <w:szCs w:val="30"/>
                <w:rtl/>
                <w:lang w:bidi="ar-OM"/>
              </w:rPr>
              <w:t>:</w:t>
            </w:r>
          </w:p>
          <w:p w14:paraId="4AC55834" w14:textId="77777777" w:rsidR="000625F7" w:rsidRPr="00272B36" w:rsidRDefault="00B9223D" w:rsidP="00826D63">
            <w:pPr>
              <w:tabs>
                <w:tab w:val="left" w:leader="dot" w:pos="3672"/>
              </w:tabs>
              <w:bidi/>
              <w:jc w:val="both"/>
              <w:rPr>
                <w:rFonts w:ascii="Traditional Arabic" w:hAnsi="Traditional Arabic" w:cs="Traditional Arabic"/>
                <w:b/>
                <w:bCs/>
                <w:sz w:val="30"/>
                <w:szCs w:val="30"/>
                <w:lang w:bidi="ar-OM"/>
              </w:rPr>
            </w:pPr>
            <w:r w:rsidRPr="00272B36">
              <w:rPr>
                <w:rFonts w:ascii="Traditional Arabic" w:hAnsi="Traditional Arabic" w:cs="Traditional Arabic"/>
                <w:b/>
                <w:bCs/>
                <w:sz w:val="30"/>
                <w:szCs w:val="30"/>
                <w:rtl/>
                <w:lang w:bidi="ar-OM"/>
              </w:rPr>
              <w:t>مستثمرو المرحلة الأولى</w:t>
            </w:r>
            <w:r w:rsidR="000625F7" w:rsidRPr="00272B36">
              <w:rPr>
                <w:rFonts w:ascii="Traditional Arabic" w:hAnsi="Traditional Arabic" w:cs="Traditional Arabic" w:hint="cs"/>
                <w:b/>
                <w:bCs/>
                <w:sz w:val="30"/>
                <w:szCs w:val="30"/>
                <w:rtl/>
                <w:lang w:bidi="ar-OM"/>
              </w:rPr>
              <w:t xml:space="preserve"> (</w:t>
            </w:r>
            <w:r w:rsidR="002206C0" w:rsidRPr="00272B36">
              <w:rPr>
                <w:rFonts w:ascii="Traditional Arabic" w:hAnsi="Traditional Arabic" w:cs="Traditional Arabic" w:hint="cs"/>
                <w:b/>
                <w:bCs/>
                <w:sz w:val="30"/>
                <w:szCs w:val="30"/>
                <w:rtl/>
                <w:lang w:bidi="ar-OM"/>
              </w:rPr>
              <w:t>المؤسسات المحلية والإقليمية والدولية</w:t>
            </w:r>
            <w:r w:rsidR="000625F7" w:rsidRPr="00272B36">
              <w:rPr>
                <w:rFonts w:ascii="Traditional Arabic" w:hAnsi="Traditional Arabic" w:cs="Traditional Arabic" w:hint="cs"/>
                <w:b/>
                <w:bCs/>
                <w:sz w:val="30"/>
                <w:szCs w:val="30"/>
                <w:rtl/>
                <w:lang w:bidi="ar-OM"/>
              </w:rPr>
              <w:t>)</w:t>
            </w:r>
            <w:r w:rsidRPr="00272B36">
              <w:rPr>
                <w:rFonts w:ascii="Traditional Arabic" w:hAnsi="Traditional Arabic" w:cs="Traditional Arabic"/>
                <w:b/>
                <w:bCs/>
                <w:sz w:val="30"/>
                <w:szCs w:val="30"/>
                <w:rtl/>
                <w:lang w:bidi="ar-OM"/>
              </w:rPr>
              <w:t>:</w:t>
            </w:r>
          </w:p>
          <w:p w14:paraId="0FD59A09" w14:textId="77777777" w:rsidR="00760DF2" w:rsidRDefault="00B9223D" w:rsidP="00922116">
            <w:pPr>
              <w:numPr>
                <w:ilvl w:val="0"/>
                <w:numId w:val="5"/>
              </w:numPr>
              <w:tabs>
                <w:tab w:val="left" w:leader="dot" w:pos="3672"/>
              </w:tabs>
              <w:bidi/>
              <w:ind w:left="245" w:hanging="245"/>
              <w:jc w:val="both"/>
              <w:rPr>
                <w:rFonts w:ascii="Traditional Arabic" w:hAnsi="Traditional Arabic" w:cs="Traditional Arabic"/>
                <w:sz w:val="30"/>
                <w:szCs w:val="30"/>
              </w:rPr>
            </w:pPr>
            <w:r w:rsidRPr="00EB5BCF">
              <w:rPr>
                <w:rFonts w:ascii="Traditional Arabic" w:hAnsi="Traditional Arabic" w:cs="Traditional Arabic"/>
                <w:sz w:val="30"/>
                <w:szCs w:val="30"/>
                <w:rtl/>
                <w:lang w:bidi="ar-OM"/>
              </w:rPr>
              <w:t xml:space="preserve"> </w:t>
            </w:r>
            <w:r w:rsidR="00937001" w:rsidRPr="00937001">
              <w:rPr>
                <w:rFonts w:ascii="Traditional Arabic" w:hAnsi="Traditional Arabic" w:cs="Traditional Arabic" w:hint="cs"/>
                <w:sz w:val="30"/>
                <w:szCs w:val="30"/>
                <w:rtl/>
                <w:lang w:bidi="ar-OM"/>
              </w:rPr>
              <w:t xml:space="preserve">تم تخصيص </w:t>
            </w:r>
            <w:r w:rsidR="00BE3B09">
              <w:rPr>
                <w:rFonts w:ascii="Traditional Arabic" w:hAnsi="Traditional Arabic" w:cs="Traditional Arabic" w:hint="cs"/>
                <w:sz w:val="30"/>
                <w:szCs w:val="30"/>
                <w:rtl/>
                <w:lang w:bidi="ar-OM"/>
              </w:rPr>
              <w:t>468.786.985</w:t>
            </w:r>
            <w:r w:rsidR="00164451">
              <w:rPr>
                <w:rFonts w:ascii="Traditional Arabic" w:hAnsi="Traditional Arabic" w:cs="Traditional Arabic" w:hint="cs"/>
                <w:sz w:val="30"/>
                <w:szCs w:val="30"/>
                <w:rtl/>
                <w:lang w:bidi="ar-OM"/>
              </w:rPr>
              <w:t xml:space="preserve"> </w:t>
            </w:r>
            <w:r w:rsidR="00937001" w:rsidRPr="00937001">
              <w:rPr>
                <w:rFonts w:ascii="Traditional Arabic" w:hAnsi="Traditional Arabic" w:cs="Traditional Arabic" w:hint="cs"/>
                <w:sz w:val="30"/>
                <w:szCs w:val="30"/>
                <w:rtl/>
                <w:lang w:bidi="ar-OM"/>
              </w:rPr>
              <w:t xml:space="preserve">سهم من أسهم الطرح لمستثمري الفئة الأولى أي ما يعادل </w:t>
            </w:r>
            <w:r w:rsidR="001E1D50">
              <w:rPr>
                <w:rFonts w:ascii="Traditional Arabic" w:hAnsi="Traditional Arabic" w:cs="Traditional Arabic" w:hint="cs"/>
                <w:sz w:val="30"/>
                <w:szCs w:val="30"/>
                <w:rtl/>
                <w:lang w:bidi="ar-OM"/>
              </w:rPr>
              <w:t>45</w:t>
            </w:r>
            <w:r w:rsidR="00937001" w:rsidRPr="00937001">
              <w:rPr>
                <w:rFonts w:ascii="Traditional Arabic" w:hAnsi="Traditional Arabic" w:cs="Traditional Arabic" w:hint="cs"/>
                <w:sz w:val="30"/>
                <w:szCs w:val="30"/>
                <w:rtl/>
                <w:lang w:bidi="ar-OM"/>
              </w:rPr>
              <w:t xml:space="preserve">% من حجم الطرح </w:t>
            </w:r>
          </w:p>
          <w:p w14:paraId="10830844" w14:textId="77777777" w:rsidR="00C71B77" w:rsidRDefault="00760DF2" w:rsidP="00164451">
            <w:pPr>
              <w:tabs>
                <w:tab w:val="left" w:leader="dot" w:pos="3672"/>
              </w:tabs>
              <w:bidi/>
              <w:ind w:left="245"/>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lastRenderedPageBreak/>
              <w:t xml:space="preserve">- </w:t>
            </w:r>
            <w:r w:rsidR="00164451">
              <w:rPr>
                <w:rFonts w:ascii="Traditional Arabic" w:hAnsi="Traditional Arabic" w:cs="Traditional Arabic" w:hint="cs"/>
                <w:sz w:val="30"/>
                <w:szCs w:val="30"/>
                <w:rtl/>
                <w:lang w:bidi="ar-OM"/>
              </w:rPr>
              <w:t xml:space="preserve">سيتم </w:t>
            </w:r>
            <w:r w:rsidR="00C93E72" w:rsidRPr="00937001">
              <w:rPr>
                <w:rFonts w:ascii="Traditional Arabic" w:hAnsi="Traditional Arabic" w:cs="Traditional Arabic"/>
                <w:sz w:val="30"/>
                <w:szCs w:val="30"/>
                <w:rtl/>
                <w:lang w:bidi="ar-OM"/>
              </w:rPr>
              <w:t xml:space="preserve">التخصيص </w:t>
            </w:r>
            <w:r w:rsidR="00C93E72" w:rsidRPr="00937001">
              <w:rPr>
                <w:rFonts w:ascii="Traditional Arabic" w:hAnsi="Traditional Arabic" w:cs="Traditional Arabic" w:hint="cs"/>
                <w:sz w:val="30"/>
                <w:szCs w:val="30"/>
                <w:rtl/>
                <w:lang w:bidi="ar-OM"/>
              </w:rPr>
              <w:t xml:space="preserve">لمستثمري </w:t>
            </w:r>
            <w:r w:rsidR="00C93E72">
              <w:rPr>
                <w:rFonts w:ascii="Traditional Arabic" w:hAnsi="Traditional Arabic" w:cs="Traditional Arabic" w:hint="cs"/>
                <w:sz w:val="30"/>
                <w:szCs w:val="30"/>
                <w:rtl/>
                <w:lang w:bidi="ar-OM"/>
              </w:rPr>
              <w:t xml:space="preserve">الفئة الأولى </w:t>
            </w:r>
            <w:r w:rsidR="005C3EE9">
              <w:rPr>
                <w:rFonts w:ascii="Traditional Arabic" w:hAnsi="Traditional Arabic" w:cs="Traditional Arabic" w:hint="cs"/>
                <w:sz w:val="30"/>
                <w:szCs w:val="30"/>
                <w:rtl/>
                <w:lang w:bidi="ar-OM"/>
              </w:rPr>
              <w:t>بناء على قرار المساهم البائع بالتشاور مع المنسق العالمي المشترك.</w:t>
            </w:r>
          </w:p>
          <w:p w14:paraId="0DE0C6A3" w14:textId="77777777" w:rsidR="00085076" w:rsidRDefault="00085076" w:rsidP="00085076">
            <w:pPr>
              <w:tabs>
                <w:tab w:val="left" w:leader="dot" w:pos="3672"/>
              </w:tabs>
              <w:bidi/>
              <w:ind w:left="245"/>
              <w:jc w:val="both"/>
              <w:rPr>
                <w:rFonts w:ascii="Traditional Arabic" w:hAnsi="Traditional Arabic" w:cs="Traditional Arabic"/>
                <w:sz w:val="30"/>
                <w:szCs w:val="30"/>
                <w:rtl/>
                <w:lang w:bidi="ar-OM"/>
              </w:rPr>
            </w:pPr>
          </w:p>
          <w:p w14:paraId="03311BF5" w14:textId="77777777" w:rsidR="00C71B77" w:rsidRPr="00CD53BC" w:rsidRDefault="00C71B77" w:rsidP="00826D63">
            <w:pPr>
              <w:tabs>
                <w:tab w:val="left" w:leader="dot" w:pos="3672"/>
              </w:tabs>
              <w:bidi/>
              <w:jc w:val="both"/>
              <w:rPr>
                <w:rFonts w:ascii="Traditional Arabic" w:hAnsi="Traditional Arabic" w:cs="Traditional Arabic"/>
                <w:b/>
                <w:bCs/>
                <w:sz w:val="30"/>
                <w:szCs w:val="30"/>
                <w:lang w:bidi="ar-OM"/>
              </w:rPr>
            </w:pPr>
            <w:r>
              <w:rPr>
                <w:rFonts w:ascii="Traditional Arabic" w:hAnsi="Traditional Arabic" w:cs="Traditional Arabic" w:hint="cs"/>
                <w:b/>
                <w:bCs/>
                <w:sz w:val="30"/>
                <w:szCs w:val="30"/>
                <w:rtl/>
                <w:lang w:bidi="ar-OM"/>
              </w:rPr>
              <w:t xml:space="preserve">المستثمرون الرئيسيون </w:t>
            </w:r>
          </w:p>
          <w:p w14:paraId="0E0A3716" w14:textId="7121D127" w:rsidR="006D5422" w:rsidRDefault="00B83659" w:rsidP="00922116">
            <w:pPr>
              <w:numPr>
                <w:ilvl w:val="0"/>
                <w:numId w:val="5"/>
              </w:numPr>
              <w:tabs>
                <w:tab w:val="left" w:leader="dot" w:pos="3672"/>
              </w:tabs>
              <w:bidi/>
              <w:ind w:left="245" w:hanging="245"/>
              <w:jc w:val="both"/>
              <w:rPr>
                <w:rFonts w:ascii="Traditional Arabic" w:hAnsi="Traditional Arabic" w:cs="Traditional Arabic"/>
                <w:sz w:val="30"/>
                <w:szCs w:val="30"/>
                <w:lang w:bidi="ar-OM"/>
              </w:rPr>
            </w:pPr>
            <w:r w:rsidRPr="00B83659">
              <w:rPr>
                <w:rFonts w:ascii="Traditional Arabic" w:hAnsi="Traditional Arabic" w:cs="Traditional Arabic"/>
                <w:sz w:val="30"/>
                <w:szCs w:val="30"/>
                <w:rtl/>
                <w:lang w:bidi="ar-OM"/>
              </w:rPr>
              <w:t xml:space="preserve">سيتم تخصيص عدد </w:t>
            </w:r>
            <w:r w:rsidR="0010137F">
              <w:rPr>
                <w:rFonts w:ascii="Traditional Arabic" w:hAnsi="Traditional Arabic" w:cs="Traditional Arabic" w:hint="cs"/>
                <w:sz w:val="30"/>
                <w:szCs w:val="30"/>
                <w:rtl/>
                <w:lang w:bidi="ar-OM"/>
              </w:rPr>
              <w:t>312.524.657</w:t>
            </w:r>
            <w:r w:rsidRPr="00B83659">
              <w:rPr>
                <w:rFonts w:ascii="Traditional Arabic" w:hAnsi="Traditional Arabic" w:cs="Traditional Arabic" w:hint="cs"/>
                <w:sz w:val="30"/>
                <w:szCs w:val="30"/>
                <w:rtl/>
                <w:lang w:bidi="ar-OM"/>
              </w:rPr>
              <w:t xml:space="preserve">سهم من أسهم الطرح </w:t>
            </w:r>
            <w:r w:rsidR="00F5205A">
              <w:rPr>
                <w:rFonts w:ascii="Traditional Arabic" w:hAnsi="Traditional Arabic" w:cs="Traditional Arabic" w:hint="cs"/>
                <w:sz w:val="30"/>
                <w:szCs w:val="30"/>
                <w:rtl/>
                <w:lang w:bidi="ar-OM"/>
              </w:rPr>
              <w:t>ل</w:t>
            </w:r>
            <w:r w:rsidRPr="00B83659">
              <w:rPr>
                <w:rFonts w:ascii="Traditional Arabic" w:hAnsi="Traditional Arabic" w:cs="Traditional Arabic" w:hint="cs"/>
                <w:sz w:val="30"/>
                <w:szCs w:val="30"/>
                <w:rtl/>
                <w:lang w:bidi="ar-OM"/>
              </w:rPr>
              <w:t>لمستثمر</w:t>
            </w:r>
            <w:r w:rsidR="00194DC1">
              <w:rPr>
                <w:rFonts w:ascii="Traditional Arabic" w:hAnsi="Traditional Arabic" w:cs="Traditional Arabic" w:hint="cs"/>
                <w:sz w:val="30"/>
                <w:szCs w:val="30"/>
                <w:rtl/>
                <w:lang w:bidi="ar-OM"/>
              </w:rPr>
              <w:t>ين الرئيسيين</w:t>
            </w:r>
            <w:r w:rsidRPr="00B83659">
              <w:rPr>
                <w:rFonts w:ascii="Traditional Arabic" w:hAnsi="Traditional Arabic" w:cs="Traditional Arabic" w:hint="cs"/>
                <w:sz w:val="30"/>
                <w:szCs w:val="30"/>
                <w:rtl/>
                <w:lang w:bidi="ar-OM"/>
              </w:rPr>
              <w:t>، أي ما يعادل</w:t>
            </w:r>
            <w:r w:rsidRPr="00B83659">
              <w:rPr>
                <w:rFonts w:ascii="Traditional Arabic" w:hAnsi="Traditional Arabic" w:cs="Traditional Arabic"/>
                <w:sz w:val="30"/>
                <w:szCs w:val="30"/>
                <w:rtl/>
                <w:lang w:bidi="ar-OM"/>
              </w:rPr>
              <w:t xml:space="preserve"> </w:t>
            </w:r>
            <w:r w:rsidR="0010137F">
              <w:rPr>
                <w:rFonts w:ascii="Traditional Arabic" w:hAnsi="Traditional Arabic" w:cs="Traditional Arabic" w:hint="cs"/>
                <w:sz w:val="30"/>
                <w:szCs w:val="30"/>
                <w:rtl/>
                <w:lang w:bidi="ar-OM"/>
              </w:rPr>
              <w:t xml:space="preserve">30 </w:t>
            </w:r>
            <w:r w:rsidRPr="00B83659">
              <w:rPr>
                <w:rFonts w:ascii="Traditional Arabic" w:hAnsi="Traditional Arabic" w:cs="Traditional Arabic"/>
                <w:sz w:val="30"/>
                <w:szCs w:val="30"/>
                <w:rtl/>
                <w:lang w:bidi="ar-OM"/>
              </w:rPr>
              <w:t xml:space="preserve">% من </w:t>
            </w:r>
            <w:r w:rsidRPr="00B83659">
              <w:rPr>
                <w:rFonts w:ascii="Traditional Arabic" w:hAnsi="Traditional Arabic" w:cs="Traditional Arabic" w:hint="cs"/>
                <w:sz w:val="30"/>
                <w:szCs w:val="30"/>
                <w:rtl/>
                <w:lang w:bidi="ar-OM"/>
              </w:rPr>
              <w:t>حجم الطرح</w:t>
            </w:r>
            <w:r w:rsidR="00846551">
              <w:rPr>
                <w:rFonts w:ascii="Traditional Arabic" w:hAnsi="Traditional Arabic" w:cs="Traditional Arabic" w:hint="cs"/>
                <w:sz w:val="30"/>
                <w:szCs w:val="30"/>
                <w:rtl/>
                <w:lang w:bidi="ar-OM"/>
              </w:rPr>
              <w:t xml:space="preserve">. تم تأكيد التخصيص للمستثمرين الرئيسيين من قبل المساهم البائع كما هو موضح في </w:t>
            </w:r>
            <w:r w:rsidR="00F02249">
              <w:rPr>
                <w:rFonts w:ascii="Traditional Arabic" w:hAnsi="Traditional Arabic" w:cs="Traditional Arabic" w:hint="cs"/>
                <w:sz w:val="30"/>
                <w:szCs w:val="30"/>
                <w:rtl/>
                <w:lang w:bidi="ar-OM"/>
              </w:rPr>
              <w:t>"</w:t>
            </w:r>
            <w:r w:rsidR="00846551">
              <w:rPr>
                <w:rFonts w:ascii="Traditional Arabic" w:hAnsi="Traditional Arabic" w:cs="Traditional Arabic" w:hint="cs"/>
                <w:sz w:val="30"/>
                <w:szCs w:val="30"/>
                <w:rtl/>
                <w:lang w:bidi="ar-OM"/>
              </w:rPr>
              <w:t>الفصل الثامن</w:t>
            </w:r>
            <w:r w:rsidR="00F02249">
              <w:rPr>
                <w:rFonts w:ascii="Traditional Arabic" w:hAnsi="Traditional Arabic" w:cs="Traditional Arabic" w:hint="cs"/>
                <w:sz w:val="30"/>
                <w:szCs w:val="30"/>
                <w:rtl/>
                <w:lang w:bidi="ar-OM"/>
              </w:rPr>
              <w:t xml:space="preserve">- </w:t>
            </w:r>
            <w:r w:rsidR="00F02249" w:rsidRPr="00272B36">
              <w:rPr>
                <w:rFonts w:ascii="Traditional Arabic" w:hAnsi="Traditional Arabic" w:cs="Traditional Arabic"/>
                <w:sz w:val="30"/>
                <w:szCs w:val="30"/>
                <w:rtl/>
                <w:lang w:bidi="ar-OM"/>
              </w:rPr>
              <w:t>بيانات المساهمين في الشركة</w:t>
            </w:r>
            <w:r w:rsidR="00F02249" w:rsidRPr="00272B36">
              <w:rPr>
                <w:rFonts w:ascii="Traditional Arabic" w:hAnsi="Traditional Arabic" w:cs="Traditional Arabic" w:hint="cs"/>
                <w:sz w:val="30"/>
                <w:szCs w:val="30"/>
                <w:rtl/>
                <w:lang w:bidi="ar-OM"/>
              </w:rPr>
              <w:t xml:space="preserve">" </w:t>
            </w:r>
            <w:r w:rsidR="00846551">
              <w:rPr>
                <w:rFonts w:ascii="Traditional Arabic" w:hAnsi="Traditional Arabic" w:cs="Traditional Arabic" w:hint="cs"/>
                <w:sz w:val="30"/>
                <w:szCs w:val="30"/>
                <w:rtl/>
                <w:lang w:bidi="ar-OM"/>
              </w:rPr>
              <w:t xml:space="preserve"> و</w:t>
            </w:r>
            <w:r w:rsidR="00F02249">
              <w:rPr>
                <w:rFonts w:ascii="Traditional Arabic" w:hAnsi="Traditional Arabic" w:cs="Traditional Arabic" w:hint="cs"/>
                <w:sz w:val="30"/>
                <w:szCs w:val="30"/>
                <w:rtl/>
                <w:lang w:bidi="ar-OM"/>
              </w:rPr>
              <w:t>"</w:t>
            </w:r>
            <w:r w:rsidR="00846551">
              <w:rPr>
                <w:rFonts w:ascii="Traditional Arabic" w:hAnsi="Traditional Arabic" w:cs="Traditional Arabic" w:hint="cs"/>
                <w:sz w:val="30"/>
                <w:szCs w:val="30"/>
                <w:rtl/>
                <w:lang w:bidi="ar-OM"/>
              </w:rPr>
              <w:t>الفصل العشرين</w:t>
            </w:r>
            <w:r w:rsidR="005B761C">
              <w:rPr>
                <w:rFonts w:ascii="Traditional Arabic" w:hAnsi="Traditional Arabic" w:cs="Traditional Arabic" w:hint="cs"/>
                <w:sz w:val="30"/>
                <w:szCs w:val="30"/>
                <w:rtl/>
                <w:lang w:bidi="ar-OM"/>
              </w:rPr>
              <w:t xml:space="preserve">- </w:t>
            </w:r>
            <w:r w:rsidR="005B761C" w:rsidRPr="00272B36">
              <w:rPr>
                <w:rFonts w:ascii="Traditional Arabic" w:hAnsi="Traditional Arabic" w:cs="Traditional Arabic"/>
                <w:sz w:val="30"/>
                <w:szCs w:val="30"/>
                <w:rtl/>
                <w:lang w:bidi="ar-OM"/>
              </w:rPr>
              <w:t>الاكتتاب والبيع</w:t>
            </w:r>
            <w:r w:rsidR="005B761C" w:rsidRPr="00272B36">
              <w:rPr>
                <w:rFonts w:ascii="Traditional Arabic" w:hAnsi="Traditional Arabic" w:cs="Traditional Arabic" w:hint="cs"/>
                <w:sz w:val="30"/>
                <w:szCs w:val="30"/>
                <w:rtl/>
                <w:lang w:bidi="ar-OM"/>
              </w:rPr>
              <w:t>"</w:t>
            </w:r>
            <w:r w:rsidR="005B761C">
              <w:rPr>
                <w:rFonts w:ascii="Traditional Arabic" w:hAnsi="Traditional Arabic" w:cs="Traditional Arabic" w:hint="cs"/>
                <w:sz w:val="30"/>
                <w:szCs w:val="30"/>
                <w:rtl/>
                <w:lang w:bidi="ar-OM"/>
              </w:rPr>
              <w:t xml:space="preserve"> من هذه النشرة. </w:t>
            </w:r>
            <w:r w:rsidR="005B761C">
              <w:rPr>
                <w:rFonts w:hint="cs"/>
                <w:rtl/>
              </w:rPr>
              <w:t xml:space="preserve"> </w:t>
            </w:r>
          </w:p>
          <w:p w14:paraId="38EFF97F" w14:textId="77777777" w:rsidR="006D5422" w:rsidRDefault="006D5422" w:rsidP="006D5422">
            <w:pPr>
              <w:tabs>
                <w:tab w:val="left" w:leader="dot" w:pos="3672"/>
              </w:tabs>
              <w:bidi/>
              <w:ind w:left="245"/>
              <w:jc w:val="both"/>
              <w:rPr>
                <w:rFonts w:ascii="Traditional Arabic" w:hAnsi="Traditional Arabic" w:cs="Traditional Arabic"/>
                <w:sz w:val="30"/>
                <w:szCs w:val="30"/>
                <w:rtl/>
                <w:lang w:bidi="ar-OM"/>
              </w:rPr>
            </w:pPr>
          </w:p>
          <w:p w14:paraId="694357F3" w14:textId="77777777" w:rsidR="006D5422" w:rsidRPr="00272B36" w:rsidRDefault="006D5422" w:rsidP="00826D63">
            <w:pPr>
              <w:tabs>
                <w:tab w:val="left" w:leader="dot" w:pos="3672"/>
              </w:tabs>
              <w:bidi/>
              <w:jc w:val="both"/>
              <w:rPr>
                <w:rFonts w:ascii="Traditional Arabic" w:hAnsi="Traditional Arabic" w:cs="Traditional Arabic"/>
                <w:b/>
                <w:bCs/>
                <w:sz w:val="30"/>
                <w:szCs w:val="30"/>
                <w:lang w:bidi="ar-OM"/>
              </w:rPr>
            </w:pPr>
            <w:r w:rsidRPr="00272B36">
              <w:rPr>
                <w:rFonts w:ascii="Traditional Arabic" w:hAnsi="Traditional Arabic" w:cs="Traditional Arabic" w:hint="cs"/>
                <w:b/>
                <w:bCs/>
                <w:sz w:val="30"/>
                <w:szCs w:val="30"/>
                <w:rtl/>
                <w:lang w:bidi="ar-OM"/>
              </w:rPr>
              <w:t>مستثمرو الفئة الثانية (الأفراد)</w:t>
            </w:r>
          </w:p>
          <w:p w14:paraId="5791E4CF" w14:textId="77777777" w:rsidR="00B83659" w:rsidRPr="00B83659" w:rsidRDefault="00B83659" w:rsidP="00922116">
            <w:pPr>
              <w:numPr>
                <w:ilvl w:val="0"/>
                <w:numId w:val="5"/>
              </w:numPr>
              <w:tabs>
                <w:tab w:val="left" w:leader="dot" w:pos="3672"/>
              </w:tabs>
              <w:bidi/>
              <w:ind w:left="245" w:hanging="245"/>
              <w:jc w:val="both"/>
              <w:rPr>
                <w:rFonts w:ascii="Traditional Arabic" w:hAnsi="Traditional Arabic" w:cs="Traditional Arabic"/>
                <w:sz w:val="30"/>
                <w:szCs w:val="30"/>
                <w:lang w:bidi="ar-OM"/>
              </w:rPr>
            </w:pPr>
            <w:r w:rsidRPr="00B83659">
              <w:rPr>
                <w:rFonts w:ascii="Traditional Arabic" w:hAnsi="Traditional Arabic" w:cs="Traditional Arabic" w:hint="cs"/>
                <w:sz w:val="30"/>
                <w:szCs w:val="30"/>
                <w:rtl/>
                <w:lang w:bidi="ar-OM"/>
              </w:rPr>
              <w:t xml:space="preserve">سيتم تخصيص </w:t>
            </w:r>
            <w:r w:rsidR="006D5422">
              <w:rPr>
                <w:rFonts w:ascii="Traditional Arabic" w:hAnsi="Traditional Arabic" w:cs="Traditional Arabic" w:hint="cs"/>
                <w:sz w:val="30"/>
                <w:szCs w:val="30"/>
                <w:rtl/>
                <w:lang w:bidi="ar-OM"/>
              </w:rPr>
              <w:t xml:space="preserve">عدد </w:t>
            </w:r>
            <w:r w:rsidR="00EE3046" w:rsidRPr="00EE3046">
              <w:rPr>
                <w:rFonts w:ascii="Traditional Arabic" w:hAnsi="Traditional Arabic" w:cs="Traditional Arabic"/>
                <w:sz w:val="30"/>
                <w:szCs w:val="30"/>
                <w:rtl/>
                <w:lang w:bidi="ar-OM"/>
              </w:rPr>
              <w:t>٢٦٠,٤٣٧,٢١٤</w:t>
            </w:r>
            <w:r w:rsidR="00164451">
              <w:rPr>
                <w:rFonts w:ascii="Traditional Arabic" w:hAnsi="Traditional Arabic" w:cs="Traditional Arabic" w:hint="cs"/>
                <w:sz w:val="30"/>
                <w:szCs w:val="30"/>
                <w:rtl/>
                <w:lang w:bidi="ar-OM"/>
              </w:rPr>
              <w:t xml:space="preserve"> </w:t>
            </w:r>
            <w:r w:rsidR="00E5464F" w:rsidRPr="00B83659">
              <w:rPr>
                <w:rFonts w:ascii="Traditional Arabic" w:hAnsi="Traditional Arabic" w:cs="Traditional Arabic" w:hint="cs"/>
                <w:sz w:val="30"/>
                <w:szCs w:val="30"/>
                <w:rtl/>
                <w:lang w:bidi="ar-OM"/>
              </w:rPr>
              <w:t>سهم من أسهم الطرح لمستثمري الفئة الثانية، أي ما يعادل</w:t>
            </w:r>
            <w:r w:rsidR="00E5464F" w:rsidRPr="00B83659">
              <w:rPr>
                <w:rFonts w:ascii="Traditional Arabic" w:hAnsi="Traditional Arabic" w:cs="Traditional Arabic"/>
                <w:sz w:val="30"/>
                <w:szCs w:val="30"/>
                <w:rtl/>
                <w:lang w:bidi="ar-OM"/>
              </w:rPr>
              <w:t xml:space="preserve"> </w:t>
            </w:r>
            <w:r w:rsidR="00EE3046">
              <w:rPr>
                <w:rFonts w:ascii="Traditional Arabic" w:hAnsi="Traditional Arabic" w:cs="Traditional Arabic" w:hint="cs"/>
                <w:sz w:val="30"/>
                <w:szCs w:val="30"/>
                <w:rtl/>
                <w:lang w:bidi="ar-EG"/>
              </w:rPr>
              <w:t xml:space="preserve">٢٥ </w:t>
            </w:r>
            <w:r w:rsidR="00E5464F" w:rsidRPr="00B83659">
              <w:rPr>
                <w:rFonts w:ascii="Traditional Arabic" w:hAnsi="Traditional Arabic" w:cs="Traditional Arabic"/>
                <w:sz w:val="30"/>
                <w:szCs w:val="30"/>
                <w:rtl/>
              </w:rPr>
              <w:t>%</w:t>
            </w:r>
            <w:r w:rsidR="00E5464F" w:rsidRPr="00B83659">
              <w:rPr>
                <w:rFonts w:ascii="Traditional Arabic" w:hAnsi="Traditional Arabic" w:cs="Traditional Arabic"/>
                <w:sz w:val="30"/>
                <w:szCs w:val="30"/>
                <w:rtl/>
                <w:lang w:bidi="ar-OM"/>
              </w:rPr>
              <w:t xml:space="preserve"> من </w:t>
            </w:r>
            <w:r w:rsidR="00E5464F" w:rsidRPr="00B83659">
              <w:rPr>
                <w:rFonts w:ascii="Traditional Arabic" w:hAnsi="Traditional Arabic" w:cs="Traditional Arabic" w:hint="cs"/>
                <w:sz w:val="30"/>
                <w:szCs w:val="30"/>
                <w:rtl/>
                <w:lang w:bidi="ar-OM"/>
              </w:rPr>
              <w:t>حجم الطرح</w:t>
            </w:r>
            <w:r w:rsidR="00E5464F">
              <w:rPr>
                <w:rFonts w:ascii="Traditional Arabic" w:hAnsi="Traditional Arabic" w:cs="Traditional Arabic" w:hint="cs"/>
                <w:sz w:val="30"/>
                <w:szCs w:val="30"/>
                <w:rtl/>
                <w:lang w:bidi="ar-OM"/>
              </w:rPr>
              <w:t>، حيث سيتم تخصيص</w:t>
            </w:r>
            <w:r w:rsidR="00E5464F" w:rsidRPr="00B83659">
              <w:rPr>
                <w:rFonts w:ascii="Traditional Arabic" w:hAnsi="Traditional Arabic" w:cs="Traditional Arabic" w:hint="cs"/>
                <w:sz w:val="30"/>
                <w:szCs w:val="30"/>
                <w:rtl/>
                <w:lang w:bidi="ar-OM"/>
              </w:rPr>
              <w:t xml:space="preserve"> </w:t>
            </w:r>
            <w:r w:rsidRPr="00B83659">
              <w:rPr>
                <w:rFonts w:ascii="Traditional Arabic" w:hAnsi="Traditional Arabic" w:cs="Traditional Arabic" w:hint="cs"/>
                <w:sz w:val="30"/>
                <w:szCs w:val="30"/>
                <w:rtl/>
                <w:lang w:bidi="ar-OM"/>
              </w:rPr>
              <w:t xml:space="preserve">نسبة 50% من النسبة المخصصة لفئة الافراد لمقدمي الطلبات من </w:t>
            </w:r>
            <w:r w:rsidRPr="00523743">
              <w:rPr>
                <w:rFonts w:ascii="Traditional Arabic" w:hAnsi="Traditional Arabic" w:cs="Traditional Arabic" w:hint="cs"/>
                <w:sz w:val="30"/>
                <w:szCs w:val="30"/>
                <w:rtl/>
                <w:lang w:bidi="ar-OM"/>
              </w:rPr>
              <w:t>(</w:t>
            </w:r>
            <w:r w:rsidRPr="00826D63">
              <w:rPr>
                <w:rFonts w:ascii="Traditional Arabic" w:hAnsi="Traditional Arabic" w:cs="Traditional Arabic" w:hint="eastAsia"/>
                <w:sz w:val="30"/>
                <w:szCs w:val="30"/>
                <w:rtl/>
                <w:lang w:bidi="ar-OM"/>
              </w:rPr>
              <w:t>كبار</w:t>
            </w:r>
            <w:r w:rsidRPr="00826D63">
              <w:rPr>
                <w:rFonts w:ascii="Traditional Arabic" w:hAnsi="Traditional Arabic" w:cs="Traditional Arabic"/>
                <w:sz w:val="30"/>
                <w:szCs w:val="30"/>
                <w:rtl/>
                <w:lang w:bidi="ar-OM"/>
              </w:rPr>
              <w:t xml:space="preserve"> </w:t>
            </w:r>
            <w:r w:rsidRPr="00826D63">
              <w:rPr>
                <w:rFonts w:ascii="Traditional Arabic" w:hAnsi="Traditional Arabic" w:cs="Traditional Arabic" w:hint="eastAsia"/>
                <w:sz w:val="30"/>
                <w:szCs w:val="30"/>
                <w:rtl/>
                <w:lang w:bidi="ar-OM"/>
              </w:rPr>
              <w:t>المستثمرين</w:t>
            </w:r>
            <w:r w:rsidRPr="00523743">
              <w:rPr>
                <w:rFonts w:ascii="Traditional Arabic" w:hAnsi="Traditional Arabic" w:cs="Traditional Arabic" w:hint="cs"/>
                <w:sz w:val="30"/>
                <w:szCs w:val="30"/>
                <w:rtl/>
                <w:lang w:bidi="ar-OM"/>
              </w:rPr>
              <w:t>)،</w:t>
            </w:r>
            <w:r w:rsidRPr="00B83659">
              <w:rPr>
                <w:rFonts w:ascii="Traditional Arabic" w:hAnsi="Traditional Arabic" w:cs="Traditional Arabic" w:hint="cs"/>
                <w:sz w:val="30"/>
                <w:szCs w:val="30"/>
                <w:rtl/>
                <w:lang w:bidi="ar-OM"/>
              </w:rPr>
              <w:t xml:space="preserve"> على </w:t>
            </w:r>
            <w:r w:rsidR="00E5464F">
              <w:rPr>
                <w:rFonts w:ascii="Traditional Arabic" w:hAnsi="Traditional Arabic" w:cs="Traditional Arabic" w:hint="cs"/>
                <w:sz w:val="30"/>
                <w:szCs w:val="30"/>
                <w:rtl/>
                <w:lang w:bidi="ar-OM"/>
              </w:rPr>
              <w:t>أ</w:t>
            </w:r>
            <w:r w:rsidR="00E5464F" w:rsidRPr="00B83659">
              <w:rPr>
                <w:rFonts w:ascii="Traditional Arabic" w:hAnsi="Traditional Arabic" w:cs="Traditional Arabic" w:hint="cs"/>
                <w:sz w:val="30"/>
                <w:szCs w:val="30"/>
                <w:rtl/>
                <w:lang w:bidi="ar-OM"/>
              </w:rPr>
              <w:t xml:space="preserve">ن </w:t>
            </w:r>
            <w:r w:rsidRPr="00B83659">
              <w:rPr>
                <w:rFonts w:ascii="Traditional Arabic" w:hAnsi="Traditional Arabic" w:cs="Traditional Arabic" w:hint="cs"/>
                <w:sz w:val="30"/>
                <w:szCs w:val="30"/>
                <w:rtl/>
                <w:lang w:bidi="ar-OM"/>
              </w:rPr>
              <w:t xml:space="preserve">يتم </w:t>
            </w:r>
            <w:r w:rsidRPr="00B83659">
              <w:rPr>
                <w:rFonts w:ascii="Traditional Arabic" w:hAnsi="Traditional Arabic" w:cs="Traditional Arabic"/>
                <w:sz w:val="30"/>
                <w:szCs w:val="30"/>
                <w:rtl/>
                <w:lang w:bidi="ar-OM"/>
              </w:rPr>
              <w:t xml:space="preserve">التخصيص </w:t>
            </w:r>
            <w:r w:rsidRPr="00B83659">
              <w:rPr>
                <w:rFonts w:ascii="Traditional Arabic" w:hAnsi="Traditional Arabic" w:cs="Traditional Arabic" w:hint="cs"/>
                <w:sz w:val="30"/>
                <w:szCs w:val="30"/>
                <w:rtl/>
                <w:lang w:bidi="ar-OM"/>
              </w:rPr>
              <w:t xml:space="preserve">لفئة كبار المكتتبين </w:t>
            </w:r>
            <w:r w:rsidRPr="00B83659">
              <w:rPr>
                <w:rFonts w:ascii="Traditional Arabic" w:hAnsi="Traditional Arabic" w:cs="Traditional Arabic"/>
                <w:sz w:val="30"/>
                <w:szCs w:val="30"/>
                <w:rtl/>
                <w:lang w:bidi="ar-OM"/>
              </w:rPr>
              <w:t xml:space="preserve">على </w:t>
            </w:r>
            <w:r w:rsidRPr="00826D63">
              <w:rPr>
                <w:rFonts w:ascii="Traditional Arabic" w:hAnsi="Traditional Arabic" w:cs="Traditional Arabic"/>
                <w:sz w:val="30"/>
                <w:szCs w:val="30"/>
                <w:rtl/>
                <w:lang w:bidi="ar-OM"/>
              </w:rPr>
              <w:t xml:space="preserve">أساس </w:t>
            </w:r>
            <w:r w:rsidRPr="00826D63">
              <w:rPr>
                <w:rFonts w:ascii="Traditional Arabic" w:hAnsi="Traditional Arabic" w:cs="Traditional Arabic" w:hint="eastAsia"/>
                <w:sz w:val="30"/>
                <w:szCs w:val="30"/>
                <w:rtl/>
                <w:lang w:bidi="ar-OM"/>
              </w:rPr>
              <w:t>النسبة</w:t>
            </w:r>
            <w:r w:rsidRPr="00826D63">
              <w:rPr>
                <w:rFonts w:ascii="Traditional Arabic" w:hAnsi="Traditional Arabic" w:cs="Traditional Arabic"/>
                <w:sz w:val="30"/>
                <w:szCs w:val="30"/>
                <w:rtl/>
                <w:lang w:bidi="ar-OM"/>
              </w:rPr>
              <w:t xml:space="preserve"> </w:t>
            </w:r>
            <w:r w:rsidRPr="00826D63">
              <w:rPr>
                <w:rFonts w:ascii="Traditional Arabic" w:hAnsi="Traditional Arabic" w:cs="Traditional Arabic" w:hint="eastAsia"/>
                <w:sz w:val="30"/>
                <w:szCs w:val="30"/>
                <w:rtl/>
                <w:lang w:bidi="ar-OM"/>
              </w:rPr>
              <w:t>والتناسب</w:t>
            </w:r>
            <w:r w:rsidRPr="00826D63">
              <w:rPr>
                <w:rFonts w:ascii="Traditional Arabic" w:hAnsi="Traditional Arabic" w:cs="Traditional Arabic"/>
                <w:sz w:val="30"/>
                <w:szCs w:val="30"/>
                <w:rtl/>
                <w:lang w:bidi="ar-OM"/>
              </w:rPr>
              <w:t>.</w:t>
            </w:r>
          </w:p>
          <w:p w14:paraId="1303C9BF" w14:textId="77777777" w:rsidR="00B83659" w:rsidRPr="00B83659" w:rsidRDefault="00B83659" w:rsidP="00922116">
            <w:pPr>
              <w:numPr>
                <w:ilvl w:val="0"/>
                <w:numId w:val="5"/>
              </w:numPr>
              <w:tabs>
                <w:tab w:val="left" w:leader="dot" w:pos="3672"/>
              </w:tabs>
              <w:bidi/>
              <w:ind w:left="245" w:hanging="245"/>
              <w:jc w:val="both"/>
              <w:rPr>
                <w:rFonts w:ascii="Traditional Arabic" w:hAnsi="Traditional Arabic" w:cs="Traditional Arabic"/>
                <w:sz w:val="30"/>
                <w:szCs w:val="30"/>
                <w:lang w:bidi="ar-OM"/>
              </w:rPr>
            </w:pPr>
            <w:r w:rsidRPr="00B83659">
              <w:rPr>
                <w:rFonts w:ascii="Traditional Arabic" w:hAnsi="Traditional Arabic" w:cs="Traditional Arabic" w:hint="cs"/>
                <w:sz w:val="30"/>
                <w:szCs w:val="30"/>
                <w:rtl/>
                <w:lang w:bidi="ar-OM"/>
              </w:rPr>
              <w:t>كما سيتم تخصيص نسبة 50% المتبقية من النسبة المخصصة لفئة ال</w:t>
            </w:r>
            <w:r w:rsidR="00E5464F">
              <w:rPr>
                <w:rFonts w:ascii="Traditional Arabic" w:hAnsi="Traditional Arabic" w:cs="Traditional Arabic" w:hint="cs"/>
                <w:sz w:val="30"/>
                <w:szCs w:val="30"/>
                <w:rtl/>
                <w:lang w:bidi="ar-OM"/>
              </w:rPr>
              <w:t>أ</w:t>
            </w:r>
            <w:r w:rsidRPr="00B83659">
              <w:rPr>
                <w:rFonts w:ascii="Traditional Arabic" w:hAnsi="Traditional Arabic" w:cs="Traditional Arabic" w:hint="cs"/>
                <w:sz w:val="30"/>
                <w:szCs w:val="30"/>
                <w:rtl/>
                <w:lang w:bidi="ar-OM"/>
              </w:rPr>
              <w:t>فراد لمقدمي الطلبات من (صغار المستثمرين)</w:t>
            </w:r>
            <w:r>
              <w:rPr>
                <w:rFonts w:ascii="Traditional Arabic" w:hAnsi="Traditional Arabic" w:cs="Traditional Arabic" w:hint="cs"/>
                <w:sz w:val="30"/>
                <w:szCs w:val="30"/>
                <w:rtl/>
                <w:lang w:bidi="ar-OM"/>
              </w:rPr>
              <w:t>.</w:t>
            </w:r>
          </w:p>
          <w:p w14:paraId="135F511F" w14:textId="3961CBF7" w:rsidR="00B83659" w:rsidRPr="000B794B" w:rsidRDefault="00B83659" w:rsidP="00922116">
            <w:pPr>
              <w:pStyle w:val="ListParagraph"/>
              <w:numPr>
                <w:ilvl w:val="0"/>
                <w:numId w:val="46"/>
              </w:numPr>
              <w:tabs>
                <w:tab w:val="left" w:leader="dot" w:pos="3672"/>
              </w:tabs>
              <w:bidi/>
              <w:jc w:val="both"/>
              <w:rPr>
                <w:rFonts w:ascii="Traditional Arabic" w:hAnsi="Traditional Arabic" w:cs="Traditional Arabic"/>
                <w:sz w:val="30"/>
                <w:szCs w:val="30"/>
                <w:lang w:bidi="ar-OM"/>
              </w:rPr>
            </w:pPr>
            <w:r w:rsidRPr="000B794B">
              <w:rPr>
                <w:rFonts w:ascii="Traditional Arabic" w:hAnsi="Traditional Arabic" w:cs="Traditional Arabic" w:hint="eastAsia"/>
                <w:sz w:val="30"/>
                <w:szCs w:val="30"/>
                <w:rtl/>
                <w:lang w:bidi="ar-OM"/>
              </w:rPr>
              <w:t>في</w:t>
            </w:r>
            <w:r w:rsidRPr="000B794B">
              <w:rPr>
                <w:rFonts w:ascii="Traditional Arabic" w:hAnsi="Traditional Arabic" w:cs="Traditional Arabic"/>
                <w:sz w:val="30"/>
                <w:szCs w:val="30"/>
                <w:rtl/>
                <w:lang w:bidi="ar-OM"/>
              </w:rPr>
              <w:t xml:space="preserve"> </w:t>
            </w:r>
            <w:r w:rsidRPr="000B794B">
              <w:rPr>
                <w:rFonts w:ascii="Traditional Arabic" w:hAnsi="Traditional Arabic" w:cs="Traditional Arabic" w:hint="eastAsia"/>
                <w:sz w:val="30"/>
                <w:szCs w:val="30"/>
                <w:rtl/>
                <w:lang w:bidi="ar-OM"/>
              </w:rPr>
              <w:t>حال</w:t>
            </w:r>
            <w:r w:rsidRPr="000B794B">
              <w:rPr>
                <w:rFonts w:ascii="Traditional Arabic" w:hAnsi="Traditional Arabic" w:cs="Traditional Arabic"/>
                <w:sz w:val="30"/>
                <w:szCs w:val="30"/>
                <w:rtl/>
                <w:lang w:bidi="ar-OM"/>
              </w:rPr>
              <w:t xml:space="preserve"> قل الطلب الإجمالي المخصص للفئة الثانية (فئة الافراد) عن نسبة </w:t>
            </w:r>
            <w:r w:rsidR="00E25A28">
              <w:rPr>
                <w:rFonts w:ascii="Traditional Arabic" w:hAnsi="Traditional Arabic" w:cs="Traditional Arabic" w:hint="cs"/>
                <w:sz w:val="30"/>
                <w:szCs w:val="30"/>
                <w:rtl/>
              </w:rPr>
              <w:t>٢٥</w:t>
            </w:r>
            <w:r w:rsidRPr="000B794B">
              <w:rPr>
                <w:rFonts w:ascii="Traditional Arabic" w:hAnsi="Traditional Arabic" w:cs="Traditional Arabic"/>
                <w:sz w:val="30"/>
                <w:szCs w:val="30"/>
                <w:rtl/>
              </w:rPr>
              <w:t>%</w:t>
            </w:r>
            <w:r w:rsidRPr="000B794B">
              <w:rPr>
                <w:rFonts w:ascii="Traditional Arabic" w:hAnsi="Traditional Arabic" w:cs="Traditional Arabic"/>
                <w:sz w:val="30"/>
                <w:szCs w:val="30"/>
                <w:rtl/>
                <w:lang w:bidi="ar-OM"/>
              </w:rPr>
              <w:t xml:space="preserve"> من حجم الطرح لكلا الفئتين (</w:t>
            </w:r>
            <w:r w:rsidRPr="000B794B">
              <w:rPr>
                <w:rFonts w:ascii="Traditional Arabic" w:hAnsi="Traditional Arabic" w:cs="Traditional Arabic" w:hint="eastAsia"/>
                <w:sz w:val="30"/>
                <w:szCs w:val="30"/>
                <w:rtl/>
                <w:lang w:bidi="ar-OM"/>
              </w:rPr>
              <w:t>صغار</w:t>
            </w:r>
            <w:r w:rsidRPr="000B794B">
              <w:rPr>
                <w:rFonts w:ascii="Traditional Arabic" w:hAnsi="Traditional Arabic" w:cs="Traditional Arabic"/>
                <w:sz w:val="30"/>
                <w:szCs w:val="30"/>
                <w:rtl/>
                <w:lang w:bidi="ar-OM"/>
              </w:rPr>
              <w:t xml:space="preserve"> </w:t>
            </w:r>
            <w:r w:rsidR="00894ADD">
              <w:rPr>
                <w:rFonts w:ascii="Traditional Arabic" w:hAnsi="Traditional Arabic" w:cs="Traditional Arabic" w:hint="cs"/>
                <w:sz w:val="30"/>
                <w:szCs w:val="30"/>
                <w:rtl/>
                <w:lang w:bidi="ar-OM"/>
              </w:rPr>
              <w:t>المستثمرين</w:t>
            </w:r>
            <w:r w:rsidR="00894ADD" w:rsidRPr="000B794B">
              <w:rPr>
                <w:rFonts w:ascii="Traditional Arabic" w:hAnsi="Traditional Arabic" w:cs="Traditional Arabic"/>
                <w:sz w:val="30"/>
                <w:szCs w:val="30"/>
                <w:rtl/>
                <w:lang w:bidi="ar-OM"/>
              </w:rPr>
              <w:t xml:space="preserve"> </w:t>
            </w:r>
            <w:r w:rsidRPr="000B794B">
              <w:rPr>
                <w:rFonts w:ascii="Traditional Arabic" w:hAnsi="Traditional Arabic" w:cs="Traditional Arabic" w:hint="eastAsia"/>
                <w:sz w:val="30"/>
                <w:szCs w:val="30"/>
                <w:rtl/>
                <w:lang w:bidi="ar-OM"/>
              </w:rPr>
              <w:t>وكبار</w:t>
            </w:r>
            <w:r w:rsidRPr="000B794B">
              <w:rPr>
                <w:rFonts w:ascii="Traditional Arabic" w:hAnsi="Traditional Arabic" w:cs="Traditional Arabic"/>
                <w:sz w:val="30"/>
                <w:szCs w:val="30"/>
                <w:rtl/>
                <w:lang w:bidi="ar-OM"/>
              </w:rPr>
              <w:t xml:space="preserve"> </w:t>
            </w:r>
            <w:r w:rsidR="00894ADD">
              <w:rPr>
                <w:rFonts w:ascii="Traditional Arabic" w:hAnsi="Traditional Arabic" w:cs="Traditional Arabic" w:hint="cs"/>
                <w:sz w:val="30"/>
                <w:szCs w:val="30"/>
                <w:rtl/>
                <w:lang w:bidi="ar-OM"/>
              </w:rPr>
              <w:t>المستثمرين</w:t>
            </w:r>
            <w:r w:rsidRPr="000B794B">
              <w:rPr>
                <w:rFonts w:ascii="Traditional Arabic" w:hAnsi="Traditional Arabic" w:cs="Traditional Arabic"/>
                <w:sz w:val="30"/>
                <w:szCs w:val="30"/>
                <w:rtl/>
                <w:lang w:bidi="ar-OM"/>
              </w:rPr>
              <w:t xml:space="preserve">)، فسيتم </w:t>
            </w:r>
            <w:r w:rsidRPr="000B794B">
              <w:rPr>
                <w:rFonts w:ascii="Traditional Arabic" w:hAnsi="Traditional Arabic" w:cs="Traditional Arabic" w:hint="eastAsia"/>
                <w:sz w:val="30"/>
                <w:szCs w:val="30"/>
                <w:rtl/>
                <w:lang w:bidi="ar-OM"/>
              </w:rPr>
              <w:t>ال</w:t>
            </w:r>
            <w:r w:rsidRPr="000B794B">
              <w:rPr>
                <w:rFonts w:ascii="Traditional Arabic" w:hAnsi="Traditional Arabic" w:cs="Traditional Arabic"/>
                <w:sz w:val="30"/>
                <w:szCs w:val="30"/>
                <w:rtl/>
                <w:lang w:bidi="ar-OM"/>
              </w:rPr>
              <w:t xml:space="preserve">تخصيص </w:t>
            </w:r>
            <w:r w:rsidRPr="000B794B">
              <w:rPr>
                <w:rFonts w:ascii="Traditional Arabic" w:hAnsi="Traditional Arabic" w:cs="Traditional Arabic" w:hint="eastAsia"/>
                <w:sz w:val="30"/>
                <w:szCs w:val="30"/>
                <w:rtl/>
                <w:lang w:bidi="ar-OM"/>
              </w:rPr>
              <w:t>بكامل</w:t>
            </w:r>
            <w:r w:rsidRPr="000B794B">
              <w:rPr>
                <w:rFonts w:ascii="Traditional Arabic" w:hAnsi="Traditional Arabic" w:cs="Traditional Arabic"/>
                <w:sz w:val="30"/>
                <w:szCs w:val="30"/>
                <w:rtl/>
                <w:lang w:bidi="ar-OM"/>
              </w:rPr>
              <w:t xml:space="preserve"> الأسهم المكتتب بها لجميع م</w:t>
            </w:r>
            <w:r w:rsidRPr="000B794B">
              <w:rPr>
                <w:rFonts w:ascii="Traditional Arabic" w:hAnsi="Traditional Arabic" w:cs="Traditional Arabic" w:hint="eastAsia"/>
                <w:sz w:val="30"/>
                <w:szCs w:val="30"/>
                <w:rtl/>
                <w:lang w:bidi="ar-OM"/>
              </w:rPr>
              <w:t>قدمي</w:t>
            </w:r>
            <w:r w:rsidRPr="000B794B">
              <w:rPr>
                <w:rFonts w:ascii="Traditional Arabic" w:hAnsi="Traditional Arabic" w:cs="Traditional Arabic"/>
                <w:sz w:val="30"/>
                <w:szCs w:val="30"/>
                <w:rtl/>
                <w:lang w:bidi="ar-OM"/>
              </w:rPr>
              <w:t xml:space="preserve"> الطلبات من الفئة </w:t>
            </w:r>
            <w:r w:rsidRPr="000B794B">
              <w:rPr>
                <w:rFonts w:ascii="Traditional Arabic" w:hAnsi="Traditional Arabic" w:cs="Traditional Arabic" w:hint="eastAsia"/>
                <w:sz w:val="30"/>
                <w:szCs w:val="30"/>
                <w:rtl/>
                <w:lang w:bidi="ar-OM"/>
              </w:rPr>
              <w:t>الثانية،</w:t>
            </w:r>
            <w:r w:rsidRPr="000B794B">
              <w:rPr>
                <w:rFonts w:ascii="Traditional Arabic" w:hAnsi="Traditional Arabic" w:cs="Traditional Arabic"/>
                <w:sz w:val="30"/>
                <w:szCs w:val="30"/>
                <w:rtl/>
                <w:lang w:bidi="ar-OM"/>
              </w:rPr>
              <w:t xml:space="preserve"> وسيتم تحويل باقي الأسهم </w:t>
            </w:r>
            <w:r w:rsidRPr="000B794B">
              <w:rPr>
                <w:rFonts w:ascii="Traditional Arabic" w:hAnsi="Traditional Arabic" w:cs="Traditional Arabic" w:hint="eastAsia"/>
                <w:sz w:val="30"/>
                <w:szCs w:val="30"/>
                <w:rtl/>
                <w:lang w:bidi="ar-OM"/>
              </w:rPr>
              <w:t>غير</w:t>
            </w:r>
            <w:r w:rsidRPr="000B794B">
              <w:rPr>
                <w:rFonts w:ascii="Traditional Arabic" w:hAnsi="Traditional Arabic" w:cs="Traditional Arabic"/>
                <w:sz w:val="30"/>
                <w:szCs w:val="30"/>
                <w:rtl/>
                <w:lang w:bidi="ar-OM"/>
              </w:rPr>
              <w:t xml:space="preserve"> المكتتب بها من هذه الفئة ل</w:t>
            </w:r>
            <w:r w:rsidRPr="000B794B">
              <w:rPr>
                <w:rFonts w:ascii="Traditional Arabic" w:hAnsi="Traditional Arabic" w:cs="Traditional Arabic" w:hint="eastAsia"/>
                <w:sz w:val="30"/>
                <w:szCs w:val="30"/>
                <w:rtl/>
                <w:lang w:bidi="ar-OM"/>
              </w:rPr>
              <w:t>مقدمي</w:t>
            </w:r>
            <w:r w:rsidRPr="000B794B">
              <w:rPr>
                <w:rFonts w:ascii="Traditional Arabic" w:hAnsi="Traditional Arabic" w:cs="Traditional Arabic"/>
                <w:sz w:val="30"/>
                <w:szCs w:val="30"/>
                <w:rtl/>
                <w:lang w:bidi="ar-OM"/>
              </w:rPr>
              <w:t xml:space="preserve"> </w:t>
            </w:r>
            <w:r w:rsidRPr="000B794B">
              <w:rPr>
                <w:rFonts w:ascii="Traditional Arabic" w:hAnsi="Traditional Arabic" w:cs="Traditional Arabic" w:hint="eastAsia"/>
                <w:sz w:val="30"/>
                <w:szCs w:val="30"/>
                <w:rtl/>
                <w:lang w:bidi="ar-OM"/>
              </w:rPr>
              <w:t>الطلبات</w:t>
            </w:r>
            <w:r w:rsidRPr="000B794B">
              <w:rPr>
                <w:rFonts w:ascii="Traditional Arabic" w:hAnsi="Traditional Arabic" w:cs="Traditional Arabic"/>
                <w:sz w:val="30"/>
                <w:szCs w:val="30"/>
                <w:rtl/>
                <w:lang w:bidi="ar-OM"/>
              </w:rPr>
              <w:t xml:space="preserve"> </w:t>
            </w:r>
            <w:r w:rsidRPr="000B794B">
              <w:rPr>
                <w:rFonts w:ascii="Traditional Arabic" w:hAnsi="Traditional Arabic" w:cs="Traditional Arabic" w:hint="eastAsia"/>
                <w:sz w:val="30"/>
                <w:szCs w:val="30"/>
                <w:rtl/>
                <w:lang w:bidi="ar-OM"/>
              </w:rPr>
              <w:t>من</w:t>
            </w:r>
            <w:r w:rsidRPr="000B794B">
              <w:rPr>
                <w:rFonts w:ascii="Traditional Arabic" w:hAnsi="Traditional Arabic" w:cs="Traditional Arabic"/>
                <w:sz w:val="30"/>
                <w:szCs w:val="30"/>
                <w:rtl/>
                <w:lang w:bidi="ar-OM"/>
              </w:rPr>
              <w:t xml:space="preserve"> الفئة الأولى بسعر </w:t>
            </w:r>
            <w:r w:rsidRPr="000B794B">
              <w:rPr>
                <w:rFonts w:ascii="Traditional Arabic" w:hAnsi="Traditional Arabic" w:cs="Traditional Arabic" w:hint="eastAsia"/>
                <w:sz w:val="30"/>
                <w:szCs w:val="30"/>
                <w:rtl/>
                <w:lang w:bidi="ar-OM"/>
              </w:rPr>
              <w:t>الطرح</w:t>
            </w:r>
            <w:r w:rsidRPr="000B794B">
              <w:rPr>
                <w:rFonts w:ascii="Traditional Arabic" w:hAnsi="Traditional Arabic" w:cs="Traditional Arabic"/>
                <w:sz w:val="30"/>
                <w:szCs w:val="30"/>
                <w:rtl/>
                <w:lang w:bidi="ar-OM"/>
              </w:rPr>
              <w:t xml:space="preserve">، </w:t>
            </w:r>
            <w:r w:rsidRPr="000B794B">
              <w:rPr>
                <w:rFonts w:ascii="Traditional Arabic" w:hAnsi="Traditional Arabic" w:cs="Traditional Arabic" w:hint="eastAsia"/>
                <w:sz w:val="30"/>
                <w:szCs w:val="30"/>
                <w:rtl/>
                <w:lang w:bidi="ar-OM"/>
              </w:rPr>
              <w:t>شريطة</w:t>
            </w:r>
            <w:r w:rsidRPr="000B794B">
              <w:rPr>
                <w:rFonts w:ascii="Traditional Arabic" w:hAnsi="Traditional Arabic" w:cs="Traditional Arabic"/>
                <w:sz w:val="30"/>
                <w:szCs w:val="30"/>
                <w:rtl/>
                <w:lang w:bidi="ar-OM"/>
              </w:rPr>
              <w:t xml:space="preserve"> </w:t>
            </w:r>
            <w:r w:rsidRPr="000B794B">
              <w:rPr>
                <w:rFonts w:ascii="Traditional Arabic" w:hAnsi="Traditional Arabic" w:cs="Traditional Arabic" w:hint="eastAsia"/>
                <w:sz w:val="30"/>
                <w:szCs w:val="30"/>
                <w:rtl/>
                <w:lang w:bidi="ar-OM"/>
              </w:rPr>
              <w:t>وجود</w:t>
            </w:r>
            <w:r w:rsidRPr="000B794B">
              <w:rPr>
                <w:rFonts w:ascii="Traditional Arabic" w:hAnsi="Traditional Arabic" w:cs="Traditional Arabic"/>
                <w:sz w:val="30"/>
                <w:szCs w:val="30"/>
                <w:rtl/>
                <w:lang w:bidi="ar-OM"/>
              </w:rPr>
              <w:t xml:space="preserve"> </w:t>
            </w:r>
            <w:r w:rsidR="00776937">
              <w:rPr>
                <w:rFonts w:ascii="Traditional Arabic" w:hAnsi="Traditional Arabic" w:cs="Traditional Arabic" w:hint="cs"/>
                <w:sz w:val="30"/>
                <w:szCs w:val="30"/>
                <w:rtl/>
                <w:lang w:bidi="ar-OM"/>
              </w:rPr>
              <w:t xml:space="preserve">زيادة في </w:t>
            </w:r>
            <w:r w:rsidRPr="000B794B">
              <w:rPr>
                <w:rFonts w:ascii="Traditional Arabic" w:hAnsi="Traditional Arabic" w:cs="Traditional Arabic" w:hint="eastAsia"/>
                <w:sz w:val="30"/>
                <w:szCs w:val="30"/>
                <w:rtl/>
                <w:lang w:bidi="ar-OM"/>
              </w:rPr>
              <w:t>طلب</w:t>
            </w:r>
            <w:r w:rsidR="00776937">
              <w:rPr>
                <w:rFonts w:ascii="Traditional Arabic" w:hAnsi="Traditional Arabic" w:cs="Traditional Arabic" w:hint="cs"/>
                <w:sz w:val="30"/>
                <w:szCs w:val="30"/>
                <w:rtl/>
                <w:lang w:bidi="ar-OM"/>
              </w:rPr>
              <w:t xml:space="preserve">ات </w:t>
            </w:r>
            <w:r w:rsidRPr="000B794B">
              <w:rPr>
                <w:rFonts w:ascii="Traditional Arabic" w:hAnsi="Traditional Arabic" w:cs="Traditional Arabic"/>
                <w:sz w:val="30"/>
                <w:szCs w:val="30"/>
                <w:rtl/>
                <w:lang w:bidi="ar-OM"/>
              </w:rPr>
              <w:t xml:space="preserve">الاكتتاب </w:t>
            </w:r>
            <w:r w:rsidRPr="000B794B">
              <w:rPr>
                <w:rFonts w:ascii="Traditional Arabic" w:hAnsi="Traditional Arabic" w:cs="Traditional Arabic" w:hint="eastAsia"/>
                <w:sz w:val="30"/>
                <w:szCs w:val="30"/>
                <w:rtl/>
                <w:lang w:bidi="ar-OM"/>
              </w:rPr>
              <w:t>من</w:t>
            </w:r>
            <w:r w:rsidRPr="000B794B">
              <w:rPr>
                <w:rFonts w:ascii="Traditional Arabic" w:hAnsi="Traditional Arabic" w:cs="Traditional Arabic"/>
                <w:sz w:val="30"/>
                <w:szCs w:val="30"/>
                <w:rtl/>
                <w:lang w:bidi="ar-OM"/>
              </w:rPr>
              <w:t xml:space="preserve"> الفئة الأولى.</w:t>
            </w:r>
          </w:p>
          <w:p w14:paraId="4AB7D699" w14:textId="1767EDB7" w:rsidR="00B0611D" w:rsidRPr="009F1088" w:rsidRDefault="00B83659" w:rsidP="000B794B">
            <w:pPr>
              <w:tabs>
                <w:tab w:val="left" w:leader="dot" w:pos="3672"/>
              </w:tabs>
              <w:bidi/>
              <w:ind w:left="360"/>
              <w:jc w:val="both"/>
              <w:rPr>
                <w:rFonts w:ascii="Traditional Arabic" w:hAnsi="Traditional Arabic" w:cs="Traditional Arabic"/>
                <w:sz w:val="30"/>
                <w:szCs w:val="30"/>
                <w:lang w:bidi="ar-OM"/>
              </w:rPr>
            </w:pPr>
            <w:r>
              <w:rPr>
                <w:rFonts w:ascii="Traditional Arabic" w:hAnsi="Traditional Arabic" w:cs="Traditional Arabic" w:hint="cs"/>
                <w:sz w:val="30"/>
                <w:szCs w:val="30"/>
                <w:rtl/>
                <w:lang w:bidi="ar-OM"/>
              </w:rPr>
              <w:t xml:space="preserve">- </w:t>
            </w:r>
            <w:r w:rsidR="000A1EC5">
              <w:rPr>
                <w:rFonts w:ascii="Traditional Arabic" w:hAnsi="Traditional Arabic" w:cs="Traditional Arabic" w:hint="cs"/>
                <w:sz w:val="30"/>
                <w:szCs w:val="30"/>
                <w:rtl/>
                <w:lang w:bidi="ar-OM"/>
              </w:rPr>
              <w:t>أ</w:t>
            </w:r>
            <w:r w:rsidRPr="00B83659">
              <w:rPr>
                <w:rFonts w:ascii="Traditional Arabic" w:hAnsi="Traditional Arabic" w:cs="Traditional Arabic" w:hint="cs"/>
                <w:sz w:val="30"/>
                <w:szCs w:val="30"/>
                <w:rtl/>
                <w:lang w:bidi="ar-OM"/>
              </w:rPr>
              <w:t>ما في حال زيادة</w:t>
            </w:r>
            <w:r w:rsidRPr="00B83659">
              <w:rPr>
                <w:rFonts w:ascii="Traditional Arabic" w:hAnsi="Traditional Arabic" w:cs="Traditional Arabic"/>
                <w:sz w:val="30"/>
                <w:szCs w:val="30"/>
                <w:rtl/>
                <w:lang w:bidi="ar-OM"/>
              </w:rPr>
              <w:t xml:space="preserve"> إجمالي الطلب في الفئة الثانية </w:t>
            </w:r>
            <w:r w:rsidR="000A1EC5">
              <w:rPr>
                <w:rFonts w:ascii="Traditional Arabic" w:hAnsi="Traditional Arabic" w:cs="Traditional Arabic" w:hint="cs"/>
                <w:sz w:val="30"/>
                <w:szCs w:val="30"/>
                <w:rtl/>
                <w:lang w:bidi="ar-OM"/>
              </w:rPr>
              <w:t xml:space="preserve">(صغار وكبار المستثمرين) </w:t>
            </w:r>
            <w:r w:rsidRPr="00B83659">
              <w:rPr>
                <w:rFonts w:ascii="Traditional Arabic" w:hAnsi="Traditional Arabic" w:cs="Traditional Arabic"/>
                <w:sz w:val="30"/>
                <w:szCs w:val="30"/>
                <w:rtl/>
                <w:lang w:bidi="ar-OM"/>
              </w:rPr>
              <w:t xml:space="preserve">عن </w:t>
            </w:r>
            <w:r w:rsidR="00EE3046">
              <w:rPr>
                <w:rFonts w:ascii="Traditional Arabic" w:hAnsi="Traditional Arabic" w:cs="Traditional Arabic" w:hint="cs"/>
                <w:sz w:val="30"/>
                <w:szCs w:val="30"/>
                <w:rtl/>
                <w:lang w:bidi="ar-OM"/>
              </w:rPr>
              <w:t>٢٥</w:t>
            </w:r>
            <w:r w:rsidRPr="00B83659">
              <w:rPr>
                <w:rFonts w:ascii="Traditional Arabic" w:hAnsi="Traditional Arabic" w:cs="Traditional Arabic" w:hint="cs"/>
                <w:sz w:val="30"/>
                <w:szCs w:val="30"/>
                <w:rtl/>
                <w:lang w:bidi="ar-OM"/>
              </w:rPr>
              <w:t xml:space="preserve">% </w:t>
            </w:r>
            <w:r w:rsidRPr="00B83659">
              <w:rPr>
                <w:rFonts w:ascii="Traditional Arabic" w:hAnsi="Traditional Arabic" w:cs="Traditional Arabic"/>
                <w:sz w:val="30"/>
                <w:szCs w:val="30"/>
                <w:rtl/>
                <w:lang w:bidi="ar-OM"/>
              </w:rPr>
              <w:t>من أسهم الطرح</w:t>
            </w:r>
            <w:r w:rsidRPr="00B83659">
              <w:rPr>
                <w:rFonts w:ascii="Traditional Arabic" w:hAnsi="Traditional Arabic" w:cs="Traditional Arabic" w:hint="cs"/>
                <w:sz w:val="30"/>
                <w:szCs w:val="30"/>
                <w:rtl/>
                <w:lang w:bidi="ar-OM"/>
              </w:rPr>
              <w:t xml:space="preserve"> المخصصة لهذه الفئة</w:t>
            </w:r>
            <w:r w:rsidRPr="00B83659">
              <w:rPr>
                <w:rFonts w:ascii="Traditional Arabic" w:hAnsi="Traditional Arabic" w:cs="Traditional Arabic"/>
                <w:sz w:val="30"/>
                <w:szCs w:val="30"/>
                <w:rtl/>
                <w:lang w:bidi="ar-OM"/>
              </w:rPr>
              <w:t xml:space="preserve">، </w:t>
            </w:r>
            <w:r w:rsidRPr="00B83659">
              <w:rPr>
                <w:rFonts w:ascii="Traditional Arabic" w:hAnsi="Traditional Arabic" w:cs="Traditional Arabic" w:hint="cs"/>
                <w:sz w:val="30"/>
                <w:szCs w:val="30"/>
                <w:rtl/>
                <w:lang w:bidi="ar-OM"/>
              </w:rPr>
              <w:t>فيجوز لهيئة</w:t>
            </w:r>
            <w:r w:rsidRPr="00B83659">
              <w:rPr>
                <w:rFonts w:ascii="Traditional Arabic" w:hAnsi="Traditional Arabic" w:cs="Traditional Arabic"/>
                <w:sz w:val="30"/>
                <w:szCs w:val="30"/>
                <w:rtl/>
                <w:lang w:bidi="ar-OM"/>
              </w:rPr>
              <w:t xml:space="preserve"> الخدمات المالية تقرير توزيع حد أدنى من الأسهم </w:t>
            </w:r>
            <w:r w:rsidRPr="00B83659">
              <w:rPr>
                <w:rFonts w:ascii="Traditional Arabic" w:hAnsi="Traditional Arabic" w:cs="Traditional Arabic" w:hint="cs"/>
                <w:sz w:val="30"/>
                <w:szCs w:val="30"/>
                <w:rtl/>
                <w:lang w:bidi="ar-OM"/>
              </w:rPr>
              <w:t>المخصصة</w:t>
            </w:r>
            <w:r w:rsidRPr="00B83659">
              <w:rPr>
                <w:rFonts w:ascii="Traditional Arabic" w:hAnsi="Traditional Arabic" w:cs="Traditional Arabic"/>
                <w:sz w:val="30"/>
                <w:szCs w:val="30"/>
                <w:rtl/>
                <w:lang w:bidi="ar-OM"/>
              </w:rPr>
              <w:t xml:space="preserve"> </w:t>
            </w:r>
            <w:r w:rsidRPr="00B83659">
              <w:rPr>
                <w:rFonts w:ascii="Traditional Arabic" w:hAnsi="Traditional Arabic" w:cs="Traditional Arabic" w:hint="cs"/>
                <w:sz w:val="30"/>
                <w:szCs w:val="30"/>
                <w:rtl/>
                <w:lang w:bidi="ar-OM"/>
              </w:rPr>
              <w:t>ل</w:t>
            </w:r>
            <w:r w:rsidR="00AA3867">
              <w:rPr>
                <w:rFonts w:ascii="Traditional Arabic" w:hAnsi="Traditional Arabic" w:cs="Traditional Arabic" w:hint="cs"/>
                <w:sz w:val="30"/>
                <w:szCs w:val="30"/>
                <w:rtl/>
              </w:rPr>
              <w:t>ل</w:t>
            </w:r>
            <w:r w:rsidRPr="00B83659">
              <w:rPr>
                <w:rFonts w:ascii="Traditional Arabic" w:hAnsi="Traditional Arabic" w:cs="Traditional Arabic" w:hint="cs"/>
                <w:sz w:val="30"/>
                <w:szCs w:val="30"/>
                <w:rtl/>
                <w:lang w:bidi="ar-OM"/>
              </w:rPr>
              <w:t>فئة</w:t>
            </w:r>
            <w:r w:rsidR="00AA3867">
              <w:rPr>
                <w:rFonts w:ascii="Traditional Arabic" w:hAnsi="Traditional Arabic" w:cs="Traditional Arabic" w:hint="cs"/>
                <w:sz w:val="30"/>
                <w:szCs w:val="30"/>
                <w:rtl/>
                <w:lang w:bidi="ar-OM"/>
              </w:rPr>
              <w:t xml:space="preserve"> الثانية</w:t>
            </w:r>
            <w:r w:rsidRPr="00B83659">
              <w:rPr>
                <w:rFonts w:ascii="Traditional Arabic" w:hAnsi="Traditional Arabic" w:cs="Traditional Arabic" w:hint="cs"/>
                <w:sz w:val="30"/>
                <w:szCs w:val="30"/>
                <w:rtl/>
                <w:lang w:bidi="ar-OM"/>
              </w:rPr>
              <w:t xml:space="preserve"> بالتساوي</w:t>
            </w:r>
            <w:r w:rsidR="00795421">
              <w:rPr>
                <w:rFonts w:ascii="Traditional Arabic" w:hAnsi="Traditional Arabic" w:cs="Traditional Arabic" w:hint="cs"/>
                <w:sz w:val="30"/>
                <w:szCs w:val="30"/>
                <w:rtl/>
                <w:lang w:bidi="ar-OM"/>
              </w:rPr>
              <w:t xml:space="preserve"> بين مقدمي ال</w:t>
            </w:r>
            <w:r w:rsidR="00492702">
              <w:rPr>
                <w:rFonts w:ascii="Traditional Arabic" w:hAnsi="Traditional Arabic" w:cs="Traditional Arabic" w:hint="cs"/>
                <w:sz w:val="30"/>
                <w:szCs w:val="30"/>
                <w:rtl/>
                <w:lang w:bidi="ar-OM"/>
              </w:rPr>
              <w:t xml:space="preserve">طلبات من الفئة الثانية </w:t>
            </w:r>
            <w:r w:rsidR="00492702" w:rsidRPr="00492702">
              <w:rPr>
                <w:rFonts w:ascii="Traditional Arabic" w:hAnsi="Traditional Arabic" w:cs="Traditional Arabic" w:hint="cs"/>
                <w:sz w:val="30"/>
                <w:szCs w:val="30"/>
                <w:rtl/>
                <w:lang w:bidi="ar-OM"/>
              </w:rPr>
              <w:t>(</w:t>
            </w:r>
            <w:r w:rsidR="00492702" w:rsidRPr="00826D63">
              <w:rPr>
                <w:rFonts w:ascii="Traditional Arabic" w:hAnsi="Traditional Arabic" w:cs="Traditional Arabic" w:hint="eastAsia"/>
                <w:sz w:val="30"/>
                <w:szCs w:val="30"/>
                <w:rtl/>
                <w:lang w:bidi="ar-OM"/>
              </w:rPr>
              <w:t>صغار</w:t>
            </w:r>
            <w:r w:rsidR="00492702" w:rsidRPr="00826D63">
              <w:rPr>
                <w:rFonts w:ascii="Traditional Arabic" w:hAnsi="Traditional Arabic" w:cs="Traditional Arabic"/>
                <w:sz w:val="30"/>
                <w:szCs w:val="30"/>
                <w:rtl/>
                <w:lang w:bidi="ar-OM"/>
              </w:rPr>
              <w:t xml:space="preserve"> </w:t>
            </w:r>
            <w:r w:rsidR="00492702" w:rsidRPr="00826D63">
              <w:rPr>
                <w:rFonts w:ascii="Traditional Arabic" w:hAnsi="Traditional Arabic" w:cs="Traditional Arabic" w:hint="eastAsia"/>
                <w:sz w:val="30"/>
                <w:szCs w:val="30"/>
                <w:rtl/>
                <w:lang w:bidi="ar-OM"/>
              </w:rPr>
              <w:t>المستثمرين</w:t>
            </w:r>
            <w:r w:rsidR="00492702" w:rsidRPr="00492702">
              <w:rPr>
                <w:rFonts w:ascii="Traditional Arabic" w:hAnsi="Traditional Arabic" w:cs="Traditional Arabic" w:hint="cs"/>
                <w:sz w:val="30"/>
                <w:szCs w:val="30"/>
                <w:rtl/>
                <w:lang w:bidi="ar-OM"/>
              </w:rPr>
              <w:t>)</w:t>
            </w:r>
            <w:r w:rsidR="00B05CC3">
              <w:rPr>
                <w:rFonts w:ascii="Traditional Arabic" w:hAnsi="Traditional Arabic" w:cs="Traditional Arabic" w:hint="cs"/>
                <w:sz w:val="30"/>
                <w:szCs w:val="30"/>
                <w:rtl/>
                <w:lang w:bidi="ar-OM"/>
              </w:rPr>
              <w:t xml:space="preserve"> </w:t>
            </w:r>
            <w:r w:rsidR="00B05CC3" w:rsidRPr="00A342C1">
              <w:rPr>
                <w:rFonts w:ascii="Traditional Arabic" w:hAnsi="Traditional Arabic" w:cs="Traditional Arabic" w:hint="cs"/>
                <w:color w:val="FF0000"/>
                <w:sz w:val="30"/>
                <w:szCs w:val="30"/>
                <w:rtl/>
                <w:lang w:bidi="ar-OM"/>
              </w:rPr>
              <w:t>فقط</w:t>
            </w:r>
            <w:r w:rsidRPr="00B83659">
              <w:rPr>
                <w:rFonts w:ascii="Traditional Arabic" w:hAnsi="Traditional Arabic" w:cs="Traditional Arabic" w:hint="cs"/>
                <w:sz w:val="30"/>
                <w:szCs w:val="30"/>
                <w:rtl/>
                <w:lang w:bidi="ar-OM"/>
              </w:rPr>
              <w:t>،</w:t>
            </w:r>
            <w:r w:rsidRPr="00B83659">
              <w:rPr>
                <w:rFonts w:ascii="Traditional Arabic" w:hAnsi="Traditional Arabic" w:cs="Traditional Arabic"/>
                <w:sz w:val="30"/>
                <w:szCs w:val="30"/>
                <w:rtl/>
                <w:lang w:bidi="ar-OM"/>
              </w:rPr>
              <w:t xml:space="preserve"> ثم يجري توزيع باقي الأسهم بالنسبة والتناسب في ذات الفئة</w:t>
            </w:r>
            <w:r w:rsidRPr="00B83659">
              <w:rPr>
                <w:rFonts w:ascii="Traditional Arabic" w:hAnsi="Traditional Arabic" w:cs="Traditional Arabic" w:hint="cs"/>
                <w:sz w:val="30"/>
                <w:szCs w:val="30"/>
                <w:rtl/>
                <w:lang w:bidi="ar-OM"/>
              </w:rPr>
              <w:t>.</w:t>
            </w:r>
          </w:p>
          <w:p w14:paraId="09B0783D" w14:textId="77777777" w:rsidR="00164C69" w:rsidRDefault="00164C69" w:rsidP="00CD53BC">
            <w:pPr>
              <w:tabs>
                <w:tab w:val="left" w:leader="dot" w:pos="3672"/>
              </w:tabs>
              <w:bidi/>
              <w:ind w:left="245"/>
              <w:jc w:val="both"/>
              <w:rPr>
                <w:rFonts w:ascii="Traditional Arabic" w:hAnsi="Traditional Arabic" w:cs="Traditional Arabic"/>
                <w:sz w:val="30"/>
                <w:szCs w:val="30"/>
                <w:lang w:bidi="ar-OM"/>
              </w:rPr>
            </w:pPr>
          </w:p>
          <w:p w14:paraId="520168AB" w14:textId="77777777" w:rsidR="00164C69" w:rsidRDefault="00164C69" w:rsidP="001106C6">
            <w:pPr>
              <w:pStyle w:val="ListParagraph"/>
              <w:rPr>
                <w:rFonts w:ascii="Traditional Arabic" w:hAnsi="Traditional Arabic" w:cs="Traditional Arabic"/>
                <w:sz w:val="30"/>
                <w:szCs w:val="30"/>
                <w:rtl/>
                <w:lang w:bidi="ar-OM"/>
              </w:rPr>
            </w:pPr>
          </w:p>
          <w:p w14:paraId="1B193DEB" w14:textId="77777777" w:rsidR="00164C69" w:rsidRPr="00EB5BCF" w:rsidRDefault="00164C69" w:rsidP="001106C6">
            <w:pPr>
              <w:tabs>
                <w:tab w:val="left" w:leader="dot" w:pos="3672"/>
              </w:tabs>
              <w:bidi/>
              <w:ind w:left="245"/>
              <w:jc w:val="both"/>
              <w:rPr>
                <w:rFonts w:ascii="Traditional Arabic" w:hAnsi="Traditional Arabic" w:cs="Traditional Arabic"/>
                <w:sz w:val="30"/>
                <w:szCs w:val="30"/>
                <w:lang w:bidi="ar-OM"/>
              </w:rPr>
            </w:pPr>
          </w:p>
          <w:p w14:paraId="32691306" w14:textId="77777777" w:rsidR="00F1281F" w:rsidRPr="00EB5BCF" w:rsidRDefault="00F1281F" w:rsidP="00892B98">
            <w:pPr>
              <w:tabs>
                <w:tab w:val="left" w:leader="dot" w:pos="3672"/>
              </w:tabs>
              <w:bidi/>
              <w:jc w:val="both"/>
              <w:rPr>
                <w:rFonts w:ascii="Traditional Arabic" w:hAnsi="Traditional Arabic" w:cs="Traditional Arabic"/>
                <w:sz w:val="30"/>
                <w:szCs w:val="30"/>
                <w:rtl/>
                <w:lang w:bidi="ar-OM"/>
              </w:rPr>
            </w:pPr>
          </w:p>
        </w:tc>
      </w:tr>
      <w:tr w:rsidR="00B9223D" w:rsidRPr="00EB5BCF" w14:paraId="5D82570D" w14:textId="77777777" w:rsidTr="004C2C8B">
        <w:tc>
          <w:tcPr>
            <w:tcW w:w="2516" w:type="dxa"/>
          </w:tcPr>
          <w:p w14:paraId="4CDCCA74" w14:textId="77777777" w:rsidR="00B9223D" w:rsidRPr="00EB5BCF" w:rsidRDefault="00B9223D" w:rsidP="00B9223D">
            <w:pPr>
              <w:bidi/>
              <w:rPr>
                <w:rFonts w:ascii="Traditional Arabic" w:hAnsi="Traditional Arabic" w:cs="Traditional Arabic"/>
                <w:bCs/>
                <w:sz w:val="30"/>
                <w:szCs w:val="30"/>
                <w:rtl/>
              </w:rPr>
            </w:pPr>
            <w:r w:rsidRPr="00EB5BCF">
              <w:rPr>
                <w:rFonts w:ascii="Traditional Arabic" w:hAnsi="Traditional Arabic" w:cs="Traditional Arabic"/>
                <w:bCs/>
                <w:sz w:val="30"/>
                <w:szCs w:val="30"/>
                <w:rtl/>
              </w:rPr>
              <w:lastRenderedPageBreak/>
              <w:t xml:space="preserve">الحد الأدنى للاكتتاب في الأسهم المطروحة من قبل كل </w:t>
            </w:r>
            <w:r w:rsidR="007C1B7D" w:rsidRPr="00EB5BCF">
              <w:rPr>
                <w:rFonts w:ascii="Traditional Arabic" w:hAnsi="Traditional Arabic" w:cs="Traditional Arabic" w:hint="eastAsia"/>
                <w:bCs/>
                <w:sz w:val="30"/>
                <w:szCs w:val="30"/>
                <w:rtl/>
              </w:rPr>
              <w:t>مستثمر</w:t>
            </w:r>
          </w:p>
        </w:tc>
        <w:tc>
          <w:tcPr>
            <w:tcW w:w="6834" w:type="dxa"/>
          </w:tcPr>
          <w:p w14:paraId="4D4FB49C" w14:textId="77777777" w:rsidR="0086734D" w:rsidRPr="00B34641" w:rsidRDefault="0086734D" w:rsidP="00922116">
            <w:pPr>
              <w:pStyle w:val="ListParagraph"/>
              <w:numPr>
                <w:ilvl w:val="0"/>
                <w:numId w:val="3"/>
              </w:numPr>
              <w:tabs>
                <w:tab w:val="left" w:leader="dot" w:pos="3672"/>
              </w:tabs>
              <w:bidi/>
              <w:jc w:val="both"/>
              <w:rPr>
                <w:rFonts w:ascii="Traditional Arabic" w:hAnsi="Traditional Arabic" w:cs="Traditional Arabic"/>
                <w:sz w:val="30"/>
                <w:szCs w:val="30"/>
                <w:lang w:bidi="ar-OM"/>
              </w:rPr>
            </w:pPr>
            <w:r w:rsidRPr="00B34641">
              <w:rPr>
                <w:rFonts w:ascii="Traditional Arabic" w:hAnsi="Traditional Arabic" w:cs="Traditional Arabic"/>
                <w:sz w:val="30"/>
                <w:szCs w:val="30"/>
                <w:rtl/>
                <w:lang w:bidi="ar-OM"/>
              </w:rPr>
              <w:t xml:space="preserve">مستثمرو الفئة الأولى: </w:t>
            </w:r>
            <w:r w:rsidR="00DC32DD">
              <w:rPr>
                <w:rFonts w:ascii="Traditional Arabic" w:hAnsi="Traditional Arabic" w:cs="Traditional Arabic" w:hint="cs"/>
                <w:sz w:val="30"/>
                <w:szCs w:val="30"/>
                <w:rtl/>
              </w:rPr>
              <w:t>100.000</w:t>
            </w:r>
            <w:r w:rsidR="00DC32DD" w:rsidRPr="00B34641">
              <w:rPr>
                <w:rFonts w:ascii="Traditional Arabic" w:hAnsi="Traditional Arabic" w:cs="Traditional Arabic"/>
                <w:sz w:val="30"/>
                <w:szCs w:val="30"/>
                <w:rtl/>
                <w:lang w:bidi="ar-OM"/>
              </w:rPr>
              <w:t xml:space="preserve"> </w:t>
            </w:r>
            <w:r w:rsidRPr="00B34641">
              <w:rPr>
                <w:rFonts w:ascii="Traditional Arabic" w:hAnsi="Traditional Arabic" w:cs="Traditional Arabic" w:hint="cs"/>
                <w:sz w:val="30"/>
                <w:szCs w:val="30"/>
                <w:rtl/>
                <w:lang w:bidi="ar-OM"/>
              </w:rPr>
              <w:t>سهم</w:t>
            </w:r>
            <w:r w:rsidRPr="00B34641">
              <w:rPr>
                <w:rFonts w:ascii="Traditional Arabic" w:hAnsi="Traditional Arabic" w:cs="Traditional Arabic"/>
                <w:sz w:val="30"/>
                <w:szCs w:val="30"/>
                <w:rtl/>
                <w:lang w:bidi="ar-OM"/>
              </w:rPr>
              <w:t>، ومن ثم مضاعفات 100 سهم</w:t>
            </w:r>
            <w:r w:rsidRPr="00B34641">
              <w:rPr>
                <w:rFonts w:ascii="Traditional Arabic" w:hAnsi="Traditional Arabic" w:cs="Traditional Arabic" w:hint="cs"/>
                <w:sz w:val="30"/>
                <w:szCs w:val="30"/>
                <w:rtl/>
                <w:lang w:bidi="ar-OM"/>
              </w:rPr>
              <w:t xml:space="preserve"> بعد ذلك</w:t>
            </w:r>
            <w:r w:rsidRPr="00B34641">
              <w:rPr>
                <w:rFonts w:ascii="Traditional Arabic" w:hAnsi="Traditional Arabic" w:cs="Traditional Arabic"/>
                <w:sz w:val="30"/>
                <w:szCs w:val="30"/>
                <w:rtl/>
                <w:lang w:bidi="ar-OM"/>
              </w:rPr>
              <w:t>.</w:t>
            </w:r>
          </w:p>
          <w:p w14:paraId="05D090CE" w14:textId="77777777" w:rsidR="0086734D" w:rsidRPr="00B34641" w:rsidRDefault="0086734D" w:rsidP="00922116">
            <w:pPr>
              <w:numPr>
                <w:ilvl w:val="0"/>
                <w:numId w:val="3"/>
              </w:numPr>
              <w:bidi/>
              <w:jc w:val="both"/>
              <w:rPr>
                <w:rFonts w:ascii="Traditional Arabic" w:hAnsi="Traditional Arabic" w:cs="Traditional Arabic"/>
                <w:sz w:val="30"/>
                <w:szCs w:val="30"/>
                <w:lang w:bidi="ar-OM"/>
              </w:rPr>
            </w:pPr>
            <w:r w:rsidRPr="00B34641">
              <w:rPr>
                <w:rFonts w:ascii="Traditional Arabic" w:hAnsi="Traditional Arabic" w:cs="Traditional Arabic"/>
                <w:sz w:val="30"/>
                <w:szCs w:val="30"/>
                <w:rtl/>
                <w:lang w:bidi="ar-OM"/>
              </w:rPr>
              <w:t>مستثمرو الفئة الثانية</w:t>
            </w:r>
            <w:r w:rsidRPr="00B34641">
              <w:rPr>
                <w:rFonts w:ascii="Traditional Arabic" w:hAnsi="Traditional Arabic" w:cs="Traditional Arabic" w:hint="cs"/>
                <w:sz w:val="30"/>
                <w:szCs w:val="30"/>
                <w:rtl/>
                <w:lang w:bidi="ar-OM"/>
              </w:rPr>
              <w:t xml:space="preserve"> (كبار المستثمرين)</w:t>
            </w:r>
            <w:r w:rsidRPr="00B34641">
              <w:rPr>
                <w:rFonts w:ascii="Traditional Arabic" w:hAnsi="Traditional Arabic" w:cs="Traditional Arabic"/>
                <w:sz w:val="30"/>
                <w:szCs w:val="30"/>
                <w:rtl/>
                <w:lang w:bidi="ar-OM"/>
              </w:rPr>
              <w:t xml:space="preserve">: </w:t>
            </w:r>
            <w:r w:rsidR="00FF0494">
              <w:rPr>
                <w:rFonts w:ascii="Traditional Arabic" w:hAnsi="Traditional Arabic" w:cs="Traditional Arabic" w:hint="cs"/>
                <w:sz w:val="30"/>
                <w:szCs w:val="30"/>
                <w:rtl/>
                <w:lang w:bidi="ar-OM"/>
              </w:rPr>
              <w:t>81.400</w:t>
            </w:r>
            <w:r w:rsidR="00FF0494" w:rsidRPr="00B34641">
              <w:rPr>
                <w:rFonts w:ascii="Traditional Arabic" w:hAnsi="Traditional Arabic" w:cs="Traditional Arabic"/>
                <w:sz w:val="30"/>
                <w:szCs w:val="30"/>
                <w:rtl/>
                <w:lang w:bidi="ar-OM"/>
              </w:rPr>
              <w:t xml:space="preserve"> </w:t>
            </w:r>
            <w:r w:rsidRPr="00B34641">
              <w:rPr>
                <w:rFonts w:ascii="Traditional Arabic" w:hAnsi="Traditional Arabic" w:cs="Traditional Arabic" w:hint="cs"/>
                <w:sz w:val="30"/>
                <w:szCs w:val="30"/>
                <w:rtl/>
                <w:lang w:bidi="ar-OM"/>
              </w:rPr>
              <w:t>سهم</w:t>
            </w:r>
            <w:r w:rsidRPr="00B34641">
              <w:rPr>
                <w:rFonts w:ascii="Traditional Arabic" w:hAnsi="Traditional Arabic" w:cs="Traditional Arabic"/>
                <w:sz w:val="30"/>
                <w:szCs w:val="30"/>
                <w:rtl/>
                <w:lang w:bidi="ar-OM"/>
              </w:rPr>
              <w:t>، ومن ثم مضاعفات 100 سهم</w:t>
            </w:r>
            <w:r w:rsidRPr="00B34641">
              <w:rPr>
                <w:rFonts w:ascii="Traditional Arabic" w:hAnsi="Traditional Arabic" w:cs="Traditional Arabic" w:hint="cs"/>
                <w:sz w:val="30"/>
                <w:szCs w:val="30"/>
                <w:rtl/>
                <w:lang w:bidi="ar-OM"/>
              </w:rPr>
              <w:t xml:space="preserve"> بعد ذلك</w:t>
            </w:r>
            <w:r w:rsidRPr="00B34641">
              <w:rPr>
                <w:rFonts w:ascii="Traditional Arabic" w:hAnsi="Traditional Arabic" w:cs="Traditional Arabic"/>
                <w:sz w:val="30"/>
                <w:szCs w:val="30"/>
                <w:rtl/>
                <w:lang w:bidi="ar-OM"/>
              </w:rPr>
              <w:t>.</w:t>
            </w:r>
          </w:p>
          <w:p w14:paraId="2D4FD0EE" w14:textId="77777777" w:rsidR="005D05E7" w:rsidRPr="005D05E7" w:rsidRDefault="0086734D" w:rsidP="00922116">
            <w:pPr>
              <w:numPr>
                <w:ilvl w:val="0"/>
                <w:numId w:val="3"/>
              </w:numPr>
              <w:bidi/>
              <w:jc w:val="both"/>
              <w:rPr>
                <w:rFonts w:ascii="Traditional Arabic" w:hAnsi="Traditional Arabic" w:cs="Traditional Arabic"/>
                <w:sz w:val="30"/>
                <w:szCs w:val="30"/>
                <w:lang w:bidi="ar-OM"/>
              </w:rPr>
            </w:pPr>
            <w:r w:rsidRPr="00B34641">
              <w:rPr>
                <w:rFonts w:ascii="Traditional Arabic" w:hAnsi="Traditional Arabic" w:cs="Traditional Arabic"/>
                <w:sz w:val="30"/>
                <w:szCs w:val="30"/>
                <w:rtl/>
                <w:lang w:bidi="ar-OM"/>
              </w:rPr>
              <w:t>مستثمرو الفئة الثانية</w:t>
            </w:r>
            <w:r w:rsidRPr="00B34641">
              <w:rPr>
                <w:rFonts w:ascii="Traditional Arabic" w:hAnsi="Traditional Arabic" w:cs="Traditional Arabic" w:hint="cs"/>
                <w:sz w:val="30"/>
                <w:szCs w:val="30"/>
                <w:rtl/>
                <w:lang w:bidi="ar-OM"/>
              </w:rPr>
              <w:t xml:space="preserve"> (صغار المستثمرين)</w:t>
            </w:r>
            <w:r w:rsidRPr="00B34641">
              <w:rPr>
                <w:rFonts w:ascii="Traditional Arabic" w:hAnsi="Traditional Arabic" w:cs="Traditional Arabic"/>
                <w:sz w:val="30"/>
                <w:szCs w:val="30"/>
                <w:rtl/>
                <w:lang w:bidi="ar-OM"/>
              </w:rPr>
              <w:t xml:space="preserve">: </w:t>
            </w:r>
            <w:r w:rsidR="00FF0494">
              <w:rPr>
                <w:rFonts w:ascii="Traditional Arabic" w:hAnsi="Traditional Arabic" w:cs="Traditional Arabic" w:hint="cs"/>
                <w:sz w:val="30"/>
                <w:szCs w:val="30"/>
                <w:rtl/>
                <w:lang w:bidi="ar-OM"/>
              </w:rPr>
              <w:t>1.000</w:t>
            </w:r>
            <w:r w:rsidR="00FF0494" w:rsidRPr="00B34641">
              <w:rPr>
                <w:rFonts w:ascii="Traditional Arabic" w:hAnsi="Traditional Arabic" w:cs="Traditional Arabic" w:hint="cs"/>
                <w:sz w:val="30"/>
                <w:szCs w:val="30"/>
                <w:rtl/>
                <w:lang w:bidi="ar-OM"/>
              </w:rPr>
              <w:t xml:space="preserve"> </w:t>
            </w:r>
            <w:r w:rsidRPr="00B34641">
              <w:rPr>
                <w:rFonts w:ascii="Traditional Arabic" w:hAnsi="Traditional Arabic" w:cs="Traditional Arabic" w:hint="cs"/>
                <w:sz w:val="30"/>
                <w:szCs w:val="30"/>
                <w:rtl/>
                <w:lang w:bidi="ar-OM"/>
              </w:rPr>
              <w:t>سهم</w:t>
            </w:r>
            <w:r w:rsidR="005D05E7">
              <w:rPr>
                <w:rFonts w:ascii="Traditional Arabic" w:hAnsi="Traditional Arabic" w:cs="Traditional Arabic" w:hint="cs"/>
                <w:sz w:val="30"/>
                <w:szCs w:val="30"/>
                <w:rtl/>
                <w:lang w:bidi="ar-OM"/>
              </w:rPr>
              <w:t>.</w:t>
            </w:r>
          </w:p>
          <w:p w14:paraId="6A0F06BC" w14:textId="77777777" w:rsidR="00B9223D" w:rsidRPr="00EB5BCF" w:rsidRDefault="0086734D" w:rsidP="00272B36">
            <w:pPr>
              <w:bidi/>
              <w:jc w:val="both"/>
              <w:rPr>
                <w:rFonts w:ascii="Traditional Arabic" w:hAnsi="Traditional Arabic" w:cs="Traditional Arabic"/>
                <w:sz w:val="30"/>
                <w:szCs w:val="30"/>
                <w:rtl/>
                <w:lang w:bidi="ar-OM"/>
              </w:rPr>
            </w:pPr>
            <w:r w:rsidRPr="00B34641">
              <w:rPr>
                <w:rFonts w:ascii="Traditional Arabic" w:hAnsi="Traditional Arabic" w:cs="Traditional Arabic"/>
                <w:sz w:val="30"/>
                <w:szCs w:val="30"/>
                <w:rtl/>
                <w:lang w:bidi="ar-OM"/>
              </w:rPr>
              <w:t xml:space="preserve"> </w:t>
            </w:r>
          </w:p>
        </w:tc>
      </w:tr>
      <w:tr w:rsidR="00B9223D" w:rsidRPr="00EB5BCF" w14:paraId="2127B63B" w14:textId="77777777" w:rsidTr="004C2C8B">
        <w:tc>
          <w:tcPr>
            <w:tcW w:w="2516" w:type="dxa"/>
          </w:tcPr>
          <w:p w14:paraId="6C52781E" w14:textId="77777777" w:rsidR="00B9223D" w:rsidRPr="00EB5BCF" w:rsidRDefault="00B9223D" w:rsidP="00B9223D">
            <w:pPr>
              <w:bidi/>
              <w:jc w:val="both"/>
              <w:rPr>
                <w:rFonts w:ascii="Traditional Arabic" w:hAnsi="Traditional Arabic" w:cs="Traditional Arabic"/>
                <w:bCs/>
                <w:sz w:val="30"/>
                <w:szCs w:val="30"/>
                <w:rtl/>
              </w:rPr>
            </w:pPr>
            <w:r w:rsidRPr="00EB5BCF">
              <w:rPr>
                <w:rFonts w:ascii="Traditional Arabic" w:hAnsi="Traditional Arabic" w:cs="Traditional Arabic"/>
                <w:bCs/>
                <w:sz w:val="30"/>
                <w:szCs w:val="30"/>
                <w:rtl/>
              </w:rPr>
              <w:t xml:space="preserve">الحد الأقصى للاكتتاب في الأسهم المطروحة من قبل كل </w:t>
            </w:r>
            <w:r w:rsidR="007C1B7D" w:rsidRPr="00EB5BCF">
              <w:rPr>
                <w:rFonts w:ascii="Traditional Arabic" w:hAnsi="Traditional Arabic" w:cs="Traditional Arabic" w:hint="eastAsia"/>
                <w:bCs/>
                <w:sz w:val="30"/>
                <w:szCs w:val="30"/>
                <w:rtl/>
              </w:rPr>
              <w:t>مستثمر</w:t>
            </w:r>
          </w:p>
        </w:tc>
        <w:tc>
          <w:tcPr>
            <w:tcW w:w="6834" w:type="dxa"/>
          </w:tcPr>
          <w:p w14:paraId="32D71468" w14:textId="77777777" w:rsidR="00B9223D" w:rsidRDefault="00B9223D" w:rsidP="00922116">
            <w:pPr>
              <w:pStyle w:val="ListParagraph"/>
              <w:numPr>
                <w:ilvl w:val="0"/>
                <w:numId w:val="3"/>
              </w:numPr>
              <w:tabs>
                <w:tab w:val="left" w:leader="dot" w:pos="3672"/>
              </w:tabs>
              <w:bidi/>
              <w:jc w:val="both"/>
              <w:rPr>
                <w:rFonts w:ascii="Traditional Arabic" w:hAnsi="Traditional Arabic" w:cs="Traditional Arabic"/>
                <w:sz w:val="30"/>
                <w:szCs w:val="30"/>
                <w:lang w:bidi="ar-OM"/>
              </w:rPr>
            </w:pPr>
            <w:r w:rsidRPr="00EB5BCF">
              <w:rPr>
                <w:rFonts w:ascii="Traditional Arabic" w:hAnsi="Traditional Arabic" w:cs="Traditional Arabic"/>
                <w:sz w:val="30"/>
                <w:szCs w:val="30"/>
                <w:rtl/>
                <w:lang w:bidi="ar-OM"/>
              </w:rPr>
              <w:t>مستثمرو</w:t>
            </w:r>
            <w:r w:rsidR="005E11AB">
              <w:rPr>
                <w:rFonts w:ascii="Traditional Arabic" w:hAnsi="Traditional Arabic" w:cs="Traditional Arabic" w:hint="cs"/>
                <w:sz w:val="30"/>
                <w:szCs w:val="30"/>
                <w:rtl/>
                <w:lang w:bidi="ar-OM"/>
              </w:rPr>
              <w:t xml:space="preserve"> الفئة</w:t>
            </w:r>
            <w:r w:rsidRPr="00EB5BCF">
              <w:rPr>
                <w:rFonts w:ascii="Traditional Arabic" w:hAnsi="Traditional Arabic" w:cs="Traditional Arabic"/>
                <w:sz w:val="30"/>
                <w:szCs w:val="30"/>
                <w:rtl/>
                <w:lang w:bidi="ar-OM"/>
              </w:rPr>
              <w:t xml:space="preserve"> الأولى</w:t>
            </w:r>
            <w:r w:rsidR="005E11AB">
              <w:rPr>
                <w:rFonts w:ascii="Traditional Arabic" w:hAnsi="Traditional Arabic" w:cs="Traditional Arabic" w:hint="cs"/>
                <w:sz w:val="30"/>
                <w:szCs w:val="30"/>
                <w:rtl/>
                <w:lang w:bidi="ar-OM"/>
              </w:rPr>
              <w:t>: لا يوجد حد أقصى</w:t>
            </w:r>
            <w:r w:rsidRPr="00EB5BCF">
              <w:rPr>
                <w:rFonts w:ascii="Traditional Arabic" w:hAnsi="Traditional Arabic" w:cs="Traditional Arabic"/>
                <w:sz w:val="30"/>
                <w:szCs w:val="30"/>
                <w:rtl/>
                <w:lang w:bidi="ar-OM"/>
              </w:rPr>
              <w:t>.</w:t>
            </w:r>
          </w:p>
          <w:p w14:paraId="003696DA" w14:textId="77777777" w:rsidR="004F36C3" w:rsidRPr="00785453" w:rsidRDefault="004F36C3" w:rsidP="00922116">
            <w:pPr>
              <w:pStyle w:val="ListParagraph"/>
              <w:numPr>
                <w:ilvl w:val="0"/>
                <w:numId w:val="3"/>
              </w:numPr>
              <w:tabs>
                <w:tab w:val="left" w:leader="dot" w:pos="3672"/>
              </w:tabs>
              <w:bidi/>
              <w:jc w:val="both"/>
              <w:rPr>
                <w:rFonts w:ascii="Traditional Arabic" w:hAnsi="Traditional Arabic" w:cs="Traditional Arabic"/>
                <w:sz w:val="30"/>
                <w:szCs w:val="30"/>
              </w:rPr>
            </w:pPr>
            <w:r w:rsidRPr="00785453">
              <w:rPr>
                <w:rFonts w:ascii="Traditional Arabic" w:hAnsi="Traditional Arabic" w:cs="Traditional Arabic"/>
                <w:sz w:val="30"/>
                <w:szCs w:val="30"/>
                <w:rtl/>
                <w:lang w:bidi="ar-OM"/>
              </w:rPr>
              <w:t>مستثمرو الفئة الثانية</w:t>
            </w:r>
            <w:r w:rsidRPr="00785453">
              <w:rPr>
                <w:rFonts w:ascii="Traditional Arabic" w:hAnsi="Traditional Arabic" w:cs="Traditional Arabic" w:hint="cs"/>
                <w:sz w:val="30"/>
                <w:szCs w:val="30"/>
                <w:rtl/>
                <w:lang w:bidi="ar-OM"/>
              </w:rPr>
              <w:t xml:space="preserve"> (كبار المستثمرين)</w:t>
            </w:r>
            <w:r w:rsidRPr="00785453">
              <w:rPr>
                <w:rFonts w:ascii="Traditional Arabic" w:hAnsi="Traditional Arabic" w:cs="Traditional Arabic"/>
                <w:sz w:val="30"/>
                <w:szCs w:val="30"/>
                <w:rtl/>
                <w:lang w:bidi="ar-OM"/>
              </w:rPr>
              <w:t>: لا يوجد حد أقصى.</w:t>
            </w:r>
          </w:p>
          <w:p w14:paraId="4945DE18" w14:textId="77777777" w:rsidR="004F36C3" w:rsidRPr="00785453" w:rsidRDefault="004F36C3" w:rsidP="00922116">
            <w:pPr>
              <w:pStyle w:val="ListParagraph"/>
              <w:numPr>
                <w:ilvl w:val="0"/>
                <w:numId w:val="3"/>
              </w:numPr>
              <w:tabs>
                <w:tab w:val="left" w:leader="dot" w:pos="3672"/>
              </w:tabs>
              <w:bidi/>
              <w:jc w:val="both"/>
              <w:rPr>
                <w:rFonts w:ascii="Traditional Arabic" w:hAnsi="Traditional Arabic" w:cs="Traditional Arabic"/>
                <w:sz w:val="30"/>
                <w:szCs w:val="30"/>
              </w:rPr>
            </w:pPr>
            <w:r w:rsidRPr="00785453">
              <w:rPr>
                <w:rFonts w:ascii="Traditional Arabic" w:hAnsi="Traditional Arabic" w:cs="Traditional Arabic"/>
                <w:sz w:val="30"/>
                <w:szCs w:val="30"/>
                <w:rtl/>
                <w:lang w:bidi="ar-OM"/>
              </w:rPr>
              <w:t>مستثمرو الفئة الثانية</w:t>
            </w:r>
            <w:r w:rsidRPr="00785453">
              <w:rPr>
                <w:rFonts w:ascii="Traditional Arabic" w:hAnsi="Traditional Arabic" w:cs="Traditional Arabic" w:hint="cs"/>
                <w:sz w:val="30"/>
                <w:szCs w:val="30"/>
                <w:rtl/>
                <w:lang w:bidi="ar-OM"/>
              </w:rPr>
              <w:t xml:space="preserve"> (صغار المستثمرين)</w:t>
            </w:r>
            <w:r w:rsidRPr="00785453">
              <w:rPr>
                <w:rFonts w:ascii="Traditional Arabic" w:hAnsi="Traditional Arabic" w:cs="Traditional Arabic"/>
                <w:sz w:val="30"/>
                <w:szCs w:val="30"/>
                <w:rtl/>
                <w:lang w:bidi="ar-OM"/>
              </w:rPr>
              <w:t>:</w:t>
            </w:r>
            <w:r w:rsidRPr="00785453">
              <w:rPr>
                <w:rFonts w:ascii="Traditional Arabic" w:hAnsi="Traditional Arabic" w:cs="Traditional Arabic" w:hint="cs"/>
                <w:sz w:val="30"/>
                <w:szCs w:val="30"/>
                <w:rtl/>
                <w:lang w:bidi="ar-OM"/>
              </w:rPr>
              <w:t xml:space="preserve"> </w:t>
            </w:r>
            <w:r w:rsidR="00472715" w:rsidRPr="00A81984">
              <w:rPr>
                <w:rFonts w:ascii="Traditional Arabic" w:hAnsi="Traditional Arabic" w:cs="Traditional Arabic" w:hint="cs"/>
                <w:sz w:val="30"/>
                <w:szCs w:val="30"/>
                <w:rtl/>
                <w:lang w:bidi="ar-OM"/>
              </w:rPr>
              <w:t>81.300</w:t>
            </w:r>
            <w:r w:rsidR="00472715"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hint="cs"/>
                <w:sz w:val="30"/>
                <w:szCs w:val="30"/>
                <w:rtl/>
                <w:lang w:bidi="ar-OM"/>
              </w:rPr>
              <w:t>سهم.</w:t>
            </w:r>
          </w:p>
          <w:p w14:paraId="186621B4" w14:textId="5768FAF1" w:rsidR="00B9223D" w:rsidRPr="004F36C3" w:rsidRDefault="00F9167B" w:rsidP="007F752A">
            <w:pPr>
              <w:tabs>
                <w:tab w:val="left" w:leader="dot" w:pos="3672"/>
              </w:tabs>
              <w:bidi/>
              <w:jc w:val="both"/>
              <w:rPr>
                <w:rFonts w:ascii="Traditional Arabic" w:hAnsi="Traditional Arabic" w:cs="Traditional Arabic"/>
                <w:sz w:val="30"/>
                <w:szCs w:val="30"/>
                <w:rtl/>
              </w:rPr>
            </w:pPr>
            <w:r>
              <w:rPr>
                <w:rFonts w:ascii="Traditional Arabic" w:hAnsi="Traditional Arabic" w:cs="Traditional Arabic" w:hint="cs"/>
                <w:sz w:val="30"/>
                <w:szCs w:val="30"/>
                <w:rtl/>
                <w:lang w:bidi="ar-OM"/>
              </w:rPr>
              <w:t xml:space="preserve">وفي كل الأحوال، لا يجوز تخصيص أكثر من </w:t>
            </w:r>
            <w:r w:rsidR="008625AB">
              <w:rPr>
                <w:rFonts w:ascii="Traditional Arabic" w:hAnsi="Traditional Arabic" w:cs="Traditional Arabic" w:hint="cs"/>
                <w:sz w:val="30"/>
                <w:szCs w:val="30"/>
                <w:rtl/>
                <w:lang w:bidi="ar-OM"/>
              </w:rPr>
              <w:t>20</w:t>
            </w:r>
            <w:r>
              <w:rPr>
                <w:rFonts w:ascii="Traditional Arabic" w:hAnsi="Traditional Arabic" w:cs="Traditional Arabic" w:hint="cs"/>
                <w:sz w:val="30"/>
                <w:szCs w:val="30"/>
                <w:rtl/>
                <w:lang w:bidi="ar-OM"/>
              </w:rPr>
              <w:t>% من أسهم الطرح</w:t>
            </w:r>
            <w:r w:rsidR="008625AB">
              <w:rPr>
                <w:rFonts w:ascii="Traditional Arabic" w:hAnsi="Traditional Arabic" w:cs="Traditional Arabic" w:hint="cs"/>
                <w:sz w:val="30"/>
                <w:szCs w:val="30"/>
                <w:rtl/>
                <w:lang w:bidi="ar-OM"/>
              </w:rPr>
              <w:t xml:space="preserve"> لأي </w:t>
            </w:r>
            <w:r w:rsidR="00F5293C">
              <w:rPr>
                <w:rFonts w:ascii="Traditional Arabic" w:hAnsi="Traditional Arabic" w:cs="Traditional Arabic" w:hint="cs"/>
                <w:sz w:val="30"/>
                <w:szCs w:val="30"/>
                <w:rtl/>
                <w:lang w:bidi="ar-OM"/>
              </w:rPr>
              <w:t xml:space="preserve">من المستثمرين الرئيسيين، </w:t>
            </w:r>
            <w:r w:rsidR="00810E07">
              <w:rPr>
                <w:rFonts w:ascii="Traditional Arabic" w:hAnsi="Traditional Arabic" w:cs="Traditional Arabic" w:hint="cs"/>
                <w:sz w:val="30"/>
                <w:szCs w:val="30"/>
                <w:rtl/>
                <w:lang w:bidi="ar-OM"/>
              </w:rPr>
              <w:t xml:space="preserve">ويمكن </w:t>
            </w:r>
            <w:r w:rsidR="00F5293C">
              <w:rPr>
                <w:rFonts w:ascii="Traditional Arabic" w:hAnsi="Traditional Arabic" w:cs="Traditional Arabic" w:hint="cs"/>
                <w:sz w:val="30"/>
                <w:szCs w:val="30"/>
                <w:rtl/>
                <w:lang w:bidi="ar-OM"/>
              </w:rPr>
              <w:t xml:space="preserve">تخصيص </w:t>
            </w:r>
            <w:r w:rsidR="009254A5">
              <w:rPr>
                <w:rFonts w:ascii="Traditional Arabic" w:hAnsi="Traditional Arabic" w:cs="Traditional Arabic" w:hint="cs"/>
                <w:sz w:val="30"/>
                <w:szCs w:val="30"/>
                <w:rtl/>
                <w:lang w:bidi="ar-OM"/>
              </w:rPr>
              <w:t xml:space="preserve">أكثر </w:t>
            </w:r>
            <w:r w:rsidR="00F5293C">
              <w:rPr>
                <w:rFonts w:ascii="Traditional Arabic" w:hAnsi="Traditional Arabic" w:cs="Traditional Arabic" w:hint="cs"/>
                <w:sz w:val="30"/>
                <w:szCs w:val="30"/>
                <w:rtl/>
                <w:lang w:bidi="ar-OM"/>
              </w:rPr>
              <w:t xml:space="preserve">من </w:t>
            </w:r>
            <w:r w:rsidR="009254A5">
              <w:rPr>
                <w:rFonts w:ascii="Traditional Arabic" w:hAnsi="Traditional Arabic" w:cs="Traditional Arabic" w:hint="cs"/>
                <w:sz w:val="30"/>
                <w:szCs w:val="30"/>
                <w:rtl/>
                <w:lang w:bidi="ar-OM"/>
              </w:rPr>
              <w:t>10</w:t>
            </w:r>
            <w:r w:rsidR="00F5293C">
              <w:rPr>
                <w:rFonts w:ascii="Traditional Arabic" w:hAnsi="Traditional Arabic" w:cs="Traditional Arabic" w:hint="cs"/>
                <w:sz w:val="30"/>
                <w:szCs w:val="30"/>
                <w:rtl/>
                <w:lang w:bidi="ar-OM"/>
              </w:rPr>
              <w:t>% من أسهم الطرح</w:t>
            </w:r>
            <w:r>
              <w:rPr>
                <w:rFonts w:ascii="Traditional Arabic" w:hAnsi="Traditional Arabic" w:cs="Traditional Arabic" w:hint="cs"/>
                <w:sz w:val="30"/>
                <w:szCs w:val="30"/>
                <w:rtl/>
                <w:lang w:bidi="ar-OM"/>
              </w:rPr>
              <w:t xml:space="preserve"> </w:t>
            </w:r>
            <w:r w:rsidR="0098389D">
              <w:rPr>
                <w:rFonts w:ascii="Traditional Arabic" w:hAnsi="Traditional Arabic" w:cs="Traditional Arabic" w:hint="cs"/>
                <w:sz w:val="30"/>
                <w:szCs w:val="30"/>
                <w:rtl/>
                <w:lang w:bidi="ar-OM"/>
              </w:rPr>
              <w:t>لأي من م</w:t>
            </w:r>
            <w:r w:rsidR="003D78FD">
              <w:rPr>
                <w:rFonts w:ascii="Traditional Arabic" w:hAnsi="Traditional Arabic" w:cs="Traditional Arabic" w:hint="cs"/>
                <w:sz w:val="30"/>
                <w:szCs w:val="30"/>
                <w:rtl/>
                <w:lang w:bidi="ar-OM"/>
              </w:rPr>
              <w:t>ق</w:t>
            </w:r>
            <w:r w:rsidR="0098389D">
              <w:rPr>
                <w:rFonts w:ascii="Traditional Arabic" w:hAnsi="Traditional Arabic" w:cs="Traditional Arabic" w:hint="cs"/>
                <w:sz w:val="30"/>
                <w:szCs w:val="30"/>
                <w:rtl/>
                <w:lang w:bidi="ar-OM"/>
              </w:rPr>
              <w:t>دمي الطلبات من الفئة الأولى</w:t>
            </w:r>
            <w:r w:rsidR="00A342C1">
              <w:rPr>
                <w:rFonts w:ascii="Traditional Arabic" w:hAnsi="Traditional Arabic" w:cs="Traditional Arabic" w:hint="cs"/>
                <w:sz w:val="30"/>
                <w:szCs w:val="30"/>
                <w:rtl/>
                <w:lang w:bidi="ar-OM"/>
              </w:rPr>
              <w:t xml:space="preserve"> </w:t>
            </w:r>
            <w:r>
              <w:rPr>
                <w:rFonts w:ascii="Traditional Arabic" w:hAnsi="Traditional Arabic" w:cs="Traditional Arabic" w:hint="cs"/>
                <w:sz w:val="30"/>
                <w:szCs w:val="30"/>
                <w:rtl/>
                <w:lang w:bidi="ar-OM"/>
              </w:rPr>
              <w:t>.</w:t>
            </w:r>
          </w:p>
        </w:tc>
      </w:tr>
      <w:tr w:rsidR="000B556F" w:rsidRPr="00EB5BCF" w14:paraId="02D2AE66" w14:textId="77777777" w:rsidTr="004C2C8B">
        <w:tc>
          <w:tcPr>
            <w:tcW w:w="2516" w:type="dxa"/>
          </w:tcPr>
          <w:p w14:paraId="0B86C5FC" w14:textId="77777777" w:rsidR="000B556F" w:rsidRPr="00EB5BCF" w:rsidRDefault="000B556F" w:rsidP="00B9223D">
            <w:pPr>
              <w:bidi/>
              <w:jc w:val="both"/>
              <w:rPr>
                <w:rFonts w:ascii="Traditional Arabic" w:hAnsi="Traditional Arabic" w:cs="Traditional Arabic"/>
                <w:bCs/>
                <w:sz w:val="30"/>
                <w:szCs w:val="30"/>
                <w:rtl/>
              </w:rPr>
            </w:pPr>
            <w:r>
              <w:rPr>
                <w:rFonts w:ascii="Traditional Arabic" w:hAnsi="Traditional Arabic" w:cs="Traditional Arabic" w:hint="cs"/>
                <w:bCs/>
                <w:sz w:val="30"/>
                <w:szCs w:val="30"/>
                <w:rtl/>
              </w:rPr>
              <w:t>الحد الأقصى للاكتتاب في أسهم الطرح من قبل المستثمرين الرئيسيين</w:t>
            </w:r>
          </w:p>
        </w:tc>
        <w:tc>
          <w:tcPr>
            <w:tcW w:w="6834" w:type="dxa"/>
          </w:tcPr>
          <w:p w14:paraId="4C661223" w14:textId="77777777" w:rsidR="000B556F" w:rsidRPr="00EB5BCF" w:rsidRDefault="001F24B8" w:rsidP="00922116">
            <w:pPr>
              <w:pStyle w:val="ListParagraph"/>
              <w:numPr>
                <w:ilvl w:val="0"/>
                <w:numId w:val="3"/>
              </w:numPr>
              <w:tabs>
                <w:tab w:val="left" w:leader="dot" w:pos="3672"/>
              </w:tabs>
              <w:bidi/>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208.</w:t>
            </w:r>
            <w:r w:rsidR="00A42D51">
              <w:rPr>
                <w:rFonts w:ascii="Traditional Arabic" w:hAnsi="Traditional Arabic" w:cs="Traditional Arabic" w:hint="cs"/>
                <w:sz w:val="30"/>
                <w:szCs w:val="30"/>
                <w:rtl/>
                <w:lang w:bidi="ar-OM"/>
              </w:rPr>
              <w:t>349.7</w:t>
            </w:r>
            <w:r w:rsidR="00BC4871">
              <w:rPr>
                <w:rFonts w:ascii="Traditional Arabic" w:hAnsi="Traditional Arabic" w:cs="Traditional Arabic" w:hint="cs"/>
                <w:sz w:val="30"/>
                <w:szCs w:val="30"/>
                <w:rtl/>
                <w:lang w:bidi="ar-OM"/>
              </w:rPr>
              <w:t>7</w:t>
            </w:r>
            <w:r w:rsidR="00A42D51">
              <w:rPr>
                <w:rFonts w:ascii="Traditional Arabic" w:hAnsi="Traditional Arabic" w:cs="Traditional Arabic" w:hint="cs"/>
                <w:sz w:val="30"/>
                <w:szCs w:val="30"/>
                <w:rtl/>
                <w:lang w:bidi="ar-OM"/>
              </w:rPr>
              <w:t>1</w:t>
            </w:r>
            <w:r>
              <w:rPr>
                <w:rFonts w:ascii="Traditional Arabic" w:hAnsi="Traditional Arabic" w:cs="Traditional Arabic" w:hint="cs"/>
                <w:sz w:val="30"/>
                <w:szCs w:val="30"/>
                <w:rtl/>
                <w:lang w:bidi="ar-OM"/>
              </w:rPr>
              <w:t xml:space="preserve"> </w:t>
            </w:r>
            <w:r w:rsidR="000B556F">
              <w:rPr>
                <w:rFonts w:ascii="Traditional Arabic" w:hAnsi="Traditional Arabic" w:cs="Traditional Arabic" w:hint="cs"/>
                <w:sz w:val="30"/>
                <w:szCs w:val="30"/>
                <w:rtl/>
                <w:lang w:bidi="ar-OM"/>
              </w:rPr>
              <w:t xml:space="preserve">سهم (بما يعادل </w:t>
            </w:r>
            <w:r w:rsidR="00A42D51">
              <w:rPr>
                <w:rFonts w:ascii="Traditional Arabic" w:hAnsi="Traditional Arabic" w:cs="Traditional Arabic" w:hint="cs"/>
                <w:sz w:val="30"/>
                <w:szCs w:val="30"/>
                <w:rtl/>
                <w:lang w:bidi="ar-OM"/>
              </w:rPr>
              <w:t xml:space="preserve">20 </w:t>
            </w:r>
            <w:r w:rsidR="004F36C3">
              <w:rPr>
                <w:rFonts w:ascii="Traditional Arabic" w:hAnsi="Traditional Arabic" w:cs="Traditional Arabic" w:hint="cs"/>
                <w:sz w:val="30"/>
                <w:szCs w:val="30"/>
                <w:rtl/>
                <w:lang w:bidi="ar-OM"/>
              </w:rPr>
              <w:t xml:space="preserve">% </w:t>
            </w:r>
            <w:r w:rsidR="000B556F">
              <w:rPr>
                <w:rFonts w:ascii="Traditional Arabic" w:hAnsi="Traditional Arabic" w:cs="Traditional Arabic" w:hint="cs"/>
                <w:sz w:val="30"/>
                <w:szCs w:val="30"/>
                <w:rtl/>
                <w:lang w:bidi="ar-OM"/>
              </w:rPr>
              <w:t>من أسهم الطرح)</w:t>
            </w:r>
          </w:p>
        </w:tc>
      </w:tr>
      <w:tr w:rsidR="00875310" w:rsidRPr="00EB5BCF" w14:paraId="1F6CEF6A" w14:textId="77777777" w:rsidTr="004C2C8B">
        <w:tc>
          <w:tcPr>
            <w:tcW w:w="2516" w:type="dxa"/>
          </w:tcPr>
          <w:p w14:paraId="67791ED2" w14:textId="77777777" w:rsidR="00875310" w:rsidRPr="005A7C29" w:rsidRDefault="00875310" w:rsidP="00875310">
            <w:pPr>
              <w:bidi/>
              <w:rPr>
                <w:rFonts w:ascii="Traditional Arabic" w:hAnsi="Traditional Arabic" w:cs="Traditional Arabic"/>
                <w:bCs/>
                <w:sz w:val="30"/>
                <w:szCs w:val="30"/>
                <w:rtl/>
              </w:rPr>
            </w:pPr>
            <w:r w:rsidRPr="00EB5BCF">
              <w:rPr>
                <w:rFonts w:ascii="Traditional Arabic" w:hAnsi="Traditional Arabic" w:cs="Traditional Arabic"/>
                <w:b/>
                <w:bCs/>
                <w:sz w:val="30"/>
                <w:szCs w:val="30"/>
                <w:rtl/>
                <w:lang w:val="en-GB"/>
              </w:rPr>
              <w:t>موعد فتح باب الاكتتاب</w:t>
            </w:r>
            <w:r w:rsidR="005157F9">
              <w:rPr>
                <w:rFonts w:ascii="Traditional Arabic" w:hAnsi="Traditional Arabic" w:cs="Traditional Arabic" w:hint="cs"/>
                <w:b/>
                <w:bCs/>
                <w:sz w:val="30"/>
                <w:szCs w:val="30"/>
                <w:rtl/>
                <w:lang w:val="en-GB"/>
              </w:rPr>
              <w:t xml:space="preserve"> في </w:t>
            </w:r>
            <w:r w:rsidR="004102DA">
              <w:rPr>
                <w:rFonts w:ascii="Traditional Arabic" w:hAnsi="Traditional Arabic" w:cs="Traditional Arabic" w:hint="cs"/>
                <w:b/>
                <w:bCs/>
                <w:sz w:val="30"/>
                <w:szCs w:val="30"/>
                <w:rtl/>
                <w:lang w:val="en-GB"/>
              </w:rPr>
              <w:t xml:space="preserve">الفئة </w:t>
            </w:r>
            <w:r w:rsidR="005157F9">
              <w:rPr>
                <w:rFonts w:ascii="Traditional Arabic" w:hAnsi="Traditional Arabic" w:cs="Traditional Arabic" w:hint="cs"/>
                <w:b/>
                <w:bCs/>
                <w:sz w:val="30"/>
                <w:szCs w:val="30"/>
                <w:rtl/>
                <w:lang w:val="en-GB"/>
              </w:rPr>
              <w:t>الأولى</w:t>
            </w:r>
            <w:r w:rsidRPr="00EB5BCF">
              <w:rPr>
                <w:rFonts w:ascii="Traditional Arabic" w:hAnsi="Traditional Arabic" w:cs="Traditional Arabic"/>
                <w:b/>
                <w:bCs/>
                <w:sz w:val="30"/>
                <w:szCs w:val="30"/>
                <w:rtl/>
                <w:lang w:val="en-GB"/>
              </w:rPr>
              <w:t xml:space="preserve"> </w:t>
            </w:r>
          </w:p>
        </w:tc>
        <w:tc>
          <w:tcPr>
            <w:tcW w:w="6834" w:type="dxa"/>
          </w:tcPr>
          <w:p w14:paraId="2CA05F18" w14:textId="77777777" w:rsidR="00875310" w:rsidRPr="00EB5BCF" w:rsidRDefault="000E32B2" w:rsidP="00875310">
            <w:pPr>
              <w:tabs>
                <w:tab w:val="left" w:leader="dot" w:pos="3672"/>
              </w:tabs>
              <w:bidi/>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val="en-GB"/>
              </w:rPr>
              <w:t xml:space="preserve">20 </w:t>
            </w:r>
            <w:r w:rsidR="003D78FD">
              <w:rPr>
                <w:rFonts w:ascii="Traditional Arabic" w:hAnsi="Traditional Arabic" w:cs="Traditional Arabic" w:hint="cs"/>
                <w:sz w:val="30"/>
                <w:szCs w:val="30"/>
                <w:rtl/>
                <w:lang w:val="en-GB"/>
              </w:rPr>
              <w:t>فبراير 2025</w:t>
            </w:r>
            <w:r w:rsidR="003D78FD" w:rsidRPr="00EB5BCF">
              <w:rPr>
                <w:rFonts w:ascii="Traditional Arabic" w:hAnsi="Traditional Arabic" w:cs="Traditional Arabic"/>
                <w:sz w:val="30"/>
                <w:szCs w:val="30"/>
                <w:rtl/>
                <w:lang w:bidi="ar-OM"/>
              </w:rPr>
              <w:t xml:space="preserve"> </w:t>
            </w:r>
          </w:p>
        </w:tc>
      </w:tr>
      <w:tr w:rsidR="00875310" w:rsidRPr="00EB5BCF" w14:paraId="60F0552F" w14:textId="77777777" w:rsidTr="004C2C8B">
        <w:tc>
          <w:tcPr>
            <w:tcW w:w="2516" w:type="dxa"/>
          </w:tcPr>
          <w:p w14:paraId="31298B3A" w14:textId="77777777" w:rsidR="00875310" w:rsidRPr="00EB5BCF" w:rsidRDefault="00875310" w:rsidP="00875310">
            <w:pPr>
              <w:bidi/>
              <w:spacing w:before="120"/>
              <w:mirrorIndents/>
              <w:jc w:val="both"/>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rPr>
              <w:t xml:space="preserve">موعد إغلاق باب الاكتتاب </w:t>
            </w:r>
            <w:r w:rsidR="005157F9">
              <w:rPr>
                <w:rFonts w:ascii="Traditional Arabic" w:hAnsi="Traditional Arabic" w:cs="Traditional Arabic" w:hint="cs"/>
                <w:b/>
                <w:bCs/>
                <w:sz w:val="30"/>
                <w:szCs w:val="30"/>
                <w:rtl/>
                <w:lang w:val="en-GB"/>
              </w:rPr>
              <w:t xml:space="preserve">في </w:t>
            </w:r>
            <w:r w:rsidR="004102DA">
              <w:rPr>
                <w:rFonts w:ascii="Traditional Arabic" w:hAnsi="Traditional Arabic" w:cs="Traditional Arabic" w:hint="cs"/>
                <w:b/>
                <w:bCs/>
                <w:sz w:val="30"/>
                <w:szCs w:val="30"/>
                <w:rtl/>
                <w:lang w:val="en-GB"/>
              </w:rPr>
              <w:t xml:space="preserve">الفئة </w:t>
            </w:r>
            <w:r w:rsidR="005157F9">
              <w:rPr>
                <w:rFonts w:ascii="Traditional Arabic" w:hAnsi="Traditional Arabic" w:cs="Traditional Arabic" w:hint="cs"/>
                <w:b/>
                <w:bCs/>
                <w:sz w:val="30"/>
                <w:szCs w:val="30"/>
                <w:rtl/>
                <w:lang w:val="en-GB"/>
              </w:rPr>
              <w:t>ال</w:t>
            </w:r>
            <w:r w:rsidR="00466759">
              <w:rPr>
                <w:rFonts w:ascii="Traditional Arabic" w:hAnsi="Traditional Arabic" w:cs="Traditional Arabic" w:hint="cs"/>
                <w:b/>
                <w:bCs/>
                <w:sz w:val="30"/>
                <w:szCs w:val="30"/>
                <w:rtl/>
                <w:lang w:val="en-GB"/>
              </w:rPr>
              <w:t>أولى</w:t>
            </w:r>
          </w:p>
          <w:p w14:paraId="21CF021E" w14:textId="77777777" w:rsidR="00875310" w:rsidRPr="00EB5BCF" w:rsidRDefault="00875310" w:rsidP="00875310">
            <w:pPr>
              <w:bidi/>
              <w:rPr>
                <w:rFonts w:ascii="Traditional Arabic" w:hAnsi="Traditional Arabic" w:cs="Traditional Arabic"/>
                <w:bCs/>
                <w:sz w:val="30"/>
                <w:szCs w:val="30"/>
                <w:rtl/>
              </w:rPr>
            </w:pPr>
          </w:p>
        </w:tc>
        <w:tc>
          <w:tcPr>
            <w:tcW w:w="6834" w:type="dxa"/>
          </w:tcPr>
          <w:p w14:paraId="1D910EC5" w14:textId="77777777" w:rsidR="00875310" w:rsidRPr="00EB5BCF" w:rsidRDefault="000E32B2" w:rsidP="00875310">
            <w:pPr>
              <w:tabs>
                <w:tab w:val="left" w:leader="dot" w:pos="3672"/>
              </w:tabs>
              <w:bidi/>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val="en-GB"/>
              </w:rPr>
              <w:t xml:space="preserve">27 </w:t>
            </w:r>
            <w:r w:rsidR="003D78FD">
              <w:rPr>
                <w:rFonts w:ascii="Traditional Arabic" w:hAnsi="Traditional Arabic" w:cs="Traditional Arabic" w:hint="cs"/>
                <w:sz w:val="30"/>
                <w:szCs w:val="30"/>
                <w:rtl/>
                <w:lang w:val="en-GB"/>
              </w:rPr>
              <w:t>فبراير 2025</w:t>
            </w:r>
            <w:r w:rsidR="003D78FD" w:rsidRPr="00EB5BCF">
              <w:rPr>
                <w:rFonts w:ascii="Traditional Arabic" w:hAnsi="Traditional Arabic" w:cs="Traditional Arabic"/>
                <w:sz w:val="30"/>
                <w:szCs w:val="30"/>
                <w:rtl/>
                <w:lang w:bidi="ar-OM"/>
              </w:rPr>
              <w:t xml:space="preserve"> </w:t>
            </w:r>
          </w:p>
        </w:tc>
      </w:tr>
      <w:tr w:rsidR="004102DA" w:rsidRPr="00EB5BCF" w14:paraId="31220F85" w14:textId="77777777" w:rsidTr="004C2C8B">
        <w:tc>
          <w:tcPr>
            <w:tcW w:w="2516" w:type="dxa"/>
          </w:tcPr>
          <w:p w14:paraId="7F00E00F" w14:textId="77777777" w:rsidR="004102DA" w:rsidRPr="00EB5BCF" w:rsidRDefault="004102DA" w:rsidP="004102DA">
            <w:pPr>
              <w:bidi/>
              <w:spacing w:before="120"/>
              <w:mirrorIndents/>
              <w:jc w:val="both"/>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rPr>
              <w:t>موعد فتح باب الاكتتاب</w:t>
            </w:r>
            <w:r>
              <w:rPr>
                <w:rFonts w:ascii="Traditional Arabic" w:hAnsi="Traditional Arabic" w:cs="Traditional Arabic" w:hint="cs"/>
                <w:b/>
                <w:bCs/>
                <w:sz w:val="30"/>
                <w:szCs w:val="30"/>
                <w:rtl/>
                <w:lang w:val="en-GB"/>
              </w:rPr>
              <w:t xml:space="preserve"> في الفئة الثانية</w:t>
            </w:r>
          </w:p>
        </w:tc>
        <w:tc>
          <w:tcPr>
            <w:tcW w:w="6834" w:type="dxa"/>
          </w:tcPr>
          <w:p w14:paraId="5FA0A68B" w14:textId="77777777" w:rsidR="004102DA" w:rsidRPr="00EB5BCF" w:rsidRDefault="000E32B2" w:rsidP="004102DA">
            <w:pPr>
              <w:tabs>
                <w:tab w:val="left" w:leader="dot" w:pos="3672"/>
              </w:tabs>
              <w:bidi/>
              <w:jc w:val="both"/>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 xml:space="preserve">20 </w:t>
            </w:r>
            <w:r w:rsidR="003D78FD">
              <w:rPr>
                <w:rFonts w:ascii="Traditional Arabic" w:hAnsi="Traditional Arabic" w:cs="Traditional Arabic" w:hint="cs"/>
                <w:sz w:val="30"/>
                <w:szCs w:val="30"/>
                <w:rtl/>
                <w:lang w:val="en-GB"/>
              </w:rPr>
              <w:t>فبراير 2025</w:t>
            </w:r>
            <w:r w:rsidR="003D78FD" w:rsidRPr="00EB5BCF">
              <w:rPr>
                <w:rFonts w:ascii="Traditional Arabic" w:hAnsi="Traditional Arabic" w:cs="Traditional Arabic"/>
                <w:sz w:val="30"/>
                <w:szCs w:val="30"/>
                <w:rtl/>
                <w:lang w:bidi="ar-OM"/>
              </w:rPr>
              <w:t xml:space="preserve"> </w:t>
            </w:r>
          </w:p>
        </w:tc>
      </w:tr>
      <w:tr w:rsidR="005157F9" w:rsidRPr="00EB5BCF" w14:paraId="50316060" w14:textId="77777777" w:rsidTr="004C2C8B">
        <w:tc>
          <w:tcPr>
            <w:tcW w:w="2516" w:type="dxa"/>
          </w:tcPr>
          <w:p w14:paraId="02BA1FD0" w14:textId="77777777" w:rsidR="005157F9" w:rsidRPr="00EB5BCF" w:rsidRDefault="005157F9" w:rsidP="005157F9">
            <w:pPr>
              <w:bidi/>
              <w:spacing w:before="120"/>
              <w:mirrorIndents/>
              <w:jc w:val="both"/>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rPr>
              <w:t xml:space="preserve">موعد إغلاق باب الاكتتاب </w:t>
            </w:r>
          </w:p>
          <w:p w14:paraId="39630E68" w14:textId="77777777" w:rsidR="005157F9" w:rsidRPr="00EB5BCF" w:rsidRDefault="00466759" w:rsidP="005157F9">
            <w:pPr>
              <w:bidi/>
              <w:spacing w:before="120"/>
              <w:mirrorIndents/>
              <w:jc w:val="both"/>
              <w:rPr>
                <w:rFonts w:ascii="Traditional Arabic" w:hAnsi="Traditional Arabic" w:cs="Traditional Arabic"/>
                <w:b/>
                <w:bCs/>
                <w:sz w:val="30"/>
                <w:szCs w:val="30"/>
                <w:rtl/>
                <w:lang w:val="en-GB"/>
              </w:rPr>
            </w:pPr>
            <w:r>
              <w:rPr>
                <w:rFonts w:ascii="Traditional Arabic" w:hAnsi="Traditional Arabic" w:cs="Traditional Arabic" w:hint="cs"/>
                <w:b/>
                <w:bCs/>
                <w:sz w:val="30"/>
                <w:szCs w:val="30"/>
                <w:rtl/>
                <w:lang w:val="en-GB"/>
              </w:rPr>
              <w:t xml:space="preserve">في </w:t>
            </w:r>
            <w:r w:rsidR="004102DA">
              <w:rPr>
                <w:rFonts w:ascii="Traditional Arabic" w:hAnsi="Traditional Arabic" w:cs="Traditional Arabic" w:hint="cs"/>
                <w:b/>
                <w:bCs/>
                <w:sz w:val="30"/>
                <w:szCs w:val="30"/>
                <w:rtl/>
                <w:lang w:val="en-GB"/>
              </w:rPr>
              <w:t xml:space="preserve">الفئة </w:t>
            </w:r>
            <w:r>
              <w:rPr>
                <w:rFonts w:ascii="Traditional Arabic" w:hAnsi="Traditional Arabic" w:cs="Traditional Arabic" w:hint="cs"/>
                <w:b/>
                <w:bCs/>
                <w:sz w:val="30"/>
                <w:szCs w:val="30"/>
                <w:rtl/>
                <w:lang w:val="en-GB"/>
              </w:rPr>
              <w:t>الثانية</w:t>
            </w:r>
          </w:p>
        </w:tc>
        <w:tc>
          <w:tcPr>
            <w:tcW w:w="6834" w:type="dxa"/>
          </w:tcPr>
          <w:p w14:paraId="282C8D31" w14:textId="77777777" w:rsidR="005157F9" w:rsidRPr="00EB5BCF" w:rsidRDefault="000E32B2" w:rsidP="005157F9">
            <w:pPr>
              <w:tabs>
                <w:tab w:val="left" w:leader="dot" w:pos="3672"/>
              </w:tabs>
              <w:bidi/>
              <w:jc w:val="both"/>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 xml:space="preserve">26 </w:t>
            </w:r>
            <w:r w:rsidR="003D78FD">
              <w:rPr>
                <w:rFonts w:ascii="Traditional Arabic" w:hAnsi="Traditional Arabic" w:cs="Traditional Arabic" w:hint="cs"/>
                <w:sz w:val="30"/>
                <w:szCs w:val="30"/>
                <w:rtl/>
                <w:lang w:val="en-GB"/>
              </w:rPr>
              <w:t>فبراير 2025</w:t>
            </w:r>
          </w:p>
        </w:tc>
      </w:tr>
      <w:tr w:rsidR="00B04D64" w:rsidRPr="00EB5BCF" w14:paraId="53C98506" w14:textId="77777777" w:rsidTr="004C2C8B">
        <w:tc>
          <w:tcPr>
            <w:tcW w:w="2516" w:type="dxa"/>
          </w:tcPr>
          <w:p w14:paraId="114B18F9" w14:textId="77777777" w:rsidR="00B04D64" w:rsidRPr="00EB5BCF" w:rsidRDefault="00B04D64" w:rsidP="00B04D64">
            <w:pPr>
              <w:bidi/>
              <w:rPr>
                <w:rFonts w:ascii="Traditional Arabic" w:hAnsi="Traditional Arabic" w:cs="Traditional Arabic"/>
                <w:bCs/>
                <w:sz w:val="30"/>
                <w:szCs w:val="30"/>
                <w:rtl/>
              </w:rPr>
            </w:pPr>
            <w:r w:rsidRPr="00EB5BCF">
              <w:rPr>
                <w:rFonts w:ascii="Traditional Arabic" w:hAnsi="Traditional Arabic" w:cs="Traditional Arabic" w:hint="eastAsia"/>
                <w:bCs/>
                <w:sz w:val="30"/>
                <w:szCs w:val="30"/>
                <w:rtl/>
              </w:rPr>
              <w:lastRenderedPageBreak/>
              <w:t>تاريخ</w:t>
            </w:r>
            <w:r w:rsidRPr="00EB5BCF">
              <w:rPr>
                <w:rFonts w:ascii="Traditional Arabic" w:hAnsi="Traditional Arabic" w:cs="Traditional Arabic"/>
                <w:bCs/>
                <w:sz w:val="30"/>
                <w:szCs w:val="30"/>
                <w:rtl/>
              </w:rPr>
              <w:t xml:space="preserve"> </w:t>
            </w:r>
            <w:r w:rsidRPr="00EB5BCF">
              <w:rPr>
                <w:rFonts w:ascii="Traditional Arabic" w:hAnsi="Traditional Arabic" w:cs="Traditional Arabic" w:hint="eastAsia"/>
                <w:bCs/>
                <w:sz w:val="30"/>
                <w:szCs w:val="30"/>
                <w:rtl/>
              </w:rPr>
              <w:t>التسعير</w:t>
            </w:r>
          </w:p>
        </w:tc>
        <w:tc>
          <w:tcPr>
            <w:tcW w:w="6834" w:type="dxa"/>
          </w:tcPr>
          <w:p w14:paraId="0909B09F" w14:textId="77777777" w:rsidR="00B04D64" w:rsidRPr="00EB5BCF" w:rsidRDefault="008753FD" w:rsidP="00B04D64">
            <w:pPr>
              <w:tabs>
                <w:tab w:val="left" w:leader="dot" w:pos="3672"/>
              </w:tabs>
              <w:bidi/>
              <w:jc w:val="both"/>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4 مارس</w:t>
            </w:r>
            <w:r w:rsidR="003D78FD">
              <w:rPr>
                <w:rFonts w:ascii="Traditional Arabic" w:hAnsi="Traditional Arabic" w:cs="Traditional Arabic" w:hint="cs"/>
                <w:sz w:val="30"/>
                <w:szCs w:val="30"/>
                <w:rtl/>
                <w:lang w:val="en-GB"/>
              </w:rPr>
              <w:t xml:space="preserve"> 202</w:t>
            </w:r>
            <w:r w:rsidR="00237513">
              <w:rPr>
                <w:rFonts w:ascii="Traditional Arabic" w:hAnsi="Traditional Arabic" w:cs="Traditional Arabic" w:hint="cs"/>
                <w:sz w:val="30"/>
                <w:szCs w:val="30"/>
                <w:rtl/>
                <w:lang w:val="en-GB"/>
              </w:rPr>
              <w:t>5</w:t>
            </w:r>
          </w:p>
        </w:tc>
      </w:tr>
      <w:tr w:rsidR="00B04D64" w:rsidRPr="00EB5BCF" w14:paraId="6064DD2D" w14:textId="77777777" w:rsidTr="004C2C8B">
        <w:tc>
          <w:tcPr>
            <w:tcW w:w="2516" w:type="dxa"/>
          </w:tcPr>
          <w:p w14:paraId="75011908" w14:textId="77777777" w:rsidR="00B04D64" w:rsidRPr="00EB5BCF" w:rsidRDefault="00B04D64" w:rsidP="00B04D64">
            <w:pPr>
              <w:bidi/>
              <w:rPr>
                <w:rFonts w:ascii="Traditional Arabic" w:hAnsi="Traditional Arabic" w:cs="Traditional Arabic"/>
                <w:bCs/>
                <w:sz w:val="30"/>
                <w:szCs w:val="30"/>
                <w:rtl/>
              </w:rPr>
            </w:pPr>
            <w:r w:rsidRPr="00EB5BCF">
              <w:rPr>
                <w:rFonts w:ascii="Traditional Arabic" w:hAnsi="Traditional Arabic" w:cs="Traditional Arabic" w:hint="eastAsia"/>
                <w:bCs/>
                <w:sz w:val="30"/>
                <w:szCs w:val="30"/>
                <w:rtl/>
              </w:rPr>
              <w:t>تاريخ</w:t>
            </w:r>
            <w:r w:rsidRPr="00EB5BCF">
              <w:rPr>
                <w:rFonts w:ascii="Traditional Arabic" w:hAnsi="Traditional Arabic" w:cs="Traditional Arabic"/>
                <w:bCs/>
                <w:sz w:val="30"/>
                <w:szCs w:val="30"/>
                <w:rtl/>
              </w:rPr>
              <w:t xml:space="preserve"> </w:t>
            </w:r>
            <w:r w:rsidRPr="00EB5BCF">
              <w:rPr>
                <w:rFonts w:ascii="Traditional Arabic" w:hAnsi="Traditional Arabic" w:cs="Traditional Arabic" w:hint="eastAsia"/>
                <w:bCs/>
                <w:sz w:val="30"/>
                <w:szCs w:val="30"/>
                <w:rtl/>
              </w:rPr>
              <w:t>التسوية</w:t>
            </w:r>
          </w:p>
        </w:tc>
        <w:tc>
          <w:tcPr>
            <w:tcW w:w="6834" w:type="dxa"/>
          </w:tcPr>
          <w:p w14:paraId="462A50A6" w14:textId="77777777" w:rsidR="00B04D64" w:rsidRPr="00EB5BCF" w:rsidRDefault="00B04D64" w:rsidP="00B04D64">
            <w:pPr>
              <w:tabs>
                <w:tab w:val="left" w:leader="dot" w:pos="3672"/>
              </w:tabs>
              <w:bidi/>
              <w:jc w:val="both"/>
              <w:rPr>
                <w:rFonts w:ascii="Traditional Arabic" w:hAnsi="Traditional Arabic" w:cs="Traditional Arabic"/>
                <w:sz w:val="30"/>
                <w:szCs w:val="30"/>
                <w:rtl/>
                <w:lang w:val="en-GB"/>
              </w:rPr>
            </w:pPr>
            <w:r w:rsidRPr="00EB5BCF">
              <w:rPr>
                <w:rFonts w:ascii="Traditional Arabic" w:hAnsi="Traditional Arabic" w:cs="Traditional Arabic" w:hint="eastAsia"/>
                <w:sz w:val="30"/>
                <w:szCs w:val="30"/>
                <w:rtl/>
                <w:lang w:val="en-GB"/>
              </w:rPr>
              <w:t>بتاريخ</w:t>
            </w:r>
            <w:r w:rsidRPr="00EB5BCF">
              <w:rPr>
                <w:rFonts w:ascii="Traditional Arabic" w:hAnsi="Traditional Arabic" w:cs="Traditional Arabic"/>
                <w:sz w:val="30"/>
                <w:szCs w:val="30"/>
                <w:rtl/>
                <w:lang w:val="en-GB"/>
              </w:rPr>
              <w:t xml:space="preserve"> </w:t>
            </w:r>
            <w:r w:rsidR="00130B21">
              <w:rPr>
                <w:rFonts w:ascii="Traditional Arabic" w:hAnsi="Traditional Arabic" w:cs="Traditional Arabic" w:hint="cs"/>
                <w:sz w:val="30"/>
                <w:szCs w:val="30"/>
                <w:rtl/>
                <w:lang w:val="en-GB"/>
              </w:rPr>
              <w:t xml:space="preserve">10 </w:t>
            </w:r>
            <w:r w:rsidR="00237513">
              <w:rPr>
                <w:rFonts w:ascii="Traditional Arabic" w:hAnsi="Traditional Arabic" w:cs="Traditional Arabic" w:hint="cs"/>
                <w:sz w:val="30"/>
                <w:szCs w:val="30"/>
                <w:rtl/>
                <w:lang w:val="en-GB"/>
              </w:rPr>
              <w:t>مارس 2025</w:t>
            </w:r>
            <w:r w:rsidR="00C7791C">
              <w:rPr>
                <w:rFonts w:ascii="Traditional Arabic" w:hAnsi="Traditional Arabic" w:cs="Traditional Arabic" w:hint="cs"/>
                <w:sz w:val="30"/>
                <w:szCs w:val="30"/>
                <w:rtl/>
                <w:lang w:val="en-GB"/>
              </w:rPr>
              <w:t xml:space="preserve"> </w:t>
            </w:r>
            <w:r w:rsidRPr="00EB5BCF">
              <w:rPr>
                <w:rFonts w:ascii="Traditional Arabic" w:hAnsi="Traditional Arabic" w:cs="Traditional Arabic"/>
                <w:sz w:val="30"/>
                <w:szCs w:val="30"/>
                <w:rtl/>
                <w:lang w:bidi="ar-OM"/>
              </w:rPr>
              <w:t>أو تاريخ قريب من ذلك</w:t>
            </w:r>
            <w:r w:rsidR="007C1B7D" w:rsidRPr="00EB5BCF">
              <w:rPr>
                <w:rFonts w:ascii="Traditional Arabic" w:hAnsi="Traditional Arabic" w:cs="Traditional Arabic" w:hint="eastAsia"/>
                <w:sz w:val="30"/>
                <w:szCs w:val="30"/>
                <w:rtl/>
                <w:lang w:bidi="ar-OM"/>
              </w:rPr>
              <w:t>،</w:t>
            </w:r>
            <w:r w:rsidR="007C1B7D" w:rsidRPr="00EB5BCF">
              <w:rPr>
                <w:rFonts w:ascii="Traditional Arabic" w:hAnsi="Traditional Arabic" w:cs="Traditional Arabic"/>
                <w:sz w:val="30"/>
                <w:szCs w:val="30"/>
                <w:rtl/>
                <w:lang w:bidi="ar-OM"/>
              </w:rPr>
              <w:t xml:space="preserve"> أو أي تاريخ سابق قد يتم إخطاره من قبل </w:t>
            </w:r>
            <w:r w:rsidR="00C7022E">
              <w:rPr>
                <w:rFonts w:ascii="Traditional Arabic" w:hAnsi="Traditional Arabic" w:cs="Traditional Arabic"/>
                <w:sz w:val="30"/>
                <w:szCs w:val="30"/>
                <w:rtl/>
                <w:lang w:bidi="ar-OM"/>
              </w:rPr>
              <w:t>المنسق العالمي المشترك</w:t>
            </w:r>
            <w:r w:rsidR="007C1B7D" w:rsidRPr="00EB5BCF">
              <w:rPr>
                <w:rFonts w:ascii="Traditional Arabic" w:hAnsi="Traditional Arabic" w:cs="Traditional Arabic"/>
                <w:sz w:val="30"/>
                <w:szCs w:val="30"/>
                <w:rtl/>
                <w:lang w:bidi="ar-OM"/>
              </w:rPr>
              <w:t>.</w:t>
            </w:r>
          </w:p>
        </w:tc>
      </w:tr>
      <w:tr w:rsidR="00B04D64" w:rsidRPr="00EB5BCF" w14:paraId="1448A9D4" w14:textId="77777777" w:rsidTr="004C2C8B">
        <w:tc>
          <w:tcPr>
            <w:tcW w:w="2516" w:type="dxa"/>
          </w:tcPr>
          <w:p w14:paraId="1885DE44" w14:textId="77777777" w:rsidR="00B04D64" w:rsidRPr="00EB5BCF" w:rsidRDefault="00B04D64" w:rsidP="00B04D64">
            <w:pPr>
              <w:bidi/>
              <w:rPr>
                <w:rFonts w:ascii="Traditional Arabic" w:hAnsi="Traditional Arabic" w:cs="Traditional Arabic"/>
                <w:bCs/>
                <w:sz w:val="30"/>
                <w:szCs w:val="30"/>
                <w:rtl/>
              </w:rPr>
            </w:pPr>
            <w:r w:rsidRPr="00EB5BCF">
              <w:rPr>
                <w:rFonts w:ascii="Traditional Arabic" w:hAnsi="Traditional Arabic" w:cs="Traditional Arabic" w:hint="eastAsia"/>
                <w:bCs/>
                <w:sz w:val="30"/>
                <w:szCs w:val="30"/>
                <w:rtl/>
              </w:rPr>
              <w:t>تاريخ</w:t>
            </w:r>
            <w:r w:rsidRPr="00EB5BCF">
              <w:rPr>
                <w:rFonts w:ascii="Traditional Arabic" w:hAnsi="Traditional Arabic" w:cs="Traditional Arabic"/>
                <w:bCs/>
                <w:sz w:val="30"/>
                <w:szCs w:val="30"/>
                <w:rtl/>
              </w:rPr>
              <w:t xml:space="preserve"> </w:t>
            </w:r>
            <w:r w:rsidRPr="00EB5BCF">
              <w:rPr>
                <w:rFonts w:ascii="Traditional Arabic" w:hAnsi="Traditional Arabic" w:cs="Traditional Arabic" w:hint="eastAsia"/>
                <w:bCs/>
                <w:sz w:val="30"/>
                <w:szCs w:val="30"/>
                <w:rtl/>
              </w:rPr>
              <w:t>الإدراج</w:t>
            </w:r>
          </w:p>
        </w:tc>
        <w:tc>
          <w:tcPr>
            <w:tcW w:w="6834" w:type="dxa"/>
          </w:tcPr>
          <w:p w14:paraId="62ACA527" w14:textId="77777777" w:rsidR="00B04D64" w:rsidRPr="00EB5BCF" w:rsidRDefault="00B04D64" w:rsidP="00B04D64">
            <w:pPr>
              <w:tabs>
                <w:tab w:val="left" w:leader="dot" w:pos="3672"/>
              </w:tabs>
              <w:bidi/>
              <w:jc w:val="both"/>
              <w:rPr>
                <w:rFonts w:ascii="Traditional Arabic" w:hAnsi="Traditional Arabic" w:cs="Traditional Arabic"/>
                <w:sz w:val="30"/>
                <w:szCs w:val="30"/>
                <w:rtl/>
                <w:lang w:val="en-GB"/>
              </w:rPr>
            </w:pPr>
            <w:r w:rsidRPr="00EB5BCF">
              <w:rPr>
                <w:rFonts w:ascii="Traditional Arabic" w:hAnsi="Traditional Arabic" w:cs="Traditional Arabic" w:hint="eastAsia"/>
                <w:sz w:val="30"/>
                <w:szCs w:val="30"/>
                <w:rtl/>
                <w:lang w:val="en-GB"/>
              </w:rPr>
              <w:t>بتاريخ</w:t>
            </w:r>
            <w:r w:rsidRPr="00EB5BCF">
              <w:rPr>
                <w:rFonts w:ascii="Traditional Arabic" w:hAnsi="Traditional Arabic" w:cs="Traditional Arabic"/>
                <w:sz w:val="30"/>
                <w:szCs w:val="30"/>
                <w:rtl/>
                <w:lang w:val="en-GB"/>
              </w:rPr>
              <w:t xml:space="preserve"> </w:t>
            </w:r>
            <w:r w:rsidR="00130B21">
              <w:rPr>
                <w:rFonts w:ascii="Traditional Arabic" w:hAnsi="Traditional Arabic" w:cs="Traditional Arabic" w:hint="cs"/>
                <w:sz w:val="30"/>
                <w:szCs w:val="30"/>
                <w:rtl/>
                <w:lang w:val="en-GB"/>
              </w:rPr>
              <w:t xml:space="preserve">12 </w:t>
            </w:r>
            <w:r w:rsidR="00237513">
              <w:rPr>
                <w:rFonts w:ascii="Traditional Arabic" w:hAnsi="Traditional Arabic" w:cs="Traditional Arabic" w:hint="cs"/>
                <w:sz w:val="30"/>
                <w:szCs w:val="30"/>
                <w:rtl/>
                <w:lang w:val="en-GB"/>
              </w:rPr>
              <w:t>مارس 2025</w:t>
            </w:r>
            <w:r w:rsidR="007149E2">
              <w:rPr>
                <w:rFonts w:ascii="Traditional Arabic" w:hAnsi="Traditional Arabic" w:cs="Traditional Arabic" w:hint="cs"/>
                <w:sz w:val="30"/>
                <w:szCs w:val="30"/>
                <w:rtl/>
                <w:lang w:val="en-GB"/>
              </w:rPr>
              <w:t xml:space="preserve"> </w:t>
            </w:r>
            <w:r w:rsidRPr="00EB5BCF">
              <w:rPr>
                <w:rFonts w:ascii="Traditional Arabic" w:hAnsi="Traditional Arabic" w:cs="Traditional Arabic"/>
                <w:sz w:val="30"/>
                <w:szCs w:val="30"/>
                <w:rtl/>
                <w:lang w:bidi="ar-OM"/>
              </w:rPr>
              <w:t>أو تاريخ قريب من ذلك</w:t>
            </w:r>
            <w:r w:rsidR="007C1B7D" w:rsidRPr="00EB5BCF">
              <w:rPr>
                <w:rFonts w:ascii="Traditional Arabic" w:hAnsi="Traditional Arabic" w:cs="Traditional Arabic" w:hint="eastAsia"/>
                <w:sz w:val="30"/>
                <w:szCs w:val="30"/>
                <w:rtl/>
                <w:lang w:bidi="ar-OM"/>
              </w:rPr>
              <w:t>،</w:t>
            </w:r>
            <w:r w:rsidR="007C1B7D" w:rsidRPr="00EB5BCF">
              <w:rPr>
                <w:rFonts w:ascii="Traditional Arabic" w:hAnsi="Traditional Arabic" w:cs="Traditional Arabic"/>
                <w:sz w:val="30"/>
                <w:szCs w:val="30"/>
                <w:rtl/>
                <w:lang w:bidi="ar-OM"/>
              </w:rPr>
              <w:t xml:space="preserve"> أو أي تاريخ سابق قد يتم إخطاره من قبل </w:t>
            </w:r>
            <w:r w:rsidR="00C7022E">
              <w:rPr>
                <w:rFonts w:ascii="Traditional Arabic" w:hAnsi="Traditional Arabic" w:cs="Traditional Arabic"/>
                <w:sz w:val="30"/>
                <w:szCs w:val="30"/>
                <w:rtl/>
                <w:lang w:bidi="ar-OM"/>
              </w:rPr>
              <w:t>المنسق العالمي المشترك</w:t>
            </w:r>
            <w:r w:rsidR="007C1B7D" w:rsidRPr="00EB5BCF">
              <w:rPr>
                <w:rFonts w:ascii="Traditional Arabic" w:hAnsi="Traditional Arabic" w:cs="Traditional Arabic"/>
                <w:sz w:val="30"/>
                <w:szCs w:val="30"/>
                <w:rtl/>
                <w:lang w:bidi="ar-OM"/>
              </w:rPr>
              <w:t>.</w:t>
            </w:r>
          </w:p>
        </w:tc>
      </w:tr>
      <w:tr w:rsidR="00B9223D" w:rsidRPr="00EB5BCF" w14:paraId="19B87D18" w14:textId="77777777" w:rsidTr="004C2C8B">
        <w:tc>
          <w:tcPr>
            <w:tcW w:w="2516" w:type="dxa"/>
          </w:tcPr>
          <w:p w14:paraId="42A7E9A1" w14:textId="77777777" w:rsidR="00B9223D" w:rsidRPr="00EB5BCF" w:rsidRDefault="00B9223D" w:rsidP="00B9223D">
            <w:pPr>
              <w:bidi/>
              <w:rPr>
                <w:rFonts w:ascii="Traditional Arabic" w:hAnsi="Traditional Arabic" w:cs="Traditional Arabic"/>
                <w:bCs/>
                <w:sz w:val="30"/>
                <w:szCs w:val="30"/>
                <w:rtl/>
              </w:rPr>
            </w:pPr>
            <w:r w:rsidRPr="00EB5BCF">
              <w:rPr>
                <w:rFonts w:ascii="Traditional Arabic" w:hAnsi="Traditional Arabic" w:cs="Traditional Arabic"/>
                <w:bCs/>
                <w:sz w:val="30"/>
                <w:szCs w:val="30"/>
                <w:rtl/>
              </w:rPr>
              <w:t xml:space="preserve">تاريخ موافقة الجمعية العامة غير العادية على </w:t>
            </w:r>
            <w:r w:rsidR="007D6FC5" w:rsidRPr="00EB5BCF">
              <w:rPr>
                <w:rFonts w:ascii="Traditional Arabic" w:hAnsi="Traditional Arabic" w:cs="Traditional Arabic" w:hint="eastAsia"/>
                <w:bCs/>
                <w:sz w:val="30"/>
                <w:szCs w:val="30"/>
                <w:rtl/>
                <w:lang w:bidi="ar-OM"/>
              </w:rPr>
              <w:t>تحول</w:t>
            </w:r>
            <w:r w:rsidR="007D6FC5" w:rsidRPr="00EB5BCF">
              <w:rPr>
                <w:rFonts w:ascii="Traditional Arabic" w:hAnsi="Traditional Arabic" w:cs="Traditional Arabic"/>
                <w:bCs/>
                <w:sz w:val="30"/>
                <w:szCs w:val="30"/>
                <w:rtl/>
                <w:lang w:bidi="ar-OM"/>
              </w:rPr>
              <w:t xml:space="preserve"> الشركة إلى شركة مساهمة عامة </w:t>
            </w:r>
          </w:p>
        </w:tc>
        <w:tc>
          <w:tcPr>
            <w:tcW w:w="6834" w:type="dxa"/>
          </w:tcPr>
          <w:p w14:paraId="3EBAA77F" w14:textId="77777777" w:rsidR="00B9223D" w:rsidRPr="00EB5BCF" w:rsidRDefault="009B15C7" w:rsidP="00B9223D">
            <w:pPr>
              <w:tabs>
                <w:tab w:val="left" w:leader="dot" w:pos="3672"/>
              </w:tabs>
              <w:bidi/>
              <w:jc w:val="both"/>
              <w:rPr>
                <w:rFonts w:ascii="Traditional Arabic" w:hAnsi="Traditional Arabic" w:cs="Traditional Arabic"/>
                <w:sz w:val="30"/>
                <w:szCs w:val="30"/>
                <w:rtl/>
              </w:rPr>
            </w:pPr>
            <w:r w:rsidRPr="00CA4D73">
              <w:rPr>
                <w:rFonts w:ascii="Traditional Arabic" w:hAnsi="Traditional Arabic" w:cs="Traditional Arabic"/>
                <w:sz w:val="30"/>
                <w:szCs w:val="30"/>
                <w:rtl/>
                <w:lang w:bidi="ar-OM"/>
              </w:rPr>
              <w:t xml:space="preserve">٢٠ </w:t>
            </w:r>
            <w:r w:rsidRPr="00CA4D73">
              <w:rPr>
                <w:rFonts w:ascii="Traditional Arabic" w:hAnsi="Traditional Arabic" w:cs="Traditional Arabic" w:hint="eastAsia"/>
                <w:sz w:val="30"/>
                <w:szCs w:val="30"/>
                <w:rtl/>
                <w:lang w:bidi="ar-OM"/>
              </w:rPr>
              <w:t>يناير</w:t>
            </w:r>
            <w:r w:rsidRPr="00CA4D73">
              <w:rPr>
                <w:rFonts w:ascii="Traditional Arabic" w:hAnsi="Traditional Arabic" w:cs="Traditional Arabic"/>
                <w:sz w:val="30"/>
                <w:szCs w:val="30"/>
                <w:rtl/>
                <w:lang w:bidi="ar-OM"/>
              </w:rPr>
              <w:t xml:space="preserve"> ٢٠٢٥</w:t>
            </w:r>
          </w:p>
        </w:tc>
      </w:tr>
      <w:tr w:rsidR="009326A0" w:rsidRPr="00EB5BCF" w14:paraId="2A16CC11" w14:textId="77777777" w:rsidTr="004C2C8B">
        <w:tc>
          <w:tcPr>
            <w:tcW w:w="2516" w:type="dxa"/>
          </w:tcPr>
          <w:p w14:paraId="55A3BFE9" w14:textId="77777777" w:rsidR="009326A0" w:rsidRPr="00EB5BCF" w:rsidRDefault="009326A0" w:rsidP="00B9223D">
            <w:pPr>
              <w:bidi/>
              <w:rPr>
                <w:rFonts w:ascii="Traditional Arabic" w:hAnsi="Traditional Arabic" w:cs="Traditional Arabic"/>
                <w:bCs/>
                <w:sz w:val="30"/>
                <w:szCs w:val="30"/>
                <w:rtl/>
              </w:rPr>
            </w:pPr>
            <w:r>
              <w:rPr>
                <w:rFonts w:ascii="Traditional Arabic" w:hAnsi="Traditional Arabic" w:cs="Traditional Arabic" w:hint="cs"/>
                <w:bCs/>
                <w:sz w:val="30"/>
                <w:szCs w:val="30"/>
                <w:rtl/>
              </w:rPr>
              <w:t>مدير الإصدار</w:t>
            </w:r>
          </w:p>
        </w:tc>
        <w:tc>
          <w:tcPr>
            <w:tcW w:w="6834" w:type="dxa"/>
          </w:tcPr>
          <w:p w14:paraId="06061E59" w14:textId="77777777" w:rsidR="00D97275" w:rsidRPr="00272B36" w:rsidRDefault="00821979" w:rsidP="00D97275">
            <w:pPr>
              <w:tabs>
                <w:tab w:val="left" w:leader="dot" w:pos="3672"/>
              </w:tabs>
              <w:bidi/>
              <w:jc w:val="both"/>
              <w:rPr>
                <w:rFonts w:ascii="Traditional Arabic" w:hAnsi="Traditional Arabic" w:cs="Traditional Arabic"/>
                <w:b/>
                <w:bCs/>
                <w:sz w:val="30"/>
                <w:szCs w:val="30"/>
                <w:rtl/>
                <w:lang w:val="en-GB"/>
              </w:rPr>
            </w:pPr>
            <w:r w:rsidRPr="00272B36">
              <w:rPr>
                <w:rFonts w:ascii="Traditional Arabic" w:hAnsi="Traditional Arabic" w:cs="Traditional Arabic" w:hint="cs"/>
                <w:b/>
                <w:bCs/>
                <w:sz w:val="30"/>
                <w:szCs w:val="30"/>
                <w:rtl/>
                <w:lang w:val="en-GB"/>
              </w:rPr>
              <w:t>بنك صحار الدولي ش م ع ع</w:t>
            </w:r>
          </w:p>
          <w:p w14:paraId="33C6E17F" w14:textId="77777777" w:rsidR="00821979" w:rsidRDefault="00821979" w:rsidP="00821979">
            <w:pPr>
              <w:tabs>
                <w:tab w:val="left" w:leader="dot" w:pos="3672"/>
              </w:tabs>
              <w:bidi/>
              <w:jc w:val="both"/>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الواجهة ال</w:t>
            </w:r>
            <w:r w:rsidR="00C61F93">
              <w:rPr>
                <w:rFonts w:ascii="Traditional Arabic" w:hAnsi="Traditional Arabic" w:cs="Traditional Arabic" w:hint="cs"/>
                <w:sz w:val="30"/>
                <w:szCs w:val="30"/>
                <w:rtl/>
                <w:lang w:val="en-GB"/>
              </w:rPr>
              <w:t>بحرية</w:t>
            </w:r>
            <w:r>
              <w:rPr>
                <w:rFonts w:ascii="Traditional Arabic" w:hAnsi="Traditional Arabic" w:cs="Traditional Arabic" w:hint="cs"/>
                <w:sz w:val="30"/>
                <w:szCs w:val="30"/>
                <w:rtl/>
                <w:lang w:val="en-GB"/>
              </w:rPr>
              <w:t>، القرم، مسقط</w:t>
            </w:r>
          </w:p>
          <w:p w14:paraId="6FC5A292" w14:textId="77777777" w:rsidR="00BF0A8D" w:rsidRDefault="00BF0A8D" w:rsidP="00BF0A8D">
            <w:pPr>
              <w:tabs>
                <w:tab w:val="left" w:leader="dot" w:pos="3672"/>
              </w:tabs>
              <w:bidi/>
              <w:jc w:val="both"/>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ص.ب 44، حي الميناء، ص.ب 114</w:t>
            </w:r>
          </w:p>
          <w:p w14:paraId="0BFAA84A" w14:textId="77777777" w:rsidR="00D97275" w:rsidRPr="00EB5BCF" w:rsidDel="009326A0" w:rsidRDefault="00BF0A8D" w:rsidP="00BF0A8D">
            <w:pPr>
              <w:tabs>
                <w:tab w:val="left" w:leader="dot" w:pos="3672"/>
              </w:tabs>
              <w:bidi/>
              <w:jc w:val="both"/>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سلطنة عمان</w:t>
            </w:r>
          </w:p>
        </w:tc>
      </w:tr>
      <w:tr w:rsidR="00281A2C" w:rsidRPr="00EB5BCF" w14:paraId="4C885FBD" w14:textId="77777777" w:rsidTr="004C2C8B">
        <w:tc>
          <w:tcPr>
            <w:tcW w:w="2516" w:type="dxa"/>
          </w:tcPr>
          <w:p w14:paraId="479F6FF5" w14:textId="77777777" w:rsidR="00281A2C" w:rsidRPr="00EB5BCF" w:rsidRDefault="00045645" w:rsidP="00B9223D">
            <w:pPr>
              <w:bidi/>
              <w:rPr>
                <w:rFonts w:ascii="Traditional Arabic" w:hAnsi="Traditional Arabic" w:cs="Traditional Arabic"/>
                <w:bCs/>
                <w:sz w:val="30"/>
                <w:szCs w:val="30"/>
                <w:rtl/>
              </w:rPr>
            </w:pPr>
            <w:r>
              <w:rPr>
                <w:rFonts w:ascii="Traditional Arabic" w:hAnsi="Traditional Arabic" w:cs="Traditional Arabic" w:hint="cs"/>
                <w:bCs/>
                <w:sz w:val="30"/>
                <w:szCs w:val="30"/>
                <w:rtl/>
              </w:rPr>
              <w:t>المنسق العالمي المشترك</w:t>
            </w:r>
          </w:p>
        </w:tc>
        <w:tc>
          <w:tcPr>
            <w:tcW w:w="6834" w:type="dxa"/>
          </w:tcPr>
          <w:p w14:paraId="4A96E44B" w14:textId="77777777" w:rsidR="00F77BC0" w:rsidRPr="00F77BC0" w:rsidRDefault="00F77BC0" w:rsidP="00F77BC0">
            <w:pPr>
              <w:tabs>
                <w:tab w:val="left" w:leader="dot" w:pos="3672"/>
              </w:tabs>
              <w:bidi/>
              <w:jc w:val="both"/>
              <w:rPr>
                <w:rFonts w:ascii="Traditional Arabic" w:hAnsi="Traditional Arabic" w:cs="Traditional Arabic"/>
                <w:b/>
                <w:bCs/>
                <w:sz w:val="30"/>
                <w:szCs w:val="30"/>
                <w:rtl/>
                <w:lang w:val="en-GB"/>
              </w:rPr>
            </w:pPr>
            <w:r w:rsidRPr="00F77BC0">
              <w:rPr>
                <w:rFonts w:ascii="Traditional Arabic" w:hAnsi="Traditional Arabic" w:cs="Traditional Arabic" w:hint="cs"/>
                <w:b/>
                <w:bCs/>
                <w:sz w:val="30"/>
                <w:szCs w:val="30"/>
                <w:rtl/>
                <w:lang w:val="en-GB"/>
              </w:rPr>
              <w:t>بنك الاستثمار العماني ش م ع م</w:t>
            </w:r>
          </w:p>
          <w:p w14:paraId="19C0E65E" w14:textId="77777777" w:rsidR="00F77BC0" w:rsidRPr="00272B36" w:rsidRDefault="00F77BC0" w:rsidP="00F77BC0">
            <w:pPr>
              <w:tabs>
                <w:tab w:val="left" w:leader="dot" w:pos="3672"/>
              </w:tabs>
              <w:bidi/>
              <w:jc w:val="both"/>
              <w:rPr>
                <w:rFonts w:ascii="Traditional Arabic" w:hAnsi="Traditional Arabic" w:cs="Traditional Arabic"/>
                <w:sz w:val="30"/>
                <w:szCs w:val="30"/>
                <w:rtl/>
                <w:lang w:val="en-GB"/>
              </w:rPr>
            </w:pPr>
            <w:r w:rsidRPr="00272B36">
              <w:rPr>
                <w:rFonts w:ascii="Traditional Arabic" w:hAnsi="Traditional Arabic" w:cs="Traditional Arabic" w:hint="cs"/>
                <w:sz w:val="30"/>
                <w:szCs w:val="30"/>
                <w:rtl/>
                <w:lang w:val="en-GB"/>
              </w:rPr>
              <w:t>الخوير، بوشر، ص.ب 10، والرمز البريدي 133</w:t>
            </w:r>
          </w:p>
          <w:p w14:paraId="185264D0" w14:textId="77777777" w:rsidR="00F77BC0" w:rsidRPr="00272B36" w:rsidRDefault="00F77BC0" w:rsidP="00F77BC0">
            <w:pPr>
              <w:tabs>
                <w:tab w:val="left" w:leader="dot" w:pos="3672"/>
              </w:tabs>
              <w:bidi/>
              <w:jc w:val="both"/>
              <w:rPr>
                <w:rFonts w:ascii="Traditional Arabic" w:hAnsi="Traditional Arabic" w:cs="Traditional Arabic"/>
                <w:sz w:val="30"/>
                <w:szCs w:val="30"/>
                <w:rtl/>
                <w:lang w:val="en-GB"/>
              </w:rPr>
            </w:pPr>
            <w:r w:rsidRPr="00272B36">
              <w:rPr>
                <w:rFonts w:ascii="Traditional Arabic" w:hAnsi="Traditional Arabic" w:cs="Traditional Arabic" w:hint="cs"/>
                <w:sz w:val="30"/>
                <w:szCs w:val="30"/>
                <w:rtl/>
                <w:lang w:val="en-GB"/>
              </w:rPr>
              <w:t>مسقط، سلطنة عمان</w:t>
            </w:r>
            <w:r w:rsidRPr="00272B36">
              <w:rPr>
                <w:rFonts w:ascii="Traditional Arabic" w:hAnsi="Traditional Arabic" w:cs="Traditional Arabic" w:hint="eastAsia"/>
                <w:sz w:val="30"/>
                <w:szCs w:val="30"/>
                <w:rtl/>
                <w:lang w:val="en-GB"/>
              </w:rPr>
              <w:t xml:space="preserve"> </w:t>
            </w:r>
          </w:p>
          <w:p w14:paraId="2BF25009" w14:textId="77777777" w:rsidR="00F77BC0" w:rsidRDefault="00F77BC0" w:rsidP="00F77BC0">
            <w:pPr>
              <w:tabs>
                <w:tab w:val="left" w:leader="dot" w:pos="3672"/>
              </w:tabs>
              <w:bidi/>
              <w:jc w:val="both"/>
              <w:rPr>
                <w:rFonts w:ascii="Traditional Arabic" w:hAnsi="Traditional Arabic" w:cs="Traditional Arabic"/>
                <w:b/>
                <w:bCs/>
                <w:sz w:val="30"/>
                <w:szCs w:val="30"/>
                <w:rtl/>
                <w:lang w:val="en-GB"/>
              </w:rPr>
            </w:pPr>
          </w:p>
          <w:p w14:paraId="09F54642" w14:textId="77777777" w:rsidR="00F77BC0" w:rsidRPr="00F77BC0" w:rsidRDefault="00F77BC0" w:rsidP="00F77BC0">
            <w:pPr>
              <w:tabs>
                <w:tab w:val="left" w:leader="dot" w:pos="3672"/>
              </w:tabs>
              <w:bidi/>
              <w:jc w:val="both"/>
              <w:rPr>
                <w:rFonts w:ascii="Traditional Arabic" w:hAnsi="Traditional Arabic" w:cs="Traditional Arabic"/>
                <w:b/>
                <w:bCs/>
                <w:sz w:val="30"/>
                <w:szCs w:val="30"/>
                <w:rtl/>
                <w:lang w:val="en-GB"/>
              </w:rPr>
            </w:pPr>
            <w:r w:rsidRPr="00F77BC0">
              <w:rPr>
                <w:rFonts w:ascii="Traditional Arabic" w:hAnsi="Traditional Arabic" w:cs="Traditional Arabic" w:hint="cs"/>
                <w:b/>
                <w:bCs/>
                <w:sz w:val="30"/>
                <w:szCs w:val="30"/>
                <w:rtl/>
                <w:lang w:val="en-GB"/>
              </w:rPr>
              <w:t>بنك صحار الدولي</w:t>
            </w:r>
            <w:r w:rsidR="00633E4B">
              <w:rPr>
                <w:rFonts w:ascii="Traditional Arabic" w:hAnsi="Traditional Arabic" w:cs="Traditional Arabic" w:hint="cs"/>
                <w:b/>
                <w:bCs/>
                <w:sz w:val="30"/>
                <w:szCs w:val="30"/>
                <w:rtl/>
                <w:lang w:val="en-GB"/>
              </w:rPr>
              <w:t xml:space="preserve"> ش م ع ع</w:t>
            </w:r>
          </w:p>
          <w:p w14:paraId="2195156A" w14:textId="77777777" w:rsidR="00F77BC0" w:rsidRDefault="00F77BC0" w:rsidP="00F77BC0">
            <w:pPr>
              <w:tabs>
                <w:tab w:val="left" w:leader="dot" w:pos="3672"/>
              </w:tabs>
              <w:bidi/>
              <w:jc w:val="both"/>
              <w:rPr>
                <w:rFonts w:ascii="Traditional Arabic" w:hAnsi="Traditional Arabic" w:cs="Traditional Arabic"/>
                <w:sz w:val="30"/>
                <w:szCs w:val="30"/>
                <w:rtl/>
                <w:lang w:val="en-GB"/>
              </w:rPr>
            </w:pPr>
            <w:r w:rsidRPr="00272B36">
              <w:rPr>
                <w:rFonts w:ascii="Traditional Arabic" w:hAnsi="Traditional Arabic" w:cs="Traditional Arabic" w:hint="cs"/>
                <w:sz w:val="30"/>
                <w:szCs w:val="30"/>
                <w:rtl/>
                <w:lang w:val="en-GB"/>
              </w:rPr>
              <w:t xml:space="preserve">الواجهة </w:t>
            </w:r>
            <w:r w:rsidR="000F420C" w:rsidRPr="00272B36">
              <w:rPr>
                <w:rFonts w:ascii="Traditional Arabic" w:hAnsi="Traditional Arabic" w:cs="Traditional Arabic" w:hint="cs"/>
                <w:sz w:val="30"/>
                <w:szCs w:val="30"/>
                <w:rtl/>
                <w:lang w:val="en-GB"/>
              </w:rPr>
              <w:t>البحرية</w:t>
            </w:r>
            <w:r w:rsidRPr="00272B36">
              <w:rPr>
                <w:rFonts w:ascii="Traditional Arabic" w:hAnsi="Traditional Arabic" w:cs="Traditional Arabic" w:hint="cs"/>
                <w:sz w:val="30"/>
                <w:szCs w:val="30"/>
                <w:rtl/>
                <w:lang w:val="en-GB"/>
              </w:rPr>
              <w:t>، القرم، محافظة مسقط، ص.ب 44، حي الميناء، والرمز البريدي 114، سلطنة عمان</w:t>
            </w:r>
            <w:r w:rsidRPr="00272B36">
              <w:rPr>
                <w:rFonts w:ascii="Traditional Arabic" w:hAnsi="Traditional Arabic" w:cs="Traditional Arabic" w:hint="eastAsia"/>
                <w:sz w:val="30"/>
                <w:szCs w:val="30"/>
                <w:rtl/>
                <w:lang w:val="en-GB"/>
              </w:rPr>
              <w:t xml:space="preserve"> </w:t>
            </w:r>
          </w:p>
          <w:p w14:paraId="6F634943" w14:textId="77777777" w:rsidR="008253CE" w:rsidRDefault="008253CE" w:rsidP="008253CE">
            <w:pPr>
              <w:tabs>
                <w:tab w:val="left" w:leader="dot" w:pos="3672"/>
              </w:tabs>
              <w:bidi/>
              <w:jc w:val="both"/>
              <w:rPr>
                <w:rFonts w:ascii="Traditional Arabic" w:hAnsi="Traditional Arabic" w:cs="Traditional Arabic"/>
                <w:sz w:val="30"/>
                <w:szCs w:val="30"/>
                <w:rtl/>
                <w:lang w:val="en-GB"/>
              </w:rPr>
            </w:pPr>
          </w:p>
          <w:p w14:paraId="4EFE93AA" w14:textId="77777777" w:rsidR="008253CE" w:rsidRPr="00AD355E" w:rsidRDefault="008253CE" w:rsidP="008253CE">
            <w:pPr>
              <w:tabs>
                <w:tab w:val="left" w:leader="dot" w:pos="3672"/>
              </w:tabs>
              <w:bidi/>
              <w:jc w:val="both"/>
              <w:rPr>
                <w:rFonts w:ascii="Traditional Arabic" w:hAnsi="Traditional Arabic" w:cs="Traditional Arabic"/>
                <w:b/>
                <w:bCs/>
                <w:sz w:val="30"/>
                <w:szCs w:val="30"/>
                <w:rtl/>
                <w:lang w:val="en-GB"/>
              </w:rPr>
            </w:pPr>
            <w:r w:rsidRPr="00AD355E">
              <w:rPr>
                <w:rFonts w:ascii="Traditional Arabic" w:hAnsi="Traditional Arabic" w:cs="Traditional Arabic" w:hint="cs"/>
                <w:b/>
                <w:bCs/>
                <w:sz w:val="30"/>
                <w:szCs w:val="30"/>
                <w:rtl/>
                <w:lang w:val="en-GB"/>
              </w:rPr>
              <w:t>وثلاث مؤسسات دولية</w:t>
            </w:r>
          </w:p>
          <w:p w14:paraId="1773B235" w14:textId="77777777" w:rsidR="00281A2C" w:rsidRPr="00EB5BCF" w:rsidRDefault="00281A2C" w:rsidP="000953EC">
            <w:pPr>
              <w:pStyle w:val="BodyText1"/>
              <w:bidi/>
              <w:rPr>
                <w:rFonts w:ascii="Traditional Arabic" w:hAnsi="Traditional Arabic" w:cs="Traditional Arabic"/>
                <w:sz w:val="30"/>
                <w:szCs w:val="30"/>
                <w:rtl/>
                <w:lang w:bidi="ar-EG"/>
              </w:rPr>
            </w:pPr>
          </w:p>
        </w:tc>
      </w:tr>
      <w:tr w:rsidR="00010336" w:rsidRPr="00EB5BCF" w14:paraId="6724FB47" w14:textId="77777777" w:rsidTr="004C2C8B">
        <w:tc>
          <w:tcPr>
            <w:tcW w:w="2516" w:type="dxa"/>
          </w:tcPr>
          <w:p w14:paraId="26CDB040" w14:textId="77777777" w:rsidR="00010336" w:rsidRPr="00EB5BCF" w:rsidRDefault="00010336" w:rsidP="00B9223D">
            <w:pPr>
              <w:bidi/>
              <w:rPr>
                <w:rFonts w:ascii="Traditional Arabic" w:hAnsi="Traditional Arabic" w:cs="Traditional Arabic"/>
                <w:bCs/>
                <w:sz w:val="30"/>
                <w:szCs w:val="30"/>
                <w:rtl/>
              </w:rPr>
            </w:pPr>
            <w:r>
              <w:rPr>
                <w:rFonts w:ascii="Traditional Arabic" w:hAnsi="Traditional Arabic" w:cs="Traditional Arabic" w:hint="cs"/>
                <w:bCs/>
                <w:sz w:val="30"/>
                <w:szCs w:val="30"/>
                <w:rtl/>
              </w:rPr>
              <w:t>مدير سجل الاكتتاب المشترك</w:t>
            </w:r>
          </w:p>
        </w:tc>
        <w:tc>
          <w:tcPr>
            <w:tcW w:w="6834" w:type="dxa"/>
          </w:tcPr>
          <w:p w14:paraId="3BEF51E1" w14:textId="77777777" w:rsidR="00010336" w:rsidRPr="00AD355E" w:rsidRDefault="007E18D4" w:rsidP="00010336">
            <w:pPr>
              <w:tabs>
                <w:tab w:val="left" w:leader="dot" w:pos="3672"/>
              </w:tabs>
              <w:bidi/>
              <w:jc w:val="both"/>
              <w:rPr>
                <w:rFonts w:ascii="Traditional Arabic" w:hAnsi="Traditional Arabic" w:cs="Traditional Arabic"/>
                <w:b/>
                <w:bCs/>
                <w:sz w:val="30"/>
                <w:szCs w:val="30"/>
                <w:rtl/>
                <w:lang w:val="en-GB"/>
              </w:rPr>
            </w:pPr>
            <w:r w:rsidRPr="008253CE">
              <w:rPr>
                <w:rFonts w:ascii="Traditional Arabic" w:hAnsi="Traditional Arabic" w:cs="Traditional Arabic" w:hint="cs"/>
                <w:b/>
                <w:bCs/>
                <w:sz w:val="30"/>
                <w:szCs w:val="30"/>
                <w:rtl/>
                <w:lang w:val="en-GB"/>
              </w:rPr>
              <w:t>مؤسستان دوليتان</w:t>
            </w:r>
          </w:p>
        </w:tc>
      </w:tr>
      <w:tr w:rsidR="007570F6" w:rsidRPr="00EB5BCF" w14:paraId="73A80B91" w14:textId="77777777" w:rsidTr="004C2C8B">
        <w:tc>
          <w:tcPr>
            <w:tcW w:w="2516" w:type="dxa"/>
          </w:tcPr>
          <w:p w14:paraId="10C8CB22" w14:textId="77777777" w:rsidR="007570F6" w:rsidRPr="00EB5BCF" w:rsidRDefault="00875310" w:rsidP="00B9223D">
            <w:pPr>
              <w:bidi/>
              <w:rPr>
                <w:rFonts w:ascii="Traditional Arabic" w:hAnsi="Traditional Arabic" w:cs="Traditional Arabic"/>
                <w:bCs/>
                <w:sz w:val="30"/>
                <w:szCs w:val="30"/>
              </w:rPr>
            </w:pPr>
            <w:r w:rsidRPr="00EB5BCF">
              <w:rPr>
                <w:rFonts w:ascii="Traditional Arabic" w:hAnsi="Traditional Arabic" w:cs="Traditional Arabic" w:hint="eastAsia"/>
                <w:bCs/>
                <w:sz w:val="30"/>
                <w:szCs w:val="30"/>
                <w:rtl/>
              </w:rPr>
              <w:t>وكلاء</w:t>
            </w:r>
            <w:r w:rsidRPr="00EB5BCF">
              <w:rPr>
                <w:rFonts w:ascii="Traditional Arabic" w:hAnsi="Traditional Arabic" w:cs="Traditional Arabic"/>
                <w:bCs/>
                <w:sz w:val="30"/>
                <w:szCs w:val="30"/>
                <w:rtl/>
              </w:rPr>
              <w:t xml:space="preserve"> تحصيل </w:t>
            </w:r>
            <w:r w:rsidR="00AC30E4" w:rsidRPr="00EB5BCF">
              <w:rPr>
                <w:rFonts w:ascii="Traditional Arabic" w:hAnsi="Traditional Arabic" w:cs="Traditional Arabic" w:hint="eastAsia"/>
                <w:bCs/>
                <w:sz w:val="30"/>
                <w:szCs w:val="30"/>
                <w:rtl/>
              </w:rPr>
              <w:t>طرح</w:t>
            </w:r>
            <w:r w:rsidR="00AC30E4" w:rsidRPr="00EB5BCF">
              <w:rPr>
                <w:rFonts w:ascii="Traditional Arabic" w:hAnsi="Traditional Arabic" w:cs="Traditional Arabic"/>
                <w:bCs/>
                <w:sz w:val="30"/>
                <w:szCs w:val="30"/>
                <w:rtl/>
              </w:rPr>
              <w:t xml:space="preserve"> </w:t>
            </w:r>
            <w:r w:rsidRPr="00EB5BCF">
              <w:rPr>
                <w:rFonts w:ascii="Traditional Arabic" w:hAnsi="Traditional Arabic" w:cs="Traditional Arabic" w:hint="eastAsia"/>
                <w:bCs/>
                <w:sz w:val="30"/>
                <w:szCs w:val="30"/>
                <w:rtl/>
              </w:rPr>
              <w:t>المرحلة</w:t>
            </w:r>
            <w:r w:rsidRPr="00EB5BCF">
              <w:rPr>
                <w:rFonts w:ascii="Traditional Arabic" w:hAnsi="Traditional Arabic" w:cs="Traditional Arabic"/>
                <w:bCs/>
                <w:sz w:val="30"/>
                <w:szCs w:val="30"/>
                <w:rtl/>
              </w:rPr>
              <w:t xml:space="preserve"> </w:t>
            </w:r>
            <w:r w:rsidRPr="00EB5BCF">
              <w:rPr>
                <w:rFonts w:ascii="Traditional Arabic" w:hAnsi="Traditional Arabic" w:cs="Traditional Arabic" w:hint="eastAsia"/>
                <w:bCs/>
                <w:sz w:val="30"/>
                <w:szCs w:val="30"/>
                <w:rtl/>
              </w:rPr>
              <w:t>الأولى</w:t>
            </w:r>
          </w:p>
        </w:tc>
        <w:tc>
          <w:tcPr>
            <w:tcW w:w="6834" w:type="dxa"/>
          </w:tcPr>
          <w:p w14:paraId="02257FE4" w14:textId="09174A32" w:rsidR="00F1281F" w:rsidRPr="00EB5BCF" w:rsidRDefault="008F7D39" w:rsidP="00331665">
            <w:pPr>
              <w:tabs>
                <w:tab w:val="left" w:leader="dot" w:pos="3672"/>
              </w:tabs>
              <w:bidi/>
              <w:jc w:val="both"/>
              <w:rPr>
                <w:rFonts w:ascii="Traditional Arabic" w:hAnsi="Traditional Arabic" w:cs="Traditional Arabic"/>
                <w:sz w:val="30"/>
                <w:szCs w:val="30"/>
                <w:rtl/>
                <w:lang w:bidi="ar-OM"/>
              </w:rPr>
            </w:pPr>
            <w:r>
              <w:rPr>
                <w:rFonts w:ascii="Traditional Arabic" w:hAnsi="Traditional Arabic" w:cs="Traditional Arabic" w:hint="cs"/>
                <w:b/>
                <w:sz w:val="30"/>
                <w:szCs w:val="30"/>
                <w:rtl/>
                <w:lang w:val="en-GB"/>
              </w:rPr>
              <w:t>بنك صحار الدولي ش.م.ع.ع ، و</w:t>
            </w:r>
            <w:r>
              <w:rPr>
                <w:rFonts w:ascii="Traditional Arabic" w:hAnsi="Traditional Arabic" w:cs="Traditional Arabic" w:hint="cs"/>
                <w:b/>
                <w:sz w:val="30"/>
                <w:szCs w:val="30"/>
                <w:rtl/>
                <w:lang w:val="en-GB" w:bidi="ar-EG"/>
              </w:rPr>
              <w:t>بنك مسقط ش.م.ع.ع، و</w:t>
            </w:r>
            <w:r w:rsidR="002B20A4" w:rsidRPr="00240371">
              <w:rPr>
                <w:rFonts w:ascii="Traditional Arabic" w:hAnsi="Traditional Arabic" w:cs="Traditional Arabic" w:hint="eastAsia"/>
                <w:b/>
                <w:sz w:val="30"/>
                <w:szCs w:val="30"/>
                <w:rtl/>
                <w:lang w:val="en-GB" w:bidi="ar-OM"/>
              </w:rPr>
              <w:t>ال</w:t>
            </w:r>
            <w:r>
              <w:rPr>
                <w:rFonts w:ascii="Traditional Arabic" w:hAnsi="Traditional Arabic" w:cs="Traditional Arabic" w:hint="cs"/>
                <w:b/>
                <w:sz w:val="30"/>
                <w:szCs w:val="30"/>
                <w:rtl/>
                <w:lang w:val="en-GB" w:bidi="ar-EG"/>
              </w:rPr>
              <w:t xml:space="preserve">بنك الاهلي ش.م.ع.ع، وبنك ظفار ش.م.ع.ع، والبنك الوطني العماني ش.م.ع.ع، وبنك عمان العربي </w:t>
            </w:r>
            <w:r>
              <w:rPr>
                <w:rFonts w:ascii="Traditional Arabic" w:hAnsi="Traditional Arabic" w:cs="Traditional Arabic" w:hint="cs"/>
                <w:b/>
                <w:sz w:val="30"/>
                <w:szCs w:val="30"/>
                <w:rtl/>
                <w:lang w:val="en-GB" w:bidi="ar-EG"/>
              </w:rPr>
              <w:lastRenderedPageBreak/>
              <w:t>ش.م.ع.ع</w:t>
            </w:r>
            <w:r>
              <w:rPr>
                <w:rFonts w:ascii="Traditional Arabic" w:hAnsi="Traditional Arabic" w:cs="Traditional Arabic" w:hint="cs"/>
                <w:b/>
                <w:sz w:val="30"/>
                <w:szCs w:val="30"/>
                <w:rtl/>
              </w:rPr>
              <w:t>، و</w:t>
            </w:r>
            <w:r w:rsidRPr="00C27D3F">
              <w:rPr>
                <w:rFonts w:ascii="Traditional Arabic" w:hAnsi="Traditional Arabic" w:cs="Traditional Arabic" w:hint="cs"/>
                <w:sz w:val="30"/>
                <w:szCs w:val="30"/>
                <w:rtl/>
              </w:rPr>
              <w:t>الافاق</w:t>
            </w:r>
            <w:r w:rsidRPr="00C27D3F">
              <w:rPr>
                <w:rFonts w:ascii="Traditional Arabic" w:hAnsi="Traditional Arabic" w:cs="Traditional Arabic"/>
                <w:sz w:val="30"/>
                <w:szCs w:val="30"/>
                <w:rtl/>
              </w:rPr>
              <w:t xml:space="preserve"> </w:t>
            </w:r>
            <w:r w:rsidRPr="00C27D3F">
              <w:rPr>
                <w:rFonts w:ascii="Traditional Arabic" w:hAnsi="Traditional Arabic" w:cs="Traditional Arabic" w:hint="cs"/>
                <w:sz w:val="30"/>
                <w:szCs w:val="30"/>
                <w:rtl/>
              </w:rPr>
              <w:t>ل</w:t>
            </w:r>
            <w:r>
              <w:rPr>
                <w:rFonts w:ascii="Traditional Arabic" w:hAnsi="Traditional Arabic" w:cs="Traditional Arabic" w:hint="cs"/>
                <w:sz w:val="30"/>
                <w:szCs w:val="30"/>
                <w:rtl/>
              </w:rPr>
              <w:t>أ</w:t>
            </w:r>
            <w:r w:rsidRPr="00C27D3F">
              <w:rPr>
                <w:rFonts w:ascii="Traditional Arabic" w:hAnsi="Traditional Arabic" w:cs="Traditional Arabic" w:hint="cs"/>
                <w:sz w:val="30"/>
                <w:szCs w:val="30"/>
                <w:rtl/>
              </w:rPr>
              <w:t>سواق</w:t>
            </w:r>
            <w:r w:rsidRPr="00C27D3F">
              <w:rPr>
                <w:rFonts w:ascii="Traditional Arabic" w:hAnsi="Traditional Arabic" w:cs="Traditional Arabic"/>
                <w:sz w:val="30"/>
                <w:szCs w:val="30"/>
                <w:rtl/>
              </w:rPr>
              <w:t xml:space="preserve"> </w:t>
            </w:r>
            <w:r w:rsidRPr="00C27D3F">
              <w:rPr>
                <w:rFonts w:ascii="Traditional Arabic" w:hAnsi="Traditional Arabic" w:cs="Traditional Arabic" w:hint="cs"/>
                <w:sz w:val="30"/>
                <w:szCs w:val="30"/>
                <w:rtl/>
              </w:rPr>
              <w:t>المال</w:t>
            </w:r>
            <w:r w:rsidRPr="00C27D3F">
              <w:rPr>
                <w:rFonts w:ascii="Traditional Arabic" w:hAnsi="Traditional Arabic" w:cs="Traditional Arabic"/>
                <w:sz w:val="30"/>
                <w:szCs w:val="30"/>
                <w:rtl/>
              </w:rPr>
              <w:t xml:space="preserve"> </w:t>
            </w:r>
            <w:r w:rsidRPr="00C27D3F">
              <w:rPr>
                <w:rFonts w:ascii="Traditional Arabic" w:hAnsi="Traditional Arabic" w:cs="Traditional Arabic" w:hint="cs"/>
                <w:sz w:val="30"/>
                <w:szCs w:val="30"/>
                <w:rtl/>
              </w:rPr>
              <w:t>ش</w:t>
            </w:r>
            <w:r>
              <w:rPr>
                <w:rFonts w:ascii="Traditional Arabic" w:hAnsi="Traditional Arabic" w:cs="Traditional Arabic" w:hint="cs"/>
                <w:sz w:val="30"/>
                <w:szCs w:val="30"/>
                <w:rtl/>
              </w:rPr>
              <w:t>.</w:t>
            </w:r>
            <w:r w:rsidRPr="00C27D3F">
              <w:rPr>
                <w:rFonts w:ascii="Traditional Arabic" w:hAnsi="Traditional Arabic" w:cs="Traditional Arabic" w:hint="cs"/>
                <w:sz w:val="30"/>
                <w:szCs w:val="30"/>
                <w:rtl/>
              </w:rPr>
              <w:t>م</w:t>
            </w:r>
            <w:r>
              <w:rPr>
                <w:rFonts w:ascii="Traditional Arabic" w:hAnsi="Traditional Arabic" w:cs="Traditional Arabic" w:hint="cs"/>
                <w:sz w:val="30"/>
                <w:szCs w:val="30"/>
                <w:rtl/>
              </w:rPr>
              <w:t>.</w:t>
            </w:r>
            <w:r w:rsidRPr="00C27D3F">
              <w:rPr>
                <w:rFonts w:ascii="Traditional Arabic" w:hAnsi="Traditional Arabic" w:cs="Traditional Arabic" w:hint="cs"/>
                <w:sz w:val="30"/>
                <w:szCs w:val="30"/>
                <w:rtl/>
              </w:rPr>
              <w:t>ع</w:t>
            </w:r>
            <w:r>
              <w:rPr>
                <w:rFonts w:ascii="Traditional Arabic" w:hAnsi="Traditional Arabic" w:cs="Traditional Arabic" w:hint="cs"/>
                <w:sz w:val="30"/>
                <w:szCs w:val="30"/>
                <w:rtl/>
              </w:rPr>
              <w:t>.</w:t>
            </w:r>
            <w:r w:rsidRPr="00C27D3F">
              <w:rPr>
                <w:rFonts w:ascii="Traditional Arabic" w:hAnsi="Traditional Arabic" w:cs="Traditional Arabic" w:hint="cs"/>
                <w:sz w:val="30"/>
                <w:szCs w:val="30"/>
                <w:rtl/>
              </w:rPr>
              <w:t>م</w:t>
            </w:r>
            <w:r>
              <w:rPr>
                <w:rFonts w:ascii="Traditional Arabic" w:hAnsi="Traditional Arabic" w:cs="Traditional Arabic" w:hint="cs"/>
                <w:sz w:val="30"/>
                <w:szCs w:val="30"/>
                <w:rtl/>
              </w:rPr>
              <w:t>، و</w:t>
            </w:r>
            <w:r w:rsidRPr="00EA15DF">
              <w:rPr>
                <w:rFonts w:ascii="Traditional Arabic" w:hAnsi="Traditional Arabic" w:cs="Traditional Arabic" w:hint="cs"/>
                <w:sz w:val="30"/>
                <w:szCs w:val="30"/>
                <w:rtl/>
              </w:rPr>
              <w:t>جبل</w:t>
            </w:r>
            <w:r w:rsidRPr="00EA15DF">
              <w:rPr>
                <w:rFonts w:ascii="Traditional Arabic" w:hAnsi="Traditional Arabic" w:cs="Traditional Arabic"/>
                <w:sz w:val="30"/>
                <w:szCs w:val="30"/>
                <w:rtl/>
              </w:rPr>
              <w:t xml:space="preserve"> </w:t>
            </w:r>
            <w:r w:rsidRPr="00EA15DF">
              <w:rPr>
                <w:rFonts w:ascii="Traditional Arabic" w:hAnsi="Traditional Arabic" w:cs="Traditional Arabic" w:hint="cs"/>
                <w:sz w:val="30"/>
                <w:szCs w:val="30"/>
                <w:rtl/>
              </w:rPr>
              <w:t>لإدارة</w:t>
            </w:r>
            <w:r w:rsidRPr="00EA15DF">
              <w:rPr>
                <w:rFonts w:ascii="Traditional Arabic" w:hAnsi="Traditional Arabic" w:cs="Traditional Arabic"/>
                <w:sz w:val="30"/>
                <w:szCs w:val="30"/>
                <w:rtl/>
              </w:rPr>
              <w:t xml:space="preserve"> </w:t>
            </w:r>
            <w:r w:rsidRPr="00EA15DF">
              <w:rPr>
                <w:rFonts w:ascii="Traditional Arabic" w:hAnsi="Traditional Arabic" w:cs="Traditional Arabic" w:hint="cs"/>
                <w:sz w:val="30"/>
                <w:szCs w:val="30"/>
                <w:rtl/>
              </w:rPr>
              <w:t>الأصول</w:t>
            </w:r>
            <w:r w:rsidRPr="00EA15DF">
              <w:rPr>
                <w:rFonts w:ascii="Traditional Arabic" w:hAnsi="Traditional Arabic" w:cs="Traditional Arabic"/>
                <w:sz w:val="30"/>
                <w:szCs w:val="30"/>
                <w:rtl/>
              </w:rPr>
              <w:t xml:space="preserve"> </w:t>
            </w:r>
            <w:r w:rsidRPr="00EA15DF">
              <w:rPr>
                <w:rFonts w:ascii="Traditional Arabic" w:hAnsi="Traditional Arabic" w:cs="Traditional Arabic" w:hint="cs"/>
                <w:sz w:val="30"/>
                <w:szCs w:val="30"/>
                <w:rtl/>
              </w:rPr>
              <w:t>ش</w:t>
            </w:r>
            <w:r>
              <w:rPr>
                <w:rFonts w:ascii="Traditional Arabic" w:hAnsi="Traditional Arabic" w:cs="Traditional Arabic" w:hint="cs"/>
                <w:sz w:val="30"/>
                <w:szCs w:val="30"/>
                <w:rtl/>
              </w:rPr>
              <w:t>.</w:t>
            </w:r>
            <w:r w:rsidRPr="00EA15DF">
              <w:rPr>
                <w:rFonts w:ascii="Traditional Arabic" w:hAnsi="Traditional Arabic" w:cs="Traditional Arabic" w:hint="cs"/>
                <w:sz w:val="30"/>
                <w:szCs w:val="30"/>
                <w:rtl/>
              </w:rPr>
              <w:t>م</w:t>
            </w:r>
            <w:r>
              <w:rPr>
                <w:rFonts w:ascii="Traditional Arabic" w:hAnsi="Traditional Arabic" w:cs="Traditional Arabic" w:hint="cs"/>
                <w:sz w:val="30"/>
                <w:szCs w:val="30"/>
                <w:rtl/>
              </w:rPr>
              <w:t>.</w:t>
            </w:r>
            <w:r w:rsidRPr="00EA15DF">
              <w:rPr>
                <w:rFonts w:ascii="Traditional Arabic" w:hAnsi="Traditional Arabic" w:cs="Traditional Arabic" w:hint="cs"/>
                <w:sz w:val="30"/>
                <w:szCs w:val="30"/>
                <w:rtl/>
              </w:rPr>
              <w:t>م</w:t>
            </w:r>
            <w:r>
              <w:rPr>
                <w:rFonts w:ascii="Traditional Arabic" w:hAnsi="Traditional Arabic" w:cs="Traditional Arabic" w:hint="cs"/>
                <w:sz w:val="30"/>
                <w:szCs w:val="30"/>
                <w:rtl/>
              </w:rPr>
              <w:t>، و</w:t>
            </w:r>
            <w:r w:rsidRPr="00A660EB">
              <w:rPr>
                <w:rFonts w:ascii="Traditional Arabic" w:hAnsi="Traditional Arabic" w:cs="Traditional Arabic" w:hint="cs"/>
                <w:sz w:val="30"/>
                <w:szCs w:val="30"/>
                <w:rtl/>
              </w:rPr>
              <w:t>شركة</w:t>
            </w:r>
            <w:r w:rsidRPr="00A660EB">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اوبار</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للاستثمارات</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المالية</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ش.م.ع.م، والشركة</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المتحدة</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لل</w:t>
            </w:r>
            <w:r>
              <w:rPr>
                <w:rFonts w:ascii="Traditional Arabic" w:hAnsi="Traditional Arabic" w:cs="Traditional Arabic" w:hint="cs"/>
                <w:sz w:val="30"/>
                <w:szCs w:val="30"/>
                <w:rtl/>
              </w:rPr>
              <w:t>أ</w:t>
            </w:r>
            <w:r w:rsidRPr="00CC73F3">
              <w:rPr>
                <w:rFonts w:ascii="Traditional Arabic" w:hAnsi="Traditional Arabic" w:cs="Traditional Arabic" w:hint="cs"/>
                <w:sz w:val="30"/>
                <w:szCs w:val="30"/>
                <w:rtl/>
              </w:rPr>
              <w:t>وراق</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المالية</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ش</w:t>
            </w:r>
            <w:r>
              <w:rPr>
                <w:rFonts w:ascii="Traditional Arabic" w:hAnsi="Traditional Arabic" w:cs="Traditional Arabic" w:hint="cs"/>
                <w:sz w:val="30"/>
                <w:szCs w:val="30"/>
                <w:rtl/>
              </w:rPr>
              <w:t>.</w:t>
            </w:r>
            <w:r w:rsidRPr="00CC73F3">
              <w:rPr>
                <w:rFonts w:ascii="Traditional Arabic" w:hAnsi="Traditional Arabic" w:cs="Traditional Arabic" w:hint="cs"/>
                <w:sz w:val="30"/>
                <w:szCs w:val="30"/>
                <w:rtl/>
              </w:rPr>
              <w:t>م</w:t>
            </w:r>
            <w:r>
              <w:rPr>
                <w:rFonts w:ascii="Traditional Arabic" w:hAnsi="Traditional Arabic" w:cs="Traditional Arabic" w:hint="cs"/>
                <w:sz w:val="30"/>
                <w:szCs w:val="30"/>
                <w:rtl/>
              </w:rPr>
              <w:t>.</w:t>
            </w:r>
            <w:r w:rsidRPr="00CC73F3">
              <w:rPr>
                <w:rFonts w:ascii="Traditional Arabic" w:hAnsi="Traditional Arabic" w:cs="Traditional Arabic" w:hint="cs"/>
                <w:sz w:val="30"/>
                <w:szCs w:val="30"/>
                <w:rtl/>
              </w:rPr>
              <w:t>م، والرؤية</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للأوراق</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المالية</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ش</w:t>
            </w:r>
            <w:r>
              <w:rPr>
                <w:rFonts w:ascii="Traditional Arabic" w:hAnsi="Traditional Arabic" w:cs="Traditional Arabic" w:hint="cs"/>
                <w:sz w:val="30"/>
                <w:szCs w:val="30"/>
                <w:rtl/>
              </w:rPr>
              <w:t>.</w:t>
            </w:r>
            <w:r w:rsidRPr="00CC73F3">
              <w:rPr>
                <w:rFonts w:ascii="Traditional Arabic" w:hAnsi="Traditional Arabic" w:cs="Traditional Arabic" w:hint="cs"/>
                <w:sz w:val="30"/>
                <w:szCs w:val="30"/>
                <w:rtl/>
              </w:rPr>
              <w:t>م</w:t>
            </w:r>
            <w:r>
              <w:rPr>
                <w:rFonts w:ascii="Traditional Arabic" w:hAnsi="Traditional Arabic" w:cs="Traditional Arabic" w:hint="cs"/>
                <w:sz w:val="30"/>
                <w:szCs w:val="30"/>
                <w:rtl/>
              </w:rPr>
              <w:t>.</w:t>
            </w:r>
            <w:r w:rsidRPr="00CC73F3">
              <w:rPr>
                <w:rFonts w:ascii="Traditional Arabic" w:hAnsi="Traditional Arabic" w:cs="Traditional Arabic" w:hint="cs"/>
                <w:sz w:val="30"/>
                <w:szCs w:val="30"/>
                <w:rtl/>
              </w:rPr>
              <w:t>م، و</w:t>
            </w:r>
            <w:r w:rsidRPr="00CC73F3">
              <w:rPr>
                <w:rFonts w:ascii="TimesNewRomanPS-BoldMT" w:eastAsiaTheme="minorHAnsi" w:hAnsiTheme="minorHAnsi" w:cs="TimesNewRomanPS-BoldMT" w:hint="cs"/>
                <w:szCs w:val="20"/>
                <w:rtl/>
              </w:rPr>
              <w:t xml:space="preserve"> </w:t>
            </w:r>
            <w:r w:rsidRPr="00CC73F3">
              <w:rPr>
                <w:rFonts w:ascii="Traditional Arabic" w:hAnsi="Traditional Arabic" w:cs="Traditional Arabic" w:hint="cs"/>
                <w:sz w:val="30"/>
                <w:szCs w:val="30"/>
                <w:rtl/>
              </w:rPr>
              <w:t>سي</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اف</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اي</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المالية</w:t>
            </w:r>
            <w:r w:rsidRPr="00CC73F3">
              <w:rPr>
                <w:rFonts w:ascii="Traditional Arabic" w:hAnsi="Traditional Arabic" w:cs="Traditional Arabic"/>
                <w:sz w:val="30"/>
                <w:szCs w:val="30"/>
                <w:rtl/>
              </w:rPr>
              <w:t xml:space="preserve"> </w:t>
            </w:r>
            <w:r w:rsidRPr="00CC73F3">
              <w:rPr>
                <w:rFonts w:ascii="Traditional Arabic" w:hAnsi="Traditional Arabic" w:cs="Traditional Arabic" w:hint="cs"/>
                <w:sz w:val="30"/>
                <w:szCs w:val="30"/>
                <w:rtl/>
              </w:rPr>
              <w:t>ش</w:t>
            </w:r>
            <w:r>
              <w:rPr>
                <w:rFonts w:ascii="Traditional Arabic" w:hAnsi="Traditional Arabic" w:cs="Traditional Arabic" w:hint="cs"/>
                <w:sz w:val="30"/>
                <w:szCs w:val="30"/>
                <w:rtl/>
              </w:rPr>
              <w:t>.</w:t>
            </w:r>
            <w:r w:rsidRPr="00CC73F3">
              <w:rPr>
                <w:rFonts w:ascii="Traditional Arabic" w:hAnsi="Traditional Arabic" w:cs="Traditional Arabic" w:hint="cs"/>
                <w:sz w:val="30"/>
                <w:szCs w:val="30"/>
                <w:rtl/>
              </w:rPr>
              <w:t>م</w:t>
            </w:r>
            <w:r>
              <w:rPr>
                <w:rFonts w:ascii="Traditional Arabic" w:hAnsi="Traditional Arabic" w:cs="Traditional Arabic" w:hint="cs"/>
                <w:sz w:val="30"/>
                <w:szCs w:val="30"/>
                <w:rtl/>
              </w:rPr>
              <w:t>.</w:t>
            </w:r>
            <w:r w:rsidRPr="00CC73F3">
              <w:rPr>
                <w:rFonts w:ascii="Traditional Arabic" w:hAnsi="Traditional Arabic" w:cs="Traditional Arabic" w:hint="cs"/>
                <w:sz w:val="30"/>
                <w:szCs w:val="30"/>
                <w:rtl/>
              </w:rPr>
              <w:t>م</w:t>
            </w:r>
            <w:r w:rsidR="00A43075">
              <w:rPr>
                <w:rFonts w:ascii="Traditional Arabic" w:hAnsi="Traditional Arabic" w:cs="Traditional Arabic" w:hint="cs"/>
                <w:sz w:val="30"/>
                <w:szCs w:val="30"/>
                <w:rtl/>
              </w:rPr>
              <w:t>، و</w:t>
            </w:r>
            <w:r w:rsidR="00331665" w:rsidRPr="00331665">
              <w:rPr>
                <w:rtl/>
                <w:lang w:eastAsia="en-US"/>
              </w:rPr>
              <w:t xml:space="preserve"> </w:t>
            </w:r>
            <w:r w:rsidR="00331665" w:rsidRPr="00331665">
              <w:rPr>
                <w:rFonts w:ascii="Traditional Arabic" w:hAnsi="Traditional Arabic" w:cs="Traditional Arabic"/>
                <w:sz w:val="30"/>
                <w:szCs w:val="30"/>
                <w:rtl/>
              </w:rPr>
              <w:t>شركة الخدمات المالية ش</w:t>
            </w:r>
            <w:r w:rsidR="00331665">
              <w:rPr>
                <w:rFonts w:ascii="Traditional Arabic" w:hAnsi="Traditional Arabic" w:cs="Traditional Arabic" w:hint="cs"/>
                <w:sz w:val="30"/>
                <w:szCs w:val="30"/>
                <w:rtl/>
              </w:rPr>
              <w:t>.</w:t>
            </w:r>
            <w:r w:rsidR="00331665" w:rsidRPr="00331665">
              <w:rPr>
                <w:rFonts w:ascii="Traditional Arabic" w:hAnsi="Traditional Arabic" w:cs="Traditional Arabic"/>
                <w:sz w:val="30"/>
                <w:szCs w:val="30"/>
                <w:rtl/>
              </w:rPr>
              <w:t>م</w:t>
            </w:r>
            <w:r w:rsidR="00331665">
              <w:rPr>
                <w:rFonts w:ascii="Traditional Arabic" w:hAnsi="Traditional Arabic" w:cs="Traditional Arabic" w:hint="cs"/>
                <w:sz w:val="30"/>
                <w:szCs w:val="30"/>
                <w:rtl/>
              </w:rPr>
              <w:t>.</w:t>
            </w:r>
            <w:r w:rsidR="00331665" w:rsidRPr="00331665">
              <w:rPr>
                <w:rFonts w:ascii="Traditional Arabic" w:hAnsi="Traditional Arabic" w:cs="Traditional Arabic"/>
                <w:sz w:val="30"/>
                <w:szCs w:val="30"/>
                <w:rtl/>
              </w:rPr>
              <w:t>ع</w:t>
            </w:r>
            <w:r w:rsidR="00331665">
              <w:rPr>
                <w:rFonts w:ascii="Traditional Arabic" w:hAnsi="Traditional Arabic" w:cs="Traditional Arabic" w:hint="cs"/>
                <w:sz w:val="30"/>
                <w:szCs w:val="30"/>
                <w:rtl/>
              </w:rPr>
              <w:t>.</w:t>
            </w:r>
            <w:r w:rsidR="00331665" w:rsidRPr="00331665">
              <w:rPr>
                <w:rFonts w:ascii="Traditional Arabic" w:hAnsi="Traditional Arabic" w:cs="Traditional Arabic"/>
                <w:sz w:val="30"/>
                <w:szCs w:val="30"/>
                <w:rtl/>
              </w:rPr>
              <w:t>ع</w:t>
            </w:r>
            <w:r w:rsidR="00331665">
              <w:rPr>
                <w:rFonts w:ascii="Traditional Arabic" w:hAnsi="Traditional Arabic" w:cs="Traditional Arabic" w:hint="cs"/>
                <w:sz w:val="30"/>
                <w:szCs w:val="30"/>
                <w:rtl/>
              </w:rPr>
              <w:t>.</w:t>
            </w:r>
            <w:r>
              <w:rPr>
                <w:rFonts w:ascii="Traditional Arabic" w:hAnsi="Traditional Arabic" w:cs="Traditional Arabic" w:hint="cs"/>
                <w:b/>
                <w:sz w:val="30"/>
                <w:szCs w:val="30"/>
                <w:rtl/>
                <w:lang w:val="en-GB" w:bidi="ar-EG"/>
              </w:rPr>
              <w:t xml:space="preserve"> </w:t>
            </w:r>
            <w:r w:rsidRPr="00EB5BCF">
              <w:rPr>
                <w:rFonts w:ascii="Traditional Arabic" w:hAnsi="Traditional Arabic" w:cs="Traditional Arabic"/>
                <w:b/>
                <w:sz w:val="30"/>
                <w:szCs w:val="30"/>
                <w:rtl/>
                <w:lang w:val="en-GB" w:bidi="ar-EG"/>
              </w:rPr>
              <w:t xml:space="preserve"> </w:t>
            </w:r>
          </w:p>
        </w:tc>
      </w:tr>
      <w:tr w:rsidR="0063729E" w:rsidRPr="00EB5BCF" w14:paraId="1ECDA44F" w14:textId="77777777" w:rsidTr="004C2C8B">
        <w:tc>
          <w:tcPr>
            <w:tcW w:w="2516" w:type="dxa"/>
          </w:tcPr>
          <w:p w14:paraId="10D0AD4C" w14:textId="77777777" w:rsidR="0063729E" w:rsidRPr="00EB5BCF" w:rsidRDefault="0063729E" w:rsidP="00B9223D">
            <w:pPr>
              <w:bidi/>
              <w:rPr>
                <w:rFonts w:ascii="Traditional Arabic" w:hAnsi="Traditional Arabic" w:cs="Traditional Arabic"/>
                <w:bCs/>
                <w:sz w:val="30"/>
                <w:szCs w:val="30"/>
                <w:rtl/>
              </w:rPr>
            </w:pPr>
            <w:r w:rsidRPr="00EB5BCF">
              <w:rPr>
                <w:rFonts w:ascii="Traditional Arabic" w:hAnsi="Traditional Arabic" w:cs="Traditional Arabic"/>
                <w:bCs/>
                <w:sz w:val="30"/>
                <w:szCs w:val="30"/>
                <w:rtl/>
              </w:rPr>
              <w:lastRenderedPageBreak/>
              <w:t>مراقب الحسابات</w:t>
            </w:r>
          </w:p>
        </w:tc>
        <w:tc>
          <w:tcPr>
            <w:tcW w:w="6834" w:type="dxa"/>
          </w:tcPr>
          <w:p w14:paraId="3094EB24" w14:textId="77777777" w:rsidR="0063729E" w:rsidRPr="00EB5BCF" w:rsidRDefault="0063729E" w:rsidP="008252E9">
            <w:pPr>
              <w:keepNext/>
              <w:bidi/>
              <w:rPr>
                <w:rFonts w:ascii="Traditional Arabic" w:hAnsi="Traditional Arabic" w:cs="Traditional Arabic"/>
                <w:b/>
                <w:sz w:val="30"/>
                <w:szCs w:val="30"/>
                <w:rtl/>
                <w:lang w:val="en-GB"/>
              </w:rPr>
            </w:pPr>
            <w:r w:rsidRPr="00EB5BCF">
              <w:rPr>
                <w:rFonts w:ascii="Traditional Arabic" w:hAnsi="Traditional Arabic" w:cs="Traditional Arabic"/>
                <w:bCs/>
                <w:sz w:val="30"/>
                <w:szCs w:val="30"/>
                <w:rtl/>
                <w:lang w:val="en-GB"/>
              </w:rPr>
              <w:t xml:space="preserve">شركة كي بي إم جي </w:t>
            </w:r>
            <w:r w:rsidR="00CD5CD6" w:rsidRPr="00EB5BCF">
              <w:rPr>
                <w:rFonts w:ascii="Traditional Arabic" w:hAnsi="Traditional Arabic" w:cs="Traditional Arabic"/>
                <w:bCs/>
                <w:sz w:val="30"/>
                <w:szCs w:val="30"/>
                <w:rtl/>
                <w:lang w:val="en-GB"/>
              </w:rPr>
              <w:t>ش.م.</w:t>
            </w:r>
            <w:r w:rsidRPr="00EB5BCF">
              <w:rPr>
                <w:rFonts w:ascii="Traditional Arabic" w:hAnsi="Traditional Arabic" w:cs="Traditional Arabic"/>
                <w:bCs/>
                <w:sz w:val="30"/>
                <w:szCs w:val="30"/>
                <w:rtl/>
                <w:lang w:val="en-GB"/>
              </w:rPr>
              <w:t>م</w:t>
            </w:r>
          </w:p>
          <w:p w14:paraId="5C0D9633" w14:textId="77777777" w:rsidR="0063729E" w:rsidRPr="00EB5BCF" w:rsidRDefault="0063729E" w:rsidP="008252E9">
            <w:pPr>
              <w:keepNext/>
              <w:bidi/>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مبنى مكتبة الأطفال العامة، الطابق الرابع</w:t>
            </w:r>
            <w:r w:rsidR="008A425D" w:rsidRPr="00EB5BCF">
              <w:rPr>
                <w:rFonts w:ascii="Traditional Arabic" w:hAnsi="Traditional Arabic" w:cs="Traditional Arabic"/>
                <w:b/>
                <w:sz w:val="30"/>
                <w:szCs w:val="30"/>
                <w:rtl/>
                <w:lang w:val="en-GB"/>
              </w:rPr>
              <w:t xml:space="preserve">، </w:t>
            </w:r>
            <w:r w:rsidRPr="00EB5BCF">
              <w:rPr>
                <w:rFonts w:ascii="Traditional Arabic" w:hAnsi="Traditional Arabic" w:cs="Traditional Arabic"/>
                <w:b/>
                <w:sz w:val="30"/>
                <w:szCs w:val="30"/>
                <w:rtl/>
                <w:lang w:val="en-GB"/>
              </w:rPr>
              <w:t>شاطئ القرم</w:t>
            </w:r>
          </w:p>
          <w:p w14:paraId="1047FF5E" w14:textId="77777777" w:rsidR="0063729E" w:rsidRPr="00EB5BCF" w:rsidRDefault="0063729E" w:rsidP="008252E9">
            <w:pPr>
              <w:keepNext/>
              <w:bidi/>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ص.ب 641، والرمز البريدي 112</w:t>
            </w:r>
          </w:p>
          <w:p w14:paraId="351C6EA6" w14:textId="77777777" w:rsidR="0063729E" w:rsidRPr="00EB5BCF" w:rsidRDefault="0063729E" w:rsidP="008252E9">
            <w:pPr>
              <w:keepNext/>
              <w:bidi/>
              <w:rPr>
                <w:rFonts w:ascii="Traditional Arabic" w:hAnsi="Traditional Arabic" w:cs="Traditional Arabic"/>
                <w:b/>
                <w:sz w:val="30"/>
                <w:szCs w:val="30"/>
                <w:rtl/>
                <w:lang w:val="en-GB"/>
              </w:rPr>
            </w:pPr>
            <w:r w:rsidRPr="00EB5BCF">
              <w:rPr>
                <w:rFonts w:ascii="Traditional Arabic" w:hAnsi="Traditional Arabic" w:cs="Traditional Arabic"/>
                <w:b/>
                <w:sz w:val="30"/>
                <w:szCs w:val="30"/>
                <w:rtl/>
                <w:lang w:val="en-GB"/>
              </w:rPr>
              <w:t>مسقط – سلطنة عمان</w:t>
            </w:r>
          </w:p>
        </w:tc>
      </w:tr>
      <w:tr w:rsidR="00866378" w:rsidRPr="00EB5BCF" w14:paraId="5E31A7C8" w14:textId="77777777" w:rsidTr="004C2C8B">
        <w:tc>
          <w:tcPr>
            <w:tcW w:w="2516" w:type="dxa"/>
          </w:tcPr>
          <w:p w14:paraId="5225218C" w14:textId="77777777" w:rsidR="00F05029" w:rsidRDefault="00F05029" w:rsidP="00CD53BC">
            <w:pPr>
              <w:keepNext/>
              <w:bidi/>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المستشار القانوني عن القانون العماني</w:t>
            </w:r>
          </w:p>
          <w:p w14:paraId="7584D032" w14:textId="77777777" w:rsidR="00866378" w:rsidRPr="00EB5BCF" w:rsidRDefault="00866378" w:rsidP="00B9223D">
            <w:pPr>
              <w:bidi/>
              <w:rPr>
                <w:rFonts w:ascii="Traditional Arabic" w:hAnsi="Traditional Arabic" w:cs="Traditional Arabic"/>
                <w:bCs/>
                <w:sz w:val="30"/>
                <w:szCs w:val="30"/>
                <w:rtl/>
              </w:rPr>
            </w:pPr>
          </w:p>
        </w:tc>
        <w:tc>
          <w:tcPr>
            <w:tcW w:w="6834" w:type="dxa"/>
          </w:tcPr>
          <w:p w14:paraId="0334144A" w14:textId="77777777" w:rsidR="00F05029" w:rsidRPr="00EB5BCF" w:rsidRDefault="00F05029" w:rsidP="00CD53BC">
            <w:pPr>
              <w:keepNext/>
              <w:bidi/>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مكتب المعمرية، والعبري وشركاؤهم للمحاماة والاستشارات القانونية</w:t>
            </w:r>
          </w:p>
          <w:p w14:paraId="7FFB13C0" w14:textId="77777777" w:rsidR="00866378" w:rsidRPr="00EB5BCF" w:rsidRDefault="00F05029" w:rsidP="00F05029">
            <w:pPr>
              <w:keepNext/>
              <w:bidi/>
              <w:rPr>
                <w:rFonts w:ascii="Traditional Arabic" w:hAnsi="Traditional Arabic" w:cs="Traditional Arabic"/>
                <w:bCs/>
                <w:sz w:val="30"/>
                <w:szCs w:val="30"/>
                <w:rtl/>
                <w:lang w:val="en-GB"/>
              </w:rPr>
            </w:pPr>
            <w:r>
              <w:rPr>
                <w:rFonts w:ascii="Traditional Arabic" w:hAnsi="Traditional Arabic" w:cs="Traditional Arabic" w:hint="cs"/>
                <w:b/>
                <w:sz w:val="30"/>
                <w:szCs w:val="30"/>
                <w:rtl/>
                <w:lang w:val="en-GB"/>
              </w:rPr>
              <w:t xml:space="preserve">مبنى المكتب 1991، </w:t>
            </w:r>
            <w:r w:rsidRPr="00EB5BCF">
              <w:rPr>
                <w:rFonts w:ascii="Traditional Arabic" w:hAnsi="Traditional Arabic" w:cs="Traditional Arabic"/>
                <w:b/>
                <w:sz w:val="30"/>
                <w:szCs w:val="30"/>
                <w:rtl/>
                <w:lang w:val="en-GB"/>
              </w:rPr>
              <w:t xml:space="preserve">وحدة </w:t>
            </w:r>
            <w:r>
              <w:rPr>
                <w:rFonts w:ascii="Traditional Arabic" w:hAnsi="Traditional Arabic" w:cs="Traditional Arabic" w:hint="cs"/>
                <w:b/>
                <w:sz w:val="30"/>
                <w:szCs w:val="30"/>
                <w:rtl/>
                <w:lang w:val="en-GB"/>
              </w:rPr>
              <w:t>321/ 322، ص.ب 1963، والرمز البريدي 130</w:t>
            </w:r>
            <w:r w:rsidRPr="00EB5BCF">
              <w:rPr>
                <w:rFonts w:ascii="Traditional Arabic" w:hAnsi="Traditional Arabic" w:cs="Traditional Arabic"/>
                <w:b/>
                <w:sz w:val="30"/>
                <w:szCs w:val="30"/>
                <w:rtl/>
                <w:lang w:val="en-GB"/>
              </w:rPr>
              <w:t>، بوشر – مسقط – سلطنة عمان</w:t>
            </w:r>
          </w:p>
        </w:tc>
      </w:tr>
      <w:tr w:rsidR="00F05029" w:rsidRPr="00EB5BCF" w:rsidDel="00866378" w14:paraId="04275801" w14:textId="77777777" w:rsidTr="004C2C8B">
        <w:tc>
          <w:tcPr>
            <w:tcW w:w="2516" w:type="dxa"/>
          </w:tcPr>
          <w:p w14:paraId="31FE9E51" w14:textId="77777777" w:rsidR="00A0253D" w:rsidRDefault="00A0253D" w:rsidP="00A0253D">
            <w:pPr>
              <w:keepNext/>
              <w:bidi/>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المستشار القانوني عن القانون الإنكليزي</w:t>
            </w:r>
          </w:p>
          <w:p w14:paraId="100C4A2B" w14:textId="77777777" w:rsidR="00F05029" w:rsidRPr="00CD53BC" w:rsidDel="00866378" w:rsidRDefault="00A0253D" w:rsidP="00CD53BC">
            <w:pPr>
              <w:keepNext/>
              <w:bidi/>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وقانون الولايات المتحدة</w:t>
            </w:r>
          </w:p>
        </w:tc>
        <w:tc>
          <w:tcPr>
            <w:tcW w:w="6834" w:type="dxa"/>
          </w:tcPr>
          <w:p w14:paraId="428604B3" w14:textId="77777777" w:rsidR="00A0253D" w:rsidRPr="00EB5BCF" w:rsidRDefault="00A0253D" w:rsidP="00CD53BC">
            <w:pPr>
              <w:keepNext/>
              <w:bidi/>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لينكلاترز إل إل بي</w:t>
            </w:r>
          </w:p>
          <w:p w14:paraId="2A6F1FE5" w14:textId="77777777" w:rsidR="00F05029" w:rsidRPr="00EB5BCF" w:rsidDel="00866378" w:rsidRDefault="00A0253D" w:rsidP="00A0253D">
            <w:pPr>
              <w:keepNext/>
              <w:bidi/>
              <w:rPr>
                <w:rFonts w:ascii="Traditional Arabic" w:hAnsi="Traditional Arabic" w:cs="Traditional Arabic"/>
                <w:bCs/>
                <w:sz w:val="30"/>
                <w:szCs w:val="30"/>
                <w:rtl/>
                <w:lang w:val="en-GB"/>
              </w:rPr>
            </w:pPr>
            <w:r w:rsidRPr="00EB5BCF">
              <w:rPr>
                <w:rFonts w:ascii="Traditional Arabic" w:hAnsi="Traditional Arabic" w:cs="Traditional Arabic"/>
                <w:b/>
                <w:sz w:val="30"/>
                <w:szCs w:val="30"/>
                <w:rtl/>
                <w:lang w:val="en-GB"/>
              </w:rPr>
              <w:t>شارع وان سيلك، لندن إي سي 2 واي 8 اتش كيو – المملكة المتحدة</w:t>
            </w:r>
          </w:p>
        </w:tc>
      </w:tr>
      <w:tr w:rsidR="00A0253D" w:rsidRPr="00EB5BCF" w:rsidDel="00866378" w14:paraId="61E4FF0C" w14:textId="77777777" w:rsidTr="004C2C8B">
        <w:tc>
          <w:tcPr>
            <w:tcW w:w="2516" w:type="dxa"/>
          </w:tcPr>
          <w:p w14:paraId="7467E099" w14:textId="77777777" w:rsidR="003D0A9F" w:rsidRPr="00EB5BCF" w:rsidRDefault="003D0A9F" w:rsidP="003D0A9F">
            <w:pPr>
              <w:keepNext/>
              <w:bidi/>
              <w:rPr>
                <w:rFonts w:ascii="Traditional Arabic" w:hAnsi="Traditional Arabic" w:cs="Traditional Arabic"/>
                <w:b/>
                <w:bCs/>
                <w:sz w:val="30"/>
                <w:szCs w:val="30"/>
                <w:rtl/>
                <w:lang w:val="en-GB" w:bidi="ar-OM"/>
              </w:rPr>
            </w:pPr>
            <w:r w:rsidRPr="00EB5BCF">
              <w:rPr>
                <w:rFonts w:ascii="Traditional Arabic" w:hAnsi="Traditional Arabic" w:cs="Traditional Arabic"/>
                <w:b/>
                <w:bCs/>
                <w:sz w:val="30"/>
                <w:szCs w:val="30"/>
                <w:rtl/>
                <w:lang w:val="en-GB" w:bidi="ar-OM"/>
              </w:rPr>
              <w:t>المستشار</w:t>
            </w:r>
            <w:r>
              <w:rPr>
                <w:rFonts w:ascii="Traditional Arabic" w:hAnsi="Traditional Arabic" w:cs="Traditional Arabic" w:hint="cs"/>
                <w:b/>
                <w:bCs/>
                <w:sz w:val="30"/>
                <w:szCs w:val="30"/>
                <w:rtl/>
                <w:lang w:val="en-GB" w:bidi="ar-OM"/>
              </w:rPr>
              <w:t>ون</w:t>
            </w:r>
            <w:r w:rsidRPr="00EB5BCF">
              <w:rPr>
                <w:rFonts w:ascii="Traditional Arabic" w:hAnsi="Traditional Arabic" w:cs="Traditional Arabic"/>
                <w:b/>
                <w:bCs/>
                <w:sz w:val="30"/>
                <w:szCs w:val="30"/>
                <w:rtl/>
                <w:lang w:val="en-GB" w:bidi="ar-OM"/>
              </w:rPr>
              <w:t xml:space="preserve"> القانوني</w:t>
            </w:r>
            <w:r>
              <w:rPr>
                <w:rFonts w:ascii="Traditional Arabic" w:hAnsi="Traditional Arabic" w:cs="Traditional Arabic" w:hint="cs"/>
                <w:b/>
                <w:bCs/>
                <w:sz w:val="30"/>
                <w:szCs w:val="30"/>
                <w:rtl/>
                <w:lang w:val="en-GB" w:bidi="ar-OM"/>
              </w:rPr>
              <w:t>ون</w:t>
            </w:r>
            <w:r w:rsidRPr="00EB5BCF">
              <w:rPr>
                <w:rFonts w:ascii="Traditional Arabic" w:hAnsi="Traditional Arabic" w:cs="Traditional Arabic"/>
                <w:b/>
                <w:bCs/>
                <w:sz w:val="30"/>
                <w:szCs w:val="30"/>
                <w:rtl/>
                <w:lang w:val="en-GB" w:bidi="ar-OM"/>
              </w:rPr>
              <w:t xml:space="preserve"> عن </w:t>
            </w:r>
            <w:r w:rsidR="00611002">
              <w:rPr>
                <w:rFonts w:ascii="Traditional Arabic" w:hAnsi="Traditional Arabic" w:cs="Traditional Arabic" w:hint="cs"/>
                <w:b/>
                <w:bCs/>
                <w:sz w:val="30"/>
                <w:szCs w:val="30"/>
                <w:rtl/>
                <w:lang w:val="en-GB" w:bidi="ar-OM"/>
              </w:rPr>
              <w:t>المنسق العالمي المشترك، و</w:t>
            </w:r>
            <w:r w:rsidR="00050F71">
              <w:rPr>
                <w:rFonts w:ascii="Traditional Arabic" w:hAnsi="Traditional Arabic" w:cs="Traditional Arabic" w:hint="cs"/>
                <w:b/>
                <w:bCs/>
                <w:sz w:val="30"/>
                <w:szCs w:val="30"/>
                <w:rtl/>
                <w:lang w:val="en-GB" w:bidi="ar-OM"/>
              </w:rPr>
              <w:t>مدير سجل الاكتتاب</w:t>
            </w:r>
            <w:r w:rsidR="00C7022E">
              <w:rPr>
                <w:rFonts w:ascii="Traditional Arabic" w:hAnsi="Traditional Arabic" w:cs="Traditional Arabic"/>
                <w:b/>
                <w:bCs/>
                <w:sz w:val="30"/>
                <w:szCs w:val="30"/>
                <w:rtl/>
                <w:lang w:val="en-GB" w:bidi="ar-OM"/>
              </w:rPr>
              <w:t xml:space="preserve"> المشترك</w:t>
            </w:r>
            <w:r w:rsidRPr="00EB5BCF">
              <w:rPr>
                <w:rFonts w:ascii="Traditional Arabic" w:hAnsi="Traditional Arabic" w:cs="Traditional Arabic" w:hint="eastAsia"/>
                <w:b/>
                <w:bCs/>
                <w:sz w:val="30"/>
                <w:szCs w:val="30"/>
                <w:rtl/>
                <w:lang w:val="en-GB" w:bidi="ar-OM"/>
              </w:rPr>
              <w:t>،</w:t>
            </w:r>
            <w:r w:rsidRPr="00EB5BCF">
              <w:rPr>
                <w:rFonts w:ascii="Traditional Arabic" w:hAnsi="Traditional Arabic" w:cs="Traditional Arabic"/>
                <w:b/>
                <w:bCs/>
                <w:sz w:val="30"/>
                <w:szCs w:val="30"/>
                <w:rtl/>
                <w:lang w:val="en-GB" w:bidi="ar-OM"/>
              </w:rPr>
              <w:t xml:space="preserve"> </w:t>
            </w:r>
            <w:r w:rsidR="00050F71">
              <w:rPr>
                <w:rFonts w:ascii="Traditional Arabic" w:hAnsi="Traditional Arabic" w:cs="Traditional Arabic" w:hint="cs"/>
                <w:b/>
                <w:bCs/>
                <w:sz w:val="30"/>
                <w:szCs w:val="30"/>
                <w:rtl/>
                <w:lang w:val="en-GB" w:bidi="ar-OM"/>
              </w:rPr>
              <w:t>ومدير</w:t>
            </w:r>
            <w:r w:rsidRPr="00EB5BCF">
              <w:rPr>
                <w:rFonts w:ascii="Traditional Arabic" w:hAnsi="Traditional Arabic" w:cs="Traditional Arabic"/>
                <w:b/>
                <w:bCs/>
                <w:sz w:val="30"/>
                <w:szCs w:val="30"/>
                <w:rtl/>
                <w:lang w:val="en-GB" w:bidi="ar-OM"/>
              </w:rPr>
              <w:t xml:space="preserve"> الإصدار، ووكلاء التحصيل </w:t>
            </w:r>
          </w:p>
          <w:p w14:paraId="50203D4D" w14:textId="77777777" w:rsidR="003D0A9F" w:rsidRPr="00EB5BCF" w:rsidRDefault="003D0A9F" w:rsidP="003D0A9F">
            <w:pPr>
              <w:keepNext/>
              <w:bidi/>
              <w:rPr>
                <w:rFonts w:ascii="Traditional Arabic" w:hAnsi="Traditional Arabic" w:cs="Traditional Arabic"/>
                <w:sz w:val="30"/>
                <w:szCs w:val="30"/>
                <w:rtl/>
                <w:lang w:val="en-GB" w:bidi="ar-OM"/>
              </w:rPr>
            </w:pPr>
            <w:r w:rsidRPr="00EB5BCF">
              <w:rPr>
                <w:rFonts w:ascii="Traditional Arabic" w:hAnsi="Traditional Arabic" w:cs="Traditional Arabic"/>
                <w:sz w:val="30"/>
                <w:szCs w:val="30"/>
                <w:rtl/>
                <w:lang w:val="en-GB" w:bidi="ar-OM"/>
              </w:rPr>
              <w:t>عن القانون الإن</w:t>
            </w:r>
            <w:r w:rsidRPr="00EB5BCF">
              <w:rPr>
                <w:rFonts w:ascii="Traditional Arabic" w:hAnsi="Traditional Arabic" w:cs="Traditional Arabic" w:hint="eastAsia"/>
                <w:sz w:val="30"/>
                <w:szCs w:val="30"/>
                <w:rtl/>
                <w:lang w:val="en-GB" w:bidi="ar-OM"/>
              </w:rPr>
              <w:t>ج</w:t>
            </w:r>
            <w:r w:rsidRPr="00EB5BCF">
              <w:rPr>
                <w:rFonts w:ascii="Traditional Arabic" w:hAnsi="Traditional Arabic" w:cs="Traditional Arabic"/>
                <w:sz w:val="30"/>
                <w:szCs w:val="30"/>
                <w:rtl/>
                <w:lang w:val="en-GB" w:bidi="ar-OM"/>
              </w:rPr>
              <w:t>ليزي وقانون الولايات المتحدة</w:t>
            </w:r>
          </w:p>
          <w:p w14:paraId="7FDC8637" w14:textId="77777777" w:rsidR="00A0253D" w:rsidRPr="00EB5BCF" w:rsidRDefault="00A0253D" w:rsidP="00A0253D">
            <w:pPr>
              <w:keepNext/>
              <w:bidi/>
              <w:rPr>
                <w:rFonts w:ascii="Traditional Arabic" w:hAnsi="Traditional Arabic" w:cs="Traditional Arabic"/>
                <w:bCs/>
                <w:sz w:val="30"/>
                <w:szCs w:val="30"/>
                <w:rtl/>
                <w:lang w:val="en-GB" w:bidi="ar-OM"/>
              </w:rPr>
            </w:pPr>
          </w:p>
        </w:tc>
        <w:tc>
          <w:tcPr>
            <w:tcW w:w="6834" w:type="dxa"/>
          </w:tcPr>
          <w:p w14:paraId="4A15E49D" w14:textId="77777777" w:rsidR="003D0A9F" w:rsidRPr="00EB5BCF" w:rsidRDefault="003D0A9F" w:rsidP="00CD53BC">
            <w:pPr>
              <w:keepNext/>
              <w:bidi/>
              <w:rPr>
                <w:rFonts w:ascii="Traditional Arabic" w:hAnsi="Traditional Arabic" w:cs="Traditional Arabic"/>
                <w:b/>
                <w:bCs/>
                <w:sz w:val="30"/>
                <w:szCs w:val="30"/>
                <w:rtl/>
                <w:lang w:val="en-GB" w:bidi="ar-OM"/>
              </w:rPr>
            </w:pPr>
            <w:r w:rsidRPr="00EB5BCF">
              <w:rPr>
                <w:rFonts w:ascii="Traditional Arabic" w:hAnsi="Traditional Arabic" w:cs="Traditional Arabic"/>
                <w:b/>
                <w:bCs/>
                <w:sz w:val="30"/>
                <w:szCs w:val="30"/>
                <w:rtl/>
                <w:lang w:val="en-GB" w:bidi="ar-OM"/>
              </w:rPr>
              <w:t>آلين آند أوفري إل إل بي</w:t>
            </w:r>
          </w:p>
          <w:p w14:paraId="44F045F5" w14:textId="77777777" w:rsidR="003D0A9F" w:rsidRPr="00EB5BCF" w:rsidRDefault="003D0A9F" w:rsidP="00CD53BC">
            <w:pPr>
              <w:keepNext/>
              <w:bidi/>
              <w:rPr>
                <w:rFonts w:ascii="Traditional Arabic" w:hAnsi="Traditional Arabic" w:cs="Traditional Arabic"/>
                <w:sz w:val="30"/>
                <w:szCs w:val="30"/>
                <w:rtl/>
                <w:lang w:val="en-GB" w:bidi="ar-OM"/>
              </w:rPr>
            </w:pPr>
            <w:r w:rsidRPr="00EB5BCF">
              <w:rPr>
                <w:rFonts w:ascii="Traditional Arabic" w:hAnsi="Traditional Arabic" w:cs="Traditional Arabic"/>
                <w:sz w:val="30"/>
                <w:szCs w:val="30"/>
                <w:rtl/>
                <w:lang w:val="en-GB" w:bidi="ar-OM"/>
              </w:rPr>
              <w:t>ميدان وان بيشوب</w:t>
            </w:r>
          </w:p>
          <w:p w14:paraId="50B8A98F" w14:textId="77777777" w:rsidR="00A0253D" w:rsidRDefault="003D0A9F" w:rsidP="003D0A9F">
            <w:pPr>
              <w:keepNext/>
              <w:bidi/>
              <w:rPr>
                <w:rFonts w:ascii="Traditional Arabic" w:hAnsi="Traditional Arabic" w:cs="Traditional Arabic"/>
                <w:sz w:val="30"/>
                <w:szCs w:val="30"/>
                <w:rtl/>
                <w:lang w:val="en-GB" w:bidi="ar-OM"/>
              </w:rPr>
            </w:pPr>
            <w:r w:rsidRPr="00EB5BCF">
              <w:rPr>
                <w:rFonts w:ascii="Traditional Arabic" w:hAnsi="Traditional Arabic" w:cs="Traditional Arabic"/>
                <w:sz w:val="30"/>
                <w:szCs w:val="30"/>
                <w:rtl/>
                <w:lang w:val="en-GB" w:bidi="ar-OM"/>
              </w:rPr>
              <w:t>لندن إي 1 6 إيه دي، المملكة المتحدة</w:t>
            </w:r>
          </w:p>
          <w:p w14:paraId="574DBFD2" w14:textId="77777777" w:rsidR="007004DC" w:rsidRDefault="007004DC" w:rsidP="007004DC">
            <w:pPr>
              <w:keepNext/>
              <w:bidi/>
              <w:rPr>
                <w:rFonts w:ascii="Traditional Arabic" w:hAnsi="Traditional Arabic" w:cs="Traditional Arabic"/>
                <w:sz w:val="30"/>
                <w:szCs w:val="30"/>
                <w:rtl/>
                <w:lang w:val="en-GB" w:bidi="ar-OM"/>
              </w:rPr>
            </w:pPr>
          </w:p>
          <w:p w14:paraId="5CC4B234" w14:textId="77777777" w:rsidR="007004DC" w:rsidRPr="00EB5BCF" w:rsidRDefault="007004DC" w:rsidP="00CD53BC">
            <w:pPr>
              <w:keepNext/>
              <w:bidi/>
              <w:rPr>
                <w:rFonts w:ascii="Traditional Arabic" w:hAnsi="Traditional Arabic" w:cs="Traditional Arabic"/>
                <w:b/>
                <w:sz w:val="30"/>
                <w:szCs w:val="30"/>
                <w:rtl/>
                <w:lang w:val="en-GB" w:bidi="ar-OM"/>
              </w:rPr>
            </w:pPr>
            <w:r w:rsidRPr="00EB5BCF">
              <w:rPr>
                <w:rFonts w:ascii="Traditional Arabic" w:hAnsi="Traditional Arabic" w:cs="Traditional Arabic"/>
                <w:b/>
                <w:sz w:val="30"/>
                <w:szCs w:val="30"/>
                <w:rtl/>
                <w:lang w:val="en-GB" w:bidi="ar-OM"/>
              </w:rPr>
              <w:t>الطابق الخامس، مبنى المعمورة ب، طريق المرور</w:t>
            </w:r>
          </w:p>
          <w:p w14:paraId="00F569B5" w14:textId="77777777" w:rsidR="007004DC" w:rsidRPr="00EB5BCF" w:rsidRDefault="007004DC" w:rsidP="007004DC">
            <w:pPr>
              <w:keepNext/>
              <w:bidi/>
              <w:rPr>
                <w:rFonts w:ascii="Traditional Arabic" w:hAnsi="Traditional Arabic" w:cs="Traditional Arabic"/>
                <w:bCs/>
                <w:sz w:val="30"/>
                <w:szCs w:val="30"/>
                <w:rtl/>
                <w:lang w:val="en-GB" w:bidi="ar-OM"/>
              </w:rPr>
            </w:pPr>
            <w:r w:rsidRPr="00EB5BCF">
              <w:rPr>
                <w:rFonts w:ascii="Traditional Arabic" w:hAnsi="Traditional Arabic" w:cs="Traditional Arabic"/>
                <w:b/>
                <w:sz w:val="30"/>
                <w:szCs w:val="30"/>
                <w:rtl/>
                <w:lang w:val="en-GB" w:bidi="ar-OM"/>
              </w:rPr>
              <w:t>ص.ب 7907، أبو ظبي، الإمارات العربية المتحدة</w:t>
            </w:r>
          </w:p>
        </w:tc>
      </w:tr>
    </w:tbl>
    <w:p w14:paraId="29195557" w14:textId="77777777" w:rsidR="003A3EC6" w:rsidRDefault="003A3EC6">
      <w:pPr>
        <w:spacing w:after="160" w:line="259" w:lineRule="auto"/>
        <w:rPr>
          <w:rFonts w:ascii="Traditional Arabic" w:hAnsi="Traditional Arabic" w:cs="Traditional Arabic"/>
          <w:bCs/>
          <w:noProof/>
          <w:sz w:val="30"/>
          <w:szCs w:val="30"/>
          <w:lang w:val="en-GB"/>
        </w:rPr>
      </w:pPr>
      <w:r>
        <w:rPr>
          <w:rFonts w:ascii="Traditional Arabic" w:hAnsi="Traditional Arabic" w:cs="Traditional Arabic"/>
          <w:bCs/>
          <w:noProof/>
          <w:sz w:val="30"/>
          <w:szCs w:val="30"/>
          <w:lang w:val="en-GB"/>
        </w:rPr>
        <w:br w:type="page"/>
      </w:r>
    </w:p>
    <w:p w14:paraId="4BEBB1B6" w14:textId="77777777" w:rsidR="008A425D" w:rsidRPr="00EB5BCF" w:rsidRDefault="008A425D" w:rsidP="00826D63">
      <w:pPr>
        <w:spacing w:after="160" w:line="259" w:lineRule="auto"/>
        <w:rPr>
          <w:rtl/>
          <w:lang w:bidi="ar-OM"/>
        </w:rPr>
      </w:pPr>
    </w:p>
    <w:p w14:paraId="2C0D7B6B" w14:textId="77777777" w:rsidR="00585226" w:rsidRPr="00EB5BCF" w:rsidRDefault="00D435AE"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الفصل الرابع</w:t>
      </w:r>
    </w:p>
    <w:p w14:paraId="1C448BB8" w14:textId="77777777" w:rsidR="008F6EA6" w:rsidRPr="008F0A9A" w:rsidRDefault="00D435AE" w:rsidP="008F0A9A">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 xml:space="preserve">عوامل المخاطرة </w:t>
      </w:r>
    </w:p>
    <w:p w14:paraId="0CB0CF23" w14:textId="77777777" w:rsidR="008F0A9A" w:rsidRDefault="008F0A9A" w:rsidP="008F0A9A">
      <w:pPr>
        <w:bidi/>
        <w:jc w:val="both"/>
        <w:rPr>
          <w:rFonts w:ascii="Traditional Arabic" w:hAnsi="Traditional Arabic" w:cs="Traditional Arabic"/>
          <w:sz w:val="30"/>
          <w:szCs w:val="30"/>
          <w:rtl/>
          <w:lang w:bidi="ar-OM"/>
        </w:rPr>
      </w:pPr>
      <w:r w:rsidRPr="008C78CA">
        <w:rPr>
          <w:rFonts w:ascii="Traditional Arabic" w:hAnsi="Traditional Arabic" w:cs="Traditional Arabic"/>
          <w:sz w:val="30"/>
          <w:szCs w:val="30"/>
          <w:rtl/>
          <w:lang w:bidi="ar-OM"/>
        </w:rPr>
        <w:t xml:space="preserve">ينطوي الاستثمار في الأسهم على بعض المخاطر المالية، ولذا ينبغي على المستثمرين مراجعة المعلومات الواردة في هذه النشرة بعناية والانتباه إلى المخاطر التالية </w:t>
      </w:r>
      <w:r w:rsidRPr="008C78CA">
        <w:rPr>
          <w:rFonts w:ascii="Traditional Arabic" w:hAnsi="Traditional Arabic" w:cs="Traditional Arabic"/>
          <w:sz w:val="30"/>
          <w:szCs w:val="30"/>
          <w:rtl/>
        </w:rPr>
        <w:t>و</w:t>
      </w:r>
      <w:r w:rsidRPr="008C78CA">
        <w:rPr>
          <w:rFonts w:ascii="Traditional Arabic" w:hAnsi="Traditional Arabic" w:cs="Traditional Arabic"/>
          <w:sz w:val="30"/>
          <w:szCs w:val="30"/>
          <w:rtl/>
          <w:lang w:bidi="ar-OM"/>
        </w:rPr>
        <w:t xml:space="preserve">المرتبطة بالاستثمار في الشركة وفي أسهمها، وغيرها من المعلومات الأخرى الواردة في النشرة؛ ففي حال حدوث أحد المخاطر التالية فقد تتأثر أعمال الشركة ومركزها المالي </w:t>
      </w:r>
      <w:r w:rsidR="00C74EBE">
        <w:rPr>
          <w:rFonts w:ascii="Traditional Arabic" w:hAnsi="Traditional Arabic" w:cs="Traditional Arabic" w:hint="cs"/>
          <w:sz w:val="30"/>
          <w:szCs w:val="30"/>
          <w:rtl/>
          <w:lang w:bidi="ar-OM"/>
        </w:rPr>
        <w:t xml:space="preserve">وتدفقاتها النقدية </w:t>
      </w:r>
      <w:r w:rsidRPr="008C78CA">
        <w:rPr>
          <w:rFonts w:ascii="Traditional Arabic" w:hAnsi="Traditional Arabic" w:cs="Traditional Arabic"/>
          <w:sz w:val="30"/>
          <w:szCs w:val="30"/>
          <w:rtl/>
          <w:lang w:bidi="ar-OM"/>
        </w:rPr>
        <w:t>ونتائج أعمالها الحالية والمستقبلية تأثراً جوهرياً، وقد يخسر المستثمرون جميع استثماراتهم أو بعضها. ومما يجب التنبه إليه أن المخاطر التالية قد لا تتضمن جميع المخاطر وليست بالضرورة أن تكون متضمنة للمخاطر المرتبطة بالاستثمار في الشركة وفي أسهمها؛ فقد تنشأ مخاطر إضافية وحالات من عدم اليقين لم تكن معروفة للشركة في وقته أو لم تكن في الوقت الحالي من المخاطر الجوهرية وقد يكون لها تأثير كبير على أعمال الشركة، ونتائج أعمالها، ومركزها المالي،</w:t>
      </w:r>
      <w:r w:rsidR="001E3483">
        <w:rPr>
          <w:rFonts w:ascii="Traditional Arabic" w:hAnsi="Traditional Arabic" w:cs="Traditional Arabic" w:hint="cs"/>
          <w:sz w:val="30"/>
          <w:szCs w:val="30"/>
          <w:rtl/>
          <w:lang w:bidi="ar-OM"/>
        </w:rPr>
        <w:t xml:space="preserve"> وتدفقاتها النقدية،</w:t>
      </w:r>
      <w:r w:rsidRPr="008C78CA">
        <w:rPr>
          <w:rFonts w:ascii="Traditional Arabic" w:hAnsi="Traditional Arabic" w:cs="Traditional Arabic"/>
          <w:sz w:val="30"/>
          <w:szCs w:val="30"/>
          <w:rtl/>
          <w:lang w:bidi="ar-OM"/>
        </w:rPr>
        <w:t xml:space="preserve"> وعملائها.</w:t>
      </w:r>
    </w:p>
    <w:p w14:paraId="76073B84" w14:textId="77777777" w:rsidR="009726AD" w:rsidRDefault="009726AD" w:rsidP="009726AD">
      <w:pPr>
        <w:bidi/>
        <w:jc w:val="both"/>
        <w:rPr>
          <w:rFonts w:ascii="Traditional Arabic" w:hAnsi="Traditional Arabic" w:cs="Traditional Arabic"/>
          <w:bCs/>
          <w:sz w:val="30"/>
          <w:szCs w:val="30"/>
          <w:rtl/>
          <w:lang w:bidi="ar-EG"/>
        </w:rPr>
      </w:pPr>
      <w:r w:rsidRPr="009726AD">
        <w:rPr>
          <w:rFonts w:ascii="Traditional Arabic" w:hAnsi="Traditional Arabic" w:cs="Traditional Arabic"/>
          <w:bCs/>
          <w:sz w:val="30"/>
          <w:szCs w:val="30"/>
          <w:rtl/>
          <w:lang w:bidi="ar-EG"/>
        </w:rPr>
        <w:t>المخاطر المتعلقة بالقطاع الذي تعمل فيه الشركة</w:t>
      </w:r>
    </w:p>
    <w:p w14:paraId="0E8333F0" w14:textId="77777777" w:rsidR="009726AD" w:rsidRPr="009726AD" w:rsidRDefault="009726AD" w:rsidP="009726AD">
      <w:pPr>
        <w:bidi/>
        <w:jc w:val="both"/>
        <w:rPr>
          <w:rFonts w:ascii="Traditional Arabic" w:hAnsi="Traditional Arabic" w:cs="Traditional Arabic"/>
          <w:bCs/>
          <w:sz w:val="30"/>
          <w:szCs w:val="30"/>
          <w:rtl/>
          <w:lang w:bidi="ar-EG"/>
        </w:rPr>
      </w:pPr>
    </w:p>
    <w:p w14:paraId="5A6C30C3" w14:textId="77777777" w:rsidR="009726AD" w:rsidRPr="009726AD" w:rsidRDefault="009726AD" w:rsidP="009726AD">
      <w:pPr>
        <w:bidi/>
        <w:jc w:val="both"/>
        <w:rPr>
          <w:rFonts w:ascii="Traditional Arabic" w:hAnsi="Traditional Arabic" w:cs="Traditional Arabic"/>
          <w:bCs/>
          <w:sz w:val="30"/>
          <w:szCs w:val="30"/>
          <w:rtl/>
          <w:lang w:bidi="ar-EG"/>
        </w:rPr>
      </w:pPr>
      <w:r w:rsidRPr="009726AD">
        <w:rPr>
          <w:rFonts w:ascii="Traditional Arabic" w:hAnsi="Traditional Arabic" w:cs="Traditional Arabic"/>
          <w:bCs/>
          <w:sz w:val="30"/>
          <w:szCs w:val="30"/>
          <w:rtl/>
          <w:lang w:bidi="ar-EG"/>
        </w:rPr>
        <w:t>1</w:t>
      </w:r>
      <w:r w:rsidRPr="009726AD">
        <w:rPr>
          <w:rFonts w:ascii="Traditional Arabic" w:hAnsi="Traditional Arabic" w:cs="Traditional Arabic"/>
          <w:bCs/>
          <w:sz w:val="30"/>
          <w:szCs w:val="30"/>
          <w:lang w:bidi="ar-EG"/>
        </w:rPr>
        <w:t>.</w:t>
      </w:r>
      <w:r w:rsidRPr="009726AD">
        <w:rPr>
          <w:rFonts w:ascii="Traditional Arabic" w:hAnsi="Traditional Arabic" w:cs="Traditional Arabic"/>
          <w:bCs/>
          <w:sz w:val="30"/>
          <w:szCs w:val="30"/>
          <w:lang w:bidi="ar-EG"/>
        </w:rPr>
        <w:tab/>
      </w:r>
      <w:r w:rsidRPr="009726AD">
        <w:rPr>
          <w:rFonts w:ascii="Traditional Arabic" w:hAnsi="Traditional Arabic" w:cs="Traditional Arabic"/>
          <w:bCs/>
          <w:sz w:val="30"/>
          <w:szCs w:val="30"/>
          <w:rtl/>
          <w:lang w:bidi="ar-EG"/>
        </w:rPr>
        <w:t>قد تؤثر التغيرات السلبية في قطاعات النفط، والمنتجات النفطية المكررة، والمنتجات الكيميائية، والبضائع السائبة الجافة، وسفن ال</w:t>
      </w:r>
      <w:r w:rsidR="00167760">
        <w:rPr>
          <w:rFonts w:ascii="Traditional Arabic" w:hAnsi="Traditional Arabic" w:cs="Traditional Arabic"/>
          <w:bCs/>
          <w:sz w:val="30"/>
          <w:szCs w:val="30"/>
          <w:rtl/>
          <w:lang w:bidi="ar-EG"/>
        </w:rPr>
        <w:t>نقل</w:t>
      </w:r>
      <w:r w:rsidRPr="009726AD">
        <w:rPr>
          <w:rFonts w:ascii="Traditional Arabic" w:hAnsi="Traditional Arabic" w:cs="Traditional Arabic"/>
          <w:bCs/>
          <w:sz w:val="30"/>
          <w:szCs w:val="30"/>
          <w:rtl/>
          <w:lang w:bidi="ar-EG"/>
        </w:rPr>
        <w:t xml:space="preserve"> المنتظم، وغاز البترول المسال، والغاز الطبيعي المسال تأثيرًا سلبيًا جوهريًا على النتائج المالية للشركة</w:t>
      </w:r>
      <w:r w:rsidRPr="009726AD">
        <w:rPr>
          <w:rFonts w:ascii="Traditional Arabic" w:hAnsi="Traditional Arabic" w:cs="Traditional Arabic"/>
          <w:bCs/>
          <w:sz w:val="30"/>
          <w:szCs w:val="30"/>
          <w:lang w:bidi="ar-EG"/>
        </w:rPr>
        <w:t>.</w:t>
      </w:r>
    </w:p>
    <w:p w14:paraId="039799FC" w14:textId="77777777" w:rsidR="009726AD" w:rsidRPr="009726AD" w:rsidRDefault="009726AD" w:rsidP="009726AD">
      <w:pPr>
        <w:bidi/>
        <w:jc w:val="both"/>
        <w:rPr>
          <w:rFonts w:ascii="Traditional Arabic" w:hAnsi="Traditional Arabic" w:cs="Traditional Arabic"/>
          <w:b/>
          <w:sz w:val="30"/>
          <w:szCs w:val="30"/>
          <w:rtl/>
          <w:lang w:bidi="ar-EG"/>
        </w:rPr>
      </w:pPr>
    </w:p>
    <w:p w14:paraId="69FB16A9"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تقدم الشركة خدمات الإدارة التجارية وإدارة السفن بالإضافة إلى خدمات الشحن لنقل النفط الخام والمنتجات النفطية المكررة والمنتجات الكيميائية والبضائع السائبة الجافة وسفن ال</w:t>
      </w:r>
      <w:r w:rsidR="00167760">
        <w:rPr>
          <w:rFonts w:ascii="Traditional Arabic" w:hAnsi="Traditional Arabic" w:cs="Traditional Arabic"/>
          <w:b/>
          <w:sz w:val="30"/>
          <w:szCs w:val="30"/>
          <w:rtl/>
          <w:lang w:bidi="ar-EG"/>
        </w:rPr>
        <w:t>نقل</w:t>
      </w:r>
      <w:r w:rsidRPr="009726AD">
        <w:rPr>
          <w:rFonts w:ascii="Traditional Arabic" w:hAnsi="Traditional Arabic" w:cs="Traditional Arabic"/>
          <w:b/>
          <w:sz w:val="30"/>
          <w:szCs w:val="30"/>
          <w:rtl/>
          <w:lang w:bidi="ar-EG"/>
        </w:rPr>
        <w:t xml:space="preserve"> المنتظم والغاز البترولي المسال والغاز الطبيعي المسال إلى العملاء النهائيين. وبالتالي، تعتمد النتائج التشغيلية للشركة جزئيًا على مستويات الطلب على هذه المنتجات في المناطق الجغرافية التي تقوم سفنها بتسليم البضائع إليها. ونتيجة لذلك، قد تتأثر الشركة - مثل غيرها من شركات الشحن العالمية الأخرى - سلبًا بعدد من العوامل المتعلقة بقطاع الطاقة والمنتجات ذات الصلة والمواد المشتقة وكذلك البضائع السائبة الجافة، بما في ذلك؛ عدم الاستقرار السياسي والكوارث الطبيعية، والأنشطة الإرهابية، والعمل العسكري، والعقوبات الاقتصادية، والتغييرات في الأنظمة التنظيمية أو غيرها من الظروف التي قد تعطل توافر أو توريد هذه المنتجات أو العمليات التجارية لعملاء الشركة. علاوة على ذلك، قد يقلل المنتجون من إنتاج هذه المنتجات أو يوقفون عملية الإنتاج بالجملة في أوقات انخفاض أسعار المنتجات أو ارتفاع تكاليف الإنتاج لدرجة ألا تكون للإنتاج جدوى اقتصادية، مما يؤثر على الطلب على خدمات الشحن التي تقدمها الشركة وأسعار تلك الخدمات. قد لا تظل أسعار السلع الأساسية والحوافز الضريبية عند مستويات تشجع المنتجين على استكشاف وتطوير احتياطيات إضافية أو إنتاج احتياطيات هامشية قائمة أو تجديد عقود النقل عند انتهاء صلاحيتها. يمكن أن يؤدي </w:t>
      </w:r>
      <w:r w:rsidRPr="009726AD">
        <w:rPr>
          <w:rFonts w:ascii="Traditional Arabic" w:hAnsi="Traditional Arabic" w:cs="Traditional Arabic"/>
          <w:b/>
          <w:sz w:val="30"/>
          <w:szCs w:val="30"/>
          <w:rtl/>
          <w:lang w:bidi="ar-EG"/>
        </w:rPr>
        <w:lastRenderedPageBreak/>
        <w:t>النمو المتزايد للسيارات الكهربائية والوقود المتجدد إلى انخفاض التجارة وحركة النفط الخام والمنتجات البترولية في جميع أنحاء العالم. وقد يكون لأي مما سبق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60A1417C" w14:textId="77777777" w:rsidR="009726AD" w:rsidRPr="009726AD" w:rsidRDefault="009726AD" w:rsidP="009726AD">
      <w:pPr>
        <w:bidi/>
        <w:jc w:val="both"/>
        <w:rPr>
          <w:rFonts w:ascii="Traditional Arabic" w:hAnsi="Traditional Arabic" w:cs="Traditional Arabic"/>
          <w:b/>
          <w:sz w:val="30"/>
          <w:szCs w:val="30"/>
          <w:rtl/>
          <w:lang w:bidi="ar-EG"/>
        </w:rPr>
      </w:pPr>
    </w:p>
    <w:p w14:paraId="255A2810" w14:textId="77777777" w:rsidR="009726AD" w:rsidRPr="009726AD" w:rsidRDefault="009726AD" w:rsidP="009726AD">
      <w:pPr>
        <w:bidi/>
        <w:jc w:val="both"/>
        <w:rPr>
          <w:rFonts w:ascii="Traditional Arabic" w:hAnsi="Traditional Arabic" w:cs="Traditional Arabic"/>
          <w:bCs/>
          <w:sz w:val="30"/>
          <w:szCs w:val="30"/>
          <w:rtl/>
          <w:lang w:bidi="ar-EG"/>
        </w:rPr>
      </w:pPr>
      <w:r w:rsidRPr="009726AD">
        <w:rPr>
          <w:rFonts w:ascii="Traditional Arabic" w:hAnsi="Traditional Arabic" w:cs="Traditional Arabic"/>
          <w:bCs/>
          <w:sz w:val="30"/>
          <w:szCs w:val="30"/>
          <w:rtl/>
          <w:lang w:bidi="ar-EG"/>
        </w:rPr>
        <w:t>2</w:t>
      </w:r>
      <w:r w:rsidRPr="009726AD">
        <w:rPr>
          <w:rFonts w:ascii="Traditional Arabic" w:hAnsi="Traditional Arabic" w:cs="Traditional Arabic"/>
          <w:bCs/>
          <w:sz w:val="30"/>
          <w:szCs w:val="30"/>
          <w:lang w:bidi="ar-EG"/>
        </w:rPr>
        <w:t>.</w:t>
      </w:r>
      <w:r w:rsidRPr="009726AD">
        <w:rPr>
          <w:rFonts w:ascii="Traditional Arabic" w:hAnsi="Traditional Arabic" w:cs="Traditional Arabic"/>
          <w:bCs/>
          <w:sz w:val="30"/>
          <w:szCs w:val="30"/>
          <w:lang w:bidi="ar-EG"/>
        </w:rPr>
        <w:tab/>
      </w:r>
      <w:r w:rsidRPr="009726AD">
        <w:rPr>
          <w:rFonts w:ascii="Traditional Arabic" w:hAnsi="Traditional Arabic" w:cs="Traditional Arabic"/>
          <w:bCs/>
          <w:sz w:val="30"/>
          <w:szCs w:val="30"/>
          <w:rtl/>
          <w:lang w:bidi="ar-EG"/>
        </w:rPr>
        <w:t>لأعمال النقل البحري دورات، وهي متقلبة بطبيعتها</w:t>
      </w:r>
      <w:r w:rsidRPr="009726AD">
        <w:rPr>
          <w:rFonts w:ascii="Traditional Arabic" w:hAnsi="Traditional Arabic" w:cs="Traditional Arabic"/>
          <w:bCs/>
          <w:sz w:val="30"/>
          <w:szCs w:val="30"/>
          <w:lang w:bidi="ar-EG"/>
        </w:rPr>
        <w:t>.</w:t>
      </w:r>
    </w:p>
    <w:p w14:paraId="0EBFA483" w14:textId="77777777" w:rsidR="009726AD" w:rsidRDefault="009726AD" w:rsidP="009726AD">
      <w:pPr>
        <w:bidi/>
        <w:jc w:val="both"/>
        <w:rPr>
          <w:rFonts w:ascii="Traditional Arabic" w:hAnsi="Traditional Arabic" w:cs="Traditional Arabic"/>
          <w:b/>
          <w:sz w:val="30"/>
          <w:szCs w:val="30"/>
          <w:rtl/>
          <w:lang w:bidi="ar-EG"/>
        </w:rPr>
      </w:pPr>
    </w:p>
    <w:p w14:paraId="6916FFFE"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أظهر سوق النقل البحري منذ زمن بعيد تقلبًا، كما أظهر دورات بالنسبة للعرض والطلب. وبالتالي، تقلبت أسعار التأجير الفوري وأسعار الشحن بشكل كبير في السنوات الأخيرة. وتشمل العوامل التي تؤثر على هذه الأسعار ما يلي، ونوردها هنا على سبيل المثال لا الحصر، وكثير منها خارج عن سيطرة الشركة</w:t>
      </w:r>
      <w:r w:rsidRPr="009726AD">
        <w:rPr>
          <w:rFonts w:ascii="Traditional Arabic" w:hAnsi="Traditional Arabic" w:cs="Traditional Arabic"/>
          <w:b/>
          <w:sz w:val="30"/>
          <w:szCs w:val="30"/>
          <w:lang w:bidi="ar-EG"/>
        </w:rPr>
        <w:t>:</w:t>
      </w:r>
    </w:p>
    <w:p w14:paraId="32679B46" w14:textId="77777777" w:rsidR="009726AD" w:rsidRPr="009726AD" w:rsidRDefault="009726AD" w:rsidP="009726AD">
      <w:pPr>
        <w:bidi/>
        <w:jc w:val="both"/>
        <w:rPr>
          <w:rFonts w:ascii="Traditional Arabic" w:hAnsi="Traditional Arabic" w:cs="Traditional Arabic"/>
          <w:b/>
          <w:sz w:val="30"/>
          <w:szCs w:val="30"/>
          <w:rtl/>
          <w:lang w:bidi="ar-EG"/>
        </w:rPr>
      </w:pPr>
    </w:p>
    <w:p w14:paraId="4BBCAAC4"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نشاط التعاقد والتخريد (تفكيك السفن وتدويرها) في سوق النقل البحري</w:t>
      </w:r>
      <w:r w:rsidRPr="009726AD">
        <w:rPr>
          <w:rFonts w:ascii="Traditional Arabic" w:hAnsi="Traditional Arabic" w:cs="Traditional Arabic"/>
          <w:b/>
          <w:sz w:val="30"/>
          <w:szCs w:val="30"/>
          <w:lang w:bidi="ar-EG"/>
        </w:rPr>
        <w:t>.</w:t>
      </w:r>
    </w:p>
    <w:p w14:paraId="1FEFEEFB" w14:textId="77777777" w:rsidR="009726AD" w:rsidRPr="009726AD" w:rsidRDefault="009726AD" w:rsidP="00AD355E">
      <w:pPr>
        <w:bidi/>
        <w:ind w:left="713" w:hanging="713"/>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أسعار الوقود البحري، والتي يتم تحديدها من خلال عدد من العوامل، منها؛ سعر النفط الخام، والعرض والطلب على الوقود البحري، وتكلفة النقل البحري</w:t>
      </w:r>
      <w:r w:rsidRPr="009726AD">
        <w:rPr>
          <w:rFonts w:ascii="Traditional Arabic" w:hAnsi="Traditional Arabic" w:cs="Traditional Arabic"/>
          <w:b/>
          <w:sz w:val="30"/>
          <w:szCs w:val="30"/>
          <w:lang w:bidi="ar-EG"/>
        </w:rPr>
        <w:t>.</w:t>
      </w:r>
    </w:p>
    <w:p w14:paraId="52AFDB7D"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تقلب أسعار السفن بناءً العرض والطلب</w:t>
      </w:r>
      <w:r w:rsidRPr="009726AD">
        <w:rPr>
          <w:rFonts w:ascii="Traditional Arabic" w:hAnsi="Traditional Arabic" w:cs="Traditional Arabic"/>
          <w:b/>
          <w:sz w:val="30"/>
          <w:szCs w:val="30"/>
          <w:lang w:bidi="ar-EG"/>
        </w:rPr>
        <w:t>.</w:t>
      </w:r>
    </w:p>
    <w:p w14:paraId="3F842F1D"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أسعار استئجار السفن (استئجار السفن وتأجيرها، بما في ذلك إيجار سفينة عارية (بدون طاقم))</w:t>
      </w:r>
      <w:r w:rsidRPr="009726AD">
        <w:rPr>
          <w:rFonts w:ascii="Traditional Arabic" w:hAnsi="Traditional Arabic" w:cs="Traditional Arabic"/>
          <w:b/>
          <w:sz w:val="30"/>
          <w:szCs w:val="30"/>
          <w:lang w:bidi="ar-EG"/>
        </w:rPr>
        <w:t>.</w:t>
      </w:r>
    </w:p>
    <w:p w14:paraId="4D104A2B"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عدد السفن الموجودة في حوض جاف في وقت معين</w:t>
      </w:r>
      <w:r w:rsidRPr="009726AD">
        <w:rPr>
          <w:rFonts w:ascii="Traditional Arabic" w:hAnsi="Traditional Arabic" w:cs="Traditional Arabic"/>
          <w:b/>
          <w:sz w:val="30"/>
          <w:szCs w:val="30"/>
          <w:lang w:bidi="ar-EG"/>
        </w:rPr>
        <w:t>.</w:t>
      </w:r>
    </w:p>
    <w:p w14:paraId="04FA3D46"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العرض والطلب العالمي والإقليمي على موارد النفط والغاز والسلع والمنتجات ذات الصلة والمواد المشتقة</w:t>
      </w:r>
      <w:r w:rsidRPr="009726AD">
        <w:rPr>
          <w:rFonts w:ascii="Traditional Arabic" w:hAnsi="Traditional Arabic" w:cs="Traditional Arabic"/>
          <w:b/>
          <w:sz w:val="30"/>
          <w:szCs w:val="30"/>
          <w:lang w:bidi="ar-EG"/>
        </w:rPr>
        <w:t>.</w:t>
      </w:r>
    </w:p>
    <w:p w14:paraId="0F0D5E41"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التأخير في تسليم السفن الجديدة</w:t>
      </w:r>
      <w:r w:rsidRPr="009726AD">
        <w:rPr>
          <w:rFonts w:ascii="Traditional Arabic" w:hAnsi="Traditional Arabic" w:cs="Traditional Arabic"/>
          <w:b/>
          <w:sz w:val="30"/>
          <w:szCs w:val="30"/>
          <w:lang w:bidi="ar-EG"/>
        </w:rPr>
        <w:t>.</w:t>
      </w:r>
    </w:p>
    <w:p w14:paraId="0EE5A375"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أسعار صرف العملات</w:t>
      </w:r>
      <w:r w:rsidRPr="009726AD">
        <w:rPr>
          <w:rFonts w:ascii="Traditional Arabic" w:hAnsi="Traditional Arabic" w:cs="Traditional Arabic"/>
          <w:b/>
          <w:sz w:val="30"/>
          <w:szCs w:val="30"/>
          <w:lang w:bidi="ar-EG"/>
        </w:rPr>
        <w:t>.</w:t>
      </w:r>
    </w:p>
    <w:p w14:paraId="1ABC69B1" w14:textId="77777777" w:rsidR="009726AD" w:rsidRPr="00191F09"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191F09">
        <w:rPr>
          <w:rFonts w:ascii="Traditional Arabic" w:hAnsi="Traditional Arabic" w:cs="Traditional Arabic"/>
          <w:b/>
          <w:sz w:val="30"/>
          <w:szCs w:val="30"/>
          <w:rtl/>
          <w:lang w:bidi="ar-EG"/>
        </w:rPr>
        <w:t>أسعار الفائدة</w:t>
      </w:r>
    </w:p>
    <w:p w14:paraId="492F68E4" w14:textId="77777777" w:rsidR="009726AD" w:rsidRPr="00191F09" w:rsidRDefault="009726AD" w:rsidP="009726AD">
      <w:pPr>
        <w:bidi/>
        <w:jc w:val="both"/>
        <w:rPr>
          <w:rFonts w:ascii="Traditional Arabic" w:hAnsi="Traditional Arabic" w:cs="Traditional Arabic"/>
          <w:b/>
          <w:sz w:val="30"/>
          <w:szCs w:val="30"/>
          <w:rtl/>
          <w:lang w:bidi="ar-EG"/>
        </w:rPr>
      </w:pPr>
      <w:r w:rsidRPr="00191F09">
        <w:rPr>
          <w:rFonts w:ascii="Traditional Arabic" w:hAnsi="Traditional Arabic" w:cs="Traditional Arabic"/>
          <w:b/>
          <w:sz w:val="30"/>
          <w:szCs w:val="30"/>
          <w:lang w:bidi="ar-EG"/>
        </w:rPr>
        <w:t>•</w:t>
      </w:r>
      <w:r w:rsidRPr="00191F09">
        <w:rPr>
          <w:rFonts w:ascii="Traditional Arabic" w:hAnsi="Traditional Arabic" w:cs="Traditional Arabic"/>
          <w:b/>
          <w:sz w:val="30"/>
          <w:szCs w:val="30"/>
          <w:lang w:bidi="ar-EG"/>
        </w:rPr>
        <w:tab/>
      </w:r>
      <w:r w:rsidRPr="00191F09">
        <w:rPr>
          <w:rFonts w:ascii="Traditional Arabic" w:hAnsi="Traditional Arabic" w:cs="Traditional Arabic"/>
          <w:b/>
          <w:sz w:val="30"/>
          <w:szCs w:val="30"/>
          <w:rtl/>
          <w:lang w:bidi="ar-EG"/>
        </w:rPr>
        <w:t>التقلبات الموسمية في استهلاك الطاقة على مستوى العالم</w:t>
      </w:r>
      <w:r w:rsidRPr="00191F09">
        <w:rPr>
          <w:rFonts w:ascii="Traditional Arabic" w:hAnsi="Traditional Arabic" w:cs="Traditional Arabic"/>
          <w:b/>
          <w:sz w:val="30"/>
          <w:szCs w:val="30"/>
          <w:lang w:bidi="ar-EG"/>
        </w:rPr>
        <w:t>.</w:t>
      </w:r>
    </w:p>
    <w:p w14:paraId="3AD7D882" w14:textId="77777777" w:rsidR="009726AD" w:rsidRPr="00191F09" w:rsidRDefault="009726AD" w:rsidP="00AD355E">
      <w:pPr>
        <w:bidi/>
        <w:ind w:left="713" w:hanging="713"/>
        <w:jc w:val="both"/>
        <w:rPr>
          <w:rFonts w:ascii="Traditional Arabic" w:hAnsi="Traditional Arabic" w:cs="Traditional Arabic"/>
          <w:b/>
          <w:sz w:val="30"/>
          <w:szCs w:val="30"/>
          <w:rtl/>
          <w:lang w:bidi="ar-EG"/>
        </w:rPr>
      </w:pPr>
      <w:r w:rsidRPr="00191F09">
        <w:rPr>
          <w:rFonts w:ascii="Traditional Arabic" w:hAnsi="Traditional Arabic" w:cs="Traditional Arabic"/>
          <w:b/>
          <w:sz w:val="30"/>
          <w:szCs w:val="30"/>
          <w:lang w:bidi="ar-EG"/>
        </w:rPr>
        <w:t>•</w:t>
      </w:r>
      <w:r w:rsidRPr="00191F09">
        <w:rPr>
          <w:rFonts w:ascii="Traditional Arabic" w:hAnsi="Traditional Arabic" w:cs="Traditional Arabic"/>
          <w:b/>
          <w:sz w:val="30"/>
          <w:szCs w:val="30"/>
          <w:lang w:bidi="ar-EG"/>
        </w:rPr>
        <w:tab/>
      </w:r>
      <w:r w:rsidRPr="00191F09">
        <w:rPr>
          <w:rFonts w:ascii="Traditional Arabic" w:hAnsi="Traditional Arabic" w:cs="Traditional Arabic"/>
          <w:b/>
          <w:sz w:val="30"/>
          <w:szCs w:val="30"/>
          <w:rtl/>
          <w:lang w:bidi="ar-EG"/>
        </w:rPr>
        <w:t xml:space="preserve">التغييرات والتطورات القانونية والتنظيمية في المناطق التي تعمل فيها الشركة، بما في ذلك اللوائح التي تعتمدها </w:t>
      </w:r>
      <w:r w:rsidRPr="00B934CE">
        <w:rPr>
          <w:rFonts w:ascii="Traditional Arabic" w:hAnsi="Traditional Arabic" w:cs="Traditional Arabic"/>
          <w:b/>
          <w:sz w:val="30"/>
          <w:szCs w:val="30"/>
          <w:rtl/>
          <w:lang w:bidi="ar-EG"/>
        </w:rPr>
        <w:t>السلطات فوق الوطنية</w:t>
      </w:r>
      <w:r w:rsidRPr="00191F09">
        <w:rPr>
          <w:rFonts w:ascii="Traditional Arabic" w:hAnsi="Traditional Arabic" w:cs="Traditional Arabic"/>
          <w:b/>
          <w:sz w:val="30"/>
          <w:szCs w:val="30"/>
          <w:rtl/>
          <w:lang w:bidi="ar-EG"/>
        </w:rPr>
        <w:t xml:space="preserve"> أو الجهات المنظمة لعمل القطاع، مثل لوائح ومتطلبات السلامة والبيئة</w:t>
      </w:r>
      <w:r w:rsidRPr="00191F09">
        <w:rPr>
          <w:rFonts w:ascii="Traditional Arabic" w:hAnsi="Traditional Arabic" w:cs="Traditional Arabic"/>
          <w:b/>
          <w:sz w:val="30"/>
          <w:szCs w:val="30"/>
          <w:lang w:bidi="ar-EG"/>
        </w:rPr>
        <w:t xml:space="preserve">. </w:t>
      </w:r>
    </w:p>
    <w:p w14:paraId="0599B95D" w14:textId="77777777" w:rsidR="009726AD" w:rsidRPr="00191F09" w:rsidRDefault="009726AD" w:rsidP="009726AD">
      <w:pPr>
        <w:bidi/>
        <w:jc w:val="both"/>
        <w:rPr>
          <w:rFonts w:ascii="Traditional Arabic" w:hAnsi="Traditional Arabic" w:cs="Traditional Arabic"/>
          <w:b/>
          <w:sz w:val="30"/>
          <w:szCs w:val="30"/>
          <w:rtl/>
          <w:lang w:bidi="ar-EG"/>
        </w:rPr>
      </w:pPr>
      <w:r w:rsidRPr="00191F09">
        <w:rPr>
          <w:rFonts w:ascii="Traditional Arabic" w:hAnsi="Traditional Arabic" w:cs="Traditional Arabic"/>
          <w:b/>
          <w:sz w:val="30"/>
          <w:szCs w:val="30"/>
          <w:lang w:bidi="ar-EG"/>
        </w:rPr>
        <w:t>•</w:t>
      </w:r>
      <w:r w:rsidRPr="00191F09">
        <w:rPr>
          <w:rFonts w:ascii="Traditional Arabic" w:hAnsi="Traditional Arabic" w:cs="Traditional Arabic"/>
          <w:b/>
          <w:sz w:val="30"/>
          <w:szCs w:val="30"/>
          <w:lang w:bidi="ar-EG"/>
        </w:rPr>
        <w:tab/>
      </w:r>
      <w:r w:rsidRPr="00191F09">
        <w:rPr>
          <w:rFonts w:ascii="Traditional Arabic" w:hAnsi="Traditional Arabic" w:cs="Traditional Arabic"/>
          <w:b/>
          <w:sz w:val="30"/>
          <w:szCs w:val="30"/>
          <w:rtl/>
          <w:lang w:bidi="ar-EG"/>
        </w:rPr>
        <w:t>حركة الملاحة البحرية وازدحام الموانئ</w:t>
      </w:r>
    </w:p>
    <w:p w14:paraId="7568D8DB" w14:textId="77777777" w:rsidR="009726AD" w:rsidRPr="00191F09" w:rsidRDefault="009726AD" w:rsidP="009726AD">
      <w:pPr>
        <w:bidi/>
        <w:jc w:val="both"/>
        <w:rPr>
          <w:rFonts w:ascii="Traditional Arabic" w:hAnsi="Traditional Arabic" w:cs="Traditional Arabic"/>
          <w:b/>
          <w:sz w:val="30"/>
          <w:szCs w:val="30"/>
          <w:rtl/>
          <w:lang w:bidi="ar-EG"/>
        </w:rPr>
      </w:pPr>
      <w:r w:rsidRPr="00191F09">
        <w:rPr>
          <w:rFonts w:ascii="Traditional Arabic" w:hAnsi="Traditional Arabic" w:cs="Traditional Arabic"/>
          <w:b/>
          <w:sz w:val="30"/>
          <w:szCs w:val="30"/>
          <w:lang w:bidi="ar-EG"/>
        </w:rPr>
        <w:t>•</w:t>
      </w:r>
      <w:r w:rsidRPr="00191F09">
        <w:rPr>
          <w:rFonts w:ascii="Traditional Arabic" w:hAnsi="Traditional Arabic" w:cs="Traditional Arabic"/>
          <w:b/>
          <w:sz w:val="30"/>
          <w:szCs w:val="30"/>
          <w:lang w:bidi="ar-EG"/>
        </w:rPr>
        <w:tab/>
      </w:r>
      <w:r w:rsidRPr="00191F09">
        <w:rPr>
          <w:rFonts w:ascii="Traditional Arabic" w:hAnsi="Traditional Arabic" w:cs="Traditional Arabic"/>
          <w:b/>
          <w:sz w:val="30"/>
          <w:szCs w:val="30"/>
          <w:rtl/>
          <w:lang w:bidi="ar-EG"/>
        </w:rPr>
        <w:t>تعطيل طرق التجارة، لا سيما نتيجة للأحداث الجيوسياسية، بما في ذلك الحروب والإرهاب</w:t>
      </w:r>
      <w:r w:rsidRPr="00191F09">
        <w:rPr>
          <w:rFonts w:ascii="Traditional Arabic" w:hAnsi="Traditional Arabic" w:cs="Traditional Arabic"/>
          <w:b/>
          <w:sz w:val="30"/>
          <w:szCs w:val="30"/>
          <w:lang w:bidi="ar-EG"/>
        </w:rPr>
        <w:t>.</w:t>
      </w:r>
    </w:p>
    <w:p w14:paraId="525452FA" w14:textId="77777777" w:rsidR="009726AD" w:rsidRPr="00191F09" w:rsidRDefault="009726AD" w:rsidP="009726AD">
      <w:pPr>
        <w:bidi/>
        <w:jc w:val="both"/>
        <w:rPr>
          <w:rFonts w:ascii="Traditional Arabic" w:hAnsi="Traditional Arabic" w:cs="Traditional Arabic"/>
          <w:b/>
          <w:sz w:val="30"/>
          <w:szCs w:val="30"/>
          <w:rtl/>
          <w:lang w:bidi="ar-EG"/>
        </w:rPr>
      </w:pPr>
      <w:r w:rsidRPr="00191F09">
        <w:rPr>
          <w:rFonts w:ascii="Traditional Arabic" w:hAnsi="Traditional Arabic" w:cs="Traditional Arabic"/>
          <w:b/>
          <w:sz w:val="30"/>
          <w:szCs w:val="30"/>
          <w:lang w:bidi="ar-EG"/>
        </w:rPr>
        <w:t>•</w:t>
      </w:r>
      <w:r w:rsidRPr="00191F09">
        <w:rPr>
          <w:rFonts w:ascii="Traditional Arabic" w:hAnsi="Traditional Arabic" w:cs="Traditional Arabic"/>
          <w:b/>
          <w:sz w:val="30"/>
          <w:szCs w:val="30"/>
          <w:lang w:bidi="ar-EG"/>
        </w:rPr>
        <w:tab/>
      </w:r>
      <w:r w:rsidRPr="00191F09">
        <w:rPr>
          <w:rFonts w:ascii="Traditional Arabic" w:hAnsi="Traditional Arabic" w:cs="Traditional Arabic"/>
          <w:b/>
          <w:sz w:val="30"/>
          <w:szCs w:val="30"/>
          <w:rtl/>
          <w:lang w:bidi="ar-EG"/>
        </w:rPr>
        <w:t>التوقعات المتعلقة بالنمو الاقتصادي العالمي وتأثيرها على التجارة البحرية الدولية</w:t>
      </w:r>
      <w:r w:rsidRPr="00191F09">
        <w:rPr>
          <w:rFonts w:ascii="Traditional Arabic" w:hAnsi="Traditional Arabic" w:cs="Traditional Arabic"/>
          <w:b/>
          <w:sz w:val="30"/>
          <w:szCs w:val="30"/>
          <w:lang w:bidi="ar-EG"/>
        </w:rPr>
        <w:t>.</w:t>
      </w:r>
    </w:p>
    <w:p w14:paraId="08001FC2" w14:textId="77777777" w:rsidR="009726AD" w:rsidRPr="009726AD" w:rsidRDefault="009726AD" w:rsidP="009726AD">
      <w:pPr>
        <w:bidi/>
        <w:jc w:val="both"/>
        <w:rPr>
          <w:rFonts w:ascii="Traditional Arabic" w:hAnsi="Traditional Arabic" w:cs="Traditional Arabic"/>
          <w:b/>
          <w:sz w:val="30"/>
          <w:szCs w:val="30"/>
          <w:rtl/>
          <w:lang w:bidi="ar-EG"/>
        </w:rPr>
      </w:pPr>
      <w:r w:rsidRPr="00191F09">
        <w:rPr>
          <w:rFonts w:ascii="Traditional Arabic" w:hAnsi="Traditional Arabic" w:cs="Traditional Arabic"/>
          <w:b/>
          <w:sz w:val="30"/>
          <w:szCs w:val="30"/>
          <w:lang w:bidi="ar-EG"/>
        </w:rPr>
        <w:t>•</w:t>
      </w:r>
      <w:r w:rsidRPr="00191F09">
        <w:rPr>
          <w:rFonts w:ascii="Traditional Arabic" w:hAnsi="Traditional Arabic" w:cs="Traditional Arabic"/>
          <w:b/>
          <w:sz w:val="30"/>
          <w:szCs w:val="30"/>
          <w:lang w:bidi="ar-EG"/>
        </w:rPr>
        <w:tab/>
      </w:r>
      <w:r w:rsidRPr="00191F09">
        <w:rPr>
          <w:rFonts w:ascii="Traditional Arabic" w:hAnsi="Traditional Arabic" w:cs="Traditional Arabic"/>
          <w:b/>
          <w:sz w:val="30"/>
          <w:szCs w:val="30"/>
          <w:rtl/>
          <w:lang w:bidi="ar-EG"/>
        </w:rPr>
        <w:t>التغيرات في أنماط النقل وإيجاد وسائل نقل</w:t>
      </w:r>
      <w:r w:rsidRPr="009726AD">
        <w:rPr>
          <w:rFonts w:ascii="Traditional Arabic" w:hAnsi="Traditional Arabic" w:cs="Traditional Arabic"/>
          <w:b/>
          <w:sz w:val="30"/>
          <w:szCs w:val="30"/>
          <w:rtl/>
          <w:lang w:bidi="ar-EG"/>
        </w:rPr>
        <w:t xml:space="preserve"> بديلة والبحث عن أسعار جديدة</w:t>
      </w:r>
      <w:r w:rsidRPr="009726AD">
        <w:rPr>
          <w:rFonts w:ascii="Traditional Arabic" w:hAnsi="Traditional Arabic" w:cs="Traditional Arabic"/>
          <w:b/>
          <w:sz w:val="30"/>
          <w:szCs w:val="30"/>
          <w:lang w:bidi="ar-EG"/>
        </w:rPr>
        <w:t>.</w:t>
      </w:r>
    </w:p>
    <w:p w14:paraId="07CF0E47"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بالإضافة إلى ذلك، من شأن زيادة السفن في السوق أن تقلل من أسعار التأجير الفوري (لرحلة واحدة)، وكذلك أسعار الشحن، ويمكن أن تؤدي إلى انخفاض استخدام السفن، مما قد يؤثر سلبًا على إيرادات الشركة وربحيتها وقيم أصولها (بما في ذلك عن </w:t>
      </w:r>
      <w:r w:rsidRPr="009726AD">
        <w:rPr>
          <w:rFonts w:ascii="Traditional Arabic" w:hAnsi="Traditional Arabic" w:cs="Traditional Arabic"/>
          <w:b/>
          <w:sz w:val="30"/>
          <w:szCs w:val="30"/>
          <w:rtl/>
          <w:lang w:bidi="ar-EG"/>
        </w:rPr>
        <w:lastRenderedPageBreak/>
        <w:t>طريق التسبب في تكبد الشركة لرسوم انخفاض القيمة). وحتى يتشبع سوق النقل البحري بزيادة المعروض، فإن أسعار التأجير الفوري وكذلك أسعار الشحن قد تشهد ضغوطا هبوطية، مما قد يكون له تأثير سلبي جوهري على أعمال الشركة ووضعها المالي ونتائج عملياتها وتوقعاتها</w:t>
      </w:r>
      <w:r w:rsidRPr="009726AD">
        <w:rPr>
          <w:rFonts w:ascii="Traditional Arabic" w:hAnsi="Traditional Arabic" w:cs="Traditional Arabic"/>
          <w:b/>
          <w:sz w:val="30"/>
          <w:szCs w:val="30"/>
          <w:lang w:bidi="ar-EG"/>
        </w:rPr>
        <w:t>.</w:t>
      </w:r>
    </w:p>
    <w:p w14:paraId="2D636122" w14:textId="77777777" w:rsidR="009726AD" w:rsidRPr="009726AD" w:rsidRDefault="009726AD" w:rsidP="009726AD">
      <w:pPr>
        <w:bidi/>
        <w:jc w:val="both"/>
        <w:rPr>
          <w:rFonts w:ascii="Traditional Arabic" w:hAnsi="Traditional Arabic" w:cs="Traditional Arabic"/>
          <w:b/>
          <w:sz w:val="30"/>
          <w:szCs w:val="30"/>
          <w:rtl/>
          <w:lang w:bidi="ar-EG"/>
        </w:rPr>
      </w:pPr>
    </w:p>
    <w:p w14:paraId="589216B0" w14:textId="77777777" w:rsidR="009726AD" w:rsidRPr="009726AD" w:rsidRDefault="009726AD" w:rsidP="009726AD">
      <w:pPr>
        <w:bidi/>
        <w:jc w:val="both"/>
        <w:rPr>
          <w:rFonts w:ascii="Traditional Arabic" w:hAnsi="Traditional Arabic" w:cs="Traditional Arabic"/>
          <w:bCs/>
          <w:sz w:val="30"/>
          <w:szCs w:val="30"/>
          <w:rtl/>
          <w:lang w:bidi="ar-EG"/>
        </w:rPr>
      </w:pPr>
      <w:r w:rsidRPr="009726AD">
        <w:rPr>
          <w:rFonts w:ascii="Traditional Arabic" w:hAnsi="Traditional Arabic" w:cs="Traditional Arabic"/>
          <w:bCs/>
          <w:sz w:val="30"/>
          <w:szCs w:val="30"/>
          <w:rtl/>
          <w:lang w:bidi="ar-EG"/>
        </w:rPr>
        <w:t>3</w:t>
      </w:r>
      <w:r w:rsidRPr="009726AD">
        <w:rPr>
          <w:rFonts w:ascii="Traditional Arabic" w:hAnsi="Traditional Arabic" w:cs="Traditional Arabic"/>
          <w:bCs/>
          <w:sz w:val="30"/>
          <w:szCs w:val="30"/>
          <w:lang w:bidi="ar-EG"/>
        </w:rPr>
        <w:t>.</w:t>
      </w:r>
      <w:r w:rsidRPr="009726AD">
        <w:rPr>
          <w:rFonts w:ascii="Traditional Arabic" w:hAnsi="Traditional Arabic" w:cs="Traditional Arabic"/>
          <w:bCs/>
          <w:sz w:val="30"/>
          <w:szCs w:val="30"/>
          <w:lang w:bidi="ar-EG"/>
        </w:rPr>
        <w:tab/>
      </w:r>
      <w:r w:rsidRPr="009726AD">
        <w:rPr>
          <w:rFonts w:ascii="Traditional Arabic" w:hAnsi="Traditional Arabic" w:cs="Traditional Arabic"/>
          <w:bCs/>
          <w:sz w:val="30"/>
          <w:szCs w:val="30"/>
          <w:rtl/>
          <w:lang w:bidi="ar-EG"/>
        </w:rPr>
        <w:t>يتأثر السعر السوقي لسفن الشركة بمجموعة واسعة من العوامل</w:t>
      </w:r>
      <w:r w:rsidRPr="009726AD">
        <w:rPr>
          <w:rFonts w:ascii="Traditional Arabic" w:hAnsi="Traditional Arabic" w:cs="Traditional Arabic"/>
          <w:bCs/>
          <w:sz w:val="30"/>
          <w:szCs w:val="30"/>
          <w:lang w:bidi="ar-EG"/>
        </w:rPr>
        <w:t>.</w:t>
      </w:r>
    </w:p>
    <w:p w14:paraId="777D46C2" w14:textId="77777777" w:rsidR="009726AD" w:rsidRDefault="009726AD" w:rsidP="009726AD">
      <w:pPr>
        <w:bidi/>
        <w:jc w:val="both"/>
        <w:rPr>
          <w:rFonts w:ascii="Traditional Arabic" w:hAnsi="Traditional Arabic" w:cs="Traditional Arabic"/>
          <w:b/>
          <w:sz w:val="30"/>
          <w:szCs w:val="30"/>
          <w:rtl/>
          <w:lang w:bidi="ar-EG"/>
        </w:rPr>
      </w:pPr>
    </w:p>
    <w:p w14:paraId="1C10851A" w14:textId="77777777" w:rsidR="009726AD" w:rsidRDefault="00010336" w:rsidP="009726AD">
      <w:pPr>
        <w:bidi/>
        <w:jc w:val="both"/>
        <w:rPr>
          <w:rFonts w:ascii="Traditional Arabic" w:hAnsi="Traditional Arabic" w:cs="Traditional Arabic"/>
          <w:b/>
          <w:sz w:val="30"/>
          <w:szCs w:val="30"/>
          <w:rtl/>
          <w:lang w:bidi="ar-EG"/>
        </w:rPr>
      </w:pPr>
      <w:r w:rsidRPr="00010336">
        <w:rPr>
          <w:rFonts w:ascii="Traditional Arabic" w:hAnsi="Traditional Arabic" w:cs="Traditional Arabic"/>
          <w:b/>
          <w:sz w:val="30"/>
          <w:szCs w:val="30"/>
          <w:rtl/>
          <w:lang w:bidi="ar-EG"/>
        </w:rPr>
        <w:t xml:space="preserve">تمتلك الشركة 53 سفينة ملكية تامة أو </w:t>
      </w:r>
      <w:r w:rsidR="00E65E26">
        <w:rPr>
          <w:rFonts w:ascii="Traditional Arabic" w:hAnsi="Traditional Arabic" w:cs="Traditional Arabic"/>
          <w:b/>
          <w:sz w:val="30"/>
          <w:szCs w:val="30"/>
          <w:rtl/>
          <w:lang w:bidi="ar-EG"/>
        </w:rPr>
        <w:t>بشكل مشترك</w:t>
      </w:r>
      <w:r w:rsidRPr="00010336">
        <w:rPr>
          <w:rFonts w:ascii="Traditional Arabic" w:hAnsi="Traditional Arabic" w:cs="Traditional Arabic"/>
          <w:b/>
          <w:sz w:val="30"/>
          <w:szCs w:val="30"/>
          <w:rtl/>
          <w:lang w:bidi="ar-EG"/>
        </w:rPr>
        <w:t xml:space="preserve"> (اعتبارًا من 30 سبتمبر 2024) بما في ذلك ست سفن طلبت الشركة تسليمها في الفترة ما بين عامي 2026 و2027.</w:t>
      </w:r>
      <w:r w:rsidR="009726AD" w:rsidRPr="009726AD">
        <w:rPr>
          <w:rFonts w:ascii="Traditional Arabic" w:hAnsi="Traditional Arabic" w:cs="Traditional Arabic"/>
          <w:b/>
          <w:sz w:val="30"/>
          <w:szCs w:val="30"/>
          <w:rtl/>
          <w:lang w:bidi="ar-EG"/>
        </w:rPr>
        <w:t>. وتشمل العوامل التي تؤثر على السعر السوقي لسفنها المملوكة ملكية تامة أو بشكل مشترك، وكذلك السفن الجديدة، ونوردها هنا على سبيل المثال لا الحصر، وكثير منها خارج عن سيطرة الشركة</w:t>
      </w:r>
      <w:r w:rsidR="009726AD" w:rsidRPr="009726AD">
        <w:rPr>
          <w:rFonts w:ascii="Traditional Arabic" w:hAnsi="Traditional Arabic" w:cs="Traditional Arabic"/>
          <w:b/>
          <w:sz w:val="30"/>
          <w:szCs w:val="30"/>
          <w:lang w:bidi="ar-EG"/>
        </w:rPr>
        <w:t>:</w:t>
      </w:r>
    </w:p>
    <w:p w14:paraId="40CEFD67" w14:textId="77777777" w:rsidR="009726AD" w:rsidRPr="009726AD" w:rsidRDefault="009726AD" w:rsidP="009726AD">
      <w:pPr>
        <w:bidi/>
        <w:jc w:val="both"/>
        <w:rPr>
          <w:rFonts w:ascii="Traditional Arabic" w:hAnsi="Traditional Arabic" w:cs="Traditional Arabic"/>
          <w:b/>
          <w:sz w:val="30"/>
          <w:szCs w:val="30"/>
          <w:rtl/>
          <w:lang w:bidi="ar-EG"/>
        </w:rPr>
      </w:pPr>
    </w:p>
    <w:p w14:paraId="5FDC32C8"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عدد وحجم السفن التي يجري بناؤها</w:t>
      </w:r>
      <w:r w:rsidRPr="009726AD">
        <w:rPr>
          <w:rFonts w:ascii="Traditional Arabic" w:hAnsi="Traditional Arabic" w:cs="Traditional Arabic"/>
          <w:b/>
          <w:sz w:val="30"/>
          <w:szCs w:val="30"/>
          <w:lang w:bidi="ar-EG"/>
        </w:rPr>
        <w:t>.</w:t>
      </w:r>
    </w:p>
    <w:p w14:paraId="1D94FEBF"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معدل تخريد السفن القديمة وحوادث السفن</w:t>
      </w:r>
      <w:r w:rsidRPr="009726AD">
        <w:rPr>
          <w:rFonts w:ascii="Traditional Arabic" w:hAnsi="Traditional Arabic" w:cs="Traditional Arabic"/>
          <w:b/>
          <w:sz w:val="30"/>
          <w:szCs w:val="30"/>
          <w:lang w:bidi="ar-EG"/>
        </w:rPr>
        <w:t>.</w:t>
      </w:r>
    </w:p>
    <w:p w14:paraId="77FDA1ED"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المواصفات الفنية والتصاميم المتغيرة للسفن</w:t>
      </w:r>
      <w:r w:rsidRPr="009726AD">
        <w:rPr>
          <w:rFonts w:ascii="Traditional Arabic" w:hAnsi="Traditional Arabic" w:cs="Traditional Arabic"/>
          <w:b/>
          <w:sz w:val="30"/>
          <w:szCs w:val="30"/>
          <w:lang w:bidi="ar-EG"/>
        </w:rPr>
        <w:t>.</w:t>
      </w:r>
    </w:p>
    <w:p w14:paraId="5839F84F" w14:textId="77777777" w:rsidR="009726AD" w:rsidRPr="009726AD" w:rsidRDefault="009726AD" w:rsidP="009726AD">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تحويل الناقلات إلى استخدامات أخرى، بما في ذلك تحويل السفن من نقل النفط والمنتجات البترولية إلى نقل البضائع السائبة الجافة والتحويل العكسي (أي تحويل السفن إلى استخدامها الأصلي)</w:t>
      </w:r>
      <w:r w:rsidRPr="009726AD">
        <w:rPr>
          <w:rFonts w:ascii="Traditional Arabic" w:hAnsi="Traditional Arabic" w:cs="Traditional Arabic"/>
          <w:b/>
          <w:sz w:val="30"/>
          <w:szCs w:val="30"/>
          <w:lang w:bidi="ar-EG"/>
        </w:rPr>
        <w:t>.</w:t>
      </w:r>
    </w:p>
    <w:p w14:paraId="42F7C83D"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توافر التمويل للسفن الجديدة أو المستعملة وتكلفته</w:t>
      </w:r>
      <w:r w:rsidRPr="009726AD">
        <w:rPr>
          <w:rFonts w:ascii="Traditional Arabic" w:hAnsi="Traditional Arabic" w:cs="Traditional Arabic"/>
          <w:b/>
          <w:sz w:val="30"/>
          <w:szCs w:val="30"/>
          <w:lang w:bidi="ar-EG"/>
        </w:rPr>
        <w:t>.</w:t>
      </w:r>
    </w:p>
    <w:p w14:paraId="36C9A853"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سلوك المنافسين في ضوء ظروف السوق السائدة</w:t>
      </w:r>
      <w:r w:rsidRPr="009726AD">
        <w:rPr>
          <w:rFonts w:ascii="Traditional Arabic" w:hAnsi="Traditional Arabic" w:cs="Traditional Arabic"/>
          <w:b/>
          <w:sz w:val="30"/>
          <w:szCs w:val="30"/>
          <w:lang w:bidi="ar-EG"/>
        </w:rPr>
        <w:t>.</w:t>
      </w:r>
    </w:p>
    <w:p w14:paraId="714B3BA9"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سعر الفولاذ</w:t>
      </w:r>
      <w:r w:rsidRPr="009726AD">
        <w:rPr>
          <w:rFonts w:ascii="Traditional Arabic" w:hAnsi="Traditional Arabic" w:cs="Traditional Arabic"/>
          <w:b/>
          <w:sz w:val="30"/>
          <w:szCs w:val="30"/>
          <w:lang w:bidi="ar-EG"/>
        </w:rPr>
        <w:t>.</w:t>
      </w:r>
    </w:p>
    <w:p w14:paraId="6E3CB57B"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عمليات الدمج والاستحواذ والإفلاس وإعادة الهيكلة والتحالفات بين شركات النقل البحري وأحواض بناء السفن</w:t>
      </w:r>
      <w:r w:rsidRPr="009726AD">
        <w:rPr>
          <w:rFonts w:ascii="Traditional Arabic" w:hAnsi="Traditional Arabic" w:cs="Traditional Arabic"/>
          <w:b/>
          <w:sz w:val="30"/>
          <w:szCs w:val="30"/>
          <w:lang w:bidi="ar-EG"/>
        </w:rPr>
        <w:t>.</w:t>
      </w:r>
    </w:p>
    <w:p w14:paraId="2A0B2FE3"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اختلالات سلسلة التوريد</w:t>
      </w:r>
      <w:r w:rsidRPr="009726AD">
        <w:rPr>
          <w:rFonts w:ascii="Traditional Arabic" w:hAnsi="Traditional Arabic" w:cs="Traditional Arabic"/>
          <w:b/>
          <w:sz w:val="30"/>
          <w:szCs w:val="30"/>
          <w:lang w:bidi="ar-EG"/>
        </w:rPr>
        <w:t>.</w:t>
      </w:r>
    </w:p>
    <w:p w14:paraId="0A38E937" w14:textId="77777777" w:rsidR="009726AD" w:rsidRPr="009726AD" w:rsidRDefault="009726AD" w:rsidP="009726AD">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التغييرات في لوائح الترخيص واللوائح البيئية وغيرها من اللوائح، وكذلك مواصفات التصميم، التي قد تحد من التراخيص أو العمر الإنتاجي أو القدرة الاستيعابية أو عمليات أسطول الشركة</w:t>
      </w:r>
      <w:r w:rsidRPr="009726AD">
        <w:rPr>
          <w:rFonts w:ascii="Traditional Arabic" w:hAnsi="Traditional Arabic" w:cs="Traditional Arabic"/>
          <w:b/>
          <w:sz w:val="30"/>
          <w:szCs w:val="30"/>
          <w:lang w:bidi="ar-EG"/>
        </w:rPr>
        <w:t>.</w:t>
      </w:r>
    </w:p>
    <w:p w14:paraId="44579CFA"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حركة الملاحة البحرية وازدحام الموانئ</w:t>
      </w:r>
      <w:r w:rsidRPr="009726AD">
        <w:rPr>
          <w:rFonts w:ascii="Traditional Arabic" w:hAnsi="Traditional Arabic" w:cs="Traditional Arabic"/>
          <w:b/>
          <w:sz w:val="30"/>
          <w:szCs w:val="30"/>
          <w:lang w:bidi="ar-EG"/>
        </w:rPr>
        <w:t xml:space="preserve">. </w:t>
      </w:r>
    </w:p>
    <w:p w14:paraId="702DECEC"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تعطيل طرق التجارة، لا سيما نتيجة للأحداث الجيوسياسية، بما في ذلك الحروب والإرهاب</w:t>
      </w:r>
      <w:r w:rsidRPr="009726AD">
        <w:rPr>
          <w:rFonts w:ascii="Traditional Arabic" w:hAnsi="Traditional Arabic" w:cs="Traditional Arabic"/>
          <w:b/>
          <w:sz w:val="30"/>
          <w:szCs w:val="30"/>
          <w:lang w:bidi="ar-EG"/>
        </w:rPr>
        <w:t>.</w:t>
      </w:r>
    </w:p>
    <w:p w14:paraId="2CE70C3A"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التوقعات المتعلقة بالنمو الاقتصادي العالمي وتأثيرها على التجارة البحرية الدولية</w:t>
      </w:r>
      <w:r w:rsidRPr="009726AD">
        <w:rPr>
          <w:rFonts w:ascii="Traditional Arabic" w:hAnsi="Traditional Arabic" w:cs="Traditional Arabic"/>
          <w:b/>
          <w:sz w:val="30"/>
          <w:szCs w:val="30"/>
          <w:lang w:bidi="ar-EG"/>
        </w:rPr>
        <w:t>.</w:t>
      </w:r>
    </w:p>
    <w:p w14:paraId="36CCD587"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ضوابط التجارة والتصدير</w:t>
      </w:r>
      <w:r w:rsidRPr="009726AD">
        <w:rPr>
          <w:rFonts w:ascii="Traditional Arabic" w:hAnsi="Traditional Arabic" w:cs="Traditional Arabic"/>
          <w:b/>
          <w:sz w:val="30"/>
          <w:szCs w:val="30"/>
          <w:lang w:bidi="ar-EG"/>
        </w:rPr>
        <w:t xml:space="preserve">. </w:t>
      </w:r>
    </w:p>
    <w:p w14:paraId="6B286851"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أسعار الاستئجار السائدة</w:t>
      </w:r>
      <w:r w:rsidRPr="009726AD">
        <w:rPr>
          <w:rFonts w:ascii="Traditional Arabic" w:hAnsi="Traditional Arabic" w:cs="Traditional Arabic"/>
          <w:b/>
          <w:sz w:val="30"/>
          <w:szCs w:val="30"/>
          <w:lang w:bidi="ar-EG"/>
        </w:rPr>
        <w:t>.</w:t>
      </w:r>
    </w:p>
    <w:p w14:paraId="0836E82F" w14:textId="77777777" w:rsidR="009726AD" w:rsidRPr="009726AD" w:rsidRDefault="009726AD" w:rsidP="009726AD">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lastRenderedPageBreak/>
        <w:t>•</w:t>
      </w:r>
      <w:r w:rsidRPr="009726AD">
        <w:rPr>
          <w:rFonts w:ascii="Traditional Arabic" w:hAnsi="Traditional Arabic" w:cs="Traditional Arabic"/>
          <w:b/>
          <w:sz w:val="30"/>
          <w:szCs w:val="30"/>
          <w:lang w:bidi="ar-EG"/>
        </w:rPr>
        <w:tab/>
      </w:r>
      <w:r w:rsidR="00010336" w:rsidRPr="00010336">
        <w:rPr>
          <w:rFonts w:ascii="Traditional Arabic" w:hAnsi="Traditional Arabic" w:cs="Traditional Arabic"/>
          <w:b/>
          <w:sz w:val="30"/>
          <w:szCs w:val="30"/>
          <w:rtl/>
          <w:lang w:bidi="ar-EG"/>
        </w:rPr>
        <w:t>التطورات التكنولوجية في تصميم السفن وكفاءتها بشكل عام، بما في ذلك قدرة السفن على استخدام أنواع وقود أقل تكلفة وأكثر ملاءمة للبيئة</w:t>
      </w:r>
      <w:r w:rsidR="00010336">
        <w:rPr>
          <w:rFonts w:ascii="Traditional Arabic" w:hAnsi="Traditional Arabic" w:cs="Traditional Arabic" w:hint="cs"/>
          <w:b/>
          <w:sz w:val="30"/>
          <w:szCs w:val="30"/>
          <w:rtl/>
          <w:lang w:bidi="ar-EG"/>
        </w:rPr>
        <w:t>.</w:t>
      </w:r>
    </w:p>
    <w:p w14:paraId="3D76172F"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العوامل السياسية، بما في ذلك فرض العقوبات</w:t>
      </w:r>
      <w:r w:rsidRPr="009726AD">
        <w:rPr>
          <w:rFonts w:ascii="Traditional Arabic" w:hAnsi="Traditional Arabic" w:cs="Traditional Arabic"/>
          <w:b/>
          <w:sz w:val="30"/>
          <w:szCs w:val="30"/>
          <w:lang w:bidi="ar-EG"/>
        </w:rPr>
        <w:t>.</w:t>
      </w:r>
    </w:p>
    <w:p w14:paraId="7664442E" w14:textId="77777777" w:rsidR="009726AD" w:rsidRDefault="009726AD" w:rsidP="009726AD">
      <w:pPr>
        <w:bidi/>
        <w:jc w:val="both"/>
        <w:rPr>
          <w:rFonts w:ascii="Traditional Arabic" w:hAnsi="Traditional Arabic" w:cs="Traditional Arabic"/>
          <w:b/>
          <w:sz w:val="30"/>
          <w:szCs w:val="30"/>
          <w:rtl/>
          <w:lang w:bidi="ar-EG"/>
        </w:rPr>
      </w:pPr>
    </w:p>
    <w:p w14:paraId="7F989E4E"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اختلفت معدلات نمو ناقلات النفط الخام والمنتجات العالمية والغاز الطبيعي المسال وغاز البترول المسال والسوائب الجافة وأسطول الخطوط الملاحية المنتظمة بشكل كبير على مدى العقدين الماضيين، مما يعكس الديناميكيات المتغيرة لأسواق الطاقة وقطاع النقل البحري. ووفقًا لتقرير السوق، فمن المتوقع أن تزداد </w:t>
      </w:r>
      <w:r w:rsidR="00B65DFF">
        <w:rPr>
          <w:rFonts w:ascii="Traditional Arabic" w:hAnsi="Traditional Arabic" w:cs="Traditional Arabic" w:hint="cs"/>
          <w:b/>
          <w:sz w:val="30"/>
          <w:szCs w:val="30"/>
          <w:rtl/>
          <w:lang w:bidi="ar-EG"/>
        </w:rPr>
        <w:t>سعة</w:t>
      </w:r>
      <w:r w:rsidR="00B65DFF"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b/>
          <w:sz w:val="30"/>
          <w:szCs w:val="30"/>
          <w:rtl/>
          <w:lang w:bidi="ar-EG"/>
        </w:rPr>
        <w:t xml:space="preserve">أسطول السفن العالمية في المستقبل. قد يستمر قطاع النقل البحري في مواجهة </w:t>
      </w:r>
      <w:r w:rsidR="004D6645">
        <w:rPr>
          <w:rFonts w:ascii="Traditional Arabic" w:hAnsi="Traditional Arabic" w:cs="Traditional Arabic" w:hint="cs"/>
          <w:b/>
          <w:sz w:val="30"/>
          <w:szCs w:val="30"/>
          <w:rtl/>
          <w:lang w:bidi="ar-EG"/>
        </w:rPr>
        <w:t>الفائض</w:t>
      </w:r>
      <w:r w:rsidR="00EC5529">
        <w:rPr>
          <w:rFonts w:ascii="Traditional Arabic" w:hAnsi="Traditional Arabic" w:cs="Traditional Arabic" w:hint="cs"/>
          <w:b/>
          <w:sz w:val="30"/>
          <w:szCs w:val="30"/>
          <w:rtl/>
          <w:lang w:bidi="ar-EG"/>
        </w:rPr>
        <w:t xml:space="preserve"> بالعرض</w:t>
      </w:r>
      <w:r w:rsidRPr="009726AD">
        <w:rPr>
          <w:rFonts w:ascii="Traditional Arabic" w:hAnsi="Traditional Arabic" w:cs="Traditional Arabic"/>
          <w:b/>
          <w:sz w:val="30"/>
          <w:szCs w:val="30"/>
          <w:rtl/>
          <w:lang w:bidi="ar-EG"/>
        </w:rPr>
        <w:t xml:space="preserve"> في السنوات القادمة. إن </w:t>
      </w:r>
      <w:r w:rsidR="00A01A2C">
        <w:rPr>
          <w:rFonts w:ascii="Traditional Arabic" w:hAnsi="Traditional Arabic" w:cs="Traditional Arabic" w:hint="cs"/>
          <w:b/>
          <w:sz w:val="30"/>
          <w:szCs w:val="30"/>
          <w:rtl/>
          <w:lang w:bidi="ar-EG"/>
        </w:rPr>
        <w:t>الفائض بالعرض</w:t>
      </w:r>
      <w:r w:rsidRPr="009726AD">
        <w:rPr>
          <w:rFonts w:ascii="Traditional Arabic" w:hAnsi="Traditional Arabic" w:cs="Traditional Arabic"/>
          <w:b/>
          <w:sz w:val="30"/>
          <w:szCs w:val="30"/>
          <w:rtl/>
          <w:lang w:bidi="ar-EG"/>
        </w:rPr>
        <w:t>، بالإضافة إلى عامل أو أكثر من العوامل المذكورة أعلاه، يمكن أن يؤدي إلى انخفاض في قيمة سفن الشركة، مما قد يؤثر سلبًا على قدرتها على الالتزام بالتعهدات الواردة في اتفاقيات تمويل السفن (وكل منها يخضع لنسب</w:t>
      </w:r>
      <w:r w:rsidR="00B21476">
        <w:rPr>
          <w:rFonts w:ascii="Traditional Arabic" w:hAnsi="Traditional Arabic" w:cs="Traditional Arabic" w:hint="cs"/>
          <w:b/>
          <w:sz w:val="30"/>
          <w:szCs w:val="30"/>
          <w:rtl/>
          <w:lang w:bidi="ar-EG"/>
        </w:rPr>
        <w:t xml:space="preserve"> مختلفة من</w:t>
      </w:r>
      <w:r w:rsidRPr="009726AD">
        <w:rPr>
          <w:rFonts w:ascii="Traditional Arabic" w:hAnsi="Traditional Arabic" w:cs="Traditional Arabic"/>
          <w:b/>
          <w:sz w:val="30"/>
          <w:szCs w:val="30"/>
          <w:rtl/>
          <w:lang w:bidi="ar-EG"/>
        </w:rPr>
        <w:t xml:space="preserve"> </w:t>
      </w:r>
      <w:r w:rsidR="00347838">
        <w:rPr>
          <w:rFonts w:ascii="Traditional Arabic" w:hAnsi="Traditional Arabic" w:cs="Traditional Arabic" w:hint="cs"/>
          <w:b/>
          <w:sz w:val="30"/>
          <w:szCs w:val="30"/>
          <w:rtl/>
          <w:lang w:bidi="ar-EG"/>
        </w:rPr>
        <w:t xml:space="preserve">خدمة </w:t>
      </w:r>
      <w:r w:rsidRPr="009726AD">
        <w:rPr>
          <w:rFonts w:ascii="Traditional Arabic" w:hAnsi="Traditional Arabic" w:cs="Traditional Arabic"/>
          <w:b/>
          <w:sz w:val="30"/>
          <w:szCs w:val="30"/>
          <w:rtl/>
          <w:lang w:bidi="ar-EG"/>
        </w:rPr>
        <w:t xml:space="preserve">تغطية </w:t>
      </w:r>
      <w:r w:rsidR="00457A97">
        <w:rPr>
          <w:rFonts w:ascii="Traditional Arabic" w:hAnsi="Traditional Arabic" w:cs="Traditional Arabic" w:hint="cs"/>
          <w:b/>
          <w:sz w:val="30"/>
          <w:szCs w:val="30"/>
          <w:rtl/>
          <w:lang w:bidi="ar-EG"/>
        </w:rPr>
        <w:t>ال</w:t>
      </w:r>
      <w:r w:rsidRPr="009726AD">
        <w:rPr>
          <w:rFonts w:ascii="Traditional Arabic" w:hAnsi="Traditional Arabic" w:cs="Traditional Arabic"/>
          <w:b/>
          <w:sz w:val="30"/>
          <w:szCs w:val="30"/>
          <w:rtl/>
          <w:lang w:bidi="ar-EG"/>
        </w:rPr>
        <w:t>دين)، بالإضافة إلى اضطرار الشركة إلى الاعتراف برسوم انخفاض القيمة فيما يتعلق بسفنها المملوكة ملكية تامة والمملوكة بشكل مشترك، وقد يؤثر أي منها سلبًا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1CFE1172" w14:textId="77777777" w:rsidR="009726AD" w:rsidRPr="009726AD" w:rsidRDefault="009726AD" w:rsidP="009726AD">
      <w:pPr>
        <w:bidi/>
        <w:jc w:val="both"/>
        <w:rPr>
          <w:rFonts w:ascii="Traditional Arabic" w:hAnsi="Traditional Arabic" w:cs="Traditional Arabic"/>
          <w:b/>
          <w:sz w:val="30"/>
          <w:szCs w:val="30"/>
          <w:rtl/>
          <w:lang w:bidi="ar-EG"/>
        </w:rPr>
      </w:pPr>
    </w:p>
    <w:p w14:paraId="59F006AC" w14:textId="77777777" w:rsidR="009726AD" w:rsidRPr="009726AD" w:rsidRDefault="009726AD" w:rsidP="009726AD">
      <w:pPr>
        <w:bidi/>
        <w:jc w:val="both"/>
        <w:rPr>
          <w:rFonts w:ascii="Traditional Arabic" w:hAnsi="Traditional Arabic" w:cs="Traditional Arabic"/>
          <w:bCs/>
          <w:sz w:val="30"/>
          <w:szCs w:val="30"/>
          <w:rtl/>
          <w:lang w:bidi="ar-EG"/>
        </w:rPr>
      </w:pPr>
      <w:r w:rsidRPr="009726AD">
        <w:rPr>
          <w:rFonts w:ascii="Traditional Arabic" w:hAnsi="Traditional Arabic" w:cs="Traditional Arabic"/>
          <w:b/>
          <w:sz w:val="30"/>
          <w:szCs w:val="30"/>
          <w:rtl/>
          <w:lang w:bidi="ar-EG"/>
        </w:rPr>
        <w:t>4</w:t>
      </w:r>
      <w:r w:rsidRPr="009726AD">
        <w:rPr>
          <w:rFonts w:ascii="Traditional Arabic" w:hAnsi="Traditional Arabic" w:cs="Traditional Arabic"/>
          <w:bCs/>
          <w:sz w:val="30"/>
          <w:szCs w:val="30"/>
          <w:lang w:bidi="ar-EG"/>
        </w:rPr>
        <w:t>.</w:t>
      </w:r>
      <w:r w:rsidRPr="009726AD">
        <w:rPr>
          <w:rFonts w:ascii="Traditional Arabic" w:hAnsi="Traditional Arabic" w:cs="Traditional Arabic"/>
          <w:bCs/>
          <w:sz w:val="30"/>
          <w:szCs w:val="30"/>
          <w:lang w:bidi="ar-EG"/>
        </w:rPr>
        <w:tab/>
      </w:r>
      <w:r w:rsidRPr="009726AD">
        <w:rPr>
          <w:rFonts w:ascii="Traditional Arabic" w:hAnsi="Traditional Arabic" w:cs="Traditional Arabic"/>
          <w:bCs/>
          <w:sz w:val="30"/>
          <w:szCs w:val="30"/>
          <w:rtl/>
          <w:lang w:bidi="ar-EG"/>
        </w:rPr>
        <w:t>استئجار السفن وتأجيرها يعرض الشركة لتقلبات الإيرادات والتكلفة الناشئة في سوق تأجير السفن</w:t>
      </w:r>
      <w:r w:rsidRPr="009726AD">
        <w:rPr>
          <w:rFonts w:ascii="Traditional Arabic" w:hAnsi="Traditional Arabic" w:cs="Traditional Arabic"/>
          <w:bCs/>
          <w:sz w:val="30"/>
          <w:szCs w:val="30"/>
          <w:lang w:bidi="ar-EG"/>
        </w:rPr>
        <w:t>.</w:t>
      </w:r>
    </w:p>
    <w:p w14:paraId="683CE087" w14:textId="77777777" w:rsidR="009726AD" w:rsidRDefault="009726AD" w:rsidP="009726AD">
      <w:pPr>
        <w:bidi/>
        <w:jc w:val="both"/>
        <w:rPr>
          <w:rFonts w:ascii="Traditional Arabic" w:hAnsi="Traditional Arabic" w:cs="Traditional Arabic"/>
          <w:b/>
          <w:sz w:val="30"/>
          <w:szCs w:val="30"/>
          <w:rtl/>
          <w:lang w:bidi="ar-EG"/>
        </w:rPr>
      </w:pPr>
    </w:p>
    <w:p w14:paraId="027E9867"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اتبعت الشركة في عام 2020 منهجية </w:t>
      </w:r>
      <w:r w:rsidRPr="009726AD">
        <w:rPr>
          <w:rFonts w:ascii="Traditional Arabic" w:hAnsi="Traditional Arabic" w:cs="Traditional Arabic" w:hint="cs"/>
          <w:b/>
          <w:sz w:val="30"/>
          <w:szCs w:val="30"/>
          <w:rtl/>
          <w:lang w:bidi="ar-EG"/>
        </w:rPr>
        <w:t>التخفي</w:t>
      </w:r>
      <w:r w:rsidRPr="009726AD">
        <w:rPr>
          <w:rFonts w:ascii="Traditional Arabic" w:hAnsi="Traditional Arabic" w:cs="Traditional Arabic" w:hint="eastAsia"/>
          <w:b/>
          <w:sz w:val="30"/>
          <w:szCs w:val="30"/>
          <w:rtl/>
          <w:lang w:bidi="ar-EG"/>
        </w:rPr>
        <w:t>ف</w:t>
      </w:r>
      <w:r w:rsidRPr="009726AD">
        <w:rPr>
          <w:rFonts w:ascii="Traditional Arabic" w:hAnsi="Traditional Arabic" w:cs="Traditional Arabic"/>
          <w:b/>
          <w:sz w:val="30"/>
          <w:szCs w:val="30"/>
          <w:rtl/>
          <w:lang w:bidi="ar-EG"/>
        </w:rPr>
        <w:t xml:space="preserve"> من الأصول فيما يتعلق بأسطول سفنها، ونتيجة لذلك بدأت في استئجار سفن تابعة لجهات خارجية وتأجير تلك السفن، بالإضافة إلى السفن المملوكة لها ملكية تامة والمملوكة لها بشكل مشترك، وذلك استجابة للعوامل الاستراتيجية والتجارية والسوقية ذات الصلة. وإذا رأت الشركة أن سعر السوق للسفن مرتفع للغاية، فإنها تستأجر الشركة السفن لتلبية الطلب الفوري (من شهر إلى ثلاثة أشهر) والقصير (من أربعة أشهر إلى سنة واحدة) والمتوسط (من سنة إلى ثلاث سنوات) والحفاظ على وجودها كمنافس في أسواق معينة. وإذا لم يكن لدى الشركة ما تنقله من حمولة للغير، فإنها ستختار تأجير ما توفر لديها من سفن في أسطولها إلى الغير. بلغت نسبة السفن التي تستأجرها الشركة وتضمها في أسطولها في عام 2021 </w:t>
      </w:r>
      <w:r w:rsidR="00010336">
        <w:rPr>
          <w:rFonts w:ascii="Traditional Arabic" w:hAnsi="Traditional Arabic" w:cs="Traditional Arabic" w:hint="cs"/>
          <w:b/>
          <w:sz w:val="30"/>
          <w:szCs w:val="30"/>
          <w:rtl/>
          <w:lang w:bidi="ar-EG"/>
        </w:rPr>
        <w:t>18%</w:t>
      </w:r>
      <w:r w:rsidR="00010336"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b/>
          <w:sz w:val="30"/>
          <w:szCs w:val="30"/>
          <w:rtl/>
          <w:lang w:bidi="ar-EG"/>
        </w:rPr>
        <w:t xml:space="preserve">وفي عام 2022 </w:t>
      </w:r>
      <w:r w:rsidR="00010336">
        <w:rPr>
          <w:rFonts w:ascii="Traditional Arabic" w:hAnsi="Traditional Arabic" w:cs="Traditional Arabic" w:hint="cs"/>
          <w:b/>
          <w:sz w:val="30"/>
          <w:szCs w:val="30"/>
          <w:rtl/>
          <w:lang w:bidi="ar-EG"/>
        </w:rPr>
        <w:t>49%</w:t>
      </w:r>
      <w:r w:rsidR="00010336"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b/>
          <w:sz w:val="30"/>
          <w:szCs w:val="30"/>
          <w:rtl/>
          <w:lang w:bidi="ar-EG"/>
        </w:rPr>
        <w:t xml:space="preserve">وفي عام 2023 </w:t>
      </w:r>
      <w:r w:rsidR="00010336">
        <w:rPr>
          <w:rFonts w:ascii="Traditional Arabic" w:hAnsi="Traditional Arabic" w:cs="Traditional Arabic" w:hint="cs"/>
          <w:b/>
          <w:sz w:val="30"/>
          <w:szCs w:val="30"/>
          <w:rtl/>
          <w:lang w:bidi="ar-EG"/>
        </w:rPr>
        <w:t>41%</w:t>
      </w:r>
      <w:r w:rsidR="00010336"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b/>
          <w:sz w:val="30"/>
          <w:szCs w:val="30"/>
          <w:rtl/>
          <w:lang w:bidi="ar-EG"/>
        </w:rPr>
        <w:t>ونتيجة لذلك، تتعرض الشركة لمخاطر تقلبات الأسعار في سوق تأجير السفن التي تؤثر على إيراداتها وتكلفتها</w:t>
      </w:r>
      <w:r w:rsidRPr="009726AD">
        <w:rPr>
          <w:rFonts w:ascii="Traditional Arabic" w:hAnsi="Traditional Arabic" w:cs="Traditional Arabic"/>
          <w:b/>
          <w:sz w:val="30"/>
          <w:szCs w:val="30"/>
          <w:lang w:bidi="ar-EG"/>
        </w:rPr>
        <w:t>.</w:t>
      </w:r>
    </w:p>
    <w:p w14:paraId="4DA95679" w14:textId="77777777" w:rsidR="009726AD" w:rsidRDefault="009726AD" w:rsidP="009726AD">
      <w:pPr>
        <w:bidi/>
        <w:jc w:val="both"/>
        <w:rPr>
          <w:rFonts w:ascii="Traditional Arabic" w:hAnsi="Traditional Arabic" w:cs="Traditional Arabic"/>
          <w:b/>
          <w:sz w:val="30"/>
          <w:szCs w:val="30"/>
          <w:rtl/>
          <w:lang w:bidi="ar-EG"/>
        </w:rPr>
      </w:pPr>
    </w:p>
    <w:p w14:paraId="74673C7E"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تعمل بعض خدمات الشركة في مجال النقل البحري للمواد السائبة الجافة و</w:t>
      </w:r>
      <w:r w:rsidR="00167760">
        <w:rPr>
          <w:rFonts w:ascii="Traditional Arabic" w:hAnsi="Traditional Arabic" w:cs="Traditional Arabic"/>
          <w:b/>
          <w:sz w:val="30"/>
          <w:szCs w:val="30"/>
          <w:rtl/>
          <w:lang w:bidi="ar-EG"/>
        </w:rPr>
        <w:t>نقل</w:t>
      </w:r>
      <w:r w:rsidRPr="009726AD">
        <w:rPr>
          <w:rFonts w:ascii="Traditional Arabic" w:hAnsi="Traditional Arabic" w:cs="Traditional Arabic"/>
          <w:b/>
          <w:sz w:val="30"/>
          <w:szCs w:val="30"/>
          <w:rtl/>
          <w:lang w:bidi="ar-EG"/>
        </w:rPr>
        <w:t xml:space="preserve"> المنتجات في سوق التأجير الفوري، وأسعاره تُحدد في الغالب بأسعار السوق (عادة بسعر التأجير السائد في السوق) في وقت الشحن، في حين أن خدمات نقل الغاز الطبيعي المسال وغاز البترول المسال والنفط الخام والميثانول والمواد الكيميائية، وكذلك بعض المنتجات السائبة الجافة الأخرى، مثل خام الحديد، تعمل في الغالب على أساس التأجير لمدة محددة لكنها طويل</w:t>
      </w:r>
      <w:r w:rsidR="005129D8">
        <w:rPr>
          <w:rFonts w:ascii="Traditional Arabic" w:hAnsi="Traditional Arabic" w:cs="Traditional Arabic" w:hint="cs"/>
          <w:b/>
          <w:sz w:val="30"/>
          <w:szCs w:val="30"/>
          <w:rtl/>
          <w:lang w:bidi="ar-EG"/>
        </w:rPr>
        <w:t>ة</w:t>
      </w:r>
      <w:r w:rsidRPr="009726AD">
        <w:rPr>
          <w:rFonts w:ascii="Traditional Arabic" w:hAnsi="Traditional Arabic" w:cs="Traditional Arabic"/>
          <w:b/>
          <w:sz w:val="30"/>
          <w:szCs w:val="30"/>
          <w:rtl/>
          <w:lang w:bidi="ar-EG"/>
        </w:rPr>
        <w:t xml:space="preserve"> الأمد</w:t>
      </w:r>
      <w:r w:rsidRPr="009726AD">
        <w:rPr>
          <w:rFonts w:ascii="Traditional Arabic" w:hAnsi="Traditional Arabic" w:cs="Traditional Arabic"/>
          <w:b/>
          <w:sz w:val="30"/>
          <w:szCs w:val="30"/>
          <w:lang w:bidi="ar-EG"/>
        </w:rPr>
        <w:t xml:space="preserve">. </w:t>
      </w:r>
    </w:p>
    <w:p w14:paraId="3788AB21" w14:textId="77777777" w:rsidR="009726AD" w:rsidRDefault="009726AD" w:rsidP="009726AD">
      <w:pPr>
        <w:bidi/>
        <w:jc w:val="both"/>
        <w:rPr>
          <w:rFonts w:ascii="Traditional Arabic" w:hAnsi="Traditional Arabic" w:cs="Traditional Arabic"/>
          <w:b/>
          <w:sz w:val="30"/>
          <w:szCs w:val="30"/>
          <w:rtl/>
          <w:lang w:bidi="ar-EG"/>
        </w:rPr>
      </w:pPr>
    </w:p>
    <w:p w14:paraId="1119E67C"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أسعار الاستئجار الفوري متقلبة وتنتظم في دورات نتيجة لديناميكيات الطلب والعرض السائدة في السوق. وبالتالي، فإن أسعار التأجير الفوري عرة للتقلب، وأحيانًا بشكل كبير. أصبحت هذه الأسعار أكثر تقلبًا منذ عام 2020، بسبب مجموعة متنوعة من التحديات الجيوسياسية، بما في ذلك جائحة كوفيد-19، والصراع بين أوكرانيا وروسيا، والنزاع الواقع في البحر الأحمر، والتوتر التجاري الحالي بين الولايات المتحدة والصين، وعدم الاستقرار السياسي في منطقة بحر الصين الجنوبي. </w:t>
      </w:r>
      <w:r w:rsidR="006A44B1" w:rsidRPr="006A44B1">
        <w:rPr>
          <w:rFonts w:ascii="Traditional Arabic" w:hAnsi="Traditional Arabic" w:cs="Traditional Arabic"/>
          <w:b/>
          <w:sz w:val="30"/>
          <w:szCs w:val="30"/>
          <w:rtl/>
          <w:lang w:bidi="ar-EG"/>
        </w:rPr>
        <w:t>بالإضافة إلى ذلك، ارتفعت أسعار التأجير الفوري لناقلات النفط الخام الكبيرة جدًا ("</w:t>
      </w:r>
      <w:r w:rsidR="006A44B1" w:rsidRPr="006A44B1">
        <w:rPr>
          <w:rFonts w:ascii="Traditional Arabic" w:hAnsi="Traditional Arabic" w:cs="Traditional Arabic"/>
          <w:b/>
          <w:sz w:val="30"/>
          <w:szCs w:val="30"/>
          <w:lang w:bidi="ar-EG"/>
        </w:rPr>
        <w:t>VLCCs</w:t>
      </w:r>
      <w:r w:rsidR="006A44B1" w:rsidRPr="006A44B1">
        <w:rPr>
          <w:rFonts w:ascii="Traditional Arabic" w:hAnsi="Traditional Arabic" w:cs="Traditional Arabic"/>
          <w:b/>
          <w:sz w:val="30"/>
          <w:szCs w:val="30"/>
          <w:rtl/>
          <w:lang w:bidi="ar-EG"/>
        </w:rPr>
        <w:t>") في عام 2023، بسبب زيادة الطلب الناتجة عن التغيرات في أنماط التجارة، تلتها تقلبات مستمرة في الأشهر التسعة الأولى من عام 2024</w:t>
      </w:r>
      <w:r w:rsidR="006A44B1">
        <w:rPr>
          <w:rFonts w:ascii="Traditional Arabic" w:hAnsi="Traditional Arabic" w:cs="Traditional Arabic" w:hint="cs"/>
          <w:b/>
          <w:sz w:val="30"/>
          <w:szCs w:val="30"/>
          <w:rtl/>
          <w:lang w:bidi="ar-EG"/>
        </w:rPr>
        <w:t>.</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قد</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تؤدي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التقلبات</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إلى</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زيادات</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في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أسعار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التأجير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الفوري،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نظرًا</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لأن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أسعار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التأجير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الفوري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ثابتة،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وقد</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يكون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هناك</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تأخير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في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تحقيق</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المنفعة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من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الزيادات</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في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سوق</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أسعار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التأجير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الفوري؛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لأن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السفن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التي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تم</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تأجيرها</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لم</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تعد</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متاحة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للتأجير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بأسعار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أعلى</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وعلى</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العكس</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من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ذلك،</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تخضع</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الشركة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أيضًا</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لمخاطر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استئجار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السفن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بأسعار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سوقية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أعلى،</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وبعد</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انخفاض</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أسعار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التأجير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الفوري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بعد</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ذلك،</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فقد</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تعاني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من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خسائر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بسبب</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الاضطرار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إلى</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تأجير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السفينة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بأسعار</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سوقية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أقل</w:t>
      </w:r>
      <w:r w:rsidRPr="009726AD">
        <w:rPr>
          <w:rFonts w:ascii="Traditional Arabic" w:hAnsi="Traditional Arabic" w:cs="Traditional Arabic"/>
          <w:b/>
          <w:sz w:val="30"/>
          <w:szCs w:val="30"/>
          <w:lang w:bidi="ar-EG"/>
        </w:rPr>
        <w:t>.</w:t>
      </w:r>
    </w:p>
    <w:p w14:paraId="29ABE031" w14:textId="77777777" w:rsidR="00580B37" w:rsidRDefault="00580B37" w:rsidP="009726AD">
      <w:pPr>
        <w:bidi/>
        <w:jc w:val="both"/>
        <w:rPr>
          <w:rFonts w:ascii="Traditional Arabic" w:hAnsi="Traditional Arabic" w:cs="Traditional Arabic"/>
          <w:b/>
          <w:sz w:val="30"/>
          <w:szCs w:val="30"/>
          <w:rtl/>
          <w:lang w:bidi="ar-EG"/>
        </w:rPr>
      </w:pPr>
    </w:p>
    <w:p w14:paraId="41C473AB" w14:textId="77777777" w:rsid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توفر السفن التي لا تعمل على أساس سوق التأجير الفوري تدفقات نقدية تكون أكثر قابلية للتنبؤ، ولكنها يمكن أن تحقق هوامش ربح أقل من السفن العاملة في سوق التأجير الفوري في الفترات التي تهيمن عليها ظروف السوق المواتية. تحقق السفن العاملة في سوق التأجير الفوري إيرادات تكون أقل قابلية للتنبؤ وأكثر تقلبًا، إلا أنها قد تسمح للشركة بالحصول على هوامش ربح متزايدة خلال الفترات التي تتحسن فيها أسعار التأجير. وتزيد المشاركة في سوق التأجير الفوري من التقلبات النسبية للتدفقات النقدية للشركة التي تحصل عليها من عملياتها، كما تعرضها لمخاطر انخفاض أسعار التأجير</w:t>
      </w:r>
      <w:r w:rsidRPr="009726AD">
        <w:rPr>
          <w:rFonts w:ascii="Traditional Arabic" w:hAnsi="Traditional Arabic" w:cs="Traditional Arabic"/>
          <w:b/>
          <w:sz w:val="30"/>
          <w:szCs w:val="30"/>
          <w:lang w:bidi="ar-EG"/>
        </w:rPr>
        <w:t>.</w:t>
      </w:r>
    </w:p>
    <w:p w14:paraId="289645FB" w14:textId="77777777" w:rsidR="00580B37" w:rsidRPr="009726AD" w:rsidRDefault="00580B37" w:rsidP="00580B37">
      <w:pPr>
        <w:bidi/>
        <w:jc w:val="both"/>
        <w:rPr>
          <w:rFonts w:ascii="Traditional Arabic" w:hAnsi="Traditional Arabic" w:cs="Traditional Arabic"/>
          <w:b/>
          <w:sz w:val="30"/>
          <w:szCs w:val="30"/>
          <w:rtl/>
          <w:lang w:bidi="ar-EG"/>
        </w:rPr>
      </w:pPr>
    </w:p>
    <w:p w14:paraId="28078660"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ولا يوجد ما يضمن استقرار أسعار التأجير الفوري في المستقبل أو أن الشركة ستنجح في الحفاظ على تشغيل سفنها بشكل كامل في أسواق التأجير الفوري، مما قد يؤدي إلى انخفاض الإيرادات المستلمة من التأجير الفوري. وقد تؤثر أي تقلبات كبيرة في أسعار التأجير الفوري سلبًا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43BAE2B2" w14:textId="77777777" w:rsidR="00580B37" w:rsidRPr="009726AD" w:rsidRDefault="00580B37" w:rsidP="00580B37">
      <w:pPr>
        <w:bidi/>
        <w:jc w:val="both"/>
        <w:rPr>
          <w:rFonts w:ascii="Traditional Arabic" w:hAnsi="Traditional Arabic" w:cs="Traditional Arabic"/>
          <w:b/>
          <w:sz w:val="30"/>
          <w:szCs w:val="30"/>
          <w:rtl/>
          <w:lang w:bidi="ar-EG"/>
        </w:rPr>
      </w:pPr>
    </w:p>
    <w:p w14:paraId="7397ADFD" w14:textId="77777777" w:rsidR="009726AD" w:rsidRPr="00580B37" w:rsidRDefault="009726AD" w:rsidP="009726AD">
      <w:pPr>
        <w:bidi/>
        <w:jc w:val="both"/>
        <w:rPr>
          <w:rFonts w:ascii="Traditional Arabic" w:hAnsi="Traditional Arabic" w:cs="Traditional Arabic"/>
          <w:bCs/>
          <w:sz w:val="30"/>
          <w:szCs w:val="30"/>
          <w:rtl/>
          <w:lang w:bidi="ar-EG"/>
        </w:rPr>
      </w:pPr>
      <w:r w:rsidRPr="00580B37">
        <w:rPr>
          <w:rFonts w:ascii="Traditional Arabic" w:hAnsi="Traditional Arabic" w:cs="Traditional Arabic"/>
          <w:bCs/>
          <w:sz w:val="30"/>
          <w:szCs w:val="30"/>
          <w:rtl/>
          <w:lang w:bidi="ar-EG"/>
        </w:rPr>
        <w:t>5</w:t>
      </w:r>
      <w:r w:rsidRPr="00580B37">
        <w:rPr>
          <w:rFonts w:ascii="Traditional Arabic" w:hAnsi="Traditional Arabic" w:cs="Traditional Arabic"/>
          <w:bCs/>
          <w:sz w:val="30"/>
          <w:szCs w:val="30"/>
          <w:lang w:bidi="ar-EG"/>
        </w:rPr>
        <w:t>.</w:t>
      </w:r>
      <w:r w:rsidRPr="00580B37">
        <w:rPr>
          <w:rFonts w:ascii="Traditional Arabic" w:hAnsi="Traditional Arabic" w:cs="Traditional Arabic"/>
          <w:bCs/>
          <w:sz w:val="30"/>
          <w:szCs w:val="30"/>
          <w:lang w:bidi="ar-EG"/>
        </w:rPr>
        <w:tab/>
      </w:r>
      <w:r w:rsidRPr="00580B37">
        <w:rPr>
          <w:rFonts w:ascii="Traditional Arabic" w:hAnsi="Traditional Arabic" w:cs="Traditional Arabic"/>
          <w:bCs/>
          <w:sz w:val="30"/>
          <w:szCs w:val="30"/>
          <w:rtl/>
          <w:lang w:bidi="ar-EG"/>
        </w:rPr>
        <w:t>الحوادث البيئية تعرض الشركة لتكاليف بيئية ومسؤوليات كبيرة محتملة</w:t>
      </w:r>
      <w:r w:rsidRPr="00580B37">
        <w:rPr>
          <w:rFonts w:ascii="Traditional Arabic" w:hAnsi="Traditional Arabic" w:cs="Traditional Arabic"/>
          <w:bCs/>
          <w:sz w:val="30"/>
          <w:szCs w:val="30"/>
          <w:lang w:bidi="ar-EG"/>
        </w:rPr>
        <w:t>.</w:t>
      </w:r>
    </w:p>
    <w:p w14:paraId="1CFAAF42" w14:textId="77777777" w:rsidR="00580B37" w:rsidRDefault="00580B37" w:rsidP="009726AD">
      <w:pPr>
        <w:bidi/>
        <w:jc w:val="both"/>
        <w:rPr>
          <w:rFonts w:ascii="Traditional Arabic" w:hAnsi="Traditional Arabic" w:cs="Traditional Arabic"/>
          <w:b/>
          <w:sz w:val="30"/>
          <w:szCs w:val="30"/>
          <w:rtl/>
          <w:lang w:bidi="ar-EG"/>
        </w:rPr>
      </w:pPr>
    </w:p>
    <w:p w14:paraId="582243A1" w14:textId="77777777" w:rsid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ينطوي تشغيل أي سفينة تُبحر في المحيطات على مخاطر كامنة، تتمثل في: الكوارث البحرية أو غيرها من الحوادث التي قد تتسبب في أضرار بيئية جسيمة للمناطق التي تعمل فيها هذه السفن. يرجى الاطلاع على فقرة "- تتعرض شركات النقل البحري لمخاطر الخسائر الناجمة عن الكوارث البحرية والقرصنة والأعطال الميكانيكية وغيرها من الحوادث المماثلة التي قد تعطل عملياتها ". لاسيما وأن العديد من البضائع التي تنقلها سفن الشركة، بما في ذلك النفط الخام والغاز الطبيعي المسال وغاز </w:t>
      </w:r>
      <w:r w:rsidRPr="009726AD">
        <w:rPr>
          <w:rFonts w:ascii="Traditional Arabic" w:hAnsi="Traditional Arabic" w:cs="Traditional Arabic"/>
          <w:b/>
          <w:sz w:val="30"/>
          <w:szCs w:val="30"/>
          <w:rtl/>
          <w:lang w:bidi="ar-EG"/>
        </w:rPr>
        <w:lastRenderedPageBreak/>
        <w:t>البترول المسال والبتروكيماويات، وكذلك الوقود البحري لسفنها، تشكل خطراً كبيراً على البيئة وقد تنتشر في المياه أو عن طريق الجو إلى المناطق البعيدة والسواحل. وقد يكون من الصعب للغاية السيطرة على التسريب أو الانبعاث الجوي لأي بضائع منقولة أو يكون تنظيفها مكلفًا. ويمكن أن تؤدي الحوادث البيئية كهذه إلى مطالبات وغرامات حكومية أو تنظيمية، بما في ذلك مطالبات التنظيف والإصلاح، والمطالبات من أطراف خارجية أو كيانات تتأثر أعمالها سلبًا بتلك الحوادث، بالإضافة إلى الإضرار بسمعة الشركة. ونتيجة لذلك، قد تعرض الحوادث البيئية الشركة لتكاليف محتملة تتجاوز بكثير قيمة البضائع المنقولة والسفن التي تنقل عليها، ويمكن أن تؤدي، في أسوأ الأحوال، إلى إفلاس الشركة. لا يوجد ما يضمن عدم وقوع حادث بيئي أو أن تأمين الشركة سيوفر تغطية كافية لأي تكاليف أو التزامات ناتجة عن ذلك. وبالتالي، فإن حدوث مثل هذه الحوادث يمكن أن يكون له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35894A5C" w14:textId="77777777" w:rsidR="00580B37" w:rsidRPr="009726AD" w:rsidRDefault="00580B37" w:rsidP="00580B37">
      <w:pPr>
        <w:bidi/>
        <w:jc w:val="both"/>
        <w:rPr>
          <w:rFonts w:ascii="Traditional Arabic" w:hAnsi="Traditional Arabic" w:cs="Traditional Arabic"/>
          <w:b/>
          <w:sz w:val="30"/>
          <w:szCs w:val="30"/>
          <w:rtl/>
          <w:lang w:bidi="ar-EG"/>
        </w:rPr>
      </w:pPr>
    </w:p>
    <w:p w14:paraId="6EF68136" w14:textId="77777777" w:rsidR="009726AD" w:rsidRPr="00580B37" w:rsidRDefault="009726AD" w:rsidP="009726AD">
      <w:pPr>
        <w:bidi/>
        <w:jc w:val="both"/>
        <w:rPr>
          <w:rFonts w:ascii="Traditional Arabic" w:hAnsi="Traditional Arabic" w:cs="Traditional Arabic"/>
          <w:bCs/>
          <w:sz w:val="30"/>
          <w:szCs w:val="30"/>
          <w:rtl/>
          <w:lang w:bidi="ar-EG"/>
        </w:rPr>
      </w:pPr>
      <w:r w:rsidRPr="00580B37">
        <w:rPr>
          <w:rFonts w:ascii="Traditional Arabic" w:hAnsi="Traditional Arabic" w:cs="Traditional Arabic"/>
          <w:bCs/>
          <w:sz w:val="30"/>
          <w:szCs w:val="30"/>
          <w:rtl/>
          <w:lang w:bidi="ar-EG"/>
        </w:rPr>
        <w:t>6</w:t>
      </w:r>
      <w:r w:rsidRPr="00580B37">
        <w:rPr>
          <w:rFonts w:ascii="Traditional Arabic" w:hAnsi="Traditional Arabic" w:cs="Traditional Arabic"/>
          <w:bCs/>
          <w:sz w:val="30"/>
          <w:szCs w:val="30"/>
          <w:lang w:bidi="ar-EG"/>
        </w:rPr>
        <w:t>.</w:t>
      </w:r>
      <w:r w:rsidRPr="00580B37">
        <w:rPr>
          <w:rFonts w:ascii="Traditional Arabic" w:hAnsi="Traditional Arabic" w:cs="Traditional Arabic"/>
          <w:bCs/>
          <w:sz w:val="30"/>
          <w:szCs w:val="30"/>
          <w:lang w:bidi="ar-EG"/>
        </w:rPr>
        <w:tab/>
      </w:r>
      <w:r w:rsidRPr="00580B37">
        <w:rPr>
          <w:rFonts w:ascii="Traditional Arabic" w:hAnsi="Traditional Arabic" w:cs="Traditional Arabic"/>
          <w:bCs/>
          <w:sz w:val="30"/>
          <w:szCs w:val="30"/>
          <w:rtl/>
          <w:lang w:bidi="ar-EG"/>
        </w:rPr>
        <w:t>تتعرض شركات النقل البحري لمخاطر الخسائر الناجمة عن الكوارث البحرية والقرصنة والأعطال الميكانيكية وغيرها من الحوادث المماثلة التي قد تعطل عملياتها</w:t>
      </w:r>
      <w:r w:rsidRPr="00580B37">
        <w:rPr>
          <w:rFonts w:ascii="Traditional Arabic" w:hAnsi="Traditional Arabic" w:cs="Traditional Arabic"/>
          <w:bCs/>
          <w:sz w:val="30"/>
          <w:szCs w:val="30"/>
          <w:lang w:bidi="ar-EG"/>
        </w:rPr>
        <w:t xml:space="preserve">". </w:t>
      </w:r>
    </w:p>
    <w:p w14:paraId="01C7F400" w14:textId="77777777" w:rsidR="00580B37" w:rsidRDefault="00580B37" w:rsidP="009726AD">
      <w:pPr>
        <w:bidi/>
        <w:jc w:val="both"/>
        <w:rPr>
          <w:rFonts w:ascii="Traditional Arabic" w:hAnsi="Traditional Arabic" w:cs="Traditional Arabic"/>
          <w:b/>
          <w:sz w:val="30"/>
          <w:szCs w:val="30"/>
          <w:rtl/>
          <w:lang w:bidi="ar-EG"/>
        </w:rPr>
      </w:pPr>
    </w:p>
    <w:p w14:paraId="6EE84F62" w14:textId="77777777" w:rsid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يمكن أن تتكبد شركات النقل البحري خسائر كبيرة إذا فقدت سفينة أو تعرضت لحادث أو تعطلت عملياتها بطريقة أخرى. ينطوي تشغيل السفن على مخاطر متأصلة، بما في ذلك على سبيل المثال لا الحصر: الكوارث البحرية، والأعطال الميكانيكية، أو تعطل أو فقدان السفن أو معداتها، والخطأ البشري، والأحوال الجوية العاصفة، والحروب، والقرصنة، والهجمات الإرهابية التي يمكن أن تلحق الضرر بسفن الشركة، والتكاليف والالتزامات المرتبطة بالأمن، وحظر استخدام موانئ معينة، وإغلاق طرق التجارة أو تقليل التجارة العالمية بشكل عام، وانقطاع الأعمال بسبب عدم الاستقرار الاجتماعي أو السياسي، بما في ذلك؛ الأعمال العدائية، والإضرابات العمالية، وإغلاق الموانئ، وطرق الملاحة، ودعوات المقاطعة. ويمكن أن يؤدي حدوث واحد أو أكثر من هذه المخاطر إلى عدد من الآثار السلبية على الشركة، بما في ذلك حدوث الوفاة أو الإصابات أو التلوث أو فقدان الممتلكات، والتأخير في تسليم البضائع، وفقدان الإيرادات من عقود الإيجار طويلة الأمد أو إنهائها، وانخفاض القيمة الإجمالية لعقود الشركة (يرجى الاطلاع على "الفصل الثاني عشر - وصف الشركة ونظرة عامة على الأعمال - القيمة الإجمالية للعقود" لمزيد من المعلومات)، والمطالبات من الغير، والغرامات أو العقوبات أو القيود الحكومية على إدارة أعمال الشركة، وارتفاع أسعار التأمين، والضرر الذي يلحق بسمعة الشركة وعلاقات العملاء بشكل عام</w:t>
      </w:r>
      <w:r w:rsidRPr="009726AD">
        <w:rPr>
          <w:rFonts w:ascii="Traditional Arabic" w:hAnsi="Traditional Arabic" w:cs="Traditional Arabic"/>
          <w:b/>
          <w:sz w:val="30"/>
          <w:szCs w:val="30"/>
          <w:lang w:bidi="ar-EG"/>
        </w:rPr>
        <w:t>.</w:t>
      </w:r>
    </w:p>
    <w:p w14:paraId="613A42F6" w14:textId="77777777" w:rsidR="00580B37" w:rsidRPr="009726AD" w:rsidRDefault="00580B37" w:rsidP="00580B37">
      <w:pPr>
        <w:bidi/>
        <w:jc w:val="both"/>
        <w:rPr>
          <w:rFonts w:ascii="Traditional Arabic" w:hAnsi="Traditional Arabic" w:cs="Traditional Arabic"/>
          <w:b/>
          <w:sz w:val="30"/>
          <w:szCs w:val="30"/>
          <w:rtl/>
          <w:lang w:bidi="ar-EG"/>
        </w:rPr>
      </w:pPr>
    </w:p>
    <w:p w14:paraId="1327B88D"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وقد أثرت أعمال القرصنة على مر الزمن على تجارة السفن التي تُبحر في المحيطات في مناطق العالم التي تعمل فيها الشركة، مثل البحر الأحمر وبحر الصين الجنوبي وغرب أفريقيا وخليج عدن قبالة سواحل الصومال. وبالتالي، يمكن أن يؤدي هجوم القراصنة على سفينة للشركة إلى إحداث بعض الأمور السيئة منها؛ إصابات مادية أو خسائر في الأرواح أو خسارة السفينة أو أضرار أخرى في الممتلكات. ويمكن أن يؤدي هذا الهجوم أيضًا إلى زيادة تكاليف استعدادات الأمن على متن الشركة، وقد تُضطر </w:t>
      </w:r>
      <w:r w:rsidRPr="009726AD">
        <w:rPr>
          <w:rFonts w:ascii="Traditional Arabic" w:hAnsi="Traditional Arabic" w:cs="Traditional Arabic"/>
          <w:b/>
          <w:sz w:val="30"/>
          <w:szCs w:val="30"/>
          <w:rtl/>
          <w:lang w:bidi="ar-EG"/>
        </w:rPr>
        <w:lastRenderedPageBreak/>
        <w:t>الشركة إلى اتخاذ تدابير أمنية إضافية على متن سفنها، مثل استئجار عناصر أمن لتأمين سفنها أو تركيب أو تجديد "غرف آمنة" على متن سفن الشركة. المناطق التي يغلب فيها حدوث هجمات القراصنة هي مناطق تعتبرها شركات التأمين من "المناطق عالية الخطورة"، وهي مدرجة في قائمة لجنة الحرب المشتركة المعنية بمخاطر الحرب والقرصنة والإرهاب والسطو المسلح على السفن. وتتطلب هذه التصنيفات من مشغل السفينة دفع أقساط أعلى من أجل الحفاظ على تغطيته التأمينية أثناء العمل في هذه المناطق، وقد يرفض طاقم السفن دخول هذه المناطق والمطالبة بالعودة إلى الوطن، مما قد يزيد من تكاليف تأمين الشركة أو طاقمها أو غيرها من التكاليف. بالإضافة إلى ذلك، تحتفظ الشركة بتغطية تأمينية ضد مخاطر الحرب فيما يتعلق بالسفن العاملة في المناطق عالية المخاطر، مما يزيد أيضًا من تكاليف التأمين على الشركة</w:t>
      </w:r>
      <w:r w:rsidRPr="009726AD">
        <w:rPr>
          <w:rFonts w:ascii="Traditional Arabic" w:hAnsi="Traditional Arabic" w:cs="Traditional Arabic"/>
          <w:b/>
          <w:sz w:val="30"/>
          <w:szCs w:val="30"/>
          <w:lang w:bidi="ar-EG"/>
        </w:rPr>
        <w:t>.</w:t>
      </w:r>
    </w:p>
    <w:p w14:paraId="75DFC340" w14:textId="77777777" w:rsidR="00580B37" w:rsidRDefault="00580B37" w:rsidP="009726AD">
      <w:pPr>
        <w:bidi/>
        <w:jc w:val="both"/>
        <w:rPr>
          <w:rFonts w:ascii="Traditional Arabic" w:hAnsi="Traditional Arabic" w:cs="Traditional Arabic"/>
          <w:b/>
          <w:sz w:val="30"/>
          <w:szCs w:val="30"/>
          <w:rtl/>
          <w:lang w:bidi="ar-EG"/>
        </w:rPr>
      </w:pPr>
    </w:p>
    <w:p w14:paraId="245259C6" w14:textId="77777777" w:rsid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هذا، وتعتبر الإدارة سجل السلامة والأداء الخاص بالشركة أمرًا بالغ الأهمية لسمعتها التجارية. ويفضل العديد من عملاء الشركة، بما في ذلك على وجه الخصوص أولئك الذين يعملون في قطاعات النفط والغاز، السفن الحديثة التي تديرها شركات إدارة السفن ذات السمعة الحسنة في مجالي السلامة والامتثال البيئي. وإذا وقع أي حادث لسفن الشركة وأضر بسلامتها أو أمنها أو سلامة وأمن طاقمها أو حمولتها، أو نتج عنه ضرر بيئي أو تلوث، فقد يضر ذلك بسمعة الشركة ويقلل من الطلب على خدمات الشركة أو قدرتها على جذب الموظفين والاحتفاظ بهم. وقد يكون لوقوع أي من هذه الحوادث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064ACD96" w14:textId="77777777" w:rsidR="00580B37" w:rsidRPr="009726AD" w:rsidRDefault="00580B37" w:rsidP="00580B37">
      <w:pPr>
        <w:bidi/>
        <w:jc w:val="both"/>
        <w:rPr>
          <w:rFonts w:ascii="Traditional Arabic" w:hAnsi="Traditional Arabic" w:cs="Traditional Arabic"/>
          <w:b/>
          <w:sz w:val="30"/>
          <w:szCs w:val="30"/>
          <w:rtl/>
          <w:lang w:bidi="ar-EG"/>
        </w:rPr>
      </w:pPr>
    </w:p>
    <w:p w14:paraId="7EBD9FFF" w14:textId="77777777" w:rsidR="009726AD" w:rsidRPr="00580B37" w:rsidRDefault="009726AD" w:rsidP="009726AD">
      <w:pPr>
        <w:bidi/>
        <w:jc w:val="both"/>
        <w:rPr>
          <w:rFonts w:ascii="Traditional Arabic" w:hAnsi="Traditional Arabic" w:cs="Traditional Arabic"/>
          <w:bCs/>
          <w:sz w:val="30"/>
          <w:szCs w:val="30"/>
          <w:rtl/>
          <w:lang w:bidi="ar-EG"/>
        </w:rPr>
      </w:pPr>
      <w:r w:rsidRPr="00580B37">
        <w:rPr>
          <w:rFonts w:ascii="Traditional Arabic" w:hAnsi="Traditional Arabic" w:cs="Traditional Arabic"/>
          <w:bCs/>
          <w:sz w:val="30"/>
          <w:szCs w:val="30"/>
          <w:rtl/>
          <w:lang w:bidi="ar-EG"/>
        </w:rPr>
        <w:t>7</w:t>
      </w:r>
      <w:r w:rsidRPr="00580B37">
        <w:rPr>
          <w:rFonts w:ascii="Traditional Arabic" w:hAnsi="Traditional Arabic" w:cs="Traditional Arabic"/>
          <w:bCs/>
          <w:sz w:val="30"/>
          <w:szCs w:val="30"/>
          <w:lang w:bidi="ar-EG"/>
        </w:rPr>
        <w:t>.</w:t>
      </w:r>
      <w:r w:rsidRPr="00580B37">
        <w:rPr>
          <w:rFonts w:ascii="Traditional Arabic" w:hAnsi="Traditional Arabic" w:cs="Traditional Arabic"/>
          <w:bCs/>
          <w:sz w:val="30"/>
          <w:szCs w:val="30"/>
          <w:lang w:bidi="ar-EG"/>
        </w:rPr>
        <w:tab/>
      </w:r>
      <w:r w:rsidRPr="00580B37">
        <w:rPr>
          <w:rFonts w:ascii="Traditional Arabic" w:hAnsi="Traditional Arabic" w:cs="Traditional Arabic"/>
          <w:bCs/>
          <w:sz w:val="30"/>
          <w:szCs w:val="30"/>
          <w:rtl/>
          <w:lang w:bidi="ar-EG"/>
        </w:rPr>
        <w:t>تعمل الشركة في قطاع تنافسي للغاية ووجود عدد كبير من الشركات الصغيرة</w:t>
      </w:r>
      <w:r w:rsidRPr="00580B37">
        <w:rPr>
          <w:rFonts w:ascii="Traditional Arabic" w:hAnsi="Traditional Arabic" w:cs="Traditional Arabic"/>
          <w:bCs/>
          <w:sz w:val="30"/>
          <w:szCs w:val="30"/>
          <w:lang w:bidi="ar-EG"/>
        </w:rPr>
        <w:t>.</w:t>
      </w:r>
    </w:p>
    <w:p w14:paraId="4BAFF5CB" w14:textId="77777777" w:rsidR="00580B37" w:rsidRDefault="00580B37" w:rsidP="009726AD">
      <w:pPr>
        <w:bidi/>
        <w:jc w:val="both"/>
        <w:rPr>
          <w:rFonts w:ascii="Traditional Arabic" w:hAnsi="Traditional Arabic" w:cs="Traditional Arabic"/>
          <w:b/>
          <w:sz w:val="30"/>
          <w:szCs w:val="30"/>
          <w:rtl/>
          <w:lang w:bidi="ar-EG"/>
        </w:rPr>
      </w:pPr>
    </w:p>
    <w:p w14:paraId="387545D6" w14:textId="77777777" w:rsidR="009726AD" w:rsidRP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يوجد عدد كبير من الشركات الصغيرة في مجال النقل البحري، كما يوجد العديد من شركات الشحن العالمية والإقليمية والمحلية ومالكي ومشغلي السفن. ويتميز هذا القطاع بالمنافسة الشديدة، وعدم وجود عراقيل في طريق الدخول إلى هذا القطاع، بالإضافة إلى تنافس العديد من شركات الشحن على نفس العمل. تعتمد المنافسة بين شركات النقل البحري على جدول الرحلات، والسعر، وتوافر السفينة وحجمها وعمرها وحالتها، والعلاقات مع العملاء وغيرهم، وجودة وخبرة وسمعة مشغل السفينة. ومع تشبع السوق في الوقت الحالي بالعديد من الشركات الصغيرة، والتنافس بين شركات النقل في نفس الخطوط الملاحية، فقد يقرر أي منافس للشركة - وهم كثُر - تثبيت أقدامهم على نفس المسارات التي تتبعها الشركة، ومحاولة تقويض أسعار تأجير الشركة لتلك الرحلات</w:t>
      </w:r>
      <w:r w:rsidRPr="009726AD">
        <w:rPr>
          <w:rFonts w:ascii="Traditional Arabic" w:hAnsi="Traditional Arabic" w:cs="Traditional Arabic"/>
          <w:b/>
          <w:sz w:val="30"/>
          <w:szCs w:val="30"/>
          <w:lang w:bidi="ar-EG"/>
        </w:rPr>
        <w:t>.</w:t>
      </w:r>
    </w:p>
    <w:p w14:paraId="0604FB76" w14:textId="77777777" w:rsidR="00580B37" w:rsidRDefault="00580B37" w:rsidP="009726AD">
      <w:pPr>
        <w:bidi/>
        <w:jc w:val="both"/>
        <w:rPr>
          <w:rFonts w:ascii="Traditional Arabic" w:hAnsi="Traditional Arabic" w:cs="Traditional Arabic"/>
          <w:b/>
          <w:sz w:val="30"/>
          <w:szCs w:val="30"/>
          <w:rtl/>
          <w:lang w:bidi="ar-EG"/>
        </w:rPr>
      </w:pPr>
    </w:p>
    <w:p w14:paraId="082F93BF" w14:textId="77777777" w:rsid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المنافسون الرئيسيون للشركة هم شركات نقل مستقلة تُبحر في المحيطات في جميع أنحاء العالم. وتواجه شركات النقل البحري منافسة من وسائل النقل غير البحرية لنقل سلع معينة، بما في ذلك النفط والمنتجات النفطية، مثل الشركات التي تمتلك وتشغل خطوط الأنابيب. وقد يتمكن هؤلاء المنافسون من تخصيص موارد أكبر لتطوير أعمالهم والترويج لها وتوظيفها مقارنة بالشركة. </w:t>
      </w:r>
      <w:r w:rsidRPr="009726AD">
        <w:rPr>
          <w:rFonts w:ascii="Traditional Arabic" w:hAnsi="Traditional Arabic" w:cs="Traditional Arabic"/>
          <w:b/>
          <w:sz w:val="30"/>
          <w:szCs w:val="30"/>
          <w:rtl/>
          <w:lang w:bidi="ar-EG"/>
        </w:rPr>
        <w:lastRenderedPageBreak/>
        <w:t>قد تزداد المنافسة في بعض الأسواق الرئيسية للشركة أو في كل الأسواق، وقد يكون لها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2443AA81" w14:textId="77777777" w:rsidR="00580B37" w:rsidRPr="009726AD" w:rsidRDefault="00580B37" w:rsidP="00580B37">
      <w:pPr>
        <w:bidi/>
        <w:jc w:val="both"/>
        <w:rPr>
          <w:rFonts w:ascii="Traditional Arabic" w:hAnsi="Traditional Arabic" w:cs="Traditional Arabic"/>
          <w:b/>
          <w:sz w:val="30"/>
          <w:szCs w:val="30"/>
          <w:rtl/>
          <w:lang w:bidi="ar-EG"/>
        </w:rPr>
      </w:pPr>
    </w:p>
    <w:p w14:paraId="52F0DF78" w14:textId="77777777" w:rsidR="009726AD" w:rsidRPr="00580B37" w:rsidRDefault="009726AD" w:rsidP="009726AD">
      <w:pPr>
        <w:bidi/>
        <w:jc w:val="both"/>
        <w:rPr>
          <w:rFonts w:ascii="Traditional Arabic" w:hAnsi="Traditional Arabic" w:cs="Traditional Arabic"/>
          <w:bCs/>
          <w:sz w:val="30"/>
          <w:szCs w:val="30"/>
          <w:rtl/>
          <w:lang w:bidi="ar-EG"/>
        </w:rPr>
      </w:pPr>
      <w:r w:rsidRPr="00580B37">
        <w:rPr>
          <w:rFonts w:ascii="Traditional Arabic" w:hAnsi="Traditional Arabic" w:cs="Traditional Arabic"/>
          <w:bCs/>
          <w:sz w:val="30"/>
          <w:szCs w:val="30"/>
          <w:rtl/>
          <w:lang w:bidi="ar-EG"/>
        </w:rPr>
        <w:t>8</w:t>
      </w:r>
      <w:r w:rsidRPr="00580B37">
        <w:rPr>
          <w:rFonts w:ascii="Traditional Arabic" w:hAnsi="Traditional Arabic" w:cs="Traditional Arabic"/>
          <w:bCs/>
          <w:sz w:val="30"/>
          <w:szCs w:val="30"/>
          <w:lang w:bidi="ar-EG"/>
        </w:rPr>
        <w:t>.</w:t>
      </w:r>
      <w:r w:rsidRPr="00580B37">
        <w:rPr>
          <w:rFonts w:ascii="Traditional Arabic" w:hAnsi="Traditional Arabic" w:cs="Traditional Arabic"/>
          <w:bCs/>
          <w:sz w:val="30"/>
          <w:szCs w:val="30"/>
          <w:lang w:bidi="ar-EG"/>
        </w:rPr>
        <w:tab/>
      </w:r>
      <w:r w:rsidRPr="00580B37">
        <w:rPr>
          <w:rFonts w:ascii="Traditional Arabic" w:hAnsi="Traditional Arabic" w:cs="Traditional Arabic"/>
          <w:bCs/>
          <w:sz w:val="30"/>
          <w:szCs w:val="30"/>
          <w:rtl/>
          <w:lang w:bidi="ar-EG"/>
        </w:rPr>
        <w:t>قد تؤدي المنافسة من السفن الأكثر تقدمًا من الناحية التقنية إلى تقليل دخل الشركة من التأجير، ومن قيمة سفن الشركة ذاتها</w:t>
      </w:r>
      <w:r w:rsidRPr="00580B37">
        <w:rPr>
          <w:rFonts w:ascii="Traditional Arabic" w:hAnsi="Traditional Arabic" w:cs="Traditional Arabic"/>
          <w:bCs/>
          <w:sz w:val="30"/>
          <w:szCs w:val="30"/>
          <w:lang w:bidi="ar-EG"/>
        </w:rPr>
        <w:t>.</w:t>
      </w:r>
    </w:p>
    <w:p w14:paraId="7DB9D8CE" w14:textId="77777777" w:rsidR="00580B37" w:rsidRDefault="00580B37" w:rsidP="009726AD">
      <w:pPr>
        <w:bidi/>
        <w:jc w:val="both"/>
        <w:rPr>
          <w:rFonts w:ascii="Traditional Arabic" w:hAnsi="Traditional Arabic" w:cs="Traditional Arabic"/>
          <w:b/>
          <w:sz w:val="30"/>
          <w:szCs w:val="30"/>
          <w:rtl/>
          <w:lang w:bidi="ar-EG"/>
        </w:rPr>
      </w:pPr>
    </w:p>
    <w:p w14:paraId="5DBF4B59" w14:textId="77777777" w:rsid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يتم تحديد أسعار تأجير السفينة، إلى جانب قيمتها وعمرها التشغيلي، من خلال عوامل مثل الكفاءة والمرونة التشغيلية وعمرها الافتراضي. ويتم تحديد الكفاءة من خلال حساب سرعة السفينة وكفاءة استخدام الوقود وسرعة التحميل والتفريغ. وتتعلق المرونة بالقدرة على دخول الموانئ، ومدى مناسبة السفن للرسو في مرافق الإرساء، وسهولة المرور عبر القنوات والمضائق. وبالنسبة للعمر الافتراضي فيُراعى التصميم والبناء الأصلي، إلى جانب الصيانة المستمرة وتأثير الإجهاد الناتج عن التشغيل اليومي للمعدات والأنظمة. إذا تم بناء سفن جديدة أكثر كفاءة أو مرونة، أو كان لها عمر افتراضي أطول من سفن الشركة، فإن المنافسة من هذه السفن الأكثر تقدمًا من الناحية التكنولوجية يمكن أن تؤثر سلبًا على أسعار التأجير التي تتلقاها الشركة لسفنها بعد إنهاء عقود التأجير الحالية، ويمكن أن يكون لها أيضًا تأثير سلبي على قيمة إعادة البيع. ونتيجة للضغوط التنافسية، فإنه إذا فشلت الشركة في تقليل متوسط عمر أسطولها، ومواصلة تعزيز كفاءة إدارة السفن من خلال الشركة العمانية لإدارة السفن ش م ع م، فقد تتأثر أعمالها ونتائج عملياتها ووضعها المالي وتوقعاتها سلبًا بشكل جوهري</w:t>
      </w:r>
      <w:r w:rsidRPr="009726AD">
        <w:rPr>
          <w:rFonts w:ascii="Traditional Arabic" w:hAnsi="Traditional Arabic" w:cs="Traditional Arabic"/>
          <w:b/>
          <w:sz w:val="30"/>
          <w:szCs w:val="30"/>
          <w:lang w:bidi="ar-EG"/>
        </w:rPr>
        <w:t xml:space="preserve">. </w:t>
      </w:r>
    </w:p>
    <w:p w14:paraId="0EBA808F" w14:textId="77777777" w:rsidR="00580B37" w:rsidRPr="009726AD" w:rsidRDefault="00580B37" w:rsidP="00580B37">
      <w:pPr>
        <w:bidi/>
        <w:jc w:val="both"/>
        <w:rPr>
          <w:rFonts w:ascii="Traditional Arabic" w:hAnsi="Traditional Arabic" w:cs="Traditional Arabic"/>
          <w:b/>
          <w:sz w:val="30"/>
          <w:szCs w:val="30"/>
          <w:rtl/>
          <w:lang w:bidi="ar-EG"/>
        </w:rPr>
      </w:pPr>
    </w:p>
    <w:p w14:paraId="23E29EA8" w14:textId="77777777" w:rsidR="009726AD" w:rsidRDefault="009726AD" w:rsidP="009726AD">
      <w:pPr>
        <w:bidi/>
        <w:jc w:val="both"/>
        <w:rPr>
          <w:rFonts w:ascii="Traditional Arabic" w:hAnsi="Traditional Arabic" w:cs="Traditional Arabic"/>
          <w:bCs/>
          <w:sz w:val="30"/>
          <w:szCs w:val="30"/>
          <w:rtl/>
          <w:lang w:bidi="ar-EG"/>
        </w:rPr>
      </w:pPr>
      <w:r w:rsidRPr="009726AD">
        <w:rPr>
          <w:rFonts w:ascii="Traditional Arabic" w:hAnsi="Traditional Arabic" w:cs="Traditional Arabic"/>
          <w:b/>
          <w:sz w:val="30"/>
          <w:szCs w:val="30"/>
          <w:rtl/>
          <w:lang w:bidi="ar-EG"/>
        </w:rPr>
        <w:t>9</w:t>
      </w: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85281">
        <w:rPr>
          <w:rFonts w:ascii="Traditional Arabic" w:hAnsi="Traditional Arabic" w:cs="Traditional Arabic"/>
          <w:bCs/>
          <w:sz w:val="30"/>
          <w:szCs w:val="30"/>
          <w:rtl/>
          <w:lang w:bidi="ar-EG"/>
        </w:rPr>
        <w:t>تعمل الشركة في قطاع يخضع للوائح تنظيمية كثيرة، وقد تُضطر الشركة إما لتكبد تكاليف باهظة لتلبية المتطلبات التنظيمية الحالية والمستقبلية وإما الحد من قدرتها على تشغيل أعمالها</w:t>
      </w:r>
      <w:r w:rsidRPr="00985281">
        <w:rPr>
          <w:rFonts w:ascii="Traditional Arabic" w:hAnsi="Traditional Arabic" w:cs="Traditional Arabic"/>
          <w:bCs/>
          <w:sz w:val="30"/>
          <w:szCs w:val="30"/>
          <w:lang w:bidi="ar-EG"/>
        </w:rPr>
        <w:t>.</w:t>
      </w:r>
    </w:p>
    <w:p w14:paraId="47ED490E" w14:textId="77777777" w:rsidR="0006131D" w:rsidRPr="009726AD" w:rsidRDefault="0006131D" w:rsidP="0006131D">
      <w:pPr>
        <w:bidi/>
        <w:jc w:val="both"/>
        <w:rPr>
          <w:rFonts w:ascii="Traditional Arabic" w:hAnsi="Traditional Arabic" w:cs="Traditional Arabic"/>
          <w:b/>
          <w:sz w:val="30"/>
          <w:szCs w:val="30"/>
          <w:rtl/>
          <w:lang w:bidi="ar-EG"/>
        </w:rPr>
      </w:pPr>
    </w:p>
    <w:p w14:paraId="75187680" w14:textId="77777777" w:rsidR="00580B37" w:rsidRDefault="00580B37" w:rsidP="009726AD">
      <w:pPr>
        <w:bidi/>
        <w:jc w:val="both"/>
        <w:rPr>
          <w:rFonts w:ascii="Traditional Arabic" w:hAnsi="Traditional Arabic" w:cs="Traditional Arabic"/>
          <w:b/>
          <w:sz w:val="30"/>
          <w:szCs w:val="30"/>
          <w:rtl/>
          <w:lang w:bidi="ar-EG"/>
        </w:rPr>
      </w:pPr>
    </w:p>
    <w:p w14:paraId="4686F33A" w14:textId="77777777" w:rsidR="009726AD" w:rsidRP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يخضع قطاع النقل البحري لقواعد تنظيمية متعددة، وتتأثر عمليات الشركة بقوانين متعددة تخص حماية البيئة، وبعض هذه القوانين قيد الدراسة والتشريع، هذا بالإضافة إلى غيرها من اللوائح والمعاهدات والاتفاقيات الدولية والوطنية والإقليمية والمحلية المعمول بها في الأماكن التي تعمل فيها سفن الشركة. يرجى الاطلاع على </w:t>
      </w:r>
      <w:r w:rsidR="00EE0FFE">
        <w:rPr>
          <w:rFonts w:ascii="Traditional Arabic" w:hAnsi="Traditional Arabic" w:cs="Traditional Arabic" w:hint="cs"/>
          <w:b/>
          <w:sz w:val="30"/>
          <w:szCs w:val="30"/>
          <w:rtl/>
          <w:lang w:bidi="ar-EG"/>
        </w:rPr>
        <w:t>" ال</w:t>
      </w:r>
      <w:r w:rsidRPr="009726AD">
        <w:rPr>
          <w:rFonts w:ascii="Traditional Arabic" w:hAnsi="Traditional Arabic" w:cs="Traditional Arabic"/>
          <w:b/>
          <w:sz w:val="30"/>
          <w:szCs w:val="30"/>
          <w:rtl/>
          <w:lang w:bidi="ar-EG"/>
        </w:rPr>
        <w:t xml:space="preserve">فصل </w:t>
      </w:r>
      <w:r w:rsidR="00EE0FFE">
        <w:rPr>
          <w:rFonts w:ascii="Traditional Arabic" w:hAnsi="Traditional Arabic" w:cs="Traditional Arabic" w:hint="cs"/>
          <w:b/>
          <w:sz w:val="30"/>
          <w:szCs w:val="30"/>
          <w:rtl/>
          <w:lang w:bidi="ar-EG"/>
        </w:rPr>
        <w:t>العاشر -</w:t>
      </w:r>
      <w:r w:rsidRPr="009726AD">
        <w:rPr>
          <w:rFonts w:ascii="Traditional Arabic" w:hAnsi="Traditional Arabic" w:cs="Traditional Arabic"/>
          <w:b/>
          <w:sz w:val="30"/>
          <w:szCs w:val="30"/>
          <w:rtl/>
          <w:lang w:bidi="ar-EG"/>
        </w:rPr>
        <w:t xml:space="preserve"> الإطار التنظيمي ". وتفرض هذه القوانين واللوائح متطلبات كبيرة على الشركة، وكثير منها مصمم لتعزيز الصحة والسلامة، وكذلك للحد من مخاطر التسريبات النفطية وغيرها من مخاطر التلوث. وتشمل هذه المتطلبات الالتزامات المتعلقة بانبعاثات المواد والغازات في الهواء، وصيانة وفحص سفن الشركة، وتطوير وتنفيذ إجراءات الطوارئ، والحصول على تغطية تأمينية كافية. علاوة على ذلك، تعتقد الشركة أن المخاوف البيئية ومخاوف الجودة والأمان المتزايدة للهيئات التنظيمية الوطنية والدولية وشركات التأمين وعملاء الشركة ستؤدي إلى متطلبات تنظيمية إضافية في المستقبل، بما في ذلك تعزيز متطلبات الأمن والتفتيش على السفن. هذا، وتتوقع الشركة تكبد نفقات كبيرة </w:t>
      </w:r>
      <w:r w:rsidRPr="009726AD">
        <w:rPr>
          <w:rFonts w:ascii="Traditional Arabic" w:hAnsi="Traditional Arabic" w:cs="Traditional Arabic"/>
          <w:b/>
          <w:sz w:val="30"/>
          <w:szCs w:val="30"/>
          <w:rtl/>
          <w:lang w:bidi="ar-EG"/>
        </w:rPr>
        <w:lastRenderedPageBreak/>
        <w:t>لمواصلة الامتثال للقوانين واللوائح الحالية والمستقبلية، بما في ذلك النفقات المتعلقة بتعديلات السفن وأي تغيير في إجراءات التشغيل</w:t>
      </w:r>
      <w:r w:rsidRPr="009726AD">
        <w:rPr>
          <w:rFonts w:ascii="Traditional Arabic" w:hAnsi="Traditional Arabic" w:cs="Traditional Arabic"/>
          <w:b/>
          <w:sz w:val="30"/>
          <w:szCs w:val="30"/>
          <w:lang w:bidi="ar-EG"/>
        </w:rPr>
        <w:t>.</w:t>
      </w:r>
    </w:p>
    <w:p w14:paraId="422DD31C" w14:textId="77777777" w:rsidR="00580B37" w:rsidRDefault="00580B37" w:rsidP="009726AD">
      <w:pPr>
        <w:bidi/>
        <w:jc w:val="both"/>
        <w:rPr>
          <w:rFonts w:ascii="Traditional Arabic" w:hAnsi="Traditional Arabic" w:cs="Traditional Arabic"/>
          <w:b/>
          <w:sz w:val="30"/>
          <w:szCs w:val="30"/>
          <w:rtl/>
          <w:lang w:bidi="ar-EG"/>
        </w:rPr>
      </w:pPr>
    </w:p>
    <w:p w14:paraId="7308A73F" w14:textId="77777777" w:rsid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يُطلب من السفن البحرية العمل ضمن الآليات التي اعتمدتها المنظمة البحرية الدولية</w:t>
      </w:r>
      <w:r w:rsidRPr="009726AD">
        <w:rPr>
          <w:rFonts w:ascii="Traditional Arabic" w:hAnsi="Traditional Arabic" w:cs="Traditional Arabic"/>
          <w:b/>
          <w:sz w:val="30"/>
          <w:szCs w:val="30"/>
          <w:lang w:bidi="ar-EG"/>
        </w:rPr>
        <w:t xml:space="preserve"> (" IMO ")</w:t>
      </w:r>
      <w:r w:rsidRPr="009726AD">
        <w:rPr>
          <w:rFonts w:ascii="Traditional Arabic" w:hAnsi="Traditional Arabic" w:cs="Traditional Arabic"/>
          <w:b/>
          <w:sz w:val="30"/>
          <w:szCs w:val="30"/>
          <w:rtl/>
          <w:lang w:bidi="ar-EG"/>
        </w:rPr>
        <w:t xml:space="preserve">، وكذلك ضمن قوانين حماية البيئة ولوائح الصحة والسلامة وقوانين حماية البيئة البحرية الأخرى في كل من البلدان التي تعمل فيها سفن الشركة، بما في ذلك دولة علم السفينة. يرجى الاطلاع على </w:t>
      </w:r>
      <w:r w:rsidR="00EE0FFE">
        <w:rPr>
          <w:rFonts w:ascii="Traditional Arabic" w:hAnsi="Traditional Arabic" w:cs="Traditional Arabic" w:hint="cs"/>
          <w:b/>
          <w:sz w:val="30"/>
          <w:szCs w:val="30"/>
          <w:rtl/>
          <w:lang w:bidi="ar-EG"/>
        </w:rPr>
        <w:t>" ال</w:t>
      </w:r>
      <w:r w:rsidRPr="009726AD">
        <w:rPr>
          <w:rFonts w:ascii="Traditional Arabic" w:hAnsi="Traditional Arabic" w:cs="Traditional Arabic"/>
          <w:b/>
          <w:sz w:val="30"/>
          <w:szCs w:val="30"/>
          <w:rtl/>
          <w:lang w:bidi="ar-EG"/>
        </w:rPr>
        <w:t xml:space="preserve">فصل </w:t>
      </w:r>
      <w:r w:rsidR="00EE0FFE">
        <w:rPr>
          <w:rFonts w:ascii="Traditional Arabic" w:hAnsi="Traditional Arabic" w:cs="Traditional Arabic" w:hint="cs"/>
          <w:b/>
          <w:sz w:val="30"/>
          <w:szCs w:val="30"/>
          <w:rtl/>
          <w:lang w:bidi="ar-EG"/>
        </w:rPr>
        <w:t>العاشر-</w:t>
      </w:r>
      <w:r w:rsidRPr="009726AD">
        <w:rPr>
          <w:rFonts w:ascii="Traditional Arabic" w:hAnsi="Traditional Arabic" w:cs="Traditional Arabic"/>
          <w:b/>
          <w:sz w:val="30"/>
          <w:szCs w:val="30"/>
          <w:rtl/>
          <w:lang w:bidi="ar-EG"/>
        </w:rPr>
        <w:t xml:space="preserve"> الإطار التنظيمي - </w:t>
      </w:r>
      <w:r w:rsidR="00974C01">
        <w:rPr>
          <w:rFonts w:ascii="Traditional Arabic" w:hAnsi="Traditional Arabic" w:cs="Traditional Arabic" w:hint="cs"/>
          <w:b/>
          <w:sz w:val="30"/>
          <w:szCs w:val="30"/>
          <w:rtl/>
          <w:lang w:bidi="ar-EG"/>
        </w:rPr>
        <w:t>القانون الدولي</w:t>
      </w:r>
      <w:r w:rsidRPr="009726AD">
        <w:rPr>
          <w:rFonts w:ascii="Traditional Arabic" w:hAnsi="Traditional Arabic" w:cs="Traditional Arabic"/>
          <w:b/>
          <w:sz w:val="30"/>
          <w:szCs w:val="30"/>
          <w:rtl/>
          <w:lang w:bidi="ar-EG"/>
        </w:rPr>
        <w:t xml:space="preserve"> </w:t>
      </w:r>
      <w:r w:rsidR="00974C01" w:rsidRPr="009726AD">
        <w:rPr>
          <w:rFonts w:ascii="Traditional Arabic" w:hAnsi="Traditional Arabic" w:cs="Traditional Arabic"/>
          <w:b/>
          <w:sz w:val="30"/>
          <w:szCs w:val="30"/>
          <w:rtl/>
          <w:lang w:bidi="ar-EG"/>
        </w:rPr>
        <w:t>"</w:t>
      </w:r>
      <w:r w:rsidR="00974C01">
        <w:rPr>
          <w:rFonts w:ascii="Traditional Arabic" w:hAnsi="Traditional Arabic" w:cs="Traditional Arabic" w:hint="cs"/>
          <w:b/>
          <w:sz w:val="30"/>
          <w:szCs w:val="30"/>
          <w:rtl/>
          <w:lang w:bidi="ar-EG"/>
        </w:rPr>
        <w:t>.</w:t>
      </w:r>
      <w:r w:rsidR="00974C01"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b/>
          <w:sz w:val="30"/>
          <w:szCs w:val="30"/>
          <w:rtl/>
          <w:lang w:bidi="ar-EG"/>
        </w:rPr>
        <w:t>منذ أن أصبحت المدونة الدولية لإدارة السلامة سارية المفعول في عام 1998، طُلب من شركات النقل البحري ومن السفن الفردية إنشاء أنظمة سلامة واعتمادها من قبل هيئات التوحيد القياسي. بالإضافة إلى ذلك، تُلزم هذه المدونة الشركة، من خلال الشركة العمانية لإدارة السفن، بالحفاظ على مستندات الامتثال المطلوبة فيما يتعلق بتوفير خدمات إدارة السفن من الناحية الفنية لسفن الشركة وسفن الغير. وعند الامتثال للآليات الحلية التي وضعتها المنظمة البحرية الدولية أو التي ستضعها مستقبلا، فقد يُطلب من الشركة تكبد تكاليف إضافية لتلبية متطلبات الصيانة والفحص الجديدة، بما في ذلك تعديلات السفن والتغييرات في إجراءات التشغيل (بما في ذلك ما يتعلق بالحد من انبعاثات الكربون (إزالة الكربون)) ولوضع ترتيبات طوارئ لاحتواء التلوث المحتمل من قبل السفن، وللحصول على تغطية تأمينية أو الحفاظ عليها أو تجديدها. ونظرًا لأن هذه القوانين واللوائح غالبًا ما تتم مراجعتها، فإن الشركة غير قادرة على التنبؤ بآجال التكاليف الخاصة بالامتثال على المدى الطويل ولا مقدارها</w:t>
      </w:r>
      <w:r w:rsidRPr="009726AD">
        <w:rPr>
          <w:rFonts w:ascii="Traditional Arabic" w:hAnsi="Traditional Arabic" w:cs="Traditional Arabic"/>
          <w:b/>
          <w:sz w:val="30"/>
          <w:szCs w:val="30"/>
          <w:lang w:bidi="ar-EG"/>
        </w:rPr>
        <w:t xml:space="preserve">. </w:t>
      </w:r>
    </w:p>
    <w:p w14:paraId="2E050011" w14:textId="77777777" w:rsidR="00580B37" w:rsidRPr="009726AD" w:rsidRDefault="00580B37" w:rsidP="00580B37">
      <w:pPr>
        <w:bidi/>
        <w:jc w:val="both"/>
        <w:rPr>
          <w:rFonts w:ascii="Traditional Arabic" w:hAnsi="Traditional Arabic" w:cs="Traditional Arabic"/>
          <w:b/>
          <w:sz w:val="30"/>
          <w:szCs w:val="30"/>
          <w:rtl/>
          <w:lang w:bidi="ar-EG"/>
        </w:rPr>
      </w:pPr>
    </w:p>
    <w:p w14:paraId="10E06079" w14:textId="77777777" w:rsidR="00580B37" w:rsidRPr="009726AD" w:rsidRDefault="009726AD" w:rsidP="00974C01">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علاوة على ذلك، يتعين على الشركة الامتثال للقوانين والسياسات البيئية الشاملة التي وضعتها المنظمة البحرية الدولية والهيئات الأخرى. ومن المتوقع حدوث تغييرات في المستقبل، لا سيما فيما يتعلق بالحد من انبعاثات الغازات الدفيئة (الاحتباس الحراري) بموجب بروتوكول كيوتو الملحق باتفاقية الأمم المتحدة الإطارية بشأن تغير المناخ (" بروتوكول كيوتو")، واتفاق باريس، ونظام الاتحاد الأوروبي لتداول الانبعاثات</w:t>
      </w:r>
      <w:r w:rsidR="006A44B1">
        <w:rPr>
          <w:rFonts w:ascii="Traditional Arabic" w:hAnsi="Traditional Arabic" w:cs="Traditional Arabic" w:hint="cs"/>
          <w:b/>
          <w:sz w:val="30"/>
          <w:szCs w:val="30"/>
          <w:rtl/>
          <w:lang w:bidi="ar-EG"/>
        </w:rPr>
        <w:t xml:space="preserve">. </w:t>
      </w:r>
      <w:r w:rsidR="00974C01" w:rsidRPr="00974C01">
        <w:rPr>
          <w:rFonts w:ascii="Traditional Arabic" w:hAnsi="Traditional Arabic" w:cs="Traditional Arabic"/>
          <w:b/>
          <w:sz w:val="30"/>
          <w:szCs w:val="30"/>
          <w:rtl/>
          <w:lang w:bidi="ar-EG"/>
        </w:rPr>
        <w:t>يرجى الاطلاع على "الفصل العاشر - الإطار التنظيمي - القانون الدولي" و "الفصل الثاني عشر - وصف الشركة ونظرة عامة على الأعمال - الممارسات البيئية والاجتماعية والحوكمة."</w:t>
      </w:r>
    </w:p>
    <w:p w14:paraId="0AE1C2B3"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تزيد متطلبات هذه القوانين واللوائح من العبء الإداري وأعباء الامتثال على الشركة، ويمكن أن تؤثر على قيمة إعادة البيع أو العمر الافتراضي لسفن الشركة، وقد تتطلب تعديلات على السفن، أو تقليل سعة الشحن، أو تغييرات تشغيلية أو قيود أخرى على التشغيل، وقد تؤدي إلى زيادة التكلفة أو تقليل توافر التغطية التأمينية بالنسبة للأمور البيئية، أو تحد من الوصول إلى بعض المناطق البحرية التي تخضع لسلطات قانونية أخرى، أو تؤدي إلى الحرمان من الوصول إلى بعض الموانئ أو الاحتجاز فيها. قد تتعرض الشركة أيضًا لضرر محتمل في سمعتها بسبب عدم الامتثال للقوانين واللوائح المعمول بها، وقد يُفرض عليها عقوبات، وغرامات، والمطالبة بتعويضات والتزامات التنظيف وتكاليف الإصلاح المرتبطة بتسريب المواد الخطرة أو التصريفات الأخرى في البيئة التي تشمل سفن الشركة، وكذلك سوء السلوك أو حالات عدم الامتثال من قبل أفراد طاقم الشركة بموجب القوانين واللوائح البيئية. يرجى الاطلاع على فقرة "- تتعرض شركات النقل البحري لمخاطر الخسائر الناجمة عن الكوارث البحرية </w:t>
      </w:r>
      <w:r w:rsidRPr="009726AD">
        <w:rPr>
          <w:rFonts w:ascii="Traditional Arabic" w:hAnsi="Traditional Arabic" w:cs="Traditional Arabic"/>
          <w:b/>
          <w:sz w:val="30"/>
          <w:szCs w:val="30"/>
          <w:rtl/>
          <w:lang w:bidi="ar-EG"/>
        </w:rPr>
        <w:lastRenderedPageBreak/>
        <w:t>والقرصنة والأعطال الميكانيكية وغيرها من الحوادث المماثلة التي قد تعطل عملياتها ". يمكن أن يُرفع على الشركة أيضًا دعاوى مطالبة بالتعويض عن الإصابات الشخصية والأضرار التي تلحق بالممتلكات في الحالات التي يتم فيها الإفراج عن المواد الخطرة المرتبطة بعمليات الشركة أو التعرض لها. علاوة على ذلك، قد يؤدي عدم الامتثال للقوانين واللوائح المعمول بها إلى فرض عقوبات جنائية أو تعليق أو إنهاء عمليات الشركة، بما في ذلك، في بعض الحالات، الاستيلاء على سفن الشركة أو احتجازها. وقد يكون لوقوع أي من هذه الحوادث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11F6FE1C" w14:textId="77777777" w:rsidR="00580B37" w:rsidRPr="009726AD" w:rsidRDefault="00580B37" w:rsidP="00580B37">
      <w:pPr>
        <w:bidi/>
        <w:jc w:val="both"/>
        <w:rPr>
          <w:rFonts w:ascii="Traditional Arabic" w:hAnsi="Traditional Arabic" w:cs="Traditional Arabic"/>
          <w:b/>
          <w:sz w:val="30"/>
          <w:szCs w:val="30"/>
          <w:rtl/>
          <w:lang w:bidi="ar-EG"/>
        </w:rPr>
      </w:pPr>
    </w:p>
    <w:p w14:paraId="4B7F2AAC"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10</w:t>
      </w: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85281">
        <w:rPr>
          <w:rFonts w:ascii="Traditional Arabic" w:hAnsi="Traditional Arabic" w:cs="Traditional Arabic"/>
          <w:bCs/>
          <w:sz w:val="30"/>
          <w:szCs w:val="30"/>
          <w:rtl/>
          <w:lang w:bidi="ar-EG"/>
        </w:rPr>
        <w:t>قد يكون الامتثال لمتطلبات السلامة وغيرها من المتطلبات الخاصة بالسفن التي تفرضها جمعيات التصنيف مكلفًا للغاية</w:t>
      </w:r>
      <w:r w:rsidRPr="00985281">
        <w:rPr>
          <w:rFonts w:ascii="Traditional Arabic" w:hAnsi="Traditional Arabic" w:cs="Traditional Arabic"/>
          <w:bCs/>
          <w:sz w:val="30"/>
          <w:szCs w:val="30"/>
          <w:lang w:bidi="ar-EG"/>
        </w:rPr>
        <w:t>.</w:t>
      </w:r>
      <w:r w:rsidRPr="009726AD">
        <w:rPr>
          <w:rFonts w:ascii="Traditional Arabic" w:hAnsi="Traditional Arabic" w:cs="Traditional Arabic"/>
          <w:b/>
          <w:sz w:val="30"/>
          <w:szCs w:val="30"/>
          <w:lang w:bidi="ar-EG"/>
        </w:rPr>
        <w:t xml:space="preserve"> </w:t>
      </w:r>
    </w:p>
    <w:p w14:paraId="6894F2A8" w14:textId="77777777" w:rsidR="00580B37" w:rsidRDefault="00580B37" w:rsidP="009726AD">
      <w:pPr>
        <w:bidi/>
        <w:jc w:val="both"/>
        <w:rPr>
          <w:rFonts w:ascii="Traditional Arabic" w:hAnsi="Traditional Arabic" w:cs="Traditional Arabic"/>
          <w:b/>
          <w:sz w:val="30"/>
          <w:szCs w:val="30"/>
          <w:rtl/>
          <w:lang w:bidi="ar-EG"/>
        </w:rPr>
      </w:pPr>
    </w:p>
    <w:p w14:paraId="352DFFA2" w14:textId="77777777" w:rsidR="00580B37" w:rsidRPr="009726AD" w:rsidRDefault="009726AD" w:rsidP="00974C01">
      <w:pPr>
        <w:bidi/>
        <w:jc w:val="both"/>
        <w:rPr>
          <w:rFonts w:ascii="Traditional Arabic" w:hAnsi="Traditional Arabic" w:cs="Traditional Arabic"/>
          <w:b/>
          <w:sz w:val="30"/>
          <w:szCs w:val="30"/>
          <w:rtl/>
          <w:lang w:bidi="ar-EG"/>
        </w:rPr>
      </w:pPr>
      <w:r w:rsidRPr="00191F09">
        <w:rPr>
          <w:rFonts w:ascii="Traditional Arabic" w:hAnsi="Traditional Arabic" w:cs="Traditional Arabic"/>
          <w:b/>
          <w:sz w:val="30"/>
          <w:szCs w:val="30"/>
          <w:rtl/>
          <w:lang w:bidi="ar-EG"/>
        </w:rPr>
        <w:t>يُصنف بدن ومعدات كل سفينة تجارية من قبل جمعية تصنيف مرخصة في بلد تسجيلها. وجميع سفن الشركة معتمدة على أنها "ملتزمة بالمعايير</w:t>
      </w:r>
      <w:r w:rsidRPr="00191F09">
        <w:rPr>
          <w:rFonts w:ascii="Traditional Arabic" w:hAnsi="Traditional Arabic" w:cs="Traditional Arabic"/>
          <w:b/>
          <w:sz w:val="30"/>
          <w:szCs w:val="30"/>
          <w:lang w:bidi="ar-EG"/>
        </w:rPr>
        <w:t xml:space="preserve">" (in-class) </w:t>
      </w:r>
      <w:r w:rsidRPr="00191F09">
        <w:rPr>
          <w:rFonts w:ascii="Traditional Arabic" w:hAnsi="Traditional Arabic" w:cs="Traditional Arabic"/>
          <w:b/>
          <w:sz w:val="30"/>
          <w:szCs w:val="30"/>
          <w:rtl/>
          <w:lang w:bidi="ar-EG"/>
        </w:rPr>
        <w:t>من قبل مجموعة دي إن في جي إل جروب</w:t>
      </w:r>
      <w:r w:rsidRPr="00191F09">
        <w:rPr>
          <w:rFonts w:ascii="Traditional Arabic" w:hAnsi="Traditional Arabic" w:cs="Traditional Arabic"/>
          <w:b/>
          <w:sz w:val="30"/>
          <w:szCs w:val="30"/>
          <w:lang w:bidi="ar-EG"/>
        </w:rPr>
        <w:t xml:space="preserve"> (" DNV GL ") </w:t>
      </w:r>
      <w:r w:rsidRPr="00191F09">
        <w:rPr>
          <w:rFonts w:ascii="Traditional Arabic" w:hAnsi="Traditional Arabic" w:cs="Traditional Arabic"/>
          <w:b/>
          <w:sz w:val="30"/>
          <w:szCs w:val="30"/>
          <w:rtl/>
          <w:lang w:bidi="ar-EG"/>
        </w:rPr>
        <w:t>أو سجل لويدز</w:t>
      </w:r>
      <w:r w:rsidRPr="00191F09">
        <w:rPr>
          <w:rFonts w:ascii="Traditional Arabic" w:hAnsi="Traditional Arabic" w:cs="Traditional Arabic"/>
          <w:b/>
          <w:sz w:val="30"/>
          <w:szCs w:val="30"/>
          <w:lang w:bidi="ar-EG"/>
        </w:rPr>
        <w:t xml:space="preserve"> (Lloyd's Register) </w:t>
      </w:r>
      <w:r w:rsidRPr="00191F09">
        <w:rPr>
          <w:rFonts w:ascii="Traditional Arabic" w:hAnsi="Traditional Arabic" w:cs="Traditional Arabic"/>
          <w:b/>
          <w:sz w:val="30"/>
          <w:szCs w:val="30"/>
          <w:rtl/>
          <w:lang w:bidi="ar-EG"/>
        </w:rPr>
        <w:t xml:space="preserve">أو المكتب الأمريكي للشحن. وعادة ما تصدر كل جمعية تصنيف أكثر من 20 شهادة تصنيف مختلفة لكل سفينة. تشمل الشهادات الأساسية للعمل التجاري: شهادة الحمولة القصوى الدولية، وشهادة السلامة الإنشائية، </w:t>
      </w:r>
      <w:r w:rsidRPr="00B934CE">
        <w:rPr>
          <w:rFonts w:ascii="Traditional Arabic" w:hAnsi="Traditional Arabic" w:cs="Traditional Arabic"/>
          <w:b/>
          <w:sz w:val="30"/>
          <w:szCs w:val="30"/>
          <w:rtl/>
          <w:lang w:bidi="ar-EG"/>
        </w:rPr>
        <w:t>وشهادة الوقاية من التلوث النفطي الدولي،</w:t>
      </w:r>
      <w:r w:rsidRPr="00191F09">
        <w:rPr>
          <w:rFonts w:ascii="Traditional Arabic" w:hAnsi="Traditional Arabic" w:cs="Traditional Arabic"/>
          <w:b/>
          <w:sz w:val="30"/>
          <w:szCs w:val="30"/>
          <w:rtl/>
          <w:lang w:bidi="ar-EG"/>
        </w:rPr>
        <w:t xml:space="preserve"> وشهادة معدات السلامة، وشهادة السلامة اللاسلكية. </w:t>
      </w:r>
      <w:r w:rsidR="00974C01" w:rsidRPr="00191F09">
        <w:rPr>
          <w:rFonts w:ascii="Traditional Arabic" w:hAnsi="Traditional Arabic" w:cs="Traditional Arabic"/>
          <w:b/>
          <w:sz w:val="30"/>
          <w:szCs w:val="30"/>
          <w:rtl/>
          <w:lang w:bidi="ar-EG"/>
        </w:rPr>
        <w:t>يرجى الاطلاع على "الفصل الثاني عشر - وصف الشركة ونظرة عامة على الأعمال - إدارة السلامة وعمليات السفن".</w:t>
      </w:r>
    </w:p>
    <w:p w14:paraId="40B4B335"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ولكي يتم تسجيل سفن الشركة لدى دولة العلم والحصول على تغطية تأمينية، وكذلك استيفاء بعض تعهدات الإقراض الفنية، يجب أن يكون لديها شهادات تصنيف سارية (اجتياز جميع الفحوصات والمعايير الفنية المطلوبة). وتصدر هذه الشهادات من قبل جمعيات تصنيف مستقلة تابعة لجهات خارجية. وتتضمن عملية استخراج الشهادات هذه عمومًا نوعين رئيسيين من عمليات الفحص، يتم إجراؤها عادةً أثناء وجود السفينة في الحوض الجاف: (1) فحص عام، يتم إجراؤه كل سنتين إلى ثلاث سنوات و (2) فحص مفصل لجميع المكونات الرئيسية للسفن، يتم إجراؤه كل خمس سنوات. علاوة على ذلك، قد يطلب بعض العملاء فحص سفن الشركة واعتمادها من قبل مفتش فني مستقل تابع لجهة خارجية قبل إبرام اتفاقية تأجير جديدة لسفينة مجهزة بالمدة. بالإضافة إلى ذلك، تخضع السفن لعمليات فحص بسيطة أخرى، بما في ذلك الفحوصات السنوية. وإذا واجهت الشركة أي تأخير في هذه العملية، أو كانت غير قادرة على الحصول على الشهادات اللازمة، فقد تكون غير قادرة على خدمة عملائها بموجب عقود تأجير السفن الحالية أو الجديدة، مما قد يكون له تأثير سلبي جوهري على أعمالها ونتائج عملياتها ووضعها المالي وتوقعاتها</w:t>
      </w:r>
      <w:r w:rsidRPr="009726AD">
        <w:rPr>
          <w:rFonts w:ascii="Traditional Arabic" w:hAnsi="Traditional Arabic" w:cs="Traditional Arabic"/>
          <w:b/>
          <w:sz w:val="30"/>
          <w:szCs w:val="30"/>
          <w:lang w:bidi="ar-EG"/>
        </w:rPr>
        <w:t>.</w:t>
      </w:r>
    </w:p>
    <w:p w14:paraId="6F4BCB6C" w14:textId="77777777" w:rsidR="00580B37" w:rsidRPr="009726AD" w:rsidRDefault="00580B37" w:rsidP="00580B37">
      <w:pPr>
        <w:bidi/>
        <w:jc w:val="both"/>
        <w:rPr>
          <w:rFonts w:ascii="Traditional Arabic" w:hAnsi="Traditional Arabic" w:cs="Traditional Arabic"/>
          <w:b/>
          <w:sz w:val="30"/>
          <w:szCs w:val="30"/>
          <w:rtl/>
          <w:lang w:bidi="ar-EG"/>
        </w:rPr>
      </w:pPr>
    </w:p>
    <w:p w14:paraId="49C7DFE6"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يجب أن تخضع السفينة لعمليات الفحص المجدولة والفحوصات السنوية والفحوصات العامة وفحوصات الإرساء في الحوض الجاف والفحوصات الخاصة، بالإضافة إلى عمليات الفحص في دولة الميناء، وتخضع أحيانًا لعمليات الفحص والتفتيش الأخرى </w:t>
      </w:r>
      <w:r w:rsidRPr="009726AD">
        <w:rPr>
          <w:rFonts w:ascii="Traditional Arabic" w:hAnsi="Traditional Arabic" w:cs="Traditional Arabic"/>
          <w:b/>
          <w:sz w:val="30"/>
          <w:szCs w:val="30"/>
          <w:rtl/>
          <w:lang w:bidi="ar-EG"/>
        </w:rPr>
        <w:lastRenderedPageBreak/>
        <w:t>المطلوبة وفقًا للوائح التشريعية ومتطلبات بلد تسجيل السفينة. وإذا لم تحافظ أي سفينة على تصنيفها أو فشلت في إجراء أي فحص سنوي أو فحص عام أو فحص جاف أو فحص خاص أو فحوصات أخرى تقوم بها دولة العلم أو جمعية تصنيف السفينة، فقد تكون هذه السفينة غير قادرة على القيام بأعمال التجارة بين الموانئ، وستكون غير صالحة للتشغيل، وقد يُطلب من الشركة تكبد تكاليف كبيرة لتلبية متطلبات هذه الفحوصات. وقد يؤدي الفشل في الحفاظ على تصنيف السفينة أو فشل فحص السفينة أيضًا إلى انتهاك الشركة وثائق التأمين الخاصة بها، وقد يسمح لشركة التأمين برفض التغطية. ومع ذلك، فإن عدم القدرة على القيام بأعمال التجارة بين الموانئ أو مخالفة الشركة لوثائق التأمين الخاصة بها يمكن أن يكون لها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 xml:space="preserve">. </w:t>
      </w:r>
    </w:p>
    <w:p w14:paraId="13E56987" w14:textId="77777777" w:rsidR="00580B37" w:rsidRPr="009726AD" w:rsidRDefault="00580B37" w:rsidP="00580B37">
      <w:pPr>
        <w:bidi/>
        <w:jc w:val="both"/>
        <w:rPr>
          <w:rFonts w:ascii="Traditional Arabic" w:hAnsi="Traditional Arabic" w:cs="Traditional Arabic"/>
          <w:b/>
          <w:sz w:val="30"/>
          <w:szCs w:val="30"/>
          <w:rtl/>
          <w:lang w:bidi="ar-EG"/>
        </w:rPr>
      </w:pPr>
    </w:p>
    <w:p w14:paraId="630E13E4" w14:textId="77777777" w:rsidR="009726AD" w:rsidRPr="00272B36" w:rsidRDefault="009726AD" w:rsidP="009726AD">
      <w:pPr>
        <w:bidi/>
        <w:jc w:val="both"/>
        <w:rPr>
          <w:rFonts w:ascii="Traditional Arabic" w:hAnsi="Traditional Arabic" w:cs="Traditional Arabic"/>
          <w:bCs/>
          <w:sz w:val="30"/>
          <w:szCs w:val="30"/>
          <w:rtl/>
          <w:lang w:bidi="ar-EG"/>
        </w:rPr>
      </w:pPr>
      <w:r w:rsidRPr="00272B36">
        <w:rPr>
          <w:rFonts w:ascii="Traditional Arabic" w:hAnsi="Traditional Arabic" w:cs="Traditional Arabic"/>
          <w:bCs/>
          <w:sz w:val="30"/>
          <w:szCs w:val="30"/>
          <w:rtl/>
          <w:lang w:bidi="ar-EG"/>
        </w:rPr>
        <w:t>11</w:t>
      </w:r>
      <w:r w:rsidRPr="00272B36">
        <w:rPr>
          <w:rFonts w:ascii="Traditional Arabic" w:hAnsi="Traditional Arabic" w:cs="Traditional Arabic"/>
          <w:bCs/>
          <w:sz w:val="30"/>
          <w:szCs w:val="30"/>
          <w:lang w:bidi="ar-EG"/>
        </w:rPr>
        <w:t>.</w:t>
      </w:r>
      <w:r w:rsidRPr="00272B36">
        <w:rPr>
          <w:rFonts w:ascii="Traditional Arabic" w:hAnsi="Traditional Arabic" w:cs="Traditional Arabic"/>
          <w:bCs/>
          <w:sz w:val="30"/>
          <w:szCs w:val="30"/>
          <w:lang w:bidi="ar-EG"/>
        </w:rPr>
        <w:tab/>
      </w:r>
      <w:r w:rsidRPr="00272B36">
        <w:rPr>
          <w:rFonts w:ascii="Traditional Arabic" w:hAnsi="Traditional Arabic" w:cs="Traditional Arabic"/>
          <w:bCs/>
          <w:sz w:val="30"/>
          <w:szCs w:val="30"/>
          <w:rtl/>
          <w:lang w:bidi="ar-EG"/>
        </w:rPr>
        <w:t>قد تؤدي إجراءات الفحص المتزايدة وتشديد ضوابط الاستيراد والتصدير إلى زيادة التكاليف وتعطيل أعمال الشركة</w:t>
      </w:r>
      <w:r w:rsidRPr="00272B36">
        <w:rPr>
          <w:rFonts w:ascii="Traditional Arabic" w:hAnsi="Traditional Arabic" w:cs="Traditional Arabic"/>
          <w:bCs/>
          <w:sz w:val="30"/>
          <w:szCs w:val="30"/>
          <w:lang w:bidi="ar-EG"/>
        </w:rPr>
        <w:t>.</w:t>
      </w:r>
    </w:p>
    <w:p w14:paraId="2E1E0658" w14:textId="77777777" w:rsidR="00580B37" w:rsidRDefault="00580B37" w:rsidP="009726AD">
      <w:pPr>
        <w:bidi/>
        <w:jc w:val="both"/>
        <w:rPr>
          <w:rFonts w:ascii="Traditional Arabic" w:hAnsi="Traditional Arabic" w:cs="Traditional Arabic"/>
          <w:b/>
          <w:sz w:val="30"/>
          <w:szCs w:val="30"/>
          <w:rtl/>
          <w:lang w:bidi="ar-EG"/>
        </w:rPr>
      </w:pPr>
    </w:p>
    <w:p w14:paraId="50E622C1" w14:textId="77777777" w:rsidR="00580B37"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يخضع الشحن الدولي لمختلف عمليات الفحص الأمني والجمركي والإجراءات ذات الصلة في بلدان المنشأ والوجهة المقصودة. ويمكن أن تؤدي إجراءات الفحص إلى الاستيلاء على محتويات سفن الشركة، والتأخير في تحميل أو تفريغ أو تسليم المنتجات التي تحملها سفن الشركة، وفرض غرامات وعقوبات أخرى على الشركة. ومن الممكن أن تفرض التغييرات في إجراءات الفحص التزامات جوهرية إضافية على الشركة من الناحية المالية والقانونية. علاوة على ذلك، قد تفرض التغييرات في إجراءات الفحص أيضًا تكاليف والتزامات إضافية على عملاء الشركة، وقد تجعل شحن أنواع معينة من البضائع غير ممكن من الناحية العملية أو غير مربح في بعض الحالات. وقد يكون لوقوع مثل هذه الحوادث في المستقبل تأثير سلبي جوهري على أعمال الشركة ونتائج عملياتها ووضعها المالي وتوقعاته</w:t>
      </w:r>
      <w:r w:rsidR="00580B37">
        <w:rPr>
          <w:rFonts w:ascii="Traditional Arabic" w:hAnsi="Traditional Arabic" w:cs="Traditional Arabic" w:hint="cs"/>
          <w:b/>
          <w:sz w:val="30"/>
          <w:szCs w:val="30"/>
          <w:rtl/>
          <w:lang w:bidi="ar-EG"/>
        </w:rPr>
        <w:t>ا.</w:t>
      </w:r>
    </w:p>
    <w:p w14:paraId="27D01637" w14:textId="77777777" w:rsidR="009726AD" w:rsidRP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 xml:space="preserve"> </w:t>
      </w:r>
    </w:p>
    <w:p w14:paraId="74F0F61F" w14:textId="77777777" w:rsidR="009726AD" w:rsidRPr="00272B36" w:rsidRDefault="009726AD" w:rsidP="009726AD">
      <w:pPr>
        <w:bidi/>
        <w:jc w:val="both"/>
        <w:rPr>
          <w:rFonts w:ascii="Traditional Arabic" w:hAnsi="Traditional Arabic" w:cs="Traditional Arabic"/>
          <w:bCs/>
          <w:sz w:val="30"/>
          <w:szCs w:val="30"/>
          <w:rtl/>
          <w:lang w:bidi="ar-EG"/>
        </w:rPr>
      </w:pPr>
      <w:r w:rsidRPr="00272B36">
        <w:rPr>
          <w:rFonts w:ascii="Traditional Arabic" w:hAnsi="Traditional Arabic" w:cs="Traditional Arabic"/>
          <w:bCs/>
          <w:sz w:val="30"/>
          <w:szCs w:val="30"/>
          <w:rtl/>
          <w:lang w:bidi="ar-EG"/>
        </w:rPr>
        <w:t>12</w:t>
      </w:r>
      <w:r w:rsidRPr="00272B36">
        <w:rPr>
          <w:rFonts w:ascii="Traditional Arabic" w:hAnsi="Traditional Arabic" w:cs="Traditional Arabic"/>
          <w:bCs/>
          <w:sz w:val="30"/>
          <w:szCs w:val="30"/>
          <w:lang w:bidi="ar-EG"/>
        </w:rPr>
        <w:t>.</w:t>
      </w:r>
      <w:r w:rsidRPr="00272B36">
        <w:rPr>
          <w:rFonts w:ascii="Traditional Arabic" w:hAnsi="Traditional Arabic" w:cs="Traditional Arabic"/>
          <w:bCs/>
          <w:sz w:val="30"/>
          <w:szCs w:val="30"/>
          <w:lang w:bidi="ar-EG"/>
        </w:rPr>
        <w:tab/>
      </w:r>
      <w:r w:rsidRPr="00272B36">
        <w:rPr>
          <w:rFonts w:ascii="Traditional Arabic" w:hAnsi="Traditional Arabic" w:cs="Traditional Arabic"/>
          <w:bCs/>
          <w:sz w:val="30"/>
          <w:szCs w:val="30"/>
          <w:rtl/>
          <w:lang w:bidi="ar-EG"/>
        </w:rPr>
        <w:t>قد تتأثر الشركة سلبًا بالظروف الاقتصادية والسياسية وغيرها من الظروف في البلدان التي تعمل فيها أو قد تعمل فيها في المستقبل</w:t>
      </w:r>
      <w:r w:rsidRPr="00272B36">
        <w:rPr>
          <w:rFonts w:ascii="Traditional Arabic" w:hAnsi="Traditional Arabic" w:cs="Traditional Arabic"/>
          <w:bCs/>
          <w:sz w:val="30"/>
          <w:szCs w:val="30"/>
          <w:lang w:bidi="ar-EG"/>
        </w:rPr>
        <w:t>.</w:t>
      </w:r>
    </w:p>
    <w:p w14:paraId="5B1F01AA" w14:textId="77777777" w:rsidR="00580B37" w:rsidRDefault="00580B37" w:rsidP="009726AD">
      <w:pPr>
        <w:bidi/>
        <w:jc w:val="both"/>
        <w:rPr>
          <w:rFonts w:ascii="Traditional Arabic" w:hAnsi="Traditional Arabic" w:cs="Traditional Arabic"/>
          <w:b/>
          <w:sz w:val="30"/>
          <w:szCs w:val="30"/>
          <w:rtl/>
          <w:lang w:bidi="ar-EG"/>
        </w:rPr>
      </w:pPr>
    </w:p>
    <w:p w14:paraId="4F8FC115" w14:textId="77777777" w:rsidR="009726AD" w:rsidRP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يمكن أن تؤثر الظروف الاقتصادية والسياسية والاجتماعية العالمية والإقليمية سلبًا على المناطق التي تسمح فيها الشركة بتشغيل سفنها. وتشمل التحديات التي قد تنشأ في المناطق التي تعمل فيها الشركة ما يلي</w:t>
      </w:r>
      <w:r w:rsidRPr="009726AD">
        <w:rPr>
          <w:rFonts w:ascii="Traditional Arabic" w:hAnsi="Traditional Arabic" w:cs="Traditional Arabic"/>
          <w:b/>
          <w:sz w:val="30"/>
          <w:szCs w:val="30"/>
          <w:lang w:bidi="ar-EG"/>
        </w:rPr>
        <w:t>:</w:t>
      </w:r>
    </w:p>
    <w:p w14:paraId="58EF12CD"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الانكماش الاقتصادي أو تقلب الأداء الاقتصادي بشكل عام</w:t>
      </w:r>
      <w:r w:rsidRPr="009726AD">
        <w:rPr>
          <w:rFonts w:ascii="Traditional Arabic" w:hAnsi="Traditional Arabic" w:cs="Traditional Arabic"/>
          <w:b/>
          <w:sz w:val="30"/>
          <w:szCs w:val="30"/>
          <w:lang w:bidi="ar-EG"/>
        </w:rPr>
        <w:t>.</w:t>
      </w:r>
    </w:p>
    <w:p w14:paraId="66B129F2" w14:textId="77777777" w:rsidR="009726AD" w:rsidRPr="009726AD" w:rsidRDefault="009726AD" w:rsidP="00580B37">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انهيار العملة أو انخفاض قيمتها أو ارتفاع قيمتها، وتطبيق أو تشديد ضوابط العملة أو غيرها من القيود على حركة الأموال</w:t>
      </w:r>
      <w:r w:rsidRPr="009726AD">
        <w:rPr>
          <w:rFonts w:ascii="Traditional Arabic" w:hAnsi="Traditional Arabic" w:cs="Traditional Arabic"/>
          <w:b/>
          <w:sz w:val="30"/>
          <w:szCs w:val="30"/>
          <w:lang w:bidi="ar-EG"/>
        </w:rPr>
        <w:t>.</w:t>
      </w:r>
    </w:p>
    <w:p w14:paraId="35A32333"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الصعوبات والتأخير في الحصول على أو تجديد التصاريح والتراخيص والموافقات</w:t>
      </w:r>
      <w:r w:rsidRPr="009726AD">
        <w:rPr>
          <w:rFonts w:ascii="Traditional Arabic" w:hAnsi="Traditional Arabic" w:cs="Traditional Arabic"/>
          <w:b/>
          <w:sz w:val="30"/>
          <w:szCs w:val="30"/>
          <w:lang w:bidi="ar-EG"/>
        </w:rPr>
        <w:t>.</w:t>
      </w:r>
    </w:p>
    <w:p w14:paraId="4E8A1FC9"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lastRenderedPageBreak/>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الضرائب أو الإتاوات الإضافية، بما في ذلك المطالبات بأثر رجعي والقيود المفروضة على الخصومات</w:t>
      </w:r>
      <w:r w:rsidRPr="009726AD">
        <w:rPr>
          <w:rFonts w:ascii="Traditional Arabic" w:hAnsi="Traditional Arabic" w:cs="Traditional Arabic"/>
          <w:b/>
          <w:sz w:val="30"/>
          <w:szCs w:val="30"/>
          <w:lang w:bidi="ar-EG"/>
        </w:rPr>
        <w:t>.</w:t>
      </w:r>
    </w:p>
    <w:p w14:paraId="23F24E11"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تأميم أو مصادرة الأصول الخاصة، والتدخل السياسي في المناقصات</w:t>
      </w:r>
      <w:r w:rsidRPr="009726AD">
        <w:rPr>
          <w:rFonts w:ascii="Traditional Arabic" w:hAnsi="Traditional Arabic" w:cs="Traditional Arabic"/>
          <w:b/>
          <w:sz w:val="30"/>
          <w:szCs w:val="30"/>
          <w:lang w:bidi="ar-EG"/>
        </w:rPr>
        <w:t>.</w:t>
      </w:r>
    </w:p>
    <w:p w14:paraId="21A9B92B"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إلغاء الحقوق التعاقدية أو تعديلها أو قابلية تنفيذها</w:t>
      </w:r>
      <w:r w:rsidRPr="009726AD">
        <w:rPr>
          <w:rFonts w:ascii="Traditional Arabic" w:hAnsi="Traditional Arabic" w:cs="Traditional Arabic"/>
          <w:b/>
          <w:sz w:val="30"/>
          <w:szCs w:val="30"/>
          <w:lang w:bidi="ar-EG"/>
        </w:rPr>
        <w:t>.</w:t>
      </w:r>
    </w:p>
    <w:p w14:paraId="07317C0B"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السرقة والاحتيال</w:t>
      </w:r>
      <w:r w:rsidRPr="009726AD">
        <w:rPr>
          <w:rFonts w:ascii="Traditional Arabic" w:hAnsi="Traditional Arabic" w:cs="Traditional Arabic"/>
          <w:b/>
          <w:sz w:val="30"/>
          <w:szCs w:val="30"/>
          <w:lang w:bidi="ar-EG"/>
        </w:rPr>
        <w:t>.</w:t>
      </w:r>
    </w:p>
    <w:p w14:paraId="1070682C"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التغييرات في القوانين التجارية أو العقوبات أو الحظر</w:t>
      </w:r>
      <w:r w:rsidRPr="009726AD">
        <w:rPr>
          <w:rFonts w:ascii="Traditional Arabic" w:hAnsi="Traditional Arabic" w:cs="Traditional Arabic"/>
          <w:b/>
          <w:sz w:val="30"/>
          <w:szCs w:val="30"/>
          <w:lang w:bidi="ar-EG"/>
        </w:rPr>
        <w:t>.</w:t>
      </w:r>
    </w:p>
    <w:p w14:paraId="43591FF9"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فرض قيود على الملكية الأجنبية أو تشديدها</w:t>
      </w:r>
      <w:r w:rsidRPr="009726AD">
        <w:rPr>
          <w:rFonts w:ascii="Traditional Arabic" w:hAnsi="Traditional Arabic" w:cs="Traditional Arabic"/>
          <w:b/>
          <w:sz w:val="30"/>
          <w:szCs w:val="30"/>
          <w:lang w:bidi="ar-EG"/>
        </w:rPr>
        <w:t>.</w:t>
      </w:r>
    </w:p>
    <w:p w14:paraId="4D2C71F1" w14:textId="77777777" w:rsidR="009726AD" w:rsidRPr="009726AD" w:rsidRDefault="009726AD" w:rsidP="00580B37">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التغييرات في المتطلبات القانونية أو التنظيمية المحلية، أو تفسيراتها، بما في ذلك القواعد البيئية، ومتطلبات التعاقد أو تقديم العطاءات، ومتطلبات التوطين المحلي، أو لوائح العمل (مثل توافر تصاريح العمل للعمال الأجانب)، والتعاقدات أو قانون الموارد الطبيعية</w:t>
      </w:r>
      <w:r w:rsidRPr="009726AD">
        <w:rPr>
          <w:rFonts w:ascii="Traditional Arabic" w:hAnsi="Traditional Arabic" w:cs="Traditional Arabic"/>
          <w:b/>
          <w:sz w:val="30"/>
          <w:szCs w:val="30"/>
          <w:lang w:bidi="ar-EG"/>
        </w:rPr>
        <w:t>.</w:t>
      </w:r>
    </w:p>
    <w:p w14:paraId="3D1C0643"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عدم الاستقرار الاجتماعي والسياسي، بما في ذلك الاضطرابات المدنية</w:t>
      </w:r>
      <w:r w:rsidRPr="009726AD">
        <w:rPr>
          <w:rFonts w:ascii="Traditional Arabic" w:hAnsi="Traditional Arabic" w:cs="Traditional Arabic"/>
          <w:b/>
          <w:sz w:val="30"/>
          <w:szCs w:val="30"/>
          <w:lang w:bidi="ar-EG"/>
        </w:rPr>
        <w:t>.</w:t>
      </w:r>
    </w:p>
    <w:p w14:paraId="77291EC4"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معارضة من المجتمعات المحلية ومجموعات المصالح الخاصة</w:t>
      </w:r>
      <w:r w:rsidRPr="009726AD">
        <w:rPr>
          <w:rFonts w:ascii="Traditional Arabic" w:hAnsi="Traditional Arabic" w:cs="Traditional Arabic"/>
          <w:b/>
          <w:sz w:val="30"/>
          <w:szCs w:val="30"/>
          <w:lang w:bidi="ar-EG"/>
        </w:rPr>
        <w:t>.</w:t>
      </w:r>
    </w:p>
    <w:p w14:paraId="7F8E2AA7"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اضطرابات الأعمال بسبب الإضرابات أو غيرها من الاحتجاجات العمالية</w:t>
      </w:r>
      <w:r w:rsidRPr="009726AD">
        <w:rPr>
          <w:rFonts w:ascii="Traditional Arabic" w:hAnsi="Traditional Arabic" w:cs="Traditional Arabic"/>
          <w:b/>
          <w:sz w:val="30"/>
          <w:szCs w:val="30"/>
          <w:lang w:bidi="ar-EG"/>
        </w:rPr>
        <w:t>.</w:t>
      </w:r>
    </w:p>
    <w:p w14:paraId="0C0746C7" w14:textId="77777777" w:rsidR="009726AD" w:rsidRPr="009726AD" w:rsidRDefault="009726AD" w:rsidP="00580B37">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اندلاع الحرب أو التمرد أو الإرهاب أو أعمال العنف الأخرى (مثل الصراع بين روسيا وأوكرانيا ونزاع البحر الأحمر)، والتي يمكن أن تعطل طرق التجارة وبالتالي الطلب على السفن وأسعار التأجير المرتبطة بها</w:t>
      </w:r>
      <w:r w:rsidRPr="009726AD">
        <w:rPr>
          <w:rFonts w:ascii="Traditional Arabic" w:hAnsi="Traditional Arabic" w:cs="Traditional Arabic"/>
          <w:b/>
          <w:sz w:val="30"/>
          <w:szCs w:val="30"/>
          <w:lang w:bidi="ar-EG"/>
        </w:rPr>
        <w:t xml:space="preserve">. </w:t>
      </w:r>
    </w:p>
    <w:p w14:paraId="0E32E862"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الكوارث الطبيعية أو تفشي الأمراض</w:t>
      </w:r>
      <w:r w:rsidRPr="009726AD">
        <w:rPr>
          <w:rFonts w:ascii="Traditional Arabic" w:hAnsi="Traditional Arabic" w:cs="Traditional Arabic"/>
          <w:b/>
          <w:sz w:val="30"/>
          <w:szCs w:val="30"/>
          <w:lang w:bidi="ar-EG"/>
        </w:rPr>
        <w:t>.</w:t>
      </w:r>
    </w:p>
    <w:p w14:paraId="5209B1E5"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القيود المفروضة على الوصول إلى البضائع، بما في ذلك على وجه الخصوص النفط الخام</w:t>
      </w:r>
      <w:r w:rsidRPr="009726AD">
        <w:rPr>
          <w:rFonts w:ascii="Traditional Arabic" w:hAnsi="Traditional Arabic" w:cs="Traditional Arabic"/>
          <w:b/>
          <w:sz w:val="30"/>
          <w:szCs w:val="30"/>
          <w:lang w:bidi="ar-EG"/>
        </w:rPr>
        <w:t>.</w:t>
      </w:r>
    </w:p>
    <w:p w14:paraId="58FA842B" w14:textId="77777777" w:rsidR="00580B37" w:rsidRDefault="00580B37" w:rsidP="009726AD">
      <w:pPr>
        <w:bidi/>
        <w:jc w:val="both"/>
        <w:rPr>
          <w:rFonts w:ascii="Traditional Arabic" w:hAnsi="Traditional Arabic" w:cs="Traditional Arabic"/>
          <w:b/>
          <w:sz w:val="30"/>
          <w:szCs w:val="30"/>
          <w:rtl/>
          <w:lang w:bidi="ar-EG"/>
        </w:rPr>
      </w:pPr>
    </w:p>
    <w:p w14:paraId="1DAD47A1" w14:textId="77777777" w:rsidR="009726AD" w:rsidRDefault="009726AD" w:rsidP="00580B37">
      <w:pPr>
        <w:bidi/>
        <w:jc w:val="both"/>
        <w:rPr>
          <w:rFonts w:ascii="Traditional Arabic" w:hAnsi="Traditional Arabic" w:cs="Traditional Arabic"/>
          <w:b/>
          <w:sz w:val="30"/>
          <w:szCs w:val="30"/>
          <w:rtl/>
          <w:lang w:bidi="ar-EG"/>
        </w:rPr>
      </w:pPr>
      <w:r w:rsidRPr="00191F09">
        <w:rPr>
          <w:rFonts w:ascii="Traditional Arabic" w:hAnsi="Traditional Arabic" w:cs="Traditional Arabic"/>
          <w:b/>
          <w:sz w:val="30"/>
          <w:szCs w:val="30"/>
          <w:rtl/>
          <w:lang w:bidi="ar-EG"/>
        </w:rPr>
        <w:t xml:space="preserve">بالإضافة إلى ذلك، يُنظر إلى عدد من البلدان التي تعمل فيها الشركة، أو قد تعمل فيها في المستقبل، على أنها تتمتع بمستويات </w:t>
      </w:r>
      <w:r w:rsidRPr="00B934CE">
        <w:rPr>
          <w:rFonts w:ascii="Traditional Arabic" w:hAnsi="Traditional Arabic" w:cs="Traditional Arabic"/>
          <w:b/>
          <w:sz w:val="30"/>
          <w:szCs w:val="30"/>
          <w:rtl/>
          <w:lang w:bidi="ar-EG"/>
        </w:rPr>
        <w:t>عالية نسبيًا من الفساد، بما في ذلك بعض دول مجلس التعاون الخليجي</w:t>
      </w:r>
      <w:r w:rsidRPr="00191F09">
        <w:rPr>
          <w:rFonts w:ascii="Traditional Arabic" w:hAnsi="Traditional Arabic" w:cs="Traditional Arabic"/>
          <w:b/>
          <w:sz w:val="30"/>
          <w:szCs w:val="30"/>
          <w:rtl/>
          <w:lang w:bidi="ar-EG"/>
        </w:rPr>
        <w:t xml:space="preserve"> وجنوب شرق آسيا. قد لا تتمكن الشركة من منع أو اكتشاف الممارسات الفاسدة أو غير الأخلاقية من قبل الغير، مثل المقاولين من الباطن أو شركاء المشروع المشترك أو الموردين، مما قد يؤدي إلى اضطرار الشركة إلى تغيير الأطراف التي تتعامل معها، أو تكبد غرامات وعقوبات كبيرة، أو التعرض لضرر يلحق بالسمعة. إن الظروف الاقتصادية والسياسية وغيرها من الظروف في البلدان التي تعمل فيها الشركة، أو قد تعمل فيها في المستقبل، يمكن أن تؤدي إلى اضطرابات لها تأثير سلبي جوهري على أعمالها ونتائج عملياتها ووضعها المالي وتوقعاتها</w:t>
      </w:r>
      <w:r w:rsidRPr="00191F09">
        <w:rPr>
          <w:rFonts w:ascii="Traditional Arabic" w:hAnsi="Traditional Arabic" w:cs="Traditional Arabic"/>
          <w:b/>
          <w:sz w:val="30"/>
          <w:szCs w:val="30"/>
          <w:lang w:bidi="ar-EG"/>
        </w:rPr>
        <w:t>.</w:t>
      </w:r>
    </w:p>
    <w:p w14:paraId="1BA1B572" w14:textId="77777777" w:rsidR="00580B37" w:rsidRPr="009726AD" w:rsidRDefault="00580B37" w:rsidP="00580B37">
      <w:pPr>
        <w:bidi/>
        <w:jc w:val="both"/>
        <w:rPr>
          <w:rFonts w:ascii="Traditional Arabic" w:hAnsi="Traditional Arabic" w:cs="Traditional Arabic"/>
          <w:b/>
          <w:sz w:val="30"/>
          <w:szCs w:val="30"/>
          <w:rtl/>
          <w:lang w:bidi="ar-EG"/>
        </w:rPr>
      </w:pPr>
    </w:p>
    <w:p w14:paraId="25BA949B" w14:textId="77777777" w:rsidR="009726AD" w:rsidRPr="00272B36" w:rsidRDefault="009726AD" w:rsidP="009726AD">
      <w:pPr>
        <w:bidi/>
        <w:jc w:val="both"/>
        <w:rPr>
          <w:rFonts w:ascii="Traditional Arabic" w:hAnsi="Traditional Arabic" w:cs="Traditional Arabic"/>
          <w:bCs/>
          <w:sz w:val="30"/>
          <w:szCs w:val="30"/>
          <w:rtl/>
          <w:lang w:bidi="ar-EG"/>
        </w:rPr>
      </w:pPr>
      <w:r w:rsidRPr="00272B36">
        <w:rPr>
          <w:rFonts w:ascii="Traditional Arabic" w:hAnsi="Traditional Arabic" w:cs="Traditional Arabic"/>
          <w:bCs/>
          <w:sz w:val="30"/>
          <w:szCs w:val="30"/>
          <w:rtl/>
          <w:lang w:bidi="ar-EG"/>
        </w:rPr>
        <w:t>13</w:t>
      </w:r>
      <w:r w:rsidRPr="00272B36">
        <w:rPr>
          <w:rFonts w:ascii="Traditional Arabic" w:hAnsi="Traditional Arabic" w:cs="Traditional Arabic"/>
          <w:bCs/>
          <w:sz w:val="30"/>
          <w:szCs w:val="30"/>
          <w:lang w:bidi="ar-EG"/>
        </w:rPr>
        <w:t>.</w:t>
      </w:r>
      <w:r w:rsidRPr="00272B36">
        <w:rPr>
          <w:rFonts w:ascii="Traditional Arabic" w:hAnsi="Traditional Arabic" w:cs="Traditional Arabic"/>
          <w:bCs/>
          <w:sz w:val="30"/>
          <w:szCs w:val="30"/>
          <w:lang w:bidi="ar-EG"/>
        </w:rPr>
        <w:tab/>
      </w:r>
      <w:r w:rsidRPr="00272B36">
        <w:rPr>
          <w:rFonts w:ascii="Traditional Arabic" w:hAnsi="Traditional Arabic" w:cs="Traditional Arabic"/>
          <w:bCs/>
          <w:sz w:val="30"/>
          <w:szCs w:val="30"/>
          <w:rtl/>
          <w:lang w:bidi="ar-EG"/>
        </w:rPr>
        <w:t>يمكن للأطراف التي لها مطالبات بحرية احتجاز سفن الشركة، مما قد يتسبب في قطع التدفق النقدي للشركة</w:t>
      </w:r>
      <w:r w:rsidRPr="00272B36">
        <w:rPr>
          <w:rFonts w:ascii="Traditional Arabic" w:hAnsi="Traditional Arabic" w:cs="Traditional Arabic"/>
          <w:bCs/>
          <w:sz w:val="30"/>
          <w:szCs w:val="30"/>
          <w:lang w:bidi="ar-EG"/>
        </w:rPr>
        <w:t>.</w:t>
      </w:r>
    </w:p>
    <w:p w14:paraId="01E3CF03" w14:textId="77777777" w:rsidR="00580B37" w:rsidRDefault="00580B37" w:rsidP="009726AD">
      <w:pPr>
        <w:bidi/>
        <w:jc w:val="both"/>
        <w:rPr>
          <w:rFonts w:ascii="Traditional Arabic" w:hAnsi="Traditional Arabic" w:cs="Traditional Arabic"/>
          <w:b/>
          <w:sz w:val="30"/>
          <w:szCs w:val="30"/>
          <w:rtl/>
          <w:lang w:bidi="ar-EG"/>
        </w:rPr>
      </w:pPr>
    </w:p>
    <w:p w14:paraId="1B894B42" w14:textId="77777777" w:rsid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قد يحصل أفراد الطاقم وموردي السلع والخدمات للسفينة وشاحني البضائع والأطراف الأخرى على حكم بالحجز على السفينة (وفي بعض البلدان، أي سفينة يملكها أو يسيطر عليها نفس المالك) بسبب الديون أو المطالبات أو التعويضات غير المستوفاة، </w:t>
      </w:r>
      <w:r w:rsidRPr="009726AD">
        <w:rPr>
          <w:rFonts w:ascii="Traditional Arabic" w:hAnsi="Traditional Arabic" w:cs="Traditional Arabic"/>
          <w:b/>
          <w:sz w:val="30"/>
          <w:szCs w:val="30"/>
          <w:rtl/>
          <w:lang w:bidi="ar-EG"/>
        </w:rPr>
        <w:lastRenderedPageBreak/>
        <w:t>حتى في حالة وجود تأمين الحماية والتعويض لتغطية أي من هذه الديون أو المطالبات أو التعويضات. في العديد من البلدان، يجوز لصاحب الامتياز البحري (في حالة الحجز) تنفيذ امتيازه عن طريق احتجاز سفينة من خلال مطالبة الجهات المختصة بمباشرة إجراءات تنفيذ الحجز. قد يؤدي احتجاز سفينة أو تنفيذ الحجز على سفينة واحدة أو أكثر من سفن الشركة إلى قطع التدفق النقدي للشركة، وإلزام الشركة بدفع مبالغ كبيرة لرفع الحجز. وقد يكون لاحتجاز سفينة أو الحجز على سفينة أو أكثر من سفن الشركة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7D18DA0C" w14:textId="77777777" w:rsidR="00580B37" w:rsidRPr="009726AD" w:rsidRDefault="00580B37" w:rsidP="00580B37">
      <w:pPr>
        <w:bidi/>
        <w:jc w:val="both"/>
        <w:rPr>
          <w:rFonts w:ascii="Traditional Arabic" w:hAnsi="Traditional Arabic" w:cs="Traditional Arabic"/>
          <w:b/>
          <w:sz w:val="30"/>
          <w:szCs w:val="30"/>
          <w:rtl/>
          <w:lang w:bidi="ar-EG"/>
        </w:rPr>
      </w:pPr>
    </w:p>
    <w:p w14:paraId="3D72029C" w14:textId="77777777" w:rsidR="009726AD" w:rsidRPr="00272B36" w:rsidRDefault="009726AD" w:rsidP="009726AD">
      <w:pPr>
        <w:bidi/>
        <w:jc w:val="both"/>
        <w:rPr>
          <w:rFonts w:ascii="Traditional Arabic" w:hAnsi="Traditional Arabic" w:cs="Traditional Arabic"/>
          <w:bCs/>
          <w:sz w:val="30"/>
          <w:szCs w:val="30"/>
          <w:rtl/>
          <w:lang w:bidi="ar-EG"/>
        </w:rPr>
      </w:pPr>
      <w:r w:rsidRPr="00272B36">
        <w:rPr>
          <w:rFonts w:ascii="Traditional Arabic" w:hAnsi="Traditional Arabic" w:cs="Traditional Arabic"/>
          <w:bCs/>
          <w:sz w:val="30"/>
          <w:szCs w:val="30"/>
          <w:rtl/>
          <w:lang w:bidi="ar-EG"/>
        </w:rPr>
        <w:t>14</w:t>
      </w:r>
      <w:r w:rsidRPr="00272B36">
        <w:rPr>
          <w:rFonts w:ascii="Traditional Arabic" w:hAnsi="Traditional Arabic" w:cs="Traditional Arabic"/>
          <w:bCs/>
          <w:sz w:val="30"/>
          <w:szCs w:val="30"/>
          <w:lang w:bidi="ar-EG"/>
        </w:rPr>
        <w:t>.</w:t>
      </w:r>
      <w:r w:rsidRPr="00272B36">
        <w:rPr>
          <w:rFonts w:ascii="Traditional Arabic" w:hAnsi="Traditional Arabic" w:cs="Traditional Arabic"/>
          <w:bCs/>
          <w:sz w:val="30"/>
          <w:szCs w:val="30"/>
          <w:lang w:bidi="ar-EG"/>
        </w:rPr>
        <w:tab/>
      </w:r>
      <w:r w:rsidRPr="00272B36">
        <w:rPr>
          <w:rFonts w:ascii="Traditional Arabic" w:hAnsi="Traditional Arabic" w:cs="Traditional Arabic"/>
          <w:bCs/>
          <w:sz w:val="30"/>
          <w:szCs w:val="30"/>
          <w:rtl/>
          <w:lang w:bidi="ar-EG"/>
        </w:rPr>
        <w:t>تتعرض الشركة للمخاطر المتأصلة في العمل على المستوى الدولي وفي المناطق غير المستقرة سياسيًا، بما في ذلك مخاطر انتهاك العقوبات الدولية وقوانين مكافحة الرشوة/الفساد</w:t>
      </w:r>
      <w:r w:rsidRPr="00272B36">
        <w:rPr>
          <w:rFonts w:ascii="Traditional Arabic" w:hAnsi="Traditional Arabic" w:cs="Traditional Arabic"/>
          <w:bCs/>
          <w:sz w:val="30"/>
          <w:szCs w:val="30"/>
          <w:lang w:bidi="ar-EG"/>
        </w:rPr>
        <w:t>.</w:t>
      </w:r>
    </w:p>
    <w:p w14:paraId="59DAE513" w14:textId="77777777" w:rsidR="00580B37" w:rsidRDefault="00580B37" w:rsidP="009726AD">
      <w:pPr>
        <w:bidi/>
        <w:jc w:val="both"/>
        <w:rPr>
          <w:rFonts w:ascii="Traditional Arabic" w:hAnsi="Traditional Arabic" w:cs="Traditional Arabic"/>
          <w:b/>
          <w:sz w:val="30"/>
          <w:szCs w:val="30"/>
          <w:rtl/>
          <w:lang w:bidi="ar-EG"/>
        </w:rPr>
      </w:pPr>
    </w:p>
    <w:p w14:paraId="3D92F1E7" w14:textId="77777777" w:rsid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تقوم الشركة بنقل المنتجات عبر مجموعة واسعة من البلدان، وبالتالي فهي معرضة لمخاطر انقطاع الأعمال بسبب الظروف السياسية في البلدان الأجنبية، والأعمال العدائية، والإضرابات العمالية، ودعوات المقاطعة، والتغيرات في معدلات الضرائب أو السياسات، وإمكانية مصادرة الحكومة لسفن الشركة. إن العديد من البلدان التي تعمل فيها الشركة ليس لديها أنظمة قانونية وآليات إنفاذ قانون بالشكل الكافي، مما قد يعرض الشركة لحالات من عدم اليقين، مما قد يؤدي، على وجه الخصوص، إلى احتجاز سفن الشركة، ونشوء مطالبات البضائع ومطالبات من قبل السلطات الجمركية والضريبية والموانئ وغيرها من السلطات في البلدان التي تعمل فيها الشركة</w:t>
      </w:r>
      <w:r w:rsidRPr="009726AD">
        <w:rPr>
          <w:rFonts w:ascii="Traditional Arabic" w:hAnsi="Traditional Arabic" w:cs="Traditional Arabic"/>
          <w:b/>
          <w:sz w:val="30"/>
          <w:szCs w:val="30"/>
          <w:lang w:bidi="ar-EG"/>
        </w:rPr>
        <w:t>.</w:t>
      </w:r>
    </w:p>
    <w:p w14:paraId="49570941" w14:textId="77777777" w:rsidR="00580B37" w:rsidRPr="009726AD" w:rsidRDefault="00580B37" w:rsidP="00580B37">
      <w:pPr>
        <w:bidi/>
        <w:jc w:val="both"/>
        <w:rPr>
          <w:rFonts w:ascii="Traditional Arabic" w:hAnsi="Traditional Arabic" w:cs="Traditional Arabic"/>
          <w:b/>
          <w:sz w:val="30"/>
          <w:szCs w:val="30"/>
          <w:rtl/>
          <w:lang w:bidi="ar-EG"/>
        </w:rPr>
      </w:pPr>
    </w:p>
    <w:p w14:paraId="2B0AD064"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بالإضافة إلى ذلك، قد توجد في بعض البلدان التي تعمل فيها الشركة بعض الممارسات التجارية المحظورة بموجب القوانين واللوائح المعمول بها في الشركة، بما في ذلك قوانين مكافحة الفساد. وقد ضعت الشركة ما تعتبره سياسات وإجراءات صارمة لمكافحة الرشوة والفساد، وتُلزمها بالامتثال لهذه القوانين والتدابير. ومع ذلك، قد يسلك موظفو الشركة والمقاولون الخارجيون مسلكا مخالفا للقوانين المعمول بها أو سياسات الشركة. وقد يكون للمخالفة المشار إليها سابقا، حتى لو حظرتها سياسات الشركة، تأثير سلبي جوهري على أعمال الشركة وسمعتها</w:t>
      </w:r>
      <w:r w:rsidRPr="009726AD">
        <w:rPr>
          <w:rFonts w:ascii="Traditional Arabic" w:hAnsi="Traditional Arabic" w:cs="Traditional Arabic"/>
          <w:b/>
          <w:sz w:val="30"/>
          <w:szCs w:val="30"/>
          <w:lang w:bidi="ar-EG"/>
        </w:rPr>
        <w:t xml:space="preserve">. </w:t>
      </w:r>
    </w:p>
    <w:p w14:paraId="58E954A2" w14:textId="77777777" w:rsidR="00580B37" w:rsidRPr="009726AD" w:rsidRDefault="00580B37" w:rsidP="00580B37">
      <w:pPr>
        <w:bidi/>
        <w:jc w:val="both"/>
        <w:rPr>
          <w:rFonts w:ascii="Traditional Arabic" w:hAnsi="Traditional Arabic" w:cs="Traditional Arabic"/>
          <w:b/>
          <w:sz w:val="30"/>
          <w:szCs w:val="30"/>
          <w:rtl/>
          <w:lang w:bidi="ar-EG"/>
        </w:rPr>
      </w:pPr>
    </w:p>
    <w:p w14:paraId="0A60AF8F"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علاوة على ذلك، فإن العقوبات المفروضة على بعض البلدان أو الشركات أو الأفراد من قبل دولة بمفردها مثل الولايات المتحدة، أو من قبل هيئات دولية وإقليمية، مثل الأمم المتحدة والاتحاد الأوروبي، يمكن أن تؤثر سلبًا في المستقبل على قدرة الشركة على مزاولة التجارة مع تلك البلدان والشركات الخاضعة للعقوبات أو الأفراد المتأثرين بهذه العقوبات. وقد يكون لأي من العوامل المذكورة أعلاه تأثير سلبي جوهري على سمعة الشركة وأعمالها ونتائج عملياتها ووضعها المالي وتوقعاتها</w:t>
      </w:r>
      <w:r w:rsidRPr="009726AD">
        <w:rPr>
          <w:rFonts w:ascii="Traditional Arabic" w:hAnsi="Traditional Arabic" w:cs="Traditional Arabic"/>
          <w:b/>
          <w:sz w:val="30"/>
          <w:szCs w:val="30"/>
          <w:lang w:bidi="ar-EG"/>
        </w:rPr>
        <w:t xml:space="preserve">. </w:t>
      </w:r>
    </w:p>
    <w:p w14:paraId="3A3BB939" w14:textId="77777777" w:rsidR="00580B37" w:rsidRPr="009726AD" w:rsidRDefault="00580B37" w:rsidP="00580B37">
      <w:pPr>
        <w:bidi/>
        <w:jc w:val="both"/>
        <w:rPr>
          <w:rFonts w:ascii="Traditional Arabic" w:hAnsi="Traditional Arabic" w:cs="Traditional Arabic"/>
          <w:b/>
          <w:sz w:val="30"/>
          <w:szCs w:val="30"/>
          <w:rtl/>
          <w:lang w:bidi="ar-EG"/>
        </w:rPr>
      </w:pPr>
    </w:p>
    <w:p w14:paraId="203D82FF" w14:textId="77777777" w:rsidR="009726AD" w:rsidRPr="00272B36" w:rsidRDefault="009726AD" w:rsidP="009726AD">
      <w:pPr>
        <w:bidi/>
        <w:jc w:val="both"/>
        <w:rPr>
          <w:rFonts w:ascii="Traditional Arabic" w:hAnsi="Traditional Arabic" w:cs="Traditional Arabic"/>
          <w:bCs/>
          <w:sz w:val="30"/>
          <w:szCs w:val="30"/>
          <w:rtl/>
          <w:lang w:bidi="ar-EG"/>
        </w:rPr>
      </w:pPr>
      <w:r w:rsidRPr="00272B36">
        <w:rPr>
          <w:rFonts w:ascii="Traditional Arabic" w:hAnsi="Traditional Arabic" w:cs="Traditional Arabic"/>
          <w:bCs/>
          <w:sz w:val="30"/>
          <w:szCs w:val="30"/>
          <w:rtl/>
          <w:lang w:bidi="ar-EG"/>
        </w:rPr>
        <w:t>15</w:t>
      </w:r>
      <w:r w:rsidRPr="00272B36">
        <w:rPr>
          <w:rFonts w:ascii="Traditional Arabic" w:hAnsi="Traditional Arabic" w:cs="Traditional Arabic"/>
          <w:bCs/>
          <w:sz w:val="30"/>
          <w:szCs w:val="30"/>
          <w:lang w:bidi="ar-EG"/>
        </w:rPr>
        <w:t>.</w:t>
      </w:r>
      <w:r w:rsidRPr="00272B36">
        <w:rPr>
          <w:rFonts w:ascii="Traditional Arabic" w:hAnsi="Traditional Arabic" w:cs="Traditional Arabic"/>
          <w:bCs/>
          <w:sz w:val="30"/>
          <w:szCs w:val="30"/>
          <w:lang w:bidi="ar-EG"/>
        </w:rPr>
        <w:tab/>
      </w:r>
      <w:r w:rsidRPr="00272B36">
        <w:rPr>
          <w:rFonts w:ascii="Traditional Arabic" w:hAnsi="Traditional Arabic" w:cs="Traditional Arabic"/>
          <w:bCs/>
          <w:sz w:val="30"/>
          <w:szCs w:val="30"/>
          <w:rtl/>
          <w:lang w:bidi="ar-EG"/>
        </w:rPr>
        <w:t>قد تشارك الشركة في دعاوى قضائية، وقد يُفصل فيها لغير صالحها</w:t>
      </w:r>
    </w:p>
    <w:p w14:paraId="72D72875" w14:textId="77777777" w:rsidR="00580B37" w:rsidRDefault="00580B37" w:rsidP="009726AD">
      <w:pPr>
        <w:bidi/>
        <w:jc w:val="both"/>
        <w:rPr>
          <w:rFonts w:ascii="Traditional Arabic" w:hAnsi="Traditional Arabic" w:cs="Traditional Arabic"/>
          <w:b/>
          <w:sz w:val="30"/>
          <w:szCs w:val="30"/>
          <w:rtl/>
          <w:lang w:bidi="ar-EG"/>
        </w:rPr>
      </w:pPr>
    </w:p>
    <w:p w14:paraId="4337F6B5" w14:textId="77777777" w:rsidR="009726AD" w:rsidRDefault="009726AD" w:rsidP="00580B37">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دخلت الشركة طرفًا في بعض الدعاوى العادية وقد تدخل في المستقبل في دعاوى مختلفة. وقد تكون التعويضات المطالب بها بموجب الدعاوى القضائية التي تكون الشركة طرفاً فيها تعويضات جوهرية أو غير محددة، وقد تؤثر نتيجة هذه الدعاوى تأثيراً جوهرياً وسلبياً على أعمال الشركة ووضعها المالي ونتائج عملياتها وتوقعاتها. ويمكن أن تُسفر نتائج هذه الدعاوى عن تكاليف كبيرة (بما في ذلك العقوبات المدنية أو الجنائية أو التعويضات أو فرض قيود على تجارة الاستيراد) وقد يتطلب الأمر موارد مالية كبيرة وغيرها من الموارد لحل الأمر، وقد يتشتت انتباه الإدارة في محاولة الدفاع ضد هذه الدعاوى</w:t>
      </w:r>
      <w:r w:rsidRPr="009726AD">
        <w:rPr>
          <w:rFonts w:ascii="Traditional Arabic" w:hAnsi="Traditional Arabic" w:cs="Traditional Arabic"/>
          <w:b/>
          <w:sz w:val="30"/>
          <w:szCs w:val="30"/>
          <w:lang w:bidi="ar-EG"/>
        </w:rPr>
        <w:t>.</w:t>
      </w:r>
    </w:p>
    <w:p w14:paraId="55004E4D" w14:textId="77777777" w:rsidR="00580B37" w:rsidRPr="009726AD" w:rsidRDefault="00580B37" w:rsidP="00580B37">
      <w:pPr>
        <w:bidi/>
        <w:jc w:val="both"/>
        <w:rPr>
          <w:rFonts w:ascii="Traditional Arabic" w:hAnsi="Traditional Arabic" w:cs="Traditional Arabic"/>
          <w:b/>
          <w:sz w:val="30"/>
          <w:szCs w:val="30"/>
          <w:rtl/>
          <w:lang w:bidi="ar-EG"/>
        </w:rPr>
      </w:pPr>
    </w:p>
    <w:p w14:paraId="07C8C3EE"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بالإضافة إلى ذلك، تخضع الشركة لمخاطر التقاضي أو الإجراءات التنظيمية فيما يتعلق بأنشطتها، بما في ذلك انتهاكات القوانين واللوائح الضريبية والبيئية والصحية والسلامة المعمول بها وغيرها من القوانين واللوائح. وقد تؤدي أي إجراءات تنظيمية ضد الشركة إلى فرض غرامات عليها أو إلغاء أو تقييد تراخيص التشغيل الخاصة بها أو فرض عقوبات أخرى عليها، وبالتالي سيكون لذلك تأثير سلبي جوهري على أعمال الشركة ووضعها المالي ونتائج عملياتها وتوقعاتها</w:t>
      </w:r>
      <w:r w:rsidRPr="009726AD">
        <w:rPr>
          <w:rFonts w:ascii="Traditional Arabic" w:hAnsi="Traditional Arabic" w:cs="Traditional Arabic"/>
          <w:b/>
          <w:sz w:val="30"/>
          <w:szCs w:val="30"/>
          <w:lang w:bidi="ar-EG"/>
        </w:rPr>
        <w:t xml:space="preserve">. </w:t>
      </w:r>
    </w:p>
    <w:p w14:paraId="3C1140C7" w14:textId="77777777" w:rsidR="00580B37" w:rsidRDefault="00580B37" w:rsidP="009726AD">
      <w:pPr>
        <w:bidi/>
        <w:jc w:val="both"/>
        <w:rPr>
          <w:rFonts w:ascii="Traditional Arabic" w:hAnsi="Traditional Arabic" w:cs="Traditional Arabic"/>
          <w:b/>
          <w:sz w:val="30"/>
          <w:szCs w:val="30"/>
          <w:rtl/>
          <w:lang w:bidi="ar-EG"/>
        </w:rPr>
      </w:pPr>
    </w:p>
    <w:p w14:paraId="7CEED86C" w14:textId="77777777" w:rsidR="009726AD" w:rsidRDefault="009726AD" w:rsidP="00580B37">
      <w:pPr>
        <w:bidi/>
        <w:jc w:val="both"/>
        <w:rPr>
          <w:rFonts w:ascii="Traditional Arabic" w:hAnsi="Traditional Arabic" w:cs="Traditional Arabic"/>
          <w:bCs/>
          <w:sz w:val="30"/>
          <w:szCs w:val="30"/>
          <w:rtl/>
          <w:lang w:bidi="ar-EG"/>
        </w:rPr>
      </w:pPr>
      <w:r w:rsidRPr="00580B37">
        <w:rPr>
          <w:rFonts w:ascii="Traditional Arabic" w:hAnsi="Traditional Arabic" w:cs="Traditional Arabic"/>
          <w:bCs/>
          <w:sz w:val="30"/>
          <w:szCs w:val="30"/>
          <w:rtl/>
          <w:lang w:bidi="ar-EG"/>
        </w:rPr>
        <w:t>المخاطر المتعلقة بأعمال الشركة</w:t>
      </w:r>
    </w:p>
    <w:p w14:paraId="71F1A809" w14:textId="77777777" w:rsidR="00580B37" w:rsidRPr="00580B37" w:rsidRDefault="00580B37" w:rsidP="00580B37">
      <w:pPr>
        <w:bidi/>
        <w:jc w:val="both"/>
        <w:rPr>
          <w:rFonts w:ascii="Traditional Arabic" w:hAnsi="Traditional Arabic" w:cs="Traditional Arabic"/>
          <w:bCs/>
          <w:sz w:val="30"/>
          <w:szCs w:val="30"/>
          <w:rtl/>
          <w:lang w:bidi="ar-EG"/>
        </w:rPr>
      </w:pPr>
    </w:p>
    <w:p w14:paraId="5EC84466" w14:textId="77777777" w:rsidR="009726AD" w:rsidRPr="00CF3C9A" w:rsidRDefault="009726AD" w:rsidP="009726AD">
      <w:pPr>
        <w:bidi/>
        <w:jc w:val="both"/>
        <w:rPr>
          <w:rFonts w:ascii="Traditional Arabic" w:hAnsi="Traditional Arabic" w:cs="Traditional Arabic"/>
          <w:bCs/>
          <w:sz w:val="30"/>
          <w:szCs w:val="30"/>
          <w:rtl/>
          <w:lang w:bidi="ar-EG"/>
        </w:rPr>
      </w:pPr>
      <w:r w:rsidRPr="00CF3C9A">
        <w:rPr>
          <w:rFonts w:ascii="Traditional Arabic" w:hAnsi="Traditional Arabic" w:cs="Traditional Arabic"/>
          <w:bCs/>
          <w:sz w:val="30"/>
          <w:szCs w:val="30"/>
          <w:rtl/>
          <w:lang w:bidi="ar-EG"/>
        </w:rPr>
        <w:t>16</w:t>
      </w:r>
      <w:r w:rsidRPr="00CF3C9A">
        <w:rPr>
          <w:rFonts w:ascii="Traditional Arabic" w:hAnsi="Traditional Arabic" w:cs="Traditional Arabic"/>
          <w:bCs/>
          <w:sz w:val="30"/>
          <w:szCs w:val="30"/>
          <w:lang w:bidi="ar-EG"/>
        </w:rPr>
        <w:t>.</w:t>
      </w:r>
      <w:r w:rsidRPr="00CF3C9A">
        <w:rPr>
          <w:rFonts w:ascii="Traditional Arabic" w:hAnsi="Traditional Arabic" w:cs="Traditional Arabic"/>
          <w:bCs/>
          <w:sz w:val="30"/>
          <w:szCs w:val="30"/>
          <w:lang w:bidi="ar-EG"/>
        </w:rPr>
        <w:tab/>
      </w:r>
      <w:r w:rsidRPr="00CF3C9A">
        <w:rPr>
          <w:rFonts w:ascii="Traditional Arabic" w:hAnsi="Traditional Arabic" w:cs="Traditional Arabic"/>
          <w:bCs/>
          <w:sz w:val="30"/>
          <w:szCs w:val="30"/>
          <w:rtl/>
          <w:lang w:bidi="ar-EG"/>
        </w:rPr>
        <w:t>تعتمد الشركة على عدد صغير من العملاء الرئيسيين الذين يمثلون جزءًا كبيرًا من إيراداتها</w:t>
      </w:r>
      <w:r w:rsidR="00CF3C9A" w:rsidRPr="00CF3C9A">
        <w:rPr>
          <w:rFonts w:ascii="Traditional Arabic" w:hAnsi="Traditional Arabic" w:cs="Traditional Arabic" w:hint="cs"/>
          <w:bCs/>
          <w:sz w:val="30"/>
          <w:szCs w:val="30"/>
          <w:rtl/>
          <w:lang w:bidi="ar-EG"/>
        </w:rPr>
        <w:t>.</w:t>
      </w:r>
      <w:r w:rsidRPr="00CF3C9A">
        <w:rPr>
          <w:rFonts w:ascii="Traditional Arabic" w:hAnsi="Traditional Arabic" w:cs="Traditional Arabic"/>
          <w:bCs/>
          <w:sz w:val="30"/>
          <w:szCs w:val="30"/>
          <w:rtl/>
          <w:lang w:bidi="ar-EG"/>
        </w:rPr>
        <w:t xml:space="preserve"> </w:t>
      </w:r>
    </w:p>
    <w:p w14:paraId="43F4E2E2" w14:textId="77777777" w:rsidR="00580B37" w:rsidRDefault="00580B37" w:rsidP="009726AD">
      <w:pPr>
        <w:bidi/>
        <w:jc w:val="both"/>
        <w:rPr>
          <w:rFonts w:ascii="Traditional Arabic" w:hAnsi="Traditional Arabic" w:cs="Traditional Arabic"/>
          <w:b/>
          <w:sz w:val="30"/>
          <w:szCs w:val="30"/>
          <w:rtl/>
          <w:lang w:bidi="ar-EG"/>
        </w:rPr>
      </w:pPr>
    </w:p>
    <w:p w14:paraId="24B0CC2C" w14:textId="77777777" w:rsidR="009726AD" w:rsidRDefault="001B0A67" w:rsidP="00580B37">
      <w:pPr>
        <w:bidi/>
        <w:jc w:val="both"/>
        <w:rPr>
          <w:rFonts w:ascii="Traditional Arabic" w:hAnsi="Traditional Arabic" w:cs="Traditional Arabic"/>
          <w:b/>
          <w:sz w:val="30"/>
          <w:szCs w:val="30"/>
          <w:rtl/>
          <w:lang w:bidi="ar-EG"/>
        </w:rPr>
      </w:pPr>
      <w:r w:rsidRPr="001B0A67">
        <w:rPr>
          <w:rFonts w:ascii="Traditional Arabic" w:hAnsi="Traditional Arabic" w:cs="Traditional Arabic"/>
          <w:b/>
          <w:sz w:val="30"/>
          <w:szCs w:val="30"/>
          <w:rtl/>
          <w:lang w:bidi="ar-EG"/>
        </w:rPr>
        <w:t>وتستمد جزءًا كبيرًا من إيراداتها من مجموعة صغيرة نسبيًا من الشركات الوطنية والدولية. وقد شكل أكبر عميل للشركة ما نسبته 10 في المائة من إيراداتها للسنة المنتهية في 31 ديسمبر 2023، وشكل أكبر ثلاثة عملاء للشركة 23.0 في المائة من إيراداتها خلال نفس الفترة.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إذا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قام</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عميل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أو</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أكثر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من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هؤلاء</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العملاء</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الرئيسيين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بمخالفة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أو</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إنهاء</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عقود</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إيجار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السفن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المجهزة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بالمدة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لمبرمة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معهم</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أو</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إعادة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التفاوض</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عليها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أو</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تجديدها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بشروط</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أقل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ملاءمة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من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تلك</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المعمول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بها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حاليًا،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أو</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إذا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قام</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من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هؤلاء</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العملاء</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بتقليل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حجم</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الأعما</w:t>
      </w:r>
      <w:r w:rsidR="009726AD" w:rsidRPr="009726AD">
        <w:rPr>
          <w:rFonts w:ascii="Traditional Arabic" w:hAnsi="Traditional Arabic" w:cs="Traditional Arabic"/>
          <w:b/>
          <w:sz w:val="30"/>
          <w:szCs w:val="30"/>
          <w:rtl/>
          <w:lang w:bidi="ar-EG"/>
        </w:rPr>
        <w:t>ل التي يقومون بها مع الشركة، فقد يكون لذلك تأثير سلبي جوهري على أعمال الشركة ونتائج عملياتها ووضعها المالي وتوقعاتها، بما في ذلك التأثير على القيمة الإجمالية لإيرادات الشركة التي تتحصل عليها من عقود إيجار السفن المجهزة بالمدة</w:t>
      </w:r>
      <w:r w:rsidR="009726AD" w:rsidRPr="009726AD">
        <w:rPr>
          <w:rFonts w:ascii="Traditional Arabic" w:hAnsi="Traditional Arabic" w:cs="Traditional Arabic"/>
          <w:b/>
          <w:sz w:val="30"/>
          <w:szCs w:val="30"/>
          <w:lang w:bidi="ar-EG"/>
        </w:rPr>
        <w:t xml:space="preserve">. </w:t>
      </w:r>
    </w:p>
    <w:p w14:paraId="2D95862F" w14:textId="77777777" w:rsidR="00CF3C9A" w:rsidRPr="009726AD" w:rsidRDefault="00CF3C9A" w:rsidP="00CF3C9A">
      <w:pPr>
        <w:bidi/>
        <w:jc w:val="both"/>
        <w:rPr>
          <w:rFonts w:ascii="Traditional Arabic" w:hAnsi="Traditional Arabic" w:cs="Traditional Arabic"/>
          <w:b/>
          <w:sz w:val="30"/>
          <w:szCs w:val="30"/>
          <w:rtl/>
          <w:lang w:bidi="ar-EG"/>
        </w:rPr>
      </w:pPr>
    </w:p>
    <w:p w14:paraId="5C497684" w14:textId="77777777" w:rsidR="009726AD" w:rsidRDefault="009726AD" w:rsidP="009726AD">
      <w:pPr>
        <w:bidi/>
        <w:jc w:val="both"/>
        <w:rPr>
          <w:rFonts w:ascii="Traditional Arabic" w:hAnsi="Traditional Arabic" w:cs="Traditional Arabic"/>
          <w:b/>
          <w:sz w:val="30"/>
          <w:szCs w:val="30"/>
          <w:rtl/>
          <w:lang w:bidi="ar-EG"/>
        </w:rPr>
      </w:pPr>
      <w:r w:rsidRPr="00191F09">
        <w:rPr>
          <w:rFonts w:ascii="Traditional Arabic" w:hAnsi="Traditional Arabic" w:cs="Traditional Arabic"/>
          <w:b/>
          <w:sz w:val="30"/>
          <w:szCs w:val="30"/>
          <w:rtl/>
          <w:lang w:bidi="ar-EG"/>
        </w:rPr>
        <w:t xml:space="preserve">بالإضافة إلى ذلك، لا يوجد ما يضمن أن هؤلاء العملاء سيجددون عقود إيجار السفن المجهزة بالمدة الحالية أو سيبرمون عقود إيجار مستقبلية مع الشركة، أو أن عقود الإيجار المستقبلية ستكون بنفس المزايا والفوائد التي تم التفاوض عليها في العقود الحالية أو السابقة. وإذا انخفض الطلب على خدمات أو منتجات الشركة من قبل أي من عملائها الرئيسيين، أو إذا تم إنهاء عقد إيجار رئيسي لسفينة مجهزة بالمدة أو إذا كان أحد العملاء الرئيسيين أو عقد الإيجار أقل ربحية مما تتوقعه الشركة، فلا يوجد ما </w:t>
      </w:r>
      <w:r w:rsidRPr="00191F09">
        <w:rPr>
          <w:rFonts w:ascii="Traditional Arabic" w:hAnsi="Traditional Arabic" w:cs="Traditional Arabic"/>
          <w:b/>
          <w:sz w:val="30"/>
          <w:szCs w:val="30"/>
          <w:rtl/>
          <w:lang w:bidi="ar-EG"/>
        </w:rPr>
        <w:lastRenderedPageBreak/>
        <w:t xml:space="preserve">يضمن بأن الشركة ستكون قادرة على العثور على عملاء جدد للسفن المتأثرة في الوقت المناسب، أو العثور عليهم أصلا، لا سيما تلك التي تم بناؤها لتناسب متطلبات عميل معين، كما هو الحال بالنسبة لأربع ناقلات خام عملاقة تابعة للشركة (400000 طن ساكن (الحمولة القصوى بالطن) لكل ناقلة خام عملاقة) التي تم </w:t>
      </w:r>
      <w:r w:rsidR="000F4E21" w:rsidRPr="00191F09">
        <w:rPr>
          <w:rFonts w:ascii="Traditional Arabic" w:hAnsi="Traditional Arabic" w:cs="Traditional Arabic" w:hint="cs"/>
          <w:b/>
          <w:sz w:val="30"/>
          <w:szCs w:val="30"/>
          <w:rtl/>
          <w:lang w:bidi="ar-EG"/>
        </w:rPr>
        <w:t>تأجيرها</w:t>
      </w:r>
      <w:r w:rsidRPr="00191F09">
        <w:rPr>
          <w:rFonts w:ascii="Traditional Arabic" w:hAnsi="Traditional Arabic" w:cs="Traditional Arabic"/>
          <w:b/>
          <w:sz w:val="30"/>
          <w:szCs w:val="30"/>
          <w:rtl/>
          <w:lang w:bidi="ar-EG"/>
        </w:rPr>
        <w:t xml:space="preserve"> </w:t>
      </w:r>
      <w:r w:rsidRPr="00B934CE">
        <w:rPr>
          <w:rFonts w:ascii="Traditional Arabic" w:hAnsi="Traditional Arabic" w:cs="Traditional Arabic"/>
          <w:b/>
          <w:sz w:val="30"/>
          <w:szCs w:val="30"/>
          <w:rtl/>
          <w:lang w:bidi="ar-EG"/>
        </w:rPr>
        <w:t>لشركة فال</w:t>
      </w:r>
      <w:r w:rsidRPr="00191F09">
        <w:rPr>
          <w:rFonts w:ascii="Traditional Arabic" w:hAnsi="Traditional Arabic" w:cs="Traditional Arabic"/>
          <w:b/>
          <w:sz w:val="30"/>
          <w:szCs w:val="30"/>
          <w:rtl/>
          <w:lang w:bidi="ar-EG"/>
        </w:rPr>
        <w:t xml:space="preserve"> لمدة 20 عامًا، ولا يوجد ما يضمن بأن الشركة ستكون قادرة على استبدال عقود إيجار السفن المجهزة بالمدة هذه مع عملاء جدد بشروط متساوية أو أكثر ملاءمة</w:t>
      </w:r>
      <w:r w:rsidRPr="00191F09">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 xml:space="preserve"> </w:t>
      </w:r>
    </w:p>
    <w:p w14:paraId="09547DB3" w14:textId="77777777" w:rsidR="00CF3C9A" w:rsidRPr="009726AD" w:rsidRDefault="00CF3C9A" w:rsidP="00CF3C9A">
      <w:pPr>
        <w:bidi/>
        <w:jc w:val="both"/>
        <w:rPr>
          <w:rFonts w:ascii="Traditional Arabic" w:hAnsi="Traditional Arabic" w:cs="Traditional Arabic"/>
          <w:b/>
          <w:sz w:val="30"/>
          <w:szCs w:val="30"/>
          <w:rtl/>
          <w:lang w:bidi="ar-EG"/>
        </w:rPr>
      </w:pPr>
    </w:p>
    <w:p w14:paraId="0966E40B"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ورغم أن الشركة متفائلة دائما بقدرتها على إعادة تأجير معظم سفنها، فإنها إذا لم تتمكن من القيام بذلك في الوقت المناسب أو أن تقوم بذلك أصلا إذا كان عليها تكبد تكاليف مادية لإعادة تأهيل سفنها المتضررة، أو إذا كانت الشركة غير قادرة على تأجير سفنها ذات المواصفات الخاصة بعد انتهاء مدة عقود إيجار السفن المجهزة بالمدة المعمول بها، أو إذا كان عليها أن تشطب قيمتها أو تبيعها بخسارة، فقد تتأثر أعمال الشركة ونتائج عملياتها ووضعها المالي وتوقعاتها سلبًا بشكل جوهري</w:t>
      </w:r>
      <w:r w:rsidRPr="009726AD">
        <w:rPr>
          <w:rFonts w:ascii="Traditional Arabic" w:hAnsi="Traditional Arabic" w:cs="Traditional Arabic"/>
          <w:b/>
          <w:sz w:val="30"/>
          <w:szCs w:val="30"/>
          <w:lang w:bidi="ar-EG"/>
        </w:rPr>
        <w:t>.</w:t>
      </w:r>
    </w:p>
    <w:p w14:paraId="4B472D52" w14:textId="77777777" w:rsidR="00CF3C9A" w:rsidRPr="009726AD" w:rsidRDefault="00CF3C9A" w:rsidP="00CF3C9A">
      <w:pPr>
        <w:bidi/>
        <w:jc w:val="both"/>
        <w:rPr>
          <w:rFonts w:ascii="Traditional Arabic" w:hAnsi="Traditional Arabic" w:cs="Traditional Arabic"/>
          <w:b/>
          <w:sz w:val="30"/>
          <w:szCs w:val="30"/>
          <w:rtl/>
          <w:lang w:bidi="ar-EG"/>
        </w:rPr>
      </w:pPr>
    </w:p>
    <w:p w14:paraId="04A28CE4" w14:textId="77777777" w:rsidR="009726AD" w:rsidRPr="00CF3C9A" w:rsidRDefault="009726AD" w:rsidP="009726AD">
      <w:pPr>
        <w:bidi/>
        <w:jc w:val="both"/>
        <w:rPr>
          <w:rFonts w:ascii="Traditional Arabic" w:hAnsi="Traditional Arabic" w:cs="Traditional Arabic"/>
          <w:bCs/>
          <w:sz w:val="30"/>
          <w:szCs w:val="30"/>
          <w:rtl/>
          <w:lang w:bidi="ar-EG"/>
        </w:rPr>
      </w:pPr>
      <w:r w:rsidRPr="009726AD">
        <w:rPr>
          <w:rFonts w:ascii="Traditional Arabic" w:hAnsi="Traditional Arabic" w:cs="Traditional Arabic"/>
          <w:b/>
          <w:sz w:val="30"/>
          <w:szCs w:val="30"/>
          <w:rtl/>
          <w:lang w:bidi="ar-EG"/>
        </w:rPr>
        <w:t>1</w:t>
      </w:r>
      <w:r w:rsidRPr="00CF3C9A">
        <w:rPr>
          <w:rFonts w:ascii="Traditional Arabic" w:hAnsi="Traditional Arabic" w:cs="Traditional Arabic"/>
          <w:bCs/>
          <w:sz w:val="30"/>
          <w:szCs w:val="30"/>
          <w:rtl/>
          <w:lang w:bidi="ar-EG"/>
        </w:rPr>
        <w:t>7</w:t>
      </w:r>
      <w:r w:rsidRPr="00CF3C9A">
        <w:rPr>
          <w:rFonts w:ascii="Traditional Arabic" w:hAnsi="Traditional Arabic" w:cs="Traditional Arabic"/>
          <w:bCs/>
          <w:sz w:val="30"/>
          <w:szCs w:val="30"/>
          <w:lang w:bidi="ar-EG"/>
        </w:rPr>
        <w:t>.</w:t>
      </w:r>
      <w:r w:rsidRPr="00CF3C9A">
        <w:rPr>
          <w:rFonts w:ascii="Traditional Arabic" w:hAnsi="Traditional Arabic" w:cs="Traditional Arabic"/>
          <w:bCs/>
          <w:sz w:val="30"/>
          <w:szCs w:val="30"/>
          <w:lang w:bidi="ar-EG"/>
        </w:rPr>
        <w:tab/>
      </w:r>
      <w:r w:rsidRPr="00CF3C9A">
        <w:rPr>
          <w:rFonts w:ascii="Traditional Arabic" w:hAnsi="Traditional Arabic" w:cs="Traditional Arabic"/>
          <w:bCs/>
          <w:sz w:val="30"/>
          <w:szCs w:val="30"/>
          <w:rtl/>
          <w:lang w:bidi="ar-EG"/>
        </w:rPr>
        <w:t>ارتفاع أسعار الوقود البحري قد يكون له تأثير سلبي على ربحية الشركة</w:t>
      </w:r>
      <w:r w:rsidRPr="00CF3C9A">
        <w:rPr>
          <w:rFonts w:ascii="Traditional Arabic" w:hAnsi="Traditional Arabic" w:cs="Traditional Arabic"/>
          <w:bCs/>
          <w:sz w:val="30"/>
          <w:szCs w:val="30"/>
          <w:lang w:bidi="ar-EG"/>
        </w:rPr>
        <w:t>.</w:t>
      </w:r>
    </w:p>
    <w:p w14:paraId="6B03C218" w14:textId="77777777" w:rsidR="00CF3C9A" w:rsidRDefault="00CF3C9A" w:rsidP="009726AD">
      <w:pPr>
        <w:bidi/>
        <w:jc w:val="both"/>
        <w:rPr>
          <w:rFonts w:ascii="Traditional Arabic" w:hAnsi="Traditional Arabic" w:cs="Traditional Arabic"/>
          <w:b/>
          <w:sz w:val="30"/>
          <w:szCs w:val="30"/>
          <w:rtl/>
          <w:lang w:bidi="ar-EG"/>
        </w:rPr>
      </w:pPr>
    </w:p>
    <w:p w14:paraId="0A3A0690"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الشركة حساسة للتغيرات في سعر الوقود البحري. ففي السنة المنتهية في 31 ديسمبر 2023، شكل الوقود البحري ما نسبته 52.7 في المائة من تكاليف تشغيل رحلات الشركة. ومن المعلوم أن سعر الوقود البحري والمعروض منه يتأثران </w:t>
      </w:r>
      <w:r w:rsidR="009948EA">
        <w:rPr>
          <w:rFonts w:ascii="Traditional Arabic" w:hAnsi="Traditional Arabic" w:cs="Traditional Arabic" w:hint="cs"/>
          <w:b/>
          <w:sz w:val="30"/>
          <w:szCs w:val="30"/>
          <w:rtl/>
          <w:lang w:bidi="ar-EG"/>
        </w:rPr>
        <w:t>ويتذبذبان</w:t>
      </w:r>
      <w:r w:rsidR="009948EA"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b/>
          <w:sz w:val="30"/>
          <w:szCs w:val="30"/>
          <w:rtl/>
          <w:lang w:bidi="ar-EG"/>
        </w:rPr>
        <w:t>بناءً على الأحداث الخارجة عن سيطرة الشركة، بما في ذلك التطورات الاقتصادية والجيوسياسية، والعرض والطلب على النفط والغاز، والإجراءات التي تتخذها منظمة أوبك وغيرها من منتجي النفط والغاز، والحروب والاضطرابات في البلدان والمناطق المنتجة للنفط، وأنماط الإنتاج الإقليمية والمخاوف واللوائح البيئية (بما في ذلك اللوائح التي تُلزم السفن باستخدام أنواع وقود بديلة أعلى تكلفة). إن أي زيادة كبيرة أو مستمرة في سعر الوقود البحري، بما في ذلك نتيجة لانخفاض العرض، والتي لا تستطيع الشركة استردادها من خلال ترتيباتها التعاقدية مع عملائها، يمكن أن تزيد من تكاليف تشغيل رحلات الشركة أو تقلل من الطلب على خدمات النقل البحري بشكل عام، وقد يكون لأي منهما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6F1A6EE4" w14:textId="77777777" w:rsidR="00CF3C9A" w:rsidRPr="009726AD" w:rsidRDefault="00CF3C9A" w:rsidP="00CF3C9A">
      <w:pPr>
        <w:bidi/>
        <w:jc w:val="both"/>
        <w:rPr>
          <w:rFonts w:ascii="Traditional Arabic" w:hAnsi="Traditional Arabic" w:cs="Traditional Arabic"/>
          <w:b/>
          <w:sz w:val="30"/>
          <w:szCs w:val="30"/>
          <w:rtl/>
          <w:lang w:bidi="ar-EG"/>
        </w:rPr>
      </w:pPr>
    </w:p>
    <w:p w14:paraId="641D23F3"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18</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قد يكون الإرساء في الحوض الجاف لإجراء الصيانة والفحص وتعطل سفن الشركة بشكل غير متوقع أكثر تكلفة واستهلاكًا للوقت مما تتوقعه الشركة</w:t>
      </w:r>
      <w:r w:rsidRPr="00840EB1">
        <w:rPr>
          <w:rFonts w:ascii="Traditional Arabic" w:hAnsi="Traditional Arabic" w:cs="Traditional Arabic"/>
          <w:bCs/>
          <w:sz w:val="30"/>
          <w:szCs w:val="30"/>
          <w:lang w:bidi="ar-EG"/>
        </w:rPr>
        <w:t>.</w:t>
      </w:r>
    </w:p>
    <w:p w14:paraId="4CF91CAF" w14:textId="77777777" w:rsidR="00CF3C9A" w:rsidRDefault="00CF3C9A" w:rsidP="009726AD">
      <w:pPr>
        <w:bidi/>
        <w:jc w:val="both"/>
        <w:rPr>
          <w:rFonts w:ascii="Traditional Arabic" w:hAnsi="Traditional Arabic" w:cs="Traditional Arabic"/>
          <w:b/>
          <w:sz w:val="30"/>
          <w:szCs w:val="30"/>
          <w:rtl/>
          <w:lang w:bidi="ar-EG"/>
        </w:rPr>
      </w:pPr>
    </w:p>
    <w:p w14:paraId="0BCE45A3"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تقوم الشركة بإرساء سفنها بشكل دوري في الحوض الجاف لعدة أسباب، بما في ذلك عمليات الفحص والإصلاح والصيانة والتعديلات المطلوبة للامتثال لشهادات الصناعة البحرية والمتطلبات الحكومية وتغيير الطاقم في الحالات غير المخطط لها. </w:t>
      </w:r>
      <w:r w:rsidRPr="009726AD">
        <w:rPr>
          <w:rFonts w:ascii="Traditional Arabic" w:hAnsi="Traditional Arabic" w:cs="Traditional Arabic"/>
          <w:b/>
          <w:sz w:val="30"/>
          <w:szCs w:val="30"/>
          <w:rtl/>
          <w:lang w:bidi="ar-EG"/>
        </w:rPr>
        <w:lastRenderedPageBreak/>
        <w:t>وبالتالي، يؤدي إرساء سفن الشركة في الأحواض الجافة إلى خسارة الإيرادات بينما تكون السفن المتأثرة أو المتضررة خارج الخدمة، وتتطلب نفقات رأسمالية قد تكون أكبر مما تتوقعه الشركة. وأي زيادة غير متوقعة في عدد الأيام التي تكون فيها السفن المتضررة غير مستأجرة بسبب رسوها في الحوض الجاف أو في التكاليف المتوقعة للإصلاحات المرتبطة بها يمكن أن يكون لها تأثير سلبي على علاقة الشركة مع عميلها المتعاقد معها، وكذلك العوائد المالية المرتبطة بعقد إيجار السفينة المجهزة بالوقت، والتي بدورها يمكن أن يكون لها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03522C73" w14:textId="77777777" w:rsidR="00CF3C9A" w:rsidRPr="009726AD" w:rsidRDefault="00CF3C9A" w:rsidP="00CF3C9A">
      <w:pPr>
        <w:bidi/>
        <w:jc w:val="both"/>
        <w:rPr>
          <w:rFonts w:ascii="Traditional Arabic" w:hAnsi="Traditional Arabic" w:cs="Traditional Arabic"/>
          <w:b/>
          <w:sz w:val="30"/>
          <w:szCs w:val="30"/>
          <w:rtl/>
          <w:lang w:bidi="ar-EG"/>
        </w:rPr>
      </w:pPr>
    </w:p>
    <w:p w14:paraId="027FEE08"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19</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قد يؤدي التأخير في تسليم السفن الجديدة المبنية إلى الإضرار بالنتائج التشغيلية للشركة</w:t>
      </w:r>
      <w:r w:rsidRPr="00840EB1">
        <w:rPr>
          <w:rFonts w:ascii="Traditional Arabic" w:hAnsi="Traditional Arabic" w:cs="Traditional Arabic"/>
          <w:bCs/>
          <w:sz w:val="30"/>
          <w:szCs w:val="30"/>
          <w:lang w:bidi="ar-EG"/>
        </w:rPr>
        <w:t>.</w:t>
      </w:r>
    </w:p>
    <w:p w14:paraId="00DB4982" w14:textId="77777777" w:rsidR="00CF3C9A" w:rsidRDefault="00CF3C9A" w:rsidP="009726AD">
      <w:pPr>
        <w:bidi/>
        <w:jc w:val="both"/>
        <w:rPr>
          <w:rFonts w:ascii="Traditional Arabic" w:hAnsi="Traditional Arabic" w:cs="Traditional Arabic"/>
          <w:b/>
          <w:sz w:val="30"/>
          <w:szCs w:val="30"/>
          <w:rtl/>
          <w:lang w:bidi="ar-EG"/>
        </w:rPr>
      </w:pPr>
    </w:p>
    <w:p w14:paraId="779FA4DC"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كجزء من استراتيجيتها في النمو، طلبت الشركة تسليم ست سفن جديدة (ناقلتان للغاز الطبيعي المسال وأربع ناقلات غاز عملاقة) حتى عام 2028. وقد يتأخر تسليم هذه السفن الجديدة، مما قد يؤدي إلى تأخير استلام الشركة للإيرادات بموجب عقود إيجار السفن المجهزة بالوقت المعمول بها أو العقود الأخرى المرتبطة بالسفن، وقد يؤثر ذلك سلبًا على استراتيجية الشركة في التوسع، وكذلك قدرتها على إيقاف تشغيل السفن القديمة كما هو مقرر حاليًا. وعلى وجه الخصوص، فإنه وفي حالات التأخير المطول يجوز للعميل إنهاء عقد إيجار السفينة، وقد تصبح الشركة مسؤولة عما ينتج عن ذلك من خسارة الإيرادات. علاوة على ذلك، فإن ناقلتي الغاز الطبيعي المسال هما جزء لا يتجزأ من قدرة الشركة على الوفاء بالتزاماتها التعاقدية المستقبلية مع الشركة العمانية للغاز الطبيعي المسال. ويجوز للشركة العمانية للغاز الطبيعي المسال إنهاء هذه الالتزامات التعاقدية لأسباب عديدة، بما في ذلك إذا كانت ناقلتي الغاز الطبيعي المسال الجديدة التابعة للشركة غير قادرتين على تلبية متطلباتهما التشغيلية والقوة القاهرة</w:t>
      </w:r>
      <w:r w:rsidRPr="009726AD">
        <w:rPr>
          <w:rFonts w:ascii="Traditional Arabic" w:hAnsi="Traditional Arabic" w:cs="Traditional Arabic"/>
          <w:b/>
          <w:sz w:val="30"/>
          <w:szCs w:val="30"/>
          <w:lang w:bidi="ar-EG"/>
        </w:rPr>
        <w:t>.</w:t>
      </w:r>
    </w:p>
    <w:p w14:paraId="42847DAE" w14:textId="77777777" w:rsidR="00CF3C9A" w:rsidRPr="009726AD" w:rsidRDefault="00CF3C9A" w:rsidP="00CF3C9A">
      <w:pPr>
        <w:bidi/>
        <w:jc w:val="both"/>
        <w:rPr>
          <w:rFonts w:ascii="Traditional Arabic" w:hAnsi="Traditional Arabic" w:cs="Traditional Arabic"/>
          <w:b/>
          <w:sz w:val="30"/>
          <w:szCs w:val="30"/>
          <w:rtl/>
          <w:lang w:bidi="ar-EG"/>
        </w:rPr>
      </w:pPr>
    </w:p>
    <w:p w14:paraId="6FD647D0"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بالإضافة إلى ذلك، ففي حالة إيجار السفن الجديدة التي أمرت الشركة بتأجيرها للعميل لغرض مخصص، فإنه إذا تأخر تسليم السفينة الجديدة إلى عميل الشركة، فقد يُطلب من الشركة دفع تعويضات اتفاقية خلال التأخير (وقد لا يتم تعويضها بالكامل بأي تعويضات اتفاقية قد يحق للشركة الحصول عليها من شركة بناء السفن) إذا كانت غير قادرة على توفير سفينة بديلة مقبولة (على سبيل المثال، عن طريق الاستئجار) خلال التأخير</w:t>
      </w:r>
      <w:r w:rsidRPr="009726AD">
        <w:rPr>
          <w:rFonts w:ascii="Traditional Arabic" w:hAnsi="Traditional Arabic" w:cs="Traditional Arabic"/>
          <w:b/>
          <w:sz w:val="30"/>
          <w:szCs w:val="30"/>
          <w:lang w:bidi="ar-EG"/>
        </w:rPr>
        <w:t>.</w:t>
      </w:r>
    </w:p>
    <w:p w14:paraId="0A8DDAF8" w14:textId="77777777" w:rsidR="00CF3C9A" w:rsidRDefault="00CF3C9A" w:rsidP="009726AD">
      <w:pPr>
        <w:bidi/>
        <w:jc w:val="both"/>
        <w:rPr>
          <w:rFonts w:ascii="Traditional Arabic" w:hAnsi="Traditional Arabic" w:cs="Traditional Arabic"/>
          <w:b/>
          <w:sz w:val="30"/>
          <w:szCs w:val="30"/>
          <w:rtl/>
          <w:lang w:bidi="ar-EG"/>
        </w:rPr>
      </w:pPr>
    </w:p>
    <w:p w14:paraId="7F161EDA" w14:textId="77777777" w:rsidR="009726AD" w:rsidRP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قد يتأخر ح</w:t>
      </w:r>
      <w:r w:rsidR="00CF3C9A">
        <w:rPr>
          <w:rFonts w:ascii="Traditional Arabic" w:hAnsi="Traditional Arabic" w:cs="Traditional Arabic" w:hint="cs"/>
          <w:b/>
          <w:sz w:val="30"/>
          <w:szCs w:val="30"/>
          <w:rtl/>
          <w:lang w:bidi="ar-EG"/>
        </w:rPr>
        <w:t>و</w:t>
      </w:r>
      <w:r w:rsidRPr="009726AD">
        <w:rPr>
          <w:rFonts w:ascii="Traditional Arabic" w:hAnsi="Traditional Arabic" w:cs="Traditional Arabic"/>
          <w:b/>
          <w:sz w:val="30"/>
          <w:szCs w:val="30"/>
          <w:rtl/>
          <w:lang w:bidi="ar-EG"/>
        </w:rPr>
        <w:t>ض بناء السفن في إكمال وتسليم السفن الجديدة لعدة أسباب، بما في ذلك</w:t>
      </w:r>
      <w:r w:rsidRPr="009726AD">
        <w:rPr>
          <w:rFonts w:ascii="Traditional Arabic" w:hAnsi="Traditional Arabic" w:cs="Traditional Arabic"/>
          <w:b/>
          <w:sz w:val="30"/>
          <w:szCs w:val="30"/>
          <w:lang w:bidi="ar-EG"/>
        </w:rPr>
        <w:t>:</w:t>
      </w:r>
    </w:p>
    <w:p w14:paraId="0EAA8B55"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مشاكل الجودة أو الهندسة</w:t>
      </w:r>
      <w:r w:rsidRPr="009726AD">
        <w:rPr>
          <w:rFonts w:ascii="Traditional Arabic" w:hAnsi="Traditional Arabic" w:cs="Traditional Arabic"/>
          <w:b/>
          <w:sz w:val="30"/>
          <w:szCs w:val="30"/>
          <w:lang w:bidi="ar-EG"/>
        </w:rPr>
        <w:t>.</w:t>
      </w:r>
    </w:p>
    <w:p w14:paraId="3FAFF25A"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التغييرات في اللوائح الحكومية أو معايير التنظيم الذاتي البحري</w:t>
      </w:r>
      <w:r w:rsidRPr="009726AD">
        <w:rPr>
          <w:rFonts w:ascii="Traditional Arabic" w:hAnsi="Traditional Arabic" w:cs="Traditional Arabic"/>
          <w:b/>
          <w:sz w:val="30"/>
          <w:szCs w:val="30"/>
          <w:lang w:bidi="ar-EG"/>
        </w:rPr>
        <w:t>.</w:t>
      </w:r>
    </w:p>
    <w:p w14:paraId="5BF1428E"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الإضرابات عن العمل أو غيرها من الاضطرابات العمالية</w:t>
      </w:r>
      <w:r w:rsidRPr="009726AD">
        <w:rPr>
          <w:rFonts w:ascii="Traditional Arabic" w:hAnsi="Traditional Arabic" w:cs="Traditional Arabic"/>
          <w:b/>
          <w:sz w:val="30"/>
          <w:szCs w:val="30"/>
          <w:lang w:bidi="ar-EG"/>
        </w:rPr>
        <w:t>.</w:t>
      </w:r>
    </w:p>
    <w:p w14:paraId="519335F3"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إفلاس شركة بناء السفن أو أي أزمات مالية أخرى تمر بها</w:t>
      </w:r>
      <w:r w:rsidRPr="009726AD">
        <w:rPr>
          <w:rFonts w:ascii="Traditional Arabic" w:hAnsi="Traditional Arabic" w:cs="Traditional Arabic"/>
          <w:b/>
          <w:sz w:val="30"/>
          <w:szCs w:val="30"/>
          <w:lang w:bidi="ar-EG"/>
        </w:rPr>
        <w:t>.</w:t>
      </w:r>
    </w:p>
    <w:p w14:paraId="1789887E"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lastRenderedPageBreak/>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تراكم طلبات العملاء</w:t>
      </w:r>
      <w:r w:rsidRPr="009726AD">
        <w:rPr>
          <w:rFonts w:ascii="Traditional Arabic" w:hAnsi="Traditional Arabic" w:cs="Traditional Arabic"/>
          <w:b/>
          <w:sz w:val="30"/>
          <w:szCs w:val="30"/>
          <w:lang w:bidi="ar-EG"/>
        </w:rPr>
        <w:t>.</w:t>
      </w:r>
    </w:p>
    <w:p w14:paraId="1245FBC1"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الاضطرابات السياسية أو الاقتصادية</w:t>
      </w:r>
      <w:r w:rsidRPr="009726AD">
        <w:rPr>
          <w:rFonts w:ascii="Traditional Arabic" w:hAnsi="Traditional Arabic" w:cs="Traditional Arabic"/>
          <w:b/>
          <w:sz w:val="30"/>
          <w:szCs w:val="30"/>
          <w:lang w:bidi="ar-EG"/>
        </w:rPr>
        <w:t>.</w:t>
      </w:r>
    </w:p>
    <w:p w14:paraId="21D7D483"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سوء الأحوال الجوية أو الحوادث الكارثية، مثل زلزال كبير أو حريق</w:t>
      </w:r>
      <w:r w:rsidRPr="009726AD">
        <w:rPr>
          <w:rFonts w:ascii="Traditional Arabic" w:hAnsi="Traditional Arabic" w:cs="Traditional Arabic"/>
          <w:b/>
          <w:sz w:val="30"/>
          <w:szCs w:val="30"/>
          <w:lang w:bidi="ar-EG"/>
        </w:rPr>
        <w:t>.</w:t>
      </w:r>
    </w:p>
    <w:p w14:paraId="70005E4F"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طلبات تغيير مواصفات السفينة الأصلية من قبل الشركة</w:t>
      </w:r>
      <w:r w:rsidRPr="009726AD">
        <w:rPr>
          <w:rFonts w:ascii="Traditional Arabic" w:hAnsi="Traditional Arabic" w:cs="Traditional Arabic"/>
          <w:b/>
          <w:sz w:val="30"/>
          <w:szCs w:val="30"/>
          <w:lang w:bidi="ar-EG"/>
        </w:rPr>
        <w:t>.</w:t>
      </w:r>
    </w:p>
    <w:p w14:paraId="592EE9CB"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النقص مواد البناء مثل الصلب أو تأخر استلامها</w:t>
      </w:r>
      <w:r w:rsidRPr="009726AD">
        <w:rPr>
          <w:rFonts w:ascii="Traditional Arabic" w:hAnsi="Traditional Arabic" w:cs="Traditional Arabic"/>
          <w:b/>
          <w:sz w:val="30"/>
          <w:szCs w:val="30"/>
          <w:lang w:bidi="ar-EG"/>
        </w:rPr>
        <w:t>.</w:t>
      </w:r>
    </w:p>
    <w:p w14:paraId="77CBFC91"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عدم قدرة الشركة على تمويل بناء السفن أو تحويلها</w:t>
      </w:r>
      <w:r w:rsidRPr="009726AD">
        <w:rPr>
          <w:rFonts w:ascii="Traditional Arabic" w:hAnsi="Traditional Arabic" w:cs="Traditional Arabic"/>
          <w:b/>
          <w:sz w:val="30"/>
          <w:szCs w:val="30"/>
          <w:lang w:bidi="ar-EG"/>
        </w:rPr>
        <w:t>.</w:t>
      </w:r>
    </w:p>
    <w:p w14:paraId="67A52F20"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عدم القدرة على الحصول على التصاريح أو الموافقات المطلوبة</w:t>
      </w:r>
      <w:r w:rsidRPr="009726AD">
        <w:rPr>
          <w:rFonts w:ascii="Traditional Arabic" w:hAnsi="Traditional Arabic" w:cs="Traditional Arabic"/>
          <w:b/>
          <w:sz w:val="30"/>
          <w:szCs w:val="30"/>
          <w:lang w:bidi="ar-EG"/>
        </w:rPr>
        <w:t>.</w:t>
      </w:r>
    </w:p>
    <w:p w14:paraId="470DC08E" w14:textId="77777777" w:rsidR="00CF3C9A" w:rsidRDefault="00CF3C9A" w:rsidP="009726AD">
      <w:pPr>
        <w:bidi/>
        <w:jc w:val="both"/>
        <w:rPr>
          <w:rFonts w:ascii="Traditional Arabic" w:hAnsi="Traditional Arabic" w:cs="Traditional Arabic"/>
          <w:b/>
          <w:sz w:val="30"/>
          <w:szCs w:val="30"/>
          <w:rtl/>
          <w:lang w:bidi="ar-EG"/>
        </w:rPr>
      </w:pPr>
    </w:p>
    <w:p w14:paraId="75A0F0EF" w14:textId="77777777" w:rsidR="009726AD" w:rsidRDefault="00CF3C9A" w:rsidP="00CF3C9A">
      <w:pPr>
        <w:bidi/>
        <w:jc w:val="both"/>
        <w:rPr>
          <w:rFonts w:ascii="Traditional Arabic" w:hAnsi="Traditional Arabic" w:cs="Traditional Arabic"/>
          <w:b/>
          <w:sz w:val="30"/>
          <w:szCs w:val="30"/>
          <w:rtl/>
          <w:lang w:bidi="ar-EG"/>
        </w:rPr>
      </w:pPr>
      <w:r>
        <w:rPr>
          <w:rFonts w:ascii="Traditional Arabic" w:hAnsi="Traditional Arabic" w:cs="Traditional Arabic" w:hint="cs"/>
          <w:b/>
          <w:sz w:val="30"/>
          <w:szCs w:val="30"/>
          <w:rtl/>
          <w:lang w:bidi="ar-EG"/>
        </w:rPr>
        <w:t>و</w:t>
      </w:r>
      <w:r w:rsidR="009726AD" w:rsidRPr="009726AD">
        <w:rPr>
          <w:rFonts w:ascii="Traditional Arabic" w:hAnsi="Traditional Arabic" w:cs="Traditional Arabic"/>
          <w:b/>
          <w:sz w:val="30"/>
          <w:szCs w:val="30"/>
          <w:rtl/>
          <w:lang w:bidi="ar-EG"/>
        </w:rPr>
        <w:t>إذا تأخر تسليم السفينة بشكل جوهري، فقد يكون لذلك تأثير سلبي جوهري على أعمال الشركة ونتائج عملياتها ووضعها المالي وتوقعاتها</w:t>
      </w:r>
      <w:r w:rsidR="009726AD" w:rsidRPr="009726AD">
        <w:rPr>
          <w:rFonts w:ascii="Traditional Arabic" w:hAnsi="Traditional Arabic" w:cs="Traditional Arabic"/>
          <w:b/>
          <w:sz w:val="30"/>
          <w:szCs w:val="30"/>
          <w:lang w:bidi="ar-EG"/>
        </w:rPr>
        <w:t>.</w:t>
      </w:r>
    </w:p>
    <w:p w14:paraId="3A47E980" w14:textId="77777777" w:rsidR="00CF3C9A" w:rsidRPr="009726AD" w:rsidRDefault="00CF3C9A" w:rsidP="00CF3C9A">
      <w:pPr>
        <w:bidi/>
        <w:jc w:val="both"/>
        <w:rPr>
          <w:rFonts w:ascii="Traditional Arabic" w:hAnsi="Traditional Arabic" w:cs="Traditional Arabic"/>
          <w:b/>
          <w:sz w:val="30"/>
          <w:szCs w:val="30"/>
          <w:rtl/>
          <w:lang w:bidi="ar-EG"/>
        </w:rPr>
      </w:pPr>
    </w:p>
    <w:p w14:paraId="73D5A3E5"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20</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تعتمد الشركة على التفاوض الناجح على التسهيلات المصرفية الجديدة لتمويل شراء سفن جديدة لأسطولها</w:t>
      </w:r>
      <w:r w:rsidRPr="00840EB1">
        <w:rPr>
          <w:rFonts w:ascii="Traditional Arabic" w:hAnsi="Traditional Arabic" w:cs="Traditional Arabic"/>
          <w:bCs/>
          <w:sz w:val="30"/>
          <w:szCs w:val="30"/>
          <w:lang w:bidi="ar-EG"/>
        </w:rPr>
        <w:t>.</w:t>
      </w:r>
    </w:p>
    <w:p w14:paraId="65FD8492" w14:textId="77777777" w:rsidR="00CF3C9A" w:rsidRDefault="00CF3C9A" w:rsidP="009726AD">
      <w:pPr>
        <w:bidi/>
        <w:jc w:val="both"/>
        <w:rPr>
          <w:rFonts w:ascii="Traditional Arabic" w:hAnsi="Traditional Arabic" w:cs="Traditional Arabic"/>
          <w:b/>
          <w:sz w:val="30"/>
          <w:szCs w:val="30"/>
          <w:rtl/>
          <w:lang w:bidi="ar-EG"/>
        </w:rPr>
      </w:pPr>
    </w:p>
    <w:p w14:paraId="49D3C2F5"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تعتمد أنشطة الشركة على وفرة رأس المال، لا سيما فيما يتعلق بتوسيع أسطول سفنها لتعزيز استراتيجية نموها. ولذلك، فإن حصولها السهل على الأموال يُعد أمرًا ضروريًا لأعمالها، بما في ذلك الحصول على الأموال من الأطراف الخارجية لتمويل شراء سفنها الست الجديدة، والتي تقدر تكلفتها الإجمالية بحوالي مليار دولار أمريكي. تتفاوض الشركة حاليًا على شروط التسهيلات المصرفية لتمويل ما يقرب من 800 مليون دولار أمريكي من هذا المبلغ، وتتوقع الاتفاق بشأن هذه التسهيلات والحصول عليها </w:t>
      </w:r>
      <w:r w:rsidR="00F77F44">
        <w:rPr>
          <w:rFonts w:ascii="Traditional Arabic" w:hAnsi="Traditional Arabic" w:cs="Traditional Arabic" w:hint="cs"/>
          <w:b/>
          <w:sz w:val="30"/>
          <w:szCs w:val="30"/>
          <w:rtl/>
          <w:lang w:bidi="ar-EG"/>
        </w:rPr>
        <w:t>في</w:t>
      </w:r>
      <w:r w:rsidRPr="009726AD">
        <w:rPr>
          <w:rFonts w:ascii="Traditional Arabic" w:hAnsi="Traditional Arabic" w:cs="Traditional Arabic"/>
          <w:b/>
          <w:sz w:val="30"/>
          <w:szCs w:val="30"/>
          <w:rtl/>
          <w:lang w:bidi="ar-EG"/>
        </w:rPr>
        <w:t xml:space="preserve"> عام 2025. تقوم الشركة حاليًا بتسديد المدفوعات الأولية من تدفقاتها النقدية الحالية مقابل السفن التي طلبتها، وستستمر في القيام بذلك حتى تحصل على تسهيلاتها المصرفية الجديدة، وفي ذلك الوقت ستكمل التزامات الدفع الخاصة بها مع عمليات السحب الدورية بموجبها. ومع ذلك، لا يوجد ما يضمن الاتفاق على شروط هذه التسهيلات على نحو ما تتوقعه الشركة، ولا أن شروط التسهيلات ستكون هي تلك التي تتوقعها الشركة حاليًا. يمكن أن يؤثر أي تغيير في التوقيت الزمني أو الشروط المتوقعة للتسهيلات سلبًا على قدرة الشركة على الاستمرار في تمويل شراء سفنها وفقًا للجدول الزمني المتوقع، بالإضافة إلى تكلفة القيام بذلك. بالإضافة إلى ذلك، تستند نسبة القرض إلى القيمة المرتبطة بشراء هذه السفن إلى القيمة السوقية الحالية للسفن، ولا يوجد ما يضمن أن القيمة السوقية للسفن لن تنخفض بحلول الوقت الذي سيتم فيه سحب هذه التسهيلات. وإذا كان الأمر كذلك، فيمكن للمقرضين أن يطلبوا من الشركة تمويل نسبة أكبر من سعر شراء السفن من خلال التدفقات النقدية بدلاً من القروض التي تحصل عليها من التسهيلات، مما قد يؤثر سلبًا على المركز المالي للشركة وقدرتها على تمويل جوانب أخرى من أعمالها</w:t>
      </w:r>
      <w:r w:rsidRPr="009726AD">
        <w:rPr>
          <w:rFonts w:ascii="Traditional Arabic" w:hAnsi="Traditional Arabic" w:cs="Traditional Arabic"/>
          <w:b/>
          <w:sz w:val="30"/>
          <w:szCs w:val="30"/>
          <w:lang w:bidi="ar-EG"/>
        </w:rPr>
        <w:t>.</w:t>
      </w:r>
    </w:p>
    <w:p w14:paraId="5BEB1CC0" w14:textId="77777777" w:rsidR="00CF3C9A" w:rsidRPr="009726AD" w:rsidRDefault="00CF3C9A" w:rsidP="00CF3C9A">
      <w:pPr>
        <w:bidi/>
        <w:jc w:val="both"/>
        <w:rPr>
          <w:rFonts w:ascii="Traditional Arabic" w:hAnsi="Traditional Arabic" w:cs="Traditional Arabic"/>
          <w:b/>
          <w:sz w:val="30"/>
          <w:szCs w:val="30"/>
          <w:rtl/>
          <w:lang w:bidi="ar-EG"/>
        </w:rPr>
      </w:pPr>
    </w:p>
    <w:p w14:paraId="65BAD33B"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lastRenderedPageBreak/>
        <w:t>21</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قد تؤثر مديونية الشركة على قدرتها على الحصول على التمويل وإعادة تمويل الديون الحالية، وقد تؤدي إلى زيادة مدفوعات الفائدة وتقليل مرونتها في السعي وراء فرص الأعمال الأخرى</w:t>
      </w:r>
      <w:r w:rsidRPr="00840EB1">
        <w:rPr>
          <w:rFonts w:ascii="Traditional Arabic" w:hAnsi="Traditional Arabic" w:cs="Traditional Arabic"/>
          <w:bCs/>
          <w:sz w:val="30"/>
          <w:szCs w:val="30"/>
          <w:lang w:bidi="ar-EG"/>
        </w:rPr>
        <w:t xml:space="preserve">. </w:t>
      </w:r>
    </w:p>
    <w:p w14:paraId="4B466456" w14:textId="77777777" w:rsidR="00CF3C9A" w:rsidRDefault="00CF3C9A" w:rsidP="009726AD">
      <w:pPr>
        <w:bidi/>
        <w:jc w:val="both"/>
        <w:rPr>
          <w:rFonts w:ascii="Traditional Arabic" w:hAnsi="Traditional Arabic" w:cs="Traditional Arabic"/>
          <w:b/>
          <w:sz w:val="30"/>
          <w:szCs w:val="30"/>
          <w:rtl/>
          <w:lang w:bidi="ar-EG"/>
        </w:rPr>
      </w:pPr>
    </w:p>
    <w:p w14:paraId="66841247"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تعتمد قدرة الشركة على سداد المدفوعات المجدولة للفائدة وأصل مبلغ الدين بموجب مديونيتها على أدائها المالي والتشغيلي المستقبلي، وقدرتها على إعادة تمويل ديونها، والتي ستتأثر بالظروف الاقتصادية السائدة وكذلك العوامل المالية والتجارية والتنظيمية وغيرها من العوامل، وكثير منها خارج عن سيطرتها. ويمكن أن تؤثر هذه العوامل سلبًا على قدرة الشركة على الحصول على التمويل، أو تزيد بشكل كبير من تكاليف هذا التمويل. بالإضافة إلى ذلك، لا يوجد ما يضمن أن الشركة ستكون قادرة على سداد أو إعادة تمويل قروضها عند استحقاقها، أو أن أي من عمليات إعادة التمويل هذه ستكون بشروط مواتية للشركة أو تصب في مصلحتها</w:t>
      </w:r>
      <w:r w:rsidRPr="009726AD">
        <w:rPr>
          <w:rFonts w:ascii="Traditional Arabic" w:hAnsi="Traditional Arabic" w:cs="Traditional Arabic"/>
          <w:b/>
          <w:sz w:val="30"/>
          <w:szCs w:val="30"/>
          <w:lang w:bidi="ar-EG"/>
        </w:rPr>
        <w:t xml:space="preserve">. </w:t>
      </w:r>
    </w:p>
    <w:p w14:paraId="73BE223B" w14:textId="77777777" w:rsidR="00CF3C9A" w:rsidRPr="009726AD" w:rsidRDefault="00CF3C9A" w:rsidP="00CF3C9A">
      <w:pPr>
        <w:bidi/>
        <w:jc w:val="both"/>
        <w:rPr>
          <w:rFonts w:ascii="Traditional Arabic" w:hAnsi="Traditional Arabic" w:cs="Traditional Arabic"/>
          <w:b/>
          <w:sz w:val="30"/>
          <w:szCs w:val="30"/>
          <w:rtl/>
          <w:lang w:bidi="ar-EG"/>
        </w:rPr>
      </w:pPr>
    </w:p>
    <w:p w14:paraId="6034159C"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يمكن أن تقيد مديونية الشركة عملياتها من خلال</w:t>
      </w:r>
      <w:r w:rsidRPr="009726AD">
        <w:rPr>
          <w:rFonts w:ascii="Traditional Arabic" w:hAnsi="Traditional Arabic" w:cs="Traditional Arabic"/>
          <w:b/>
          <w:sz w:val="30"/>
          <w:szCs w:val="30"/>
          <w:lang w:bidi="ar-EG"/>
        </w:rPr>
        <w:t>:</w:t>
      </w:r>
    </w:p>
    <w:p w14:paraId="492DFC54"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الحد من قدرة الشركة على دفع توزيعات الأرباح</w:t>
      </w:r>
      <w:r w:rsidRPr="009726AD">
        <w:rPr>
          <w:rFonts w:ascii="Traditional Arabic" w:hAnsi="Traditional Arabic" w:cs="Traditional Arabic"/>
          <w:b/>
          <w:sz w:val="30"/>
          <w:szCs w:val="30"/>
          <w:lang w:bidi="ar-EG"/>
        </w:rPr>
        <w:t xml:space="preserve">. </w:t>
      </w:r>
    </w:p>
    <w:p w14:paraId="0436099F" w14:textId="77777777" w:rsidR="009726AD" w:rsidRPr="009726AD" w:rsidRDefault="009726AD" w:rsidP="00CF3C9A">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الحد من قدرة الشركة على تحمل أو ضمان المديونية أو الحصول على تمويل إضافي لرأس المال العامل أو النفقات الرأسمالية أو عمليات الاستحواذ على السفن أو غيرها من عمليات الاستحواذ الاستراتيجية والأغراض العامة للشركة</w:t>
      </w:r>
      <w:r w:rsidRPr="009726AD">
        <w:rPr>
          <w:rFonts w:ascii="Traditional Arabic" w:hAnsi="Traditional Arabic" w:cs="Traditional Arabic"/>
          <w:b/>
          <w:sz w:val="30"/>
          <w:szCs w:val="30"/>
          <w:lang w:bidi="ar-EG"/>
        </w:rPr>
        <w:t xml:space="preserve">. </w:t>
      </w:r>
    </w:p>
    <w:p w14:paraId="281BC9D7" w14:textId="77777777" w:rsidR="009726AD" w:rsidRPr="009726AD" w:rsidRDefault="009726AD" w:rsidP="00CF3C9A">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إلزام الشركة بتخصيص كل أو جزء كبير من تدفقاتها النقدية لخدمة ديونها، مما يقلل من الأموال المتاحة لأغراض تجارية أخرى، مثل النفقات الرأسمالية أو الاستثمارات أو عمليات الاستحواذ</w:t>
      </w:r>
      <w:r w:rsidRPr="009726AD">
        <w:rPr>
          <w:rFonts w:ascii="Traditional Arabic" w:hAnsi="Traditional Arabic" w:cs="Traditional Arabic"/>
          <w:b/>
          <w:sz w:val="30"/>
          <w:szCs w:val="30"/>
          <w:lang w:bidi="ar-EG"/>
        </w:rPr>
        <w:t xml:space="preserve">. </w:t>
      </w:r>
    </w:p>
    <w:p w14:paraId="4D1B15F8" w14:textId="77777777" w:rsidR="009726AD" w:rsidRPr="009726AD" w:rsidRDefault="009726AD" w:rsidP="00CF3C9A">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الحد من مرونة الشركة في التخطيط أو الاستجابة للتغيرات في الأسواق التي تتنافس فيها الشركة، مثل الانخراط في عمليات الاستحواذ الاستراتيجية أو التصرف في الأصول</w:t>
      </w:r>
      <w:r w:rsidRPr="009726AD">
        <w:rPr>
          <w:rFonts w:ascii="Traditional Arabic" w:hAnsi="Traditional Arabic" w:cs="Traditional Arabic"/>
          <w:b/>
          <w:sz w:val="30"/>
          <w:szCs w:val="30"/>
          <w:lang w:bidi="ar-EG"/>
        </w:rPr>
        <w:t xml:space="preserve">. </w:t>
      </w:r>
    </w:p>
    <w:p w14:paraId="2326B545"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وضع الشركة في وضع تنافسي لا يصب في مصلحتها مقارنة بمنافسيها ذوي المديونية الأقل</w:t>
      </w:r>
      <w:r w:rsidRPr="009726AD">
        <w:rPr>
          <w:rFonts w:ascii="Traditional Arabic" w:hAnsi="Traditional Arabic" w:cs="Traditional Arabic"/>
          <w:b/>
          <w:sz w:val="30"/>
          <w:szCs w:val="30"/>
          <w:lang w:bidi="ar-EG"/>
        </w:rPr>
        <w:t xml:space="preserve">. </w:t>
      </w:r>
    </w:p>
    <w:p w14:paraId="1F04DA4E"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جعل الشركة أكثر تأثرًا بالظروف والتحديات الاقتصادية والصناعية العامة</w:t>
      </w:r>
      <w:r w:rsidRPr="009726AD">
        <w:rPr>
          <w:rFonts w:ascii="Traditional Arabic" w:hAnsi="Traditional Arabic" w:cs="Traditional Arabic"/>
          <w:b/>
          <w:sz w:val="30"/>
          <w:szCs w:val="30"/>
          <w:lang w:bidi="ar-EG"/>
        </w:rPr>
        <w:t xml:space="preserve">. </w:t>
      </w:r>
    </w:p>
    <w:p w14:paraId="1837ABB2"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جعل من الصعب على الشركة الوفاء بالتزاماتها المالية أو إعادة تمويل المديونية المستحقة</w:t>
      </w:r>
      <w:r w:rsidRPr="009726AD">
        <w:rPr>
          <w:rFonts w:ascii="Traditional Arabic" w:hAnsi="Traditional Arabic" w:cs="Traditional Arabic"/>
          <w:b/>
          <w:sz w:val="30"/>
          <w:szCs w:val="30"/>
          <w:lang w:bidi="ar-EG"/>
        </w:rPr>
        <w:t xml:space="preserve">. </w:t>
      </w:r>
    </w:p>
    <w:p w14:paraId="2AC27879" w14:textId="77777777" w:rsidR="00CF3C9A" w:rsidRDefault="00CF3C9A" w:rsidP="009726AD">
      <w:pPr>
        <w:bidi/>
        <w:jc w:val="both"/>
        <w:rPr>
          <w:rFonts w:ascii="Traditional Arabic" w:hAnsi="Traditional Arabic" w:cs="Traditional Arabic"/>
          <w:b/>
          <w:sz w:val="30"/>
          <w:szCs w:val="30"/>
          <w:rtl/>
          <w:lang w:bidi="ar-EG"/>
        </w:rPr>
      </w:pPr>
    </w:p>
    <w:p w14:paraId="01948544"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علاوة على ذلك، إذا كان الدخل التشغيلي للشركة غير كافٍ لخدمة مديونيتها الحالية أو المستقبلية، فستضطر الشركة إلى اتخاذ إجراءات مثل تقليل أو تأخير أنشطتها التجارية أو عمليات الاستحواذ أو الاستثمارات أو النفقات الرأسمالية أو بيع الأصول أو إعادة هيكلة أو إعادة تمويل ديونها أو السعي للحصول على رأس مال إضافي. وقد لا تتمكن الشركة من تنفيذ أي من هذه الإجراءات التصحيحية بشروط تصب في مصلحتها أو بشروط مقبولة من الناحية التجارية، أو أن تقوم بتنفيذها أصلا. لمناقشة مديونية الشركة الحالية، يرجى الاطلاع على فصل "نظرة عامة على الأعمال التشغيلية والأمور المالية - السيولة والموارد الرأسمالية - القروض</w:t>
      </w:r>
      <w:r w:rsidRPr="009726AD">
        <w:rPr>
          <w:rFonts w:ascii="Traditional Arabic" w:hAnsi="Traditional Arabic" w:cs="Traditional Arabic"/>
          <w:b/>
          <w:sz w:val="30"/>
          <w:szCs w:val="30"/>
          <w:lang w:bidi="ar-EG"/>
        </w:rPr>
        <w:t xml:space="preserve">". </w:t>
      </w:r>
    </w:p>
    <w:p w14:paraId="39C923DF" w14:textId="77777777" w:rsidR="00CF3C9A" w:rsidRPr="009726AD" w:rsidRDefault="00CF3C9A" w:rsidP="00CF3C9A">
      <w:pPr>
        <w:bidi/>
        <w:jc w:val="both"/>
        <w:rPr>
          <w:rFonts w:ascii="Traditional Arabic" w:hAnsi="Traditional Arabic" w:cs="Traditional Arabic"/>
          <w:b/>
          <w:sz w:val="30"/>
          <w:szCs w:val="30"/>
          <w:rtl/>
          <w:lang w:bidi="ar-EG"/>
        </w:rPr>
      </w:pPr>
    </w:p>
    <w:p w14:paraId="7471F541"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22</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قد لا تتمكن الشركة من تنفيذ استراتيجية أعمالها ونموها بنجاح</w:t>
      </w:r>
      <w:r w:rsidRPr="00840EB1">
        <w:rPr>
          <w:rFonts w:ascii="Traditional Arabic" w:hAnsi="Traditional Arabic" w:cs="Traditional Arabic"/>
          <w:bCs/>
          <w:sz w:val="30"/>
          <w:szCs w:val="30"/>
          <w:lang w:bidi="ar-EG"/>
        </w:rPr>
        <w:t>.</w:t>
      </w:r>
    </w:p>
    <w:p w14:paraId="52DAC2B6" w14:textId="77777777" w:rsidR="00CF3C9A" w:rsidRDefault="00CF3C9A" w:rsidP="009726AD">
      <w:pPr>
        <w:bidi/>
        <w:jc w:val="both"/>
        <w:rPr>
          <w:rFonts w:ascii="Traditional Arabic" w:hAnsi="Traditional Arabic" w:cs="Traditional Arabic"/>
          <w:b/>
          <w:sz w:val="30"/>
          <w:szCs w:val="30"/>
          <w:rtl/>
          <w:lang w:bidi="ar-EG"/>
        </w:rPr>
      </w:pPr>
    </w:p>
    <w:p w14:paraId="2D6CA2F3" w14:textId="77777777" w:rsidR="009726AD" w:rsidRPr="009726AD" w:rsidRDefault="001B0A67" w:rsidP="00CF3C9A">
      <w:pPr>
        <w:bidi/>
        <w:jc w:val="both"/>
        <w:rPr>
          <w:rFonts w:ascii="Traditional Arabic" w:hAnsi="Traditional Arabic" w:cs="Traditional Arabic"/>
          <w:b/>
          <w:sz w:val="30"/>
          <w:szCs w:val="30"/>
          <w:rtl/>
          <w:lang w:bidi="ar-EG"/>
        </w:rPr>
      </w:pPr>
      <w:r w:rsidRPr="001B0A67">
        <w:rPr>
          <w:rFonts w:ascii="Traditional Arabic" w:hAnsi="Traditional Arabic" w:cs="Traditional Arabic"/>
          <w:b/>
          <w:sz w:val="30"/>
          <w:szCs w:val="30"/>
          <w:rtl/>
          <w:lang w:bidi="ar-EG"/>
        </w:rPr>
        <w:t>تتخذ استراتيجية أعمال الشركة ونموها المستقبلي نهجًا من شقين، بالتركيز على مبادرات تحسين الأعمال وتوسيع أسطول الشركة من خلال برنامج الإنفاق الرأسمالي الذي تبلغ قيمته 2.3 مليار دولار أمريكي إلى 2.6 مليار دولار أمريكي للفترة من 2025 إلى 2029 (والذي يتضمن 914</w:t>
      </w:r>
      <w:r w:rsidR="002373C2">
        <w:rPr>
          <w:rFonts w:ascii="Traditional Arabic" w:hAnsi="Traditional Arabic" w:cs="Traditional Arabic" w:hint="cs"/>
          <w:b/>
          <w:sz w:val="30"/>
          <w:szCs w:val="30"/>
          <w:rtl/>
          <w:lang w:bidi="ar-EG"/>
        </w:rPr>
        <w:t>.0</w:t>
      </w:r>
      <w:r w:rsidRPr="001B0A67">
        <w:rPr>
          <w:rFonts w:ascii="Traditional Arabic" w:hAnsi="Traditional Arabic" w:cs="Traditional Arabic"/>
          <w:b/>
          <w:sz w:val="30"/>
          <w:szCs w:val="30"/>
          <w:rtl/>
          <w:lang w:bidi="ar-EG"/>
        </w:rPr>
        <w:t xml:space="preserve"> مليون دولار أمريكي من النفقات الرأسمالية الملتزم بها).</w:t>
      </w:r>
      <w:r w:rsidR="009726AD" w:rsidRPr="009726AD">
        <w:rPr>
          <w:rFonts w:ascii="Traditional Arabic" w:hAnsi="Traditional Arabic" w:cs="Traditional Arabic"/>
          <w:b/>
          <w:sz w:val="30"/>
          <w:szCs w:val="30"/>
          <w:rtl/>
          <w:lang w:bidi="ar-EG"/>
        </w:rPr>
        <w:t>وبالنسبة للنمو المستقبلي للشركة فإنه يعتمد على قدرتها على تنفيذ هذه الاستراتيجية بنجاح، والتي تعتمد بدورها على مجموعة متنوعة من العوامل، قد يكون بعضها خارجا عن سيطرة الشركة أو قد يكون مكلفًا أو مؤجلًا أو غير فعال. وتركز استراتيجية الشركة في المقام الأول على الحفاظ على مكانة الشركة كمزود رائد لنقل الطاقة بحرا في جميع أنحاء العالم. وسيعتمد نجاح هذه الاستراتيجية وقدرة الشركة على تحقيق أهدافها على المدى المتوسط على عدد من العوامل، منها قدرة الشركة على</w:t>
      </w:r>
      <w:r w:rsidR="009726AD" w:rsidRPr="009726AD">
        <w:rPr>
          <w:rFonts w:ascii="Traditional Arabic" w:hAnsi="Traditional Arabic" w:cs="Traditional Arabic"/>
          <w:b/>
          <w:sz w:val="30"/>
          <w:szCs w:val="30"/>
          <w:lang w:bidi="ar-EG"/>
        </w:rPr>
        <w:t>:</w:t>
      </w:r>
    </w:p>
    <w:p w14:paraId="3BB40E28"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الحفاظ على علاقات مع العملاء الجدد والحاليين أو تطويرها</w:t>
      </w:r>
      <w:r w:rsidRPr="009726AD">
        <w:rPr>
          <w:rFonts w:ascii="Traditional Arabic" w:hAnsi="Traditional Arabic" w:cs="Traditional Arabic"/>
          <w:b/>
          <w:sz w:val="30"/>
          <w:szCs w:val="30"/>
          <w:lang w:bidi="ar-EG"/>
        </w:rPr>
        <w:t>.</w:t>
      </w:r>
    </w:p>
    <w:p w14:paraId="058FF21F"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الاستمرار في تجديد أسطولها من خلال تشغيل سفن جديدة على المدى المتوسط</w:t>
      </w:r>
      <w:r w:rsidRPr="009726AD">
        <w:rPr>
          <w:rFonts w:ascii="Traditional Arabic" w:hAnsi="Traditional Arabic" w:cs="Traditional Arabic"/>
          <w:b/>
          <w:sz w:val="30"/>
          <w:szCs w:val="30"/>
          <w:lang w:bidi="ar-EG"/>
        </w:rPr>
        <w:t>.</w:t>
      </w:r>
    </w:p>
    <w:p w14:paraId="7E483DB7" w14:textId="77777777" w:rsidR="009726AD" w:rsidRPr="009726AD" w:rsidRDefault="009726AD" w:rsidP="00CF3C9A">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الحفاظ على تنوع أسطولها للتخفيف من تأثير الأداء الاقتصادي السلبي في شريحة معينة من السوق الذي تعمل فيه الشركة</w:t>
      </w:r>
      <w:r w:rsidRPr="009726AD">
        <w:rPr>
          <w:rFonts w:ascii="Traditional Arabic" w:hAnsi="Traditional Arabic" w:cs="Traditional Arabic"/>
          <w:b/>
          <w:sz w:val="30"/>
          <w:szCs w:val="30"/>
          <w:lang w:bidi="ar-EG"/>
        </w:rPr>
        <w:t>.</w:t>
      </w:r>
    </w:p>
    <w:p w14:paraId="347486FF"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دمج وتشغيل السفن الجديدة أو إتمام عمليات الاستحواذ على السفن</w:t>
      </w:r>
      <w:r w:rsidRPr="009726AD">
        <w:rPr>
          <w:rFonts w:ascii="Traditional Arabic" w:hAnsi="Traditional Arabic" w:cs="Traditional Arabic"/>
          <w:b/>
          <w:sz w:val="30"/>
          <w:szCs w:val="30"/>
          <w:lang w:bidi="ar-EG"/>
        </w:rPr>
        <w:t>.</w:t>
      </w:r>
    </w:p>
    <w:p w14:paraId="756BC5AA"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الحصول على تمويل لدعم استراتيجية نموها، بما في ذلك الاستحواذ على السفن</w:t>
      </w:r>
      <w:r w:rsidRPr="009726AD">
        <w:rPr>
          <w:rFonts w:ascii="Traditional Arabic" w:hAnsi="Traditional Arabic" w:cs="Traditional Arabic"/>
          <w:b/>
          <w:sz w:val="30"/>
          <w:szCs w:val="30"/>
          <w:lang w:bidi="ar-EG"/>
        </w:rPr>
        <w:t>.</w:t>
      </w:r>
    </w:p>
    <w:p w14:paraId="428B1394"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t xml:space="preserve"> </w:t>
      </w:r>
      <w:r w:rsidRPr="009726AD">
        <w:rPr>
          <w:rFonts w:ascii="Traditional Arabic" w:hAnsi="Traditional Arabic" w:cs="Traditional Arabic"/>
          <w:b/>
          <w:sz w:val="30"/>
          <w:szCs w:val="30"/>
          <w:rtl/>
          <w:lang w:bidi="ar-EG"/>
        </w:rPr>
        <w:t>تحديد الفرص الجديدة في السوق والدخول فيها</w:t>
      </w:r>
      <w:r w:rsidRPr="009726AD">
        <w:rPr>
          <w:rFonts w:ascii="Traditional Arabic" w:hAnsi="Traditional Arabic" w:cs="Traditional Arabic"/>
          <w:b/>
          <w:sz w:val="30"/>
          <w:szCs w:val="30"/>
          <w:lang w:bidi="ar-EG"/>
        </w:rPr>
        <w:t>.</w:t>
      </w:r>
    </w:p>
    <w:p w14:paraId="6C7AE250" w14:textId="77777777" w:rsidR="009726AD" w:rsidRPr="009726AD" w:rsidRDefault="009726AD" w:rsidP="00CF3C9A">
      <w:pPr>
        <w:bidi/>
        <w:ind w:left="720" w:hanging="720"/>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توقع تقلبات السوق بخصوص أسعار تأجير السفن المجهزة بالمدة وأسعار التأجير الفوري، على أن يكون ذلك بشكل استباقي والاستجابة للمتغيرات في الوقت المناسب</w:t>
      </w:r>
      <w:r w:rsidRPr="009726AD">
        <w:rPr>
          <w:rFonts w:ascii="Traditional Arabic" w:hAnsi="Traditional Arabic" w:cs="Traditional Arabic"/>
          <w:b/>
          <w:sz w:val="30"/>
          <w:szCs w:val="30"/>
          <w:lang w:bidi="ar-EG"/>
        </w:rPr>
        <w:t>.</w:t>
      </w:r>
    </w:p>
    <w:p w14:paraId="41491731"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الاستمرار في تحسين قسم إدارة السفن لأسطول الشركة</w:t>
      </w:r>
      <w:r w:rsidRPr="009726AD">
        <w:rPr>
          <w:rFonts w:ascii="Traditional Arabic" w:hAnsi="Traditional Arabic" w:cs="Traditional Arabic"/>
          <w:b/>
          <w:sz w:val="30"/>
          <w:szCs w:val="30"/>
          <w:lang w:bidi="ar-EG"/>
        </w:rPr>
        <w:t>.</w:t>
      </w:r>
    </w:p>
    <w:p w14:paraId="2C0B7DA8"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lang w:bidi="ar-EG"/>
        </w:rPr>
        <w:t>•</w:t>
      </w:r>
      <w:r w:rsidRPr="009726AD">
        <w:rPr>
          <w:rFonts w:ascii="Traditional Arabic" w:hAnsi="Traditional Arabic" w:cs="Traditional Arabic"/>
          <w:b/>
          <w:sz w:val="30"/>
          <w:szCs w:val="30"/>
          <w:lang w:bidi="ar-EG"/>
        </w:rPr>
        <w:tab/>
      </w:r>
      <w:r w:rsidRPr="009726AD">
        <w:rPr>
          <w:rFonts w:ascii="Traditional Arabic" w:hAnsi="Traditional Arabic" w:cs="Traditional Arabic"/>
          <w:b/>
          <w:sz w:val="30"/>
          <w:szCs w:val="30"/>
          <w:rtl/>
          <w:lang w:bidi="ar-EG"/>
        </w:rPr>
        <w:t>الاستمرار في توظيف الموظفين ذوي الكفاءات العالية والاحتفاظ بهم لدعم أعمالها، ولا سيما إدارة سفنها</w:t>
      </w:r>
      <w:r w:rsidRPr="009726AD">
        <w:rPr>
          <w:rFonts w:ascii="Traditional Arabic" w:hAnsi="Traditional Arabic" w:cs="Traditional Arabic"/>
          <w:b/>
          <w:sz w:val="30"/>
          <w:szCs w:val="30"/>
          <w:lang w:bidi="ar-EG"/>
        </w:rPr>
        <w:t>.</w:t>
      </w:r>
    </w:p>
    <w:p w14:paraId="4FE05B1D" w14:textId="77777777" w:rsidR="00CF3C9A" w:rsidRDefault="00CF3C9A" w:rsidP="009726AD">
      <w:pPr>
        <w:bidi/>
        <w:jc w:val="both"/>
        <w:rPr>
          <w:rFonts w:ascii="Traditional Arabic" w:hAnsi="Traditional Arabic" w:cs="Traditional Arabic"/>
          <w:b/>
          <w:sz w:val="30"/>
          <w:szCs w:val="30"/>
          <w:rtl/>
          <w:lang w:bidi="ar-EG"/>
        </w:rPr>
      </w:pPr>
    </w:p>
    <w:p w14:paraId="6D145381" w14:textId="77777777" w:rsidR="009726AD" w:rsidRPr="009726AD" w:rsidRDefault="00CF3C9A" w:rsidP="00CF3C9A">
      <w:pPr>
        <w:bidi/>
        <w:jc w:val="both"/>
        <w:rPr>
          <w:rFonts w:ascii="Traditional Arabic" w:hAnsi="Traditional Arabic" w:cs="Traditional Arabic"/>
          <w:b/>
          <w:sz w:val="30"/>
          <w:szCs w:val="30"/>
          <w:rtl/>
          <w:lang w:bidi="ar-EG"/>
        </w:rPr>
      </w:pPr>
      <w:r>
        <w:rPr>
          <w:rFonts w:ascii="Traditional Arabic" w:hAnsi="Traditional Arabic" w:cs="Traditional Arabic" w:hint="cs"/>
          <w:b/>
          <w:sz w:val="30"/>
          <w:szCs w:val="30"/>
          <w:rtl/>
          <w:lang w:bidi="ar-EG"/>
        </w:rPr>
        <w:t>و</w:t>
      </w:r>
      <w:r w:rsidR="009726AD" w:rsidRPr="009726AD">
        <w:rPr>
          <w:rFonts w:ascii="Traditional Arabic" w:hAnsi="Traditional Arabic" w:cs="Traditional Arabic"/>
          <w:b/>
          <w:sz w:val="30"/>
          <w:szCs w:val="30"/>
          <w:rtl/>
          <w:lang w:bidi="ar-EG"/>
        </w:rPr>
        <w:t>كجزء من برنامج توسيع وتجديد أسطول الشركة، قد لا تتمكن الشركة من شراء سفن جديدة، أو قد لا تتمكن من شرائها بشروط تنافسية. بالإضافة إلى ذلك، فإن نجاح الشركة في توسيع أسطول سفنها من خلال طلبها ناقلتين جديدتين للغاز الطبيعي المسال وأربع ناقلات عملاقة جديدة للغاز سيعتمد جزئيًا على استمرار الطلب على النفط الخام والغاز الطبيعي المسال</w:t>
      </w:r>
      <w:r w:rsidR="009726AD" w:rsidRPr="009726AD">
        <w:rPr>
          <w:rFonts w:ascii="Traditional Arabic" w:hAnsi="Traditional Arabic" w:cs="Traditional Arabic"/>
          <w:b/>
          <w:sz w:val="30"/>
          <w:szCs w:val="30"/>
          <w:lang w:bidi="ar-EG"/>
        </w:rPr>
        <w:t xml:space="preserve">. </w:t>
      </w:r>
    </w:p>
    <w:p w14:paraId="3FD47240" w14:textId="77777777" w:rsidR="00CF3C9A" w:rsidRDefault="00CF3C9A" w:rsidP="009726AD">
      <w:pPr>
        <w:bidi/>
        <w:jc w:val="both"/>
        <w:rPr>
          <w:rFonts w:ascii="Traditional Arabic" w:hAnsi="Traditional Arabic" w:cs="Traditional Arabic"/>
          <w:b/>
          <w:sz w:val="30"/>
          <w:szCs w:val="30"/>
          <w:rtl/>
          <w:lang w:bidi="ar-EG"/>
        </w:rPr>
      </w:pPr>
    </w:p>
    <w:p w14:paraId="542FDACA" w14:textId="77777777" w:rsidR="009726AD" w:rsidRP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وقد يكون لفشل الشركة في تنفيذ استراتيجيتها، في الوقت المناسب أو محاولة تنفيذها أصلا، أو في إدارة نموها بشكل فعال تأثير سلبي جوهري على أعمال الشركة ووضعها المالي ونتائج عملياتها. بالإضافة إلى ذلك، لا يوجد ما يضمن أنه حتى لو نجحت </w:t>
      </w:r>
      <w:r w:rsidRPr="009726AD">
        <w:rPr>
          <w:rFonts w:ascii="Traditional Arabic" w:hAnsi="Traditional Arabic" w:cs="Traditional Arabic"/>
          <w:b/>
          <w:sz w:val="30"/>
          <w:szCs w:val="30"/>
          <w:rtl/>
          <w:lang w:bidi="ar-EG"/>
        </w:rPr>
        <w:lastRenderedPageBreak/>
        <w:t>الشركة في تنفيذ استراتيجيتها، فإن نتائج عمليات الشركة ستتحسن. وقد تقرر الشركة أيضًا تغيير أو إيقاف جوانب من استراتيجية أعمالها، وقد تعتمد استراتيجيات بديلة أو إضافية استجابة للبيئة التشغيلية أو وضعها التنافسي أو العوامل أو الأحداث الخارجة عن سيطرة الشركة</w:t>
      </w:r>
      <w:r w:rsidRPr="009726AD">
        <w:rPr>
          <w:rFonts w:ascii="Traditional Arabic" w:hAnsi="Traditional Arabic" w:cs="Traditional Arabic"/>
          <w:b/>
          <w:sz w:val="30"/>
          <w:szCs w:val="30"/>
          <w:lang w:bidi="ar-EG"/>
        </w:rPr>
        <w:t>.</w:t>
      </w:r>
    </w:p>
    <w:p w14:paraId="4AE9538B" w14:textId="77777777" w:rsidR="00CF3C9A" w:rsidRDefault="00CF3C9A" w:rsidP="009726AD">
      <w:pPr>
        <w:bidi/>
        <w:jc w:val="both"/>
        <w:rPr>
          <w:rFonts w:ascii="Traditional Arabic" w:hAnsi="Traditional Arabic" w:cs="Traditional Arabic"/>
          <w:b/>
          <w:sz w:val="30"/>
          <w:szCs w:val="30"/>
          <w:rtl/>
          <w:lang w:bidi="ar-EG"/>
        </w:rPr>
      </w:pPr>
    </w:p>
    <w:p w14:paraId="7436E55E" w14:textId="77777777" w:rsidR="009726AD" w:rsidRP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بالإضافة إلى ذلك، تعتمد قدرة الشركة على الحصول على تمويل خارجي من أجل دعم استراتيجيتها وتكاليف هذا التمويل على العديد من العوامل، بما في ذلك الظروف الاقتصادية العامة وأحوال السوق، وأسعار الفائدة الدولية، وتوافر الائتمان من البنوك أو المقرضين الآخرين، وثقة المستثمرين في الشركة ونجاح أعمالها. تأثرت أسواق الائتمان العالمية ولا زالت تتأثر بفترات من عدم اليقين والتقلب والاضطراب، بما في ذلك ما حدث في الآونة الأخيرة من الصراع في أوكرانيا، وتفاقم أزمات البنوك الأمريكية والأوروبية، والتضخم، والصراع في الأراضي الفلسطينية ولبنان (والمناطق المجاورة). وقد أدت ظروف السوق الصعبة هذه إلى ارتفاع أسعار الفائدة، وانخفاض السيولة، وزيادة التقلبات، وتوسيع فروق الائتمان، وانعدام شفافية الأسعار في أسواق الائتمان. إذا تعين عليها جمع تمويل خارجي إضافي على المدى القريب إلى المتوسط، فإن تدهور الظروف الاقتصادية العالمية العامة أو أي تغييرات أخرى في أسواق الاستثمار، بما في ذلك على سبيل المثال لا الحصر، التغيرات في توقعات معدلات النمو الدولية أو الإقليمية أو المحلية، والتوترات الجيوسياسية، وأسعار السلع الأساسية، وأسعار الفائدة الدولية، وأسعار الصرف والعائدات من الأسهم والعقارات والاستثمارات الأخرى - يمكن أن يؤثر على قدرتها على تأمين التمويل بشروط مماثلة لتلك التي تم تلقيها في الماضي أو أنها لن تستطيع الحصول على التمويل على الإطلاق</w:t>
      </w:r>
      <w:r w:rsidRPr="009726AD">
        <w:rPr>
          <w:rFonts w:ascii="Traditional Arabic" w:hAnsi="Traditional Arabic" w:cs="Traditional Arabic"/>
          <w:b/>
          <w:sz w:val="30"/>
          <w:szCs w:val="30"/>
          <w:lang w:bidi="ar-EG"/>
        </w:rPr>
        <w:t xml:space="preserve">. </w:t>
      </w:r>
    </w:p>
    <w:p w14:paraId="790A3A3C" w14:textId="77777777" w:rsidR="00CF3C9A" w:rsidRDefault="00CF3C9A" w:rsidP="009726AD">
      <w:pPr>
        <w:bidi/>
        <w:jc w:val="both"/>
        <w:rPr>
          <w:rFonts w:ascii="Traditional Arabic" w:hAnsi="Traditional Arabic" w:cs="Traditional Arabic"/>
          <w:b/>
          <w:sz w:val="30"/>
          <w:szCs w:val="30"/>
          <w:rtl/>
          <w:lang w:bidi="ar-EG"/>
        </w:rPr>
      </w:pPr>
    </w:p>
    <w:p w14:paraId="18691000" w14:textId="77777777" w:rsidR="009726AD" w:rsidRDefault="00CF3C9A" w:rsidP="00CF3C9A">
      <w:pPr>
        <w:bidi/>
        <w:jc w:val="both"/>
        <w:rPr>
          <w:rFonts w:ascii="Traditional Arabic" w:hAnsi="Traditional Arabic" w:cs="Traditional Arabic"/>
          <w:b/>
          <w:sz w:val="30"/>
          <w:szCs w:val="30"/>
          <w:rtl/>
          <w:lang w:bidi="ar-EG"/>
        </w:rPr>
      </w:pPr>
      <w:r>
        <w:rPr>
          <w:rFonts w:ascii="Traditional Arabic" w:hAnsi="Traditional Arabic" w:cs="Traditional Arabic" w:hint="cs"/>
          <w:b/>
          <w:sz w:val="30"/>
          <w:szCs w:val="30"/>
          <w:rtl/>
          <w:lang w:bidi="ar-EG"/>
        </w:rPr>
        <w:t>و</w:t>
      </w:r>
      <w:r w:rsidR="009726AD" w:rsidRPr="009726AD">
        <w:rPr>
          <w:rFonts w:ascii="Traditional Arabic" w:hAnsi="Traditional Arabic" w:cs="Traditional Arabic"/>
          <w:b/>
          <w:sz w:val="30"/>
          <w:szCs w:val="30"/>
          <w:rtl/>
          <w:lang w:bidi="ar-EG"/>
        </w:rPr>
        <w:t>إذا لم تكن مصادر التمويل المناسبة متاحة أو كانت محملة بالأعباء وكانت الشركة تفتقر إلى التدفق النقدي التشغيلي الكافي لتمويل استراتيجية النمو الخاصة بها، فقد يؤثر ذلك سلبًا على أعمال الشركة من خلال زيادة تكاليف الاقتراض. وقد تضطر الشركة إلى تأجيل أو خفض النفقات الرأسمالية والاستثمارية أو تفويت الفرص التجارية أو القيام بإعادة الهيكلة أو إعادة تمويل كل أو جزء من ديونها قبل مواعيد الاستحقاق، وقد يكون لأي مما سبق تأثير سلبي جوهري على أعمال الشركة ووضعها المالي ونتائج عملياتها</w:t>
      </w:r>
      <w:r w:rsidR="009726AD" w:rsidRPr="009726AD">
        <w:rPr>
          <w:rFonts w:ascii="Traditional Arabic" w:hAnsi="Traditional Arabic" w:cs="Traditional Arabic"/>
          <w:b/>
          <w:sz w:val="30"/>
          <w:szCs w:val="30"/>
          <w:lang w:bidi="ar-EG"/>
        </w:rPr>
        <w:t>.</w:t>
      </w:r>
    </w:p>
    <w:p w14:paraId="1197A1C0" w14:textId="77777777" w:rsidR="00CF3C9A" w:rsidRPr="009726AD" w:rsidRDefault="00CF3C9A" w:rsidP="00CF3C9A">
      <w:pPr>
        <w:bidi/>
        <w:jc w:val="both"/>
        <w:rPr>
          <w:rFonts w:ascii="Traditional Arabic" w:hAnsi="Traditional Arabic" w:cs="Traditional Arabic"/>
          <w:b/>
          <w:sz w:val="30"/>
          <w:szCs w:val="30"/>
          <w:rtl/>
          <w:lang w:bidi="ar-EG"/>
        </w:rPr>
      </w:pPr>
    </w:p>
    <w:p w14:paraId="0124FCC0"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23</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يعتمد أداء الشركة في المستقبل على قدرتها على تأمين عقود جديدة لتأجير السفن المجهزة بالمدة والقيام بذلك في الوقت المناسب</w:t>
      </w:r>
      <w:r w:rsidRPr="00840EB1">
        <w:rPr>
          <w:rFonts w:ascii="Traditional Arabic" w:hAnsi="Traditional Arabic" w:cs="Traditional Arabic"/>
          <w:bCs/>
          <w:sz w:val="30"/>
          <w:szCs w:val="30"/>
          <w:lang w:bidi="ar-EG"/>
        </w:rPr>
        <w:t>.</w:t>
      </w:r>
    </w:p>
    <w:p w14:paraId="0300F57F" w14:textId="77777777" w:rsidR="00CF3C9A" w:rsidRDefault="00CF3C9A" w:rsidP="009726AD">
      <w:pPr>
        <w:bidi/>
        <w:jc w:val="both"/>
        <w:rPr>
          <w:rFonts w:ascii="Traditional Arabic" w:hAnsi="Traditional Arabic" w:cs="Traditional Arabic"/>
          <w:b/>
          <w:sz w:val="30"/>
          <w:szCs w:val="30"/>
          <w:rtl/>
          <w:lang w:bidi="ar-EG"/>
        </w:rPr>
      </w:pPr>
    </w:p>
    <w:p w14:paraId="56D6AEE7"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تقوم الشركة عمومًا بتأمين عقود جديدة لتأجير السفن المجهزة بالمدة من خلال المفاوضات المباشرة مع العملاء المحتملين. وإذا لم تكن الشركة قادرة على التفاوض بنجاح على عقود جديدة لتأجير السفن المجهزة بالمدة لتبدأ فور انتهاء العقود الحالية، أو إذا كانت العقود الجديدة تتضمن أسعارًا يومية أقل بكثير من الأسعار اليومية الحالية، أو كانت شروطها أقل ملاءمة من شروط </w:t>
      </w:r>
      <w:r w:rsidRPr="009726AD">
        <w:rPr>
          <w:rFonts w:ascii="Traditional Arabic" w:hAnsi="Traditional Arabic" w:cs="Traditional Arabic"/>
          <w:b/>
          <w:sz w:val="30"/>
          <w:szCs w:val="30"/>
          <w:rtl/>
          <w:lang w:bidi="ar-EG"/>
        </w:rPr>
        <w:lastRenderedPageBreak/>
        <w:t>العقود الحالية والمنتهية صلاحيتها، أو التي ستكبد الشركة تكاليف باهظة في سبيل تجهيز السفينة أو إنهاء عملها بحيث لا يمكن استردادها بالكامل، فقد يكون لذلك تأثير سلبي جوهري على أعمالها ونتائج عملياتها ووضعها المالي وتوقعاتها</w:t>
      </w:r>
      <w:r w:rsidRPr="009726AD">
        <w:rPr>
          <w:rFonts w:ascii="Traditional Arabic" w:hAnsi="Traditional Arabic" w:cs="Traditional Arabic"/>
          <w:b/>
          <w:sz w:val="30"/>
          <w:szCs w:val="30"/>
          <w:lang w:bidi="ar-EG"/>
        </w:rPr>
        <w:t>.</w:t>
      </w:r>
    </w:p>
    <w:p w14:paraId="0500A7E0" w14:textId="77777777" w:rsidR="00CF3C9A" w:rsidRPr="009726AD" w:rsidRDefault="00CF3C9A" w:rsidP="00CF3C9A">
      <w:pPr>
        <w:bidi/>
        <w:jc w:val="both"/>
        <w:rPr>
          <w:rFonts w:ascii="Traditional Arabic" w:hAnsi="Traditional Arabic" w:cs="Traditional Arabic"/>
          <w:b/>
          <w:sz w:val="30"/>
          <w:szCs w:val="30"/>
          <w:rtl/>
          <w:lang w:bidi="ar-EG"/>
        </w:rPr>
      </w:pPr>
    </w:p>
    <w:p w14:paraId="05350057"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24</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قد تؤثر التقلبات في القيمة السوقية لسفن الشركة تأثيراً جوهرياً وسلبياً على نتائج عمليات الشركة وقدرتها على الحصول على تمويل إضافي</w:t>
      </w:r>
      <w:r w:rsidRPr="00840EB1">
        <w:rPr>
          <w:rFonts w:ascii="Traditional Arabic" w:hAnsi="Traditional Arabic" w:cs="Traditional Arabic"/>
          <w:bCs/>
          <w:sz w:val="30"/>
          <w:szCs w:val="30"/>
          <w:lang w:bidi="ar-EG"/>
        </w:rPr>
        <w:t>.</w:t>
      </w:r>
    </w:p>
    <w:p w14:paraId="5D5AB36A" w14:textId="77777777" w:rsidR="00CF3C9A" w:rsidRDefault="00CF3C9A" w:rsidP="009726AD">
      <w:pPr>
        <w:bidi/>
        <w:jc w:val="both"/>
        <w:rPr>
          <w:rFonts w:ascii="Traditional Arabic" w:hAnsi="Traditional Arabic" w:cs="Traditional Arabic"/>
          <w:b/>
          <w:sz w:val="30"/>
          <w:szCs w:val="30"/>
          <w:rtl/>
          <w:lang w:bidi="ar-EG"/>
        </w:rPr>
      </w:pPr>
    </w:p>
    <w:p w14:paraId="7BA1D0FB"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تتقلب القيمة السوقية للسفن بناءً على عدد من العوامل، منها: الظروف الاقتصادية العامة وأحوال السوق التي تؤثر على القطاع، والطلب على السفن، وعدد ونوع وعمر وحجم السفن في الأسطول العالمي، وسعر السفن الجديدة (التي تتأثر بتوافر أرصفة أحواض بناء السفن والتمويل)، ومستوى تخريد السفن، وتأثير أي ازدحام في الموانئ على إنتاجية الأسطول، وتكلفة وسائل النقل الأخرى والتقلبات الدورية في قطاع النقل البحري في السنوات الماضية. وقد يؤدي انخفاض قيمة السفن إلى زيادة صعوبة قيام الشركة بجمع الأموال عن طريق رهن السفن وقد يكون له تأثير سلبي جوهري على سيولة الشركة. وقد يتطلب انخفاض قيمة السفن أيضًا من الشركة زيادة نسبة تدفقها النقدي، بالإضافة إلى القروض الخارجية، المستخدمة لتمويل شراء سفن جديدة، أو تؤدي إلى خرق تعهدات القروض من قبل الشركات التابعة للشركة بصفتهم مقترضين وكفلاء بموجب تسهيلات الاقتراض لإعادة تمويل السفن ذات الصلة، مما قد يؤدي إلى نشوء حالات التخلف عن السداد بموجب هذه التسهيلات. بلغت القيمة السوقية</w:t>
      </w:r>
      <w:r w:rsidR="00BA1F66">
        <w:rPr>
          <w:rFonts w:ascii="Traditional Arabic" w:hAnsi="Traditional Arabic" w:cs="Traditional Arabic" w:hint="cs"/>
          <w:b/>
          <w:sz w:val="30"/>
          <w:szCs w:val="30"/>
          <w:rtl/>
          <w:lang w:bidi="ar-EG"/>
        </w:rPr>
        <w:t xml:space="preserve"> العادلة</w:t>
      </w:r>
      <w:r w:rsidRPr="009726AD">
        <w:rPr>
          <w:rFonts w:ascii="Traditional Arabic" w:hAnsi="Traditional Arabic" w:cs="Traditional Arabic"/>
          <w:b/>
          <w:sz w:val="30"/>
          <w:szCs w:val="30"/>
          <w:rtl/>
          <w:lang w:bidi="ar-EG"/>
        </w:rPr>
        <w:t xml:space="preserve"> لسفن الشركة</w:t>
      </w:r>
      <w:r w:rsidR="00BA1F66">
        <w:rPr>
          <w:rFonts w:ascii="Traditional Arabic" w:hAnsi="Traditional Arabic" w:cs="Traditional Arabic" w:hint="cs"/>
          <w:b/>
          <w:sz w:val="30"/>
          <w:szCs w:val="30"/>
          <w:rtl/>
          <w:lang w:bidi="ar-EG"/>
        </w:rPr>
        <w:t xml:space="preserve"> المملوكة ملكية تامة و</w:t>
      </w:r>
      <w:r w:rsidR="00E65E26">
        <w:rPr>
          <w:rFonts w:ascii="Traditional Arabic" w:hAnsi="Traditional Arabic" w:cs="Traditional Arabic" w:hint="cs"/>
          <w:b/>
          <w:sz w:val="30"/>
          <w:szCs w:val="30"/>
          <w:rtl/>
          <w:lang w:bidi="ar-EG"/>
        </w:rPr>
        <w:t>بشكل مشترك</w:t>
      </w:r>
      <w:r w:rsidR="00BA1F66">
        <w:rPr>
          <w:rFonts w:ascii="Traditional Arabic" w:hAnsi="Traditional Arabic" w:cs="Traditional Arabic" w:hint="cs"/>
          <w:b/>
          <w:sz w:val="30"/>
          <w:szCs w:val="30"/>
          <w:rtl/>
          <w:lang w:bidi="ar-EG"/>
        </w:rPr>
        <w:t xml:space="preserve"> (باستثناء السفن المطلوبة في الوقت الحالي)</w:t>
      </w:r>
      <w:r w:rsidRPr="009726AD">
        <w:rPr>
          <w:rFonts w:ascii="Traditional Arabic" w:hAnsi="Traditional Arabic" w:cs="Traditional Arabic"/>
          <w:b/>
          <w:sz w:val="30"/>
          <w:szCs w:val="30"/>
          <w:rtl/>
          <w:lang w:bidi="ar-EG"/>
        </w:rPr>
        <w:t xml:space="preserve"> ما نسبته </w:t>
      </w:r>
      <w:r w:rsidR="00BA1F66">
        <w:rPr>
          <w:rFonts w:ascii="Traditional Arabic" w:hAnsi="Traditional Arabic" w:cs="Traditional Arabic" w:hint="cs"/>
          <w:b/>
          <w:sz w:val="30"/>
          <w:szCs w:val="30"/>
          <w:rtl/>
          <w:lang w:bidi="ar-EG"/>
        </w:rPr>
        <w:t>148.5</w:t>
      </w:r>
      <w:r w:rsidR="00BA1F66"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في</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المائة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من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قيمتها</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الدفترية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حتى</w:t>
      </w:r>
      <w:r w:rsidRPr="009726AD">
        <w:rPr>
          <w:rFonts w:ascii="Traditional Arabic" w:hAnsi="Traditional Arabic" w:cs="Traditional Arabic"/>
          <w:b/>
          <w:sz w:val="30"/>
          <w:szCs w:val="30"/>
          <w:rtl/>
          <w:lang w:bidi="ar-EG"/>
        </w:rPr>
        <w:t xml:space="preserve"> </w:t>
      </w:r>
      <w:r w:rsidR="009648F3">
        <w:rPr>
          <w:rFonts w:ascii="Traditional Arabic" w:hAnsi="Traditional Arabic" w:cs="Traditional Arabic" w:hint="cs"/>
          <w:b/>
          <w:sz w:val="30"/>
          <w:szCs w:val="30"/>
          <w:rtl/>
          <w:lang w:bidi="ar-EG"/>
        </w:rPr>
        <w:t xml:space="preserve">31 ديسمبر </w:t>
      </w:r>
      <w:r w:rsidRPr="009726AD">
        <w:rPr>
          <w:rFonts w:ascii="Traditional Arabic" w:hAnsi="Traditional Arabic" w:cs="Traditional Arabic"/>
          <w:b/>
          <w:sz w:val="30"/>
          <w:szCs w:val="30"/>
          <w:rtl/>
          <w:lang w:bidi="ar-EG"/>
        </w:rPr>
        <w:t xml:space="preserve">2024. </w:t>
      </w:r>
      <w:r w:rsidRPr="009726AD">
        <w:rPr>
          <w:rFonts w:ascii="Traditional Arabic" w:hAnsi="Traditional Arabic" w:cs="Traditional Arabic" w:hint="cs"/>
          <w:b/>
          <w:sz w:val="30"/>
          <w:szCs w:val="30"/>
          <w:rtl/>
          <w:lang w:bidi="ar-EG"/>
        </w:rPr>
        <w:t>إذا</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انخفضت</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القيمة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السوقية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لسفن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الشركة،</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فقد</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يُطلب</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من</w:t>
      </w:r>
      <w:r w:rsidRPr="009726AD">
        <w:rPr>
          <w:rFonts w:ascii="Traditional Arabic" w:hAnsi="Traditional Arabic" w:cs="Traditional Arabic"/>
          <w:b/>
          <w:sz w:val="30"/>
          <w:szCs w:val="30"/>
          <w:rtl/>
          <w:lang w:bidi="ar-EG"/>
        </w:rPr>
        <w:t xml:space="preserve"> </w:t>
      </w:r>
      <w:r w:rsidRPr="009726AD">
        <w:rPr>
          <w:rFonts w:ascii="Traditional Arabic" w:hAnsi="Traditional Arabic" w:cs="Traditional Arabic" w:hint="cs"/>
          <w:b/>
          <w:sz w:val="30"/>
          <w:szCs w:val="30"/>
          <w:rtl/>
          <w:lang w:bidi="ar-EG"/>
        </w:rPr>
        <w:t>الش</w:t>
      </w:r>
      <w:r w:rsidRPr="009726AD">
        <w:rPr>
          <w:rFonts w:ascii="Traditional Arabic" w:hAnsi="Traditional Arabic" w:cs="Traditional Arabic"/>
          <w:b/>
          <w:sz w:val="30"/>
          <w:szCs w:val="30"/>
          <w:rtl/>
          <w:lang w:bidi="ar-EG"/>
        </w:rPr>
        <w:t>ركة أيضًا الاعتراف بخسائر انخفاض القيمة، والتي قد يكون لها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 xml:space="preserve">. </w:t>
      </w:r>
    </w:p>
    <w:p w14:paraId="09DB2778" w14:textId="77777777" w:rsidR="00CF3C9A" w:rsidRPr="009726AD" w:rsidRDefault="00CF3C9A" w:rsidP="00CF3C9A">
      <w:pPr>
        <w:bidi/>
        <w:jc w:val="both"/>
        <w:rPr>
          <w:rFonts w:ascii="Traditional Arabic" w:hAnsi="Traditional Arabic" w:cs="Traditional Arabic"/>
          <w:b/>
          <w:sz w:val="30"/>
          <w:szCs w:val="30"/>
          <w:rtl/>
          <w:lang w:bidi="ar-EG"/>
        </w:rPr>
      </w:pPr>
    </w:p>
    <w:p w14:paraId="3785EADB"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25</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قد يؤدي تقادم عمر الأسطول المملوك للشركة إلى زيادة تكاليف التشغيل في المستقبل</w:t>
      </w:r>
      <w:r w:rsidRPr="00840EB1">
        <w:rPr>
          <w:rFonts w:ascii="Traditional Arabic" w:hAnsi="Traditional Arabic" w:cs="Traditional Arabic"/>
          <w:bCs/>
          <w:sz w:val="30"/>
          <w:szCs w:val="30"/>
          <w:lang w:bidi="ar-EG"/>
        </w:rPr>
        <w:t xml:space="preserve">. </w:t>
      </w:r>
    </w:p>
    <w:p w14:paraId="278F993E" w14:textId="77777777" w:rsidR="00CF3C9A" w:rsidRDefault="00CF3C9A" w:rsidP="009726AD">
      <w:pPr>
        <w:bidi/>
        <w:jc w:val="both"/>
        <w:rPr>
          <w:rFonts w:ascii="Traditional Arabic" w:hAnsi="Traditional Arabic" w:cs="Traditional Arabic"/>
          <w:b/>
          <w:sz w:val="30"/>
          <w:szCs w:val="30"/>
          <w:rtl/>
          <w:lang w:bidi="ar-EG"/>
        </w:rPr>
      </w:pPr>
    </w:p>
    <w:p w14:paraId="4AF6B684" w14:textId="77777777" w:rsidR="00CF3C9A"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بشكل عام، تزداد تكلفة صيانة السفينة إذا كانت حالة تشغيلها جيدة وذلك مع تقدم عمر السفينة، حيث بلغ متوسط عمر أسطول الشركة المكون من 89 سفينة مملوكة ملكية خاصة وعلى الشيوع ومستأجرة (بما في ذلك السفن في سجل طلبات الشراء) ثماني سنوات حتى 30 سبتمبر 2024، وستتحمل تكاليف متزايدة مع تقدم العمر الافتراضي لأسطولها. تستفيد السفن الأحدث من التحسينات التدريجية في تكنولوجيا المحركات وغيرها من الميزات، مما يعني أن السفن القديمة ستكون أقل كفاءة في استهلاك الوقود وأكثر تكلفة في الصيانة. </w:t>
      </w:r>
      <w:r w:rsidR="001D5D93" w:rsidRPr="001D5D93">
        <w:rPr>
          <w:rFonts w:ascii="Traditional Arabic" w:hAnsi="Traditional Arabic" w:cs="Traditional Arabic"/>
          <w:b/>
          <w:sz w:val="30"/>
          <w:szCs w:val="30"/>
          <w:rtl/>
          <w:lang w:bidi="ar-EG"/>
        </w:rPr>
        <w:t xml:space="preserve">ثم إن ارتفاع أسعار التأمين البضائع للسفن القديمة يجعل هذه السفن أقل جاذبية للعملاء، وقد يؤدي إلى تعاقد الشركة على أسعار أقل لهذه السفن. علاوة على ذلك، قد تتطلب قوانين وسياسات المنظمة البحرية الدولية ومعايير شركات النفط العالمية واللوائح الحكومية ومعايير السلامة أو غيرها من القوانين والضوابط المتعلقة بعمر </w:t>
      </w:r>
      <w:r w:rsidR="001D5D93" w:rsidRPr="001D5D93">
        <w:rPr>
          <w:rFonts w:ascii="Traditional Arabic" w:hAnsi="Traditional Arabic" w:cs="Traditional Arabic"/>
          <w:b/>
          <w:sz w:val="30"/>
          <w:szCs w:val="30"/>
          <w:rtl/>
          <w:lang w:bidi="ar-EG"/>
        </w:rPr>
        <w:lastRenderedPageBreak/>
        <w:t>السفن (بما في ذلك مبادرات إزالة الكربون) أيضًا صرف نفقات لإجراء تعديلات أو إضافة معدات جديدة إلى سفن الشركة، وقد تقيد نوع الأنشطة التي قد تشارك فيها بعض سفن الشركة.</w:t>
      </w:r>
      <w:r w:rsidRPr="009726AD">
        <w:rPr>
          <w:rFonts w:ascii="Traditional Arabic" w:hAnsi="Traditional Arabic" w:cs="Traditional Arabic"/>
          <w:b/>
          <w:sz w:val="30"/>
          <w:szCs w:val="30"/>
          <w:rtl/>
          <w:lang w:bidi="ar-EG"/>
        </w:rPr>
        <w:t xml:space="preserve">. بالإضافة إلى ذلك، يتم تحديد عمر الخدمة الفعلي لسفن الشركة حسب نوع السفينة وطلب السوق على هذه السفن بمجرد وصولها إلى الحد الأدنى من الفئة العمرية المعينة. وفي حالة أسطول الشركة، يتراوح عمر الخدمة الفعلي لسفنها من حوالي 15 إلى 25 عامًا. وكجزء من استراتيجية نموها، تعتزم الشركة استبدال سفنها القديمة بأخرى جديدة، ومن خلال شراء سفن جديدة مستعملة. </w:t>
      </w:r>
    </w:p>
    <w:p w14:paraId="75C4BB5E" w14:textId="77777777" w:rsidR="00CF3C9A" w:rsidRDefault="00CF3C9A" w:rsidP="00CF3C9A">
      <w:pPr>
        <w:bidi/>
        <w:jc w:val="both"/>
        <w:rPr>
          <w:rFonts w:ascii="Traditional Arabic" w:hAnsi="Traditional Arabic" w:cs="Traditional Arabic"/>
          <w:b/>
          <w:sz w:val="30"/>
          <w:szCs w:val="30"/>
          <w:rtl/>
          <w:lang w:bidi="ar-EG"/>
        </w:rPr>
      </w:pPr>
    </w:p>
    <w:p w14:paraId="1755080D" w14:textId="77777777" w:rsidR="009726AD" w:rsidRPr="009726AD" w:rsidRDefault="00CF3C9A" w:rsidP="00CF3C9A">
      <w:pPr>
        <w:bidi/>
        <w:jc w:val="both"/>
        <w:rPr>
          <w:rFonts w:ascii="Traditional Arabic" w:hAnsi="Traditional Arabic" w:cs="Traditional Arabic"/>
          <w:b/>
          <w:sz w:val="30"/>
          <w:szCs w:val="30"/>
          <w:rtl/>
          <w:lang w:bidi="ar-EG"/>
        </w:rPr>
      </w:pPr>
      <w:r>
        <w:rPr>
          <w:rFonts w:ascii="Traditional Arabic" w:hAnsi="Traditional Arabic" w:cs="Traditional Arabic" w:hint="cs"/>
          <w:b/>
          <w:sz w:val="30"/>
          <w:szCs w:val="30"/>
          <w:rtl/>
          <w:lang w:bidi="ar-EG"/>
        </w:rPr>
        <w:t>و</w:t>
      </w:r>
      <w:r w:rsidR="009726AD" w:rsidRPr="009726AD">
        <w:rPr>
          <w:rFonts w:ascii="Traditional Arabic" w:hAnsi="Traditional Arabic" w:cs="Traditional Arabic"/>
          <w:b/>
          <w:sz w:val="30"/>
          <w:szCs w:val="30"/>
          <w:rtl/>
          <w:lang w:bidi="ar-EG"/>
        </w:rPr>
        <w:t>يعتمد السعر الذي تتلقاه الشركة للسفن التي تبيعها، بالإضافة إلى السعر الذي تدفعه للسفن المستعملة، على وقت إجراء المعاملة في دورة السوق لأسعار بيع المستعل. ونتيجة لذلك، لا يوجد ما يضمن أن الشركة ستكون قادرة على بيع سفنها القديمة في أو بالقرب من ذروة دورات السوق هذه، أو أنها ستكون قادرة على تحديد موعد شراء السفن المستعملة في أو بالقرب من النقطة المنخفضة من دورات السوق هذه. بالإضافة إلى ذلك، لا يوجد ما يضمن أن استراتيجيتها لتجديد أسطول سفنها المتقادمة ستكتمل في الجدول الزمني المتوقع، أو أن التكاليف المتوقعة لصيانة أسطول سفنها لن تكون أعلى بكثير مما هو متوقع حاليًا</w:t>
      </w:r>
      <w:r w:rsidR="009726AD" w:rsidRPr="009726AD">
        <w:rPr>
          <w:rFonts w:ascii="Traditional Arabic" w:hAnsi="Traditional Arabic" w:cs="Traditional Arabic"/>
          <w:b/>
          <w:sz w:val="30"/>
          <w:szCs w:val="30"/>
          <w:lang w:bidi="ar-EG"/>
        </w:rPr>
        <w:t>.</w:t>
      </w:r>
    </w:p>
    <w:p w14:paraId="34229ACA" w14:textId="77777777" w:rsidR="00CF3C9A" w:rsidRDefault="00CF3C9A" w:rsidP="009726AD">
      <w:pPr>
        <w:bidi/>
        <w:jc w:val="both"/>
        <w:rPr>
          <w:rFonts w:ascii="Traditional Arabic" w:hAnsi="Traditional Arabic" w:cs="Traditional Arabic"/>
          <w:b/>
          <w:sz w:val="30"/>
          <w:szCs w:val="30"/>
          <w:rtl/>
          <w:lang w:bidi="ar-EG"/>
        </w:rPr>
      </w:pPr>
    </w:p>
    <w:p w14:paraId="2E98F679"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علاوة على ذلك، تقوم الشركة عادةً بفحص السفن المستعملة قبل الشراء، إلا أن هذا الإجراء لا يوفر لها نفس المعلومات حول حالتها التي كانت ستحظى بها الشركة لو تم بناء هذه السفن لها خصيصا وتم تشغيلها حصريًا من قبلها. وبناءً على ذلك، قد لا تتمكن الشركة من اكتشاف عيوب أو مشاكل أخرى في هذه السفن قبل الشراء. وقد يكون إصلاح العيوب أو المشاكل الخفية عند اكتشافها مكلفًا، وإذا لم يتم اكتشافها، فقد تؤدي إلى حوادث قد تصبح الشركة مسؤولة عنها أمام أطراف خارجية. بالإضافة إلى ذلك، عند شراء سفن مستعملة، لا تستفيد الشركة من أي ضمانات من شركة البناء إذا كانت السفن المشتراة أقدم من عام واحد</w:t>
      </w:r>
      <w:r w:rsidRPr="009726AD">
        <w:rPr>
          <w:rFonts w:ascii="Traditional Arabic" w:hAnsi="Traditional Arabic" w:cs="Traditional Arabic"/>
          <w:b/>
          <w:sz w:val="30"/>
          <w:szCs w:val="30"/>
          <w:lang w:bidi="ar-EG"/>
        </w:rPr>
        <w:t>.</w:t>
      </w:r>
    </w:p>
    <w:p w14:paraId="3D34578C" w14:textId="77777777" w:rsidR="00CF3C9A" w:rsidRPr="009726AD" w:rsidRDefault="00CF3C9A" w:rsidP="00CF3C9A">
      <w:pPr>
        <w:bidi/>
        <w:jc w:val="both"/>
        <w:rPr>
          <w:rFonts w:ascii="Traditional Arabic" w:hAnsi="Traditional Arabic" w:cs="Traditional Arabic"/>
          <w:b/>
          <w:sz w:val="30"/>
          <w:szCs w:val="30"/>
          <w:rtl/>
          <w:lang w:bidi="ar-EG"/>
        </w:rPr>
      </w:pPr>
    </w:p>
    <w:p w14:paraId="1C0F7CAA"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ونتيجة للمخاطر السابقة، فقد تؤثر تكلفة تشغيل أسطول سفن الشركة سلبًا على قدرتها على تشغيل سفنها بشكل مربح، مما قد يكون له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 xml:space="preserve">. </w:t>
      </w:r>
    </w:p>
    <w:p w14:paraId="192E4154" w14:textId="77777777" w:rsidR="00CF3C9A" w:rsidRDefault="00CF3C9A" w:rsidP="00CF3C9A">
      <w:pPr>
        <w:bidi/>
        <w:jc w:val="both"/>
        <w:rPr>
          <w:rFonts w:ascii="Traditional Arabic" w:hAnsi="Traditional Arabic" w:cs="Traditional Arabic"/>
          <w:b/>
          <w:sz w:val="30"/>
          <w:szCs w:val="30"/>
          <w:rtl/>
          <w:lang w:bidi="ar-EG"/>
        </w:rPr>
      </w:pPr>
    </w:p>
    <w:p w14:paraId="1E8CF681" w14:textId="77777777" w:rsidR="00CF3C9A" w:rsidRPr="009726AD" w:rsidRDefault="00CF3C9A" w:rsidP="00CF3C9A">
      <w:pPr>
        <w:bidi/>
        <w:jc w:val="both"/>
        <w:rPr>
          <w:rFonts w:ascii="Traditional Arabic" w:hAnsi="Traditional Arabic" w:cs="Traditional Arabic"/>
          <w:b/>
          <w:sz w:val="30"/>
          <w:szCs w:val="30"/>
          <w:rtl/>
          <w:lang w:bidi="ar-EG"/>
        </w:rPr>
      </w:pPr>
    </w:p>
    <w:p w14:paraId="20D9752D"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26</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تخضع الشركة لمخاطر تتعلق بعدم تجديد عقود إيجار سفنها المجهزة بالمدة</w:t>
      </w:r>
    </w:p>
    <w:p w14:paraId="51710FAC" w14:textId="77777777" w:rsidR="00CF3C9A" w:rsidRDefault="00CF3C9A" w:rsidP="009726AD">
      <w:pPr>
        <w:bidi/>
        <w:jc w:val="both"/>
        <w:rPr>
          <w:rFonts w:ascii="Traditional Arabic" w:hAnsi="Traditional Arabic" w:cs="Traditional Arabic"/>
          <w:b/>
          <w:sz w:val="30"/>
          <w:szCs w:val="30"/>
          <w:rtl/>
          <w:lang w:bidi="ar-EG"/>
        </w:rPr>
      </w:pPr>
    </w:p>
    <w:p w14:paraId="79730888"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تسعى الشركة إلى أن تجمع في أسطولها بين السفن المجهزة بالمدة المتاحة للتأجير قصير الأجل في سوق التأجير الفوري والسفن المجهزة بالمدة المتاحة للتأجير طويل الأجل. وتكون غالبية عقود إيجار السفن المجهزة بالمدة التي تعمل بموجبها سفن الشركة هي </w:t>
      </w:r>
      <w:r w:rsidRPr="009726AD">
        <w:rPr>
          <w:rFonts w:ascii="Traditional Arabic" w:hAnsi="Traditional Arabic" w:cs="Traditional Arabic"/>
          <w:b/>
          <w:sz w:val="30"/>
          <w:szCs w:val="30"/>
          <w:rtl/>
          <w:lang w:bidi="ar-EG"/>
        </w:rPr>
        <w:lastRenderedPageBreak/>
        <w:t>عبارة عن عقود طويلة الأجل ومحددة المدة، وفي بعض الحالات، تخضع للتمديد حسب اختيار عملاء الشركة. قد يتأثر احتمال تمديد عقود الإيجار هذه سلبًا بالتدهور العام في الظروف الاقتصادية والأحوال السائدة في سوق الشحن، وقد لا يتم تجديد العقود على أساس المدى الطويل أو قد لا يتم تجديدها على الإطلاق. وإذا كانت الشركة غير قادرة على تجديد عقود السفن المتأثرة على الفور بأسعار مواتية أو مربحة، أو على الإطلاق، فقد يكون لذلك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 xml:space="preserve">. </w:t>
      </w:r>
    </w:p>
    <w:p w14:paraId="4D1B3B72" w14:textId="77777777" w:rsidR="00CF3C9A" w:rsidRPr="009726AD" w:rsidRDefault="00CF3C9A" w:rsidP="00CF3C9A">
      <w:pPr>
        <w:bidi/>
        <w:jc w:val="both"/>
        <w:rPr>
          <w:rFonts w:ascii="Traditional Arabic" w:hAnsi="Traditional Arabic" w:cs="Traditional Arabic"/>
          <w:b/>
          <w:sz w:val="30"/>
          <w:szCs w:val="30"/>
          <w:rtl/>
          <w:lang w:bidi="ar-EG"/>
        </w:rPr>
      </w:pPr>
    </w:p>
    <w:p w14:paraId="28C46FF0"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تعتمد قدرة الشركة على إعادة تأجير سفنها بعد انتهاء عقود الإيجار الحالية، بالإضافة إلى الأسعار المستحقة الدفع عند تجديد العقود أو الدخول في عقود جديدة، على حالة السوق في وقت تجديد العقود أو إبرام عقود جديدة. هذا، ويتمتع قطاع النقل البحري بقدرة تنافسية عالية، وقد شهد تقلبات كبيرة في أسعار التأجير بناءً على الطلب على السفن والبضائع، بالإضافة إلى المعروض من السفن والبضائع. فعلى سبيل المثال، يمكن أن يؤثر انخفاض الطلب على النفط والمنتجات النفطية - بشكل كبير أو مطول - سلبًا بشكل جوهري على قدرة الشركة على إعادة تأجير ناقلات النفط الخام العملاقة وناقلات المنتجات النفطية متوسطة الحجم</w:t>
      </w:r>
      <w:r w:rsidRPr="009726AD">
        <w:rPr>
          <w:rFonts w:ascii="Traditional Arabic" w:hAnsi="Traditional Arabic" w:cs="Traditional Arabic"/>
          <w:b/>
          <w:sz w:val="30"/>
          <w:szCs w:val="30"/>
          <w:lang w:bidi="ar-EG"/>
        </w:rPr>
        <w:t xml:space="preserve"> (MR2s) </w:t>
      </w:r>
      <w:r w:rsidRPr="009726AD">
        <w:rPr>
          <w:rFonts w:ascii="Traditional Arabic" w:hAnsi="Traditional Arabic" w:cs="Traditional Arabic"/>
          <w:b/>
          <w:sz w:val="30"/>
          <w:szCs w:val="30"/>
          <w:rtl/>
          <w:lang w:bidi="ar-EG"/>
        </w:rPr>
        <w:t>بأسعار مقبولة أو الحصول على ناقلات النفط العملاقة الجديدة أو ناقلات المنتجات النفطية متوسطة الحجم</w:t>
      </w:r>
      <w:r w:rsidRPr="009726AD">
        <w:rPr>
          <w:rFonts w:ascii="Traditional Arabic" w:hAnsi="Traditional Arabic" w:cs="Traditional Arabic"/>
          <w:b/>
          <w:sz w:val="30"/>
          <w:szCs w:val="30"/>
          <w:lang w:bidi="ar-EG"/>
        </w:rPr>
        <w:t xml:space="preserve"> (MR2s) </w:t>
      </w:r>
      <w:r w:rsidRPr="009726AD">
        <w:rPr>
          <w:rFonts w:ascii="Traditional Arabic" w:hAnsi="Traditional Arabic" w:cs="Traditional Arabic"/>
          <w:b/>
          <w:sz w:val="30"/>
          <w:szCs w:val="30"/>
          <w:rtl/>
          <w:lang w:bidi="ar-EG"/>
        </w:rPr>
        <w:t>وتشغيلها بشكل مربح. يرجى الاطلاع على فقرة "- يخضع قطاع النقل البحري وأعمال الشركة لتغيرات دورية قوية في العرض والطلب، وقد يؤدي ذلك إلى تقلبات في إيرادات الشركة وربحيتها</w:t>
      </w:r>
      <w:r w:rsidRPr="009726AD">
        <w:rPr>
          <w:rFonts w:ascii="Traditional Arabic" w:hAnsi="Traditional Arabic" w:cs="Traditional Arabic"/>
          <w:b/>
          <w:sz w:val="30"/>
          <w:szCs w:val="30"/>
          <w:lang w:bidi="ar-EG"/>
        </w:rPr>
        <w:t xml:space="preserve"> ". </w:t>
      </w:r>
    </w:p>
    <w:p w14:paraId="130716C4" w14:textId="77777777" w:rsidR="00CF3C9A" w:rsidRPr="009726AD" w:rsidRDefault="00CF3C9A" w:rsidP="00CF3C9A">
      <w:pPr>
        <w:bidi/>
        <w:jc w:val="both"/>
        <w:rPr>
          <w:rFonts w:ascii="Traditional Arabic" w:hAnsi="Traditional Arabic" w:cs="Traditional Arabic"/>
          <w:b/>
          <w:sz w:val="30"/>
          <w:szCs w:val="30"/>
          <w:rtl/>
          <w:lang w:bidi="ar-EG"/>
        </w:rPr>
      </w:pPr>
    </w:p>
    <w:p w14:paraId="1201291C" w14:textId="77777777" w:rsidR="009726AD" w:rsidRDefault="007D6AD1" w:rsidP="009726AD">
      <w:pPr>
        <w:bidi/>
        <w:jc w:val="both"/>
        <w:rPr>
          <w:rFonts w:ascii="Traditional Arabic" w:hAnsi="Traditional Arabic" w:cs="Traditional Arabic"/>
          <w:b/>
          <w:sz w:val="30"/>
          <w:szCs w:val="30"/>
          <w:rtl/>
          <w:lang w:bidi="ar-EG"/>
        </w:rPr>
      </w:pPr>
      <w:r w:rsidRPr="007D6AD1">
        <w:rPr>
          <w:rFonts w:ascii="Traditional Arabic" w:hAnsi="Traditional Arabic" w:cs="Traditional Arabic"/>
          <w:b/>
          <w:sz w:val="30"/>
          <w:szCs w:val="30"/>
          <w:rtl/>
          <w:lang w:bidi="ar-EG"/>
        </w:rPr>
        <w:t>ستنتهي صلاحية خمسة عقود من أصل ستة عقود من عقود إيجار السفن المجهزة بالمدة للغاز الطبيعي المسال في عام 2025 أو 2026، ثلاثة منها تتعلق بانتهاء مشروع الغاز الطبيعي المسال العماني ومشروع قلهات للغاز الطبيعي المسال.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وإذا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حاولت</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الشركة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التفاوض</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بشأن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عقود</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جديدة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أو</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تجديد</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عقود</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التأجير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طويلة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الأجل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عند</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انخفاض</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سوق</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الناقلات،</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فقد</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تُلزم</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الشركة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بإعادة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تأجير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سفنها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بأسعار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تأجير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أقل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ملاءمة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أو</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إدخال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سفن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الشركة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في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سوق</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التأجير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الفوري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حتى</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تتعافى</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أسعار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التأجير،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مما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قد</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يكون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له</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تأثير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سلبي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جوهري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على</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أعمال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الشركة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ونتائج</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عملياتها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ووضعها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المالي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وتوقعاتها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ومع</w:t>
      </w:r>
      <w:r w:rsidR="009726AD" w:rsidRPr="009726AD">
        <w:rPr>
          <w:rFonts w:ascii="Traditional Arabic" w:hAnsi="Traditional Arabic" w:cs="Traditional Arabic"/>
          <w:b/>
          <w:sz w:val="30"/>
          <w:szCs w:val="30"/>
          <w:rtl/>
          <w:lang w:bidi="ar-EG"/>
        </w:rPr>
        <w:t xml:space="preserve"> ذلك، فإن انخفاض أسعار التأجير أو انخفاض معدل استخدام السفن لفترات طويلة قد يكون له تأثير سلبي جوهري على قيمة أصول الشركة</w:t>
      </w:r>
      <w:r w:rsidR="009726AD" w:rsidRPr="009726AD">
        <w:rPr>
          <w:rFonts w:ascii="Traditional Arabic" w:hAnsi="Traditional Arabic" w:cs="Traditional Arabic"/>
          <w:b/>
          <w:sz w:val="30"/>
          <w:szCs w:val="30"/>
          <w:lang w:bidi="ar-EG"/>
        </w:rPr>
        <w:t>.</w:t>
      </w:r>
    </w:p>
    <w:p w14:paraId="5192CAB9" w14:textId="77777777" w:rsidR="00CF3C9A" w:rsidRPr="009726AD" w:rsidRDefault="00CF3C9A" w:rsidP="00CF3C9A">
      <w:pPr>
        <w:bidi/>
        <w:jc w:val="both"/>
        <w:rPr>
          <w:rFonts w:ascii="Traditional Arabic" w:hAnsi="Traditional Arabic" w:cs="Traditional Arabic"/>
          <w:b/>
          <w:sz w:val="30"/>
          <w:szCs w:val="30"/>
          <w:rtl/>
          <w:lang w:bidi="ar-EG"/>
        </w:rPr>
      </w:pPr>
    </w:p>
    <w:p w14:paraId="0777F3DA"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27</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قد تزيد تكاليف تشغيل الشركة</w:t>
      </w:r>
      <w:r w:rsidRPr="00840EB1">
        <w:rPr>
          <w:rFonts w:ascii="Traditional Arabic" w:hAnsi="Traditional Arabic" w:cs="Traditional Arabic"/>
          <w:bCs/>
          <w:sz w:val="30"/>
          <w:szCs w:val="30"/>
          <w:lang w:bidi="ar-EG"/>
        </w:rPr>
        <w:t>.</w:t>
      </w:r>
    </w:p>
    <w:p w14:paraId="1FD2A11A" w14:textId="77777777" w:rsidR="00CF3C9A" w:rsidRDefault="00CF3C9A" w:rsidP="009726AD">
      <w:pPr>
        <w:bidi/>
        <w:jc w:val="both"/>
        <w:rPr>
          <w:rFonts w:ascii="Traditional Arabic" w:hAnsi="Traditional Arabic" w:cs="Traditional Arabic"/>
          <w:b/>
          <w:sz w:val="30"/>
          <w:szCs w:val="30"/>
          <w:rtl/>
          <w:lang w:bidi="ar-EG"/>
        </w:rPr>
      </w:pPr>
    </w:p>
    <w:p w14:paraId="6E7B310B"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تؤثر تكاليف تشغيل الشركة بشكل كبير على أرباحها [الإجمالية]، وتتأثر بعدد وعمر سفنها المشغلة، وتكاليف التشغيل المحلية في كل منطقة أو بلد توجد فيه سفنها. وتتأثر الزيادات المتصاعدة في تكاليف تشغيل الشركة بشكل خاص بالزيادات في أجور طاقم السفينة، وتكلفة المكونات والمواد الاستهلاكية، وتقادم أسطول الشركة، وتكلفة وتواتر خدمات الصيانة (بما في ذلك، ما يكون نتيجة للتضخم). حتى عندما تكون السفينة ليست في حالة تشغيل، فإن قدرة الشركة على تقليل العديد من العوامل </w:t>
      </w:r>
      <w:r w:rsidRPr="009726AD">
        <w:rPr>
          <w:rFonts w:ascii="Traditional Arabic" w:hAnsi="Traditional Arabic" w:cs="Traditional Arabic"/>
          <w:b/>
          <w:sz w:val="30"/>
          <w:szCs w:val="30"/>
          <w:rtl/>
          <w:lang w:bidi="ar-EG"/>
        </w:rPr>
        <w:lastRenderedPageBreak/>
        <w:t>الرئيسية لتكاليف تشغيلها محدودة، حيث يجب الحفاظ على طاقم أساسي على سفنها غير المشغلة بحيث يمكن تجهيزها بسرعة عند إيجاد عقد تأجير لها، ويجب على الشركة الاستمرار في القيام بأنشطة الصيانة لضمان بقاء السفن غير المشغلة صالحة للإبحار</w:t>
      </w:r>
      <w:r w:rsidRPr="009726AD">
        <w:rPr>
          <w:rFonts w:ascii="Traditional Arabic" w:hAnsi="Traditional Arabic" w:cs="Traditional Arabic"/>
          <w:b/>
          <w:sz w:val="30"/>
          <w:szCs w:val="30"/>
          <w:lang w:bidi="ar-EG"/>
        </w:rPr>
        <w:t>.</w:t>
      </w:r>
    </w:p>
    <w:p w14:paraId="07156198" w14:textId="77777777" w:rsidR="00CF3C9A" w:rsidRPr="009726AD" w:rsidRDefault="00CF3C9A" w:rsidP="00CF3C9A">
      <w:pPr>
        <w:bidi/>
        <w:jc w:val="both"/>
        <w:rPr>
          <w:rFonts w:ascii="Traditional Arabic" w:hAnsi="Traditional Arabic" w:cs="Traditional Arabic"/>
          <w:b/>
          <w:sz w:val="30"/>
          <w:szCs w:val="30"/>
          <w:rtl/>
          <w:lang w:bidi="ar-EG"/>
        </w:rPr>
      </w:pPr>
    </w:p>
    <w:p w14:paraId="5A4DBB97"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تطبق معظم عقود الشركة الخاصة بتأجير السفن المجهزة بالمدة أسعارًا يومية ثابتة طوال مدة العقد، على الرغم من أن بعضها يتضمن بندًا لزيادة الأسعار السنوية. ولذلك تتحمل الشركة عادة مخاطر أي زيادات في تكاليف تشغيل السفينة على مدى مدة عقد الإيجار. ونظرًا لأن غالبية عقود الشركة الخاصة بتأجير السفن المجهزة بالمدة لها مدد تزيد عن عام واحد، فقد يكون من الصعب تقدير التكاليف المستقبلية المرتبطة بهذه العقود طويلة الأجل على وجه التحديد. وبالتالي، قد تكون التكاليف الفعلية التي تتكبدها الشركة طوال مدة عقد إيجار سفينة مجهزة بالمدة، ولا سيما التكاليف المتعلقة بطاقم الموظفين على متن السفينة، والصيانة الفنية والتشغيلية، أعلى من تلك التي تقدرها الشركة عند التفاوض على تلك العقود. وإذا تجاوزت التكاليف الفعلية التكاليف المتوقعة في الوقت الذي تدخل فيه الشركة في عقود تأجير السفن المجهزة بالمدة، فقد تكون أقل ربحية مما هو متوقع أو تتسبب في تكبد الشركة لخسائر، مما قد يكون له تأثير سلبي جوهري على أعمالها ونتائج عملياتها ووضعها المالي وتوقعاتها</w:t>
      </w:r>
      <w:r w:rsidRPr="009726AD">
        <w:rPr>
          <w:rFonts w:ascii="Traditional Arabic" w:hAnsi="Traditional Arabic" w:cs="Traditional Arabic"/>
          <w:b/>
          <w:sz w:val="30"/>
          <w:szCs w:val="30"/>
          <w:lang w:bidi="ar-EG"/>
        </w:rPr>
        <w:t>.</w:t>
      </w:r>
    </w:p>
    <w:p w14:paraId="7322729C" w14:textId="77777777" w:rsidR="00CF3C9A" w:rsidRPr="009726AD" w:rsidRDefault="00CF3C9A" w:rsidP="00CF3C9A">
      <w:pPr>
        <w:bidi/>
        <w:jc w:val="both"/>
        <w:rPr>
          <w:rFonts w:ascii="Traditional Arabic" w:hAnsi="Traditional Arabic" w:cs="Traditional Arabic"/>
          <w:b/>
          <w:sz w:val="30"/>
          <w:szCs w:val="30"/>
          <w:rtl/>
          <w:lang w:bidi="ar-EG"/>
        </w:rPr>
      </w:pPr>
    </w:p>
    <w:p w14:paraId="0B93B3F3"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28</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تعتمد الشركة على أحواض بناء السفن التابعة لجهات خارجية لبناء سفن جديدة</w:t>
      </w:r>
      <w:r w:rsidRPr="00840EB1">
        <w:rPr>
          <w:rFonts w:ascii="Traditional Arabic" w:hAnsi="Traditional Arabic" w:cs="Traditional Arabic"/>
          <w:bCs/>
          <w:sz w:val="30"/>
          <w:szCs w:val="30"/>
          <w:lang w:bidi="ar-EG"/>
        </w:rPr>
        <w:t>.</w:t>
      </w:r>
    </w:p>
    <w:p w14:paraId="3C6B2CB2" w14:textId="77777777" w:rsidR="00CF3C9A" w:rsidRPr="009726AD" w:rsidRDefault="00CF3C9A" w:rsidP="00CF3C9A">
      <w:pPr>
        <w:bidi/>
        <w:jc w:val="both"/>
        <w:rPr>
          <w:rFonts w:ascii="Traditional Arabic" w:hAnsi="Traditional Arabic" w:cs="Traditional Arabic"/>
          <w:b/>
          <w:sz w:val="30"/>
          <w:szCs w:val="30"/>
          <w:rtl/>
          <w:lang w:bidi="ar-EG"/>
        </w:rPr>
      </w:pPr>
    </w:p>
    <w:p w14:paraId="769E8413" w14:textId="77777777" w:rsidR="00CF3C9A"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تعتمد الشركة على أحواض بناء السفن التابعة لجهات خارجية، ولا سيما شركة إتش دي هيونداي للصناعات الثقيلة</w:t>
      </w:r>
      <w:r w:rsidR="00CF3C9A">
        <w:rPr>
          <w:rFonts w:ascii="Traditional Arabic" w:hAnsi="Traditional Arabic" w:cs="Traditional Arabic" w:hint="cs"/>
          <w:b/>
          <w:sz w:val="30"/>
          <w:szCs w:val="30"/>
          <w:rtl/>
          <w:lang w:bidi="ar-EG"/>
        </w:rPr>
        <w:t xml:space="preserve"> </w:t>
      </w:r>
      <w:r w:rsidRPr="009726AD">
        <w:rPr>
          <w:rFonts w:ascii="Traditional Arabic" w:hAnsi="Traditional Arabic" w:cs="Traditional Arabic"/>
          <w:b/>
          <w:sz w:val="30"/>
          <w:szCs w:val="30"/>
          <w:lang w:bidi="ar-EG"/>
        </w:rPr>
        <w:t xml:space="preserve">("HHI") </w:t>
      </w:r>
      <w:r w:rsidR="00CF3C9A">
        <w:rPr>
          <w:rFonts w:ascii="Traditional Arabic" w:hAnsi="Traditional Arabic" w:cs="Traditional Arabic" w:hint="cs"/>
          <w:b/>
          <w:sz w:val="30"/>
          <w:szCs w:val="30"/>
          <w:rtl/>
          <w:lang w:bidi="ar-EG"/>
        </w:rPr>
        <w:t xml:space="preserve"> </w:t>
      </w:r>
      <w:r w:rsidRPr="009726AD">
        <w:rPr>
          <w:rFonts w:ascii="Traditional Arabic" w:hAnsi="Traditional Arabic" w:cs="Traditional Arabic"/>
          <w:b/>
          <w:sz w:val="30"/>
          <w:szCs w:val="30"/>
          <w:rtl/>
          <w:lang w:bidi="ar-EG"/>
        </w:rPr>
        <w:t xml:space="preserve">وشركة هانوا أوشن في كوريا، لبناء سفن جديدة. لذلك، تواجه الشركة مخاطر متأصلة في أي مشاريع بناء أو صيانة كبيرة، بما في ذلك التأخير أو التقصير من قبل أحواض بناء السفن بسبب مشاكل غير متوقعة في الجودة أو الأعمال الهندسية، وتوقف العمل، وسوء الأحوال الجوية، وزيادة التكاليف غير المتوقعة، والتأخير في استلام المعدات اللازمة، وعدم القدرة على الحصول على التصاريح أو الموافقات المطلوبة، وعوامل أخرى خارجة عن سيطرة الشركة. ولا يوجد ما يضمن أن السفن الجديدة التي تم التعاقد عليها حاليًا والتي سيتم طلبها في المستقبل سيتم إكمالها في الموعد المحدد أو سيتم الانتهاء منها أصلا. </w:t>
      </w:r>
    </w:p>
    <w:p w14:paraId="3A3DBDD2" w14:textId="77777777" w:rsidR="00CF3C9A" w:rsidRDefault="00CF3C9A" w:rsidP="00CF3C9A">
      <w:pPr>
        <w:bidi/>
        <w:jc w:val="both"/>
        <w:rPr>
          <w:rFonts w:ascii="Traditional Arabic" w:hAnsi="Traditional Arabic" w:cs="Traditional Arabic"/>
          <w:b/>
          <w:sz w:val="30"/>
          <w:szCs w:val="30"/>
          <w:rtl/>
          <w:lang w:bidi="ar-EG"/>
        </w:rPr>
      </w:pPr>
    </w:p>
    <w:p w14:paraId="6DA7F0EF"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علاوة على ذلك، يتعين على الشركة دفع مبالغ كبيرة في شكل دفعات مقدمة ومدفوعات مرحلية أثناء بناء السفن الجديدة، ولكنها لا تحقق أي إيرادات من السفن إلا بعد تسليمها. وقد يؤدي فشل أحواض بناء السفن التابعة لها في بناء أو تسليم سفنها الجديدة في الوقت المناسب إلى تأخير إعادة توزيع أي مبالغ مدفوعة مسبقًا على استخدامات أخرى، وتقليل صافي دخل الشركة وتدفقاتها النقدية في المستقبل</w:t>
      </w:r>
      <w:r w:rsidRPr="009726AD">
        <w:rPr>
          <w:rFonts w:ascii="Traditional Arabic" w:hAnsi="Traditional Arabic" w:cs="Traditional Arabic"/>
          <w:b/>
          <w:sz w:val="30"/>
          <w:szCs w:val="30"/>
          <w:lang w:bidi="ar-EG"/>
        </w:rPr>
        <w:t>.</w:t>
      </w:r>
    </w:p>
    <w:p w14:paraId="5ED3043F" w14:textId="77777777" w:rsidR="00CF3C9A" w:rsidRPr="009726AD" w:rsidRDefault="00CF3C9A" w:rsidP="00CF3C9A">
      <w:pPr>
        <w:bidi/>
        <w:jc w:val="both"/>
        <w:rPr>
          <w:rFonts w:ascii="Traditional Arabic" w:hAnsi="Traditional Arabic" w:cs="Traditional Arabic"/>
          <w:b/>
          <w:sz w:val="30"/>
          <w:szCs w:val="30"/>
          <w:rtl/>
          <w:lang w:bidi="ar-EG"/>
        </w:rPr>
      </w:pPr>
    </w:p>
    <w:p w14:paraId="6056D5CD"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lastRenderedPageBreak/>
        <w:t>إذا فشلت أحواض بناء السفن التابعة لها في تسليم السفن الجديدة للشركة وفقًا للشروط المتفق عليها، فقد تتأثر قدرة الشركة على الوفاء بالتزاماتها التعاقدية تجاه العملاء سلبًا، وقد يُطلب منها استئجار سفينة أخرى للوفاء بتلك الالتزامات. ولا يوجد ما يضمن أن الشركة ستكون قادرة على استرداد التكاليف الناتجة عن مسؤولية حوض بناء السفن في جميع الأحوال، وفقًا للإجراءات المتعارف عليه، إذا كان حوض بناء السفن غير قادر أو غير راغب في تسليم السفينة في الوقت المحدد أو قادر على تسليمها أصلا، وقد تكون تعويضات الشركة قليلة نسبيا</w:t>
      </w:r>
      <w:r w:rsidRPr="009726AD">
        <w:rPr>
          <w:rFonts w:ascii="Traditional Arabic" w:hAnsi="Traditional Arabic" w:cs="Traditional Arabic"/>
          <w:b/>
          <w:sz w:val="30"/>
          <w:szCs w:val="30"/>
          <w:lang w:bidi="ar-EG"/>
        </w:rPr>
        <w:t xml:space="preserve">. </w:t>
      </w:r>
    </w:p>
    <w:p w14:paraId="7E550F68" w14:textId="77777777" w:rsidR="00CF3C9A" w:rsidRPr="009726AD" w:rsidRDefault="00CF3C9A" w:rsidP="00CF3C9A">
      <w:pPr>
        <w:bidi/>
        <w:jc w:val="both"/>
        <w:rPr>
          <w:rFonts w:ascii="Traditional Arabic" w:hAnsi="Traditional Arabic" w:cs="Traditional Arabic"/>
          <w:b/>
          <w:sz w:val="30"/>
          <w:szCs w:val="30"/>
          <w:rtl/>
          <w:lang w:bidi="ar-EG"/>
        </w:rPr>
      </w:pPr>
    </w:p>
    <w:p w14:paraId="203D053D"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تحتفظ الشركة بتأمين قد يوفر تعويضًا في ظروف معينة، وتتوقع تنفيذ التعويضات التعاقدية والأحكام الأخرى ذات الصلة الواردة في عقود البناء مع أحواض بناء السفن، ومع ذلك لا يوجد ما يضمن نجاح جهودها في استرداد أي خسائر نقدية ناتجة</w:t>
      </w:r>
      <w:r w:rsidRPr="009726AD">
        <w:rPr>
          <w:rFonts w:ascii="Traditional Arabic" w:hAnsi="Traditional Arabic" w:cs="Traditional Arabic"/>
          <w:b/>
          <w:sz w:val="30"/>
          <w:szCs w:val="30"/>
          <w:lang w:bidi="ar-EG"/>
        </w:rPr>
        <w:t>.</w:t>
      </w:r>
    </w:p>
    <w:p w14:paraId="5FFEC3C2" w14:textId="77777777" w:rsidR="00CF3C9A" w:rsidRPr="009726AD" w:rsidRDefault="00CF3C9A" w:rsidP="00CF3C9A">
      <w:pPr>
        <w:bidi/>
        <w:jc w:val="both"/>
        <w:rPr>
          <w:rFonts w:ascii="Traditional Arabic" w:hAnsi="Traditional Arabic" w:cs="Traditional Arabic"/>
          <w:b/>
          <w:sz w:val="30"/>
          <w:szCs w:val="30"/>
          <w:rtl/>
          <w:lang w:bidi="ar-EG"/>
        </w:rPr>
      </w:pPr>
    </w:p>
    <w:p w14:paraId="4BA8D812"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وقد يكون لوقوع أي من المخاطر السابقة تأثير سلبي جوهري على أعمال الشركة ونتائج عملياتها ووضعها المالي وتوقعاتها، بما في ذلك القيمة الإجمالية لإيرادات عقود تأجير السفن المجهزة بالمدة</w:t>
      </w:r>
      <w:r w:rsidRPr="009726AD">
        <w:rPr>
          <w:rFonts w:ascii="Traditional Arabic" w:hAnsi="Traditional Arabic" w:cs="Traditional Arabic"/>
          <w:b/>
          <w:sz w:val="30"/>
          <w:szCs w:val="30"/>
          <w:lang w:bidi="ar-EG"/>
        </w:rPr>
        <w:t>.</w:t>
      </w:r>
    </w:p>
    <w:p w14:paraId="27760847" w14:textId="77777777" w:rsidR="00CF3C9A" w:rsidRPr="009726AD" w:rsidRDefault="00CF3C9A" w:rsidP="00CF3C9A">
      <w:pPr>
        <w:bidi/>
        <w:jc w:val="both"/>
        <w:rPr>
          <w:rFonts w:ascii="Traditional Arabic" w:hAnsi="Traditional Arabic" w:cs="Traditional Arabic"/>
          <w:b/>
          <w:sz w:val="30"/>
          <w:szCs w:val="30"/>
          <w:rtl/>
          <w:lang w:bidi="ar-EG"/>
        </w:rPr>
      </w:pPr>
    </w:p>
    <w:p w14:paraId="7628482F"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29</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قد تتأثر الشركة سلبًا بالمخاطر المرتبطة بترتيبات مشروعها المشترك، بالإضافة إلى شراكاتها الاستراتيجية والمحلية</w:t>
      </w:r>
      <w:r w:rsidRPr="00840EB1">
        <w:rPr>
          <w:rFonts w:ascii="Traditional Arabic" w:hAnsi="Traditional Arabic" w:cs="Traditional Arabic"/>
          <w:bCs/>
          <w:sz w:val="30"/>
          <w:szCs w:val="30"/>
          <w:lang w:bidi="ar-EG"/>
        </w:rPr>
        <w:t>.</w:t>
      </w:r>
    </w:p>
    <w:p w14:paraId="02661C5A" w14:textId="77777777" w:rsidR="00CF3C9A" w:rsidRDefault="00CF3C9A" w:rsidP="009726AD">
      <w:pPr>
        <w:bidi/>
        <w:jc w:val="both"/>
        <w:rPr>
          <w:rFonts w:ascii="Traditional Arabic" w:hAnsi="Traditional Arabic" w:cs="Traditional Arabic"/>
          <w:b/>
          <w:sz w:val="30"/>
          <w:szCs w:val="30"/>
          <w:rtl/>
          <w:lang w:bidi="ar-EG"/>
        </w:rPr>
      </w:pPr>
    </w:p>
    <w:p w14:paraId="225A641E"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دخلت الشركة، ومن المحتمل أن تدخل، في ترتيبات مشاريع مشتركة وشراكات استراتيجية لتشغيل وتوسيع أعمالها، لا سيما فيما يتعلق بملكية خمس ناقلات للغاز الطبيعي المسال وناقلتين كبيرتي الحجم من طراز</w:t>
      </w:r>
      <w:r w:rsidRPr="009726AD">
        <w:rPr>
          <w:rFonts w:ascii="Traditional Arabic" w:hAnsi="Traditional Arabic" w:cs="Traditional Arabic"/>
          <w:b/>
          <w:sz w:val="30"/>
          <w:szCs w:val="30"/>
          <w:lang w:bidi="ar-EG"/>
        </w:rPr>
        <w:t xml:space="preserve"> (LR2) </w:t>
      </w:r>
      <w:r w:rsidRPr="009726AD">
        <w:rPr>
          <w:rFonts w:ascii="Traditional Arabic" w:hAnsi="Traditional Arabic" w:cs="Traditional Arabic"/>
          <w:b/>
          <w:sz w:val="30"/>
          <w:szCs w:val="30"/>
          <w:rtl/>
          <w:lang w:bidi="ar-EG"/>
        </w:rPr>
        <w:t>وناقلة غاز عملاقة من طراز</w:t>
      </w:r>
      <w:r w:rsidRPr="009726AD">
        <w:rPr>
          <w:rFonts w:ascii="Traditional Arabic" w:hAnsi="Traditional Arabic" w:cs="Traditional Arabic"/>
          <w:b/>
          <w:sz w:val="30"/>
          <w:szCs w:val="30"/>
          <w:lang w:bidi="ar-EG"/>
        </w:rPr>
        <w:t xml:space="preserve"> (VLGC). </w:t>
      </w:r>
      <w:r w:rsidRPr="009726AD">
        <w:rPr>
          <w:rFonts w:ascii="Traditional Arabic" w:hAnsi="Traditional Arabic" w:cs="Traditional Arabic"/>
          <w:b/>
          <w:sz w:val="30"/>
          <w:szCs w:val="30"/>
          <w:rtl/>
          <w:lang w:bidi="ar-EG"/>
        </w:rPr>
        <w:t>هذا، ويعتمد نجاح المشاريع المشتركة والشراكات الاستراتيجية للشركة على صمودها أمام عددٍ من المخاطر، بما في ذلك تدهور علاقة الشركاء، وعدم تقديم الشريك للخبرات أو الخدمات المتوقعة، والوقوع تحت طائلة المسائلة أو تكبد النفقات المتعلقة بسلوك الشريك، وتباين المصالح الاقتصادية والتجارية بين الشركة وشركائها. بالإضافة إلى ذلك، تخضع بعض اتفاقيات المشاريع المشتركة للشركة لقيود على التصويت ونقل الملكية، بما في ذلك أحكام "تغيير السيطرة". وفي حالة تغيير السيطرة على الشركة، يمكن تفعيل هذه البنود، ويمكن أن تؤدي إلى إنهاء أو إلغاء هذه الاتفاقيات</w:t>
      </w:r>
      <w:r w:rsidRPr="009726AD">
        <w:rPr>
          <w:rFonts w:ascii="Traditional Arabic" w:hAnsi="Traditional Arabic" w:cs="Traditional Arabic"/>
          <w:b/>
          <w:sz w:val="30"/>
          <w:szCs w:val="30"/>
          <w:lang w:bidi="ar-EG"/>
        </w:rPr>
        <w:t>.</w:t>
      </w:r>
    </w:p>
    <w:p w14:paraId="00BF87F4" w14:textId="77777777" w:rsidR="00CF3C9A" w:rsidRPr="009726AD" w:rsidRDefault="00CF3C9A" w:rsidP="00CF3C9A">
      <w:pPr>
        <w:bidi/>
        <w:jc w:val="both"/>
        <w:rPr>
          <w:rFonts w:ascii="Traditional Arabic" w:hAnsi="Traditional Arabic" w:cs="Traditional Arabic"/>
          <w:b/>
          <w:sz w:val="30"/>
          <w:szCs w:val="30"/>
          <w:rtl/>
          <w:lang w:bidi="ar-EG"/>
        </w:rPr>
      </w:pPr>
    </w:p>
    <w:p w14:paraId="4ECF56D5"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تعتمد الشركة أيضًا على الشركاء المحليين في بعض البلدان للمساعدة في توفير الطاقم، وتعزيز العلاقات مع العملاء والحفاظ عليها، والاتصال بالسلطات المحلية المسؤولة عن أنظمة الترخيص والتصريح. ومع ذلك، قد لا تكون ترتيبات الشركة مع الشركاء المحليين فعالة، أو قد تؤدي إلى خسائر للشركة أو قد يتم إنهاؤها، وليس هناك ما يضمن أن الشركة يمكنها الحصول على ترتيبات بديلة بشروط مماثلة مع شركاء محليين جدد أو حصولها على ترتيبات بديلة على الإطلاق</w:t>
      </w:r>
      <w:r w:rsidRPr="009726AD">
        <w:rPr>
          <w:rFonts w:ascii="Traditional Arabic" w:hAnsi="Traditional Arabic" w:cs="Traditional Arabic"/>
          <w:b/>
          <w:sz w:val="30"/>
          <w:szCs w:val="30"/>
          <w:lang w:bidi="ar-EG"/>
        </w:rPr>
        <w:t>.</w:t>
      </w:r>
    </w:p>
    <w:p w14:paraId="03431641" w14:textId="77777777" w:rsidR="00CF3C9A" w:rsidRPr="009726AD" w:rsidRDefault="00CF3C9A" w:rsidP="00CF3C9A">
      <w:pPr>
        <w:bidi/>
        <w:jc w:val="both"/>
        <w:rPr>
          <w:rFonts w:ascii="Traditional Arabic" w:hAnsi="Traditional Arabic" w:cs="Traditional Arabic"/>
          <w:b/>
          <w:sz w:val="30"/>
          <w:szCs w:val="30"/>
          <w:rtl/>
          <w:lang w:bidi="ar-EG"/>
        </w:rPr>
      </w:pPr>
    </w:p>
    <w:p w14:paraId="3FB977A2"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lastRenderedPageBreak/>
        <w:t>وإذا لم تنجح الشراكات المحلية والمشاريع المشتركة للشركة، أو تم إنهاؤها، فقد يكون لذلك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492F4849" w14:textId="77777777" w:rsidR="00CF3C9A" w:rsidRPr="009726AD" w:rsidRDefault="00CF3C9A" w:rsidP="00CF3C9A">
      <w:pPr>
        <w:bidi/>
        <w:jc w:val="both"/>
        <w:rPr>
          <w:rFonts w:ascii="Traditional Arabic" w:hAnsi="Traditional Arabic" w:cs="Traditional Arabic"/>
          <w:b/>
          <w:sz w:val="30"/>
          <w:szCs w:val="30"/>
          <w:rtl/>
          <w:lang w:bidi="ar-EG"/>
        </w:rPr>
      </w:pPr>
    </w:p>
    <w:p w14:paraId="35F4FF79"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30</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قد لا تتمكن الشركة من بيع سفنها في المستقبل بشروط جيدة</w:t>
      </w:r>
      <w:r w:rsidRPr="00840EB1">
        <w:rPr>
          <w:rFonts w:ascii="Traditional Arabic" w:hAnsi="Traditional Arabic" w:cs="Traditional Arabic"/>
          <w:bCs/>
          <w:sz w:val="30"/>
          <w:szCs w:val="30"/>
          <w:lang w:bidi="ar-EG"/>
        </w:rPr>
        <w:t>.</w:t>
      </w:r>
    </w:p>
    <w:p w14:paraId="12F98E77" w14:textId="77777777" w:rsidR="00CF3C9A" w:rsidRDefault="00CF3C9A" w:rsidP="009726AD">
      <w:pPr>
        <w:bidi/>
        <w:jc w:val="both"/>
        <w:rPr>
          <w:rFonts w:ascii="Traditional Arabic" w:hAnsi="Traditional Arabic" w:cs="Traditional Arabic"/>
          <w:b/>
          <w:sz w:val="30"/>
          <w:szCs w:val="30"/>
          <w:rtl/>
          <w:lang w:bidi="ar-EG"/>
        </w:rPr>
      </w:pPr>
    </w:p>
    <w:p w14:paraId="0ADB25FA"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تقوم الشركة بمراجعة أسطول سفنها بانتظام لتقييم متطلباتها في ضوء خطط عملها الحالية والمستقبلية، بهدف تحسين أسطول سفنها ورأس مالها المستثمر. كما تدير الشركة حاليًا، وتخطط لمواصلة تشغيل، أسطول من السفن بمتوسط عمر أقل من المتوسط السائد في القطاع. وكجزء من جهود الشركة للحفاظ على أسطول مثالي من السفن، فإنها تبيع بعض السفن من وقت لآخر إذا رأت أنها لا تتناسب مع أهدافها الاستراتيجية</w:t>
      </w:r>
      <w:r w:rsidRPr="009726AD">
        <w:rPr>
          <w:rFonts w:ascii="Traditional Arabic" w:hAnsi="Traditional Arabic" w:cs="Traditional Arabic"/>
          <w:b/>
          <w:sz w:val="30"/>
          <w:szCs w:val="30"/>
          <w:lang w:bidi="ar-EG"/>
        </w:rPr>
        <w:t>.</w:t>
      </w:r>
    </w:p>
    <w:p w14:paraId="144CAAE2" w14:textId="77777777" w:rsidR="00CF3C9A" w:rsidRPr="009726AD" w:rsidRDefault="00CF3C9A" w:rsidP="00CF3C9A">
      <w:pPr>
        <w:bidi/>
        <w:jc w:val="both"/>
        <w:rPr>
          <w:rFonts w:ascii="Traditional Arabic" w:hAnsi="Traditional Arabic" w:cs="Traditional Arabic"/>
          <w:b/>
          <w:sz w:val="30"/>
          <w:szCs w:val="30"/>
          <w:rtl/>
          <w:lang w:bidi="ar-EG"/>
        </w:rPr>
      </w:pPr>
    </w:p>
    <w:p w14:paraId="5C446961"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إن قدرة الشركة على بيع سفنها غير الاستراتيجية قد تتأثر بعوامل مختلفة، بما في ذلك توافر المشترين الراغبين في شراء هذه السفن بأسعار مقبولة، فضلاً عن الطلب والعرض لهذه السفن في السوق، مما قد يؤدي إلى تحقيق الشركة خسارة بالنسبة للقيمة الدفترية للسفن في وقت بيعها. بالإضافة إلى ذلك، فإن أي تأخير أو فشل في بيع سفنها غير الاستراتيجية قد يضر بجودة أسطولها، ويؤخر بناءها لسفن جديدة أو الاستحواذ على سفن جديدة إذا كانت الشركة غير قادرة على تمويل التكاليف المرتبطة بها، مما قد يكون له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478BA0CE" w14:textId="77777777" w:rsidR="00CF3C9A" w:rsidRPr="009726AD" w:rsidRDefault="00CF3C9A" w:rsidP="00CF3C9A">
      <w:pPr>
        <w:bidi/>
        <w:jc w:val="both"/>
        <w:rPr>
          <w:rFonts w:ascii="Traditional Arabic" w:hAnsi="Traditional Arabic" w:cs="Traditional Arabic"/>
          <w:b/>
          <w:sz w:val="30"/>
          <w:szCs w:val="30"/>
          <w:rtl/>
          <w:lang w:bidi="ar-EG"/>
        </w:rPr>
      </w:pPr>
    </w:p>
    <w:p w14:paraId="52A4CE42"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31</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تتطلب لوائح الكبريت للحد من تلوث الهواء المنبعث من السفن تعديل السفن وقد تتسبب في تكبد الشركة لتكاليف كبيرة</w:t>
      </w:r>
      <w:r w:rsidRPr="00840EB1">
        <w:rPr>
          <w:rFonts w:ascii="Traditional Arabic" w:hAnsi="Traditional Arabic" w:cs="Traditional Arabic"/>
          <w:bCs/>
          <w:sz w:val="30"/>
          <w:szCs w:val="30"/>
          <w:lang w:bidi="ar-EG"/>
        </w:rPr>
        <w:t>.</w:t>
      </w:r>
    </w:p>
    <w:p w14:paraId="1789A880" w14:textId="77777777" w:rsidR="00CF3C9A" w:rsidRPr="009726AD" w:rsidRDefault="00CF3C9A" w:rsidP="00CF3C9A">
      <w:pPr>
        <w:bidi/>
        <w:jc w:val="both"/>
        <w:rPr>
          <w:rFonts w:ascii="Traditional Arabic" w:hAnsi="Traditional Arabic" w:cs="Traditional Arabic"/>
          <w:b/>
          <w:sz w:val="30"/>
          <w:szCs w:val="30"/>
          <w:rtl/>
          <w:lang w:bidi="ar-EG"/>
        </w:rPr>
      </w:pPr>
    </w:p>
    <w:p w14:paraId="1711E6E8"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منذ 1 يناير 2020، ألزمت المنظمة البحرية الدولية - في قوانينها وسياساتها - السفن بالامتثال للحد العالمي على مستويات الكبريت في زيت الوقود المستخدم على متن السفن بنسبة 0.5 في المائة، بانخفاض عن الحد الأقصى السابق البالغ 3.5 في المائة. يشمل تفسير "زيت الوقود المستخدم على متن السفن" استخدامه في المحرك الرئيسي والمحركات المساعدة والمراجل. يتحقق الامتثال لهذه اللائحة من خلال (1) استخدام ما نسبته 0.5 في المائة من وقود الكبريت على متن السفينة، والذي يتوفر بتكلفة أعلى، (2) تركيب "أجهزة تنقية" لتنظيف غاز العادم، </w:t>
      </w:r>
      <w:r w:rsidR="007D6AD1" w:rsidRPr="007D6AD1">
        <w:rPr>
          <w:rFonts w:ascii="Traditional Arabic" w:hAnsi="Traditional Arabic" w:cs="Traditional Arabic"/>
          <w:b/>
          <w:sz w:val="30"/>
          <w:szCs w:val="30"/>
          <w:rtl/>
          <w:lang w:bidi="ar-EG"/>
        </w:rPr>
        <w:t xml:space="preserve">أو (3) تعديل السفن التي تعمل بالغاز الطبيعي المسال والوقود الأخضر البديل. كما في تاريخ هذه النشرة، تنطبق هذه اللوائح على جميع السفن في أسطول الشركة. بالإضافة إلى ذلك، تستخدم جميع أساطيل الشركة، بما في ذلك ناقلات الغاز الطبيعي المسال و ناقلات الغاز متوسطة الحجم، زيت وقود منخفض الكبريت للغاية(" </w:t>
      </w:r>
      <w:r w:rsidR="007D6AD1" w:rsidRPr="007D6AD1">
        <w:rPr>
          <w:rFonts w:ascii="Traditional Arabic" w:hAnsi="Traditional Arabic" w:cs="Traditional Arabic"/>
          <w:b/>
          <w:sz w:val="30"/>
          <w:szCs w:val="30"/>
          <w:lang w:bidi="ar-EG"/>
        </w:rPr>
        <w:t>VLSFO</w:t>
      </w:r>
      <w:r w:rsidR="007D6AD1" w:rsidRPr="007D6AD1">
        <w:rPr>
          <w:rFonts w:ascii="Traditional Arabic" w:hAnsi="Traditional Arabic" w:cs="Traditional Arabic"/>
          <w:b/>
          <w:sz w:val="30"/>
          <w:szCs w:val="30"/>
          <w:rtl/>
          <w:lang w:bidi="ar-EG"/>
        </w:rPr>
        <w:t xml:space="preserve"> ") مثل الديزل والغاز البحري المستخدم في تحريك السفن ودفعها، وهو لا يحتوي على كبريت</w:t>
      </w:r>
      <w:r w:rsidRPr="009726AD">
        <w:rPr>
          <w:rFonts w:ascii="Traditional Arabic" w:hAnsi="Traditional Arabic" w:cs="Traditional Arabic"/>
          <w:b/>
          <w:sz w:val="30"/>
          <w:szCs w:val="30"/>
          <w:rtl/>
          <w:lang w:bidi="ar-EG"/>
        </w:rPr>
        <w:t xml:space="preserve">. هذا، وتستخدم ناقلات الغاز العملاقة الحالية التابعة للشركة أجهزة لتنقية الغازات، في حين تم تصميم ناقلات الغاز العملاقة الجديدة </w:t>
      </w:r>
      <w:r w:rsidRPr="009726AD">
        <w:rPr>
          <w:rFonts w:ascii="Traditional Arabic" w:hAnsi="Traditional Arabic" w:cs="Traditional Arabic"/>
          <w:b/>
          <w:sz w:val="30"/>
          <w:szCs w:val="30"/>
          <w:rtl/>
          <w:lang w:bidi="ar-EG"/>
        </w:rPr>
        <w:lastRenderedPageBreak/>
        <w:t>بحيث تعمل بالوقود المزدوج (الوقود العادي/ الغاز الطبيعي المسال). ومع ذلك، لا يوجد ضمان بأن الشركة ستكون قادرة على تمرير التكاليف المتزايدة المرتبطة باستخدام زيت الوقود منخفض الكبريت للغاية، وتركيب "أجهزة تنقية الغاز" في المستقبل كما هو مطلوب، أو تعديل السفن التي تعمل بالغاز الطبيعي المسال بناءً على طلب العملاء، أو أن اللوائح لن تتغير أكثر من ذلك، مما قد يكون له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24D412CC" w14:textId="77777777" w:rsidR="00CF3C9A" w:rsidRPr="009726AD" w:rsidRDefault="00CF3C9A" w:rsidP="00CF3C9A">
      <w:pPr>
        <w:bidi/>
        <w:jc w:val="both"/>
        <w:rPr>
          <w:rFonts w:ascii="Traditional Arabic" w:hAnsi="Traditional Arabic" w:cs="Traditional Arabic"/>
          <w:b/>
          <w:sz w:val="30"/>
          <w:szCs w:val="30"/>
          <w:rtl/>
          <w:lang w:bidi="ar-EG"/>
        </w:rPr>
      </w:pPr>
    </w:p>
    <w:p w14:paraId="76E1DEA5"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32</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يمكن أن تتسبب مخاوف تغير المناخ وآثاره في تكبد الشركة لتكاليف كبيرة أو القيام باستثمارات كبيرة</w:t>
      </w:r>
      <w:r w:rsidRPr="00840EB1">
        <w:rPr>
          <w:rFonts w:ascii="Traditional Arabic" w:hAnsi="Traditional Arabic" w:cs="Traditional Arabic"/>
          <w:bCs/>
          <w:sz w:val="30"/>
          <w:szCs w:val="30"/>
          <w:lang w:bidi="ar-EG"/>
        </w:rPr>
        <w:t>.</w:t>
      </w:r>
    </w:p>
    <w:p w14:paraId="5227452B" w14:textId="77777777" w:rsidR="00CF3C9A" w:rsidRDefault="00CF3C9A" w:rsidP="009726AD">
      <w:pPr>
        <w:bidi/>
        <w:jc w:val="both"/>
        <w:rPr>
          <w:rFonts w:ascii="Traditional Arabic" w:hAnsi="Traditional Arabic" w:cs="Traditional Arabic"/>
          <w:b/>
          <w:sz w:val="30"/>
          <w:szCs w:val="30"/>
          <w:rtl/>
          <w:lang w:bidi="ar-EG"/>
        </w:rPr>
      </w:pPr>
    </w:p>
    <w:p w14:paraId="47956BBF" w14:textId="77777777" w:rsidR="009726AD" w:rsidRP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مع توصل المجتمع الدولي إلى إجماع في الرأي بشأن أهمية معالجة تغير المناخ، فإن العديد من القطاعات، بما في ذلك قطاع النقل البحري التي تعمل فيه الشركة وقطاع الطاقة الذي يعمل فيه عملاء الشركة، تثير مخاوف متزايدة لمساهمتها في تغير المناخ العالمي في السنوات الأخيرة. تم سن عدد من الإجراءات الدولية والوطنية والإقليمية للحد من انبعاثات الغازات الدفيئة (الاحتباس الحراري). فعلى سبيل المثال، دخلت اتفاقية باريس حيز التنفيذ في نوفمبر 2016، والعديد من الدول التي صادقت على اتفاقية باريس، بما في ذلك سلطنة عمان بموجب المرسوم السلطاني رقم 28/2019 الذي دخل حيز التنفيذ في أبريل 2019، تتبنى تدابير محلية لتحقيق أهداف اتفاقية باريس، والتي تشمل الحد من </w:t>
      </w:r>
      <w:r w:rsidRPr="00191F09">
        <w:rPr>
          <w:rFonts w:ascii="Traditional Arabic" w:hAnsi="Traditional Arabic" w:cs="Traditional Arabic"/>
          <w:b/>
          <w:sz w:val="30"/>
          <w:szCs w:val="30"/>
          <w:rtl/>
          <w:lang w:bidi="ar-EG"/>
        </w:rPr>
        <w:t xml:space="preserve">استخدامها للوقود الأحفوري وزيادة استخدامها لمصادر الطاقة البديلة. تقترح الصفقة الخضراء في ديسمبر 2019 تشريعًا جديدًا للاتحاد الأوروبي، يتضمن فرض </w:t>
      </w:r>
      <w:r w:rsidRPr="00B934CE">
        <w:rPr>
          <w:rFonts w:ascii="Traditional Arabic" w:hAnsi="Traditional Arabic" w:cs="Traditional Arabic"/>
          <w:b/>
          <w:sz w:val="30"/>
          <w:szCs w:val="30"/>
          <w:rtl/>
          <w:lang w:bidi="ar-EG"/>
        </w:rPr>
        <w:t>"ضريبة الكربون الحدودية"</w:t>
      </w:r>
      <w:r w:rsidRPr="00191F09">
        <w:rPr>
          <w:rFonts w:ascii="Traditional Arabic" w:hAnsi="Traditional Arabic" w:cs="Traditional Arabic"/>
          <w:b/>
          <w:sz w:val="30"/>
          <w:szCs w:val="30"/>
          <w:rtl/>
          <w:lang w:bidi="ar-EG"/>
        </w:rPr>
        <w:t xml:space="preserve"> أو "</w:t>
      </w:r>
      <w:r w:rsidRPr="00B934CE">
        <w:rPr>
          <w:rFonts w:ascii="Traditional Arabic" w:hAnsi="Traditional Arabic" w:cs="Traditional Arabic"/>
          <w:b/>
          <w:sz w:val="30"/>
          <w:szCs w:val="30"/>
          <w:rtl/>
          <w:lang w:bidi="ar-EG"/>
        </w:rPr>
        <w:t>تعديل حدود الكربون".</w:t>
      </w:r>
      <w:r w:rsidRPr="00191F09">
        <w:rPr>
          <w:rFonts w:ascii="Traditional Arabic" w:hAnsi="Traditional Arabic" w:cs="Traditional Arabic"/>
          <w:b/>
          <w:sz w:val="30"/>
          <w:szCs w:val="30"/>
          <w:rtl/>
          <w:lang w:bidi="ar-EG"/>
        </w:rPr>
        <w:t xml:space="preserve"> بالإضافة إلى ذلك، اقترحت المفوضية الأوروبية مؤخرًا هدفًا لعام 2030 لخفض انبعاثات الغازات الدفيئة بنسبة 55 في المائة</w:t>
      </w:r>
      <w:r w:rsidR="00840EB1" w:rsidRPr="00191F09">
        <w:rPr>
          <w:rFonts w:ascii="Traditional Arabic" w:hAnsi="Traditional Arabic" w:cs="Traditional Arabic" w:hint="cs"/>
          <w:b/>
          <w:sz w:val="30"/>
          <w:szCs w:val="30"/>
          <w:rtl/>
          <w:lang w:bidi="ar-EG"/>
        </w:rPr>
        <w:t xml:space="preserve"> </w:t>
      </w:r>
      <w:r w:rsidRPr="00191F09">
        <w:rPr>
          <w:rFonts w:ascii="Traditional Arabic" w:hAnsi="Traditional Arabic" w:cs="Traditional Arabic"/>
          <w:b/>
          <w:sz w:val="30"/>
          <w:szCs w:val="30"/>
          <w:rtl/>
          <w:lang w:bidi="ar-EG"/>
        </w:rPr>
        <w:t>مقارنة بعام 1990، وآلية جديدة لتعديل حدود الكربون، والتي ستضع سعرًا للكربون على مجموعة واسعة من المنتجات المستوردة لمنع "تسرب الكربون" وتشجيع الصناعات خارج الاتحاد الأوروبي</w:t>
      </w:r>
      <w:r w:rsidRPr="009726AD">
        <w:rPr>
          <w:rFonts w:ascii="Traditional Arabic" w:hAnsi="Traditional Arabic" w:cs="Traditional Arabic"/>
          <w:b/>
          <w:sz w:val="30"/>
          <w:szCs w:val="30"/>
          <w:rtl/>
          <w:lang w:bidi="ar-EG"/>
        </w:rPr>
        <w:t xml:space="preserve"> على اتخاذ خطوات في نفس الاتجاه. وفي الآونة الأخيرة، تم التوقيع على ميثاق غلاسكو للمناخ، الذي يهدف إلى تسريع العمل نحو تحقيق أهداف اتفاقية باريس، في الدورة السادسة والعشرين لمؤتمر الأطراف في اتفاقية الأمم المتحدة الإطارية بشأنتغير المناخ المنعقدة في أكتوبر - نوفمبر 2021. إن تنفيذ مثل هذه التدابير في عدد من البلدان وغيرها من التشريعات المحتملة التي تحد من الانبعاثات يمكن أن يؤثر سلبًا على الطلب العالمي على النفط والغاز، ويؤدي إلى التحول من الوقود الأحفوري إلى الوقود البديل. يمكن أن يزداد انتقال الطاقة من الوقود الذي يعتمد على الكربون إذا استمرت جدوى الوقود البديل في التحسن مع ظهور تقنيات جديدة، مما يزيد من تعطيل قطاع الغاز</w:t>
      </w:r>
      <w:r w:rsidRPr="009726AD">
        <w:rPr>
          <w:rFonts w:ascii="Traditional Arabic" w:hAnsi="Traditional Arabic" w:cs="Traditional Arabic"/>
          <w:b/>
          <w:sz w:val="30"/>
          <w:szCs w:val="30"/>
          <w:lang w:bidi="ar-EG"/>
        </w:rPr>
        <w:t xml:space="preserve">. </w:t>
      </w:r>
    </w:p>
    <w:p w14:paraId="4A535228" w14:textId="77777777" w:rsidR="00CF3C9A" w:rsidRDefault="00CF3C9A" w:rsidP="009726AD">
      <w:pPr>
        <w:bidi/>
        <w:jc w:val="both"/>
        <w:rPr>
          <w:rFonts w:ascii="Traditional Arabic" w:hAnsi="Traditional Arabic" w:cs="Traditional Arabic"/>
          <w:b/>
          <w:sz w:val="30"/>
          <w:szCs w:val="30"/>
          <w:rtl/>
          <w:lang w:bidi="ar-EG"/>
        </w:rPr>
      </w:pPr>
    </w:p>
    <w:p w14:paraId="7983A537"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ثاني أكسيد الكربون منتج ثانوي ناتج عن حرق الوقود الأحفوري ويعتبر من الغازات الدفيئة. تؤدي عمليات الشركة، واستخدام العديد من منتجات عملائها، إلى انبعاث ثاني أكسيد الكربون، والذي تتعقبه الشركة وفقًا للقوانين والسياسات المعمول بها التي وضعتها المنظمة البحرية الدولية. في عام 2023، بلغت انبعاثات الشركة من النطاق 1 و 2 من الغازات الدفيئة حوالي 1.7 و 1.8 مليون طن على التوالي. وقد أدى الضغط المتزايد على الحكومات للحد من انبعاثات الغازات الدفيئة إلى اتخاذهم مجموعة </w:t>
      </w:r>
      <w:r w:rsidRPr="009726AD">
        <w:rPr>
          <w:rFonts w:ascii="Traditional Arabic" w:hAnsi="Traditional Arabic" w:cs="Traditional Arabic"/>
          <w:b/>
          <w:sz w:val="30"/>
          <w:szCs w:val="30"/>
          <w:rtl/>
          <w:lang w:bidi="ar-EG"/>
        </w:rPr>
        <w:lastRenderedPageBreak/>
        <w:t>متنوعة من الإجراءات التي تهدف إلى الحد من استخدام الوقود الأحفوري، بما في ذلك، نظام تداول الانبعاثات في الاتحاد الأوروبي، وفرض ضرائب الكربون، وزيادة معايير كفاءة الطاقة والحوافز والتزامات الطاقة المتجددة وغيرها من مصادر الطاقة البديلة. ونجد أن المعاهدات والاتفاقيات الدولية التي تهدف إلى الحد من انبعاثات الغازات الدفيئة تمر بمراحل مختلفة من التنفيذ، ومن الصعب التنبؤ على وجه اليقين بمدى تأثر الشركة في نهاية المطاف بالقوانين واللوائح والاتفاقيات الدولية المتعلقة بالغازات الدفيئة</w:t>
      </w:r>
      <w:r w:rsidRPr="009726AD">
        <w:rPr>
          <w:rFonts w:ascii="Traditional Arabic" w:hAnsi="Traditional Arabic" w:cs="Traditional Arabic"/>
          <w:b/>
          <w:sz w:val="30"/>
          <w:szCs w:val="30"/>
          <w:lang w:bidi="ar-EG"/>
        </w:rPr>
        <w:t xml:space="preserve">. </w:t>
      </w:r>
    </w:p>
    <w:p w14:paraId="4A662345" w14:textId="77777777" w:rsidR="00CF3C9A" w:rsidRPr="009726AD" w:rsidRDefault="00CF3C9A" w:rsidP="00CF3C9A">
      <w:pPr>
        <w:bidi/>
        <w:jc w:val="both"/>
        <w:rPr>
          <w:rFonts w:ascii="Traditional Arabic" w:hAnsi="Traditional Arabic" w:cs="Traditional Arabic"/>
          <w:b/>
          <w:sz w:val="30"/>
          <w:szCs w:val="30"/>
          <w:rtl/>
          <w:lang w:bidi="ar-EG"/>
        </w:rPr>
      </w:pPr>
    </w:p>
    <w:p w14:paraId="4B63E44F"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علاوة على ذلك، تخطو العديد من البلدان، بما في ذلك سلطنة عمان خطوات حثيثة نحو تطوير مصادر بديلة للطاقة أو إيجاد طرق بديلة لزيادة إنتاج النفط المحلي وتقليل اعتمادها على النفط المستورد، وكذلك مكافحة التغير المناخي. ففي مؤتمر الأمم المتحدة المعني بتغير المناخ لعام 2023، وافق ما يقرب من 200 دولة، بما في ذلك سلطنة عمان، على اتفاقية مناخية جديدة تهدف إلى الحد من تلوث الكربون والتحول بعيدًا عن الوقود الأحفوري في أنظمة الطاقة بهدف تحقيق صافي انبعاث صفري بحلول عام 2050. وبشكل عام، فإنه من السابق لأوانه معرفة أو قياس تأثير هذه التعهدات والاستثمارات على إنتاج المنتجات الهيدروكربونية في سلطنة عمان أو على الطلب على الوقود الأحفوري من سلطنة عمان على المدى المتوسط أو الطويل، ولكن التأثير قد يكون كبيرًا</w:t>
      </w:r>
      <w:r w:rsidRPr="009726AD">
        <w:rPr>
          <w:rFonts w:ascii="Traditional Arabic" w:hAnsi="Traditional Arabic" w:cs="Traditional Arabic"/>
          <w:b/>
          <w:sz w:val="30"/>
          <w:szCs w:val="30"/>
          <w:lang w:bidi="ar-EG"/>
        </w:rPr>
        <w:t>.</w:t>
      </w:r>
    </w:p>
    <w:p w14:paraId="523A8729" w14:textId="77777777" w:rsidR="00CF3C9A" w:rsidRPr="009726AD" w:rsidRDefault="00CF3C9A" w:rsidP="00CF3C9A">
      <w:pPr>
        <w:bidi/>
        <w:jc w:val="both"/>
        <w:rPr>
          <w:rFonts w:ascii="Traditional Arabic" w:hAnsi="Traditional Arabic" w:cs="Traditional Arabic"/>
          <w:b/>
          <w:sz w:val="30"/>
          <w:szCs w:val="30"/>
          <w:rtl/>
          <w:lang w:bidi="ar-EG"/>
        </w:rPr>
      </w:pPr>
    </w:p>
    <w:p w14:paraId="2A600F48"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وسيترتب على التزام سلطنة عمان باتفاق باريس والمبادرات الأخرى - فضلا عن الأهداف المحددة في استراتيجية رؤية عمان 2040 - خفض انبعاثات ثاني أكسيد الكربون في سلطنة عمان، وقد تتغير مسؤوليات الشركات العمانية بعد دخول اللوائح الصادرة في شأن الحد من انبعاثات ثاني أكسيد الكربون حيز التنفيذ. وتعزيزًا للمبادرات العالمية المشار إليها أعلاه، فقد قامت سلطنة عمان في مارس 2022 بتأسيس اللجنة الوطنية للتغيرات المناخية وحماية طبقة الأوزون التي تجمع ممثلين عن 32 من أصحاب المصلحة لمعالجة القضايا المتعلقة بتغير المناخ في سلطنة عمان. ويهدف عمل هذه اللجنة إلى استكمال الاستراتيجية الوطنية العمانية للتكيف مع تغير المناخ والتخفيف من حدته للفترة 2020-2040. هذا، وقد دعمت سلطنة عمان مبادرات مختلفة بخصوص الطاقة المتجددة داخل البلاد، مثل وضع العلامات على الأجهزة المنزلية بناء على أساس كفاءة الطاقة، ووضع تعليمات بشأن استخدام مصابيح الإضاءة الليد</w:t>
      </w:r>
      <w:r w:rsidRPr="009726AD">
        <w:rPr>
          <w:rFonts w:ascii="Traditional Arabic" w:hAnsi="Traditional Arabic" w:cs="Traditional Arabic"/>
          <w:b/>
          <w:sz w:val="30"/>
          <w:szCs w:val="30"/>
          <w:lang w:bidi="ar-EG"/>
        </w:rPr>
        <w:t xml:space="preserve"> (LED) </w:t>
      </w:r>
      <w:r w:rsidRPr="009726AD">
        <w:rPr>
          <w:rFonts w:ascii="Traditional Arabic" w:hAnsi="Traditional Arabic" w:cs="Traditional Arabic"/>
          <w:b/>
          <w:sz w:val="30"/>
          <w:szCs w:val="30"/>
          <w:rtl/>
          <w:lang w:bidi="ar-EG"/>
        </w:rPr>
        <w:t xml:space="preserve">وغيرها. كما تعهدت سلطنة عمان بخفض إجمالي انبعاثات الغازات الدفيئة بنسبة 7 في المائة بحلول عام 2030. وفي مارس 2023، أكد ممثل عن هيئة البيئة العمانية أن سلطنة عمان اعتمدت خطة وطنية للوصول إلى الحياد الصفري للكربون، تم بموجبها استهداف </w:t>
      </w:r>
      <w:r w:rsidR="00CF3C9A" w:rsidRPr="009726AD">
        <w:rPr>
          <w:rFonts w:ascii="Traditional Arabic" w:hAnsi="Traditional Arabic" w:cs="Traditional Arabic" w:hint="cs"/>
          <w:b/>
          <w:sz w:val="30"/>
          <w:szCs w:val="30"/>
          <w:rtl/>
          <w:lang w:bidi="ar-EG"/>
        </w:rPr>
        <w:t>خمس</w:t>
      </w:r>
      <w:r w:rsidRPr="009726AD">
        <w:rPr>
          <w:rFonts w:ascii="Traditional Arabic" w:hAnsi="Traditional Arabic" w:cs="Traditional Arabic"/>
          <w:b/>
          <w:sz w:val="30"/>
          <w:szCs w:val="30"/>
          <w:rtl/>
          <w:lang w:bidi="ar-EG"/>
        </w:rPr>
        <w:t xml:space="preserve"> قطاعات رئيسية كجزء من استراتيجية السلطنة في الحد من انبعاثات الغازات الدفيئة، بما في ذلك النفط والغاز وإنتاج الكهرباء والنقل والصناعة والإنشاءات. ومن غير الواضح مدى </w:t>
      </w:r>
      <w:r w:rsidR="00CF3C9A">
        <w:rPr>
          <w:rFonts w:ascii="Traditional Arabic" w:hAnsi="Traditional Arabic" w:cs="Traditional Arabic" w:hint="cs"/>
          <w:b/>
          <w:sz w:val="30"/>
          <w:szCs w:val="30"/>
          <w:rtl/>
          <w:lang w:bidi="ar-EG"/>
        </w:rPr>
        <w:t>ت</w:t>
      </w:r>
      <w:r w:rsidRPr="009726AD">
        <w:rPr>
          <w:rFonts w:ascii="Traditional Arabic" w:hAnsi="Traditional Arabic" w:cs="Traditional Arabic"/>
          <w:b/>
          <w:sz w:val="30"/>
          <w:szCs w:val="30"/>
          <w:rtl/>
          <w:lang w:bidi="ar-EG"/>
        </w:rPr>
        <w:t xml:space="preserve">أثير اللوائح وإجراءات خفض الانبعاثات التي تستهدف قطاع النفط والغاز والنقل على الشركة، ولكن من المتوقع تؤدي مثل تلك الإجراءات إلى زيادة تكاليف تشغيل عمليات الشركة وصيانتها، وزيادة النفقات الرأسمالية لتثبيت أنظمة جديدة للتحكم في الانبعاثات، وزيادة تكاليف إدارة الانبعاثات المحتملة للغازات الدفيئة أو زيادة تكلفة وضع حد أقصى على الانبعاثات </w:t>
      </w:r>
      <w:r w:rsidRPr="009726AD">
        <w:rPr>
          <w:rFonts w:ascii="Traditional Arabic" w:hAnsi="Traditional Arabic" w:cs="Traditional Arabic"/>
          <w:b/>
          <w:sz w:val="30"/>
          <w:szCs w:val="30"/>
          <w:rtl/>
          <w:lang w:bidi="ar-EG"/>
        </w:rPr>
        <w:lastRenderedPageBreak/>
        <w:t xml:space="preserve">المسموح بها وبرامج خاصة بالتجارة أو برامج الرقابة الأخرى، وكل ذلك قد يتطلب مساهمات نقدية إضافية. هذا، وتعتزم الشركة أيضًا إجراء تفتيش مكثف للتأكد من مدى </w:t>
      </w:r>
      <w:r w:rsidR="00CF3C9A" w:rsidRPr="009726AD">
        <w:rPr>
          <w:rFonts w:ascii="Traditional Arabic" w:hAnsi="Traditional Arabic" w:cs="Traditional Arabic" w:hint="cs"/>
          <w:b/>
          <w:sz w:val="30"/>
          <w:szCs w:val="30"/>
          <w:rtl/>
          <w:lang w:bidi="ar-EG"/>
        </w:rPr>
        <w:t>مر</w:t>
      </w:r>
      <w:r w:rsidR="00CF3C9A">
        <w:rPr>
          <w:rFonts w:ascii="Traditional Arabic" w:hAnsi="Traditional Arabic" w:cs="Traditional Arabic" w:hint="cs"/>
          <w:b/>
          <w:sz w:val="30"/>
          <w:szCs w:val="30"/>
          <w:rtl/>
          <w:lang w:bidi="ar-EG"/>
        </w:rPr>
        <w:t>ا</w:t>
      </w:r>
      <w:r w:rsidR="00CF3C9A" w:rsidRPr="009726AD">
        <w:rPr>
          <w:rFonts w:ascii="Traditional Arabic" w:hAnsi="Traditional Arabic" w:cs="Traditional Arabic" w:hint="cs"/>
          <w:b/>
          <w:sz w:val="30"/>
          <w:szCs w:val="30"/>
          <w:rtl/>
          <w:lang w:bidi="ar-EG"/>
        </w:rPr>
        <w:t>عا</w:t>
      </w:r>
      <w:r w:rsidR="00CF3C9A">
        <w:rPr>
          <w:rFonts w:ascii="Traditional Arabic" w:hAnsi="Traditional Arabic" w:cs="Traditional Arabic" w:hint="cs"/>
          <w:b/>
          <w:sz w:val="30"/>
          <w:szCs w:val="30"/>
          <w:rtl/>
          <w:lang w:bidi="ar-EG"/>
        </w:rPr>
        <w:t>ة</w:t>
      </w:r>
      <w:r w:rsidRPr="009726AD">
        <w:rPr>
          <w:rFonts w:ascii="Traditional Arabic" w:hAnsi="Traditional Arabic" w:cs="Traditional Arabic"/>
          <w:b/>
          <w:sz w:val="30"/>
          <w:szCs w:val="30"/>
          <w:rtl/>
          <w:lang w:bidi="ar-EG"/>
        </w:rPr>
        <w:t xml:space="preserve"> الامتثال للوائح الخاصة بالتغير المناخي، والتي قد تؤثر ماديًا على مستويات الإنتاج إذا لم تستوف المشاريع المستقبلية معايير التفتيش الجديدة</w:t>
      </w:r>
      <w:r w:rsidRPr="009726AD">
        <w:rPr>
          <w:rFonts w:ascii="Traditional Arabic" w:hAnsi="Traditional Arabic" w:cs="Traditional Arabic"/>
          <w:b/>
          <w:sz w:val="30"/>
          <w:szCs w:val="30"/>
          <w:lang w:bidi="ar-EG"/>
        </w:rPr>
        <w:t xml:space="preserve">. </w:t>
      </w:r>
    </w:p>
    <w:p w14:paraId="4236F966" w14:textId="77777777" w:rsidR="00CF3C9A" w:rsidRPr="009726AD" w:rsidRDefault="00CF3C9A" w:rsidP="00CF3C9A">
      <w:pPr>
        <w:bidi/>
        <w:jc w:val="both"/>
        <w:rPr>
          <w:rFonts w:ascii="Traditional Arabic" w:hAnsi="Traditional Arabic" w:cs="Traditional Arabic"/>
          <w:b/>
          <w:sz w:val="30"/>
          <w:szCs w:val="30"/>
          <w:rtl/>
          <w:lang w:bidi="ar-EG"/>
        </w:rPr>
      </w:pPr>
    </w:p>
    <w:p w14:paraId="520A9964"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بالإضافة إلى ذلك، هناك قلق متزايد من أن الزيادة التدريجية في متوسط درجات الحرارة العالمية ستسبب تغيرات كبيرة في أنماط الطقس في جميع أنحاء العالم، وزيادة في تواتر وشدة الكوارث الطبيعية أو الآثار الأخرى التي يستحيل التنبؤ بها. ويمكن أن تؤدي زيادة تواتر أو مدة الظروف الجوية القاسية إلى تعطيل طرق الشحن في جميع أنحاء العالم ويكون لها تأثير سلبي على القدرة على تقديم خدمات الشركة في مختلف المرافق. وبقدر ما تتفاقم هذه الظروف الجوية غير المواتية بسبب تغير المناخ العالمي أو غير ذلك من الأمور، فقد تتأثر عمليات النقل البحري الخاصة بالشركة على وجه الخصوص سلبًا بدرجة أكبر مما كانت عليه في السابق، بما في ذلك زيادة التأخير وارتفاع التكاليف. ومع ذلك، فإن التغيرات في الظواهر الجوية الصعبة وأسبابها (بما في ذلك ما يتعلق بزيادة تواترها ومدتها وشدتها) والفترة الزمنية الطويلة التي ستحدث فيها أي تغييرات هي أحوال تحد من قدرة الشركة على إجراء أي تقديرات محددة للمخاطر المالية المستقبلية على عملياتها بسبب هذه المخاطر المادية المحتملة المترتبة على تغير المناخ. علاوة على ذلك، فإن تنظيم انبعاثات الغازات الدفيئة والآثار المادية المترتبة على تغير المناخ في المناطق التي تعمل فيها الشركة وعملاؤها والمستخدمون النهائيون لمنتجات عملائها يمكن أن يؤثر سلبًا على عمليات الشركة. وقد يكون لأي من هذه المخاطر أو جميعها، وكذلك المسؤولية القانونية المحتملة تجاه الشركة أو الإجراءات الحكومية أو التنظيمية المتخذة ضد الشركة،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7BAB7B46" w14:textId="77777777" w:rsidR="00CF3C9A" w:rsidRPr="009726AD" w:rsidRDefault="00CF3C9A" w:rsidP="00CF3C9A">
      <w:pPr>
        <w:bidi/>
        <w:jc w:val="both"/>
        <w:rPr>
          <w:rFonts w:ascii="Traditional Arabic" w:hAnsi="Traditional Arabic" w:cs="Traditional Arabic"/>
          <w:b/>
          <w:sz w:val="30"/>
          <w:szCs w:val="30"/>
          <w:rtl/>
          <w:lang w:bidi="ar-EG"/>
        </w:rPr>
      </w:pPr>
    </w:p>
    <w:p w14:paraId="7CA5267C"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33</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اعتمدت الشركة وستواصل الاعتماد على مجموعة أسياد في استخدام العلامة التجارية لمجموعة أسياد وتزويد الشركة ببعض الخدمات المؤسسية</w:t>
      </w:r>
      <w:r w:rsidRPr="00840EB1">
        <w:rPr>
          <w:rFonts w:ascii="Traditional Arabic" w:hAnsi="Traditional Arabic" w:cs="Traditional Arabic"/>
          <w:bCs/>
          <w:sz w:val="30"/>
          <w:szCs w:val="30"/>
          <w:lang w:bidi="ar-EG"/>
        </w:rPr>
        <w:t>.</w:t>
      </w:r>
    </w:p>
    <w:p w14:paraId="66C25F33" w14:textId="77777777" w:rsidR="00CF3C9A" w:rsidRDefault="00CF3C9A" w:rsidP="009726AD">
      <w:pPr>
        <w:bidi/>
        <w:jc w:val="both"/>
        <w:rPr>
          <w:rFonts w:ascii="Traditional Arabic" w:hAnsi="Traditional Arabic" w:cs="Traditional Arabic"/>
          <w:b/>
          <w:sz w:val="30"/>
          <w:szCs w:val="30"/>
          <w:rtl/>
          <w:lang w:bidi="ar-EG"/>
        </w:rPr>
      </w:pPr>
    </w:p>
    <w:p w14:paraId="49CB26FB" w14:textId="77777777" w:rsidR="009726AD" w:rsidRPr="00205F77" w:rsidRDefault="009726AD" w:rsidP="00CF3C9A">
      <w:pPr>
        <w:bidi/>
        <w:jc w:val="both"/>
        <w:rPr>
          <w:rFonts w:ascii="Traditional Arabic" w:hAnsi="Traditional Arabic" w:cs="Traditional Arabic"/>
          <w:b/>
          <w:sz w:val="30"/>
          <w:szCs w:val="30"/>
          <w:rtl/>
          <w:lang w:bidi="ar-EG"/>
        </w:rPr>
      </w:pPr>
      <w:r w:rsidRPr="00205F77">
        <w:rPr>
          <w:rFonts w:ascii="Traditional Arabic" w:hAnsi="Traditional Arabic" w:cs="Traditional Arabic"/>
          <w:b/>
          <w:sz w:val="30"/>
          <w:szCs w:val="30"/>
          <w:rtl/>
          <w:lang w:bidi="ar-EG"/>
        </w:rPr>
        <w:t>تعتبر الشركة إحدى الشركات التابعة المملوكة بالكامل لمجموعة أسياد، وقد اعتمدت الشركة على مجموعة أسياد في تزويدها بخدمات الدعم والبنية الأساسية وبعض الموظفين، بالإضافة إلى استخدام العلامة التجارية لمجموعة أسياد. وتعتقد الشركة أن نجاح عملياتها يعتمد جزئيًا على استمرار تقديم هذه الخدمات المؤسسية والسمعة الجيدة والقيمة السوقية ومدى معرفة الجمهور بالعلامة التجارية لمجموعة أسياد</w:t>
      </w:r>
      <w:r w:rsidRPr="00205F77">
        <w:rPr>
          <w:rFonts w:ascii="Traditional Arabic" w:hAnsi="Traditional Arabic" w:cs="Traditional Arabic"/>
          <w:b/>
          <w:sz w:val="30"/>
          <w:szCs w:val="30"/>
          <w:lang w:bidi="ar-EG"/>
        </w:rPr>
        <w:t>.</w:t>
      </w:r>
    </w:p>
    <w:p w14:paraId="11A343E7" w14:textId="77777777" w:rsidR="00CF3C9A" w:rsidRPr="00205F77" w:rsidRDefault="00CF3C9A" w:rsidP="009726AD">
      <w:pPr>
        <w:bidi/>
        <w:jc w:val="both"/>
        <w:rPr>
          <w:rFonts w:ascii="Traditional Arabic" w:hAnsi="Traditional Arabic" w:cs="Traditional Arabic"/>
          <w:b/>
          <w:sz w:val="30"/>
          <w:szCs w:val="30"/>
          <w:rtl/>
          <w:lang w:bidi="ar-EG"/>
        </w:rPr>
      </w:pPr>
    </w:p>
    <w:p w14:paraId="3F70AACB" w14:textId="77777777" w:rsidR="009726AD" w:rsidRPr="00205F77" w:rsidRDefault="00152E09" w:rsidP="00A46146">
      <w:pPr>
        <w:bidi/>
        <w:jc w:val="both"/>
        <w:rPr>
          <w:rFonts w:ascii="Traditional Arabic" w:hAnsi="Traditional Arabic" w:cs="Traditional Arabic"/>
          <w:b/>
          <w:sz w:val="30"/>
          <w:szCs w:val="30"/>
          <w:rtl/>
          <w:lang w:bidi="ar-EG"/>
        </w:rPr>
      </w:pPr>
      <w:r w:rsidRPr="00205F77">
        <w:rPr>
          <w:rFonts w:ascii="Traditional Arabic" w:hAnsi="Traditional Arabic" w:cs="Traditional Arabic" w:hint="cs"/>
          <w:b/>
          <w:sz w:val="30"/>
          <w:szCs w:val="30"/>
          <w:rtl/>
          <w:lang w:bidi="ar-EG"/>
        </w:rPr>
        <w:t>ابرمت</w:t>
      </w:r>
      <w:r w:rsidR="00500403" w:rsidRPr="00205F77">
        <w:rPr>
          <w:rFonts w:ascii="Traditional Arabic" w:hAnsi="Traditional Arabic" w:cs="Traditional Arabic" w:hint="cs"/>
          <w:b/>
          <w:sz w:val="30"/>
          <w:szCs w:val="30"/>
          <w:rtl/>
          <w:lang w:bidi="ar-EG"/>
        </w:rPr>
        <w:t xml:space="preserve"> </w:t>
      </w:r>
      <w:r w:rsidR="009726AD" w:rsidRPr="00205F77">
        <w:rPr>
          <w:rFonts w:ascii="Traditional Arabic" w:hAnsi="Traditional Arabic" w:cs="Traditional Arabic"/>
          <w:b/>
          <w:sz w:val="30"/>
          <w:szCs w:val="30"/>
          <w:rtl/>
          <w:lang w:bidi="ar-EG"/>
        </w:rPr>
        <w:t xml:space="preserve">الشركة اتفاقية </w:t>
      </w:r>
      <w:r w:rsidR="00FE586A" w:rsidRPr="00205F77">
        <w:rPr>
          <w:rFonts w:ascii="Traditional Arabic" w:hAnsi="Traditional Arabic" w:cs="Traditional Arabic" w:hint="cs"/>
          <w:b/>
          <w:sz w:val="30"/>
          <w:szCs w:val="30"/>
          <w:rtl/>
        </w:rPr>
        <w:t xml:space="preserve">خدمات </w:t>
      </w:r>
      <w:r w:rsidR="00044DEB" w:rsidRPr="00205F77">
        <w:rPr>
          <w:rFonts w:ascii="Traditional Arabic" w:hAnsi="Traditional Arabic" w:cs="Traditional Arabic" w:hint="cs"/>
          <w:b/>
          <w:sz w:val="30"/>
          <w:szCs w:val="30"/>
          <w:rtl/>
        </w:rPr>
        <w:t>رئيسية</w:t>
      </w:r>
      <w:r w:rsidR="0039273B" w:rsidRPr="00205F77">
        <w:rPr>
          <w:rFonts w:ascii="Traditional Arabic" w:hAnsi="Traditional Arabic" w:cs="Traditional Arabic" w:hint="cs"/>
          <w:b/>
          <w:sz w:val="30"/>
          <w:szCs w:val="30"/>
          <w:rtl/>
          <w:lang w:bidi="ar-EG"/>
        </w:rPr>
        <w:t xml:space="preserve"> مع مجموعة أسياد والمؤرخة ب 24 مايو 2022 ( والتي تم تعديلها في 1 يناير 2024) ( </w:t>
      </w:r>
      <w:r w:rsidR="00044DEB" w:rsidRPr="00205F77">
        <w:rPr>
          <w:rFonts w:ascii="Traditional Arabic" w:hAnsi="Traditional Arabic" w:cs="Traditional Arabic" w:hint="cs"/>
          <w:b/>
          <w:sz w:val="30"/>
          <w:szCs w:val="30"/>
          <w:rtl/>
          <w:lang w:bidi="ar-EG"/>
        </w:rPr>
        <w:t>ال</w:t>
      </w:r>
      <w:r w:rsidR="0039273B" w:rsidRPr="00205F77">
        <w:rPr>
          <w:rFonts w:ascii="Traditional Arabic" w:hAnsi="Traditional Arabic" w:cs="Traditional Arabic" w:hint="cs"/>
          <w:b/>
          <w:sz w:val="30"/>
          <w:szCs w:val="30"/>
          <w:rtl/>
          <w:lang w:bidi="ar-EG"/>
        </w:rPr>
        <w:t xml:space="preserve">اتفاقية </w:t>
      </w:r>
      <w:r w:rsidR="00044DEB" w:rsidRPr="00205F77">
        <w:rPr>
          <w:rFonts w:ascii="Traditional Arabic" w:hAnsi="Traditional Arabic" w:cs="Traditional Arabic" w:hint="cs"/>
          <w:b/>
          <w:sz w:val="30"/>
          <w:szCs w:val="30"/>
          <w:rtl/>
          <w:lang w:bidi="ar-EG"/>
        </w:rPr>
        <w:t xml:space="preserve">الرئيسية </w:t>
      </w:r>
      <w:r w:rsidR="0039273B" w:rsidRPr="00205F77">
        <w:rPr>
          <w:rFonts w:ascii="Traditional Arabic" w:hAnsi="Traditional Arabic" w:cs="Traditional Arabic" w:hint="cs"/>
          <w:b/>
          <w:sz w:val="30"/>
          <w:szCs w:val="30"/>
          <w:rtl/>
          <w:lang w:bidi="ar-EG"/>
        </w:rPr>
        <w:t>الحالية)</w:t>
      </w:r>
      <w:r w:rsidRPr="00205F77">
        <w:rPr>
          <w:rFonts w:ascii="Traditional Arabic" w:hAnsi="Traditional Arabic" w:cs="Traditional Arabic" w:hint="cs"/>
          <w:b/>
          <w:sz w:val="30"/>
          <w:szCs w:val="30"/>
          <w:rtl/>
          <w:lang w:bidi="ar-EG"/>
        </w:rPr>
        <w:t xml:space="preserve"> وتتوقع الشركة ابرام</w:t>
      </w:r>
      <w:r w:rsidR="00351F22" w:rsidRPr="00205F77">
        <w:rPr>
          <w:rFonts w:ascii="Traditional Arabic" w:hAnsi="Traditional Arabic" w:cs="Traditional Arabic" w:hint="cs"/>
          <w:b/>
          <w:sz w:val="30"/>
          <w:szCs w:val="30"/>
          <w:rtl/>
          <w:lang w:bidi="ar-EG"/>
        </w:rPr>
        <w:t xml:space="preserve"> اتفاقية </w:t>
      </w:r>
      <w:r w:rsidR="00F41849" w:rsidRPr="00205F77">
        <w:rPr>
          <w:rFonts w:ascii="Traditional Arabic" w:hAnsi="Traditional Arabic" w:cs="Traditional Arabic" w:hint="cs"/>
          <w:b/>
          <w:sz w:val="30"/>
          <w:szCs w:val="30"/>
          <w:rtl/>
          <w:lang w:bidi="ar-EG"/>
        </w:rPr>
        <w:t>خدم</w:t>
      </w:r>
      <w:r w:rsidR="00B0402B" w:rsidRPr="00205F77">
        <w:rPr>
          <w:rFonts w:ascii="Traditional Arabic" w:hAnsi="Traditional Arabic" w:cs="Traditional Arabic" w:hint="cs"/>
          <w:b/>
          <w:sz w:val="30"/>
          <w:szCs w:val="30"/>
          <w:rtl/>
          <w:lang w:bidi="ar-EG"/>
        </w:rPr>
        <w:t>ات</w:t>
      </w:r>
      <w:r w:rsidR="00F41849" w:rsidRPr="00205F77">
        <w:rPr>
          <w:rFonts w:ascii="Traditional Arabic" w:hAnsi="Traditional Arabic" w:cs="Traditional Arabic" w:hint="cs"/>
          <w:b/>
          <w:sz w:val="30"/>
          <w:szCs w:val="30"/>
          <w:rtl/>
          <w:lang w:bidi="ar-EG"/>
        </w:rPr>
        <w:t xml:space="preserve"> </w:t>
      </w:r>
      <w:r w:rsidR="00351F22" w:rsidRPr="00205F77">
        <w:rPr>
          <w:rFonts w:ascii="Traditional Arabic" w:hAnsi="Traditional Arabic" w:cs="Traditional Arabic" w:hint="cs"/>
          <w:b/>
          <w:sz w:val="30"/>
          <w:szCs w:val="30"/>
          <w:rtl/>
          <w:lang w:bidi="ar-EG"/>
        </w:rPr>
        <w:t xml:space="preserve">جديدة ( </w:t>
      </w:r>
      <w:r w:rsidR="00044DEB" w:rsidRPr="00205F77">
        <w:rPr>
          <w:rFonts w:ascii="Traditional Arabic" w:hAnsi="Traditional Arabic" w:cs="Traditional Arabic" w:hint="cs"/>
          <w:b/>
          <w:sz w:val="30"/>
          <w:szCs w:val="30"/>
          <w:rtl/>
          <w:lang w:bidi="ar-EG"/>
        </w:rPr>
        <w:t>ا</w:t>
      </w:r>
      <w:r w:rsidR="00351F22" w:rsidRPr="00205F77">
        <w:rPr>
          <w:rFonts w:ascii="Traditional Arabic" w:hAnsi="Traditional Arabic" w:cs="Traditional Arabic" w:hint="cs"/>
          <w:b/>
          <w:sz w:val="30"/>
          <w:szCs w:val="30"/>
          <w:rtl/>
          <w:lang w:bidi="ar-EG"/>
        </w:rPr>
        <w:t xml:space="preserve">تفاقية </w:t>
      </w:r>
      <w:r w:rsidR="003A02B7" w:rsidRPr="00205F77">
        <w:rPr>
          <w:rFonts w:ascii="Traditional Arabic" w:hAnsi="Traditional Arabic" w:cs="Traditional Arabic" w:hint="cs"/>
          <w:b/>
          <w:sz w:val="30"/>
          <w:szCs w:val="30"/>
          <w:rtl/>
          <w:lang w:bidi="ar-EG"/>
        </w:rPr>
        <w:t xml:space="preserve">مستوى </w:t>
      </w:r>
      <w:r w:rsidR="000D0438" w:rsidRPr="00205F77">
        <w:rPr>
          <w:rFonts w:ascii="Traditional Arabic" w:hAnsi="Traditional Arabic" w:cs="Traditional Arabic" w:hint="cs"/>
          <w:b/>
          <w:sz w:val="30"/>
          <w:szCs w:val="30"/>
          <w:rtl/>
          <w:lang w:bidi="ar-EG"/>
        </w:rPr>
        <w:t>ال</w:t>
      </w:r>
      <w:r w:rsidR="003A02B7" w:rsidRPr="00205F77">
        <w:rPr>
          <w:rFonts w:ascii="Traditional Arabic" w:hAnsi="Traditional Arabic" w:cs="Traditional Arabic" w:hint="cs"/>
          <w:b/>
          <w:sz w:val="30"/>
          <w:szCs w:val="30"/>
          <w:rtl/>
          <w:lang w:bidi="ar-EG"/>
        </w:rPr>
        <w:t>خدم</w:t>
      </w:r>
      <w:r w:rsidR="008816BE" w:rsidRPr="00205F77">
        <w:rPr>
          <w:rFonts w:ascii="Traditional Arabic" w:hAnsi="Traditional Arabic" w:cs="Traditional Arabic" w:hint="cs"/>
          <w:b/>
          <w:sz w:val="30"/>
          <w:szCs w:val="30"/>
          <w:rtl/>
          <w:lang w:bidi="ar-EG"/>
        </w:rPr>
        <w:t>ة</w:t>
      </w:r>
      <w:r w:rsidR="003A02B7" w:rsidRPr="00205F77">
        <w:rPr>
          <w:rFonts w:ascii="Traditional Arabic" w:hAnsi="Traditional Arabic" w:cs="Traditional Arabic" w:hint="cs"/>
          <w:b/>
          <w:sz w:val="30"/>
          <w:szCs w:val="30"/>
          <w:rtl/>
          <w:lang w:bidi="ar-EG"/>
        </w:rPr>
        <w:t xml:space="preserve"> </w:t>
      </w:r>
      <w:r w:rsidR="00351F22" w:rsidRPr="00205F77">
        <w:rPr>
          <w:rFonts w:ascii="Traditional Arabic" w:hAnsi="Traditional Arabic" w:cs="Traditional Arabic" w:hint="cs"/>
          <w:b/>
          <w:sz w:val="30"/>
          <w:szCs w:val="30"/>
          <w:rtl/>
          <w:lang w:bidi="ar-EG"/>
        </w:rPr>
        <w:t xml:space="preserve">الجديدة) وذلك </w:t>
      </w:r>
      <w:r w:rsidR="004E4AEF" w:rsidRPr="00205F77">
        <w:rPr>
          <w:rFonts w:ascii="Traditional Arabic" w:hAnsi="Traditional Arabic" w:cs="Traditional Arabic" w:hint="cs"/>
          <w:b/>
          <w:sz w:val="30"/>
          <w:szCs w:val="30"/>
          <w:rtl/>
          <w:lang w:bidi="ar-EG"/>
        </w:rPr>
        <w:t xml:space="preserve">قبل </w:t>
      </w:r>
      <w:r w:rsidR="00351F22" w:rsidRPr="00205F77">
        <w:rPr>
          <w:rFonts w:ascii="Traditional Arabic" w:hAnsi="Traditional Arabic" w:cs="Traditional Arabic" w:hint="cs"/>
          <w:b/>
          <w:sz w:val="30"/>
          <w:szCs w:val="30"/>
          <w:rtl/>
          <w:lang w:bidi="ar-EG"/>
        </w:rPr>
        <w:t>التسجيل</w:t>
      </w:r>
      <w:r w:rsidR="00516421" w:rsidRPr="00205F77">
        <w:rPr>
          <w:rFonts w:ascii="Traditional Arabic" w:hAnsi="Traditional Arabic" w:cs="Traditional Arabic" w:hint="cs"/>
          <w:b/>
          <w:sz w:val="30"/>
          <w:szCs w:val="30"/>
          <w:rtl/>
          <w:lang w:bidi="ar-EG"/>
        </w:rPr>
        <w:t xml:space="preserve"> </w:t>
      </w:r>
      <w:r w:rsidR="00351F22" w:rsidRPr="00205F77">
        <w:rPr>
          <w:rFonts w:ascii="Traditional Arabic" w:hAnsi="Traditional Arabic" w:cs="Traditional Arabic" w:hint="cs"/>
          <w:b/>
          <w:sz w:val="30"/>
          <w:szCs w:val="30"/>
          <w:rtl/>
          <w:lang w:bidi="ar-EG"/>
        </w:rPr>
        <w:t>.</w:t>
      </w:r>
      <w:r w:rsidR="00E7446F" w:rsidRPr="00205F77">
        <w:rPr>
          <w:rFonts w:ascii="Traditional Arabic" w:hAnsi="Traditional Arabic" w:cs="Traditional Arabic" w:hint="cs"/>
          <w:b/>
          <w:sz w:val="30"/>
          <w:szCs w:val="30"/>
          <w:rtl/>
          <w:lang w:bidi="ar-EG"/>
        </w:rPr>
        <w:t xml:space="preserve"> </w:t>
      </w:r>
      <w:r w:rsidR="00186E41" w:rsidRPr="00205F77">
        <w:rPr>
          <w:rFonts w:ascii="Traditional Arabic" w:hAnsi="Traditional Arabic" w:cs="Traditional Arabic" w:hint="cs"/>
          <w:b/>
          <w:sz w:val="30"/>
          <w:szCs w:val="30"/>
          <w:rtl/>
          <w:lang w:bidi="ar-EG"/>
        </w:rPr>
        <w:t>و</w:t>
      </w:r>
      <w:r w:rsidR="00E354EE" w:rsidRPr="00205F77">
        <w:rPr>
          <w:rFonts w:ascii="Traditional Arabic" w:hAnsi="Traditional Arabic" w:cs="Traditional Arabic" w:hint="cs"/>
          <w:b/>
          <w:sz w:val="30"/>
          <w:szCs w:val="30"/>
          <w:rtl/>
          <w:lang w:bidi="ar-EG"/>
        </w:rPr>
        <w:t>س</w:t>
      </w:r>
      <w:r w:rsidR="009726AD" w:rsidRPr="00205F77">
        <w:rPr>
          <w:rFonts w:ascii="Traditional Arabic" w:hAnsi="Traditional Arabic" w:cs="Traditional Arabic"/>
          <w:b/>
          <w:sz w:val="30"/>
          <w:szCs w:val="30"/>
          <w:rtl/>
          <w:lang w:bidi="ar-EG"/>
        </w:rPr>
        <w:t xml:space="preserve">تحدد </w:t>
      </w:r>
      <w:r w:rsidR="00044DEB" w:rsidRPr="00205F77">
        <w:rPr>
          <w:rFonts w:ascii="Traditional Arabic" w:hAnsi="Traditional Arabic" w:cs="Traditional Arabic" w:hint="cs"/>
          <w:b/>
          <w:sz w:val="30"/>
          <w:szCs w:val="30"/>
          <w:rtl/>
          <w:lang w:bidi="ar-EG"/>
        </w:rPr>
        <w:t>ا</w:t>
      </w:r>
      <w:r w:rsidR="00E354EE" w:rsidRPr="00205F77">
        <w:rPr>
          <w:rFonts w:ascii="Traditional Arabic" w:hAnsi="Traditional Arabic" w:cs="Traditional Arabic" w:hint="cs"/>
          <w:b/>
          <w:sz w:val="30"/>
          <w:szCs w:val="30"/>
          <w:rtl/>
          <w:lang w:bidi="ar-EG"/>
        </w:rPr>
        <w:t xml:space="preserve">تفاقية </w:t>
      </w:r>
      <w:r w:rsidR="000D0438" w:rsidRPr="00205F77">
        <w:rPr>
          <w:rFonts w:ascii="Traditional Arabic" w:hAnsi="Traditional Arabic" w:cs="Traditional Arabic" w:hint="cs"/>
          <w:b/>
          <w:sz w:val="30"/>
          <w:szCs w:val="30"/>
          <w:rtl/>
          <w:lang w:bidi="ar-EG"/>
        </w:rPr>
        <w:t>مستوى الخدم</w:t>
      </w:r>
      <w:r w:rsidR="006D610A" w:rsidRPr="00205F77">
        <w:rPr>
          <w:rFonts w:ascii="Traditional Arabic" w:hAnsi="Traditional Arabic" w:cs="Traditional Arabic" w:hint="cs"/>
          <w:b/>
          <w:sz w:val="30"/>
          <w:szCs w:val="30"/>
          <w:rtl/>
          <w:lang w:bidi="ar-EG"/>
        </w:rPr>
        <w:t>ة</w:t>
      </w:r>
      <w:r w:rsidR="000D0438" w:rsidRPr="00205F77">
        <w:rPr>
          <w:rFonts w:ascii="Traditional Arabic" w:hAnsi="Traditional Arabic" w:cs="Traditional Arabic" w:hint="cs"/>
          <w:b/>
          <w:sz w:val="30"/>
          <w:szCs w:val="30"/>
          <w:rtl/>
          <w:lang w:bidi="ar-EG"/>
        </w:rPr>
        <w:t xml:space="preserve"> </w:t>
      </w:r>
      <w:r w:rsidR="00E354EE" w:rsidRPr="00205F77">
        <w:rPr>
          <w:rFonts w:ascii="Traditional Arabic" w:hAnsi="Traditional Arabic" w:cs="Traditional Arabic" w:hint="cs"/>
          <w:b/>
          <w:sz w:val="30"/>
          <w:szCs w:val="30"/>
          <w:rtl/>
          <w:lang w:bidi="ar-EG"/>
        </w:rPr>
        <w:t xml:space="preserve">الجديدة </w:t>
      </w:r>
      <w:r w:rsidR="009726AD" w:rsidRPr="00205F77">
        <w:rPr>
          <w:rFonts w:ascii="Traditional Arabic" w:hAnsi="Traditional Arabic" w:cs="Traditional Arabic"/>
          <w:b/>
          <w:sz w:val="30"/>
          <w:szCs w:val="30"/>
          <w:rtl/>
          <w:lang w:bidi="ar-EG"/>
        </w:rPr>
        <w:t>الشروط والأحكام والأسعار الخاصة بمجموعة أسياد لت</w:t>
      </w:r>
      <w:r w:rsidR="004723E9" w:rsidRPr="00205F77">
        <w:rPr>
          <w:rFonts w:ascii="Traditional Arabic" w:hAnsi="Traditional Arabic" w:cs="Traditional Arabic" w:hint="cs"/>
          <w:b/>
          <w:sz w:val="30"/>
          <w:szCs w:val="30"/>
          <w:rtl/>
          <w:lang w:bidi="ar-EG"/>
        </w:rPr>
        <w:t>ستمر في ت</w:t>
      </w:r>
      <w:r w:rsidR="009726AD" w:rsidRPr="00205F77">
        <w:rPr>
          <w:rFonts w:ascii="Traditional Arabic" w:hAnsi="Traditional Arabic" w:cs="Traditional Arabic"/>
          <w:b/>
          <w:sz w:val="30"/>
          <w:szCs w:val="30"/>
          <w:rtl/>
          <w:lang w:bidi="ar-EG"/>
        </w:rPr>
        <w:t xml:space="preserve">قديم الخدمات </w:t>
      </w:r>
      <w:r w:rsidR="009726AD" w:rsidRPr="00205F77">
        <w:rPr>
          <w:rFonts w:ascii="Traditional Arabic" w:hAnsi="Traditional Arabic" w:cs="Traditional Arabic"/>
          <w:b/>
          <w:sz w:val="30"/>
          <w:szCs w:val="30"/>
          <w:rtl/>
          <w:lang w:bidi="ar-EG"/>
        </w:rPr>
        <w:lastRenderedPageBreak/>
        <w:t xml:space="preserve">المؤسسية </w:t>
      </w:r>
      <w:r w:rsidR="00F44025" w:rsidRPr="00205F77">
        <w:rPr>
          <w:rFonts w:ascii="Traditional Arabic" w:hAnsi="Traditional Arabic" w:cs="Traditional Arabic" w:hint="cs"/>
          <w:b/>
          <w:sz w:val="30"/>
          <w:szCs w:val="30"/>
          <w:rtl/>
          <w:lang w:bidi="ar-EG"/>
        </w:rPr>
        <w:t>المركزية</w:t>
      </w:r>
      <w:r w:rsidR="00A21E86" w:rsidRPr="00205F77">
        <w:rPr>
          <w:rFonts w:ascii="Traditional Arabic" w:hAnsi="Traditional Arabic" w:cs="Traditional Arabic" w:hint="cs"/>
          <w:b/>
          <w:sz w:val="30"/>
          <w:szCs w:val="30"/>
          <w:rtl/>
          <w:lang w:bidi="ar-EG"/>
        </w:rPr>
        <w:t xml:space="preserve">، </w:t>
      </w:r>
      <w:r w:rsidR="0036455C" w:rsidRPr="00205F77">
        <w:rPr>
          <w:rFonts w:ascii="Traditional Arabic" w:hAnsi="Traditional Arabic" w:cs="Traditional Arabic" w:hint="cs"/>
          <w:b/>
          <w:sz w:val="30"/>
          <w:szCs w:val="30"/>
          <w:rtl/>
          <w:lang w:bidi="ar-EG"/>
        </w:rPr>
        <w:t xml:space="preserve">المشابهة </w:t>
      </w:r>
      <w:r w:rsidR="00307F97" w:rsidRPr="00205F77">
        <w:rPr>
          <w:rFonts w:ascii="Traditional Arabic" w:hAnsi="Traditional Arabic" w:cs="Traditional Arabic" w:hint="cs"/>
          <w:b/>
          <w:sz w:val="30"/>
          <w:szCs w:val="30"/>
          <w:rtl/>
          <w:lang w:bidi="ar-EG"/>
        </w:rPr>
        <w:t>لتلك الخدمات</w:t>
      </w:r>
      <w:r w:rsidR="0036455C" w:rsidRPr="00205F77">
        <w:rPr>
          <w:rFonts w:ascii="Traditional Arabic" w:hAnsi="Traditional Arabic" w:cs="Traditional Arabic" w:hint="cs"/>
          <w:b/>
          <w:sz w:val="30"/>
          <w:szCs w:val="30"/>
          <w:rtl/>
          <w:lang w:bidi="ar-EG"/>
        </w:rPr>
        <w:t xml:space="preserve"> التي </w:t>
      </w:r>
      <w:r w:rsidR="00307F97" w:rsidRPr="00205F77">
        <w:rPr>
          <w:rFonts w:ascii="Traditional Arabic" w:hAnsi="Traditional Arabic" w:cs="Traditional Arabic" w:hint="cs"/>
          <w:b/>
          <w:sz w:val="30"/>
          <w:szCs w:val="30"/>
          <w:rtl/>
          <w:lang w:bidi="ar-EG"/>
        </w:rPr>
        <w:t xml:space="preserve">قامت </w:t>
      </w:r>
      <w:r w:rsidR="0036455C" w:rsidRPr="00205F77">
        <w:rPr>
          <w:rFonts w:ascii="Traditional Arabic" w:hAnsi="Traditional Arabic" w:cs="Traditional Arabic" w:hint="cs"/>
          <w:b/>
          <w:sz w:val="30"/>
          <w:szCs w:val="30"/>
          <w:rtl/>
          <w:lang w:bidi="ar-EG"/>
        </w:rPr>
        <w:t>بتقديمها بموجب ا</w:t>
      </w:r>
      <w:r w:rsidR="003019EE" w:rsidRPr="00205F77">
        <w:rPr>
          <w:rFonts w:ascii="Traditional Arabic" w:hAnsi="Traditional Arabic" w:cs="Traditional Arabic" w:hint="cs"/>
          <w:b/>
          <w:sz w:val="30"/>
          <w:szCs w:val="30"/>
          <w:rtl/>
          <w:lang w:bidi="ar-EG"/>
        </w:rPr>
        <w:t>لاتفاقية الرئيسية الحالية</w:t>
      </w:r>
      <w:r w:rsidR="00A46146">
        <w:rPr>
          <w:rFonts w:ascii="Traditional Arabic" w:hAnsi="Traditional Arabic" w:cs="Traditional Arabic" w:hint="cs"/>
          <w:b/>
          <w:sz w:val="30"/>
          <w:szCs w:val="30"/>
          <w:rtl/>
          <w:lang w:bidi="ar-EG"/>
        </w:rPr>
        <w:t xml:space="preserve">، </w:t>
      </w:r>
      <w:r w:rsidR="00A21E86" w:rsidRPr="00205F77">
        <w:rPr>
          <w:rFonts w:ascii="Traditional Arabic" w:hAnsi="Traditional Arabic" w:cs="Traditional Arabic" w:hint="cs"/>
          <w:b/>
          <w:sz w:val="30"/>
          <w:szCs w:val="30"/>
          <w:rtl/>
          <w:lang w:bidi="ar-EG"/>
        </w:rPr>
        <w:t>والتي</w:t>
      </w:r>
      <w:r w:rsidR="009726AD" w:rsidRPr="00205F77">
        <w:rPr>
          <w:rFonts w:ascii="Traditional Arabic" w:hAnsi="Traditional Arabic" w:cs="Traditional Arabic"/>
          <w:b/>
          <w:sz w:val="30"/>
          <w:szCs w:val="30"/>
          <w:rtl/>
          <w:lang w:bidi="ar-EG"/>
        </w:rPr>
        <w:t xml:space="preserve"> </w:t>
      </w:r>
      <w:r w:rsidR="00157B9B" w:rsidRPr="00205F77">
        <w:rPr>
          <w:rFonts w:ascii="Traditional Arabic" w:hAnsi="Traditional Arabic" w:cs="Traditional Arabic" w:hint="cs"/>
          <w:b/>
          <w:sz w:val="30"/>
          <w:szCs w:val="30"/>
          <w:rtl/>
          <w:lang w:bidi="ar-EG"/>
        </w:rPr>
        <w:t xml:space="preserve">من المتوقع أن </w:t>
      </w:r>
      <w:r w:rsidR="009726AD" w:rsidRPr="00205F77">
        <w:rPr>
          <w:rFonts w:ascii="Traditional Arabic" w:hAnsi="Traditional Arabic" w:cs="Traditional Arabic"/>
          <w:b/>
          <w:sz w:val="30"/>
          <w:szCs w:val="30"/>
          <w:rtl/>
          <w:lang w:bidi="ar-EG"/>
        </w:rPr>
        <w:t>تشمل</w:t>
      </w:r>
      <w:r w:rsidR="00C23EA5" w:rsidRPr="00205F77">
        <w:rPr>
          <w:rFonts w:ascii="Traditional Arabic" w:hAnsi="Traditional Arabic" w:cs="Traditional Arabic" w:hint="cs"/>
          <w:b/>
          <w:sz w:val="30"/>
          <w:szCs w:val="30"/>
          <w:rtl/>
          <w:lang w:bidi="ar-EG"/>
        </w:rPr>
        <w:t xml:space="preserve"> الى جانب</w:t>
      </w:r>
      <w:r w:rsidR="004A26A3" w:rsidRPr="00205F77">
        <w:rPr>
          <w:rFonts w:ascii="Traditional Arabic" w:hAnsi="Traditional Arabic" w:cs="Traditional Arabic" w:hint="cs"/>
          <w:b/>
          <w:sz w:val="30"/>
          <w:szCs w:val="30"/>
          <w:rtl/>
          <w:lang w:bidi="ar-EG"/>
        </w:rPr>
        <w:t xml:space="preserve"> بعض </w:t>
      </w:r>
      <w:r w:rsidR="00081E32" w:rsidRPr="00205F77">
        <w:rPr>
          <w:rFonts w:ascii="Traditional Arabic" w:hAnsi="Traditional Arabic" w:cs="Traditional Arabic" w:hint="cs"/>
          <w:b/>
          <w:sz w:val="30"/>
          <w:szCs w:val="30"/>
          <w:rtl/>
          <w:lang w:bidi="ar-EG"/>
        </w:rPr>
        <w:t xml:space="preserve">الخدمات </w:t>
      </w:r>
      <w:r w:rsidR="00255F44" w:rsidRPr="00205F77">
        <w:rPr>
          <w:rFonts w:ascii="Traditional Arabic" w:hAnsi="Traditional Arabic" w:cs="Traditional Arabic" w:hint="cs"/>
          <w:b/>
          <w:sz w:val="30"/>
          <w:szCs w:val="30"/>
          <w:rtl/>
          <w:lang w:bidi="ar-EG"/>
        </w:rPr>
        <w:t xml:space="preserve">أنشطة الخزانة المركزية بالكامل </w:t>
      </w:r>
      <w:r w:rsidR="004A26A3" w:rsidRPr="00205F77">
        <w:rPr>
          <w:rFonts w:ascii="Traditional Arabic" w:hAnsi="Traditional Arabic" w:cs="Traditional Arabic" w:hint="cs"/>
          <w:b/>
          <w:sz w:val="30"/>
          <w:szCs w:val="30"/>
          <w:rtl/>
          <w:lang w:bidi="ar-EG"/>
        </w:rPr>
        <w:t>،</w:t>
      </w:r>
      <w:r w:rsidR="009726AD" w:rsidRPr="00205F77">
        <w:rPr>
          <w:rFonts w:ascii="Traditional Arabic" w:hAnsi="Traditional Arabic" w:cs="Traditional Arabic"/>
          <w:b/>
          <w:sz w:val="30"/>
          <w:szCs w:val="30"/>
          <w:rtl/>
          <w:lang w:bidi="ar-EG"/>
        </w:rPr>
        <w:t xml:space="preserve"> الموارد البشرية،</w:t>
      </w:r>
      <w:r w:rsidR="00E108C7" w:rsidRPr="00205F77">
        <w:rPr>
          <w:rFonts w:ascii="Traditional Arabic" w:hAnsi="Traditional Arabic" w:cs="Traditional Arabic" w:hint="cs"/>
          <w:b/>
          <w:sz w:val="30"/>
          <w:szCs w:val="30"/>
          <w:rtl/>
          <w:lang w:bidi="ar-EG"/>
        </w:rPr>
        <w:t xml:space="preserve"> دعم </w:t>
      </w:r>
      <w:r w:rsidR="00E372FA" w:rsidRPr="00205F77">
        <w:rPr>
          <w:rFonts w:ascii="Traditional Arabic" w:hAnsi="Traditional Arabic" w:cs="Traditional Arabic" w:hint="cs"/>
          <w:b/>
          <w:sz w:val="30"/>
          <w:szCs w:val="30"/>
          <w:rtl/>
          <w:lang w:bidi="ar-EG"/>
        </w:rPr>
        <w:t>الأعمال</w:t>
      </w:r>
      <w:r w:rsidR="00CB229B" w:rsidRPr="00205F77">
        <w:rPr>
          <w:rFonts w:ascii="Traditional Arabic" w:hAnsi="Traditional Arabic" w:cs="Traditional Arabic" w:hint="cs"/>
          <w:b/>
          <w:sz w:val="30"/>
          <w:szCs w:val="30"/>
          <w:rtl/>
          <w:lang w:bidi="ar-EG"/>
        </w:rPr>
        <w:t>، المشتريات والعقود، خدمات الاتصالات</w:t>
      </w:r>
      <w:r w:rsidR="00920D23" w:rsidRPr="00205F77">
        <w:rPr>
          <w:rFonts w:ascii="Traditional Arabic" w:hAnsi="Traditional Arabic" w:cs="Traditional Arabic" w:hint="cs"/>
          <w:b/>
          <w:sz w:val="30"/>
          <w:szCs w:val="30"/>
          <w:rtl/>
          <w:lang w:bidi="ar-EG"/>
        </w:rPr>
        <w:t>، خدمات الصحة والسلامة والبيئة،</w:t>
      </w:r>
      <w:r w:rsidR="009726AD" w:rsidRPr="00205F77">
        <w:rPr>
          <w:rFonts w:ascii="Traditional Arabic" w:hAnsi="Traditional Arabic" w:cs="Traditional Arabic"/>
          <w:b/>
          <w:sz w:val="30"/>
          <w:szCs w:val="30"/>
          <w:rtl/>
          <w:lang w:bidi="ar-EG"/>
        </w:rPr>
        <w:t xml:space="preserve"> الخدمات القانونية</w:t>
      </w:r>
      <w:r w:rsidR="00CE4784" w:rsidRPr="00205F77">
        <w:rPr>
          <w:rFonts w:ascii="Traditional Arabic" w:hAnsi="Traditional Arabic" w:cs="Traditional Arabic" w:hint="cs"/>
          <w:b/>
          <w:sz w:val="30"/>
          <w:szCs w:val="30"/>
          <w:rtl/>
          <w:lang w:bidi="ar-EG"/>
        </w:rPr>
        <w:t xml:space="preserve"> (الغير متعلقة </w:t>
      </w:r>
      <w:r w:rsidR="00E372FA" w:rsidRPr="00205F77">
        <w:rPr>
          <w:rFonts w:ascii="Traditional Arabic" w:hAnsi="Traditional Arabic" w:cs="Traditional Arabic" w:hint="cs"/>
          <w:b/>
          <w:sz w:val="30"/>
          <w:szCs w:val="30"/>
          <w:rtl/>
          <w:lang w:bidi="ar-EG"/>
        </w:rPr>
        <w:t>بالنقل و</w:t>
      </w:r>
      <w:r w:rsidR="00CE4784" w:rsidRPr="00205F77">
        <w:rPr>
          <w:rFonts w:ascii="Traditional Arabic" w:hAnsi="Traditional Arabic" w:cs="Traditional Arabic" w:hint="cs"/>
          <w:b/>
          <w:sz w:val="30"/>
          <w:szCs w:val="30"/>
          <w:rtl/>
          <w:lang w:bidi="ar-EG"/>
        </w:rPr>
        <w:t>ال</w:t>
      </w:r>
      <w:r w:rsidR="008E107C" w:rsidRPr="00205F77">
        <w:rPr>
          <w:rFonts w:ascii="Traditional Arabic" w:hAnsi="Traditional Arabic" w:cs="Traditional Arabic" w:hint="cs"/>
          <w:b/>
          <w:sz w:val="30"/>
          <w:szCs w:val="30"/>
          <w:rtl/>
          <w:lang w:bidi="ar-EG"/>
        </w:rPr>
        <w:t>قانون البحري)</w:t>
      </w:r>
      <w:r w:rsidR="009726AD" w:rsidRPr="00205F77">
        <w:rPr>
          <w:rFonts w:ascii="Traditional Arabic" w:hAnsi="Traditional Arabic" w:cs="Traditional Arabic"/>
          <w:b/>
          <w:sz w:val="30"/>
          <w:szCs w:val="30"/>
          <w:rtl/>
          <w:lang w:bidi="ar-EG"/>
        </w:rPr>
        <w:t xml:space="preserve">، </w:t>
      </w:r>
      <w:r w:rsidR="0075410A" w:rsidRPr="00205F77">
        <w:rPr>
          <w:rFonts w:ascii="Traditional Arabic" w:hAnsi="Traditional Arabic" w:cs="Traditional Arabic" w:hint="cs"/>
          <w:b/>
          <w:sz w:val="30"/>
          <w:szCs w:val="30"/>
          <w:rtl/>
          <w:lang w:bidi="ar-EG"/>
        </w:rPr>
        <w:t>التسويق</w:t>
      </w:r>
      <w:r w:rsidR="008121DD" w:rsidRPr="00205F77">
        <w:rPr>
          <w:rFonts w:ascii="Traditional Arabic" w:hAnsi="Traditional Arabic" w:cs="Traditional Arabic" w:hint="cs"/>
          <w:b/>
          <w:sz w:val="30"/>
          <w:szCs w:val="30"/>
          <w:rtl/>
          <w:lang w:bidi="ar-EG"/>
        </w:rPr>
        <w:t>، خدمات تكنولوجيا المعلومات</w:t>
      </w:r>
      <w:r w:rsidR="00D725F8" w:rsidRPr="00205F77">
        <w:rPr>
          <w:rFonts w:ascii="Traditional Arabic" w:hAnsi="Traditional Arabic" w:cs="Traditional Arabic" w:hint="cs"/>
          <w:b/>
          <w:sz w:val="30"/>
          <w:szCs w:val="30"/>
          <w:rtl/>
          <w:lang w:bidi="ar-EG"/>
        </w:rPr>
        <w:t>، الاستشارات المعلقة بالحوكمة</w:t>
      </w:r>
      <w:r w:rsidR="007D3874" w:rsidRPr="00205F77">
        <w:rPr>
          <w:rFonts w:ascii="Traditional Arabic" w:hAnsi="Traditional Arabic" w:cs="Traditional Arabic" w:hint="cs"/>
          <w:b/>
          <w:sz w:val="30"/>
          <w:szCs w:val="30"/>
          <w:rtl/>
          <w:lang w:bidi="ar-EG"/>
        </w:rPr>
        <w:t>، وخدمات ادارة المخاطر</w:t>
      </w:r>
      <w:r w:rsidR="000E2337" w:rsidRPr="00205F77">
        <w:rPr>
          <w:rFonts w:ascii="Traditional Arabic" w:hAnsi="Traditional Arabic" w:cs="Traditional Arabic" w:hint="cs"/>
          <w:b/>
          <w:sz w:val="30"/>
          <w:szCs w:val="30"/>
          <w:rtl/>
          <w:lang w:bidi="ar-EG"/>
        </w:rPr>
        <w:t xml:space="preserve"> المؤسسية</w:t>
      </w:r>
      <w:r w:rsidR="009726AD" w:rsidRPr="00205F77">
        <w:rPr>
          <w:rFonts w:ascii="Traditional Arabic" w:hAnsi="Traditional Arabic" w:cs="Traditional Arabic"/>
          <w:b/>
          <w:sz w:val="30"/>
          <w:szCs w:val="30"/>
          <w:rtl/>
          <w:lang w:bidi="ar-EG"/>
        </w:rPr>
        <w:t>. وإذا لم تستطع مجموعة أسياد تزويد الشركة بهذه الخدمات، فسيتعين عليها</w:t>
      </w:r>
      <w:r w:rsidR="00D87ACC" w:rsidRPr="00205F77">
        <w:rPr>
          <w:rFonts w:ascii="Traditional Arabic" w:hAnsi="Traditional Arabic" w:cs="Traditional Arabic" w:hint="cs"/>
          <w:b/>
          <w:sz w:val="30"/>
          <w:szCs w:val="30"/>
          <w:rtl/>
          <w:lang w:bidi="ar-EG"/>
        </w:rPr>
        <w:t xml:space="preserve"> في بعض </w:t>
      </w:r>
      <w:r w:rsidR="00841B3F" w:rsidRPr="00205F77">
        <w:rPr>
          <w:rFonts w:ascii="Traditional Arabic" w:hAnsi="Traditional Arabic" w:cs="Traditional Arabic" w:hint="cs"/>
          <w:b/>
          <w:sz w:val="30"/>
          <w:szCs w:val="30"/>
          <w:rtl/>
          <w:lang w:bidi="ar-EG"/>
        </w:rPr>
        <w:t>الأحوال</w:t>
      </w:r>
      <w:r w:rsidR="009726AD" w:rsidRPr="00205F77">
        <w:rPr>
          <w:rFonts w:ascii="Traditional Arabic" w:hAnsi="Traditional Arabic" w:cs="Traditional Arabic"/>
          <w:b/>
          <w:sz w:val="30"/>
          <w:szCs w:val="30"/>
          <w:rtl/>
          <w:lang w:bidi="ar-EG"/>
        </w:rPr>
        <w:t xml:space="preserve"> إما التعاقد مع مزود آخر لهذه الخدمات أو تطوير القدرة على أداء هذه الخدمات داخليًا، وقد يستغرق أي منهما وقتًا طويلاً ويزيد من تكاليف الشركة المرتبطة بتقديم هذه الخدمات</w:t>
      </w:r>
      <w:r w:rsidR="009726AD" w:rsidRPr="00205F77">
        <w:rPr>
          <w:rFonts w:ascii="Traditional Arabic" w:hAnsi="Traditional Arabic" w:cs="Traditional Arabic"/>
          <w:b/>
          <w:sz w:val="30"/>
          <w:szCs w:val="30"/>
          <w:lang w:bidi="ar-EG"/>
        </w:rPr>
        <w:t>.</w:t>
      </w:r>
    </w:p>
    <w:p w14:paraId="6054F839" w14:textId="77777777" w:rsidR="00CF3C9A" w:rsidRPr="00205F77" w:rsidRDefault="00CF3C9A" w:rsidP="00CF3C9A">
      <w:pPr>
        <w:bidi/>
        <w:jc w:val="both"/>
        <w:rPr>
          <w:rFonts w:ascii="Traditional Arabic" w:hAnsi="Traditional Arabic" w:cs="Traditional Arabic"/>
          <w:b/>
          <w:sz w:val="30"/>
          <w:szCs w:val="30"/>
          <w:rtl/>
          <w:lang w:bidi="ar-EG"/>
        </w:rPr>
      </w:pPr>
    </w:p>
    <w:p w14:paraId="36C391AD" w14:textId="77777777" w:rsidR="009726AD" w:rsidRPr="00582A89" w:rsidRDefault="009726AD" w:rsidP="009726AD">
      <w:pPr>
        <w:bidi/>
        <w:jc w:val="both"/>
        <w:rPr>
          <w:rFonts w:ascii="Traditional Arabic" w:hAnsi="Traditional Arabic" w:cs="Traditional Arabic"/>
          <w:b/>
          <w:sz w:val="30"/>
          <w:szCs w:val="30"/>
          <w:rtl/>
          <w:lang w:bidi="ar-EG"/>
        </w:rPr>
      </w:pPr>
      <w:r w:rsidRPr="00205F77">
        <w:rPr>
          <w:rFonts w:ascii="Traditional Arabic" w:hAnsi="Traditional Arabic" w:cs="Traditional Arabic"/>
          <w:b/>
          <w:sz w:val="30"/>
          <w:szCs w:val="30"/>
          <w:rtl/>
          <w:lang w:bidi="ar-EG"/>
        </w:rPr>
        <w:t xml:space="preserve">ووفقًا </w:t>
      </w:r>
      <w:r w:rsidR="005405E1" w:rsidRPr="00205F77">
        <w:rPr>
          <w:rFonts w:ascii="Traditional Arabic" w:hAnsi="Traditional Arabic" w:cs="Traditional Arabic" w:hint="cs"/>
          <w:b/>
          <w:sz w:val="30"/>
          <w:szCs w:val="30"/>
          <w:rtl/>
          <w:lang w:bidi="ar-EG"/>
        </w:rPr>
        <w:t>ل</w:t>
      </w:r>
      <w:r w:rsidR="00044DEB" w:rsidRPr="00205F77">
        <w:rPr>
          <w:rFonts w:ascii="Traditional Arabic" w:hAnsi="Traditional Arabic" w:cs="Traditional Arabic" w:hint="cs"/>
          <w:b/>
          <w:sz w:val="30"/>
          <w:szCs w:val="30"/>
          <w:rtl/>
          <w:lang w:bidi="ar-EG"/>
        </w:rPr>
        <w:t>ل</w:t>
      </w:r>
      <w:r w:rsidR="005405E1" w:rsidRPr="00205F77">
        <w:rPr>
          <w:rFonts w:ascii="Traditional Arabic" w:hAnsi="Traditional Arabic" w:cs="Traditional Arabic" w:hint="cs"/>
          <w:b/>
          <w:sz w:val="30"/>
          <w:szCs w:val="30"/>
          <w:rtl/>
          <w:lang w:bidi="ar-EG"/>
        </w:rPr>
        <w:t xml:space="preserve">اتفاقية </w:t>
      </w:r>
      <w:r w:rsidR="00044DEB" w:rsidRPr="00205F77">
        <w:rPr>
          <w:rFonts w:ascii="Traditional Arabic" w:hAnsi="Traditional Arabic" w:cs="Traditional Arabic" w:hint="cs"/>
          <w:b/>
          <w:sz w:val="30"/>
          <w:szCs w:val="30"/>
          <w:rtl/>
          <w:lang w:bidi="ar-EG"/>
        </w:rPr>
        <w:t xml:space="preserve">الرئيسية </w:t>
      </w:r>
      <w:r w:rsidR="005405E1" w:rsidRPr="00205F77">
        <w:rPr>
          <w:rFonts w:ascii="Traditional Arabic" w:hAnsi="Traditional Arabic" w:cs="Traditional Arabic" w:hint="cs"/>
          <w:b/>
          <w:sz w:val="30"/>
          <w:szCs w:val="30"/>
          <w:rtl/>
          <w:lang w:bidi="ar-EG"/>
        </w:rPr>
        <w:t>الحالية</w:t>
      </w:r>
      <w:r w:rsidR="005405E1" w:rsidRPr="00205F77" w:rsidDel="005405E1">
        <w:rPr>
          <w:rFonts w:ascii="Traditional Arabic" w:hAnsi="Traditional Arabic" w:cs="Traditional Arabic" w:hint="eastAsia"/>
          <w:b/>
          <w:sz w:val="30"/>
          <w:szCs w:val="30"/>
          <w:rtl/>
          <w:lang w:bidi="ar-EG"/>
        </w:rPr>
        <w:t xml:space="preserve"> </w:t>
      </w:r>
      <w:r w:rsidRPr="00205F77">
        <w:rPr>
          <w:rFonts w:ascii="Traditional Arabic" w:hAnsi="Traditional Arabic" w:cs="Traditional Arabic"/>
          <w:b/>
          <w:sz w:val="30"/>
          <w:szCs w:val="30"/>
          <w:rtl/>
          <w:lang w:bidi="ar-EG"/>
        </w:rPr>
        <w:t>، وبما أن عمليات الشركة تتم تحت اسم العلامة التجارية لمجموعة أسياد، فقد منحت مجموعة أسياد الشركة ترخيصًا محدودًا وقابلًا للإلغاء وغير قابل للتحويل وغير قابل للترخيص من الباطن وغير حصري لاستخدام بعض العلامات التجارية والشعار والمواد الخاصة بمجموعة أسياد في إفريقيا وآسيا وأستراليا وأوروبا وأمريكا الشمالية وأمريكا الجنوبية وأي دول أو مناطق أخرى قد يتم الاتفاق عليها من وقت لآخر، فيما يتعلق بجميع العمليات وأي أنشطة أخرى تشارك فيها الشركة حاليًا. الترخيص معفي من حقوق الملكية للسنوات الخمس الأولى، و</w:t>
      </w:r>
      <w:r w:rsidR="005405E1" w:rsidRPr="00205F77">
        <w:rPr>
          <w:rFonts w:ascii="Traditional Arabic" w:hAnsi="Traditional Arabic" w:cs="Traditional Arabic" w:hint="cs"/>
          <w:b/>
          <w:sz w:val="30"/>
          <w:szCs w:val="30"/>
          <w:rtl/>
          <w:lang w:bidi="ar-EG"/>
        </w:rPr>
        <w:t>س</w:t>
      </w:r>
      <w:r w:rsidRPr="00205F77">
        <w:rPr>
          <w:rFonts w:ascii="Traditional Arabic" w:hAnsi="Traditional Arabic" w:cs="Traditional Arabic"/>
          <w:b/>
          <w:sz w:val="30"/>
          <w:szCs w:val="30"/>
          <w:rtl/>
          <w:lang w:bidi="ar-EG"/>
        </w:rPr>
        <w:t xml:space="preserve">تستمر </w:t>
      </w:r>
      <w:r w:rsidR="004317D6" w:rsidRPr="00205F77">
        <w:rPr>
          <w:rFonts w:ascii="Traditional Arabic" w:hAnsi="Traditional Arabic" w:cs="Traditional Arabic" w:hint="cs"/>
          <w:b/>
          <w:sz w:val="30"/>
          <w:szCs w:val="30"/>
          <w:rtl/>
        </w:rPr>
        <w:t>ال</w:t>
      </w:r>
      <w:r w:rsidR="00E80549" w:rsidRPr="00205F77">
        <w:rPr>
          <w:rFonts w:ascii="Traditional Arabic" w:hAnsi="Traditional Arabic" w:cs="Traditional Arabic" w:hint="eastAsia"/>
          <w:b/>
          <w:sz w:val="30"/>
          <w:szCs w:val="30"/>
          <w:rtl/>
          <w:lang w:bidi="ar-EG"/>
        </w:rPr>
        <w:t>اتفاقية</w:t>
      </w:r>
      <w:r w:rsidR="00E80549" w:rsidRPr="00205F77">
        <w:rPr>
          <w:rFonts w:ascii="Traditional Arabic" w:hAnsi="Traditional Arabic" w:cs="Traditional Arabic"/>
          <w:b/>
          <w:sz w:val="30"/>
          <w:szCs w:val="30"/>
          <w:rtl/>
          <w:lang w:bidi="ar-EG"/>
        </w:rPr>
        <w:t xml:space="preserve"> </w:t>
      </w:r>
      <w:r w:rsidR="004317D6" w:rsidRPr="00205F77">
        <w:rPr>
          <w:rFonts w:ascii="Traditional Arabic" w:hAnsi="Traditional Arabic" w:cs="Traditional Arabic" w:hint="cs"/>
          <w:b/>
          <w:sz w:val="30"/>
          <w:szCs w:val="30"/>
          <w:rtl/>
          <w:lang w:bidi="ar-EG"/>
        </w:rPr>
        <w:t>الرئيسية</w:t>
      </w:r>
      <w:r w:rsidR="00121BD7" w:rsidRPr="00205F77">
        <w:rPr>
          <w:rFonts w:ascii="Traditional Arabic" w:hAnsi="Traditional Arabic" w:cs="Traditional Arabic" w:hint="cs"/>
          <w:b/>
          <w:sz w:val="30"/>
          <w:szCs w:val="30"/>
          <w:rtl/>
          <w:lang w:bidi="ar-EG"/>
        </w:rPr>
        <w:t xml:space="preserve"> الحالية</w:t>
      </w:r>
      <w:r w:rsidR="00E80549" w:rsidRPr="00205F77">
        <w:rPr>
          <w:rFonts w:ascii="Traditional Arabic" w:hAnsi="Traditional Arabic" w:cs="Traditional Arabic" w:hint="cs"/>
          <w:b/>
          <w:sz w:val="30"/>
          <w:szCs w:val="30"/>
          <w:rtl/>
          <w:lang w:bidi="ar-EG"/>
        </w:rPr>
        <w:t xml:space="preserve"> </w:t>
      </w:r>
      <w:r w:rsidRPr="00205F77">
        <w:rPr>
          <w:rFonts w:ascii="Traditional Arabic" w:hAnsi="Traditional Arabic" w:cs="Traditional Arabic"/>
          <w:b/>
          <w:sz w:val="30"/>
          <w:szCs w:val="30"/>
          <w:rtl/>
          <w:lang w:bidi="ar-EG"/>
        </w:rPr>
        <w:t xml:space="preserve">في السريان </w:t>
      </w:r>
      <w:r w:rsidR="007F4D8B" w:rsidRPr="00205F77">
        <w:rPr>
          <w:rFonts w:ascii="Traditional Arabic" w:hAnsi="Traditional Arabic" w:cs="Traditional Arabic" w:hint="cs"/>
          <w:b/>
          <w:sz w:val="30"/>
          <w:szCs w:val="30"/>
          <w:rtl/>
          <w:lang w:bidi="ar-EG"/>
        </w:rPr>
        <w:t xml:space="preserve">حتى يتم ابرام </w:t>
      </w:r>
      <w:r w:rsidR="00476EE4" w:rsidRPr="00205F77">
        <w:rPr>
          <w:rFonts w:ascii="Traditional Arabic" w:hAnsi="Traditional Arabic" w:cs="Traditional Arabic" w:hint="cs"/>
          <w:b/>
          <w:sz w:val="30"/>
          <w:szCs w:val="30"/>
          <w:rtl/>
          <w:lang w:bidi="ar-EG"/>
        </w:rPr>
        <w:t>ا</w:t>
      </w:r>
      <w:r w:rsidR="007F4D8B" w:rsidRPr="00205F77">
        <w:rPr>
          <w:rFonts w:ascii="Traditional Arabic" w:hAnsi="Traditional Arabic" w:cs="Traditional Arabic" w:hint="cs"/>
          <w:b/>
          <w:sz w:val="30"/>
          <w:szCs w:val="30"/>
          <w:rtl/>
          <w:lang w:bidi="ar-EG"/>
        </w:rPr>
        <w:t xml:space="preserve">تفاقية </w:t>
      </w:r>
      <w:r w:rsidR="00512AFE" w:rsidRPr="00205F77">
        <w:rPr>
          <w:rFonts w:ascii="Traditional Arabic" w:hAnsi="Traditional Arabic" w:cs="Traditional Arabic" w:hint="cs"/>
          <w:b/>
          <w:sz w:val="30"/>
          <w:szCs w:val="30"/>
          <w:rtl/>
          <w:lang w:bidi="ar-EG"/>
        </w:rPr>
        <w:t xml:space="preserve">مستوى الخدمة </w:t>
      </w:r>
      <w:r w:rsidR="007F4D8B" w:rsidRPr="00205F77">
        <w:rPr>
          <w:rFonts w:ascii="Traditional Arabic" w:hAnsi="Traditional Arabic" w:cs="Traditional Arabic" w:hint="cs"/>
          <w:b/>
          <w:sz w:val="30"/>
          <w:szCs w:val="30"/>
          <w:rtl/>
          <w:lang w:bidi="ar-EG"/>
        </w:rPr>
        <w:t>الجديدة</w:t>
      </w:r>
      <w:r w:rsidRPr="00205F77">
        <w:rPr>
          <w:rFonts w:ascii="Traditional Arabic" w:hAnsi="Traditional Arabic" w:cs="Traditional Arabic"/>
          <w:b/>
          <w:sz w:val="30"/>
          <w:szCs w:val="30"/>
          <w:rtl/>
          <w:lang w:bidi="ar-EG"/>
        </w:rPr>
        <w:t xml:space="preserve"> من قبل</w:t>
      </w:r>
      <w:r w:rsidR="007F4D8B" w:rsidRPr="00205F77">
        <w:rPr>
          <w:rFonts w:ascii="Traditional Arabic" w:hAnsi="Traditional Arabic" w:cs="Traditional Arabic" w:hint="cs"/>
          <w:b/>
          <w:sz w:val="30"/>
          <w:szCs w:val="30"/>
          <w:rtl/>
          <w:lang w:bidi="ar-EG"/>
        </w:rPr>
        <w:t xml:space="preserve"> الشركة و</w:t>
      </w:r>
      <w:r w:rsidRPr="00205F77">
        <w:rPr>
          <w:rFonts w:ascii="Traditional Arabic" w:hAnsi="Traditional Arabic" w:cs="Traditional Arabic"/>
          <w:b/>
          <w:sz w:val="30"/>
          <w:szCs w:val="30"/>
          <w:rtl/>
          <w:lang w:bidi="ar-EG"/>
        </w:rPr>
        <w:t>مجموعة أسياد</w:t>
      </w:r>
      <w:r w:rsidR="007E5AB8">
        <w:rPr>
          <w:rFonts w:ascii="Traditional Arabic" w:hAnsi="Traditional Arabic" w:cs="Traditional Arabic" w:hint="cs"/>
          <w:b/>
          <w:sz w:val="30"/>
          <w:szCs w:val="30"/>
          <w:rtl/>
          <w:lang w:bidi="ar-EG"/>
        </w:rPr>
        <w:t xml:space="preserve">. </w:t>
      </w:r>
      <w:r w:rsidR="00861506" w:rsidRPr="00205F77">
        <w:rPr>
          <w:rFonts w:ascii="Traditional Arabic" w:hAnsi="Traditional Arabic" w:cs="Traditional Arabic"/>
          <w:b/>
          <w:sz w:val="30"/>
          <w:szCs w:val="30"/>
          <w:rtl/>
          <w:lang w:bidi="ar-EG"/>
        </w:rPr>
        <w:t>سيتم التحكم في ترخيص استخدام العلامات التجارية والشعار الخاص بمجموعة أسياد بموجب اتفاقية مستوى الخدمة الجديدة، و</w:t>
      </w:r>
      <w:r w:rsidR="00861506" w:rsidRPr="00205F77">
        <w:rPr>
          <w:rFonts w:ascii="Traditional Arabic" w:hAnsi="Traditional Arabic" w:cs="Traditional Arabic" w:hint="cs"/>
          <w:b/>
          <w:sz w:val="30"/>
          <w:szCs w:val="30"/>
          <w:rtl/>
          <w:lang w:bidi="ar-EG"/>
        </w:rPr>
        <w:t>س</w:t>
      </w:r>
      <w:r w:rsidR="00861506" w:rsidRPr="00205F77">
        <w:rPr>
          <w:rFonts w:ascii="Traditional Arabic" w:hAnsi="Traditional Arabic" w:cs="Traditional Arabic"/>
          <w:b/>
          <w:sz w:val="30"/>
          <w:szCs w:val="30"/>
          <w:rtl/>
          <w:lang w:bidi="ar-EG"/>
        </w:rPr>
        <w:t>يتم تضمين رسوم الترخيص ضمن الرسوم الإجمالية المستحقة على الشركة بموجب اتفاقية مستوى الخدمة الجديدة</w:t>
      </w:r>
      <w:r w:rsidRPr="00582A89">
        <w:rPr>
          <w:rFonts w:ascii="Traditional Arabic" w:hAnsi="Traditional Arabic" w:cs="Traditional Arabic"/>
          <w:b/>
          <w:sz w:val="30"/>
          <w:szCs w:val="30"/>
          <w:lang w:bidi="ar-EG"/>
        </w:rPr>
        <w:t xml:space="preserve"> </w:t>
      </w:r>
    </w:p>
    <w:p w14:paraId="07B87411" w14:textId="77777777" w:rsidR="00CF3C9A" w:rsidRPr="00582A89" w:rsidRDefault="00CF3C9A" w:rsidP="00CF3C9A">
      <w:pPr>
        <w:bidi/>
        <w:jc w:val="both"/>
        <w:rPr>
          <w:rFonts w:ascii="Traditional Arabic" w:hAnsi="Traditional Arabic" w:cs="Traditional Arabic"/>
          <w:b/>
          <w:sz w:val="30"/>
          <w:szCs w:val="30"/>
          <w:rtl/>
          <w:lang w:bidi="ar-EG"/>
        </w:rPr>
      </w:pPr>
    </w:p>
    <w:p w14:paraId="4A4957F6" w14:textId="77777777" w:rsidR="009726AD" w:rsidRDefault="009726AD" w:rsidP="009726AD">
      <w:pPr>
        <w:bidi/>
        <w:jc w:val="both"/>
        <w:rPr>
          <w:rFonts w:ascii="Traditional Arabic" w:hAnsi="Traditional Arabic" w:cs="Traditional Arabic"/>
          <w:b/>
          <w:sz w:val="30"/>
          <w:szCs w:val="30"/>
          <w:rtl/>
          <w:lang w:bidi="ar-EG"/>
        </w:rPr>
      </w:pPr>
      <w:r w:rsidRPr="00582A89">
        <w:rPr>
          <w:rFonts w:ascii="Traditional Arabic" w:hAnsi="Traditional Arabic" w:cs="Traditional Arabic"/>
          <w:b/>
          <w:sz w:val="30"/>
          <w:szCs w:val="30"/>
          <w:rtl/>
          <w:lang w:bidi="ar-EG"/>
        </w:rPr>
        <w:t>وبما أن العلامة التجارية لمجموعة أسياد مرتبطة بعمليات شركات مجموعة أسياد، فإن أي تآكل</w:t>
      </w:r>
      <w:r w:rsidRPr="009726AD">
        <w:rPr>
          <w:rFonts w:ascii="Traditional Arabic" w:hAnsi="Traditional Arabic" w:cs="Traditional Arabic"/>
          <w:b/>
          <w:sz w:val="30"/>
          <w:szCs w:val="30"/>
          <w:rtl/>
          <w:lang w:bidi="ar-EG"/>
        </w:rPr>
        <w:t xml:space="preserve"> في قيمة العلامة التجارية لمجموعة أسياد لأي سبب من الأسباب، بما في ذلك بسبب أنشطة وعمليات هذه الشركات الأخرى التابعة لمجموعة أسياد والتي لا تتمتع الشركة برؤية أو سيطرة عليها، يمكن أن يكون له تأثير سلبي جوهري على سمعة الشركة، وكذلك على أعمالها ونتائج عملياتها ووضعها المالي وتوقعاتها</w:t>
      </w:r>
      <w:r w:rsidRPr="009726AD">
        <w:rPr>
          <w:rFonts w:ascii="Traditional Arabic" w:hAnsi="Traditional Arabic" w:cs="Traditional Arabic"/>
          <w:b/>
          <w:sz w:val="30"/>
          <w:szCs w:val="30"/>
          <w:lang w:bidi="ar-EG"/>
        </w:rPr>
        <w:t>.</w:t>
      </w:r>
    </w:p>
    <w:p w14:paraId="7AC06383" w14:textId="77777777" w:rsidR="007D6AD1" w:rsidRDefault="007D6AD1" w:rsidP="007D6AD1">
      <w:pPr>
        <w:bidi/>
        <w:jc w:val="both"/>
        <w:rPr>
          <w:rFonts w:ascii="Traditional Arabic" w:hAnsi="Traditional Arabic" w:cs="Traditional Arabic"/>
          <w:b/>
          <w:sz w:val="30"/>
          <w:szCs w:val="30"/>
          <w:rtl/>
          <w:lang w:bidi="ar-EG"/>
        </w:rPr>
      </w:pPr>
    </w:p>
    <w:p w14:paraId="41B68F0D" w14:textId="77777777" w:rsidR="007D6AD1" w:rsidRPr="007D6AD1" w:rsidRDefault="007D6AD1" w:rsidP="00985281">
      <w:pPr>
        <w:bidi/>
        <w:rPr>
          <w:rFonts w:ascii="Traditional Arabic" w:hAnsi="Traditional Arabic" w:cs="Traditional Arabic"/>
          <w:b/>
          <w:sz w:val="30"/>
          <w:szCs w:val="30"/>
          <w:rtl/>
          <w:lang w:bidi="ar-EG"/>
        </w:rPr>
      </w:pPr>
      <w:r w:rsidRPr="00272B36">
        <w:rPr>
          <w:rFonts w:ascii="Traditional Arabic" w:hAnsi="Traditional Arabic" w:cs="Traditional Arabic"/>
          <w:bCs/>
          <w:sz w:val="30"/>
          <w:szCs w:val="30"/>
          <w:rtl/>
          <w:lang w:bidi="ar-EG"/>
        </w:rPr>
        <w:t>34</w:t>
      </w:r>
      <w:r w:rsidRPr="007D6AD1">
        <w:rPr>
          <w:rFonts w:ascii="Traditional Arabic" w:hAnsi="Traditional Arabic" w:cs="Traditional Arabic"/>
          <w:b/>
          <w:sz w:val="30"/>
          <w:szCs w:val="30"/>
          <w:lang w:bidi="ar-EG"/>
        </w:rPr>
        <w:t>.</w:t>
      </w:r>
      <w:r w:rsidRPr="007D6AD1">
        <w:rPr>
          <w:rFonts w:ascii="Traditional Arabic" w:hAnsi="Traditional Arabic" w:cs="Traditional Arabic"/>
          <w:b/>
          <w:sz w:val="30"/>
          <w:szCs w:val="30"/>
          <w:lang w:bidi="ar-EG"/>
        </w:rPr>
        <w:tab/>
      </w:r>
      <w:r w:rsidRPr="00985281">
        <w:rPr>
          <w:rFonts w:ascii="Traditional Arabic" w:hAnsi="Traditional Arabic" w:cs="Traditional Arabic"/>
          <w:bCs/>
          <w:sz w:val="30"/>
          <w:szCs w:val="30"/>
          <w:rtl/>
          <w:lang w:bidi="ar-EG"/>
        </w:rPr>
        <w:t>إن الافتراضات الموضوعة أثناء إعداد الأهداف المالية والتشغيلية والتي تم تضمينها في هذه النشرة قد تكون غير صحيحة أو غير مكتملة أو غير دقيقة، وقد تختلف نتائج الشركة اختلافا جوهريا عن أهدافها المالية والتشغيلية</w:t>
      </w:r>
      <w:r w:rsidRPr="00985281">
        <w:rPr>
          <w:rFonts w:ascii="Traditional Arabic" w:hAnsi="Traditional Arabic" w:cs="Traditional Arabic"/>
          <w:bCs/>
          <w:sz w:val="30"/>
          <w:szCs w:val="30"/>
          <w:lang w:bidi="ar-EG"/>
        </w:rPr>
        <w:t>.</w:t>
      </w:r>
    </w:p>
    <w:p w14:paraId="139AC64F" w14:textId="77777777" w:rsidR="007D6AD1" w:rsidRDefault="007D6AD1" w:rsidP="007D6AD1">
      <w:pPr>
        <w:bidi/>
        <w:jc w:val="both"/>
        <w:rPr>
          <w:rFonts w:ascii="Traditional Arabic" w:hAnsi="Traditional Arabic" w:cs="Traditional Arabic"/>
          <w:b/>
          <w:sz w:val="30"/>
          <w:szCs w:val="30"/>
          <w:rtl/>
          <w:lang w:bidi="ar-EG"/>
        </w:rPr>
      </w:pPr>
    </w:p>
    <w:p w14:paraId="33B67D59" w14:textId="77777777" w:rsidR="00CF3C9A" w:rsidRDefault="007D6AD1" w:rsidP="007D6AD1">
      <w:pPr>
        <w:bidi/>
        <w:jc w:val="both"/>
        <w:rPr>
          <w:rFonts w:ascii="Traditional Arabic" w:hAnsi="Traditional Arabic" w:cs="Traditional Arabic"/>
          <w:b/>
          <w:sz w:val="30"/>
          <w:szCs w:val="30"/>
          <w:rtl/>
          <w:lang w:bidi="ar-EG"/>
        </w:rPr>
      </w:pPr>
      <w:r w:rsidRPr="007D6AD1">
        <w:rPr>
          <w:rFonts w:ascii="Traditional Arabic" w:hAnsi="Traditional Arabic" w:cs="Traditional Arabic"/>
          <w:b/>
          <w:sz w:val="30"/>
          <w:szCs w:val="30"/>
          <w:rtl/>
          <w:lang w:bidi="ar-EG"/>
        </w:rPr>
        <w:t xml:space="preserve">إن الأهداف المالية والتشغيلية للشركة المضمنة في هذه النشرة تعكس الافتراضات التي افترضتها الشركة، ، وهي تتعلق بالتوقعات التجارية وبعض العوامل الخارجية الأخرى، بما في ذلك الأوضاع السياسية والقانونية والمالية وأوضاع السوق والأحوال الاقتصادية وحالة التشريعات والقوانين (بما في ذلك القوانين الخاصة بالضرائب والسياسات المحاسبية) وكلها يصعب التنبؤ بها وهي خارجة عن سيطرة الشركة. . وبالتالي، هناك مخاطر من عدم دقة الافتراضات المتوقعة أثناء وضع الأهداف المالية والتشغيلية، وقد تختلف </w:t>
      </w:r>
      <w:r w:rsidRPr="007D6AD1">
        <w:rPr>
          <w:rFonts w:ascii="Traditional Arabic" w:hAnsi="Traditional Arabic" w:cs="Traditional Arabic"/>
          <w:b/>
          <w:sz w:val="30"/>
          <w:szCs w:val="30"/>
          <w:rtl/>
          <w:lang w:bidi="ar-EG"/>
        </w:rPr>
        <w:lastRenderedPageBreak/>
        <w:t>اختلافا جوهريا عن النتائج الفعلية للشركة، وقد تؤثر إن كانت مختلفة جوهريا على سعر الأسهم. علاوة على ذلك، إن الأحداث غير المتوقعة قد تؤثر سلبا على النتائج الفعلية للشركة التي قد تحققها في فترات مستقبلية، وإن كانت افتراضاتها صحيحة. وبالتالي، لا يجب أن يُنظر إلى الأهداف المالية والتشغيلية المذكورة في هذه النشرة على أن الشركة اعتبرتها قابلة للتحقيق أو أنها توقعات يمكن الاعتماد عليها للأحداث المستقبلية. وعليه، يُنصح المستثمرون بعدم الاعتماد على الأهداف المالية والتشغيلية المذكورة في هذه النشرة. لمزيد من المعلومات عن الأهداف المالية والتشغيلية، يرجى الرجوع إلى فقرة "بيانات النظرة المستقبلية".</w:t>
      </w:r>
    </w:p>
    <w:p w14:paraId="7AF37F18" w14:textId="77777777" w:rsidR="007D6AD1" w:rsidRPr="009726AD" w:rsidRDefault="007D6AD1" w:rsidP="007D6AD1">
      <w:pPr>
        <w:bidi/>
        <w:jc w:val="both"/>
        <w:rPr>
          <w:rFonts w:ascii="Traditional Arabic" w:hAnsi="Traditional Arabic" w:cs="Traditional Arabic"/>
          <w:b/>
          <w:sz w:val="30"/>
          <w:szCs w:val="30"/>
          <w:rtl/>
          <w:lang w:bidi="ar-EG"/>
        </w:rPr>
      </w:pPr>
    </w:p>
    <w:p w14:paraId="6A5FABA9" w14:textId="77777777" w:rsidR="009726AD" w:rsidRPr="00840EB1" w:rsidRDefault="007D6AD1"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3</w:t>
      </w:r>
      <w:r>
        <w:rPr>
          <w:rFonts w:ascii="Traditional Arabic" w:hAnsi="Traditional Arabic" w:cs="Traditional Arabic" w:hint="cs"/>
          <w:bCs/>
          <w:sz w:val="30"/>
          <w:szCs w:val="30"/>
          <w:rtl/>
          <w:lang w:bidi="ar-EG"/>
        </w:rPr>
        <w:t>5</w:t>
      </w:r>
      <w:r w:rsidR="009726AD" w:rsidRPr="00840EB1">
        <w:rPr>
          <w:rFonts w:ascii="Traditional Arabic" w:hAnsi="Traditional Arabic" w:cs="Traditional Arabic"/>
          <w:bCs/>
          <w:sz w:val="30"/>
          <w:szCs w:val="30"/>
          <w:lang w:bidi="ar-EG"/>
        </w:rPr>
        <w:t>.</w:t>
      </w:r>
      <w:r w:rsidR="009726AD" w:rsidRPr="00840EB1">
        <w:rPr>
          <w:rFonts w:ascii="Traditional Arabic" w:hAnsi="Traditional Arabic" w:cs="Traditional Arabic"/>
          <w:bCs/>
          <w:sz w:val="30"/>
          <w:szCs w:val="30"/>
          <w:lang w:bidi="ar-EG"/>
        </w:rPr>
        <w:tab/>
      </w:r>
      <w:r w:rsidR="009726AD" w:rsidRPr="00840EB1">
        <w:rPr>
          <w:rFonts w:ascii="Traditional Arabic" w:hAnsi="Traditional Arabic" w:cs="Traditional Arabic"/>
          <w:bCs/>
          <w:sz w:val="30"/>
          <w:szCs w:val="30"/>
          <w:rtl/>
          <w:lang w:bidi="ar-EG"/>
        </w:rPr>
        <w:t>قد تتعرض الشركة لمخاطر متعلقة بسلامة وموثوقية وكفاءة ضوابطها الداخلية على التقارير المالية</w:t>
      </w:r>
      <w:r w:rsidR="009726AD" w:rsidRPr="00840EB1">
        <w:rPr>
          <w:rFonts w:ascii="Traditional Arabic" w:hAnsi="Traditional Arabic" w:cs="Traditional Arabic"/>
          <w:bCs/>
          <w:sz w:val="30"/>
          <w:szCs w:val="30"/>
          <w:lang w:bidi="ar-EG"/>
        </w:rPr>
        <w:t>.</w:t>
      </w:r>
    </w:p>
    <w:p w14:paraId="73495A9E" w14:textId="77777777" w:rsidR="00CF3C9A" w:rsidRDefault="00CF3C9A" w:rsidP="009726AD">
      <w:pPr>
        <w:bidi/>
        <w:jc w:val="both"/>
        <w:rPr>
          <w:rFonts w:ascii="Traditional Arabic" w:hAnsi="Traditional Arabic" w:cs="Traditional Arabic"/>
          <w:b/>
          <w:sz w:val="30"/>
          <w:szCs w:val="30"/>
          <w:rtl/>
          <w:lang w:bidi="ar-EG"/>
        </w:rPr>
      </w:pPr>
    </w:p>
    <w:p w14:paraId="602652A3"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تعتمد أعمال الشركة على الضوابط والإجراءات الداخلية التي تنظم معلومات العملاء والإدارة والتمويل ومخاطر الائتمان والجوانب الأخرى لأعمالها. وفيما يتعلق بالطرح، فإن الشركة تُجري إجراءات التحقق من الالتزام بالضوابط وتأكيد الضوابط الداخلية الخاصة بقاعدة البيانات، وفي عام 2024، أنشأت الشركة وحدة للإشراف على الضوابط الداخلية، وكانت في السابق جزءًا من وحدة الحوكمة في مجموعة أسياد</w:t>
      </w:r>
      <w:r w:rsidRPr="009726AD">
        <w:rPr>
          <w:rFonts w:ascii="Traditional Arabic" w:hAnsi="Traditional Arabic" w:cs="Traditional Arabic"/>
          <w:b/>
          <w:sz w:val="30"/>
          <w:szCs w:val="30"/>
          <w:lang w:bidi="ar-EG"/>
        </w:rPr>
        <w:t>.</w:t>
      </w:r>
    </w:p>
    <w:p w14:paraId="393D1F24" w14:textId="77777777" w:rsidR="00CF3C9A" w:rsidRPr="009726AD" w:rsidRDefault="00CF3C9A" w:rsidP="00CF3C9A">
      <w:pPr>
        <w:bidi/>
        <w:jc w:val="both"/>
        <w:rPr>
          <w:rFonts w:ascii="Traditional Arabic" w:hAnsi="Traditional Arabic" w:cs="Traditional Arabic"/>
          <w:b/>
          <w:sz w:val="30"/>
          <w:szCs w:val="30"/>
          <w:rtl/>
          <w:lang w:bidi="ar-EG"/>
        </w:rPr>
      </w:pPr>
    </w:p>
    <w:p w14:paraId="78E07F71"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لا يوجد ما يضمن أن تكون ضوابط وإجراءات الشركة الداخلية كافية لتلبية متطلبات الشركة بشكل عام أو متطلباتها كشركة مدرجة في البورصة. وإذا كانت هناك نقاط ضعف جوهرية في الضوابط الداخلية للشركة فيما يخص التقارير المالية، فقد تحتوي البيانات المالية للشركة على أخطاء جوهرية، وقد يُطلب منها إعادة بيان نتائجها المالية وقد يفقد المستثمرون الثقة في المعلومات المالية التي أبلغت عنها الشركة. بالإضافة إلى ذلك، إذا لم تكن الشركة قادرة على إنتاج بيانات مالية دقيقة وفي الوقت المناسب، فقد يتأثر سعر السوق لأسهمها سلبًا</w:t>
      </w:r>
      <w:r w:rsidRPr="009726AD">
        <w:rPr>
          <w:rFonts w:ascii="Traditional Arabic" w:hAnsi="Traditional Arabic" w:cs="Traditional Arabic"/>
          <w:b/>
          <w:sz w:val="30"/>
          <w:szCs w:val="30"/>
          <w:lang w:bidi="ar-EG"/>
        </w:rPr>
        <w:t>.</w:t>
      </w:r>
    </w:p>
    <w:p w14:paraId="57860A4F" w14:textId="77777777" w:rsidR="00CF3C9A" w:rsidRPr="009726AD" w:rsidRDefault="00CF3C9A" w:rsidP="00CF3C9A">
      <w:pPr>
        <w:bidi/>
        <w:jc w:val="both"/>
        <w:rPr>
          <w:rFonts w:ascii="Traditional Arabic" w:hAnsi="Traditional Arabic" w:cs="Traditional Arabic"/>
          <w:b/>
          <w:sz w:val="30"/>
          <w:szCs w:val="30"/>
          <w:rtl/>
          <w:lang w:bidi="ar-EG"/>
        </w:rPr>
      </w:pPr>
    </w:p>
    <w:p w14:paraId="4C466711" w14:textId="77777777" w:rsidR="009726AD" w:rsidRPr="00840EB1" w:rsidRDefault="007D6AD1"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3</w:t>
      </w:r>
      <w:r>
        <w:rPr>
          <w:rFonts w:ascii="Traditional Arabic" w:hAnsi="Traditional Arabic" w:cs="Traditional Arabic" w:hint="cs"/>
          <w:bCs/>
          <w:sz w:val="30"/>
          <w:szCs w:val="30"/>
          <w:rtl/>
          <w:lang w:bidi="ar-EG"/>
        </w:rPr>
        <w:t>6</w:t>
      </w:r>
      <w:r w:rsidR="009726AD" w:rsidRPr="00840EB1">
        <w:rPr>
          <w:rFonts w:ascii="Traditional Arabic" w:hAnsi="Traditional Arabic" w:cs="Traditional Arabic"/>
          <w:bCs/>
          <w:sz w:val="30"/>
          <w:szCs w:val="30"/>
          <w:lang w:bidi="ar-EG"/>
        </w:rPr>
        <w:t>.</w:t>
      </w:r>
      <w:r w:rsidR="009726AD" w:rsidRPr="00840EB1">
        <w:rPr>
          <w:rFonts w:ascii="Traditional Arabic" w:hAnsi="Traditional Arabic" w:cs="Traditional Arabic"/>
          <w:bCs/>
          <w:sz w:val="30"/>
          <w:szCs w:val="30"/>
          <w:lang w:bidi="ar-EG"/>
        </w:rPr>
        <w:tab/>
      </w:r>
      <w:r w:rsidR="009726AD" w:rsidRPr="00840EB1">
        <w:rPr>
          <w:rFonts w:ascii="Traditional Arabic" w:hAnsi="Traditional Arabic" w:cs="Traditional Arabic"/>
          <w:bCs/>
          <w:sz w:val="30"/>
          <w:szCs w:val="30"/>
          <w:rtl/>
          <w:lang w:bidi="ar-EG"/>
        </w:rPr>
        <w:t>قد تؤثر الدعاية السلبية سلبًا على أعمال الشركة وتؤثر على نتائجها التشغيلية</w:t>
      </w:r>
      <w:r w:rsidR="009726AD" w:rsidRPr="00840EB1">
        <w:rPr>
          <w:rFonts w:ascii="Traditional Arabic" w:hAnsi="Traditional Arabic" w:cs="Traditional Arabic"/>
          <w:bCs/>
          <w:sz w:val="30"/>
          <w:szCs w:val="30"/>
          <w:lang w:bidi="ar-EG"/>
        </w:rPr>
        <w:t>.</w:t>
      </w:r>
    </w:p>
    <w:p w14:paraId="43ECE65F" w14:textId="77777777" w:rsidR="00CF3C9A" w:rsidRDefault="00CF3C9A" w:rsidP="009726AD">
      <w:pPr>
        <w:bidi/>
        <w:jc w:val="both"/>
        <w:rPr>
          <w:rFonts w:ascii="Traditional Arabic" w:hAnsi="Traditional Arabic" w:cs="Traditional Arabic"/>
          <w:b/>
          <w:sz w:val="30"/>
          <w:szCs w:val="30"/>
          <w:rtl/>
          <w:lang w:bidi="ar-EG"/>
        </w:rPr>
      </w:pPr>
    </w:p>
    <w:p w14:paraId="724E9344"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تتعرض الشركة لمخاطر الدعاية السلبية والتكهنات الصحفية فيما يتعلق بالقطاع الذي تعمل فيه، حيث تخضع قضايا التلوث البيئي واستخدام المياه وانبعاثات الغازات الدفيئة الناجمة عن قطاع النقل البحري لرقابة تنظيمية وعامة متزايدة، لا سيما في سلطنة عمان؛ حيث التزمت الحكومة في رؤية عمان 2040 بخفض انبعاثات الغازات الدفيئة. كما أن التغييرات التنظيمية الحالية والمستقبلية التي تركز على حماية البيئة، مثل وضع معايير أكثر صرامة للحد من الانبعاثات أو تشريع لوائح منظمة لعملية التخلص من النفايات في سلطنة عمان، ستفرض تكاليف تشغيلية إضافية على الشركة وستزيد من رقابة السلطات. بالإضافة إلى ذلك، يمكن أن يؤدي سوء الإدارة أو وقوع حوادث بيئية في مرافق الشركة وسفنها إلى حوادث أو أضرار بيئية، مما يؤدي إلى </w:t>
      </w:r>
      <w:r w:rsidRPr="009726AD">
        <w:rPr>
          <w:rFonts w:ascii="Traditional Arabic" w:hAnsi="Traditional Arabic" w:cs="Traditional Arabic"/>
          <w:b/>
          <w:sz w:val="30"/>
          <w:szCs w:val="30"/>
          <w:rtl/>
          <w:lang w:bidi="ar-EG"/>
        </w:rPr>
        <w:lastRenderedPageBreak/>
        <w:t>تفاقم المخاوف العامة والحكومية. قد تواجه الشركة أيضًا دعاية سلبية لأسباب أخرى، بما في ذلك إصابة أو وفاة الموظفين أو الحوادث في منشآتها، بما في ذلك السفن المملوكة والمستأجرة</w:t>
      </w:r>
      <w:r w:rsidRPr="009726AD">
        <w:rPr>
          <w:rFonts w:ascii="Traditional Arabic" w:hAnsi="Traditional Arabic" w:cs="Traditional Arabic"/>
          <w:b/>
          <w:sz w:val="30"/>
          <w:szCs w:val="30"/>
          <w:lang w:bidi="ar-EG"/>
        </w:rPr>
        <w:t xml:space="preserve">. </w:t>
      </w:r>
    </w:p>
    <w:p w14:paraId="4B747FDA" w14:textId="77777777" w:rsidR="00CF3C9A" w:rsidRPr="009726AD" w:rsidRDefault="00CF3C9A" w:rsidP="00CF3C9A">
      <w:pPr>
        <w:bidi/>
        <w:jc w:val="both"/>
        <w:rPr>
          <w:rFonts w:ascii="Traditional Arabic" w:hAnsi="Traditional Arabic" w:cs="Traditional Arabic"/>
          <w:b/>
          <w:sz w:val="30"/>
          <w:szCs w:val="30"/>
          <w:rtl/>
          <w:lang w:bidi="ar-EG"/>
        </w:rPr>
      </w:pPr>
    </w:p>
    <w:p w14:paraId="4F59BA9E" w14:textId="77777777" w:rsidR="009726AD" w:rsidRP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وقد تؤثر المخاوف بشأن السلامة وحماية البيئة التي تشمل الصناعة أو الشركة على وجه التحديد (بما في ذلك نتيجة للحوادث التي تمس الشركة أو شركة أخرى في القطاع) على التصورات العامة فيما يتعلق بخدمات الشركة وعملياتها، وجدوى بعض الخدمات والمنتجات، وسمعة الشركة وقدرتها على جذب الموظفين والاحتفاظ بهم. وأي ضرر كبير يلحق بسمعة الشركة سيتسبب في قيام العملاء الحاليين بإنهاء علاقاتهم بالشركة أو منعها من الفوز بعقود جديدة</w:t>
      </w:r>
      <w:r w:rsidRPr="009726AD">
        <w:rPr>
          <w:rFonts w:ascii="Traditional Arabic" w:hAnsi="Traditional Arabic" w:cs="Traditional Arabic"/>
          <w:b/>
          <w:sz w:val="30"/>
          <w:szCs w:val="30"/>
          <w:lang w:bidi="ar-EG"/>
        </w:rPr>
        <w:t xml:space="preserve">. </w:t>
      </w:r>
    </w:p>
    <w:p w14:paraId="405912DE" w14:textId="77777777" w:rsidR="00CF3C9A" w:rsidRDefault="00CF3C9A" w:rsidP="009726AD">
      <w:pPr>
        <w:bidi/>
        <w:jc w:val="both"/>
        <w:rPr>
          <w:rFonts w:ascii="Traditional Arabic" w:hAnsi="Traditional Arabic" w:cs="Traditional Arabic"/>
          <w:b/>
          <w:sz w:val="30"/>
          <w:szCs w:val="30"/>
          <w:rtl/>
          <w:lang w:bidi="ar-EG"/>
        </w:rPr>
      </w:pPr>
    </w:p>
    <w:p w14:paraId="3435B5D3" w14:textId="77777777" w:rsidR="009726AD" w:rsidRDefault="009726AD" w:rsidP="00CF3C9A">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وقد يكون لوقوع أي من هذه الحوادث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0B8D3E11" w14:textId="77777777" w:rsidR="00CF3C9A" w:rsidRPr="009726AD" w:rsidRDefault="00CF3C9A" w:rsidP="00CF3C9A">
      <w:pPr>
        <w:bidi/>
        <w:jc w:val="both"/>
        <w:rPr>
          <w:rFonts w:ascii="Traditional Arabic" w:hAnsi="Traditional Arabic" w:cs="Traditional Arabic"/>
          <w:b/>
          <w:sz w:val="30"/>
          <w:szCs w:val="30"/>
          <w:rtl/>
          <w:lang w:bidi="ar-EG"/>
        </w:rPr>
      </w:pPr>
    </w:p>
    <w:p w14:paraId="4492C08E" w14:textId="77777777" w:rsidR="009726AD" w:rsidRPr="00840EB1" w:rsidRDefault="007D6AD1"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3</w:t>
      </w:r>
      <w:r>
        <w:rPr>
          <w:rFonts w:ascii="Traditional Arabic" w:hAnsi="Traditional Arabic" w:cs="Traditional Arabic" w:hint="cs"/>
          <w:bCs/>
          <w:sz w:val="30"/>
          <w:szCs w:val="30"/>
          <w:rtl/>
          <w:lang w:bidi="ar-EG"/>
        </w:rPr>
        <w:t>7</w:t>
      </w:r>
      <w:r w:rsidR="009726AD" w:rsidRPr="00840EB1">
        <w:rPr>
          <w:rFonts w:ascii="Traditional Arabic" w:hAnsi="Traditional Arabic" w:cs="Traditional Arabic"/>
          <w:bCs/>
          <w:sz w:val="30"/>
          <w:szCs w:val="30"/>
          <w:lang w:bidi="ar-EG"/>
        </w:rPr>
        <w:t>.</w:t>
      </w:r>
      <w:r w:rsidR="009726AD" w:rsidRPr="00840EB1">
        <w:rPr>
          <w:rFonts w:ascii="Traditional Arabic" w:hAnsi="Traditional Arabic" w:cs="Traditional Arabic"/>
          <w:bCs/>
          <w:sz w:val="30"/>
          <w:szCs w:val="30"/>
          <w:lang w:bidi="ar-EG"/>
        </w:rPr>
        <w:tab/>
      </w:r>
      <w:r w:rsidR="009726AD" w:rsidRPr="00840EB1">
        <w:rPr>
          <w:rFonts w:ascii="Traditional Arabic" w:hAnsi="Traditional Arabic" w:cs="Traditional Arabic"/>
          <w:bCs/>
          <w:sz w:val="30"/>
          <w:szCs w:val="30"/>
          <w:rtl/>
          <w:lang w:bidi="ar-EG"/>
        </w:rPr>
        <w:t>تتعرض الشركة لمخاطر أسعار الفائدة</w:t>
      </w:r>
      <w:r w:rsidR="009726AD" w:rsidRPr="00840EB1">
        <w:rPr>
          <w:rFonts w:ascii="Traditional Arabic" w:hAnsi="Traditional Arabic" w:cs="Traditional Arabic"/>
          <w:bCs/>
          <w:sz w:val="30"/>
          <w:szCs w:val="30"/>
          <w:lang w:bidi="ar-EG"/>
        </w:rPr>
        <w:t xml:space="preserve">. </w:t>
      </w:r>
    </w:p>
    <w:p w14:paraId="4CF1F222" w14:textId="77777777" w:rsidR="00CF3C9A" w:rsidRDefault="00CF3C9A" w:rsidP="009726AD">
      <w:pPr>
        <w:bidi/>
        <w:jc w:val="both"/>
        <w:rPr>
          <w:rFonts w:ascii="Traditional Arabic" w:hAnsi="Traditional Arabic" w:cs="Traditional Arabic"/>
          <w:b/>
          <w:sz w:val="30"/>
          <w:szCs w:val="30"/>
          <w:rtl/>
          <w:lang w:bidi="ar-EG"/>
        </w:rPr>
      </w:pPr>
    </w:p>
    <w:p w14:paraId="78E2E76D" w14:textId="77777777" w:rsidR="009726AD" w:rsidRDefault="00974C01" w:rsidP="00CF3C9A">
      <w:pPr>
        <w:bidi/>
        <w:jc w:val="both"/>
        <w:rPr>
          <w:rFonts w:ascii="Traditional Arabic" w:hAnsi="Traditional Arabic" w:cs="Traditional Arabic"/>
          <w:b/>
          <w:sz w:val="30"/>
          <w:szCs w:val="30"/>
          <w:rtl/>
          <w:lang w:bidi="ar-EG"/>
        </w:rPr>
      </w:pPr>
      <w:r w:rsidRPr="00974C01">
        <w:rPr>
          <w:rFonts w:ascii="Traditional Arabic" w:hAnsi="Traditional Arabic" w:cs="Traditional Arabic"/>
          <w:b/>
          <w:sz w:val="30"/>
          <w:szCs w:val="30"/>
          <w:rtl/>
          <w:lang w:bidi="ar-EG"/>
        </w:rPr>
        <w:t>حتى 30 سبتمبر 2024، بلغت القيمة الدفترية لإجمالي القروض ذات الفائدة المتغيرة 218 مليون ريال عماني (566 مليون دولار أمريكي) (48 في المائة من إجمالي قروض الشركة)، منها 56 مليون ريال عماني (145 مليون دولار أمريكي) تم التحوط لها من خلال مقايضات أسعار الفائدة.</w:t>
      </w:r>
      <w:r w:rsidR="000A781F" w:rsidRPr="000A781F">
        <w:rPr>
          <w:rFonts w:ascii="Traditional Arabic" w:hAnsi="Traditional Arabic" w:cs="Traditional Arabic"/>
          <w:b/>
          <w:sz w:val="30"/>
          <w:szCs w:val="30"/>
          <w:rtl/>
          <w:lang w:bidi="ar-EG"/>
        </w:rPr>
        <w:t>.</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ونتيجة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لذلك،</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فإن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الشركة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ستتأثر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بالتغيرات</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في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أسعار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الفائدة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فعلى</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سبيل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المثال،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تؤثر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التحركات</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في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سعر</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التمويل</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المضمون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لليلة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واحدة</w:t>
      </w:r>
      <w:r w:rsidR="009726AD" w:rsidRPr="009726AD">
        <w:rPr>
          <w:rFonts w:ascii="Traditional Arabic" w:hAnsi="Traditional Arabic" w:cs="Traditional Arabic"/>
          <w:b/>
          <w:sz w:val="30"/>
          <w:szCs w:val="30"/>
          <w:lang w:bidi="ar-EG"/>
        </w:rPr>
        <w:t xml:space="preserve"> (" SOFR ") </w:t>
      </w:r>
      <w:r w:rsidR="009726AD" w:rsidRPr="009726AD">
        <w:rPr>
          <w:rFonts w:ascii="Traditional Arabic" w:hAnsi="Traditional Arabic" w:cs="Traditional Arabic"/>
          <w:b/>
          <w:sz w:val="30"/>
          <w:szCs w:val="30"/>
          <w:rtl/>
          <w:lang w:bidi="ar-EG"/>
        </w:rPr>
        <w:t>(أو تجديده) أو منحنى العائد (أسعار الفائدة في السوق بآجال استحقاق مختلفة) - على القيمة السوقية للقروض المصرفية للشركة والفائدة التي تدفعها الشركة على هذه القروض. تتأثر أسعار الفائدة بالعديد من العوامل الخارجة عن سيطرة الشركة بما في ذلك، على سبيل المثال لا الحصر، السياسة النقدية للحكومة والبنك المركزي في البلدان التي تعمل فيها الشركة والترتيب في التصنيفات الائتمانية للبلدان التي تعمل فيها الشركة، بما في ذلك سلطنة عمان</w:t>
      </w:r>
      <w:r w:rsidR="009726AD" w:rsidRPr="009726AD">
        <w:rPr>
          <w:rFonts w:ascii="Traditional Arabic" w:hAnsi="Traditional Arabic" w:cs="Traditional Arabic"/>
          <w:b/>
          <w:sz w:val="30"/>
          <w:szCs w:val="30"/>
          <w:lang w:bidi="ar-EG"/>
        </w:rPr>
        <w:t xml:space="preserve">. </w:t>
      </w:r>
    </w:p>
    <w:p w14:paraId="33D54213" w14:textId="77777777" w:rsidR="00992E8F" w:rsidRPr="009726AD" w:rsidRDefault="00992E8F" w:rsidP="00992E8F">
      <w:pPr>
        <w:bidi/>
        <w:jc w:val="both"/>
        <w:rPr>
          <w:rFonts w:ascii="Traditional Arabic" w:hAnsi="Traditional Arabic" w:cs="Traditional Arabic"/>
          <w:b/>
          <w:sz w:val="30"/>
          <w:szCs w:val="30"/>
          <w:rtl/>
          <w:lang w:bidi="ar-EG"/>
        </w:rPr>
      </w:pPr>
    </w:p>
    <w:p w14:paraId="1754A7F3" w14:textId="77777777" w:rsidR="009726AD" w:rsidRDefault="006F7451" w:rsidP="009726AD">
      <w:pPr>
        <w:bidi/>
        <w:jc w:val="both"/>
        <w:rPr>
          <w:rFonts w:ascii="Traditional Arabic" w:hAnsi="Traditional Arabic" w:cs="Traditional Arabic"/>
          <w:b/>
          <w:sz w:val="30"/>
          <w:szCs w:val="30"/>
          <w:rtl/>
          <w:lang w:bidi="ar-EG"/>
        </w:rPr>
      </w:pPr>
      <w:r w:rsidRPr="006F7451">
        <w:rPr>
          <w:rFonts w:ascii="Traditional Arabic" w:hAnsi="Traditional Arabic" w:cs="Traditional Arabic"/>
          <w:b/>
          <w:sz w:val="30"/>
          <w:szCs w:val="30"/>
          <w:rtl/>
          <w:lang w:bidi="ar-EG"/>
        </w:rPr>
        <w:t>تستخدم الشركة مشتقات أسعار الفائدة، مثل عقود المقايضة، لإدارة مخاطر أسعار الفائدة. كان لدى الشركة مبلغ افتراضي غير مستهلك لمشتقات أسعار الفائدة قدره 99</w:t>
      </w:r>
      <w:r w:rsidR="00146947">
        <w:rPr>
          <w:rFonts w:ascii="Traditional Arabic" w:hAnsi="Traditional Arabic" w:cs="Traditional Arabic" w:hint="cs"/>
          <w:b/>
          <w:sz w:val="30"/>
          <w:szCs w:val="30"/>
          <w:rtl/>
          <w:lang w:bidi="ar-EG"/>
        </w:rPr>
        <w:t>.0</w:t>
      </w:r>
      <w:r w:rsidRPr="006F7451">
        <w:rPr>
          <w:rFonts w:ascii="Traditional Arabic" w:hAnsi="Traditional Arabic" w:cs="Traditional Arabic"/>
          <w:b/>
          <w:sz w:val="30"/>
          <w:szCs w:val="30"/>
          <w:rtl/>
          <w:lang w:bidi="ar-EG"/>
        </w:rPr>
        <w:t xml:space="preserve"> مليون ريال عماني (257.1 مليون دولار أمريكي) حتى 31 ديسمبر 2023، مقارنة بـ 196</w:t>
      </w:r>
      <w:r w:rsidR="005C13A7">
        <w:rPr>
          <w:rFonts w:ascii="Traditional Arabic" w:hAnsi="Traditional Arabic" w:cs="Traditional Arabic" w:hint="cs"/>
          <w:b/>
          <w:sz w:val="30"/>
          <w:szCs w:val="30"/>
          <w:rtl/>
          <w:lang w:bidi="ar-EG"/>
        </w:rPr>
        <w:t>,0</w:t>
      </w:r>
      <w:r w:rsidRPr="006F7451">
        <w:rPr>
          <w:rFonts w:ascii="Traditional Arabic" w:hAnsi="Traditional Arabic" w:cs="Traditional Arabic"/>
          <w:b/>
          <w:sz w:val="30"/>
          <w:szCs w:val="30"/>
          <w:rtl/>
          <w:lang w:bidi="ar-EG"/>
        </w:rPr>
        <w:t xml:space="preserve"> مليون ريال عماني (509.1 مليون دولار أمريكي) حتى 31 ديسمبر 2022. فلو كانت أسعار الفائدة أعلى (أو أقل) بمقدار 35 نقطة أساس وبقيت جميع المتغيرات الأخرى ثابتة، لكان إجمالي مصروفات الفائدة بالنسبة للشركة في السنة المنتهية في 31 ديسمبر 2023 قد ارتفع (أو انخفض) بنحو 1.3 مليون ريال عماني (3.4 مليون دولار أمريكي).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وبالتالي،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لا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يمكن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للشركة</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تقديم</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أي</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ضمان</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بأنها</w:t>
      </w:r>
      <w:r w:rsidR="009726AD" w:rsidRPr="009726AD">
        <w:rPr>
          <w:rFonts w:ascii="Traditional Arabic" w:hAnsi="Traditional Arabic" w:cs="Traditional Arabic"/>
          <w:b/>
          <w:sz w:val="30"/>
          <w:szCs w:val="30"/>
          <w:rtl/>
          <w:lang w:bidi="ar-EG"/>
        </w:rPr>
        <w:t xml:space="preserve"> </w:t>
      </w:r>
      <w:r w:rsidR="009726AD" w:rsidRPr="009726AD">
        <w:rPr>
          <w:rFonts w:ascii="Traditional Arabic" w:hAnsi="Traditional Arabic" w:cs="Traditional Arabic" w:hint="cs"/>
          <w:b/>
          <w:sz w:val="30"/>
          <w:szCs w:val="30"/>
          <w:rtl/>
          <w:lang w:bidi="ar-EG"/>
        </w:rPr>
        <w:t>ستواص</w:t>
      </w:r>
      <w:r w:rsidR="009726AD" w:rsidRPr="009726AD">
        <w:rPr>
          <w:rFonts w:ascii="Traditional Arabic" w:hAnsi="Traditional Arabic" w:cs="Traditional Arabic"/>
          <w:b/>
          <w:sz w:val="30"/>
          <w:szCs w:val="30"/>
          <w:rtl/>
          <w:lang w:bidi="ar-EG"/>
        </w:rPr>
        <w:t xml:space="preserve">ل أي استراتيجيات تحوط حالية أو أن التحوط الحالي أو المستقبلي سيحمي الشركة بشكل كافٍ من الآثار السلبية لحركة أسعار الفائدة. بالإضافة إلى ذلك، فمن المحتمل أن تتخلى الشركة عن المنافع التي </w:t>
      </w:r>
      <w:r w:rsidR="009726AD" w:rsidRPr="009726AD">
        <w:rPr>
          <w:rFonts w:ascii="Traditional Arabic" w:hAnsi="Traditional Arabic" w:cs="Traditional Arabic"/>
          <w:b/>
          <w:sz w:val="30"/>
          <w:szCs w:val="30"/>
          <w:rtl/>
          <w:lang w:bidi="ar-EG"/>
        </w:rPr>
        <w:lastRenderedPageBreak/>
        <w:t>قد تنجم عن التقلبات في أسعار الفائدة من خلال الانخراط في عقود المشتقات. هذا، ورغم إدارة الشركة مخاطر الأطراف الأخرى من خلال إجراء المقايضات مع البنوك المقرضة المعنية فقط، فإنها معرضة لمخاطر الائتمان في حالة فشل الأطراف الأخرى في الوفاء بالتزاماتها بموجب هذه الترتيبات. وفي حالة حدوث مثل هذا التخلف عن الأداء، فقد تتكبد الشركة تكاليف إضافية فيما يتعلق بمعاملات الاستبدال بأسعار السوق الحالية، وقد يكون لتأثير هذا التخلف عن الأداء تأثير سلبي على نتائج عمليات الشركة</w:t>
      </w:r>
      <w:r w:rsidR="009726AD" w:rsidRPr="009726AD">
        <w:rPr>
          <w:rFonts w:ascii="Traditional Arabic" w:hAnsi="Traditional Arabic" w:cs="Traditional Arabic"/>
          <w:b/>
          <w:sz w:val="30"/>
          <w:szCs w:val="30"/>
          <w:lang w:bidi="ar-EG"/>
        </w:rPr>
        <w:t xml:space="preserve">. </w:t>
      </w:r>
    </w:p>
    <w:p w14:paraId="25BBCEF9" w14:textId="77777777" w:rsidR="00992E8F" w:rsidRPr="009726AD" w:rsidRDefault="00992E8F" w:rsidP="00992E8F">
      <w:pPr>
        <w:bidi/>
        <w:jc w:val="both"/>
        <w:rPr>
          <w:rFonts w:ascii="Traditional Arabic" w:hAnsi="Traditional Arabic" w:cs="Traditional Arabic"/>
          <w:b/>
          <w:sz w:val="30"/>
          <w:szCs w:val="30"/>
          <w:rtl/>
          <w:lang w:bidi="ar-EG"/>
        </w:rPr>
      </w:pPr>
    </w:p>
    <w:p w14:paraId="30FFFB0D"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ومع ذلك، فإن أي عوامل تؤثر على استراتيجيات التحوط الخاصة بالشركة أو تعرض الشركة لمخاطر أسعار الفائدة يمكن أن يكون له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674EFE55" w14:textId="77777777" w:rsidR="00992E8F" w:rsidRPr="009726AD" w:rsidRDefault="00992E8F" w:rsidP="00992E8F">
      <w:pPr>
        <w:bidi/>
        <w:jc w:val="both"/>
        <w:rPr>
          <w:rFonts w:ascii="Traditional Arabic" w:hAnsi="Traditional Arabic" w:cs="Traditional Arabic"/>
          <w:b/>
          <w:sz w:val="30"/>
          <w:szCs w:val="30"/>
          <w:rtl/>
          <w:lang w:bidi="ar-EG"/>
        </w:rPr>
      </w:pPr>
    </w:p>
    <w:p w14:paraId="5C7FF033" w14:textId="77777777" w:rsidR="009726AD" w:rsidRPr="00840EB1" w:rsidRDefault="000A781F"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3</w:t>
      </w:r>
      <w:r>
        <w:rPr>
          <w:rFonts w:ascii="Traditional Arabic" w:hAnsi="Traditional Arabic" w:cs="Traditional Arabic" w:hint="cs"/>
          <w:bCs/>
          <w:sz w:val="30"/>
          <w:szCs w:val="30"/>
          <w:rtl/>
          <w:lang w:bidi="ar-EG"/>
        </w:rPr>
        <w:t>8</w:t>
      </w:r>
      <w:r w:rsidR="009726AD" w:rsidRPr="00840EB1">
        <w:rPr>
          <w:rFonts w:ascii="Traditional Arabic" w:hAnsi="Traditional Arabic" w:cs="Traditional Arabic"/>
          <w:bCs/>
          <w:sz w:val="30"/>
          <w:szCs w:val="30"/>
          <w:lang w:bidi="ar-EG"/>
        </w:rPr>
        <w:t>.</w:t>
      </w:r>
      <w:r w:rsidR="009726AD" w:rsidRPr="00840EB1">
        <w:rPr>
          <w:rFonts w:ascii="Traditional Arabic" w:hAnsi="Traditional Arabic" w:cs="Traditional Arabic"/>
          <w:bCs/>
          <w:sz w:val="30"/>
          <w:szCs w:val="30"/>
          <w:lang w:bidi="ar-EG"/>
        </w:rPr>
        <w:tab/>
      </w:r>
      <w:r w:rsidR="009726AD" w:rsidRPr="00840EB1">
        <w:rPr>
          <w:rFonts w:ascii="Traditional Arabic" w:hAnsi="Traditional Arabic" w:cs="Traditional Arabic"/>
          <w:bCs/>
          <w:sz w:val="30"/>
          <w:szCs w:val="30"/>
          <w:rtl/>
          <w:lang w:bidi="ar-EG"/>
        </w:rPr>
        <w:t>قد لا يكون تأمين الشركة كافياً لتغطية الخسائر التي تتكبدها الشركة</w:t>
      </w:r>
      <w:r w:rsidR="009726AD" w:rsidRPr="00840EB1">
        <w:rPr>
          <w:rFonts w:ascii="Traditional Arabic" w:hAnsi="Traditional Arabic" w:cs="Traditional Arabic"/>
          <w:bCs/>
          <w:sz w:val="30"/>
          <w:szCs w:val="30"/>
          <w:lang w:bidi="ar-EG"/>
        </w:rPr>
        <w:t>.</w:t>
      </w:r>
    </w:p>
    <w:p w14:paraId="332EAEE4" w14:textId="77777777" w:rsidR="00992E8F" w:rsidRDefault="00992E8F" w:rsidP="009726AD">
      <w:pPr>
        <w:bidi/>
        <w:jc w:val="both"/>
        <w:rPr>
          <w:rFonts w:ascii="Traditional Arabic" w:hAnsi="Traditional Arabic" w:cs="Traditional Arabic"/>
          <w:b/>
          <w:sz w:val="30"/>
          <w:szCs w:val="30"/>
          <w:rtl/>
          <w:lang w:bidi="ar-EG"/>
        </w:rPr>
      </w:pPr>
    </w:p>
    <w:p w14:paraId="20F83CEB" w14:textId="77777777" w:rsidR="009726AD" w:rsidRDefault="009726AD" w:rsidP="00992E8F">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إن تشغيل ناقلات المنتجات النفطية وناقلات الغاز الطبيعي المسال وناقلات الغا</w:t>
      </w:r>
      <w:r w:rsidR="00992E8F">
        <w:rPr>
          <w:rFonts w:ascii="Traditional Arabic" w:hAnsi="Traditional Arabic" w:cs="Traditional Arabic" w:hint="cs"/>
          <w:b/>
          <w:sz w:val="30"/>
          <w:szCs w:val="30"/>
          <w:rtl/>
          <w:lang w:bidi="ar-EG"/>
        </w:rPr>
        <w:t>ز</w:t>
      </w:r>
      <w:r w:rsidRPr="009726AD">
        <w:rPr>
          <w:rFonts w:ascii="Traditional Arabic" w:hAnsi="Traditional Arabic" w:cs="Traditional Arabic"/>
          <w:b/>
          <w:sz w:val="30"/>
          <w:szCs w:val="30"/>
          <w:rtl/>
          <w:lang w:bidi="ar-EG"/>
        </w:rPr>
        <w:t xml:space="preserve"> متوسطة الحجم والسفن الأخرى محفوف بالمخاطر بطبيعته. يرجى الاطلاع على فقرة "المخاطر المتعلقة بقطاع أعمال الشركة - تتعرض شركات النقل البحري لمخاطر الخسائر الناجمة عن الكوارث البحرية والقرصنة والأعطال الميكانيكية وغيرها من الحوادث المماثلة التي قد تعطل عملياتها ". على الرغم من أن الشركة لديها تأمين على جسم السفينة والآلات والمعدات ومخاطر الحرب والحماية والتعويض والتأمينات الأخرى، إلا أنه قد لا يتم التأمين على جميع المخاطر بشكل كافٍ، وقد لا يتم دفع بعض المطالبات. بالإضافة إلى ذلك، نظرًا لطبيعة عمليات التأجير قصيرة ومتوسطة الأجل، تختار الشركة عمومًا عدم الحصول على تأمين يغطي خسارة الأرباح الناتجة عن فترات توقف السفينة (عدم تأجيرها) بسبب تكلفة التأمين مقارنة بتكلفة عدم التأجير. وقد تؤدي فترات التوقف الطويلة لسفن الشركة إلى الإضرار بأعمال الشركة ووضعها المالي وتوقعاتها ونتائجها التشغيلية، بما في ذلك القيمة </w:t>
      </w:r>
      <w:r w:rsidR="00992E8F" w:rsidRPr="009726AD">
        <w:rPr>
          <w:rFonts w:ascii="Traditional Arabic" w:hAnsi="Traditional Arabic" w:cs="Traditional Arabic" w:hint="cs"/>
          <w:b/>
          <w:sz w:val="30"/>
          <w:szCs w:val="30"/>
          <w:rtl/>
          <w:lang w:bidi="ar-EG"/>
        </w:rPr>
        <w:t>الإجمالي</w:t>
      </w:r>
      <w:r w:rsidR="00992E8F" w:rsidRPr="009726AD">
        <w:rPr>
          <w:rFonts w:ascii="Traditional Arabic" w:hAnsi="Traditional Arabic" w:cs="Traditional Arabic" w:hint="eastAsia"/>
          <w:b/>
          <w:sz w:val="30"/>
          <w:szCs w:val="30"/>
          <w:rtl/>
          <w:lang w:bidi="ar-EG"/>
        </w:rPr>
        <w:t>ة</w:t>
      </w:r>
      <w:r w:rsidRPr="009726AD">
        <w:rPr>
          <w:rFonts w:ascii="Traditional Arabic" w:hAnsi="Traditional Arabic" w:cs="Traditional Arabic"/>
          <w:b/>
          <w:sz w:val="30"/>
          <w:szCs w:val="30"/>
          <w:rtl/>
          <w:lang w:bidi="ar-EG"/>
        </w:rPr>
        <w:t xml:space="preserve"> لإيرادات عقود إيجار السفن المجهزة بالمدة. لمزيد من المعلومات، يرجى الاطلاع على فصل "وصف الشركة ونظرة عامة على الأعمال - القيمة الإجمالية لإيرادات العقود". ستخضع أي مطالبات تتعلق بعمليات الشركة التي يغطيها التأمين لاستقطاعات، وبما أنه من الممكن تقديم عدد كبير من المطالبات، فقد يكون المبلغ الإجمالي لهذه الاستقطاعات كبيرًا. تحتفظ الشركة ببعض التغطية التأمينية من خلال جمعيات الحماية والتعويض المتبادل، وبصفتها عضوًا في هذه الجمعيات، فقد يُطلب من الشركة سداد مدفوعات إضافية تزيد عن الأقساط المدرجة في الميزانية إذا تجاوزت مطالبات الأعضاء احتياطيات الجمعية</w:t>
      </w:r>
      <w:r w:rsidRPr="009726AD">
        <w:rPr>
          <w:rFonts w:ascii="Traditional Arabic" w:hAnsi="Traditional Arabic" w:cs="Traditional Arabic"/>
          <w:b/>
          <w:sz w:val="30"/>
          <w:szCs w:val="30"/>
          <w:lang w:bidi="ar-EG"/>
        </w:rPr>
        <w:t xml:space="preserve">. </w:t>
      </w:r>
    </w:p>
    <w:p w14:paraId="6E45BFE9" w14:textId="77777777" w:rsidR="00992E8F" w:rsidRPr="009726AD" w:rsidRDefault="00992E8F" w:rsidP="00992E8F">
      <w:pPr>
        <w:bidi/>
        <w:jc w:val="both"/>
        <w:rPr>
          <w:rFonts w:ascii="Traditional Arabic" w:hAnsi="Traditional Arabic" w:cs="Traditional Arabic"/>
          <w:b/>
          <w:sz w:val="30"/>
          <w:szCs w:val="30"/>
          <w:rtl/>
          <w:lang w:bidi="ar-EG"/>
        </w:rPr>
      </w:pPr>
    </w:p>
    <w:p w14:paraId="04E044DC"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لا تغطي وثائق تأمين الشركة المخاطر الناشئة عن الأضرار الناجمة عن البلى والأضرار الناجمة عن سوء السلوك المتعمد لأفراد طاقم السفينة ومديري المكاتب. بالإضافة إلى ذلك، لا تغطي وثائق التأمين الخاصة بالشركة عمومًا خسارة الأرباح بسبب التأخير أو المصادرة الناجمة عن الاضطرابات السياسية وهجر الطاقم والسلوكيات غير القانونية، وكلها من المخاطر التجارية</w:t>
      </w:r>
      <w:r w:rsidRPr="009726AD">
        <w:rPr>
          <w:rFonts w:ascii="Traditional Arabic" w:hAnsi="Traditional Arabic" w:cs="Traditional Arabic"/>
          <w:b/>
          <w:sz w:val="30"/>
          <w:szCs w:val="30"/>
          <w:lang w:bidi="ar-EG"/>
        </w:rPr>
        <w:t>.</w:t>
      </w:r>
    </w:p>
    <w:p w14:paraId="2ABE5F19" w14:textId="77777777" w:rsidR="00992E8F" w:rsidRPr="009726AD" w:rsidRDefault="00992E8F" w:rsidP="00992E8F">
      <w:pPr>
        <w:bidi/>
        <w:jc w:val="both"/>
        <w:rPr>
          <w:rFonts w:ascii="Traditional Arabic" w:hAnsi="Traditional Arabic" w:cs="Traditional Arabic"/>
          <w:b/>
          <w:sz w:val="30"/>
          <w:szCs w:val="30"/>
          <w:rtl/>
          <w:lang w:bidi="ar-EG"/>
        </w:rPr>
      </w:pPr>
    </w:p>
    <w:p w14:paraId="64531E3E"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زادت شركات التأمين في السنوات الأخيرة أقساط أنواع معينة من التأمين في قطاع النقل البحري.  يتضمن تأمين الشركة على بعض الاستقطاعات والقيود والاستثناءات القياسية، بما في ذلك القيود والاستثناءات فيما يتعلق ببعض الخسائر الناشئة عن الهجمات الإلكترونية وأعمال الحرب والإرهاب والأعمال الخبيثة والأنشطة النووية وسوء السلوك أو الاحتيال المتعمد. بالإضافة إلى ذلك، إذا تم تقديم مطالبات ضد الشركة، فقد تخضع سفن الشركة للحجز أو الإجراءات القضائية الأخرى، حيث قد لا تقدم شركات التأمين التابعة للشركة دائمًا خطاب ضمان في حالة القبض على السفينة أو حجزها أو مصادرتها</w:t>
      </w:r>
      <w:r w:rsidRPr="009726AD">
        <w:rPr>
          <w:rFonts w:ascii="Traditional Arabic" w:hAnsi="Traditional Arabic" w:cs="Traditional Arabic"/>
          <w:b/>
          <w:sz w:val="30"/>
          <w:szCs w:val="30"/>
          <w:lang w:bidi="ar-EG"/>
        </w:rPr>
        <w:t>.</w:t>
      </w:r>
    </w:p>
    <w:p w14:paraId="63BC1A65" w14:textId="77777777" w:rsidR="00992E8F" w:rsidRPr="009726AD" w:rsidRDefault="00992E8F" w:rsidP="00992E8F">
      <w:pPr>
        <w:bidi/>
        <w:jc w:val="both"/>
        <w:rPr>
          <w:rFonts w:ascii="Traditional Arabic" w:hAnsi="Traditional Arabic" w:cs="Traditional Arabic"/>
          <w:b/>
          <w:sz w:val="30"/>
          <w:szCs w:val="30"/>
          <w:rtl/>
          <w:lang w:bidi="ar-EG"/>
        </w:rPr>
      </w:pPr>
    </w:p>
    <w:p w14:paraId="424D87C8"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كما زادت اللوائح البيئية الأكثر صرامة في الماضي إلى زيادة التكاليف، وقد تؤدي في المستقبل إلى انخفاض توافر التأمين ضد مخاطر الأضرار البيئية أو التلوث. بالإضافة إلى ذلك، قد يتم إبطال تأمين الشركة من قبل شركات التأمين نتيجة لبعض إجراءات الشركة، مثل فشل سفن الشركة في الحفاظ على التصنيفات أو الشهادات مع المنظمات البحرية ذاتية التنظيم المعمول بها. قد تؤدي التغييرات في أسواق التأمين التي تعزى إلى الهجمات الإرهابية أيضًا إلى جعل أنواع معينة من التأمين أكثر كُلفة أو غير مناسب للشركة. بالإضافة إلى ذلك، قد يكون التأمين المتاح في المستقبل أكثر تكلفة بكثير من التغطية الحالية للشركة. وقد يكون لأي خسارة غير مؤمنة أو غير مؤمنة بالشكل الكافي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335EDD7F" w14:textId="77777777" w:rsidR="00992E8F" w:rsidRPr="009726AD" w:rsidRDefault="00992E8F" w:rsidP="00992E8F">
      <w:pPr>
        <w:bidi/>
        <w:jc w:val="both"/>
        <w:rPr>
          <w:rFonts w:ascii="Traditional Arabic" w:hAnsi="Traditional Arabic" w:cs="Traditional Arabic"/>
          <w:b/>
          <w:sz w:val="30"/>
          <w:szCs w:val="30"/>
          <w:rtl/>
          <w:lang w:bidi="ar-EG"/>
        </w:rPr>
      </w:pPr>
    </w:p>
    <w:p w14:paraId="596422CF" w14:textId="77777777" w:rsidR="009726AD" w:rsidRPr="00840EB1" w:rsidRDefault="000A781F"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3</w:t>
      </w:r>
      <w:r>
        <w:rPr>
          <w:rFonts w:ascii="Traditional Arabic" w:hAnsi="Traditional Arabic" w:cs="Traditional Arabic" w:hint="cs"/>
          <w:bCs/>
          <w:sz w:val="30"/>
          <w:szCs w:val="30"/>
          <w:rtl/>
          <w:lang w:bidi="ar-EG"/>
        </w:rPr>
        <w:t>9</w:t>
      </w:r>
      <w:r w:rsidR="009726AD" w:rsidRPr="00840EB1">
        <w:rPr>
          <w:rFonts w:ascii="Traditional Arabic" w:hAnsi="Traditional Arabic" w:cs="Traditional Arabic"/>
          <w:bCs/>
          <w:sz w:val="30"/>
          <w:szCs w:val="30"/>
          <w:lang w:bidi="ar-EG"/>
        </w:rPr>
        <w:t>.</w:t>
      </w:r>
      <w:r w:rsidR="009726AD" w:rsidRPr="00840EB1">
        <w:rPr>
          <w:rFonts w:ascii="Traditional Arabic" w:hAnsi="Traditional Arabic" w:cs="Traditional Arabic"/>
          <w:bCs/>
          <w:sz w:val="30"/>
          <w:szCs w:val="30"/>
          <w:lang w:bidi="ar-EG"/>
        </w:rPr>
        <w:tab/>
      </w:r>
      <w:r w:rsidR="009726AD" w:rsidRPr="00840EB1">
        <w:rPr>
          <w:rFonts w:ascii="Traditional Arabic" w:hAnsi="Traditional Arabic" w:cs="Traditional Arabic"/>
          <w:bCs/>
          <w:sz w:val="30"/>
          <w:szCs w:val="30"/>
          <w:rtl/>
          <w:lang w:bidi="ar-EG"/>
        </w:rPr>
        <w:t>قد يؤدي نمو أسطول الشركة وعملياتها إلى إجهاد الأنظمة والموارد الإدارية الحالية للشركة</w:t>
      </w:r>
      <w:r w:rsidR="009726AD" w:rsidRPr="00840EB1">
        <w:rPr>
          <w:rFonts w:ascii="Traditional Arabic" w:hAnsi="Traditional Arabic" w:cs="Traditional Arabic"/>
          <w:bCs/>
          <w:sz w:val="30"/>
          <w:szCs w:val="30"/>
          <w:lang w:bidi="ar-EG"/>
        </w:rPr>
        <w:t>.</w:t>
      </w:r>
    </w:p>
    <w:p w14:paraId="71983896" w14:textId="77777777" w:rsidR="00992E8F" w:rsidRDefault="00992E8F" w:rsidP="009726AD">
      <w:pPr>
        <w:bidi/>
        <w:jc w:val="both"/>
        <w:rPr>
          <w:rFonts w:ascii="Traditional Arabic" w:hAnsi="Traditional Arabic" w:cs="Traditional Arabic"/>
          <w:b/>
          <w:sz w:val="30"/>
          <w:szCs w:val="30"/>
          <w:rtl/>
          <w:lang w:bidi="ar-EG"/>
        </w:rPr>
      </w:pPr>
    </w:p>
    <w:p w14:paraId="77BFC714" w14:textId="77777777" w:rsidR="009726AD" w:rsidRDefault="009726AD" w:rsidP="00992E8F">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سيستمر نمو الشركة في وضع متطلبات كبيرة على إدارة الشركة ومواردها التشغيلية والمالية. مع توسع الشركة في عملياتها، يجب عليها إدارة ومراقبة العمليات الفنية والتجارية بشكل فعال، والتحكم في التكاليف والحفاظ على الجودة والرقابة في الأسواق البعيدة جغرافيًا. وستعتمد استراتيجية الشركة للنمو والأداء المالي أيضًا على قدرتها على تحديد أسواق جديدة ومدى قبولها لدى العملاء الجدد، والتنافس بشكل فعال في الأسواق الجديدة، وتحديد والمشاركة في ترتيبات المشاريع المشتركة وعمليات الاستحواذ المناسبة، وتوظيف وتدريب وإدارة وتحفيز الموظفين لدعم العمليات الموسعة، ومواصلة تحسين دعم العملاء والضوابط المالية وأنظمة المعلومات، والاستفادة من وفورات الحجم التي قد تنجم عن تشغيل أسطول عالمي كبير من السفن</w:t>
      </w:r>
      <w:r w:rsidRPr="009726AD">
        <w:rPr>
          <w:rFonts w:ascii="Traditional Arabic" w:hAnsi="Traditional Arabic" w:cs="Traditional Arabic"/>
          <w:b/>
          <w:sz w:val="30"/>
          <w:szCs w:val="30"/>
          <w:lang w:bidi="ar-EG"/>
        </w:rPr>
        <w:t>.</w:t>
      </w:r>
    </w:p>
    <w:p w14:paraId="13453C62" w14:textId="77777777" w:rsidR="00992E8F" w:rsidRPr="009726AD" w:rsidRDefault="00992E8F" w:rsidP="00992E8F">
      <w:pPr>
        <w:bidi/>
        <w:jc w:val="both"/>
        <w:rPr>
          <w:rFonts w:ascii="Traditional Arabic" w:hAnsi="Traditional Arabic" w:cs="Traditional Arabic"/>
          <w:b/>
          <w:sz w:val="30"/>
          <w:szCs w:val="30"/>
          <w:rtl/>
          <w:lang w:bidi="ar-EG"/>
        </w:rPr>
      </w:pPr>
    </w:p>
    <w:p w14:paraId="622A47A7"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وقد لا تكون هذه الجهود ناجحة وقد لا تحدث في الوقت المناسب أو بطريقة فعالة. وقد يريد العملاء توظيف الشركة في أسواق وطرق تجارية جديدة غير مستعدة لها، أو تنطوي على مستوى أعلى من المخاطر المتوقعة. وقد يكون للفشل في الإدارة الفعالة لنمو الشركة والنظام والتحولات الإجرائية المطلوبة للتوسع بطريقة فعالة من حيث التكلفة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0B0BB986" w14:textId="77777777" w:rsidR="00992E8F" w:rsidRPr="009726AD" w:rsidRDefault="00992E8F" w:rsidP="00992E8F">
      <w:pPr>
        <w:bidi/>
        <w:jc w:val="both"/>
        <w:rPr>
          <w:rFonts w:ascii="Traditional Arabic" w:hAnsi="Traditional Arabic" w:cs="Traditional Arabic"/>
          <w:b/>
          <w:sz w:val="30"/>
          <w:szCs w:val="30"/>
          <w:rtl/>
          <w:lang w:bidi="ar-EG"/>
        </w:rPr>
      </w:pPr>
    </w:p>
    <w:p w14:paraId="5BD8F3B7" w14:textId="77777777" w:rsidR="009726AD" w:rsidRPr="00840EB1" w:rsidRDefault="000A781F" w:rsidP="009726AD">
      <w:pPr>
        <w:bidi/>
        <w:jc w:val="both"/>
        <w:rPr>
          <w:rFonts w:ascii="Traditional Arabic" w:hAnsi="Traditional Arabic" w:cs="Traditional Arabic"/>
          <w:bCs/>
          <w:sz w:val="30"/>
          <w:szCs w:val="30"/>
          <w:rtl/>
          <w:lang w:bidi="ar-EG"/>
        </w:rPr>
      </w:pPr>
      <w:r>
        <w:rPr>
          <w:rFonts w:ascii="Traditional Arabic" w:hAnsi="Traditional Arabic" w:cs="Traditional Arabic" w:hint="cs"/>
          <w:bCs/>
          <w:sz w:val="30"/>
          <w:szCs w:val="30"/>
          <w:rtl/>
          <w:lang w:bidi="ar-EG"/>
        </w:rPr>
        <w:t>40</w:t>
      </w:r>
      <w:r w:rsidR="009726AD" w:rsidRPr="00840EB1">
        <w:rPr>
          <w:rFonts w:ascii="Traditional Arabic" w:hAnsi="Traditional Arabic" w:cs="Traditional Arabic"/>
          <w:bCs/>
          <w:sz w:val="30"/>
          <w:szCs w:val="30"/>
          <w:lang w:bidi="ar-EG"/>
        </w:rPr>
        <w:t>.</w:t>
      </w:r>
      <w:r w:rsidR="009726AD" w:rsidRPr="00840EB1">
        <w:rPr>
          <w:rFonts w:ascii="Traditional Arabic" w:hAnsi="Traditional Arabic" w:cs="Traditional Arabic"/>
          <w:bCs/>
          <w:sz w:val="30"/>
          <w:szCs w:val="30"/>
          <w:lang w:bidi="ar-EG"/>
        </w:rPr>
        <w:tab/>
      </w:r>
      <w:r w:rsidR="009726AD" w:rsidRPr="00840EB1">
        <w:rPr>
          <w:rFonts w:ascii="Traditional Arabic" w:hAnsi="Traditional Arabic" w:cs="Traditional Arabic"/>
          <w:bCs/>
          <w:sz w:val="30"/>
          <w:szCs w:val="30"/>
          <w:rtl/>
          <w:lang w:bidi="ar-EG"/>
        </w:rPr>
        <w:t>قد تفشل الشركة في توظيف الإدارة والموظفين المهرة والاحتفاظ بهم؛ الأمر الذي قد يتأثر أيضًا بمبادرات "التعمين</w:t>
      </w:r>
      <w:r w:rsidR="009726AD" w:rsidRPr="00840EB1">
        <w:rPr>
          <w:rFonts w:ascii="Traditional Arabic" w:hAnsi="Traditional Arabic" w:cs="Traditional Arabic"/>
          <w:bCs/>
          <w:sz w:val="30"/>
          <w:szCs w:val="30"/>
          <w:lang w:bidi="ar-EG"/>
        </w:rPr>
        <w:t>".</w:t>
      </w:r>
    </w:p>
    <w:p w14:paraId="2D0A8980" w14:textId="77777777" w:rsidR="00992E8F" w:rsidRDefault="00992E8F" w:rsidP="009726AD">
      <w:pPr>
        <w:bidi/>
        <w:jc w:val="both"/>
        <w:rPr>
          <w:rFonts w:ascii="Traditional Arabic" w:hAnsi="Traditional Arabic" w:cs="Traditional Arabic"/>
          <w:b/>
          <w:sz w:val="30"/>
          <w:szCs w:val="30"/>
          <w:rtl/>
          <w:lang w:bidi="ar-EG"/>
        </w:rPr>
      </w:pPr>
    </w:p>
    <w:p w14:paraId="0849BB0F" w14:textId="77777777" w:rsidR="009726AD" w:rsidRDefault="009726AD" w:rsidP="00992E8F">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تعتمد الشركة على إدارتها العليا في تنفيذ استراتيجيتها وإدارة عملياتها اليومية. وهناك منافسة كبيرة في سلطنة عمان على موظفي الإدارة، خاصة على مستوى الإدارة العليا بسبب انخفاض عدد الأفراد المؤهلين وذوي الخبرة في قطاع النقل البحري، ولا يخضع فريق الإدارة العليا للشركة لقيود عدم المنافسة أو عدم المشاركة في أعمال أخرى. وإذا فقدت الشركة أي عضو في فريق إدارتها العليا أو موظفيها الرئيسيين الآخرين فقد يؤثر ذلك سلبًا على قدرة الشركة على تنفيذ عملياتها أو تحديد وتنفيذ المبادرات الاستراتيجية المحتملة، مما قد يكون له تأثير سلبي جوهري على أعمال الشركة وتدفقاتها النقدية وضعها المالي ونتائج عملياتها وتوقعاتها</w:t>
      </w:r>
      <w:r w:rsidRPr="009726AD">
        <w:rPr>
          <w:rFonts w:ascii="Traditional Arabic" w:hAnsi="Traditional Arabic" w:cs="Traditional Arabic"/>
          <w:b/>
          <w:sz w:val="30"/>
          <w:szCs w:val="30"/>
          <w:lang w:bidi="ar-EG"/>
        </w:rPr>
        <w:t xml:space="preserve">. </w:t>
      </w:r>
    </w:p>
    <w:p w14:paraId="0F99F3D6" w14:textId="77777777" w:rsidR="00992E8F" w:rsidRPr="009726AD" w:rsidRDefault="00992E8F" w:rsidP="00992E8F">
      <w:pPr>
        <w:bidi/>
        <w:jc w:val="both"/>
        <w:rPr>
          <w:rFonts w:ascii="Traditional Arabic" w:hAnsi="Traditional Arabic" w:cs="Traditional Arabic"/>
          <w:b/>
          <w:sz w:val="30"/>
          <w:szCs w:val="30"/>
          <w:rtl/>
          <w:lang w:bidi="ar-EG"/>
        </w:rPr>
      </w:pPr>
    </w:p>
    <w:p w14:paraId="202C13DD"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بالإضافة إلى ذلك، تعتمد الشركة على الجهود المستمرة للموظفين المهرة لتشغيل وتقديم الخدمات الفنية والدعم لأعمالها، وعلى وجه الخصوص، تعتمد الشركة على وكالات خارجية لتوفير غالبية أطقم الملاحة البحرية لسفنها. والمنافسة على جذب هؤلاء الموظفين المؤهلين والاحتفاظ بهم شديدة. وإذا كانت الشركة ووكالات توفير الأطقم الملاحية غير قادرة على توظيف واستبقاء الموظفين المؤهلين وأفراد الطاقم، حسب الحالة، أو إذا زادت تكاليف الطاقم وكانت الشركة غير قادرة على زيادة أسعار التأجير للعملاء لتعويض هذه الزيادات، فقد تتأثر أعمال الشركة ونتائج عملياتها ووضعها المالي وتوقعاتها سلبًا</w:t>
      </w:r>
      <w:r w:rsidRPr="009726AD">
        <w:rPr>
          <w:rFonts w:ascii="Traditional Arabic" w:hAnsi="Traditional Arabic" w:cs="Traditional Arabic"/>
          <w:b/>
          <w:sz w:val="30"/>
          <w:szCs w:val="30"/>
          <w:lang w:bidi="ar-EG"/>
        </w:rPr>
        <w:t xml:space="preserve">. </w:t>
      </w:r>
    </w:p>
    <w:p w14:paraId="5602C4D3" w14:textId="77777777" w:rsidR="00992E8F" w:rsidRPr="009726AD" w:rsidRDefault="00992E8F" w:rsidP="00992E8F">
      <w:pPr>
        <w:bidi/>
        <w:jc w:val="both"/>
        <w:rPr>
          <w:rFonts w:ascii="Traditional Arabic" w:hAnsi="Traditional Arabic" w:cs="Traditional Arabic"/>
          <w:b/>
          <w:sz w:val="30"/>
          <w:szCs w:val="30"/>
          <w:rtl/>
          <w:lang w:bidi="ar-EG"/>
        </w:rPr>
      </w:pPr>
    </w:p>
    <w:p w14:paraId="4345ADB1"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وبشكل عام، تعتمد سلطنة عمان جزئيًا على العاملين الأجانب في العديد من القطاعات، بدءًا من العمال غير المهرة إلى المهنيين ذوي المهارات العالية. ومع ذلك، تهدف الحكومة إلى زيادة العمالة المحلية كجزء من مبادرة "التعمين"، والتي تهدف إلى توظيف المواطنين العمانيين بطريقة مجدية وفعالة في القطاعين العام والخاص وتقليل اعتماد البلاد على العمال الأجانب. وسيتعين على الشركات - ضمن هذه المبادرة - توظيف العمانيين في بعض المناصب العليا والإدارية والفنية وغيرها من المناصب، وقد يكون شغلها أكثر تكلفة مما كان سيكون عليه الحال لو تم توظيف الأجانب، ويجب أن تحافظ على معدل تعمين إجمالي قدره 80 في المائة. بالإضافة إلى ذلك، يجب أن تصل نسب التعمين في المناصب الإدارية والموارد البشرية إلى نسبة 100 في المائة من نسبة التعمين. حافظت الشركة على نسبة تعمين تزيد عن 86 في المائة لكل سنة من السنوات المنتهية في 31 ديسمبر 2021 و 2022 و 2023، وقد تجد مع ذلك صعوبة في توظيف أشخاص في سلطنة عمان يتمتعون بالمؤهلات ذات الصلة. وإذا لم تتمكن من القيام بذلك ولم تتمكن من توظيف أجانب مؤهلين، فقد تتأثر أعمالها وتدفقاتها النقدية ووضعها المالي ونتائج عملياتها وتوقعاتها سلبًا بشكل جوهري</w:t>
      </w:r>
      <w:r w:rsidRPr="009726AD">
        <w:rPr>
          <w:rFonts w:ascii="Traditional Arabic" w:hAnsi="Traditional Arabic" w:cs="Traditional Arabic"/>
          <w:b/>
          <w:sz w:val="30"/>
          <w:szCs w:val="30"/>
          <w:lang w:bidi="ar-EG"/>
        </w:rPr>
        <w:t>.</w:t>
      </w:r>
    </w:p>
    <w:p w14:paraId="63252D60" w14:textId="77777777" w:rsidR="00992E8F" w:rsidRPr="009726AD" w:rsidRDefault="00992E8F" w:rsidP="00992E8F">
      <w:pPr>
        <w:bidi/>
        <w:jc w:val="both"/>
        <w:rPr>
          <w:rFonts w:ascii="Traditional Arabic" w:hAnsi="Traditional Arabic" w:cs="Traditional Arabic"/>
          <w:b/>
          <w:sz w:val="30"/>
          <w:szCs w:val="30"/>
          <w:rtl/>
          <w:lang w:bidi="ar-EG"/>
        </w:rPr>
      </w:pPr>
    </w:p>
    <w:p w14:paraId="244AA00E" w14:textId="77777777" w:rsidR="009726AD" w:rsidRPr="00840EB1" w:rsidRDefault="000A781F"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lastRenderedPageBreak/>
        <w:t>4</w:t>
      </w:r>
      <w:r>
        <w:rPr>
          <w:rFonts w:ascii="Traditional Arabic" w:hAnsi="Traditional Arabic" w:cs="Traditional Arabic" w:hint="cs"/>
          <w:bCs/>
          <w:sz w:val="30"/>
          <w:szCs w:val="30"/>
          <w:rtl/>
          <w:lang w:bidi="ar-EG"/>
        </w:rPr>
        <w:t>1</w:t>
      </w:r>
      <w:r w:rsidR="009726AD" w:rsidRPr="00840EB1">
        <w:rPr>
          <w:rFonts w:ascii="Traditional Arabic" w:hAnsi="Traditional Arabic" w:cs="Traditional Arabic"/>
          <w:bCs/>
          <w:sz w:val="30"/>
          <w:szCs w:val="30"/>
          <w:lang w:bidi="ar-EG"/>
        </w:rPr>
        <w:t>.</w:t>
      </w:r>
      <w:r w:rsidR="009726AD" w:rsidRPr="00840EB1">
        <w:rPr>
          <w:rFonts w:ascii="Traditional Arabic" w:hAnsi="Traditional Arabic" w:cs="Traditional Arabic"/>
          <w:bCs/>
          <w:sz w:val="30"/>
          <w:szCs w:val="30"/>
          <w:lang w:bidi="ar-EG"/>
        </w:rPr>
        <w:tab/>
      </w:r>
      <w:r w:rsidR="009726AD" w:rsidRPr="00840EB1">
        <w:rPr>
          <w:rFonts w:ascii="Traditional Arabic" w:hAnsi="Traditional Arabic" w:cs="Traditional Arabic"/>
          <w:bCs/>
          <w:sz w:val="30"/>
          <w:szCs w:val="30"/>
          <w:rtl/>
          <w:lang w:bidi="ar-EG"/>
        </w:rPr>
        <w:t>اضطرابات العمل قد تؤثر سلبًا على عمليات الشركة</w:t>
      </w:r>
      <w:r w:rsidR="009726AD" w:rsidRPr="00840EB1">
        <w:rPr>
          <w:rFonts w:ascii="Traditional Arabic" w:hAnsi="Traditional Arabic" w:cs="Traditional Arabic"/>
          <w:bCs/>
          <w:sz w:val="30"/>
          <w:szCs w:val="30"/>
          <w:lang w:bidi="ar-EG"/>
        </w:rPr>
        <w:t>.</w:t>
      </w:r>
    </w:p>
    <w:p w14:paraId="5DEB0D4E" w14:textId="77777777" w:rsidR="00992E8F" w:rsidRDefault="00992E8F" w:rsidP="009726AD">
      <w:pPr>
        <w:bidi/>
        <w:jc w:val="both"/>
        <w:rPr>
          <w:rFonts w:ascii="Traditional Arabic" w:hAnsi="Traditional Arabic" w:cs="Traditional Arabic"/>
          <w:b/>
          <w:sz w:val="30"/>
          <w:szCs w:val="30"/>
          <w:rtl/>
          <w:lang w:bidi="ar-EG"/>
        </w:rPr>
      </w:pPr>
    </w:p>
    <w:p w14:paraId="1D6A4979" w14:textId="77777777" w:rsidR="009726AD" w:rsidRDefault="009726AD" w:rsidP="00992E8F">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الشركة وسفنها معتمدة بموجب اتفاقية العمل البحري. ينتمي معظم بحارة الشركة إلى نقابات، ولدى الشركة اتفاقيات مفاوضة جماعية مع الشركات التابعة للاتحاد الدولي لعمال النقل</w:t>
      </w:r>
      <w:r w:rsidRPr="009726AD">
        <w:rPr>
          <w:rFonts w:ascii="Traditional Arabic" w:hAnsi="Traditional Arabic" w:cs="Traditional Arabic"/>
          <w:b/>
          <w:sz w:val="30"/>
          <w:szCs w:val="30"/>
          <w:lang w:bidi="ar-EG"/>
        </w:rPr>
        <w:t xml:space="preserve"> (" ITF ") </w:t>
      </w:r>
      <w:r w:rsidRPr="009726AD">
        <w:rPr>
          <w:rFonts w:ascii="Traditional Arabic" w:hAnsi="Traditional Arabic" w:cs="Traditional Arabic"/>
          <w:b/>
          <w:sz w:val="30"/>
          <w:szCs w:val="30"/>
          <w:rtl/>
          <w:lang w:bidi="ar-EG"/>
        </w:rPr>
        <w:t>في البلدان التي يعمل فيها بحارة الشركة، والتي يخضع لها توظيف جميع البحارة العاملين على سفن الشركة. وتخضع الأجور المدفوعة لطاقم الشركة، والحد الأدنى لظروف المعيشة على متن سفن الشركة، بالإضافة إلى المزايا والشروط الأخرى لتوظيف البحارة لشروط وأحكام هذه الاتفاقيات بشكل عام. وتخضع هذه الاتفاقيات لإعادة التفاوض العرفي، وقد تصبح الشركة أيضًا خاضعة لاتفاقيات مفاوضة جماعية إضافية في المستقبل. تعتقد الشركة أن علاقاتها مع الاتحاد الدولي لعمال النقل والنقابات العمالية الأخرى جيدة، ولكن إذا تدهورت علاقاتها مع البحارة أو الاتحاد الدولي لعمال النقل أو النقابات العمالية الأخرى، أو إذا قرر موظفو الشركة أو نقاباتها الإضراب أو التوقف عن العمل لأي سبب آخر، فقد لا تتمكن الشركة من تشغيل سفنها، مما قد يؤدي إلى خسارة الإيرادات وزيادة التكاليف وانخفاض التدفقات النقدية. علاوة على ذلك، فإن الأجور التي تدفعها الشركة لموظفيها الملاحين تخضع لاتفاقيات المفاوضة الجماعية للشركة، ولا يوجد ما يضمن أن إعادة التفاوض في المستقبل ستؤدي إلى مستويات أجور مقبولة للشركة. وأي اضطرابات في العمل أو زيادة كبيرة في الأجور يمكن أن تضر بعمليات الشركة ويمكن أن يكون لها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w:t>
      </w:r>
    </w:p>
    <w:p w14:paraId="11915C29" w14:textId="77777777" w:rsidR="00992E8F" w:rsidRPr="009726AD" w:rsidRDefault="00992E8F" w:rsidP="00992E8F">
      <w:pPr>
        <w:bidi/>
        <w:jc w:val="both"/>
        <w:rPr>
          <w:rFonts w:ascii="Traditional Arabic" w:hAnsi="Traditional Arabic" w:cs="Traditional Arabic"/>
          <w:b/>
          <w:sz w:val="30"/>
          <w:szCs w:val="30"/>
          <w:rtl/>
          <w:lang w:bidi="ar-EG"/>
        </w:rPr>
      </w:pPr>
    </w:p>
    <w:p w14:paraId="10894306" w14:textId="77777777" w:rsidR="009726AD" w:rsidRPr="00840EB1" w:rsidRDefault="000A781F"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4</w:t>
      </w:r>
      <w:r>
        <w:rPr>
          <w:rFonts w:ascii="Traditional Arabic" w:hAnsi="Traditional Arabic" w:cs="Traditional Arabic" w:hint="cs"/>
          <w:bCs/>
          <w:sz w:val="30"/>
          <w:szCs w:val="30"/>
          <w:rtl/>
          <w:lang w:bidi="ar-EG"/>
        </w:rPr>
        <w:t>2</w:t>
      </w:r>
      <w:r w:rsidR="009726AD" w:rsidRPr="00840EB1">
        <w:rPr>
          <w:rFonts w:ascii="Traditional Arabic" w:hAnsi="Traditional Arabic" w:cs="Traditional Arabic"/>
          <w:bCs/>
          <w:sz w:val="30"/>
          <w:szCs w:val="30"/>
          <w:lang w:bidi="ar-EG"/>
        </w:rPr>
        <w:t>.</w:t>
      </w:r>
      <w:r w:rsidR="009726AD" w:rsidRPr="00840EB1">
        <w:rPr>
          <w:rFonts w:ascii="Traditional Arabic" w:hAnsi="Traditional Arabic" w:cs="Traditional Arabic"/>
          <w:bCs/>
          <w:sz w:val="30"/>
          <w:szCs w:val="30"/>
          <w:lang w:bidi="ar-EG"/>
        </w:rPr>
        <w:tab/>
      </w:r>
      <w:r w:rsidR="009726AD" w:rsidRPr="00840EB1">
        <w:rPr>
          <w:rFonts w:ascii="Traditional Arabic" w:hAnsi="Traditional Arabic" w:cs="Traditional Arabic"/>
          <w:bCs/>
          <w:sz w:val="30"/>
          <w:szCs w:val="30"/>
          <w:rtl/>
          <w:lang w:bidi="ar-EG"/>
        </w:rPr>
        <w:t>تعتمد الشركة على أنظمة تكنولوجيا المعلومات وأنظمة التشغيل الأخرى للقيام بأعمالها، وقد يؤثر تعطيل هذه الأنظمة أو فشلها أو اختراقها أمنيا سلبًا على أعمالها ونتائج عملياتها</w:t>
      </w:r>
      <w:r w:rsidR="009726AD" w:rsidRPr="00840EB1">
        <w:rPr>
          <w:rFonts w:ascii="Traditional Arabic" w:hAnsi="Traditional Arabic" w:cs="Traditional Arabic"/>
          <w:bCs/>
          <w:sz w:val="30"/>
          <w:szCs w:val="30"/>
          <w:lang w:bidi="ar-EG"/>
        </w:rPr>
        <w:t>.</w:t>
      </w:r>
    </w:p>
    <w:p w14:paraId="7CDD0482" w14:textId="77777777" w:rsidR="00992E8F" w:rsidRPr="009726AD" w:rsidRDefault="00992E8F" w:rsidP="00992E8F">
      <w:pPr>
        <w:bidi/>
        <w:jc w:val="both"/>
        <w:rPr>
          <w:rFonts w:ascii="Traditional Arabic" w:hAnsi="Traditional Arabic" w:cs="Traditional Arabic"/>
          <w:b/>
          <w:sz w:val="30"/>
          <w:szCs w:val="30"/>
          <w:rtl/>
          <w:lang w:bidi="ar-EG"/>
        </w:rPr>
      </w:pPr>
    </w:p>
    <w:p w14:paraId="4602EC6F" w14:textId="77777777" w:rsidR="009726AD" w:rsidRDefault="009726AD" w:rsidP="009726AD">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على غرار معظم شركات الشحن، تستخدم الشركة أنظمة تكنولوجيا المعلومات للتواصل مع سفنها وإدارة أعمالها. وتتعرض هذه الأنظمة للتعطل بسبب الفيروسات والهجمات الإلكترونية وغيرها من الأمور الأخرى، مما قد يؤدي إلى انخفاض الأداء وتكاليف الإصلاح وأخطاء المعاملات وفقدان البيانات، بما في ذلك البيانات السرية أو الخاصة وعدم كفاءة المعالجة ووقت التوقف والتقاضي وانقطاع الأعمال والضرر الذي يلحق بالسمعة وفقدان الموردين أو العملاء. ولأجل التخفيف مما سبق، تحافظ الشركة على تدابير وتقنيات أمنية مقبولة، وتعتمد على أنظمة مكافحة الفيروسات المقبولة في السوق. ومع ذلك، قد لا تكون هذه التدابير كافية لمنع تلف أو تعطل أنظمة الشركة بسبب ظروف خارجة عن إرادتها، مثل الأحداث الكارثية أو انقطاع التيار الكهربائي أو الكوارث الطبيعية أو أعطال أنظمة الحاسب الآلي أو الشبكات أو فيروسات الكمبيوتر أو الهجمات الإلكترونية أو البرامج الضارة الأخرى، وقد يُطلب من الشركة إنفاق رأس مال إضافي وموارد أخرى لزيادة حماية نفسها وأنظمة تكنولوجيا المعلومات الخاصة بها. بالإضافة إلى ذلك، قد يؤدي التأخير في دمج الأنظمة الجديدة وترحيل البيانات إلى فقدان البيانات أو </w:t>
      </w:r>
      <w:r w:rsidRPr="009726AD">
        <w:rPr>
          <w:rFonts w:ascii="Traditional Arabic" w:hAnsi="Traditional Arabic" w:cs="Traditional Arabic"/>
          <w:b/>
          <w:sz w:val="30"/>
          <w:szCs w:val="30"/>
          <w:rtl/>
          <w:lang w:bidi="ar-EG"/>
        </w:rPr>
        <w:lastRenderedPageBreak/>
        <w:t>انقطاع الأعمال. وقد يكون للتعطل أو الفشل الكبير أو المطول في أنظمة تكنولوجيا المعلومات الخاصة بالشركة تأثير سلبي جوهري على أعمال الشركة ونتائج عملياتها ووضعها المالي وتوقعاتها</w:t>
      </w:r>
      <w:r w:rsidRPr="009726AD">
        <w:rPr>
          <w:rFonts w:ascii="Traditional Arabic" w:hAnsi="Traditional Arabic" w:cs="Traditional Arabic"/>
          <w:b/>
          <w:sz w:val="30"/>
          <w:szCs w:val="30"/>
          <w:lang w:bidi="ar-EG"/>
        </w:rPr>
        <w:t xml:space="preserve">. </w:t>
      </w:r>
    </w:p>
    <w:p w14:paraId="793525E1" w14:textId="77777777" w:rsidR="00992E8F" w:rsidRPr="009726AD" w:rsidRDefault="00992E8F" w:rsidP="00992E8F">
      <w:pPr>
        <w:bidi/>
        <w:jc w:val="both"/>
        <w:rPr>
          <w:rFonts w:ascii="Traditional Arabic" w:hAnsi="Traditional Arabic" w:cs="Traditional Arabic"/>
          <w:b/>
          <w:sz w:val="30"/>
          <w:szCs w:val="30"/>
          <w:rtl/>
          <w:lang w:bidi="ar-EG"/>
        </w:rPr>
      </w:pPr>
    </w:p>
    <w:p w14:paraId="06FB147D" w14:textId="77777777" w:rsidR="009726AD" w:rsidRPr="00840EB1" w:rsidRDefault="009726AD" w:rsidP="009726AD">
      <w:pPr>
        <w:bidi/>
        <w:jc w:val="both"/>
        <w:rPr>
          <w:rFonts w:ascii="Traditional Arabic" w:hAnsi="Traditional Arabic" w:cs="Traditional Arabic"/>
          <w:bCs/>
          <w:sz w:val="30"/>
          <w:szCs w:val="30"/>
          <w:rtl/>
          <w:lang w:bidi="ar-EG"/>
        </w:rPr>
      </w:pPr>
      <w:r w:rsidRPr="00840EB1">
        <w:rPr>
          <w:rFonts w:ascii="Traditional Arabic" w:hAnsi="Traditional Arabic" w:cs="Traditional Arabic"/>
          <w:bCs/>
          <w:sz w:val="30"/>
          <w:szCs w:val="30"/>
          <w:rtl/>
          <w:lang w:bidi="ar-EG"/>
        </w:rPr>
        <w:t>4</w:t>
      </w:r>
      <w:r w:rsidR="000A781F">
        <w:rPr>
          <w:rFonts w:ascii="Traditional Arabic" w:hAnsi="Traditional Arabic" w:cs="Traditional Arabic" w:hint="cs"/>
          <w:bCs/>
          <w:sz w:val="30"/>
          <w:szCs w:val="30"/>
          <w:rtl/>
          <w:lang w:bidi="ar-EG"/>
        </w:rPr>
        <w:t>3</w:t>
      </w:r>
      <w:r w:rsidRPr="00840EB1">
        <w:rPr>
          <w:rFonts w:ascii="Traditional Arabic" w:hAnsi="Traditional Arabic" w:cs="Traditional Arabic"/>
          <w:bCs/>
          <w:sz w:val="30"/>
          <w:szCs w:val="30"/>
          <w:lang w:bidi="ar-EG"/>
        </w:rPr>
        <w:t>.</w:t>
      </w:r>
      <w:r w:rsidRPr="00840EB1">
        <w:rPr>
          <w:rFonts w:ascii="Traditional Arabic" w:hAnsi="Traditional Arabic" w:cs="Traditional Arabic"/>
          <w:bCs/>
          <w:sz w:val="30"/>
          <w:szCs w:val="30"/>
          <w:lang w:bidi="ar-EG"/>
        </w:rPr>
        <w:tab/>
      </w:r>
      <w:r w:rsidRPr="00840EB1">
        <w:rPr>
          <w:rFonts w:ascii="Traditional Arabic" w:hAnsi="Traditional Arabic" w:cs="Traditional Arabic"/>
          <w:bCs/>
          <w:sz w:val="30"/>
          <w:szCs w:val="30"/>
          <w:rtl/>
          <w:lang w:bidi="ar-EG"/>
        </w:rPr>
        <w:t>التغيرات في القوانين الخاصة بالضرائب قد تؤثر سلباً على الشركة</w:t>
      </w:r>
    </w:p>
    <w:p w14:paraId="694DBAAD" w14:textId="77777777" w:rsidR="00992E8F" w:rsidRDefault="00992E8F" w:rsidP="009726AD">
      <w:pPr>
        <w:bidi/>
        <w:jc w:val="both"/>
        <w:rPr>
          <w:rFonts w:ascii="Traditional Arabic" w:hAnsi="Traditional Arabic" w:cs="Traditional Arabic"/>
          <w:b/>
          <w:sz w:val="30"/>
          <w:szCs w:val="30"/>
          <w:rtl/>
          <w:lang w:bidi="ar-EG"/>
        </w:rPr>
      </w:pPr>
    </w:p>
    <w:p w14:paraId="65FF72AF" w14:textId="792B4916" w:rsidR="009726AD" w:rsidRPr="009726AD" w:rsidRDefault="009726AD" w:rsidP="00992E8F">
      <w:pPr>
        <w:bidi/>
        <w:jc w:val="both"/>
        <w:rPr>
          <w:rFonts w:ascii="Traditional Arabic" w:hAnsi="Traditional Arabic" w:cs="Traditional Arabic"/>
          <w:b/>
          <w:sz w:val="30"/>
          <w:szCs w:val="30"/>
          <w:rtl/>
          <w:lang w:bidi="ar-EG"/>
        </w:rPr>
      </w:pPr>
      <w:r w:rsidRPr="009726AD">
        <w:rPr>
          <w:rFonts w:ascii="Traditional Arabic" w:hAnsi="Traditional Arabic" w:cs="Traditional Arabic"/>
          <w:b/>
          <w:sz w:val="30"/>
          <w:szCs w:val="30"/>
          <w:rtl/>
          <w:lang w:bidi="ar-EG"/>
        </w:rPr>
        <w:t xml:space="preserve">تخضع الشركة لقوانين ضريبية مختلفة يمكن أن تؤثر على أعمالها. فعلى سبيل المثال، ينطبق الإعفاء من الضرائب البحرية حاليًا على كيان سنغافورة التابع للمجموعة، ويتم تجديده كل عشر سنوات، وقد يفقد ميزة الإعفاء إذا لم تستوفِ المتطلبات المعمول بها. كما تم تعديل قانون </w:t>
      </w:r>
      <w:r w:rsidR="00A05B1B">
        <w:rPr>
          <w:rFonts w:ascii="Traditional Arabic" w:hAnsi="Traditional Arabic" w:cs="Traditional Arabic" w:hint="cs"/>
          <w:b/>
          <w:sz w:val="30"/>
          <w:szCs w:val="30"/>
          <w:rtl/>
          <w:lang w:bidi="ar-EG"/>
        </w:rPr>
        <w:t>ضريبة الدخل</w:t>
      </w:r>
      <w:r w:rsidRPr="009726AD">
        <w:rPr>
          <w:rFonts w:ascii="Traditional Arabic" w:hAnsi="Traditional Arabic" w:cs="Traditional Arabic"/>
          <w:b/>
          <w:sz w:val="30"/>
          <w:szCs w:val="30"/>
          <w:rtl/>
          <w:lang w:bidi="ar-EG"/>
        </w:rPr>
        <w:t xml:space="preserve"> الصادر بالمرسوم السلطاني رقم 28/2009 في عام 2017 بالمرسوم السلطاني رقم 9/2017 والمرسوم السلطاني رقم </w:t>
      </w:r>
      <w:r w:rsidR="00F85EEC" w:rsidRPr="009726AD">
        <w:rPr>
          <w:rFonts w:ascii="Traditional Arabic" w:hAnsi="Traditional Arabic" w:cs="Traditional Arabic"/>
          <w:b/>
          <w:sz w:val="30"/>
          <w:szCs w:val="30"/>
          <w:rtl/>
          <w:lang w:bidi="ar-EG"/>
        </w:rPr>
        <w:t>1</w:t>
      </w:r>
      <w:r w:rsidR="00F85EEC">
        <w:rPr>
          <w:rFonts w:ascii="Traditional Arabic" w:hAnsi="Traditional Arabic" w:cs="Traditional Arabic" w:hint="cs"/>
          <w:b/>
          <w:sz w:val="30"/>
          <w:szCs w:val="30"/>
          <w:rtl/>
          <w:lang w:bidi="ar-EG"/>
        </w:rPr>
        <w:t>1</w:t>
      </w:r>
      <w:r w:rsidR="00F85EEC" w:rsidRPr="009726AD">
        <w:rPr>
          <w:rFonts w:ascii="Traditional Arabic" w:hAnsi="Traditional Arabic" w:cs="Traditional Arabic"/>
          <w:b/>
          <w:sz w:val="30"/>
          <w:szCs w:val="30"/>
          <w:rtl/>
          <w:lang w:bidi="ar-EG"/>
        </w:rPr>
        <w:t>8</w:t>
      </w:r>
      <w:r w:rsidRPr="009726AD">
        <w:rPr>
          <w:rFonts w:ascii="Traditional Arabic" w:hAnsi="Traditional Arabic" w:cs="Traditional Arabic"/>
          <w:b/>
          <w:sz w:val="30"/>
          <w:szCs w:val="30"/>
          <w:rtl/>
          <w:lang w:bidi="ar-EG"/>
        </w:rPr>
        <w:t xml:space="preserve">/2020 لتوسيع نطاق ضريبة الخصم من المنبع لتشمل توزيعات الأرباح ومدفوعات الفائدة ورسوم الخدمات، ويجوز للحكومة تعديل قوانين الضرائب من وقت لآخر في المستقبل. قد يؤدي وضع الشركة كشركة ذات غرض خاص وما ينتج عنه </w:t>
      </w:r>
      <w:r w:rsidRPr="000F4E21">
        <w:rPr>
          <w:rFonts w:ascii="Traditional Arabic" w:hAnsi="Traditional Arabic" w:cs="Traditional Arabic"/>
          <w:b/>
          <w:sz w:val="30"/>
          <w:szCs w:val="30"/>
          <w:highlight w:val="yellow"/>
          <w:rtl/>
          <w:lang w:bidi="ar-EG"/>
        </w:rPr>
        <w:t>من إقامة ضريبية</w:t>
      </w:r>
      <w:r w:rsidRPr="009726AD">
        <w:rPr>
          <w:rFonts w:ascii="Traditional Arabic" w:hAnsi="Traditional Arabic" w:cs="Traditional Arabic"/>
          <w:b/>
          <w:sz w:val="30"/>
          <w:szCs w:val="30"/>
          <w:rtl/>
          <w:lang w:bidi="ar-EG"/>
        </w:rPr>
        <w:t xml:space="preserve"> أيضًا إلى تغييرات في معدلات الضرائب أو السياسات الداخلية للمجموعة. وقد تؤدي التغييرات في القوانين الضريبية إلى زيادة العبء الضريبي على الشركة، مما يؤثر سلبًا على مركزها المالي ونتائج عملياتها</w:t>
      </w:r>
      <w:r w:rsidRPr="009726AD">
        <w:rPr>
          <w:rFonts w:ascii="Traditional Arabic" w:hAnsi="Traditional Arabic" w:cs="Traditional Arabic"/>
          <w:b/>
          <w:sz w:val="30"/>
          <w:szCs w:val="30"/>
          <w:lang w:bidi="ar-EG"/>
        </w:rPr>
        <w:t xml:space="preserve">. </w:t>
      </w:r>
    </w:p>
    <w:p w14:paraId="13DF9CBC" w14:textId="77777777" w:rsidR="00840EB1" w:rsidRDefault="00840EB1" w:rsidP="009726AD">
      <w:pPr>
        <w:bidi/>
        <w:jc w:val="both"/>
        <w:rPr>
          <w:rFonts w:ascii="Traditional Arabic" w:hAnsi="Traditional Arabic" w:cs="Traditional Arabic"/>
          <w:b/>
          <w:sz w:val="30"/>
          <w:szCs w:val="30"/>
          <w:rtl/>
          <w:lang w:bidi="ar-EG"/>
        </w:rPr>
      </w:pPr>
    </w:p>
    <w:p w14:paraId="048CA720" w14:textId="77777777" w:rsidR="009726AD" w:rsidRDefault="009726AD" w:rsidP="009726AD">
      <w:pPr>
        <w:bidi/>
        <w:jc w:val="both"/>
        <w:rPr>
          <w:rFonts w:ascii="Traditional Arabic" w:hAnsi="Traditional Arabic" w:cs="Traditional Arabic"/>
          <w:bCs/>
          <w:sz w:val="30"/>
          <w:szCs w:val="30"/>
        </w:rPr>
      </w:pPr>
    </w:p>
    <w:p w14:paraId="22F42D66" w14:textId="77777777" w:rsidR="006772B1" w:rsidRDefault="006772B1" w:rsidP="006772B1">
      <w:pPr>
        <w:bidi/>
        <w:jc w:val="both"/>
        <w:rPr>
          <w:rFonts w:ascii="Traditional Arabic" w:hAnsi="Traditional Arabic" w:cs="Traditional Arabic"/>
          <w:b/>
          <w:bCs/>
          <w:sz w:val="30"/>
          <w:szCs w:val="30"/>
          <w:rtl/>
          <w:lang w:bidi="ar-EG"/>
        </w:rPr>
      </w:pPr>
      <w:r w:rsidRPr="00C467A3">
        <w:rPr>
          <w:rFonts w:ascii="Traditional Arabic" w:hAnsi="Traditional Arabic" w:cs="Traditional Arabic"/>
          <w:b/>
          <w:bCs/>
          <w:sz w:val="30"/>
          <w:szCs w:val="30"/>
          <w:rtl/>
          <w:lang w:bidi="ar-EG"/>
        </w:rPr>
        <w:t>المخاطر المتعلقة بسلطنة عمان</w:t>
      </w:r>
    </w:p>
    <w:p w14:paraId="0C7E736E" w14:textId="77777777" w:rsidR="006772B1" w:rsidRPr="00C467A3" w:rsidRDefault="006772B1" w:rsidP="006772B1">
      <w:pPr>
        <w:bidi/>
        <w:jc w:val="both"/>
        <w:rPr>
          <w:rFonts w:ascii="Traditional Arabic" w:hAnsi="Traditional Arabic" w:cs="Traditional Arabic"/>
          <w:b/>
          <w:bCs/>
          <w:sz w:val="30"/>
          <w:szCs w:val="30"/>
          <w:rtl/>
          <w:lang w:bidi="ar-EG"/>
        </w:rPr>
      </w:pPr>
    </w:p>
    <w:p w14:paraId="6A1F007A" w14:textId="77777777" w:rsidR="006772B1" w:rsidRPr="00D36DE2" w:rsidRDefault="000A781F" w:rsidP="00D36DE2">
      <w:pPr>
        <w:bidi/>
        <w:jc w:val="both"/>
        <w:rPr>
          <w:rFonts w:ascii="Traditional Arabic" w:hAnsi="Traditional Arabic" w:cs="Traditional Arabic"/>
          <w:sz w:val="30"/>
          <w:szCs w:val="30"/>
          <w:rtl/>
          <w:lang w:bidi="ar-EG"/>
        </w:rPr>
      </w:pPr>
      <w:r w:rsidRPr="003832A3">
        <w:rPr>
          <w:rFonts w:ascii="Traditional Arabic" w:hAnsi="Traditional Arabic" w:cs="Traditional Arabic"/>
          <w:b/>
          <w:bCs/>
          <w:sz w:val="30"/>
          <w:szCs w:val="30"/>
          <w:rtl/>
          <w:lang w:bidi="ar-EG"/>
        </w:rPr>
        <w:t>44</w:t>
      </w:r>
      <w:r w:rsidR="00D36DE2">
        <w:rPr>
          <w:rFonts w:ascii="Traditional Arabic" w:hAnsi="Traditional Arabic" w:cs="Traditional Arabic" w:hint="cs"/>
          <w:sz w:val="30"/>
          <w:szCs w:val="30"/>
          <w:rtl/>
          <w:lang w:bidi="ar-EG"/>
        </w:rPr>
        <w:t xml:space="preserve">. </w:t>
      </w:r>
      <w:r w:rsidR="006772B1" w:rsidRPr="00D36DE2">
        <w:rPr>
          <w:rFonts w:ascii="Traditional Arabic" w:hAnsi="Traditional Arabic" w:cs="Traditional Arabic" w:hint="cs"/>
          <w:b/>
          <w:bCs/>
          <w:sz w:val="30"/>
          <w:szCs w:val="30"/>
          <w:rtl/>
          <w:lang w:bidi="ar-EG"/>
        </w:rPr>
        <w:t>قد تتأثر سلطنة عمان بالتطورات السياسية في منطقة الشرق الأوسط أو في مناطق أخرى.</w:t>
      </w:r>
    </w:p>
    <w:p w14:paraId="42622708" w14:textId="77777777" w:rsidR="006772B1" w:rsidRDefault="006772B1" w:rsidP="00EC1986">
      <w:pPr>
        <w:bidi/>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 xml:space="preserve">تتمتع سلطنة عمان باستقرار سياسي على المستوى المحلي وبعلاقات جيدة على المستوى الدولي. ومع ذلك </w:t>
      </w:r>
      <w:r w:rsidRPr="00D31343">
        <w:rPr>
          <w:rFonts w:ascii="Traditional Arabic" w:hAnsi="Traditional Arabic" w:cs="Traditional Arabic"/>
          <w:sz w:val="30"/>
          <w:szCs w:val="30"/>
          <w:rtl/>
          <w:lang w:bidi="ar-EG"/>
        </w:rPr>
        <w:t>ستتأثر سلطنة عمان بالتطورات السياسية في منطقة الشرق الأوسط وشمال إفريقيا، وقد تؤثر ردود فعل المستثمرين على التطورات في أي بلد في منطقة الشرق الأوسط وشمال إفريقيا على الأوراق المالية للمصدرين في أسواق أخرى بما في ذلك سلطنة عمان</w:t>
      </w:r>
      <w:r>
        <w:rPr>
          <w:rFonts w:ascii="Traditional Arabic" w:hAnsi="Traditional Arabic" w:cs="Traditional Arabic" w:hint="cs"/>
          <w:sz w:val="30"/>
          <w:szCs w:val="30"/>
          <w:rtl/>
          <w:lang w:bidi="ar-EG"/>
        </w:rPr>
        <w:t>.</w:t>
      </w:r>
      <w:r w:rsidR="00EC1986">
        <w:rPr>
          <w:rFonts w:ascii="Traditional Arabic" w:hAnsi="Traditional Arabic" w:cs="Traditional Arabic" w:hint="cs"/>
          <w:sz w:val="30"/>
          <w:szCs w:val="30"/>
          <w:rtl/>
          <w:lang w:bidi="ar-EG"/>
        </w:rPr>
        <w:t xml:space="preserve"> </w:t>
      </w:r>
      <w:r w:rsidR="000A781F" w:rsidRPr="000A781F">
        <w:rPr>
          <w:rFonts w:ascii="Traditional Arabic" w:hAnsi="Traditional Arabic" w:cs="Traditional Arabic"/>
          <w:sz w:val="30"/>
          <w:szCs w:val="30"/>
          <w:rtl/>
          <w:lang w:bidi="ar-EG"/>
        </w:rPr>
        <w:t>علاوة على ذلك، يمكن أن يكون للأحداث العالمية الأخرى، بما في ذلك النزاعات المستمرة في أوكرانيا والأراضي الفلسطينية، تأثير على الوضع السياسي والأمني في سلطنة عمان.</w:t>
      </w:r>
      <w:r w:rsidRPr="00D31343">
        <w:rPr>
          <w:rFonts w:ascii="Traditional Arabic" w:hAnsi="Traditional Arabic" w:cs="Traditional Arabic"/>
          <w:sz w:val="30"/>
          <w:szCs w:val="30"/>
          <w:rtl/>
          <w:lang w:bidi="ar-EG"/>
        </w:rPr>
        <w:t xml:space="preserve">. تتبع سلطنة عمان سياسة خارجية مستقلة تستهدف الحفاظ على العلاقات الودية القائمة مع </w:t>
      </w:r>
      <w:r>
        <w:rPr>
          <w:rFonts w:ascii="Traditional Arabic" w:hAnsi="Traditional Arabic" w:cs="Traditional Arabic" w:hint="cs"/>
          <w:sz w:val="30"/>
          <w:szCs w:val="30"/>
          <w:rtl/>
          <w:lang w:bidi="ar-EG"/>
        </w:rPr>
        <w:t>المجتمع الدولي</w:t>
      </w:r>
      <w:r w:rsidRPr="00D31343">
        <w:rPr>
          <w:rFonts w:ascii="Traditional Arabic" w:hAnsi="Traditional Arabic" w:cs="Traditional Arabic"/>
          <w:sz w:val="30"/>
          <w:szCs w:val="30"/>
          <w:rtl/>
          <w:lang w:bidi="ar-EG"/>
        </w:rPr>
        <w:t>، إلا أن التحول في العلاقات بين سلطنة عمان و</w:t>
      </w:r>
      <w:r>
        <w:rPr>
          <w:rFonts w:ascii="Traditional Arabic" w:hAnsi="Traditional Arabic" w:cs="Traditional Arabic" w:hint="cs"/>
          <w:sz w:val="30"/>
          <w:szCs w:val="30"/>
          <w:rtl/>
          <w:lang w:bidi="ar-EG"/>
        </w:rPr>
        <w:t>الدول الأخرى في دول مجلس التعاون الخليجي</w:t>
      </w:r>
      <w:r w:rsidRPr="00D31343">
        <w:rPr>
          <w:rFonts w:ascii="Traditional Arabic" w:hAnsi="Traditional Arabic" w:cs="Traditional Arabic"/>
          <w:sz w:val="30"/>
          <w:szCs w:val="30"/>
          <w:rtl/>
          <w:lang w:bidi="ar-EG"/>
        </w:rPr>
        <w:t xml:space="preserve"> أو </w:t>
      </w:r>
      <w:r>
        <w:rPr>
          <w:rFonts w:ascii="Traditional Arabic" w:hAnsi="Traditional Arabic" w:cs="Traditional Arabic" w:hint="cs"/>
          <w:sz w:val="30"/>
          <w:szCs w:val="30"/>
          <w:rtl/>
          <w:lang w:bidi="ar-EG"/>
        </w:rPr>
        <w:t xml:space="preserve">على الصعيد الدولي </w:t>
      </w:r>
      <w:r w:rsidRPr="00D31343">
        <w:rPr>
          <w:rFonts w:ascii="Traditional Arabic" w:hAnsi="Traditional Arabic" w:cs="Traditional Arabic"/>
          <w:sz w:val="30"/>
          <w:szCs w:val="30"/>
          <w:rtl/>
          <w:lang w:bidi="ar-EG"/>
        </w:rPr>
        <w:t xml:space="preserve">أو تغيير </w:t>
      </w:r>
      <w:r>
        <w:rPr>
          <w:rFonts w:ascii="Traditional Arabic" w:hAnsi="Traditional Arabic" w:cs="Traditional Arabic" w:hint="cs"/>
          <w:sz w:val="30"/>
          <w:szCs w:val="30"/>
          <w:rtl/>
          <w:lang w:bidi="ar-EG"/>
        </w:rPr>
        <w:t>ال</w:t>
      </w:r>
      <w:r w:rsidRPr="00D31343">
        <w:rPr>
          <w:rFonts w:ascii="Traditional Arabic" w:hAnsi="Traditional Arabic" w:cs="Traditional Arabic"/>
          <w:sz w:val="30"/>
          <w:szCs w:val="30"/>
          <w:rtl/>
          <w:lang w:bidi="ar-EG"/>
        </w:rPr>
        <w:t>أولويات السياس</w:t>
      </w:r>
      <w:r>
        <w:rPr>
          <w:rFonts w:ascii="Traditional Arabic" w:hAnsi="Traditional Arabic" w:cs="Traditional Arabic" w:hint="cs"/>
          <w:sz w:val="30"/>
          <w:szCs w:val="30"/>
          <w:rtl/>
          <w:lang w:bidi="ar-EG"/>
        </w:rPr>
        <w:t>ي</w:t>
      </w:r>
      <w:r w:rsidRPr="00D31343">
        <w:rPr>
          <w:rFonts w:ascii="Traditional Arabic" w:hAnsi="Traditional Arabic" w:cs="Traditional Arabic"/>
          <w:sz w:val="30"/>
          <w:szCs w:val="30"/>
          <w:rtl/>
          <w:lang w:bidi="ar-EG"/>
        </w:rPr>
        <w:t xml:space="preserve">ة في المنطقة قد يكون له تأثير سلبي جوهري على الوضع الاقتصادي أو السياسي أو المالي في سلطنة عمان، والذي بدوره قد يكون له تأثير سلبي جوهري على </w:t>
      </w:r>
      <w:r>
        <w:rPr>
          <w:rFonts w:ascii="Traditional Arabic" w:hAnsi="Traditional Arabic" w:cs="Traditional Arabic" w:hint="cs"/>
          <w:sz w:val="30"/>
          <w:szCs w:val="30"/>
          <w:rtl/>
          <w:lang w:bidi="ar-EG"/>
        </w:rPr>
        <w:t>أعمال الشركة ومركزها المالي و</w:t>
      </w:r>
      <w:r w:rsidRPr="00D31343">
        <w:rPr>
          <w:rFonts w:ascii="Traditional Arabic" w:hAnsi="Traditional Arabic" w:cs="Traditional Arabic"/>
          <w:sz w:val="30"/>
          <w:szCs w:val="30"/>
          <w:rtl/>
          <w:lang w:bidi="ar-EG"/>
        </w:rPr>
        <w:t>نتائج عمليات</w:t>
      </w:r>
      <w:r>
        <w:rPr>
          <w:rFonts w:ascii="Traditional Arabic" w:hAnsi="Traditional Arabic" w:cs="Traditional Arabic" w:hint="cs"/>
          <w:sz w:val="30"/>
          <w:szCs w:val="30"/>
          <w:rtl/>
          <w:lang w:bidi="ar-EG"/>
        </w:rPr>
        <w:t>ها ومستقبلها</w:t>
      </w:r>
      <w:r w:rsidRPr="00D31343">
        <w:rPr>
          <w:rFonts w:ascii="Traditional Arabic" w:hAnsi="Traditional Arabic" w:cs="Traditional Arabic"/>
          <w:sz w:val="30"/>
          <w:szCs w:val="30"/>
          <w:lang w:bidi="ar-EG"/>
        </w:rPr>
        <w:t>.</w:t>
      </w:r>
    </w:p>
    <w:p w14:paraId="4A802829" w14:textId="77777777" w:rsidR="006772B1" w:rsidRPr="00D31343" w:rsidRDefault="006772B1" w:rsidP="006772B1">
      <w:pPr>
        <w:bidi/>
        <w:jc w:val="both"/>
        <w:rPr>
          <w:rFonts w:ascii="Traditional Arabic" w:hAnsi="Traditional Arabic" w:cs="Traditional Arabic"/>
          <w:sz w:val="30"/>
          <w:szCs w:val="30"/>
          <w:rtl/>
          <w:lang w:bidi="ar-EG"/>
        </w:rPr>
      </w:pPr>
    </w:p>
    <w:p w14:paraId="319186F6" w14:textId="77777777" w:rsidR="006772B1" w:rsidRPr="00D36DE2" w:rsidRDefault="000A781F" w:rsidP="00985281">
      <w:pPr>
        <w:pStyle w:val="Heading5"/>
        <w:numPr>
          <w:ilvl w:val="0"/>
          <w:numId w:val="0"/>
        </w:numPr>
        <w:bidi/>
        <w:jc w:val="both"/>
        <w:rPr>
          <w:rFonts w:ascii="Traditional Arabic" w:hAnsi="Traditional Arabic" w:cs="Traditional Arabic"/>
          <w:sz w:val="30"/>
          <w:szCs w:val="30"/>
          <w:rtl/>
          <w:lang w:bidi="ar-EG"/>
        </w:rPr>
      </w:pPr>
      <w:r>
        <w:rPr>
          <w:rFonts w:ascii="Traditional Arabic" w:hAnsi="Traditional Arabic" w:cs="Traditional Arabic" w:hint="cs"/>
          <w:bCs/>
          <w:sz w:val="30"/>
          <w:szCs w:val="30"/>
          <w:rtl/>
          <w:lang w:bidi="ar-EG"/>
        </w:rPr>
        <w:lastRenderedPageBreak/>
        <w:t xml:space="preserve">45. </w:t>
      </w:r>
      <w:r w:rsidR="006772B1" w:rsidRPr="00D36DE2">
        <w:rPr>
          <w:rFonts w:ascii="Traditional Arabic" w:hAnsi="Traditional Arabic" w:cs="Traditional Arabic"/>
          <w:bCs/>
          <w:sz w:val="30"/>
          <w:szCs w:val="30"/>
          <w:rtl/>
          <w:lang w:bidi="ar-EG"/>
        </w:rPr>
        <w:t>أي تغيير أو إنهاء لربط العملة العُمانية يمكن أن يؤثر سلبًا على سلطنة عُمان، وقد يكون لذلك تأثير سلبي جوهري على أعمال الشركة</w:t>
      </w:r>
      <w:r w:rsidR="006772B1" w:rsidRPr="00D36DE2">
        <w:rPr>
          <w:rFonts w:ascii="Traditional Arabic" w:hAnsi="Traditional Arabic" w:cs="Traditional Arabic"/>
          <w:bCs/>
          <w:sz w:val="30"/>
          <w:szCs w:val="30"/>
          <w:lang w:bidi="ar-EG"/>
        </w:rPr>
        <w:t>.</w:t>
      </w:r>
    </w:p>
    <w:p w14:paraId="36F34B95" w14:textId="77777777" w:rsidR="006772B1" w:rsidRPr="004D3AF4" w:rsidRDefault="006772B1" w:rsidP="006772B1">
      <w:pPr>
        <w:bidi/>
        <w:jc w:val="both"/>
        <w:rPr>
          <w:rFonts w:ascii="Traditional Arabic" w:hAnsi="Traditional Arabic" w:cs="Traditional Arabic"/>
          <w:sz w:val="30"/>
          <w:szCs w:val="30"/>
          <w:rtl/>
        </w:rPr>
      </w:pPr>
      <w:r w:rsidRPr="004D3AF4">
        <w:rPr>
          <w:rFonts w:ascii="Traditional Arabic" w:hAnsi="Traditional Arabic" w:cs="Traditional Arabic"/>
          <w:sz w:val="30"/>
          <w:szCs w:val="30"/>
          <w:rtl/>
        </w:rPr>
        <w:t xml:space="preserve">منذ عام 1973، تم ربط الريال العُماني بالدولار الأمريكي بسعر ظل دون تغيير عند 2.60 دولار أمريكي = 1 ريال عُماني منذ عام 1986. إن الحفاظ على ربط العملة هذا هو سياسة ثابتة للبنك المركزي العُماني. ومع ذلك، ليس هناك ما يضمن أن البنك المركزي العُماني سيكون قادرا على الاستمرار في الحفاظ على ربط العملة في المستقبل. وعلى وجه الخصوص، لا يتوفر ما يضمن إمكانية تصفية الأصول في </w:t>
      </w:r>
      <w:r>
        <w:rPr>
          <w:rFonts w:ascii="Traditional Arabic" w:hAnsi="Traditional Arabic" w:cs="Traditional Arabic" w:hint="cs"/>
          <w:sz w:val="30"/>
          <w:szCs w:val="30"/>
          <w:rtl/>
        </w:rPr>
        <w:t xml:space="preserve">مختلف صناديق </w:t>
      </w:r>
      <w:r w:rsidRPr="004D3AF4">
        <w:rPr>
          <w:rFonts w:ascii="Traditional Arabic" w:hAnsi="Traditional Arabic" w:cs="Traditional Arabic"/>
          <w:sz w:val="30"/>
          <w:szCs w:val="30"/>
          <w:rtl/>
        </w:rPr>
        <w:t xml:space="preserve">الثروة السيادية في </w:t>
      </w:r>
      <w:r w:rsidRPr="004D3AF4">
        <w:rPr>
          <w:rFonts w:ascii="Traditional Arabic" w:hAnsi="Traditional Arabic" w:cs="Traditional Arabic" w:hint="cs"/>
          <w:sz w:val="30"/>
          <w:szCs w:val="30"/>
          <w:rtl/>
        </w:rPr>
        <w:t xml:space="preserve">سلطنة </w:t>
      </w:r>
      <w:r w:rsidRPr="004D3AF4">
        <w:rPr>
          <w:rFonts w:ascii="Traditional Arabic" w:hAnsi="Traditional Arabic" w:cs="Traditional Arabic"/>
          <w:sz w:val="30"/>
          <w:szCs w:val="30"/>
          <w:rtl/>
        </w:rPr>
        <w:t xml:space="preserve">عُمان بقيمتها السوقية الحالية (وبالتالي إضافتها إلى الاحتياطيات المتاحة لدعم الريال العُماني وربط العملة) في حالة حدوث انكماش في السوق. </w:t>
      </w:r>
      <w:r w:rsidRPr="004D3AF4">
        <w:rPr>
          <w:rFonts w:ascii="Traditional Arabic" w:hAnsi="Traditional Arabic" w:cs="Traditional Arabic" w:hint="cs"/>
          <w:sz w:val="30"/>
          <w:szCs w:val="30"/>
          <w:rtl/>
        </w:rPr>
        <w:t>و</w:t>
      </w:r>
      <w:r w:rsidRPr="004D3AF4">
        <w:rPr>
          <w:rFonts w:ascii="Traditional Arabic" w:hAnsi="Traditional Arabic" w:cs="Traditional Arabic"/>
          <w:sz w:val="30"/>
          <w:szCs w:val="30"/>
          <w:rtl/>
        </w:rPr>
        <w:t xml:space="preserve">إذا لم يتمكن البنك المركزي العُماني من الحفاظ على ربط العملة بالدولار الأمريكي أو إذا فشل في ضمان سعر صرف مستقر مقابل الدولار الأمريكي، فقد يقلل ذلك من الثقة في الاقتصاد العُماني، ويقلل من الاستثمار الأجنبي المباشر، ويؤثر سلبًا على </w:t>
      </w:r>
      <w:r w:rsidRPr="004D3AF4">
        <w:rPr>
          <w:rFonts w:ascii="Traditional Arabic" w:hAnsi="Traditional Arabic" w:cs="Traditional Arabic" w:hint="cs"/>
          <w:sz w:val="30"/>
          <w:szCs w:val="30"/>
          <w:rtl/>
        </w:rPr>
        <w:t>الملاءة المالية</w:t>
      </w:r>
      <w:r w:rsidRPr="004D3AF4">
        <w:rPr>
          <w:rFonts w:ascii="Traditional Arabic" w:hAnsi="Traditional Arabic" w:cs="Traditional Arabic"/>
          <w:sz w:val="30"/>
          <w:szCs w:val="30"/>
          <w:rtl/>
        </w:rPr>
        <w:t xml:space="preserve"> </w:t>
      </w:r>
      <w:r w:rsidRPr="004D3AF4">
        <w:rPr>
          <w:rFonts w:ascii="Traditional Arabic" w:hAnsi="Traditional Arabic" w:cs="Traditional Arabic" w:hint="cs"/>
          <w:sz w:val="30"/>
          <w:szCs w:val="30"/>
          <w:rtl/>
        </w:rPr>
        <w:t xml:space="preserve">لسلطنة </w:t>
      </w:r>
      <w:r w:rsidRPr="004D3AF4">
        <w:rPr>
          <w:rFonts w:ascii="Traditional Arabic" w:hAnsi="Traditional Arabic" w:cs="Traditional Arabic"/>
          <w:sz w:val="30"/>
          <w:szCs w:val="30"/>
          <w:rtl/>
        </w:rPr>
        <w:t>عُمان واقتصادها وقدرتها على خدمة ديونها.</w:t>
      </w:r>
    </w:p>
    <w:p w14:paraId="2EA76028" w14:textId="77777777" w:rsidR="006772B1" w:rsidRPr="004D3AF4" w:rsidRDefault="006772B1" w:rsidP="006772B1">
      <w:pPr>
        <w:bidi/>
        <w:jc w:val="both"/>
        <w:rPr>
          <w:rFonts w:ascii="Traditional Arabic" w:hAnsi="Traditional Arabic" w:cs="Traditional Arabic"/>
          <w:sz w:val="30"/>
          <w:szCs w:val="30"/>
          <w:lang w:bidi="ar-EG"/>
        </w:rPr>
      </w:pPr>
    </w:p>
    <w:p w14:paraId="6620ADE1" w14:textId="77777777" w:rsidR="006772B1" w:rsidRDefault="006772B1" w:rsidP="00666B73">
      <w:pPr>
        <w:bidi/>
        <w:jc w:val="both"/>
        <w:rPr>
          <w:rFonts w:ascii="Traditional Arabic" w:hAnsi="Traditional Arabic" w:cs="Traditional Arabic"/>
          <w:sz w:val="30"/>
          <w:szCs w:val="30"/>
          <w:rtl/>
          <w:lang w:bidi="ar-EG"/>
        </w:rPr>
      </w:pPr>
      <w:r w:rsidRPr="004D3AF4">
        <w:rPr>
          <w:rFonts w:ascii="Traditional Arabic" w:hAnsi="Traditional Arabic" w:cs="Traditional Arabic"/>
          <w:sz w:val="30"/>
          <w:szCs w:val="30"/>
          <w:rtl/>
        </w:rPr>
        <w:t xml:space="preserve">بالإضافة إلى ذلك، وبسبب ربط العملة </w:t>
      </w:r>
      <w:r>
        <w:rPr>
          <w:rFonts w:ascii="Traditional Arabic" w:hAnsi="Traditional Arabic" w:cs="Traditional Arabic" w:hint="cs"/>
          <w:sz w:val="30"/>
          <w:szCs w:val="30"/>
          <w:rtl/>
        </w:rPr>
        <w:t xml:space="preserve">المحلية </w:t>
      </w:r>
      <w:r w:rsidRPr="004D3AF4">
        <w:rPr>
          <w:rFonts w:ascii="Traditional Arabic" w:hAnsi="Traditional Arabic" w:cs="Traditional Arabic"/>
          <w:sz w:val="30"/>
          <w:szCs w:val="30"/>
          <w:rtl/>
        </w:rPr>
        <w:t xml:space="preserve">بالدولار الأمريكي، </w:t>
      </w:r>
      <w:r>
        <w:rPr>
          <w:rFonts w:ascii="Traditional Arabic" w:hAnsi="Traditional Arabic" w:cs="Traditional Arabic" w:hint="cs"/>
          <w:sz w:val="30"/>
          <w:szCs w:val="30"/>
          <w:rtl/>
        </w:rPr>
        <w:t xml:space="preserve">فإن </w:t>
      </w:r>
      <w:r w:rsidRPr="004D3AF4">
        <w:rPr>
          <w:rFonts w:ascii="Traditional Arabic" w:hAnsi="Traditional Arabic" w:cs="Traditional Arabic"/>
          <w:sz w:val="30"/>
          <w:szCs w:val="30"/>
          <w:rtl/>
        </w:rPr>
        <w:t xml:space="preserve">البنك المركزي العُماني لا يتمتع بأي مرونة </w:t>
      </w:r>
      <w:r>
        <w:rPr>
          <w:rFonts w:ascii="Traditional Arabic" w:hAnsi="Traditional Arabic" w:cs="Traditional Arabic" w:hint="cs"/>
          <w:sz w:val="30"/>
          <w:szCs w:val="30"/>
          <w:rtl/>
        </w:rPr>
        <w:t>يمكن أن يمارسها ل</w:t>
      </w:r>
      <w:r w:rsidRPr="004D3AF4">
        <w:rPr>
          <w:rFonts w:ascii="Traditional Arabic" w:hAnsi="Traditional Arabic" w:cs="Traditional Arabic"/>
          <w:sz w:val="30"/>
          <w:szCs w:val="30"/>
          <w:rtl/>
        </w:rPr>
        <w:t xml:space="preserve">خفض قيمة الريال العُماني لتحفيز سوق الصادرات العُمانية، كما أن قدرة البنك المركزي العُماني على إدارة أسعار الفائدة بشكل مستقل وبالتالي التأثير على حالة الاقتصاد العُماني من خلال إجراءات السياسة النقدية مقيدة. وإذا قام بنك الاحتياطي الفيدرالي الأميركي بزيادة أسعار الفائدة، وتأخر البنك المركزي العُماني بشكل كبير في زيادة أسعار الفائدة الخاصة به، فقد يؤدي ذلك إلى ضغوط كبيرة على ربط العملة. </w:t>
      </w:r>
      <w:r w:rsidRPr="004D3AF4">
        <w:rPr>
          <w:rFonts w:ascii="Traditional Arabic" w:hAnsi="Traditional Arabic" w:cs="Traditional Arabic" w:hint="cs"/>
          <w:sz w:val="30"/>
          <w:szCs w:val="30"/>
          <w:rtl/>
        </w:rPr>
        <w:t>ف</w:t>
      </w:r>
      <w:r w:rsidRPr="004D3AF4">
        <w:rPr>
          <w:rFonts w:ascii="Traditional Arabic" w:hAnsi="Traditional Arabic" w:cs="Traditional Arabic"/>
          <w:sz w:val="30"/>
          <w:szCs w:val="30"/>
          <w:rtl/>
        </w:rPr>
        <w:t xml:space="preserve">على سبيل المثال، لم يتبع البنك المركزي العُماني كل من زيادات أسعار الفائدة التي أجراها بنك الاحتياطي الفيدرالي الأمريكي بزيادات مماثلة في أسعار الفائدة في </w:t>
      </w:r>
      <w:r w:rsidRPr="004D3AF4">
        <w:rPr>
          <w:rFonts w:ascii="Traditional Arabic" w:hAnsi="Traditional Arabic" w:cs="Traditional Arabic" w:hint="cs"/>
          <w:sz w:val="30"/>
          <w:szCs w:val="30"/>
          <w:rtl/>
        </w:rPr>
        <w:t xml:space="preserve">سلطنة </w:t>
      </w:r>
      <w:r w:rsidRPr="004D3AF4">
        <w:rPr>
          <w:rFonts w:ascii="Traditional Arabic" w:hAnsi="Traditional Arabic" w:cs="Traditional Arabic"/>
          <w:sz w:val="30"/>
          <w:szCs w:val="30"/>
          <w:rtl/>
        </w:rPr>
        <w:t>عُمان</w:t>
      </w:r>
      <w:r w:rsidRPr="004D3AF4">
        <w:rPr>
          <w:rFonts w:ascii="Traditional Arabic" w:hAnsi="Traditional Arabic" w:cs="Traditional Arabic" w:hint="cs"/>
          <w:sz w:val="30"/>
          <w:szCs w:val="30"/>
          <w:rtl/>
        </w:rPr>
        <w:t>،</w:t>
      </w:r>
      <w:r w:rsidRPr="004D3AF4">
        <w:rPr>
          <w:rFonts w:ascii="Traditional Arabic" w:hAnsi="Traditional Arabic" w:cs="Traditional Arabic"/>
          <w:sz w:val="30"/>
          <w:szCs w:val="30"/>
          <w:rtl/>
        </w:rPr>
        <w:t xml:space="preserve"> ومع ذلك، رفع البنك المركزي العُماني أسعار الفائدة عدة مرات في عامي 2022 و2023، ويبلغ سعر الفائدة القياسي بين البنوك </w:t>
      </w:r>
      <w:r w:rsidR="00330E38">
        <w:rPr>
          <w:rFonts w:ascii="Traditional Arabic" w:hAnsi="Traditional Arabic" w:cs="Traditional Arabic" w:hint="cs"/>
          <w:sz w:val="30"/>
          <w:szCs w:val="30"/>
          <w:rtl/>
        </w:rPr>
        <w:t>6</w:t>
      </w:r>
      <w:r w:rsidRPr="004D3AF4">
        <w:rPr>
          <w:rFonts w:ascii="Traditional Arabic" w:hAnsi="Traditional Arabic" w:cs="Traditional Arabic"/>
          <w:sz w:val="30"/>
          <w:szCs w:val="30"/>
          <w:rtl/>
        </w:rPr>
        <w:t>%</w:t>
      </w:r>
      <w:r w:rsidRPr="004D3AF4">
        <w:rPr>
          <w:rFonts w:ascii="Traditional Arabic" w:hAnsi="Traditional Arabic" w:cs="Traditional Arabic" w:hint="cs"/>
          <w:sz w:val="30"/>
          <w:szCs w:val="30"/>
          <w:rtl/>
        </w:rPr>
        <w:t xml:space="preserve"> في </w:t>
      </w:r>
      <w:r w:rsidR="00330E38">
        <w:rPr>
          <w:rFonts w:ascii="Traditional Arabic" w:hAnsi="Traditional Arabic" w:cs="Traditional Arabic" w:hint="cs"/>
          <w:sz w:val="30"/>
          <w:szCs w:val="30"/>
          <w:rtl/>
        </w:rPr>
        <w:t>يوليو</w:t>
      </w:r>
      <w:r w:rsidR="00330E38" w:rsidRPr="004D3AF4">
        <w:rPr>
          <w:rFonts w:ascii="Traditional Arabic" w:hAnsi="Traditional Arabic" w:cs="Traditional Arabic" w:hint="cs"/>
          <w:sz w:val="30"/>
          <w:szCs w:val="30"/>
          <w:rtl/>
        </w:rPr>
        <w:t xml:space="preserve"> </w:t>
      </w:r>
      <w:r w:rsidRPr="004D3AF4">
        <w:rPr>
          <w:rFonts w:ascii="Traditional Arabic" w:hAnsi="Traditional Arabic" w:cs="Traditional Arabic" w:hint="cs"/>
          <w:sz w:val="30"/>
          <w:szCs w:val="30"/>
          <w:rtl/>
        </w:rPr>
        <w:t>2024</w:t>
      </w:r>
      <w:r w:rsidRPr="004D3AF4">
        <w:rPr>
          <w:rFonts w:ascii="Traditional Arabic" w:hAnsi="Traditional Arabic" w:cs="Traditional Arabic"/>
          <w:sz w:val="30"/>
          <w:szCs w:val="30"/>
          <w:rtl/>
        </w:rPr>
        <w:t>. وقد يكون</w:t>
      </w:r>
      <w:r w:rsidRPr="004D3AF4">
        <w:rPr>
          <w:rFonts w:ascii="Traditional Arabic" w:hAnsi="Traditional Arabic" w:cs="Traditional Arabic" w:hint="cs"/>
          <w:sz w:val="30"/>
          <w:szCs w:val="30"/>
          <w:rtl/>
        </w:rPr>
        <w:t xml:space="preserve"> لهذه الحالة من عدم </w:t>
      </w:r>
      <w:r w:rsidRPr="004D3AF4">
        <w:rPr>
          <w:rFonts w:ascii="Traditional Arabic" w:hAnsi="Traditional Arabic" w:cs="Traditional Arabic"/>
          <w:sz w:val="30"/>
          <w:szCs w:val="30"/>
          <w:rtl/>
        </w:rPr>
        <w:t xml:space="preserve">المرونة تأثير سلبي على التجارة الخارجية والطلب المحلي في </w:t>
      </w:r>
      <w:r w:rsidRPr="004D3AF4">
        <w:rPr>
          <w:rFonts w:ascii="Traditional Arabic" w:hAnsi="Traditional Arabic" w:cs="Traditional Arabic" w:hint="cs"/>
          <w:sz w:val="30"/>
          <w:szCs w:val="30"/>
          <w:rtl/>
        </w:rPr>
        <w:t xml:space="preserve">سلطنة </w:t>
      </w:r>
      <w:r w:rsidRPr="004D3AF4">
        <w:rPr>
          <w:rFonts w:ascii="Traditional Arabic" w:hAnsi="Traditional Arabic" w:cs="Traditional Arabic"/>
          <w:sz w:val="30"/>
          <w:szCs w:val="30"/>
          <w:rtl/>
        </w:rPr>
        <w:t>عُمان، و</w:t>
      </w:r>
      <w:r w:rsidRPr="004D3AF4">
        <w:rPr>
          <w:rFonts w:ascii="Traditional Arabic" w:hAnsi="Traditional Arabic" w:cs="Traditional Arabic" w:hint="cs"/>
          <w:sz w:val="30"/>
          <w:szCs w:val="30"/>
          <w:rtl/>
        </w:rPr>
        <w:t>من ثم</w:t>
      </w:r>
      <w:r w:rsidRPr="004D3AF4">
        <w:rPr>
          <w:rFonts w:ascii="Traditional Arabic" w:hAnsi="Traditional Arabic" w:cs="Traditional Arabic"/>
          <w:sz w:val="30"/>
          <w:szCs w:val="30"/>
          <w:rtl/>
        </w:rPr>
        <w:t xml:space="preserve"> على اقتصادها. وبالإضافة إلى ذلك، ربطت منشورات صندوق النقد الدولي الأخيرة الزيادات في أسعار الفائدة الأساسية للاحتياطي الفيدرالي بانخفاض النشاط غير النفطي في بلدان مجلس التعاون الخليجي، وهو تأثير قد يتضخم في بيئات أسعار النفط المنخفضة. </w:t>
      </w:r>
      <w:r w:rsidR="00FA1CA3">
        <w:rPr>
          <w:rFonts w:ascii="Traditional Arabic" w:hAnsi="Traditional Arabic" w:cs="Traditional Arabic" w:hint="cs"/>
          <w:sz w:val="30"/>
          <w:szCs w:val="30"/>
          <w:rtl/>
        </w:rPr>
        <w:t>و</w:t>
      </w:r>
      <w:r w:rsidRPr="004D3AF4">
        <w:rPr>
          <w:rFonts w:ascii="Traditional Arabic" w:hAnsi="Traditional Arabic" w:cs="Traditional Arabic"/>
          <w:sz w:val="30"/>
          <w:szCs w:val="30"/>
          <w:rtl/>
        </w:rPr>
        <w:t xml:space="preserve">جميع إيرادات الشركة </w:t>
      </w:r>
      <w:r w:rsidR="00FA1CA3">
        <w:rPr>
          <w:rFonts w:ascii="Traditional Arabic" w:hAnsi="Traditional Arabic" w:cs="Traditional Arabic" w:hint="cs"/>
          <w:sz w:val="30"/>
          <w:szCs w:val="30"/>
          <w:rtl/>
        </w:rPr>
        <w:t xml:space="preserve">مقومة </w:t>
      </w:r>
      <w:r w:rsidR="00666B73">
        <w:rPr>
          <w:rFonts w:ascii="Traditional Arabic" w:hAnsi="Traditional Arabic" w:cs="Traditional Arabic" w:hint="cs"/>
          <w:sz w:val="30"/>
          <w:szCs w:val="30"/>
          <w:rtl/>
        </w:rPr>
        <w:t>بالدولار الأمريكي</w:t>
      </w:r>
      <w:r w:rsidR="00914E32">
        <w:rPr>
          <w:rFonts w:ascii="Traditional Arabic" w:hAnsi="Traditional Arabic" w:cs="Traditional Arabic" w:hint="cs"/>
          <w:sz w:val="30"/>
          <w:szCs w:val="30"/>
          <w:rtl/>
        </w:rPr>
        <w:t>،</w:t>
      </w:r>
      <w:r w:rsidR="00FA1CA3">
        <w:rPr>
          <w:rFonts w:ascii="Traditional Arabic" w:hAnsi="Traditional Arabic" w:cs="Traditional Arabic" w:hint="cs"/>
          <w:sz w:val="30"/>
          <w:szCs w:val="30"/>
          <w:rtl/>
        </w:rPr>
        <w:t xml:space="preserve"> في حين أن جزءً من</w:t>
      </w:r>
      <w:r w:rsidR="00944DE0">
        <w:rPr>
          <w:rFonts w:ascii="Traditional Arabic" w:hAnsi="Traditional Arabic" w:cs="Traditional Arabic" w:hint="cs"/>
          <w:sz w:val="30"/>
          <w:szCs w:val="30"/>
          <w:rtl/>
        </w:rPr>
        <w:t xml:space="preserve"> نفقاتها التشغيلية مقوم بالريال العماني،</w:t>
      </w:r>
      <w:r w:rsidR="00914E32">
        <w:rPr>
          <w:rFonts w:ascii="Traditional Arabic" w:hAnsi="Traditional Arabic" w:cs="Traditional Arabic" w:hint="cs"/>
          <w:sz w:val="30"/>
          <w:szCs w:val="30"/>
          <w:rtl/>
        </w:rPr>
        <w:t xml:space="preserve"> وميزانيتها </w:t>
      </w:r>
      <w:r w:rsidR="00944DE0">
        <w:rPr>
          <w:rFonts w:ascii="Traditional Arabic" w:hAnsi="Traditional Arabic" w:cs="Traditional Arabic" w:hint="cs"/>
          <w:sz w:val="30"/>
          <w:szCs w:val="30"/>
          <w:rtl/>
        </w:rPr>
        <w:t>بالدولار الأمريكي</w:t>
      </w:r>
      <w:r w:rsidR="00914E32">
        <w:rPr>
          <w:rFonts w:ascii="Traditional Arabic" w:hAnsi="Traditional Arabic" w:cs="Traditional Arabic" w:hint="cs"/>
          <w:sz w:val="30"/>
          <w:szCs w:val="30"/>
          <w:rtl/>
        </w:rPr>
        <w:t xml:space="preserve"> وبعملات أجنبية أخرى.</w:t>
      </w:r>
      <w:r w:rsidRPr="004D3AF4">
        <w:rPr>
          <w:rFonts w:ascii="Traditional Arabic" w:hAnsi="Traditional Arabic" w:cs="Traditional Arabic" w:hint="cs"/>
          <w:sz w:val="30"/>
          <w:szCs w:val="30"/>
          <w:rtl/>
        </w:rPr>
        <w:t xml:space="preserve"> وجدير بالذكر أن </w:t>
      </w:r>
      <w:r w:rsidRPr="004D3AF4">
        <w:rPr>
          <w:rFonts w:ascii="Traditional Arabic" w:hAnsi="Traditional Arabic" w:cs="Traditional Arabic"/>
          <w:sz w:val="30"/>
          <w:szCs w:val="30"/>
          <w:rtl/>
        </w:rPr>
        <w:t xml:space="preserve">مديونية الشركة مقومة </w:t>
      </w:r>
      <w:r w:rsidR="00914E32">
        <w:rPr>
          <w:rFonts w:ascii="Traditional Arabic" w:hAnsi="Traditional Arabic" w:cs="Traditional Arabic" w:hint="cs"/>
          <w:sz w:val="30"/>
          <w:szCs w:val="30"/>
          <w:rtl/>
        </w:rPr>
        <w:t>ب</w:t>
      </w:r>
      <w:r w:rsidR="00914E32" w:rsidRPr="004D3AF4">
        <w:rPr>
          <w:rFonts w:ascii="Traditional Arabic" w:hAnsi="Traditional Arabic" w:cs="Traditional Arabic"/>
          <w:sz w:val="30"/>
          <w:szCs w:val="30"/>
          <w:rtl/>
        </w:rPr>
        <w:t xml:space="preserve">الدولار </w:t>
      </w:r>
      <w:r w:rsidRPr="004D3AF4">
        <w:rPr>
          <w:rFonts w:ascii="Traditional Arabic" w:hAnsi="Traditional Arabic" w:cs="Traditional Arabic"/>
          <w:sz w:val="30"/>
          <w:szCs w:val="30"/>
          <w:rtl/>
        </w:rPr>
        <w:t>الأمريكي</w:t>
      </w:r>
      <w:r w:rsidR="00944DE0">
        <w:rPr>
          <w:rFonts w:ascii="Traditional Arabic" w:hAnsi="Traditional Arabic" w:cs="Traditional Arabic" w:hint="cs"/>
          <w:sz w:val="30"/>
          <w:szCs w:val="30"/>
          <w:rtl/>
        </w:rPr>
        <w:t xml:space="preserve"> والريال العماني</w:t>
      </w:r>
      <w:r w:rsidRPr="004D3AF4">
        <w:rPr>
          <w:rFonts w:ascii="Traditional Arabic" w:hAnsi="Traditional Arabic" w:cs="Traditional Arabic"/>
          <w:sz w:val="30"/>
          <w:szCs w:val="30"/>
          <w:rtl/>
        </w:rPr>
        <w:t xml:space="preserve">. </w:t>
      </w:r>
      <w:r w:rsidRPr="004D3AF4">
        <w:rPr>
          <w:rFonts w:ascii="Traditional Arabic" w:hAnsi="Traditional Arabic" w:cs="Traditional Arabic" w:hint="cs"/>
          <w:sz w:val="30"/>
          <w:szCs w:val="30"/>
          <w:rtl/>
        </w:rPr>
        <w:t>و</w:t>
      </w:r>
      <w:r w:rsidRPr="004D3AF4">
        <w:rPr>
          <w:rFonts w:ascii="Traditional Arabic" w:hAnsi="Traditional Arabic" w:cs="Traditional Arabic"/>
          <w:sz w:val="30"/>
          <w:szCs w:val="30"/>
          <w:rtl/>
        </w:rPr>
        <w:t>قد يكون</w:t>
      </w:r>
      <w:r w:rsidRPr="004D3AF4">
        <w:rPr>
          <w:rFonts w:ascii="Traditional Arabic" w:hAnsi="Traditional Arabic" w:cs="Traditional Arabic" w:hint="cs"/>
          <w:sz w:val="30"/>
          <w:szCs w:val="30"/>
          <w:rtl/>
        </w:rPr>
        <w:t xml:space="preserve"> لفك الربط</w:t>
      </w:r>
      <w:r w:rsidRPr="004D3AF4">
        <w:rPr>
          <w:rFonts w:ascii="Traditional Arabic" w:hAnsi="Traditional Arabic" w:cs="Traditional Arabic"/>
          <w:sz w:val="30"/>
          <w:szCs w:val="30"/>
          <w:rtl/>
        </w:rPr>
        <w:t xml:space="preserve"> أو تعديل سعر صرف الدولار الأمريكي مقابل الريال العُماني تأثير على النتائج المالية للشركة بسبب تأثيرات تحويل العملة</w:t>
      </w:r>
      <w:r w:rsidR="00614F12">
        <w:rPr>
          <w:rFonts w:ascii="Traditional Arabic" w:hAnsi="Traditional Arabic" w:cs="Traditional Arabic" w:hint="cs"/>
          <w:sz w:val="30"/>
          <w:szCs w:val="30"/>
          <w:rtl/>
        </w:rPr>
        <w:t xml:space="preserve"> (لأن العملة المحاسبية للشركة هي الريال العماني)</w:t>
      </w:r>
      <w:r w:rsidRPr="004D3AF4">
        <w:rPr>
          <w:rFonts w:ascii="Traditional Arabic" w:hAnsi="Traditional Arabic" w:cs="Traditional Arabic"/>
          <w:sz w:val="30"/>
          <w:szCs w:val="30"/>
          <w:rtl/>
        </w:rPr>
        <w:t xml:space="preserve">، ويمكن أن يؤثر أيضا اقتراض الشركة المقوم بالدولار الأمريكي على نتائجها المالية. </w:t>
      </w:r>
      <w:r w:rsidRPr="004D3AF4">
        <w:rPr>
          <w:rFonts w:ascii="Traditional Arabic" w:hAnsi="Traditional Arabic" w:cs="Traditional Arabic" w:hint="cs"/>
          <w:sz w:val="30"/>
          <w:szCs w:val="30"/>
          <w:rtl/>
        </w:rPr>
        <w:t xml:space="preserve">وحدوث </w:t>
      </w:r>
      <w:r w:rsidRPr="004D3AF4">
        <w:rPr>
          <w:rFonts w:ascii="Traditional Arabic" w:hAnsi="Traditional Arabic" w:cs="Traditional Arabic"/>
          <w:sz w:val="30"/>
          <w:szCs w:val="30"/>
          <w:rtl/>
        </w:rPr>
        <w:t xml:space="preserve">أي </w:t>
      </w:r>
      <w:r w:rsidRPr="004D3AF4">
        <w:rPr>
          <w:rFonts w:ascii="Traditional Arabic" w:hAnsi="Traditional Arabic" w:cs="Traditional Arabic" w:hint="cs"/>
          <w:sz w:val="30"/>
          <w:szCs w:val="30"/>
          <w:rtl/>
        </w:rPr>
        <w:t>حالة من هذه الحالات</w:t>
      </w:r>
      <w:r w:rsidRPr="004D3AF4">
        <w:rPr>
          <w:rFonts w:ascii="Traditional Arabic" w:hAnsi="Traditional Arabic" w:cs="Traditional Arabic"/>
          <w:sz w:val="30"/>
          <w:szCs w:val="30"/>
          <w:rtl/>
        </w:rPr>
        <w:t xml:space="preserve"> يمكن أن </w:t>
      </w:r>
      <w:r w:rsidRPr="004D3AF4">
        <w:rPr>
          <w:rFonts w:ascii="Traditional Arabic" w:hAnsi="Traditional Arabic" w:cs="Traditional Arabic" w:hint="cs"/>
          <w:sz w:val="30"/>
          <w:szCs w:val="30"/>
          <w:rtl/>
        </w:rPr>
        <w:t>ي</w:t>
      </w:r>
      <w:r w:rsidRPr="004D3AF4">
        <w:rPr>
          <w:rFonts w:ascii="Traditional Arabic" w:hAnsi="Traditional Arabic" w:cs="Traditional Arabic"/>
          <w:sz w:val="30"/>
          <w:szCs w:val="30"/>
          <w:rtl/>
        </w:rPr>
        <w:t>ؤثر سلبًا على أعمال الشركة ووضعها المالي ونتائج عملياتها التشغيلية ومستقبلها.</w:t>
      </w:r>
    </w:p>
    <w:p w14:paraId="0EBB784B" w14:textId="77777777" w:rsidR="006772B1" w:rsidRDefault="006772B1" w:rsidP="006772B1">
      <w:pPr>
        <w:bidi/>
        <w:jc w:val="both"/>
        <w:rPr>
          <w:rFonts w:ascii="Traditional Arabic" w:hAnsi="Traditional Arabic" w:cs="Traditional Arabic"/>
          <w:sz w:val="30"/>
          <w:szCs w:val="30"/>
          <w:rtl/>
          <w:lang w:bidi="ar-EG"/>
        </w:rPr>
      </w:pPr>
    </w:p>
    <w:p w14:paraId="490289C5" w14:textId="77777777" w:rsidR="006772B1" w:rsidRPr="008C78CA" w:rsidRDefault="006772B1" w:rsidP="006772B1">
      <w:pPr>
        <w:bidi/>
        <w:spacing w:beforeLines="40" w:before="96" w:afterLines="40" w:after="96" w:line="276" w:lineRule="auto"/>
        <w:jc w:val="both"/>
        <w:rPr>
          <w:rFonts w:ascii="Traditional Arabic" w:hAnsi="Traditional Arabic" w:cs="Traditional Arabic"/>
          <w:b/>
          <w:sz w:val="30"/>
          <w:szCs w:val="30"/>
        </w:rPr>
      </w:pPr>
      <w:r w:rsidRPr="008C78CA">
        <w:rPr>
          <w:rFonts w:ascii="Traditional Arabic" w:hAnsi="Traditional Arabic" w:cs="Traditional Arabic"/>
          <w:b/>
          <w:bCs/>
          <w:sz w:val="30"/>
          <w:szCs w:val="30"/>
          <w:rtl/>
        </w:rPr>
        <w:lastRenderedPageBreak/>
        <w:t xml:space="preserve">المخاطر المتعلقة بالطرح والأسهم </w:t>
      </w:r>
    </w:p>
    <w:p w14:paraId="016C3113" w14:textId="77777777" w:rsidR="006772B1" w:rsidRPr="001453E0" w:rsidRDefault="000A781F" w:rsidP="00985281">
      <w:pPr>
        <w:pStyle w:val="Heading5"/>
        <w:numPr>
          <w:ilvl w:val="0"/>
          <w:numId w:val="0"/>
        </w:numPr>
        <w:bidi/>
        <w:spacing w:beforeLines="40" w:before="96" w:afterLines="40" w:after="96" w:line="276" w:lineRule="auto"/>
        <w:jc w:val="both"/>
        <w:rPr>
          <w:rFonts w:ascii="Traditional Arabic" w:hAnsi="Traditional Arabic" w:cs="Traditional Arabic"/>
          <w:sz w:val="30"/>
          <w:szCs w:val="30"/>
        </w:rPr>
      </w:pPr>
      <w:r>
        <w:rPr>
          <w:rFonts w:ascii="Traditional Arabic" w:hAnsi="Traditional Arabic" w:cs="Traditional Arabic" w:hint="cs"/>
          <w:bCs/>
          <w:sz w:val="30"/>
          <w:szCs w:val="30"/>
          <w:rtl/>
        </w:rPr>
        <w:t xml:space="preserve">46. </w:t>
      </w:r>
      <w:r w:rsidR="006772B1" w:rsidRPr="001453E0">
        <w:rPr>
          <w:rFonts w:ascii="Traditional Arabic" w:hAnsi="Traditional Arabic" w:cs="Traditional Arabic"/>
          <w:bCs/>
          <w:sz w:val="30"/>
          <w:szCs w:val="30"/>
          <w:rtl/>
        </w:rPr>
        <w:t>قد لا ينتج عن الطرح سوق نشطة أو سائلة للأسهم، وقد تكون أسعار تداول الأسهم متقلبة وعرضة للانخفاض. بالإضافة إلى ذلك، فإن بورصة مسقط أصغر حجما بكثير من أسواق الأوراق المالية الأخرى القائمة، مما قد يؤثر أيضا على سيولة الأسهم.</w:t>
      </w:r>
    </w:p>
    <w:p w14:paraId="2EA34599"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Pr>
      </w:pPr>
      <w:r w:rsidRPr="008C78CA">
        <w:rPr>
          <w:rFonts w:ascii="Traditional Arabic" w:hAnsi="Traditional Arabic" w:cs="Traditional Arabic"/>
          <w:sz w:val="30"/>
          <w:szCs w:val="30"/>
          <w:rtl/>
        </w:rPr>
        <w:t>قبل الطرح، لم يكن هناك سوق عام لتداول الأسهم</w:t>
      </w:r>
      <w:r w:rsidRPr="008C78CA">
        <w:rPr>
          <w:rFonts w:ascii="Traditional Arabic" w:hAnsi="Traditional Arabic" w:cs="Traditional Arabic"/>
          <w:sz w:val="30"/>
          <w:szCs w:val="30"/>
          <w:rtl/>
          <w:lang w:bidi="ar-EG"/>
        </w:rPr>
        <w:t xml:space="preserve">، </w:t>
      </w:r>
      <w:r w:rsidRPr="008C78CA">
        <w:rPr>
          <w:rFonts w:ascii="Traditional Arabic" w:hAnsi="Traditional Arabic" w:cs="Traditional Arabic"/>
          <w:sz w:val="30"/>
          <w:szCs w:val="30"/>
          <w:rtl/>
        </w:rPr>
        <w:t>ولا يوجد ما يضمن تطور سوق تداول نشط للأسهم أو، إذا تطور السوق بعد الاكتتاب العام، فإنه سيستمر أو أن سعر الأسهم في السوق لن ينخفض بعد ذلك إلى ما دون سعر الطرح، وقد يخضع سعر تداول الأسهم لتقلبات واسعة استجابة للعديد من العوامل، منها: تقلبات سوق الأسهم والظروف الاقتصادية العامة أو التغيرات في الأوضاع السياسية التي قد تؤثر سلبًا على السعر السوقي للأسهم، بغض النظر عن الأداء الفعلي للشركة أو ظروفها في سلطنة عُمان.</w:t>
      </w:r>
    </w:p>
    <w:p w14:paraId="48B1D20E" w14:textId="77777777" w:rsidR="006772B1" w:rsidRPr="008C78CA" w:rsidRDefault="006772B1" w:rsidP="006772B1">
      <w:pPr>
        <w:bidi/>
        <w:spacing w:beforeLines="40" w:before="96" w:afterLines="40" w:after="96"/>
        <w:jc w:val="both"/>
        <w:rPr>
          <w:rFonts w:ascii="Traditional Arabic" w:hAnsi="Traditional Arabic" w:cs="Traditional Arabic"/>
          <w:sz w:val="30"/>
          <w:szCs w:val="30"/>
          <w:rtl/>
        </w:rPr>
      </w:pPr>
    </w:p>
    <w:p w14:paraId="68D42F66"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Pr>
      </w:pPr>
      <w:r w:rsidRPr="008C78CA">
        <w:rPr>
          <w:rFonts w:ascii="Traditional Arabic" w:hAnsi="Traditional Arabic" w:cs="Traditional Arabic"/>
          <w:sz w:val="30"/>
          <w:szCs w:val="30"/>
          <w:rtl/>
        </w:rPr>
        <w:t xml:space="preserve">ستتقدم الشركة بطلب لإدراج الأسهم في بورصة مسقط التي تأسست في عام 1988، ولكن لا يمكن ضمان نجاحها المستقبلي والسيولة في سوق الأسهم. ومؤشر بورصة مسقط أصغر بكثير؛ وبالتالي أقل سيولة من أسواق الأوراق المالية الأكثر قدمًا، بما في ذلك، على سبيل المثال، البورصات وأسواق المال الموجودة في أماكن أخرى في دول مجلس التعاون الخليجي أو الولايات المتحدة أو المملكة المتحدة. </w:t>
      </w:r>
      <w:r w:rsidR="00822636" w:rsidRPr="00822636">
        <w:rPr>
          <w:rFonts w:ascii="Traditional Arabic" w:hAnsi="Traditional Arabic" w:cs="Traditional Arabic"/>
          <w:sz w:val="30"/>
          <w:szCs w:val="30"/>
          <w:rtl/>
        </w:rPr>
        <w:t xml:space="preserve">اعتبارًا من </w:t>
      </w:r>
      <w:r w:rsidR="00D23891">
        <w:rPr>
          <w:rFonts w:ascii="Traditional Arabic" w:hAnsi="Traditional Arabic" w:cs="Traditional Arabic" w:hint="cs"/>
          <w:sz w:val="30"/>
          <w:szCs w:val="30"/>
          <w:rtl/>
        </w:rPr>
        <w:t>31 ديسمبر 2024</w:t>
      </w:r>
      <w:r w:rsidR="00D23891" w:rsidRPr="00822636">
        <w:rPr>
          <w:rFonts w:ascii="Traditional Arabic" w:hAnsi="Traditional Arabic" w:cs="Traditional Arabic" w:hint="cs"/>
          <w:sz w:val="30"/>
          <w:szCs w:val="30"/>
          <w:rtl/>
        </w:rPr>
        <w:t>،</w:t>
      </w:r>
      <w:r w:rsidR="00D23891"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بلغ</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عدد</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الشركات</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المتداولة</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في</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بورصة</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مسقط</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حوالي</w:t>
      </w:r>
      <w:r w:rsidR="00822636" w:rsidRPr="00822636">
        <w:rPr>
          <w:rFonts w:ascii="Traditional Arabic" w:hAnsi="Traditional Arabic" w:cs="Traditional Arabic"/>
          <w:sz w:val="30"/>
          <w:szCs w:val="30"/>
          <w:rtl/>
        </w:rPr>
        <w:t xml:space="preserve"> </w:t>
      </w:r>
      <w:r w:rsidR="00D23891">
        <w:rPr>
          <w:rFonts w:ascii="Traditional Arabic" w:hAnsi="Traditional Arabic" w:cs="Traditional Arabic" w:hint="cs"/>
          <w:sz w:val="30"/>
          <w:szCs w:val="30"/>
          <w:rtl/>
        </w:rPr>
        <w:t>113</w:t>
      </w:r>
      <w:r w:rsidR="00D23891"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شركة</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بقيمة</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سوقية</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إجمالية</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تبلغ</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حوالي</w:t>
      </w:r>
      <w:r w:rsidR="00822636" w:rsidRPr="00822636">
        <w:rPr>
          <w:rFonts w:ascii="Traditional Arabic" w:hAnsi="Traditional Arabic" w:cs="Traditional Arabic"/>
          <w:sz w:val="30"/>
          <w:szCs w:val="30"/>
          <w:rtl/>
        </w:rPr>
        <w:t xml:space="preserve"> </w:t>
      </w:r>
      <w:r w:rsidR="00D23891">
        <w:rPr>
          <w:rFonts w:ascii="Traditional Arabic" w:hAnsi="Traditional Arabic" w:cs="Traditional Arabic" w:hint="cs"/>
          <w:sz w:val="30"/>
          <w:szCs w:val="30"/>
          <w:rtl/>
        </w:rPr>
        <w:t>27.6</w:t>
      </w:r>
      <w:r w:rsidR="00D23891"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مليار</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ريال</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عماني</w:t>
      </w:r>
      <w:r w:rsidR="00822636" w:rsidRPr="00822636">
        <w:rPr>
          <w:rFonts w:ascii="Traditional Arabic" w:hAnsi="Traditional Arabic" w:cs="Traditional Arabic"/>
          <w:sz w:val="30"/>
          <w:szCs w:val="30"/>
          <w:rtl/>
        </w:rPr>
        <w:t xml:space="preserve"> </w:t>
      </w:r>
      <w:r w:rsidR="00D23891" w:rsidRPr="00822636">
        <w:rPr>
          <w:rFonts w:ascii="Traditional Arabic" w:hAnsi="Traditional Arabic" w:cs="Traditional Arabic"/>
          <w:sz w:val="30"/>
          <w:szCs w:val="30"/>
          <w:rtl/>
        </w:rPr>
        <w:t>(</w:t>
      </w:r>
      <w:r w:rsidR="00D23891">
        <w:rPr>
          <w:rFonts w:ascii="Traditional Arabic" w:hAnsi="Traditional Arabic" w:cs="Traditional Arabic" w:hint="cs"/>
          <w:sz w:val="30"/>
          <w:szCs w:val="30"/>
          <w:rtl/>
        </w:rPr>
        <w:t>71.8</w:t>
      </w:r>
      <w:r w:rsidR="00D23891"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مليون</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دولار</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أمريكي</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بلغ</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متوسط</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حجم</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التداول</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اليومي</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المنتظم</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في</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بورصة</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مسقط</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ما</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يقرب</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من</w:t>
      </w:r>
      <w:r w:rsidR="00822636" w:rsidRPr="00822636">
        <w:rPr>
          <w:rFonts w:ascii="Traditional Arabic" w:hAnsi="Traditional Arabic" w:cs="Traditional Arabic"/>
          <w:sz w:val="30"/>
          <w:szCs w:val="30"/>
          <w:rtl/>
        </w:rPr>
        <w:t xml:space="preserve"> </w:t>
      </w:r>
      <w:r w:rsidR="00D23891">
        <w:rPr>
          <w:rFonts w:ascii="Traditional Arabic" w:hAnsi="Traditional Arabic" w:cs="Traditional Arabic" w:hint="cs"/>
          <w:sz w:val="30"/>
          <w:szCs w:val="30"/>
          <w:rtl/>
        </w:rPr>
        <w:t>5.1</w:t>
      </w:r>
      <w:r w:rsidR="00D23891"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مليون</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ريال</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عماني</w:t>
      </w:r>
      <w:r w:rsidR="00822636" w:rsidRPr="00822636">
        <w:rPr>
          <w:rFonts w:ascii="Traditional Arabic" w:hAnsi="Traditional Arabic" w:cs="Traditional Arabic"/>
          <w:sz w:val="30"/>
          <w:szCs w:val="30"/>
          <w:rtl/>
        </w:rPr>
        <w:t xml:space="preserve"> </w:t>
      </w:r>
      <w:r w:rsidR="00D23891" w:rsidRPr="00822636">
        <w:rPr>
          <w:rFonts w:ascii="Traditional Arabic" w:hAnsi="Traditional Arabic" w:cs="Traditional Arabic"/>
          <w:sz w:val="30"/>
          <w:szCs w:val="30"/>
          <w:rtl/>
        </w:rPr>
        <w:t>(</w:t>
      </w:r>
      <w:r w:rsidR="00D23891">
        <w:rPr>
          <w:rFonts w:ascii="Traditional Arabic" w:hAnsi="Traditional Arabic" w:cs="Traditional Arabic" w:hint="cs"/>
          <w:sz w:val="30"/>
          <w:szCs w:val="30"/>
          <w:rtl/>
        </w:rPr>
        <w:t>13.3</w:t>
      </w:r>
      <w:r w:rsidR="00D23891"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مليون</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دولار</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أمريكي</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في</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الأشهر</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التسعة</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المنتهية</w:t>
      </w:r>
      <w:r w:rsidR="00822636" w:rsidRPr="00822636">
        <w:rPr>
          <w:rFonts w:ascii="Traditional Arabic" w:hAnsi="Traditional Arabic" w:cs="Traditional Arabic"/>
          <w:sz w:val="30"/>
          <w:szCs w:val="30"/>
          <w:rtl/>
        </w:rPr>
        <w:t xml:space="preserve"> </w:t>
      </w:r>
      <w:r w:rsidR="00822636" w:rsidRPr="00822636">
        <w:rPr>
          <w:rFonts w:ascii="Traditional Arabic" w:hAnsi="Traditional Arabic" w:cs="Traditional Arabic" w:hint="cs"/>
          <w:sz w:val="30"/>
          <w:szCs w:val="30"/>
          <w:rtl/>
        </w:rPr>
        <w:t>في</w:t>
      </w:r>
      <w:r w:rsidR="00822636" w:rsidRPr="00822636">
        <w:rPr>
          <w:rFonts w:ascii="Traditional Arabic" w:hAnsi="Traditional Arabic" w:cs="Traditional Arabic"/>
          <w:sz w:val="30"/>
          <w:szCs w:val="30"/>
          <w:rtl/>
        </w:rPr>
        <w:t xml:space="preserve"> 30 </w:t>
      </w:r>
      <w:r w:rsidR="00822636" w:rsidRPr="00822636">
        <w:rPr>
          <w:rFonts w:ascii="Traditional Arabic" w:hAnsi="Traditional Arabic" w:cs="Traditional Arabic" w:hint="cs"/>
          <w:sz w:val="30"/>
          <w:szCs w:val="30"/>
          <w:rtl/>
        </w:rPr>
        <w:t>سبتمبر</w:t>
      </w:r>
      <w:r w:rsidR="00822636" w:rsidRPr="00822636">
        <w:rPr>
          <w:rFonts w:ascii="Traditional Arabic" w:hAnsi="Traditional Arabic" w:cs="Traditional Arabic"/>
          <w:sz w:val="30"/>
          <w:szCs w:val="30"/>
          <w:rtl/>
        </w:rPr>
        <w:t xml:space="preserve"> 2024.</w:t>
      </w:r>
      <w:r w:rsidRPr="008C78CA">
        <w:rPr>
          <w:rFonts w:ascii="Traditional Arabic" w:hAnsi="Traditional Arabic" w:cs="Traditional Arabic"/>
          <w:sz w:val="30"/>
          <w:szCs w:val="30"/>
          <w:rtl/>
        </w:rPr>
        <w:t xml:space="preserve">. </w:t>
      </w:r>
    </w:p>
    <w:p w14:paraId="2F2B4927" w14:textId="77777777" w:rsidR="006772B1" w:rsidRDefault="008F2791" w:rsidP="006772B1">
      <w:pPr>
        <w:bidi/>
        <w:spacing w:beforeLines="40" w:before="96" w:afterLines="40" w:after="96"/>
        <w:jc w:val="both"/>
        <w:rPr>
          <w:rFonts w:ascii="Traditional Arabic" w:hAnsi="Traditional Arabic" w:cs="Traditional Arabic"/>
          <w:sz w:val="30"/>
          <w:szCs w:val="30"/>
          <w:rtl/>
        </w:rPr>
      </w:pPr>
      <w:r w:rsidRPr="008F2791">
        <w:rPr>
          <w:rFonts w:ascii="Traditional Arabic" w:hAnsi="Traditional Arabic" w:cs="Traditional Arabic"/>
          <w:sz w:val="30"/>
          <w:szCs w:val="30"/>
          <w:rtl/>
        </w:rPr>
        <w:t xml:space="preserve">بالإضافة إلى ذلك، منحت هيئة الخدمات المالية إعفاءً من الحد الأدنى المطلوب للتعويم الحر بنسبة </w:t>
      </w:r>
      <w:r>
        <w:rPr>
          <w:rFonts w:ascii="Traditional Arabic" w:hAnsi="Traditional Arabic" w:cs="Traditional Arabic" w:hint="cs"/>
          <w:sz w:val="30"/>
          <w:szCs w:val="30"/>
          <w:rtl/>
        </w:rPr>
        <w:t>٢٥</w:t>
      </w:r>
      <w:r w:rsidRPr="008F2791">
        <w:rPr>
          <w:rFonts w:ascii="Traditional Arabic" w:hAnsi="Traditional Arabic" w:cs="Traditional Arabic"/>
          <w:sz w:val="30"/>
          <w:szCs w:val="30"/>
          <w:rtl/>
        </w:rPr>
        <w:t xml:space="preserve"> في المائة ("متطلب</w:t>
      </w:r>
      <w:r>
        <w:rPr>
          <w:rFonts w:ascii="Traditional Arabic" w:hAnsi="Traditional Arabic" w:cs="Traditional Arabic" w:hint="cs"/>
          <w:sz w:val="30"/>
          <w:szCs w:val="30"/>
          <w:rtl/>
        </w:rPr>
        <w:t>ات</w:t>
      </w:r>
      <w:r w:rsidRPr="008F2791">
        <w:rPr>
          <w:rFonts w:ascii="Traditional Arabic" w:hAnsi="Traditional Arabic" w:cs="Traditional Arabic"/>
          <w:sz w:val="30"/>
          <w:szCs w:val="30"/>
          <w:rtl/>
        </w:rPr>
        <w:t xml:space="preserve"> التعويم الحر") حيث يخضع </w:t>
      </w:r>
      <w:r>
        <w:rPr>
          <w:rFonts w:ascii="Traditional Arabic" w:hAnsi="Traditional Arabic" w:cs="Traditional Arabic" w:hint="cs"/>
          <w:sz w:val="30"/>
          <w:szCs w:val="30"/>
          <w:rtl/>
        </w:rPr>
        <w:t>الطرح</w:t>
      </w:r>
      <w:r w:rsidRPr="008F2791">
        <w:rPr>
          <w:rFonts w:ascii="Traditional Arabic" w:hAnsi="Traditional Arabic" w:cs="Traditional Arabic"/>
          <w:sz w:val="30"/>
          <w:szCs w:val="30"/>
          <w:rtl/>
        </w:rPr>
        <w:t xml:space="preserve"> بدلاً من ذلك لمتطلب </w:t>
      </w:r>
      <w:r>
        <w:rPr>
          <w:rFonts w:ascii="Traditional Arabic" w:hAnsi="Traditional Arabic" w:cs="Traditional Arabic" w:hint="cs"/>
          <w:sz w:val="30"/>
          <w:szCs w:val="30"/>
          <w:rtl/>
        </w:rPr>
        <w:t>التعويم</w:t>
      </w:r>
      <w:r w:rsidRPr="008F2791">
        <w:rPr>
          <w:rFonts w:ascii="Traditional Arabic" w:hAnsi="Traditional Arabic" w:cs="Traditional Arabic"/>
          <w:sz w:val="30"/>
          <w:szCs w:val="30"/>
          <w:rtl/>
        </w:rPr>
        <w:t xml:space="preserve"> الحر بنسبة </w:t>
      </w:r>
      <w:r>
        <w:rPr>
          <w:rFonts w:ascii="Traditional Arabic" w:hAnsi="Traditional Arabic" w:cs="Traditional Arabic" w:hint="cs"/>
          <w:sz w:val="30"/>
          <w:szCs w:val="30"/>
          <w:rtl/>
        </w:rPr>
        <w:t>٢٠</w:t>
      </w:r>
      <w:r w:rsidRPr="008F2791">
        <w:rPr>
          <w:rFonts w:ascii="Traditional Arabic" w:hAnsi="Traditional Arabic" w:cs="Traditional Arabic"/>
          <w:sz w:val="30"/>
          <w:szCs w:val="30"/>
          <w:rtl/>
        </w:rPr>
        <w:t xml:space="preserve"> في المائة على الأقل. ومع ذلك، ستحتاج الشركة إلى تلبية متطلب التعويم الحر في غضون اثني عشر شهرًا من تاريخ الإدراج من خلال إصدار</w:t>
      </w:r>
      <w:r w:rsidR="00AF4ED9">
        <w:rPr>
          <w:rFonts w:ascii="Traditional Arabic" w:hAnsi="Traditional Arabic" w:cs="Traditional Arabic" w:hint="cs"/>
          <w:sz w:val="30"/>
          <w:szCs w:val="30"/>
          <w:rtl/>
        </w:rPr>
        <w:t xml:space="preserve"> اسهم إضافية بنسبة</w:t>
      </w:r>
      <w:r w:rsidRPr="008F2791">
        <w:rPr>
          <w:rFonts w:ascii="Traditional Arabic" w:hAnsi="Traditional Arabic" w:cs="Traditional Arabic"/>
          <w:sz w:val="30"/>
          <w:szCs w:val="30"/>
          <w:rtl/>
        </w:rPr>
        <w:t xml:space="preserve"> </w:t>
      </w:r>
      <w:r w:rsidR="00AF4ED9">
        <w:rPr>
          <w:rFonts w:ascii="Traditional Arabic" w:hAnsi="Traditional Arabic" w:cs="Traditional Arabic" w:hint="cs"/>
          <w:sz w:val="30"/>
          <w:szCs w:val="30"/>
          <w:rtl/>
        </w:rPr>
        <w:t>٥</w:t>
      </w:r>
      <w:r w:rsidRPr="008F2791">
        <w:rPr>
          <w:rFonts w:ascii="Traditional Arabic" w:hAnsi="Traditional Arabic" w:cs="Traditional Arabic"/>
          <w:sz w:val="30"/>
          <w:szCs w:val="30"/>
          <w:rtl/>
        </w:rPr>
        <w:t xml:space="preserve"> في المائة. ونظرًا لأن المساهمين لن يحق لهم الحصول على حقوق </w:t>
      </w:r>
      <w:r w:rsidR="00AF3A72">
        <w:rPr>
          <w:rFonts w:ascii="Traditional Arabic" w:hAnsi="Traditional Arabic" w:cs="Traditional Arabic" w:hint="cs"/>
          <w:sz w:val="30"/>
          <w:szCs w:val="30"/>
          <w:rtl/>
        </w:rPr>
        <w:t>الافضلية</w:t>
      </w:r>
      <w:r w:rsidRPr="008F2791">
        <w:rPr>
          <w:rFonts w:ascii="Traditional Arabic" w:hAnsi="Traditional Arabic" w:cs="Traditional Arabic"/>
          <w:sz w:val="30"/>
          <w:szCs w:val="30"/>
          <w:rtl/>
        </w:rPr>
        <w:t xml:space="preserve"> فيما يتعلق بعرض مثل هذه الأسهم الإضافية، فإن أي إصدار من هذا القبيل من قبل الشركة من شأنه أن </w:t>
      </w:r>
      <w:r w:rsidR="00767C6C">
        <w:rPr>
          <w:rFonts w:ascii="Traditional Arabic" w:hAnsi="Traditional Arabic" w:cs="Traditional Arabic" w:hint="cs"/>
          <w:sz w:val="30"/>
          <w:szCs w:val="30"/>
          <w:rtl/>
        </w:rPr>
        <w:t>يؤدي الى خفض</w:t>
      </w:r>
      <w:r w:rsidRPr="008F2791">
        <w:rPr>
          <w:rFonts w:ascii="Traditional Arabic" w:hAnsi="Traditional Arabic" w:cs="Traditional Arabic"/>
          <w:sz w:val="30"/>
          <w:szCs w:val="30"/>
          <w:rtl/>
        </w:rPr>
        <w:t xml:space="preserve"> </w:t>
      </w:r>
      <w:r w:rsidR="00767C6C">
        <w:rPr>
          <w:rFonts w:ascii="Traditional Arabic" w:hAnsi="Traditional Arabic" w:cs="Traditional Arabic" w:hint="cs"/>
          <w:sz w:val="30"/>
          <w:szCs w:val="30"/>
          <w:rtl/>
        </w:rPr>
        <w:t>ملكية</w:t>
      </w:r>
      <w:r w:rsidRPr="008F2791">
        <w:rPr>
          <w:rFonts w:ascii="Traditional Arabic" w:hAnsi="Traditional Arabic" w:cs="Traditional Arabic"/>
          <w:sz w:val="30"/>
          <w:szCs w:val="30"/>
          <w:rtl/>
        </w:rPr>
        <w:t xml:space="preserve"> المساهمين إذا اختاروا عدم المشاركة في مثل هذا الإصدار أو كانوا غير قادرين على المشاركة فيه. راجع "</w:t>
      </w:r>
      <w:r w:rsidR="00767C6C" w:rsidRPr="00767C6C">
        <w:rPr>
          <w:rFonts w:ascii="Traditional Arabic" w:hAnsi="Traditional Arabic" w:cs="Traditional Arabic"/>
          <w:bCs/>
          <w:sz w:val="30"/>
          <w:szCs w:val="30"/>
          <w:rtl/>
        </w:rPr>
        <w:t xml:space="preserve"> </w:t>
      </w:r>
      <w:r w:rsidR="00767C6C" w:rsidRPr="00CA4D73">
        <w:rPr>
          <w:rFonts w:ascii="Traditional Arabic" w:hAnsi="Traditional Arabic" w:cs="Traditional Arabic"/>
          <w:b/>
          <w:i/>
          <w:iCs/>
          <w:sz w:val="30"/>
          <w:szCs w:val="30"/>
          <w:rtl/>
        </w:rPr>
        <w:t>قد تؤدي المبيعات المستقبلية الكبيرة للأسهم إلى خفض ملكية المساهمين وخفض سعر الأسهم</w:t>
      </w:r>
      <w:r w:rsidR="00767C6C" w:rsidRPr="00CA4D73">
        <w:rPr>
          <w:rFonts w:ascii="Traditional Arabic" w:hAnsi="Traditional Arabic" w:cs="Traditional Arabic"/>
          <w:i/>
          <w:iCs/>
          <w:sz w:val="30"/>
          <w:szCs w:val="30"/>
          <w:rtl/>
        </w:rPr>
        <w:t xml:space="preserve"> </w:t>
      </w:r>
      <w:r w:rsidRPr="008F2791">
        <w:rPr>
          <w:rFonts w:ascii="Traditional Arabic" w:hAnsi="Traditional Arabic" w:cs="Traditional Arabic"/>
          <w:sz w:val="30"/>
          <w:szCs w:val="30"/>
          <w:rtl/>
        </w:rPr>
        <w:t>" أدناه.</w:t>
      </w:r>
    </w:p>
    <w:p w14:paraId="2AA222A1" w14:textId="77777777" w:rsidR="0051633A" w:rsidRDefault="0051633A" w:rsidP="0051633A">
      <w:pPr>
        <w:bidi/>
        <w:spacing w:beforeLines="40" w:before="96" w:afterLines="40" w:after="96"/>
        <w:jc w:val="both"/>
        <w:rPr>
          <w:rFonts w:ascii="Traditional Arabic" w:hAnsi="Traditional Arabic" w:cs="Traditional Arabic"/>
          <w:sz w:val="30"/>
          <w:szCs w:val="30"/>
          <w:rtl/>
        </w:rPr>
      </w:pPr>
      <w:r w:rsidRPr="008C78CA">
        <w:rPr>
          <w:rFonts w:ascii="Traditional Arabic" w:hAnsi="Traditional Arabic" w:cs="Traditional Arabic"/>
          <w:sz w:val="30"/>
          <w:szCs w:val="30"/>
          <w:rtl/>
        </w:rPr>
        <w:lastRenderedPageBreak/>
        <w:t>يمكن أن تؤدي هذه العوامل بشكل عام إلى تقليل السيولة وزيادة تقلب أسعار الأسهم في البورصة، مما قد يؤدي بدوره إلى زيادة تقلب أسعار الأسهم وإضعاف قدرة المستثمرين على بيع أسهمهم في البورصة بالمبلغ المطلوب وبالسعر والوقت الذي يمكن تحقيقه في الأسواق الأكثر سيولة.</w:t>
      </w:r>
    </w:p>
    <w:p w14:paraId="29173C94" w14:textId="77777777" w:rsidR="0051633A" w:rsidRPr="008C78CA" w:rsidRDefault="0051633A" w:rsidP="0051633A">
      <w:pPr>
        <w:bidi/>
        <w:spacing w:beforeLines="40" w:before="96" w:afterLines="40" w:after="96"/>
        <w:jc w:val="both"/>
        <w:rPr>
          <w:rFonts w:ascii="Traditional Arabic" w:hAnsi="Traditional Arabic" w:cs="Traditional Arabic"/>
          <w:sz w:val="30"/>
          <w:szCs w:val="30"/>
        </w:rPr>
      </w:pPr>
    </w:p>
    <w:p w14:paraId="7B7BB52E"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Pr>
      </w:pPr>
      <w:r w:rsidRPr="008C78CA">
        <w:rPr>
          <w:rFonts w:ascii="Traditional Arabic" w:hAnsi="Traditional Arabic" w:cs="Traditional Arabic"/>
          <w:sz w:val="30"/>
          <w:szCs w:val="30"/>
          <w:rtl/>
        </w:rPr>
        <w:t>تم تحديد سعر الطرح بناء على عدة عوامل، منها: تاريخ الشركة وماضيها وآفاق أعمالها والقطاع الذي تعمل فيه، وعلى هذا النحو، قد لا يكون مؤشرا على السعر السوقي للأسهم بعد الانتهاء من الاكتتاب العام. وقد لا ترقى النتائج التشغيلية للشركة أو أدائها المالي إلى تلبية توقعات المحللين أو المستثمرين بسبب الظروف الموضحة في عوامل المخاطرة هذه أو في غيرها. وقد يخضع سعر تداول الأسهم أيضا لتقلبات كبيرة استجابة للتغيرات في الأداء المالي للشركة وظروف السوق العامة وعوامل أخرى بالإضافة إلى الظروف الموضحة في عوامل المخاطرة هذه أو في غيرها من العوامل. وقد تؤدي التقلبات في النتائج التشغيلية للشركة أو عدم تلبية توقعات المحللين أو المستثمرين إلى انخفاض سعر الأسهم، وقد لا يتمكن المستثمرون من بيع الأسهم التي اشتروها في الاكتتاب العام بالسعر الأصلي أو بسعر أعلى من سعرها الأصلي أو على الإطلاق. ونتيجة لذلك، قد يخسر المستثمرون الذين يشترون أسهم الطرح كل أو جزء من استثماراتهم في الأسهم. علاوة على ذلك، قد تخضع قيمة الأسهم أيضا لتقلبات كبيرة من وقت لآخر، وقد لا يكون ذلك مرتبطا بالضرورة بأدائها المالي. وبالتالي، فإن الانخفاض العام في السوق أو أي انخفاض في سوق الأوراق المالية المماثلة يمكن أن يكون له تأثير سلبي جوهري على سوق التداول وسيولة الأسهم.</w:t>
      </w:r>
    </w:p>
    <w:p w14:paraId="53E2A77C" w14:textId="77777777" w:rsidR="006772B1" w:rsidRPr="001453E0" w:rsidRDefault="006772B1" w:rsidP="001453E0"/>
    <w:p w14:paraId="394030F7" w14:textId="77777777" w:rsidR="006772B1" w:rsidRPr="001453E0" w:rsidRDefault="000A781F" w:rsidP="00985281">
      <w:pPr>
        <w:pStyle w:val="Heading5"/>
        <w:numPr>
          <w:ilvl w:val="0"/>
          <w:numId w:val="0"/>
        </w:numPr>
        <w:bidi/>
        <w:spacing w:beforeLines="40" w:before="96" w:afterLines="40" w:after="96" w:line="276" w:lineRule="auto"/>
        <w:jc w:val="both"/>
        <w:rPr>
          <w:rFonts w:ascii="Traditional Arabic" w:hAnsi="Traditional Arabic" w:cs="Traditional Arabic"/>
          <w:b w:val="0"/>
          <w:bCs/>
          <w:sz w:val="30"/>
          <w:szCs w:val="30"/>
        </w:rPr>
      </w:pPr>
      <w:r>
        <w:rPr>
          <w:rFonts w:ascii="Traditional Arabic" w:hAnsi="Traditional Arabic" w:cs="Traditional Arabic" w:hint="cs"/>
          <w:b w:val="0"/>
          <w:bCs/>
          <w:sz w:val="30"/>
          <w:szCs w:val="30"/>
          <w:rtl/>
        </w:rPr>
        <w:t xml:space="preserve">47. </w:t>
      </w:r>
      <w:r w:rsidR="006772B1" w:rsidRPr="001453E0">
        <w:rPr>
          <w:rFonts w:ascii="Traditional Arabic" w:hAnsi="Traditional Arabic" w:cs="Traditional Arabic"/>
          <w:b w:val="0"/>
          <w:bCs/>
          <w:sz w:val="30"/>
          <w:szCs w:val="30"/>
          <w:rtl/>
        </w:rPr>
        <w:t>قد تؤدي المبيعات المستقبلية الكبيرة للأسهم إلى خفض ملكية المساهمين وخفض سعر الأسهم</w:t>
      </w:r>
    </w:p>
    <w:p w14:paraId="6EA3434D"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Pr>
      </w:pPr>
      <w:r w:rsidRPr="008C78CA">
        <w:rPr>
          <w:rFonts w:ascii="Traditional Arabic" w:hAnsi="Traditional Arabic" w:cs="Traditional Arabic"/>
          <w:sz w:val="30"/>
          <w:szCs w:val="30"/>
          <w:rtl/>
        </w:rPr>
        <w:t xml:space="preserve">قد يترتب على بيع عدد كبير من الأسهم بعد إتمام عملية الطرح إلى خفض سعر السهم بشكل كبير. وقد وافقت الشركة والمساهم البائع في اتفاقية التسوية المؤسسية على قيود معينة على قدرتهما على إصدار وبيع ونقل والتصرف في أسهمها لمدة </w:t>
      </w:r>
      <w:r w:rsidR="00130566">
        <w:rPr>
          <w:rFonts w:ascii="Traditional Arabic" w:hAnsi="Traditional Arabic" w:cs="Traditional Arabic" w:hint="cs"/>
          <w:sz w:val="30"/>
          <w:szCs w:val="30"/>
          <w:rtl/>
        </w:rPr>
        <w:t>180</w:t>
      </w:r>
      <w:r w:rsidR="00130566" w:rsidRPr="008C78CA">
        <w:rPr>
          <w:rFonts w:ascii="Traditional Arabic" w:hAnsi="Traditional Arabic" w:cs="Traditional Arabic"/>
          <w:sz w:val="30"/>
          <w:szCs w:val="30"/>
          <w:rtl/>
        </w:rPr>
        <w:t xml:space="preserve"> </w:t>
      </w:r>
      <w:r w:rsidRPr="008C78CA">
        <w:rPr>
          <w:rFonts w:ascii="Traditional Arabic" w:hAnsi="Traditional Arabic" w:cs="Traditional Arabic"/>
          <w:sz w:val="30"/>
          <w:szCs w:val="30"/>
          <w:rtl/>
        </w:rPr>
        <w:t xml:space="preserve">يوما من تاريخ الإدراج، إلا في حالات محدودة معينة، ما لم يوافق المنسق العالمي المشترك على خلاف ذلك (حيث لا يجوز حجب هذه الموافقة أو تأخيرها بشكل غير معقول). ومع ذلك، فإن الشركة غير قادرة على التنبؤ بما إذا كان سيتم بيع عدد كبير من الأسهم (بالإضافة إلى الأسهم التي ستكون متاحة في الطرح) في السوق المفتوحة بعد الانتهاء من الطرح. ومن الممكن أن تقرر الشركة أن تطرح أسهما إضافية أو أوراق مالية قابلة للتحويل إلى أسهم في المستقبل بما في ذلك تعويضات بالأسهم، وإذا تم بيع الأسهم مستقبلا فقد تنخفض ملكية المساهمين، وقد يتأثر السعر السوقي للأسهم، وقد تنخفض قدرة الشركة على جمع رأس المال من خلال بيع الأسهم. بالإضافة إلى ذلك فإن عمليات بيع أعداد كبيرة من الأسهم في السوق العامة، أو تصور حصول مثل هذا البيع، يمكن أن يؤثر بشكل جوهري وسلبي على السعر السوقي للأسهم. </w:t>
      </w:r>
    </w:p>
    <w:p w14:paraId="0859DD6F" w14:textId="77777777" w:rsidR="006772B1" w:rsidRPr="001453E0" w:rsidRDefault="006772B1" w:rsidP="001453E0">
      <w:pPr>
        <w:rPr>
          <w:rFonts w:ascii="Traditional Arabic" w:hAnsi="Traditional Arabic" w:cs="Traditional Arabic"/>
          <w:sz w:val="30"/>
          <w:szCs w:val="30"/>
        </w:rPr>
      </w:pPr>
    </w:p>
    <w:p w14:paraId="7A90938F" w14:textId="77777777" w:rsidR="006772B1" w:rsidRPr="001453E0" w:rsidRDefault="00822636" w:rsidP="00985281">
      <w:pPr>
        <w:pStyle w:val="Heading5"/>
        <w:numPr>
          <w:ilvl w:val="0"/>
          <w:numId w:val="0"/>
        </w:numPr>
        <w:bidi/>
        <w:spacing w:beforeLines="40" w:before="96" w:afterLines="40" w:after="96" w:line="276" w:lineRule="auto"/>
        <w:jc w:val="both"/>
        <w:rPr>
          <w:rFonts w:ascii="Traditional Arabic" w:hAnsi="Traditional Arabic" w:cs="Traditional Arabic"/>
          <w:b w:val="0"/>
          <w:bCs/>
          <w:sz w:val="30"/>
          <w:szCs w:val="30"/>
        </w:rPr>
      </w:pPr>
      <w:r>
        <w:rPr>
          <w:rFonts w:ascii="Traditional Arabic" w:hAnsi="Traditional Arabic" w:cs="Traditional Arabic" w:hint="cs"/>
          <w:b w:val="0"/>
          <w:bCs/>
          <w:sz w:val="30"/>
          <w:szCs w:val="30"/>
          <w:rtl/>
        </w:rPr>
        <w:t xml:space="preserve">48. </w:t>
      </w:r>
      <w:r w:rsidR="006772B1" w:rsidRPr="001453E0">
        <w:rPr>
          <w:rFonts w:ascii="Traditional Arabic" w:hAnsi="Traditional Arabic" w:cs="Traditional Arabic"/>
          <w:b w:val="0"/>
          <w:bCs/>
          <w:sz w:val="30"/>
          <w:szCs w:val="30"/>
          <w:rtl/>
        </w:rPr>
        <w:t>من المحتمل ألا توزع الشركة أنصبة الأرباح وألا تعلن عن توزيعات الأرباح في المستقبل</w:t>
      </w:r>
    </w:p>
    <w:p w14:paraId="1779C38C"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tl/>
        </w:rPr>
      </w:pPr>
      <w:r w:rsidRPr="008C78CA">
        <w:rPr>
          <w:rFonts w:ascii="Traditional Arabic" w:hAnsi="Traditional Arabic" w:cs="Traditional Arabic"/>
          <w:sz w:val="30"/>
          <w:szCs w:val="30"/>
          <w:rtl/>
        </w:rPr>
        <w:t xml:space="preserve">بينما تعتزم الشركة دفع أرباح الأسهم فيما يتعلق بالأسهم وفقًا لسياستها المعتمدة في توزيع الأرباح، فإن قدرتها على ذلك تتوقف على مدى كفاية الأرباح التي تم تحقيقها ومستويات الأرباح المحتجزة ويعتمد توقيت ومبلغ أي مدفوعات أرباح مستقبلية على القوانين واللوائح المعمول بها، والوضع المالي الحالي والمستقبلي للشركة، ونتائج عملياتها التشغيلية، ومتطلبات السيولة وأي قيد على دفع أرباح الأسهم يكون منصوصا عليه في شروط تسهيلاتها الائتمانية، وغيرها من الأمور التي قد تعتبرها الشركة ذات صلة من وقت لآخر، بما في ذلك، على سبيل المثال لا الحصر، النفقات الرأسمالية والأداء المالي وأحوال سوق الأسهم. حتى وإن حققت الشركة أرباحا كبيرة، فمن المحتمل ألا توزع أرباحا إذا اعتقد مجلس الإدارة أنه يمكن زيادة قيمة المساهمين بشكل أكثر فعالية باستخدام الأرباح لأغراض أخرى، على سبيل المثال: من خلال إعادة الاستثمار أو في عمليات الاستحواذ، وبالتالي لا يتوفر ضمان بأن حاملي الأسهم سيحصلون على أرباح في المستقبل. لمزيد من المعلومات، يرجى الاطلاع على الفصل </w:t>
      </w:r>
      <w:r w:rsidR="00671488">
        <w:rPr>
          <w:rFonts w:ascii="Traditional Arabic" w:hAnsi="Traditional Arabic" w:cs="Traditional Arabic" w:hint="cs"/>
          <w:sz w:val="30"/>
          <w:szCs w:val="30"/>
          <w:rtl/>
        </w:rPr>
        <w:t>الخامس</w:t>
      </w:r>
      <w:r w:rsidR="00671488" w:rsidRPr="008C78CA">
        <w:rPr>
          <w:rFonts w:ascii="Traditional Arabic" w:hAnsi="Traditional Arabic" w:cs="Traditional Arabic"/>
          <w:sz w:val="30"/>
          <w:szCs w:val="30"/>
          <w:rtl/>
        </w:rPr>
        <w:t xml:space="preserve"> </w:t>
      </w:r>
      <w:r w:rsidRPr="008C78CA">
        <w:rPr>
          <w:rFonts w:ascii="Traditional Arabic" w:hAnsi="Traditional Arabic" w:cs="Traditional Arabic"/>
          <w:sz w:val="30"/>
          <w:szCs w:val="30"/>
          <w:rtl/>
        </w:rPr>
        <w:t>عشر بعنوان "سياسة توزيع الأرباح".</w:t>
      </w:r>
    </w:p>
    <w:p w14:paraId="354F893B"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Pr>
      </w:pPr>
    </w:p>
    <w:p w14:paraId="47507F30" w14:textId="77777777" w:rsidR="006772B1" w:rsidRPr="00394C29" w:rsidRDefault="00822636" w:rsidP="00985281">
      <w:pPr>
        <w:pStyle w:val="Heading5"/>
        <w:numPr>
          <w:ilvl w:val="0"/>
          <w:numId w:val="0"/>
        </w:numPr>
        <w:bidi/>
        <w:spacing w:beforeLines="40" w:before="96" w:afterLines="40" w:after="96" w:line="276" w:lineRule="auto"/>
        <w:jc w:val="both"/>
        <w:rPr>
          <w:rFonts w:ascii="Traditional Arabic" w:hAnsi="Traditional Arabic" w:cs="Traditional Arabic"/>
          <w:bCs/>
          <w:sz w:val="30"/>
          <w:szCs w:val="30"/>
        </w:rPr>
      </w:pPr>
      <w:r>
        <w:rPr>
          <w:rFonts w:ascii="Traditional Arabic" w:hAnsi="Traditional Arabic" w:cs="Traditional Arabic" w:hint="cs"/>
          <w:b w:val="0"/>
          <w:bCs/>
          <w:sz w:val="30"/>
          <w:szCs w:val="30"/>
          <w:rtl/>
        </w:rPr>
        <w:t xml:space="preserve">49. </w:t>
      </w:r>
      <w:r w:rsidR="006772B1" w:rsidRPr="00155ABB">
        <w:rPr>
          <w:rFonts w:ascii="Traditional Arabic" w:hAnsi="Traditional Arabic" w:cs="Traditional Arabic"/>
          <w:b w:val="0"/>
          <w:bCs/>
          <w:sz w:val="30"/>
          <w:szCs w:val="30"/>
          <w:rtl/>
        </w:rPr>
        <w:t>يواصل</w:t>
      </w:r>
      <w:r w:rsidR="006772B1" w:rsidRPr="00155ABB">
        <w:rPr>
          <w:rFonts w:ascii="Traditional Arabic" w:hAnsi="Traditional Arabic" w:cs="Traditional Arabic"/>
          <w:b w:val="0"/>
          <w:bCs/>
          <w:i w:val="0"/>
          <w:sz w:val="30"/>
          <w:szCs w:val="30"/>
          <w:rtl/>
        </w:rPr>
        <w:t xml:space="preserve"> </w:t>
      </w:r>
      <w:r w:rsidR="006772B1" w:rsidRPr="00155ABB">
        <w:rPr>
          <w:rFonts w:ascii="Traditional Arabic" w:hAnsi="Traditional Arabic" w:cs="Traditional Arabic" w:hint="cs"/>
          <w:b w:val="0"/>
          <w:bCs/>
          <w:i w:val="0"/>
          <w:sz w:val="30"/>
          <w:szCs w:val="30"/>
          <w:rtl/>
        </w:rPr>
        <w:t>المساهم</w:t>
      </w:r>
      <w:r w:rsidR="006772B1" w:rsidRPr="00155ABB">
        <w:rPr>
          <w:rFonts w:ascii="Traditional Arabic" w:hAnsi="Traditional Arabic" w:cs="Traditional Arabic"/>
          <w:b w:val="0"/>
          <w:bCs/>
          <w:i w:val="0"/>
          <w:sz w:val="30"/>
          <w:szCs w:val="30"/>
          <w:rtl/>
        </w:rPr>
        <w:t xml:space="preserve"> البائع قدرته على ممارسة السيطرة على الشركة وإدارتها وعملياتها التشغيلية</w:t>
      </w:r>
      <w:r w:rsidR="006772B1" w:rsidRPr="00394C29">
        <w:rPr>
          <w:rFonts w:ascii="Traditional Arabic" w:hAnsi="Traditional Arabic" w:cs="Traditional Arabic"/>
          <w:b w:val="0"/>
          <w:bCs/>
          <w:sz w:val="30"/>
          <w:szCs w:val="30"/>
          <w:rtl/>
        </w:rPr>
        <w:t>.</w:t>
      </w:r>
    </w:p>
    <w:p w14:paraId="762C3DB5" w14:textId="77777777" w:rsidR="006772B1" w:rsidRPr="008C78CA" w:rsidRDefault="006772B1" w:rsidP="00792D91">
      <w:pPr>
        <w:bidi/>
        <w:spacing w:beforeLines="40" w:before="96" w:afterLines="40" w:after="96" w:line="276" w:lineRule="auto"/>
        <w:jc w:val="both"/>
        <w:rPr>
          <w:rFonts w:ascii="Traditional Arabic" w:hAnsi="Traditional Arabic" w:cs="Traditional Arabic"/>
          <w:sz w:val="30"/>
          <w:szCs w:val="30"/>
        </w:rPr>
      </w:pPr>
      <w:r w:rsidRPr="008C78CA">
        <w:rPr>
          <w:rFonts w:ascii="Traditional Arabic" w:hAnsi="Traditional Arabic" w:cs="Traditional Arabic"/>
          <w:sz w:val="30"/>
          <w:szCs w:val="30"/>
          <w:rtl/>
        </w:rPr>
        <w:t xml:space="preserve">كما في تاريخ نشرة الإصدار هذه، </w:t>
      </w:r>
      <w:r w:rsidR="00D44194">
        <w:rPr>
          <w:rFonts w:ascii="Traditional Arabic" w:hAnsi="Traditional Arabic" w:cs="Traditional Arabic" w:hint="cs"/>
          <w:sz w:val="30"/>
          <w:szCs w:val="30"/>
          <w:rtl/>
        </w:rPr>
        <w:t>يملك المساهم البائع</w:t>
      </w:r>
      <w:r w:rsidRPr="008C78CA">
        <w:rPr>
          <w:rFonts w:ascii="Traditional Arabic" w:hAnsi="Traditional Arabic" w:cs="Traditional Arabic"/>
          <w:sz w:val="30"/>
          <w:szCs w:val="30"/>
          <w:rtl/>
        </w:rPr>
        <w:t xml:space="preserve"> - المملوك</w:t>
      </w:r>
      <w:r w:rsidR="00DA1D11">
        <w:rPr>
          <w:rFonts w:ascii="Traditional Arabic" w:hAnsi="Traditional Arabic" w:cs="Traditional Arabic" w:hint="cs"/>
          <w:sz w:val="30"/>
          <w:szCs w:val="30"/>
          <w:rtl/>
        </w:rPr>
        <w:t>ة</w:t>
      </w:r>
      <w:r w:rsidRPr="008C78CA">
        <w:rPr>
          <w:rFonts w:ascii="Traditional Arabic" w:hAnsi="Traditional Arabic" w:cs="Traditional Arabic"/>
          <w:sz w:val="30"/>
          <w:szCs w:val="30"/>
          <w:rtl/>
        </w:rPr>
        <w:t xml:space="preserve"> بالكامل بشكل غير مباشر من قبل الحكومة من خلال جهاز الاستثمار العماني - ما نسبته </w:t>
      </w:r>
      <w:r w:rsidR="005A6C22">
        <w:rPr>
          <w:rFonts w:ascii="Traditional Arabic" w:hAnsi="Traditional Arabic" w:cs="Traditional Arabic" w:hint="cs"/>
          <w:sz w:val="30"/>
          <w:szCs w:val="30"/>
          <w:rtl/>
        </w:rPr>
        <w:t xml:space="preserve">100 </w:t>
      </w:r>
      <w:r w:rsidRPr="008C78CA">
        <w:rPr>
          <w:rFonts w:ascii="Traditional Arabic" w:hAnsi="Traditional Arabic" w:cs="Traditional Arabic"/>
          <w:sz w:val="30"/>
          <w:szCs w:val="30"/>
          <w:rtl/>
        </w:rPr>
        <w:t>% من رأس المال المصدر</w:t>
      </w:r>
      <w:r w:rsidR="00D44194">
        <w:rPr>
          <w:rFonts w:ascii="Traditional Arabic" w:hAnsi="Traditional Arabic" w:cs="Traditional Arabic" w:hint="cs"/>
          <w:sz w:val="30"/>
          <w:szCs w:val="30"/>
          <w:rtl/>
        </w:rPr>
        <w:t xml:space="preserve">، </w:t>
      </w:r>
      <w:r w:rsidRPr="008C78CA">
        <w:rPr>
          <w:rFonts w:ascii="Traditional Arabic" w:hAnsi="Traditional Arabic" w:cs="Traditional Arabic"/>
          <w:sz w:val="30"/>
          <w:szCs w:val="30"/>
          <w:rtl/>
        </w:rPr>
        <w:t xml:space="preserve">وبعد الطرح مباشرة، سيواصل الاحتفاظ بما لا يقل عن </w:t>
      </w:r>
      <w:r w:rsidR="0028317B">
        <w:rPr>
          <w:rFonts w:ascii="Traditional Arabic" w:hAnsi="Traditional Arabic" w:cs="Traditional Arabic" w:hint="cs"/>
          <w:sz w:val="30"/>
          <w:szCs w:val="30"/>
          <w:rtl/>
        </w:rPr>
        <w:t>79</w:t>
      </w:r>
      <w:r w:rsidRPr="008C78CA">
        <w:rPr>
          <w:rFonts w:ascii="Traditional Arabic" w:hAnsi="Traditional Arabic" w:cs="Traditional Arabic"/>
          <w:sz w:val="30"/>
          <w:szCs w:val="30"/>
          <w:rtl/>
        </w:rPr>
        <w:t xml:space="preserve">% من الأسهم على افتراض أنه سبيع جميع الأسهم المطروحة في عملية الطرح وعدم زيادة حجم الطرح. ونتيجة لذلك، </w:t>
      </w:r>
      <w:r w:rsidR="00D44194">
        <w:rPr>
          <w:rFonts w:ascii="Traditional Arabic" w:hAnsi="Traditional Arabic" w:cs="Traditional Arabic" w:hint="cs"/>
          <w:sz w:val="30"/>
          <w:szCs w:val="30"/>
          <w:rtl/>
        </w:rPr>
        <w:t>سيستمر المساهم البائع</w:t>
      </w:r>
      <w:r w:rsidRPr="008C78CA">
        <w:rPr>
          <w:rFonts w:ascii="Traditional Arabic" w:hAnsi="Traditional Arabic" w:cs="Traditional Arabic"/>
          <w:sz w:val="30"/>
          <w:szCs w:val="30"/>
          <w:rtl/>
        </w:rPr>
        <w:t xml:space="preserve"> في ممارسة السيطرة على إدارة الشركة وعملياتها، وعلى الأمور التي تتطلب موافقة المساهمين، مثل ما يتعلق بدفع أرباح الأسهم وانتخاب أعضاء مجلس الإدارة وغيرها من المسائل. ولا يوجد ما يضمن بأن مصالح </w:t>
      </w:r>
      <w:r w:rsidR="00495FAB">
        <w:rPr>
          <w:rFonts w:ascii="Traditional Arabic" w:hAnsi="Traditional Arabic" w:cs="Traditional Arabic" w:hint="cs"/>
          <w:sz w:val="30"/>
          <w:szCs w:val="30"/>
          <w:rtl/>
        </w:rPr>
        <w:t>المساهم البائع</w:t>
      </w:r>
      <w:r w:rsidRPr="008C78CA">
        <w:rPr>
          <w:rFonts w:ascii="Traditional Arabic" w:hAnsi="Traditional Arabic" w:cs="Traditional Arabic"/>
          <w:sz w:val="30"/>
          <w:szCs w:val="30"/>
          <w:rtl/>
        </w:rPr>
        <w:t xml:space="preserve"> والحكومة ستتطابق مع مصالح مشتري الأسهم. على سبيل المثال، قد تتأثر القرارات التي </w:t>
      </w:r>
      <w:r w:rsidR="0019795E">
        <w:rPr>
          <w:rFonts w:ascii="Traditional Arabic" w:hAnsi="Traditional Arabic" w:cs="Traditional Arabic" w:hint="cs"/>
          <w:sz w:val="30"/>
          <w:szCs w:val="30"/>
          <w:rtl/>
        </w:rPr>
        <w:t>ي</w:t>
      </w:r>
      <w:r w:rsidR="00DA1D11">
        <w:rPr>
          <w:rFonts w:ascii="Traditional Arabic" w:hAnsi="Traditional Arabic" w:cs="Traditional Arabic" w:hint="cs"/>
          <w:sz w:val="30"/>
          <w:szCs w:val="30"/>
          <w:rtl/>
        </w:rPr>
        <w:t xml:space="preserve">تخذها </w:t>
      </w:r>
      <w:r w:rsidR="00495FAB">
        <w:rPr>
          <w:rFonts w:ascii="Traditional Arabic" w:hAnsi="Traditional Arabic" w:cs="Traditional Arabic" w:hint="cs"/>
          <w:sz w:val="30"/>
          <w:szCs w:val="30"/>
          <w:rtl/>
        </w:rPr>
        <w:t>المساهم البائع</w:t>
      </w:r>
      <w:r w:rsidR="00DA1D11">
        <w:rPr>
          <w:rFonts w:ascii="Traditional Arabic" w:hAnsi="Traditional Arabic" w:cs="Traditional Arabic" w:hint="cs"/>
          <w:sz w:val="30"/>
          <w:szCs w:val="30"/>
          <w:rtl/>
        </w:rPr>
        <w:t xml:space="preserve"> </w:t>
      </w:r>
      <w:r w:rsidRPr="008C78CA">
        <w:rPr>
          <w:rFonts w:ascii="Traditional Arabic" w:hAnsi="Traditional Arabic" w:cs="Traditional Arabic"/>
          <w:sz w:val="30"/>
          <w:szCs w:val="30"/>
          <w:rtl/>
        </w:rPr>
        <w:t xml:space="preserve">بالحاجة إلى النظر في الفائدة الاجتماعية التي تعود من أي استثمار على سلطنة عُمان وعلى مواطنيها أو بالنظر إلى عوامل أخرى، ومنها: قدرة </w:t>
      </w:r>
      <w:r w:rsidR="0019795E">
        <w:rPr>
          <w:rFonts w:ascii="Traditional Arabic" w:hAnsi="Traditional Arabic" w:cs="Traditional Arabic" w:hint="cs"/>
          <w:sz w:val="30"/>
          <w:szCs w:val="30"/>
          <w:rtl/>
        </w:rPr>
        <w:t>المساهم البائع</w:t>
      </w:r>
      <w:r w:rsidRPr="008C78CA">
        <w:rPr>
          <w:rFonts w:ascii="Traditional Arabic" w:hAnsi="Traditional Arabic" w:cs="Traditional Arabic"/>
          <w:sz w:val="30"/>
          <w:szCs w:val="30"/>
          <w:rtl/>
        </w:rPr>
        <w:t xml:space="preserve"> على توليد أرباح أو عوائد أخرى للمساهمين. وفي غياب أي قيود محددة على الاستثمار، بما في ذلك القيود الموضوعة للتخفيف من مخاطر الاستثمار المحتملة الأخرى، قد يتبين أن هذه القرارات أكثر خطورة أو أقل ربحية من القرارات التي كان من الممكن اتخاذها.</w:t>
      </w:r>
      <w:r w:rsidR="00792D91">
        <w:rPr>
          <w:rFonts w:ascii="Traditional Arabic" w:hAnsi="Traditional Arabic" w:cs="Traditional Arabic" w:hint="cs"/>
          <w:sz w:val="30"/>
          <w:szCs w:val="30"/>
          <w:rtl/>
        </w:rPr>
        <w:t xml:space="preserve"> </w:t>
      </w:r>
      <w:r w:rsidRPr="008C78CA">
        <w:rPr>
          <w:rFonts w:ascii="Traditional Arabic" w:hAnsi="Traditional Arabic" w:cs="Traditional Arabic"/>
          <w:sz w:val="30"/>
          <w:szCs w:val="30"/>
          <w:rtl/>
        </w:rPr>
        <w:t xml:space="preserve">بالإضافة إلى ذلك، لم </w:t>
      </w:r>
      <w:r w:rsidR="00296497">
        <w:rPr>
          <w:rFonts w:ascii="Traditional Arabic" w:hAnsi="Traditional Arabic" w:cs="Traditional Arabic" w:hint="cs"/>
          <w:sz w:val="30"/>
          <w:szCs w:val="30"/>
          <w:rtl/>
        </w:rPr>
        <w:t>يلتزم المساهم البائع</w:t>
      </w:r>
      <w:r w:rsidRPr="008C78CA">
        <w:rPr>
          <w:rFonts w:ascii="Traditional Arabic" w:hAnsi="Traditional Arabic" w:cs="Traditional Arabic"/>
          <w:sz w:val="30"/>
          <w:szCs w:val="30"/>
          <w:rtl/>
        </w:rPr>
        <w:t xml:space="preserve"> ولا الحكومة بتقديم أي دعم مالي أو أي دعم آخر </w:t>
      </w:r>
      <w:r w:rsidRPr="008C78CA">
        <w:rPr>
          <w:rFonts w:ascii="Traditional Arabic" w:hAnsi="Traditional Arabic" w:cs="Traditional Arabic"/>
          <w:sz w:val="30"/>
          <w:szCs w:val="30"/>
          <w:rtl/>
        </w:rPr>
        <w:lastRenderedPageBreak/>
        <w:t xml:space="preserve">للشركة. علاوة على ذلك، يشغل بعض </w:t>
      </w:r>
      <w:r w:rsidR="00FA02AA">
        <w:rPr>
          <w:rFonts w:ascii="Traditional Arabic" w:hAnsi="Traditional Arabic" w:cs="Traditional Arabic" w:hint="cs"/>
          <w:sz w:val="30"/>
          <w:szCs w:val="30"/>
          <w:rtl/>
        </w:rPr>
        <w:t xml:space="preserve">المديرين وبعض </w:t>
      </w:r>
      <w:r w:rsidRPr="008C78CA">
        <w:rPr>
          <w:rFonts w:ascii="Traditional Arabic" w:hAnsi="Traditional Arabic" w:cs="Traditional Arabic"/>
          <w:sz w:val="30"/>
          <w:szCs w:val="30"/>
          <w:rtl/>
        </w:rPr>
        <w:t xml:space="preserve">أعضاء مجلس الإدارة مناصب الإدارة العليا في </w:t>
      </w:r>
      <w:r w:rsidR="00FA02AA">
        <w:rPr>
          <w:rFonts w:ascii="Traditional Arabic" w:hAnsi="Traditional Arabic" w:cs="Traditional Arabic" w:hint="cs"/>
          <w:sz w:val="30"/>
          <w:szCs w:val="30"/>
          <w:rtl/>
        </w:rPr>
        <w:t>المساهم البائع</w:t>
      </w:r>
      <w:r w:rsidRPr="008C78CA">
        <w:rPr>
          <w:rFonts w:ascii="Traditional Arabic" w:hAnsi="Traditional Arabic" w:cs="Traditional Arabic"/>
          <w:sz w:val="30"/>
          <w:szCs w:val="30"/>
          <w:rtl/>
        </w:rPr>
        <w:t xml:space="preserve"> أو في شركات أخرى ضمن </w:t>
      </w:r>
      <w:r w:rsidR="00FA02AA">
        <w:rPr>
          <w:rFonts w:ascii="Traditional Arabic" w:hAnsi="Traditional Arabic" w:cs="Traditional Arabic" w:hint="cs"/>
          <w:sz w:val="30"/>
          <w:szCs w:val="30"/>
          <w:rtl/>
        </w:rPr>
        <w:t>شركة أسياد</w:t>
      </w:r>
      <w:r w:rsidRPr="008C78CA">
        <w:rPr>
          <w:rFonts w:ascii="Traditional Arabic" w:hAnsi="Traditional Arabic" w:cs="Traditional Arabic"/>
          <w:sz w:val="30"/>
          <w:szCs w:val="30"/>
          <w:rtl/>
        </w:rPr>
        <w:t xml:space="preserve">، وقد تختلف مصالح هؤلاء الأعضاء أو </w:t>
      </w:r>
      <w:r w:rsidR="00792D91">
        <w:rPr>
          <w:rFonts w:ascii="Traditional Arabic" w:hAnsi="Traditional Arabic" w:cs="Traditional Arabic" w:hint="cs"/>
          <w:sz w:val="30"/>
          <w:szCs w:val="30"/>
          <w:rtl/>
        </w:rPr>
        <w:t>المساهم البائع</w:t>
      </w:r>
      <w:r w:rsidRPr="008C78CA">
        <w:rPr>
          <w:rFonts w:ascii="Traditional Arabic" w:hAnsi="Traditional Arabic" w:cs="Traditional Arabic"/>
          <w:sz w:val="30"/>
          <w:szCs w:val="30"/>
          <w:rtl/>
        </w:rPr>
        <w:t xml:space="preserve"> عن مصالح المستثمرين الجدد. </w:t>
      </w:r>
    </w:p>
    <w:p w14:paraId="1A4850D4" w14:textId="77777777" w:rsidR="006772B1" w:rsidRDefault="006772B1" w:rsidP="006772B1">
      <w:pPr>
        <w:bidi/>
        <w:spacing w:beforeLines="40" w:before="96" w:afterLines="40" w:after="96" w:line="276" w:lineRule="auto"/>
        <w:jc w:val="both"/>
        <w:rPr>
          <w:rFonts w:ascii="Traditional Arabic" w:hAnsi="Traditional Arabic" w:cs="Traditional Arabic"/>
          <w:sz w:val="30"/>
          <w:szCs w:val="30"/>
          <w:rtl/>
        </w:rPr>
      </w:pPr>
      <w:r w:rsidRPr="008C78CA">
        <w:rPr>
          <w:rFonts w:ascii="Traditional Arabic" w:hAnsi="Traditional Arabic" w:cs="Traditional Arabic"/>
          <w:sz w:val="30"/>
          <w:szCs w:val="30"/>
          <w:rtl/>
        </w:rPr>
        <w:t xml:space="preserve">علاوة على ذلك، قد تؤدي ملكية </w:t>
      </w:r>
      <w:r w:rsidR="00792D91">
        <w:rPr>
          <w:rFonts w:ascii="Traditional Arabic" w:hAnsi="Traditional Arabic" w:cs="Traditional Arabic" w:hint="cs"/>
          <w:sz w:val="30"/>
          <w:szCs w:val="30"/>
          <w:rtl/>
        </w:rPr>
        <w:t>المساهم البائع</w:t>
      </w:r>
      <w:r w:rsidRPr="008C78CA">
        <w:rPr>
          <w:rFonts w:ascii="Traditional Arabic" w:hAnsi="Traditional Arabic" w:cs="Traditional Arabic"/>
          <w:sz w:val="30"/>
          <w:szCs w:val="30"/>
          <w:rtl/>
        </w:rPr>
        <w:t xml:space="preserve"> الكبيرة بعد إجراءات الطرح مباشرة إلى: (أ) تأخير أو عرقلة تغيير السيطرة على الشركة (بما في ذلك منع الغير من تقديم عرض استحواذ للشركة)؛ (ب) حرمان المساهمين من فرصة الحصول على علاوة على أسهمهم كجزء من بيع الشركة؛ و(ج) التأثير على سيولة الأسهم، وكل منها يمكن أن يكون له تأثير سلبي جوهري على السعر السوقي للأسهم. فعند التفكير في الاستثمار في الأسهم، يجب ألا يفترض المستثمر أن المساهم الذي له القدرة على ممارسة السيطرة في الشركة سيسترشد بمصالح جميع المساهمين. </w:t>
      </w:r>
    </w:p>
    <w:p w14:paraId="63518318"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lang w:bidi="ar-EG"/>
        </w:rPr>
      </w:pPr>
    </w:p>
    <w:p w14:paraId="491F24C2" w14:textId="77777777" w:rsidR="006772B1" w:rsidRPr="008C78CA" w:rsidRDefault="00822636" w:rsidP="00272B36">
      <w:pPr>
        <w:pStyle w:val="Heading5"/>
        <w:numPr>
          <w:ilvl w:val="0"/>
          <w:numId w:val="0"/>
        </w:numPr>
        <w:bidi/>
        <w:spacing w:beforeLines="40" w:before="96" w:afterLines="40" w:after="96" w:line="276" w:lineRule="auto"/>
        <w:jc w:val="both"/>
      </w:pPr>
      <w:bookmarkStart w:id="3" w:name="_Hlk178799574"/>
      <w:r>
        <w:rPr>
          <w:rFonts w:ascii="Traditional Arabic" w:hAnsi="Traditional Arabic" w:cs="Traditional Arabic" w:hint="cs"/>
          <w:bCs/>
          <w:sz w:val="30"/>
          <w:szCs w:val="30"/>
          <w:rtl/>
        </w:rPr>
        <w:t xml:space="preserve">50. </w:t>
      </w:r>
      <w:r w:rsidR="006772B1" w:rsidRPr="00E75BDA">
        <w:rPr>
          <w:rFonts w:ascii="Traditional Arabic" w:hAnsi="Traditional Arabic" w:cs="Traditional Arabic"/>
          <w:bCs/>
          <w:sz w:val="30"/>
          <w:szCs w:val="30"/>
          <w:rtl/>
        </w:rPr>
        <w:t xml:space="preserve">تتم </w:t>
      </w:r>
      <w:r w:rsidR="006772B1" w:rsidRPr="00155ABB">
        <w:rPr>
          <w:rFonts w:ascii="Traditional Arabic" w:hAnsi="Traditional Arabic" w:cs="Traditional Arabic"/>
          <w:b w:val="0"/>
          <w:bCs/>
          <w:i w:val="0"/>
          <w:sz w:val="30"/>
          <w:szCs w:val="30"/>
          <w:rtl/>
        </w:rPr>
        <w:t>التسوية</w:t>
      </w:r>
      <w:r w:rsidR="006772B1" w:rsidRPr="00E75BDA">
        <w:rPr>
          <w:rFonts w:ascii="Traditional Arabic" w:hAnsi="Traditional Arabic" w:cs="Traditional Arabic"/>
          <w:bCs/>
          <w:sz w:val="30"/>
          <w:szCs w:val="30"/>
          <w:rtl/>
        </w:rPr>
        <w:t xml:space="preserve"> خلال سبعة أيام عمل قبل إدراج الأسهم في بورصة مسقط، وقد لا يكون طلب إدراج الأسهم في بورصة مسقط ناجحا.</w:t>
      </w:r>
      <w:bookmarkEnd w:id="3"/>
    </w:p>
    <w:p w14:paraId="4AD1F5AD" w14:textId="0C9FCF06"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Pr>
      </w:pPr>
      <w:r w:rsidRPr="008C78CA">
        <w:rPr>
          <w:rFonts w:ascii="Traditional Arabic" w:hAnsi="Traditional Arabic" w:cs="Traditional Arabic"/>
          <w:sz w:val="30"/>
          <w:szCs w:val="30"/>
          <w:rtl/>
        </w:rPr>
        <w:t>من المتوقع أن يكون تاريخ تسوية الطرح في</w:t>
      </w:r>
      <w:r w:rsidR="00197979">
        <w:rPr>
          <w:rFonts w:ascii="Traditional Arabic" w:hAnsi="Traditional Arabic" w:cs="Traditional Arabic" w:hint="cs"/>
          <w:sz w:val="30"/>
          <w:szCs w:val="30"/>
          <w:rtl/>
        </w:rPr>
        <w:t xml:space="preserve"> </w:t>
      </w:r>
      <w:r w:rsidR="00B03A89">
        <w:rPr>
          <w:rFonts w:ascii="Traditional Arabic" w:hAnsi="Traditional Arabic" w:cs="Traditional Arabic" w:hint="cs"/>
          <w:sz w:val="30"/>
          <w:szCs w:val="30"/>
          <w:rtl/>
        </w:rPr>
        <w:t xml:space="preserve">10 </w:t>
      </w:r>
      <w:r w:rsidR="00197979">
        <w:rPr>
          <w:rFonts w:ascii="Traditional Arabic" w:hAnsi="Traditional Arabic" w:cs="Traditional Arabic" w:hint="cs"/>
          <w:sz w:val="30"/>
          <w:szCs w:val="30"/>
          <w:rtl/>
        </w:rPr>
        <w:t xml:space="preserve">مارس 2025 </w:t>
      </w:r>
      <w:r w:rsidRPr="008C78CA">
        <w:rPr>
          <w:rFonts w:ascii="Traditional Arabic" w:hAnsi="Traditional Arabic" w:cs="Traditional Arabic"/>
          <w:sz w:val="30"/>
          <w:szCs w:val="30"/>
          <w:rtl/>
        </w:rPr>
        <w:t>تقريبا، و</w:t>
      </w:r>
      <w:r w:rsidR="00E20112">
        <w:rPr>
          <w:rFonts w:ascii="Traditional Arabic" w:hAnsi="Traditional Arabic" w:cs="Traditional Arabic" w:hint="cs"/>
          <w:sz w:val="30"/>
          <w:szCs w:val="30"/>
          <w:rtl/>
        </w:rPr>
        <w:t xml:space="preserve">سيطلب من جميع المستثمرين </w:t>
      </w:r>
      <w:r w:rsidRPr="008C78CA">
        <w:rPr>
          <w:rFonts w:ascii="Traditional Arabic" w:hAnsi="Traditional Arabic" w:cs="Traditional Arabic"/>
          <w:sz w:val="30"/>
          <w:szCs w:val="30"/>
          <w:rtl/>
        </w:rPr>
        <w:t xml:space="preserve">سداد كامل قيمة الأسهم قبل هذا التاريخ. ومع ذلك، تتوقع الشركة أن يكون تاريخ الإدراج في </w:t>
      </w:r>
      <w:r w:rsidR="00B03A89">
        <w:rPr>
          <w:rFonts w:ascii="Traditional Arabic" w:hAnsi="Traditional Arabic" w:cs="Traditional Arabic" w:hint="cs"/>
          <w:sz w:val="30"/>
          <w:szCs w:val="30"/>
          <w:rtl/>
        </w:rPr>
        <w:t xml:space="preserve">12 </w:t>
      </w:r>
      <w:r w:rsidR="00197979">
        <w:rPr>
          <w:rFonts w:ascii="Traditional Arabic" w:hAnsi="Traditional Arabic" w:cs="Traditional Arabic" w:hint="cs"/>
          <w:sz w:val="30"/>
          <w:szCs w:val="30"/>
          <w:rtl/>
        </w:rPr>
        <w:t>مارس 2025</w:t>
      </w:r>
      <w:r w:rsidR="00C070AA" w:rsidRPr="008C78CA">
        <w:rPr>
          <w:rFonts w:ascii="Traditional Arabic" w:hAnsi="Traditional Arabic" w:cs="Traditional Arabic"/>
          <w:sz w:val="30"/>
          <w:szCs w:val="30"/>
          <w:rtl/>
        </w:rPr>
        <w:t xml:space="preserve">. </w:t>
      </w:r>
      <w:r w:rsidRPr="008C78CA">
        <w:rPr>
          <w:rFonts w:ascii="Traditional Arabic" w:hAnsi="Traditional Arabic" w:cs="Traditional Arabic"/>
          <w:sz w:val="30"/>
          <w:szCs w:val="30"/>
          <w:rtl/>
        </w:rPr>
        <w:t xml:space="preserve">ولا يمكن بأي حال من الأحوال تداول الأسهم في السوق قبل تاريخ الإدراج، وبالتالي، لن يتمكن المستثمرون من بيع أسهمهم استجابة للأحوال والأوضاع التي قد تؤثر على الشركة أو على أعمالها أو على الأسواق المالية في تلك الفترة. وبناء عليه، لن يعرف المستثمرون في تاريخ التسوية ما إذا كان سيتم الموافقة على طلب الإدراج. وإذا لم يتم التسجيل في غضون سبعة أيام </w:t>
      </w:r>
      <w:r w:rsidR="000B0809">
        <w:rPr>
          <w:rFonts w:ascii="Traditional Arabic" w:hAnsi="Traditional Arabic" w:cs="Traditional Arabic" w:hint="cs"/>
          <w:sz w:val="30"/>
          <w:szCs w:val="30"/>
          <w:rtl/>
        </w:rPr>
        <w:t xml:space="preserve">عمل </w:t>
      </w:r>
      <w:r w:rsidRPr="008C78CA">
        <w:rPr>
          <w:rFonts w:ascii="Traditional Arabic" w:hAnsi="Traditional Arabic" w:cs="Traditional Arabic"/>
          <w:sz w:val="30"/>
          <w:szCs w:val="30"/>
          <w:rtl/>
        </w:rPr>
        <w:t xml:space="preserve">من تاريخ الإدراج المقترح، فعندئذ (1) ينتهي الطرح تلقائيا، (2) سيتوجب على </w:t>
      </w:r>
      <w:r w:rsidR="00C070AA">
        <w:rPr>
          <w:rFonts w:ascii="Traditional Arabic" w:hAnsi="Traditional Arabic" w:cs="Traditional Arabic" w:hint="cs"/>
          <w:sz w:val="30"/>
          <w:szCs w:val="30"/>
          <w:rtl/>
        </w:rPr>
        <w:t>المساهم البائع</w:t>
      </w:r>
      <w:r w:rsidRPr="008C78CA">
        <w:rPr>
          <w:rFonts w:ascii="Traditional Arabic" w:hAnsi="Traditional Arabic" w:cs="Traditional Arabic"/>
          <w:sz w:val="30"/>
          <w:szCs w:val="30"/>
          <w:rtl/>
        </w:rPr>
        <w:t xml:space="preserve"> رد جميع الأموال المستلمة من المستثمرين، و(3) سيطلب من المستثمرين الذين اشتروا الأسهم في الطرح إعادة الأسهم التي اشتروها إلى </w:t>
      </w:r>
      <w:r w:rsidR="00C070AA">
        <w:rPr>
          <w:rFonts w:ascii="Traditional Arabic" w:hAnsi="Traditional Arabic" w:cs="Traditional Arabic" w:hint="cs"/>
          <w:sz w:val="30"/>
          <w:szCs w:val="30"/>
          <w:rtl/>
        </w:rPr>
        <w:t>المساهم البائع</w:t>
      </w:r>
      <w:r w:rsidRPr="008C78CA">
        <w:rPr>
          <w:rFonts w:ascii="Traditional Arabic" w:hAnsi="Traditional Arabic" w:cs="Traditional Arabic"/>
          <w:sz w:val="30"/>
          <w:szCs w:val="30"/>
          <w:rtl/>
        </w:rPr>
        <w:t>.</w:t>
      </w:r>
    </w:p>
    <w:p w14:paraId="73CAC776"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Pr>
      </w:pPr>
    </w:p>
    <w:p w14:paraId="4552DCFF" w14:textId="716FC1F8" w:rsidR="006772B1" w:rsidRPr="00E75BDA" w:rsidRDefault="00C070AA" w:rsidP="00985281">
      <w:pPr>
        <w:pStyle w:val="Heading5"/>
        <w:numPr>
          <w:ilvl w:val="0"/>
          <w:numId w:val="0"/>
        </w:numPr>
        <w:bidi/>
        <w:spacing w:beforeLines="40" w:before="96" w:afterLines="40" w:after="96" w:line="276" w:lineRule="auto"/>
        <w:jc w:val="both"/>
        <w:rPr>
          <w:rFonts w:ascii="Traditional Arabic" w:hAnsi="Traditional Arabic" w:cs="Traditional Arabic"/>
          <w:b w:val="0"/>
          <w:sz w:val="30"/>
          <w:szCs w:val="30"/>
        </w:rPr>
      </w:pPr>
      <w:r>
        <w:rPr>
          <w:rFonts w:ascii="Traditional Arabic" w:hAnsi="Traditional Arabic" w:cs="Traditional Arabic" w:hint="cs"/>
          <w:bCs/>
          <w:sz w:val="30"/>
          <w:szCs w:val="30"/>
          <w:rtl/>
        </w:rPr>
        <w:t xml:space="preserve">51. </w:t>
      </w:r>
      <w:r w:rsidR="006772B1" w:rsidRPr="00E75BDA">
        <w:rPr>
          <w:rFonts w:ascii="Traditional Arabic" w:hAnsi="Traditional Arabic" w:cs="Traditional Arabic"/>
          <w:bCs/>
          <w:sz w:val="30"/>
          <w:szCs w:val="30"/>
          <w:rtl/>
        </w:rPr>
        <w:t xml:space="preserve">قد </w:t>
      </w:r>
      <w:r w:rsidR="006772B1" w:rsidRPr="00155ABB">
        <w:rPr>
          <w:rFonts w:ascii="Traditional Arabic" w:hAnsi="Traditional Arabic" w:cs="Traditional Arabic"/>
          <w:b w:val="0"/>
          <w:bCs/>
          <w:i w:val="0"/>
          <w:sz w:val="30"/>
          <w:szCs w:val="30"/>
          <w:rtl/>
        </w:rPr>
        <w:t>يكون</w:t>
      </w:r>
      <w:r w:rsidR="006772B1" w:rsidRPr="00E75BDA">
        <w:rPr>
          <w:rFonts w:ascii="Traditional Arabic" w:hAnsi="Traditional Arabic" w:cs="Traditional Arabic"/>
          <w:bCs/>
          <w:sz w:val="30"/>
          <w:szCs w:val="30"/>
          <w:rtl/>
        </w:rPr>
        <w:t xml:space="preserve"> من الصعب على المساهمين تنفيذ الأحكام ضد الشركة في سلطنة عُمان، أو ضد أعضاء مجلس إدارة الشركة.</w:t>
      </w:r>
    </w:p>
    <w:p w14:paraId="16F50878"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tl/>
        </w:rPr>
      </w:pPr>
      <w:r w:rsidRPr="008C78CA">
        <w:rPr>
          <w:rFonts w:ascii="Traditional Arabic" w:hAnsi="Traditional Arabic" w:cs="Traditional Arabic"/>
          <w:sz w:val="30"/>
          <w:szCs w:val="30"/>
          <w:rtl/>
        </w:rPr>
        <w:t xml:space="preserve">إن الشركة في طور التحول إلى شركة مساهمة عامة في سلطنة عُمان </w:t>
      </w:r>
      <w:r w:rsidR="007752CA" w:rsidRPr="008C78CA">
        <w:rPr>
          <w:rFonts w:ascii="Traditional Arabic" w:hAnsi="Traditional Arabic" w:cs="Traditional Arabic"/>
          <w:sz w:val="30"/>
          <w:szCs w:val="30"/>
          <w:rtl/>
        </w:rPr>
        <w:t>و</w:t>
      </w:r>
      <w:r w:rsidR="007752CA">
        <w:rPr>
          <w:rFonts w:ascii="Traditional Arabic" w:hAnsi="Traditional Arabic" w:cs="Traditional Arabic" w:hint="cs"/>
          <w:sz w:val="30"/>
          <w:szCs w:val="30"/>
          <w:rtl/>
        </w:rPr>
        <w:t>أغلب</w:t>
      </w:r>
      <w:r w:rsidR="007752CA" w:rsidRPr="008C78CA">
        <w:rPr>
          <w:rFonts w:ascii="Traditional Arabic" w:hAnsi="Traditional Arabic" w:cs="Traditional Arabic"/>
          <w:sz w:val="30"/>
          <w:szCs w:val="30"/>
          <w:rtl/>
        </w:rPr>
        <w:t xml:space="preserve"> </w:t>
      </w:r>
      <w:r w:rsidRPr="008C78CA">
        <w:rPr>
          <w:rFonts w:ascii="Traditional Arabic" w:hAnsi="Traditional Arabic" w:cs="Traditional Arabic"/>
          <w:sz w:val="30"/>
          <w:szCs w:val="30"/>
          <w:rtl/>
        </w:rPr>
        <w:t xml:space="preserve">مديريها وإدارتها يقيمون خارج الولايات المتحدة والمملكة المتحدة والمنطقة الاقتصادية الأوروبية. بالإضافة إلى ذلك، تقع الأصول المادية للشركة وأصول مديريها وإدارتها خارج الولايات المتحدة والمملكة المتحدة والمنطقة الاقتصادية الأوروبية. ونتيجة لذلك، قد لا يكون من الممكن للمستثمرين تنفيذ </w:t>
      </w:r>
      <w:r w:rsidRPr="008C78CA">
        <w:rPr>
          <w:rFonts w:ascii="Traditional Arabic" w:hAnsi="Traditional Arabic" w:cs="Traditional Arabic"/>
          <w:sz w:val="30"/>
          <w:szCs w:val="30"/>
          <w:rtl/>
        </w:rPr>
        <w:lastRenderedPageBreak/>
        <w:t>خدمة الإعلان خارج سلطنة عُمان على الشركة أو مديريها وإدارتها أو تنفيذ الأحكام الصادرة ضدهم في محاكم خارج سلطنة عُمان، بما في ذلك الأحكام المستندة إلى أحكام المسؤولية المدنية المنصوص عليها في قوانين الأوراق المالية في الولايات المتحدة أو المملكة المتحدة أو المنطقة الاقتصادية الأوروبية.</w:t>
      </w:r>
    </w:p>
    <w:p w14:paraId="5152914D"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Pr>
      </w:pPr>
    </w:p>
    <w:p w14:paraId="679D092B" w14:textId="77777777" w:rsidR="006772B1" w:rsidRPr="00E75BDA" w:rsidRDefault="00C070AA" w:rsidP="00985281">
      <w:pPr>
        <w:pStyle w:val="Heading5"/>
        <w:numPr>
          <w:ilvl w:val="0"/>
          <w:numId w:val="0"/>
        </w:numPr>
        <w:bidi/>
        <w:spacing w:beforeLines="40" w:before="96" w:afterLines="40" w:after="96" w:line="276" w:lineRule="auto"/>
        <w:jc w:val="both"/>
        <w:rPr>
          <w:rFonts w:ascii="Traditional Arabic" w:hAnsi="Traditional Arabic" w:cs="Traditional Arabic"/>
          <w:b w:val="0"/>
          <w:sz w:val="30"/>
          <w:szCs w:val="30"/>
        </w:rPr>
      </w:pPr>
      <w:r>
        <w:rPr>
          <w:rFonts w:ascii="Traditional Arabic" w:hAnsi="Traditional Arabic" w:cs="Traditional Arabic" w:hint="cs"/>
          <w:bCs/>
          <w:sz w:val="30"/>
          <w:szCs w:val="30"/>
          <w:rtl/>
        </w:rPr>
        <w:t xml:space="preserve">52. </w:t>
      </w:r>
      <w:r w:rsidR="006772B1" w:rsidRPr="00E75BDA">
        <w:rPr>
          <w:rFonts w:ascii="Traditional Arabic" w:hAnsi="Traditional Arabic" w:cs="Traditional Arabic"/>
          <w:bCs/>
          <w:sz w:val="30"/>
          <w:szCs w:val="30"/>
          <w:rtl/>
        </w:rPr>
        <w:t xml:space="preserve">قد </w:t>
      </w:r>
      <w:r w:rsidR="006772B1" w:rsidRPr="00155ABB">
        <w:rPr>
          <w:rFonts w:ascii="Traditional Arabic" w:hAnsi="Traditional Arabic" w:cs="Traditional Arabic"/>
          <w:b w:val="0"/>
          <w:bCs/>
          <w:i w:val="0"/>
          <w:sz w:val="30"/>
          <w:szCs w:val="30"/>
          <w:rtl/>
        </w:rPr>
        <w:t>يتعرض</w:t>
      </w:r>
      <w:r w:rsidR="006772B1" w:rsidRPr="00E75BDA">
        <w:rPr>
          <w:rFonts w:ascii="Traditional Arabic" w:hAnsi="Traditional Arabic" w:cs="Traditional Arabic"/>
          <w:bCs/>
          <w:sz w:val="30"/>
          <w:szCs w:val="30"/>
          <w:rtl/>
        </w:rPr>
        <w:t xml:space="preserve"> المساهمون غير العُمانيين لمخاطر أسعار الصرف.</w:t>
      </w:r>
    </w:p>
    <w:p w14:paraId="0E759A6E" w14:textId="77777777" w:rsidR="006772B1" w:rsidRPr="008C78CA" w:rsidRDefault="006772B1" w:rsidP="006772B1">
      <w:pPr>
        <w:bidi/>
        <w:spacing w:beforeLines="40" w:before="96" w:afterLines="40" w:after="96" w:line="276" w:lineRule="auto"/>
        <w:jc w:val="both"/>
        <w:rPr>
          <w:rFonts w:ascii="Traditional Arabic" w:hAnsi="Traditional Arabic" w:cs="Traditional Arabic"/>
          <w:sz w:val="30"/>
          <w:szCs w:val="30"/>
          <w:rtl/>
          <w:lang w:bidi="ar-EG"/>
        </w:rPr>
      </w:pPr>
      <w:r w:rsidRPr="008C78CA">
        <w:rPr>
          <w:rFonts w:ascii="Traditional Arabic" w:hAnsi="Traditional Arabic" w:cs="Traditional Arabic"/>
          <w:sz w:val="30"/>
          <w:szCs w:val="30"/>
          <w:rtl/>
        </w:rPr>
        <w:t xml:space="preserve">سيكون سعر العرض مقابل شراء أسهم الطرح بالريال العُماني، وقد تُدفع أرباح الأسهم التي توزعها الشركة بالريال العُماني. ونتيجة لذلك، قد تؤثر التقلبات في قيمة الريال العُماني مقابل العملات الأخرى على قيمة الأسهم وتوزيعات الأرباح عند التحويل إلى هذه العملات الأخرى للمستثمرين خارج سلطنة عُمان. يرجى الاطلاع </w:t>
      </w:r>
      <w:r w:rsidRPr="00E54263">
        <w:rPr>
          <w:rFonts w:ascii="Traditional Arabic" w:hAnsi="Traditional Arabic" w:cs="Traditional Arabic"/>
          <w:sz w:val="30"/>
          <w:szCs w:val="30"/>
          <w:rtl/>
        </w:rPr>
        <w:t xml:space="preserve">على فقرة </w:t>
      </w:r>
      <w:r>
        <w:rPr>
          <w:rFonts w:ascii="Traditional Arabic" w:hAnsi="Traditional Arabic" w:cs="Traditional Arabic" w:hint="cs"/>
          <w:sz w:val="30"/>
          <w:szCs w:val="30"/>
          <w:rtl/>
        </w:rPr>
        <w:t>"</w:t>
      </w:r>
      <w:r w:rsidRPr="00E54263">
        <w:rPr>
          <w:rFonts w:ascii="Traditional Arabic" w:hAnsi="Traditional Arabic" w:cs="Traditional Arabic" w:hint="cs"/>
          <w:sz w:val="30"/>
          <w:szCs w:val="30"/>
          <w:rtl/>
        </w:rPr>
        <w:t>أ</w:t>
      </w:r>
      <w:r w:rsidRPr="00E54263">
        <w:rPr>
          <w:rFonts w:ascii="Traditional Arabic" w:hAnsi="Traditional Arabic" w:cs="Traditional Arabic"/>
          <w:sz w:val="30"/>
          <w:szCs w:val="30"/>
          <w:rtl/>
          <w:lang w:bidi="ar-EG"/>
        </w:rPr>
        <w:t>ي تغيير أو إنهاء لربط العملة العُمانية يمكن أن يؤثر سلبًا على سلطنة عُمان، وقد يكون لذلك تأثير سلبي جوهري على أعمال الشركة</w:t>
      </w:r>
      <w:r>
        <w:rPr>
          <w:rFonts w:ascii="Traditional Arabic" w:hAnsi="Traditional Arabic" w:cs="Traditional Arabic" w:hint="cs"/>
          <w:sz w:val="30"/>
          <w:szCs w:val="30"/>
          <w:rtl/>
          <w:lang w:bidi="ar-EG"/>
        </w:rPr>
        <w:t>".</w:t>
      </w:r>
    </w:p>
    <w:p w14:paraId="50B21F57" w14:textId="77777777" w:rsidR="004515FF" w:rsidRDefault="004515FF" w:rsidP="004515FF">
      <w:pPr>
        <w:bidi/>
        <w:jc w:val="both"/>
        <w:rPr>
          <w:rFonts w:ascii="Traditional Arabic" w:hAnsi="Traditional Arabic" w:cs="Traditional Arabic"/>
          <w:sz w:val="30"/>
          <w:szCs w:val="30"/>
          <w:rtl/>
          <w:lang w:bidi="ar-OM"/>
        </w:rPr>
      </w:pPr>
    </w:p>
    <w:p w14:paraId="5C691AFB" w14:textId="77777777" w:rsidR="004515FF" w:rsidRDefault="004515FF" w:rsidP="004515FF">
      <w:pPr>
        <w:bidi/>
        <w:jc w:val="both"/>
        <w:rPr>
          <w:rFonts w:ascii="Traditional Arabic" w:hAnsi="Traditional Arabic" w:cs="Traditional Arabic"/>
          <w:sz w:val="30"/>
          <w:szCs w:val="30"/>
          <w:rtl/>
          <w:lang w:bidi="ar-OM"/>
        </w:rPr>
      </w:pPr>
    </w:p>
    <w:p w14:paraId="473CE8DF" w14:textId="77777777" w:rsidR="004515FF" w:rsidRDefault="004515FF" w:rsidP="004515FF">
      <w:pPr>
        <w:bidi/>
        <w:jc w:val="both"/>
        <w:rPr>
          <w:rFonts w:ascii="Traditional Arabic" w:hAnsi="Traditional Arabic" w:cs="Traditional Arabic"/>
          <w:sz w:val="30"/>
          <w:szCs w:val="30"/>
          <w:rtl/>
          <w:lang w:bidi="ar-OM"/>
        </w:rPr>
      </w:pPr>
    </w:p>
    <w:p w14:paraId="06BE9D1D" w14:textId="77777777" w:rsidR="004515FF" w:rsidRDefault="004515FF" w:rsidP="004515FF">
      <w:pPr>
        <w:bidi/>
        <w:jc w:val="both"/>
        <w:rPr>
          <w:rFonts w:ascii="Traditional Arabic" w:hAnsi="Traditional Arabic" w:cs="Traditional Arabic"/>
          <w:sz w:val="30"/>
          <w:szCs w:val="30"/>
          <w:rtl/>
          <w:lang w:bidi="ar-OM"/>
        </w:rPr>
      </w:pPr>
    </w:p>
    <w:p w14:paraId="599E1CCD" w14:textId="77777777" w:rsidR="004515FF" w:rsidRDefault="004515FF" w:rsidP="004515FF">
      <w:pPr>
        <w:bidi/>
        <w:jc w:val="both"/>
        <w:rPr>
          <w:rFonts w:ascii="Traditional Arabic" w:hAnsi="Traditional Arabic" w:cs="Traditional Arabic"/>
          <w:sz w:val="30"/>
          <w:szCs w:val="30"/>
          <w:rtl/>
          <w:lang w:bidi="ar-OM"/>
        </w:rPr>
      </w:pPr>
    </w:p>
    <w:p w14:paraId="21C3D850" w14:textId="77777777" w:rsidR="006F732A" w:rsidRDefault="006F732A" w:rsidP="006F732A">
      <w:pPr>
        <w:bidi/>
        <w:jc w:val="both"/>
        <w:rPr>
          <w:rFonts w:ascii="Traditional Arabic" w:hAnsi="Traditional Arabic" w:cs="Traditional Arabic"/>
          <w:sz w:val="30"/>
          <w:szCs w:val="30"/>
          <w:rtl/>
          <w:lang w:bidi="ar-OM"/>
        </w:rPr>
      </w:pPr>
    </w:p>
    <w:p w14:paraId="714E47DB" w14:textId="77777777" w:rsidR="006F732A" w:rsidRDefault="006F732A" w:rsidP="006F732A">
      <w:pPr>
        <w:bidi/>
        <w:jc w:val="both"/>
        <w:rPr>
          <w:rFonts w:ascii="Traditional Arabic" w:hAnsi="Traditional Arabic" w:cs="Traditional Arabic"/>
          <w:sz w:val="30"/>
          <w:szCs w:val="30"/>
          <w:rtl/>
          <w:lang w:bidi="ar-OM"/>
        </w:rPr>
      </w:pPr>
    </w:p>
    <w:p w14:paraId="632791BF" w14:textId="77777777" w:rsidR="006F732A" w:rsidRDefault="006F732A" w:rsidP="006F732A">
      <w:pPr>
        <w:bidi/>
        <w:jc w:val="both"/>
        <w:rPr>
          <w:rFonts w:ascii="Traditional Arabic" w:hAnsi="Traditional Arabic" w:cs="Traditional Arabic"/>
          <w:sz w:val="30"/>
          <w:szCs w:val="30"/>
          <w:rtl/>
          <w:lang w:bidi="ar-OM"/>
        </w:rPr>
      </w:pPr>
    </w:p>
    <w:p w14:paraId="000F2987" w14:textId="77777777" w:rsidR="006F732A" w:rsidRDefault="006F732A" w:rsidP="006F732A">
      <w:pPr>
        <w:bidi/>
        <w:jc w:val="both"/>
        <w:rPr>
          <w:rFonts w:ascii="Traditional Arabic" w:hAnsi="Traditional Arabic" w:cs="Traditional Arabic"/>
          <w:sz w:val="30"/>
          <w:szCs w:val="30"/>
          <w:rtl/>
          <w:lang w:bidi="ar-OM"/>
        </w:rPr>
      </w:pPr>
    </w:p>
    <w:p w14:paraId="60B8CB0D" w14:textId="77777777" w:rsidR="006F732A" w:rsidRDefault="006F732A" w:rsidP="006F732A">
      <w:pPr>
        <w:bidi/>
        <w:jc w:val="both"/>
        <w:rPr>
          <w:rFonts w:ascii="Traditional Arabic" w:hAnsi="Traditional Arabic" w:cs="Traditional Arabic"/>
          <w:sz w:val="30"/>
          <w:szCs w:val="30"/>
          <w:rtl/>
          <w:lang w:bidi="ar-OM"/>
        </w:rPr>
      </w:pPr>
    </w:p>
    <w:p w14:paraId="2C52959B" w14:textId="77777777" w:rsidR="006F732A" w:rsidRDefault="006F732A" w:rsidP="006F732A">
      <w:pPr>
        <w:bidi/>
        <w:jc w:val="both"/>
        <w:rPr>
          <w:rFonts w:ascii="Traditional Arabic" w:hAnsi="Traditional Arabic" w:cs="Traditional Arabic"/>
          <w:sz w:val="30"/>
          <w:szCs w:val="30"/>
          <w:rtl/>
          <w:lang w:bidi="ar-OM"/>
        </w:rPr>
      </w:pPr>
    </w:p>
    <w:p w14:paraId="7742214A" w14:textId="77777777" w:rsidR="006F732A" w:rsidRDefault="006F732A" w:rsidP="006F732A">
      <w:pPr>
        <w:bidi/>
        <w:jc w:val="both"/>
        <w:rPr>
          <w:rFonts w:ascii="Traditional Arabic" w:hAnsi="Traditional Arabic" w:cs="Traditional Arabic"/>
          <w:sz w:val="30"/>
          <w:szCs w:val="30"/>
          <w:rtl/>
          <w:lang w:bidi="ar-OM"/>
        </w:rPr>
      </w:pPr>
    </w:p>
    <w:p w14:paraId="3F0406C0" w14:textId="77777777" w:rsidR="006F732A" w:rsidRDefault="006F732A" w:rsidP="006F732A">
      <w:pPr>
        <w:bidi/>
        <w:jc w:val="both"/>
        <w:rPr>
          <w:rFonts w:ascii="Traditional Arabic" w:hAnsi="Traditional Arabic" w:cs="Traditional Arabic"/>
          <w:sz w:val="30"/>
          <w:szCs w:val="30"/>
          <w:rtl/>
          <w:lang w:bidi="ar-OM"/>
        </w:rPr>
      </w:pPr>
    </w:p>
    <w:p w14:paraId="1883B8C3" w14:textId="77777777" w:rsidR="006F732A" w:rsidRDefault="006F732A" w:rsidP="006F732A">
      <w:pPr>
        <w:bidi/>
        <w:jc w:val="both"/>
        <w:rPr>
          <w:rFonts w:ascii="Traditional Arabic" w:hAnsi="Traditional Arabic" w:cs="Traditional Arabic"/>
          <w:sz w:val="30"/>
          <w:szCs w:val="30"/>
          <w:rtl/>
          <w:lang w:bidi="ar-OM"/>
        </w:rPr>
      </w:pPr>
    </w:p>
    <w:p w14:paraId="1053CF7C" w14:textId="77777777" w:rsidR="006F732A" w:rsidRDefault="006F732A" w:rsidP="006F732A">
      <w:pPr>
        <w:bidi/>
        <w:jc w:val="both"/>
        <w:rPr>
          <w:rFonts w:ascii="Traditional Arabic" w:hAnsi="Traditional Arabic" w:cs="Traditional Arabic"/>
          <w:sz w:val="30"/>
          <w:szCs w:val="30"/>
          <w:rtl/>
          <w:lang w:bidi="ar-OM"/>
        </w:rPr>
      </w:pPr>
    </w:p>
    <w:p w14:paraId="7A4B75D3" w14:textId="77777777" w:rsidR="006F732A" w:rsidRDefault="006F732A" w:rsidP="006F732A">
      <w:pPr>
        <w:bidi/>
        <w:jc w:val="both"/>
        <w:rPr>
          <w:rFonts w:ascii="Traditional Arabic" w:hAnsi="Traditional Arabic" w:cs="Traditional Arabic"/>
          <w:sz w:val="30"/>
          <w:szCs w:val="30"/>
          <w:rtl/>
          <w:lang w:bidi="ar-OM"/>
        </w:rPr>
      </w:pPr>
    </w:p>
    <w:p w14:paraId="3BF41F2E" w14:textId="77777777" w:rsidR="004515FF" w:rsidRDefault="004515FF" w:rsidP="004515FF">
      <w:pPr>
        <w:bidi/>
        <w:jc w:val="both"/>
        <w:rPr>
          <w:rFonts w:ascii="Traditional Arabic" w:hAnsi="Traditional Arabic" w:cs="Traditional Arabic"/>
          <w:sz w:val="30"/>
          <w:szCs w:val="30"/>
          <w:rtl/>
          <w:lang w:bidi="ar-OM"/>
        </w:rPr>
      </w:pPr>
    </w:p>
    <w:p w14:paraId="1F5D078C" w14:textId="77777777" w:rsidR="004515FF" w:rsidRDefault="004515FF" w:rsidP="004515FF">
      <w:pPr>
        <w:bidi/>
        <w:jc w:val="both"/>
        <w:rPr>
          <w:rFonts w:ascii="Traditional Arabic" w:hAnsi="Traditional Arabic" w:cs="Traditional Arabic"/>
          <w:sz w:val="30"/>
          <w:szCs w:val="30"/>
          <w:rtl/>
          <w:lang w:bidi="ar-OM"/>
        </w:rPr>
      </w:pPr>
    </w:p>
    <w:p w14:paraId="4EF7458C" w14:textId="77777777" w:rsidR="00585226" w:rsidRPr="00EB5BCF" w:rsidRDefault="00D435AE"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الفصل الخامس</w:t>
      </w:r>
    </w:p>
    <w:p w14:paraId="7F33F4D5" w14:textId="77777777" w:rsidR="00D435AE" w:rsidRPr="00EB5BCF" w:rsidRDefault="00D435AE"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استخدام عوائد الطرح</w:t>
      </w:r>
    </w:p>
    <w:p w14:paraId="07447B94" w14:textId="77777777" w:rsidR="00D435AE" w:rsidRPr="00EB5BCF" w:rsidRDefault="00D435AE" w:rsidP="00D435AE">
      <w:pPr>
        <w:pStyle w:val="TOC1"/>
        <w:tabs>
          <w:tab w:val="clear" w:pos="9360"/>
          <w:tab w:val="left" w:pos="1772"/>
        </w:tabs>
        <w:bidi/>
        <w:jc w:val="both"/>
        <w:rPr>
          <w:rFonts w:ascii="Traditional Arabic" w:hAnsi="Traditional Arabic" w:cs="Traditional Arabic"/>
          <w:bCs/>
          <w:noProof/>
          <w:sz w:val="30"/>
          <w:szCs w:val="30"/>
          <w:rtl/>
          <w:lang w:val="en-GB"/>
        </w:rPr>
      </w:pPr>
      <w:r w:rsidRPr="00EB5BCF">
        <w:rPr>
          <w:rFonts w:ascii="Traditional Arabic" w:hAnsi="Traditional Arabic" w:cs="Traditional Arabic"/>
          <w:bCs/>
          <w:noProof/>
          <w:sz w:val="30"/>
          <w:szCs w:val="30"/>
          <w:rtl/>
          <w:lang w:val="en-GB"/>
        </w:rPr>
        <w:t>استخدام حصيلة الطرح</w:t>
      </w:r>
    </w:p>
    <w:p w14:paraId="69459B54" w14:textId="77777777" w:rsidR="00D435AE" w:rsidRPr="00EB5BCF" w:rsidRDefault="00D435AE" w:rsidP="00D435AE">
      <w:pPr>
        <w:pStyle w:val="BodyText1"/>
        <w:bidi/>
        <w:spacing w:after="0"/>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 xml:space="preserve">لا </w:t>
      </w:r>
      <w:r w:rsidR="00E50348" w:rsidRPr="00EB5BCF">
        <w:rPr>
          <w:rFonts w:ascii="Traditional Arabic" w:hAnsi="Traditional Arabic" w:cs="Traditional Arabic"/>
          <w:sz w:val="30"/>
          <w:szCs w:val="30"/>
          <w:rtl/>
          <w:lang w:val="en-GB"/>
        </w:rPr>
        <w:t>يمثل</w:t>
      </w:r>
      <w:r w:rsidRPr="00EB5BCF">
        <w:rPr>
          <w:rFonts w:ascii="Traditional Arabic" w:hAnsi="Traditional Arabic" w:cs="Traditional Arabic"/>
          <w:sz w:val="30"/>
          <w:szCs w:val="30"/>
          <w:rtl/>
          <w:lang w:val="en-GB"/>
        </w:rPr>
        <w:t xml:space="preserve"> </w:t>
      </w:r>
      <w:r w:rsidR="00E50348" w:rsidRPr="00EB5BCF">
        <w:rPr>
          <w:rFonts w:ascii="Traditional Arabic" w:hAnsi="Traditional Arabic" w:cs="Traditional Arabic"/>
          <w:sz w:val="30"/>
          <w:szCs w:val="30"/>
          <w:rtl/>
          <w:lang w:val="en-GB"/>
        </w:rPr>
        <w:t>الطرح</w:t>
      </w:r>
      <w:r w:rsidRPr="00EB5BCF">
        <w:rPr>
          <w:rFonts w:ascii="Traditional Arabic" w:hAnsi="Traditional Arabic" w:cs="Traditional Arabic"/>
          <w:sz w:val="30"/>
          <w:szCs w:val="30"/>
          <w:rtl/>
          <w:lang w:val="en-GB"/>
        </w:rPr>
        <w:t xml:space="preserve"> إصدار</w:t>
      </w:r>
      <w:r w:rsidR="00E50348" w:rsidRPr="00EB5BCF">
        <w:rPr>
          <w:rFonts w:ascii="Traditional Arabic" w:hAnsi="Traditional Arabic" w:cs="Traditional Arabic"/>
          <w:sz w:val="30"/>
          <w:szCs w:val="30"/>
          <w:rtl/>
          <w:lang w:val="en-GB"/>
        </w:rPr>
        <w:t>ا</w:t>
      </w:r>
      <w:r w:rsidR="008A425D"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 xml:space="preserve"> </w:t>
      </w:r>
      <w:r w:rsidR="00E50348" w:rsidRPr="00EB5BCF">
        <w:rPr>
          <w:rFonts w:ascii="Traditional Arabic" w:hAnsi="Traditional Arabic" w:cs="Traditional Arabic"/>
          <w:sz w:val="30"/>
          <w:szCs w:val="30"/>
          <w:rtl/>
          <w:lang w:val="en-GB"/>
        </w:rPr>
        <w:t>ل</w:t>
      </w:r>
      <w:r w:rsidRPr="00EB5BCF">
        <w:rPr>
          <w:rFonts w:ascii="Traditional Arabic" w:hAnsi="Traditional Arabic" w:cs="Traditional Arabic"/>
          <w:sz w:val="30"/>
          <w:szCs w:val="30"/>
          <w:rtl/>
          <w:lang w:val="en-GB"/>
        </w:rPr>
        <w:t>أسهم جديدة من قبل الشركة</w:t>
      </w:r>
      <w:r w:rsidR="00BB7FA9"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 xml:space="preserve"> وإنما هي عبارة عن بيع جزء من الأسهم الحالية التي يملكها </w:t>
      </w:r>
      <w:r w:rsidR="00743F5A">
        <w:rPr>
          <w:rFonts w:ascii="Traditional Arabic" w:hAnsi="Traditional Arabic" w:cs="Traditional Arabic"/>
          <w:sz w:val="30"/>
          <w:szCs w:val="30"/>
          <w:rtl/>
          <w:lang w:val="en-GB"/>
        </w:rPr>
        <w:t>المساهم البائع</w:t>
      </w:r>
      <w:r w:rsidRPr="00EB5BCF">
        <w:rPr>
          <w:rFonts w:ascii="Traditional Arabic" w:hAnsi="Traditional Arabic" w:cs="Traditional Arabic"/>
          <w:sz w:val="30"/>
          <w:szCs w:val="30"/>
          <w:rtl/>
          <w:lang w:val="en-GB"/>
        </w:rPr>
        <w:t xml:space="preserve">، وعليه فإن حصيلة بيع هذه الأسهم ستؤول للمساهم البائع ولن تحصل الشركة على شيء من هذه العوائد، على أن </w:t>
      </w:r>
      <w:r w:rsidR="00FD1227" w:rsidRPr="00EB5BCF">
        <w:rPr>
          <w:rFonts w:ascii="Traditional Arabic" w:hAnsi="Traditional Arabic" w:cs="Traditional Arabic"/>
          <w:sz w:val="30"/>
          <w:szCs w:val="30"/>
          <w:rtl/>
          <w:lang w:val="en-GB"/>
        </w:rPr>
        <w:t xml:space="preserve">يدفع </w:t>
      </w:r>
      <w:r w:rsidR="00743F5A">
        <w:rPr>
          <w:rFonts w:ascii="Traditional Arabic" w:hAnsi="Traditional Arabic" w:cs="Traditional Arabic"/>
          <w:sz w:val="30"/>
          <w:szCs w:val="30"/>
          <w:rtl/>
          <w:lang w:val="en-GB"/>
        </w:rPr>
        <w:t>المساهم البائع</w:t>
      </w:r>
      <w:r w:rsidR="00FD1227" w:rsidRPr="00EB5BCF">
        <w:rPr>
          <w:rFonts w:ascii="Traditional Arabic" w:hAnsi="Traditional Arabic" w:cs="Traditional Arabic"/>
          <w:sz w:val="30"/>
          <w:szCs w:val="30"/>
          <w:rtl/>
          <w:lang w:val="en-GB"/>
        </w:rPr>
        <w:t xml:space="preserve"> </w:t>
      </w:r>
      <w:r w:rsidRPr="00EB5BCF">
        <w:rPr>
          <w:rFonts w:ascii="Traditional Arabic" w:hAnsi="Traditional Arabic" w:cs="Traditional Arabic"/>
          <w:sz w:val="30"/>
          <w:szCs w:val="30"/>
          <w:rtl/>
          <w:lang w:val="en-GB"/>
        </w:rPr>
        <w:t>مصاريف الإصدار.</w:t>
      </w:r>
    </w:p>
    <w:p w14:paraId="2E64D90E" w14:textId="77777777" w:rsidR="00FD1227" w:rsidRPr="00EB5BCF" w:rsidRDefault="00FD1227" w:rsidP="00FD1227">
      <w:pPr>
        <w:pStyle w:val="BodyText1"/>
        <w:bidi/>
        <w:spacing w:after="0"/>
        <w:rPr>
          <w:rFonts w:ascii="Traditional Arabic" w:hAnsi="Traditional Arabic" w:cs="Traditional Arabic"/>
          <w:sz w:val="30"/>
          <w:szCs w:val="30"/>
          <w:rtl/>
          <w:lang w:val="en-GB"/>
        </w:rPr>
        <w:sectPr w:rsidR="00FD1227" w:rsidRPr="00EB5BCF">
          <w:pgSz w:w="12240" w:h="15840"/>
          <w:pgMar w:top="1440" w:right="1440" w:bottom="1440" w:left="1440" w:header="720" w:footer="720" w:gutter="0"/>
          <w:cols w:space="720"/>
          <w:docGrid w:linePitch="360"/>
        </w:sectPr>
      </w:pPr>
    </w:p>
    <w:p w14:paraId="6DE7CB5F" w14:textId="77777777" w:rsidR="00585226" w:rsidRPr="00EB5BCF" w:rsidRDefault="00FD1227"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lastRenderedPageBreak/>
        <w:t>الفصل ال</w:t>
      </w:r>
      <w:r w:rsidR="00C16BAC" w:rsidRPr="00EB5BCF">
        <w:rPr>
          <w:rFonts w:ascii="Traditional Arabic" w:hAnsi="Traditional Arabic" w:cs="Traditional Arabic"/>
          <w:b w:val="0"/>
          <w:bCs/>
          <w:sz w:val="30"/>
          <w:szCs w:val="30"/>
          <w:rtl/>
          <w:lang w:bidi="ar-OM"/>
        </w:rPr>
        <w:t>سادس</w:t>
      </w:r>
    </w:p>
    <w:p w14:paraId="7071DAD1" w14:textId="77777777" w:rsidR="00FD1227" w:rsidRPr="00EB5BCF" w:rsidRDefault="00C16BAC"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قيمة الشركة</w:t>
      </w:r>
    </w:p>
    <w:p w14:paraId="5AE485ED" w14:textId="77777777" w:rsidR="008252E9" w:rsidRPr="00EB5BCF" w:rsidRDefault="008252E9" w:rsidP="008252E9">
      <w:pPr>
        <w:pStyle w:val="BodyText1"/>
        <w:bidi/>
        <w:spacing w:after="0"/>
        <w:jc w:val="center"/>
        <w:rPr>
          <w:rFonts w:ascii="Traditional Arabic" w:hAnsi="Traditional Arabic" w:cs="Traditional Arabic"/>
          <w:b/>
          <w:bCs/>
          <w:sz w:val="30"/>
          <w:szCs w:val="30"/>
          <w:rtl/>
          <w:lang w:val="en-GB" w:bidi="ar-OM"/>
        </w:rPr>
      </w:pPr>
    </w:p>
    <w:p w14:paraId="0BF2B4A2" w14:textId="77777777" w:rsidR="001A49EE" w:rsidRPr="00EB5BCF" w:rsidRDefault="001A49EE" w:rsidP="009755DE">
      <w:pPr>
        <w:pStyle w:val="BodyText1"/>
        <w:bidi/>
        <w:spacing w:after="0"/>
        <w:rPr>
          <w:rFonts w:ascii="Traditional Arabic" w:hAnsi="Traditional Arabic" w:cs="Traditional Arabic"/>
          <w:sz w:val="30"/>
          <w:szCs w:val="30"/>
          <w:rtl/>
          <w:lang w:val="en-GB" w:bidi="ar-OM"/>
        </w:rPr>
      </w:pPr>
      <w:r w:rsidRPr="00EB5BCF">
        <w:rPr>
          <w:rFonts w:ascii="Traditional Arabic" w:hAnsi="Traditional Arabic" w:cs="Traditional Arabic"/>
          <w:sz w:val="30"/>
          <w:szCs w:val="30"/>
          <w:rtl/>
          <w:lang w:val="en-GB" w:bidi="ar-OM"/>
        </w:rPr>
        <w:t xml:space="preserve">يجب قراءة المعلومات التالية مع "عرض البيانات المالية والصناعية والسوق"، و "الفصل </w:t>
      </w:r>
      <w:r w:rsidR="00656650">
        <w:rPr>
          <w:rFonts w:ascii="Traditional Arabic" w:hAnsi="Traditional Arabic" w:cs="Traditional Arabic" w:hint="cs"/>
          <w:sz w:val="30"/>
          <w:szCs w:val="30"/>
          <w:rtl/>
          <w:lang w:val="en-GB" w:bidi="ar-OM"/>
        </w:rPr>
        <w:t>الرابع</w:t>
      </w:r>
      <w:r w:rsidR="00656650" w:rsidRPr="00EB5BCF">
        <w:rPr>
          <w:rFonts w:ascii="Traditional Arabic" w:hAnsi="Traditional Arabic" w:cs="Traditional Arabic"/>
          <w:sz w:val="30"/>
          <w:szCs w:val="30"/>
          <w:rtl/>
          <w:lang w:val="en-GB" w:bidi="ar-OM"/>
        </w:rPr>
        <w:t xml:space="preserve"> </w:t>
      </w:r>
      <w:r w:rsidRPr="00EB5BCF">
        <w:rPr>
          <w:rFonts w:ascii="Traditional Arabic" w:hAnsi="Traditional Arabic" w:cs="Traditional Arabic"/>
          <w:sz w:val="30"/>
          <w:szCs w:val="30"/>
          <w:rtl/>
          <w:lang w:val="en-GB" w:bidi="ar-OM"/>
        </w:rPr>
        <w:t xml:space="preserve">عشر </w:t>
      </w:r>
      <w:r w:rsidR="00952E30">
        <w:rPr>
          <w:rFonts w:ascii="Traditional Arabic" w:hAnsi="Traditional Arabic" w:cs="Traditional Arabic"/>
          <w:sz w:val="30"/>
          <w:szCs w:val="30"/>
          <w:rtl/>
          <w:lang w:val="en-GB" w:bidi="ar-OM"/>
        </w:rPr>
        <w:t>–</w:t>
      </w:r>
      <w:r w:rsidRPr="00EB5BCF">
        <w:rPr>
          <w:rFonts w:ascii="Traditional Arabic" w:hAnsi="Traditional Arabic" w:cs="Traditional Arabic"/>
          <w:sz w:val="30"/>
          <w:szCs w:val="30"/>
          <w:rtl/>
          <w:lang w:val="en-GB" w:bidi="ar-OM"/>
        </w:rPr>
        <w:t xml:space="preserve"> </w:t>
      </w:r>
      <w:r w:rsidR="00952E30">
        <w:rPr>
          <w:rFonts w:ascii="Traditional Arabic" w:hAnsi="Traditional Arabic" w:cs="Traditional Arabic" w:hint="cs"/>
          <w:sz w:val="30"/>
          <w:szCs w:val="30"/>
          <w:rtl/>
          <w:lang w:val="en-GB" w:bidi="ar-OM"/>
        </w:rPr>
        <w:t>مناقشة الإدارة وتحليلها للوضع المالي ونتائج الأعمال</w:t>
      </w:r>
      <w:r w:rsidRPr="00EB5BCF">
        <w:rPr>
          <w:rFonts w:ascii="Traditional Arabic" w:hAnsi="Traditional Arabic" w:cs="Traditional Arabic"/>
          <w:sz w:val="30"/>
          <w:szCs w:val="30"/>
          <w:rtl/>
          <w:lang w:val="en-GB" w:bidi="ar-OM"/>
        </w:rPr>
        <w:t>" و</w:t>
      </w:r>
      <w:r w:rsidR="007B041A" w:rsidRPr="00EB5BCF">
        <w:rPr>
          <w:rFonts w:ascii="Traditional Arabic" w:hAnsi="Traditional Arabic" w:cs="Traditional Arabic"/>
          <w:sz w:val="30"/>
          <w:szCs w:val="30"/>
          <w:rtl/>
          <w:lang w:val="en-GB" w:bidi="ar-OM"/>
        </w:rPr>
        <w:t>البيانات المالية</w:t>
      </w:r>
      <w:r w:rsidRPr="00EB5BCF">
        <w:rPr>
          <w:rFonts w:ascii="Traditional Arabic" w:hAnsi="Traditional Arabic" w:cs="Traditional Arabic"/>
          <w:sz w:val="30"/>
          <w:szCs w:val="30"/>
          <w:rtl/>
          <w:lang w:val="en-GB" w:bidi="ar-OM"/>
        </w:rPr>
        <w:t xml:space="preserve">، بما في ذلك </w:t>
      </w:r>
      <w:r w:rsidR="00F809F1">
        <w:rPr>
          <w:rFonts w:ascii="Traditional Arabic" w:hAnsi="Traditional Arabic" w:cs="Traditional Arabic" w:hint="cs"/>
          <w:sz w:val="30"/>
          <w:szCs w:val="30"/>
          <w:rtl/>
          <w:lang w:val="en-GB" w:bidi="ar-OM"/>
        </w:rPr>
        <w:t>الإيضاحات</w:t>
      </w:r>
      <w:r w:rsidR="00F809F1" w:rsidRPr="00EB5BCF">
        <w:rPr>
          <w:rFonts w:ascii="Traditional Arabic" w:hAnsi="Traditional Arabic" w:cs="Traditional Arabic"/>
          <w:sz w:val="30"/>
          <w:szCs w:val="30"/>
          <w:rtl/>
          <w:lang w:val="en-GB" w:bidi="ar-OM"/>
        </w:rPr>
        <w:t xml:space="preserve"> </w:t>
      </w:r>
      <w:r w:rsidR="00F809F1">
        <w:rPr>
          <w:rFonts w:ascii="Traditional Arabic" w:hAnsi="Traditional Arabic" w:cs="Traditional Arabic" w:hint="cs"/>
          <w:sz w:val="30"/>
          <w:szCs w:val="30"/>
          <w:rtl/>
          <w:lang w:val="en-GB" w:bidi="ar-OM"/>
        </w:rPr>
        <w:t xml:space="preserve">ذات الصلة المضمنة في </w:t>
      </w:r>
      <w:r w:rsidRPr="00EB5BCF">
        <w:rPr>
          <w:rFonts w:ascii="Traditional Arabic" w:hAnsi="Traditional Arabic" w:cs="Traditional Arabic"/>
          <w:sz w:val="30"/>
          <w:szCs w:val="30"/>
          <w:rtl/>
          <w:lang w:val="en-GB" w:bidi="ar-OM"/>
        </w:rPr>
        <w:t>هذه النشرة.</w:t>
      </w:r>
    </w:p>
    <w:p w14:paraId="79087507" w14:textId="77777777" w:rsidR="00EC404A" w:rsidRDefault="00EC404A" w:rsidP="009755DE">
      <w:pPr>
        <w:pStyle w:val="BodyText1"/>
        <w:bidi/>
        <w:spacing w:after="0"/>
        <w:rPr>
          <w:rFonts w:ascii="Traditional Arabic" w:hAnsi="Traditional Arabic" w:cs="Traditional Arabic"/>
          <w:sz w:val="30"/>
          <w:szCs w:val="30"/>
          <w:rtl/>
          <w:lang w:val="en-GB" w:bidi="ar-OM"/>
        </w:rPr>
      </w:pPr>
    </w:p>
    <w:p w14:paraId="547E8700" w14:textId="77777777" w:rsidR="009755DE" w:rsidRDefault="00227874" w:rsidP="00EC404A">
      <w:pPr>
        <w:pStyle w:val="BodyText1"/>
        <w:bidi/>
        <w:spacing w:after="0"/>
        <w:rPr>
          <w:rFonts w:ascii="Traditional Arabic" w:hAnsi="Traditional Arabic" w:cs="Traditional Arabic"/>
          <w:sz w:val="30"/>
          <w:szCs w:val="30"/>
          <w:rtl/>
          <w:lang w:val="en-GB" w:bidi="ar-OM"/>
        </w:rPr>
      </w:pPr>
      <w:r w:rsidRPr="00EB5BCF">
        <w:rPr>
          <w:rFonts w:ascii="Traditional Arabic" w:hAnsi="Traditional Arabic" w:cs="Traditional Arabic"/>
          <w:sz w:val="30"/>
          <w:szCs w:val="30"/>
          <w:rtl/>
          <w:lang w:val="en-GB" w:bidi="ar-OM"/>
        </w:rPr>
        <w:t>يوضح الجدول التالي</w:t>
      </w:r>
      <w:r w:rsidR="00657F92">
        <w:rPr>
          <w:rFonts w:ascii="Traditional Arabic" w:hAnsi="Traditional Arabic" w:cs="Traditional Arabic" w:hint="cs"/>
          <w:sz w:val="30"/>
          <w:szCs w:val="30"/>
          <w:rtl/>
          <w:lang w:val="en-GB" w:bidi="ar-OM"/>
        </w:rPr>
        <w:t xml:space="preserve"> المستخرج من البيانات المالية المرحلية النقد وما يعادله</w:t>
      </w:r>
      <w:r w:rsidR="00C12BEE">
        <w:rPr>
          <w:rFonts w:ascii="Traditional Arabic" w:hAnsi="Traditional Arabic" w:cs="Traditional Arabic" w:hint="cs"/>
          <w:sz w:val="30"/>
          <w:szCs w:val="30"/>
          <w:rtl/>
          <w:lang w:val="en-GB" w:bidi="ar-OM"/>
        </w:rPr>
        <w:t xml:space="preserve"> وإجمالي</w:t>
      </w:r>
      <w:r w:rsidRPr="00EB5BCF">
        <w:rPr>
          <w:rFonts w:ascii="Traditional Arabic" w:hAnsi="Traditional Arabic" w:cs="Traditional Arabic"/>
          <w:sz w:val="30"/>
          <w:szCs w:val="30"/>
          <w:rtl/>
          <w:lang w:val="en-GB" w:bidi="ar-OM"/>
        </w:rPr>
        <w:t xml:space="preserve"> قيمة الشركة وذلك حتى تاريخ </w:t>
      </w:r>
      <w:r w:rsidR="007752CA">
        <w:rPr>
          <w:rFonts w:ascii="Traditional Arabic" w:hAnsi="Traditional Arabic" w:cs="Traditional Arabic" w:hint="cs"/>
          <w:sz w:val="30"/>
          <w:szCs w:val="30"/>
          <w:rtl/>
          <w:lang w:val="en-GB" w:bidi="ar-OM"/>
        </w:rPr>
        <w:t xml:space="preserve">30 سبتمبر </w:t>
      </w:r>
      <w:r w:rsidR="00C12BEE">
        <w:rPr>
          <w:rFonts w:ascii="Traditional Arabic" w:hAnsi="Traditional Arabic" w:cs="Traditional Arabic" w:hint="cs"/>
          <w:sz w:val="30"/>
          <w:szCs w:val="30"/>
          <w:rtl/>
          <w:lang w:val="en-GB" w:bidi="ar-OM"/>
        </w:rPr>
        <w:t>2024</w:t>
      </w:r>
      <w:r w:rsidR="00767DAD" w:rsidRPr="00EB5BCF">
        <w:rPr>
          <w:rFonts w:ascii="Traditional Arabic" w:hAnsi="Traditional Arabic" w:cs="Traditional Arabic"/>
          <w:sz w:val="30"/>
          <w:szCs w:val="30"/>
          <w:rtl/>
          <w:lang w:val="en-GB" w:bidi="ar-OM"/>
        </w:rPr>
        <w:t>.</w:t>
      </w:r>
    </w:p>
    <w:p w14:paraId="150DF5C7" w14:textId="77777777" w:rsidR="00BB4A8B" w:rsidRDefault="00BB4A8B" w:rsidP="00BB4A8B">
      <w:pPr>
        <w:pStyle w:val="BodyText1"/>
        <w:bidi/>
        <w:spacing w:after="0"/>
        <w:rPr>
          <w:rFonts w:ascii="Traditional Arabic" w:hAnsi="Traditional Arabic" w:cs="Traditional Arabic"/>
          <w:sz w:val="30"/>
          <w:szCs w:val="30"/>
          <w:rtl/>
          <w:lang w:val="en-GB" w:bidi="ar-OM"/>
        </w:rPr>
      </w:pPr>
    </w:p>
    <w:tbl>
      <w:tblPr>
        <w:bidiVisual/>
        <w:tblW w:w="9048" w:type="dxa"/>
        <w:tblInd w:w="437" w:type="dxa"/>
        <w:tblLayout w:type="fixed"/>
        <w:tblCellMar>
          <w:left w:w="0" w:type="dxa"/>
          <w:right w:w="0" w:type="dxa"/>
        </w:tblCellMar>
        <w:tblLook w:val="0000" w:firstRow="0" w:lastRow="0" w:firstColumn="0" w:lastColumn="0" w:noHBand="0" w:noVBand="0"/>
      </w:tblPr>
      <w:tblGrid>
        <w:gridCol w:w="7396"/>
        <w:gridCol w:w="283"/>
        <w:gridCol w:w="1133"/>
        <w:gridCol w:w="236"/>
      </w:tblGrid>
      <w:tr w:rsidR="007752CA" w:rsidRPr="00B02BA3" w14:paraId="1AAFC4E8" w14:textId="77777777" w:rsidTr="00272B36">
        <w:trPr>
          <w:tblHeader/>
        </w:trPr>
        <w:tc>
          <w:tcPr>
            <w:tcW w:w="7396" w:type="dxa"/>
            <w:vAlign w:val="bottom"/>
          </w:tcPr>
          <w:p w14:paraId="539A808C" w14:textId="77777777" w:rsidR="007752CA" w:rsidRPr="00B02BA3" w:rsidRDefault="007752CA" w:rsidP="007752CA">
            <w:pPr>
              <w:pStyle w:val="CellHead"/>
              <w:bidi/>
            </w:pPr>
          </w:p>
        </w:tc>
        <w:tc>
          <w:tcPr>
            <w:tcW w:w="283" w:type="dxa"/>
            <w:vAlign w:val="bottom"/>
          </w:tcPr>
          <w:p w14:paraId="69426FF8" w14:textId="77777777" w:rsidR="007752CA" w:rsidRPr="00B02BA3" w:rsidRDefault="007752CA" w:rsidP="00922116">
            <w:pPr>
              <w:pStyle w:val="CellRowSpacer"/>
              <w:spacing w:after="120"/>
            </w:pPr>
          </w:p>
        </w:tc>
        <w:tc>
          <w:tcPr>
            <w:tcW w:w="1133" w:type="dxa"/>
            <w:tcBorders>
              <w:bottom w:val="single" w:sz="4" w:space="0" w:color="auto"/>
            </w:tcBorders>
            <w:vAlign w:val="bottom"/>
          </w:tcPr>
          <w:p w14:paraId="34CE79A0" w14:textId="77777777" w:rsidR="007752CA" w:rsidRPr="00B02BA3" w:rsidRDefault="007752CA" w:rsidP="00922116">
            <w:pPr>
              <w:pStyle w:val="CellHead"/>
              <w:jc w:val="right"/>
            </w:pPr>
            <w:r>
              <w:rPr>
                <w:rFonts w:hint="cs"/>
                <w:rtl/>
              </w:rPr>
              <w:t>حتى 30 سبتمبر 2024</w:t>
            </w:r>
          </w:p>
        </w:tc>
        <w:tc>
          <w:tcPr>
            <w:tcW w:w="236" w:type="dxa"/>
            <w:vAlign w:val="bottom"/>
          </w:tcPr>
          <w:p w14:paraId="701CC49E" w14:textId="77777777" w:rsidR="007752CA" w:rsidRPr="00B02BA3" w:rsidRDefault="007752CA" w:rsidP="00922116">
            <w:pPr>
              <w:pStyle w:val="CellRowSpacer"/>
              <w:spacing w:after="120"/>
            </w:pPr>
          </w:p>
        </w:tc>
      </w:tr>
      <w:tr w:rsidR="007752CA" w:rsidRPr="00B02BA3" w14:paraId="5B8DAF5A" w14:textId="77777777" w:rsidTr="00272B36">
        <w:tc>
          <w:tcPr>
            <w:tcW w:w="7396" w:type="dxa"/>
            <w:vAlign w:val="bottom"/>
          </w:tcPr>
          <w:p w14:paraId="6421B426" w14:textId="77777777" w:rsidR="007752CA" w:rsidRPr="00B02BA3" w:rsidRDefault="007752CA" w:rsidP="007752CA">
            <w:pPr>
              <w:pStyle w:val="CellBody"/>
              <w:tabs>
                <w:tab w:val="right" w:leader="dot" w:pos="7404"/>
              </w:tabs>
              <w:bidi/>
            </w:pPr>
          </w:p>
        </w:tc>
        <w:tc>
          <w:tcPr>
            <w:tcW w:w="283" w:type="dxa"/>
            <w:vAlign w:val="bottom"/>
          </w:tcPr>
          <w:p w14:paraId="7C08F4A9" w14:textId="77777777" w:rsidR="007752CA" w:rsidRPr="00B02BA3" w:rsidRDefault="007752CA" w:rsidP="00922116">
            <w:pPr>
              <w:pStyle w:val="CellRowSpacer"/>
            </w:pPr>
          </w:p>
        </w:tc>
        <w:tc>
          <w:tcPr>
            <w:tcW w:w="1133" w:type="dxa"/>
            <w:tcBorders>
              <w:top w:val="single" w:sz="4" w:space="0" w:color="auto"/>
            </w:tcBorders>
            <w:vAlign w:val="bottom"/>
          </w:tcPr>
          <w:p w14:paraId="7E9EF5F2" w14:textId="77777777" w:rsidR="007752CA" w:rsidRPr="00B02BA3" w:rsidRDefault="007752CA" w:rsidP="00922116">
            <w:pPr>
              <w:pStyle w:val="CellBody"/>
              <w:jc w:val="center"/>
              <w:rPr>
                <w:i/>
                <w:iCs/>
              </w:rPr>
            </w:pPr>
            <w:r w:rsidRPr="00B02BA3">
              <w:rPr>
                <w:i/>
                <w:iCs/>
              </w:rPr>
              <w:t>(</w:t>
            </w:r>
            <w:r>
              <w:rPr>
                <w:rFonts w:hint="cs"/>
                <w:i/>
                <w:iCs/>
                <w:rtl/>
              </w:rPr>
              <w:t>مليون ر.ع</w:t>
            </w:r>
            <w:r w:rsidRPr="00B02BA3">
              <w:rPr>
                <w:i/>
                <w:iCs/>
              </w:rPr>
              <w:t>)</w:t>
            </w:r>
          </w:p>
        </w:tc>
        <w:tc>
          <w:tcPr>
            <w:tcW w:w="236" w:type="dxa"/>
            <w:vAlign w:val="bottom"/>
          </w:tcPr>
          <w:p w14:paraId="334E3D2D" w14:textId="77777777" w:rsidR="007752CA" w:rsidRPr="00B02BA3" w:rsidRDefault="007752CA" w:rsidP="00922116">
            <w:pPr>
              <w:pStyle w:val="CellRowSpacer"/>
            </w:pPr>
          </w:p>
        </w:tc>
      </w:tr>
      <w:tr w:rsidR="007752CA" w:rsidRPr="00B02BA3" w14:paraId="690A9A73" w14:textId="77777777" w:rsidTr="00272B36">
        <w:tc>
          <w:tcPr>
            <w:tcW w:w="7396" w:type="dxa"/>
            <w:vAlign w:val="bottom"/>
          </w:tcPr>
          <w:p w14:paraId="658CFEE3" w14:textId="77777777" w:rsidR="007752CA" w:rsidRPr="00B02BA3" w:rsidRDefault="007752CA" w:rsidP="007752CA">
            <w:pPr>
              <w:pStyle w:val="CellBody"/>
              <w:tabs>
                <w:tab w:val="right" w:leader="dot" w:pos="7404"/>
              </w:tabs>
              <w:bidi/>
              <w:rPr>
                <w:b/>
                <w:bCs/>
              </w:rPr>
            </w:pPr>
            <w:r>
              <w:rPr>
                <w:rFonts w:hint="cs"/>
                <w:b/>
                <w:bCs/>
                <w:rtl/>
              </w:rPr>
              <w:t>النقد وما في حكمه</w:t>
            </w:r>
            <w:r w:rsidRPr="00B02BA3">
              <w:rPr>
                <w:b/>
                <w:bCs/>
              </w:rPr>
              <w:tab/>
            </w:r>
          </w:p>
        </w:tc>
        <w:tc>
          <w:tcPr>
            <w:tcW w:w="283" w:type="dxa"/>
            <w:vAlign w:val="bottom"/>
          </w:tcPr>
          <w:p w14:paraId="6D1B3995" w14:textId="77777777" w:rsidR="007752CA" w:rsidRPr="00B02BA3" w:rsidRDefault="007752CA" w:rsidP="00922116">
            <w:pPr>
              <w:pStyle w:val="CellRowSpacer"/>
            </w:pPr>
          </w:p>
        </w:tc>
        <w:tc>
          <w:tcPr>
            <w:tcW w:w="1133" w:type="dxa"/>
            <w:tcBorders>
              <w:top w:val="single" w:sz="4" w:space="0" w:color="auto"/>
              <w:bottom w:val="double" w:sz="4" w:space="0" w:color="auto"/>
            </w:tcBorders>
          </w:tcPr>
          <w:p w14:paraId="487CF147" w14:textId="77777777" w:rsidR="007752CA" w:rsidRPr="00B02BA3" w:rsidRDefault="007752CA" w:rsidP="00922116">
            <w:pPr>
              <w:pStyle w:val="CellBody"/>
              <w:jc w:val="right"/>
            </w:pPr>
            <w:r>
              <w:t>33.3</w:t>
            </w:r>
          </w:p>
        </w:tc>
        <w:tc>
          <w:tcPr>
            <w:tcW w:w="236" w:type="dxa"/>
            <w:vAlign w:val="bottom"/>
          </w:tcPr>
          <w:p w14:paraId="7C411D36" w14:textId="77777777" w:rsidR="007752CA" w:rsidRPr="00B02BA3" w:rsidRDefault="007752CA" w:rsidP="00922116">
            <w:pPr>
              <w:pStyle w:val="CellRowSpacer"/>
            </w:pPr>
          </w:p>
        </w:tc>
      </w:tr>
      <w:tr w:rsidR="007752CA" w:rsidRPr="00B02BA3" w14:paraId="0E56871D" w14:textId="77777777" w:rsidTr="00272B36">
        <w:tc>
          <w:tcPr>
            <w:tcW w:w="7396" w:type="dxa"/>
            <w:vAlign w:val="bottom"/>
          </w:tcPr>
          <w:p w14:paraId="56D4151A" w14:textId="77777777" w:rsidR="007752CA" w:rsidRPr="00B02BA3" w:rsidDel="003475A3" w:rsidRDefault="007752CA" w:rsidP="007752CA">
            <w:pPr>
              <w:pStyle w:val="CellBody"/>
              <w:tabs>
                <w:tab w:val="right" w:leader="dot" w:pos="7404"/>
              </w:tabs>
              <w:bidi/>
              <w:rPr>
                <w:b/>
                <w:bCs/>
              </w:rPr>
            </w:pPr>
          </w:p>
        </w:tc>
        <w:tc>
          <w:tcPr>
            <w:tcW w:w="283" w:type="dxa"/>
            <w:vAlign w:val="bottom"/>
          </w:tcPr>
          <w:p w14:paraId="213A72CB" w14:textId="77777777" w:rsidR="007752CA" w:rsidRPr="00B02BA3" w:rsidRDefault="007752CA" w:rsidP="00922116">
            <w:pPr>
              <w:pStyle w:val="CellRowSpacer"/>
            </w:pPr>
          </w:p>
        </w:tc>
        <w:tc>
          <w:tcPr>
            <w:tcW w:w="1133" w:type="dxa"/>
          </w:tcPr>
          <w:p w14:paraId="5A52A23F" w14:textId="77777777" w:rsidR="007752CA" w:rsidRPr="00B02BA3" w:rsidDel="006D55BC" w:rsidRDefault="007752CA" w:rsidP="00922116">
            <w:pPr>
              <w:pStyle w:val="CellBody"/>
              <w:jc w:val="right"/>
            </w:pPr>
          </w:p>
        </w:tc>
        <w:tc>
          <w:tcPr>
            <w:tcW w:w="236" w:type="dxa"/>
            <w:vAlign w:val="bottom"/>
          </w:tcPr>
          <w:p w14:paraId="2F27362F" w14:textId="77777777" w:rsidR="007752CA" w:rsidRPr="00B02BA3" w:rsidRDefault="007752CA" w:rsidP="00922116">
            <w:pPr>
              <w:pStyle w:val="CellRowSpacer"/>
            </w:pPr>
          </w:p>
        </w:tc>
      </w:tr>
      <w:tr w:rsidR="007752CA" w:rsidRPr="00B02BA3" w14:paraId="6701A265" w14:textId="77777777" w:rsidTr="00272B36">
        <w:tc>
          <w:tcPr>
            <w:tcW w:w="7396" w:type="dxa"/>
            <w:vAlign w:val="bottom"/>
          </w:tcPr>
          <w:p w14:paraId="288A1570" w14:textId="77777777" w:rsidR="007752CA" w:rsidRPr="006D55BC" w:rsidDel="003475A3" w:rsidRDefault="007752CA" w:rsidP="007752CA">
            <w:pPr>
              <w:pStyle w:val="CellBody"/>
              <w:tabs>
                <w:tab w:val="right" w:leader="dot" w:pos="7404"/>
              </w:tabs>
              <w:bidi/>
              <w:rPr>
                <w:b/>
                <w:bCs/>
              </w:rPr>
            </w:pPr>
            <w:r>
              <w:rPr>
                <w:rFonts w:hint="cs"/>
                <w:b/>
                <w:bCs/>
                <w:rtl/>
              </w:rPr>
              <w:t>القروض</w:t>
            </w:r>
          </w:p>
        </w:tc>
        <w:tc>
          <w:tcPr>
            <w:tcW w:w="283" w:type="dxa"/>
            <w:vAlign w:val="bottom"/>
          </w:tcPr>
          <w:p w14:paraId="5465427A" w14:textId="77777777" w:rsidR="007752CA" w:rsidRPr="00B02BA3" w:rsidRDefault="007752CA" w:rsidP="00922116">
            <w:pPr>
              <w:pStyle w:val="CellRowSpacer"/>
            </w:pPr>
          </w:p>
        </w:tc>
        <w:tc>
          <w:tcPr>
            <w:tcW w:w="1133" w:type="dxa"/>
          </w:tcPr>
          <w:p w14:paraId="4BB42586" w14:textId="77777777" w:rsidR="007752CA" w:rsidRPr="00B02BA3" w:rsidDel="006D55BC" w:rsidRDefault="007752CA" w:rsidP="00922116">
            <w:pPr>
              <w:pStyle w:val="CellBody"/>
              <w:jc w:val="right"/>
            </w:pPr>
          </w:p>
        </w:tc>
        <w:tc>
          <w:tcPr>
            <w:tcW w:w="236" w:type="dxa"/>
            <w:vAlign w:val="bottom"/>
          </w:tcPr>
          <w:p w14:paraId="59107266" w14:textId="77777777" w:rsidR="007752CA" w:rsidRPr="00B02BA3" w:rsidRDefault="007752CA" w:rsidP="00922116">
            <w:pPr>
              <w:pStyle w:val="CellRowSpacer"/>
            </w:pPr>
          </w:p>
        </w:tc>
      </w:tr>
      <w:tr w:rsidR="007752CA" w:rsidRPr="00B02BA3" w14:paraId="708E9328" w14:textId="77777777" w:rsidTr="00272B36">
        <w:tc>
          <w:tcPr>
            <w:tcW w:w="7396" w:type="dxa"/>
            <w:vAlign w:val="bottom"/>
          </w:tcPr>
          <w:p w14:paraId="44BFF9BF" w14:textId="77777777" w:rsidR="007752CA" w:rsidRPr="00B02BA3" w:rsidRDefault="007752CA" w:rsidP="007752CA">
            <w:pPr>
              <w:pStyle w:val="CellBody"/>
              <w:tabs>
                <w:tab w:val="right" w:leader="dot" w:pos="7404"/>
              </w:tabs>
              <w:bidi/>
            </w:pPr>
            <w:r>
              <w:rPr>
                <w:rFonts w:hint="cs"/>
                <w:rtl/>
              </w:rPr>
              <w:t xml:space="preserve">القروض والاقتراض </w:t>
            </w:r>
            <w:r>
              <w:rPr>
                <w:rtl/>
              </w:rPr>
              <w:t>–</w:t>
            </w:r>
            <w:r>
              <w:rPr>
                <w:rFonts w:hint="cs"/>
                <w:rtl/>
              </w:rPr>
              <w:t xml:space="preserve"> غير متداول</w:t>
            </w:r>
            <w:r w:rsidRPr="00B02BA3">
              <w:tab/>
            </w:r>
          </w:p>
        </w:tc>
        <w:tc>
          <w:tcPr>
            <w:tcW w:w="283" w:type="dxa"/>
            <w:vAlign w:val="bottom"/>
          </w:tcPr>
          <w:p w14:paraId="13DCF44C" w14:textId="77777777" w:rsidR="007752CA" w:rsidRPr="00B02BA3" w:rsidRDefault="007752CA" w:rsidP="00922116">
            <w:pPr>
              <w:pStyle w:val="CellRowSpacer"/>
            </w:pPr>
          </w:p>
        </w:tc>
        <w:tc>
          <w:tcPr>
            <w:tcW w:w="1133" w:type="dxa"/>
          </w:tcPr>
          <w:p w14:paraId="1E94CE45" w14:textId="77777777" w:rsidR="007752CA" w:rsidRPr="00B02BA3" w:rsidRDefault="007752CA" w:rsidP="00922116">
            <w:pPr>
              <w:pStyle w:val="CellBody"/>
              <w:jc w:val="right"/>
            </w:pPr>
            <w:r>
              <w:t>412.3</w:t>
            </w:r>
          </w:p>
        </w:tc>
        <w:tc>
          <w:tcPr>
            <w:tcW w:w="236" w:type="dxa"/>
            <w:vAlign w:val="bottom"/>
          </w:tcPr>
          <w:p w14:paraId="4DB9EB8E" w14:textId="77777777" w:rsidR="007752CA" w:rsidRPr="00B02BA3" w:rsidRDefault="007752CA" w:rsidP="00922116">
            <w:pPr>
              <w:pStyle w:val="CellRowSpacer"/>
            </w:pPr>
          </w:p>
        </w:tc>
      </w:tr>
      <w:tr w:rsidR="007752CA" w:rsidRPr="00B02BA3" w14:paraId="628C3C86" w14:textId="77777777" w:rsidTr="00272B36">
        <w:tc>
          <w:tcPr>
            <w:tcW w:w="7396" w:type="dxa"/>
          </w:tcPr>
          <w:p w14:paraId="28B046F1" w14:textId="77777777" w:rsidR="007752CA" w:rsidRPr="00B02BA3" w:rsidRDefault="007752CA" w:rsidP="007752CA">
            <w:pPr>
              <w:pStyle w:val="CellBody"/>
              <w:tabs>
                <w:tab w:val="right" w:leader="dot" w:pos="7404"/>
              </w:tabs>
              <w:bidi/>
            </w:pPr>
            <w:r>
              <w:rPr>
                <w:rFonts w:hint="cs"/>
                <w:rtl/>
              </w:rPr>
              <w:t>القروض والاقتراض - متداول</w:t>
            </w:r>
            <w:r w:rsidRPr="00B02BA3">
              <w:tab/>
            </w:r>
          </w:p>
        </w:tc>
        <w:tc>
          <w:tcPr>
            <w:tcW w:w="283" w:type="dxa"/>
            <w:vAlign w:val="bottom"/>
          </w:tcPr>
          <w:p w14:paraId="0D9E4420" w14:textId="77777777" w:rsidR="007752CA" w:rsidRPr="00B02BA3" w:rsidRDefault="007752CA" w:rsidP="00922116">
            <w:pPr>
              <w:pStyle w:val="CellRowSpacer"/>
            </w:pPr>
          </w:p>
        </w:tc>
        <w:tc>
          <w:tcPr>
            <w:tcW w:w="1133" w:type="dxa"/>
          </w:tcPr>
          <w:p w14:paraId="0BA8386D" w14:textId="77777777" w:rsidR="007752CA" w:rsidRPr="00B02BA3" w:rsidRDefault="007752CA" w:rsidP="00922116">
            <w:pPr>
              <w:pStyle w:val="CellBody"/>
              <w:jc w:val="right"/>
            </w:pPr>
            <w:r>
              <w:t>53.4</w:t>
            </w:r>
          </w:p>
        </w:tc>
        <w:tc>
          <w:tcPr>
            <w:tcW w:w="236" w:type="dxa"/>
            <w:vAlign w:val="bottom"/>
          </w:tcPr>
          <w:p w14:paraId="4F8954EF" w14:textId="77777777" w:rsidR="007752CA" w:rsidRPr="00B02BA3" w:rsidRDefault="007752CA" w:rsidP="00922116">
            <w:pPr>
              <w:pStyle w:val="CellRowSpacer"/>
            </w:pPr>
          </w:p>
        </w:tc>
      </w:tr>
      <w:tr w:rsidR="007752CA" w:rsidRPr="00B02BA3" w14:paraId="3EDA5A14" w14:textId="77777777" w:rsidTr="00272B36">
        <w:tc>
          <w:tcPr>
            <w:tcW w:w="7396" w:type="dxa"/>
          </w:tcPr>
          <w:p w14:paraId="38FAC981" w14:textId="77777777" w:rsidR="007752CA" w:rsidRPr="00B02BA3" w:rsidRDefault="007752CA" w:rsidP="007752CA">
            <w:pPr>
              <w:pStyle w:val="CellBody"/>
              <w:tabs>
                <w:tab w:val="right" w:leader="dot" w:pos="7404"/>
              </w:tabs>
              <w:bidi/>
            </w:pPr>
            <w:r>
              <w:rPr>
                <w:rFonts w:hint="cs"/>
                <w:rtl/>
              </w:rPr>
              <w:t xml:space="preserve">التزامات الإيجار </w:t>
            </w:r>
            <w:r>
              <w:rPr>
                <w:rtl/>
              </w:rPr>
              <w:t>–</w:t>
            </w:r>
            <w:r>
              <w:rPr>
                <w:rFonts w:hint="cs"/>
                <w:rtl/>
              </w:rPr>
              <w:t xml:space="preserve"> غير متداولة</w:t>
            </w:r>
            <w:r w:rsidRPr="00B02BA3">
              <w:tab/>
            </w:r>
          </w:p>
        </w:tc>
        <w:tc>
          <w:tcPr>
            <w:tcW w:w="283" w:type="dxa"/>
            <w:vAlign w:val="bottom"/>
          </w:tcPr>
          <w:p w14:paraId="08113820" w14:textId="77777777" w:rsidR="007752CA" w:rsidRPr="00B02BA3" w:rsidRDefault="007752CA" w:rsidP="00922116">
            <w:pPr>
              <w:pStyle w:val="CellRowSpacer"/>
            </w:pPr>
          </w:p>
        </w:tc>
        <w:tc>
          <w:tcPr>
            <w:tcW w:w="1133" w:type="dxa"/>
          </w:tcPr>
          <w:p w14:paraId="17A2EA6F" w14:textId="77777777" w:rsidR="007752CA" w:rsidRPr="00B02BA3" w:rsidRDefault="007752CA" w:rsidP="00922116">
            <w:pPr>
              <w:pStyle w:val="CellBody"/>
              <w:jc w:val="right"/>
            </w:pPr>
            <w:r>
              <w:t>71.9</w:t>
            </w:r>
          </w:p>
        </w:tc>
        <w:tc>
          <w:tcPr>
            <w:tcW w:w="236" w:type="dxa"/>
            <w:vAlign w:val="bottom"/>
          </w:tcPr>
          <w:p w14:paraId="600870C0" w14:textId="77777777" w:rsidR="007752CA" w:rsidRPr="00B02BA3" w:rsidRDefault="007752CA" w:rsidP="00922116">
            <w:pPr>
              <w:pStyle w:val="CellRowSpacer"/>
            </w:pPr>
          </w:p>
        </w:tc>
      </w:tr>
      <w:tr w:rsidR="007752CA" w:rsidRPr="00B02BA3" w14:paraId="67791EB2" w14:textId="77777777" w:rsidTr="00272B36">
        <w:tc>
          <w:tcPr>
            <w:tcW w:w="7396" w:type="dxa"/>
            <w:vAlign w:val="bottom"/>
          </w:tcPr>
          <w:p w14:paraId="59BE936C" w14:textId="77777777" w:rsidR="007752CA" w:rsidRPr="00B02BA3" w:rsidRDefault="007752CA" w:rsidP="007752CA">
            <w:pPr>
              <w:pStyle w:val="CellBody"/>
              <w:tabs>
                <w:tab w:val="right" w:leader="dot" w:pos="7404"/>
              </w:tabs>
              <w:bidi/>
            </w:pPr>
            <w:r>
              <w:rPr>
                <w:rFonts w:hint="cs"/>
                <w:rtl/>
              </w:rPr>
              <w:t xml:space="preserve">التزامات الإيجار </w:t>
            </w:r>
            <w:r>
              <w:rPr>
                <w:rtl/>
              </w:rPr>
              <w:t>–</w:t>
            </w:r>
            <w:r>
              <w:rPr>
                <w:rFonts w:hint="cs"/>
                <w:rtl/>
              </w:rPr>
              <w:t xml:space="preserve">  متداولة</w:t>
            </w:r>
            <w:r w:rsidRPr="00B02BA3">
              <w:tab/>
            </w:r>
          </w:p>
        </w:tc>
        <w:tc>
          <w:tcPr>
            <w:tcW w:w="283" w:type="dxa"/>
            <w:vAlign w:val="bottom"/>
          </w:tcPr>
          <w:p w14:paraId="7F2A6E1F" w14:textId="77777777" w:rsidR="007752CA" w:rsidRPr="00B02BA3" w:rsidRDefault="007752CA" w:rsidP="00922116">
            <w:pPr>
              <w:pStyle w:val="CellRowSpacer"/>
            </w:pPr>
          </w:p>
        </w:tc>
        <w:tc>
          <w:tcPr>
            <w:tcW w:w="1133" w:type="dxa"/>
            <w:tcBorders>
              <w:bottom w:val="single" w:sz="4" w:space="0" w:color="auto"/>
            </w:tcBorders>
          </w:tcPr>
          <w:p w14:paraId="19CF9DF0" w14:textId="77777777" w:rsidR="007752CA" w:rsidRPr="00B02BA3" w:rsidRDefault="00524AAB" w:rsidP="00922116">
            <w:pPr>
              <w:pStyle w:val="CellBody"/>
              <w:jc w:val="right"/>
            </w:pPr>
            <w:r>
              <w:t>79.1</w:t>
            </w:r>
          </w:p>
        </w:tc>
        <w:tc>
          <w:tcPr>
            <w:tcW w:w="236" w:type="dxa"/>
            <w:vAlign w:val="bottom"/>
          </w:tcPr>
          <w:p w14:paraId="4CEAD1A2" w14:textId="77777777" w:rsidR="007752CA" w:rsidRPr="00B02BA3" w:rsidRDefault="007752CA" w:rsidP="00922116">
            <w:pPr>
              <w:pStyle w:val="CellRowSpacer"/>
            </w:pPr>
          </w:p>
        </w:tc>
      </w:tr>
      <w:tr w:rsidR="007752CA" w:rsidRPr="00B02BA3" w14:paraId="0076F1C9" w14:textId="77777777" w:rsidTr="00272B36">
        <w:tc>
          <w:tcPr>
            <w:tcW w:w="7396" w:type="dxa"/>
            <w:vAlign w:val="bottom"/>
          </w:tcPr>
          <w:p w14:paraId="2C9B939E" w14:textId="77777777" w:rsidR="007752CA" w:rsidRPr="00B02BA3" w:rsidRDefault="007752CA" w:rsidP="007752CA">
            <w:pPr>
              <w:pStyle w:val="CellBody"/>
              <w:tabs>
                <w:tab w:val="right" w:leader="dot" w:pos="7404"/>
              </w:tabs>
              <w:bidi/>
              <w:rPr>
                <w:b/>
                <w:bCs/>
              </w:rPr>
            </w:pPr>
            <w:r>
              <w:rPr>
                <w:rFonts w:hint="cs"/>
                <w:b/>
                <w:bCs/>
                <w:rtl/>
              </w:rPr>
              <w:t>إجمالي القروض</w:t>
            </w:r>
            <w:r w:rsidRPr="00B02BA3">
              <w:tab/>
            </w:r>
          </w:p>
        </w:tc>
        <w:tc>
          <w:tcPr>
            <w:tcW w:w="283" w:type="dxa"/>
            <w:vAlign w:val="bottom"/>
          </w:tcPr>
          <w:p w14:paraId="677ADF06" w14:textId="77777777" w:rsidR="007752CA" w:rsidRPr="00B02BA3" w:rsidRDefault="007752CA" w:rsidP="00922116">
            <w:pPr>
              <w:pStyle w:val="CellRowSpacer"/>
            </w:pPr>
          </w:p>
        </w:tc>
        <w:tc>
          <w:tcPr>
            <w:tcW w:w="1133" w:type="dxa"/>
            <w:tcBorders>
              <w:top w:val="single" w:sz="4" w:space="0" w:color="auto"/>
              <w:bottom w:val="single" w:sz="4" w:space="0" w:color="auto"/>
            </w:tcBorders>
          </w:tcPr>
          <w:p w14:paraId="6FCAE615" w14:textId="77777777" w:rsidR="007752CA" w:rsidRPr="00B02BA3" w:rsidRDefault="00CF0A23" w:rsidP="00922116">
            <w:pPr>
              <w:pStyle w:val="CellBody"/>
              <w:jc w:val="right"/>
            </w:pPr>
            <w:r>
              <w:t>616.7</w:t>
            </w:r>
          </w:p>
        </w:tc>
        <w:tc>
          <w:tcPr>
            <w:tcW w:w="236" w:type="dxa"/>
            <w:vAlign w:val="bottom"/>
          </w:tcPr>
          <w:p w14:paraId="55E9ABF6" w14:textId="77777777" w:rsidR="007752CA" w:rsidRPr="00B02BA3" w:rsidRDefault="007752CA" w:rsidP="00922116">
            <w:pPr>
              <w:pStyle w:val="CellRowSpacer"/>
            </w:pPr>
          </w:p>
        </w:tc>
      </w:tr>
      <w:tr w:rsidR="007752CA" w:rsidRPr="00B02BA3" w14:paraId="75577AD7" w14:textId="77777777" w:rsidTr="00272B36">
        <w:tc>
          <w:tcPr>
            <w:tcW w:w="7396" w:type="dxa"/>
            <w:vAlign w:val="bottom"/>
          </w:tcPr>
          <w:p w14:paraId="6E265155" w14:textId="77777777" w:rsidR="007752CA" w:rsidRPr="00B02BA3" w:rsidRDefault="007752CA" w:rsidP="007752CA">
            <w:pPr>
              <w:pStyle w:val="CellBody"/>
              <w:tabs>
                <w:tab w:val="right" w:leader="dot" w:pos="7404"/>
              </w:tabs>
              <w:bidi/>
              <w:rPr>
                <w:b/>
                <w:bCs/>
              </w:rPr>
            </w:pPr>
          </w:p>
        </w:tc>
        <w:tc>
          <w:tcPr>
            <w:tcW w:w="283" w:type="dxa"/>
            <w:vAlign w:val="bottom"/>
          </w:tcPr>
          <w:p w14:paraId="4F0B1540" w14:textId="77777777" w:rsidR="007752CA" w:rsidRPr="00B02BA3" w:rsidRDefault="007752CA" w:rsidP="00922116">
            <w:pPr>
              <w:pStyle w:val="CellRowSpacer"/>
            </w:pPr>
          </w:p>
        </w:tc>
        <w:tc>
          <w:tcPr>
            <w:tcW w:w="1133" w:type="dxa"/>
            <w:tcBorders>
              <w:top w:val="single" w:sz="4" w:space="0" w:color="auto"/>
            </w:tcBorders>
          </w:tcPr>
          <w:p w14:paraId="773B28DD" w14:textId="77777777" w:rsidR="007752CA" w:rsidRPr="00B02BA3" w:rsidRDefault="007752CA" w:rsidP="00922116">
            <w:pPr>
              <w:pStyle w:val="CellBody"/>
              <w:jc w:val="right"/>
            </w:pPr>
          </w:p>
        </w:tc>
        <w:tc>
          <w:tcPr>
            <w:tcW w:w="236" w:type="dxa"/>
            <w:vAlign w:val="bottom"/>
          </w:tcPr>
          <w:p w14:paraId="339BA6B7" w14:textId="77777777" w:rsidR="007752CA" w:rsidRPr="00B02BA3" w:rsidRDefault="007752CA" w:rsidP="00922116">
            <w:pPr>
              <w:pStyle w:val="CellRowSpacer"/>
            </w:pPr>
          </w:p>
        </w:tc>
      </w:tr>
      <w:tr w:rsidR="007752CA" w:rsidRPr="00B02BA3" w14:paraId="50E600E0" w14:textId="77777777" w:rsidTr="00272B36">
        <w:tc>
          <w:tcPr>
            <w:tcW w:w="7396" w:type="dxa"/>
            <w:vAlign w:val="bottom"/>
          </w:tcPr>
          <w:p w14:paraId="38108B6F" w14:textId="77777777" w:rsidR="007752CA" w:rsidRPr="006D55BC" w:rsidRDefault="007752CA" w:rsidP="007752CA">
            <w:pPr>
              <w:pStyle w:val="CellBody"/>
              <w:tabs>
                <w:tab w:val="right" w:leader="dot" w:pos="7404"/>
              </w:tabs>
              <w:bidi/>
              <w:rPr>
                <w:b/>
                <w:bCs/>
              </w:rPr>
            </w:pPr>
            <w:r>
              <w:rPr>
                <w:rFonts w:hint="cs"/>
                <w:b/>
                <w:bCs/>
                <w:rtl/>
              </w:rPr>
              <w:t>القيمة</w:t>
            </w:r>
          </w:p>
        </w:tc>
        <w:tc>
          <w:tcPr>
            <w:tcW w:w="283" w:type="dxa"/>
            <w:vAlign w:val="bottom"/>
          </w:tcPr>
          <w:p w14:paraId="6DC1E894" w14:textId="77777777" w:rsidR="007752CA" w:rsidRPr="00B02BA3" w:rsidRDefault="007752CA" w:rsidP="00922116">
            <w:pPr>
              <w:pStyle w:val="CellRowSpacer"/>
            </w:pPr>
          </w:p>
        </w:tc>
        <w:tc>
          <w:tcPr>
            <w:tcW w:w="1133" w:type="dxa"/>
          </w:tcPr>
          <w:p w14:paraId="43046C01" w14:textId="77777777" w:rsidR="007752CA" w:rsidRPr="00B02BA3" w:rsidRDefault="007752CA" w:rsidP="00922116">
            <w:pPr>
              <w:pStyle w:val="CellBody"/>
              <w:jc w:val="right"/>
            </w:pPr>
          </w:p>
        </w:tc>
        <w:tc>
          <w:tcPr>
            <w:tcW w:w="236" w:type="dxa"/>
            <w:vAlign w:val="bottom"/>
          </w:tcPr>
          <w:p w14:paraId="1BB02E1E" w14:textId="77777777" w:rsidR="007752CA" w:rsidRPr="00B02BA3" w:rsidRDefault="007752CA" w:rsidP="00922116">
            <w:pPr>
              <w:pStyle w:val="CellRowSpacer"/>
            </w:pPr>
          </w:p>
        </w:tc>
      </w:tr>
      <w:tr w:rsidR="007752CA" w:rsidRPr="00B02BA3" w14:paraId="64BA0C49" w14:textId="77777777" w:rsidTr="00272B36">
        <w:tc>
          <w:tcPr>
            <w:tcW w:w="7396" w:type="dxa"/>
            <w:vAlign w:val="bottom"/>
          </w:tcPr>
          <w:p w14:paraId="22BC7242" w14:textId="77777777" w:rsidR="007752CA" w:rsidRPr="00B02BA3" w:rsidRDefault="007752CA" w:rsidP="007752CA">
            <w:pPr>
              <w:pStyle w:val="CellBody"/>
              <w:tabs>
                <w:tab w:val="right" w:leader="dot" w:pos="7404"/>
              </w:tabs>
              <w:bidi/>
            </w:pPr>
            <w:r>
              <w:rPr>
                <w:rFonts w:hint="cs"/>
                <w:rtl/>
              </w:rPr>
              <w:t>رأس المال</w:t>
            </w:r>
            <w:r w:rsidRPr="00B02BA3">
              <w:tab/>
            </w:r>
          </w:p>
        </w:tc>
        <w:tc>
          <w:tcPr>
            <w:tcW w:w="283" w:type="dxa"/>
            <w:vAlign w:val="bottom"/>
          </w:tcPr>
          <w:p w14:paraId="3278227F" w14:textId="77777777" w:rsidR="007752CA" w:rsidRPr="00B02BA3" w:rsidRDefault="007752CA" w:rsidP="00922116">
            <w:pPr>
              <w:pStyle w:val="CellRowSpacer"/>
            </w:pPr>
          </w:p>
        </w:tc>
        <w:tc>
          <w:tcPr>
            <w:tcW w:w="1133" w:type="dxa"/>
          </w:tcPr>
          <w:p w14:paraId="45D037C8" w14:textId="77777777" w:rsidR="007752CA" w:rsidRPr="00B02BA3" w:rsidRDefault="007752CA" w:rsidP="00922116">
            <w:pPr>
              <w:pStyle w:val="CellBody"/>
              <w:jc w:val="right"/>
            </w:pPr>
            <w:r>
              <w:t>130.2</w:t>
            </w:r>
          </w:p>
        </w:tc>
        <w:tc>
          <w:tcPr>
            <w:tcW w:w="236" w:type="dxa"/>
            <w:vAlign w:val="bottom"/>
          </w:tcPr>
          <w:p w14:paraId="5FF8BEBC" w14:textId="77777777" w:rsidR="007752CA" w:rsidRPr="00B02BA3" w:rsidRDefault="007752CA" w:rsidP="00922116">
            <w:pPr>
              <w:pStyle w:val="CellRowSpacer"/>
            </w:pPr>
          </w:p>
        </w:tc>
      </w:tr>
      <w:tr w:rsidR="007752CA" w:rsidRPr="00B02BA3" w14:paraId="72196B38" w14:textId="77777777" w:rsidTr="00272B36">
        <w:tc>
          <w:tcPr>
            <w:tcW w:w="7396" w:type="dxa"/>
          </w:tcPr>
          <w:p w14:paraId="50762C21" w14:textId="77777777" w:rsidR="007752CA" w:rsidRPr="00B02BA3" w:rsidRDefault="007752CA" w:rsidP="007752CA">
            <w:pPr>
              <w:pStyle w:val="CellBody"/>
              <w:tabs>
                <w:tab w:val="right" w:leader="dot" w:pos="7404"/>
              </w:tabs>
              <w:bidi/>
            </w:pPr>
            <w:r>
              <w:rPr>
                <w:rFonts w:hint="cs"/>
                <w:rtl/>
              </w:rPr>
              <w:t>الاحتياطي القانوني</w:t>
            </w:r>
            <w:r w:rsidRPr="00B02BA3">
              <w:tab/>
            </w:r>
          </w:p>
        </w:tc>
        <w:tc>
          <w:tcPr>
            <w:tcW w:w="283" w:type="dxa"/>
            <w:vAlign w:val="bottom"/>
          </w:tcPr>
          <w:p w14:paraId="6087BF22" w14:textId="77777777" w:rsidR="007752CA" w:rsidRPr="00B02BA3" w:rsidRDefault="007752CA" w:rsidP="00922116">
            <w:pPr>
              <w:pStyle w:val="CellRowSpacer"/>
            </w:pPr>
          </w:p>
        </w:tc>
        <w:tc>
          <w:tcPr>
            <w:tcW w:w="1133" w:type="dxa"/>
          </w:tcPr>
          <w:p w14:paraId="52BC70B0" w14:textId="77777777" w:rsidR="007752CA" w:rsidRPr="00B02BA3" w:rsidRDefault="00BA1148" w:rsidP="00922116">
            <w:pPr>
              <w:pStyle w:val="CellBody"/>
              <w:jc w:val="right"/>
            </w:pPr>
            <w:r>
              <w:t>18.1</w:t>
            </w:r>
          </w:p>
        </w:tc>
        <w:tc>
          <w:tcPr>
            <w:tcW w:w="236" w:type="dxa"/>
            <w:vAlign w:val="bottom"/>
          </w:tcPr>
          <w:p w14:paraId="223BFB03" w14:textId="77777777" w:rsidR="007752CA" w:rsidRPr="00B02BA3" w:rsidRDefault="007752CA" w:rsidP="00922116">
            <w:pPr>
              <w:pStyle w:val="CellRowSpacer"/>
            </w:pPr>
          </w:p>
        </w:tc>
      </w:tr>
      <w:tr w:rsidR="007752CA" w:rsidRPr="00B02BA3" w14:paraId="51F28068" w14:textId="77777777" w:rsidTr="00272B36">
        <w:tc>
          <w:tcPr>
            <w:tcW w:w="7396" w:type="dxa"/>
          </w:tcPr>
          <w:p w14:paraId="543327F9" w14:textId="77777777" w:rsidR="007752CA" w:rsidRPr="00B02BA3" w:rsidRDefault="002461B6" w:rsidP="007752CA">
            <w:pPr>
              <w:pStyle w:val="CellBody"/>
              <w:tabs>
                <w:tab w:val="right" w:leader="dot" w:pos="7404"/>
              </w:tabs>
              <w:bidi/>
            </w:pPr>
            <w:r>
              <w:rPr>
                <w:rFonts w:hint="cs"/>
                <w:rtl/>
              </w:rPr>
              <w:t>التغيرات التراكمية بالقيمة العادلة</w:t>
            </w:r>
            <w:r w:rsidR="007752CA" w:rsidRPr="00B02BA3">
              <w:tab/>
            </w:r>
          </w:p>
        </w:tc>
        <w:tc>
          <w:tcPr>
            <w:tcW w:w="283" w:type="dxa"/>
            <w:vAlign w:val="bottom"/>
          </w:tcPr>
          <w:p w14:paraId="49915333" w14:textId="77777777" w:rsidR="007752CA" w:rsidRPr="00B02BA3" w:rsidRDefault="007752CA" w:rsidP="00922116">
            <w:pPr>
              <w:pStyle w:val="CellRowSpacer"/>
            </w:pPr>
          </w:p>
        </w:tc>
        <w:tc>
          <w:tcPr>
            <w:tcW w:w="1133" w:type="dxa"/>
          </w:tcPr>
          <w:p w14:paraId="673199E6" w14:textId="77777777" w:rsidR="007752CA" w:rsidRPr="00B02BA3" w:rsidDel="006D55BC" w:rsidRDefault="007752CA" w:rsidP="00922116">
            <w:pPr>
              <w:pStyle w:val="CellBody"/>
              <w:jc w:val="right"/>
            </w:pPr>
            <w:r>
              <w:t>1.5</w:t>
            </w:r>
          </w:p>
        </w:tc>
        <w:tc>
          <w:tcPr>
            <w:tcW w:w="236" w:type="dxa"/>
            <w:vAlign w:val="bottom"/>
          </w:tcPr>
          <w:p w14:paraId="74EA0C9B" w14:textId="77777777" w:rsidR="007752CA" w:rsidRPr="00B02BA3" w:rsidRDefault="007752CA" w:rsidP="00922116">
            <w:pPr>
              <w:pStyle w:val="CellRowSpacer"/>
            </w:pPr>
          </w:p>
        </w:tc>
      </w:tr>
      <w:tr w:rsidR="007752CA" w:rsidRPr="00B02BA3" w14:paraId="03AC66E3" w14:textId="77777777" w:rsidTr="00272B36">
        <w:tc>
          <w:tcPr>
            <w:tcW w:w="7396" w:type="dxa"/>
          </w:tcPr>
          <w:p w14:paraId="5F34F769" w14:textId="77777777" w:rsidR="007752CA" w:rsidRPr="00B02BA3" w:rsidRDefault="002461B6" w:rsidP="007752CA">
            <w:pPr>
              <w:pStyle w:val="CellBody"/>
              <w:tabs>
                <w:tab w:val="right" w:leader="dot" w:pos="7404"/>
              </w:tabs>
              <w:bidi/>
            </w:pPr>
            <w:r>
              <w:rPr>
                <w:rFonts w:hint="cs"/>
                <w:rtl/>
              </w:rPr>
              <w:t>الأرباح المحتجزة</w:t>
            </w:r>
            <w:r w:rsidR="007752CA" w:rsidRPr="00B02BA3">
              <w:tab/>
            </w:r>
          </w:p>
        </w:tc>
        <w:tc>
          <w:tcPr>
            <w:tcW w:w="283" w:type="dxa"/>
            <w:vAlign w:val="bottom"/>
          </w:tcPr>
          <w:p w14:paraId="0E046AFD" w14:textId="77777777" w:rsidR="007752CA" w:rsidRPr="00B02BA3" w:rsidRDefault="007752CA" w:rsidP="00922116">
            <w:pPr>
              <w:pStyle w:val="CellRowSpacer"/>
            </w:pPr>
          </w:p>
        </w:tc>
        <w:tc>
          <w:tcPr>
            <w:tcW w:w="1133" w:type="dxa"/>
            <w:tcBorders>
              <w:bottom w:val="single" w:sz="4" w:space="0" w:color="auto"/>
            </w:tcBorders>
          </w:tcPr>
          <w:p w14:paraId="5A891857" w14:textId="77777777" w:rsidR="007752CA" w:rsidRPr="00B02BA3" w:rsidRDefault="00BA1148" w:rsidP="00922116">
            <w:pPr>
              <w:pStyle w:val="CellBody"/>
              <w:jc w:val="right"/>
            </w:pPr>
            <w:r>
              <w:t>296.9</w:t>
            </w:r>
          </w:p>
        </w:tc>
        <w:tc>
          <w:tcPr>
            <w:tcW w:w="236" w:type="dxa"/>
            <w:vAlign w:val="bottom"/>
          </w:tcPr>
          <w:p w14:paraId="5877B6CB" w14:textId="77777777" w:rsidR="007752CA" w:rsidRPr="00B02BA3" w:rsidRDefault="007752CA" w:rsidP="00922116">
            <w:pPr>
              <w:pStyle w:val="CellRowSpacer"/>
            </w:pPr>
          </w:p>
        </w:tc>
      </w:tr>
      <w:tr w:rsidR="007752CA" w:rsidRPr="00B02BA3" w14:paraId="149DCEC2" w14:textId="77777777" w:rsidTr="00272B36">
        <w:tc>
          <w:tcPr>
            <w:tcW w:w="7396" w:type="dxa"/>
          </w:tcPr>
          <w:p w14:paraId="07F3BD7A" w14:textId="77777777" w:rsidR="007752CA" w:rsidRPr="00B02BA3" w:rsidRDefault="002461B6" w:rsidP="007752CA">
            <w:pPr>
              <w:pStyle w:val="CellBody"/>
              <w:tabs>
                <w:tab w:val="right" w:leader="dot" w:pos="7404"/>
              </w:tabs>
              <w:bidi/>
              <w:rPr>
                <w:b/>
                <w:bCs/>
              </w:rPr>
            </w:pPr>
            <w:r>
              <w:rPr>
                <w:rFonts w:hint="cs"/>
                <w:b/>
                <w:bCs/>
                <w:rtl/>
              </w:rPr>
              <w:t>إجمالي القيمة</w:t>
            </w:r>
            <w:r w:rsidR="007752CA" w:rsidRPr="00B02BA3">
              <w:tab/>
            </w:r>
          </w:p>
        </w:tc>
        <w:tc>
          <w:tcPr>
            <w:tcW w:w="283" w:type="dxa"/>
            <w:vAlign w:val="bottom"/>
          </w:tcPr>
          <w:p w14:paraId="2CB8AED7" w14:textId="77777777" w:rsidR="007752CA" w:rsidRPr="00B02BA3" w:rsidRDefault="007752CA" w:rsidP="00922116">
            <w:pPr>
              <w:pStyle w:val="CellRowSpacer"/>
            </w:pPr>
          </w:p>
        </w:tc>
        <w:tc>
          <w:tcPr>
            <w:tcW w:w="1133" w:type="dxa"/>
            <w:tcBorders>
              <w:top w:val="single" w:sz="4" w:space="0" w:color="auto"/>
              <w:bottom w:val="single" w:sz="4" w:space="0" w:color="auto"/>
            </w:tcBorders>
          </w:tcPr>
          <w:p w14:paraId="44182674" w14:textId="77777777" w:rsidR="007752CA" w:rsidRPr="00B02BA3" w:rsidRDefault="007752CA" w:rsidP="00922116">
            <w:pPr>
              <w:pStyle w:val="CellBody"/>
              <w:jc w:val="right"/>
            </w:pPr>
            <w:r>
              <w:t>466.</w:t>
            </w:r>
            <w:r w:rsidR="00695673">
              <w:t>7</w:t>
            </w:r>
          </w:p>
        </w:tc>
        <w:tc>
          <w:tcPr>
            <w:tcW w:w="236" w:type="dxa"/>
            <w:vAlign w:val="bottom"/>
          </w:tcPr>
          <w:p w14:paraId="6D87FA64" w14:textId="77777777" w:rsidR="007752CA" w:rsidRPr="00B02BA3" w:rsidRDefault="007752CA" w:rsidP="00922116">
            <w:pPr>
              <w:pStyle w:val="CellRowSpacer"/>
            </w:pPr>
          </w:p>
        </w:tc>
      </w:tr>
      <w:tr w:rsidR="007752CA" w:rsidRPr="00B02BA3" w14:paraId="2604805F" w14:textId="77777777" w:rsidTr="00272B36">
        <w:tc>
          <w:tcPr>
            <w:tcW w:w="7396" w:type="dxa"/>
          </w:tcPr>
          <w:p w14:paraId="0511A8D8" w14:textId="77777777" w:rsidR="007752CA" w:rsidRPr="00B02BA3" w:rsidRDefault="002461B6" w:rsidP="007752CA">
            <w:pPr>
              <w:pStyle w:val="CellBody"/>
              <w:tabs>
                <w:tab w:val="right" w:leader="dot" w:pos="7404"/>
              </w:tabs>
              <w:bidi/>
              <w:rPr>
                <w:b/>
                <w:bCs/>
              </w:rPr>
            </w:pPr>
            <w:r>
              <w:rPr>
                <w:rFonts w:hint="cs"/>
                <w:b/>
                <w:bCs/>
                <w:rtl/>
              </w:rPr>
              <w:t>إجمالي القروض والقيمة</w:t>
            </w:r>
            <w:r w:rsidR="007752CA" w:rsidRPr="00B02BA3">
              <w:tab/>
            </w:r>
          </w:p>
        </w:tc>
        <w:tc>
          <w:tcPr>
            <w:tcW w:w="283" w:type="dxa"/>
            <w:vAlign w:val="bottom"/>
          </w:tcPr>
          <w:p w14:paraId="11871B12" w14:textId="77777777" w:rsidR="007752CA" w:rsidRPr="00B02BA3" w:rsidRDefault="007752CA" w:rsidP="00922116">
            <w:pPr>
              <w:pStyle w:val="CellRowSpacer"/>
            </w:pPr>
          </w:p>
        </w:tc>
        <w:tc>
          <w:tcPr>
            <w:tcW w:w="1133" w:type="dxa"/>
            <w:tcBorders>
              <w:top w:val="single" w:sz="4" w:space="0" w:color="auto"/>
              <w:bottom w:val="single" w:sz="4" w:space="0" w:color="auto"/>
            </w:tcBorders>
          </w:tcPr>
          <w:p w14:paraId="072648A6" w14:textId="77777777" w:rsidR="007752CA" w:rsidRPr="00B02BA3" w:rsidRDefault="002C7C5C" w:rsidP="00922116">
            <w:pPr>
              <w:pStyle w:val="CellBody"/>
              <w:jc w:val="right"/>
            </w:pPr>
            <w:r>
              <w:t>1,063.4</w:t>
            </w:r>
          </w:p>
        </w:tc>
        <w:tc>
          <w:tcPr>
            <w:tcW w:w="236" w:type="dxa"/>
            <w:vAlign w:val="bottom"/>
          </w:tcPr>
          <w:p w14:paraId="62BDCA3D" w14:textId="77777777" w:rsidR="007752CA" w:rsidRPr="00B02BA3" w:rsidRDefault="007752CA" w:rsidP="00922116">
            <w:pPr>
              <w:pStyle w:val="CellRowSpacer"/>
            </w:pPr>
          </w:p>
        </w:tc>
      </w:tr>
    </w:tbl>
    <w:p w14:paraId="15BD79CE" w14:textId="77777777" w:rsidR="007752CA" w:rsidRDefault="007752CA" w:rsidP="007752CA">
      <w:pPr>
        <w:pStyle w:val="BodyText1"/>
        <w:bidi/>
        <w:spacing w:after="0"/>
        <w:rPr>
          <w:rFonts w:ascii="Traditional Arabic" w:hAnsi="Traditional Arabic" w:cs="Traditional Arabic"/>
          <w:sz w:val="30"/>
          <w:szCs w:val="30"/>
          <w:rtl/>
          <w:lang w:val="en-GB" w:bidi="ar-OM"/>
        </w:rPr>
      </w:pPr>
    </w:p>
    <w:p w14:paraId="20F69DA4" w14:textId="77777777" w:rsidR="007752CA" w:rsidRDefault="00627348" w:rsidP="007752CA">
      <w:pPr>
        <w:pStyle w:val="BodyText1"/>
        <w:bidi/>
        <w:spacing w:after="0"/>
        <w:rPr>
          <w:rFonts w:ascii="Traditional Arabic" w:hAnsi="Traditional Arabic" w:cs="Traditional Arabic"/>
          <w:sz w:val="30"/>
          <w:szCs w:val="30"/>
          <w:rtl/>
          <w:lang w:val="en-GB" w:bidi="ar-OM"/>
        </w:rPr>
      </w:pPr>
      <w:r w:rsidRPr="00627348">
        <w:rPr>
          <w:rFonts w:ascii="Traditional Arabic" w:hAnsi="Traditional Arabic" w:cs="Traditional Arabic"/>
          <w:sz w:val="30"/>
          <w:szCs w:val="30"/>
          <w:rtl/>
          <w:lang w:val="en-GB" w:bidi="ar-OM"/>
        </w:rPr>
        <w:t>لم تكن هناك أي تغييرات جوهرية على النقد وما يعادله أو إجمالي القروض أو إجمالي رأس المال لدى الشركة منذ 30 سبتمبر 2024.</w:t>
      </w:r>
    </w:p>
    <w:p w14:paraId="300A7332" w14:textId="77777777" w:rsidR="00D435AE" w:rsidRPr="00EB5BCF" w:rsidRDefault="00D435AE" w:rsidP="00D435AE">
      <w:pPr>
        <w:pStyle w:val="TOC1"/>
        <w:tabs>
          <w:tab w:val="clear" w:pos="9360"/>
          <w:tab w:val="left" w:pos="1772"/>
        </w:tabs>
        <w:bidi/>
        <w:jc w:val="both"/>
        <w:rPr>
          <w:rFonts w:ascii="Traditional Arabic" w:hAnsi="Traditional Arabic" w:cs="Traditional Arabic"/>
          <w:sz w:val="30"/>
          <w:szCs w:val="30"/>
          <w:rtl/>
          <w:lang w:bidi="ar-EG"/>
        </w:rPr>
        <w:sectPr w:rsidR="00D435AE" w:rsidRPr="00EB5BCF">
          <w:pgSz w:w="12240" w:h="15840"/>
          <w:pgMar w:top="1440" w:right="1440" w:bottom="1440" w:left="1440" w:header="720" w:footer="720" w:gutter="0"/>
          <w:cols w:space="720"/>
          <w:docGrid w:linePitch="360"/>
        </w:sectPr>
      </w:pPr>
    </w:p>
    <w:p w14:paraId="1BF21E1B" w14:textId="77777777" w:rsidR="00585226" w:rsidRPr="00EB5BCF" w:rsidRDefault="00D435AE"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lastRenderedPageBreak/>
        <w:t>الفصل السا</w:t>
      </w:r>
      <w:r w:rsidR="008E5BF0" w:rsidRPr="00EB5BCF">
        <w:rPr>
          <w:rFonts w:ascii="Traditional Arabic" w:hAnsi="Traditional Arabic" w:cs="Traditional Arabic"/>
          <w:b w:val="0"/>
          <w:bCs/>
          <w:sz w:val="30"/>
          <w:szCs w:val="30"/>
          <w:rtl/>
          <w:lang w:bidi="ar-OM"/>
        </w:rPr>
        <w:t>بع</w:t>
      </w:r>
    </w:p>
    <w:p w14:paraId="3279BC97" w14:textId="77777777" w:rsidR="00D435AE" w:rsidRPr="00EB5BCF" w:rsidRDefault="00D435AE"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أهداف الشركة والموافقات الصادرة بشأنها</w:t>
      </w:r>
    </w:p>
    <w:p w14:paraId="0344AAFA" w14:textId="77777777" w:rsidR="0035653B" w:rsidRPr="00EB5BCF" w:rsidRDefault="00D435AE" w:rsidP="00CD53BC">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تم تأسيس الشركة وتسجيلها كشركة </w:t>
      </w:r>
      <w:r w:rsidR="00134606">
        <w:rPr>
          <w:rFonts w:ascii="Traditional Arabic" w:hAnsi="Traditional Arabic" w:cs="Traditional Arabic" w:hint="cs"/>
          <w:sz w:val="30"/>
          <w:szCs w:val="30"/>
          <w:rtl/>
        </w:rPr>
        <w:t xml:space="preserve">مساهمة عمانية مقفلة </w:t>
      </w:r>
      <w:r w:rsidR="008A0F93">
        <w:rPr>
          <w:rFonts w:ascii="Traditional Arabic" w:hAnsi="Traditional Arabic" w:cs="Traditional Arabic" w:hint="cs"/>
          <w:sz w:val="30"/>
          <w:szCs w:val="30"/>
          <w:rtl/>
        </w:rPr>
        <w:t>لدى المسجل</w:t>
      </w:r>
      <w:r w:rsidRPr="00EB5BCF">
        <w:rPr>
          <w:rFonts w:ascii="Traditional Arabic" w:hAnsi="Traditional Arabic" w:cs="Traditional Arabic"/>
          <w:sz w:val="30"/>
          <w:szCs w:val="30"/>
          <w:rtl/>
        </w:rPr>
        <w:t xml:space="preserve"> بوزارة التجارة والصناعة وترويج الاستثمار في</w:t>
      </w:r>
      <w:r w:rsidR="00BB7B52">
        <w:rPr>
          <w:rFonts w:ascii="Traditional Arabic" w:hAnsi="Traditional Arabic" w:cs="Traditional Arabic" w:hint="cs"/>
          <w:sz w:val="30"/>
          <w:szCs w:val="30"/>
          <w:rtl/>
        </w:rPr>
        <w:t xml:space="preserve"> 20 مايو 2003</w:t>
      </w:r>
      <w:r w:rsidR="00134606">
        <w:rPr>
          <w:rFonts w:ascii="Traditional Arabic" w:hAnsi="Traditional Arabic" w:cs="Traditional Arabic" w:hint="cs"/>
          <w:sz w:val="30"/>
          <w:szCs w:val="30"/>
          <w:rtl/>
        </w:rPr>
        <w:t>،</w:t>
      </w:r>
      <w:r w:rsidR="0079640A" w:rsidRPr="00EB5BCF">
        <w:rPr>
          <w:rFonts w:ascii="Traditional Arabic" w:hAnsi="Traditional Arabic" w:cs="Traditional Arabic"/>
          <w:sz w:val="30"/>
          <w:szCs w:val="30"/>
          <w:rtl/>
        </w:rPr>
        <w:t xml:space="preserve"> </w:t>
      </w:r>
      <w:r w:rsidR="008A0F93">
        <w:rPr>
          <w:rFonts w:ascii="Traditional Arabic" w:hAnsi="Traditional Arabic" w:cs="Traditional Arabic" w:hint="cs"/>
          <w:sz w:val="30"/>
          <w:szCs w:val="30"/>
          <w:rtl/>
        </w:rPr>
        <w:t>و</w:t>
      </w:r>
      <w:r w:rsidRPr="00EB5BCF">
        <w:rPr>
          <w:rFonts w:ascii="Traditional Arabic" w:hAnsi="Traditional Arabic" w:cs="Traditional Arabic"/>
          <w:sz w:val="30"/>
          <w:szCs w:val="30"/>
          <w:rtl/>
        </w:rPr>
        <w:t>ف</w:t>
      </w:r>
      <w:r w:rsidRPr="00EB5BCF">
        <w:rPr>
          <w:rFonts w:ascii="Traditional Arabic" w:hAnsi="Traditional Arabic" w:cs="Traditional Arabic"/>
          <w:sz w:val="30"/>
          <w:szCs w:val="30"/>
          <w:rtl/>
          <w:lang w:bidi="ar-OM"/>
        </w:rPr>
        <w:t>ي</w:t>
      </w:r>
      <w:r w:rsidRPr="00EB5BCF">
        <w:rPr>
          <w:rFonts w:ascii="Traditional Arabic" w:hAnsi="Traditional Arabic" w:cs="Traditional Arabic"/>
          <w:sz w:val="30"/>
          <w:szCs w:val="30"/>
          <w:rtl/>
          <w:lang w:val="en-GB" w:bidi="ar-OM"/>
        </w:rPr>
        <w:t xml:space="preserve"> </w:t>
      </w:r>
      <w:r w:rsidR="00782462">
        <w:rPr>
          <w:rFonts w:ascii="Traditional Arabic" w:hAnsi="Traditional Arabic" w:cs="Traditional Arabic" w:hint="cs"/>
          <w:sz w:val="30"/>
          <w:szCs w:val="30"/>
          <w:rtl/>
          <w:lang w:val="en-GB" w:bidi="ar-OM"/>
        </w:rPr>
        <w:t>٢٠ يناير ٢٠٢٥</w:t>
      </w:r>
      <w:r w:rsidR="00782462"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أصدرت الجمعية العامة غير العادية قراراً قضى بتحول الشركة من شركة مساهمة عمانية مقفلة إلى شركة مساهمة عمانية عامة</w:t>
      </w:r>
      <w:r w:rsidR="007C5403" w:rsidRPr="00EB5BCF">
        <w:rPr>
          <w:rFonts w:ascii="Traditional Arabic" w:hAnsi="Traditional Arabic" w:cs="Traditional Arabic" w:hint="eastAsia"/>
          <w:sz w:val="30"/>
          <w:szCs w:val="30"/>
          <w:rtl/>
        </w:rPr>
        <w:t>،</w:t>
      </w:r>
      <w:r w:rsidR="007C5403" w:rsidRPr="00EB5BCF">
        <w:rPr>
          <w:rFonts w:ascii="Traditional Arabic" w:hAnsi="Traditional Arabic" w:cs="Traditional Arabic"/>
          <w:sz w:val="30"/>
          <w:szCs w:val="30"/>
          <w:rtl/>
        </w:rPr>
        <w:t xml:space="preserve"> </w:t>
      </w:r>
      <w:r w:rsidR="00704BEE">
        <w:rPr>
          <w:rFonts w:ascii="Traditional Arabic" w:hAnsi="Traditional Arabic" w:cs="Traditional Arabic" w:hint="cs"/>
          <w:sz w:val="30"/>
          <w:szCs w:val="30"/>
          <w:rtl/>
        </w:rPr>
        <w:t>و</w:t>
      </w:r>
      <w:r w:rsidR="007C5403" w:rsidRPr="00EB5BCF">
        <w:rPr>
          <w:rFonts w:ascii="Traditional Arabic" w:hAnsi="Traditional Arabic" w:cs="Traditional Arabic"/>
          <w:sz w:val="30"/>
          <w:szCs w:val="30"/>
          <w:rtl/>
        </w:rPr>
        <w:t>من المتوقع أن تكتمل عملية التحويل هذه بعد تخصيص الأسهم للمستثمرين و</w:t>
      </w:r>
      <w:r w:rsidR="007C5403" w:rsidRPr="00EB5BCF">
        <w:rPr>
          <w:rFonts w:ascii="Traditional Arabic" w:hAnsi="Traditional Arabic" w:cs="Traditional Arabic" w:hint="eastAsia"/>
          <w:sz w:val="30"/>
          <w:szCs w:val="30"/>
          <w:rtl/>
        </w:rPr>
        <w:t>إدراج</w:t>
      </w:r>
      <w:r w:rsidR="007C5403" w:rsidRPr="00EB5BCF">
        <w:rPr>
          <w:rFonts w:ascii="Traditional Arabic" w:hAnsi="Traditional Arabic" w:cs="Traditional Arabic"/>
          <w:sz w:val="30"/>
          <w:szCs w:val="30"/>
          <w:rtl/>
        </w:rPr>
        <w:t xml:space="preserve"> الأسهم في بورصة </w:t>
      </w:r>
      <w:r w:rsidR="007C5403" w:rsidRPr="00EB5BCF">
        <w:rPr>
          <w:rFonts w:ascii="Traditional Arabic" w:hAnsi="Traditional Arabic" w:cs="Traditional Arabic" w:hint="eastAsia"/>
          <w:sz w:val="30"/>
          <w:szCs w:val="30"/>
          <w:rtl/>
        </w:rPr>
        <w:t>مسقط</w:t>
      </w:r>
      <w:r w:rsidR="007C5403" w:rsidRPr="00EB5BCF">
        <w:rPr>
          <w:rFonts w:ascii="Traditional Arabic" w:hAnsi="Traditional Arabic" w:cs="Traditional Arabic"/>
          <w:sz w:val="30"/>
          <w:szCs w:val="30"/>
          <w:rtl/>
        </w:rPr>
        <w:t xml:space="preserve"> </w:t>
      </w:r>
      <w:r w:rsidR="007C5403" w:rsidRPr="00EB5BCF">
        <w:rPr>
          <w:rFonts w:ascii="Traditional Arabic" w:hAnsi="Traditional Arabic" w:cs="Traditional Arabic" w:hint="eastAsia"/>
          <w:sz w:val="30"/>
          <w:szCs w:val="30"/>
          <w:rtl/>
        </w:rPr>
        <w:t>ب</w:t>
      </w:r>
      <w:r w:rsidR="007C5403" w:rsidRPr="00EB5BCF">
        <w:rPr>
          <w:rFonts w:ascii="Traditional Arabic" w:hAnsi="Traditional Arabic" w:cs="Traditional Arabic"/>
          <w:sz w:val="30"/>
          <w:szCs w:val="30"/>
          <w:rtl/>
        </w:rPr>
        <w:t xml:space="preserve">تاريخ إغلاق </w:t>
      </w:r>
      <w:r w:rsidR="001A49EE" w:rsidRPr="00EB5BCF">
        <w:rPr>
          <w:rFonts w:ascii="Traditional Arabic" w:hAnsi="Traditional Arabic" w:cs="Traditional Arabic" w:hint="eastAsia"/>
          <w:sz w:val="30"/>
          <w:szCs w:val="30"/>
          <w:rtl/>
        </w:rPr>
        <w:t>إدراج</w:t>
      </w:r>
      <w:r w:rsidR="001A49EE" w:rsidRPr="00EB5BCF">
        <w:rPr>
          <w:rFonts w:ascii="Traditional Arabic" w:hAnsi="Traditional Arabic" w:cs="Traditional Arabic"/>
          <w:sz w:val="30"/>
          <w:szCs w:val="30"/>
          <w:rtl/>
        </w:rPr>
        <w:t xml:space="preserve"> </w:t>
      </w:r>
      <w:r w:rsidR="001A49EE" w:rsidRPr="00EB5BCF">
        <w:rPr>
          <w:rFonts w:ascii="Traditional Arabic" w:hAnsi="Traditional Arabic" w:cs="Traditional Arabic" w:hint="eastAsia"/>
          <w:sz w:val="30"/>
          <w:szCs w:val="30"/>
          <w:rtl/>
        </w:rPr>
        <w:t>الأسهم</w:t>
      </w:r>
      <w:r w:rsidRPr="00EB5BCF">
        <w:rPr>
          <w:rFonts w:ascii="Traditional Arabic" w:hAnsi="Traditional Arabic" w:cs="Traditional Arabic"/>
          <w:sz w:val="30"/>
          <w:szCs w:val="30"/>
          <w:rtl/>
        </w:rPr>
        <w:t xml:space="preserve">. </w:t>
      </w:r>
    </w:p>
    <w:p w14:paraId="7C5FDC2F" w14:textId="77777777" w:rsidR="00FD42CA" w:rsidRPr="00EB5BCF" w:rsidRDefault="00FD42CA" w:rsidP="00FD42CA">
      <w:pPr>
        <w:autoSpaceDE w:val="0"/>
        <w:autoSpaceDN w:val="0"/>
        <w:bidi/>
        <w:adjustRightInd w:val="0"/>
        <w:jc w:val="both"/>
        <w:rPr>
          <w:rFonts w:ascii="Traditional Arabic" w:hAnsi="Traditional Arabic" w:cs="Traditional Arabic"/>
          <w:b/>
          <w:bCs/>
          <w:sz w:val="30"/>
          <w:szCs w:val="30"/>
          <w:rtl/>
        </w:rPr>
      </w:pPr>
    </w:p>
    <w:p w14:paraId="048EED18" w14:textId="554C4BB2" w:rsidR="00D435AE" w:rsidRPr="00EB5BCF" w:rsidRDefault="0083771D" w:rsidP="00BB7B52">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 xml:space="preserve">تتمثل أنشطة الشركة الرئيسية في </w:t>
      </w:r>
      <w:r w:rsidR="00BB7B52" w:rsidRPr="00BB7B52">
        <w:rPr>
          <w:rFonts w:ascii="Traditional Arabic" w:hAnsi="Traditional Arabic" w:cs="Traditional Arabic"/>
          <w:sz w:val="30"/>
          <w:szCs w:val="30"/>
          <w:rtl/>
          <w:lang w:bidi="ar-EG"/>
        </w:rPr>
        <w:t xml:space="preserve">تقديم حلول نقل بحري </w:t>
      </w:r>
      <w:r w:rsidR="00C154D0">
        <w:rPr>
          <w:rFonts w:ascii="Traditional Arabic" w:hAnsi="Traditional Arabic" w:cs="Traditional Arabic" w:hint="cs"/>
          <w:sz w:val="30"/>
          <w:szCs w:val="30"/>
          <w:rtl/>
          <w:lang w:bidi="ar-EG"/>
        </w:rPr>
        <w:t>متكاملة</w:t>
      </w:r>
      <w:r w:rsidR="00C154D0" w:rsidRPr="00BB7B52">
        <w:rPr>
          <w:rFonts w:ascii="Traditional Arabic" w:hAnsi="Traditional Arabic" w:cs="Traditional Arabic"/>
          <w:sz w:val="30"/>
          <w:szCs w:val="30"/>
          <w:rtl/>
          <w:lang w:bidi="ar-EG"/>
        </w:rPr>
        <w:t xml:space="preserve"> </w:t>
      </w:r>
      <w:r w:rsidR="00BB7B52" w:rsidRPr="00BB7B52">
        <w:rPr>
          <w:rFonts w:ascii="Traditional Arabic" w:hAnsi="Traditional Arabic" w:cs="Traditional Arabic"/>
          <w:sz w:val="30"/>
          <w:szCs w:val="30"/>
          <w:rtl/>
          <w:lang w:bidi="ar-EG"/>
        </w:rPr>
        <w:t xml:space="preserve">لنقل النفط الخام والغاز الطبيعي المسال والمنتجات الكيميائية والبضائع السائبة الجافة والحاويات. ويشمل ذلك امتلاك السفن وتأجيرها </w:t>
      </w:r>
      <w:r w:rsidR="004218EA">
        <w:rPr>
          <w:rFonts w:ascii="Traditional Arabic" w:hAnsi="Traditional Arabic" w:cs="Traditional Arabic" w:hint="cs"/>
          <w:sz w:val="30"/>
          <w:szCs w:val="30"/>
          <w:rtl/>
          <w:lang w:bidi="ar-EG"/>
        </w:rPr>
        <w:t xml:space="preserve">واستئجارها </w:t>
      </w:r>
      <w:r w:rsidR="00BB7B52" w:rsidRPr="00BB7B52">
        <w:rPr>
          <w:rFonts w:ascii="Traditional Arabic" w:hAnsi="Traditional Arabic" w:cs="Traditional Arabic"/>
          <w:sz w:val="30"/>
          <w:szCs w:val="30"/>
          <w:rtl/>
          <w:lang w:bidi="ar-EG"/>
        </w:rPr>
        <w:t>والأنشطة الفنية لإدارة السفن.</w:t>
      </w:r>
      <w:r w:rsidR="00BB7B52">
        <w:rPr>
          <w:rFonts w:ascii="Traditional Arabic" w:hAnsi="Traditional Arabic" w:cs="Traditional Arabic" w:hint="cs"/>
          <w:sz w:val="30"/>
          <w:szCs w:val="30"/>
          <w:rtl/>
          <w:lang w:bidi="ar-EG"/>
        </w:rPr>
        <w:t xml:space="preserve"> </w:t>
      </w:r>
      <w:r w:rsidR="007C048D">
        <w:rPr>
          <w:rFonts w:ascii="Traditional Arabic" w:hAnsi="Traditional Arabic" w:cs="Traditional Arabic" w:hint="cs"/>
          <w:sz w:val="30"/>
          <w:szCs w:val="30"/>
          <w:rtl/>
        </w:rPr>
        <w:t>يمتلك المساهم البائع</w:t>
      </w:r>
      <w:r w:rsidR="00BA14B5">
        <w:rPr>
          <w:rFonts w:ascii="Traditional Arabic" w:hAnsi="Traditional Arabic" w:cs="Traditional Arabic" w:hint="cs"/>
          <w:sz w:val="30"/>
          <w:szCs w:val="30"/>
          <w:rtl/>
        </w:rPr>
        <w:t xml:space="preserve"> (بصورة مباشرة</w:t>
      </w:r>
      <w:r w:rsidR="00C91F02">
        <w:rPr>
          <w:rFonts w:ascii="Traditional Arabic" w:hAnsi="Traditional Arabic" w:cs="Traditional Arabic" w:hint="cs"/>
          <w:sz w:val="30"/>
          <w:szCs w:val="30"/>
          <w:rtl/>
        </w:rPr>
        <w:t xml:space="preserve">، </w:t>
      </w:r>
      <w:r w:rsidR="00BA14B5">
        <w:rPr>
          <w:rFonts w:ascii="Traditional Arabic" w:hAnsi="Traditional Arabic" w:cs="Traditional Arabic" w:hint="cs"/>
          <w:sz w:val="30"/>
          <w:szCs w:val="30"/>
          <w:rtl/>
        </w:rPr>
        <w:t xml:space="preserve">وغير مباشرة عن طريق شركة قطارات عمان ش.م.م </w:t>
      </w:r>
      <w:r w:rsidR="00C91F02">
        <w:rPr>
          <w:rFonts w:ascii="Traditional Arabic" w:hAnsi="Traditional Arabic" w:cs="Traditional Arabic" w:hint="cs"/>
          <w:sz w:val="30"/>
          <w:szCs w:val="30"/>
          <w:rtl/>
        </w:rPr>
        <w:t>التابعة</w:t>
      </w:r>
      <w:r w:rsidR="00BA14B5">
        <w:rPr>
          <w:rFonts w:ascii="Traditional Arabic" w:hAnsi="Traditional Arabic" w:cs="Traditional Arabic" w:hint="cs"/>
          <w:sz w:val="30"/>
          <w:szCs w:val="30"/>
          <w:rtl/>
        </w:rPr>
        <w:t xml:space="preserve"> </w:t>
      </w:r>
      <w:r w:rsidR="004C1B69">
        <w:rPr>
          <w:rFonts w:ascii="Traditional Arabic" w:hAnsi="Traditional Arabic" w:cs="Traditional Arabic" w:hint="cs"/>
          <w:sz w:val="30"/>
          <w:szCs w:val="30"/>
          <w:rtl/>
        </w:rPr>
        <w:t>له</w:t>
      </w:r>
      <w:r w:rsidR="00156867">
        <w:rPr>
          <w:rFonts w:ascii="Traditional Arabic" w:hAnsi="Traditional Arabic" w:cs="Traditional Arabic" w:hint="cs"/>
          <w:sz w:val="30"/>
          <w:szCs w:val="30"/>
          <w:rtl/>
        </w:rPr>
        <w:t xml:space="preserve"> والتي يمتلك الحصة العظمى من رأس</w:t>
      </w:r>
      <w:r w:rsidR="003B393B">
        <w:rPr>
          <w:rFonts w:ascii="Traditional Arabic" w:hAnsi="Traditional Arabic" w:cs="Traditional Arabic" w:hint="cs"/>
          <w:sz w:val="30"/>
          <w:szCs w:val="30"/>
          <w:rtl/>
        </w:rPr>
        <w:t>مالها</w:t>
      </w:r>
      <w:r w:rsidR="00C91F02">
        <w:rPr>
          <w:rFonts w:ascii="Traditional Arabic" w:hAnsi="Traditional Arabic" w:cs="Traditional Arabic" w:hint="cs"/>
          <w:sz w:val="30"/>
          <w:szCs w:val="30"/>
          <w:rtl/>
        </w:rPr>
        <w:t>)</w:t>
      </w:r>
      <w:r w:rsidR="00BA14B5">
        <w:rPr>
          <w:rFonts w:ascii="Traditional Arabic" w:hAnsi="Traditional Arabic" w:cs="Traditional Arabic" w:hint="cs"/>
          <w:sz w:val="30"/>
          <w:szCs w:val="30"/>
          <w:rtl/>
        </w:rPr>
        <w:t xml:space="preserve"> </w:t>
      </w:r>
      <w:r w:rsidR="00827CE3">
        <w:rPr>
          <w:rFonts w:ascii="Traditional Arabic" w:hAnsi="Traditional Arabic" w:cs="Traditional Arabic" w:hint="cs"/>
          <w:sz w:val="30"/>
          <w:szCs w:val="30"/>
          <w:rtl/>
        </w:rPr>
        <w:t xml:space="preserve">حتى تاريخ هذه النشرة </w:t>
      </w:r>
      <w:r w:rsidR="007C048D">
        <w:rPr>
          <w:rFonts w:ascii="Traditional Arabic" w:hAnsi="Traditional Arabic" w:cs="Traditional Arabic" w:hint="cs"/>
          <w:sz w:val="30"/>
          <w:szCs w:val="30"/>
          <w:rtl/>
        </w:rPr>
        <w:t xml:space="preserve">ما نسبته 100% من </w:t>
      </w:r>
      <w:r w:rsidR="00D27766">
        <w:rPr>
          <w:rFonts w:ascii="Traditional Arabic" w:hAnsi="Traditional Arabic" w:cs="Traditional Arabic" w:hint="cs"/>
          <w:sz w:val="30"/>
          <w:szCs w:val="30"/>
          <w:rtl/>
        </w:rPr>
        <w:t>أسهم الشركة، وإذا تم الاكتتاب في كامل أسهم الطرح،</w:t>
      </w:r>
      <w:r w:rsidR="0025189B">
        <w:rPr>
          <w:rFonts w:ascii="Traditional Arabic" w:hAnsi="Traditional Arabic" w:cs="Traditional Arabic" w:hint="cs"/>
          <w:sz w:val="30"/>
          <w:szCs w:val="30"/>
          <w:rtl/>
        </w:rPr>
        <w:t xml:space="preserve"> ولم يمارس المساهم البائع خيار زيادة حجم </w:t>
      </w:r>
      <w:r w:rsidR="005462BF">
        <w:rPr>
          <w:rFonts w:ascii="Traditional Arabic" w:hAnsi="Traditional Arabic" w:cs="Traditional Arabic" w:hint="cs"/>
          <w:sz w:val="30"/>
          <w:szCs w:val="30"/>
          <w:rtl/>
        </w:rPr>
        <w:t>الاكتتاب</w:t>
      </w:r>
      <w:r w:rsidR="0025189B">
        <w:rPr>
          <w:rFonts w:ascii="Traditional Arabic" w:hAnsi="Traditional Arabic" w:cs="Traditional Arabic" w:hint="cs"/>
          <w:sz w:val="30"/>
          <w:szCs w:val="30"/>
          <w:rtl/>
        </w:rPr>
        <w:t>،</w:t>
      </w:r>
      <w:r w:rsidR="00D27766">
        <w:rPr>
          <w:rFonts w:ascii="Traditional Arabic" w:hAnsi="Traditional Arabic" w:cs="Traditional Arabic" w:hint="cs"/>
          <w:sz w:val="30"/>
          <w:szCs w:val="30"/>
          <w:rtl/>
        </w:rPr>
        <w:t xml:space="preserve"> فسيمتلك جمهور المستثمرين ما نسبته</w:t>
      </w:r>
      <w:r w:rsidR="0025189B">
        <w:rPr>
          <w:rFonts w:ascii="Traditional Arabic" w:hAnsi="Traditional Arabic" w:cs="Traditional Arabic" w:hint="cs"/>
          <w:sz w:val="30"/>
          <w:szCs w:val="30"/>
          <w:rtl/>
        </w:rPr>
        <w:t>٢٠</w:t>
      </w:r>
      <w:r w:rsidR="0063338C">
        <w:rPr>
          <w:rFonts w:ascii="Traditional Arabic" w:hAnsi="Traditional Arabic" w:cs="Traditional Arabic" w:hint="cs"/>
          <w:sz w:val="30"/>
          <w:szCs w:val="30"/>
          <w:rtl/>
        </w:rPr>
        <w:t xml:space="preserve"> </w:t>
      </w:r>
      <w:r w:rsidR="00D27766">
        <w:rPr>
          <w:rFonts w:ascii="Traditional Arabic" w:hAnsi="Traditional Arabic" w:cs="Traditional Arabic" w:hint="cs"/>
          <w:sz w:val="30"/>
          <w:szCs w:val="30"/>
          <w:rtl/>
        </w:rPr>
        <w:t>% من رأس مال الشركة المصدر.</w:t>
      </w:r>
    </w:p>
    <w:p w14:paraId="7A2A590E" w14:textId="77777777" w:rsidR="00D435AE" w:rsidRPr="00EB5BCF" w:rsidRDefault="00D435AE" w:rsidP="00D435AE">
      <w:pPr>
        <w:autoSpaceDE w:val="0"/>
        <w:autoSpaceDN w:val="0"/>
        <w:bidi/>
        <w:adjustRightInd w:val="0"/>
        <w:jc w:val="both"/>
        <w:rPr>
          <w:rFonts w:ascii="Traditional Arabic" w:hAnsi="Traditional Arabic" w:cs="Traditional Arabic"/>
          <w:sz w:val="30"/>
          <w:szCs w:val="30"/>
          <w:rtl/>
        </w:rPr>
      </w:pPr>
    </w:p>
    <w:p w14:paraId="45A755C9" w14:textId="77777777" w:rsidR="00753D9B" w:rsidRDefault="00D61230" w:rsidP="00D61230">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w:t>
      </w:r>
      <w:r w:rsidR="00753D9B">
        <w:rPr>
          <w:rFonts w:ascii="Traditional Arabic" w:hAnsi="Traditional Arabic" w:cs="Traditional Arabic" w:hint="cs"/>
          <w:sz w:val="30"/>
          <w:szCs w:val="30"/>
          <w:rtl/>
        </w:rPr>
        <w:t>فيما يلي تفاصيل أنشطة الشركة وفروعها المسجلة من واقع سجلها التجاري:</w:t>
      </w:r>
    </w:p>
    <w:p w14:paraId="3F92E8D8" w14:textId="77777777" w:rsidR="007C5403" w:rsidRPr="00EB5BCF" w:rsidRDefault="007C5403" w:rsidP="007C5403">
      <w:pPr>
        <w:autoSpaceDE w:val="0"/>
        <w:autoSpaceDN w:val="0"/>
        <w:bidi/>
        <w:adjustRightInd w:val="0"/>
        <w:jc w:val="both"/>
        <w:rPr>
          <w:rFonts w:ascii="Traditional Arabic" w:hAnsi="Traditional Arabic" w:cs="Traditional Arabic"/>
          <w:sz w:val="30"/>
          <w:szCs w:val="30"/>
          <w:rtl/>
        </w:rPr>
      </w:pPr>
    </w:p>
    <w:p w14:paraId="01FB84BC" w14:textId="77777777" w:rsidR="00BD37F7" w:rsidRPr="00EB5BCF" w:rsidRDefault="00BD37F7" w:rsidP="00BD37F7">
      <w:pPr>
        <w:autoSpaceDE w:val="0"/>
        <w:autoSpaceDN w:val="0"/>
        <w:bidi/>
        <w:adjustRightInd w:val="0"/>
        <w:jc w:val="both"/>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t>وزارة التجارة والصناعة وترويج الاستثمار: شهادة السجل التجاري</w:t>
      </w:r>
    </w:p>
    <w:p w14:paraId="291FC0BE" w14:textId="77777777" w:rsidR="00BD37F7" w:rsidRPr="00EB5BCF" w:rsidRDefault="00BD37F7" w:rsidP="00BD37F7">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رقم شهادة السجل التجاري: </w:t>
      </w:r>
      <w:r w:rsidR="00BB7B52">
        <w:rPr>
          <w:rFonts w:ascii="Traditional Arabic" w:hAnsi="Traditional Arabic" w:cs="Traditional Arabic" w:hint="cs"/>
          <w:sz w:val="30"/>
          <w:szCs w:val="30"/>
          <w:rtl/>
        </w:rPr>
        <w:t>1723154</w:t>
      </w:r>
    </w:p>
    <w:p w14:paraId="42320574" w14:textId="77777777" w:rsidR="00BD37F7" w:rsidRPr="00EB5BCF" w:rsidRDefault="00BD37F7" w:rsidP="00BD37F7">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تاريخ التسجيل: </w:t>
      </w:r>
      <w:r w:rsidR="00BB7B52">
        <w:rPr>
          <w:rFonts w:ascii="Traditional Arabic" w:hAnsi="Traditional Arabic" w:cs="Traditional Arabic" w:hint="cs"/>
          <w:sz w:val="30"/>
          <w:szCs w:val="30"/>
          <w:rtl/>
        </w:rPr>
        <w:t>20 مايو 2003</w:t>
      </w:r>
    </w:p>
    <w:p w14:paraId="1408081D" w14:textId="77777777" w:rsidR="00BD37F7" w:rsidRPr="00EB5BCF" w:rsidRDefault="00BD37F7" w:rsidP="00BD37F7">
      <w:pPr>
        <w:autoSpaceDE w:val="0"/>
        <w:autoSpaceDN w:val="0"/>
        <w:bidi/>
        <w:adjustRightInd w:val="0"/>
        <w:jc w:val="both"/>
        <w:rPr>
          <w:rFonts w:ascii="Traditional Arabic" w:hAnsi="Traditional Arabic" w:cs="Traditional Arabic"/>
          <w:sz w:val="30"/>
          <w:szCs w:val="30"/>
          <w:rtl/>
          <w:lang w:bidi="ar-OM"/>
        </w:rPr>
      </w:pPr>
      <w:r w:rsidRPr="00EB5BCF">
        <w:rPr>
          <w:rFonts w:ascii="Traditional Arabic" w:hAnsi="Traditional Arabic" w:cs="Traditional Arabic"/>
          <w:sz w:val="30"/>
          <w:szCs w:val="30"/>
          <w:rtl/>
        </w:rPr>
        <w:t xml:space="preserve">تاريخ انتهاء الصلاحية: </w:t>
      </w:r>
      <w:r w:rsidR="00625AE4">
        <w:rPr>
          <w:rFonts w:ascii="Traditional Arabic" w:hAnsi="Traditional Arabic" w:cs="Traditional Arabic" w:hint="cs"/>
          <w:sz w:val="30"/>
          <w:szCs w:val="30"/>
          <w:rtl/>
        </w:rPr>
        <w:t>11 يوليو 2029</w:t>
      </w:r>
    </w:p>
    <w:p w14:paraId="132BF344" w14:textId="77777777" w:rsidR="00625AE4" w:rsidRDefault="00625AE4" w:rsidP="00BD37F7">
      <w:pPr>
        <w:autoSpaceDE w:val="0"/>
        <w:autoSpaceDN w:val="0"/>
        <w:bidi/>
        <w:adjustRightInd w:val="0"/>
        <w:jc w:val="both"/>
        <w:rPr>
          <w:rFonts w:ascii="Traditional Arabic" w:hAnsi="Traditional Arabic" w:cs="Traditional Arabic"/>
          <w:sz w:val="30"/>
          <w:szCs w:val="30"/>
          <w:rtl/>
        </w:rPr>
      </w:pPr>
    </w:p>
    <w:p w14:paraId="18202A0F" w14:textId="77777777" w:rsidR="00C33C61" w:rsidRDefault="00BD37F7" w:rsidP="00625AE4">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الأنشطة التجارية المسجلة:</w:t>
      </w:r>
    </w:p>
    <w:p w14:paraId="24FA3753" w14:textId="77777777" w:rsidR="000D34E7" w:rsidRDefault="00254A25" w:rsidP="000D34E7">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 xml:space="preserve">(1) </w:t>
      </w:r>
      <w:r w:rsidR="000D34E7">
        <w:rPr>
          <w:rFonts w:ascii="Traditional Arabic" w:hAnsi="Traditional Arabic" w:cs="Traditional Arabic" w:hint="cs"/>
          <w:sz w:val="30"/>
          <w:szCs w:val="30"/>
          <w:rtl/>
          <w:lang w:bidi="ar-EG"/>
        </w:rPr>
        <w:t>النقل البحري الدولي للبضائع</w:t>
      </w:r>
    </w:p>
    <w:p w14:paraId="2E2935A2" w14:textId="77777777" w:rsidR="000D34E7" w:rsidRPr="00EB5BCF" w:rsidRDefault="000D34E7" w:rsidP="000D34E7">
      <w:pPr>
        <w:autoSpaceDE w:val="0"/>
        <w:autoSpaceDN w:val="0"/>
        <w:bidi/>
        <w:adjustRightInd w:val="0"/>
        <w:jc w:val="both"/>
        <w:rPr>
          <w:rFonts w:ascii="Traditional Arabic" w:hAnsi="Traditional Arabic" w:cs="Traditional Arabic"/>
          <w:sz w:val="30"/>
          <w:szCs w:val="30"/>
          <w:rtl/>
          <w:lang w:bidi="ar-EG"/>
        </w:rPr>
      </w:pPr>
    </w:p>
    <w:p w14:paraId="7DFB5074" w14:textId="77777777" w:rsidR="00FE05E9" w:rsidRPr="00EB5BCF" w:rsidRDefault="005B3F1B" w:rsidP="00BD37F7">
      <w:pPr>
        <w:autoSpaceDE w:val="0"/>
        <w:autoSpaceDN w:val="0"/>
        <w:bidi/>
        <w:adjustRightInd w:val="0"/>
        <w:jc w:val="both"/>
        <w:rPr>
          <w:rFonts w:ascii="Traditional Arabic" w:hAnsi="Traditional Arabic" w:cs="Traditional Arabic"/>
          <w:sz w:val="30"/>
          <w:szCs w:val="30"/>
          <w:rtl/>
        </w:rPr>
      </w:pPr>
      <w:r>
        <w:rPr>
          <w:rFonts w:ascii="Traditional Arabic" w:hAnsi="Traditional Arabic" w:cs="Traditional Arabic" w:hint="cs"/>
          <w:sz w:val="30"/>
          <w:szCs w:val="30"/>
          <w:rtl/>
        </w:rPr>
        <w:t>فروع الشركة:</w:t>
      </w:r>
    </w:p>
    <w:p w14:paraId="2D4A72B8" w14:textId="77777777" w:rsidR="00D61230" w:rsidRPr="00EB5BCF" w:rsidRDefault="00FE05E9" w:rsidP="00826D63">
      <w:pPr>
        <w:pStyle w:val="ListParagraph"/>
        <w:numPr>
          <w:ilvl w:val="0"/>
          <w:numId w:val="6"/>
        </w:numPr>
        <w:autoSpaceDE w:val="0"/>
        <w:autoSpaceDN w:val="0"/>
        <w:bidi/>
        <w:adjustRightInd w:val="0"/>
        <w:ind w:left="429" w:hanging="425"/>
        <w:jc w:val="both"/>
        <w:rPr>
          <w:rFonts w:ascii="Traditional Arabic" w:hAnsi="Traditional Arabic" w:cs="Traditional Arabic"/>
          <w:sz w:val="30"/>
          <w:szCs w:val="30"/>
        </w:rPr>
      </w:pPr>
      <w:r w:rsidRPr="00EB5BCF">
        <w:rPr>
          <w:rFonts w:ascii="Traditional Arabic" w:hAnsi="Traditional Arabic" w:cs="Traditional Arabic"/>
          <w:sz w:val="30"/>
          <w:szCs w:val="30"/>
          <w:rtl/>
        </w:rPr>
        <w:t xml:space="preserve">رقم التسجيل: </w:t>
      </w:r>
      <w:r w:rsidR="000D34E7">
        <w:rPr>
          <w:rFonts w:ascii="Traditional Arabic" w:hAnsi="Traditional Arabic" w:cs="Traditional Arabic" w:hint="cs"/>
          <w:sz w:val="30"/>
          <w:szCs w:val="30"/>
          <w:rtl/>
        </w:rPr>
        <w:t>45683330</w:t>
      </w:r>
    </w:p>
    <w:p w14:paraId="1C1FCAFF" w14:textId="77777777" w:rsidR="00FE05E9" w:rsidRPr="00EB5BCF" w:rsidRDefault="00FE05E9" w:rsidP="00826D63">
      <w:pPr>
        <w:pStyle w:val="ListParagraph"/>
        <w:autoSpaceDE w:val="0"/>
        <w:autoSpaceDN w:val="0"/>
        <w:bidi/>
        <w:adjustRightInd w:val="0"/>
        <w:ind w:left="1080" w:hanging="651"/>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تاريخ التسجيل: </w:t>
      </w:r>
      <w:r w:rsidR="000D34E7">
        <w:rPr>
          <w:rFonts w:ascii="Traditional Arabic" w:hAnsi="Traditional Arabic" w:cs="Traditional Arabic" w:hint="cs"/>
          <w:sz w:val="30"/>
          <w:szCs w:val="30"/>
          <w:rtl/>
        </w:rPr>
        <w:t>11 نوفمبر 2020</w:t>
      </w:r>
    </w:p>
    <w:p w14:paraId="0ABB5D6D" w14:textId="77777777" w:rsidR="00281F7C" w:rsidRPr="00EB5BCF" w:rsidRDefault="00FE05E9" w:rsidP="00826D63">
      <w:pPr>
        <w:pStyle w:val="ListParagraph"/>
        <w:autoSpaceDE w:val="0"/>
        <w:autoSpaceDN w:val="0"/>
        <w:bidi/>
        <w:adjustRightInd w:val="0"/>
        <w:ind w:left="1080" w:hanging="651"/>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المحل: </w:t>
      </w:r>
      <w:r w:rsidR="00640FC7">
        <w:rPr>
          <w:rFonts w:ascii="Traditional Arabic" w:hAnsi="Traditional Arabic" w:cs="Traditional Arabic" w:hint="cs"/>
          <w:sz w:val="30"/>
          <w:szCs w:val="30"/>
          <w:rtl/>
        </w:rPr>
        <w:t>مدينة السلطان قابوس، بوشر</w:t>
      </w:r>
      <w:r w:rsidR="000D34E7">
        <w:rPr>
          <w:rFonts w:ascii="Traditional Arabic" w:hAnsi="Traditional Arabic" w:cs="Traditional Arabic" w:hint="cs"/>
          <w:sz w:val="30"/>
          <w:szCs w:val="30"/>
          <w:rtl/>
        </w:rPr>
        <w:t>، محافظة مسقط</w:t>
      </w:r>
    </w:p>
    <w:p w14:paraId="50FBC855" w14:textId="77777777" w:rsidR="00C23BDF" w:rsidRPr="00EB5BCF" w:rsidRDefault="00C23BDF" w:rsidP="00D65DDB">
      <w:pPr>
        <w:pStyle w:val="ListParagraph"/>
        <w:autoSpaceDE w:val="0"/>
        <w:autoSpaceDN w:val="0"/>
        <w:bidi/>
        <w:adjustRightInd w:val="0"/>
        <w:ind w:left="1080"/>
        <w:jc w:val="both"/>
        <w:rPr>
          <w:rFonts w:ascii="Traditional Arabic" w:hAnsi="Traditional Arabic" w:cs="Traditional Arabic"/>
          <w:sz w:val="30"/>
          <w:szCs w:val="30"/>
          <w:rtl/>
        </w:rPr>
      </w:pPr>
    </w:p>
    <w:p w14:paraId="66414562" w14:textId="77777777" w:rsidR="00C23BDF" w:rsidRPr="00EB5BCF" w:rsidRDefault="00C23BDF" w:rsidP="00C23BDF">
      <w:pPr>
        <w:autoSpaceDE w:val="0"/>
        <w:autoSpaceDN w:val="0"/>
        <w:bidi/>
        <w:adjustRightInd w:val="0"/>
        <w:jc w:val="both"/>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t>غرفة تجارة وصناعة عمان: شهادة الانتساب</w:t>
      </w:r>
    </w:p>
    <w:p w14:paraId="710FBF01" w14:textId="77777777" w:rsidR="00C23BDF" w:rsidRPr="00EB5BCF" w:rsidRDefault="00C23BDF" w:rsidP="00C23BDF">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رقم الانتساب: </w:t>
      </w:r>
      <w:r w:rsidR="00C6167E">
        <w:rPr>
          <w:rFonts w:ascii="Traditional Arabic" w:hAnsi="Traditional Arabic" w:cs="Traditional Arabic" w:hint="cs"/>
          <w:sz w:val="30"/>
          <w:szCs w:val="30"/>
          <w:rtl/>
        </w:rPr>
        <w:t>1441</w:t>
      </w:r>
    </w:p>
    <w:p w14:paraId="041F739E" w14:textId="77777777" w:rsidR="00C23BDF" w:rsidRPr="00EB5BCF" w:rsidRDefault="00C23BDF" w:rsidP="00C23BDF">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تاريخ انتهاء الصلاحية: </w:t>
      </w:r>
      <w:r w:rsidR="00104D21">
        <w:rPr>
          <w:rFonts w:ascii="Traditional Arabic" w:hAnsi="Traditional Arabic" w:cs="Traditional Arabic" w:hint="cs"/>
          <w:sz w:val="30"/>
          <w:szCs w:val="30"/>
          <w:rtl/>
        </w:rPr>
        <w:t>3</w:t>
      </w:r>
      <w:r w:rsidR="00F75564">
        <w:rPr>
          <w:rFonts w:ascii="Traditional Arabic" w:hAnsi="Traditional Arabic" w:cs="Traditional Arabic" w:hint="cs"/>
          <w:sz w:val="30"/>
          <w:szCs w:val="30"/>
          <w:rtl/>
        </w:rPr>
        <w:t>/</w:t>
      </w:r>
      <w:r w:rsidR="00104D21">
        <w:rPr>
          <w:rFonts w:ascii="Traditional Arabic" w:hAnsi="Traditional Arabic" w:cs="Traditional Arabic" w:hint="cs"/>
          <w:sz w:val="30"/>
          <w:szCs w:val="30"/>
          <w:rtl/>
        </w:rPr>
        <w:t>7</w:t>
      </w:r>
      <w:r w:rsidR="00F75564">
        <w:rPr>
          <w:rFonts w:ascii="Traditional Arabic" w:hAnsi="Traditional Arabic" w:cs="Traditional Arabic" w:hint="cs"/>
          <w:sz w:val="30"/>
          <w:szCs w:val="30"/>
          <w:rtl/>
        </w:rPr>
        <w:t>/2025</w:t>
      </w:r>
    </w:p>
    <w:p w14:paraId="45A31764" w14:textId="77777777" w:rsidR="00C23BDF" w:rsidRPr="00EB5BCF" w:rsidRDefault="00C23BDF" w:rsidP="00C23BDF">
      <w:pPr>
        <w:autoSpaceDE w:val="0"/>
        <w:autoSpaceDN w:val="0"/>
        <w:bidi/>
        <w:adjustRightInd w:val="0"/>
        <w:jc w:val="both"/>
        <w:rPr>
          <w:rFonts w:ascii="Traditional Arabic" w:hAnsi="Traditional Arabic" w:cs="Traditional Arabic"/>
          <w:sz w:val="30"/>
          <w:szCs w:val="30"/>
          <w:rtl/>
        </w:rPr>
      </w:pPr>
    </w:p>
    <w:p w14:paraId="1CC52A80" w14:textId="77777777" w:rsidR="005F2E75" w:rsidRPr="00EB5BCF" w:rsidRDefault="005F2E75" w:rsidP="005F2E75">
      <w:pPr>
        <w:autoSpaceDE w:val="0"/>
        <w:autoSpaceDN w:val="0"/>
        <w:bidi/>
        <w:adjustRightInd w:val="0"/>
        <w:jc w:val="both"/>
        <w:rPr>
          <w:rFonts w:ascii="Traditional Arabic" w:hAnsi="Traditional Arabic" w:cs="Traditional Arabic"/>
          <w:sz w:val="30"/>
          <w:szCs w:val="30"/>
          <w:rtl/>
        </w:rPr>
      </w:pPr>
    </w:p>
    <w:p w14:paraId="52FC3BCD" w14:textId="77777777" w:rsidR="005F2E75" w:rsidRPr="00EB5BCF" w:rsidRDefault="005F2E75" w:rsidP="005F2E75">
      <w:pPr>
        <w:autoSpaceDE w:val="0"/>
        <w:autoSpaceDN w:val="0"/>
        <w:bidi/>
        <w:adjustRightInd w:val="0"/>
        <w:jc w:val="both"/>
        <w:rPr>
          <w:rFonts w:ascii="Traditional Arabic" w:hAnsi="Traditional Arabic" w:cs="Traditional Arabic"/>
          <w:b/>
          <w:bCs/>
          <w:sz w:val="30"/>
          <w:szCs w:val="30"/>
          <w:rtl/>
          <w:lang w:bidi="ar-OM"/>
        </w:rPr>
      </w:pPr>
      <w:r w:rsidRPr="00EB5BCF">
        <w:rPr>
          <w:rFonts w:ascii="Traditional Arabic" w:hAnsi="Traditional Arabic" w:cs="Traditional Arabic"/>
          <w:b/>
          <w:bCs/>
          <w:sz w:val="30"/>
          <w:szCs w:val="30"/>
          <w:rtl/>
        </w:rPr>
        <w:t>النظام الأساسي</w:t>
      </w:r>
    </w:p>
    <w:p w14:paraId="318F165E" w14:textId="77777777" w:rsidR="002B7065" w:rsidRDefault="000D34E7" w:rsidP="005F2E75">
      <w:pPr>
        <w:pStyle w:val="ListParagraph"/>
        <w:autoSpaceDE w:val="0"/>
        <w:autoSpaceDN w:val="0"/>
        <w:bidi/>
        <w:adjustRightInd w:val="0"/>
        <w:ind w:left="-45"/>
        <w:jc w:val="both"/>
        <w:rPr>
          <w:rFonts w:ascii="Traditional Arabic" w:hAnsi="Traditional Arabic" w:cs="Traditional Arabic"/>
          <w:sz w:val="30"/>
          <w:szCs w:val="30"/>
          <w:rtl/>
          <w:lang w:bidi="ar-EG"/>
        </w:rPr>
      </w:pPr>
      <w:r w:rsidRPr="000D34E7">
        <w:rPr>
          <w:rFonts w:ascii="Traditional Arabic" w:hAnsi="Traditional Arabic" w:cs="Traditional Arabic"/>
          <w:sz w:val="30"/>
          <w:szCs w:val="30"/>
          <w:rtl/>
        </w:rPr>
        <w:t xml:space="preserve">تتمثل الأهداف الرئيسية التي تأسست من أجلها الشركة في تقديم حلول نقل بحري </w:t>
      </w:r>
      <w:r w:rsidR="00D744F9">
        <w:rPr>
          <w:rFonts w:ascii="Traditional Arabic" w:hAnsi="Traditional Arabic" w:cs="Traditional Arabic" w:hint="cs"/>
          <w:sz w:val="30"/>
          <w:szCs w:val="30"/>
          <w:rtl/>
        </w:rPr>
        <w:t>متكاملة</w:t>
      </w:r>
      <w:r w:rsidR="00D744F9" w:rsidRPr="000D34E7">
        <w:rPr>
          <w:rFonts w:ascii="Traditional Arabic" w:hAnsi="Traditional Arabic" w:cs="Traditional Arabic"/>
          <w:sz w:val="30"/>
          <w:szCs w:val="30"/>
          <w:rtl/>
        </w:rPr>
        <w:t xml:space="preserve"> </w:t>
      </w:r>
      <w:r w:rsidRPr="000D34E7">
        <w:rPr>
          <w:rFonts w:ascii="Traditional Arabic" w:hAnsi="Traditional Arabic" w:cs="Traditional Arabic"/>
          <w:sz w:val="30"/>
          <w:szCs w:val="30"/>
          <w:rtl/>
        </w:rPr>
        <w:t xml:space="preserve">لنقل النفط الخام والغاز الطبيعي المسال والمنتجات الكيميائية والبضائع السائبة الجافة والحاويات. ويشمل ذلك امتلاك السفن وتأجيرها والأنشطة الفنية لإدارة السفن. </w:t>
      </w:r>
    </w:p>
    <w:p w14:paraId="5959E764" w14:textId="77777777" w:rsidR="003D012F" w:rsidRPr="00EB5BCF" w:rsidRDefault="005F2E75" w:rsidP="002B7065">
      <w:pPr>
        <w:pStyle w:val="ListParagraph"/>
        <w:autoSpaceDE w:val="0"/>
        <w:autoSpaceDN w:val="0"/>
        <w:bidi/>
        <w:adjustRightInd w:val="0"/>
        <w:ind w:left="-45"/>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يمكن الاطلاع على صورة عقد التأسيس والنظام الأساسي للشركة</w:t>
      </w:r>
      <w:r w:rsidR="00E60156"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 xml:space="preserve">في مقر الشركة </w:t>
      </w:r>
      <w:r w:rsidR="00265D09">
        <w:rPr>
          <w:rFonts w:ascii="Traditional Arabic" w:hAnsi="Traditional Arabic" w:cs="Traditional Arabic" w:hint="cs"/>
          <w:sz w:val="30"/>
          <w:szCs w:val="30"/>
          <w:rtl/>
        </w:rPr>
        <w:t>المسجل</w:t>
      </w:r>
      <w:r w:rsidR="00265D09"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وذلك خلال ساعات الدوام الرسمية</w:t>
      </w:r>
      <w:r w:rsidR="003D012F" w:rsidRPr="00EB5BCF">
        <w:rPr>
          <w:rFonts w:ascii="Traditional Arabic" w:hAnsi="Traditional Arabic" w:cs="Traditional Arabic"/>
          <w:sz w:val="30"/>
          <w:szCs w:val="30"/>
          <w:rtl/>
        </w:rPr>
        <w:t xml:space="preserve"> </w:t>
      </w:r>
      <w:r w:rsidR="00265D09">
        <w:rPr>
          <w:rFonts w:ascii="Traditional Arabic" w:hAnsi="Traditional Arabic" w:cs="Traditional Arabic" w:hint="cs"/>
          <w:sz w:val="30"/>
          <w:szCs w:val="30"/>
          <w:rtl/>
        </w:rPr>
        <w:t>(حسب توقيت سلطنة عمان)</w:t>
      </w:r>
      <w:r w:rsidR="00866AD3">
        <w:rPr>
          <w:rFonts w:ascii="Traditional Arabic" w:hAnsi="Traditional Arabic" w:cs="Traditional Arabic" w:hint="cs"/>
          <w:sz w:val="30"/>
          <w:szCs w:val="30"/>
          <w:rtl/>
        </w:rPr>
        <w:t>.</w:t>
      </w:r>
    </w:p>
    <w:p w14:paraId="690EDFF6" w14:textId="77777777" w:rsidR="003D012F" w:rsidRPr="00EB5BCF" w:rsidRDefault="003D012F" w:rsidP="003D012F">
      <w:pPr>
        <w:pStyle w:val="ListParagraph"/>
        <w:autoSpaceDE w:val="0"/>
        <w:autoSpaceDN w:val="0"/>
        <w:bidi/>
        <w:adjustRightInd w:val="0"/>
        <w:ind w:left="-45"/>
        <w:jc w:val="both"/>
        <w:rPr>
          <w:rFonts w:ascii="Traditional Arabic" w:hAnsi="Traditional Arabic" w:cs="Traditional Arabic"/>
          <w:sz w:val="30"/>
          <w:szCs w:val="30"/>
          <w:rtl/>
        </w:rPr>
      </w:pPr>
    </w:p>
    <w:p w14:paraId="7AB2CB23" w14:textId="77777777" w:rsidR="00D84166" w:rsidRPr="00EB5BCF" w:rsidRDefault="00D84166" w:rsidP="00D84166">
      <w:pPr>
        <w:pStyle w:val="ListParagraph"/>
        <w:autoSpaceDE w:val="0"/>
        <w:autoSpaceDN w:val="0"/>
        <w:bidi/>
        <w:adjustRightInd w:val="0"/>
        <w:ind w:left="-45"/>
        <w:jc w:val="both"/>
        <w:rPr>
          <w:rFonts w:ascii="Traditional Arabic" w:hAnsi="Traditional Arabic" w:cs="Traditional Arabic"/>
          <w:sz w:val="30"/>
          <w:szCs w:val="30"/>
          <w:rtl/>
        </w:rPr>
      </w:pPr>
    </w:p>
    <w:p w14:paraId="3827F7B3" w14:textId="77777777" w:rsidR="005F2E75" w:rsidRPr="00EB5BCF" w:rsidRDefault="005F2E75" w:rsidP="005F2E75">
      <w:pPr>
        <w:autoSpaceDE w:val="0"/>
        <w:autoSpaceDN w:val="0"/>
        <w:bidi/>
        <w:adjustRightInd w:val="0"/>
        <w:jc w:val="both"/>
        <w:rPr>
          <w:rFonts w:ascii="Traditional Arabic" w:hAnsi="Traditional Arabic" w:cs="Traditional Arabic"/>
          <w:b/>
          <w:bCs/>
          <w:sz w:val="30"/>
          <w:szCs w:val="30"/>
          <w:rtl/>
          <w:lang w:bidi="ar-OM"/>
        </w:rPr>
      </w:pPr>
      <w:r w:rsidRPr="00EB5BCF">
        <w:rPr>
          <w:rFonts w:ascii="Traditional Arabic" w:hAnsi="Traditional Arabic" w:cs="Traditional Arabic"/>
          <w:b/>
          <w:bCs/>
          <w:sz w:val="30"/>
          <w:szCs w:val="30"/>
          <w:rtl/>
          <w:lang w:bidi="ar-OM"/>
        </w:rPr>
        <w:t>القرارات التي أصدرتها الشركة</w:t>
      </w:r>
    </w:p>
    <w:p w14:paraId="70565CC6" w14:textId="77777777" w:rsidR="005F2E75" w:rsidRDefault="005F2E75" w:rsidP="005F2E75">
      <w:pPr>
        <w:autoSpaceDE w:val="0"/>
        <w:autoSpaceDN w:val="0"/>
        <w:bidi/>
        <w:adjustRightInd w:val="0"/>
        <w:jc w:val="both"/>
        <w:rPr>
          <w:rFonts w:ascii="Traditional Arabic" w:hAnsi="Traditional Arabic" w:cs="Traditional Arabic"/>
          <w:sz w:val="30"/>
          <w:szCs w:val="30"/>
          <w:rtl/>
          <w:lang w:bidi="ar-OM"/>
        </w:rPr>
      </w:pPr>
      <w:r w:rsidRPr="00EB5BCF">
        <w:rPr>
          <w:rFonts w:ascii="Traditional Arabic" w:hAnsi="Traditional Arabic" w:cs="Traditional Arabic"/>
          <w:sz w:val="30"/>
          <w:szCs w:val="30"/>
          <w:rtl/>
          <w:lang w:bidi="ar-OM"/>
        </w:rPr>
        <w:t>اتخذ المساهمون بالشركة في اجتماع الجمعية العامة غير العادية المنعقد بتاريخ</w:t>
      </w:r>
      <w:r w:rsidR="00FD67FB">
        <w:rPr>
          <w:rFonts w:ascii="Traditional Arabic" w:hAnsi="Traditional Arabic" w:cs="Traditional Arabic" w:hint="cs"/>
          <w:sz w:val="30"/>
          <w:szCs w:val="30"/>
          <w:rtl/>
          <w:lang w:bidi="ar-OM"/>
        </w:rPr>
        <w:t xml:space="preserve"> </w:t>
      </w:r>
      <w:r w:rsidR="00723C4F">
        <w:rPr>
          <w:rFonts w:ascii="Traditional Arabic" w:hAnsi="Traditional Arabic" w:cs="Traditional Arabic" w:hint="cs"/>
          <w:sz w:val="30"/>
          <w:szCs w:val="30"/>
          <w:rtl/>
          <w:lang w:bidi="ar-OM"/>
        </w:rPr>
        <w:t>٢٠ يناير ٢٠٢٥</w:t>
      </w:r>
      <w:r w:rsidR="00723C4F" w:rsidRPr="00EB5BCF">
        <w:rPr>
          <w:rFonts w:ascii="Traditional Arabic" w:hAnsi="Traditional Arabic" w:cs="Traditional Arabic"/>
          <w:sz w:val="30"/>
          <w:szCs w:val="30"/>
          <w:rtl/>
          <w:lang w:bidi="ar-OM"/>
        </w:rPr>
        <w:t xml:space="preserve"> </w:t>
      </w:r>
      <w:r w:rsidRPr="00EB5BCF">
        <w:rPr>
          <w:rFonts w:ascii="Traditional Arabic" w:hAnsi="Traditional Arabic" w:cs="Traditional Arabic"/>
          <w:sz w:val="30"/>
          <w:szCs w:val="30"/>
          <w:rtl/>
          <w:lang w:bidi="ar-OM"/>
        </w:rPr>
        <w:t>القرارات التالية بالإجماع:</w:t>
      </w:r>
    </w:p>
    <w:p w14:paraId="3C321476" w14:textId="77777777" w:rsidR="00720B41" w:rsidRDefault="00720B41" w:rsidP="00720B41">
      <w:pPr>
        <w:autoSpaceDE w:val="0"/>
        <w:autoSpaceDN w:val="0"/>
        <w:bidi/>
        <w:adjustRightInd w:val="0"/>
        <w:jc w:val="both"/>
        <w:rPr>
          <w:rFonts w:ascii="Traditional Arabic" w:hAnsi="Traditional Arabic" w:cs="Traditional Arabic"/>
          <w:sz w:val="30"/>
          <w:szCs w:val="30"/>
          <w:rtl/>
          <w:lang w:bidi="ar-OM"/>
        </w:rPr>
      </w:pPr>
    </w:p>
    <w:p w14:paraId="6847C882" w14:textId="77777777" w:rsidR="00720B41" w:rsidRPr="00720B41" w:rsidRDefault="00720B41" w:rsidP="00922116">
      <w:pPr>
        <w:numPr>
          <w:ilvl w:val="0"/>
          <w:numId w:val="40"/>
        </w:numPr>
        <w:autoSpaceDE w:val="0"/>
        <w:autoSpaceDN w:val="0"/>
        <w:bidi/>
        <w:adjustRightInd w:val="0"/>
        <w:jc w:val="both"/>
        <w:rPr>
          <w:rFonts w:ascii="Traditional Arabic" w:hAnsi="Traditional Arabic" w:cs="Traditional Arabic"/>
          <w:sz w:val="30"/>
          <w:szCs w:val="30"/>
          <w:lang w:val="en-GB" w:bidi="ar-OM"/>
        </w:rPr>
      </w:pPr>
      <w:r w:rsidRPr="00720B41">
        <w:rPr>
          <w:rFonts w:ascii="Traditional Arabic" w:hAnsi="Traditional Arabic" w:cs="Traditional Arabic"/>
          <w:sz w:val="30"/>
          <w:szCs w:val="30"/>
          <w:rtl/>
        </w:rPr>
        <w:t>تحويل الشركة من ش</w:t>
      </w:r>
      <w:r>
        <w:rPr>
          <w:rFonts w:ascii="Traditional Arabic" w:hAnsi="Traditional Arabic" w:cs="Traditional Arabic" w:hint="cs"/>
          <w:sz w:val="30"/>
          <w:szCs w:val="30"/>
          <w:rtl/>
        </w:rPr>
        <w:t>ركة مساهمة عمانية مقفلة</w:t>
      </w:r>
      <w:r w:rsidRPr="00720B41">
        <w:rPr>
          <w:rFonts w:ascii="Traditional Arabic" w:hAnsi="Traditional Arabic" w:cs="Traditional Arabic"/>
          <w:sz w:val="30"/>
          <w:szCs w:val="30"/>
          <w:rtl/>
        </w:rPr>
        <w:t xml:space="preserve"> إلى ش</w:t>
      </w:r>
      <w:r>
        <w:rPr>
          <w:rFonts w:ascii="Traditional Arabic" w:hAnsi="Traditional Arabic" w:cs="Traditional Arabic" w:hint="cs"/>
          <w:sz w:val="30"/>
          <w:szCs w:val="30"/>
          <w:rtl/>
        </w:rPr>
        <w:t>ركة مساهمة عمانية عامة</w:t>
      </w:r>
      <w:r w:rsidRPr="00720B41">
        <w:rPr>
          <w:rFonts w:ascii="Traditional Arabic" w:hAnsi="Traditional Arabic" w:cs="Traditional Arabic"/>
          <w:sz w:val="30"/>
          <w:szCs w:val="30"/>
          <w:rtl/>
        </w:rPr>
        <w:t xml:space="preserve">، </w:t>
      </w:r>
      <w:r w:rsidR="00D16CF7">
        <w:rPr>
          <w:rFonts w:ascii="Traditional Arabic" w:hAnsi="Traditional Arabic" w:cs="Traditional Arabic" w:hint="cs"/>
          <w:sz w:val="30"/>
          <w:szCs w:val="30"/>
          <w:rtl/>
        </w:rPr>
        <w:t>حيث سيطرح المساهم البائع أسهم الطرح في اكتتاب عام.</w:t>
      </w:r>
    </w:p>
    <w:p w14:paraId="24E414AC" w14:textId="77777777" w:rsidR="00720B41" w:rsidRPr="00720B41" w:rsidRDefault="00720B41" w:rsidP="00922116">
      <w:pPr>
        <w:numPr>
          <w:ilvl w:val="0"/>
          <w:numId w:val="40"/>
        </w:numPr>
        <w:autoSpaceDE w:val="0"/>
        <w:autoSpaceDN w:val="0"/>
        <w:bidi/>
        <w:adjustRightInd w:val="0"/>
        <w:jc w:val="both"/>
        <w:rPr>
          <w:rFonts w:ascii="Traditional Arabic" w:hAnsi="Traditional Arabic" w:cs="Traditional Arabic"/>
          <w:sz w:val="30"/>
          <w:szCs w:val="30"/>
          <w:lang w:val="en-GB" w:bidi="ar-OM"/>
        </w:rPr>
      </w:pPr>
      <w:r w:rsidRPr="00720B41">
        <w:rPr>
          <w:rFonts w:ascii="Traditional Arabic" w:hAnsi="Traditional Arabic" w:cs="Traditional Arabic"/>
          <w:sz w:val="30"/>
          <w:szCs w:val="30"/>
          <w:rtl/>
        </w:rPr>
        <w:t xml:space="preserve">الموافقة على التعديلات المقترحة على النظام الأساسي لمواءمة النظام مع النموذج الصادر عن الهيئة فيما يتعلق بشكل ومضمون النظام الأساسي للشركات المساهمة العامة. </w:t>
      </w:r>
    </w:p>
    <w:p w14:paraId="5CF9BE1C" w14:textId="77777777" w:rsidR="00720B41" w:rsidRPr="00CD53BC" w:rsidRDefault="00720B41" w:rsidP="00720B41">
      <w:pPr>
        <w:autoSpaceDE w:val="0"/>
        <w:autoSpaceDN w:val="0"/>
        <w:bidi/>
        <w:adjustRightInd w:val="0"/>
        <w:jc w:val="both"/>
        <w:rPr>
          <w:rFonts w:ascii="Traditional Arabic" w:hAnsi="Traditional Arabic" w:cs="Traditional Arabic"/>
          <w:sz w:val="30"/>
          <w:szCs w:val="30"/>
          <w:rtl/>
          <w:lang w:val="en-GB" w:bidi="ar-OM"/>
        </w:rPr>
      </w:pPr>
    </w:p>
    <w:p w14:paraId="73FF17C7" w14:textId="2B31E6A0" w:rsidR="00866AD3" w:rsidRPr="00CA4D73" w:rsidRDefault="00866AD3" w:rsidP="00CA4D73">
      <w:pPr>
        <w:autoSpaceDE w:val="0"/>
        <w:autoSpaceDN w:val="0"/>
        <w:bidi/>
        <w:adjustRightInd w:val="0"/>
        <w:rPr>
          <w:rFonts w:ascii="Traditional Arabic" w:hAnsi="Traditional Arabic" w:cs="Traditional Arabic"/>
          <w:sz w:val="30"/>
          <w:szCs w:val="30"/>
          <w:rtl/>
          <w:lang w:bidi="ar-OM"/>
        </w:rPr>
      </w:pPr>
      <w:r w:rsidRPr="00866AD3">
        <w:rPr>
          <w:rFonts w:ascii="Traditional Arabic" w:hAnsi="Traditional Arabic" w:cs="Traditional Arabic"/>
          <w:sz w:val="30"/>
          <w:szCs w:val="30"/>
          <w:rtl/>
          <w:lang w:bidi="ar-OM"/>
        </w:rPr>
        <w:t>بالإضافة إلى ما سبق، اعتمد مجلس إدارة الشركة</w:t>
      </w:r>
      <w:r w:rsidR="00591F32">
        <w:rPr>
          <w:rFonts w:ascii="Traditional Arabic" w:hAnsi="Traditional Arabic" w:cs="Traditional Arabic" w:hint="cs"/>
          <w:sz w:val="30"/>
          <w:szCs w:val="30"/>
          <w:rtl/>
          <w:lang w:bidi="ar-OM"/>
        </w:rPr>
        <w:t xml:space="preserve"> بتاريخ ٢٤ ديسمبر ٢٠٢٤</w:t>
      </w:r>
      <w:r w:rsidRPr="00866AD3">
        <w:rPr>
          <w:rFonts w:ascii="Traditional Arabic" w:hAnsi="Traditional Arabic" w:cs="Traditional Arabic"/>
          <w:sz w:val="30"/>
          <w:szCs w:val="30"/>
          <w:rtl/>
          <w:lang w:bidi="ar-OM"/>
        </w:rPr>
        <w:t xml:space="preserve"> بالإجماع قرار </w:t>
      </w:r>
      <w:r w:rsidR="00591F32">
        <w:rPr>
          <w:rFonts w:ascii="Traditional Arabic" w:hAnsi="Traditional Arabic" w:cs="Traditional Arabic" w:hint="cs"/>
          <w:sz w:val="30"/>
          <w:szCs w:val="30"/>
          <w:rtl/>
          <w:lang w:bidi="ar-OM"/>
        </w:rPr>
        <w:t>الموافقة على تقسيم</w:t>
      </w:r>
      <w:r w:rsidRPr="00CA4D73">
        <w:rPr>
          <w:rFonts w:ascii="Traditional Arabic" w:hAnsi="Traditional Arabic" w:cs="Traditional Arabic"/>
          <w:sz w:val="30"/>
          <w:szCs w:val="30"/>
          <w:rtl/>
          <w:lang w:bidi="ar-OM"/>
        </w:rPr>
        <w:t xml:space="preserve"> رأس مال الشركة عن طريق تخفيض </w:t>
      </w:r>
      <w:r w:rsidR="00A05B1B">
        <w:rPr>
          <w:rFonts w:ascii="Traditional Arabic" w:hAnsi="Traditional Arabic" w:cs="Traditional Arabic" w:hint="cs"/>
          <w:sz w:val="30"/>
          <w:szCs w:val="30"/>
          <w:rtl/>
          <w:lang w:bidi="ar-OM"/>
        </w:rPr>
        <w:t>قيمة السهم</w:t>
      </w:r>
      <w:r w:rsidRPr="00CA4D73">
        <w:rPr>
          <w:rFonts w:ascii="Traditional Arabic" w:hAnsi="Traditional Arabic" w:cs="Traditional Arabic"/>
          <w:sz w:val="30"/>
          <w:szCs w:val="30"/>
          <w:rtl/>
          <w:lang w:bidi="ar-OM"/>
        </w:rPr>
        <w:t xml:space="preserve"> من 1 ريال عماني للسهم الواحد (ريال عماني واحد) إلى 25 بيسة للسهم الواحد</w:t>
      </w:r>
      <w:r w:rsidRPr="00CA4D73">
        <w:rPr>
          <w:rFonts w:ascii="Traditional Arabic" w:hAnsi="Traditional Arabic" w:cs="Traditional Arabic"/>
          <w:sz w:val="30"/>
          <w:szCs w:val="30"/>
          <w:lang w:bidi="ar-OM"/>
        </w:rPr>
        <w:t>.</w:t>
      </w:r>
    </w:p>
    <w:p w14:paraId="1C4024CE" w14:textId="77777777" w:rsidR="002D1A1E" w:rsidRDefault="002D1A1E" w:rsidP="006E0E56">
      <w:pPr>
        <w:pStyle w:val="BodyText1"/>
        <w:bidi/>
        <w:spacing w:after="0"/>
        <w:rPr>
          <w:rFonts w:ascii="Traditional Arabic" w:hAnsi="Traditional Arabic" w:cs="Traditional Arabic"/>
          <w:b/>
          <w:bCs/>
          <w:sz w:val="30"/>
          <w:szCs w:val="30"/>
          <w:rtl/>
          <w:lang w:bidi="ar-OM"/>
        </w:rPr>
      </w:pPr>
    </w:p>
    <w:p w14:paraId="63D0C1E2" w14:textId="77777777" w:rsidR="006E0E56" w:rsidRPr="00EB5BCF" w:rsidRDefault="006E0E56" w:rsidP="002D1A1E">
      <w:pPr>
        <w:pStyle w:val="BodyText1"/>
        <w:bidi/>
        <w:spacing w:after="0"/>
        <w:rPr>
          <w:rFonts w:ascii="Traditional Arabic" w:hAnsi="Traditional Arabic" w:cs="Traditional Arabic"/>
          <w:b/>
          <w:bCs/>
          <w:sz w:val="30"/>
          <w:szCs w:val="30"/>
          <w:rtl/>
          <w:lang w:bidi="ar-OM"/>
        </w:rPr>
      </w:pPr>
      <w:r w:rsidRPr="00EB5BCF">
        <w:rPr>
          <w:rFonts w:ascii="Traditional Arabic" w:hAnsi="Traditional Arabic" w:cs="Traditional Arabic"/>
          <w:b/>
          <w:bCs/>
          <w:sz w:val="30"/>
          <w:szCs w:val="30"/>
          <w:rtl/>
          <w:lang w:bidi="ar-OM"/>
        </w:rPr>
        <w:t>استمرارية الالتزامات القائمة</w:t>
      </w:r>
    </w:p>
    <w:p w14:paraId="5AAAED24" w14:textId="77777777" w:rsidR="002471D5" w:rsidRPr="001106C6" w:rsidRDefault="006E0E56" w:rsidP="00882781">
      <w:pPr>
        <w:pStyle w:val="BodyText1"/>
        <w:bidi/>
        <w:spacing w:after="0"/>
        <w:rPr>
          <w:rFonts w:ascii="Traditional Arabic" w:hAnsi="Traditional Arabic" w:cs="Traditional Arabic"/>
          <w:rtl/>
          <w:lang w:bidi="ar-OM"/>
        </w:rPr>
        <w:sectPr w:rsidR="002471D5" w:rsidRPr="001106C6">
          <w:pgSz w:w="12240" w:h="15840"/>
          <w:pgMar w:top="1440" w:right="1440" w:bottom="1440" w:left="1440" w:header="720" w:footer="720" w:gutter="0"/>
          <w:cols w:space="720"/>
          <w:docGrid w:linePitch="360"/>
        </w:sectPr>
      </w:pPr>
      <w:r w:rsidRPr="00EB5BCF">
        <w:rPr>
          <w:rFonts w:ascii="Traditional Arabic" w:hAnsi="Traditional Arabic" w:cs="Traditional Arabic"/>
          <w:sz w:val="30"/>
          <w:szCs w:val="30"/>
          <w:rtl/>
          <w:lang w:bidi="ar-OM"/>
        </w:rPr>
        <w:lastRenderedPageBreak/>
        <w:t xml:space="preserve">وفقا لأحكام قانون الشركات التجارية، تسري جميع التزامات الشركة القائمة قبل تحولها إلى شركة مساهمة عامة وتظل في ذمتها </w:t>
      </w:r>
      <w:r w:rsidR="00ED3B3D" w:rsidRPr="00EB5BCF">
        <w:rPr>
          <w:rFonts w:ascii="Traditional Arabic" w:hAnsi="Traditional Arabic" w:cs="Traditional Arabic"/>
          <w:sz w:val="30"/>
          <w:szCs w:val="30"/>
          <w:rtl/>
          <w:lang w:bidi="ar-OM"/>
        </w:rPr>
        <w:t xml:space="preserve">حتى </w:t>
      </w:r>
      <w:r w:rsidRPr="00EB5BCF">
        <w:rPr>
          <w:rFonts w:ascii="Traditional Arabic" w:hAnsi="Traditional Arabic" w:cs="Traditional Arabic"/>
          <w:sz w:val="30"/>
          <w:szCs w:val="30"/>
          <w:rtl/>
          <w:lang w:bidi="ar-OM"/>
        </w:rPr>
        <w:t>بعد تحولها</w:t>
      </w:r>
      <w:r w:rsidR="00B20DAC" w:rsidRPr="00EB5BCF">
        <w:rPr>
          <w:rFonts w:ascii="Traditional Arabic" w:hAnsi="Traditional Arabic" w:cs="Traditional Arabic" w:hint="eastAsia"/>
          <w:sz w:val="30"/>
          <w:szCs w:val="30"/>
          <w:rtl/>
          <w:lang w:bidi="ar-OM"/>
        </w:rPr>
        <w:t>،</w:t>
      </w:r>
      <w:r w:rsidR="00B20DAC" w:rsidRPr="00EB5BCF">
        <w:rPr>
          <w:rFonts w:ascii="Traditional Arabic" w:hAnsi="Traditional Arabic" w:cs="Traditional Arabic"/>
          <w:sz w:val="30"/>
          <w:szCs w:val="30"/>
          <w:rtl/>
          <w:lang w:bidi="ar-OM"/>
        </w:rPr>
        <w:t xml:space="preserve"> </w:t>
      </w:r>
      <w:r w:rsidR="00B20DAC" w:rsidRPr="00EB5BCF">
        <w:rPr>
          <w:rFonts w:ascii="Traditional Arabic" w:hAnsi="Traditional Arabic" w:cs="Traditional Arabic" w:hint="eastAsia"/>
          <w:sz w:val="30"/>
          <w:szCs w:val="30"/>
          <w:rtl/>
          <w:lang w:bidi="ar-OM"/>
        </w:rPr>
        <w:t>و</w:t>
      </w:r>
      <w:r w:rsidR="00B20DAC" w:rsidRPr="00EB5BCF">
        <w:rPr>
          <w:rFonts w:ascii="Traditional Arabic" w:hAnsi="Traditional Arabic" w:cs="Traditional Arabic"/>
          <w:sz w:val="30"/>
          <w:szCs w:val="30"/>
          <w:rtl/>
        </w:rPr>
        <w:t xml:space="preserve">من المتوقع أن تكتمل عملية التحويل هذه بعد تخصيص الأسهم للمستثمرين وإدراج الأسهم في بورصة مسقط بتاريخ </w:t>
      </w:r>
      <w:r w:rsidR="00CF54C9" w:rsidRPr="00EB5BCF">
        <w:rPr>
          <w:rFonts w:ascii="Traditional Arabic" w:hAnsi="Traditional Arabic" w:cs="Traditional Arabic" w:hint="eastAsia"/>
          <w:sz w:val="30"/>
          <w:szCs w:val="30"/>
          <w:rtl/>
        </w:rPr>
        <w:t>إدراج</w:t>
      </w:r>
      <w:r w:rsidR="00CF54C9" w:rsidRPr="00EB5BCF">
        <w:rPr>
          <w:rFonts w:ascii="Traditional Arabic" w:hAnsi="Traditional Arabic" w:cs="Traditional Arabic"/>
          <w:sz w:val="30"/>
          <w:szCs w:val="30"/>
          <w:rtl/>
        </w:rPr>
        <w:t xml:space="preserve"> </w:t>
      </w:r>
      <w:r w:rsidR="00CF54C9" w:rsidRPr="00EB5BCF">
        <w:rPr>
          <w:rFonts w:ascii="Traditional Arabic" w:hAnsi="Traditional Arabic" w:cs="Traditional Arabic" w:hint="eastAsia"/>
          <w:sz w:val="30"/>
          <w:szCs w:val="30"/>
          <w:rtl/>
        </w:rPr>
        <w:t>الأسهم</w:t>
      </w:r>
      <w:r w:rsidR="00CF54C9" w:rsidRPr="00EB5BCF">
        <w:rPr>
          <w:rFonts w:ascii="Traditional Arabic" w:hAnsi="Traditional Arabic" w:cs="Traditional Arabic"/>
          <w:sz w:val="30"/>
          <w:szCs w:val="30"/>
          <w:rtl/>
        </w:rPr>
        <w:t>.</w:t>
      </w:r>
    </w:p>
    <w:p w14:paraId="6A586973" w14:textId="77777777" w:rsidR="00585226" w:rsidRPr="00EB5BCF" w:rsidRDefault="002471D5"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lastRenderedPageBreak/>
        <w:t>الفصل ال</w:t>
      </w:r>
      <w:r w:rsidR="0018172A" w:rsidRPr="00EB5BCF">
        <w:rPr>
          <w:rFonts w:ascii="Traditional Arabic" w:hAnsi="Traditional Arabic" w:cs="Traditional Arabic"/>
          <w:b w:val="0"/>
          <w:bCs/>
          <w:sz w:val="30"/>
          <w:szCs w:val="30"/>
          <w:rtl/>
          <w:lang w:bidi="ar-OM"/>
        </w:rPr>
        <w:t>ثامن</w:t>
      </w:r>
    </w:p>
    <w:p w14:paraId="5CD245C7" w14:textId="77777777" w:rsidR="006E0E56" w:rsidRPr="00EB5BCF" w:rsidRDefault="002471D5" w:rsidP="008252E9">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بيانات المساهمين في الشركة</w:t>
      </w:r>
    </w:p>
    <w:p w14:paraId="09CBDDCE" w14:textId="77777777" w:rsidR="002471D5" w:rsidRPr="00EB5BCF" w:rsidRDefault="002471D5" w:rsidP="002471D5">
      <w:pPr>
        <w:pStyle w:val="BodyText1"/>
        <w:bidi/>
        <w:spacing w:after="0"/>
        <w:rPr>
          <w:rFonts w:ascii="Traditional Arabic" w:hAnsi="Traditional Arabic" w:cs="Traditional Arabic"/>
          <w:b/>
          <w:bCs/>
          <w:sz w:val="30"/>
          <w:szCs w:val="30"/>
          <w:rtl/>
          <w:lang w:val="en-GB"/>
        </w:rPr>
      </w:pPr>
    </w:p>
    <w:p w14:paraId="6D08DAA3" w14:textId="77777777" w:rsidR="002471D5" w:rsidRPr="00EB5BCF" w:rsidRDefault="002471D5" w:rsidP="002471D5">
      <w:pPr>
        <w:pStyle w:val="BodyText1"/>
        <w:bidi/>
        <w:spacing w:after="0"/>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rPr>
        <w:t>ملكية أسهم الشركة عند التأسيس</w:t>
      </w:r>
      <w:r w:rsidR="00755FC1">
        <w:rPr>
          <w:rFonts w:ascii="Traditional Arabic" w:hAnsi="Traditional Arabic" w:cs="Traditional Arabic" w:hint="cs"/>
          <w:b/>
          <w:bCs/>
          <w:sz w:val="30"/>
          <w:szCs w:val="30"/>
          <w:rtl/>
          <w:lang w:val="en-GB"/>
        </w:rPr>
        <w:t xml:space="preserve"> والتغييرات اللاحقة</w:t>
      </w:r>
    </w:p>
    <w:p w14:paraId="07B87EE7" w14:textId="77777777" w:rsidR="00EE1528" w:rsidRDefault="002471D5" w:rsidP="002471D5">
      <w:pPr>
        <w:pStyle w:val="BodyText1"/>
        <w:bidi/>
        <w:spacing w:after="0"/>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تأسست الشركة</w:t>
      </w:r>
      <w:r w:rsidR="004E35C3">
        <w:rPr>
          <w:rFonts w:ascii="Traditional Arabic" w:hAnsi="Traditional Arabic" w:cs="Traditional Arabic" w:hint="cs"/>
          <w:sz w:val="30"/>
          <w:szCs w:val="30"/>
          <w:rtl/>
          <w:lang w:val="en-GB"/>
        </w:rPr>
        <w:t xml:space="preserve"> في </w:t>
      </w:r>
      <w:r w:rsidR="00D60EE6">
        <w:rPr>
          <w:rFonts w:ascii="Traditional Arabic" w:hAnsi="Traditional Arabic" w:cs="Traditional Arabic" w:hint="cs"/>
          <w:sz w:val="30"/>
          <w:szCs w:val="30"/>
          <w:rtl/>
          <w:lang w:val="en-GB"/>
        </w:rPr>
        <w:t xml:space="preserve">٢٠ </w:t>
      </w:r>
      <w:r w:rsidR="001D0D3F">
        <w:rPr>
          <w:rFonts w:ascii="Traditional Arabic" w:hAnsi="Traditional Arabic" w:cs="Traditional Arabic" w:hint="cs"/>
          <w:sz w:val="30"/>
          <w:szCs w:val="30"/>
          <w:rtl/>
          <w:lang w:val="en-GB"/>
        </w:rPr>
        <w:t xml:space="preserve">مايو ٢٠٠٣ </w:t>
      </w:r>
      <w:r w:rsidRPr="00EB5BCF">
        <w:rPr>
          <w:rFonts w:ascii="Traditional Arabic" w:hAnsi="Traditional Arabic" w:cs="Traditional Arabic"/>
          <w:sz w:val="30"/>
          <w:szCs w:val="30"/>
          <w:rtl/>
          <w:lang w:val="en-GB"/>
        </w:rPr>
        <w:t xml:space="preserve">برأسمال أولي قدره </w:t>
      </w:r>
      <w:r w:rsidR="00946D1A">
        <w:rPr>
          <w:rFonts w:ascii="Traditional Arabic" w:hAnsi="Traditional Arabic" w:cs="Traditional Arabic" w:hint="cs"/>
          <w:sz w:val="30"/>
          <w:szCs w:val="30"/>
          <w:rtl/>
        </w:rPr>
        <w:t>50.000.000</w:t>
      </w:r>
      <w:r w:rsidR="00946D1A">
        <w:rPr>
          <w:rFonts w:ascii="Traditional Arabic" w:hAnsi="Traditional Arabic" w:cs="Traditional Arabic" w:hint="cs"/>
          <w:sz w:val="30"/>
          <w:szCs w:val="30"/>
          <w:rtl/>
          <w:lang w:val="en-GB"/>
        </w:rPr>
        <w:t xml:space="preserve"> </w:t>
      </w:r>
      <w:r w:rsidRPr="00EB5BCF">
        <w:rPr>
          <w:rFonts w:ascii="Traditional Arabic" w:hAnsi="Traditional Arabic" w:cs="Traditional Arabic"/>
          <w:sz w:val="30"/>
          <w:szCs w:val="30"/>
          <w:rtl/>
          <w:lang w:val="en-GB"/>
        </w:rPr>
        <w:t>ريال عماني</w:t>
      </w:r>
      <w:r w:rsidR="00EE1528">
        <w:rPr>
          <w:rFonts w:ascii="Traditional Arabic" w:hAnsi="Traditional Arabic" w:cs="Traditional Arabic" w:hint="cs"/>
          <w:sz w:val="30"/>
          <w:szCs w:val="30"/>
          <w:rtl/>
          <w:lang w:val="en-GB"/>
        </w:rPr>
        <w:t>، وتمت زيادته فيما بعد على النحو التالي:</w:t>
      </w:r>
    </w:p>
    <w:p w14:paraId="4BE915BF" w14:textId="77777777" w:rsidR="00EE1528" w:rsidRDefault="005D01CD" w:rsidP="00D925C8">
      <w:pPr>
        <w:pStyle w:val="BodyText1"/>
        <w:numPr>
          <w:ilvl w:val="0"/>
          <w:numId w:val="68"/>
        </w:numPr>
        <w:bidi/>
        <w:spacing w:after="0"/>
        <w:rPr>
          <w:rFonts w:ascii="Traditional Arabic" w:hAnsi="Traditional Arabic" w:cs="Traditional Arabic"/>
          <w:sz w:val="30"/>
          <w:szCs w:val="30"/>
          <w:lang w:val="en-GB"/>
        </w:rPr>
      </w:pPr>
      <w:r>
        <w:rPr>
          <w:rFonts w:ascii="Traditional Arabic" w:hAnsi="Traditional Arabic" w:cs="Traditional Arabic" w:hint="cs"/>
          <w:sz w:val="30"/>
          <w:szCs w:val="30"/>
          <w:rtl/>
          <w:lang w:val="en-GB"/>
        </w:rPr>
        <w:t xml:space="preserve"> </w:t>
      </w:r>
      <w:r w:rsidR="009B42F0" w:rsidRPr="009B42F0">
        <w:rPr>
          <w:rFonts w:ascii="Traditional Arabic" w:hAnsi="Traditional Arabic" w:cs="Traditional Arabic"/>
          <w:sz w:val="30"/>
          <w:szCs w:val="30"/>
          <w:rtl/>
          <w:lang w:val="en-GB"/>
        </w:rPr>
        <w:t>٦٢,٥٠٠,٠٠٠</w:t>
      </w:r>
      <w:r>
        <w:rPr>
          <w:rFonts w:ascii="Traditional Arabic" w:hAnsi="Traditional Arabic" w:cs="Traditional Arabic" w:hint="cs"/>
          <w:sz w:val="30"/>
          <w:szCs w:val="30"/>
          <w:rtl/>
          <w:lang w:val="en-GB"/>
        </w:rPr>
        <w:t xml:space="preserve"> ريال عماني، في عام ٢٠٠٥</w:t>
      </w:r>
    </w:p>
    <w:p w14:paraId="47F41235" w14:textId="77777777" w:rsidR="002471D5" w:rsidRPr="0011015D" w:rsidRDefault="00DB0E4B" w:rsidP="00D925C8">
      <w:pPr>
        <w:pStyle w:val="BodyText1"/>
        <w:numPr>
          <w:ilvl w:val="0"/>
          <w:numId w:val="70"/>
        </w:numPr>
        <w:bidi/>
        <w:spacing w:after="0"/>
        <w:rPr>
          <w:rFonts w:ascii="Traditional Arabic" w:hAnsi="Traditional Arabic" w:cs="Traditional Arabic"/>
          <w:sz w:val="30"/>
          <w:szCs w:val="30"/>
          <w:rtl/>
          <w:lang w:val="en-GB"/>
        </w:rPr>
      </w:pPr>
      <w:r w:rsidRPr="00DB0E4B">
        <w:rPr>
          <w:rFonts w:ascii="Traditional Arabic" w:hAnsi="Traditional Arabic" w:cs="Traditional Arabic"/>
          <w:sz w:val="30"/>
          <w:szCs w:val="30"/>
          <w:rtl/>
          <w:lang w:val="en-GB"/>
        </w:rPr>
        <w:t>١٠٨,٤٩٠,٢٠٠</w:t>
      </w:r>
      <w:r>
        <w:rPr>
          <w:rFonts w:ascii="Traditional Arabic" w:hAnsi="Traditional Arabic" w:cs="Traditional Arabic"/>
          <w:sz w:val="30"/>
          <w:szCs w:val="30"/>
          <w:lang w:val="en-GB"/>
        </w:rPr>
        <w:t xml:space="preserve"> </w:t>
      </w:r>
      <w:r>
        <w:rPr>
          <w:rFonts w:ascii="Traditional Arabic" w:hAnsi="Traditional Arabic" w:cs="Traditional Arabic" w:hint="cs"/>
          <w:sz w:val="30"/>
          <w:szCs w:val="30"/>
          <w:rtl/>
          <w:lang w:val="en-GB"/>
        </w:rPr>
        <w:t>ريال عماني، في عام ٢٠٠٩</w:t>
      </w:r>
    </w:p>
    <w:p w14:paraId="796B6294" w14:textId="77777777" w:rsidR="00362B16" w:rsidRDefault="00C64999" w:rsidP="00D925C8">
      <w:pPr>
        <w:pStyle w:val="BodyText1"/>
        <w:numPr>
          <w:ilvl w:val="0"/>
          <w:numId w:val="69"/>
        </w:numPr>
        <w:bidi/>
        <w:spacing w:after="0"/>
        <w:rPr>
          <w:rFonts w:ascii="Traditional Arabic" w:hAnsi="Traditional Arabic" w:cs="Traditional Arabic"/>
          <w:sz w:val="30"/>
          <w:szCs w:val="30"/>
          <w:rtl/>
          <w:lang w:val="en-GB"/>
        </w:rPr>
      </w:pPr>
      <w:r w:rsidRPr="00C64999">
        <w:rPr>
          <w:rFonts w:ascii="Traditional Arabic" w:hAnsi="Traditional Arabic" w:cs="Traditional Arabic"/>
          <w:sz w:val="30"/>
          <w:szCs w:val="30"/>
          <w:rtl/>
          <w:lang w:val="en-GB"/>
        </w:rPr>
        <w:t>٣٤</w:t>
      </w:r>
      <w:r w:rsidR="00C542CE">
        <w:rPr>
          <w:rFonts w:ascii="Traditional Arabic" w:hAnsi="Traditional Arabic" w:cs="Traditional Arabic" w:hint="cs"/>
          <w:sz w:val="30"/>
          <w:szCs w:val="30"/>
          <w:rtl/>
          <w:lang w:val="en-GB"/>
        </w:rPr>
        <w:t>6</w:t>
      </w:r>
      <w:r w:rsidRPr="00C64999">
        <w:rPr>
          <w:rFonts w:ascii="Traditional Arabic" w:hAnsi="Traditional Arabic" w:cs="Traditional Arabic"/>
          <w:sz w:val="30"/>
          <w:szCs w:val="30"/>
          <w:rtl/>
          <w:lang w:val="en-GB"/>
        </w:rPr>
        <w:t>,٦٤٦,٠١٢</w:t>
      </w:r>
      <w:r w:rsidR="00184260">
        <w:rPr>
          <w:rFonts w:ascii="Traditional Arabic" w:hAnsi="Traditional Arabic" w:cs="Traditional Arabic"/>
          <w:sz w:val="30"/>
          <w:szCs w:val="30"/>
          <w:lang w:val="en-GB"/>
        </w:rPr>
        <w:t xml:space="preserve"> </w:t>
      </w:r>
      <w:r w:rsidR="00184260">
        <w:rPr>
          <w:rFonts w:ascii="Traditional Arabic" w:hAnsi="Traditional Arabic" w:cs="Traditional Arabic" w:hint="cs"/>
          <w:sz w:val="30"/>
          <w:szCs w:val="30"/>
          <w:rtl/>
          <w:lang w:val="en-GB"/>
        </w:rPr>
        <w:t>ريال عماني، في ١٥ يونيو ٢٠٢١</w:t>
      </w:r>
    </w:p>
    <w:p w14:paraId="27B1B41D" w14:textId="77777777" w:rsidR="00184260" w:rsidRDefault="00184260" w:rsidP="00D925C8">
      <w:pPr>
        <w:pStyle w:val="BodyText1"/>
        <w:numPr>
          <w:ilvl w:val="0"/>
          <w:numId w:val="69"/>
        </w:numPr>
        <w:bidi/>
        <w:spacing w:after="0"/>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تم تخفيض ر</w:t>
      </w:r>
      <w:r w:rsidR="00A36DFE">
        <w:rPr>
          <w:rFonts w:ascii="Traditional Arabic" w:hAnsi="Traditional Arabic" w:cs="Traditional Arabic" w:hint="cs"/>
          <w:sz w:val="30"/>
          <w:szCs w:val="30"/>
          <w:rtl/>
          <w:lang w:val="en-GB"/>
        </w:rPr>
        <w:t>أ</w:t>
      </w:r>
      <w:r>
        <w:rPr>
          <w:rFonts w:ascii="Traditional Arabic" w:hAnsi="Traditional Arabic" w:cs="Traditional Arabic" w:hint="cs"/>
          <w:sz w:val="30"/>
          <w:szCs w:val="30"/>
          <w:rtl/>
          <w:lang w:val="en-GB"/>
        </w:rPr>
        <w:t xml:space="preserve">سمال الشركة في ٢ ديسمبر ٢٠٢١ الى </w:t>
      </w:r>
      <w:r w:rsidR="00A36DFE" w:rsidRPr="00A36DFE">
        <w:rPr>
          <w:rFonts w:ascii="Traditional Arabic" w:hAnsi="Traditional Arabic" w:cs="Traditional Arabic"/>
          <w:sz w:val="30"/>
          <w:szCs w:val="30"/>
          <w:rtl/>
          <w:lang w:val="en-GB"/>
        </w:rPr>
        <w:t>١٣٠,٢١٨,٦٠٧</w:t>
      </w:r>
      <w:r w:rsidR="00A36DFE">
        <w:rPr>
          <w:rFonts w:ascii="Traditional Arabic" w:hAnsi="Traditional Arabic" w:cs="Traditional Arabic" w:hint="cs"/>
          <w:sz w:val="30"/>
          <w:szCs w:val="30"/>
          <w:rtl/>
          <w:lang w:val="en-GB"/>
        </w:rPr>
        <w:t xml:space="preserve"> ريال عماني، والذي يمثل رأسمال الشركة الحالي</w:t>
      </w:r>
      <w:r w:rsidR="00BB1931">
        <w:rPr>
          <w:rFonts w:ascii="Traditional Arabic" w:hAnsi="Traditional Arabic" w:cs="Traditional Arabic" w:hint="cs"/>
          <w:sz w:val="30"/>
          <w:szCs w:val="30"/>
          <w:rtl/>
          <w:lang w:val="en-GB"/>
        </w:rPr>
        <w:t>.</w:t>
      </w:r>
    </w:p>
    <w:p w14:paraId="6757892F" w14:textId="77777777" w:rsidR="00EE1528" w:rsidRPr="00C73B2D" w:rsidRDefault="00EE1528" w:rsidP="00EE1528">
      <w:pPr>
        <w:autoSpaceDE w:val="0"/>
        <w:autoSpaceDN w:val="0"/>
        <w:bidi/>
        <w:adjustRightInd w:val="0"/>
        <w:spacing w:beforeLines="40" w:before="96" w:afterLines="40" w:after="96" w:line="276" w:lineRule="auto"/>
        <w:jc w:val="both"/>
        <w:rPr>
          <w:rFonts w:ascii="Traditional Arabic" w:hAnsi="Traditional Arabic" w:cs="Traditional Arabic"/>
          <w:sz w:val="30"/>
          <w:szCs w:val="30"/>
        </w:rPr>
      </w:pPr>
      <w:r w:rsidRPr="00C73B2D">
        <w:rPr>
          <w:rFonts w:ascii="Traditional Arabic" w:hAnsi="Traditional Arabic" w:cs="Traditional Arabic"/>
          <w:sz w:val="30"/>
          <w:szCs w:val="30"/>
          <w:rtl/>
        </w:rPr>
        <w:t xml:space="preserve">في </w:t>
      </w:r>
      <w:r w:rsidR="00FF3CD6">
        <w:rPr>
          <w:rFonts w:ascii="Traditional Arabic" w:hAnsi="Traditional Arabic" w:cs="Traditional Arabic" w:hint="cs"/>
          <w:sz w:val="30"/>
          <w:szCs w:val="30"/>
          <w:rtl/>
        </w:rPr>
        <w:t>٢٤ ديسمبر ٢٠٢٤</w:t>
      </w:r>
      <w:r w:rsidR="00FF3CD6"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 xml:space="preserve">وافق </w:t>
      </w:r>
      <w:r w:rsidR="007D4F7A">
        <w:rPr>
          <w:rFonts w:ascii="Traditional Arabic" w:hAnsi="Traditional Arabic" w:cs="Traditional Arabic" w:hint="cs"/>
          <w:sz w:val="30"/>
          <w:szCs w:val="30"/>
          <w:rtl/>
        </w:rPr>
        <w:t>مجلس إدارة الشركة</w:t>
      </w:r>
      <w:r w:rsidRPr="00C73B2D">
        <w:rPr>
          <w:rFonts w:ascii="Traditional Arabic" w:hAnsi="Traditional Arabic" w:cs="Traditional Arabic"/>
          <w:sz w:val="30"/>
          <w:szCs w:val="30"/>
          <w:rtl/>
        </w:rPr>
        <w:t xml:space="preserve"> على تغيير </w:t>
      </w:r>
      <w:r w:rsidR="007D4F7A">
        <w:rPr>
          <w:rFonts w:ascii="Traditional Arabic" w:hAnsi="Traditional Arabic" w:cs="Traditional Arabic" w:hint="cs"/>
          <w:sz w:val="30"/>
          <w:szCs w:val="30"/>
          <w:rtl/>
        </w:rPr>
        <w:t>قيمة الأسهم</w:t>
      </w:r>
      <w:r w:rsidRPr="00C73B2D">
        <w:rPr>
          <w:rFonts w:ascii="Traditional Arabic" w:hAnsi="Traditional Arabic" w:cs="Traditional Arabic"/>
          <w:sz w:val="30"/>
          <w:szCs w:val="30"/>
          <w:rtl/>
        </w:rPr>
        <w:t xml:space="preserve"> من ريال عُماني واحد للسهم الواحد إلى </w:t>
      </w:r>
      <w:r w:rsidR="0096718D">
        <w:rPr>
          <w:rFonts w:ascii="Traditional Arabic" w:hAnsi="Traditional Arabic" w:cs="Traditional Arabic" w:hint="cs"/>
          <w:sz w:val="30"/>
          <w:szCs w:val="30"/>
          <w:rtl/>
        </w:rPr>
        <w:t>25</w:t>
      </w:r>
      <w:r w:rsidR="0096718D" w:rsidRPr="00C73B2D">
        <w:rPr>
          <w:rFonts w:ascii="Traditional Arabic" w:hAnsi="Traditional Arabic" w:cs="Traditional Arabic"/>
          <w:sz w:val="30"/>
          <w:szCs w:val="30"/>
          <w:rtl/>
        </w:rPr>
        <w:t xml:space="preserve"> </w:t>
      </w:r>
      <w:r w:rsidRPr="00C73B2D">
        <w:rPr>
          <w:rFonts w:ascii="Traditional Arabic" w:hAnsi="Traditional Arabic" w:cs="Traditional Arabic"/>
          <w:sz w:val="30"/>
          <w:szCs w:val="30"/>
          <w:rtl/>
        </w:rPr>
        <w:t>بيسة للسهم الواحد</w:t>
      </w:r>
      <w:r w:rsidRPr="00C73B2D">
        <w:rPr>
          <w:rFonts w:ascii="Traditional Arabic" w:eastAsia="Calibri" w:hAnsi="Traditional Arabic" w:cs="Traditional Arabic"/>
          <w:sz w:val="30"/>
          <w:szCs w:val="30"/>
          <w:rtl/>
        </w:rPr>
        <w:t xml:space="preserve">. </w:t>
      </w:r>
      <w:r w:rsidRPr="00C73B2D">
        <w:rPr>
          <w:rFonts w:ascii="Traditional Arabic" w:hAnsi="Traditional Arabic" w:cs="Traditional Arabic"/>
          <w:sz w:val="30"/>
          <w:szCs w:val="30"/>
          <w:rtl/>
        </w:rPr>
        <w:t xml:space="preserve">يوضح الجدول التالي تفاصيل رأس المال المصدر اعتبارا من تاريخ </w:t>
      </w:r>
      <w:r w:rsidR="007D5503">
        <w:rPr>
          <w:rFonts w:ascii="Traditional Arabic" w:hAnsi="Traditional Arabic" w:cs="Traditional Arabic" w:hint="cs"/>
          <w:sz w:val="30"/>
          <w:szCs w:val="30"/>
          <w:rtl/>
        </w:rPr>
        <w:t>هذه ال</w:t>
      </w:r>
      <w:r w:rsidRPr="00C73B2D">
        <w:rPr>
          <w:rFonts w:ascii="Traditional Arabic" w:hAnsi="Traditional Arabic" w:cs="Traditional Arabic"/>
          <w:sz w:val="30"/>
          <w:szCs w:val="30"/>
          <w:rtl/>
        </w:rPr>
        <w:t xml:space="preserve">نشرة: </w:t>
      </w:r>
    </w:p>
    <w:p w14:paraId="2436C94F" w14:textId="77777777" w:rsidR="00EE1528" w:rsidRPr="00CD53BC" w:rsidRDefault="00EE1528" w:rsidP="00EE1528">
      <w:pPr>
        <w:pStyle w:val="BodyText1"/>
        <w:bidi/>
        <w:spacing w:after="0"/>
        <w:rPr>
          <w:rFonts w:ascii="Traditional Arabic" w:hAnsi="Traditional Arabic" w:cs="Traditional Arabic"/>
          <w:sz w:val="30"/>
          <w:szCs w:val="30"/>
          <w:rtl/>
        </w:rPr>
      </w:pPr>
    </w:p>
    <w:tbl>
      <w:tblPr>
        <w:tblStyle w:val="TableGrid"/>
        <w:bidiVisual/>
        <w:tblW w:w="0" w:type="auto"/>
        <w:tblInd w:w="-45" w:type="dxa"/>
        <w:tblLook w:val="04A0" w:firstRow="1" w:lastRow="0" w:firstColumn="1" w:lastColumn="0" w:noHBand="0" w:noVBand="1"/>
      </w:tblPr>
      <w:tblGrid>
        <w:gridCol w:w="4002"/>
        <w:gridCol w:w="2835"/>
        <w:gridCol w:w="2548"/>
      </w:tblGrid>
      <w:tr w:rsidR="00DE3FCA" w:rsidRPr="00EB5BCF" w14:paraId="2AD2AC6C" w14:textId="77777777" w:rsidTr="00272B36">
        <w:tc>
          <w:tcPr>
            <w:tcW w:w="4002" w:type="dxa"/>
          </w:tcPr>
          <w:p w14:paraId="64D5B17D" w14:textId="77777777" w:rsidR="00DE3FCA" w:rsidRPr="00826D63" w:rsidRDefault="00FF3CD6" w:rsidP="002471D5">
            <w:pPr>
              <w:pStyle w:val="ListParagraph"/>
              <w:autoSpaceDE w:val="0"/>
              <w:autoSpaceDN w:val="0"/>
              <w:bidi/>
              <w:adjustRightInd w:val="0"/>
              <w:ind w:left="0"/>
              <w:jc w:val="both"/>
              <w:rPr>
                <w:rFonts w:ascii="Traditional Arabic" w:hAnsi="Traditional Arabic" w:cs="Traditional Arabic"/>
                <w:b/>
                <w:bCs/>
                <w:sz w:val="30"/>
                <w:szCs w:val="30"/>
                <w:rtl/>
              </w:rPr>
            </w:pPr>
            <w:r w:rsidRPr="00826D63">
              <w:rPr>
                <w:rFonts w:ascii="Traditional Arabic" w:hAnsi="Traditional Arabic" w:cs="Traditional Arabic" w:hint="eastAsia"/>
                <w:b/>
                <w:bCs/>
                <w:sz w:val="30"/>
                <w:szCs w:val="30"/>
                <w:rtl/>
              </w:rPr>
              <w:t>أسماء</w:t>
            </w:r>
            <w:r w:rsidR="00DE3FCA" w:rsidRPr="00826D63">
              <w:rPr>
                <w:rFonts w:ascii="Traditional Arabic" w:hAnsi="Traditional Arabic" w:cs="Traditional Arabic"/>
                <w:b/>
                <w:bCs/>
                <w:sz w:val="30"/>
                <w:szCs w:val="30"/>
                <w:rtl/>
              </w:rPr>
              <w:t xml:space="preserve"> المساهم</w:t>
            </w:r>
            <w:r w:rsidRPr="00826D63">
              <w:rPr>
                <w:rFonts w:ascii="Traditional Arabic" w:hAnsi="Traditional Arabic" w:cs="Traditional Arabic" w:hint="eastAsia"/>
                <w:b/>
                <w:bCs/>
                <w:sz w:val="30"/>
                <w:szCs w:val="30"/>
                <w:rtl/>
              </w:rPr>
              <w:t>ين</w:t>
            </w:r>
          </w:p>
        </w:tc>
        <w:tc>
          <w:tcPr>
            <w:tcW w:w="2835" w:type="dxa"/>
          </w:tcPr>
          <w:p w14:paraId="750707C9" w14:textId="77777777" w:rsidR="00DE3FCA" w:rsidRPr="00826D63" w:rsidRDefault="00DE3FCA" w:rsidP="002471D5">
            <w:pPr>
              <w:pStyle w:val="ListParagraph"/>
              <w:autoSpaceDE w:val="0"/>
              <w:autoSpaceDN w:val="0"/>
              <w:bidi/>
              <w:adjustRightInd w:val="0"/>
              <w:ind w:left="0"/>
              <w:jc w:val="both"/>
              <w:rPr>
                <w:rFonts w:ascii="Traditional Arabic" w:hAnsi="Traditional Arabic" w:cs="Traditional Arabic"/>
                <w:b/>
                <w:bCs/>
                <w:sz w:val="30"/>
                <w:szCs w:val="30"/>
                <w:rtl/>
              </w:rPr>
            </w:pPr>
            <w:r w:rsidRPr="00826D63">
              <w:rPr>
                <w:rFonts w:ascii="Traditional Arabic" w:hAnsi="Traditional Arabic" w:cs="Traditional Arabic"/>
                <w:b/>
                <w:bCs/>
                <w:sz w:val="30"/>
                <w:szCs w:val="30"/>
                <w:rtl/>
              </w:rPr>
              <w:t>عدد الأسهم المملوكة</w:t>
            </w:r>
            <w:r w:rsidR="007D5503" w:rsidRPr="00826D63">
              <w:rPr>
                <w:rFonts w:ascii="Traditional Arabic" w:hAnsi="Traditional Arabic" w:cs="Traditional Arabic"/>
                <w:b/>
                <w:bCs/>
                <w:sz w:val="30"/>
                <w:szCs w:val="30"/>
                <w:rtl/>
              </w:rPr>
              <w:t xml:space="preserve"> (بقيمة </w:t>
            </w:r>
            <w:r w:rsidR="002461B6" w:rsidRPr="00826D63">
              <w:rPr>
                <w:rFonts w:ascii="Traditional Arabic" w:hAnsi="Traditional Arabic" w:cs="Traditional Arabic"/>
                <w:b/>
                <w:bCs/>
                <w:sz w:val="30"/>
                <w:szCs w:val="30"/>
                <w:rtl/>
              </w:rPr>
              <w:t xml:space="preserve">25 </w:t>
            </w:r>
            <w:r w:rsidR="007D5503" w:rsidRPr="00826D63">
              <w:rPr>
                <w:rFonts w:ascii="Traditional Arabic" w:hAnsi="Traditional Arabic" w:cs="Traditional Arabic" w:hint="eastAsia"/>
                <w:b/>
                <w:bCs/>
                <w:sz w:val="30"/>
                <w:szCs w:val="30"/>
                <w:rtl/>
              </w:rPr>
              <w:t>بيسة</w:t>
            </w:r>
            <w:r w:rsidR="007D5503" w:rsidRPr="00826D63">
              <w:rPr>
                <w:rFonts w:ascii="Traditional Arabic" w:hAnsi="Traditional Arabic" w:cs="Traditional Arabic"/>
                <w:b/>
                <w:bCs/>
                <w:sz w:val="30"/>
                <w:szCs w:val="30"/>
                <w:rtl/>
              </w:rPr>
              <w:t>)</w:t>
            </w:r>
            <w:r w:rsidRPr="00826D63">
              <w:rPr>
                <w:rFonts w:ascii="Traditional Arabic" w:hAnsi="Traditional Arabic" w:cs="Traditional Arabic"/>
                <w:b/>
                <w:bCs/>
                <w:sz w:val="30"/>
                <w:szCs w:val="30"/>
                <w:rtl/>
              </w:rPr>
              <w:t xml:space="preserve"> </w:t>
            </w:r>
          </w:p>
        </w:tc>
        <w:tc>
          <w:tcPr>
            <w:tcW w:w="2548" w:type="dxa"/>
          </w:tcPr>
          <w:p w14:paraId="29C2A222" w14:textId="77777777" w:rsidR="00DE3FCA" w:rsidRPr="00826D63" w:rsidRDefault="00DE3FCA" w:rsidP="002471D5">
            <w:pPr>
              <w:pStyle w:val="ListParagraph"/>
              <w:autoSpaceDE w:val="0"/>
              <w:autoSpaceDN w:val="0"/>
              <w:bidi/>
              <w:adjustRightInd w:val="0"/>
              <w:ind w:left="0"/>
              <w:jc w:val="both"/>
              <w:rPr>
                <w:rFonts w:ascii="Traditional Arabic" w:hAnsi="Traditional Arabic" w:cs="Traditional Arabic"/>
                <w:b/>
                <w:bCs/>
                <w:sz w:val="30"/>
                <w:szCs w:val="30"/>
                <w:rtl/>
              </w:rPr>
            </w:pPr>
            <w:r w:rsidRPr="00826D63">
              <w:rPr>
                <w:rFonts w:ascii="Traditional Arabic" w:hAnsi="Traditional Arabic" w:cs="Traditional Arabic"/>
                <w:b/>
                <w:bCs/>
                <w:sz w:val="30"/>
                <w:szCs w:val="30"/>
                <w:rtl/>
              </w:rPr>
              <w:t xml:space="preserve">نسبة </w:t>
            </w:r>
            <w:r w:rsidR="007D5503" w:rsidRPr="00826D63">
              <w:rPr>
                <w:rFonts w:ascii="Traditional Arabic" w:hAnsi="Traditional Arabic" w:cs="Traditional Arabic" w:hint="eastAsia"/>
                <w:b/>
                <w:bCs/>
                <w:sz w:val="30"/>
                <w:szCs w:val="30"/>
                <w:rtl/>
              </w:rPr>
              <w:t>أسهم</w:t>
            </w:r>
            <w:r w:rsidR="007D5503" w:rsidRPr="00826D63">
              <w:rPr>
                <w:rFonts w:ascii="Traditional Arabic" w:hAnsi="Traditional Arabic" w:cs="Traditional Arabic"/>
                <w:b/>
                <w:bCs/>
                <w:sz w:val="30"/>
                <w:szCs w:val="30"/>
                <w:rtl/>
              </w:rPr>
              <w:t xml:space="preserve"> رأس المال المصدر </w:t>
            </w:r>
          </w:p>
        </w:tc>
      </w:tr>
      <w:tr w:rsidR="005D6975" w:rsidRPr="00EB5BCF" w14:paraId="22D2E51F" w14:textId="77777777" w:rsidTr="00272B36">
        <w:tc>
          <w:tcPr>
            <w:tcW w:w="4002" w:type="dxa"/>
          </w:tcPr>
          <w:p w14:paraId="6F2D7C4E" w14:textId="77777777" w:rsidR="005D6975" w:rsidRPr="00FF3CD6" w:rsidRDefault="002104A9" w:rsidP="005D6975">
            <w:pPr>
              <w:pStyle w:val="ListParagraph"/>
              <w:autoSpaceDE w:val="0"/>
              <w:autoSpaceDN w:val="0"/>
              <w:bidi/>
              <w:adjustRightInd w:val="0"/>
              <w:ind w:left="0"/>
              <w:jc w:val="both"/>
              <w:rPr>
                <w:rFonts w:ascii="Traditional Arabic" w:hAnsi="Traditional Arabic" w:cs="Traditional Arabic"/>
                <w:sz w:val="30"/>
                <w:szCs w:val="30"/>
                <w:vertAlign w:val="superscript"/>
                <w:rtl/>
              </w:rPr>
            </w:pPr>
            <w:r>
              <w:rPr>
                <w:rFonts w:ascii="Traditional Arabic" w:hAnsi="Traditional Arabic" w:cs="Traditional Arabic" w:hint="cs"/>
                <w:sz w:val="30"/>
                <w:szCs w:val="30"/>
                <w:rtl/>
              </w:rPr>
              <w:t xml:space="preserve">شركة </w:t>
            </w:r>
            <w:r w:rsidR="0096718D">
              <w:rPr>
                <w:rFonts w:ascii="Traditional Arabic" w:hAnsi="Traditional Arabic" w:cs="Traditional Arabic" w:hint="cs"/>
                <w:sz w:val="30"/>
                <w:szCs w:val="30"/>
                <w:rtl/>
              </w:rPr>
              <w:t>مجموعة أسياد ش م ع م</w:t>
            </w:r>
            <w:r w:rsidR="00FF3CD6">
              <w:rPr>
                <w:rFonts w:ascii="Traditional Arabic" w:hAnsi="Traditional Arabic" w:cs="Traditional Arabic" w:hint="cs"/>
                <w:sz w:val="30"/>
                <w:szCs w:val="30"/>
                <w:vertAlign w:val="superscript"/>
                <w:rtl/>
              </w:rPr>
              <w:t>(١)</w:t>
            </w:r>
          </w:p>
        </w:tc>
        <w:tc>
          <w:tcPr>
            <w:tcW w:w="2835" w:type="dxa"/>
          </w:tcPr>
          <w:p w14:paraId="3F06AAB5" w14:textId="77777777" w:rsidR="005D6975" w:rsidRPr="00EB5BCF" w:rsidRDefault="002461B6" w:rsidP="005D6975">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5,208,744,</w:t>
            </w:r>
            <w:r w:rsidR="005D2FB3">
              <w:rPr>
                <w:rFonts w:ascii="Traditional Arabic" w:hAnsi="Traditional Arabic" w:cs="Traditional Arabic" w:hint="cs"/>
                <w:sz w:val="30"/>
                <w:szCs w:val="30"/>
                <w:rtl/>
              </w:rPr>
              <w:t>240</w:t>
            </w:r>
          </w:p>
        </w:tc>
        <w:tc>
          <w:tcPr>
            <w:tcW w:w="2548" w:type="dxa"/>
          </w:tcPr>
          <w:p w14:paraId="7DCFAAA8" w14:textId="77777777" w:rsidR="005D6975" w:rsidRPr="00EB5BCF" w:rsidRDefault="00FF3CD6" w:rsidP="005D6975">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٩٩.٩٩٩</w:t>
            </w:r>
            <w:r w:rsidR="00171EF3">
              <w:rPr>
                <w:rFonts w:ascii="Traditional Arabic" w:hAnsi="Traditional Arabic" w:cs="Traditional Arabic" w:hint="cs"/>
                <w:sz w:val="30"/>
                <w:szCs w:val="30"/>
                <w:rtl/>
              </w:rPr>
              <w:t>٪</w:t>
            </w:r>
          </w:p>
        </w:tc>
      </w:tr>
      <w:tr w:rsidR="00FF3CD6" w:rsidRPr="00EB5BCF" w14:paraId="13792FDF" w14:textId="77777777" w:rsidTr="00272B36">
        <w:tc>
          <w:tcPr>
            <w:tcW w:w="4002" w:type="dxa"/>
          </w:tcPr>
          <w:p w14:paraId="0FAC93EE" w14:textId="77777777" w:rsidR="00FF3CD6" w:rsidRPr="00CA4D73" w:rsidRDefault="00FF3CD6" w:rsidP="005D6975">
            <w:pPr>
              <w:pStyle w:val="ListParagraph"/>
              <w:autoSpaceDE w:val="0"/>
              <w:autoSpaceDN w:val="0"/>
              <w:bidi/>
              <w:adjustRightInd w:val="0"/>
              <w:ind w:left="0"/>
              <w:jc w:val="both"/>
              <w:rPr>
                <w:rFonts w:ascii="Traditional Arabic" w:hAnsi="Traditional Arabic" w:cs="Traditional Arabic"/>
                <w:sz w:val="30"/>
                <w:szCs w:val="30"/>
                <w:vertAlign w:val="superscript"/>
                <w:rtl/>
              </w:rPr>
            </w:pPr>
            <w:r>
              <w:rPr>
                <w:rFonts w:ascii="Traditional Arabic" w:hAnsi="Traditional Arabic" w:cs="Traditional Arabic" w:hint="cs"/>
                <w:sz w:val="30"/>
                <w:szCs w:val="30"/>
                <w:rtl/>
              </w:rPr>
              <w:t>شركة قطارات عمان ش م م</w:t>
            </w:r>
            <w:r>
              <w:rPr>
                <w:rFonts w:ascii="Traditional Arabic" w:hAnsi="Traditional Arabic" w:cs="Traditional Arabic" w:hint="cs"/>
                <w:sz w:val="30"/>
                <w:szCs w:val="30"/>
                <w:vertAlign w:val="superscript"/>
                <w:rtl/>
              </w:rPr>
              <w:t>(٢)</w:t>
            </w:r>
          </w:p>
        </w:tc>
        <w:tc>
          <w:tcPr>
            <w:tcW w:w="2835" w:type="dxa"/>
          </w:tcPr>
          <w:p w14:paraId="6AB3D7BE" w14:textId="77777777" w:rsidR="00FF3CD6" w:rsidRDefault="005D2FB3" w:rsidP="005D6975">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40</w:t>
            </w:r>
          </w:p>
        </w:tc>
        <w:tc>
          <w:tcPr>
            <w:tcW w:w="2548" w:type="dxa"/>
          </w:tcPr>
          <w:p w14:paraId="10687C67" w14:textId="77777777" w:rsidR="00FF3CD6" w:rsidDel="00FF3CD6" w:rsidRDefault="00FF3CD6" w:rsidP="005D6975">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٠.٠٠١٪</w:t>
            </w:r>
          </w:p>
        </w:tc>
      </w:tr>
      <w:tr w:rsidR="00A4376E" w:rsidRPr="00EB5BCF" w14:paraId="656CAA73" w14:textId="77777777" w:rsidTr="00272B36">
        <w:tc>
          <w:tcPr>
            <w:tcW w:w="4002" w:type="dxa"/>
          </w:tcPr>
          <w:p w14:paraId="2B2E372F" w14:textId="77777777" w:rsidR="00A4376E" w:rsidRPr="00826D63" w:rsidRDefault="00A4376E" w:rsidP="00A4376E">
            <w:pPr>
              <w:pStyle w:val="ListParagraph"/>
              <w:autoSpaceDE w:val="0"/>
              <w:autoSpaceDN w:val="0"/>
              <w:bidi/>
              <w:adjustRightInd w:val="0"/>
              <w:ind w:left="0"/>
              <w:jc w:val="both"/>
              <w:rPr>
                <w:rFonts w:ascii="Traditional Arabic" w:hAnsi="Traditional Arabic" w:cs="Traditional Arabic"/>
                <w:b/>
                <w:bCs/>
                <w:sz w:val="30"/>
                <w:szCs w:val="30"/>
                <w:rtl/>
              </w:rPr>
            </w:pPr>
            <w:r w:rsidRPr="00826D63">
              <w:rPr>
                <w:rFonts w:ascii="Traditional Arabic" w:hAnsi="Traditional Arabic" w:cs="Traditional Arabic" w:hint="eastAsia"/>
                <w:b/>
                <w:bCs/>
                <w:sz w:val="30"/>
                <w:szCs w:val="30"/>
                <w:rtl/>
              </w:rPr>
              <w:t>الإجمالي</w:t>
            </w:r>
          </w:p>
        </w:tc>
        <w:tc>
          <w:tcPr>
            <w:tcW w:w="2835" w:type="dxa"/>
          </w:tcPr>
          <w:p w14:paraId="2707D041" w14:textId="77777777" w:rsidR="00A4376E" w:rsidRPr="00826D63" w:rsidDel="007D5503" w:rsidRDefault="002461B6" w:rsidP="00A4376E">
            <w:pPr>
              <w:pStyle w:val="ListParagraph"/>
              <w:autoSpaceDE w:val="0"/>
              <w:autoSpaceDN w:val="0"/>
              <w:bidi/>
              <w:adjustRightInd w:val="0"/>
              <w:ind w:left="0"/>
              <w:jc w:val="both"/>
              <w:rPr>
                <w:rFonts w:ascii="Traditional Arabic" w:hAnsi="Traditional Arabic" w:cs="Traditional Arabic"/>
                <w:b/>
                <w:bCs/>
                <w:rtl/>
              </w:rPr>
            </w:pPr>
            <w:r w:rsidRPr="00826D63">
              <w:rPr>
                <w:rFonts w:ascii="Traditional Arabic" w:hAnsi="Traditional Arabic" w:cs="Traditional Arabic"/>
                <w:b/>
                <w:bCs/>
                <w:sz w:val="30"/>
                <w:szCs w:val="30"/>
                <w:rtl/>
              </w:rPr>
              <w:t>5,208,744,280</w:t>
            </w:r>
          </w:p>
        </w:tc>
        <w:tc>
          <w:tcPr>
            <w:tcW w:w="2548" w:type="dxa"/>
          </w:tcPr>
          <w:p w14:paraId="71CD20B5" w14:textId="77777777" w:rsidR="00A4376E" w:rsidRPr="00826D63" w:rsidRDefault="007E26F4" w:rsidP="00A4376E">
            <w:pPr>
              <w:pStyle w:val="ListParagraph"/>
              <w:autoSpaceDE w:val="0"/>
              <w:autoSpaceDN w:val="0"/>
              <w:bidi/>
              <w:adjustRightInd w:val="0"/>
              <w:ind w:left="0"/>
              <w:jc w:val="both"/>
              <w:rPr>
                <w:rFonts w:ascii="Traditional Arabic" w:hAnsi="Traditional Arabic" w:cs="Traditional Arabic"/>
                <w:b/>
                <w:bCs/>
                <w:sz w:val="30"/>
                <w:szCs w:val="30"/>
                <w:rtl/>
              </w:rPr>
            </w:pPr>
            <w:r w:rsidRPr="00826D63">
              <w:rPr>
                <w:rFonts w:ascii="Traditional Arabic" w:hAnsi="Traditional Arabic" w:cs="Traditional Arabic"/>
                <w:b/>
                <w:bCs/>
                <w:sz w:val="30"/>
                <w:szCs w:val="30"/>
                <w:rtl/>
              </w:rPr>
              <w:t>000</w:t>
            </w:r>
            <w:r w:rsidRPr="00826D63">
              <w:rPr>
                <w:rFonts w:ascii="Traditional Arabic" w:hAnsi="Traditional Arabic" w:cs="Traditional Arabic"/>
                <w:b/>
                <w:bCs/>
                <w:sz w:val="30"/>
                <w:szCs w:val="30"/>
                <w:lang w:val="en-GB"/>
              </w:rPr>
              <w:t>.</w:t>
            </w:r>
            <w:r w:rsidRPr="00826D63">
              <w:rPr>
                <w:rFonts w:ascii="Traditional Arabic" w:hAnsi="Traditional Arabic" w:cs="Traditional Arabic"/>
                <w:b/>
                <w:bCs/>
                <w:sz w:val="30"/>
                <w:szCs w:val="30"/>
                <w:rtl/>
              </w:rPr>
              <w:t>100</w:t>
            </w:r>
            <w:r w:rsidR="00A4376E" w:rsidRPr="00826D63">
              <w:rPr>
                <w:rFonts w:ascii="Traditional Arabic" w:hAnsi="Traditional Arabic" w:cs="Traditional Arabic"/>
                <w:b/>
                <w:bCs/>
                <w:sz w:val="30"/>
                <w:szCs w:val="30"/>
                <w:rtl/>
              </w:rPr>
              <w:t>%</w:t>
            </w:r>
          </w:p>
        </w:tc>
      </w:tr>
    </w:tbl>
    <w:p w14:paraId="14D3F0CC" w14:textId="77777777" w:rsidR="002471D5" w:rsidRPr="00EB5BCF" w:rsidRDefault="002471D5" w:rsidP="002471D5">
      <w:pPr>
        <w:pStyle w:val="ListParagraph"/>
        <w:autoSpaceDE w:val="0"/>
        <w:autoSpaceDN w:val="0"/>
        <w:bidi/>
        <w:adjustRightInd w:val="0"/>
        <w:ind w:left="-45"/>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ملاحظات:</w:t>
      </w:r>
    </w:p>
    <w:p w14:paraId="21C96E9E" w14:textId="77777777" w:rsidR="00522F97" w:rsidRDefault="0096718D" w:rsidP="00922116">
      <w:pPr>
        <w:pStyle w:val="ListParagraph"/>
        <w:numPr>
          <w:ilvl w:val="0"/>
          <w:numId w:val="30"/>
        </w:numPr>
        <w:autoSpaceDE w:val="0"/>
        <w:autoSpaceDN w:val="0"/>
        <w:bidi/>
        <w:adjustRightInd w:val="0"/>
        <w:jc w:val="both"/>
        <w:rPr>
          <w:rFonts w:ascii="Traditional Arabic" w:hAnsi="Traditional Arabic" w:cs="Traditional Arabic"/>
          <w:sz w:val="30"/>
          <w:szCs w:val="30"/>
        </w:rPr>
      </w:pPr>
      <w:r>
        <w:rPr>
          <w:rFonts w:ascii="Traditional Arabic" w:hAnsi="Traditional Arabic" w:cs="Traditional Arabic" w:hint="cs"/>
          <w:sz w:val="30"/>
          <w:szCs w:val="30"/>
          <w:rtl/>
        </w:rPr>
        <w:t>يملك جهاز الاستثمار العماني مجموعة أسياد ش م ع م بنسبة 100%</w:t>
      </w:r>
      <w:r w:rsidR="00522F97" w:rsidRPr="00EB5BCF">
        <w:rPr>
          <w:rFonts w:ascii="Traditional Arabic" w:hAnsi="Traditional Arabic" w:cs="Traditional Arabic"/>
          <w:sz w:val="30"/>
          <w:szCs w:val="30"/>
          <w:rtl/>
        </w:rPr>
        <w:t>.</w:t>
      </w:r>
    </w:p>
    <w:p w14:paraId="47A57931" w14:textId="77777777" w:rsidR="00FF3CD6" w:rsidRPr="00EB5BCF" w:rsidRDefault="007B0021" w:rsidP="00FF3CD6">
      <w:pPr>
        <w:pStyle w:val="ListParagraph"/>
        <w:numPr>
          <w:ilvl w:val="0"/>
          <w:numId w:val="30"/>
        </w:numPr>
        <w:autoSpaceDE w:val="0"/>
        <w:autoSpaceDN w:val="0"/>
        <w:bidi/>
        <w:adjustRightInd w:val="0"/>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تمتلك مجموعة أسياد ش م ع م </w:t>
      </w:r>
      <w:r w:rsidR="0002529E">
        <w:rPr>
          <w:rFonts w:ascii="Traditional Arabic" w:hAnsi="Traditional Arabic" w:cs="Traditional Arabic" w:hint="cs"/>
          <w:sz w:val="30"/>
          <w:szCs w:val="30"/>
          <w:rtl/>
        </w:rPr>
        <w:t>اغلبية</w:t>
      </w:r>
      <w:r w:rsidR="002C20F2">
        <w:rPr>
          <w:rFonts w:ascii="Traditional Arabic" w:hAnsi="Traditional Arabic" w:cs="Traditional Arabic" w:hint="cs"/>
          <w:sz w:val="30"/>
          <w:szCs w:val="30"/>
          <w:rtl/>
        </w:rPr>
        <w:t xml:space="preserve"> الأسهم في شركة قطارات عمان ش م م</w:t>
      </w:r>
      <w:r w:rsidR="00E25CCD">
        <w:rPr>
          <w:rFonts w:ascii="Traditional Arabic" w:hAnsi="Traditional Arabic" w:cs="Traditional Arabic" w:hint="cs"/>
          <w:sz w:val="30"/>
          <w:szCs w:val="30"/>
          <w:rtl/>
        </w:rPr>
        <w:t>.</w:t>
      </w:r>
    </w:p>
    <w:p w14:paraId="322725D1" w14:textId="77777777" w:rsidR="002471D5" w:rsidRPr="00EB5BCF" w:rsidRDefault="002471D5" w:rsidP="002471D5">
      <w:pPr>
        <w:pStyle w:val="ListParagraph"/>
        <w:autoSpaceDE w:val="0"/>
        <w:autoSpaceDN w:val="0"/>
        <w:bidi/>
        <w:adjustRightInd w:val="0"/>
        <w:ind w:left="-45"/>
        <w:jc w:val="both"/>
        <w:rPr>
          <w:rFonts w:ascii="Traditional Arabic" w:hAnsi="Traditional Arabic" w:cs="Traditional Arabic"/>
          <w:sz w:val="30"/>
          <w:szCs w:val="30"/>
          <w:rtl/>
        </w:rPr>
      </w:pPr>
    </w:p>
    <w:p w14:paraId="22E294AD" w14:textId="77777777" w:rsidR="001407BB" w:rsidRPr="00EB5BCF" w:rsidRDefault="001407BB" w:rsidP="001407BB">
      <w:pPr>
        <w:bidi/>
        <w:jc w:val="both"/>
        <w:rPr>
          <w:rFonts w:ascii="Traditional Arabic" w:hAnsi="Traditional Arabic" w:cs="Traditional Arabic"/>
          <w:sz w:val="30"/>
          <w:szCs w:val="30"/>
          <w:rtl/>
          <w:lang w:val="en-GB" w:bidi="ar-EG"/>
        </w:rPr>
      </w:pPr>
    </w:p>
    <w:p w14:paraId="696E6AD7" w14:textId="77777777" w:rsidR="002471D5" w:rsidRPr="00EB5BCF" w:rsidRDefault="002471D5" w:rsidP="002471D5">
      <w:pPr>
        <w:pStyle w:val="BodyText1"/>
        <w:keepNext/>
        <w:bidi/>
        <w:spacing w:after="0"/>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rPr>
        <w:t xml:space="preserve">ملكية الأسهم </w:t>
      </w:r>
      <w:r w:rsidR="00B96626">
        <w:rPr>
          <w:rFonts w:ascii="Traditional Arabic" w:hAnsi="Traditional Arabic" w:cs="Traditional Arabic" w:hint="cs"/>
          <w:b/>
          <w:bCs/>
          <w:sz w:val="30"/>
          <w:szCs w:val="30"/>
          <w:rtl/>
          <w:lang w:val="en-GB"/>
        </w:rPr>
        <w:t>قبل</w:t>
      </w:r>
      <w:r w:rsidR="00B96626" w:rsidRPr="00EB5BCF">
        <w:rPr>
          <w:rFonts w:ascii="Traditional Arabic" w:hAnsi="Traditional Arabic" w:cs="Traditional Arabic"/>
          <w:b/>
          <w:bCs/>
          <w:sz w:val="30"/>
          <w:szCs w:val="30"/>
          <w:rtl/>
          <w:lang w:val="en-GB"/>
        </w:rPr>
        <w:t xml:space="preserve"> </w:t>
      </w:r>
      <w:r w:rsidRPr="00EB5BCF">
        <w:rPr>
          <w:rFonts w:ascii="Traditional Arabic" w:hAnsi="Traditional Arabic" w:cs="Traditional Arabic"/>
          <w:b/>
          <w:bCs/>
          <w:sz w:val="30"/>
          <w:szCs w:val="30"/>
          <w:rtl/>
          <w:lang w:val="en-GB"/>
        </w:rPr>
        <w:t>الاكتتاب العام</w:t>
      </w:r>
      <w:r w:rsidR="00B96626">
        <w:rPr>
          <w:rFonts w:ascii="Traditional Arabic" w:hAnsi="Traditional Arabic" w:cs="Traditional Arabic" w:hint="cs"/>
          <w:b/>
          <w:bCs/>
          <w:sz w:val="30"/>
          <w:szCs w:val="30"/>
          <w:rtl/>
          <w:lang w:val="en-GB"/>
        </w:rPr>
        <w:t xml:space="preserve"> وبعده</w:t>
      </w:r>
    </w:p>
    <w:p w14:paraId="4C05AA93" w14:textId="77777777" w:rsidR="002471D5" w:rsidRPr="00EB5BCF" w:rsidRDefault="002471D5" w:rsidP="002471D5">
      <w:pPr>
        <w:bidi/>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 xml:space="preserve">الجدول أدناه يوضح ملكية أسهم الشركة </w:t>
      </w:r>
      <w:r w:rsidR="00B96626">
        <w:rPr>
          <w:rFonts w:ascii="Traditional Arabic" w:hAnsi="Traditional Arabic" w:cs="Traditional Arabic" w:hint="cs"/>
          <w:sz w:val="30"/>
          <w:szCs w:val="30"/>
          <w:rtl/>
          <w:lang w:val="en-GB"/>
        </w:rPr>
        <w:t>قبل</w:t>
      </w:r>
      <w:r w:rsidR="00B96626" w:rsidRPr="00EB5BCF">
        <w:rPr>
          <w:rFonts w:ascii="Traditional Arabic" w:hAnsi="Traditional Arabic" w:cs="Traditional Arabic"/>
          <w:sz w:val="30"/>
          <w:szCs w:val="30"/>
          <w:rtl/>
          <w:lang w:val="en-GB"/>
        </w:rPr>
        <w:t xml:space="preserve"> </w:t>
      </w:r>
      <w:r w:rsidRPr="00EB5BCF">
        <w:rPr>
          <w:rFonts w:ascii="Traditional Arabic" w:hAnsi="Traditional Arabic" w:cs="Traditional Arabic"/>
          <w:sz w:val="30"/>
          <w:szCs w:val="30"/>
          <w:rtl/>
          <w:lang w:val="en-GB"/>
        </w:rPr>
        <w:t>اكتمال إجراءات الاكتتاب العام</w:t>
      </w:r>
      <w:r w:rsidR="00B96626">
        <w:rPr>
          <w:rFonts w:ascii="Traditional Arabic" w:hAnsi="Traditional Arabic" w:cs="Traditional Arabic" w:hint="cs"/>
          <w:sz w:val="30"/>
          <w:szCs w:val="30"/>
          <w:rtl/>
          <w:lang w:val="en-GB"/>
        </w:rPr>
        <w:t xml:space="preserve"> وبعده</w:t>
      </w:r>
      <w:r w:rsidRPr="00EB5BCF">
        <w:rPr>
          <w:rFonts w:ascii="Traditional Arabic" w:hAnsi="Traditional Arabic" w:cs="Traditional Arabic"/>
          <w:sz w:val="30"/>
          <w:szCs w:val="30"/>
          <w:rtl/>
          <w:lang w:val="en-GB"/>
        </w:rPr>
        <w:t xml:space="preserve"> بافتراض أن جميع الأسهم المطروحة للاكتتاب العام قد تم بيعها؛ بحيث سيظل رأس </w:t>
      </w:r>
      <w:r w:rsidR="00345D82">
        <w:rPr>
          <w:rFonts w:ascii="Traditional Arabic" w:hAnsi="Traditional Arabic" w:cs="Traditional Arabic" w:hint="cs"/>
          <w:sz w:val="30"/>
          <w:szCs w:val="30"/>
          <w:rtl/>
          <w:lang w:val="en-GB"/>
        </w:rPr>
        <w:t xml:space="preserve">مال الشركة المصدر </w:t>
      </w:r>
      <w:r w:rsidRPr="00EB5BCF">
        <w:rPr>
          <w:rFonts w:ascii="Traditional Arabic" w:hAnsi="Traditional Arabic" w:cs="Traditional Arabic"/>
          <w:sz w:val="30"/>
          <w:szCs w:val="30"/>
          <w:rtl/>
          <w:lang w:val="en-GB"/>
        </w:rPr>
        <w:t xml:space="preserve">عند </w:t>
      </w:r>
      <w:r w:rsidR="002461B6">
        <w:rPr>
          <w:rFonts w:ascii="Traditional Arabic" w:hAnsi="Traditional Arabic" w:cs="Traditional Arabic" w:hint="cs"/>
          <w:sz w:val="30"/>
          <w:szCs w:val="30"/>
          <w:rtl/>
          <w:lang w:val="en-GB"/>
        </w:rPr>
        <w:t>130,218,607</w:t>
      </w:r>
      <w:r w:rsidR="002461B6" w:rsidRPr="00EB5BCF">
        <w:rPr>
          <w:rFonts w:ascii="Traditional Arabic" w:hAnsi="Traditional Arabic" w:cs="Traditional Arabic"/>
          <w:sz w:val="30"/>
          <w:szCs w:val="30"/>
          <w:rtl/>
          <w:lang w:val="en-GB"/>
        </w:rPr>
        <w:t xml:space="preserve"> </w:t>
      </w:r>
      <w:r w:rsidRPr="00EB5BCF">
        <w:rPr>
          <w:rFonts w:ascii="Traditional Arabic" w:hAnsi="Traditional Arabic" w:cs="Traditional Arabic"/>
          <w:sz w:val="30"/>
          <w:szCs w:val="30"/>
          <w:rtl/>
          <w:lang w:val="en-GB"/>
        </w:rPr>
        <w:t>ريال عماني</w:t>
      </w:r>
      <w:r w:rsidR="00064869" w:rsidRPr="00EB5BCF">
        <w:rPr>
          <w:rFonts w:ascii="Traditional Arabic" w:hAnsi="Traditional Arabic" w:cs="Traditional Arabic"/>
          <w:sz w:val="30"/>
          <w:szCs w:val="30"/>
          <w:rtl/>
          <w:lang w:val="en-GB"/>
        </w:rPr>
        <w:t>:</w:t>
      </w:r>
    </w:p>
    <w:p w14:paraId="106D9588" w14:textId="77777777" w:rsidR="00064869" w:rsidRPr="00EB5BCF" w:rsidRDefault="00064869" w:rsidP="00064869">
      <w:pPr>
        <w:bidi/>
        <w:jc w:val="both"/>
        <w:rPr>
          <w:rFonts w:ascii="Traditional Arabic" w:hAnsi="Traditional Arabic" w:cs="Traditional Arabic"/>
          <w:sz w:val="30"/>
          <w:szCs w:val="30"/>
          <w:rtl/>
          <w:lang w:val="en-GB"/>
        </w:rPr>
      </w:pPr>
    </w:p>
    <w:tbl>
      <w:tblPr>
        <w:tblStyle w:val="TableGrid"/>
        <w:bidiVisual/>
        <w:tblW w:w="9744" w:type="dxa"/>
        <w:tblInd w:w="-45" w:type="dxa"/>
        <w:tblLayout w:type="fixed"/>
        <w:tblLook w:val="04A0" w:firstRow="1" w:lastRow="0" w:firstColumn="1" w:lastColumn="0" w:noHBand="0" w:noVBand="1"/>
      </w:tblPr>
      <w:tblGrid>
        <w:gridCol w:w="2430"/>
        <w:gridCol w:w="2009"/>
        <w:gridCol w:w="1578"/>
        <w:gridCol w:w="1865"/>
        <w:gridCol w:w="1862"/>
      </w:tblGrid>
      <w:tr w:rsidR="000177F1" w:rsidRPr="00EB5BCF" w14:paraId="168AFD0A" w14:textId="77777777" w:rsidTr="00240371">
        <w:tc>
          <w:tcPr>
            <w:tcW w:w="2430" w:type="dxa"/>
          </w:tcPr>
          <w:p w14:paraId="570E4ADC" w14:textId="77777777" w:rsidR="00B61B47" w:rsidRPr="00EB5BCF" w:rsidRDefault="00B61B47" w:rsidP="00B61B47">
            <w:pPr>
              <w:pStyle w:val="ListParagraph"/>
              <w:autoSpaceDE w:val="0"/>
              <w:autoSpaceDN w:val="0"/>
              <w:bidi/>
              <w:adjustRightInd w:val="0"/>
              <w:ind w:left="0"/>
              <w:jc w:val="both"/>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lastRenderedPageBreak/>
              <w:t>اسم</w:t>
            </w:r>
            <w:r w:rsidR="00005136">
              <w:rPr>
                <w:rFonts w:ascii="Traditional Arabic" w:hAnsi="Traditional Arabic" w:cs="Traditional Arabic" w:hint="cs"/>
                <w:b/>
                <w:bCs/>
                <w:sz w:val="30"/>
                <w:szCs w:val="30"/>
                <w:rtl/>
              </w:rPr>
              <w:t>اء</w:t>
            </w:r>
            <w:r w:rsidRPr="00EB5BCF">
              <w:rPr>
                <w:rFonts w:ascii="Traditional Arabic" w:hAnsi="Traditional Arabic" w:cs="Traditional Arabic"/>
                <w:b/>
                <w:bCs/>
                <w:sz w:val="30"/>
                <w:szCs w:val="30"/>
                <w:rtl/>
              </w:rPr>
              <w:t xml:space="preserve"> المساهم</w:t>
            </w:r>
            <w:r w:rsidR="00005136">
              <w:rPr>
                <w:rFonts w:ascii="Traditional Arabic" w:hAnsi="Traditional Arabic" w:cs="Traditional Arabic" w:hint="cs"/>
                <w:b/>
                <w:bCs/>
                <w:sz w:val="30"/>
                <w:szCs w:val="30"/>
                <w:rtl/>
              </w:rPr>
              <w:t>ين</w:t>
            </w:r>
          </w:p>
        </w:tc>
        <w:tc>
          <w:tcPr>
            <w:tcW w:w="2009" w:type="dxa"/>
          </w:tcPr>
          <w:p w14:paraId="5A5ACC90" w14:textId="77777777" w:rsidR="00B61B47" w:rsidRPr="00EB5BCF" w:rsidRDefault="00B61B47" w:rsidP="00B61B47">
            <w:pPr>
              <w:pStyle w:val="ListParagraph"/>
              <w:autoSpaceDE w:val="0"/>
              <w:autoSpaceDN w:val="0"/>
              <w:bidi/>
              <w:adjustRightInd w:val="0"/>
              <w:ind w:left="0"/>
              <w:jc w:val="both"/>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t xml:space="preserve">عدد الأسهم المملوكة </w:t>
            </w:r>
            <w:r>
              <w:rPr>
                <w:rFonts w:ascii="Traditional Arabic" w:hAnsi="Traditional Arabic" w:cs="Traditional Arabic" w:hint="cs"/>
                <w:b/>
                <w:bCs/>
                <w:sz w:val="30"/>
                <w:szCs w:val="30"/>
                <w:rtl/>
              </w:rPr>
              <w:t>قبل الطرح</w:t>
            </w:r>
          </w:p>
        </w:tc>
        <w:tc>
          <w:tcPr>
            <w:tcW w:w="1578" w:type="dxa"/>
          </w:tcPr>
          <w:p w14:paraId="686686B4" w14:textId="77777777" w:rsidR="00B61B47" w:rsidRPr="00EB5BCF" w:rsidRDefault="00B61B47" w:rsidP="00B61B47">
            <w:pPr>
              <w:pStyle w:val="ListParagraph"/>
              <w:autoSpaceDE w:val="0"/>
              <w:autoSpaceDN w:val="0"/>
              <w:bidi/>
              <w:adjustRightInd w:val="0"/>
              <w:ind w:left="0"/>
              <w:jc w:val="both"/>
              <w:rPr>
                <w:rFonts w:ascii="Traditional Arabic" w:hAnsi="Traditional Arabic" w:cs="Traditional Arabic"/>
                <w:b/>
                <w:bCs/>
                <w:sz w:val="30"/>
                <w:szCs w:val="30"/>
                <w:rtl/>
              </w:rPr>
            </w:pPr>
            <w:r>
              <w:rPr>
                <w:rFonts w:ascii="Traditional Arabic" w:hAnsi="Traditional Arabic" w:cs="Traditional Arabic" w:hint="cs"/>
                <w:b/>
                <w:bCs/>
                <w:sz w:val="30"/>
                <w:szCs w:val="30"/>
                <w:rtl/>
              </w:rPr>
              <w:t>نسبة</w:t>
            </w:r>
            <w:r w:rsidRPr="00EB5BCF">
              <w:rPr>
                <w:rFonts w:ascii="Traditional Arabic" w:hAnsi="Traditional Arabic" w:cs="Traditional Arabic"/>
                <w:b/>
                <w:bCs/>
                <w:sz w:val="30"/>
                <w:szCs w:val="30"/>
                <w:rtl/>
              </w:rPr>
              <w:t xml:space="preserve"> إجمالي رأس المال </w:t>
            </w:r>
            <w:r>
              <w:rPr>
                <w:rFonts w:ascii="Traditional Arabic" w:hAnsi="Traditional Arabic" w:cs="Traditional Arabic" w:hint="cs"/>
                <w:b/>
                <w:bCs/>
                <w:sz w:val="30"/>
                <w:szCs w:val="30"/>
                <w:rtl/>
              </w:rPr>
              <w:t>المصدر</w:t>
            </w:r>
          </w:p>
        </w:tc>
        <w:tc>
          <w:tcPr>
            <w:tcW w:w="1865" w:type="dxa"/>
          </w:tcPr>
          <w:p w14:paraId="404A91CA" w14:textId="25309289" w:rsidR="00B61B47" w:rsidRPr="00EB5BCF" w:rsidDel="00345D82" w:rsidRDefault="00B61B47" w:rsidP="00CA4D73">
            <w:pPr>
              <w:pStyle w:val="ListParagraph"/>
              <w:autoSpaceDE w:val="0"/>
              <w:autoSpaceDN w:val="0"/>
              <w:bidi/>
              <w:adjustRightInd w:val="0"/>
              <w:ind w:left="25"/>
              <w:jc w:val="both"/>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t xml:space="preserve">عدد الأسهم المملوكة </w:t>
            </w:r>
            <w:r w:rsidR="005462BF" w:rsidRPr="005462BF">
              <w:rPr>
                <w:rFonts w:ascii="Traditional Arabic" w:hAnsi="Traditional Arabic" w:cs="Traditional Arabic" w:hint="cs"/>
                <w:b/>
                <w:bCs/>
                <w:color w:val="FF0000"/>
                <w:sz w:val="30"/>
                <w:szCs w:val="30"/>
                <w:rtl/>
              </w:rPr>
              <w:t>بعد الطرح</w:t>
            </w:r>
          </w:p>
        </w:tc>
        <w:tc>
          <w:tcPr>
            <w:tcW w:w="1862" w:type="dxa"/>
          </w:tcPr>
          <w:p w14:paraId="07C7C987" w14:textId="77777777" w:rsidR="00B61B47" w:rsidRPr="00EB5BCF" w:rsidDel="00345D82" w:rsidRDefault="00B61B47" w:rsidP="00B61B47">
            <w:pPr>
              <w:pStyle w:val="ListParagraph"/>
              <w:autoSpaceDE w:val="0"/>
              <w:autoSpaceDN w:val="0"/>
              <w:bidi/>
              <w:adjustRightInd w:val="0"/>
              <w:ind w:left="0"/>
              <w:jc w:val="both"/>
              <w:rPr>
                <w:rFonts w:ascii="Traditional Arabic" w:hAnsi="Traditional Arabic" w:cs="Traditional Arabic"/>
                <w:b/>
                <w:bCs/>
                <w:sz w:val="30"/>
                <w:szCs w:val="30"/>
                <w:rtl/>
              </w:rPr>
            </w:pPr>
            <w:r>
              <w:rPr>
                <w:rFonts w:ascii="Traditional Arabic" w:hAnsi="Traditional Arabic" w:cs="Traditional Arabic" w:hint="cs"/>
                <w:b/>
                <w:bCs/>
                <w:sz w:val="30"/>
                <w:szCs w:val="30"/>
                <w:rtl/>
              </w:rPr>
              <w:t>نسبة</w:t>
            </w:r>
            <w:r w:rsidRPr="00EB5BCF">
              <w:rPr>
                <w:rFonts w:ascii="Traditional Arabic" w:hAnsi="Traditional Arabic" w:cs="Traditional Arabic"/>
                <w:b/>
                <w:bCs/>
                <w:sz w:val="30"/>
                <w:szCs w:val="30"/>
                <w:rtl/>
              </w:rPr>
              <w:t xml:space="preserve"> إجمالي رأس المال </w:t>
            </w:r>
            <w:r>
              <w:rPr>
                <w:rFonts w:ascii="Traditional Arabic" w:hAnsi="Traditional Arabic" w:cs="Traditional Arabic" w:hint="cs"/>
                <w:b/>
                <w:bCs/>
                <w:sz w:val="30"/>
                <w:szCs w:val="30"/>
                <w:rtl/>
              </w:rPr>
              <w:t>المصدر</w:t>
            </w:r>
          </w:p>
        </w:tc>
      </w:tr>
      <w:tr w:rsidR="000177F1" w:rsidRPr="00EB5BCF" w14:paraId="60C2FB8C" w14:textId="77777777" w:rsidTr="00240371">
        <w:tc>
          <w:tcPr>
            <w:tcW w:w="2430" w:type="dxa"/>
          </w:tcPr>
          <w:p w14:paraId="6D1A1690" w14:textId="77777777" w:rsidR="00807919" w:rsidRPr="00EB5BCF" w:rsidRDefault="00807919" w:rsidP="00807919">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شركة </w:t>
            </w:r>
            <w:r w:rsidR="0096718D">
              <w:rPr>
                <w:rFonts w:ascii="Traditional Arabic" w:hAnsi="Traditional Arabic" w:cs="Traditional Arabic" w:hint="cs"/>
                <w:sz w:val="30"/>
                <w:szCs w:val="30"/>
                <w:rtl/>
              </w:rPr>
              <w:t>مجموعة أسياد ش م ع م</w:t>
            </w:r>
          </w:p>
        </w:tc>
        <w:tc>
          <w:tcPr>
            <w:tcW w:w="2009" w:type="dxa"/>
          </w:tcPr>
          <w:p w14:paraId="1CE0796B" w14:textId="77777777" w:rsidR="00807919" w:rsidRPr="00826D63" w:rsidRDefault="002461B6" w:rsidP="00807919">
            <w:pPr>
              <w:pStyle w:val="ListParagraph"/>
              <w:autoSpaceDE w:val="0"/>
              <w:autoSpaceDN w:val="0"/>
              <w:bidi/>
              <w:adjustRightInd w:val="0"/>
              <w:ind w:left="0"/>
              <w:jc w:val="both"/>
              <w:rPr>
                <w:rFonts w:ascii="Traditional Arabic" w:hAnsi="Traditional Arabic" w:cs="Traditional Arabic"/>
                <w:sz w:val="30"/>
                <w:szCs w:val="30"/>
                <w:rtl/>
                <w:lang w:val="en-GB"/>
              </w:rPr>
            </w:pPr>
            <w:r>
              <w:rPr>
                <w:rFonts w:ascii="Traditional Arabic" w:hAnsi="Traditional Arabic" w:cs="Traditional Arabic" w:hint="cs"/>
                <w:sz w:val="30"/>
                <w:szCs w:val="30"/>
                <w:rtl/>
              </w:rPr>
              <w:t>5,208,744,</w:t>
            </w:r>
            <w:r w:rsidR="005D2FB3">
              <w:rPr>
                <w:rFonts w:ascii="Traditional Arabic" w:hAnsi="Traditional Arabic" w:cs="Traditional Arabic" w:hint="cs"/>
                <w:sz w:val="30"/>
                <w:szCs w:val="30"/>
                <w:rtl/>
              </w:rPr>
              <w:t>240</w:t>
            </w:r>
          </w:p>
        </w:tc>
        <w:tc>
          <w:tcPr>
            <w:tcW w:w="1578" w:type="dxa"/>
          </w:tcPr>
          <w:p w14:paraId="6A9EAEF2" w14:textId="77777777" w:rsidR="00807919" w:rsidRPr="00EB5BCF" w:rsidRDefault="00005136" w:rsidP="00807919">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٩٩.٩٩</w:t>
            </w:r>
            <w:r w:rsidR="00D21363">
              <w:rPr>
                <w:rFonts w:ascii="Traditional Arabic" w:hAnsi="Traditional Arabic" w:cs="Traditional Arabic" w:hint="cs"/>
                <w:sz w:val="30"/>
                <w:szCs w:val="30"/>
                <w:rtl/>
              </w:rPr>
              <w:t>9</w:t>
            </w:r>
            <w:r w:rsidR="0096718D">
              <w:rPr>
                <w:rFonts w:ascii="Traditional Arabic" w:hAnsi="Traditional Arabic" w:cs="Traditional Arabic" w:hint="cs"/>
                <w:sz w:val="30"/>
                <w:szCs w:val="30"/>
                <w:rtl/>
              </w:rPr>
              <w:t>%</w:t>
            </w:r>
          </w:p>
        </w:tc>
        <w:tc>
          <w:tcPr>
            <w:tcW w:w="1865" w:type="dxa"/>
          </w:tcPr>
          <w:p w14:paraId="64AA7924" w14:textId="77777777" w:rsidR="00807919" w:rsidRDefault="003E771E" w:rsidP="00CA4D73">
            <w:pPr>
              <w:pStyle w:val="ListParagraph"/>
              <w:autoSpaceDE w:val="0"/>
              <w:autoSpaceDN w:val="0"/>
              <w:bidi/>
              <w:adjustRightInd w:val="0"/>
              <w:ind w:left="0" w:firstLine="25"/>
              <w:rPr>
                <w:rFonts w:ascii="Traditional Arabic" w:hAnsi="Traditional Arabic" w:cs="Traditional Arabic"/>
                <w:sz w:val="30"/>
                <w:szCs w:val="30"/>
                <w:rtl/>
              </w:rPr>
            </w:pPr>
            <w:r>
              <w:rPr>
                <w:rFonts w:ascii="Traditional Arabic" w:hAnsi="Traditional Arabic" w:cs="Traditional Arabic" w:hint="cs"/>
                <w:sz w:val="30"/>
                <w:szCs w:val="30"/>
                <w:rtl/>
              </w:rPr>
              <w:t>4,1</w:t>
            </w:r>
            <w:r w:rsidR="00655608">
              <w:rPr>
                <w:rFonts w:ascii="Traditional Arabic" w:hAnsi="Traditional Arabic" w:cs="Traditional Arabic" w:hint="cs"/>
                <w:sz w:val="30"/>
                <w:szCs w:val="30"/>
                <w:rtl/>
              </w:rPr>
              <w:t>66,995,</w:t>
            </w:r>
            <w:r w:rsidR="008B6B8B">
              <w:rPr>
                <w:rFonts w:ascii="Traditional Arabic" w:hAnsi="Traditional Arabic" w:cs="Traditional Arabic" w:hint="cs"/>
                <w:sz w:val="30"/>
                <w:szCs w:val="30"/>
                <w:rtl/>
              </w:rPr>
              <w:t>420</w:t>
            </w:r>
          </w:p>
          <w:p w14:paraId="7AF64440" w14:textId="77777777" w:rsidR="00655608" w:rsidRPr="00CA4D73" w:rsidRDefault="00655608" w:rsidP="00CA4D73">
            <w:pPr>
              <w:pStyle w:val="ListParagraph"/>
              <w:autoSpaceDE w:val="0"/>
              <w:autoSpaceDN w:val="0"/>
              <w:bidi/>
              <w:adjustRightInd w:val="0"/>
              <w:ind w:left="0" w:firstLine="25"/>
              <w:jc w:val="right"/>
              <w:rPr>
                <w:rFonts w:ascii="Traditional Arabic" w:hAnsi="Traditional Arabic" w:cs="Traditional Arabic"/>
                <w:sz w:val="30"/>
                <w:szCs w:val="30"/>
              </w:rPr>
            </w:pPr>
          </w:p>
        </w:tc>
        <w:tc>
          <w:tcPr>
            <w:tcW w:w="1862" w:type="dxa"/>
          </w:tcPr>
          <w:p w14:paraId="54A533D9" w14:textId="77777777" w:rsidR="00807919" w:rsidRPr="00A656B1" w:rsidRDefault="005D4949" w:rsidP="00CB188B">
            <w:pPr>
              <w:pStyle w:val="ListParagraph"/>
              <w:autoSpaceDE w:val="0"/>
              <w:autoSpaceDN w:val="0"/>
              <w:adjustRightInd w:val="0"/>
              <w:ind w:left="0"/>
              <w:jc w:val="right"/>
              <w:rPr>
                <w:rFonts w:ascii="Traditional Arabic" w:hAnsi="Traditional Arabic" w:cs="Traditional Arabic"/>
                <w:sz w:val="30"/>
                <w:szCs w:val="30"/>
                <w:rtl/>
              </w:rPr>
            </w:pPr>
            <w:r>
              <w:rPr>
                <w:rFonts w:ascii="Traditional Arabic" w:hAnsi="Traditional Arabic" w:cs="Traditional Arabic" w:hint="cs"/>
                <w:sz w:val="30"/>
                <w:szCs w:val="30"/>
                <w:rtl/>
              </w:rPr>
              <w:t>80%</w:t>
            </w:r>
            <w:r>
              <w:rPr>
                <w:rFonts w:ascii="Traditional Arabic" w:hAnsi="Traditional Arabic" w:cs="Traditional Arabic"/>
                <w:sz w:val="30"/>
                <w:szCs w:val="30"/>
                <w:lang w:val="en-GB"/>
              </w:rPr>
              <w:t>.</w:t>
            </w:r>
            <w:r>
              <w:rPr>
                <w:rFonts w:ascii="Traditional Arabic" w:hAnsi="Traditional Arabic" w:cs="Traditional Arabic" w:hint="cs"/>
                <w:sz w:val="30"/>
                <w:szCs w:val="30"/>
                <w:rtl/>
              </w:rPr>
              <w:t>000</w:t>
            </w:r>
          </w:p>
        </w:tc>
      </w:tr>
      <w:tr w:rsidR="000177F1" w:rsidRPr="00EB5BCF" w14:paraId="3F7E6325" w14:textId="77777777" w:rsidTr="00240371">
        <w:tc>
          <w:tcPr>
            <w:tcW w:w="2430" w:type="dxa"/>
          </w:tcPr>
          <w:p w14:paraId="33392365" w14:textId="77777777" w:rsidR="00005136" w:rsidRDefault="00005136" w:rsidP="00807919">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شركة قطارات عمان ش م م</w:t>
            </w:r>
          </w:p>
        </w:tc>
        <w:tc>
          <w:tcPr>
            <w:tcW w:w="2009" w:type="dxa"/>
          </w:tcPr>
          <w:p w14:paraId="320FA4FF" w14:textId="77777777" w:rsidR="00005136" w:rsidRDefault="005D2FB3" w:rsidP="00807919">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40</w:t>
            </w:r>
          </w:p>
        </w:tc>
        <w:tc>
          <w:tcPr>
            <w:tcW w:w="1578" w:type="dxa"/>
          </w:tcPr>
          <w:p w14:paraId="1D39932B" w14:textId="77777777" w:rsidR="00005136" w:rsidRDefault="00B44381" w:rsidP="00807919">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٠.٠٠١٪</w:t>
            </w:r>
          </w:p>
        </w:tc>
        <w:tc>
          <w:tcPr>
            <w:tcW w:w="1865" w:type="dxa"/>
          </w:tcPr>
          <w:p w14:paraId="44CFABDE" w14:textId="77777777" w:rsidR="00005136" w:rsidRPr="00A656B1" w:rsidRDefault="005D2FB3" w:rsidP="00807919">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40</w:t>
            </w:r>
          </w:p>
        </w:tc>
        <w:tc>
          <w:tcPr>
            <w:tcW w:w="1862" w:type="dxa"/>
          </w:tcPr>
          <w:p w14:paraId="6E0135EB" w14:textId="77777777" w:rsidR="00005136" w:rsidRDefault="00B44381" w:rsidP="00CB188B">
            <w:pPr>
              <w:pStyle w:val="ListParagraph"/>
              <w:autoSpaceDE w:val="0"/>
              <w:autoSpaceDN w:val="0"/>
              <w:bidi/>
              <w:adjustRightInd w:val="0"/>
              <w:ind w:left="0"/>
              <w:jc w:val="both"/>
              <w:rPr>
                <w:rFonts w:ascii="Traditional Arabic" w:hAnsi="Traditional Arabic" w:cs="Traditional Arabic"/>
                <w:sz w:val="30"/>
                <w:szCs w:val="30"/>
              </w:rPr>
            </w:pPr>
            <w:r>
              <w:rPr>
                <w:rFonts w:ascii="Traditional Arabic" w:hAnsi="Traditional Arabic" w:cs="Traditional Arabic" w:hint="cs"/>
                <w:sz w:val="30"/>
                <w:szCs w:val="30"/>
                <w:rtl/>
              </w:rPr>
              <w:t>٠.</w:t>
            </w:r>
            <w:r w:rsidR="00B274B3">
              <w:rPr>
                <w:rFonts w:ascii="Traditional Arabic" w:hAnsi="Traditional Arabic" w:cs="Traditional Arabic" w:hint="cs"/>
                <w:sz w:val="30"/>
                <w:szCs w:val="30"/>
                <w:rtl/>
              </w:rPr>
              <w:t>٠٠0</w:t>
            </w:r>
            <w:r>
              <w:rPr>
                <w:rFonts w:ascii="Traditional Arabic" w:hAnsi="Traditional Arabic" w:cs="Traditional Arabic" w:hint="cs"/>
                <w:sz w:val="30"/>
                <w:szCs w:val="30"/>
                <w:rtl/>
              </w:rPr>
              <w:t>٪</w:t>
            </w:r>
          </w:p>
        </w:tc>
      </w:tr>
      <w:tr w:rsidR="000177F1" w:rsidRPr="00EB5BCF" w14:paraId="30BAD556" w14:textId="77777777" w:rsidTr="00240371">
        <w:tc>
          <w:tcPr>
            <w:tcW w:w="2430" w:type="dxa"/>
          </w:tcPr>
          <w:p w14:paraId="6EAE5622" w14:textId="77777777" w:rsidR="00B77F17" w:rsidRPr="00EB5BCF" w:rsidRDefault="00B77F17" w:rsidP="0017399F">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المستثمرون الرئيسيون</w:t>
            </w:r>
          </w:p>
        </w:tc>
        <w:tc>
          <w:tcPr>
            <w:tcW w:w="2009" w:type="dxa"/>
          </w:tcPr>
          <w:p w14:paraId="312B526F" w14:textId="77777777" w:rsidR="00B77F17" w:rsidRPr="00CA4D73" w:rsidRDefault="00110A43" w:rsidP="0017399F">
            <w:pPr>
              <w:pStyle w:val="ListParagraph"/>
              <w:autoSpaceDE w:val="0"/>
              <w:autoSpaceDN w:val="0"/>
              <w:bidi/>
              <w:adjustRightInd w:val="0"/>
              <w:ind w:left="0"/>
              <w:jc w:val="both"/>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صفر</w:t>
            </w:r>
          </w:p>
        </w:tc>
        <w:tc>
          <w:tcPr>
            <w:tcW w:w="1578" w:type="dxa"/>
          </w:tcPr>
          <w:p w14:paraId="66063E5E" w14:textId="77777777" w:rsidR="00B77F17" w:rsidRPr="00EB5BCF" w:rsidRDefault="004637A0" w:rsidP="0017399F">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0</w:t>
            </w:r>
            <w:r w:rsidR="00E2264E">
              <w:rPr>
                <w:rFonts w:ascii="Traditional Arabic" w:hAnsi="Traditional Arabic" w:cs="Traditional Arabic" w:hint="cs"/>
                <w:sz w:val="30"/>
                <w:szCs w:val="30"/>
                <w:rtl/>
              </w:rPr>
              <w:t>00</w:t>
            </w:r>
            <w:r w:rsidR="00E2264E">
              <w:rPr>
                <w:rFonts w:ascii="Traditional Arabic" w:hAnsi="Traditional Arabic" w:cs="Traditional Arabic"/>
                <w:sz w:val="30"/>
                <w:szCs w:val="30"/>
              </w:rPr>
              <w:t>.</w:t>
            </w:r>
            <w:r>
              <w:rPr>
                <w:rFonts w:ascii="Traditional Arabic" w:hAnsi="Traditional Arabic" w:cs="Traditional Arabic" w:hint="cs"/>
                <w:sz w:val="30"/>
                <w:szCs w:val="30"/>
                <w:rtl/>
              </w:rPr>
              <w:t>0</w:t>
            </w:r>
            <w:r w:rsidR="00E2264E">
              <w:rPr>
                <w:rFonts w:ascii="Traditional Arabic" w:hAnsi="Traditional Arabic" w:cs="Traditional Arabic" w:hint="cs"/>
                <w:sz w:val="30"/>
                <w:szCs w:val="30"/>
                <w:rtl/>
              </w:rPr>
              <w:t>%</w:t>
            </w:r>
          </w:p>
        </w:tc>
        <w:tc>
          <w:tcPr>
            <w:tcW w:w="1865" w:type="dxa"/>
          </w:tcPr>
          <w:p w14:paraId="18939862" w14:textId="77777777" w:rsidR="00B77F17" w:rsidRPr="001455AF" w:rsidRDefault="00A02A29" w:rsidP="0017399F">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lang w:bidi="ar-OM"/>
              </w:rPr>
              <w:t>312.524.657</w:t>
            </w:r>
          </w:p>
        </w:tc>
        <w:tc>
          <w:tcPr>
            <w:tcW w:w="1862" w:type="dxa"/>
          </w:tcPr>
          <w:p w14:paraId="7149A138" w14:textId="77777777" w:rsidR="00B77F17" w:rsidRPr="003832A3" w:rsidRDefault="00FC5306" w:rsidP="005D4949">
            <w:pPr>
              <w:autoSpaceDE w:val="0"/>
              <w:autoSpaceDN w:val="0"/>
              <w:adjustRightInd w:val="0"/>
              <w:jc w:val="right"/>
              <w:rPr>
                <w:rFonts w:ascii="Traditional Arabic" w:hAnsi="Traditional Arabic" w:cs="Traditional Arabic"/>
                <w:sz w:val="30"/>
                <w:szCs w:val="30"/>
                <w:rtl/>
              </w:rPr>
            </w:pPr>
            <w:r>
              <w:rPr>
                <w:rFonts w:ascii="Traditional Arabic" w:hAnsi="Traditional Arabic" w:cs="Traditional Arabic" w:hint="cs"/>
                <w:sz w:val="30"/>
                <w:szCs w:val="30"/>
                <w:rtl/>
              </w:rPr>
              <w:t>6</w:t>
            </w:r>
            <w:r w:rsidR="005D4949">
              <w:rPr>
                <w:rFonts w:ascii="Traditional Arabic" w:hAnsi="Traditional Arabic" w:cs="Traditional Arabic" w:hint="cs"/>
                <w:sz w:val="30"/>
                <w:szCs w:val="30"/>
                <w:rtl/>
              </w:rPr>
              <w:t>%</w:t>
            </w:r>
            <w:r>
              <w:rPr>
                <w:rFonts w:ascii="Traditional Arabic" w:hAnsi="Traditional Arabic" w:cs="Traditional Arabic"/>
                <w:sz w:val="30"/>
                <w:szCs w:val="30"/>
                <w:lang w:val="en-GB"/>
              </w:rPr>
              <w:t>.</w:t>
            </w:r>
            <w:r>
              <w:rPr>
                <w:rFonts w:ascii="Traditional Arabic" w:hAnsi="Traditional Arabic" w:cs="Traditional Arabic" w:hint="cs"/>
                <w:sz w:val="30"/>
                <w:szCs w:val="30"/>
                <w:rtl/>
              </w:rPr>
              <w:t>000</w:t>
            </w:r>
          </w:p>
        </w:tc>
      </w:tr>
      <w:tr w:rsidR="00E2264E" w:rsidRPr="00EB5BCF" w14:paraId="24DA75D1" w14:textId="77777777" w:rsidTr="00240371">
        <w:tc>
          <w:tcPr>
            <w:tcW w:w="2430" w:type="dxa"/>
          </w:tcPr>
          <w:p w14:paraId="0A96FE9D" w14:textId="77777777" w:rsidR="00E2264E" w:rsidRPr="00EB5BCF" w:rsidRDefault="00E2264E" w:rsidP="00E2264E">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جمهور المستثمرين</w:t>
            </w:r>
          </w:p>
        </w:tc>
        <w:tc>
          <w:tcPr>
            <w:tcW w:w="2009" w:type="dxa"/>
          </w:tcPr>
          <w:p w14:paraId="5DB2939E" w14:textId="77777777" w:rsidR="00E2264E" w:rsidRPr="00CA4D73" w:rsidRDefault="00E2264E" w:rsidP="00E2264E">
            <w:pPr>
              <w:pStyle w:val="ListParagraph"/>
              <w:autoSpaceDE w:val="0"/>
              <w:autoSpaceDN w:val="0"/>
              <w:bidi/>
              <w:adjustRightInd w:val="0"/>
              <w:ind w:left="0"/>
              <w:jc w:val="both"/>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صفر</w:t>
            </w:r>
          </w:p>
        </w:tc>
        <w:tc>
          <w:tcPr>
            <w:tcW w:w="1578" w:type="dxa"/>
          </w:tcPr>
          <w:p w14:paraId="26D5F249" w14:textId="77777777" w:rsidR="00E2264E" w:rsidRPr="00EB5BCF" w:rsidRDefault="00E2264E" w:rsidP="00E2264E">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000</w:t>
            </w:r>
            <w:r>
              <w:rPr>
                <w:rFonts w:ascii="Traditional Arabic" w:hAnsi="Traditional Arabic" w:cs="Traditional Arabic"/>
                <w:sz w:val="30"/>
                <w:szCs w:val="30"/>
              </w:rPr>
              <w:t>.</w:t>
            </w:r>
            <w:r>
              <w:rPr>
                <w:rFonts w:ascii="Traditional Arabic" w:hAnsi="Traditional Arabic" w:cs="Traditional Arabic" w:hint="cs"/>
                <w:sz w:val="30"/>
                <w:szCs w:val="30"/>
                <w:rtl/>
              </w:rPr>
              <w:t>0%</w:t>
            </w:r>
          </w:p>
        </w:tc>
        <w:tc>
          <w:tcPr>
            <w:tcW w:w="1865" w:type="dxa"/>
          </w:tcPr>
          <w:p w14:paraId="78BCA4D8" w14:textId="77777777" w:rsidR="00E2264E" w:rsidRPr="001455AF" w:rsidRDefault="00A02A29" w:rsidP="00E2264E">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729.224.163</w:t>
            </w:r>
          </w:p>
        </w:tc>
        <w:tc>
          <w:tcPr>
            <w:tcW w:w="1862" w:type="dxa"/>
          </w:tcPr>
          <w:p w14:paraId="780CF9DC" w14:textId="77777777" w:rsidR="00E2264E" w:rsidRPr="00287292" w:rsidRDefault="005D4949" w:rsidP="005D4949">
            <w:pPr>
              <w:pStyle w:val="ListParagraph"/>
              <w:autoSpaceDE w:val="0"/>
              <w:autoSpaceDN w:val="0"/>
              <w:adjustRightInd w:val="0"/>
              <w:ind w:left="0"/>
              <w:jc w:val="right"/>
              <w:rPr>
                <w:rFonts w:ascii="Traditional Arabic" w:hAnsi="Traditional Arabic" w:cs="Traditional Arabic"/>
                <w:sz w:val="30"/>
                <w:szCs w:val="30"/>
                <w:rtl/>
              </w:rPr>
            </w:pPr>
            <w:r>
              <w:rPr>
                <w:rFonts w:ascii="Traditional Arabic" w:hAnsi="Traditional Arabic" w:cs="Traditional Arabic" w:hint="cs"/>
                <w:sz w:val="30"/>
                <w:szCs w:val="30"/>
                <w:rtl/>
              </w:rPr>
              <w:t>14</w:t>
            </w:r>
            <w:r w:rsidR="00287292">
              <w:rPr>
                <w:rFonts w:ascii="Traditional Arabic" w:hAnsi="Traditional Arabic" w:cs="Traditional Arabic" w:hint="cs"/>
                <w:sz w:val="30"/>
                <w:szCs w:val="30"/>
                <w:rtl/>
              </w:rPr>
              <w:t>%</w:t>
            </w:r>
            <w:r w:rsidR="00287292">
              <w:rPr>
                <w:rFonts w:ascii="Traditional Arabic" w:hAnsi="Traditional Arabic" w:cs="Traditional Arabic"/>
                <w:sz w:val="30"/>
                <w:szCs w:val="30"/>
                <w:lang w:val="en-GB"/>
              </w:rPr>
              <w:t>.</w:t>
            </w:r>
            <w:r w:rsidR="00287292">
              <w:rPr>
                <w:rFonts w:ascii="Traditional Arabic" w:hAnsi="Traditional Arabic" w:cs="Traditional Arabic" w:hint="cs"/>
                <w:sz w:val="30"/>
                <w:szCs w:val="30"/>
                <w:rtl/>
              </w:rPr>
              <w:t>000</w:t>
            </w:r>
          </w:p>
        </w:tc>
      </w:tr>
      <w:tr w:rsidR="00E71800" w:rsidRPr="00EB5BCF" w14:paraId="03D7A59B" w14:textId="77777777" w:rsidTr="00240371">
        <w:tc>
          <w:tcPr>
            <w:tcW w:w="2430" w:type="dxa"/>
          </w:tcPr>
          <w:p w14:paraId="6BE6A75E" w14:textId="77777777" w:rsidR="00E71800" w:rsidRPr="00CB188B" w:rsidRDefault="00E71800" w:rsidP="00E71800">
            <w:pPr>
              <w:pStyle w:val="ListParagraph"/>
              <w:autoSpaceDE w:val="0"/>
              <w:autoSpaceDN w:val="0"/>
              <w:bidi/>
              <w:adjustRightInd w:val="0"/>
              <w:ind w:left="0"/>
              <w:jc w:val="both"/>
              <w:rPr>
                <w:rFonts w:ascii="Traditional Arabic" w:hAnsi="Traditional Arabic" w:cs="Traditional Arabic"/>
                <w:b/>
                <w:bCs/>
                <w:sz w:val="30"/>
                <w:szCs w:val="30"/>
                <w:rtl/>
              </w:rPr>
            </w:pPr>
            <w:r w:rsidRPr="00CB188B">
              <w:rPr>
                <w:rFonts w:ascii="Traditional Arabic" w:hAnsi="Traditional Arabic" w:cs="Traditional Arabic"/>
                <w:b/>
                <w:bCs/>
                <w:sz w:val="30"/>
                <w:szCs w:val="30"/>
                <w:rtl/>
              </w:rPr>
              <w:t>الإجمالي</w:t>
            </w:r>
          </w:p>
        </w:tc>
        <w:tc>
          <w:tcPr>
            <w:tcW w:w="2009" w:type="dxa"/>
          </w:tcPr>
          <w:p w14:paraId="0AAFB631" w14:textId="77777777" w:rsidR="00E71800" w:rsidRPr="00EB5BCF" w:rsidRDefault="00E71800" w:rsidP="00E71800">
            <w:pPr>
              <w:pStyle w:val="ListParagraph"/>
              <w:autoSpaceDE w:val="0"/>
              <w:autoSpaceDN w:val="0"/>
              <w:bidi/>
              <w:adjustRightInd w:val="0"/>
              <w:ind w:left="0"/>
              <w:jc w:val="both"/>
              <w:rPr>
                <w:rFonts w:ascii="Traditional Arabic" w:hAnsi="Traditional Arabic" w:cs="Traditional Arabic"/>
                <w:sz w:val="30"/>
                <w:szCs w:val="30"/>
                <w:rtl/>
              </w:rPr>
            </w:pPr>
            <w:r w:rsidRPr="00CA4D73">
              <w:rPr>
                <w:rFonts w:ascii="Traditional Arabic" w:hAnsi="Traditional Arabic" w:cs="Traditional Arabic"/>
                <w:sz w:val="30"/>
                <w:szCs w:val="30"/>
                <w:rtl/>
              </w:rPr>
              <w:t>5,208,744,280</w:t>
            </w:r>
          </w:p>
        </w:tc>
        <w:tc>
          <w:tcPr>
            <w:tcW w:w="1578" w:type="dxa"/>
          </w:tcPr>
          <w:p w14:paraId="11ED1ECA" w14:textId="77777777" w:rsidR="00E71800" w:rsidRPr="00E2264E" w:rsidRDefault="00E71800" w:rsidP="00E71800">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000</w:t>
            </w:r>
            <w:r>
              <w:rPr>
                <w:rFonts w:ascii="Traditional Arabic" w:hAnsi="Traditional Arabic" w:cs="Traditional Arabic"/>
                <w:sz w:val="30"/>
                <w:szCs w:val="30"/>
                <w:lang w:val="en-GB"/>
              </w:rPr>
              <w:t>.</w:t>
            </w:r>
            <w:r>
              <w:rPr>
                <w:rFonts w:ascii="Traditional Arabic" w:hAnsi="Traditional Arabic" w:cs="Traditional Arabic" w:hint="cs"/>
                <w:sz w:val="30"/>
                <w:szCs w:val="30"/>
                <w:rtl/>
              </w:rPr>
              <w:t>100%</w:t>
            </w:r>
          </w:p>
        </w:tc>
        <w:tc>
          <w:tcPr>
            <w:tcW w:w="1865" w:type="dxa"/>
          </w:tcPr>
          <w:p w14:paraId="50C2EC92" w14:textId="77777777" w:rsidR="00E71800" w:rsidRPr="00EB5BCF" w:rsidRDefault="00E71800" w:rsidP="00E71800">
            <w:pPr>
              <w:pStyle w:val="ListParagraph"/>
              <w:autoSpaceDE w:val="0"/>
              <w:autoSpaceDN w:val="0"/>
              <w:bidi/>
              <w:adjustRightInd w:val="0"/>
              <w:ind w:left="0"/>
              <w:jc w:val="both"/>
              <w:rPr>
                <w:rFonts w:ascii="Traditional Arabic" w:hAnsi="Traditional Arabic" w:cs="Traditional Arabic"/>
                <w:sz w:val="30"/>
                <w:szCs w:val="30"/>
                <w:rtl/>
              </w:rPr>
            </w:pPr>
            <w:r w:rsidRPr="00CA4D73">
              <w:rPr>
                <w:rFonts w:ascii="Traditional Arabic" w:hAnsi="Traditional Arabic" w:cs="Traditional Arabic"/>
                <w:sz w:val="30"/>
                <w:szCs w:val="30"/>
                <w:rtl/>
              </w:rPr>
              <w:t>5,208,744,280</w:t>
            </w:r>
          </w:p>
        </w:tc>
        <w:tc>
          <w:tcPr>
            <w:tcW w:w="1862" w:type="dxa"/>
          </w:tcPr>
          <w:p w14:paraId="60FA77ED" w14:textId="77777777" w:rsidR="00E71800" w:rsidRPr="00EB5BCF" w:rsidRDefault="00E71800" w:rsidP="005D4949">
            <w:pPr>
              <w:pStyle w:val="ListParagraph"/>
              <w:autoSpaceDE w:val="0"/>
              <w:autoSpaceDN w:val="0"/>
              <w:bidi/>
              <w:adjustRightInd w:val="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000</w:t>
            </w:r>
            <w:r>
              <w:rPr>
                <w:rFonts w:ascii="Traditional Arabic" w:hAnsi="Traditional Arabic" w:cs="Traditional Arabic"/>
                <w:sz w:val="30"/>
                <w:szCs w:val="30"/>
                <w:lang w:val="en-GB"/>
              </w:rPr>
              <w:t>.</w:t>
            </w:r>
            <w:r>
              <w:rPr>
                <w:rFonts w:ascii="Traditional Arabic" w:hAnsi="Traditional Arabic" w:cs="Traditional Arabic" w:hint="cs"/>
                <w:sz w:val="30"/>
                <w:szCs w:val="30"/>
                <w:rtl/>
              </w:rPr>
              <w:t>100%</w:t>
            </w:r>
          </w:p>
        </w:tc>
      </w:tr>
    </w:tbl>
    <w:p w14:paraId="02F8CB02" w14:textId="77777777" w:rsidR="003D012F" w:rsidRPr="00EB5BCF" w:rsidRDefault="003D012F" w:rsidP="00064869">
      <w:pPr>
        <w:bidi/>
        <w:jc w:val="both"/>
        <w:rPr>
          <w:rFonts w:ascii="Traditional Arabic" w:hAnsi="Traditional Arabic" w:cs="Traditional Arabic"/>
          <w:sz w:val="30"/>
          <w:szCs w:val="30"/>
          <w:rtl/>
          <w:lang w:val="en-GB"/>
        </w:rPr>
      </w:pPr>
    </w:p>
    <w:p w14:paraId="1D90B8D6" w14:textId="77777777" w:rsidR="00055ADD" w:rsidRPr="00EB5BCF" w:rsidRDefault="00055ADD" w:rsidP="00055ADD">
      <w:pPr>
        <w:bidi/>
        <w:jc w:val="both"/>
        <w:rPr>
          <w:rFonts w:ascii="Traditional Arabic" w:hAnsi="Traditional Arabic" w:cs="Traditional Arabic"/>
          <w:sz w:val="30"/>
          <w:szCs w:val="30"/>
          <w:lang w:val="en-GB"/>
        </w:rPr>
      </w:pPr>
    </w:p>
    <w:p w14:paraId="540FAA8E" w14:textId="77777777" w:rsidR="00B20DAC" w:rsidRPr="00AF2C95" w:rsidRDefault="00064869" w:rsidP="00AF2C95">
      <w:pPr>
        <w:pStyle w:val="ListParagraph"/>
        <w:autoSpaceDE w:val="0"/>
        <w:autoSpaceDN w:val="0"/>
        <w:bidi/>
        <w:adjustRightInd w:val="0"/>
        <w:ind w:left="-45"/>
        <w:jc w:val="both"/>
        <w:rPr>
          <w:rtl/>
          <w:lang w:val="en-GB"/>
        </w:rPr>
      </w:pPr>
      <w:r w:rsidRPr="00EB5BCF">
        <w:rPr>
          <w:rFonts w:ascii="Traditional Arabic" w:hAnsi="Traditional Arabic" w:cs="Traditional Arabic"/>
          <w:b/>
          <w:bCs/>
          <w:sz w:val="30"/>
          <w:szCs w:val="30"/>
          <w:rtl/>
          <w:lang w:val="en-GB"/>
        </w:rPr>
        <w:t xml:space="preserve">نبذة تاريخية موجزة عن </w:t>
      </w:r>
      <w:r w:rsidR="00743F5A">
        <w:rPr>
          <w:rFonts w:ascii="Traditional Arabic" w:hAnsi="Traditional Arabic" w:cs="Traditional Arabic"/>
          <w:b/>
          <w:bCs/>
          <w:sz w:val="30"/>
          <w:szCs w:val="30"/>
          <w:rtl/>
          <w:lang w:val="en-GB"/>
        </w:rPr>
        <w:t>المساهم البائع</w:t>
      </w:r>
    </w:p>
    <w:p w14:paraId="780EFEFF" w14:textId="77777777" w:rsidR="000C35D1" w:rsidRPr="00CB188B" w:rsidRDefault="000C35D1" w:rsidP="000C35D1">
      <w:pPr>
        <w:autoSpaceDE w:val="0"/>
        <w:autoSpaceDN w:val="0"/>
        <w:bidi/>
        <w:adjustRightInd w:val="0"/>
        <w:jc w:val="both"/>
        <w:rPr>
          <w:rFonts w:ascii="Traditional Arabic" w:hAnsi="Traditional Arabic" w:cs="Traditional Arabic"/>
          <w:b/>
          <w:bCs/>
          <w:sz w:val="18"/>
          <w:szCs w:val="18"/>
          <w:rtl/>
          <w:lang w:bidi="ar-EG"/>
        </w:rPr>
      </w:pPr>
    </w:p>
    <w:p w14:paraId="72596EAD" w14:textId="77777777" w:rsidR="00F703BE" w:rsidRDefault="00F703BE" w:rsidP="002F2EA1">
      <w:pPr>
        <w:pStyle w:val="doctext"/>
        <w:bidi/>
        <w:spacing w:beforeLines="40" w:before="96" w:afterLines="40" w:after="96" w:line="276" w:lineRule="auto"/>
        <w:rPr>
          <w:rFonts w:ascii="Traditional Arabic" w:hAnsi="Traditional Arabic" w:cs="Traditional Arabic"/>
          <w:sz w:val="30"/>
          <w:szCs w:val="30"/>
          <w:rtl/>
        </w:rPr>
      </w:pPr>
      <w:r w:rsidRPr="00F703BE">
        <w:rPr>
          <w:rFonts w:ascii="Traditional Arabic" w:hAnsi="Traditional Arabic" w:cs="Traditional Arabic"/>
          <w:b/>
          <w:bCs/>
          <w:sz w:val="30"/>
          <w:szCs w:val="30"/>
          <w:rtl/>
        </w:rPr>
        <w:t>مجموعة أسياد ش م ع م</w:t>
      </w:r>
    </w:p>
    <w:p w14:paraId="6BF7CE5E" w14:textId="77777777" w:rsidR="00F703BE" w:rsidRPr="00F703BE" w:rsidRDefault="00F703BE" w:rsidP="00F703BE">
      <w:pPr>
        <w:pStyle w:val="doctext"/>
        <w:bidi/>
        <w:spacing w:beforeLines="40" w:before="96" w:afterLines="40" w:after="96" w:line="276" w:lineRule="auto"/>
        <w:rPr>
          <w:rFonts w:ascii="Traditional Arabic" w:hAnsi="Traditional Arabic" w:cs="Traditional Arabic"/>
          <w:sz w:val="30"/>
          <w:szCs w:val="30"/>
          <w:rtl/>
        </w:rPr>
      </w:pPr>
      <w:r w:rsidRPr="00F703BE">
        <w:rPr>
          <w:rFonts w:ascii="Traditional Arabic" w:hAnsi="Traditional Arabic" w:cs="Traditional Arabic"/>
          <w:sz w:val="30"/>
          <w:szCs w:val="30"/>
          <w:rtl/>
        </w:rPr>
        <w:t xml:space="preserve">تأسست مجموعة أسياد في عام 2016 من أجل توفير الحلول اللوجستية ودفع عجلة تطوير سلطنة عمان كمركز لوجستي عالمي. وهي مملوكة بالكامل للحكومة من خلال جهاز الاستثمار العماني. وتعتبر مجموعة أسياد المزود العالمي للخدمات اللوجستية المتكاملة في سلطنة عمان، وتملك </w:t>
      </w:r>
      <w:r w:rsidR="00F300C7">
        <w:rPr>
          <w:rFonts w:ascii="Traditional Arabic" w:hAnsi="Traditional Arabic" w:cs="Traditional Arabic" w:hint="cs"/>
          <w:sz w:val="30"/>
          <w:szCs w:val="30"/>
          <w:rtl/>
        </w:rPr>
        <w:t xml:space="preserve">الشركة </w:t>
      </w:r>
      <w:r w:rsidRPr="00F703BE">
        <w:rPr>
          <w:rFonts w:ascii="Traditional Arabic" w:hAnsi="Traditional Arabic" w:cs="Traditional Arabic"/>
          <w:sz w:val="30"/>
          <w:szCs w:val="30"/>
          <w:rtl/>
        </w:rPr>
        <w:t>أصولا تزيد في مجملها عن 4.1 مليار دولار أمريكي، وتعمل في أكثر من 60 دولة، وذلك حتى 31 ديسمبر 2023</w:t>
      </w:r>
      <w:r w:rsidRPr="00240371">
        <w:rPr>
          <w:rFonts w:ascii="Traditional Arabic" w:hAnsi="Traditional Arabic" w:cs="Traditional Arabic"/>
          <w:sz w:val="30"/>
          <w:szCs w:val="30"/>
          <w:rtl/>
        </w:rPr>
        <w:t>.</w:t>
      </w:r>
    </w:p>
    <w:p w14:paraId="1CB4DF2A" w14:textId="77777777" w:rsidR="00F703BE" w:rsidRDefault="00F703BE" w:rsidP="00F703BE">
      <w:pPr>
        <w:pStyle w:val="doctext"/>
        <w:bidi/>
        <w:spacing w:beforeLines="40" w:before="96" w:afterLines="40" w:after="96" w:line="276" w:lineRule="auto"/>
        <w:rPr>
          <w:rFonts w:ascii="Traditional Arabic" w:hAnsi="Traditional Arabic" w:cs="Traditional Arabic"/>
          <w:sz w:val="30"/>
          <w:szCs w:val="30"/>
          <w:rtl/>
        </w:rPr>
      </w:pPr>
      <w:r w:rsidRPr="00F703BE">
        <w:rPr>
          <w:rFonts w:ascii="Traditional Arabic" w:hAnsi="Traditional Arabic" w:cs="Traditional Arabic"/>
          <w:sz w:val="30"/>
          <w:szCs w:val="30"/>
          <w:rtl/>
        </w:rPr>
        <w:t xml:space="preserve">تغطي الشركات التابعة لمجموعة أسياد أربعة قطاعات لوجستية رئيسية: (1) الخدمات البحرية (بما في ذلك حلول الشحن، وكذلك خدمات صيانة السفن وإصلاحها وتحويلها)، (2) الموانئ والمناطق الحرة (بما في ذلك موانئ أسياد وميناء صلالة وميناء الدقم وميناء صحار والمنطقة الحرة والمنطقة الحرة بصلالة وميناء خزائن البري)، (3) الخدمات اللوجستية العامة (بما في ذلك أسياد إكسبريس للشحن السريع، وبريد عمان، وخدمات التخزين وخدمات النقل وشحن البضائع)، و (4) </w:t>
      </w:r>
      <w:r w:rsidR="00297ADD" w:rsidRPr="00297ADD">
        <w:rPr>
          <w:rFonts w:ascii="Traditional Arabic" w:hAnsi="Traditional Arabic" w:cs="Traditional Arabic"/>
          <w:sz w:val="30"/>
          <w:szCs w:val="30"/>
          <w:rtl/>
        </w:rPr>
        <w:t xml:space="preserve">الحوض الجاف والبنية التحتية </w:t>
      </w:r>
      <w:r w:rsidRPr="00F703BE">
        <w:rPr>
          <w:rFonts w:ascii="Traditional Arabic" w:hAnsi="Traditional Arabic" w:cs="Traditional Arabic"/>
          <w:sz w:val="30"/>
          <w:szCs w:val="30"/>
          <w:rtl/>
        </w:rPr>
        <w:t>(بما في ذلك عمليات السكك الحديدية العمانية وخطوط حافلات مواصلات وخدمات العبارات).</w:t>
      </w:r>
    </w:p>
    <w:p w14:paraId="61E22134" w14:textId="77777777" w:rsidR="00A355CF" w:rsidRPr="00A355CF" w:rsidRDefault="00A355CF" w:rsidP="00A355CF">
      <w:pPr>
        <w:autoSpaceDE w:val="0"/>
        <w:autoSpaceDN w:val="0"/>
        <w:bidi/>
        <w:adjustRightInd w:val="0"/>
        <w:jc w:val="both"/>
        <w:rPr>
          <w:rFonts w:ascii="Traditional Arabic" w:hAnsi="Traditional Arabic" w:cs="Traditional Arabic"/>
          <w:sz w:val="30"/>
          <w:szCs w:val="30"/>
        </w:rPr>
      </w:pPr>
    </w:p>
    <w:p w14:paraId="3B20A4A7" w14:textId="77777777" w:rsidR="00A355CF" w:rsidRPr="00A355CF" w:rsidRDefault="00A355CF" w:rsidP="00A355CF">
      <w:pPr>
        <w:autoSpaceDE w:val="0"/>
        <w:autoSpaceDN w:val="0"/>
        <w:bidi/>
        <w:adjustRightInd w:val="0"/>
        <w:jc w:val="both"/>
        <w:rPr>
          <w:rFonts w:ascii="Traditional Arabic" w:hAnsi="Traditional Arabic" w:cs="Traditional Arabic"/>
          <w:sz w:val="30"/>
          <w:szCs w:val="30"/>
          <w:rtl/>
        </w:rPr>
      </w:pPr>
    </w:p>
    <w:p w14:paraId="6E596F8F" w14:textId="77777777" w:rsidR="00F957F2" w:rsidRDefault="00F957F2" w:rsidP="00F957F2">
      <w:pPr>
        <w:autoSpaceDE w:val="0"/>
        <w:autoSpaceDN w:val="0"/>
        <w:bidi/>
        <w:adjustRightInd w:val="0"/>
        <w:jc w:val="both"/>
        <w:rPr>
          <w:rFonts w:ascii="Traditional Arabic" w:hAnsi="Traditional Arabic" w:cs="Traditional Arabic"/>
          <w:sz w:val="30"/>
          <w:szCs w:val="30"/>
          <w:rtl/>
        </w:rPr>
      </w:pPr>
    </w:p>
    <w:p w14:paraId="7819B96E" w14:textId="77777777" w:rsidR="00F957F2" w:rsidRDefault="00F957F2" w:rsidP="00F957F2">
      <w:pPr>
        <w:autoSpaceDE w:val="0"/>
        <w:autoSpaceDN w:val="0"/>
        <w:bidi/>
        <w:adjustRightInd w:val="0"/>
        <w:jc w:val="both"/>
        <w:rPr>
          <w:rFonts w:ascii="Traditional Arabic" w:hAnsi="Traditional Arabic" w:cs="Traditional Arabic"/>
          <w:sz w:val="30"/>
          <w:szCs w:val="30"/>
          <w:rtl/>
        </w:rPr>
      </w:pPr>
    </w:p>
    <w:p w14:paraId="0DEBB42A" w14:textId="77777777" w:rsidR="00585226" w:rsidRPr="00EB5BCF" w:rsidRDefault="009013E9" w:rsidP="00BF27FC">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lastRenderedPageBreak/>
        <w:t xml:space="preserve">الفصل </w:t>
      </w:r>
      <w:r w:rsidR="004D1AA2" w:rsidRPr="00EB5BCF">
        <w:rPr>
          <w:rFonts w:ascii="Traditional Arabic" w:hAnsi="Traditional Arabic" w:cs="Traditional Arabic"/>
          <w:b w:val="0"/>
          <w:bCs/>
          <w:sz w:val="30"/>
          <w:szCs w:val="30"/>
          <w:rtl/>
          <w:lang w:bidi="ar-OM"/>
        </w:rPr>
        <w:t>التاسع</w:t>
      </w:r>
    </w:p>
    <w:p w14:paraId="266B64D5" w14:textId="77777777" w:rsidR="005F2E75" w:rsidRPr="00EB5BCF" w:rsidRDefault="009013E9" w:rsidP="00BF27FC">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نظرة عامة على الاقتصاد العماني</w:t>
      </w:r>
    </w:p>
    <w:p w14:paraId="0108145A"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bCs/>
          <w:color w:val="000000" w:themeColor="text1"/>
          <w:sz w:val="30"/>
          <w:szCs w:val="30"/>
          <w:rtl/>
        </w:rPr>
      </w:pPr>
      <w:r w:rsidRPr="00A47834">
        <w:rPr>
          <w:rFonts w:ascii="Traditional Arabic" w:hAnsi="Traditional Arabic" w:cs="Traditional Arabic"/>
          <w:b/>
          <w:bCs/>
          <w:color w:val="000000" w:themeColor="text1"/>
          <w:sz w:val="30"/>
          <w:szCs w:val="30"/>
          <w:rtl/>
        </w:rPr>
        <w:t>الموقع</w:t>
      </w:r>
    </w:p>
    <w:p w14:paraId="2E01736C"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تقع سلطنة عُمان في شبه الجزيرة العربية، وتتسم بأنظمتها السياسية والاقتصادية والاجتماعية المستقرة. وتأتي عُمان في المرتبة الثانية من حيث المساحة الجغرافية بين دول مجلس التعاون الخليجي بعد المملكة العربية السعودية، حيث تتمتع بموقع استراتيجي متميز على مفترق الطرق بين آسيا وأوروبا، وكانت تاريخيا مركزًا للتجارة والتبادل التجاري. وبلغ عدد سكانها </w:t>
      </w:r>
      <w:r w:rsidRPr="00A47834">
        <w:rPr>
          <w:rFonts w:ascii="Traditional Arabic" w:hAnsi="Traditional Arabic" w:cs="Traditional Arabic" w:hint="cs"/>
          <w:color w:val="000000" w:themeColor="text1"/>
          <w:sz w:val="30"/>
          <w:szCs w:val="30"/>
          <w:rtl/>
        </w:rPr>
        <w:t>5.2</w:t>
      </w:r>
      <w:r w:rsidRPr="00A47834">
        <w:rPr>
          <w:rFonts w:ascii="Traditional Arabic" w:hAnsi="Traditional Arabic" w:cs="Traditional Arabic"/>
          <w:color w:val="000000" w:themeColor="text1"/>
          <w:sz w:val="30"/>
          <w:szCs w:val="30"/>
          <w:rtl/>
        </w:rPr>
        <w:t xml:space="preserve"> مليون نسمة حتى </w:t>
      </w:r>
      <w:r w:rsidRPr="00A47834">
        <w:rPr>
          <w:rFonts w:ascii="Traditional Arabic" w:hAnsi="Traditional Arabic" w:cs="Traditional Arabic" w:hint="cs"/>
          <w:color w:val="000000" w:themeColor="text1"/>
          <w:sz w:val="30"/>
          <w:szCs w:val="30"/>
          <w:rtl/>
        </w:rPr>
        <w:t>يونيو</w:t>
      </w:r>
      <w:r w:rsidRPr="00A47834">
        <w:rPr>
          <w:rFonts w:ascii="Traditional Arabic" w:hAnsi="Traditional Arabic" w:cs="Traditional Arabic"/>
          <w:color w:val="000000" w:themeColor="text1"/>
          <w:sz w:val="30"/>
          <w:szCs w:val="30"/>
          <w:rtl/>
        </w:rPr>
        <w:t xml:space="preserve"> 2024، موزعين على مساحة 309,500 كم</w:t>
      </w:r>
      <w:r w:rsidRPr="00A47834">
        <w:rPr>
          <w:rFonts w:ascii="Traditional Arabic" w:hAnsi="Traditional Arabic" w:cs="Traditional Arabic"/>
          <w:color w:val="000000" w:themeColor="text1"/>
          <w:sz w:val="30"/>
          <w:szCs w:val="30"/>
          <w:vertAlign w:val="superscript"/>
          <w:rtl/>
        </w:rPr>
        <w:t>2</w:t>
      </w:r>
      <w:r w:rsidRPr="00A47834">
        <w:rPr>
          <w:rFonts w:ascii="Traditional Arabic" w:hAnsi="Traditional Arabic" w:cs="Traditional Arabic"/>
          <w:color w:val="000000" w:themeColor="text1"/>
          <w:sz w:val="30"/>
          <w:szCs w:val="30"/>
          <w:rtl/>
        </w:rPr>
        <w:t xml:space="preserve"> وخط ساحلي يمتد على طول 3,165 كيلومترا. هذا، وتنقسم سلطنة عُمان إداريًا إلى إحدى عشرة محافظة</w:t>
      </w:r>
      <w:r w:rsidR="00AC17FC">
        <w:rPr>
          <w:rFonts w:ascii="Traditional Arabic" w:hAnsi="Traditional Arabic" w:cs="Traditional Arabic" w:hint="cs"/>
          <w:color w:val="000000" w:themeColor="text1"/>
          <w:sz w:val="30"/>
          <w:szCs w:val="30"/>
          <w:rtl/>
        </w:rPr>
        <w:t xml:space="preserve"> وهي كالأتي:</w:t>
      </w:r>
      <w:r w:rsidRPr="00A47834">
        <w:rPr>
          <w:rFonts w:ascii="Traditional Arabic" w:hAnsi="Traditional Arabic" w:cs="Traditional Arabic"/>
          <w:color w:val="000000" w:themeColor="text1"/>
          <w:sz w:val="30"/>
          <w:szCs w:val="30"/>
          <w:rtl/>
        </w:rPr>
        <w:t xml:space="preserve"> </w:t>
      </w:r>
      <w:r w:rsidR="001B7FAB">
        <w:rPr>
          <w:rFonts w:ascii="Traditional Arabic" w:hAnsi="Traditional Arabic" w:cs="Traditional Arabic" w:hint="cs"/>
          <w:color w:val="000000" w:themeColor="text1"/>
          <w:sz w:val="30"/>
          <w:szCs w:val="30"/>
          <w:rtl/>
        </w:rPr>
        <w:t xml:space="preserve">محافظة </w:t>
      </w:r>
      <w:r w:rsidRPr="00A47834">
        <w:rPr>
          <w:rFonts w:ascii="Traditional Arabic" w:hAnsi="Traditional Arabic" w:cs="Traditional Arabic"/>
          <w:color w:val="000000" w:themeColor="text1"/>
          <w:sz w:val="30"/>
          <w:szCs w:val="30"/>
          <w:rtl/>
        </w:rPr>
        <w:t xml:space="preserve">الداخلية، </w:t>
      </w:r>
      <w:r w:rsidR="001B7FAB">
        <w:rPr>
          <w:rFonts w:ascii="Traditional Arabic" w:hAnsi="Traditional Arabic" w:cs="Traditional Arabic" w:hint="cs"/>
          <w:color w:val="000000" w:themeColor="text1"/>
          <w:sz w:val="30"/>
          <w:szCs w:val="30"/>
          <w:rtl/>
        </w:rPr>
        <w:t>محافظة</w:t>
      </w:r>
      <w:r w:rsidR="001B7FAB"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 xml:space="preserve">الظاهرة، </w:t>
      </w:r>
      <w:r w:rsidR="001B7FAB">
        <w:rPr>
          <w:rFonts w:ascii="Traditional Arabic" w:hAnsi="Traditional Arabic" w:cs="Traditional Arabic" w:hint="cs"/>
          <w:color w:val="000000" w:themeColor="text1"/>
          <w:sz w:val="30"/>
          <w:szCs w:val="30"/>
          <w:rtl/>
        </w:rPr>
        <w:t>محافظة</w:t>
      </w:r>
      <w:r w:rsidR="001B7FAB"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شمال الباطنة،</w:t>
      </w:r>
      <w:r w:rsidR="001B7FAB" w:rsidRPr="001B7FAB">
        <w:rPr>
          <w:rFonts w:ascii="Traditional Arabic" w:hAnsi="Traditional Arabic" w:cs="Traditional Arabic" w:hint="cs"/>
          <w:color w:val="000000" w:themeColor="text1"/>
          <w:sz w:val="30"/>
          <w:szCs w:val="30"/>
          <w:rtl/>
        </w:rPr>
        <w:t xml:space="preserve"> </w:t>
      </w:r>
      <w:r w:rsidR="001B7FAB">
        <w:rPr>
          <w:rFonts w:ascii="Traditional Arabic" w:hAnsi="Traditional Arabic" w:cs="Traditional Arabic" w:hint="cs"/>
          <w:color w:val="000000" w:themeColor="text1"/>
          <w:sz w:val="30"/>
          <w:szCs w:val="30"/>
          <w:rtl/>
        </w:rPr>
        <w:t>محافظة</w:t>
      </w:r>
      <w:r w:rsidRPr="00A47834">
        <w:rPr>
          <w:rFonts w:ascii="Traditional Arabic" w:hAnsi="Traditional Arabic" w:cs="Traditional Arabic"/>
          <w:color w:val="000000" w:themeColor="text1"/>
          <w:sz w:val="30"/>
          <w:szCs w:val="30"/>
          <w:rtl/>
        </w:rPr>
        <w:t xml:space="preserve"> جنوب الباطنة، </w:t>
      </w:r>
      <w:r w:rsidR="001B7FAB">
        <w:rPr>
          <w:rFonts w:ascii="Traditional Arabic" w:hAnsi="Traditional Arabic" w:cs="Traditional Arabic" w:hint="cs"/>
          <w:color w:val="000000" w:themeColor="text1"/>
          <w:sz w:val="30"/>
          <w:szCs w:val="30"/>
          <w:rtl/>
        </w:rPr>
        <w:t>محافظة</w:t>
      </w:r>
      <w:r w:rsidR="001B7FAB"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 xml:space="preserve">البريمي، </w:t>
      </w:r>
      <w:r w:rsidR="001B7FAB">
        <w:rPr>
          <w:rFonts w:ascii="Traditional Arabic" w:hAnsi="Traditional Arabic" w:cs="Traditional Arabic" w:hint="cs"/>
          <w:color w:val="000000" w:themeColor="text1"/>
          <w:sz w:val="30"/>
          <w:szCs w:val="30"/>
          <w:rtl/>
        </w:rPr>
        <w:t>محافظة</w:t>
      </w:r>
      <w:r w:rsidR="001B7FAB"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 xml:space="preserve">الوسطى، </w:t>
      </w:r>
      <w:r w:rsidR="001B7FAB">
        <w:rPr>
          <w:rFonts w:ascii="Traditional Arabic" w:hAnsi="Traditional Arabic" w:cs="Traditional Arabic" w:hint="cs"/>
          <w:color w:val="000000" w:themeColor="text1"/>
          <w:sz w:val="30"/>
          <w:szCs w:val="30"/>
          <w:rtl/>
        </w:rPr>
        <w:t>محافظة</w:t>
      </w:r>
      <w:r w:rsidR="001B7FAB"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 xml:space="preserve">شمال الشرقية، </w:t>
      </w:r>
      <w:r w:rsidR="001B7FAB">
        <w:rPr>
          <w:rFonts w:ascii="Traditional Arabic" w:hAnsi="Traditional Arabic" w:cs="Traditional Arabic" w:hint="cs"/>
          <w:color w:val="000000" w:themeColor="text1"/>
          <w:sz w:val="30"/>
          <w:szCs w:val="30"/>
          <w:rtl/>
        </w:rPr>
        <w:t>محافظة</w:t>
      </w:r>
      <w:r w:rsidR="001B7FAB"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 xml:space="preserve">جنوب الشرقية، </w:t>
      </w:r>
      <w:r w:rsidR="001B7FAB">
        <w:rPr>
          <w:rFonts w:ascii="Traditional Arabic" w:hAnsi="Traditional Arabic" w:cs="Traditional Arabic" w:hint="cs"/>
          <w:color w:val="000000" w:themeColor="text1"/>
          <w:sz w:val="30"/>
          <w:szCs w:val="30"/>
          <w:rtl/>
        </w:rPr>
        <w:t>محافظة</w:t>
      </w:r>
      <w:r w:rsidR="001B7FAB"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 xml:space="preserve">ظفار، </w:t>
      </w:r>
      <w:r w:rsidR="001B7FAB">
        <w:rPr>
          <w:rFonts w:ascii="Traditional Arabic" w:hAnsi="Traditional Arabic" w:cs="Traditional Arabic" w:hint="cs"/>
          <w:color w:val="000000" w:themeColor="text1"/>
          <w:sz w:val="30"/>
          <w:szCs w:val="30"/>
          <w:rtl/>
        </w:rPr>
        <w:t>محافظة</w:t>
      </w:r>
      <w:r w:rsidR="001B7FAB"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 xml:space="preserve">مسقط، </w:t>
      </w:r>
      <w:r w:rsidR="001B7FAB">
        <w:rPr>
          <w:rFonts w:ascii="Traditional Arabic" w:hAnsi="Traditional Arabic" w:cs="Traditional Arabic" w:hint="cs"/>
          <w:color w:val="000000" w:themeColor="text1"/>
          <w:sz w:val="30"/>
          <w:szCs w:val="30"/>
          <w:rtl/>
        </w:rPr>
        <w:t>محافظة</w:t>
      </w:r>
      <w:r w:rsidR="001B7FAB"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 xml:space="preserve">مسندم، وتنقسم المحافظات أيضا إلى </w:t>
      </w:r>
      <w:r w:rsidRPr="00A47834">
        <w:rPr>
          <w:rFonts w:ascii="Traditional Arabic" w:hAnsi="Traditional Arabic" w:cs="Traditional Arabic" w:hint="cs"/>
          <w:color w:val="000000" w:themeColor="text1"/>
          <w:sz w:val="30"/>
          <w:szCs w:val="30"/>
          <w:rtl/>
        </w:rPr>
        <w:t>ثلاث</w:t>
      </w:r>
      <w:r w:rsidRPr="00A47834">
        <w:rPr>
          <w:rFonts w:ascii="Traditional Arabic" w:hAnsi="Traditional Arabic" w:cs="Traditional Arabic"/>
          <w:color w:val="000000" w:themeColor="text1"/>
          <w:sz w:val="30"/>
          <w:szCs w:val="30"/>
          <w:rtl/>
        </w:rPr>
        <w:t xml:space="preserve"> وستين ولاية، وتُعتبر مدينة مسقط هي عاصمة سلطنة عُمان. وتزخر سلطنة عمان بموانئ رئيسية لتعزيز إمكاناتها التجارية، </w:t>
      </w:r>
      <w:r w:rsidRPr="00A47834">
        <w:rPr>
          <w:rFonts w:ascii="Traditional Arabic" w:hAnsi="Traditional Arabic" w:cs="Traditional Arabic" w:hint="cs"/>
          <w:color w:val="000000" w:themeColor="text1"/>
          <w:sz w:val="30"/>
          <w:szCs w:val="30"/>
          <w:rtl/>
        </w:rPr>
        <w:t xml:space="preserve">منها: </w:t>
      </w:r>
      <w:r w:rsidRPr="00A47834">
        <w:rPr>
          <w:rFonts w:ascii="Traditional Arabic" w:hAnsi="Traditional Arabic" w:cs="Traditional Arabic"/>
          <w:color w:val="000000" w:themeColor="text1"/>
          <w:sz w:val="30"/>
          <w:szCs w:val="30"/>
          <w:rtl/>
        </w:rPr>
        <w:t xml:space="preserve">ميناء السلطان قابوس في مسقط </w:t>
      </w:r>
      <w:r w:rsidR="00094A0E">
        <w:rPr>
          <w:rFonts w:ascii="Traditional Arabic" w:hAnsi="Traditional Arabic" w:cs="Traditional Arabic" w:hint="cs"/>
          <w:color w:val="000000" w:themeColor="text1"/>
          <w:sz w:val="30"/>
          <w:szCs w:val="30"/>
          <w:rtl/>
        </w:rPr>
        <w:t xml:space="preserve">حيث </w:t>
      </w:r>
      <w:r w:rsidRPr="00A47834">
        <w:rPr>
          <w:rFonts w:ascii="Traditional Arabic" w:hAnsi="Traditional Arabic" w:cs="Traditional Arabic"/>
          <w:color w:val="000000" w:themeColor="text1"/>
          <w:sz w:val="30"/>
          <w:szCs w:val="30"/>
          <w:rtl/>
          <w:lang w:bidi="ar-EG"/>
        </w:rPr>
        <w:t>يُعد مركزا للسياحة والرحلات البحرية</w:t>
      </w:r>
      <w:r w:rsidR="008A35B2">
        <w:rPr>
          <w:rFonts w:ascii="Traditional Arabic" w:hAnsi="Traditional Arabic" w:cs="Traditional Arabic" w:hint="cs"/>
          <w:color w:val="000000" w:themeColor="text1"/>
          <w:sz w:val="30"/>
          <w:szCs w:val="30"/>
          <w:rtl/>
          <w:lang w:bidi="ar-EG"/>
        </w:rPr>
        <w:t xml:space="preserve"> والتجارية</w:t>
      </w:r>
      <w:r w:rsidRPr="00A47834">
        <w:rPr>
          <w:rFonts w:ascii="Traditional Arabic" w:hAnsi="Traditional Arabic" w:cs="Traditional Arabic"/>
          <w:color w:val="000000" w:themeColor="text1"/>
          <w:sz w:val="30"/>
          <w:szCs w:val="30"/>
          <w:rtl/>
          <w:lang w:bidi="ar-EG"/>
        </w:rPr>
        <w:t>، وميناء صلالة هو أحد أكثر موانئ عبور الحاويات ازدحاما في العالم، وميناء صحار الذي يضم منطقة حرة مهمة جدا للصادرات والواردات، وميناء الدقم الذي يُعد الميناء الأساسي لجهود تنويع الاقتصاد العماني؛ فهذه الموانئ بلا شك تساهم بشكل كبير في إبراز الدور الحيوي الذي تقوم به سلطنة عمان كوجهة لوجستية وتجارية في المنطقة</w:t>
      </w:r>
      <w:r w:rsidRPr="00A47834">
        <w:rPr>
          <w:rFonts w:ascii="Traditional Arabic" w:hAnsi="Traditional Arabic" w:cs="Traditional Arabic" w:hint="cs"/>
          <w:color w:val="000000" w:themeColor="text1"/>
          <w:sz w:val="30"/>
          <w:szCs w:val="30"/>
          <w:rtl/>
          <w:lang w:bidi="ar-EG"/>
        </w:rPr>
        <w:t>.</w:t>
      </w:r>
    </w:p>
    <w:p w14:paraId="08B5CEF4"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41D12804"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color w:val="000000" w:themeColor="text1"/>
          <w:sz w:val="30"/>
          <w:szCs w:val="30"/>
        </w:rPr>
      </w:pPr>
      <w:r w:rsidRPr="00A47834">
        <w:rPr>
          <w:rFonts w:ascii="Traditional Arabic" w:hAnsi="Traditional Arabic" w:cs="Traditional Arabic"/>
          <w:b/>
          <w:bCs/>
          <w:color w:val="000000" w:themeColor="text1"/>
          <w:sz w:val="30"/>
          <w:szCs w:val="30"/>
          <w:rtl/>
        </w:rPr>
        <w:t>الحكومة</w:t>
      </w:r>
    </w:p>
    <w:p w14:paraId="0FF8FA95"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تقلد حضرة صاحب الجلالة السلطان هيثم بن طارق آل سعيد المعظم حفظه الله ورعاه مقاليد الحكم في سلطنة عُمان بعد وفاة المغفور له - بإذن الله - حضرة صاحب الجلالة السلطان قابوس بن سعيد آل سعيد المعظم في يناير 2020. هذا، ويترأس حضرة صاحب الجلالة السلطان هيثم بن طارق آل سعيد حفظه الله ورعاه مجلس الوزراء الذي يسانده في صياغة وتنفيذ السياسات العامة للدولة. ويُعد القانون الأساسي بمثابة الدستور الذي يحكم شؤون الدولة، وبموجبه أُنشئ نظام </w:t>
      </w:r>
      <w:r w:rsidR="00254F62">
        <w:rPr>
          <w:rFonts w:ascii="Traditional Arabic" w:hAnsi="Traditional Arabic" w:cs="Traditional Arabic" w:hint="cs"/>
          <w:color w:val="000000" w:themeColor="text1"/>
          <w:sz w:val="30"/>
          <w:szCs w:val="30"/>
          <w:rtl/>
        </w:rPr>
        <w:t xml:space="preserve">يتكون </w:t>
      </w:r>
      <w:r w:rsidRPr="00A47834">
        <w:rPr>
          <w:rFonts w:ascii="Traditional Arabic" w:hAnsi="Traditional Arabic" w:cs="Traditional Arabic"/>
          <w:color w:val="000000" w:themeColor="text1"/>
          <w:sz w:val="30"/>
          <w:szCs w:val="30"/>
          <w:rtl/>
        </w:rPr>
        <w:t xml:space="preserve">من مجلسين، يعرف باسم مجلس عُمان، ويتألف من مجلس الدولة المعين ومجلس الشورى المنتخب، ويعمل أعضاء كل مجلس بصفة استشارية، على الرغم من أنه يجوز لأعضاء كلا المجلسين أيضا اقتراح التشريعات. </w:t>
      </w:r>
    </w:p>
    <w:p w14:paraId="5DB1EF1C"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0E2EDBDE"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color w:val="000000" w:themeColor="text1"/>
          <w:sz w:val="30"/>
          <w:szCs w:val="30"/>
        </w:rPr>
      </w:pPr>
      <w:r w:rsidRPr="00A47834">
        <w:rPr>
          <w:rFonts w:ascii="Traditional Arabic" w:hAnsi="Traditional Arabic" w:cs="Traditional Arabic"/>
          <w:b/>
          <w:bCs/>
          <w:color w:val="000000" w:themeColor="text1"/>
          <w:sz w:val="30"/>
          <w:szCs w:val="30"/>
          <w:rtl/>
        </w:rPr>
        <w:lastRenderedPageBreak/>
        <w:t>العلاقات الدولية</w:t>
      </w:r>
    </w:p>
    <w:p w14:paraId="36B58D32"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تحتفظ سلطنة عُمان بعلاقات متينة مع جيرانها، وكذلك مع مجموعة واسعة من الدول الغربية وغيرها من الدول. هذا، وقد شهدت سلطنة عُمان – بفضل المولى عز وجل - استقرارا سياسيا واقتصاديا لأكثر من خمسين سنة، وانضمت إلى عضوية العديد من المنظمات الدولية البارزة، بما في ذلك الأمم المتحدة وصندوق النقد الدولي والبنك الدولي للإنشاء والتعمير ومنظمة التجارة العالمية. </w:t>
      </w:r>
    </w:p>
    <w:p w14:paraId="6DF67DD2"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2445C625"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أما على الصعيد الإقليمي، فإن سلطنة عُمان أحد الأعضاء المؤسسين في مجلس التعاون الخليجي (إلى جانب خمس دول خليجية أخرى: البحرين والكويت وقطر والمملكة العربية السعودية والإمارات العربية المتحدة). كما أن سلطنة عُمان عضو في اللجنة الوزارية الدائمة للتعاون البترولي لدول مجلس التعاون الخليجي المكلفة بإعداد الاستراتيجية البترولية طويلة الأجل لدول مجلس التعاون الخليجي وفقًا لأهداف الاستدامة الخاصة بها. </w:t>
      </w:r>
    </w:p>
    <w:p w14:paraId="23CF3FCD"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60CF6473"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color w:val="000000" w:themeColor="text1"/>
          <w:sz w:val="30"/>
          <w:szCs w:val="30"/>
        </w:rPr>
      </w:pPr>
      <w:r w:rsidRPr="00A47834">
        <w:rPr>
          <w:rFonts w:ascii="Traditional Arabic" w:hAnsi="Traditional Arabic" w:cs="Traditional Arabic"/>
          <w:b/>
          <w:bCs/>
          <w:color w:val="000000" w:themeColor="text1"/>
          <w:sz w:val="30"/>
          <w:szCs w:val="30"/>
          <w:rtl/>
        </w:rPr>
        <w:t>المؤشرات الاقتصادية والاجتماعية الرئيسية</w:t>
      </w:r>
    </w:p>
    <w:p w14:paraId="0F4D8CD6"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يتناول الجدول التالي مجموعة مختارة من الإحصاءات الاقتصادية والاجتماعية الرئيسية لسلطنة عُمان للفترات المشار إليها:</w:t>
      </w:r>
    </w:p>
    <w:tbl>
      <w:tblPr>
        <w:tblStyle w:val="GridTable1Light-Accent6"/>
        <w:tblpPr w:leftFromText="180" w:rightFromText="180" w:vertAnchor="text" w:horzAnchor="margin" w:tblpY="-53"/>
        <w:bidiVisual/>
        <w:tblW w:w="5000" w:type="pct"/>
        <w:tblLook w:val="04A0" w:firstRow="1" w:lastRow="0" w:firstColumn="1" w:lastColumn="0" w:noHBand="0" w:noVBand="1"/>
      </w:tblPr>
      <w:tblGrid>
        <w:gridCol w:w="3565"/>
        <w:gridCol w:w="839"/>
        <w:gridCol w:w="1046"/>
        <w:gridCol w:w="956"/>
        <w:gridCol w:w="954"/>
        <w:gridCol w:w="908"/>
        <w:gridCol w:w="1082"/>
      </w:tblGrid>
      <w:tr w:rsidR="00373E3F" w:rsidRPr="00A47834" w14:paraId="735365C5" w14:textId="77777777" w:rsidTr="00922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pct"/>
            <w:shd w:val="clear" w:color="auto" w:fill="70AD47" w:themeFill="accent6"/>
            <w:hideMark/>
          </w:tcPr>
          <w:p w14:paraId="2D20A74A"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lastRenderedPageBreak/>
              <w:t xml:space="preserve">التفاصيل </w:t>
            </w:r>
          </w:p>
        </w:tc>
        <w:tc>
          <w:tcPr>
            <w:tcW w:w="337" w:type="pct"/>
            <w:shd w:val="clear" w:color="auto" w:fill="70AD47" w:themeFill="accent6"/>
            <w:vAlign w:val="center"/>
            <w:hideMark/>
          </w:tcPr>
          <w:p w14:paraId="58BE888A" w14:textId="77777777" w:rsidR="00A47834" w:rsidRPr="00A47834" w:rsidRDefault="00A47834" w:rsidP="00A47834">
            <w:pPr>
              <w:bidi/>
              <w:spacing w:beforeLines="40" w:before="96" w:afterLines="40" w:after="96" w:line="276" w:lineRule="auto"/>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2018</w:t>
            </w:r>
          </w:p>
        </w:tc>
        <w:tc>
          <w:tcPr>
            <w:tcW w:w="578" w:type="pct"/>
            <w:shd w:val="clear" w:color="auto" w:fill="70AD47" w:themeFill="accent6"/>
            <w:vAlign w:val="center"/>
            <w:hideMark/>
          </w:tcPr>
          <w:p w14:paraId="2088FAFD" w14:textId="77777777" w:rsidR="00A47834" w:rsidRPr="00A47834" w:rsidRDefault="00A47834" w:rsidP="00A47834">
            <w:pPr>
              <w:bidi/>
              <w:spacing w:beforeLines="40" w:before="96" w:afterLines="40" w:after="96" w:line="276" w:lineRule="auto"/>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2019</w:t>
            </w:r>
          </w:p>
        </w:tc>
        <w:tc>
          <w:tcPr>
            <w:tcW w:w="530" w:type="pct"/>
            <w:shd w:val="clear" w:color="auto" w:fill="70AD47" w:themeFill="accent6"/>
            <w:vAlign w:val="center"/>
            <w:hideMark/>
          </w:tcPr>
          <w:p w14:paraId="4211821E" w14:textId="77777777" w:rsidR="00A47834" w:rsidRPr="00A47834" w:rsidRDefault="00A47834" w:rsidP="00A47834">
            <w:pPr>
              <w:bidi/>
              <w:spacing w:beforeLines="40" w:before="96" w:afterLines="40" w:after="96" w:line="276" w:lineRule="auto"/>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2020</w:t>
            </w:r>
          </w:p>
        </w:tc>
        <w:tc>
          <w:tcPr>
            <w:tcW w:w="529" w:type="pct"/>
            <w:shd w:val="clear" w:color="auto" w:fill="70AD47" w:themeFill="accent6"/>
            <w:vAlign w:val="center"/>
            <w:hideMark/>
          </w:tcPr>
          <w:p w14:paraId="34B99A4E" w14:textId="77777777" w:rsidR="00A47834" w:rsidRPr="00A47834" w:rsidRDefault="00A47834" w:rsidP="00A47834">
            <w:pPr>
              <w:bidi/>
              <w:spacing w:beforeLines="40" w:before="96" w:afterLines="40" w:after="96" w:line="276" w:lineRule="auto"/>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2021</w:t>
            </w:r>
          </w:p>
        </w:tc>
        <w:tc>
          <w:tcPr>
            <w:tcW w:w="504" w:type="pct"/>
            <w:shd w:val="clear" w:color="auto" w:fill="70AD47" w:themeFill="accent6"/>
            <w:vAlign w:val="center"/>
          </w:tcPr>
          <w:p w14:paraId="4F618145" w14:textId="77777777" w:rsidR="00A47834" w:rsidRPr="00A47834" w:rsidRDefault="00A47834" w:rsidP="00A47834">
            <w:pPr>
              <w:bidi/>
              <w:spacing w:beforeLines="40" w:before="96" w:afterLines="40" w:after="96" w:line="276" w:lineRule="auto"/>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2022</w:t>
            </w:r>
          </w:p>
        </w:tc>
        <w:tc>
          <w:tcPr>
            <w:tcW w:w="597" w:type="pct"/>
            <w:shd w:val="clear" w:color="auto" w:fill="70AD47" w:themeFill="accent6"/>
            <w:vAlign w:val="center"/>
          </w:tcPr>
          <w:p w14:paraId="6AA91339" w14:textId="77777777" w:rsidR="00A47834" w:rsidRPr="00A47834" w:rsidRDefault="00A47834" w:rsidP="00A47834">
            <w:pPr>
              <w:bidi/>
              <w:spacing w:beforeLines="40" w:before="96" w:afterLines="40" w:after="96" w:line="276" w:lineRule="auto"/>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rtl/>
                <w14:ligatures w14:val="none"/>
              </w:rPr>
            </w:pPr>
            <w:r w:rsidRPr="00A47834">
              <w:rPr>
                <w:rFonts w:ascii="Traditional Arabic" w:hAnsi="Traditional Arabic" w:cs="Traditional Arabic"/>
                <w:color w:val="000000" w:themeColor="text1"/>
                <w:sz w:val="30"/>
                <w:szCs w:val="30"/>
                <w:rtl/>
                <w14:ligatures w14:val="none"/>
              </w:rPr>
              <w:t>2023</w:t>
            </w:r>
          </w:p>
        </w:tc>
      </w:tr>
      <w:tr w:rsidR="00373E3F" w:rsidRPr="00A47834" w14:paraId="631212ED" w14:textId="77777777" w:rsidTr="00922116">
        <w:tc>
          <w:tcPr>
            <w:cnfStyle w:val="001000000000" w:firstRow="0" w:lastRow="0" w:firstColumn="1" w:lastColumn="0" w:oddVBand="0" w:evenVBand="0" w:oddHBand="0" w:evenHBand="0" w:firstRowFirstColumn="0" w:firstRowLastColumn="0" w:lastRowFirstColumn="0" w:lastRowLastColumn="0"/>
            <w:tcW w:w="1925" w:type="pct"/>
            <w:hideMark/>
          </w:tcPr>
          <w:p w14:paraId="61741E44"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الناتج المحلي الإجمالي بالأسعار الثابتة (مليار ريال عُماني)</w:t>
            </w:r>
          </w:p>
        </w:tc>
        <w:tc>
          <w:tcPr>
            <w:tcW w:w="337" w:type="pct"/>
            <w:vAlign w:val="center"/>
            <w:hideMark/>
          </w:tcPr>
          <w:p w14:paraId="3EB9FF87"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35.2</w:t>
            </w:r>
          </w:p>
        </w:tc>
        <w:tc>
          <w:tcPr>
            <w:tcW w:w="578" w:type="pct"/>
            <w:vAlign w:val="center"/>
            <w:hideMark/>
          </w:tcPr>
          <w:p w14:paraId="008CBC4F"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34.8</w:t>
            </w:r>
          </w:p>
        </w:tc>
        <w:tc>
          <w:tcPr>
            <w:tcW w:w="530" w:type="pct"/>
            <w:vAlign w:val="center"/>
            <w:hideMark/>
          </w:tcPr>
          <w:p w14:paraId="3220C325"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33.6*</w:t>
            </w:r>
          </w:p>
        </w:tc>
        <w:tc>
          <w:tcPr>
            <w:tcW w:w="529" w:type="pct"/>
            <w:vAlign w:val="center"/>
            <w:hideMark/>
          </w:tcPr>
          <w:p w14:paraId="2DEB2EDF"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34.5*</w:t>
            </w:r>
          </w:p>
        </w:tc>
        <w:tc>
          <w:tcPr>
            <w:tcW w:w="504" w:type="pct"/>
            <w:vAlign w:val="center"/>
          </w:tcPr>
          <w:p w14:paraId="3271EA7B"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37.8*</w:t>
            </w:r>
          </w:p>
        </w:tc>
        <w:tc>
          <w:tcPr>
            <w:tcW w:w="597" w:type="pct"/>
            <w:vAlign w:val="center"/>
          </w:tcPr>
          <w:p w14:paraId="573D3B20"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rtl/>
                <w14:ligatures w14:val="none"/>
              </w:rPr>
            </w:pPr>
            <w:r w:rsidRPr="00A47834">
              <w:rPr>
                <w:rFonts w:ascii="Traditional Arabic" w:hAnsi="Traditional Arabic" w:cs="Traditional Arabic"/>
                <w:color w:val="000000" w:themeColor="text1"/>
                <w:sz w:val="30"/>
                <w:szCs w:val="30"/>
                <w:rtl/>
                <w14:ligatures w14:val="none"/>
              </w:rPr>
              <w:t>38.3</w:t>
            </w:r>
          </w:p>
        </w:tc>
      </w:tr>
      <w:tr w:rsidR="00373E3F" w:rsidRPr="00A47834" w14:paraId="76247ADE" w14:textId="77777777" w:rsidTr="00922116">
        <w:trPr>
          <w:trHeight w:val="41"/>
        </w:trPr>
        <w:tc>
          <w:tcPr>
            <w:cnfStyle w:val="001000000000" w:firstRow="0" w:lastRow="0" w:firstColumn="1" w:lastColumn="0" w:oddVBand="0" w:evenVBand="0" w:oddHBand="0" w:evenHBand="0" w:firstRowFirstColumn="0" w:firstRowLastColumn="0" w:lastRowFirstColumn="0" w:lastRowLastColumn="0"/>
            <w:tcW w:w="1925" w:type="pct"/>
            <w:hideMark/>
          </w:tcPr>
          <w:p w14:paraId="476CFD97"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عدد السكان (بالمليون)</w:t>
            </w:r>
          </w:p>
        </w:tc>
        <w:tc>
          <w:tcPr>
            <w:tcW w:w="337" w:type="pct"/>
            <w:vAlign w:val="center"/>
            <w:hideMark/>
          </w:tcPr>
          <w:p w14:paraId="3B496E7C"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4.60</w:t>
            </w:r>
          </w:p>
        </w:tc>
        <w:tc>
          <w:tcPr>
            <w:tcW w:w="578" w:type="pct"/>
            <w:vAlign w:val="center"/>
            <w:hideMark/>
          </w:tcPr>
          <w:p w14:paraId="0B2062B7"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4.62</w:t>
            </w:r>
          </w:p>
        </w:tc>
        <w:tc>
          <w:tcPr>
            <w:tcW w:w="530" w:type="pct"/>
            <w:vAlign w:val="center"/>
            <w:hideMark/>
          </w:tcPr>
          <w:p w14:paraId="7477CDE2"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4.48</w:t>
            </w:r>
          </w:p>
        </w:tc>
        <w:tc>
          <w:tcPr>
            <w:tcW w:w="529" w:type="pct"/>
            <w:vAlign w:val="center"/>
            <w:hideMark/>
          </w:tcPr>
          <w:p w14:paraId="33225B47"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4.53</w:t>
            </w:r>
          </w:p>
        </w:tc>
        <w:tc>
          <w:tcPr>
            <w:tcW w:w="504" w:type="pct"/>
            <w:vAlign w:val="center"/>
          </w:tcPr>
          <w:p w14:paraId="48147627"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4.93</w:t>
            </w:r>
          </w:p>
        </w:tc>
        <w:tc>
          <w:tcPr>
            <w:tcW w:w="597" w:type="pct"/>
            <w:vAlign w:val="center"/>
          </w:tcPr>
          <w:p w14:paraId="54059B52"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rtl/>
                <w14:ligatures w14:val="none"/>
              </w:rPr>
            </w:pPr>
            <w:r w:rsidRPr="00A47834">
              <w:rPr>
                <w:rFonts w:ascii="Traditional Arabic" w:hAnsi="Traditional Arabic" w:cs="Traditional Arabic"/>
                <w:color w:val="000000" w:themeColor="text1"/>
                <w:sz w:val="30"/>
                <w:szCs w:val="30"/>
                <w:rtl/>
                <w14:ligatures w14:val="none"/>
              </w:rPr>
              <w:t>5.17</w:t>
            </w:r>
          </w:p>
        </w:tc>
      </w:tr>
      <w:tr w:rsidR="00373E3F" w:rsidRPr="00A47834" w14:paraId="14F8B459" w14:textId="77777777" w:rsidTr="00922116">
        <w:tc>
          <w:tcPr>
            <w:cnfStyle w:val="001000000000" w:firstRow="0" w:lastRow="0" w:firstColumn="1" w:lastColumn="0" w:oddVBand="0" w:evenVBand="0" w:oddHBand="0" w:evenHBand="0" w:firstRowFirstColumn="0" w:firstRowLastColumn="0" w:lastRowFirstColumn="0" w:lastRowLastColumn="0"/>
            <w:tcW w:w="1925" w:type="pct"/>
            <w:hideMark/>
          </w:tcPr>
          <w:p w14:paraId="708A8DEE"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نصيب الفرد من الناتج المحلي الإجمالي بأسعار السوق (ريال عُماني)</w:t>
            </w:r>
          </w:p>
        </w:tc>
        <w:tc>
          <w:tcPr>
            <w:tcW w:w="337" w:type="pct"/>
            <w:vAlign w:val="center"/>
            <w:hideMark/>
          </w:tcPr>
          <w:p w14:paraId="0E73EA43" w14:textId="77777777" w:rsidR="00A47834" w:rsidRPr="00A47834" w:rsidRDefault="00373E3F"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rtl/>
                <w14:ligatures w14:val="none"/>
              </w:rPr>
            </w:pPr>
            <w:r>
              <w:rPr>
                <w:rFonts w:ascii="Traditional Arabic" w:hAnsi="Traditional Arabic" w:cs="Traditional Arabic" w:hint="cs"/>
                <w:color w:val="000000" w:themeColor="text1"/>
                <w:sz w:val="30"/>
                <w:szCs w:val="30"/>
                <w:rtl/>
                <w14:ligatures w14:val="none"/>
              </w:rPr>
              <w:t>7.647</w:t>
            </w:r>
          </w:p>
        </w:tc>
        <w:tc>
          <w:tcPr>
            <w:tcW w:w="578" w:type="pct"/>
            <w:vAlign w:val="center"/>
            <w:hideMark/>
          </w:tcPr>
          <w:p w14:paraId="0FEEB721" w14:textId="77777777" w:rsidR="00A47834" w:rsidRPr="00A47834" w:rsidRDefault="00373E3F"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Pr>
                <w:rFonts w:ascii="Traditional Arabic" w:hAnsi="Traditional Arabic" w:cs="Traditional Arabic" w:hint="cs"/>
                <w:color w:val="000000" w:themeColor="text1"/>
                <w:sz w:val="30"/>
                <w:szCs w:val="30"/>
                <w:rtl/>
                <w14:ligatures w14:val="none"/>
              </w:rPr>
              <w:t>7.332</w:t>
            </w:r>
          </w:p>
        </w:tc>
        <w:tc>
          <w:tcPr>
            <w:tcW w:w="530" w:type="pct"/>
            <w:vAlign w:val="center"/>
            <w:hideMark/>
          </w:tcPr>
          <w:p w14:paraId="53F41599" w14:textId="77777777" w:rsidR="00A47834" w:rsidRPr="00A47834" w:rsidRDefault="00373E3F"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Pr>
                <w:rFonts w:ascii="Traditional Arabic" w:hAnsi="Traditional Arabic" w:cs="Traditional Arabic" w:hint="cs"/>
                <w:color w:val="000000" w:themeColor="text1"/>
                <w:sz w:val="30"/>
                <w:szCs w:val="30"/>
                <w:rtl/>
                <w14:ligatures w14:val="none"/>
              </w:rPr>
              <w:t>6.515</w:t>
            </w:r>
          </w:p>
        </w:tc>
        <w:tc>
          <w:tcPr>
            <w:tcW w:w="529" w:type="pct"/>
            <w:vAlign w:val="center"/>
            <w:hideMark/>
          </w:tcPr>
          <w:p w14:paraId="55ED79A7" w14:textId="77777777" w:rsidR="00A47834" w:rsidRPr="00A47834" w:rsidRDefault="00373E3F"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Pr>
                <w:rFonts w:ascii="Traditional Arabic" w:hAnsi="Traditional Arabic" w:cs="Traditional Arabic" w:hint="cs"/>
                <w:color w:val="000000" w:themeColor="text1"/>
                <w:sz w:val="30"/>
                <w:szCs w:val="30"/>
                <w:rtl/>
                <w14:ligatures w14:val="none"/>
              </w:rPr>
              <w:t>7.417</w:t>
            </w:r>
          </w:p>
        </w:tc>
        <w:tc>
          <w:tcPr>
            <w:tcW w:w="504" w:type="pct"/>
            <w:vAlign w:val="center"/>
          </w:tcPr>
          <w:p w14:paraId="1260EB2A" w14:textId="77777777" w:rsidR="00A47834" w:rsidRPr="00A47834" w:rsidRDefault="0052648C"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Pr>
                <w:rFonts w:ascii="Traditional Arabic" w:hAnsi="Traditional Arabic" w:cs="Traditional Arabic" w:hint="cs"/>
                <w:color w:val="000000" w:themeColor="text1"/>
                <w:sz w:val="30"/>
                <w:szCs w:val="30"/>
                <w:rtl/>
                <w14:ligatures w14:val="none"/>
              </w:rPr>
              <w:t>8.724</w:t>
            </w:r>
          </w:p>
        </w:tc>
        <w:tc>
          <w:tcPr>
            <w:tcW w:w="597" w:type="pct"/>
            <w:vAlign w:val="center"/>
          </w:tcPr>
          <w:p w14:paraId="2B2A6886" w14:textId="77777777" w:rsidR="00A47834" w:rsidRPr="00A47834" w:rsidRDefault="0052648C"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rtl/>
                <w14:ligatures w14:val="none"/>
              </w:rPr>
            </w:pPr>
            <w:r>
              <w:rPr>
                <w:rFonts w:ascii="Traditional Arabic" w:hAnsi="Traditional Arabic" w:cs="Traditional Arabic" w:hint="cs"/>
                <w:color w:val="000000" w:themeColor="text1"/>
                <w:sz w:val="30"/>
                <w:szCs w:val="30"/>
                <w:rtl/>
                <w14:ligatures w14:val="none"/>
              </w:rPr>
              <w:t>8.099</w:t>
            </w:r>
            <w:r>
              <w:rPr>
                <w:rFonts w:ascii="Traditional Arabic" w:hAnsi="Traditional Arabic" w:cs="Traditional Arabic" w:hint="cs"/>
                <w:color w:val="000000" w:themeColor="text1"/>
                <w:sz w:val="30"/>
                <w:szCs w:val="30"/>
                <w:vertAlign w:val="superscript"/>
                <w:rtl/>
                <w14:ligatures w14:val="none"/>
              </w:rPr>
              <w:t>(1)</w:t>
            </w:r>
            <w:r>
              <w:rPr>
                <w:rFonts w:ascii="Traditional Arabic" w:hAnsi="Traditional Arabic" w:cs="Traditional Arabic" w:hint="cs"/>
                <w:color w:val="000000" w:themeColor="text1"/>
                <w:sz w:val="30"/>
                <w:szCs w:val="30"/>
                <w:rtl/>
                <w14:ligatures w14:val="none"/>
              </w:rPr>
              <w:t xml:space="preserve"> </w:t>
            </w:r>
          </w:p>
        </w:tc>
      </w:tr>
      <w:tr w:rsidR="00373E3F" w:rsidRPr="00A47834" w14:paraId="452CBDEF" w14:textId="77777777" w:rsidTr="00922116">
        <w:tc>
          <w:tcPr>
            <w:cnfStyle w:val="001000000000" w:firstRow="0" w:lastRow="0" w:firstColumn="1" w:lastColumn="0" w:oddVBand="0" w:evenVBand="0" w:oddHBand="0" w:evenHBand="0" w:firstRowFirstColumn="0" w:firstRowLastColumn="0" w:lastRowFirstColumn="0" w:lastRowLastColumn="0"/>
            <w:tcW w:w="1925" w:type="pct"/>
            <w:hideMark/>
          </w:tcPr>
          <w:p w14:paraId="242B81BE"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التضخم السنوي</w:t>
            </w:r>
          </w:p>
        </w:tc>
        <w:tc>
          <w:tcPr>
            <w:tcW w:w="337" w:type="pct"/>
            <w:vAlign w:val="center"/>
            <w:hideMark/>
          </w:tcPr>
          <w:p w14:paraId="341D0D79"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0.9%</w:t>
            </w:r>
          </w:p>
        </w:tc>
        <w:tc>
          <w:tcPr>
            <w:tcW w:w="578" w:type="pct"/>
            <w:vAlign w:val="center"/>
            <w:hideMark/>
          </w:tcPr>
          <w:p w14:paraId="599A9E51"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0.5%</w:t>
            </w:r>
          </w:p>
        </w:tc>
        <w:tc>
          <w:tcPr>
            <w:tcW w:w="530" w:type="pct"/>
            <w:vAlign w:val="center"/>
            <w:hideMark/>
          </w:tcPr>
          <w:p w14:paraId="1BB86E95"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(0.4%)</w:t>
            </w:r>
          </w:p>
        </w:tc>
        <w:tc>
          <w:tcPr>
            <w:tcW w:w="529" w:type="pct"/>
            <w:vAlign w:val="center"/>
            <w:hideMark/>
          </w:tcPr>
          <w:p w14:paraId="0D7705DA"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1.7%</w:t>
            </w:r>
          </w:p>
        </w:tc>
        <w:tc>
          <w:tcPr>
            <w:tcW w:w="504" w:type="pct"/>
            <w:vAlign w:val="center"/>
          </w:tcPr>
          <w:p w14:paraId="2A2826C2"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2.5%</w:t>
            </w:r>
          </w:p>
        </w:tc>
        <w:tc>
          <w:tcPr>
            <w:tcW w:w="597" w:type="pct"/>
            <w:vAlign w:val="center"/>
          </w:tcPr>
          <w:p w14:paraId="61639A8B"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rtl/>
                <w14:ligatures w14:val="none"/>
              </w:rPr>
            </w:pPr>
            <w:r w:rsidRPr="00A47834">
              <w:rPr>
                <w:rFonts w:ascii="Traditional Arabic" w:hAnsi="Traditional Arabic" w:cs="Traditional Arabic"/>
                <w:color w:val="000000" w:themeColor="text1"/>
                <w:sz w:val="30"/>
                <w:szCs w:val="30"/>
                <w:rtl/>
                <w14:ligatures w14:val="none"/>
              </w:rPr>
              <w:t>0.9%</w:t>
            </w:r>
          </w:p>
        </w:tc>
      </w:tr>
      <w:tr w:rsidR="00373E3F" w:rsidRPr="00A47834" w14:paraId="55A0BCBA" w14:textId="77777777" w:rsidTr="00922116">
        <w:tc>
          <w:tcPr>
            <w:cnfStyle w:val="001000000000" w:firstRow="0" w:lastRow="0" w:firstColumn="1" w:lastColumn="0" w:oddVBand="0" w:evenVBand="0" w:oddHBand="0" w:evenHBand="0" w:firstRowFirstColumn="0" w:firstRowLastColumn="0" w:lastRowFirstColumn="0" w:lastRowLastColumn="0"/>
            <w:tcW w:w="1925" w:type="pct"/>
            <w:hideMark/>
          </w:tcPr>
          <w:p w14:paraId="607F41D4"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val="0"/>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القيمة السوقية لسوق بورصة مسقط (مليار ريال عُماني)</w:t>
            </w:r>
          </w:p>
        </w:tc>
        <w:tc>
          <w:tcPr>
            <w:tcW w:w="337" w:type="pct"/>
            <w:vAlign w:val="center"/>
            <w:hideMark/>
          </w:tcPr>
          <w:p w14:paraId="0D0D5136"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18.2</w:t>
            </w:r>
          </w:p>
        </w:tc>
        <w:tc>
          <w:tcPr>
            <w:tcW w:w="578" w:type="pct"/>
            <w:vAlign w:val="center"/>
            <w:hideMark/>
          </w:tcPr>
          <w:p w14:paraId="52F14D5F"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18.8</w:t>
            </w:r>
          </w:p>
        </w:tc>
        <w:tc>
          <w:tcPr>
            <w:tcW w:w="530" w:type="pct"/>
            <w:vAlign w:val="center"/>
            <w:hideMark/>
          </w:tcPr>
          <w:p w14:paraId="0E321DAA"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20.2</w:t>
            </w:r>
          </w:p>
        </w:tc>
        <w:tc>
          <w:tcPr>
            <w:tcW w:w="529" w:type="pct"/>
            <w:vAlign w:val="center"/>
            <w:hideMark/>
          </w:tcPr>
          <w:p w14:paraId="33A8C8AB"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22.1</w:t>
            </w:r>
          </w:p>
        </w:tc>
        <w:tc>
          <w:tcPr>
            <w:tcW w:w="504" w:type="pct"/>
            <w:vAlign w:val="center"/>
          </w:tcPr>
          <w:p w14:paraId="6D270DA7"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14:ligatures w14:val="none"/>
              </w:rPr>
            </w:pPr>
            <w:r w:rsidRPr="00A47834">
              <w:rPr>
                <w:rFonts w:ascii="Traditional Arabic" w:hAnsi="Traditional Arabic" w:cs="Traditional Arabic"/>
                <w:color w:val="000000" w:themeColor="text1"/>
                <w:sz w:val="30"/>
                <w:szCs w:val="30"/>
                <w:rtl/>
                <w14:ligatures w14:val="none"/>
              </w:rPr>
              <w:t>23.7</w:t>
            </w:r>
          </w:p>
        </w:tc>
        <w:tc>
          <w:tcPr>
            <w:tcW w:w="597" w:type="pct"/>
            <w:vAlign w:val="center"/>
          </w:tcPr>
          <w:p w14:paraId="0E43AF17" w14:textId="77777777" w:rsidR="00A47834" w:rsidRPr="00A47834" w:rsidRDefault="00A47834" w:rsidP="00A47834">
            <w:pPr>
              <w:bidi/>
              <w:spacing w:beforeLines="40" w:before="96" w:afterLines="40" w:after="96" w:line="276"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00" w:themeColor="text1"/>
                <w:sz w:val="30"/>
                <w:szCs w:val="30"/>
                <w:rtl/>
                <w14:ligatures w14:val="none"/>
              </w:rPr>
            </w:pPr>
            <w:r w:rsidRPr="00A47834">
              <w:rPr>
                <w:rFonts w:ascii="Traditional Arabic" w:hAnsi="Traditional Arabic" w:cs="Traditional Arabic"/>
                <w:color w:val="000000" w:themeColor="text1"/>
                <w:sz w:val="30"/>
                <w:szCs w:val="30"/>
                <w:rtl/>
                <w14:ligatures w14:val="none"/>
              </w:rPr>
              <w:t>23.8</w:t>
            </w:r>
          </w:p>
        </w:tc>
      </w:tr>
    </w:tbl>
    <w:p w14:paraId="12750E54" w14:textId="77777777" w:rsidR="00A47834" w:rsidRPr="00272B36" w:rsidRDefault="00A47834" w:rsidP="00A47834">
      <w:pPr>
        <w:bidi/>
        <w:spacing w:beforeLines="40" w:before="96" w:afterLines="40" w:after="96" w:line="276" w:lineRule="auto"/>
        <w:jc w:val="both"/>
        <w:rPr>
          <w:rFonts w:ascii="Traditional Arabic" w:hAnsi="Traditional Arabic" w:cs="Traditional Arabic"/>
          <w:color w:val="000000" w:themeColor="text1"/>
          <w:sz w:val="28"/>
          <w:szCs w:val="28"/>
          <w:u w:val="single"/>
          <w:rtl/>
        </w:rPr>
      </w:pPr>
      <w:r w:rsidRPr="00272B36">
        <w:rPr>
          <w:rFonts w:ascii="Traditional Arabic" w:hAnsi="Traditional Arabic" w:cs="Traditional Arabic" w:hint="eastAsia"/>
          <w:color w:val="000000" w:themeColor="text1"/>
          <w:sz w:val="28"/>
          <w:szCs w:val="28"/>
          <w:u w:val="single"/>
          <w:rtl/>
        </w:rPr>
        <w:t>ملاحظة</w:t>
      </w:r>
      <w:r w:rsidRPr="00272B36">
        <w:rPr>
          <w:rFonts w:ascii="Traditional Arabic" w:hAnsi="Traditional Arabic" w:cs="Traditional Arabic"/>
          <w:color w:val="000000" w:themeColor="text1"/>
          <w:sz w:val="28"/>
          <w:szCs w:val="28"/>
          <w:u w:val="single"/>
          <w:rtl/>
        </w:rPr>
        <w:t>:</w:t>
      </w:r>
    </w:p>
    <w:p w14:paraId="2FB36F6E" w14:textId="77777777" w:rsidR="00A47834" w:rsidRPr="00272B36" w:rsidRDefault="00A47834" w:rsidP="00272B36">
      <w:pPr>
        <w:pStyle w:val="Heading6"/>
        <w:bidi/>
        <w:ind w:left="288" w:hanging="288"/>
        <w:rPr>
          <w:rFonts w:ascii="Traditional Arabic" w:hAnsi="Traditional Arabic" w:cs="Traditional Arabic"/>
          <w:color w:val="000000" w:themeColor="text1"/>
          <w:sz w:val="28"/>
          <w:szCs w:val="28"/>
          <w:rtl/>
        </w:rPr>
      </w:pPr>
      <w:r w:rsidRPr="00272B36">
        <w:rPr>
          <w:rFonts w:ascii="Traditional Arabic" w:hAnsi="Traditional Arabic" w:cs="Traditional Arabic"/>
          <w:color w:val="000000" w:themeColor="text1"/>
          <w:sz w:val="28"/>
          <w:szCs w:val="28"/>
          <w:rtl/>
        </w:rPr>
        <w:t xml:space="preserve">محسوبة على أنها نصيب الفرد من الناتج المحلي الإجمالي بالأسعار الحالية (2023) = الناتج المحلي الإجمالي لعام 2023 بالأسعار الحالية/ تعداد السكان في ديسمبر 2023 </w:t>
      </w:r>
    </w:p>
    <w:p w14:paraId="11C68A4F" w14:textId="77777777" w:rsidR="006C0F8E" w:rsidRPr="00272B36" w:rsidRDefault="006C0F8E" w:rsidP="006C0F8E">
      <w:pPr>
        <w:bidi/>
        <w:spacing w:beforeLines="40" w:before="96" w:afterLines="40" w:after="96" w:line="276" w:lineRule="auto"/>
        <w:jc w:val="both"/>
        <w:rPr>
          <w:rFonts w:ascii="Traditional Arabic" w:hAnsi="Traditional Arabic" w:cs="Traditional Arabic"/>
          <w:color w:val="000000" w:themeColor="text1"/>
          <w:sz w:val="28"/>
          <w:szCs w:val="28"/>
        </w:rPr>
      </w:pPr>
    </w:p>
    <w:p w14:paraId="08B4A6C9" w14:textId="77777777" w:rsidR="00A47834" w:rsidRPr="00272B36" w:rsidRDefault="00A47834" w:rsidP="00A47834">
      <w:pPr>
        <w:bidi/>
        <w:spacing w:beforeLines="40" w:before="96" w:afterLines="40" w:after="96" w:line="276" w:lineRule="auto"/>
        <w:jc w:val="both"/>
        <w:rPr>
          <w:rFonts w:ascii="Traditional Arabic" w:hAnsi="Traditional Arabic" w:cs="Traditional Arabic"/>
          <w:i/>
          <w:iCs/>
          <w:color w:val="000000" w:themeColor="text1"/>
          <w:sz w:val="28"/>
          <w:szCs w:val="28"/>
        </w:rPr>
      </w:pPr>
      <w:r w:rsidRPr="00272B36">
        <w:rPr>
          <w:rFonts w:ascii="Traditional Arabic" w:hAnsi="Traditional Arabic" w:cs="Traditional Arabic"/>
          <w:i/>
          <w:iCs/>
          <w:color w:val="000000" w:themeColor="text1"/>
          <w:sz w:val="28"/>
          <w:szCs w:val="28"/>
          <w:rtl/>
        </w:rPr>
        <w:t xml:space="preserve">المصادر: المركز الوطني للإحصاء والمعلومات؛ التقارير السنوية للبنك المركزي العُماني؛ النشرة الإحصائية السنوية بورصة مسقط؛ بيانات البنك الدولي. </w:t>
      </w:r>
    </w:p>
    <w:p w14:paraId="156F1555"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 </w:t>
      </w:r>
    </w:p>
    <w:p w14:paraId="61922D14"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color w:val="000000" w:themeColor="text1"/>
          <w:sz w:val="30"/>
          <w:szCs w:val="30"/>
        </w:rPr>
      </w:pPr>
      <w:r w:rsidRPr="00A47834">
        <w:rPr>
          <w:rFonts w:ascii="Traditional Arabic" w:hAnsi="Traditional Arabic" w:cs="Traditional Arabic"/>
          <w:b/>
          <w:bCs/>
          <w:color w:val="000000" w:themeColor="text1"/>
          <w:sz w:val="30"/>
          <w:szCs w:val="30"/>
          <w:rtl/>
        </w:rPr>
        <w:t>الاقتصاد</w:t>
      </w:r>
    </w:p>
    <w:p w14:paraId="3FD831E1"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tl/>
          <w:lang w:bidi="ar-OM"/>
        </w:rPr>
      </w:pPr>
      <w:r w:rsidRPr="00A47834">
        <w:rPr>
          <w:rFonts w:ascii="Traditional Arabic" w:hAnsi="Traditional Arabic" w:cs="Traditional Arabic"/>
          <w:color w:val="000000" w:themeColor="text1"/>
          <w:sz w:val="30"/>
          <w:szCs w:val="30"/>
          <w:rtl/>
        </w:rPr>
        <w:t>تصنيف سلطنة عُمان الائتماني الحالي هو "</w:t>
      </w:r>
      <w:r w:rsidRPr="00A47834">
        <w:rPr>
          <w:rFonts w:ascii="Traditional Arabic" w:hAnsi="Traditional Arabic" w:cs="Traditional Arabic"/>
          <w:color w:val="000000" w:themeColor="text1"/>
          <w:sz w:val="30"/>
          <w:szCs w:val="30"/>
        </w:rPr>
        <w:t>BB+</w:t>
      </w:r>
      <w:r w:rsidRPr="00A47834">
        <w:rPr>
          <w:rFonts w:ascii="Traditional Arabic" w:hAnsi="Traditional Arabic" w:cs="Traditional Arabic"/>
          <w:color w:val="000000" w:themeColor="text1"/>
          <w:sz w:val="30"/>
          <w:szCs w:val="30"/>
          <w:rtl/>
        </w:rPr>
        <w:t xml:space="preserve">" مع نظرة مستقبلية </w:t>
      </w:r>
      <w:r w:rsidR="00385E43">
        <w:rPr>
          <w:rFonts w:ascii="Traditional Arabic" w:hAnsi="Traditional Arabic" w:cs="Traditional Arabic" w:hint="cs"/>
          <w:color w:val="000000" w:themeColor="text1"/>
          <w:sz w:val="30"/>
          <w:szCs w:val="30"/>
          <w:rtl/>
        </w:rPr>
        <w:t>ايجابية</w:t>
      </w:r>
      <w:r w:rsidR="00385E43"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من وكالة فيتش و"</w:t>
      </w:r>
      <w:r w:rsidRPr="00A47834">
        <w:rPr>
          <w:rFonts w:ascii="Traditional Arabic" w:hAnsi="Traditional Arabic" w:cs="Traditional Arabic"/>
          <w:color w:val="000000" w:themeColor="text1"/>
          <w:sz w:val="30"/>
          <w:szCs w:val="30"/>
        </w:rPr>
        <w:t>Ba1</w:t>
      </w:r>
      <w:r w:rsidRPr="00A47834">
        <w:rPr>
          <w:rFonts w:ascii="Traditional Arabic" w:hAnsi="Traditional Arabic" w:cs="Traditional Arabic"/>
          <w:color w:val="000000" w:themeColor="text1"/>
          <w:sz w:val="30"/>
          <w:szCs w:val="30"/>
          <w:rtl/>
        </w:rPr>
        <w:t xml:space="preserve">" مع نظرة مستقبلية </w:t>
      </w:r>
      <w:r w:rsidR="00F237D6">
        <w:rPr>
          <w:rFonts w:ascii="Traditional Arabic" w:hAnsi="Traditional Arabic" w:cs="Traditional Arabic" w:hint="cs"/>
          <w:color w:val="000000" w:themeColor="text1"/>
          <w:sz w:val="30"/>
          <w:szCs w:val="30"/>
          <w:rtl/>
        </w:rPr>
        <w:t xml:space="preserve">إيجابية </w:t>
      </w:r>
      <w:r w:rsidRPr="00A47834">
        <w:rPr>
          <w:rFonts w:ascii="Traditional Arabic" w:hAnsi="Traditional Arabic" w:cs="Traditional Arabic"/>
          <w:color w:val="000000" w:themeColor="text1"/>
          <w:sz w:val="30"/>
          <w:szCs w:val="30"/>
          <w:rtl/>
        </w:rPr>
        <w:t>من وكالة موديز لخدمات المستثمرين، و"</w:t>
      </w:r>
      <w:r w:rsidRPr="00A47834">
        <w:rPr>
          <w:rFonts w:ascii="Traditional Arabic" w:hAnsi="Traditional Arabic" w:cs="Traditional Arabic"/>
          <w:color w:val="000000" w:themeColor="text1"/>
          <w:sz w:val="30"/>
          <w:szCs w:val="30"/>
        </w:rPr>
        <w:t>BB</w:t>
      </w:r>
      <w:r w:rsidR="00A5459B">
        <w:rPr>
          <w:rFonts w:ascii="Traditional Arabic" w:hAnsi="Traditional Arabic" w:cs="Traditional Arabic"/>
          <w:color w:val="000000" w:themeColor="text1"/>
          <w:sz w:val="30"/>
          <w:szCs w:val="30"/>
        </w:rPr>
        <w:t>B-</w:t>
      </w:r>
      <w:r w:rsidRPr="00A47834">
        <w:rPr>
          <w:rFonts w:ascii="Traditional Arabic" w:hAnsi="Traditional Arabic" w:cs="Traditional Arabic"/>
          <w:color w:val="000000" w:themeColor="text1"/>
          <w:sz w:val="30"/>
          <w:szCs w:val="30"/>
          <w:rtl/>
        </w:rPr>
        <w:t xml:space="preserve">" مع نظرة مستقبلية </w:t>
      </w:r>
      <w:r w:rsidR="00A5459B">
        <w:rPr>
          <w:rFonts w:ascii="Traditional Arabic" w:hAnsi="Traditional Arabic" w:cs="Traditional Arabic" w:hint="cs"/>
          <w:color w:val="000000" w:themeColor="text1"/>
          <w:sz w:val="30"/>
          <w:szCs w:val="30"/>
          <w:rtl/>
          <w:lang w:bidi="ar-EG"/>
        </w:rPr>
        <w:t>مستقرة</w:t>
      </w:r>
      <w:r w:rsidR="00A5459B"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color w:val="000000" w:themeColor="text1"/>
          <w:sz w:val="30"/>
          <w:szCs w:val="30"/>
          <w:rtl/>
        </w:rPr>
        <w:t xml:space="preserve">من وكالة ستاندرد آند بورز. </w:t>
      </w:r>
    </w:p>
    <w:p w14:paraId="63FE67DE"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31E39567"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الريال العُماني مربوط بالدولار الأمريكي بسعر صرف ثابت قدره 1 دولار أمريكي = 0.385 ريال عُماني. </w:t>
      </w:r>
    </w:p>
    <w:p w14:paraId="02E75D86"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tl/>
        </w:rPr>
      </w:pPr>
    </w:p>
    <w:p w14:paraId="00FB8DA3"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tl/>
        </w:rPr>
      </w:pPr>
      <w:r w:rsidRPr="00A47834">
        <w:rPr>
          <w:rFonts w:ascii="Traditional Arabic" w:hAnsi="Traditional Arabic" w:cs="Traditional Arabic"/>
          <w:color w:val="000000" w:themeColor="text1"/>
          <w:sz w:val="30"/>
          <w:szCs w:val="30"/>
          <w:rtl/>
        </w:rPr>
        <w:t xml:space="preserve">ومنذ اكتشاف النفط، كان التنقيب عنه واستخراجه وتصديره بمثابة العمود الفقري لاقتصاد سلطنة عُمان، وهو </w:t>
      </w:r>
      <w:r w:rsidRPr="00A47834">
        <w:rPr>
          <w:rFonts w:ascii="Traditional Arabic" w:hAnsi="Traditional Arabic" w:cs="Traditional Arabic" w:hint="cs"/>
          <w:color w:val="000000" w:themeColor="text1"/>
          <w:sz w:val="30"/>
          <w:szCs w:val="30"/>
          <w:rtl/>
        </w:rPr>
        <w:t>العامل</w:t>
      </w:r>
      <w:r w:rsidRPr="00A47834">
        <w:rPr>
          <w:rFonts w:ascii="Traditional Arabic" w:hAnsi="Traditional Arabic" w:cs="Traditional Arabic"/>
          <w:color w:val="000000" w:themeColor="text1"/>
          <w:sz w:val="30"/>
          <w:szCs w:val="30"/>
          <w:rtl/>
        </w:rPr>
        <w:t xml:space="preserve"> المهم في إيرادات الحكومة وصادراتها والناتج المحلي الإجمالي، حيث تحتل عقود النفط الخام الآجلة لنفط عُمان في بورصة دبي للطاقة المركز الثالث ضمن ثلاثة مقاييس عالمية للنفط الخام التي تحدد سعر التصدير المعياري للنفط الخام المنتج في سلطنة عُمان ودبي. وتأتي عُمان في المركز </w:t>
      </w:r>
      <w:r w:rsidRPr="00A47834">
        <w:rPr>
          <w:rFonts w:ascii="Traditional Arabic" w:hAnsi="Traditional Arabic" w:cs="Traditional Arabic"/>
          <w:color w:val="000000" w:themeColor="text1"/>
          <w:sz w:val="30"/>
          <w:szCs w:val="30"/>
          <w:rtl/>
          <w:lang w:bidi="ar-EG"/>
        </w:rPr>
        <w:t>العشرين</w:t>
      </w:r>
      <w:r w:rsidRPr="00A47834">
        <w:rPr>
          <w:rFonts w:ascii="Traditional Arabic" w:hAnsi="Traditional Arabic" w:cs="Traditional Arabic"/>
          <w:color w:val="000000" w:themeColor="text1"/>
          <w:sz w:val="30"/>
          <w:szCs w:val="30"/>
          <w:rtl/>
        </w:rPr>
        <w:t xml:space="preserve"> في قائمة أكثر الدول إنتاجًا للنفط (كثاني أكبر دولة منتجة للنفط في الشرق الأوسط من غير الدول الأعضاء في مجموعة أوبك)، وتحتل سلطنة عُمان المركز الثامن عشر في قائمة أكثر الدول إنتاجاً للغاز، وفقًا لمراجعة معهد الطاقة الإحصائية للطاقة العالمية لعام 2024 التي أجراها معهد الطاقة. وتواصل الحكومة العُمانية جهودها لاستقطاب استثمارات جديدة في أنشطة </w:t>
      </w:r>
      <w:r w:rsidRPr="00A47834">
        <w:rPr>
          <w:rFonts w:ascii="Traditional Arabic" w:hAnsi="Traditional Arabic" w:cs="Traditional Arabic"/>
          <w:color w:val="000000" w:themeColor="text1"/>
          <w:sz w:val="30"/>
          <w:szCs w:val="30"/>
          <w:rtl/>
          <w:lang w:bidi="ar-EG"/>
        </w:rPr>
        <w:t xml:space="preserve">الاستكشاف والإنتاج من خلال إصدار التراخيص في محاولة لتنويع الاقتصاد </w:t>
      </w:r>
      <w:r w:rsidRPr="00A47834">
        <w:rPr>
          <w:rFonts w:ascii="Traditional Arabic" w:hAnsi="Traditional Arabic" w:cs="Traditional Arabic"/>
          <w:color w:val="000000" w:themeColor="text1"/>
          <w:sz w:val="30"/>
          <w:szCs w:val="30"/>
          <w:rtl/>
        </w:rPr>
        <w:t xml:space="preserve">وتقليل اعتمادها على عوائد المشتقات الهيدروكربونية تدريجيًا وهي عوائد تمثل ما نسبته </w:t>
      </w:r>
      <w:r w:rsidRPr="00A47834">
        <w:rPr>
          <w:rFonts w:ascii="Traditional Arabic" w:hAnsi="Traditional Arabic" w:cs="Traditional Arabic" w:hint="cs"/>
          <w:color w:val="000000" w:themeColor="text1"/>
          <w:sz w:val="30"/>
          <w:szCs w:val="30"/>
          <w:rtl/>
        </w:rPr>
        <w:t>72</w:t>
      </w:r>
      <w:r w:rsidRPr="00A47834">
        <w:rPr>
          <w:rFonts w:ascii="Traditional Arabic" w:hAnsi="Traditional Arabic" w:cs="Traditional Arabic"/>
          <w:color w:val="000000" w:themeColor="text1"/>
          <w:sz w:val="30"/>
          <w:szCs w:val="30"/>
          <w:rtl/>
        </w:rPr>
        <w:t xml:space="preserve">% تقريبًا من </w:t>
      </w:r>
      <w:r w:rsidRPr="00A47834">
        <w:rPr>
          <w:rFonts w:ascii="Traditional Arabic" w:hAnsi="Traditional Arabic" w:cs="Traditional Arabic" w:hint="cs"/>
          <w:color w:val="000000" w:themeColor="text1"/>
          <w:sz w:val="30"/>
          <w:szCs w:val="30"/>
          <w:rtl/>
        </w:rPr>
        <w:t>دخل الحكومة</w:t>
      </w:r>
      <w:r w:rsidRPr="00A47834">
        <w:rPr>
          <w:rFonts w:ascii="Traditional Arabic" w:hAnsi="Traditional Arabic" w:cs="Traditional Arabic"/>
          <w:color w:val="000000" w:themeColor="text1"/>
          <w:sz w:val="30"/>
          <w:szCs w:val="30"/>
          <w:rtl/>
        </w:rPr>
        <w:t xml:space="preserve"> لسلطنة عُمان وذلك للسنة المالية 2023 مقارنة بما نسبته </w:t>
      </w:r>
      <w:r w:rsidRPr="00A47834">
        <w:rPr>
          <w:rFonts w:ascii="Traditional Arabic" w:hAnsi="Traditional Arabic" w:cs="Traditional Arabic" w:hint="cs"/>
          <w:color w:val="000000" w:themeColor="text1"/>
          <w:sz w:val="30"/>
          <w:szCs w:val="30"/>
          <w:rtl/>
        </w:rPr>
        <w:t>86</w:t>
      </w:r>
      <w:r w:rsidRPr="00A47834">
        <w:rPr>
          <w:rFonts w:ascii="Traditional Arabic" w:hAnsi="Traditional Arabic" w:cs="Traditional Arabic"/>
          <w:color w:val="000000" w:themeColor="text1"/>
          <w:sz w:val="30"/>
          <w:szCs w:val="30"/>
          <w:rtl/>
        </w:rPr>
        <w:t>% تقريبًا في 2013.</w:t>
      </w:r>
    </w:p>
    <w:p w14:paraId="4D756349"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2B6EB36B"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bookmarkStart w:id="4" w:name="_Hlk130474074"/>
      <w:r w:rsidRPr="00A47834">
        <w:rPr>
          <w:rFonts w:ascii="Traditional Arabic" w:hAnsi="Traditional Arabic" w:cs="Traditional Arabic"/>
          <w:color w:val="000000" w:themeColor="text1"/>
          <w:sz w:val="30"/>
          <w:szCs w:val="30"/>
          <w:rtl/>
        </w:rPr>
        <w:t xml:space="preserve">يوضح الرسم البياني أدناه إنتاج النفط </w:t>
      </w:r>
      <w:r w:rsidRPr="00A47834">
        <w:rPr>
          <w:rFonts w:ascii="Traditional Arabic" w:hAnsi="Traditional Arabic" w:cs="Traditional Arabic" w:hint="cs"/>
          <w:color w:val="000000" w:themeColor="text1"/>
          <w:sz w:val="30"/>
          <w:szCs w:val="30"/>
          <w:rtl/>
        </w:rPr>
        <w:t xml:space="preserve">والغاز </w:t>
      </w:r>
      <w:r w:rsidRPr="00A47834">
        <w:rPr>
          <w:rFonts w:ascii="Traditional Arabic" w:hAnsi="Traditional Arabic" w:cs="Traditional Arabic"/>
          <w:color w:val="000000" w:themeColor="text1"/>
          <w:sz w:val="30"/>
          <w:szCs w:val="30"/>
          <w:rtl/>
        </w:rPr>
        <w:t>السنوي في عُمان خلال الفترة من 2014 إلى 2023:</w:t>
      </w:r>
      <w:bookmarkEnd w:id="4"/>
    </w:p>
    <w:p w14:paraId="50E5D6AD"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tl/>
        </w:rPr>
      </w:pPr>
    </w:p>
    <w:p w14:paraId="1C699DA4" w14:textId="77777777" w:rsidR="00A5459B" w:rsidRDefault="00A5459B" w:rsidP="00A47834">
      <w:pPr>
        <w:bidi/>
        <w:spacing w:beforeLines="40" w:before="96" w:afterLines="40" w:after="96" w:line="276" w:lineRule="auto"/>
        <w:jc w:val="both"/>
        <w:rPr>
          <w:rFonts w:ascii="Traditional Arabic" w:hAnsi="Traditional Arabic" w:cs="Traditional Arabic"/>
          <w:i/>
          <w:iCs/>
          <w:color w:val="000000" w:themeColor="text1"/>
          <w:sz w:val="30"/>
          <w:szCs w:val="30"/>
          <w:rtl/>
        </w:rPr>
      </w:pPr>
      <w:r w:rsidRPr="00501611">
        <w:rPr>
          <w:noProof/>
        </w:rPr>
        <w:drawing>
          <wp:inline distT="0" distB="0" distL="0" distR="0" wp14:anchorId="2E50524B" wp14:editId="5A71DBB0">
            <wp:extent cx="5879465" cy="2129155"/>
            <wp:effectExtent l="0" t="0" r="6985" b="0"/>
            <wp:docPr id="765245973" name="Chart 1">
              <a:extLst xmlns:a="http://schemas.openxmlformats.org/drawingml/2006/main">
                <a:ext uri="{FF2B5EF4-FFF2-40B4-BE49-F238E27FC236}">
                  <a16:creationId xmlns:a16="http://schemas.microsoft.com/office/drawing/2014/main" id="{2C6C520D-E14B-4312-87D8-58B99ABD1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D15A8C" w14:textId="77777777" w:rsidR="00A47834" w:rsidRPr="00A47834" w:rsidRDefault="00A47834" w:rsidP="00A5459B">
      <w:pPr>
        <w:bidi/>
        <w:spacing w:beforeLines="40" w:before="96" w:afterLines="40" w:after="96" w:line="276" w:lineRule="auto"/>
        <w:jc w:val="both"/>
        <w:rPr>
          <w:rFonts w:ascii="Traditional Arabic" w:hAnsi="Traditional Arabic" w:cs="Traditional Arabic"/>
          <w:i/>
          <w:color w:val="000000" w:themeColor="text1"/>
          <w:sz w:val="30"/>
          <w:szCs w:val="30"/>
        </w:rPr>
      </w:pPr>
      <w:r w:rsidRPr="00A47834">
        <w:rPr>
          <w:rFonts w:ascii="Traditional Arabic" w:hAnsi="Traditional Arabic" w:cs="Traditional Arabic"/>
          <w:i/>
          <w:iCs/>
          <w:color w:val="000000" w:themeColor="text1"/>
          <w:sz w:val="30"/>
          <w:szCs w:val="30"/>
          <w:rtl/>
        </w:rPr>
        <w:t xml:space="preserve">المصدر: </w:t>
      </w:r>
      <w:r w:rsidR="00845DA0">
        <w:rPr>
          <w:rFonts w:ascii="Traditional Arabic" w:hAnsi="Traditional Arabic" w:cs="Traditional Arabic" w:hint="cs"/>
          <w:i/>
          <w:iCs/>
          <w:color w:val="000000" w:themeColor="text1"/>
          <w:sz w:val="30"/>
          <w:szCs w:val="30"/>
          <w:rtl/>
        </w:rPr>
        <w:t>المركز الوطني لل</w:t>
      </w:r>
      <w:r w:rsidR="002A1511">
        <w:rPr>
          <w:rFonts w:ascii="Traditional Arabic" w:hAnsi="Traditional Arabic" w:cs="Traditional Arabic" w:hint="cs"/>
          <w:i/>
          <w:iCs/>
          <w:color w:val="000000" w:themeColor="text1"/>
          <w:sz w:val="30"/>
          <w:szCs w:val="30"/>
          <w:rtl/>
        </w:rPr>
        <w:t>إحصاء</w:t>
      </w:r>
      <w:r w:rsidR="00845DA0">
        <w:rPr>
          <w:rFonts w:ascii="Traditional Arabic" w:hAnsi="Traditional Arabic" w:cs="Traditional Arabic" w:hint="cs"/>
          <w:i/>
          <w:iCs/>
          <w:color w:val="000000" w:themeColor="text1"/>
          <w:sz w:val="30"/>
          <w:szCs w:val="30"/>
          <w:rtl/>
        </w:rPr>
        <w:t xml:space="preserve"> و</w:t>
      </w:r>
      <w:r w:rsidR="002A1511">
        <w:rPr>
          <w:rFonts w:ascii="Traditional Arabic" w:hAnsi="Traditional Arabic" w:cs="Traditional Arabic" w:hint="cs"/>
          <w:i/>
          <w:iCs/>
          <w:color w:val="000000" w:themeColor="text1"/>
          <w:sz w:val="30"/>
          <w:szCs w:val="30"/>
          <w:rtl/>
        </w:rPr>
        <w:t>المعلومات</w:t>
      </w:r>
      <w:r w:rsidRPr="00A47834">
        <w:rPr>
          <w:rFonts w:ascii="Traditional Arabic" w:hAnsi="Traditional Arabic" w:cs="Traditional Arabic"/>
          <w:i/>
          <w:iCs/>
          <w:color w:val="000000" w:themeColor="text1"/>
          <w:sz w:val="30"/>
          <w:szCs w:val="30"/>
          <w:rtl/>
        </w:rPr>
        <w:t xml:space="preserve"> </w:t>
      </w:r>
    </w:p>
    <w:p w14:paraId="6C8B68A6"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3B3AA68F"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color w:val="000000" w:themeColor="text1"/>
          <w:sz w:val="30"/>
          <w:szCs w:val="30"/>
        </w:rPr>
      </w:pPr>
      <w:r w:rsidRPr="00A47834">
        <w:rPr>
          <w:rFonts w:ascii="Traditional Arabic" w:hAnsi="Traditional Arabic" w:cs="Traditional Arabic"/>
          <w:b/>
          <w:bCs/>
          <w:color w:val="000000" w:themeColor="text1"/>
          <w:sz w:val="30"/>
          <w:szCs w:val="30"/>
          <w:rtl/>
        </w:rPr>
        <w:t>المالية العامة</w:t>
      </w:r>
    </w:p>
    <w:p w14:paraId="54149856"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lastRenderedPageBreak/>
        <w:t>وزارة المالية هي الوزارة المسؤولة عن السياسة المالية لسلطنة عُمان، بما في ذلك المصادقة على الميزانية العامة السنوية للدولة.</w:t>
      </w:r>
    </w:p>
    <w:p w14:paraId="3524F3A9"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65A45AC2"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ففي عام 2023، وبناء على النتائج الأولية، سجلت الحكومة إيرادات إجمالية قدرها </w:t>
      </w:r>
      <w:r w:rsidRPr="00A47834">
        <w:rPr>
          <w:rFonts w:ascii="Traditional Arabic" w:hAnsi="Traditional Arabic" w:cs="Traditional Arabic" w:hint="cs"/>
          <w:color w:val="000000" w:themeColor="text1"/>
          <w:sz w:val="30"/>
          <w:szCs w:val="30"/>
          <w:rtl/>
        </w:rPr>
        <w:t>12.5</w:t>
      </w:r>
      <w:r w:rsidRPr="00A47834">
        <w:rPr>
          <w:rFonts w:ascii="Traditional Arabic" w:hAnsi="Traditional Arabic" w:cs="Traditional Arabic"/>
          <w:color w:val="000000" w:themeColor="text1"/>
          <w:sz w:val="30"/>
          <w:szCs w:val="30"/>
          <w:rtl/>
        </w:rPr>
        <w:t xml:space="preserve"> مليار ريال عُماني مقارنة بإيرادات قدرها 14.5 مليار ريال عُماني في عام 2022، بانخفاض قدره </w:t>
      </w:r>
      <w:r w:rsidRPr="00A47834">
        <w:rPr>
          <w:rFonts w:ascii="Traditional Arabic" w:hAnsi="Traditional Arabic" w:cs="Traditional Arabic" w:hint="cs"/>
          <w:color w:val="000000" w:themeColor="text1"/>
          <w:sz w:val="30"/>
          <w:szCs w:val="30"/>
          <w:rtl/>
        </w:rPr>
        <w:t>13.8</w:t>
      </w:r>
      <w:r w:rsidRPr="00A47834">
        <w:rPr>
          <w:rFonts w:ascii="Traditional Arabic" w:hAnsi="Traditional Arabic" w:cs="Traditional Arabic"/>
          <w:color w:val="000000" w:themeColor="text1"/>
          <w:sz w:val="30"/>
          <w:szCs w:val="30"/>
          <w:rtl/>
        </w:rPr>
        <w:t>% تقريبا. ويُعزى الانخفاض إلى انخفاض إيرادات</w:t>
      </w:r>
      <w:r w:rsidRPr="00A47834">
        <w:rPr>
          <w:rFonts w:ascii="Traditional Arabic" w:hAnsi="Traditional Arabic" w:cs="Traditional Arabic" w:hint="cs"/>
          <w:color w:val="000000" w:themeColor="text1"/>
          <w:sz w:val="30"/>
          <w:szCs w:val="30"/>
          <w:rtl/>
        </w:rPr>
        <w:t xml:space="preserve"> النفط</w:t>
      </w:r>
      <w:r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hint="cs"/>
          <w:color w:val="000000" w:themeColor="text1"/>
          <w:sz w:val="30"/>
          <w:szCs w:val="30"/>
          <w:rtl/>
        </w:rPr>
        <w:t>و</w:t>
      </w:r>
      <w:r w:rsidRPr="00A47834">
        <w:rPr>
          <w:rFonts w:ascii="Traditional Arabic" w:hAnsi="Traditional Arabic" w:cs="Traditional Arabic"/>
          <w:color w:val="000000" w:themeColor="text1"/>
          <w:sz w:val="30"/>
          <w:szCs w:val="30"/>
          <w:rtl/>
        </w:rPr>
        <w:t xml:space="preserve">الغاز. وكانت الإيرادات العامة لعام 2023 أعلى بنسبة </w:t>
      </w:r>
      <w:r w:rsidRPr="00A47834">
        <w:rPr>
          <w:rFonts w:ascii="Traditional Arabic" w:hAnsi="Traditional Arabic" w:cs="Traditional Arabic" w:hint="cs"/>
          <w:color w:val="000000" w:themeColor="text1"/>
          <w:sz w:val="30"/>
          <w:szCs w:val="30"/>
          <w:rtl/>
        </w:rPr>
        <w:t>24.8</w:t>
      </w:r>
      <w:r w:rsidRPr="00A47834">
        <w:rPr>
          <w:rFonts w:ascii="Traditional Arabic" w:hAnsi="Traditional Arabic" w:cs="Traditional Arabic"/>
          <w:color w:val="000000" w:themeColor="text1"/>
          <w:sz w:val="30"/>
          <w:szCs w:val="30"/>
          <w:rtl/>
        </w:rPr>
        <w:t xml:space="preserve">% تقريبا من الإيرادات المقدرة في ميزانية عام 2023، وتعزى الزيادة إلى ارتفاع أسعار برميل النفط (حيث بلغ متوسط سعر البرميل 82 دولارا أمريكيا مقابل سعر محدد في الميزانية قدره 55 دولارا أمريكيا للبرميل)، وزيادة إيرادات النفط والغاز. </w:t>
      </w:r>
    </w:p>
    <w:p w14:paraId="6D3A9F70"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7D037928"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وقد بلغ الإنفاق العام </w:t>
      </w:r>
      <w:r w:rsidRPr="00A47834">
        <w:rPr>
          <w:rFonts w:ascii="Traditional Arabic" w:hAnsi="Traditional Arabic" w:cs="Traditional Arabic" w:hint="cs"/>
          <w:color w:val="000000" w:themeColor="text1"/>
          <w:sz w:val="30"/>
          <w:szCs w:val="30"/>
          <w:rtl/>
        </w:rPr>
        <w:t>11.6</w:t>
      </w:r>
      <w:r w:rsidRPr="00A47834">
        <w:rPr>
          <w:rFonts w:ascii="Traditional Arabic" w:hAnsi="Traditional Arabic" w:cs="Traditional Arabic"/>
          <w:color w:val="000000" w:themeColor="text1"/>
          <w:sz w:val="30"/>
          <w:szCs w:val="30"/>
          <w:rtl/>
        </w:rPr>
        <w:t xml:space="preserve"> مليار ريال عُماني في عام 2023 مقارنة ب 13.3 مليار ريال عُماني في عام 2022، بانخفاض قدره </w:t>
      </w:r>
      <w:r w:rsidRPr="00A47834">
        <w:rPr>
          <w:rFonts w:ascii="Traditional Arabic" w:hAnsi="Traditional Arabic" w:cs="Traditional Arabic" w:hint="cs"/>
          <w:color w:val="000000" w:themeColor="text1"/>
          <w:sz w:val="30"/>
          <w:szCs w:val="30"/>
          <w:rtl/>
        </w:rPr>
        <w:t>12.8</w:t>
      </w:r>
      <w:r w:rsidRPr="00A47834">
        <w:rPr>
          <w:rFonts w:ascii="Traditional Arabic" w:hAnsi="Traditional Arabic" w:cs="Traditional Arabic"/>
          <w:color w:val="000000" w:themeColor="text1"/>
          <w:sz w:val="30"/>
          <w:szCs w:val="30"/>
          <w:rtl/>
        </w:rPr>
        <w:t xml:space="preserve">% تقريبا وحوالي </w:t>
      </w:r>
      <w:r w:rsidRPr="00A47834">
        <w:rPr>
          <w:rFonts w:ascii="Traditional Arabic" w:hAnsi="Traditional Arabic" w:cs="Traditional Arabic" w:hint="cs"/>
          <w:color w:val="000000" w:themeColor="text1"/>
          <w:sz w:val="30"/>
          <w:szCs w:val="30"/>
          <w:rtl/>
        </w:rPr>
        <w:t>2</w:t>
      </w:r>
      <w:r w:rsidRPr="00A47834">
        <w:rPr>
          <w:rFonts w:ascii="Traditional Arabic" w:hAnsi="Traditional Arabic" w:cs="Traditional Arabic"/>
          <w:color w:val="000000" w:themeColor="text1"/>
          <w:sz w:val="30"/>
          <w:szCs w:val="30"/>
          <w:rtl/>
        </w:rPr>
        <w:t xml:space="preserve">% </w:t>
      </w:r>
      <w:r w:rsidRPr="00A47834">
        <w:rPr>
          <w:rFonts w:ascii="Traditional Arabic" w:hAnsi="Traditional Arabic" w:cs="Traditional Arabic" w:hint="cs"/>
          <w:color w:val="000000" w:themeColor="text1"/>
          <w:sz w:val="30"/>
          <w:szCs w:val="30"/>
          <w:rtl/>
        </w:rPr>
        <w:t>أعلى</w:t>
      </w:r>
      <w:r w:rsidRPr="00A47834">
        <w:rPr>
          <w:rFonts w:ascii="Traditional Arabic" w:hAnsi="Traditional Arabic" w:cs="Traditional Arabic"/>
          <w:color w:val="000000" w:themeColor="text1"/>
          <w:sz w:val="30"/>
          <w:szCs w:val="30"/>
          <w:rtl/>
        </w:rPr>
        <w:t xml:space="preserve"> من المقدر في ميزانية عام 2023. ويُعزى الانخفاض إلى انخفاض نفقات خدمة الدين العام وتأجيل تنفيذ نظام الحماية الاجتماعية، وقد قابله جزئيا زيادة في نفقات الوزارات المدنية والدعم.</w:t>
      </w:r>
    </w:p>
    <w:p w14:paraId="094BDBE9"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3E402E2B"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وفي عام 2023، سجلت سلطنة عُمان فائضا ماليا قدره 93</w:t>
      </w:r>
      <w:r w:rsidRPr="00A47834">
        <w:rPr>
          <w:rFonts w:ascii="Traditional Arabic" w:hAnsi="Traditional Arabic" w:cs="Traditional Arabic" w:hint="cs"/>
          <w:color w:val="000000" w:themeColor="text1"/>
          <w:sz w:val="30"/>
          <w:szCs w:val="30"/>
          <w:rtl/>
        </w:rPr>
        <w:t>6</w:t>
      </w:r>
      <w:r w:rsidRPr="00A47834">
        <w:rPr>
          <w:rFonts w:ascii="Traditional Arabic" w:hAnsi="Traditional Arabic" w:cs="Traditional Arabic"/>
          <w:color w:val="000000" w:themeColor="text1"/>
          <w:sz w:val="30"/>
          <w:szCs w:val="30"/>
          <w:rtl/>
        </w:rPr>
        <w:t xml:space="preserve"> مليون ريال عُماني مقارنة بعجز مالي </w:t>
      </w:r>
      <w:r w:rsidRPr="00A47834">
        <w:rPr>
          <w:rFonts w:ascii="Traditional Arabic" w:hAnsi="Traditional Arabic" w:cs="Traditional Arabic" w:hint="cs"/>
          <w:color w:val="000000" w:themeColor="text1"/>
          <w:sz w:val="30"/>
          <w:szCs w:val="30"/>
          <w:rtl/>
        </w:rPr>
        <w:t>مقدر في الميزانية بواقع</w:t>
      </w:r>
      <w:r w:rsidRPr="00A47834">
        <w:rPr>
          <w:rFonts w:ascii="Traditional Arabic" w:hAnsi="Traditional Arabic" w:cs="Traditional Arabic"/>
          <w:color w:val="000000" w:themeColor="text1"/>
          <w:sz w:val="30"/>
          <w:szCs w:val="30"/>
          <w:rtl/>
        </w:rPr>
        <w:t xml:space="preserve"> 1,300 مليون ريال عُماني. ويُعزى السبب في وجود الفائض إلى توليد إيرادات إضافية مقارنة بما كان مقدرا في ميزانية عام 2023 بسبب زيادة أسعار النقط، واستمرار الحكومة في تنفيذ سياسة الترشيد المالي وخفض الدين العام.</w:t>
      </w:r>
    </w:p>
    <w:p w14:paraId="3F380E20"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6482A7AE"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هذا، وقد استخدمت الحكومة الإيرادات الإضافية لسداد مديونيتها الحالية. لذلك، انخفض الدين العام من 17.6 مليار ريال عُماني في نهاية عام 2022 إلى </w:t>
      </w:r>
      <w:r w:rsidRPr="00A47834">
        <w:rPr>
          <w:rFonts w:ascii="Traditional Arabic" w:hAnsi="Traditional Arabic" w:cs="Traditional Arabic" w:hint="cs"/>
          <w:color w:val="000000" w:themeColor="text1"/>
          <w:sz w:val="30"/>
          <w:szCs w:val="30"/>
          <w:rtl/>
        </w:rPr>
        <w:t>15.3</w:t>
      </w:r>
      <w:r w:rsidRPr="00A47834">
        <w:rPr>
          <w:rFonts w:ascii="Traditional Arabic" w:hAnsi="Traditional Arabic" w:cs="Traditional Arabic"/>
          <w:color w:val="000000" w:themeColor="text1"/>
          <w:sz w:val="30"/>
          <w:szCs w:val="30"/>
          <w:rtl/>
        </w:rPr>
        <w:t xml:space="preserve"> مليار ريال عُماني بنهاية عام 2023. </w:t>
      </w:r>
    </w:p>
    <w:p w14:paraId="0367B80C"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3D0C652C"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تم إعداد ميزانية سلطنة عُمان لعام 2024 بما يتماشى مع أهداف خطة التنمية الخمسية العاشرة (2021-2025) وتتشكل من أولويات رؤية عُمان 2040، مثل تحقيق الاستدامة المالية والتنوع الاقتصادي وخفض نسبة الدين العام إلى الناتج المحلي الإجمالي. ومن المتوقع أن يبلغ إجمالي إيرادات الحكومة </w:t>
      </w:r>
      <w:r w:rsidRPr="00A47834">
        <w:rPr>
          <w:rFonts w:ascii="Traditional Arabic" w:hAnsi="Traditional Arabic" w:cs="Traditional Arabic" w:hint="cs"/>
          <w:color w:val="000000" w:themeColor="text1"/>
          <w:sz w:val="30"/>
          <w:szCs w:val="30"/>
          <w:rtl/>
        </w:rPr>
        <w:t>11.</w:t>
      </w:r>
      <w:r w:rsidRPr="00A47834">
        <w:rPr>
          <w:rFonts w:ascii="Traditional Arabic" w:hAnsi="Traditional Arabic" w:cs="Traditional Arabic"/>
          <w:color w:val="000000" w:themeColor="text1"/>
          <w:sz w:val="30"/>
          <w:szCs w:val="30"/>
          <w:rtl/>
        </w:rPr>
        <w:t>0 مليارات ريال عُماني في عام 2024، أي أعلى بشكل هامشي من تقديرات ميزانية عام 2023. وتُعزى الزيادة في الإيرادات المقدرة لعام 2024 إلى زيادة صافي إيرادات النفط بحوالي 11.2</w:t>
      </w:r>
      <w:r w:rsidRPr="00A47834">
        <w:rPr>
          <w:rFonts w:ascii="Traditional Arabic" w:hAnsi="Traditional Arabic" w:cs="Traditional Arabic" w:hint="cs"/>
          <w:color w:val="000000" w:themeColor="text1"/>
          <w:sz w:val="30"/>
          <w:szCs w:val="30"/>
          <w:rtl/>
        </w:rPr>
        <w:t xml:space="preserve">% </w:t>
      </w:r>
      <w:r w:rsidRPr="00A47834">
        <w:rPr>
          <w:rFonts w:ascii="Traditional Arabic" w:hAnsi="Traditional Arabic" w:cs="Traditional Arabic"/>
          <w:color w:val="000000" w:themeColor="text1"/>
          <w:sz w:val="30"/>
          <w:szCs w:val="30"/>
          <w:rtl/>
        </w:rPr>
        <w:lastRenderedPageBreak/>
        <w:t>وزيادة صافي إيرادات الغاز بحوالي 12.5</w:t>
      </w:r>
      <w:r w:rsidRPr="00A47834">
        <w:rPr>
          <w:rFonts w:ascii="Traditional Arabic" w:hAnsi="Traditional Arabic" w:cs="Traditional Arabic" w:hint="cs"/>
          <w:color w:val="000000" w:themeColor="text1"/>
          <w:sz w:val="30"/>
          <w:szCs w:val="30"/>
          <w:rtl/>
        </w:rPr>
        <w:t xml:space="preserve">% </w:t>
      </w:r>
      <w:r w:rsidRPr="00A47834">
        <w:rPr>
          <w:rFonts w:ascii="Traditional Arabic" w:hAnsi="Traditional Arabic" w:cs="Traditional Arabic"/>
          <w:color w:val="000000" w:themeColor="text1"/>
          <w:sz w:val="30"/>
          <w:szCs w:val="30"/>
          <w:rtl/>
        </w:rPr>
        <w:t>وزيادة إيرادات المشتقات غير الهيدروكربونية بحوالي 5.7</w:t>
      </w:r>
      <w:r w:rsidRPr="00A47834">
        <w:rPr>
          <w:rFonts w:ascii="Traditional Arabic" w:hAnsi="Traditional Arabic" w:cs="Traditional Arabic" w:hint="cs"/>
          <w:color w:val="000000" w:themeColor="text1"/>
          <w:sz w:val="30"/>
          <w:szCs w:val="30"/>
          <w:rtl/>
        </w:rPr>
        <w:t xml:space="preserve">% </w:t>
      </w:r>
      <w:r w:rsidRPr="00A47834">
        <w:rPr>
          <w:rFonts w:ascii="Traditional Arabic" w:hAnsi="Traditional Arabic" w:cs="Traditional Arabic"/>
          <w:color w:val="000000" w:themeColor="text1"/>
          <w:sz w:val="30"/>
          <w:szCs w:val="30"/>
          <w:rtl/>
        </w:rPr>
        <w:t>ومن المتوقع أن تصل حصة الإيرادات من الأنشطة غير الهيدروكربونية إلى 3.5 مليار ريال عُماني في عام 2024، وهو ما يمثل زيادة قدرها 5.7</w:t>
      </w:r>
      <w:r w:rsidRPr="00A47834">
        <w:rPr>
          <w:rFonts w:ascii="Traditional Arabic" w:hAnsi="Traditional Arabic" w:cs="Traditional Arabic" w:hint="cs"/>
          <w:color w:val="000000" w:themeColor="text1"/>
          <w:sz w:val="30"/>
          <w:szCs w:val="30"/>
          <w:rtl/>
        </w:rPr>
        <w:t xml:space="preserve">% </w:t>
      </w:r>
      <w:r w:rsidRPr="00A47834">
        <w:rPr>
          <w:rFonts w:ascii="Traditional Arabic" w:hAnsi="Traditional Arabic" w:cs="Traditional Arabic"/>
          <w:color w:val="000000" w:themeColor="text1"/>
          <w:sz w:val="30"/>
          <w:szCs w:val="30"/>
          <w:rtl/>
        </w:rPr>
        <w:t>عن تقديرات عام 2023.</w:t>
      </w:r>
    </w:p>
    <w:p w14:paraId="1F922765"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44FE226F"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وتعتزم الحكومة مواصلة التركيز على الحفاظ على الاستدامة المالية، وخفض الدين العام، وتحقيق نمو اقتصادي أعلى من خلال الاستثمار المستدام في الإنفاق الإنمائي والإنفاق الاجتماعي. وبالنسبة لعام 2024، خصصت الحكومة ميزانية لنفقات إجمالية قدرها 11.7 مليار ريال عُماني وهو أعلى بنسبة </w:t>
      </w:r>
      <w:r w:rsidRPr="00A47834">
        <w:rPr>
          <w:rFonts w:ascii="Traditional Arabic" w:hAnsi="Traditional Arabic" w:cs="Traditional Arabic" w:hint="cs"/>
          <w:color w:val="000000" w:themeColor="text1"/>
          <w:sz w:val="30"/>
          <w:szCs w:val="30"/>
          <w:rtl/>
        </w:rPr>
        <w:t>0.9</w:t>
      </w:r>
      <w:r w:rsidRPr="00A47834">
        <w:rPr>
          <w:rFonts w:ascii="Traditional Arabic" w:hAnsi="Traditional Arabic" w:cs="Traditional Arabic"/>
          <w:color w:val="000000" w:themeColor="text1"/>
          <w:sz w:val="30"/>
          <w:szCs w:val="30"/>
          <w:rtl/>
        </w:rPr>
        <w:t xml:space="preserve">% من </w:t>
      </w:r>
      <w:r w:rsidRPr="00A47834">
        <w:rPr>
          <w:rFonts w:ascii="Traditional Arabic" w:hAnsi="Traditional Arabic" w:cs="Traditional Arabic" w:hint="cs"/>
          <w:color w:val="000000" w:themeColor="text1"/>
          <w:sz w:val="30"/>
          <w:szCs w:val="30"/>
          <w:rtl/>
        </w:rPr>
        <w:t>النفقات العامة</w:t>
      </w:r>
      <w:r w:rsidRPr="00A47834">
        <w:rPr>
          <w:rFonts w:ascii="Traditional Arabic" w:hAnsi="Traditional Arabic" w:cs="Traditional Arabic"/>
          <w:color w:val="000000" w:themeColor="text1"/>
          <w:sz w:val="30"/>
          <w:szCs w:val="30"/>
          <w:rtl/>
        </w:rPr>
        <w:t xml:space="preserve"> البالغة </w:t>
      </w:r>
      <w:r w:rsidRPr="00A47834">
        <w:rPr>
          <w:rFonts w:ascii="Traditional Arabic" w:hAnsi="Traditional Arabic" w:cs="Traditional Arabic" w:hint="cs"/>
          <w:color w:val="000000" w:themeColor="text1"/>
          <w:sz w:val="30"/>
          <w:szCs w:val="30"/>
          <w:rtl/>
        </w:rPr>
        <w:t>11.6</w:t>
      </w:r>
      <w:r w:rsidRPr="00A47834">
        <w:rPr>
          <w:rFonts w:ascii="Traditional Arabic" w:hAnsi="Traditional Arabic" w:cs="Traditional Arabic"/>
          <w:color w:val="000000" w:themeColor="text1"/>
          <w:sz w:val="30"/>
          <w:szCs w:val="30"/>
          <w:rtl/>
        </w:rPr>
        <w:t xml:space="preserve"> مليار ريال عُماني في عام 202</w:t>
      </w:r>
      <w:r w:rsidRPr="00A47834">
        <w:rPr>
          <w:rFonts w:ascii="Traditional Arabic" w:hAnsi="Traditional Arabic" w:cs="Traditional Arabic" w:hint="cs"/>
          <w:color w:val="000000" w:themeColor="text1"/>
          <w:sz w:val="30"/>
          <w:szCs w:val="30"/>
          <w:rtl/>
        </w:rPr>
        <w:t>3</w:t>
      </w:r>
      <w:r w:rsidRPr="00A47834">
        <w:rPr>
          <w:rFonts w:ascii="Traditional Arabic" w:hAnsi="Traditional Arabic" w:cs="Traditional Arabic"/>
          <w:color w:val="000000" w:themeColor="text1"/>
          <w:sz w:val="30"/>
          <w:szCs w:val="30"/>
          <w:rtl/>
        </w:rPr>
        <w:t xml:space="preserve">. </w:t>
      </w:r>
    </w:p>
    <w:p w14:paraId="647BE6DF"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p>
    <w:p w14:paraId="0054DE18" w14:textId="77777777" w:rsidR="00A47834" w:rsidRPr="00A47834" w:rsidRDefault="00A47834" w:rsidP="00920DFB">
      <w:pPr>
        <w:bidi/>
        <w:spacing w:beforeLines="40" w:before="96" w:afterLines="40" w:after="96" w:line="276" w:lineRule="auto"/>
        <w:jc w:val="both"/>
        <w:rPr>
          <w:rFonts w:ascii="Traditional Arabic" w:hAnsi="Traditional Arabic" w:cs="Traditional Arabic"/>
          <w:i/>
          <w:color w:val="000000" w:themeColor="text1"/>
          <w:sz w:val="30"/>
          <w:szCs w:val="30"/>
        </w:rPr>
      </w:pPr>
      <w:r w:rsidRPr="00A47834">
        <w:rPr>
          <w:rFonts w:ascii="Traditional Arabic" w:hAnsi="Traditional Arabic" w:cs="Traditional Arabic"/>
          <w:b/>
          <w:bCs/>
          <w:color w:val="000000" w:themeColor="text1"/>
          <w:sz w:val="30"/>
          <w:szCs w:val="30"/>
          <w:rtl/>
        </w:rPr>
        <w:t>خطط التنمية</w:t>
      </w:r>
    </w:p>
    <w:p w14:paraId="52D8F378" w14:textId="77777777" w:rsidR="00A47834" w:rsidRPr="00A47834" w:rsidRDefault="00A47834" w:rsidP="00A47834">
      <w:pPr>
        <w:bidi/>
        <w:spacing w:beforeLines="40" w:before="96" w:afterLines="40" w:after="96" w:line="276" w:lineRule="auto"/>
        <w:jc w:val="both"/>
        <w:rPr>
          <w:rFonts w:ascii="Traditional Arabic" w:hAnsi="Traditional Arabic" w:cs="Traditional Arabic"/>
          <w:bCs/>
          <w:i/>
          <w:color w:val="000000" w:themeColor="text1"/>
          <w:sz w:val="30"/>
          <w:szCs w:val="30"/>
        </w:rPr>
      </w:pPr>
      <w:r w:rsidRPr="00A47834">
        <w:rPr>
          <w:rFonts w:ascii="Traditional Arabic" w:hAnsi="Traditional Arabic" w:cs="Traditional Arabic"/>
          <w:bCs/>
          <w:i/>
          <w:iCs/>
          <w:color w:val="000000" w:themeColor="text1"/>
          <w:sz w:val="30"/>
          <w:szCs w:val="30"/>
          <w:rtl/>
        </w:rPr>
        <w:t>رؤية عُمان 2040</w:t>
      </w:r>
    </w:p>
    <w:p w14:paraId="680117A3"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tl/>
        </w:rPr>
      </w:pPr>
      <w:r w:rsidRPr="00A47834">
        <w:rPr>
          <w:rFonts w:ascii="Traditional Arabic" w:hAnsi="Traditional Arabic" w:cs="Traditional Arabic"/>
          <w:color w:val="000000" w:themeColor="text1"/>
          <w:sz w:val="30"/>
          <w:szCs w:val="30"/>
          <w:rtl/>
        </w:rPr>
        <w:t xml:space="preserve">وُضعت استراتيجية رؤية عُمان 2040 لمواجهة التحديات ومواكبة التغيرات الإقليمية والعالمية وللعمل على خلق الفرص واستغلالها لتعزيز التنافسية الاقتصادية والرفاهية الاجتماعية، وتحفيز النمو، وتأصيل الثقة في جميع العلاقات الاقتصادية والاجتماعية والتنموية على الصعيد الوطني. تم إطلاق رؤية عُمان 2040 في عام 2020 كخطة وطنية شاملة مدتها 20 عامًا. وتحدد رؤية 2040 عددًا من الركائز والأولويات. فيركز محور الإنسان والمجتمع على جودة الحياة في سلطنة عمان من خلال تحسين الرعاية الصحية والتعليم والإسكان وتعزيز دور المجتمع وموروثه الثقافي، ويركز محور الاقتصاد والتنمية على تنويع قاعدة الاقتصاد ليضم السياحة والثروة السمكية وقطاع اللوجستيات والتصنيع بالإضافة إلى تعزيز مشاركة القطاع الخاص واستقطاب الاستثمارات الأجنبية، ويركز محور الحكومة والأداء المؤسسي على تعزيز الحوكمة من خلال تحسين الأطر التنظيمية والشفافية وإبداع القطاع العام، ويركز المحور الأخير وهو الاستدامة البيئية على المحافظة على استدامة البيئة ومعالجة التغيير المناخي وإدارة الموارد وتشجيع مصادر الطاقة المتجددة بما يضمن استدامة نمو سلطنة عمان للأجيال القادمة. </w:t>
      </w:r>
    </w:p>
    <w:p w14:paraId="0CF4B6AA" w14:textId="77777777" w:rsidR="00920DFB" w:rsidRDefault="00A47834" w:rsidP="00920DFB">
      <w:pPr>
        <w:bidi/>
        <w:spacing w:beforeLines="40" w:before="96" w:afterLines="40" w:after="96" w:line="276" w:lineRule="auto"/>
        <w:jc w:val="both"/>
        <w:rPr>
          <w:rFonts w:ascii="Traditional Arabic" w:hAnsi="Traditional Arabic" w:cs="Traditional Arabic"/>
          <w:color w:val="000000" w:themeColor="text1"/>
          <w:sz w:val="30"/>
          <w:szCs w:val="30"/>
          <w:rtl/>
        </w:rPr>
      </w:pPr>
      <w:r w:rsidRPr="00A47834">
        <w:rPr>
          <w:rFonts w:ascii="Traditional Arabic" w:hAnsi="Traditional Arabic" w:cs="Traditional Arabic"/>
          <w:color w:val="000000" w:themeColor="text1"/>
          <w:sz w:val="30"/>
          <w:szCs w:val="30"/>
          <w:rtl/>
        </w:rPr>
        <w:t xml:space="preserve">وتشمل رؤية عمان 2040 خارطة طريق مؤلفة من </w:t>
      </w:r>
      <w:r w:rsidRPr="00A47834">
        <w:rPr>
          <w:rFonts w:ascii="Traditional Arabic" w:hAnsi="Traditional Arabic" w:cs="Traditional Arabic" w:hint="cs"/>
          <w:color w:val="000000" w:themeColor="text1"/>
          <w:sz w:val="30"/>
          <w:szCs w:val="30"/>
          <w:rtl/>
        </w:rPr>
        <w:t>68</w:t>
      </w:r>
      <w:r w:rsidRPr="00A47834">
        <w:rPr>
          <w:rFonts w:ascii="Traditional Arabic" w:hAnsi="Traditional Arabic" w:cs="Traditional Arabic"/>
          <w:color w:val="000000" w:themeColor="text1"/>
          <w:sz w:val="30"/>
          <w:szCs w:val="30"/>
          <w:rtl/>
        </w:rPr>
        <w:t xml:space="preserve"> مؤشر أداء رئيسي لتحديد أهداف واضحة لعامي 2030 و2040 وهدف تحويل سلطنة عمان إلى مجتمع متنوع وقادر على التعامل مع المتغيرات ومؤسسات على مستوى من الكفاءة.</w:t>
      </w:r>
    </w:p>
    <w:p w14:paraId="23104132" w14:textId="77777777" w:rsidR="00920DFB" w:rsidRPr="00A47834" w:rsidRDefault="00920DFB" w:rsidP="00920DFB">
      <w:pPr>
        <w:bidi/>
        <w:spacing w:beforeLines="40" w:before="96" w:afterLines="40" w:after="96" w:line="276" w:lineRule="auto"/>
        <w:jc w:val="both"/>
        <w:rPr>
          <w:rFonts w:ascii="Traditional Arabic" w:hAnsi="Traditional Arabic" w:cs="Traditional Arabic"/>
          <w:color w:val="000000" w:themeColor="text1"/>
          <w:sz w:val="30"/>
          <w:szCs w:val="30"/>
          <w:rtl/>
        </w:rPr>
      </w:pPr>
    </w:p>
    <w:p w14:paraId="41A1DFCC" w14:textId="77777777" w:rsidR="00A47834" w:rsidRPr="00A47834" w:rsidRDefault="00A47834" w:rsidP="00920DFB">
      <w:pPr>
        <w:bidi/>
        <w:spacing w:beforeLines="40" w:before="96" w:afterLines="40" w:after="96" w:line="276" w:lineRule="auto"/>
        <w:jc w:val="both"/>
        <w:rPr>
          <w:rFonts w:ascii="Traditional Arabic" w:hAnsi="Traditional Arabic" w:cs="Traditional Arabic"/>
          <w:color w:val="000000" w:themeColor="text1"/>
          <w:sz w:val="30"/>
          <w:szCs w:val="30"/>
        </w:rPr>
      </w:pPr>
    </w:p>
    <w:p w14:paraId="7A137DA2" w14:textId="77777777" w:rsidR="00A47834" w:rsidRPr="00EF2C0D" w:rsidRDefault="00A47834" w:rsidP="00A47834">
      <w:pPr>
        <w:bidi/>
        <w:spacing w:beforeLines="40" w:before="96" w:afterLines="40" w:after="96" w:line="276" w:lineRule="auto"/>
        <w:jc w:val="both"/>
        <w:rPr>
          <w:rFonts w:ascii="Traditional Arabic" w:hAnsi="Traditional Arabic" w:cs="Traditional Arabic"/>
          <w:b/>
          <w:bCs/>
          <w:color w:val="000000" w:themeColor="text1"/>
          <w:sz w:val="30"/>
          <w:szCs w:val="30"/>
        </w:rPr>
      </w:pPr>
      <w:r w:rsidRPr="00EF2C0D">
        <w:rPr>
          <w:rFonts w:ascii="Traditional Arabic" w:hAnsi="Traditional Arabic" w:cs="Traditional Arabic"/>
          <w:b/>
          <w:bCs/>
          <w:i/>
          <w:iCs/>
          <w:color w:val="000000" w:themeColor="text1"/>
          <w:sz w:val="30"/>
          <w:szCs w:val="30"/>
          <w:rtl/>
        </w:rPr>
        <w:lastRenderedPageBreak/>
        <w:t xml:space="preserve"> الخصخصة</w:t>
      </w:r>
    </w:p>
    <w:p w14:paraId="58C7989A"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Pr>
      </w:pPr>
      <w:r w:rsidRPr="00A47834">
        <w:rPr>
          <w:rFonts w:ascii="Traditional Arabic" w:hAnsi="Traditional Arabic" w:cs="Traditional Arabic"/>
          <w:color w:val="000000" w:themeColor="text1"/>
          <w:sz w:val="30"/>
          <w:szCs w:val="30"/>
          <w:rtl/>
        </w:rPr>
        <w:t xml:space="preserve">من أجل تقليل اعتمادها على الاقتراض، وتشجيع أسواق رأس المال العمانية، وزيادة الاستثمارات في بورصة مسقط، ومواكبة رؤية عمان 2040، والحفاظ على مستويات قوية من الاستثمار الخاص لتحفيز النمو الاقتصادي، فإن الحكومة قد أعلنت عزمها ومضيها في بيع جزء من مساهمتها المباشرة وغير المباشرة في بعض الشركات المملوكة </w:t>
      </w:r>
      <w:r w:rsidRPr="00A47834">
        <w:rPr>
          <w:rFonts w:ascii="Traditional Arabic" w:hAnsi="Traditional Arabic" w:cs="Traditional Arabic" w:hint="cs"/>
          <w:color w:val="000000" w:themeColor="text1"/>
          <w:sz w:val="30"/>
          <w:szCs w:val="30"/>
          <w:rtl/>
        </w:rPr>
        <w:t>للحكومة</w:t>
      </w:r>
      <w:r w:rsidRPr="00A47834">
        <w:rPr>
          <w:rFonts w:ascii="Traditional Arabic" w:hAnsi="Traditional Arabic" w:cs="Traditional Arabic"/>
          <w:color w:val="000000" w:themeColor="text1"/>
          <w:sz w:val="30"/>
          <w:szCs w:val="30"/>
          <w:rtl/>
        </w:rPr>
        <w:t xml:space="preserve"> والشركة التي تملك سيطرة عليها. وقد أعلن جهاز الاستثمار العُماني – الجهة التي تستخدمها الحكومة لبيع أصولها - عن برنامج بيع الأصول والذي يتوقع منه أن يجمع حوالي</w:t>
      </w:r>
      <w:r w:rsidR="00D156DE">
        <w:rPr>
          <w:rFonts w:ascii="Traditional Arabic" w:hAnsi="Traditional Arabic" w:cs="Traditional Arabic" w:hint="cs"/>
          <w:color w:val="000000" w:themeColor="text1"/>
          <w:sz w:val="30"/>
          <w:szCs w:val="30"/>
          <w:rtl/>
        </w:rPr>
        <w:t xml:space="preserve"> 1.9 مليار ريال عماني</w:t>
      </w:r>
      <w:r w:rsidRPr="00A47834">
        <w:rPr>
          <w:rFonts w:ascii="Traditional Arabic" w:hAnsi="Traditional Arabic" w:cs="Traditional Arabic"/>
          <w:color w:val="000000" w:themeColor="text1"/>
          <w:sz w:val="30"/>
          <w:szCs w:val="30"/>
          <w:rtl/>
          <w:lang w:bidi="ar"/>
        </w:rPr>
        <w:t xml:space="preserve"> </w:t>
      </w:r>
      <w:r w:rsidR="00D156DE">
        <w:rPr>
          <w:rFonts w:ascii="Traditional Arabic" w:hAnsi="Traditional Arabic" w:cs="Traditional Arabic" w:hint="cs"/>
          <w:color w:val="000000" w:themeColor="text1"/>
          <w:sz w:val="30"/>
          <w:szCs w:val="30"/>
          <w:rtl/>
          <w:lang w:bidi="ar"/>
        </w:rPr>
        <w:t>(</w:t>
      </w:r>
      <w:r w:rsidRPr="00A47834">
        <w:rPr>
          <w:rFonts w:ascii="Traditional Arabic" w:hAnsi="Traditional Arabic" w:cs="Traditional Arabic"/>
          <w:color w:val="000000" w:themeColor="text1"/>
          <w:sz w:val="30"/>
          <w:szCs w:val="30"/>
          <w:rtl/>
          <w:lang w:bidi="ar"/>
        </w:rPr>
        <w:t xml:space="preserve">5 </w:t>
      </w:r>
      <w:r w:rsidRPr="00A47834">
        <w:rPr>
          <w:rFonts w:ascii="Traditional Arabic" w:hAnsi="Traditional Arabic" w:cs="Traditional Arabic"/>
          <w:color w:val="000000" w:themeColor="text1"/>
          <w:sz w:val="30"/>
          <w:szCs w:val="30"/>
          <w:rtl/>
        </w:rPr>
        <w:t>مليارات دولار أمريكي</w:t>
      </w:r>
      <w:r w:rsidR="00D156DE">
        <w:rPr>
          <w:rFonts w:ascii="Traditional Arabic" w:hAnsi="Traditional Arabic" w:cs="Traditional Arabic" w:hint="cs"/>
          <w:color w:val="000000" w:themeColor="text1"/>
          <w:sz w:val="30"/>
          <w:szCs w:val="30"/>
          <w:rtl/>
        </w:rPr>
        <w:t>)</w:t>
      </w:r>
      <w:r w:rsidRPr="00A47834">
        <w:rPr>
          <w:rFonts w:ascii="Traditional Arabic" w:hAnsi="Traditional Arabic" w:cs="Traditional Arabic"/>
          <w:color w:val="000000" w:themeColor="text1"/>
          <w:sz w:val="30"/>
          <w:szCs w:val="30"/>
          <w:rtl/>
        </w:rPr>
        <w:t xml:space="preserve"> من العائدات خلال فترة </w:t>
      </w:r>
      <w:r w:rsidRPr="00A47834">
        <w:rPr>
          <w:rFonts w:ascii="Traditional Arabic" w:hAnsi="Traditional Arabic" w:cs="Traditional Arabic"/>
          <w:color w:val="000000" w:themeColor="text1"/>
          <w:sz w:val="30"/>
          <w:szCs w:val="30"/>
          <w:rtl/>
          <w:lang w:bidi="ar"/>
        </w:rPr>
        <w:t xml:space="preserve">5 </w:t>
      </w:r>
      <w:r w:rsidRPr="00A47834">
        <w:rPr>
          <w:rFonts w:ascii="Traditional Arabic" w:hAnsi="Traditional Arabic" w:cs="Traditional Arabic"/>
          <w:color w:val="000000" w:themeColor="text1"/>
          <w:sz w:val="30"/>
          <w:szCs w:val="30"/>
          <w:rtl/>
        </w:rPr>
        <w:t xml:space="preserve">سنوات من </w:t>
      </w:r>
      <w:r w:rsidRPr="00A47834">
        <w:rPr>
          <w:rFonts w:ascii="Traditional Arabic" w:hAnsi="Traditional Arabic" w:cs="Traditional Arabic"/>
          <w:color w:val="000000" w:themeColor="text1"/>
          <w:sz w:val="30"/>
          <w:szCs w:val="30"/>
          <w:rtl/>
          <w:lang w:bidi="ar"/>
        </w:rPr>
        <w:t xml:space="preserve">2021-2025. </w:t>
      </w:r>
      <w:r w:rsidRPr="00A47834">
        <w:rPr>
          <w:rFonts w:ascii="Traditional Arabic" w:hAnsi="Traditional Arabic" w:cs="Traditional Arabic"/>
          <w:color w:val="000000" w:themeColor="text1"/>
          <w:sz w:val="30"/>
          <w:szCs w:val="30"/>
          <w:rtl/>
        </w:rPr>
        <w:t xml:space="preserve">ومن خلال طرح أسهم شركة أبراج </w:t>
      </w:r>
      <w:r w:rsidR="0063217B">
        <w:rPr>
          <w:rFonts w:ascii="Traditional Arabic" w:hAnsi="Traditional Arabic" w:cs="Traditional Arabic" w:hint="cs"/>
          <w:color w:val="000000" w:themeColor="text1"/>
          <w:sz w:val="30"/>
          <w:szCs w:val="30"/>
          <w:rtl/>
        </w:rPr>
        <w:t xml:space="preserve">لخدمات الطاقة ش م ع ع، </w:t>
      </w:r>
      <w:r w:rsidRPr="00A47834">
        <w:rPr>
          <w:rFonts w:ascii="Traditional Arabic" w:hAnsi="Traditional Arabic" w:cs="Traditional Arabic"/>
          <w:color w:val="000000" w:themeColor="text1"/>
          <w:sz w:val="30"/>
          <w:szCs w:val="30"/>
          <w:rtl/>
        </w:rPr>
        <w:t>وشركة أوكيو لشبكات الغاز</w:t>
      </w:r>
      <w:r w:rsidR="0063217B">
        <w:rPr>
          <w:rFonts w:ascii="Traditional Arabic" w:hAnsi="Traditional Arabic" w:cs="Traditional Arabic" w:hint="cs"/>
          <w:color w:val="000000" w:themeColor="text1"/>
          <w:sz w:val="30"/>
          <w:szCs w:val="30"/>
          <w:rtl/>
        </w:rPr>
        <w:t>،</w:t>
      </w:r>
      <w:r w:rsidRPr="00A47834">
        <w:rPr>
          <w:rFonts w:ascii="Traditional Arabic" w:hAnsi="Traditional Arabic" w:cs="Traditional Arabic"/>
          <w:color w:val="000000" w:themeColor="text1"/>
          <w:sz w:val="30"/>
          <w:szCs w:val="30"/>
          <w:rtl/>
        </w:rPr>
        <w:t xml:space="preserve"> </w:t>
      </w:r>
      <w:r w:rsidR="0063217B">
        <w:rPr>
          <w:rFonts w:ascii="Traditional Arabic" w:hAnsi="Traditional Arabic" w:cs="Traditional Arabic" w:hint="cs"/>
          <w:color w:val="000000" w:themeColor="text1"/>
          <w:sz w:val="30"/>
          <w:szCs w:val="30"/>
          <w:rtl/>
        </w:rPr>
        <w:t xml:space="preserve">وشركة أوكيو للاستكشاف والإنتاج </w:t>
      </w:r>
      <w:r w:rsidRPr="00A47834">
        <w:rPr>
          <w:rFonts w:ascii="Traditional Arabic" w:hAnsi="Traditional Arabic" w:cs="Traditional Arabic"/>
          <w:color w:val="000000" w:themeColor="text1"/>
          <w:sz w:val="30"/>
          <w:szCs w:val="30"/>
          <w:rtl/>
        </w:rPr>
        <w:t>في اكتتاب عام جمعت الحكومة حوالي</w:t>
      </w:r>
      <w:r w:rsidR="00137882">
        <w:rPr>
          <w:rFonts w:ascii="Traditional Arabic" w:hAnsi="Traditional Arabic" w:cs="Traditional Arabic" w:hint="cs"/>
          <w:color w:val="000000" w:themeColor="text1"/>
          <w:sz w:val="30"/>
          <w:szCs w:val="30"/>
          <w:rtl/>
        </w:rPr>
        <w:t xml:space="preserve"> 1.2 مليار ريال عماني (بما يعادل 3 مليار دولار أمريكي)</w:t>
      </w:r>
      <w:r w:rsidRPr="00A47834">
        <w:rPr>
          <w:rFonts w:ascii="Traditional Arabic" w:hAnsi="Traditional Arabic" w:cs="Traditional Arabic"/>
          <w:color w:val="000000" w:themeColor="text1"/>
          <w:sz w:val="30"/>
          <w:szCs w:val="30"/>
          <w:rtl/>
        </w:rPr>
        <w:t xml:space="preserve"> وما يليه من طرح للشركة هو أيضا بيع لجزء من الأصول ضمن هذا البرنامج</w:t>
      </w:r>
      <w:r w:rsidRPr="00A47834">
        <w:rPr>
          <w:rFonts w:ascii="Traditional Arabic" w:hAnsi="Traditional Arabic" w:cs="Traditional Arabic"/>
          <w:color w:val="000000" w:themeColor="text1"/>
          <w:sz w:val="30"/>
          <w:szCs w:val="30"/>
          <w:rtl/>
          <w:lang w:bidi="ar"/>
        </w:rPr>
        <w:t xml:space="preserve">. </w:t>
      </w:r>
    </w:p>
    <w:p w14:paraId="7C362362"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bCs/>
          <w:color w:val="000000" w:themeColor="text1"/>
          <w:sz w:val="30"/>
          <w:szCs w:val="30"/>
          <w:rtl/>
          <w:lang w:bidi="ar"/>
        </w:rPr>
      </w:pPr>
    </w:p>
    <w:p w14:paraId="43F865D4" w14:textId="77777777" w:rsidR="00A47834" w:rsidRPr="00A47834" w:rsidRDefault="00A47834" w:rsidP="00A47834">
      <w:pPr>
        <w:bidi/>
        <w:spacing w:beforeLines="40" w:before="96" w:afterLines="40" w:after="96" w:line="276" w:lineRule="auto"/>
        <w:jc w:val="both"/>
        <w:rPr>
          <w:rFonts w:ascii="Traditional Arabic" w:hAnsi="Traditional Arabic" w:cs="Traditional Arabic"/>
          <w:b/>
          <w:color w:val="000000" w:themeColor="text1"/>
          <w:sz w:val="30"/>
          <w:szCs w:val="30"/>
        </w:rPr>
      </w:pPr>
      <w:r w:rsidRPr="00A47834">
        <w:rPr>
          <w:rFonts w:ascii="Traditional Arabic" w:hAnsi="Traditional Arabic" w:cs="Traditional Arabic"/>
          <w:b/>
          <w:bCs/>
          <w:color w:val="000000" w:themeColor="text1"/>
          <w:sz w:val="30"/>
          <w:szCs w:val="30"/>
          <w:rtl/>
        </w:rPr>
        <w:t>العملة والنظام المالي</w:t>
      </w:r>
    </w:p>
    <w:p w14:paraId="2B676057"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tl/>
        </w:rPr>
      </w:pPr>
      <w:r w:rsidRPr="00A47834">
        <w:rPr>
          <w:rFonts w:ascii="Traditional Arabic" w:hAnsi="Traditional Arabic" w:cs="Traditional Arabic"/>
          <w:color w:val="000000" w:themeColor="text1"/>
          <w:sz w:val="30"/>
          <w:szCs w:val="30"/>
          <w:rtl/>
        </w:rPr>
        <w:t>الريال العُماني هو العملة الرسمية لسلطنة عُمان وينقسم إلى 1000 بيسة، ومنذ عام 1973م حتى عام 1986م، تم ربط الريال العُماني بالدولار الأمريكي بسعر 2.895 دولار للريال الواحد. ولما دخلت سنة 1986م تم تغيير سعر صرف الريال العُماني مقابل الدولار الأمريكي إلى 2.6008 دولار، أي أن الدولار الأمريكي آنذاك كان يعادل 0.3851 ريال عُماني، ويشتري البنك المركزي العُماني الدولار الأمريكي بسعر 0.384 ريال ويبيعه بسعر 0.385 ريال عُماني.</w:t>
      </w:r>
    </w:p>
    <w:p w14:paraId="37E7B9C8"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tl/>
        </w:rPr>
      </w:pPr>
    </w:p>
    <w:p w14:paraId="4FCEEEC5"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tl/>
        </w:rPr>
      </w:pPr>
      <w:r w:rsidRPr="00A47834">
        <w:rPr>
          <w:rFonts w:ascii="Traditional Arabic" w:hAnsi="Traditional Arabic" w:cs="Traditional Arabic"/>
          <w:color w:val="000000" w:themeColor="text1"/>
          <w:sz w:val="30"/>
          <w:szCs w:val="30"/>
          <w:rtl/>
        </w:rPr>
        <w:t xml:space="preserve">تأسس البنك المركزي العُماني ("البنك المركزي") في ديسمبر 1974م بموجب القانون المصرفي محدداً مهامه ومسؤولياته. ويحدد البنك المركزي السياسة النقدية بشكل مستقل بعد عقد مشاورات مع الحكومة حول أهداف سياستها المالية. بالإضافة إلى صياغة وتنفيذ السياسة النقدية التي تشمل وضع اللوائح التنظيمية والإشراف على النظام المصرفي وتنفيذ المعاملات بالعملة الأجنبية نيابة عن الحكومة. ويضم القطاع المالي المصارف التجارية والمصارف الإسلامية </w:t>
      </w:r>
      <w:r w:rsidRPr="00A47834">
        <w:rPr>
          <w:rFonts w:ascii="Traditional Arabic" w:hAnsi="Traditional Arabic" w:cs="Traditional Arabic" w:hint="cs"/>
          <w:color w:val="000000" w:themeColor="text1"/>
          <w:sz w:val="30"/>
          <w:szCs w:val="30"/>
          <w:rtl/>
        </w:rPr>
        <w:t xml:space="preserve">وبنوك الاستثمار </w:t>
      </w:r>
      <w:r w:rsidRPr="00A47834">
        <w:rPr>
          <w:rFonts w:ascii="Traditional Arabic" w:hAnsi="Traditional Arabic" w:cs="Traditional Arabic"/>
          <w:color w:val="000000" w:themeColor="text1"/>
          <w:sz w:val="30"/>
          <w:szCs w:val="30"/>
          <w:rtl/>
        </w:rPr>
        <w:t>والبنوك المتخصصة وشركات التمويل غير المصرفية وكذلك شركات التأجير وشركات الصرافة.</w:t>
      </w:r>
    </w:p>
    <w:p w14:paraId="50AACF7C" w14:textId="77777777" w:rsidR="00A47834" w:rsidRP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tl/>
        </w:rPr>
      </w:pPr>
    </w:p>
    <w:p w14:paraId="43E6B2AB" w14:textId="77777777" w:rsidR="00A47834" w:rsidRDefault="00A47834" w:rsidP="00A47834">
      <w:pPr>
        <w:bidi/>
        <w:spacing w:beforeLines="40" w:before="96" w:afterLines="40" w:after="96" w:line="276" w:lineRule="auto"/>
        <w:jc w:val="both"/>
        <w:rPr>
          <w:rFonts w:ascii="Traditional Arabic" w:hAnsi="Traditional Arabic" w:cs="Traditional Arabic"/>
          <w:color w:val="000000" w:themeColor="text1"/>
          <w:sz w:val="30"/>
          <w:szCs w:val="30"/>
          <w:rtl/>
        </w:rPr>
      </w:pPr>
      <w:r w:rsidRPr="00A47834">
        <w:rPr>
          <w:rFonts w:ascii="Traditional Arabic" w:hAnsi="Traditional Arabic" w:cs="Traditional Arabic"/>
          <w:color w:val="000000" w:themeColor="text1"/>
          <w:sz w:val="30"/>
          <w:szCs w:val="30"/>
          <w:rtl/>
        </w:rPr>
        <w:lastRenderedPageBreak/>
        <w:t>وأما بالنسبة لهيئة الخدمات المالية (المعروفة سابقا باسم الهيئة العامة لسوق المال، حيث أُعيدت هيكلتها وتسميتها بموجب المرسوم السلطاني رقم 20/2024) فقد باشرت مهامها في 9 يناير سنة 1999م. وهي هيئة حكومية تتمتع باستقلال مالي وإداري. ويتمثل الدور الرئيسي للهيئة في الإشراف على سوق رأس المال وقطاعات التأمين في عُمان وتطوير الإطار القانوني الذي يحكمها (فعلى سبيل المثال، إصدار ميثاق تنظيم وإدارة شركات المساهمة العامة، وإشراف هيئة الخدمات المالية على تنظيم عدد من الكيانات بما في ذلك بورصة مسقط وشركة مسقط للمقاصة والإيداع) وتهدف الهيئة أيضا إلى تعزيز كفاءة السوق من أجل المستثمرين وتوعيتهم بحقوقهم وبأهمية سوق رأس المال.</w:t>
      </w:r>
    </w:p>
    <w:p w14:paraId="0461362C" w14:textId="77777777" w:rsidR="00F81F0A" w:rsidRDefault="00F81F0A" w:rsidP="00F81F0A">
      <w:pPr>
        <w:bidi/>
        <w:spacing w:beforeLines="40" w:before="96" w:afterLines="40" w:after="96" w:line="276" w:lineRule="auto"/>
        <w:jc w:val="both"/>
        <w:rPr>
          <w:rFonts w:ascii="Traditional Arabic" w:hAnsi="Traditional Arabic" w:cs="Traditional Arabic"/>
          <w:color w:val="000000" w:themeColor="text1"/>
          <w:sz w:val="30"/>
          <w:szCs w:val="30"/>
          <w:rtl/>
        </w:rPr>
      </w:pPr>
      <w:r w:rsidRPr="006A5F47">
        <w:rPr>
          <w:rFonts w:ascii="Traditional Arabic" w:hAnsi="Traditional Arabic" w:cs="Traditional Arabic"/>
          <w:sz w:val="30"/>
          <w:szCs w:val="30"/>
        </w:rPr>
        <w:t xml:space="preserve"> </w:t>
      </w:r>
    </w:p>
    <w:p w14:paraId="2067E69D" w14:textId="77777777" w:rsidR="00807570" w:rsidRPr="00EB5BCF" w:rsidRDefault="00807570" w:rsidP="00807570">
      <w:pPr>
        <w:autoSpaceDE w:val="0"/>
        <w:autoSpaceDN w:val="0"/>
        <w:bidi/>
        <w:adjustRightInd w:val="0"/>
        <w:jc w:val="both"/>
        <w:rPr>
          <w:rFonts w:ascii="Traditional Arabic" w:hAnsi="Traditional Arabic" w:cs="Traditional Arabic"/>
          <w:sz w:val="30"/>
          <w:szCs w:val="30"/>
          <w:rtl/>
        </w:rPr>
      </w:pPr>
    </w:p>
    <w:p w14:paraId="4D06EA74" w14:textId="77777777" w:rsidR="00807570" w:rsidRPr="00EB5BCF" w:rsidRDefault="00807570" w:rsidP="00807570">
      <w:pPr>
        <w:autoSpaceDE w:val="0"/>
        <w:autoSpaceDN w:val="0"/>
        <w:bidi/>
        <w:adjustRightInd w:val="0"/>
        <w:jc w:val="both"/>
        <w:rPr>
          <w:rFonts w:ascii="Traditional Arabic" w:hAnsi="Traditional Arabic" w:cs="Traditional Arabic"/>
          <w:sz w:val="30"/>
          <w:szCs w:val="30"/>
          <w:rtl/>
          <w:lang w:bidi="ar-EG"/>
        </w:rPr>
        <w:sectPr w:rsidR="00807570" w:rsidRPr="00EB5BCF">
          <w:pgSz w:w="12240" w:h="15840"/>
          <w:pgMar w:top="1440" w:right="1440" w:bottom="1440" w:left="1440" w:header="720" w:footer="720" w:gutter="0"/>
          <w:cols w:space="720"/>
          <w:docGrid w:linePitch="360"/>
        </w:sectPr>
      </w:pPr>
    </w:p>
    <w:p w14:paraId="1D5D40AE" w14:textId="77777777" w:rsidR="004D1AA2" w:rsidRDefault="00807570" w:rsidP="00BF27FC">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lastRenderedPageBreak/>
        <w:t xml:space="preserve">الفصل </w:t>
      </w:r>
      <w:r w:rsidR="00B850E4" w:rsidRPr="00EB5BCF">
        <w:rPr>
          <w:rFonts w:ascii="Traditional Arabic" w:hAnsi="Traditional Arabic" w:cs="Traditional Arabic"/>
          <w:b w:val="0"/>
          <w:bCs/>
          <w:sz w:val="30"/>
          <w:szCs w:val="30"/>
          <w:rtl/>
          <w:lang w:bidi="ar-OM"/>
        </w:rPr>
        <w:t>العاشر</w:t>
      </w:r>
    </w:p>
    <w:p w14:paraId="1D871334" w14:textId="77777777" w:rsidR="00CA12B3" w:rsidRPr="008508CD" w:rsidRDefault="00CA12B3" w:rsidP="00CA12B3">
      <w:pPr>
        <w:pStyle w:val="BodyText1"/>
        <w:bidi/>
        <w:jc w:val="center"/>
        <w:rPr>
          <w:rFonts w:ascii="Traditional Arabic" w:eastAsiaTheme="minorHAnsi" w:hAnsi="Traditional Arabic" w:cs="Traditional Arabic"/>
          <w:bCs/>
          <w:sz w:val="30"/>
          <w:szCs w:val="30"/>
          <w:rtl/>
          <w14:ligatures w14:val="standardContextual"/>
        </w:rPr>
      </w:pPr>
      <w:r w:rsidRPr="008508CD">
        <w:rPr>
          <w:rFonts w:ascii="Traditional Arabic" w:eastAsiaTheme="minorHAnsi" w:hAnsi="Traditional Arabic" w:cs="Traditional Arabic" w:hint="cs"/>
          <w:bCs/>
          <w:sz w:val="30"/>
          <w:szCs w:val="30"/>
          <w:rtl/>
          <w14:ligatures w14:val="standardContextual"/>
        </w:rPr>
        <w:t>الإطار التنظيمي</w:t>
      </w:r>
    </w:p>
    <w:p w14:paraId="61F86A03" w14:textId="77777777" w:rsidR="00993BA4" w:rsidRPr="00993BA4" w:rsidRDefault="00993BA4" w:rsidP="00993BA4">
      <w:pPr>
        <w:pStyle w:val="BodyText1"/>
        <w:bidi/>
        <w:rPr>
          <w:rFonts w:ascii="Traditional Arabic" w:eastAsiaTheme="minorHAnsi" w:hAnsi="Traditional Arabic" w:cs="Traditional Arabic"/>
          <w:b/>
          <w:sz w:val="30"/>
          <w:szCs w:val="30"/>
          <w:rtl/>
          <w14:ligatures w14:val="standardContextual"/>
        </w:rPr>
      </w:pPr>
      <w:r w:rsidRPr="00993BA4">
        <w:rPr>
          <w:rFonts w:ascii="Traditional Arabic" w:eastAsiaTheme="minorHAnsi" w:hAnsi="Traditional Arabic" w:cs="Traditional Arabic"/>
          <w:b/>
          <w:sz w:val="30"/>
          <w:szCs w:val="30"/>
          <w:rtl/>
          <w14:ligatures w14:val="standardContextual"/>
        </w:rPr>
        <w:t>يقع المقر الرئيسي للشركة في سلطنة عمان، ولكنها تدير أسطولًا من السفن من خلال شركات تابعة في بلدان متعددة، وقد تم تسجيل عدد كبير من السفن التي تديرها الشركة في</w:t>
      </w:r>
      <w:r w:rsidR="008E1846">
        <w:rPr>
          <w:rFonts w:ascii="Traditional Arabic" w:eastAsiaTheme="minorHAnsi" w:hAnsi="Traditional Arabic" w:cs="Traditional Arabic" w:hint="cs"/>
          <w:b/>
          <w:sz w:val="30"/>
          <w:szCs w:val="30"/>
          <w:rtl/>
          <w14:ligatures w14:val="standardContextual"/>
        </w:rPr>
        <w:t xml:space="preserve"> كلا من دولتي</w:t>
      </w:r>
      <w:r w:rsidRPr="00993BA4">
        <w:rPr>
          <w:rFonts w:ascii="Traditional Arabic" w:eastAsiaTheme="minorHAnsi" w:hAnsi="Traditional Arabic" w:cs="Traditional Arabic"/>
          <w:b/>
          <w:sz w:val="30"/>
          <w:szCs w:val="30"/>
          <w:rtl/>
          <w14:ligatures w14:val="standardContextual"/>
        </w:rPr>
        <w:t xml:space="preserve"> جزر مارشال وبنما. ونظرًا لطبيعة أعمالها، فإنها تخضع لمجموعة متنوعة من القوانين البحرية الدولية. ولذا، عمدنا من خلال هذا الفصل إلى تحديد القوانين الأساسية العمانية</w:t>
      </w:r>
      <w:r w:rsidR="00DB53A4">
        <w:rPr>
          <w:rFonts w:ascii="Traditional Arabic" w:eastAsiaTheme="minorHAnsi" w:hAnsi="Traditional Arabic" w:cs="Traditional Arabic" w:hint="cs"/>
          <w:b/>
          <w:sz w:val="30"/>
          <w:szCs w:val="30"/>
          <w:rtl/>
          <w14:ligatures w14:val="standardContextual"/>
        </w:rPr>
        <w:t xml:space="preserve"> والقوانين الدولية</w:t>
      </w:r>
      <w:r w:rsidRPr="00993BA4">
        <w:rPr>
          <w:rFonts w:ascii="Traditional Arabic" w:eastAsiaTheme="minorHAnsi" w:hAnsi="Traditional Arabic" w:cs="Traditional Arabic"/>
          <w:b/>
          <w:sz w:val="30"/>
          <w:szCs w:val="30"/>
          <w:rtl/>
          <w14:ligatures w14:val="standardContextual"/>
        </w:rPr>
        <w:t xml:space="preserve"> التي تحكم العمليات البحرية للشركة</w:t>
      </w:r>
      <w:r w:rsidRPr="00993BA4">
        <w:rPr>
          <w:rFonts w:ascii="Traditional Arabic" w:eastAsiaTheme="minorHAnsi" w:hAnsi="Traditional Arabic" w:cs="Traditional Arabic"/>
          <w:b/>
          <w:sz w:val="30"/>
          <w:szCs w:val="30"/>
          <w14:ligatures w14:val="standardContextual"/>
        </w:rPr>
        <w:t>.</w:t>
      </w:r>
    </w:p>
    <w:p w14:paraId="1207D0CE" w14:textId="77777777" w:rsidR="00993BA4" w:rsidRPr="00993BA4" w:rsidRDefault="00993BA4" w:rsidP="00993BA4">
      <w:pPr>
        <w:pStyle w:val="BodyText1"/>
        <w:bidi/>
        <w:rPr>
          <w:rFonts w:ascii="Traditional Arabic" w:eastAsiaTheme="minorHAnsi" w:hAnsi="Traditional Arabic" w:cs="Traditional Arabic"/>
          <w:bCs/>
          <w:sz w:val="30"/>
          <w:szCs w:val="30"/>
          <w:rtl/>
          <w14:ligatures w14:val="standardContextual"/>
        </w:rPr>
      </w:pPr>
      <w:r w:rsidRPr="00993BA4">
        <w:rPr>
          <w:rFonts w:ascii="Traditional Arabic" w:eastAsiaTheme="minorHAnsi" w:hAnsi="Traditional Arabic" w:cs="Traditional Arabic"/>
          <w:bCs/>
          <w:sz w:val="30"/>
          <w:szCs w:val="30"/>
          <w:rtl/>
          <w14:ligatures w14:val="standardContextual"/>
        </w:rPr>
        <w:t>القانون البحري العماني</w:t>
      </w:r>
    </w:p>
    <w:p w14:paraId="50E22EE6" w14:textId="77777777" w:rsidR="00993BA4" w:rsidRPr="00993BA4" w:rsidRDefault="00993BA4" w:rsidP="00993BA4">
      <w:pPr>
        <w:pStyle w:val="BodyText1"/>
        <w:bidi/>
        <w:rPr>
          <w:rFonts w:ascii="Traditional Arabic" w:eastAsiaTheme="minorHAnsi" w:hAnsi="Traditional Arabic" w:cs="Traditional Arabic"/>
          <w:b/>
          <w:sz w:val="30"/>
          <w:szCs w:val="30"/>
          <w:rtl/>
          <w14:ligatures w14:val="standardContextual"/>
        </w:rPr>
      </w:pPr>
      <w:r w:rsidRPr="00993BA4">
        <w:rPr>
          <w:rFonts w:ascii="Traditional Arabic" w:eastAsiaTheme="minorHAnsi" w:hAnsi="Traditional Arabic" w:cs="Traditional Arabic"/>
          <w:b/>
          <w:sz w:val="30"/>
          <w:szCs w:val="30"/>
          <w:rtl/>
          <w14:ligatures w14:val="standardContextual"/>
        </w:rPr>
        <w:t xml:space="preserve">صدر المرسوم السلطاني رقم 19/2023 </w:t>
      </w:r>
      <w:r w:rsidR="006E0433">
        <w:rPr>
          <w:rFonts w:ascii="Traditional Arabic" w:eastAsiaTheme="minorHAnsi" w:hAnsi="Traditional Arabic" w:cs="Traditional Arabic" w:hint="cs"/>
          <w:b/>
          <w:sz w:val="30"/>
          <w:szCs w:val="30"/>
          <w:rtl/>
          <w14:ligatures w14:val="standardContextual"/>
        </w:rPr>
        <w:t xml:space="preserve">بإصدار </w:t>
      </w:r>
      <w:r w:rsidRPr="00993BA4">
        <w:rPr>
          <w:rFonts w:ascii="Traditional Arabic" w:eastAsiaTheme="minorHAnsi" w:hAnsi="Traditional Arabic" w:cs="Traditional Arabic"/>
          <w:b/>
          <w:sz w:val="30"/>
          <w:szCs w:val="30"/>
          <w:rtl/>
          <w14:ligatures w14:val="standardContextual"/>
        </w:rPr>
        <w:t>القانون البحري في سلطنة عمان، والهدف منه تعزيز نمو القطاع البحري في البلاد مع إعطاء الأولوية للسلامة الملاحية وحماية البحارة والحفاظ على البيئة. كما يتناول القانون البحري العديد من الجوانب الحاسمة لعمليات السفن، بما في ذلك عقود نقل البضائع والأشخاص عن طريق البحر، والتزامات مالكي السفن ومشغليها، وتعيين الربان وواجباته، والعلاقة مع البحارة، والرهون العقارية على السفن، وتعيين الوكلاء. والأهم من ذلك، أن القانون ينص على أنه يجب أن تكون كل سفينة صالحة للإبحار والملاحة قبل تشغيلها</w:t>
      </w:r>
      <w:r w:rsidRPr="00993BA4">
        <w:rPr>
          <w:rFonts w:ascii="Traditional Arabic" w:eastAsiaTheme="minorHAnsi" w:hAnsi="Traditional Arabic" w:cs="Traditional Arabic"/>
          <w:b/>
          <w:sz w:val="30"/>
          <w:szCs w:val="30"/>
          <w14:ligatures w14:val="standardContextual"/>
        </w:rPr>
        <w:t>.</w:t>
      </w:r>
    </w:p>
    <w:p w14:paraId="102E1303" w14:textId="77777777" w:rsidR="00993BA4" w:rsidRPr="00993BA4" w:rsidRDefault="006E0433" w:rsidP="00993BA4">
      <w:pPr>
        <w:pStyle w:val="BodyText1"/>
        <w:bidi/>
        <w:rPr>
          <w:rFonts w:ascii="Traditional Arabic" w:eastAsiaTheme="minorHAnsi" w:hAnsi="Traditional Arabic" w:cs="Traditional Arabic"/>
          <w:b/>
          <w:sz w:val="30"/>
          <w:szCs w:val="30"/>
          <w:rtl/>
          <w14:ligatures w14:val="standardContextual"/>
        </w:rPr>
      </w:pPr>
      <w:r>
        <w:rPr>
          <w:rFonts w:ascii="Traditional Arabic" w:eastAsiaTheme="minorHAnsi" w:hAnsi="Traditional Arabic" w:cs="Traditional Arabic" w:hint="cs"/>
          <w:b/>
          <w:sz w:val="30"/>
          <w:szCs w:val="30"/>
          <w:rtl/>
          <w14:ligatures w14:val="standardContextual"/>
        </w:rPr>
        <w:t>هذا، و</w:t>
      </w:r>
      <w:r w:rsidR="00993BA4" w:rsidRPr="00993BA4">
        <w:rPr>
          <w:rFonts w:ascii="Traditional Arabic" w:eastAsiaTheme="minorHAnsi" w:hAnsi="Traditional Arabic" w:cs="Traditional Arabic"/>
          <w:b/>
          <w:sz w:val="30"/>
          <w:szCs w:val="30"/>
          <w:rtl/>
          <w14:ligatures w14:val="standardContextual"/>
        </w:rPr>
        <w:t>تخضع جميع عمليات النقل البحري والسفن والناقلات للقانون البحري، وهو بمثابة التشريع الأساسي الساري على عمليات الشركة، ورغم أنه الإطار القانوني الرئيسي، إلا أنه يعطي أولوية التطبيق للمعاهدات الدولية المتعلقة بموضوع النقل البحري التي صادقت عليها سلطنة عمان، وذلك في حالات التعارض والاختلاف. وعند العمل خارج الموانئ العمانية، يفرض القانون على السفن الامتثال للوائح المحلية، مع إلقاء المسؤولية على عاتق المشغل والربان لضمان الامتثال</w:t>
      </w:r>
      <w:r w:rsidR="00993BA4" w:rsidRPr="00993BA4">
        <w:rPr>
          <w:rFonts w:ascii="Traditional Arabic" w:eastAsiaTheme="minorHAnsi" w:hAnsi="Traditional Arabic" w:cs="Traditional Arabic"/>
          <w:b/>
          <w:sz w:val="30"/>
          <w:szCs w:val="30"/>
          <w14:ligatures w14:val="standardContextual"/>
        </w:rPr>
        <w:t>.</w:t>
      </w:r>
    </w:p>
    <w:p w14:paraId="529C0B51" w14:textId="77777777" w:rsidR="00993BA4" w:rsidRPr="00993BA4" w:rsidRDefault="00993BA4" w:rsidP="00993BA4">
      <w:pPr>
        <w:pStyle w:val="BodyText1"/>
        <w:bidi/>
        <w:rPr>
          <w:rFonts w:ascii="Traditional Arabic" w:eastAsiaTheme="minorHAnsi" w:hAnsi="Traditional Arabic" w:cs="Traditional Arabic"/>
          <w:b/>
          <w:sz w:val="30"/>
          <w:szCs w:val="30"/>
          <w:rtl/>
          <w14:ligatures w14:val="standardContextual"/>
        </w:rPr>
      </w:pPr>
      <w:r w:rsidRPr="00993BA4">
        <w:rPr>
          <w:rFonts w:ascii="Traditional Arabic" w:eastAsiaTheme="minorHAnsi" w:hAnsi="Traditional Arabic" w:cs="Traditional Arabic"/>
          <w:b/>
          <w:sz w:val="30"/>
          <w:szCs w:val="30"/>
          <w:rtl/>
          <w14:ligatures w14:val="standardContextual"/>
        </w:rPr>
        <w:t>ويحظر القانون البحري على السفن ممارسة أي نشاط في البحر الإقليمي لسلطنة عمان إلا بعد الحصول على الترخيص الملاحي</w:t>
      </w:r>
      <w:r w:rsidRPr="00993BA4">
        <w:rPr>
          <w:rFonts w:ascii="Traditional Arabic" w:eastAsiaTheme="minorHAnsi" w:hAnsi="Traditional Arabic" w:cs="Traditional Arabic"/>
          <w:b/>
          <w:sz w:val="30"/>
          <w:szCs w:val="30"/>
          <w14:ligatures w14:val="standardContextual"/>
        </w:rPr>
        <w:t>.</w:t>
      </w:r>
    </w:p>
    <w:p w14:paraId="476B093A" w14:textId="77777777" w:rsidR="00993BA4" w:rsidRPr="00993BA4" w:rsidRDefault="00993BA4" w:rsidP="00993BA4">
      <w:pPr>
        <w:pStyle w:val="BodyText1"/>
        <w:bidi/>
        <w:rPr>
          <w:rFonts w:ascii="Traditional Arabic" w:eastAsiaTheme="minorHAnsi" w:hAnsi="Traditional Arabic" w:cs="Traditional Arabic"/>
          <w:b/>
          <w:sz w:val="30"/>
          <w:szCs w:val="30"/>
          <w:rtl/>
          <w14:ligatures w14:val="standardContextual"/>
        </w:rPr>
      </w:pPr>
      <w:r w:rsidRPr="00993BA4">
        <w:rPr>
          <w:rFonts w:ascii="Traditional Arabic" w:eastAsiaTheme="minorHAnsi" w:hAnsi="Traditional Arabic" w:cs="Traditional Arabic"/>
          <w:b/>
          <w:sz w:val="30"/>
          <w:szCs w:val="30"/>
          <w:rtl/>
          <w14:ligatures w14:val="standardContextual"/>
        </w:rPr>
        <w:t>ويجوز للسفن الأجنبية المرور البريء عبر البحر الإقليمي لسلطنة عمان، على أن تلتزم بالقوانين واللوائح والقرارات والتعليمات المعمول بها في سلطنة عمان. علاوة على ذلك، يلتزم مجهز السفينة الأجنبية بتعيين وكيل للسفينة عند استخدام الموانئ العمانية أو البحر الإقليمي لسلطنة عمان</w:t>
      </w:r>
      <w:r w:rsidRPr="00993BA4">
        <w:rPr>
          <w:rFonts w:ascii="Traditional Arabic" w:eastAsiaTheme="minorHAnsi" w:hAnsi="Traditional Arabic" w:cs="Traditional Arabic"/>
          <w:b/>
          <w:sz w:val="30"/>
          <w:szCs w:val="30"/>
          <w14:ligatures w14:val="standardContextual"/>
        </w:rPr>
        <w:t xml:space="preserve">. </w:t>
      </w:r>
    </w:p>
    <w:p w14:paraId="704DD800" w14:textId="77777777" w:rsidR="00993BA4" w:rsidRPr="00993BA4" w:rsidRDefault="00993BA4" w:rsidP="00993BA4">
      <w:pPr>
        <w:pStyle w:val="BodyText1"/>
        <w:bidi/>
        <w:rPr>
          <w:rFonts w:ascii="Traditional Arabic" w:eastAsiaTheme="minorHAnsi" w:hAnsi="Traditional Arabic" w:cs="Traditional Arabic"/>
          <w:b/>
          <w:sz w:val="30"/>
          <w:szCs w:val="30"/>
          <w:rtl/>
          <w14:ligatures w14:val="standardContextual"/>
        </w:rPr>
      </w:pPr>
      <w:r w:rsidRPr="00993BA4">
        <w:rPr>
          <w:rFonts w:ascii="Traditional Arabic" w:eastAsiaTheme="minorHAnsi" w:hAnsi="Traditional Arabic" w:cs="Traditional Arabic"/>
          <w:b/>
          <w:sz w:val="30"/>
          <w:szCs w:val="30"/>
          <w:rtl/>
          <w14:ligatures w14:val="standardContextual"/>
        </w:rPr>
        <w:t>هذا، ويحكم القانون البحري علاقة العمل بين مالكي/مشغلي السفن والبحارة بالتفصيل، مما يضمن تحقيق العدالة والرفاهية في المعاملة. كما يحدد القانون المعايير والأسس التي يتعين الالتزام بها في عقود العمل، والواجبات، وظروف العمل، والتزامات مالكي/مشغلي السفن تجاه البحارة. بالإضافة إلى ذلك، يحدد القانون الشروط التي يمكن بموجبها إنهاء عقود العمل، ويحدد أيضا حقوق التعويض وحل النزاعات</w:t>
      </w:r>
      <w:r w:rsidRPr="00993BA4">
        <w:rPr>
          <w:rFonts w:ascii="Traditional Arabic" w:eastAsiaTheme="minorHAnsi" w:hAnsi="Traditional Arabic" w:cs="Traditional Arabic"/>
          <w:b/>
          <w:sz w:val="30"/>
          <w:szCs w:val="30"/>
          <w14:ligatures w14:val="standardContextual"/>
        </w:rPr>
        <w:t>.</w:t>
      </w:r>
    </w:p>
    <w:p w14:paraId="75646159" w14:textId="77777777" w:rsidR="00993BA4" w:rsidRPr="00993BA4" w:rsidRDefault="00993BA4" w:rsidP="00993BA4">
      <w:pPr>
        <w:pStyle w:val="BodyText1"/>
        <w:bidi/>
        <w:rPr>
          <w:rFonts w:ascii="Traditional Arabic" w:eastAsiaTheme="minorHAnsi" w:hAnsi="Traditional Arabic" w:cs="Traditional Arabic"/>
          <w:b/>
          <w:sz w:val="30"/>
          <w:szCs w:val="30"/>
          <w:rtl/>
          <w14:ligatures w14:val="standardContextual"/>
        </w:rPr>
      </w:pPr>
      <w:r w:rsidRPr="00993BA4">
        <w:rPr>
          <w:rFonts w:ascii="Traditional Arabic" w:eastAsiaTheme="minorHAnsi" w:hAnsi="Traditional Arabic" w:cs="Traditional Arabic"/>
          <w:b/>
          <w:sz w:val="30"/>
          <w:szCs w:val="30"/>
          <w:rtl/>
          <w14:ligatures w14:val="standardContextual"/>
        </w:rPr>
        <w:lastRenderedPageBreak/>
        <w:t>كما يحدد القانون البحري مسؤولية مالكي السفن والمشغلين والبحارة. ويمكن لمالكي السفن الحد من مسؤوليتهم عن الحوادث والتعويضات، إلا في حالات معينة، مثل الخطأ الشخصي أو التلوث. كما ينص القانون على أن المنازعات المتعلقة بالسفن المسجلة أو السفن الأجنبية في المياه العمانية تقع ضمن اختصاص المحاكم العمانية. وتلتزم الشركة بالامتثال لأحكام قيود المسؤولية بناءً على حمولة سفنها. بالإضافة إلى ذلك، ينص القانون على أنه يجب على الشركة التأكد من أن ربان السفينة يفي بواجباته، بما في ذلك إدارة السفينة، والإشراف على العقود، والالتزام بالتزامات الإبلاغ والسلامة</w:t>
      </w:r>
      <w:r w:rsidRPr="00993BA4">
        <w:rPr>
          <w:rFonts w:ascii="Traditional Arabic" w:eastAsiaTheme="minorHAnsi" w:hAnsi="Traditional Arabic" w:cs="Traditional Arabic"/>
          <w:b/>
          <w:sz w:val="30"/>
          <w:szCs w:val="30"/>
          <w14:ligatures w14:val="standardContextual"/>
        </w:rPr>
        <w:t>.</w:t>
      </w:r>
    </w:p>
    <w:p w14:paraId="26F77C29" w14:textId="77777777" w:rsidR="00993BA4" w:rsidRPr="00993BA4" w:rsidRDefault="00993BA4" w:rsidP="00993BA4">
      <w:pPr>
        <w:pStyle w:val="BodyText1"/>
        <w:bidi/>
        <w:rPr>
          <w:rFonts w:ascii="Traditional Arabic" w:eastAsiaTheme="minorHAnsi" w:hAnsi="Traditional Arabic" w:cs="Traditional Arabic"/>
          <w:b/>
          <w:sz w:val="30"/>
          <w:szCs w:val="30"/>
          <w:rtl/>
          <w14:ligatures w14:val="standardContextual"/>
        </w:rPr>
      </w:pPr>
      <w:r w:rsidRPr="00993BA4">
        <w:rPr>
          <w:rFonts w:ascii="Traditional Arabic" w:eastAsiaTheme="minorHAnsi" w:hAnsi="Traditional Arabic" w:cs="Traditional Arabic"/>
          <w:b/>
          <w:sz w:val="30"/>
          <w:szCs w:val="30"/>
          <w:rtl/>
          <w14:ligatures w14:val="standardContextual"/>
        </w:rPr>
        <w:t>وينظم القانون البحري إجراءات الرهن والامتيازات والحجز على السفن لتأمين الديون البحرية. وهو يحدد الامتيازات البحرية التي تعطي الأولوية للديون المتعلقة بأجور الربان والطاقم، والإنقاذ، والعوارية العامة، والتصادم. يجب على الشركة التأكد من التعامل مع المطالبات المتعلقة بالخسارة أو الضرر الذي يتكبده الركاب وأمتعتهم بشكل صحيح خلال فترة التقادم البالغة 180 يومًا. علاوة على ذلك، يجب على الشركة الحصول على موافقة المرتهن قبل بيع أي سفينة، ويجب تسجيل جميع رهون السفن وإنفاذها وفكها وفقًا للإجراءات القانونية</w:t>
      </w:r>
      <w:r w:rsidRPr="00993BA4">
        <w:rPr>
          <w:rFonts w:ascii="Traditional Arabic" w:eastAsiaTheme="minorHAnsi" w:hAnsi="Traditional Arabic" w:cs="Traditional Arabic"/>
          <w:b/>
          <w:sz w:val="30"/>
          <w:szCs w:val="30"/>
          <w14:ligatures w14:val="standardContextual"/>
        </w:rPr>
        <w:t>.</w:t>
      </w:r>
    </w:p>
    <w:p w14:paraId="7F62E8DD" w14:textId="77777777" w:rsidR="00993BA4" w:rsidRPr="00993BA4" w:rsidRDefault="00993BA4" w:rsidP="00993BA4">
      <w:pPr>
        <w:pStyle w:val="BodyText1"/>
        <w:bidi/>
        <w:rPr>
          <w:rFonts w:ascii="Traditional Arabic" w:eastAsiaTheme="minorHAnsi" w:hAnsi="Traditional Arabic" w:cs="Traditional Arabic"/>
          <w:b/>
          <w:sz w:val="30"/>
          <w:szCs w:val="30"/>
          <w:rtl/>
          <w14:ligatures w14:val="standardContextual"/>
        </w:rPr>
      </w:pPr>
      <w:r w:rsidRPr="00993BA4">
        <w:rPr>
          <w:rFonts w:ascii="Traditional Arabic" w:eastAsiaTheme="minorHAnsi" w:hAnsi="Traditional Arabic" w:cs="Traditional Arabic"/>
          <w:b/>
          <w:sz w:val="30"/>
          <w:szCs w:val="30"/>
          <w:rtl/>
          <w14:ligatures w14:val="standardContextual"/>
        </w:rPr>
        <w:t>كما ينص القانون البحري على إلزام الشركة بتعيين وكلاء السفن ووكلاء الحمولة ووكلاء الشحن. وما لم يتم الاتفاق على خلاف ذلك، تخضع العقود مع هؤلاء الوكلاء لقانون دولة الميناء التي يتم فيها تنفيذ العقود. وتكون الشركة مسؤولة عن تحديد دور كل وكيل بشكل واضح، وأن يكون ذلك متوافقًا مع المتطلبات القانونية</w:t>
      </w:r>
      <w:r w:rsidRPr="00993BA4">
        <w:rPr>
          <w:rFonts w:ascii="Traditional Arabic" w:eastAsiaTheme="minorHAnsi" w:hAnsi="Traditional Arabic" w:cs="Traditional Arabic"/>
          <w:b/>
          <w:sz w:val="30"/>
          <w:szCs w:val="30"/>
          <w14:ligatures w14:val="standardContextual"/>
        </w:rPr>
        <w:t>.</w:t>
      </w:r>
    </w:p>
    <w:p w14:paraId="108C5A6D" w14:textId="77777777" w:rsidR="00993BA4" w:rsidRPr="006F609C" w:rsidRDefault="00993BA4" w:rsidP="00993BA4">
      <w:pPr>
        <w:pStyle w:val="BodyText1"/>
        <w:bidi/>
        <w:rPr>
          <w:rFonts w:ascii="Traditional Arabic" w:eastAsiaTheme="minorHAnsi" w:hAnsi="Traditional Arabic" w:cs="Traditional Arabic"/>
          <w:bCs/>
          <w:sz w:val="30"/>
          <w:szCs w:val="30"/>
          <w:rtl/>
          <w14:ligatures w14:val="standardContextual"/>
        </w:rPr>
      </w:pPr>
      <w:r w:rsidRPr="006F609C">
        <w:rPr>
          <w:rFonts w:ascii="Traditional Arabic" w:eastAsiaTheme="minorHAnsi" w:hAnsi="Traditional Arabic" w:cs="Traditional Arabic"/>
          <w:bCs/>
          <w:sz w:val="30"/>
          <w:szCs w:val="30"/>
          <w:rtl/>
          <w14:ligatures w14:val="standardContextual"/>
        </w:rPr>
        <w:t>التلوث والصحة والسلامة</w:t>
      </w:r>
    </w:p>
    <w:p w14:paraId="7375D00D" w14:textId="77777777" w:rsidR="00993BA4" w:rsidRPr="00993BA4" w:rsidRDefault="00993BA4" w:rsidP="00993BA4">
      <w:pPr>
        <w:pStyle w:val="BodyText1"/>
        <w:bidi/>
        <w:rPr>
          <w:rFonts w:ascii="Traditional Arabic" w:eastAsiaTheme="minorHAnsi" w:hAnsi="Traditional Arabic" w:cs="Traditional Arabic"/>
          <w:b/>
          <w:sz w:val="30"/>
          <w:szCs w:val="30"/>
          <w:rtl/>
          <w14:ligatures w14:val="standardContextual"/>
        </w:rPr>
      </w:pPr>
      <w:r w:rsidRPr="00993BA4">
        <w:rPr>
          <w:rFonts w:ascii="Traditional Arabic" w:eastAsiaTheme="minorHAnsi" w:hAnsi="Traditional Arabic" w:cs="Traditional Arabic"/>
          <w:b/>
          <w:sz w:val="30"/>
          <w:szCs w:val="30"/>
          <w:rtl/>
          <w14:ligatures w14:val="standardContextual"/>
        </w:rPr>
        <w:t>صدر المرسوم السلطاني رقم 34/1974 قانون مراقبة التلويث البحري</w:t>
      </w:r>
      <w:r w:rsidR="006F609C">
        <w:rPr>
          <w:rFonts w:ascii="Traditional Arabic" w:eastAsiaTheme="minorHAnsi" w:hAnsi="Traditional Arabic" w:cs="Traditional Arabic" w:hint="cs"/>
          <w:b/>
          <w:sz w:val="30"/>
          <w:szCs w:val="30"/>
          <w:rtl/>
          <w14:ligatures w14:val="standardContextual"/>
        </w:rPr>
        <w:t>، حيث</w:t>
      </w:r>
      <w:r w:rsidRPr="00993BA4">
        <w:rPr>
          <w:rFonts w:ascii="Traditional Arabic" w:eastAsiaTheme="minorHAnsi" w:hAnsi="Traditional Arabic" w:cs="Traditional Arabic"/>
          <w:b/>
          <w:sz w:val="30"/>
          <w:szCs w:val="30"/>
          <w:rtl/>
          <w14:ligatures w14:val="standardContextual"/>
        </w:rPr>
        <w:t xml:space="preserve"> حدد المنطقة المحيطة بسلطنة عمان كمنطقة خالية من التلوث، كما حظر على أي سفينة تفريغ أي ملوثات في المنطقة الخالية من التلوث</w:t>
      </w:r>
      <w:r w:rsidRPr="00993BA4">
        <w:rPr>
          <w:rFonts w:ascii="Traditional Arabic" w:eastAsiaTheme="minorHAnsi" w:hAnsi="Traditional Arabic" w:cs="Traditional Arabic"/>
          <w:b/>
          <w:sz w:val="30"/>
          <w:szCs w:val="30"/>
          <w14:ligatures w14:val="standardContextual"/>
        </w:rPr>
        <w:t>.</w:t>
      </w:r>
    </w:p>
    <w:p w14:paraId="09BB755E" w14:textId="77777777" w:rsidR="00993BA4" w:rsidRPr="00993BA4" w:rsidRDefault="006F609C" w:rsidP="00993BA4">
      <w:pPr>
        <w:pStyle w:val="BodyText1"/>
        <w:bidi/>
        <w:rPr>
          <w:rFonts w:ascii="Traditional Arabic" w:eastAsiaTheme="minorHAnsi" w:hAnsi="Traditional Arabic" w:cs="Traditional Arabic"/>
          <w:b/>
          <w:sz w:val="30"/>
          <w:szCs w:val="30"/>
          <w:rtl/>
          <w14:ligatures w14:val="standardContextual"/>
        </w:rPr>
      </w:pPr>
      <w:r>
        <w:rPr>
          <w:rFonts w:ascii="Traditional Arabic" w:eastAsiaTheme="minorHAnsi" w:hAnsi="Traditional Arabic" w:cs="Traditional Arabic" w:hint="cs"/>
          <w:b/>
          <w:sz w:val="30"/>
          <w:szCs w:val="30"/>
          <w:rtl/>
          <w14:ligatures w14:val="standardContextual"/>
        </w:rPr>
        <w:t>وقد ألزم</w:t>
      </w:r>
      <w:r w:rsidR="00993BA4" w:rsidRPr="00993BA4">
        <w:rPr>
          <w:rFonts w:ascii="Traditional Arabic" w:eastAsiaTheme="minorHAnsi" w:hAnsi="Traditional Arabic" w:cs="Traditional Arabic"/>
          <w:b/>
          <w:sz w:val="30"/>
          <w:szCs w:val="30"/>
          <w:rtl/>
          <w14:ligatures w14:val="standardContextual"/>
        </w:rPr>
        <w:t xml:space="preserve"> قانون مراقبة التلويث البحري الشركة بالالتزام بتدابير صارمة لمكافحة التلوث، وضمان عدم تصريف الملوثات، بما في ذلك النفط أو المواد الخطرة أو المواد الضارة الأخرى، داخل المنطقة الخالية من التلوث أو أي مياه محيطة بها. هذا، ويتعين على الشركة تنفيذ العمليات التي تمنع أي انسكاب أو تسرب أو إغراق للملوثات من سفنها أو مواقعها البرية أو معدات نقل النفط</w:t>
      </w:r>
      <w:r w:rsidR="00993BA4" w:rsidRPr="00993BA4">
        <w:rPr>
          <w:rFonts w:ascii="Traditional Arabic" w:eastAsiaTheme="minorHAnsi" w:hAnsi="Traditional Arabic" w:cs="Traditional Arabic"/>
          <w:b/>
          <w:sz w:val="30"/>
          <w:szCs w:val="30"/>
          <w14:ligatures w14:val="standardContextual"/>
        </w:rPr>
        <w:t xml:space="preserve">. </w:t>
      </w:r>
    </w:p>
    <w:p w14:paraId="77924753" w14:textId="77777777" w:rsidR="00993BA4" w:rsidRPr="006F609C" w:rsidRDefault="00993BA4" w:rsidP="00993BA4">
      <w:pPr>
        <w:pStyle w:val="BodyText1"/>
        <w:bidi/>
        <w:rPr>
          <w:rFonts w:ascii="Traditional Arabic" w:eastAsiaTheme="minorHAnsi" w:hAnsi="Traditional Arabic" w:cs="Traditional Arabic"/>
          <w:bCs/>
          <w:sz w:val="30"/>
          <w:szCs w:val="30"/>
          <w:rtl/>
          <w14:ligatures w14:val="standardContextual"/>
        </w:rPr>
      </w:pPr>
      <w:r w:rsidRPr="006F609C">
        <w:rPr>
          <w:rFonts w:ascii="Traditional Arabic" w:eastAsiaTheme="minorHAnsi" w:hAnsi="Traditional Arabic" w:cs="Traditional Arabic"/>
          <w:bCs/>
          <w:sz w:val="30"/>
          <w:szCs w:val="30"/>
          <w:rtl/>
          <w14:ligatures w14:val="standardContextual"/>
        </w:rPr>
        <w:t>قانون العمل العماني</w:t>
      </w:r>
    </w:p>
    <w:p w14:paraId="41C7337D" w14:textId="77777777" w:rsidR="00993BA4" w:rsidRPr="00993BA4" w:rsidRDefault="00993BA4" w:rsidP="00993BA4">
      <w:pPr>
        <w:pStyle w:val="BodyText1"/>
        <w:bidi/>
        <w:rPr>
          <w:rFonts w:ascii="Traditional Arabic" w:eastAsiaTheme="minorHAnsi" w:hAnsi="Traditional Arabic" w:cs="Traditional Arabic"/>
          <w:b/>
          <w:sz w:val="30"/>
          <w:szCs w:val="30"/>
          <w:rtl/>
          <w14:ligatures w14:val="standardContextual"/>
        </w:rPr>
      </w:pPr>
      <w:r w:rsidRPr="00993BA4">
        <w:rPr>
          <w:rFonts w:ascii="Traditional Arabic" w:eastAsiaTheme="minorHAnsi" w:hAnsi="Traditional Arabic" w:cs="Traditional Arabic"/>
          <w:b/>
          <w:sz w:val="30"/>
          <w:szCs w:val="30"/>
          <w:rtl/>
          <w14:ligatures w14:val="standardContextual"/>
        </w:rPr>
        <w:t>صدر قانون العمل بالمرسوم السلطاني رقم 53/2023، وقد حدد التزامات كل من الموظفين وأصحاب العمل، ويشمل المواطنين العمانيين والأجانب في القطاعين العام والخاص. كما تناول مسائل تشمل، على سبيل المثال لا الحصر، ساعات العمل، والصحة والسلامة، وتوظيف غير العمانيين، والصحة والسلامة المهنية، والنزاعات العمالية، والنقابات العمالية، والعقوبات المفروضة على عدم الامتثال. ونظرًا لأن الشركة تحتفظ بمكاتبها الرئيسية في سلطنة عمان بالإضافة إلى وجود العديد من الموظفين بخلاف البحارة على متن السفن، فيجب عليها أيضًا الامتثال لقانون العمل</w:t>
      </w:r>
      <w:r w:rsidRPr="00993BA4">
        <w:rPr>
          <w:rFonts w:ascii="Traditional Arabic" w:eastAsiaTheme="minorHAnsi" w:hAnsi="Traditional Arabic" w:cs="Traditional Arabic"/>
          <w:b/>
          <w:sz w:val="30"/>
          <w:szCs w:val="30"/>
          <w14:ligatures w14:val="standardContextual"/>
        </w:rPr>
        <w:t>.</w:t>
      </w:r>
    </w:p>
    <w:p w14:paraId="120F1176" w14:textId="77777777" w:rsidR="00993BA4" w:rsidRPr="006F609C" w:rsidRDefault="00993BA4" w:rsidP="00993BA4">
      <w:pPr>
        <w:pStyle w:val="BodyText1"/>
        <w:bidi/>
        <w:rPr>
          <w:rFonts w:ascii="Traditional Arabic" w:eastAsiaTheme="minorHAnsi" w:hAnsi="Traditional Arabic" w:cs="Traditional Arabic"/>
          <w:bCs/>
          <w:sz w:val="30"/>
          <w:szCs w:val="30"/>
          <w:rtl/>
          <w14:ligatures w14:val="standardContextual"/>
        </w:rPr>
      </w:pPr>
      <w:r w:rsidRPr="006F609C">
        <w:rPr>
          <w:rFonts w:ascii="Traditional Arabic" w:eastAsiaTheme="minorHAnsi" w:hAnsi="Traditional Arabic" w:cs="Traditional Arabic"/>
          <w:bCs/>
          <w:sz w:val="30"/>
          <w:szCs w:val="30"/>
          <w:rtl/>
          <w14:ligatures w14:val="standardContextual"/>
        </w:rPr>
        <w:lastRenderedPageBreak/>
        <w:t>التعمين</w:t>
      </w:r>
      <w:r w:rsidRPr="006F609C">
        <w:rPr>
          <w:rFonts w:ascii="Traditional Arabic" w:eastAsiaTheme="minorHAnsi" w:hAnsi="Traditional Arabic" w:cs="Traditional Arabic"/>
          <w:bCs/>
          <w:sz w:val="30"/>
          <w:szCs w:val="30"/>
          <w14:ligatures w14:val="standardContextual"/>
        </w:rPr>
        <w:t xml:space="preserve"> </w:t>
      </w:r>
    </w:p>
    <w:p w14:paraId="671DA78B" w14:textId="77777777" w:rsidR="00CA12B3" w:rsidRDefault="00993BA4" w:rsidP="00993BA4">
      <w:pPr>
        <w:pStyle w:val="BodyText1"/>
        <w:bidi/>
        <w:rPr>
          <w:rFonts w:ascii="Traditional Arabic" w:eastAsiaTheme="minorHAnsi" w:hAnsi="Traditional Arabic" w:cs="Traditional Arabic"/>
          <w:b/>
          <w:sz w:val="30"/>
          <w:szCs w:val="30"/>
          <w14:ligatures w14:val="standardContextual"/>
        </w:rPr>
      </w:pPr>
      <w:r w:rsidRPr="00993BA4">
        <w:rPr>
          <w:rFonts w:ascii="Traditional Arabic" w:eastAsiaTheme="minorHAnsi" w:hAnsi="Traditional Arabic" w:cs="Traditional Arabic"/>
          <w:b/>
          <w:sz w:val="30"/>
          <w:szCs w:val="30"/>
          <w:rtl/>
          <w14:ligatures w14:val="standardContextual"/>
        </w:rPr>
        <w:t xml:space="preserve">تعمل سلطنة عمان بسياسة التعمين حسب تنفيذ وزارة العمل. حيث يتطلب التعمين من الشركات العمانية التأكد من أن المواطنين العمانيين يمثلون نسبة محددة من القوى العاملة لديها. وتحدد وزارة العمل نسبة التعمين وفقًا للقطاع الذي تعمل فيه الشركة ويمكن أن تكون أهداف التعمين محددة لكل شركة. كما تقوم وزارة العمل بشكل منتظم بالإعلان عن بعض الأدوار والوظائف التي يُحظر على غير العمانيين شغلها. </w:t>
      </w:r>
    </w:p>
    <w:p w14:paraId="77B16ADE" w14:textId="77777777" w:rsidR="00896180" w:rsidRDefault="00896180" w:rsidP="00896180">
      <w:pPr>
        <w:pStyle w:val="BodyText1"/>
        <w:bidi/>
        <w:rPr>
          <w:rFonts w:ascii="Traditional Arabic" w:eastAsiaTheme="minorHAnsi" w:hAnsi="Traditional Arabic" w:cs="Traditional Arabic"/>
          <w:b/>
          <w:sz w:val="30"/>
          <w:szCs w:val="30"/>
          <w:rtl/>
          <w14:ligatures w14:val="standardContextual"/>
        </w:rPr>
      </w:pPr>
      <w:r w:rsidRPr="00896180">
        <w:rPr>
          <w:rFonts w:ascii="Traditional Arabic" w:eastAsiaTheme="minorHAnsi" w:hAnsi="Traditional Arabic" w:cs="Traditional Arabic"/>
          <w:b/>
          <w:sz w:val="30"/>
          <w:szCs w:val="30"/>
          <w:rtl/>
          <w14:ligatures w14:val="standardContextual"/>
        </w:rPr>
        <w:t>يجب على الشركة الحفاظ على معدل تعمين إجمالي بنسبة 80%. بالإضافة إلى ذلك، يجب</w:t>
      </w:r>
      <w:r w:rsidR="003A20CE">
        <w:rPr>
          <w:rFonts w:ascii="Traditional Arabic" w:eastAsiaTheme="minorHAnsi" w:hAnsi="Traditional Arabic" w:cs="Traditional Arabic" w:hint="cs"/>
          <w:b/>
          <w:sz w:val="30"/>
          <w:szCs w:val="30"/>
          <w:rtl/>
          <w14:ligatures w14:val="standardContextual"/>
        </w:rPr>
        <w:t xml:space="preserve"> على الشركة</w:t>
      </w:r>
      <w:r w:rsidRPr="00896180">
        <w:rPr>
          <w:rFonts w:ascii="Traditional Arabic" w:eastAsiaTheme="minorHAnsi" w:hAnsi="Traditional Arabic" w:cs="Traditional Arabic"/>
          <w:b/>
          <w:sz w:val="30"/>
          <w:szCs w:val="30"/>
          <w:rtl/>
          <w14:ligatures w14:val="standardContextual"/>
        </w:rPr>
        <w:t xml:space="preserve"> </w:t>
      </w:r>
      <w:r w:rsidR="003A20CE" w:rsidRPr="00896180">
        <w:rPr>
          <w:rFonts w:ascii="Traditional Arabic" w:eastAsiaTheme="minorHAnsi" w:hAnsi="Traditional Arabic" w:cs="Traditional Arabic"/>
          <w:b/>
          <w:sz w:val="30"/>
          <w:szCs w:val="30"/>
          <w:rtl/>
          <w14:ligatures w14:val="standardContextual"/>
        </w:rPr>
        <w:t xml:space="preserve">الحفاظ على معدل تعمين بنسبة 100%. </w:t>
      </w:r>
      <w:r w:rsidR="003A20CE">
        <w:rPr>
          <w:rFonts w:ascii="Traditional Arabic" w:eastAsiaTheme="minorHAnsi" w:hAnsi="Traditional Arabic" w:cs="Traditional Arabic" w:hint="cs"/>
          <w:b/>
          <w:sz w:val="30"/>
          <w:szCs w:val="30"/>
          <w:rtl/>
          <w14:ligatures w14:val="standardContextual"/>
        </w:rPr>
        <w:t>بالنسبة</w:t>
      </w:r>
      <w:r w:rsidRPr="00896180">
        <w:rPr>
          <w:rFonts w:ascii="Traditional Arabic" w:eastAsiaTheme="minorHAnsi" w:hAnsi="Traditional Arabic" w:cs="Traditional Arabic"/>
          <w:b/>
          <w:sz w:val="30"/>
          <w:szCs w:val="30"/>
          <w:rtl/>
          <w14:ligatures w14:val="standardContextual"/>
        </w:rPr>
        <w:t xml:space="preserve"> </w:t>
      </w:r>
      <w:r w:rsidR="003A20CE">
        <w:rPr>
          <w:rFonts w:ascii="Traditional Arabic" w:eastAsiaTheme="minorHAnsi" w:hAnsi="Traditional Arabic" w:cs="Traditional Arabic" w:hint="cs"/>
          <w:b/>
          <w:sz w:val="30"/>
          <w:szCs w:val="30"/>
          <w:rtl/>
          <w14:ligatures w14:val="standardContextual"/>
        </w:rPr>
        <w:t>ل</w:t>
      </w:r>
      <w:r w:rsidRPr="00896180">
        <w:rPr>
          <w:rFonts w:ascii="Traditional Arabic" w:eastAsiaTheme="minorHAnsi" w:hAnsi="Traditional Arabic" w:cs="Traditional Arabic"/>
          <w:b/>
          <w:sz w:val="30"/>
          <w:szCs w:val="30"/>
          <w:rtl/>
          <w14:ligatures w14:val="standardContextual"/>
        </w:rPr>
        <w:t>بعض الأدوار داخل الشركة، مثل الإدارة والموارد البشرية</w:t>
      </w:r>
      <w:r w:rsidR="00DB4A9E">
        <w:rPr>
          <w:rFonts w:ascii="Traditional Arabic" w:eastAsiaTheme="minorHAnsi" w:hAnsi="Traditional Arabic" w:cs="Traditional Arabic" w:hint="cs"/>
          <w:b/>
          <w:sz w:val="30"/>
          <w:szCs w:val="30"/>
          <w:rtl/>
          <w14:ligatures w14:val="standardContextual"/>
        </w:rPr>
        <w:t>.</w:t>
      </w:r>
      <w:r w:rsidRPr="00896180">
        <w:rPr>
          <w:rFonts w:ascii="Traditional Arabic" w:eastAsiaTheme="minorHAnsi" w:hAnsi="Traditional Arabic" w:cs="Traditional Arabic"/>
          <w:b/>
          <w:sz w:val="30"/>
          <w:szCs w:val="30"/>
          <w:rtl/>
          <w14:ligatures w14:val="standardContextual"/>
        </w:rPr>
        <w:t xml:space="preserve"> حافظت الشركة على معدل تعمين </w:t>
      </w:r>
      <w:r w:rsidR="00F25A88">
        <w:rPr>
          <w:rFonts w:ascii="Traditional Arabic" w:eastAsiaTheme="minorHAnsi" w:hAnsi="Traditional Arabic" w:cs="Traditional Arabic" w:hint="cs"/>
          <w:b/>
          <w:sz w:val="30"/>
          <w:szCs w:val="30"/>
          <w:rtl/>
          <w14:ligatures w14:val="standardContextual"/>
        </w:rPr>
        <w:t>إجمالي</w:t>
      </w:r>
      <w:r w:rsidR="000171D8">
        <w:rPr>
          <w:rFonts w:ascii="Traditional Arabic" w:eastAsiaTheme="minorHAnsi" w:hAnsi="Traditional Arabic" w:cs="Traditional Arabic" w:hint="cs"/>
          <w:b/>
          <w:sz w:val="30"/>
          <w:szCs w:val="30"/>
          <w:rtl/>
          <w14:ligatures w14:val="standardContextual"/>
        </w:rPr>
        <w:t xml:space="preserve"> </w:t>
      </w:r>
      <w:r w:rsidRPr="00896180">
        <w:rPr>
          <w:rFonts w:ascii="Traditional Arabic" w:eastAsiaTheme="minorHAnsi" w:hAnsi="Traditional Arabic" w:cs="Traditional Arabic"/>
          <w:b/>
          <w:sz w:val="30"/>
          <w:szCs w:val="30"/>
          <w:rtl/>
          <w14:ligatures w14:val="standardContextual"/>
        </w:rPr>
        <w:t>يزيد عن 86% لكل من السنوات المنتهية في 31 ديسمبر 2021 و2022 و2023.</w:t>
      </w:r>
    </w:p>
    <w:p w14:paraId="6C5DABA6" w14:textId="77777777" w:rsidR="00F63572" w:rsidRPr="00985281" w:rsidRDefault="00F63572" w:rsidP="00985281">
      <w:pPr>
        <w:pStyle w:val="BodyText1"/>
        <w:bidi/>
        <w:rPr>
          <w:rFonts w:ascii="Traditional Arabic" w:eastAsiaTheme="minorHAnsi" w:hAnsi="Traditional Arabic" w:cs="Traditional Arabic"/>
          <w:bCs/>
          <w:sz w:val="30"/>
          <w:szCs w:val="30"/>
          <w:rtl/>
          <w14:ligatures w14:val="standardContextual"/>
        </w:rPr>
      </w:pPr>
      <w:r w:rsidRPr="00985281">
        <w:rPr>
          <w:rFonts w:ascii="Traditional Arabic" w:eastAsiaTheme="minorHAnsi" w:hAnsi="Traditional Arabic" w:cs="Traditional Arabic"/>
          <w:bCs/>
          <w:sz w:val="30"/>
          <w:szCs w:val="30"/>
          <w:rtl/>
          <w14:ligatures w14:val="standardContextual"/>
        </w:rPr>
        <w:t>القانون الدولي</w:t>
      </w:r>
    </w:p>
    <w:p w14:paraId="608EF9D0" w14:textId="77777777" w:rsidR="00F63572" w:rsidRPr="00F63572" w:rsidRDefault="00F63572" w:rsidP="00985281">
      <w:pPr>
        <w:pStyle w:val="BodyText1"/>
        <w:bidi/>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rtl/>
          <w14:ligatures w14:val="standardContextual"/>
        </w:rPr>
        <w:t>يتعين على شركات الشحن الامتثال لمختلف الأطر الدولية المصممة لضمان السلامة البحرية والاستدامة البيئية ورفاهية البحارة. وهذه الأشياء تشمل ما يلي</w:t>
      </w:r>
      <w:r w:rsidRPr="00F63572">
        <w:rPr>
          <w:rFonts w:ascii="Traditional Arabic" w:eastAsiaTheme="minorHAnsi" w:hAnsi="Traditional Arabic" w:cs="Traditional Arabic"/>
          <w:b/>
          <w:sz w:val="30"/>
          <w:szCs w:val="30"/>
          <w14:ligatures w14:val="standardContextual"/>
        </w:rPr>
        <w:t>:</w:t>
      </w:r>
    </w:p>
    <w:p w14:paraId="681279CD" w14:textId="77777777" w:rsidR="00F63572" w:rsidRPr="00F63572" w:rsidRDefault="00F63572" w:rsidP="00985281">
      <w:pPr>
        <w:pStyle w:val="BodyText1"/>
        <w:bidi/>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14:ligatures w14:val="standardContextual"/>
        </w:rPr>
        <w:t>•</w:t>
      </w:r>
      <w:r w:rsidRPr="00F63572">
        <w:rPr>
          <w:rFonts w:ascii="Traditional Arabic" w:eastAsiaTheme="minorHAnsi" w:hAnsi="Traditional Arabic" w:cs="Traditional Arabic"/>
          <w:b/>
          <w:sz w:val="30"/>
          <w:szCs w:val="30"/>
          <w14:ligatures w14:val="standardContextual"/>
        </w:rPr>
        <w:tab/>
      </w:r>
      <w:r w:rsidRPr="00985281">
        <w:rPr>
          <w:rFonts w:ascii="Traditional Arabic" w:eastAsiaTheme="minorHAnsi" w:hAnsi="Traditional Arabic" w:cs="Traditional Arabic"/>
          <w:bCs/>
          <w:sz w:val="30"/>
          <w:szCs w:val="30"/>
          <w:rtl/>
          <w14:ligatures w14:val="standardContextual"/>
        </w:rPr>
        <w:t>اتفاقية الأمم المتحدة لقانون البحار</w:t>
      </w:r>
      <w:r w:rsidRPr="00F63572">
        <w:rPr>
          <w:rFonts w:ascii="Traditional Arabic" w:eastAsiaTheme="minorHAnsi" w:hAnsi="Traditional Arabic" w:cs="Traditional Arabic"/>
          <w:b/>
          <w:sz w:val="30"/>
          <w:szCs w:val="30"/>
          <w:rtl/>
          <w14:ligatures w14:val="standardContextual"/>
        </w:rPr>
        <w:t>: توفر إطارًا قانونيًا للملاحة ومكافحة التلوث والحدود القضائية في المياه الدولية</w:t>
      </w:r>
      <w:r w:rsidRPr="00F63572">
        <w:rPr>
          <w:rFonts w:ascii="Traditional Arabic" w:eastAsiaTheme="minorHAnsi" w:hAnsi="Traditional Arabic" w:cs="Traditional Arabic"/>
          <w:b/>
          <w:sz w:val="30"/>
          <w:szCs w:val="30"/>
          <w14:ligatures w14:val="standardContextual"/>
        </w:rPr>
        <w:t>.</w:t>
      </w:r>
    </w:p>
    <w:p w14:paraId="27D79420" w14:textId="77777777" w:rsidR="00F63572" w:rsidRPr="00F63572" w:rsidRDefault="00F63572" w:rsidP="00985281">
      <w:pPr>
        <w:pStyle w:val="BodyText1"/>
        <w:bidi/>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14:ligatures w14:val="standardContextual"/>
        </w:rPr>
        <w:t>•</w:t>
      </w:r>
      <w:r w:rsidRPr="00F63572">
        <w:rPr>
          <w:rFonts w:ascii="Traditional Arabic" w:eastAsiaTheme="minorHAnsi" w:hAnsi="Traditional Arabic" w:cs="Traditional Arabic"/>
          <w:b/>
          <w:sz w:val="30"/>
          <w:szCs w:val="30"/>
          <w14:ligatures w14:val="standardContextual"/>
        </w:rPr>
        <w:tab/>
      </w:r>
      <w:r w:rsidRPr="00985281">
        <w:rPr>
          <w:rFonts w:ascii="Traditional Arabic" w:eastAsiaTheme="minorHAnsi" w:hAnsi="Traditional Arabic" w:cs="Traditional Arabic"/>
          <w:bCs/>
          <w:sz w:val="30"/>
          <w:szCs w:val="30"/>
          <w:rtl/>
          <w14:ligatures w14:val="standardContextual"/>
        </w:rPr>
        <w:t>اتفاقيات المنظمة البحرية الدولية</w:t>
      </w:r>
      <w:r w:rsidRPr="00985281">
        <w:rPr>
          <w:rFonts w:ascii="Traditional Arabic" w:eastAsiaTheme="minorHAnsi" w:hAnsi="Traditional Arabic" w:cs="Traditional Arabic"/>
          <w:bCs/>
          <w:sz w:val="30"/>
          <w:szCs w:val="30"/>
          <w14:ligatures w14:val="standardContextual"/>
        </w:rPr>
        <w:t>:</w:t>
      </w:r>
    </w:p>
    <w:p w14:paraId="145A639F" w14:textId="77777777" w:rsidR="00F63572" w:rsidRPr="00F63572" w:rsidRDefault="00F63572" w:rsidP="00272B36">
      <w:pPr>
        <w:pStyle w:val="BodyText1"/>
        <w:bidi/>
        <w:ind w:left="571"/>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14:ligatures w14:val="standardContextual"/>
        </w:rPr>
        <w:t>o</w:t>
      </w:r>
      <w:r w:rsidRPr="00F63572">
        <w:rPr>
          <w:rFonts w:ascii="Traditional Arabic" w:eastAsiaTheme="minorHAnsi" w:hAnsi="Traditional Arabic" w:cs="Traditional Arabic"/>
          <w:b/>
          <w:sz w:val="30"/>
          <w:szCs w:val="30"/>
          <w14:ligatures w14:val="standardContextual"/>
        </w:rPr>
        <w:tab/>
      </w:r>
      <w:r w:rsidRPr="00F63572">
        <w:rPr>
          <w:rFonts w:ascii="Traditional Arabic" w:eastAsiaTheme="minorHAnsi" w:hAnsi="Traditional Arabic" w:cs="Traditional Arabic"/>
          <w:b/>
          <w:sz w:val="30"/>
          <w:szCs w:val="30"/>
          <w:rtl/>
          <w14:ligatures w14:val="standardContextual"/>
        </w:rPr>
        <w:t>سلامة الأرواح في البحر: تضمن السلامة أثناء بناء السفن ومعداتها وعملياتها</w:t>
      </w:r>
      <w:r w:rsidRPr="00F63572">
        <w:rPr>
          <w:rFonts w:ascii="Traditional Arabic" w:eastAsiaTheme="minorHAnsi" w:hAnsi="Traditional Arabic" w:cs="Traditional Arabic"/>
          <w:b/>
          <w:sz w:val="30"/>
          <w:szCs w:val="30"/>
          <w14:ligatures w14:val="standardContextual"/>
        </w:rPr>
        <w:t>.</w:t>
      </w:r>
    </w:p>
    <w:p w14:paraId="6AAC95FD" w14:textId="77777777" w:rsidR="00F63572" w:rsidRPr="00F63572" w:rsidRDefault="00F63572" w:rsidP="00272B36">
      <w:pPr>
        <w:pStyle w:val="BodyText1"/>
        <w:bidi/>
        <w:ind w:left="571"/>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14:ligatures w14:val="standardContextual"/>
        </w:rPr>
        <w:t>o</w:t>
      </w:r>
      <w:r w:rsidRPr="00F63572">
        <w:rPr>
          <w:rFonts w:ascii="Traditional Arabic" w:eastAsiaTheme="minorHAnsi" w:hAnsi="Traditional Arabic" w:cs="Traditional Arabic"/>
          <w:b/>
          <w:sz w:val="30"/>
          <w:szCs w:val="30"/>
          <w14:ligatures w14:val="standardContextual"/>
        </w:rPr>
        <w:tab/>
      </w:r>
      <w:r w:rsidRPr="00F63572">
        <w:rPr>
          <w:rFonts w:ascii="Traditional Arabic" w:eastAsiaTheme="minorHAnsi" w:hAnsi="Traditional Arabic" w:cs="Traditional Arabic"/>
          <w:b/>
          <w:sz w:val="30"/>
          <w:szCs w:val="30"/>
          <w:rtl/>
          <w14:ligatures w14:val="standardContextual"/>
        </w:rPr>
        <w:t>ماربول (التلوث البحري): ينظم منع التلوث، بما في ذلك الانبعاثات وتصريف النفايات</w:t>
      </w:r>
      <w:r w:rsidRPr="00F63572">
        <w:rPr>
          <w:rFonts w:ascii="Traditional Arabic" w:eastAsiaTheme="minorHAnsi" w:hAnsi="Traditional Arabic" w:cs="Traditional Arabic"/>
          <w:b/>
          <w:sz w:val="30"/>
          <w:szCs w:val="30"/>
          <w14:ligatures w14:val="standardContextual"/>
        </w:rPr>
        <w:t>.</w:t>
      </w:r>
    </w:p>
    <w:p w14:paraId="7A02F2D5" w14:textId="77777777" w:rsidR="00F63572" w:rsidRPr="00F63572" w:rsidRDefault="00F63572" w:rsidP="00272B36">
      <w:pPr>
        <w:pStyle w:val="BodyText1"/>
        <w:bidi/>
        <w:ind w:left="571"/>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14:ligatures w14:val="standardContextual"/>
        </w:rPr>
        <w:t>o</w:t>
      </w:r>
      <w:r w:rsidRPr="00F63572">
        <w:rPr>
          <w:rFonts w:ascii="Traditional Arabic" w:eastAsiaTheme="minorHAnsi" w:hAnsi="Traditional Arabic" w:cs="Traditional Arabic"/>
          <w:b/>
          <w:sz w:val="30"/>
          <w:szCs w:val="30"/>
          <w14:ligatures w14:val="standardContextual"/>
        </w:rPr>
        <w:tab/>
      </w:r>
      <w:r w:rsidRPr="00F63572">
        <w:rPr>
          <w:rFonts w:ascii="Traditional Arabic" w:eastAsiaTheme="minorHAnsi" w:hAnsi="Traditional Arabic" w:cs="Traditional Arabic"/>
          <w:b/>
          <w:sz w:val="30"/>
          <w:szCs w:val="30"/>
          <w:rtl/>
          <w14:ligatures w14:val="standardContextual"/>
        </w:rPr>
        <w:t>معايير التدريب والاعتماد والمراقبة:</w:t>
      </w:r>
      <w:r>
        <w:rPr>
          <w:rFonts w:ascii="Traditional Arabic" w:eastAsiaTheme="minorHAnsi" w:hAnsi="Traditional Arabic" w:cs="Traditional Arabic" w:hint="cs"/>
          <w:b/>
          <w:sz w:val="30"/>
          <w:szCs w:val="30"/>
          <w:rtl/>
          <w14:ligatures w14:val="standardContextual"/>
        </w:rPr>
        <w:t xml:space="preserve"> ت</w:t>
      </w:r>
      <w:r w:rsidRPr="00F63572">
        <w:rPr>
          <w:rFonts w:ascii="Traditional Arabic" w:eastAsiaTheme="minorHAnsi" w:hAnsi="Traditional Arabic" w:cs="Traditional Arabic"/>
          <w:b/>
          <w:sz w:val="30"/>
          <w:szCs w:val="30"/>
          <w:rtl/>
          <w14:ligatures w14:val="standardContextual"/>
        </w:rPr>
        <w:t>ضع معايير عالمية لتدريب الطاقم والكفاءة</w:t>
      </w:r>
      <w:r w:rsidRPr="00F63572">
        <w:rPr>
          <w:rFonts w:ascii="Traditional Arabic" w:eastAsiaTheme="minorHAnsi" w:hAnsi="Traditional Arabic" w:cs="Traditional Arabic"/>
          <w:b/>
          <w:sz w:val="30"/>
          <w:szCs w:val="30"/>
          <w14:ligatures w14:val="standardContextual"/>
        </w:rPr>
        <w:t>.</w:t>
      </w:r>
    </w:p>
    <w:p w14:paraId="5E2AD31B" w14:textId="77777777" w:rsidR="00F63572" w:rsidRPr="00F63572" w:rsidRDefault="00F63572" w:rsidP="00985281">
      <w:pPr>
        <w:pStyle w:val="BodyText1"/>
        <w:bidi/>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14:ligatures w14:val="standardContextual"/>
        </w:rPr>
        <w:t>•</w:t>
      </w:r>
      <w:r w:rsidRPr="00F63572">
        <w:rPr>
          <w:rFonts w:ascii="Traditional Arabic" w:eastAsiaTheme="minorHAnsi" w:hAnsi="Traditional Arabic" w:cs="Traditional Arabic"/>
          <w:b/>
          <w:sz w:val="30"/>
          <w:szCs w:val="30"/>
          <w14:ligatures w14:val="standardContextual"/>
        </w:rPr>
        <w:tab/>
      </w:r>
      <w:r w:rsidRPr="00985281">
        <w:rPr>
          <w:rFonts w:ascii="Traditional Arabic" w:eastAsiaTheme="minorHAnsi" w:hAnsi="Traditional Arabic" w:cs="Traditional Arabic"/>
          <w:bCs/>
          <w:sz w:val="30"/>
          <w:szCs w:val="30"/>
          <w:rtl/>
          <w14:ligatures w14:val="standardContextual"/>
        </w:rPr>
        <w:t>اتفاقية إدارة مياه الصابورة</w:t>
      </w:r>
      <w:r w:rsidR="00771A8E">
        <w:rPr>
          <w:rFonts w:ascii="Traditional Arabic" w:eastAsiaTheme="minorHAnsi" w:hAnsi="Traditional Arabic" w:cs="Traditional Arabic" w:hint="cs"/>
          <w:bCs/>
          <w:sz w:val="30"/>
          <w:szCs w:val="30"/>
          <w:rtl/>
          <w14:ligatures w14:val="standardContextual"/>
        </w:rPr>
        <w:t xml:space="preserve"> والرواسب</w:t>
      </w:r>
      <w:r w:rsidRPr="00985281">
        <w:rPr>
          <w:rFonts w:ascii="Traditional Arabic" w:eastAsiaTheme="minorHAnsi" w:hAnsi="Traditional Arabic" w:cs="Traditional Arabic"/>
          <w:bCs/>
          <w:sz w:val="30"/>
          <w:szCs w:val="30"/>
          <w:rtl/>
          <w14:ligatures w14:val="standardContextual"/>
        </w:rPr>
        <w:t>:</w:t>
      </w:r>
      <w:r w:rsidRPr="00F63572">
        <w:rPr>
          <w:rFonts w:ascii="Traditional Arabic" w:eastAsiaTheme="minorHAnsi" w:hAnsi="Traditional Arabic" w:cs="Traditional Arabic"/>
          <w:b/>
          <w:sz w:val="30"/>
          <w:szCs w:val="30"/>
          <w:rtl/>
          <w14:ligatures w14:val="standardContextual"/>
        </w:rPr>
        <w:t xml:space="preserve"> تمنع الضرر البيئي من خلال التحكم في تصريف مياه الصابورة</w:t>
      </w:r>
      <w:r w:rsidR="003573D4">
        <w:rPr>
          <w:rFonts w:ascii="Traditional Arabic" w:eastAsiaTheme="minorHAnsi" w:hAnsi="Traditional Arabic" w:cs="Traditional Arabic" w:hint="cs"/>
          <w:b/>
          <w:sz w:val="30"/>
          <w:szCs w:val="30"/>
          <w:rtl/>
          <w14:ligatures w14:val="standardContextual"/>
        </w:rPr>
        <w:t xml:space="preserve"> والرواسب</w:t>
      </w:r>
      <w:r w:rsidRPr="00F63572">
        <w:rPr>
          <w:rFonts w:ascii="Traditional Arabic" w:eastAsiaTheme="minorHAnsi" w:hAnsi="Traditional Arabic" w:cs="Traditional Arabic"/>
          <w:b/>
          <w:sz w:val="30"/>
          <w:szCs w:val="30"/>
          <w:rtl/>
          <w14:ligatures w14:val="standardContextual"/>
        </w:rPr>
        <w:t xml:space="preserve"> ونقل الأحياء الغازية</w:t>
      </w:r>
      <w:r w:rsidRPr="00F63572">
        <w:rPr>
          <w:rFonts w:ascii="Traditional Arabic" w:eastAsiaTheme="minorHAnsi" w:hAnsi="Traditional Arabic" w:cs="Traditional Arabic"/>
          <w:b/>
          <w:sz w:val="30"/>
          <w:szCs w:val="30"/>
          <w14:ligatures w14:val="standardContextual"/>
        </w:rPr>
        <w:t>.</w:t>
      </w:r>
    </w:p>
    <w:p w14:paraId="2BF1AB38" w14:textId="77777777" w:rsidR="00F63572" w:rsidRPr="00F63572" w:rsidRDefault="00F63572" w:rsidP="00272B36">
      <w:pPr>
        <w:pStyle w:val="BodyText1"/>
        <w:bidi/>
        <w:ind w:left="713" w:hanging="709"/>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14:ligatures w14:val="standardContextual"/>
        </w:rPr>
        <w:t>•</w:t>
      </w:r>
      <w:r w:rsidRPr="00F63572">
        <w:rPr>
          <w:rFonts w:ascii="Traditional Arabic" w:eastAsiaTheme="minorHAnsi" w:hAnsi="Traditional Arabic" w:cs="Traditional Arabic"/>
          <w:b/>
          <w:sz w:val="30"/>
          <w:szCs w:val="30"/>
          <w14:ligatures w14:val="standardContextual"/>
        </w:rPr>
        <w:tab/>
      </w:r>
      <w:r w:rsidRPr="00985281">
        <w:rPr>
          <w:rFonts w:ascii="Traditional Arabic" w:eastAsiaTheme="minorHAnsi" w:hAnsi="Traditional Arabic" w:cs="Traditional Arabic"/>
          <w:bCs/>
          <w:sz w:val="30"/>
          <w:szCs w:val="30"/>
          <w:rtl/>
          <w14:ligatures w14:val="standardContextual"/>
        </w:rPr>
        <w:t>اتفاقية العمل البحري لمنظمة العمل الدولية:</w:t>
      </w:r>
      <w:r w:rsidRPr="00F63572">
        <w:rPr>
          <w:rFonts w:ascii="Traditional Arabic" w:eastAsiaTheme="minorHAnsi" w:hAnsi="Traditional Arabic" w:cs="Traditional Arabic"/>
          <w:b/>
          <w:sz w:val="30"/>
          <w:szCs w:val="30"/>
          <w:rtl/>
          <w14:ligatures w14:val="standardContextual"/>
        </w:rPr>
        <w:t xml:space="preserve"> تحمي حقوق البحارة، وتضمن أجوراً عادلة، وساعات راحة، ورعاية طبية، وظروف معيشية جيدة</w:t>
      </w:r>
      <w:r w:rsidRPr="00F63572">
        <w:rPr>
          <w:rFonts w:ascii="Traditional Arabic" w:eastAsiaTheme="minorHAnsi" w:hAnsi="Traditional Arabic" w:cs="Traditional Arabic"/>
          <w:b/>
          <w:sz w:val="30"/>
          <w:szCs w:val="30"/>
          <w14:ligatures w14:val="standardContextual"/>
        </w:rPr>
        <w:t>.</w:t>
      </w:r>
    </w:p>
    <w:p w14:paraId="71425935" w14:textId="77777777" w:rsidR="00F63572" w:rsidRPr="00F63572" w:rsidRDefault="00F63572" w:rsidP="00272B36">
      <w:pPr>
        <w:pStyle w:val="BodyText1"/>
        <w:bidi/>
        <w:ind w:left="713" w:hanging="713"/>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14:ligatures w14:val="standardContextual"/>
        </w:rPr>
        <w:t>•</w:t>
      </w:r>
      <w:r w:rsidRPr="00F63572">
        <w:rPr>
          <w:rFonts w:ascii="Traditional Arabic" w:eastAsiaTheme="minorHAnsi" w:hAnsi="Traditional Arabic" w:cs="Traditional Arabic"/>
          <w:b/>
          <w:sz w:val="30"/>
          <w:szCs w:val="30"/>
          <w14:ligatures w14:val="standardContextual"/>
        </w:rPr>
        <w:tab/>
      </w:r>
      <w:r w:rsidRPr="00985281">
        <w:rPr>
          <w:rFonts w:ascii="Traditional Arabic" w:eastAsiaTheme="minorHAnsi" w:hAnsi="Traditional Arabic" w:cs="Traditional Arabic"/>
          <w:bCs/>
          <w:sz w:val="30"/>
          <w:szCs w:val="30"/>
          <w:rtl/>
          <w14:ligatures w14:val="standardContextual"/>
        </w:rPr>
        <w:t>المدونة الدولية لأمن السفن والمرافق المينائية</w:t>
      </w:r>
      <w:r w:rsidRPr="00F63572">
        <w:rPr>
          <w:rFonts w:ascii="Traditional Arabic" w:eastAsiaTheme="minorHAnsi" w:hAnsi="Traditional Arabic" w:cs="Traditional Arabic"/>
          <w:b/>
          <w:sz w:val="30"/>
          <w:szCs w:val="30"/>
          <w:rtl/>
          <w14:ligatures w14:val="standardContextual"/>
        </w:rPr>
        <w:t>: تفرض تدابير أمنية لحماية السفن والبضائع والموانئ من القرصنة والتهديدات الأخرى</w:t>
      </w:r>
      <w:r w:rsidRPr="00F63572">
        <w:rPr>
          <w:rFonts w:ascii="Traditional Arabic" w:eastAsiaTheme="minorHAnsi" w:hAnsi="Traditional Arabic" w:cs="Traditional Arabic"/>
          <w:b/>
          <w:sz w:val="30"/>
          <w:szCs w:val="30"/>
          <w14:ligatures w14:val="standardContextual"/>
        </w:rPr>
        <w:t>.</w:t>
      </w:r>
    </w:p>
    <w:p w14:paraId="19654C9A" w14:textId="77777777" w:rsidR="00F63572" w:rsidRPr="00F63572" w:rsidRDefault="00F63572" w:rsidP="00985281">
      <w:pPr>
        <w:pStyle w:val="BodyText1"/>
        <w:bidi/>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14:ligatures w14:val="standardContextual"/>
        </w:rPr>
        <w:lastRenderedPageBreak/>
        <w:t>•</w:t>
      </w:r>
      <w:r w:rsidRPr="00F63572">
        <w:rPr>
          <w:rFonts w:ascii="Traditional Arabic" w:eastAsiaTheme="minorHAnsi" w:hAnsi="Traditional Arabic" w:cs="Traditional Arabic"/>
          <w:b/>
          <w:sz w:val="30"/>
          <w:szCs w:val="30"/>
          <w14:ligatures w14:val="standardContextual"/>
        </w:rPr>
        <w:tab/>
      </w:r>
      <w:r w:rsidRPr="00985281">
        <w:rPr>
          <w:rFonts w:ascii="Traditional Arabic" w:eastAsiaTheme="minorHAnsi" w:hAnsi="Traditional Arabic" w:cs="Traditional Arabic"/>
          <w:bCs/>
          <w:sz w:val="30"/>
          <w:szCs w:val="30"/>
          <w:rtl/>
          <w14:ligatures w14:val="standardContextual"/>
        </w:rPr>
        <w:t>اللوائح الجمركية والتجارية</w:t>
      </w:r>
      <w:r w:rsidRPr="00F63572">
        <w:rPr>
          <w:rFonts w:ascii="Traditional Arabic" w:eastAsiaTheme="minorHAnsi" w:hAnsi="Traditional Arabic" w:cs="Traditional Arabic"/>
          <w:b/>
          <w:sz w:val="30"/>
          <w:szCs w:val="30"/>
          <w:rtl/>
          <w14:ligatures w14:val="standardContextual"/>
        </w:rPr>
        <w:t>: يضمن الامتثال لاتفاقيات التجارة العالمية، بما في ذلك لوائح منظمة التجارة العالمية، وضمان تجارة دولية فعالة وقانونية</w:t>
      </w:r>
      <w:r w:rsidRPr="00F63572">
        <w:rPr>
          <w:rFonts w:ascii="Traditional Arabic" w:eastAsiaTheme="minorHAnsi" w:hAnsi="Traditional Arabic" w:cs="Traditional Arabic"/>
          <w:b/>
          <w:sz w:val="30"/>
          <w:szCs w:val="30"/>
          <w14:ligatures w14:val="standardContextual"/>
        </w:rPr>
        <w:t>.</w:t>
      </w:r>
    </w:p>
    <w:p w14:paraId="5E387DA5" w14:textId="77777777" w:rsidR="00F63572" w:rsidRDefault="00F63572" w:rsidP="00F63572">
      <w:pPr>
        <w:pStyle w:val="BodyText1"/>
        <w:bidi/>
        <w:rPr>
          <w:rFonts w:ascii="Traditional Arabic" w:eastAsiaTheme="minorHAnsi" w:hAnsi="Traditional Arabic" w:cs="Traditional Arabic"/>
          <w:b/>
          <w:sz w:val="30"/>
          <w:szCs w:val="30"/>
          <w:rtl/>
          <w14:ligatures w14:val="standardContextual"/>
        </w:rPr>
      </w:pPr>
      <w:r w:rsidRPr="00F63572">
        <w:rPr>
          <w:rFonts w:ascii="Traditional Arabic" w:eastAsiaTheme="minorHAnsi" w:hAnsi="Traditional Arabic" w:cs="Traditional Arabic"/>
          <w:b/>
          <w:sz w:val="30"/>
          <w:szCs w:val="30"/>
          <w:rtl/>
          <w14:ligatures w14:val="standardContextual"/>
        </w:rPr>
        <w:t xml:space="preserve">بالإضافة إلى الاتفاقيات الدولية، يجب على شركات الشحن الامتثال للقوانين الوطنية المحددة ولوائح الموانئ المحلية التي تعمل فيها سفنها. تقوم السلطات المحلية، من خلال مراقبة دولة الميناء، بتفتيش السفن الأجنبية لضمان الامتثال للمعايير الدولية مثل الاتفاقية الدولية </w:t>
      </w:r>
      <w:r w:rsidR="00B22E4D">
        <w:rPr>
          <w:rFonts w:ascii="Traditional Arabic" w:eastAsiaTheme="minorHAnsi" w:hAnsi="Traditional Arabic" w:cs="Traditional Arabic" w:hint="cs"/>
          <w:b/>
          <w:sz w:val="30"/>
          <w:szCs w:val="30"/>
          <w:rtl/>
          <w14:ligatures w14:val="standardContextual"/>
        </w:rPr>
        <w:t>لسلامة</w:t>
      </w:r>
      <w:r w:rsidR="00B22E4D" w:rsidRPr="00F63572">
        <w:rPr>
          <w:rFonts w:ascii="Traditional Arabic" w:eastAsiaTheme="minorHAnsi" w:hAnsi="Traditional Arabic" w:cs="Traditional Arabic"/>
          <w:b/>
          <w:sz w:val="30"/>
          <w:szCs w:val="30"/>
          <w:rtl/>
          <w14:ligatures w14:val="standardContextual"/>
        </w:rPr>
        <w:t xml:space="preserve"> </w:t>
      </w:r>
      <w:r w:rsidRPr="00F63572">
        <w:rPr>
          <w:rFonts w:ascii="Traditional Arabic" w:eastAsiaTheme="minorHAnsi" w:hAnsi="Traditional Arabic" w:cs="Traditional Arabic"/>
          <w:b/>
          <w:sz w:val="30"/>
          <w:szCs w:val="30"/>
          <w:rtl/>
          <w14:ligatures w14:val="standardContextual"/>
        </w:rPr>
        <w:t>الأرواح في البح</w:t>
      </w:r>
      <w:r w:rsidR="00983365">
        <w:rPr>
          <w:rFonts w:ascii="Traditional Arabic" w:eastAsiaTheme="minorHAnsi" w:hAnsi="Traditional Arabic" w:cs="Traditional Arabic" w:hint="cs"/>
          <w:b/>
          <w:sz w:val="30"/>
          <w:szCs w:val="30"/>
          <w:rtl/>
          <w14:ligatures w14:val="standardContextual"/>
        </w:rPr>
        <w:t>ا</w:t>
      </w:r>
      <w:r w:rsidRPr="00F63572">
        <w:rPr>
          <w:rFonts w:ascii="Traditional Arabic" w:eastAsiaTheme="minorHAnsi" w:hAnsi="Traditional Arabic" w:cs="Traditional Arabic"/>
          <w:b/>
          <w:sz w:val="30"/>
          <w:szCs w:val="30"/>
          <w:rtl/>
          <w14:ligatures w14:val="standardContextual"/>
        </w:rPr>
        <w:t xml:space="preserve">ر، والاتفاقية الدولية لمنع التلوث الناجم عن السفن، واتفاقية </w:t>
      </w:r>
      <w:r w:rsidR="0064779C">
        <w:rPr>
          <w:rFonts w:ascii="Traditional Arabic" w:eastAsiaTheme="minorHAnsi" w:hAnsi="Traditional Arabic" w:cs="Traditional Arabic" w:hint="cs"/>
          <w:b/>
          <w:sz w:val="30"/>
          <w:szCs w:val="30"/>
          <w:rtl/>
          <w14:ligatures w14:val="standardContextual"/>
        </w:rPr>
        <w:t>العمل البحري</w:t>
      </w:r>
      <w:r w:rsidRPr="00F63572">
        <w:rPr>
          <w:rFonts w:ascii="Traditional Arabic" w:eastAsiaTheme="minorHAnsi" w:hAnsi="Traditional Arabic" w:cs="Traditional Arabic"/>
          <w:b/>
          <w:sz w:val="30"/>
          <w:szCs w:val="30"/>
          <w:rtl/>
          <w14:ligatures w14:val="standardContextual"/>
        </w:rPr>
        <w:t xml:space="preserve">. يتعين على السفن الاحتفاظ بشهادات صالحة وسجلات سلامة ووثائق محدثة لتلبية هذه </w:t>
      </w:r>
      <w:r w:rsidR="00187F26">
        <w:rPr>
          <w:rFonts w:ascii="Traditional Arabic" w:eastAsiaTheme="minorHAnsi" w:hAnsi="Traditional Arabic" w:cs="Traditional Arabic" w:hint="cs"/>
          <w:b/>
          <w:sz w:val="30"/>
          <w:szCs w:val="30"/>
          <w:rtl/>
          <w14:ligatures w14:val="standardContextual"/>
        </w:rPr>
        <w:t>التفتيشات</w:t>
      </w:r>
      <w:r w:rsidR="00187F26" w:rsidRPr="00F63572">
        <w:rPr>
          <w:rFonts w:ascii="Traditional Arabic" w:eastAsiaTheme="minorHAnsi" w:hAnsi="Traditional Arabic" w:cs="Traditional Arabic"/>
          <w:b/>
          <w:sz w:val="30"/>
          <w:szCs w:val="30"/>
          <w:rtl/>
          <w14:ligatures w14:val="standardContextual"/>
        </w:rPr>
        <w:t xml:space="preserve"> </w:t>
      </w:r>
      <w:r w:rsidRPr="00F63572">
        <w:rPr>
          <w:rFonts w:ascii="Traditional Arabic" w:eastAsiaTheme="minorHAnsi" w:hAnsi="Traditional Arabic" w:cs="Traditional Arabic"/>
          <w:b/>
          <w:sz w:val="30"/>
          <w:szCs w:val="30"/>
          <w:rtl/>
          <w14:ligatures w14:val="standardContextual"/>
        </w:rPr>
        <w:t>التنظيمية. قد تشمل القوانين البيئية التي تفرضها الموانئ ضوابط أكثر صرامة للانبعاثات، وبروتوكولات إدارة النفايات، ولوائح تصريف مياه الصابورة</w:t>
      </w:r>
      <w:r w:rsidR="00FF2ECA">
        <w:rPr>
          <w:rFonts w:ascii="Traditional Arabic" w:eastAsiaTheme="minorHAnsi" w:hAnsi="Traditional Arabic" w:cs="Traditional Arabic" w:hint="cs"/>
          <w:b/>
          <w:sz w:val="30"/>
          <w:szCs w:val="30"/>
          <w:rtl/>
          <w14:ligatures w14:val="standardContextual"/>
        </w:rPr>
        <w:t xml:space="preserve"> والرواسب</w:t>
      </w:r>
      <w:r w:rsidRPr="00F63572">
        <w:rPr>
          <w:rFonts w:ascii="Traditional Arabic" w:eastAsiaTheme="minorHAnsi" w:hAnsi="Traditional Arabic" w:cs="Traditional Arabic"/>
          <w:b/>
          <w:sz w:val="30"/>
          <w:szCs w:val="30"/>
          <w:rtl/>
          <w14:ligatures w14:val="standardContextual"/>
        </w:rPr>
        <w:t xml:space="preserve">. وغالبًا ما يتطلب الامتثال استخدام أنواع وقود منخفضة الكبريت وبشرط أن تكون معتمدة، وأنظمة مناسبة للتخلص من النفايات، والالتزام </w:t>
      </w:r>
      <w:r w:rsidR="000C2F48">
        <w:rPr>
          <w:rFonts w:ascii="Traditional Arabic" w:eastAsiaTheme="minorHAnsi" w:hAnsi="Traditional Arabic" w:cs="Traditional Arabic" w:hint="cs"/>
          <w:b/>
          <w:sz w:val="30"/>
          <w:szCs w:val="30"/>
          <w:rtl/>
          <w14:ligatures w14:val="standardContextual"/>
        </w:rPr>
        <w:t>بمحددات</w:t>
      </w:r>
      <w:r w:rsidR="000C2F48" w:rsidRPr="00F63572">
        <w:rPr>
          <w:rFonts w:ascii="Traditional Arabic" w:eastAsiaTheme="minorHAnsi" w:hAnsi="Traditional Arabic" w:cs="Traditional Arabic"/>
          <w:b/>
          <w:sz w:val="30"/>
          <w:szCs w:val="30"/>
          <w:rtl/>
          <w14:ligatures w14:val="standardContextual"/>
        </w:rPr>
        <w:t xml:space="preserve"> </w:t>
      </w:r>
      <w:r w:rsidRPr="00F63572">
        <w:rPr>
          <w:rFonts w:ascii="Traditional Arabic" w:eastAsiaTheme="minorHAnsi" w:hAnsi="Traditional Arabic" w:cs="Traditional Arabic"/>
          <w:b/>
          <w:sz w:val="30"/>
          <w:szCs w:val="30"/>
          <w:rtl/>
          <w14:ligatures w14:val="standardContextual"/>
        </w:rPr>
        <w:t xml:space="preserve">منطقة التحكم في الانبعاثات. </w:t>
      </w:r>
      <w:r w:rsidR="00443D1A">
        <w:rPr>
          <w:rFonts w:ascii="Traditional Arabic" w:eastAsiaTheme="minorHAnsi" w:hAnsi="Traditional Arabic" w:cs="Traditional Arabic" w:hint="cs"/>
          <w:b/>
          <w:sz w:val="30"/>
          <w:szCs w:val="30"/>
          <w:rtl/>
          <w14:ligatures w14:val="standardContextual"/>
        </w:rPr>
        <w:t xml:space="preserve">كما </w:t>
      </w:r>
      <w:r w:rsidRPr="00F63572">
        <w:rPr>
          <w:rFonts w:ascii="Traditional Arabic" w:eastAsiaTheme="minorHAnsi" w:hAnsi="Traditional Arabic" w:cs="Traditional Arabic"/>
          <w:b/>
          <w:sz w:val="30"/>
          <w:szCs w:val="30"/>
          <w:rtl/>
          <w14:ligatures w14:val="standardContextual"/>
        </w:rPr>
        <w:t>يجب على شركات الشحن أيضًا اتباع الإجراءات الجمركية، والتأكد من دقة وثائق الشحن، ودفع رسوم التعرفة، وتمرير عمليات التفتيش دون تأخير. كما تلتزم الشركة التزاما صارما ببروتوكولات الجوازات والإقامة لأفراد الطاقم، بما في ذلك التأشيرات وإجراءات الدخول والخروج، في كل بلد. علاوة على ذلك، قد تفرض الموانئ تدابير إضافية للسلامة والأمن، مثل بروتوكولات معين</w:t>
      </w:r>
      <w:r w:rsidR="00FA7BA7">
        <w:rPr>
          <w:rFonts w:ascii="Traditional Arabic" w:eastAsiaTheme="minorHAnsi" w:hAnsi="Traditional Arabic" w:cs="Traditional Arabic" w:hint="cs"/>
          <w:b/>
          <w:sz w:val="30"/>
          <w:szCs w:val="30"/>
          <w:rtl/>
          <w14:ligatures w14:val="standardContextual"/>
        </w:rPr>
        <w:t>ه</w:t>
      </w:r>
      <w:r w:rsidRPr="00F63572">
        <w:rPr>
          <w:rFonts w:ascii="Traditional Arabic" w:eastAsiaTheme="minorHAnsi" w:hAnsi="Traditional Arabic" w:cs="Traditional Arabic"/>
          <w:b/>
          <w:sz w:val="30"/>
          <w:szCs w:val="30"/>
          <w:rtl/>
          <w14:ligatures w14:val="standardContextual"/>
        </w:rPr>
        <w:t xml:space="preserve"> لرسو السفن، وتدريبات التأهب للطوارئ، والالتزام بالأطر الأمنية المحلية المنفذة للمدونة الدولية لأمن السفن والمرافق المينائية.</w:t>
      </w:r>
    </w:p>
    <w:p w14:paraId="38390AA5" w14:textId="77777777" w:rsidR="00CA12B3" w:rsidRDefault="00CA12B3" w:rsidP="00CA12B3">
      <w:pPr>
        <w:pStyle w:val="BodyText1"/>
        <w:bidi/>
        <w:jc w:val="center"/>
        <w:rPr>
          <w:rFonts w:ascii="Traditional Arabic" w:eastAsiaTheme="minorHAnsi" w:hAnsi="Traditional Arabic" w:cs="Traditional Arabic"/>
          <w:b/>
          <w:sz w:val="30"/>
          <w:szCs w:val="30"/>
          <w:rtl/>
          <w14:ligatures w14:val="standardContextual"/>
        </w:rPr>
      </w:pPr>
    </w:p>
    <w:p w14:paraId="7F5A1E66" w14:textId="77777777" w:rsidR="00CA12B3" w:rsidRDefault="00CA12B3" w:rsidP="00CA12B3">
      <w:pPr>
        <w:pStyle w:val="BodyText1"/>
        <w:bidi/>
        <w:jc w:val="center"/>
        <w:rPr>
          <w:rFonts w:ascii="Traditional Arabic" w:eastAsiaTheme="minorHAnsi" w:hAnsi="Traditional Arabic" w:cs="Traditional Arabic"/>
          <w:b/>
          <w:sz w:val="30"/>
          <w:szCs w:val="30"/>
          <w:rtl/>
          <w14:ligatures w14:val="standardContextual"/>
        </w:rPr>
      </w:pPr>
    </w:p>
    <w:p w14:paraId="3F4D33AE" w14:textId="77777777" w:rsidR="00CA12B3" w:rsidRDefault="00CA12B3" w:rsidP="00CA12B3">
      <w:pPr>
        <w:pStyle w:val="BodyText1"/>
        <w:bidi/>
        <w:jc w:val="center"/>
        <w:rPr>
          <w:rFonts w:ascii="Traditional Arabic" w:eastAsiaTheme="minorHAnsi" w:hAnsi="Traditional Arabic" w:cs="Traditional Arabic"/>
          <w:b/>
          <w:sz w:val="30"/>
          <w:szCs w:val="30"/>
          <w:rtl/>
          <w14:ligatures w14:val="standardContextual"/>
        </w:rPr>
      </w:pPr>
    </w:p>
    <w:p w14:paraId="0FC4612C" w14:textId="77777777" w:rsidR="00CA12B3" w:rsidRDefault="00CA12B3" w:rsidP="00CA12B3">
      <w:pPr>
        <w:pStyle w:val="BodyText1"/>
        <w:bidi/>
        <w:jc w:val="center"/>
        <w:rPr>
          <w:rFonts w:ascii="Traditional Arabic" w:eastAsiaTheme="minorHAnsi" w:hAnsi="Traditional Arabic" w:cs="Traditional Arabic"/>
          <w:b/>
          <w:sz w:val="30"/>
          <w:szCs w:val="30"/>
          <w:rtl/>
          <w14:ligatures w14:val="standardContextual"/>
        </w:rPr>
      </w:pPr>
    </w:p>
    <w:p w14:paraId="7BD088FB" w14:textId="77777777" w:rsidR="00CA12B3" w:rsidRDefault="00CA12B3" w:rsidP="00CA12B3">
      <w:pPr>
        <w:pStyle w:val="BodyText1"/>
        <w:bidi/>
        <w:jc w:val="center"/>
        <w:rPr>
          <w:rFonts w:ascii="Traditional Arabic" w:eastAsiaTheme="minorHAnsi" w:hAnsi="Traditional Arabic" w:cs="Traditional Arabic"/>
          <w:b/>
          <w:sz w:val="30"/>
          <w:szCs w:val="30"/>
          <w:rtl/>
          <w14:ligatures w14:val="standardContextual"/>
        </w:rPr>
      </w:pPr>
    </w:p>
    <w:p w14:paraId="0A2407A3" w14:textId="77777777" w:rsidR="00CA12B3" w:rsidRDefault="00CA12B3" w:rsidP="00CA12B3">
      <w:pPr>
        <w:pStyle w:val="BodyText1"/>
        <w:bidi/>
        <w:jc w:val="center"/>
        <w:rPr>
          <w:rFonts w:ascii="Traditional Arabic" w:eastAsiaTheme="minorHAnsi" w:hAnsi="Traditional Arabic" w:cs="Traditional Arabic"/>
          <w:b/>
          <w:sz w:val="30"/>
          <w:szCs w:val="30"/>
          <w:rtl/>
          <w14:ligatures w14:val="standardContextual"/>
        </w:rPr>
      </w:pPr>
    </w:p>
    <w:p w14:paraId="2345B4D5" w14:textId="77777777" w:rsidR="00F87C1B" w:rsidRDefault="00F87C1B" w:rsidP="00F87C1B">
      <w:pPr>
        <w:pStyle w:val="BodyText1"/>
        <w:bidi/>
        <w:jc w:val="center"/>
        <w:rPr>
          <w:rFonts w:ascii="Traditional Arabic" w:eastAsiaTheme="minorHAnsi" w:hAnsi="Traditional Arabic" w:cs="Traditional Arabic"/>
          <w:b/>
          <w:sz w:val="30"/>
          <w:szCs w:val="30"/>
          <w:rtl/>
          <w14:ligatures w14:val="standardContextual"/>
        </w:rPr>
      </w:pPr>
    </w:p>
    <w:p w14:paraId="44372732" w14:textId="77777777" w:rsidR="00F87C1B" w:rsidRDefault="00F87C1B" w:rsidP="00F87C1B">
      <w:pPr>
        <w:pStyle w:val="BodyText1"/>
        <w:bidi/>
        <w:jc w:val="center"/>
        <w:rPr>
          <w:rFonts w:ascii="Traditional Arabic" w:eastAsiaTheme="minorHAnsi" w:hAnsi="Traditional Arabic" w:cs="Traditional Arabic"/>
          <w:b/>
          <w:sz w:val="30"/>
          <w:szCs w:val="30"/>
          <w:rtl/>
          <w14:ligatures w14:val="standardContextual"/>
        </w:rPr>
      </w:pPr>
    </w:p>
    <w:p w14:paraId="12E77E83" w14:textId="77777777" w:rsidR="00F87C1B" w:rsidRDefault="00F87C1B" w:rsidP="00F87C1B">
      <w:pPr>
        <w:pStyle w:val="BodyText1"/>
        <w:bidi/>
        <w:jc w:val="center"/>
        <w:rPr>
          <w:rFonts w:ascii="Traditional Arabic" w:eastAsiaTheme="minorHAnsi" w:hAnsi="Traditional Arabic" w:cs="Traditional Arabic"/>
          <w:b/>
          <w:sz w:val="30"/>
          <w:szCs w:val="30"/>
          <w:rtl/>
          <w14:ligatures w14:val="standardContextual"/>
        </w:rPr>
      </w:pPr>
    </w:p>
    <w:p w14:paraId="55ED16CB" w14:textId="77777777" w:rsidR="00F87C1B" w:rsidRDefault="00F87C1B" w:rsidP="00D925C8">
      <w:pPr>
        <w:pStyle w:val="BodyText1"/>
        <w:bidi/>
        <w:rPr>
          <w:rFonts w:ascii="Traditional Arabic" w:eastAsiaTheme="minorHAnsi" w:hAnsi="Traditional Arabic" w:cs="Traditional Arabic"/>
          <w:b/>
          <w:sz w:val="30"/>
          <w:szCs w:val="30"/>
          <w:rtl/>
          <w14:ligatures w14:val="standardContextual"/>
        </w:rPr>
      </w:pPr>
    </w:p>
    <w:p w14:paraId="03905439" w14:textId="77777777" w:rsidR="00CA12B3" w:rsidRDefault="00CA12B3" w:rsidP="006F609C">
      <w:pPr>
        <w:pStyle w:val="BodyText1"/>
        <w:bidi/>
        <w:rPr>
          <w:rFonts w:ascii="Traditional Arabic" w:eastAsiaTheme="minorHAnsi" w:hAnsi="Traditional Arabic" w:cs="Traditional Arabic"/>
          <w:b/>
          <w:sz w:val="30"/>
          <w:szCs w:val="30"/>
          <w:rtl/>
          <w14:ligatures w14:val="standardContextual"/>
        </w:rPr>
      </w:pPr>
    </w:p>
    <w:p w14:paraId="52FBC674" w14:textId="77777777" w:rsidR="00CA12B3" w:rsidRPr="000953EC" w:rsidRDefault="00CA12B3" w:rsidP="000953EC">
      <w:pPr>
        <w:pStyle w:val="BodyText1"/>
        <w:bidi/>
        <w:jc w:val="center"/>
        <w:rPr>
          <w:rFonts w:ascii="Traditional Arabic" w:eastAsiaTheme="minorHAnsi" w:hAnsi="Traditional Arabic" w:cs="Traditional Arabic"/>
          <w:b/>
          <w:bCs/>
          <w:sz w:val="30"/>
          <w:szCs w:val="30"/>
          <w:rtl/>
          <w14:ligatures w14:val="standardContextual"/>
        </w:rPr>
      </w:pPr>
      <w:r>
        <w:rPr>
          <w:rFonts w:ascii="Traditional Arabic" w:eastAsiaTheme="minorHAnsi" w:hAnsi="Traditional Arabic" w:cs="Traditional Arabic" w:hint="cs"/>
          <w:bCs/>
          <w:sz w:val="30"/>
          <w:szCs w:val="30"/>
          <w:rtl/>
          <w14:ligatures w14:val="standardContextual"/>
        </w:rPr>
        <w:t>الفصل الحادي عشر</w:t>
      </w:r>
    </w:p>
    <w:p w14:paraId="1FF92F60" w14:textId="77777777" w:rsidR="00F452C6" w:rsidRDefault="00FF2021" w:rsidP="00BF27FC">
      <w:pPr>
        <w:pStyle w:val="Heading2"/>
        <w:bidi/>
        <w:jc w:val="center"/>
        <w:rPr>
          <w:rFonts w:ascii="Traditional Arabic" w:hAnsi="Traditional Arabic" w:cs="Traditional Arabic"/>
          <w:b w:val="0"/>
          <w:bCs/>
          <w:sz w:val="30"/>
          <w:szCs w:val="30"/>
          <w:lang w:bidi="ar-OM"/>
        </w:rPr>
      </w:pPr>
      <w:r>
        <w:rPr>
          <w:rFonts w:ascii="Traditional Arabic" w:hAnsi="Traditional Arabic" w:cs="Traditional Arabic" w:hint="cs"/>
          <w:b w:val="0"/>
          <w:bCs/>
          <w:sz w:val="30"/>
          <w:szCs w:val="30"/>
          <w:rtl/>
          <w:lang w:bidi="ar-EG"/>
        </w:rPr>
        <w:t xml:space="preserve">نظرة عامة على القطاع </w:t>
      </w:r>
    </w:p>
    <w:p w14:paraId="359B4A8C" w14:textId="77777777" w:rsidR="006F6B9E" w:rsidRDefault="006F6B9E" w:rsidP="006F6B9E">
      <w:pPr>
        <w:pStyle w:val="P68B1DB1-KeyMessage1"/>
        <w:spacing w:beforeLines="40" w:before="96" w:afterLines="40" w:after="96"/>
        <w:rPr>
          <w:rFonts w:ascii="Traditional Arabic" w:hAnsi="Traditional Arabic" w:cs="Traditional Arabic"/>
          <w:sz w:val="30"/>
          <w:szCs w:val="30"/>
          <w:lang w:bidi="ar-EG"/>
        </w:rPr>
      </w:pPr>
      <w:r w:rsidRPr="00CD200C">
        <w:rPr>
          <w:rFonts w:ascii="Traditional Arabic" w:hAnsi="Traditional Arabic" w:cs="Traditional Arabic"/>
          <w:sz w:val="30"/>
          <w:szCs w:val="30"/>
        </w:rPr>
        <w:t xml:space="preserve">ما لم ينص على خلاف ذلك، فإن المعلومات الواردة في هذا الفصل مستمدة من تقرير السوق المؤرخ في </w:t>
      </w:r>
      <w:r w:rsidR="006B57D8">
        <w:rPr>
          <w:rFonts w:ascii="Traditional Arabic" w:hAnsi="Traditional Arabic" w:cs="Traditional Arabic" w:hint="cs"/>
          <w:sz w:val="30"/>
          <w:szCs w:val="30"/>
        </w:rPr>
        <w:t>6 ديسمبر 2024</w:t>
      </w:r>
      <w:r w:rsidR="006B57D8" w:rsidRPr="00CD200C">
        <w:rPr>
          <w:rFonts w:ascii="Traditional Arabic" w:hAnsi="Traditional Arabic" w:cs="Traditional Arabic"/>
          <w:sz w:val="30"/>
          <w:szCs w:val="30"/>
        </w:rPr>
        <w:t xml:space="preserve">، </w:t>
      </w:r>
      <w:r w:rsidRPr="00CD200C">
        <w:rPr>
          <w:rFonts w:ascii="Traditional Arabic" w:hAnsi="Traditional Arabic" w:cs="Traditional Arabic"/>
          <w:sz w:val="30"/>
          <w:szCs w:val="30"/>
        </w:rPr>
        <w:t xml:space="preserve">الذي أعده مستشار السوق. </w:t>
      </w:r>
      <w:r>
        <w:rPr>
          <w:rFonts w:ascii="Traditional Arabic" w:hAnsi="Traditional Arabic" w:cs="Traditional Arabic" w:hint="cs"/>
          <w:sz w:val="30"/>
          <w:szCs w:val="30"/>
        </w:rPr>
        <w:t>و</w:t>
      </w:r>
      <w:r w:rsidRPr="00CD200C">
        <w:rPr>
          <w:rFonts w:ascii="Traditional Arabic" w:hAnsi="Traditional Arabic" w:cs="Traditional Arabic"/>
          <w:sz w:val="30"/>
          <w:szCs w:val="30"/>
        </w:rPr>
        <w:t xml:space="preserve">لمزيد من المعلومات، </w:t>
      </w:r>
      <w:r>
        <w:rPr>
          <w:rFonts w:ascii="Traditional Arabic" w:hAnsi="Traditional Arabic" w:cs="Traditional Arabic" w:hint="cs"/>
          <w:sz w:val="30"/>
          <w:szCs w:val="30"/>
        </w:rPr>
        <w:t>يرجى الاطلاع على</w:t>
      </w:r>
      <w:r w:rsidRPr="00CD200C">
        <w:rPr>
          <w:rFonts w:ascii="Traditional Arabic" w:hAnsi="Traditional Arabic" w:cs="Traditional Arabic"/>
          <w:sz w:val="30"/>
          <w:szCs w:val="30"/>
        </w:rPr>
        <w:t xml:space="preserve"> </w:t>
      </w:r>
      <w:r>
        <w:rPr>
          <w:rFonts w:ascii="Traditional Arabic" w:hAnsi="Traditional Arabic" w:cs="Traditional Arabic" w:hint="cs"/>
          <w:sz w:val="30"/>
          <w:szCs w:val="30"/>
        </w:rPr>
        <w:t xml:space="preserve">فصل </w:t>
      </w:r>
      <w:r w:rsidRPr="00CD200C">
        <w:rPr>
          <w:rFonts w:ascii="Traditional Arabic" w:hAnsi="Traditional Arabic" w:cs="Traditional Arabic"/>
          <w:sz w:val="30"/>
          <w:szCs w:val="30"/>
        </w:rPr>
        <w:t xml:space="preserve">"عرض البيانات المالية وبيانات القطاع والسوق ". لا تُعد التوقعات ولا البيانات المستقبلية ضمانًا للأداء في المستقبل، وقد تختلف النتائج الفعلية اختلافا جوهريا عن تلك الواردة أو المعبَّر عنها في مثل هذه البيانات. </w:t>
      </w:r>
    </w:p>
    <w:p w14:paraId="21879A14" w14:textId="77777777" w:rsidR="000D183E" w:rsidRPr="0084637A" w:rsidRDefault="000D183E" w:rsidP="000D183E">
      <w:pPr>
        <w:pStyle w:val="P68B1DB1-KeyMessage1"/>
        <w:spacing w:beforeLines="40" w:before="96" w:afterLines="40" w:after="96"/>
        <w:rPr>
          <w:rFonts w:ascii="Traditional Arabic" w:hAnsi="Traditional Arabic" w:cs="Traditional Arabic"/>
          <w:b w:val="0"/>
          <w:bCs/>
          <w:sz w:val="30"/>
          <w:szCs w:val="30"/>
          <w:lang w:bidi="ar-EG"/>
        </w:rPr>
      </w:pPr>
      <w:r w:rsidRPr="0084637A">
        <w:rPr>
          <w:rFonts w:ascii="Traditional Arabic" w:hAnsi="Traditional Arabic" w:cs="Traditional Arabic"/>
          <w:b w:val="0"/>
          <w:bCs/>
          <w:sz w:val="30"/>
          <w:szCs w:val="30"/>
        </w:rPr>
        <w:t>نبذة</w:t>
      </w:r>
    </w:p>
    <w:p w14:paraId="6A2EB419"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موضوع التقرير</w:t>
      </w:r>
    </w:p>
    <w:p w14:paraId="1CC0243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قامت الشركة بتكليف شركة ماريتيم ستراتيجيز </w:t>
      </w:r>
      <w:r w:rsidR="00FF7DB9" w:rsidRPr="00F87C1B">
        <w:rPr>
          <w:rFonts w:ascii="Traditional Arabic" w:hAnsi="Traditional Arabic" w:cs="Traditional Arabic" w:hint="cs"/>
          <w:sz w:val="30"/>
          <w:szCs w:val="30"/>
        </w:rPr>
        <w:t>إنترناشيونال</w:t>
      </w:r>
      <w:r w:rsidRPr="00F87C1B">
        <w:rPr>
          <w:rFonts w:ascii="Traditional Arabic" w:hAnsi="Traditional Arabic" w:cs="Traditional Arabic"/>
          <w:sz w:val="30"/>
          <w:szCs w:val="30"/>
        </w:rPr>
        <w:t xml:space="preserve"> ليمتد (</w:t>
      </w:r>
      <w:r w:rsidR="00FF7DB9" w:rsidRPr="00F87C1B">
        <w:rPr>
          <w:rFonts w:ascii="Traditional Arabic" w:hAnsi="Traditional Arabic" w:cs="Traditional Arabic" w:hint="cs"/>
          <w:sz w:val="30"/>
          <w:szCs w:val="30"/>
        </w:rPr>
        <w:t xml:space="preserve">أو </w:t>
      </w:r>
      <w:r w:rsidR="00FF7DB9">
        <w:rPr>
          <w:rFonts w:ascii="Traditional Arabic" w:hAnsi="Traditional Arabic" w:cs="Traditional Arabic" w:hint="cs"/>
          <w:sz w:val="30"/>
          <w:szCs w:val="30"/>
        </w:rPr>
        <w:t>"</w:t>
      </w:r>
      <w:r w:rsidR="00FF7DB9" w:rsidRPr="00F87C1B">
        <w:rPr>
          <w:rFonts w:ascii="Traditional Arabic" w:hAnsi="Traditional Arabic" w:cs="Traditional Arabic" w:hint="cs"/>
          <w:sz w:val="30"/>
          <w:szCs w:val="30"/>
        </w:rPr>
        <w:t>مستشا</w:t>
      </w:r>
      <w:r w:rsidR="00FF7DB9" w:rsidRPr="00F87C1B">
        <w:rPr>
          <w:rFonts w:ascii="Traditional Arabic" w:hAnsi="Traditional Arabic" w:cs="Traditional Arabic" w:hint="eastAsia"/>
          <w:sz w:val="30"/>
          <w:szCs w:val="30"/>
        </w:rPr>
        <w:t>ر</w:t>
      </w:r>
      <w:r w:rsidRPr="00F87C1B">
        <w:rPr>
          <w:rFonts w:ascii="Traditional Arabic" w:hAnsi="Traditional Arabic" w:cs="Traditional Arabic"/>
          <w:sz w:val="30"/>
          <w:szCs w:val="30"/>
        </w:rPr>
        <w:t xml:space="preserve"> السوق ")، وهي شركة استشارات عالمية مستقلة للخدمات البحثية والاستشارية العالمية في مجال النقل البحري والصناعات البحرية، لإعداد دراسة عن السوق لغرض الاكتتاب العام المقترح لشركة أسياد للنقل البحري.</w:t>
      </w:r>
    </w:p>
    <w:p w14:paraId="1238F7A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يعرض </w:t>
      </w:r>
      <w:r w:rsidR="00FF7DB9">
        <w:rPr>
          <w:rFonts w:ascii="Traditional Arabic" w:hAnsi="Traditional Arabic" w:cs="Traditional Arabic" w:hint="cs"/>
          <w:sz w:val="30"/>
          <w:szCs w:val="30"/>
        </w:rPr>
        <w:t>الفصل</w:t>
      </w:r>
      <w:r w:rsidRPr="00F87C1B">
        <w:rPr>
          <w:rFonts w:ascii="Traditional Arabic" w:hAnsi="Traditional Arabic" w:cs="Traditional Arabic"/>
          <w:sz w:val="30"/>
          <w:szCs w:val="30"/>
        </w:rPr>
        <w:t xml:space="preserve"> التالي نظرة عامة على أسواق النفط الخام العالمية ومنتجات النفط، والبضائع السائبة الجافة، والغاز الطبيعي المسال، والحاويات، وال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البحري المنتظم، وأحوال وظروف العرض والطلب ذات الصلة. يتم تقديم معلومات حول العوامل الأساسية للاقتصاد الكلي وقطاع الطاقة وتوجهات السوق وراء توقعات مستشار السوق، بالإضافة إلى نظرة عامة على اللوائح البيئية ذات الصلة. تستند المعلومات الواردة في هذا </w:t>
      </w:r>
      <w:r w:rsidR="00FF7DB9">
        <w:rPr>
          <w:rFonts w:ascii="Traditional Arabic" w:hAnsi="Traditional Arabic" w:cs="Traditional Arabic" w:hint="cs"/>
          <w:sz w:val="30"/>
          <w:szCs w:val="30"/>
        </w:rPr>
        <w:t>الفصل</w:t>
      </w:r>
      <w:r w:rsidRPr="00F87C1B">
        <w:rPr>
          <w:rFonts w:ascii="Traditional Arabic" w:hAnsi="Traditional Arabic" w:cs="Traditional Arabic"/>
          <w:sz w:val="30"/>
          <w:szCs w:val="30"/>
        </w:rPr>
        <w:t xml:space="preserve"> إلى تقييم مستشار السوق المستقل للسوق باستخدام مزيج من التحليل الداخلي لمستشار السوق والمصادر المتاحة للجمهور.</w:t>
      </w:r>
    </w:p>
    <w:p w14:paraId="2E811CE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يعتقد مستشار السوق أنه استخدم مصادر معلومات ومنهجيات مناسبة لهذه الدراسة ولكن نظرًا لطبيعة التقنيات والمنهجيات المستخدمة في أبحاث السوق لا يضمن ولا يتعهد بدقة أو اكتمال هذه المعلومات. لا ينبغي اعتبار الإشارات إلى تقرير مستشار السوق بمثابة رأيه فيما يتعلق بقيمة أي ورقة مالية أو مدى صحة وصواب الاستثمار في الشركة. في حين أن هذه الوثيقة قد تم إعدادها، ويتم تقديمها، بحسن نية، فإن مستشار السوق لا يتحمل أي مسؤولية عن أخطاء الوقائع أو الرأي أو تغييرات السوق، ولا يمكن أن يكون مسؤولا عن أي خسائر متكبدة أو إجراء ناشئ عن المعلومات الواردة في هذه الوثيقة. وعلى الرغم من أن أي توقعات واردة في هذه الوثيقة تستند إلى افتراضات مستشار السوق، إلا أنه لا يوجد ما يضمن أن هذه التوقعات ستثبت </w:t>
      </w:r>
      <w:r w:rsidRPr="00F87C1B">
        <w:rPr>
          <w:rFonts w:ascii="Traditional Arabic" w:hAnsi="Traditional Arabic" w:cs="Traditional Arabic"/>
          <w:sz w:val="30"/>
          <w:szCs w:val="30"/>
        </w:rPr>
        <w:lastRenderedPageBreak/>
        <w:t xml:space="preserve">دقتها، حيث قد تختلف الأحداث المستقبلية بشكل كبير. أي بيانات أو توقعات أو اتجاهات مستقبلية واردة في هذا </w:t>
      </w:r>
      <w:r w:rsidR="008F295D">
        <w:rPr>
          <w:rFonts w:ascii="Traditional Arabic" w:hAnsi="Traditional Arabic" w:cs="Traditional Arabic"/>
          <w:sz w:val="30"/>
          <w:szCs w:val="30"/>
        </w:rPr>
        <w:t>الفصل</w:t>
      </w:r>
      <w:r w:rsidRPr="00F87C1B">
        <w:rPr>
          <w:rFonts w:ascii="Traditional Arabic" w:hAnsi="Traditional Arabic" w:cs="Traditional Arabic"/>
          <w:sz w:val="30"/>
          <w:szCs w:val="30"/>
        </w:rPr>
        <w:t xml:space="preserve"> ليست ضمانات للمستقبل، وبالتالي لا ينبغي الاعتماد عليها.</w:t>
      </w:r>
    </w:p>
    <w:p w14:paraId="2A3DB676"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منهجية البحث</w:t>
      </w:r>
    </w:p>
    <w:p w14:paraId="1C8D94B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تستند جميع البيانات والتحليلات وتقديرات البحث في هذا الفصل إلى العمل البحثي الذي تم إجراؤه بين مارس 2024 ونوفمبر 2024 بما في ذلك: (1) البحث المكتبي لجمع المصادر الثانوية المتاحة للجمهور للبيانات، بما في ذلك الإحصاءات حول مؤشرات الاقتصاد الكلي، والتركيبة السكانية من كيانات مثل صندوق النقد الدولي والبنك الدولي، وقواعد البيانات الداخلية لـمستشار السوق ؛ (2) جمع بيانات مستشار السوق عبر الأسواق الأساسية والأسواق الأخرى ؛ و (3) التحقق من المصادر وتحليلها لبناء توافق في الآراء حول حجم السوق والاتجاهات التاريخية.</w:t>
      </w:r>
    </w:p>
    <w:p w14:paraId="7E8F5E76"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التنبؤ بالأسس والافتراضات</w:t>
      </w:r>
    </w:p>
    <w:p w14:paraId="5D27CC3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تستمد أسس التنبؤ والافتراضات الواردة في هذا </w:t>
      </w:r>
      <w:r w:rsidR="008F295D">
        <w:rPr>
          <w:rFonts w:ascii="Traditional Arabic" w:hAnsi="Traditional Arabic" w:cs="Traditional Arabic"/>
          <w:sz w:val="30"/>
          <w:szCs w:val="30"/>
        </w:rPr>
        <w:t>الفصل</w:t>
      </w:r>
      <w:r w:rsidRPr="00F87C1B">
        <w:rPr>
          <w:rFonts w:ascii="Traditional Arabic" w:hAnsi="Traditional Arabic" w:cs="Traditional Arabic"/>
          <w:sz w:val="30"/>
          <w:szCs w:val="30"/>
        </w:rPr>
        <w:t xml:space="preserve"> من وجهات نظر حول التطور المستقبلي للاقتصاد العالمي وأسواق الطاقة والسلع الأساسية، والتي تم توضيحها في الفقرات أدناه. في نموذج مستشار السوق، تم ترجمة هذه المحركات عالية المستوى إلى توقعات للتجارة العالمية عبر مجموعة واسعة من السلع والطلب على السفن. كما يتم النظر في تقييم المعروض من السفن، من أجل بناء توازن بين العرض والطلب لكل قطاع شحن. البيانات السنوية المقدمة في هذا </w:t>
      </w:r>
      <w:r w:rsidR="008F295D">
        <w:rPr>
          <w:rFonts w:ascii="Traditional Arabic" w:hAnsi="Traditional Arabic" w:cs="Traditional Arabic"/>
          <w:sz w:val="30"/>
          <w:szCs w:val="30"/>
        </w:rPr>
        <w:t>الفصل</w:t>
      </w:r>
      <w:r w:rsidRPr="00F87C1B">
        <w:rPr>
          <w:rFonts w:ascii="Traditional Arabic" w:hAnsi="Traditional Arabic" w:cs="Traditional Arabic"/>
          <w:sz w:val="30"/>
          <w:szCs w:val="30"/>
        </w:rPr>
        <w:t xml:space="preserve"> من عام 2024 إلى عام 2030 هي بيانات متوقعة وتستند إلى الحالة الأساسية للربع الرابع من عام 2024 من مستشار السوق، ومع ذلك، كما هو الحال مع طبيعة بيانات السوق، يمكن أن تتغير البيانات التاريخية أيضًا من وقت لآخر، إذا توفرت المزيد من المعلومات.</w:t>
      </w:r>
    </w:p>
    <w:p w14:paraId="5AD2B48C" w14:textId="77777777" w:rsidR="00F87C1B" w:rsidRPr="00272B36" w:rsidRDefault="00F87C1B" w:rsidP="006B57D8">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قطاع الشحن العالمي</w:t>
      </w:r>
    </w:p>
    <w:p w14:paraId="606532C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توفر صناعة الشحن العالمية اتصالًا متكاملًا بين الدول والمناطق باعتبارها الطريقة الوحيدة العملية والفعالة من حيث التكلفة لنقل كميات كبيرة من العديد من السلع الأساسية والسلع النهائية. ومن ثم، فقد سهلت توسع العولمة الاقتصادية لعدة قرون. توفر صناعة النقل البحري لمجموعة واسعة من السلع الخام، والسلع التي خضعت لبعض عمليات التصنيع والسلع المصنعة المختلفة. يتنوع نطاق الشحنات التي تنقلها السفن، إلا أنه يمكن تصنيفها على نطاق واسع على أنها شحنات "سائلة" أو "جافة". تشمل الحمولة السائلة النفط الخام والمنتجات النفطية والمواد الكيميائية والأمونيا والغازات المسالة (الغاز الطبيعي المسال وغاز البترول المسال). البضائع الجافة الرئيسية هي الفحم وخام الحديد والحبوب والسلع الجاهزة المعبأة في حاويات والسيارات والسلع الأساسية الأخرى.</w:t>
      </w:r>
    </w:p>
    <w:p w14:paraId="2559E6E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لا شك أن التجارة البحرية مدفوعة بشكل أساسي بالفصل الجغرافي بين مصادر الطلب ومصادر العرض للسلع والمنتجات المصنعة. وهذا يولد متطلبات للسفن لنقل البضائع من منطقة إلى أخرى. يتأثر الطلب على السلع التي يتم تداولها عن طريق البحر بشكل أساسي بالظروف الاقتصادية العالمية والإقليمية بالإضافة إلى عوامل أخرى مثل التغيرات في أنماط النقل البحري وأنماط النقل الأخرى، والتغيرات في الأسعار الإقليمية للمواد الخام والمنتجات.</w:t>
      </w:r>
    </w:p>
    <w:p w14:paraId="04FC8B0F"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توقعات الاقتصاد الكلي</w:t>
      </w:r>
    </w:p>
    <w:p w14:paraId="676F6F13"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الاقتصاد العالمي</w:t>
      </w:r>
    </w:p>
    <w:p w14:paraId="390527A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نمو الاقتصاد الكلي العالمي هو المحرك الأساسي للطلب على النقل البحري. وتتأثر أحجام البضائع بالطلب الاستهلاكي والصناعي على السلع والبضائع المستخدمة في النقل والأغراض التجارية والصناعية. وهناك عدد من العوامل الأخرى، التي غالبًا ما تختلف حسب قطاع الشحن وتدفع الطلب وتشكله، إلا إن التطورات الاقتصادية العالمية أساسية في تحديد الظروف العامة في أسواق الشحن.</w:t>
      </w:r>
    </w:p>
    <w:p w14:paraId="15D0411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استمر نمو الناتج الاقتصادي العالمي في تسجيل وتيرة ثابتة من التوسع في الربع الأول من عام 2024، حيث واصل التضخم العودة إلى الاتجاه. ومن المتوقع أن تستمر البنوك المركزية الرئيسية في خفض أسعار الفائدة للمضي قدمًا. ويقدر مستشار السوق على أساس سنوي أن نمو الناتج المحلي الإجمالي العالمي في عام 2023 كان 2.7 في المائة على أساس سنوي (على أساس الأسعار الثابتة)، وتتوقع أن نمو الناتج المحلي الإجمالي العالمي سيكون 2.7 في المائة على أساس سنوي في عام 2024 و 2.7 في المائة على أساس سنوي في عام 2025. ومن المتوقع أن يكون تخفيف السياسة النقدية داعمًا للنمو الاقتصادي العالمي في عام 2025. تأتي هذه التوقعات الاقتصادية المستقرة نسبيًا بعد عدة سنوات من التقلبات الواضحة في النشاط الاقتصادي العالمي، حيث تأثر النمو بجائحة كوفيد-19 والغزو الروسي لأوكرانيا.</w:t>
      </w:r>
    </w:p>
    <w:p w14:paraId="715EB585"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اتجاهات نمو الناتج المحلي الإجمالي الحقيقي والتوقعات</w:t>
      </w:r>
    </w:p>
    <w:p w14:paraId="5966B42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5D05E3F9" wp14:editId="4607BD05">
            <wp:extent cx="3378200" cy="2201460"/>
            <wp:effectExtent l="0" t="0" r="0" b="8890"/>
            <wp:docPr id="1168034502" name="Picture 24" descr="A graph of different colored lin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8034502" name="Picture 24" descr="A graph of different colored lines  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00725" cy="2216139"/>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6FAF67A8" w14:textId="77777777" w:rsidTr="00922116">
        <w:tc>
          <w:tcPr>
            <w:tcW w:w="1440" w:type="dxa"/>
            <w:tcBorders>
              <w:top w:val="single" w:sz="4" w:space="0" w:color="auto"/>
            </w:tcBorders>
            <w:vAlign w:val="bottom"/>
          </w:tcPr>
          <w:p w14:paraId="541A8B0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1955126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2B1D2ADA" w14:textId="77777777" w:rsidTr="00922116">
        <w:tc>
          <w:tcPr>
            <w:tcW w:w="9039" w:type="dxa"/>
            <w:gridSpan w:val="2"/>
            <w:vAlign w:val="bottom"/>
          </w:tcPr>
          <w:p w14:paraId="3728965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1901C876"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 صندوق النقد الدولي</w:t>
      </w:r>
    </w:p>
    <w:p w14:paraId="7474137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وخلال الفترة 2021-2022، كانت منطقة الشرق الأوسط وشمال إفريقيا متفردة عالميًا من حيث قوة نمو الناتج الاقتصادي، ولكن منذ عام 2022 تباطأ النمو. ويعكس هذا في الغالب تأثير تخفيضات إنتاج النفط، إلى جانب انخفاض أسعار النفط والغاز، مما عوض ووازن القطاعات الاقتصادية غير النفطية. وبعد نمو يقدر بنسبة 2.2 في المائة على أساس سنوي في عام 2023، يتوقع مستشار السوق أن نمو الناتج المحلي الإجمالي الحقيقي في منطقة الشرق الأوسط وشمال إفريقيا سيكون 2.1 في المائة على أساس سنوي في عام 2024 و 3.6 في المائة على أساس سنوي في عام 2025. ومن المتوقع أن يساهم كل من القطاعات الاقتصادية النفطية وغير النفطية في التسارع المتوقع في النمو الاقتصادي الإقليمي.</w:t>
      </w:r>
    </w:p>
    <w:p w14:paraId="241C53DD"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مجلس التعاون الخليجي/ سلطنة عمان</w:t>
      </w:r>
    </w:p>
    <w:p w14:paraId="6DCA1AA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وتمثل سلطنة عمان حاليًا 5.5 في المائة من الناتج المحلي الإجمالي الحقيقي لدول مجلس التعاون الخليجي، وهي نسبة مستقرة منذ عام 2010. وخلال الفترة 2014-23، بلغ متوسط نمو الناتج المحلي الإجمالي الحقيقي العماني 2.0 في المائة على أساس سنوي، بما يتماشى مع متوسط النمو في الناتج المحلي الإجمالي الحقيقي لدول مجلس التعاون الخليجي. وقد نما الناتج المحلي الإجمالي الحقيقي لدول مجلس التعاون الخليجي بنسبة تقدر بنحو 0.6 في المائة في عام 2023، بعد توسع بنسبة 7.1 في المائة على أساس سنوي في عام 2022، مع تباطؤ في النمو يعكس في المقام الأول تخفيضات في إنتاج النفط. كما تعد سلطنة عمان منتجًا مهمًا للنفط حيث أن الإنتاج مستقر تاريخيًا ويبلغ متوسطه عادةً ما يقرب من مليون برميل في اليوم، أي أقل بقليل </w:t>
      </w:r>
      <w:r w:rsidRPr="00F87C1B">
        <w:rPr>
          <w:rFonts w:ascii="Traditional Arabic" w:hAnsi="Traditional Arabic" w:cs="Traditional Arabic"/>
          <w:sz w:val="30"/>
          <w:szCs w:val="30"/>
        </w:rPr>
        <w:lastRenderedPageBreak/>
        <w:t>من 1 في المائة من الإنتاج العالمي للنفط. وقد انكمش الإنتاج الصناعي في دول مجلس التعاون الخليجي في عام 2023، بعد توسع قوي بنسبة 12.0 في المائة على أساس سنوي في عام 2022. وقد سجل الاقتصاد العماني توسعًا بنسبة 1.2 في المائة على أساس سنوي في عام 2023، بعد نمو بنسبة 8.0 في المائة على أساس سنوي في عام 2022.</w:t>
      </w:r>
    </w:p>
    <w:p w14:paraId="7D6C680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وكما هو الحال مع دول مجلس التعاون الخليجي على نطاق أوسع، كان تباطؤ وتيرة النمو الاقتصادي في سلطنة عمان في عام 2023 والنصف الأول من عام 2024 يعزى إلى انخفاض إنتاج النفط. وفي المقابل، حققت الصادرات غير المتعلقة بالطاقة أداءً قويًا، وشهد النمو في الأنشطة الاقتصادية غير المتعلقة بالطاقة نموًا بنسبة 2.1 في المائة على أساس سنوي في عام 2023، و 4.7 في المائة على أساس سنوي في الربع الثاني من عام 2024. وفي الفترة ما بين مارس 2022 ويوليو 2023، رفع البنك المركزي العماني سعر الفائدة القياسي من 0.5 في المائة إلى 6.0 في المائة، بما يتماشى مع زيادات أسعار الفائدة التي قررها الاحتياطي الفيدرالي. تم تخفيض سعر الفائدة إلى 5.5 في المائة في سبتمبر 2024، و 5.25 في المائة في نوفمبر 2024. وقد حافظ الريال العماني على أدائه بسبب ربط العملة بالدولار الأمريكي. وقد ظل تضخم أسعار المستهلك في سلطنة عمان تحت السيطرة، حيث تباطأ من 2.5 في المائة على أساس سنوي في عام 2022 إلى 0.9 في المائة في عام 2023.</w:t>
      </w:r>
    </w:p>
    <w:p w14:paraId="42E0CBB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وخلال الفترة حتى عام 2030، يتوقع مستشار السوق أن تشهد سلطنة عمان متوسط نمو للناتج المحلي الإجمالي الحقيقي بنسبة 2.5 في المائة سنويًا، مع نمو بنسبة 1.5 في المائة في عام 2024، و 3.0 في المائة في عام 2025، و 3.0 في المائة في عام 2026. ومن المتوقع أن يصل نمو الناتج المحلي الإجمالي غير النفطي والمتعلق بالغاز إلى 1 في المائة، وهو أعلى من نمو الناتج المحلي الإجمالي الكلي خلال هذا الإطار الزمني، حيث يشهد النمو في الناتج المحلي الإجمالي المرتبط بالنفط والغاز نموًا أبطأ من إجمالي الناتج المحلي الحقيقي. وستوفر زيادة إنتاج النفط دفعة للناتج الاقتصادي في الفترة 2025-2026، بينما من المتوقع أن يؤدي انخفاض أسعار الفائدة وتدابير الإصلاح الاقتصادي، على المدى المتوسط، إلى تعزيز الاستثمار الخاص. وتتعلق المخاطر التي تهدد التوقعات الاقتصادية في المقام الأول بتقلبات سوق النفط والهيدروكربونات. وتشمل تدابير الإصلاح الرئيسية الأخيرة التي تم إدخالها في إطار برنامج رؤية عمان 2040 السماح بالملكية الأجنبية الكاملة للشركات المحلية، وزيادة الدعم للمؤسسات الصغيرة والمتوسطة في إطار صندوق عمان المستقبل، وقواعد أكثر مرونة حول شراء العقارات. تأسس جهاز الاستثمار العماني في عام 2020 لتحفيز الاستثمار الخاص، لا سيما في مجالات العقارات والخدمات اللوجستية والهيدروجين الأخضر والطاقة المتجددة. اعتبارًا من عام 2023، بلغ الاستثمار الأجنبي المباشر الوارد كحصة من الناتج المحلي الإجمالي ما يقدر بنحو 3.4 في المائة في سلطنة عمان، مقارنة بالمتوسط المرجح للناتج المحلي الإجمالي البالغ 2.8 في المائة في جميع أنحاء دول مجلس التعاون </w:t>
      </w:r>
      <w:r w:rsidRPr="00F87C1B">
        <w:rPr>
          <w:rFonts w:ascii="Traditional Arabic" w:hAnsi="Traditional Arabic" w:cs="Traditional Arabic"/>
          <w:sz w:val="30"/>
          <w:szCs w:val="30"/>
        </w:rPr>
        <w:lastRenderedPageBreak/>
        <w:t>الخليجي. وفي نوفمبر 2024، أطلقت وزارة التجارة والصناعة وترويج الاستثمار خطة "التصنيع" لتعزيز المحتوى المحلي داخل القطاع الصناعي.</w:t>
      </w:r>
    </w:p>
    <w:p w14:paraId="44F3CAE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كما رفعت وكالة التصنيف ستاندرد آند بورز توقعاتها للتصنيف الائتماني الحالي "BB+/ B" في سلطنة عمان إلى إيجابي في مارس 2024، مما يعكس تحسن الظروف المالية وجهود الإصلاح الاقتصادي المستمرة. شهد شهر أكتوبر مزيدًا من الترقية إلى "BBB -" مع نظرة مستقبلية مستقرة، مدعومة بتحسن الأداء المالي. وقد انتقل الحساب الجاري لسلطنة عمان إلى الفائض في عام 2022 بعد سبع سنوات من العجز، وفي إطار الخطة المالية متوسطة الأجل التي تم تقديمها في عام 2020، انخفض دين الحكومة المركزية كحصة من الناتج المحلي الإجمالي من 68 في المائة في عام 2020 إلى 38 في المائة في عام 2023.</w:t>
      </w:r>
    </w:p>
    <w:p w14:paraId="57BAD15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في جميع دول مجلس التعاون الخليجي، تختلف درجة التنويع الاقتصادي عن قطاع النفط والغاز. وفي حين شكل النشاط الاقتصادي المرتبط بالنفط ما يقدر بنحو 51 في المائة من الناتج المحلي الإجمالي الحقيقي الكويتي في عام 2023، بلغت الحصة المعادلة في البحرين 15 في المائة. وقد انخفضت حصة أنشطة الناتج المحلي الإجمالي المتعلقة بالنفط في الناتج المحلي الإجمالي العماني الإجمالي من ما يقدر بنحو 37 في المائة في عام 2010 إلى 31 في المائة في عام 2023. ويتوقع متنبئ الاقتصاد المستقل، أكسفورد إيكونوميكس، أن تنخفض هذه الحصة إلى 25 في المائة بحلول عام 2030.</w:t>
      </w:r>
    </w:p>
    <w:p w14:paraId="34FDA18A"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أنشطة النفط والغاز في دول مجلس التعاون الخليجي كحصة من الناتج المحلي الإجمالي الحقيقي</w:t>
      </w:r>
    </w:p>
    <w:p w14:paraId="012B080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31EB426F" wp14:editId="29605918">
            <wp:extent cx="3376800" cy="2199600"/>
            <wp:effectExtent l="0" t="0" r="0" b="0"/>
            <wp:docPr id="344620402" name="Picture 25" descr="A graph of different colored lin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620402" name="Picture 25" descr="A graph of different colored lines  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76800"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445AC051" w14:textId="77777777" w:rsidTr="00922116">
        <w:tc>
          <w:tcPr>
            <w:tcW w:w="1440" w:type="dxa"/>
            <w:tcBorders>
              <w:top w:val="single" w:sz="4" w:space="0" w:color="auto"/>
            </w:tcBorders>
            <w:vAlign w:val="bottom"/>
          </w:tcPr>
          <w:p w14:paraId="6AE070D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3F553EE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12D0D5DA" w14:textId="77777777" w:rsidTr="00922116">
        <w:tc>
          <w:tcPr>
            <w:tcW w:w="9039" w:type="dxa"/>
            <w:gridSpan w:val="2"/>
            <w:vAlign w:val="bottom"/>
          </w:tcPr>
          <w:p w14:paraId="6890B73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يُعرّف الناتج المحلي الإجمالي المرتبط بالنفط بأنه نشاط اقتصادي مرتبط بإنتاج النفط الخام وإنتاج الغاز الطبيعي وتكرير النفط</w:t>
            </w:r>
          </w:p>
        </w:tc>
      </w:tr>
    </w:tbl>
    <w:p w14:paraId="70A8DA1E"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lastRenderedPageBreak/>
        <w:t>المصدر: مستشار السوق للربع الرابع لعام 2024 الحالة الأساسية، أكسفورد إيكونوميكس</w:t>
      </w:r>
    </w:p>
    <w:p w14:paraId="18C4AD82"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انتقال الطاقة</w:t>
      </w:r>
    </w:p>
    <w:p w14:paraId="4C410A66"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نظرة عامة على السوق</w:t>
      </w:r>
    </w:p>
    <w:p w14:paraId="7638D16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يتم تلبية الطلب العالمي على الطاقة من خلال استخدام ومعالجة العديد من مصادر الطاقة الأولية الرئيسية. ويمكن تعريفها على نطاق واسع على أنها هيدروكربونات (بشكل أساسي النفط والغاز والفحم والوقود الحيوي)، ومصادر الطاقة المتجددة (بشكل أساسي الطاقة الشمسية وطاقة الرياح)، والطاقة الكهرومائية والنووية. وتشمل الاستخدامات الرئيسية للطاقة الخدمات التجارية والعامة والصناعة والسكن والنقل.</w:t>
      </w:r>
    </w:p>
    <w:p w14:paraId="7CC6614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تتغير أسواق الطاقة العالمية حيث تشكل اتجاهات الحد من انبعاثات الكربون والنمو الديموغرافي والاقتصادي وأمن الطاقة وسلوك المستهلك - إنتاج الطاقة واستهلاكها. حيث شهد الطلب العالمي على الطاقة نموًا ثابتًا على المدى الطويل يتماشى مع التوسع الديموغرافي والاقتصادي. وتاريخيًا، كان هذا التوسع يعتمد على الوقود الأحفوري – النفط والغاز والفحم – لتلبية الطلب، وسيظل هذا جزءًا مهمًا من مزيج الطاقة العالمي. يشير انتقال الطاقة إلى التغيرات الهيكلية الأساسية في العرض والطلب على الطاقة، والتي ترتبط في المقام الأول بالتحول من الوقود الأحفوري إلى مصادر طاقة منخفضة الانبعاثات مثل الطاقة المتجددة والهيدروجين والطاقة النووية.</w:t>
      </w:r>
    </w:p>
    <w:p w14:paraId="618E497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لدى قطاعي الشحن والنقل البحري درجات متفاوتة من مخاطر انتقال الطاقة. وتشارك بعض القطاعات في نقل الحمولة المتعلقة بالطاقة حصريًا، أو خدمة البنية التحتية المنتجة للطاقة، بينما تنقل قطاعات أخرى سلعًا من حمولات متعلقة بالطاقة وغير المتعلقة بها. لدى بعض القطاعات مثل قطاع الحاويات مخاطر محدودة للغاية أو عدم وجود مخاطر مباشرة للبضائع لانتقال الطاقة.</w:t>
      </w:r>
    </w:p>
    <w:p w14:paraId="2AA62DE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بالنظر إلى الاستهلاك النهائي العالمي للطاقة، فمن المتوقع أن تنخفض حصة الهيدروكربونات على مستوى العالم، حيث ستنخفض من حوالي 75 في المائة حاليًا إلى ما يزيد قليلاً عن النصف بحلول عام 2050. ومن المتوقع أن يصل الاستخدام الإجمالي للهيدروكربونات إلى ذروته بحلول عام 2030، على الرغم من أن أنواع الوقود هذه ستظل جزءًا كبيرًا من مزيج الطاقة العالمي بحلول عام 2050. في البداية، نتوقع أن يتم سد "الفجوة" في الطاقة عن طريق الكهرباء، والتي ستستمر في النمو من حيث القيمة المطلقة والحصة السوقية، وهذا مذكور في التوقعات. وهذا بدوره سيتطلب زيادات كبيرة وتغييرات في توليد الكهرباء لتلبية هذا المطلب المتزايد بطريقة مستدامة.</w:t>
      </w:r>
    </w:p>
    <w:p w14:paraId="443AF90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تتضمن استراتيجية رؤية عمان 2040 ركيزة من ركائز البيئة المستدامة. ويشمل ذلك هدف "الطاقة المتجددة، ومصادر الطاقة المتنوعة، وترشيد الاستهلاك لتحقيق أمن الطاقة". يتمثل الهدف العام للبرنامج الوطني للحياد الكربوني في تحقيق صافي انبعاثات صفرية من</w:t>
      </w:r>
      <w:r w:rsidRPr="00F87C1B">
        <w:rPr>
          <w:rFonts w:ascii="Traditional Arabic" w:hAnsi="Traditional Arabic" w:cs="Traditional Arabic"/>
          <w:sz w:val="30"/>
          <w:szCs w:val="30"/>
          <w:vertAlign w:val="subscript"/>
        </w:rPr>
        <w:t xml:space="preserve"> ثاني</w:t>
      </w:r>
      <w:r w:rsidRPr="00F87C1B">
        <w:rPr>
          <w:rFonts w:ascii="Traditional Arabic" w:hAnsi="Traditional Arabic" w:cs="Traditional Arabic"/>
          <w:sz w:val="30"/>
          <w:szCs w:val="30"/>
        </w:rPr>
        <w:t xml:space="preserve"> أكسيد الكربون بحلول عام 2050.</w:t>
      </w:r>
    </w:p>
    <w:p w14:paraId="2570C87B"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الاستهلاك النهائي للطاقة – نوع الوقود</w:t>
      </w:r>
    </w:p>
    <w:p w14:paraId="72C7D3F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7046AD1B" wp14:editId="626BD845">
            <wp:extent cx="3371034" cy="2199600"/>
            <wp:effectExtent l="0" t="0" r="1270" b="0"/>
            <wp:docPr id="1672812774" name="Picture 24" descr="A graph showing the amount of energy in different color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12774" name="Picture 24" descr="A graph showing the amount of energy in different colors  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71034"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65DF20E8" w14:textId="77777777" w:rsidTr="00922116">
        <w:tc>
          <w:tcPr>
            <w:tcW w:w="1424" w:type="dxa"/>
            <w:tcBorders>
              <w:top w:val="single" w:sz="4" w:space="0" w:color="auto"/>
            </w:tcBorders>
            <w:vAlign w:val="bottom"/>
          </w:tcPr>
          <w:p w14:paraId="771BE79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01" w:type="dxa"/>
            <w:vAlign w:val="bottom"/>
          </w:tcPr>
          <w:p w14:paraId="0491BBD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278D2FCD" w14:textId="77777777" w:rsidTr="00922116">
        <w:tc>
          <w:tcPr>
            <w:tcW w:w="8925" w:type="dxa"/>
            <w:gridSpan w:val="2"/>
            <w:vAlign w:val="bottom"/>
          </w:tcPr>
          <w:p w14:paraId="3BFE584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2050 هي توقعات مستقبلية</w:t>
            </w:r>
          </w:p>
        </w:tc>
      </w:tr>
    </w:tbl>
    <w:p w14:paraId="6E6F920D"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494300F9"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الاستهلاك النهائي للطاقة – المنطقة</w:t>
      </w:r>
    </w:p>
    <w:p w14:paraId="2A891AD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5E54CBD2" wp14:editId="761C21AF">
            <wp:extent cx="3366735" cy="2199600"/>
            <wp:effectExtent l="0" t="0" r="5715" b="0"/>
            <wp:docPr id="614008242" name="Picture 25" descr="A graph of different colored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08242" name="Picture 25" descr="A graph of different colored lines  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1921E551" w14:textId="77777777" w:rsidTr="00922116">
        <w:tc>
          <w:tcPr>
            <w:tcW w:w="1424" w:type="dxa"/>
            <w:tcBorders>
              <w:top w:val="single" w:sz="4" w:space="0" w:color="auto"/>
            </w:tcBorders>
            <w:vAlign w:val="bottom"/>
          </w:tcPr>
          <w:p w14:paraId="68D851EC"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01" w:type="dxa"/>
            <w:vAlign w:val="bottom"/>
          </w:tcPr>
          <w:p w14:paraId="4DCBA912"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42C616A3" w14:textId="77777777" w:rsidTr="00922116">
        <w:tc>
          <w:tcPr>
            <w:tcW w:w="8925" w:type="dxa"/>
            <w:gridSpan w:val="2"/>
            <w:vAlign w:val="bottom"/>
          </w:tcPr>
          <w:p w14:paraId="44671CBB"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lastRenderedPageBreak/>
              <w:t>2024 إلى 2050 هي توقعات مستقبلية</w:t>
            </w:r>
          </w:p>
        </w:tc>
      </w:tr>
    </w:tbl>
    <w:p w14:paraId="445F49D9"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16A0F37C"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سوق ناقلات النفط</w:t>
      </w:r>
    </w:p>
    <w:p w14:paraId="37A993DF"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نظرة عامة على السوق</w:t>
      </w:r>
    </w:p>
    <w:p w14:paraId="7F9A91D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تقوم ناقلات النفط بنقل النفط في شكله غير المكرر (الخام) والأشكال المكررة (المنتجات). وتصنف المنتجات النفطية بشكل عام على أنها نظيفة (على سبيل المثال، البنزين والديزل ووقود الطائرات والنفتا) وغير نظيفة (زيت الوقود). وعادة ما يتم نقل المنتجات النظيفة في ناقلات ذات خزانات مطلية بطبقة حماية، في حين يتم نقل النفط الخام وزيت الوقود في سفن غير مطلية. وتتركز تحركات النفط الخام بين مصادر إنتاج النفط (على سبيل المثال، الشرق الأوسط وأفريقيا والأمريكتين) ومراكز التكرير والتخزين. وتتنقل المنتجات النفطية بين المصافي ومناطق استهلاك النفط وتداوله وتخزينه.</w:t>
      </w:r>
    </w:p>
    <w:p w14:paraId="67DA28B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السفن غير المطلية هي في الغالب أكبر من السفن المطلية، وتستخدم بشكل رئيسي لنقل كميات كبيرة من النفط الخام من المناطق المنتجة إلى المصافي.</w:t>
      </w:r>
    </w:p>
    <w:p w14:paraId="3759E50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ومع نقلها النفط الخام وانواع كثيرة من المنتجات، تحتل أسياد المرتبة الثانية في منطقة دول مجلس التعاون الخليجي من حيث ملكية ناقلات النفط، بعد شركة بحري. لدى أسياد 22 ناقلة نفط خام، بما في ذلك 16 ناقلة نفط خام عملاقة (أربعة منها قيد الطلب)، وأربع سفن مناسبة لقناة السويس (سويسماكس) وسفينتان متوسطة الحمولة (أفراماكس) بالإضافة إلى 34 ناقلة منتجات.</w:t>
      </w:r>
    </w:p>
    <w:p w14:paraId="0EB5105F"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الجدول: أنواع سفن ناقلات النفط ومناطق التداول النموذجية</w:t>
      </w:r>
    </w:p>
    <w:tbl>
      <w:tblPr>
        <w:tblStyle w:val="TableGrid"/>
        <w:tblW w:w="9060"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16"/>
        <w:gridCol w:w="236"/>
        <w:gridCol w:w="2016"/>
        <w:gridCol w:w="236"/>
        <w:gridCol w:w="2160"/>
        <w:gridCol w:w="236"/>
        <w:gridCol w:w="2160"/>
      </w:tblGrid>
      <w:tr w:rsidR="006B57D8" w:rsidRPr="0032117C" w14:paraId="52D4158A" w14:textId="77777777" w:rsidTr="00922116">
        <w:tc>
          <w:tcPr>
            <w:tcW w:w="2016" w:type="dxa"/>
            <w:tcBorders>
              <w:bottom w:val="single" w:sz="4" w:space="0" w:color="auto"/>
            </w:tcBorders>
            <w:vAlign w:val="bottom"/>
          </w:tcPr>
          <w:p w14:paraId="5341CE86" w14:textId="77777777" w:rsidR="006B57D8" w:rsidRPr="0032117C" w:rsidRDefault="006B57D8" w:rsidP="00922116">
            <w:pPr>
              <w:pStyle w:val="CellHead"/>
              <w:rPr>
                <w:sz w:val="16"/>
                <w:szCs w:val="16"/>
              </w:rPr>
            </w:pPr>
            <w:r w:rsidRPr="0032117C">
              <w:rPr>
                <w:sz w:val="16"/>
                <w:szCs w:val="16"/>
              </w:rPr>
              <w:t>Vessel Class</w:t>
            </w:r>
          </w:p>
        </w:tc>
        <w:tc>
          <w:tcPr>
            <w:tcW w:w="236" w:type="dxa"/>
            <w:tcBorders>
              <w:left w:val="nil"/>
            </w:tcBorders>
            <w:vAlign w:val="bottom"/>
          </w:tcPr>
          <w:p w14:paraId="1E9CC57F" w14:textId="77777777" w:rsidR="006B57D8" w:rsidRPr="0032117C" w:rsidRDefault="006B57D8" w:rsidP="00922116">
            <w:pPr>
              <w:pStyle w:val="CellHead"/>
              <w:rPr>
                <w:sz w:val="16"/>
                <w:szCs w:val="16"/>
              </w:rPr>
            </w:pPr>
          </w:p>
        </w:tc>
        <w:tc>
          <w:tcPr>
            <w:tcW w:w="2016" w:type="dxa"/>
            <w:tcBorders>
              <w:bottom w:val="single" w:sz="4" w:space="0" w:color="auto"/>
            </w:tcBorders>
            <w:vAlign w:val="bottom"/>
          </w:tcPr>
          <w:p w14:paraId="7F51524E" w14:textId="77777777" w:rsidR="006B57D8" w:rsidRPr="0032117C" w:rsidRDefault="006B57D8" w:rsidP="00922116">
            <w:pPr>
              <w:pStyle w:val="CellHead"/>
              <w:rPr>
                <w:sz w:val="16"/>
                <w:szCs w:val="16"/>
              </w:rPr>
            </w:pPr>
            <w:r w:rsidRPr="0032117C">
              <w:rPr>
                <w:sz w:val="16"/>
                <w:szCs w:val="16"/>
              </w:rPr>
              <w:t>Tank Type/Cargo</w:t>
            </w:r>
          </w:p>
        </w:tc>
        <w:tc>
          <w:tcPr>
            <w:tcW w:w="236" w:type="dxa"/>
            <w:tcBorders>
              <w:bottom w:val="single" w:sz="4" w:space="0" w:color="auto"/>
            </w:tcBorders>
            <w:vAlign w:val="bottom"/>
          </w:tcPr>
          <w:p w14:paraId="6DCF6AE0" w14:textId="77777777" w:rsidR="006B57D8" w:rsidRPr="0032117C" w:rsidRDefault="006B57D8" w:rsidP="00922116">
            <w:pPr>
              <w:pStyle w:val="CellHead"/>
              <w:rPr>
                <w:sz w:val="16"/>
                <w:szCs w:val="16"/>
              </w:rPr>
            </w:pPr>
          </w:p>
        </w:tc>
        <w:tc>
          <w:tcPr>
            <w:tcW w:w="2160" w:type="dxa"/>
            <w:tcBorders>
              <w:bottom w:val="single" w:sz="4" w:space="0" w:color="auto"/>
            </w:tcBorders>
            <w:vAlign w:val="bottom"/>
          </w:tcPr>
          <w:p w14:paraId="49440CFC" w14:textId="77777777" w:rsidR="006B57D8" w:rsidRPr="0032117C" w:rsidRDefault="006B57D8" w:rsidP="00922116">
            <w:pPr>
              <w:pStyle w:val="CellHead"/>
              <w:rPr>
                <w:sz w:val="16"/>
                <w:szCs w:val="16"/>
              </w:rPr>
            </w:pPr>
            <w:r w:rsidRPr="0032117C">
              <w:rPr>
                <w:sz w:val="16"/>
                <w:szCs w:val="16"/>
              </w:rPr>
              <w:t>Approximate Size</w:t>
            </w:r>
          </w:p>
        </w:tc>
        <w:tc>
          <w:tcPr>
            <w:tcW w:w="236" w:type="dxa"/>
            <w:vAlign w:val="bottom"/>
          </w:tcPr>
          <w:p w14:paraId="52B2F1E4" w14:textId="77777777" w:rsidR="006B57D8" w:rsidRPr="0032117C" w:rsidRDefault="006B57D8" w:rsidP="00922116">
            <w:pPr>
              <w:pStyle w:val="CellHead"/>
              <w:rPr>
                <w:sz w:val="16"/>
                <w:szCs w:val="16"/>
              </w:rPr>
            </w:pPr>
          </w:p>
        </w:tc>
        <w:tc>
          <w:tcPr>
            <w:tcW w:w="2160" w:type="dxa"/>
            <w:tcBorders>
              <w:bottom w:val="single" w:sz="4" w:space="0" w:color="auto"/>
            </w:tcBorders>
            <w:vAlign w:val="bottom"/>
          </w:tcPr>
          <w:p w14:paraId="35F6A992" w14:textId="77777777" w:rsidR="006B57D8" w:rsidRPr="0032117C" w:rsidRDefault="006B57D8" w:rsidP="00922116">
            <w:pPr>
              <w:pStyle w:val="CellHead"/>
              <w:rPr>
                <w:sz w:val="16"/>
                <w:szCs w:val="16"/>
              </w:rPr>
            </w:pPr>
            <w:r w:rsidRPr="0032117C">
              <w:rPr>
                <w:sz w:val="16"/>
                <w:szCs w:val="16"/>
              </w:rPr>
              <w:t>Typical Trading Regions</w:t>
            </w:r>
          </w:p>
        </w:tc>
      </w:tr>
      <w:tr w:rsidR="006B57D8" w:rsidRPr="0032117C" w14:paraId="327DC8D4" w14:textId="77777777" w:rsidTr="00922116">
        <w:tc>
          <w:tcPr>
            <w:tcW w:w="2016" w:type="dxa"/>
            <w:vAlign w:val="center"/>
          </w:tcPr>
          <w:p w14:paraId="2D4B1E42" w14:textId="77777777" w:rsidR="006B57D8" w:rsidRPr="0032117C" w:rsidRDefault="006B57D8" w:rsidP="00922116">
            <w:pPr>
              <w:pStyle w:val="CellBody"/>
              <w:rPr>
                <w:sz w:val="16"/>
                <w:szCs w:val="16"/>
              </w:rPr>
            </w:pPr>
            <w:r w:rsidRPr="0032117C">
              <w:rPr>
                <w:sz w:val="16"/>
                <w:szCs w:val="16"/>
              </w:rPr>
              <w:t>VLCC</w:t>
            </w:r>
          </w:p>
        </w:tc>
        <w:tc>
          <w:tcPr>
            <w:tcW w:w="236" w:type="dxa"/>
            <w:tcBorders>
              <w:left w:val="nil"/>
            </w:tcBorders>
          </w:tcPr>
          <w:p w14:paraId="35D49CA0" w14:textId="77777777" w:rsidR="006B57D8" w:rsidRPr="0032117C" w:rsidRDefault="006B57D8" w:rsidP="00922116">
            <w:pPr>
              <w:pStyle w:val="CellBody"/>
              <w:rPr>
                <w:sz w:val="16"/>
                <w:szCs w:val="16"/>
              </w:rPr>
            </w:pPr>
          </w:p>
        </w:tc>
        <w:tc>
          <w:tcPr>
            <w:tcW w:w="2016" w:type="dxa"/>
            <w:vAlign w:val="center"/>
          </w:tcPr>
          <w:p w14:paraId="38896704" w14:textId="77777777" w:rsidR="006B57D8" w:rsidRPr="0032117C" w:rsidRDefault="006B57D8" w:rsidP="00922116">
            <w:pPr>
              <w:pStyle w:val="CellBody"/>
              <w:rPr>
                <w:sz w:val="16"/>
                <w:szCs w:val="16"/>
              </w:rPr>
            </w:pPr>
            <w:r w:rsidRPr="0032117C">
              <w:rPr>
                <w:sz w:val="16"/>
                <w:szCs w:val="16"/>
              </w:rPr>
              <w:t>Uncoated/Crude</w:t>
            </w:r>
          </w:p>
        </w:tc>
        <w:tc>
          <w:tcPr>
            <w:tcW w:w="236" w:type="dxa"/>
          </w:tcPr>
          <w:p w14:paraId="0A41C379" w14:textId="77777777" w:rsidR="006B57D8" w:rsidRPr="0032117C" w:rsidRDefault="006B57D8" w:rsidP="00922116">
            <w:pPr>
              <w:pStyle w:val="CellBody"/>
              <w:rPr>
                <w:sz w:val="16"/>
                <w:szCs w:val="16"/>
              </w:rPr>
            </w:pPr>
          </w:p>
        </w:tc>
        <w:tc>
          <w:tcPr>
            <w:tcW w:w="2160" w:type="dxa"/>
            <w:vAlign w:val="center"/>
          </w:tcPr>
          <w:p w14:paraId="17F4A338" w14:textId="77777777" w:rsidR="006B57D8" w:rsidRPr="0032117C" w:rsidRDefault="006B57D8" w:rsidP="00922116">
            <w:pPr>
              <w:pStyle w:val="CellBody"/>
              <w:rPr>
                <w:sz w:val="16"/>
                <w:szCs w:val="16"/>
              </w:rPr>
            </w:pPr>
            <w:r w:rsidRPr="0032117C">
              <w:rPr>
                <w:sz w:val="16"/>
                <w:szCs w:val="16"/>
              </w:rPr>
              <w:t>&gt;200,000 Dwt</w:t>
            </w:r>
          </w:p>
        </w:tc>
        <w:tc>
          <w:tcPr>
            <w:tcW w:w="236" w:type="dxa"/>
          </w:tcPr>
          <w:p w14:paraId="1F265FE8" w14:textId="77777777" w:rsidR="006B57D8" w:rsidRPr="0032117C" w:rsidRDefault="006B57D8" w:rsidP="00922116">
            <w:pPr>
              <w:pStyle w:val="CellBody"/>
              <w:rPr>
                <w:sz w:val="16"/>
                <w:szCs w:val="16"/>
              </w:rPr>
            </w:pPr>
          </w:p>
        </w:tc>
        <w:tc>
          <w:tcPr>
            <w:tcW w:w="2160" w:type="dxa"/>
          </w:tcPr>
          <w:p w14:paraId="1E3A027A" w14:textId="77777777" w:rsidR="006B57D8" w:rsidRPr="0032117C" w:rsidRDefault="006B57D8" w:rsidP="00922116">
            <w:pPr>
              <w:pStyle w:val="CellBody"/>
              <w:rPr>
                <w:sz w:val="16"/>
                <w:szCs w:val="16"/>
              </w:rPr>
            </w:pPr>
            <w:r w:rsidRPr="0032117C">
              <w:rPr>
                <w:sz w:val="16"/>
                <w:szCs w:val="16"/>
              </w:rPr>
              <w:t>Middle East/Atlantic Basin to Asia</w:t>
            </w:r>
          </w:p>
        </w:tc>
      </w:tr>
      <w:tr w:rsidR="006B57D8" w:rsidRPr="0032117C" w14:paraId="54963A5E" w14:textId="77777777" w:rsidTr="00922116">
        <w:tc>
          <w:tcPr>
            <w:tcW w:w="2016" w:type="dxa"/>
            <w:vAlign w:val="center"/>
          </w:tcPr>
          <w:p w14:paraId="1E8E43EF" w14:textId="77777777" w:rsidR="006B57D8" w:rsidRPr="0032117C" w:rsidRDefault="006B57D8" w:rsidP="00922116">
            <w:pPr>
              <w:pStyle w:val="CellBody"/>
              <w:rPr>
                <w:sz w:val="16"/>
                <w:szCs w:val="16"/>
              </w:rPr>
            </w:pPr>
            <w:proofErr w:type="spellStart"/>
            <w:r w:rsidRPr="0032117C">
              <w:rPr>
                <w:sz w:val="16"/>
                <w:szCs w:val="16"/>
              </w:rPr>
              <w:t>Suezmax</w:t>
            </w:r>
            <w:proofErr w:type="spellEnd"/>
          </w:p>
        </w:tc>
        <w:tc>
          <w:tcPr>
            <w:tcW w:w="236" w:type="dxa"/>
            <w:tcBorders>
              <w:left w:val="nil"/>
            </w:tcBorders>
          </w:tcPr>
          <w:p w14:paraId="52D0F646" w14:textId="77777777" w:rsidR="006B57D8" w:rsidRPr="0032117C" w:rsidRDefault="006B57D8" w:rsidP="00922116">
            <w:pPr>
              <w:pStyle w:val="CellBody"/>
              <w:rPr>
                <w:sz w:val="16"/>
                <w:szCs w:val="16"/>
              </w:rPr>
            </w:pPr>
          </w:p>
        </w:tc>
        <w:tc>
          <w:tcPr>
            <w:tcW w:w="2016" w:type="dxa"/>
            <w:vAlign w:val="center"/>
          </w:tcPr>
          <w:p w14:paraId="3584BC17" w14:textId="77777777" w:rsidR="006B57D8" w:rsidRPr="0032117C" w:rsidRDefault="006B57D8" w:rsidP="00922116">
            <w:pPr>
              <w:pStyle w:val="CellBody"/>
              <w:rPr>
                <w:sz w:val="16"/>
                <w:szCs w:val="16"/>
              </w:rPr>
            </w:pPr>
            <w:r w:rsidRPr="0032117C">
              <w:rPr>
                <w:sz w:val="16"/>
                <w:szCs w:val="16"/>
              </w:rPr>
              <w:t>Uncoated/Crude</w:t>
            </w:r>
          </w:p>
        </w:tc>
        <w:tc>
          <w:tcPr>
            <w:tcW w:w="236" w:type="dxa"/>
          </w:tcPr>
          <w:p w14:paraId="40307DF8" w14:textId="77777777" w:rsidR="006B57D8" w:rsidRPr="0032117C" w:rsidRDefault="006B57D8" w:rsidP="00922116">
            <w:pPr>
              <w:pStyle w:val="CellBody"/>
              <w:rPr>
                <w:sz w:val="16"/>
                <w:szCs w:val="16"/>
              </w:rPr>
            </w:pPr>
          </w:p>
        </w:tc>
        <w:tc>
          <w:tcPr>
            <w:tcW w:w="2160" w:type="dxa"/>
            <w:vAlign w:val="center"/>
          </w:tcPr>
          <w:p w14:paraId="1F5D751A" w14:textId="77777777" w:rsidR="006B57D8" w:rsidRPr="0032117C" w:rsidRDefault="006B57D8" w:rsidP="00922116">
            <w:pPr>
              <w:pStyle w:val="CellBody"/>
              <w:rPr>
                <w:sz w:val="16"/>
                <w:szCs w:val="16"/>
              </w:rPr>
            </w:pPr>
            <w:r w:rsidRPr="0032117C">
              <w:rPr>
                <w:sz w:val="16"/>
                <w:szCs w:val="16"/>
              </w:rPr>
              <w:t>125-160,000 Dwt</w:t>
            </w:r>
          </w:p>
        </w:tc>
        <w:tc>
          <w:tcPr>
            <w:tcW w:w="236" w:type="dxa"/>
          </w:tcPr>
          <w:p w14:paraId="5F623066" w14:textId="77777777" w:rsidR="006B57D8" w:rsidRPr="0032117C" w:rsidRDefault="006B57D8" w:rsidP="00922116">
            <w:pPr>
              <w:pStyle w:val="CellBody"/>
              <w:rPr>
                <w:sz w:val="16"/>
                <w:szCs w:val="16"/>
              </w:rPr>
            </w:pPr>
          </w:p>
        </w:tc>
        <w:tc>
          <w:tcPr>
            <w:tcW w:w="2160" w:type="dxa"/>
          </w:tcPr>
          <w:p w14:paraId="54E79D9C" w14:textId="77777777" w:rsidR="006B57D8" w:rsidRPr="0032117C" w:rsidRDefault="006B57D8" w:rsidP="00922116">
            <w:pPr>
              <w:pStyle w:val="CellBody"/>
              <w:rPr>
                <w:sz w:val="16"/>
                <w:szCs w:val="16"/>
              </w:rPr>
            </w:pPr>
            <w:r w:rsidRPr="0032117C">
              <w:rPr>
                <w:sz w:val="16"/>
                <w:szCs w:val="16"/>
              </w:rPr>
              <w:t>Middle East/Atlantic Basin to Asia, intra-Atlantic Basin, ex-Russia</w:t>
            </w:r>
          </w:p>
        </w:tc>
      </w:tr>
      <w:tr w:rsidR="006B57D8" w:rsidRPr="0032117C" w14:paraId="22C73E7A" w14:textId="77777777" w:rsidTr="00922116">
        <w:tc>
          <w:tcPr>
            <w:tcW w:w="2016" w:type="dxa"/>
            <w:vAlign w:val="center"/>
          </w:tcPr>
          <w:p w14:paraId="224A1A0B" w14:textId="77777777" w:rsidR="006B57D8" w:rsidRPr="0032117C" w:rsidRDefault="006B57D8" w:rsidP="00922116">
            <w:pPr>
              <w:pStyle w:val="CellBody"/>
              <w:rPr>
                <w:sz w:val="16"/>
                <w:szCs w:val="16"/>
              </w:rPr>
            </w:pPr>
            <w:r w:rsidRPr="0032117C">
              <w:rPr>
                <w:sz w:val="16"/>
                <w:szCs w:val="16"/>
              </w:rPr>
              <w:t>Aframax</w:t>
            </w:r>
          </w:p>
        </w:tc>
        <w:tc>
          <w:tcPr>
            <w:tcW w:w="236" w:type="dxa"/>
            <w:tcBorders>
              <w:left w:val="nil"/>
            </w:tcBorders>
          </w:tcPr>
          <w:p w14:paraId="0FD5CF12" w14:textId="77777777" w:rsidR="006B57D8" w:rsidRPr="0032117C" w:rsidRDefault="006B57D8" w:rsidP="00922116">
            <w:pPr>
              <w:pStyle w:val="CellBody"/>
              <w:rPr>
                <w:sz w:val="16"/>
                <w:szCs w:val="16"/>
              </w:rPr>
            </w:pPr>
          </w:p>
        </w:tc>
        <w:tc>
          <w:tcPr>
            <w:tcW w:w="2016" w:type="dxa"/>
            <w:vAlign w:val="center"/>
          </w:tcPr>
          <w:p w14:paraId="1875AC6D" w14:textId="77777777" w:rsidR="006B57D8" w:rsidRPr="0032117C" w:rsidRDefault="006B57D8" w:rsidP="00922116">
            <w:pPr>
              <w:pStyle w:val="CellBody"/>
              <w:rPr>
                <w:sz w:val="16"/>
                <w:szCs w:val="16"/>
              </w:rPr>
            </w:pPr>
            <w:r w:rsidRPr="0032117C">
              <w:rPr>
                <w:sz w:val="16"/>
                <w:szCs w:val="16"/>
              </w:rPr>
              <w:t>Uncoated/Crude</w:t>
            </w:r>
          </w:p>
        </w:tc>
        <w:tc>
          <w:tcPr>
            <w:tcW w:w="236" w:type="dxa"/>
          </w:tcPr>
          <w:p w14:paraId="75647EA0" w14:textId="77777777" w:rsidR="006B57D8" w:rsidRPr="0032117C" w:rsidRDefault="006B57D8" w:rsidP="00922116">
            <w:pPr>
              <w:pStyle w:val="CellBody"/>
              <w:rPr>
                <w:sz w:val="16"/>
                <w:szCs w:val="16"/>
              </w:rPr>
            </w:pPr>
          </w:p>
        </w:tc>
        <w:tc>
          <w:tcPr>
            <w:tcW w:w="2160" w:type="dxa"/>
            <w:vAlign w:val="center"/>
          </w:tcPr>
          <w:p w14:paraId="2B5AC6B3" w14:textId="77777777" w:rsidR="006B57D8" w:rsidRPr="0032117C" w:rsidRDefault="006B57D8" w:rsidP="00922116">
            <w:pPr>
              <w:pStyle w:val="CellBody"/>
              <w:rPr>
                <w:sz w:val="16"/>
                <w:szCs w:val="16"/>
              </w:rPr>
            </w:pPr>
            <w:r w:rsidRPr="0032117C">
              <w:rPr>
                <w:sz w:val="16"/>
                <w:szCs w:val="16"/>
              </w:rPr>
              <w:t>80-125,000 Dwt</w:t>
            </w:r>
          </w:p>
        </w:tc>
        <w:tc>
          <w:tcPr>
            <w:tcW w:w="236" w:type="dxa"/>
          </w:tcPr>
          <w:p w14:paraId="54857D32" w14:textId="77777777" w:rsidR="006B57D8" w:rsidRPr="0032117C" w:rsidRDefault="006B57D8" w:rsidP="00922116">
            <w:pPr>
              <w:pStyle w:val="CellBody"/>
              <w:rPr>
                <w:sz w:val="16"/>
                <w:szCs w:val="16"/>
              </w:rPr>
            </w:pPr>
          </w:p>
        </w:tc>
        <w:tc>
          <w:tcPr>
            <w:tcW w:w="2160" w:type="dxa"/>
          </w:tcPr>
          <w:p w14:paraId="2020BB89" w14:textId="77777777" w:rsidR="006B57D8" w:rsidRPr="0032117C" w:rsidRDefault="006B57D8" w:rsidP="00922116">
            <w:pPr>
              <w:pStyle w:val="CellBody"/>
              <w:rPr>
                <w:sz w:val="16"/>
                <w:szCs w:val="16"/>
              </w:rPr>
            </w:pPr>
            <w:r w:rsidRPr="0032117C">
              <w:rPr>
                <w:sz w:val="16"/>
                <w:szCs w:val="16"/>
              </w:rPr>
              <w:t>Intra-regional</w:t>
            </w:r>
          </w:p>
        </w:tc>
      </w:tr>
      <w:tr w:rsidR="006B57D8" w:rsidRPr="0032117C" w14:paraId="5BD2DB75" w14:textId="77777777" w:rsidTr="00922116">
        <w:tc>
          <w:tcPr>
            <w:tcW w:w="2016" w:type="dxa"/>
            <w:vAlign w:val="center"/>
          </w:tcPr>
          <w:p w14:paraId="50B4A1A4" w14:textId="77777777" w:rsidR="006B57D8" w:rsidRPr="0032117C" w:rsidRDefault="006B57D8" w:rsidP="00922116">
            <w:pPr>
              <w:pStyle w:val="CellBody"/>
              <w:rPr>
                <w:sz w:val="16"/>
                <w:szCs w:val="16"/>
              </w:rPr>
            </w:pPr>
            <w:r w:rsidRPr="0032117C">
              <w:rPr>
                <w:sz w:val="16"/>
                <w:szCs w:val="16"/>
              </w:rPr>
              <w:t>LR2</w:t>
            </w:r>
          </w:p>
        </w:tc>
        <w:tc>
          <w:tcPr>
            <w:tcW w:w="236" w:type="dxa"/>
            <w:tcBorders>
              <w:left w:val="nil"/>
            </w:tcBorders>
          </w:tcPr>
          <w:p w14:paraId="3CA9E9D1" w14:textId="77777777" w:rsidR="006B57D8" w:rsidRPr="0032117C" w:rsidRDefault="006B57D8" w:rsidP="00922116">
            <w:pPr>
              <w:pStyle w:val="CellBody"/>
              <w:rPr>
                <w:sz w:val="16"/>
                <w:szCs w:val="16"/>
              </w:rPr>
            </w:pPr>
          </w:p>
        </w:tc>
        <w:tc>
          <w:tcPr>
            <w:tcW w:w="2016" w:type="dxa"/>
            <w:vAlign w:val="center"/>
          </w:tcPr>
          <w:p w14:paraId="5D7BDD93" w14:textId="77777777" w:rsidR="006B57D8" w:rsidRPr="0032117C" w:rsidRDefault="006B57D8" w:rsidP="00922116">
            <w:pPr>
              <w:pStyle w:val="CellBody"/>
              <w:rPr>
                <w:sz w:val="16"/>
                <w:szCs w:val="16"/>
              </w:rPr>
            </w:pPr>
            <w:r w:rsidRPr="0032117C">
              <w:rPr>
                <w:sz w:val="16"/>
                <w:szCs w:val="16"/>
              </w:rPr>
              <w:t>Coated/Products</w:t>
            </w:r>
          </w:p>
        </w:tc>
        <w:tc>
          <w:tcPr>
            <w:tcW w:w="236" w:type="dxa"/>
          </w:tcPr>
          <w:p w14:paraId="73F04AC2" w14:textId="77777777" w:rsidR="006B57D8" w:rsidRPr="0032117C" w:rsidRDefault="006B57D8" w:rsidP="00922116">
            <w:pPr>
              <w:pStyle w:val="CellBody"/>
              <w:rPr>
                <w:sz w:val="16"/>
                <w:szCs w:val="16"/>
              </w:rPr>
            </w:pPr>
          </w:p>
        </w:tc>
        <w:tc>
          <w:tcPr>
            <w:tcW w:w="2160" w:type="dxa"/>
            <w:vAlign w:val="center"/>
          </w:tcPr>
          <w:p w14:paraId="6470E611" w14:textId="77777777" w:rsidR="006B57D8" w:rsidRPr="0032117C" w:rsidRDefault="006B57D8" w:rsidP="00922116">
            <w:pPr>
              <w:pStyle w:val="CellBody"/>
              <w:rPr>
                <w:sz w:val="16"/>
                <w:szCs w:val="16"/>
              </w:rPr>
            </w:pPr>
            <w:r w:rsidRPr="0032117C">
              <w:rPr>
                <w:sz w:val="16"/>
                <w:szCs w:val="16"/>
              </w:rPr>
              <w:t>80-125,000 Dwt</w:t>
            </w:r>
          </w:p>
        </w:tc>
        <w:tc>
          <w:tcPr>
            <w:tcW w:w="236" w:type="dxa"/>
          </w:tcPr>
          <w:p w14:paraId="5A37021A" w14:textId="77777777" w:rsidR="006B57D8" w:rsidRPr="0032117C" w:rsidRDefault="006B57D8" w:rsidP="00922116">
            <w:pPr>
              <w:pStyle w:val="CellBody"/>
              <w:rPr>
                <w:sz w:val="16"/>
                <w:szCs w:val="16"/>
              </w:rPr>
            </w:pPr>
          </w:p>
        </w:tc>
        <w:tc>
          <w:tcPr>
            <w:tcW w:w="2160" w:type="dxa"/>
          </w:tcPr>
          <w:p w14:paraId="0B5876D1" w14:textId="77777777" w:rsidR="006B57D8" w:rsidRPr="0032117C" w:rsidRDefault="006B57D8" w:rsidP="00922116">
            <w:pPr>
              <w:pStyle w:val="CellBody"/>
              <w:rPr>
                <w:sz w:val="16"/>
                <w:szCs w:val="16"/>
              </w:rPr>
            </w:pPr>
            <w:r w:rsidRPr="0032117C">
              <w:rPr>
                <w:sz w:val="16"/>
                <w:szCs w:val="16"/>
              </w:rPr>
              <w:t>Middle East to Asia/Europe</w:t>
            </w:r>
          </w:p>
        </w:tc>
      </w:tr>
      <w:tr w:rsidR="006B57D8" w:rsidRPr="0032117C" w14:paraId="0EE56981" w14:textId="77777777" w:rsidTr="00922116">
        <w:tc>
          <w:tcPr>
            <w:tcW w:w="2016" w:type="dxa"/>
            <w:vAlign w:val="center"/>
          </w:tcPr>
          <w:p w14:paraId="433A05CC" w14:textId="77777777" w:rsidR="006B57D8" w:rsidRPr="0032117C" w:rsidRDefault="006B57D8" w:rsidP="00922116">
            <w:pPr>
              <w:pStyle w:val="CellBody"/>
              <w:rPr>
                <w:sz w:val="16"/>
                <w:szCs w:val="16"/>
              </w:rPr>
            </w:pPr>
            <w:r w:rsidRPr="0032117C">
              <w:rPr>
                <w:sz w:val="16"/>
                <w:szCs w:val="16"/>
              </w:rPr>
              <w:t>LR1</w:t>
            </w:r>
          </w:p>
        </w:tc>
        <w:tc>
          <w:tcPr>
            <w:tcW w:w="236" w:type="dxa"/>
            <w:tcBorders>
              <w:left w:val="nil"/>
            </w:tcBorders>
          </w:tcPr>
          <w:p w14:paraId="23FD4B56" w14:textId="77777777" w:rsidR="006B57D8" w:rsidRPr="0032117C" w:rsidRDefault="006B57D8" w:rsidP="00922116">
            <w:pPr>
              <w:pStyle w:val="CellBody"/>
              <w:rPr>
                <w:sz w:val="16"/>
                <w:szCs w:val="16"/>
              </w:rPr>
            </w:pPr>
          </w:p>
        </w:tc>
        <w:tc>
          <w:tcPr>
            <w:tcW w:w="2016" w:type="dxa"/>
          </w:tcPr>
          <w:p w14:paraId="473FEF1E" w14:textId="77777777" w:rsidR="006B57D8" w:rsidRPr="0032117C" w:rsidRDefault="006B57D8" w:rsidP="00922116">
            <w:pPr>
              <w:pStyle w:val="CellBody"/>
              <w:rPr>
                <w:sz w:val="16"/>
                <w:szCs w:val="16"/>
              </w:rPr>
            </w:pPr>
            <w:r w:rsidRPr="0032117C">
              <w:rPr>
                <w:sz w:val="16"/>
                <w:szCs w:val="16"/>
              </w:rPr>
              <w:t>Coated/Products</w:t>
            </w:r>
          </w:p>
        </w:tc>
        <w:tc>
          <w:tcPr>
            <w:tcW w:w="236" w:type="dxa"/>
          </w:tcPr>
          <w:p w14:paraId="7AC539AC" w14:textId="77777777" w:rsidR="006B57D8" w:rsidRPr="0032117C" w:rsidRDefault="006B57D8" w:rsidP="00922116">
            <w:pPr>
              <w:pStyle w:val="CellBody"/>
              <w:rPr>
                <w:sz w:val="16"/>
                <w:szCs w:val="16"/>
              </w:rPr>
            </w:pPr>
          </w:p>
        </w:tc>
        <w:tc>
          <w:tcPr>
            <w:tcW w:w="2160" w:type="dxa"/>
          </w:tcPr>
          <w:p w14:paraId="7B426B46" w14:textId="77777777" w:rsidR="006B57D8" w:rsidRPr="0032117C" w:rsidRDefault="006B57D8" w:rsidP="00922116">
            <w:pPr>
              <w:pStyle w:val="CellBody"/>
              <w:rPr>
                <w:sz w:val="16"/>
                <w:szCs w:val="16"/>
              </w:rPr>
            </w:pPr>
            <w:r w:rsidRPr="0032117C">
              <w:rPr>
                <w:sz w:val="16"/>
                <w:szCs w:val="16"/>
              </w:rPr>
              <w:t>70-80,000 Dwt</w:t>
            </w:r>
          </w:p>
        </w:tc>
        <w:tc>
          <w:tcPr>
            <w:tcW w:w="236" w:type="dxa"/>
          </w:tcPr>
          <w:p w14:paraId="3E1A5CEF" w14:textId="77777777" w:rsidR="006B57D8" w:rsidRPr="0032117C" w:rsidRDefault="006B57D8" w:rsidP="00922116">
            <w:pPr>
              <w:pStyle w:val="CellBody"/>
              <w:rPr>
                <w:sz w:val="16"/>
                <w:szCs w:val="16"/>
              </w:rPr>
            </w:pPr>
          </w:p>
        </w:tc>
        <w:tc>
          <w:tcPr>
            <w:tcW w:w="2160" w:type="dxa"/>
          </w:tcPr>
          <w:p w14:paraId="146C0416" w14:textId="77777777" w:rsidR="006B57D8" w:rsidRPr="0032117C" w:rsidRDefault="006B57D8" w:rsidP="00922116">
            <w:pPr>
              <w:pStyle w:val="CellBody"/>
              <w:rPr>
                <w:sz w:val="16"/>
                <w:szCs w:val="16"/>
              </w:rPr>
            </w:pPr>
            <w:r w:rsidRPr="0032117C">
              <w:rPr>
                <w:sz w:val="16"/>
                <w:szCs w:val="16"/>
              </w:rPr>
              <w:t>Middle East to Asia/Europe</w:t>
            </w:r>
          </w:p>
        </w:tc>
      </w:tr>
      <w:tr w:rsidR="006B57D8" w:rsidRPr="0032117C" w14:paraId="70D89FED" w14:textId="77777777" w:rsidTr="00922116">
        <w:tc>
          <w:tcPr>
            <w:tcW w:w="2016" w:type="dxa"/>
            <w:vAlign w:val="center"/>
          </w:tcPr>
          <w:p w14:paraId="120D4578" w14:textId="77777777" w:rsidR="006B57D8" w:rsidRPr="0032117C" w:rsidRDefault="006B57D8" w:rsidP="00922116">
            <w:pPr>
              <w:pStyle w:val="CellBody"/>
              <w:rPr>
                <w:sz w:val="16"/>
                <w:szCs w:val="16"/>
              </w:rPr>
            </w:pPr>
            <w:r w:rsidRPr="0032117C">
              <w:rPr>
                <w:sz w:val="16"/>
                <w:szCs w:val="16"/>
              </w:rPr>
              <w:t>MR</w:t>
            </w:r>
          </w:p>
        </w:tc>
        <w:tc>
          <w:tcPr>
            <w:tcW w:w="236" w:type="dxa"/>
            <w:tcBorders>
              <w:left w:val="nil"/>
            </w:tcBorders>
          </w:tcPr>
          <w:p w14:paraId="222ECAA3" w14:textId="77777777" w:rsidR="006B57D8" w:rsidRPr="0032117C" w:rsidRDefault="006B57D8" w:rsidP="00922116">
            <w:pPr>
              <w:pStyle w:val="CellBody"/>
              <w:rPr>
                <w:sz w:val="16"/>
                <w:szCs w:val="16"/>
              </w:rPr>
            </w:pPr>
          </w:p>
        </w:tc>
        <w:tc>
          <w:tcPr>
            <w:tcW w:w="2016" w:type="dxa"/>
            <w:vAlign w:val="center"/>
          </w:tcPr>
          <w:p w14:paraId="782091F9" w14:textId="77777777" w:rsidR="006B57D8" w:rsidRPr="0032117C" w:rsidRDefault="006B57D8" w:rsidP="00922116">
            <w:pPr>
              <w:pStyle w:val="CellBody"/>
              <w:rPr>
                <w:sz w:val="16"/>
                <w:szCs w:val="16"/>
              </w:rPr>
            </w:pPr>
            <w:r w:rsidRPr="0032117C">
              <w:rPr>
                <w:sz w:val="16"/>
                <w:szCs w:val="16"/>
              </w:rPr>
              <w:t>Coated/Products</w:t>
            </w:r>
          </w:p>
        </w:tc>
        <w:tc>
          <w:tcPr>
            <w:tcW w:w="236" w:type="dxa"/>
          </w:tcPr>
          <w:p w14:paraId="148CF798" w14:textId="77777777" w:rsidR="006B57D8" w:rsidRPr="0032117C" w:rsidRDefault="006B57D8" w:rsidP="00922116">
            <w:pPr>
              <w:pStyle w:val="CellBody"/>
              <w:rPr>
                <w:sz w:val="16"/>
                <w:szCs w:val="16"/>
              </w:rPr>
            </w:pPr>
          </w:p>
        </w:tc>
        <w:tc>
          <w:tcPr>
            <w:tcW w:w="2160" w:type="dxa"/>
            <w:vAlign w:val="center"/>
          </w:tcPr>
          <w:p w14:paraId="7F0338B0" w14:textId="77777777" w:rsidR="006B57D8" w:rsidRPr="0032117C" w:rsidRDefault="006B57D8" w:rsidP="00922116">
            <w:pPr>
              <w:pStyle w:val="CellBody"/>
              <w:rPr>
                <w:sz w:val="16"/>
                <w:szCs w:val="16"/>
              </w:rPr>
            </w:pPr>
            <w:r w:rsidRPr="0032117C">
              <w:rPr>
                <w:sz w:val="16"/>
                <w:szCs w:val="16"/>
              </w:rPr>
              <w:t>40-55,000 Dwt</w:t>
            </w:r>
          </w:p>
        </w:tc>
        <w:tc>
          <w:tcPr>
            <w:tcW w:w="236" w:type="dxa"/>
          </w:tcPr>
          <w:p w14:paraId="39A2BA2A" w14:textId="77777777" w:rsidR="006B57D8" w:rsidRPr="0032117C" w:rsidRDefault="006B57D8" w:rsidP="00922116">
            <w:pPr>
              <w:pStyle w:val="CellBody"/>
              <w:rPr>
                <w:sz w:val="16"/>
                <w:szCs w:val="16"/>
              </w:rPr>
            </w:pPr>
          </w:p>
        </w:tc>
        <w:tc>
          <w:tcPr>
            <w:tcW w:w="2160" w:type="dxa"/>
          </w:tcPr>
          <w:p w14:paraId="32CCAB69" w14:textId="77777777" w:rsidR="006B57D8" w:rsidRPr="0032117C" w:rsidRDefault="006B57D8" w:rsidP="00922116">
            <w:pPr>
              <w:pStyle w:val="CellBody"/>
              <w:rPr>
                <w:sz w:val="16"/>
                <w:szCs w:val="16"/>
              </w:rPr>
            </w:pPr>
            <w:r w:rsidRPr="0032117C">
              <w:rPr>
                <w:sz w:val="16"/>
                <w:szCs w:val="16"/>
              </w:rPr>
              <w:t>Intra-regional</w:t>
            </w:r>
          </w:p>
        </w:tc>
      </w:tr>
      <w:tr w:rsidR="006B57D8" w:rsidRPr="0032117C" w14:paraId="6BC1B9DF" w14:textId="77777777" w:rsidTr="00922116">
        <w:tc>
          <w:tcPr>
            <w:tcW w:w="2016" w:type="dxa"/>
            <w:vAlign w:val="center"/>
          </w:tcPr>
          <w:p w14:paraId="417C3D8F" w14:textId="77777777" w:rsidR="006B57D8" w:rsidRPr="0032117C" w:rsidRDefault="006B57D8" w:rsidP="00922116">
            <w:pPr>
              <w:pStyle w:val="CellBody"/>
              <w:rPr>
                <w:sz w:val="16"/>
                <w:szCs w:val="16"/>
              </w:rPr>
            </w:pPr>
            <w:proofErr w:type="spellStart"/>
            <w:r w:rsidRPr="0032117C">
              <w:rPr>
                <w:sz w:val="16"/>
                <w:szCs w:val="16"/>
              </w:rPr>
              <w:t>Handysize</w:t>
            </w:r>
            <w:proofErr w:type="spellEnd"/>
          </w:p>
        </w:tc>
        <w:tc>
          <w:tcPr>
            <w:tcW w:w="236" w:type="dxa"/>
            <w:tcBorders>
              <w:left w:val="nil"/>
            </w:tcBorders>
          </w:tcPr>
          <w:p w14:paraId="56527788" w14:textId="77777777" w:rsidR="006B57D8" w:rsidRPr="0032117C" w:rsidRDefault="006B57D8" w:rsidP="00922116">
            <w:pPr>
              <w:pStyle w:val="CellBody"/>
              <w:rPr>
                <w:sz w:val="16"/>
                <w:szCs w:val="16"/>
              </w:rPr>
            </w:pPr>
          </w:p>
        </w:tc>
        <w:tc>
          <w:tcPr>
            <w:tcW w:w="2016" w:type="dxa"/>
            <w:vAlign w:val="center"/>
          </w:tcPr>
          <w:p w14:paraId="34C07B6B" w14:textId="77777777" w:rsidR="006B57D8" w:rsidRPr="0032117C" w:rsidRDefault="006B57D8" w:rsidP="00922116">
            <w:pPr>
              <w:pStyle w:val="CellBody"/>
              <w:rPr>
                <w:sz w:val="16"/>
                <w:szCs w:val="16"/>
              </w:rPr>
            </w:pPr>
            <w:r w:rsidRPr="0032117C">
              <w:rPr>
                <w:sz w:val="16"/>
                <w:szCs w:val="16"/>
              </w:rPr>
              <w:t>Coated/Products</w:t>
            </w:r>
          </w:p>
        </w:tc>
        <w:tc>
          <w:tcPr>
            <w:tcW w:w="236" w:type="dxa"/>
          </w:tcPr>
          <w:p w14:paraId="574B77A2" w14:textId="77777777" w:rsidR="006B57D8" w:rsidRPr="0032117C" w:rsidRDefault="006B57D8" w:rsidP="00922116">
            <w:pPr>
              <w:pStyle w:val="CellBody"/>
              <w:rPr>
                <w:sz w:val="16"/>
                <w:szCs w:val="16"/>
              </w:rPr>
            </w:pPr>
          </w:p>
        </w:tc>
        <w:tc>
          <w:tcPr>
            <w:tcW w:w="2160" w:type="dxa"/>
            <w:vAlign w:val="center"/>
          </w:tcPr>
          <w:p w14:paraId="053971CC" w14:textId="77777777" w:rsidR="006B57D8" w:rsidRPr="0032117C" w:rsidRDefault="006B57D8" w:rsidP="00922116">
            <w:pPr>
              <w:pStyle w:val="CellBody"/>
              <w:rPr>
                <w:sz w:val="16"/>
                <w:szCs w:val="16"/>
              </w:rPr>
            </w:pPr>
            <w:r w:rsidRPr="0032117C">
              <w:rPr>
                <w:sz w:val="16"/>
                <w:szCs w:val="16"/>
              </w:rPr>
              <w:t>&lt;40,000 Dwt</w:t>
            </w:r>
          </w:p>
        </w:tc>
        <w:tc>
          <w:tcPr>
            <w:tcW w:w="236" w:type="dxa"/>
          </w:tcPr>
          <w:p w14:paraId="07CF60D3" w14:textId="77777777" w:rsidR="006B57D8" w:rsidRPr="0032117C" w:rsidRDefault="006B57D8" w:rsidP="00922116">
            <w:pPr>
              <w:pStyle w:val="CellBody"/>
              <w:rPr>
                <w:sz w:val="16"/>
                <w:szCs w:val="16"/>
              </w:rPr>
            </w:pPr>
          </w:p>
        </w:tc>
        <w:tc>
          <w:tcPr>
            <w:tcW w:w="2160" w:type="dxa"/>
          </w:tcPr>
          <w:p w14:paraId="39C23D98" w14:textId="77777777" w:rsidR="006B57D8" w:rsidRPr="0032117C" w:rsidRDefault="006B57D8" w:rsidP="00922116">
            <w:pPr>
              <w:pStyle w:val="CellBody"/>
              <w:rPr>
                <w:sz w:val="16"/>
                <w:szCs w:val="16"/>
              </w:rPr>
            </w:pPr>
            <w:r w:rsidRPr="0032117C">
              <w:rPr>
                <w:sz w:val="16"/>
                <w:szCs w:val="16"/>
              </w:rPr>
              <w:t>Intra-regional</w:t>
            </w:r>
          </w:p>
        </w:tc>
      </w:tr>
    </w:tbl>
    <w:p w14:paraId="02048F0F" w14:textId="77777777" w:rsidR="00F87C1B" w:rsidRPr="00272B36" w:rsidRDefault="00F87C1B" w:rsidP="006B57D8">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w:t>
      </w:r>
    </w:p>
    <w:p w14:paraId="03F0ED6C"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lastRenderedPageBreak/>
        <w:t>الطلب على ناقلات النفط</w:t>
      </w:r>
    </w:p>
    <w:p w14:paraId="4CD0F9D7"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i/>
          <w:sz w:val="30"/>
          <w:szCs w:val="30"/>
        </w:rPr>
      </w:pPr>
      <w:r w:rsidRPr="00272B36">
        <w:rPr>
          <w:rFonts w:ascii="Traditional Arabic" w:hAnsi="Traditional Arabic" w:cs="Traditional Arabic"/>
          <w:b w:val="0"/>
          <w:bCs/>
          <w:i/>
          <w:sz w:val="30"/>
          <w:szCs w:val="30"/>
        </w:rPr>
        <w:t>الطلب على النفط</w:t>
      </w:r>
    </w:p>
    <w:p w14:paraId="080D810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إن الطلب على ناقلات النفط مدفوع بالطلب الأساسي على النفط، والفصل بين كل من مصادر إنتاج النفط الخام ومراكز التكرير والتخزين ونقاط الاستهلاك. ويتأثر نمو الطلب على النفط بنمو الناتج المحلي الإجمالي حيث تتقلب استخدامات النقل والاستخدامات الصناعية والاستخدامات الأخرى للنفط مع النشاط الاقتصادي. إلى جانب النشاط الاقتصادي، تلعب عوامل أخرى مثل الأسعار والسياسة وكفاءة الوقود واستبدال الوقود دورًا أيضًا في تحديد خصائص الطلب على النفط في منطقة معينة.</w:t>
      </w:r>
    </w:p>
    <w:p w14:paraId="091B51C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وقد أضافت جائحة كوفيد-19، على الرغم من أنها أحدثت صدمة اقتصادية كبيرة، عنصرًا لم يسبق رؤيته للطلب على النفط في شكل قيود فرضتها الحكومات على الحركة والسفر. وكانت النتيجة انخفاضًا كبيرًا في الطلب على النقل تلاه عدم اليقين بشأن وتيرة وتوقيت الانتعاش العالمي.</w:t>
      </w:r>
    </w:p>
    <w:p w14:paraId="781D9C5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وهناك عوامل هيكلية أخرى، مثل التقدم التكنولوجي، وزيادة كفاءة المركبات، وتسويق المركبات الكهربائية على نطاق أوسع، ستؤثر على نمو الطلب على النفط في المستقبل. وعلى هذا النحو، نتوقع أن يتباطأ نمو الطلب العالمي على النفط، ويبدأ في الانكماش، على مدار هذا العقد.</w:t>
      </w:r>
    </w:p>
    <w:p w14:paraId="23033C9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وتتبع التحولات طويلة الأجل في الطلب على النفط اتجاهات في النمو الاقتصادي الأساسي، حيث تشهد مناطق النمو الأعلى، عادةً في آسيا، نموًا أقوى في الطلب، في حين تشهد الاقتصادات الأكثر نضجًا، مثل أوروبا، انخفاضًا في النمو أو انخفاضًا في الطلب على النفط.</w:t>
      </w:r>
    </w:p>
    <w:p w14:paraId="4E37A932"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الطلب على النفط حسب المنطقة</w:t>
      </w:r>
    </w:p>
    <w:p w14:paraId="4862BC2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30453415" wp14:editId="69EBC6B1">
            <wp:extent cx="3366735" cy="2199600"/>
            <wp:effectExtent l="0" t="0" r="5715" b="0"/>
            <wp:docPr id="2035987582" name="Picture 26" descr="A graph of different colored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987582" name="Picture 26" descr="A graph of different colored lines  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134F4264" w14:textId="77777777" w:rsidTr="00922116">
        <w:tc>
          <w:tcPr>
            <w:tcW w:w="1424" w:type="dxa"/>
            <w:tcBorders>
              <w:top w:val="single" w:sz="4" w:space="0" w:color="auto"/>
            </w:tcBorders>
            <w:vAlign w:val="bottom"/>
          </w:tcPr>
          <w:p w14:paraId="0EDA0276"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lastRenderedPageBreak/>
              <w:t>ملاحظة:</w:t>
            </w:r>
          </w:p>
        </w:tc>
        <w:tc>
          <w:tcPr>
            <w:tcW w:w="7501" w:type="dxa"/>
            <w:vAlign w:val="bottom"/>
          </w:tcPr>
          <w:p w14:paraId="5C9D22D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7EDACAF5" w14:textId="77777777" w:rsidTr="00922116">
        <w:tc>
          <w:tcPr>
            <w:tcW w:w="8925" w:type="dxa"/>
            <w:gridSpan w:val="2"/>
            <w:vAlign w:val="bottom"/>
          </w:tcPr>
          <w:p w14:paraId="62B2C274"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2AA90BA5"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32308F7C"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i/>
          <w:sz w:val="30"/>
          <w:szCs w:val="30"/>
        </w:rPr>
      </w:pPr>
      <w:r w:rsidRPr="00272B36">
        <w:rPr>
          <w:rFonts w:ascii="Traditional Arabic" w:hAnsi="Traditional Arabic" w:cs="Traditional Arabic"/>
          <w:b w:val="0"/>
          <w:bCs/>
          <w:i/>
          <w:sz w:val="30"/>
          <w:szCs w:val="30"/>
        </w:rPr>
        <w:t>إنتاج النفط</w:t>
      </w:r>
    </w:p>
    <w:p w14:paraId="0BFD5A0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ويتركز إنتاج النفط في الأمريكتين والشرق الأوسط والاتحاد السوفيتي السابق وأفريقيا، والتي تمثل ما يقرب من 90 في المائة من إنتاج النفط العالمي. ومن بين هذه المناطق، كانت الأمريكتان المحرك الرئيسي للنمو على مدى العقد الماضي. ومنذ عام 2010، كان إنتاج النفط الصخري في الولايات المتحدة محركًا رئيسيًا لإنتاج النفط. وعلى الرغم من تقلب إنتاج النفط الأمريكي خلال الجائحة العالمية، إلا أنه تعافى بقوة. وفي أمريكا اللاتينية، تساهم بلدان مثل البرازيل وغيانا في الزيادات المستمرة في الإنتاج.</w:t>
      </w:r>
    </w:p>
    <w:p w14:paraId="117340B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وتعد سياسة إنتاج أوبك عاملاً مهمًا في التأثير على كل من مستويات إنتاج النفط العالمية وظروف سوق الناقلات.</w:t>
      </w:r>
    </w:p>
    <w:p w14:paraId="0D86909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وفي منطقة الشرق الأوسط، شهد المنتجون الرئيسيون زيادات كبيرة في إنتاج النفط خلال عامي 2021 و 2022، وتقترب المستويات حاليًا من مستويات ما قبل الجائحة. وغالبية منتجي المنطقة، بما في ذلك سلطنة عمان، أعضاء في أوبك أو أوبك+. كما تعد سلطنة عمان عضوًا في أوبك+ ومنتجًا مهمًا للنفط حيث أن الإنتاج مستقر تاريخيًا ويبلغ متوسطه عادةً ما يقرب من مليون برميل في اليوم.</w:t>
      </w:r>
    </w:p>
    <w:p w14:paraId="7E6597BD"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إنتاج النفط</w:t>
      </w:r>
    </w:p>
    <w:p w14:paraId="1A7B384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153275EE" wp14:editId="4BE2E814">
            <wp:extent cx="3366735" cy="2199600"/>
            <wp:effectExtent l="0" t="0" r="5715" b="0"/>
            <wp:docPr id="1789576856" name="Picture 27" descr="A graph of different colored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76856" name="Picture 27" descr="A graph of different colored lines  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668D28E1" w14:textId="77777777" w:rsidTr="00922116">
        <w:tc>
          <w:tcPr>
            <w:tcW w:w="1424" w:type="dxa"/>
            <w:tcBorders>
              <w:top w:val="single" w:sz="4" w:space="0" w:color="auto"/>
            </w:tcBorders>
            <w:vAlign w:val="bottom"/>
          </w:tcPr>
          <w:p w14:paraId="042AD72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01" w:type="dxa"/>
            <w:vAlign w:val="bottom"/>
          </w:tcPr>
          <w:p w14:paraId="7A8BF6E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7D149934" w14:textId="77777777" w:rsidTr="00922116">
        <w:tc>
          <w:tcPr>
            <w:tcW w:w="8925" w:type="dxa"/>
            <w:gridSpan w:val="2"/>
            <w:vAlign w:val="bottom"/>
          </w:tcPr>
          <w:p w14:paraId="50663BE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2024 إلى 2030 هي توقعات مستقبلية</w:t>
            </w:r>
          </w:p>
        </w:tc>
      </w:tr>
    </w:tbl>
    <w:p w14:paraId="1A465801"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17AAD86F"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حصص إنتاج النفط</w:t>
      </w:r>
    </w:p>
    <w:p w14:paraId="103DEB6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5AEE1F15" wp14:editId="7C2B3DF8">
            <wp:extent cx="3366735" cy="2199600"/>
            <wp:effectExtent l="0" t="0" r="5715" b="0"/>
            <wp:docPr id="1966497974" name="Picture 28" descr="A graph of different colored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97974" name="Picture 28" descr="A graph of different colored lines  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42E128B2" w14:textId="77777777" w:rsidTr="00922116">
        <w:tc>
          <w:tcPr>
            <w:tcW w:w="1424" w:type="dxa"/>
            <w:tcBorders>
              <w:top w:val="single" w:sz="4" w:space="0" w:color="auto"/>
            </w:tcBorders>
            <w:vAlign w:val="bottom"/>
          </w:tcPr>
          <w:p w14:paraId="327C7010"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01" w:type="dxa"/>
            <w:vAlign w:val="bottom"/>
          </w:tcPr>
          <w:p w14:paraId="6AE3DEA4"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6DD823B4" w14:textId="77777777" w:rsidTr="00922116">
        <w:tc>
          <w:tcPr>
            <w:tcW w:w="8925" w:type="dxa"/>
            <w:gridSpan w:val="2"/>
            <w:vAlign w:val="bottom"/>
          </w:tcPr>
          <w:p w14:paraId="52E31CE3"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17DE982B"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51807320"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i/>
          <w:sz w:val="30"/>
          <w:szCs w:val="30"/>
        </w:rPr>
      </w:pPr>
      <w:r w:rsidRPr="00272B36">
        <w:rPr>
          <w:rFonts w:ascii="Traditional Arabic" w:hAnsi="Traditional Arabic" w:cs="Traditional Arabic"/>
          <w:b w:val="0"/>
          <w:bCs/>
          <w:i/>
          <w:sz w:val="30"/>
          <w:szCs w:val="30"/>
        </w:rPr>
        <w:t>تكرير النفط</w:t>
      </w:r>
    </w:p>
    <w:p w14:paraId="47CD73B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تعد مصافي تكرير النفط حلقة رئيسية في سلسلة قيمة النفط، حيث تقوم بمعالجة النفط الخام، والذي يتم نقله غالبًا إلى هناك بواسطة ناقلات غير مطلية، وتحويله إلى منتجات مكررة، والتي بدورها يمكن نقلها بواسطة ناقلات مطلية أو غير مطلية حسب نوع المنتج. وعادة ما تنتج المصافي مزيجًا من المنتجات النفطية بناء على تعقيدها، بما في ذلك البنزين والديزل ووقود الطائرات والنفتا وغاز البترول المسال وزيت الوقود.</w:t>
      </w:r>
    </w:p>
    <w:p w14:paraId="2FDDB65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ومع تحول طاقة التكرير عمومًا شرقًا مع الطلب العالمي، تعمل آسيا والشرق الأوسط على توسيع طاقة التكرير بسرعة بينما انخفضت الطاقة المستقبلية في أمريكا الشمالية وأوروبا نتيجة لإغلاق المصانع، والتي تسارعت بسبب جائحة كوفيد-19.</w:t>
      </w:r>
    </w:p>
    <w:p w14:paraId="67A9B0B3"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سعة المصفاة</w:t>
      </w:r>
    </w:p>
    <w:p w14:paraId="73ECB59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21F54F07" wp14:editId="4CFF8058">
            <wp:extent cx="3366735" cy="2199600"/>
            <wp:effectExtent l="0" t="0" r="5715" b="0"/>
            <wp:docPr id="1583645424" name="Picture 28" descr="A graph of different colored bar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45424" name="Picture 28" descr="A graph of different colored bars  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67B31ED9" w14:textId="77777777" w:rsidTr="00922116">
        <w:tc>
          <w:tcPr>
            <w:tcW w:w="1440" w:type="dxa"/>
            <w:tcBorders>
              <w:top w:val="single" w:sz="4" w:space="0" w:color="auto"/>
            </w:tcBorders>
            <w:vAlign w:val="bottom"/>
          </w:tcPr>
          <w:p w14:paraId="5AFF57A4"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10D21D1A"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435275A7" w14:textId="77777777" w:rsidTr="00922116">
        <w:tc>
          <w:tcPr>
            <w:tcW w:w="9039" w:type="dxa"/>
            <w:gridSpan w:val="2"/>
            <w:vAlign w:val="bottom"/>
          </w:tcPr>
          <w:p w14:paraId="5DB351B5"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4D786CE5"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1FF6763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وعلى مدى العقد الماضي، زادت طاقة المصافي في منطقة دول مجلس التعاون الخليجي بأكثر من 40 في المائة لتصل إلى حوالي 6.5 مليون برميل في اليوم في عام 2023. وشكل هذا 6 في المائة من المجموع العالمي، ارتفاعا من 5 في المائة في عام 2013. وشكلت سلطنة عمان جزءًا من هذا النمو، وفي عام 2023 شكلت 7 في المائة من طاقة التكرير في دول مجلس التعاون الخليجي، مقابل 5 في المائة في عام 2013.</w:t>
      </w:r>
    </w:p>
    <w:p w14:paraId="4D22F55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وعلى مدى العقد الماضي، تضاعفت طاقة التكرير في سلطنة عمان تقريبًا، مع إضافة توسعة صحار ومصفاة الدقم الجديدة. وبإنتاج 230 ألف برميل في اليوم، تعد مصفاة الدقم التي تم الانتهاء منها مؤخرًا إضافة كبيرة إلى الطاقة الإجمالية لسلطنة عمان. وصلت المحطة إلى الحد الأقصى للإنتاج في الربع الأول من عام 2024، وذكر المشغل أوكيو8 أنه قد يكون قادرًا على الوصول إلى 10 في المائة فوق هذا المستوى في المستقبل. وبمجرد تسريع هذه العملية بالكامل، ستتجاوز سعة التكرير في سلطنة عمان 500 ألف برميل في اليوم.</w:t>
      </w:r>
    </w:p>
    <w:p w14:paraId="512A51F5"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الجدول: سعة المصفاة – سلطنة عمان</w:t>
      </w:r>
    </w:p>
    <w:tbl>
      <w:tblPr>
        <w:tblW w:w="9048" w:type="dxa"/>
        <w:tblInd w:w="437" w:type="dxa"/>
        <w:tblLayout w:type="fixed"/>
        <w:tblCellMar>
          <w:left w:w="0" w:type="dxa"/>
          <w:right w:w="0" w:type="dxa"/>
        </w:tblCellMar>
        <w:tblLook w:val="0000" w:firstRow="0" w:lastRow="0" w:firstColumn="0" w:lastColumn="0" w:noHBand="0" w:noVBand="0"/>
      </w:tblPr>
      <w:tblGrid>
        <w:gridCol w:w="3156"/>
        <w:gridCol w:w="282"/>
        <w:gridCol w:w="1132"/>
        <w:gridCol w:w="282"/>
        <w:gridCol w:w="1132"/>
        <w:gridCol w:w="282"/>
        <w:gridCol w:w="1132"/>
        <w:gridCol w:w="282"/>
        <w:gridCol w:w="1132"/>
        <w:gridCol w:w="236"/>
      </w:tblGrid>
      <w:tr w:rsidR="006B57D8" w:rsidRPr="0032117C" w14:paraId="18B07DB1" w14:textId="77777777" w:rsidTr="00922116">
        <w:trPr>
          <w:tblHeader/>
        </w:trPr>
        <w:tc>
          <w:tcPr>
            <w:tcW w:w="3156" w:type="dxa"/>
            <w:vAlign w:val="bottom"/>
          </w:tcPr>
          <w:p w14:paraId="5F9717EB" w14:textId="77777777" w:rsidR="006B57D8" w:rsidRPr="0032117C" w:rsidRDefault="006B57D8" w:rsidP="00922116">
            <w:pPr>
              <w:pStyle w:val="SmCellHead"/>
              <w:rPr>
                <w:sz w:val="16"/>
                <w:szCs w:val="16"/>
                <w:lang w:val="fr-FR"/>
              </w:rPr>
            </w:pPr>
            <w:r w:rsidRPr="0032117C">
              <w:rPr>
                <w:sz w:val="16"/>
                <w:szCs w:val="16"/>
                <w:lang w:val="fr-FR"/>
              </w:rPr>
              <w:t>Mn b/d</w:t>
            </w:r>
          </w:p>
        </w:tc>
        <w:tc>
          <w:tcPr>
            <w:tcW w:w="282" w:type="dxa"/>
            <w:vAlign w:val="bottom"/>
          </w:tcPr>
          <w:p w14:paraId="427D6C23" w14:textId="77777777" w:rsidR="006B57D8" w:rsidRPr="0032117C" w:rsidRDefault="006B57D8" w:rsidP="00922116">
            <w:pPr>
              <w:pStyle w:val="CellRowSpacer"/>
              <w:spacing w:after="120"/>
              <w:rPr>
                <w:sz w:val="16"/>
                <w:szCs w:val="16"/>
                <w:lang w:val="fr-FR"/>
              </w:rPr>
            </w:pPr>
          </w:p>
        </w:tc>
        <w:tc>
          <w:tcPr>
            <w:tcW w:w="1132" w:type="dxa"/>
            <w:tcBorders>
              <w:bottom w:val="single" w:sz="4" w:space="0" w:color="auto"/>
            </w:tcBorders>
            <w:vAlign w:val="bottom"/>
          </w:tcPr>
          <w:p w14:paraId="60AA456B" w14:textId="77777777" w:rsidR="006B57D8" w:rsidRPr="0032117C" w:rsidRDefault="006B57D8" w:rsidP="00922116">
            <w:pPr>
              <w:pStyle w:val="SmCellHead"/>
              <w:jc w:val="right"/>
              <w:rPr>
                <w:sz w:val="16"/>
                <w:szCs w:val="16"/>
                <w:lang w:val="fr-FR"/>
              </w:rPr>
            </w:pPr>
            <w:r w:rsidRPr="0032117C">
              <w:rPr>
                <w:sz w:val="16"/>
                <w:szCs w:val="16"/>
                <w:lang w:val="fr-FR"/>
              </w:rPr>
              <w:t>2010</w:t>
            </w:r>
          </w:p>
        </w:tc>
        <w:tc>
          <w:tcPr>
            <w:tcW w:w="282" w:type="dxa"/>
            <w:vAlign w:val="bottom"/>
          </w:tcPr>
          <w:p w14:paraId="7F35F761" w14:textId="77777777" w:rsidR="006B57D8" w:rsidRPr="0032117C" w:rsidRDefault="006B57D8" w:rsidP="00922116">
            <w:pPr>
              <w:pStyle w:val="CellRowSpacer"/>
              <w:spacing w:after="120"/>
              <w:rPr>
                <w:sz w:val="16"/>
                <w:szCs w:val="16"/>
                <w:lang w:val="fr-FR"/>
              </w:rPr>
            </w:pPr>
          </w:p>
        </w:tc>
        <w:tc>
          <w:tcPr>
            <w:tcW w:w="1132" w:type="dxa"/>
            <w:tcBorders>
              <w:bottom w:val="single" w:sz="4" w:space="0" w:color="auto"/>
            </w:tcBorders>
            <w:vAlign w:val="bottom"/>
          </w:tcPr>
          <w:p w14:paraId="54603873" w14:textId="77777777" w:rsidR="006B57D8" w:rsidRPr="0032117C" w:rsidRDefault="006B57D8" w:rsidP="00922116">
            <w:pPr>
              <w:pStyle w:val="SmCellHead"/>
              <w:jc w:val="right"/>
              <w:rPr>
                <w:sz w:val="16"/>
                <w:szCs w:val="16"/>
                <w:lang w:val="fr-FR"/>
              </w:rPr>
            </w:pPr>
            <w:r w:rsidRPr="0032117C">
              <w:rPr>
                <w:sz w:val="16"/>
                <w:szCs w:val="16"/>
                <w:lang w:val="fr-FR"/>
              </w:rPr>
              <w:t>2015</w:t>
            </w:r>
          </w:p>
        </w:tc>
        <w:tc>
          <w:tcPr>
            <w:tcW w:w="282" w:type="dxa"/>
            <w:vAlign w:val="bottom"/>
          </w:tcPr>
          <w:p w14:paraId="0A62897E" w14:textId="77777777" w:rsidR="006B57D8" w:rsidRPr="0032117C" w:rsidRDefault="006B57D8" w:rsidP="00922116">
            <w:pPr>
              <w:pStyle w:val="CellRowSpacer"/>
              <w:spacing w:after="120"/>
              <w:rPr>
                <w:sz w:val="16"/>
                <w:szCs w:val="16"/>
                <w:lang w:val="fr-FR"/>
              </w:rPr>
            </w:pPr>
          </w:p>
        </w:tc>
        <w:tc>
          <w:tcPr>
            <w:tcW w:w="1132" w:type="dxa"/>
            <w:tcBorders>
              <w:bottom w:val="single" w:sz="4" w:space="0" w:color="auto"/>
            </w:tcBorders>
            <w:vAlign w:val="bottom"/>
          </w:tcPr>
          <w:p w14:paraId="014167F7" w14:textId="77777777" w:rsidR="006B57D8" w:rsidRPr="0032117C" w:rsidRDefault="006B57D8" w:rsidP="00922116">
            <w:pPr>
              <w:pStyle w:val="SmCellHead"/>
              <w:jc w:val="right"/>
              <w:rPr>
                <w:sz w:val="16"/>
                <w:szCs w:val="16"/>
                <w:lang w:val="fr-FR"/>
              </w:rPr>
            </w:pPr>
            <w:r w:rsidRPr="0032117C">
              <w:rPr>
                <w:sz w:val="16"/>
                <w:szCs w:val="16"/>
                <w:lang w:val="fr-FR"/>
              </w:rPr>
              <w:t>2020</w:t>
            </w:r>
          </w:p>
        </w:tc>
        <w:tc>
          <w:tcPr>
            <w:tcW w:w="282" w:type="dxa"/>
            <w:vAlign w:val="bottom"/>
          </w:tcPr>
          <w:p w14:paraId="453E2341" w14:textId="77777777" w:rsidR="006B57D8" w:rsidRPr="0032117C" w:rsidRDefault="006B57D8" w:rsidP="00922116">
            <w:pPr>
              <w:pStyle w:val="CellRowSpacer"/>
              <w:spacing w:after="120"/>
              <w:rPr>
                <w:sz w:val="16"/>
                <w:szCs w:val="16"/>
                <w:lang w:val="fr-FR"/>
              </w:rPr>
            </w:pPr>
          </w:p>
        </w:tc>
        <w:tc>
          <w:tcPr>
            <w:tcW w:w="1132" w:type="dxa"/>
            <w:tcBorders>
              <w:bottom w:val="single" w:sz="4" w:space="0" w:color="auto"/>
            </w:tcBorders>
            <w:vAlign w:val="bottom"/>
          </w:tcPr>
          <w:p w14:paraId="7BDB5B1D" w14:textId="77777777" w:rsidR="006B57D8" w:rsidRPr="0032117C" w:rsidRDefault="006B57D8" w:rsidP="00922116">
            <w:pPr>
              <w:pStyle w:val="SmCellHead"/>
              <w:jc w:val="right"/>
              <w:rPr>
                <w:sz w:val="16"/>
                <w:szCs w:val="16"/>
                <w:lang w:val="fr-FR"/>
              </w:rPr>
            </w:pPr>
            <w:r w:rsidRPr="0032117C">
              <w:rPr>
                <w:sz w:val="16"/>
                <w:szCs w:val="16"/>
                <w:lang w:val="fr-FR"/>
              </w:rPr>
              <w:t>2023</w:t>
            </w:r>
          </w:p>
        </w:tc>
        <w:tc>
          <w:tcPr>
            <w:tcW w:w="236" w:type="dxa"/>
            <w:vAlign w:val="bottom"/>
          </w:tcPr>
          <w:p w14:paraId="29435F6C" w14:textId="77777777" w:rsidR="006B57D8" w:rsidRPr="0032117C" w:rsidRDefault="006B57D8" w:rsidP="00922116">
            <w:pPr>
              <w:pStyle w:val="CellRowSpacer"/>
              <w:spacing w:after="120"/>
              <w:rPr>
                <w:sz w:val="16"/>
                <w:szCs w:val="16"/>
                <w:lang w:val="fr-FR"/>
              </w:rPr>
            </w:pPr>
          </w:p>
        </w:tc>
      </w:tr>
      <w:tr w:rsidR="006B57D8" w:rsidRPr="0032117C" w14:paraId="73AC4E41" w14:textId="77777777" w:rsidTr="00922116">
        <w:tc>
          <w:tcPr>
            <w:tcW w:w="3156" w:type="dxa"/>
            <w:vAlign w:val="bottom"/>
          </w:tcPr>
          <w:p w14:paraId="45D29F68" w14:textId="77777777" w:rsidR="006B57D8" w:rsidRPr="0032117C" w:rsidRDefault="006B57D8" w:rsidP="00922116">
            <w:pPr>
              <w:pStyle w:val="SmCellBody"/>
              <w:tabs>
                <w:tab w:val="right" w:leader="dot" w:pos="3163"/>
              </w:tabs>
              <w:rPr>
                <w:sz w:val="16"/>
                <w:szCs w:val="16"/>
                <w:lang w:val="fr-FR"/>
              </w:rPr>
            </w:pPr>
            <w:r w:rsidRPr="0032117C">
              <w:rPr>
                <w:sz w:val="16"/>
                <w:szCs w:val="16"/>
                <w:lang w:val="fr-FR"/>
              </w:rPr>
              <w:t>Oman</w:t>
            </w:r>
            <w:r w:rsidRPr="0032117C">
              <w:rPr>
                <w:sz w:val="16"/>
                <w:szCs w:val="16"/>
                <w:lang w:val="fr-FR"/>
              </w:rPr>
              <w:tab/>
            </w:r>
          </w:p>
        </w:tc>
        <w:tc>
          <w:tcPr>
            <w:tcW w:w="282" w:type="dxa"/>
            <w:vAlign w:val="bottom"/>
          </w:tcPr>
          <w:p w14:paraId="3C3A23C9" w14:textId="77777777" w:rsidR="006B57D8" w:rsidRPr="0032117C" w:rsidRDefault="006B57D8" w:rsidP="00922116">
            <w:pPr>
              <w:pStyle w:val="CellRowSpacer"/>
              <w:rPr>
                <w:sz w:val="16"/>
                <w:szCs w:val="16"/>
                <w:lang w:val="fr-FR"/>
              </w:rPr>
            </w:pPr>
          </w:p>
        </w:tc>
        <w:tc>
          <w:tcPr>
            <w:tcW w:w="1132" w:type="dxa"/>
            <w:tcBorders>
              <w:top w:val="single" w:sz="4" w:space="0" w:color="auto"/>
            </w:tcBorders>
            <w:vAlign w:val="bottom"/>
          </w:tcPr>
          <w:p w14:paraId="1D7BA90B" w14:textId="77777777" w:rsidR="006B57D8" w:rsidRPr="0032117C" w:rsidRDefault="006B57D8" w:rsidP="00922116">
            <w:pPr>
              <w:pStyle w:val="SmCellBody"/>
              <w:jc w:val="right"/>
              <w:rPr>
                <w:sz w:val="16"/>
                <w:szCs w:val="16"/>
                <w:lang w:val="fr-FR"/>
              </w:rPr>
            </w:pPr>
            <w:r w:rsidRPr="0032117C">
              <w:rPr>
                <w:sz w:val="16"/>
                <w:szCs w:val="16"/>
                <w:lang w:val="fr-FR"/>
              </w:rPr>
              <w:t>222</w:t>
            </w:r>
          </w:p>
        </w:tc>
        <w:tc>
          <w:tcPr>
            <w:tcW w:w="282" w:type="dxa"/>
            <w:vAlign w:val="bottom"/>
          </w:tcPr>
          <w:p w14:paraId="2C10C85D" w14:textId="77777777" w:rsidR="006B57D8" w:rsidRPr="0032117C" w:rsidRDefault="006B57D8" w:rsidP="00922116">
            <w:pPr>
              <w:pStyle w:val="CellRowSpacer"/>
              <w:rPr>
                <w:sz w:val="16"/>
                <w:szCs w:val="16"/>
                <w:lang w:val="fr-FR"/>
              </w:rPr>
            </w:pPr>
          </w:p>
        </w:tc>
        <w:tc>
          <w:tcPr>
            <w:tcW w:w="1132" w:type="dxa"/>
            <w:tcBorders>
              <w:top w:val="single" w:sz="4" w:space="0" w:color="auto"/>
            </w:tcBorders>
            <w:vAlign w:val="bottom"/>
          </w:tcPr>
          <w:p w14:paraId="1AE3688F" w14:textId="77777777" w:rsidR="006B57D8" w:rsidRPr="0032117C" w:rsidRDefault="006B57D8" w:rsidP="00922116">
            <w:pPr>
              <w:pStyle w:val="SmCellBody"/>
              <w:jc w:val="right"/>
              <w:rPr>
                <w:sz w:val="16"/>
                <w:szCs w:val="16"/>
                <w:lang w:val="fr-FR"/>
              </w:rPr>
            </w:pPr>
            <w:r w:rsidRPr="0032117C">
              <w:rPr>
                <w:sz w:val="16"/>
                <w:szCs w:val="16"/>
                <w:lang w:val="fr-FR"/>
              </w:rPr>
              <w:t>222</w:t>
            </w:r>
          </w:p>
        </w:tc>
        <w:tc>
          <w:tcPr>
            <w:tcW w:w="282" w:type="dxa"/>
            <w:vAlign w:val="bottom"/>
          </w:tcPr>
          <w:p w14:paraId="212F0873" w14:textId="77777777" w:rsidR="006B57D8" w:rsidRPr="0032117C" w:rsidRDefault="006B57D8" w:rsidP="00922116">
            <w:pPr>
              <w:pStyle w:val="CellRowSpacer"/>
              <w:rPr>
                <w:sz w:val="16"/>
                <w:szCs w:val="16"/>
                <w:lang w:val="fr-FR"/>
              </w:rPr>
            </w:pPr>
          </w:p>
        </w:tc>
        <w:tc>
          <w:tcPr>
            <w:tcW w:w="1132" w:type="dxa"/>
            <w:tcBorders>
              <w:top w:val="single" w:sz="4" w:space="0" w:color="auto"/>
            </w:tcBorders>
            <w:vAlign w:val="bottom"/>
          </w:tcPr>
          <w:p w14:paraId="2463D6BB" w14:textId="77777777" w:rsidR="006B57D8" w:rsidRPr="0032117C" w:rsidRDefault="006B57D8" w:rsidP="00922116">
            <w:pPr>
              <w:pStyle w:val="SmCellBody"/>
              <w:jc w:val="right"/>
              <w:rPr>
                <w:sz w:val="16"/>
                <w:szCs w:val="16"/>
                <w:lang w:val="fr-FR"/>
              </w:rPr>
            </w:pPr>
            <w:r w:rsidRPr="0032117C">
              <w:rPr>
                <w:sz w:val="16"/>
                <w:szCs w:val="16"/>
                <w:lang w:val="fr-FR"/>
              </w:rPr>
              <w:t>304</w:t>
            </w:r>
          </w:p>
        </w:tc>
        <w:tc>
          <w:tcPr>
            <w:tcW w:w="282" w:type="dxa"/>
            <w:vAlign w:val="bottom"/>
          </w:tcPr>
          <w:p w14:paraId="25318B31" w14:textId="77777777" w:rsidR="006B57D8" w:rsidRPr="0032117C" w:rsidRDefault="006B57D8" w:rsidP="00922116">
            <w:pPr>
              <w:pStyle w:val="CellRowSpacer"/>
              <w:rPr>
                <w:sz w:val="16"/>
                <w:szCs w:val="16"/>
                <w:lang w:val="fr-FR"/>
              </w:rPr>
            </w:pPr>
          </w:p>
        </w:tc>
        <w:tc>
          <w:tcPr>
            <w:tcW w:w="1132" w:type="dxa"/>
            <w:tcBorders>
              <w:top w:val="single" w:sz="4" w:space="0" w:color="auto"/>
            </w:tcBorders>
            <w:vAlign w:val="bottom"/>
          </w:tcPr>
          <w:p w14:paraId="78B5A6AC" w14:textId="77777777" w:rsidR="006B57D8" w:rsidRPr="0032117C" w:rsidRDefault="006B57D8" w:rsidP="00922116">
            <w:pPr>
              <w:pStyle w:val="SmCellBody"/>
              <w:jc w:val="right"/>
              <w:rPr>
                <w:sz w:val="16"/>
                <w:szCs w:val="16"/>
                <w:lang w:val="fr-FR"/>
              </w:rPr>
            </w:pPr>
            <w:r w:rsidRPr="0032117C">
              <w:rPr>
                <w:sz w:val="16"/>
                <w:szCs w:val="16"/>
                <w:lang w:val="fr-FR"/>
              </w:rPr>
              <w:t>435</w:t>
            </w:r>
          </w:p>
        </w:tc>
        <w:tc>
          <w:tcPr>
            <w:tcW w:w="236" w:type="dxa"/>
            <w:vAlign w:val="bottom"/>
          </w:tcPr>
          <w:p w14:paraId="6BC80673" w14:textId="77777777" w:rsidR="006B57D8" w:rsidRPr="0032117C" w:rsidRDefault="006B57D8" w:rsidP="00922116">
            <w:pPr>
              <w:pStyle w:val="CellRowSpacer"/>
              <w:rPr>
                <w:sz w:val="16"/>
                <w:szCs w:val="16"/>
                <w:lang w:val="fr-FR"/>
              </w:rPr>
            </w:pPr>
          </w:p>
        </w:tc>
      </w:tr>
    </w:tbl>
    <w:p w14:paraId="344303C8" w14:textId="77777777" w:rsidR="00F87C1B" w:rsidRPr="00272B36" w:rsidRDefault="00F87C1B" w:rsidP="006B57D8">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معهد الطاقة</w:t>
      </w:r>
    </w:p>
    <w:p w14:paraId="09F4E65A" w14:textId="77777777" w:rsidR="00F87C1B" w:rsidRPr="00272B36" w:rsidRDefault="00F87C1B" w:rsidP="006B57D8">
      <w:pPr>
        <w:pStyle w:val="P68B1DB1-KeyMessage1"/>
        <w:spacing w:beforeLines="40" w:before="96" w:afterLines="40" w:after="96"/>
        <w:rPr>
          <w:rFonts w:ascii="Traditional Arabic" w:hAnsi="Traditional Arabic" w:cs="Traditional Arabic"/>
          <w:b w:val="0"/>
          <w:bCs/>
          <w:i/>
          <w:sz w:val="30"/>
          <w:szCs w:val="30"/>
        </w:rPr>
      </w:pPr>
      <w:r w:rsidRPr="00272B36">
        <w:rPr>
          <w:rFonts w:ascii="Traditional Arabic" w:hAnsi="Traditional Arabic" w:cs="Traditional Arabic"/>
          <w:b w:val="0"/>
          <w:bCs/>
          <w:i/>
          <w:sz w:val="30"/>
          <w:szCs w:val="30"/>
        </w:rPr>
        <w:t>تجارة النفط</w:t>
      </w:r>
    </w:p>
    <w:p w14:paraId="1335C43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إن تجارة النفط الخام ناتجة عن الفصل الجغرافي بين مصادر إنتاج النفط الخام والمصافي ومراكز التخزين والتجارة. وعادة ما تنتقل تجارة المنتجات النفطية من مراكز التكرير والتخزين إلى المناطق التي يوجد فيها عجز في نوع معين من المنتجات، مدفوعا بمتطلبات استهلاك النفط وقدرة التكرير المحلية.</w:t>
      </w:r>
    </w:p>
    <w:p w14:paraId="10B6452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هذا، وتتمتع منطقة الشرق الأوسط بأكبر فائض عالمي من النفط، حيث يشهد الاتحاد السوفيتي سابقا أيضًا فائضًا كبيرًا وثابتًا. وتعاني آسيا من أكبر عجز، مدفوعًا بمستويات الاستهلاك المرتفعة والموارد المحدودة. وقد عانت أوروبا أيضًا من عجز كبير في النفط. وتحولت الأمريكتان من وضع العجز إلى فائض، مدعومًا بنمو إنتاج النفط الصخري الأمريكي وزيادة إنتاج النفط في أمريكا الجنوبية.</w:t>
      </w:r>
    </w:p>
    <w:p w14:paraId="3B88DA91"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صافي أرصدة تجارة النفط *</w:t>
      </w:r>
    </w:p>
    <w:p w14:paraId="0C35B2E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31FE3B85" wp14:editId="3A78F298">
            <wp:extent cx="3366735" cy="2199600"/>
            <wp:effectExtent l="0" t="0" r="5715" b="0"/>
            <wp:docPr id="496656830" name="Picture 29" descr="A graph of different colored squar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56830" name="Picture 29" descr="A graph of different colored squares  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0503270F" w14:textId="77777777" w:rsidTr="00922116">
        <w:tc>
          <w:tcPr>
            <w:tcW w:w="1440" w:type="dxa"/>
            <w:tcBorders>
              <w:top w:val="single" w:sz="4" w:space="0" w:color="auto"/>
            </w:tcBorders>
            <w:vAlign w:val="bottom"/>
          </w:tcPr>
          <w:p w14:paraId="031C6983"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74087F28"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05728BE4" w14:textId="77777777" w:rsidTr="00922116">
        <w:tc>
          <w:tcPr>
            <w:tcW w:w="9039" w:type="dxa"/>
            <w:gridSpan w:val="2"/>
            <w:vAlign w:val="bottom"/>
          </w:tcPr>
          <w:p w14:paraId="64FE28DD"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2030 هي توقعات مستقبلية</w:t>
            </w:r>
          </w:p>
        </w:tc>
      </w:tr>
      <w:tr w:rsidR="00F87C1B" w:rsidRPr="00272B36" w14:paraId="7E61B6D4" w14:textId="77777777" w:rsidTr="00922116">
        <w:tc>
          <w:tcPr>
            <w:tcW w:w="9039" w:type="dxa"/>
            <w:gridSpan w:val="2"/>
            <w:vAlign w:val="bottom"/>
          </w:tcPr>
          <w:p w14:paraId="166D68FF"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*يظهر صافي الرصيد بين واردات وصادرات النفط الخام والمنتجات المكررة</w:t>
            </w:r>
          </w:p>
        </w:tc>
      </w:tr>
    </w:tbl>
    <w:p w14:paraId="05AFEC10"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48FFDDD4"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صادرات أمريكا الشمالية الخام</w:t>
      </w:r>
    </w:p>
    <w:p w14:paraId="1AEDFAD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4A69901E" wp14:editId="0CE14DF9">
            <wp:extent cx="3366735" cy="2199600"/>
            <wp:effectExtent l="0" t="0" r="5715" b="0"/>
            <wp:docPr id="905982210" name="Picture 25" descr="A graph of a graph showing the growth of crude prices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82210" name="Picture 25" descr="A graph of a graph showing the growth of crude prices  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59E21E2D" w14:textId="77777777" w:rsidTr="00922116">
        <w:tc>
          <w:tcPr>
            <w:tcW w:w="1440" w:type="dxa"/>
            <w:tcBorders>
              <w:top w:val="single" w:sz="4" w:space="0" w:color="auto"/>
            </w:tcBorders>
            <w:vAlign w:val="bottom"/>
          </w:tcPr>
          <w:p w14:paraId="36BBCD83"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5DC7ED29"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40CA8E15" w14:textId="77777777" w:rsidTr="00922116">
        <w:tc>
          <w:tcPr>
            <w:tcW w:w="9039" w:type="dxa"/>
            <w:gridSpan w:val="2"/>
            <w:vAlign w:val="bottom"/>
          </w:tcPr>
          <w:p w14:paraId="52AC8DD9"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35B983B6"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28FEACE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كما تتأثر أنماط استخدام ناقلات النفط وتجارتها بالقيود المادية المفروضة على الوصول إلى المناطق أو الموانئ، والسياسة الوطنية والدولية، والعلاقات التجارية، وتجارة البضائع واختيار استغلال فوارق السعر، وعوامل أخرى. ونتيجة لذلك، نشأت طرق تجارة النفط الخام الرئيسية في المناطق المنتجة الرئيسية (الشرق الأوسط والأمريكتين والاتحاد السوفيتي سابقا وأفريقيا)، مع وجهات تتكون إلى حد كبير من مراكز الاستهلاك الرئيسية في آسيا وأوروبا وأمريكا الشمالية.</w:t>
      </w:r>
    </w:p>
    <w:p w14:paraId="4D3C780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في العقد الحالي، أثرت جائحة كوفيد-19 والاضطرابات الجيوسياسية على كل من الأحجام الإجمالية لتجارة النفط، ومساراتها الجغرافية. وكان الغزو الروسي لأوكرانيا في عام 2022 حدثًا مدمرًا كبيرًا لقطاع ناقلات النفط، حيث غير أنماط التجارة الراسخة من روسيا إلى أوروبا. وكان هذا نتيجة لخفض كل من أوروبا لواردات النفط الروسية وزيادة واردات النفط من مصادر بديلة وأكثر بعداً، مثل الأمريكتين والشرق الأوسط. وفي الوقت نفسه، حافظت روسيا على نطاق واسع على أحجام إنتاجها وصادراتها من النفط التي وجدت بديلًا أيضًا عن الأسواق البعيدة (مقارنة بأوروبا)، في المقام الأول، في آسيا لنفطها.</w:t>
      </w:r>
    </w:p>
    <w:p w14:paraId="23D4A6E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وتعد آسيا أهم منطقة لواردات النفط الخام، نظرًا لمستويات الطلب المرتفعة والمتنامية على النفط، والمستويات المنخفضة نسبيًا لإنتاج النفط. وهذا يترك اختلالًا كبيرًا بين الطلب على النفط والعرض، والذي يجب ملؤه بواردات النفط الخام. ومع نمو الطلب الآسيوي على النفط، وركود الطلب الغربي (مع قدرة التكرير على متابعة هذه التطورات على نطاق واسع)، عكست تجارة النفط الخام أيضًا هذه الاتجاهات. وزادت أحجام تجارة النفط الخام المتجهة إلى آسيا، مع انخفاض الواردات في الأسواق الغربية </w:t>
      </w:r>
      <w:r w:rsidRPr="00F87C1B">
        <w:rPr>
          <w:rFonts w:ascii="Traditional Arabic" w:hAnsi="Traditional Arabic" w:cs="Traditional Arabic"/>
          <w:sz w:val="30"/>
          <w:szCs w:val="30"/>
        </w:rPr>
        <w:lastRenderedPageBreak/>
        <w:t>(مدعومة أيضًا بنمو إنتاج النفط في أمريكا الشمالية). ومن المتوقع أن يستمر هذا الاتجاه للزيادة النسبية في تجارة النفط الخام المتجهة إلى آسيا.</w:t>
      </w:r>
    </w:p>
    <w:p w14:paraId="30133B3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وفي الوقت نفسه، كان الشرق الأوسط أكبر منطقة لصادرات النفط الخام ولا يزال كذلك على الرغم من تأثير كل من تخفيضات الإنتاج، وارتفاع إنتاجية التكرير الإقليمية. تاريخيًا، نظرًا لمستويات الإنتاج المرتفعة والطاقة الإنتاجية الفائضة الكبيرة، لعب إنتاج الشرق الأوسط دورًا مرنًا في تلبية متطلبات الطلب العالمي على النفط. ومعظم منتجي المنطقة أعضاء في أوبك، ويتماشى الإنتاج على نطاق واسع سياسة إنتاج المجموعة.</w:t>
      </w:r>
    </w:p>
    <w:p w14:paraId="6CD3844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"المحور" الأساسي لخريطة تجارة النفط الخام العالمية هو من الشرق الأوسط إلى آسيا. ومع ذلك، مع تغير ديناميكيات الإنتاج، ولا سيما الزيادة في إنتاج النفط في الأمريكتين، شهدنا اتجاهًا في ارتفاع تدفقات تجارة النفط الخام من الأمريكتين إلى آسيا، وهي تسافر إلى أبعد من ذلك بكثير (وبالتالي تتطلب زيادة سعة نقل الناقلات لكل طن يتم شحنه).</w:t>
      </w:r>
    </w:p>
    <w:p w14:paraId="09863C5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ونتيجة لانخفاض الطلب على النفط في عام 2020 وقرارات السياسة اللاحقة، انخفضت أحجام تجارة النفط الخام بشكل حاد. وقد تعافوا منذ ذلك الحين، على الرغم من أن سياسة أوبك+ التقييدية قد حدت من هذه الزيادة، حيث نفذت المجموعة تخفيضات الإنتاج على مستوى المجموعة والخفض الاختياري أيضا. تم تأجيل هدف أوبك+ المتمثل في إلغاء التخفيضات الاختيارية البالغة 2.2 مليون برميل في اليوم مرارًا وتكرارًا خلال عام 2024.</w:t>
      </w:r>
    </w:p>
    <w:p w14:paraId="7DC6617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وبالنسبة لتجارة المنتجات النفطية، كان النمو في البضائع المنقولة بحراً أقوى من النفط الخام على مدى العقد الماضي، على الرغم من أن هذا تأثر بشدة أيضًا بالوباء. تاريخيًا، عانت مناطق مثل أمريكا اللاتينية وأفريقيا من نقص الاستثمار في طاقة التكرير اللازمة لزيادة استهلاكها من المنتجات لتلبية الطلب المتزايد على النفط. وقد شهدت أوروبا مكاسب صافية بسبب ترشيد المصافي في وقت سابق والاختلال الهيكلي لإنتاج المنتجات الناتجة عن عملية التقطير في صناعة التكرير. وقد دعمت جنوب شرق آسيا نمو الطلب على المنتجات في آسيا والمحيط الهادئ، حيث لعبت أوقيانوسيا دورًا أكثر بروزًا في السنوات الأخيرة، مرة أخرى بسبب إغلاق المصافي. وعلى هذا النحو، كان الطلب على استيراد المنتجات المكررة أكثر استقرارًا وانتشارًا حسب المنطقة، على الرغم من أنه شهد أيضًا انخفاضًا كبيرًا نتيجة لـ</w:t>
      </w:r>
      <w:r w:rsidR="006B57D8">
        <w:rPr>
          <w:rFonts w:ascii="Traditional Arabic" w:hAnsi="Traditional Arabic" w:cs="Traditional Arabic" w:hint="cs"/>
          <w:sz w:val="30"/>
          <w:szCs w:val="30"/>
        </w:rPr>
        <w:t>كوفيد-19</w:t>
      </w:r>
      <w:r w:rsidRPr="00F87C1B">
        <w:rPr>
          <w:rFonts w:ascii="Traditional Arabic" w:hAnsi="Traditional Arabic" w:cs="Traditional Arabic"/>
          <w:sz w:val="30"/>
          <w:szCs w:val="30"/>
        </w:rPr>
        <w:t>، وهو يتعافى.</w:t>
      </w:r>
    </w:p>
    <w:p w14:paraId="3E9646CF"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واردات المنتجات حسب المنطقة</w:t>
      </w:r>
    </w:p>
    <w:p w14:paraId="262743C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501FB324" wp14:editId="20D45583">
            <wp:extent cx="3366735" cy="2199600"/>
            <wp:effectExtent l="0" t="0" r="5715" b="0"/>
            <wp:docPr id="945520548" name="Picture 27" descr="A graph of different colored bar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20548" name="Picture 27" descr="A graph of different colored bars  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2768B3A7" w14:textId="77777777" w:rsidTr="00922116">
        <w:tc>
          <w:tcPr>
            <w:tcW w:w="1440" w:type="dxa"/>
            <w:tcBorders>
              <w:top w:val="single" w:sz="4" w:space="0" w:color="auto"/>
            </w:tcBorders>
            <w:vAlign w:val="bottom"/>
          </w:tcPr>
          <w:p w14:paraId="4B5EDA57"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10EB2149"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619536DD" w14:textId="77777777" w:rsidTr="00922116">
        <w:tc>
          <w:tcPr>
            <w:tcW w:w="9039" w:type="dxa"/>
            <w:gridSpan w:val="2"/>
            <w:vAlign w:val="bottom"/>
          </w:tcPr>
          <w:p w14:paraId="76C0E81A"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34669B38"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5F5D928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وستستمر تطورات التكرير في لعب دور رئيسي في دفع تجارة المنتجات، سواء من حيث المشاريع الجديدة (التي يمكن أن تعزز إمكانات تصدير المنتجات في المنطقة أو تقلل من واردات المنتجات) وإغلاق المصانع. وفي منطقة دول مجلس التعاون الخليجي، شهدنا توسعًا في عمليات التكرير مما أدى إلى زيادة صادرات المنتجات. وقد أدت عوامل أخرى، مثل انخفاض صادرات المنتجات الروسية في أوروبا، إلى زيادة التدفقات من الشرق الأوسط إلى أوروبا.</w:t>
      </w:r>
    </w:p>
    <w:p w14:paraId="23CA2C91"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تجارة النفط المنقولة بحراً</w:t>
      </w:r>
    </w:p>
    <w:p w14:paraId="1E1C780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028DBFDE" wp14:editId="2A15C932">
            <wp:extent cx="3366735" cy="2199600"/>
            <wp:effectExtent l="0" t="0" r="5715" b="0"/>
            <wp:docPr id="1830682793" name="Picture 30" descr="A graph of a seaborn product cargo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82793" name="Picture 30" descr="A graph of a seaborn product cargo  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53F4BBDF" w14:textId="77777777" w:rsidTr="00922116">
        <w:tc>
          <w:tcPr>
            <w:tcW w:w="1440" w:type="dxa"/>
            <w:tcBorders>
              <w:top w:val="single" w:sz="4" w:space="0" w:color="auto"/>
            </w:tcBorders>
            <w:vAlign w:val="bottom"/>
          </w:tcPr>
          <w:p w14:paraId="4534F3EA"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1B7E3645"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7B0738CC" w14:textId="77777777" w:rsidTr="00922116">
        <w:tc>
          <w:tcPr>
            <w:tcW w:w="9039" w:type="dxa"/>
            <w:gridSpan w:val="2"/>
            <w:vAlign w:val="bottom"/>
          </w:tcPr>
          <w:p w14:paraId="6ED84CCD"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lastRenderedPageBreak/>
              <w:t>2024 إلى 2030 هي توقعات مستقبلية</w:t>
            </w:r>
          </w:p>
        </w:tc>
      </w:tr>
    </w:tbl>
    <w:p w14:paraId="5F1AF2B4"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27DDC254"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i/>
          <w:sz w:val="30"/>
          <w:szCs w:val="30"/>
        </w:rPr>
      </w:pPr>
      <w:r w:rsidRPr="00272B36">
        <w:rPr>
          <w:rFonts w:ascii="Traditional Arabic" w:hAnsi="Traditional Arabic" w:cs="Traditional Arabic"/>
          <w:b w:val="0"/>
          <w:bCs/>
          <w:i/>
          <w:sz w:val="30"/>
          <w:szCs w:val="30"/>
        </w:rPr>
        <w:t>الطلب على الحم</w:t>
      </w:r>
      <w:r w:rsidR="006B57D8">
        <w:rPr>
          <w:rFonts w:ascii="Traditional Arabic" w:hAnsi="Traditional Arabic" w:cs="Traditional Arabic" w:hint="cs"/>
          <w:b w:val="0"/>
          <w:bCs/>
          <w:i/>
          <w:sz w:val="30"/>
          <w:szCs w:val="30"/>
        </w:rPr>
        <w:t>و</w:t>
      </w:r>
      <w:r w:rsidRPr="00272B36">
        <w:rPr>
          <w:rFonts w:ascii="Traditional Arabic" w:hAnsi="Traditional Arabic" w:cs="Traditional Arabic"/>
          <w:b w:val="0"/>
          <w:bCs/>
          <w:i/>
          <w:sz w:val="30"/>
          <w:szCs w:val="30"/>
        </w:rPr>
        <w:t>ل</w:t>
      </w:r>
      <w:r w:rsidR="006B57D8">
        <w:rPr>
          <w:rFonts w:ascii="Traditional Arabic" w:hAnsi="Traditional Arabic" w:cs="Traditional Arabic" w:hint="cs"/>
          <w:b w:val="0"/>
          <w:bCs/>
          <w:i/>
          <w:sz w:val="30"/>
          <w:szCs w:val="30"/>
        </w:rPr>
        <w:t>ة</w:t>
      </w:r>
      <w:r w:rsidRPr="00272B36">
        <w:rPr>
          <w:rFonts w:ascii="Traditional Arabic" w:hAnsi="Traditional Arabic" w:cs="Traditional Arabic"/>
          <w:b w:val="0"/>
          <w:bCs/>
          <w:i/>
          <w:sz w:val="30"/>
          <w:szCs w:val="30"/>
        </w:rPr>
        <w:t xml:space="preserve"> الساكن</w:t>
      </w:r>
      <w:r w:rsidR="006B57D8">
        <w:rPr>
          <w:rFonts w:ascii="Traditional Arabic" w:hAnsi="Traditional Arabic" w:cs="Traditional Arabic" w:hint="cs"/>
          <w:b w:val="0"/>
          <w:bCs/>
          <w:i/>
          <w:sz w:val="30"/>
          <w:szCs w:val="30"/>
        </w:rPr>
        <w:t>ة</w:t>
      </w:r>
    </w:p>
    <w:p w14:paraId="0174C95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ويعزى الطلب على الناقلات إلى المسافات المقطوعة، فضلاً عن السرعة والعوامل "الاحتكاكية" الأخرى مثل التأخير في الموانئ. ويمكن تحفيز عناصر السوق هذه من خلال مجموعة من العوامل.</w:t>
      </w:r>
    </w:p>
    <w:p w14:paraId="785BCFC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شهدت كل من أنماط تجارة النفط الخام والمنتجات المكررة تغييرات كبيرة نتيجة للحرب في أوكرانيا والتغيرات اللاحقة في العلاقات السياسية والاقتصادية. ويعني قرب السواحل الغربية لروسيا ؛ والمنافذ الرئيسية لصادرات النفط المنقولة بحراً إلى أوروبا، تاريخيًا، أن رحلات النفط المنقولة بحراً من روسيا كانت قصيرة نسبيًا. ومع توقف هذه التدفقات بشكل فعال، تعتمد كل من واردات النفط الأوروبية والصادرات الروسية الآن على التجارة طويلة المدى. وقد أدى ذلك إلى زيادة عنصر "المسافة" الإجمالي لتجارة النفط العالمية، مما يدعم الطلب على الناقلات.</w:t>
      </w:r>
    </w:p>
    <w:p w14:paraId="753E538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وكان مما يدعم ذلك، الاضطرابات الحاصلة في قناة السويس/منطقة البحر الأحمر. وكانت التحويلات حول هذا المسار كبيرة بالنسبة لقطاع الناقلات، مما أضاف مسافات أطول وتسارع الطلب على الحمولة الساكنة. فعلى سبيل المثال، رحلة من منطقة الشرق الأوسط (ميناء مسقط) إلى أوروبا (روتردام) كانت ستبلغ حوالي 5900 ميل بحري باستخدام قناة السويس، و 10600 ميل بحري عند توجيهها عبر رأس الرجاء الصالح، مما يزيد من مسافة الرحلة بحوالي 80 في المائة.</w:t>
      </w:r>
    </w:p>
    <w:p w14:paraId="7317C97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وقد عززت هذه العوامل مجتمعة في السنوات الأخيرة نمو الطلب على الحمولة الساكنة للناقلات بما يتجاوز نمو التجارة ودعمت أرباح ناقلات النفط القوية التي شهدتها منذ عام 2022.</w:t>
      </w:r>
    </w:p>
    <w:p w14:paraId="7299EA6B"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الطلب على الحمولة الساكنة للناقلة</w:t>
      </w:r>
    </w:p>
    <w:p w14:paraId="15C3109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74DFF7F0" wp14:editId="36A3197E">
            <wp:extent cx="3366735" cy="2199600"/>
            <wp:effectExtent l="0" t="0" r="5715" b="0"/>
            <wp:docPr id="2034505182" name="Picture 32" descr="A graph of a number of products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05182" name="Picture 32" descr="A graph of a number of products  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0AA1E3DF" w14:textId="77777777" w:rsidTr="00922116">
        <w:tc>
          <w:tcPr>
            <w:tcW w:w="1440" w:type="dxa"/>
            <w:tcBorders>
              <w:top w:val="single" w:sz="4" w:space="0" w:color="auto"/>
            </w:tcBorders>
            <w:vAlign w:val="bottom"/>
          </w:tcPr>
          <w:p w14:paraId="77616013"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6DAFC192"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0D2C37EA" w14:textId="77777777" w:rsidTr="00922116">
        <w:tc>
          <w:tcPr>
            <w:tcW w:w="9039" w:type="dxa"/>
            <w:gridSpan w:val="2"/>
            <w:vAlign w:val="bottom"/>
          </w:tcPr>
          <w:p w14:paraId="7FAF8FCA"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7469C57A"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18C9BF60"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توريد الأسطول</w:t>
      </w:r>
    </w:p>
    <w:p w14:paraId="0EBF88A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يقترب حجم أسطول الناقلات (بما في ذلك ناقلات المنتجات/المواد الكيميائية غير المطلية والمطلية) من 700 مليون طن من الوزن الساكن. وتعد شريحة ناقلات النفط الخام العملاقة الموضحة في الرسم البياني أدناه باسم "200+ ألف طن من الحمولة الساكن"، أكبر مكون لهذا، حيث يمثل حوالي 40 في المائة من إجمالي سعة الحمولة الساكنة في عام 2023. إن قطاعات 10-70 ألف طن من الوزن الساكن (بما في ذلك ناقلات المنتجات متوسطة المدى والناقلات الأصغر نسبيا (هاندي سايز) بالإضافة إلى ناقلات المواد الكيميائية) و 70-125 ألف طن من الوزن الساكن (بما في ذلك ناقلات أفراماكس غير المطلية وكذلك ناقلات المنتجات بعيدة المدى1/2 قابلة للمقارنة من حيث الحجم، وتمثل 22 في المائة من السعة لكل منها من حيث الحمولة الساكنة. وأسطول سويسماكس هو الأصغر بين الفئات الأربع الموضحة، بحصة تبلغ 15 في المائة من السعة.</w:t>
      </w:r>
    </w:p>
    <w:p w14:paraId="64E9A8F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وبعد مستويات منخفضة نسبيًا من طلبات ناقلات النفط (أو التعاقدات) بين عامي 2016 و 2022، ارتفعت الطلبات بشكل حاد في عام 2023، مدفوعة بناقلات المنتجات وناقلات سويسماكس. استمر اتجاه التعاقدات المرتفعة في عام 2024، على الرغم من أن التركيز قد تحول، مع طلب المزيد من ناقلات النفط الخام العملاقة. وبشكل عام، وصلت نسبة أسطول الناقلات إلى دفتر الطلبات التي تزيد عن 10 آلاف طن إلى نقطة منخفضة مؤخرًا في عام 2022 (على أساس المتوسط السنوي) نتيجة لانخفاض الطلبات واستمرار عمليات التسليم، حيث انخفضت إلى أقل من 5 في المائة. وقد انعكس ذلك منذ ذلك الحين وزاد هذا المقياس في عام 2023، ونما أكثر في عام 2024 نتيجة لعودة الطلب.</w:t>
      </w:r>
    </w:p>
    <w:p w14:paraId="7304A83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أدت بيئة الأرباح القوية، إلى جانب ارتفاع الطلب على الحمولات القديمة، إلى تراجع نشاط تخريد ناقلات النفط في السنوات الأخيرة. وقد شهدت السفن القديمة زيادة في الطلب حيث يتم بيع السفن واستخدامها فيما يسمى "الأسطول الرمادي". ومع ذلك، لا يمكن تعويض الخردة إلا لفترة طويلة. فمع الأسطول المتقادم بسرعة خلال فترة التوقعات، نتوقع مستويات عالية من التخريد في المستقبل، مع تعافي أسعار التعاقد بعد انخفاض الطلبات في السنوات الأخيرة، مدعومة بتحسن الأرباح.</w:t>
      </w:r>
    </w:p>
    <w:p w14:paraId="14B6D3B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وعلى هذا النحو، نتوقع أيضًا أن يصل أسطول الناقلات إلى ذروته خلال العقد الحالي، قبل أن ينخفض مع زيادة أحجام الخردة. سيكون هذا عاملاً رئيسياً في تشكيل ظروف سوق الناقلات الأساسية، ويجب أن يكون عنصرًا داعمًا بقوة لأرباح سوق الناقلات على المدى المتوسط/الطويل.</w:t>
      </w:r>
    </w:p>
    <w:p w14:paraId="44E53673"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+10 آلاف طن للوزن الساكن من أسطول الناقلات</w:t>
      </w:r>
    </w:p>
    <w:p w14:paraId="2866B63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227C496D" wp14:editId="12287F2A">
            <wp:extent cx="3366735" cy="2199600"/>
            <wp:effectExtent l="0" t="0" r="5715" b="0"/>
            <wp:docPr id="1558813757" name="Picture 33" descr="A graph of a number of peop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13757" name="Picture 33" descr="A graph of a number of people  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432B24C8" w14:textId="77777777" w:rsidTr="00922116">
        <w:tc>
          <w:tcPr>
            <w:tcW w:w="1440" w:type="dxa"/>
            <w:tcBorders>
              <w:top w:val="single" w:sz="4" w:space="0" w:color="auto"/>
            </w:tcBorders>
            <w:vAlign w:val="bottom"/>
          </w:tcPr>
          <w:p w14:paraId="076A218C"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0D95B41B"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49B76C01" w14:textId="77777777" w:rsidTr="00922116">
        <w:tc>
          <w:tcPr>
            <w:tcW w:w="9039" w:type="dxa"/>
            <w:gridSpan w:val="2"/>
            <w:vAlign w:val="bottom"/>
          </w:tcPr>
          <w:p w14:paraId="692EF69A"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1CB73815"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3BEF4FAD"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الجدول: ملف عمر أسطول الناقلات غير المطلي ودفتر الطلبات حسب الشريحة (مليون طن من الوزن الساكن)</w:t>
      </w:r>
    </w:p>
    <w:tbl>
      <w:tblPr>
        <w:tblW w:w="9048" w:type="dxa"/>
        <w:tblInd w:w="437" w:type="dxa"/>
        <w:tblLayout w:type="fixed"/>
        <w:tblCellMar>
          <w:left w:w="0" w:type="dxa"/>
          <w:right w:w="0" w:type="dxa"/>
        </w:tblCellMar>
        <w:tblLook w:val="0000" w:firstRow="0" w:lastRow="0" w:firstColumn="0" w:lastColumn="0" w:noHBand="0" w:noVBand="0"/>
      </w:tblPr>
      <w:tblGrid>
        <w:gridCol w:w="1674"/>
        <w:gridCol w:w="234"/>
        <w:gridCol w:w="786"/>
        <w:gridCol w:w="234"/>
        <w:gridCol w:w="786"/>
        <w:gridCol w:w="234"/>
        <w:gridCol w:w="786"/>
        <w:gridCol w:w="234"/>
        <w:gridCol w:w="786"/>
        <w:gridCol w:w="234"/>
        <w:gridCol w:w="786"/>
        <w:gridCol w:w="234"/>
        <w:gridCol w:w="786"/>
        <w:gridCol w:w="234"/>
        <w:gridCol w:w="786"/>
        <w:gridCol w:w="234"/>
      </w:tblGrid>
      <w:tr w:rsidR="006B57D8" w:rsidRPr="0032117C" w14:paraId="231FE123" w14:textId="77777777" w:rsidTr="00922116">
        <w:trPr>
          <w:tblHeader/>
        </w:trPr>
        <w:tc>
          <w:tcPr>
            <w:tcW w:w="1674" w:type="dxa"/>
            <w:vAlign w:val="bottom"/>
          </w:tcPr>
          <w:p w14:paraId="66D075B7" w14:textId="77777777" w:rsidR="006B57D8" w:rsidRPr="0032117C" w:rsidRDefault="006B57D8" w:rsidP="00922116">
            <w:pPr>
              <w:pStyle w:val="VSmCellHead"/>
              <w:rPr>
                <w:sz w:val="16"/>
                <w:szCs w:val="16"/>
                <w:lang w:val="en-US"/>
              </w:rPr>
            </w:pPr>
          </w:p>
        </w:tc>
        <w:tc>
          <w:tcPr>
            <w:tcW w:w="234" w:type="dxa"/>
            <w:vAlign w:val="bottom"/>
          </w:tcPr>
          <w:p w14:paraId="6640CD76" w14:textId="77777777" w:rsidR="006B57D8" w:rsidRPr="0032117C" w:rsidRDefault="006B57D8" w:rsidP="00922116">
            <w:pPr>
              <w:pStyle w:val="CellRowSpacer"/>
              <w:spacing w:after="120"/>
              <w:rPr>
                <w:sz w:val="16"/>
                <w:szCs w:val="16"/>
                <w:lang w:val="en-US"/>
              </w:rPr>
            </w:pPr>
          </w:p>
        </w:tc>
        <w:tc>
          <w:tcPr>
            <w:tcW w:w="786" w:type="dxa"/>
            <w:tcBorders>
              <w:bottom w:val="single" w:sz="4" w:space="0" w:color="auto"/>
            </w:tcBorders>
            <w:vAlign w:val="bottom"/>
          </w:tcPr>
          <w:p w14:paraId="5F171BDB" w14:textId="77777777" w:rsidR="006B57D8" w:rsidRPr="0032117C" w:rsidRDefault="006B57D8" w:rsidP="00922116">
            <w:pPr>
              <w:pStyle w:val="VSmCellHead"/>
              <w:jc w:val="right"/>
              <w:rPr>
                <w:sz w:val="16"/>
                <w:szCs w:val="16"/>
                <w:lang w:val="en-US"/>
              </w:rPr>
            </w:pPr>
            <w:r w:rsidRPr="0032117C">
              <w:rPr>
                <w:sz w:val="16"/>
                <w:szCs w:val="16"/>
                <w:lang w:val="en-US"/>
              </w:rPr>
              <w:t>0-4 Yrs</w:t>
            </w:r>
          </w:p>
        </w:tc>
        <w:tc>
          <w:tcPr>
            <w:tcW w:w="234" w:type="dxa"/>
            <w:vAlign w:val="bottom"/>
          </w:tcPr>
          <w:p w14:paraId="1494814B" w14:textId="77777777" w:rsidR="006B57D8" w:rsidRPr="0032117C" w:rsidRDefault="006B57D8" w:rsidP="00922116">
            <w:pPr>
              <w:pStyle w:val="CellRowSpacer"/>
              <w:spacing w:after="120"/>
              <w:rPr>
                <w:sz w:val="16"/>
                <w:szCs w:val="16"/>
                <w:lang w:val="en-US"/>
              </w:rPr>
            </w:pPr>
          </w:p>
        </w:tc>
        <w:tc>
          <w:tcPr>
            <w:tcW w:w="786" w:type="dxa"/>
            <w:tcBorders>
              <w:bottom w:val="single" w:sz="4" w:space="0" w:color="auto"/>
            </w:tcBorders>
            <w:vAlign w:val="bottom"/>
          </w:tcPr>
          <w:p w14:paraId="2030E0D5" w14:textId="77777777" w:rsidR="006B57D8" w:rsidRPr="0032117C" w:rsidRDefault="006B57D8" w:rsidP="00922116">
            <w:pPr>
              <w:pStyle w:val="VSmCellHead"/>
              <w:jc w:val="right"/>
              <w:rPr>
                <w:sz w:val="16"/>
                <w:szCs w:val="16"/>
                <w:lang w:val="en-US"/>
              </w:rPr>
            </w:pPr>
            <w:r w:rsidRPr="0032117C">
              <w:rPr>
                <w:sz w:val="16"/>
                <w:szCs w:val="16"/>
                <w:lang w:val="en-US"/>
              </w:rPr>
              <w:t>5-9 Yrs</w:t>
            </w:r>
          </w:p>
        </w:tc>
        <w:tc>
          <w:tcPr>
            <w:tcW w:w="234" w:type="dxa"/>
            <w:vAlign w:val="bottom"/>
          </w:tcPr>
          <w:p w14:paraId="0E2E02E7" w14:textId="77777777" w:rsidR="006B57D8" w:rsidRPr="0032117C" w:rsidRDefault="006B57D8" w:rsidP="00922116">
            <w:pPr>
              <w:pStyle w:val="CellRowSpacer"/>
              <w:spacing w:after="120"/>
              <w:rPr>
                <w:sz w:val="16"/>
                <w:szCs w:val="16"/>
                <w:lang w:val="en-US"/>
              </w:rPr>
            </w:pPr>
          </w:p>
        </w:tc>
        <w:tc>
          <w:tcPr>
            <w:tcW w:w="786" w:type="dxa"/>
            <w:tcBorders>
              <w:bottom w:val="single" w:sz="4" w:space="0" w:color="auto"/>
            </w:tcBorders>
            <w:vAlign w:val="bottom"/>
          </w:tcPr>
          <w:p w14:paraId="16322240" w14:textId="77777777" w:rsidR="006B57D8" w:rsidRPr="0032117C" w:rsidRDefault="006B57D8" w:rsidP="00922116">
            <w:pPr>
              <w:pStyle w:val="VSmCellHead"/>
              <w:jc w:val="right"/>
              <w:rPr>
                <w:sz w:val="16"/>
                <w:szCs w:val="16"/>
                <w:lang w:val="en-US"/>
              </w:rPr>
            </w:pPr>
            <w:r w:rsidRPr="0032117C">
              <w:rPr>
                <w:sz w:val="16"/>
                <w:szCs w:val="16"/>
                <w:lang w:val="en-US"/>
              </w:rPr>
              <w:t>10-14 Yrs</w:t>
            </w:r>
          </w:p>
        </w:tc>
        <w:tc>
          <w:tcPr>
            <w:tcW w:w="234" w:type="dxa"/>
            <w:vAlign w:val="bottom"/>
          </w:tcPr>
          <w:p w14:paraId="1C58ABEC" w14:textId="77777777" w:rsidR="006B57D8" w:rsidRPr="0032117C" w:rsidRDefault="006B57D8" w:rsidP="00922116">
            <w:pPr>
              <w:pStyle w:val="CellRowSpacer"/>
              <w:spacing w:after="120"/>
              <w:rPr>
                <w:sz w:val="16"/>
                <w:szCs w:val="16"/>
                <w:lang w:val="en-US"/>
              </w:rPr>
            </w:pPr>
          </w:p>
        </w:tc>
        <w:tc>
          <w:tcPr>
            <w:tcW w:w="786" w:type="dxa"/>
            <w:tcBorders>
              <w:bottom w:val="single" w:sz="4" w:space="0" w:color="auto"/>
            </w:tcBorders>
            <w:vAlign w:val="bottom"/>
          </w:tcPr>
          <w:p w14:paraId="10C838D4" w14:textId="77777777" w:rsidR="006B57D8" w:rsidRPr="0032117C" w:rsidRDefault="006B57D8" w:rsidP="00922116">
            <w:pPr>
              <w:pStyle w:val="VSmCellHead"/>
              <w:jc w:val="right"/>
              <w:rPr>
                <w:sz w:val="16"/>
                <w:szCs w:val="16"/>
                <w:lang w:val="en-US"/>
              </w:rPr>
            </w:pPr>
            <w:r w:rsidRPr="0032117C">
              <w:rPr>
                <w:sz w:val="16"/>
                <w:szCs w:val="16"/>
                <w:lang w:val="en-US"/>
              </w:rPr>
              <w:t>15-19 Yrs</w:t>
            </w:r>
          </w:p>
        </w:tc>
        <w:tc>
          <w:tcPr>
            <w:tcW w:w="234" w:type="dxa"/>
            <w:vAlign w:val="bottom"/>
          </w:tcPr>
          <w:p w14:paraId="6C38EA6A" w14:textId="77777777" w:rsidR="006B57D8" w:rsidRPr="0032117C" w:rsidRDefault="006B57D8" w:rsidP="00922116">
            <w:pPr>
              <w:pStyle w:val="CellRowSpacer"/>
              <w:spacing w:after="120"/>
              <w:rPr>
                <w:sz w:val="16"/>
                <w:szCs w:val="16"/>
                <w:lang w:val="en-US"/>
              </w:rPr>
            </w:pPr>
          </w:p>
        </w:tc>
        <w:tc>
          <w:tcPr>
            <w:tcW w:w="786" w:type="dxa"/>
            <w:tcBorders>
              <w:bottom w:val="single" w:sz="4" w:space="0" w:color="auto"/>
            </w:tcBorders>
            <w:vAlign w:val="bottom"/>
          </w:tcPr>
          <w:p w14:paraId="5E85D6B2" w14:textId="77777777" w:rsidR="006B57D8" w:rsidRPr="0032117C" w:rsidRDefault="006B57D8" w:rsidP="00922116">
            <w:pPr>
              <w:pStyle w:val="VSmCellHead"/>
              <w:jc w:val="right"/>
              <w:rPr>
                <w:sz w:val="16"/>
                <w:szCs w:val="16"/>
                <w:lang w:val="en-US"/>
              </w:rPr>
            </w:pPr>
            <w:r w:rsidRPr="0032117C">
              <w:rPr>
                <w:sz w:val="16"/>
                <w:szCs w:val="16"/>
                <w:lang w:val="en-US"/>
              </w:rPr>
              <w:t>20-24 Yrs</w:t>
            </w:r>
          </w:p>
        </w:tc>
        <w:tc>
          <w:tcPr>
            <w:tcW w:w="234" w:type="dxa"/>
            <w:vAlign w:val="bottom"/>
          </w:tcPr>
          <w:p w14:paraId="4F8A63F9" w14:textId="77777777" w:rsidR="006B57D8" w:rsidRPr="0032117C" w:rsidRDefault="006B57D8" w:rsidP="00922116">
            <w:pPr>
              <w:pStyle w:val="CellRowSpacer"/>
              <w:spacing w:after="120"/>
              <w:rPr>
                <w:sz w:val="16"/>
                <w:szCs w:val="16"/>
                <w:lang w:val="en-US"/>
              </w:rPr>
            </w:pPr>
          </w:p>
        </w:tc>
        <w:tc>
          <w:tcPr>
            <w:tcW w:w="786" w:type="dxa"/>
            <w:tcBorders>
              <w:bottom w:val="single" w:sz="4" w:space="0" w:color="auto"/>
            </w:tcBorders>
            <w:vAlign w:val="bottom"/>
          </w:tcPr>
          <w:p w14:paraId="0B2A2439" w14:textId="77777777" w:rsidR="006B57D8" w:rsidRPr="0032117C" w:rsidRDefault="006B57D8" w:rsidP="00922116">
            <w:pPr>
              <w:pStyle w:val="VSmCellHead"/>
              <w:jc w:val="right"/>
              <w:rPr>
                <w:sz w:val="16"/>
                <w:szCs w:val="16"/>
                <w:lang w:val="en-US"/>
              </w:rPr>
            </w:pPr>
            <w:r w:rsidRPr="0032117C">
              <w:rPr>
                <w:sz w:val="16"/>
                <w:szCs w:val="16"/>
                <w:lang w:val="en-US"/>
              </w:rPr>
              <w:t>25+ Yrs</w:t>
            </w:r>
          </w:p>
        </w:tc>
        <w:tc>
          <w:tcPr>
            <w:tcW w:w="234" w:type="dxa"/>
            <w:vAlign w:val="bottom"/>
          </w:tcPr>
          <w:p w14:paraId="6ABC4D3C" w14:textId="77777777" w:rsidR="006B57D8" w:rsidRPr="0032117C" w:rsidRDefault="006B57D8" w:rsidP="00922116">
            <w:pPr>
              <w:pStyle w:val="CellRowSpacer"/>
              <w:spacing w:after="120"/>
              <w:rPr>
                <w:sz w:val="16"/>
                <w:szCs w:val="16"/>
                <w:lang w:val="en-US"/>
              </w:rPr>
            </w:pPr>
          </w:p>
        </w:tc>
        <w:tc>
          <w:tcPr>
            <w:tcW w:w="786" w:type="dxa"/>
            <w:tcBorders>
              <w:bottom w:val="single" w:sz="4" w:space="0" w:color="auto"/>
            </w:tcBorders>
            <w:vAlign w:val="bottom"/>
          </w:tcPr>
          <w:p w14:paraId="54EBEF48" w14:textId="77777777" w:rsidR="006B57D8" w:rsidRPr="0032117C" w:rsidRDefault="006B57D8" w:rsidP="00922116">
            <w:pPr>
              <w:pStyle w:val="VSmCellHead"/>
              <w:jc w:val="right"/>
              <w:rPr>
                <w:sz w:val="16"/>
                <w:szCs w:val="16"/>
                <w:lang w:val="en-US"/>
              </w:rPr>
            </w:pPr>
            <w:r w:rsidRPr="0032117C">
              <w:rPr>
                <w:sz w:val="16"/>
                <w:szCs w:val="16"/>
                <w:lang w:val="en-US"/>
              </w:rPr>
              <w:t>Orderbook</w:t>
            </w:r>
          </w:p>
        </w:tc>
        <w:tc>
          <w:tcPr>
            <w:tcW w:w="234" w:type="dxa"/>
            <w:vAlign w:val="bottom"/>
          </w:tcPr>
          <w:p w14:paraId="7A4779FD" w14:textId="77777777" w:rsidR="006B57D8" w:rsidRPr="0032117C" w:rsidRDefault="006B57D8" w:rsidP="00922116">
            <w:pPr>
              <w:pStyle w:val="CellRowSpacer"/>
              <w:spacing w:after="120"/>
              <w:rPr>
                <w:sz w:val="16"/>
                <w:szCs w:val="16"/>
                <w:lang w:val="en-US"/>
              </w:rPr>
            </w:pPr>
          </w:p>
        </w:tc>
      </w:tr>
      <w:tr w:rsidR="006B57D8" w:rsidRPr="0032117C" w14:paraId="51DAC9FB" w14:textId="77777777" w:rsidTr="00922116">
        <w:tc>
          <w:tcPr>
            <w:tcW w:w="1674" w:type="dxa"/>
            <w:vAlign w:val="bottom"/>
          </w:tcPr>
          <w:p w14:paraId="190CC9DE" w14:textId="77777777" w:rsidR="006B57D8" w:rsidRPr="0032117C" w:rsidRDefault="006B57D8" w:rsidP="00922116">
            <w:pPr>
              <w:pStyle w:val="VSmCellBody"/>
              <w:tabs>
                <w:tab w:val="right" w:leader="dot" w:pos="1689"/>
              </w:tabs>
              <w:rPr>
                <w:sz w:val="16"/>
                <w:szCs w:val="16"/>
                <w:lang w:val="en-US"/>
              </w:rPr>
            </w:pPr>
            <w:r w:rsidRPr="0032117C">
              <w:rPr>
                <w:sz w:val="16"/>
                <w:szCs w:val="16"/>
                <w:lang w:val="en-US"/>
              </w:rPr>
              <w:t>70-124.9 k Dwt</w:t>
            </w:r>
            <w:r w:rsidRPr="0032117C">
              <w:rPr>
                <w:sz w:val="16"/>
                <w:szCs w:val="16"/>
                <w:lang w:val="en-US"/>
              </w:rPr>
              <w:tab/>
            </w:r>
          </w:p>
        </w:tc>
        <w:tc>
          <w:tcPr>
            <w:tcW w:w="234" w:type="dxa"/>
            <w:vAlign w:val="bottom"/>
          </w:tcPr>
          <w:p w14:paraId="1AA90E6F" w14:textId="77777777" w:rsidR="006B57D8" w:rsidRPr="0032117C" w:rsidRDefault="006B57D8" w:rsidP="00922116">
            <w:pPr>
              <w:pStyle w:val="CellRowSpacer"/>
              <w:rPr>
                <w:sz w:val="16"/>
                <w:szCs w:val="16"/>
                <w:lang w:val="en-US"/>
              </w:rPr>
            </w:pPr>
          </w:p>
        </w:tc>
        <w:tc>
          <w:tcPr>
            <w:tcW w:w="786" w:type="dxa"/>
            <w:tcBorders>
              <w:top w:val="single" w:sz="4" w:space="0" w:color="auto"/>
            </w:tcBorders>
            <w:vAlign w:val="bottom"/>
          </w:tcPr>
          <w:p w14:paraId="629B886C" w14:textId="77777777" w:rsidR="006B57D8" w:rsidRPr="0032117C" w:rsidRDefault="006B57D8" w:rsidP="00922116">
            <w:pPr>
              <w:pStyle w:val="VSmCellBody"/>
              <w:jc w:val="right"/>
              <w:rPr>
                <w:sz w:val="16"/>
                <w:szCs w:val="16"/>
                <w:lang w:val="en-US"/>
              </w:rPr>
            </w:pPr>
            <w:r w:rsidRPr="0032117C">
              <w:rPr>
                <w:sz w:val="16"/>
                <w:szCs w:val="16"/>
                <w:lang w:val="en-US"/>
              </w:rPr>
              <w:t>7.6</w:t>
            </w:r>
          </w:p>
        </w:tc>
        <w:tc>
          <w:tcPr>
            <w:tcW w:w="234" w:type="dxa"/>
            <w:vAlign w:val="bottom"/>
          </w:tcPr>
          <w:p w14:paraId="03CD77BF" w14:textId="77777777" w:rsidR="006B57D8" w:rsidRPr="0032117C" w:rsidRDefault="006B57D8" w:rsidP="00922116">
            <w:pPr>
              <w:pStyle w:val="CellRowSpacer"/>
              <w:rPr>
                <w:sz w:val="16"/>
                <w:szCs w:val="16"/>
                <w:lang w:val="en-US"/>
              </w:rPr>
            </w:pPr>
          </w:p>
        </w:tc>
        <w:tc>
          <w:tcPr>
            <w:tcW w:w="786" w:type="dxa"/>
            <w:tcBorders>
              <w:top w:val="single" w:sz="4" w:space="0" w:color="auto"/>
            </w:tcBorders>
            <w:vAlign w:val="bottom"/>
          </w:tcPr>
          <w:p w14:paraId="7C778C10" w14:textId="77777777" w:rsidR="006B57D8" w:rsidRPr="0032117C" w:rsidRDefault="006B57D8" w:rsidP="00922116">
            <w:pPr>
              <w:pStyle w:val="VSmCellBody"/>
              <w:jc w:val="right"/>
              <w:rPr>
                <w:sz w:val="16"/>
                <w:szCs w:val="16"/>
                <w:lang w:val="en-US"/>
              </w:rPr>
            </w:pPr>
            <w:r w:rsidRPr="0032117C">
              <w:rPr>
                <w:sz w:val="16"/>
                <w:szCs w:val="16"/>
                <w:lang w:val="en-US"/>
              </w:rPr>
              <w:t>11.9</w:t>
            </w:r>
          </w:p>
        </w:tc>
        <w:tc>
          <w:tcPr>
            <w:tcW w:w="234" w:type="dxa"/>
            <w:vAlign w:val="bottom"/>
          </w:tcPr>
          <w:p w14:paraId="11452C10" w14:textId="77777777" w:rsidR="006B57D8" w:rsidRPr="0032117C" w:rsidRDefault="006B57D8" w:rsidP="00922116">
            <w:pPr>
              <w:pStyle w:val="CellRowSpacer"/>
              <w:rPr>
                <w:sz w:val="16"/>
                <w:szCs w:val="16"/>
                <w:lang w:val="en-US"/>
              </w:rPr>
            </w:pPr>
          </w:p>
        </w:tc>
        <w:tc>
          <w:tcPr>
            <w:tcW w:w="786" w:type="dxa"/>
            <w:tcBorders>
              <w:top w:val="single" w:sz="4" w:space="0" w:color="auto"/>
            </w:tcBorders>
            <w:vAlign w:val="bottom"/>
          </w:tcPr>
          <w:p w14:paraId="25B82B2B" w14:textId="77777777" w:rsidR="006B57D8" w:rsidRPr="0032117C" w:rsidRDefault="006B57D8" w:rsidP="00922116">
            <w:pPr>
              <w:pStyle w:val="VSmCellBody"/>
              <w:jc w:val="right"/>
              <w:rPr>
                <w:sz w:val="16"/>
                <w:szCs w:val="16"/>
                <w:lang w:val="en-US"/>
              </w:rPr>
            </w:pPr>
            <w:r w:rsidRPr="0032117C">
              <w:rPr>
                <w:sz w:val="16"/>
                <w:szCs w:val="16"/>
                <w:lang w:val="en-US"/>
              </w:rPr>
              <w:t>14.7</w:t>
            </w:r>
          </w:p>
        </w:tc>
        <w:tc>
          <w:tcPr>
            <w:tcW w:w="234" w:type="dxa"/>
            <w:vAlign w:val="bottom"/>
          </w:tcPr>
          <w:p w14:paraId="255CE3CB" w14:textId="77777777" w:rsidR="006B57D8" w:rsidRPr="0032117C" w:rsidRDefault="006B57D8" w:rsidP="00922116">
            <w:pPr>
              <w:pStyle w:val="CellRowSpacer"/>
              <w:rPr>
                <w:sz w:val="16"/>
                <w:szCs w:val="16"/>
                <w:lang w:val="en-US"/>
              </w:rPr>
            </w:pPr>
          </w:p>
        </w:tc>
        <w:tc>
          <w:tcPr>
            <w:tcW w:w="786" w:type="dxa"/>
            <w:tcBorders>
              <w:top w:val="single" w:sz="4" w:space="0" w:color="auto"/>
            </w:tcBorders>
            <w:vAlign w:val="bottom"/>
          </w:tcPr>
          <w:p w14:paraId="779BAE0C" w14:textId="77777777" w:rsidR="006B57D8" w:rsidRPr="0032117C" w:rsidRDefault="006B57D8" w:rsidP="00922116">
            <w:pPr>
              <w:pStyle w:val="VSmCellBody"/>
              <w:jc w:val="right"/>
              <w:rPr>
                <w:sz w:val="16"/>
                <w:szCs w:val="16"/>
                <w:lang w:val="en-US"/>
              </w:rPr>
            </w:pPr>
            <w:r w:rsidRPr="0032117C">
              <w:rPr>
                <w:sz w:val="16"/>
                <w:szCs w:val="16"/>
                <w:lang w:val="en-US"/>
              </w:rPr>
              <w:t>26.5</w:t>
            </w:r>
          </w:p>
        </w:tc>
        <w:tc>
          <w:tcPr>
            <w:tcW w:w="234" w:type="dxa"/>
            <w:vAlign w:val="bottom"/>
          </w:tcPr>
          <w:p w14:paraId="2A70F141" w14:textId="77777777" w:rsidR="006B57D8" w:rsidRPr="0032117C" w:rsidRDefault="006B57D8" w:rsidP="00922116">
            <w:pPr>
              <w:pStyle w:val="CellRowSpacer"/>
              <w:rPr>
                <w:sz w:val="16"/>
                <w:szCs w:val="16"/>
                <w:lang w:val="en-US"/>
              </w:rPr>
            </w:pPr>
          </w:p>
        </w:tc>
        <w:tc>
          <w:tcPr>
            <w:tcW w:w="786" w:type="dxa"/>
            <w:tcBorders>
              <w:top w:val="single" w:sz="4" w:space="0" w:color="auto"/>
            </w:tcBorders>
            <w:vAlign w:val="bottom"/>
          </w:tcPr>
          <w:p w14:paraId="49E41DDC" w14:textId="77777777" w:rsidR="006B57D8" w:rsidRPr="0032117C" w:rsidRDefault="006B57D8" w:rsidP="00922116">
            <w:pPr>
              <w:pStyle w:val="VSmCellBody"/>
              <w:jc w:val="right"/>
              <w:rPr>
                <w:sz w:val="16"/>
                <w:szCs w:val="16"/>
                <w:lang w:val="en-US"/>
              </w:rPr>
            </w:pPr>
            <w:r w:rsidRPr="0032117C">
              <w:rPr>
                <w:sz w:val="16"/>
                <w:szCs w:val="16"/>
                <w:lang w:val="en-US"/>
              </w:rPr>
              <w:t>16.7</w:t>
            </w:r>
          </w:p>
        </w:tc>
        <w:tc>
          <w:tcPr>
            <w:tcW w:w="234" w:type="dxa"/>
            <w:vAlign w:val="bottom"/>
          </w:tcPr>
          <w:p w14:paraId="4F5A5331" w14:textId="77777777" w:rsidR="006B57D8" w:rsidRPr="0032117C" w:rsidRDefault="006B57D8" w:rsidP="00922116">
            <w:pPr>
              <w:pStyle w:val="CellRowSpacer"/>
              <w:rPr>
                <w:sz w:val="16"/>
                <w:szCs w:val="16"/>
                <w:lang w:val="en-US"/>
              </w:rPr>
            </w:pPr>
          </w:p>
        </w:tc>
        <w:tc>
          <w:tcPr>
            <w:tcW w:w="786" w:type="dxa"/>
            <w:tcBorders>
              <w:top w:val="single" w:sz="4" w:space="0" w:color="auto"/>
            </w:tcBorders>
            <w:vAlign w:val="bottom"/>
          </w:tcPr>
          <w:p w14:paraId="57366993" w14:textId="77777777" w:rsidR="006B57D8" w:rsidRPr="0032117C" w:rsidRDefault="006B57D8" w:rsidP="00922116">
            <w:pPr>
              <w:pStyle w:val="VSmCellBody"/>
              <w:jc w:val="right"/>
              <w:rPr>
                <w:sz w:val="16"/>
                <w:szCs w:val="16"/>
                <w:lang w:val="en-US"/>
              </w:rPr>
            </w:pPr>
            <w:r w:rsidRPr="0032117C">
              <w:rPr>
                <w:sz w:val="16"/>
                <w:szCs w:val="16"/>
                <w:lang w:val="en-US"/>
              </w:rPr>
              <w:t>4.1</w:t>
            </w:r>
          </w:p>
        </w:tc>
        <w:tc>
          <w:tcPr>
            <w:tcW w:w="234" w:type="dxa"/>
            <w:vAlign w:val="bottom"/>
          </w:tcPr>
          <w:p w14:paraId="5D7D0005" w14:textId="77777777" w:rsidR="006B57D8" w:rsidRPr="0032117C" w:rsidRDefault="006B57D8" w:rsidP="00922116">
            <w:pPr>
              <w:pStyle w:val="CellRowSpacer"/>
              <w:rPr>
                <w:sz w:val="16"/>
                <w:szCs w:val="16"/>
                <w:lang w:val="en-US"/>
              </w:rPr>
            </w:pPr>
          </w:p>
        </w:tc>
        <w:tc>
          <w:tcPr>
            <w:tcW w:w="786" w:type="dxa"/>
            <w:tcBorders>
              <w:top w:val="single" w:sz="4" w:space="0" w:color="auto"/>
            </w:tcBorders>
            <w:vAlign w:val="bottom"/>
          </w:tcPr>
          <w:p w14:paraId="1F76B4EE" w14:textId="77777777" w:rsidR="006B57D8" w:rsidRPr="0032117C" w:rsidRDefault="006B57D8" w:rsidP="00922116">
            <w:pPr>
              <w:pStyle w:val="VSmCellBody"/>
              <w:jc w:val="right"/>
              <w:rPr>
                <w:sz w:val="16"/>
                <w:szCs w:val="16"/>
                <w:lang w:val="en-US"/>
              </w:rPr>
            </w:pPr>
            <w:r w:rsidRPr="0032117C">
              <w:rPr>
                <w:sz w:val="16"/>
                <w:szCs w:val="16"/>
                <w:lang w:val="en-US"/>
              </w:rPr>
              <w:t>4.0</w:t>
            </w:r>
          </w:p>
        </w:tc>
        <w:tc>
          <w:tcPr>
            <w:tcW w:w="234" w:type="dxa"/>
            <w:vAlign w:val="bottom"/>
          </w:tcPr>
          <w:p w14:paraId="2807E4A1" w14:textId="77777777" w:rsidR="006B57D8" w:rsidRPr="0032117C" w:rsidRDefault="006B57D8" w:rsidP="00922116">
            <w:pPr>
              <w:pStyle w:val="CellRowSpacer"/>
              <w:rPr>
                <w:sz w:val="16"/>
                <w:szCs w:val="16"/>
                <w:lang w:val="en-US"/>
              </w:rPr>
            </w:pPr>
          </w:p>
        </w:tc>
      </w:tr>
      <w:tr w:rsidR="006B57D8" w:rsidRPr="0032117C" w14:paraId="674A949C" w14:textId="77777777" w:rsidTr="00922116">
        <w:tc>
          <w:tcPr>
            <w:tcW w:w="1674" w:type="dxa"/>
            <w:vAlign w:val="bottom"/>
          </w:tcPr>
          <w:p w14:paraId="518385B0" w14:textId="77777777" w:rsidR="006B57D8" w:rsidRPr="0032117C" w:rsidRDefault="006B57D8" w:rsidP="00922116">
            <w:pPr>
              <w:pStyle w:val="VSmCellBody"/>
              <w:tabs>
                <w:tab w:val="right" w:leader="dot" w:pos="1689"/>
              </w:tabs>
              <w:rPr>
                <w:sz w:val="16"/>
                <w:szCs w:val="16"/>
                <w:lang w:val="en-US"/>
              </w:rPr>
            </w:pPr>
            <w:r w:rsidRPr="0032117C">
              <w:rPr>
                <w:sz w:val="16"/>
                <w:szCs w:val="16"/>
                <w:lang w:val="en-US"/>
              </w:rPr>
              <w:t>125-199.9 k Dwt</w:t>
            </w:r>
            <w:r w:rsidRPr="0032117C">
              <w:rPr>
                <w:sz w:val="16"/>
                <w:szCs w:val="16"/>
                <w:lang w:val="en-US"/>
              </w:rPr>
              <w:tab/>
            </w:r>
          </w:p>
        </w:tc>
        <w:tc>
          <w:tcPr>
            <w:tcW w:w="234" w:type="dxa"/>
            <w:vAlign w:val="bottom"/>
          </w:tcPr>
          <w:p w14:paraId="3DAC932B" w14:textId="77777777" w:rsidR="006B57D8" w:rsidRPr="0032117C" w:rsidRDefault="006B57D8" w:rsidP="00922116">
            <w:pPr>
              <w:pStyle w:val="CellRowSpacer"/>
              <w:rPr>
                <w:sz w:val="16"/>
                <w:szCs w:val="16"/>
                <w:lang w:val="en-US"/>
              </w:rPr>
            </w:pPr>
          </w:p>
        </w:tc>
        <w:tc>
          <w:tcPr>
            <w:tcW w:w="786" w:type="dxa"/>
            <w:vAlign w:val="bottom"/>
          </w:tcPr>
          <w:p w14:paraId="2096B77C" w14:textId="77777777" w:rsidR="006B57D8" w:rsidRPr="0032117C" w:rsidRDefault="006B57D8" w:rsidP="00922116">
            <w:pPr>
              <w:pStyle w:val="VSmCellBody"/>
              <w:jc w:val="right"/>
              <w:rPr>
                <w:sz w:val="16"/>
                <w:szCs w:val="16"/>
                <w:lang w:val="en-US"/>
              </w:rPr>
            </w:pPr>
            <w:r w:rsidRPr="0032117C">
              <w:rPr>
                <w:sz w:val="16"/>
                <w:szCs w:val="16"/>
                <w:lang w:val="en-US"/>
              </w:rPr>
              <w:t>17.2</w:t>
            </w:r>
          </w:p>
        </w:tc>
        <w:tc>
          <w:tcPr>
            <w:tcW w:w="234" w:type="dxa"/>
            <w:vAlign w:val="bottom"/>
          </w:tcPr>
          <w:p w14:paraId="5109C1E0" w14:textId="77777777" w:rsidR="006B57D8" w:rsidRPr="0032117C" w:rsidRDefault="006B57D8" w:rsidP="00922116">
            <w:pPr>
              <w:pStyle w:val="CellRowSpacer"/>
              <w:rPr>
                <w:sz w:val="16"/>
                <w:szCs w:val="16"/>
                <w:lang w:val="en-US"/>
              </w:rPr>
            </w:pPr>
          </w:p>
        </w:tc>
        <w:tc>
          <w:tcPr>
            <w:tcW w:w="786" w:type="dxa"/>
            <w:vAlign w:val="bottom"/>
          </w:tcPr>
          <w:p w14:paraId="7E5F8031" w14:textId="77777777" w:rsidR="006B57D8" w:rsidRPr="0032117C" w:rsidRDefault="006B57D8" w:rsidP="00922116">
            <w:pPr>
              <w:pStyle w:val="VSmCellBody"/>
              <w:jc w:val="right"/>
              <w:rPr>
                <w:sz w:val="16"/>
                <w:szCs w:val="16"/>
                <w:lang w:val="en-US"/>
              </w:rPr>
            </w:pPr>
            <w:r w:rsidRPr="0032117C">
              <w:rPr>
                <w:sz w:val="16"/>
                <w:szCs w:val="16"/>
                <w:lang w:val="en-US"/>
              </w:rPr>
              <w:t>22.5</w:t>
            </w:r>
          </w:p>
        </w:tc>
        <w:tc>
          <w:tcPr>
            <w:tcW w:w="234" w:type="dxa"/>
            <w:vAlign w:val="bottom"/>
          </w:tcPr>
          <w:p w14:paraId="30C5E57E" w14:textId="77777777" w:rsidR="006B57D8" w:rsidRPr="0032117C" w:rsidRDefault="006B57D8" w:rsidP="00922116">
            <w:pPr>
              <w:pStyle w:val="CellRowSpacer"/>
              <w:rPr>
                <w:sz w:val="16"/>
                <w:szCs w:val="16"/>
                <w:lang w:val="en-US"/>
              </w:rPr>
            </w:pPr>
          </w:p>
        </w:tc>
        <w:tc>
          <w:tcPr>
            <w:tcW w:w="786" w:type="dxa"/>
            <w:vAlign w:val="bottom"/>
          </w:tcPr>
          <w:p w14:paraId="3301D8D5" w14:textId="77777777" w:rsidR="006B57D8" w:rsidRPr="0032117C" w:rsidRDefault="006B57D8" w:rsidP="00922116">
            <w:pPr>
              <w:pStyle w:val="VSmCellBody"/>
              <w:jc w:val="right"/>
              <w:rPr>
                <w:sz w:val="16"/>
                <w:szCs w:val="16"/>
                <w:lang w:val="en-US"/>
              </w:rPr>
            </w:pPr>
            <w:r w:rsidRPr="0032117C">
              <w:rPr>
                <w:sz w:val="16"/>
                <w:szCs w:val="16"/>
                <w:lang w:val="en-US"/>
              </w:rPr>
              <w:t>25.2</w:t>
            </w:r>
          </w:p>
        </w:tc>
        <w:tc>
          <w:tcPr>
            <w:tcW w:w="234" w:type="dxa"/>
            <w:vAlign w:val="bottom"/>
          </w:tcPr>
          <w:p w14:paraId="68E836D9" w14:textId="77777777" w:rsidR="006B57D8" w:rsidRPr="0032117C" w:rsidRDefault="006B57D8" w:rsidP="00922116">
            <w:pPr>
              <w:pStyle w:val="CellRowSpacer"/>
              <w:rPr>
                <w:sz w:val="16"/>
                <w:szCs w:val="16"/>
                <w:lang w:val="en-US"/>
              </w:rPr>
            </w:pPr>
          </w:p>
        </w:tc>
        <w:tc>
          <w:tcPr>
            <w:tcW w:w="786" w:type="dxa"/>
            <w:vAlign w:val="bottom"/>
          </w:tcPr>
          <w:p w14:paraId="2F8D0A02" w14:textId="77777777" w:rsidR="006B57D8" w:rsidRPr="0032117C" w:rsidRDefault="006B57D8" w:rsidP="00922116">
            <w:pPr>
              <w:pStyle w:val="VSmCellBody"/>
              <w:jc w:val="right"/>
              <w:rPr>
                <w:sz w:val="16"/>
                <w:szCs w:val="16"/>
                <w:lang w:val="en-US"/>
              </w:rPr>
            </w:pPr>
            <w:r w:rsidRPr="0032117C">
              <w:rPr>
                <w:sz w:val="16"/>
                <w:szCs w:val="16"/>
                <w:lang w:val="en-US"/>
              </w:rPr>
              <w:t>20.1</w:t>
            </w:r>
          </w:p>
        </w:tc>
        <w:tc>
          <w:tcPr>
            <w:tcW w:w="234" w:type="dxa"/>
            <w:vAlign w:val="bottom"/>
          </w:tcPr>
          <w:p w14:paraId="50C5CD23" w14:textId="77777777" w:rsidR="006B57D8" w:rsidRPr="0032117C" w:rsidRDefault="006B57D8" w:rsidP="00922116">
            <w:pPr>
              <w:pStyle w:val="CellRowSpacer"/>
              <w:rPr>
                <w:sz w:val="16"/>
                <w:szCs w:val="16"/>
                <w:lang w:val="en-US"/>
              </w:rPr>
            </w:pPr>
          </w:p>
        </w:tc>
        <w:tc>
          <w:tcPr>
            <w:tcW w:w="786" w:type="dxa"/>
            <w:vAlign w:val="bottom"/>
          </w:tcPr>
          <w:p w14:paraId="4F5B8C75" w14:textId="77777777" w:rsidR="006B57D8" w:rsidRPr="0032117C" w:rsidRDefault="006B57D8" w:rsidP="00922116">
            <w:pPr>
              <w:pStyle w:val="VSmCellBody"/>
              <w:jc w:val="right"/>
              <w:rPr>
                <w:sz w:val="16"/>
                <w:szCs w:val="16"/>
                <w:lang w:val="en-US"/>
              </w:rPr>
            </w:pPr>
            <w:r w:rsidRPr="0032117C">
              <w:rPr>
                <w:sz w:val="16"/>
                <w:szCs w:val="16"/>
                <w:lang w:val="en-US"/>
              </w:rPr>
              <w:t>14.3</w:t>
            </w:r>
          </w:p>
        </w:tc>
        <w:tc>
          <w:tcPr>
            <w:tcW w:w="234" w:type="dxa"/>
            <w:vAlign w:val="bottom"/>
          </w:tcPr>
          <w:p w14:paraId="06284F0E" w14:textId="77777777" w:rsidR="006B57D8" w:rsidRPr="0032117C" w:rsidRDefault="006B57D8" w:rsidP="00922116">
            <w:pPr>
              <w:pStyle w:val="CellRowSpacer"/>
              <w:rPr>
                <w:sz w:val="16"/>
                <w:szCs w:val="16"/>
                <w:lang w:val="en-US"/>
              </w:rPr>
            </w:pPr>
          </w:p>
        </w:tc>
        <w:tc>
          <w:tcPr>
            <w:tcW w:w="786" w:type="dxa"/>
            <w:vAlign w:val="bottom"/>
          </w:tcPr>
          <w:p w14:paraId="536D8ACD" w14:textId="77777777" w:rsidR="006B57D8" w:rsidRPr="0032117C" w:rsidRDefault="006B57D8" w:rsidP="00922116">
            <w:pPr>
              <w:pStyle w:val="VSmCellBody"/>
              <w:jc w:val="right"/>
              <w:rPr>
                <w:sz w:val="16"/>
                <w:szCs w:val="16"/>
                <w:lang w:val="en-US"/>
              </w:rPr>
            </w:pPr>
            <w:r w:rsidRPr="0032117C">
              <w:rPr>
                <w:sz w:val="16"/>
                <w:szCs w:val="16"/>
                <w:lang w:val="en-US"/>
              </w:rPr>
              <w:t>3.2</w:t>
            </w:r>
          </w:p>
        </w:tc>
        <w:tc>
          <w:tcPr>
            <w:tcW w:w="234" w:type="dxa"/>
            <w:vAlign w:val="bottom"/>
          </w:tcPr>
          <w:p w14:paraId="2C72B596" w14:textId="77777777" w:rsidR="006B57D8" w:rsidRPr="0032117C" w:rsidRDefault="006B57D8" w:rsidP="00922116">
            <w:pPr>
              <w:pStyle w:val="CellRowSpacer"/>
              <w:rPr>
                <w:sz w:val="16"/>
                <w:szCs w:val="16"/>
                <w:lang w:val="en-US"/>
              </w:rPr>
            </w:pPr>
          </w:p>
        </w:tc>
        <w:tc>
          <w:tcPr>
            <w:tcW w:w="786" w:type="dxa"/>
            <w:vAlign w:val="bottom"/>
          </w:tcPr>
          <w:p w14:paraId="47AD1089" w14:textId="77777777" w:rsidR="006B57D8" w:rsidRPr="0032117C" w:rsidRDefault="006B57D8" w:rsidP="00922116">
            <w:pPr>
              <w:pStyle w:val="VSmCellBody"/>
              <w:jc w:val="right"/>
              <w:rPr>
                <w:sz w:val="16"/>
                <w:szCs w:val="16"/>
                <w:lang w:val="en-US"/>
              </w:rPr>
            </w:pPr>
            <w:r w:rsidRPr="0032117C">
              <w:rPr>
                <w:sz w:val="16"/>
                <w:szCs w:val="16"/>
                <w:lang w:val="en-US"/>
              </w:rPr>
              <w:t>16.7</w:t>
            </w:r>
          </w:p>
        </w:tc>
        <w:tc>
          <w:tcPr>
            <w:tcW w:w="234" w:type="dxa"/>
            <w:vAlign w:val="bottom"/>
          </w:tcPr>
          <w:p w14:paraId="556037D4" w14:textId="77777777" w:rsidR="006B57D8" w:rsidRPr="0032117C" w:rsidRDefault="006B57D8" w:rsidP="00922116">
            <w:pPr>
              <w:pStyle w:val="CellRowSpacer"/>
              <w:rPr>
                <w:sz w:val="16"/>
                <w:szCs w:val="16"/>
                <w:lang w:val="en-US"/>
              </w:rPr>
            </w:pPr>
          </w:p>
        </w:tc>
      </w:tr>
      <w:tr w:rsidR="006B57D8" w:rsidRPr="0032117C" w14:paraId="3B68313F" w14:textId="77777777" w:rsidTr="00922116">
        <w:tc>
          <w:tcPr>
            <w:tcW w:w="1674" w:type="dxa"/>
            <w:vAlign w:val="bottom"/>
          </w:tcPr>
          <w:p w14:paraId="33340149" w14:textId="77777777" w:rsidR="006B57D8" w:rsidRPr="0032117C" w:rsidRDefault="006B57D8" w:rsidP="00922116">
            <w:pPr>
              <w:pStyle w:val="VSmCellBody"/>
              <w:tabs>
                <w:tab w:val="right" w:leader="dot" w:pos="1689"/>
              </w:tabs>
              <w:rPr>
                <w:sz w:val="16"/>
                <w:szCs w:val="16"/>
                <w:lang w:val="en-US"/>
              </w:rPr>
            </w:pPr>
            <w:r w:rsidRPr="0032117C">
              <w:rPr>
                <w:sz w:val="16"/>
                <w:szCs w:val="16"/>
                <w:lang w:val="en-US"/>
              </w:rPr>
              <w:t>200+ k Dwt</w:t>
            </w:r>
            <w:r w:rsidRPr="0032117C">
              <w:rPr>
                <w:sz w:val="16"/>
                <w:szCs w:val="16"/>
                <w:lang w:val="en-US"/>
              </w:rPr>
              <w:tab/>
            </w:r>
          </w:p>
        </w:tc>
        <w:tc>
          <w:tcPr>
            <w:tcW w:w="234" w:type="dxa"/>
            <w:vAlign w:val="bottom"/>
          </w:tcPr>
          <w:p w14:paraId="6D221479" w14:textId="77777777" w:rsidR="006B57D8" w:rsidRPr="0032117C" w:rsidRDefault="006B57D8" w:rsidP="00922116">
            <w:pPr>
              <w:pStyle w:val="CellRowSpacer"/>
              <w:rPr>
                <w:sz w:val="16"/>
                <w:szCs w:val="16"/>
                <w:lang w:val="en-US"/>
              </w:rPr>
            </w:pPr>
          </w:p>
        </w:tc>
        <w:tc>
          <w:tcPr>
            <w:tcW w:w="786" w:type="dxa"/>
            <w:vAlign w:val="bottom"/>
          </w:tcPr>
          <w:p w14:paraId="4F7866AF" w14:textId="77777777" w:rsidR="006B57D8" w:rsidRPr="0032117C" w:rsidRDefault="006B57D8" w:rsidP="00922116">
            <w:pPr>
              <w:pStyle w:val="VSmCellBody"/>
              <w:jc w:val="right"/>
              <w:rPr>
                <w:sz w:val="16"/>
                <w:szCs w:val="16"/>
                <w:lang w:val="en-US"/>
              </w:rPr>
            </w:pPr>
            <w:r w:rsidRPr="0032117C">
              <w:rPr>
                <w:sz w:val="16"/>
                <w:szCs w:val="16"/>
                <w:lang w:val="en-US"/>
              </w:rPr>
              <w:t>41.8</w:t>
            </w:r>
          </w:p>
        </w:tc>
        <w:tc>
          <w:tcPr>
            <w:tcW w:w="234" w:type="dxa"/>
            <w:vAlign w:val="bottom"/>
          </w:tcPr>
          <w:p w14:paraId="590823CF" w14:textId="77777777" w:rsidR="006B57D8" w:rsidRPr="0032117C" w:rsidRDefault="006B57D8" w:rsidP="00922116">
            <w:pPr>
              <w:pStyle w:val="CellRowSpacer"/>
              <w:rPr>
                <w:sz w:val="16"/>
                <w:szCs w:val="16"/>
                <w:lang w:val="en-US"/>
              </w:rPr>
            </w:pPr>
          </w:p>
        </w:tc>
        <w:tc>
          <w:tcPr>
            <w:tcW w:w="786" w:type="dxa"/>
            <w:vAlign w:val="bottom"/>
          </w:tcPr>
          <w:p w14:paraId="2852AD0B" w14:textId="77777777" w:rsidR="006B57D8" w:rsidRPr="0032117C" w:rsidRDefault="006B57D8" w:rsidP="00922116">
            <w:pPr>
              <w:pStyle w:val="VSmCellBody"/>
              <w:jc w:val="right"/>
              <w:rPr>
                <w:sz w:val="16"/>
                <w:szCs w:val="16"/>
                <w:lang w:val="en-US"/>
              </w:rPr>
            </w:pPr>
            <w:r w:rsidRPr="0032117C">
              <w:rPr>
                <w:sz w:val="16"/>
                <w:szCs w:val="16"/>
                <w:lang w:val="en-US"/>
              </w:rPr>
              <w:t>69.0</w:t>
            </w:r>
          </w:p>
        </w:tc>
        <w:tc>
          <w:tcPr>
            <w:tcW w:w="234" w:type="dxa"/>
            <w:vAlign w:val="bottom"/>
          </w:tcPr>
          <w:p w14:paraId="06C5479B" w14:textId="77777777" w:rsidR="006B57D8" w:rsidRPr="0032117C" w:rsidRDefault="006B57D8" w:rsidP="00922116">
            <w:pPr>
              <w:pStyle w:val="CellRowSpacer"/>
              <w:rPr>
                <w:sz w:val="16"/>
                <w:szCs w:val="16"/>
                <w:lang w:val="en-US"/>
              </w:rPr>
            </w:pPr>
          </w:p>
        </w:tc>
        <w:tc>
          <w:tcPr>
            <w:tcW w:w="786" w:type="dxa"/>
            <w:vAlign w:val="bottom"/>
          </w:tcPr>
          <w:p w14:paraId="5958B928" w14:textId="77777777" w:rsidR="006B57D8" w:rsidRPr="0032117C" w:rsidRDefault="006B57D8" w:rsidP="00922116">
            <w:pPr>
              <w:pStyle w:val="VSmCellBody"/>
              <w:jc w:val="right"/>
              <w:rPr>
                <w:sz w:val="16"/>
                <w:szCs w:val="16"/>
                <w:lang w:val="en-US"/>
              </w:rPr>
            </w:pPr>
            <w:r w:rsidRPr="0032117C">
              <w:rPr>
                <w:sz w:val="16"/>
                <w:szCs w:val="16"/>
                <w:lang w:val="en-US"/>
              </w:rPr>
              <w:t>70.9</w:t>
            </w:r>
          </w:p>
        </w:tc>
        <w:tc>
          <w:tcPr>
            <w:tcW w:w="234" w:type="dxa"/>
            <w:vAlign w:val="bottom"/>
          </w:tcPr>
          <w:p w14:paraId="3BC4280C" w14:textId="77777777" w:rsidR="006B57D8" w:rsidRPr="0032117C" w:rsidRDefault="006B57D8" w:rsidP="00922116">
            <w:pPr>
              <w:pStyle w:val="CellRowSpacer"/>
              <w:rPr>
                <w:sz w:val="16"/>
                <w:szCs w:val="16"/>
                <w:lang w:val="en-US"/>
              </w:rPr>
            </w:pPr>
          </w:p>
        </w:tc>
        <w:tc>
          <w:tcPr>
            <w:tcW w:w="786" w:type="dxa"/>
            <w:vAlign w:val="bottom"/>
          </w:tcPr>
          <w:p w14:paraId="6F411924" w14:textId="77777777" w:rsidR="006B57D8" w:rsidRPr="0032117C" w:rsidRDefault="006B57D8" w:rsidP="00922116">
            <w:pPr>
              <w:pStyle w:val="VSmCellBody"/>
              <w:jc w:val="right"/>
              <w:rPr>
                <w:sz w:val="16"/>
                <w:szCs w:val="16"/>
                <w:lang w:val="en-US"/>
              </w:rPr>
            </w:pPr>
            <w:r w:rsidRPr="0032117C">
              <w:rPr>
                <w:sz w:val="16"/>
                <w:szCs w:val="16"/>
                <w:lang w:val="en-US"/>
              </w:rPr>
              <w:t>51.6</w:t>
            </w:r>
          </w:p>
        </w:tc>
        <w:tc>
          <w:tcPr>
            <w:tcW w:w="234" w:type="dxa"/>
            <w:vAlign w:val="bottom"/>
          </w:tcPr>
          <w:p w14:paraId="2F6E708B" w14:textId="77777777" w:rsidR="006B57D8" w:rsidRPr="0032117C" w:rsidRDefault="006B57D8" w:rsidP="00922116">
            <w:pPr>
              <w:pStyle w:val="CellRowSpacer"/>
              <w:rPr>
                <w:sz w:val="16"/>
                <w:szCs w:val="16"/>
                <w:lang w:val="en-US"/>
              </w:rPr>
            </w:pPr>
          </w:p>
        </w:tc>
        <w:tc>
          <w:tcPr>
            <w:tcW w:w="786" w:type="dxa"/>
            <w:vAlign w:val="bottom"/>
          </w:tcPr>
          <w:p w14:paraId="3AE03EB7" w14:textId="77777777" w:rsidR="006B57D8" w:rsidRPr="0032117C" w:rsidRDefault="006B57D8" w:rsidP="00922116">
            <w:pPr>
              <w:pStyle w:val="VSmCellBody"/>
              <w:jc w:val="right"/>
              <w:rPr>
                <w:sz w:val="16"/>
                <w:szCs w:val="16"/>
                <w:lang w:val="en-US"/>
              </w:rPr>
            </w:pPr>
            <w:r w:rsidRPr="0032117C">
              <w:rPr>
                <w:sz w:val="16"/>
                <w:szCs w:val="16"/>
                <w:lang w:val="en-US"/>
              </w:rPr>
              <w:t>43.4</w:t>
            </w:r>
          </w:p>
        </w:tc>
        <w:tc>
          <w:tcPr>
            <w:tcW w:w="234" w:type="dxa"/>
            <w:vAlign w:val="bottom"/>
          </w:tcPr>
          <w:p w14:paraId="47D2D17D" w14:textId="77777777" w:rsidR="006B57D8" w:rsidRPr="0032117C" w:rsidRDefault="006B57D8" w:rsidP="00922116">
            <w:pPr>
              <w:pStyle w:val="CellRowSpacer"/>
              <w:rPr>
                <w:sz w:val="16"/>
                <w:szCs w:val="16"/>
                <w:lang w:val="en-US"/>
              </w:rPr>
            </w:pPr>
          </w:p>
        </w:tc>
        <w:tc>
          <w:tcPr>
            <w:tcW w:w="786" w:type="dxa"/>
            <w:vAlign w:val="bottom"/>
          </w:tcPr>
          <w:p w14:paraId="7DBB8E89" w14:textId="77777777" w:rsidR="006B57D8" w:rsidRPr="0032117C" w:rsidRDefault="006B57D8" w:rsidP="00922116">
            <w:pPr>
              <w:pStyle w:val="VSmCellBody"/>
              <w:jc w:val="right"/>
              <w:rPr>
                <w:sz w:val="16"/>
                <w:szCs w:val="16"/>
                <w:lang w:val="en-US"/>
              </w:rPr>
            </w:pPr>
            <w:r w:rsidRPr="0032117C">
              <w:rPr>
                <w:sz w:val="16"/>
                <w:szCs w:val="16"/>
                <w:lang w:val="en-US"/>
              </w:rPr>
              <w:t>8.2</w:t>
            </w:r>
          </w:p>
        </w:tc>
        <w:tc>
          <w:tcPr>
            <w:tcW w:w="234" w:type="dxa"/>
            <w:vAlign w:val="bottom"/>
          </w:tcPr>
          <w:p w14:paraId="1F580DB7" w14:textId="77777777" w:rsidR="006B57D8" w:rsidRPr="0032117C" w:rsidRDefault="006B57D8" w:rsidP="00922116">
            <w:pPr>
              <w:pStyle w:val="CellRowSpacer"/>
              <w:rPr>
                <w:sz w:val="16"/>
                <w:szCs w:val="16"/>
                <w:lang w:val="en-US"/>
              </w:rPr>
            </w:pPr>
          </w:p>
        </w:tc>
        <w:tc>
          <w:tcPr>
            <w:tcW w:w="786" w:type="dxa"/>
            <w:vAlign w:val="bottom"/>
          </w:tcPr>
          <w:p w14:paraId="1012E758" w14:textId="77777777" w:rsidR="006B57D8" w:rsidRPr="0032117C" w:rsidRDefault="006B57D8" w:rsidP="00922116">
            <w:pPr>
              <w:pStyle w:val="VSmCellBody"/>
              <w:jc w:val="right"/>
              <w:rPr>
                <w:sz w:val="16"/>
                <w:szCs w:val="16"/>
                <w:lang w:val="en-US"/>
              </w:rPr>
            </w:pPr>
            <w:r w:rsidRPr="0032117C">
              <w:rPr>
                <w:sz w:val="16"/>
                <w:szCs w:val="16"/>
                <w:lang w:val="en-US"/>
              </w:rPr>
              <w:t>21.6</w:t>
            </w:r>
          </w:p>
        </w:tc>
        <w:tc>
          <w:tcPr>
            <w:tcW w:w="234" w:type="dxa"/>
            <w:vAlign w:val="bottom"/>
          </w:tcPr>
          <w:p w14:paraId="4041E7D8" w14:textId="77777777" w:rsidR="006B57D8" w:rsidRPr="0032117C" w:rsidRDefault="006B57D8" w:rsidP="00922116">
            <w:pPr>
              <w:pStyle w:val="CellRowSpacer"/>
              <w:rPr>
                <w:sz w:val="16"/>
                <w:szCs w:val="16"/>
                <w:lang w:val="en-US"/>
              </w:rPr>
            </w:pPr>
          </w:p>
        </w:tc>
      </w:tr>
    </w:tbl>
    <w:p w14:paraId="27360751" w14:textId="77777777" w:rsidR="006B57D8" w:rsidRDefault="006B57D8" w:rsidP="00F87C1B">
      <w:pPr>
        <w:pStyle w:val="P68B1DB1-KeyMessage1"/>
        <w:spacing w:beforeLines="40" w:before="96" w:afterLines="40" w:after="96"/>
        <w:rPr>
          <w:rFonts w:ascii="Traditional Arabic" w:hAnsi="Traditional Arabic" w:cs="Traditional Arabic"/>
          <w:i/>
          <w:sz w:val="30"/>
          <w:szCs w:val="30"/>
        </w:rPr>
      </w:pPr>
    </w:p>
    <w:p w14:paraId="5EC38890" w14:textId="77777777" w:rsidR="00F87C1B" w:rsidRPr="00F87C1B" w:rsidRDefault="00F87C1B" w:rsidP="006B57D8">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 (البيانات حتى 30 نوفمبر 2024)</w:t>
      </w:r>
    </w:p>
    <w:p w14:paraId="0E5AE9DC"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lastRenderedPageBreak/>
        <w:t>الجدول: ملف عمر أسطول الناقلات المطلي ودفتر الطلبات حسب الشريحة (مليون طن من الوزن الساكن)</w:t>
      </w:r>
    </w:p>
    <w:tbl>
      <w:tblPr>
        <w:tblW w:w="9135" w:type="dxa"/>
        <w:tblInd w:w="437" w:type="dxa"/>
        <w:tblLayout w:type="fixed"/>
        <w:tblCellMar>
          <w:left w:w="0" w:type="dxa"/>
          <w:right w:w="0" w:type="dxa"/>
        </w:tblCellMar>
        <w:tblLook w:val="0000" w:firstRow="0" w:lastRow="0" w:firstColumn="0" w:lastColumn="0" w:noHBand="0" w:noVBand="0"/>
      </w:tblPr>
      <w:tblGrid>
        <w:gridCol w:w="1689"/>
        <w:gridCol w:w="236"/>
        <w:gridCol w:w="794"/>
        <w:gridCol w:w="236"/>
        <w:gridCol w:w="794"/>
        <w:gridCol w:w="236"/>
        <w:gridCol w:w="794"/>
        <w:gridCol w:w="236"/>
        <w:gridCol w:w="794"/>
        <w:gridCol w:w="236"/>
        <w:gridCol w:w="794"/>
        <w:gridCol w:w="236"/>
        <w:gridCol w:w="794"/>
        <w:gridCol w:w="236"/>
        <w:gridCol w:w="794"/>
        <w:gridCol w:w="236"/>
      </w:tblGrid>
      <w:tr w:rsidR="006B57D8" w:rsidRPr="00AB3AE8" w14:paraId="7AE2ADBC" w14:textId="77777777" w:rsidTr="00922116">
        <w:trPr>
          <w:tblHeader/>
        </w:trPr>
        <w:tc>
          <w:tcPr>
            <w:tcW w:w="1689" w:type="dxa"/>
            <w:vAlign w:val="bottom"/>
          </w:tcPr>
          <w:p w14:paraId="50CA65D4" w14:textId="77777777" w:rsidR="006B57D8" w:rsidRPr="00AB3AE8" w:rsidRDefault="006B57D8" w:rsidP="00922116">
            <w:pPr>
              <w:pStyle w:val="VSmCellHead"/>
              <w:rPr>
                <w:sz w:val="16"/>
                <w:szCs w:val="16"/>
                <w:lang w:val="en-US"/>
              </w:rPr>
            </w:pPr>
          </w:p>
        </w:tc>
        <w:tc>
          <w:tcPr>
            <w:tcW w:w="236" w:type="dxa"/>
            <w:vAlign w:val="bottom"/>
          </w:tcPr>
          <w:p w14:paraId="7FB145BC" w14:textId="77777777" w:rsidR="006B57D8" w:rsidRPr="00AB3AE8" w:rsidRDefault="006B57D8" w:rsidP="00922116">
            <w:pPr>
              <w:pStyle w:val="CellRowSpacer"/>
              <w:spacing w:after="120"/>
              <w:rPr>
                <w:sz w:val="16"/>
                <w:szCs w:val="16"/>
                <w:lang w:val="en-US"/>
              </w:rPr>
            </w:pPr>
          </w:p>
        </w:tc>
        <w:tc>
          <w:tcPr>
            <w:tcW w:w="794" w:type="dxa"/>
            <w:vAlign w:val="bottom"/>
          </w:tcPr>
          <w:p w14:paraId="4ECD47B0" w14:textId="77777777" w:rsidR="006B57D8" w:rsidRPr="00AB3AE8" w:rsidRDefault="006B57D8" w:rsidP="00922116">
            <w:pPr>
              <w:pStyle w:val="VSmCellHead"/>
              <w:jc w:val="right"/>
              <w:rPr>
                <w:sz w:val="16"/>
                <w:szCs w:val="16"/>
                <w:lang w:val="en-US"/>
              </w:rPr>
            </w:pPr>
            <w:r w:rsidRPr="00AB3AE8">
              <w:rPr>
                <w:sz w:val="16"/>
                <w:szCs w:val="16"/>
                <w:lang w:val="en-US"/>
              </w:rPr>
              <w:t>0-4 Yrs</w:t>
            </w:r>
          </w:p>
        </w:tc>
        <w:tc>
          <w:tcPr>
            <w:tcW w:w="236" w:type="dxa"/>
            <w:vAlign w:val="bottom"/>
          </w:tcPr>
          <w:p w14:paraId="344417A9" w14:textId="77777777" w:rsidR="006B57D8" w:rsidRPr="00AB3AE8" w:rsidRDefault="006B57D8" w:rsidP="00922116">
            <w:pPr>
              <w:pStyle w:val="CellRowSpacer"/>
              <w:spacing w:after="120"/>
              <w:rPr>
                <w:sz w:val="16"/>
                <w:szCs w:val="16"/>
                <w:lang w:val="en-US"/>
              </w:rPr>
            </w:pPr>
          </w:p>
        </w:tc>
        <w:tc>
          <w:tcPr>
            <w:tcW w:w="794" w:type="dxa"/>
            <w:vAlign w:val="bottom"/>
          </w:tcPr>
          <w:p w14:paraId="334C7760" w14:textId="77777777" w:rsidR="006B57D8" w:rsidRPr="00AB3AE8" w:rsidRDefault="006B57D8" w:rsidP="00922116">
            <w:pPr>
              <w:pStyle w:val="VSmCellHead"/>
              <w:jc w:val="right"/>
              <w:rPr>
                <w:sz w:val="16"/>
                <w:szCs w:val="16"/>
                <w:lang w:val="en-US"/>
              </w:rPr>
            </w:pPr>
            <w:r w:rsidRPr="00AB3AE8">
              <w:rPr>
                <w:sz w:val="16"/>
                <w:szCs w:val="16"/>
                <w:lang w:val="en-US"/>
              </w:rPr>
              <w:t>5-9 Yrs</w:t>
            </w:r>
          </w:p>
        </w:tc>
        <w:tc>
          <w:tcPr>
            <w:tcW w:w="236" w:type="dxa"/>
            <w:vAlign w:val="bottom"/>
          </w:tcPr>
          <w:p w14:paraId="178C7492" w14:textId="77777777" w:rsidR="006B57D8" w:rsidRPr="00AB3AE8" w:rsidRDefault="006B57D8" w:rsidP="00922116">
            <w:pPr>
              <w:pStyle w:val="CellRowSpacer"/>
              <w:spacing w:after="120"/>
              <w:rPr>
                <w:sz w:val="16"/>
                <w:szCs w:val="16"/>
                <w:lang w:val="en-US"/>
              </w:rPr>
            </w:pPr>
          </w:p>
        </w:tc>
        <w:tc>
          <w:tcPr>
            <w:tcW w:w="794" w:type="dxa"/>
            <w:vAlign w:val="bottom"/>
          </w:tcPr>
          <w:p w14:paraId="0260BE97" w14:textId="77777777" w:rsidR="006B57D8" w:rsidRPr="00AB3AE8" w:rsidRDefault="006B57D8" w:rsidP="00922116">
            <w:pPr>
              <w:pStyle w:val="VSmCellHead"/>
              <w:jc w:val="right"/>
              <w:rPr>
                <w:sz w:val="16"/>
                <w:szCs w:val="16"/>
                <w:lang w:val="en-US"/>
              </w:rPr>
            </w:pPr>
            <w:r w:rsidRPr="00AB3AE8">
              <w:rPr>
                <w:sz w:val="16"/>
                <w:szCs w:val="16"/>
                <w:lang w:val="en-US"/>
              </w:rPr>
              <w:t>10-14 Yrs</w:t>
            </w:r>
          </w:p>
        </w:tc>
        <w:tc>
          <w:tcPr>
            <w:tcW w:w="236" w:type="dxa"/>
            <w:vAlign w:val="bottom"/>
          </w:tcPr>
          <w:p w14:paraId="547C4726" w14:textId="77777777" w:rsidR="006B57D8" w:rsidRPr="00AB3AE8" w:rsidRDefault="006B57D8" w:rsidP="00922116">
            <w:pPr>
              <w:pStyle w:val="CellRowSpacer"/>
              <w:spacing w:after="120"/>
              <w:rPr>
                <w:sz w:val="16"/>
                <w:szCs w:val="16"/>
                <w:lang w:val="en-US"/>
              </w:rPr>
            </w:pPr>
          </w:p>
        </w:tc>
        <w:tc>
          <w:tcPr>
            <w:tcW w:w="794" w:type="dxa"/>
            <w:vAlign w:val="bottom"/>
          </w:tcPr>
          <w:p w14:paraId="3EC261A9" w14:textId="77777777" w:rsidR="006B57D8" w:rsidRPr="00AB3AE8" w:rsidRDefault="006B57D8" w:rsidP="00922116">
            <w:pPr>
              <w:pStyle w:val="VSmCellHead"/>
              <w:jc w:val="right"/>
              <w:rPr>
                <w:sz w:val="16"/>
                <w:szCs w:val="16"/>
                <w:lang w:val="en-US"/>
              </w:rPr>
            </w:pPr>
            <w:r w:rsidRPr="00AB3AE8">
              <w:rPr>
                <w:sz w:val="16"/>
                <w:szCs w:val="16"/>
                <w:lang w:val="en-US"/>
              </w:rPr>
              <w:t>15-19 Yrs</w:t>
            </w:r>
          </w:p>
        </w:tc>
        <w:tc>
          <w:tcPr>
            <w:tcW w:w="236" w:type="dxa"/>
            <w:vAlign w:val="bottom"/>
          </w:tcPr>
          <w:p w14:paraId="42296D9B" w14:textId="77777777" w:rsidR="006B57D8" w:rsidRPr="00AB3AE8" w:rsidRDefault="006B57D8" w:rsidP="00922116">
            <w:pPr>
              <w:pStyle w:val="CellRowSpacer"/>
              <w:spacing w:after="120"/>
              <w:rPr>
                <w:sz w:val="16"/>
                <w:szCs w:val="16"/>
                <w:lang w:val="en-US"/>
              </w:rPr>
            </w:pPr>
          </w:p>
        </w:tc>
        <w:tc>
          <w:tcPr>
            <w:tcW w:w="794" w:type="dxa"/>
            <w:vAlign w:val="bottom"/>
          </w:tcPr>
          <w:p w14:paraId="4A5EABA6" w14:textId="77777777" w:rsidR="006B57D8" w:rsidRPr="00AB3AE8" w:rsidRDefault="006B57D8" w:rsidP="00922116">
            <w:pPr>
              <w:pStyle w:val="VSmCellHead"/>
              <w:jc w:val="right"/>
              <w:rPr>
                <w:sz w:val="16"/>
                <w:szCs w:val="16"/>
                <w:lang w:val="en-US"/>
              </w:rPr>
            </w:pPr>
            <w:r w:rsidRPr="00AB3AE8">
              <w:rPr>
                <w:sz w:val="16"/>
                <w:szCs w:val="16"/>
                <w:lang w:val="en-US"/>
              </w:rPr>
              <w:t>20-24 Yrs</w:t>
            </w:r>
          </w:p>
        </w:tc>
        <w:tc>
          <w:tcPr>
            <w:tcW w:w="236" w:type="dxa"/>
            <w:vAlign w:val="bottom"/>
          </w:tcPr>
          <w:p w14:paraId="2CEBDF11" w14:textId="77777777" w:rsidR="006B57D8" w:rsidRPr="00AB3AE8" w:rsidRDefault="006B57D8" w:rsidP="00922116">
            <w:pPr>
              <w:pStyle w:val="CellRowSpacer"/>
              <w:spacing w:after="120"/>
              <w:rPr>
                <w:sz w:val="16"/>
                <w:szCs w:val="16"/>
                <w:lang w:val="en-US"/>
              </w:rPr>
            </w:pPr>
          </w:p>
        </w:tc>
        <w:tc>
          <w:tcPr>
            <w:tcW w:w="794" w:type="dxa"/>
            <w:vAlign w:val="bottom"/>
          </w:tcPr>
          <w:p w14:paraId="6FD947E5" w14:textId="77777777" w:rsidR="006B57D8" w:rsidRPr="00AB3AE8" w:rsidRDefault="006B57D8" w:rsidP="00922116">
            <w:pPr>
              <w:pStyle w:val="VSmCellHead"/>
              <w:jc w:val="right"/>
              <w:rPr>
                <w:sz w:val="16"/>
                <w:szCs w:val="16"/>
                <w:lang w:val="en-US"/>
              </w:rPr>
            </w:pPr>
            <w:r w:rsidRPr="00AB3AE8">
              <w:rPr>
                <w:sz w:val="16"/>
                <w:szCs w:val="16"/>
                <w:lang w:val="en-US"/>
              </w:rPr>
              <w:t>25+ Yrs</w:t>
            </w:r>
          </w:p>
        </w:tc>
        <w:tc>
          <w:tcPr>
            <w:tcW w:w="236" w:type="dxa"/>
            <w:vAlign w:val="bottom"/>
          </w:tcPr>
          <w:p w14:paraId="7DA80949" w14:textId="77777777" w:rsidR="006B57D8" w:rsidRPr="00AB3AE8" w:rsidRDefault="006B57D8" w:rsidP="00922116">
            <w:pPr>
              <w:pStyle w:val="CellRowSpacer"/>
              <w:spacing w:after="120"/>
              <w:rPr>
                <w:sz w:val="16"/>
                <w:szCs w:val="16"/>
                <w:lang w:val="en-US"/>
              </w:rPr>
            </w:pPr>
          </w:p>
        </w:tc>
        <w:tc>
          <w:tcPr>
            <w:tcW w:w="794" w:type="dxa"/>
            <w:vAlign w:val="bottom"/>
          </w:tcPr>
          <w:p w14:paraId="32792158" w14:textId="77777777" w:rsidR="006B57D8" w:rsidRPr="00AB3AE8" w:rsidRDefault="006B57D8" w:rsidP="00922116">
            <w:pPr>
              <w:pStyle w:val="VSmCellHead"/>
              <w:jc w:val="right"/>
              <w:rPr>
                <w:sz w:val="16"/>
                <w:szCs w:val="16"/>
                <w:lang w:val="en-US"/>
              </w:rPr>
            </w:pPr>
            <w:r w:rsidRPr="00AB3AE8">
              <w:rPr>
                <w:sz w:val="16"/>
                <w:szCs w:val="16"/>
                <w:lang w:val="en-US"/>
              </w:rPr>
              <w:t>Orderbook</w:t>
            </w:r>
          </w:p>
        </w:tc>
        <w:tc>
          <w:tcPr>
            <w:tcW w:w="236" w:type="dxa"/>
            <w:vAlign w:val="bottom"/>
          </w:tcPr>
          <w:p w14:paraId="6C00EF21" w14:textId="77777777" w:rsidR="006B57D8" w:rsidRPr="00AB3AE8" w:rsidRDefault="006B57D8" w:rsidP="00922116">
            <w:pPr>
              <w:pStyle w:val="CellRowSpacer"/>
              <w:spacing w:after="120"/>
              <w:rPr>
                <w:sz w:val="16"/>
                <w:szCs w:val="16"/>
                <w:lang w:val="en-US"/>
              </w:rPr>
            </w:pPr>
          </w:p>
        </w:tc>
      </w:tr>
      <w:tr w:rsidR="006B57D8" w:rsidRPr="00AB3AE8" w14:paraId="6DC23256" w14:textId="77777777" w:rsidTr="00922116">
        <w:tc>
          <w:tcPr>
            <w:tcW w:w="1689" w:type="dxa"/>
            <w:vAlign w:val="bottom"/>
          </w:tcPr>
          <w:p w14:paraId="65300319" w14:textId="77777777" w:rsidR="006B57D8" w:rsidRPr="00AB3AE8" w:rsidRDefault="006B57D8" w:rsidP="00922116">
            <w:pPr>
              <w:pStyle w:val="VSmCellBody"/>
              <w:tabs>
                <w:tab w:val="right" w:leader="dot" w:pos="1689"/>
              </w:tabs>
              <w:rPr>
                <w:sz w:val="16"/>
                <w:szCs w:val="16"/>
                <w:lang w:val="en-US"/>
              </w:rPr>
            </w:pPr>
            <w:r w:rsidRPr="00AB3AE8">
              <w:rPr>
                <w:sz w:val="16"/>
                <w:szCs w:val="16"/>
                <w:lang w:val="en-US"/>
              </w:rPr>
              <w:t>40-79.9 k Dwt</w:t>
            </w:r>
            <w:r w:rsidRPr="00AB3AE8">
              <w:rPr>
                <w:sz w:val="16"/>
                <w:szCs w:val="16"/>
                <w:lang w:val="en-US"/>
              </w:rPr>
              <w:tab/>
            </w:r>
          </w:p>
        </w:tc>
        <w:tc>
          <w:tcPr>
            <w:tcW w:w="236" w:type="dxa"/>
            <w:vAlign w:val="bottom"/>
          </w:tcPr>
          <w:p w14:paraId="7DF3D562" w14:textId="77777777" w:rsidR="006B57D8" w:rsidRPr="00AB3AE8" w:rsidRDefault="006B57D8" w:rsidP="00922116">
            <w:pPr>
              <w:pStyle w:val="CellRowSpacer"/>
              <w:rPr>
                <w:sz w:val="16"/>
                <w:szCs w:val="16"/>
                <w:lang w:val="en-US"/>
              </w:rPr>
            </w:pPr>
          </w:p>
        </w:tc>
        <w:tc>
          <w:tcPr>
            <w:tcW w:w="794" w:type="dxa"/>
            <w:vAlign w:val="bottom"/>
          </w:tcPr>
          <w:p w14:paraId="0E4E01BF" w14:textId="77777777" w:rsidR="006B57D8" w:rsidRPr="00AB3AE8" w:rsidRDefault="006B57D8" w:rsidP="00922116">
            <w:pPr>
              <w:pStyle w:val="VSmCellBody"/>
              <w:jc w:val="right"/>
              <w:rPr>
                <w:sz w:val="16"/>
                <w:szCs w:val="16"/>
                <w:lang w:val="en-US"/>
              </w:rPr>
            </w:pPr>
            <w:r w:rsidRPr="00AB3AE8">
              <w:rPr>
                <w:sz w:val="16"/>
                <w:szCs w:val="16"/>
                <w:lang w:val="en-US"/>
              </w:rPr>
              <w:t>15.3</w:t>
            </w:r>
          </w:p>
        </w:tc>
        <w:tc>
          <w:tcPr>
            <w:tcW w:w="236" w:type="dxa"/>
            <w:vAlign w:val="bottom"/>
          </w:tcPr>
          <w:p w14:paraId="61A5BAA7" w14:textId="77777777" w:rsidR="006B57D8" w:rsidRPr="00AB3AE8" w:rsidRDefault="006B57D8" w:rsidP="00922116">
            <w:pPr>
              <w:pStyle w:val="CellRowSpacer"/>
              <w:rPr>
                <w:sz w:val="16"/>
                <w:szCs w:val="16"/>
                <w:lang w:val="en-US"/>
              </w:rPr>
            </w:pPr>
          </w:p>
        </w:tc>
        <w:tc>
          <w:tcPr>
            <w:tcW w:w="794" w:type="dxa"/>
            <w:vAlign w:val="bottom"/>
          </w:tcPr>
          <w:p w14:paraId="2DF67056" w14:textId="77777777" w:rsidR="006B57D8" w:rsidRPr="00AB3AE8" w:rsidRDefault="006B57D8" w:rsidP="00922116">
            <w:pPr>
              <w:pStyle w:val="VSmCellBody"/>
              <w:jc w:val="right"/>
              <w:rPr>
                <w:sz w:val="16"/>
                <w:szCs w:val="16"/>
                <w:lang w:val="en-US"/>
              </w:rPr>
            </w:pPr>
            <w:r w:rsidRPr="00AB3AE8">
              <w:rPr>
                <w:sz w:val="16"/>
                <w:szCs w:val="16"/>
                <w:lang w:val="en-US"/>
              </w:rPr>
              <w:t>25.6</w:t>
            </w:r>
          </w:p>
        </w:tc>
        <w:tc>
          <w:tcPr>
            <w:tcW w:w="236" w:type="dxa"/>
            <w:vAlign w:val="bottom"/>
          </w:tcPr>
          <w:p w14:paraId="62405AA6" w14:textId="77777777" w:rsidR="006B57D8" w:rsidRPr="00AB3AE8" w:rsidRDefault="006B57D8" w:rsidP="00922116">
            <w:pPr>
              <w:pStyle w:val="CellRowSpacer"/>
              <w:rPr>
                <w:sz w:val="16"/>
                <w:szCs w:val="16"/>
                <w:lang w:val="en-US"/>
              </w:rPr>
            </w:pPr>
          </w:p>
        </w:tc>
        <w:tc>
          <w:tcPr>
            <w:tcW w:w="794" w:type="dxa"/>
            <w:vAlign w:val="bottom"/>
          </w:tcPr>
          <w:p w14:paraId="59E2701D" w14:textId="77777777" w:rsidR="006B57D8" w:rsidRPr="00AB3AE8" w:rsidRDefault="006B57D8" w:rsidP="00922116">
            <w:pPr>
              <w:pStyle w:val="VSmCellBody"/>
              <w:jc w:val="right"/>
              <w:rPr>
                <w:sz w:val="16"/>
                <w:szCs w:val="16"/>
                <w:lang w:val="en-US"/>
              </w:rPr>
            </w:pPr>
            <w:r w:rsidRPr="00AB3AE8">
              <w:rPr>
                <w:sz w:val="16"/>
                <w:szCs w:val="16"/>
                <w:lang w:val="en-US"/>
              </w:rPr>
              <w:t>25.6</w:t>
            </w:r>
          </w:p>
        </w:tc>
        <w:tc>
          <w:tcPr>
            <w:tcW w:w="236" w:type="dxa"/>
            <w:vAlign w:val="bottom"/>
          </w:tcPr>
          <w:p w14:paraId="5EF3F242" w14:textId="77777777" w:rsidR="006B57D8" w:rsidRPr="00AB3AE8" w:rsidRDefault="006B57D8" w:rsidP="00922116">
            <w:pPr>
              <w:pStyle w:val="CellRowSpacer"/>
              <w:rPr>
                <w:sz w:val="16"/>
                <w:szCs w:val="16"/>
                <w:lang w:val="en-US"/>
              </w:rPr>
            </w:pPr>
          </w:p>
        </w:tc>
        <w:tc>
          <w:tcPr>
            <w:tcW w:w="794" w:type="dxa"/>
            <w:vAlign w:val="bottom"/>
          </w:tcPr>
          <w:p w14:paraId="4FA1B321" w14:textId="77777777" w:rsidR="006B57D8" w:rsidRPr="00AB3AE8" w:rsidRDefault="006B57D8" w:rsidP="00922116">
            <w:pPr>
              <w:pStyle w:val="VSmCellBody"/>
              <w:jc w:val="right"/>
              <w:rPr>
                <w:sz w:val="16"/>
                <w:szCs w:val="16"/>
                <w:lang w:val="en-US"/>
              </w:rPr>
            </w:pPr>
            <w:r w:rsidRPr="00AB3AE8">
              <w:rPr>
                <w:sz w:val="16"/>
                <w:szCs w:val="16"/>
                <w:lang w:val="en-US"/>
              </w:rPr>
              <w:t>40.7</w:t>
            </w:r>
          </w:p>
        </w:tc>
        <w:tc>
          <w:tcPr>
            <w:tcW w:w="236" w:type="dxa"/>
            <w:vAlign w:val="bottom"/>
          </w:tcPr>
          <w:p w14:paraId="0961DB13" w14:textId="77777777" w:rsidR="006B57D8" w:rsidRPr="00AB3AE8" w:rsidRDefault="006B57D8" w:rsidP="00922116">
            <w:pPr>
              <w:pStyle w:val="CellRowSpacer"/>
              <w:rPr>
                <w:sz w:val="16"/>
                <w:szCs w:val="16"/>
                <w:lang w:val="en-US"/>
              </w:rPr>
            </w:pPr>
          </w:p>
        </w:tc>
        <w:tc>
          <w:tcPr>
            <w:tcW w:w="794" w:type="dxa"/>
            <w:vAlign w:val="bottom"/>
          </w:tcPr>
          <w:p w14:paraId="0A1E1277" w14:textId="77777777" w:rsidR="006B57D8" w:rsidRPr="00AB3AE8" w:rsidRDefault="006B57D8" w:rsidP="00922116">
            <w:pPr>
              <w:pStyle w:val="VSmCellBody"/>
              <w:jc w:val="right"/>
              <w:rPr>
                <w:sz w:val="16"/>
                <w:szCs w:val="16"/>
                <w:lang w:val="en-US"/>
              </w:rPr>
            </w:pPr>
            <w:r w:rsidRPr="00AB3AE8">
              <w:rPr>
                <w:sz w:val="16"/>
                <w:szCs w:val="16"/>
                <w:lang w:val="en-US"/>
              </w:rPr>
              <w:t>14.5</w:t>
            </w:r>
          </w:p>
        </w:tc>
        <w:tc>
          <w:tcPr>
            <w:tcW w:w="236" w:type="dxa"/>
            <w:vAlign w:val="bottom"/>
          </w:tcPr>
          <w:p w14:paraId="3EB7194D" w14:textId="77777777" w:rsidR="006B57D8" w:rsidRPr="00AB3AE8" w:rsidRDefault="006B57D8" w:rsidP="00922116">
            <w:pPr>
              <w:pStyle w:val="CellRowSpacer"/>
              <w:rPr>
                <w:sz w:val="16"/>
                <w:szCs w:val="16"/>
                <w:lang w:val="en-US"/>
              </w:rPr>
            </w:pPr>
          </w:p>
        </w:tc>
        <w:tc>
          <w:tcPr>
            <w:tcW w:w="794" w:type="dxa"/>
            <w:vAlign w:val="bottom"/>
          </w:tcPr>
          <w:p w14:paraId="1152700C" w14:textId="77777777" w:rsidR="006B57D8" w:rsidRPr="00AB3AE8" w:rsidRDefault="006B57D8" w:rsidP="00922116">
            <w:pPr>
              <w:pStyle w:val="VSmCellBody"/>
              <w:jc w:val="right"/>
              <w:rPr>
                <w:sz w:val="16"/>
                <w:szCs w:val="16"/>
                <w:lang w:val="en-US"/>
              </w:rPr>
            </w:pPr>
            <w:r w:rsidRPr="00AB3AE8">
              <w:rPr>
                <w:sz w:val="16"/>
                <w:szCs w:val="16"/>
                <w:lang w:val="en-US"/>
              </w:rPr>
              <w:t>3.5</w:t>
            </w:r>
          </w:p>
        </w:tc>
        <w:tc>
          <w:tcPr>
            <w:tcW w:w="236" w:type="dxa"/>
            <w:vAlign w:val="bottom"/>
          </w:tcPr>
          <w:p w14:paraId="22A1445E" w14:textId="77777777" w:rsidR="006B57D8" w:rsidRPr="00AB3AE8" w:rsidRDefault="006B57D8" w:rsidP="00922116">
            <w:pPr>
              <w:pStyle w:val="CellRowSpacer"/>
              <w:rPr>
                <w:sz w:val="16"/>
                <w:szCs w:val="16"/>
                <w:lang w:val="en-US"/>
              </w:rPr>
            </w:pPr>
          </w:p>
        </w:tc>
        <w:tc>
          <w:tcPr>
            <w:tcW w:w="794" w:type="dxa"/>
            <w:vAlign w:val="bottom"/>
          </w:tcPr>
          <w:p w14:paraId="1FC892FB" w14:textId="77777777" w:rsidR="006B57D8" w:rsidRPr="00AB3AE8" w:rsidRDefault="006B57D8" w:rsidP="00922116">
            <w:pPr>
              <w:pStyle w:val="VSmCellBody"/>
              <w:jc w:val="right"/>
              <w:rPr>
                <w:sz w:val="16"/>
                <w:szCs w:val="16"/>
                <w:lang w:val="en-US"/>
              </w:rPr>
            </w:pPr>
            <w:r w:rsidRPr="00AB3AE8">
              <w:rPr>
                <w:sz w:val="16"/>
                <w:szCs w:val="16"/>
                <w:lang w:val="en-US"/>
              </w:rPr>
              <w:t>20.1</w:t>
            </w:r>
          </w:p>
        </w:tc>
        <w:tc>
          <w:tcPr>
            <w:tcW w:w="236" w:type="dxa"/>
            <w:vAlign w:val="bottom"/>
          </w:tcPr>
          <w:p w14:paraId="6CBB6FF0" w14:textId="77777777" w:rsidR="006B57D8" w:rsidRPr="00AB3AE8" w:rsidRDefault="006B57D8" w:rsidP="00922116">
            <w:pPr>
              <w:pStyle w:val="CellRowSpacer"/>
              <w:rPr>
                <w:sz w:val="16"/>
                <w:szCs w:val="16"/>
                <w:lang w:val="en-US"/>
              </w:rPr>
            </w:pPr>
          </w:p>
        </w:tc>
      </w:tr>
      <w:tr w:rsidR="006B57D8" w:rsidRPr="00AB3AE8" w14:paraId="2BEC78CA" w14:textId="77777777" w:rsidTr="00922116">
        <w:tc>
          <w:tcPr>
            <w:tcW w:w="1689" w:type="dxa"/>
            <w:vAlign w:val="bottom"/>
          </w:tcPr>
          <w:p w14:paraId="4E11F9AA" w14:textId="77777777" w:rsidR="006B57D8" w:rsidRPr="00AB3AE8" w:rsidRDefault="006B57D8" w:rsidP="00922116">
            <w:pPr>
              <w:pStyle w:val="VSmCellBody"/>
              <w:tabs>
                <w:tab w:val="right" w:leader="dot" w:pos="1689"/>
              </w:tabs>
              <w:rPr>
                <w:sz w:val="16"/>
                <w:szCs w:val="16"/>
                <w:lang w:val="en-US"/>
              </w:rPr>
            </w:pPr>
            <w:r w:rsidRPr="00AB3AE8">
              <w:rPr>
                <w:sz w:val="16"/>
                <w:szCs w:val="16"/>
                <w:lang w:val="en-US"/>
              </w:rPr>
              <w:t>80+ k Dwt</w:t>
            </w:r>
            <w:r w:rsidRPr="00AB3AE8">
              <w:rPr>
                <w:sz w:val="16"/>
                <w:szCs w:val="16"/>
                <w:lang w:val="en-US"/>
              </w:rPr>
              <w:tab/>
            </w:r>
          </w:p>
        </w:tc>
        <w:tc>
          <w:tcPr>
            <w:tcW w:w="236" w:type="dxa"/>
            <w:vAlign w:val="bottom"/>
          </w:tcPr>
          <w:p w14:paraId="22A3C24E" w14:textId="77777777" w:rsidR="006B57D8" w:rsidRPr="00AB3AE8" w:rsidRDefault="006B57D8" w:rsidP="00922116">
            <w:pPr>
              <w:pStyle w:val="CellRowSpacer"/>
              <w:rPr>
                <w:sz w:val="16"/>
                <w:szCs w:val="16"/>
                <w:lang w:val="en-US"/>
              </w:rPr>
            </w:pPr>
          </w:p>
        </w:tc>
        <w:tc>
          <w:tcPr>
            <w:tcW w:w="794" w:type="dxa"/>
            <w:vAlign w:val="bottom"/>
          </w:tcPr>
          <w:p w14:paraId="7F61F21D" w14:textId="77777777" w:rsidR="006B57D8" w:rsidRPr="00AB3AE8" w:rsidRDefault="006B57D8" w:rsidP="00922116">
            <w:pPr>
              <w:pStyle w:val="VSmCellBody"/>
              <w:jc w:val="right"/>
              <w:rPr>
                <w:sz w:val="16"/>
                <w:szCs w:val="16"/>
                <w:lang w:val="en-US"/>
              </w:rPr>
            </w:pPr>
            <w:r w:rsidRPr="00AB3AE8">
              <w:rPr>
                <w:sz w:val="16"/>
                <w:szCs w:val="16"/>
                <w:lang w:val="en-US"/>
              </w:rPr>
              <w:t>12.3</w:t>
            </w:r>
          </w:p>
        </w:tc>
        <w:tc>
          <w:tcPr>
            <w:tcW w:w="236" w:type="dxa"/>
            <w:vAlign w:val="bottom"/>
          </w:tcPr>
          <w:p w14:paraId="6B92432F" w14:textId="77777777" w:rsidR="006B57D8" w:rsidRPr="00AB3AE8" w:rsidRDefault="006B57D8" w:rsidP="00922116">
            <w:pPr>
              <w:pStyle w:val="CellRowSpacer"/>
              <w:rPr>
                <w:sz w:val="16"/>
                <w:szCs w:val="16"/>
                <w:lang w:val="en-US"/>
              </w:rPr>
            </w:pPr>
          </w:p>
        </w:tc>
        <w:tc>
          <w:tcPr>
            <w:tcW w:w="794" w:type="dxa"/>
            <w:vAlign w:val="bottom"/>
          </w:tcPr>
          <w:p w14:paraId="65285DA1" w14:textId="77777777" w:rsidR="006B57D8" w:rsidRPr="00AB3AE8" w:rsidRDefault="006B57D8" w:rsidP="00922116">
            <w:pPr>
              <w:pStyle w:val="VSmCellBody"/>
              <w:jc w:val="right"/>
              <w:rPr>
                <w:sz w:val="16"/>
                <w:szCs w:val="16"/>
                <w:lang w:val="en-US"/>
              </w:rPr>
            </w:pPr>
            <w:r w:rsidRPr="00AB3AE8">
              <w:rPr>
                <w:sz w:val="16"/>
                <w:szCs w:val="16"/>
                <w:lang w:val="en-US"/>
              </w:rPr>
              <w:t>17.7</w:t>
            </w:r>
          </w:p>
        </w:tc>
        <w:tc>
          <w:tcPr>
            <w:tcW w:w="236" w:type="dxa"/>
            <w:vAlign w:val="bottom"/>
          </w:tcPr>
          <w:p w14:paraId="589CD78F" w14:textId="77777777" w:rsidR="006B57D8" w:rsidRPr="00AB3AE8" w:rsidRDefault="006B57D8" w:rsidP="00922116">
            <w:pPr>
              <w:pStyle w:val="CellRowSpacer"/>
              <w:rPr>
                <w:sz w:val="16"/>
                <w:szCs w:val="16"/>
                <w:lang w:val="en-US"/>
              </w:rPr>
            </w:pPr>
          </w:p>
        </w:tc>
        <w:tc>
          <w:tcPr>
            <w:tcW w:w="794" w:type="dxa"/>
            <w:vAlign w:val="bottom"/>
          </w:tcPr>
          <w:p w14:paraId="14065C46" w14:textId="77777777" w:rsidR="006B57D8" w:rsidRPr="00AB3AE8" w:rsidRDefault="006B57D8" w:rsidP="00922116">
            <w:pPr>
              <w:pStyle w:val="VSmCellBody"/>
              <w:jc w:val="right"/>
              <w:rPr>
                <w:sz w:val="16"/>
                <w:szCs w:val="16"/>
                <w:lang w:val="en-US"/>
              </w:rPr>
            </w:pPr>
            <w:r w:rsidRPr="00AB3AE8">
              <w:rPr>
                <w:sz w:val="16"/>
                <w:szCs w:val="16"/>
                <w:lang w:val="en-US"/>
              </w:rPr>
              <w:t>9.0</w:t>
            </w:r>
          </w:p>
        </w:tc>
        <w:tc>
          <w:tcPr>
            <w:tcW w:w="236" w:type="dxa"/>
            <w:vAlign w:val="bottom"/>
          </w:tcPr>
          <w:p w14:paraId="530E9C4E" w14:textId="77777777" w:rsidR="006B57D8" w:rsidRPr="00AB3AE8" w:rsidRDefault="006B57D8" w:rsidP="00922116">
            <w:pPr>
              <w:pStyle w:val="CellRowSpacer"/>
              <w:rPr>
                <w:sz w:val="16"/>
                <w:szCs w:val="16"/>
                <w:lang w:val="en-US"/>
              </w:rPr>
            </w:pPr>
          </w:p>
        </w:tc>
        <w:tc>
          <w:tcPr>
            <w:tcW w:w="794" w:type="dxa"/>
            <w:vAlign w:val="bottom"/>
          </w:tcPr>
          <w:p w14:paraId="728F42FC" w14:textId="77777777" w:rsidR="006B57D8" w:rsidRPr="00AB3AE8" w:rsidRDefault="006B57D8" w:rsidP="00922116">
            <w:pPr>
              <w:pStyle w:val="VSmCellBody"/>
              <w:jc w:val="right"/>
              <w:rPr>
                <w:sz w:val="16"/>
                <w:szCs w:val="16"/>
                <w:lang w:val="en-US"/>
              </w:rPr>
            </w:pPr>
            <w:r w:rsidRPr="00AB3AE8">
              <w:rPr>
                <w:sz w:val="16"/>
                <w:szCs w:val="16"/>
                <w:lang w:val="en-US"/>
              </w:rPr>
              <w:t>11.7</w:t>
            </w:r>
          </w:p>
        </w:tc>
        <w:tc>
          <w:tcPr>
            <w:tcW w:w="236" w:type="dxa"/>
            <w:vAlign w:val="bottom"/>
          </w:tcPr>
          <w:p w14:paraId="7D09B7E7" w14:textId="77777777" w:rsidR="006B57D8" w:rsidRPr="00AB3AE8" w:rsidRDefault="006B57D8" w:rsidP="00922116">
            <w:pPr>
              <w:pStyle w:val="CellRowSpacer"/>
              <w:rPr>
                <w:sz w:val="16"/>
                <w:szCs w:val="16"/>
                <w:lang w:val="en-US"/>
              </w:rPr>
            </w:pPr>
          </w:p>
        </w:tc>
        <w:tc>
          <w:tcPr>
            <w:tcW w:w="794" w:type="dxa"/>
            <w:vAlign w:val="bottom"/>
          </w:tcPr>
          <w:p w14:paraId="78E10A95" w14:textId="77777777" w:rsidR="006B57D8" w:rsidRPr="00AB3AE8" w:rsidRDefault="006B57D8" w:rsidP="00922116">
            <w:pPr>
              <w:pStyle w:val="VSmCellBody"/>
              <w:jc w:val="right"/>
              <w:rPr>
                <w:sz w:val="16"/>
                <w:szCs w:val="16"/>
                <w:lang w:val="en-US"/>
              </w:rPr>
            </w:pPr>
            <w:r w:rsidRPr="00AB3AE8">
              <w:rPr>
                <w:sz w:val="16"/>
                <w:szCs w:val="16"/>
                <w:lang w:val="en-US"/>
              </w:rPr>
              <w:t>3.2</w:t>
            </w:r>
          </w:p>
        </w:tc>
        <w:tc>
          <w:tcPr>
            <w:tcW w:w="236" w:type="dxa"/>
            <w:vAlign w:val="bottom"/>
          </w:tcPr>
          <w:p w14:paraId="6C5FE518" w14:textId="77777777" w:rsidR="006B57D8" w:rsidRPr="00AB3AE8" w:rsidRDefault="006B57D8" w:rsidP="00922116">
            <w:pPr>
              <w:pStyle w:val="CellRowSpacer"/>
              <w:rPr>
                <w:sz w:val="16"/>
                <w:szCs w:val="16"/>
                <w:lang w:val="en-US"/>
              </w:rPr>
            </w:pPr>
          </w:p>
        </w:tc>
        <w:tc>
          <w:tcPr>
            <w:tcW w:w="794" w:type="dxa"/>
            <w:vAlign w:val="bottom"/>
          </w:tcPr>
          <w:p w14:paraId="35E4CA5F" w14:textId="77777777" w:rsidR="006B57D8" w:rsidRPr="00AB3AE8" w:rsidRDefault="006B57D8" w:rsidP="00922116">
            <w:pPr>
              <w:pStyle w:val="VSmCellBody"/>
              <w:jc w:val="right"/>
              <w:rPr>
                <w:sz w:val="16"/>
                <w:szCs w:val="16"/>
                <w:lang w:val="en-US"/>
              </w:rPr>
            </w:pPr>
            <w:r w:rsidRPr="00AB3AE8">
              <w:rPr>
                <w:sz w:val="16"/>
                <w:szCs w:val="16"/>
                <w:lang w:val="en-US"/>
              </w:rPr>
              <w:t>1.1</w:t>
            </w:r>
          </w:p>
        </w:tc>
        <w:tc>
          <w:tcPr>
            <w:tcW w:w="236" w:type="dxa"/>
            <w:vAlign w:val="bottom"/>
          </w:tcPr>
          <w:p w14:paraId="253473B5" w14:textId="77777777" w:rsidR="006B57D8" w:rsidRPr="00AB3AE8" w:rsidRDefault="006B57D8" w:rsidP="00922116">
            <w:pPr>
              <w:pStyle w:val="CellRowSpacer"/>
              <w:rPr>
                <w:sz w:val="16"/>
                <w:szCs w:val="16"/>
                <w:lang w:val="en-US"/>
              </w:rPr>
            </w:pPr>
          </w:p>
        </w:tc>
        <w:tc>
          <w:tcPr>
            <w:tcW w:w="794" w:type="dxa"/>
            <w:vAlign w:val="bottom"/>
          </w:tcPr>
          <w:p w14:paraId="6847AE62" w14:textId="77777777" w:rsidR="006B57D8" w:rsidRPr="00AB3AE8" w:rsidRDefault="006B57D8" w:rsidP="00922116">
            <w:pPr>
              <w:pStyle w:val="VSmCellBody"/>
              <w:jc w:val="right"/>
              <w:rPr>
                <w:sz w:val="16"/>
                <w:szCs w:val="16"/>
                <w:lang w:val="en-US"/>
              </w:rPr>
            </w:pPr>
            <w:r w:rsidRPr="00AB3AE8">
              <w:rPr>
                <w:sz w:val="16"/>
                <w:szCs w:val="16"/>
                <w:lang w:val="en-US"/>
              </w:rPr>
              <w:t>18.9</w:t>
            </w:r>
          </w:p>
        </w:tc>
        <w:tc>
          <w:tcPr>
            <w:tcW w:w="236" w:type="dxa"/>
            <w:vAlign w:val="bottom"/>
          </w:tcPr>
          <w:p w14:paraId="20F9D852" w14:textId="77777777" w:rsidR="006B57D8" w:rsidRPr="00AB3AE8" w:rsidRDefault="006B57D8" w:rsidP="00922116">
            <w:pPr>
              <w:pStyle w:val="CellRowSpacer"/>
              <w:rPr>
                <w:sz w:val="16"/>
                <w:szCs w:val="16"/>
                <w:lang w:val="en-US"/>
              </w:rPr>
            </w:pPr>
          </w:p>
        </w:tc>
      </w:tr>
    </w:tbl>
    <w:p w14:paraId="29E29D4C" w14:textId="77777777" w:rsidR="006B57D8" w:rsidRPr="00272B36" w:rsidRDefault="006B57D8" w:rsidP="00F87C1B">
      <w:pPr>
        <w:pStyle w:val="P68B1DB1-KeyMessage1"/>
        <w:spacing w:beforeLines="40" w:before="96" w:afterLines="40" w:after="96"/>
        <w:rPr>
          <w:rFonts w:ascii="Traditional Arabic" w:hAnsi="Traditional Arabic" w:cs="Traditional Arabic"/>
          <w:b w:val="0"/>
          <w:bCs/>
          <w:i/>
          <w:sz w:val="30"/>
          <w:szCs w:val="30"/>
        </w:rPr>
      </w:pPr>
    </w:p>
    <w:p w14:paraId="75B9441F" w14:textId="77777777" w:rsidR="00F87C1B" w:rsidRPr="00272B36" w:rsidRDefault="00F87C1B" w:rsidP="006B57D8">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 (البيانات حتى 30 نوفمبر 2024)</w:t>
      </w:r>
    </w:p>
    <w:p w14:paraId="5F775F7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لا شك أن إجمالي الأسطول يمنحنا مقياسًا واسعًا لحمولة الناقلات، إلا أنه تجدر الإشارة إلى أنه يمكن تقليل توفر الأسطول بسبب العوامل المتعلقة بالسوق. ويمكن أن تشمل هذه الحمولات المستخدمة للتخزين العائم المؤقت، أو تحديث المعدات (على سبيل المثال، أجهزة تنقية الغاز لإزالة الكبريت).</w:t>
      </w:r>
    </w:p>
    <w:p w14:paraId="0195F1A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وإلى جانب تغيير أنماط تجارة النفط، نجد أن حرب أوكرانيا وعواقبها أيضًا قد أدت إلى تغيير كبير في مشهد تأجير الناقلات. تحد السقوف السعرية لمجموعة السبع/الاتحاد الأوروبي على النفط الخام والمنتجات الروسية من استخدام الخدمات البحرية الموجودة في أوروبا بشكل أساسي وخدمات النقل البحري التي تنقل البضائع الروسية. كما ظهر أسطول "رمادي" أو أسطول "الظل" من الناقلات التي تسهل صادرات النفط الروسية، والتي تتميز بسفن قديمة ذات ملكية غير مؤكدة.</w:t>
      </w:r>
    </w:p>
    <w:p w14:paraId="70639D6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ملكية ناقلات النفط متنوعة وتنتشر عبر مجموعة واسعة من الشركات على مستوى العالم، من الشركات المملوكة للدولة إلى الشركات الكبيرة متعددة الجنسيات إلى المالكين المستقلين الأصغر. لدى دول مجلس التعاون الخليجي عدد من كبار مالكي الناقلات، بما في ذلك شركة أسياد للنقل البحري، وهناك ستة منهم في أفضل 100 من حيث عدد السفن. وبشكل عام، استمر أسطول دول مجلس التعاون الخليجي في النمو منذ عام 2017، حيث زاد بنحو 80 سفينة إلى أسطول يضم حوالي 450 سفينة في المجموع في عام 2024.</w:t>
      </w:r>
    </w:p>
    <w:p w14:paraId="389B6D0A"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سوق شحن الناقلات والأرباح</w:t>
      </w:r>
    </w:p>
    <w:p w14:paraId="3DB2E33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أرباح ناقلات النفط، ممثلة هنا بمعدلات إيجار لمدة عام واحد، متقلبة للغاية </w:t>
      </w:r>
      <w:r w:rsidRPr="00F87C1B">
        <w:rPr>
          <w:rFonts w:ascii="Traditional Arabic" w:hAnsi="Traditional Arabic" w:cs="Traditional Arabic"/>
          <w:sz w:val="30"/>
          <w:szCs w:val="30"/>
        </w:rPr>
        <w:pgNum/>
      </w:r>
      <w:r w:rsidRPr="00F87C1B">
        <w:rPr>
          <w:rFonts w:ascii="Traditional Arabic" w:hAnsi="Traditional Arabic" w:cs="Traditional Arabic"/>
          <w:sz w:val="30"/>
          <w:szCs w:val="30"/>
        </w:rPr>
        <w:t>بسبب التقلبات الرئيسية. وتشهد أرباح السوق الفورية في هذا القطاع تباينًا أكبر. تتوافق مستويات الذورة والمستويات الأدنى التي لوحظت على نطاق واسع مع معدل التوظيف، ويستخدم هذا لإسقاط توقعات الأرباح.</w:t>
      </w:r>
    </w:p>
    <w:p w14:paraId="12C2780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حيث كانت أرباح الناقلات في السنوات الأخيرة قوية للغاية، مع مكاسب سنوية كبيرة في عامي 2022 و 2023. ففي كثير من الحالات تكون هذه المستويات أعلى بكثير من المتوسط التاريخي، خاصة بالنسبة لمعدلات الإيجار بالمدة وقد ارتفعت هذه </w:t>
      </w:r>
      <w:r w:rsidRPr="00F87C1B">
        <w:rPr>
          <w:rFonts w:ascii="Traditional Arabic" w:hAnsi="Traditional Arabic" w:cs="Traditional Arabic"/>
          <w:sz w:val="30"/>
          <w:szCs w:val="30"/>
        </w:rPr>
        <w:lastRenderedPageBreak/>
        <w:t xml:space="preserve">الظروف في المقام الأول بسبب الصدمات العالمية الكبرى، والعواقب المرتبطة بالحرب في أوكرانيا، وأزمة قناة السويس/البحر الأحمر. وقد تغلب الطلب، مدعومًا بهذه العوامل، على العرض. وقد دفع هذا إلى ارتفاع أسعار السوق </w:t>
      </w:r>
      <w:r w:rsidRPr="00F87C1B">
        <w:rPr>
          <w:rFonts w:ascii="Traditional Arabic" w:hAnsi="Traditional Arabic" w:cs="Traditional Arabic"/>
          <w:sz w:val="30"/>
          <w:szCs w:val="30"/>
        </w:rPr>
        <w:pgNum/>
      </w:r>
      <w:r w:rsidRPr="00F87C1B">
        <w:rPr>
          <w:rFonts w:ascii="Traditional Arabic" w:hAnsi="Traditional Arabic" w:cs="Traditional Arabic"/>
          <w:sz w:val="30"/>
          <w:szCs w:val="30"/>
        </w:rPr>
        <w:t>الأساسية، أو معدل التوظيف، مما أدى إلى ارتفاع أرباح الناقلات.</w:t>
      </w:r>
    </w:p>
    <w:p w14:paraId="4982E12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وعلى المدى القريب، نتوقع أن يتباطأ نمو الطلب وأن ترتفع عمليات التسليم (من مستويات منخفضة جدًا في عام 2024)، مما يضع بعض الضغط </w:t>
      </w:r>
      <w:r w:rsidRPr="00F87C1B">
        <w:rPr>
          <w:rFonts w:ascii="Traditional Arabic" w:hAnsi="Traditional Arabic" w:cs="Traditional Arabic"/>
          <w:sz w:val="30"/>
          <w:szCs w:val="30"/>
        </w:rPr>
        <w:pgNum/>
      </w:r>
      <w:r w:rsidRPr="00F87C1B">
        <w:rPr>
          <w:rFonts w:ascii="Traditional Arabic" w:hAnsi="Traditional Arabic" w:cs="Traditional Arabic"/>
          <w:sz w:val="30"/>
          <w:szCs w:val="30"/>
        </w:rPr>
        <w:t xml:space="preserve">على السوق والأرباح. على جانب الطلب، سيعتمد ذلك، على سبيل المثال، على تباطؤ نمو الطلب العالمي على </w:t>
      </w:r>
      <w:r w:rsidRPr="00F87C1B">
        <w:rPr>
          <w:rFonts w:ascii="Traditional Arabic" w:hAnsi="Traditional Arabic" w:cs="Traditional Arabic"/>
          <w:sz w:val="30"/>
          <w:szCs w:val="30"/>
        </w:rPr>
        <w:pgNum/>
      </w:r>
      <w:r w:rsidRPr="00F87C1B">
        <w:rPr>
          <w:rFonts w:ascii="Traditional Arabic" w:hAnsi="Traditional Arabic" w:cs="Traditional Arabic"/>
          <w:sz w:val="30"/>
          <w:szCs w:val="30"/>
        </w:rPr>
        <w:t>النفط (أي العودة إلى الاستخدام الواسع النطاق) لقناة السويس في عام 2026.</w:t>
      </w:r>
    </w:p>
    <w:p w14:paraId="3D05969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وعلى المدى الطويل، نتوقع أن يستقر الطلب الأساسي على النفط ثم ينكمش نتيجة لانتقال الطاقة. وسيكون لذلك تأثير سلبي على نمو الطلب على الناقلات والذي سيهدأ في عام 2027 ثم يبدأ في الانكماش. ومع ذلك، فإن زيادة عمليات التخريد والأسطول المخفض سيعملان على دعم </w:t>
      </w:r>
      <w:r w:rsidRPr="00F87C1B">
        <w:rPr>
          <w:rFonts w:ascii="Traditional Arabic" w:hAnsi="Traditional Arabic" w:cs="Traditional Arabic"/>
          <w:sz w:val="30"/>
          <w:szCs w:val="30"/>
        </w:rPr>
        <w:pgNum/>
      </w:r>
      <w:r w:rsidRPr="00F87C1B">
        <w:rPr>
          <w:rFonts w:ascii="Traditional Arabic" w:hAnsi="Traditional Arabic" w:cs="Traditional Arabic"/>
          <w:sz w:val="30"/>
          <w:szCs w:val="30"/>
        </w:rPr>
        <w:t>الأرباح حتى مع تراجع الطلب.</w:t>
      </w:r>
    </w:p>
    <w:p w14:paraId="1A6F533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وتعد معدلات التخريد الأعلى أساسية لهذه التوقعات، وعلى الرغم من أن هذا النشاط قد تم تأجيله بسبب بيئة الأرباح المرتفعة في السنوات الأخيرة، ونقل الحمولة إلى الأسطول الرمادي، إلا أنه لا يمكن تأجيله إلى أجل غير مسمى.</w:t>
      </w:r>
    </w:p>
    <w:p w14:paraId="3BD7FA1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ونتيجة لذلك في الجزء الأخير من العقد الحالي، من المتوقع أن ينكمش الأسطول، مع انخفاض العرض المتاح بمعدل أسرع من الطلب، مما يؤدي إلى </w:t>
      </w:r>
      <w:r w:rsidRPr="00F87C1B">
        <w:rPr>
          <w:rFonts w:ascii="Traditional Arabic" w:hAnsi="Traditional Arabic" w:cs="Traditional Arabic"/>
          <w:sz w:val="30"/>
          <w:szCs w:val="30"/>
        </w:rPr>
        <w:pgNum/>
      </w:r>
      <w:r w:rsidRPr="00F87C1B">
        <w:rPr>
          <w:rFonts w:ascii="Traditional Arabic" w:hAnsi="Traditional Arabic" w:cs="Traditional Arabic"/>
          <w:sz w:val="30"/>
          <w:szCs w:val="30"/>
        </w:rPr>
        <w:t>، ثم زيادة في معدل التوظيف والذي بدوره يدعم أرباح ناقلات النفط.</w:t>
      </w:r>
    </w:p>
    <w:p w14:paraId="67A2E68D"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+10 آلاف طن للوزن الساكن من أساسيات سوق الناقلات *</w:t>
      </w:r>
    </w:p>
    <w:p w14:paraId="6F739C0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12074E15" wp14:editId="77EB1F9B">
            <wp:extent cx="3366735" cy="2199600"/>
            <wp:effectExtent l="0" t="0" r="5715" b="0"/>
            <wp:docPr id="803994041" name="Picture 34" descr="A graph with numbers and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94041" name="Picture 34" descr="A graph with numbers and lines  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41218C15" w14:textId="77777777" w:rsidTr="00922116">
        <w:tc>
          <w:tcPr>
            <w:tcW w:w="1440" w:type="dxa"/>
            <w:tcBorders>
              <w:top w:val="single" w:sz="4" w:space="0" w:color="auto"/>
            </w:tcBorders>
            <w:vAlign w:val="bottom"/>
          </w:tcPr>
          <w:p w14:paraId="41353BC4"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الملاحظات:</w:t>
            </w:r>
          </w:p>
        </w:tc>
        <w:tc>
          <w:tcPr>
            <w:tcW w:w="7599" w:type="dxa"/>
            <w:vAlign w:val="bottom"/>
          </w:tcPr>
          <w:p w14:paraId="3242A0DA"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2D36085A" w14:textId="77777777" w:rsidTr="00922116">
        <w:tc>
          <w:tcPr>
            <w:tcW w:w="9039" w:type="dxa"/>
            <w:gridSpan w:val="2"/>
            <w:vAlign w:val="bottom"/>
          </w:tcPr>
          <w:p w14:paraId="3F07E702" w14:textId="77777777" w:rsidR="00F87C1B" w:rsidRPr="00272B36" w:rsidRDefault="00F87C1B" w:rsidP="00922116">
            <w:pPr>
              <w:pStyle w:val="P68B1DB1-KeyMessage1"/>
              <w:numPr>
                <w:ilvl w:val="0"/>
                <w:numId w:val="33"/>
              </w:numPr>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 يتم عكس التغييرات في الأسطول لإظهار التأثير على معدل التشغيل بالنسبة للطلب</w:t>
            </w:r>
          </w:p>
        </w:tc>
      </w:tr>
      <w:tr w:rsidR="00F87C1B" w:rsidRPr="00272B36" w14:paraId="349A842C" w14:textId="77777777" w:rsidTr="00922116">
        <w:tc>
          <w:tcPr>
            <w:tcW w:w="9039" w:type="dxa"/>
            <w:gridSpan w:val="2"/>
            <w:vAlign w:val="bottom"/>
          </w:tcPr>
          <w:p w14:paraId="0CEB2942"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lastRenderedPageBreak/>
              <w:t>2024 إلى 2030 هي توقعات مستقبلية</w:t>
            </w:r>
          </w:p>
        </w:tc>
      </w:tr>
    </w:tbl>
    <w:p w14:paraId="26CD527E"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2DE282B1"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أسعار إيجار السفن المجهزة بالمدة لناقلة النفط الخام لمدة عام واحد</w:t>
      </w:r>
    </w:p>
    <w:p w14:paraId="65BC8EC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0BF5A6F8" wp14:editId="6A133EF9">
            <wp:extent cx="3366735" cy="2199600"/>
            <wp:effectExtent l="0" t="0" r="5715" b="0"/>
            <wp:docPr id="1367836708" name="Picture 35" descr="A graph with lines and number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36708" name="Picture 35" descr="A graph with lines and numbers  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71A4BF7B" w14:textId="77777777" w:rsidTr="00922116">
        <w:tc>
          <w:tcPr>
            <w:tcW w:w="1440" w:type="dxa"/>
            <w:tcBorders>
              <w:top w:val="single" w:sz="4" w:space="0" w:color="auto"/>
            </w:tcBorders>
            <w:vAlign w:val="bottom"/>
          </w:tcPr>
          <w:p w14:paraId="0DBD3C69"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الملاحظات:</w:t>
            </w:r>
          </w:p>
        </w:tc>
        <w:tc>
          <w:tcPr>
            <w:tcW w:w="7599" w:type="dxa"/>
            <w:vAlign w:val="bottom"/>
          </w:tcPr>
          <w:p w14:paraId="2FC347C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79E95EA0" w14:textId="77777777" w:rsidTr="00922116">
        <w:tc>
          <w:tcPr>
            <w:tcW w:w="9039" w:type="dxa"/>
            <w:gridSpan w:val="2"/>
            <w:vAlign w:val="bottom"/>
          </w:tcPr>
          <w:p w14:paraId="5852C200" w14:textId="77777777" w:rsidR="00F87C1B" w:rsidRPr="00272B36" w:rsidRDefault="00F87C1B" w:rsidP="00922116">
            <w:pPr>
              <w:pStyle w:val="P68B1DB1-KeyMessage1"/>
              <w:numPr>
                <w:ilvl w:val="0"/>
                <w:numId w:val="33"/>
              </w:numPr>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تشير الخطوط المتقطعة إلى المتوسطات خلال الفترة 2010-2030</w:t>
            </w:r>
          </w:p>
        </w:tc>
      </w:tr>
      <w:tr w:rsidR="00F87C1B" w:rsidRPr="00F87C1B" w14:paraId="18F1AC17" w14:textId="77777777" w:rsidTr="00922116">
        <w:tc>
          <w:tcPr>
            <w:tcW w:w="9039" w:type="dxa"/>
            <w:gridSpan w:val="2"/>
            <w:vAlign w:val="bottom"/>
          </w:tcPr>
          <w:p w14:paraId="08E01E28"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0A63B3BE"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 عدد من الوسطاء</w:t>
      </w:r>
    </w:p>
    <w:p w14:paraId="2DF33B25"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أسعار إيجار السفن المجهزة بالمدة لناقلة المنتجات لمدة عام واحد</w:t>
      </w:r>
    </w:p>
    <w:p w14:paraId="6730B9F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7F63D036" wp14:editId="3337AE31">
            <wp:extent cx="3366735" cy="2199600"/>
            <wp:effectExtent l="0" t="0" r="5715" b="0"/>
            <wp:docPr id="1861284984" name="Picture 36" descr="A graph with lines and number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84984" name="Picture 36" descr="A graph with lines and numbers  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51AFA9D6" w14:textId="77777777" w:rsidTr="00922116">
        <w:tc>
          <w:tcPr>
            <w:tcW w:w="1440" w:type="dxa"/>
            <w:tcBorders>
              <w:top w:val="single" w:sz="4" w:space="0" w:color="auto"/>
            </w:tcBorders>
            <w:vAlign w:val="bottom"/>
          </w:tcPr>
          <w:p w14:paraId="535BAD38"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الملاحظات:</w:t>
            </w:r>
          </w:p>
        </w:tc>
        <w:tc>
          <w:tcPr>
            <w:tcW w:w="7599" w:type="dxa"/>
            <w:vAlign w:val="bottom"/>
          </w:tcPr>
          <w:p w14:paraId="7F1131C7"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0E327F60" w14:textId="77777777" w:rsidTr="00922116">
        <w:tc>
          <w:tcPr>
            <w:tcW w:w="9039" w:type="dxa"/>
            <w:gridSpan w:val="2"/>
            <w:vAlign w:val="bottom"/>
          </w:tcPr>
          <w:p w14:paraId="5B134B09" w14:textId="77777777" w:rsidR="00F87C1B" w:rsidRPr="00272B36" w:rsidRDefault="00F87C1B" w:rsidP="00922116">
            <w:pPr>
              <w:pStyle w:val="P68B1DB1-KeyMessage1"/>
              <w:numPr>
                <w:ilvl w:val="0"/>
                <w:numId w:val="33"/>
              </w:numPr>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lastRenderedPageBreak/>
              <w:t>تشير الخطوط المتقطعة إلى المتوسطات خلال الفترة 2010-2030</w:t>
            </w:r>
          </w:p>
        </w:tc>
      </w:tr>
      <w:tr w:rsidR="00F87C1B" w:rsidRPr="00272B36" w14:paraId="27420782" w14:textId="77777777" w:rsidTr="00922116">
        <w:tc>
          <w:tcPr>
            <w:tcW w:w="9039" w:type="dxa"/>
            <w:gridSpan w:val="2"/>
            <w:vAlign w:val="bottom"/>
          </w:tcPr>
          <w:p w14:paraId="424D36F4"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2B26CA0A"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 عدد من الوسطاء</w:t>
      </w:r>
    </w:p>
    <w:p w14:paraId="0A21A3DF"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 xml:space="preserve">الرسم البياني: أرباح </w:t>
      </w:r>
      <w:r w:rsidR="00607B02">
        <w:rPr>
          <w:rFonts w:ascii="Traditional Arabic" w:hAnsi="Traditional Arabic" w:cs="Traditional Arabic"/>
          <w:b w:val="0"/>
          <w:bCs/>
          <w:sz w:val="30"/>
          <w:szCs w:val="30"/>
        </w:rPr>
        <w:t>نقل</w:t>
      </w:r>
      <w:r w:rsidRPr="00272B36">
        <w:rPr>
          <w:rFonts w:ascii="Traditional Arabic" w:hAnsi="Traditional Arabic" w:cs="Traditional Arabic"/>
          <w:b w:val="0"/>
          <w:bCs/>
          <w:sz w:val="30"/>
          <w:szCs w:val="30"/>
        </w:rPr>
        <w:t xml:space="preserve"> النفط الخام التاريخية</w:t>
      </w:r>
    </w:p>
    <w:p w14:paraId="47986B5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7A2249F7" wp14:editId="107C8377">
            <wp:extent cx="3366735" cy="2199600"/>
            <wp:effectExtent l="0" t="0" r="5715" b="0"/>
            <wp:docPr id="1632021806" name="Picture 29" descr="A graph of different colored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21806" name="Picture 29" descr="A graph of different colored lines  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p w14:paraId="3D5BC852"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 بورصة البلطيق، العديد من الوسطاء</w:t>
      </w:r>
    </w:p>
    <w:p w14:paraId="0520BD19"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 xml:space="preserve">الرسم البياني: أرباح </w:t>
      </w:r>
      <w:r w:rsidR="00607B02">
        <w:rPr>
          <w:rFonts w:ascii="Traditional Arabic" w:hAnsi="Traditional Arabic" w:cs="Traditional Arabic"/>
          <w:b w:val="0"/>
          <w:bCs/>
          <w:sz w:val="30"/>
          <w:szCs w:val="30"/>
        </w:rPr>
        <w:t>نقل</w:t>
      </w:r>
      <w:r w:rsidRPr="00272B36">
        <w:rPr>
          <w:rFonts w:ascii="Traditional Arabic" w:hAnsi="Traditional Arabic" w:cs="Traditional Arabic"/>
          <w:b w:val="0"/>
          <w:bCs/>
          <w:sz w:val="30"/>
          <w:szCs w:val="30"/>
        </w:rPr>
        <w:t xml:space="preserve"> المنتجات التاريخية</w:t>
      </w:r>
    </w:p>
    <w:p w14:paraId="54030A4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13CC3417" wp14:editId="1BF71140">
            <wp:extent cx="3366735" cy="2199600"/>
            <wp:effectExtent l="0" t="0" r="5715" b="0"/>
            <wp:docPr id="859874086" name="Picture 31" descr="A graph with lines and number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874086" name="Picture 31" descr="A graph with lines and numbers  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p w14:paraId="13AD0C80" w14:textId="77777777" w:rsidR="00F87C1B" w:rsidRPr="00272B36" w:rsidRDefault="00F87C1B" w:rsidP="00F87C1B">
      <w:pPr>
        <w:pStyle w:val="P68B1DB1-KeyMessage1"/>
        <w:spacing w:beforeLines="40" w:before="96" w:afterLines="40" w:after="96"/>
        <w:rPr>
          <w:rFonts w:ascii="Traditional Arabic" w:hAnsi="Traditional Arabic" w:cs="Traditional Arabic"/>
          <w:i/>
          <w:iCs/>
          <w:sz w:val="24"/>
          <w:szCs w:val="24"/>
        </w:rPr>
      </w:pPr>
      <w:r w:rsidRPr="00272B36">
        <w:rPr>
          <w:rFonts w:ascii="Traditional Arabic" w:hAnsi="Traditional Arabic" w:cs="Traditional Arabic"/>
          <w:i/>
          <w:iCs/>
          <w:sz w:val="24"/>
          <w:szCs w:val="24"/>
        </w:rPr>
        <w:t>المصدر: مستشار السوق للربع الرابع لعام 2024 الحالة الأساسية، بورصة البلطيق، العديد من الوسطاء</w:t>
      </w:r>
    </w:p>
    <w:p w14:paraId="70C5366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البضائع السائبة الجافة</w:t>
      </w:r>
    </w:p>
    <w:p w14:paraId="58C51E8E"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نظرة عامة على السوق</w:t>
      </w:r>
    </w:p>
    <w:p w14:paraId="1D32014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تشمل البضائع السائبة الجافة مجموعة واسعة من المواد الخام والمواد التي مرت بمراحل من المعالجة والتصنيع، والتي تصنف عادة إلى أربع مجموعات: خام الحديد والفحم والحبوب والسلع الثانوية. وأهمها: خام الحديد والفحم والحبوب، والتي تمثل مجتمعة ما يقرب من ثلثي إجمالي تجارة البضائع السائبة الجافة. تشمل السلع الثانوية سلعًا مختلفة مثل المنتجات الزراعية (مثل الأسمدة) ومنتجات الصلب والمنتجات المستخرجة من الغابات والمعادن والأسمنت والمعادن.</w:t>
      </w:r>
    </w:p>
    <w:p w14:paraId="2267FCE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يمكن نقل البضائع السائبة الجافة بواسطة سفن مختلفة الأحجام، مما يؤدي إلى ارتباطات متبادلة عالية للأرباح عبر أحجام السفن. قام مستشار السوق بتقسيم أسطول البضائع السائبة الجافة إلى نطاقات الحجم التالية حسب سعة الحمولة الساكنة:</w:t>
      </w:r>
    </w:p>
    <w:p w14:paraId="0A5CEF6D"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الجدول: أنواع وأحجام السفن السائبة الجافة</w:t>
      </w:r>
    </w:p>
    <w:tbl>
      <w:tblPr>
        <w:tblStyle w:val="TableGrid"/>
        <w:tblW w:w="9048"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0"/>
        <w:gridCol w:w="236"/>
        <w:gridCol w:w="2880"/>
        <w:gridCol w:w="236"/>
        <w:gridCol w:w="2816"/>
      </w:tblGrid>
      <w:tr w:rsidR="006B57D8" w:rsidRPr="0032117C" w14:paraId="7AE8CCB3" w14:textId="77777777" w:rsidTr="00922116">
        <w:tc>
          <w:tcPr>
            <w:tcW w:w="2880" w:type="dxa"/>
            <w:tcBorders>
              <w:bottom w:val="single" w:sz="4" w:space="0" w:color="auto"/>
            </w:tcBorders>
            <w:vAlign w:val="bottom"/>
          </w:tcPr>
          <w:p w14:paraId="2A59D81B" w14:textId="77777777" w:rsidR="006B57D8" w:rsidRPr="0032117C" w:rsidRDefault="006B57D8" w:rsidP="00922116">
            <w:pPr>
              <w:pStyle w:val="CellHead"/>
              <w:rPr>
                <w:sz w:val="16"/>
                <w:szCs w:val="16"/>
              </w:rPr>
            </w:pPr>
            <w:r w:rsidRPr="0032117C">
              <w:rPr>
                <w:sz w:val="16"/>
                <w:szCs w:val="16"/>
              </w:rPr>
              <w:t>Vessel Class</w:t>
            </w:r>
          </w:p>
        </w:tc>
        <w:tc>
          <w:tcPr>
            <w:tcW w:w="236" w:type="dxa"/>
            <w:tcBorders>
              <w:left w:val="nil"/>
            </w:tcBorders>
            <w:vAlign w:val="bottom"/>
          </w:tcPr>
          <w:p w14:paraId="53C43D6D" w14:textId="77777777" w:rsidR="006B57D8" w:rsidRPr="0032117C" w:rsidRDefault="006B57D8" w:rsidP="00922116">
            <w:pPr>
              <w:pStyle w:val="CellHead"/>
              <w:rPr>
                <w:sz w:val="16"/>
                <w:szCs w:val="16"/>
              </w:rPr>
            </w:pPr>
          </w:p>
        </w:tc>
        <w:tc>
          <w:tcPr>
            <w:tcW w:w="2880" w:type="dxa"/>
            <w:tcBorders>
              <w:bottom w:val="single" w:sz="4" w:space="0" w:color="auto"/>
            </w:tcBorders>
            <w:vAlign w:val="bottom"/>
          </w:tcPr>
          <w:p w14:paraId="2A757297" w14:textId="77777777" w:rsidR="006B57D8" w:rsidRPr="0032117C" w:rsidRDefault="006B57D8" w:rsidP="00922116">
            <w:pPr>
              <w:pStyle w:val="CellHead"/>
              <w:rPr>
                <w:sz w:val="16"/>
                <w:szCs w:val="16"/>
              </w:rPr>
            </w:pPr>
            <w:r w:rsidRPr="0032117C">
              <w:rPr>
                <w:sz w:val="16"/>
                <w:szCs w:val="16"/>
              </w:rPr>
              <w:t>Geared/Gearless</w:t>
            </w:r>
          </w:p>
        </w:tc>
        <w:tc>
          <w:tcPr>
            <w:tcW w:w="236" w:type="dxa"/>
            <w:vAlign w:val="bottom"/>
          </w:tcPr>
          <w:p w14:paraId="76B9C539" w14:textId="77777777" w:rsidR="006B57D8" w:rsidRPr="0032117C" w:rsidRDefault="006B57D8" w:rsidP="00922116">
            <w:pPr>
              <w:pStyle w:val="CellHead"/>
              <w:rPr>
                <w:sz w:val="16"/>
                <w:szCs w:val="16"/>
              </w:rPr>
            </w:pPr>
          </w:p>
        </w:tc>
        <w:tc>
          <w:tcPr>
            <w:tcW w:w="2816" w:type="dxa"/>
            <w:tcBorders>
              <w:bottom w:val="single" w:sz="4" w:space="0" w:color="auto"/>
            </w:tcBorders>
            <w:vAlign w:val="bottom"/>
          </w:tcPr>
          <w:p w14:paraId="4FD008A7" w14:textId="77777777" w:rsidR="006B57D8" w:rsidRPr="0032117C" w:rsidRDefault="006B57D8" w:rsidP="00922116">
            <w:pPr>
              <w:pStyle w:val="CellHead"/>
              <w:rPr>
                <w:sz w:val="16"/>
                <w:szCs w:val="16"/>
              </w:rPr>
            </w:pPr>
            <w:r w:rsidRPr="0032117C">
              <w:rPr>
                <w:sz w:val="16"/>
                <w:szCs w:val="16"/>
              </w:rPr>
              <w:t>Approximate Size</w:t>
            </w:r>
          </w:p>
        </w:tc>
      </w:tr>
      <w:tr w:rsidR="006B57D8" w:rsidRPr="0032117C" w14:paraId="695AC842" w14:textId="77777777" w:rsidTr="00922116">
        <w:tc>
          <w:tcPr>
            <w:tcW w:w="2880" w:type="dxa"/>
            <w:vAlign w:val="center"/>
          </w:tcPr>
          <w:p w14:paraId="5001EDA8" w14:textId="77777777" w:rsidR="006B57D8" w:rsidRPr="0032117C" w:rsidRDefault="006B57D8" w:rsidP="00922116">
            <w:pPr>
              <w:pStyle w:val="CellBody"/>
              <w:rPr>
                <w:sz w:val="16"/>
                <w:szCs w:val="16"/>
              </w:rPr>
            </w:pPr>
            <w:proofErr w:type="spellStart"/>
            <w:r w:rsidRPr="0032117C">
              <w:rPr>
                <w:sz w:val="16"/>
                <w:szCs w:val="16"/>
              </w:rPr>
              <w:t>Capesize</w:t>
            </w:r>
            <w:proofErr w:type="spellEnd"/>
          </w:p>
        </w:tc>
        <w:tc>
          <w:tcPr>
            <w:tcW w:w="236" w:type="dxa"/>
            <w:tcBorders>
              <w:left w:val="nil"/>
            </w:tcBorders>
          </w:tcPr>
          <w:p w14:paraId="75071EF8" w14:textId="77777777" w:rsidR="006B57D8" w:rsidRPr="0032117C" w:rsidRDefault="006B57D8" w:rsidP="00922116">
            <w:pPr>
              <w:pStyle w:val="CellBody"/>
              <w:rPr>
                <w:sz w:val="16"/>
                <w:szCs w:val="16"/>
              </w:rPr>
            </w:pPr>
          </w:p>
        </w:tc>
        <w:tc>
          <w:tcPr>
            <w:tcW w:w="2880" w:type="dxa"/>
            <w:vAlign w:val="center"/>
          </w:tcPr>
          <w:p w14:paraId="2D3C013D" w14:textId="77777777" w:rsidR="006B57D8" w:rsidRPr="0032117C" w:rsidRDefault="006B57D8" w:rsidP="00922116">
            <w:pPr>
              <w:pStyle w:val="CellBody"/>
              <w:rPr>
                <w:sz w:val="16"/>
                <w:szCs w:val="16"/>
              </w:rPr>
            </w:pPr>
            <w:r w:rsidRPr="0032117C">
              <w:rPr>
                <w:sz w:val="16"/>
                <w:szCs w:val="16"/>
              </w:rPr>
              <w:t>Gearless</w:t>
            </w:r>
          </w:p>
        </w:tc>
        <w:tc>
          <w:tcPr>
            <w:tcW w:w="236" w:type="dxa"/>
          </w:tcPr>
          <w:p w14:paraId="72083F6C" w14:textId="77777777" w:rsidR="006B57D8" w:rsidRPr="0032117C" w:rsidRDefault="006B57D8" w:rsidP="00922116">
            <w:pPr>
              <w:pStyle w:val="CellBody"/>
              <w:rPr>
                <w:sz w:val="16"/>
                <w:szCs w:val="16"/>
              </w:rPr>
            </w:pPr>
          </w:p>
        </w:tc>
        <w:tc>
          <w:tcPr>
            <w:tcW w:w="2816" w:type="dxa"/>
            <w:vAlign w:val="center"/>
          </w:tcPr>
          <w:p w14:paraId="41761044" w14:textId="77777777" w:rsidR="006B57D8" w:rsidRPr="0032117C" w:rsidRDefault="006B57D8" w:rsidP="00922116">
            <w:pPr>
              <w:pStyle w:val="CellBody"/>
              <w:rPr>
                <w:sz w:val="16"/>
                <w:szCs w:val="16"/>
              </w:rPr>
            </w:pPr>
            <w:r w:rsidRPr="0032117C">
              <w:rPr>
                <w:sz w:val="16"/>
                <w:szCs w:val="16"/>
              </w:rPr>
              <w:t>&gt;120,000 Dwt</w:t>
            </w:r>
          </w:p>
        </w:tc>
      </w:tr>
      <w:tr w:rsidR="006B57D8" w:rsidRPr="0032117C" w14:paraId="45B32A48" w14:textId="77777777" w:rsidTr="00922116">
        <w:tc>
          <w:tcPr>
            <w:tcW w:w="2880" w:type="dxa"/>
            <w:vAlign w:val="center"/>
          </w:tcPr>
          <w:p w14:paraId="5AC177B9" w14:textId="77777777" w:rsidR="006B57D8" w:rsidRPr="0032117C" w:rsidRDefault="006B57D8" w:rsidP="00922116">
            <w:pPr>
              <w:pStyle w:val="CellBody"/>
              <w:rPr>
                <w:sz w:val="16"/>
                <w:szCs w:val="16"/>
              </w:rPr>
            </w:pPr>
            <w:r w:rsidRPr="0032117C">
              <w:rPr>
                <w:sz w:val="16"/>
                <w:szCs w:val="16"/>
              </w:rPr>
              <w:t>Panamax</w:t>
            </w:r>
          </w:p>
        </w:tc>
        <w:tc>
          <w:tcPr>
            <w:tcW w:w="236" w:type="dxa"/>
            <w:tcBorders>
              <w:left w:val="nil"/>
            </w:tcBorders>
          </w:tcPr>
          <w:p w14:paraId="4B1AD5B0" w14:textId="77777777" w:rsidR="006B57D8" w:rsidRPr="0032117C" w:rsidRDefault="006B57D8" w:rsidP="00922116">
            <w:pPr>
              <w:pStyle w:val="CellBody"/>
              <w:rPr>
                <w:sz w:val="16"/>
                <w:szCs w:val="16"/>
              </w:rPr>
            </w:pPr>
          </w:p>
        </w:tc>
        <w:tc>
          <w:tcPr>
            <w:tcW w:w="2880" w:type="dxa"/>
            <w:vAlign w:val="center"/>
          </w:tcPr>
          <w:p w14:paraId="5F84A6D7" w14:textId="77777777" w:rsidR="006B57D8" w:rsidRPr="0032117C" w:rsidRDefault="006B57D8" w:rsidP="00922116">
            <w:pPr>
              <w:pStyle w:val="CellBody"/>
              <w:rPr>
                <w:sz w:val="16"/>
                <w:szCs w:val="16"/>
              </w:rPr>
            </w:pPr>
            <w:r w:rsidRPr="0032117C">
              <w:rPr>
                <w:sz w:val="16"/>
                <w:szCs w:val="16"/>
              </w:rPr>
              <w:t>Gearless</w:t>
            </w:r>
          </w:p>
        </w:tc>
        <w:tc>
          <w:tcPr>
            <w:tcW w:w="236" w:type="dxa"/>
          </w:tcPr>
          <w:p w14:paraId="7F016124" w14:textId="77777777" w:rsidR="006B57D8" w:rsidRPr="0032117C" w:rsidRDefault="006B57D8" w:rsidP="00922116">
            <w:pPr>
              <w:pStyle w:val="CellBody"/>
              <w:rPr>
                <w:sz w:val="16"/>
                <w:szCs w:val="16"/>
              </w:rPr>
            </w:pPr>
          </w:p>
        </w:tc>
        <w:tc>
          <w:tcPr>
            <w:tcW w:w="2816" w:type="dxa"/>
            <w:vAlign w:val="center"/>
          </w:tcPr>
          <w:p w14:paraId="72F89684" w14:textId="77777777" w:rsidR="006B57D8" w:rsidRPr="0032117C" w:rsidRDefault="006B57D8" w:rsidP="00922116">
            <w:pPr>
              <w:pStyle w:val="CellBody"/>
              <w:rPr>
                <w:sz w:val="16"/>
                <w:szCs w:val="16"/>
              </w:rPr>
            </w:pPr>
            <w:r w:rsidRPr="0032117C">
              <w:rPr>
                <w:sz w:val="16"/>
                <w:szCs w:val="16"/>
              </w:rPr>
              <w:t>65-120,000 Dwt</w:t>
            </w:r>
          </w:p>
        </w:tc>
      </w:tr>
      <w:tr w:rsidR="006B57D8" w:rsidRPr="0032117C" w14:paraId="645C6B99" w14:textId="77777777" w:rsidTr="00922116">
        <w:tc>
          <w:tcPr>
            <w:tcW w:w="2880" w:type="dxa"/>
            <w:vAlign w:val="center"/>
          </w:tcPr>
          <w:p w14:paraId="0569EE64" w14:textId="77777777" w:rsidR="006B57D8" w:rsidRPr="0032117C" w:rsidRDefault="006B57D8" w:rsidP="00922116">
            <w:pPr>
              <w:pStyle w:val="CellBody"/>
              <w:rPr>
                <w:sz w:val="16"/>
                <w:szCs w:val="16"/>
              </w:rPr>
            </w:pPr>
            <w:r w:rsidRPr="0032117C">
              <w:rPr>
                <w:sz w:val="16"/>
                <w:szCs w:val="16"/>
              </w:rPr>
              <w:t>Handymax</w:t>
            </w:r>
          </w:p>
        </w:tc>
        <w:tc>
          <w:tcPr>
            <w:tcW w:w="236" w:type="dxa"/>
            <w:tcBorders>
              <w:left w:val="nil"/>
            </w:tcBorders>
          </w:tcPr>
          <w:p w14:paraId="4BEB2AD3" w14:textId="77777777" w:rsidR="006B57D8" w:rsidRPr="0032117C" w:rsidRDefault="006B57D8" w:rsidP="00922116">
            <w:pPr>
              <w:pStyle w:val="CellBody"/>
              <w:rPr>
                <w:sz w:val="16"/>
                <w:szCs w:val="16"/>
              </w:rPr>
            </w:pPr>
          </w:p>
        </w:tc>
        <w:tc>
          <w:tcPr>
            <w:tcW w:w="2880" w:type="dxa"/>
            <w:vAlign w:val="center"/>
          </w:tcPr>
          <w:p w14:paraId="17D6B8D9" w14:textId="77777777" w:rsidR="006B57D8" w:rsidRPr="0032117C" w:rsidRDefault="006B57D8" w:rsidP="00922116">
            <w:pPr>
              <w:pStyle w:val="CellBody"/>
              <w:rPr>
                <w:sz w:val="16"/>
                <w:szCs w:val="16"/>
              </w:rPr>
            </w:pPr>
            <w:r w:rsidRPr="0032117C">
              <w:rPr>
                <w:sz w:val="16"/>
                <w:szCs w:val="16"/>
              </w:rPr>
              <w:t>Geared</w:t>
            </w:r>
          </w:p>
        </w:tc>
        <w:tc>
          <w:tcPr>
            <w:tcW w:w="236" w:type="dxa"/>
          </w:tcPr>
          <w:p w14:paraId="237E084B" w14:textId="77777777" w:rsidR="006B57D8" w:rsidRPr="0032117C" w:rsidRDefault="006B57D8" w:rsidP="00922116">
            <w:pPr>
              <w:pStyle w:val="CellBody"/>
              <w:rPr>
                <w:sz w:val="16"/>
                <w:szCs w:val="16"/>
              </w:rPr>
            </w:pPr>
          </w:p>
        </w:tc>
        <w:tc>
          <w:tcPr>
            <w:tcW w:w="2816" w:type="dxa"/>
            <w:vAlign w:val="center"/>
          </w:tcPr>
          <w:p w14:paraId="3510E636" w14:textId="77777777" w:rsidR="006B57D8" w:rsidRPr="0032117C" w:rsidRDefault="006B57D8" w:rsidP="00922116">
            <w:pPr>
              <w:pStyle w:val="CellBody"/>
              <w:rPr>
                <w:sz w:val="16"/>
                <w:szCs w:val="16"/>
              </w:rPr>
            </w:pPr>
            <w:r w:rsidRPr="0032117C">
              <w:rPr>
                <w:sz w:val="16"/>
                <w:szCs w:val="16"/>
              </w:rPr>
              <w:t>40-65,000 Dwt</w:t>
            </w:r>
          </w:p>
        </w:tc>
      </w:tr>
      <w:tr w:rsidR="006B57D8" w:rsidRPr="0032117C" w14:paraId="2BB8A1BE" w14:textId="77777777" w:rsidTr="00922116">
        <w:tc>
          <w:tcPr>
            <w:tcW w:w="2880" w:type="dxa"/>
            <w:vAlign w:val="center"/>
          </w:tcPr>
          <w:p w14:paraId="4898BF72" w14:textId="77777777" w:rsidR="006B57D8" w:rsidRPr="0032117C" w:rsidRDefault="006B57D8" w:rsidP="00922116">
            <w:pPr>
              <w:pStyle w:val="CellBody"/>
              <w:rPr>
                <w:sz w:val="16"/>
                <w:szCs w:val="16"/>
              </w:rPr>
            </w:pPr>
            <w:proofErr w:type="spellStart"/>
            <w:r w:rsidRPr="0032117C">
              <w:rPr>
                <w:sz w:val="16"/>
                <w:szCs w:val="16"/>
              </w:rPr>
              <w:t>Handysize</w:t>
            </w:r>
            <w:proofErr w:type="spellEnd"/>
          </w:p>
        </w:tc>
        <w:tc>
          <w:tcPr>
            <w:tcW w:w="236" w:type="dxa"/>
            <w:tcBorders>
              <w:left w:val="nil"/>
            </w:tcBorders>
          </w:tcPr>
          <w:p w14:paraId="26F563B7" w14:textId="77777777" w:rsidR="006B57D8" w:rsidRPr="0032117C" w:rsidRDefault="006B57D8" w:rsidP="00922116">
            <w:pPr>
              <w:pStyle w:val="CellBody"/>
              <w:rPr>
                <w:sz w:val="16"/>
                <w:szCs w:val="16"/>
              </w:rPr>
            </w:pPr>
          </w:p>
        </w:tc>
        <w:tc>
          <w:tcPr>
            <w:tcW w:w="2880" w:type="dxa"/>
            <w:vAlign w:val="center"/>
          </w:tcPr>
          <w:p w14:paraId="2EFF1B27" w14:textId="77777777" w:rsidR="006B57D8" w:rsidRPr="0032117C" w:rsidRDefault="006B57D8" w:rsidP="00922116">
            <w:pPr>
              <w:pStyle w:val="CellBody"/>
              <w:rPr>
                <w:sz w:val="16"/>
                <w:szCs w:val="16"/>
              </w:rPr>
            </w:pPr>
            <w:r w:rsidRPr="0032117C">
              <w:rPr>
                <w:sz w:val="16"/>
                <w:szCs w:val="16"/>
              </w:rPr>
              <w:t>Geared</w:t>
            </w:r>
          </w:p>
        </w:tc>
        <w:tc>
          <w:tcPr>
            <w:tcW w:w="236" w:type="dxa"/>
          </w:tcPr>
          <w:p w14:paraId="0BC17F70" w14:textId="77777777" w:rsidR="006B57D8" w:rsidRPr="0032117C" w:rsidRDefault="006B57D8" w:rsidP="00922116">
            <w:pPr>
              <w:pStyle w:val="CellBody"/>
              <w:rPr>
                <w:sz w:val="16"/>
                <w:szCs w:val="16"/>
              </w:rPr>
            </w:pPr>
          </w:p>
        </w:tc>
        <w:tc>
          <w:tcPr>
            <w:tcW w:w="2816" w:type="dxa"/>
            <w:vAlign w:val="center"/>
          </w:tcPr>
          <w:p w14:paraId="19429E1E" w14:textId="77777777" w:rsidR="006B57D8" w:rsidRPr="0032117C" w:rsidRDefault="006B57D8" w:rsidP="00922116">
            <w:pPr>
              <w:pStyle w:val="CellBody"/>
              <w:rPr>
                <w:sz w:val="16"/>
                <w:szCs w:val="16"/>
              </w:rPr>
            </w:pPr>
            <w:r w:rsidRPr="0032117C">
              <w:rPr>
                <w:sz w:val="16"/>
                <w:szCs w:val="16"/>
              </w:rPr>
              <w:t>10-40,000 Dwt</w:t>
            </w:r>
          </w:p>
        </w:tc>
      </w:tr>
    </w:tbl>
    <w:p w14:paraId="6521BC61" w14:textId="77777777" w:rsidR="006B57D8" w:rsidRDefault="006B57D8" w:rsidP="00F87C1B">
      <w:pPr>
        <w:pStyle w:val="P68B1DB1-KeyMessage1"/>
        <w:spacing w:beforeLines="40" w:before="96" w:afterLines="40" w:after="96"/>
        <w:rPr>
          <w:rFonts w:ascii="Traditional Arabic" w:hAnsi="Traditional Arabic" w:cs="Traditional Arabic"/>
          <w:i/>
          <w:sz w:val="30"/>
          <w:szCs w:val="30"/>
        </w:rPr>
      </w:pPr>
    </w:p>
    <w:p w14:paraId="5A44C495" w14:textId="77777777" w:rsidR="00F87C1B" w:rsidRPr="00272B36" w:rsidRDefault="00F87C1B" w:rsidP="006B57D8">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w:t>
      </w:r>
    </w:p>
    <w:p w14:paraId="1B365ED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إن أسطول ناقلات البضائع السائبة الجافة العالمية مجزأ للغاية، حيث يمتلك أكبر مالك مستفيد أقل من 3 في المائة من قدرة الأسطول العالمية. ومن الناحية الجغرافية، تتركز الملكية النفعية في الصين واليونان واليابان، والتي تمثل مجتمعة حوالي 20 في المائة من قدرة الأسطول العالمية.</w:t>
      </w:r>
    </w:p>
    <w:p w14:paraId="0FE07E3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تمتلك/تستأجر أسياد </w:t>
      </w:r>
      <w:r w:rsidR="00051860">
        <w:rPr>
          <w:rFonts w:ascii="Traditional Arabic" w:hAnsi="Traditional Arabic" w:cs="Traditional Arabic" w:hint="cs"/>
          <w:sz w:val="30"/>
          <w:szCs w:val="30"/>
        </w:rPr>
        <w:t>18</w:t>
      </w:r>
      <w:r w:rsidR="00051860" w:rsidRPr="00F87C1B">
        <w:rPr>
          <w:rFonts w:ascii="Traditional Arabic" w:hAnsi="Traditional Arabic" w:cs="Traditional Arabic"/>
          <w:sz w:val="30"/>
          <w:szCs w:val="30"/>
        </w:rPr>
        <w:t xml:space="preserve"> </w:t>
      </w:r>
      <w:r w:rsidRPr="00F87C1B">
        <w:rPr>
          <w:rFonts w:ascii="Traditional Arabic" w:hAnsi="Traditional Arabic" w:cs="Traditional Arabic"/>
          <w:sz w:val="30"/>
          <w:szCs w:val="30"/>
        </w:rPr>
        <w:t>ناقلة سوائب جافة، تتكون من سف</w:t>
      </w:r>
      <w:r w:rsidR="00392C56">
        <w:rPr>
          <w:rFonts w:ascii="Traditional Arabic" w:hAnsi="Traditional Arabic" w:cs="Traditional Arabic" w:hint="cs"/>
          <w:sz w:val="30"/>
          <w:szCs w:val="30"/>
        </w:rPr>
        <w:t>ي</w:t>
      </w:r>
      <w:r w:rsidRPr="00F87C1B">
        <w:rPr>
          <w:rFonts w:ascii="Traditional Arabic" w:hAnsi="Traditional Arabic" w:cs="Traditional Arabic"/>
          <w:sz w:val="30"/>
          <w:szCs w:val="30"/>
        </w:rPr>
        <w:t>ن</w:t>
      </w:r>
      <w:r w:rsidR="00392C56">
        <w:rPr>
          <w:rFonts w:ascii="Traditional Arabic" w:hAnsi="Traditional Arabic" w:cs="Traditional Arabic" w:hint="cs"/>
          <w:sz w:val="30"/>
          <w:szCs w:val="30"/>
        </w:rPr>
        <w:t>ة</w:t>
      </w:r>
      <w:r w:rsidRPr="00F87C1B">
        <w:rPr>
          <w:rFonts w:ascii="Traditional Arabic" w:hAnsi="Traditional Arabic" w:cs="Traditional Arabic"/>
          <w:sz w:val="30"/>
          <w:szCs w:val="30"/>
        </w:rPr>
        <w:t xml:space="preserve"> بحجم كبير جدا (جميع ناقلات النفط العملاقة التي تبلغ حمولتها 400 كيلو طن من الوزن الساكن)، و سف</w:t>
      </w:r>
      <w:r w:rsidR="00DD1744">
        <w:rPr>
          <w:rFonts w:ascii="Traditional Arabic" w:hAnsi="Traditional Arabic" w:cs="Traditional Arabic" w:hint="cs"/>
          <w:sz w:val="30"/>
          <w:szCs w:val="30"/>
        </w:rPr>
        <w:t>ينة</w:t>
      </w:r>
      <w:r w:rsidRPr="00F87C1B">
        <w:rPr>
          <w:rFonts w:ascii="Traditional Arabic" w:hAnsi="Traditional Arabic" w:cs="Traditional Arabic"/>
          <w:sz w:val="30"/>
          <w:szCs w:val="30"/>
        </w:rPr>
        <w:t xml:space="preserve"> بنماماكس (82 كيلو طن من الوزن الساكن "كمزارماكس ")، </w:t>
      </w:r>
      <w:r w:rsidR="00392C56">
        <w:rPr>
          <w:rFonts w:ascii="Traditional Arabic" w:hAnsi="Traditional Arabic" w:cs="Traditional Arabic" w:hint="cs"/>
          <w:sz w:val="30"/>
          <w:szCs w:val="30"/>
        </w:rPr>
        <w:t>واحد</w:t>
      </w:r>
      <w:r w:rsidR="008F34D4">
        <w:rPr>
          <w:rFonts w:ascii="Traditional Arabic" w:hAnsi="Traditional Arabic" w:cs="Traditional Arabic" w:hint="cs"/>
          <w:sz w:val="30"/>
          <w:szCs w:val="30"/>
        </w:rPr>
        <w:t>ى</w:t>
      </w:r>
      <w:r w:rsidR="00392C56" w:rsidRPr="00F87C1B">
        <w:rPr>
          <w:rFonts w:ascii="Traditional Arabic" w:hAnsi="Traditional Arabic" w:cs="Traditional Arabic"/>
          <w:sz w:val="30"/>
          <w:szCs w:val="30"/>
        </w:rPr>
        <w:t xml:space="preserve"> </w:t>
      </w:r>
      <w:r w:rsidRPr="00F87C1B">
        <w:rPr>
          <w:rFonts w:ascii="Traditional Arabic" w:hAnsi="Traditional Arabic" w:cs="Traditional Arabic"/>
          <w:sz w:val="30"/>
          <w:szCs w:val="30"/>
        </w:rPr>
        <w:t>عشر سفينة صغيرة (</w:t>
      </w:r>
      <w:r w:rsidR="008F34D4">
        <w:rPr>
          <w:rFonts w:ascii="Traditional Arabic" w:hAnsi="Traditional Arabic" w:cs="Traditional Arabic" w:hint="cs"/>
          <w:sz w:val="30"/>
          <w:szCs w:val="30"/>
        </w:rPr>
        <w:t>ثمانية</w:t>
      </w:r>
      <w:r w:rsidR="008F34D4" w:rsidRPr="00F87C1B">
        <w:rPr>
          <w:rFonts w:ascii="Traditional Arabic" w:hAnsi="Traditional Arabic" w:cs="Traditional Arabic"/>
          <w:sz w:val="30"/>
          <w:szCs w:val="30"/>
        </w:rPr>
        <w:t xml:space="preserve"> </w:t>
      </w:r>
      <w:r w:rsidRPr="00F87C1B">
        <w:rPr>
          <w:rFonts w:ascii="Traditional Arabic" w:hAnsi="Traditional Arabic" w:cs="Traditional Arabic"/>
          <w:sz w:val="30"/>
          <w:szCs w:val="30"/>
        </w:rPr>
        <w:t>أنواع" التراماكس "تبلغ حمولتها 63 كيلو طن من الوزن الساكن وثلاثة أنواع" سوبراماكس "تبلغ حمولتها 56 كيلو طن من الوزن الساكن) وسفينة صغيرة واحدة تبلغ حمولتها 34 كيلو طن من الوزن الساكن.</w:t>
      </w:r>
    </w:p>
    <w:p w14:paraId="32563130"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الطلب على البضائع السائبة الجافة</w:t>
      </w:r>
    </w:p>
    <w:p w14:paraId="2FA9BCE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يمكن تقسيم الطلب على السلع السائبة الجافة إلى استخدامين نهائيين رئيسيين: الزراعي والصناعي.</w:t>
      </w:r>
    </w:p>
    <w:p w14:paraId="1DC1BCAC" w14:textId="77777777" w:rsidR="00F87C1B" w:rsidRPr="00F87C1B" w:rsidRDefault="00F87C1B" w:rsidP="00D925C8">
      <w:pPr>
        <w:pStyle w:val="P68B1DB1-KeyMessage1"/>
        <w:numPr>
          <w:ilvl w:val="0"/>
          <w:numId w:val="61"/>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التجارة الزراعية: تتكون أساسا من الحبوب المختلفة لمعيشة الإنسان والحيوان، والأسمدة.</w:t>
      </w:r>
    </w:p>
    <w:p w14:paraId="2C6FCD88" w14:textId="77777777" w:rsidR="00F87C1B" w:rsidRPr="00F87C1B" w:rsidRDefault="00F87C1B" w:rsidP="00D925C8">
      <w:pPr>
        <w:pStyle w:val="P68B1DB1-KeyMessage1"/>
        <w:numPr>
          <w:ilvl w:val="0"/>
          <w:numId w:val="61"/>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التجارة الصناعية: مدفوعة بصناعة الصلب، تعد السلع مثل خام الحديد وفحم الكوك والصلب الخردة من السلع السائبة الجافة الرئيسية. الفحم الحراري هو سلعة رئيسية أخرى يتم تداولها عن طريق البحر، ويستخدم في الغالب في توليد الطاقة الكهربائية. وتعتمد السلع مثل البوكسيت والمعادن الثانوية والملح والأسمنت وغيرها اعتمادًا كبيرًا على الاتجاهات في قطاعي التصنيع الاستهلاكي والصناعي.</w:t>
      </w:r>
    </w:p>
    <w:p w14:paraId="582C92F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وقد تسارعت تجارة السلع السائبة الجافة بشكل كبير في أوائل العقد الأول من القرن الحادي والعشرين بعد انضمام الصين إلى منظمة التجارة العالمية في عام 2001 واندماجها في سلاسل التوريد العالمية. وعلى وجه التحديد، ارتفع نمو التجارة من متوسط قدره 2.2 في المائة سنويا في التسعينيات إلى 4.9 في المائة سنويا في العقد الأول من القرن الحادي والعشرين. وقد توسعت تجارة البضائع السائبة الجافة بنسبة 7.4 في المائة سنويا في الفترة 2010-2013 بسبب ارتفاع الطلب على السلع الصينية بعد الأزمة المالية العالمية.</w:t>
      </w:r>
    </w:p>
    <w:p w14:paraId="410F5FF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ومع ذلك، فإن مسار التجارة العالمية الصاعد لم يكن بدون انقطاع. أدى التباطؤ في قطاع الصلب الصيني في 2015/16 إلى حلقة نادرة من النمو التجاري السلبي في عام 2015 ؛ وأعقب ذلك المزيد من الآثار السلبية لجائحة كوفيد-19 في عام 2020. ومع تخلف العديد من العوامل طويلة الأمد التي دفعت الزيادة الحادة في الأحجام في الفترة 2000-2015 واندثارها، فمن المتوقع أن يصبح نمو التجارة البطيء سمة من سمات سوق البضائع السائبة الجافة في المستقبل.</w:t>
      </w:r>
    </w:p>
    <w:p w14:paraId="05E1EDE3"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البضائع السائبة الجافة العالمية</w:t>
      </w:r>
    </w:p>
    <w:p w14:paraId="476FDEC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705D953F" wp14:editId="51337949">
            <wp:extent cx="3375345" cy="2199600"/>
            <wp:effectExtent l="0" t="0" r="0" b="0"/>
            <wp:docPr id="118096251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75345"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7B618DD1" w14:textId="77777777" w:rsidTr="00922116">
        <w:tc>
          <w:tcPr>
            <w:tcW w:w="1440" w:type="dxa"/>
            <w:tcBorders>
              <w:top w:val="single" w:sz="4" w:space="0" w:color="auto"/>
            </w:tcBorders>
            <w:vAlign w:val="bottom"/>
          </w:tcPr>
          <w:p w14:paraId="29C3474D"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43930CDF"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2405B9D0" w14:textId="77777777" w:rsidTr="00922116">
        <w:tc>
          <w:tcPr>
            <w:tcW w:w="9039" w:type="dxa"/>
            <w:gridSpan w:val="2"/>
            <w:vAlign w:val="bottom"/>
          </w:tcPr>
          <w:p w14:paraId="688A7DB7"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0AB61C5C"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076AA6F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من وجهة نظر مستشار السوق، فإن العديد من المحركات الهيكلية ستقمع بشكل متزايد نمو التجارة السائبة الجافة على المدى الطويل.</w:t>
      </w:r>
    </w:p>
    <w:p w14:paraId="2193949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والأهم من ذلك هو الانخفاض المتوقع في واردات خام الحديد في الصين. وسيكون هذا مدفوعًا في المقام الأول بانخفاض معدل استخدام الصلب مع انتهاء الوتيرة السريعة للتحضر العمراني التي شوهدت على مدى العقدين الماضيين. علاوة على ذلك، فإن الطلب على الفحم مهدد بشكل متزايد حيث يعطي العالم الأولوية للطاقة المتجددة ويقلل من انبعاثات الكربون على الطاقة الرخيصة.</w:t>
      </w:r>
    </w:p>
    <w:p w14:paraId="35B8364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ومع ذلك، فإن آثار هذه التغييرات التجارية الهيكلية السلبية على توقعات مستشار السوق يقابلها نظرة أكثر إيجابية للتجارة المنقولة بحراً في السلع السائبة الجافة الأخرى. على سبيل المثال، مؤشر مستشار السوق إيجابي بشأن النمو طويل الأجل في تجارة الحبوب. كما أن مؤشر مستشار السوق متفائل أيضًا بشأن النمو المحتمل في تجارة البضائع السائبة الثانوية. وتشمل العوامل الداعمة ما يلي: حصة متزايدة من البضائع الثانوية التي تمثلها الاقتصادات الآسيوية الآخذة في التوسع، ودعم السلع السائبة الثانوية المتعلقة بانتقال الطاقة العالمي. ويتوقع مستشار السوق نمو تجارة البضائع السائبة الثانوية بنسبة 2.4 في المائة سنويا بين عامي 2024 و 2030.</w:t>
      </w:r>
    </w:p>
    <w:p w14:paraId="770812D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وبشكل عام، من المتوقع أن تعوض الزيادة في تجارة الحبوب والبضائع السائبة الثانوية الانخفاضات في أماكن أخرى، مع توقع ارتفاع إجمالي تجارة البضائع السائبة الجافة المنقولة بحراً بنسبة 1.0 في المائة في المتوسط سنويا حتى نهاية العقد.</w:t>
      </w:r>
    </w:p>
    <w:p w14:paraId="0BC6DCE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في المجموع، تمثل شحنات دول مجلس التعاون الخليجي أقل من 5 في المائة من تجارة البضائع السائبة الجافة العالمية. ومع ذلك، برزت سلطنة عمان كمركز مهم لتجارة خام الحديد العالمية منذ أن استثمرت شركة فالي البرازيلية لتعدين خام الحديد في مركز لإنتاج الحبيبات وتوزيع خام الحديد في ميناء صحار في عام 2012 لمعالجة الخام المستورد من البرازيل، والتوريد للمستهلكين الإقليميين بشكل رئيسي مثل قطر والمملكة العربية السعودية والإمارات العربية المتحدة ومصر والهند. البحرين هي مستورد رئيسي آخر لخام الحديد لخدمة قدرتها على معالجة الحبيبات أو الكريات. بخلاف البرازيل، يتم استيراد خام الحديد المتجه إلى المنطقة بشكل رئيسي من الدول الاسكندنافية.</w:t>
      </w:r>
    </w:p>
    <w:p w14:paraId="67146E7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الحبوب و السلع الزراعية هي مجموعة سلع مهمة أخرى للطلب بالنسبة للواردات الإقليمية. وتاريخيًا، كان الدافع وراء ذلك هو واردات الشعير من المملكة العربية السعودية لاستخدامها في الأعلاف. تم زيادة حجم الواردات على مدى العقد الماضي، من خلال زيادة استهلاك القمح والذرة في منطقة دول مجلس التعاون الخليجي مع التوسع السكاني.</w:t>
      </w:r>
    </w:p>
    <w:p w14:paraId="15DDC29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ومن حيث الصادرات من دول مجلس التعاون الخليجي، تمثل تجارة المعادن 50 في المائة، على الرغم من أن حوالي نصف هذه التجارة يتم بشكل رئيسي على الطرق الإقليمية القصيرة. والمصدر الرئيسي للطلب على النقل البحري لمسافات طويلة هو الأسمدة، والوجهات الرئيسية هي الهند والبرازيل وأستراليا والولايات المتحدة الأمريكية.</w:t>
      </w:r>
    </w:p>
    <w:p w14:paraId="777DDC2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ستظل دول مجلس التعاون الخليجي تشهد زيادة في حجم البضائع السائبة الجافة لكل من الواردات والصادرات على أساس استمرار الاتجاهات الأخيرة. ففي سلطنة عمان، ستدعم مشاريع التخطيط والتطوير العمراني للمدن القائمة مثل مسقط وصحار وصلالة، بالإضافة إلى الطلب المحتمل على المدن الجديدة مثل مدينة سلطان هيثم والجبل الأخضر - التجارة في مواد البناء والتشييد.</w:t>
      </w:r>
    </w:p>
    <w:p w14:paraId="3274068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كما سيتم دعم التجارة من وإلى سلطنة عمان من خلال المبادرات الصناعية على المدى القريب المتعلقة بإزالة الكربون، مثل مصنع للصلب الأخضر في الدقم من قبل مجموعة جيندال للصلب (من المقرر أن يكتمل في عام 2026)، وخطة مرتبطة بالاستثمار في الطاقة الشمسية وطاقة الرياح لدعم إنتاج الهيدروجين الأخضر، وخطط لمصنع إنتاج "الألومنيوم الأخضر" من قبل الشركة العربية للصناعات النفطية، وتطوير جديد لمنتج البولي سيليكون في ميناء صحار لدعم إنتاج الطاقة الشمسية من قبل شركة يونايتد سولار هولدينج. ومن المتوقع أن تتزايد تجارة المعادن على خلفية مشاريع شركة تنمية معادن عمان (كما هو الحال في ظفار)، في حين سيتم دعم تجارة الأسمدة من خلال التوسع في مصنع الأسمدة التابع لشركة أوميفكو في منطقة صور الصناعية ومصنع جديد للأمونيا واليوريا في صلالة من قبل شركة أوكيو.</w:t>
      </w:r>
    </w:p>
    <w:p w14:paraId="282B7024"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واردات البضائع السائبة الجافة في دول مجلس التعاون الخليجي</w:t>
      </w:r>
    </w:p>
    <w:p w14:paraId="2579DBA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3EC0D8D6" wp14:editId="074B5220">
            <wp:extent cx="3364094" cy="2199600"/>
            <wp:effectExtent l="0" t="0" r="8255" b="0"/>
            <wp:docPr id="18926492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64094"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744AFA13" w14:textId="77777777" w:rsidTr="00922116">
        <w:tc>
          <w:tcPr>
            <w:tcW w:w="1440" w:type="dxa"/>
            <w:tcBorders>
              <w:top w:val="single" w:sz="4" w:space="0" w:color="auto"/>
            </w:tcBorders>
            <w:vAlign w:val="bottom"/>
          </w:tcPr>
          <w:p w14:paraId="4EECC047"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6B99547C"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7AC66D8D" w14:textId="77777777" w:rsidTr="00922116">
        <w:tc>
          <w:tcPr>
            <w:tcW w:w="9039" w:type="dxa"/>
            <w:gridSpan w:val="2"/>
            <w:vAlign w:val="bottom"/>
          </w:tcPr>
          <w:p w14:paraId="7B68B3CB"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lastRenderedPageBreak/>
              <w:t>2024 إلى 2030 هي توقعات مستقبلية</w:t>
            </w:r>
          </w:p>
        </w:tc>
      </w:tr>
    </w:tbl>
    <w:p w14:paraId="2965AF56"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3D044C7C"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صادرات البضائع السائبة الجافة في دول مجلس التعاون الخليجي</w:t>
      </w:r>
    </w:p>
    <w:p w14:paraId="68F70D8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6F9A5AEE" wp14:editId="0F9F5D57">
            <wp:extent cx="3364094" cy="2199600"/>
            <wp:effectExtent l="0" t="0" r="8255" b="0"/>
            <wp:docPr id="86488954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64094"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7409C121" w14:textId="77777777" w:rsidTr="00922116">
        <w:tc>
          <w:tcPr>
            <w:tcW w:w="1440" w:type="dxa"/>
            <w:tcBorders>
              <w:top w:val="single" w:sz="4" w:space="0" w:color="auto"/>
            </w:tcBorders>
            <w:vAlign w:val="bottom"/>
          </w:tcPr>
          <w:p w14:paraId="68CE139C"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44D32A47"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6554E308" w14:textId="77777777" w:rsidTr="00922116">
        <w:tc>
          <w:tcPr>
            <w:tcW w:w="9039" w:type="dxa"/>
            <w:gridSpan w:val="2"/>
            <w:vAlign w:val="bottom"/>
          </w:tcPr>
          <w:p w14:paraId="3542F8F0"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04968D91"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1EC1971F"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توريد ناقلات البضائع السائبة الجافة</w:t>
      </w:r>
    </w:p>
    <w:p w14:paraId="03CF308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يتأثر توريد ناقلات البضائع السائبة الجافة بسعة الشحن للأسطول الحالي والسفن المبنية حديثا وتخريد السفن. يتأثر التعاقد (أو طلب سفن جديدة) وأحجام الخردة بظروف السوق واحتياجات تجديد الأسطول. وعادة، تشهد البيئات ذات الدخل المرتفع زيادة في التعاقد وتقليل الخردة، والعكس صحيح.</w:t>
      </w:r>
    </w:p>
    <w:p w14:paraId="3E8510E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وقد تميزت الفترة 2000-2010 بنمو قوي للأسطول بعد انضمام الصين إلى منظمة التجارة العالمية. حيث بلغت العقود ذروتها خلال ازدهار أرباح الشحن في الفترة 2005-2009، مما أدى إلى وجود دفتر طلبات كبير ساهم في زيادة النمو السريع للأسطول في أوائل عام 2010. ومع تراجع الأرباح من منتصف عام 2010، تباطأ أيضًا التعاقد ونمو الأسطول.</w:t>
      </w:r>
    </w:p>
    <w:p w14:paraId="11E5EBF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وفي الآونة الأخيرة، في الفترة 2020-2024، تقلبت أحجام التعاقد بسبب ظروف السوق (الداعمة) والشكوك التكنولوجية المتعلقة بمعايير الوقود المستقبلية (التقييدية). فظلت أحجام التخريد منخفضة للغاية بسبب وصول نسبة صغيرة نسبيًا من الأسطول إلى متوسط العمر المتوقع الاقتصادي وسوق شحن قوي.</w:t>
      </w:r>
    </w:p>
    <w:p w14:paraId="3C9A6D9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وبالنظر إلى المستقبل، نتوقع أن نشهد زيادة في الخردة بسبب ضعف توازنات السوق المتوقعة وارتفاع التكلفة النسبية للسفن القديمة التزاما باللوائح البيئية في السنوات القادمة. ومن المتوقع أن يبلغ متوسط نمو الأسطول -1.0 في المائة سنويا خلال بقية هذا العقد، مع ارتفاع مستويات التخريد وتعاقدات بناء السفن الجديدة.</w:t>
      </w:r>
    </w:p>
    <w:p w14:paraId="0B6A6A23"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+10 آلاف طن للوزن الساكن من التعاقدات على الحمولة السائبة الجافة والتخريد</w:t>
      </w:r>
    </w:p>
    <w:p w14:paraId="0C766A0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6FCC9643" wp14:editId="16AD895F">
            <wp:extent cx="3362446" cy="2199600"/>
            <wp:effectExtent l="0" t="0" r="0" b="0"/>
            <wp:docPr id="192883705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62446"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6F1C2CFA" w14:textId="77777777" w:rsidTr="00922116">
        <w:tc>
          <w:tcPr>
            <w:tcW w:w="1440" w:type="dxa"/>
            <w:tcBorders>
              <w:top w:val="single" w:sz="4" w:space="0" w:color="auto"/>
            </w:tcBorders>
            <w:vAlign w:val="bottom"/>
          </w:tcPr>
          <w:p w14:paraId="35CD5F10"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22C4B338"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5853F72A" w14:textId="77777777" w:rsidTr="00922116">
        <w:tc>
          <w:tcPr>
            <w:tcW w:w="9039" w:type="dxa"/>
            <w:gridSpan w:val="2"/>
            <w:vAlign w:val="bottom"/>
          </w:tcPr>
          <w:p w14:paraId="26F67785"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2024 إلى 2030 هي توقعات مستقبلية</w:t>
            </w:r>
          </w:p>
        </w:tc>
      </w:tr>
    </w:tbl>
    <w:p w14:paraId="283DFBE6"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6CF560C6"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+10 آلاف طن للوزن الساكن من دفتر طلبات أسطول البضائع السائبة الجافة كنسبة مئوية من الأسطول.</w:t>
      </w:r>
    </w:p>
    <w:p w14:paraId="1C8E6AF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1A7BACE6" wp14:editId="15A4AD8D">
            <wp:extent cx="3362446" cy="2199600"/>
            <wp:effectExtent l="0" t="0" r="0" b="0"/>
            <wp:docPr id="61634627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62446"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272B36" w14:paraId="2567BE71" w14:textId="77777777" w:rsidTr="00922116">
        <w:tc>
          <w:tcPr>
            <w:tcW w:w="1440" w:type="dxa"/>
            <w:tcBorders>
              <w:top w:val="single" w:sz="4" w:space="0" w:color="auto"/>
            </w:tcBorders>
            <w:vAlign w:val="bottom"/>
          </w:tcPr>
          <w:p w14:paraId="1EA95F51"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t>ملاحظة:</w:t>
            </w:r>
          </w:p>
        </w:tc>
        <w:tc>
          <w:tcPr>
            <w:tcW w:w="7599" w:type="dxa"/>
            <w:vAlign w:val="bottom"/>
          </w:tcPr>
          <w:p w14:paraId="62BA7001"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p>
        </w:tc>
      </w:tr>
      <w:tr w:rsidR="00F87C1B" w:rsidRPr="00272B36" w14:paraId="1462E0EE" w14:textId="77777777" w:rsidTr="00922116">
        <w:tc>
          <w:tcPr>
            <w:tcW w:w="9039" w:type="dxa"/>
            <w:gridSpan w:val="2"/>
            <w:vAlign w:val="bottom"/>
          </w:tcPr>
          <w:p w14:paraId="1801B3FE" w14:textId="77777777" w:rsidR="00F87C1B" w:rsidRPr="00272B36" w:rsidRDefault="00F87C1B" w:rsidP="00F87C1B">
            <w:pPr>
              <w:pStyle w:val="P68B1DB1-KeyMessage1"/>
              <w:spacing w:beforeLines="40" w:before="96" w:afterLines="40" w:after="96"/>
              <w:rPr>
                <w:rFonts w:ascii="Traditional Arabic" w:hAnsi="Traditional Arabic" w:cs="Traditional Arabic"/>
                <w:sz w:val="24"/>
                <w:szCs w:val="24"/>
              </w:rPr>
            </w:pPr>
            <w:r w:rsidRPr="00272B36">
              <w:rPr>
                <w:rFonts w:ascii="Traditional Arabic" w:hAnsi="Traditional Arabic" w:cs="Traditional Arabic"/>
                <w:sz w:val="24"/>
                <w:szCs w:val="24"/>
              </w:rPr>
              <w:lastRenderedPageBreak/>
              <w:t>2024 إلى 2030 هي توقعات مستقبلية</w:t>
            </w:r>
          </w:p>
        </w:tc>
      </w:tr>
    </w:tbl>
    <w:p w14:paraId="305BD325" w14:textId="77777777" w:rsidR="00F87C1B" w:rsidRPr="00272B36" w:rsidRDefault="00F87C1B" w:rsidP="00F87C1B">
      <w:pPr>
        <w:pStyle w:val="P68B1DB1-KeyMessage1"/>
        <w:spacing w:beforeLines="40" w:before="96" w:afterLines="40" w:after="96"/>
        <w:rPr>
          <w:rFonts w:ascii="Traditional Arabic" w:hAnsi="Traditional Arabic" w:cs="Traditional Arabic"/>
          <w:iCs/>
          <w:sz w:val="24"/>
          <w:szCs w:val="24"/>
        </w:rPr>
      </w:pPr>
      <w:r w:rsidRPr="00272B36">
        <w:rPr>
          <w:rFonts w:ascii="Traditional Arabic" w:hAnsi="Traditional Arabic" w:cs="Traditional Arabic"/>
          <w:iCs/>
          <w:sz w:val="24"/>
          <w:szCs w:val="24"/>
        </w:rPr>
        <w:t>المصدر: مستشار السوق للربع الرابع لعام 2024 الحالة الأساسية</w:t>
      </w:r>
    </w:p>
    <w:p w14:paraId="4DBFED42"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الجدول: ملف عمر أسطول البضائع السائبة ودفتر الطلبات حسب الشريحة (مليون طن من الوزن الساكن)</w:t>
      </w:r>
    </w:p>
    <w:tbl>
      <w:tblPr>
        <w:tblW w:w="9135" w:type="dxa"/>
        <w:tblInd w:w="437" w:type="dxa"/>
        <w:tblLayout w:type="fixed"/>
        <w:tblCellMar>
          <w:left w:w="0" w:type="dxa"/>
          <w:right w:w="0" w:type="dxa"/>
        </w:tblCellMar>
        <w:tblLook w:val="0000" w:firstRow="0" w:lastRow="0" w:firstColumn="0" w:lastColumn="0" w:noHBand="0" w:noVBand="0"/>
      </w:tblPr>
      <w:tblGrid>
        <w:gridCol w:w="1689"/>
        <w:gridCol w:w="236"/>
        <w:gridCol w:w="794"/>
        <w:gridCol w:w="236"/>
        <w:gridCol w:w="794"/>
        <w:gridCol w:w="236"/>
        <w:gridCol w:w="794"/>
        <w:gridCol w:w="236"/>
        <w:gridCol w:w="794"/>
        <w:gridCol w:w="236"/>
        <w:gridCol w:w="794"/>
        <w:gridCol w:w="236"/>
        <w:gridCol w:w="794"/>
        <w:gridCol w:w="236"/>
        <w:gridCol w:w="794"/>
        <w:gridCol w:w="236"/>
      </w:tblGrid>
      <w:tr w:rsidR="006B57D8" w:rsidRPr="00472655" w14:paraId="2071DBDD" w14:textId="77777777" w:rsidTr="00922116">
        <w:trPr>
          <w:tblHeader/>
        </w:trPr>
        <w:tc>
          <w:tcPr>
            <w:tcW w:w="1689" w:type="dxa"/>
            <w:vAlign w:val="bottom"/>
          </w:tcPr>
          <w:p w14:paraId="56FDED5E" w14:textId="77777777" w:rsidR="006B57D8" w:rsidRPr="00472655" w:rsidRDefault="006B57D8" w:rsidP="00922116">
            <w:pPr>
              <w:pStyle w:val="VSmCellHead"/>
              <w:rPr>
                <w:sz w:val="16"/>
                <w:szCs w:val="16"/>
              </w:rPr>
            </w:pPr>
          </w:p>
        </w:tc>
        <w:tc>
          <w:tcPr>
            <w:tcW w:w="236" w:type="dxa"/>
            <w:vAlign w:val="bottom"/>
          </w:tcPr>
          <w:p w14:paraId="66881AAB" w14:textId="77777777" w:rsidR="006B57D8" w:rsidRPr="00472655" w:rsidRDefault="006B57D8" w:rsidP="00922116">
            <w:pPr>
              <w:pStyle w:val="CellRowSpacer"/>
              <w:spacing w:after="120"/>
              <w:rPr>
                <w:sz w:val="16"/>
                <w:szCs w:val="16"/>
              </w:rPr>
            </w:pPr>
          </w:p>
        </w:tc>
        <w:tc>
          <w:tcPr>
            <w:tcW w:w="794" w:type="dxa"/>
            <w:tcBorders>
              <w:bottom w:val="single" w:sz="4" w:space="0" w:color="auto"/>
            </w:tcBorders>
            <w:vAlign w:val="bottom"/>
          </w:tcPr>
          <w:p w14:paraId="0E740510" w14:textId="77777777" w:rsidR="006B57D8" w:rsidRPr="00472655" w:rsidRDefault="006B57D8" w:rsidP="00922116">
            <w:pPr>
              <w:pStyle w:val="VSmCellHead"/>
              <w:jc w:val="right"/>
              <w:rPr>
                <w:sz w:val="16"/>
                <w:szCs w:val="16"/>
              </w:rPr>
            </w:pPr>
            <w:r w:rsidRPr="00472655">
              <w:rPr>
                <w:sz w:val="16"/>
                <w:szCs w:val="16"/>
              </w:rPr>
              <w:t>0-4 Yrs</w:t>
            </w:r>
          </w:p>
        </w:tc>
        <w:tc>
          <w:tcPr>
            <w:tcW w:w="236" w:type="dxa"/>
            <w:vAlign w:val="bottom"/>
          </w:tcPr>
          <w:p w14:paraId="13F302B8" w14:textId="77777777" w:rsidR="006B57D8" w:rsidRPr="00472655" w:rsidRDefault="006B57D8" w:rsidP="00922116">
            <w:pPr>
              <w:pStyle w:val="CellRowSpacer"/>
              <w:spacing w:after="120"/>
              <w:rPr>
                <w:sz w:val="16"/>
                <w:szCs w:val="16"/>
              </w:rPr>
            </w:pPr>
          </w:p>
        </w:tc>
        <w:tc>
          <w:tcPr>
            <w:tcW w:w="794" w:type="dxa"/>
            <w:tcBorders>
              <w:bottom w:val="single" w:sz="4" w:space="0" w:color="auto"/>
            </w:tcBorders>
            <w:vAlign w:val="bottom"/>
          </w:tcPr>
          <w:p w14:paraId="6CBC0064" w14:textId="77777777" w:rsidR="006B57D8" w:rsidRPr="00472655" w:rsidRDefault="006B57D8" w:rsidP="00922116">
            <w:pPr>
              <w:pStyle w:val="VSmCellHead"/>
              <w:jc w:val="right"/>
              <w:rPr>
                <w:sz w:val="16"/>
                <w:szCs w:val="16"/>
              </w:rPr>
            </w:pPr>
            <w:r w:rsidRPr="00472655">
              <w:rPr>
                <w:sz w:val="16"/>
                <w:szCs w:val="16"/>
              </w:rPr>
              <w:t>5-9 Yrs</w:t>
            </w:r>
          </w:p>
        </w:tc>
        <w:tc>
          <w:tcPr>
            <w:tcW w:w="236" w:type="dxa"/>
            <w:vAlign w:val="bottom"/>
          </w:tcPr>
          <w:p w14:paraId="0367FB56" w14:textId="77777777" w:rsidR="006B57D8" w:rsidRPr="00472655" w:rsidRDefault="006B57D8" w:rsidP="00922116">
            <w:pPr>
              <w:pStyle w:val="CellRowSpacer"/>
              <w:spacing w:after="120"/>
              <w:rPr>
                <w:sz w:val="16"/>
                <w:szCs w:val="16"/>
              </w:rPr>
            </w:pPr>
          </w:p>
        </w:tc>
        <w:tc>
          <w:tcPr>
            <w:tcW w:w="794" w:type="dxa"/>
            <w:tcBorders>
              <w:bottom w:val="single" w:sz="4" w:space="0" w:color="auto"/>
            </w:tcBorders>
            <w:vAlign w:val="bottom"/>
          </w:tcPr>
          <w:p w14:paraId="4721C139" w14:textId="77777777" w:rsidR="006B57D8" w:rsidRPr="00472655" w:rsidRDefault="006B57D8" w:rsidP="00922116">
            <w:pPr>
              <w:pStyle w:val="VSmCellHead"/>
              <w:jc w:val="right"/>
              <w:rPr>
                <w:sz w:val="16"/>
                <w:szCs w:val="16"/>
              </w:rPr>
            </w:pPr>
            <w:r w:rsidRPr="00472655">
              <w:rPr>
                <w:sz w:val="16"/>
                <w:szCs w:val="16"/>
              </w:rPr>
              <w:t>10-14 Yrs</w:t>
            </w:r>
          </w:p>
        </w:tc>
        <w:tc>
          <w:tcPr>
            <w:tcW w:w="236" w:type="dxa"/>
            <w:vAlign w:val="bottom"/>
          </w:tcPr>
          <w:p w14:paraId="74FE7D46" w14:textId="77777777" w:rsidR="006B57D8" w:rsidRPr="00472655" w:rsidRDefault="006B57D8" w:rsidP="00922116">
            <w:pPr>
              <w:pStyle w:val="CellRowSpacer"/>
              <w:spacing w:after="120"/>
              <w:rPr>
                <w:sz w:val="16"/>
                <w:szCs w:val="16"/>
              </w:rPr>
            </w:pPr>
          </w:p>
        </w:tc>
        <w:tc>
          <w:tcPr>
            <w:tcW w:w="794" w:type="dxa"/>
            <w:tcBorders>
              <w:bottom w:val="single" w:sz="4" w:space="0" w:color="auto"/>
            </w:tcBorders>
            <w:vAlign w:val="bottom"/>
          </w:tcPr>
          <w:p w14:paraId="6218D0E7" w14:textId="77777777" w:rsidR="006B57D8" w:rsidRPr="00472655" w:rsidRDefault="006B57D8" w:rsidP="00922116">
            <w:pPr>
              <w:pStyle w:val="VSmCellHead"/>
              <w:jc w:val="right"/>
              <w:rPr>
                <w:sz w:val="16"/>
                <w:szCs w:val="16"/>
              </w:rPr>
            </w:pPr>
            <w:r w:rsidRPr="00472655">
              <w:rPr>
                <w:sz w:val="16"/>
                <w:szCs w:val="16"/>
              </w:rPr>
              <w:t>15-19 Yrs</w:t>
            </w:r>
          </w:p>
        </w:tc>
        <w:tc>
          <w:tcPr>
            <w:tcW w:w="236" w:type="dxa"/>
            <w:vAlign w:val="bottom"/>
          </w:tcPr>
          <w:p w14:paraId="6D130C1A" w14:textId="77777777" w:rsidR="006B57D8" w:rsidRPr="00472655" w:rsidRDefault="006B57D8" w:rsidP="00922116">
            <w:pPr>
              <w:pStyle w:val="CellRowSpacer"/>
              <w:spacing w:after="120"/>
              <w:rPr>
                <w:sz w:val="16"/>
                <w:szCs w:val="16"/>
              </w:rPr>
            </w:pPr>
          </w:p>
        </w:tc>
        <w:tc>
          <w:tcPr>
            <w:tcW w:w="794" w:type="dxa"/>
            <w:tcBorders>
              <w:bottom w:val="single" w:sz="4" w:space="0" w:color="auto"/>
            </w:tcBorders>
            <w:vAlign w:val="bottom"/>
          </w:tcPr>
          <w:p w14:paraId="0EC427A7" w14:textId="77777777" w:rsidR="006B57D8" w:rsidRPr="00472655" w:rsidRDefault="006B57D8" w:rsidP="00922116">
            <w:pPr>
              <w:pStyle w:val="VSmCellHead"/>
              <w:jc w:val="right"/>
              <w:rPr>
                <w:sz w:val="16"/>
                <w:szCs w:val="16"/>
              </w:rPr>
            </w:pPr>
            <w:r w:rsidRPr="00472655">
              <w:rPr>
                <w:sz w:val="16"/>
                <w:szCs w:val="16"/>
              </w:rPr>
              <w:t>20-24 Yrs</w:t>
            </w:r>
          </w:p>
        </w:tc>
        <w:tc>
          <w:tcPr>
            <w:tcW w:w="236" w:type="dxa"/>
            <w:vAlign w:val="bottom"/>
          </w:tcPr>
          <w:p w14:paraId="1631DBDB" w14:textId="77777777" w:rsidR="006B57D8" w:rsidRPr="00472655" w:rsidRDefault="006B57D8" w:rsidP="00922116">
            <w:pPr>
              <w:pStyle w:val="CellRowSpacer"/>
              <w:spacing w:after="120"/>
              <w:rPr>
                <w:sz w:val="16"/>
                <w:szCs w:val="16"/>
              </w:rPr>
            </w:pPr>
          </w:p>
        </w:tc>
        <w:tc>
          <w:tcPr>
            <w:tcW w:w="794" w:type="dxa"/>
            <w:tcBorders>
              <w:bottom w:val="single" w:sz="4" w:space="0" w:color="auto"/>
            </w:tcBorders>
            <w:vAlign w:val="bottom"/>
          </w:tcPr>
          <w:p w14:paraId="11CC1E27" w14:textId="77777777" w:rsidR="006B57D8" w:rsidRPr="00472655" w:rsidRDefault="006B57D8" w:rsidP="00922116">
            <w:pPr>
              <w:pStyle w:val="VSmCellHead"/>
              <w:jc w:val="right"/>
              <w:rPr>
                <w:sz w:val="16"/>
                <w:szCs w:val="16"/>
              </w:rPr>
            </w:pPr>
            <w:r w:rsidRPr="00472655">
              <w:rPr>
                <w:sz w:val="16"/>
                <w:szCs w:val="16"/>
              </w:rPr>
              <w:t>25+ Yrs</w:t>
            </w:r>
          </w:p>
        </w:tc>
        <w:tc>
          <w:tcPr>
            <w:tcW w:w="236" w:type="dxa"/>
            <w:vAlign w:val="bottom"/>
          </w:tcPr>
          <w:p w14:paraId="5EAD7D7B" w14:textId="77777777" w:rsidR="006B57D8" w:rsidRPr="00472655" w:rsidRDefault="006B57D8" w:rsidP="00922116">
            <w:pPr>
              <w:pStyle w:val="CellRowSpacer"/>
              <w:spacing w:after="120"/>
              <w:rPr>
                <w:sz w:val="16"/>
                <w:szCs w:val="16"/>
              </w:rPr>
            </w:pPr>
          </w:p>
        </w:tc>
        <w:tc>
          <w:tcPr>
            <w:tcW w:w="794" w:type="dxa"/>
            <w:tcBorders>
              <w:bottom w:val="single" w:sz="4" w:space="0" w:color="auto"/>
            </w:tcBorders>
            <w:vAlign w:val="bottom"/>
          </w:tcPr>
          <w:p w14:paraId="40B3C42E" w14:textId="77777777" w:rsidR="006B57D8" w:rsidRPr="00472655" w:rsidRDefault="006B57D8" w:rsidP="00922116">
            <w:pPr>
              <w:pStyle w:val="VSmCellHead"/>
              <w:jc w:val="right"/>
              <w:rPr>
                <w:sz w:val="16"/>
                <w:szCs w:val="16"/>
              </w:rPr>
            </w:pPr>
            <w:r w:rsidRPr="00472655">
              <w:rPr>
                <w:sz w:val="16"/>
                <w:szCs w:val="16"/>
              </w:rPr>
              <w:t>Orderbook</w:t>
            </w:r>
          </w:p>
        </w:tc>
        <w:tc>
          <w:tcPr>
            <w:tcW w:w="236" w:type="dxa"/>
            <w:vAlign w:val="bottom"/>
          </w:tcPr>
          <w:p w14:paraId="4B79F326" w14:textId="77777777" w:rsidR="006B57D8" w:rsidRPr="00472655" w:rsidRDefault="006B57D8" w:rsidP="00922116">
            <w:pPr>
              <w:pStyle w:val="CellRowSpacer"/>
              <w:spacing w:after="120"/>
              <w:rPr>
                <w:sz w:val="16"/>
                <w:szCs w:val="16"/>
              </w:rPr>
            </w:pPr>
          </w:p>
        </w:tc>
      </w:tr>
      <w:tr w:rsidR="006B57D8" w:rsidRPr="00472655" w14:paraId="7E3BD552" w14:textId="77777777" w:rsidTr="00922116">
        <w:tc>
          <w:tcPr>
            <w:tcW w:w="1689" w:type="dxa"/>
            <w:vAlign w:val="bottom"/>
          </w:tcPr>
          <w:p w14:paraId="4B0C65B5" w14:textId="77777777" w:rsidR="006B57D8" w:rsidRPr="00472655" w:rsidRDefault="006B57D8" w:rsidP="00922116">
            <w:pPr>
              <w:pStyle w:val="VSmCellBody"/>
              <w:tabs>
                <w:tab w:val="right" w:leader="dot" w:pos="1689"/>
              </w:tabs>
              <w:rPr>
                <w:sz w:val="16"/>
                <w:szCs w:val="16"/>
              </w:rPr>
            </w:pPr>
            <w:r w:rsidRPr="00472655">
              <w:rPr>
                <w:sz w:val="16"/>
                <w:szCs w:val="16"/>
              </w:rPr>
              <w:t>10-39.9 k Dwt</w:t>
            </w:r>
            <w:r w:rsidRPr="00472655">
              <w:rPr>
                <w:sz w:val="16"/>
                <w:szCs w:val="16"/>
              </w:rPr>
              <w:tab/>
            </w:r>
          </w:p>
        </w:tc>
        <w:tc>
          <w:tcPr>
            <w:tcW w:w="236" w:type="dxa"/>
            <w:vAlign w:val="bottom"/>
          </w:tcPr>
          <w:p w14:paraId="35A6A1FA" w14:textId="77777777" w:rsidR="006B57D8" w:rsidRPr="00472655" w:rsidRDefault="006B57D8" w:rsidP="00922116">
            <w:pPr>
              <w:pStyle w:val="CellRowSpacer"/>
              <w:rPr>
                <w:sz w:val="16"/>
                <w:szCs w:val="16"/>
              </w:rPr>
            </w:pPr>
          </w:p>
        </w:tc>
        <w:tc>
          <w:tcPr>
            <w:tcW w:w="794" w:type="dxa"/>
            <w:tcBorders>
              <w:top w:val="single" w:sz="4" w:space="0" w:color="auto"/>
            </w:tcBorders>
            <w:vAlign w:val="bottom"/>
          </w:tcPr>
          <w:p w14:paraId="54A0C9C3" w14:textId="77777777" w:rsidR="006B57D8" w:rsidRPr="00472655" w:rsidRDefault="006B57D8" w:rsidP="00922116">
            <w:pPr>
              <w:pStyle w:val="VSmCellBody"/>
              <w:jc w:val="right"/>
              <w:rPr>
                <w:sz w:val="16"/>
                <w:szCs w:val="16"/>
              </w:rPr>
            </w:pPr>
            <w:r w:rsidRPr="00472655">
              <w:rPr>
                <w:sz w:val="16"/>
                <w:szCs w:val="16"/>
              </w:rPr>
              <w:t>10.4</w:t>
            </w:r>
          </w:p>
        </w:tc>
        <w:tc>
          <w:tcPr>
            <w:tcW w:w="236" w:type="dxa"/>
            <w:vAlign w:val="bottom"/>
          </w:tcPr>
          <w:p w14:paraId="376924CB" w14:textId="77777777" w:rsidR="006B57D8" w:rsidRPr="00472655" w:rsidRDefault="006B57D8" w:rsidP="00922116">
            <w:pPr>
              <w:pStyle w:val="CellRowSpacer"/>
              <w:rPr>
                <w:sz w:val="16"/>
                <w:szCs w:val="16"/>
              </w:rPr>
            </w:pPr>
          </w:p>
        </w:tc>
        <w:tc>
          <w:tcPr>
            <w:tcW w:w="794" w:type="dxa"/>
            <w:tcBorders>
              <w:top w:val="single" w:sz="4" w:space="0" w:color="auto"/>
            </w:tcBorders>
            <w:vAlign w:val="bottom"/>
          </w:tcPr>
          <w:p w14:paraId="57B54940" w14:textId="77777777" w:rsidR="006B57D8" w:rsidRPr="00472655" w:rsidRDefault="006B57D8" w:rsidP="00922116">
            <w:pPr>
              <w:pStyle w:val="VSmCellBody"/>
              <w:jc w:val="right"/>
              <w:rPr>
                <w:sz w:val="16"/>
                <w:szCs w:val="16"/>
              </w:rPr>
            </w:pPr>
            <w:r w:rsidRPr="00472655">
              <w:rPr>
                <w:sz w:val="16"/>
                <w:szCs w:val="16"/>
              </w:rPr>
              <w:t>20.3</w:t>
            </w:r>
          </w:p>
        </w:tc>
        <w:tc>
          <w:tcPr>
            <w:tcW w:w="236" w:type="dxa"/>
            <w:vAlign w:val="bottom"/>
          </w:tcPr>
          <w:p w14:paraId="60C7FD5B" w14:textId="77777777" w:rsidR="006B57D8" w:rsidRPr="00472655" w:rsidRDefault="006B57D8" w:rsidP="00922116">
            <w:pPr>
              <w:pStyle w:val="CellRowSpacer"/>
              <w:rPr>
                <w:sz w:val="16"/>
                <w:szCs w:val="16"/>
              </w:rPr>
            </w:pPr>
          </w:p>
        </w:tc>
        <w:tc>
          <w:tcPr>
            <w:tcW w:w="794" w:type="dxa"/>
            <w:tcBorders>
              <w:top w:val="single" w:sz="4" w:space="0" w:color="auto"/>
            </w:tcBorders>
            <w:vAlign w:val="bottom"/>
          </w:tcPr>
          <w:p w14:paraId="734F757B" w14:textId="77777777" w:rsidR="006B57D8" w:rsidRPr="00472655" w:rsidRDefault="006B57D8" w:rsidP="00922116">
            <w:pPr>
              <w:pStyle w:val="VSmCellBody"/>
              <w:jc w:val="right"/>
              <w:rPr>
                <w:sz w:val="16"/>
                <w:szCs w:val="16"/>
              </w:rPr>
            </w:pPr>
            <w:r w:rsidRPr="00472655">
              <w:rPr>
                <w:sz w:val="16"/>
                <w:szCs w:val="16"/>
              </w:rPr>
              <w:t>40.6</w:t>
            </w:r>
          </w:p>
        </w:tc>
        <w:tc>
          <w:tcPr>
            <w:tcW w:w="236" w:type="dxa"/>
            <w:vAlign w:val="bottom"/>
          </w:tcPr>
          <w:p w14:paraId="4A5ADF54" w14:textId="77777777" w:rsidR="006B57D8" w:rsidRPr="00472655" w:rsidRDefault="006B57D8" w:rsidP="00922116">
            <w:pPr>
              <w:pStyle w:val="CellRowSpacer"/>
              <w:rPr>
                <w:sz w:val="16"/>
                <w:szCs w:val="16"/>
              </w:rPr>
            </w:pPr>
          </w:p>
        </w:tc>
        <w:tc>
          <w:tcPr>
            <w:tcW w:w="794" w:type="dxa"/>
            <w:tcBorders>
              <w:top w:val="single" w:sz="4" w:space="0" w:color="auto"/>
            </w:tcBorders>
            <w:vAlign w:val="bottom"/>
          </w:tcPr>
          <w:p w14:paraId="1B3665DF" w14:textId="77777777" w:rsidR="006B57D8" w:rsidRPr="00472655" w:rsidRDefault="006B57D8" w:rsidP="00922116">
            <w:pPr>
              <w:pStyle w:val="VSmCellBody"/>
              <w:jc w:val="right"/>
              <w:rPr>
                <w:sz w:val="16"/>
                <w:szCs w:val="16"/>
              </w:rPr>
            </w:pPr>
            <w:r w:rsidRPr="00472655">
              <w:rPr>
                <w:sz w:val="16"/>
                <w:szCs w:val="16"/>
              </w:rPr>
              <w:t>14.6</w:t>
            </w:r>
          </w:p>
        </w:tc>
        <w:tc>
          <w:tcPr>
            <w:tcW w:w="236" w:type="dxa"/>
            <w:vAlign w:val="bottom"/>
          </w:tcPr>
          <w:p w14:paraId="10EED303" w14:textId="77777777" w:rsidR="006B57D8" w:rsidRPr="00472655" w:rsidRDefault="006B57D8" w:rsidP="00922116">
            <w:pPr>
              <w:pStyle w:val="CellRowSpacer"/>
              <w:rPr>
                <w:sz w:val="16"/>
                <w:szCs w:val="16"/>
              </w:rPr>
            </w:pPr>
          </w:p>
        </w:tc>
        <w:tc>
          <w:tcPr>
            <w:tcW w:w="794" w:type="dxa"/>
            <w:tcBorders>
              <w:top w:val="single" w:sz="4" w:space="0" w:color="auto"/>
            </w:tcBorders>
            <w:vAlign w:val="bottom"/>
          </w:tcPr>
          <w:p w14:paraId="3521DA01" w14:textId="77777777" w:rsidR="006B57D8" w:rsidRPr="00472655" w:rsidRDefault="006B57D8" w:rsidP="00922116">
            <w:pPr>
              <w:pStyle w:val="VSmCellBody"/>
              <w:jc w:val="right"/>
              <w:rPr>
                <w:sz w:val="16"/>
                <w:szCs w:val="16"/>
              </w:rPr>
            </w:pPr>
            <w:r w:rsidRPr="00472655">
              <w:rPr>
                <w:sz w:val="16"/>
                <w:szCs w:val="16"/>
              </w:rPr>
              <w:t>7.1</w:t>
            </w:r>
          </w:p>
        </w:tc>
        <w:tc>
          <w:tcPr>
            <w:tcW w:w="236" w:type="dxa"/>
            <w:vAlign w:val="bottom"/>
          </w:tcPr>
          <w:p w14:paraId="6EB52FE1" w14:textId="77777777" w:rsidR="006B57D8" w:rsidRPr="00472655" w:rsidRDefault="006B57D8" w:rsidP="00922116">
            <w:pPr>
              <w:pStyle w:val="CellRowSpacer"/>
              <w:rPr>
                <w:sz w:val="16"/>
                <w:szCs w:val="16"/>
              </w:rPr>
            </w:pPr>
          </w:p>
        </w:tc>
        <w:tc>
          <w:tcPr>
            <w:tcW w:w="794" w:type="dxa"/>
            <w:tcBorders>
              <w:top w:val="single" w:sz="4" w:space="0" w:color="auto"/>
            </w:tcBorders>
            <w:vAlign w:val="bottom"/>
          </w:tcPr>
          <w:p w14:paraId="37FAAA93" w14:textId="77777777" w:rsidR="006B57D8" w:rsidRPr="00472655" w:rsidRDefault="006B57D8" w:rsidP="00922116">
            <w:pPr>
              <w:pStyle w:val="VSmCellBody"/>
              <w:jc w:val="right"/>
              <w:rPr>
                <w:sz w:val="16"/>
                <w:szCs w:val="16"/>
              </w:rPr>
            </w:pPr>
            <w:r w:rsidRPr="00472655">
              <w:rPr>
                <w:sz w:val="16"/>
                <w:szCs w:val="16"/>
              </w:rPr>
              <w:t>11.5</w:t>
            </w:r>
          </w:p>
        </w:tc>
        <w:tc>
          <w:tcPr>
            <w:tcW w:w="236" w:type="dxa"/>
            <w:vAlign w:val="bottom"/>
          </w:tcPr>
          <w:p w14:paraId="266E892B" w14:textId="77777777" w:rsidR="006B57D8" w:rsidRPr="00472655" w:rsidRDefault="006B57D8" w:rsidP="00922116">
            <w:pPr>
              <w:pStyle w:val="CellRowSpacer"/>
              <w:rPr>
                <w:sz w:val="16"/>
                <w:szCs w:val="16"/>
              </w:rPr>
            </w:pPr>
          </w:p>
        </w:tc>
        <w:tc>
          <w:tcPr>
            <w:tcW w:w="794" w:type="dxa"/>
            <w:tcBorders>
              <w:top w:val="single" w:sz="4" w:space="0" w:color="auto"/>
            </w:tcBorders>
            <w:vAlign w:val="bottom"/>
          </w:tcPr>
          <w:p w14:paraId="79910033" w14:textId="77777777" w:rsidR="006B57D8" w:rsidRPr="00472655" w:rsidRDefault="006B57D8" w:rsidP="00922116">
            <w:pPr>
              <w:pStyle w:val="VSmCellBody"/>
              <w:jc w:val="right"/>
              <w:rPr>
                <w:sz w:val="16"/>
                <w:szCs w:val="16"/>
              </w:rPr>
            </w:pPr>
            <w:r w:rsidRPr="00472655">
              <w:rPr>
                <w:sz w:val="16"/>
                <w:szCs w:val="16"/>
              </w:rPr>
              <w:t>3.4</w:t>
            </w:r>
          </w:p>
        </w:tc>
        <w:tc>
          <w:tcPr>
            <w:tcW w:w="236" w:type="dxa"/>
            <w:vAlign w:val="bottom"/>
          </w:tcPr>
          <w:p w14:paraId="4AC18C9A" w14:textId="77777777" w:rsidR="006B57D8" w:rsidRPr="00472655" w:rsidRDefault="006B57D8" w:rsidP="00922116">
            <w:pPr>
              <w:pStyle w:val="CellRowSpacer"/>
              <w:rPr>
                <w:sz w:val="16"/>
                <w:szCs w:val="16"/>
              </w:rPr>
            </w:pPr>
          </w:p>
        </w:tc>
      </w:tr>
      <w:tr w:rsidR="006B57D8" w:rsidRPr="00472655" w14:paraId="2325A9D2" w14:textId="77777777" w:rsidTr="00922116">
        <w:tc>
          <w:tcPr>
            <w:tcW w:w="1689" w:type="dxa"/>
            <w:vAlign w:val="bottom"/>
          </w:tcPr>
          <w:p w14:paraId="5873A1C6" w14:textId="77777777" w:rsidR="006B57D8" w:rsidRPr="00472655" w:rsidRDefault="006B57D8" w:rsidP="00922116">
            <w:pPr>
              <w:pStyle w:val="VSmCellBody"/>
              <w:tabs>
                <w:tab w:val="right" w:leader="dot" w:pos="1689"/>
              </w:tabs>
              <w:rPr>
                <w:sz w:val="16"/>
                <w:szCs w:val="16"/>
              </w:rPr>
            </w:pPr>
            <w:r w:rsidRPr="00472655">
              <w:rPr>
                <w:sz w:val="16"/>
                <w:szCs w:val="16"/>
              </w:rPr>
              <w:t>40-64.9 k Dwt</w:t>
            </w:r>
            <w:r w:rsidRPr="00472655">
              <w:rPr>
                <w:sz w:val="16"/>
                <w:szCs w:val="16"/>
              </w:rPr>
              <w:tab/>
            </w:r>
          </w:p>
        </w:tc>
        <w:tc>
          <w:tcPr>
            <w:tcW w:w="236" w:type="dxa"/>
            <w:vAlign w:val="bottom"/>
          </w:tcPr>
          <w:p w14:paraId="671213DA" w14:textId="77777777" w:rsidR="006B57D8" w:rsidRPr="00472655" w:rsidRDefault="006B57D8" w:rsidP="00922116">
            <w:pPr>
              <w:pStyle w:val="CellRowSpacer"/>
              <w:rPr>
                <w:sz w:val="16"/>
                <w:szCs w:val="16"/>
              </w:rPr>
            </w:pPr>
          </w:p>
        </w:tc>
        <w:tc>
          <w:tcPr>
            <w:tcW w:w="794" w:type="dxa"/>
            <w:vAlign w:val="bottom"/>
          </w:tcPr>
          <w:p w14:paraId="3B9073C1" w14:textId="77777777" w:rsidR="006B57D8" w:rsidRPr="00472655" w:rsidRDefault="006B57D8" w:rsidP="00922116">
            <w:pPr>
              <w:pStyle w:val="VSmCellBody"/>
              <w:jc w:val="right"/>
              <w:rPr>
                <w:sz w:val="16"/>
                <w:szCs w:val="16"/>
              </w:rPr>
            </w:pPr>
            <w:r w:rsidRPr="00472655">
              <w:rPr>
                <w:sz w:val="16"/>
                <w:szCs w:val="16"/>
              </w:rPr>
              <w:t>48.4</w:t>
            </w:r>
          </w:p>
        </w:tc>
        <w:tc>
          <w:tcPr>
            <w:tcW w:w="236" w:type="dxa"/>
            <w:vAlign w:val="bottom"/>
          </w:tcPr>
          <w:p w14:paraId="2FB5799F" w14:textId="77777777" w:rsidR="006B57D8" w:rsidRPr="00472655" w:rsidRDefault="006B57D8" w:rsidP="00922116">
            <w:pPr>
              <w:pStyle w:val="CellRowSpacer"/>
              <w:rPr>
                <w:sz w:val="16"/>
                <w:szCs w:val="16"/>
              </w:rPr>
            </w:pPr>
          </w:p>
        </w:tc>
        <w:tc>
          <w:tcPr>
            <w:tcW w:w="794" w:type="dxa"/>
            <w:vAlign w:val="bottom"/>
          </w:tcPr>
          <w:p w14:paraId="60079FAD" w14:textId="77777777" w:rsidR="006B57D8" w:rsidRPr="00472655" w:rsidRDefault="006B57D8" w:rsidP="00922116">
            <w:pPr>
              <w:pStyle w:val="VSmCellBody"/>
              <w:jc w:val="right"/>
              <w:rPr>
                <w:sz w:val="16"/>
                <w:szCs w:val="16"/>
              </w:rPr>
            </w:pPr>
            <w:r w:rsidRPr="00472655">
              <w:rPr>
                <w:sz w:val="16"/>
                <w:szCs w:val="16"/>
              </w:rPr>
              <w:t>52.6</w:t>
            </w:r>
          </w:p>
        </w:tc>
        <w:tc>
          <w:tcPr>
            <w:tcW w:w="236" w:type="dxa"/>
            <w:vAlign w:val="bottom"/>
          </w:tcPr>
          <w:p w14:paraId="1F85A4AA" w14:textId="77777777" w:rsidR="006B57D8" w:rsidRPr="00472655" w:rsidRDefault="006B57D8" w:rsidP="00922116">
            <w:pPr>
              <w:pStyle w:val="CellRowSpacer"/>
              <w:rPr>
                <w:sz w:val="16"/>
                <w:szCs w:val="16"/>
              </w:rPr>
            </w:pPr>
          </w:p>
        </w:tc>
        <w:tc>
          <w:tcPr>
            <w:tcW w:w="794" w:type="dxa"/>
            <w:vAlign w:val="bottom"/>
          </w:tcPr>
          <w:p w14:paraId="650AC80D" w14:textId="77777777" w:rsidR="006B57D8" w:rsidRPr="00472655" w:rsidRDefault="006B57D8" w:rsidP="00922116">
            <w:pPr>
              <w:pStyle w:val="VSmCellBody"/>
              <w:jc w:val="right"/>
              <w:rPr>
                <w:sz w:val="16"/>
                <w:szCs w:val="16"/>
              </w:rPr>
            </w:pPr>
            <w:r w:rsidRPr="00472655">
              <w:rPr>
                <w:sz w:val="16"/>
                <w:szCs w:val="16"/>
              </w:rPr>
              <w:t>86.7</w:t>
            </w:r>
          </w:p>
        </w:tc>
        <w:tc>
          <w:tcPr>
            <w:tcW w:w="236" w:type="dxa"/>
            <w:vAlign w:val="bottom"/>
          </w:tcPr>
          <w:p w14:paraId="69A980B3" w14:textId="77777777" w:rsidR="006B57D8" w:rsidRPr="00472655" w:rsidRDefault="006B57D8" w:rsidP="00922116">
            <w:pPr>
              <w:pStyle w:val="CellRowSpacer"/>
              <w:rPr>
                <w:sz w:val="16"/>
                <w:szCs w:val="16"/>
              </w:rPr>
            </w:pPr>
          </w:p>
        </w:tc>
        <w:tc>
          <w:tcPr>
            <w:tcW w:w="794" w:type="dxa"/>
            <w:vAlign w:val="bottom"/>
          </w:tcPr>
          <w:p w14:paraId="26BB3509" w14:textId="77777777" w:rsidR="006B57D8" w:rsidRPr="00472655" w:rsidRDefault="006B57D8" w:rsidP="00922116">
            <w:pPr>
              <w:pStyle w:val="VSmCellBody"/>
              <w:jc w:val="right"/>
              <w:rPr>
                <w:sz w:val="16"/>
                <w:szCs w:val="16"/>
              </w:rPr>
            </w:pPr>
            <w:r w:rsidRPr="00472655">
              <w:rPr>
                <w:sz w:val="16"/>
                <w:szCs w:val="16"/>
              </w:rPr>
              <w:t>33.2</w:t>
            </w:r>
          </w:p>
        </w:tc>
        <w:tc>
          <w:tcPr>
            <w:tcW w:w="236" w:type="dxa"/>
            <w:vAlign w:val="bottom"/>
          </w:tcPr>
          <w:p w14:paraId="76EE6439" w14:textId="77777777" w:rsidR="006B57D8" w:rsidRPr="00472655" w:rsidRDefault="006B57D8" w:rsidP="00922116">
            <w:pPr>
              <w:pStyle w:val="CellRowSpacer"/>
              <w:rPr>
                <w:sz w:val="16"/>
                <w:szCs w:val="16"/>
              </w:rPr>
            </w:pPr>
          </w:p>
        </w:tc>
        <w:tc>
          <w:tcPr>
            <w:tcW w:w="794" w:type="dxa"/>
            <w:vAlign w:val="bottom"/>
          </w:tcPr>
          <w:p w14:paraId="3287C343" w14:textId="77777777" w:rsidR="006B57D8" w:rsidRPr="00472655" w:rsidRDefault="006B57D8" w:rsidP="00922116">
            <w:pPr>
              <w:pStyle w:val="VSmCellBody"/>
              <w:jc w:val="right"/>
              <w:rPr>
                <w:sz w:val="16"/>
                <w:szCs w:val="16"/>
              </w:rPr>
            </w:pPr>
            <w:r w:rsidRPr="00472655">
              <w:rPr>
                <w:sz w:val="16"/>
                <w:szCs w:val="16"/>
              </w:rPr>
              <w:t>17.9</w:t>
            </w:r>
          </w:p>
        </w:tc>
        <w:tc>
          <w:tcPr>
            <w:tcW w:w="236" w:type="dxa"/>
            <w:vAlign w:val="bottom"/>
          </w:tcPr>
          <w:p w14:paraId="1D5AB231" w14:textId="77777777" w:rsidR="006B57D8" w:rsidRPr="00472655" w:rsidRDefault="006B57D8" w:rsidP="00922116">
            <w:pPr>
              <w:pStyle w:val="CellRowSpacer"/>
              <w:rPr>
                <w:sz w:val="16"/>
                <w:szCs w:val="16"/>
              </w:rPr>
            </w:pPr>
          </w:p>
        </w:tc>
        <w:tc>
          <w:tcPr>
            <w:tcW w:w="794" w:type="dxa"/>
            <w:vAlign w:val="bottom"/>
          </w:tcPr>
          <w:p w14:paraId="3B72B4E7" w14:textId="77777777" w:rsidR="006B57D8" w:rsidRPr="00472655" w:rsidRDefault="006B57D8" w:rsidP="00922116">
            <w:pPr>
              <w:pStyle w:val="VSmCellBody"/>
              <w:jc w:val="right"/>
              <w:rPr>
                <w:sz w:val="16"/>
                <w:szCs w:val="16"/>
              </w:rPr>
            </w:pPr>
            <w:r w:rsidRPr="00472655">
              <w:rPr>
                <w:sz w:val="16"/>
                <w:szCs w:val="16"/>
              </w:rPr>
              <w:t>11.0</w:t>
            </w:r>
          </w:p>
        </w:tc>
        <w:tc>
          <w:tcPr>
            <w:tcW w:w="236" w:type="dxa"/>
            <w:vAlign w:val="bottom"/>
          </w:tcPr>
          <w:p w14:paraId="3A92D71D" w14:textId="77777777" w:rsidR="006B57D8" w:rsidRPr="00472655" w:rsidRDefault="006B57D8" w:rsidP="00922116">
            <w:pPr>
              <w:pStyle w:val="CellRowSpacer"/>
              <w:rPr>
                <w:sz w:val="16"/>
                <w:szCs w:val="16"/>
              </w:rPr>
            </w:pPr>
          </w:p>
        </w:tc>
        <w:tc>
          <w:tcPr>
            <w:tcW w:w="794" w:type="dxa"/>
            <w:vAlign w:val="bottom"/>
          </w:tcPr>
          <w:p w14:paraId="2E533B2B" w14:textId="77777777" w:rsidR="006B57D8" w:rsidRPr="00472655" w:rsidRDefault="006B57D8" w:rsidP="00922116">
            <w:pPr>
              <w:pStyle w:val="VSmCellBody"/>
              <w:jc w:val="right"/>
              <w:rPr>
                <w:sz w:val="16"/>
                <w:szCs w:val="16"/>
              </w:rPr>
            </w:pPr>
            <w:r w:rsidRPr="00472655">
              <w:rPr>
                <w:sz w:val="16"/>
                <w:szCs w:val="16"/>
              </w:rPr>
              <w:t>28.3</w:t>
            </w:r>
          </w:p>
        </w:tc>
        <w:tc>
          <w:tcPr>
            <w:tcW w:w="236" w:type="dxa"/>
            <w:vAlign w:val="bottom"/>
          </w:tcPr>
          <w:p w14:paraId="4A11ACF9" w14:textId="77777777" w:rsidR="006B57D8" w:rsidRPr="00472655" w:rsidRDefault="006B57D8" w:rsidP="00922116">
            <w:pPr>
              <w:pStyle w:val="CellRowSpacer"/>
              <w:rPr>
                <w:sz w:val="16"/>
                <w:szCs w:val="16"/>
              </w:rPr>
            </w:pPr>
          </w:p>
        </w:tc>
      </w:tr>
      <w:tr w:rsidR="006B57D8" w:rsidRPr="00472655" w14:paraId="0D63CCEF" w14:textId="77777777" w:rsidTr="00922116">
        <w:tc>
          <w:tcPr>
            <w:tcW w:w="1689" w:type="dxa"/>
            <w:vAlign w:val="bottom"/>
          </w:tcPr>
          <w:p w14:paraId="76F09D33" w14:textId="77777777" w:rsidR="006B57D8" w:rsidRPr="00472655" w:rsidRDefault="006B57D8" w:rsidP="00922116">
            <w:pPr>
              <w:pStyle w:val="VSmCellBody"/>
              <w:tabs>
                <w:tab w:val="right" w:leader="dot" w:pos="1689"/>
              </w:tabs>
              <w:rPr>
                <w:sz w:val="16"/>
                <w:szCs w:val="16"/>
              </w:rPr>
            </w:pPr>
            <w:r w:rsidRPr="00472655">
              <w:rPr>
                <w:sz w:val="16"/>
                <w:szCs w:val="16"/>
              </w:rPr>
              <w:t>65-119.9 k Dwt</w:t>
            </w:r>
            <w:r w:rsidRPr="00472655">
              <w:rPr>
                <w:sz w:val="16"/>
                <w:szCs w:val="16"/>
              </w:rPr>
              <w:tab/>
            </w:r>
          </w:p>
        </w:tc>
        <w:tc>
          <w:tcPr>
            <w:tcW w:w="236" w:type="dxa"/>
            <w:vAlign w:val="bottom"/>
          </w:tcPr>
          <w:p w14:paraId="07CBAB69" w14:textId="77777777" w:rsidR="006B57D8" w:rsidRPr="00472655" w:rsidRDefault="006B57D8" w:rsidP="00922116">
            <w:pPr>
              <w:pStyle w:val="CellRowSpacer"/>
              <w:rPr>
                <w:sz w:val="16"/>
                <w:szCs w:val="16"/>
              </w:rPr>
            </w:pPr>
          </w:p>
        </w:tc>
        <w:tc>
          <w:tcPr>
            <w:tcW w:w="794" w:type="dxa"/>
            <w:vAlign w:val="bottom"/>
          </w:tcPr>
          <w:p w14:paraId="2B7B949E" w14:textId="77777777" w:rsidR="006B57D8" w:rsidRPr="00472655" w:rsidRDefault="006B57D8" w:rsidP="00922116">
            <w:pPr>
              <w:pStyle w:val="VSmCellBody"/>
              <w:jc w:val="right"/>
              <w:rPr>
                <w:sz w:val="16"/>
                <w:szCs w:val="16"/>
              </w:rPr>
            </w:pPr>
            <w:r w:rsidRPr="00472655">
              <w:rPr>
                <w:sz w:val="16"/>
                <w:szCs w:val="16"/>
              </w:rPr>
              <w:t>53.2</w:t>
            </w:r>
          </w:p>
        </w:tc>
        <w:tc>
          <w:tcPr>
            <w:tcW w:w="236" w:type="dxa"/>
            <w:vAlign w:val="bottom"/>
          </w:tcPr>
          <w:p w14:paraId="3F013116" w14:textId="77777777" w:rsidR="006B57D8" w:rsidRPr="00472655" w:rsidRDefault="006B57D8" w:rsidP="00922116">
            <w:pPr>
              <w:pStyle w:val="CellRowSpacer"/>
              <w:rPr>
                <w:sz w:val="16"/>
                <w:szCs w:val="16"/>
              </w:rPr>
            </w:pPr>
          </w:p>
        </w:tc>
        <w:tc>
          <w:tcPr>
            <w:tcW w:w="794" w:type="dxa"/>
            <w:vAlign w:val="bottom"/>
          </w:tcPr>
          <w:p w14:paraId="2BC501F8" w14:textId="77777777" w:rsidR="006B57D8" w:rsidRPr="00472655" w:rsidRDefault="006B57D8" w:rsidP="00922116">
            <w:pPr>
              <w:pStyle w:val="VSmCellBody"/>
              <w:jc w:val="right"/>
              <w:rPr>
                <w:sz w:val="16"/>
                <w:szCs w:val="16"/>
              </w:rPr>
            </w:pPr>
            <w:r w:rsidRPr="00472655">
              <w:rPr>
                <w:sz w:val="16"/>
                <w:szCs w:val="16"/>
              </w:rPr>
              <w:t>48.3</w:t>
            </w:r>
          </w:p>
        </w:tc>
        <w:tc>
          <w:tcPr>
            <w:tcW w:w="236" w:type="dxa"/>
            <w:vAlign w:val="bottom"/>
          </w:tcPr>
          <w:p w14:paraId="3FE94CED" w14:textId="77777777" w:rsidR="006B57D8" w:rsidRPr="00472655" w:rsidRDefault="006B57D8" w:rsidP="00922116">
            <w:pPr>
              <w:pStyle w:val="CellRowSpacer"/>
              <w:rPr>
                <w:sz w:val="16"/>
                <w:szCs w:val="16"/>
              </w:rPr>
            </w:pPr>
          </w:p>
        </w:tc>
        <w:tc>
          <w:tcPr>
            <w:tcW w:w="794" w:type="dxa"/>
            <w:vAlign w:val="bottom"/>
          </w:tcPr>
          <w:p w14:paraId="74390506" w14:textId="77777777" w:rsidR="006B57D8" w:rsidRPr="00472655" w:rsidRDefault="006B57D8" w:rsidP="00922116">
            <w:pPr>
              <w:pStyle w:val="VSmCellBody"/>
              <w:jc w:val="right"/>
              <w:rPr>
                <w:sz w:val="16"/>
                <w:szCs w:val="16"/>
              </w:rPr>
            </w:pPr>
            <w:r w:rsidRPr="00472655">
              <w:rPr>
                <w:sz w:val="16"/>
                <w:szCs w:val="16"/>
              </w:rPr>
              <w:t>107.4</w:t>
            </w:r>
          </w:p>
        </w:tc>
        <w:tc>
          <w:tcPr>
            <w:tcW w:w="236" w:type="dxa"/>
            <w:vAlign w:val="bottom"/>
          </w:tcPr>
          <w:p w14:paraId="4A82AAB8" w14:textId="77777777" w:rsidR="006B57D8" w:rsidRPr="00472655" w:rsidRDefault="006B57D8" w:rsidP="00922116">
            <w:pPr>
              <w:pStyle w:val="CellRowSpacer"/>
              <w:rPr>
                <w:sz w:val="16"/>
                <w:szCs w:val="16"/>
              </w:rPr>
            </w:pPr>
          </w:p>
        </w:tc>
        <w:tc>
          <w:tcPr>
            <w:tcW w:w="794" w:type="dxa"/>
            <w:vAlign w:val="bottom"/>
          </w:tcPr>
          <w:p w14:paraId="11DC3248" w14:textId="77777777" w:rsidR="006B57D8" w:rsidRPr="00472655" w:rsidRDefault="006B57D8" w:rsidP="00922116">
            <w:pPr>
              <w:pStyle w:val="VSmCellBody"/>
              <w:jc w:val="right"/>
              <w:rPr>
                <w:sz w:val="16"/>
                <w:szCs w:val="16"/>
              </w:rPr>
            </w:pPr>
            <w:r w:rsidRPr="00472655">
              <w:rPr>
                <w:sz w:val="16"/>
                <w:szCs w:val="16"/>
              </w:rPr>
              <w:t>35.8</w:t>
            </w:r>
          </w:p>
        </w:tc>
        <w:tc>
          <w:tcPr>
            <w:tcW w:w="236" w:type="dxa"/>
            <w:vAlign w:val="bottom"/>
          </w:tcPr>
          <w:p w14:paraId="4781BB0A" w14:textId="77777777" w:rsidR="006B57D8" w:rsidRPr="00472655" w:rsidRDefault="006B57D8" w:rsidP="00922116">
            <w:pPr>
              <w:pStyle w:val="CellRowSpacer"/>
              <w:rPr>
                <w:sz w:val="16"/>
                <w:szCs w:val="16"/>
              </w:rPr>
            </w:pPr>
          </w:p>
        </w:tc>
        <w:tc>
          <w:tcPr>
            <w:tcW w:w="794" w:type="dxa"/>
            <w:vAlign w:val="bottom"/>
          </w:tcPr>
          <w:p w14:paraId="56F14207" w14:textId="77777777" w:rsidR="006B57D8" w:rsidRPr="00472655" w:rsidRDefault="006B57D8" w:rsidP="00922116">
            <w:pPr>
              <w:pStyle w:val="VSmCellBody"/>
              <w:jc w:val="right"/>
              <w:rPr>
                <w:sz w:val="16"/>
                <w:szCs w:val="16"/>
              </w:rPr>
            </w:pPr>
            <w:r w:rsidRPr="00472655">
              <w:rPr>
                <w:sz w:val="16"/>
                <w:szCs w:val="16"/>
              </w:rPr>
              <w:t>23.7</w:t>
            </w:r>
          </w:p>
        </w:tc>
        <w:tc>
          <w:tcPr>
            <w:tcW w:w="236" w:type="dxa"/>
            <w:vAlign w:val="bottom"/>
          </w:tcPr>
          <w:p w14:paraId="007EE6C1" w14:textId="77777777" w:rsidR="006B57D8" w:rsidRPr="00472655" w:rsidRDefault="006B57D8" w:rsidP="00922116">
            <w:pPr>
              <w:pStyle w:val="CellRowSpacer"/>
              <w:rPr>
                <w:sz w:val="16"/>
                <w:szCs w:val="16"/>
              </w:rPr>
            </w:pPr>
          </w:p>
        </w:tc>
        <w:tc>
          <w:tcPr>
            <w:tcW w:w="794" w:type="dxa"/>
            <w:vAlign w:val="bottom"/>
          </w:tcPr>
          <w:p w14:paraId="1F673648" w14:textId="77777777" w:rsidR="006B57D8" w:rsidRPr="00472655" w:rsidRDefault="006B57D8" w:rsidP="00922116">
            <w:pPr>
              <w:pStyle w:val="VSmCellBody"/>
              <w:jc w:val="right"/>
              <w:rPr>
                <w:sz w:val="16"/>
                <w:szCs w:val="16"/>
              </w:rPr>
            </w:pPr>
            <w:r w:rsidRPr="00472655">
              <w:rPr>
                <w:sz w:val="16"/>
                <w:szCs w:val="16"/>
              </w:rPr>
              <w:t>12.5</w:t>
            </w:r>
          </w:p>
        </w:tc>
        <w:tc>
          <w:tcPr>
            <w:tcW w:w="236" w:type="dxa"/>
            <w:vAlign w:val="bottom"/>
          </w:tcPr>
          <w:p w14:paraId="559A3C87" w14:textId="77777777" w:rsidR="006B57D8" w:rsidRPr="00472655" w:rsidRDefault="006B57D8" w:rsidP="00922116">
            <w:pPr>
              <w:pStyle w:val="CellRowSpacer"/>
              <w:rPr>
                <w:sz w:val="16"/>
                <w:szCs w:val="16"/>
              </w:rPr>
            </w:pPr>
          </w:p>
        </w:tc>
        <w:tc>
          <w:tcPr>
            <w:tcW w:w="794" w:type="dxa"/>
            <w:vAlign w:val="bottom"/>
          </w:tcPr>
          <w:p w14:paraId="1910DA41" w14:textId="77777777" w:rsidR="006B57D8" w:rsidRPr="00472655" w:rsidRDefault="006B57D8" w:rsidP="00922116">
            <w:pPr>
              <w:pStyle w:val="VSmCellBody"/>
              <w:jc w:val="right"/>
              <w:rPr>
                <w:sz w:val="16"/>
                <w:szCs w:val="16"/>
              </w:rPr>
            </w:pPr>
            <w:r w:rsidRPr="00472655">
              <w:rPr>
                <w:sz w:val="16"/>
                <w:szCs w:val="16"/>
              </w:rPr>
              <w:t>34.6</w:t>
            </w:r>
          </w:p>
        </w:tc>
        <w:tc>
          <w:tcPr>
            <w:tcW w:w="236" w:type="dxa"/>
            <w:vAlign w:val="bottom"/>
          </w:tcPr>
          <w:p w14:paraId="3691AB42" w14:textId="77777777" w:rsidR="006B57D8" w:rsidRPr="00472655" w:rsidRDefault="006B57D8" w:rsidP="00922116">
            <w:pPr>
              <w:pStyle w:val="CellRowSpacer"/>
              <w:rPr>
                <w:sz w:val="16"/>
                <w:szCs w:val="16"/>
              </w:rPr>
            </w:pPr>
          </w:p>
        </w:tc>
      </w:tr>
      <w:tr w:rsidR="006B57D8" w:rsidRPr="00472655" w14:paraId="58EB7B96" w14:textId="77777777" w:rsidTr="00922116">
        <w:tc>
          <w:tcPr>
            <w:tcW w:w="1689" w:type="dxa"/>
            <w:vAlign w:val="bottom"/>
          </w:tcPr>
          <w:p w14:paraId="48B9AB04" w14:textId="77777777" w:rsidR="006B57D8" w:rsidRPr="00472655" w:rsidRDefault="006B57D8" w:rsidP="00922116">
            <w:pPr>
              <w:pStyle w:val="VSmCellBody"/>
              <w:tabs>
                <w:tab w:val="right" w:leader="dot" w:pos="1689"/>
              </w:tabs>
              <w:rPr>
                <w:sz w:val="16"/>
                <w:szCs w:val="16"/>
              </w:rPr>
            </w:pPr>
            <w:r w:rsidRPr="00472655">
              <w:rPr>
                <w:sz w:val="16"/>
                <w:szCs w:val="16"/>
              </w:rPr>
              <w:t>120+ k Dwt</w:t>
            </w:r>
            <w:r w:rsidRPr="00472655">
              <w:rPr>
                <w:sz w:val="16"/>
                <w:szCs w:val="16"/>
              </w:rPr>
              <w:tab/>
            </w:r>
          </w:p>
        </w:tc>
        <w:tc>
          <w:tcPr>
            <w:tcW w:w="236" w:type="dxa"/>
            <w:vAlign w:val="bottom"/>
          </w:tcPr>
          <w:p w14:paraId="15E28927" w14:textId="77777777" w:rsidR="006B57D8" w:rsidRPr="00472655" w:rsidRDefault="006B57D8" w:rsidP="00922116">
            <w:pPr>
              <w:pStyle w:val="CellRowSpacer"/>
              <w:rPr>
                <w:sz w:val="16"/>
                <w:szCs w:val="16"/>
              </w:rPr>
            </w:pPr>
          </w:p>
        </w:tc>
        <w:tc>
          <w:tcPr>
            <w:tcW w:w="794" w:type="dxa"/>
            <w:vAlign w:val="bottom"/>
          </w:tcPr>
          <w:p w14:paraId="2EB468B2" w14:textId="77777777" w:rsidR="006B57D8" w:rsidRPr="00472655" w:rsidRDefault="006B57D8" w:rsidP="00922116">
            <w:pPr>
              <w:pStyle w:val="VSmCellBody"/>
              <w:jc w:val="right"/>
              <w:rPr>
                <w:sz w:val="16"/>
                <w:szCs w:val="16"/>
              </w:rPr>
            </w:pPr>
            <w:r w:rsidRPr="00472655">
              <w:rPr>
                <w:sz w:val="16"/>
                <w:szCs w:val="16"/>
              </w:rPr>
              <w:t>71.3</w:t>
            </w:r>
          </w:p>
        </w:tc>
        <w:tc>
          <w:tcPr>
            <w:tcW w:w="236" w:type="dxa"/>
            <w:vAlign w:val="bottom"/>
          </w:tcPr>
          <w:p w14:paraId="5A215219" w14:textId="77777777" w:rsidR="006B57D8" w:rsidRPr="00472655" w:rsidRDefault="006B57D8" w:rsidP="00922116">
            <w:pPr>
              <w:pStyle w:val="CellRowSpacer"/>
              <w:rPr>
                <w:sz w:val="16"/>
                <w:szCs w:val="16"/>
              </w:rPr>
            </w:pPr>
          </w:p>
        </w:tc>
        <w:tc>
          <w:tcPr>
            <w:tcW w:w="794" w:type="dxa"/>
            <w:vAlign w:val="bottom"/>
          </w:tcPr>
          <w:p w14:paraId="4B577654" w14:textId="77777777" w:rsidR="006B57D8" w:rsidRPr="00472655" w:rsidRDefault="006B57D8" w:rsidP="00922116">
            <w:pPr>
              <w:pStyle w:val="VSmCellBody"/>
              <w:jc w:val="right"/>
              <w:rPr>
                <w:sz w:val="16"/>
                <w:szCs w:val="16"/>
              </w:rPr>
            </w:pPr>
            <w:r w:rsidRPr="00472655">
              <w:rPr>
                <w:sz w:val="16"/>
                <w:szCs w:val="16"/>
              </w:rPr>
              <w:t>83.4</w:t>
            </w:r>
          </w:p>
        </w:tc>
        <w:tc>
          <w:tcPr>
            <w:tcW w:w="236" w:type="dxa"/>
            <w:vAlign w:val="bottom"/>
          </w:tcPr>
          <w:p w14:paraId="756347E8" w14:textId="77777777" w:rsidR="006B57D8" w:rsidRPr="00472655" w:rsidRDefault="006B57D8" w:rsidP="00922116">
            <w:pPr>
              <w:pStyle w:val="CellRowSpacer"/>
              <w:rPr>
                <w:sz w:val="16"/>
                <w:szCs w:val="16"/>
              </w:rPr>
            </w:pPr>
          </w:p>
        </w:tc>
        <w:tc>
          <w:tcPr>
            <w:tcW w:w="794" w:type="dxa"/>
            <w:vAlign w:val="bottom"/>
          </w:tcPr>
          <w:p w14:paraId="7CCA95D9" w14:textId="77777777" w:rsidR="006B57D8" w:rsidRPr="00472655" w:rsidRDefault="006B57D8" w:rsidP="00922116">
            <w:pPr>
              <w:pStyle w:val="VSmCellBody"/>
              <w:jc w:val="right"/>
              <w:rPr>
                <w:sz w:val="16"/>
                <w:szCs w:val="16"/>
              </w:rPr>
            </w:pPr>
            <w:r w:rsidRPr="00472655">
              <w:rPr>
                <w:sz w:val="16"/>
                <w:szCs w:val="16"/>
              </w:rPr>
              <w:t>155.9</w:t>
            </w:r>
          </w:p>
        </w:tc>
        <w:tc>
          <w:tcPr>
            <w:tcW w:w="236" w:type="dxa"/>
            <w:vAlign w:val="bottom"/>
          </w:tcPr>
          <w:p w14:paraId="02E3AEBB" w14:textId="77777777" w:rsidR="006B57D8" w:rsidRPr="00472655" w:rsidRDefault="006B57D8" w:rsidP="00922116">
            <w:pPr>
              <w:pStyle w:val="CellRowSpacer"/>
              <w:rPr>
                <w:sz w:val="16"/>
                <w:szCs w:val="16"/>
              </w:rPr>
            </w:pPr>
          </w:p>
        </w:tc>
        <w:tc>
          <w:tcPr>
            <w:tcW w:w="794" w:type="dxa"/>
            <w:vAlign w:val="bottom"/>
          </w:tcPr>
          <w:p w14:paraId="73B2EA03" w14:textId="77777777" w:rsidR="006B57D8" w:rsidRPr="00472655" w:rsidRDefault="006B57D8" w:rsidP="00922116">
            <w:pPr>
              <w:pStyle w:val="VSmCellBody"/>
              <w:jc w:val="right"/>
              <w:rPr>
                <w:sz w:val="16"/>
                <w:szCs w:val="16"/>
              </w:rPr>
            </w:pPr>
            <w:r w:rsidRPr="00472655">
              <w:rPr>
                <w:sz w:val="16"/>
                <w:szCs w:val="16"/>
              </w:rPr>
              <w:t>58.1</w:t>
            </w:r>
          </w:p>
        </w:tc>
        <w:tc>
          <w:tcPr>
            <w:tcW w:w="236" w:type="dxa"/>
            <w:vAlign w:val="bottom"/>
          </w:tcPr>
          <w:p w14:paraId="31C86A22" w14:textId="77777777" w:rsidR="006B57D8" w:rsidRPr="00472655" w:rsidRDefault="006B57D8" w:rsidP="00922116">
            <w:pPr>
              <w:pStyle w:val="CellRowSpacer"/>
              <w:rPr>
                <w:sz w:val="16"/>
                <w:szCs w:val="16"/>
              </w:rPr>
            </w:pPr>
          </w:p>
        </w:tc>
        <w:tc>
          <w:tcPr>
            <w:tcW w:w="794" w:type="dxa"/>
            <w:vAlign w:val="bottom"/>
          </w:tcPr>
          <w:p w14:paraId="709C5A43" w14:textId="77777777" w:rsidR="006B57D8" w:rsidRPr="00472655" w:rsidRDefault="006B57D8" w:rsidP="00922116">
            <w:pPr>
              <w:pStyle w:val="VSmCellBody"/>
              <w:jc w:val="right"/>
              <w:rPr>
                <w:sz w:val="16"/>
                <w:szCs w:val="16"/>
              </w:rPr>
            </w:pPr>
            <w:r w:rsidRPr="00472655">
              <w:rPr>
                <w:sz w:val="16"/>
                <w:szCs w:val="16"/>
              </w:rPr>
              <w:t>16.2</w:t>
            </w:r>
          </w:p>
        </w:tc>
        <w:tc>
          <w:tcPr>
            <w:tcW w:w="236" w:type="dxa"/>
            <w:vAlign w:val="bottom"/>
          </w:tcPr>
          <w:p w14:paraId="393FBA38" w14:textId="77777777" w:rsidR="006B57D8" w:rsidRPr="00472655" w:rsidRDefault="006B57D8" w:rsidP="00922116">
            <w:pPr>
              <w:pStyle w:val="CellRowSpacer"/>
              <w:rPr>
                <w:sz w:val="16"/>
                <w:szCs w:val="16"/>
              </w:rPr>
            </w:pPr>
          </w:p>
        </w:tc>
        <w:tc>
          <w:tcPr>
            <w:tcW w:w="794" w:type="dxa"/>
            <w:vAlign w:val="bottom"/>
          </w:tcPr>
          <w:p w14:paraId="5CD7D62D" w14:textId="77777777" w:rsidR="006B57D8" w:rsidRPr="00472655" w:rsidRDefault="006B57D8" w:rsidP="00922116">
            <w:pPr>
              <w:pStyle w:val="VSmCellBody"/>
              <w:jc w:val="right"/>
              <w:rPr>
                <w:sz w:val="16"/>
                <w:szCs w:val="16"/>
              </w:rPr>
            </w:pPr>
            <w:r w:rsidRPr="00472655">
              <w:rPr>
                <w:sz w:val="16"/>
                <w:szCs w:val="16"/>
              </w:rPr>
              <w:t>0.8</w:t>
            </w:r>
          </w:p>
        </w:tc>
        <w:tc>
          <w:tcPr>
            <w:tcW w:w="236" w:type="dxa"/>
            <w:vAlign w:val="bottom"/>
          </w:tcPr>
          <w:p w14:paraId="5F406266" w14:textId="77777777" w:rsidR="006B57D8" w:rsidRPr="00472655" w:rsidRDefault="006B57D8" w:rsidP="00922116">
            <w:pPr>
              <w:pStyle w:val="CellRowSpacer"/>
              <w:rPr>
                <w:sz w:val="16"/>
                <w:szCs w:val="16"/>
              </w:rPr>
            </w:pPr>
          </w:p>
        </w:tc>
        <w:tc>
          <w:tcPr>
            <w:tcW w:w="794" w:type="dxa"/>
            <w:vAlign w:val="bottom"/>
          </w:tcPr>
          <w:p w14:paraId="440BCC08" w14:textId="77777777" w:rsidR="006B57D8" w:rsidRPr="00472655" w:rsidRDefault="006B57D8" w:rsidP="00922116">
            <w:pPr>
              <w:pStyle w:val="VSmCellBody"/>
              <w:jc w:val="right"/>
              <w:rPr>
                <w:sz w:val="16"/>
                <w:szCs w:val="16"/>
              </w:rPr>
            </w:pPr>
            <w:r w:rsidRPr="00472655">
              <w:rPr>
                <w:sz w:val="16"/>
                <w:szCs w:val="16"/>
              </w:rPr>
              <w:t>28.8</w:t>
            </w:r>
          </w:p>
        </w:tc>
        <w:tc>
          <w:tcPr>
            <w:tcW w:w="236" w:type="dxa"/>
            <w:vAlign w:val="bottom"/>
          </w:tcPr>
          <w:p w14:paraId="139F14BE" w14:textId="77777777" w:rsidR="006B57D8" w:rsidRPr="00472655" w:rsidRDefault="006B57D8" w:rsidP="00922116">
            <w:pPr>
              <w:pStyle w:val="CellRowSpacer"/>
              <w:rPr>
                <w:sz w:val="16"/>
                <w:szCs w:val="16"/>
              </w:rPr>
            </w:pPr>
          </w:p>
        </w:tc>
      </w:tr>
    </w:tbl>
    <w:p w14:paraId="5CF11D08" w14:textId="77777777" w:rsidR="006B57D8" w:rsidRDefault="006B57D8" w:rsidP="00F87C1B">
      <w:pPr>
        <w:pStyle w:val="P68B1DB1-KeyMessage1"/>
        <w:spacing w:beforeLines="40" w:before="96" w:afterLines="40" w:after="96"/>
        <w:rPr>
          <w:rFonts w:ascii="Traditional Arabic" w:hAnsi="Traditional Arabic" w:cs="Traditional Arabic"/>
          <w:i/>
          <w:sz w:val="30"/>
          <w:szCs w:val="30"/>
        </w:rPr>
      </w:pPr>
    </w:p>
    <w:p w14:paraId="28F39932" w14:textId="77777777" w:rsidR="00F87C1B" w:rsidRPr="00F87C1B" w:rsidRDefault="00F87C1B" w:rsidP="006B57D8">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 (البيانات حتى 30 نوفمبر 2024)</w:t>
      </w:r>
    </w:p>
    <w:p w14:paraId="2448CC1D"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أساسيات السوق والأرباح</w:t>
      </w:r>
    </w:p>
    <w:p w14:paraId="17CB29D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كان أحد الاتجاهات الملحوظة في أرصدة سوق ناقلات البضائع السائبة الجافة منذ جائحة كوفيد-19 هو التأثير الكبير لكفاءات الأسطول، وتحديداً اضطرابات سلسلة التوريد وتأخير الموانئ. فعلى سبيل المثال، نمت التجارة البحرية السائبة الجافة بنسبة 2.8 في المائة في عام 2021، إلا أن الطلب على الحمولة الساكنة السائبة الجافة قد ارتفع (مع الأخذ في الاعتبار آثار عوامل كفاءة التداول مثل المسافات وسرعات السفن وازدحام الموانئ إلى جانب أحجام التجارة) بنسبة 7.3 في المائة. (إلى ما يقرب من 760 مليون طن من الوزن الساكن). وقد عزز ذلك معدل استخدام أسطول البضائع السائبة الجافة، الذي وصل إلى 92 في المائة في عام 2021، وهو أعلى مستوى له منذ عام 2011. ومع بدء تلاشي أوجه القصور هذه في عام 2022، انخفضت مستويات استخدام الأسطول أيضًا، حيث بلغ متوسطها 87 في المائة لعام 2022 مع ما يترتب على ذلك من تأثير سلبي على أسعار الشحن.</w:t>
      </w:r>
    </w:p>
    <w:p w14:paraId="680FC9A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ومنذ عام 2023، ارتفعت أوجه القصور في الأسطول مرة أخرى. أولاً، أدى الغزو الروسي لأوكرانيا إلى إعادة توجيه التدفقات التجارية (خاصة الفحم)، مما أدى إلى زيادة مسافات الإبحار. ثانيًا، أدت الاضطرابات الكبيرة في قناة بنما وقناة السويس إلى تحويلات واسعة النطاق للسفن على طرق إبحار أطول. ونتيجة لذلك، تم دعم توظيف أسطول البضائع السائبة الجافة مرة أخرى، ولكن من المتوقع أن يتعرض للضغط بمجرد أن تبدأ عوامل عدم الكفاءة هذه في التراجع.</w:t>
      </w:r>
    </w:p>
    <w:p w14:paraId="40B81B9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الأرباح في قطاع البضائع السائبة الجافة متقلبة للغاية. فمع توقع أن تقوض بعض العوامل الرئيسية نمو الشحن في الطلب على الشحنات السائبة الجافة (تباطؤ المتطلبات الصينية، وزيادة كفاءة الأسطول)، والبعض الآخر يمثل بعض المخاطر الصعودية </w:t>
      </w:r>
      <w:r w:rsidRPr="00F87C1B">
        <w:rPr>
          <w:rFonts w:ascii="Traditional Arabic" w:hAnsi="Traditional Arabic" w:cs="Traditional Arabic"/>
          <w:sz w:val="30"/>
          <w:szCs w:val="30"/>
        </w:rPr>
        <w:lastRenderedPageBreak/>
        <w:t>الملحوظة (إمكانات برامج تحفيز الاستثمار التي تقودها الحكومة)، فإن توقعات مستشار السوق لمدة خمس سنوات لمعدلات تأجير السفن المجهزة بالمدة لا تزال متوازنة تمامًا. ومن غير المتوقع أن تنخفض الأرباح إلى أدنى مستوياتها في منتصف عام 2010، على الرغم من أن انخفاض معدلات استخدام السفن سيستمر في الضغط على الإمكانات على المدى القريب لسوق البضائع السائبة الجافة مقارنة بالماضي القريب.</w:t>
      </w:r>
    </w:p>
    <w:p w14:paraId="7207E086"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+10 آلاف طن للوزن الساكن من البضائع السائبة الجافة والطلب ومعدل التشغيل *</w:t>
      </w:r>
    </w:p>
    <w:p w14:paraId="333D5F0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يمثل عام 2028 نقطة تحول في توقعات مستشار السوق لمعدل التعاقد مع ناقلات البضائع السائبة الجافة مع انخفاض الطلب المرتبط بالانخفاضات على المدى الطويل في تجارة الخام والفحم أكثر من موازنة سلع الحبوب المتزايدة والبضائع الثانوية.</w:t>
      </w:r>
    </w:p>
    <w:p w14:paraId="5472799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يتم تخفيف التأثير السلبي لهذا الأمر على معدل تشغيل الأسطول من خلال زيادة التخريد مع تقدم الأسطول في العمر وهناك اللوائح البيئية الأكثر صرامة التي تقلل من ربحية السفن القديمة الأقل كفاءة في استهلاك الوقود.</w:t>
      </w:r>
    </w:p>
    <w:p w14:paraId="46B0441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69A2C453" wp14:editId="245296A5">
            <wp:extent cx="4320000" cy="2199600"/>
            <wp:effectExtent l="0" t="0" r="4445" b="0"/>
            <wp:docPr id="1595895921"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20000"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34AFA8EC" w14:textId="77777777" w:rsidTr="00922116">
        <w:tc>
          <w:tcPr>
            <w:tcW w:w="1440" w:type="dxa"/>
            <w:tcBorders>
              <w:top w:val="single" w:sz="4" w:space="0" w:color="auto"/>
            </w:tcBorders>
            <w:vAlign w:val="bottom"/>
          </w:tcPr>
          <w:p w14:paraId="733202B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الملاحظات:</w:t>
            </w:r>
          </w:p>
        </w:tc>
        <w:tc>
          <w:tcPr>
            <w:tcW w:w="7599" w:type="dxa"/>
            <w:vAlign w:val="bottom"/>
          </w:tcPr>
          <w:p w14:paraId="609E51A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0540048F" w14:textId="77777777" w:rsidTr="00922116">
        <w:tc>
          <w:tcPr>
            <w:tcW w:w="9039" w:type="dxa"/>
            <w:gridSpan w:val="2"/>
            <w:vAlign w:val="bottom"/>
          </w:tcPr>
          <w:p w14:paraId="51F0281F"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يتم عكس التغييرات في الأسطول لإظهار التأثير على معدل التشغيل بالنسبة للطلب</w:t>
            </w:r>
          </w:p>
        </w:tc>
      </w:tr>
      <w:tr w:rsidR="00F87C1B" w:rsidRPr="00F87C1B" w14:paraId="63644201" w14:textId="77777777" w:rsidTr="00922116">
        <w:tc>
          <w:tcPr>
            <w:tcW w:w="9039" w:type="dxa"/>
            <w:gridSpan w:val="2"/>
            <w:vAlign w:val="bottom"/>
          </w:tcPr>
          <w:p w14:paraId="03FB868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18450837"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2B58F661"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البضائع السائبة الجافة - أسعار تأجير السفينة المجهزة بالمدة لمدة عام واحد</w:t>
      </w:r>
    </w:p>
    <w:p w14:paraId="0EF0BD4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0F6A0066" wp14:editId="709E1554">
            <wp:extent cx="3364094" cy="2199600"/>
            <wp:effectExtent l="0" t="0" r="8255" b="0"/>
            <wp:docPr id="14874709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64094"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2300A6A7" w14:textId="77777777" w:rsidTr="00922116">
        <w:tc>
          <w:tcPr>
            <w:tcW w:w="1440" w:type="dxa"/>
            <w:tcBorders>
              <w:top w:val="single" w:sz="4" w:space="0" w:color="auto"/>
            </w:tcBorders>
            <w:vAlign w:val="bottom"/>
          </w:tcPr>
          <w:p w14:paraId="4499548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الملاحظات:</w:t>
            </w:r>
          </w:p>
        </w:tc>
        <w:tc>
          <w:tcPr>
            <w:tcW w:w="7599" w:type="dxa"/>
            <w:vAlign w:val="bottom"/>
          </w:tcPr>
          <w:p w14:paraId="494CD12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6342104A" w14:textId="77777777" w:rsidTr="00922116">
        <w:tc>
          <w:tcPr>
            <w:tcW w:w="9039" w:type="dxa"/>
            <w:gridSpan w:val="2"/>
            <w:vAlign w:val="bottom"/>
          </w:tcPr>
          <w:p w14:paraId="6B061434"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تشير الخطوط المتقطعة إلى المتوسطات خلال الفترة 2010-2030</w:t>
            </w:r>
          </w:p>
        </w:tc>
      </w:tr>
      <w:tr w:rsidR="00F87C1B" w:rsidRPr="00F87C1B" w14:paraId="29289CD7" w14:textId="77777777" w:rsidTr="00922116">
        <w:tc>
          <w:tcPr>
            <w:tcW w:w="9039" w:type="dxa"/>
            <w:gridSpan w:val="2"/>
            <w:vAlign w:val="bottom"/>
          </w:tcPr>
          <w:p w14:paraId="7877DB6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1615B45B"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 عدد من الوسطاء</w:t>
      </w:r>
    </w:p>
    <w:p w14:paraId="59B4CF23"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ناقلات الغاز الطبيعي المسال</w:t>
      </w:r>
    </w:p>
    <w:p w14:paraId="087B67E1"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نظرة عامة على السوق</w:t>
      </w:r>
    </w:p>
    <w:p w14:paraId="014CE76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يعد الغاز الطبيعي مصدرًا مهمًا للطاقة، حيث يمثل أقل من ربع الاستهلاك العالمي للطاقة، ويستخدم تقليديا كمصدر للطاقة للتدفئة والطبخ وتوليد الكهرباء. ويما أنه يستعمل كوقود حرق وفير ونظيف نسبيًا، أصبح الغاز الطبيعي جزءًا متزايد الأهمية من مزيج الطاقة حيث تسعى البلدان جاهدة لتحقيق أهداف أكثر صرامة للانبعاثات.</w:t>
      </w:r>
    </w:p>
    <w:p w14:paraId="7E55100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فيتم نقل الغاز الطبيعي إما في حالة غازية عبر خطوط الأنابيب أو تسييله ونقله في معدات نقل متخصصة عن طريق البر أو السكك الحديدية أو البحر. وتتضمن عملية التسييل تبريد الغاز الطبيعي إلى -162 درجة مئوية. هذا، ويدعم التباعد بين مراكز العرض والطلب على الغاز الطبيعي تجارة الغاز الطبيعي المسال المنقولة بحراً حيث تعتبر خطوط الأنابيب بشكل عام غير اقتصادية على مسافات تزيد عن 3500 كيلومتر. ويتم نقل الغاز الطبيعي المسال عن طريق البحر في ناقلات مخصصة لنقل الغاز الطبيعي المسال. في عام 2023، بلغ إجمالي شحنات الغاز الطبيعي المسال 402 مليون طن متري، وهو ما يمثل 13.7 في المائة من الاستهلاك العالمي للغاز الطبيعي في نفس العام.</w:t>
      </w:r>
      <w:r w:rsidR="00027ED6">
        <w:rPr>
          <w:rFonts w:ascii="Traditional Arabic" w:hAnsi="Traditional Arabic" w:cs="Traditional Arabic" w:hint="cs"/>
          <w:sz w:val="30"/>
          <w:szCs w:val="30"/>
        </w:rPr>
        <w:t xml:space="preserve"> وتمتلك الشركة على المشاع </w:t>
      </w:r>
      <w:r w:rsidR="00E65278" w:rsidRPr="00F63572">
        <w:rPr>
          <w:rFonts w:ascii="Traditional Arabic" w:hAnsi="Traditional Arabic" w:cs="Traditional Arabic"/>
          <w:sz w:val="30"/>
          <w:szCs w:val="30"/>
        </w:rPr>
        <w:t>ناقلة غاز عملاقة</w:t>
      </w:r>
      <w:r w:rsidR="00E65278">
        <w:rPr>
          <w:rFonts w:ascii="Traditional Arabic" w:hAnsi="Traditional Arabic" w:cs="Traditional Arabic" w:hint="cs"/>
          <w:sz w:val="30"/>
          <w:szCs w:val="30"/>
        </w:rPr>
        <w:t xml:space="preserve"> </w:t>
      </w:r>
      <w:r w:rsidR="002372D0">
        <w:rPr>
          <w:rFonts w:ascii="Traditional Arabic" w:hAnsi="Traditional Arabic" w:cs="Traditional Arabic" w:hint="cs"/>
          <w:sz w:val="30"/>
          <w:szCs w:val="30"/>
        </w:rPr>
        <w:t>وتستأجة ناقلة اخرى</w:t>
      </w:r>
      <w:r w:rsidR="00E65278">
        <w:rPr>
          <w:rFonts w:ascii="Traditional Arabic" w:hAnsi="Traditional Arabic" w:cs="Traditional Arabic" w:hint="cs"/>
          <w:sz w:val="30"/>
          <w:szCs w:val="30"/>
        </w:rPr>
        <w:t xml:space="preserve"> متوسطة</w:t>
      </w:r>
      <w:r w:rsidR="00626B6F">
        <w:rPr>
          <w:rFonts w:ascii="Traditional Arabic" w:hAnsi="Traditional Arabic" w:cs="Traditional Arabic" w:hint="cs"/>
          <w:sz w:val="30"/>
          <w:szCs w:val="30"/>
        </w:rPr>
        <w:t xml:space="preserve">، والتي تعمل كجزء من أسطول </w:t>
      </w:r>
      <w:r w:rsidR="00FD6800">
        <w:rPr>
          <w:rFonts w:ascii="Traditional Arabic" w:hAnsi="Traditional Arabic" w:cs="Traditional Arabic" w:hint="cs"/>
          <w:sz w:val="30"/>
          <w:szCs w:val="30"/>
        </w:rPr>
        <w:t>شحن</w:t>
      </w:r>
      <w:r w:rsidR="00626B6F">
        <w:rPr>
          <w:rFonts w:ascii="Traditional Arabic" w:hAnsi="Traditional Arabic" w:cs="Traditional Arabic" w:hint="cs"/>
          <w:sz w:val="30"/>
          <w:szCs w:val="30"/>
        </w:rPr>
        <w:t xml:space="preserve"> الغاز لديها.</w:t>
      </w:r>
    </w:p>
    <w:p w14:paraId="2055120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وعلى غرار الوقود الأحفوري الآخر، يرتبط الطلب على الغاز الطبيعي ارتباطًا وثيقًا بمؤشرات النشاط الاقتصادي مثل الناتج المحلي الإجمالي، لكنه تمتع أيضًا بحصة متزايدة من سوق الطاقة بشكل عام نظرًا لكونه أنظف من غيره من الوقود الأحفوري، الذي شهد استبدال النفط وخاصة الفحم بالغاز. وبين عامي 2013 و 2023، نما استهلاك الغاز الطبيعي بمعدل متوسط قدره 1.7 في المائة سنويا</w:t>
      </w:r>
    </w:p>
    <w:p w14:paraId="7AA12CA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تمتلك أسياد/تستأجر أسطولًا من ثماني ناقلات للغاز الطبيعي المسال، اثنتان منها قيد البناء ومن المقرر تسليمها في عام 2026 بمحركات ثنائية الوقود. تم بناء خمس من السفن الحالية بين عامي 2005 و 2008 ولديها دفع بالتوربينات البخارية، وتم بناء السفينة المتبقية في عام 2014 ولديها محركات ثلاثية الأطوار.</w:t>
      </w:r>
    </w:p>
    <w:p w14:paraId="143AA630"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الإنتاج والاستهلاك العالميان للغاز الطبيعي حسب المنطقة 2023</w:t>
      </w:r>
    </w:p>
    <w:p w14:paraId="290636D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7BA53445" wp14:editId="0BD3258B">
            <wp:extent cx="3366735" cy="2199600"/>
            <wp:effectExtent l="0" t="0" r="5715" b="0"/>
            <wp:docPr id="145160154" name="Picture 4" descr="A graph with a line going up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0154" name="Picture 4" descr="A graph with a line going up  Description automatically generated with medium confidenc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p w14:paraId="6E7185F4"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المراجعة الإحصائية لمعهد الطاقة للطاقة العالمية 2024</w:t>
      </w:r>
    </w:p>
    <w:p w14:paraId="142CCAEB"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الطلب على الغاز الطبيعي المسال</w:t>
      </w:r>
    </w:p>
    <w:p w14:paraId="157154C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نتيجة للنمو القوي في استهلاك الغاز الطبيعي وانخفاض الإنتاج المحلي في بعض الأسواق الرئيسية، زادت التجارة المنقولة بحراً في الغاز الطبيعي المسال بشكل كبير في السنوات الأخيرة. وبين عامي 2013 و 2023، زادت الأحجام من 240 مليون طن متري إلى 402 مليون طن متري، أي ما يعادل 5.3 في المائة سنويا، حيث تباطأ نمو تجارة الغاز الطبيعي المسال في عام 2023 وظل منخفضًا بالمعايير التاريخية في عام 2024 بسبب الافتقار إلى قدرة تسييل جديدة للغاز الطبيعي المسال. ويتوقع مؤشر السوق أن يرتفع نمو التجارة إلى متوسط قدره 6.2 في المائة سنويا بين عامي 2024 و 2030.</w:t>
      </w:r>
    </w:p>
    <w:p w14:paraId="37CEA4C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وتاريخياً، كانت أوروبا أول منطقة مستوردة للغاز الطبيعي المسال، لكن سرعان ما هيمنت شمال شرق آسيا على واردات الغاز الطبيعي المسال. ففي آسيا، انتقل مركز نمو الطلب إلى الصين، وبعيدًا عن اليابان. وتعد الصين واحدة من أسرع أسواق الغاز </w:t>
      </w:r>
      <w:r w:rsidRPr="00F87C1B">
        <w:rPr>
          <w:rFonts w:ascii="Traditional Arabic" w:hAnsi="Traditional Arabic" w:cs="Traditional Arabic"/>
          <w:sz w:val="30"/>
          <w:szCs w:val="30"/>
        </w:rPr>
        <w:lastRenderedPageBreak/>
        <w:t>نموًا حيث تتحول إلى غاز أكثر نظافة للمساعدة في الحد من التلوث والانبعاثات داخل المراكز الحضرية الرئيسية. وقد تفوقت الصين على اليابان لتصبح أكبر مستورد للغاز الطبيعي المسال في العالم في عام 2021 عندما استوردت 80 مليون طن متري. ومع ذلك، انخفض الطلب على استيراد الغاز الطبيعي المسال الصيني بنسبة 20 في المائة في عام 2022 بسبب ارتفاع أسعار الغاز وانخفاض الطلب في ضوء سياسات صفر كوفيد وزيادة الإنتاج المحلي وواردات خطوط الأنابيب. وبالنظر إلى المستقبل، يتوقع مستشار السوق أن يكون نمو الطلب الصيني على الغاز الطبيعي المسال إيجابيًا خلال العقد المقبل، حيث من المتوقع أن تتجاوز الواردات السنوية 100 مليون طن متري بحلول عام 2027.</w:t>
      </w:r>
    </w:p>
    <w:p w14:paraId="0D94F0A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وفي أوروبا، قبل اندلاع الصراع الروسي الأوكراني، توقف النمو في تجارة الغاز الطبيعي المسال المنقولة بحراً بسبب تعطل الطلب في عام 2020. وبعد أن بلغت ذروتها عند 87.3 مليون طن متري في عام 2019، انخفضت الواردات إلى أوروبا والبحر الأبيض المتوسط إلى 77.5 مليون طن متري في عام 2021. وقد انعكس هذا الاتجاه الهبوطي في عام 2022 بعد اندلاع الأعمال العدائية والتداعيات الجيوسياسية اللاحقة، مع نمو الواردات بنسبة 59 في المائة إلى 123 مليون طن متري.</w:t>
      </w:r>
    </w:p>
    <w:p w14:paraId="25E1795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وفي حين أن الطلب الأوروبي على الغاز آخذ في الانخفاض، فإن الإنتاج المحلي قد انخفض بشكل أسرع. وهذا يتطلب المزيد من واردات الغاز عن طريق خط الأنابيب أو عن طريق ناقلة الغاز الطبيعي المسال. وقدمت صادرات الغاز عبر خطوط الأنابيب الروسية 30 في المائة من المعروض الأوروبي في عام 2021 والغاز الطبيعي المسال الروسي بنسبة 3 في المائة أخرى. وقد انخفضت صادرات خطوط الأنابيب الروسية إلى أوروبا بشكل حاد في عام 2022. وقد أدى ذلك إلى تدافع الدول الأوروبية للحصول على واردات الغاز الطبيعي المسال لتحل محل إمدادات الغاز عبر خطوط الأنابيب الروسية. استوعبت الأسواق الأوروبية جميع إمدادات الغاز الطبيعي المسال الجديدة في عام 2022، لكن هذا لم يكن كافيًا لتلبية الطلب وأخذت أوروبا الغاز الطبيعي المسال الذي كان من المتوقع سابقًا أن يذهب إلى أسواق أخرى. وقد شهد الشتاء المعتدل في عامي 2023 و 2024 انخفاضًا في الواردات الأوروبية عن ذروة عام 2022، ولكن بالنظر إلى المستقبل، يتوقع مستشار السوق أن تعود مستويات الواردات الأوروبية إلى النمو، مع توفر المزيد من إمدادات الغاز الطبيعي المسال.</w:t>
      </w:r>
    </w:p>
    <w:p w14:paraId="55F887F8"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واردات الغاز الطبيعي المسال حسب المنطقة</w:t>
      </w:r>
    </w:p>
    <w:p w14:paraId="3A8529F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3E53FD51" wp14:editId="3729F2A1">
            <wp:extent cx="3371034" cy="2199600"/>
            <wp:effectExtent l="0" t="0" r="1270" b="0"/>
            <wp:docPr id="805853337" name="Picture 24" descr="A graph with numbers and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53337" name="Picture 24" descr="A graph with numbers and lines  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71034"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180B5778" w14:textId="77777777" w:rsidTr="00922116">
        <w:tc>
          <w:tcPr>
            <w:tcW w:w="1440" w:type="dxa"/>
            <w:tcBorders>
              <w:top w:val="single" w:sz="4" w:space="0" w:color="auto"/>
            </w:tcBorders>
            <w:vAlign w:val="bottom"/>
          </w:tcPr>
          <w:p w14:paraId="21A869D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54F00C0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2F28A57E" w14:textId="77777777" w:rsidTr="00922116">
        <w:tc>
          <w:tcPr>
            <w:tcW w:w="9039" w:type="dxa"/>
            <w:gridSpan w:val="2"/>
            <w:vAlign w:val="bottom"/>
          </w:tcPr>
          <w:p w14:paraId="06275D0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4561A558"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4E11014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ومن الناحية التاريخية، كانت منطقة الشرق الأوسط وجنوب شرق آسيا وأفريقيا هي المناطق المصدرة الرئيسية التي تم فيها إنتاج الغاز الطبيعي المسال. وفي الآونة الأخيرة، زادت أستراليا ثم الولايات المتحدة بسرعة قدرتها على إنتاج الغاز الطبيعي المسال وحجم الصادرات المنقولة بحراً. فقبل اندلاع الأعمال العدائية بين روسيا وأوكرانيا، أدى ارتفاع الصادرات من الولايات المتحدة إلى زيادة الطلب على الأطنان فيما يتعلق بالتجارة، كما زاد من التقلبات في الطلب على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مع تحول الصادرات إلى آسيا أو أوروبا. وقد تجلى ذلك في عام 2022، عندما أدت الزيادة في الطلب على الغاز الطبيعي المسال في أوروبا إلى تحول الصادرات الأمريكية من آسيا إلى أوروبا، مما أدى إلى انخفاض الطلب على عدد رحلات النقل اللازمة لنقل البضائع مقارنة بحجم التجارة. وقد انعكس هذا النمط في الفترة 2023-2024 حيث ضعف الطلب الأوروبي مقارنة بالشرق الأقصى، وأدت تحويلات البحر الأحمر إلى إطالة مسافات الإبحار.</w:t>
      </w:r>
    </w:p>
    <w:p w14:paraId="7D69DDB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واستأثرت دول مجلس التعاون الخليجي بنسبة 1.7 في المائة فقط (6.9 مليون طن متري) من واردات الغاز الطبيعي المسال العالمية في عام 2023 ولكنها شكلت 23.4 في المائة (94.6 مليون طن متري) من الصادرات العالمية. وكانت قطر ثالث أكبر مصدر في عام 2023 وكانت أكبر مصدر على مستوى العالم في 15 من أصل 18 عامًا الماضية. ومع تصدير 11.4 مليون طن متري من الصادرات في عام 2023، كانت سلطنة عمان تاسع أكبر مصدر للغاز الطبيعي المسال. والمصدر الآخر للغاز </w:t>
      </w:r>
      <w:r w:rsidRPr="00F87C1B">
        <w:rPr>
          <w:rFonts w:ascii="Traditional Arabic" w:hAnsi="Traditional Arabic" w:cs="Traditional Arabic"/>
          <w:sz w:val="30"/>
          <w:szCs w:val="30"/>
        </w:rPr>
        <w:lastRenderedPageBreak/>
        <w:t>الطبيعي المسال في دول مجلس التعاون الخليجي هو دولة الإمارات العربية المتحدة التي تصدر الغاز الطبيعي المسال منذ عام 1977.</w:t>
      </w:r>
    </w:p>
    <w:p w14:paraId="616CDEFF"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صادرات الغاز الطبيعي المسال حسب المنطقة</w:t>
      </w:r>
    </w:p>
    <w:p w14:paraId="28B3CB2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5F4DDB09" wp14:editId="48D8CC39">
            <wp:extent cx="3371034" cy="2199600"/>
            <wp:effectExtent l="0" t="0" r="1270" b="0"/>
            <wp:docPr id="402935022" name="Picture 25" descr="A graph with numbers and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35022" name="Picture 25" descr="A graph with numbers and lines  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71034"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351393F3" w14:textId="77777777" w:rsidTr="00922116">
        <w:tc>
          <w:tcPr>
            <w:tcW w:w="1440" w:type="dxa"/>
            <w:tcBorders>
              <w:top w:val="single" w:sz="4" w:space="0" w:color="auto"/>
            </w:tcBorders>
            <w:vAlign w:val="bottom"/>
          </w:tcPr>
          <w:p w14:paraId="1485944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63970E7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14E99E21" w14:textId="77777777" w:rsidTr="00922116">
        <w:tc>
          <w:tcPr>
            <w:tcW w:w="9039" w:type="dxa"/>
            <w:gridSpan w:val="2"/>
            <w:vAlign w:val="bottom"/>
          </w:tcPr>
          <w:p w14:paraId="4B1F902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616424CA"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59E43A3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تمتلك سلطنة عمان مجمع تصدير للغاز الطبيعي المسال بالقرب من صور يتكون من </w:t>
      </w:r>
      <w:r w:rsidR="006B57D8" w:rsidRPr="00F87C1B">
        <w:rPr>
          <w:rFonts w:ascii="Traditional Arabic" w:hAnsi="Traditional Arabic" w:cs="Traditional Arabic" w:hint="cs"/>
          <w:sz w:val="30"/>
          <w:szCs w:val="30"/>
        </w:rPr>
        <w:t>ثلاث</w:t>
      </w:r>
      <w:r w:rsidRPr="00F87C1B">
        <w:rPr>
          <w:rFonts w:ascii="Traditional Arabic" w:hAnsi="Traditional Arabic" w:cs="Traditional Arabic"/>
          <w:sz w:val="30"/>
          <w:szCs w:val="30"/>
        </w:rPr>
        <w:t xml:space="preserve"> قطارات. وقد أدى مشروع التوسعة الأخير إلى رفع السعة عبر القطارات الثلاثة من 10.4 مليون طن متري سنويًا إلى حوالي 11.4 مليون طن متري سنويًا. ففي يوليو 2024، أعلنت الحكومة العمانية عن عزمها بناء قطار رابع في المجمع بالقرب من صور لرفع السعة الإجمالية إلى 15.2 مليون طن متري سنويًا اعتبارًا من عام 2029.</w:t>
      </w:r>
    </w:p>
    <w:p w14:paraId="2399375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أضافت قطر </w:t>
      </w:r>
      <w:r w:rsidR="006B57D8" w:rsidRPr="00F87C1B">
        <w:rPr>
          <w:rFonts w:ascii="Traditional Arabic" w:hAnsi="Traditional Arabic" w:cs="Traditional Arabic" w:hint="cs"/>
          <w:sz w:val="30"/>
          <w:szCs w:val="30"/>
        </w:rPr>
        <w:t>ست</w:t>
      </w:r>
      <w:r w:rsidRPr="00F87C1B">
        <w:rPr>
          <w:rFonts w:ascii="Traditional Arabic" w:hAnsi="Traditional Arabic" w:cs="Traditional Arabic"/>
          <w:sz w:val="30"/>
          <w:szCs w:val="30"/>
        </w:rPr>
        <w:t xml:space="preserve"> قطارات بسعة 8.0 مليون طن متري من الغاز الطبيعي المسال في مدينة رأس لفان في مشروع توسعة حقل الشمال، وتقوم الإمارات العربية المتحدة ببناء قطارين بسعة 4.8 مليون طن متري من الغاز الطبيعي المسال في الرويس، إلى جانب قطار رابع في سلطنة عمان، مما سيزيد من قدرة تصدير الغاز الطبيعي المسال في دول مجلس التعاون الخليجي من 94.3 مليون طن متري من الغاز الطبيعي المسال إلى 172.7 مليون طن متري من الغاز الطبيعي المسال في أوائل عام 2030.</w:t>
      </w:r>
    </w:p>
    <w:p w14:paraId="47ED5176"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 xml:space="preserve">الرسم البياني: الطلب على </w:t>
      </w:r>
      <w:r w:rsidR="00607B02">
        <w:rPr>
          <w:rFonts w:ascii="Traditional Arabic" w:hAnsi="Traditional Arabic" w:cs="Traditional Arabic"/>
          <w:b w:val="0"/>
          <w:bCs/>
          <w:sz w:val="30"/>
          <w:szCs w:val="30"/>
        </w:rPr>
        <w:t>نقل</w:t>
      </w:r>
      <w:r w:rsidRPr="00272B36">
        <w:rPr>
          <w:rFonts w:ascii="Traditional Arabic" w:hAnsi="Traditional Arabic" w:cs="Traditional Arabic"/>
          <w:b w:val="0"/>
          <w:bCs/>
          <w:sz w:val="30"/>
          <w:szCs w:val="30"/>
        </w:rPr>
        <w:t xml:space="preserve"> الغاز الطبيعي المسال</w:t>
      </w:r>
    </w:p>
    <w:p w14:paraId="765AE69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401F8C63" wp14:editId="728F20D2">
            <wp:extent cx="3366735" cy="2199600"/>
            <wp:effectExtent l="0" t="0" r="5715" b="0"/>
            <wp:docPr id="901467687" name="Picture 24" descr="A graph with a line going u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467687" name="Picture 24" descr="A graph with a line going up  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1BE1272E" w14:textId="77777777" w:rsidTr="00922116">
        <w:tc>
          <w:tcPr>
            <w:tcW w:w="1440" w:type="dxa"/>
            <w:tcBorders>
              <w:top w:val="single" w:sz="4" w:space="0" w:color="auto"/>
            </w:tcBorders>
            <w:vAlign w:val="bottom"/>
          </w:tcPr>
          <w:p w14:paraId="184C4C8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42218B1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11578E79" w14:textId="77777777" w:rsidTr="00922116">
        <w:tc>
          <w:tcPr>
            <w:tcW w:w="9039" w:type="dxa"/>
            <w:gridSpan w:val="2"/>
            <w:vAlign w:val="bottom"/>
          </w:tcPr>
          <w:p w14:paraId="27A8C9E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670177B8"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3E5ABDC9"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توريد ناقلات الغاز الطبيعي المسال</w:t>
      </w:r>
    </w:p>
    <w:p w14:paraId="3A2FB01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أدى تطور أنظمة الدفع والاحتواء لناقلات الغاز الطبيعي المسال على مدى العقدين الماضيين إلى سوق متعدد الطبقات. حيث احتفظت سفن الغاز الطبيعي المسال بالمحركات البخارية لفترة أطول بكثير من قطاعات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الأخرى بسبب سهولة استخدام الغاز المبخر من الحاويات كوقود. ثم دخلت المحركات ثنائية الوقود والمحركات ثلاثية الأطوار ضمن الأسطول في منتصف العقد الأول من القرن الحادي والعشرين. وقد سبقها في منتصف عام 2010 محركات حقن غاز أكثر كفاءة ، مثل محرك الحقن العادي والمحرك ثنائي الوقود ومؤخرًا محرك الحقن الإلكتروني. سمحت المكاسب في كفاءة استهلاك الوقود بتطوير أنظمة احتواء أكثر كفاءة فقدت كمية أقل من الغاز المبخر. كما استحوذت تصاميم المحركات الجديدة على مساحة أقل مما أتاح مساحة أكبر لخزانات البضائع.</w:t>
      </w:r>
    </w:p>
    <w:p w14:paraId="52836E0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وبالتالي، فإن سفن حقن الغاز الحديثة تتنافس بشكل كبير مع الطرازات القديمة، وكثير منها لا يزال عمره أقل من 10 سنوات. تستطيع السفن الأحدث التي تعمل بنظام حقن الغاز تأمين أعلى الأرباح، تليها السفن التي تعمل بنظام المحركا ثنائية الوقود أو ثلاثية الأطوار، وأما السفن التي تعمل بالتوربينات البخارية فتتضمن عادة أدنى العوائد.</w:t>
      </w:r>
    </w:p>
    <w:p w14:paraId="1720A5D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وعادةً ما تتمتع ناقلات الغاز الطبيعي المسال بعمر افتراضي أطول مما هي عليه في معظم القطاعات الأخرى، حيث نادرًا ما يتم تخريد السفن قبل أن تبلغ من العمر 30 عامًا، وبعضها يحمل أكثر من 40 عامًا. في الوقت نفسه، فإن أسطول الغاز </w:t>
      </w:r>
      <w:r w:rsidRPr="00F87C1B">
        <w:rPr>
          <w:rFonts w:ascii="Traditional Arabic" w:hAnsi="Traditional Arabic" w:cs="Traditional Arabic"/>
          <w:sz w:val="30"/>
          <w:szCs w:val="30"/>
        </w:rPr>
        <w:lastRenderedPageBreak/>
        <w:t>الطبيعي المسال حديث نسبيًا ويبلغ متوسط عمر السفينة الحالي 11.7 عامًا. ولم يلعب التخريد عادةً دورًا مهمًا في ديناميكيات السوق من جانب العرض في الماضي.</w:t>
      </w:r>
    </w:p>
    <w:p w14:paraId="5A86CB6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وقد تسارعت وتيرة التعاقد على ناقلات الغاز الطبيعي المسال الجديدة بشكل ملحوظ منذ أبريل 2021. وسجل عام 2022 رقمًا قياسيًا على الإطلاق لعدد سفن الغاز الطبيعي المسال الجديدة الكبيرة التي تم طلبها. تباطأت مستويات التعاقد إلى 11.3 مليون متر مكعب في عام 2023 لكنها ارتفعت مرة أخرى في عام 2024 مع 14.9 مليون متر مكعب أخرى طُلبت بحلول 10 سبتمبر 2024.</w:t>
      </w:r>
    </w:p>
    <w:p w14:paraId="0036CF6C"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أكثر من 60 ألف متر مكعب من الناقلات الجديدة في أسطول ناقلات الغاز الطبيعي المسال والتخريد</w:t>
      </w:r>
    </w:p>
    <w:p w14:paraId="51C005E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24613186" wp14:editId="53DD799B">
            <wp:extent cx="3371034" cy="2199600"/>
            <wp:effectExtent l="0" t="0" r="1270" b="0"/>
            <wp:docPr id="729333253" name="Picture 26" descr="A graph with numbers and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33253" name="Picture 26" descr="A graph with numbers and lines  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71034"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3727A48B" w14:textId="77777777" w:rsidTr="00922116">
        <w:tc>
          <w:tcPr>
            <w:tcW w:w="1440" w:type="dxa"/>
            <w:tcBorders>
              <w:top w:val="single" w:sz="4" w:space="0" w:color="auto"/>
            </w:tcBorders>
            <w:vAlign w:val="bottom"/>
          </w:tcPr>
          <w:p w14:paraId="4EAF341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326DBE3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60C8B82B" w14:textId="77777777" w:rsidTr="00922116">
        <w:tc>
          <w:tcPr>
            <w:tcW w:w="9039" w:type="dxa"/>
            <w:gridSpan w:val="2"/>
            <w:vAlign w:val="bottom"/>
          </w:tcPr>
          <w:p w14:paraId="06E02A7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0F4E2D47"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452BC699"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الجدول: ملف عمر أسطول الغاز الطبيعي المسال ودفتر الطلبات حسب الشريحة (مليون متر مكعب)</w:t>
      </w:r>
    </w:p>
    <w:tbl>
      <w:tblPr>
        <w:tblW w:w="9135" w:type="dxa"/>
        <w:tblInd w:w="437" w:type="dxa"/>
        <w:tblLayout w:type="fixed"/>
        <w:tblCellMar>
          <w:left w:w="0" w:type="dxa"/>
          <w:right w:w="0" w:type="dxa"/>
        </w:tblCellMar>
        <w:tblLook w:val="0000" w:firstRow="0" w:lastRow="0" w:firstColumn="0" w:lastColumn="0" w:noHBand="0" w:noVBand="0"/>
      </w:tblPr>
      <w:tblGrid>
        <w:gridCol w:w="1689"/>
        <w:gridCol w:w="236"/>
        <w:gridCol w:w="794"/>
        <w:gridCol w:w="236"/>
        <w:gridCol w:w="794"/>
        <w:gridCol w:w="236"/>
        <w:gridCol w:w="794"/>
        <w:gridCol w:w="236"/>
        <w:gridCol w:w="794"/>
        <w:gridCol w:w="236"/>
        <w:gridCol w:w="794"/>
        <w:gridCol w:w="236"/>
        <w:gridCol w:w="794"/>
        <w:gridCol w:w="236"/>
        <w:gridCol w:w="794"/>
        <w:gridCol w:w="236"/>
      </w:tblGrid>
      <w:tr w:rsidR="006B57D8" w:rsidRPr="005D4BD6" w14:paraId="699446B7" w14:textId="77777777" w:rsidTr="00922116">
        <w:trPr>
          <w:tblHeader/>
        </w:trPr>
        <w:tc>
          <w:tcPr>
            <w:tcW w:w="1689" w:type="dxa"/>
            <w:vAlign w:val="bottom"/>
          </w:tcPr>
          <w:p w14:paraId="3B6EB233" w14:textId="77777777" w:rsidR="006B57D8" w:rsidRPr="005D4BD6" w:rsidRDefault="006B57D8" w:rsidP="00922116">
            <w:pPr>
              <w:pStyle w:val="VSmCellHead"/>
              <w:rPr>
                <w:sz w:val="16"/>
                <w:szCs w:val="16"/>
                <w:lang w:val="en-US"/>
              </w:rPr>
            </w:pPr>
          </w:p>
        </w:tc>
        <w:tc>
          <w:tcPr>
            <w:tcW w:w="236" w:type="dxa"/>
            <w:vAlign w:val="bottom"/>
          </w:tcPr>
          <w:p w14:paraId="20B72778" w14:textId="77777777" w:rsidR="006B57D8" w:rsidRPr="005D4BD6" w:rsidRDefault="006B57D8" w:rsidP="00922116">
            <w:pPr>
              <w:pStyle w:val="CellRowSpacer"/>
              <w:spacing w:after="120"/>
              <w:rPr>
                <w:sz w:val="16"/>
                <w:szCs w:val="16"/>
                <w:lang w:val="en-US"/>
              </w:rPr>
            </w:pPr>
          </w:p>
        </w:tc>
        <w:tc>
          <w:tcPr>
            <w:tcW w:w="794" w:type="dxa"/>
            <w:tcBorders>
              <w:bottom w:val="single" w:sz="4" w:space="0" w:color="auto"/>
            </w:tcBorders>
            <w:vAlign w:val="bottom"/>
          </w:tcPr>
          <w:p w14:paraId="2D71F160" w14:textId="77777777" w:rsidR="006B57D8" w:rsidRPr="005D4BD6" w:rsidRDefault="006B57D8" w:rsidP="00922116">
            <w:pPr>
              <w:pStyle w:val="VSmCellHead"/>
              <w:jc w:val="right"/>
              <w:rPr>
                <w:sz w:val="16"/>
                <w:szCs w:val="16"/>
                <w:lang w:val="en-US"/>
              </w:rPr>
            </w:pPr>
            <w:r w:rsidRPr="005D4BD6">
              <w:rPr>
                <w:sz w:val="16"/>
                <w:szCs w:val="16"/>
                <w:lang w:val="en-US"/>
              </w:rPr>
              <w:t>0-4 Yrs</w:t>
            </w:r>
          </w:p>
        </w:tc>
        <w:tc>
          <w:tcPr>
            <w:tcW w:w="236" w:type="dxa"/>
            <w:vAlign w:val="bottom"/>
          </w:tcPr>
          <w:p w14:paraId="0745ADFF" w14:textId="77777777" w:rsidR="006B57D8" w:rsidRPr="005D4BD6" w:rsidRDefault="006B57D8" w:rsidP="00922116">
            <w:pPr>
              <w:pStyle w:val="CellRowSpacer"/>
              <w:spacing w:after="120"/>
              <w:rPr>
                <w:sz w:val="16"/>
                <w:szCs w:val="16"/>
                <w:lang w:val="en-US"/>
              </w:rPr>
            </w:pPr>
          </w:p>
        </w:tc>
        <w:tc>
          <w:tcPr>
            <w:tcW w:w="794" w:type="dxa"/>
            <w:tcBorders>
              <w:bottom w:val="single" w:sz="4" w:space="0" w:color="auto"/>
            </w:tcBorders>
            <w:vAlign w:val="bottom"/>
          </w:tcPr>
          <w:p w14:paraId="1730B301" w14:textId="77777777" w:rsidR="006B57D8" w:rsidRPr="005D4BD6" w:rsidRDefault="006B57D8" w:rsidP="00922116">
            <w:pPr>
              <w:pStyle w:val="VSmCellHead"/>
              <w:jc w:val="right"/>
              <w:rPr>
                <w:sz w:val="16"/>
                <w:szCs w:val="16"/>
                <w:lang w:val="en-US"/>
              </w:rPr>
            </w:pPr>
            <w:r w:rsidRPr="005D4BD6">
              <w:rPr>
                <w:sz w:val="16"/>
                <w:szCs w:val="16"/>
                <w:lang w:val="en-US"/>
              </w:rPr>
              <w:t>5-9 Yrs</w:t>
            </w:r>
          </w:p>
        </w:tc>
        <w:tc>
          <w:tcPr>
            <w:tcW w:w="236" w:type="dxa"/>
            <w:vAlign w:val="bottom"/>
          </w:tcPr>
          <w:p w14:paraId="424FFD03" w14:textId="77777777" w:rsidR="006B57D8" w:rsidRPr="005D4BD6" w:rsidRDefault="006B57D8" w:rsidP="00922116">
            <w:pPr>
              <w:pStyle w:val="CellRowSpacer"/>
              <w:spacing w:after="120"/>
              <w:rPr>
                <w:sz w:val="16"/>
                <w:szCs w:val="16"/>
                <w:lang w:val="en-US"/>
              </w:rPr>
            </w:pPr>
          </w:p>
        </w:tc>
        <w:tc>
          <w:tcPr>
            <w:tcW w:w="794" w:type="dxa"/>
            <w:tcBorders>
              <w:bottom w:val="single" w:sz="4" w:space="0" w:color="auto"/>
            </w:tcBorders>
            <w:vAlign w:val="bottom"/>
          </w:tcPr>
          <w:p w14:paraId="11AA3927" w14:textId="77777777" w:rsidR="006B57D8" w:rsidRPr="005D4BD6" w:rsidRDefault="006B57D8" w:rsidP="00922116">
            <w:pPr>
              <w:pStyle w:val="VSmCellHead"/>
              <w:jc w:val="right"/>
              <w:rPr>
                <w:sz w:val="16"/>
                <w:szCs w:val="16"/>
                <w:lang w:val="en-US"/>
              </w:rPr>
            </w:pPr>
            <w:r w:rsidRPr="005D4BD6">
              <w:rPr>
                <w:sz w:val="16"/>
                <w:szCs w:val="16"/>
                <w:lang w:val="en-US"/>
              </w:rPr>
              <w:t>10-14 Yrs</w:t>
            </w:r>
          </w:p>
        </w:tc>
        <w:tc>
          <w:tcPr>
            <w:tcW w:w="236" w:type="dxa"/>
            <w:vAlign w:val="bottom"/>
          </w:tcPr>
          <w:p w14:paraId="4A5F5792" w14:textId="77777777" w:rsidR="006B57D8" w:rsidRPr="005D4BD6" w:rsidRDefault="006B57D8" w:rsidP="00922116">
            <w:pPr>
              <w:pStyle w:val="CellRowSpacer"/>
              <w:spacing w:after="120"/>
              <w:rPr>
                <w:sz w:val="16"/>
                <w:szCs w:val="16"/>
                <w:lang w:val="en-US"/>
              </w:rPr>
            </w:pPr>
          </w:p>
        </w:tc>
        <w:tc>
          <w:tcPr>
            <w:tcW w:w="794" w:type="dxa"/>
            <w:tcBorders>
              <w:bottom w:val="single" w:sz="4" w:space="0" w:color="auto"/>
            </w:tcBorders>
            <w:vAlign w:val="bottom"/>
          </w:tcPr>
          <w:p w14:paraId="46AF640A" w14:textId="77777777" w:rsidR="006B57D8" w:rsidRPr="005D4BD6" w:rsidRDefault="006B57D8" w:rsidP="00922116">
            <w:pPr>
              <w:pStyle w:val="VSmCellHead"/>
              <w:jc w:val="right"/>
              <w:rPr>
                <w:sz w:val="16"/>
                <w:szCs w:val="16"/>
                <w:lang w:val="en-US"/>
              </w:rPr>
            </w:pPr>
            <w:r w:rsidRPr="005D4BD6">
              <w:rPr>
                <w:sz w:val="16"/>
                <w:szCs w:val="16"/>
                <w:lang w:val="en-US"/>
              </w:rPr>
              <w:t>15-19 Yrs</w:t>
            </w:r>
          </w:p>
        </w:tc>
        <w:tc>
          <w:tcPr>
            <w:tcW w:w="236" w:type="dxa"/>
            <w:vAlign w:val="bottom"/>
          </w:tcPr>
          <w:p w14:paraId="519DB1F7" w14:textId="77777777" w:rsidR="006B57D8" w:rsidRPr="005D4BD6" w:rsidRDefault="006B57D8" w:rsidP="00922116">
            <w:pPr>
              <w:pStyle w:val="CellRowSpacer"/>
              <w:spacing w:after="120"/>
              <w:rPr>
                <w:sz w:val="16"/>
                <w:szCs w:val="16"/>
                <w:lang w:val="en-US"/>
              </w:rPr>
            </w:pPr>
          </w:p>
        </w:tc>
        <w:tc>
          <w:tcPr>
            <w:tcW w:w="794" w:type="dxa"/>
            <w:tcBorders>
              <w:bottom w:val="single" w:sz="4" w:space="0" w:color="auto"/>
            </w:tcBorders>
            <w:vAlign w:val="bottom"/>
          </w:tcPr>
          <w:p w14:paraId="29C144DF" w14:textId="77777777" w:rsidR="006B57D8" w:rsidRPr="005D4BD6" w:rsidRDefault="006B57D8" w:rsidP="00922116">
            <w:pPr>
              <w:pStyle w:val="VSmCellHead"/>
              <w:jc w:val="right"/>
              <w:rPr>
                <w:sz w:val="16"/>
                <w:szCs w:val="16"/>
                <w:lang w:val="en-US"/>
              </w:rPr>
            </w:pPr>
            <w:r w:rsidRPr="005D4BD6">
              <w:rPr>
                <w:sz w:val="16"/>
                <w:szCs w:val="16"/>
                <w:lang w:val="en-US"/>
              </w:rPr>
              <w:t>20-29 Yrs</w:t>
            </w:r>
          </w:p>
        </w:tc>
        <w:tc>
          <w:tcPr>
            <w:tcW w:w="236" w:type="dxa"/>
            <w:vAlign w:val="bottom"/>
          </w:tcPr>
          <w:p w14:paraId="767BE751" w14:textId="77777777" w:rsidR="006B57D8" w:rsidRPr="005D4BD6" w:rsidRDefault="006B57D8" w:rsidP="00922116">
            <w:pPr>
              <w:pStyle w:val="CellRowSpacer"/>
              <w:spacing w:after="120"/>
              <w:rPr>
                <w:sz w:val="16"/>
                <w:szCs w:val="16"/>
                <w:lang w:val="en-US"/>
              </w:rPr>
            </w:pPr>
          </w:p>
        </w:tc>
        <w:tc>
          <w:tcPr>
            <w:tcW w:w="794" w:type="dxa"/>
            <w:tcBorders>
              <w:bottom w:val="single" w:sz="4" w:space="0" w:color="auto"/>
            </w:tcBorders>
            <w:vAlign w:val="bottom"/>
          </w:tcPr>
          <w:p w14:paraId="0A65F322" w14:textId="77777777" w:rsidR="006B57D8" w:rsidRPr="005D4BD6" w:rsidRDefault="006B57D8" w:rsidP="00922116">
            <w:pPr>
              <w:pStyle w:val="VSmCellHead"/>
              <w:jc w:val="right"/>
              <w:rPr>
                <w:sz w:val="16"/>
                <w:szCs w:val="16"/>
                <w:lang w:val="en-US"/>
              </w:rPr>
            </w:pPr>
            <w:r w:rsidRPr="005D4BD6">
              <w:rPr>
                <w:sz w:val="16"/>
                <w:szCs w:val="16"/>
                <w:lang w:val="en-US"/>
              </w:rPr>
              <w:t>30+ Yrs</w:t>
            </w:r>
          </w:p>
        </w:tc>
        <w:tc>
          <w:tcPr>
            <w:tcW w:w="236" w:type="dxa"/>
            <w:vAlign w:val="bottom"/>
          </w:tcPr>
          <w:p w14:paraId="042D17A0" w14:textId="77777777" w:rsidR="006B57D8" w:rsidRPr="005D4BD6" w:rsidRDefault="006B57D8" w:rsidP="00922116">
            <w:pPr>
              <w:pStyle w:val="CellRowSpacer"/>
              <w:spacing w:after="120"/>
              <w:rPr>
                <w:sz w:val="16"/>
                <w:szCs w:val="16"/>
                <w:lang w:val="en-US"/>
              </w:rPr>
            </w:pPr>
          </w:p>
        </w:tc>
        <w:tc>
          <w:tcPr>
            <w:tcW w:w="794" w:type="dxa"/>
            <w:tcBorders>
              <w:bottom w:val="single" w:sz="4" w:space="0" w:color="auto"/>
            </w:tcBorders>
            <w:vAlign w:val="bottom"/>
          </w:tcPr>
          <w:p w14:paraId="50F01869" w14:textId="77777777" w:rsidR="006B57D8" w:rsidRPr="005D4BD6" w:rsidRDefault="006B57D8" w:rsidP="00922116">
            <w:pPr>
              <w:pStyle w:val="VSmCellHead"/>
              <w:jc w:val="right"/>
              <w:rPr>
                <w:sz w:val="16"/>
                <w:szCs w:val="16"/>
                <w:lang w:val="en-US"/>
              </w:rPr>
            </w:pPr>
            <w:r w:rsidRPr="005D4BD6">
              <w:rPr>
                <w:sz w:val="16"/>
                <w:szCs w:val="16"/>
                <w:lang w:val="en-US"/>
              </w:rPr>
              <w:t>Orderbook</w:t>
            </w:r>
          </w:p>
        </w:tc>
        <w:tc>
          <w:tcPr>
            <w:tcW w:w="236" w:type="dxa"/>
            <w:vAlign w:val="bottom"/>
          </w:tcPr>
          <w:p w14:paraId="25E55255" w14:textId="77777777" w:rsidR="006B57D8" w:rsidRPr="005D4BD6" w:rsidRDefault="006B57D8" w:rsidP="00922116">
            <w:pPr>
              <w:pStyle w:val="CellRowSpacer"/>
              <w:spacing w:after="120"/>
              <w:rPr>
                <w:sz w:val="16"/>
                <w:szCs w:val="16"/>
                <w:lang w:val="en-US"/>
              </w:rPr>
            </w:pPr>
          </w:p>
        </w:tc>
      </w:tr>
      <w:tr w:rsidR="006B57D8" w:rsidRPr="005D4BD6" w14:paraId="5F363342" w14:textId="77777777" w:rsidTr="00922116">
        <w:tc>
          <w:tcPr>
            <w:tcW w:w="1689" w:type="dxa"/>
            <w:vAlign w:val="bottom"/>
          </w:tcPr>
          <w:p w14:paraId="7869D163" w14:textId="77777777" w:rsidR="006B57D8" w:rsidRPr="005D4BD6" w:rsidRDefault="006B57D8" w:rsidP="00922116">
            <w:pPr>
              <w:pStyle w:val="VSmCellBody"/>
              <w:tabs>
                <w:tab w:val="right" w:leader="dot" w:pos="1689"/>
              </w:tabs>
              <w:rPr>
                <w:sz w:val="16"/>
                <w:szCs w:val="16"/>
                <w:lang w:val="en-US"/>
              </w:rPr>
            </w:pPr>
            <w:r w:rsidRPr="005D4BD6">
              <w:rPr>
                <w:sz w:val="16"/>
                <w:szCs w:val="16"/>
                <w:lang w:val="en-US"/>
              </w:rPr>
              <w:t>Steam</w:t>
            </w:r>
            <w:r w:rsidRPr="005D4BD6">
              <w:rPr>
                <w:sz w:val="16"/>
                <w:szCs w:val="16"/>
                <w:lang w:val="en-US"/>
              </w:rPr>
              <w:tab/>
            </w:r>
          </w:p>
        </w:tc>
        <w:tc>
          <w:tcPr>
            <w:tcW w:w="236" w:type="dxa"/>
            <w:vAlign w:val="bottom"/>
          </w:tcPr>
          <w:p w14:paraId="0E92CD49" w14:textId="77777777" w:rsidR="006B57D8" w:rsidRPr="005D4BD6" w:rsidRDefault="006B57D8" w:rsidP="00922116">
            <w:pPr>
              <w:pStyle w:val="CellRowSpacer"/>
              <w:rPr>
                <w:sz w:val="16"/>
                <w:szCs w:val="16"/>
                <w:lang w:val="en-US"/>
              </w:rPr>
            </w:pPr>
          </w:p>
        </w:tc>
        <w:tc>
          <w:tcPr>
            <w:tcW w:w="794" w:type="dxa"/>
            <w:tcBorders>
              <w:top w:val="single" w:sz="4" w:space="0" w:color="auto"/>
            </w:tcBorders>
            <w:vAlign w:val="bottom"/>
          </w:tcPr>
          <w:p w14:paraId="30DA28FC" w14:textId="77777777" w:rsidR="006B57D8" w:rsidRPr="005D4BD6" w:rsidRDefault="006B57D8" w:rsidP="00922116">
            <w:pPr>
              <w:pStyle w:val="VSmCellBody"/>
              <w:jc w:val="right"/>
              <w:rPr>
                <w:sz w:val="16"/>
                <w:szCs w:val="16"/>
                <w:lang w:val="en-US"/>
              </w:rPr>
            </w:pPr>
            <w:r w:rsidRPr="005D4BD6">
              <w:rPr>
                <w:sz w:val="16"/>
                <w:szCs w:val="16"/>
                <w:lang w:val="en-US"/>
              </w:rPr>
              <w:t>0.9</w:t>
            </w:r>
          </w:p>
        </w:tc>
        <w:tc>
          <w:tcPr>
            <w:tcW w:w="236" w:type="dxa"/>
            <w:vAlign w:val="bottom"/>
          </w:tcPr>
          <w:p w14:paraId="3C631F9E" w14:textId="77777777" w:rsidR="006B57D8" w:rsidRPr="005D4BD6" w:rsidRDefault="006B57D8" w:rsidP="00922116">
            <w:pPr>
              <w:pStyle w:val="CellRowSpacer"/>
              <w:rPr>
                <w:sz w:val="16"/>
                <w:szCs w:val="16"/>
                <w:lang w:val="en-US"/>
              </w:rPr>
            </w:pPr>
          </w:p>
        </w:tc>
        <w:tc>
          <w:tcPr>
            <w:tcW w:w="794" w:type="dxa"/>
            <w:tcBorders>
              <w:top w:val="single" w:sz="4" w:space="0" w:color="auto"/>
            </w:tcBorders>
            <w:vAlign w:val="bottom"/>
          </w:tcPr>
          <w:p w14:paraId="41C0C298" w14:textId="77777777" w:rsidR="006B57D8" w:rsidRPr="005D4BD6" w:rsidRDefault="006B57D8" w:rsidP="00922116">
            <w:pPr>
              <w:pStyle w:val="VSmCellBody"/>
              <w:jc w:val="right"/>
              <w:rPr>
                <w:sz w:val="16"/>
                <w:szCs w:val="16"/>
                <w:lang w:val="en-US"/>
              </w:rPr>
            </w:pPr>
            <w:r w:rsidRPr="005D4BD6">
              <w:rPr>
                <w:sz w:val="16"/>
                <w:szCs w:val="16"/>
                <w:lang w:val="en-US"/>
              </w:rPr>
              <w:t>3.1</w:t>
            </w:r>
          </w:p>
        </w:tc>
        <w:tc>
          <w:tcPr>
            <w:tcW w:w="236" w:type="dxa"/>
            <w:vAlign w:val="bottom"/>
          </w:tcPr>
          <w:p w14:paraId="1AF62507" w14:textId="77777777" w:rsidR="006B57D8" w:rsidRPr="005D4BD6" w:rsidRDefault="006B57D8" w:rsidP="00922116">
            <w:pPr>
              <w:pStyle w:val="CellRowSpacer"/>
              <w:rPr>
                <w:sz w:val="16"/>
                <w:szCs w:val="16"/>
                <w:lang w:val="en-US"/>
              </w:rPr>
            </w:pPr>
          </w:p>
        </w:tc>
        <w:tc>
          <w:tcPr>
            <w:tcW w:w="794" w:type="dxa"/>
            <w:tcBorders>
              <w:top w:val="single" w:sz="4" w:space="0" w:color="auto"/>
            </w:tcBorders>
            <w:vAlign w:val="bottom"/>
          </w:tcPr>
          <w:p w14:paraId="6FF72EEB" w14:textId="77777777" w:rsidR="006B57D8" w:rsidRPr="005D4BD6" w:rsidRDefault="006B57D8" w:rsidP="00922116">
            <w:pPr>
              <w:pStyle w:val="VSmCellBody"/>
              <w:jc w:val="right"/>
              <w:rPr>
                <w:sz w:val="16"/>
                <w:szCs w:val="16"/>
                <w:lang w:val="en-US"/>
              </w:rPr>
            </w:pPr>
            <w:r w:rsidRPr="005D4BD6">
              <w:rPr>
                <w:sz w:val="16"/>
                <w:szCs w:val="16"/>
                <w:lang w:val="en-US"/>
              </w:rPr>
              <w:t>3.5</w:t>
            </w:r>
          </w:p>
        </w:tc>
        <w:tc>
          <w:tcPr>
            <w:tcW w:w="236" w:type="dxa"/>
            <w:vAlign w:val="bottom"/>
          </w:tcPr>
          <w:p w14:paraId="78CFE21B" w14:textId="77777777" w:rsidR="006B57D8" w:rsidRPr="005D4BD6" w:rsidRDefault="006B57D8" w:rsidP="00922116">
            <w:pPr>
              <w:pStyle w:val="CellRowSpacer"/>
              <w:rPr>
                <w:sz w:val="16"/>
                <w:szCs w:val="16"/>
                <w:lang w:val="en-US"/>
              </w:rPr>
            </w:pPr>
          </w:p>
        </w:tc>
        <w:tc>
          <w:tcPr>
            <w:tcW w:w="794" w:type="dxa"/>
            <w:tcBorders>
              <w:top w:val="single" w:sz="4" w:space="0" w:color="auto"/>
            </w:tcBorders>
            <w:vAlign w:val="bottom"/>
          </w:tcPr>
          <w:p w14:paraId="5A222602" w14:textId="77777777" w:rsidR="006B57D8" w:rsidRPr="005D4BD6" w:rsidRDefault="006B57D8" w:rsidP="00922116">
            <w:pPr>
              <w:pStyle w:val="VSmCellBody"/>
              <w:jc w:val="right"/>
              <w:rPr>
                <w:sz w:val="16"/>
                <w:szCs w:val="16"/>
                <w:lang w:val="en-US"/>
              </w:rPr>
            </w:pPr>
            <w:r w:rsidRPr="005D4BD6">
              <w:rPr>
                <w:sz w:val="16"/>
                <w:szCs w:val="16"/>
                <w:lang w:val="en-US"/>
              </w:rPr>
              <w:t>15.9</w:t>
            </w:r>
          </w:p>
        </w:tc>
        <w:tc>
          <w:tcPr>
            <w:tcW w:w="236" w:type="dxa"/>
            <w:vAlign w:val="bottom"/>
          </w:tcPr>
          <w:p w14:paraId="6B1912D6" w14:textId="77777777" w:rsidR="006B57D8" w:rsidRPr="005D4BD6" w:rsidRDefault="006B57D8" w:rsidP="00922116">
            <w:pPr>
              <w:pStyle w:val="CellRowSpacer"/>
              <w:rPr>
                <w:sz w:val="16"/>
                <w:szCs w:val="16"/>
                <w:lang w:val="en-US"/>
              </w:rPr>
            </w:pPr>
          </w:p>
        </w:tc>
        <w:tc>
          <w:tcPr>
            <w:tcW w:w="794" w:type="dxa"/>
            <w:tcBorders>
              <w:top w:val="single" w:sz="4" w:space="0" w:color="auto"/>
            </w:tcBorders>
            <w:vAlign w:val="bottom"/>
          </w:tcPr>
          <w:p w14:paraId="3BF47C1A" w14:textId="77777777" w:rsidR="006B57D8" w:rsidRPr="005D4BD6" w:rsidRDefault="006B57D8" w:rsidP="00922116">
            <w:pPr>
              <w:pStyle w:val="VSmCellBody"/>
              <w:jc w:val="right"/>
              <w:rPr>
                <w:sz w:val="16"/>
                <w:szCs w:val="16"/>
                <w:lang w:val="en-US"/>
              </w:rPr>
            </w:pPr>
            <w:r w:rsidRPr="005D4BD6">
              <w:rPr>
                <w:sz w:val="16"/>
                <w:szCs w:val="16"/>
                <w:lang w:val="en-US"/>
              </w:rPr>
              <w:t>9.6</w:t>
            </w:r>
          </w:p>
        </w:tc>
        <w:tc>
          <w:tcPr>
            <w:tcW w:w="236" w:type="dxa"/>
            <w:vAlign w:val="bottom"/>
          </w:tcPr>
          <w:p w14:paraId="2D49BBB3" w14:textId="77777777" w:rsidR="006B57D8" w:rsidRPr="005D4BD6" w:rsidRDefault="006B57D8" w:rsidP="00922116">
            <w:pPr>
              <w:pStyle w:val="CellRowSpacer"/>
              <w:rPr>
                <w:sz w:val="16"/>
                <w:szCs w:val="16"/>
                <w:lang w:val="en-US"/>
              </w:rPr>
            </w:pPr>
          </w:p>
        </w:tc>
        <w:tc>
          <w:tcPr>
            <w:tcW w:w="794" w:type="dxa"/>
            <w:tcBorders>
              <w:top w:val="single" w:sz="4" w:space="0" w:color="auto"/>
            </w:tcBorders>
            <w:vAlign w:val="bottom"/>
          </w:tcPr>
          <w:p w14:paraId="00B29C18" w14:textId="77777777" w:rsidR="006B57D8" w:rsidRPr="005D4BD6" w:rsidRDefault="006B57D8" w:rsidP="00922116">
            <w:pPr>
              <w:pStyle w:val="VSmCellBody"/>
              <w:jc w:val="right"/>
              <w:rPr>
                <w:sz w:val="16"/>
                <w:szCs w:val="16"/>
                <w:lang w:val="en-US"/>
              </w:rPr>
            </w:pPr>
            <w:r w:rsidRPr="005D4BD6">
              <w:rPr>
                <w:sz w:val="16"/>
                <w:szCs w:val="16"/>
                <w:lang w:val="en-US"/>
              </w:rPr>
              <w:t>2.7</w:t>
            </w:r>
          </w:p>
        </w:tc>
        <w:tc>
          <w:tcPr>
            <w:tcW w:w="236" w:type="dxa"/>
            <w:vAlign w:val="bottom"/>
          </w:tcPr>
          <w:p w14:paraId="5F1B04EE" w14:textId="77777777" w:rsidR="006B57D8" w:rsidRPr="005D4BD6" w:rsidRDefault="006B57D8" w:rsidP="00922116">
            <w:pPr>
              <w:pStyle w:val="CellRowSpacer"/>
              <w:rPr>
                <w:sz w:val="16"/>
                <w:szCs w:val="16"/>
                <w:lang w:val="en-US"/>
              </w:rPr>
            </w:pPr>
          </w:p>
        </w:tc>
        <w:tc>
          <w:tcPr>
            <w:tcW w:w="794" w:type="dxa"/>
            <w:tcBorders>
              <w:top w:val="single" w:sz="4" w:space="0" w:color="auto"/>
            </w:tcBorders>
            <w:vAlign w:val="bottom"/>
          </w:tcPr>
          <w:p w14:paraId="2A9911DA"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4D4EB302" w14:textId="77777777" w:rsidR="006B57D8" w:rsidRPr="005D4BD6" w:rsidRDefault="006B57D8" w:rsidP="00922116">
            <w:pPr>
              <w:pStyle w:val="CellRowSpacer"/>
              <w:rPr>
                <w:sz w:val="16"/>
                <w:szCs w:val="16"/>
                <w:lang w:val="en-US"/>
              </w:rPr>
            </w:pPr>
          </w:p>
        </w:tc>
      </w:tr>
      <w:tr w:rsidR="006B57D8" w:rsidRPr="005D4BD6" w14:paraId="65677EC3" w14:textId="77777777" w:rsidTr="00922116">
        <w:tc>
          <w:tcPr>
            <w:tcW w:w="1689" w:type="dxa"/>
            <w:vAlign w:val="bottom"/>
          </w:tcPr>
          <w:p w14:paraId="3D595B85" w14:textId="77777777" w:rsidR="006B57D8" w:rsidRPr="005D4BD6" w:rsidRDefault="006B57D8" w:rsidP="00922116">
            <w:pPr>
              <w:pStyle w:val="VSmCellBody"/>
              <w:tabs>
                <w:tab w:val="right" w:leader="dot" w:pos="1689"/>
              </w:tabs>
              <w:rPr>
                <w:sz w:val="16"/>
                <w:szCs w:val="16"/>
                <w:lang w:val="en-US"/>
              </w:rPr>
            </w:pPr>
            <w:r w:rsidRPr="005D4BD6">
              <w:rPr>
                <w:sz w:val="16"/>
                <w:szCs w:val="16"/>
                <w:lang w:val="en-US"/>
              </w:rPr>
              <w:t>DFDE</w:t>
            </w:r>
            <w:r w:rsidRPr="005D4BD6">
              <w:rPr>
                <w:sz w:val="16"/>
                <w:szCs w:val="16"/>
                <w:lang w:val="en-US"/>
              </w:rPr>
              <w:tab/>
            </w:r>
          </w:p>
        </w:tc>
        <w:tc>
          <w:tcPr>
            <w:tcW w:w="236" w:type="dxa"/>
            <w:vAlign w:val="bottom"/>
          </w:tcPr>
          <w:p w14:paraId="2818D06A" w14:textId="77777777" w:rsidR="006B57D8" w:rsidRPr="005D4BD6" w:rsidRDefault="006B57D8" w:rsidP="00922116">
            <w:pPr>
              <w:pStyle w:val="CellRowSpacer"/>
              <w:rPr>
                <w:sz w:val="16"/>
                <w:szCs w:val="16"/>
                <w:lang w:val="en-US"/>
              </w:rPr>
            </w:pPr>
          </w:p>
        </w:tc>
        <w:tc>
          <w:tcPr>
            <w:tcW w:w="794" w:type="dxa"/>
            <w:vAlign w:val="bottom"/>
          </w:tcPr>
          <w:p w14:paraId="5B0036D7" w14:textId="77777777" w:rsidR="006B57D8" w:rsidRPr="005D4BD6" w:rsidRDefault="006B57D8" w:rsidP="00922116">
            <w:pPr>
              <w:pStyle w:val="VSmCellBody"/>
              <w:jc w:val="right"/>
              <w:rPr>
                <w:sz w:val="16"/>
                <w:szCs w:val="16"/>
                <w:lang w:val="en-US"/>
              </w:rPr>
            </w:pPr>
            <w:r w:rsidRPr="005D4BD6">
              <w:rPr>
                <w:sz w:val="16"/>
                <w:szCs w:val="16"/>
                <w:lang w:val="en-US"/>
              </w:rPr>
              <w:t>3.8</w:t>
            </w:r>
          </w:p>
        </w:tc>
        <w:tc>
          <w:tcPr>
            <w:tcW w:w="236" w:type="dxa"/>
            <w:vAlign w:val="bottom"/>
          </w:tcPr>
          <w:p w14:paraId="3244C91F" w14:textId="77777777" w:rsidR="006B57D8" w:rsidRPr="005D4BD6" w:rsidRDefault="006B57D8" w:rsidP="00922116">
            <w:pPr>
              <w:pStyle w:val="CellRowSpacer"/>
              <w:rPr>
                <w:sz w:val="16"/>
                <w:szCs w:val="16"/>
                <w:lang w:val="en-US"/>
              </w:rPr>
            </w:pPr>
          </w:p>
        </w:tc>
        <w:tc>
          <w:tcPr>
            <w:tcW w:w="794" w:type="dxa"/>
            <w:vAlign w:val="bottom"/>
          </w:tcPr>
          <w:p w14:paraId="13E47D23" w14:textId="77777777" w:rsidR="006B57D8" w:rsidRPr="005D4BD6" w:rsidRDefault="006B57D8" w:rsidP="00922116">
            <w:pPr>
              <w:pStyle w:val="VSmCellBody"/>
              <w:jc w:val="right"/>
              <w:rPr>
                <w:sz w:val="16"/>
                <w:szCs w:val="16"/>
                <w:lang w:val="en-US"/>
              </w:rPr>
            </w:pPr>
            <w:r w:rsidRPr="005D4BD6">
              <w:rPr>
                <w:sz w:val="16"/>
                <w:szCs w:val="16"/>
                <w:lang w:val="en-US"/>
              </w:rPr>
              <w:t>18.2</w:t>
            </w:r>
          </w:p>
        </w:tc>
        <w:tc>
          <w:tcPr>
            <w:tcW w:w="236" w:type="dxa"/>
            <w:vAlign w:val="bottom"/>
          </w:tcPr>
          <w:p w14:paraId="3FA15725" w14:textId="77777777" w:rsidR="006B57D8" w:rsidRPr="005D4BD6" w:rsidRDefault="006B57D8" w:rsidP="00922116">
            <w:pPr>
              <w:pStyle w:val="CellRowSpacer"/>
              <w:rPr>
                <w:sz w:val="16"/>
                <w:szCs w:val="16"/>
                <w:lang w:val="en-US"/>
              </w:rPr>
            </w:pPr>
          </w:p>
        </w:tc>
        <w:tc>
          <w:tcPr>
            <w:tcW w:w="794" w:type="dxa"/>
            <w:vAlign w:val="bottom"/>
          </w:tcPr>
          <w:p w14:paraId="2B98FF75" w14:textId="77777777" w:rsidR="006B57D8" w:rsidRPr="005D4BD6" w:rsidRDefault="006B57D8" w:rsidP="00922116">
            <w:pPr>
              <w:pStyle w:val="VSmCellBody"/>
              <w:jc w:val="right"/>
              <w:rPr>
                <w:sz w:val="16"/>
                <w:szCs w:val="16"/>
                <w:lang w:val="en-US"/>
              </w:rPr>
            </w:pPr>
            <w:r w:rsidRPr="005D4BD6">
              <w:rPr>
                <w:sz w:val="16"/>
                <w:szCs w:val="16"/>
                <w:lang w:val="en-US"/>
              </w:rPr>
              <w:t>7.9</w:t>
            </w:r>
          </w:p>
        </w:tc>
        <w:tc>
          <w:tcPr>
            <w:tcW w:w="236" w:type="dxa"/>
            <w:vAlign w:val="bottom"/>
          </w:tcPr>
          <w:p w14:paraId="278CFD41" w14:textId="77777777" w:rsidR="006B57D8" w:rsidRPr="005D4BD6" w:rsidRDefault="006B57D8" w:rsidP="00922116">
            <w:pPr>
              <w:pStyle w:val="CellRowSpacer"/>
              <w:rPr>
                <w:sz w:val="16"/>
                <w:szCs w:val="16"/>
                <w:lang w:val="en-US"/>
              </w:rPr>
            </w:pPr>
          </w:p>
        </w:tc>
        <w:tc>
          <w:tcPr>
            <w:tcW w:w="794" w:type="dxa"/>
            <w:vAlign w:val="bottom"/>
          </w:tcPr>
          <w:p w14:paraId="66DC609B" w14:textId="77777777" w:rsidR="006B57D8" w:rsidRPr="005D4BD6" w:rsidRDefault="006B57D8" w:rsidP="00922116">
            <w:pPr>
              <w:pStyle w:val="VSmCellBody"/>
              <w:jc w:val="right"/>
              <w:rPr>
                <w:sz w:val="16"/>
                <w:szCs w:val="16"/>
                <w:lang w:val="en-US"/>
              </w:rPr>
            </w:pPr>
            <w:r w:rsidRPr="005D4BD6">
              <w:rPr>
                <w:sz w:val="16"/>
                <w:szCs w:val="16"/>
                <w:lang w:val="en-US"/>
              </w:rPr>
              <w:t>1.9</w:t>
            </w:r>
          </w:p>
        </w:tc>
        <w:tc>
          <w:tcPr>
            <w:tcW w:w="236" w:type="dxa"/>
            <w:vAlign w:val="bottom"/>
          </w:tcPr>
          <w:p w14:paraId="2F730AC7" w14:textId="77777777" w:rsidR="006B57D8" w:rsidRPr="005D4BD6" w:rsidRDefault="006B57D8" w:rsidP="00922116">
            <w:pPr>
              <w:pStyle w:val="CellRowSpacer"/>
              <w:rPr>
                <w:sz w:val="16"/>
                <w:szCs w:val="16"/>
                <w:lang w:val="en-US"/>
              </w:rPr>
            </w:pPr>
          </w:p>
        </w:tc>
        <w:tc>
          <w:tcPr>
            <w:tcW w:w="794" w:type="dxa"/>
            <w:vAlign w:val="bottom"/>
          </w:tcPr>
          <w:p w14:paraId="6B71406B"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72C137B0" w14:textId="77777777" w:rsidR="006B57D8" w:rsidRPr="005D4BD6" w:rsidRDefault="006B57D8" w:rsidP="00922116">
            <w:pPr>
              <w:pStyle w:val="CellRowSpacer"/>
              <w:rPr>
                <w:sz w:val="16"/>
                <w:szCs w:val="16"/>
                <w:lang w:val="en-US"/>
              </w:rPr>
            </w:pPr>
          </w:p>
        </w:tc>
        <w:tc>
          <w:tcPr>
            <w:tcW w:w="794" w:type="dxa"/>
            <w:vAlign w:val="bottom"/>
          </w:tcPr>
          <w:p w14:paraId="79824DA6"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16E9DD1B" w14:textId="77777777" w:rsidR="006B57D8" w:rsidRPr="005D4BD6" w:rsidRDefault="006B57D8" w:rsidP="00922116">
            <w:pPr>
              <w:pStyle w:val="CellRowSpacer"/>
              <w:rPr>
                <w:sz w:val="16"/>
                <w:szCs w:val="16"/>
                <w:lang w:val="en-US"/>
              </w:rPr>
            </w:pPr>
          </w:p>
        </w:tc>
        <w:tc>
          <w:tcPr>
            <w:tcW w:w="794" w:type="dxa"/>
            <w:vAlign w:val="bottom"/>
          </w:tcPr>
          <w:p w14:paraId="24D41BC5" w14:textId="77777777" w:rsidR="006B57D8" w:rsidRPr="005D4BD6" w:rsidRDefault="006B57D8" w:rsidP="00922116">
            <w:pPr>
              <w:pStyle w:val="VSmCellBody"/>
              <w:jc w:val="right"/>
              <w:rPr>
                <w:sz w:val="16"/>
                <w:szCs w:val="16"/>
                <w:lang w:val="en-US"/>
              </w:rPr>
            </w:pPr>
            <w:r w:rsidRPr="005D4BD6">
              <w:rPr>
                <w:sz w:val="16"/>
                <w:szCs w:val="16"/>
                <w:lang w:val="en-US"/>
              </w:rPr>
              <w:t>3.8</w:t>
            </w:r>
          </w:p>
        </w:tc>
        <w:tc>
          <w:tcPr>
            <w:tcW w:w="236" w:type="dxa"/>
            <w:vAlign w:val="bottom"/>
          </w:tcPr>
          <w:p w14:paraId="783A0890" w14:textId="77777777" w:rsidR="006B57D8" w:rsidRPr="005D4BD6" w:rsidRDefault="006B57D8" w:rsidP="00922116">
            <w:pPr>
              <w:pStyle w:val="CellRowSpacer"/>
              <w:rPr>
                <w:sz w:val="16"/>
                <w:szCs w:val="16"/>
                <w:lang w:val="en-US"/>
              </w:rPr>
            </w:pPr>
          </w:p>
        </w:tc>
      </w:tr>
      <w:tr w:rsidR="006B57D8" w:rsidRPr="005D4BD6" w14:paraId="429EA664" w14:textId="77777777" w:rsidTr="00922116">
        <w:tc>
          <w:tcPr>
            <w:tcW w:w="1689" w:type="dxa"/>
            <w:vAlign w:val="bottom"/>
          </w:tcPr>
          <w:p w14:paraId="4E76E1D2" w14:textId="77777777" w:rsidR="006B57D8" w:rsidRPr="005D4BD6" w:rsidRDefault="006B57D8" w:rsidP="00922116">
            <w:pPr>
              <w:pStyle w:val="VSmCellBody"/>
              <w:tabs>
                <w:tab w:val="right" w:leader="dot" w:pos="1689"/>
              </w:tabs>
              <w:rPr>
                <w:sz w:val="16"/>
                <w:szCs w:val="16"/>
                <w:lang w:val="en-US"/>
              </w:rPr>
            </w:pPr>
            <w:r w:rsidRPr="005D4BD6">
              <w:rPr>
                <w:sz w:val="16"/>
                <w:szCs w:val="16"/>
                <w:lang w:val="en-US"/>
              </w:rPr>
              <w:t>Motor</w:t>
            </w:r>
            <w:r w:rsidRPr="005D4BD6">
              <w:rPr>
                <w:sz w:val="16"/>
                <w:szCs w:val="16"/>
                <w:lang w:val="en-US"/>
              </w:rPr>
              <w:tab/>
            </w:r>
          </w:p>
        </w:tc>
        <w:tc>
          <w:tcPr>
            <w:tcW w:w="236" w:type="dxa"/>
            <w:vAlign w:val="bottom"/>
          </w:tcPr>
          <w:p w14:paraId="41C20D1B" w14:textId="77777777" w:rsidR="006B57D8" w:rsidRPr="005D4BD6" w:rsidRDefault="006B57D8" w:rsidP="00922116">
            <w:pPr>
              <w:pStyle w:val="CellRowSpacer"/>
              <w:rPr>
                <w:sz w:val="16"/>
                <w:szCs w:val="16"/>
                <w:lang w:val="en-US"/>
              </w:rPr>
            </w:pPr>
          </w:p>
        </w:tc>
        <w:tc>
          <w:tcPr>
            <w:tcW w:w="794" w:type="dxa"/>
            <w:vAlign w:val="bottom"/>
          </w:tcPr>
          <w:p w14:paraId="4C7D9A27"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098F9FBD" w14:textId="77777777" w:rsidR="006B57D8" w:rsidRPr="005D4BD6" w:rsidRDefault="006B57D8" w:rsidP="00922116">
            <w:pPr>
              <w:pStyle w:val="CellRowSpacer"/>
              <w:rPr>
                <w:sz w:val="16"/>
                <w:szCs w:val="16"/>
                <w:lang w:val="en-US"/>
              </w:rPr>
            </w:pPr>
          </w:p>
        </w:tc>
        <w:tc>
          <w:tcPr>
            <w:tcW w:w="794" w:type="dxa"/>
            <w:vAlign w:val="bottom"/>
          </w:tcPr>
          <w:p w14:paraId="65EFD9C5" w14:textId="77777777" w:rsidR="006B57D8" w:rsidRPr="005D4BD6" w:rsidRDefault="006B57D8" w:rsidP="00922116">
            <w:pPr>
              <w:pStyle w:val="VSmCellBody"/>
              <w:jc w:val="right"/>
              <w:rPr>
                <w:sz w:val="16"/>
                <w:szCs w:val="16"/>
                <w:lang w:val="en-US"/>
              </w:rPr>
            </w:pPr>
            <w:r w:rsidRPr="005D4BD6">
              <w:rPr>
                <w:sz w:val="16"/>
                <w:szCs w:val="16"/>
                <w:lang w:val="en-US"/>
              </w:rPr>
              <w:t>0.7</w:t>
            </w:r>
          </w:p>
        </w:tc>
        <w:tc>
          <w:tcPr>
            <w:tcW w:w="236" w:type="dxa"/>
            <w:vAlign w:val="bottom"/>
          </w:tcPr>
          <w:p w14:paraId="3D8238AD" w14:textId="77777777" w:rsidR="006B57D8" w:rsidRPr="005D4BD6" w:rsidRDefault="006B57D8" w:rsidP="00922116">
            <w:pPr>
              <w:pStyle w:val="CellRowSpacer"/>
              <w:rPr>
                <w:sz w:val="16"/>
                <w:szCs w:val="16"/>
                <w:lang w:val="en-US"/>
              </w:rPr>
            </w:pPr>
          </w:p>
        </w:tc>
        <w:tc>
          <w:tcPr>
            <w:tcW w:w="794" w:type="dxa"/>
            <w:vAlign w:val="bottom"/>
          </w:tcPr>
          <w:p w14:paraId="47C52415" w14:textId="77777777" w:rsidR="006B57D8" w:rsidRPr="005D4BD6" w:rsidRDefault="006B57D8" w:rsidP="00922116">
            <w:pPr>
              <w:pStyle w:val="VSmCellBody"/>
              <w:jc w:val="right"/>
              <w:rPr>
                <w:sz w:val="16"/>
                <w:szCs w:val="16"/>
                <w:lang w:val="en-US"/>
              </w:rPr>
            </w:pPr>
            <w:r w:rsidRPr="005D4BD6">
              <w:rPr>
                <w:sz w:val="16"/>
                <w:szCs w:val="16"/>
                <w:lang w:val="en-US"/>
              </w:rPr>
              <w:t>4.7</w:t>
            </w:r>
          </w:p>
        </w:tc>
        <w:tc>
          <w:tcPr>
            <w:tcW w:w="236" w:type="dxa"/>
            <w:vAlign w:val="bottom"/>
          </w:tcPr>
          <w:p w14:paraId="71060E4C" w14:textId="77777777" w:rsidR="006B57D8" w:rsidRPr="005D4BD6" w:rsidRDefault="006B57D8" w:rsidP="00922116">
            <w:pPr>
              <w:pStyle w:val="CellRowSpacer"/>
              <w:rPr>
                <w:sz w:val="16"/>
                <w:szCs w:val="16"/>
                <w:lang w:val="en-US"/>
              </w:rPr>
            </w:pPr>
          </w:p>
        </w:tc>
        <w:tc>
          <w:tcPr>
            <w:tcW w:w="794" w:type="dxa"/>
            <w:vAlign w:val="bottom"/>
          </w:tcPr>
          <w:p w14:paraId="105F5D31" w14:textId="77777777" w:rsidR="006B57D8" w:rsidRPr="005D4BD6" w:rsidRDefault="006B57D8" w:rsidP="00922116">
            <w:pPr>
              <w:pStyle w:val="VSmCellBody"/>
              <w:jc w:val="right"/>
              <w:rPr>
                <w:sz w:val="16"/>
                <w:szCs w:val="16"/>
                <w:lang w:val="en-US"/>
              </w:rPr>
            </w:pPr>
            <w:r w:rsidRPr="005D4BD6">
              <w:rPr>
                <w:sz w:val="16"/>
                <w:szCs w:val="16"/>
                <w:lang w:val="en-US"/>
              </w:rPr>
              <w:t>5.3</w:t>
            </w:r>
          </w:p>
        </w:tc>
        <w:tc>
          <w:tcPr>
            <w:tcW w:w="236" w:type="dxa"/>
            <w:vAlign w:val="bottom"/>
          </w:tcPr>
          <w:p w14:paraId="3586E3B6" w14:textId="77777777" w:rsidR="006B57D8" w:rsidRPr="005D4BD6" w:rsidRDefault="006B57D8" w:rsidP="00922116">
            <w:pPr>
              <w:pStyle w:val="CellRowSpacer"/>
              <w:rPr>
                <w:sz w:val="16"/>
                <w:szCs w:val="16"/>
                <w:lang w:val="en-US"/>
              </w:rPr>
            </w:pPr>
          </w:p>
        </w:tc>
        <w:tc>
          <w:tcPr>
            <w:tcW w:w="794" w:type="dxa"/>
            <w:vAlign w:val="bottom"/>
          </w:tcPr>
          <w:p w14:paraId="12DA9ED4"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680BD918" w14:textId="77777777" w:rsidR="006B57D8" w:rsidRPr="005D4BD6" w:rsidRDefault="006B57D8" w:rsidP="00922116">
            <w:pPr>
              <w:pStyle w:val="CellRowSpacer"/>
              <w:rPr>
                <w:sz w:val="16"/>
                <w:szCs w:val="16"/>
                <w:lang w:val="en-US"/>
              </w:rPr>
            </w:pPr>
          </w:p>
        </w:tc>
        <w:tc>
          <w:tcPr>
            <w:tcW w:w="794" w:type="dxa"/>
            <w:vAlign w:val="bottom"/>
          </w:tcPr>
          <w:p w14:paraId="299462C2"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3C9D7BAD" w14:textId="77777777" w:rsidR="006B57D8" w:rsidRPr="005D4BD6" w:rsidRDefault="006B57D8" w:rsidP="00922116">
            <w:pPr>
              <w:pStyle w:val="CellRowSpacer"/>
              <w:rPr>
                <w:sz w:val="16"/>
                <w:szCs w:val="16"/>
                <w:lang w:val="en-US"/>
              </w:rPr>
            </w:pPr>
          </w:p>
        </w:tc>
        <w:tc>
          <w:tcPr>
            <w:tcW w:w="794" w:type="dxa"/>
            <w:vAlign w:val="bottom"/>
          </w:tcPr>
          <w:p w14:paraId="009E7577"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5A0D12FF" w14:textId="77777777" w:rsidR="006B57D8" w:rsidRPr="005D4BD6" w:rsidRDefault="006B57D8" w:rsidP="00922116">
            <w:pPr>
              <w:pStyle w:val="CellRowSpacer"/>
              <w:rPr>
                <w:sz w:val="16"/>
                <w:szCs w:val="16"/>
                <w:lang w:val="en-US"/>
              </w:rPr>
            </w:pPr>
          </w:p>
        </w:tc>
      </w:tr>
      <w:tr w:rsidR="006B57D8" w:rsidRPr="005D4BD6" w14:paraId="287F8A2B" w14:textId="77777777" w:rsidTr="00922116">
        <w:tc>
          <w:tcPr>
            <w:tcW w:w="1689" w:type="dxa"/>
            <w:vAlign w:val="bottom"/>
          </w:tcPr>
          <w:p w14:paraId="5B6222E4" w14:textId="77777777" w:rsidR="006B57D8" w:rsidRPr="005D4BD6" w:rsidRDefault="006B57D8" w:rsidP="00922116">
            <w:pPr>
              <w:pStyle w:val="VSmCellBody"/>
              <w:tabs>
                <w:tab w:val="right" w:leader="dot" w:pos="1689"/>
              </w:tabs>
              <w:rPr>
                <w:sz w:val="16"/>
                <w:szCs w:val="16"/>
                <w:lang w:val="en-US"/>
              </w:rPr>
            </w:pPr>
            <w:r w:rsidRPr="005D4BD6">
              <w:rPr>
                <w:sz w:val="16"/>
                <w:szCs w:val="16"/>
                <w:lang w:val="en-US"/>
              </w:rPr>
              <w:t>Gas Injection</w:t>
            </w:r>
            <w:r w:rsidRPr="005D4BD6">
              <w:rPr>
                <w:sz w:val="16"/>
                <w:szCs w:val="16"/>
                <w:lang w:val="en-US"/>
              </w:rPr>
              <w:tab/>
            </w:r>
          </w:p>
        </w:tc>
        <w:tc>
          <w:tcPr>
            <w:tcW w:w="236" w:type="dxa"/>
            <w:vAlign w:val="bottom"/>
          </w:tcPr>
          <w:p w14:paraId="5EE1797D" w14:textId="77777777" w:rsidR="006B57D8" w:rsidRPr="005D4BD6" w:rsidRDefault="006B57D8" w:rsidP="00922116">
            <w:pPr>
              <w:pStyle w:val="CellRowSpacer"/>
              <w:rPr>
                <w:sz w:val="16"/>
                <w:szCs w:val="16"/>
                <w:lang w:val="en-US"/>
              </w:rPr>
            </w:pPr>
          </w:p>
        </w:tc>
        <w:tc>
          <w:tcPr>
            <w:tcW w:w="794" w:type="dxa"/>
            <w:vAlign w:val="bottom"/>
          </w:tcPr>
          <w:p w14:paraId="0AFEA97F" w14:textId="77777777" w:rsidR="006B57D8" w:rsidRPr="005D4BD6" w:rsidRDefault="006B57D8" w:rsidP="00922116">
            <w:pPr>
              <w:pStyle w:val="VSmCellBody"/>
              <w:jc w:val="right"/>
              <w:rPr>
                <w:sz w:val="16"/>
                <w:szCs w:val="16"/>
                <w:lang w:val="en-US"/>
              </w:rPr>
            </w:pPr>
            <w:r w:rsidRPr="005D4BD6">
              <w:rPr>
                <w:sz w:val="16"/>
                <w:szCs w:val="16"/>
                <w:lang w:val="en-US"/>
              </w:rPr>
              <w:t>37.6</w:t>
            </w:r>
          </w:p>
        </w:tc>
        <w:tc>
          <w:tcPr>
            <w:tcW w:w="236" w:type="dxa"/>
            <w:vAlign w:val="bottom"/>
          </w:tcPr>
          <w:p w14:paraId="66B934FE" w14:textId="77777777" w:rsidR="006B57D8" w:rsidRPr="005D4BD6" w:rsidRDefault="006B57D8" w:rsidP="00922116">
            <w:pPr>
              <w:pStyle w:val="CellRowSpacer"/>
              <w:rPr>
                <w:sz w:val="16"/>
                <w:szCs w:val="16"/>
                <w:lang w:val="en-US"/>
              </w:rPr>
            </w:pPr>
          </w:p>
        </w:tc>
        <w:tc>
          <w:tcPr>
            <w:tcW w:w="794" w:type="dxa"/>
            <w:vAlign w:val="bottom"/>
          </w:tcPr>
          <w:p w14:paraId="6A32D587" w14:textId="77777777" w:rsidR="006B57D8" w:rsidRPr="005D4BD6" w:rsidRDefault="006B57D8" w:rsidP="00922116">
            <w:pPr>
              <w:pStyle w:val="VSmCellBody"/>
              <w:jc w:val="right"/>
              <w:rPr>
                <w:sz w:val="16"/>
                <w:szCs w:val="16"/>
                <w:lang w:val="en-US"/>
              </w:rPr>
            </w:pPr>
            <w:r w:rsidRPr="005D4BD6">
              <w:rPr>
                <w:sz w:val="16"/>
                <w:szCs w:val="16"/>
                <w:lang w:val="en-US"/>
              </w:rPr>
              <w:t>7.0</w:t>
            </w:r>
          </w:p>
        </w:tc>
        <w:tc>
          <w:tcPr>
            <w:tcW w:w="236" w:type="dxa"/>
            <w:vAlign w:val="bottom"/>
          </w:tcPr>
          <w:p w14:paraId="3B369368" w14:textId="77777777" w:rsidR="006B57D8" w:rsidRPr="005D4BD6" w:rsidRDefault="006B57D8" w:rsidP="00922116">
            <w:pPr>
              <w:pStyle w:val="CellRowSpacer"/>
              <w:rPr>
                <w:sz w:val="16"/>
                <w:szCs w:val="16"/>
                <w:lang w:val="en-US"/>
              </w:rPr>
            </w:pPr>
          </w:p>
        </w:tc>
        <w:tc>
          <w:tcPr>
            <w:tcW w:w="794" w:type="dxa"/>
            <w:vAlign w:val="bottom"/>
          </w:tcPr>
          <w:p w14:paraId="37C1BDD2"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1E9BEE3E" w14:textId="77777777" w:rsidR="006B57D8" w:rsidRPr="005D4BD6" w:rsidRDefault="006B57D8" w:rsidP="00922116">
            <w:pPr>
              <w:pStyle w:val="CellRowSpacer"/>
              <w:rPr>
                <w:sz w:val="16"/>
                <w:szCs w:val="16"/>
                <w:lang w:val="en-US"/>
              </w:rPr>
            </w:pPr>
          </w:p>
        </w:tc>
        <w:tc>
          <w:tcPr>
            <w:tcW w:w="794" w:type="dxa"/>
            <w:vAlign w:val="bottom"/>
          </w:tcPr>
          <w:p w14:paraId="5F0F88E7"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7203F196" w14:textId="77777777" w:rsidR="006B57D8" w:rsidRPr="005D4BD6" w:rsidRDefault="006B57D8" w:rsidP="00922116">
            <w:pPr>
              <w:pStyle w:val="CellRowSpacer"/>
              <w:rPr>
                <w:sz w:val="16"/>
                <w:szCs w:val="16"/>
                <w:lang w:val="en-US"/>
              </w:rPr>
            </w:pPr>
          </w:p>
        </w:tc>
        <w:tc>
          <w:tcPr>
            <w:tcW w:w="794" w:type="dxa"/>
            <w:vAlign w:val="bottom"/>
          </w:tcPr>
          <w:p w14:paraId="1C58085F"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7845E82B" w14:textId="77777777" w:rsidR="006B57D8" w:rsidRPr="005D4BD6" w:rsidRDefault="006B57D8" w:rsidP="00922116">
            <w:pPr>
              <w:pStyle w:val="CellRowSpacer"/>
              <w:rPr>
                <w:sz w:val="16"/>
                <w:szCs w:val="16"/>
                <w:lang w:val="en-US"/>
              </w:rPr>
            </w:pPr>
          </w:p>
        </w:tc>
        <w:tc>
          <w:tcPr>
            <w:tcW w:w="794" w:type="dxa"/>
            <w:vAlign w:val="bottom"/>
          </w:tcPr>
          <w:p w14:paraId="2CE8BAA6" w14:textId="77777777" w:rsidR="006B57D8" w:rsidRPr="005D4BD6" w:rsidRDefault="006B57D8" w:rsidP="00922116">
            <w:pPr>
              <w:pStyle w:val="VSmCellBody"/>
              <w:jc w:val="right"/>
              <w:rPr>
                <w:sz w:val="16"/>
                <w:szCs w:val="16"/>
                <w:lang w:val="en-US"/>
              </w:rPr>
            </w:pPr>
            <w:r w:rsidRPr="005D4BD6">
              <w:rPr>
                <w:sz w:val="16"/>
                <w:szCs w:val="16"/>
                <w:lang w:val="en-US"/>
              </w:rPr>
              <w:t>0.0</w:t>
            </w:r>
          </w:p>
        </w:tc>
        <w:tc>
          <w:tcPr>
            <w:tcW w:w="236" w:type="dxa"/>
            <w:vAlign w:val="bottom"/>
          </w:tcPr>
          <w:p w14:paraId="774D440C" w14:textId="77777777" w:rsidR="006B57D8" w:rsidRPr="005D4BD6" w:rsidRDefault="006B57D8" w:rsidP="00922116">
            <w:pPr>
              <w:pStyle w:val="CellRowSpacer"/>
              <w:rPr>
                <w:sz w:val="16"/>
                <w:szCs w:val="16"/>
                <w:lang w:val="en-US"/>
              </w:rPr>
            </w:pPr>
          </w:p>
        </w:tc>
        <w:tc>
          <w:tcPr>
            <w:tcW w:w="794" w:type="dxa"/>
            <w:vAlign w:val="bottom"/>
          </w:tcPr>
          <w:p w14:paraId="6A388714" w14:textId="77777777" w:rsidR="006B57D8" w:rsidRPr="005D4BD6" w:rsidRDefault="006B57D8" w:rsidP="00922116">
            <w:pPr>
              <w:pStyle w:val="VSmCellBody"/>
              <w:jc w:val="right"/>
              <w:rPr>
                <w:sz w:val="16"/>
                <w:szCs w:val="16"/>
                <w:lang w:val="en-US"/>
              </w:rPr>
            </w:pPr>
            <w:r w:rsidRPr="005D4BD6">
              <w:rPr>
                <w:sz w:val="16"/>
                <w:szCs w:val="16"/>
                <w:lang w:val="en-US"/>
              </w:rPr>
              <w:t>58.6</w:t>
            </w:r>
          </w:p>
        </w:tc>
        <w:tc>
          <w:tcPr>
            <w:tcW w:w="236" w:type="dxa"/>
            <w:vAlign w:val="bottom"/>
          </w:tcPr>
          <w:p w14:paraId="15A2FAE3" w14:textId="77777777" w:rsidR="006B57D8" w:rsidRPr="005D4BD6" w:rsidRDefault="006B57D8" w:rsidP="00922116">
            <w:pPr>
              <w:pStyle w:val="CellRowSpacer"/>
              <w:rPr>
                <w:sz w:val="16"/>
                <w:szCs w:val="16"/>
                <w:lang w:val="en-US"/>
              </w:rPr>
            </w:pPr>
          </w:p>
        </w:tc>
      </w:tr>
    </w:tbl>
    <w:p w14:paraId="3FE453D6" w14:textId="77777777" w:rsidR="006B57D8" w:rsidRDefault="006B57D8" w:rsidP="00F87C1B">
      <w:pPr>
        <w:pStyle w:val="P68B1DB1-KeyMessage1"/>
        <w:spacing w:beforeLines="40" w:before="96" w:afterLines="40" w:after="96"/>
        <w:rPr>
          <w:rFonts w:ascii="Traditional Arabic" w:hAnsi="Traditional Arabic" w:cs="Traditional Arabic"/>
          <w:i/>
          <w:sz w:val="30"/>
          <w:szCs w:val="30"/>
        </w:rPr>
      </w:pPr>
    </w:p>
    <w:p w14:paraId="357105C5" w14:textId="77777777" w:rsidR="00F87C1B" w:rsidRPr="00F87C1B" w:rsidRDefault="00F87C1B" w:rsidP="006B57D8">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lastRenderedPageBreak/>
        <w:t>المصدر: مستشار السوق للربع الرابع لعام 2024 الحالة الأساسية (البيانات حتى 30 نوفمبر 2024)</w:t>
      </w:r>
    </w:p>
    <w:p w14:paraId="4BF725E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تأخرت مستويات التسليم كثيرًا عن الطلبيات منذ عام 2021 حيث دخل 4.6 مليون متر مكعب فقط إلى الأسطول في عام 2022 و 5.6 مليون متر مكعب في عام 2023، مقارنة بالرقم القياسي البالغ 9.8 مليون متر مكعب الذي دخل الأسطول في عام 2021. وقد أدت الزيادة السريعة في الطلبات في نفس الوقت مع التباطؤ في عمليات التسليم إلى نمو دفتر الطلبات بسرعة، حيث ارتفع من 26.5 مليون متر مكعب في نهاية عام 2021 إلى 64.8 مليون متر مكعب في 10 سبتمبر 2024. وكنسبة مئوية من سعة الأسطول الحالي، بلغ دفتر طلب 357 سفينة 54.2 في المائة في 10 سبتمبر 2024، مقارنة بنسبة 25.8 في المائة  بنهاية سنة 2021.</w:t>
      </w:r>
    </w:p>
    <w:p w14:paraId="6376698F"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أكثر من 60 ألف متر مكعب من تطوير أسطول ناقلات الغاز الطبيعي المسال حسب نوع الدفع (المحرك)</w:t>
      </w:r>
    </w:p>
    <w:p w14:paraId="50BC6DD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3589814C" wp14:editId="773211D4">
            <wp:extent cx="3371034" cy="2199600"/>
            <wp:effectExtent l="0" t="0" r="1270" b="0"/>
            <wp:docPr id="1628852705" name="Picture 27" descr="A graph of gas injection and ste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52705" name="Picture 27" descr="A graph of gas injection and steam  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71034"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6F838E62" w14:textId="77777777" w:rsidTr="00922116">
        <w:tc>
          <w:tcPr>
            <w:tcW w:w="1440" w:type="dxa"/>
            <w:tcBorders>
              <w:top w:val="single" w:sz="4" w:space="0" w:color="auto"/>
            </w:tcBorders>
            <w:vAlign w:val="bottom"/>
          </w:tcPr>
          <w:p w14:paraId="67CE913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7AA6E3F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2C9A6C85" w14:textId="77777777" w:rsidTr="00922116">
        <w:tc>
          <w:tcPr>
            <w:tcW w:w="9039" w:type="dxa"/>
            <w:gridSpan w:val="2"/>
            <w:vAlign w:val="bottom"/>
          </w:tcPr>
          <w:p w14:paraId="24FA2CE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3B41FDCA"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6DB1EF3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وبالنظر إلى المستقبل، يتوقع مستشار السوق أن طفرة الانكماش منذ أبريل 2021 ستترك مساحة أقل للطلبات الجديدة على المدى المتوسط. وسيصاحب ذلك عدد غير مسبوق من ناقلات الغاز الطبيعي المسال التي سيتم تسليمها على مدى السنوات الخمس المقبلة، لا سيما في الفترة بين عامي 2024 و 2027.</w:t>
      </w:r>
    </w:p>
    <w:p w14:paraId="5E322F9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وبشكل عام، نتوقع أن ينمو أسطول ناقلات الغاز الطبيعي المسال بمعدل 6.7 في المائة سنويا بين عامي 2023 و 2030. وهو أعلى قليلاً من المتوسط البالغ 6.2 في المائة سنويا من معدل النمو بين عامي 2010 و 2023.</w:t>
      </w:r>
    </w:p>
    <w:p w14:paraId="4657EF25"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lastRenderedPageBreak/>
        <w:t>أساسيات السوق والأرباح</w:t>
      </w:r>
    </w:p>
    <w:p w14:paraId="367E48F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يدفع التفاعل بين أساسيات العرض والطلب إمكانات تحقيق الأرباح طويلة الأجل لشركات نقل الغاز الطبيعي المسال، على الرغم من أن العوامل الأخرى يمكن أن تكون مؤثرة على المدى القصير. ولا شك أن المحرك الرئيسي 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الغاز الطبيعي المسال من جانب العرض هو عدد الناقلات الجديدة المضافة إلى الأسطول، ويقتصر دور التخريد على دور محدود فقط مقارنة بقطاعات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الأخرى. وعلى جانب الطلب، فإن مقدار قدرة التسييل الجديدة التي يتم بناؤها هي العامل الأساسي الرئيسي الذي يدفع الطلب، حيث أن الأداء في مصانع التسييل الحالية وأنماط التجارة هي عوامل داعمة مهمة.</w:t>
      </w:r>
    </w:p>
    <w:p w14:paraId="25C2F6F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ويجري حاليا بناء سعة تسييل إجمالية قدرها 210.6 مليون طن متري سنويًا من سعة التسييل بينما يبلغ دفتر الطلبات لسفن الغاز الطبيعي المسال 343 سفينة. والقاعدة الأساسية هي أن هناك حاجة إلى سفينة واحدة لنقل 1 مليون طن متري سنويًا من إنتاج الخليج الأمريكي إلى أوروبا، ولكن هناك حاجة إلى سفينتين لنقل نفس الكمية إلى شمال شرق آسيا (عبر قناة بنما). مقارنة بكمية سعة التسييل الجديدة المتوقع جاهزيتها في عام 2024، فمن المقرر تسليم الكثير من السفن. ستتحسن النسبة لعام 2025 (ولكنها لا تزال مرتفعة بالمعايير التاريخية) مع وجود الكثير من السفن الجديدة والقطارات الجديدة. وسيتكرر هذا النمط في عامي 2026 و 2027، واعتبارًا من عام 2028 فقط، سنرى قدرة التسييل تنمو بشكل أسرع بكثير من زيادة الأسطول.</w:t>
      </w:r>
    </w:p>
    <w:p w14:paraId="438A2306"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إضافات الطاقة الإنتاجية الجديدة للغاز الطبيعي المسال مقابل تسليم السفن *</w:t>
      </w:r>
    </w:p>
    <w:p w14:paraId="256E723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56E2EE52" wp14:editId="517A1752">
            <wp:extent cx="3371034" cy="2199600"/>
            <wp:effectExtent l="0" t="0" r="1270" b="0"/>
            <wp:docPr id="986497659" name="Picture 28" descr="A graph of different colored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97659" name="Picture 28" descr="A graph of different colored lines  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71034"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605C69B8" w14:textId="77777777" w:rsidTr="00922116">
        <w:tc>
          <w:tcPr>
            <w:tcW w:w="1424" w:type="dxa"/>
            <w:tcBorders>
              <w:top w:val="single" w:sz="4" w:space="0" w:color="auto"/>
            </w:tcBorders>
            <w:vAlign w:val="bottom"/>
          </w:tcPr>
          <w:p w14:paraId="1920D4C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01" w:type="dxa"/>
            <w:vAlign w:val="bottom"/>
          </w:tcPr>
          <w:p w14:paraId="1B8F37C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34DD169F" w14:textId="77777777" w:rsidTr="00922116">
        <w:tc>
          <w:tcPr>
            <w:tcW w:w="8925" w:type="dxa"/>
            <w:gridSpan w:val="2"/>
            <w:vAlign w:val="bottom"/>
          </w:tcPr>
          <w:p w14:paraId="5450A52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 يشمل فقط مشاريع التسييل الحالية والمشاريع قيد الإنشاء (بعد قرار الاستثمار النهائي) والتسليم التاريخي والمقرر للسفن من دفتر الطلبات الحالي (30 نوفمبر 2024).</w:t>
            </w:r>
          </w:p>
        </w:tc>
      </w:tr>
      <w:tr w:rsidR="00F87C1B" w:rsidRPr="00F87C1B" w14:paraId="0E4F40BE" w14:textId="77777777" w:rsidTr="00922116">
        <w:tc>
          <w:tcPr>
            <w:tcW w:w="8925" w:type="dxa"/>
            <w:gridSpan w:val="2"/>
            <w:vAlign w:val="bottom"/>
          </w:tcPr>
          <w:p w14:paraId="20B9ADD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11736383"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12BD4BB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بدأ نمو الأسطول في الارتفاع بقوة في عام 2024 وسيزداد تسارعًا في عام 2025 وسيظل قويًا حتى عام 2027 على الأقل. كما ستبدأ موجة جديدة من الطاقة الإنتاجية للغاز الطبيعي المسال في الظهور في منتصف العقد، لكنها ستصل في وقت لاحق من دخول السفن الجديدة إلى السوق. وبالتالي، فإن التوازن بين الطلب والعرض سيتدهور في منتصف العقد وستنخفض أسعار التأجير إلى أدنى مستوياتها، مقارنة بمستويات ما قبل الجائحة بحلول عام 2025. بعد ذلك، توقع مستشار السوق أن تبدأ معدلات التشغيل في التعافي، وبالتالي معدلات الاستئجار القابلة للتحقيق في التعافي تدريجياً حتى نهاية العقد مع بدء إنتاج الغاز الطبيعي المسال الجديد وتباطؤ معدل نمو الأسطول.</w:t>
      </w:r>
    </w:p>
    <w:p w14:paraId="030D9A8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ستكون سفن حقن الغاز الحديثة في وضع أفضل لزيادة الأرباح في المستقبل مقارنة بالسفن الأقدم الأقل كفاءة والتي ستتأثر بشكل متزايد بتشديد لوائح الانبعاثات.</w:t>
      </w:r>
    </w:p>
    <w:p w14:paraId="3BECC1C5"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ناقلات الغاز الطبيعي المسال - أسعار تأجير السفينة المجهزة بالمدة لمدة عام واحد</w:t>
      </w:r>
    </w:p>
    <w:p w14:paraId="04D26EE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04557067" wp14:editId="5CC5D60A">
            <wp:extent cx="3371034" cy="2199600"/>
            <wp:effectExtent l="0" t="0" r="1270" b="0"/>
            <wp:docPr id="1374118671" name="Picture 29" descr="A graph of a graph of a graph of a graph of a graph of a graph of a graph of a graph of a graph of a graph of a graph of a graph of a graph of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18671" name="Picture 29" descr="A graph of a graph of a graph of a graph of a graph of a graph of a graph of a graph of a graph of a graph of a graph of a graph of a graph of  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71034"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35FB8191" w14:textId="77777777" w:rsidTr="00922116">
        <w:tc>
          <w:tcPr>
            <w:tcW w:w="1424" w:type="dxa"/>
            <w:tcBorders>
              <w:top w:val="single" w:sz="4" w:space="0" w:color="auto"/>
            </w:tcBorders>
            <w:vAlign w:val="bottom"/>
          </w:tcPr>
          <w:p w14:paraId="17F621B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01" w:type="dxa"/>
            <w:vAlign w:val="bottom"/>
          </w:tcPr>
          <w:p w14:paraId="5879068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6940BC68" w14:textId="77777777" w:rsidTr="00922116">
        <w:tc>
          <w:tcPr>
            <w:tcW w:w="8925" w:type="dxa"/>
            <w:gridSpan w:val="2"/>
            <w:vAlign w:val="bottom"/>
          </w:tcPr>
          <w:p w14:paraId="0CA6777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7388CEE0"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lastRenderedPageBreak/>
        <w:t>المصدر: مستشار السوق للربع الرابع لعام 2024 الحالة الأساسية</w:t>
      </w:r>
    </w:p>
    <w:p w14:paraId="62755332"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سوق سفن الحاويات والخطوط الملاحية المنتظمة</w:t>
      </w:r>
    </w:p>
    <w:p w14:paraId="4A058DB0"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نظرة عامة على السوق</w:t>
      </w:r>
    </w:p>
    <w:p w14:paraId="521981B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استُخدم </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الحاويات لأول مرة في الخمسينيات، ومنذ أواخر الستينيات أصبحت الطريقة الأكثر شيوعًا لنقل العديد من المنتجات الاستهلاكية والصناعية عن طريق البحر. يتم </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الحاويات من قبل شركات شحن الحاويات، ما يسمى بشركات "الخطوط الملاحية المنتظمة"، التي تدير خدمات مجدولة متكررة، على غرار شركة طيران للركاب. تتبع هذه الخدمات تسلسلًا محددًا مسبقًا من زيارات الموانئ، باستخدام عدد من السفن المملوكة أو المستأجرة بحجم معين في كل خدمة لتحقيق مستويات معينة من تكرار طلب الخدمة والاستخدام المناسب.</w:t>
      </w:r>
    </w:p>
    <w:p w14:paraId="3791143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في أي وقت من الأوقات، ستُنقل الحاويات عن طريق سفن الحاويات نيابة عن العديد، وربما المئات، من مالكي البضائع النهائيين. يختلف مشغلو الخطوط الملاحية المنتظمة من حيث حجمهم وتركيزهم الإقليمي ونموذج أعمالهم. تنشط شركة خط أسياد كمشغل للخطوط الملاحية المنتظمة في الغالب في منطقة الشرق الأوسط/شبه القارة الهندية، ويتكون أسطول حاوياتها حاليًا من خمس سفن. وفي بعض الأحيان، ستقوم شركة أسياد بتأجير السفن لمشغلي الخطوط الملاحية المنتظمة الآخرين مقابل سعر إيجار يومي.</w:t>
      </w:r>
    </w:p>
    <w:p w14:paraId="53C1E65C"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الطلب على سفن الحاويات</w:t>
      </w:r>
    </w:p>
    <w:p w14:paraId="50AF49D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تمتد سلسلة التوريد المنقولة عبر حاويات في جميع أنحاء العالم. حيث تم تقسيم تجارة الحاويات العالمية إلى أربعة تجمعات تجارية مختلفة ؛ المسارات الرئيسية، وتجارة الشرق والغرب غير الرئيسية، والتجارة بين الشمال والجنوب، وداخل المنطقة. تستخدم تجارة الممر الرئيسي (التي تربط آسيا بأوروبا وأمريكا الشمالية، وأوروبا بأمريكا الشمالية) عمومًا - أكبر السفن، ففي عام 2023، تم استخدام 74 في المائة من الأحجام العالمية للحاويات للتجارة غير الرئيسية، حيث تمثل التجارة داخل المنطقة ما يقرب من 40 في المائة. ويستخدم في التجارة غير الرئيسية والتجارة داخل المنطقة في الغالب سفن الحاويات متوسطة الحجم والأصغر (10 آلاف من مكافئ حاوية 20 قدم أو أصغر).</w:t>
      </w:r>
    </w:p>
    <w:p w14:paraId="6FB07E9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ويرتبط النمو في التجارة عن طريق الحاويات بالطلب على السلع المصنعة وبالتالي بالنمو الاقتصادي الإقليمي. نمت أحجام الشحنات العالمية عن طريق الحاويات كل عام منذ بدء الصناعة في عام 1956، مع أربعة استثناءات: 2009، خلال الأزمة </w:t>
      </w:r>
      <w:r w:rsidRPr="00F87C1B">
        <w:rPr>
          <w:rFonts w:ascii="Traditional Arabic" w:hAnsi="Traditional Arabic" w:cs="Traditional Arabic"/>
          <w:sz w:val="30"/>
          <w:szCs w:val="30"/>
        </w:rPr>
        <w:lastRenderedPageBreak/>
        <w:t>المالية العالمية، 2020، بسبب التأثير الأولي لـكوفيد -19، 2022، بسبب التوترات الجيوسياسية والرياح المعاكسة للاقتصاد الكلي الناجمة جزئيًا عن الصراع المستمر بين روسيا وأوكرانيا، و 2023، بسبب تطبيع أنماط الإنفاق بعد الوباء.</w:t>
      </w:r>
    </w:p>
    <w:p w14:paraId="60F55D9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خلال الفترة 2025-2030، يتوقع مستشار السوق متوسط نمو في تجارة الحاويات العالمية بنسبة 3.2 في المائة سنويا، ومن المتوقع أن يتباطأ النمو السنوي في عام 2025 بعد التوسع فوق المتوسط في عام 2024. بشكل عام، من المتوقع أن تتوسع تجارة الحاويات العالمية بما يتماشى مع نمو الاقتصاد العالمي، مع ارتفاع وتيرة نمو تجارة الحاويات في مناطق الأسواق الناشئة. ترتبط المخاطر الرئيسية للتوقعات باحتمال حدوث انكماش أو ركود اقتصادي عالمي، بالإضافة إلى زيادة الحواجز أمام التجارة من السياسات الاقتصادية التي تتبناها الدول لحماية صناعاتها المحلية من المنافسة الخارجية، بالإضافة إلى فرض رسوم التعرفة.</w:t>
      </w:r>
    </w:p>
    <w:p w14:paraId="40154C7E"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تجارة الحاويات العالمية</w:t>
      </w:r>
    </w:p>
    <w:p w14:paraId="0C244C4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2CB1276F" wp14:editId="23429316">
            <wp:extent cx="3369600" cy="2199600"/>
            <wp:effectExtent l="0" t="0" r="2540" b="0"/>
            <wp:docPr id="1080052849" name="Picture 26" descr="A graph with numbers and lin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0052849" name="Picture 26" descr="A graph with numbers and lines  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69600"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17B94B0D" w14:textId="77777777" w:rsidTr="00922116">
        <w:tc>
          <w:tcPr>
            <w:tcW w:w="1424" w:type="dxa"/>
            <w:tcBorders>
              <w:top w:val="single" w:sz="4" w:space="0" w:color="auto"/>
            </w:tcBorders>
            <w:vAlign w:val="bottom"/>
          </w:tcPr>
          <w:p w14:paraId="678FE73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01" w:type="dxa"/>
            <w:vAlign w:val="bottom"/>
          </w:tcPr>
          <w:p w14:paraId="16A6CAA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00BCE67C" w14:textId="77777777" w:rsidTr="00922116">
        <w:tc>
          <w:tcPr>
            <w:tcW w:w="8925" w:type="dxa"/>
            <w:gridSpan w:val="2"/>
            <w:vAlign w:val="bottom"/>
          </w:tcPr>
          <w:p w14:paraId="3A80F82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69E2CF41"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3D35D0E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من الممارسات الشائعة تجميع بيانات تجارة الحاويات على المستوى الإقليمي، ثم تصنيف المسارات التجارية على أساس من منطقة إلى أخرى أو داخل المنطقة. إحدى هذه المناطق هي منطقة الشرق الأوسط/شبه القارة الهندية، والتي تضم دول الشرق الأوسط "شرق" السويس (دول مجلس التعاون الخليجي والعراق وإيران واليمن والأردن) إلى جانب جنوب آسيا (الهند وباكستان وبنغلاديش وسريلانكا وجزر المالديف). وقد بلغ إجمالي أحجام تجارة الحاويات الثنائية التي تشمل منطقة الشرق الأوسط/ وشبه </w:t>
      </w:r>
      <w:r w:rsidRPr="00F87C1B">
        <w:rPr>
          <w:rFonts w:ascii="Traditional Arabic" w:hAnsi="Traditional Arabic" w:cs="Traditional Arabic"/>
          <w:sz w:val="30"/>
          <w:szCs w:val="30"/>
        </w:rPr>
        <w:lastRenderedPageBreak/>
        <w:t>القارة الهندية ما يقدر بنحو 14.3 في المائة من تجارة الحاويات العالمية في عام 2023، مقارنة بحصة قدرها 11.4 في المائة في عام 2010.</w:t>
      </w:r>
    </w:p>
    <w:p w14:paraId="549BD627"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 xml:space="preserve">الرسم البياني: تجارة الحاويات الثنائية في الشرق الأوسط/شبه القارة الهندية </w:t>
      </w:r>
    </w:p>
    <w:p w14:paraId="797384C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4C116A97" wp14:editId="139B8CED">
            <wp:extent cx="3369600" cy="2199600"/>
            <wp:effectExtent l="0" t="0" r="2540" b="0"/>
            <wp:docPr id="1801209445" name="Picture 27" descr="A graph of a graph with numbers and a red lin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1209445" name="Picture 27" descr="A graph of a graph with numbers and a red line  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69600"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602BA3AD" w14:textId="77777777" w:rsidTr="00922116">
        <w:tc>
          <w:tcPr>
            <w:tcW w:w="1424" w:type="dxa"/>
            <w:tcBorders>
              <w:top w:val="single" w:sz="4" w:space="0" w:color="auto"/>
            </w:tcBorders>
            <w:vAlign w:val="bottom"/>
          </w:tcPr>
          <w:p w14:paraId="5FB90A9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01" w:type="dxa"/>
            <w:vAlign w:val="bottom"/>
          </w:tcPr>
          <w:p w14:paraId="58D78C3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10CAD425" w14:textId="77777777" w:rsidTr="00922116">
        <w:tc>
          <w:tcPr>
            <w:tcW w:w="8925" w:type="dxa"/>
            <w:gridSpan w:val="2"/>
            <w:vAlign w:val="bottom"/>
          </w:tcPr>
          <w:p w14:paraId="0533017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50395A98"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 إحصاءات تجارة الحاويات</w:t>
      </w:r>
    </w:p>
    <w:p w14:paraId="43555A2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تقع موانئ دول مجلس التعاون الخليجي، بما في ذلك موانئ سلطنة عمان، في موقع متميز على طول خطوط الشحن الرئيسية بين الشرق والغرب. بالإضافة إلى تسهيل استيراد وتصدير البضائع المنقولة عبر حاويات من دول مجلس التعاون الخليجي وجيرانها، تلعب الموانئ الإقليمية أيضًا أدوارًا مهمة في شبكات الخطوط الملاحية المنتظمة. حيث أدى استخدام سفن أكبر في الآونة الأخيرة على طرق التجارة طويلة المدى، والتي لا يمكن أن تستوعبها سوى موانئ مختارة، إلى الاعتماد على الشحن العابر من سفينة إلى أخرى وتفعيل "المراكز اللوجستية والتوزيع". يلعب ميناء صلالة في سلطنة عمان هذا الدور، وبين 90-95 في المائة من إنتاجية الميناء تكون عادة من الشحن العابر. ويعد نشاط الشحن العابر هذا مصدرًا مهمًا للطلب على مشغلي الخطوط الملاحية المنتظمة في دول مجلس التعاون الخليجي ومنطقة الشرق الأوسط/شبه القارة الهندية.</w:t>
      </w:r>
    </w:p>
    <w:p w14:paraId="3C714BD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خلال الفترة 2025-2030، يتوقع مستشار السوق أن يبلغ متوسط النمو الإجمالي لتجارة الحاويات في الشرق الأوسط/وشبه القارة الهندية ما نسبته 4.7 في المائة سنويا، مدفوعًا بمزيج من التوسع الاقتصادي الأساسي، والنمو في سلاسل التوريد الإقليمية بعد نقل عمليات التصنيع من موقع إلى آخر، وتوسيع الخدمات اللوجستية والبنية التحتية في اقتصادات دول مجلس التعاون </w:t>
      </w:r>
      <w:r w:rsidRPr="00F87C1B">
        <w:rPr>
          <w:rFonts w:ascii="Traditional Arabic" w:hAnsi="Traditional Arabic" w:cs="Traditional Arabic"/>
          <w:sz w:val="30"/>
          <w:szCs w:val="30"/>
        </w:rPr>
        <w:lastRenderedPageBreak/>
        <w:t>الخليجي. يشكل ضعف النمو الاقتصادي والصراع التجاري مع الشركاء التجاريين الرئيسيين والصراع الجيوسياسي الإقليمي مخاطر سلبية على التجارة في منطقة دول مجلس التعاون الخليجي.</w:t>
      </w:r>
    </w:p>
    <w:p w14:paraId="61772243"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توريد سفن الحاويات</w:t>
      </w:r>
    </w:p>
    <w:p w14:paraId="326A562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يتراوح حجم الحاويات من 500 وحدة من مكافئ الحاوية 20 قدم إلى أكثر من 24 ألف وحدة من مكافئ الحاوية 20 قدم. حتى 30 نوفمبر 2024، كانت هناك 6,264 حاوية بسعة اسمية تبلغ 30.6 مليون وحدة من مكافئ الحاوية 20 قدم مكافئة في الماء. كان هناك 8.4 مليون وحدة من مكافئ الحاوية 20 قدم تحت الطلب، للتسليم حتى عام 2030. ونتيجة لزيادة تفضيل الصناعة لطلب سفن أكبر على مدى السنوات الخمس عشرة الماضية، فإن ملف الأعمار لقطاعات أسطول الحاويات متباين. ففي المتوسط، تكون السفن في القطاعات الأصغر حجمًا من أسطول الحاويات أقدم بكثير من تلك الموجودة في القطاعات الأكبر حجمًا.</w:t>
      </w:r>
    </w:p>
    <w:p w14:paraId="3478130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شهدت الفترة منذ عام 2020 حجمًا كبيرًا ومستمرًا من التعاقد على بناء حاويات جديدة. وسيترجم الحجم الكبير للطلب الذي شوهد منذ عام 2020 إلى أحجام مرتفعة من تسليم الحاويات الجديدة خلال الفترة من 2024 إلى 2028. ويمكن تعويض الزيادات في إمدادات السفن من خلال عمليات التسليم الجديدة عبر عدة آليات مختلفة. حيث يمكن بيع السفن في نهاية عمرها الاقتصادي (عمومًا حوالي 25 عامًا، أو قبل ذلك في الأسواق الضعيفة) إلى مفككي السفن المتخصصين لإعادة تدوير السفن (أو "تخريدها "). ونتيجة لقوة الأسواق، كانت عمليات التخلص من الأصول عن طريق التخريد محدودة منذ عام 2020. مقارنة </w:t>
      </w:r>
      <w:r w:rsidRPr="00F87C1B">
        <w:rPr>
          <w:rFonts w:ascii="Traditional Arabic" w:hAnsi="Traditional Arabic" w:cs="Traditional Arabic"/>
          <w:i/>
          <w:sz w:val="30"/>
          <w:szCs w:val="30"/>
        </w:rPr>
        <w:t>بمتوسط حجم سنوي قدره</w:t>
      </w:r>
      <w:r w:rsidRPr="00F87C1B">
        <w:rPr>
          <w:rFonts w:ascii="Traditional Arabic" w:hAnsi="Traditional Arabic" w:cs="Traditional Arabic"/>
          <w:sz w:val="30"/>
          <w:szCs w:val="30"/>
        </w:rPr>
        <w:t xml:space="preserve"> 0.29 مليون وحدة مكافئة لعشرين قدمًا من عمليات التخريد في الفترة 2010-2020، بلغ إجمالي الخردة </w:t>
      </w:r>
      <w:r w:rsidRPr="00F87C1B">
        <w:rPr>
          <w:rFonts w:ascii="Traditional Arabic" w:hAnsi="Traditional Arabic" w:cs="Traditional Arabic"/>
          <w:i/>
          <w:sz w:val="30"/>
          <w:szCs w:val="30"/>
        </w:rPr>
        <w:t>التراكمية</w:t>
      </w:r>
      <w:r w:rsidRPr="00F87C1B">
        <w:rPr>
          <w:rFonts w:ascii="Traditional Arabic" w:hAnsi="Traditional Arabic" w:cs="Traditional Arabic"/>
          <w:sz w:val="30"/>
          <w:szCs w:val="30"/>
        </w:rPr>
        <w:t xml:space="preserve"> خلال الفترة 2021-2023 0.17 مليون وحدة مكافئة لعشرين قدمًا فقط. من المتوقع أن يزداد تخريد السفن إلى متوسط سنوي قدره 0.9 مليون وحدة مكافئة لعشرين قدمًا خلال الفترة 2025-2030، بسبب النمو في حجم الأسطول القديم الذي يزيد عمره عن 20 عامًا، والتخريد المؤجل من 2020-24، والأسواق الأضعف المتوقعة، وتأثير اللوائح البيئية على السفن القديمة والأقل كفاءة في استهلاك الوقود</w:t>
      </w:r>
    </w:p>
    <w:p w14:paraId="7D7DB20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وبشكل عام، من المتوقع أن يتوسع أسطول الحاويات بنسبة 10.5 في المائة في عام 2024 و 5.6 في المائة في عام 2025، بعد نمو بنسبة 8.3 في المائة في عام 2023. ومن المتوقع أن تتباطأ وتيرة نمو الأسطول في السنوات اللاحقة، إلى معدل 2.6 في المائة خلال الفترة من 2026 إلى 2030، على الرغم من أن هذا يتوقف على زيادة كبيرة في عمليات التخلص من الأسطول وتفكيكه عن طريق التخريد.</w:t>
      </w:r>
    </w:p>
    <w:p w14:paraId="5A22A362"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أكثر من 0.1 ألف وحدة مكافئة لعشرين قدما لتطوير أسطول الحاويات حسب النطاق</w:t>
      </w:r>
    </w:p>
    <w:p w14:paraId="7DE2CA5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64CD5914" wp14:editId="34DF3719">
            <wp:extent cx="3366000" cy="2199600"/>
            <wp:effectExtent l="0" t="0" r="6350" b="0"/>
            <wp:docPr id="1458759861" name="Picture 28" descr="A graph of different colored lines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8759861" name="Picture 28" descr="A graph of different colored lines  Description automatically generated with medium confidenc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66000"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0E756051" w14:textId="77777777" w:rsidTr="00922116">
        <w:tc>
          <w:tcPr>
            <w:tcW w:w="1424" w:type="dxa"/>
            <w:tcBorders>
              <w:top w:val="single" w:sz="4" w:space="0" w:color="auto"/>
            </w:tcBorders>
            <w:vAlign w:val="bottom"/>
          </w:tcPr>
          <w:p w14:paraId="0078EFA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01" w:type="dxa"/>
            <w:vAlign w:val="bottom"/>
          </w:tcPr>
          <w:p w14:paraId="3A8EAC5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487405E3" w14:textId="77777777" w:rsidTr="00922116">
        <w:tc>
          <w:tcPr>
            <w:tcW w:w="8925" w:type="dxa"/>
            <w:gridSpan w:val="2"/>
            <w:vAlign w:val="bottom"/>
          </w:tcPr>
          <w:p w14:paraId="47FCCDE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2612AFAE"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35EA745D"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الجدول: ملف عمر أسطول سفن الحاويات ودفتر الطلبات حسب الشريحة (ألف وحدة مكافئة لعشرين قدما)</w:t>
      </w:r>
    </w:p>
    <w:tbl>
      <w:tblPr>
        <w:tblW w:w="9048" w:type="dxa"/>
        <w:tblInd w:w="437" w:type="dxa"/>
        <w:tblLayout w:type="fixed"/>
        <w:tblCellMar>
          <w:left w:w="0" w:type="dxa"/>
          <w:right w:w="0" w:type="dxa"/>
        </w:tblCellMar>
        <w:tblLook w:val="0000" w:firstRow="0" w:lastRow="0" w:firstColumn="0" w:lastColumn="0" w:noHBand="0" w:noVBand="0"/>
      </w:tblPr>
      <w:tblGrid>
        <w:gridCol w:w="1674"/>
        <w:gridCol w:w="234"/>
        <w:gridCol w:w="786"/>
        <w:gridCol w:w="234"/>
        <w:gridCol w:w="786"/>
        <w:gridCol w:w="234"/>
        <w:gridCol w:w="786"/>
        <w:gridCol w:w="234"/>
        <w:gridCol w:w="786"/>
        <w:gridCol w:w="234"/>
        <w:gridCol w:w="786"/>
        <w:gridCol w:w="234"/>
        <w:gridCol w:w="786"/>
        <w:gridCol w:w="234"/>
        <w:gridCol w:w="786"/>
        <w:gridCol w:w="234"/>
      </w:tblGrid>
      <w:tr w:rsidR="006B57D8" w:rsidRPr="0032117C" w14:paraId="62AAC15E" w14:textId="77777777" w:rsidTr="00922116">
        <w:trPr>
          <w:tblHeader/>
        </w:trPr>
        <w:tc>
          <w:tcPr>
            <w:tcW w:w="1674" w:type="dxa"/>
            <w:vAlign w:val="bottom"/>
          </w:tcPr>
          <w:p w14:paraId="7E7ED891" w14:textId="77777777" w:rsidR="006B57D8" w:rsidRPr="0032117C" w:rsidRDefault="006B57D8" w:rsidP="00922116">
            <w:pPr>
              <w:pStyle w:val="VSmCellHead"/>
              <w:rPr>
                <w:sz w:val="16"/>
                <w:szCs w:val="16"/>
              </w:rPr>
            </w:pPr>
          </w:p>
        </w:tc>
        <w:tc>
          <w:tcPr>
            <w:tcW w:w="234" w:type="dxa"/>
            <w:vAlign w:val="bottom"/>
          </w:tcPr>
          <w:p w14:paraId="63472923" w14:textId="77777777" w:rsidR="006B57D8" w:rsidRPr="0032117C" w:rsidRDefault="006B57D8" w:rsidP="00922116">
            <w:pPr>
              <w:pStyle w:val="CellRowSpacer"/>
              <w:keepNext/>
              <w:spacing w:after="120"/>
              <w:rPr>
                <w:sz w:val="16"/>
                <w:szCs w:val="16"/>
              </w:rPr>
            </w:pPr>
          </w:p>
        </w:tc>
        <w:tc>
          <w:tcPr>
            <w:tcW w:w="786" w:type="dxa"/>
            <w:tcBorders>
              <w:bottom w:val="single" w:sz="4" w:space="0" w:color="auto"/>
            </w:tcBorders>
            <w:vAlign w:val="bottom"/>
          </w:tcPr>
          <w:p w14:paraId="3C02044C" w14:textId="77777777" w:rsidR="006B57D8" w:rsidRPr="0032117C" w:rsidRDefault="006B57D8" w:rsidP="00922116">
            <w:pPr>
              <w:pStyle w:val="VSmCellHead"/>
              <w:jc w:val="right"/>
              <w:rPr>
                <w:sz w:val="16"/>
                <w:szCs w:val="16"/>
              </w:rPr>
            </w:pPr>
            <w:r w:rsidRPr="0032117C">
              <w:rPr>
                <w:sz w:val="16"/>
                <w:szCs w:val="16"/>
              </w:rPr>
              <w:t>0-4 Yrs</w:t>
            </w:r>
          </w:p>
        </w:tc>
        <w:tc>
          <w:tcPr>
            <w:tcW w:w="234" w:type="dxa"/>
            <w:vAlign w:val="bottom"/>
          </w:tcPr>
          <w:p w14:paraId="346BB69F" w14:textId="77777777" w:rsidR="006B57D8" w:rsidRPr="0032117C" w:rsidRDefault="006B57D8" w:rsidP="00922116">
            <w:pPr>
              <w:pStyle w:val="CellRowSpacer"/>
              <w:keepNext/>
              <w:spacing w:after="120"/>
              <w:rPr>
                <w:sz w:val="16"/>
                <w:szCs w:val="16"/>
              </w:rPr>
            </w:pPr>
          </w:p>
        </w:tc>
        <w:tc>
          <w:tcPr>
            <w:tcW w:w="786" w:type="dxa"/>
            <w:tcBorders>
              <w:bottom w:val="single" w:sz="4" w:space="0" w:color="auto"/>
            </w:tcBorders>
            <w:vAlign w:val="bottom"/>
          </w:tcPr>
          <w:p w14:paraId="2349B187" w14:textId="77777777" w:rsidR="006B57D8" w:rsidRPr="0032117C" w:rsidRDefault="006B57D8" w:rsidP="00922116">
            <w:pPr>
              <w:pStyle w:val="VSmCellHead"/>
              <w:jc w:val="right"/>
              <w:rPr>
                <w:sz w:val="16"/>
                <w:szCs w:val="16"/>
              </w:rPr>
            </w:pPr>
            <w:r w:rsidRPr="0032117C">
              <w:rPr>
                <w:sz w:val="16"/>
                <w:szCs w:val="16"/>
              </w:rPr>
              <w:t>5-9 Yrs</w:t>
            </w:r>
          </w:p>
        </w:tc>
        <w:tc>
          <w:tcPr>
            <w:tcW w:w="234" w:type="dxa"/>
            <w:vAlign w:val="bottom"/>
          </w:tcPr>
          <w:p w14:paraId="5D2C519F" w14:textId="77777777" w:rsidR="006B57D8" w:rsidRPr="0032117C" w:rsidRDefault="006B57D8" w:rsidP="00922116">
            <w:pPr>
              <w:pStyle w:val="CellRowSpacer"/>
              <w:keepNext/>
              <w:spacing w:after="120"/>
              <w:rPr>
                <w:sz w:val="16"/>
                <w:szCs w:val="16"/>
              </w:rPr>
            </w:pPr>
          </w:p>
        </w:tc>
        <w:tc>
          <w:tcPr>
            <w:tcW w:w="786" w:type="dxa"/>
            <w:tcBorders>
              <w:bottom w:val="single" w:sz="4" w:space="0" w:color="auto"/>
            </w:tcBorders>
            <w:vAlign w:val="bottom"/>
          </w:tcPr>
          <w:p w14:paraId="084428D7" w14:textId="77777777" w:rsidR="006B57D8" w:rsidRPr="0032117C" w:rsidRDefault="006B57D8" w:rsidP="00922116">
            <w:pPr>
              <w:pStyle w:val="VSmCellHead"/>
              <w:jc w:val="right"/>
              <w:rPr>
                <w:sz w:val="16"/>
                <w:szCs w:val="16"/>
              </w:rPr>
            </w:pPr>
            <w:r w:rsidRPr="0032117C">
              <w:rPr>
                <w:sz w:val="16"/>
                <w:szCs w:val="16"/>
              </w:rPr>
              <w:t>10-14 Yrs</w:t>
            </w:r>
          </w:p>
        </w:tc>
        <w:tc>
          <w:tcPr>
            <w:tcW w:w="234" w:type="dxa"/>
            <w:vAlign w:val="bottom"/>
          </w:tcPr>
          <w:p w14:paraId="39DF7F0C" w14:textId="77777777" w:rsidR="006B57D8" w:rsidRPr="0032117C" w:rsidRDefault="006B57D8" w:rsidP="00922116">
            <w:pPr>
              <w:pStyle w:val="CellRowSpacer"/>
              <w:keepNext/>
              <w:spacing w:after="120"/>
              <w:rPr>
                <w:sz w:val="16"/>
                <w:szCs w:val="16"/>
              </w:rPr>
            </w:pPr>
          </w:p>
        </w:tc>
        <w:tc>
          <w:tcPr>
            <w:tcW w:w="786" w:type="dxa"/>
            <w:tcBorders>
              <w:bottom w:val="single" w:sz="4" w:space="0" w:color="auto"/>
            </w:tcBorders>
            <w:vAlign w:val="bottom"/>
          </w:tcPr>
          <w:p w14:paraId="4E19B903" w14:textId="77777777" w:rsidR="006B57D8" w:rsidRPr="0032117C" w:rsidRDefault="006B57D8" w:rsidP="00922116">
            <w:pPr>
              <w:pStyle w:val="VSmCellHead"/>
              <w:jc w:val="right"/>
              <w:rPr>
                <w:sz w:val="16"/>
                <w:szCs w:val="16"/>
              </w:rPr>
            </w:pPr>
            <w:r w:rsidRPr="0032117C">
              <w:rPr>
                <w:sz w:val="16"/>
                <w:szCs w:val="16"/>
              </w:rPr>
              <w:t>15-19 Yrs</w:t>
            </w:r>
          </w:p>
        </w:tc>
        <w:tc>
          <w:tcPr>
            <w:tcW w:w="234" w:type="dxa"/>
            <w:vAlign w:val="bottom"/>
          </w:tcPr>
          <w:p w14:paraId="4BDB9722" w14:textId="77777777" w:rsidR="006B57D8" w:rsidRPr="0032117C" w:rsidRDefault="006B57D8" w:rsidP="00922116">
            <w:pPr>
              <w:pStyle w:val="CellRowSpacer"/>
              <w:keepNext/>
              <w:spacing w:after="120"/>
              <w:rPr>
                <w:sz w:val="16"/>
                <w:szCs w:val="16"/>
              </w:rPr>
            </w:pPr>
          </w:p>
        </w:tc>
        <w:tc>
          <w:tcPr>
            <w:tcW w:w="786" w:type="dxa"/>
            <w:tcBorders>
              <w:bottom w:val="single" w:sz="4" w:space="0" w:color="auto"/>
            </w:tcBorders>
            <w:vAlign w:val="bottom"/>
          </w:tcPr>
          <w:p w14:paraId="4241D489" w14:textId="77777777" w:rsidR="006B57D8" w:rsidRPr="0032117C" w:rsidRDefault="006B57D8" w:rsidP="00922116">
            <w:pPr>
              <w:pStyle w:val="VSmCellHead"/>
              <w:jc w:val="right"/>
              <w:rPr>
                <w:sz w:val="16"/>
                <w:szCs w:val="16"/>
              </w:rPr>
            </w:pPr>
            <w:r w:rsidRPr="0032117C">
              <w:rPr>
                <w:sz w:val="16"/>
                <w:szCs w:val="16"/>
              </w:rPr>
              <w:t>20-24 Yrs</w:t>
            </w:r>
          </w:p>
        </w:tc>
        <w:tc>
          <w:tcPr>
            <w:tcW w:w="234" w:type="dxa"/>
            <w:vAlign w:val="bottom"/>
          </w:tcPr>
          <w:p w14:paraId="728355CC" w14:textId="77777777" w:rsidR="006B57D8" w:rsidRPr="0032117C" w:rsidRDefault="006B57D8" w:rsidP="00922116">
            <w:pPr>
              <w:pStyle w:val="CellRowSpacer"/>
              <w:keepNext/>
              <w:spacing w:after="120"/>
              <w:rPr>
                <w:sz w:val="16"/>
                <w:szCs w:val="16"/>
              </w:rPr>
            </w:pPr>
          </w:p>
        </w:tc>
        <w:tc>
          <w:tcPr>
            <w:tcW w:w="786" w:type="dxa"/>
            <w:tcBorders>
              <w:bottom w:val="single" w:sz="4" w:space="0" w:color="auto"/>
            </w:tcBorders>
            <w:vAlign w:val="bottom"/>
          </w:tcPr>
          <w:p w14:paraId="337F5EA2" w14:textId="77777777" w:rsidR="006B57D8" w:rsidRPr="0032117C" w:rsidRDefault="006B57D8" w:rsidP="00922116">
            <w:pPr>
              <w:pStyle w:val="VSmCellHead"/>
              <w:jc w:val="right"/>
              <w:rPr>
                <w:sz w:val="16"/>
                <w:szCs w:val="16"/>
              </w:rPr>
            </w:pPr>
            <w:r w:rsidRPr="0032117C">
              <w:rPr>
                <w:sz w:val="16"/>
                <w:szCs w:val="16"/>
              </w:rPr>
              <w:t>25+ Yrs</w:t>
            </w:r>
          </w:p>
        </w:tc>
        <w:tc>
          <w:tcPr>
            <w:tcW w:w="234" w:type="dxa"/>
            <w:vAlign w:val="bottom"/>
          </w:tcPr>
          <w:p w14:paraId="385E3981" w14:textId="77777777" w:rsidR="006B57D8" w:rsidRPr="0032117C" w:rsidRDefault="006B57D8" w:rsidP="00922116">
            <w:pPr>
              <w:pStyle w:val="CellRowSpacer"/>
              <w:keepNext/>
              <w:spacing w:after="120"/>
              <w:rPr>
                <w:sz w:val="16"/>
                <w:szCs w:val="16"/>
              </w:rPr>
            </w:pPr>
          </w:p>
        </w:tc>
        <w:tc>
          <w:tcPr>
            <w:tcW w:w="786" w:type="dxa"/>
            <w:tcBorders>
              <w:bottom w:val="single" w:sz="4" w:space="0" w:color="auto"/>
            </w:tcBorders>
            <w:vAlign w:val="bottom"/>
          </w:tcPr>
          <w:p w14:paraId="11D0DCBD" w14:textId="77777777" w:rsidR="006B57D8" w:rsidRPr="0032117C" w:rsidRDefault="006B57D8" w:rsidP="00922116">
            <w:pPr>
              <w:pStyle w:val="VSmCellHead"/>
              <w:jc w:val="right"/>
              <w:rPr>
                <w:sz w:val="16"/>
                <w:szCs w:val="16"/>
              </w:rPr>
            </w:pPr>
            <w:r w:rsidRPr="0032117C">
              <w:rPr>
                <w:sz w:val="16"/>
                <w:szCs w:val="16"/>
              </w:rPr>
              <w:t>Orderbook</w:t>
            </w:r>
          </w:p>
        </w:tc>
        <w:tc>
          <w:tcPr>
            <w:tcW w:w="234" w:type="dxa"/>
            <w:vAlign w:val="bottom"/>
          </w:tcPr>
          <w:p w14:paraId="14B0EE18" w14:textId="77777777" w:rsidR="006B57D8" w:rsidRPr="0032117C" w:rsidRDefault="006B57D8" w:rsidP="00922116">
            <w:pPr>
              <w:pStyle w:val="CellRowSpacer"/>
              <w:keepNext/>
              <w:spacing w:after="120"/>
              <w:rPr>
                <w:sz w:val="16"/>
                <w:szCs w:val="16"/>
              </w:rPr>
            </w:pPr>
          </w:p>
        </w:tc>
      </w:tr>
      <w:tr w:rsidR="006B57D8" w:rsidRPr="0032117C" w14:paraId="7B50AE45" w14:textId="77777777" w:rsidTr="00922116">
        <w:tc>
          <w:tcPr>
            <w:tcW w:w="1674" w:type="dxa"/>
            <w:vAlign w:val="bottom"/>
          </w:tcPr>
          <w:p w14:paraId="4BC92B42" w14:textId="77777777" w:rsidR="006B57D8" w:rsidRPr="0032117C" w:rsidRDefault="006B57D8" w:rsidP="00922116">
            <w:pPr>
              <w:pStyle w:val="VSmCellBody"/>
              <w:tabs>
                <w:tab w:val="right" w:leader="dot" w:pos="1689"/>
              </w:tabs>
              <w:rPr>
                <w:sz w:val="16"/>
                <w:szCs w:val="16"/>
              </w:rPr>
            </w:pPr>
            <w:r w:rsidRPr="0032117C">
              <w:rPr>
                <w:sz w:val="16"/>
                <w:szCs w:val="16"/>
              </w:rPr>
              <w:t>0.1-1.3 k TEU</w:t>
            </w:r>
            <w:r w:rsidRPr="0032117C">
              <w:rPr>
                <w:sz w:val="16"/>
                <w:szCs w:val="16"/>
              </w:rPr>
              <w:tab/>
            </w:r>
          </w:p>
        </w:tc>
        <w:tc>
          <w:tcPr>
            <w:tcW w:w="234" w:type="dxa"/>
            <w:vAlign w:val="bottom"/>
          </w:tcPr>
          <w:p w14:paraId="7F8D6355" w14:textId="77777777" w:rsidR="006B57D8" w:rsidRPr="0032117C" w:rsidRDefault="006B57D8" w:rsidP="00922116">
            <w:pPr>
              <w:pStyle w:val="CellRowSpacer"/>
              <w:rPr>
                <w:sz w:val="16"/>
                <w:szCs w:val="16"/>
              </w:rPr>
            </w:pPr>
          </w:p>
        </w:tc>
        <w:tc>
          <w:tcPr>
            <w:tcW w:w="786" w:type="dxa"/>
            <w:tcBorders>
              <w:top w:val="single" w:sz="4" w:space="0" w:color="auto"/>
            </w:tcBorders>
            <w:vAlign w:val="bottom"/>
          </w:tcPr>
          <w:p w14:paraId="6E28A458" w14:textId="77777777" w:rsidR="006B57D8" w:rsidRPr="0032117C" w:rsidRDefault="006B57D8" w:rsidP="00922116">
            <w:pPr>
              <w:pStyle w:val="VSmCellBody"/>
              <w:jc w:val="right"/>
              <w:rPr>
                <w:sz w:val="16"/>
                <w:szCs w:val="16"/>
              </w:rPr>
            </w:pPr>
            <w:r w:rsidRPr="0032117C">
              <w:rPr>
                <w:sz w:val="16"/>
                <w:szCs w:val="16"/>
              </w:rPr>
              <w:t>150.6</w:t>
            </w:r>
          </w:p>
        </w:tc>
        <w:tc>
          <w:tcPr>
            <w:tcW w:w="234" w:type="dxa"/>
            <w:vAlign w:val="bottom"/>
          </w:tcPr>
          <w:p w14:paraId="2835B689" w14:textId="77777777" w:rsidR="006B57D8" w:rsidRPr="0032117C" w:rsidRDefault="006B57D8" w:rsidP="00922116">
            <w:pPr>
              <w:pStyle w:val="CellRowSpacer"/>
              <w:rPr>
                <w:sz w:val="16"/>
                <w:szCs w:val="16"/>
              </w:rPr>
            </w:pPr>
          </w:p>
        </w:tc>
        <w:tc>
          <w:tcPr>
            <w:tcW w:w="786" w:type="dxa"/>
            <w:tcBorders>
              <w:top w:val="single" w:sz="4" w:space="0" w:color="auto"/>
            </w:tcBorders>
            <w:vAlign w:val="bottom"/>
          </w:tcPr>
          <w:p w14:paraId="2FA87545" w14:textId="77777777" w:rsidR="006B57D8" w:rsidRPr="0032117C" w:rsidRDefault="006B57D8" w:rsidP="00922116">
            <w:pPr>
              <w:pStyle w:val="VSmCellBody"/>
              <w:jc w:val="right"/>
              <w:rPr>
                <w:sz w:val="16"/>
                <w:szCs w:val="16"/>
              </w:rPr>
            </w:pPr>
            <w:r w:rsidRPr="0032117C">
              <w:rPr>
                <w:sz w:val="16"/>
                <w:szCs w:val="16"/>
              </w:rPr>
              <w:t>121.5</w:t>
            </w:r>
          </w:p>
        </w:tc>
        <w:tc>
          <w:tcPr>
            <w:tcW w:w="234" w:type="dxa"/>
            <w:vAlign w:val="bottom"/>
          </w:tcPr>
          <w:p w14:paraId="6CA7A730" w14:textId="77777777" w:rsidR="006B57D8" w:rsidRPr="0032117C" w:rsidRDefault="006B57D8" w:rsidP="00922116">
            <w:pPr>
              <w:pStyle w:val="CellRowSpacer"/>
              <w:rPr>
                <w:sz w:val="16"/>
                <w:szCs w:val="16"/>
              </w:rPr>
            </w:pPr>
          </w:p>
        </w:tc>
        <w:tc>
          <w:tcPr>
            <w:tcW w:w="786" w:type="dxa"/>
            <w:tcBorders>
              <w:top w:val="single" w:sz="4" w:space="0" w:color="auto"/>
            </w:tcBorders>
            <w:vAlign w:val="bottom"/>
          </w:tcPr>
          <w:p w14:paraId="76C5D572" w14:textId="77777777" w:rsidR="006B57D8" w:rsidRPr="0032117C" w:rsidRDefault="006B57D8" w:rsidP="00922116">
            <w:pPr>
              <w:pStyle w:val="VSmCellBody"/>
              <w:jc w:val="right"/>
              <w:rPr>
                <w:sz w:val="16"/>
                <w:szCs w:val="16"/>
              </w:rPr>
            </w:pPr>
            <w:r w:rsidRPr="0032117C">
              <w:rPr>
                <w:sz w:val="16"/>
                <w:szCs w:val="16"/>
              </w:rPr>
              <w:t>154.9</w:t>
            </w:r>
          </w:p>
        </w:tc>
        <w:tc>
          <w:tcPr>
            <w:tcW w:w="234" w:type="dxa"/>
            <w:vAlign w:val="bottom"/>
          </w:tcPr>
          <w:p w14:paraId="1E9A5DBE" w14:textId="77777777" w:rsidR="006B57D8" w:rsidRPr="0032117C" w:rsidRDefault="006B57D8" w:rsidP="00922116">
            <w:pPr>
              <w:pStyle w:val="CellRowSpacer"/>
              <w:rPr>
                <w:sz w:val="16"/>
                <w:szCs w:val="16"/>
              </w:rPr>
            </w:pPr>
          </w:p>
        </w:tc>
        <w:tc>
          <w:tcPr>
            <w:tcW w:w="786" w:type="dxa"/>
            <w:tcBorders>
              <w:top w:val="single" w:sz="4" w:space="0" w:color="auto"/>
            </w:tcBorders>
            <w:vAlign w:val="bottom"/>
          </w:tcPr>
          <w:p w14:paraId="230B0815" w14:textId="77777777" w:rsidR="006B57D8" w:rsidRPr="0032117C" w:rsidRDefault="006B57D8" w:rsidP="00922116">
            <w:pPr>
              <w:pStyle w:val="VSmCellBody"/>
              <w:jc w:val="right"/>
              <w:rPr>
                <w:sz w:val="16"/>
                <w:szCs w:val="16"/>
              </w:rPr>
            </w:pPr>
            <w:r w:rsidRPr="0032117C">
              <w:rPr>
                <w:sz w:val="16"/>
                <w:szCs w:val="16"/>
              </w:rPr>
              <w:t>438.2</w:t>
            </w:r>
          </w:p>
        </w:tc>
        <w:tc>
          <w:tcPr>
            <w:tcW w:w="234" w:type="dxa"/>
            <w:vAlign w:val="bottom"/>
          </w:tcPr>
          <w:p w14:paraId="7941E119" w14:textId="77777777" w:rsidR="006B57D8" w:rsidRPr="0032117C" w:rsidRDefault="006B57D8" w:rsidP="00922116">
            <w:pPr>
              <w:pStyle w:val="CellRowSpacer"/>
              <w:rPr>
                <w:sz w:val="16"/>
                <w:szCs w:val="16"/>
              </w:rPr>
            </w:pPr>
          </w:p>
        </w:tc>
        <w:tc>
          <w:tcPr>
            <w:tcW w:w="786" w:type="dxa"/>
            <w:tcBorders>
              <w:top w:val="single" w:sz="4" w:space="0" w:color="auto"/>
            </w:tcBorders>
            <w:vAlign w:val="bottom"/>
          </w:tcPr>
          <w:p w14:paraId="6F656341" w14:textId="77777777" w:rsidR="006B57D8" w:rsidRPr="0032117C" w:rsidRDefault="006B57D8" w:rsidP="00922116">
            <w:pPr>
              <w:pStyle w:val="VSmCellBody"/>
              <w:jc w:val="right"/>
              <w:rPr>
                <w:sz w:val="16"/>
                <w:szCs w:val="16"/>
              </w:rPr>
            </w:pPr>
            <w:r w:rsidRPr="0032117C">
              <w:rPr>
                <w:sz w:val="16"/>
                <w:szCs w:val="16"/>
              </w:rPr>
              <w:t>170.1</w:t>
            </w:r>
          </w:p>
        </w:tc>
        <w:tc>
          <w:tcPr>
            <w:tcW w:w="234" w:type="dxa"/>
            <w:vAlign w:val="bottom"/>
          </w:tcPr>
          <w:p w14:paraId="1F9DB977" w14:textId="77777777" w:rsidR="006B57D8" w:rsidRPr="0032117C" w:rsidRDefault="006B57D8" w:rsidP="00922116">
            <w:pPr>
              <w:pStyle w:val="CellRowSpacer"/>
              <w:rPr>
                <w:sz w:val="16"/>
                <w:szCs w:val="16"/>
              </w:rPr>
            </w:pPr>
          </w:p>
        </w:tc>
        <w:tc>
          <w:tcPr>
            <w:tcW w:w="786" w:type="dxa"/>
            <w:tcBorders>
              <w:top w:val="single" w:sz="4" w:space="0" w:color="auto"/>
            </w:tcBorders>
            <w:vAlign w:val="bottom"/>
          </w:tcPr>
          <w:p w14:paraId="00E0BFA9" w14:textId="77777777" w:rsidR="006B57D8" w:rsidRPr="0032117C" w:rsidRDefault="006B57D8" w:rsidP="00922116">
            <w:pPr>
              <w:pStyle w:val="VSmCellBody"/>
              <w:jc w:val="right"/>
              <w:rPr>
                <w:sz w:val="16"/>
                <w:szCs w:val="16"/>
              </w:rPr>
            </w:pPr>
            <w:r w:rsidRPr="0032117C">
              <w:rPr>
                <w:sz w:val="16"/>
                <w:szCs w:val="16"/>
              </w:rPr>
              <w:t>227.4</w:t>
            </w:r>
          </w:p>
        </w:tc>
        <w:tc>
          <w:tcPr>
            <w:tcW w:w="234" w:type="dxa"/>
            <w:vAlign w:val="bottom"/>
          </w:tcPr>
          <w:p w14:paraId="49255710" w14:textId="77777777" w:rsidR="006B57D8" w:rsidRPr="0032117C" w:rsidRDefault="006B57D8" w:rsidP="00922116">
            <w:pPr>
              <w:pStyle w:val="CellRowSpacer"/>
              <w:rPr>
                <w:sz w:val="16"/>
                <w:szCs w:val="16"/>
              </w:rPr>
            </w:pPr>
          </w:p>
        </w:tc>
        <w:tc>
          <w:tcPr>
            <w:tcW w:w="786" w:type="dxa"/>
            <w:tcBorders>
              <w:top w:val="single" w:sz="4" w:space="0" w:color="auto"/>
            </w:tcBorders>
            <w:vAlign w:val="bottom"/>
          </w:tcPr>
          <w:p w14:paraId="3889E225" w14:textId="77777777" w:rsidR="006B57D8" w:rsidRPr="0032117C" w:rsidRDefault="006B57D8" w:rsidP="00922116">
            <w:pPr>
              <w:pStyle w:val="VSmCellBody"/>
              <w:jc w:val="right"/>
              <w:rPr>
                <w:sz w:val="16"/>
                <w:szCs w:val="16"/>
              </w:rPr>
            </w:pPr>
            <w:r w:rsidRPr="0032117C">
              <w:rPr>
                <w:sz w:val="16"/>
                <w:szCs w:val="16"/>
              </w:rPr>
              <w:t>85.9</w:t>
            </w:r>
          </w:p>
        </w:tc>
        <w:tc>
          <w:tcPr>
            <w:tcW w:w="234" w:type="dxa"/>
            <w:vAlign w:val="bottom"/>
          </w:tcPr>
          <w:p w14:paraId="1CB588E0" w14:textId="77777777" w:rsidR="006B57D8" w:rsidRPr="0032117C" w:rsidRDefault="006B57D8" w:rsidP="00922116">
            <w:pPr>
              <w:pStyle w:val="CellRowSpacer"/>
              <w:rPr>
                <w:sz w:val="16"/>
                <w:szCs w:val="16"/>
              </w:rPr>
            </w:pPr>
          </w:p>
        </w:tc>
      </w:tr>
      <w:tr w:rsidR="006B57D8" w:rsidRPr="0032117C" w14:paraId="2C848325" w14:textId="77777777" w:rsidTr="00922116">
        <w:tc>
          <w:tcPr>
            <w:tcW w:w="1674" w:type="dxa"/>
            <w:vAlign w:val="bottom"/>
          </w:tcPr>
          <w:p w14:paraId="613A9669" w14:textId="77777777" w:rsidR="006B57D8" w:rsidRPr="0032117C" w:rsidRDefault="006B57D8" w:rsidP="00922116">
            <w:pPr>
              <w:pStyle w:val="VSmCellBody"/>
              <w:tabs>
                <w:tab w:val="right" w:leader="dot" w:pos="1689"/>
              </w:tabs>
              <w:rPr>
                <w:sz w:val="16"/>
                <w:szCs w:val="16"/>
              </w:rPr>
            </w:pPr>
            <w:r w:rsidRPr="0032117C">
              <w:rPr>
                <w:sz w:val="16"/>
                <w:szCs w:val="16"/>
              </w:rPr>
              <w:t>1.3-2.9 k TEU</w:t>
            </w:r>
            <w:r w:rsidRPr="0032117C">
              <w:rPr>
                <w:sz w:val="16"/>
                <w:szCs w:val="16"/>
              </w:rPr>
              <w:tab/>
            </w:r>
          </w:p>
        </w:tc>
        <w:tc>
          <w:tcPr>
            <w:tcW w:w="234" w:type="dxa"/>
            <w:vAlign w:val="bottom"/>
          </w:tcPr>
          <w:p w14:paraId="1FA9120A" w14:textId="77777777" w:rsidR="006B57D8" w:rsidRPr="0032117C" w:rsidRDefault="006B57D8" w:rsidP="00922116">
            <w:pPr>
              <w:pStyle w:val="CellRowSpacer"/>
              <w:rPr>
                <w:sz w:val="16"/>
                <w:szCs w:val="16"/>
              </w:rPr>
            </w:pPr>
          </w:p>
        </w:tc>
        <w:tc>
          <w:tcPr>
            <w:tcW w:w="786" w:type="dxa"/>
            <w:vAlign w:val="bottom"/>
          </w:tcPr>
          <w:p w14:paraId="3425BF95" w14:textId="77777777" w:rsidR="006B57D8" w:rsidRPr="0032117C" w:rsidRDefault="006B57D8" w:rsidP="00922116">
            <w:pPr>
              <w:pStyle w:val="VSmCellBody"/>
              <w:jc w:val="right"/>
              <w:rPr>
                <w:sz w:val="16"/>
                <w:szCs w:val="16"/>
              </w:rPr>
            </w:pPr>
            <w:r w:rsidRPr="0032117C">
              <w:rPr>
                <w:sz w:val="16"/>
                <w:szCs w:val="16"/>
              </w:rPr>
              <w:t>1,042.3</w:t>
            </w:r>
          </w:p>
        </w:tc>
        <w:tc>
          <w:tcPr>
            <w:tcW w:w="234" w:type="dxa"/>
            <w:vAlign w:val="bottom"/>
          </w:tcPr>
          <w:p w14:paraId="27338894" w14:textId="77777777" w:rsidR="006B57D8" w:rsidRPr="0032117C" w:rsidRDefault="006B57D8" w:rsidP="00922116">
            <w:pPr>
              <w:pStyle w:val="CellRowSpacer"/>
              <w:rPr>
                <w:sz w:val="16"/>
                <w:szCs w:val="16"/>
              </w:rPr>
            </w:pPr>
          </w:p>
        </w:tc>
        <w:tc>
          <w:tcPr>
            <w:tcW w:w="786" w:type="dxa"/>
            <w:vAlign w:val="bottom"/>
          </w:tcPr>
          <w:p w14:paraId="7F0B5A3F" w14:textId="77777777" w:rsidR="006B57D8" w:rsidRPr="0032117C" w:rsidRDefault="006B57D8" w:rsidP="00922116">
            <w:pPr>
              <w:pStyle w:val="VSmCellBody"/>
              <w:jc w:val="right"/>
              <w:rPr>
                <w:sz w:val="16"/>
                <w:szCs w:val="16"/>
              </w:rPr>
            </w:pPr>
            <w:r w:rsidRPr="0032117C">
              <w:rPr>
                <w:sz w:val="16"/>
                <w:szCs w:val="16"/>
              </w:rPr>
              <w:t>535.9</w:t>
            </w:r>
          </w:p>
        </w:tc>
        <w:tc>
          <w:tcPr>
            <w:tcW w:w="234" w:type="dxa"/>
            <w:vAlign w:val="bottom"/>
          </w:tcPr>
          <w:p w14:paraId="719223D6" w14:textId="77777777" w:rsidR="006B57D8" w:rsidRPr="0032117C" w:rsidRDefault="006B57D8" w:rsidP="00922116">
            <w:pPr>
              <w:pStyle w:val="CellRowSpacer"/>
              <w:rPr>
                <w:sz w:val="16"/>
                <w:szCs w:val="16"/>
              </w:rPr>
            </w:pPr>
          </w:p>
        </w:tc>
        <w:tc>
          <w:tcPr>
            <w:tcW w:w="786" w:type="dxa"/>
            <w:vAlign w:val="bottom"/>
          </w:tcPr>
          <w:p w14:paraId="0E75B9D0" w14:textId="77777777" w:rsidR="006B57D8" w:rsidRPr="0032117C" w:rsidRDefault="006B57D8" w:rsidP="00922116">
            <w:pPr>
              <w:pStyle w:val="VSmCellBody"/>
              <w:jc w:val="right"/>
              <w:rPr>
                <w:sz w:val="16"/>
                <w:szCs w:val="16"/>
              </w:rPr>
            </w:pPr>
            <w:r w:rsidRPr="0032117C">
              <w:rPr>
                <w:sz w:val="16"/>
                <w:szCs w:val="16"/>
              </w:rPr>
              <w:t>327.5</w:t>
            </w:r>
          </w:p>
        </w:tc>
        <w:tc>
          <w:tcPr>
            <w:tcW w:w="234" w:type="dxa"/>
            <w:vAlign w:val="bottom"/>
          </w:tcPr>
          <w:p w14:paraId="556617C9" w14:textId="77777777" w:rsidR="006B57D8" w:rsidRPr="0032117C" w:rsidRDefault="006B57D8" w:rsidP="00922116">
            <w:pPr>
              <w:pStyle w:val="CellRowSpacer"/>
              <w:rPr>
                <w:sz w:val="16"/>
                <w:szCs w:val="16"/>
              </w:rPr>
            </w:pPr>
          </w:p>
        </w:tc>
        <w:tc>
          <w:tcPr>
            <w:tcW w:w="786" w:type="dxa"/>
            <w:vAlign w:val="bottom"/>
          </w:tcPr>
          <w:p w14:paraId="48AB4ED7" w14:textId="77777777" w:rsidR="006B57D8" w:rsidRPr="0032117C" w:rsidRDefault="006B57D8" w:rsidP="00922116">
            <w:pPr>
              <w:pStyle w:val="VSmCellBody"/>
              <w:jc w:val="right"/>
              <w:rPr>
                <w:sz w:val="16"/>
                <w:szCs w:val="16"/>
              </w:rPr>
            </w:pPr>
            <w:r w:rsidRPr="0032117C">
              <w:rPr>
                <w:sz w:val="16"/>
                <w:szCs w:val="16"/>
              </w:rPr>
              <w:t>1,007.1</w:t>
            </w:r>
          </w:p>
        </w:tc>
        <w:tc>
          <w:tcPr>
            <w:tcW w:w="234" w:type="dxa"/>
            <w:vAlign w:val="bottom"/>
          </w:tcPr>
          <w:p w14:paraId="6EFC5942" w14:textId="77777777" w:rsidR="006B57D8" w:rsidRPr="0032117C" w:rsidRDefault="006B57D8" w:rsidP="00922116">
            <w:pPr>
              <w:pStyle w:val="CellRowSpacer"/>
              <w:rPr>
                <w:sz w:val="16"/>
                <w:szCs w:val="16"/>
              </w:rPr>
            </w:pPr>
          </w:p>
        </w:tc>
        <w:tc>
          <w:tcPr>
            <w:tcW w:w="786" w:type="dxa"/>
            <w:vAlign w:val="bottom"/>
          </w:tcPr>
          <w:p w14:paraId="61F919EF" w14:textId="77777777" w:rsidR="006B57D8" w:rsidRPr="0032117C" w:rsidRDefault="006B57D8" w:rsidP="00922116">
            <w:pPr>
              <w:pStyle w:val="VSmCellBody"/>
              <w:jc w:val="right"/>
              <w:rPr>
                <w:sz w:val="16"/>
                <w:szCs w:val="16"/>
              </w:rPr>
            </w:pPr>
            <w:r w:rsidRPr="0032117C">
              <w:rPr>
                <w:sz w:val="16"/>
                <w:szCs w:val="16"/>
              </w:rPr>
              <w:t>520.1</w:t>
            </w:r>
          </w:p>
        </w:tc>
        <w:tc>
          <w:tcPr>
            <w:tcW w:w="234" w:type="dxa"/>
            <w:vAlign w:val="bottom"/>
          </w:tcPr>
          <w:p w14:paraId="2C64C177" w14:textId="77777777" w:rsidR="006B57D8" w:rsidRPr="0032117C" w:rsidRDefault="006B57D8" w:rsidP="00922116">
            <w:pPr>
              <w:pStyle w:val="CellRowSpacer"/>
              <w:rPr>
                <w:sz w:val="16"/>
                <w:szCs w:val="16"/>
              </w:rPr>
            </w:pPr>
          </w:p>
        </w:tc>
        <w:tc>
          <w:tcPr>
            <w:tcW w:w="786" w:type="dxa"/>
            <w:vAlign w:val="bottom"/>
          </w:tcPr>
          <w:p w14:paraId="305EAB54" w14:textId="77777777" w:rsidR="006B57D8" w:rsidRPr="0032117C" w:rsidRDefault="006B57D8" w:rsidP="00922116">
            <w:pPr>
              <w:pStyle w:val="VSmCellBody"/>
              <w:jc w:val="right"/>
              <w:rPr>
                <w:sz w:val="16"/>
                <w:szCs w:val="16"/>
              </w:rPr>
            </w:pPr>
            <w:r w:rsidRPr="0032117C">
              <w:rPr>
                <w:sz w:val="16"/>
                <w:szCs w:val="16"/>
              </w:rPr>
              <w:t>318.4</w:t>
            </w:r>
          </w:p>
        </w:tc>
        <w:tc>
          <w:tcPr>
            <w:tcW w:w="234" w:type="dxa"/>
            <w:vAlign w:val="bottom"/>
          </w:tcPr>
          <w:p w14:paraId="3ADF78BA" w14:textId="77777777" w:rsidR="006B57D8" w:rsidRPr="0032117C" w:rsidRDefault="006B57D8" w:rsidP="00922116">
            <w:pPr>
              <w:pStyle w:val="CellRowSpacer"/>
              <w:rPr>
                <w:sz w:val="16"/>
                <w:szCs w:val="16"/>
              </w:rPr>
            </w:pPr>
          </w:p>
        </w:tc>
        <w:tc>
          <w:tcPr>
            <w:tcW w:w="786" w:type="dxa"/>
            <w:vAlign w:val="bottom"/>
          </w:tcPr>
          <w:p w14:paraId="2A274ECA" w14:textId="77777777" w:rsidR="006B57D8" w:rsidRPr="0032117C" w:rsidRDefault="006B57D8" w:rsidP="00922116">
            <w:pPr>
              <w:pStyle w:val="VSmCellBody"/>
              <w:jc w:val="right"/>
              <w:rPr>
                <w:sz w:val="16"/>
                <w:szCs w:val="16"/>
              </w:rPr>
            </w:pPr>
            <w:r w:rsidRPr="0032117C">
              <w:rPr>
                <w:sz w:val="16"/>
                <w:szCs w:val="16"/>
              </w:rPr>
              <w:t>113.5</w:t>
            </w:r>
          </w:p>
        </w:tc>
        <w:tc>
          <w:tcPr>
            <w:tcW w:w="234" w:type="dxa"/>
            <w:vAlign w:val="bottom"/>
          </w:tcPr>
          <w:p w14:paraId="41065F58" w14:textId="77777777" w:rsidR="006B57D8" w:rsidRPr="0032117C" w:rsidRDefault="006B57D8" w:rsidP="00922116">
            <w:pPr>
              <w:pStyle w:val="CellRowSpacer"/>
              <w:rPr>
                <w:sz w:val="16"/>
                <w:szCs w:val="16"/>
              </w:rPr>
            </w:pPr>
          </w:p>
        </w:tc>
      </w:tr>
      <w:tr w:rsidR="006B57D8" w:rsidRPr="0032117C" w14:paraId="3EDC4F47" w14:textId="77777777" w:rsidTr="00922116">
        <w:tc>
          <w:tcPr>
            <w:tcW w:w="1674" w:type="dxa"/>
            <w:vAlign w:val="bottom"/>
          </w:tcPr>
          <w:p w14:paraId="72A7E38D" w14:textId="77777777" w:rsidR="006B57D8" w:rsidRPr="0032117C" w:rsidRDefault="006B57D8" w:rsidP="00922116">
            <w:pPr>
              <w:pStyle w:val="VSmCellBody"/>
              <w:tabs>
                <w:tab w:val="right" w:leader="dot" w:pos="1689"/>
              </w:tabs>
              <w:rPr>
                <w:sz w:val="16"/>
                <w:szCs w:val="16"/>
              </w:rPr>
            </w:pPr>
            <w:r w:rsidRPr="0032117C">
              <w:rPr>
                <w:sz w:val="16"/>
                <w:szCs w:val="16"/>
              </w:rPr>
              <w:t>2.9-3.9 k TEU</w:t>
            </w:r>
            <w:r w:rsidRPr="0032117C">
              <w:rPr>
                <w:sz w:val="16"/>
                <w:szCs w:val="16"/>
              </w:rPr>
              <w:tab/>
            </w:r>
          </w:p>
        </w:tc>
        <w:tc>
          <w:tcPr>
            <w:tcW w:w="234" w:type="dxa"/>
            <w:vAlign w:val="bottom"/>
          </w:tcPr>
          <w:p w14:paraId="2DD19282" w14:textId="77777777" w:rsidR="006B57D8" w:rsidRPr="0032117C" w:rsidRDefault="006B57D8" w:rsidP="00922116">
            <w:pPr>
              <w:pStyle w:val="CellRowSpacer"/>
              <w:rPr>
                <w:sz w:val="16"/>
                <w:szCs w:val="16"/>
              </w:rPr>
            </w:pPr>
          </w:p>
        </w:tc>
        <w:tc>
          <w:tcPr>
            <w:tcW w:w="786" w:type="dxa"/>
            <w:vAlign w:val="bottom"/>
          </w:tcPr>
          <w:p w14:paraId="5BEE497C" w14:textId="77777777" w:rsidR="006B57D8" w:rsidRPr="0032117C" w:rsidRDefault="006B57D8" w:rsidP="00922116">
            <w:pPr>
              <w:pStyle w:val="VSmCellBody"/>
              <w:jc w:val="right"/>
              <w:rPr>
                <w:sz w:val="16"/>
                <w:szCs w:val="16"/>
              </w:rPr>
            </w:pPr>
            <w:r w:rsidRPr="0032117C">
              <w:rPr>
                <w:sz w:val="16"/>
                <w:szCs w:val="16"/>
              </w:rPr>
              <w:t>309.7</w:t>
            </w:r>
          </w:p>
        </w:tc>
        <w:tc>
          <w:tcPr>
            <w:tcW w:w="234" w:type="dxa"/>
            <w:vAlign w:val="bottom"/>
          </w:tcPr>
          <w:p w14:paraId="5F860618" w14:textId="77777777" w:rsidR="006B57D8" w:rsidRPr="0032117C" w:rsidRDefault="006B57D8" w:rsidP="00922116">
            <w:pPr>
              <w:pStyle w:val="CellRowSpacer"/>
              <w:rPr>
                <w:sz w:val="16"/>
                <w:szCs w:val="16"/>
              </w:rPr>
            </w:pPr>
          </w:p>
        </w:tc>
        <w:tc>
          <w:tcPr>
            <w:tcW w:w="786" w:type="dxa"/>
            <w:vAlign w:val="bottom"/>
          </w:tcPr>
          <w:p w14:paraId="33A49DB6" w14:textId="77777777" w:rsidR="006B57D8" w:rsidRPr="0032117C" w:rsidRDefault="006B57D8" w:rsidP="00922116">
            <w:pPr>
              <w:pStyle w:val="VSmCellBody"/>
              <w:jc w:val="right"/>
              <w:rPr>
                <w:sz w:val="16"/>
                <w:szCs w:val="16"/>
              </w:rPr>
            </w:pPr>
            <w:r w:rsidRPr="0032117C">
              <w:rPr>
                <w:sz w:val="16"/>
                <w:szCs w:val="16"/>
              </w:rPr>
              <w:t>117.6</w:t>
            </w:r>
          </w:p>
        </w:tc>
        <w:tc>
          <w:tcPr>
            <w:tcW w:w="234" w:type="dxa"/>
            <w:vAlign w:val="bottom"/>
          </w:tcPr>
          <w:p w14:paraId="4D432489" w14:textId="77777777" w:rsidR="006B57D8" w:rsidRPr="0032117C" w:rsidRDefault="006B57D8" w:rsidP="00922116">
            <w:pPr>
              <w:pStyle w:val="CellRowSpacer"/>
              <w:rPr>
                <w:sz w:val="16"/>
                <w:szCs w:val="16"/>
              </w:rPr>
            </w:pPr>
          </w:p>
        </w:tc>
        <w:tc>
          <w:tcPr>
            <w:tcW w:w="786" w:type="dxa"/>
            <w:vAlign w:val="bottom"/>
          </w:tcPr>
          <w:p w14:paraId="23DD784F" w14:textId="77777777" w:rsidR="006B57D8" w:rsidRPr="0032117C" w:rsidRDefault="006B57D8" w:rsidP="00922116">
            <w:pPr>
              <w:pStyle w:val="VSmCellBody"/>
              <w:jc w:val="right"/>
              <w:rPr>
                <w:sz w:val="16"/>
                <w:szCs w:val="16"/>
              </w:rPr>
            </w:pPr>
            <w:r w:rsidRPr="0032117C">
              <w:rPr>
                <w:sz w:val="16"/>
                <w:szCs w:val="16"/>
              </w:rPr>
              <w:t>227.9</w:t>
            </w:r>
          </w:p>
        </w:tc>
        <w:tc>
          <w:tcPr>
            <w:tcW w:w="234" w:type="dxa"/>
            <w:vAlign w:val="bottom"/>
          </w:tcPr>
          <w:p w14:paraId="025D2EB1" w14:textId="77777777" w:rsidR="006B57D8" w:rsidRPr="0032117C" w:rsidRDefault="006B57D8" w:rsidP="00922116">
            <w:pPr>
              <w:pStyle w:val="CellRowSpacer"/>
              <w:rPr>
                <w:sz w:val="16"/>
                <w:szCs w:val="16"/>
              </w:rPr>
            </w:pPr>
          </w:p>
        </w:tc>
        <w:tc>
          <w:tcPr>
            <w:tcW w:w="786" w:type="dxa"/>
            <w:vAlign w:val="bottom"/>
          </w:tcPr>
          <w:p w14:paraId="4BD4F46C" w14:textId="77777777" w:rsidR="006B57D8" w:rsidRPr="0032117C" w:rsidRDefault="006B57D8" w:rsidP="00922116">
            <w:pPr>
              <w:pStyle w:val="VSmCellBody"/>
              <w:jc w:val="right"/>
              <w:rPr>
                <w:sz w:val="16"/>
                <w:szCs w:val="16"/>
              </w:rPr>
            </w:pPr>
            <w:r w:rsidRPr="0032117C">
              <w:rPr>
                <w:sz w:val="16"/>
                <w:szCs w:val="16"/>
              </w:rPr>
              <w:t>306.1</w:t>
            </w:r>
          </w:p>
        </w:tc>
        <w:tc>
          <w:tcPr>
            <w:tcW w:w="234" w:type="dxa"/>
            <w:vAlign w:val="bottom"/>
          </w:tcPr>
          <w:p w14:paraId="43B1AEF3" w14:textId="77777777" w:rsidR="006B57D8" w:rsidRPr="0032117C" w:rsidRDefault="006B57D8" w:rsidP="00922116">
            <w:pPr>
              <w:pStyle w:val="CellRowSpacer"/>
              <w:rPr>
                <w:sz w:val="16"/>
                <w:szCs w:val="16"/>
              </w:rPr>
            </w:pPr>
          </w:p>
        </w:tc>
        <w:tc>
          <w:tcPr>
            <w:tcW w:w="786" w:type="dxa"/>
            <w:vAlign w:val="bottom"/>
          </w:tcPr>
          <w:p w14:paraId="12917759" w14:textId="77777777" w:rsidR="006B57D8" w:rsidRPr="0032117C" w:rsidRDefault="006B57D8" w:rsidP="00922116">
            <w:pPr>
              <w:pStyle w:val="VSmCellBody"/>
              <w:jc w:val="right"/>
              <w:rPr>
                <w:sz w:val="16"/>
                <w:szCs w:val="16"/>
              </w:rPr>
            </w:pPr>
            <w:r w:rsidRPr="0032117C">
              <w:rPr>
                <w:sz w:val="16"/>
                <w:szCs w:val="16"/>
              </w:rPr>
              <w:t>105.4</w:t>
            </w:r>
          </w:p>
        </w:tc>
        <w:tc>
          <w:tcPr>
            <w:tcW w:w="234" w:type="dxa"/>
            <w:vAlign w:val="bottom"/>
          </w:tcPr>
          <w:p w14:paraId="719C475A" w14:textId="77777777" w:rsidR="006B57D8" w:rsidRPr="0032117C" w:rsidRDefault="006B57D8" w:rsidP="00922116">
            <w:pPr>
              <w:pStyle w:val="CellRowSpacer"/>
              <w:rPr>
                <w:sz w:val="16"/>
                <w:szCs w:val="16"/>
              </w:rPr>
            </w:pPr>
          </w:p>
        </w:tc>
        <w:tc>
          <w:tcPr>
            <w:tcW w:w="786" w:type="dxa"/>
            <w:vAlign w:val="bottom"/>
          </w:tcPr>
          <w:p w14:paraId="136A467A" w14:textId="77777777" w:rsidR="006B57D8" w:rsidRPr="0032117C" w:rsidRDefault="006B57D8" w:rsidP="00922116">
            <w:pPr>
              <w:pStyle w:val="VSmCellBody"/>
              <w:jc w:val="right"/>
              <w:rPr>
                <w:sz w:val="16"/>
                <w:szCs w:val="16"/>
              </w:rPr>
            </w:pPr>
            <w:r w:rsidRPr="0032117C">
              <w:rPr>
                <w:sz w:val="16"/>
                <w:szCs w:val="16"/>
              </w:rPr>
              <w:t>82.8</w:t>
            </w:r>
          </w:p>
        </w:tc>
        <w:tc>
          <w:tcPr>
            <w:tcW w:w="234" w:type="dxa"/>
            <w:vAlign w:val="bottom"/>
          </w:tcPr>
          <w:p w14:paraId="6F1E76AE" w14:textId="77777777" w:rsidR="006B57D8" w:rsidRPr="0032117C" w:rsidRDefault="006B57D8" w:rsidP="00922116">
            <w:pPr>
              <w:pStyle w:val="CellRowSpacer"/>
              <w:rPr>
                <w:sz w:val="16"/>
                <w:szCs w:val="16"/>
              </w:rPr>
            </w:pPr>
          </w:p>
        </w:tc>
        <w:tc>
          <w:tcPr>
            <w:tcW w:w="786" w:type="dxa"/>
            <w:vAlign w:val="bottom"/>
          </w:tcPr>
          <w:p w14:paraId="7EBBF289" w14:textId="77777777" w:rsidR="006B57D8" w:rsidRPr="0032117C" w:rsidRDefault="006B57D8" w:rsidP="00922116">
            <w:pPr>
              <w:pStyle w:val="VSmCellBody"/>
              <w:jc w:val="right"/>
              <w:rPr>
                <w:sz w:val="16"/>
                <w:szCs w:val="16"/>
              </w:rPr>
            </w:pPr>
            <w:r w:rsidRPr="0032117C">
              <w:rPr>
                <w:sz w:val="16"/>
                <w:szCs w:val="16"/>
              </w:rPr>
              <w:t>81.1</w:t>
            </w:r>
          </w:p>
        </w:tc>
        <w:tc>
          <w:tcPr>
            <w:tcW w:w="234" w:type="dxa"/>
            <w:vAlign w:val="bottom"/>
          </w:tcPr>
          <w:p w14:paraId="0B545F65" w14:textId="77777777" w:rsidR="006B57D8" w:rsidRPr="0032117C" w:rsidRDefault="006B57D8" w:rsidP="00922116">
            <w:pPr>
              <w:pStyle w:val="CellRowSpacer"/>
              <w:rPr>
                <w:sz w:val="16"/>
                <w:szCs w:val="16"/>
              </w:rPr>
            </w:pPr>
          </w:p>
        </w:tc>
      </w:tr>
      <w:tr w:rsidR="006B57D8" w:rsidRPr="0032117C" w14:paraId="67A1A81A" w14:textId="77777777" w:rsidTr="00922116">
        <w:tc>
          <w:tcPr>
            <w:tcW w:w="1674" w:type="dxa"/>
            <w:vAlign w:val="bottom"/>
          </w:tcPr>
          <w:p w14:paraId="24DA295E" w14:textId="77777777" w:rsidR="006B57D8" w:rsidRPr="0032117C" w:rsidRDefault="006B57D8" w:rsidP="00922116">
            <w:pPr>
              <w:pStyle w:val="VSmCellBody"/>
              <w:tabs>
                <w:tab w:val="right" w:leader="dot" w:pos="1689"/>
              </w:tabs>
              <w:rPr>
                <w:sz w:val="16"/>
                <w:szCs w:val="16"/>
              </w:rPr>
            </w:pPr>
            <w:r w:rsidRPr="0032117C">
              <w:rPr>
                <w:sz w:val="16"/>
                <w:szCs w:val="16"/>
              </w:rPr>
              <w:t>3.9-5.2 k TEU</w:t>
            </w:r>
            <w:r w:rsidRPr="0032117C">
              <w:rPr>
                <w:sz w:val="16"/>
                <w:szCs w:val="16"/>
              </w:rPr>
              <w:tab/>
            </w:r>
          </w:p>
        </w:tc>
        <w:tc>
          <w:tcPr>
            <w:tcW w:w="234" w:type="dxa"/>
            <w:vAlign w:val="bottom"/>
          </w:tcPr>
          <w:p w14:paraId="6071B511" w14:textId="77777777" w:rsidR="006B57D8" w:rsidRPr="0032117C" w:rsidRDefault="006B57D8" w:rsidP="00922116">
            <w:pPr>
              <w:pStyle w:val="CellRowSpacer"/>
              <w:rPr>
                <w:sz w:val="16"/>
                <w:szCs w:val="16"/>
              </w:rPr>
            </w:pPr>
          </w:p>
        </w:tc>
        <w:tc>
          <w:tcPr>
            <w:tcW w:w="786" w:type="dxa"/>
            <w:vAlign w:val="bottom"/>
          </w:tcPr>
          <w:p w14:paraId="053C36AE" w14:textId="77777777" w:rsidR="006B57D8" w:rsidRPr="0032117C" w:rsidRDefault="006B57D8" w:rsidP="00922116">
            <w:pPr>
              <w:pStyle w:val="VSmCellBody"/>
              <w:jc w:val="right"/>
              <w:rPr>
                <w:sz w:val="16"/>
                <w:szCs w:val="16"/>
              </w:rPr>
            </w:pPr>
            <w:r w:rsidRPr="0032117C">
              <w:rPr>
                <w:sz w:val="16"/>
                <w:szCs w:val="16"/>
              </w:rPr>
              <w:t>110.2</w:t>
            </w:r>
          </w:p>
        </w:tc>
        <w:tc>
          <w:tcPr>
            <w:tcW w:w="234" w:type="dxa"/>
            <w:vAlign w:val="bottom"/>
          </w:tcPr>
          <w:p w14:paraId="720A5B18" w14:textId="77777777" w:rsidR="006B57D8" w:rsidRPr="0032117C" w:rsidRDefault="006B57D8" w:rsidP="00922116">
            <w:pPr>
              <w:pStyle w:val="CellRowSpacer"/>
              <w:rPr>
                <w:sz w:val="16"/>
                <w:szCs w:val="16"/>
              </w:rPr>
            </w:pPr>
          </w:p>
        </w:tc>
        <w:tc>
          <w:tcPr>
            <w:tcW w:w="786" w:type="dxa"/>
            <w:vAlign w:val="bottom"/>
          </w:tcPr>
          <w:p w14:paraId="1255962B" w14:textId="77777777" w:rsidR="006B57D8" w:rsidRPr="0032117C" w:rsidRDefault="006B57D8" w:rsidP="00922116">
            <w:pPr>
              <w:pStyle w:val="VSmCellBody"/>
              <w:jc w:val="right"/>
              <w:rPr>
                <w:sz w:val="16"/>
                <w:szCs w:val="16"/>
              </w:rPr>
            </w:pPr>
            <w:r w:rsidRPr="0032117C">
              <w:rPr>
                <w:sz w:val="16"/>
                <w:szCs w:val="16"/>
              </w:rPr>
              <w:t>45.6</w:t>
            </w:r>
          </w:p>
        </w:tc>
        <w:tc>
          <w:tcPr>
            <w:tcW w:w="234" w:type="dxa"/>
            <w:vAlign w:val="bottom"/>
          </w:tcPr>
          <w:p w14:paraId="786E9934" w14:textId="77777777" w:rsidR="006B57D8" w:rsidRPr="0032117C" w:rsidRDefault="006B57D8" w:rsidP="00922116">
            <w:pPr>
              <w:pStyle w:val="CellRowSpacer"/>
              <w:rPr>
                <w:sz w:val="16"/>
                <w:szCs w:val="16"/>
              </w:rPr>
            </w:pPr>
          </w:p>
        </w:tc>
        <w:tc>
          <w:tcPr>
            <w:tcW w:w="786" w:type="dxa"/>
            <w:vAlign w:val="bottom"/>
          </w:tcPr>
          <w:p w14:paraId="45F858D3" w14:textId="77777777" w:rsidR="006B57D8" w:rsidRPr="0032117C" w:rsidRDefault="006B57D8" w:rsidP="00922116">
            <w:pPr>
              <w:pStyle w:val="VSmCellBody"/>
              <w:jc w:val="right"/>
              <w:rPr>
                <w:sz w:val="16"/>
                <w:szCs w:val="16"/>
              </w:rPr>
            </w:pPr>
            <w:r w:rsidRPr="0032117C">
              <w:rPr>
                <w:sz w:val="16"/>
                <w:szCs w:val="16"/>
              </w:rPr>
              <w:t>883.6</w:t>
            </w:r>
          </w:p>
        </w:tc>
        <w:tc>
          <w:tcPr>
            <w:tcW w:w="234" w:type="dxa"/>
            <w:vAlign w:val="bottom"/>
          </w:tcPr>
          <w:p w14:paraId="63747715" w14:textId="77777777" w:rsidR="006B57D8" w:rsidRPr="0032117C" w:rsidRDefault="006B57D8" w:rsidP="00922116">
            <w:pPr>
              <w:pStyle w:val="CellRowSpacer"/>
              <w:rPr>
                <w:sz w:val="16"/>
                <w:szCs w:val="16"/>
              </w:rPr>
            </w:pPr>
          </w:p>
        </w:tc>
        <w:tc>
          <w:tcPr>
            <w:tcW w:w="786" w:type="dxa"/>
            <w:vAlign w:val="bottom"/>
          </w:tcPr>
          <w:p w14:paraId="06095812" w14:textId="77777777" w:rsidR="006B57D8" w:rsidRPr="0032117C" w:rsidRDefault="006B57D8" w:rsidP="00922116">
            <w:pPr>
              <w:pStyle w:val="VSmCellBody"/>
              <w:jc w:val="right"/>
              <w:rPr>
                <w:sz w:val="16"/>
                <w:szCs w:val="16"/>
              </w:rPr>
            </w:pPr>
            <w:r w:rsidRPr="0032117C">
              <w:rPr>
                <w:sz w:val="16"/>
                <w:szCs w:val="16"/>
              </w:rPr>
              <w:t>1,388.4</w:t>
            </w:r>
          </w:p>
        </w:tc>
        <w:tc>
          <w:tcPr>
            <w:tcW w:w="234" w:type="dxa"/>
            <w:vAlign w:val="bottom"/>
          </w:tcPr>
          <w:p w14:paraId="2F844C2F" w14:textId="77777777" w:rsidR="006B57D8" w:rsidRPr="0032117C" w:rsidRDefault="006B57D8" w:rsidP="00922116">
            <w:pPr>
              <w:pStyle w:val="CellRowSpacer"/>
              <w:rPr>
                <w:sz w:val="16"/>
                <w:szCs w:val="16"/>
              </w:rPr>
            </w:pPr>
          </w:p>
        </w:tc>
        <w:tc>
          <w:tcPr>
            <w:tcW w:w="786" w:type="dxa"/>
            <w:vAlign w:val="bottom"/>
          </w:tcPr>
          <w:p w14:paraId="016B6FE9" w14:textId="77777777" w:rsidR="006B57D8" w:rsidRPr="0032117C" w:rsidRDefault="006B57D8" w:rsidP="00922116">
            <w:pPr>
              <w:pStyle w:val="VSmCellBody"/>
              <w:jc w:val="right"/>
              <w:rPr>
                <w:sz w:val="16"/>
                <w:szCs w:val="16"/>
              </w:rPr>
            </w:pPr>
            <w:r w:rsidRPr="0032117C">
              <w:rPr>
                <w:sz w:val="16"/>
                <w:szCs w:val="16"/>
              </w:rPr>
              <w:t>420.1</w:t>
            </w:r>
          </w:p>
        </w:tc>
        <w:tc>
          <w:tcPr>
            <w:tcW w:w="234" w:type="dxa"/>
            <w:vAlign w:val="bottom"/>
          </w:tcPr>
          <w:p w14:paraId="11B0E00A" w14:textId="77777777" w:rsidR="006B57D8" w:rsidRPr="0032117C" w:rsidRDefault="006B57D8" w:rsidP="00922116">
            <w:pPr>
              <w:pStyle w:val="CellRowSpacer"/>
              <w:rPr>
                <w:sz w:val="16"/>
                <w:szCs w:val="16"/>
              </w:rPr>
            </w:pPr>
          </w:p>
        </w:tc>
        <w:tc>
          <w:tcPr>
            <w:tcW w:w="786" w:type="dxa"/>
            <w:vAlign w:val="bottom"/>
          </w:tcPr>
          <w:p w14:paraId="498FA16C" w14:textId="77777777" w:rsidR="006B57D8" w:rsidRPr="0032117C" w:rsidRDefault="006B57D8" w:rsidP="00922116">
            <w:pPr>
              <w:pStyle w:val="VSmCellBody"/>
              <w:jc w:val="right"/>
              <w:rPr>
                <w:sz w:val="16"/>
                <w:szCs w:val="16"/>
              </w:rPr>
            </w:pPr>
            <w:r w:rsidRPr="0032117C">
              <w:rPr>
                <w:sz w:val="16"/>
                <w:szCs w:val="16"/>
              </w:rPr>
              <w:t>93.1</w:t>
            </w:r>
          </w:p>
        </w:tc>
        <w:tc>
          <w:tcPr>
            <w:tcW w:w="234" w:type="dxa"/>
            <w:vAlign w:val="bottom"/>
          </w:tcPr>
          <w:p w14:paraId="26307DA5" w14:textId="77777777" w:rsidR="006B57D8" w:rsidRPr="0032117C" w:rsidRDefault="006B57D8" w:rsidP="00922116">
            <w:pPr>
              <w:pStyle w:val="CellRowSpacer"/>
              <w:rPr>
                <w:sz w:val="16"/>
                <w:szCs w:val="16"/>
              </w:rPr>
            </w:pPr>
          </w:p>
        </w:tc>
        <w:tc>
          <w:tcPr>
            <w:tcW w:w="786" w:type="dxa"/>
            <w:vAlign w:val="bottom"/>
          </w:tcPr>
          <w:p w14:paraId="2D50F72A" w14:textId="77777777" w:rsidR="006B57D8" w:rsidRPr="0032117C" w:rsidRDefault="006B57D8" w:rsidP="00922116">
            <w:pPr>
              <w:pStyle w:val="VSmCellBody"/>
              <w:jc w:val="right"/>
              <w:rPr>
                <w:sz w:val="16"/>
                <w:szCs w:val="16"/>
              </w:rPr>
            </w:pPr>
            <w:r w:rsidRPr="0032117C">
              <w:rPr>
                <w:sz w:val="16"/>
                <w:szCs w:val="16"/>
              </w:rPr>
              <w:t>86.5</w:t>
            </w:r>
          </w:p>
        </w:tc>
        <w:tc>
          <w:tcPr>
            <w:tcW w:w="234" w:type="dxa"/>
            <w:vAlign w:val="bottom"/>
          </w:tcPr>
          <w:p w14:paraId="1626C008" w14:textId="77777777" w:rsidR="006B57D8" w:rsidRPr="0032117C" w:rsidRDefault="006B57D8" w:rsidP="00922116">
            <w:pPr>
              <w:pStyle w:val="CellRowSpacer"/>
              <w:rPr>
                <w:sz w:val="16"/>
                <w:szCs w:val="16"/>
              </w:rPr>
            </w:pPr>
          </w:p>
        </w:tc>
      </w:tr>
      <w:tr w:rsidR="006B57D8" w:rsidRPr="0032117C" w14:paraId="7E090E66" w14:textId="77777777" w:rsidTr="00922116">
        <w:tc>
          <w:tcPr>
            <w:tcW w:w="1674" w:type="dxa"/>
            <w:vAlign w:val="bottom"/>
          </w:tcPr>
          <w:p w14:paraId="3FBAEC4D" w14:textId="77777777" w:rsidR="006B57D8" w:rsidRPr="0032117C" w:rsidRDefault="006B57D8" w:rsidP="00922116">
            <w:pPr>
              <w:pStyle w:val="VSmCellBody"/>
              <w:tabs>
                <w:tab w:val="right" w:leader="dot" w:pos="1689"/>
              </w:tabs>
              <w:rPr>
                <w:sz w:val="16"/>
                <w:szCs w:val="16"/>
              </w:rPr>
            </w:pPr>
            <w:r w:rsidRPr="0032117C">
              <w:rPr>
                <w:sz w:val="16"/>
                <w:szCs w:val="16"/>
              </w:rPr>
              <w:t>5.2-7.6 k TEU</w:t>
            </w:r>
            <w:r w:rsidRPr="0032117C">
              <w:rPr>
                <w:sz w:val="16"/>
                <w:szCs w:val="16"/>
              </w:rPr>
              <w:tab/>
            </w:r>
          </w:p>
        </w:tc>
        <w:tc>
          <w:tcPr>
            <w:tcW w:w="234" w:type="dxa"/>
            <w:vAlign w:val="bottom"/>
          </w:tcPr>
          <w:p w14:paraId="01080D4F" w14:textId="77777777" w:rsidR="006B57D8" w:rsidRPr="0032117C" w:rsidRDefault="006B57D8" w:rsidP="00922116">
            <w:pPr>
              <w:pStyle w:val="CellRowSpacer"/>
              <w:rPr>
                <w:sz w:val="16"/>
                <w:szCs w:val="16"/>
              </w:rPr>
            </w:pPr>
          </w:p>
        </w:tc>
        <w:tc>
          <w:tcPr>
            <w:tcW w:w="786" w:type="dxa"/>
            <w:vAlign w:val="bottom"/>
          </w:tcPr>
          <w:p w14:paraId="2CF3402E" w14:textId="77777777" w:rsidR="006B57D8" w:rsidRPr="0032117C" w:rsidRDefault="006B57D8" w:rsidP="00922116">
            <w:pPr>
              <w:pStyle w:val="VSmCellBody"/>
              <w:jc w:val="right"/>
              <w:rPr>
                <w:sz w:val="16"/>
                <w:szCs w:val="16"/>
              </w:rPr>
            </w:pPr>
            <w:r w:rsidRPr="0032117C">
              <w:rPr>
                <w:sz w:val="16"/>
                <w:szCs w:val="16"/>
              </w:rPr>
              <w:t>632.1</w:t>
            </w:r>
          </w:p>
        </w:tc>
        <w:tc>
          <w:tcPr>
            <w:tcW w:w="234" w:type="dxa"/>
            <w:vAlign w:val="bottom"/>
          </w:tcPr>
          <w:p w14:paraId="0AF1EC32" w14:textId="77777777" w:rsidR="006B57D8" w:rsidRPr="0032117C" w:rsidRDefault="006B57D8" w:rsidP="00922116">
            <w:pPr>
              <w:pStyle w:val="CellRowSpacer"/>
              <w:rPr>
                <w:sz w:val="16"/>
                <w:szCs w:val="16"/>
              </w:rPr>
            </w:pPr>
          </w:p>
        </w:tc>
        <w:tc>
          <w:tcPr>
            <w:tcW w:w="786" w:type="dxa"/>
            <w:vAlign w:val="bottom"/>
          </w:tcPr>
          <w:p w14:paraId="7DFF0414" w14:textId="77777777" w:rsidR="006B57D8" w:rsidRPr="0032117C" w:rsidRDefault="006B57D8" w:rsidP="00922116">
            <w:pPr>
              <w:pStyle w:val="VSmCellBody"/>
              <w:jc w:val="right"/>
              <w:rPr>
                <w:sz w:val="16"/>
                <w:szCs w:val="16"/>
              </w:rPr>
            </w:pPr>
            <w:r w:rsidRPr="0032117C">
              <w:rPr>
                <w:sz w:val="16"/>
                <w:szCs w:val="16"/>
              </w:rPr>
              <w:t>49.4</w:t>
            </w:r>
          </w:p>
        </w:tc>
        <w:tc>
          <w:tcPr>
            <w:tcW w:w="234" w:type="dxa"/>
            <w:vAlign w:val="bottom"/>
          </w:tcPr>
          <w:p w14:paraId="3B4C6784" w14:textId="77777777" w:rsidR="006B57D8" w:rsidRPr="0032117C" w:rsidRDefault="006B57D8" w:rsidP="00922116">
            <w:pPr>
              <w:pStyle w:val="CellRowSpacer"/>
              <w:rPr>
                <w:sz w:val="16"/>
                <w:szCs w:val="16"/>
              </w:rPr>
            </w:pPr>
          </w:p>
        </w:tc>
        <w:tc>
          <w:tcPr>
            <w:tcW w:w="786" w:type="dxa"/>
            <w:vAlign w:val="bottom"/>
          </w:tcPr>
          <w:p w14:paraId="7D2C18ED" w14:textId="77777777" w:rsidR="006B57D8" w:rsidRPr="0032117C" w:rsidRDefault="006B57D8" w:rsidP="00922116">
            <w:pPr>
              <w:pStyle w:val="VSmCellBody"/>
              <w:jc w:val="right"/>
              <w:rPr>
                <w:sz w:val="16"/>
                <w:szCs w:val="16"/>
              </w:rPr>
            </w:pPr>
            <w:r w:rsidRPr="0032117C">
              <w:rPr>
                <w:sz w:val="16"/>
                <w:szCs w:val="16"/>
              </w:rPr>
              <w:t>599.8</w:t>
            </w:r>
          </w:p>
        </w:tc>
        <w:tc>
          <w:tcPr>
            <w:tcW w:w="234" w:type="dxa"/>
            <w:vAlign w:val="bottom"/>
          </w:tcPr>
          <w:p w14:paraId="1FC54478" w14:textId="77777777" w:rsidR="006B57D8" w:rsidRPr="0032117C" w:rsidRDefault="006B57D8" w:rsidP="00922116">
            <w:pPr>
              <w:pStyle w:val="CellRowSpacer"/>
              <w:rPr>
                <w:sz w:val="16"/>
                <w:szCs w:val="16"/>
              </w:rPr>
            </w:pPr>
          </w:p>
        </w:tc>
        <w:tc>
          <w:tcPr>
            <w:tcW w:w="786" w:type="dxa"/>
            <w:vAlign w:val="bottom"/>
          </w:tcPr>
          <w:p w14:paraId="6DE0798C" w14:textId="77777777" w:rsidR="006B57D8" w:rsidRPr="0032117C" w:rsidRDefault="006B57D8" w:rsidP="00922116">
            <w:pPr>
              <w:pStyle w:val="VSmCellBody"/>
              <w:jc w:val="right"/>
              <w:rPr>
                <w:sz w:val="16"/>
                <w:szCs w:val="16"/>
              </w:rPr>
            </w:pPr>
            <w:r w:rsidRPr="0032117C">
              <w:rPr>
                <w:sz w:val="16"/>
                <w:szCs w:val="16"/>
              </w:rPr>
              <w:t>1,008.6</w:t>
            </w:r>
          </w:p>
        </w:tc>
        <w:tc>
          <w:tcPr>
            <w:tcW w:w="234" w:type="dxa"/>
            <w:vAlign w:val="bottom"/>
          </w:tcPr>
          <w:p w14:paraId="57A3D469" w14:textId="77777777" w:rsidR="006B57D8" w:rsidRPr="0032117C" w:rsidRDefault="006B57D8" w:rsidP="00922116">
            <w:pPr>
              <w:pStyle w:val="CellRowSpacer"/>
              <w:rPr>
                <w:sz w:val="16"/>
                <w:szCs w:val="16"/>
              </w:rPr>
            </w:pPr>
          </w:p>
        </w:tc>
        <w:tc>
          <w:tcPr>
            <w:tcW w:w="786" w:type="dxa"/>
            <w:vAlign w:val="bottom"/>
          </w:tcPr>
          <w:p w14:paraId="4318B75B" w14:textId="77777777" w:rsidR="006B57D8" w:rsidRPr="0032117C" w:rsidRDefault="006B57D8" w:rsidP="00922116">
            <w:pPr>
              <w:pStyle w:val="VSmCellBody"/>
              <w:jc w:val="right"/>
              <w:rPr>
                <w:sz w:val="16"/>
                <w:szCs w:val="16"/>
              </w:rPr>
            </w:pPr>
            <w:r w:rsidRPr="0032117C">
              <w:rPr>
                <w:sz w:val="16"/>
                <w:szCs w:val="16"/>
              </w:rPr>
              <w:t>922.1</w:t>
            </w:r>
          </w:p>
        </w:tc>
        <w:tc>
          <w:tcPr>
            <w:tcW w:w="234" w:type="dxa"/>
            <w:vAlign w:val="bottom"/>
          </w:tcPr>
          <w:p w14:paraId="263EF786" w14:textId="77777777" w:rsidR="006B57D8" w:rsidRPr="0032117C" w:rsidRDefault="006B57D8" w:rsidP="00922116">
            <w:pPr>
              <w:pStyle w:val="CellRowSpacer"/>
              <w:rPr>
                <w:sz w:val="16"/>
                <w:szCs w:val="16"/>
              </w:rPr>
            </w:pPr>
          </w:p>
        </w:tc>
        <w:tc>
          <w:tcPr>
            <w:tcW w:w="786" w:type="dxa"/>
            <w:vAlign w:val="bottom"/>
          </w:tcPr>
          <w:p w14:paraId="58AAA4DF" w14:textId="77777777" w:rsidR="006B57D8" w:rsidRPr="0032117C" w:rsidRDefault="006B57D8" w:rsidP="00922116">
            <w:pPr>
              <w:pStyle w:val="VSmCellBody"/>
              <w:jc w:val="right"/>
              <w:rPr>
                <w:sz w:val="16"/>
                <w:szCs w:val="16"/>
              </w:rPr>
            </w:pPr>
            <w:r w:rsidRPr="0032117C">
              <w:rPr>
                <w:sz w:val="16"/>
                <w:szCs w:val="16"/>
              </w:rPr>
              <w:t>119.3</w:t>
            </w:r>
          </w:p>
        </w:tc>
        <w:tc>
          <w:tcPr>
            <w:tcW w:w="234" w:type="dxa"/>
            <w:vAlign w:val="bottom"/>
          </w:tcPr>
          <w:p w14:paraId="2583ED02" w14:textId="77777777" w:rsidR="006B57D8" w:rsidRPr="0032117C" w:rsidRDefault="006B57D8" w:rsidP="00922116">
            <w:pPr>
              <w:pStyle w:val="CellRowSpacer"/>
              <w:rPr>
                <w:sz w:val="16"/>
                <w:szCs w:val="16"/>
              </w:rPr>
            </w:pPr>
          </w:p>
        </w:tc>
        <w:tc>
          <w:tcPr>
            <w:tcW w:w="786" w:type="dxa"/>
            <w:vAlign w:val="bottom"/>
          </w:tcPr>
          <w:p w14:paraId="51283214" w14:textId="77777777" w:rsidR="006B57D8" w:rsidRPr="0032117C" w:rsidRDefault="006B57D8" w:rsidP="00922116">
            <w:pPr>
              <w:pStyle w:val="VSmCellBody"/>
              <w:jc w:val="right"/>
              <w:rPr>
                <w:sz w:val="16"/>
                <w:szCs w:val="16"/>
              </w:rPr>
            </w:pPr>
            <w:r w:rsidRPr="0032117C">
              <w:rPr>
                <w:sz w:val="16"/>
                <w:szCs w:val="16"/>
              </w:rPr>
              <w:t>177.4</w:t>
            </w:r>
          </w:p>
        </w:tc>
        <w:tc>
          <w:tcPr>
            <w:tcW w:w="234" w:type="dxa"/>
            <w:vAlign w:val="bottom"/>
          </w:tcPr>
          <w:p w14:paraId="0E1606A1" w14:textId="77777777" w:rsidR="006B57D8" w:rsidRPr="0032117C" w:rsidRDefault="006B57D8" w:rsidP="00922116">
            <w:pPr>
              <w:pStyle w:val="CellRowSpacer"/>
              <w:rPr>
                <w:sz w:val="16"/>
                <w:szCs w:val="16"/>
              </w:rPr>
            </w:pPr>
          </w:p>
        </w:tc>
      </w:tr>
      <w:tr w:rsidR="006B57D8" w:rsidRPr="0032117C" w14:paraId="627E81A7" w14:textId="77777777" w:rsidTr="00922116">
        <w:tc>
          <w:tcPr>
            <w:tcW w:w="1674" w:type="dxa"/>
            <w:vAlign w:val="bottom"/>
          </w:tcPr>
          <w:p w14:paraId="3C7A5CEF" w14:textId="77777777" w:rsidR="006B57D8" w:rsidRPr="0032117C" w:rsidRDefault="006B57D8" w:rsidP="00922116">
            <w:pPr>
              <w:pStyle w:val="VSmCellBody"/>
              <w:tabs>
                <w:tab w:val="right" w:leader="dot" w:pos="1689"/>
              </w:tabs>
              <w:rPr>
                <w:sz w:val="16"/>
                <w:szCs w:val="16"/>
              </w:rPr>
            </w:pPr>
            <w:r w:rsidRPr="0032117C">
              <w:rPr>
                <w:sz w:val="16"/>
                <w:szCs w:val="16"/>
              </w:rPr>
              <w:t>7.6-12 k TEU</w:t>
            </w:r>
            <w:r w:rsidRPr="0032117C">
              <w:rPr>
                <w:sz w:val="16"/>
                <w:szCs w:val="16"/>
              </w:rPr>
              <w:tab/>
            </w:r>
          </w:p>
        </w:tc>
        <w:tc>
          <w:tcPr>
            <w:tcW w:w="234" w:type="dxa"/>
            <w:vAlign w:val="bottom"/>
          </w:tcPr>
          <w:p w14:paraId="3D4C1CA8" w14:textId="77777777" w:rsidR="006B57D8" w:rsidRPr="0032117C" w:rsidRDefault="006B57D8" w:rsidP="00922116">
            <w:pPr>
              <w:pStyle w:val="CellRowSpacer"/>
              <w:rPr>
                <w:sz w:val="16"/>
                <w:szCs w:val="16"/>
              </w:rPr>
            </w:pPr>
          </w:p>
        </w:tc>
        <w:tc>
          <w:tcPr>
            <w:tcW w:w="786" w:type="dxa"/>
            <w:vAlign w:val="bottom"/>
          </w:tcPr>
          <w:p w14:paraId="2BF43F16" w14:textId="77777777" w:rsidR="006B57D8" w:rsidRPr="0032117C" w:rsidRDefault="006B57D8" w:rsidP="00922116">
            <w:pPr>
              <w:pStyle w:val="VSmCellBody"/>
              <w:jc w:val="right"/>
              <w:rPr>
                <w:sz w:val="16"/>
                <w:szCs w:val="16"/>
              </w:rPr>
            </w:pPr>
            <w:r w:rsidRPr="0032117C">
              <w:rPr>
                <w:sz w:val="16"/>
                <w:szCs w:val="16"/>
              </w:rPr>
              <w:t>688.8</w:t>
            </w:r>
          </w:p>
        </w:tc>
        <w:tc>
          <w:tcPr>
            <w:tcW w:w="234" w:type="dxa"/>
            <w:vAlign w:val="bottom"/>
          </w:tcPr>
          <w:p w14:paraId="5424F19A" w14:textId="77777777" w:rsidR="006B57D8" w:rsidRPr="0032117C" w:rsidRDefault="006B57D8" w:rsidP="00922116">
            <w:pPr>
              <w:pStyle w:val="CellRowSpacer"/>
              <w:rPr>
                <w:sz w:val="16"/>
                <w:szCs w:val="16"/>
              </w:rPr>
            </w:pPr>
          </w:p>
        </w:tc>
        <w:tc>
          <w:tcPr>
            <w:tcW w:w="786" w:type="dxa"/>
            <w:vAlign w:val="bottom"/>
          </w:tcPr>
          <w:p w14:paraId="28558D25" w14:textId="77777777" w:rsidR="006B57D8" w:rsidRPr="0032117C" w:rsidRDefault="006B57D8" w:rsidP="00922116">
            <w:pPr>
              <w:pStyle w:val="VSmCellBody"/>
              <w:jc w:val="right"/>
              <w:rPr>
                <w:sz w:val="16"/>
                <w:szCs w:val="16"/>
              </w:rPr>
            </w:pPr>
            <w:r w:rsidRPr="0032117C">
              <w:rPr>
                <w:sz w:val="16"/>
                <w:szCs w:val="16"/>
              </w:rPr>
              <w:t>1,503.0</w:t>
            </w:r>
          </w:p>
        </w:tc>
        <w:tc>
          <w:tcPr>
            <w:tcW w:w="234" w:type="dxa"/>
            <w:vAlign w:val="bottom"/>
          </w:tcPr>
          <w:p w14:paraId="75148301" w14:textId="77777777" w:rsidR="006B57D8" w:rsidRPr="0032117C" w:rsidRDefault="006B57D8" w:rsidP="00922116">
            <w:pPr>
              <w:pStyle w:val="CellRowSpacer"/>
              <w:rPr>
                <w:sz w:val="16"/>
                <w:szCs w:val="16"/>
              </w:rPr>
            </w:pPr>
          </w:p>
        </w:tc>
        <w:tc>
          <w:tcPr>
            <w:tcW w:w="786" w:type="dxa"/>
            <w:vAlign w:val="bottom"/>
          </w:tcPr>
          <w:p w14:paraId="2EF2B0E7" w14:textId="77777777" w:rsidR="006B57D8" w:rsidRPr="0032117C" w:rsidRDefault="006B57D8" w:rsidP="00922116">
            <w:pPr>
              <w:pStyle w:val="VSmCellBody"/>
              <w:jc w:val="right"/>
              <w:rPr>
                <w:sz w:val="16"/>
                <w:szCs w:val="16"/>
              </w:rPr>
            </w:pPr>
            <w:r w:rsidRPr="0032117C">
              <w:rPr>
                <w:sz w:val="16"/>
                <w:szCs w:val="16"/>
              </w:rPr>
              <w:t>2,109.7</w:t>
            </w:r>
          </w:p>
        </w:tc>
        <w:tc>
          <w:tcPr>
            <w:tcW w:w="234" w:type="dxa"/>
            <w:vAlign w:val="bottom"/>
          </w:tcPr>
          <w:p w14:paraId="2F796B5B" w14:textId="77777777" w:rsidR="006B57D8" w:rsidRPr="0032117C" w:rsidRDefault="006B57D8" w:rsidP="00922116">
            <w:pPr>
              <w:pStyle w:val="CellRowSpacer"/>
              <w:rPr>
                <w:sz w:val="16"/>
                <w:szCs w:val="16"/>
              </w:rPr>
            </w:pPr>
          </w:p>
        </w:tc>
        <w:tc>
          <w:tcPr>
            <w:tcW w:w="786" w:type="dxa"/>
            <w:vAlign w:val="bottom"/>
          </w:tcPr>
          <w:p w14:paraId="601848F0" w14:textId="77777777" w:rsidR="006B57D8" w:rsidRPr="0032117C" w:rsidRDefault="006B57D8" w:rsidP="00922116">
            <w:pPr>
              <w:pStyle w:val="VSmCellBody"/>
              <w:jc w:val="right"/>
              <w:rPr>
                <w:sz w:val="16"/>
                <w:szCs w:val="16"/>
              </w:rPr>
            </w:pPr>
            <w:r w:rsidRPr="0032117C">
              <w:rPr>
                <w:sz w:val="16"/>
                <w:szCs w:val="16"/>
              </w:rPr>
              <w:t>1,879.5</w:t>
            </w:r>
          </w:p>
        </w:tc>
        <w:tc>
          <w:tcPr>
            <w:tcW w:w="234" w:type="dxa"/>
            <w:vAlign w:val="bottom"/>
          </w:tcPr>
          <w:p w14:paraId="1EB318F3" w14:textId="77777777" w:rsidR="006B57D8" w:rsidRPr="0032117C" w:rsidRDefault="006B57D8" w:rsidP="00922116">
            <w:pPr>
              <w:pStyle w:val="CellRowSpacer"/>
              <w:rPr>
                <w:sz w:val="16"/>
                <w:szCs w:val="16"/>
              </w:rPr>
            </w:pPr>
          </w:p>
        </w:tc>
        <w:tc>
          <w:tcPr>
            <w:tcW w:w="786" w:type="dxa"/>
            <w:vAlign w:val="bottom"/>
          </w:tcPr>
          <w:p w14:paraId="57D0DC1F" w14:textId="77777777" w:rsidR="006B57D8" w:rsidRPr="0032117C" w:rsidRDefault="006B57D8" w:rsidP="00922116">
            <w:pPr>
              <w:pStyle w:val="VSmCellBody"/>
              <w:jc w:val="right"/>
              <w:rPr>
                <w:sz w:val="16"/>
                <w:szCs w:val="16"/>
              </w:rPr>
            </w:pPr>
            <w:r w:rsidRPr="0032117C">
              <w:rPr>
                <w:sz w:val="16"/>
                <w:szCs w:val="16"/>
              </w:rPr>
              <w:t>299.6</w:t>
            </w:r>
          </w:p>
        </w:tc>
        <w:tc>
          <w:tcPr>
            <w:tcW w:w="234" w:type="dxa"/>
            <w:vAlign w:val="bottom"/>
          </w:tcPr>
          <w:p w14:paraId="029973CC" w14:textId="77777777" w:rsidR="006B57D8" w:rsidRPr="0032117C" w:rsidRDefault="006B57D8" w:rsidP="00922116">
            <w:pPr>
              <w:pStyle w:val="CellRowSpacer"/>
              <w:rPr>
                <w:sz w:val="16"/>
                <w:szCs w:val="16"/>
              </w:rPr>
            </w:pPr>
          </w:p>
        </w:tc>
        <w:tc>
          <w:tcPr>
            <w:tcW w:w="786" w:type="dxa"/>
            <w:vAlign w:val="bottom"/>
          </w:tcPr>
          <w:p w14:paraId="53FC071D" w14:textId="77777777" w:rsidR="006B57D8" w:rsidRPr="0032117C" w:rsidRDefault="006B57D8" w:rsidP="00922116">
            <w:pPr>
              <w:pStyle w:val="VSmCellBody"/>
              <w:jc w:val="right"/>
              <w:rPr>
                <w:sz w:val="16"/>
                <w:szCs w:val="16"/>
              </w:rPr>
            </w:pPr>
            <w:r w:rsidRPr="0032117C">
              <w:rPr>
                <w:sz w:val="16"/>
                <w:szCs w:val="16"/>
              </w:rPr>
              <w:t>110.6</w:t>
            </w:r>
          </w:p>
        </w:tc>
        <w:tc>
          <w:tcPr>
            <w:tcW w:w="234" w:type="dxa"/>
            <w:vAlign w:val="bottom"/>
          </w:tcPr>
          <w:p w14:paraId="06A9D19C" w14:textId="77777777" w:rsidR="006B57D8" w:rsidRPr="0032117C" w:rsidRDefault="006B57D8" w:rsidP="00922116">
            <w:pPr>
              <w:pStyle w:val="CellRowSpacer"/>
              <w:rPr>
                <w:sz w:val="16"/>
                <w:szCs w:val="16"/>
              </w:rPr>
            </w:pPr>
          </w:p>
        </w:tc>
        <w:tc>
          <w:tcPr>
            <w:tcW w:w="786" w:type="dxa"/>
            <w:vAlign w:val="bottom"/>
          </w:tcPr>
          <w:p w14:paraId="3BDB11A2" w14:textId="77777777" w:rsidR="006B57D8" w:rsidRPr="0032117C" w:rsidRDefault="006B57D8" w:rsidP="00922116">
            <w:pPr>
              <w:pStyle w:val="VSmCellBody"/>
              <w:jc w:val="right"/>
              <w:rPr>
                <w:sz w:val="16"/>
                <w:szCs w:val="16"/>
              </w:rPr>
            </w:pPr>
            <w:r w:rsidRPr="0032117C">
              <w:rPr>
                <w:sz w:val="16"/>
                <w:szCs w:val="16"/>
              </w:rPr>
              <w:t>1,815.4</w:t>
            </w:r>
          </w:p>
        </w:tc>
        <w:tc>
          <w:tcPr>
            <w:tcW w:w="234" w:type="dxa"/>
            <w:vAlign w:val="bottom"/>
          </w:tcPr>
          <w:p w14:paraId="5E404406" w14:textId="77777777" w:rsidR="006B57D8" w:rsidRPr="0032117C" w:rsidRDefault="006B57D8" w:rsidP="00922116">
            <w:pPr>
              <w:pStyle w:val="CellRowSpacer"/>
              <w:rPr>
                <w:sz w:val="16"/>
                <w:szCs w:val="16"/>
              </w:rPr>
            </w:pPr>
          </w:p>
        </w:tc>
      </w:tr>
      <w:tr w:rsidR="006B57D8" w:rsidRPr="0032117C" w14:paraId="45609EBA" w14:textId="77777777" w:rsidTr="00922116">
        <w:tc>
          <w:tcPr>
            <w:tcW w:w="1674" w:type="dxa"/>
            <w:vAlign w:val="bottom"/>
          </w:tcPr>
          <w:p w14:paraId="2A40DDF4" w14:textId="77777777" w:rsidR="006B57D8" w:rsidRPr="0032117C" w:rsidRDefault="006B57D8" w:rsidP="00922116">
            <w:pPr>
              <w:pStyle w:val="VSmCellBody"/>
              <w:tabs>
                <w:tab w:val="right" w:leader="dot" w:pos="1689"/>
              </w:tabs>
              <w:rPr>
                <w:sz w:val="16"/>
                <w:szCs w:val="16"/>
              </w:rPr>
            </w:pPr>
            <w:r w:rsidRPr="0032117C">
              <w:rPr>
                <w:sz w:val="16"/>
                <w:szCs w:val="16"/>
              </w:rPr>
              <w:t>+12 k TEU</w:t>
            </w:r>
            <w:r w:rsidRPr="0032117C">
              <w:rPr>
                <w:sz w:val="16"/>
                <w:szCs w:val="16"/>
              </w:rPr>
              <w:tab/>
            </w:r>
          </w:p>
        </w:tc>
        <w:tc>
          <w:tcPr>
            <w:tcW w:w="234" w:type="dxa"/>
            <w:vAlign w:val="bottom"/>
          </w:tcPr>
          <w:p w14:paraId="158F9DE7" w14:textId="77777777" w:rsidR="006B57D8" w:rsidRPr="0032117C" w:rsidRDefault="006B57D8" w:rsidP="00922116">
            <w:pPr>
              <w:pStyle w:val="CellRowSpacer"/>
              <w:rPr>
                <w:sz w:val="16"/>
                <w:szCs w:val="16"/>
              </w:rPr>
            </w:pPr>
          </w:p>
        </w:tc>
        <w:tc>
          <w:tcPr>
            <w:tcW w:w="786" w:type="dxa"/>
            <w:vAlign w:val="bottom"/>
          </w:tcPr>
          <w:p w14:paraId="41A96C9A" w14:textId="77777777" w:rsidR="006B57D8" w:rsidRPr="0032117C" w:rsidRDefault="006B57D8" w:rsidP="00922116">
            <w:pPr>
              <w:pStyle w:val="VSmCellBody"/>
              <w:jc w:val="right"/>
              <w:rPr>
                <w:sz w:val="16"/>
                <w:szCs w:val="16"/>
              </w:rPr>
            </w:pPr>
            <w:r w:rsidRPr="0032117C">
              <w:rPr>
                <w:sz w:val="16"/>
                <w:szCs w:val="16"/>
              </w:rPr>
              <w:t>4,975.8</w:t>
            </w:r>
          </w:p>
        </w:tc>
        <w:tc>
          <w:tcPr>
            <w:tcW w:w="234" w:type="dxa"/>
            <w:vAlign w:val="bottom"/>
          </w:tcPr>
          <w:p w14:paraId="1BB826F1" w14:textId="77777777" w:rsidR="006B57D8" w:rsidRPr="0032117C" w:rsidRDefault="006B57D8" w:rsidP="00922116">
            <w:pPr>
              <w:pStyle w:val="CellRowSpacer"/>
              <w:rPr>
                <w:sz w:val="16"/>
                <w:szCs w:val="16"/>
              </w:rPr>
            </w:pPr>
          </w:p>
        </w:tc>
        <w:tc>
          <w:tcPr>
            <w:tcW w:w="786" w:type="dxa"/>
            <w:vAlign w:val="bottom"/>
          </w:tcPr>
          <w:p w14:paraId="02BA9A9C" w14:textId="77777777" w:rsidR="006B57D8" w:rsidRPr="0032117C" w:rsidRDefault="006B57D8" w:rsidP="00922116">
            <w:pPr>
              <w:pStyle w:val="VSmCellBody"/>
              <w:jc w:val="right"/>
              <w:rPr>
                <w:sz w:val="16"/>
                <w:szCs w:val="16"/>
              </w:rPr>
            </w:pPr>
            <w:r w:rsidRPr="0032117C">
              <w:rPr>
                <w:sz w:val="16"/>
                <w:szCs w:val="16"/>
              </w:rPr>
              <w:t>3,786.6</w:t>
            </w:r>
          </w:p>
        </w:tc>
        <w:tc>
          <w:tcPr>
            <w:tcW w:w="234" w:type="dxa"/>
            <w:vAlign w:val="bottom"/>
          </w:tcPr>
          <w:p w14:paraId="4BCA08D8" w14:textId="77777777" w:rsidR="006B57D8" w:rsidRPr="0032117C" w:rsidRDefault="006B57D8" w:rsidP="00922116">
            <w:pPr>
              <w:pStyle w:val="CellRowSpacer"/>
              <w:rPr>
                <w:sz w:val="16"/>
                <w:szCs w:val="16"/>
              </w:rPr>
            </w:pPr>
          </w:p>
        </w:tc>
        <w:tc>
          <w:tcPr>
            <w:tcW w:w="786" w:type="dxa"/>
            <w:vAlign w:val="bottom"/>
          </w:tcPr>
          <w:p w14:paraId="20C22CD3" w14:textId="77777777" w:rsidR="006B57D8" w:rsidRPr="0032117C" w:rsidRDefault="006B57D8" w:rsidP="00922116">
            <w:pPr>
              <w:pStyle w:val="VSmCellBody"/>
              <w:jc w:val="right"/>
              <w:rPr>
                <w:sz w:val="16"/>
                <w:szCs w:val="16"/>
              </w:rPr>
            </w:pPr>
            <w:r w:rsidRPr="0032117C">
              <w:rPr>
                <w:sz w:val="16"/>
                <w:szCs w:val="16"/>
              </w:rPr>
              <w:t>2,561.4</w:t>
            </w:r>
          </w:p>
        </w:tc>
        <w:tc>
          <w:tcPr>
            <w:tcW w:w="234" w:type="dxa"/>
            <w:vAlign w:val="bottom"/>
          </w:tcPr>
          <w:p w14:paraId="543E69C7" w14:textId="77777777" w:rsidR="006B57D8" w:rsidRPr="0032117C" w:rsidRDefault="006B57D8" w:rsidP="00922116">
            <w:pPr>
              <w:pStyle w:val="CellRowSpacer"/>
              <w:rPr>
                <w:sz w:val="16"/>
                <w:szCs w:val="16"/>
              </w:rPr>
            </w:pPr>
          </w:p>
        </w:tc>
        <w:tc>
          <w:tcPr>
            <w:tcW w:w="786" w:type="dxa"/>
            <w:vAlign w:val="bottom"/>
          </w:tcPr>
          <w:p w14:paraId="796CC9F0" w14:textId="77777777" w:rsidR="006B57D8" w:rsidRPr="0032117C" w:rsidRDefault="006B57D8" w:rsidP="00922116">
            <w:pPr>
              <w:pStyle w:val="VSmCellBody"/>
              <w:jc w:val="right"/>
              <w:rPr>
                <w:sz w:val="16"/>
                <w:szCs w:val="16"/>
              </w:rPr>
            </w:pPr>
            <w:r w:rsidRPr="0032117C">
              <w:rPr>
                <w:sz w:val="16"/>
                <w:szCs w:val="16"/>
              </w:rPr>
              <w:t>225.9</w:t>
            </w:r>
          </w:p>
        </w:tc>
        <w:tc>
          <w:tcPr>
            <w:tcW w:w="234" w:type="dxa"/>
            <w:vAlign w:val="bottom"/>
          </w:tcPr>
          <w:p w14:paraId="5D8BE370" w14:textId="77777777" w:rsidR="006B57D8" w:rsidRPr="0032117C" w:rsidRDefault="006B57D8" w:rsidP="00922116">
            <w:pPr>
              <w:pStyle w:val="CellRowSpacer"/>
              <w:rPr>
                <w:sz w:val="16"/>
                <w:szCs w:val="16"/>
              </w:rPr>
            </w:pPr>
          </w:p>
        </w:tc>
        <w:tc>
          <w:tcPr>
            <w:tcW w:w="786" w:type="dxa"/>
            <w:vAlign w:val="bottom"/>
          </w:tcPr>
          <w:p w14:paraId="5AA12537" w14:textId="77777777" w:rsidR="006B57D8" w:rsidRPr="0032117C" w:rsidRDefault="006B57D8" w:rsidP="00922116">
            <w:pPr>
              <w:pStyle w:val="VSmCellBody"/>
              <w:jc w:val="right"/>
              <w:rPr>
                <w:sz w:val="16"/>
                <w:szCs w:val="16"/>
              </w:rPr>
            </w:pPr>
            <w:r w:rsidRPr="0032117C">
              <w:rPr>
                <w:sz w:val="16"/>
                <w:szCs w:val="16"/>
              </w:rPr>
              <w:t>—</w:t>
            </w:r>
          </w:p>
        </w:tc>
        <w:tc>
          <w:tcPr>
            <w:tcW w:w="234" w:type="dxa"/>
            <w:vAlign w:val="bottom"/>
          </w:tcPr>
          <w:p w14:paraId="731D8D8A" w14:textId="77777777" w:rsidR="006B57D8" w:rsidRPr="0032117C" w:rsidRDefault="006B57D8" w:rsidP="00922116">
            <w:pPr>
              <w:pStyle w:val="CellRowSpacer"/>
              <w:rPr>
                <w:sz w:val="16"/>
                <w:szCs w:val="16"/>
              </w:rPr>
            </w:pPr>
          </w:p>
        </w:tc>
        <w:tc>
          <w:tcPr>
            <w:tcW w:w="786" w:type="dxa"/>
            <w:vAlign w:val="bottom"/>
          </w:tcPr>
          <w:p w14:paraId="4FCBC9D0" w14:textId="77777777" w:rsidR="006B57D8" w:rsidRPr="0032117C" w:rsidRDefault="006B57D8" w:rsidP="00922116">
            <w:pPr>
              <w:pStyle w:val="VSmCellBody"/>
              <w:jc w:val="right"/>
              <w:rPr>
                <w:sz w:val="16"/>
                <w:szCs w:val="16"/>
              </w:rPr>
            </w:pPr>
            <w:r w:rsidRPr="0032117C">
              <w:rPr>
                <w:sz w:val="16"/>
                <w:szCs w:val="16"/>
              </w:rPr>
              <w:t>—</w:t>
            </w:r>
          </w:p>
        </w:tc>
        <w:tc>
          <w:tcPr>
            <w:tcW w:w="234" w:type="dxa"/>
            <w:vAlign w:val="bottom"/>
          </w:tcPr>
          <w:p w14:paraId="580A12F1" w14:textId="77777777" w:rsidR="006B57D8" w:rsidRPr="0032117C" w:rsidRDefault="006B57D8" w:rsidP="00922116">
            <w:pPr>
              <w:pStyle w:val="CellRowSpacer"/>
              <w:rPr>
                <w:sz w:val="16"/>
                <w:szCs w:val="16"/>
              </w:rPr>
            </w:pPr>
          </w:p>
        </w:tc>
        <w:tc>
          <w:tcPr>
            <w:tcW w:w="786" w:type="dxa"/>
            <w:vAlign w:val="bottom"/>
          </w:tcPr>
          <w:p w14:paraId="15859459" w14:textId="77777777" w:rsidR="006B57D8" w:rsidRPr="0032117C" w:rsidRDefault="006B57D8" w:rsidP="00922116">
            <w:pPr>
              <w:pStyle w:val="VSmCellBody"/>
              <w:jc w:val="right"/>
              <w:rPr>
                <w:sz w:val="16"/>
                <w:szCs w:val="16"/>
              </w:rPr>
            </w:pPr>
            <w:r w:rsidRPr="0032117C">
              <w:rPr>
                <w:sz w:val="16"/>
                <w:szCs w:val="16"/>
              </w:rPr>
              <w:t>6,028.0</w:t>
            </w:r>
          </w:p>
        </w:tc>
        <w:tc>
          <w:tcPr>
            <w:tcW w:w="234" w:type="dxa"/>
            <w:vAlign w:val="bottom"/>
          </w:tcPr>
          <w:p w14:paraId="4098EA48" w14:textId="77777777" w:rsidR="006B57D8" w:rsidRPr="0032117C" w:rsidRDefault="006B57D8" w:rsidP="00922116">
            <w:pPr>
              <w:pStyle w:val="CellRowSpacer"/>
              <w:rPr>
                <w:sz w:val="16"/>
                <w:szCs w:val="16"/>
              </w:rPr>
            </w:pPr>
          </w:p>
        </w:tc>
      </w:tr>
    </w:tbl>
    <w:p w14:paraId="26B625DB" w14:textId="77777777" w:rsidR="006B57D8" w:rsidRDefault="006B57D8" w:rsidP="00F87C1B">
      <w:pPr>
        <w:pStyle w:val="P68B1DB1-KeyMessage1"/>
        <w:spacing w:beforeLines="40" w:before="96" w:afterLines="40" w:after="96"/>
        <w:rPr>
          <w:rFonts w:ascii="Traditional Arabic" w:hAnsi="Traditional Arabic" w:cs="Traditional Arabic"/>
          <w:i/>
          <w:sz w:val="30"/>
          <w:szCs w:val="30"/>
        </w:rPr>
      </w:pPr>
    </w:p>
    <w:p w14:paraId="34D705B2" w14:textId="77777777" w:rsidR="00F87C1B" w:rsidRPr="00F87C1B" w:rsidRDefault="00F87C1B" w:rsidP="006B57D8">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 (البيانات حتى 30 نوفمبر 2024)</w:t>
      </w:r>
    </w:p>
    <w:p w14:paraId="38024DE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شهدت ملكية وتشغيل سفن الحاويات تغييرات كبيرة في العقود الأخيرة. فعلى المستوى العالمي، زاد أكبر عشرة مشغلين للخطوط الملاحية المنتظمة من حصتهم في الأسطول العالمي من 66 في المائة في عام 2014 إلى 86 في المائة حتى 30 نوفمبر 2024. وتتركز ملكية سفن الحاويات بشكل كبير، مقارنة بقطاعات الشحن الرئيسية الأخرى. حيث يوجد ثلاثة مالكين مقيمين في دول مجلس التعاون الخليجي في قائمة أفضل 100 مالك لسفن الحاويات. وبالنسبة لمشغلي الخطوط الملاحية المنتظمة الإقليميين، لا يزال أكبر مشغلي الخطوط الملاحية المنتظمة في دول مجلس التعاون الخليجي ومنطقة الشرق الأوسط/وشبه القارة الهندية على </w:t>
      </w:r>
      <w:r w:rsidRPr="00F87C1B">
        <w:rPr>
          <w:rFonts w:ascii="Traditional Arabic" w:hAnsi="Traditional Arabic" w:cs="Traditional Arabic"/>
          <w:sz w:val="30"/>
          <w:szCs w:val="30"/>
        </w:rPr>
        <w:lastRenderedPageBreak/>
        <w:t>نطاق أوسع هم شركات الخطوط الملاحية المنتظمة العالمية، ولا سيما شركة البحر المتوسط للشحن وشركة ميرسيك. ومن بين المشغلين الإقليميين والأكثر تخصصًا، هناك الجهات الفاعلة الرئيسية: شركة خط أسياد، وشركة جلوبال فيدر شيبينغ، وشركة يوني فيدر، وشركة اكسبرس فيدر، وشركة خط شحن الإمارات وشركة سفين فيدر، وشركة الملاحة القطرية (ملاحة).</w:t>
      </w:r>
    </w:p>
    <w:p w14:paraId="4B73D217"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أساسيات السوق والأرباح</w:t>
      </w:r>
    </w:p>
    <w:p w14:paraId="354F8C2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شهدت السنوات الأخيرة تقلبات كبيرة في كل من مستوى توازن العرض والطلب في الصناعة، بالإضافة إلى كل من الشحن ومستويات أسعار الإيجار بالمدة. في حين تضررت صناعة شحن الحاويات بشدة من الآثار الجانبية الأولية لجائحة كوفيد-19 في النصف الأول من عام 2020، بعد ضعف الأسواق بشكل عام في العقد 2010-19، أعقب ذلك انتعاش قوي في تجارة الحاويات مع تغير أنماط الإنفاق الاستهلاكي وصرف الحكومات للحوافز. وبالتزامن مع فقدان القدرة الفعالة على الإبحار بالسفن بسبب الازدحام داخل الموانئ، أدى هذا الانتعاش في التجارة إلى تشديد كبير في موازين سوق العرض والطلب في الصناعة، مما أدى بدوره إلى زيادة كبيرة في أسعار الشحن العالمية وأسعار الإيجار بالمدة.</w:t>
      </w:r>
    </w:p>
    <w:p w14:paraId="47C09F2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وبعد أن وصلت إلى أعلى مستوياتها على الإطلاق في النصف الأول من عام 2022، ضعفت أسواق الحاويات على مدار النصف الثاني من عام 2022 و 2023، حيث أدى انخفاض ازدحام الموانئ إلى إطلاق إمدادات فعالة في السوق، وسجلت تجارة الحاويات العالمية سنوات متتالية من الانكماش، ومع تسارع في نمو الأسطول. وقد أدى مزيج من النمو الصحي لتجارة الحاويات، والاضطرابات، ومسافات الإبحار الأطول الناتجة عن تحويلات قناة السويس، إلى زيادة أسعار </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الحاويات وتأجيرها بالمدة على مدار النصف الأول من عام 2024. تعززت الأسواق في النصف الأول من عام 2024 على الرغم من أن أسطول الحاويات الإجمالي بلغ متوسط نموه 10.1 في المائة على أساس سنوي على مدى الأحد عشر شهرًا الأولى من عام 2024. ضعفت أسواق </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الحاويات خلال الربع الثالث من عام 2024 وبداية الربع الرابع من عام 2024، ولكن حتى 30 نوفمبر 2024 كانت أعلى بكثير من المتوسطات على المدى الطويل. وفي المقابل، لم تضعف أسعار التأجير بالمدة خلال هذا الإطار الزمني. </w:t>
      </w:r>
    </w:p>
    <w:p w14:paraId="43A6F6C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وفي الفترة حتى عام 2030، سيتم تحديد توقعات موازين سوق سفن الحاويات من خلال التأثير المتبادل بين النمو في أحجام تجارة الحاويات، والنمو في حجم الأسطول، والتغيرات في "كفاءات" الأسطول. ومن المتوقع - على المدى القريب - أن يكون النمو التجاري المعتدل و "عدم الكفاءة التشغيلية" المستمرة في الأسطول بسبب تحويلات البحر الأحمر داعمة لتوازن العرض والطلب. ومع ذلك، من المتوقع أن تؤدي الوتيرة المرتفعة لنمو الأسطول إلى زيادة الضغط على موازين السوق. ومن المتوقع أن </w:t>
      </w:r>
      <w:r w:rsidRPr="00F87C1B">
        <w:rPr>
          <w:rFonts w:ascii="Traditional Arabic" w:hAnsi="Traditional Arabic" w:cs="Traditional Arabic"/>
          <w:sz w:val="30"/>
          <w:szCs w:val="30"/>
        </w:rPr>
        <w:lastRenderedPageBreak/>
        <w:t>تنخفض موازين سوق الحاويات في عام 2028، مع تحسن بعد ذلك مدفوعا بوتيرة أبطأ في نمو الأسطول. وتراجعت أرصدة السوق مرة أخرى في الفترة 2028-2029 بسبب الزيادة المتجددة في عمليات تسليم السفن الجديدة.</w:t>
      </w:r>
    </w:p>
    <w:p w14:paraId="77563F6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بالنسبة لمشغلي الخطوط الملاحية المنتظمة في دول مجلس التعاون الخليجي، تنبع مخاطر السوق من الصراع الجيوسياسي الإقليمي، وإضافات السعة على المسارات التجارية الإقليمية، واستراتيجيات الحصة السوقية لمشغلي الخطوط الملاحية المنتظمة العالميين في الأسواق المحلية، وأنماط زيارات الموانئ والشحن العابر. يمكن أن تشكل زيادة نقل عمليات التصنيع بعيدًا عن الصين مصدرًا صعوديًا للمخاطر. بالنسبة لسلطنة عمان، فإن تطوير الروابط اللوجستية البرية إلى دول مجلس التعاون الخليجي على نطاق أوسع يمكن أن يعزز مناولة موانئ الحاويات في الموانئ العمانية، في حين أن أي تعطيل للحركة البحرية على الرغم من مضيق هرمز يمكن أن يؤدي إلى تحويل المسارات إلى الموانئ العمانية.</w:t>
      </w:r>
    </w:p>
    <w:p w14:paraId="42CB5013"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أساسيات سوق سفن الحاويات *</w:t>
      </w:r>
    </w:p>
    <w:p w14:paraId="0CCBB3E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الطلب على السفن كما هو موضح في هذا الرسم البياني هو نتيجة لكل من أحجام تجارة الحاويات الإجمالية، وكذلك خصائص "الكفاءة" لكل تجارة ثنائية (مسافات الإبحار، ومتوسط سرعات الإبحار، والوقت في الميناء).</w:t>
      </w:r>
    </w:p>
    <w:p w14:paraId="7DC19E4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ويعكس الانكماش في الطلب على السفن في عامي 2022 و 2023 مزيجًا من النمو السلبي الطفيف في تجارة الحاويات، وتخفيف ازدحام الموانئ (الذي عزز الطلب على السفن في عام 2021).</w:t>
      </w:r>
    </w:p>
    <w:p w14:paraId="07E2D3B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725183F5" wp14:editId="79823797">
            <wp:extent cx="3366000" cy="2199600"/>
            <wp:effectExtent l="0" t="0" r="6350" b="0"/>
            <wp:docPr id="1644331996" name="Picture 29" descr="A graph with numbers and lin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4331996" name="Picture 29" descr="A graph with numbers and lines  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66000"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63557151" w14:textId="77777777" w:rsidTr="00922116">
        <w:tc>
          <w:tcPr>
            <w:tcW w:w="1440" w:type="dxa"/>
            <w:tcBorders>
              <w:top w:val="single" w:sz="4" w:space="0" w:color="auto"/>
            </w:tcBorders>
            <w:vAlign w:val="bottom"/>
          </w:tcPr>
          <w:p w14:paraId="23E0713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الملاحظات:</w:t>
            </w:r>
          </w:p>
        </w:tc>
        <w:tc>
          <w:tcPr>
            <w:tcW w:w="7599" w:type="dxa"/>
            <w:vAlign w:val="bottom"/>
          </w:tcPr>
          <w:p w14:paraId="74650A9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0D43C176" w14:textId="77777777" w:rsidTr="00922116">
        <w:tc>
          <w:tcPr>
            <w:tcW w:w="9039" w:type="dxa"/>
            <w:gridSpan w:val="2"/>
            <w:vAlign w:val="bottom"/>
          </w:tcPr>
          <w:p w14:paraId="5FE91E7E"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يتم عكس التغييرات في الأسطول لإظهار التأثير على معدل الاستخدام بالنسبة للطلب</w:t>
            </w:r>
          </w:p>
        </w:tc>
      </w:tr>
      <w:tr w:rsidR="00F87C1B" w:rsidRPr="00F87C1B" w14:paraId="664825AC" w14:textId="77777777" w:rsidTr="00922116">
        <w:tc>
          <w:tcPr>
            <w:tcW w:w="9039" w:type="dxa"/>
            <w:gridSpan w:val="2"/>
            <w:vAlign w:val="bottom"/>
          </w:tcPr>
          <w:p w14:paraId="7B617EBD"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78DA31FD"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lastRenderedPageBreak/>
        <w:t>المصدر: مستشار السوق للربع الرابع لعام 2024 الحالة الأساسية</w:t>
      </w:r>
    </w:p>
    <w:p w14:paraId="65BCB670"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سفن الحاويات الأكثر كفاءة - أسعار تأجير سفينة الحاويات بالمدة لمدة عام واحد</w:t>
      </w:r>
    </w:p>
    <w:p w14:paraId="13AFC68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0A94D28A" wp14:editId="0A5DA3E5">
            <wp:extent cx="3366000" cy="2199600"/>
            <wp:effectExtent l="0" t="0" r="6350" b="0"/>
            <wp:docPr id="290502596" name="Picture 30" descr="A graph of different colored lin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502596" name="Picture 30" descr="A graph of different colored lines  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66000" cy="2199600"/>
                    </a:xfrm>
                    <a:prstGeom prst="rect">
                      <a:avLst/>
                    </a:prstGeom>
                    <a:noFill/>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12238676" w14:textId="77777777" w:rsidTr="00922116">
        <w:tc>
          <w:tcPr>
            <w:tcW w:w="1440" w:type="dxa"/>
            <w:tcBorders>
              <w:top w:val="single" w:sz="4" w:space="0" w:color="auto"/>
            </w:tcBorders>
            <w:vAlign w:val="bottom"/>
          </w:tcPr>
          <w:p w14:paraId="595FC25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49B0791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6B2B3E80" w14:textId="77777777" w:rsidTr="00922116">
        <w:tc>
          <w:tcPr>
            <w:tcW w:w="9039" w:type="dxa"/>
            <w:gridSpan w:val="2"/>
            <w:vAlign w:val="bottom"/>
          </w:tcPr>
          <w:p w14:paraId="77EA1B6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750991EF"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 عدد من الوسطاء</w:t>
      </w:r>
    </w:p>
    <w:p w14:paraId="0B306B26"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بناء السفن</w:t>
      </w:r>
    </w:p>
    <w:p w14:paraId="5B8B44E1"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نظرة عامة على السوق</w:t>
      </w:r>
    </w:p>
    <w:p w14:paraId="08DE4EC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بناء السفن هو صناعة المنبع التي تزود السفن الجديدة إلى النظام البحري. إنها عملية معقدة تتطلب نفقات رأسمالية ضخمة وخبرة فنية عالية. وتتكون من مجموعة كبيرة ومتنوعة من أحواض بناء السفن. في بداية أغسطس 2024، كان أكثر من 250 حوض بناء سفن في أكثر من 30 دولة يقوم بنشاط ببناء سفن تجارية جديدة عابرة للمحيطات يزيد حجمها عن 5 آلاف طن متري. وبعض أحواض بناء السفن هي شركات فردية مملوكة للقطاع الخاص، في حين أن البعض الآخر يشكل جزءًا من شركات أكبر خاصة أو مدرجة في البورصة تدير أحواض بناء سفن متعددة.</w:t>
      </w:r>
    </w:p>
    <w:p w14:paraId="5381A08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ويستطيع كل حوض بناء سفن بناء أنواع متعددة من السفن. في الواقع، تتخصص معظم أحواض بناء السفن في عدد قليل من أنواع السفن المحددة لتوحيد وتحسين عملية البناء والخبرة الفنية.</w:t>
      </w:r>
    </w:p>
    <w:p w14:paraId="2EF852A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وبناء على نوع السفينة وحجمها، وحجم/طول السفن المطلوبة في دفتر الطلبات الذي تحتفظ به شركة بناء السفن، يستغرق الأمر عادةً من 6 إلى 36 شهرًا من الوقت المنقضي من توقيع عقد بناء جديد حتى يتم تسليم السفينة. ففي المتوسط، يستغرق الأمر 9-18 شهرًا لبناء سفينة تقليدية، مثل ناقلة أو سفينة حاويات، و 18-36 شهرًا لبناء سفن أكثر تخصصًا، مثل ناقلات الغاز الطبيعي المسال والوحدات البحرية.</w:t>
      </w:r>
    </w:p>
    <w:p w14:paraId="0786C06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وفي صناعة بناء السفن، يتم قياس العرض والطلب على السفن الجديدة بشكل عام من خلال ثلاثة مقاييس أساسية:</w:t>
      </w:r>
    </w:p>
    <w:p w14:paraId="579122E9" w14:textId="77777777" w:rsidR="00F87C1B" w:rsidRPr="00F87C1B" w:rsidRDefault="00F87C1B" w:rsidP="00D925C8">
      <w:pPr>
        <w:pStyle w:val="P68B1DB1-KeyMessage1"/>
        <w:numPr>
          <w:ilvl w:val="0"/>
          <w:numId w:val="62"/>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التعاقد: حجم الطلبات المقدمة لبناء وتسليم سفن بناء جديدة.</w:t>
      </w:r>
    </w:p>
    <w:p w14:paraId="75F53482" w14:textId="77777777" w:rsidR="00F87C1B" w:rsidRPr="00F87C1B" w:rsidRDefault="00F87C1B" w:rsidP="00D925C8">
      <w:pPr>
        <w:pStyle w:val="P68B1DB1-KeyMessage1"/>
        <w:numPr>
          <w:ilvl w:val="0"/>
          <w:numId w:val="62"/>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مخرجات بناء السفن: حجم السفن الجديدة التي يتم تسليمها إلى الأسطول.</w:t>
      </w:r>
    </w:p>
    <w:p w14:paraId="5AEC66B2" w14:textId="77777777" w:rsidR="00F87C1B" w:rsidRPr="00F87C1B" w:rsidRDefault="00F87C1B" w:rsidP="00D925C8">
      <w:pPr>
        <w:pStyle w:val="P68B1DB1-KeyMessage1"/>
        <w:numPr>
          <w:ilvl w:val="0"/>
          <w:numId w:val="62"/>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دفتر الطلبات: إجمالي عدد أو حجم السفن قيد الإنشاء حاليًا والتي لم يتم تسليمها بعد من قبل حوض بناء السفن إلى الأسطول.</w:t>
      </w:r>
    </w:p>
    <w:p w14:paraId="3A2CA41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يقيس هذا </w:t>
      </w:r>
      <w:r w:rsidR="008F295D">
        <w:rPr>
          <w:rFonts w:ascii="Traditional Arabic" w:hAnsi="Traditional Arabic" w:cs="Traditional Arabic"/>
          <w:sz w:val="30"/>
          <w:szCs w:val="30"/>
        </w:rPr>
        <w:t>الفصل</w:t>
      </w:r>
      <w:r w:rsidRPr="00F87C1B">
        <w:rPr>
          <w:rFonts w:ascii="Traditional Arabic" w:hAnsi="Traditional Arabic" w:cs="Traditional Arabic"/>
          <w:sz w:val="30"/>
          <w:szCs w:val="30"/>
        </w:rPr>
        <w:t xml:space="preserve"> جميع هذه المقاييس الثلاثة من حيث إجمالي الحمولة المعوضة. ويوفر هذا المقياس مقياسًا أكثر دقة لتقييم الجهد المطلوب لبناء السفن على مستوى الاقتصاد الكلي مما يمكن تحقيقه من خلال قياس الحمولة الإجمالية أو الوزن الساكن.</w:t>
      </w:r>
    </w:p>
    <w:p w14:paraId="5D9FCFA2"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عقود بناء السفن الجديدة العالمية حسب نوع السفينة</w:t>
      </w:r>
    </w:p>
    <w:p w14:paraId="56ED6C6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drawing>
          <wp:inline distT="0" distB="0" distL="0" distR="0" wp14:anchorId="45653EAA" wp14:editId="5821DB9E">
            <wp:extent cx="3358168" cy="2199600"/>
            <wp:effectExtent l="0" t="0" r="0" b="0"/>
            <wp:docPr id="111980516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58168"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7974890B" w14:textId="77777777" w:rsidTr="00922116">
        <w:tc>
          <w:tcPr>
            <w:tcW w:w="1440" w:type="dxa"/>
            <w:tcBorders>
              <w:top w:val="single" w:sz="4" w:space="0" w:color="auto"/>
            </w:tcBorders>
            <w:vAlign w:val="bottom"/>
          </w:tcPr>
          <w:p w14:paraId="6D65144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59C86FC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35EF1509" w14:textId="77777777" w:rsidTr="00922116">
        <w:tc>
          <w:tcPr>
            <w:tcW w:w="9039" w:type="dxa"/>
            <w:gridSpan w:val="2"/>
            <w:vAlign w:val="bottom"/>
          </w:tcPr>
          <w:p w14:paraId="06BA58D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3006C772"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0F1E3DB4"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lastRenderedPageBreak/>
        <w:t>دورات بناء السفن</w:t>
      </w:r>
    </w:p>
    <w:p w14:paraId="1631DB5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يعد بناء السفن أحد العوامل الرئيسية التي تقود الدورات في أسواق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وعادة ما يكون المحفز الأولي لدورة بناء السفن هو التحسين المستمر في رصيد العرض والطلب في قطاع النقل البحري، مما يزيد من أرباح السفن. وبالتأكيد يوجد ارتباط إيجابي قوي بين التدفقات النقدية التي تولدها السفن في الماء، وميل مالك السفينة إلى طلب سفن جديدة.</w:t>
      </w:r>
    </w:p>
    <w:p w14:paraId="11B84DE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ومع ذلك، فإن التأخير بين طلب سفينة بناء جديدة وتسليمها وعمر الخدمة الطويل لمعظم أنواع السفن يعني أن بيئة الأرباح الحالية تؤثر جزئيًا فقط على مستويات تعاقد بناء السفن الجديدة في أي وقت من الأوقات. وهناك تأثير رئيسي آخر هو السعر السلبي السائد للسفن الموجودة بالفعل في الماء. وخلال فترات الأرباح القوية، يريد مالكو السفن أن يحصلوا على السفن على الفور. لذلك، عندما ترتفع أسعار الشحن في البداية، فإنهم يتحولون إلى السوق المستعملة، والمنافسة على أسعار سوق المستعمل. عندما ترتفع الأسعار المستعملة نحو أو فوق أسعار عقود البناء الجديدة، تصبح سفن البناء الجديدة أكثر جاذبية من الناحية الاقتصادية.</w:t>
      </w:r>
    </w:p>
    <w:p w14:paraId="6690903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وبسبب هذا التأخير بين طلب سفينة جديدة وتسليمها، هناك عامل مهم آخر يؤثر على الطلب على السفن الجديدة وهو توقعات السوق. ومن العوامل المهمة الأخرى الحاجة إلى استبدال سعة الحمولة الحالية. فيمكن لمالكي السفن اختيار استبدال السفن القديمة الحالية عن طريق شراء المزيد من السفن الحديثة في السوق المستعملة أو طلب سعة حمولة بديلة جديدة.</w:t>
      </w:r>
    </w:p>
    <w:p w14:paraId="52F8B7B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وأحد العوامل النهائية التي تؤثر على الطلب على السفن الجديدة هو البيئة المالية. وعلى وجه التحديد، توافر الائتمان. وبسهولة وصول المالكين إلى الائتمان، فيمكنهم الاستفادة من إيراداتهم المتولدة داخليًا، وتوسيع عمل السوق ليشمل العديد من مالكي السفن الذين ليس لديهم احتياطيات رأسمالية كبيرة. ويمكن أن يكون الدعم الحكومي محوريًا أيضًا.</w:t>
      </w:r>
    </w:p>
    <w:p w14:paraId="2AADA4E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وعادة ما تدعم المرحلة الأولية من دورة بناء السفن ارتفاع أسعار عقود بناء السفن الجديدة وزيادة سعة أحواض بناء السفن العالمية الفعالة من خلال توسيع المرافق الحالية أو استقطاب مشاركين جدد في السوق. وبمجرد انتهاء مرحلة الذروة من دورة بناء السفن، يكون انكماش السعة مدفوعًا بتخفيض الطلبيات الجديدة، وعادةً ما يتم تسليم السفن المطلوبة خلال مرحلتي التوسع والذروة من الدورة ودخولها إلى الأسواق و/أو مع دخول متطلبات الطلب في مرحلة دورية جديدة.</w:t>
      </w:r>
    </w:p>
    <w:p w14:paraId="629B0FB2"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تطوير دفتر الطلبات نهاية العام على مستوى العالم حسب نوع/فئة السفينة</w:t>
      </w:r>
    </w:p>
    <w:p w14:paraId="71B6163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25F330C4" wp14:editId="7DA2860C">
            <wp:extent cx="3358168" cy="2199600"/>
            <wp:effectExtent l="0" t="0" r="0" b="0"/>
            <wp:docPr id="12398679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58168"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5A29C0B9" w14:textId="77777777" w:rsidTr="00922116">
        <w:tc>
          <w:tcPr>
            <w:tcW w:w="1440" w:type="dxa"/>
            <w:tcBorders>
              <w:top w:val="single" w:sz="4" w:space="0" w:color="auto"/>
            </w:tcBorders>
            <w:vAlign w:val="bottom"/>
          </w:tcPr>
          <w:p w14:paraId="717E8A0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1E811C5C"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5F4D80B0" w14:textId="77777777" w:rsidTr="00922116">
        <w:tc>
          <w:tcPr>
            <w:tcW w:w="9039" w:type="dxa"/>
            <w:gridSpan w:val="2"/>
            <w:vAlign w:val="bottom"/>
          </w:tcPr>
          <w:p w14:paraId="0ED3681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3B4ED893"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5AD743D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إجمالي التعاقدات على بناء السفن الجديدة في عام 2024 كان جيدا جدا. أدت موجة أخرى من طلبات الحاويات وزيادة نشاط الناقلات إلى قيام مستشار السوق بترقية توقعاتنا لهذا العام إلى 64 مليون من إجمالي الحمولة المعوضة، وهو ثاني أعلى مستوى في التاريخ، ولم يتم تجاوزه إلا في عام 2007 (83 مليون من إجمالي الحمولة المعوضة).</w:t>
      </w:r>
    </w:p>
    <w:p w14:paraId="0F51563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وقد يمهد عدد قليل فقط من القطاعات للانتعاش الدوري الحالي في صناعة بناء السفن - الطريق لدورة صعود مطولة للطلب. وسيكون الدافع لهذه الدورة هو مزيج من احتياجات الاستبدال الطبيعية (صدى الكميات الكبيرة من السفن التي تم بناؤها بين عامي 2007 و 2012) وإدخال المزيد من اللوائح البيئية الجديدة التي تصدر من المنظمة البحرية الدولية، والتي تهدف إلى تقليل مساهمة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في انبعاثات الغازات الدفيئة (الاحتباس الحراري)</w:t>
      </w:r>
    </w:p>
    <w:p w14:paraId="3E6417D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في الوقت نفسه، تتطلع العديد من مصادر رأس المال بشكل متزايد إلى التمويل "الأخضر" الذي يركز على الممارسات البيئية والاجتماعية وحوكمة الشركات، والذي سيتطلب من قطاع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اعتماد حلول جديدة منخفضة الكربون. ويتوقع مستشار السوق أن يؤدي ذلك إلى مزيد من الاستثمار القوي في بناء السفن الجديدة في النصف الثاني من هذا العقد، بعد توقف النشاط على مدى العامين المقبلين.</w:t>
      </w:r>
    </w:p>
    <w:p w14:paraId="20F2CFD2"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القدرة</w:t>
      </w:r>
      <w:r w:rsidR="006B57D8">
        <w:rPr>
          <w:rFonts w:ascii="Traditional Arabic" w:hAnsi="Traditional Arabic" w:cs="Traditional Arabic" w:hint="cs"/>
          <w:b w:val="0"/>
          <w:bCs/>
          <w:sz w:val="30"/>
          <w:szCs w:val="30"/>
        </w:rPr>
        <w:t xml:space="preserve"> الاستيعابية</w:t>
      </w:r>
      <w:r w:rsidRPr="00272B36">
        <w:rPr>
          <w:rFonts w:ascii="Traditional Arabic" w:hAnsi="Traditional Arabic" w:cs="Traditional Arabic"/>
          <w:b w:val="0"/>
          <w:bCs/>
          <w:sz w:val="30"/>
          <w:szCs w:val="30"/>
        </w:rPr>
        <w:t xml:space="preserve"> </w:t>
      </w:r>
      <w:r w:rsidR="006B57D8">
        <w:rPr>
          <w:rFonts w:ascii="Traditional Arabic" w:hAnsi="Traditional Arabic" w:cs="Traditional Arabic" w:hint="cs"/>
          <w:b w:val="0"/>
          <w:bCs/>
          <w:sz w:val="30"/>
          <w:szCs w:val="30"/>
        </w:rPr>
        <w:t>ل</w:t>
      </w:r>
      <w:r w:rsidRPr="00272B36">
        <w:rPr>
          <w:rFonts w:ascii="Traditional Arabic" w:hAnsi="Traditional Arabic" w:cs="Traditional Arabic"/>
          <w:b w:val="0"/>
          <w:bCs/>
          <w:sz w:val="30"/>
          <w:szCs w:val="30"/>
        </w:rPr>
        <w:t>بناء السفن</w:t>
      </w:r>
    </w:p>
    <w:p w14:paraId="1E1B80C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نظرًا للاتجاه الإيجابي في صناعة بناء السفن في السنوات الأخيرة، بما في ذلك العودة إلى الربحية التي طال انتظارها في أحواض البناء الرائدة في كوريا والصين، فكان الاتجاه الناشئ الرئيسي هو إعادة تنشيط أحواض بناء السفن المتعثرة. ووفقًا لمراجعة السوق التي أجراها مستشار السوق، تم إصدار إعلانات تتضمن إعادة تنشيط أو توسيع سبعة عشر حوض بناء سفن في منطقة آسيا والمحيط الهادئ منذ عام 2021. يمكن أن يكون التأثير التراكمي لإدخال هذه السعة الاستيعابية الجديدة في السوق كبيرًا، بسعة كامنة إجمالية تبلغ حوالي 25 في المائة من الإجمالي العالمي بنهاية عام 2023. وتمثل أحواض بناء السفن الصينية معظم التوسع المعلن في السعة.</w:t>
      </w:r>
    </w:p>
    <w:p w14:paraId="20285C2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وعلى الرغم من أن هذه الأرقام الرئيسية قد تثير مخاوف بشأن دورة أخرى من "الازدهار والكساد" في بناء السفن، إلا أن مستشار السوق يعتقد أن النمو الفعلي في سعة أحواض بناء السفن من هذه المرافق سيقل عن نسبة 25 في المائة المعلنة. سيتم استخدام بعض السعة لآلات السفن أو الأنشطة الأخرى، في حين أن إعادة التنشيط الكامل للعناصر أو المكونات الأخرى سيكون مسعى متعدد السنوات يتضمن وقتًا وتكلفة كبيرين لزيادة أحجام الإنتاج. لن يتم تحقيق المخرجات السابقة في معظم الحالات.</w:t>
      </w:r>
    </w:p>
    <w:p w14:paraId="4764732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وفي حين أن إعادة التنشيط والبناء الجديد سيستغرقان بعض الوقت، فربما يكون من الملفت للنظر أكثر كيف زاد الإنتاج من المرافق الحالية في الصين في عام 2024. وقد بلغ متوسط التسليمات الصينية 11.0 مليون من إجمالي الحمولة المعوضة في الأشهر العشرة الأولى من كل عام من 2021 إلى 2023، ولكن تم الإبلاغ عن إجمالي 16.1 مليون من إجمالي الحمولة المعوضة في نفس الفترة من هذا العام، بزيادة قدرها 47 في المائة. وفي المقابل، فإن الإنتاج في اليابان وكوريا مستقر.</w:t>
      </w:r>
    </w:p>
    <w:p w14:paraId="73A1717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ومن المتوقع أن تصل سعة البناء الجديدة إلى ذروتها في عام 2027 بما يزيد قليلاً عن 45 مليون من إجمالي الحمولة المعوضة، ارتفاعًا من أدنى نقطة من 34.2 مليون من إجمالي الحمولة المعوضة في عام 2020.</w:t>
      </w:r>
    </w:p>
    <w:p w14:paraId="138B7A3E"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القدرة العالمية لبناء السفن</w:t>
      </w:r>
    </w:p>
    <w:p w14:paraId="68DD480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5EFD7910" wp14:editId="3D1A3AA5">
            <wp:extent cx="3366735" cy="2199600"/>
            <wp:effectExtent l="0" t="0" r="5715" b="0"/>
            <wp:docPr id="31718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5B66961B" w14:textId="77777777" w:rsidTr="00922116">
        <w:tc>
          <w:tcPr>
            <w:tcW w:w="1440" w:type="dxa"/>
            <w:tcBorders>
              <w:top w:val="single" w:sz="4" w:space="0" w:color="auto"/>
            </w:tcBorders>
            <w:vAlign w:val="bottom"/>
          </w:tcPr>
          <w:p w14:paraId="0C222F6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1680847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5EA750EC" w14:textId="77777777" w:rsidTr="00922116">
        <w:tc>
          <w:tcPr>
            <w:tcW w:w="9039" w:type="dxa"/>
            <w:gridSpan w:val="2"/>
            <w:vAlign w:val="bottom"/>
          </w:tcPr>
          <w:p w14:paraId="0999719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53D847DF"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2B4A238F"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أسعار بناء السفن الجديد</w:t>
      </w:r>
    </w:p>
    <w:p w14:paraId="5642EDD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أسعار بناء السفن الجديد متقلبة. ويرجع ذلك إلى حد كبير إلى الطبيعة غير المرنة لعرض بناء السفن والطلب المتقلب. هناك العديد من الأسباب التي تجعل منحنى عرض بناء السفن غير مرن. تستجيب أحواض بناء السفن للتغيرات في السوق من خلال تعديل السعر بدلاً من الإنتاج.</w:t>
      </w:r>
    </w:p>
    <w:p w14:paraId="60ABBA4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وهناك عاملان رئيسيان يحددان بشكل أساسي أسعار بناء السفن الجديدة. أولاً، تكاليف بناء السفن، التي تحدد الحد الأدنى للسعر الذي يمكن أن يتقاضاه حوض بناء السفن دون تكبد خسارة. وثانيا، التغطية الآجلة، التي تعرف بأنها نسبة دفتر الطلبيات إلى سعة بناء السفن في أي وقت من الأوقات. توجد علاقة إيجابية قوية بين التغطية الآجلة وزيادة السعر على التكلفة. فعندما يتم حجز الأرصفة على المدى القريب بالكامل ويكون دفتر الطلبيات "طويلًا" بالنسبة لسعة حوض بناء السفن، ترتفع التغطية المستقبلية، وتزيد أحواض بناء السفن من الأسعار. وعند اشتمال دفتر الطلبيات على طلبيات "أقل" بالنسبة للسعة، تخفض أحواض بناء السفن عمومًا أسعارها لاستقطاب الطلبيات.</w:t>
      </w:r>
    </w:p>
    <w:p w14:paraId="37164030"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التغطية المستقبلية العالمية وتكاليف بناء السفن وأسعار بناء السفن الجديد</w:t>
      </w:r>
    </w:p>
    <w:p w14:paraId="6BA937B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3248B1FF" wp14:editId="29E14640">
            <wp:extent cx="3375345" cy="2199600"/>
            <wp:effectExtent l="0" t="0" r="0" b="0"/>
            <wp:docPr id="19286848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75345"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360546F0" w14:textId="77777777" w:rsidTr="00922116">
        <w:tc>
          <w:tcPr>
            <w:tcW w:w="1440" w:type="dxa"/>
            <w:tcBorders>
              <w:top w:val="single" w:sz="4" w:space="0" w:color="auto"/>
            </w:tcBorders>
            <w:vAlign w:val="bottom"/>
          </w:tcPr>
          <w:p w14:paraId="55CB763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ملاحظة:</w:t>
            </w:r>
          </w:p>
        </w:tc>
        <w:tc>
          <w:tcPr>
            <w:tcW w:w="7599" w:type="dxa"/>
            <w:vAlign w:val="bottom"/>
          </w:tcPr>
          <w:p w14:paraId="79831D3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40AAE35B" w14:textId="77777777" w:rsidTr="00922116">
        <w:tc>
          <w:tcPr>
            <w:tcW w:w="9039" w:type="dxa"/>
            <w:gridSpan w:val="2"/>
            <w:vAlign w:val="bottom"/>
          </w:tcPr>
          <w:p w14:paraId="037F2B4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2024 إلى 2030 هي توقعات مستقبلية</w:t>
            </w:r>
          </w:p>
        </w:tc>
      </w:tr>
    </w:tbl>
    <w:p w14:paraId="76E1013B"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 الحالة الأساسية</w:t>
      </w:r>
    </w:p>
    <w:p w14:paraId="30F9393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هناك ارتباط بين اتجاهات أسعار أحواض بناء السفن عبر أنواع السفن المختلفة. تتحرك أسعار بناء السفن من مختلف الأحجام والأنواع في قطاعات </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مختلفة تمامًا بطريقة توحي بقوة بهيكل موحد لتسعير السوق. هذه نتيجة مباشرة لمعظم أحواض بناء السفن لبناء ثلاثة أنواع أو أكثر من السفن، مما يؤدي إلى موازنة أسعار قوية بين القطاعات المختلفة.</w:t>
      </w:r>
    </w:p>
    <w:p w14:paraId="64147AF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وبعد الكساد الملحوظ خلال عام 2010، بدأت أسعار البناء الجديد في التعافي من نهاية عام 2020. حيث أدت أسواق الشحن القوية، التي تركز بشكل خاص على قطاعي سفن الحاويات وناقلات السيارات، إلى حجم كبير من التعاقدات خلال الفترة 2021-2023. وفي الوقت نفسه، أدى ارتفاع أسعار الصلب وتضخم الأجور/الأسعار إلى ارتفاع تكاليف البناء.</w:t>
      </w:r>
    </w:p>
    <w:p w14:paraId="00BF733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سيظل التغطية المستقبلية لبناء السفن عند مستويات الذروة خلال عام 2024، نظرًا للطلب المتجدد لسفن الحاويات وناقلات السيارات هذا العام، والزخم المتجدد من ناقلات النفط. بينما نتوقع أن تنخفض أحجام التعاقد الإجمالية إلى أكثر من النصف في عام 2025 مع تراجع دورة التعاقد الحالية، فإننا نتوقع أن يرتفع نشاط التعاقد بشكل ملحوظ مع تكثيف متطلبات الاستبدال التقليدية من خلال تشديد القيود البيئية. نتوقع أن يبلغ متوسط أحجام مقاولات البناء الجديدة السنوية ما يقرب من 32.7 مليون من إجمالي الحمولة المعوضة بين عامي 2027 و 2030، مقارنة بـ 30 مليون من إجمالي الحمولة المعوضة في العقد الأول من القرن الحادي والعشرين.</w:t>
      </w:r>
    </w:p>
    <w:p w14:paraId="4BB2B72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ومع ذلك، فإن هذا لن يمنع انخفاض حجم دفتر الطلبيات العالمي. وقد بلغت أسعار البناء الجديدة المعيارية في منتصف عام 2024 ما نسبته 30-60 في المائة بأعلى مما كان عليه في نهاية عام 2020، وقد أثبتت دورة البناء الجديدة الحالية استمرارها بشكل ملحوظ، ونعتقد أن دورة الأسعار الحالية في ذروتها وستنخفض المستويات على مدى العامين المقبلين. ومع ذلك، فإن تكاليف أحواض بناء السفن ووجود مستوى عالٍ نسبيًا من التغطية المستقبلية سيضع حدًا للانخفاض. ستكون أدنى نقطة متوقعة في أسعار البناء الجديد في منتصف هذا العقد أعلى بكثير من مستويات ما قبل الجائحة وستظل عند 14 في المائة فوق المتوسط على مدى فترة الثلاث سنوات بين عامي 2016 و 2018.</w:t>
      </w:r>
    </w:p>
    <w:p w14:paraId="22292E4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يأتي الجانب السلبي لهذه التوقعات بالكامل تقريبًا من جانب عرض بناء السفن. وإذا ارتفعت أو تسارعت الزيادة في قدرة بناء السفن الموضحة أعلاه، فهناك احتمال واضح لتراجع مبالغ فيه في أسعار البناء الجديد عندما يصل الطلب على السفن الجديدة إلى أدنى نقطة له.</w:t>
      </w:r>
    </w:p>
    <w:p w14:paraId="20E160AB"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البيئة التنظيمية</w:t>
      </w:r>
    </w:p>
    <w:p w14:paraId="014631CD"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 xml:space="preserve">عرض بخصوص اللوائح البيئية في مجال النقل البحري </w:t>
      </w:r>
    </w:p>
    <w:p w14:paraId="7CF1495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يعد القطاع البحري محوريًا للتجارة الدولية، حيث يمثل حوالي أربعة أخماس إجمالي نشاط نقل البضائع. كما أنها تُعرف على نطاق واسع باعتبارها أكثر الوسائل كفاءة في استخدام الطاقة لنقل البضائع على أساس استخدام الطاقة لكل طن/ كيلومتر. ومع ذلك، زادت انبعاثات</w:t>
      </w:r>
      <w:r w:rsidRPr="00F87C1B">
        <w:rPr>
          <w:rFonts w:ascii="Traditional Arabic" w:hAnsi="Traditional Arabic" w:cs="Traditional Arabic"/>
          <w:sz w:val="30"/>
          <w:szCs w:val="30"/>
          <w:vertAlign w:val="subscript"/>
        </w:rPr>
        <w:t xml:space="preserve"> ثاني</w:t>
      </w:r>
      <w:r w:rsidRPr="00F87C1B">
        <w:rPr>
          <w:rFonts w:ascii="Traditional Arabic" w:hAnsi="Traditional Arabic" w:cs="Traditional Arabic"/>
          <w:sz w:val="30"/>
          <w:szCs w:val="30"/>
        </w:rPr>
        <w:t xml:space="preserve"> أكسيد الكربون المباشرة من النقل الدولي في العقد الماضي مع زيادة أحجام البضائع ونشاط الشحن المرتبط بها على مستوى العالم. ووفقًا للدراسة الرابعة للغازات الدفيئة التي أجرتها المنظمة البحرية الدولية (2020)، انبعث من الشحن الدولي 1056 مليون طن متري من</w:t>
      </w:r>
      <w:r w:rsidRPr="00F87C1B">
        <w:rPr>
          <w:rFonts w:ascii="Traditional Arabic" w:hAnsi="Traditional Arabic" w:cs="Traditional Arabic"/>
          <w:sz w:val="30"/>
          <w:szCs w:val="30"/>
          <w:vertAlign w:val="subscript"/>
        </w:rPr>
        <w:t xml:space="preserve"> ثاني</w:t>
      </w:r>
      <w:r w:rsidRPr="00F87C1B">
        <w:rPr>
          <w:rFonts w:ascii="Traditional Arabic" w:hAnsi="Traditional Arabic" w:cs="Traditional Arabic"/>
          <w:sz w:val="30"/>
          <w:szCs w:val="30"/>
        </w:rPr>
        <w:t xml:space="preserve"> أكسيد الكربون في عام 2018، مقارنة بـ 962 مليون طن متري في عام 2012. وفي عام 2018، بلغت نسبة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الدولي حوالي 2.9 في المائة من انبعاثات</w:t>
      </w:r>
      <w:r w:rsidRPr="00F87C1B">
        <w:rPr>
          <w:rFonts w:ascii="Traditional Arabic" w:hAnsi="Traditional Arabic" w:cs="Traditional Arabic"/>
          <w:sz w:val="30"/>
          <w:szCs w:val="30"/>
          <w:vertAlign w:val="subscript"/>
        </w:rPr>
        <w:t xml:space="preserve"> ثاني</w:t>
      </w:r>
      <w:r w:rsidRPr="00F87C1B">
        <w:rPr>
          <w:rFonts w:ascii="Traditional Arabic" w:hAnsi="Traditional Arabic" w:cs="Traditional Arabic"/>
          <w:sz w:val="30"/>
          <w:szCs w:val="30"/>
        </w:rPr>
        <w:t xml:space="preserve"> أكسيد الكربون العالمية التي منشؤها النشاط البشري </w:t>
      </w:r>
    </w:p>
    <w:p w14:paraId="4F9817A1"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وعلى مدى العقد الماضي، خضعت الموافقات البيئية لصناعة النقل البحري لتدقيق متزايد من الهيئات التنظيمية والمجتمع المدني والحكومات. واللوائح البيئية داخل صناعة النقل البحري عبارة عن مجموعة متنوعة من اللوائح العالمية التي تصدرها المنظمة البحرية الدولية والتي تكملها لوائح إضافية تنص عليها دولة العلم (البلد الذي يتم فيه تسجيل السفينة) ودولة الميناء (البلد أو البلدان التي تتاجر فيها السفينة من/إلى). وتشمل الجهات الفاعلة الرئيسية الأخرى التي تدخل في تنظيم النقل البحري منظمة العمل الدولية والرابطة الدولية لجمعيات التصنيف.</w:t>
      </w:r>
    </w:p>
    <w:p w14:paraId="18CF4C5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كانت هناك مؤخرًا العديد من اللوائح البيئية الجديدة الهامة المطبقة على صناعة النقل البحري، مما يدل على الاهتمام المتزايد للهيئات التنظيمية والمجتمع المدني بالصناعة البحرية. وتشمل التدابير البارزة إدخال أنظمة إلزامية لمعالجة مياه الصابورة (أولاً في الولايات المتحدة ثم فرضتها المنظمة البحرية الدولية على مستوى العالم)، وتخفيضات في انبعاثات الكبريت (أولاً في كاليفورنيا وأوروبا، ثم فرضتها المنظمة البحرية الدولية على مستوى العالم)، وانبعاثات ثاني أكسيد النيتروجين لسفن البناء الجديد (في الولايات المتحدة ومنطقة البحر الكاريبي وبحر الشمال وبحر البلطيق). إن أهم التدابير قيد النظر على المستويات الوطنية والإقليمية والدولية هي الآن إجراءات للحد من انبعاثات الكربون من السفن.</w:t>
      </w:r>
    </w:p>
    <w:p w14:paraId="63B058B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ومنذ عام 2010، كان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الدولي مسؤولاً عن حوالي 3 في المائة من انبعاثات ثاني أكسيد الكربون العالمية. وعلى سبيل المقارنة، هذا يعني أنه إذا كانت صناعة النقل البحري دولة، فستكون من بين أكبر عشر دول من حيث الانبعاثات على مستوى العالم، مع انبعاثات سنوية من ثاني أكسيد الكربون تعادل تقريبًا انبعاثات اليابان.</w:t>
      </w:r>
    </w:p>
    <w:p w14:paraId="7F47ECF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وقد حددت الهيئة التنظيمية الرئيسية للصناعة، المنظمة البحرية الدولية، أهدافًا للحد من انبعاثات الغازات الدفيئة من النقل البحري. ويتمثل الهدف الرئيسي المتفق عليه في الوصول إلى ذروة انبعاثات الغازات غازات الدفيئة في أقرب وقت ممكن والوصول إلى صافي انبعاثات صفرية من الغازات الدفيئة بحلول عام 2050. كما تم تحديد أهداف أخرى بشأن كثافة الكربون: على وجه التحديد، خفض انبعاثات ثاني أكسيد الكربون "لكل رحلة من رحلات النقل" بنسبة 40 في المائة على الأقل. وبحلول عام 2030، من المستهدف خفض إجمالي انبعاثات الغازات الدفيئة السنوية من النقل البحري الدولي بنسبة 20 في المائة على الأقل، والسعي لتحقيق 30 في المائة، بحلول عام 2030، مقارنة بعام 2008 ؛ وخفض إجمالي انبعاثات الغازات الدفيئة السنوية من النقل البحري الدولي بنسبة 70 في المائة على الأقل، والسعي لتحقيق 80 في المائة، بحلول عام 2040، مقارنة بعام 2008. وأخيراً، فإن استيعاب تكنولوجيات الانبعاثات الصفرية أو شبه الصفرية من الغازات الدفيئة والوقود و/أو مصادر الطاقة يمثل 5 في المائة على الأقل، مع السعي لتحقيق 10 في المائة من الطاقة التي تستخدمها عمليات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الدولي بحلول عام 2030.</w:t>
      </w:r>
    </w:p>
    <w:p w14:paraId="0559EDEA"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رسم تخطيطي: نظرة عامة على التشريعات الرئيسية للمنظمة البحرية الدولية بشأن الغازات الدفيئة منذ عام 2011</w:t>
      </w:r>
    </w:p>
    <w:p w14:paraId="6608CFF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4250CB15" wp14:editId="308BC98F">
            <wp:extent cx="4600008" cy="2340000"/>
            <wp:effectExtent l="0" t="0" r="0" b="3175"/>
            <wp:docPr id="205951227" name="Picture 1" descr="A diagram of a company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1227" name="Picture 1" descr="A diagram of a company  Description automatically generated"/>
                    <pic:cNvPicPr/>
                  </pic:nvPicPr>
                  <pic:blipFill>
                    <a:blip r:embed="rId58"/>
                    <a:stretch>
                      <a:fillRect/>
                    </a:stretch>
                  </pic:blipFill>
                  <pic:spPr>
                    <a:xfrm>
                      <a:off x="0" y="0"/>
                      <a:ext cx="4600008" cy="2340000"/>
                    </a:xfrm>
                    <a:prstGeom prst="rect">
                      <a:avLst/>
                    </a:prstGeom>
                  </pic:spPr>
                </pic:pic>
              </a:graphicData>
            </a:graphic>
          </wp:inline>
        </w:drawing>
      </w:r>
    </w:p>
    <w:p w14:paraId="7B2046FE"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أغسطس 2024.</w:t>
      </w:r>
    </w:p>
    <w:p w14:paraId="20508AE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وتشمل لوائح خفض الانبعاثات التي تم إصدارها اعتبارًا من 1 يناير 2023 مؤشر كفاءة الطاقة للسفن الحالية، وخطة إدارة كفاءة الطاقة للسفن، ومؤشر كثافة الكربون. وتهدف هذه التدابير إلى الحد من الانبعاثات من خلال الحد من إنتاج الطاقة من المحركات الرئيسية للسفن، مما قد يكون له تأثير في تقليل سرعة تشغيل الأسطول العالمي، مما يؤدي إلى تقليص العرض الفعال.</w:t>
      </w:r>
    </w:p>
    <w:p w14:paraId="4CEE0A9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إن مؤشر كثافة الكربون التشغيلي هو تصنيف يتم تعيينه للسفينة اعتمادًا على مدى كفاءة السفينة في نقل البضائع أو الركاب، بناءً على جرامات ثاني أكسيد الكربون المنبعثة حسب القدرة الاستيعابية والمسافة المقطوعة. ومنذ بداية عام 2023، تم تعيين مؤشر كثافة الكربون التشغيلي محققة لجميع البضائع والجمع بين نقل البضائع والمسافرين والسفن السياحية التي تزيد عن 5 آلاف طن بناءً على أدائها السنوي. سيتم احتساب مؤشر كثافة الكربون التشغيلي الذي تم تحقيقه سنويًا باستخدام البيانات التي تم الإبلاغ عنها عبر نظام جمع البيانات التابع للمنظمة البحرية الدولية. سيتم بعد ذلك قياس مؤشر كثافة الكربون التشغيلي التي تم تحقيقها مقابل المستوى المرجعي أو مؤشر كثافة الكربون التشغيلي المطلوبة. سيتم إعطاء السفن تصنيفًا لكثافة الكربون التشغيلي من A إلى E وفقًا لكيفية مقارنة مؤشر كثافة الكربون الذي حققته مع مؤشر كثافة الكربون المطلوب. تشير تقييمات A - C إلى أن السفينة قد استوفت متطلبات مؤشر كثافة الكربون التشغيلي الخاصة بها. سيتعين على السفن التي تحصل على تصنيف D لمدة ثلاث سنوات متتالية أو تصنيف E في عام واحد تطوير خطة عمل تصحيحية والموافقة عليها كجزء من خطة الإدارة البيئية المعززة الخاصة بها.</w:t>
      </w:r>
    </w:p>
    <w:p w14:paraId="6319766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والأهم من ذلك، أن مؤشر كثافة الكربون هو إجراء تدريجي، حيث يتم تعديل مرجع مؤشر كثافة الكربون المطلوب لكل سفينة تنازليا كل عام، ليصبح أكثر صرامة بما يتماشى مع التحسينات العالمية المستهدفة في انبعاثات ثاني أكسيد الكربون. باستخدام عام 2019 كسنة أساس للمعيار المرجعي المطلوبة لمؤشر كثافة الكربون التشغيلي، تم تحديد عوامل التخفيض بنسبة 1 في المائة </w:t>
      </w:r>
      <w:r w:rsidRPr="00F87C1B">
        <w:rPr>
          <w:rFonts w:ascii="Traditional Arabic" w:hAnsi="Traditional Arabic" w:cs="Traditional Arabic"/>
          <w:sz w:val="30"/>
          <w:szCs w:val="30"/>
        </w:rPr>
        <w:lastRenderedPageBreak/>
        <w:t>سنويًا للفترة 2020-2022 و 2 في المائة سنويًا للفترة 2023-2026. وسيتم تحديد عوامل التخفيض للفترة 2027-2030 كجزء من المراجعة التي سيتم الانتهاء منها بحلول 1 يناير 2026.</w:t>
      </w:r>
    </w:p>
    <w:p w14:paraId="62DF6F8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كما تقوم هيئات تنظيمية محلية ودولية أخرى بتنفيذ اللوائح، ومن الأمثلة البارزة على ذلك إدراج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في نظام تبادل الاتحاد الأوروبي لتداول الانبعاثات اعتبارًا من 1 يناير 2024. ومن المتوقع أن تتطور اللوائح التي تركز على إزالة الكربون وخفض الانبعاثات على نطاق أوسع وتكون أكثر صرامة بمرور الوقت.</w:t>
      </w:r>
    </w:p>
    <w:p w14:paraId="30C69DC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والرأي الحالي المجمع عليه هو أن عام 2030 سيكون أقرب نقطة انعطاف يصبح فيها الجيل التالي من الوقود الأخضر (مع البنية التحتية الكبيرة المطلوبة لدعمه) متاحًا تجاريًا، مما يسمح بتسريع وتيرة القطاع. وفي غضون ذلك، من المتوقع أن تستمر الصناعة في الاعتماد بشكل أساسي على السفن القائمة التي تعمل بالوقود التقليدي والتي تم تحسينها لخفض الانبعاثات. وعلى الرغم من أن احتجاز الكربون وتخزينه لا يخلو من تحدياته الخاصة، إلا أنه يحظى باهتمام متزايد كأداة قوية محتملة للتخفيف من الانبعاثات ودعم تصنيع الوقود النظيف وتداوله مثل الميثانول الأخضر.</w:t>
      </w:r>
    </w:p>
    <w:p w14:paraId="4E9EDDC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وسيكون للحملة الرامية إلى إزالة الكربون من صناعة النقل البحري تأثير متعدد الأوجه على النقل البحري الدولي. وعلى مستوى عالٍ، يمكنك تقسيم تأثيره إلى مجالين واسعين: السلع المنقولة عن طريق البحر والسفن نفسها. والآثار الأكثر وضوحًا هي التغييرات الجذرية التي ستحدثها على السفن نفسها من حيث الوقود الذي تحرقه والتقنيات الموجودة على متنها. ومع ذلك، سيكون هناك أيضًا اضطرابات كبيرة في ديناميكيات جانب العرض التقليدية فيما يتعلق بأحجام التعاقد الجديدة ونشاط التخريد.</w:t>
      </w:r>
    </w:p>
    <w:p w14:paraId="3FAF5EB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لا يقتصر الإجراءات المتعلقة بالانبعاثات على الهيئات التنظيمية وحدها، بل تتخذ مجموعات صناعية أخرى أيضًا إجراءات مشابهة. ومجتمع التمويل هو أحد الأمثلة على ذلك، حيث وقع عدد من البنوك الرئيسية لتمويل السفن على مبادئ بوسيدون، وبالتالي التزموا بقياس ونشر ملفات انبعاثات محافظهم مقابل مسار المنظمة البحرية الدولية المقترح لعام 2050، بالإضافة إلى العمل مع عملائهم لجعل انبعاثات السفن تتماشى مع هذا المسار. وكما أعلن أصحاب المصلحة الرئيسيون في القطاع البحري، وكذلك مالكو السفن والمشغلون، عن أهداف تتعلق بإزالة الكربون من عملياتهم البحرية.</w:t>
      </w:r>
    </w:p>
    <w:p w14:paraId="45D114C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وقد تشمل المجالات الأخرى للتنظيم المستقبلي في مجال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إعادة تدوير السفن (المعمول بها بالفعل للسفن التي ترفع علم الاتحاد الأوروبي أو تتاجر في موانئ الاتحاد الأوروبي، والتي سيتم تشريعها عالميًا إذا تم التصديق على اتفاقية هونغ كونغ)، والسفن الذكية/ ذاتية التشغيل والمزيد من القيود على انبعاثات ثاني أكسيد النيتروجين.</w:t>
      </w:r>
    </w:p>
    <w:p w14:paraId="0117EE85"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لوائح الاتحاد الأوروبي</w:t>
      </w:r>
    </w:p>
    <w:p w14:paraId="0E2602F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كان الاتحاد الأوروبي، إضافة إلى الولايات المتحدة، أحد جهات التنظيم الأكثر استباقية لإعداد التشريعات المنظمة لقطاع النقل البحري. وبناءً على استراتيجية الصفقة الخضراء الأوروبية، وبعد تقييم الأثر، طرح الاتحاد الأوروبي في عام 2022 خطة شاملة لتحقيق 55 في المائة من صافي خفض الانبعاثات بحلول عام 2030، مقارنة بعام 1990، وقد اتبع طرقا تراعي العوامل البيئية. ويتماشى هدف عام 2030 مع هدف اتفاقية باريس للحفاظ على عدم ارتفاع درجة الحرارة العالمية لأعلى من درجتين مئويتين ومواصلة الجهود لإبقائها عند 1.5 درجة مئوية.</w:t>
      </w:r>
    </w:p>
    <w:p w14:paraId="634C7C5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ونتيجة هذا الاقتراح هي حزمة "استهداف 55" التي تتضمن العديد من الأنظمة والأدوات المختلفة التي تهدف إلى العمل لتحقيق هذا الهدف.</w:t>
      </w:r>
    </w:p>
    <w:p w14:paraId="084C2829"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 xml:space="preserve">الجدول: نظام الاتحاد الأوروبي لتداول الانبعاثات ومبادرة استهداف 55 </w:t>
      </w:r>
    </w:p>
    <w:p w14:paraId="6CAD6E61"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noProof/>
          <w:sz w:val="30"/>
          <w:szCs w:val="30"/>
        </w:rPr>
        <w:drawing>
          <wp:inline distT="0" distB="0" distL="0" distR="0" wp14:anchorId="7DC0401F" wp14:editId="6BA6CFE3">
            <wp:extent cx="6050601" cy="1746607"/>
            <wp:effectExtent l="0" t="0" r="7620" b="6350"/>
            <wp:docPr id="1380565547" name="Picture 10" descr="A table with text on i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65547" name="Picture 10" descr="A table with text on it  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73615" cy="1753250"/>
                    </a:xfrm>
                    <a:prstGeom prst="rect">
                      <a:avLst/>
                    </a:prstGeom>
                    <a:noFill/>
                  </pic:spPr>
                </pic:pic>
              </a:graphicData>
            </a:graphic>
          </wp:inline>
        </w:drawing>
      </w:r>
      <w:r w:rsidRPr="00F87C1B">
        <w:rPr>
          <w:rFonts w:ascii="Traditional Arabic" w:hAnsi="Traditional Arabic" w:cs="Traditional Arabic"/>
          <w:i/>
          <w:sz w:val="30"/>
          <w:szCs w:val="30"/>
        </w:rPr>
        <w:t>المصدر: مستشار السوق</w:t>
      </w:r>
    </w:p>
    <w:p w14:paraId="54707600"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تقنيات توفير الطاقة</w:t>
      </w:r>
    </w:p>
    <w:p w14:paraId="796BB41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يعني تحسين كفاءة الطاقة للسفن انخفاض استهلاك الوقود وتقليل انبعاثات ثاني أكسيد الكربون. تقنيات توفير الطاقة هي الأجهزة والمعدات التي يمكن تركيبها على السفينة، إما أثناء الإنشاء أو التعديل التحديثي، لتحسين الكفاءة التشغيلية للسفينة.</w:t>
      </w:r>
    </w:p>
    <w:p w14:paraId="33E8CB3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وتشمل التكنولوجيات السليمة بيئياً الآلات، وتحسينات الدفع والبدن، وأنظمة استرداد الطاقة والحلول التكنولوجية لتحسين استهلاك الوقود.</w:t>
      </w:r>
    </w:p>
    <w:p w14:paraId="04C9F127"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وتعتمد إمكانات التوفير والتكاليف المرتبطة بكل إجراء على نوع السفينة وتشغيلها. لذلك، تتم الإشارة إلى إمكانات التوفير والتكاليف بنطاق يعتمد على مطالبات التسويق المبلغ عنها ولا تأخذ في الاعتبار استخدام العديد من التكنولوجيات السليمة بيئياً في وقت واحد. وتجدر الإشارة إلى أن هذه الأرقام لا تفسر في كثير من الأحيان تباين ظروف العالم الحقيقي.</w:t>
      </w:r>
    </w:p>
    <w:p w14:paraId="523520A9"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الجدول: التكلفة التقديرية للتعديلات التحديثية النموذجية</w:t>
      </w:r>
    </w:p>
    <w:tbl>
      <w:tblPr>
        <w:tblW w:w="9057" w:type="dxa"/>
        <w:tblInd w:w="437" w:type="dxa"/>
        <w:tblLayout w:type="fixed"/>
        <w:tblCellMar>
          <w:left w:w="0" w:type="dxa"/>
          <w:right w:w="0" w:type="dxa"/>
        </w:tblCellMar>
        <w:tblLook w:val="0000" w:firstRow="0" w:lastRow="0" w:firstColumn="0" w:lastColumn="0" w:noHBand="0" w:noVBand="0"/>
      </w:tblPr>
      <w:tblGrid>
        <w:gridCol w:w="7404"/>
        <w:gridCol w:w="283"/>
        <w:gridCol w:w="1134"/>
        <w:gridCol w:w="236"/>
      </w:tblGrid>
      <w:tr w:rsidR="006B57D8" w:rsidRPr="0032117C" w14:paraId="5E80E8BF" w14:textId="77777777" w:rsidTr="00922116">
        <w:trPr>
          <w:tblHeader/>
        </w:trPr>
        <w:tc>
          <w:tcPr>
            <w:tcW w:w="7404" w:type="dxa"/>
            <w:vAlign w:val="bottom"/>
          </w:tcPr>
          <w:p w14:paraId="5B32D5C6" w14:textId="77777777" w:rsidR="006B57D8" w:rsidRPr="0032117C" w:rsidRDefault="006B57D8" w:rsidP="00922116">
            <w:pPr>
              <w:pStyle w:val="CellHead"/>
              <w:rPr>
                <w:sz w:val="16"/>
                <w:szCs w:val="16"/>
              </w:rPr>
            </w:pPr>
            <w:r w:rsidRPr="0032117C">
              <w:rPr>
                <w:sz w:val="16"/>
                <w:szCs w:val="16"/>
              </w:rPr>
              <w:lastRenderedPageBreak/>
              <w:t>Vessel Class</w:t>
            </w:r>
          </w:p>
        </w:tc>
        <w:tc>
          <w:tcPr>
            <w:tcW w:w="283" w:type="dxa"/>
            <w:vAlign w:val="bottom"/>
          </w:tcPr>
          <w:p w14:paraId="483FF9BA" w14:textId="77777777" w:rsidR="006B57D8" w:rsidRPr="0032117C" w:rsidRDefault="006B57D8" w:rsidP="00922116">
            <w:pPr>
              <w:pStyle w:val="CellRowSpacer"/>
              <w:keepNext/>
              <w:spacing w:after="120"/>
              <w:rPr>
                <w:sz w:val="16"/>
                <w:szCs w:val="16"/>
              </w:rPr>
            </w:pPr>
          </w:p>
        </w:tc>
        <w:tc>
          <w:tcPr>
            <w:tcW w:w="1134" w:type="dxa"/>
            <w:vAlign w:val="bottom"/>
          </w:tcPr>
          <w:p w14:paraId="595C2485" w14:textId="77777777" w:rsidR="006B57D8" w:rsidRPr="0032117C" w:rsidRDefault="006B57D8" w:rsidP="00922116">
            <w:pPr>
              <w:pStyle w:val="CellHead"/>
              <w:jc w:val="right"/>
              <w:rPr>
                <w:sz w:val="16"/>
                <w:szCs w:val="16"/>
              </w:rPr>
            </w:pPr>
            <w:r w:rsidRPr="0032117C">
              <w:rPr>
                <w:sz w:val="16"/>
                <w:szCs w:val="16"/>
              </w:rPr>
              <w:t>Per Unit/</w:t>
            </w:r>
            <w:r w:rsidRPr="0032117C">
              <w:rPr>
                <w:sz w:val="16"/>
                <w:szCs w:val="16"/>
              </w:rPr>
              <w:br/>
              <w:t xml:space="preserve">Installation </w:t>
            </w:r>
          </w:p>
        </w:tc>
        <w:tc>
          <w:tcPr>
            <w:tcW w:w="236" w:type="dxa"/>
            <w:vAlign w:val="bottom"/>
          </w:tcPr>
          <w:p w14:paraId="3EF1D4E3" w14:textId="77777777" w:rsidR="006B57D8" w:rsidRPr="0032117C" w:rsidRDefault="006B57D8" w:rsidP="00922116">
            <w:pPr>
              <w:pStyle w:val="CellRowSpacer"/>
              <w:keepNext/>
              <w:spacing w:after="120"/>
              <w:rPr>
                <w:sz w:val="16"/>
                <w:szCs w:val="16"/>
              </w:rPr>
            </w:pPr>
          </w:p>
        </w:tc>
      </w:tr>
      <w:tr w:rsidR="006B57D8" w:rsidRPr="0032117C" w14:paraId="723D392B" w14:textId="77777777" w:rsidTr="00922116">
        <w:trPr>
          <w:tblHeader/>
        </w:trPr>
        <w:tc>
          <w:tcPr>
            <w:tcW w:w="7404" w:type="dxa"/>
            <w:vAlign w:val="bottom"/>
          </w:tcPr>
          <w:p w14:paraId="126DD0E4" w14:textId="77777777" w:rsidR="006B57D8" w:rsidRPr="0032117C" w:rsidRDefault="006B57D8" w:rsidP="00922116">
            <w:pPr>
              <w:pStyle w:val="CellHead"/>
              <w:rPr>
                <w:sz w:val="16"/>
                <w:szCs w:val="16"/>
              </w:rPr>
            </w:pPr>
          </w:p>
        </w:tc>
        <w:tc>
          <w:tcPr>
            <w:tcW w:w="283" w:type="dxa"/>
            <w:vAlign w:val="bottom"/>
          </w:tcPr>
          <w:p w14:paraId="19F364B7" w14:textId="77777777" w:rsidR="006B57D8" w:rsidRPr="0032117C" w:rsidRDefault="006B57D8" w:rsidP="00922116">
            <w:pPr>
              <w:pStyle w:val="CellRowSpacer"/>
              <w:keepNext/>
              <w:spacing w:after="120"/>
              <w:rPr>
                <w:sz w:val="16"/>
                <w:szCs w:val="16"/>
              </w:rPr>
            </w:pPr>
          </w:p>
        </w:tc>
        <w:tc>
          <w:tcPr>
            <w:tcW w:w="1134" w:type="dxa"/>
            <w:vAlign w:val="bottom"/>
          </w:tcPr>
          <w:p w14:paraId="296B8890" w14:textId="77777777" w:rsidR="006B57D8" w:rsidRPr="0032117C" w:rsidRDefault="006B57D8" w:rsidP="00922116">
            <w:pPr>
              <w:pStyle w:val="Cell-Headitalic"/>
              <w:rPr>
                <w:sz w:val="16"/>
                <w:szCs w:val="16"/>
              </w:rPr>
            </w:pPr>
            <w:r w:rsidRPr="0032117C">
              <w:rPr>
                <w:sz w:val="16"/>
                <w:szCs w:val="16"/>
              </w:rPr>
              <w:t>(</w:t>
            </w:r>
            <w:r>
              <w:rPr>
                <w:sz w:val="16"/>
                <w:szCs w:val="16"/>
              </w:rPr>
              <w:t>U.S.</w:t>
            </w:r>
            <w:r w:rsidRPr="0032117C">
              <w:rPr>
                <w:sz w:val="16"/>
                <w:szCs w:val="16"/>
              </w:rPr>
              <w:t>$</w:t>
            </w:r>
            <w:r>
              <w:rPr>
                <w:sz w:val="16"/>
                <w:szCs w:val="16"/>
              </w:rPr>
              <w:t xml:space="preserve"> million</w:t>
            </w:r>
            <w:r w:rsidRPr="0032117C">
              <w:rPr>
                <w:sz w:val="16"/>
                <w:szCs w:val="16"/>
              </w:rPr>
              <w:t>)</w:t>
            </w:r>
          </w:p>
        </w:tc>
        <w:tc>
          <w:tcPr>
            <w:tcW w:w="236" w:type="dxa"/>
            <w:vAlign w:val="bottom"/>
          </w:tcPr>
          <w:p w14:paraId="1D62CC1D" w14:textId="77777777" w:rsidR="006B57D8" w:rsidRPr="0032117C" w:rsidRDefault="006B57D8" w:rsidP="00922116">
            <w:pPr>
              <w:pStyle w:val="CellRowSpacer"/>
              <w:keepNext/>
              <w:spacing w:after="120"/>
              <w:rPr>
                <w:sz w:val="16"/>
                <w:szCs w:val="16"/>
              </w:rPr>
            </w:pPr>
          </w:p>
        </w:tc>
      </w:tr>
      <w:tr w:rsidR="006B57D8" w:rsidRPr="0032117C" w14:paraId="452C5D8F" w14:textId="77777777" w:rsidTr="00922116">
        <w:tc>
          <w:tcPr>
            <w:tcW w:w="7404" w:type="dxa"/>
            <w:vAlign w:val="bottom"/>
          </w:tcPr>
          <w:p w14:paraId="31C70F26" w14:textId="77777777" w:rsidR="006B57D8" w:rsidRPr="0032117C" w:rsidRDefault="006B57D8" w:rsidP="00922116">
            <w:pPr>
              <w:pStyle w:val="CellBody"/>
              <w:tabs>
                <w:tab w:val="right" w:leader="dot" w:pos="7404"/>
              </w:tabs>
              <w:spacing w:before="80" w:after="0"/>
              <w:rPr>
                <w:sz w:val="16"/>
                <w:szCs w:val="16"/>
              </w:rPr>
            </w:pPr>
            <w:r w:rsidRPr="0032117C">
              <w:rPr>
                <w:sz w:val="16"/>
                <w:szCs w:val="16"/>
              </w:rPr>
              <w:t>Sails/Rotor</w:t>
            </w:r>
            <w:r w:rsidRPr="0032117C">
              <w:rPr>
                <w:sz w:val="16"/>
                <w:szCs w:val="16"/>
              </w:rPr>
              <w:tab/>
            </w:r>
          </w:p>
        </w:tc>
        <w:tc>
          <w:tcPr>
            <w:tcW w:w="283" w:type="dxa"/>
            <w:vAlign w:val="bottom"/>
          </w:tcPr>
          <w:p w14:paraId="3C9CE744" w14:textId="77777777" w:rsidR="006B57D8" w:rsidRPr="0032117C" w:rsidRDefault="006B57D8" w:rsidP="00922116">
            <w:pPr>
              <w:pStyle w:val="CellRowSpacer"/>
              <w:spacing w:before="80"/>
              <w:rPr>
                <w:sz w:val="16"/>
                <w:szCs w:val="16"/>
              </w:rPr>
            </w:pPr>
          </w:p>
        </w:tc>
        <w:tc>
          <w:tcPr>
            <w:tcW w:w="1134" w:type="dxa"/>
            <w:vAlign w:val="bottom"/>
          </w:tcPr>
          <w:p w14:paraId="6A60F9F6" w14:textId="77777777" w:rsidR="006B57D8" w:rsidRPr="0032117C" w:rsidRDefault="006B57D8" w:rsidP="00922116">
            <w:pPr>
              <w:pStyle w:val="CellBody"/>
              <w:spacing w:before="80" w:after="0"/>
              <w:jc w:val="right"/>
              <w:rPr>
                <w:sz w:val="16"/>
                <w:szCs w:val="16"/>
              </w:rPr>
            </w:pPr>
            <w:r w:rsidRPr="0032117C">
              <w:rPr>
                <w:sz w:val="16"/>
                <w:szCs w:val="16"/>
              </w:rPr>
              <w:t>0.8</w:t>
            </w:r>
          </w:p>
        </w:tc>
        <w:tc>
          <w:tcPr>
            <w:tcW w:w="236" w:type="dxa"/>
            <w:vAlign w:val="bottom"/>
          </w:tcPr>
          <w:p w14:paraId="25623F8A" w14:textId="77777777" w:rsidR="006B57D8" w:rsidRPr="0032117C" w:rsidRDefault="006B57D8" w:rsidP="00922116">
            <w:pPr>
              <w:pStyle w:val="CellRowSpacer"/>
              <w:spacing w:before="80"/>
              <w:rPr>
                <w:sz w:val="16"/>
                <w:szCs w:val="16"/>
              </w:rPr>
            </w:pPr>
          </w:p>
        </w:tc>
      </w:tr>
      <w:tr w:rsidR="006B57D8" w:rsidRPr="0032117C" w14:paraId="54C72859" w14:textId="77777777" w:rsidTr="00922116">
        <w:tc>
          <w:tcPr>
            <w:tcW w:w="7404" w:type="dxa"/>
            <w:vAlign w:val="bottom"/>
          </w:tcPr>
          <w:p w14:paraId="520E1B47" w14:textId="77777777" w:rsidR="006B57D8" w:rsidRPr="0032117C" w:rsidRDefault="006B57D8" w:rsidP="00922116">
            <w:pPr>
              <w:pStyle w:val="CellBody"/>
              <w:tabs>
                <w:tab w:val="right" w:leader="dot" w:pos="7404"/>
              </w:tabs>
              <w:spacing w:before="80" w:after="0"/>
              <w:rPr>
                <w:sz w:val="16"/>
                <w:szCs w:val="16"/>
              </w:rPr>
            </w:pPr>
            <w:r w:rsidRPr="0032117C">
              <w:rPr>
                <w:sz w:val="16"/>
                <w:szCs w:val="16"/>
              </w:rPr>
              <w:t>Rudder/Propellor</w:t>
            </w:r>
            <w:r w:rsidRPr="0032117C">
              <w:rPr>
                <w:sz w:val="16"/>
                <w:szCs w:val="16"/>
              </w:rPr>
              <w:tab/>
            </w:r>
          </w:p>
        </w:tc>
        <w:tc>
          <w:tcPr>
            <w:tcW w:w="283" w:type="dxa"/>
            <w:vAlign w:val="bottom"/>
          </w:tcPr>
          <w:p w14:paraId="023954F4" w14:textId="77777777" w:rsidR="006B57D8" w:rsidRPr="0032117C" w:rsidRDefault="006B57D8" w:rsidP="00922116">
            <w:pPr>
              <w:pStyle w:val="CellRowSpacer"/>
              <w:spacing w:before="80"/>
              <w:rPr>
                <w:sz w:val="16"/>
                <w:szCs w:val="16"/>
              </w:rPr>
            </w:pPr>
          </w:p>
        </w:tc>
        <w:tc>
          <w:tcPr>
            <w:tcW w:w="1134" w:type="dxa"/>
            <w:vAlign w:val="bottom"/>
          </w:tcPr>
          <w:p w14:paraId="6C7CC62A" w14:textId="77777777" w:rsidR="006B57D8" w:rsidRPr="0032117C" w:rsidRDefault="006B57D8" w:rsidP="00922116">
            <w:pPr>
              <w:pStyle w:val="CellBody"/>
              <w:spacing w:before="80" w:after="0"/>
              <w:jc w:val="right"/>
              <w:rPr>
                <w:sz w:val="16"/>
                <w:szCs w:val="16"/>
              </w:rPr>
            </w:pPr>
            <w:r w:rsidRPr="0032117C">
              <w:rPr>
                <w:sz w:val="16"/>
                <w:szCs w:val="16"/>
              </w:rPr>
              <w:t>0.35</w:t>
            </w:r>
          </w:p>
        </w:tc>
        <w:tc>
          <w:tcPr>
            <w:tcW w:w="236" w:type="dxa"/>
            <w:vAlign w:val="bottom"/>
          </w:tcPr>
          <w:p w14:paraId="09CB3BF0" w14:textId="77777777" w:rsidR="006B57D8" w:rsidRPr="0032117C" w:rsidRDefault="006B57D8" w:rsidP="00922116">
            <w:pPr>
              <w:pStyle w:val="CellRowSpacer"/>
              <w:spacing w:before="80"/>
              <w:rPr>
                <w:sz w:val="16"/>
                <w:szCs w:val="16"/>
              </w:rPr>
            </w:pPr>
          </w:p>
        </w:tc>
      </w:tr>
      <w:tr w:rsidR="006B57D8" w:rsidRPr="0032117C" w14:paraId="08A532F2" w14:textId="77777777" w:rsidTr="00922116">
        <w:tc>
          <w:tcPr>
            <w:tcW w:w="7404" w:type="dxa"/>
            <w:vAlign w:val="bottom"/>
          </w:tcPr>
          <w:p w14:paraId="7763C714" w14:textId="77777777" w:rsidR="006B57D8" w:rsidRPr="0032117C" w:rsidRDefault="006B57D8" w:rsidP="00922116">
            <w:pPr>
              <w:pStyle w:val="CellBody"/>
              <w:tabs>
                <w:tab w:val="right" w:leader="dot" w:pos="7404"/>
              </w:tabs>
              <w:spacing w:before="80" w:after="0"/>
              <w:rPr>
                <w:sz w:val="16"/>
                <w:szCs w:val="16"/>
              </w:rPr>
            </w:pPr>
            <w:r w:rsidRPr="0032117C">
              <w:rPr>
                <w:sz w:val="16"/>
                <w:szCs w:val="16"/>
              </w:rPr>
              <w:t>Air Lubrication</w:t>
            </w:r>
            <w:r w:rsidRPr="0032117C">
              <w:rPr>
                <w:sz w:val="16"/>
                <w:szCs w:val="16"/>
              </w:rPr>
              <w:tab/>
            </w:r>
          </w:p>
        </w:tc>
        <w:tc>
          <w:tcPr>
            <w:tcW w:w="283" w:type="dxa"/>
            <w:vAlign w:val="bottom"/>
          </w:tcPr>
          <w:p w14:paraId="49D947EC" w14:textId="77777777" w:rsidR="006B57D8" w:rsidRPr="0032117C" w:rsidRDefault="006B57D8" w:rsidP="00922116">
            <w:pPr>
              <w:pStyle w:val="CellRowSpacer"/>
              <w:spacing w:before="80"/>
              <w:rPr>
                <w:sz w:val="16"/>
                <w:szCs w:val="16"/>
              </w:rPr>
            </w:pPr>
          </w:p>
        </w:tc>
        <w:tc>
          <w:tcPr>
            <w:tcW w:w="1134" w:type="dxa"/>
            <w:vAlign w:val="bottom"/>
          </w:tcPr>
          <w:p w14:paraId="2FA8F3BD" w14:textId="77777777" w:rsidR="006B57D8" w:rsidRPr="0032117C" w:rsidRDefault="006B57D8" w:rsidP="00922116">
            <w:pPr>
              <w:pStyle w:val="CellBody"/>
              <w:spacing w:before="80" w:after="0"/>
              <w:jc w:val="right"/>
              <w:rPr>
                <w:sz w:val="16"/>
                <w:szCs w:val="16"/>
              </w:rPr>
            </w:pPr>
            <w:r w:rsidRPr="0032117C">
              <w:rPr>
                <w:sz w:val="16"/>
                <w:szCs w:val="16"/>
              </w:rPr>
              <w:t>1.15</w:t>
            </w:r>
          </w:p>
        </w:tc>
        <w:tc>
          <w:tcPr>
            <w:tcW w:w="236" w:type="dxa"/>
            <w:vAlign w:val="bottom"/>
          </w:tcPr>
          <w:p w14:paraId="7F9B6CAD" w14:textId="77777777" w:rsidR="006B57D8" w:rsidRPr="0032117C" w:rsidRDefault="006B57D8" w:rsidP="00922116">
            <w:pPr>
              <w:pStyle w:val="CellRowSpacer"/>
              <w:spacing w:before="80"/>
              <w:rPr>
                <w:sz w:val="16"/>
                <w:szCs w:val="16"/>
              </w:rPr>
            </w:pPr>
          </w:p>
        </w:tc>
      </w:tr>
    </w:tbl>
    <w:p w14:paraId="44A01866" w14:textId="77777777" w:rsidR="006B57D8" w:rsidRDefault="006B57D8" w:rsidP="00F87C1B">
      <w:pPr>
        <w:pStyle w:val="P68B1DB1-KeyMessage1"/>
        <w:spacing w:beforeLines="40" w:before="96" w:afterLines="40" w:after="96"/>
        <w:rPr>
          <w:rFonts w:ascii="Traditional Arabic" w:hAnsi="Traditional Arabic" w:cs="Traditional Arabic"/>
          <w:i/>
          <w:sz w:val="30"/>
          <w:szCs w:val="30"/>
        </w:rPr>
      </w:pPr>
    </w:p>
    <w:p w14:paraId="4CD4DA85" w14:textId="77777777" w:rsidR="00F87C1B" w:rsidRPr="00F87C1B" w:rsidRDefault="00F87C1B" w:rsidP="006B57D8">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مصادر صناعية مختلفة</w:t>
      </w:r>
    </w:p>
    <w:p w14:paraId="1CCFF583"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الوقود البحري البديل</w:t>
      </w:r>
    </w:p>
    <w:p w14:paraId="710A6A3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تشكل أهداف المنظمة البحرية الدولية لخفض الانبعاثات مجموعة من التحديات لأصحاب المصلحة في جميع مجالات صناعة النقل البحري، من صانعي السياسات وموردي الوقود، إلى أحواض بناء السفن ومصنعي المعدات ومالكي السفن. إن عدم اليقين السائد حول تفاصيل السياسات واللوائح، والتوقيت والتكنولوجيات هي أمور أساسية لهذه التحديات. وتحتاج صناعة النقل البحري بشكل أساسي إلى تحقيق التوازن بين الحاجة إلى الامتثال مع الحفاظ على القدرة التنافسية الاقتصادية. السفن هي أصول عالية القيمة وطويلة العمر ويجب اتخاذ خطوات لضمان أن أي استثمار في سعة الحمولة الآن لن يتطلب نفقات إضافية كبيرة للامتثال للوائح المستقبلية أو، أن اللوائح المستقبلية ستجعل السفن غير صالحة للاستخدام.</w:t>
      </w:r>
    </w:p>
    <w:p w14:paraId="3799D90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الإجماع الحالي في الصناعة هو أنه لا يوجد حل واقعي واحد لتحقيق هذه الأهداف الطموحة. وبدلاً من ذلك، هناك عدد من مسارات النجاح. وتشمل هذه المسارات استخدام تقنيات كفاءة الطاقة ومجموعة من أنظمة التخزين. وهناك أيضًا خيار لتعزيز المسارات التشغيلية حيث يتباطأ الأسطول العالمي، إما بشكل تعسفي من خلال تفويض تنظيمي، أو من الناحية التشغيلية من خلال التحول في عمليات ال</w:t>
      </w:r>
      <w:r w:rsidR="00607B02">
        <w:rPr>
          <w:rFonts w:ascii="Traditional Arabic" w:hAnsi="Traditional Arabic" w:cs="Traditional Arabic"/>
          <w:sz w:val="30"/>
          <w:szCs w:val="30"/>
        </w:rPr>
        <w:t>نقل</w:t>
      </w:r>
      <w:r w:rsidRPr="00F87C1B">
        <w:rPr>
          <w:rFonts w:ascii="Traditional Arabic" w:hAnsi="Traditional Arabic" w:cs="Traditional Arabic"/>
          <w:sz w:val="30"/>
          <w:szCs w:val="30"/>
        </w:rPr>
        <w:t xml:space="preserve"> إلى وصول السفن الناقلة في المواعيد المناسبة من خلال تعزيز التبادل الفعال والسلس للمعلومات بين الموانئ والسفن. ومع ذلك، فمن غير المرجح أن تكون هذه التدابير وحدها كافية للوصول إلى الهدف المطلق لخفض انبعاثات الغازات الدفيئة. كما سيكون من الضروري الانتقال إلى الوقود غير النفطي "البديل" منخفض الكربون والمنعدم الكربون.</w:t>
      </w:r>
    </w:p>
    <w:p w14:paraId="2428F1E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ويرتكز استيعاب الوقود البديل في القطاع البحري على العديد من العوامل الرئيسية. وعلى وجه التحديد، توافرها وقابليتها للتوسع وقدرتها على تحمل التكاليف وأدائها البيئي.</w:t>
      </w:r>
    </w:p>
    <w:p w14:paraId="51D4585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يوضح الرسم البياني التالي تفاصيل التعاقد على بناء جديد للسفن التي تعمل بالوقود البديل حسب نوع الوقود منذ عام 2010.</w:t>
      </w:r>
    </w:p>
    <w:p w14:paraId="5A4E21BA"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التعاقد على السفن التي تعمل بالوقود البديل حسب نوع الوقود</w:t>
      </w:r>
    </w:p>
    <w:p w14:paraId="0270BCC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7ABC1206" wp14:editId="1C0C7927">
            <wp:extent cx="3366735" cy="2199600"/>
            <wp:effectExtent l="0" t="0" r="5715" b="0"/>
            <wp:docPr id="199890478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4DC48BE3" w14:textId="77777777" w:rsidTr="00922116">
        <w:tc>
          <w:tcPr>
            <w:tcW w:w="1440" w:type="dxa"/>
            <w:tcBorders>
              <w:top w:val="single" w:sz="4" w:space="0" w:color="auto"/>
            </w:tcBorders>
            <w:vAlign w:val="bottom"/>
          </w:tcPr>
          <w:p w14:paraId="3A0700D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الملاحظات:</w:t>
            </w:r>
          </w:p>
        </w:tc>
        <w:tc>
          <w:tcPr>
            <w:tcW w:w="7599" w:type="dxa"/>
            <w:vAlign w:val="bottom"/>
          </w:tcPr>
          <w:p w14:paraId="39B7730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526D23B1" w14:textId="77777777" w:rsidTr="00922116">
        <w:tc>
          <w:tcPr>
            <w:tcW w:w="9039" w:type="dxa"/>
            <w:gridSpan w:val="2"/>
            <w:vAlign w:val="bottom"/>
          </w:tcPr>
          <w:p w14:paraId="08377416"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يتم جمع المعلومات حول أنواع وقود السفن حسب كل سفينة على أساس أفضل الجهود من مجموعة متنوعة من المصادر المختلفة. وقد لا تكون شاملة وتحتاج للمراجعة.</w:t>
            </w:r>
          </w:p>
        </w:tc>
      </w:tr>
      <w:tr w:rsidR="00F87C1B" w:rsidRPr="00F87C1B" w14:paraId="3A103BC4" w14:textId="77777777" w:rsidTr="00922116">
        <w:tc>
          <w:tcPr>
            <w:tcW w:w="9039" w:type="dxa"/>
            <w:gridSpan w:val="2"/>
            <w:vAlign w:val="bottom"/>
          </w:tcPr>
          <w:p w14:paraId="3FFF23E1"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باستثناء السفن التي تم تعديلها للعمل بالوقود البديل.</w:t>
            </w:r>
          </w:p>
        </w:tc>
      </w:tr>
      <w:tr w:rsidR="00F87C1B" w:rsidRPr="00F87C1B" w14:paraId="539611C6" w14:textId="77777777" w:rsidTr="00922116">
        <w:tc>
          <w:tcPr>
            <w:tcW w:w="9039" w:type="dxa"/>
            <w:gridSpan w:val="2"/>
            <w:vAlign w:val="bottom"/>
          </w:tcPr>
          <w:p w14:paraId="1BD19D8E"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باستثناء ناقلات الغاز الطبيعي المسال.</w:t>
            </w:r>
          </w:p>
        </w:tc>
      </w:tr>
      <w:tr w:rsidR="00F87C1B" w:rsidRPr="00F87C1B" w14:paraId="63E33F6D" w14:textId="77777777" w:rsidTr="00922116">
        <w:tc>
          <w:tcPr>
            <w:tcW w:w="9039" w:type="dxa"/>
            <w:gridSpan w:val="2"/>
            <w:vAlign w:val="bottom"/>
          </w:tcPr>
          <w:p w14:paraId="3F34B3D1"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بيانات 2024 من يناير إلى أكتوبر</w:t>
            </w:r>
          </w:p>
        </w:tc>
      </w:tr>
    </w:tbl>
    <w:p w14:paraId="20052505"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w:t>
      </w:r>
    </w:p>
    <w:p w14:paraId="006A044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وقد بدأ استيعاب الوقود البديل في بعض القطاعات، ولا سيما سفن الحاويات وناقلات السيارات. المنافسون الرئيسيون هم:</w:t>
      </w:r>
    </w:p>
    <w:p w14:paraId="7E334BB1"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i/>
          <w:sz w:val="30"/>
          <w:szCs w:val="30"/>
        </w:rPr>
      </w:pPr>
      <w:r w:rsidRPr="00272B36">
        <w:rPr>
          <w:rFonts w:ascii="Traditional Arabic" w:hAnsi="Traditional Arabic" w:cs="Traditional Arabic"/>
          <w:b w:val="0"/>
          <w:bCs/>
          <w:i/>
          <w:sz w:val="30"/>
          <w:szCs w:val="30"/>
        </w:rPr>
        <w:t>الغاز الطبيعي المسال كوقود</w:t>
      </w:r>
    </w:p>
    <w:p w14:paraId="10EBCA1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والوقود البديل الأكثر اعتمادًا في الوقت الحالي هو الغاز الطبيعي المسال. تم استخدام هذه التقنية في الأصل فقط في ناقلات الغاز الطبيعي المسال المجهزة بمحركات مصممة لاستخدام الغاز المبخر من الحمولة المنقولة، وقد نضجت في السنوات القليلة الماضية ووجدت تطبيقات متزايدة في أنواع السفن الأخرى.</w:t>
      </w:r>
    </w:p>
    <w:p w14:paraId="40B41E0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كما هو مفصل في الرسم البياني، بلغ حجم عقود البناء الجديدة التي تعمل بالغاز الطبيعي المسال 0.2 مليون من إجمالي الحمولة المعوضة في عام 2010. وارتفع هذا إلى أكثر من 5 ملايين طن متري في الأعوام 2017 و 2019 و 2020، قبل أن يتسارع </w:t>
      </w:r>
      <w:r w:rsidRPr="00F87C1B">
        <w:rPr>
          <w:rFonts w:ascii="Traditional Arabic" w:hAnsi="Traditional Arabic" w:cs="Traditional Arabic"/>
          <w:sz w:val="30"/>
          <w:szCs w:val="30"/>
        </w:rPr>
        <w:lastRenderedPageBreak/>
        <w:t>إلى 17 مليون طن متري في عامي 2021 و 2022. في عام 2024، ارتفع إلى 24.8 مليون طن متري في الأشهر العشرة الأولى من العام، مدفوعًا بقطاع سفن الحاويات.</w:t>
      </w:r>
    </w:p>
    <w:p w14:paraId="58F0FEA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وقد أدى عدد من العوامل إلى اعتماد الغاز الطبيعي المسال على نطاق واسع كوقود بديل. أولاً، إنها تقنية آمنة ومثبتة تطورت عضوياً في سوق ناقلات الغاز الطبيعي المسال. ثانياً، تم إحراز تقدم لوجستي كبير في مرافق تزويد السفن بالوقود على مدى العقد الماضي. ثالثًا، هناك شفافية فيما يتعلق بالنفقات الرأسمالية الإضافية المطلوبة للاستثمار في السفن الجديدة المبنية التي تعمل بالغاز الطبيعي المسال.</w:t>
      </w:r>
    </w:p>
    <w:p w14:paraId="3066667F"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وعلى الرغم من التغلب على العقبات التكنولوجية واللوجستية، تؤثر مشكلتان رئيسيتان على جدواها كحل طويل الأجل. الأول يدور حول إمكاناته في خفض الانبعاثات. وبالمقارنة مع زيوت الوقود التقليدية، فإن استخدام الغاز الطبيعي المسال كوقود بحري يزيل انبعاث أكاسيد الكبريت والجسيمات ويقلل من انبعاثات أكاسيد النيتروجين بنسبة 80 في المائةإلى 85 في المائة. ومع ذلك، فإن الغاز الطبيعي المسال يقلل فقط من انبعاثات</w:t>
      </w:r>
      <w:r w:rsidRPr="00F87C1B">
        <w:rPr>
          <w:rFonts w:ascii="Traditional Arabic" w:hAnsi="Traditional Arabic" w:cs="Traditional Arabic"/>
          <w:sz w:val="30"/>
          <w:szCs w:val="30"/>
          <w:vertAlign w:val="subscript"/>
        </w:rPr>
        <w:t xml:space="preserve"> ثاني</w:t>
      </w:r>
      <w:r w:rsidRPr="00F87C1B">
        <w:rPr>
          <w:rFonts w:ascii="Traditional Arabic" w:hAnsi="Traditional Arabic" w:cs="Traditional Arabic"/>
          <w:sz w:val="30"/>
          <w:szCs w:val="30"/>
        </w:rPr>
        <w:t xml:space="preserve"> أكسيد الكربون بنسبة 25 في المائة تقريبًا. المشكلة الثانية هي احتمال تسرب الميثان أثناء إنتاج ونقل الغاز الطبيعي المسال وأثناء احتراقه في المحرك. غاز الميثان المعروف باسم CH</w:t>
      </w:r>
      <w:r w:rsidRPr="00F87C1B">
        <w:rPr>
          <w:rFonts w:ascii="Traditional Arabic" w:hAnsi="Traditional Arabic" w:cs="Traditional Arabic"/>
          <w:sz w:val="30"/>
          <w:szCs w:val="30"/>
          <w:vertAlign w:val="subscript"/>
        </w:rPr>
        <w:t>4</w:t>
      </w:r>
      <w:r w:rsidRPr="00F87C1B">
        <w:rPr>
          <w:rFonts w:ascii="Traditional Arabic" w:hAnsi="Traditional Arabic" w:cs="Traditional Arabic"/>
          <w:sz w:val="30"/>
          <w:szCs w:val="30"/>
        </w:rPr>
        <w:t xml:space="preserve"> هو من الغازات الدفيئة، وهو أكثر فعالية من</w:t>
      </w:r>
      <w:r w:rsidRPr="00F87C1B">
        <w:rPr>
          <w:rFonts w:ascii="Traditional Arabic" w:hAnsi="Traditional Arabic" w:cs="Traditional Arabic"/>
          <w:sz w:val="30"/>
          <w:szCs w:val="30"/>
          <w:vertAlign w:val="subscript"/>
        </w:rPr>
        <w:t>ثاني</w:t>
      </w:r>
      <w:r w:rsidRPr="00F87C1B">
        <w:rPr>
          <w:rFonts w:ascii="Traditional Arabic" w:hAnsi="Traditional Arabic" w:cs="Traditional Arabic"/>
          <w:sz w:val="30"/>
          <w:szCs w:val="30"/>
        </w:rPr>
        <w:t xml:space="preserve"> أكسيد الكربون بعامل يبلغ حوالي 25 على مدى 100 عام، وتسىرب غاز الميثان يلغي بشكل فعال أي فائدة للغاز الطبيعي المسال كوقود للسفن من حيث خفض انبعاثات الغازات الدفيئة. وبالنسبة لمسألة تسرب غاز الميثان فلهذه أهمية خاصة عند قياس انبعاثات الغازات الدفيئة على أساس مرحلة الاستخراج إلى مرحلة الاستخدام كوقود.</w:t>
      </w:r>
    </w:p>
    <w:p w14:paraId="6376EC7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في نهاية المطاف، في حين أنه من المرجح أن يكون الغاز الطبيعي المسال وقودًا متكاملًا في محاولة الصناعة لتحقيق الأهداف المؤقتة لخفض الانبعاثات لعام 2030، فإن ملاءمته كحل لأهداف عام 2050 الأكثر طموحًا لا تزال موضع تساؤل.</w:t>
      </w:r>
    </w:p>
    <w:p w14:paraId="645A0192"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i/>
          <w:sz w:val="30"/>
          <w:szCs w:val="30"/>
        </w:rPr>
      </w:pPr>
      <w:r w:rsidRPr="00272B36">
        <w:rPr>
          <w:rFonts w:ascii="Traditional Arabic" w:hAnsi="Traditional Arabic" w:cs="Traditional Arabic"/>
          <w:b w:val="0"/>
          <w:bCs/>
          <w:i/>
          <w:sz w:val="30"/>
          <w:szCs w:val="30"/>
        </w:rPr>
        <w:t>الميثانول كوقود</w:t>
      </w:r>
    </w:p>
    <w:p w14:paraId="6BFB194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الميثانول (" CH</w:t>
      </w:r>
      <w:r w:rsidRPr="00F87C1B">
        <w:rPr>
          <w:rFonts w:ascii="Traditional Arabic" w:hAnsi="Traditional Arabic" w:cs="Traditional Arabic"/>
          <w:sz w:val="30"/>
          <w:szCs w:val="30"/>
          <w:vertAlign w:val="subscript"/>
        </w:rPr>
        <w:t xml:space="preserve"> 3</w:t>
      </w:r>
      <w:r w:rsidRPr="00F87C1B">
        <w:rPr>
          <w:rFonts w:ascii="Traditional Arabic" w:hAnsi="Traditional Arabic" w:cs="Traditional Arabic"/>
          <w:sz w:val="30"/>
          <w:szCs w:val="30"/>
        </w:rPr>
        <w:t xml:space="preserve"> OH ") هو كحول عديم اللون وقابل للاشتعال وقابل للذوبان في الماء وقابل للتحلل البيولوجي ويستخدم على نطاق واسع في الصناعة الكيميائية، ولكنه يستخدم أيضًا بشكل متزايد كمصدر للطاقة النظيفة في قطاعات السيارات والبحرية والطاقة، إما بمفرده أو مخلوطا مع أنواع الوقود الأخرى. يتم إنتاج الميثانول في المقام الأول من خلال التكسير البخاري للغاز الطبيعي لإنشاء غاز التخليق او الغاز الصناعي يمكن تقطيره بعد ذلك لإنتاج الميثانول. وعلى الرغم من أن الميثانول التقليدي له انبعاثات كربونية مماثلة للغاز الطبيعي، إلا أنه يمكن إنتاج الميثانول الأخضر المحايد للكربون من مصادر متجددة </w:t>
      </w:r>
      <w:r w:rsidRPr="00F87C1B">
        <w:rPr>
          <w:rFonts w:ascii="Traditional Arabic" w:hAnsi="Traditional Arabic" w:cs="Traditional Arabic"/>
          <w:sz w:val="30"/>
          <w:szCs w:val="30"/>
        </w:rPr>
        <w:lastRenderedPageBreak/>
        <w:t>مثل الكتلة الحيوية ونفايات الغاز من مياه الصرف الصحي والنفايات البلدية، أو من الجمع بين ثاني أكسيد الكربون والهيدروجين المنتج مع الكهرباء المتجددة. ومع ذلك، لا يزال إنتاج الميثانول الأخضر مكلفًا ولا يزال الإنتاج العالمي منخفضًا.</w:t>
      </w:r>
    </w:p>
    <w:p w14:paraId="1B0681F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يحترق الميثانول بشكل نظيف ويولد مستويات منخفضة من سخام المحرك (المكونات السوداء بعد احتراق المحرك) مقارنة بالوقود الأحفوري التقليدي. تتطلب محركات الاحتراق الداخلي المصممة لحرق الوقود الأحفوري وأنظمة توصيل الوقود أيضًا بعض التعديلات من أجل حرق الميثانول. ومع ذلك، فإن محتوى الطاقة من الميثانول هو ما يقرب من نصف محتوى الوقود الأحفوري التقليدي، مما يضاعف متطلبات تخزين الخزان على متن السفينة للحفاظ على نفس المدى الجغرافي المكافئ. وعلى هذا النحو، فإن الميثانول هو الأنسب للسفن التي تعمل على مسافات قصيرة ومتوسطة أو مزجه في الوقود الممزوج بالوقود الأحفوري التقليدي. كما يمكن استخدامه أيضًا كحامل للهيدروجين في خلايا الوقود.</w:t>
      </w:r>
    </w:p>
    <w:p w14:paraId="63B44588"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i/>
          <w:sz w:val="30"/>
          <w:szCs w:val="30"/>
        </w:rPr>
      </w:pPr>
      <w:r w:rsidRPr="00272B36">
        <w:rPr>
          <w:rFonts w:ascii="Traditional Arabic" w:hAnsi="Traditional Arabic" w:cs="Traditional Arabic"/>
          <w:b w:val="0"/>
          <w:bCs/>
          <w:i/>
          <w:sz w:val="30"/>
          <w:szCs w:val="30"/>
        </w:rPr>
        <w:t>الأمونيا كوقود</w:t>
      </w:r>
    </w:p>
    <w:p w14:paraId="15DC4EB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vertAlign w:val="subscript"/>
        </w:rPr>
      </w:pPr>
      <w:r w:rsidRPr="00F87C1B">
        <w:rPr>
          <w:rFonts w:ascii="Traditional Arabic" w:hAnsi="Traditional Arabic" w:cs="Traditional Arabic"/>
          <w:sz w:val="30"/>
          <w:szCs w:val="30"/>
        </w:rPr>
        <w:t>الأمونيا ("NH</w:t>
      </w:r>
      <w:r w:rsidRPr="00F87C1B">
        <w:rPr>
          <w:rFonts w:ascii="Traditional Arabic" w:hAnsi="Traditional Arabic" w:cs="Traditional Arabic"/>
          <w:sz w:val="30"/>
          <w:szCs w:val="30"/>
          <w:vertAlign w:val="subscript"/>
        </w:rPr>
        <w:t>3</w:t>
      </w:r>
      <w:r w:rsidRPr="00F87C1B">
        <w:rPr>
          <w:rFonts w:ascii="Traditional Arabic" w:hAnsi="Traditional Arabic" w:cs="Traditional Arabic"/>
          <w:sz w:val="30"/>
          <w:szCs w:val="30"/>
        </w:rPr>
        <w:t>") هي غاز عديم اللون ينتج الماء والنيتروجين عند حرقه في درجات حرارة منخفضة، ولكن عند حرقه في درجات حرارة أعلى، ينتج أكسيد النيتروز أو ثاني أكسيد النيتروجين. اليوم، يتم إنتاج الأمونيا بشكل أساسي عن طريق تحويل مادة وسيطة مثل الميثان لإنتاج الهيدروجين، والذي يتفاعل بعد ذلك مع النيتروجين؛ ويعني استخدام مادة وسيطة هيدروكربونية أن جميع الأمونيا تقريبًا تنتج اليوم</w:t>
      </w:r>
      <w:r w:rsidRPr="00F87C1B">
        <w:rPr>
          <w:rFonts w:ascii="Traditional Arabic" w:hAnsi="Traditional Arabic" w:cs="Traditional Arabic"/>
          <w:sz w:val="30"/>
          <w:szCs w:val="30"/>
          <w:vertAlign w:val="subscript"/>
        </w:rPr>
        <w:t xml:space="preserve"> ثاني</w:t>
      </w:r>
      <w:r w:rsidRPr="00F87C1B">
        <w:rPr>
          <w:rFonts w:ascii="Traditional Arabic" w:hAnsi="Traditional Arabic" w:cs="Traditional Arabic"/>
          <w:sz w:val="30"/>
          <w:szCs w:val="30"/>
        </w:rPr>
        <w:t xml:space="preserve"> أكسيد الكربون. ومع ذلك، يُقترح أنه في المستقبل أن يتم إنتاج الأمونيا الخضراء باستخدام الكهرباء المتجددة لفصل الماء إلى عناصره الأساسية بالكهرباء لإنتاج الهيدروجين مع فصل النيتروجين عن الهواء ؛ وهذه العملية لن تولد</w:t>
      </w:r>
      <w:r w:rsidRPr="00F87C1B">
        <w:rPr>
          <w:rFonts w:ascii="Traditional Arabic" w:hAnsi="Traditional Arabic" w:cs="Traditional Arabic"/>
          <w:sz w:val="30"/>
          <w:szCs w:val="30"/>
          <w:vertAlign w:val="subscript"/>
        </w:rPr>
        <w:t xml:space="preserve"> ثاني أكسيد الكربون.</w:t>
      </w:r>
    </w:p>
    <w:p w14:paraId="3FC4BA4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وتتمثل المزايا الرئيسية للأمونيا كوقود في أن نقلها عن طريق النقل البحري، وهذا مفهوم جيدًا، حيث يتم نقلها في ناقلات غاز البترول المسال لسنوات عديدة، وأن احتراقها ينتج بطبيعته انبعاثات كربونية صفرية. العيب الرئيسي للأمونيا هو أنه في الوقت الحاضر، لا يتم إنتاج الأمونيا الخضراء تقريبًا – وبالتالي، لم يتم تحقيق وفورات</w:t>
      </w:r>
      <w:r w:rsidRPr="00F87C1B">
        <w:rPr>
          <w:rFonts w:ascii="Traditional Arabic" w:hAnsi="Traditional Arabic" w:cs="Traditional Arabic"/>
          <w:sz w:val="30"/>
          <w:szCs w:val="30"/>
          <w:vertAlign w:val="subscript"/>
        </w:rPr>
        <w:t xml:space="preserve"> ثاني</w:t>
      </w:r>
      <w:r w:rsidRPr="00F87C1B">
        <w:rPr>
          <w:rFonts w:ascii="Traditional Arabic" w:hAnsi="Traditional Arabic" w:cs="Traditional Arabic"/>
          <w:sz w:val="30"/>
          <w:szCs w:val="30"/>
        </w:rPr>
        <w:t xml:space="preserve"> أكسيد الكربون – وقد لا يكون إنتاج الأمونيا الخضراء مجديًا من الناحية الاقتصادية دون شكل من أشكال الدعم في شكل ضرائب أو إعانات أو دعم تجاري. بالإضافة إلى ذلك، تحتوي الأمونيا على ما يقرب من نصف كثافة الطاقة لوقود السفن التقليدي، لذلك تتطلب ضعف مساحة التخزين. كما أنه شديد السمية، وستحتاج السفن إلى معدات وأنظمة أمان إضافية لاستخدام الأمونيا.</w:t>
      </w:r>
    </w:p>
    <w:p w14:paraId="792B93B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في الوقت الحالي، لا تستخدم أي سفن حاليًا الأمونيا كوقود. ومع ذلك، هناك الآن عدد قليل من السفن في دفتر الطلبات مع إمكانية التسليم الأول في العام المقبل.</w:t>
      </w:r>
    </w:p>
    <w:p w14:paraId="17CF4786"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i/>
          <w:sz w:val="30"/>
          <w:szCs w:val="30"/>
        </w:rPr>
      </w:pPr>
      <w:r w:rsidRPr="00272B36">
        <w:rPr>
          <w:rFonts w:ascii="Traditional Arabic" w:hAnsi="Traditional Arabic" w:cs="Traditional Arabic"/>
          <w:b w:val="0"/>
          <w:bCs/>
          <w:i/>
          <w:sz w:val="30"/>
          <w:szCs w:val="30"/>
        </w:rPr>
        <w:t>توافر الوقود منخفض الكربون</w:t>
      </w:r>
    </w:p>
    <w:p w14:paraId="05F7AA63"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كانت القصة الرئيسية في السنوات الثلاث الماضية هي ظهور الميثانول كوقود مفضل للعديد من المشغلين، خاصة في قطاع سفن الحاويات. ففي عام 2023، تم طلب ما يقرب من 10 ملايين طن متري من السفن مع إمكانية استخدام الميثانول كوقود. ومع ذلك، جلب هذا النجاح مشاكله الخاصة مع التقدم في تسليم الميثانول الأزرق والأخضر الذي لا يواكب طلب السفن. وستكون مسألة توافر جميع أنواع الوقود الأخضر عقبة رئيسية في تحقيق المنظمة البحرية الدولية لهدفها المتمثل في 5 في المائة على الأقل، مع السعي لتحقيق 10 في المائة من الطاقة المستخدمة بحلول عام 2030.</w:t>
      </w:r>
    </w:p>
    <w:p w14:paraId="09504F1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ولوضع هدف 5 في المائة (أو 10 في المائة) من الوقود المستهلك عند الصفر أو بالقرب من الصفر من الغازات الدفيئة بحلول عام 2030 في السياق، يتوقع مستشار السوق أن يتم تجهيز 9 في المائة من الأسطول بمحرك قادر على حرق الميثانول أو الأمونيا بحلول عام 2030.</w:t>
      </w:r>
    </w:p>
    <w:p w14:paraId="68F7D96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ومع ذلك، هذا لا يعني أن هذه السفن ستصل إلى الميثانول أو الأمونيا صفر أو منخفض الانبعاثات. ستتطلب توقعاتنا للأساطيل التي تعمل بالميثانول والأمونيا في عام 2030 ما يقرب من 40 مليون طن متري من الميثانول و 10 مليون طن متري من الأمونيا لتجنب الوقود الأحفوري.</w:t>
      </w:r>
    </w:p>
    <w:p w14:paraId="075B7A3E"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كان التقدم في اقتصاد الهيدروجين أبطأ مما كان متوقعًا، حيث خفض العديد من المراقبين، بما في ذلك توقعات مستشار السوق. وبناءً على المشاريع/الخطط الحالية، يمكن أن تكون إمدادات الوقود من الميثانول 7 مليون طن متري في عام 2030 و 2.5 مليون طن متري من الأمونيا. ومن المرجح أن يكون توافر المحركات كافياً للميثانول، لكن إمدادات الوقود لن تكون كافية. وبالنسبة للأمونيا، فمن المرجح أن يكون العكس صحيحًا. وهذه النقطة ليست جديدة ولكنها تحتاج إلى تكرار – لن تستهلك العديد من السفن المزودة بمحركات الوقود المزدوج الوقود النظيف. وسيكونون قادرين على تلبية مؤشر كثافة الكربون التشغيلي ومجموعة تشريعات الاتحاد الأوروبي للوقود باستخدام الوقود الرمادي/النظيف المخلوط. سيتطلب اختراق حاجز 5 في المائة على المستوى العالمي تسريع إنتاج الوقود النظيف المستخدم في النقل البحري.</w:t>
      </w:r>
    </w:p>
    <w:p w14:paraId="5B6D56BE"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الرسم البياني: التعاقد على السفن التي تعمل بالوقود البديل حسب نوع السفينة</w:t>
      </w:r>
    </w:p>
    <w:p w14:paraId="0CA5960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noProof/>
          <w:sz w:val="30"/>
          <w:szCs w:val="30"/>
        </w:rPr>
        <w:lastRenderedPageBreak/>
        <w:drawing>
          <wp:inline distT="0" distB="0" distL="0" distR="0" wp14:anchorId="25908225" wp14:editId="33DD8907">
            <wp:extent cx="3366735" cy="2199600"/>
            <wp:effectExtent l="0" t="0" r="5715" b="0"/>
            <wp:docPr id="8296005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366735" cy="2199600"/>
                    </a:xfrm>
                    <a:prstGeom prst="rect">
                      <a:avLst/>
                    </a:prstGeom>
                    <a:noFill/>
                    <a:ln>
                      <a:noFill/>
                    </a:ln>
                  </pic:spPr>
                </pic:pic>
              </a:graphicData>
            </a:graphic>
          </wp:inline>
        </w:drawing>
      </w:r>
    </w:p>
    <w:tbl>
      <w:tblPr>
        <w:bidiVisual/>
        <w:tblW w:w="8925" w:type="dxa"/>
        <w:tblInd w:w="425" w:type="dxa"/>
        <w:tblLayout w:type="fixed"/>
        <w:tblLook w:val="0000" w:firstRow="0" w:lastRow="0" w:firstColumn="0" w:lastColumn="0" w:noHBand="0" w:noVBand="0"/>
      </w:tblPr>
      <w:tblGrid>
        <w:gridCol w:w="1424"/>
        <w:gridCol w:w="7501"/>
      </w:tblGrid>
      <w:tr w:rsidR="00F87C1B" w:rsidRPr="00F87C1B" w14:paraId="144E55E9" w14:textId="77777777" w:rsidTr="00922116">
        <w:tc>
          <w:tcPr>
            <w:tcW w:w="1440" w:type="dxa"/>
            <w:tcBorders>
              <w:top w:val="single" w:sz="4" w:space="0" w:color="auto"/>
            </w:tcBorders>
            <w:vAlign w:val="bottom"/>
          </w:tcPr>
          <w:p w14:paraId="47799709"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الملاحظات:</w:t>
            </w:r>
          </w:p>
        </w:tc>
        <w:tc>
          <w:tcPr>
            <w:tcW w:w="7599" w:type="dxa"/>
            <w:vAlign w:val="bottom"/>
          </w:tcPr>
          <w:p w14:paraId="1EA3FDD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tc>
      </w:tr>
      <w:tr w:rsidR="00F87C1B" w:rsidRPr="00F87C1B" w14:paraId="3FCB6626" w14:textId="77777777" w:rsidTr="00922116">
        <w:tc>
          <w:tcPr>
            <w:tcW w:w="9039" w:type="dxa"/>
            <w:gridSpan w:val="2"/>
            <w:vAlign w:val="bottom"/>
          </w:tcPr>
          <w:p w14:paraId="1C428A96"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يتم جمع المعلومات حول أنواع وقود السفن حسب كل سفينة على أساس أفضل الجهود من مجموعة متنوعة من المصادر المختلفة. وقد لا تكون شاملة وتحتاج للمراجعة.</w:t>
            </w:r>
          </w:p>
        </w:tc>
      </w:tr>
      <w:tr w:rsidR="00F87C1B" w:rsidRPr="00F87C1B" w14:paraId="09F2DE3C" w14:textId="77777777" w:rsidTr="00922116">
        <w:tc>
          <w:tcPr>
            <w:tcW w:w="9039" w:type="dxa"/>
            <w:gridSpan w:val="2"/>
            <w:vAlign w:val="bottom"/>
          </w:tcPr>
          <w:p w14:paraId="791A887B"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باستثناء السفن التي تم تعديلها للعمل بالوقود الطبيعي المسال.</w:t>
            </w:r>
          </w:p>
        </w:tc>
      </w:tr>
      <w:tr w:rsidR="00F87C1B" w:rsidRPr="00F87C1B" w14:paraId="67794542" w14:textId="77777777" w:rsidTr="00922116">
        <w:tc>
          <w:tcPr>
            <w:tcW w:w="9039" w:type="dxa"/>
            <w:gridSpan w:val="2"/>
            <w:vAlign w:val="bottom"/>
          </w:tcPr>
          <w:p w14:paraId="4544478A"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باستثناء ناقلات الغاز الطبيعي المسال.</w:t>
            </w:r>
          </w:p>
        </w:tc>
      </w:tr>
      <w:tr w:rsidR="00F87C1B" w:rsidRPr="00F87C1B" w14:paraId="16C9D564" w14:textId="77777777" w:rsidTr="00922116">
        <w:tc>
          <w:tcPr>
            <w:tcW w:w="9039" w:type="dxa"/>
            <w:gridSpan w:val="2"/>
            <w:vAlign w:val="bottom"/>
          </w:tcPr>
          <w:p w14:paraId="3262E3CC" w14:textId="77777777" w:rsidR="00F87C1B" w:rsidRPr="00F87C1B" w:rsidRDefault="00F87C1B" w:rsidP="00922116">
            <w:pPr>
              <w:pStyle w:val="P68B1DB1-KeyMessage1"/>
              <w:numPr>
                <w:ilvl w:val="0"/>
                <w:numId w:val="33"/>
              </w:numPr>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بيانات 2024 من يناير إلى أكتوبر</w:t>
            </w:r>
          </w:p>
        </w:tc>
      </w:tr>
    </w:tbl>
    <w:p w14:paraId="580C0D5B" w14:textId="77777777" w:rsidR="00F87C1B" w:rsidRPr="00F87C1B" w:rsidRDefault="00F87C1B" w:rsidP="00F87C1B">
      <w:pPr>
        <w:pStyle w:val="P68B1DB1-KeyMessage1"/>
        <w:spacing w:beforeLines="40" w:before="96" w:afterLines="40" w:after="96"/>
        <w:rPr>
          <w:rFonts w:ascii="Traditional Arabic" w:hAnsi="Traditional Arabic" w:cs="Traditional Arabic"/>
          <w:i/>
          <w:sz w:val="30"/>
          <w:szCs w:val="30"/>
        </w:rPr>
      </w:pPr>
      <w:r w:rsidRPr="00F87C1B">
        <w:rPr>
          <w:rFonts w:ascii="Traditional Arabic" w:hAnsi="Traditional Arabic" w:cs="Traditional Arabic"/>
          <w:i/>
          <w:sz w:val="30"/>
          <w:szCs w:val="30"/>
        </w:rPr>
        <w:t>المصدر: مستشار السوق للربع الرابع لعام 2024</w:t>
      </w:r>
    </w:p>
    <w:p w14:paraId="6169467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اعتمدت الشركة مجموعة من الاستراتيجيات استجابة لزيادة التنظيم البيئي لصناعة النقل البحري. وفيما يتعلق بتصنيف مؤشر كفاءة الطاقة للسفن الحالية ومؤشر كفاءة الطاقة للسفن الحالية، فقد انتهت الشركة من إعداد التقرير السنوي الأول لهذه الشهادات في عام 2023، وصدرت التقييمات الأولية في عام 2024. تقوم الشركة بإجراء مراجعات ربع سنوية لتصنيفات مؤشر كثافة الكربون التشغيلي الخاصة بها وتلتزم بتحسينها سنويًا بنسبة 2 في المائة. وبالنسبة للسفن التي تقع في التصنيفات D و E، تتخذ الشركة تدابير لتحسين التصنيف، والتي تشمل أيضًا المناقشة مع المستأجرين لتقليل وقت تعطل/انتظار السفن.</w:t>
      </w:r>
    </w:p>
    <w:p w14:paraId="1EC0CDA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كما تشارك الشركة بانتظام مع الجهات الفاعلة في هذا المجال مثل الهيئات التنظيمية ومصنعي المحركات والعملاء ومعاهد بناء السفن والمؤسسات المالية لدراسة وتنفيذ التقنيات الجديدة التي تساهم في جهود إزالة الكربون في مجال النقل البحري. </w:t>
      </w:r>
    </w:p>
    <w:p w14:paraId="659E164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lastRenderedPageBreak/>
        <w:t>من خلال نظام شامل لمراقبة الانبعاثات، تتعقب الشركة بيانات استهلاك الوقود لحساب انبعاثات ثاني أكسيد الكربون بدقة، وتحديد الاتجاهات والأنماط، وتحليل مجالات التحسين واستراتيجيات الحد من الانبعاثات. وتهدف التقنيات الموفرة للطاقة، مثل أنظمة دفع السفن المحسنة، وطلاء السفن الحديثة، وأنظمة إدارة الطاقة، بالإضافة إلى عمليات التفتيش المنتظمة للسفن والتنظيف الروتيني للبدن والمروحة، إلى تحسين كفاءة استهلاك الطاقة للسفن وعملياتها. بالإضافة إلى ذلك، تستكشف الشركة خيارات الوقود البديل، مثل الأمونيا والميثانول والوقود الحيوي والهيدروجين، مع التركيز على مواجهة التحديات المتعلقة بالمناولة الآمنة والتخزين وتطوير البنية التحتية. وفي الوقت الحالي، تستخدم سفن الشركة زيت وقود منخفض الكبريت وزيت وقود ثقيل، وهي مزودة بأجهزة تنقية الغاز للتحكم في الانبعاثات. وقد امتثلت الشركة للحد الأقصى العالمي الذي حددته المنظمة البحرية الدولية بنسبة 5 في المائة لمحتوى الكبريت في الوقود منذ تشريعها في عام 2020.</w:t>
      </w:r>
    </w:p>
    <w:p w14:paraId="7CCA35E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وفيما يتعلق بمتطلبات إدارة مياه الصابورة للاتفاقية الدولية لمنع التلوث الناجم عن السفن (" ماربول ") التي تهدف إلى حماية البيئة من أنواع الأحياء الغازية الموجودة في مياه الصابورة، تم تعديل سفن الشركة بنظام معالجة مياه الصابورة المصمم للقضاء على الأنواع المائية الغازية، مما يضمن إمكانية تصريف مياه الصابورة بأمان دون الإضرار بالبيئات أو الموانئ البحرية الساحلية. كما تقوم الشركة بتتبع كمية مياه القاع، وهي المياه التي يتم جمعها في الجزء السفلي من الجزء الداخلي من سفنها بسبب التسرب من مضخات ومبردات مياه البحر والمياه العذبة، والتي يتم تصريفها في البحر. تتم معالجة مياه القاع بواسطة جهاز فصل المياه الزيتية الذي يزيل المحتوى الزيتي.</w:t>
      </w:r>
    </w:p>
    <w:p w14:paraId="7482C604"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 xml:space="preserve">ولتحسين كفاءة الطاقة، نفذت الشركة العديد من التقنيات الموفرة للطاقة على بعض السفن، بما في ذلك: </w:t>
      </w:r>
    </w:p>
    <w:p w14:paraId="57F3854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i/>
          <w:sz w:val="30"/>
          <w:szCs w:val="30"/>
        </w:rPr>
        <w:t>أشرعة الدوارات من أنيموي:</w:t>
      </w:r>
      <w:r w:rsidRPr="00F87C1B">
        <w:rPr>
          <w:rFonts w:ascii="Traditional Arabic" w:hAnsi="Traditional Arabic" w:cs="Traditional Arabic"/>
          <w:sz w:val="30"/>
          <w:szCs w:val="30"/>
        </w:rPr>
        <w:t xml:space="preserve"> تشير إلى استخدام تكنولوجيا تستفيد من الظاهرة الديناميكية الهوائية المعروفة باسم تأثير ماغنوس، وتستند هذه التقنية إلى تحسين كفاءة السفن من خلال تقليل استهلاك الوقود وتكاليف الوقود البحري والانبعاثات الضارة.</w:t>
      </w:r>
    </w:p>
    <w:p w14:paraId="344C0DEB"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i/>
          <w:sz w:val="30"/>
          <w:szCs w:val="30"/>
        </w:rPr>
        <w:t>محول التردد المتغير أوبتيسيف</w:t>
      </w:r>
      <w:r w:rsidRPr="00F87C1B">
        <w:rPr>
          <w:rFonts w:ascii="Traditional Arabic" w:hAnsi="Traditional Arabic" w:cs="Traditional Arabic"/>
          <w:sz w:val="30"/>
          <w:szCs w:val="30"/>
        </w:rPr>
        <w:t xml:space="preserve">: جهاز يهدف إلى تحسين نظام التحكم في مضخات التبريد ومراوح غرفة المحرك الموجودة على متن السفن، مما يقلل من الطاقة الكهربائية المستهلكة ويوفر الوقود. </w:t>
      </w:r>
    </w:p>
    <w:p w14:paraId="64BEBB26"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i/>
          <w:sz w:val="30"/>
          <w:szCs w:val="30"/>
        </w:rPr>
        <w:t>قناة بيكرمويس:</w:t>
      </w:r>
      <w:r w:rsidRPr="00F87C1B">
        <w:rPr>
          <w:rFonts w:ascii="Traditional Arabic" w:hAnsi="Traditional Arabic" w:cs="Traditional Arabic"/>
          <w:sz w:val="30"/>
          <w:szCs w:val="30"/>
        </w:rPr>
        <w:t xml:space="preserve"> جهاز مخصص لتوفير الطاقة تم تطويره للسفن البطيئة ذات الشكل الكامل مما يتيح توفيرًا كبيرًا في الطاقة عند سرعة معينة أو تحقيق سرعات أعلى عند نفس مستوى الطاقة المستخدم. </w:t>
      </w:r>
    </w:p>
    <w:p w14:paraId="041E854A"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i/>
          <w:sz w:val="30"/>
          <w:szCs w:val="30"/>
        </w:rPr>
        <w:t>نظام التشحيم الهوائي سيلفرستريم</w:t>
      </w:r>
      <w:r w:rsidRPr="00F87C1B">
        <w:rPr>
          <w:rFonts w:ascii="Traditional Arabic" w:hAnsi="Traditional Arabic" w:cs="Traditional Arabic"/>
          <w:sz w:val="30"/>
          <w:szCs w:val="30"/>
        </w:rPr>
        <w:t>: تقنية تُستخدم لتقليل مقاومة الاحتكاك للسفينة من خلال إنشاء طبقة من الفقاعات الدقيقة التي تغطي معظم الجزء السفلي المسطح لهيكل السفينة، حيث يعمل هذا الغطاء من الفقاعات على تقليل الاحتكاك بين هيكل السفينة والماء، مما يؤدي إلى تحسين كفاءة استهلاك الوقود وتقليل الانبعاثات الضارة بنسبة تصل إلى 10 بالمائة.</w:t>
      </w:r>
    </w:p>
    <w:p w14:paraId="21EC0B4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i/>
          <w:sz w:val="30"/>
          <w:szCs w:val="30"/>
        </w:rPr>
        <w:lastRenderedPageBreak/>
        <w:t>محدد قوة المحرك</w:t>
      </w:r>
      <w:r w:rsidRPr="00F87C1B">
        <w:rPr>
          <w:rFonts w:ascii="Traditional Arabic" w:hAnsi="Traditional Arabic" w:cs="Traditional Arabic"/>
          <w:sz w:val="30"/>
          <w:szCs w:val="30"/>
        </w:rPr>
        <w:t>: تقنية تضع حداً شبه دائم يمكن تجاوزه لقوة وسرعة المحرك الرئيسي للسفينة.</w:t>
      </w:r>
    </w:p>
    <w:p w14:paraId="777865E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i/>
          <w:sz w:val="30"/>
          <w:szCs w:val="30"/>
        </w:rPr>
        <w:t>طلاء إنتراسليك 1100 إس آر:</w:t>
      </w:r>
      <w:r w:rsidRPr="00F87C1B">
        <w:rPr>
          <w:rFonts w:ascii="Traditional Arabic" w:hAnsi="Traditional Arabic" w:cs="Traditional Arabic"/>
          <w:sz w:val="30"/>
          <w:szCs w:val="30"/>
        </w:rPr>
        <w:t xml:space="preserve"> طلاء يُستخدم لتوفير سطح أملس ومنخفض الاحتكاك فائق النعومة يحسن استهلاك الوقود بنسبة تصل إلى 9 في المائة وانخفاض كبير في ثاني أكسيد الكربون مقارنة بالطلاءات التقليدية المضادة لتكون الرواسب البحرية على هياكل السفن </w:t>
      </w:r>
    </w:p>
    <w:p w14:paraId="60EA059D"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i/>
          <w:sz w:val="30"/>
          <w:szCs w:val="30"/>
        </w:rPr>
        <w:t>طلاء نانو إيبوكسي - بتقنية أزرا</w:t>
      </w:r>
      <w:r w:rsidRPr="00F87C1B">
        <w:rPr>
          <w:rFonts w:ascii="Traditional Arabic" w:hAnsi="Traditional Arabic" w:cs="Traditional Arabic"/>
          <w:sz w:val="30"/>
          <w:szCs w:val="30"/>
        </w:rPr>
        <w:t>: يستخدم لحماية هياكل السفن تحت الماء، ويوفر هذا الطلاء الطاقة والوقود بفضل سطحه الأملس للغاية الذي يقلل من الاحتكاك، إضافة إلى مقاومته العالية للتآكل والصدمات الميكانيكية.</w:t>
      </w:r>
    </w:p>
    <w:p w14:paraId="0CE648F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بالنسبة لسفنها المبنية الجديدة، طلبت الشركة سفينتين للغاز الطبيعي المسال مع خيار الوقود المزدوج لتكون جاهزة للوقود النظيف البديل في المستقبل.</w:t>
      </w:r>
    </w:p>
    <w:p w14:paraId="79898836"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إجراء المقارنات المعيارية</w:t>
      </w:r>
    </w:p>
    <w:p w14:paraId="2C3B7C13" w14:textId="77777777" w:rsidR="00F87C1B" w:rsidRPr="00272B36" w:rsidRDefault="00F87C1B" w:rsidP="00F87C1B">
      <w:pPr>
        <w:pStyle w:val="P68B1DB1-KeyMessage1"/>
        <w:spacing w:beforeLines="40" w:before="96" w:afterLines="40" w:after="96"/>
        <w:rPr>
          <w:rFonts w:ascii="Traditional Arabic" w:hAnsi="Traditional Arabic" w:cs="Traditional Arabic"/>
          <w:b w:val="0"/>
          <w:bCs/>
          <w:sz w:val="30"/>
          <w:szCs w:val="30"/>
        </w:rPr>
      </w:pPr>
      <w:r w:rsidRPr="00272B36">
        <w:rPr>
          <w:rFonts w:ascii="Traditional Arabic" w:hAnsi="Traditional Arabic" w:cs="Traditional Arabic"/>
          <w:b w:val="0"/>
          <w:bCs/>
          <w:sz w:val="30"/>
          <w:szCs w:val="30"/>
        </w:rPr>
        <w:t>قياس خصائص الأسطول ومؤشرات الأداء الرئيسية التشغيلية وتكاليف تشغيل السفن</w:t>
      </w:r>
    </w:p>
    <w:p w14:paraId="0113B382"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قام مستشار السوق بقياس أسطول سفن الشركة مقابل أسطول مجموعة عالمية وأسطول مجموعة منافسة مختارة عبر مجموعة مختارة من نقاط البيانات بما في ذلك: مواصفات السفينة ؛ متوسط العمر ؛ مؤشرات الأداء الرئيسية التشغيلية (الوقت في الميناء، والوقت في الصابورة، وسرعة السفينة) ؛ وتكاليف تشغيل السفينة.</w:t>
      </w:r>
    </w:p>
    <w:p w14:paraId="6BDA241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يُظهر تحليل مستشار السوق المقارن لأبعاد وخصائص أسطول الشركة مقابل الأسطول العالمي أنه بالنسبة لكل قطاع وشريحة، تتوافق سفن الشركة مع متوسط أبعاد وخصائص المعايير القياسية المحددة بوضوح داخل الأسطول العالمي. وفي القطاعين اللذين يمثلان أكبر نسبة من أسطول الشركة المملوك (ناقلات النفط الخام العملاقة وناقلات متوسطة المدى)، كان متوسط عمر سفن الشركة أقل من متوسط السفن العاملة في الصناعة. وفي الشرائح الأخرى، كان العكس صحيحًا.</w:t>
      </w:r>
    </w:p>
    <w:p w14:paraId="2AA78A75"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تم تحليل ثلاثة مؤشرات أداء رئيسية تشغيلية حسب نوع السفينة لأسطول الشركة مقارنة بأسطول مجموعة منافسة. كان مصدر البيانات إشارات نظام التعرف التلقائي وتم استخدام بيانات عامي 2022 و 2023 في تحليل الوقت المستنفذ في الميناء والصابورة، لتحسين حجم العينة. ومع ذلك، كانت البيانات من عام 2023 كافية لتحليل السرعات. وكانت النتائج كما يلي:</w:t>
      </w:r>
    </w:p>
    <w:p w14:paraId="78777282" w14:textId="77777777" w:rsidR="00F87C1B" w:rsidRPr="00F87C1B" w:rsidRDefault="00F87C1B" w:rsidP="00D925C8">
      <w:pPr>
        <w:pStyle w:val="P68B1DB1-KeyMessage1"/>
        <w:numPr>
          <w:ilvl w:val="0"/>
          <w:numId w:val="63"/>
        </w:numPr>
        <w:spacing w:beforeLines="40" w:before="96" w:afterLines="40" w:after="96"/>
        <w:rPr>
          <w:rFonts w:ascii="Traditional Arabic" w:hAnsi="Traditional Arabic" w:cs="Traditional Arabic"/>
          <w:sz w:val="30"/>
          <w:szCs w:val="30"/>
        </w:rPr>
      </w:pPr>
      <w:r w:rsidRPr="00272B36">
        <w:rPr>
          <w:rFonts w:ascii="Traditional Arabic" w:hAnsi="Traditional Arabic" w:cs="Traditional Arabic"/>
          <w:b w:val="0"/>
          <w:bCs/>
          <w:sz w:val="30"/>
          <w:szCs w:val="30"/>
        </w:rPr>
        <w:t>الوقت في الميناء</w:t>
      </w:r>
      <w:r w:rsidRPr="00F87C1B">
        <w:rPr>
          <w:rFonts w:ascii="Traditional Arabic" w:hAnsi="Traditional Arabic" w:cs="Traditional Arabic"/>
          <w:sz w:val="30"/>
          <w:szCs w:val="30"/>
        </w:rPr>
        <w:t>: بالنسبة لجميع القطاعات، تُمضي سفن الشركة في المتوسط وقتا أقل من الوقت في الميناء من مجموعة المنافسين. بالنسبة لناقلات المنتجات، قضت سفن الشركة وقتًا أطول بشكل طفيف في الميناء من مجموعة المنافسين.</w:t>
      </w:r>
    </w:p>
    <w:p w14:paraId="1970D46C" w14:textId="77777777" w:rsidR="00F87C1B" w:rsidRPr="00F87C1B" w:rsidRDefault="00F87C1B" w:rsidP="00D925C8">
      <w:pPr>
        <w:pStyle w:val="P68B1DB1-KeyMessage1"/>
        <w:numPr>
          <w:ilvl w:val="0"/>
          <w:numId w:val="63"/>
        </w:numPr>
        <w:spacing w:beforeLines="40" w:before="96" w:afterLines="40" w:after="96"/>
        <w:rPr>
          <w:rFonts w:ascii="Traditional Arabic" w:hAnsi="Traditional Arabic" w:cs="Traditional Arabic"/>
          <w:sz w:val="30"/>
          <w:szCs w:val="30"/>
        </w:rPr>
      </w:pPr>
      <w:r w:rsidRPr="00272B36">
        <w:rPr>
          <w:rFonts w:ascii="Traditional Arabic" w:hAnsi="Traditional Arabic" w:cs="Traditional Arabic"/>
          <w:b w:val="0"/>
          <w:bCs/>
          <w:sz w:val="30"/>
          <w:szCs w:val="30"/>
        </w:rPr>
        <w:lastRenderedPageBreak/>
        <w:t>الوقت في الصابورة</w:t>
      </w:r>
      <w:r w:rsidRPr="00F87C1B">
        <w:rPr>
          <w:rFonts w:ascii="Traditional Arabic" w:hAnsi="Traditional Arabic" w:cs="Traditional Arabic"/>
          <w:sz w:val="30"/>
          <w:szCs w:val="30"/>
        </w:rPr>
        <w:t>: قضى أسطول الشركة أوقاتًا مماثلة في الصابورة من مجموعة المنافسين، مع وقت أقل قليلاً لناقلات المنتجات ووقت أكثر قليلاً لناقلات النفط الخام العملاقة.</w:t>
      </w:r>
    </w:p>
    <w:p w14:paraId="1891FBFE" w14:textId="77777777" w:rsidR="00F87C1B" w:rsidRPr="00F87C1B" w:rsidRDefault="00F87C1B" w:rsidP="00D925C8">
      <w:pPr>
        <w:pStyle w:val="P68B1DB1-KeyMessage1"/>
        <w:numPr>
          <w:ilvl w:val="0"/>
          <w:numId w:val="63"/>
        </w:numPr>
        <w:spacing w:beforeLines="40" w:before="96" w:afterLines="40" w:after="96"/>
        <w:rPr>
          <w:rFonts w:ascii="Traditional Arabic" w:hAnsi="Traditional Arabic" w:cs="Traditional Arabic"/>
          <w:sz w:val="30"/>
          <w:szCs w:val="30"/>
        </w:rPr>
      </w:pPr>
      <w:r w:rsidRPr="00272B36">
        <w:rPr>
          <w:rFonts w:ascii="Traditional Arabic" w:hAnsi="Traditional Arabic" w:cs="Traditional Arabic"/>
          <w:b w:val="0"/>
          <w:bCs/>
          <w:sz w:val="30"/>
          <w:szCs w:val="30"/>
        </w:rPr>
        <w:t>توزيعات السرعة:</w:t>
      </w:r>
      <w:r w:rsidRPr="00F87C1B">
        <w:rPr>
          <w:rFonts w:ascii="Traditional Arabic" w:hAnsi="Traditional Arabic" w:cs="Traditional Arabic"/>
          <w:sz w:val="30"/>
          <w:szCs w:val="30"/>
        </w:rPr>
        <w:t xml:space="preserve"> كانت سرعات الشركة في البحر مشابهة جدًا لمتوسط المجموعة لسفن نقل البضائع السائبة الجافة وناقلات النفط. تعمل سفن الحاويات بسرعة أكبر من المجموعة، لكن سرعات الحاويات الخاصة بالشركة كانت طبيعية عند مقارنتها بالمتوسط العالمي، مما يعني أن سرعات مجموعة المنافسين كانت منخفضة بشكل غير طبيعي. وفي الوقت نفسه، كانت سرعات ناقلات الغاز الطبيعي المسال أقل قليلاً من متوسط المجموعة.</w:t>
      </w:r>
    </w:p>
    <w:p w14:paraId="337D0110"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r w:rsidRPr="00F87C1B">
        <w:rPr>
          <w:rFonts w:ascii="Traditional Arabic" w:hAnsi="Traditional Arabic" w:cs="Traditional Arabic"/>
          <w:sz w:val="30"/>
          <w:szCs w:val="30"/>
        </w:rPr>
        <w:t>تمت مقارنة متوسط تكاليف تشغيل السفينة اليومية للشركة لسنة 2023 بمسح مستشار السوق السنوي لتكاليف تشغيل السفينة لكل قطاع وشريحة. كانت تكاليف تشغيل سفن الشركة متسقة مع متوسط التكاليف التي تم جمعها من خلال المسح، مع أكبر الانحرافات الواضحة لناقلات الغاز الطبيعي المسال التي تعمل بمحركات ثنائية الوقود التابعة للشركة (17 في المائة أقل من متوسط المسح) وناقلات البضائع السائبة التراماكس (13 في المائة أعلى من متوسط المسح).</w:t>
      </w:r>
    </w:p>
    <w:p w14:paraId="5D9E88B8" w14:textId="77777777" w:rsidR="00F87C1B" w:rsidRPr="00F87C1B" w:rsidRDefault="00F87C1B" w:rsidP="00F87C1B">
      <w:pPr>
        <w:pStyle w:val="P68B1DB1-KeyMessage1"/>
        <w:spacing w:beforeLines="40" w:before="96" w:afterLines="40" w:after="96"/>
        <w:rPr>
          <w:rFonts w:ascii="Traditional Arabic" w:hAnsi="Traditional Arabic" w:cs="Traditional Arabic"/>
          <w:sz w:val="30"/>
          <w:szCs w:val="30"/>
        </w:rPr>
      </w:pPr>
    </w:p>
    <w:p w14:paraId="25EFE6BE" w14:textId="77777777" w:rsidR="00AD4398" w:rsidRDefault="00AD4398" w:rsidP="000D183E">
      <w:pPr>
        <w:pStyle w:val="P68B1DB1-KeyMessage1"/>
        <w:spacing w:beforeLines="40" w:before="96" w:afterLines="40" w:after="96"/>
        <w:rPr>
          <w:rFonts w:ascii="Traditional Arabic" w:hAnsi="Traditional Arabic" w:cs="Traditional Arabic"/>
          <w:sz w:val="30"/>
          <w:szCs w:val="30"/>
        </w:rPr>
      </w:pPr>
    </w:p>
    <w:p w14:paraId="7F73D013" w14:textId="77777777" w:rsidR="00AD4398" w:rsidRDefault="00AD4398" w:rsidP="000D183E">
      <w:pPr>
        <w:pStyle w:val="P68B1DB1-KeyMessage1"/>
        <w:spacing w:beforeLines="40" w:before="96" w:afterLines="40" w:after="96"/>
        <w:rPr>
          <w:rFonts w:ascii="Traditional Arabic" w:hAnsi="Traditional Arabic" w:cs="Traditional Arabic"/>
          <w:sz w:val="30"/>
          <w:szCs w:val="30"/>
        </w:rPr>
      </w:pPr>
    </w:p>
    <w:p w14:paraId="19026CEE" w14:textId="77777777" w:rsidR="00AD4398" w:rsidRDefault="00AD4398" w:rsidP="000D183E">
      <w:pPr>
        <w:pStyle w:val="P68B1DB1-KeyMessage1"/>
        <w:spacing w:beforeLines="40" w:before="96" w:afterLines="40" w:after="96"/>
        <w:rPr>
          <w:rFonts w:ascii="Traditional Arabic" w:hAnsi="Traditional Arabic" w:cs="Traditional Arabic"/>
          <w:sz w:val="30"/>
          <w:szCs w:val="30"/>
        </w:rPr>
      </w:pPr>
    </w:p>
    <w:p w14:paraId="0D199C0A" w14:textId="77777777" w:rsidR="00AD4398" w:rsidRDefault="00AD4398" w:rsidP="000D183E">
      <w:pPr>
        <w:pStyle w:val="P68B1DB1-KeyMessage1"/>
        <w:spacing w:beforeLines="40" w:before="96" w:afterLines="40" w:after="96"/>
        <w:rPr>
          <w:rFonts w:ascii="Traditional Arabic" w:hAnsi="Traditional Arabic" w:cs="Traditional Arabic"/>
          <w:sz w:val="30"/>
          <w:szCs w:val="30"/>
        </w:rPr>
      </w:pPr>
    </w:p>
    <w:p w14:paraId="2A83DA3D" w14:textId="77777777" w:rsidR="00AD4398" w:rsidRDefault="00AD4398" w:rsidP="000D183E">
      <w:pPr>
        <w:pStyle w:val="P68B1DB1-KeyMessage1"/>
        <w:spacing w:beforeLines="40" w:before="96" w:afterLines="40" w:after="96"/>
        <w:rPr>
          <w:rFonts w:ascii="Traditional Arabic" w:hAnsi="Traditional Arabic" w:cs="Traditional Arabic"/>
          <w:sz w:val="30"/>
          <w:szCs w:val="30"/>
        </w:rPr>
      </w:pPr>
    </w:p>
    <w:p w14:paraId="1F582F41" w14:textId="77777777" w:rsidR="00AD4398" w:rsidRDefault="00AD4398" w:rsidP="000D183E">
      <w:pPr>
        <w:pStyle w:val="P68B1DB1-KeyMessage1"/>
        <w:spacing w:beforeLines="40" w:before="96" w:afterLines="40" w:after="96"/>
        <w:rPr>
          <w:rFonts w:ascii="Traditional Arabic" w:hAnsi="Traditional Arabic" w:cs="Traditional Arabic"/>
          <w:sz w:val="30"/>
          <w:szCs w:val="30"/>
        </w:rPr>
      </w:pPr>
    </w:p>
    <w:p w14:paraId="151982F8" w14:textId="77777777" w:rsidR="00AD4398" w:rsidRDefault="00AD4398" w:rsidP="000D183E">
      <w:pPr>
        <w:pStyle w:val="P68B1DB1-KeyMessage1"/>
        <w:spacing w:beforeLines="40" w:before="96" w:afterLines="40" w:after="96"/>
        <w:rPr>
          <w:rFonts w:ascii="Traditional Arabic" w:hAnsi="Traditional Arabic" w:cs="Traditional Arabic"/>
          <w:sz w:val="30"/>
          <w:szCs w:val="30"/>
        </w:rPr>
      </w:pPr>
    </w:p>
    <w:p w14:paraId="0EC219F8" w14:textId="77777777" w:rsidR="00AD4398" w:rsidRDefault="00AD4398" w:rsidP="000D183E">
      <w:pPr>
        <w:pStyle w:val="P68B1DB1-KeyMessage1"/>
        <w:spacing w:beforeLines="40" w:before="96" w:afterLines="40" w:after="96"/>
        <w:rPr>
          <w:rFonts w:ascii="Traditional Arabic" w:hAnsi="Traditional Arabic" w:cs="Traditional Arabic"/>
          <w:sz w:val="30"/>
          <w:szCs w:val="30"/>
        </w:rPr>
      </w:pPr>
    </w:p>
    <w:p w14:paraId="476B0993" w14:textId="77777777" w:rsidR="00AD4398" w:rsidRDefault="00AD4398" w:rsidP="000D183E">
      <w:pPr>
        <w:pStyle w:val="P68B1DB1-KeyMessage1"/>
        <w:spacing w:beforeLines="40" w:before="96" w:afterLines="40" w:after="96"/>
        <w:rPr>
          <w:rFonts w:ascii="Traditional Arabic" w:hAnsi="Traditional Arabic" w:cs="Traditional Arabic"/>
          <w:sz w:val="30"/>
          <w:szCs w:val="30"/>
        </w:rPr>
      </w:pPr>
    </w:p>
    <w:p w14:paraId="705B1501" w14:textId="77777777" w:rsidR="00807570" w:rsidRPr="00EB5BCF" w:rsidRDefault="00807570" w:rsidP="00807570">
      <w:pPr>
        <w:autoSpaceDE w:val="0"/>
        <w:autoSpaceDN w:val="0"/>
        <w:bidi/>
        <w:adjustRightInd w:val="0"/>
        <w:jc w:val="both"/>
        <w:rPr>
          <w:rFonts w:ascii="Traditional Arabic" w:hAnsi="Traditional Arabic" w:cs="Traditional Arabic"/>
          <w:sz w:val="30"/>
          <w:szCs w:val="30"/>
          <w:rtl/>
          <w:lang w:bidi="ar-EG"/>
        </w:rPr>
        <w:sectPr w:rsidR="00807570" w:rsidRPr="00EB5BCF">
          <w:pgSz w:w="12240" w:h="15840"/>
          <w:pgMar w:top="1440" w:right="1440" w:bottom="1440" w:left="1440" w:header="720" w:footer="720" w:gutter="0"/>
          <w:cols w:space="720"/>
          <w:docGrid w:linePitch="360"/>
        </w:sectPr>
      </w:pPr>
    </w:p>
    <w:p w14:paraId="7141C7F0" w14:textId="77777777" w:rsidR="005371CA" w:rsidRPr="005371CA" w:rsidRDefault="00807570" w:rsidP="00A8787D">
      <w:pPr>
        <w:pStyle w:val="Heading2"/>
        <w:bidi/>
        <w:jc w:val="center"/>
        <w:rPr>
          <w:rFonts w:ascii="Traditional Arabic" w:hAnsi="Traditional Arabic" w:cs="Traditional Arabic"/>
          <w:b w:val="0"/>
          <w:bCs/>
          <w:sz w:val="30"/>
          <w:szCs w:val="30"/>
          <w:lang w:bidi="ar-OM"/>
        </w:rPr>
      </w:pPr>
      <w:r w:rsidRPr="00EB5BCF">
        <w:rPr>
          <w:rFonts w:ascii="Traditional Arabic" w:hAnsi="Traditional Arabic" w:cs="Traditional Arabic"/>
          <w:b w:val="0"/>
          <w:bCs/>
          <w:sz w:val="30"/>
          <w:szCs w:val="30"/>
          <w:rtl/>
          <w:lang w:bidi="ar-OM"/>
        </w:rPr>
        <w:lastRenderedPageBreak/>
        <w:t xml:space="preserve">الفصل </w:t>
      </w:r>
      <w:r w:rsidR="00A263F6">
        <w:rPr>
          <w:rFonts w:ascii="Traditional Arabic" w:hAnsi="Traditional Arabic" w:cs="Traditional Arabic" w:hint="cs"/>
          <w:b w:val="0"/>
          <w:bCs/>
          <w:sz w:val="30"/>
          <w:szCs w:val="30"/>
          <w:rtl/>
          <w:lang w:bidi="ar-OM"/>
        </w:rPr>
        <w:t>الثاني</w:t>
      </w:r>
      <w:r w:rsidR="00A263F6" w:rsidRPr="00EB5BCF">
        <w:rPr>
          <w:rFonts w:ascii="Traditional Arabic" w:hAnsi="Traditional Arabic" w:cs="Traditional Arabic"/>
          <w:b w:val="0"/>
          <w:bCs/>
          <w:sz w:val="30"/>
          <w:szCs w:val="30"/>
          <w:rtl/>
          <w:lang w:bidi="ar-OM"/>
        </w:rPr>
        <w:t xml:space="preserve"> </w:t>
      </w:r>
      <w:r w:rsidR="00B850E4" w:rsidRPr="00EB5BCF">
        <w:rPr>
          <w:rFonts w:ascii="Traditional Arabic" w:hAnsi="Traditional Arabic" w:cs="Traditional Arabic"/>
          <w:b w:val="0"/>
          <w:bCs/>
          <w:sz w:val="30"/>
          <w:szCs w:val="30"/>
          <w:rtl/>
          <w:lang w:bidi="ar-OM"/>
        </w:rPr>
        <w:t>عشر</w:t>
      </w:r>
    </w:p>
    <w:p w14:paraId="03A036B4" w14:textId="77777777" w:rsidR="00807570" w:rsidRPr="00EB5BCF" w:rsidRDefault="00EF04AF" w:rsidP="00E66ABA">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وصف</w:t>
      </w:r>
      <w:r w:rsidR="009A4B0D" w:rsidRPr="00EB5BCF">
        <w:rPr>
          <w:rFonts w:ascii="Traditional Arabic" w:hAnsi="Traditional Arabic" w:cs="Traditional Arabic"/>
          <w:b w:val="0"/>
          <w:bCs/>
          <w:sz w:val="30"/>
          <w:szCs w:val="30"/>
          <w:rtl/>
          <w:lang w:bidi="ar-OM"/>
        </w:rPr>
        <w:t xml:space="preserve"> الشركة ونظرة عامة على الأعمال</w:t>
      </w:r>
    </w:p>
    <w:p w14:paraId="345F5C40" w14:textId="77777777" w:rsidR="009A4B0D" w:rsidRPr="00EB5BCF" w:rsidRDefault="009A4B0D" w:rsidP="009A4B0D">
      <w:pPr>
        <w:autoSpaceDE w:val="0"/>
        <w:autoSpaceDN w:val="0"/>
        <w:bidi/>
        <w:adjustRightInd w:val="0"/>
        <w:jc w:val="both"/>
        <w:rPr>
          <w:rFonts w:ascii="Traditional Arabic" w:hAnsi="Traditional Arabic" w:cs="Traditional Arabic"/>
          <w:bCs/>
          <w:color w:val="000000"/>
          <w:sz w:val="30"/>
          <w:szCs w:val="30"/>
          <w:rtl/>
          <w:lang w:bidi="ar-OM"/>
        </w:rPr>
      </w:pPr>
    </w:p>
    <w:p w14:paraId="4962DA51" w14:textId="77777777" w:rsidR="002226FF" w:rsidRPr="00CD53BC" w:rsidRDefault="002226FF" w:rsidP="002226FF">
      <w:pPr>
        <w:bidi/>
        <w:jc w:val="both"/>
        <w:rPr>
          <w:rFonts w:ascii="Traditional Arabic" w:hAnsi="Traditional Arabic" w:cs="Traditional Arabic"/>
          <w:bCs/>
          <w:sz w:val="30"/>
          <w:szCs w:val="30"/>
          <w:lang w:bidi="ar-OM"/>
        </w:rPr>
      </w:pPr>
      <w:r w:rsidRPr="00CD53BC">
        <w:rPr>
          <w:rFonts w:ascii="Traditional Arabic" w:hAnsi="Traditional Arabic" w:cs="Traditional Arabic"/>
          <w:bCs/>
          <w:sz w:val="30"/>
          <w:szCs w:val="30"/>
          <w:rtl/>
        </w:rPr>
        <w:t>نبذة</w:t>
      </w:r>
    </w:p>
    <w:p w14:paraId="705E31CF" w14:textId="77777777" w:rsidR="00572240" w:rsidRDefault="00572240" w:rsidP="002226FF">
      <w:pPr>
        <w:bidi/>
        <w:jc w:val="both"/>
        <w:rPr>
          <w:rFonts w:ascii="Traditional Arabic" w:hAnsi="Traditional Arabic" w:cs="Traditional Arabic"/>
          <w:sz w:val="30"/>
          <w:szCs w:val="30"/>
          <w:rtl/>
        </w:rPr>
      </w:pPr>
    </w:p>
    <w:p w14:paraId="68A9D0FA" w14:textId="77777777" w:rsidR="00334534" w:rsidRDefault="00334534" w:rsidP="00334534">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 xml:space="preserve">تعد الشركة واحدة من الشركات الرائدة في مجال النقل البحري عبر البحار والمحيطات باستخدام سفن كبيرة مصممة للإبحار لمسافات طويلة، حيث تتميز بتقديم حلول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موثوقة وبتكلفة تنافسية للعملاء الدوليين والمحليين الحاصلين على تصنيف عالٍ. كما تقدم الشركة مجموعة متنوعة من حلول النقل البحري لعملائها، وتعمل من خلال </w:t>
      </w:r>
      <w:r w:rsidRPr="00334534">
        <w:rPr>
          <w:rFonts w:ascii="Traditional Arabic" w:hAnsi="Traditional Arabic" w:cs="Traditional Arabic" w:hint="cs"/>
          <w:sz w:val="30"/>
          <w:szCs w:val="30"/>
          <w:rtl/>
        </w:rPr>
        <w:t>خمس</w:t>
      </w:r>
      <w:r w:rsidRPr="00334534">
        <w:rPr>
          <w:rFonts w:ascii="Traditional Arabic" w:hAnsi="Traditional Arabic" w:cs="Traditional Arabic"/>
          <w:sz w:val="30"/>
          <w:szCs w:val="30"/>
          <w:rtl/>
        </w:rPr>
        <w:t xml:space="preserve"> قطاعات أعمال:</w:t>
      </w:r>
    </w:p>
    <w:p w14:paraId="55C2ED8C" w14:textId="77777777" w:rsidR="00334534" w:rsidRPr="00334534" w:rsidRDefault="00334534" w:rsidP="00334534">
      <w:pPr>
        <w:bidi/>
        <w:jc w:val="both"/>
        <w:rPr>
          <w:rFonts w:ascii="Traditional Arabic" w:hAnsi="Traditional Arabic" w:cs="Traditional Arabic"/>
          <w:sz w:val="30"/>
          <w:szCs w:val="30"/>
        </w:rPr>
      </w:pPr>
    </w:p>
    <w:p w14:paraId="321FEED3" w14:textId="77777777" w:rsidR="00334534" w:rsidRDefault="0076167B" w:rsidP="00922116">
      <w:pPr>
        <w:numPr>
          <w:ilvl w:val="0"/>
          <w:numId w:val="51"/>
        </w:numPr>
        <w:bidi/>
        <w:jc w:val="both"/>
        <w:rPr>
          <w:rFonts w:ascii="Traditional Arabic" w:hAnsi="Traditional Arabic" w:cs="Traditional Arabic"/>
          <w:sz w:val="30"/>
          <w:szCs w:val="30"/>
        </w:rPr>
      </w:pPr>
      <w:r>
        <w:rPr>
          <w:rFonts w:ascii="Traditional Arabic" w:hAnsi="Traditional Arabic" w:cs="Traditional Arabic" w:hint="cs"/>
          <w:bCs/>
          <w:sz w:val="30"/>
          <w:szCs w:val="30"/>
          <w:rtl/>
        </w:rPr>
        <w:t>نقل</w:t>
      </w:r>
      <w:r w:rsidRPr="00985281">
        <w:rPr>
          <w:rFonts w:ascii="Traditional Arabic" w:hAnsi="Traditional Arabic" w:cs="Traditional Arabic"/>
          <w:bCs/>
          <w:sz w:val="30"/>
          <w:szCs w:val="30"/>
          <w:rtl/>
        </w:rPr>
        <w:t xml:space="preserve"> </w:t>
      </w:r>
      <w:r w:rsidR="00334534" w:rsidRPr="00985281">
        <w:rPr>
          <w:rFonts w:ascii="Traditional Arabic" w:hAnsi="Traditional Arabic" w:cs="Traditional Arabic"/>
          <w:bCs/>
          <w:sz w:val="30"/>
          <w:szCs w:val="30"/>
          <w:rtl/>
        </w:rPr>
        <w:t>النفط الخام:</w:t>
      </w:r>
      <w:r w:rsidR="00334534" w:rsidRPr="00F63572">
        <w:rPr>
          <w:rFonts w:ascii="Traditional Arabic" w:hAnsi="Traditional Arabic" w:cs="Traditional Arabic"/>
          <w:sz w:val="30"/>
          <w:szCs w:val="30"/>
          <w:rtl/>
        </w:rPr>
        <w:t xml:space="preserve"> من خلال قطاع </w:t>
      </w:r>
      <w:r>
        <w:rPr>
          <w:rFonts w:ascii="Traditional Arabic" w:hAnsi="Traditional Arabic" w:cs="Traditional Arabic" w:hint="cs"/>
          <w:sz w:val="30"/>
          <w:szCs w:val="30"/>
          <w:rtl/>
        </w:rPr>
        <w:t>نقل</w:t>
      </w:r>
      <w:r w:rsidRPr="00F63572">
        <w:rPr>
          <w:rFonts w:ascii="Traditional Arabic" w:hAnsi="Traditional Arabic" w:cs="Traditional Arabic"/>
          <w:sz w:val="30"/>
          <w:szCs w:val="30"/>
          <w:rtl/>
        </w:rPr>
        <w:t xml:space="preserve"> </w:t>
      </w:r>
      <w:r w:rsidR="00334534" w:rsidRPr="00F63572">
        <w:rPr>
          <w:rFonts w:ascii="Traditional Arabic" w:hAnsi="Traditional Arabic" w:cs="Traditional Arabic"/>
          <w:sz w:val="30"/>
          <w:szCs w:val="30"/>
          <w:rtl/>
        </w:rPr>
        <w:t xml:space="preserve">النفط الخام، تدير الشركة 12 سفينة نفط خام عملاقة مملوكة بالكامل، وأربع سفن مستأجرة (سويسماكس)، وسفينتين مستأجرتين من نوع أفراماكس لنقل النفط الخام. وقد </w:t>
      </w:r>
      <w:r w:rsidR="00AF063A">
        <w:rPr>
          <w:rFonts w:ascii="Traditional Arabic" w:hAnsi="Traditional Arabic" w:cs="Traditional Arabic" w:hint="cs"/>
          <w:sz w:val="30"/>
          <w:szCs w:val="30"/>
          <w:rtl/>
        </w:rPr>
        <w:t>أسندت</w:t>
      </w:r>
      <w:r w:rsidR="00AF063A" w:rsidRPr="00F63572">
        <w:rPr>
          <w:rFonts w:ascii="Traditional Arabic" w:hAnsi="Traditional Arabic" w:cs="Traditional Arabic"/>
          <w:sz w:val="30"/>
          <w:szCs w:val="30"/>
          <w:rtl/>
        </w:rPr>
        <w:t xml:space="preserve"> </w:t>
      </w:r>
      <w:r w:rsidR="00334534" w:rsidRPr="00F63572">
        <w:rPr>
          <w:rFonts w:ascii="Traditional Arabic" w:hAnsi="Traditional Arabic" w:cs="Traditional Arabic"/>
          <w:sz w:val="30"/>
          <w:szCs w:val="30"/>
          <w:rtl/>
        </w:rPr>
        <w:t xml:space="preserve">الشركة أيضًا </w:t>
      </w:r>
      <w:r w:rsidR="00AF063A">
        <w:rPr>
          <w:rFonts w:ascii="Traditional Arabic" w:hAnsi="Traditional Arabic" w:cs="Traditional Arabic" w:hint="cs"/>
          <w:sz w:val="30"/>
          <w:szCs w:val="30"/>
          <w:rtl/>
        </w:rPr>
        <w:t xml:space="preserve">بناء </w:t>
      </w:r>
      <w:r w:rsidR="00334534" w:rsidRPr="00F63572">
        <w:rPr>
          <w:rFonts w:ascii="Traditional Arabic" w:hAnsi="Traditional Arabic" w:cs="Traditional Arabic"/>
          <w:sz w:val="30"/>
          <w:szCs w:val="30"/>
          <w:rtl/>
        </w:rPr>
        <w:t>أربع ناقلات نفط خام. وبالنسبة للسنة المنتهية في 31 ديسمبر 2023 والأشهر التسعة المنتهية في 30 سبتمبر 2024، بلغ</w:t>
      </w:r>
      <w:r w:rsidR="00E80539">
        <w:rPr>
          <w:rFonts w:ascii="Traditional Arabic" w:hAnsi="Traditional Arabic" w:cs="Traditional Arabic" w:hint="cs"/>
          <w:sz w:val="30"/>
          <w:szCs w:val="30"/>
          <w:rtl/>
        </w:rPr>
        <w:t>ت</w:t>
      </w:r>
      <w:r w:rsidR="00AF063A">
        <w:rPr>
          <w:rFonts w:ascii="Traditional Arabic" w:hAnsi="Traditional Arabic" w:cs="Traditional Arabic" w:hint="cs"/>
          <w:sz w:val="30"/>
          <w:szCs w:val="30"/>
          <w:rtl/>
        </w:rPr>
        <w:t xml:space="preserve"> </w:t>
      </w:r>
      <w:r w:rsidR="00334534" w:rsidRPr="00F63572">
        <w:rPr>
          <w:rFonts w:ascii="Traditional Arabic" w:hAnsi="Traditional Arabic" w:cs="Traditional Arabic"/>
          <w:sz w:val="30"/>
          <w:szCs w:val="30"/>
          <w:rtl/>
        </w:rPr>
        <w:t xml:space="preserve">إيرادات الشحن الخام </w:t>
      </w:r>
      <w:r w:rsidR="00E80539">
        <w:rPr>
          <w:rFonts w:ascii="Traditional Arabic" w:hAnsi="Traditional Arabic" w:cs="Traditional Arabic" w:hint="cs"/>
          <w:sz w:val="30"/>
          <w:szCs w:val="30"/>
          <w:rtl/>
        </w:rPr>
        <w:t>118.6</w:t>
      </w:r>
      <w:r w:rsidR="00334534" w:rsidRPr="00F63572">
        <w:rPr>
          <w:rFonts w:ascii="Traditional Arabic" w:hAnsi="Traditional Arabic" w:cs="Traditional Arabic"/>
          <w:sz w:val="30"/>
          <w:szCs w:val="30"/>
          <w:rtl/>
        </w:rPr>
        <w:t xml:space="preserve"> مليون ريال عماني (</w:t>
      </w:r>
      <w:r w:rsidR="00787970">
        <w:rPr>
          <w:rFonts w:ascii="Traditional Arabic" w:hAnsi="Traditional Arabic" w:cs="Traditional Arabic" w:hint="cs"/>
          <w:sz w:val="30"/>
          <w:szCs w:val="30"/>
          <w:rtl/>
        </w:rPr>
        <w:t>308.1</w:t>
      </w:r>
      <w:r w:rsidR="00334534" w:rsidRPr="00F63572">
        <w:rPr>
          <w:rFonts w:ascii="Traditional Arabic" w:hAnsi="Traditional Arabic" w:cs="Traditional Arabic"/>
          <w:sz w:val="30"/>
          <w:szCs w:val="30"/>
          <w:rtl/>
        </w:rPr>
        <w:t xml:space="preserve"> مليون دولار أمريكي) و 74.4 مليون ريال عماني (193.</w:t>
      </w:r>
      <w:r w:rsidR="00787970">
        <w:rPr>
          <w:rFonts w:ascii="Traditional Arabic" w:hAnsi="Traditional Arabic" w:cs="Traditional Arabic" w:hint="cs"/>
          <w:sz w:val="30"/>
          <w:szCs w:val="30"/>
          <w:rtl/>
        </w:rPr>
        <w:t>1</w:t>
      </w:r>
      <w:r w:rsidR="00787970" w:rsidRPr="00F63572">
        <w:rPr>
          <w:rFonts w:ascii="Traditional Arabic" w:hAnsi="Traditional Arabic" w:cs="Traditional Arabic"/>
          <w:sz w:val="30"/>
          <w:szCs w:val="30"/>
          <w:rtl/>
        </w:rPr>
        <w:t xml:space="preserve"> </w:t>
      </w:r>
      <w:r w:rsidR="00334534" w:rsidRPr="00F63572">
        <w:rPr>
          <w:rFonts w:ascii="Traditional Arabic" w:hAnsi="Traditional Arabic" w:cs="Traditional Arabic"/>
          <w:sz w:val="30"/>
          <w:szCs w:val="30"/>
          <w:rtl/>
        </w:rPr>
        <w:t xml:space="preserve">مليون دولار أمريكي)، على التوالي (ما يمثل </w:t>
      </w:r>
      <w:r w:rsidR="00787970">
        <w:rPr>
          <w:rFonts w:ascii="Traditional Arabic" w:hAnsi="Traditional Arabic" w:cs="Traditional Arabic" w:hint="cs"/>
          <w:sz w:val="30"/>
          <w:szCs w:val="30"/>
          <w:rtl/>
        </w:rPr>
        <w:t>32.6</w:t>
      </w:r>
      <w:r w:rsidR="00334534" w:rsidRPr="00F63572">
        <w:rPr>
          <w:rFonts w:ascii="Traditional Arabic" w:hAnsi="Traditional Arabic" w:cs="Traditional Arabic"/>
          <w:sz w:val="30"/>
          <w:szCs w:val="30"/>
          <w:rtl/>
        </w:rPr>
        <w:t xml:space="preserve"> في المائة و 27.</w:t>
      </w:r>
      <w:r w:rsidR="00787970">
        <w:rPr>
          <w:rFonts w:ascii="Traditional Arabic" w:hAnsi="Traditional Arabic" w:cs="Traditional Arabic" w:hint="cs"/>
          <w:sz w:val="30"/>
          <w:szCs w:val="30"/>
          <w:rtl/>
        </w:rPr>
        <w:t>1</w:t>
      </w:r>
      <w:r w:rsidR="00787970" w:rsidRPr="00F63572">
        <w:rPr>
          <w:rFonts w:ascii="Traditional Arabic" w:hAnsi="Traditional Arabic" w:cs="Traditional Arabic"/>
          <w:sz w:val="30"/>
          <w:szCs w:val="30"/>
          <w:rtl/>
        </w:rPr>
        <w:t xml:space="preserve"> </w:t>
      </w:r>
      <w:r w:rsidR="00334534" w:rsidRPr="00F63572">
        <w:rPr>
          <w:rFonts w:ascii="Traditional Arabic" w:hAnsi="Traditional Arabic" w:cs="Traditional Arabic"/>
          <w:sz w:val="30"/>
          <w:szCs w:val="30"/>
          <w:rtl/>
        </w:rPr>
        <w:t xml:space="preserve">في المائة، على التوالي، من إيرادات الشركة). </w:t>
      </w:r>
      <w:r w:rsidR="00F63572" w:rsidRPr="00F63572">
        <w:rPr>
          <w:rFonts w:ascii="Traditional Arabic" w:hAnsi="Traditional Arabic" w:cs="Traditional Arabic"/>
          <w:sz w:val="30"/>
          <w:szCs w:val="30"/>
          <w:rtl/>
        </w:rPr>
        <w:t xml:space="preserve">وبالنسبة للسنة المنتهية في 31 ديسمبر 2023 والأشهر التسعة المنتهية في 30 سبتمبر 2024، بلغت إيرادات تأجير سفن </w:t>
      </w:r>
      <w:r w:rsidR="00FB5456">
        <w:rPr>
          <w:rFonts w:ascii="Traditional Arabic" w:hAnsi="Traditional Arabic" w:cs="Traditional Arabic" w:hint="cs"/>
          <w:sz w:val="30"/>
          <w:szCs w:val="30"/>
          <w:rtl/>
        </w:rPr>
        <w:t>نقل</w:t>
      </w:r>
      <w:r w:rsidR="00F63572" w:rsidRPr="00F63572">
        <w:rPr>
          <w:rFonts w:ascii="Traditional Arabic" w:hAnsi="Traditional Arabic" w:cs="Traditional Arabic"/>
          <w:sz w:val="30"/>
          <w:szCs w:val="30"/>
          <w:rtl/>
        </w:rPr>
        <w:t xml:space="preserve"> النفط الخام </w:t>
      </w:r>
      <w:r w:rsidR="00787970">
        <w:rPr>
          <w:rFonts w:ascii="Traditional Arabic" w:hAnsi="Traditional Arabic" w:cs="Traditional Arabic" w:hint="cs"/>
          <w:sz w:val="30"/>
          <w:szCs w:val="30"/>
          <w:rtl/>
        </w:rPr>
        <w:t>93.8</w:t>
      </w:r>
      <w:r w:rsidR="00F63572" w:rsidRPr="00F63572">
        <w:rPr>
          <w:rFonts w:ascii="Traditional Arabic" w:hAnsi="Traditional Arabic" w:cs="Traditional Arabic"/>
          <w:sz w:val="30"/>
          <w:szCs w:val="30"/>
          <w:rtl/>
        </w:rPr>
        <w:t xml:space="preserve"> مليون ريال عماني (</w:t>
      </w:r>
      <w:r w:rsidR="00787970">
        <w:rPr>
          <w:rFonts w:ascii="Traditional Arabic" w:hAnsi="Traditional Arabic" w:cs="Traditional Arabic" w:hint="cs"/>
          <w:sz w:val="30"/>
          <w:szCs w:val="30"/>
          <w:rtl/>
        </w:rPr>
        <w:t>243.7</w:t>
      </w:r>
      <w:r w:rsidR="00F63572" w:rsidRPr="00F63572">
        <w:rPr>
          <w:rFonts w:ascii="Traditional Arabic" w:hAnsi="Traditional Arabic" w:cs="Traditional Arabic"/>
          <w:sz w:val="30"/>
          <w:szCs w:val="30"/>
          <w:rtl/>
        </w:rPr>
        <w:t>مليون دولار أمريكي) و 65.9 مليون ريال عماني (171.2 مليون دولار أمريكي)، على التوالي.</w:t>
      </w:r>
    </w:p>
    <w:p w14:paraId="0E19DBC3" w14:textId="77777777" w:rsidR="00F63572" w:rsidRPr="00F63572" w:rsidRDefault="00F63572" w:rsidP="00985281">
      <w:pPr>
        <w:bidi/>
        <w:ind w:left="1145"/>
        <w:jc w:val="both"/>
        <w:rPr>
          <w:rFonts w:ascii="Traditional Arabic" w:hAnsi="Traditional Arabic" w:cs="Traditional Arabic"/>
          <w:sz w:val="30"/>
          <w:szCs w:val="30"/>
        </w:rPr>
      </w:pPr>
    </w:p>
    <w:p w14:paraId="111089C8" w14:textId="77777777" w:rsidR="00F63572" w:rsidRPr="00F63572" w:rsidRDefault="00607B02" w:rsidP="00922116">
      <w:pPr>
        <w:pStyle w:val="ListParagraph"/>
        <w:numPr>
          <w:ilvl w:val="0"/>
          <w:numId w:val="51"/>
        </w:numPr>
        <w:bidi/>
        <w:rPr>
          <w:rFonts w:ascii="Traditional Arabic" w:hAnsi="Traditional Arabic" w:cs="Traditional Arabic"/>
          <w:sz w:val="30"/>
          <w:szCs w:val="30"/>
          <w:rtl/>
        </w:rPr>
      </w:pPr>
      <w:r>
        <w:rPr>
          <w:rFonts w:ascii="Traditional Arabic" w:hAnsi="Traditional Arabic" w:cs="Traditional Arabic"/>
          <w:bCs/>
          <w:sz w:val="30"/>
          <w:szCs w:val="30"/>
          <w:rtl/>
        </w:rPr>
        <w:t>نقل</w:t>
      </w:r>
      <w:r w:rsidR="00334534" w:rsidRPr="00985281">
        <w:rPr>
          <w:rFonts w:ascii="Traditional Arabic" w:hAnsi="Traditional Arabic" w:cs="Traditional Arabic"/>
          <w:bCs/>
          <w:sz w:val="30"/>
          <w:szCs w:val="30"/>
          <w:rtl/>
        </w:rPr>
        <w:t xml:space="preserve"> المنتجات</w:t>
      </w:r>
      <w:r w:rsidR="00334534" w:rsidRPr="00F63572">
        <w:rPr>
          <w:rFonts w:ascii="Traditional Arabic" w:hAnsi="Traditional Arabic" w:cs="Traditional Arabic"/>
          <w:sz w:val="30"/>
          <w:szCs w:val="30"/>
          <w:rtl/>
        </w:rPr>
        <w:t xml:space="preserve">: من خلال قطاع </w:t>
      </w:r>
      <w:r>
        <w:rPr>
          <w:rFonts w:ascii="Traditional Arabic" w:hAnsi="Traditional Arabic" w:cs="Traditional Arabic"/>
          <w:sz w:val="30"/>
          <w:szCs w:val="30"/>
          <w:rtl/>
        </w:rPr>
        <w:t>نقل</w:t>
      </w:r>
      <w:r w:rsidR="00334534" w:rsidRPr="00F63572">
        <w:rPr>
          <w:rFonts w:ascii="Traditional Arabic" w:hAnsi="Traditional Arabic" w:cs="Traditional Arabic"/>
          <w:sz w:val="30"/>
          <w:szCs w:val="30"/>
          <w:rtl/>
        </w:rPr>
        <w:t xml:space="preserve"> المنتجات، تدير الشركة </w:t>
      </w:r>
      <w:r w:rsidR="00B13F59">
        <w:rPr>
          <w:rFonts w:ascii="Traditional Arabic" w:hAnsi="Traditional Arabic" w:cs="Traditional Arabic" w:hint="cs"/>
          <w:sz w:val="30"/>
          <w:szCs w:val="30"/>
          <w:rtl/>
        </w:rPr>
        <w:t>13</w:t>
      </w:r>
      <w:r w:rsidR="00B13F59" w:rsidRPr="00F63572">
        <w:rPr>
          <w:rFonts w:ascii="Traditional Arabic" w:hAnsi="Traditional Arabic" w:cs="Traditional Arabic"/>
          <w:sz w:val="30"/>
          <w:szCs w:val="30"/>
          <w:rtl/>
        </w:rPr>
        <w:t xml:space="preserve"> </w:t>
      </w:r>
      <w:r w:rsidR="00334534" w:rsidRPr="00F63572">
        <w:rPr>
          <w:rFonts w:ascii="Traditional Arabic" w:hAnsi="Traditional Arabic" w:cs="Traditional Arabic"/>
          <w:sz w:val="30"/>
          <w:szCs w:val="30"/>
          <w:rtl/>
        </w:rPr>
        <w:t xml:space="preserve">ناقلة مملوكة بالكامل، واثنتين مملوكتين </w:t>
      </w:r>
      <w:r w:rsidR="00E65E26">
        <w:rPr>
          <w:rFonts w:ascii="Traditional Arabic" w:hAnsi="Traditional Arabic" w:cs="Traditional Arabic"/>
          <w:sz w:val="30"/>
          <w:szCs w:val="30"/>
          <w:rtl/>
        </w:rPr>
        <w:t>بشكل مشترك</w:t>
      </w:r>
      <w:r w:rsidR="00334534" w:rsidRPr="00F63572">
        <w:rPr>
          <w:rFonts w:ascii="Traditional Arabic" w:hAnsi="Traditional Arabic" w:cs="Traditional Arabic"/>
          <w:sz w:val="30"/>
          <w:szCs w:val="30"/>
          <w:rtl/>
        </w:rPr>
        <w:t>، و 19 ناقلة منتجات مستأجرة تنقل بضائع سائلة، بما في ذلك المنتجات البترولية والكيماوية المكررة. وبالنسبة للسنة المنتهية في 31 ديسمبر 2023 والأشهر التسعة المنتهية في 30 سبتمبر 2024، بلغ</w:t>
      </w:r>
      <w:r w:rsidR="00787970">
        <w:rPr>
          <w:rFonts w:ascii="Traditional Arabic" w:hAnsi="Traditional Arabic" w:cs="Traditional Arabic" w:hint="cs"/>
          <w:sz w:val="30"/>
          <w:szCs w:val="30"/>
          <w:rtl/>
        </w:rPr>
        <w:t>ت</w:t>
      </w:r>
      <w:r>
        <w:rPr>
          <w:rFonts w:ascii="Traditional Arabic" w:hAnsi="Traditional Arabic" w:cs="Traditional Arabic" w:hint="cs"/>
          <w:sz w:val="30"/>
          <w:szCs w:val="30"/>
          <w:rtl/>
        </w:rPr>
        <w:t xml:space="preserve"> </w:t>
      </w:r>
      <w:r w:rsidR="00334534" w:rsidRPr="00F63572">
        <w:rPr>
          <w:rFonts w:ascii="Traditional Arabic" w:hAnsi="Traditional Arabic" w:cs="Traditional Arabic"/>
          <w:sz w:val="30"/>
          <w:szCs w:val="30"/>
          <w:rtl/>
        </w:rPr>
        <w:t xml:space="preserve">إيرادات </w:t>
      </w:r>
      <w:r>
        <w:rPr>
          <w:rFonts w:ascii="Traditional Arabic" w:hAnsi="Traditional Arabic" w:cs="Traditional Arabic"/>
          <w:sz w:val="30"/>
          <w:szCs w:val="30"/>
          <w:rtl/>
        </w:rPr>
        <w:t>نقل</w:t>
      </w:r>
      <w:r w:rsidR="00334534" w:rsidRPr="00F63572">
        <w:rPr>
          <w:rFonts w:ascii="Traditional Arabic" w:hAnsi="Traditional Arabic" w:cs="Traditional Arabic"/>
          <w:sz w:val="30"/>
          <w:szCs w:val="30"/>
          <w:rtl/>
        </w:rPr>
        <w:t xml:space="preserve"> المنتجات </w:t>
      </w:r>
      <w:r w:rsidR="001450F2">
        <w:rPr>
          <w:rFonts w:ascii="Traditional Arabic" w:hAnsi="Traditional Arabic" w:cs="Traditional Arabic" w:hint="cs"/>
          <w:sz w:val="30"/>
          <w:szCs w:val="30"/>
          <w:rtl/>
        </w:rPr>
        <w:t>83.0</w:t>
      </w:r>
      <w:r w:rsidR="00334534" w:rsidRPr="00F63572">
        <w:rPr>
          <w:rFonts w:ascii="Traditional Arabic" w:hAnsi="Traditional Arabic" w:cs="Traditional Arabic"/>
          <w:sz w:val="30"/>
          <w:szCs w:val="30"/>
          <w:rtl/>
        </w:rPr>
        <w:t xml:space="preserve"> مليون ريال عماني (</w:t>
      </w:r>
      <w:r w:rsidR="001450F2">
        <w:rPr>
          <w:rFonts w:ascii="Traditional Arabic" w:hAnsi="Traditional Arabic" w:cs="Traditional Arabic" w:hint="cs"/>
          <w:sz w:val="30"/>
          <w:szCs w:val="30"/>
          <w:rtl/>
        </w:rPr>
        <w:t>215.5</w:t>
      </w:r>
      <w:r w:rsidR="00334534" w:rsidRPr="00F63572">
        <w:rPr>
          <w:rFonts w:ascii="Traditional Arabic" w:hAnsi="Traditional Arabic" w:cs="Traditional Arabic"/>
          <w:sz w:val="30"/>
          <w:szCs w:val="30"/>
          <w:rtl/>
        </w:rPr>
        <w:t xml:space="preserve"> مليون دولار أمريكي)  و </w:t>
      </w:r>
      <w:r w:rsidR="001450F2">
        <w:rPr>
          <w:rFonts w:ascii="Traditional Arabic" w:hAnsi="Traditional Arabic" w:cs="Traditional Arabic" w:hint="cs"/>
          <w:sz w:val="30"/>
          <w:szCs w:val="30"/>
          <w:rtl/>
        </w:rPr>
        <w:t>74.2</w:t>
      </w:r>
      <w:r w:rsidR="00334534" w:rsidRPr="00F63572">
        <w:rPr>
          <w:rFonts w:ascii="Traditional Arabic" w:hAnsi="Traditional Arabic" w:cs="Traditional Arabic"/>
          <w:sz w:val="30"/>
          <w:szCs w:val="30"/>
          <w:rtl/>
        </w:rPr>
        <w:t xml:space="preserve"> مليون ريال عماني (</w:t>
      </w:r>
      <w:r w:rsidR="001450F2">
        <w:rPr>
          <w:rFonts w:ascii="Traditional Arabic" w:hAnsi="Traditional Arabic" w:cs="Traditional Arabic" w:hint="cs"/>
          <w:sz w:val="30"/>
          <w:szCs w:val="30"/>
          <w:rtl/>
        </w:rPr>
        <w:t>192.8</w:t>
      </w:r>
      <w:r w:rsidR="00334534" w:rsidRPr="00F63572">
        <w:rPr>
          <w:rFonts w:ascii="Traditional Arabic" w:hAnsi="Traditional Arabic" w:cs="Traditional Arabic"/>
          <w:sz w:val="30"/>
          <w:szCs w:val="30"/>
          <w:rtl/>
        </w:rPr>
        <w:t xml:space="preserve"> مليون دولار أمريكي)، على التوالي (ما يمثل 22.</w:t>
      </w:r>
      <w:r w:rsidR="001450F2">
        <w:rPr>
          <w:rFonts w:ascii="Traditional Arabic" w:hAnsi="Traditional Arabic" w:cs="Traditional Arabic" w:hint="cs"/>
          <w:sz w:val="30"/>
          <w:szCs w:val="30"/>
          <w:rtl/>
        </w:rPr>
        <w:t>8</w:t>
      </w:r>
      <w:r w:rsidR="001450F2" w:rsidRPr="00F63572">
        <w:rPr>
          <w:rFonts w:ascii="Traditional Arabic" w:hAnsi="Traditional Arabic" w:cs="Traditional Arabic"/>
          <w:sz w:val="30"/>
          <w:szCs w:val="30"/>
          <w:rtl/>
        </w:rPr>
        <w:t xml:space="preserve"> </w:t>
      </w:r>
      <w:r w:rsidR="00334534" w:rsidRPr="00F63572">
        <w:rPr>
          <w:rFonts w:ascii="Traditional Arabic" w:hAnsi="Traditional Arabic" w:cs="Traditional Arabic"/>
          <w:sz w:val="30"/>
          <w:szCs w:val="30"/>
          <w:rtl/>
        </w:rPr>
        <w:t xml:space="preserve">في المائة و </w:t>
      </w:r>
      <w:r w:rsidR="001450F2">
        <w:rPr>
          <w:rFonts w:ascii="Traditional Arabic" w:hAnsi="Traditional Arabic" w:cs="Traditional Arabic" w:hint="cs"/>
          <w:sz w:val="30"/>
          <w:szCs w:val="30"/>
          <w:rtl/>
        </w:rPr>
        <w:t>27.0</w:t>
      </w:r>
      <w:r w:rsidR="00334534" w:rsidRPr="00F63572">
        <w:rPr>
          <w:rFonts w:ascii="Traditional Arabic" w:hAnsi="Traditional Arabic" w:cs="Traditional Arabic"/>
          <w:sz w:val="30"/>
          <w:szCs w:val="30"/>
          <w:rtl/>
        </w:rPr>
        <w:t xml:space="preserve"> في المائة، على التوالي، من إيرادات الشركة). </w:t>
      </w:r>
      <w:r w:rsidR="00F63572" w:rsidRPr="00F63572">
        <w:rPr>
          <w:rFonts w:ascii="Traditional Arabic" w:hAnsi="Traditional Arabic" w:cs="Traditional Arabic"/>
          <w:sz w:val="30"/>
          <w:szCs w:val="30"/>
          <w:rtl/>
        </w:rPr>
        <w:t>وبالنسبة للسنة المنتهية في 31 ديسمبر 2023 والأشهر التسعة المنتهية في 30 سبتمبر 2024، بلغت إيرادات مكافئ تأجير السفن المجهزة بالمدة ل</w:t>
      </w:r>
      <w:r>
        <w:rPr>
          <w:rFonts w:ascii="Traditional Arabic" w:hAnsi="Traditional Arabic" w:cs="Traditional Arabic"/>
          <w:sz w:val="30"/>
          <w:szCs w:val="30"/>
          <w:rtl/>
        </w:rPr>
        <w:t>نقل</w:t>
      </w:r>
      <w:r w:rsidR="00F63572" w:rsidRPr="00F63572">
        <w:rPr>
          <w:rFonts w:ascii="Traditional Arabic" w:hAnsi="Traditional Arabic" w:cs="Traditional Arabic"/>
          <w:sz w:val="30"/>
          <w:szCs w:val="30"/>
          <w:rtl/>
        </w:rPr>
        <w:t xml:space="preserve"> المنتجات </w:t>
      </w:r>
      <w:r w:rsidR="00C36704">
        <w:rPr>
          <w:rFonts w:ascii="Traditional Arabic" w:hAnsi="Traditional Arabic" w:cs="Traditional Arabic" w:hint="cs"/>
          <w:sz w:val="30"/>
          <w:szCs w:val="30"/>
          <w:rtl/>
        </w:rPr>
        <w:t>77.0</w:t>
      </w:r>
      <w:r w:rsidR="00F63572" w:rsidRPr="00F63572">
        <w:rPr>
          <w:rFonts w:ascii="Traditional Arabic" w:hAnsi="Traditional Arabic" w:cs="Traditional Arabic"/>
          <w:sz w:val="30"/>
          <w:szCs w:val="30"/>
          <w:rtl/>
        </w:rPr>
        <w:t xml:space="preserve"> مليون ريال عماني (</w:t>
      </w:r>
      <w:r w:rsidR="00C36704">
        <w:rPr>
          <w:rFonts w:ascii="Traditional Arabic" w:hAnsi="Traditional Arabic" w:cs="Traditional Arabic" w:hint="cs"/>
          <w:sz w:val="30"/>
          <w:szCs w:val="30"/>
          <w:rtl/>
        </w:rPr>
        <w:t>199.9</w:t>
      </w:r>
      <w:r w:rsidR="00F63572" w:rsidRPr="00F63572">
        <w:rPr>
          <w:rFonts w:ascii="Traditional Arabic" w:hAnsi="Traditional Arabic" w:cs="Traditional Arabic"/>
          <w:sz w:val="30"/>
          <w:szCs w:val="30"/>
          <w:rtl/>
        </w:rPr>
        <w:t xml:space="preserve"> مليون دولار أمريكي) و 73.6 مليون ريال عماني (191.0 مليون دولار أمريكي)، على التوالي.</w:t>
      </w:r>
    </w:p>
    <w:p w14:paraId="42826B23" w14:textId="77777777" w:rsidR="00334534" w:rsidRPr="00334534" w:rsidRDefault="00334534" w:rsidP="00985281">
      <w:pPr>
        <w:bidi/>
        <w:jc w:val="both"/>
        <w:rPr>
          <w:rFonts w:ascii="Traditional Arabic" w:hAnsi="Traditional Arabic" w:cs="Traditional Arabic"/>
          <w:sz w:val="30"/>
          <w:szCs w:val="30"/>
        </w:rPr>
      </w:pPr>
    </w:p>
    <w:p w14:paraId="2055015F" w14:textId="77777777" w:rsidR="00334534" w:rsidRDefault="00607B02" w:rsidP="00922116">
      <w:pPr>
        <w:numPr>
          <w:ilvl w:val="0"/>
          <w:numId w:val="51"/>
        </w:numPr>
        <w:bidi/>
        <w:jc w:val="both"/>
        <w:rPr>
          <w:rFonts w:ascii="Traditional Arabic" w:hAnsi="Traditional Arabic" w:cs="Traditional Arabic"/>
          <w:sz w:val="30"/>
          <w:szCs w:val="30"/>
        </w:rPr>
      </w:pPr>
      <w:r>
        <w:rPr>
          <w:rFonts w:ascii="Traditional Arabic" w:hAnsi="Traditional Arabic" w:cs="Traditional Arabic"/>
          <w:bCs/>
          <w:sz w:val="30"/>
          <w:szCs w:val="30"/>
          <w:rtl/>
        </w:rPr>
        <w:lastRenderedPageBreak/>
        <w:t>نقل</w:t>
      </w:r>
      <w:r w:rsidR="00334534" w:rsidRPr="00985281">
        <w:rPr>
          <w:rFonts w:ascii="Traditional Arabic" w:hAnsi="Traditional Arabic" w:cs="Traditional Arabic"/>
          <w:bCs/>
          <w:sz w:val="30"/>
          <w:szCs w:val="30"/>
          <w:rtl/>
        </w:rPr>
        <w:t xml:space="preserve"> البضائع السائبة الجافة</w:t>
      </w:r>
      <w:r w:rsidR="00334534" w:rsidRPr="00F63572">
        <w:rPr>
          <w:rFonts w:ascii="Traditional Arabic" w:hAnsi="Traditional Arabic" w:cs="Traditional Arabic"/>
          <w:sz w:val="30"/>
          <w:szCs w:val="30"/>
          <w:rtl/>
        </w:rPr>
        <w:t xml:space="preserve">: من خلال قطاع </w:t>
      </w:r>
      <w:r>
        <w:rPr>
          <w:rFonts w:ascii="Traditional Arabic" w:hAnsi="Traditional Arabic" w:cs="Traditional Arabic"/>
          <w:sz w:val="30"/>
          <w:szCs w:val="30"/>
          <w:rtl/>
        </w:rPr>
        <w:t>نقل</w:t>
      </w:r>
      <w:r w:rsidR="00334534" w:rsidRPr="00F63572">
        <w:rPr>
          <w:rFonts w:ascii="Traditional Arabic" w:hAnsi="Traditional Arabic" w:cs="Traditional Arabic"/>
          <w:sz w:val="30"/>
          <w:szCs w:val="30"/>
          <w:rtl/>
        </w:rPr>
        <w:t xml:space="preserve"> البضائع السائبة الجافة، تدير الشركة</w:t>
      </w:r>
      <w:r w:rsidR="009E4B9C">
        <w:rPr>
          <w:rFonts w:ascii="Traditional Arabic" w:hAnsi="Traditional Arabic" w:cs="Traditional Arabic" w:hint="cs"/>
          <w:sz w:val="30"/>
          <w:szCs w:val="30"/>
          <w:rtl/>
        </w:rPr>
        <w:t xml:space="preserve"> </w:t>
      </w:r>
      <w:r w:rsidR="009E4B9C" w:rsidRPr="00B65701">
        <w:rPr>
          <w:rFonts w:ascii="Traditional Arabic" w:eastAsia="Sakkal Majalla" w:hAnsi="Traditional Arabic" w:cs="Traditional Arabic"/>
          <w:sz w:val="30"/>
          <w:szCs w:val="30"/>
          <w:rtl/>
        </w:rPr>
        <w:t xml:space="preserve">أربع سفن ناقلات خام عملاقة مملوكة بالكامل، </w:t>
      </w:r>
      <w:r w:rsidR="000202F6">
        <w:rPr>
          <w:rFonts w:ascii="Traditional Arabic" w:eastAsia="Sakkal Majalla" w:hAnsi="Traditional Arabic" w:cs="Traditional Arabic"/>
          <w:sz w:val="30"/>
          <w:szCs w:val="30"/>
        </w:rPr>
        <w:t>.</w:t>
      </w:r>
      <w:r w:rsidR="000202F6">
        <w:rPr>
          <w:rFonts w:ascii="Traditional Arabic" w:eastAsia="Sakkal Majalla" w:hAnsi="Traditional Arabic" w:cs="Traditional Arabic" w:hint="cs"/>
          <w:sz w:val="30"/>
          <w:szCs w:val="30"/>
          <w:rtl/>
        </w:rPr>
        <w:t>سبع</w:t>
      </w:r>
      <w:r w:rsidR="000202F6" w:rsidRPr="00B65701">
        <w:rPr>
          <w:rFonts w:ascii="Traditional Arabic" w:eastAsia="Sakkal Majalla" w:hAnsi="Traditional Arabic" w:cs="Traditional Arabic"/>
          <w:sz w:val="30"/>
          <w:szCs w:val="30"/>
          <w:rtl/>
        </w:rPr>
        <w:t xml:space="preserve"> </w:t>
      </w:r>
      <w:r w:rsidR="009E4B9C" w:rsidRPr="00B65701">
        <w:rPr>
          <w:rFonts w:ascii="Traditional Arabic" w:eastAsia="Sakkal Majalla" w:hAnsi="Traditional Arabic" w:cs="Traditional Arabic"/>
          <w:sz w:val="30"/>
          <w:szCs w:val="30"/>
          <w:rtl/>
        </w:rPr>
        <w:t xml:space="preserve">سفن كبيرة (ألتراماكس) مملوكة بالكامل، </w:t>
      </w:r>
      <w:r w:rsidR="00832A5C">
        <w:rPr>
          <w:rFonts w:ascii="Traditional Arabic" w:eastAsia="Sakkal Majalla" w:hAnsi="Traditional Arabic" w:cs="Traditional Arabic" w:hint="cs"/>
          <w:sz w:val="30"/>
          <w:szCs w:val="30"/>
          <w:rtl/>
        </w:rPr>
        <w:t xml:space="preserve">وسفينة واحدة </w:t>
      </w:r>
      <w:r w:rsidR="009E4B9C">
        <w:rPr>
          <w:rFonts w:ascii="Traditional Arabic" w:eastAsia="Sakkal Majalla" w:hAnsi="Traditional Arabic" w:cs="Traditional Arabic" w:hint="cs"/>
          <w:sz w:val="30"/>
          <w:szCs w:val="30"/>
          <w:rtl/>
        </w:rPr>
        <w:t>من</w:t>
      </w:r>
      <w:r w:rsidR="009E4B9C" w:rsidRPr="00B65701">
        <w:rPr>
          <w:rFonts w:ascii="Traditional Arabic" w:eastAsia="Sakkal Majalla" w:hAnsi="Traditional Arabic" w:cs="Traditional Arabic"/>
          <w:sz w:val="30"/>
          <w:szCs w:val="30"/>
          <w:rtl/>
        </w:rPr>
        <w:t xml:space="preserve"> </w:t>
      </w:r>
      <w:r w:rsidR="009E4B9C">
        <w:rPr>
          <w:rFonts w:ascii="Traditional Arabic" w:eastAsia="Sakkal Majalla" w:hAnsi="Traditional Arabic" w:cs="Traditional Arabic" w:hint="cs"/>
          <w:sz w:val="30"/>
          <w:szCs w:val="30"/>
          <w:rtl/>
        </w:rPr>
        <w:t>ال</w:t>
      </w:r>
      <w:r w:rsidR="009E4B9C" w:rsidRPr="00B65701">
        <w:rPr>
          <w:rFonts w:ascii="Traditional Arabic" w:eastAsia="Sakkal Majalla" w:hAnsi="Traditional Arabic" w:cs="Traditional Arabic"/>
          <w:sz w:val="30"/>
          <w:szCs w:val="30"/>
          <w:rtl/>
        </w:rPr>
        <w:t xml:space="preserve">سفن </w:t>
      </w:r>
      <w:r w:rsidR="009E4B9C">
        <w:rPr>
          <w:rFonts w:ascii="Traditional Arabic" w:eastAsia="Sakkal Majalla" w:hAnsi="Traditional Arabic" w:cs="Traditional Arabic" w:hint="cs"/>
          <w:sz w:val="30"/>
          <w:szCs w:val="30"/>
          <w:rtl/>
        </w:rPr>
        <w:t>ال</w:t>
      </w:r>
      <w:r w:rsidR="009E4B9C" w:rsidRPr="00B65701">
        <w:rPr>
          <w:rFonts w:ascii="Traditional Arabic" w:eastAsia="Sakkal Majalla" w:hAnsi="Traditional Arabic" w:cs="Traditional Arabic"/>
          <w:sz w:val="30"/>
          <w:szCs w:val="30"/>
          <w:rtl/>
        </w:rPr>
        <w:t xml:space="preserve">كبيرة (ألتراماكس) </w:t>
      </w:r>
      <w:r w:rsidR="0057731C">
        <w:rPr>
          <w:rFonts w:ascii="Traditional Arabic" w:eastAsia="Sakkal Majalla" w:hAnsi="Traditional Arabic" w:cs="Traditional Arabic" w:hint="cs"/>
          <w:sz w:val="30"/>
          <w:szCs w:val="30"/>
          <w:rtl/>
        </w:rPr>
        <w:t>م</w:t>
      </w:r>
      <w:r w:rsidR="009E4B9C" w:rsidRPr="00B65701">
        <w:rPr>
          <w:rFonts w:ascii="Traditional Arabic" w:eastAsia="Sakkal Majalla" w:hAnsi="Traditional Arabic" w:cs="Traditional Arabic"/>
          <w:sz w:val="30"/>
          <w:szCs w:val="30"/>
          <w:rtl/>
        </w:rPr>
        <w:t>ستأجرة، ، وثلاث سفن كبيرة (سوبراماكس) مستأجرة، و</w:t>
      </w:r>
      <w:r w:rsidR="009E4B9C">
        <w:rPr>
          <w:rFonts w:ascii="Traditional Arabic" w:eastAsia="Sakkal Majalla" w:hAnsi="Traditional Arabic" w:cs="Traditional Arabic" w:hint="cs"/>
          <w:sz w:val="30"/>
          <w:szCs w:val="30"/>
          <w:rtl/>
        </w:rPr>
        <w:t>اثنان من السفن</w:t>
      </w:r>
      <w:r w:rsidR="009E4B9C" w:rsidRPr="00B65701">
        <w:rPr>
          <w:rFonts w:ascii="Traditional Arabic" w:eastAsia="Sakkal Majalla" w:hAnsi="Traditional Arabic" w:cs="Traditional Arabic"/>
          <w:sz w:val="30"/>
          <w:szCs w:val="30"/>
          <w:rtl/>
        </w:rPr>
        <w:t xml:space="preserve"> </w:t>
      </w:r>
      <w:r w:rsidR="009E4B9C">
        <w:rPr>
          <w:rFonts w:ascii="Traditional Arabic" w:eastAsia="Sakkal Majalla" w:hAnsi="Traditional Arabic" w:cs="Traditional Arabic" w:hint="cs"/>
          <w:sz w:val="30"/>
          <w:szCs w:val="30"/>
          <w:rtl/>
        </w:rPr>
        <w:t>ال</w:t>
      </w:r>
      <w:r w:rsidR="009E4B9C" w:rsidRPr="00B65701">
        <w:rPr>
          <w:rFonts w:ascii="Traditional Arabic" w:eastAsia="Sakkal Majalla" w:hAnsi="Traditional Arabic" w:cs="Traditional Arabic"/>
          <w:sz w:val="30"/>
          <w:szCs w:val="30"/>
          <w:rtl/>
        </w:rPr>
        <w:t>متوسطة مناسبة للموانئ الصغيرة (هانديماكس) مستأجرة</w:t>
      </w:r>
      <w:r w:rsidR="009E4B9C">
        <w:rPr>
          <w:rFonts w:ascii="Traditional Arabic" w:eastAsia="Sakkal Majalla" w:hAnsi="Traditional Arabic" w:cs="Traditional Arabic" w:hint="cs"/>
          <w:sz w:val="30"/>
          <w:szCs w:val="30"/>
          <w:rtl/>
        </w:rPr>
        <w:t>، وسفينة</w:t>
      </w:r>
      <w:r w:rsidR="009E4B9C" w:rsidRPr="00B65701">
        <w:rPr>
          <w:rFonts w:ascii="Traditional Arabic" w:eastAsia="Sakkal Majalla" w:hAnsi="Traditional Arabic" w:cs="Traditional Arabic"/>
          <w:sz w:val="30"/>
          <w:szCs w:val="30"/>
          <w:rtl/>
        </w:rPr>
        <w:t xml:space="preserve"> مستأجرة (كمزارماكس) بأقصى حجم مناسب لميناء كمزار</w:t>
      </w:r>
      <w:r w:rsidR="00334534" w:rsidRPr="00F63572">
        <w:rPr>
          <w:rFonts w:ascii="Traditional Arabic" w:hAnsi="Traditional Arabic" w:cs="Traditional Arabic"/>
          <w:sz w:val="30"/>
          <w:szCs w:val="30"/>
          <w:rtl/>
        </w:rPr>
        <w:t xml:space="preserve"> تنقل مواد خام ومنتجات مكررة وسلع جاهزة للاستهلاك أو البيع بموجب عقود طويلة الأجل مع شركات إنتاج المعادن. وبالنسبة للسنة المنتهية في 31 ديسمبر 2023 والأشهر التسعة المنتهية في 30 سبتمبر 2024، بلغ</w:t>
      </w:r>
      <w:r w:rsidR="00C36704">
        <w:rPr>
          <w:rFonts w:ascii="Traditional Arabic" w:hAnsi="Traditional Arabic" w:cs="Traditional Arabic" w:hint="cs"/>
          <w:sz w:val="30"/>
          <w:szCs w:val="30"/>
          <w:rtl/>
        </w:rPr>
        <w:t>ت</w:t>
      </w:r>
      <w:r>
        <w:rPr>
          <w:rFonts w:ascii="Traditional Arabic" w:hAnsi="Traditional Arabic" w:cs="Traditional Arabic" w:hint="cs"/>
          <w:sz w:val="30"/>
          <w:szCs w:val="30"/>
          <w:rtl/>
        </w:rPr>
        <w:t xml:space="preserve"> </w:t>
      </w:r>
      <w:r w:rsidR="00334534" w:rsidRPr="00F63572">
        <w:rPr>
          <w:rFonts w:ascii="Traditional Arabic" w:hAnsi="Traditional Arabic" w:cs="Traditional Arabic"/>
          <w:sz w:val="30"/>
          <w:szCs w:val="30"/>
          <w:rtl/>
        </w:rPr>
        <w:t xml:space="preserve">إيرادات </w:t>
      </w:r>
      <w:r>
        <w:rPr>
          <w:rFonts w:ascii="Traditional Arabic" w:hAnsi="Traditional Arabic" w:cs="Traditional Arabic"/>
          <w:sz w:val="30"/>
          <w:szCs w:val="30"/>
          <w:rtl/>
        </w:rPr>
        <w:t>نقل</w:t>
      </w:r>
      <w:r w:rsidR="00334534" w:rsidRPr="00F63572">
        <w:rPr>
          <w:rFonts w:ascii="Traditional Arabic" w:hAnsi="Traditional Arabic" w:cs="Traditional Arabic"/>
          <w:sz w:val="30"/>
          <w:szCs w:val="30"/>
          <w:rtl/>
        </w:rPr>
        <w:t xml:space="preserve"> البضائع السائبة الجافة 64.8 مليون ريال عماني (168.3 مليون دولار أمريكي) و </w:t>
      </w:r>
      <w:r w:rsidR="00440072">
        <w:rPr>
          <w:rFonts w:ascii="Traditional Arabic" w:hAnsi="Traditional Arabic" w:cs="Traditional Arabic" w:hint="cs"/>
          <w:sz w:val="30"/>
          <w:szCs w:val="30"/>
          <w:rtl/>
        </w:rPr>
        <w:t>44.9</w:t>
      </w:r>
      <w:r w:rsidR="00334534" w:rsidRPr="00F63572">
        <w:rPr>
          <w:rFonts w:ascii="Traditional Arabic" w:hAnsi="Traditional Arabic" w:cs="Traditional Arabic"/>
          <w:sz w:val="30"/>
          <w:szCs w:val="30"/>
          <w:rtl/>
        </w:rPr>
        <w:t xml:space="preserve"> مليون ريال عماني (</w:t>
      </w:r>
      <w:r w:rsidR="00440072">
        <w:rPr>
          <w:rFonts w:ascii="Traditional Arabic" w:hAnsi="Traditional Arabic" w:cs="Traditional Arabic" w:hint="cs"/>
          <w:sz w:val="30"/>
          <w:szCs w:val="30"/>
          <w:rtl/>
        </w:rPr>
        <w:t>116.6</w:t>
      </w:r>
      <w:r w:rsidR="00334534" w:rsidRPr="00F63572">
        <w:rPr>
          <w:rFonts w:ascii="Traditional Arabic" w:hAnsi="Traditional Arabic" w:cs="Traditional Arabic"/>
          <w:sz w:val="30"/>
          <w:szCs w:val="30"/>
          <w:rtl/>
        </w:rPr>
        <w:t xml:space="preserve"> مليون دولار أمريكي)، على التوالي (ما يمثل </w:t>
      </w:r>
      <w:r w:rsidR="00440072">
        <w:rPr>
          <w:rFonts w:ascii="Traditional Arabic" w:hAnsi="Traditional Arabic" w:cs="Traditional Arabic" w:hint="cs"/>
          <w:sz w:val="30"/>
          <w:szCs w:val="30"/>
          <w:rtl/>
        </w:rPr>
        <w:t>17.8</w:t>
      </w:r>
      <w:r w:rsidR="00334534" w:rsidRPr="00F63572">
        <w:rPr>
          <w:rFonts w:ascii="Traditional Arabic" w:hAnsi="Traditional Arabic" w:cs="Traditional Arabic"/>
          <w:sz w:val="30"/>
          <w:szCs w:val="30"/>
          <w:rtl/>
        </w:rPr>
        <w:t xml:space="preserve"> في المائة و </w:t>
      </w:r>
      <w:r w:rsidR="00BB788A">
        <w:rPr>
          <w:rFonts w:ascii="Traditional Arabic" w:hAnsi="Traditional Arabic" w:cs="Traditional Arabic" w:hint="cs"/>
          <w:sz w:val="30"/>
          <w:szCs w:val="30"/>
          <w:rtl/>
        </w:rPr>
        <w:t>16.3</w:t>
      </w:r>
      <w:r w:rsidR="00334534" w:rsidRPr="00F63572">
        <w:rPr>
          <w:rFonts w:ascii="Traditional Arabic" w:hAnsi="Traditional Arabic" w:cs="Traditional Arabic"/>
          <w:sz w:val="30"/>
          <w:szCs w:val="30"/>
          <w:rtl/>
        </w:rPr>
        <w:t xml:space="preserve"> في المائة، على التوالي، من إيرادات الشركة). </w:t>
      </w:r>
      <w:r w:rsidR="00F63572" w:rsidRPr="00F63572">
        <w:rPr>
          <w:rFonts w:ascii="Traditional Arabic" w:hAnsi="Traditional Arabic" w:cs="Traditional Arabic"/>
          <w:sz w:val="30"/>
          <w:szCs w:val="30"/>
          <w:rtl/>
        </w:rPr>
        <w:t>وبالنسبة للسنة المنتهية في 31 ديسمبر 2023 والأشهر التسعة المنتهية في 30 سبتمبر 2024، بلغت إيرادات مكافئ تأجير السفن المجهزة بالمدة ل</w:t>
      </w:r>
      <w:r>
        <w:rPr>
          <w:rFonts w:ascii="Traditional Arabic" w:hAnsi="Traditional Arabic" w:cs="Traditional Arabic"/>
          <w:sz w:val="30"/>
          <w:szCs w:val="30"/>
          <w:rtl/>
        </w:rPr>
        <w:t>نقل</w:t>
      </w:r>
      <w:r w:rsidR="00F63572" w:rsidRPr="00F63572">
        <w:rPr>
          <w:rFonts w:ascii="Traditional Arabic" w:hAnsi="Traditional Arabic" w:cs="Traditional Arabic"/>
          <w:sz w:val="30"/>
          <w:szCs w:val="30"/>
          <w:rtl/>
        </w:rPr>
        <w:t xml:space="preserve"> البضائع السائبة الجافة 54.2 مليون ريال عماني (140.7 مليون دولار أمريكي) و </w:t>
      </w:r>
      <w:r w:rsidR="00BB788A">
        <w:rPr>
          <w:rFonts w:ascii="Traditional Arabic" w:hAnsi="Traditional Arabic" w:cs="Traditional Arabic" w:hint="cs"/>
          <w:sz w:val="30"/>
          <w:szCs w:val="30"/>
          <w:rtl/>
        </w:rPr>
        <w:t>41.1</w:t>
      </w:r>
      <w:r w:rsidR="00F63572" w:rsidRPr="00F63572">
        <w:rPr>
          <w:rFonts w:ascii="Traditional Arabic" w:hAnsi="Traditional Arabic" w:cs="Traditional Arabic"/>
          <w:sz w:val="30"/>
          <w:szCs w:val="30"/>
          <w:rtl/>
        </w:rPr>
        <w:t xml:space="preserve"> مليون ريال عماني (</w:t>
      </w:r>
      <w:r w:rsidR="00BB788A">
        <w:rPr>
          <w:rFonts w:ascii="Traditional Arabic" w:hAnsi="Traditional Arabic" w:cs="Traditional Arabic" w:hint="cs"/>
          <w:sz w:val="30"/>
          <w:szCs w:val="30"/>
          <w:rtl/>
        </w:rPr>
        <w:t>106.6</w:t>
      </w:r>
      <w:r w:rsidR="00F63572" w:rsidRPr="00F63572">
        <w:rPr>
          <w:rFonts w:ascii="Traditional Arabic" w:hAnsi="Traditional Arabic" w:cs="Traditional Arabic"/>
          <w:sz w:val="30"/>
          <w:szCs w:val="30"/>
          <w:rtl/>
        </w:rPr>
        <w:t xml:space="preserve"> مليون دولار أمريكي)، على التوالي.</w:t>
      </w:r>
    </w:p>
    <w:p w14:paraId="78226350" w14:textId="77777777" w:rsidR="00F63572" w:rsidRPr="00F63572" w:rsidRDefault="00F63572" w:rsidP="00985281">
      <w:pPr>
        <w:bidi/>
        <w:jc w:val="both"/>
        <w:rPr>
          <w:rFonts w:ascii="Traditional Arabic" w:hAnsi="Traditional Arabic" w:cs="Traditional Arabic"/>
          <w:sz w:val="30"/>
          <w:szCs w:val="30"/>
        </w:rPr>
      </w:pPr>
    </w:p>
    <w:p w14:paraId="5A48F10B" w14:textId="77777777" w:rsidR="00334534" w:rsidRDefault="00607B02" w:rsidP="00922116">
      <w:pPr>
        <w:numPr>
          <w:ilvl w:val="0"/>
          <w:numId w:val="51"/>
        </w:numPr>
        <w:bidi/>
        <w:jc w:val="both"/>
        <w:rPr>
          <w:rFonts w:ascii="Traditional Arabic" w:hAnsi="Traditional Arabic" w:cs="Traditional Arabic"/>
          <w:sz w:val="30"/>
          <w:szCs w:val="30"/>
        </w:rPr>
      </w:pPr>
      <w:r>
        <w:rPr>
          <w:rFonts w:ascii="Traditional Arabic" w:hAnsi="Traditional Arabic" w:cs="Traditional Arabic"/>
          <w:bCs/>
          <w:sz w:val="30"/>
          <w:szCs w:val="30"/>
          <w:rtl/>
        </w:rPr>
        <w:t>نقل</w:t>
      </w:r>
      <w:r w:rsidR="00334534" w:rsidRPr="00985281">
        <w:rPr>
          <w:rFonts w:ascii="Traditional Arabic" w:hAnsi="Traditional Arabic" w:cs="Traditional Arabic"/>
          <w:bCs/>
          <w:sz w:val="30"/>
          <w:szCs w:val="30"/>
          <w:rtl/>
        </w:rPr>
        <w:t xml:space="preserve"> الغاز</w:t>
      </w:r>
      <w:r w:rsidR="00334534" w:rsidRPr="00F63572">
        <w:rPr>
          <w:rFonts w:ascii="Traditional Arabic" w:hAnsi="Traditional Arabic" w:cs="Traditional Arabic"/>
          <w:sz w:val="30"/>
          <w:szCs w:val="30"/>
          <w:rtl/>
        </w:rPr>
        <w:t xml:space="preserve">: من خلال قطاع </w:t>
      </w:r>
      <w:r>
        <w:rPr>
          <w:rFonts w:ascii="Traditional Arabic" w:hAnsi="Traditional Arabic" w:cs="Traditional Arabic"/>
          <w:sz w:val="30"/>
          <w:szCs w:val="30"/>
          <w:rtl/>
        </w:rPr>
        <w:t>نقل</w:t>
      </w:r>
      <w:r w:rsidR="00334534" w:rsidRPr="00F63572">
        <w:rPr>
          <w:rFonts w:ascii="Traditional Arabic" w:hAnsi="Traditional Arabic" w:cs="Traditional Arabic"/>
          <w:sz w:val="30"/>
          <w:szCs w:val="30"/>
          <w:rtl/>
        </w:rPr>
        <w:t xml:space="preserve"> الغاز، تدير الشركة خمس ناقلات للغاز الطبيعي المسال مملوكة </w:t>
      </w:r>
      <w:r w:rsidR="00E65E26">
        <w:rPr>
          <w:rFonts w:ascii="Traditional Arabic" w:hAnsi="Traditional Arabic" w:cs="Traditional Arabic"/>
          <w:sz w:val="30"/>
          <w:szCs w:val="30"/>
          <w:rtl/>
        </w:rPr>
        <w:t>بشكل مشترك</w:t>
      </w:r>
      <w:r w:rsidR="00334534" w:rsidRPr="00F63572">
        <w:rPr>
          <w:rFonts w:ascii="Traditional Arabic" w:hAnsi="Traditional Arabic" w:cs="Traditional Arabic"/>
          <w:sz w:val="30"/>
          <w:szCs w:val="30"/>
          <w:rtl/>
        </w:rPr>
        <w:t xml:space="preserve">، وناقلة واحدة مملوكة بالكامل، وناقلة غاز عملاقة مملوكة </w:t>
      </w:r>
      <w:r w:rsidR="00E65E26">
        <w:rPr>
          <w:rFonts w:ascii="Traditional Arabic" w:hAnsi="Traditional Arabic" w:cs="Traditional Arabic"/>
          <w:sz w:val="30"/>
          <w:szCs w:val="30"/>
          <w:rtl/>
        </w:rPr>
        <w:t>بشكل مشترك</w:t>
      </w:r>
      <w:r w:rsidR="00334534" w:rsidRPr="00F63572">
        <w:rPr>
          <w:rFonts w:ascii="Traditional Arabic" w:hAnsi="Traditional Arabic" w:cs="Traditional Arabic"/>
          <w:sz w:val="30"/>
          <w:szCs w:val="30"/>
          <w:rtl/>
        </w:rPr>
        <w:t>، وناقلة غاز متوسطة مستأجرة لنقل الغاز الطبيعي المسال والغاز البترولي المسال إلى الأسواق في جميع أنحاء العالم. وقد طلبت الشركة أيضًا ناقلتين للغاز الطبيعي المسال؛ مصممتين بميزات صديقة للبيئة. وبالنسبة للسنة المنتهية في 31 ديسمبر 2023 والأشهر التسعة المنتهية في 30 سبتمبر 2024، بلغ</w:t>
      </w:r>
      <w:r w:rsidR="0038524A">
        <w:rPr>
          <w:rFonts w:ascii="Traditional Arabic" w:hAnsi="Traditional Arabic" w:cs="Traditional Arabic" w:hint="cs"/>
          <w:sz w:val="30"/>
          <w:szCs w:val="30"/>
          <w:rtl/>
        </w:rPr>
        <w:t>ت</w:t>
      </w:r>
      <w:r>
        <w:rPr>
          <w:rFonts w:ascii="Traditional Arabic" w:hAnsi="Traditional Arabic" w:cs="Traditional Arabic" w:hint="cs"/>
          <w:sz w:val="30"/>
          <w:szCs w:val="30"/>
          <w:rtl/>
        </w:rPr>
        <w:t xml:space="preserve"> </w:t>
      </w:r>
      <w:r w:rsidR="00334534" w:rsidRPr="00F63572">
        <w:rPr>
          <w:rFonts w:ascii="Traditional Arabic" w:hAnsi="Traditional Arabic" w:cs="Traditional Arabic"/>
          <w:sz w:val="30"/>
          <w:szCs w:val="30"/>
          <w:rtl/>
        </w:rPr>
        <w:t xml:space="preserve">إيرادات </w:t>
      </w:r>
      <w:r>
        <w:rPr>
          <w:rFonts w:ascii="Traditional Arabic" w:hAnsi="Traditional Arabic" w:cs="Traditional Arabic"/>
          <w:sz w:val="30"/>
          <w:szCs w:val="30"/>
          <w:rtl/>
        </w:rPr>
        <w:t>نقل</w:t>
      </w:r>
      <w:r w:rsidR="00334534" w:rsidRPr="00F63572">
        <w:rPr>
          <w:rFonts w:ascii="Traditional Arabic" w:hAnsi="Traditional Arabic" w:cs="Traditional Arabic"/>
          <w:sz w:val="30"/>
          <w:szCs w:val="30"/>
          <w:rtl/>
        </w:rPr>
        <w:t xml:space="preserve"> الغاز </w:t>
      </w:r>
      <w:r w:rsidR="0038524A">
        <w:rPr>
          <w:rFonts w:ascii="Traditional Arabic" w:hAnsi="Traditional Arabic" w:cs="Traditional Arabic" w:hint="cs"/>
          <w:sz w:val="30"/>
          <w:szCs w:val="30"/>
          <w:rtl/>
        </w:rPr>
        <w:t>51.6</w:t>
      </w:r>
      <w:r w:rsidR="00334534" w:rsidRPr="00F63572">
        <w:rPr>
          <w:rFonts w:ascii="Traditional Arabic" w:hAnsi="Traditional Arabic" w:cs="Traditional Arabic"/>
          <w:sz w:val="30"/>
          <w:szCs w:val="30"/>
          <w:rtl/>
        </w:rPr>
        <w:t xml:space="preserve"> مليون ريال عماني (</w:t>
      </w:r>
      <w:r w:rsidR="0038524A">
        <w:rPr>
          <w:rFonts w:ascii="Traditional Arabic" w:hAnsi="Traditional Arabic" w:cs="Traditional Arabic" w:hint="cs"/>
          <w:sz w:val="30"/>
          <w:szCs w:val="30"/>
          <w:rtl/>
        </w:rPr>
        <w:t>134.0</w:t>
      </w:r>
      <w:r w:rsidR="00334534" w:rsidRPr="00F63572">
        <w:rPr>
          <w:rFonts w:ascii="Traditional Arabic" w:hAnsi="Traditional Arabic" w:cs="Traditional Arabic"/>
          <w:sz w:val="30"/>
          <w:szCs w:val="30"/>
          <w:rtl/>
        </w:rPr>
        <w:t xml:space="preserve"> مليون دولار أمريكي) و 37.5 مليون ريال عماني (97.4 مليون دولار أمريكي)، على التوالي (ما يمثل </w:t>
      </w:r>
      <w:r w:rsidR="007C23D2">
        <w:rPr>
          <w:rFonts w:ascii="Traditional Arabic" w:hAnsi="Traditional Arabic" w:cs="Traditional Arabic" w:hint="cs"/>
          <w:sz w:val="30"/>
          <w:szCs w:val="30"/>
          <w:rtl/>
        </w:rPr>
        <w:t>14.2</w:t>
      </w:r>
      <w:r w:rsidR="00334534" w:rsidRPr="00F63572">
        <w:rPr>
          <w:rFonts w:ascii="Traditional Arabic" w:hAnsi="Traditional Arabic" w:cs="Traditional Arabic"/>
          <w:sz w:val="30"/>
          <w:szCs w:val="30"/>
          <w:rtl/>
        </w:rPr>
        <w:t xml:space="preserve"> في المائة و 13.6 في المائة، على التوالي، من إيرادات الشركة). </w:t>
      </w:r>
      <w:r w:rsidR="00F63572" w:rsidRPr="00F63572">
        <w:rPr>
          <w:rFonts w:ascii="Traditional Arabic" w:hAnsi="Traditional Arabic" w:cs="Traditional Arabic"/>
          <w:sz w:val="30"/>
          <w:szCs w:val="30"/>
          <w:rtl/>
        </w:rPr>
        <w:t>وبالنسبة للسنة المنتهية في 31 ديسمبر 2023 والأشهر التسعة المنتهية في 30 سبتمبر 2024، بلغت إيرادات مكافئ تأجير السفن ل</w:t>
      </w:r>
      <w:r>
        <w:rPr>
          <w:rFonts w:ascii="Traditional Arabic" w:hAnsi="Traditional Arabic" w:cs="Traditional Arabic"/>
          <w:sz w:val="30"/>
          <w:szCs w:val="30"/>
          <w:rtl/>
        </w:rPr>
        <w:t>نقل</w:t>
      </w:r>
      <w:r w:rsidR="00F63572" w:rsidRPr="00F63572">
        <w:rPr>
          <w:rFonts w:ascii="Traditional Arabic" w:hAnsi="Traditional Arabic" w:cs="Traditional Arabic"/>
          <w:sz w:val="30"/>
          <w:szCs w:val="30"/>
          <w:rtl/>
        </w:rPr>
        <w:t xml:space="preserve"> الغاز </w:t>
      </w:r>
      <w:r w:rsidR="007C23D2">
        <w:rPr>
          <w:rFonts w:ascii="Traditional Arabic" w:hAnsi="Traditional Arabic" w:cs="Traditional Arabic" w:hint="cs"/>
          <w:sz w:val="30"/>
          <w:szCs w:val="30"/>
          <w:rtl/>
        </w:rPr>
        <w:t>51.1</w:t>
      </w:r>
      <w:r w:rsidR="00F63572" w:rsidRPr="00F63572">
        <w:rPr>
          <w:rFonts w:ascii="Traditional Arabic" w:hAnsi="Traditional Arabic" w:cs="Traditional Arabic"/>
          <w:sz w:val="30"/>
          <w:szCs w:val="30"/>
          <w:rtl/>
        </w:rPr>
        <w:t xml:space="preserve"> مليون ريال عماني (</w:t>
      </w:r>
      <w:r w:rsidR="007C23D2">
        <w:rPr>
          <w:rFonts w:ascii="Traditional Arabic" w:hAnsi="Traditional Arabic" w:cs="Traditional Arabic" w:hint="cs"/>
          <w:sz w:val="30"/>
          <w:szCs w:val="30"/>
          <w:rtl/>
        </w:rPr>
        <w:t>132.7</w:t>
      </w:r>
      <w:r w:rsidR="00F63572" w:rsidRPr="00F63572">
        <w:rPr>
          <w:rFonts w:ascii="Traditional Arabic" w:hAnsi="Traditional Arabic" w:cs="Traditional Arabic"/>
          <w:sz w:val="30"/>
          <w:szCs w:val="30"/>
          <w:rtl/>
        </w:rPr>
        <w:t xml:space="preserve"> مليون دولار أمريكي) و 37.5 مليون ريال عماني (97.5 مليون دولار أمريكي)، على التوالي</w:t>
      </w:r>
      <w:r w:rsidR="00F63572">
        <w:rPr>
          <w:rFonts w:ascii="Traditional Arabic" w:hAnsi="Traditional Arabic" w:cs="Traditional Arabic" w:hint="cs"/>
          <w:sz w:val="30"/>
          <w:szCs w:val="30"/>
          <w:rtl/>
        </w:rPr>
        <w:t>.</w:t>
      </w:r>
    </w:p>
    <w:p w14:paraId="3B540BF0" w14:textId="77777777" w:rsidR="00F63572" w:rsidRPr="00F63572" w:rsidRDefault="00F63572" w:rsidP="00985281">
      <w:pPr>
        <w:bidi/>
        <w:jc w:val="both"/>
        <w:rPr>
          <w:rFonts w:ascii="Traditional Arabic" w:hAnsi="Traditional Arabic" w:cs="Traditional Arabic"/>
          <w:sz w:val="30"/>
          <w:szCs w:val="30"/>
        </w:rPr>
      </w:pPr>
    </w:p>
    <w:p w14:paraId="225AC0F8" w14:textId="77777777" w:rsidR="00F63572" w:rsidRDefault="00334534" w:rsidP="00922116">
      <w:pPr>
        <w:pStyle w:val="ListParagraph"/>
        <w:numPr>
          <w:ilvl w:val="0"/>
          <w:numId w:val="51"/>
        </w:numPr>
        <w:bidi/>
        <w:rPr>
          <w:rFonts w:ascii="Traditional Arabic" w:hAnsi="Traditional Arabic" w:cs="Traditional Arabic"/>
          <w:sz w:val="30"/>
          <w:szCs w:val="30"/>
        </w:rPr>
      </w:pPr>
      <w:r w:rsidRPr="00985281">
        <w:rPr>
          <w:rFonts w:ascii="Traditional Arabic" w:hAnsi="Traditional Arabic" w:cs="Traditional Arabic"/>
          <w:bCs/>
          <w:sz w:val="30"/>
          <w:szCs w:val="30"/>
          <w:rtl/>
        </w:rPr>
        <w:t>ال</w:t>
      </w:r>
      <w:r w:rsidR="00607B02">
        <w:rPr>
          <w:rFonts w:ascii="Traditional Arabic" w:hAnsi="Traditional Arabic" w:cs="Traditional Arabic"/>
          <w:bCs/>
          <w:sz w:val="30"/>
          <w:szCs w:val="30"/>
          <w:rtl/>
        </w:rPr>
        <w:t>نقل</w:t>
      </w:r>
      <w:r w:rsidRPr="00985281">
        <w:rPr>
          <w:rFonts w:ascii="Traditional Arabic" w:hAnsi="Traditional Arabic" w:cs="Traditional Arabic"/>
          <w:bCs/>
          <w:sz w:val="30"/>
          <w:szCs w:val="30"/>
          <w:rtl/>
        </w:rPr>
        <w:t xml:space="preserve"> الملاحي المنتظم</w:t>
      </w:r>
      <w:r w:rsidRPr="00F63572">
        <w:rPr>
          <w:rFonts w:ascii="Traditional Arabic" w:hAnsi="Traditional Arabic" w:cs="Traditional Arabic"/>
          <w:sz w:val="30"/>
          <w:szCs w:val="30"/>
          <w:rtl/>
        </w:rPr>
        <w:t>: من خلال قطاع ال</w:t>
      </w:r>
      <w:r w:rsidR="00607B02">
        <w:rPr>
          <w:rFonts w:ascii="Traditional Arabic" w:hAnsi="Traditional Arabic" w:cs="Traditional Arabic"/>
          <w:sz w:val="30"/>
          <w:szCs w:val="30"/>
          <w:rtl/>
        </w:rPr>
        <w:t>نقل</w:t>
      </w:r>
      <w:r w:rsidRPr="00F63572">
        <w:rPr>
          <w:rFonts w:ascii="Traditional Arabic" w:hAnsi="Traditional Arabic" w:cs="Traditional Arabic"/>
          <w:sz w:val="30"/>
          <w:szCs w:val="30"/>
          <w:rtl/>
        </w:rPr>
        <w:t xml:space="preserve"> الملاحي المنتظم، تدير شركة خط أسياد التابعة والمملوكة بالكامل للشركة شبكة من الخطوط البحرية التي تخدمها خمس سفن حاويات. وتؤدي شركة خط أسياد دورًا حاسمًا في ربط الموانئ العمانية بالأسواق العالمية الرئيسية في دول مجلس التعاون الخليجي والصين وجنوب شرق آسيا وخارجها من خلال شبكتها الإقليمية، حيث تقدم حلول نقل الحاويات بين الموانيء الصغيرة والإقليمية والرئيسية الكبيرة إلى مشغلي الخطوط الملاحية الرئيسية وخدمات الخطوط الملاحية التجارية المنتظمة. بالإضافة إلى ذلك، تقدم شركة خط أسياد مجموعة واسعة من الخدمات ذات القيمة المضافة؛ بداية من التخزين والنقل </w:t>
      </w:r>
      <w:r w:rsidRPr="00F63572">
        <w:rPr>
          <w:rFonts w:ascii="Traditional Arabic" w:hAnsi="Traditional Arabic" w:cs="Traditional Arabic"/>
          <w:sz w:val="30"/>
          <w:szCs w:val="30"/>
          <w:rtl/>
        </w:rPr>
        <w:lastRenderedPageBreak/>
        <w:t>وانتهاءً بخدمات التخليص الجمركي، وكل ذلك ضمن عرض لوجستي متكامل ومرن وموثوق به يستهدف العملاء المحليين على وجه الخصوص. وبالنسبة للسنة المنتهية في 31 ديسمبر 2023 والأشهر التسعة المنتهية في 30 سبتمبر 2024، بلغ</w:t>
      </w:r>
      <w:r w:rsidR="0097397C">
        <w:rPr>
          <w:rFonts w:ascii="Traditional Arabic" w:hAnsi="Traditional Arabic" w:cs="Traditional Arabic" w:hint="cs"/>
          <w:sz w:val="30"/>
          <w:szCs w:val="30"/>
          <w:rtl/>
        </w:rPr>
        <w:t>ت</w:t>
      </w:r>
      <w:r w:rsidR="00607B02">
        <w:rPr>
          <w:rFonts w:ascii="Traditional Arabic" w:hAnsi="Traditional Arabic" w:cs="Traditional Arabic" w:hint="cs"/>
          <w:sz w:val="30"/>
          <w:szCs w:val="30"/>
          <w:rtl/>
        </w:rPr>
        <w:t xml:space="preserve"> </w:t>
      </w:r>
      <w:r w:rsidRPr="00F63572">
        <w:rPr>
          <w:rFonts w:ascii="Traditional Arabic" w:hAnsi="Traditional Arabic" w:cs="Traditional Arabic"/>
          <w:sz w:val="30"/>
          <w:szCs w:val="30"/>
          <w:rtl/>
        </w:rPr>
        <w:t>إيرادات ال</w:t>
      </w:r>
      <w:r w:rsidR="00607B02">
        <w:rPr>
          <w:rFonts w:ascii="Traditional Arabic" w:hAnsi="Traditional Arabic" w:cs="Traditional Arabic"/>
          <w:sz w:val="30"/>
          <w:szCs w:val="30"/>
          <w:rtl/>
        </w:rPr>
        <w:t>نقل</w:t>
      </w:r>
      <w:r w:rsidRPr="00F63572">
        <w:rPr>
          <w:rFonts w:ascii="Traditional Arabic" w:hAnsi="Traditional Arabic" w:cs="Traditional Arabic"/>
          <w:sz w:val="30"/>
          <w:szCs w:val="30"/>
          <w:rtl/>
        </w:rPr>
        <w:t xml:space="preserve"> البحري</w:t>
      </w:r>
      <w:r w:rsidR="00102C87">
        <w:rPr>
          <w:rFonts w:ascii="Traditional Arabic" w:hAnsi="Traditional Arabic" w:cs="Traditional Arabic" w:hint="cs"/>
          <w:sz w:val="30"/>
          <w:szCs w:val="30"/>
          <w:rtl/>
        </w:rPr>
        <w:t xml:space="preserve"> المنتظم</w:t>
      </w:r>
      <w:r w:rsidRPr="00F63572">
        <w:rPr>
          <w:rFonts w:ascii="Traditional Arabic" w:hAnsi="Traditional Arabic" w:cs="Traditional Arabic"/>
          <w:sz w:val="30"/>
          <w:szCs w:val="30"/>
          <w:rtl/>
        </w:rPr>
        <w:t xml:space="preserve"> 44.</w:t>
      </w:r>
      <w:r w:rsidR="00102C87">
        <w:rPr>
          <w:rFonts w:ascii="Traditional Arabic" w:hAnsi="Traditional Arabic" w:cs="Traditional Arabic" w:hint="cs"/>
          <w:sz w:val="30"/>
          <w:szCs w:val="30"/>
          <w:rtl/>
        </w:rPr>
        <w:t>2</w:t>
      </w:r>
      <w:r w:rsidR="00102C87" w:rsidRPr="00F63572">
        <w:rPr>
          <w:rFonts w:ascii="Traditional Arabic" w:hAnsi="Traditional Arabic" w:cs="Traditional Arabic"/>
          <w:sz w:val="30"/>
          <w:szCs w:val="30"/>
          <w:rtl/>
        </w:rPr>
        <w:t xml:space="preserve"> </w:t>
      </w:r>
      <w:r w:rsidRPr="00F63572">
        <w:rPr>
          <w:rFonts w:ascii="Traditional Arabic" w:hAnsi="Traditional Arabic" w:cs="Traditional Arabic"/>
          <w:sz w:val="30"/>
          <w:szCs w:val="30"/>
          <w:rtl/>
        </w:rPr>
        <w:t>مليون ريال عماني (</w:t>
      </w:r>
      <w:r w:rsidR="00102C87">
        <w:rPr>
          <w:rFonts w:ascii="Traditional Arabic" w:hAnsi="Traditional Arabic" w:cs="Traditional Arabic" w:hint="cs"/>
          <w:sz w:val="30"/>
          <w:szCs w:val="30"/>
          <w:rtl/>
        </w:rPr>
        <w:t>114.9</w:t>
      </w:r>
      <w:r w:rsidRPr="00F63572">
        <w:rPr>
          <w:rFonts w:ascii="Traditional Arabic" w:hAnsi="Traditional Arabic" w:cs="Traditional Arabic"/>
          <w:sz w:val="30"/>
          <w:szCs w:val="30"/>
          <w:rtl/>
        </w:rPr>
        <w:t xml:space="preserve"> مليون دولار أمريكي) و 42.</w:t>
      </w:r>
      <w:r w:rsidR="002C4CCE">
        <w:rPr>
          <w:rFonts w:ascii="Traditional Arabic" w:hAnsi="Traditional Arabic" w:cs="Traditional Arabic" w:hint="cs"/>
          <w:sz w:val="30"/>
          <w:szCs w:val="30"/>
          <w:rtl/>
        </w:rPr>
        <w:t>7</w:t>
      </w:r>
      <w:r w:rsidR="002C4CCE" w:rsidRPr="00F63572">
        <w:rPr>
          <w:rFonts w:ascii="Traditional Arabic" w:hAnsi="Traditional Arabic" w:cs="Traditional Arabic"/>
          <w:sz w:val="30"/>
          <w:szCs w:val="30"/>
          <w:rtl/>
        </w:rPr>
        <w:t xml:space="preserve"> </w:t>
      </w:r>
      <w:r w:rsidRPr="00F63572">
        <w:rPr>
          <w:rFonts w:ascii="Traditional Arabic" w:hAnsi="Traditional Arabic" w:cs="Traditional Arabic"/>
          <w:sz w:val="30"/>
          <w:szCs w:val="30"/>
          <w:rtl/>
        </w:rPr>
        <w:t>مليون ريال عماني (</w:t>
      </w:r>
      <w:r w:rsidR="002C4CCE">
        <w:rPr>
          <w:rFonts w:ascii="Traditional Arabic" w:hAnsi="Traditional Arabic" w:cs="Traditional Arabic" w:hint="cs"/>
          <w:sz w:val="30"/>
          <w:szCs w:val="30"/>
          <w:rtl/>
        </w:rPr>
        <w:t>110.8</w:t>
      </w:r>
      <w:r w:rsidRPr="00F63572">
        <w:rPr>
          <w:rFonts w:ascii="Traditional Arabic" w:hAnsi="Traditional Arabic" w:cs="Traditional Arabic"/>
          <w:sz w:val="30"/>
          <w:szCs w:val="30"/>
          <w:rtl/>
        </w:rPr>
        <w:t xml:space="preserve"> مليون دولار أمريكي)، على التوالي (ما يمثل </w:t>
      </w:r>
      <w:r w:rsidR="002C4CCE">
        <w:rPr>
          <w:rFonts w:ascii="Traditional Arabic" w:hAnsi="Traditional Arabic" w:cs="Traditional Arabic" w:hint="cs"/>
          <w:sz w:val="30"/>
          <w:szCs w:val="30"/>
          <w:rtl/>
        </w:rPr>
        <w:t>12.2</w:t>
      </w:r>
      <w:r w:rsidRPr="00F63572">
        <w:rPr>
          <w:rFonts w:ascii="Traditional Arabic" w:hAnsi="Traditional Arabic" w:cs="Traditional Arabic"/>
          <w:sz w:val="30"/>
          <w:szCs w:val="30"/>
          <w:rtl/>
        </w:rPr>
        <w:t xml:space="preserve"> في المائة و 15.</w:t>
      </w:r>
      <w:r w:rsidR="002C4CCE">
        <w:rPr>
          <w:rFonts w:ascii="Traditional Arabic" w:hAnsi="Traditional Arabic" w:cs="Traditional Arabic" w:hint="cs"/>
          <w:sz w:val="30"/>
          <w:szCs w:val="30"/>
          <w:rtl/>
        </w:rPr>
        <w:t>5</w:t>
      </w:r>
      <w:r w:rsidR="002C4CCE" w:rsidRPr="00F63572">
        <w:rPr>
          <w:rFonts w:ascii="Traditional Arabic" w:hAnsi="Traditional Arabic" w:cs="Traditional Arabic"/>
          <w:sz w:val="30"/>
          <w:szCs w:val="30"/>
          <w:rtl/>
        </w:rPr>
        <w:t xml:space="preserve"> </w:t>
      </w:r>
      <w:r w:rsidRPr="00F63572">
        <w:rPr>
          <w:rFonts w:ascii="Traditional Arabic" w:hAnsi="Traditional Arabic" w:cs="Traditional Arabic"/>
          <w:sz w:val="30"/>
          <w:szCs w:val="30"/>
          <w:rtl/>
        </w:rPr>
        <w:t xml:space="preserve">في المائة، على التوالي، من إيرادات الشركة). </w:t>
      </w:r>
      <w:r w:rsidR="00F63572" w:rsidRPr="00F63572">
        <w:rPr>
          <w:rFonts w:ascii="Traditional Arabic" w:hAnsi="Traditional Arabic" w:cs="Traditional Arabic"/>
          <w:sz w:val="30"/>
          <w:szCs w:val="30"/>
          <w:rtl/>
        </w:rPr>
        <w:t>وبالنسبة للسنة المنتهية في 31 ديسمبر 2023 والأشهر التسعة المنتهية في 30 سبتمبر 2024، بلغت إيرادات مكافئ تأجير السفن المجهزة بمدة لل</w:t>
      </w:r>
      <w:r w:rsidR="00607B02">
        <w:rPr>
          <w:rFonts w:ascii="Traditional Arabic" w:hAnsi="Traditional Arabic" w:cs="Traditional Arabic"/>
          <w:sz w:val="30"/>
          <w:szCs w:val="30"/>
          <w:rtl/>
        </w:rPr>
        <w:t>نقل</w:t>
      </w:r>
      <w:r w:rsidR="00F63572" w:rsidRPr="00F63572">
        <w:rPr>
          <w:rFonts w:ascii="Traditional Arabic" w:hAnsi="Traditional Arabic" w:cs="Traditional Arabic"/>
          <w:sz w:val="30"/>
          <w:szCs w:val="30"/>
          <w:rtl/>
        </w:rPr>
        <w:t xml:space="preserve"> المنتظم 4.5 مليون ريال عماني (11.7 مليون دولار أمريكي) و </w:t>
      </w:r>
      <w:r w:rsidR="002C4CCE">
        <w:rPr>
          <w:rFonts w:ascii="Traditional Arabic" w:hAnsi="Traditional Arabic" w:cs="Traditional Arabic" w:hint="cs"/>
          <w:sz w:val="30"/>
          <w:szCs w:val="30"/>
          <w:rtl/>
        </w:rPr>
        <w:t>16.9</w:t>
      </w:r>
      <w:r w:rsidR="00F63572" w:rsidRPr="00F63572">
        <w:rPr>
          <w:rFonts w:ascii="Traditional Arabic" w:hAnsi="Traditional Arabic" w:cs="Traditional Arabic"/>
          <w:sz w:val="30"/>
          <w:szCs w:val="30"/>
          <w:rtl/>
        </w:rPr>
        <w:t xml:space="preserve"> مليون ريال عماني (</w:t>
      </w:r>
      <w:r w:rsidR="002C4CCE">
        <w:rPr>
          <w:rFonts w:ascii="Traditional Arabic" w:hAnsi="Traditional Arabic" w:cs="Traditional Arabic" w:hint="cs"/>
          <w:sz w:val="30"/>
          <w:szCs w:val="30"/>
          <w:rtl/>
        </w:rPr>
        <w:t>43.8</w:t>
      </w:r>
      <w:r w:rsidR="00F63572" w:rsidRPr="00F63572">
        <w:rPr>
          <w:rFonts w:ascii="Traditional Arabic" w:hAnsi="Traditional Arabic" w:cs="Traditional Arabic"/>
          <w:sz w:val="30"/>
          <w:szCs w:val="30"/>
          <w:rtl/>
        </w:rPr>
        <w:t xml:space="preserve"> مليون دولار أمريكي)، على التوالي.</w:t>
      </w:r>
    </w:p>
    <w:p w14:paraId="0EA9A836" w14:textId="77777777" w:rsidR="00897842" w:rsidRPr="00F63572" w:rsidRDefault="00897842" w:rsidP="008C57E0">
      <w:pPr>
        <w:pStyle w:val="ListParagraph"/>
        <w:bidi/>
        <w:ind w:left="1145"/>
        <w:rPr>
          <w:rFonts w:ascii="Traditional Arabic" w:hAnsi="Traditional Arabic" w:cs="Traditional Arabic"/>
          <w:sz w:val="30"/>
          <w:szCs w:val="30"/>
          <w:rtl/>
        </w:rPr>
      </w:pPr>
    </w:p>
    <w:p w14:paraId="1DA6E959" w14:textId="77777777" w:rsidR="00897842" w:rsidRPr="00EB5BCF" w:rsidRDefault="00897842" w:rsidP="008C57E0">
      <w:pPr>
        <w:pStyle w:val="BodyText1"/>
        <w:bidi/>
        <w:spacing w:after="0"/>
        <w:ind w:left="4"/>
        <w:rPr>
          <w:rFonts w:ascii="Traditional Arabic" w:hAnsi="Traditional Arabic" w:cs="Traditional Arabic"/>
          <w:sz w:val="30"/>
          <w:szCs w:val="30"/>
          <w:rtl/>
          <w:lang w:val="en-GB" w:bidi="ar-EG"/>
        </w:rPr>
      </w:pPr>
      <w:r>
        <w:rPr>
          <w:rFonts w:ascii="Traditional Arabic" w:hAnsi="Traditional Arabic" w:cs="Traditional Arabic" w:hint="cs"/>
          <w:b/>
          <w:sz w:val="30"/>
          <w:szCs w:val="30"/>
          <w:rtl/>
        </w:rPr>
        <w:t>لمزيد من التعريفات المتعلقة بالمعلومات</w:t>
      </w:r>
      <w:r w:rsidRPr="008D7454">
        <w:rPr>
          <w:rFonts w:ascii="Traditional Arabic" w:hAnsi="Traditional Arabic" w:cs="Traditional Arabic"/>
          <w:b/>
          <w:sz w:val="30"/>
          <w:szCs w:val="30"/>
          <w:rtl/>
        </w:rPr>
        <w:t xml:space="preserve"> غير </w:t>
      </w:r>
      <w:r w:rsidRPr="008D7454">
        <w:rPr>
          <w:rFonts w:ascii="Traditional Arabic" w:hAnsi="Traditional Arabic" w:cs="Traditional Arabic" w:hint="cs"/>
          <w:b/>
          <w:sz w:val="30"/>
          <w:szCs w:val="30"/>
          <w:rtl/>
        </w:rPr>
        <w:t>ال</w:t>
      </w:r>
      <w:r w:rsidRPr="008D7454">
        <w:rPr>
          <w:rFonts w:ascii="Traditional Arabic" w:hAnsi="Traditional Arabic" w:cs="Traditional Arabic"/>
          <w:b/>
          <w:sz w:val="30"/>
          <w:szCs w:val="30"/>
          <w:rtl/>
        </w:rPr>
        <w:t>متصلة بالمعايير الدولية</w:t>
      </w:r>
      <w:r>
        <w:rPr>
          <w:rFonts w:ascii="Traditional Arabic" w:hAnsi="Traditional Arabic" w:cs="Traditional Arabic" w:hint="cs"/>
          <w:b/>
          <w:sz w:val="30"/>
          <w:szCs w:val="30"/>
          <w:rtl/>
        </w:rPr>
        <w:t xml:space="preserve"> </w:t>
      </w:r>
      <w:r w:rsidRPr="00B142CA">
        <w:rPr>
          <w:rFonts w:ascii="Traditional Arabic" w:hAnsi="Traditional Arabic" w:cs="Traditional Arabic"/>
          <w:b/>
          <w:sz w:val="30"/>
          <w:szCs w:val="30"/>
          <w:rtl/>
        </w:rPr>
        <w:t>لإعداد التقارير المالية</w:t>
      </w:r>
      <w:r w:rsidRPr="008D7454">
        <w:rPr>
          <w:rFonts w:ascii="Traditional Arabic" w:hAnsi="Traditional Arabic" w:cs="Traditional Arabic" w:hint="cs"/>
          <w:b/>
          <w:sz w:val="30"/>
          <w:szCs w:val="30"/>
          <w:rtl/>
        </w:rPr>
        <w:t xml:space="preserve"> وغيرها من </w:t>
      </w:r>
      <w:r w:rsidRPr="008D7454">
        <w:rPr>
          <w:rFonts w:ascii="Traditional Arabic" w:hAnsi="Traditional Arabic" w:cs="Traditional Arabic"/>
          <w:b/>
          <w:sz w:val="30"/>
          <w:szCs w:val="30"/>
          <w:rtl/>
        </w:rPr>
        <w:t>البيانات التشغيلية</w:t>
      </w:r>
      <w:r w:rsidRPr="008D7454">
        <w:rPr>
          <w:rFonts w:ascii="Traditional Arabic" w:hAnsi="Traditional Arabic" w:cs="Traditional Arabic" w:hint="cs"/>
          <w:b/>
          <w:sz w:val="30"/>
          <w:szCs w:val="30"/>
          <w:rtl/>
        </w:rPr>
        <w:t xml:space="preserve"> المستخدمة ، بالرجاء الرجوع ل " </w:t>
      </w:r>
      <w:r w:rsidRPr="008D7454">
        <w:rPr>
          <w:rFonts w:ascii="Traditional Arabic" w:hAnsi="Traditional Arabic" w:cs="Traditional Arabic"/>
          <w:b/>
          <w:i/>
          <w:iCs/>
          <w:sz w:val="30"/>
          <w:szCs w:val="30"/>
          <w:rtl/>
        </w:rPr>
        <w:t>عرض البيانات المالية وبيانات القطاع والسوق</w:t>
      </w:r>
      <w:r w:rsidRPr="008D7454">
        <w:rPr>
          <w:rFonts w:ascii="Traditional Arabic" w:hAnsi="Traditional Arabic" w:cs="Traditional Arabic" w:hint="cs"/>
          <w:b/>
          <w:i/>
          <w:iCs/>
          <w:sz w:val="30"/>
          <w:szCs w:val="30"/>
          <w:rtl/>
        </w:rPr>
        <w:t xml:space="preserve">- </w:t>
      </w:r>
      <w:r w:rsidRPr="008D7454">
        <w:rPr>
          <w:rFonts w:ascii="Traditional Arabic" w:hAnsi="Traditional Arabic" w:cs="Traditional Arabic"/>
          <w:b/>
          <w:i/>
          <w:iCs/>
          <w:sz w:val="30"/>
          <w:szCs w:val="30"/>
          <w:rtl/>
        </w:rPr>
        <w:t>معلومات غير متصلة بالمعايير الدولية لإعداد التقارير المالية وبعض البيانات التشغيلية</w:t>
      </w:r>
      <w:r>
        <w:rPr>
          <w:rFonts w:ascii="Traditional Arabic" w:hAnsi="Traditional Arabic" w:cs="Traditional Arabic" w:hint="cs"/>
          <w:b/>
          <w:i/>
          <w:iCs/>
          <w:sz w:val="30"/>
          <w:szCs w:val="30"/>
          <w:rtl/>
        </w:rPr>
        <w:t xml:space="preserve">" </w:t>
      </w:r>
    </w:p>
    <w:p w14:paraId="2752CAFC" w14:textId="77777777" w:rsidR="00334534" w:rsidRPr="00F63572" w:rsidRDefault="00334534" w:rsidP="00985281">
      <w:pPr>
        <w:bidi/>
        <w:ind w:left="1145"/>
        <w:jc w:val="both"/>
        <w:rPr>
          <w:rFonts w:ascii="Traditional Arabic" w:hAnsi="Traditional Arabic" w:cs="Traditional Arabic"/>
          <w:sz w:val="30"/>
          <w:szCs w:val="30"/>
          <w:lang w:bidi="ar-EG"/>
        </w:rPr>
      </w:pPr>
    </w:p>
    <w:p w14:paraId="2E41DC3F"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بالإضافة إلى ذلك، توفر الشركة أيضًا خدمات تأجير السفن، وإدارة البضائع والرحلات، وخدمات الحاويات وخدمات نقل الحاويات والبضائع من الموانئ الصغيرة إلى الموانئ الكبيرة، وخدمات الإدارة الفنية للسفن من خلال الشركات التابعة لها، بما في ذلك الشركة العمانية </w:t>
      </w:r>
      <w:r w:rsidR="004B27AF">
        <w:rPr>
          <w:rFonts w:ascii="Traditional Arabic" w:hAnsi="Traditional Arabic" w:cs="Traditional Arabic" w:hint="cs"/>
          <w:sz w:val="30"/>
          <w:szCs w:val="30"/>
          <w:rtl/>
        </w:rPr>
        <w:t>لاستئجار</w:t>
      </w:r>
      <w:r w:rsidR="004B27AF"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السفن والشركة العمانية لإدارة السفن، وشركة أسياد لإدارة السفن، وشركة خط أسياد، وشركة أسياد شيبينغ</w:t>
      </w:r>
      <w:r w:rsidR="00421ED3">
        <w:rPr>
          <w:rFonts w:ascii="Traditional Arabic" w:hAnsi="Traditional Arabic" w:cs="Traditional Arabic" w:hint="cs"/>
          <w:sz w:val="30"/>
          <w:szCs w:val="30"/>
          <w:rtl/>
        </w:rPr>
        <w:t xml:space="preserve"> بي تي إي ليمتد</w:t>
      </w:r>
      <w:r w:rsidR="00421ED3"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 xml:space="preserve">، مما يسمح لها بتقديم خدمات نقل بحري كاملة وفقًا لأعلى معايير الصناعة. تشرف الشركة العمانية </w:t>
      </w:r>
      <w:r w:rsidR="004B27AF">
        <w:rPr>
          <w:rFonts w:ascii="Traditional Arabic" w:hAnsi="Traditional Arabic" w:cs="Traditional Arabic" w:hint="cs"/>
          <w:sz w:val="30"/>
          <w:szCs w:val="30"/>
          <w:rtl/>
        </w:rPr>
        <w:t>لاستئجار</w:t>
      </w:r>
      <w:r w:rsidR="004B27AF"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السفن وشركة أسياد شيبينغ</w:t>
      </w:r>
      <w:r w:rsidR="00421ED3">
        <w:rPr>
          <w:rFonts w:ascii="Traditional Arabic" w:hAnsi="Traditional Arabic" w:cs="Traditional Arabic" w:hint="cs"/>
          <w:sz w:val="30"/>
          <w:szCs w:val="30"/>
          <w:rtl/>
        </w:rPr>
        <w:t xml:space="preserve"> بي تي إي ليمتد</w:t>
      </w:r>
      <w:r w:rsidRPr="00334534">
        <w:rPr>
          <w:rFonts w:ascii="Traditional Arabic" w:hAnsi="Traditional Arabic" w:cs="Traditional Arabic"/>
          <w:sz w:val="30"/>
          <w:szCs w:val="30"/>
          <w:rtl/>
        </w:rPr>
        <w:t xml:space="preserve"> على أنشطة التأجير والسمسرة الموسعة للشركة، والتي تشمل السفن المملوكة للشركة وسفن الشركات الأخرى أيضا. كما تدير الشركة العمانية </w:t>
      </w:r>
      <w:r w:rsidR="004B27AF">
        <w:rPr>
          <w:rFonts w:ascii="Traditional Arabic" w:hAnsi="Traditional Arabic" w:cs="Traditional Arabic" w:hint="cs"/>
          <w:sz w:val="30"/>
          <w:szCs w:val="30"/>
          <w:rtl/>
        </w:rPr>
        <w:t>لاستئجار</w:t>
      </w:r>
      <w:r w:rsidR="004B27AF"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السفن وشركة أسياد شيبينغ</w:t>
      </w:r>
      <w:r w:rsidR="00421ED3">
        <w:rPr>
          <w:rFonts w:ascii="Traditional Arabic" w:hAnsi="Traditional Arabic" w:cs="Traditional Arabic" w:hint="cs"/>
          <w:sz w:val="30"/>
          <w:szCs w:val="30"/>
          <w:rtl/>
        </w:rPr>
        <w:t xml:space="preserve"> بي تي إي ليمتد</w:t>
      </w:r>
      <w:r w:rsidRPr="00334534">
        <w:rPr>
          <w:rFonts w:ascii="Traditional Arabic" w:hAnsi="Traditional Arabic" w:cs="Traditional Arabic"/>
          <w:sz w:val="30"/>
          <w:szCs w:val="30"/>
          <w:rtl/>
        </w:rPr>
        <w:t xml:space="preserve"> تجاريا العديد من السفن التي تم استئجارها لدعم عملاء الشركة. تتم إدارة الغالبية العظمى من السفن المملوكة للشركة، بما في ذلك ناقلات خام النفط العملاقة، وناقلات خام الحديد العملاقة، وناقلات الغاز الطبيعي المسال، وناقلات المنتجات وناقلات السوائب الجافة، داخليًا بواسطة الشركة العمانية لإدارة السفن. </w:t>
      </w:r>
    </w:p>
    <w:p w14:paraId="2FAB274B" w14:textId="77777777" w:rsidR="00D856EF" w:rsidRDefault="00D856EF" w:rsidP="00334534">
      <w:pPr>
        <w:bidi/>
        <w:jc w:val="both"/>
        <w:rPr>
          <w:rFonts w:ascii="Traditional Arabic" w:hAnsi="Traditional Arabic" w:cs="Traditional Arabic"/>
          <w:sz w:val="30"/>
          <w:szCs w:val="30"/>
          <w:rtl/>
        </w:rPr>
      </w:pPr>
    </w:p>
    <w:p w14:paraId="540F29E2" w14:textId="77777777" w:rsidR="00334534" w:rsidRPr="00334534" w:rsidRDefault="00334534" w:rsidP="00D856EF">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ومنذ إنشائها في عام 2003، دعمت الشركة رؤية الحكومة العمانية لتطوير أسطول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وطني يلبي متطلبات النقل البحري للصناعات الهيدروكربونية والبتروكيماوية والتعدينية والمعدنية سريعة النمو في البلاد. ومن الجدير بالذكر أن الشركة مدعومة من قبل جهاز الاستثمار العماني، وهو الذراع الاستثماري لسلطنة عمان، والذي يوفر </w:t>
      </w:r>
      <w:r w:rsidR="00EF62CF">
        <w:rPr>
          <w:rFonts w:ascii="Traditional Arabic" w:hAnsi="Traditional Arabic" w:cs="Traditional Arabic" w:hint="cs"/>
          <w:sz w:val="30"/>
          <w:szCs w:val="30"/>
          <w:rtl/>
        </w:rPr>
        <w:t>منفذا</w:t>
      </w:r>
      <w:r w:rsidR="00EF62CF"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إلى شبكة واسعة من شركات المحفظة والشركات الوطنية الرائدة، مما يجعلها شريكا مفضلا للمشاريع الرئيسية والعملاء في سلطنة عمان. ولا شك أن عمليات 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الخاصة بالشركة تؤدي دورًا حاسمًا في قطاع النقل والإمداد العماني ودول مجلس التعاون الخليجي الأوسع، وهي شركة النقل </w:t>
      </w:r>
      <w:r w:rsidRPr="00334534">
        <w:rPr>
          <w:rFonts w:ascii="Traditional Arabic" w:hAnsi="Traditional Arabic" w:cs="Traditional Arabic"/>
          <w:sz w:val="30"/>
          <w:szCs w:val="30"/>
          <w:rtl/>
        </w:rPr>
        <w:lastRenderedPageBreak/>
        <w:t xml:space="preserve">البحري المفضلة في النظام البيئي العماني، ونظرا للدور القيادي الذي تؤديه، ستساعد في دفع عجلة الحد من الانبعاثات الكربونية في قطاع الملاحة والنقل البحري العماني. </w:t>
      </w:r>
    </w:p>
    <w:p w14:paraId="64C6A16F" w14:textId="77777777" w:rsidR="00D856EF" w:rsidRDefault="00D856EF" w:rsidP="00334534">
      <w:pPr>
        <w:bidi/>
        <w:jc w:val="both"/>
        <w:rPr>
          <w:rFonts w:ascii="Traditional Arabic" w:hAnsi="Traditional Arabic" w:cs="Traditional Arabic"/>
          <w:sz w:val="30"/>
          <w:szCs w:val="30"/>
          <w:rtl/>
        </w:rPr>
      </w:pPr>
    </w:p>
    <w:p w14:paraId="332C1377" w14:textId="77777777" w:rsidR="00334534" w:rsidRPr="00334534" w:rsidRDefault="00334534" w:rsidP="00D856EF">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الشركة هي شركة تابعة ضمن مجموعة أسياد، وهي مزود لوجستي وطني متكامل يمتلك شبكة قوية وشهرة تجارية عبر الأسواق الإقليمية والدولية. وبصفتها إحدى شركات مجموعة أسياد، فإنها تستفيد من الموارد المشتركة، وإمكانية الوصول إلى مجموعة متكاملة من الخدمات التكاملية، بما في ذلك الأحواض الجافة، ومرافق الإصلاح والصيانة، والبنية التحتية المشتركة (الموانئ، والمناطق الحرة، وغيرها)، والموارد البشرية (الخزينة، والموارد البشرية، والمشتريات، وخدمات الاتصالات، والخدمات القانونية، وخدمات تكنولوجيا المعلومات).</w:t>
      </w:r>
    </w:p>
    <w:p w14:paraId="3CF38489" w14:textId="77777777" w:rsidR="00D856EF" w:rsidRDefault="00D856EF" w:rsidP="00334534">
      <w:pPr>
        <w:bidi/>
        <w:jc w:val="both"/>
        <w:rPr>
          <w:rFonts w:ascii="Traditional Arabic" w:hAnsi="Traditional Arabic" w:cs="Traditional Arabic"/>
          <w:sz w:val="30"/>
          <w:szCs w:val="30"/>
          <w:rtl/>
        </w:rPr>
      </w:pPr>
    </w:p>
    <w:p w14:paraId="65306079" w14:textId="77777777" w:rsidR="00334534" w:rsidRPr="00334534" w:rsidRDefault="00334534" w:rsidP="00D856EF">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كما أنها تملك أسطولا من أكبر الأساطيل المتنوعة عالميًا، ولذا، فإنها قادرة على خدمة أكثر من 60 دولة، وهي في وضع جيد لتزويد الأسواق ذات النمو المرتفع، مثل دول آسيا والشرق الأوسط وشمال إفريقيا.</w:t>
      </w:r>
      <w:bookmarkStart w:id="5" w:name="_Hlk179899006"/>
      <w:r w:rsidRPr="00334534">
        <w:rPr>
          <w:rFonts w:ascii="Traditional Arabic" w:hAnsi="Traditional Arabic" w:cs="Traditional Arabic"/>
          <w:sz w:val="30"/>
          <w:szCs w:val="30"/>
          <w:rtl/>
        </w:rPr>
        <w:t xml:space="preserve"> تجري الشركة عملياتها من خلال أسطولها المكون من 89 سفينة، منها 47 سفينة مملوكة بالكامل أو </w:t>
      </w:r>
      <w:r w:rsidR="00E65E26">
        <w:rPr>
          <w:rFonts w:ascii="Traditional Arabic" w:hAnsi="Traditional Arabic" w:cs="Traditional Arabic"/>
          <w:sz w:val="30"/>
          <w:szCs w:val="30"/>
          <w:rtl/>
        </w:rPr>
        <w:t>بشكل مشترك</w:t>
      </w:r>
      <w:r w:rsidRPr="00334534">
        <w:rPr>
          <w:rFonts w:ascii="Traditional Arabic" w:hAnsi="Traditional Arabic" w:cs="Traditional Arabic"/>
          <w:sz w:val="30"/>
          <w:szCs w:val="30"/>
          <w:rtl/>
        </w:rPr>
        <w:t>، و 36 سفينة مستأجرة و 6 سفن تم طلبها في الوقت الحالي، بسعة إجمالية تزيد على 9.5 مليون طن ساكن، وذلك حتى 30 سبتمبر 2024. هذا، ويتألف أسطول سفن الشركة من:</w:t>
      </w:r>
    </w:p>
    <w:p w14:paraId="0BF1E098" w14:textId="77777777" w:rsidR="00334534" w:rsidRPr="00334534" w:rsidRDefault="00334534" w:rsidP="00922116">
      <w:pPr>
        <w:numPr>
          <w:ilvl w:val="0"/>
          <w:numId w:val="53"/>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22 ناقلة نفط خام (16 ناقلة نفط كبيرة (أربعة منها قيد الطلب)، وأربع سفن مناسبة لقناة السويس (سويسماكس) وسفينتان متوسطة الحمولة (أفراماكس)) </w:t>
      </w:r>
    </w:p>
    <w:p w14:paraId="5941EA81" w14:textId="77777777" w:rsidR="00334534" w:rsidRPr="00334534" w:rsidRDefault="00334534" w:rsidP="00922116">
      <w:pPr>
        <w:numPr>
          <w:ilvl w:val="0"/>
          <w:numId w:val="53"/>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34 ناقلة منتجات (27 متوسطة الحجم، وناقلتان كبيرة الحجم، وناقلتان للميثانول، وناقلتان صغيرتان، وناقلة صغيرة للمواد الكيمائية)، </w:t>
      </w:r>
    </w:p>
    <w:p w14:paraId="50CE350C" w14:textId="77777777" w:rsidR="00334534" w:rsidRPr="00334534" w:rsidRDefault="00334534" w:rsidP="00922116">
      <w:pPr>
        <w:numPr>
          <w:ilvl w:val="0"/>
          <w:numId w:val="53"/>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18 ناقلة سوائب جافة (أربع ناقلات خام الحديد العملاقة، وثماني سفن ألتراماكس، وثلاث سفن سوبراماكس، وسفينتان هانديماكس وسفينة كامزاراماكس) </w:t>
      </w:r>
    </w:p>
    <w:p w14:paraId="11D5F391" w14:textId="77777777" w:rsidR="00334534" w:rsidRPr="00334534" w:rsidRDefault="00334534" w:rsidP="00922116">
      <w:pPr>
        <w:numPr>
          <w:ilvl w:val="0"/>
          <w:numId w:val="53"/>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عشر ناقلات للغاز (ثماني ناقلات للغاز الطبيعي المسال (اثنتان منها قيد الطلب)، وناقلة غاز عملاقة، وناقلة غاز متوسطة) </w:t>
      </w:r>
    </w:p>
    <w:p w14:paraId="57EDABDC" w14:textId="77777777" w:rsidR="00334534" w:rsidRPr="00334534" w:rsidRDefault="00334534" w:rsidP="00922116">
      <w:pPr>
        <w:numPr>
          <w:ilvl w:val="0"/>
          <w:numId w:val="53"/>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خمس سفن حاويات (سفينتان هانديماكس، وسفينة هانديسايز، وسفينة سوبراماكس وسفينة مناسبة لقناة بنما (بنما ماكس). </w:t>
      </w:r>
    </w:p>
    <w:bookmarkEnd w:id="5"/>
    <w:p w14:paraId="53E6FAE0" w14:textId="77777777" w:rsidR="0087472E" w:rsidRDefault="0087472E" w:rsidP="00334534">
      <w:pPr>
        <w:bidi/>
        <w:jc w:val="both"/>
        <w:rPr>
          <w:rFonts w:ascii="Traditional Arabic" w:hAnsi="Traditional Arabic" w:cs="Traditional Arabic"/>
          <w:sz w:val="30"/>
          <w:szCs w:val="30"/>
          <w:rtl/>
        </w:rPr>
      </w:pPr>
    </w:p>
    <w:p w14:paraId="5F33490D" w14:textId="77777777" w:rsidR="0087472E" w:rsidRDefault="002A5CA4" w:rsidP="00334534">
      <w:pPr>
        <w:bidi/>
        <w:jc w:val="both"/>
        <w:rPr>
          <w:rFonts w:ascii="Traditional Arabic" w:hAnsi="Traditional Arabic" w:cs="Traditional Arabic"/>
          <w:sz w:val="30"/>
          <w:szCs w:val="30"/>
          <w:rtl/>
        </w:rPr>
      </w:pPr>
      <w:r w:rsidRPr="002A5CA4">
        <w:rPr>
          <w:rFonts w:ascii="Traditional Arabic" w:hAnsi="Traditional Arabic" w:cs="Traditional Arabic"/>
          <w:sz w:val="30"/>
          <w:szCs w:val="30"/>
          <w:rtl/>
        </w:rPr>
        <w:t xml:space="preserve">وبالنسبة للسنة المنتهية في 31 ديسمبر 2023 والأشهر التسعة المنتهية في 30 سبتمبر 2024، حققت الشركة إيرادات قدرها 363.7 مليون ريال عماني (944.7 مليون دولار أمريكي) و </w:t>
      </w:r>
      <w:r w:rsidR="00ED4A59">
        <w:rPr>
          <w:rFonts w:ascii="Traditional Arabic" w:hAnsi="Traditional Arabic" w:cs="Traditional Arabic" w:hint="cs"/>
          <w:sz w:val="30"/>
          <w:szCs w:val="30"/>
          <w:rtl/>
        </w:rPr>
        <w:t>274.9</w:t>
      </w:r>
      <w:r w:rsidRPr="002A5CA4">
        <w:rPr>
          <w:rFonts w:ascii="Traditional Arabic" w:hAnsi="Traditional Arabic" w:cs="Traditional Arabic"/>
          <w:sz w:val="30"/>
          <w:szCs w:val="30"/>
          <w:rtl/>
        </w:rPr>
        <w:t xml:space="preserve"> مليون ريال عماني (</w:t>
      </w:r>
      <w:r w:rsidR="00ED4A59">
        <w:rPr>
          <w:rFonts w:ascii="Traditional Arabic" w:hAnsi="Traditional Arabic" w:cs="Traditional Arabic" w:hint="cs"/>
          <w:sz w:val="30"/>
          <w:szCs w:val="30"/>
          <w:rtl/>
        </w:rPr>
        <w:t>713.9</w:t>
      </w:r>
      <w:r w:rsidRPr="002A5CA4">
        <w:rPr>
          <w:rFonts w:ascii="Traditional Arabic" w:hAnsi="Traditional Arabic" w:cs="Traditional Arabic"/>
          <w:sz w:val="30"/>
          <w:szCs w:val="30"/>
          <w:rtl/>
        </w:rPr>
        <w:t xml:space="preserve"> مليون دولار أمريكي)، على التوالي، وإيرادات مكافئ تكلفة الإيجار البالغة </w:t>
      </w:r>
      <w:r w:rsidR="00ED4A59">
        <w:rPr>
          <w:rFonts w:ascii="Traditional Arabic" w:hAnsi="Traditional Arabic" w:cs="Traditional Arabic" w:hint="cs"/>
          <w:sz w:val="30"/>
          <w:szCs w:val="30"/>
          <w:rtl/>
        </w:rPr>
        <w:t>282.0</w:t>
      </w:r>
      <w:r w:rsidRPr="002A5CA4">
        <w:rPr>
          <w:rFonts w:ascii="Traditional Arabic" w:hAnsi="Traditional Arabic" w:cs="Traditional Arabic"/>
          <w:sz w:val="30"/>
          <w:szCs w:val="30"/>
          <w:rtl/>
        </w:rPr>
        <w:t xml:space="preserve"> مليون ريال عماني (</w:t>
      </w:r>
      <w:r w:rsidR="00ED4A59">
        <w:rPr>
          <w:rFonts w:ascii="Traditional Arabic" w:hAnsi="Traditional Arabic" w:cs="Traditional Arabic" w:hint="cs"/>
          <w:sz w:val="30"/>
          <w:szCs w:val="30"/>
          <w:rtl/>
        </w:rPr>
        <w:t>732.5</w:t>
      </w:r>
      <w:r w:rsidRPr="002A5CA4">
        <w:rPr>
          <w:rFonts w:ascii="Traditional Arabic" w:hAnsi="Traditional Arabic" w:cs="Traditional Arabic"/>
          <w:sz w:val="30"/>
          <w:szCs w:val="30"/>
          <w:rtl/>
        </w:rPr>
        <w:t>مليون دولار أمريكي) و 236.</w:t>
      </w:r>
      <w:r w:rsidR="00E16AA3">
        <w:rPr>
          <w:rFonts w:ascii="Traditional Arabic" w:hAnsi="Traditional Arabic" w:cs="Traditional Arabic" w:hint="cs"/>
          <w:sz w:val="30"/>
          <w:szCs w:val="30"/>
          <w:rtl/>
        </w:rPr>
        <w:t>1</w:t>
      </w:r>
      <w:r w:rsidR="00E16AA3" w:rsidRPr="002A5CA4">
        <w:rPr>
          <w:rFonts w:ascii="Traditional Arabic" w:hAnsi="Traditional Arabic" w:cs="Traditional Arabic"/>
          <w:sz w:val="30"/>
          <w:szCs w:val="30"/>
          <w:rtl/>
        </w:rPr>
        <w:t xml:space="preserve"> </w:t>
      </w:r>
      <w:r w:rsidRPr="002A5CA4">
        <w:rPr>
          <w:rFonts w:ascii="Traditional Arabic" w:hAnsi="Traditional Arabic" w:cs="Traditional Arabic"/>
          <w:sz w:val="30"/>
          <w:szCs w:val="30"/>
          <w:rtl/>
        </w:rPr>
        <w:t xml:space="preserve">مليون </w:t>
      </w:r>
      <w:r w:rsidRPr="002A5CA4">
        <w:rPr>
          <w:rFonts w:ascii="Traditional Arabic" w:hAnsi="Traditional Arabic" w:cs="Traditional Arabic"/>
          <w:sz w:val="30"/>
          <w:szCs w:val="30"/>
          <w:rtl/>
        </w:rPr>
        <w:lastRenderedPageBreak/>
        <w:t>ريال عماني (</w:t>
      </w:r>
      <w:r w:rsidR="00E16AA3">
        <w:rPr>
          <w:rFonts w:ascii="Traditional Arabic" w:hAnsi="Traditional Arabic" w:cs="Traditional Arabic" w:hint="cs"/>
          <w:sz w:val="30"/>
          <w:szCs w:val="30"/>
          <w:rtl/>
        </w:rPr>
        <w:t>613.3</w:t>
      </w:r>
      <w:r w:rsidRPr="002A5CA4">
        <w:rPr>
          <w:rFonts w:ascii="Traditional Arabic" w:hAnsi="Traditional Arabic" w:cs="Traditional Arabic"/>
          <w:sz w:val="30"/>
          <w:szCs w:val="30"/>
          <w:rtl/>
        </w:rPr>
        <w:t xml:space="preserve"> مليون دولار أمريكي)، على التوالي، وأرباحا </w:t>
      </w:r>
      <w:r w:rsidR="00E16AA3">
        <w:rPr>
          <w:rFonts w:ascii="Traditional Arabic" w:hAnsi="Traditional Arabic" w:cs="Traditional Arabic" w:hint="cs"/>
          <w:sz w:val="30"/>
          <w:szCs w:val="30"/>
          <w:rtl/>
        </w:rPr>
        <w:t xml:space="preserve">معدلة </w:t>
      </w:r>
      <w:r w:rsidRPr="002A5CA4">
        <w:rPr>
          <w:rFonts w:ascii="Traditional Arabic" w:hAnsi="Traditional Arabic" w:cs="Traditional Arabic"/>
          <w:sz w:val="30"/>
          <w:szCs w:val="30"/>
          <w:rtl/>
        </w:rPr>
        <w:t xml:space="preserve">قبل حساب الفائدة والضريبة والإهلاك والإطفاء البالغة </w:t>
      </w:r>
      <w:r w:rsidR="00E16AA3">
        <w:rPr>
          <w:rFonts w:ascii="Traditional Arabic" w:hAnsi="Traditional Arabic" w:cs="Traditional Arabic" w:hint="cs"/>
          <w:sz w:val="30"/>
          <w:szCs w:val="30"/>
          <w:rtl/>
        </w:rPr>
        <w:t>184.0</w:t>
      </w:r>
      <w:r w:rsidRPr="002A5CA4">
        <w:rPr>
          <w:rFonts w:ascii="Traditional Arabic" w:hAnsi="Traditional Arabic" w:cs="Traditional Arabic"/>
          <w:sz w:val="30"/>
          <w:szCs w:val="30"/>
          <w:rtl/>
        </w:rPr>
        <w:t xml:space="preserve"> مليون ريال عماني (</w:t>
      </w:r>
      <w:r w:rsidR="009712E1">
        <w:rPr>
          <w:rFonts w:ascii="Traditional Arabic" w:hAnsi="Traditional Arabic" w:cs="Traditional Arabic" w:hint="cs"/>
          <w:sz w:val="30"/>
          <w:szCs w:val="30"/>
          <w:rtl/>
        </w:rPr>
        <w:t>478.0</w:t>
      </w:r>
      <w:r w:rsidRPr="002A5CA4">
        <w:rPr>
          <w:rFonts w:ascii="Traditional Arabic" w:hAnsi="Traditional Arabic" w:cs="Traditional Arabic"/>
          <w:sz w:val="30"/>
          <w:szCs w:val="30"/>
          <w:rtl/>
        </w:rPr>
        <w:t xml:space="preserve">مليون دولار أمريكي) و </w:t>
      </w:r>
      <w:r w:rsidR="009712E1">
        <w:rPr>
          <w:rFonts w:ascii="Traditional Arabic" w:hAnsi="Traditional Arabic" w:cs="Traditional Arabic" w:hint="cs"/>
          <w:sz w:val="30"/>
          <w:szCs w:val="30"/>
          <w:rtl/>
        </w:rPr>
        <w:t>162.9</w:t>
      </w:r>
      <w:r w:rsidRPr="002A5CA4">
        <w:rPr>
          <w:rFonts w:ascii="Traditional Arabic" w:hAnsi="Traditional Arabic" w:cs="Traditional Arabic"/>
          <w:sz w:val="30"/>
          <w:szCs w:val="30"/>
          <w:rtl/>
        </w:rPr>
        <w:t xml:space="preserve"> مليون ريال عماني (</w:t>
      </w:r>
      <w:r w:rsidR="008B330F">
        <w:rPr>
          <w:rFonts w:ascii="Traditional Arabic" w:hAnsi="Traditional Arabic" w:cs="Traditional Arabic" w:hint="cs"/>
          <w:sz w:val="30"/>
          <w:szCs w:val="30"/>
          <w:rtl/>
        </w:rPr>
        <w:t>423.0</w:t>
      </w:r>
      <w:r w:rsidRPr="002A5CA4">
        <w:rPr>
          <w:rFonts w:ascii="Traditional Arabic" w:hAnsi="Traditional Arabic" w:cs="Traditional Arabic"/>
          <w:sz w:val="30"/>
          <w:szCs w:val="30"/>
          <w:rtl/>
        </w:rPr>
        <w:t xml:space="preserve"> مليون دولار أمريكي)، على التوالي، وأرباحا قدرها 39.5 مليون ريال عماني (102.6 مليون دولار أمريكي) و </w:t>
      </w:r>
      <w:r w:rsidR="008B330F">
        <w:rPr>
          <w:rFonts w:ascii="Traditional Arabic" w:hAnsi="Traditional Arabic" w:cs="Traditional Arabic" w:hint="cs"/>
          <w:sz w:val="30"/>
          <w:szCs w:val="30"/>
          <w:rtl/>
        </w:rPr>
        <w:t>45.9</w:t>
      </w:r>
      <w:r w:rsidRPr="002A5CA4">
        <w:rPr>
          <w:rFonts w:ascii="Traditional Arabic" w:hAnsi="Traditional Arabic" w:cs="Traditional Arabic"/>
          <w:sz w:val="30"/>
          <w:szCs w:val="30"/>
          <w:rtl/>
        </w:rPr>
        <w:t xml:space="preserve"> مليون ريال عماني (</w:t>
      </w:r>
      <w:r w:rsidR="008B330F">
        <w:rPr>
          <w:rFonts w:ascii="Traditional Arabic" w:hAnsi="Traditional Arabic" w:cs="Traditional Arabic" w:hint="cs"/>
          <w:sz w:val="30"/>
          <w:szCs w:val="30"/>
          <w:rtl/>
        </w:rPr>
        <w:t>119.2</w:t>
      </w:r>
      <w:r w:rsidRPr="002A5CA4">
        <w:rPr>
          <w:rFonts w:ascii="Traditional Arabic" w:hAnsi="Traditional Arabic" w:cs="Traditional Arabic"/>
          <w:sz w:val="30"/>
          <w:szCs w:val="30"/>
          <w:rtl/>
        </w:rPr>
        <w:t xml:space="preserve"> مليون دولار أمريكي)، على التوالي.</w:t>
      </w:r>
      <w:r w:rsidR="00FA1290">
        <w:rPr>
          <w:rFonts w:ascii="Traditional Arabic" w:hAnsi="Traditional Arabic" w:cs="Traditional Arabic" w:hint="cs"/>
          <w:sz w:val="30"/>
          <w:szCs w:val="30"/>
          <w:rtl/>
        </w:rPr>
        <w:t xml:space="preserve"> أنظر</w:t>
      </w:r>
      <w:r w:rsidR="000D20FB" w:rsidRPr="008D7454">
        <w:rPr>
          <w:rFonts w:ascii="Traditional Arabic" w:hAnsi="Traditional Arabic" w:cs="Traditional Arabic" w:hint="cs"/>
          <w:b/>
          <w:sz w:val="30"/>
          <w:szCs w:val="30"/>
          <w:rtl/>
        </w:rPr>
        <w:t xml:space="preserve">" </w:t>
      </w:r>
      <w:r w:rsidR="000D20FB" w:rsidRPr="008D7454">
        <w:rPr>
          <w:rFonts w:ascii="Traditional Arabic" w:hAnsi="Traditional Arabic" w:cs="Traditional Arabic"/>
          <w:b/>
          <w:i/>
          <w:iCs/>
          <w:sz w:val="30"/>
          <w:szCs w:val="30"/>
          <w:rtl/>
        </w:rPr>
        <w:t>عرض البيانات المالية وبيانات القطاع والسوق</w:t>
      </w:r>
      <w:r w:rsidR="000D20FB" w:rsidRPr="008D7454">
        <w:rPr>
          <w:rFonts w:ascii="Traditional Arabic" w:hAnsi="Traditional Arabic" w:cs="Traditional Arabic" w:hint="cs"/>
          <w:b/>
          <w:i/>
          <w:iCs/>
          <w:sz w:val="30"/>
          <w:szCs w:val="30"/>
          <w:rtl/>
        </w:rPr>
        <w:t xml:space="preserve">- </w:t>
      </w:r>
      <w:r w:rsidR="000D20FB" w:rsidRPr="008D7454">
        <w:rPr>
          <w:rFonts w:ascii="Traditional Arabic" w:hAnsi="Traditional Arabic" w:cs="Traditional Arabic"/>
          <w:b/>
          <w:i/>
          <w:iCs/>
          <w:sz w:val="30"/>
          <w:szCs w:val="30"/>
          <w:rtl/>
        </w:rPr>
        <w:t>معلومات غير متصلة بالمعايير الدولية لإعداد التقارير المالية وبعض البيانات التشغيلية</w:t>
      </w:r>
      <w:r w:rsidR="00796A13">
        <w:rPr>
          <w:rFonts w:ascii="Traditional Arabic" w:hAnsi="Traditional Arabic" w:cs="Traditional Arabic" w:hint="cs"/>
          <w:sz w:val="30"/>
          <w:szCs w:val="30"/>
          <w:rtl/>
        </w:rPr>
        <w:t xml:space="preserve">" </w:t>
      </w:r>
      <w:r w:rsidR="00573901">
        <w:rPr>
          <w:rFonts w:ascii="Traditional Arabic" w:hAnsi="Traditional Arabic" w:cs="Traditional Arabic" w:hint="cs"/>
          <w:sz w:val="30"/>
          <w:szCs w:val="30"/>
          <w:rtl/>
        </w:rPr>
        <w:t>و</w:t>
      </w:r>
      <w:r w:rsidR="00573901" w:rsidRPr="00573901">
        <w:rPr>
          <w:rFonts w:ascii="Traditional Arabic" w:hAnsi="Traditional Arabic" w:cs="Traditional Arabic" w:hint="cs"/>
          <w:b/>
          <w:sz w:val="30"/>
          <w:szCs w:val="30"/>
          <w:rtl/>
        </w:rPr>
        <w:t xml:space="preserve"> </w:t>
      </w:r>
      <w:r w:rsidR="00573901">
        <w:rPr>
          <w:rFonts w:ascii="Traditional Arabic" w:hAnsi="Traditional Arabic" w:cs="Traditional Arabic" w:hint="cs"/>
          <w:b/>
          <w:sz w:val="30"/>
          <w:szCs w:val="30"/>
          <w:rtl/>
        </w:rPr>
        <w:t>لمزيد من التعريفات المتعلقة بالمعلومات</w:t>
      </w:r>
      <w:r w:rsidR="00573901" w:rsidRPr="008D7454">
        <w:rPr>
          <w:rFonts w:ascii="Traditional Arabic" w:hAnsi="Traditional Arabic" w:cs="Traditional Arabic"/>
          <w:b/>
          <w:sz w:val="30"/>
          <w:szCs w:val="30"/>
          <w:rtl/>
        </w:rPr>
        <w:t xml:space="preserve"> غير </w:t>
      </w:r>
      <w:r w:rsidR="00573901" w:rsidRPr="008D7454">
        <w:rPr>
          <w:rFonts w:ascii="Traditional Arabic" w:hAnsi="Traditional Arabic" w:cs="Traditional Arabic" w:hint="cs"/>
          <w:b/>
          <w:sz w:val="30"/>
          <w:szCs w:val="30"/>
          <w:rtl/>
        </w:rPr>
        <w:t>ال</w:t>
      </w:r>
      <w:r w:rsidR="00573901" w:rsidRPr="008D7454">
        <w:rPr>
          <w:rFonts w:ascii="Traditional Arabic" w:hAnsi="Traditional Arabic" w:cs="Traditional Arabic"/>
          <w:b/>
          <w:sz w:val="30"/>
          <w:szCs w:val="30"/>
          <w:rtl/>
        </w:rPr>
        <w:t>متصلة بالمعايير الدولية</w:t>
      </w:r>
      <w:r w:rsidR="00573901">
        <w:rPr>
          <w:rFonts w:ascii="Traditional Arabic" w:hAnsi="Traditional Arabic" w:cs="Traditional Arabic" w:hint="cs"/>
          <w:b/>
          <w:sz w:val="30"/>
          <w:szCs w:val="30"/>
          <w:rtl/>
        </w:rPr>
        <w:t xml:space="preserve"> </w:t>
      </w:r>
      <w:r w:rsidR="00573901" w:rsidRPr="00B142CA">
        <w:rPr>
          <w:rFonts w:ascii="Traditional Arabic" w:hAnsi="Traditional Arabic" w:cs="Traditional Arabic"/>
          <w:b/>
          <w:sz w:val="30"/>
          <w:szCs w:val="30"/>
          <w:rtl/>
        </w:rPr>
        <w:t>لإعداد التقارير المالية</w:t>
      </w:r>
      <w:r w:rsidR="00573901" w:rsidRPr="008D7454">
        <w:rPr>
          <w:rFonts w:ascii="Traditional Arabic" w:hAnsi="Traditional Arabic" w:cs="Traditional Arabic" w:hint="cs"/>
          <w:b/>
          <w:sz w:val="30"/>
          <w:szCs w:val="30"/>
          <w:rtl/>
        </w:rPr>
        <w:t xml:space="preserve"> وغيرها من </w:t>
      </w:r>
      <w:r w:rsidR="00573901" w:rsidRPr="008D7454">
        <w:rPr>
          <w:rFonts w:ascii="Traditional Arabic" w:hAnsi="Traditional Arabic" w:cs="Traditional Arabic"/>
          <w:b/>
          <w:sz w:val="30"/>
          <w:szCs w:val="30"/>
          <w:rtl/>
        </w:rPr>
        <w:t>البيانات التشغيلية</w:t>
      </w:r>
      <w:r w:rsidR="00573901" w:rsidRPr="008D7454">
        <w:rPr>
          <w:rFonts w:ascii="Traditional Arabic" w:hAnsi="Traditional Arabic" w:cs="Traditional Arabic" w:hint="cs"/>
          <w:b/>
          <w:sz w:val="30"/>
          <w:szCs w:val="30"/>
          <w:rtl/>
        </w:rPr>
        <w:t xml:space="preserve"> المستخدمة ، بالرجاء الرجوع ل </w:t>
      </w:r>
      <w:r w:rsidR="00FA1290">
        <w:rPr>
          <w:rFonts w:ascii="Traditional Arabic" w:hAnsi="Traditional Arabic" w:cs="Traditional Arabic" w:hint="cs"/>
          <w:sz w:val="30"/>
          <w:szCs w:val="30"/>
          <w:rtl/>
        </w:rPr>
        <w:t xml:space="preserve">" </w:t>
      </w:r>
      <w:r w:rsidR="00FA1290" w:rsidRPr="003832A3">
        <w:rPr>
          <w:rFonts w:ascii="Traditional Arabic" w:hAnsi="Traditional Arabic" w:cs="Traditional Arabic"/>
          <w:iCs/>
          <w:sz w:val="30"/>
          <w:szCs w:val="30"/>
          <w:rtl/>
        </w:rPr>
        <w:t>عرض البيانات المالية وبيانات القطاع والسوق – معلومات غير متصلة بالمعايير الدولية لإعداد التقارير المالية وبعض البيانات المالية والتشغيلية الأخرى ".</w:t>
      </w:r>
    </w:p>
    <w:p w14:paraId="4D866438" w14:textId="77777777" w:rsidR="002A5CA4" w:rsidRDefault="002A5CA4" w:rsidP="002A5CA4">
      <w:pPr>
        <w:bidi/>
        <w:jc w:val="both"/>
        <w:rPr>
          <w:rFonts w:ascii="Traditional Arabic" w:hAnsi="Traditional Arabic" w:cs="Traditional Arabic"/>
          <w:b/>
          <w:sz w:val="30"/>
          <w:szCs w:val="30"/>
          <w:rtl/>
        </w:rPr>
      </w:pPr>
    </w:p>
    <w:p w14:paraId="37BF92C8" w14:textId="77777777" w:rsidR="00334534" w:rsidRDefault="00334534" w:rsidP="0087472E">
      <w:pPr>
        <w:bidi/>
        <w:jc w:val="both"/>
        <w:rPr>
          <w:rFonts w:ascii="Traditional Arabic" w:hAnsi="Traditional Arabic" w:cs="Traditional Arabic"/>
          <w:bCs/>
          <w:sz w:val="30"/>
          <w:szCs w:val="30"/>
          <w:rtl/>
        </w:rPr>
      </w:pPr>
      <w:r w:rsidRPr="00985281">
        <w:rPr>
          <w:rFonts w:ascii="Traditional Arabic" w:hAnsi="Traditional Arabic" w:cs="Traditional Arabic"/>
          <w:bCs/>
          <w:sz w:val="30"/>
          <w:szCs w:val="30"/>
          <w:rtl/>
        </w:rPr>
        <w:t xml:space="preserve">نبذة تاريخية </w:t>
      </w:r>
    </w:p>
    <w:p w14:paraId="4B6EE5B6" w14:textId="77777777" w:rsidR="0087472E" w:rsidRPr="00985281" w:rsidRDefault="0087472E" w:rsidP="0087472E">
      <w:pPr>
        <w:bidi/>
        <w:jc w:val="both"/>
        <w:rPr>
          <w:rFonts w:ascii="Traditional Arabic" w:hAnsi="Traditional Arabic" w:cs="Traditional Arabic"/>
          <w:bCs/>
          <w:sz w:val="30"/>
          <w:szCs w:val="30"/>
        </w:rPr>
      </w:pPr>
    </w:p>
    <w:p w14:paraId="786F55E6"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drawing>
          <wp:inline distT="0" distB="0" distL="0" distR="0" wp14:anchorId="54DEA53D" wp14:editId="7C75EAE0">
            <wp:extent cx="5553075" cy="2796029"/>
            <wp:effectExtent l="0" t="0" r="0" b="4445"/>
            <wp:docPr id="1893036255" name="Picture 1"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36255" name="Picture 1" descr="A screenshot of a computer  Description automatically generated"/>
                    <pic:cNvPicPr/>
                  </pic:nvPicPr>
                  <pic:blipFill>
                    <a:blip r:embed="rId62"/>
                    <a:stretch>
                      <a:fillRect/>
                    </a:stretch>
                  </pic:blipFill>
                  <pic:spPr>
                    <a:xfrm>
                      <a:off x="0" y="0"/>
                      <a:ext cx="5556890" cy="2797950"/>
                    </a:xfrm>
                    <a:prstGeom prst="rect">
                      <a:avLst/>
                    </a:prstGeom>
                  </pic:spPr>
                </pic:pic>
              </a:graphicData>
            </a:graphic>
          </wp:inline>
        </w:drawing>
      </w:r>
    </w:p>
    <w:p w14:paraId="623F5023"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بدأت الشركة عملياتها في عام 2003 بسفينة واحدة، بهدف تعزيز سلسلة التوريد داخل قطاع النفط والغاز والمساهمة في خطط تنويع الدخل الحكومية. ثم تعاونت الشركة مع شركة شحن دولية؛ متسوي أو إس كيه لينز، ليمتد ("</w:t>
      </w:r>
      <w:r w:rsidRPr="00334534">
        <w:rPr>
          <w:rFonts w:ascii="Traditional Arabic" w:hAnsi="Traditional Arabic" w:cs="Traditional Arabic"/>
          <w:b/>
          <w:sz w:val="30"/>
          <w:szCs w:val="30"/>
          <w:rtl/>
        </w:rPr>
        <w:t xml:space="preserve"> شركة متسوي</w:t>
      </w:r>
      <w:r w:rsidRPr="00334534">
        <w:rPr>
          <w:rFonts w:ascii="Traditional Arabic" w:hAnsi="Traditional Arabic" w:cs="Traditional Arabic"/>
          <w:sz w:val="30"/>
          <w:szCs w:val="30"/>
          <w:rtl/>
        </w:rPr>
        <w:t xml:space="preserve">") بغرض تملك وتشغيل أسطول من سفن الغاز الطبيعي المسال المخصصة لتصدير الغاز الطبيعي المسال العماني. وفي عام 2004، أنشأت الشركة شركتين تابعتين هما الشركة العمانية لإدارة السفن والشركة العمانية </w:t>
      </w:r>
      <w:r w:rsidR="00D73935">
        <w:rPr>
          <w:rFonts w:ascii="Traditional Arabic" w:hAnsi="Traditional Arabic" w:cs="Traditional Arabic" w:hint="cs"/>
          <w:sz w:val="30"/>
          <w:szCs w:val="30"/>
          <w:rtl/>
        </w:rPr>
        <w:t>لاستئجار</w:t>
      </w:r>
      <w:r w:rsidR="00D73935"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السفن لغرض تقديم خدمات تأجير السفن وإدارة السفن. وقد تم تسليم غالبية سفن الغاز الطبيعي المسال الأولية للشركة في عام 2005، وبلغت في مجموعها أربع سفن.</w:t>
      </w:r>
    </w:p>
    <w:p w14:paraId="31F24B06" w14:textId="77777777" w:rsidR="0087472E" w:rsidRDefault="0087472E" w:rsidP="00334534">
      <w:pPr>
        <w:bidi/>
        <w:jc w:val="both"/>
        <w:rPr>
          <w:rFonts w:ascii="Traditional Arabic" w:hAnsi="Traditional Arabic" w:cs="Traditional Arabic"/>
          <w:sz w:val="30"/>
          <w:szCs w:val="30"/>
          <w:rtl/>
        </w:rPr>
      </w:pPr>
    </w:p>
    <w:p w14:paraId="3734E5C5" w14:textId="77777777" w:rsidR="00334534" w:rsidRDefault="00334534" w:rsidP="0087472E">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 xml:space="preserve">ومنذ عام 2007، بدأت الشركة في تنويع أسطولها بشكل استراتيجي ليشمل ناقلات السوائل وناقلات السوائب الجافة، وعززت مكانتها كذراع النقل البحري للحكومة العمانية. وقد مكنت هذه الخطوة الشركة من تقديم حلول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شاملة للشركات العمانية </w:t>
      </w:r>
      <w:r w:rsidRPr="00334534">
        <w:rPr>
          <w:rFonts w:ascii="Traditional Arabic" w:hAnsi="Traditional Arabic" w:cs="Traditional Arabic"/>
          <w:sz w:val="30"/>
          <w:szCs w:val="30"/>
          <w:rtl/>
        </w:rPr>
        <w:lastRenderedPageBreak/>
        <w:t>الكبرى المملوكة للدولة، بما في ذلك شركة أوكيو، وشركة أوكيو للصناعات الأساسية ش م ع ع، وشركة صحار ألمنيوم. وفي عام 2008، أسست الشركة وشركة متسوي مشروعًا مشتركًا آخر لتوسيع أسطول ناقلات المنتجات وناقلات النفط الخام العملاقة، وفي عام 2009، قدمت الشركة طلبيات لعدد 12 ناقلة عملاقة للنفط الخام من شركة هيونداي للصناعات الثقيلة (HHI) وشركة هانوا أوشن ليمتد (المعروفة سابقًا باسم شركة دايو لبناء السفن والهندسة البحرية) وشركة سامسونج للصناعات الثقيلة، لتصل إلى ما مجموعه 16 سفينة.</w:t>
      </w:r>
    </w:p>
    <w:p w14:paraId="035F8013" w14:textId="77777777" w:rsidR="0087472E" w:rsidRPr="00334534" w:rsidRDefault="0087472E" w:rsidP="0087472E">
      <w:pPr>
        <w:bidi/>
        <w:jc w:val="both"/>
        <w:rPr>
          <w:rFonts w:ascii="Traditional Arabic" w:hAnsi="Traditional Arabic" w:cs="Traditional Arabic"/>
          <w:sz w:val="30"/>
          <w:szCs w:val="30"/>
        </w:rPr>
      </w:pPr>
    </w:p>
    <w:p w14:paraId="01C113A6"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ومنذ عام 2010، وسعت الشركة قدراتها بطلب أربع ناقلات خام حديد عملاقة ليتم تأجيرها حصريًا لشركة فالي إس إيه، وكانت الأولى من نوعها في نقل خام الحديد من البرازيل إلى صحار. بالإضافة إلى ذلك، بدأت الشركة أعمالها في مجال النقل البحري المنتظم، حيث استخدمت في بداية الأمر سفينتين صغيرتين، من أجل دعم قطاع الخدمات اللوجستية العماني.</w:t>
      </w:r>
    </w:p>
    <w:p w14:paraId="671B8A5D" w14:textId="77777777" w:rsidR="0087472E" w:rsidRDefault="0087472E" w:rsidP="00334534">
      <w:pPr>
        <w:bidi/>
        <w:jc w:val="both"/>
        <w:rPr>
          <w:rFonts w:ascii="Traditional Arabic" w:hAnsi="Traditional Arabic" w:cs="Traditional Arabic"/>
          <w:sz w:val="30"/>
          <w:szCs w:val="30"/>
          <w:rtl/>
        </w:rPr>
      </w:pPr>
    </w:p>
    <w:p w14:paraId="2698016F" w14:textId="77777777" w:rsidR="00334534" w:rsidRPr="00334534" w:rsidRDefault="00334534" w:rsidP="0087472E">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وفي عام 2015، استغلت الشركة فرصة كبيرة لدخول سوق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المنتجات النفطية الدولية من خلال التعاون مع شركة شل واستئجار عشر ناقلات متوسطة الحجم لنقل المنتجات المشتقة من النفط.</w:t>
      </w:r>
    </w:p>
    <w:p w14:paraId="307BBC2B" w14:textId="77777777" w:rsidR="0087472E" w:rsidRDefault="0087472E" w:rsidP="00334534">
      <w:pPr>
        <w:bidi/>
        <w:jc w:val="both"/>
        <w:rPr>
          <w:rFonts w:ascii="Traditional Arabic" w:hAnsi="Traditional Arabic" w:cs="Traditional Arabic"/>
          <w:sz w:val="30"/>
          <w:szCs w:val="30"/>
          <w:rtl/>
        </w:rPr>
      </w:pPr>
    </w:p>
    <w:p w14:paraId="15EE83FB" w14:textId="77777777" w:rsidR="00334534" w:rsidRPr="00334534" w:rsidRDefault="00334534" w:rsidP="0087472E">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وفي عام 2016، انضمت الشركة إلى مجموعة أسياد وأصبحت ذراع الشحن للمجموعة.</w:t>
      </w:r>
    </w:p>
    <w:p w14:paraId="7A49FD29" w14:textId="77777777" w:rsidR="0087472E" w:rsidRDefault="0087472E" w:rsidP="00334534">
      <w:pPr>
        <w:bidi/>
        <w:jc w:val="both"/>
        <w:rPr>
          <w:rFonts w:ascii="Traditional Arabic" w:hAnsi="Traditional Arabic" w:cs="Traditional Arabic"/>
          <w:sz w:val="30"/>
          <w:szCs w:val="30"/>
          <w:rtl/>
        </w:rPr>
      </w:pPr>
    </w:p>
    <w:p w14:paraId="03820AF4" w14:textId="77777777" w:rsidR="00334534" w:rsidRPr="00334534" w:rsidRDefault="00334534" w:rsidP="0087472E">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وفي عام 2017، أنشأت الشركة وحدة مختصة بتأجير ناقلات النفط الخام، وأسست شركة خط أسياد التابعة لها. وفي العام نفسه، عززت الشركة أيضًا علاقتها مع شركة شل من خلال توفير خدمات شحن عبر ناقلات النفط الخام العملاقة لنقل النفط الخام، مما عزز بشكل كبير من سمعة الشركة ضمن شركات النفط الكبرى الحاصة على تصنيف من الدرجة الأولى، وتأثيرها في سوق الشحن الدولي. وبعد ذلك، واصلت الشركة تطوير أسطولها في عام 2019 من خلال طلب ثلاث سفن إضافية من نوع ناقلات النفط الخام العملاقة من شركة دايو لبناء السفن والهندسة البحرية، وفي عام 2021، قدمت الشركة استراتيجية تأجير للاستفادة من الاتجاه الصعودي المحتمل في السوق من خلال استئجار سفن تابعة لجهات خارجية وتأجيرها. وتعزز هذه الاستراتيجية مرونة الشركة، مما يسمح لها بتوسيع أسطولها لتلبية طلبات العملاء المتزايدة مع تجنب النفقات الرأسمالية الكبيرة المرتبطة عادة بملكية السفن.</w:t>
      </w:r>
    </w:p>
    <w:p w14:paraId="2EEAEC43" w14:textId="77777777" w:rsidR="0087472E" w:rsidRDefault="0087472E" w:rsidP="00334534">
      <w:pPr>
        <w:bidi/>
        <w:jc w:val="both"/>
        <w:rPr>
          <w:rFonts w:ascii="Traditional Arabic" w:hAnsi="Traditional Arabic" w:cs="Traditional Arabic"/>
          <w:sz w:val="30"/>
          <w:szCs w:val="30"/>
          <w:rtl/>
        </w:rPr>
      </w:pPr>
    </w:p>
    <w:p w14:paraId="057693F8" w14:textId="77777777" w:rsidR="00334534" w:rsidRPr="00334534" w:rsidRDefault="00334534" w:rsidP="0087472E">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خلال جائحة كوفيد-19، عملت الشركة مع مساهمها، مجموعة أسياد، للمساعدة في دعم الأجندة الوطنية لضمان الأمن الغذائي من خلال إنشاء شركة خط أسياد لدعم قطاع الخدمات اللوجستية لسلسلة التوريد. في عام 2022، طلبت الشركة سفينتين أخريين للغاز الطبيعي المسال لتقديم خدمات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للغاز الطبيعي المسال العماني، كجزء من تعاون الشركة المستمر مع الشركات الوطنية الرائدة، والمساهمة في القيمة المحلية (وهي إجمالي الإنفاق المحتفظ به داخل البلد الذي يفيد تطوير الأعمال، </w:t>
      </w:r>
      <w:r w:rsidRPr="00334534">
        <w:rPr>
          <w:rFonts w:ascii="Traditional Arabic" w:hAnsi="Traditional Arabic" w:cs="Traditional Arabic"/>
          <w:sz w:val="30"/>
          <w:szCs w:val="30"/>
          <w:rtl/>
        </w:rPr>
        <w:lastRenderedPageBreak/>
        <w:t>ويسهم في تنمية القدرات البشرية ويحفز الإنتاجية في الاقتصاد العماني). وتتوقع الشركة أن يتم تسليم هذه السفن في عام 2026. شهد ذلك العام أيضًا أول تحرك للشركة خارج سلطنة عمان والدخول في أحد مراكز 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الرائدة في العالم من خلال إنشاء شركة تابعة لها في سنغافورة وهي شركة أسياد شيبينغ</w:t>
      </w:r>
      <w:r w:rsidR="00421ED3">
        <w:rPr>
          <w:rFonts w:ascii="Traditional Arabic" w:hAnsi="Traditional Arabic" w:cs="Traditional Arabic" w:hint="cs"/>
          <w:sz w:val="30"/>
          <w:szCs w:val="30"/>
          <w:rtl/>
        </w:rPr>
        <w:t xml:space="preserve"> بي تي إي ليمتد</w:t>
      </w:r>
      <w:r w:rsidRPr="00334534">
        <w:rPr>
          <w:rFonts w:ascii="Traditional Arabic" w:hAnsi="Traditional Arabic" w:cs="Traditional Arabic"/>
          <w:sz w:val="30"/>
          <w:szCs w:val="30"/>
          <w:rtl/>
        </w:rPr>
        <w:t>، لتشغيل وحدة تأجير ناقلات البضائع السائبة والمنتجات للشركة في آسيا.</w:t>
      </w:r>
    </w:p>
    <w:p w14:paraId="31174B77" w14:textId="77777777" w:rsidR="0087472E" w:rsidRDefault="0087472E" w:rsidP="00334534">
      <w:pPr>
        <w:bidi/>
        <w:jc w:val="both"/>
        <w:rPr>
          <w:rFonts w:ascii="Traditional Arabic" w:hAnsi="Traditional Arabic" w:cs="Traditional Arabic"/>
          <w:sz w:val="30"/>
          <w:szCs w:val="30"/>
          <w:rtl/>
        </w:rPr>
      </w:pPr>
    </w:p>
    <w:p w14:paraId="65B6DAD0" w14:textId="77777777" w:rsidR="00334534" w:rsidRPr="00334534" w:rsidRDefault="0087472E" w:rsidP="0087472E">
      <w:pPr>
        <w:bidi/>
        <w:jc w:val="both"/>
        <w:rPr>
          <w:rFonts w:ascii="Traditional Arabic" w:hAnsi="Traditional Arabic" w:cs="Traditional Arabic"/>
          <w:sz w:val="30"/>
          <w:szCs w:val="30"/>
        </w:rPr>
      </w:pPr>
      <w:r>
        <w:rPr>
          <w:rFonts w:ascii="Traditional Arabic" w:hAnsi="Traditional Arabic" w:cs="Traditional Arabic" w:hint="cs"/>
          <w:sz w:val="30"/>
          <w:szCs w:val="30"/>
          <w:rtl/>
        </w:rPr>
        <w:t>و</w:t>
      </w:r>
      <w:r w:rsidR="00334534" w:rsidRPr="00334534">
        <w:rPr>
          <w:rFonts w:ascii="Traditional Arabic" w:hAnsi="Traditional Arabic" w:cs="Traditional Arabic"/>
          <w:sz w:val="30"/>
          <w:szCs w:val="30"/>
          <w:rtl/>
        </w:rPr>
        <w:t xml:space="preserve">في عامي 2022 و 2023، استفادت الشركة من سوق إعادة بيع السفن العملاقة، وباعت ست من أقدم سفنها (وكلها كانت سفن عملاقة) كجزء من برنامج تجديد أسطولها، وطلبت بدورها أربع سفن عملاقة جديدة في عام 2024 وسيكون تسليمهما في عامي 2026 و 2027، وهذا عزز مكانتها كواحدة من الشركات الرائدة في صناعة النقل البحري. </w:t>
      </w:r>
    </w:p>
    <w:p w14:paraId="32F53B73" w14:textId="77777777" w:rsidR="0087472E" w:rsidRDefault="0087472E" w:rsidP="00334534">
      <w:pPr>
        <w:bidi/>
        <w:jc w:val="both"/>
        <w:rPr>
          <w:rFonts w:ascii="Traditional Arabic" w:hAnsi="Traditional Arabic" w:cs="Traditional Arabic"/>
          <w:b/>
          <w:sz w:val="30"/>
          <w:szCs w:val="30"/>
          <w:rtl/>
        </w:rPr>
      </w:pPr>
    </w:p>
    <w:p w14:paraId="04F6751C" w14:textId="77777777" w:rsidR="00334534" w:rsidRPr="00985281" w:rsidRDefault="00334534" w:rsidP="0087472E">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 xml:space="preserve">نقاط القوة التنافسية </w:t>
      </w:r>
    </w:p>
    <w:p w14:paraId="7DF76DD6" w14:textId="77777777" w:rsidR="00334534" w:rsidRPr="00985281" w:rsidRDefault="00334534" w:rsidP="00334534">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 xml:space="preserve">منصة </w:t>
      </w:r>
      <w:r w:rsidR="00607B02">
        <w:rPr>
          <w:rFonts w:ascii="Traditional Arabic" w:hAnsi="Traditional Arabic" w:cs="Traditional Arabic"/>
          <w:bCs/>
          <w:i/>
          <w:sz w:val="30"/>
          <w:szCs w:val="30"/>
          <w:rtl/>
        </w:rPr>
        <w:t>نقل</w:t>
      </w:r>
      <w:r w:rsidRPr="00985281">
        <w:rPr>
          <w:rFonts w:ascii="Traditional Arabic" w:hAnsi="Traditional Arabic" w:cs="Traditional Arabic"/>
          <w:bCs/>
          <w:i/>
          <w:sz w:val="30"/>
          <w:szCs w:val="30"/>
          <w:rtl/>
        </w:rPr>
        <w:t xml:space="preserve"> عالمية المستوى مقرها في موقع استراتيجي مع وصول عالمي </w:t>
      </w:r>
    </w:p>
    <w:p w14:paraId="183DB390" w14:textId="77777777" w:rsidR="0087472E" w:rsidRDefault="0087472E" w:rsidP="00334534">
      <w:pPr>
        <w:bidi/>
        <w:jc w:val="both"/>
        <w:rPr>
          <w:rFonts w:ascii="Traditional Arabic" w:hAnsi="Traditional Arabic" w:cs="Traditional Arabic"/>
          <w:sz w:val="30"/>
          <w:szCs w:val="30"/>
          <w:rtl/>
        </w:rPr>
      </w:pPr>
    </w:p>
    <w:p w14:paraId="121E68DE" w14:textId="77777777" w:rsidR="00334534" w:rsidRPr="00334534" w:rsidRDefault="00334534" w:rsidP="0087472E">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بأسطول مكون من 89 سفينة (حتى 30 سبتمبر 2024)، تمتلك الشركة مجموعة واسعة من السفن المملوكة ملكية تامة والمملوكة </w:t>
      </w:r>
      <w:r w:rsidR="00E65E26">
        <w:rPr>
          <w:rFonts w:ascii="Traditional Arabic" w:hAnsi="Traditional Arabic" w:cs="Traditional Arabic"/>
          <w:sz w:val="30"/>
          <w:szCs w:val="30"/>
          <w:rtl/>
        </w:rPr>
        <w:t>بشكل مشترك</w:t>
      </w:r>
      <w:r w:rsidRPr="00334534">
        <w:rPr>
          <w:rFonts w:ascii="Traditional Arabic" w:hAnsi="Traditional Arabic" w:cs="Traditional Arabic"/>
          <w:sz w:val="30"/>
          <w:szCs w:val="30"/>
          <w:rtl/>
        </w:rPr>
        <w:t xml:space="preserve"> والمستأجرة، وتقدم عددًا من الخدمات اللوجستية المتكاملة. بالإضافة إلى قطاعاتها الأساسية الخمسة -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النفط الخام، و</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المنتجات، و</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البضائع السائبة الجافة، و</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وال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الملاحي المنتظم - فإن الشركة تقدم حلول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متخصصة، حيث تدير واحدة من أكبر أساطيل 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المتنوعة في العالم، بدعم من الخدمات التجارية داخل الشركة (بما في ذلك التأجير والسمسرة) والخدمات الفنية داخل الشركة (بما في ذلك تشغيل السفن وإدارتها). لدى الشركة تنوع في الخدمات والأنشطة عبر قطاعات 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المختلفة بالإضافة إلى أكثر من نوع من أنواع السفن داخل كل قطاع، كما تحتفظ الشركة بأسطول حديث بمعدلات استخدام عالية في جميع القطاعات. </w:t>
      </w:r>
    </w:p>
    <w:p w14:paraId="33A9C00D" w14:textId="77777777" w:rsidR="0087472E" w:rsidRDefault="0087472E" w:rsidP="00334534">
      <w:pPr>
        <w:bidi/>
        <w:jc w:val="both"/>
        <w:rPr>
          <w:rFonts w:ascii="Traditional Arabic" w:hAnsi="Traditional Arabic" w:cs="Traditional Arabic"/>
          <w:sz w:val="30"/>
          <w:szCs w:val="30"/>
          <w:rtl/>
        </w:rPr>
      </w:pPr>
    </w:p>
    <w:p w14:paraId="12397D6E" w14:textId="77777777" w:rsidR="00334534" w:rsidRPr="00334534" w:rsidRDefault="00334534" w:rsidP="0087472E">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وتستفيد الشركة من موقع سلطنة عمان الاستراتيجي كبوابة للأسواق النامية في منطقة الشرق الأوسط وشمال إفريقيا وشبه القارة الهندية، وتخدم أكثر من 60 دولة. وباعتبارها أكبر شركة لل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والخدمات اللوجستية في سلطنة عمان، فإنها تستفيد من البنية التحتية البحرية القوية في سلطنة عمان وموقعها المركزي عند مفترق طرق الشحن العالمي، مما يوفر للشركة وعملائها إمكانية الوصول إلى الأسواق الرئيسية في آسيا وأفريقيا وأوروبا. </w:t>
      </w:r>
    </w:p>
    <w:p w14:paraId="428D9C1C" w14:textId="77777777" w:rsidR="0087472E" w:rsidRDefault="0087472E" w:rsidP="00334534">
      <w:pPr>
        <w:bidi/>
        <w:jc w:val="both"/>
        <w:rPr>
          <w:rFonts w:ascii="Traditional Arabic" w:hAnsi="Traditional Arabic" w:cs="Traditional Arabic"/>
          <w:b/>
          <w:i/>
          <w:sz w:val="30"/>
          <w:szCs w:val="30"/>
          <w:rtl/>
        </w:rPr>
      </w:pPr>
    </w:p>
    <w:p w14:paraId="4DAAAC06" w14:textId="77777777" w:rsidR="0087472E" w:rsidRPr="00985281" w:rsidRDefault="00334534" w:rsidP="0087472E">
      <w:pPr>
        <w:bidi/>
        <w:jc w:val="both"/>
        <w:rPr>
          <w:rFonts w:ascii="Traditional Arabic" w:hAnsi="Traditional Arabic" w:cs="Traditional Arabic"/>
          <w:bCs/>
          <w:i/>
          <w:sz w:val="30"/>
          <w:szCs w:val="30"/>
          <w:rtl/>
        </w:rPr>
      </w:pPr>
      <w:r w:rsidRPr="00985281">
        <w:rPr>
          <w:rFonts w:ascii="Traditional Arabic" w:hAnsi="Traditional Arabic" w:cs="Traditional Arabic"/>
          <w:bCs/>
          <w:i/>
          <w:sz w:val="30"/>
          <w:szCs w:val="30"/>
          <w:rtl/>
        </w:rPr>
        <w:t xml:space="preserve">توقعات قوية للسوق عبر القطاعات الأساسية للشركة مدعومة بالطلب المتزايد على الشحن والحاجة إلى استبدال الأسطول القديم </w:t>
      </w:r>
    </w:p>
    <w:p w14:paraId="27963175" w14:textId="77777777" w:rsidR="0087472E" w:rsidRDefault="0087472E" w:rsidP="0087472E">
      <w:pPr>
        <w:bidi/>
        <w:jc w:val="both"/>
        <w:rPr>
          <w:rFonts w:ascii="Traditional Arabic" w:hAnsi="Traditional Arabic" w:cs="Traditional Arabic"/>
          <w:sz w:val="30"/>
          <w:szCs w:val="30"/>
          <w:rtl/>
        </w:rPr>
      </w:pPr>
    </w:p>
    <w:p w14:paraId="47F40FB9" w14:textId="77777777" w:rsidR="00334534" w:rsidRPr="00334534" w:rsidRDefault="00334534" w:rsidP="0087472E">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 xml:space="preserve">تستفيد الشركة من ديناميكيات العرض والطلب العالمية المواتية في معظم قطاعات الشحن، بالإضافة إلى نمو الاقتصاد العماني والمشاريع في سلطنة عمان. </w:t>
      </w:r>
    </w:p>
    <w:p w14:paraId="790C0B37" w14:textId="77777777" w:rsidR="0087472E" w:rsidRDefault="0087472E" w:rsidP="00334534">
      <w:pPr>
        <w:bidi/>
        <w:jc w:val="both"/>
        <w:rPr>
          <w:rFonts w:ascii="Traditional Arabic" w:hAnsi="Traditional Arabic" w:cs="Traditional Arabic"/>
          <w:sz w:val="30"/>
          <w:szCs w:val="30"/>
          <w:rtl/>
        </w:rPr>
      </w:pPr>
    </w:p>
    <w:p w14:paraId="5E17231B" w14:textId="77777777" w:rsidR="00334534" w:rsidRDefault="00334534" w:rsidP="0087472E">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ففي سوق النفط الخام، نجد أنه من المتوقع أن يكون الطلب مدعومًا بنمو مستقر في إنتاج النفط العالمي واستهلاكه، ناتجًا في المقام الأول عن مناطق نمو عالية مثل منطقة آسيا والمحيط الهادئ. ومن المتوقع أن تحدث فجوة كبيرة في المعروض في سوق شحن النفط الخام ووجود فرق واسع في إمدادات السفن، وذلك بسبب تسارع عمليات تخريد السفن القديمة (التخلص منها). على الرغم من أن ما يقرب من 40 في المائة من أسطول ناقلات النفط الخام العالمي يزيد عمره عن 15 عامًا (مع إمكانية كبيرة للتخريد على مدى السنوات الخمس إلى العشر المقبلة)، فمن المتوقع أن تحل السفن المطلوبة بدفتر الطلبات حتى 30 سبتمبر 2024 محل ما يقرب من 21 في المائة فقط من هذا الأسطول المرشح للتخريد (المصدر: مستشار السوق). توضح الرسوم البيانية التالية واردات النفط الخام التاريخية والمتوقعة والطلب على الشحن:</w:t>
      </w:r>
    </w:p>
    <w:p w14:paraId="38AAB2D4" w14:textId="77777777" w:rsidR="0087472E" w:rsidRPr="00334534" w:rsidRDefault="0087472E" w:rsidP="0087472E">
      <w:pPr>
        <w:bidi/>
        <w:jc w:val="both"/>
        <w:rPr>
          <w:rFonts w:ascii="Traditional Arabic" w:hAnsi="Traditional Arabic" w:cs="Traditional Arabic"/>
          <w:sz w:val="30"/>
          <w:szCs w:val="30"/>
        </w:rPr>
      </w:pPr>
    </w:p>
    <w:p w14:paraId="079B37B3"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drawing>
          <wp:inline distT="0" distB="0" distL="0" distR="0" wp14:anchorId="52C08BC9" wp14:editId="3FBF73F6">
            <wp:extent cx="4114800" cy="1784754"/>
            <wp:effectExtent l="0" t="0" r="0" b="6350"/>
            <wp:docPr id="1165322171" name="Picture 1" descr="A graph of a graph of a graph of a graph of a graph of a graph of a graph of a graph of a graph of a graph of a graph of a graph of a graph of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22171" name="Picture 1" descr="A graph of a graph of a graph of a graph of a graph of a graph of a graph of a graph of a graph of a graph of a graph of a graph of a graph of  Description automatically generated"/>
                    <pic:cNvPicPr/>
                  </pic:nvPicPr>
                  <pic:blipFill>
                    <a:blip r:embed="rId63"/>
                    <a:stretch>
                      <a:fillRect/>
                    </a:stretch>
                  </pic:blipFill>
                  <pic:spPr>
                    <a:xfrm>
                      <a:off x="0" y="0"/>
                      <a:ext cx="4151305" cy="1800588"/>
                    </a:xfrm>
                    <a:prstGeom prst="rect">
                      <a:avLst/>
                    </a:prstGeom>
                  </pic:spPr>
                </pic:pic>
              </a:graphicData>
            </a:graphic>
          </wp:inline>
        </w:drawing>
      </w:r>
    </w:p>
    <w:p w14:paraId="68B488D8" w14:textId="77777777" w:rsidR="00334534" w:rsidRPr="00334534" w:rsidRDefault="00334534" w:rsidP="00334534">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المصدر: مستشار السوق</w:t>
      </w:r>
    </w:p>
    <w:p w14:paraId="70F2B6DC" w14:textId="77777777" w:rsidR="0087472E" w:rsidRDefault="0087472E" w:rsidP="00334534">
      <w:pPr>
        <w:bidi/>
        <w:jc w:val="both"/>
        <w:rPr>
          <w:rFonts w:ascii="Traditional Arabic" w:hAnsi="Traditional Arabic" w:cs="Traditional Arabic"/>
          <w:sz w:val="30"/>
          <w:szCs w:val="30"/>
          <w:rtl/>
        </w:rPr>
      </w:pPr>
    </w:p>
    <w:p w14:paraId="2A5E0172" w14:textId="77777777" w:rsidR="00334534" w:rsidRPr="00334534" w:rsidRDefault="00334534" w:rsidP="0087472E">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وبالمثل، في سوق المنتجات المكررة، نجد أنه من المتوقع أن يستمر دعم الطلب من خلال زيادة سعة التكرير واستقرار نمو الطلب العالمي على المنتجات المكررة. ومن المتوقع أن ينمو العرض في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المنتجات بمعدل محدود، على الرغم من استمرار وجود فجوة في إمدادات السفن. يبلغ عمر أكثر من 40 في المائة من الأسطول العالمي أكثر من 15 عامًا، في حين أنه من المتوقع أن تحل السفن المطلوبة بدفتر الطلبات حتى 30 سبتمبر 2024 محل ما يقرب من 20 في المائة من الأسطول العالمي الحالي (حيث يتكون معظم دفتر الطلبات الحالي من سفن يزيد وزنها عن 80 ألف طن متري) (المصدر: مستشار السوق). توضح الرسوم البيانية التالية واردات المنتجات المكررة التاريخية والمتوقعة والطلب على الشحن:</w:t>
      </w:r>
    </w:p>
    <w:p w14:paraId="736A3F10"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lastRenderedPageBreak/>
        <w:drawing>
          <wp:inline distT="0" distB="0" distL="0" distR="0" wp14:anchorId="2ED08B52" wp14:editId="117D924C">
            <wp:extent cx="4172719" cy="1781033"/>
            <wp:effectExtent l="0" t="0" r="0" b="0"/>
            <wp:docPr id="112500093" name="Picture 1" descr="A graph of different colored bars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0093" name="Picture 1" descr="A graph of different colored bars  Description automatically generated with medium confidence"/>
                    <pic:cNvPicPr/>
                  </pic:nvPicPr>
                  <pic:blipFill>
                    <a:blip r:embed="rId64"/>
                    <a:stretch>
                      <a:fillRect/>
                    </a:stretch>
                  </pic:blipFill>
                  <pic:spPr>
                    <a:xfrm>
                      <a:off x="0" y="0"/>
                      <a:ext cx="4214368" cy="1798810"/>
                    </a:xfrm>
                    <a:prstGeom prst="rect">
                      <a:avLst/>
                    </a:prstGeom>
                  </pic:spPr>
                </pic:pic>
              </a:graphicData>
            </a:graphic>
          </wp:inline>
        </w:drawing>
      </w:r>
    </w:p>
    <w:p w14:paraId="4E02420C" w14:textId="77777777" w:rsidR="00334534" w:rsidRPr="00334534" w:rsidRDefault="00334534" w:rsidP="00334534">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المصدر: مستشار السوق</w:t>
      </w:r>
    </w:p>
    <w:p w14:paraId="47AC9C4D" w14:textId="77777777" w:rsidR="0087472E" w:rsidRDefault="0087472E" w:rsidP="00334534">
      <w:pPr>
        <w:bidi/>
        <w:jc w:val="both"/>
        <w:rPr>
          <w:rFonts w:ascii="Traditional Arabic" w:hAnsi="Traditional Arabic" w:cs="Traditional Arabic"/>
          <w:sz w:val="30"/>
          <w:szCs w:val="30"/>
          <w:rtl/>
        </w:rPr>
      </w:pPr>
    </w:p>
    <w:p w14:paraId="43F51CED" w14:textId="77777777" w:rsidR="00334534" w:rsidRPr="00334534" w:rsidRDefault="00334534" w:rsidP="0087472E">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في سوق</w:t>
      </w:r>
      <w:r w:rsidR="0087472E">
        <w:rPr>
          <w:rFonts w:ascii="Traditional Arabic" w:hAnsi="Traditional Arabic" w:cs="Traditional Arabic" w:hint="cs"/>
          <w:sz w:val="30"/>
          <w:szCs w:val="30"/>
          <w:rtl/>
        </w:rPr>
        <w:t xml:space="preserve"> البضائع</w:t>
      </w:r>
      <w:r w:rsidRPr="00334534">
        <w:rPr>
          <w:rFonts w:ascii="Traditional Arabic" w:hAnsi="Traditional Arabic" w:cs="Traditional Arabic"/>
          <w:sz w:val="30"/>
          <w:szCs w:val="30"/>
          <w:rtl/>
        </w:rPr>
        <w:t xml:space="preserve"> السائب</w:t>
      </w:r>
      <w:r w:rsidR="0087472E">
        <w:rPr>
          <w:rFonts w:ascii="Traditional Arabic" w:hAnsi="Traditional Arabic" w:cs="Traditional Arabic" w:hint="cs"/>
          <w:sz w:val="30"/>
          <w:szCs w:val="30"/>
          <w:rtl/>
        </w:rPr>
        <w:t>ة</w:t>
      </w:r>
      <w:r w:rsidRPr="00334534">
        <w:rPr>
          <w:rFonts w:ascii="Traditional Arabic" w:hAnsi="Traditional Arabic" w:cs="Traditional Arabic"/>
          <w:sz w:val="30"/>
          <w:szCs w:val="30"/>
          <w:rtl/>
        </w:rPr>
        <w:t xml:space="preserve"> الجافة، نجد أنه من المتوقع أن يظل الطلب مستقرًا، حيث من المتوقع أن ينمو استيراد وتصدير البضائع السائبة الصغيرة والحبوب، بينما من المتوقع أن يظل استيراد وتصدير السوائب الرئيسية ثابتًا إلى حد كبير. ومن المتوقع أن يكون نمو الطلب الإقليمي في دول مجلس التعاون الخليجي أعلى من المتوسط العالمي. ومن المتوقع أن تكون إمدادات السفن في هذه الشريحة من القطاع مقيدة بطلبات السفن المحدودة مقارنة بالأسطول العالمي القديم، وأيضا اللوائح البيئية التي ستدخل حيز التنفيذ، الأمر الذي سيتطلب أن تقوم مجموعة كبيرة من السفن في الأسطول العالمي الحالي بتقليل سرعة الإبحار وتحديث السفن بتقنية توفير الطاقة (المصدر: مستشار السوق). توضح الرسوم البيانية التالية تطور الشحنات الجافة التاريخية والمتوقعة والطلب على الشحنات السائبة الجافة:</w:t>
      </w:r>
    </w:p>
    <w:p w14:paraId="2D63799B"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drawing>
          <wp:inline distT="0" distB="0" distL="0" distR="0" wp14:anchorId="1962285B" wp14:editId="65B2EE1E">
            <wp:extent cx="4002074" cy="1733266"/>
            <wp:effectExtent l="0" t="0" r="0" b="635"/>
            <wp:docPr id="188152434" name="Picture 1" descr="A graph and chart with numbers and a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2434" name="Picture 1" descr="A graph and chart with numbers and a line  Description automatically generated"/>
                    <pic:cNvPicPr/>
                  </pic:nvPicPr>
                  <pic:blipFill>
                    <a:blip r:embed="rId65"/>
                    <a:stretch>
                      <a:fillRect/>
                    </a:stretch>
                  </pic:blipFill>
                  <pic:spPr>
                    <a:xfrm>
                      <a:off x="0" y="0"/>
                      <a:ext cx="4044815" cy="1751777"/>
                    </a:xfrm>
                    <a:prstGeom prst="rect">
                      <a:avLst/>
                    </a:prstGeom>
                  </pic:spPr>
                </pic:pic>
              </a:graphicData>
            </a:graphic>
          </wp:inline>
        </w:drawing>
      </w:r>
    </w:p>
    <w:p w14:paraId="5C3CEA0D" w14:textId="77777777" w:rsidR="00334534" w:rsidRPr="00334534" w:rsidRDefault="00334534" w:rsidP="00334534">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المصدر: مستشار السوق</w:t>
      </w:r>
    </w:p>
    <w:p w14:paraId="27EBDE26" w14:textId="77777777" w:rsidR="00F05EA0" w:rsidRDefault="00F05EA0" w:rsidP="00334534">
      <w:pPr>
        <w:bidi/>
        <w:jc w:val="both"/>
        <w:rPr>
          <w:rFonts w:ascii="Traditional Arabic" w:hAnsi="Traditional Arabic" w:cs="Traditional Arabic"/>
          <w:sz w:val="30"/>
          <w:szCs w:val="30"/>
          <w:rtl/>
        </w:rPr>
      </w:pPr>
    </w:p>
    <w:p w14:paraId="1EB62116" w14:textId="77777777" w:rsidR="00F05EA0" w:rsidRDefault="00334534" w:rsidP="00F05EA0">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 xml:space="preserve">في سوق الغاز الطبيعي المسال، وفي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الذي تعمل فيه الشركة، نجد أنه من المتوقع أن يتم دعم الطلب من خلال التوسع المستمر في الأسواق النهائية العالمية للغاز الطبيعي المسال واستمرار تطوير البنية التحتية، والتي من المتوقع أن تؤدي إلى زيادة الطلب الكبير على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الطبيعي المسال. ومن المتوقع أن تظل إمدادات السفن في قطاع الغاز قوية. ومع ذلك، فإن الغالبية العظمى من السفن في الأسطول العالمي قد تم التعاقد معها بالفعل لتلبية شبكة البنية التحتية العالمية سريعة التوسع. </w:t>
      </w:r>
    </w:p>
    <w:p w14:paraId="4C201532"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 xml:space="preserve">لا يزال ما يقرب من 15 في المائة من دفتر الطلبات الحالي غير ملتزم به، مع توقع التعاقد مع العديد من تلك السفن غير الملتزم بها مع استمرار الإنتاج العالمي في الزيادة، مما يقيد العرض الإجمالي في السوق للسفن غير الملتزم بها (المصدر: مستشار السوق). توضح الرسوم البيانية التالية واردات الغاز الطبيعي المسال التاريخية والمتوقعة والطلب على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الطبيعي المسال:</w:t>
      </w:r>
    </w:p>
    <w:p w14:paraId="05D9EE98"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drawing>
          <wp:inline distT="0" distB="0" distL="0" distR="0" wp14:anchorId="1C65E48B" wp14:editId="0BFD74B4">
            <wp:extent cx="4053385" cy="1756802"/>
            <wp:effectExtent l="0" t="0" r="4445" b="0"/>
            <wp:docPr id="492731511" name="Picture 1" descr="A graph of a graph of a company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31511" name="Picture 1" descr="A graph of a graph of a company  Description automatically generated with low confidence"/>
                    <pic:cNvPicPr/>
                  </pic:nvPicPr>
                  <pic:blipFill>
                    <a:blip r:embed="rId66"/>
                    <a:stretch>
                      <a:fillRect/>
                    </a:stretch>
                  </pic:blipFill>
                  <pic:spPr>
                    <a:xfrm>
                      <a:off x="0" y="0"/>
                      <a:ext cx="4063636" cy="1761245"/>
                    </a:xfrm>
                    <a:prstGeom prst="rect">
                      <a:avLst/>
                    </a:prstGeom>
                  </pic:spPr>
                </pic:pic>
              </a:graphicData>
            </a:graphic>
          </wp:inline>
        </w:drawing>
      </w:r>
    </w:p>
    <w:p w14:paraId="14A2DF04" w14:textId="77777777" w:rsidR="00334534" w:rsidRPr="00334534" w:rsidRDefault="00334534" w:rsidP="00334534">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المصدر: مستشار السوق</w:t>
      </w:r>
    </w:p>
    <w:p w14:paraId="47524CDB" w14:textId="77777777" w:rsidR="00F05EA0" w:rsidRDefault="00F05EA0" w:rsidP="00334534">
      <w:pPr>
        <w:bidi/>
        <w:jc w:val="both"/>
        <w:rPr>
          <w:rFonts w:ascii="Traditional Arabic" w:hAnsi="Traditional Arabic" w:cs="Traditional Arabic"/>
          <w:sz w:val="30"/>
          <w:szCs w:val="30"/>
          <w:rtl/>
        </w:rPr>
      </w:pPr>
    </w:p>
    <w:p w14:paraId="3B5B5470" w14:textId="77777777" w:rsidR="00334534" w:rsidRPr="00334534" w:rsidRDefault="00F05EA0" w:rsidP="00F05EA0">
      <w:pPr>
        <w:bidi/>
        <w:jc w:val="both"/>
        <w:rPr>
          <w:rFonts w:ascii="Traditional Arabic" w:hAnsi="Traditional Arabic" w:cs="Traditional Arabic"/>
          <w:sz w:val="30"/>
          <w:szCs w:val="30"/>
        </w:rPr>
      </w:pPr>
      <w:r>
        <w:rPr>
          <w:rFonts w:ascii="Traditional Arabic" w:hAnsi="Traditional Arabic" w:cs="Traditional Arabic" w:hint="cs"/>
          <w:sz w:val="30"/>
          <w:szCs w:val="30"/>
          <w:rtl/>
        </w:rPr>
        <w:t>و</w:t>
      </w:r>
      <w:r w:rsidR="00334534" w:rsidRPr="00334534">
        <w:rPr>
          <w:rFonts w:ascii="Traditional Arabic" w:hAnsi="Traditional Arabic" w:cs="Traditional Arabic"/>
          <w:sz w:val="30"/>
          <w:szCs w:val="30"/>
          <w:rtl/>
        </w:rPr>
        <w:t>في سوق ال</w:t>
      </w:r>
      <w:r w:rsidR="00607B02">
        <w:rPr>
          <w:rFonts w:ascii="Traditional Arabic" w:hAnsi="Traditional Arabic" w:cs="Traditional Arabic"/>
          <w:sz w:val="30"/>
          <w:szCs w:val="30"/>
          <w:rtl/>
        </w:rPr>
        <w:t>نقل</w:t>
      </w:r>
      <w:r w:rsidR="00334534" w:rsidRPr="00334534">
        <w:rPr>
          <w:rFonts w:ascii="Traditional Arabic" w:hAnsi="Traditional Arabic" w:cs="Traditional Arabic"/>
          <w:sz w:val="30"/>
          <w:szCs w:val="30"/>
          <w:rtl/>
        </w:rPr>
        <w:t xml:space="preserve"> البحري المنتظم، نجد أنه من المتوقع أن يدعم النمو الاقتصادي العالمي القوي والطلب المتزايد على صادرات السلع الاستهلاكية والتجارية الزيادة المستمرة في الطلب العالمي على شحن الحاويات. فيتأثر عرض السفن في سوق الشحن البحري المنتظم بشكل كبير بالزيادة الحالية في المعروض في السفن المبنية حديثا (التي تم طلبها بعد تحركات السوق في عامي 2020 و 2021). ومع ذلك، فإن غالبية طلبات السفن المبنية حديثا كانت لسفن الحاويات العملاقة، والتي تعمل بشكل أساسي على طرق التجارة الرئيسية. لا تزال هناك فجوة في سفن الحاويات الصغيرة والمتوسطة الحجم بين الأسطول العالمي الحالي المتقادم ودفتر طلبات السفن الحالي الذي يهدف إلى استبدال القديم (المصدر: مستشار السوق).</w:t>
      </w:r>
    </w:p>
    <w:p w14:paraId="39C30F39" w14:textId="77777777" w:rsidR="00F05EA0" w:rsidRDefault="00F05EA0" w:rsidP="00334534">
      <w:pPr>
        <w:bidi/>
        <w:jc w:val="both"/>
        <w:rPr>
          <w:rFonts w:ascii="Traditional Arabic" w:hAnsi="Traditional Arabic" w:cs="Traditional Arabic"/>
          <w:sz w:val="30"/>
          <w:szCs w:val="30"/>
          <w:rtl/>
        </w:rPr>
      </w:pPr>
    </w:p>
    <w:p w14:paraId="0B2BE2F0"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بالإضافة إلى التوقعات القوية للسوق عبر قطاعاته الأساسية، تستفيد الشركة من كونها الشريك المفضل للعملاء والمشاريع الاستراتيجية العمانية في مجال النفط والغاز والسلع الجافة. لا شك أن الشركة في وضع استراتيجي يمكنها من الاستفادة من النمو المتوقع في الإنتاج المحلي للنفط والغاز، والغاز الطبيعي المسال، بالإضافة إلى تقدم مشاريع الهيدروجين الأخضر والمجمعات الصناعية المتكاملة لإنتاج منتجات منخفضة الكربون لصناعة الصلب.</w:t>
      </w:r>
    </w:p>
    <w:p w14:paraId="2DADD3E0" w14:textId="77777777" w:rsidR="00F05EA0" w:rsidRDefault="00F05EA0" w:rsidP="00334534">
      <w:pPr>
        <w:bidi/>
        <w:jc w:val="both"/>
        <w:rPr>
          <w:rFonts w:ascii="Traditional Arabic" w:hAnsi="Traditional Arabic" w:cs="Traditional Arabic"/>
          <w:b/>
          <w:i/>
          <w:sz w:val="30"/>
          <w:szCs w:val="30"/>
          <w:rtl/>
        </w:rPr>
      </w:pPr>
    </w:p>
    <w:p w14:paraId="00A6052E" w14:textId="77777777" w:rsidR="00334534" w:rsidRPr="00985281" w:rsidRDefault="00334534" w:rsidP="00F05EA0">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 xml:space="preserve">قيمة إجمالية قوية في إيرادات العقود مدعومة بعلاقات طويلة الأمد مع أفضل العملاء، مما يوفر توقعات جيدة للتدفقات النقدية المستقبلية </w:t>
      </w:r>
    </w:p>
    <w:p w14:paraId="7C217027" w14:textId="77777777" w:rsidR="00F05EA0" w:rsidRDefault="00F05EA0" w:rsidP="00334534">
      <w:pPr>
        <w:bidi/>
        <w:jc w:val="both"/>
        <w:rPr>
          <w:rFonts w:ascii="Traditional Arabic" w:hAnsi="Traditional Arabic" w:cs="Traditional Arabic"/>
          <w:sz w:val="30"/>
          <w:szCs w:val="30"/>
          <w:rtl/>
        </w:rPr>
      </w:pPr>
    </w:p>
    <w:p w14:paraId="29D87C16" w14:textId="77777777" w:rsidR="00334534" w:rsidRDefault="00334534" w:rsidP="00F05EA0">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 xml:space="preserve">تستفيد الشركة من الشراكات التعاقدية طويلة الأجل مع </w:t>
      </w:r>
      <w:r w:rsidR="0015553B">
        <w:rPr>
          <w:rFonts w:ascii="Traditional Arabic" w:hAnsi="Traditional Arabic" w:cs="Traditional Arabic" w:hint="cs"/>
          <w:sz w:val="30"/>
          <w:szCs w:val="30"/>
          <w:rtl/>
        </w:rPr>
        <w:t>شركات رائدة</w:t>
      </w:r>
      <w:r w:rsidR="0021654C">
        <w:rPr>
          <w:rFonts w:ascii="Traditional Arabic" w:hAnsi="Traditional Arabic" w:cs="Traditional Arabic" w:hint="cs"/>
          <w:sz w:val="30"/>
          <w:szCs w:val="30"/>
          <w:rtl/>
        </w:rPr>
        <w:t xml:space="preserve"> في</w:t>
      </w:r>
      <w:r w:rsidRPr="00334534">
        <w:rPr>
          <w:rFonts w:ascii="Traditional Arabic" w:hAnsi="Traditional Arabic" w:cs="Traditional Arabic"/>
          <w:sz w:val="30"/>
          <w:szCs w:val="30"/>
          <w:rtl/>
        </w:rPr>
        <w:t xml:space="preserve"> تبادل السلع والتجارة، وهذه الشراكات - بلا شك - تدعم قيمة إجمالية قوية في إيرادات العقود، وإمكانية التوقع بالتدفقات النقدية بشكل موثوق وحمايتها في دورات السوق (في </w:t>
      </w:r>
      <w:r w:rsidRPr="00334534">
        <w:rPr>
          <w:rFonts w:ascii="Traditional Arabic" w:hAnsi="Traditional Arabic" w:cs="Traditional Arabic"/>
          <w:sz w:val="30"/>
          <w:szCs w:val="30"/>
          <w:rtl/>
        </w:rPr>
        <w:lastRenderedPageBreak/>
        <w:t>مراحل النمو والانكماش). بلغت القيمة الإجمالية للعقود المقدرة للشركة في 30 سبتمبر 2024 ما قيمته 1.9 مليار دولار أمريكي، منها 181</w:t>
      </w:r>
      <w:r w:rsidR="00E13976">
        <w:rPr>
          <w:rFonts w:ascii="Traditional Arabic" w:hAnsi="Traditional Arabic" w:cs="Traditional Arabic" w:hint="cs"/>
          <w:sz w:val="30"/>
          <w:szCs w:val="30"/>
          <w:rtl/>
        </w:rPr>
        <w:t>.</w:t>
      </w:r>
      <w:r w:rsidR="00F7584D">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منسوبة إلى الأشهر الثلاثة الأخيرة من عام 2024، و479</w:t>
      </w:r>
      <w:r w:rsidR="00F7584D">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منسوبة إلى عام 2025، و1272</w:t>
      </w:r>
      <w:r w:rsidR="00F7584D">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منسوبة إلى السنوات من 2026 إلى 2034. تعكس هذه القيمة الإجمالية عقود الشركة طويلة الأجل، والتي عادة ما تكون لها فترة ثابتة أولية وتشمل فترات تمديد اختيارية (وهذا مشاهد ملموس في أرض الواقع). ومع ذلك، في حساب القيمة الإجمالية للعقود، تتبع الشركة نهجًا أكثر تحفظًا ولا تشمل القيمة الإجمالية للعقود في فترة التمديد. وعلى هذا النحو، فإن رقم القيمة الإجمالية للعقود يتكون من 100 في المائة من عقود الشركة المضمونة الملتزم بها. </w:t>
      </w:r>
    </w:p>
    <w:p w14:paraId="711D1701" w14:textId="77777777" w:rsidR="00F05EA0" w:rsidRPr="00334534" w:rsidRDefault="00F05EA0" w:rsidP="00F05EA0">
      <w:pPr>
        <w:bidi/>
        <w:jc w:val="both"/>
        <w:rPr>
          <w:rFonts w:ascii="Traditional Arabic" w:hAnsi="Traditional Arabic" w:cs="Traditional Arabic"/>
          <w:sz w:val="30"/>
          <w:szCs w:val="30"/>
        </w:rPr>
      </w:pPr>
    </w:p>
    <w:p w14:paraId="0408785A"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تعتقد الشركة أن معدل التحويل المرتفع لخيارات التمديد يعكس قوة علاقاتها مع العملاء، وأنه كان عاملاً رئيسياً في تمديد عقودها. وقد استفادت الشركة من هذه العلاقات طويلة الأجل مع عملائها. ويشمل ذلك علاقات تمتد لأكثر من خمس سنوات (مع شركة بحري، وشركة كليرليك للشحن، وشركة جلينكور، وشركة سينوكور، وشركة ترافيجورا، وشركة فيتول)، وعشر سنوات (مع شركة بريتيش بتروليوم، وشركة شيفرون، وشركة شل، وشركة سينوبك)، وخمس عشرة سنة (مع شركة إيتوتشو، وشركة ميتسوبيشي، والشركة العمانية للغاز الطبيعي المسال، وشركة أوكيو، وشركة صحار ألمنيوم، وشركة فالي). كما أن قاعدة عملاء الشركة متنوعة بشكل جيد، حيث يمثل أكبر خمسة عملاء معًا أقل من 35 في المائة، ولا يمثل أي عميل أكثر من 10 في المائة من إيرادات الشركة للسنة المنتهية في 31 ديسمبر 2023.</w:t>
      </w:r>
    </w:p>
    <w:p w14:paraId="53FDD941" w14:textId="77777777" w:rsidR="00F05EA0" w:rsidRDefault="00F05EA0" w:rsidP="00334534">
      <w:pPr>
        <w:bidi/>
        <w:jc w:val="both"/>
        <w:rPr>
          <w:rFonts w:ascii="Traditional Arabic" w:hAnsi="Traditional Arabic" w:cs="Traditional Arabic"/>
          <w:b/>
          <w:i/>
          <w:sz w:val="30"/>
          <w:szCs w:val="30"/>
          <w:rtl/>
        </w:rPr>
      </w:pPr>
    </w:p>
    <w:p w14:paraId="4C84742B" w14:textId="77777777" w:rsidR="00F05EA0" w:rsidRDefault="00F05EA0" w:rsidP="00334534">
      <w:pPr>
        <w:bidi/>
        <w:jc w:val="both"/>
        <w:rPr>
          <w:rFonts w:ascii="Traditional Arabic" w:hAnsi="Traditional Arabic" w:cs="Traditional Arabic"/>
          <w:b/>
          <w:i/>
          <w:sz w:val="30"/>
          <w:szCs w:val="30"/>
          <w:rtl/>
        </w:rPr>
      </w:pPr>
    </w:p>
    <w:p w14:paraId="1069827F" w14:textId="77777777" w:rsidR="00334534" w:rsidRPr="00985281" w:rsidRDefault="00334534" w:rsidP="00F05EA0">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 xml:space="preserve">محفظة مالية قوية ويمكن التنبؤ بها ومتنامية مدعومة بهوامش قوية </w:t>
      </w:r>
    </w:p>
    <w:p w14:paraId="3ABFF2B1" w14:textId="77777777" w:rsidR="00F05EA0" w:rsidRDefault="00F05EA0" w:rsidP="00334534">
      <w:pPr>
        <w:bidi/>
        <w:jc w:val="both"/>
        <w:rPr>
          <w:rFonts w:ascii="Traditional Arabic" w:hAnsi="Traditional Arabic" w:cs="Traditional Arabic"/>
          <w:sz w:val="30"/>
          <w:szCs w:val="30"/>
          <w:rtl/>
        </w:rPr>
      </w:pPr>
    </w:p>
    <w:p w14:paraId="70CE3EC0"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تم الحفاظ على قوة الموازنة العامة للشركة من خلال هوامش الأرباح المعدلة قبل حساب الفوائد والضرائب والإهلاك والإطفاء، والتي نمت أيضًا خلال الفترات قيد المراجعة. كان هذا النمو مدفوعًا في المقام الأول بخفض التكاليف والتميز التشغيلي وسجلها القوي في تنفيذ العقود وتوقيتها. </w:t>
      </w:r>
    </w:p>
    <w:p w14:paraId="334A2C69" w14:textId="77777777" w:rsidR="00334534" w:rsidRPr="00334534" w:rsidRDefault="007B1431" w:rsidP="00334534">
      <w:pPr>
        <w:bidi/>
        <w:jc w:val="both"/>
        <w:rPr>
          <w:rFonts w:ascii="Traditional Arabic" w:hAnsi="Traditional Arabic" w:cs="Traditional Arabic"/>
          <w:sz w:val="30"/>
          <w:szCs w:val="30"/>
        </w:rPr>
      </w:pPr>
      <w:r>
        <w:rPr>
          <w:noProof/>
        </w:rPr>
        <w:lastRenderedPageBreak/>
        <w:drawing>
          <wp:inline distT="0" distB="0" distL="0" distR="0" wp14:anchorId="1572C674" wp14:editId="6F34184B">
            <wp:extent cx="5001371" cy="1528662"/>
            <wp:effectExtent l="0" t="0" r="8890" b="0"/>
            <wp:docPr id="2115687239" name="Picture 1" descr="A graph of growth and grow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87239" name="Picture 1" descr="A graph of growth and growth&#10;&#10;Description automatically generated with medium confidence"/>
                    <pic:cNvPicPr/>
                  </pic:nvPicPr>
                  <pic:blipFill>
                    <a:blip r:embed="rId67"/>
                    <a:stretch>
                      <a:fillRect/>
                    </a:stretch>
                  </pic:blipFill>
                  <pic:spPr>
                    <a:xfrm>
                      <a:off x="0" y="0"/>
                      <a:ext cx="5039423" cy="1540293"/>
                    </a:xfrm>
                    <a:prstGeom prst="rect">
                      <a:avLst/>
                    </a:prstGeom>
                  </pic:spPr>
                </pic:pic>
              </a:graphicData>
            </a:graphic>
          </wp:inline>
        </w:drawing>
      </w:r>
      <w:r w:rsidR="0095745B">
        <w:rPr>
          <w:noProof/>
        </w:rPr>
        <w:drawing>
          <wp:inline distT="0" distB="0" distL="0" distR="0" wp14:anchorId="3C94F260" wp14:editId="392333E7">
            <wp:extent cx="5077434" cy="1601814"/>
            <wp:effectExtent l="0" t="0" r="0" b="0"/>
            <wp:docPr id="1841405517" name="Picture 1" descr="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05517" name="Picture 1" descr="A graph with numbers and text&#10;&#10;Description automatically generated with medium confidence"/>
                    <pic:cNvPicPr/>
                  </pic:nvPicPr>
                  <pic:blipFill>
                    <a:blip r:embed="rId68"/>
                    <a:stretch>
                      <a:fillRect/>
                    </a:stretch>
                  </pic:blipFill>
                  <pic:spPr>
                    <a:xfrm>
                      <a:off x="0" y="0"/>
                      <a:ext cx="5091971" cy="1606400"/>
                    </a:xfrm>
                    <a:prstGeom prst="rect">
                      <a:avLst/>
                    </a:prstGeom>
                  </pic:spPr>
                </pic:pic>
              </a:graphicData>
            </a:graphic>
          </wp:inline>
        </w:drawing>
      </w:r>
    </w:p>
    <w:p w14:paraId="3F9677E9" w14:textId="77777777" w:rsidR="00334534" w:rsidRDefault="00334534" w:rsidP="00334534">
      <w:pPr>
        <w:bidi/>
        <w:jc w:val="both"/>
        <w:rPr>
          <w:rFonts w:ascii="Traditional Arabic" w:hAnsi="Traditional Arabic" w:cs="Traditional Arabic"/>
          <w:sz w:val="30"/>
          <w:szCs w:val="30"/>
          <w:rtl/>
        </w:rPr>
      </w:pPr>
    </w:p>
    <w:p w14:paraId="0A82EF3A" w14:textId="77777777" w:rsidR="002A5CA4" w:rsidRPr="00334534" w:rsidRDefault="002A5CA4" w:rsidP="002A5CA4">
      <w:pPr>
        <w:bidi/>
        <w:jc w:val="both"/>
        <w:rPr>
          <w:rFonts w:ascii="Traditional Arabic" w:hAnsi="Traditional Arabic" w:cs="Traditional Arabic"/>
          <w:sz w:val="30"/>
          <w:szCs w:val="30"/>
        </w:rPr>
      </w:pPr>
    </w:p>
    <w:p w14:paraId="5C2045C8" w14:textId="77777777" w:rsidR="00334534" w:rsidRPr="00334534" w:rsidRDefault="00334534" w:rsidP="00922116">
      <w:pPr>
        <w:numPr>
          <w:ilvl w:val="0"/>
          <w:numId w:val="59"/>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لمناقشة كيفية حساب مكافئ تأجير السفن المجهزة بالمدة، والأرباح قبل حساب الفائدة والضريبة والإهلاك والإطفاء، وهامش الأرباح المعدلة قبل حساب الفوائد والضرائب والإهلاك والإطفاء، يرجى الاطلاع على "</w:t>
      </w:r>
      <w:r w:rsidRPr="00334534">
        <w:rPr>
          <w:rFonts w:ascii="Traditional Arabic" w:hAnsi="Traditional Arabic" w:cs="Traditional Arabic"/>
          <w:i/>
          <w:sz w:val="30"/>
          <w:szCs w:val="30"/>
          <w:rtl/>
        </w:rPr>
        <w:t xml:space="preserve">عرض البيانات المالية وبيانات القطاع والسوق </w:t>
      </w:r>
      <w:r w:rsidR="00F05EA0">
        <w:rPr>
          <w:rFonts w:ascii="Traditional Arabic" w:hAnsi="Traditional Arabic" w:cs="Traditional Arabic"/>
          <w:i/>
          <w:sz w:val="30"/>
          <w:szCs w:val="30"/>
          <w:rtl/>
        </w:rPr>
        <w:t>–</w:t>
      </w:r>
      <w:r w:rsidRPr="00334534">
        <w:rPr>
          <w:rFonts w:ascii="Traditional Arabic" w:hAnsi="Traditional Arabic" w:cs="Traditional Arabic"/>
          <w:i/>
          <w:sz w:val="30"/>
          <w:szCs w:val="30"/>
          <w:rtl/>
        </w:rPr>
        <w:t xml:space="preserve"> معلومات غير متصلة بالمعايير الدولية لإعداد التقارير المالية وبعض البيانات المالية والتشغيلية الأخرى </w:t>
      </w:r>
      <w:r w:rsidR="00F05EA0">
        <w:rPr>
          <w:rFonts w:ascii="Traditional Arabic" w:hAnsi="Traditional Arabic" w:cs="Traditional Arabic"/>
          <w:i/>
          <w:sz w:val="30"/>
          <w:szCs w:val="30"/>
          <w:rtl/>
        </w:rPr>
        <w:t>–</w:t>
      </w:r>
      <w:r w:rsidRPr="00334534">
        <w:rPr>
          <w:rFonts w:ascii="Traditional Arabic" w:hAnsi="Traditional Arabic" w:cs="Traditional Arabic"/>
          <w:i/>
          <w:sz w:val="30"/>
          <w:szCs w:val="30"/>
          <w:rtl/>
        </w:rPr>
        <w:t xml:space="preserve"> معلومات</w:t>
      </w:r>
      <w:r w:rsidRPr="00334534">
        <w:rPr>
          <w:rFonts w:ascii="Traditional Arabic" w:hAnsi="Traditional Arabic" w:cs="Traditional Arabic"/>
          <w:sz w:val="30"/>
          <w:szCs w:val="30"/>
          <w:rtl/>
        </w:rPr>
        <w:t xml:space="preserve"> غير متصلة بالمعايير الدولية لإعداد</w:t>
      </w:r>
      <w:r w:rsidRPr="00334534">
        <w:rPr>
          <w:rFonts w:ascii="Traditional Arabic" w:hAnsi="Traditional Arabic" w:cs="Traditional Arabic"/>
          <w:i/>
          <w:sz w:val="30"/>
          <w:szCs w:val="30"/>
          <w:rtl/>
        </w:rPr>
        <w:t xml:space="preserve"> التقارير المالية" و "الفصل الثالث عشر </w:t>
      </w:r>
      <w:r w:rsidR="00F05EA0">
        <w:rPr>
          <w:rFonts w:ascii="Traditional Arabic" w:hAnsi="Traditional Arabic" w:cs="Traditional Arabic"/>
          <w:i/>
          <w:sz w:val="30"/>
          <w:szCs w:val="30"/>
          <w:rtl/>
        </w:rPr>
        <w:t>–</w:t>
      </w:r>
      <w:r w:rsidRPr="00334534">
        <w:rPr>
          <w:rFonts w:ascii="Traditional Arabic" w:hAnsi="Traditional Arabic" w:cs="Traditional Arabic"/>
          <w:i/>
          <w:sz w:val="30"/>
          <w:szCs w:val="30"/>
          <w:rtl/>
        </w:rPr>
        <w:t xml:space="preserve"> معلومات مالية وتشغيلية تاريخية مختارة وغيرها من المعلومات </w:t>
      </w:r>
      <w:r w:rsidR="00F05EA0">
        <w:rPr>
          <w:rFonts w:ascii="Traditional Arabic" w:hAnsi="Traditional Arabic" w:cs="Traditional Arabic"/>
          <w:i/>
          <w:sz w:val="30"/>
          <w:szCs w:val="30"/>
          <w:rtl/>
        </w:rPr>
        <w:t>–</w:t>
      </w:r>
      <w:r w:rsidRPr="00334534">
        <w:rPr>
          <w:rFonts w:ascii="Traditional Arabic" w:hAnsi="Traditional Arabic" w:cs="Traditional Arabic"/>
          <w:i/>
          <w:sz w:val="30"/>
          <w:szCs w:val="30"/>
          <w:rtl/>
        </w:rPr>
        <w:t xml:space="preserve"> بيانات مالية وتشغيلية أخرى</w:t>
      </w:r>
      <w:r w:rsidRPr="00334534">
        <w:rPr>
          <w:rFonts w:ascii="Traditional Arabic" w:hAnsi="Traditional Arabic" w:cs="Traditional Arabic"/>
          <w:sz w:val="30"/>
          <w:szCs w:val="30"/>
          <w:rtl/>
        </w:rPr>
        <w:t xml:space="preserve"> ". </w:t>
      </w:r>
    </w:p>
    <w:p w14:paraId="5D21EEF5" w14:textId="77777777" w:rsidR="00334534" w:rsidRPr="00334534" w:rsidRDefault="00334534" w:rsidP="00334534">
      <w:pPr>
        <w:bidi/>
        <w:jc w:val="both"/>
        <w:rPr>
          <w:rFonts w:ascii="Traditional Arabic" w:hAnsi="Traditional Arabic" w:cs="Traditional Arabic"/>
          <w:sz w:val="30"/>
          <w:szCs w:val="30"/>
        </w:rPr>
      </w:pPr>
    </w:p>
    <w:p w14:paraId="79D91D05" w14:textId="77777777" w:rsidR="00334534" w:rsidRDefault="00334534" w:rsidP="00334534">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كما هو موضح في الرسم البياني أدناه، تتمتع الشركة بسجل حافل من التحويل النقدي المرتفع إلى جانب استثمارات النفقات الرأسمالية المستمرة. وقد حققت الشركة باستمرار عوائد قوية على الاستثمار من برامج الإنفاق الرأسمالي التي تم تصميمها ودراستها بعناية. كما حافظت الشركة تاريخيًا على وضع نقدي إيجابي مع هوامش قوية من التدفقات النقدية، مما أتاح لها القدرة على التمويل الذاتي لاحتياجاتها التشغيلية والرأسمالية. ويدعم تقدمها المستمر في تحسين ملف الرافعة المالية علاقات قوية مع المقرض وتكلفة الديون المناسبة للشركة.</w:t>
      </w:r>
    </w:p>
    <w:p w14:paraId="193B37DD" w14:textId="77777777" w:rsidR="00D266AA" w:rsidRPr="00334534" w:rsidRDefault="00D266AA" w:rsidP="00D266AA">
      <w:pPr>
        <w:bidi/>
        <w:jc w:val="both"/>
        <w:rPr>
          <w:rFonts w:ascii="Traditional Arabic" w:hAnsi="Traditional Arabic" w:cs="Traditional Arabic"/>
          <w:sz w:val="30"/>
          <w:szCs w:val="30"/>
        </w:rPr>
      </w:pPr>
      <w:r>
        <w:rPr>
          <w:noProof/>
        </w:rPr>
        <w:lastRenderedPageBreak/>
        <w:drawing>
          <wp:inline distT="0" distB="0" distL="0" distR="0" wp14:anchorId="168AF565" wp14:editId="6BF4DA50">
            <wp:extent cx="5327374" cy="3342339"/>
            <wp:effectExtent l="0" t="0" r="6985" b="0"/>
            <wp:docPr id="951008209" name="Picture 1" descr="A graph of a graph of cash sa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08209" name="Picture 1" descr="A graph of a graph of cash sales&#10;&#10;Description automatically generated with medium confidence"/>
                    <pic:cNvPicPr/>
                  </pic:nvPicPr>
                  <pic:blipFill>
                    <a:blip r:embed="rId69"/>
                    <a:stretch>
                      <a:fillRect/>
                    </a:stretch>
                  </pic:blipFill>
                  <pic:spPr>
                    <a:xfrm>
                      <a:off x="0" y="0"/>
                      <a:ext cx="5339889" cy="3350191"/>
                    </a:xfrm>
                    <a:prstGeom prst="rect">
                      <a:avLst/>
                    </a:prstGeom>
                  </pic:spPr>
                </pic:pic>
              </a:graphicData>
            </a:graphic>
          </wp:inline>
        </w:drawing>
      </w:r>
    </w:p>
    <w:p w14:paraId="0FDAD442" w14:textId="77777777" w:rsidR="00334534" w:rsidRPr="00334534" w:rsidRDefault="00334534" w:rsidP="00334534">
      <w:pPr>
        <w:bidi/>
        <w:jc w:val="both"/>
        <w:rPr>
          <w:rFonts w:ascii="Traditional Arabic" w:hAnsi="Traditional Arabic" w:cs="Traditional Arabic"/>
          <w:sz w:val="30"/>
          <w:szCs w:val="30"/>
        </w:rPr>
      </w:pPr>
    </w:p>
    <w:p w14:paraId="590D9994" w14:textId="77777777" w:rsidR="00334534" w:rsidRPr="00334534" w:rsidRDefault="00334534" w:rsidP="00334534">
      <w:pPr>
        <w:bidi/>
        <w:jc w:val="both"/>
        <w:rPr>
          <w:rFonts w:ascii="Traditional Arabic" w:hAnsi="Traditional Arabic" w:cs="Traditional Arabic"/>
          <w:sz w:val="30"/>
          <w:szCs w:val="30"/>
        </w:rPr>
      </w:pPr>
    </w:p>
    <w:p w14:paraId="79C9A60B" w14:textId="77777777" w:rsidR="00334534" w:rsidRPr="00334534" w:rsidRDefault="00334534" w:rsidP="00922116">
      <w:pPr>
        <w:numPr>
          <w:ilvl w:val="0"/>
          <w:numId w:val="60"/>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لمناقشة كيفية حساب هامش التدفقات النقدية وصافي الرافعة المالية، يرجى الاطلاع على "</w:t>
      </w:r>
      <w:r w:rsidRPr="00334534">
        <w:rPr>
          <w:rFonts w:ascii="Traditional Arabic" w:hAnsi="Traditional Arabic" w:cs="Traditional Arabic"/>
          <w:i/>
          <w:sz w:val="30"/>
          <w:szCs w:val="30"/>
          <w:rtl/>
        </w:rPr>
        <w:t xml:space="preserve">عرض البيانات المالية وبيانات القطاع والسوق </w:t>
      </w:r>
      <w:r w:rsidR="00F05EA0">
        <w:rPr>
          <w:rFonts w:ascii="Traditional Arabic" w:hAnsi="Traditional Arabic" w:cs="Traditional Arabic"/>
          <w:i/>
          <w:sz w:val="30"/>
          <w:szCs w:val="30"/>
          <w:rtl/>
        </w:rPr>
        <w:t>–</w:t>
      </w:r>
      <w:r w:rsidRPr="00334534">
        <w:rPr>
          <w:rFonts w:ascii="Traditional Arabic" w:hAnsi="Traditional Arabic" w:cs="Traditional Arabic"/>
          <w:i/>
          <w:sz w:val="30"/>
          <w:szCs w:val="30"/>
          <w:rtl/>
        </w:rPr>
        <w:t xml:space="preserve"> معلومات غير متصلة بالمعايير الدولية لإعداد التقارير المالية وبعض البيانات المالية والتشغيلية الأخرى </w:t>
      </w:r>
      <w:r w:rsidR="00F05EA0">
        <w:rPr>
          <w:rFonts w:ascii="Traditional Arabic" w:hAnsi="Traditional Arabic" w:cs="Traditional Arabic"/>
          <w:i/>
          <w:sz w:val="30"/>
          <w:szCs w:val="30"/>
          <w:rtl/>
        </w:rPr>
        <w:t>–</w:t>
      </w:r>
      <w:r w:rsidRPr="00334534">
        <w:rPr>
          <w:rFonts w:ascii="Traditional Arabic" w:hAnsi="Traditional Arabic" w:cs="Traditional Arabic"/>
          <w:i/>
          <w:sz w:val="30"/>
          <w:szCs w:val="30"/>
          <w:rtl/>
        </w:rPr>
        <w:t xml:space="preserve"> معلومات غير متصلة بالمعايير</w:t>
      </w:r>
      <w:r w:rsidRPr="00334534">
        <w:rPr>
          <w:rFonts w:ascii="Traditional Arabic" w:hAnsi="Traditional Arabic" w:cs="Traditional Arabic"/>
          <w:sz w:val="30"/>
          <w:szCs w:val="30"/>
          <w:rtl/>
        </w:rPr>
        <w:t xml:space="preserve"> الدولية لإعداد التقارير</w:t>
      </w:r>
      <w:r w:rsidRPr="00334534">
        <w:rPr>
          <w:rFonts w:ascii="Traditional Arabic" w:hAnsi="Traditional Arabic" w:cs="Traditional Arabic"/>
          <w:i/>
          <w:sz w:val="30"/>
          <w:szCs w:val="30"/>
          <w:rtl/>
        </w:rPr>
        <w:t xml:space="preserve"> المالية" و "الفصل الثالث عشر </w:t>
      </w:r>
      <w:r w:rsidR="00F05EA0">
        <w:rPr>
          <w:rFonts w:ascii="Traditional Arabic" w:hAnsi="Traditional Arabic" w:cs="Traditional Arabic"/>
          <w:i/>
          <w:sz w:val="30"/>
          <w:szCs w:val="30"/>
          <w:rtl/>
        </w:rPr>
        <w:t>–</w:t>
      </w:r>
      <w:r w:rsidRPr="00334534">
        <w:rPr>
          <w:rFonts w:ascii="Traditional Arabic" w:hAnsi="Traditional Arabic" w:cs="Traditional Arabic"/>
          <w:i/>
          <w:sz w:val="30"/>
          <w:szCs w:val="30"/>
          <w:rtl/>
        </w:rPr>
        <w:t xml:space="preserve"> </w:t>
      </w:r>
      <w:r w:rsidR="007069A6">
        <w:rPr>
          <w:rFonts w:ascii="Traditional Arabic" w:hAnsi="Traditional Arabic" w:cs="Traditional Arabic" w:hint="cs"/>
          <w:i/>
          <w:sz w:val="30"/>
          <w:szCs w:val="30"/>
          <w:rtl/>
        </w:rPr>
        <w:t>بيانات</w:t>
      </w:r>
      <w:r w:rsidR="007069A6" w:rsidRPr="00334534">
        <w:rPr>
          <w:rFonts w:ascii="Traditional Arabic" w:hAnsi="Traditional Arabic" w:cs="Traditional Arabic"/>
          <w:i/>
          <w:sz w:val="30"/>
          <w:szCs w:val="30"/>
          <w:rtl/>
        </w:rPr>
        <w:t xml:space="preserve"> </w:t>
      </w:r>
      <w:r w:rsidRPr="00334534">
        <w:rPr>
          <w:rFonts w:ascii="Traditional Arabic" w:hAnsi="Traditional Arabic" w:cs="Traditional Arabic"/>
          <w:i/>
          <w:sz w:val="30"/>
          <w:szCs w:val="30"/>
          <w:rtl/>
        </w:rPr>
        <w:t xml:space="preserve">مالية وتشغيلية تاريخية مختارة وغيرها من المعلومات </w:t>
      </w:r>
      <w:r w:rsidR="00F05EA0">
        <w:rPr>
          <w:rFonts w:ascii="Traditional Arabic" w:hAnsi="Traditional Arabic" w:cs="Traditional Arabic"/>
          <w:i/>
          <w:sz w:val="30"/>
          <w:szCs w:val="30"/>
          <w:rtl/>
        </w:rPr>
        <w:t>–</w:t>
      </w:r>
      <w:r w:rsidRPr="00334534">
        <w:rPr>
          <w:rFonts w:ascii="Traditional Arabic" w:hAnsi="Traditional Arabic" w:cs="Traditional Arabic"/>
          <w:i/>
          <w:sz w:val="30"/>
          <w:szCs w:val="30"/>
          <w:rtl/>
        </w:rPr>
        <w:t xml:space="preserve"> بيانات مالية وتشغيلية أخرى</w:t>
      </w:r>
      <w:r w:rsidRPr="00334534">
        <w:rPr>
          <w:rFonts w:ascii="Traditional Arabic" w:hAnsi="Traditional Arabic" w:cs="Traditional Arabic"/>
          <w:sz w:val="30"/>
          <w:szCs w:val="30"/>
          <w:rtl/>
        </w:rPr>
        <w:t xml:space="preserve"> ". </w:t>
      </w:r>
    </w:p>
    <w:p w14:paraId="47F3E7AF" w14:textId="77777777" w:rsidR="00334534" w:rsidRPr="00334534" w:rsidRDefault="00334534" w:rsidP="00334534">
      <w:pPr>
        <w:bidi/>
        <w:jc w:val="both"/>
        <w:rPr>
          <w:rFonts w:ascii="Traditional Arabic" w:hAnsi="Traditional Arabic" w:cs="Traditional Arabic"/>
          <w:sz w:val="30"/>
          <w:szCs w:val="30"/>
        </w:rPr>
      </w:pPr>
    </w:p>
    <w:p w14:paraId="730C0FCB" w14:textId="77777777" w:rsidR="00334534" w:rsidRPr="00985281" w:rsidRDefault="00334534" w:rsidP="00334534">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 xml:space="preserve">استراتيجية نمو واضحة للتطوير في القطاعات ذات الأولوية </w:t>
      </w:r>
    </w:p>
    <w:p w14:paraId="30C6DC2D" w14:textId="77777777" w:rsidR="00F05EA0" w:rsidRDefault="00F05EA0" w:rsidP="00334534">
      <w:pPr>
        <w:bidi/>
        <w:jc w:val="both"/>
        <w:rPr>
          <w:rFonts w:ascii="Traditional Arabic" w:hAnsi="Traditional Arabic" w:cs="Traditional Arabic"/>
          <w:sz w:val="30"/>
          <w:szCs w:val="30"/>
          <w:rtl/>
        </w:rPr>
      </w:pPr>
    </w:p>
    <w:p w14:paraId="57F986E2"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منذ تأسيسها، قامت الشركة بتقييم الفرص باستمرار لتحسين وتنويع وتنمية أسطولها من خلال برامج بناء السفن الجديدة أو عمليات الاستحواذ على السفن المستعملة عالية الجودة. وقد ساعد ماضيها العريق في تقديم القيمة والنمو من خلال استراتيجيتها لتوسيع الأسطول والسوق، وتقديم خدمات مبتكرة والتركيز على السلامة - على تحقيق مكانة قوية في الأسواق المحلية ودعم تطوير شراكات عمل طويلة الأجل. </w:t>
      </w:r>
    </w:p>
    <w:p w14:paraId="1AB87275" w14:textId="77777777" w:rsidR="00F05EA0" w:rsidRDefault="00F05EA0" w:rsidP="00334534">
      <w:pPr>
        <w:bidi/>
        <w:jc w:val="both"/>
        <w:rPr>
          <w:rFonts w:ascii="Traditional Arabic" w:hAnsi="Traditional Arabic" w:cs="Traditional Arabic"/>
          <w:sz w:val="30"/>
          <w:szCs w:val="30"/>
          <w:rtl/>
        </w:rPr>
      </w:pPr>
    </w:p>
    <w:p w14:paraId="310BAAA0"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فعلى سبيل المثال، ابتداءً من عام 2007، بدأت الشركة في تنويع أسطولها من تركيزها التاريخي على سفن الغاز الطبيعي المسال إلى ناقلات النفط الخام والمنتجات. وفي عام 2011، بدأت الشركة في تشغيل ناقلات السوائب الجافة وكذلك ناقلات الغاز والخام والمنتجات. وقد اعتمدت الشركة بشكل يخدم مصالحها عمليات الاستحواذ والشراكات عبر مختلف القطاعات منذ ذلك </w:t>
      </w:r>
      <w:r w:rsidRPr="00334534">
        <w:rPr>
          <w:rFonts w:ascii="Traditional Arabic" w:hAnsi="Traditional Arabic" w:cs="Traditional Arabic"/>
          <w:sz w:val="30"/>
          <w:szCs w:val="30"/>
          <w:rtl/>
        </w:rPr>
        <w:lastRenderedPageBreak/>
        <w:t>الحين، بما في ذلك الشراكة مع شركة شل في عام 2015، والتي أضافت عشر ناقلات منتجات متوسطة الحجم إلى الأسطول، والاستحواذ على سبع ناقلات سوائب جافة إضافية خلال الأعوام 2017 و 2018 و 2019. وتخطط الشركة لاستثمار ما بين 2.3 مليار دولار أمريكي و 2.7 مليار دولار أمريكي في أسطولها على المدى المتوسط من أجل دعم مبادرات النمو الخاصة بها. هذا، وتعتقد الشركة أنها في وضع جيد يمكنها من الاستفادة من ديناميكيات السوق المتطورة مع التزام قوي بالنمو المستدام والربحية وقيمة المساهمين.</w:t>
      </w:r>
    </w:p>
    <w:p w14:paraId="279D97D7" w14:textId="77777777" w:rsidR="00F05EA0" w:rsidRDefault="00F05EA0" w:rsidP="00334534">
      <w:pPr>
        <w:bidi/>
        <w:jc w:val="both"/>
        <w:rPr>
          <w:rFonts w:ascii="Traditional Arabic" w:hAnsi="Traditional Arabic" w:cs="Traditional Arabic"/>
          <w:b/>
          <w:i/>
          <w:sz w:val="30"/>
          <w:szCs w:val="30"/>
          <w:rtl/>
        </w:rPr>
      </w:pPr>
    </w:p>
    <w:p w14:paraId="63D6D32B" w14:textId="77777777" w:rsidR="00334534" w:rsidRPr="00985281" w:rsidRDefault="00334534" w:rsidP="00F05EA0">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 xml:space="preserve">فريق إدارة مؤهل تأهيلاً عالياً مدعوم بمساهم سيادي من ذوي الخبرة </w:t>
      </w:r>
    </w:p>
    <w:p w14:paraId="436FFE13" w14:textId="77777777" w:rsidR="00F05EA0" w:rsidRDefault="00F05EA0" w:rsidP="00334534">
      <w:pPr>
        <w:bidi/>
        <w:jc w:val="both"/>
        <w:rPr>
          <w:rFonts w:ascii="Traditional Arabic" w:hAnsi="Traditional Arabic" w:cs="Traditional Arabic"/>
          <w:sz w:val="30"/>
          <w:szCs w:val="30"/>
          <w:rtl/>
        </w:rPr>
      </w:pPr>
    </w:p>
    <w:p w14:paraId="3A72F67F"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لدى الشركة فريق إدارة مؤهل تأهيلاً عالياً يتمتع بخبرة كبيرة في القطاع وسجل حافل في تسليم المشاريع. وقد استفادت إدارة الشركة من هذه التجربة من أجل تطوير فهم عميق لديناميكيات السوق المحلية والإقليمية والدولية، والحفاظ على علاقات قوية مع أصحاب المصلحة الرئيسيين على المستويين المحلي والدولي. كما يستفيد فريق الإدارة والشركة من الإشراف الاستراتيجي والدعم والرؤى حول المشاريع العمانية القادمة التي يقدمها كل من جهاز الاستثمار العماني ومجموعة أسياد، حيث تعد مجموعة أسياد من كبار مالكي البنية الأساسية في سلطنة عمان. ومع وجود جهاز الاستثمار العماني كمساهم مدعوم من الحكومة، تستفيد الشركة من التعاون والدعم الذي يقدمه جهاز الاستثمار العماني، ثم إنها بلا شك الشريك المفضل فيما يتعلق بأي متطلبات شحن للشركات الشقيقة تحت مظلة جهاز الاستثمار العماني.</w:t>
      </w:r>
    </w:p>
    <w:p w14:paraId="67672693" w14:textId="77777777" w:rsidR="00F05EA0" w:rsidRDefault="00F05EA0" w:rsidP="00334534">
      <w:pPr>
        <w:bidi/>
        <w:jc w:val="both"/>
        <w:rPr>
          <w:rFonts w:ascii="Traditional Arabic" w:hAnsi="Traditional Arabic" w:cs="Traditional Arabic"/>
          <w:b/>
          <w:i/>
          <w:sz w:val="30"/>
          <w:szCs w:val="30"/>
          <w:rtl/>
        </w:rPr>
      </w:pPr>
    </w:p>
    <w:p w14:paraId="7B3FB755" w14:textId="77777777" w:rsidR="00334534" w:rsidRPr="00985281" w:rsidRDefault="00334534" w:rsidP="00F05EA0">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 xml:space="preserve">قيادة وتنفيذ مبادرات الممارسات البيئية والاجتماعية والحوكمة لضمان المزايا التنافسية وتعزيز مكانة السوق </w:t>
      </w:r>
    </w:p>
    <w:p w14:paraId="5669213A" w14:textId="77777777" w:rsidR="00F05EA0" w:rsidRDefault="00F05EA0" w:rsidP="00334534">
      <w:pPr>
        <w:bidi/>
        <w:jc w:val="both"/>
        <w:rPr>
          <w:rFonts w:ascii="Traditional Arabic" w:hAnsi="Traditional Arabic" w:cs="Traditional Arabic"/>
          <w:sz w:val="30"/>
          <w:szCs w:val="30"/>
          <w:rtl/>
        </w:rPr>
      </w:pPr>
    </w:p>
    <w:p w14:paraId="1A2C96E6"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تركز الشركة على معايير قوية للبيئة والصحة والسلامة تتماشى مع أهداف الاستدامة العالمية. وتماشياً مع هذا التركيز على حماية البيئة، تعمل الشركة بما يتماشى مع تعهد سلطنة عمان بالوصول إلى الحياد الكربوني (صافي صفر) بحلول عام 2050. وهذا مدفوع في المقام الأول بالاستثمارات في مجالات مثل الإدارة الفعالة للنفايات والوقود البديل. وفي عام 2023، شهدت الشركة انخفاضًا بنسبة 2 في المائة في كثافة الكربون على أساس سنوي وسجلت صفرًا في حوادث الانسكاب، كما حافظت على تركيزها على الصحة والسلامة، مع عدم ضياع أي وقت بسبب الإصابة في عام 2023.</w:t>
      </w:r>
    </w:p>
    <w:p w14:paraId="3BA5AD74" w14:textId="77777777" w:rsidR="00F05EA0" w:rsidRDefault="00F05EA0" w:rsidP="00334534">
      <w:pPr>
        <w:bidi/>
        <w:jc w:val="both"/>
        <w:rPr>
          <w:rFonts w:ascii="Traditional Arabic" w:hAnsi="Traditional Arabic" w:cs="Traditional Arabic"/>
          <w:sz w:val="30"/>
          <w:szCs w:val="30"/>
          <w:rtl/>
        </w:rPr>
      </w:pPr>
    </w:p>
    <w:p w14:paraId="5DFC01F2"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قدمت الشركة مساهمة إيجابية كبيرة للمجتمع العماني، حيث تم توزيع 702 مليون دولار أمريكي من القيمة الاقتصادية (بما في ذلك تكاليف التشغيل وأجور الموظفين ومزاياهم والمدفوعات للجهات المانحة لرؤوس الأموال والمدفوعات للحكومة العمانية). وللشركة تأثير يمكن قياس مدى تأثيره على الاقتصاد الوطني من خلال خلق فرص العمل، ورفع مستوى المواهب العمانية، ومساهمة في القيمة المحلية بحوالي 27.5 مليون دولار أمريكي. </w:t>
      </w:r>
    </w:p>
    <w:p w14:paraId="27E393B5" w14:textId="77777777" w:rsidR="00F05EA0" w:rsidRDefault="00F05EA0" w:rsidP="00334534">
      <w:pPr>
        <w:bidi/>
        <w:jc w:val="both"/>
        <w:rPr>
          <w:rFonts w:ascii="Traditional Arabic" w:hAnsi="Traditional Arabic" w:cs="Traditional Arabic"/>
          <w:sz w:val="30"/>
          <w:szCs w:val="30"/>
          <w:rtl/>
        </w:rPr>
      </w:pPr>
    </w:p>
    <w:p w14:paraId="60A644B8"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يتم الإشراف على استراتيجية الممارسات البيئية والاجتماعية والحوكمة للشركة من قبل لجنة الممارسات البيئية والاجتماعية والحوكمة، ثم يتم الموافقة عليها من قبل مجلس إدارة الشركة. وهناك دعم لاستراتيجية الشاملة للممارسات البيئية والاجتماعية والحوكمة بشكل أكبر من خلال مدونة قواعد السلوك وأخلاقيات العمل الخاصة بالشركة، والتي يتم توقيعها من قبل جميع الموظفين.</w:t>
      </w:r>
    </w:p>
    <w:p w14:paraId="65A728FF" w14:textId="77777777" w:rsidR="00F05EA0" w:rsidRDefault="00F05EA0" w:rsidP="00334534">
      <w:pPr>
        <w:bidi/>
        <w:jc w:val="both"/>
        <w:rPr>
          <w:rFonts w:ascii="Traditional Arabic" w:hAnsi="Traditional Arabic" w:cs="Traditional Arabic"/>
          <w:b/>
          <w:sz w:val="30"/>
          <w:szCs w:val="30"/>
          <w:rtl/>
        </w:rPr>
      </w:pPr>
    </w:p>
    <w:p w14:paraId="58DCBCE4" w14:textId="77777777" w:rsidR="00334534" w:rsidRPr="00985281" w:rsidRDefault="00334534" w:rsidP="00F05EA0">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استراتيجية الشركة</w:t>
      </w:r>
    </w:p>
    <w:p w14:paraId="27475324"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تشمل استراتيجيات الشركة ما يلي:</w:t>
      </w:r>
    </w:p>
    <w:p w14:paraId="764D5D86" w14:textId="77777777" w:rsidR="00F05EA0" w:rsidRDefault="00F05EA0" w:rsidP="00334534">
      <w:pPr>
        <w:bidi/>
        <w:jc w:val="both"/>
        <w:rPr>
          <w:rFonts w:ascii="Traditional Arabic" w:hAnsi="Traditional Arabic" w:cs="Traditional Arabic"/>
          <w:b/>
          <w:i/>
          <w:sz w:val="30"/>
          <w:szCs w:val="30"/>
          <w:rtl/>
        </w:rPr>
      </w:pPr>
    </w:p>
    <w:p w14:paraId="1109C888" w14:textId="77777777" w:rsidR="00334534" w:rsidRDefault="00334534" w:rsidP="00F05EA0">
      <w:pPr>
        <w:bidi/>
        <w:jc w:val="both"/>
        <w:rPr>
          <w:rFonts w:ascii="Traditional Arabic" w:hAnsi="Traditional Arabic" w:cs="Traditional Arabic"/>
          <w:sz w:val="30"/>
          <w:szCs w:val="30"/>
          <w:rtl/>
        </w:rPr>
      </w:pPr>
      <w:r w:rsidRPr="00985281">
        <w:rPr>
          <w:rFonts w:ascii="Traditional Arabic" w:hAnsi="Traditional Arabic" w:cs="Traditional Arabic"/>
          <w:bCs/>
          <w:i/>
          <w:sz w:val="30"/>
          <w:szCs w:val="30"/>
          <w:rtl/>
        </w:rPr>
        <w:t>الإنفاق الرأسمالي</w:t>
      </w:r>
      <w:r w:rsidRPr="00334534">
        <w:rPr>
          <w:rFonts w:ascii="Traditional Arabic" w:hAnsi="Traditional Arabic" w:cs="Traditional Arabic"/>
          <w:b/>
          <w:i/>
          <w:sz w:val="30"/>
          <w:szCs w:val="30"/>
          <w:rtl/>
        </w:rPr>
        <w:t xml:space="preserve">: </w:t>
      </w:r>
      <w:r w:rsidRPr="00334534">
        <w:rPr>
          <w:rFonts w:ascii="Traditional Arabic" w:hAnsi="Traditional Arabic" w:cs="Traditional Arabic"/>
          <w:sz w:val="30"/>
          <w:szCs w:val="30"/>
          <w:rtl/>
        </w:rPr>
        <w:t xml:space="preserve">تعتمد استراتيجية الشركة جزئيًا على برنامج الإنفاق الرأسمالي القوي، والذي يركز على ما يلي: (1) تجديد الأسطول للحفاظ على أسطول حديث، (2) استثمارات النمو لجذب فرص النمو في السوق، و (3) تنويع محفظة سفنها بناءً على التوقعات لقطاعات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النفط الخام، و</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البضائع السائبة الجافة، وال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الملاحي المنتظم.</w:t>
      </w:r>
    </w:p>
    <w:p w14:paraId="3F5EBDC8" w14:textId="77777777" w:rsidR="00F05EA0" w:rsidRPr="00334534" w:rsidRDefault="00F05EA0" w:rsidP="00F05EA0">
      <w:pPr>
        <w:bidi/>
        <w:jc w:val="both"/>
        <w:rPr>
          <w:rFonts w:ascii="Traditional Arabic" w:hAnsi="Traditional Arabic" w:cs="Traditional Arabic"/>
          <w:sz w:val="30"/>
          <w:szCs w:val="30"/>
        </w:rPr>
      </w:pPr>
    </w:p>
    <w:p w14:paraId="30A37A39" w14:textId="77777777" w:rsidR="00334534" w:rsidRDefault="00334534" w:rsidP="00922116">
      <w:pPr>
        <w:numPr>
          <w:ilvl w:val="0"/>
          <w:numId w:val="57"/>
        </w:numPr>
        <w:bidi/>
        <w:jc w:val="both"/>
        <w:rPr>
          <w:rFonts w:ascii="Traditional Arabic" w:hAnsi="Traditional Arabic" w:cs="Traditional Arabic"/>
          <w:sz w:val="30"/>
          <w:szCs w:val="30"/>
        </w:rPr>
      </w:pPr>
      <w:r w:rsidRPr="00334534">
        <w:rPr>
          <w:rFonts w:ascii="Traditional Arabic" w:hAnsi="Traditional Arabic" w:cs="Traditional Arabic"/>
          <w:i/>
          <w:sz w:val="30"/>
          <w:szCs w:val="30"/>
          <w:rtl/>
        </w:rPr>
        <w:t>تجديد الأسطول</w:t>
      </w:r>
      <w:r w:rsidRPr="00334534">
        <w:rPr>
          <w:rFonts w:ascii="Traditional Arabic" w:hAnsi="Traditional Arabic" w:cs="Traditional Arabic"/>
          <w:sz w:val="30"/>
          <w:szCs w:val="30"/>
          <w:rtl/>
        </w:rPr>
        <w:t xml:space="preserve">: تركز الشركة على الحفاظ على أسطول حديث لأغراض زيادة الكفاءة التشغيلية وتحقيق أهداف الممارسات البيئية والاجتماعية والحوكمة. بالإضافة إلى ذلك، أكملت الشركة وخططت للمبيعات الاستراتيجية لأصول مختارة من أجل الاستفادة من فترات ذروة السوق من حيث الأسعار أو الطلب، ودعم تدفقاتها النقدية خلال فترات الركود. وسنعمل من خلال برامج التحديث على أن يتم إحلال سفن جديدة أحدث وأكثر كفاءة قادرة على تحقيق عوائد أعلى محل السفن القديمة، بالإضافة إلى دفع مكاسب الممارسات البيئية والاجتماعية والحوكمة، ووضع الشركة في مكانة أفضل على المدى الطويل. يمكن بيع السفن القديمة إذا ظهرت فرص سوقية مقنعة وتوافرت الظروف والأحوال المواتية. وقد أدارت الشركة الأسطول بطريقة استطاعت من خلالها التكيف مع التغيرات والفرص في السوق من خلال بصمتها التشغيلية في القطاع، حيث استطاعت توسيع نطاق عقود تأجير السفن المجهزة بالمدة وتجديدها بناءً على الفرص الاستراتيجية مع العملاء وديناميكيات السوق داخل كل شريحة من القطاعات التي تعمل فيها. </w:t>
      </w:r>
    </w:p>
    <w:p w14:paraId="0A94AB03" w14:textId="77777777" w:rsidR="00F05EA0" w:rsidRPr="00334534" w:rsidRDefault="00F05EA0" w:rsidP="00985281">
      <w:pPr>
        <w:bidi/>
        <w:ind w:left="1145"/>
        <w:jc w:val="both"/>
        <w:rPr>
          <w:rFonts w:ascii="Traditional Arabic" w:hAnsi="Traditional Arabic" w:cs="Traditional Arabic"/>
          <w:sz w:val="30"/>
          <w:szCs w:val="30"/>
        </w:rPr>
      </w:pPr>
    </w:p>
    <w:p w14:paraId="04713E74" w14:textId="77777777" w:rsidR="00F05EA0" w:rsidRDefault="00334534" w:rsidP="00922116">
      <w:pPr>
        <w:numPr>
          <w:ilvl w:val="0"/>
          <w:numId w:val="57"/>
        </w:numPr>
        <w:bidi/>
        <w:jc w:val="both"/>
        <w:rPr>
          <w:rFonts w:ascii="Traditional Arabic" w:hAnsi="Traditional Arabic" w:cs="Traditional Arabic"/>
          <w:sz w:val="30"/>
          <w:szCs w:val="30"/>
        </w:rPr>
      </w:pPr>
      <w:r w:rsidRPr="00334534">
        <w:rPr>
          <w:rFonts w:ascii="Traditional Arabic" w:hAnsi="Traditional Arabic" w:cs="Traditional Arabic"/>
          <w:i/>
          <w:sz w:val="30"/>
          <w:szCs w:val="30"/>
          <w:rtl/>
        </w:rPr>
        <w:t>استثمارات النمو</w:t>
      </w:r>
      <w:r w:rsidRPr="00334534">
        <w:rPr>
          <w:rFonts w:ascii="Traditional Arabic" w:hAnsi="Traditional Arabic" w:cs="Traditional Arabic"/>
          <w:sz w:val="30"/>
          <w:szCs w:val="30"/>
          <w:rtl/>
        </w:rPr>
        <w:t xml:space="preserve">: تتوقع الشركة إنفاق ما بين 2.3 مليار دولار أمريكي و 2.7 مليار دولار أمريكي على خطتها التوسعية على المدى المتوسط لجذب فرص النمو. تسعى الشركة إلى الاستفادة من طلبات السفن المبنية الجديدة عالية المواصفات، والمجهزة بأحدث التقنيات لتلبية المعايير البيئية واستقطاب الأسعار المتميزة والعملاء المتميزين. وتتماشى هذه الاستراتيجية أيضًا مع نهج الشركة القائم على مصلحتها لشراء سفن عالية الجودة في سوق </w:t>
      </w:r>
      <w:r w:rsidRPr="00334534">
        <w:rPr>
          <w:rFonts w:ascii="Traditional Arabic" w:hAnsi="Traditional Arabic" w:cs="Traditional Arabic"/>
          <w:sz w:val="30"/>
          <w:szCs w:val="30"/>
          <w:rtl/>
        </w:rPr>
        <w:lastRenderedPageBreak/>
        <w:t>المستعمل، حيث يمكن للاستحواذ على سفن عالية الجودة تحقيق فوائد فورية بناءً على العقود المعروضة حاليًا أو ظروف السوق السائدة.</w:t>
      </w:r>
    </w:p>
    <w:p w14:paraId="077589A3" w14:textId="77777777" w:rsidR="00334534" w:rsidRPr="00334534" w:rsidRDefault="00334534" w:rsidP="00985281">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 </w:t>
      </w:r>
    </w:p>
    <w:p w14:paraId="432DED1C" w14:textId="77777777" w:rsidR="00334534" w:rsidRDefault="00334534" w:rsidP="00922116">
      <w:pPr>
        <w:numPr>
          <w:ilvl w:val="0"/>
          <w:numId w:val="57"/>
        </w:numPr>
        <w:bidi/>
        <w:jc w:val="both"/>
        <w:rPr>
          <w:rFonts w:ascii="Traditional Arabic" w:hAnsi="Traditional Arabic" w:cs="Traditional Arabic"/>
          <w:sz w:val="30"/>
          <w:szCs w:val="30"/>
        </w:rPr>
      </w:pPr>
      <w:r w:rsidRPr="00334534">
        <w:rPr>
          <w:rFonts w:ascii="Traditional Arabic" w:hAnsi="Traditional Arabic" w:cs="Traditional Arabic"/>
          <w:i/>
          <w:sz w:val="30"/>
          <w:szCs w:val="30"/>
          <w:rtl/>
        </w:rPr>
        <w:t>المحفظة المتنوعة</w:t>
      </w:r>
      <w:r w:rsidRPr="00334534">
        <w:rPr>
          <w:rFonts w:ascii="Traditional Arabic" w:hAnsi="Traditional Arabic" w:cs="Traditional Arabic"/>
          <w:sz w:val="30"/>
          <w:szCs w:val="30"/>
          <w:rtl/>
        </w:rPr>
        <w:t xml:space="preserve">: تحافظ الشركة على نهج متوازن عبر كل قطاع من قطاعاتها للحفاظ على تنويع سفنها، مع التركيز بشكل خاص على التوقعات لقطاعات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النفط الخام، و</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البضائع السائبة الجافة، وال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الملاحي المنتظم. ويرجع ذلك جزئيًا إلى الدعم المباشر الذي تم تلقيه في هذه القطاعات من استراتيجية النمو الاقتصادي في سلطنة عمان.</w:t>
      </w:r>
    </w:p>
    <w:p w14:paraId="53EE1C2B" w14:textId="77777777" w:rsidR="00F05EA0" w:rsidRPr="00334534" w:rsidRDefault="00F05EA0" w:rsidP="00985281">
      <w:pPr>
        <w:bidi/>
        <w:jc w:val="both"/>
        <w:rPr>
          <w:rFonts w:ascii="Traditional Arabic" w:hAnsi="Traditional Arabic" w:cs="Traditional Arabic"/>
          <w:sz w:val="30"/>
          <w:szCs w:val="30"/>
        </w:rPr>
      </w:pPr>
    </w:p>
    <w:p w14:paraId="70BB8505" w14:textId="77777777" w:rsidR="00334534" w:rsidRDefault="00334534" w:rsidP="00334534">
      <w:pPr>
        <w:bidi/>
        <w:jc w:val="both"/>
        <w:rPr>
          <w:rFonts w:ascii="Traditional Arabic" w:hAnsi="Traditional Arabic" w:cs="Traditional Arabic"/>
          <w:sz w:val="30"/>
          <w:szCs w:val="30"/>
          <w:rtl/>
        </w:rPr>
      </w:pPr>
      <w:r w:rsidRPr="00985281">
        <w:rPr>
          <w:rFonts w:ascii="Traditional Arabic" w:hAnsi="Traditional Arabic" w:cs="Traditional Arabic"/>
          <w:bCs/>
          <w:i/>
          <w:sz w:val="30"/>
          <w:szCs w:val="30"/>
          <w:rtl/>
        </w:rPr>
        <w:t>تحسين الأعمال</w:t>
      </w:r>
      <w:r w:rsidRPr="00334534">
        <w:rPr>
          <w:rFonts w:ascii="Traditional Arabic" w:hAnsi="Traditional Arabic" w:cs="Traditional Arabic"/>
          <w:b/>
          <w:i/>
          <w:sz w:val="30"/>
          <w:szCs w:val="30"/>
          <w:rtl/>
        </w:rPr>
        <w:t xml:space="preserve">: </w:t>
      </w:r>
      <w:r w:rsidRPr="00334534">
        <w:rPr>
          <w:rFonts w:ascii="Traditional Arabic" w:hAnsi="Traditional Arabic" w:cs="Traditional Arabic"/>
          <w:sz w:val="30"/>
          <w:szCs w:val="30"/>
          <w:rtl/>
        </w:rPr>
        <w:t xml:space="preserve">تهدف استراتيجية تحسين أعمال الشركة إلى </w:t>
      </w:r>
      <w:r w:rsidR="004342B0">
        <w:rPr>
          <w:rFonts w:ascii="Traditional Arabic" w:hAnsi="Traditional Arabic" w:cs="Traditional Arabic" w:hint="cs"/>
          <w:sz w:val="30"/>
          <w:szCs w:val="30"/>
          <w:rtl/>
        </w:rPr>
        <w:t>مساعدة</w:t>
      </w:r>
      <w:r w:rsidR="004342B0"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الشركة على الحفاظ على تميزها التشغيلي مع الاستفادة من نقاط قوتها الحالية للاستفادة من توقعات السوق المواتية عند ظهورها.</w:t>
      </w:r>
    </w:p>
    <w:p w14:paraId="64EB0421" w14:textId="77777777" w:rsidR="00F05EA0" w:rsidRPr="00334534" w:rsidRDefault="00F05EA0" w:rsidP="00F05EA0">
      <w:pPr>
        <w:bidi/>
        <w:jc w:val="both"/>
        <w:rPr>
          <w:rFonts w:ascii="Traditional Arabic" w:hAnsi="Traditional Arabic" w:cs="Traditional Arabic"/>
          <w:sz w:val="30"/>
          <w:szCs w:val="30"/>
        </w:rPr>
      </w:pPr>
    </w:p>
    <w:p w14:paraId="270A54CF" w14:textId="77777777" w:rsidR="00334534" w:rsidRDefault="00334534" w:rsidP="00922116">
      <w:pPr>
        <w:numPr>
          <w:ilvl w:val="0"/>
          <w:numId w:val="58"/>
        </w:numPr>
        <w:bidi/>
        <w:jc w:val="both"/>
        <w:rPr>
          <w:rFonts w:ascii="Traditional Arabic" w:hAnsi="Traditional Arabic" w:cs="Traditional Arabic"/>
          <w:sz w:val="30"/>
          <w:szCs w:val="30"/>
        </w:rPr>
      </w:pPr>
      <w:r w:rsidRPr="00334534">
        <w:rPr>
          <w:rFonts w:ascii="Traditional Arabic" w:hAnsi="Traditional Arabic" w:cs="Traditional Arabic"/>
          <w:i/>
          <w:sz w:val="30"/>
          <w:szCs w:val="30"/>
          <w:rtl/>
        </w:rPr>
        <w:t>الاستفادة من نقاط القوة الحالية</w:t>
      </w:r>
      <w:r w:rsidRPr="00334534">
        <w:rPr>
          <w:rFonts w:ascii="Traditional Arabic" w:hAnsi="Traditional Arabic" w:cs="Traditional Arabic"/>
          <w:sz w:val="30"/>
          <w:szCs w:val="30"/>
          <w:rtl/>
        </w:rPr>
        <w:t>: تتمتع الشركة بحضور راسخ في السوق وخبرة واسعة في القطاع البحري (سواء من خلال الشركة نفسها أو من خلال فريق الإدارة العليا). وتعتزم الشركة، كجزء من استراتيجيتها، مواصلة التركيز على نقاط القوة الحالية هذه، من أجل الحفاظ على سمعتها القوية وقاعدة عملائها المتنوعة عبر القطاعات.</w:t>
      </w:r>
    </w:p>
    <w:p w14:paraId="5264557A" w14:textId="77777777" w:rsidR="00F05EA0" w:rsidRPr="00334534" w:rsidRDefault="00F05EA0" w:rsidP="00985281">
      <w:pPr>
        <w:bidi/>
        <w:ind w:left="1145"/>
        <w:jc w:val="both"/>
        <w:rPr>
          <w:rFonts w:ascii="Traditional Arabic" w:hAnsi="Traditional Arabic" w:cs="Traditional Arabic"/>
          <w:sz w:val="30"/>
          <w:szCs w:val="30"/>
        </w:rPr>
      </w:pPr>
    </w:p>
    <w:p w14:paraId="6E2FFFB6" w14:textId="77777777" w:rsidR="00334534" w:rsidRDefault="00334534" w:rsidP="00922116">
      <w:pPr>
        <w:numPr>
          <w:ilvl w:val="0"/>
          <w:numId w:val="58"/>
        </w:numPr>
        <w:bidi/>
        <w:jc w:val="both"/>
        <w:rPr>
          <w:rFonts w:ascii="Traditional Arabic" w:hAnsi="Traditional Arabic" w:cs="Traditional Arabic"/>
          <w:sz w:val="30"/>
          <w:szCs w:val="30"/>
        </w:rPr>
      </w:pPr>
      <w:r w:rsidRPr="00334534">
        <w:rPr>
          <w:rFonts w:ascii="Traditional Arabic" w:hAnsi="Traditional Arabic" w:cs="Traditional Arabic"/>
          <w:i/>
          <w:sz w:val="30"/>
          <w:szCs w:val="30"/>
          <w:rtl/>
        </w:rPr>
        <w:t>التركيز على السوق</w:t>
      </w:r>
      <w:r w:rsidRPr="00334534">
        <w:rPr>
          <w:rFonts w:ascii="Traditional Arabic" w:hAnsi="Traditional Arabic" w:cs="Traditional Arabic"/>
          <w:sz w:val="30"/>
          <w:szCs w:val="30"/>
          <w:rtl/>
        </w:rPr>
        <w:t>: ركزت الشركة على القطاعات ذات التوقعات المواتية للسوق، ومواءمة أهدافها الاستراتيجية مع التوقعات الداخلية ورؤى سوق الوسطاء. وعلى وجه الخصوص، تتمتع الشركة بالقدرة على زيادة وجودها من خلال الشراكات الاستراتيجية ومبادرات التحول الرقمي والدعم الحكومي. وتعتزم الشركة أن تظل الشريك العماني المفضل، بما في ذلك من خلال توسيع عروض الخدمات اللوجستية وسلسلة التوريد، حيث ترى أنه من الممكن زيادة هذه الخدمات.</w:t>
      </w:r>
    </w:p>
    <w:p w14:paraId="4271D384" w14:textId="77777777" w:rsidR="00F05EA0" w:rsidRPr="00334534" w:rsidRDefault="00F05EA0" w:rsidP="00985281">
      <w:pPr>
        <w:bidi/>
        <w:jc w:val="both"/>
        <w:rPr>
          <w:rFonts w:ascii="Traditional Arabic" w:hAnsi="Traditional Arabic" w:cs="Traditional Arabic"/>
          <w:sz w:val="30"/>
          <w:szCs w:val="30"/>
        </w:rPr>
      </w:pPr>
    </w:p>
    <w:p w14:paraId="23CC4619" w14:textId="77777777" w:rsidR="00334534" w:rsidRDefault="00334534" w:rsidP="00922116">
      <w:pPr>
        <w:numPr>
          <w:ilvl w:val="0"/>
          <w:numId w:val="58"/>
        </w:numPr>
        <w:bidi/>
        <w:jc w:val="both"/>
        <w:rPr>
          <w:rFonts w:ascii="Traditional Arabic" w:hAnsi="Traditional Arabic" w:cs="Traditional Arabic"/>
          <w:sz w:val="30"/>
          <w:szCs w:val="30"/>
        </w:rPr>
      </w:pPr>
      <w:r w:rsidRPr="00334534">
        <w:rPr>
          <w:rFonts w:ascii="Traditional Arabic" w:hAnsi="Traditional Arabic" w:cs="Traditional Arabic"/>
          <w:i/>
          <w:sz w:val="30"/>
          <w:szCs w:val="30"/>
          <w:rtl/>
        </w:rPr>
        <w:t>استراتيجية الاستئجار</w:t>
      </w:r>
      <w:r w:rsidRPr="00334534">
        <w:rPr>
          <w:rFonts w:ascii="Traditional Arabic" w:hAnsi="Traditional Arabic" w:cs="Traditional Arabic"/>
          <w:sz w:val="30"/>
          <w:szCs w:val="30"/>
          <w:rtl/>
        </w:rPr>
        <w:t xml:space="preserve">: ظلت من أولويات الشركة تكييف استراتيجيات الاستئجار قصيرة الأجل وطويلة الأجل مع المتطلبات التشغيلية. وتعتزم الشركة، من خلال الاستفادة من الاتجاهات التاريخية وعقود تأجير السفن المزودة بالمدة، أن تضع نفسها في موضع يمكنها من تقديم هامس أرباح جيد قبل خصم الفوائد والضرائب والإهلاك والإطفاء. وحيثما كان ذلك مفيدًا بناءً على ظروف السوق أو حسب الاحتياجات قصيرة الأجل، فإن الشركة تهدف إلى الحد من النفقات الرأسمالية عن طريق استئجار السفن، وبالتالي تعزيز الرافعة المالية والتشغيلية. ونظرًا لأنه يمكن تغيير عدد السفن المستأجرة بسرعة أكبر من السفن المملوكة ملكية تامة أو المملوكة </w:t>
      </w:r>
      <w:r w:rsidR="00E65E26">
        <w:rPr>
          <w:rFonts w:ascii="Traditional Arabic" w:hAnsi="Traditional Arabic" w:cs="Traditional Arabic"/>
          <w:sz w:val="30"/>
          <w:szCs w:val="30"/>
          <w:rtl/>
        </w:rPr>
        <w:t>بشكل مشترك</w:t>
      </w:r>
      <w:r w:rsidRPr="00334534">
        <w:rPr>
          <w:rFonts w:ascii="Traditional Arabic" w:hAnsi="Traditional Arabic" w:cs="Traditional Arabic"/>
          <w:sz w:val="30"/>
          <w:szCs w:val="30"/>
          <w:rtl/>
        </w:rPr>
        <w:t>، فإن الإدارة الفعالة لهذا الجزء من الأسطول تسمح للشركة بإدارة مخاطرها السوقية والاستفادة من أي فرص مواتية.</w:t>
      </w:r>
    </w:p>
    <w:p w14:paraId="6EA9EA12" w14:textId="77777777" w:rsidR="00F05EA0" w:rsidRPr="00334534" w:rsidRDefault="00F05EA0" w:rsidP="00985281">
      <w:pPr>
        <w:bidi/>
        <w:jc w:val="both"/>
        <w:rPr>
          <w:rFonts w:ascii="Traditional Arabic" w:hAnsi="Traditional Arabic" w:cs="Traditional Arabic"/>
          <w:sz w:val="30"/>
          <w:szCs w:val="30"/>
        </w:rPr>
      </w:pPr>
    </w:p>
    <w:p w14:paraId="0785AF33" w14:textId="77777777" w:rsidR="00334534" w:rsidRDefault="00334534" w:rsidP="00334534">
      <w:pPr>
        <w:bidi/>
        <w:jc w:val="both"/>
        <w:rPr>
          <w:rFonts w:ascii="Traditional Arabic" w:hAnsi="Traditional Arabic" w:cs="Traditional Arabic"/>
          <w:sz w:val="30"/>
          <w:szCs w:val="30"/>
          <w:rtl/>
        </w:rPr>
      </w:pPr>
      <w:r w:rsidRPr="00985281">
        <w:rPr>
          <w:rFonts w:ascii="Traditional Arabic" w:hAnsi="Traditional Arabic" w:cs="Traditional Arabic"/>
          <w:bCs/>
          <w:i/>
          <w:sz w:val="30"/>
          <w:szCs w:val="30"/>
          <w:rtl/>
        </w:rPr>
        <w:t>فرص القروض الجديدة/ إعادة التمويل الجديدة</w:t>
      </w:r>
      <w:r w:rsidRPr="00334534">
        <w:rPr>
          <w:rFonts w:ascii="Traditional Arabic" w:hAnsi="Traditional Arabic" w:cs="Traditional Arabic"/>
          <w:sz w:val="30"/>
          <w:szCs w:val="30"/>
          <w:rtl/>
        </w:rPr>
        <w:t>: تخطط الشركة للاستفادة من السفن ذات نسب القرض إلى القيمة الأعلى أو الأصول غير المرهونة من أجل تحسين قوة ميزانيتها العمومية وتحسين استخدام الأصول. تستكشف إدارة الشركة بانتظام فرص القروض وإعادة التمويل الجديدة للتأكد من أنها تستحوذ على الفرص المواتية للشركة، وبالتالي تدعم أيضًا استثماراتها الاستراتيجية واستراتيجيات الإنفاق الرأسمالي.</w:t>
      </w:r>
    </w:p>
    <w:p w14:paraId="2E9EF857" w14:textId="77777777" w:rsidR="00F05EA0" w:rsidRPr="00334534" w:rsidRDefault="00F05EA0" w:rsidP="00F05EA0">
      <w:pPr>
        <w:bidi/>
        <w:jc w:val="both"/>
        <w:rPr>
          <w:rFonts w:ascii="Traditional Arabic" w:hAnsi="Traditional Arabic" w:cs="Traditional Arabic"/>
          <w:sz w:val="30"/>
          <w:szCs w:val="30"/>
        </w:rPr>
      </w:pPr>
    </w:p>
    <w:p w14:paraId="23AA0004" w14:textId="77777777" w:rsidR="00334534" w:rsidRDefault="00334534" w:rsidP="00334534">
      <w:pPr>
        <w:bidi/>
        <w:jc w:val="both"/>
        <w:rPr>
          <w:rFonts w:ascii="Traditional Arabic" w:hAnsi="Traditional Arabic" w:cs="Traditional Arabic"/>
          <w:sz w:val="30"/>
          <w:szCs w:val="30"/>
          <w:rtl/>
        </w:rPr>
      </w:pPr>
      <w:r w:rsidRPr="00985281">
        <w:rPr>
          <w:rFonts w:ascii="Traditional Arabic" w:hAnsi="Traditional Arabic" w:cs="Traditional Arabic"/>
          <w:bCs/>
          <w:i/>
          <w:sz w:val="30"/>
          <w:szCs w:val="30"/>
          <w:rtl/>
        </w:rPr>
        <w:t>استراتيجية الديون للمنافع الضريبية</w:t>
      </w:r>
      <w:r w:rsidRPr="00334534">
        <w:rPr>
          <w:rFonts w:ascii="Traditional Arabic" w:hAnsi="Traditional Arabic" w:cs="Traditional Arabic"/>
          <w:sz w:val="30"/>
          <w:szCs w:val="30"/>
          <w:rtl/>
        </w:rPr>
        <w:t>: تعتزم الشركة مواصلة مواءمة ديونها مع استراتيجيات مساهمها الرئيسي، مجموعة أسياد، من أجل تعظيم الفوائد الضريبية والاستفادة من أوجه التعاون وتكامل الجهود في التخطيط المالي حيثما وجدت بين المنظمتين. كما أن الهدف من وراء مواءمة استراتيجية ديونها بهذه الطريقة هو تحسين إدارة التدفقات النقدية من قبل الشركة، بما يسمح لها بالاستجابة لأي تغييرات في السوق بالإضافة إلى فرص السوق.</w:t>
      </w:r>
    </w:p>
    <w:p w14:paraId="4BCF6E32" w14:textId="77777777" w:rsidR="00F05EA0" w:rsidRPr="00334534" w:rsidRDefault="00F05EA0" w:rsidP="00F05EA0">
      <w:pPr>
        <w:bidi/>
        <w:jc w:val="both"/>
        <w:rPr>
          <w:rFonts w:ascii="Traditional Arabic" w:hAnsi="Traditional Arabic" w:cs="Traditional Arabic"/>
          <w:sz w:val="30"/>
          <w:szCs w:val="30"/>
        </w:rPr>
      </w:pPr>
    </w:p>
    <w:p w14:paraId="6FC35EB6" w14:textId="77777777" w:rsidR="00334534" w:rsidRDefault="00334534" w:rsidP="00334534">
      <w:pPr>
        <w:bidi/>
        <w:jc w:val="both"/>
        <w:rPr>
          <w:rFonts w:ascii="Traditional Arabic" w:hAnsi="Traditional Arabic" w:cs="Traditional Arabic"/>
          <w:sz w:val="30"/>
          <w:szCs w:val="30"/>
          <w:rtl/>
        </w:rPr>
      </w:pPr>
      <w:r w:rsidRPr="00985281">
        <w:rPr>
          <w:rFonts w:ascii="Traditional Arabic" w:hAnsi="Traditional Arabic" w:cs="Traditional Arabic"/>
          <w:bCs/>
          <w:i/>
          <w:sz w:val="30"/>
          <w:szCs w:val="30"/>
          <w:rtl/>
        </w:rPr>
        <w:t>تعزيز الهيكل التنظيمي</w:t>
      </w:r>
      <w:r w:rsidRPr="00334534">
        <w:rPr>
          <w:rFonts w:ascii="Traditional Arabic" w:hAnsi="Traditional Arabic" w:cs="Traditional Arabic"/>
          <w:sz w:val="30"/>
          <w:szCs w:val="30"/>
          <w:rtl/>
        </w:rPr>
        <w:t>: تهدف الشركة إلى تحسين كفاءتها التشغيلية من خلال تنفيذ أفضل الممارسات التي تضمن أن عمليات صنع القرار تتسم بالكفاءة والفعالية، تأمل الشركة في تبسيط عملياتها، ونتيجة لذلك، تقليل تكاليف التشغيل. وتعتزم الشركة تحسين استخدام سفنها من خلال تحسين السرعة التي تتخذ بها القرارات المتعلقة بحيازة السفن ومبيعاتها، وعقود الاستئجار والتأجير، واستئجار السفن وعمليات السوق الفورية.</w:t>
      </w:r>
    </w:p>
    <w:p w14:paraId="35155132" w14:textId="77777777" w:rsidR="00F05EA0" w:rsidRPr="00334534" w:rsidRDefault="00F05EA0" w:rsidP="00F05EA0">
      <w:pPr>
        <w:bidi/>
        <w:jc w:val="both"/>
        <w:rPr>
          <w:rFonts w:ascii="Traditional Arabic" w:hAnsi="Traditional Arabic" w:cs="Traditional Arabic"/>
          <w:sz w:val="30"/>
          <w:szCs w:val="30"/>
        </w:rPr>
      </w:pPr>
    </w:p>
    <w:p w14:paraId="0DD8C65B" w14:textId="77777777" w:rsidR="00334534" w:rsidRPr="00334534" w:rsidRDefault="00334534" w:rsidP="00334534">
      <w:pPr>
        <w:bidi/>
        <w:jc w:val="both"/>
        <w:rPr>
          <w:rFonts w:ascii="Traditional Arabic" w:hAnsi="Traditional Arabic" w:cs="Traditional Arabic"/>
          <w:sz w:val="30"/>
          <w:szCs w:val="30"/>
        </w:rPr>
      </w:pPr>
      <w:r w:rsidRPr="00985281">
        <w:rPr>
          <w:rFonts w:ascii="Traditional Arabic" w:hAnsi="Traditional Arabic" w:cs="Traditional Arabic"/>
          <w:bCs/>
          <w:i/>
          <w:sz w:val="30"/>
          <w:szCs w:val="30"/>
          <w:rtl/>
        </w:rPr>
        <w:t>تقييم تأسيس شركات متخصصة لكل قطاع</w:t>
      </w:r>
      <w:r w:rsidRPr="00985281">
        <w:rPr>
          <w:rFonts w:ascii="Traditional Arabic" w:hAnsi="Traditional Arabic" w:cs="Traditional Arabic"/>
          <w:bCs/>
          <w:sz w:val="30"/>
          <w:szCs w:val="30"/>
          <w:rtl/>
        </w:rPr>
        <w:t>:</w:t>
      </w:r>
      <w:r w:rsidRPr="00334534">
        <w:rPr>
          <w:rFonts w:ascii="Traditional Arabic" w:hAnsi="Traditional Arabic" w:cs="Traditional Arabic"/>
          <w:sz w:val="30"/>
          <w:szCs w:val="30"/>
          <w:rtl/>
        </w:rPr>
        <w:t xml:space="preserve"> تدعم قدرة الشركة على إنشاء شركات فردية لكل قطاع تشغيلي قدرتها على زيادة التركيز التشغيلي والكفاءة. كما يسمح هذا النهج للشركة بإنشاء استراتيجيات مخصصة تعالج التحديات والفرص الفريدة داخل كل قطاع من قطاعاتها. بالإضافة إلى ذلك، يساعد هذا النهج على تسهيل مكاسب رأس المال في عمليات تصفية الاستثمارات المستقبلية المحتملة من خلال تسهيل تنفيذ أي إعادة تنظيم استراتيجي في المستقبل. </w:t>
      </w:r>
    </w:p>
    <w:p w14:paraId="503E46B5" w14:textId="77777777" w:rsidR="00F05EA0" w:rsidRDefault="00F05EA0" w:rsidP="00334534">
      <w:pPr>
        <w:bidi/>
        <w:jc w:val="both"/>
        <w:rPr>
          <w:rFonts w:ascii="Traditional Arabic" w:hAnsi="Traditional Arabic" w:cs="Traditional Arabic"/>
          <w:b/>
          <w:sz w:val="30"/>
          <w:szCs w:val="30"/>
          <w:rtl/>
        </w:rPr>
      </w:pPr>
    </w:p>
    <w:p w14:paraId="002B69B2" w14:textId="77777777" w:rsidR="00334534" w:rsidRPr="00985281" w:rsidRDefault="00334534" w:rsidP="00F05EA0">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الهيكل التنظيمي</w:t>
      </w:r>
    </w:p>
    <w:p w14:paraId="1C828046" w14:textId="77777777" w:rsidR="00F05EA0"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الشركة هي شركة قابضة، وتقوم شركاتها التابعة بإدارة جميع عمليات المجموعة، وتمتلك جميع الأصول التشغيلية للمجموعة. وتماشياً مع ممارسات الشحن الدولية المعمول بها، فإن معظم سفن المجموعة مستأجرة ومملوكة وممولة من قبل الشركات القابضة للسفن التابعة للشركات القابضة الوسيطة للمجموعة، وهي الشركة العمانية لإدارة السفن ش م ع م </w:t>
      </w:r>
      <w:r w:rsidR="00B97E97">
        <w:rPr>
          <w:rFonts w:ascii="Traditional Arabic" w:hAnsi="Traditional Arabic" w:cs="Traditional Arabic" w:hint="cs"/>
          <w:sz w:val="30"/>
          <w:szCs w:val="30"/>
          <w:rtl/>
        </w:rPr>
        <w:t xml:space="preserve">وشركة خط أسياد ش م م </w:t>
      </w:r>
      <w:r w:rsidRPr="00334534">
        <w:rPr>
          <w:rFonts w:ascii="Traditional Arabic" w:hAnsi="Traditional Arabic" w:cs="Traditional Arabic"/>
          <w:sz w:val="30"/>
          <w:szCs w:val="30"/>
          <w:rtl/>
        </w:rPr>
        <w:t xml:space="preserve">وشركة أسياد شيبينغ </w:t>
      </w:r>
      <w:r w:rsidR="001805EC">
        <w:rPr>
          <w:rFonts w:ascii="Traditional Arabic" w:hAnsi="Traditional Arabic" w:cs="Traditional Arabic" w:hint="cs"/>
          <w:sz w:val="30"/>
          <w:szCs w:val="30"/>
          <w:rtl/>
        </w:rPr>
        <w:t>بي تي إي ليمتد</w:t>
      </w:r>
      <w:r w:rsidR="001805EC" w:rsidRPr="00334534" w:rsidDel="001805EC">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(سنغافورة).</w:t>
      </w:r>
    </w:p>
    <w:p w14:paraId="557FB028" w14:textId="77777777" w:rsidR="00334534" w:rsidRDefault="00334534" w:rsidP="00F05EA0">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إذا تم تأجير سفينة لأحد عملاء الشركة، يتم إبرام عقد الإيجار مباشرة مع العميل من قبل الشركة القابضة للسفن ذات الصلة، وتحصل الشركة التابعة التدفقات النقدية الناتجة عقد الإيجار.</w:t>
      </w:r>
    </w:p>
    <w:p w14:paraId="1E95D5A3" w14:textId="77777777" w:rsidR="00F05EA0" w:rsidRPr="00334534" w:rsidRDefault="00F05EA0" w:rsidP="00F05EA0">
      <w:pPr>
        <w:bidi/>
        <w:jc w:val="both"/>
        <w:rPr>
          <w:rFonts w:ascii="Traditional Arabic" w:hAnsi="Traditional Arabic" w:cs="Traditional Arabic"/>
          <w:sz w:val="30"/>
          <w:szCs w:val="30"/>
        </w:rPr>
      </w:pPr>
    </w:p>
    <w:p w14:paraId="75317F4A"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وتتكبد جزء من مديونية المجموعة الحالية - الشركات القابضة للسفن على أساس عدم الرجوع والمطالبة أو على أساس الرجوع المحدود أو بضمانات تقدمها الشركة ويتم تأمينها برهون على بعض سفن المجموعة ورهن لأسهم شركات السفن القابضة. ويتم توفير خدمات إدارة السفن لسفن المجموعة في المقام الأول من قبل الشركة العمانية </w:t>
      </w:r>
      <w:r w:rsidR="00D73935">
        <w:rPr>
          <w:rFonts w:ascii="Traditional Arabic" w:hAnsi="Traditional Arabic" w:cs="Traditional Arabic" w:hint="cs"/>
          <w:sz w:val="30"/>
          <w:szCs w:val="30"/>
          <w:rtl/>
        </w:rPr>
        <w:t>لاستئجار</w:t>
      </w:r>
      <w:r w:rsidR="00D73935"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السفن ش م ع م، ويتم توفير خدمات إصلاح السفن في أحواض الإرساء الجاف لسفن المجموعة في المقام الأول من قبل شركة تابعة للشركة العمانية لإدارة السفن.</w:t>
      </w:r>
    </w:p>
    <w:p w14:paraId="06ED391D" w14:textId="77777777" w:rsidR="00F05EA0" w:rsidRDefault="00F05EA0" w:rsidP="00334534">
      <w:pPr>
        <w:bidi/>
        <w:jc w:val="both"/>
        <w:rPr>
          <w:rFonts w:ascii="Traditional Arabic" w:hAnsi="Traditional Arabic" w:cs="Traditional Arabic"/>
          <w:sz w:val="30"/>
          <w:szCs w:val="30"/>
          <w:rtl/>
        </w:rPr>
      </w:pPr>
    </w:p>
    <w:p w14:paraId="55B4D17E"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يعرض الرسم البياني التالي توضيحًا مبسطًا للهيكل التنظيمي للشركة. </w:t>
      </w:r>
    </w:p>
    <w:p w14:paraId="14D5C550"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drawing>
          <wp:inline distT="0" distB="0" distL="0" distR="0" wp14:anchorId="2B6818DD" wp14:editId="538E9C0B">
            <wp:extent cx="4086225" cy="2812562"/>
            <wp:effectExtent l="0" t="0" r="0" b="6985"/>
            <wp:docPr id="41886260" name="Picture 1" descr="A chart of a company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6260" name="Picture 1" descr="A chart of a company  Description automatically generated"/>
                    <pic:cNvPicPr/>
                  </pic:nvPicPr>
                  <pic:blipFill>
                    <a:blip r:embed="rId70"/>
                    <a:stretch>
                      <a:fillRect/>
                    </a:stretch>
                  </pic:blipFill>
                  <pic:spPr>
                    <a:xfrm>
                      <a:off x="0" y="0"/>
                      <a:ext cx="4095630" cy="2819035"/>
                    </a:xfrm>
                    <a:prstGeom prst="rect">
                      <a:avLst/>
                    </a:prstGeom>
                  </pic:spPr>
                </pic:pic>
              </a:graphicData>
            </a:graphic>
          </wp:inline>
        </w:drawing>
      </w:r>
    </w:p>
    <w:p w14:paraId="67FF4F2C" w14:textId="77777777" w:rsidR="00F05EA0" w:rsidRDefault="00F05EA0" w:rsidP="00334534">
      <w:pPr>
        <w:bidi/>
        <w:jc w:val="both"/>
        <w:rPr>
          <w:rFonts w:ascii="Traditional Arabic" w:hAnsi="Traditional Arabic" w:cs="Traditional Arabic"/>
          <w:b/>
          <w:sz w:val="30"/>
          <w:szCs w:val="30"/>
          <w:rtl/>
        </w:rPr>
      </w:pPr>
    </w:p>
    <w:p w14:paraId="488D4544" w14:textId="77777777" w:rsidR="00334534" w:rsidRPr="00985281" w:rsidRDefault="00334534" w:rsidP="00F05EA0">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القيمة الإجمالية للعقود</w:t>
      </w:r>
    </w:p>
    <w:p w14:paraId="6EA72C53" w14:textId="77777777" w:rsidR="00334534" w:rsidRDefault="00334534" w:rsidP="00334534">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 xml:space="preserve">تعتبر الشركة القيمة الإجمالية للعقود لديها مقياسًا مهمًا للأداء، وبالتالي تراقبها باستمرار وتقدم تقارير دورية عنها. ومن الجدير بالذكر أن القيمة الإجمالية للعقود لا يُعتبر مقياسًا للأداء المالي في أصول المعايير الدولية لإعداد التقارير المالية؛ ولا ينبغي اعتباره بديلاً عن المؤشرات الأخرى للأداء التشغيلي للشركة أو التدفقات النقدية أو أي مقياس آخر للأداء مستمد وفقًا للمعايير الدولية لإعداد التقارير المالية. كما أن القيمة الإجمالي للعقود ليست ضمانًا للإيرادات المستقبلية وليست مؤشرًا للربح التشغيلي أو توليد النقد أو السيولة المستقبلية. </w:t>
      </w:r>
    </w:p>
    <w:p w14:paraId="1E5C5834" w14:textId="77777777" w:rsidR="00F05EA0" w:rsidRPr="00334534" w:rsidRDefault="00F05EA0" w:rsidP="00F05EA0">
      <w:pPr>
        <w:bidi/>
        <w:jc w:val="both"/>
        <w:rPr>
          <w:rFonts w:ascii="Traditional Arabic" w:hAnsi="Traditional Arabic" w:cs="Traditional Arabic"/>
          <w:sz w:val="30"/>
          <w:szCs w:val="30"/>
        </w:rPr>
      </w:pPr>
    </w:p>
    <w:p w14:paraId="57B073AB" w14:textId="77777777" w:rsidR="00334534" w:rsidRDefault="00334534" w:rsidP="00334534">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 xml:space="preserve"> هذا، </w:t>
      </w:r>
      <w:bookmarkStart w:id="6" w:name="_Hlk178593022"/>
      <w:r w:rsidRPr="00334534">
        <w:rPr>
          <w:rFonts w:ascii="Traditional Arabic" w:hAnsi="Traditional Arabic" w:cs="Traditional Arabic"/>
          <w:sz w:val="30"/>
          <w:szCs w:val="30"/>
          <w:rtl/>
        </w:rPr>
        <w:t>وتتألف القيمة الإجمالية للعقود من إجمالي الإيرادات المقدرة التي تُعزى إلى مبالغ العقود الاسمية للفترات غير المكتملة من عقود تأجير السفن، بناءً على فترة العقد المتبقية (باستثناء أيام الحوض الجاف المخطط لها) وأسعار الأيام المحددة في كل عقد</w:t>
      </w:r>
      <w:bookmarkEnd w:id="6"/>
      <w:r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lastRenderedPageBreak/>
        <w:t>تعتقد الشركة أن القيمة الإجمالية للعقود محسوب بشكل متحفظ بالنظر إلى أنه لا يشمل التمديدات أو المبالغ المنسوبة إلى سداد النفقات المتكبدة نيابة عن العميل أو المبالغ المدفوعة مقدمًا أو رسوم التعبئة أو الإيرادات الأخرى بخلاف تلك المنسوبة إلى الأسعار اليومية من الفترات غير المكتملة من عقود تأجير السفن. كما تفترض القيمة الإجمالية للعقود أن أسعار اليوم المطبقة هي كما تم التعاقد عليها خلال المدة بأكملها، ولن يتم إعادة التفاوض على عقودها ذات الصلة بشروط أقل ملاءمة، أو إنهاؤها قبل تواريخ استحقاقها التعاقدية. تفترض القيمة الإجمالية للعقود أيضًا بأن الشركة ستؤدي جميع التزاماتها التعاقدية. بالإضافة إلى ذلك، تفترض أرقام القيمة الإجمالية لعقود الشركة معدل استخدام بنسبة 100 في المائة (باستثناء أيام الحوض الجاف المخطط لها).</w:t>
      </w:r>
    </w:p>
    <w:p w14:paraId="27524A7A" w14:textId="77777777" w:rsidR="00F05EA0" w:rsidRPr="00334534" w:rsidRDefault="00F05EA0" w:rsidP="00F05EA0">
      <w:pPr>
        <w:bidi/>
        <w:jc w:val="both"/>
        <w:rPr>
          <w:rFonts w:ascii="Traditional Arabic" w:hAnsi="Traditional Arabic" w:cs="Traditional Arabic"/>
          <w:sz w:val="30"/>
          <w:szCs w:val="30"/>
        </w:rPr>
      </w:pPr>
    </w:p>
    <w:p w14:paraId="1AFFFE9E"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وتشمل القيمة الإجمالية للعقود الإيرادات المستقبلية المنسوبة إلى العقود الموقعة فقط. حصلت الشركة أيضًا على طلبات من العملاء في شكل خطابات نوايا أو التزامات أخرى غير ملزمة، والتي لا يتم احتسابها ضمن القيمة الإجمالية لعقودها. وعندما تحرز الشركة تقدما في تنفيذ عقودها، فإنها تعترف بالإيرادات وفقًا لسياسات الاعتراف بالإيرادات الخاصة بها، ولا تحسب المبالغ ذات الصلة ضمن القيمة الإجمالية لعقودها.</w:t>
      </w:r>
    </w:p>
    <w:p w14:paraId="69D7B422" w14:textId="77777777" w:rsidR="00F05EA0" w:rsidRDefault="00F05EA0" w:rsidP="00334534">
      <w:pPr>
        <w:bidi/>
        <w:jc w:val="both"/>
        <w:rPr>
          <w:rFonts w:ascii="Traditional Arabic" w:hAnsi="Traditional Arabic" w:cs="Traditional Arabic"/>
          <w:sz w:val="30"/>
          <w:szCs w:val="30"/>
          <w:rtl/>
        </w:rPr>
      </w:pPr>
    </w:p>
    <w:p w14:paraId="13267A29"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وتقدر الشركة أن القيمة الإجمالية لإيرادات عقودها يبلغ 1.9 مليار دولار أمريكي، منها 181</w:t>
      </w:r>
      <w:r w:rsidR="004029C2">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من المتوقع أن تتحقق في الأشهر الثلاثة الأخيرة من عام 2024، و479</w:t>
      </w:r>
      <w:r w:rsidR="004029C2">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من المتوقع أن تتحقق في عام 2025، و1272</w:t>
      </w:r>
      <w:r w:rsidR="004029C2">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من المتوقع أن تتحقق من عام 2026 إلى عام 2034. ومع ذلك، فإن القيمة الإجمالية للعقود لا توفر مؤشراً دقيقاً للفترة الزمنية التي يحق للشركة خلالها بموجب العقد الاعتراف بالإيرادات أو استلام النقد، ولا يمكن أن يكون هناك أي ضمان بأن الإيرادات سيتم الاعتراف بها أو استلامها نقدًا في الأطر الزمنية المتوقعة، أو أن يتم استلامها أصلا. إن التوقعات المذكورة في هذه النشرة والتي تتوقع بأن جزءًا من القيمة الإجمالية للعقود سيتحقق في سنة معينة ما هي إلا توقعات قد بُنيت على المواعيد المقررة المنصوص عليها في العقود ذات الصلة.</w:t>
      </w:r>
    </w:p>
    <w:p w14:paraId="46292965" w14:textId="77777777" w:rsidR="00F05EA0" w:rsidRDefault="00F05EA0" w:rsidP="00334534">
      <w:pPr>
        <w:bidi/>
        <w:jc w:val="both"/>
        <w:rPr>
          <w:rFonts w:ascii="Traditional Arabic" w:hAnsi="Traditional Arabic" w:cs="Traditional Arabic"/>
          <w:sz w:val="30"/>
          <w:szCs w:val="30"/>
          <w:rtl/>
        </w:rPr>
      </w:pPr>
    </w:p>
    <w:p w14:paraId="3425F1DE" w14:textId="77777777" w:rsidR="00334534" w:rsidRPr="00334534" w:rsidRDefault="00334534" w:rsidP="00F05EA0">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هذا، ويتم الإبلاغ عن القيمة الإجمالية لعقود الشركة بعملة الدولار الأمريكي، وتتكون في المقام الأول من عقود إيجار السفن المجهزة بالمدة طويلة الأجل وعقود الشحن في قطاعات شحن الغاز وشحن النفط الخام وشحن البضائع السائبة الجافة.</w:t>
      </w:r>
    </w:p>
    <w:p w14:paraId="2EBC93E3" w14:textId="77777777" w:rsidR="00F05EA0" w:rsidRDefault="00F05EA0" w:rsidP="00334534">
      <w:pPr>
        <w:bidi/>
        <w:jc w:val="both"/>
        <w:rPr>
          <w:rFonts w:ascii="Traditional Arabic" w:hAnsi="Traditional Arabic" w:cs="Traditional Arabic"/>
          <w:b/>
          <w:sz w:val="30"/>
          <w:szCs w:val="30"/>
          <w:rtl/>
        </w:rPr>
      </w:pPr>
    </w:p>
    <w:p w14:paraId="138234D3" w14:textId="77777777" w:rsidR="00334534" w:rsidRPr="00985281" w:rsidRDefault="00334534" w:rsidP="00F05EA0">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العمليات التشغيلية</w:t>
      </w:r>
    </w:p>
    <w:p w14:paraId="05312F77"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تقدم الشركة حلول 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(من خلال سفنها المملوكة لها وسفنها المستأجرة) بالإضافة إلى خدمات إدارة السفن والخدمات التجارية المتقدمة. تعمل الشركة في </w:t>
      </w:r>
      <w:r w:rsidR="00F05EA0" w:rsidRPr="00334534">
        <w:rPr>
          <w:rFonts w:ascii="Traditional Arabic" w:hAnsi="Traditional Arabic" w:cs="Traditional Arabic" w:hint="cs"/>
          <w:sz w:val="30"/>
          <w:szCs w:val="30"/>
          <w:rtl/>
        </w:rPr>
        <w:t>خمس</w:t>
      </w:r>
      <w:r w:rsidRPr="00334534">
        <w:rPr>
          <w:rFonts w:ascii="Traditional Arabic" w:hAnsi="Traditional Arabic" w:cs="Traditional Arabic"/>
          <w:sz w:val="30"/>
          <w:szCs w:val="30"/>
          <w:rtl/>
        </w:rPr>
        <w:t xml:space="preserve"> قطاعات أعمال: (1)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النفط الخام، (2)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المنتجات، (3)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البضائع السائبة </w:t>
      </w:r>
      <w:r w:rsidRPr="00334534">
        <w:rPr>
          <w:rFonts w:ascii="Traditional Arabic" w:hAnsi="Traditional Arabic" w:cs="Traditional Arabic"/>
          <w:sz w:val="30"/>
          <w:szCs w:val="30"/>
          <w:rtl/>
        </w:rPr>
        <w:lastRenderedPageBreak/>
        <w:t xml:space="preserve">الجافة، (4)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و (5) 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الملاحي المنتظم. يسمح أسطول الشركة الكبير والمتنوع ووجودها في قطاعات متعددة لها بالتنقل عبر دورات أعمال مختلفة ودعم استقرار عملياتها.</w:t>
      </w:r>
    </w:p>
    <w:p w14:paraId="4AF68D2B" w14:textId="77777777" w:rsidR="00F05EA0" w:rsidRDefault="00F05EA0" w:rsidP="00334534">
      <w:pPr>
        <w:bidi/>
        <w:jc w:val="both"/>
        <w:rPr>
          <w:rFonts w:ascii="Traditional Arabic" w:hAnsi="Traditional Arabic" w:cs="Traditional Arabic"/>
          <w:b/>
          <w:i/>
          <w:sz w:val="30"/>
          <w:szCs w:val="30"/>
          <w:rtl/>
        </w:rPr>
      </w:pPr>
      <w:bookmarkStart w:id="7" w:name="_Hlk174518233"/>
    </w:p>
    <w:p w14:paraId="6F929983" w14:textId="77777777" w:rsidR="00334534" w:rsidRPr="00985281" w:rsidRDefault="00607B02" w:rsidP="00F05EA0">
      <w:pPr>
        <w:bidi/>
        <w:jc w:val="both"/>
        <w:rPr>
          <w:rFonts w:ascii="Traditional Arabic" w:hAnsi="Traditional Arabic" w:cs="Traditional Arabic"/>
          <w:bCs/>
          <w:i/>
          <w:sz w:val="30"/>
          <w:szCs w:val="30"/>
        </w:rPr>
      </w:pPr>
      <w:r>
        <w:rPr>
          <w:rFonts w:ascii="Traditional Arabic" w:hAnsi="Traditional Arabic" w:cs="Traditional Arabic"/>
          <w:bCs/>
          <w:i/>
          <w:sz w:val="30"/>
          <w:szCs w:val="30"/>
          <w:rtl/>
        </w:rPr>
        <w:t>نقل</w:t>
      </w:r>
      <w:r w:rsidR="00334534" w:rsidRPr="00985281">
        <w:rPr>
          <w:rFonts w:ascii="Traditional Arabic" w:hAnsi="Traditional Arabic" w:cs="Traditional Arabic"/>
          <w:bCs/>
          <w:i/>
          <w:sz w:val="30"/>
          <w:szCs w:val="30"/>
          <w:rtl/>
        </w:rPr>
        <w:t xml:space="preserve"> النفط الخام</w:t>
      </w:r>
    </w:p>
    <w:p w14:paraId="66183032"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تقوم الشركة بنقل النفط الخام منذ عام 2008. وحتى 30 سبتمبر 2024، كان أسطول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النفط الخام يتكون من 12 ناقلة نفط خام عملاقة، وأربع سفن من طراز سويسماكس وسفينتين من طراز أفراماكس، منها 12 سفينة مملوكة ملكية تامة وست سفن مستأجرة، بسعة إجمالية تبلغ حوالي 4,571,725 طن ساكن. وقد طلبت الشركة أربع ناقلات نفط خام عملاقة للانضمام إلى أسطول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النفط الخام الخاص بها. يوضح الجدول أدناه بعض المعلومات المتعلقة بناقلات النفط الخام التابعة للشركة حتى 30 سبتمبر 2024:</w:t>
      </w:r>
    </w:p>
    <w:p w14:paraId="48FDE6E0" w14:textId="77777777" w:rsidR="00334534" w:rsidRDefault="00334534" w:rsidP="00334534">
      <w:pPr>
        <w:bidi/>
        <w:jc w:val="both"/>
        <w:rPr>
          <w:rFonts w:ascii="Traditional Arabic" w:hAnsi="Traditional Arabic" w:cs="Traditional Arabic"/>
          <w:sz w:val="30"/>
          <w:szCs w:val="30"/>
          <w:rtl/>
        </w:rPr>
      </w:pPr>
    </w:p>
    <w:tbl>
      <w:tblPr>
        <w:tblW w:w="9114" w:type="dxa"/>
        <w:tblInd w:w="437" w:type="dxa"/>
        <w:tblLayout w:type="fixed"/>
        <w:tblCellMar>
          <w:left w:w="0" w:type="dxa"/>
          <w:right w:w="0" w:type="dxa"/>
        </w:tblCellMar>
        <w:tblLook w:val="0000" w:firstRow="0" w:lastRow="0" w:firstColumn="0" w:lastColumn="0" w:noHBand="0" w:noVBand="0"/>
      </w:tblPr>
      <w:tblGrid>
        <w:gridCol w:w="3163"/>
        <w:gridCol w:w="236"/>
        <w:gridCol w:w="907"/>
        <w:gridCol w:w="236"/>
        <w:gridCol w:w="907"/>
        <w:gridCol w:w="236"/>
        <w:gridCol w:w="907"/>
        <w:gridCol w:w="236"/>
        <w:gridCol w:w="745"/>
        <w:gridCol w:w="180"/>
        <w:gridCol w:w="1125"/>
        <w:gridCol w:w="236"/>
      </w:tblGrid>
      <w:tr w:rsidR="00F05EA0" w:rsidRPr="00B02BA3" w14:paraId="58373FE8" w14:textId="77777777" w:rsidTr="00922116">
        <w:trPr>
          <w:tblHeader/>
        </w:trPr>
        <w:tc>
          <w:tcPr>
            <w:tcW w:w="3163" w:type="dxa"/>
            <w:tcBorders>
              <w:bottom w:val="single" w:sz="4" w:space="0" w:color="auto"/>
            </w:tcBorders>
            <w:vAlign w:val="bottom"/>
          </w:tcPr>
          <w:p w14:paraId="4F8EEAC1" w14:textId="77777777" w:rsidR="00F05EA0" w:rsidRPr="00985281" w:rsidRDefault="00F05EA0" w:rsidP="00922116">
            <w:pPr>
              <w:pStyle w:val="VSmCellHead"/>
              <w:jc w:val="center"/>
              <w:rPr>
                <w:b w:val="0"/>
                <w:bCs/>
                <w:sz w:val="16"/>
                <w:szCs w:val="16"/>
              </w:rPr>
            </w:pPr>
            <w:r w:rsidRPr="00985281">
              <w:rPr>
                <w:rFonts w:hint="eastAsia"/>
                <w:b w:val="0"/>
                <w:bCs/>
                <w:sz w:val="16"/>
                <w:szCs w:val="16"/>
                <w:rtl/>
              </w:rPr>
              <w:t>اسم</w:t>
            </w:r>
            <w:r w:rsidRPr="00985281">
              <w:rPr>
                <w:b w:val="0"/>
                <w:bCs/>
                <w:sz w:val="16"/>
                <w:szCs w:val="16"/>
                <w:rtl/>
              </w:rPr>
              <w:t xml:space="preserve"> </w:t>
            </w:r>
            <w:r w:rsidRPr="00985281">
              <w:rPr>
                <w:rFonts w:hint="eastAsia"/>
                <w:b w:val="0"/>
                <w:bCs/>
                <w:sz w:val="16"/>
                <w:szCs w:val="16"/>
                <w:rtl/>
              </w:rPr>
              <w:t>السفينة</w:t>
            </w:r>
          </w:p>
        </w:tc>
        <w:tc>
          <w:tcPr>
            <w:tcW w:w="236" w:type="dxa"/>
            <w:vAlign w:val="bottom"/>
          </w:tcPr>
          <w:p w14:paraId="38D0BD9D" w14:textId="77777777" w:rsidR="00F05EA0" w:rsidRPr="00985281" w:rsidRDefault="00F05EA0" w:rsidP="00922116">
            <w:pPr>
              <w:pStyle w:val="CellRowSpacer"/>
              <w:spacing w:after="120"/>
              <w:jc w:val="center"/>
              <w:rPr>
                <w:bCs/>
                <w:sz w:val="16"/>
                <w:szCs w:val="16"/>
              </w:rPr>
            </w:pPr>
          </w:p>
        </w:tc>
        <w:tc>
          <w:tcPr>
            <w:tcW w:w="907" w:type="dxa"/>
            <w:tcBorders>
              <w:bottom w:val="single" w:sz="4" w:space="0" w:color="auto"/>
            </w:tcBorders>
            <w:vAlign w:val="bottom"/>
          </w:tcPr>
          <w:p w14:paraId="3B06FF29" w14:textId="77777777" w:rsidR="00F05EA0" w:rsidRPr="00985281" w:rsidRDefault="00F05EA0" w:rsidP="00922116">
            <w:pPr>
              <w:pStyle w:val="VSmCellHead"/>
              <w:jc w:val="center"/>
              <w:rPr>
                <w:b w:val="0"/>
                <w:bCs/>
                <w:sz w:val="16"/>
                <w:szCs w:val="16"/>
              </w:rPr>
            </w:pPr>
            <w:r w:rsidRPr="00985281">
              <w:rPr>
                <w:rFonts w:hint="eastAsia"/>
                <w:b w:val="0"/>
                <w:bCs/>
                <w:sz w:val="16"/>
                <w:szCs w:val="16"/>
                <w:rtl/>
              </w:rPr>
              <w:t>السعة</w:t>
            </w:r>
            <w:r w:rsidRPr="00985281">
              <w:rPr>
                <w:b w:val="0"/>
                <w:bCs/>
                <w:sz w:val="16"/>
                <w:szCs w:val="16"/>
                <w:rtl/>
              </w:rPr>
              <w:t xml:space="preserve"> (الطن </w:t>
            </w:r>
            <w:r w:rsidRPr="00985281">
              <w:rPr>
                <w:rFonts w:hint="eastAsia"/>
                <w:b w:val="0"/>
                <w:bCs/>
                <w:sz w:val="16"/>
                <w:szCs w:val="16"/>
                <w:rtl/>
              </w:rPr>
              <w:t>الساكن</w:t>
            </w:r>
            <w:r w:rsidRPr="00985281">
              <w:rPr>
                <w:b w:val="0"/>
                <w:bCs/>
                <w:sz w:val="16"/>
                <w:szCs w:val="16"/>
                <w:rtl/>
              </w:rPr>
              <w:t>)</w:t>
            </w:r>
          </w:p>
        </w:tc>
        <w:tc>
          <w:tcPr>
            <w:tcW w:w="236" w:type="dxa"/>
            <w:vAlign w:val="bottom"/>
          </w:tcPr>
          <w:p w14:paraId="16779A8B" w14:textId="77777777" w:rsidR="00F05EA0" w:rsidRPr="00985281" w:rsidRDefault="00F05EA0" w:rsidP="00922116">
            <w:pPr>
              <w:pStyle w:val="CellRowSpacer"/>
              <w:spacing w:after="120"/>
              <w:jc w:val="center"/>
              <w:rPr>
                <w:bCs/>
                <w:sz w:val="16"/>
                <w:szCs w:val="16"/>
              </w:rPr>
            </w:pPr>
          </w:p>
        </w:tc>
        <w:tc>
          <w:tcPr>
            <w:tcW w:w="907" w:type="dxa"/>
            <w:tcBorders>
              <w:bottom w:val="single" w:sz="4" w:space="0" w:color="auto"/>
            </w:tcBorders>
            <w:vAlign w:val="bottom"/>
          </w:tcPr>
          <w:p w14:paraId="05708763" w14:textId="77777777" w:rsidR="00F05EA0" w:rsidRPr="00985281" w:rsidRDefault="00F05EA0" w:rsidP="00922116">
            <w:pPr>
              <w:pStyle w:val="VSmCellHead"/>
              <w:jc w:val="center"/>
              <w:rPr>
                <w:b w:val="0"/>
                <w:bCs/>
                <w:sz w:val="16"/>
                <w:szCs w:val="16"/>
              </w:rPr>
            </w:pPr>
            <w:r w:rsidRPr="00985281">
              <w:rPr>
                <w:rFonts w:hint="eastAsia"/>
                <w:b w:val="0"/>
                <w:bCs/>
                <w:sz w:val="16"/>
                <w:szCs w:val="16"/>
                <w:rtl/>
              </w:rPr>
              <w:t>نوع</w:t>
            </w:r>
            <w:r w:rsidRPr="00985281">
              <w:rPr>
                <w:b w:val="0"/>
                <w:bCs/>
                <w:sz w:val="16"/>
                <w:szCs w:val="16"/>
                <w:rtl/>
              </w:rPr>
              <w:t xml:space="preserve"> </w:t>
            </w:r>
            <w:r w:rsidRPr="00985281">
              <w:rPr>
                <w:rFonts w:hint="eastAsia"/>
                <w:b w:val="0"/>
                <w:bCs/>
                <w:sz w:val="16"/>
                <w:szCs w:val="16"/>
                <w:rtl/>
              </w:rPr>
              <w:t>السفينة</w:t>
            </w:r>
          </w:p>
        </w:tc>
        <w:tc>
          <w:tcPr>
            <w:tcW w:w="236" w:type="dxa"/>
            <w:vAlign w:val="bottom"/>
          </w:tcPr>
          <w:p w14:paraId="49069FFB" w14:textId="77777777" w:rsidR="00F05EA0" w:rsidRPr="00985281" w:rsidRDefault="00F05EA0" w:rsidP="00922116">
            <w:pPr>
              <w:pStyle w:val="CellRowSpacer"/>
              <w:spacing w:after="120"/>
              <w:jc w:val="center"/>
              <w:rPr>
                <w:bCs/>
                <w:sz w:val="16"/>
                <w:szCs w:val="16"/>
              </w:rPr>
            </w:pPr>
          </w:p>
        </w:tc>
        <w:tc>
          <w:tcPr>
            <w:tcW w:w="907" w:type="dxa"/>
            <w:tcBorders>
              <w:bottom w:val="single" w:sz="4" w:space="0" w:color="auto"/>
            </w:tcBorders>
            <w:vAlign w:val="bottom"/>
          </w:tcPr>
          <w:p w14:paraId="1E3430CF" w14:textId="77777777" w:rsidR="00F05EA0" w:rsidRPr="00985281" w:rsidRDefault="00F05EA0" w:rsidP="00922116">
            <w:pPr>
              <w:pStyle w:val="VSmCellHead"/>
              <w:jc w:val="center"/>
              <w:rPr>
                <w:b w:val="0"/>
                <w:bCs/>
                <w:sz w:val="16"/>
                <w:szCs w:val="16"/>
              </w:rPr>
            </w:pPr>
            <w:r w:rsidRPr="00985281">
              <w:rPr>
                <w:rFonts w:hint="eastAsia"/>
                <w:b w:val="0"/>
                <w:bCs/>
                <w:sz w:val="16"/>
                <w:szCs w:val="16"/>
                <w:rtl/>
              </w:rPr>
              <w:t>الملكية</w:t>
            </w:r>
            <w:r w:rsidRPr="00985281">
              <w:rPr>
                <w:b w:val="0"/>
                <w:bCs/>
                <w:sz w:val="16"/>
                <w:szCs w:val="16"/>
                <w:rtl/>
              </w:rPr>
              <w:t xml:space="preserve"> %/ </w:t>
            </w:r>
            <w:r w:rsidRPr="00985281">
              <w:rPr>
                <w:rFonts w:hint="eastAsia"/>
                <w:b w:val="0"/>
                <w:bCs/>
                <w:sz w:val="16"/>
                <w:szCs w:val="16"/>
                <w:rtl/>
              </w:rPr>
              <w:t>مدة</w:t>
            </w:r>
            <w:r w:rsidRPr="00985281">
              <w:rPr>
                <w:b w:val="0"/>
                <w:bCs/>
                <w:sz w:val="16"/>
                <w:szCs w:val="16"/>
                <w:rtl/>
              </w:rPr>
              <w:t xml:space="preserve"> </w:t>
            </w:r>
            <w:r w:rsidRPr="00985281">
              <w:rPr>
                <w:rFonts w:hint="eastAsia"/>
                <w:b w:val="0"/>
                <w:bCs/>
                <w:sz w:val="16"/>
                <w:szCs w:val="16"/>
                <w:rtl/>
              </w:rPr>
              <w:t>الاستئجار</w:t>
            </w:r>
            <w:r w:rsidRPr="00985281">
              <w:rPr>
                <w:b w:val="0"/>
                <w:bCs/>
                <w:sz w:val="16"/>
                <w:szCs w:val="16"/>
                <w:rtl/>
              </w:rPr>
              <w:t xml:space="preserve"> (سنة </w:t>
            </w:r>
            <w:r w:rsidRPr="00985281">
              <w:rPr>
                <w:rFonts w:hint="eastAsia"/>
                <w:b w:val="0"/>
                <w:bCs/>
                <w:sz w:val="16"/>
                <w:szCs w:val="16"/>
                <w:rtl/>
              </w:rPr>
              <w:t>الانتهاء</w:t>
            </w:r>
            <w:r w:rsidRPr="00985281">
              <w:rPr>
                <w:b w:val="0"/>
                <w:bCs/>
                <w:sz w:val="16"/>
                <w:szCs w:val="16"/>
                <w:rtl/>
              </w:rPr>
              <w:t>)</w:t>
            </w:r>
          </w:p>
        </w:tc>
        <w:tc>
          <w:tcPr>
            <w:tcW w:w="236" w:type="dxa"/>
            <w:vAlign w:val="bottom"/>
          </w:tcPr>
          <w:p w14:paraId="534139C2" w14:textId="77777777" w:rsidR="00F05EA0" w:rsidRPr="00985281" w:rsidRDefault="00F05EA0" w:rsidP="00922116">
            <w:pPr>
              <w:pStyle w:val="CellRowSpacer"/>
              <w:spacing w:after="120"/>
              <w:rPr>
                <w:bCs/>
                <w:sz w:val="16"/>
                <w:szCs w:val="16"/>
                <w:vertAlign w:val="superscript"/>
              </w:rPr>
            </w:pPr>
            <w:r w:rsidRPr="00985281">
              <w:rPr>
                <w:bCs/>
                <w:sz w:val="16"/>
                <w:szCs w:val="16"/>
                <w:vertAlign w:val="superscript"/>
              </w:rPr>
              <w:t>(1)</w:t>
            </w:r>
          </w:p>
        </w:tc>
        <w:tc>
          <w:tcPr>
            <w:tcW w:w="745" w:type="dxa"/>
            <w:tcBorders>
              <w:bottom w:val="single" w:sz="4" w:space="0" w:color="auto"/>
            </w:tcBorders>
            <w:vAlign w:val="bottom"/>
          </w:tcPr>
          <w:p w14:paraId="0851A909" w14:textId="77777777" w:rsidR="00F05EA0" w:rsidRPr="00985281" w:rsidRDefault="00F05EA0" w:rsidP="00922116">
            <w:pPr>
              <w:pStyle w:val="VSmCellHead"/>
              <w:jc w:val="center"/>
              <w:rPr>
                <w:b w:val="0"/>
                <w:bCs/>
                <w:sz w:val="16"/>
                <w:szCs w:val="16"/>
              </w:rPr>
            </w:pPr>
            <w:r w:rsidRPr="00985281">
              <w:rPr>
                <w:rFonts w:hint="eastAsia"/>
                <w:b w:val="0"/>
                <w:bCs/>
                <w:sz w:val="16"/>
                <w:szCs w:val="16"/>
                <w:rtl/>
              </w:rPr>
              <w:t>سنة</w:t>
            </w:r>
            <w:r w:rsidRPr="00985281">
              <w:rPr>
                <w:b w:val="0"/>
                <w:bCs/>
                <w:sz w:val="16"/>
                <w:szCs w:val="16"/>
                <w:rtl/>
              </w:rPr>
              <w:t xml:space="preserve"> </w:t>
            </w:r>
            <w:r w:rsidRPr="00985281">
              <w:rPr>
                <w:rFonts w:hint="eastAsia"/>
                <w:b w:val="0"/>
                <w:bCs/>
                <w:sz w:val="16"/>
                <w:szCs w:val="16"/>
                <w:rtl/>
              </w:rPr>
              <w:t>الصنع</w:t>
            </w:r>
          </w:p>
        </w:tc>
        <w:tc>
          <w:tcPr>
            <w:tcW w:w="180" w:type="dxa"/>
            <w:vAlign w:val="bottom"/>
          </w:tcPr>
          <w:p w14:paraId="3FCE84C7" w14:textId="77777777" w:rsidR="00F05EA0" w:rsidRPr="00985281" w:rsidRDefault="00F05EA0" w:rsidP="00922116">
            <w:pPr>
              <w:pStyle w:val="CellRowSpacer"/>
              <w:spacing w:after="120"/>
              <w:jc w:val="center"/>
              <w:rPr>
                <w:bCs/>
                <w:sz w:val="16"/>
                <w:szCs w:val="16"/>
              </w:rPr>
            </w:pPr>
          </w:p>
        </w:tc>
        <w:tc>
          <w:tcPr>
            <w:tcW w:w="1125" w:type="dxa"/>
            <w:tcBorders>
              <w:bottom w:val="single" w:sz="4" w:space="0" w:color="auto"/>
            </w:tcBorders>
            <w:vAlign w:val="bottom"/>
          </w:tcPr>
          <w:p w14:paraId="70C89D35" w14:textId="77777777" w:rsidR="00F05EA0" w:rsidRPr="00985281" w:rsidRDefault="00F05EA0" w:rsidP="00922116">
            <w:pPr>
              <w:pStyle w:val="VSmCellHead"/>
              <w:jc w:val="center"/>
              <w:rPr>
                <w:b w:val="0"/>
                <w:bCs/>
                <w:sz w:val="16"/>
                <w:szCs w:val="16"/>
              </w:rPr>
            </w:pPr>
            <w:r w:rsidRPr="00985281">
              <w:rPr>
                <w:rFonts w:hint="eastAsia"/>
                <w:b w:val="0"/>
                <w:bCs/>
                <w:sz w:val="16"/>
                <w:szCs w:val="16"/>
                <w:rtl/>
              </w:rPr>
              <w:t>العلم</w:t>
            </w:r>
          </w:p>
        </w:tc>
        <w:tc>
          <w:tcPr>
            <w:tcW w:w="236" w:type="dxa"/>
            <w:vAlign w:val="bottom"/>
          </w:tcPr>
          <w:p w14:paraId="5B43EF11" w14:textId="77777777" w:rsidR="00F05EA0" w:rsidRPr="00B02BA3" w:rsidRDefault="00F05EA0" w:rsidP="00922116">
            <w:pPr>
              <w:pStyle w:val="CellRowSpacer"/>
              <w:spacing w:after="120"/>
              <w:rPr>
                <w:sz w:val="16"/>
                <w:szCs w:val="16"/>
              </w:rPr>
            </w:pPr>
          </w:p>
        </w:tc>
      </w:tr>
      <w:tr w:rsidR="00F05EA0" w:rsidRPr="00B02BA3" w14:paraId="474B9D29" w14:textId="77777777" w:rsidTr="00922116">
        <w:trPr>
          <w:tblHeader/>
        </w:trPr>
        <w:tc>
          <w:tcPr>
            <w:tcW w:w="3163" w:type="dxa"/>
            <w:tcBorders>
              <w:top w:val="single" w:sz="4" w:space="0" w:color="auto"/>
            </w:tcBorders>
            <w:vAlign w:val="bottom"/>
          </w:tcPr>
          <w:p w14:paraId="5A9B943A" w14:textId="77777777" w:rsidR="00F05EA0" w:rsidRPr="00B02BA3" w:rsidRDefault="00F05EA0" w:rsidP="00922116">
            <w:pPr>
              <w:pStyle w:val="VSmCellHead"/>
              <w:rPr>
                <w:sz w:val="16"/>
                <w:szCs w:val="16"/>
              </w:rPr>
            </w:pPr>
            <w:r>
              <w:rPr>
                <w:rFonts w:hint="cs"/>
                <w:sz w:val="16"/>
                <w:szCs w:val="16"/>
                <w:rtl/>
              </w:rPr>
              <w:t>مملوكة</w:t>
            </w:r>
          </w:p>
        </w:tc>
        <w:tc>
          <w:tcPr>
            <w:tcW w:w="236" w:type="dxa"/>
            <w:vAlign w:val="bottom"/>
          </w:tcPr>
          <w:p w14:paraId="1D9252F5" w14:textId="77777777" w:rsidR="00F05EA0" w:rsidRPr="00B02BA3" w:rsidRDefault="00F05EA0" w:rsidP="00922116">
            <w:pPr>
              <w:pStyle w:val="CellRowSpacer"/>
              <w:spacing w:after="120"/>
              <w:rPr>
                <w:sz w:val="16"/>
                <w:szCs w:val="16"/>
              </w:rPr>
            </w:pPr>
          </w:p>
        </w:tc>
        <w:tc>
          <w:tcPr>
            <w:tcW w:w="907" w:type="dxa"/>
            <w:tcBorders>
              <w:top w:val="single" w:sz="4" w:space="0" w:color="auto"/>
            </w:tcBorders>
            <w:vAlign w:val="bottom"/>
          </w:tcPr>
          <w:p w14:paraId="11854B56" w14:textId="77777777" w:rsidR="00F05EA0" w:rsidRPr="00B02BA3" w:rsidRDefault="00F05EA0" w:rsidP="00922116">
            <w:pPr>
              <w:pStyle w:val="VSmCellHead"/>
              <w:jc w:val="right"/>
              <w:rPr>
                <w:sz w:val="16"/>
                <w:szCs w:val="16"/>
              </w:rPr>
            </w:pPr>
          </w:p>
        </w:tc>
        <w:tc>
          <w:tcPr>
            <w:tcW w:w="236" w:type="dxa"/>
            <w:vAlign w:val="bottom"/>
          </w:tcPr>
          <w:p w14:paraId="41A7DCE9" w14:textId="77777777" w:rsidR="00F05EA0" w:rsidRPr="00B02BA3" w:rsidRDefault="00F05EA0" w:rsidP="00922116">
            <w:pPr>
              <w:pStyle w:val="CellRowSpacer"/>
              <w:spacing w:after="120"/>
              <w:rPr>
                <w:sz w:val="16"/>
                <w:szCs w:val="16"/>
              </w:rPr>
            </w:pPr>
          </w:p>
        </w:tc>
        <w:tc>
          <w:tcPr>
            <w:tcW w:w="907" w:type="dxa"/>
            <w:tcBorders>
              <w:top w:val="single" w:sz="4" w:space="0" w:color="auto"/>
            </w:tcBorders>
            <w:vAlign w:val="bottom"/>
          </w:tcPr>
          <w:p w14:paraId="5FD2B919" w14:textId="77777777" w:rsidR="00F05EA0" w:rsidRPr="00B02BA3" w:rsidRDefault="00F05EA0" w:rsidP="00922116">
            <w:pPr>
              <w:pStyle w:val="VSmCellHead"/>
              <w:jc w:val="right"/>
              <w:rPr>
                <w:sz w:val="16"/>
                <w:szCs w:val="16"/>
              </w:rPr>
            </w:pPr>
          </w:p>
        </w:tc>
        <w:tc>
          <w:tcPr>
            <w:tcW w:w="236" w:type="dxa"/>
            <w:vAlign w:val="bottom"/>
          </w:tcPr>
          <w:p w14:paraId="3213E7D9" w14:textId="77777777" w:rsidR="00F05EA0" w:rsidRPr="00B02BA3" w:rsidRDefault="00F05EA0" w:rsidP="00922116">
            <w:pPr>
              <w:pStyle w:val="CellRowSpacer"/>
              <w:spacing w:after="120"/>
              <w:rPr>
                <w:sz w:val="16"/>
                <w:szCs w:val="16"/>
              </w:rPr>
            </w:pPr>
          </w:p>
        </w:tc>
        <w:tc>
          <w:tcPr>
            <w:tcW w:w="907" w:type="dxa"/>
            <w:tcBorders>
              <w:top w:val="single" w:sz="4" w:space="0" w:color="auto"/>
            </w:tcBorders>
            <w:vAlign w:val="bottom"/>
          </w:tcPr>
          <w:p w14:paraId="40B23BA9" w14:textId="77777777" w:rsidR="00F05EA0" w:rsidRPr="00B02BA3" w:rsidRDefault="00F05EA0" w:rsidP="00922116">
            <w:pPr>
              <w:pStyle w:val="VSmCellHead"/>
              <w:jc w:val="right"/>
              <w:rPr>
                <w:sz w:val="16"/>
                <w:szCs w:val="16"/>
              </w:rPr>
            </w:pPr>
          </w:p>
        </w:tc>
        <w:tc>
          <w:tcPr>
            <w:tcW w:w="236" w:type="dxa"/>
            <w:vAlign w:val="bottom"/>
          </w:tcPr>
          <w:p w14:paraId="10A79558" w14:textId="77777777" w:rsidR="00F05EA0" w:rsidRPr="00B02BA3" w:rsidRDefault="00F05EA0" w:rsidP="00922116">
            <w:pPr>
              <w:pStyle w:val="CellRowSpacer"/>
              <w:spacing w:after="120"/>
              <w:rPr>
                <w:sz w:val="16"/>
                <w:szCs w:val="16"/>
              </w:rPr>
            </w:pPr>
          </w:p>
        </w:tc>
        <w:tc>
          <w:tcPr>
            <w:tcW w:w="745" w:type="dxa"/>
            <w:tcBorders>
              <w:top w:val="single" w:sz="4" w:space="0" w:color="auto"/>
            </w:tcBorders>
            <w:vAlign w:val="bottom"/>
          </w:tcPr>
          <w:p w14:paraId="0819075F" w14:textId="77777777" w:rsidR="00F05EA0" w:rsidRPr="00B02BA3" w:rsidRDefault="00F05EA0" w:rsidP="00922116">
            <w:pPr>
              <w:pStyle w:val="VSmCellHead"/>
              <w:jc w:val="right"/>
              <w:rPr>
                <w:sz w:val="16"/>
                <w:szCs w:val="16"/>
              </w:rPr>
            </w:pPr>
          </w:p>
        </w:tc>
        <w:tc>
          <w:tcPr>
            <w:tcW w:w="180" w:type="dxa"/>
            <w:vAlign w:val="bottom"/>
          </w:tcPr>
          <w:p w14:paraId="433C760B" w14:textId="77777777" w:rsidR="00F05EA0" w:rsidRPr="00B02BA3" w:rsidRDefault="00F05EA0" w:rsidP="00922116">
            <w:pPr>
              <w:pStyle w:val="CellRowSpacer"/>
              <w:spacing w:after="120"/>
              <w:rPr>
                <w:sz w:val="16"/>
                <w:szCs w:val="16"/>
              </w:rPr>
            </w:pPr>
          </w:p>
        </w:tc>
        <w:tc>
          <w:tcPr>
            <w:tcW w:w="1125" w:type="dxa"/>
            <w:tcBorders>
              <w:top w:val="single" w:sz="4" w:space="0" w:color="auto"/>
            </w:tcBorders>
            <w:vAlign w:val="bottom"/>
          </w:tcPr>
          <w:p w14:paraId="0189561F" w14:textId="77777777" w:rsidR="00F05EA0" w:rsidRPr="00B02BA3" w:rsidRDefault="00F05EA0" w:rsidP="00922116">
            <w:pPr>
              <w:pStyle w:val="VSmCellHead"/>
              <w:jc w:val="right"/>
              <w:rPr>
                <w:sz w:val="16"/>
                <w:szCs w:val="16"/>
              </w:rPr>
            </w:pPr>
          </w:p>
        </w:tc>
        <w:tc>
          <w:tcPr>
            <w:tcW w:w="236" w:type="dxa"/>
            <w:vAlign w:val="bottom"/>
          </w:tcPr>
          <w:p w14:paraId="0CB999BD" w14:textId="77777777" w:rsidR="00F05EA0" w:rsidRPr="00B02BA3" w:rsidRDefault="00F05EA0" w:rsidP="00922116">
            <w:pPr>
              <w:pStyle w:val="CellRowSpacer"/>
              <w:spacing w:after="120"/>
              <w:rPr>
                <w:sz w:val="16"/>
                <w:szCs w:val="16"/>
              </w:rPr>
            </w:pPr>
          </w:p>
        </w:tc>
      </w:tr>
      <w:tr w:rsidR="00F05EA0" w:rsidRPr="00B02BA3" w14:paraId="66887C44" w14:textId="77777777" w:rsidTr="00922116">
        <w:tc>
          <w:tcPr>
            <w:tcW w:w="3163" w:type="dxa"/>
            <w:vAlign w:val="bottom"/>
          </w:tcPr>
          <w:p w14:paraId="3AD90766" w14:textId="77777777" w:rsidR="00F05EA0" w:rsidRPr="00B02BA3" w:rsidRDefault="00AC5C0C" w:rsidP="00922116">
            <w:pPr>
              <w:pStyle w:val="VSmCellBody"/>
              <w:tabs>
                <w:tab w:val="right" w:leader="dot" w:pos="3163"/>
              </w:tabs>
              <w:rPr>
                <w:rFonts w:eastAsia="SimSun"/>
                <w:sz w:val="16"/>
                <w:szCs w:val="16"/>
              </w:rPr>
            </w:pPr>
            <w:r>
              <w:rPr>
                <w:rFonts w:eastAsia="SimSun" w:hint="cs"/>
                <w:sz w:val="16"/>
                <w:szCs w:val="16"/>
                <w:rtl/>
              </w:rPr>
              <w:t>سيق</w:t>
            </w:r>
            <w:r w:rsidR="00F05EA0" w:rsidRPr="00B02BA3">
              <w:rPr>
                <w:rFonts w:eastAsia="SimSun"/>
                <w:sz w:val="16"/>
                <w:szCs w:val="16"/>
              </w:rPr>
              <w:tab/>
            </w:r>
          </w:p>
        </w:tc>
        <w:tc>
          <w:tcPr>
            <w:tcW w:w="236" w:type="dxa"/>
            <w:vAlign w:val="bottom"/>
          </w:tcPr>
          <w:p w14:paraId="32FD9997" w14:textId="77777777" w:rsidR="00F05EA0" w:rsidRPr="00B02BA3" w:rsidRDefault="00F05EA0" w:rsidP="00922116">
            <w:pPr>
              <w:pStyle w:val="CellRowSpacer"/>
              <w:rPr>
                <w:sz w:val="16"/>
                <w:szCs w:val="16"/>
              </w:rPr>
            </w:pPr>
          </w:p>
        </w:tc>
        <w:tc>
          <w:tcPr>
            <w:tcW w:w="907" w:type="dxa"/>
            <w:vAlign w:val="bottom"/>
          </w:tcPr>
          <w:p w14:paraId="45F9FEE9" w14:textId="77777777" w:rsidR="00F05EA0" w:rsidRPr="00B02BA3" w:rsidRDefault="00F05EA0" w:rsidP="00922116">
            <w:pPr>
              <w:pStyle w:val="VSmCellBody"/>
              <w:jc w:val="right"/>
              <w:rPr>
                <w:sz w:val="16"/>
                <w:szCs w:val="16"/>
              </w:rPr>
            </w:pPr>
            <w:r w:rsidRPr="00B02BA3">
              <w:rPr>
                <w:sz w:val="16"/>
                <w:szCs w:val="16"/>
              </w:rPr>
              <w:t>299,999</w:t>
            </w:r>
          </w:p>
        </w:tc>
        <w:tc>
          <w:tcPr>
            <w:tcW w:w="236" w:type="dxa"/>
            <w:vAlign w:val="bottom"/>
          </w:tcPr>
          <w:p w14:paraId="22B50E4F" w14:textId="77777777" w:rsidR="00F05EA0" w:rsidRPr="00B02BA3" w:rsidRDefault="00F05EA0" w:rsidP="00922116">
            <w:pPr>
              <w:pStyle w:val="CellRowSpacer"/>
              <w:rPr>
                <w:sz w:val="16"/>
                <w:szCs w:val="16"/>
              </w:rPr>
            </w:pPr>
          </w:p>
        </w:tc>
        <w:tc>
          <w:tcPr>
            <w:tcW w:w="907" w:type="dxa"/>
            <w:vAlign w:val="bottom"/>
          </w:tcPr>
          <w:p w14:paraId="16F2A220"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75426CA7" w14:textId="77777777" w:rsidR="00F05EA0" w:rsidRPr="00B02BA3" w:rsidRDefault="00F05EA0" w:rsidP="00922116">
            <w:pPr>
              <w:pStyle w:val="CellRowSpacer"/>
              <w:rPr>
                <w:sz w:val="16"/>
                <w:szCs w:val="16"/>
              </w:rPr>
            </w:pPr>
          </w:p>
        </w:tc>
        <w:tc>
          <w:tcPr>
            <w:tcW w:w="907" w:type="dxa"/>
            <w:vAlign w:val="bottom"/>
          </w:tcPr>
          <w:p w14:paraId="104F4A5E"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4CE4A9D3" w14:textId="77777777" w:rsidR="00F05EA0" w:rsidRPr="00B02BA3" w:rsidRDefault="00F05EA0" w:rsidP="00922116">
            <w:pPr>
              <w:pStyle w:val="CellRowSpacer"/>
              <w:rPr>
                <w:sz w:val="16"/>
                <w:szCs w:val="16"/>
              </w:rPr>
            </w:pPr>
          </w:p>
        </w:tc>
        <w:tc>
          <w:tcPr>
            <w:tcW w:w="745" w:type="dxa"/>
            <w:vAlign w:val="bottom"/>
          </w:tcPr>
          <w:p w14:paraId="7B53EDE6" w14:textId="77777777" w:rsidR="00F05EA0" w:rsidRPr="00B02BA3" w:rsidRDefault="00F05EA0" w:rsidP="00922116">
            <w:pPr>
              <w:pStyle w:val="VSmCellBody"/>
              <w:jc w:val="right"/>
              <w:rPr>
                <w:sz w:val="16"/>
                <w:szCs w:val="16"/>
              </w:rPr>
            </w:pPr>
            <w:r w:rsidRPr="00B02BA3">
              <w:rPr>
                <w:sz w:val="16"/>
                <w:szCs w:val="16"/>
              </w:rPr>
              <w:t>2011</w:t>
            </w:r>
          </w:p>
        </w:tc>
        <w:tc>
          <w:tcPr>
            <w:tcW w:w="180" w:type="dxa"/>
            <w:vAlign w:val="bottom"/>
          </w:tcPr>
          <w:p w14:paraId="5DDA801F" w14:textId="77777777" w:rsidR="00F05EA0" w:rsidRPr="00B02BA3" w:rsidRDefault="00F05EA0" w:rsidP="00922116">
            <w:pPr>
              <w:pStyle w:val="CellRowSpacer"/>
              <w:rPr>
                <w:sz w:val="16"/>
                <w:szCs w:val="16"/>
              </w:rPr>
            </w:pPr>
          </w:p>
        </w:tc>
        <w:tc>
          <w:tcPr>
            <w:tcW w:w="1125" w:type="dxa"/>
            <w:vAlign w:val="bottom"/>
          </w:tcPr>
          <w:p w14:paraId="227210F0" w14:textId="77777777" w:rsidR="00F05EA0" w:rsidRPr="00B02BA3" w:rsidRDefault="00F05EA0" w:rsidP="00922116">
            <w:pPr>
              <w:pStyle w:val="VSmCellBody"/>
              <w:jc w:val="right"/>
              <w:rPr>
                <w:sz w:val="16"/>
                <w:szCs w:val="16"/>
              </w:rPr>
            </w:pPr>
            <w:r w:rsidRPr="00B02BA3">
              <w:rPr>
                <w:sz w:val="16"/>
                <w:szCs w:val="16"/>
              </w:rPr>
              <w:t>Marshall Islands</w:t>
            </w:r>
          </w:p>
        </w:tc>
        <w:tc>
          <w:tcPr>
            <w:tcW w:w="236" w:type="dxa"/>
            <w:vAlign w:val="bottom"/>
          </w:tcPr>
          <w:p w14:paraId="0D007B57" w14:textId="77777777" w:rsidR="00F05EA0" w:rsidRPr="00B02BA3" w:rsidRDefault="00F05EA0" w:rsidP="00922116">
            <w:pPr>
              <w:pStyle w:val="CellRowSpacer"/>
              <w:rPr>
                <w:sz w:val="16"/>
                <w:szCs w:val="16"/>
              </w:rPr>
            </w:pPr>
          </w:p>
        </w:tc>
      </w:tr>
      <w:tr w:rsidR="00F05EA0" w:rsidRPr="00B02BA3" w14:paraId="1A513005" w14:textId="77777777" w:rsidTr="00922116">
        <w:tc>
          <w:tcPr>
            <w:tcW w:w="3163" w:type="dxa"/>
            <w:vAlign w:val="bottom"/>
          </w:tcPr>
          <w:p w14:paraId="1D14175E" w14:textId="77777777" w:rsidR="00F05EA0" w:rsidRPr="00B02BA3" w:rsidRDefault="00AC5C0C" w:rsidP="00922116">
            <w:pPr>
              <w:pStyle w:val="VSmCellBody"/>
              <w:tabs>
                <w:tab w:val="right" w:leader="dot" w:pos="3163"/>
              </w:tabs>
              <w:rPr>
                <w:rFonts w:eastAsia="SimSun"/>
                <w:sz w:val="16"/>
                <w:szCs w:val="16"/>
              </w:rPr>
            </w:pPr>
            <w:r>
              <w:rPr>
                <w:rFonts w:eastAsia="SimSun" w:hint="cs"/>
                <w:sz w:val="16"/>
                <w:szCs w:val="16"/>
                <w:rtl/>
              </w:rPr>
              <w:t>سمائل</w:t>
            </w:r>
            <w:r w:rsidR="00F05EA0" w:rsidRPr="00B02BA3">
              <w:rPr>
                <w:rFonts w:eastAsia="SimSun"/>
                <w:sz w:val="16"/>
                <w:szCs w:val="16"/>
              </w:rPr>
              <w:tab/>
            </w:r>
          </w:p>
        </w:tc>
        <w:tc>
          <w:tcPr>
            <w:tcW w:w="236" w:type="dxa"/>
            <w:vAlign w:val="bottom"/>
          </w:tcPr>
          <w:p w14:paraId="26D142BF" w14:textId="77777777" w:rsidR="00F05EA0" w:rsidRPr="00B02BA3" w:rsidRDefault="00F05EA0" w:rsidP="00922116">
            <w:pPr>
              <w:pStyle w:val="CellRowSpacer"/>
              <w:rPr>
                <w:sz w:val="16"/>
                <w:szCs w:val="16"/>
              </w:rPr>
            </w:pPr>
          </w:p>
        </w:tc>
        <w:tc>
          <w:tcPr>
            <w:tcW w:w="907" w:type="dxa"/>
            <w:vAlign w:val="bottom"/>
          </w:tcPr>
          <w:p w14:paraId="44FA6BCF" w14:textId="77777777" w:rsidR="00F05EA0" w:rsidRPr="00B02BA3" w:rsidRDefault="00F05EA0" w:rsidP="00922116">
            <w:pPr>
              <w:pStyle w:val="VSmCellBody"/>
              <w:jc w:val="right"/>
              <w:rPr>
                <w:sz w:val="16"/>
                <w:szCs w:val="16"/>
              </w:rPr>
            </w:pPr>
            <w:r w:rsidRPr="00B02BA3">
              <w:rPr>
                <w:sz w:val="16"/>
                <w:szCs w:val="16"/>
              </w:rPr>
              <w:t>302,845</w:t>
            </w:r>
          </w:p>
        </w:tc>
        <w:tc>
          <w:tcPr>
            <w:tcW w:w="236" w:type="dxa"/>
            <w:vAlign w:val="bottom"/>
          </w:tcPr>
          <w:p w14:paraId="5606B68B" w14:textId="77777777" w:rsidR="00F05EA0" w:rsidRPr="00B02BA3" w:rsidRDefault="00F05EA0" w:rsidP="00922116">
            <w:pPr>
              <w:pStyle w:val="CellRowSpacer"/>
              <w:rPr>
                <w:sz w:val="16"/>
                <w:szCs w:val="16"/>
              </w:rPr>
            </w:pPr>
          </w:p>
        </w:tc>
        <w:tc>
          <w:tcPr>
            <w:tcW w:w="907" w:type="dxa"/>
            <w:vAlign w:val="bottom"/>
          </w:tcPr>
          <w:p w14:paraId="5A95E43C"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4361C7A9" w14:textId="77777777" w:rsidR="00F05EA0" w:rsidRPr="00B02BA3" w:rsidRDefault="00F05EA0" w:rsidP="00922116">
            <w:pPr>
              <w:pStyle w:val="CellRowSpacer"/>
              <w:rPr>
                <w:sz w:val="16"/>
                <w:szCs w:val="16"/>
              </w:rPr>
            </w:pPr>
          </w:p>
        </w:tc>
        <w:tc>
          <w:tcPr>
            <w:tcW w:w="907" w:type="dxa"/>
            <w:vAlign w:val="bottom"/>
          </w:tcPr>
          <w:p w14:paraId="19356D86"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31B759F7" w14:textId="77777777" w:rsidR="00F05EA0" w:rsidRPr="00B02BA3" w:rsidRDefault="00F05EA0" w:rsidP="00922116">
            <w:pPr>
              <w:pStyle w:val="CellRowSpacer"/>
              <w:rPr>
                <w:sz w:val="16"/>
                <w:szCs w:val="16"/>
              </w:rPr>
            </w:pPr>
          </w:p>
        </w:tc>
        <w:tc>
          <w:tcPr>
            <w:tcW w:w="745" w:type="dxa"/>
            <w:vAlign w:val="bottom"/>
          </w:tcPr>
          <w:p w14:paraId="6203199E" w14:textId="77777777" w:rsidR="00F05EA0" w:rsidRPr="00B02BA3" w:rsidRDefault="00F05EA0" w:rsidP="00922116">
            <w:pPr>
              <w:pStyle w:val="VSmCellBody"/>
              <w:jc w:val="right"/>
              <w:rPr>
                <w:sz w:val="16"/>
                <w:szCs w:val="16"/>
              </w:rPr>
            </w:pPr>
            <w:r w:rsidRPr="00B02BA3">
              <w:rPr>
                <w:sz w:val="16"/>
                <w:szCs w:val="16"/>
              </w:rPr>
              <w:t>2011</w:t>
            </w:r>
          </w:p>
        </w:tc>
        <w:tc>
          <w:tcPr>
            <w:tcW w:w="180" w:type="dxa"/>
            <w:vAlign w:val="bottom"/>
          </w:tcPr>
          <w:p w14:paraId="2BFAA7C7" w14:textId="77777777" w:rsidR="00F05EA0" w:rsidRPr="00B02BA3" w:rsidRDefault="00F05EA0" w:rsidP="00922116">
            <w:pPr>
              <w:pStyle w:val="CellRowSpacer"/>
              <w:rPr>
                <w:sz w:val="16"/>
                <w:szCs w:val="16"/>
              </w:rPr>
            </w:pPr>
          </w:p>
        </w:tc>
        <w:tc>
          <w:tcPr>
            <w:tcW w:w="1125" w:type="dxa"/>
            <w:vAlign w:val="bottom"/>
          </w:tcPr>
          <w:p w14:paraId="4A034DEA" w14:textId="77777777" w:rsidR="00F05EA0" w:rsidRPr="00B02BA3" w:rsidRDefault="00F05EA0" w:rsidP="00922116">
            <w:pPr>
              <w:pStyle w:val="VSmCellBody"/>
              <w:jc w:val="right"/>
              <w:rPr>
                <w:sz w:val="16"/>
                <w:szCs w:val="16"/>
              </w:rPr>
            </w:pPr>
            <w:r w:rsidRPr="00B02BA3">
              <w:rPr>
                <w:sz w:val="16"/>
                <w:szCs w:val="16"/>
              </w:rPr>
              <w:t>Panama</w:t>
            </w:r>
          </w:p>
        </w:tc>
        <w:tc>
          <w:tcPr>
            <w:tcW w:w="236" w:type="dxa"/>
            <w:vAlign w:val="bottom"/>
          </w:tcPr>
          <w:p w14:paraId="7BD0F4ED" w14:textId="77777777" w:rsidR="00F05EA0" w:rsidRPr="00B02BA3" w:rsidRDefault="00F05EA0" w:rsidP="00922116">
            <w:pPr>
              <w:pStyle w:val="CellRowSpacer"/>
              <w:rPr>
                <w:sz w:val="16"/>
                <w:szCs w:val="16"/>
              </w:rPr>
            </w:pPr>
          </w:p>
        </w:tc>
      </w:tr>
      <w:tr w:rsidR="00F05EA0" w:rsidRPr="00B02BA3" w14:paraId="7DB823C7" w14:textId="77777777" w:rsidTr="00922116">
        <w:tc>
          <w:tcPr>
            <w:tcW w:w="3163" w:type="dxa"/>
            <w:vAlign w:val="bottom"/>
          </w:tcPr>
          <w:p w14:paraId="37ABF67A" w14:textId="77777777" w:rsidR="00F05EA0" w:rsidRPr="00B02BA3" w:rsidRDefault="00AC5C0C" w:rsidP="00922116">
            <w:pPr>
              <w:pStyle w:val="VSmCellBody"/>
              <w:tabs>
                <w:tab w:val="right" w:leader="dot" w:pos="3163"/>
              </w:tabs>
              <w:rPr>
                <w:rFonts w:eastAsia="SimSun"/>
                <w:sz w:val="16"/>
                <w:szCs w:val="16"/>
              </w:rPr>
            </w:pPr>
            <w:r>
              <w:rPr>
                <w:rFonts w:eastAsia="SimSun" w:hint="cs"/>
                <w:sz w:val="16"/>
                <w:szCs w:val="16"/>
                <w:rtl/>
              </w:rPr>
              <w:t>السيب</w:t>
            </w:r>
            <w:r w:rsidR="00F05EA0" w:rsidRPr="00B02BA3">
              <w:rPr>
                <w:rFonts w:eastAsia="SimSun"/>
                <w:sz w:val="16"/>
                <w:szCs w:val="16"/>
              </w:rPr>
              <w:tab/>
            </w:r>
          </w:p>
        </w:tc>
        <w:tc>
          <w:tcPr>
            <w:tcW w:w="236" w:type="dxa"/>
            <w:vAlign w:val="bottom"/>
          </w:tcPr>
          <w:p w14:paraId="5B1B64CF" w14:textId="77777777" w:rsidR="00F05EA0" w:rsidRPr="00B02BA3" w:rsidRDefault="00F05EA0" w:rsidP="00922116">
            <w:pPr>
              <w:pStyle w:val="CellRowSpacer"/>
              <w:rPr>
                <w:sz w:val="16"/>
                <w:szCs w:val="16"/>
              </w:rPr>
            </w:pPr>
          </w:p>
        </w:tc>
        <w:tc>
          <w:tcPr>
            <w:tcW w:w="907" w:type="dxa"/>
            <w:vAlign w:val="bottom"/>
          </w:tcPr>
          <w:p w14:paraId="44F745C5" w14:textId="77777777" w:rsidR="00F05EA0" w:rsidRPr="00B02BA3" w:rsidRDefault="00F05EA0" w:rsidP="00922116">
            <w:pPr>
              <w:pStyle w:val="VSmCellBody"/>
              <w:jc w:val="right"/>
              <w:rPr>
                <w:sz w:val="16"/>
                <w:szCs w:val="16"/>
              </w:rPr>
            </w:pPr>
            <w:r w:rsidRPr="00B02BA3">
              <w:rPr>
                <w:sz w:val="16"/>
                <w:szCs w:val="16"/>
              </w:rPr>
              <w:t>319,439</w:t>
            </w:r>
          </w:p>
        </w:tc>
        <w:tc>
          <w:tcPr>
            <w:tcW w:w="236" w:type="dxa"/>
            <w:vAlign w:val="bottom"/>
          </w:tcPr>
          <w:p w14:paraId="5D3C77F9" w14:textId="77777777" w:rsidR="00F05EA0" w:rsidRPr="00B02BA3" w:rsidRDefault="00F05EA0" w:rsidP="00922116">
            <w:pPr>
              <w:pStyle w:val="CellRowSpacer"/>
              <w:rPr>
                <w:sz w:val="16"/>
                <w:szCs w:val="16"/>
              </w:rPr>
            </w:pPr>
          </w:p>
        </w:tc>
        <w:tc>
          <w:tcPr>
            <w:tcW w:w="907" w:type="dxa"/>
            <w:vAlign w:val="bottom"/>
          </w:tcPr>
          <w:p w14:paraId="73D36A63"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10A55D7E" w14:textId="77777777" w:rsidR="00F05EA0" w:rsidRPr="00B02BA3" w:rsidRDefault="00F05EA0" w:rsidP="00922116">
            <w:pPr>
              <w:pStyle w:val="CellRowSpacer"/>
              <w:rPr>
                <w:sz w:val="16"/>
                <w:szCs w:val="16"/>
              </w:rPr>
            </w:pPr>
          </w:p>
        </w:tc>
        <w:tc>
          <w:tcPr>
            <w:tcW w:w="907" w:type="dxa"/>
            <w:vAlign w:val="bottom"/>
          </w:tcPr>
          <w:p w14:paraId="33005243"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2E60A39E" w14:textId="77777777" w:rsidR="00F05EA0" w:rsidRPr="00B02BA3" w:rsidRDefault="00F05EA0" w:rsidP="00922116">
            <w:pPr>
              <w:pStyle w:val="CellRowSpacer"/>
              <w:rPr>
                <w:sz w:val="16"/>
                <w:szCs w:val="16"/>
              </w:rPr>
            </w:pPr>
          </w:p>
        </w:tc>
        <w:tc>
          <w:tcPr>
            <w:tcW w:w="745" w:type="dxa"/>
            <w:vAlign w:val="bottom"/>
          </w:tcPr>
          <w:p w14:paraId="4C719E9E" w14:textId="77777777" w:rsidR="00F05EA0" w:rsidRPr="00B02BA3" w:rsidRDefault="00F05EA0" w:rsidP="00922116">
            <w:pPr>
              <w:pStyle w:val="VSmCellBody"/>
              <w:jc w:val="right"/>
              <w:rPr>
                <w:sz w:val="16"/>
                <w:szCs w:val="16"/>
              </w:rPr>
            </w:pPr>
            <w:r w:rsidRPr="00B02BA3">
              <w:rPr>
                <w:sz w:val="16"/>
                <w:szCs w:val="16"/>
              </w:rPr>
              <w:t>2011</w:t>
            </w:r>
          </w:p>
        </w:tc>
        <w:tc>
          <w:tcPr>
            <w:tcW w:w="180" w:type="dxa"/>
            <w:vAlign w:val="bottom"/>
          </w:tcPr>
          <w:p w14:paraId="3DDEF268" w14:textId="77777777" w:rsidR="00F05EA0" w:rsidRPr="00B02BA3" w:rsidRDefault="00F05EA0" w:rsidP="00922116">
            <w:pPr>
              <w:pStyle w:val="CellRowSpacer"/>
              <w:rPr>
                <w:sz w:val="16"/>
                <w:szCs w:val="16"/>
              </w:rPr>
            </w:pPr>
          </w:p>
        </w:tc>
        <w:tc>
          <w:tcPr>
            <w:tcW w:w="1125" w:type="dxa"/>
            <w:vAlign w:val="bottom"/>
          </w:tcPr>
          <w:p w14:paraId="2D0665E9" w14:textId="77777777" w:rsidR="00F05EA0" w:rsidRPr="00B02BA3" w:rsidRDefault="00F05EA0" w:rsidP="00922116">
            <w:pPr>
              <w:pStyle w:val="VSmCellBody"/>
              <w:jc w:val="right"/>
              <w:rPr>
                <w:sz w:val="16"/>
                <w:szCs w:val="16"/>
              </w:rPr>
            </w:pPr>
            <w:r w:rsidRPr="00B02BA3">
              <w:rPr>
                <w:sz w:val="16"/>
                <w:szCs w:val="16"/>
              </w:rPr>
              <w:t>Malta</w:t>
            </w:r>
          </w:p>
        </w:tc>
        <w:tc>
          <w:tcPr>
            <w:tcW w:w="236" w:type="dxa"/>
            <w:vAlign w:val="bottom"/>
          </w:tcPr>
          <w:p w14:paraId="69806539" w14:textId="77777777" w:rsidR="00F05EA0" w:rsidRPr="00B02BA3" w:rsidRDefault="00F05EA0" w:rsidP="00922116">
            <w:pPr>
              <w:pStyle w:val="CellRowSpacer"/>
              <w:rPr>
                <w:sz w:val="16"/>
                <w:szCs w:val="16"/>
              </w:rPr>
            </w:pPr>
          </w:p>
        </w:tc>
      </w:tr>
      <w:tr w:rsidR="00F05EA0" w:rsidRPr="00B02BA3" w14:paraId="4951A47C" w14:textId="77777777" w:rsidTr="00922116">
        <w:tc>
          <w:tcPr>
            <w:tcW w:w="3163" w:type="dxa"/>
            <w:vAlign w:val="bottom"/>
          </w:tcPr>
          <w:p w14:paraId="1C4194F6" w14:textId="77777777" w:rsidR="00F05EA0" w:rsidRPr="00B02BA3" w:rsidRDefault="00F05EA0" w:rsidP="00922116">
            <w:pPr>
              <w:pStyle w:val="VSmCellBody"/>
              <w:tabs>
                <w:tab w:val="right" w:leader="dot" w:pos="3163"/>
              </w:tabs>
              <w:rPr>
                <w:rFonts w:eastAsia="SimSun"/>
                <w:sz w:val="16"/>
                <w:szCs w:val="16"/>
              </w:rPr>
            </w:pPr>
            <w:r w:rsidRPr="00B02BA3">
              <w:rPr>
                <w:rFonts w:eastAsia="SimSun"/>
                <w:sz w:val="16"/>
                <w:szCs w:val="16"/>
              </w:rPr>
              <w:t>Daba</w:t>
            </w:r>
            <w:r w:rsidRPr="00B02BA3">
              <w:rPr>
                <w:rFonts w:eastAsia="SimSun"/>
                <w:sz w:val="16"/>
                <w:szCs w:val="16"/>
              </w:rPr>
              <w:tab/>
            </w:r>
          </w:p>
        </w:tc>
        <w:tc>
          <w:tcPr>
            <w:tcW w:w="236" w:type="dxa"/>
            <w:vAlign w:val="bottom"/>
          </w:tcPr>
          <w:p w14:paraId="1AFC6B06" w14:textId="77777777" w:rsidR="00F05EA0" w:rsidRPr="00B02BA3" w:rsidRDefault="00F05EA0" w:rsidP="00922116">
            <w:pPr>
              <w:pStyle w:val="CellRowSpacer"/>
              <w:rPr>
                <w:sz w:val="16"/>
                <w:szCs w:val="16"/>
              </w:rPr>
            </w:pPr>
          </w:p>
        </w:tc>
        <w:tc>
          <w:tcPr>
            <w:tcW w:w="907" w:type="dxa"/>
            <w:vAlign w:val="bottom"/>
          </w:tcPr>
          <w:p w14:paraId="60A28DDC" w14:textId="77777777" w:rsidR="00F05EA0" w:rsidRPr="00B02BA3" w:rsidRDefault="00F05EA0" w:rsidP="00922116">
            <w:pPr>
              <w:pStyle w:val="VSmCellBody"/>
              <w:jc w:val="right"/>
              <w:rPr>
                <w:sz w:val="16"/>
                <w:szCs w:val="16"/>
              </w:rPr>
            </w:pPr>
            <w:r w:rsidRPr="00B02BA3">
              <w:rPr>
                <w:sz w:val="16"/>
                <w:szCs w:val="16"/>
              </w:rPr>
              <w:t>316,373</w:t>
            </w:r>
          </w:p>
        </w:tc>
        <w:tc>
          <w:tcPr>
            <w:tcW w:w="236" w:type="dxa"/>
            <w:vAlign w:val="bottom"/>
          </w:tcPr>
          <w:p w14:paraId="5729121A" w14:textId="77777777" w:rsidR="00F05EA0" w:rsidRPr="00B02BA3" w:rsidRDefault="00F05EA0" w:rsidP="00922116">
            <w:pPr>
              <w:pStyle w:val="CellRowSpacer"/>
              <w:rPr>
                <w:sz w:val="16"/>
                <w:szCs w:val="16"/>
              </w:rPr>
            </w:pPr>
          </w:p>
        </w:tc>
        <w:tc>
          <w:tcPr>
            <w:tcW w:w="907" w:type="dxa"/>
            <w:vAlign w:val="bottom"/>
          </w:tcPr>
          <w:p w14:paraId="5DA85FD6"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1F718044" w14:textId="77777777" w:rsidR="00F05EA0" w:rsidRPr="00B02BA3" w:rsidRDefault="00F05EA0" w:rsidP="00922116">
            <w:pPr>
              <w:pStyle w:val="CellRowSpacer"/>
              <w:rPr>
                <w:sz w:val="16"/>
                <w:szCs w:val="16"/>
              </w:rPr>
            </w:pPr>
          </w:p>
        </w:tc>
        <w:tc>
          <w:tcPr>
            <w:tcW w:w="907" w:type="dxa"/>
            <w:vAlign w:val="bottom"/>
          </w:tcPr>
          <w:p w14:paraId="60527D47"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579CFF0F" w14:textId="77777777" w:rsidR="00F05EA0" w:rsidRPr="00B02BA3" w:rsidRDefault="00F05EA0" w:rsidP="00922116">
            <w:pPr>
              <w:pStyle w:val="CellRowSpacer"/>
              <w:rPr>
                <w:sz w:val="16"/>
                <w:szCs w:val="16"/>
              </w:rPr>
            </w:pPr>
          </w:p>
        </w:tc>
        <w:tc>
          <w:tcPr>
            <w:tcW w:w="745" w:type="dxa"/>
            <w:vAlign w:val="bottom"/>
          </w:tcPr>
          <w:p w14:paraId="3CF1BC5D" w14:textId="77777777" w:rsidR="00F05EA0" w:rsidRPr="00B02BA3" w:rsidRDefault="00F05EA0" w:rsidP="00922116">
            <w:pPr>
              <w:pStyle w:val="VSmCellBody"/>
              <w:jc w:val="right"/>
              <w:rPr>
                <w:sz w:val="16"/>
                <w:szCs w:val="16"/>
              </w:rPr>
            </w:pPr>
            <w:r w:rsidRPr="00B02BA3">
              <w:rPr>
                <w:sz w:val="16"/>
                <w:szCs w:val="16"/>
              </w:rPr>
              <w:t>2012</w:t>
            </w:r>
          </w:p>
        </w:tc>
        <w:tc>
          <w:tcPr>
            <w:tcW w:w="180" w:type="dxa"/>
            <w:vAlign w:val="bottom"/>
          </w:tcPr>
          <w:p w14:paraId="20D4146D" w14:textId="77777777" w:rsidR="00F05EA0" w:rsidRPr="00B02BA3" w:rsidRDefault="00F05EA0" w:rsidP="00922116">
            <w:pPr>
              <w:pStyle w:val="CellRowSpacer"/>
              <w:rPr>
                <w:sz w:val="16"/>
                <w:szCs w:val="16"/>
              </w:rPr>
            </w:pPr>
          </w:p>
        </w:tc>
        <w:tc>
          <w:tcPr>
            <w:tcW w:w="1125" w:type="dxa"/>
            <w:vAlign w:val="bottom"/>
          </w:tcPr>
          <w:p w14:paraId="03206EDF" w14:textId="77777777" w:rsidR="00F05EA0" w:rsidRPr="00B02BA3" w:rsidRDefault="00F05EA0" w:rsidP="00922116">
            <w:pPr>
              <w:pStyle w:val="VSmCellBody"/>
              <w:jc w:val="right"/>
              <w:rPr>
                <w:sz w:val="16"/>
                <w:szCs w:val="16"/>
              </w:rPr>
            </w:pPr>
            <w:r w:rsidRPr="00B02BA3">
              <w:rPr>
                <w:sz w:val="16"/>
                <w:szCs w:val="16"/>
              </w:rPr>
              <w:t>Marshall Islands</w:t>
            </w:r>
          </w:p>
        </w:tc>
        <w:tc>
          <w:tcPr>
            <w:tcW w:w="236" w:type="dxa"/>
            <w:vAlign w:val="bottom"/>
          </w:tcPr>
          <w:p w14:paraId="0E4A0940" w14:textId="77777777" w:rsidR="00F05EA0" w:rsidRPr="00B02BA3" w:rsidRDefault="00F05EA0" w:rsidP="00922116">
            <w:pPr>
              <w:pStyle w:val="CellRowSpacer"/>
              <w:rPr>
                <w:sz w:val="16"/>
                <w:szCs w:val="16"/>
              </w:rPr>
            </w:pPr>
          </w:p>
        </w:tc>
      </w:tr>
      <w:tr w:rsidR="00F05EA0" w:rsidRPr="00B02BA3" w14:paraId="0311408B" w14:textId="77777777" w:rsidTr="00922116">
        <w:tc>
          <w:tcPr>
            <w:tcW w:w="3163" w:type="dxa"/>
            <w:vAlign w:val="bottom"/>
          </w:tcPr>
          <w:p w14:paraId="5C1FF76C" w14:textId="77777777" w:rsidR="00F05EA0" w:rsidRPr="00B02BA3" w:rsidRDefault="00F05EA0" w:rsidP="00922116">
            <w:pPr>
              <w:pStyle w:val="VSmCellBody"/>
              <w:tabs>
                <w:tab w:val="right" w:leader="dot" w:pos="3163"/>
              </w:tabs>
              <w:rPr>
                <w:rFonts w:eastAsia="SimSun"/>
                <w:sz w:val="16"/>
                <w:szCs w:val="16"/>
              </w:rPr>
            </w:pPr>
            <w:r w:rsidRPr="00B02BA3">
              <w:rPr>
                <w:rFonts w:eastAsia="SimSun"/>
                <w:sz w:val="16"/>
                <w:szCs w:val="16"/>
              </w:rPr>
              <w:t xml:space="preserve">As </w:t>
            </w:r>
            <w:proofErr w:type="spellStart"/>
            <w:r w:rsidRPr="00B02BA3">
              <w:rPr>
                <w:rFonts w:eastAsia="SimSun"/>
                <w:sz w:val="16"/>
                <w:szCs w:val="16"/>
              </w:rPr>
              <w:t>Suwayq</w:t>
            </w:r>
            <w:proofErr w:type="spellEnd"/>
            <w:r w:rsidRPr="00B02BA3">
              <w:rPr>
                <w:rFonts w:eastAsia="SimSun"/>
                <w:sz w:val="16"/>
                <w:szCs w:val="16"/>
              </w:rPr>
              <w:tab/>
            </w:r>
          </w:p>
        </w:tc>
        <w:tc>
          <w:tcPr>
            <w:tcW w:w="236" w:type="dxa"/>
            <w:vAlign w:val="bottom"/>
          </w:tcPr>
          <w:p w14:paraId="5163C3EC" w14:textId="77777777" w:rsidR="00F05EA0" w:rsidRPr="00B02BA3" w:rsidRDefault="00F05EA0" w:rsidP="00922116">
            <w:pPr>
              <w:pStyle w:val="CellRowSpacer"/>
              <w:rPr>
                <w:sz w:val="16"/>
                <w:szCs w:val="16"/>
              </w:rPr>
            </w:pPr>
          </w:p>
        </w:tc>
        <w:tc>
          <w:tcPr>
            <w:tcW w:w="907" w:type="dxa"/>
            <w:vAlign w:val="bottom"/>
          </w:tcPr>
          <w:p w14:paraId="7B601ED4" w14:textId="77777777" w:rsidR="00F05EA0" w:rsidRPr="00B02BA3" w:rsidRDefault="00F05EA0" w:rsidP="00922116">
            <w:pPr>
              <w:pStyle w:val="VSmCellBody"/>
              <w:jc w:val="right"/>
              <w:rPr>
                <w:sz w:val="16"/>
                <w:szCs w:val="16"/>
              </w:rPr>
            </w:pPr>
            <w:r w:rsidRPr="00B02BA3">
              <w:rPr>
                <w:sz w:val="16"/>
                <w:szCs w:val="16"/>
              </w:rPr>
              <w:t>319,478</w:t>
            </w:r>
          </w:p>
        </w:tc>
        <w:tc>
          <w:tcPr>
            <w:tcW w:w="236" w:type="dxa"/>
            <w:vAlign w:val="bottom"/>
          </w:tcPr>
          <w:p w14:paraId="318BB303" w14:textId="77777777" w:rsidR="00F05EA0" w:rsidRPr="00B02BA3" w:rsidRDefault="00F05EA0" w:rsidP="00922116">
            <w:pPr>
              <w:pStyle w:val="CellRowSpacer"/>
              <w:rPr>
                <w:sz w:val="16"/>
                <w:szCs w:val="16"/>
              </w:rPr>
            </w:pPr>
          </w:p>
        </w:tc>
        <w:tc>
          <w:tcPr>
            <w:tcW w:w="907" w:type="dxa"/>
            <w:vAlign w:val="bottom"/>
          </w:tcPr>
          <w:p w14:paraId="575F47A4"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7D4C3857" w14:textId="77777777" w:rsidR="00F05EA0" w:rsidRPr="00B02BA3" w:rsidRDefault="00F05EA0" w:rsidP="00922116">
            <w:pPr>
              <w:pStyle w:val="CellRowSpacer"/>
              <w:rPr>
                <w:sz w:val="16"/>
                <w:szCs w:val="16"/>
              </w:rPr>
            </w:pPr>
          </w:p>
        </w:tc>
        <w:tc>
          <w:tcPr>
            <w:tcW w:w="907" w:type="dxa"/>
            <w:vAlign w:val="bottom"/>
          </w:tcPr>
          <w:p w14:paraId="701A52AB"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3CE26E12" w14:textId="77777777" w:rsidR="00F05EA0" w:rsidRPr="00B02BA3" w:rsidRDefault="00F05EA0" w:rsidP="00922116">
            <w:pPr>
              <w:pStyle w:val="CellRowSpacer"/>
              <w:rPr>
                <w:sz w:val="16"/>
                <w:szCs w:val="16"/>
              </w:rPr>
            </w:pPr>
          </w:p>
        </w:tc>
        <w:tc>
          <w:tcPr>
            <w:tcW w:w="745" w:type="dxa"/>
            <w:vAlign w:val="bottom"/>
          </w:tcPr>
          <w:p w14:paraId="55A57D6F" w14:textId="77777777" w:rsidR="00F05EA0" w:rsidRPr="00B02BA3" w:rsidRDefault="00F05EA0" w:rsidP="00922116">
            <w:pPr>
              <w:pStyle w:val="VSmCellBody"/>
              <w:jc w:val="right"/>
              <w:rPr>
                <w:sz w:val="16"/>
                <w:szCs w:val="16"/>
              </w:rPr>
            </w:pPr>
            <w:r w:rsidRPr="00B02BA3">
              <w:rPr>
                <w:sz w:val="16"/>
                <w:szCs w:val="16"/>
              </w:rPr>
              <w:t>2012</w:t>
            </w:r>
          </w:p>
        </w:tc>
        <w:tc>
          <w:tcPr>
            <w:tcW w:w="180" w:type="dxa"/>
            <w:vAlign w:val="bottom"/>
          </w:tcPr>
          <w:p w14:paraId="48C9DD72" w14:textId="77777777" w:rsidR="00F05EA0" w:rsidRPr="00B02BA3" w:rsidRDefault="00F05EA0" w:rsidP="00922116">
            <w:pPr>
              <w:pStyle w:val="CellRowSpacer"/>
              <w:rPr>
                <w:sz w:val="16"/>
                <w:szCs w:val="16"/>
              </w:rPr>
            </w:pPr>
          </w:p>
        </w:tc>
        <w:tc>
          <w:tcPr>
            <w:tcW w:w="1125" w:type="dxa"/>
            <w:vAlign w:val="bottom"/>
          </w:tcPr>
          <w:p w14:paraId="03413B41" w14:textId="77777777" w:rsidR="00F05EA0" w:rsidRPr="00B02BA3" w:rsidRDefault="00F05EA0" w:rsidP="00922116">
            <w:pPr>
              <w:pStyle w:val="VSmCellBody"/>
              <w:jc w:val="right"/>
              <w:rPr>
                <w:sz w:val="16"/>
                <w:szCs w:val="16"/>
              </w:rPr>
            </w:pPr>
            <w:r w:rsidRPr="00B02BA3">
              <w:rPr>
                <w:sz w:val="16"/>
                <w:szCs w:val="16"/>
              </w:rPr>
              <w:t>Marshall Islands</w:t>
            </w:r>
          </w:p>
        </w:tc>
        <w:tc>
          <w:tcPr>
            <w:tcW w:w="236" w:type="dxa"/>
            <w:vAlign w:val="bottom"/>
          </w:tcPr>
          <w:p w14:paraId="788AE21C" w14:textId="77777777" w:rsidR="00F05EA0" w:rsidRPr="00B02BA3" w:rsidRDefault="00F05EA0" w:rsidP="00922116">
            <w:pPr>
              <w:pStyle w:val="CellRowSpacer"/>
              <w:rPr>
                <w:sz w:val="16"/>
                <w:szCs w:val="16"/>
              </w:rPr>
            </w:pPr>
          </w:p>
        </w:tc>
      </w:tr>
      <w:tr w:rsidR="00F05EA0" w:rsidRPr="00B02BA3" w14:paraId="3C5A9A37" w14:textId="77777777" w:rsidTr="00922116">
        <w:tc>
          <w:tcPr>
            <w:tcW w:w="3163" w:type="dxa"/>
            <w:vAlign w:val="bottom"/>
          </w:tcPr>
          <w:p w14:paraId="47E5BBFC" w14:textId="77777777" w:rsidR="00F05EA0" w:rsidRPr="00B02BA3" w:rsidRDefault="00F05EA0" w:rsidP="00922116">
            <w:pPr>
              <w:pStyle w:val="VSmCellBody"/>
              <w:tabs>
                <w:tab w:val="right" w:leader="dot" w:pos="3163"/>
              </w:tabs>
              <w:rPr>
                <w:rFonts w:eastAsia="SimSun"/>
                <w:sz w:val="16"/>
                <w:szCs w:val="16"/>
              </w:rPr>
            </w:pPr>
            <w:r w:rsidRPr="00B02BA3">
              <w:rPr>
                <w:rFonts w:eastAsia="SimSun"/>
                <w:sz w:val="16"/>
                <w:szCs w:val="16"/>
              </w:rPr>
              <w:t>Habrut</w:t>
            </w:r>
            <w:r w:rsidRPr="00B02BA3">
              <w:rPr>
                <w:rFonts w:eastAsia="SimSun"/>
                <w:sz w:val="16"/>
                <w:szCs w:val="16"/>
              </w:rPr>
              <w:tab/>
            </w:r>
          </w:p>
        </w:tc>
        <w:tc>
          <w:tcPr>
            <w:tcW w:w="236" w:type="dxa"/>
            <w:vAlign w:val="bottom"/>
          </w:tcPr>
          <w:p w14:paraId="536981D3" w14:textId="77777777" w:rsidR="00F05EA0" w:rsidRPr="00B02BA3" w:rsidRDefault="00F05EA0" w:rsidP="00922116">
            <w:pPr>
              <w:pStyle w:val="CellRowSpacer"/>
              <w:rPr>
                <w:sz w:val="16"/>
                <w:szCs w:val="16"/>
              </w:rPr>
            </w:pPr>
          </w:p>
        </w:tc>
        <w:tc>
          <w:tcPr>
            <w:tcW w:w="907" w:type="dxa"/>
            <w:vAlign w:val="bottom"/>
          </w:tcPr>
          <w:p w14:paraId="11A64CE1" w14:textId="77777777" w:rsidR="00F05EA0" w:rsidRPr="00B02BA3" w:rsidRDefault="00F05EA0" w:rsidP="00922116">
            <w:pPr>
              <w:pStyle w:val="VSmCellBody"/>
              <w:jc w:val="right"/>
              <w:rPr>
                <w:sz w:val="16"/>
                <w:szCs w:val="16"/>
              </w:rPr>
            </w:pPr>
            <w:r w:rsidRPr="00B02BA3">
              <w:rPr>
                <w:sz w:val="16"/>
                <w:szCs w:val="16"/>
              </w:rPr>
              <w:t>319,439</w:t>
            </w:r>
          </w:p>
        </w:tc>
        <w:tc>
          <w:tcPr>
            <w:tcW w:w="236" w:type="dxa"/>
            <w:vAlign w:val="bottom"/>
          </w:tcPr>
          <w:p w14:paraId="33E00352" w14:textId="77777777" w:rsidR="00F05EA0" w:rsidRPr="00B02BA3" w:rsidRDefault="00F05EA0" w:rsidP="00922116">
            <w:pPr>
              <w:pStyle w:val="CellRowSpacer"/>
              <w:rPr>
                <w:sz w:val="16"/>
                <w:szCs w:val="16"/>
              </w:rPr>
            </w:pPr>
          </w:p>
        </w:tc>
        <w:tc>
          <w:tcPr>
            <w:tcW w:w="907" w:type="dxa"/>
            <w:vAlign w:val="bottom"/>
          </w:tcPr>
          <w:p w14:paraId="33EC2161"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04C94FBF" w14:textId="77777777" w:rsidR="00F05EA0" w:rsidRPr="00B02BA3" w:rsidRDefault="00F05EA0" w:rsidP="00922116">
            <w:pPr>
              <w:pStyle w:val="CellRowSpacer"/>
              <w:rPr>
                <w:sz w:val="16"/>
                <w:szCs w:val="16"/>
              </w:rPr>
            </w:pPr>
          </w:p>
        </w:tc>
        <w:tc>
          <w:tcPr>
            <w:tcW w:w="907" w:type="dxa"/>
            <w:vAlign w:val="bottom"/>
          </w:tcPr>
          <w:p w14:paraId="3A050D22"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6ED59469" w14:textId="77777777" w:rsidR="00F05EA0" w:rsidRPr="00B02BA3" w:rsidRDefault="00F05EA0" w:rsidP="00922116">
            <w:pPr>
              <w:pStyle w:val="CellRowSpacer"/>
              <w:rPr>
                <w:sz w:val="16"/>
                <w:szCs w:val="16"/>
              </w:rPr>
            </w:pPr>
          </w:p>
        </w:tc>
        <w:tc>
          <w:tcPr>
            <w:tcW w:w="745" w:type="dxa"/>
            <w:vAlign w:val="bottom"/>
          </w:tcPr>
          <w:p w14:paraId="12AB6FCA" w14:textId="77777777" w:rsidR="00F05EA0" w:rsidRPr="00B02BA3" w:rsidRDefault="00F05EA0" w:rsidP="00922116">
            <w:pPr>
              <w:pStyle w:val="VSmCellBody"/>
              <w:jc w:val="right"/>
              <w:rPr>
                <w:sz w:val="16"/>
                <w:szCs w:val="16"/>
              </w:rPr>
            </w:pPr>
            <w:r w:rsidRPr="00B02BA3">
              <w:rPr>
                <w:sz w:val="16"/>
                <w:szCs w:val="16"/>
              </w:rPr>
              <w:t>2012</w:t>
            </w:r>
          </w:p>
        </w:tc>
        <w:tc>
          <w:tcPr>
            <w:tcW w:w="180" w:type="dxa"/>
            <w:vAlign w:val="bottom"/>
          </w:tcPr>
          <w:p w14:paraId="55EC64BC" w14:textId="77777777" w:rsidR="00F05EA0" w:rsidRPr="00B02BA3" w:rsidRDefault="00F05EA0" w:rsidP="00922116">
            <w:pPr>
              <w:pStyle w:val="CellRowSpacer"/>
              <w:rPr>
                <w:sz w:val="16"/>
                <w:szCs w:val="16"/>
              </w:rPr>
            </w:pPr>
          </w:p>
        </w:tc>
        <w:tc>
          <w:tcPr>
            <w:tcW w:w="1125" w:type="dxa"/>
            <w:vAlign w:val="bottom"/>
          </w:tcPr>
          <w:p w14:paraId="68E15DA8" w14:textId="77777777" w:rsidR="00F05EA0" w:rsidRPr="00B02BA3" w:rsidRDefault="00F05EA0" w:rsidP="00922116">
            <w:pPr>
              <w:pStyle w:val="VSmCellBody"/>
              <w:jc w:val="right"/>
              <w:rPr>
                <w:sz w:val="16"/>
                <w:szCs w:val="16"/>
              </w:rPr>
            </w:pPr>
            <w:r w:rsidRPr="00B02BA3">
              <w:rPr>
                <w:sz w:val="16"/>
                <w:szCs w:val="16"/>
              </w:rPr>
              <w:t>Marshall Islands</w:t>
            </w:r>
          </w:p>
        </w:tc>
        <w:tc>
          <w:tcPr>
            <w:tcW w:w="236" w:type="dxa"/>
            <w:vAlign w:val="bottom"/>
          </w:tcPr>
          <w:p w14:paraId="28D2DC4F" w14:textId="77777777" w:rsidR="00F05EA0" w:rsidRPr="00B02BA3" w:rsidRDefault="00F05EA0" w:rsidP="00922116">
            <w:pPr>
              <w:pStyle w:val="CellRowSpacer"/>
              <w:rPr>
                <w:sz w:val="16"/>
                <w:szCs w:val="16"/>
              </w:rPr>
            </w:pPr>
          </w:p>
        </w:tc>
      </w:tr>
      <w:tr w:rsidR="00F05EA0" w:rsidRPr="00B02BA3" w14:paraId="042FA7F8" w14:textId="77777777" w:rsidTr="00922116">
        <w:tc>
          <w:tcPr>
            <w:tcW w:w="3163" w:type="dxa"/>
            <w:vAlign w:val="bottom"/>
          </w:tcPr>
          <w:p w14:paraId="7ADB0FCF" w14:textId="77777777" w:rsidR="00F05EA0" w:rsidRPr="00B02BA3" w:rsidRDefault="00F05EA0" w:rsidP="00922116">
            <w:pPr>
              <w:pStyle w:val="VSmCellBody"/>
              <w:tabs>
                <w:tab w:val="right" w:leader="dot" w:pos="3163"/>
              </w:tabs>
              <w:rPr>
                <w:rFonts w:eastAsia="SimSun"/>
                <w:sz w:val="16"/>
                <w:szCs w:val="16"/>
              </w:rPr>
            </w:pPr>
            <w:r w:rsidRPr="00B02BA3">
              <w:rPr>
                <w:rFonts w:eastAsia="SimSun"/>
                <w:sz w:val="16"/>
                <w:szCs w:val="16"/>
              </w:rPr>
              <w:t>Izki</w:t>
            </w:r>
            <w:r w:rsidRPr="00B02BA3">
              <w:rPr>
                <w:rFonts w:eastAsia="SimSun"/>
                <w:sz w:val="16"/>
                <w:szCs w:val="16"/>
              </w:rPr>
              <w:tab/>
            </w:r>
          </w:p>
        </w:tc>
        <w:tc>
          <w:tcPr>
            <w:tcW w:w="236" w:type="dxa"/>
            <w:vAlign w:val="bottom"/>
          </w:tcPr>
          <w:p w14:paraId="40FA849D" w14:textId="77777777" w:rsidR="00F05EA0" w:rsidRPr="00B02BA3" w:rsidRDefault="00F05EA0" w:rsidP="00922116">
            <w:pPr>
              <w:pStyle w:val="CellRowSpacer"/>
              <w:rPr>
                <w:sz w:val="16"/>
                <w:szCs w:val="16"/>
              </w:rPr>
            </w:pPr>
          </w:p>
        </w:tc>
        <w:tc>
          <w:tcPr>
            <w:tcW w:w="907" w:type="dxa"/>
            <w:vAlign w:val="bottom"/>
          </w:tcPr>
          <w:p w14:paraId="65BE6428" w14:textId="77777777" w:rsidR="00F05EA0" w:rsidRPr="00B02BA3" w:rsidRDefault="00F05EA0" w:rsidP="00922116">
            <w:pPr>
              <w:pStyle w:val="VSmCellBody"/>
              <w:jc w:val="right"/>
              <w:rPr>
                <w:sz w:val="16"/>
                <w:szCs w:val="16"/>
              </w:rPr>
            </w:pPr>
            <w:r w:rsidRPr="00B02BA3">
              <w:rPr>
                <w:sz w:val="16"/>
                <w:szCs w:val="16"/>
              </w:rPr>
              <w:t>319,439</w:t>
            </w:r>
          </w:p>
        </w:tc>
        <w:tc>
          <w:tcPr>
            <w:tcW w:w="236" w:type="dxa"/>
            <w:vAlign w:val="bottom"/>
          </w:tcPr>
          <w:p w14:paraId="54154CAA" w14:textId="77777777" w:rsidR="00F05EA0" w:rsidRPr="00B02BA3" w:rsidRDefault="00F05EA0" w:rsidP="00922116">
            <w:pPr>
              <w:pStyle w:val="CellRowSpacer"/>
              <w:rPr>
                <w:sz w:val="16"/>
                <w:szCs w:val="16"/>
              </w:rPr>
            </w:pPr>
          </w:p>
        </w:tc>
        <w:tc>
          <w:tcPr>
            <w:tcW w:w="907" w:type="dxa"/>
            <w:vAlign w:val="bottom"/>
          </w:tcPr>
          <w:p w14:paraId="502AF272"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1AA3CD58" w14:textId="77777777" w:rsidR="00F05EA0" w:rsidRPr="00B02BA3" w:rsidRDefault="00F05EA0" w:rsidP="00922116">
            <w:pPr>
              <w:pStyle w:val="CellRowSpacer"/>
              <w:rPr>
                <w:sz w:val="16"/>
                <w:szCs w:val="16"/>
              </w:rPr>
            </w:pPr>
          </w:p>
        </w:tc>
        <w:tc>
          <w:tcPr>
            <w:tcW w:w="907" w:type="dxa"/>
            <w:vAlign w:val="bottom"/>
          </w:tcPr>
          <w:p w14:paraId="190958DA"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16A2594C" w14:textId="77777777" w:rsidR="00F05EA0" w:rsidRPr="00B02BA3" w:rsidRDefault="00F05EA0" w:rsidP="00922116">
            <w:pPr>
              <w:pStyle w:val="CellRowSpacer"/>
              <w:rPr>
                <w:sz w:val="16"/>
                <w:szCs w:val="16"/>
              </w:rPr>
            </w:pPr>
          </w:p>
        </w:tc>
        <w:tc>
          <w:tcPr>
            <w:tcW w:w="745" w:type="dxa"/>
            <w:vAlign w:val="bottom"/>
          </w:tcPr>
          <w:p w14:paraId="6D4871A1" w14:textId="77777777" w:rsidR="00F05EA0" w:rsidRPr="00B02BA3" w:rsidRDefault="00F05EA0" w:rsidP="00922116">
            <w:pPr>
              <w:pStyle w:val="VSmCellBody"/>
              <w:jc w:val="right"/>
              <w:rPr>
                <w:sz w:val="16"/>
                <w:szCs w:val="16"/>
              </w:rPr>
            </w:pPr>
            <w:r w:rsidRPr="00B02BA3">
              <w:rPr>
                <w:sz w:val="16"/>
                <w:szCs w:val="16"/>
              </w:rPr>
              <w:t>2012</w:t>
            </w:r>
          </w:p>
        </w:tc>
        <w:tc>
          <w:tcPr>
            <w:tcW w:w="180" w:type="dxa"/>
            <w:vAlign w:val="bottom"/>
          </w:tcPr>
          <w:p w14:paraId="0F3C1019" w14:textId="77777777" w:rsidR="00F05EA0" w:rsidRPr="00B02BA3" w:rsidRDefault="00F05EA0" w:rsidP="00922116">
            <w:pPr>
              <w:pStyle w:val="CellRowSpacer"/>
              <w:rPr>
                <w:sz w:val="16"/>
                <w:szCs w:val="16"/>
              </w:rPr>
            </w:pPr>
          </w:p>
        </w:tc>
        <w:tc>
          <w:tcPr>
            <w:tcW w:w="1125" w:type="dxa"/>
            <w:vAlign w:val="bottom"/>
          </w:tcPr>
          <w:p w14:paraId="0E42440F" w14:textId="77777777" w:rsidR="00F05EA0" w:rsidRPr="00B02BA3" w:rsidRDefault="00F05EA0" w:rsidP="00922116">
            <w:pPr>
              <w:pStyle w:val="VSmCellBody"/>
              <w:jc w:val="right"/>
              <w:rPr>
                <w:sz w:val="16"/>
                <w:szCs w:val="16"/>
              </w:rPr>
            </w:pPr>
            <w:r w:rsidRPr="00B02BA3">
              <w:rPr>
                <w:sz w:val="16"/>
                <w:szCs w:val="16"/>
              </w:rPr>
              <w:t>Marshall Islands</w:t>
            </w:r>
          </w:p>
        </w:tc>
        <w:tc>
          <w:tcPr>
            <w:tcW w:w="236" w:type="dxa"/>
            <w:vAlign w:val="bottom"/>
          </w:tcPr>
          <w:p w14:paraId="1F39B709" w14:textId="77777777" w:rsidR="00F05EA0" w:rsidRPr="00B02BA3" w:rsidRDefault="00F05EA0" w:rsidP="00922116">
            <w:pPr>
              <w:pStyle w:val="CellRowSpacer"/>
              <w:rPr>
                <w:sz w:val="16"/>
                <w:szCs w:val="16"/>
              </w:rPr>
            </w:pPr>
          </w:p>
        </w:tc>
      </w:tr>
      <w:tr w:rsidR="00F05EA0" w:rsidRPr="00B02BA3" w14:paraId="4E7520E7" w14:textId="77777777" w:rsidTr="00922116">
        <w:tc>
          <w:tcPr>
            <w:tcW w:w="3163" w:type="dxa"/>
            <w:vAlign w:val="bottom"/>
          </w:tcPr>
          <w:p w14:paraId="334B8473" w14:textId="77777777" w:rsidR="00F05EA0" w:rsidRPr="00B02BA3" w:rsidRDefault="00F05EA0" w:rsidP="00922116">
            <w:pPr>
              <w:pStyle w:val="VSmCellBody"/>
              <w:tabs>
                <w:tab w:val="right" w:leader="dot" w:pos="3163"/>
              </w:tabs>
              <w:rPr>
                <w:rFonts w:eastAsia="SimSun"/>
                <w:sz w:val="16"/>
                <w:szCs w:val="16"/>
              </w:rPr>
            </w:pPr>
            <w:r w:rsidRPr="00B02BA3">
              <w:rPr>
                <w:rFonts w:eastAsia="SimSun"/>
                <w:sz w:val="16"/>
                <w:szCs w:val="16"/>
              </w:rPr>
              <w:t>Bukha</w:t>
            </w:r>
            <w:r w:rsidRPr="00B02BA3">
              <w:rPr>
                <w:rFonts w:eastAsia="SimSun"/>
                <w:sz w:val="16"/>
                <w:szCs w:val="16"/>
              </w:rPr>
              <w:tab/>
            </w:r>
          </w:p>
        </w:tc>
        <w:tc>
          <w:tcPr>
            <w:tcW w:w="236" w:type="dxa"/>
            <w:vAlign w:val="bottom"/>
          </w:tcPr>
          <w:p w14:paraId="732501D2" w14:textId="77777777" w:rsidR="00F05EA0" w:rsidRPr="00B02BA3" w:rsidRDefault="00F05EA0" w:rsidP="00922116">
            <w:pPr>
              <w:pStyle w:val="CellRowSpacer"/>
              <w:rPr>
                <w:sz w:val="16"/>
                <w:szCs w:val="16"/>
              </w:rPr>
            </w:pPr>
          </w:p>
        </w:tc>
        <w:tc>
          <w:tcPr>
            <w:tcW w:w="907" w:type="dxa"/>
            <w:vAlign w:val="bottom"/>
          </w:tcPr>
          <w:p w14:paraId="6DC3D185" w14:textId="77777777" w:rsidR="00F05EA0" w:rsidRPr="00B02BA3" w:rsidRDefault="00F05EA0" w:rsidP="00922116">
            <w:pPr>
              <w:pStyle w:val="VSmCellBody"/>
              <w:jc w:val="right"/>
              <w:rPr>
                <w:sz w:val="16"/>
                <w:szCs w:val="16"/>
              </w:rPr>
            </w:pPr>
            <w:r w:rsidRPr="00B02BA3">
              <w:rPr>
                <w:sz w:val="16"/>
                <w:szCs w:val="16"/>
              </w:rPr>
              <w:t>320,000</w:t>
            </w:r>
          </w:p>
        </w:tc>
        <w:tc>
          <w:tcPr>
            <w:tcW w:w="236" w:type="dxa"/>
            <w:vAlign w:val="bottom"/>
          </w:tcPr>
          <w:p w14:paraId="0C49BB74" w14:textId="77777777" w:rsidR="00F05EA0" w:rsidRPr="00B02BA3" w:rsidRDefault="00F05EA0" w:rsidP="00922116">
            <w:pPr>
              <w:pStyle w:val="CellRowSpacer"/>
              <w:rPr>
                <w:sz w:val="16"/>
                <w:szCs w:val="16"/>
              </w:rPr>
            </w:pPr>
          </w:p>
        </w:tc>
        <w:tc>
          <w:tcPr>
            <w:tcW w:w="907" w:type="dxa"/>
            <w:vAlign w:val="bottom"/>
          </w:tcPr>
          <w:p w14:paraId="03A9066B"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0667EFF8" w14:textId="77777777" w:rsidR="00F05EA0" w:rsidRPr="00B02BA3" w:rsidRDefault="00F05EA0" w:rsidP="00922116">
            <w:pPr>
              <w:pStyle w:val="CellRowSpacer"/>
              <w:rPr>
                <w:sz w:val="16"/>
                <w:szCs w:val="16"/>
              </w:rPr>
            </w:pPr>
          </w:p>
        </w:tc>
        <w:tc>
          <w:tcPr>
            <w:tcW w:w="907" w:type="dxa"/>
            <w:vAlign w:val="bottom"/>
          </w:tcPr>
          <w:p w14:paraId="5C6DC04E"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7977478D" w14:textId="77777777" w:rsidR="00F05EA0" w:rsidRPr="00B02BA3" w:rsidRDefault="00F05EA0" w:rsidP="00922116">
            <w:pPr>
              <w:pStyle w:val="CellRowSpacer"/>
              <w:rPr>
                <w:sz w:val="16"/>
                <w:szCs w:val="16"/>
              </w:rPr>
            </w:pPr>
          </w:p>
        </w:tc>
        <w:tc>
          <w:tcPr>
            <w:tcW w:w="745" w:type="dxa"/>
            <w:vAlign w:val="bottom"/>
          </w:tcPr>
          <w:p w14:paraId="7000D68B" w14:textId="77777777" w:rsidR="00F05EA0" w:rsidRPr="00B02BA3" w:rsidRDefault="00F05EA0" w:rsidP="00922116">
            <w:pPr>
              <w:pStyle w:val="VSmCellBody"/>
              <w:jc w:val="right"/>
              <w:rPr>
                <w:sz w:val="16"/>
                <w:szCs w:val="16"/>
              </w:rPr>
            </w:pPr>
            <w:r w:rsidRPr="00B02BA3">
              <w:rPr>
                <w:sz w:val="16"/>
                <w:szCs w:val="16"/>
              </w:rPr>
              <w:t>2012</w:t>
            </w:r>
          </w:p>
        </w:tc>
        <w:tc>
          <w:tcPr>
            <w:tcW w:w="180" w:type="dxa"/>
            <w:vAlign w:val="bottom"/>
          </w:tcPr>
          <w:p w14:paraId="6B33891B" w14:textId="77777777" w:rsidR="00F05EA0" w:rsidRPr="00B02BA3" w:rsidRDefault="00F05EA0" w:rsidP="00922116">
            <w:pPr>
              <w:pStyle w:val="CellRowSpacer"/>
              <w:rPr>
                <w:sz w:val="16"/>
                <w:szCs w:val="16"/>
              </w:rPr>
            </w:pPr>
          </w:p>
        </w:tc>
        <w:tc>
          <w:tcPr>
            <w:tcW w:w="1125" w:type="dxa"/>
            <w:vAlign w:val="bottom"/>
          </w:tcPr>
          <w:p w14:paraId="331FBF54" w14:textId="77777777" w:rsidR="00F05EA0" w:rsidRPr="00B02BA3" w:rsidRDefault="00F05EA0" w:rsidP="00922116">
            <w:pPr>
              <w:pStyle w:val="VSmCellBody"/>
              <w:jc w:val="right"/>
              <w:rPr>
                <w:sz w:val="16"/>
                <w:szCs w:val="16"/>
              </w:rPr>
            </w:pPr>
            <w:r w:rsidRPr="00B02BA3">
              <w:rPr>
                <w:sz w:val="16"/>
                <w:szCs w:val="16"/>
              </w:rPr>
              <w:t>Marshall Islands</w:t>
            </w:r>
          </w:p>
        </w:tc>
        <w:tc>
          <w:tcPr>
            <w:tcW w:w="236" w:type="dxa"/>
            <w:vAlign w:val="bottom"/>
          </w:tcPr>
          <w:p w14:paraId="63FBD05B" w14:textId="77777777" w:rsidR="00F05EA0" w:rsidRPr="00B02BA3" w:rsidRDefault="00F05EA0" w:rsidP="00922116">
            <w:pPr>
              <w:pStyle w:val="CellRowSpacer"/>
              <w:rPr>
                <w:sz w:val="16"/>
                <w:szCs w:val="16"/>
              </w:rPr>
            </w:pPr>
          </w:p>
        </w:tc>
      </w:tr>
      <w:tr w:rsidR="00F05EA0" w:rsidRPr="00B02BA3" w14:paraId="53248BA6" w14:textId="77777777" w:rsidTr="00922116">
        <w:tc>
          <w:tcPr>
            <w:tcW w:w="3163" w:type="dxa"/>
            <w:vAlign w:val="bottom"/>
          </w:tcPr>
          <w:p w14:paraId="7E7C22B1" w14:textId="77777777" w:rsidR="00F05EA0" w:rsidRPr="00B02BA3" w:rsidRDefault="00F05EA0" w:rsidP="00922116">
            <w:pPr>
              <w:pStyle w:val="VSmCellBody"/>
              <w:tabs>
                <w:tab w:val="right" w:leader="dot" w:pos="3163"/>
              </w:tabs>
              <w:rPr>
                <w:rFonts w:eastAsia="SimSun"/>
                <w:sz w:val="16"/>
                <w:szCs w:val="16"/>
              </w:rPr>
            </w:pPr>
            <w:r w:rsidRPr="00B02BA3">
              <w:rPr>
                <w:rFonts w:eastAsia="SimSun"/>
                <w:sz w:val="16"/>
                <w:szCs w:val="16"/>
              </w:rPr>
              <w:t>Taqah</w:t>
            </w:r>
            <w:r w:rsidRPr="00B02BA3">
              <w:rPr>
                <w:rFonts w:eastAsia="SimSun"/>
                <w:sz w:val="16"/>
                <w:szCs w:val="16"/>
              </w:rPr>
              <w:tab/>
            </w:r>
          </w:p>
        </w:tc>
        <w:tc>
          <w:tcPr>
            <w:tcW w:w="236" w:type="dxa"/>
            <w:vAlign w:val="bottom"/>
          </w:tcPr>
          <w:p w14:paraId="7B4BEC43" w14:textId="77777777" w:rsidR="00F05EA0" w:rsidRPr="00B02BA3" w:rsidRDefault="00F05EA0" w:rsidP="00922116">
            <w:pPr>
              <w:pStyle w:val="CellRowSpacer"/>
              <w:rPr>
                <w:sz w:val="16"/>
                <w:szCs w:val="16"/>
              </w:rPr>
            </w:pPr>
          </w:p>
        </w:tc>
        <w:tc>
          <w:tcPr>
            <w:tcW w:w="907" w:type="dxa"/>
            <w:vAlign w:val="bottom"/>
          </w:tcPr>
          <w:p w14:paraId="2AB3D23C" w14:textId="77777777" w:rsidR="00F05EA0" w:rsidRPr="00B02BA3" w:rsidRDefault="00F05EA0" w:rsidP="00922116">
            <w:pPr>
              <w:pStyle w:val="VSmCellBody"/>
              <w:jc w:val="right"/>
              <w:rPr>
                <w:sz w:val="16"/>
                <w:szCs w:val="16"/>
              </w:rPr>
            </w:pPr>
            <w:r w:rsidRPr="00B02BA3">
              <w:rPr>
                <w:sz w:val="16"/>
                <w:szCs w:val="16"/>
              </w:rPr>
              <w:t>317,000</w:t>
            </w:r>
          </w:p>
        </w:tc>
        <w:tc>
          <w:tcPr>
            <w:tcW w:w="236" w:type="dxa"/>
            <w:vAlign w:val="bottom"/>
          </w:tcPr>
          <w:p w14:paraId="4F950011" w14:textId="77777777" w:rsidR="00F05EA0" w:rsidRPr="00B02BA3" w:rsidRDefault="00F05EA0" w:rsidP="00922116">
            <w:pPr>
              <w:pStyle w:val="CellRowSpacer"/>
              <w:rPr>
                <w:sz w:val="16"/>
                <w:szCs w:val="16"/>
              </w:rPr>
            </w:pPr>
          </w:p>
        </w:tc>
        <w:tc>
          <w:tcPr>
            <w:tcW w:w="907" w:type="dxa"/>
            <w:vAlign w:val="bottom"/>
          </w:tcPr>
          <w:p w14:paraId="223075D4"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3824FDD7" w14:textId="77777777" w:rsidR="00F05EA0" w:rsidRPr="00B02BA3" w:rsidRDefault="00F05EA0" w:rsidP="00922116">
            <w:pPr>
              <w:pStyle w:val="CellRowSpacer"/>
              <w:rPr>
                <w:sz w:val="16"/>
                <w:szCs w:val="16"/>
              </w:rPr>
            </w:pPr>
          </w:p>
        </w:tc>
        <w:tc>
          <w:tcPr>
            <w:tcW w:w="907" w:type="dxa"/>
            <w:vAlign w:val="bottom"/>
          </w:tcPr>
          <w:p w14:paraId="7E2AE0F1"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4E047476" w14:textId="77777777" w:rsidR="00F05EA0" w:rsidRPr="00B02BA3" w:rsidRDefault="00F05EA0" w:rsidP="00922116">
            <w:pPr>
              <w:pStyle w:val="CellRowSpacer"/>
              <w:rPr>
                <w:sz w:val="16"/>
                <w:szCs w:val="16"/>
              </w:rPr>
            </w:pPr>
          </w:p>
        </w:tc>
        <w:tc>
          <w:tcPr>
            <w:tcW w:w="745" w:type="dxa"/>
            <w:vAlign w:val="bottom"/>
          </w:tcPr>
          <w:p w14:paraId="1BF4B6E6" w14:textId="77777777" w:rsidR="00F05EA0" w:rsidRPr="00B02BA3" w:rsidRDefault="00F05EA0" w:rsidP="00922116">
            <w:pPr>
              <w:pStyle w:val="VSmCellBody"/>
              <w:jc w:val="right"/>
              <w:rPr>
                <w:sz w:val="16"/>
                <w:szCs w:val="16"/>
              </w:rPr>
            </w:pPr>
            <w:r w:rsidRPr="00B02BA3">
              <w:rPr>
                <w:sz w:val="16"/>
                <w:szCs w:val="16"/>
              </w:rPr>
              <w:t>2012</w:t>
            </w:r>
          </w:p>
        </w:tc>
        <w:tc>
          <w:tcPr>
            <w:tcW w:w="180" w:type="dxa"/>
            <w:vAlign w:val="bottom"/>
          </w:tcPr>
          <w:p w14:paraId="16195BD7" w14:textId="77777777" w:rsidR="00F05EA0" w:rsidRPr="00B02BA3" w:rsidRDefault="00F05EA0" w:rsidP="00922116">
            <w:pPr>
              <w:pStyle w:val="CellRowSpacer"/>
              <w:rPr>
                <w:sz w:val="16"/>
                <w:szCs w:val="16"/>
              </w:rPr>
            </w:pPr>
          </w:p>
        </w:tc>
        <w:tc>
          <w:tcPr>
            <w:tcW w:w="1125" w:type="dxa"/>
            <w:vAlign w:val="bottom"/>
          </w:tcPr>
          <w:p w14:paraId="65E5091E" w14:textId="77777777" w:rsidR="00F05EA0" w:rsidRPr="00B02BA3" w:rsidRDefault="00F05EA0" w:rsidP="00922116">
            <w:pPr>
              <w:pStyle w:val="VSmCellBody"/>
              <w:jc w:val="right"/>
              <w:rPr>
                <w:sz w:val="16"/>
                <w:szCs w:val="16"/>
              </w:rPr>
            </w:pPr>
            <w:r w:rsidRPr="00B02BA3">
              <w:rPr>
                <w:sz w:val="16"/>
                <w:szCs w:val="16"/>
              </w:rPr>
              <w:t>Marshall Islands</w:t>
            </w:r>
          </w:p>
        </w:tc>
        <w:tc>
          <w:tcPr>
            <w:tcW w:w="236" w:type="dxa"/>
            <w:vAlign w:val="bottom"/>
          </w:tcPr>
          <w:p w14:paraId="1E9B9EB7" w14:textId="77777777" w:rsidR="00F05EA0" w:rsidRPr="00B02BA3" w:rsidRDefault="00F05EA0" w:rsidP="00922116">
            <w:pPr>
              <w:pStyle w:val="CellRowSpacer"/>
              <w:rPr>
                <w:sz w:val="16"/>
                <w:szCs w:val="16"/>
              </w:rPr>
            </w:pPr>
          </w:p>
        </w:tc>
      </w:tr>
      <w:tr w:rsidR="00F05EA0" w:rsidRPr="00B02BA3" w14:paraId="7E392274" w14:textId="77777777" w:rsidTr="00922116">
        <w:tc>
          <w:tcPr>
            <w:tcW w:w="3163" w:type="dxa"/>
            <w:vAlign w:val="bottom"/>
          </w:tcPr>
          <w:p w14:paraId="3C0E4FD9" w14:textId="77777777" w:rsidR="00F05EA0" w:rsidRPr="00B02BA3" w:rsidRDefault="00F05EA0" w:rsidP="00922116">
            <w:pPr>
              <w:pStyle w:val="VSmCellBody"/>
              <w:tabs>
                <w:tab w:val="right" w:leader="dot" w:pos="3163"/>
              </w:tabs>
              <w:rPr>
                <w:rFonts w:eastAsia="SimSun"/>
                <w:sz w:val="16"/>
                <w:szCs w:val="16"/>
              </w:rPr>
            </w:pPr>
            <w:r w:rsidRPr="00B02BA3">
              <w:rPr>
                <w:rFonts w:eastAsia="SimSun"/>
                <w:sz w:val="16"/>
                <w:szCs w:val="16"/>
              </w:rPr>
              <w:t>Sur</w:t>
            </w:r>
            <w:r w:rsidRPr="00B02BA3">
              <w:rPr>
                <w:rFonts w:eastAsia="SimSun"/>
                <w:sz w:val="16"/>
                <w:szCs w:val="16"/>
              </w:rPr>
              <w:tab/>
            </w:r>
          </w:p>
        </w:tc>
        <w:tc>
          <w:tcPr>
            <w:tcW w:w="236" w:type="dxa"/>
            <w:vAlign w:val="bottom"/>
          </w:tcPr>
          <w:p w14:paraId="0C1A0AEE" w14:textId="77777777" w:rsidR="00F05EA0" w:rsidRPr="00B02BA3" w:rsidRDefault="00F05EA0" w:rsidP="00922116">
            <w:pPr>
              <w:pStyle w:val="CellRowSpacer"/>
              <w:rPr>
                <w:sz w:val="16"/>
                <w:szCs w:val="16"/>
              </w:rPr>
            </w:pPr>
          </w:p>
        </w:tc>
        <w:tc>
          <w:tcPr>
            <w:tcW w:w="907" w:type="dxa"/>
            <w:vAlign w:val="bottom"/>
          </w:tcPr>
          <w:p w14:paraId="5E2210CB" w14:textId="77777777" w:rsidR="00F05EA0" w:rsidRPr="00B02BA3" w:rsidRDefault="00F05EA0" w:rsidP="00922116">
            <w:pPr>
              <w:pStyle w:val="VSmCellBody"/>
              <w:jc w:val="right"/>
              <w:rPr>
                <w:sz w:val="16"/>
                <w:szCs w:val="16"/>
              </w:rPr>
            </w:pPr>
            <w:r w:rsidRPr="00B02BA3">
              <w:rPr>
                <w:sz w:val="16"/>
                <w:szCs w:val="16"/>
              </w:rPr>
              <w:t>299,997</w:t>
            </w:r>
          </w:p>
        </w:tc>
        <w:tc>
          <w:tcPr>
            <w:tcW w:w="236" w:type="dxa"/>
            <w:vAlign w:val="bottom"/>
          </w:tcPr>
          <w:p w14:paraId="5BEB2EC2" w14:textId="77777777" w:rsidR="00F05EA0" w:rsidRPr="00B02BA3" w:rsidRDefault="00F05EA0" w:rsidP="00922116">
            <w:pPr>
              <w:pStyle w:val="CellRowSpacer"/>
              <w:rPr>
                <w:sz w:val="16"/>
                <w:szCs w:val="16"/>
              </w:rPr>
            </w:pPr>
          </w:p>
        </w:tc>
        <w:tc>
          <w:tcPr>
            <w:tcW w:w="907" w:type="dxa"/>
            <w:vAlign w:val="bottom"/>
          </w:tcPr>
          <w:p w14:paraId="686DC1B5"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55AD38E9" w14:textId="77777777" w:rsidR="00F05EA0" w:rsidRPr="00B02BA3" w:rsidRDefault="00F05EA0" w:rsidP="00922116">
            <w:pPr>
              <w:pStyle w:val="CellRowSpacer"/>
              <w:rPr>
                <w:sz w:val="16"/>
                <w:szCs w:val="16"/>
              </w:rPr>
            </w:pPr>
          </w:p>
        </w:tc>
        <w:tc>
          <w:tcPr>
            <w:tcW w:w="907" w:type="dxa"/>
            <w:vAlign w:val="bottom"/>
          </w:tcPr>
          <w:p w14:paraId="716D1BA8"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01CAF425" w14:textId="77777777" w:rsidR="00F05EA0" w:rsidRPr="00B02BA3" w:rsidRDefault="00F05EA0" w:rsidP="00922116">
            <w:pPr>
              <w:pStyle w:val="CellRowSpacer"/>
              <w:rPr>
                <w:sz w:val="16"/>
                <w:szCs w:val="16"/>
              </w:rPr>
            </w:pPr>
          </w:p>
        </w:tc>
        <w:tc>
          <w:tcPr>
            <w:tcW w:w="745" w:type="dxa"/>
            <w:vAlign w:val="bottom"/>
          </w:tcPr>
          <w:p w14:paraId="6204E982" w14:textId="77777777" w:rsidR="00F05EA0" w:rsidRPr="00B02BA3" w:rsidRDefault="00F05EA0" w:rsidP="00922116">
            <w:pPr>
              <w:pStyle w:val="VSmCellBody"/>
              <w:jc w:val="right"/>
              <w:rPr>
                <w:sz w:val="16"/>
                <w:szCs w:val="16"/>
              </w:rPr>
            </w:pPr>
            <w:r w:rsidRPr="00B02BA3">
              <w:rPr>
                <w:sz w:val="16"/>
                <w:szCs w:val="16"/>
              </w:rPr>
              <w:t>2020</w:t>
            </w:r>
          </w:p>
        </w:tc>
        <w:tc>
          <w:tcPr>
            <w:tcW w:w="180" w:type="dxa"/>
            <w:vAlign w:val="bottom"/>
          </w:tcPr>
          <w:p w14:paraId="717F17A9" w14:textId="77777777" w:rsidR="00F05EA0" w:rsidRPr="00B02BA3" w:rsidRDefault="00F05EA0" w:rsidP="00922116">
            <w:pPr>
              <w:pStyle w:val="CellRowSpacer"/>
              <w:rPr>
                <w:sz w:val="16"/>
                <w:szCs w:val="16"/>
              </w:rPr>
            </w:pPr>
          </w:p>
        </w:tc>
        <w:tc>
          <w:tcPr>
            <w:tcW w:w="1125" w:type="dxa"/>
            <w:vAlign w:val="bottom"/>
          </w:tcPr>
          <w:p w14:paraId="33BBB3C5" w14:textId="77777777" w:rsidR="00F05EA0" w:rsidRPr="00B02BA3" w:rsidRDefault="00F05EA0" w:rsidP="00922116">
            <w:pPr>
              <w:pStyle w:val="VSmCellBody"/>
              <w:jc w:val="right"/>
              <w:rPr>
                <w:sz w:val="16"/>
                <w:szCs w:val="16"/>
              </w:rPr>
            </w:pPr>
            <w:r w:rsidRPr="00B02BA3">
              <w:rPr>
                <w:sz w:val="16"/>
                <w:szCs w:val="16"/>
              </w:rPr>
              <w:t>Marshall Islands</w:t>
            </w:r>
          </w:p>
        </w:tc>
        <w:tc>
          <w:tcPr>
            <w:tcW w:w="236" w:type="dxa"/>
            <w:vAlign w:val="bottom"/>
          </w:tcPr>
          <w:p w14:paraId="42EC4C55" w14:textId="77777777" w:rsidR="00F05EA0" w:rsidRPr="00B02BA3" w:rsidRDefault="00F05EA0" w:rsidP="00922116">
            <w:pPr>
              <w:pStyle w:val="CellRowSpacer"/>
              <w:rPr>
                <w:sz w:val="16"/>
                <w:szCs w:val="16"/>
              </w:rPr>
            </w:pPr>
          </w:p>
        </w:tc>
      </w:tr>
      <w:tr w:rsidR="00F05EA0" w:rsidRPr="00B02BA3" w14:paraId="0CF118B3" w14:textId="77777777" w:rsidTr="00922116">
        <w:tc>
          <w:tcPr>
            <w:tcW w:w="3163" w:type="dxa"/>
            <w:vAlign w:val="bottom"/>
          </w:tcPr>
          <w:p w14:paraId="70EBCA94" w14:textId="77777777" w:rsidR="00F05EA0" w:rsidRPr="00B02BA3" w:rsidRDefault="00F05EA0" w:rsidP="00922116">
            <w:pPr>
              <w:pStyle w:val="VSmCellBody"/>
              <w:tabs>
                <w:tab w:val="right" w:leader="dot" w:pos="3163"/>
              </w:tabs>
              <w:rPr>
                <w:rFonts w:eastAsia="SimSun"/>
                <w:sz w:val="16"/>
                <w:szCs w:val="16"/>
              </w:rPr>
            </w:pPr>
            <w:r w:rsidRPr="00B02BA3">
              <w:rPr>
                <w:rFonts w:eastAsia="SimSun"/>
                <w:sz w:val="16"/>
                <w:szCs w:val="16"/>
              </w:rPr>
              <w:t>Bahla</w:t>
            </w:r>
            <w:r w:rsidRPr="00B02BA3">
              <w:rPr>
                <w:rFonts w:eastAsia="SimSun"/>
                <w:sz w:val="16"/>
                <w:szCs w:val="16"/>
              </w:rPr>
              <w:tab/>
            </w:r>
          </w:p>
        </w:tc>
        <w:tc>
          <w:tcPr>
            <w:tcW w:w="236" w:type="dxa"/>
            <w:vAlign w:val="bottom"/>
          </w:tcPr>
          <w:p w14:paraId="20C77525" w14:textId="77777777" w:rsidR="00F05EA0" w:rsidRPr="00B02BA3" w:rsidRDefault="00F05EA0" w:rsidP="00922116">
            <w:pPr>
              <w:pStyle w:val="CellRowSpacer"/>
              <w:rPr>
                <w:sz w:val="16"/>
                <w:szCs w:val="16"/>
              </w:rPr>
            </w:pPr>
          </w:p>
        </w:tc>
        <w:tc>
          <w:tcPr>
            <w:tcW w:w="907" w:type="dxa"/>
            <w:vAlign w:val="bottom"/>
          </w:tcPr>
          <w:p w14:paraId="1EE5DD24" w14:textId="77777777" w:rsidR="00F05EA0" w:rsidRPr="00B02BA3" w:rsidRDefault="00F05EA0" w:rsidP="00922116">
            <w:pPr>
              <w:pStyle w:val="VSmCellBody"/>
              <w:jc w:val="right"/>
              <w:rPr>
                <w:sz w:val="16"/>
                <w:szCs w:val="16"/>
              </w:rPr>
            </w:pPr>
            <w:r w:rsidRPr="00B02BA3">
              <w:rPr>
                <w:sz w:val="16"/>
                <w:szCs w:val="16"/>
              </w:rPr>
              <w:t>299,997</w:t>
            </w:r>
          </w:p>
        </w:tc>
        <w:tc>
          <w:tcPr>
            <w:tcW w:w="236" w:type="dxa"/>
            <w:vAlign w:val="bottom"/>
          </w:tcPr>
          <w:p w14:paraId="7361799A" w14:textId="77777777" w:rsidR="00F05EA0" w:rsidRPr="00B02BA3" w:rsidRDefault="00F05EA0" w:rsidP="00922116">
            <w:pPr>
              <w:pStyle w:val="CellRowSpacer"/>
              <w:rPr>
                <w:sz w:val="16"/>
                <w:szCs w:val="16"/>
              </w:rPr>
            </w:pPr>
          </w:p>
        </w:tc>
        <w:tc>
          <w:tcPr>
            <w:tcW w:w="907" w:type="dxa"/>
            <w:vAlign w:val="bottom"/>
          </w:tcPr>
          <w:p w14:paraId="7D830CBE"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278CC258" w14:textId="77777777" w:rsidR="00F05EA0" w:rsidRPr="00B02BA3" w:rsidRDefault="00F05EA0" w:rsidP="00922116">
            <w:pPr>
              <w:pStyle w:val="CellRowSpacer"/>
              <w:rPr>
                <w:sz w:val="16"/>
                <w:szCs w:val="16"/>
              </w:rPr>
            </w:pPr>
          </w:p>
        </w:tc>
        <w:tc>
          <w:tcPr>
            <w:tcW w:w="907" w:type="dxa"/>
            <w:vAlign w:val="bottom"/>
          </w:tcPr>
          <w:p w14:paraId="5E088468"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07CC6CD7" w14:textId="77777777" w:rsidR="00F05EA0" w:rsidRPr="00B02BA3" w:rsidRDefault="00F05EA0" w:rsidP="00922116">
            <w:pPr>
              <w:pStyle w:val="CellRowSpacer"/>
              <w:rPr>
                <w:sz w:val="16"/>
                <w:szCs w:val="16"/>
              </w:rPr>
            </w:pPr>
          </w:p>
        </w:tc>
        <w:tc>
          <w:tcPr>
            <w:tcW w:w="745" w:type="dxa"/>
            <w:vAlign w:val="bottom"/>
          </w:tcPr>
          <w:p w14:paraId="48782C87" w14:textId="77777777" w:rsidR="00F05EA0" w:rsidRPr="00B02BA3" w:rsidRDefault="00F05EA0" w:rsidP="00922116">
            <w:pPr>
              <w:pStyle w:val="VSmCellBody"/>
              <w:jc w:val="right"/>
              <w:rPr>
                <w:sz w:val="16"/>
                <w:szCs w:val="16"/>
              </w:rPr>
            </w:pPr>
            <w:r w:rsidRPr="00B02BA3">
              <w:rPr>
                <w:sz w:val="16"/>
                <w:szCs w:val="16"/>
              </w:rPr>
              <w:t>2020</w:t>
            </w:r>
          </w:p>
        </w:tc>
        <w:tc>
          <w:tcPr>
            <w:tcW w:w="180" w:type="dxa"/>
            <w:vAlign w:val="bottom"/>
          </w:tcPr>
          <w:p w14:paraId="45510844" w14:textId="77777777" w:rsidR="00F05EA0" w:rsidRPr="00B02BA3" w:rsidRDefault="00F05EA0" w:rsidP="00922116">
            <w:pPr>
              <w:pStyle w:val="CellRowSpacer"/>
              <w:rPr>
                <w:sz w:val="16"/>
                <w:szCs w:val="16"/>
              </w:rPr>
            </w:pPr>
          </w:p>
        </w:tc>
        <w:tc>
          <w:tcPr>
            <w:tcW w:w="1125" w:type="dxa"/>
            <w:vAlign w:val="bottom"/>
          </w:tcPr>
          <w:p w14:paraId="50B6EEA5" w14:textId="77777777" w:rsidR="00F05EA0" w:rsidRPr="00B02BA3" w:rsidRDefault="00F05EA0" w:rsidP="00922116">
            <w:pPr>
              <w:pStyle w:val="VSmCellBody"/>
              <w:jc w:val="right"/>
              <w:rPr>
                <w:sz w:val="16"/>
                <w:szCs w:val="16"/>
              </w:rPr>
            </w:pPr>
            <w:r w:rsidRPr="00B02BA3">
              <w:rPr>
                <w:sz w:val="16"/>
                <w:szCs w:val="16"/>
              </w:rPr>
              <w:t>Marshall Islands</w:t>
            </w:r>
          </w:p>
        </w:tc>
        <w:tc>
          <w:tcPr>
            <w:tcW w:w="236" w:type="dxa"/>
            <w:vAlign w:val="bottom"/>
          </w:tcPr>
          <w:p w14:paraId="14EE16E5" w14:textId="77777777" w:rsidR="00F05EA0" w:rsidRPr="00B02BA3" w:rsidRDefault="00F05EA0" w:rsidP="00922116">
            <w:pPr>
              <w:pStyle w:val="CellRowSpacer"/>
              <w:rPr>
                <w:sz w:val="16"/>
                <w:szCs w:val="16"/>
              </w:rPr>
            </w:pPr>
          </w:p>
        </w:tc>
      </w:tr>
      <w:tr w:rsidR="00F05EA0" w:rsidRPr="00B02BA3" w14:paraId="5E1AC643" w14:textId="77777777" w:rsidTr="00922116">
        <w:tc>
          <w:tcPr>
            <w:tcW w:w="3163" w:type="dxa"/>
            <w:vAlign w:val="bottom"/>
          </w:tcPr>
          <w:p w14:paraId="184D45C6" w14:textId="77777777" w:rsidR="00F05EA0" w:rsidRPr="00B02BA3" w:rsidRDefault="00F05EA0" w:rsidP="00922116">
            <w:pPr>
              <w:pStyle w:val="VSmCellBody"/>
              <w:tabs>
                <w:tab w:val="right" w:leader="dot" w:pos="3163"/>
              </w:tabs>
              <w:rPr>
                <w:rFonts w:eastAsia="SimSun"/>
                <w:sz w:val="16"/>
                <w:szCs w:val="16"/>
              </w:rPr>
            </w:pPr>
            <w:r w:rsidRPr="00B02BA3">
              <w:rPr>
                <w:rFonts w:eastAsia="SimSun"/>
                <w:sz w:val="16"/>
                <w:szCs w:val="16"/>
              </w:rPr>
              <w:t>Dhalkut</w:t>
            </w:r>
            <w:r w:rsidRPr="00B02BA3">
              <w:rPr>
                <w:rFonts w:eastAsia="SimSun"/>
                <w:sz w:val="16"/>
                <w:szCs w:val="16"/>
              </w:rPr>
              <w:tab/>
            </w:r>
          </w:p>
        </w:tc>
        <w:tc>
          <w:tcPr>
            <w:tcW w:w="236" w:type="dxa"/>
            <w:vAlign w:val="bottom"/>
          </w:tcPr>
          <w:p w14:paraId="677A7FFD" w14:textId="77777777" w:rsidR="00F05EA0" w:rsidRPr="00B02BA3" w:rsidRDefault="00F05EA0" w:rsidP="00922116">
            <w:pPr>
              <w:pStyle w:val="CellRowSpacer"/>
              <w:rPr>
                <w:sz w:val="16"/>
                <w:szCs w:val="16"/>
              </w:rPr>
            </w:pPr>
          </w:p>
        </w:tc>
        <w:tc>
          <w:tcPr>
            <w:tcW w:w="907" w:type="dxa"/>
            <w:vAlign w:val="bottom"/>
          </w:tcPr>
          <w:p w14:paraId="618CFC8D" w14:textId="77777777" w:rsidR="00F05EA0" w:rsidRPr="00B02BA3" w:rsidRDefault="00F05EA0" w:rsidP="00922116">
            <w:pPr>
              <w:pStyle w:val="VSmCellBody"/>
              <w:jc w:val="right"/>
              <w:rPr>
                <w:sz w:val="16"/>
                <w:szCs w:val="16"/>
              </w:rPr>
            </w:pPr>
            <w:r w:rsidRPr="00B02BA3">
              <w:rPr>
                <w:sz w:val="16"/>
                <w:szCs w:val="16"/>
              </w:rPr>
              <w:t>299,997</w:t>
            </w:r>
          </w:p>
        </w:tc>
        <w:tc>
          <w:tcPr>
            <w:tcW w:w="236" w:type="dxa"/>
            <w:vAlign w:val="bottom"/>
          </w:tcPr>
          <w:p w14:paraId="78C19FC9" w14:textId="77777777" w:rsidR="00F05EA0" w:rsidRPr="00B02BA3" w:rsidRDefault="00F05EA0" w:rsidP="00922116">
            <w:pPr>
              <w:pStyle w:val="CellRowSpacer"/>
              <w:rPr>
                <w:sz w:val="16"/>
                <w:szCs w:val="16"/>
              </w:rPr>
            </w:pPr>
          </w:p>
        </w:tc>
        <w:tc>
          <w:tcPr>
            <w:tcW w:w="907" w:type="dxa"/>
            <w:vAlign w:val="bottom"/>
          </w:tcPr>
          <w:p w14:paraId="371BD7CF" w14:textId="77777777" w:rsidR="00F05EA0" w:rsidRPr="00B02BA3" w:rsidRDefault="00F05EA0" w:rsidP="00922116">
            <w:pPr>
              <w:pStyle w:val="VSmCellBody"/>
              <w:jc w:val="right"/>
              <w:rPr>
                <w:sz w:val="16"/>
                <w:szCs w:val="16"/>
              </w:rPr>
            </w:pPr>
            <w:r w:rsidRPr="00B02BA3">
              <w:rPr>
                <w:sz w:val="16"/>
                <w:szCs w:val="16"/>
              </w:rPr>
              <w:t>VLCC</w:t>
            </w:r>
          </w:p>
        </w:tc>
        <w:tc>
          <w:tcPr>
            <w:tcW w:w="236" w:type="dxa"/>
            <w:vAlign w:val="bottom"/>
          </w:tcPr>
          <w:p w14:paraId="4232E85B" w14:textId="77777777" w:rsidR="00F05EA0" w:rsidRPr="00B02BA3" w:rsidRDefault="00F05EA0" w:rsidP="00922116">
            <w:pPr>
              <w:pStyle w:val="CellRowSpacer"/>
              <w:rPr>
                <w:sz w:val="16"/>
                <w:szCs w:val="16"/>
              </w:rPr>
            </w:pPr>
          </w:p>
        </w:tc>
        <w:tc>
          <w:tcPr>
            <w:tcW w:w="907" w:type="dxa"/>
            <w:vAlign w:val="bottom"/>
          </w:tcPr>
          <w:p w14:paraId="3608C1D4" w14:textId="77777777" w:rsidR="00F05EA0" w:rsidRPr="00B02BA3" w:rsidRDefault="00F05EA0" w:rsidP="00922116">
            <w:pPr>
              <w:pStyle w:val="VSmCellBody"/>
              <w:jc w:val="right"/>
              <w:rPr>
                <w:sz w:val="16"/>
                <w:szCs w:val="16"/>
              </w:rPr>
            </w:pPr>
            <w:r w:rsidRPr="00B02BA3">
              <w:rPr>
                <w:sz w:val="16"/>
                <w:szCs w:val="16"/>
              </w:rPr>
              <w:t>100</w:t>
            </w:r>
          </w:p>
        </w:tc>
        <w:tc>
          <w:tcPr>
            <w:tcW w:w="236" w:type="dxa"/>
            <w:vAlign w:val="bottom"/>
          </w:tcPr>
          <w:p w14:paraId="0900A288" w14:textId="77777777" w:rsidR="00F05EA0" w:rsidRPr="00B02BA3" w:rsidRDefault="00F05EA0" w:rsidP="00922116">
            <w:pPr>
              <w:pStyle w:val="CellRowSpacer"/>
              <w:rPr>
                <w:sz w:val="16"/>
                <w:szCs w:val="16"/>
              </w:rPr>
            </w:pPr>
          </w:p>
        </w:tc>
        <w:tc>
          <w:tcPr>
            <w:tcW w:w="745" w:type="dxa"/>
            <w:vAlign w:val="bottom"/>
          </w:tcPr>
          <w:p w14:paraId="7867FDF1" w14:textId="77777777" w:rsidR="00F05EA0" w:rsidRPr="00B02BA3" w:rsidRDefault="00F05EA0" w:rsidP="00922116">
            <w:pPr>
              <w:pStyle w:val="VSmCellBody"/>
              <w:jc w:val="right"/>
              <w:rPr>
                <w:sz w:val="16"/>
                <w:szCs w:val="16"/>
              </w:rPr>
            </w:pPr>
            <w:r w:rsidRPr="00B02BA3">
              <w:rPr>
                <w:sz w:val="16"/>
                <w:szCs w:val="16"/>
              </w:rPr>
              <w:t>2021</w:t>
            </w:r>
          </w:p>
        </w:tc>
        <w:tc>
          <w:tcPr>
            <w:tcW w:w="180" w:type="dxa"/>
            <w:vAlign w:val="bottom"/>
          </w:tcPr>
          <w:p w14:paraId="4885EBC7" w14:textId="77777777" w:rsidR="00F05EA0" w:rsidRPr="00B02BA3" w:rsidRDefault="00F05EA0" w:rsidP="00922116">
            <w:pPr>
              <w:pStyle w:val="CellRowSpacer"/>
              <w:rPr>
                <w:sz w:val="16"/>
                <w:szCs w:val="16"/>
              </w:rPr>
            </w:pPr>
          </w:p>
        </w:tc>
        <w:tc>
          <w:tcPr>
            <w:tcW w:w="1125" w:type="dxa"/>
            <w:vAlign w:val="bottom"/>
          </w:tcPr>
          <w:p w14:paraId="54B31A6B" w14:textId="77777777" w:rsidR="00F05EA0" w:rsidRPr="00B02BA3" w:rsidRDefault="00F05EA0" w:rsidP="00922116">
            <w:pPr>
              <w:pStyle w:val="VSmCellBody"/>
              <w:jc w:val="right"/>
              <w:rPr>
                <w:sz w:val="16"/>
                <w:szCs w:val="16"/>
              </w:rPr>
            </w:pPr>
            <w:r w:rsidRPr="00B02BA3">
              <w:rPr>
                <w:sz w:val="16"/>
                <w:szCs w:val="16"/>
              </w:rPr>
              <w:t>Marshall Islands</w:t>
            </w:r>
          </w:p>
        </w:tc>
        <w:tc>
          <w:tcPr>
            <w:tcW w:w="236" w:type="dxa"/>
            <w:vAlign w:val="bottom"/>
          </w:tcPr>
          <w:p w14:paraId="76094EA3" w14:textId="77777777" w:rsidR="00F05EA0" w:rsidRPr="00B02BA3" w:rsidRDefault="00F05EA0" w:rsidP="00922116">
            <w:pPr>
              <w:pStyle w:val="CellRowSpacer"/>
              <w:rPr>
                <w:sz w:val="16"/>
                <w:szCs w:val="16"/>
              </w:rPr>
            </w:pPr>
          </w:p>
        </w:tc>
      </w:tr>
      <w:tr w:rsidR="00F05EA0" w:rsidRPr="00B02BA3" w14:paraId="5761A677" w14:textId="77777777" w:rsidTr="00922116">
        <w:tc>
          <w:tcPr>
            <w:tcW w:w="3163" w:type="dxa"/>
            <w:vAlign w:val="bottom"/>
          </w:tcPr>
          <w:p w14:paraId="4434ECB4" w14:textId="77777777" w:rsidR="00F05EA0" w:rsidRPr="00B02BA3" w:rsidRDefault="00F05EA0" w:rsidP="00922116">
            <w:pPr>
              <w:pStyle w:val="VSmCellHead"/>
              <w:rPr>
                <w:sz w:val="16"/>
                <w:szCs w:val="16"/>
              </w:rPr>
            </w:pPr>
            <w:r w:rsidRPr="00B02BA3">
              <w:rPr>
                <w:sz w:val="16"/>
                <w:szCs w:val="16"/>
              </w:rPr>
              <w:t>Chartered-in</w:t>
            </w:r>
          </w:p>
        </w:tc>
        <w:tc>
          <w:tcPr>
            <w:tcW w:w="236" w:type="dxa"/>
            <w:vAlign w:val="bottom"/>
          </w:tcPr>
          <w:p w14:paraId="3D69929A" w14:textId="77777777" w:rsidR="00F05EA0" w:rsidRPr="00B02BA3" w:rsidRDefault="00F05EA0" w:rsidP="00922116">
            <w:pPr>
              <w:pStyle w:val="CellRowSpacer"/>
              <w:rPr>
                <w:sz w:val="16"/>
                <w:szCs w:val="16"/>
              </w:rPr>
            </w:pPr>
          </w:p>
        </w:tc>
        <w:tc>
          <w:tcPr>
            <w:tcW w:w="907" w:type="dxa"/>
            <w:vAlign w:val="bottom"/>
          </w:tcPr>
          <w:p w14:paraId="1629F64A" w14:textId="77777777" w:rsidR="00F05EA0" w:rsidRPr="00B02BA3" w:rsidRDefault="00F05EA0" w:rsidP="00922116">
            <w:pPr>
              <w:pStyle w:val="VSmCellBody"/>
              <w:jc w:val="right"/>
              <w:rPr>
                <w:sz w:val="16"/>
                <w:szCs w:val="16"/>
              </w:rPr>
            </w:pPr>
          </w:p>
        </w:tc>
        <w:tc>
          <w:tcPr>
            <w:tcW w:w="236" w:type="dxa"/>
            <w:vAlign w:val="bottom"/>
          </w:tcPr>
          <w:p w14:paraId="62DA2E47" w14:textId="77777777" w:rsidR="00F05EA0" w:rsidRPr="00B02BA3" w:rsidRDefault="00F05EA0" w:rsidP="00922116">
            <w:pPr>
              <w:pStyle w:val="CellRowSpacer"/>
              <w:rPr>
                <w:sz w:val="16"/>
                <w:szCs w:val="16"/>
              </w:rPr>
            </w:pPr>
          </w:p>
        </w:tc>
        <w:tc>
          <w:tcPr>
            <w:tcW w:w="907" w:type="dxa"/>
            <w:vAlign w:val="bottom"/>
          </w:tcPr>
          <w:p w14:paraId="672E38E0" w14:textId="77777777" w:rsidR="00F05EA0" w:rsidRPr="00B02BA3" w:rsidRDefault="00F05EA0" w:rsidP="00922116">
            <w:pPr>
              <w:pStyle w:val="VSmCellBody"/>
              <w:jc w:val="right"/>
              <w:rPr>
                <w:sz w:val="16"/>
                <w:szCs w:val="16"/>
              </w:rPr>
            </w:pPr>
          </w:p>
        </w:tc>
        <w:tc>
          <w:tcPr>
            <w:tcW w:w="236" w:type="dxa"/>
            <w:vAlign w:val="bottom"/>
          </w:tcPr>
          <w:p w14:paraId="7348D678" w14:textId="77777777" w:rsidR="00F05EA0" w:rsidRPr="00B02BA3" w:rsidRDefault="00F05EA0" w:rsidP="00922116">
            <w:pPr>
              <w:pStyle w:val="CellRowSpacer"/>
              <w:rPr>
                <w:sz w:val="16"/>
                <w:szCs w:val="16"/>
              </w:rPr>
            </w:pPr>
          </w:p>
        </w:tc>
        <w:tc>
          <w:tcPr>
            <w:tcW w:w="907" w:type="dxa"/>
            <w:vAlign w:val="bottom"/>
          </w:tcPr>
          <w:p w14:paraId="4C58A56A" w14:textId="77777777" w:rsidR="00F05EA0" w:rsidRPr="00B02BA3" w:rsidRDefault="00F05EA0" w:rsidP="00922116">
            <w:pPr>
              <w:pStyle w:val="VSmCellBody"/>
              <w:jc w:val="right"/>
              <w:rPr>
                <w:sz w:val="16"/>
                <w:szCs w:val="16"/>
              </w:rPr>
            </w:pPr>
          </w:p>
        </w:tc>
        <w:tc>
          <w:tcPr>
            <w:tcW w:w="236" w:type="dxa"/>
            <w:vAlign w:val="bottom"/>
          </w:tcPr>
          <w:p w14:paraId="7FCEBC07" w14:textId="77777777" w:rsidR="00F05EA0" w:rsidRPr="00B02BA3" w:rsidRDefault="00F05EA0" w:rsidP="00922116">
            <w:pPr>
              <w:pStyle w:val="CellRowSpacer"/>
              <w:rPr>
                <w:sz w:val="16"/>
                <w:szCs w:val="16"/>
              </w:rPr>
            </w:pPr>
          </w:p>
        </w:tc>
        <w:tc>
          <w:tcPr>
            <w:tcW w:w="745" w:type="dxa"/>
            <w:vAlign w:val="bottom"/>
          </w:tcPr>
          <w:p w14:paraId="391067A8" w14:textId="77777777" w:rsidR="00F05EA0" w:rsidRPr="00B02BA3" w:rsidRDefault="00F05EA0" w:rsidP="00922116">
            <w:pPr>
              <w:pStyle w:val="VSmCellBody"/>
              <w:jc w:val="right"/>
              <w:rPr>
                <w:sz w:val="16"/>
                <w:szCs w:val="16"/>
              </w:rPr>
            </w:pPr>
          </w:p>
        </w:tc>
        <w:tc>
          <w:tcPr>
            <w:tcW w:w="180" w:type="dxa"/>
            <w:vAlign w:val="bottom"/>
          </w:tcPr>
          <w:p w14:paraId="45656F79" w14:textId="77777777" w:rsidR="00F05EA0" w:rsidRPr="00B02BA3" w:rsidRDefault="00F05EA0" w:rsidP="00922116">
            <w:pPr>
              <w:pStyle w:val="CellRowSpacer"/>
              <w:rPr>
                <w:sz w:val="16"/>
                <w:szCs w:val="16"/>
              </w:rPr>
            </w:pPr>
          </w:p>
        </w:tc>
        <w:tc>
          <w:tcPr>
            <w:tcW w:w="1125" w:type="dxa"/>
            <w:vAlign w:val="bottom"/>
          </w:tcPr>
          <w:p w14:paraId="5F724DD2" w14:textId="77777777" w:rsidR="00F05EA0" w:rsidRPr="00B02BA3" w:rsidRDefault="00F05EA0" w:rsidP="00922116">
            <w:pPr>
              <w:pStyle w:val="VSmCellBody"/>
              <w:jc w:val="right"/>
              <w:rPr>
                <w:sz w:val="16"/>
                <w:szCs w:val="16"/>
              </w:rPr>
            </w:pPr>
          </w:p>
        </w:tc>
        <w:tc>
          <w:tcPr>
            <w:tcW w:w="236" w:type="dxa"/>
            <w:vAlign w:val="bottom"/>
          </w:tcPr>
          <w:p w14:paraId="3F205B76" w14:textId="77777777" w:rsidR="00F05EA0" w:rsidRPr="00B02BA3" w:rsidRDefault="00F05EA0" w:rsidP="00922116">
            <w:pPr>
              <w:pStyle w:val="CellRowSpacer"/>
              <w:rPr>
                <w:sz w:val="16"/>
                <w:szCs w:val="16"/>
              </w:rPr>
            </w:pPr>
          </w:p>
        </w:tc>
      </w:tr>
      <w:tr w:rsidR="00F05EA0" w:rsidRPr="00B02BA3" w14:paraId="3FB2261A" w14:textId="77777777" w:rsidTr="00922116">
        <w:tc>
          <w:tcPr>
            <w:tcW w:w="3163" w:type="dxa"/>
            <w:vAlign w:val="bottom"/>
          </w:tcPr>
          <w:p w14:paraId="583C12F3" w14:textId="77777777" w:rsidR="00F05EA0" w:rsidRPr="00B02BA3" w:rsidRDefault="00F05EA0" w:rsidP="00922116">
            <w:pPr>
              <w:pStyle w:val="VSmCellBody"/>
              <w:tabs>
                <w:tab w:val="right" w:leader="dot" w:pos="3163"/>
              </w:tabs>
              <w:rPr>
                <w:sz w:val="16"/>
                <w:szCs w:val="16"/>
              </w:rPr>
            </w:pPr>
            <w:proofErr w:type="spellStart"/>
            <w:r w:rsidRPr="00B02BA3">
              <w:rPr>
                <w:sz w:val="16"/>
                <w:szCs w:val="16"/>
              </w:rPr>
              <w:t>Barbarosa</w:t>
            </w:r>
            <w:proofErr w:type="spellEnd"/>
            <w:r w:rsidRPr="00B02BA3">
              <w:rPr>
                <w:rFonts w:eastAsia="SimSun"/>
                <w:sz w:val="16"/>
                <w:szCs w:val="16"/>
              </w:rPr>
              <w:tab/>
            </w:r>
          </w:p>
        </w:tc>
        <w:tc>
          <w:tcPr>
            <w:tcW w:w="236" w:type="dxa"/>
            <w:vAlign w:val="bottom"/>
          </w:tcPr>
          <w:p w14:paraId="13AFC773" w14:textId="77777777" w:rsidR="00F05EA0" w:rsidRPr="00B02BA3" w:rsidRDefault="00F05EA0" w:rsidP="00922116">
            <w:pPr>
              <w:pStyle w:val="CellRowSpacer"/>
              <w:rPr>
                <w:sz w:val="16"/>
                <w:szCs w:val="16"/>
              </w:rPr>
            </w:pPr>
          </w:p>
        </w:tc>
        <w:tc>
          <w:tcPr>
            <w:tcW w:w="907" w:type="dxa"/>
            <w:vAlign w:val="bottom"/>
          </w:tcPr>
          <w:p w14:paraId="59835214" w14:textId="77777777" w:rsidR="00F05EA0" w:rsidRPr="00B02BA3" w:rsidRDefault="00F05EA0" w:rsidP="00922116">
            <w:pPr>
              <w:pStyle w:val="VSmCellBody"/>
              <w:jc w:val="right"/>
              <w:rPr>
                <w:sz w:val="16"/>
                <w:szCs w:val="16"/>
              </w:rPr>
            </w:pPr>
            <w:r w:rsidRPr="00B02BA3">
              <w:rPr>
                <w:sz w:val="16"/>
                <w:szCs w:val="16"/>
              </w:rPr>
              <w:t>149,999</w:t>
            </w:r>
          </w:p>
        </w:tc>
        <w:tc>
          <w:tcPr>
            <w:tcW w:w="236" w:type="dxa"/>
            <w:vAlign w:val="bottom"/>
          </w:tcPr>
          <w:p w14:paraId="1DF0B829" w14:textId="77777777" w:rsidR="00F05EA0" w:rsidRPr="00B02BA3" w:rsidRDefault="00F05EA0" w:rsidP="00922116">
            <w:pPr>
              <w:pStyle w:val="CellRowSpacer"/>
              <w:rPr>
                <w:sz w:val="16"/>
                <w:szCs w:val="16"/>
              </w:rPr>
            </w:pPr>
          </w:p>
        </w:tc>
        <w:tc>
          <w:tcPr>
            <w:tcW w:w="907" w:type="dxa"/>
            <w:vAlign w:val="bottom"/>
          </w:tcPr>
          <w:p w14:paraId="36D5D024" w14:textId="77777777" w:rsidR="00F05EA0" w:rsidRPr="00B02BA3" w:rsidRDefault="00F05EA0" w:rsidP="00922116">
            <w:pPr>
              <w:pStyle w:val="VSmCellBody"/>
              <w:jc w:val="right"/>
              <w:rPr>
                <w:sz w:val="16"/>
                <w:szCs w:val="16"/>
              </w:rPr>
            </w:pPr>
            <w:proofErr w:type="spellStart"/>
            <w:r w:rsidRPr="00B02BA3">
              <w:rPr>
                <w:sz w:val="16"/>
                <w:szCs w:val="16"/>
              </w:rPr>
              <w:t>Suezmax</w:t>
            </w:r>
            <w:proofErr w:type="spellEnd"/>
          </w:p>
        </w:tc>
        <w:tc>
          <w:tcPr>
            <w:tcW w:w="236" w:type="dxa"/>
            <w:vAlign w:val="bottom"/>
          </w:tcPr>
          <w:p w14:paraId="439EC759" w14:textId="77777777" w:rsidR="00F05EA0" w:rsidRPr="00B02BA3" w:rsidRDefault="00F05EA0" w:rsidP="00922116">
            <w:pPr>
              <w:pStyle w:val="CellRowSpacer"/>
              <w:rPr>
                <w:sz w:val="16"/>
                <w:szCs w:val="16"/>
              </w:rPr>
            </w:pPr>
          </w:p>
        </w:tc>
        <w:tc>
          <w:tcPr>
            <w:tcW w:w="907" w:type="dxa"/>
          </w:tcPr>
          <w:p w14:paraId="3D528C1B" w14:textId="77777777" w:rsidR="00F05EA0" w:rsidRPr="00B02BA3" w:rsidRDefault="00F05EA0" w:rsidP="00922116">
            <w:pPr>
              <w:pStyle w:val="VSmCellBody"/>
              <w:jc w:val="right"/>
              <w:rPr>
                <w:sz w:val="16"/>
                <w:szCs w:val="16"/>
              </w:rPr>
            </w:pPr>
            <w:r w:rsidRPr="00B02BA3">
              <w:rPr>
                <w:sz w:val="16"/>
                <w:szCs w:val="16"/>
              </w:rPr>
              <w:t>2025</w:t>
            </w:r>
          </w:p>
        </w:tc>
        <w:tc>
          <w:tcPr>
            <w:tcW w:w="236" w:type="dxa"/>
            <w:vAlign w:val="bottom"/>
          </w:tcPr>
          <w:p w14:paraId="22D5BB6E" w14:textId="77777777" w:rsidR="00F05EA0" w:rsidRPr="00B02BA3" w:rsidRDefault="00F05EA0" w:rsidP="00922116">
            <w:pPr>
              <w:pStyle w:val="CellRowSpacer"/>
              <w:rPr>
                <w:sz w:val="16"/>
                <w:szCs w:val="16"/>
              </w:rPr>
            </w:pPr>
          </w:p>
        </w:tc>
        <w:tc>
          <w:tcPr>
            <w:tcW w:w="745" w:type="dxa"/>
            <w:vAlign w:val="bottom"/>
          </w:tcPr>
          <w:p w14:paraId="7C8439B5" w14:textId="77777777" w:rsidR="00F05EA0" w:rsidRPr="00B02BA3" w:rsidRDefault="00F05EA0" w:rsidP="00922116">
            <w:pPr>
              <w:pStyle w:val="VSmCellBody"/>
              <w:jc w:val="right"/>
              <w:rPr>
                <w:sz w:val="16"/>
                <w:szCs w:val="16"/>
              </w:rPr>
            </w:pPr>
            <w:r w:rsidRPr="00B02BA3">
              <w:rPr>
                <w:sz w:val="16"/>
                <w:szCs w:val="16"/>
              </w:rPr>
              <w:t>2008</w:t>
            </w:r>
          </w:p>
        </w:tc>
        <w:tc>
          <w:tcPr>
            <w:tcW w:w="180" w:type="dxa"/>
            <w:vAlign w:val="bottom"/>
          </w:tcPr>
          <w:p w14:paraId="77A6D148" w14:textId="77777777" w:rsidR="00F05EA0" w:rsidRPr="00B02BA3" w:rsidRDefault="00F05EA0" w:rsidP="00922116">
            <w:pPr>
              <w:pStyle w:val="CellRowSpacer"/>
              <w:rPr>
                <w:sz w:val="16"/>
                <w:szCs w:val="16"/>
              </w:rPr>
            </w:pPr>
          </w:p>
        </w:tc>
        <w:tc>
          <w:tcPr>
            <w:tcW w:w="1125" w:type="dxa"/>
            <w:vAlign w:val="bottom"/>
          </w:tcPr>
          <w:p w14:paraId="55B7B329" w14:textId="77777777" w:rsidR="00F05EA0" w:rsidRPr="00B02BA3" w:rsidRDefault="00F05EA0" w:rsidP="00922116">
            <w:pPr>
              <w:pStyle w:val="VSmCellBody"/>
              <w:jc w:val="right"/>
              <w:rPr>
                <w:sz w:val="16"/>
                <w:szCs w:val="16"/>
              </w:rPr>
            </w:pPr>
            <w:r w:rsidRPr="00B02BA3">
              <w:rPr>
                <w:sz w:val="16"/>
                <w:szCs w:val="16"/>
              </w:rPr>
              <w:t>Libya</w:t>
            </w:r>
          </w:p>
        </w:tc>
        <w:tc>
          <w:tcPr>
            <w:tcW w:w="236" w:type="dxa"/>
            <w:vAlign w:val="bottom"/>
          </w:tcPr>
          <w:p w14:paraId="03611D6A" w14:textId="77777777" w:rsidR="00F05EA0" w:rsidRPr="00B02BA3" w:rsidRDefault="00F05EA0" w:rsidP="00922116">
            <w:pPr>
              <w:pStyle w:val="CellRowSpacer"/>
              <w:rPr>
                <w:sz w:val="16"/>
                <w:szCs w:val="16"/>
              </w:rPr>
            </w:pPr>
          </w:p>
        </w:tc>
      </w:tr>
      <w:tr w:rsidR="00F05EA0" w:rsidRPr="00B02BA3" w14:paraId="0F6C27B5" w14:textId="77777777" w:rsidTr="00922116">
        <w:tc>
          <w:tcPr>
            <w:tcW w:w="3163" w:type="dxa"/>
            <w:vAlign w:val="bottom"/>
          </w:tcPr>
          <w:p w14:paraId="306C8EEF" w14:textId="77777777" w:rsidR="00F05EA0" w:rsidRPr="00B02BA3" w:rsidRDefault="00F05EA0" w:rsidP="00922116">
            <w:pPr>
              <w:pStyle w:val="VSmCellBody"/>
              <w:tabs>
                <w:tab w:val="right" w:leader="dot" w:pos="3163"/>
              </w:tabs>
              <w:rPr>
                <w:sz w:val="16"/>
                <w:szCs w:val="16"/>
              </w:rPr>
            </w:pPr>
            <w:r w:rsidRPr="00B02BA3">
              <w:rPr>
                <w:sz w:val="16"/>
                <w:szCs w:val="16"/>
              </w:rPr>
              <w:t xml:space="preserve">Al </w:t>
            </w:r>
            <w:proofErr w:type="spellStart"/>
            <w:r w:rsidRPr="00B02BA3">
              <w:rPr>
                <w:sz w:val="16"/>
                <w:szCs w:val="16"/>
              </w:rPr>
              <w:t>Agaila</w:t>
            </w:r>
            <w:proofErr w:type="spellEnd"/>
            <w:r w:rsidRPr="00B02BA3">
              <w:rPr>
                <w:rFonts w:eastAsia="SimSun"/>
                <w:sz w:val="16"/>
                <w:szCs w:val="16"/>
              </w:rPr>
              <w:tab/>
            </w:r>
          </w:p>
        </w:tc>
        <w:tc>
          <w:tcPr>
            <w:tcW w:w="236" w:type="dxa"/>
            <w:vAlign w:val="bottom"/>
          </w:tcPr>
          <w:p w14:paraId="4FB43858" w14:textId="77777777" w:rsidR="00F05EA0" w:rsidRPr="00B02BA3" w:rsidRDefault="00F05EA0" w:rsidP="00922116">
            <w:pPr>
              <w:pStyle w:val="CellRowSpacer"/>
              <w:rPr>
                <w:sz w:val="16"/>
                <w:szCs w:val="16"/>
              </w:rPr>
            </w:pPr>
          </w:p>
        </w:tc>
        <w:tc>
          <w:tcPr>
            <w:tcW w:w="907" w:type="dxa"/>
            <w:vAlign w:val="bottom"/>
          </w:tcPr>
          <w:p w14:paraId="4FE279C9" w14:textId="77777777" w:rsidR="00F05EA0" w:rsidRPr="00B02BA3" w:rsidRDefault="00F05EA0" w:rsidP="00922116">
            <w:pPr>
              <w:pStyle w:val="VSmCellBody"/>
              <w:jc w:val="right"/>
              <w:rPr>
                <w:sz w:val="16"/>
                <w:szCs w:val="16"/>
              </w:rPr>
            </w:pPr>
            <w:r w:rsidRPr="00B02BA3">
              <w:rPr>
                <w:sz w:val="16"/>
                <w:szCs w:val="16"/>
              </w:rPr>
              <w:t>149,979</w:t>
            </w:r>
          </w:p>
        </w:tc>
        <w:tc>
          <w:tcPr>
            <w:tcW w:w="236" w:type="dxa"/>
            <w:vAlign w:val="bottom"/>
          </w:tcPr>
          <w:p w14:paraId="3E66EA7D" w14:textId="77777777" w:rsidR="00F05EA0" w:rsidRPr="00B02BA3" w:rsidRDefault="00F05EA0" w:rsidP="00922116">
            <w:pPr>
              <w:pStyle w:val="CellRowSpacer"/>
              <w:rPr>
                <w:sz w:val="16"/>
                <w:szCs w:val="16"/>
              </w:rPr>
            </w:pPr>
          </w:p>
        </w:tc>
        <w:tc>
          <w:tcPr>
            <w:tcW w:w="907" w:type="dxa"/>
            <w:vAlign w:val="bottom"/>
          </w:tcPr>
          <w:p w14:paraId="0D3E886B" w14:textId="77777777" w:rsidR="00F05EA0" w:rsidRPr="00B02BA3" w:rsidRDefault="00F05EA0" w:rsidP="00922116">
            <w:pPr>
              <w:pStyle w:val="VSmCellBody"/>
              <w:jc w:val="right"/>
              <w:rPr>
                <w:sz w:val="16"/>
                <w:szCs w:val="16"/>
              </w:rPr>
            </w:pPr>
            <w:proofErr w:type="spellStart"/>
            <w:r w:rsidRPr="00B02BA3">
              <w:rPr>
                <w:sz w:val="16"/>
                <w:szCs w:val="16"/>
              </w:rPr>
              <w:t>Suezmax</w:t>
            </w:r>
            <w:proofErr w:type="spellEnd"/>
          </w:p>
        </w:tc>
        <w:tc>
          <w:tcPr>
            <w:tcW w:w="236" w:type="dxa"/>
            <w:vAlign w:val="bottom"/>
          </w:tcPr>
          <w:p w14:paraId="33041D88" w14:textId="77777777" w:rsidR="00F05EA0" w:rsidRPr="00B02BA3" w:rsidRDefault="00F05EA0" w:rsidP="00922116">
            <w:pPr>
              <w:pStyle w:val="CellRowSpacer"/>
              <w:rPr>
                <w:sz w:val="16"/>
                <w:szCs w:val="16"/>
              </w:rPr>
            </w:pPr>
          </w:p>
        </w:tc>
        <w:tc>
          <w:tcPr>
            <w:tcW w:w="907" w:type="dxa"/>
          </w:tcPr>
          <w:p w14:paraId="3FEDA7C6" w14:textId="77777777" w:rsidR="00F05EA0" w:rsidRPr="00B02BA3" w:rsidRDefault="00F05EA0" w:rsidP="00922116">
            <w:pPr>
              <w:pStyle w:val="VSmCellBody"/>
              <w:jc w:val="right"/>
              <w:rPr>
                <w:sz w:val="16"/>
                <w:szCs w:val="16"/>
              </w:rPr>
            </w:pPr>
            <w:r w:rsidRPr="00B02BA3">
              <w:rPr>
                <w:sz w:val="16"/>
                <w:szCs w:val="16"/>
              </w:rPr>
              <w:t>2025</w:t>
            </w:r>
          </w:p>
        </w:tc>
        <w:tc>
          <w:tcPr>
            <w:tcW w:w="236" w:type="dxa"/>
            <w:vAlign w:val="bottom"/>
          </w:tcPr>
          <w:p w14:paraId="1B4A27B4" w14:textId="77777777" w:rsidR="00F05EA0" w:rsidRPr="00B02BA3" w:rsidRDefault="00F05EA0" w:rsidP="00922116">
            <w:pPr>
              <w:pStyle w:val="CellRowSpacer"/>
              <w:rPr>
                <w:sz w:val="16"/>
                <w:szCs w:val="16"/>
              </w:rPr>
            </w:pPr>
          </w:p>
        </w:tc>
        <w:tc>
          <w:tcPr>
            <w:tcW w:w="745" w:type="dxa"/>
            <w:vAlign w:val="bottom"/>
          </w:tcPr>
          <w:p w14:paraId="06E1F6E4" w14:textId="77777777" w:rsidR="00F05EA0" w:rsidRPr="00B02BA3" w:rsidRDefault="00F05EA0" w:rsidP="00922116">
            <w:pPr>
              <w:pStyle w:val="VSmCellBody"/>
              <w:jc w:val="right"/>
              <w:rPr>
                <w:sz w:val="16"/>
                <w:szCs w:val="16"/>
              </w:rPr>
            </w:pPr>
            <w:r w:rsidRPr="00B02BA3">
              <w:rPr>
                <w:sz w:val="16"/>
                <w:szCs w:val="16"/>
              </w:rPr>
              <w:t>2008</w:t>
            </w:r>
          </w:p>
        </w:tc>
        <w:tc>
          <w:tcPr>
            <w:tcW w:w="180" w:type="dxa"/>
            <w:vAlign w:val="bottom"/>
          </w:tcPr>
          <w:p w14:paraId="25C93BC8" w14:textId="77777777" w:rsidR="00F05EA0" w:rsidRPr="00B02BA3" w:rsidRDefault="00F05EA0" w:rsidP="00922116">
            <w:pPr>
              <w:pStyle w:val="CellRowSpacer"/>
              <w:rPr>
                <w:sz w:val="16"/>
                <w:szCs w:val="16"/>
              </w:rPr>
            </w:pPr>
          </w:p>
        </w:tc>
        <w:tc>
          <w:tcPr>
            <w:tcW w:w="1125" w:type="dxa"/>
            <w:vAlign w:val="bottom"/>
          </w:tcPr>
          <w:p w14:paraId="34072EEA" w14:textId="77777777" w:rsidR="00F05EA0" w:rsidRPr="00B02BA3" w:rsidRDefault="00F05EA0" w:rsidP="00922116">
            <w:pPr>
              <w:pStyle w:val="VSmCellBody"/>
              <w:jc w:val="right"/>
              <w:rPr>
                <w:sz w:val="16"/>
                <w:szCs w:val="16"/>
              </w:rPr>
            </w:pPr>
            <w:r w:rsidRPr="00B02BA3">
              <w:rPr>
                <w:sz w:val="16"/>
                <w:szCs w:val="16"/>
              </w:rPr>
              <w:t>Libya</w:t>
            </w:r>
          </w:p>
        </w:tc>
        <w:tc>
          <w:tcPr>
            <w:tcW w:w="236" w:type="dxa"/>
            <w:vAlign w:val="bottom"/>
          </w:tcPr>
          <w:p w14:paraId="129F96E2" w14:textId="77777777" w:rsidR="00F05EA0" w:rsidRPr="00B02BA3" w:rsidRDefault="00F05EA0" w:rsidP="00922116">
            <w:pPr>
              <w:pStyle w:val="CellRowSpacer"/>
              <w:rPr>
                <w:sz w:val="16"/>
                <w:szCs w:val="16"/>
              </w:rPr>
            </w:pPr>
          </w:p>
        </w:tc>
      </w:tr>
      <w:tr w:rsidR="00F05EA0" w:rsidRPr="00B02BA3" w14:paraId="300C7781" w14:textId="77777777" w:rsidTr="00922116">
        <w:tc>
          <w:tcPr>
            <w:tcW w:w="3163" w:type="dxa"/>
            <w:vAlign w:val="bottom"/>
          </w:tcPr>
          <w:p w14:paraId="433C08CB" w14:textId="77777777" w:rsidR="00F05EA0" w:rsidRPr="00B02BA3" w:rsidRDefault="00F05EA0" w:rsidP="00922116">
            <w:pPr>
              <w:pStyle w:val="VSmCellBody"/>
              <w:tabs>
                <w:tab w:val="right" w:leader="dot" w:pos="3163"/>
              </w:tabs>
              <w:rPr>
                <w:sz w:val="16"/>
                <w:szCs w:val="16"/>
              </w:rPr>
            </w:pPr>
            <w:r w:rsidRPr="00B02BA3">
              <w:rPr>
                <w:sz w:val="16"/>
                <w:szCs w:val="16"/>
              </w:rPr>
              <w:t>Nordic Hunter</w:t>
            </w:r>
            <w:r w:rsidRPr="00B02BA3">
              <w:rPr>
                <w:rFonts w:eastAsia="SimSun"/>
                <w:sz w:val="16"/>
                <w:szCs w:val="16"/>
              </w:rPr>
              <w:tab/>
            </w:r>
          </w:p>
        </w:tc>
        <w:tc>
          <w:tcPr>
            <w:tcW w:w="236" w:type="dxa"/>
            <w:vAlign w:val="bottom"/>
          </w:tcPr>
          <w:p w14:paraId="712A3CDE" w14:textId="77777777" w:rsidR="00F05EA0" w:rsidRPr="00B02BA3" w:rsidRDefault="00F05EA0" w:rsidP="00922116">
            <w:pPr>
              <w:pStyle w:val="CellRowSpacer"/>
              <w:rPr>
                <w:sz w:val="16"/>
                <w:szCs w:val="16"/>
              </w:rPr>
            </w:pPr>
          </w:p>
        </w:tc>
        <w:tc>
          <w:tcPr>
            <w:tcW w:w="907" w:type="dxa"/>
            <w:vAlign w:val="bottom"/>
          </w:tcPr>
          <w:p w14:paraId="7C6E0AC7" w14:textId="77777777" w:rsidR="00F05EA0" w:rsidRPr="00B02BA3" w:rsidRDefault="00F05EA0" w:rsidP="00922116">
            <w:pPr>
              <w:pStyle w:val="VSmCellBody"/>
              <w:jc w:val="right"/>
              <w:rPr>
                <w:sz w:val="16"/>
                <w:szCs w:val="16"/>
              </w:rPr>
            </w:pPr>
            <w:r w:rsidRPr="00B02BA3">
              <w:rPr>
                <w:sz w:val="16"/>
                <w:szCs w:val="16"/>
              </w:rPr>
              <w:t>149,999</w:t>
            </w:r>
          </w:p>
        </w:tc>
        <w:tc>
          <w:tcPr>
            <w:tcW w:w="236" w:type="dxa"/>
            <w:vAlign w:val="bottom"/>
          </w:tcPr>
          <w:p w14:paraId="24A0777F" w14:textId="77777777" w:rsidR="00F05EA0" w:rsidRPr="00B02BA3" w:rsidRDefault="00F05EA0" w:rsidP="00922116">
            <w:pPr>
              <w:pStyle w:val="CellRowSpacer"/>
              <w:rPr>
                <w:sz w:val="16"/>
                <w:szCs w:val="16"/>
              </w:rPr>
            </w:pPr>
          </w:p>
        </w:tc>
        <w:tc>
          <w:tcPr>
            <w:tcW w:w="907" w:type="dxa"/>
            <w:vAlign w:val="bottom"/>
          </w:tcPr>
          <w:p w14:paraId="3B14F8B6" w14:textId="77777777" w:rsidR="00F05EA0" w:rsidRPr="00B02BA3" w:rsidRDefault="00F05EA0" w:rsidP="00922116">
            <w:pPr>
              <w:pStyle w:val="VSmCellBody"/>
              <w:jc w:val="right"/>
              <w:rPr>
                <w:sz w:val="16"/>
                <w:szCs w:val="16"/>
              </w:rPr>
            </w:pPr>
            <w:proofErr w:type="spellStart"/>
            <w:r w:rsidRPr="00B02BA3">
              <w:rPr>
                <w:sz w:val="16"/>
                <w:szCs w:val="16"/>
              </w:rPr>
              <w:t>Suezmax</w:t>
            </w:r>
            <w:proofErr w:type="spellEnd"/>
          </w:p>
        </w:tc>
        <w:tc>
          <w:tcPr>
            <w:tcW w:w="236" w:type="dxa"/>
            <w:vAlign w:val="bottom"/>
          </w:tcPr>
          <w:p w14:paraId="2E963316" w14:textId="77777777" w:rsidR="00F05EA0" w:rsidRPr="00B02BA3" w:rsidRDefault="00F05EA0" w:rsidP="00922116">
            <w:pPr>
              <w:pStyle w:val="CellRowSpacer"/>
              <w:rPr>
                <w:sz w:val="16"/>
                <w:szCs w:val="16"/>
              </w:rPr>
            </w:pPr>
          </w:p>
        </w:tc>
        <w:tc>
          <w:tcPr>
            <w:tcW w:w="907" w:type="dxa"/>
          </w:tcPr>
          <w:p w14:paraId="5332AC15" w14:textId="77777777" w:rsidR="00F05EA0" w:rsidRPr="00B02BA3" w:rsidRDefault="00F05EA0" w:rsidP="00922116">
            <w:pPr>
              <w:pStyle w:val="VSmCellBody"/>
              <w:jc w:val="right"/>
              <w:rPr>
                <w:sz w:val="16"/>
                <w:szCs w:val="16"/>
              </w:rPr>
            </w:pPr>
            <w:r w:rsidRPr="00B02BA3">
              <w:rPr>
                <w:sz w:val="16"/>
                <w:szCs w:val="16"/>
              </w:rPr>
              <w:t>2028</w:t>
            </w:r>
          </w:p>
        </w:tc>
        <w:tc>
          <w:tcPr>
            <w:tcW w:w="236" w:type="dxa"/>
            <w:vAlign w:val="bottom"/>
          </w:tcPr>
          <w:p w14:paraId="5A007A58" w14:textId="77777777" w:rsidR="00F05EA0" w:rsidRPr="00B02BA3" w:rsidRDefault="00F05EA0" w:rsidP="00922116">
            <w:pPr>
              <w:pStyle w:val="CellRowSpacer"/>
              <w:rPr>
                <w:sz w:val="16"/>
                <w:szCs w:val="16"/>
              </w:rPr>
            </w:pPr>
          </w:p>
        </w:tc>
        <w:tc>
          <w:tcPr>
            <w:tcW w:w="745" w:type="dxa"/>
            <w:vAlign w:val="bottom"/>
          </w:tcPr>
          <w:p w14:paraId="5F625E34" w14:textId="77777777" w:rsidR="00F05EA0" w:rsidRPr="00B02BA3" w:rsidRDefault="00F05EA0" w:rsidP="00922116">
            <w:pPr>
              <w:pStyle w:val="VSmCellBody"/>
              <w:jc w:val="right"/>
              <w:rPr>
                <w:sz w:val="16"/>
                <w:szCs w:val="16"/>
              </w:rPr>
            </w:pPr>
            <w:r w:rsidRPr="00B02BA3">
              <w:rPr>
                <w:sz w:val="16"/>
                <w:szCs w:val="16"/>
              </w:rPr>
              <w:t>2022</w:t>
            </w:r>
          </w:p>
        </w:tc>
        <w:tc>
          <w:tcPr>
            <w:tcW w:w="180" w:type="dxa"/>
            <w:vAlign w:val="bottom"/>
          </w:tcPr>
          <w:p w14:paraId="5BC4E1BB" w14:textId="77777777" w:rsidR="00F05EA0" w:rsidRPr="00B02BA3" w:rsidRDefault="00F05EA0" w:rsidP="00922116">
            <w:pPr>
              <w:pStyle w:val="CellRowSpacer"/>
              <w:rPr>
                <w:sz w:val="16"/>
                <w:szCs w:val="16"/>
              </w:rPr>
            </w:pPr>
          </w:p>
        </w:tc>
        <w:tc>
          <w:tcPr>
            <w:tcW w:w="1125" w:type="dxa"/>
            <w:vAlign w:val="bottom"/>
          </w:tcPr>
          <w:p w14:paraId="2B14B1E7" w14:textId="77777777" w:rsidR="00F05EA0" w:rsidRPr="00B02BA3" w:rsidRDefault="00F05EA0" w:rsidP="00922116">
            <w:pPr>
              <w:pStyle w:val="VSmCellBody"/>
              <w:jc w:val="right"/>
              <w:rPr>
                <w:sz w:val="16"/>
                <w:szCs w:val="16"/>
              </w:rPr>
            </w:pPr>
            <w:r w:rsidRPr="00B02BA3">
              <w:rPr>
                <w:sz w:val="16"/>
                <w:szCs w:val="16"/>
              </w:rPr>
              <w:t>Liberia</w:t>
            </w:r>
          </w:p>
        </w:tc>
        <w:tc>
          <w:tcPr>
            <w:tcW w:w="236" w:type="dxa"/>
            <w:vAlign w:val="bottom"/>
          </w:tcPr>
          <w:p w14:paraId="53F9C521" w14:textId="77777777" w:rsidR="00F05EA0" w:rsidRPr="00B02BA3" w:rsidRDefault="00F05EA0" w:rsidP="00922116">
            <w:pPr>
              <w:pStyle w:val="CellRowSpacer"/>
              <w:rPr>
                <w:sz w:val="16"/>
                <w:szCs w:val="16"/>
              </w:rPr>
            </w:pPr>
          </w:p>
        </w:tc>
      </w:tr>
      <w:tr w:rsidR="00F05EA0" w:rsidRPr="00B02BA3" w14:paraId="5FCE052D" w14:textId="77777777" w:rsidTr="00922116">
        <w:tc>
          <w:tcPr>
            <w:tcW w:w="3163" w:type="dxa"/>
            <w:vAlign w:val="bottom"/>
          </w:tcPr>
          <w:p w14:paraId="695154A5" w14:textId="77777777" w:rsidR="00F05EA0" w:rsidRPr="00B02BA3" w:rsidRDefault="00F05EA0" w:rsidP="00922116">
            <w:pPr>
              <w:pStyle w:val="VSmCellBody"/>
              <w:tabs>
                <w:tab w:val="right" w:leader="dot" w:pos="3163"/>
              </w:tabs>
              <w:rPr>
                <w:sz w:val="16"/>
                <w:szCs w:val="16"/>
              </w:rPr>
            </w:pPr>
            <w:r w:rsidRPr="00B02BA3">
              <w:rPr>
                <w:sz w:val="16"/>
                <w:szCs w:val="16"/>
              </w:rPr>
              <w:t>Nordic Harrier</w:t>
            </w:r>
            <w:r w:rsidRPr="00B02BA3">
              <w:rPr>
                <w:rFonts w:eastAsia="SimSun"/>
                <w:sz w:val="16"/>
                <w:szCs w:val="16"/>
              </w:rPr>
              <w:tab/>
            </w:r>
          </w:p>
        </w:tc>
        <w:tc>
          <w:tcPr>
            <w:tcW w:w="236" w:type="dxa"/>
            <w:vAlign w:val="bottom"/>
          </w:tcPr>
          <w:p w14:paraId="70293467" w14:textId="77777777" w:rsidR="00F05EA0" w:rsidRPr="00B02BA3" w:rsidRDefault="00F05EA0" w:rsidP="00922116">
            <w:pPr>
              <w:pStyle w:val="CellRowSpacer"/>
              <w:rPr>
                <w:sz w:val="16"/>
                <w:szCs w:val="16"/>
              </w:rPr>
            </w:pPr>
          </w:p>
        </w:tc>
        <w:tc>
          <w:tcPr>
            <w:tcW w:w="907" w:type="dxa"/>
            <w:vAlign w:val="bottom"/>
          </w:tcPr>
          <w:p w14:paraId="77CC33EC" w14:textId="77777777" w:rsidR="00F05EA0" w:rsidRPr="00B02BA3" w:rsidRDefault="00F05EA0" w:rsidP="00922116">
            <w:pPr>
              <w:pStyle w:val="VSmCellBody"/>
              <w:jc w:val="right"/>
              <w:rPr>
                <w:sz w:val="16"/>
                <w:szCs w:val="16"/>
              </w:rPr>
            </w:pPr>
            <w:r w:rsidRPr="00B02BA3">
              <w:rPr>
                <w:sz w:val="16"/>
                <w:szCs w:val="16"/>
              </w:rPr>
              <w:t>157,095</w:t>
            </w:r>
          </w:p>
        </w:tc>
        <w:tc>
          <w:tcPr>
            <w:tcW w:w="236" w:type="dxa"/>
            <w:vAlign w:val="bottom"/>
          </w:tcPr>
          <w:p w14:paraId="6FF0E323" w14:textId="77777777" w:rsidR="00F05EA0" w:rsidRPr="00B02BA3" w:rsidRDefault="00F05EA0" w:rsidP="00922116">
            <w:pPr>
              <w:pStyle w:val="CellRowSpacer"/>
              <w:rPr>
                <w:sz w:val="16"/>
                <w:szCs w:val="16"/>
              </w:rPr>
            </w:pPr>
          </w:p>
        </w:tc>
        <w:tc>
          <w:tcPr>
            <w:tcW w:w="907" w:type="dxa"/>
            <w:vAlign w:val="bottom"/>
          </w:tcPr>
          <w:p w14:paraId="0746A00B" w14:textId="77777777" w:rsidR="00F05EA0" w:rsidRPr="00B02BA3" w:rsidRDefault="00F05EA0" w:rsidP="00922116">
            <w:pPr>
              <w:pStyle w:val="VSmCellBody"/>
              <w:jc w:val="right"/>
              <w:rPr>
                <w:sz w:val="16"/>
                <w:szCs w:val="16"/>
              </w:rPr>
            </w:pPr>
            <w:proofErr w:type="spellStart"/>
            <w:r w:rsidRPr="00B02BA3">
              <w:rPr>
                <w:sz w:val="16"/>
                <w:szCs w:val="16"/>
              </w:rPr>
              <w:t>Suezmax</w:t>
            </w:r>
            <w:proofErr w:type="spellEnd"/>
          </w:p>
        </w:tc>
        <w:tc>
          <w:tcPr>
            <w:tcW w:w="236" w:type="dxa"/>
            <w:vAlign w:val="bottom"/>
          </w:tcPr>
          <w:p w14:paraId="3B766FE2" w14:textId="77777777" w:rsidR="00F05EA0" w:rsidRPr="00B02BA3" w:rsidRDefault="00F05EA0" w:rsidP="00922116">
            <w:pPr>
              <w:pStyle w:val="CellRowSpacer"/>
              <w:rPr>
                <w:sz w:val="16"/>
                <w:szCs w:val="16"/>
              </w:rPr>
            </w:pPr>
          </w:p>
        </w:tc>
        <w:tc>
          <w:tcPr>
            <w:tcW w:w="907" w:type="dxa"/>
          </w:tcPr>
          <w:p w14:paraId="49AEF92F" w14:textId="77777777" w:rsidR="00F05EA0" w:rsidRPr="00B02BA3" w:rsidRDefault="00F05EA0" w:rsidP="00922116">
            <w:pPr>
              <w:pStyle w:val="VSmCellBody"/>
              <w:jc w:val="right"/>
              <w:rPr>
                <w:sz w:val="16"/>
                <w:szCs w:val="16"/>
              </w:rPr>
            </w:pPr>
            <w:r w:rsidRPr="00B02BA3">
              <w:rPr>
                <w:sz w:val="16"/>
                <w:szCs w:val="16"/>
              </w:rPr>
              <w:t>2028</w:t>
            </w:r>
          </w:p>
        </w:tc>
        <w:tc>
          <w:tcPr>
            <w:tcW w:w="236" w:type="dxa"/>
            <w:vAlign w:val="bottom"/>
          </w:tcPr>
          <w:p w14:paraId="589A4FDF" w14:textId="77777777" w:rsidR="00F05EA0" w:rsidRPr="00B02BA3" w:rsidRDefault="00F05EA0" w:rsidP="00922116">
            <w:pPr>
              <w:pStyle w:val="CellRowSpacer"/>
              <w:rPr>
                <w:sz w:val="16"/>
                <w:szCs w:val="16"/>
              </w:rPr>
            </w:pPr>
          </w:p>
        </w:tc>
        <w:tc>
          <w:tcPr>
            <w:tcW w:w="745" w:type="dxa"/>
            <w:vAlign w:val="bottom"/>
          </w:tcPr>
          <w:p w14:paraId="32F70903" w14:textId="77777777" w:rsidR="00F05EA0" w:rsidRPr="00B02BA3" w:rsidRDefault="00F05EA0" w:rsidP="00922116">
            <w:pPr>
              <w:pStyle w:val="VSmCellBody"/>
              <w:jc w:val="right"/>
              <w:rPr>
                <w:sz w:val="16"/>
                <w:szCs w:val="16"/>
              </w:rPr>
            </w:pPr>
            <w:r w:rsidRPr="00B02BA3">
              <w:rPr>
                <w:sz w:val="16"/>
                <w:szCs w:val="16"/>
              </w:rPr>
              <w:t>2022</w:t>
            </w:r>
          </w:p>
        </w:tc>
        <w:tc>
          <w:tcPr>
            <w:tcW w:w="180" w:type="dxa"/>
            <w:vAlign w:val="bottom"/>
          </w:tcPr>
          <w:p w14:paraId="4A217A40" w14:textId="77777777" w:rsidR="00F05EA0" w:rsidRPr="00B02BA3" w:rsidRDefault="00F05EA0" w:rsidP="00922116">
            <w:pPr>
              <w:pStyle w:val="CellRowSpacer"/>
              <w:rPr>
                <w:sz w:val="16"/>
                <w:szCs w:val="16"/>
              </w:rPr>
            </w:pPr>
          </w:p>
        </w:tc>
        <w:tc>
          <w:tcPr>
            <w:tcW w:w="1125" w:type="dxa"/>
            <w:vAlign w:val="bottom"/>
          </w:tcPr>
          <w:p w14:paraId="015BD201" w14:textId="77777777" w:rsidR="00F05EA0" w:rsidRPr="00B02BA3" w:rsidRDefault="00F05EA0" w:rsidP="00922116">
            <w:pPr>
              <w:pStyle w:val="VSmCellBody"/>
              <w:jc w:val="right"/>
              <w:rPr>
                <w:sz w:val="16"/>
                <w:szCs w:val="16"/>
              </w:rPr>
            </w:pPr>
            <w:r w:rsidRPr="00B02BA3">
              <w:rPr>
                <w:sz w:val="16"/>
                <w:szCs w:val="16"/>
              </w:rPr>
              <w:t>Liberia</w:t>
            </w:r>
          </w:p>
        </w:tc>
        <w:tc>
          <w:tcPr>
            <w:tcW w:w="236" w:type="dxa"/>
            <w:vAlign w:val="bottom"/>
          </w:tcPr>
          <w:p w14:paraId="3A94214B" w14:textId="77777777" w:rsidR="00F05EA0" w:rsidRPr="00B02BA3" w:rsidRDefault="00F05EA0" w:rsidP="00922116">
            <w:pPr>
              <w:pStyle w:val="CellRowSpacer"/>
              <w:rPr>
                <w:sz w:val="16"/>
                <w:szCs w:val="16"/>
              </w:rPr>
            </w:pPr>
          </w:p>
        </w:tc>
      </w:tr>
      <w:tr w:rsidR="00F05EA0" w:rsidRPr="00B02BA3" w14:paraId="200AD85E" w14:textId="77777777" w:rsidTr="00922116">
        <w:tc>
          <w:tcPr>
            <w:tcW w:w="3163" w:type="dxa"/>
            <w:vAlign w:val="bottom"/>
          </w:tcPr>
          <w:p w14:paraId="7DA966DC" w14:textId="77777777" w:rsidR="00F05EA0" w:rsidRPr="00B02BA3" w:rsidRDefault="00F05EA0" w:rsidP="00922116">
            <w:pPr>
              <w:pStyle w:val="VSmCellBody"/>
              <w:tabs>
                <w:tab w:val="right" w:leader="dot" w:pos="3163"/>
              </w:tabs>
              <w:rPr>
                <w:sz w:val="16"/>
                <w:szCs w:val="16"/>
              </w:rPr>
            </w:pPr>
            <w:proofErr w:type="spellStart"/>
            <w:r w:rsidRPr="00B02BA3">
              <w:rPr>
                <w:sz w:val="16"/>
                <w:szCs w:val="16"/>
              </w:rPr>
              <w:t>Ebn</w:t>
            </w:r>
            <w:proofErr w:type="spellEnd"/>
            <w:r w:rsidRPr="00B02BA3">
              <w:rPr>
                <w:sz w:val="16"/>
                <w:szCs w:val="16"/>
              </w:rPr>
              <w:t xml:space="preserve"> </w:t>
            </w:r>
            <w:proofErr w:type="spellStart"/>
            <w:r w:rsidRPr="00B02BA3">
              <w:rPr>
                <w:sz w:val="16"/>
                <w:szCs w:val="16"/>
              </w:rPr>
              <w:t>Hawkel</w:t>
            </w:r>
            <w:proofErr w:type="spellEnd"/>
            <w:r w:rsidRPr="00B02BA3">
              <w:rPr>
                <w:rFonts w:eastAsia="SimSun"/>
                <w:sz w:val="16"/>
                <w:szCs w:val="16"/>
              </w:rPr>
              <w:tab/>
            </w:r>
          </w:p>
        </w:tc>
        <w:tc>
          <w:tcPr>
            <w:tcW w:w="236" w:type="dxa"/>
            <w:vAlign w:val="bottom"/>
          </w:tcPr>
          <w:p w14:paraId="66DC0C1E" w14:textId="77777777" w:rsidR="00F05EA0" w:rsidRPr="00B02BA3" w:rsidRDefault="00F05EA0" w:rsidP="00922116">
            <w:pPr>
              <w:pStyle w:val="CellRowSpacer"/>
              <w:rPr>
                <w:sz w:val="16"/>
                <w:szCs w:val="16"/>
              </w:rPr>
            </w:pPr>
          </w:p>
        </w:tc>
        <w:tc>
          <w:tcPr>
            <w:tcW w:w="907" w:type="dxa"/>
            <w:vAlign w:val="bottom"/>
          </w:tcPr>
          <w:p w14:paraId="22C9C107" w14:textId="77777777" w:rsidR="00F05EA0" w:rsidRPr="00B02BA3" w:rsidRDefault="00F05EA0" w:rsidP="00922116">
            <w:pPr>
              <w:pStyle w:val="VSmCellBody"/>
              <w:jc w:val="right"/>
              <w:rPr>
                <w:sz w:val="16"/>
                <w:szCs w:val="16"/>
              </w:rPr>
            </w:pPr>
            <w:r w:rsidRPr="00B02BA3">
              <w:rPr>
                <w:sz w:val="16"/>
                <w:szCs w:val="16"/>
              </w:rPr>
              <w:t>112,002</w:t>
            </w:r>
          </w:p>
        </w:tc>
        <w:tc>
          <w:tcPr>
            <w:tcW w:w="236" w:type="dxa"/>
            <w:vAlign w:val="bottom"/>
          </w:tcPr>
          <w:p w14:paraId="30FEF320" w14:textId="77777777" w:rsidR="00F05EA0" w:rsidRPr="00B02BA3" w:rsidRDefault="00F05EA0" w:rsidP="00922116">
            <w:pPr>
              <w:pStyle w:val="CellRowSpacer"/>
              <w:rPr>
                <w:sz w:val="16"/>
                <w:szCs w:val="16"/>
              </w:rPr>
            </w:pPr>
          </w:p>
        </w:tc>
        <w:tc>
          <w:tcPr>
            <w:tcW w:w="907" w:type="dxa"/>
            <w:vAlign w:val="bottom"/>
          </w:tcPr>
          <w:p w14:paraId="3FC1D456" w14:textId="77777777" w:rsidR="00F05EA0" w:rsidRPr="00B02BA3" w:rsidRDefault="00F05EA0" w:rsidP="00922116">
            <w:pPr>
              <w:pStyle w:val="VSmCellBody"/>
              <w:jc w:val="right"/>
              <w:rPr>
                <w:sz w:val="16"/>
                <w:szCs w:val="16"/>
              </w:rPr>
            </w:pPr>
            <w:r w:rsidRPr="00B02BA3">
              <w:rPr>
                <w:sz w:val="16"/>
                <w:szCs w:val="16"/>
              </w:rPr>
              <w:t>Aframax</w:t>
            </w:r>
          </w:p>
        </w:tc>
        <w:tc>
          <w:tcPr>
            <w:tcW w:w="236" w:type="dxa"/>
            <w:vAlign w:val="bottom"/>
          </w:tcPr>
          <w:p w14:paraId="09FBCC8D" w14:textId="77777777" w:rsidR="00F05EA0" w:rsidRPr="00B02BA3" w:rsidRDefault="00F05EA0" w:rsidP="00922116">
            <w:pPr>
              <w:pStyle w:val="CellRowSpacer"/>
              <w:rPr>
                <w:sz w:val="16"/>
                <w:szCs w:val="16"/>
              </w:rPr>
            </w:pPr>
          </w:p>
        </w:tc>
        <w:tc>
          <w:tcPr>
            <w:tcW w:w="907" w:type="dxa"/>
          </w:tcPr>
          <w:p w14:paraId="1BE2E084" w14:textId="77777777" w:rsidR="00F05EA0" w:rsidRPr="00B02BA3" w:rsidRDefault="00F05EA0" w:rsidP="00922116">
            <w:pPr>
              <w:pStyle w:val="VSmCellBody"/>
              <w:jc w:val="right"/>
              <w:rPr>
                <w:sz w:val="16"/>
                <w:szCs w:val="16"/>
              </w:rPr>
            </w:pPr>
            <w:r w:rsidRPr="00B02BA3">
              <w:rPr>
                <w:sz w:val="16"/>
                <w:szCs w:val="16"/>
              </w:rPr>
              <w:t>2027</w:t>
            </w:r>
          </w:p>
        </w:tc>
        <w:tc>
          <w:tcPr>
            <w:tcW w:w="236" w:type="dxa"/>
            <w:vAlign w:val="bottom"/>
          </w:tcPr>
          <w:p w14:paraId="69CBF0A2" w14:textId="77777777" w:rsidR="00F05EA0" w:rsidRPr="00B02BA3" w:rsidRDefault="00F05EA0" w:rsidP="00922116">
            <w:pPr>
              <w:pStyle w:val="CellRowSpacer"/>
              <w:rPr>
                <w:sz w:val="16"/>
                <w:szCs w:val="16"/>
              </w:rPr>
            </w:pPr>
          </w:p>
        </w:tc>
        <w:tc>
          <w:tcPr>
            <w:tcW w:w="745" w:type="dxa"/>
            <w:vAlign w:val="bottom"/>
          </w:tcPr>
          <w:p w14:paraId="4FDB5808" w14:textId="77777777" w:rsidR="00F05EA0" w:rsidRPr="00B02BA3" w:rsidRDefault="00F05EA0" w:rsidP="00922116">
            <w:pPr>
              <w:pStyle w:val="VSmCellBody"/>
              <w:jc w:val="right"/>
              <w:rPr>
                <w:sz w:val="16"/>
                <w:szCs w:val="16"/>
              </w:rPr>
            </w:pPr>
            <w:r w:rsidRPr="00B02BA3">
              <w:rPr>
                <w:sz w:val="16"/>
                <w:szCs w:val="16"/>
              </w:rPr>
              <w:t>2021</w:t>
            </w:r>
          </w:p>
        </w:tc>
        <w:tc>
          <w:tcPr>
            <w:tcW w:w="180" w:type="dxa"/>
            <w:vAlign w:val="bottom"/>
          </w:tcPr>
          <w:p w14:paraId="2CCD1B4D" w14:textId="77777777" w:rsidR="00F05EA0" w:rsidRPr="00B02BA3" w:rsidRDefault="00F05EA0" w:rsidP="00922116">
            <w:pPr>
              <w:pStyle w:val="CellRowSpacer"/>
              <w:rPr>
                <w:sz w:val="16"/>
                <w:szCs w:val="16"/>
              </w:rPr>
            </w:pPr>
          </w:p>
        </w:tc>
        <w:tc>
          <w:tcPr>
            <w:tcW w:w="1125" w:type="dxa"/>
            <w:vAlign w:val="bottom"/>
          </w:tcPr>
          <w:p w14:paraId="539D1E21" w14:textId="77777777" w:rsidR="00F05EA0" w:rsidRPr="00B02BA3" w:rsidRDefault="00F05EA0" w:rsidP="00922116">
            <w:pPr>
              <w:pStyle w:val="VSmCellBody"/>
              <w:jc w:val="right"/>
              <w:rPr>
                <w:sz w:val="16"/>
                <w:szCs w:val="16"/>
              </w:rPr>
            </w:pPr>
            <w:r w:rsidRPr="00B02BA3">
              <w:rPr>
                <w:sz w:val="16"/>
                <w:szCs w:val="16"/>
              </w:rPr>
              <w:t>Malta</w:t>
            </w:r>
          </w:p>
        </w:tc>
        <w:tc>
          <w:tcPr>
            <w:tcW w:w="236" w:type="dxa"/>
            <w:vAlign w:val="bottom"/>
          </w:tcPr>
          <w:p w14:paraId="4D99CAEE" w14:textId="77777777" w:rsidR="00F05EA0" w:rsidRPr="00B02BA3" w:rsidRDefault="00F05EA0" w:rsidP="00922116">
            <w:pPr>
              <w:pStyle w:val="CellRowSpacer"/>
              <w:rPr>
                <w:sz w:val="16"/>
                <w:szCs w:val="16"/>
              </w:rPr>
            </w:pPr>
          </w:p>
        </w:tc>
      </w:tr>
      <w:tr w:rsidR="00F05EA0" w:rsidRPr="00B02BA3" w14:paraId="4B58ACAC" w14:textId="77777777" w:rsidTr="00922116">
        <w:tc>
          <w:tcPr>
            <w:tcW w:w="3163" w:type="dxa"/>
            <w:vAlign w:val="bottom"/>
          </w:tcPr>
          <w:p w14:paraId="5B1B41B3" w14:textId="77777777" w:rsidR="00F05EA0" w:rsidRPr="00B02BA3" w:rsidRDefault="00F05EA0" w:rsidP="00922116">
            <w:pPr>
              <w:pStyle w:val="VSmCellBody"/>
              <w:tabs>
                <w:tab w:val="right" w:leader="dot" w:pos="3163"/>
              </w:tabs>
              <w:rPr>
                <w:sz w:val="16"/>
                <w:szCs w:val="16"/>
              </w:rPr>
            </w:pPr>
            <w:r w:rsidRPr="00B02BA3">
              <w:rPr>
                <w:sz w:val="16"/>
                <w:szCs w:val="16"/>
              </w:rPr>
              <w:t>Al Haya</w:t>
            </w:r>
            <w:r w:rsidRPr="00B02BA3">
              <w:rPr>
                <w:rFonts w:eastAsia="SimSun"/>
                <w:sz w:val="16"/>
                <w:szCs w:val="16"/>
              </w:rPr>
              <w:tab/>
            </w:r>
          </w:p>
        </w:tc>
        <w:tc>
          <w:tcPr>
            <w:tcW w:w="236" w:type="dxa"/>
            <w:vAlign w:val="bottom"/>
          </w:tcPr>
          <w:p w14:paraId="3FB448AB" w14:textId="77777777" w:rsidR="00F05EA0" w:rsidRPr="00B02BA3" w:rsidRDefault="00F05EA0" w:rsidP="00922116">
            <w:pPr>
              <w:pStyle w:val="CellRowSpacer"/>
              <w:rPr>
                <w:sz w:val="16"/>
                <w:szCs w:val="16"/>
              </w:rPr>
            </w:pPr>
          </w:p>
        </w:tc>
        <w:tc>
          <w:tcPr>
            <w:tcW w:w="907" w:type="dxa"/>
            <w:vAlign w:val="bottom"/>
          </w:tcPr>
          <w:p w14:paraId="02549D65" w14:textId="77777777" w:rsidR="00F05EA0" w:rsidRPr="00B02BA3" w:rsidRDefault="00F05EA0" w:rsidP="00922116">
            <w:pPr>
              <w:pStyle w:val="VSmCellBody"/>
              <w:jc w:val="right"/>
              <w:rPr>
                <w:sz w:val="16"/>
                <w:szCs w:val="16"/>
              </w:rPr>
            </w:pPr>
            <w:r w:rsidRPr="00B02BA3">
              <w:rPr>
                <w:sz w:val="16"/>
                <w:szCs w:val="16"/>
              </w:rPr>
              <w:t>118,648</w:t>
            </w:r>
          </w:p>
        </w:tc>
        <w:tc>
          <w:tcPr>
            <w:tcW w:w="236" w:type="dxa"/>
            <w:vAlign w:val="bottom"/>
          </w:tcPr>
          <w:p w14:paraId="0326D3EF" w14:textId="77777777" w:rsidR="00F05EA0" w:rsidRPr="00B02BA3" w:rsidRDefault="00F05EA0" w:rsidP="00922116">
            <w:pPr>
              <w:pStyle w:val="CellRowSpacer"/>
              <w:rPr>
                <w:sz w:val="16"/>
                <w:szCs w:val="16"/>
              </w:rPr>
            </w:pPr>
          </w:p>
        </w:tc>
        <w:tc>
          <w:tcPr>
            <w:tcW w:w="907" w:type="dxa"/>
            <w:vAlign w:val="bottom"/>
          </w:tcPr>
          <w:p w14:paraId="039D19B3" w14:textId="77777777" w:rsidR="00F05EA0" w:rsidRPr="00B02BA3" w:rsidRDefault="00F05EA0" w:rsidP="00922116">
            <w:pPr>
              <w:pStyle w:val="VSmCellBody"/>
              <w:jc w:val="right"/>
              <w:rPr>
                <w:sz w:val="16"/>
                <w:szCs w:val="16"/>
              </w:rPr>
            </w:pPr>
            <w:r w:rsidRPr="00B02BA3">
              <w:rPr>
                <w:sz w:val="16"/>
                <w:szCs w:val="16"/>
              </w:rPr>
              <w:t>Aframax</w:t>
            </w:r>
          </w:p>
        </w:tc>
        <w:tc>
          <w:tcPr>
            <w:tcW w:w="236" w:type="dxa"/>
            <w:vAlign w:val="bottom"/>
          </w:tcPr>
          <w:p w14:paraId="3CEF9009" w14:textId="77777777" w:rsidR="00F05EA0" w:rsidRPr="00B02BA3" w:rsidRDefault="00F05EA0" w:rsidP="00922116">
            <w:pPr>
              <w:pStyle w:val="CellRowSpacer"/>
              <w:rPr>
                <w:sz w:val="16"/>
                <w:szCs w:val="16"/>
              </w:rPr>
            </w:pPr>
          </w:p>
        </w:tc>
        <w:tc>
          <w:tcPr>
            <w:tcW w:w="907" w:type="dxa"/>
          </w:tcPr>
          <w:p w14:paraId="4D757B54" w14:textId="77777777" w:rsidR="00F05EA0" w:rsidRPr="00B02BA3" w:rsidRDefault="00F05EA0" w:rsidP="00922116">
            <w:pPr>
              <w:pStyle w:val="VSmCellBody"/>
              <w:jc w:val="right"/>
              <w:rPr>
                <w:sz w:val="16"/>
                <w:szCs w:val="16"/>
              </w:rPr>
            </w:pPr>
            <w:r w:rsidRPr="00B02BA3">
              <w:rPr>
                <w:sz w:val="16"/>
                <w:szCs w:val="16"/>
              </w:rPr>
              <w:t>2026</w:t>
            </w:r>
          </w:p>
        </w:tc>
        <w:tc>
          <w:tcPr>
            <w:tcW w:w="236" w:type="dxa"/>
            <w:vAlign w:val="bottom"/>
          </w:tcPr>
          <w:p w14:paraId="2F09323D" w14:textId="77777777" w:rsidR="00F05EA0" w:rsidRPr="00B02BA3" w:rsidRDefault="00F05EA0" w:rsidP="00922116">
            <w:pPr>
              <w:pStyle w:val="CellRowSpacer"/>
              <w:rPr>
                <w:sz w:val="16"/>
                <w:szCs w:val="16"/>
              </w:rPr>
            </w:pPr>
          </w:p>
        </w:tc>
        <w:tc>
          <w:tcPr>
            <w:tcW w:w="745" w:type="dxa"/>
            <w:vAlign w:val="bottom"/>
          </w:tcPr>
          <w:p w14:paraId="0ED91725" w14:textId="77777777" w:rsidR="00F05EA0" w:rsidRPr="00B02BA3" w:rsidRDefault="00F05EA0" w:rsidP="00922116">
            <w:pPr>
              <w:pStyle w:val="VSmCellBody"/>
              <w:jc w:val="right"/>
              <w:rPr>
                <w:sz w:val="16"/>
                <w:szCs w:val="16"/>
              </w:rPr>
            </w:pPr>
            <w:r w:rsidRPr="00B02BA3">
              <w:rPr>
                <w:sz w:val="16"/>
                <w:szCs w:val="16"/>
              </w:rPr>
              <w:t>2023</w:t>
            </w:r>
          </w:p>
        </w:tc>
        <w:tc>
          <w:tcPr>
            <w:tcW w:w="180" w:type="dxa"/>
            <w:vAlign w:val="bottom"/>
          </w:tcPr>
          <w:p w14:paraId="395996C5" w14:textId="77777777" w:rsidR="00F05EA0" w:rsidRPr="00B02BA3" w:rsidRDefault="00F05EA0" w:rsidP="00922116">
            <w:pPr>
              <w:pStyle w:val="CellRowSpacer"/>
              <w:rPr>
                <w:sz w:val="16"/>
                <w:szCs w:val="16"/>
              </w:rPr>
            </w:pPr>
          </w:p>
        </w:tc>
        <w:tc>
          <w:tcPr>
            <w:tcW w:w="1125" w:type="dxa"/>
            <w:vAlign w:val="bottom"/>
          </w:tcPr>
          <w:p w14:paraId="3CF9E37A" w14:textId="77777777" w:rsidR="00F05EA0" w:rsidRPr="00B02BA3" w:rsidRDefault="00F05EA0" w:rsidP="00922116">
            <w:pPr>
              <w:pStyle w:val="VSmCellBody"/>
              <w:jc w:val="right"/>
              <w:rPr>
                <w:sz w:val="16"/>
                <w:szCs w:val="16"/>
              </w:rPr>
            </w:pPr>
            <w:r w:rsidRPr="00B02BA3">
              <w:rPr>
                <w:sz w:val="16"/>
                <w:szCs w:val="16"/>
              </w:rPr>
              <w:t>Liberia</w:t>
            </w:r>
          </w:p>
        </w:tc>
        <w:tc>
          <w:tcPr>
            <w:tcW w:w="236" w:type="dxa"/>
            <w:vAlign w:val="bottom"/>
          </w:tcPr>
          <w:p w14:paraId="599885FA" w14:textId="77777777" w:rsidR="00F05EA0" w:rsidRPr="00B02BA3" w:rsidRDefault="00F05EA0" w:rsidP="00922116">
            <w:pPr>
              <w:pStyle w:val="CellRowSpacer"/>
              <w:rPr>
                <w:sz w:val="16"/>
                <w:szCs w:val="16"/>
              </w:rPr>
            </w:pPr>
          </w:p>
        </w:tc>
      </w:tr>
    </w:tbl>
    <w:p w14:paraId="23E52F0F" w14:textId="77777777" w:rsidR="00F05EA0" w:rsidRDefault="00F05EA0" w:rsidP="00F05EA0">
      <w:pPr>
        <w:bidi/>
        <w:jc w:val="both"/>
        <w:rPr>
          <w:rFonts w:ascii="Traditional Arabic" w:hAnsi="Traditional Arabic" w:cs="Traditional Arabic"/>
          <w:sz w:val="30"/>
          <w:szCs w:val="30"/>
          <w:rtl/>
        </w:rPr>
      </w:pPr>
    </w:p>
    <w:p w14:paraId="2A4B0D7F" w14:textId="77777777" w:rsidR="00F05EA0" w:rsidRPr="00334534" w:rsidRDefault="00F05EA0" w:rsidP="00F05EA0">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AC5C0C" w14:paraId="11B825B6" w14:textId="77777777" w:rsidTr="00922116">
        <w:tc>
          <w:tcPr>
            <w:tcW w:w="1424" w:type="dxa"/>
            <w:tcBorders>
              <w:top w:val="single" w:sz="4" w:space="0" w:color="auto"/>
            </w:tcBorders>
            <w:vAlign w:val="bottom"/>
          </w:tcPr>
          <w:p w14:paraId="1C5179B6"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ملاحظة:</w:t>
            </w:r>
          </w:p>
        </w:tc>
        <w:tc>
          <w:tcPr>
            <w:tcW w:w="7501" w:type="dxa"/>
            <w:vAlign w:val="bottom"/>
          </w:tcPr>
          <w:p w14:paraId="7CB6F3E9" w14:textId="77777777" w:rsidR="00334534" w:rsidRPr="00985281" w:rsidRDefault="00334534" w:rsidP="00334534">
            <w:pPr>
              <w:bidi/>
              <w:jc w:val="both"/>
              <w:rPr>
                <w:rFonts w:ascii="Traditional Arabic" w:hAnsi="Traditional Arabic" w:cs="Traditional Arabic"/>
                <w:sz w:val="24"/>
              </w:rPr>
            </w:pPr>
          </w:p>
        </w:tc>
      </w:tr>
      <w:tr w:rsidR="00334534" w:rsidRPr="00AC5C0C" w14:paraId="619BC2D6" w14:textId="77777777" w:rsidTr="00922116">
        <w:tc>
          <w:tcPr>
            <w:tcW w:w="8925" w:type="dxa"/>
            <w:gridSpan w:val="2"/>
            <w:vAlign w:val="bottom"/>
          </w:tcPr>
          <w:p w14:paraId="608B7887"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lastRenderedPageBreak/>
              <w:t xml:space="preserve">في حالة السفن المملوكة ملكية تامة أو </w:t>
            </w:r>
            <w:r w:rsidR="00E65E26">
              <w:rPr>
                <w:rFonts w:ascii="Traditional Arabic" w:hAnsi="Traditional Arabic" w:cs="Traditional Arabic"/>
                <w:sz w:val="24"/>
                <w:rtl/>
              </w:rPr>
              <w:t>بشكل مشترك</w:t>
            </w:r>
            <w:r w:rsidRPr="00985281">
              <w:rPr>
                <w:rFonts w:ascii="Traditional Arabic" w:hAnsi="Traditional Arabic" w:cs="Traditional Arabic"/>
                <w:sz w:val="24"/>
                <w:rtl/>
              </w:rPr>
              <w:t>، تمثل "الملكية (٪)" النسبة المئوية لملكية الشركة في الشركة المالكة للسفن. في حالة السفن المستأجرة، تمثل "مدة الاستئجار (سنة انتهاء الصلاحية)" سنة انتهاء الصلاحية.</w:t>
            </w:r>
          </w:p>
        </w:tc>
      </w:tr>
    </w:tbl>
    <w:p w14:paraId="2F8E65E2" w14:textId="77777777" w:rsidR="00AC5C0C" w:rsidRDefault="00AC5C0C" w:rsidP="00334534">
      <w:pPr>
        <w:bidi/>
        <w:jc w:val="both"/>
        <w:rPr>
          <w:rFonts w:ascii="Traditional Arabic" w:hAnsi="Traditional Arabic" w:cs="Traditional Arabic"/>
          <w:sz w:val="30"/>
          <w:szCs w:val="30"/>
          <w:rtl/>
        </w:rPr>
      </w:pPr>
    </w:p>
    <w:p w14:paraId="04E7564A" w14:textId="77777777" w:rsidR="00AC5C0C" w:rsidRDefault="00334534" w:rsidP="00AC5C0C">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تدير الشركة شبكة متنوعة من المسارات الملاحية التي تغطي الوجهات العالمية، وتسهيل التجارة العالمية وربط محطات تحميل النفط الخام الدولية الرئيسية، من خلال أسطولها الذي يغطي الرحلات الطويلة والمتوسطة والقصيرة الأجل في الخليج العربي وغرب أفريقيا وأمريكا الجنوبية والولايات المتحدة إلى محطات الشحن الرئيسية في آسيا وأوروبا والولايات المتحدة. بالإضافة إلى ذلك، تتعامل الشركة مع صادرات النفط الخام من الموانئ العمانية وكذلك واردات النفط الخام إلى المصافي العمانية (بما في ذلك النفط الخام الكويتي من خلال أحد مشاريعها المشتركة). توضح الخرائط التالية مسارات السفن الحالية للشركة لقطاع شحن</w:t>
      </w:r>
      <w:r w:rsidR="00607B02">
        <w:rPr>
          <w:rFonts w:ascii="Traditional Arabic" w:hAnsi="Traditional Arabic" w:cs="Traditional Arabic" w:hint="cs"/>
          <w:sz w:val="30"/>
          <w:szCs w:val="30"/>
          <w:rtl/>
        </w:rPr>
        <w:t>:</w:t>
      </w:r>
      <w:r w:rsidRPr="00334534">
        <w:rPr>
          <w:rFonts w:ascii="Traditional Arabic" w:hAnsi="Traditional Arabic" w:cs="Traditional Arabic"/>
          <w:sz w:val="30"/>
          <w:szCs w:val="30"/>
          <w:rtl/>
        </w:rPr>
        <w:t xml:space="preserve"> </w:t>
      </w:r>
    </w:p>
    <w:p w14:paraId="39E5F76D" w14:textId="77777777" w:rsidR="00AC5C0C" w:rsidRDefault="00AC5C0C" w:rsidP="00AC5C0C">
      <w:pPr>
        <w:bidi/>
        <w:jc w:val="both"/>
        <w:rPr>
          <w:rFonts w:ascii="Traditional Arabic" w:hAnsi="Traditional Arabic" w:cs="Traditional Arabic"/>
          <w:b/>
          <w:bCs/>
          <w:sz w:val="30"/>
          <w:szCs w:val="30"/>
          <w:rtl/>
        </w:rPr>
      </w:pPr>
    </w:p>
    <w:p w14:paraId="4651E052" w14:textId="77777777" w:rsidR="00334534" w:rsidRPr="00985281" w:rsidRDefault="00334534" w:rsidP="00AC5C0C">
      <w:pPr>
        <w:bidi/>
        <w:jc w:val="both"/>
        <w:rPr>
          <w:rFonts w:ascii="Traditional Arabic" w:hAnsi="Traditional Arabic" w:cs="Traditional Arabic"/>
          <w:b/>
          <w:bCs/>
          <w:sz w:val="30"/>
          <w:szCs w:val="30"/>
        </w:rPr>
      </w:pPr>
      <w:r w:rsidRPr="00985281">
        <w:rPr>
          <w:rFonts w:ascii="Traditional Arabic" w:hAnsi="Traditional Arabic" w:cs="Traditional Arabic"/>
          <w:b/>
          <w:bCs/>
          <w:sz w:val="30"/>
          <w:szCs w:val="30"/>
          <w:rtl/>
        </w:rPr>
        <w:t>النفط الخام:</w:t>
      </w:r>
    </w:p>
    <w:p w14:paraId="4E178DD1"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drawing>
          <wp:inline distT="0" distB="0" distL="0" distR="0" wp14:anchorId="21052FF5" wp14:editId="5F0D9B4D">
            <wp:extent cx="4265438" cy="2502163"/>
            <wp:effectExtent l="0" t="0" r="1905" b="0"/>
            <wp:docPr id="1263579032" name="Picture 1" descr="A map of the worl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79032" name="Picture 1" descr="A map of the world  Description automatically generated"/>
                    <pic:cNvPicPr/>
                  </pic:nvPicPr>
                  <pic:blipFill rotWithShape="1">
                    <a:blip r:embed="rId71"/>
                    <a:srcRect l="1352"/>
                    <a:stretch/>
                  </pic:blipFill>
                  <pic:spPr bwMode="auto">
                    <a:xfrm>
                      <a:off x="0" y="0"/>
                      <a:ext cx="4278533" cy="2509845"/>
                    </a:xfrm>
                    <a:prstGeom prst="rect">
                      <a:avLst/>
                    </a:prstGeom>
                    <a:ln>
                      <a:noFill/>
                    </a:ln>
                    <a:extLst>
                      <a:ext uri="{53640926-AAD7-44D8-BBD7-CCE9431645EC}">
                        <a14:shadowObscured xmlns:a14="http://schemas.microsoft.com/office/drawing/2010/main"/>
                      </a:ext>
                    </a:extLst>
                  </pic:spPr>
                </pic:pic>
              </a:graphicData>
            </a:graphic>
          </wp:inline>
        </w:drawing>
      </w:r>
    </w:p>
    <w:p w14:paraId="78A87792"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بلغ متوسط عمر السفن المملوكة </w:t>
      </w:r>
      <w:r w:rsidR="00E65E26">
        <w:rPr>
          <w:rFonts w:ascii="Traditional Arabic" w:hAnsi="Traditional Arabic" w:cs="Traditional Arabic"/>
          <w:sz w:val="30"/>
          <w:szCs w:val="30"/>
          <w:rtl/>
        </w:rPr>
        <w:t>بشكل مشترك</w:t>
      </w:r>
      <w:r w:rsidRPr="00334534">
        <w:rPr>
          <w:rFonts w:ascii="Traditional Arabic" w:hAnsi="Traditional Arabic" w:cs="Traditional Arabic"/>
          <w:sz w:val="30"/>
          <w:szCs w:val="30"/>
          <w:rtl/>
        </w:rPr>
        <w:t xml:space="preserve"> والمستأجرة - في هذه الشريحة القطاعية - سبع سنوات حتى 30 سبتمبر 2024 (بما في ذلك السفن قيد الطلب). بلغ متوسط المدة المتبقية لعقود نقل النفط الخام للشركة (باستثناء السفن المطلوبة) عامين حتى 30 سبتمبر 2024. وبلغت القيمة الإجمالية لإيرادات العقود لقطاع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النفط الخام 239</w:t>
      </w:r>
      <w:r w:rsidR="00FE2CA5">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حتى 30 سبتمبر 2024. وشكل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النفط الخام ما نسبته 43 في المائة من </w:t>
      </w:r>
      <w:r w:rsidR="000E5549">
        <w:rPr>
          <w:rFonts w:ascii="Traditional Arabic" w:hAnsi="Traditional Arabic" w:cs="Traditional Arabic" w:hint="cs"/>
          <w:sz w:val="30"/>
          <w:szCs w:val="30"/>
          <w:rtl/>
        </w:rPr>
        <w:t>ممتلكات</w:t>
      </w:r>
      <w:r w:rsidR="000E5549"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 xml:space="preserve">الشركة </w:t>
      </w:r>
      <w:r w:rsidR="008E6BCE">
        <w:rPr>
          <w:rFonts w:ascii="Traditional Arabic" w:hAnsi="Traditional Arabic" w:cs="Traditional Arabic" w:hint="cs"/>
          <w:sz w:val="30"/>
          <w:szCs w:val="30"/>
          <w:rtl/>
        </w:rPr>
        <w:t xml:space="preserve">وناقلاتها </w:t>
      </w:r>
      <w:r w:rsidR="004209D6">
        <w:rPr>
          <w:rFonts w:ascii="Traditional Arabic" w:hAnsi="Traditional Arabic" w:cs="Traditional Arabic" w:hint="cs"/>
          <w:sz w:val="30"/>
          <w:szCs w:val="30"/>
          <w:rtl/>
        </w:rPr>
        <w:t xml:space="preserve">ومعداتها </w:t>
      </w:r>
      <w:r w:rsidRPr="00334534">
        <w:rPr>
          <w:rFonts w:ascii="Traditional Arabic" w:hAnsi="Traditional Arabic" w:cs="Traditional Arabic"/>
          <w:sz w:val="30"/>
          <w:szCs w:val="30"/>
          <w:rtl/>
        </w:rPr>
        <w:t>كما في 31 ديسمبر 2023.</w:t>
      </w:r>
    </w:p>
    <w:p w14:paraId="72000469" w14:textId="77777777" w:rsidR="00AC5C0C" w:rsidRDefault="00AC5C0C" w:rsidP="00334534">
      <w:pPr>
        <w:bidi/>
        <w:jc w:val="both"/>
        <w:rPr>
          <w:rFonts w:ascii="Traditional Arabic" w:hAnsi="Traditional Arabic" w:cs="Traditional Arabic"/>
          <w:sz w:val="30"/>
          <w:szCs w:val="30"/>
          <w:rtl/>
        </w:rPr>
      </w:pPr>
    </w:p>
    <w:p w14:paraId="05B63166" w14:textId="77777777" w:rsidR="00334534" w:rsidRDefault="00334534" w:rsidP="00AC5C0C">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 xml:space="preserve">يوضح الجدول التالي معايير الأداء الرئيسية لقطاع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النفط الخام عن السنوات المنتهية في 31 ديسمبر 2021 و 2022 و 2023 والأشهر التسعة المنتهية في 30 سبتمبر 2023 و 2024:</w:t>
      </w:r>
    </w:p>
    <w:tbl>
      <w:tblPr>
        <w:tblW w:w="9048" w:type="dxa"/>
        <w:tblInd w:w="437" w:type="dxa"/>
        <w:tblLayout w:type="fixed"/>
        <w:tblCellMar>
          <w:left w:w="0" w:type="dxa"/>
          <w:right w:w="0" w:type="dxa"/>
        </w:tblCellMar>
        <w:tblLook w:val="0020" w:firstRow="1" w:lastRow="0" w:firstColumn="0" w:lastColumn="0" w:noHBand="0" w:noVBand="0"/>
      </w:tblPr>
      <w:tblGrid>
        <w:gridCol w:w="3141"/>
        <w:gridCol w:w="235"/>
        <w:gridCol w:w="901"/>
        <w:gridCol w:w="235"/>
        <w:gridCol w:w="900"/>
        <w:gridCol w:w="234"/>
        <w:gridCol w:w="900"/>
        <w:gridCol w:w="234"/>
        <w:gridCol w:w="900"/>
        <w:gridCol w:w="234"/>
        <w:gridCol w:w="900"/>
        <w:gridCol w:w="234"/>
      </w:tblGrid>
      <w:tr w:rsidR="00AC5C0C" w:rsidRPr="00B02BA3" w14:paraId="0E3DD0CA" w14:textId="77777777" w:rsidTr="00922116">
        <w:trPr>
          <w:tblHeader/>
        </w:trPr>
        <w:tc>
          <w:tcPr>
            <w:tcW w:w="3141" w:type="dxa"/>
            <w:vAlign w:val="bottom"/>
          </w:tcPr>
          <w:p w14:paraId="3991D645" w14:textId="77777777" w:rsidR="00AC5C0C" w:rsidRPr="00B02BA3" w:rsidRDefault="00AC5C0C" w:rsidP="00922116">
            <w:pPr>
              <w:pStyle w:val="VSmCellHead"/>
              <w:rPr>
                <w:sz w:val="16"/>
                <w:szCs w:val="16"/>
              </w:rPr>
            </w:pPr>
          </w:p>
        </w:tc>
        <w:tc>
          <w:tcPr>
            <w:tcW w:w="235" w:type="dxa"/>
            <w:vAlign w:val="bottom"/>
          </w:tcPr>
          <w:p w14:paraId="2AD5E218" w14:textId="77777777" w:rsidR="00AC5C0C" w:rsidRPr="00B02BA3" w:rsidRDefault="00AC5C0C" w:rsidP="00922116">
            <w:pPr>
              <w:pStyle w:val="CellRowSpacer"/>
              <w:spacing w:after="120"/>
              <w:rPr>
                <w:sz w:val="16"/>
                <w:szCs w:val="16"/>
              </w:rPr>
            </w:pPr>
          </w:p>
        </w:tc>
        <w:tc>
          <w:tcPr>
            <w:tcW w:w="3170" w:type="dxa"/>
            <w:gridSpan w:val="5"/>
            <w:tcBorders>
              <w:bottom w:val="single" w:sz="4" w:space="0" w:color="auto"/>
            </w:tcBorders>
            <w:vAlign w:val="bottom"/>
          </w:tcPr>
          <w:p w14:paraId="6A4F8211" w14:textId="77777777" w:rsidR="00AC5C0C" w:rsidRPr="00B02BA3" w:rsidRDefault="00AC5C0C" w:rsidP="00922116">
            <w:pPr>
              <w:pStyle w:val="VSmCellHead"/>
              <w:jc w:val="center"/>
              <w:rPr>
                <w:sz w:val="16"/>
                <w:szCs w:val="16"/>
              </w:rPr>
            </w:pPr>
            <w:r w:rsidRPr="00B02BA3">
              <w:rPr>
                <w:sz w:val="16"/>
                <w:szCs w:val="16"/>
              </w:rPr>
              <w:t>As at and for the year ended 31 December</w:t>
            </w:r>
          </w:p>
        </w:tc>
        <w:tc>
          <w:tcPr>
            <w:tcW w:w="234" w:type="dxa"/>
          </w:tcPr>
          <w:p w14:paraId="073DADBB" w14:textId="77777777" w:rsidR="00AC5C0C" w:rsidRPr="00B02BA3" w:rsidRDefault="00AC5C0C" w:rsidP="00922116">
            <w:pPr>
              <w:pStyle w:val="CellRowSpacer"/>
              <w:spacing w:after="120"/>
              <w:rPr>
                <w:sz w:val="16"/>
                <w:szCs w:val="16"/>
              </w:rPr>
            </w:pPr>
          </w:p>
        </w:tc>
        <w:tc>
          <w:tcPr>
            <w:tcW w:w="2034" w:type="dxa"/>
            <w:gridSpan w:val="3"/>
            <w:tcBorders>
              <w:bottom w:val="single" w:sz="4" w:space="0" w:color="auto"/>
            </w:tcBorders>
            <w:vAlign w:val="bottom"/>
          </w:tcPr>
          <w:p w14:paraId="643E9375" w14:textId="77777777" w:rsidR="00AC5C0C" w:rsidRPr="00B02BA3" w:rsidRDefault="00AC5C0C" w:rsidP="00922116">
            <w:pPr>
              <w:pStyle w:val="VSmCellHead"/>
              <w:jc w:val="center"/>
              <w:rPr>
                <w:sz w:val="16"/>
                <w:szCs w:val="16"/>
              </w:rPr>
            </w:pPr>
            <w:r w:rsidRPr="00B02BA3">
              <w:rPr>
                <w:sz w:val="16"/>
                <w:szCs w:val="16"/>
              </w:rPr>
              <w:t>As at and for the nine months ended 30 September</w:t>
            </w:r>
          </w:p>
        </w:tc>
        <w:tc>
          <w:tcPr>
            <w:tcW w:w="234" w:type="dxa"/>
            <w:vAlign w:val="bottom"/>
          </w:tcPr>
          <w:p w14:paraId="4FABD601" w14:textId="77777777" w:rsidR="00AC5C0C" w:rsidRPr="00B02BA3" w:rsidRDefault="00AC5C0C" w:rsidP="00922116">
            <w:pPr>
              <w:pStyle w:val="CellRowSpacer"/>
              <w:spacing w:after="120"/>
              <w:rPr>
                <w:sz w:val="16"/>
                <w:szCs w:val="16"/>
              </w:rPr>
            </w:pPr>
          </w:p>
        </w:tc>
      </w:tr>
      <w:tr w:rsidR="00AC5C0C" w:rsidRPr="00B02BA3" w14:paraId="20436B64" w14:textId="77777777" w:rsidTr="00922116">
        <w:trPr>
          <w:tblHeader/>
        </w:trPr>
        <w:tc>
          <w:tcPr>
            <w:tcW w:w="3141" w:type="dxa"/>
            <w:vAlign w:val="bottom"/>
          </w:tcPr>
          <w:p w14:paraId="747F827D" w14:textId="77777777" w:rsidR="00AC5C0C" w:rsidRPr="00B02BA3" w:rsidRDefault="00AC5C0C" w:rsidP="00922116">
            <w:pPr>
              <w:pStyle w:val="VSmCellHead"/>
              <w:rPr>
                <w:sz w:val="16"/>
                <w:szCs w:val="16"/>
              </w:rPr>
            </w:pPr>
          </w:p>
        </w:tc>
        <w:tc>
          <w:tcPr>
            <w:tcW w:w="235" w:type="dxa"/>
            <w:vAlign w:val="bottom"/>
          </w:tcPr>
          <w:p w14:paraId="5ABDDC96" w14:textId="77777777" w:rsidR="00AC5C0C" w:rsidRPr="00B02BA3" w:rsidRDefault="00AC5C0C" w:rsidP="00922116">
            <w:pPr>
              <w:pStyle w:val="CellRowSpacer"/>
              <w:spacing w:after="120"/>
              <w:rPr>
                <w:sz w:val="16"/>
                <w:szCs w:val="16"/>
              </w:rPr>
            </w:pPr>
          </w:p>
        </w:tc>
        <w:tc>
          <w:tcPr>
            <w:tcW w:w="901" w:type="dxa"/>
            <w:tcBorders>
              <w:top w:val="single" w:sz="4" w:space="0" w:color="auto"/>
              <w:bottom w:val="single" w:sz="4" w:space="0" w:color="auto"/>
            </w:tcBorders>
            <w:vAlign w:val="bottom"/>
          </w:tcPr>
          <w:p w14:paraId="40C444FA" w14:textId="77777777" w:rsidR="00AC5C0C" w:rsidRPr="00B02BA3" w:rsidRDefault="00AC5C0C" w:rsidP="00922116">
            <w:pPr>
              <w:pStyle w:val="VSmCellHead"/>
              <w:jc w:val="right"/>
              <w:rPr>
                <w:sz w:val="16"/>
                <w:szCs w:val="16"/>
              </w:rPr>
            </w:pPr>
            <w:r w:rsidRPr="00B02BA3">
              <w:rPr>
                <w:sz w:val="16"/>
                <w:szCs w:val="16"/>
              </w:rPr>
              <w:t>2021</w:t>
            </w:r>
          </w:p>
        </w:tc>
        <w:tc>
          <w:tcPr>
            <w:tcW w:w="235" w:type="dxa"/>
            <w:tcBorders>
              <w:top w:val="single" w:sz="4" w:space="0" w:color="auto"/>
            </w:tcBorders>
          </w:tcPr>
          <w:p w14:paraId="44970688"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70E275D5" w14:textId="77777777" w:rsidR="00AC5C0C" w:rsidRPr="00B02BA3" w:rsidRDefault="00AC5C0C" w:rsidP="00922116">
            <w:pPr>
              <w:pStyle w:val="VSmCellHead"/>
              <w:jc w:val="right"/>
              <w:rPr>
                <w:sz w:val="16"/>
                <w:szCs w:val="16"/>
              </w:rPr>
            </w:pPr>
            <w:r w:rsidRPr="00B02BA3">
              <w:rPr>
                <w:sz w:val="16"/>
                <w:szCs w:val="16"/>
              </w:rPr>
              <w:t>2022</w:t>
            </w:r>
          </w:p>
        </w:tc>
        <w:tc>
          <w:tcPr>
            <w:tcW w:w="234" w:type="dxa"/>
            <w:tcBorders>
              <w:top w:val="single" w:sz="4" w:space="0" w:color="auto"/>
            </w:tcBorders>
          </w:tcPr>
          <w:p w14:paraId="3ACF51D5"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3E83301F" w14:textId="77777777" w:rsidR="00AC5C0C" w:rsidRPr="00B02BA3" w:rsidRDefault="00AC5C0C" w:rsidP="00922116">
            <w:pPr>
              <w:pStyle w:val="VSmCellHead"/>
              <w:jc w:val="right"/>
              <w:rPr>
                <w:sz w:val="16"/>
                <w:szCs w:val="16"/>
              </w:rPr>
            </w:pPr>
            <w:r w:rsidRPr="00B02BA3">
              <w:rPr>
                <w:sz w:val="16"/>
                <w:szCs w:val="16"/>
              </w:rPr>
              <w:t>2023</w:t>
            </w:r>
          </w:p>
        </w:tc>
        <w:tc>
          <w:tcPr>
            <w:tcW w:w="234" w:type="dxa"/>
          </w:tcPr>
          <w:p w14:paraId="49D9E3A3"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46FEBDE7" w14:textId="77777777" w:rsidR="00AC5C0C" w:rsidRPr="00B02BA3" w:rsidRDefault="00AC5C0C" w:rsidP="00922116">
            <w:pPr>
              <w:pStyle w:val="VSmCellHead"/>
              <w:jc w:val="right"/>
              <w:rPr>
                <w:sz w:val="16"/>
                <w:szCs w:val="16"/>
              </w:rPr>
            </w:pPr>
            <w:r w:rsidRPr="00B02BA3">
              <w:rPr>
                <w:sz w:val="16"/>
                <w:szCs w:val="16"/>
              </w:rPr>
              <w:t>2023</w:t>
            </w:r>
          </w:p>
        </w:tc>
        <w:tc>
          <w:tcPr>
            <w:tcW w:w="234" w:type="dxa"/>
            <w:tcBorders>
              <w:top w:val="single" w:sz="4" w:space="0" w:color="auto"/>
            </w:tcBorders>
          </w:tcPr>
          <w:p w14:paraId="35C83104"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5C0D4815" w14:textId="77777777" w:rsidR="00AC5C0C" w:rsidRPr="00B02BA3" w:rsidRDefault="00AC5C0C" w:rsidP="00922116">
            <w:pPr>
              <w:pStyle w:val="VSmCellHead"/>
              <w:jc w:val="right"/>
              <w:rPr>
                <w:sz w:val="16"/>
                <w:szCs w:val="16"/>
              </w:rPr>
            </w:pPr>
            <w:r w:rsidRPr="00B02BA3">
              <w:rPr>
                <w:sz w:val="16"/>
                <w:szCs w:val="16"/>
              </w:rPr>
              <w:t>2024</w:t>
            </w:r>
          </w:p>
        </w:tc>
        <w:tc>
          <w:tcPr>
            <w:tcW w:w="234" w:type="dxa"/>
            <w:vAlign w:val="bottom"/>
          </w:tcPr>
          <w:p w14:paraId="04934179" w14:textId="77777777" w:rsidR="00AC5C0C" w:rsidRPr="00B02BA3" w:rsidRDefault="00AC5C0C" w:rsidP="00922116">
            <w:pPr>
              <w:pStyle w:val="CellRowSpacer"/>
              <w:spacing w:after="120"/>
              <w:rPr>
                <w:sz w:val="16"/>
                <w:szCs w:val="16"/>
              </w:rPr>
            </w:pPr>
          </w:p>
        </w:tc>
      </w:tr>
      <w:tr w:rsidR="00AC5C0C" w:rsidRPr="00B02BA3" w14:paraId="5590CD99" w14:textId="77777777" w:rsidTr="00922116">
        <w:tc>
          <w:tcPr>
            <w:tcW w:w="3141" w:type="dxa"/>
          </w:tcPr>
          <w:p w14:paraId="557BAA27" w14:textId="77777777" w:rsidR="00AC5C0C" w:rsidRPr="00B02BA3" w:rsidRDefault="00AC5C0C" w:rsidP="00922116">
            <w:pPr>
              <w:pStyle w:val="CellBodyIndent1"/>
              <w:tabs>
                <w:tab w:val="right" w:leader="dot" w:pos="3168"/>
              </w:tabs>
              <w:ind w:left="0"/>
              <w:rPr>
                <w:sz w:val="16"/>
                <w:szCs w:val="16"/>
              </w:rPr>
            </w:pPr>
            <w:r w:rsidRPr="00B02BA3">
              <w:rPr>
                <w:rFonts w:eastAsia="SimSun"/>
                <w:sz w:val="16"/>
                <w:szCs w:val="16"/>
              </w:rPr>
              <w:t>Number of vessels</w:t>
            </w:r>
            <w:r w:rsidRPr="00B02BA3">
              <w:rPr>
                <w:rFonts w:eastAsia="SimSun"/>
                <w:sz w:val="16"/>
                <w:szCs w:val="16"/>
                <w:vertAlign w:val="superscript"/>
              </w:rPr>
              <w:t>(1)</w:t>
            </w:r>
            <w:r w:rsidRPr="00B02BA3">
              <w:rPr>
                <w:rFonts w:eastAsia="SimSun"/>
                <w:sz w:val="16"/>
                <w:szCs w:val="16"/>
              </w:rPr>
              <w:tab/>
            </w:r>
          </w:p>
        </w:tc>
        <w:tc>
          <w:tcPr>
            <w:tcW w:w="235" w:type="dxa"/>
          </w:tcPr>
          <w:p w14:paraId="043B774F" w14:textId="77777777" w:rsidR="00AC5C0C" w:rsidRPr="00B02BA3" w:rsidRDefault="00AC5C0C" w:rsidP="00922116">
            <w:pPr>
              <w:pStyle w:val="CellRowSpacer"/>
              <w:rPr>
                <w:sz w:val="16"/>
                <w:szCs w:val="16"/>
              </w:rPr>
            </w:pPr>
          </w:p>
        </w:tc>
        <w:tc>
          <w:tcPr>
            <w:tcW w:w="901" w:type="dxa"/>
            <w:vAlign w:val="bottom"/>
          </w:tcPr>
          <w:p w14:paraId="785CBCB4" w14:textId="77777777" w:rsidR="00AC5C0C" w:rsidRPr="00B02BA3" w:rsidRDefault="00AC5C0C" w:rsidP="00922116">
            <w:pPr>
              <w:pStyle w:val="VSmCellBody"/>
              <w:jc w:val="right"/>
              <w:rPr>
                <w:sz w:val="16"/>
                <w:szCs w:val="16"/>
              </w:rPr>
            </w:pPr>
            <w:r w:rsidRPr="00B02BA3">
              <w:rPr>
                <w:color w:val="000000"/>
                <w:kern w:val="0"/>
                <w:sz w:val="16"/>
                <w:szCs w:val="16"/>
              </w:rPr>
              <w:t>18</w:t>
            </w:r>
          </w:p>
        </w:tc>
        <w:tc>
          <w:tcPr>
            <w:tcW w:w="235" w:type="dxa"/>
          </w:tcPr>
          <w:p w14:paraId="18C04FA3" w14:textId="77777777" w:rsidR="00AC5C0C" w:rsidRPr="00B02BA3" w:rsidRDefault="00AC5C0C" w:rsidP="00922116">
            <w:pPr>
              <w:pStyle w:val="CellRowSpacer"/>
              <w:rPr>
                <w:sz w:val="16"/>
                <w:szCs w:val="16"/>
              </w:rPr>
            </w:pPr>
          </w:p>
        </w:tc>
        <w:tc>
          <w:tcPr>
            <w:tcW w:w="900" w:type="dxa"/>
            <w:vAlign w:val="bottom"/>
          </w:tcPr>
          <w:p w14:paraId="24BBD8A3" w14:textId="77777777" w:rsidR="00AC5C0C" w:rsidRPr="00B02BA3" w:rsidRDefault="00AC5C0C" w:rsidP="00922116">
            <w:pPr>
              <w:pStyle w:val="VSmCellBody"/>
              <w:jc w:val="right"/>
              <w:rPr>
                <w:sz w:val="16"/>
                <w:szCs w:val="16"/>
              </w:rPr>
            </w:pPr>
            <w:r w:rsidRPr="00B02BA3">
              <w:rPr>
                <w:color w:val="000000"/>
                <w:kern w:val="0"/>
                <w:sz w:val="16"/>
                <w:szCs w:val="16"/>
              </w:rPr>
              <w:t>20</w:t>
            </w:r>
          </w:p>
        </w:tc>
        <w:tc>
          <w:tcPr>
            <w:tcW w:w="234" w:type="dxa"/>
          </w:tcPr>
          <w:p w14:paraId="5572B670" w14:textId="77777777" w:rsidR="00AC5C0C" w:rsidRPr="00B02BA3" w:rsidRDefault="00AC5C0C" w:rsidP="00922116">
            <w:pPr>
              <w:pStyle w:val="CellRowSpacer"/>
              <w:rPr>
                <w:sz w:val="16"/>
                <w:szCs w:val="16"/>
              </w:rPr>
            </w:pPr>
          </w:p>
        </w:tc>
        <w:tc>
          <w:tcPr>
            <w:tcW w:w="900" w:type="dxa"/>
            <w:vAlign w:val="bottom"/>
          </w:tcPr>
          <w:p w14:paraId="2CCDBCA2" w14:textId="77777777" w:rsidR="00AC5C0C" w:rsidRPr="00B02BA3" w:rsidRDefault="00AC5C0C" w:rsidP="00922116">
            <w:pPr>
              <w:pStyle w:val="VSmCellBody"/>
              <w:jc w:val="right"/>
              <w:rPr>
                <w:sz w:val="16"/>
                <w:szCs w:val="16"/>
              </w:rPr>
            </w:pPr>
            <w:r w:rsidRPr="00B02BA3">
              <w:rPr>
                <w:color w:val="000000"/>
                <w:kern w:val="0"/>
                <w:sz w:val="16"/>
                <w:szCs w:val="16"/>
              </w:rPr>
              <w:t>18</w:t>
            </w:r>
          </w:p>
        </w:tc>
        <w:tc>
          <w:tcPr>
            <w:tcW w:w="234" w:type="dxa"/>
          </w:tcPr>
          <w:p w14:paraId="6BCA5370" w14:textId="77777777" w:rsidR="00AC5C0C" w:rsidRPr="00B02BA3" w:rsidRDefault="00AC5C0C" w:rsidP="00922116">
            <w:pPr>
              <w:pStyle w:val="CellRowSpacer"/>
              <w:rPr>
                <w:sz w:val="16"/>
                <w:szCs w:val="16"/>
              </w:rPr>
            </w:pPr>
          </w:p>
        </w:tc>
        <w:tc>
          <w:tcPr>
            <w:tcW w:w="900" w:type="dxa"/>
            <w:vAlign w:val="bottom"/>
          </w:tcPr>
          <w:p w14:paraId="4BEFDF8E" w14:textId="77777777" w:rsidR="00AC5C0C" w:rsidRPr="007D35D4" w:rsidRDefault="00A26A98" w:rsidP="00922116">
            <w:pPr>
              <w:pStyle w:val="VSmCellBody"/>
              <w:jc w:val="right"/>
              <w:rPr>
                <w:sz w:val="16"/>
                <w:szCs w:val="16"/>
              </w:rPr>
            </w:pPr>
            <w:r w:rsidRPr="00B02BA3">
              <w:rPr>
                <w:color w:val="000000"/>
                <w:kern w:val="0"/>
                <w:sz w:val="16"/>
                <w:szCs w:val="16"/>
              </w:rPr>
              <w:t>18</w:t>
            </w:r>
          </w:p>
        </w:tc>
        <w:tc>
          <w:tcPr>
            <w:tcW w:w="234" w:type="dxa"/>
          </w:tcPr>
          <w:p w14:paraId="4C602BC4" w14:textId="77777777" w:rsidR="00AC5C0C" w:rsidRPr="00B02BA3" w:rsidRDefault="00AC5C0C" w:rsidP="00922116">
            <w:pPr>
              <w:pStyle w:val="CellRowSpacer"/>
              <w:rPr>
                <w:sz w:val="16"/>
                <w:szCs w:val="16"/>
              </w:rPr>
            </w:pPr>
          </w:p>
        </w:tc>
        <w:tc>
          <w:tcPr>
            <w:tcW w:w="900" w:type="dxa"/>
            <w:vAlign w:val="bottom"/>
          </w:tcPr>
          <w:p w14:paraId="207BEE99" w14:textId="77777777" w:rsidR="00AC5C0C" w:rsidRPr="00B02BA3" w:rsidRDefault="00AC5C0C" w:rsidP="00922116">
            <w:pPr>
              <w:pStyle w:val="VSmCellBody"/>
              <w:jc w:val="right"/>
              <w:rPr>
                <w:sz w:val="16"/>
                <w:szCs w:val="16"/>
              </w:rPr>
            </w:pPr>
            <w:r w:rsidRPr="00B02BA3">
              <w:rPr>
                <w:color w:val="000000"/>
                <w:kern w:val="0"/>
                <w:sz w:val="16"/>
                <w:szCs w:val="16"/>
              </w:rPr>
              <w:t>18</w:t>
            </w:r>
          </w:p>
        </w:tc>
        <w:tc>
          <w:tcPr>
            <w:tcW w:w="234" w:type="dxa"/>
            <w:vAlign w:val="bottom"/>
          </w:tcPr>
          <w:p w14:paraId="4D7D28BE" w14:textId="77777777" w:rsidR="00AC5C0C" w:rsidRPr="00B02BA3" w:rsidRDefault="00AC5C0C" w:rsidP="00922116">
            <w:pPr>
              <w:pStyle w:val="CellRowSpacer"/>
              <w:rPr>
                <w:sz w:val="16"/>
                <w:szCs w:val="16"/>
              </w:rPr>
            </w:pPr>
          </w:p>
        </w:tc>
      </w:tr>
      <w:tr w:rsidR="00AC5C0C" w:rsidRPr="00B02BA3" w14:paraId="5BFCE20A" w14:textId="77777777" w:rsidTr="00922116">
        <w:tc>
          <w:tcPr>
            <w:tcW w:w="3141" w:type="dxa"/>
          </w:tcPr>
          <w:p w14:paraId="2F2C58D9" w14:textId="77777777" w:rsidR="00AC5C0C" w:rsidRPr="00B02BA3" w:rsidRDefault="00AC5C0C" w:rsidP="00922116">
            <w:pPr>
              <w:pStyle w:val="CellBodyIndent1"/>
              <w:tabs>
                <w:tab w:val="right" w:leader="dot" w:pos="3168"/>
              </w:tabs>
              <w:ind w:left="0"/>
              <w:rPr>
                <w:rFonts w:eastAsia="SimSun"/>
                <w:sz w:val="16"/>
                <w:szCs w:val="16"/>
              </w:rPr>
            </w:pPr>
            <w:r w:rsidRPr="00B02BA3">
              <w:rPr>
                <w:rFonts w:eastAsia="SimSun"/>
                <w:sz w:val="16"/>
                <w:szCs w:val="16"/>
              </w:rPr>
              <w:t>Fleet utilisation rate</w:t>
            </w:r>
            <w:r w:rsidRPr="00B02BA3">
              <w:rPr>
                <w:rFonts w:eastAsia="SimSun"/>
                <w:sz w:val="16"/>
                <w:szCs w:val="16"/>
                <w:vertAlign w:val="superscript"/>
              </w:rPr>
              <w:t>(2)</w:t>
            </w:r>
            <w:r w:rsidRPr="00B02BA3">
              <w:rPr>
                <w:rFonts w:eastAsia="SimSun"/>
                <w:sz w:val="16"/>
                <w:szCs w:val="16"/>
              </w:rPr>
              <w:t xml:space="preserve"> (</w:t>
            </w:r>
            <w:r w:rsidRPr="00B02BA3">
              <w:rPr>
                <w:rFonts w:eastAsia="SimSun"/>
                <w:i/>
                <w:iCs/>
                <w:sz w:val="16"/>
                <w:szCs w:val="16"/>
              </w:rPr>
              <w:t>%</w:t>
            </w:r>
            <w:r w:rsidRPr="00B02BA3">
              <w:rPr>
                <w:rFonts w:eastAsia="SimSun"/>
                <w:sz w:val="16"/>
                <w:szCs w:val="16"/>
              </w:rPr>
              <w:t>)</w:t>
            </w:r>
            <w:r w:rsidRPr="00B02BA3">
              <w:rPr>
                <w:rFonts w:eastAsia="SimSun"/>
                <w:sz w:val="16"/>
                <w:szCs w:val="16"/>
              </w:rPr>
              <w:tab/>
            </w:r>
          </w:p>
        </w:tc>
        <w:tc>
          <w:tcPr>
            <w:tcW w:w="235" w:type="dxa"/>
          </w:tcPr>
          <w:p w14:paraId="535956BF" w14:textId="77777777" w:rsidR="00AC5C0C" w:rsidRPr="00B02BA3" w:rsidRDefault="00AC5C0C" w:rsidP="00922116">
            <w:pPr>
              <w:pStyle w:val="CellRowSpacer"/>
              <w:rPr>
                <w:sz w:val="16"/>
                <w:szCs w:val="16"/>
              </w:rPr>
            </w:pPr>
          </w:p>
        </w:tc>
        <w:tc>
          <w:tcPr>
            <w:tcW w:w="901" w:type="dxa"/>
            <w:vAlign w:val="bottom"/>
          </w:tcPr>
          <w:p w14:paraId="2561B607"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91.4</w:t>
            </w:r>
          </w:p>
        </w:tc>
        <w:tc>
          <w:tcPr>
            <w:tcW w:w="235" w:type="dxa"/>
          </w:tcPr>
          <w:p w14:paraId="3090FFD0" w14:textId="77777777" w:rsidR="00AC5C0C" w:rsidRPr="00B02BA3" w:rsidRDefault="00AC5C0C" w:rsidP="00922116">
            <w:pPr>
              <w:pStyle w:val="CellRowSpacer"/>
              <w:rPr>
                <w:sz w:val="16"/>
                <w:szCs w:val="16"/>
              </w:rPr>
            </w:pPr>
          </w:p>
        </w:tc>
        <w:tc>
          <w:tcPr>
            <w:tcW w:w="900" w:type="dxa"/>
            <w:vAlign w:val="bottom"/>
          </w:tcPr>
          <w:p w14:paraId="45B29D2A"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87.9</w:t>
            </w:r>
          </w:p>
        </w:tc>
        <w:tc>
          <w:tcPr>
            <w:tcW w:w="234" w:type="dxa"/>
            <w:vAlign w:val="bottom"/>
          </w:tcPr>
          <w:p w14:paraId="70441C7C" w14:textId="77777777" w:rsidR="00AC5C0C" w:rsidRPr="00B02BA3" w:rsidRDefault="00AC5C0C" w:rsidP="00922116">
            <w:pPr>
              <w:pStyle w:val="CellRowSpacer"/>
              <w:rPr>
                <w:sz w:val="16"/>
                <w:szCs w:val="16"/>
              </w:rPr>
            </w:pPr>
          </w:p>
        </w:tc>
        <w:tc>
          <w:tcPr>
            <w:tcW w:w="900" w:type="dxa"/>
            <w:vAlign w:val="bottom"/>
          </w:tcPr>
          <w:p w14:paraId="0005C526"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98.2</w:t>
            </w:r>
          </w:p>
        </w:tc>
        <w:tc>
          <w:tcPr>
            <w:tcW w:w="234" w:type="dxa"/>
          </w:tcPr>
          <w:p w14:paraId="7868FF45" w14:textId="77777777" w:rsidR="00AC5C0C" w:rsidRPr="00B02BA3" w:rsidRDefault="00AC5C0C" w:rsidP="00922116">
            <w:pPr>
              <w:pStyle w:val="CellRowSpacer"/>
              <w:rPr>
                <w:sz w:val="16"/>
                <w:szCs w:val="16"/>
              </w:rPr>
            </w:pPr>
          </w:p>
        </w:tc>
        <w:tc>
          <w:tcPr>
            <w:tcW w:w="900" w:type="dxa"/>
            <w:vAlign w:val="bottom"/>
          </w:tcPr>
          <w:p w14:paraId="6F15EA4F" w14:textId="77777777" w:rsidR="00AC5C0C" w:rsidRPr="007D35D4" w:rsidRDefault="00AA39FC" w:rsidP="00D344AB">
            <w:pPr>
              <w:pStyle w:val="VSmCellBody"/>
              <w:jc w:val="right"/>
              <w:rPr>
                <w:color w:val="000000"/>
                <w:kern w:val="0"/>
                <w:sz w:val="16"/>
                <w:szCs w:val="16"/>
              </w:rPr>
            </w:pPr>
            <w:r>
              <w:rPr>
                <w:color w:val="000000"/>
                <w:kern w:val="0"/>
                <w:sz w:val="16"/>
                <w:szCs w:val="16"/>
              </w:rPr>
              <w:t>99.9</w:t>
            </w:r>
          </w:p>
        </w:tc>
        <w:tc>
          <w:tcPr>
            <w:tcW w:w="234" w:type="dxa"/>
          </w:tcPr>
          <w:p w14:paraId="36CAC439" w14:textId="77777777" w:rsidR="00AC5C0C" w:rsidRPr="00B02BA3" w:rsidRDefault="00AC5C0C" w:rsidP="00922116">
            <w:pPr>
              <w:pStyle w:val="CellRowSpacer"/>
              <w:rPr>
                <w:sz w:val="16"/>
                <w:szCs w:val="16"/>
              </w:rPr>
            </w:pPr>
          </w:p>
        </w:tc>
        <w:tc>
          <w:tcPr>
            <w:tcW w:w="900" w:type="dxa"/>
            <w:vAlign w:val="bottom"/>
          </w:tcPr>
          <w:p w14:paraId="1BD68B5C"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98.9</w:t>
            </w:r>
          </w:p>
        </w:tc>
        <w:tc>
          <w:tcPr>
            <w:tcW w:w="234" w:type="dxa"/>
            <w:vAlign w:val="bottom"/>
          </w:tcPr>
          <w:p w14:paraId="10AD1B4C" w14:textId="77777777" w:rsidR="00AC5C0C" w:rsidRPr="00B02BA3" w:rsidRDefault="00AC5C0C" w:rsidP="00922116">
            <w:pPr>
              <w:pStyle w:val="CellRowSpacer"/>
              <w:rPr>
                <w:sz w:val="16"/>
                <w:szCs w:val="16"/>
              </w:rPr>
            </w:pPr>
          </w:p>
        </w:tc>
      </w:tr>
      <w:tr w:rsidR="00AC5C0C" w:rsidRPr="00B02BA3" w14:paraId="06C0EDBE" w14:textId="77777777" w:rsidTr="00922116">
        <w:tc>
          <w:tcPr>
            <w:tcW w:w="3141" w:type="dxa"/>
          </w:tcPr>
          <w:p w14:paraId="0F7872A7" w14:textId="77777777" w:rsidR="00AC5C0C" w:rsidRPr="00B02BA3" w:rsidRDefault="00AC5C0C" w:rsidP="00922116">
            <w:pPr>
              <w:pStyle w:val="CellBodyIndent1"/>
              <w:tabs>
                <w:tab w:val="right" w:leader="dot" w:pos="3168"/>
              </w:tabs>
              <w:ind w:left="0"/>
              <w:rPr>
                <w:rFonts w:eastAsia="SimSun"/>
                <w:sz w:val="16"/>
                <w:szCs w:val="16"/>
              </w:rPr>
            </w:pPr>
            <w:r>
              <w:rPr>
                <w:rFonts w:eastAsia="SimSun"/>
                <w:sz w:val="16"/>
                <w:szCs w:val="16"/>
              </w:rPr>
              <w:t>TCE</w:t>
            </w:r>
            <w:r w:rsidRPr="00B02BA3">
              <w:rPr>
                <w:rFonts w:eastAsia="SimSun"/>
                <w:sz w:val="16"/>
                <w:szCs w:val="16"/>
              </w:rPr>
              <w:t xml:space="preserve"> revenue</w:t>
            </w:r>
            <w:r w:rsidRPr="00B02BA3">
              <w:rPr>
                <w:rFonts w:eastAsia="SimSun"/>
                <w:sz w:val="16"/>
                <w:szCs w:val="16"/>
                <w:vertAlign w:val="superscript"/>
              </w:rPr>
              <w:t xml:space="preserve">(3) </w:t>
            </w:r>
            <w:r w:rsidRPr="00B02BA3">
              <w:rPr>
                <w:rFonts w:eastAsia="SimSun"/>
                <w:sz w:val="16"/>
                <w:szCs w:val="16"/>
              </w:rPr>
              <w:t>(</w:t>
            </w:r>
            <w:r w:rsidRPr="00B02BA3">
              <w:rPr>
                <w:rFonts w:eastAsia="SimSun"/>
                <w:i/>
                <w:iCs/>
                <w:sz w:val="16"/>
                <w:szCs w:val="16"/>
              </w:rPr>
              <w:t>U.S.$ millions</w:t>
            </w:r>
            <w:r w:rsidRPr="00B02BA3">
              <w:rPr>
                <w:rFonts w:eastAsia="SimSun"/>
                <w:sz w:val="16"/>
                <w:szCs w:val="16"/>
              </w:rPr>
              <w:t>)</w:t>
            </w:r>
            <w:r w:rsidRPr="00B02BA3">
              <w:rPr>
                <w:rFonts w:eastAsia="SimSun"/>
                <w:sz w:val="16"/>
                <w:szCs w:val="16"/>
              </w:rPr>
              <w:tab/>
            </w:r>
          </w:p>
        </w:tc>
        <w:tc>
          <w:tcPr>
            <w:tcW w:w="235" w:type="dxa"/>
          </w:tcPr>
          <w:p w14:paraId="1AD31C0E" w14:textId="77777777" w:rsidR="00AC5C0C" w:rsidRPr="00B02BA3" w:rsidRDefault="00AC5C0C" w:rsidP="00922116">
            <w:pPr>
              <w:pStyle w:val="CellRowSpacer"/>
              <w:rPr>
                <w:sz w:val="16"/>
                <w:szCs w:val="16"/>
              </w:rPr>
            </w:pPr>
          </w:p>
        </w:tc>
        <w:tc>
          <w:tcPr>
            <w:tcW w:w="901" w:type="dxa"/>
            <w:vAlign w:val="bottom"/>
          </w:tcPr>
          <w:p w14:paraId="2FE7FF15" w14:textId="77777777" w:rsidR="00AC5C0C" w:rsidRPr="00B02BA3" w:rsidRDefault="009367BA" w:rsidP="00922116">
            <w:pPr>
              <w:pStyle w:val="VSmCellBody"/>
              <w:jc w:val="right"/>
              <w:rPr>
                <w:color w:val="000000"/>
                <w:kern w:val="0"/>
                <w:sz w:val="16"/>
                <w:szCs w:val="16"/>
              </w:rPr>
            </w:pPr>
            <w:r w:rsidRPr="00B02BA3">
              <w:rPr>
                <w:color w:val="000000"/>
                <w:kern w:val="0"/>
                <w:sz w:val="16"/>
                <w:szCs w:val="16"/>
              </w:rPr>
              <w:t>102.</w:t>
            </w:r>
            <w:r>
              <w:rPr>
                <w:color w:val="000000"/>
                <w:kern w:val="0"/>
                <w:sz w:val="16"/>
                <w:szCs w:val="16"/>
              </w:rPr>
              <w:t>1</w:t>
            </w:r>
          </w:p>
        </w:tc>
        <w:tc>
          <w:tcPr>
            <w:tcW w:w="235" w:type="dxa"/>
          </w:tcPr>
          <w:p w14:paraId="723192BB" w14:textId="77777777" w:rsidR="00AC5C0C" w:rsidRPr="00B02BA3" w:rsidRDefault="00AC5C0C" w:rsidP="00922116">
            <w:pPr>
              <w:pStyle w:val="CellRowSpacer"/>
              <w:rPr>
                <w:sz w:val="16"/>
                <w:szCs w:val="16"/>
              </w:rPr>
            </w:pPr>
          </w:p>
        </w:tc>
        <w:tc>
          <w:tcPr>
            <w:tcW w:w="900" w:type="dxa"/>
            <w:vAlign w:val="bottom"/>
          </w:tcPr>
          <w:p w14:paraId="72D7026C" w14:textId="77777777" w:rsidR="00AC5C0C" w:rsidRPr="00B02BA3" w:rsidRDefault="00B8652C" w:rsidP="00922116">
            <w:pPr>
              <w:pStyle w:val="VSmCellBody"/>
              <w:jc w:val="right"/>
              <w:rPr>
                <w:color w:val="000000"/>
                <w:kern w:val="0"/>
                <w:sz w:val="16"/>
                <w:szCs w:val="16"/>
              </w:rPr>
            </w:pPr>
            <w:r>
              <w:rPr>
                <w:color w:val="000000"/>
                <w:kern w:val="0"/>
                <w:sz w:val="16"/>
                <w:szCs w:val="16"/>
              </w:rPr>
              <w:t>165.3</w:t>
            </w:r>
          </w:p>
        </w:tc>
        <w:tc>
          <w:tcPr>
            <w:tcW w:w="234" w:type="dxa"/>
            <w:vAlign w:val="bottom"/>
          </w:tcPr>
          <w:p w14:paraId="3D84D80E" w14:textId="77777777" w:rsidR="00AC5C0C" w:rsidRPr="00B02BA3" w:rsidRDefault="00AC5C0C" w:rsidP="00922116">
            <w:pPr>
              <w:pStyle w:val="CellRowSpacer"/>
              <w:rPr>
                <w:sz w:val="16"/>
                <w:szCs w:val="16"/>
              </w:rPr>
            </w:pPr>
          </w:p>
        </w:tc>
        <w:tc>
          <w:tcPr>
            <w:tcW w:w="900" w:type="dxa"/>
            <w:vAlign w:val="bottom"/>
          </w:tcPr>
          <w:p w14:paraId="2C615D70" w14:textId="77777777" w:rsidR="00AC5C0C" w:rsidRPr="00B02BA3" w:rsidRDefault="00B8652C" w:rsidP="00922116">
            <w:pPr>
              <w:pStyle w:val="VSmCellBody"/>
              <w:jc w:val="right"/>
              <w:rPr>
                <w:color w:val="000000"/>
                <w:kern w:val="0"/>
                <w:sz w:val="16"/>
                <w:szCs w:val="16"/>
              </w:rPr>
            </w:pPr>
            <w:r>
              <w:rPr>
                <w:color w:val="000000"/>
                <w:kern w:val="0"/>
                <w:sz w:val="16"/>
                <w:szCs w:val="16"/>
              </w:rPr>
              <w:t>243.7</w:t>
            </w:r>
          </w:p>
        </w:tc>
        <w:tc>
          <w:tcPr>
            <w:tcW w:w="234" w:type="dxa"/>
          </w:tcPr>
          <w:p w14:paraId="2E4A6F0D" w14:textId="77777777" w:rsidR="00AC5C0C" w:rsidRPr="00B02BA3" w:rsidRDefault="00AC5C0C" w:rsidP="00922116">
            <w:pPr>
              <w:pStyle w:val="CellRowSpacer"/>
              <w:rPr>
                <w:sz w:val="16"/>
                <w:szCs w:val="16"/>
              </w:rPr>
            </w:pPr>
          </w:p>
        </w:tc>
        <w:tc>
          <w:tcPr>
            <w:tcW w:w="900" w:type="dxa"/>
            <w:vAlign w:val="bottom"/>
          </w:tcPr>
          <w:p w14:paraId="789305A2" w14:textId="77777777" w:rsidR="00AC5C0C" w:rsidRPr="007D35D4" w:rsidRDefault="00B8652C" w:rsidP="00922116">
            <w:pPr>
              <w:pStyle w:val="VSmCellBody"/>
              <w:jc w:val="right"/>
              <w:rPr>
                <w:color w:val="000000"/>
                <w:kern w:val="0"/>
                <w:sz w:val="16"/>
                <w:szCs w:val="16"/>
              </w:rPr>
            </w:pPr>
            <w:r>
              <w:rPr>
                <w:color w:val="000000"/>
                <w:kern w:val="0"/>
                <w:sz w:val="16"/>
                <w:szCs w:val="16"/>
              </w:rPr>
              <w:t>186.8</w:t>
            </w:r>
          </w:p>
        </w:tc>
        <w:tc>
          <w:tcPr>
            <w:tcW w:w="234" w:type="dxa"/>
          </w:tcPr>
          <w:p w14:paraId="3B4C15BB" w14:textId="77777777" w:rsidR="00AC5C0C" w:rsidRPr="007472B7" w:rsidRDefault="00AC5C0C" w:rsidP="00922116">
            <w:pPr>
              <w:pStyle w:val="CellRowSpacer"/>
              <w:rPr>
                <w:sz w:val="16"/>
                <w:szCs w:val="16"/>
              </w:rPr>
            </w:pPr>
          </w:p>
        </w:tc>
        <w:tc>
          <w:tcPr>
            <w:tcW w:w="900" w:type="dxa"/>
            <w:vAlign w:val="bottom"/>
          </w:tcPr>
          <w:p w14:paraId="70EA86C4"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171.2</w:t>
            </w:r>
          </w:p>
        </w:tc>
        <w:tc>
          <w:tcPr>
            <w:tcW w:w="234" w:type="dxa"/>
            <w:vAlign w:val="bottom"/>
          </w:tcPr>
          <w:p w14:paraId="7040F341" w14:textId="77777777" w:rsidR="00AC5C0C" w:rsidRPr="00B02BA3" w:rsidRDefault="00AC5C0C" w:rsidP="00922116">
            <w:pPr>
              <w:pStyle w:val="CellRowSpacer"/>
              <w:rPr>
                <w:sz w:val="16"/>
                <w:szCs w:val="16"/>
              </w:rPr>
            </w:pPr>
          </w:p>
        </w:tc>
      </w:tr>
      <w:tr w:rsidR="00CF39CB" w:rsidRPr="00B02BA3" w14:paraId="0F5D87DB" w14:textId="77777777" w:rsidTr="00922116">
        <w:tc>
          <w:tcPr>
            <w:tcW w:w="3141" w:type="dxa"/>
          </w:tcPr>
          <w:p w14:paraId="326D3F82" w14:textId="77777777" w:rsidR="00CF39CB" w:rsidRPr="00B02BA3" w:rsidRDefault="00CF39CB" w:rsidP="00CF39CB">
            <w:pPr>
              <w:pStyle w:val="CellBodyIndent1"/>
              <w:tabs>
                <w:tab w:val="right" w:leader="dot" w:pos="3168"/>
              </w:tabs>
              <w:ind w:left="0"/>
              <w:rPr>
                <w:color w:val="000000"/>
                <w:kern w:val="0"/>
                <w:sz w:val="16"/>
                <w:szCs w:val="16"/>
              </w:rPr>
            </w:pPr>
            <w:r>
              <w:rPr>
                <w:rFonts w:eastAsia="SimSun"/>
                <w:sz w:val="16"/>
                <w:szCs w:val="16"/>
              </w:rPr>
              <w:t>TCE</w:t>
            </w:r>
            <w:r w:rsidRPr="00B02BA3">
              <w:rPr>
                <w:rFonts w:eastAsia="SimSun"/>
                <w:sz w:val="16"/>
                <w:szCs w:val="16"/>
              </w:rPr>
              <w:t xml:space="preserve"> rate</w:t>
            </w:r>
            <w:r w:rsidRPr="00B02BA3">
              <w:rPr>
                <w:rFonts w:eastAsia="SimSun"/>
                <w:sz w:val="16"/>
                <w:szCs w:val="16"/>
                <w:vertAlign w:val="superscript"/>
              </w:rPr>
              <w:t>(3)</w:t>
            </w:r>
            <w:r w:rsidRPr="00B02BA3">
              <w:rPr>
                <w:rFonts w:eastAsia="SimSun"/>
                <w:sz w:val="16"/>
                <w:szCs w:val="16"/>
              </w:rPr>
              <w:t xml:space="preserve"> (</w:t>
            </w:r>
            <w:r w:rsidRPr="00B02BA3">
              <w:rPr>
                <w:rFonts w:eastAsia="SimSun"/>
                <w:i/>
                <w:iCs/>
                <w:sz w:val="16"/>
                <w:szCs w:val="16"/>
              </w:rPr>
              <w:t>U.S.$/day</w:t>
            </w:r>
            <w:r w:rsidRPr="00B02BA3">
              <w:rPr>
                <w:rFonts w:eastAsia="SimSun"/>
                <w:sz w:val="16"/>
                <w:szCs w:val="16"/>
              </w:rPr>
              <w:t>)</w:t>
            </w:r>
            <w:r w:rsidRPr="00B02BA3">
              <w:rPr>
                <w:rFonts w:eastAsia="SimSun"/>
                <w:sz w:val="16"/>
                <w:szCs w:val="16"/>
              </w:rPr>
              <w:tab/>
            </w:r>
          </w:p>
        </w:tc>
        <w:tc>
          <w:tcPr>
            <w:tcW w:w="235" w:type="dxa"/>
          </w:tcPr>
          <w:p w14:paraId="242A1B85" w14:textId="77777777" w:rsidR="00CF39CB" w:rsidRPr="00B02BA3" w:rsidRDefault="00CF39CB" w:rsidP="00CF39CB">
            <w:pPr>
              <w:pStyle w:val="CellRowSpacer"/>
              <w:rPr>
                <w:sz w:val="16"/>
                <w:szCs w:val="16"/>
              </w:rPr>
            </w:pPr>
          </w:p>
        </w:tc>
        <w:tc>
          <w:tcPr>
            <w:tcW w:w="901" w:type="dxa"/>
            <w:vAlign w:val="bottom"/>
          </w:tcPr>
          <w:p w14:paraId="7E6E871E" w14:textId="77777777" w:rsidR="00CF39CB" w:rsidRPr="00B02BA3" w:rsidRDefault="00CF39CB" w:rsidP="00CF39CB">
            <w:pPr>
              <w:pStyle w:val="VSmCellBody"/>
              <w:jc w:val="right"/>
              <w:rPr>
                <w:color w:val="000000"/>
                <w:kern w:val="0"/>
                <w:sz w:val="16"/>
                <w:szCs w:val="16"/>
              </w:rPr>
            </w:pPr>
            <w:r w:rsidRPr="00B02BA3">
              <w:rPr>
                <w:color w:val="000000"/>
                <w:kern w:val="0"/>
                <w:sz w:val="16"/>
                <w:szCs w:val="16"/>
              </w:rPr>
              <w:t>12,627</w:t>
            </w:r>
          </w:p>
        </w:tc>
        <w:tc>
          <w:tcPr>
            <w:tcW w:w="235" w:type="dxa"/>
          </w:tcPr>
          <w:p w14:paraId="714286E0" w14:textId="77777777" w:rsidR="00CF39CB" w:rsidRPr="00B02BA3" w:rsidRDefault="00CF39CB" w:rsidP="00CF39CB">
            <w:pPr>
              <w:pStyle w:val="CellRowSpacer"/>
              <w:rPr>
                <w:sz w:val="16"/>
                <w:szCs w:val="16"/>
              </w:rPr>
            </w:pPr>
          </w:p>
        </w:tc>
        <w:tc>
          <w:tcPr>
            <w:tcW w:w="900" w:type="dxa"/>
            <w:vAlign w:val="bottom"/>
          </w:tcPr>
          <w:p w14:paraId="203D3EAE" w14:textId="77777777" w:rsidR="00CF39CB" w:rsidRPr="00B02BA3" w:rsidRDefault="00CF39CB" w:rsidP="00CF39CB">
            <w:pPr>
              <w:pStyle w:val="VSmCellBody"/>
              <w:jc w:val="right"/>
              <w:rPr>
                <w:color w:val="000000"/>
                <w:kern w:val="0"/>
                <w:sz w:val="16"/>
                <w:szCs w:val="16"/>
              </w:rPr>
            </w:pPr>
            <w:r w:rsidRPr="00B02BA3">
              <w:rPr>
                <w:color w:val="000000"/>
                <w:kern w:val="0"/>
                <w:sz w:val="16"/>
                <w:szCs w:val="16"/>
              </w:rPr>
              <w:t>25,832</w:t>
            </w:r>
          </w:p>
        </w:tc>
        <w:tc>
          <w:tcPr>
            <w:tcW w:w="234" w:type="dxa"/>
            <w:vAlign w:val="bottom"/>
          </w:tcPr>
          <w:p w14:paraId="689A6410" w14:textId="77777777" w:rsidR="00CF39CB" w:rsidRPr="00B02BA3" w:rsidRDefault="00CF39CB" w:rsidP="00CF39CB">
            <w:pPr>
              <w:pStyle w:val="CellRowSpacer"/>
              <w:rPr>
                <w:sz w:val="16"/>
                <w:szCs w:val="16"/>
              </w:rPr>
            </w:pPr>
          </w:p>
        </w:tc>
        <w:tc>
          <w:tcPr>
            <w:tcW w:w="900" w:type="dxa"/>
            <w:vAlign w:val="bottom"/>
          </w:tcPr>
          <w:p w14:paraId="05FDA543" w14:textId="77777777" w:rsidR="00CF39CB" w:rsidRPr="00B02BA3" w:rsidRDefault="00CF39CB" w:rsidP="00CF39CB">
            <w:pPr>
              <w:pStyle w:val="VSmCellBody"/>
              <w:jc w:val="right"/>
              <w:rPr>
                <w:color w:val="000000"/>
                <w:kern w:val="0"/>
                <w:sz w:val="16"/>
                <w:szCs w:val="16"/>
              </w:rPr>
            </w:pPr>
            <w:r w:rsidRPr="00B02BA3">
              <w:rPr>
                <w:color w:val="000000"/>
                <w:kern w:val="0"/>
                <w:sz w:val="16"/>
                <w:szCs w:val="16"/>
              </w:rPr>
              <w:t>37,552</w:t>
            </w:r>
          </w:p>
        </w:tc>
        <w:tc>
          <w:tcPr>
            <w:tcW w:w="234" w:type="dxa"/>
          </w:tcPr>
          <w:p w14:paraId="6EB9C0F2" w14:textId="77777777" w:rsidR="00CF39CB" w:rsidRPr="00B02BA3" w:rsidRDefault="00CF39CB" w:rsidP="00CF39CB">
            <w:pPr>
              <w:pStyle w:val="CellRowSpacer"/>
              <w:rPr>
                <w:sz w:val="16"/>
                <w:szCs w:val="16"/>
              </w:rPr>
            </w:pPr>
          </w:p>
        </w:tc>
        <w:tc>
          <w:tcPr>
            <w:tcW w:w="900" w:type="dxa"/>
            <w:vAlign w:val="bottom"/>
          </w:tcPr>
          <w:p w14:paraId="672BFA4C" w14:textId="77777777" w:rsidR="00CF39CB" w:rsidRPr="00B934CE" w:rsidRDefault="00CF39CB" w:rsidP="00CF39CB">
            <w:pPr>
              <w:pStyle w:val="VSmCellBody"/>
              <w:jc w:val="right"/>
              <w:rPr>
                <w:color w:val="000000"/>
                <w:kern w:val="0"/>
                <w:sz w:val="16"/>
                <w:szCs w:val="16"/>
                <w:lang w:val="en-US"/>
              </w:rPr>
            </w:pPr>
            <w:r>
              <w:rPr>
                <w:color w:val="000000"/>
                <w:kern w:val="0"/>
                <w:sz w:val="16"/>
                <w:szCs w:val="16"/>
              </w:rPr>
              <w:t>33,015</w:t>
            </w:r>
          </w:p>
        </w:tc>
        <w:tc>
          <w:tcPr>
            <w:tcW w:w="234" w:type="dxa"/>
          </w:tcPr>
          <w:p w14:paraId="1D2E3584" w14:textId="77777777" w:rsidR="00CF39CB" w:rsidRPr="00B02BA3" w:rsidRDefault="00CF39CB" w:rsidP="00CF39CB">
            <w:pPr>
              <w:pStyle w:val="CellRowSpacer"/>
              <w:rPr>
                <w:sz w:val="16"/>
                <w:szCs w:val="16"/>
              </w:rPr>
            </w:pPr>
          </w:p>
        </w:tc>
        <w:tc>
          <w:tcPr>
            <w:tcW w:w="900" w:type="dxa"/>
            <w:vAlign w:val="bottom"/>
          </w:tcPr>
          <w:p w14:paraId="10C7BEC1" w14:textId="77777777" w:rsidR="00CF39CB" w:rsidRPr="00B02BA3" w:rsidRDefault="00CF39CB" w:rsidP="00CF39CB">
            <w:pPr>
              <w:pStyle w:val="VSmCellBody"/>
              <w:jc w:val="right"/>
              <w:rPr>
                <w:color w:val="000000"/>
                <w:kern w:val="0"/>
                <w:sz w:val="16"/>
                <w:szCs w:val="16"/>
              </w:rPr>
            </w:pPr>
            <w:r w:rsidRPr="00B02BA3">
              <w:rPr>
                <w:color w:val="000000"/>
                <w:kern w:val="0"/>
                <w:sz w:val="16"/>
                <w:szCs w:val="16"/>
              </w:rPr>
              <w:t>39,391</w:t>
            </w:r>
          </w:p>
        </w:tc>
        <w:tc>
          <w:tcPr>
            <w:tcW w:w="234" w:type="dxa"/>
            <w:vAlign w:val="bottom"/>
          </w:tcPr>
          <w:p w14:paraId="59EDB59F" w14:textId="77777777" w:rsidR="00CF39CB" w:rsidRPr="00B02BA3" w:rsidRDefault="00CF39CB" w:rsidP="00CF39CB">
            <w:pPr>
              <w:pStyle w:val="CellRowSpacer"/>
              <w:rPr>
                <w:sz w:val="16"/>
                <w:szCs w:val="16"/>
              </w:rPr>
            </w:pPr>
          </w:p>
        </w:tc>
      </w:tr>
      <w:tr w:rsidR="00AC5C0C" w:rsidRPr="00B02BA3" w14:paraId="3F433AD1" w14:textId="77777777" w:rsidTr="00922116">
        <w:tc>
          <w:tcPr>
            <w:tcW w:w="3141" w:type="dxa"/>
          </w:tcPr>
          <w:p w14:paraId="1231900A" w14:textId="77777777" w:rsidR="00AC5C0C" w:rsidRPr="00B02BA3" w:rsidRDefault="00AC5C0C" w:rsidP="00922116">
            <w:pPr>
              <w:pStyle w:val="CellBodyIndent1"/>
              <w:tabs>
                <w:tab w:val="right" w:leader="dot" w:pos="3168"/>
              </w:tabs>
              <w:ind w:left="0"/>
              <w:rPr>
                <w:rFonts w:eastAsia="SimSun"/>
                <w:sz w:val="16"/>
                <w:szCs w:val="16"/>
              </w:rPr>
            </w:pPr>
            <w:r w:rsidRPr="00B02BA3">
              <w:rPr>
                <w:rFonts w:eastAsia="SimSun"/>
                <w:sz w:val="16"/>
                <w:szCs w:val="16"/>
              </w:rPr>
              <w:t>EBITDA</w:t>
            </w:r>
            <w:r w:rsidRPr="00B02BA3">
              <w:rPr>
                <w:rFonts w:eastAsia="SimSun"/>
                <w:sz w:val="16"/>
                <w:szCs w:val="16"/>
                <w:vertAlign w:val="superscript"/>
              </w:rPr>
              <w:t xml:space="preserve">(3) </w:t>
            </w:r>
            <w:r w:rsidRPr="00B02BA3">
              <w:rPr>
                <w:rFonts w:eastAsia="SimSun"/>
                <w:sz w:val="16"/>
                <w:szCs w:val="16"/>
              </w:rPr>
              <w:t>(</w:t>
            </w:r>
            <w:r w:rsidRPr="00B02BA3">
              <w:rPr>
                <w:rFonts w:eastAsia="SimSun"/>
                <w:i/>
                <w:iCs/>
                <w:sz w:val="16"/>
                <w:szCs w:val="16"/>
              </w:rPr>
              <w:t>U.S.$ millions</w:t>
            </w:r>
            <w:r w:rsidRPr="00B02BA3">
              <w:rPr>
                <w:rFonts w:eastAsia="SimSun"/>
                <w:sz w:val="16"/>
                <w:szCs w:val="16"/>
              </w:rPr>
              <w:t>)</w:t>
            </w:r>
            <w:r w:rsidRPr="00B02BA3">
              <w:rPr>
                <w:rFonts w:eastAsia="SimSun"/>
                <w:sz w:val="16"/>
                <w:szCs w:val="16"/>
              </w:rPr>
              <w:tab/>
            </w:r>
          </w:p>
        </w:tc>
        <w:tc>
          <w:tcPr>
            <w:tcW w:w="235" w:type="dxa"/>
          </w:tcPr>
          <w:p w14:paraId="126F7AF2" w14:textId="77777777" w:rsidR="00AC5C0C" w:rsidRPr="00B02BA3" w:rsidRDefault="00AC5C0C" w:rsidP="00922116">
            <w:pPr>
              <w:pStyle w:val="CellRowSpacer"/>
              <w:rPr>
                <w:sz w:val="16"/>
                <w:szCs w:val="16"/>
              </w:rPr>
            </w:pPr>
          </w:p>
        </w:tc>
        <w:tc>
          <w:tcPr>
            <w:tcW w:w="901" w:type="dxa"/>
            <w:vAlign w:val="bottom"/>
          </w:tcPr>
          <w:p w14:paraId="59CC48F0"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44.6</w:t>
            </w:r>
          </w:p>
        </w:tc>
        <w:tc>
          <w:tcPr>
            <w:tcW w:w="235" w:type="dxa"/>
          </w:tcPr>
          <w:p w14:paraId="0D1713C8" w14:textId="77777777" w:rsidR="00AC5C0C" w:rsidRPr="00B02BA3" w:rsidRDefault="00AC5C0C" w:rsidP="00922116">
            <w:pPr>
              <w:pStyle w:val="CellRowSpacer"/>
              <w:rPr>
                <w:sz w:val="16"/>
                <w:szCs w:val="16"/>
              </w:rPr>
            </w:pPr>
          </w:p>
        </w:tc>
        <w:tc>
          <w:tcPr>
            <w:tcW w:w="900" w:type="dxa"/>
            <w:vAlign w:val="bottom"/>
          </w:tcPr>
          <w:p w14:paraId="495E850C"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93.0</w:t>
            </w:r>
          </w:p>
        </w:tc>
        <w:tc>
          <w:tcPr>
            <w:tcW w:w="234" w:type="dxa"/>
            <w:vAlign w:val="bottom"/>
          </w:tcPr>
          <w:p w14:paraId="4A22E956" w14:textId="77777777" w:rsidR="00AC5C0C" w:rsidRPr="00B02BA3" w:rsidRDefault="00AC5C0C" w:rsidP="00922116">
            <w:pPr>
              <w:pStyle w:val="CellRowSpacer"/>
              <w:rPr>
                <w:sz w:val="16"/>
                <w:szCs w:val="16"/>
              </w:rPr>
            </w:pPr>
          </w:p>
        </w:tc>
        <w:tc>
          <w:tcPr>
            <w:tcW w:w="900" w:type="dxa"/>
            <w:vAlign w:val="bottom"/>
          </w:tcPr>
          <w:p w14:paraId="385E6920"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243.1</w:t>
            </w:r>
          </w:p>
        </w:tc>
        <w:tc>
          <w:tcPr>
            <w:tcW w:w="234" w:type="dxa"/>
          </w:tcPr>
          <w:p w14:paraId="18F3C526" w14:textId="77777777" w:rsidR="00AC5C0C" w:rsidRPr="00B02BA3" w:rsidRDefault="00AC5C0C" w:rsidP="00922116">
            <w:pPr>
              <w:pStyle w:val="CellRowSpacer"/>
              <w:rPr>
                <w:sz w:val="16"/>
                <w:szCs w:val="16"/>
                <w:vertAlign w:val="superscript"/>
              </w:rPr>
            </w:pPr>
            <w:r w:rsidRPr="00B02BA3">
              <w:rPr>
                <w:sz w:val="16"/>
                <w:szCs w:val="16"/>
                <w:vertAlign w:val="superscript"/>
              </w:rPr>
              <w:t>(4)</w:t>
            </w:r>
          </w:p>
        </w:tc>
        <w:tc>
          <w:tcPr>
            <w:tcW w:w="900" w:type="dxa"/>
            <w:vAlign w:val="bottom"/>
          </w:tcPr>
          <w:p w14:paraId="5ADEF215" w14:textId="77777777" w:rsidR="00AC5C0C" w:rsidRPr="007D35D4" w:rsidRDefault="00AC5C0C" w:rsidP="00922116">
            <w:pPr>
              <w:pStyle w:val="VSmCellBody"/>
              <w:jc w:val="right"/>
              <w:rPr>
                <w:color w:val="000000"/>
                <w:kern w:val="0"/>
                <w:sz w:val="16"/>
                <w:szCs w:val="16"/>
              </w:rPr>
            </w:pPr>
            <w:r w:rsidRPr="007D35D4">
              <w:rPr>
                <w:color w:val="000000"/>
                <w:kern w:val="0"/>
                <w:sz w:val="16"/>
                <w:szCs w:val="16"/>
              </w:rPr>
              <w:t>152.5</w:t>
            </w:r>
          </w:p>
        </w:tc>
        <w:tc>
          <w:tcPr>
            <w:tcW w:w="234" w:type="dxa"/>
          </w:tcPr>
          <w:p w14:paraId="35FA0112" w14:textId="77777777" w:rsidR="00AC5C0C" w:rsidRPr="007472B7" w:rsidRDefault="00AC5C0C" w:rsidP="00922116">
            <w:pPr>
              <w:pStyle w:val="CellRowSpacer"/>
              <w:rPr>
                <w:sz w:val="16"/>
                <w:szCs w:val="16"/>
              </w:rPr>
            </w:pPr>
          </w:p>
        </w:tc>
        <w:tc>
          <w:tcPr>
            <w:tcW w:w="900" w:type="dxa"/>
            <w:vAlign w:val="bottom"/>
          </w:tcPr>
          <w:p w14:paraId="5307E987"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125.6</w:t>
            </w:r>
          </w:p>
        </w:tc>
        <w:tc>
          <w:tcPr>
            <w:tcW w:w="234" w:type="dxa"/>
            <w:vAlign w:val="bottom"/>
          </w:tcPr>
          <w:p w14:paraId="7196BFA6" w14:textId="77777777" w:rsidR="00AC5C0C" w:rsidRPr="00B02BA3" w:rsidRDefault="00AC5C0C" w:rsidP="00922116">
            <w:pPr>
              <w:pStyle w:val="CellRowSpacer"/>
              <w:rPr>
                <w:sz w:val="16"/>
                <w:szCs w:val="16"/>
              </w:rPr>
            </w:pPr>
          </w:p>
        </w:tc>
      </w:tr>
    </w:tbl>
    <w:p w14:paraId="113432FA" w14:textId="77777777" w:rsidR="00AC5C0C" w:rsidRPr="00334534" w:rsidRDefault="00AC5C0C" w:rsidP="00AC5C0C">
      <w:pPr>
        <w:bidi/>
        <w:jc w:val="both"/>
        <w:rPr>
          <w:rFonts w:ascii="Traditional Arabic" w:hAnsi="Traditional Arabic" w:cs="Traditional Arabic"/>
          <w:sz w:val="30"/>
          <w:szCs w:val="30"/>
        </w:rPr>
      </w:pPr>
    </w:p>
    <w:p w14:paraId="1A946C80" w14:textId="77777777" w:rsidR="00334534" w:rsidRPr="00334534" w:rsidRDefault="00334534" w:rsidP="00334534">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334534" w14:paraId="70DB7293" w14:textId="77777777" w:rsidTr="00922116">
        <w:tc>
          <w:tcPr>
            <w:tcW w:w="1424" w:type="dxa"/>
            <w:tcBorders>
              <w:top w:val="single" w:sz="4" w:space="0" w:color="auto"/>
            </w:tcBorders>
            <w:vAlign w:val="bottom"/>
          </w:tcPr>
          <w:p w14:paraId="4B132F82"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الملاحظات:</w:t>
            </w:r>
          </w:p>
        </w:tc>
        <w:tc>
          <w:tcPr>
            <w:tcW w:w="7501" w:type="dxa"/>
            <w:vAlign w:val="bottom"/>
          </w:tcPr>
          <w:p w14:paraId="3A12733B" w14:textId="77777777" w:rsidR="00334534" w:rsidRPr="00334534" w:rsidRDefault="00334534" w:rsidP="00334534">
            <w:pPr>
              <w:bidi/>
              <w:jc w:val="both"/>
              <w:rPr>
                <w:rFonts w:ascii="Traditional Arabic" w:hAnsi="Traditional Arabic" w:cs="Traditional Arabic"/>
                <w:sz w:val="30"/>
                <w:szCs w:val="30"/>
              </w:rPr>
            </w:pPr>
          </w:p>
        </w:tc>
      </w:tr>
      <w:tr w:rsidR="00334534" w:rsidRPr="00334534" w14:paraId="57443A4B" w14:textId="77777777" w:rsidTr="00922116">
        <w:tc>
          <w:tcPr>
            <w:tcW w:w="8925" w:type="dxa"/>
            <w:gridSpan w:val="2"/>
            <w:vAlign w:val="bottom"/>
          </w:tcPr>
          <w:p w14:paraId="2DC770EF"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باستثناء السفن المطلوبة.</w:t>
            </w:r>
          </w:p>
        </w:tc>
      </w:tr>
      <w:tr w:rsidR="00334534" w:rsidRPr="00334534" w14:paraId="31728D96" w14:textId="77777777" w:rsidTr="00922116">
        <w:tc>
          <w:tcPr>
            <w:tcW w:w="8925" w:type="dxa"/>
            <w:gridSpan w:val="2"/>
            <w:vAlign w:val="bottom"/>
          </w:tcPr>
          <w:p w14:paraId="6F7D354C"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يتم حساب استخدام الأسطول على أنه 365 يوما ناقص عدد الأيام التي ترسو فيها السفن في الحوض الجاف، مقسومًا على 365.</w:t>
            </w:r>
          </w:p>
        </w:tc>
      </w:tr>
      <w:tr w:rsidR="00334534" w:rsidRPr="00334534" w14:paraId="4A7429F3" w14:textId="77777777" w:rsidTr="00922116">
        <w:tc>
          <w:tcPr>
            <w:tcW w:w="8925" w:type="dxa"/>
            <w:gridSpan w:val="2"/>
            <w:vAlign w:val="bottom"/>
          </w:tcPr>
          <w:p w14:paraId="12AE7967"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لمناقشة كيفية حساب مكافئ تأجير السفن المجهزة بالمدة، ومعدل مكافئ تأجير السفن المجهزة بالمدة، والأرباح قبل حساب الفائدة والضريبة والإهلاك والإطفاء، يرجى الاطلاع على "</w:t>
            </w:r>
            <w:r w:rsidRPr="00985281">
              <w:rPr>
                <w:rFonts w:ascii="Traditional Arabic" w:hAnsi="Traditional Arabic" w:cs="Traditional Arabic"/>
                <w:i/>
                <w:sz w:val="24"/>
                <w:rtl/>
              </w:rPr>
              <w:t>عرض البيانات المالية وبيانات القطاع والسوق - معلومات غير متصلة بالمعايير الدولية لإعداد التقارير المالية وبعض البيانات المالية والتشغيلية الأخرى - معلومات</w:t>
            </w:r>
            <w:r w:rsidRPr="00985281">
              <w:rPr>
                <w:rFonts w:ascii="Traditional Arabic" w:hAnsi="Traditional Arabic" w:cs="Traditional Arabic"/>
                <w:sz w:val="24"/>
                <w:rtl/>
              </w:rPr>
              <w:t xml:space="preserve"> غير متصلة بالمعايير الدولية لإعداد</w:t>
            </w:r>
            <w:r w:rsidRPr="00985281">
              <w:rPr>
                <w:rFonts w:ascii="Traditional Arabic" w:hAnsi="Traditional Arabic" w:cs="Traditional Arabic"/>
                <w:i/>
                <w:sz w:val="24"/>
                <w:rtl/>
              </w:rPr>
              <w:t xml:space="preserve"> التقارير المالية" و "الفصل الثالث عشر - معلومات مالية وتشغيلية تاريخية مختارة وغيرها من المعلومات - بيانات مالية وتشغيلية أخرى ".</w:t>
            </w:r>
            <w:r w:rsidRPr="00985281">
              <w:rPr>
                <w:rFonts w:ascii="Traditional Arabic" w:hAnsi="Traditional Arabic" w:cs="Traditional Arabic"/>
                <w:sz w:val="24"/>
                <w:rtl/>
              </w:rPr>
              <w:t xml:space="preserve"> </w:t>
            </w:r>
          </w:p>
        </w:tc>
      </w:tr>
      <w:tr w:rsidR="00334534" w:rsidRPr="00334534" w14:paraId="1DC41054" w14:textId="77777777" w:rsidTr="00922116">
        <w:tc>
          <w:tcPr>
            <w:tcW w:w="8925" w:type="dxa"/>
            <w:gridSpan w:val="2"/>
            <w:vAlign w:val="bottom"/>
          </w:tcPr>
          <w:p w14:paraId="657A3EB2"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بلغت الأرباح قبل حساب الفوائد والضرائب والإهلاك والإطفاء حوالي 46.9 مليون دولار أمريكي للسنة المنتهية في 31 ديسمبر 2023 نتيجة لمكسب لمرة واحدة من بيع ثلاث سفن.</w:t>
            </w:r>
          </w:p>
        </w:tc>
      </w:tr>
    </w:tbl>
    <w:p w14:paraId="05B31BF2" w14:textId="77777777" w:rsidR="00AC5C0C" w:rsidRDefault="00AC5C0C" w:rsidP="00334534">
      <w:pPr>
        <w:bidi/>
        <w:jc w:val="both"/>
        <w:rPr>
          <w:rFonts w:ascii="Traditional Arabic" w:hAnsi="Traditional Arabic" w:cs="Traditional Arabic"/>
          <w:i/>
          <w:sz w:val="30"/>
          <w:szCs w:val="30"/>
          <w:rtl/>
        </w:rPr>
      </w:pPr>
    </w:p>
    <w:p w14:paraId="4343B395"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تطوير الأسطول</w:t>
      </w:r>
    </w:p>
    <w:p w14:paraId="174D3C77"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اعتمادًا على ظروف السوق، تتوقع الشركة أنها ستقوم بالتخلص التدريجي من العديد من ناقلات النفط الخام العملاقة بحلول نهاية عام 2026. لذلك طلبت الشركة أربع ناقلات جديدة عملاقة للنفط الخام، على أن يكون التسليم في عامي 2026 و 2027، بتكلفة إجمالية قدرها 520</w:t>
      </w:r>
      <w:r w:rsidR="00E9555F">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ستكون سعة كل ناقلة جديدة من ناقلات النفط الخام العملاقة بسعة 300,000 طن ساكن، وستكون هذه الناقلات العملاقة ثنائية الوقود، وستكون بمواصفات أعلى من المواصفات المتاحة حاليًا، بما في ذلك المولدات المحورية مما يقلل من مقاومة الماء التي تواجهها السفينة أثناء حركتها مما يسهم في تقليل استهلاكها للطاقة وتحسين كفاءتها في استخدام الوقود. </w:t>
      </w:r>
    </w:p>
    <w:p w14:paraId="091552D6" w14:textId="77777777" w:rsidR="00AC5C0C" w:rsidRDefault="00AC5C0C" w:rsidP="00334534">
      <w:pPr>
        <w:bidi/>
        <w:jc w:val="both"/>
        <w:rPr>
          <w:rFonts w:ascii="Traditional Arabic" w:hAnsi="Traditional Arabic" w:cs="Traditional Arabic"/>
          <w:sz w:val="30"/>
          <w:szCs w:val="30"/>
          <w:rtl/>
        </w:rPr>
      </w:pPr>
    </w:p>
    <w:p w14:paraId="121798A9"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هذا، وتتوقع الشركة أن يتم تأجير ناقلتين من ناقلات النفط الخام العملاقة بموجب عقود إيجار طويلة الأمد، وسيتم تشغيل ناقلتين في سوق التأجير الفوري للحفاظ على التوازن بين تأمين التدفقات النقدية المتعاقد عليها بشكل مستقر وإدارة التعرض لأسعار السوق في حالة وجود تطورات أو تغيرات مواتية في السوق. تدرس الشركة المزيد من الخيارات لتوسيع أسطولها من </w:t>
      </w:r>
      <w:r w:rsidRPr="00334534">
        <w:rPr>
          <w:rFonts w:ascii="Traditional Arabic" w:hAnsi="Traditional Arabic" w:cs="Traditional Arabic"/>
          <w:sz w:val="30"/>
          <w:szCs w:val="30"/>
          <w:rtl/>
        </w:rPr>
        <w:lastRenderedPageBreak/>
        <w:t>ناقلات النفط الخام العملاقة وناقلات سويسماكس عن طريق الشراء الاستراتيجي من سوق المستعمل وطلب سفن جديدة إضافية.</w:t>
      </w:r>
    </w:p>
    <w:p w14:paraId="2E4858B9" w14:textId="77777777" w:rsidR="00AC5C0C" w:rsidRDefault="00AC5C0C" w:rsidP="00334534">
      <w:pPr>
        <w:bidi/>
        <w:jc w:val="both"/>
        <w:rPr>
          <w:rFonts w:ascii="Traditional Arabic" w:hAnsi="Traditional Arabic" w:cs="Traditional Arabic"/>
          <w:i/>
          <w:sz w:val="30"/>
          <w:szCs w:val="30"/>
          <w:rtl/>
        </w:rPr>
      </w:pPr>
    </w:p>
    <w:p w14:paraId="28807611"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المنافسة</w:t>
      </w:r>
    </w:p>
    <w:p w14:paraId="633E413E"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تشتد المنافسة على التأجير في سوق ناقلات النفط الخام، وتكون على أساس سعر السفينة وموقعها وحجمها وعمرها واستهلاكها للوقود وحالتها ومقبوليتها، بالإضافة إلى سمعة مشغل السفينة. كما تتأثر تنافسية الشركة من حيث فئة الأحجام التي تتنافس فيها ومدى توافر سفن بأحجام أخرى متنافسة في تلك السوق، وكذلك سعر برميل النفط الخام. من المنافسين الرئيسيين للشركة: شركة سي إم بي تيك، وشركة دي إتش تي، وشركة فرانت لاين آند إنترناشيونال سيويز.</w:t>
      </w:r>
    </w:p>
    <w:p w14:paraId="6659C3E8" w14:textId="77777777" w:rsidR="00AC5C0C" w:rsidRDefault="00AC5C0C" w:rsidP="00334534">
      <w:pPr>
        <w:bidi/>
        <w:jc w:val="both"/>
        <w:rPr>
          <w:rFonts w:ascii="Traditional Arabic" w:hAnsi="Traditional Arabic" w:cs="Traditional Arabic"/>
          <w:i/>
          <w:sz w:val="30"/>
          <w:szCs w:val="30"/>
          <w:rtl/>
        </w:rPr>
      </w:pPr>
    </w:p>
    <w:p w14:paraId="1CBD9A10"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العملاء</w:t>
      </w:r>
    </w:p>
    <w:p w14:paraId="30CC182D"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تقوم الشركة بنقل النفط الخام وفقًا لترتيبات 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التي تضمنت تاريخيًا مزيجًا من عقود تأجير السفن المجهزة بالمدة وترتيبات التأجير الفوري. ومن بين ناقلات النفط الخام العملاقة الإثنا عشر التابعة للشركة، تعمل تسع منها بموجب عقود تأجير طويلة الأمد للسفن المجهزة بالمدة (من سنتين إلى ست سنوات)، وتعمل ثلاث منها في سوق التأجير الفوري بمدد تقل عادة عن ثلاثة أشهر. تحتوي جميع عقود تأجير ناقلات النفط الخام العملاقة المجهزة بالمدة على خيارات تمديد تتراوح من سنة إلى ثلاث سنوات. ومن بين سفن سويسماكس الأربع التابعة للشركة، تعمل سفينتان بموجب عقود تأجير قصيرة الأمد للسفن المجهزة بالمدة (12 شهرًا) وسفينتان بموجب عقود تأجير طويلة </w:t>
      </w:r>
      <w:r w:rsidR="00AD58BF">
        <w:rPr>
          <w:rFonts w:ascii="Traditional Arabic" w:hAnsi="Traditional Arabic" w:cs="Traditional Arabic" w:hint="cs"/>
          <w:sz w:val="30"/>
          <w:szCs w:val="30"/>
          <w:rtl/>
        </w:rPr>
        <w:t>الأمد</w:t>
      </w:r>
      <w:r w:rsidR="00AD58BF"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للسفن المجهزة بالمدة (ثلاث سنوات). تحتوي عقود التأجير طويلة الأمد للسفن المجهزة بالمدة على خيارات تمديد من عام إلى عامين. وتعمل سفينتا أفراماكس التابعتان للشركة بموجب عقود تأجير طويلة الأمد للسفن المجهزة بالمدة (لمدة عامين)، وتخضع إحداهما لخيار تمديد لمدة عام واحد.</w:t>
      </w:r>
    </w:p>
    <w:p w14:paraId="20C85150" w14:textId="77777777" w:rsidR="00AC5C0C" w:rsidRDefault="00AC5C0C" w:rsidP="00334534">
      <w:pPr>
        <w:bidi/>
        <w:jc w:val="both"/>
        <w:rPr>
          <w:rFonts w:ascii="Traditional Arabic" w:hAnsi="Traditional Arabic" w:cs="Traditional Arabic"/>
          <w:sz w:val="30"/>
          <w:szCs w:val="30"/>
          <w:rtl/>
        </w:rPr>
      </w:pPr>
    </w:p>
    <w:p w14:paraId="3FE4312B" w14:textId="77777777" w:rsidR="00334534" w:rsidRPr="00A656B1" w:rsidRDefault="00334534" w:rsidP="00AD0FED">
      <w:pPr>
        <w:bidi/>
        <w:jc w:val="both"/>
        <w:rPr>
          <w:rFonts w:ascii="Traditional Arabic" w:hAnsi="Traditional Arabic" w:cs="Traditional Arabic"/>
          <w:b/>
          <w:sz w:val="30"/>
          <w:szCs w:val="30"/>
        </w:rPr>
      </w:pPr>
      <w:r w:rsidRPr="00334534">
        <w:rPr>
          <w:rFonts w:ascii="Traditional Arabic" w:hAnsi="Traditional Arabic" w:cs="Traditional Arabic"/>
          <w:sz w:val="30"/>
          <w:szCs w:val="30"/>
          <w:rtl/>
        </w:rPr>
        <w:t xml:space="preserve">هذا، ويتألف عملاء قطاع شحن النفط الخام في المقام الأول من شركات النفط العالمية الكبرى ومصافي التكرير، بما في ذلك شركة شل، وشركة بي بي، وشركة إكسون موبيل، وشركة شيفرون، </w:t>
      </w:r>
      <w:r w:rsidR="00CF411A" w:rsidRPr="00334534">
        <w:rPr>
          <w:rFonts w:ascii="Traditional Arabic" w:hAnsi="Traditional Arabic" w:cs="Traditional Arabic"/>
          <w:sz w:val="30"/>
          <w:szCs w:val="30"/>
          <w:rtl/>
        </w:rPr>
        <w:t>وشركة بيتروكيميكال</w:t>
      </w:r>
      <w:r w:rsidR="00CF411A">
        <w:rPr>
          <w:rFonts w:ascii="Traditional Arabic" w:hAnsi="Traditional Arabic" w:cs="Traditional Arabic" w:hint="cs"/>
          <w:sz w:val="30"/>
          <w:szCs w:val="30"/>
          <w:rtl/>
        </w:rPr>
        <w:t>ز،</w:t>
      </w:r>
      <w:r w:rsidR="00CF411A"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وشركة سينوبيك، وشركة جي إس كالتيكس، وشركة بي تي تي، وشركة جلاسفورد وشركة هينغلي، بالإضافة إلى تجار النفط الآخرين وشركات النفط الوطنية والشركات العاملة في مجال بيع السلع، ومالكي السفن، بما في ذلك شركة ريلاينس إندستريز ليمتد، و</w:t>
      </w:r>
      <w:r w:rsidR="00AD0FED" w:rsidRPr="00AD0FED">
        <w:rPr>
          <w:rFonts w:ascii="Traditional Arabic" w:hAnsi="Traditional Arabic" w:cs="Traditional Arabic"/>
          <w:sz w:val="30"/>
          <w:szCs w:val="30"/>
          <w:rtl/>
        </w:rPr>
        <w:t xml:space="preserve">شركة النفط العمانية للمصافي و الصناعات البترولية </w:t>
      </w:r>
      <w:r w:rsidRPr="00334534">
        <w:rPr>
          <w:rFonts w:ascii="Traditional Arabic" w:hAnsi="Traditional Arabic" w:cs="Traditional Arabic"/>
          <w:sz w:val="30"/>
          <w:szCs w:val="30"/>
          <w:rtl/>
        </w:rPr>
        <w:t xml:space="preserve">، وشركة ترافيجورا، وشركة فيتول، وشركة سنوكور </w:t>
      </w:r>
    </w:p>
    <w:p w14:paraId="303F26EC" w14:textId="77777777" w:rsidR="00AC5C0C" w:rsidRDefault="00AC5C0C" w:rsidP="00334534">
      <w:pPr>
        <w:bidi/>
        <w:jc w:val="both"/>
        <w:rPr>
          <w:rFonts w:ascii="Traditional Arabic" w:hAnsi="Traditional Arabic" w:cs="Traditional Arabic"/>
          <w:sz w:val="30"/>
          <w:szCs w:val="30"/>
          <w:rtl/>
        </w:rPr>
      </w:pPr>
    </w:p>
    <w:p w14:paraId="01C4FF95"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تعد الشركة شريكًا مهمًا في خدمة احتياجات نقل النفط الخام للمشاريع الرئيسية، بما في ذلك صادرات النفط الخام العماني وواردات النفط الخام إلى المصافي العمانية في إطار مشاريع مشتركة، مثل واردات النفط الخام الكويتي. بالإضافة إلى ذلك، تحافظ الشركة على اتفاقيات نقل بضائع طويلة الأمد مع شركة شل، مما يدعم سلاسل توريد النفط الخام الرئيسية إلى الأسواق العالمية.</w:t>
      </w:r>
    </w:p>
    <w:p w14:paraId="7D8DB46B"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 xml:space="preserve">يلخص الجدول أدناه ترتيبات التأجير المطبقة على كل سفينة من سفن الشركة العاملة في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النفط الخام حتى 30 سبتمبر 2024:</w:t>
      </w:r>
    </w:p>
    <w:p w14:paraId="404F5D0B" w14:textId="77777777" w:rsidR="00AC5C0C" w:rsidRDefault="00AC5C0C" w:rsidP="00334534">
      <w:pPr>
        <w:bidi/>
        <w:jc w:val="both"/>
        <w:rPr>
          <w:rFonts w:ascii="Traditional Arabic" w:hAnsi="Traditional Arabic" w:cs="Traditional Arabic"/>
          <w:b/>
          <w:i/>
          <w:sz w:val="30"/>
          <w:szCs w:val="30"/>
          <w:rtl/>
        </w:rPr>
      </w:pPr>
    </w:p>
    <w:tbl>
      <w:tblPr>
        <w:tblW w:w="9114" w:type="dxa"/>
        <w:tblInd w:w="437" w:type="dxa"/>
        <w:tblLayout w:type="fixed"/>
        <w:tblCellMar>
          <w:left w:w="0" w:type="dxa"/>
          <w:right w:w="0" w:type="dxa"/>
        </w:tblCellMar>
        <w:tblLook w:val="0000" w:firstRow="0" w:lastRow="0" w:firstColumn="0" w:lastColumn="0" w:noHBand="0" w:noVBand="0"/>
      </w:tblPr>
      <w:tblGrid>
        <w:gridCol w:w="3163"/>
        <w:gridCol w:w="236"/>
        <w:gridCol w:w="907"/>
        <w:gridCol w:w="236"/>
        <w:gridCol w:w="907"/>
        <w:gridCol w:w="236"/>
        <w:gridCol w:w="907"/>
        <w:gridCol w:w="236"/>
        <w:gridCol w:w="907"/>
        <w:gridCol w:w="236"/>
        <w:gridCol w:w="907"/>
        <w:gridCol w:w="236"/>
      </w:tblGrid>
      <w:tr w:rsidR="00AC5C0C" w:rsidRPr="00B02BA3" w14:paraId="2D8516D8" w14:textId="77777777" w:rsidTr="00922116">
        <w:trPr>
          <w:tblHeader/>
        </w:trPr>
        <w:tc>
          <w:tcPr>
            <w:tcW w:w="3163" w:type="dxa"/>
            <w:tcBorders>
              <w:bottom w:val="single" w:sz="4" w:space="0" w:color="auto"/>
            </w:tcBorders>
            <w:vAlign w:val="bottom"/>
          </w:tcPr>
          <w:p w14:paraId="3FB13641" w14:textId="77777777" w:rsidR="00AC5C0C" w:rsidRPr="00B02BA3" w:rsidRDefault="00AC5C0C" w:rsidP="00922116">
            <w:pPr>
              <w:pStyle w:val="VSmCellHead"/>
              <w:jc w:val="center"/>
              <w:rPr>
                <w:sz w:val="16"/>
                <w:szCs w:val="16"/>
              </w:rPr>
            </w:pPr>
            <w:bookmarkStart w:id="8" w:name="_Hlk178243010"/>
            <w:r w:rsidRPr="00B02BA3">
              <w:rPr>
                <w:sz w:val="16"/>
                <w:szCs w:val="16"/>
              </w:rPr>
              <w:t>Vessel name</w:t>
            </w:r>
          </w:p>
        </w:tc>
        <w:tc>
          <w:tcPr>
            <w:tcW w:w="236" w:type="dxa"/>
            <w:vAlign w:val="bottom"/>
          </w:tcPr>
          <w:p w14:paraId="0C7B2B7E"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6C402603" w14:textId="77777777" w:rsidR="00AC5C0C" w:rsidRPr="00B02BA3" w:rsidRDefault="00AC5C0C" w:rsidP="00922116">
            <w:pPr>
              <w:pStyle w:val="VSmCellHead"/>
              <w:jc w:val="center"/>
              <w:rPr>
                <w:sz w:val="16"/>
                <w:szCs w:val="16"/>
              </w:rPr>
            </w:pPr>
            <w:r w:rsidRPr="00B02BA3">
              <w:rPr>
                <w:sz w:val="16"/>
                <w:szCs w:val="16"/>
              </w:rPr>
              <w:t>Type of Charter</w:t>
            </w:r>
          </w:p>
        </w:tc>
        <w:tc>
          <w:tcPr>
            <w:tcW w:w="236" w:type="dxa"/>
            <w:vAlign w:val="bottom"/>
          </w:tcPr>
          <w:p w14:paraId="73FF257E"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1E4E3BE6" w14:textId="77777777" w:rsidR="00AC5C0C" w:rsidRPr="00B02BA3" w:rsidRDefault="00AC5C0C" w:rsidP="00922116">
            <w:pPr>
              <w:pStyle w:val="VSmCellHead"/>
              <w:jc w:val="center"/>
              <w:rPr>
                <w:sz w:val="16"/>
                <w:szCs w:val="16"/>
              </w:rPr>
            </w:pPr>
            <w:r w:rsidRPr="00B02BA3">
              <w:rPr>
                <w:rFonts w:eastAsia="SimSun"/>
                <w:kern w:val="0"/>
                <w:sz w:val="16"/>
                <w:szCs w:val="16"/>
              </w:rPr>
              <w:t>Charter start</w:t>
            </w:r>
          </w:p>
        </w:tc>
        <w:tc>
          <w:tcPr>
            <w:tcW w:w="236" w:type="dxa"/>
            <w:vAlign w:val="bottom"/>
          </w:tcPr>
          <w:p w14:paraId="3A5CBA66"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1267BEB6" w14:textId="77777777" w:rsidR="00AC5C0C" w:rsidRPr="00B02BA3" w:rsidRDefault="00AC5C0C" w:rsidP="00922116">
            <w:pPr>
              <w:pStyle w:val="VSmCellHead"/>
              <w:jc w:val="center"/>
              <w:rPr>
                <w:sz w:val="16"/>
                <w:szCs w:val="16"/>
              </w:rPr>
            </w:pPr>
            <w:r w:rsidRPr="00B02BA3">
              <w:rPr>
                <w:rFonts w:eastAsia="SimSun"/>
                <w:kern w:val="0"/>
                <w:sz w:val="16"/>
                <w:szCs w:val="16"/>
              </w:rPr>
              <w:t>Charter expiration</w:t>
            </w:r>
          </w:p>
        </w:tc>
        <w:tc>
          <w:tcPr>
            <w:tcW w:w="236" w:type="dxa"/>
            <w:vAlign w:val="bottom"/>
          </w:tcPr>
          <w:p w14:paraId="310C15EC" w14:textId="77777777" w:rsidR="00AC5C0C" w:rsidRPr="00B02BA3" w:rsidRDefault="00AC5C0C" w:rsidP="00922116">
            <w:pPr>
              <w:pStyle w:val="CellRowSpacer"/>
              <w:spacing w:after="120"/>
              <w:jc w:val="center"/>
              <w:rPr>
                <w:b/>
                <w:bCs/>
                <w:sz w:val="16"/>
                <w:szCs w:val="16"/>
                <w:vertAlign w:val="superscript"/>
              </w:rPr>
            </w:pPr>
          </w:p>
        </w:tc>
        <w:tc>
          <w:tcPr>
            <w:tcW w:w="907" w:type="dxa"/>
            <w:tcBorders>
              <w:bottom w:val="single" w:sz="4" w:space="0" w:color="auto"/>
            </w:tcBorders>
            <w:vAlign w:val="bottom"/>
          </w:tcPr>
          <w:p w14:paraId="37B1D55A" w14:textId="77777777" w:rsidR="00AC5C0C" w:rsidRPr="00B02BA3" w:rsidRDefault="00AC5C0C" w:rsidP="00922116">
            <w:pPr>
              <w:pStyle w:val="VSmCellHead"/>
              <w:jc w:val="center"/>
              <w:rPr>
                <w:sz w:val="16"/>
                <w:szCs w:val="16"/>
              </w:rPr>
            </w:pPr>
            <w:r w:rsidRPr="00B02BA3">
              <w:rPr>
                <w:rFonts w:eastAsia="SimSun"/>
                <w:kern w:val="0"/>
                <w:sz w:val="16"/>
                <w:szCs w:val="16"/>
              </w:rPr>
              <w:t>Term</w:t>
            </w:r>
          </w:p>
        </w:tc>
        <w:tc>
          <w:tcPr>
            <w:tcW w:w="236" w:type="dxa"/>
            <w:vAlign w:val="bottom"/>
          </w:tcPr>
          <w:p w14:paraId="3C52B6A3"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4C3555FE" w14:textId="77777777" w:rsidR="00AC5C0C" w:rsidRPr="00B02BA3" w:rsidRDefault="00AC5C0C" w:rsidP="00922116">
            <w:pPr>
              <w:pStyle w:val="VSmCellHead"/>
              <w:jc w:val="center"/>
              <w:rPr>
                <w:sz w:val="16"/>
                <w:szCs w:val="16"/>
              </w:rPr>
            </w:pPr>
            <w:r w:rsidRPr="00B02BA3">
              <w:rPr>
                <w:rFonts w:eastAsia="SimSun"/>
                <w:kern w:val="0"/>
                <w:sz w:val="16"/>
                <w:szCs w:val="16"/>
              </w:rPr>
              <w:t>Extension option</w:t>
            </w:r>
          </w:p>
        </w:tc>
        <w:tc>
          <w:tcPr>
            <w:tcW w:w="236" w:type="dxa"/>
            <w:vAlign w:val="bottom"/>
          </w:tcPr>
          <w:p w14:paraId="3530D5C1" w14:textId="77777777" w:rsidR="00AC5C0C" w:rsidRPr="00B02BA3" w:rsidRDefault="00AC5C0C" w:rsidP="00922116">
            <w:pPr>
              <w:pStyle w:val="CellRowSpacer"/>
              <w:spacing w:after="120"/>
              <w:rPr>
                <w:sz w:val="16"/>
                <w:szCs w:val="16"/>
              </w:rPr>
            </w:pPr>
          </w:p>
        </w:tc>
      </w:tr>
      <w:tr w:rsidR="00AC5C0C" w:rsidRPr="00B02BA3" w14:paraId="6DBDB24F" w14:textId="77777777" w:rsidTr="00922116">
        <w:tc>
          <w:tcPr>
            <w:tcW w:w="3163" w:type="dxa"/>
            <w:vAlign w:val="bottom"/>
          </w:tcPr>
          <w:p w14:paraId="65CA2C1E"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Saiq</w:t>
            </w:r>
            <w:r w:rsidRPr="00B02BA3">
              <w:rPr>
                <w:rFonts w:eastAsia="SimSun"/>
                <w:sz w:val="16"/>
                <w:szCs w:val="16"/>
              </w:rPr>
              <w:tab/>
            </w:r>
          </w:p>
        </w:tc>
        <w:tc>
          <w:tcPr>
            <w:tcW w:w="236" w:type="dxa"/>
            <w:vAlign w:val="bottom"/>
          </w:tcPr>
          <w:p w14:paraId="180B57F6" w14:textId="77777777" w:rsidR="00AC5C0C" w:rsidRPr="00B02BA3" w:rsidRDefault="00AC5C0C" w:rsidP="00922116">
            <w:pPr>
              <w:pStyle w:val="CellRowSpacer"/>
              <w:rPr>
                <w:sz w:val="16"/>
                <w:szCs w:val="16"/>
              </w:rPr>
            </w:pPr>
          </w:p>
        </w:tc>
        <w:tc>
          <w:tcPr>
            <w:tcW w:w="907" w:type="dxa"/>
            <w:vAlign w:val="bottom"/>
          </w:tcPr>
          <w:p w14:paraId="063A42C6" w14:textId="77777777" w:rsidR="00AC5C0C" w:rsidRPr="00B02BA3" w:rsidRDefault="00AC5C0C" w:rsidP="00922116">
            <w:pPr>
              <w:pStyle w:val="VSmCellBody"/>
              <w:jc w:val="right"/>
              <w:rPr>
                <w:sz w:val="16"/>
                <w:szCs w:val="16"/>
              </w:rPr>
            </w:pPr>
            <w:r w:rsidRPr="00B02BA3">
              <w:rPr>
                <w:sz w:val="16"/>
                <w:szCs w:val="16"/>
              </w:rPr>
              <w:t> Spot market</w:t>
            </w:r>
          </w:p>
        </w:tc>
        <w:tc>
          <w:tcPr>
            <w:tcW w:w="236" w:type="dxa"/>
            <w:vAlign w:val="bottom"/>
          </w:tcPr>
          <w:p w14:paraId="0420679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A320402"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1BD0B4DE" w14:textId="77777777" w:rsidR="00AC5C0C" w:rsidRPr="00B02BA3" w:rsidRDefault="00AC5C0C" w:rsidP="00922116">
            <w:pPr>
              <w:pStyle w:val="CellRowSpacer"/>
              <w:jc w:val="right"/>
              <w:rPr>
                <w:sz w:val="16"/>
                <w:szCs w:val="16"/>
              </w:rPr>
            </w:pPr>
            <w:r w:rsidRPr="00B02BA3">
              <w:rPr>
                <w:sz w:val="16"/>
                <w:szCs w:val="16"/>
              </w:rPr>
              <w:t> </w:t>
            </w:r>
          </w:p>
        </w:tc>
        <w:tc>
          <w:tcPr>
            <w:tcW w:w="907" w:type="dxa"/>
          </w:tcPr>
          <w:p w14:paraId="30B770F5"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08752559" w14:textId="77777777" w:rsidR="00AC5C0C" w:rsidRPr="00B02BA3" w:rsidRDefault="00AC5C0C" w:rsidP="00922116">
            <w:pPr>
              <w:pStyle w:val="CellRowSpacer"/>
              <w:jc w:val="right"/>
              <w:rPr>
                <w:sz w:val="16"/>
                <w:szCs w:val="16"/>
              </w:rPr>
            </w:pPr>
            <w:r w:rsidRPr="00B02BA3">
              <w:rPr>
                <w:sz w:val="16"/>
                <w:szCs w:val="16"/>
              </w:rPr>
              <w:t> </w:t>
            </w:r>
          </w:p>
        </w:tc>
        <w:tc>
          <w:tcPr>
            <w:tcW w:w="907" w:type="dxa"/>
          </w:tcPr>
          <w:p w14:paraId="11267F9B"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0CFA2099" w14:textId="77777777" w:rsidR="00AC5C0C" w:rsidRPr="00B02BA3" w:rsidRDefault="00AC5C0C" w:rsidP="00922116">
            <w:pPr>
              <w:pStyle w:val="CellRowSpacer"/>
              <w:jc w:val="right"/>
              <w:rPr>
                <w:sz w:val="16"/>
                <w:szCs w:val="16"/>
              </w:rPr>
            </w:pPr>
            <w:r w:rsidRPr="00B02BA3">
              <w:rPr>
                <w:sz w:val="16"/>
                <w:szCs w:val="16"/>
              </w:rPr>
              <w:t> </w:t>
            </w:r>
          </w:p>
        </w:tc>
        <w:tc>
          <w:tcPr>
            <w:tcW w:w="907" w:type="dxa"/>
            <w:tcBorders>
              <w:top w:val="single" w:sz="4" w:space="0" w:color="auto"/>
            </w:tcBorders>
          </w:tcPr>
          <w:p w14:paraId="72C14567"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7B90669E" w14:textId="77777777" w:rsidR="00AC5C0C" w:rsidRPr="00B02BA3" w:rsidRDefault="00AC5C0C" w:rsidP="00922116">
            <w:pPr>
              <w:pStyle w:val="CellRowSpacer"/>
              <w:rPr>
                <w:sz w:val="16"/>
                <w:szCs w:val="16"/>
              </w:rPr>
            </w:pPr>
          </w:p>
        </w:tc>
      </w:tr>
      <w:tr w:rsidR="00AC5C0C" w:rsidRPr="00B02BA3" w14:paraId="75BBFA2E" w14:textId="77777777" w:rsidTr="00922116">
        <w:tc>
          <w:tcPr>
            <w:tcW w:w="3163" w:type="dxa"/>
            <w:vAlign w:val="bottom"/>
          </w:tcPr>
          <w:p w14:paraId="216E64BB"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Samail</w:t>
            </w:r>
            <w:r w:rsidRPr="00B02BA3">
              <w:rPr>
                <w:rFonts w:eastAsia="SimSun"/>
                <w:sz w:val="16"/>
                <w:szCs w:val="16"/>
              </w:rPr>
              <w:tab/>
            </w:r>
          </w:p>
        </w:tc>
        <w:tc>
          <w:tcPr>
            <w:tcW w:w="236" w:type="dxa"/>
            <w:vAlign w:val="bottom"/>
          </w:tcPr>
          <w:p w14:paraId="231B204B" w14:textId="77777777" w:rsidR="00AC5C0C" w:rsidRPr="00B02BA3" w:rsidRDefault="00AC5C0C" w:rsidP="00922116">
            <w:pPr>
              <w:pStyle w:val="CellRowSpacer"/>
              <w:rPr>
                <w:sz w:val="16"/>
                <w:szCs w:val="16"/>
              </w:rPr>
            </w:pPr>
          </w:p>
        </w:tc>
        <w:tc>
          <w:tcPr>
            <w:tcW w:w="907" w:type="dxa"/>
            <w:vAlign w:val="bottom"/>
          </w:tcPr>
          <w:p w14:paraId="62B2A639" w14:textId="77777777" w:rsidR="00AC5C0C" w:rsidRPr="00B02BA3" w:rsidRDefault="00AC5C0C" w:rsidP="00922116">
            <w:pPr>
              <w:pStyle w:val="VSmCellBody"/>
              <w:jc w:val="right"/>
              <w:rPr>
                <w:sz w:val="16"/>
                <w:szCs w:val="16"/>
              </w:rPr>
            </w:pPr>
            <w:r w:rsidRPr="00B02BA3">
              <w:rPr>
                <w:sz w:val="16"/>
                <w:szCs w:val="16"/>
              </w:rPr>
              <w:t> Spot market</w:t>
            </w:r>
          </w:p>
        </w:tc>
        <w:tc>
          <w:tcPr>
            <w:tcW w:w="236" w:type="dxa"/>
            <w:vAlign w:val="bottom"/>
          </w:tcPr>
          <w:p w14:paraId="7A9FD5C2" w14:textId="77777777" w:rsidR="00AC5C0C" w:rsidRPr="00B02BA3" w:rsidRDefault="00AC5C0C" w:rsidP="00922116">
            <w:pPr>
              <w:pStyle w:val="CellRowSpacer"/>
              <w:jc w:val="right"/>
              <w:rPr>
                <w:sz w:val="16"/>
                <w:szCs w:val="16"/>
              </w:rPr>
            </w:pPr>
            <w:r w:rsidRPr="00B02BA3">
              <w:rPr>
                <w:sz w:val="16"/>
                <w:szCs w:val="16"/>
              </w:rPr>
              <w:t> </w:t>
            </w:r>
          </w:p>
        </w:tc>
        <w:tc>
          <w:tcPr>
            <w:tcW w:w="907" w:type="dxa"/>
          </w:tcPr>
          <w:p w14:paraId="60D879BF"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6BC38168" w14:textId="77777777" w:rsidR="00AC5C0C" w:rsidRPr="00B02BA3" w:rsidRDefault="00AC5C0C" w:rsidP="00922116">
            <w:pPr>
              <w:pStyle w:val="CellRowSpacer"/>
              <w:jc w:val="right"/>
              <w:rPr>
                <w:sz w:val="16"/>
                <w:szCs w:val="16"/>
              </w:rPr>
            </w:pPr>
            <w:r w:rsidRPr="00B02BA3">
              <w:rPr>
                <w:sz w:val="16"/>
                <w:szCs w:val="16"/>
              </w:rPr>
              <w:t> </w:t>
            </w:r>
          </w:p>
        </w:tc>
        <w:tc>
          <w:tcPr>
            <w:tcW w:w="907" w:type="dxa"/>
          </w:tcPr>
          <w:p w14:paraId="464857A2"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6056CE92" w14:textId="77777777" w:rsidR="00AC5C0C" w:rsidRPr="00B02BA3" w:rsidRDefault="00AC5C0C" w:rsidP="00922116">
            <w:pPr>
              <w:pStyle w:val="CellRowSpacer"/>
              <w:jc w:val="right"/>
              <w:rPr>
                <w:sz w:val="16"/>
                <w:szCs w:val="16"/>
              </w:rPr>
            </w:pPr>
            <w:r w:rsidRPr="00B02BA3">
              <w:rPr>
                <w:sz w:val="16"/>
                <w:szCs w:val="16"/>
              </w:rPr>
              <w:t> </w:t>
            </w:r>
          </w:p>
        </w:tc>
        <w:tc>
          <w:tcPr>
            <w:tcW w:w="907" w:type="dxa"/>
          </w:tcPr>
          <w:p w14:paraId="7D3FA661"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0DDED44C" w14:textId="77777777" w:rsidR="00AC5C0C" w:rsidRPr="00B02BA3" w:rsidRDefault="00AC5C0C" w:rsidP="00922116">
            <w:pPr>
              <w:pStyle w:val="CellRowSpacer"/>
              <w:jc w:val="right"/>
              <w:rPr>
                <w:sz w:val="16"/>
                <w:szCs w:val="16"/>
              </w:rPr>
            </w:pPr>
            <w:r w:rsidRPr="00B02BA3">
              <w:rPr>
                <w:sz w:val="16"/>
                <w:szCs w:val="16"/>
              </w:rPr>
              <w:t> </w:t>
            </w:r>
          </w:p>
        </w:tc>
        <w:tc>
          <w:tcPr>
            <w:tcW w:w="907" w:type="dxa"/>
          </w:tcPr>
          <w:p w14:paraId="3883213B"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199EA210" w14:textId="77777777" w:rsidR="00AC5C0C" w:rsidRPr="00B02BA3" w:rsidRDefault="00AC5C0C" w:rsidP="00922116">
            <w:pPr>
              <w:pStyle w:val="CellRowSpacer"/>
              <w:rPr>
                <w:sz w:val="16"/>
                <w:szCs w:val="16"/>
              </w:rPr>
            </w:pPr>
          </w:p>
        </w:tc>
      </w:tr>
      <w:tr w:rsidR="00AC5C0C" w:rsidRPr="00B02BA3" w14:paraId="7B6B2B58" w14:textId="77777777" w:rsidTr="00922116">
        <w:tc>
          <w:tcPr>
            <w:tcW w:w="3163" w:type="dxa"/>
            <w:vAlign w:val="bottom"/>
          </w:tcPr>
          <w:p w14:paraId="4779A3A8"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Seeb</w:t>
            </w:r>
            <w:r w:rsidRPr="00B02BA3">
              <w:rPr>
                <w:rFonts w:eastAsia="SimSun"/>
                <w:sz w:val="16"/>
                <w:szCs w:val="16"/>
              </w:rPr>
              <w:tab/>
            </w:r>
          </w:p>
        </w:tc>
        <w:tc>
          <w:tcPr>
            <w:tcW w:w="236" w:type="dxa"/>
            <w:vAlign w:val="bottom"/>
          </w:tcPr>
          <w:p w14:paraId="20884212" w14:textId="77777777" w:rsidR="00AC5C0C" w:rsidRPr="00B02BA3" w:rsidRDefault="00AC5C0C" w:rsidP="00922116">
            <w:pPr>
              <w:pStyle w:val="CellRowSpacer"/>
              <w:rPr>
                <w:sz w:val="16"/>
                <w:szCs w:val="16"/>
              </w:rPr>
            </w:pPr>
          </w:p>
        </w:tc>
        <w:tc>
          <w:tcPr>
            <w:tcW w:w="907" w:type="dxa"/>
            <w:vAlign w:val="bottom"/>
          </w:tcPr>
          <w:p w14:paraId="265B5E71" w14:textId="77777777" w:rsidR="00AC5C0C" w:rsidRPr="00B02BA3" w:rsidRDefault="00AC5C0C" w:rsidP="00922116">
            <w:pPr>
              <w:pStyle w:val="VSmCellBody"/>
              <w:jc w:val="right"/>
              <w:rPr>
                <w:sz w:val="16"/>
                <w:szCs w:val="16"/>
              </w:rPr>
            </w:pPr>
            <w:r w:rsidRPr="00B02BA3">
              <w:rPr>
                <w:sz w:val="16"/>
                <w:szCs w:val="16"/>
              </w:rPr>
              <w:t> Spot market</w:t>
            </w:r>
          </w:p>
        </w:tc>
        <w:tc>
          <w:tcPr>
            <w:tcW w:w="236" w:type="dxa"/>
            <w:vAlign w:val="bottom"/>
          </w:tcPr>
          <w:p w14:paraId="1A42EDD8" w14:textId="77777777" w:rsidR="00AC5C0C" w:rsidRPr="00B02BA3" w:rsidRDefault="00AC5C0C" w:rsidP="00922116">
            <w:pPr>
              <w:pStyle w:val="CellRowSpacer"/>
              <w:jc w:val="right"/>
              <w:rPr>
                <w:sz w:val="16"/>
                <w:szCs w:val="16"/>
              </w:rPr>
            </w:pPr>
            <w:r w:rsidRPr="00B02BA3">
              <w:rPr>
                <w:sz w:val="16"/>
                <w:szCs w:val="16"/>
              </w:rPr>
              <w:t> </w:t>
            </w:r>
          </w:p>
        </w:tc>
        <w:tc>
          <w:tcPr>
            <w:tcW w:w="907" w:type="dxa"/>
          </w:tcPr>
          <w:p w14:paraId="14AB3450"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0702A76D" w14:textId="77777777" w:rsidR="00AC5C0C" w:rsidRPr="00B02BA3" w:rsidRDefault="00AC5C0C" w:rsidP="00922116">
            <w:pPr>
              <w:pStyle w:val="CellRowSpacer"/>
              <w:jc w:val="right"/>
              <w:rPr>
                <w:sz w:val="16"/>
                <w:szCs w:val="16"/>
              </w:rPr>
            </w:pPr>
            <w:r w:rsidRPr="00B02BA3">
              <w:rPr>
                <w:sz w:val="16"/>
                <w:szCs w:val="16"/>
              </w:rPr>
              <w:t> </w:t>
            </w:r>
          </w:p>
        </w:tc>
        <w:tc>
          <w:tcPr>
            <w:tcW w:w="907" w:type="dxa"/>
          </w:tcPr>
          <w:p w14:paraId="0BDDA338"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50CB4BAC" w14:textId="77777777" w:rsidR="00AC5C0C" w:rsidRPr="00B02BA3" w:rsidRDefault="00AC5C0C" w:rsidP="00922116">
            <w:pPr>
              <w:pStyle w:val="CellRowSpacer"/>
              <w:jc w:val="right"/>
              <w:rPr>
                <w:sz w:val="16"/>
                <w:szCs w:val="16"/>
              </w:rPr>
            </w:pPr>
            <w:r w:rsidRPr="00B02BA3">
              <w:rPr>
                <w:sz w:val="16"/>
                <w:szCs w:val="16"/>
              </w:rPr>
              <w:t> </w:t>
            </w:r>
          </w:p>
        </w:tc>
        <w:tc>
          <w:tcPr>
            <w:tcW w:w="907" w:type="dxa"/>
          </w:tcPr>
          <w:p w14:paraId="2222E565"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2FC71A5A" w14:textId="77777777" w:rsidR="00AC5C0C" w:rsidRPr="00B02BA3" w:rsidRDefault="00AC5C0C" w:rsidP="00922116">
            <w:pPr>
              <w:pStyle w:val="CellRowSpacer"/>
              <w:jc w:val="right"/>
              <w:rPr>
                <w:sz w:val="16"/>
                <w:szCs w:val="16"/>
              </w:rPr>
            </w:pPr>
            <w:r w:rsidRPr="00B02BA3">
              <w:rPr>
                <w:sz w:val="16"/>
                <w:szCs w:val="16"/>
              </w:rPr>
              <w:t> </w:t>
            </w:r>
          </w:p>
        </w:tc>
        <w:tc>
          <w:tcPr>
            <w:tcW w:w="907" w:type="dxa"/>
          </w:tcPr>
          <w:p w14:paraId="044AAD31"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3FE2D0A5" w14:textId="77777777" w:rsidR="00AC5C0C" w:rsidRPr="00B02BA3" w:rsidRDefault="00AC5C0C" w:rsidP="00922116">
            <w:pPr>
              <w:pStyle w:val="CellRowSpacer"/>
              <w:rPr>
                <w:sz w:val="16"/>
                <w:szCs w:val="16"/>
              </w:rPr>
            </w:pPr>
          </w:p>
        </w:tc>
      </w:tr>
      <w:tr w:rsidR="00AC5C0C" w:rsidRPr="00B02BA3" w14:paraId="0104A644" w14:textId="77777777" w:rsidTr="00922116">
        <w:tc>
          <w:tcPr>
            <w:tcW w:w="3163" w:type="dxa"/>
            <w:vAlign w:val="bottom"/>
          </w:tcPr>
          <w:p w14:paraId="596AD444"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Daba</w:t>
            </w:r>
            <w:r w:rsidRPr="00B02BA3">
              <w:rPr>
                <w:rFonts w:eastAsia="SimSun"/>
                <w:sz w:val="16"/>
                <w:szCs w:val="16"/>
              </w:rPr>
              <w:tab/>
            </w:r>
          </w:p>
        </w:tc>
        <w:tc>
          <w:tcPr>
            <w:tcW w:w="236" w:type="dxa"/>
            <w:vAlign w:val="bottom"/>
          </w:tcPr>
          <w:p w14:paraId="725E13EF" w14:textId="77777777" w:rsidR="00AC5C0C" w:rsidRPr="00B02BA3" w:rsidRDefault="00AC5C0C" w:rsidP="00922116">
            <w:pPr>
              <w:pStyle w:val="CellRowSpacer"/>
              <w:rPr>
                <w:sz w:val="16"/>
                <w:szCs w:val="16"/>
              </w:rPr>
            </w:pPr>
          </w:p>
        </w:tc>
        <w:tc>
          <w:tcPr>
            <w:tcW w:w="907" w:type="dxa"/>
            <w:vAlign w:val="bottom"/>
          </w:tcPr>
          <w:p w14:paraId="1E2FB2DC"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26ED5F4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B6D6AA7" w14:textId="77777777" w:rsidR="00AC5C0C" w:rsidRPr="00B02BA3" w:rsidRDefault="00AC5C0C" w:rsidP="00922116">
            <w:pPr>
              <w:pStyle w:val="VSmCellBody"/>
              <w:jc w:val="right"/>
              <w:rPr>
                <w:sz w:val="16"/>
                <w:szCs w:val="16"/>
              </w:rPr>
            </w:pPr>
            <w:r w:rsidRPr="00B02BA3">
              <w:rPr>
                <w:sz w:val="16"/>
                <w:szCs w:val="16"/>
              </w:rPr>
              <w:t>October 2022</w:t>
            </w:r>
          </w:p>
        </w:tc>
        <w:tc>
          <w:tcPr>
            <w:tcW w:w="236" w:type="dxa"/>
            <w:vAlign w:val="bottom"/>
          </w:tcPr>
          <w:p w14:paraId="2FA18187" w14:textId="77777777" w:rsidR="00AC5C0C" w:rsidRPr="00B02BA3" w:rsidRDefault="00AC5C0C" w:rsidP="00922116">
            <w:pPr>
              <w:pStyle w:val="CellRowSpacer"/>
              <w:jc w:val="right"/>
              <w:rPr>
                <w:sz w:val="16"/>
                <w:szCs w:val="16"/>
              </w:rPr>
            </w:pPr>
          </w:p>
        </w:tc>
        <w:tc>
          <w:tcPr>
            <w:tcW w:w="907" w:type="dxa"/>
            <w:vAlign w:val="bottom"/>
          </w:tcPr>
          <w:p w14:paraId="61F2F16E" w14:textId="77777777" w:rsidR="00AC5C0C" w:rsidRPr="00B02BA3" w:rsidRDefault="00AC5C0C" w:rsidP="00922116">
            <w:pPr>
              <w:pStyle w:val="VSmCellBody"/>
              <w:jc w:val="right"/>
              <w:rPr>
                <w:sz w:val="16"/>
                <w:szCs w:val="16"/>
              </w:rPr>
            </w:pPr>
            <w:r w:rsidRPr="00B02BA3">
              <w:rPr>
                <w:sz w:val="16"/>
                <w:szCs w:val="16"/>
              </w:rPr>
              <w:t>October 2024</w:t>
            </w:r>
          </w:p>
        </w:tc>
        <w:tc>
          <w:tcPr>
            <w:tcW w:w="236" w:type="dxa"/>
            <w:vAlign w:val="bottom"/>
          </w:tcPr>
          <w:p w14:paraId="4024FD8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61FD5F9" w14:textId="77777777" w:rsidR="00AC5C0C" w:rsidRPr="00B02BA3" w:rsidRDefault="00AC5C0C" w:rsidP="00922116">
            <w:pPr>
              <w:pStyle w:val="VSmCellBody"/>
              <w:jc w:val="right"/>
              <w:rPr>
                <w:sz w:val="16"/>
                <w:szCs w:val="16"/>
              </w:rPr>
            </w:pPr>
            <w:r w:rsidRPr="00B02BA3">
              <w:rPr>
                <w:sz w:val="16"/>
                <w:szCs w:val="16"/>
              </w:rPr>
              <w:t xml:space="preserve"> 3 years </w:t>
            </w:r>
          </w:p>
        </w:tc>
        <w:tc>
          <w:tcPr>
            <w:tcW w:w="236" w:type="dxa"/>
            <w:vAlign w:val="bottom"/>
          </w:tcPr>
          <w:p w14:paraId="6E60A3C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C78A9FF" w14:textId="77777777" w:rsidR="00AC5C0C" w:rsidRPr="00B02BA3" w:rsidRDefault="00AC5C0C" w:rsidP="00922116">
            <w:pPr>
              <w:pStyle w:val="VSmCellBody"/>
              <w:jc w:val="right"/>
              <w:rPr>
                <w:sz w:val="16"/>
                <w:szCs w:val="16"/>
              </w:rPr>
            </w:pPr>
            <w:r w:rsidRPr="00B02BA3">
              <w:rPr>
                <w:sz w:val="16"/>
                <w:szCs w:val="16"/>
              </w:rPr>
              <w:t> 1 years</w:t>
            </w:r>
          </w:p>
        </w:tc>
        <w:tc>
          <w:tcPr>
            <w:tcW w:w="236" w:type="dxa"/>
            <w:vAlign w:val="bottom"/>
          </w:tcPr>
          <w:p w14:paraId="0C1E49DF" w14:textId="77777777" w:rsidR="00AC5C0C" w:rsidRPr="00B02BA3" w:rsidRDefault="00AC5C0C" w:rsidP="00922116">
            <w:pPr>
              <w:pStyle w:val="CellRowSpacer"/>
              <w:rPr>
                <w:sz w:val="16"/>
                <w:szCs w:val="16"/>
              </w:rPr>
            </w:pPr>
          </w:p>
        </w:tc>
      </w:tr>
      <w:tr w:rsidR="00AC5C0C" w:rsidRPr="00B02BA3" w14:paraId="3CD77AE0" w14:textId="77777777" w:rsidTr="00922116">
        <w:tc>
          <w:tcPr>
            <w:tcW w:w="3163" w:type="dxa"/>
            <w:vAlign w:val="bottom"/>
          </w:tcPr>
          <w:p w14:paraId="2A6B1F4C"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 xml:space="preserve">As </w:t>
            </w:r>
            <w:proofErr w:type="spellStart"/>
            <w:r w:rsidRPr="00B02BA3">
              <w:rPr>
                <w:rFonts w:eastAsia="SimSun"/>
                <w:sz w:val="16"/>
                <w:szCs w:val="16"/>
              </w:rPr>
              <w:t>Suwayq</w:t>
            </w:r>
            <w:proofErr w:type="spellEnd"/>
            <w:r w:rsidRPr="00B02BA3">
              <w:rPr>
                <w:rFonts w:eastAsia="SimSun"/>
                <w:sz w:val="16"/>
                <w:szCs w:val="16"/>
              </w:rPr>
              <w:tab/>
            </w:r>
          </w:p>
        </w:tc>
        <w:tc>
          <w:tcPr>
            <w:tcW w:w="236" w:type="dxa"/>
            <w:vAlign w:val="bottom"/>
          </w:tcPr>
          <w:p w14:paraId="6A9C80F9" w14:textId="77777777" w:rsidR="00AC5C0C" w:rsidRPr="00B02BA3" w:rsidRDefault="00AC5C0C" w:rsidP="00922116">
            <w:pPr>
              <w:pStyle w:val="CellRowSpacer"/>
              <w:rPr>
                <w:sz w:val="16"/>
                <w:szCs w:val="16"/>
              </w:rPr>
            </w:pPr>
          </w:p>
        </w:tc>
        <w:tc>
          <w:tcPr>
            <w:tcW w:w="907" w:type="dxa"/>
            <w:vAlign w:val="bottom"/>
          </w:tcPr>
          <w:p w14:paraId="110CB80C"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2FFD6F9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8AEB56B" w14:textId="77777777" w:rsidR="00AC5C0C" w:rsidRPr="00B02BA3" w:rsidRDefault="00AC5C0C" w:rsidP="00922116">
            <w:pPr>
              <w:pStyle w:val="VSmCellBody"/>
              <w:jc w:val="right"/>
              <w:rPr>
                <w:sz w:val="16"/>
                <w:szCs w:val="16"/>
              </w:rPr>
            </w:pPr>
            <w:r w:rsidRPr="00B02BA3">
              <w:rPr>
                <w:sz w:val="16"/>
                <w:szCs w:val="16"/>
              </w:rPr>
              <w:t> February 2023</w:t>
            </w:r>
          </w:p>
        </w:tc>
        <w:tc>
          <w:tcPr>
            <w:tcW w:w="236" w:type="dxa"/>
            <w:vAlign w:val="bottom"/>
          </w:tcPr>
          <w:p w14:paraId="5172A13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5A0730F" w14:textId="77777777" w:rsidR="00AC5C0C" w:rsidRPr="00B02BA3" w:rsidRDefault="00AC5C0C" w:rsidP="00922116">
            <w:pPr>
              <w:pStyle w:val="VSmCellBody"/>
              <w:jc w:val="right"/>
              <w:rPr>
                <w:sz w:val="16"/>
                <w:szCs w:val="16"/>
              </w:rPr>
            </w:pPr>
            <w:r w:rsidRPr="00B02BA3">
              <w:rPr>
                <w:sz w:val="16"/>
                <w:szCs w:val="16"/>
              </w:rPr>
              <w:t>February 2026</w:t>
            </w:r>
          </w:p>
        </w:tc>
        <w:tc>
          <w:tcPr>
            <w:tcW w:w="236" w:type="dxa"/>
            <w:vAlign w:val="bottom"/>
          </w:tcPr>
          <w:p w14:paraId="676ACE6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77C4778" w14:textId="77777777" w:rsidR="00AC5C0C" w:rsidRPr="00B02BA3" w:rsidRDefault="00AC5C0C" w:rsidP="00922116">
            <w:pPr>
              <w:pStyle w:val="VSmCellBody"/>
              <w:jc w:val="right"/>
              <w:rPr>
                <w:sz w:val="16"/>
                <w:szCs w:val="16"/>
              </w:rPr>
            </w:pPr>
            <w:r w:rsidRPr="00B02BA3">
              <w:rPr>
                <w:sz w:val="16"/>
                <w:szCs w:val="16"/>
              </w:rPr>
              <w:t xml:space="preserve">3 years </w:t>
            </w:r>
          </w:p>
        </w:tc>
        <w:tc>
          <w:tcPr>
            <w:tcW w:w="236" w:type="dxa"/>
            <w:vAlign w:val="bottom"/>
          </w:tcPr>
          <w:p w14:paraId="45CE6D1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B3C8C96" w14:textId="77777777" w:rsidR="00AC5C0C" w:rsidRPr="00B02BA3" w:rsidRDefault="00AC5C0C" w:rsidP="00922116">
            <w:pPr>
              <w:pStyle w:val="VSmCellBody"/>
              <w:jc w:val="right"/>
              <w:rPr>
                <w:sz w:val="16"/>
                <w:szCs w:val="16"/>
              </w:rPr>
            </w:pPr>
            <w:r w:rsidRPr="00B02BA3">
              <w:rPr>
                <w:sz w:val="16"/>
                <w:szCs w:val="16"/>
              </w:rPr>
              <w:t>2 years</w:t>
            </w:r>
          </w:p>
        </w:tc>
        <w:tc>
          <w:tcPr>
            <w:tcW w:w="236" w:type="dxa"/>
            <w:vAlign w:val="bottom"/>
          </w:tcPr>
          <w:p w14:paraId="7CEA1FEB" w14:textId="77777777" w:rsidR="00AC5C0C" w:rsidRPr="00B02BA3" w:rsidRDefault="00AC5C0C" w:rsidP="00922116">
            <w:pPr>
              <w:pStyle w:val="CellRowSpacer"/>
              <w:rPr>
                <w:sz w:val="16"/>
                <w:szCs w:val="16"/>
              </w:rPr>
            </w:pPr>
          </w:p>
        </w:tc>
      </w:tr>
      <w:tr w:rsidR="00AC5C0C" w:rsidRPr="00B02BA3" w14:paraId="4FA32843" w14:textId="77777777" w:rsidTr="00922116">
        <w:tc>
          <w:tcPr>
            <w:tcW w:w="3163" w:type="dxa"/>
            <w:vAlign w:val="bottom"/>
          </w:tcPr>
          <w:p w14:paraId="3191AAA2"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Habrut</w:t>
            </w:r>
            <w:r w:rsidRPr="00B02BA3">
              <w:rPr>
                <w:rFonts w:eastAsia="SimSun"/>
                <w:sz w:val="16"/>
                <w:szCs w:val="16"/>
              </w:rPr>
              <w:tab/>
            </w:r>
          </w:p>
        </w:tc>
        <w:tc>
          <w:tcPr>
            <w:tcW w:w="236" w:type="dxa"/>
            <w:vAlign w:val="bottom"/>
          </w:tcPr>
          <w:p w14:paraId="3C4BD8BA" w14:textId="77777777" w:rsidR="00AC5C0C" w:rsidRPr="00B02BA3" w:rsidRDefault="00AC5C0C" w:rsidP="00922116">
            <w:pPr>
              <w:pStyle w:val="CellRowSpacer"/>
              <w:rPr>
                <w:sz w:val="16"/>
                <w:szCs w:val="16"/>
              </w:rPr>
            </w:pPr>
          </w:p>
        </w:tc>
        <w:tc>
          <w:tcPr>
            <w:tcW w:w="907" w:type="dxa"/>
            <w:vAlign w:val="bottom"/>
          </w:tcPr>
          <w:p w14:paraId="44C6232C"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0040336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A004617" w14:textId="77777777" w:rsidR="00AC5C0C" w:rsidRPr="00B02BA3" w:rsidRDefault="00AC5C0C" w:rsidP="00922116">
            <w:pPr>
              <w:pStyle w:val="VSmCellBody"/>
              <w:jc w:val="right"/>
              <w:rPr>
                <w:sz w:val="16"/>
                <w:szCs w:val="16"/>
              </w:rPr>
            </w:pPr>
            <w:r w:rsidRPr="00B02BA3">
              <w:rPr>
                <w:sz w:val="16"/>
                <w:szCs w:val="16"/>
              </w:rPr>
              <w:t> February 2023</w:t>
            </w:r>
          </w:p>
        </w:tc>
        <w:tc>
          <w:tcPr>
            <w:tcW w:w="236" w:type="dxa"/>
            <w:vAlign w:val="bottom"/>
          </w:tcPr>
          <w:p w14:paraId="378DB42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2441AB2" w14:textId="77777777" w:rsidR="00AC5C0C" w:rsidRPr="00B02BA3" w:rsidRDefault="00AC5C0C" w:rsidP="00922116">
            <w:pPr>
              <w:pStyle w:val="VSmCellBody"/>
              <w:jc w:val="right"/>
              <w:rPr>
                <w:sz w:val="16"/>
                <w:szCs w:val="16"/>
              </w:rPr>
            </w:pPr>
            <w:r w:rsidRPr="00B02BA3">
              <w:rPr>
                <w:sz w:val="16"/>
                <w:szCs w:val="16"/>
              </w:rPr>
              <w:t>February 2026</w:t>
            </w:r>
          </w:p>
        </w:tc>
        <w:tc>
          <w:tcPr>
            <w:tcW w:w="236" w:type="dxa"/>
            <w:vAlign w:val="bottom"/>
          </w:tcPr>
          <w:p w14:paraId="19C10E2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E48F92A" w14:textId="77777777" w:rsidR="00AC5C0C" w:rsidRPr="00B02BA3" w:rsidRDefault="00AC5C0C" w:rsidP="00922116">
            <w:pPr>
              <w:pStyle w:val="VSmCellBody"/>
              <w:jc w:val="right"/>
              <w:rPr>
                <w:sz w:val="16"/>
                <w:szCs w:val="16"/>
              </w:rPr>
            </w:pPr>
            <w:r w:rsidRPr="00B02BA3">
              <w:rPr>
                <w:sz w:val="16"/>
                <w:szCs w:val="16"/>
              </w:rPr>
              <w:t xml:space="preserve">3 years </w:t>
            </w:r>
          </w:p>
        </w:tc>
        <w:tc>
          <w:tcPr>
            <w:tcW w:w="236" w:type="dxa"/>
            <w:vAlign w:val="bottom"/>
          </w:tcPr>
          <w:p w14:paraId="708B718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09068B8" w14:textId="77777777" w:rsidR="00AC5C0C" w:rsidRPr="00B02BA3" w:rsidRDefault="00AC5C0C" w:rsidP="00922116">
            <w:pPr>
              <w:pStyle w:val="VSmCellBody"/>
              <w:jc w:val="right"/>
              <w:rPr>
                <w:sz w:val="16"/>
                <w:szCs w:val="16"/>
              </w:rPr>
            </w:pPr>
            <w:r w:rsidRPr="00B02BA3">
              <w:rPr>
                <w:sz w:val="16"/>
                <w:szCs w:val="16"/>
              </w:rPr>
              <w:t>2 years</w:t>
            </w:r>
          </w:p>
        </w:tc>
        <w:tc>
          <w:tcPr>
            <w:tcW w:w="236" w:type="dxa"/>
            <w:vAlign w:val="bottom"/>
          </w:tcPr>
          <w:p w14:paraId="2F0E38BB" w14:textId="77777777" w:rsidR="00AC5C0C" w:rsidRPr="00B02BA3" w:rsidRDefault="00AC5C0C" w:rsidP="00922116">
            <w:pPr>
              <w:pStyle w:val="CellRowSpacer"/>
              <w:rPr>
                <w:sz w:val="16"/>
                <w:szCs w:val="16"/>
              </w:rPr>
            </w:pPr>
          </w:p>
        </w:tc>
      </w:tr>
      <w:tr w:rsidR="00AC5C0C" w:rsidRPr="00B02BA3" w14:paraId="534926D8" w14:textId="77777777" w:rsidTr="00922116">
        <w:tc>
          <w:tcPr>
            <w:tcW w:w="3163" w:type="dxa"/>
            <w:vAlign w:val="bottom"/>
          </w:tcPr>
          <w:p w14:paraId="414C735F"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Izki</w:t>
            </w:r>
            <w:r w:rsidRPr="00B02BA3">
              <w:rPr>
                <w:rFonts w:eastAsia="SimSun"/>
                <w:sz w:val="16"/>
                <w:szCs w:val="16"/>
              </w:rPr>
              <w:tab/>
            </w:r>
          </w:p>
        </w:tc>
        <w:tc>
          <w:tcPr>
            <w:tcW w:w="236" w:type="dxa"/>
            <w:vAlign w:val="bottom"/>
          </w:tcPr>
          <w:p w14:paraId="2CF2E5F8" w14:textId="77777777" w:rsidR="00AC5C0C" w:rsidRPr="00B02BA3" w:rsidRDefault="00AC5C0C" w:rsidP="00922116">
            <w:pPr>
              <w:pStyle w:val="CellRowSpacer"/>
              <w:rPr>
                <w:sz w:val="16"/>
                <w:szCs w:val="16"/>
              </w:rPr>
            </w:pPr>
          </w:p>
        </w:tc>
        <w:tc>
          <w:tcPr>
            <w:tcW w:w="907" w:type="dxa"/>
            <w:vAlign w:val="bottom"/>
          </w:tcPr>
          <w:p w14:paraId="7D6D287E"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5FB75BF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84FE5AE" w14:textId="77777777" w:rsidR="00AC5C0C" w:rsidRPr="00B02BA3" w:rsidRDefault="00AC5C0C" w:rsidP="00922116">
            <w:pPr>
              <w:pStyle w:val="VSmCellBody"/>
              <w:jc w:val="right"/>
              <w:rPr>
                <w:sz w:val="16"/>
                <w:szCs w:val="16"/>
              </w:rPr>
            </w:pPr>
            <w:r w:rsidRPr="00B02BA3">
              <w:rPr>
                <w:sz w:val="16"/>
                <w:szCs w:val="16"/>
              </w:rPr>
              <w:t> December 2022</w:t>
            </w:r>
          </w:p>
        </w:tc>
        <w:tc>
          <w:tcPr>
            <w:tcW w:w="236" w:type="dxa"/>
            <w:vAlign w:val="bottom"/>
          </w:tcPr>
          <w:p w14:paraId="4C2AFA9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7DD0791" w14:textId="77777777" w:rsidR="00AC5C0C" w:rsidRPr="00B02BA3" w:rsidRDefault="00AC5C0C" w:rsidP="00922116">
            <w:pPr>
              <w:pStyle w:val="VSmCellBody"/>
              <w:jc w:val="right"/>
              <w:rPr>
                <w:sz w:val="16"/>
                <w:szCs w:val="16"/>
              </w:rPr>
            </w:pPr>
            <w:r w:rsidRPr="00B02BA3">
              <w:rPr>
                <w:sz w:val="16"/>
                <w:szCs w:val="16"/>
              </w:rPr>
              <w:t>December 2025</w:t>
            </w:r>
          </w:p>
        </w:tc>
        <w:tc>
          <w:tcPr>
            <w:tcW w:w="236" w:type="dxa"/>
            <w:vAlign w:val="bottom"/>
          </w:tcPr>
          <w:p w14:paraId="657817C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B35C9F2" w14:textId="77777777" w:rsidR="00AC5C0C" w:rsidRPr="00B02BA3" w:rsidRDefault="00AC5C0C" w:rsidP="00922116">
            <w:pPr>
              <w:pStyle w:val="VSmCellBody"/>
              <w:jc w:val="right"/>
              <w:rPr>
                <w:sz w:val="16"/>
                <w:szCs w:val="16"/>
              </w:rPr>
            </w:pPr>
            <w:r w:rsidRPr="00B02BA3">
              <w:rPr>
                <w:sz w:val="16"/>
                <w:szCs w:val="16"/>
              </w:rPr>
              <w:t xml:space="preserve">3 years </w:t>
            </w:r>
          </w:p>
        </w:tc>
        <w:tc>
          <w:tcPr>
            <w:tcW w:w="236" w:type="dxa"/>
            <w:vAlign w:val="bottom"/>
          </w:tcPr>
          <w:p w14:paraId="699124C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03CB44C" w14:textId="77777777" w:rsidR="00AC5C0C" w:rsidRPr="00B02BA3" w:rsidRDefault="00AC5C0C" w:rsidP="00922116">
            <w:pPr>
              <w:pStyle w:val="VSmCellBody"/>
              <w:jc w:val="right"/>
              <w:rPr>
                <w:sz w:val="16"/>
                <w:szCs w:val="16"/>
              </w:rPr>
            </w:pPr>
            <w:r w:rsidRPr="00B02BA3">
              <w:rPr>
                <w:sz w:val="16"/>
                <w:szCs w:val="16"/>
              </w:rPr>
              <w:t xml:space="preserve">2 years </w:t>
            </w:r>
          </w:p>
        </w:tc>
        <w:tc>
          <w:tcPr>
            <w:tcW w:w="236" w:type="dxa"/>
            <w:vAlign w:val="bottom"/>
          </w:tcPr>
          <w:p w14:paraId="33DD7E75" w14:textId="77777777" w:rsidR="00AC5C0C" w:rsidRPr="00B02BA3" w:rsidRDefault="00AC5C0C" w:rsidP="00922116">
            <w:pPr>
              <w:pStyle w:val="CellRowSpacer"/>
              <w:rPr>
                <w:sz w:val="16"/>
                <w:szCs w:val="16"/>
              </w:rPr>
            </w:pPr>
          </w:p>
        </w:tc>
      </w:tr>
      <w:tr w:rsidR="00AC5C0C" w:rsidRPr="00B02BA3" w14:paraId="35E6A818" w14:textId="77777777" w:rsidTr="00922116">
        <w:tc>
          <w:tcPr>
            <w:tcW w:w="3163" w:type="dxa"/>
            <w:vAlign w:val="bottom"/>
          </w:tcPr>
          <w:p w14:paraId="38641A9D"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Bukha</w:t>
            </w:r>
            <w:r w:rsidRPr="00B02BA3">
              <w:rPr>
                <w:rFonts w:eastAsia="SimSun"/>
                <w:sz w:val="16"/>
                <w:szCs w:val="16"/>
              </w:rPr>
              <w:tab/>
            </w:r>
          </w:p>
        </w:tc>
        <w:tc>
          <w:tcPr>
            <w:tcW w:w="236" w:type="dxa"/>
            <w:vAlign w:val="bottom"/>
          </w:tcPr>
          <w:p w14:paraId="735DD352" w14:textId="77777777" w:rsidR="00AC5C0C" w:rsidRPr="00B02BA3" w:rsidRDefault="00AC5C0C" w:rsidP="00922116">
            <w:pPr>
              <w:pStyle w:val="CellRowSpacer"/>
              <w:rPr>
                <w:sz w:val="16"/>
                <w:szCs w:val="16"/>
              </w:rPr>
            </w:pPr>
          </w:p>
        </w:tc>
        <w:tc>
          <w:tcPr>
            <w:tcW w:w="907" w:type="dxa"/>
            <w:vAlign w:val="bottom"/>
          </w:tcPr>
          <w:p w14:paraId="7180EC45"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79F4FA1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62B3B44" w14:textId="77777777" w:rsidR="00AC5C0C" w:rsidRPr="00B02BA3" w:rsidRDefault="00AC5C0C" w:rsidP="00922116">
            <w:pPr>
              <w:pStyle w:val="VSmCellBody"/>
              <w:jc w:val="right"/>
              <w:rPr>
                <w:sz w:val="16"/>
                <w:szCs w:val="16"/>
              </w:rPr>
            </w:pPr>
            <w:r w:rsidRPr="00B02BA3">
              <w:rPr>
                <w:sz w:val="16"/>
                <w:szCs w:val="16"/>
              </w:rPr>
              <w:t>March 2023</w:t>
            </w:r>
          </w:p>
        </w:tc>
        <w:tc>
          <w:tcPr>
            <w:tcW w:w="236" w:type="dxa"/>
            <w:vAlign w:val="bottom"/>
          </w:tcPr>
          <w:p w14:paraId="038D83B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7038994" w14:textId="77777777" w:rsidR="00AC5C0C" w:rsidRPr="00B02BA3" w:rsidRDefault="00AC5C0C" w:rsidP="00922116">
            <w:pPr>
              <w:pStyle w:val="VSmCellBody"/>
              <w:jc w:val="right"/>
              <w:rPr>
                <w:sz w:val="16"/>
                <w:szCs w:val="16"/>
              </w:rPr>
            </w:pPr>
            <w:r w:rsidRPr="00B02BA3">
              <w:rPr>
                <w:sz w:val="16"/>
                <w:szCs w:val="16"/>
              </w:rPr>
              <w:t>March 2026</w:t>
            </w:r>
          </w:p>
        </w:tc>
        <w:tc>
          <w:tcPr>
            <w:tcW w:w="236" w:type="dxa"/>
            <w:vAlign w:val="bottom"/>
          </w:tcPr>
          <w:p w14:paraId="0DC1DB2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100CEE4" w14:textId="77777777" w:rsidR="00AC5C0C" w:rsidRPr="00B02BA3" w:rsidRDefault="00AC5C0C" w:rsidP="00922116">
            <w:pPr>
              <w:pStyle w:val="VSmCellBody"/>
              <w:jc w:val="right"/>
              <w:rPr>
                <w:sz w:val="16"/>
                <w:szCs w:val="16"/>
              </w:rPr>
            </w:pPr>
            <w:r w:rsidRPr="00B02BA3">
              <w:rPr>
                <w:sz w:val="16"/>
                <w:szCs w:val="16"/>
              </w:rPr>
              <w:t xml:space="preserve"> 3 years </w:t>
            </w:r>
          </w:p>
        </w:tc>
        <w:tc>
          <w:tcPr>
            <w:tcW w:w="236" w:type="dxa"/>
            <w:vAlign w:val="bottom"/>
          </w:tcPr>
          <w:p w14:paraId="770DE05C" w14:textId="77777777" w:rsidR="00AC5C0C" w:rsidRPr="00B02BA3" w:rsidRDefault="00AC5C0C" w:rsidP="00922116">
            <w:pPr>
              <w:pStyle w:val="CellRowSpacer"/>
              <w:jc w:val="right"/>
              <w:rPr>
                <w:sz w:val="16"/>
                <w:szCs w:val="16"/>
              </w:rPr>
            </w:pPr>
          </w:p>
        </w:tc>
        <w:tc>
          <w:tcPr>
            <w:tcW w:w="907" w:type="dxa"/>
            <w:vAlign w:val="bottom"/>
          </w:tcPr>
          <w:p w14:paraId="6A6519F6" w14:textId="77777777" w:rsidR="00AC5C0C" w:rsidRPr="00B02BA3" w:rsidRDefault="00AC5C0C" w:rsidP="00922116">
            <w:pPr>
              <w:pStyle w:val="VSmCellBody"/>
              <w:jc w:val="right"/>
              <w:rPr>
                <w:sz w:val="16"/>
                <w:szCs w:val="16"/>
              </w:rPr>
            </w:pPr>
            <w:r w:rsidRPr="00B02BA3">
              <w:rPr>
                <w:sz w:val="16"/>
                <w:szCs w:val="16"/>
              </w:rPr>
              <w:t xml:space="preserve">3 years </w:t>
            </w:r>
          </w:p>
        </w:tc>
        <w:tc>
          <w:tcPr>
            <w:tcW w:w="236" w:type="dxa"/>
            <w:vAlign w:val="bottom"/>
          </w:tcPr>
          <w:p w14:paraId="43A1EBFA" w14:textId="77777777" w:rsidR="00AC5C0C" w:rsidRPr="00B02BA3" w:rsidRDefault="00AC5C0C" w:rsidP="00922116">
            <w:pPr>
              <w:pStyle w:val="CellRowSpacer"/>
              <w:rPr>
                <w:sz w:val="16"/>
                <w:szCs w:val="16"/>
              </w:rPr>
            </w:pPr>
          </w:p>
        </w:tc>
      </w:tr>
      <w:tr w:rsidR="00AC5C0C" w:rsidRPr="00B02BA3" w14:paraId="24C3E995" w14:textId="77777777" w:rsidTr="00922116">
        <w:tc>
          <w:tcPr>
            <w:tcW w:w="3163" w:type="dxa"/>
            <w:vAlign w:val="bottom"/>
          </w:tcPr>
          <w:p w14:paraId="6CCB6520"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Taqah</w:t>
            </w:r>
            <w:r w:rsidRPr="00B02BA3">
              <w:rPr>
                <w:rFonts w:eastAsia="SimSun"/>
                <w:sz w:val="16"/>
                <w:szCs w:val="16"/>
              </w:rPr>
              <w:tab/>
            </w:r>
          </w:p>
        </w:tc>
        <w:tc>
          <w:tcPr>
            <w:tcW w:w="236" w:type="dxa"/>
            <w:vAlign w:val="bottom"/>
          </w:tcPr>
          <w:p w14:paraId="51F3769C" w14:textId="77777777" w:rsidR="00AC5C0C" w:rsidRPr="00B02BA3" w:rsidRDefault="00AC5C0C" w:rsidP="00922116">
            <w:pPr>
              <w:pStyle w:val="CellRowSpacer"/>
              <w:rPr>
                <w:sz w:val="16"/>
                <w:szCs w:val="16"/>
              </w:rPr>
            </w:pPr>
          </w:p>
        </w:tc>
        <w:tc>
          <w:tcPr>
            <w:tcW w:w="907" w:type="dxa"/>
            <w:vAlign w:val="bottom"/>
          </w:tcPr>
          <w:p w14:paraId="041A0D6D"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7681BE6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A724AE9" w14:textId="77777777" w:rsidR="00AC5C0C" w:rsidRPr="00B02BA3" w:rsidRDefault="00AC5C0C" w:rsidP="00922116">
            <w:pPr>
              <w:pStyle w:val="VSmCellBody"/>
              <w:jc w:val="right"/>
              <w:rPr>
                <w:sz w:val="16"/>
                <w:szCs w:val="16"/>
              </w:rPr>
            </w:pPr>
            <w:r w:rsidRPr="00B02BA3">
              <w:rPr>
                <w:sz w:val="16"/>
                <w:szCs w:val="16"/>
              </w:rPr>
              <w:t> April 2023</w:t>
            </w:r>
          </w:p>
        </w:tc>
        <w:tc>
          <w:tcPr>
            <w:tcW w:w="236" w:type="dxa"/>
            <w:vAlign w:val="bottom"/>
          </w:tcPr>
          <w:p w14:paraId="3DB0B03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E6563E8" w14:textId="77777777" w:rsidR="00AC5C0C" w:rsidRPr="00B02BA3" w:rsidRDefault="00AC5C0C" w:rsidP="00922116">
            <w:pPr>
              <w:pStyle w:val="VSmCellBody"/>
              <w:jc w:val="right"/>
              <w:rPr>
                <w:sz w:val="16"/>
                <w:szCs w:val="16"/>
              </w:rPr>
            </w:pPr>
            <w:r w:rsidRPr="00B02BA3">
              <w:rPr>
                <w:sz w:val="16"/>
                <w:szCs w:val="16"/>
              </w:rPr>
              <w:t>April 2026</w:t>
            </w:r>
          </w:p>
        </w:tc>
        <w:tc>
          <w:tcPr>
            <w:tcW w:w="236" w:type="dxa"/>
            <w:vAlign w:val="bottom"/>
          </w:tcPr>
          <w:p w14:paraId="52B6960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1A61662" w14:textId="77777777" w:rsidR="00AC5C0C" w:rsidRPr="00B02BA3" w:rsidRDefault="00AC5C0C" w:rsidP="00922116">
            <w:pPr>
              <w:pStyle w:val="VSmCellBody"/>
              <w:jc w:val="right"/>
              <w:rPr>
                <w:sz w:val="16"/>
                <w:szCs w:val="16"/>
              </w:rPr>
            </w:pPr>
            <w:r w:rsidRPr="00B02BA3">
              <w:rPr>
                <w:sz w:val="16"/>
                <w:szCs w:val="16"/>
              </w:rPr>
              <w:t xml:space="preserve">3 years </w:t>
            </w:r>
          </w:p>
        </w:tc>
        <w:tc>
          <w:tcPr>
            <w:tcW w:w="236" w:type="dxa"/>
            <w:vAlign w:val="bottom"/>
          </w:tcPr>
          <w:p w14:paraId="1BB57BE7" w14:textId="77777777" w:rsidR="00AC5C0C" w:rsidRPr="00B02BA3" w:rsidRDefault="00AC5C0C" w:rsidP="00922116">
            <w:pPr>
              <w:pStyle w:val="CellRowSpacer"/>
              <w:jc w:val="right"/>
              <w:rPr>
                <w:sz w:val="16"/>
                <w:szCs w:val="16"/>
              </w:rPr>
            </w:pPr>
          </w:p>
        </w:tc>
        <w:tc>
          <w:tcPr>
            <w:tcW w:w="907" w:type="dxa"/>
            <w:vAlign w:val="bottom"/>
          </w:tcPr>
          <w:p w14:paraId="1C5F1FA4" w14:textId="77777777" w:rsidR="00AC5C0C" w:rsidRPr="00B02BA3" w:rsidRDefault="00AC5C0C" w:rsidP="00922116">
            <w:pPr>
              <w:pStyle w:val="VSmCellBody"/>
              <w:jc w:val="right"/>
              <w:rPr>
                <w:sz w:val="16"/>
                <w:szCs w:val="16"/>
              </w:rPr>
            </w:pPr>
            <w:r w:rsidRPr="00B02BA3">
              <w:rPr>
                <w:sz w:val="16"/>
                <w:szCs w:val="16"/>
              </w:rPr>
              <w:t xml:space="preserve">2 years </w:t>
            </w:r>
          </w:p>
        </w:tc>
        <w:tc>
          <w:tcPr>
            <w:tcW w:w="236" w:type="dxa"/>
            <w:vAlign w:val="bottom"/>
          </w:tcPr>
          <w:p w14:paraId="084D9E70" w14:textId="77777777" w:rsidR="00AC5C0C" w:rsidRPr="00B02BA3" w:rsidRDefault="00AC5C0C" w:rsidP="00922116">
            <w:pPr>
              <w:pStyle w:val="CellRowSpacer"/>
              <w:rPr>
                <w:sz w:val="16"/>
                <w:szCs w:val="16"/>
              </w:rPr>
            </w:pPr>
          </w:p>
        </w:tc>
      </w:tr>
      <w:tr w:rsidR="00AC5C0C" w:rsidRPr="00B02BA3" w14:paraId="6574582D" w14:textId="77777777" w:rsidTr="00922116">
        <w:tc>
          <w:tcPr>
            <w:tcW w:w="3163" w:type="dxa"/>
            <w:vAlign w:val="bottom"/>
          </w:tcPr>
          <w:p w14:paraId="0AE4CA21"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Sur</w:t>
            </w:r>
            <w:r w:rsidRPr="00B02BA3">
              <w:rPr>
                <w:rFonts w:eastAsia="SimSun"/>
                <w:sz w:val="16"/>
                <w:szCs w:val="16"/>
              </w:rPr>
              <w:tab/>
            </w:r>
          </w:p>
        </w:tc>
        <w:tc>
          <w:tcPr>
            <w:tcW w:w="236" w:type="dxa"/>
            <w:vAlign w:val="bottom"/>
          </w:tcPr>
          <w:p w14:paraId="062B1508" w14:textId="77777777" w:rsidR="00AC5C0C" w:rsidRPr="00B02BA3" w:rsidRDefault="00AC5C0C" w:rsidP="00922116">
            <w:pPr>
              <w:pStyle w:val="CellRowSpacer"/>
              <w:rPr>
                <w:sz w:val="16"/>
                <w:szCs w:val="16"/>
              </w:rPr>
            </w:pPr>
          </w:p>
        </w:tc>
        <w:tc>
          <w:tcPr>
            <w:tcW w:w="907" w:type="dxa"/>
            <w:vAlign w:val="bottom"/>
          </w:tcPr>
          <w:p w14:paraId="3DD27A7F"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4EB2228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2E30DA1" w14:textId="77777777" w:rsidR="00AC5C0C" w:rsidRPr="00B02BA3" w:rsidRDefault="00AC5C0C" w:rsidP="00922116">
            <w:pPr>
              <w:pStyle w:val="VSmCellBody"/>
              <w:jc w:val="right"/>
              <w:rPr>
                <w:sz w:val="16"/>
                <w:szCs w:val="16"/>
              </w:rPr>
            </w:pPr>
            <w:r w:rsidRPr="00B02BA3">
              <w:rPr>
                <w:sz w:val="16"/>
                <w:szCs w:val="16"/>
              </w:rPr>
              <w:t>June 2022</w:t>
            </w:r>
          </w:p>
        </w:tc>
        <w:tc>
          <w:tcPr>
            <w:tcW w:w="236" w:type="dxa"/>
            <w:vAlign w:val="bottom"/>
          </w:tcPr>
          <w:p w14:paraId="7B8E8DA3"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6DC903E" w14:textId="77777777" w:rsidR="00AC5C0C" w:rsidRPr="00B02BA3" w:rsidRDefault="00AC5C0C" w:rsidP="00922116">
            <w:pPr>
              <w:pStyle w:val="VSmCellBody"/>
              <w:jc w:val="right"/>
              <w:rPr>
                <w:sz w:val="16"/>
                <w:szCs w:val="16"/>
              </w:rPr>
            </w:pPr>
            <w:r w:rsidRPr="00B02BA3">
              <w:rPr>
                <w:sz w:val="16"/>
                <w:szCs w:val="16"/>
              </w:rPr>
              <w:t>June 2025</w:t>
            </w:r>
          </w:p>
        </w:tc>
        <w:tc>
          <w:tcPr>
            <w:tcW w:w="236" w:type="dxa"/>
            <w:vAlign w:val="bottom"/>
          </w:tcPr>
          <w:p w14:paraId="76964EE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F5DA61E" w14:textId="77777777" w:rsidR="00AC5C0C" w:rsidRPr="00B02BA3" w:rsidRDefault="00AC5C0C" w:rsidP="00922116">
            <w:pPr>
              <w:pStyle w:val="VSmCellBody"/>
              <w:jc w:val="right"/>
              <w:rPr>
                <w:sz w:val="16"/>
                <w:szCs w:val="16"/>
              </w:rPr>
            </w:pPr>
            <w:r w:rsidRPr="00B02BA3">
              <w:rPr>
                <w:sz w:val="16"/>
                <w:szCs w:val="16"/>
              </w:rPr>
              <w:t xml:space="preserve">3 years </w:t>
            </w:r>
          </w:p>
        </w:tc>
        <w:tc>
          <w:tcPr>
            <w:tcW w:w="236" w:type="dxa"/>
            <w:vAlign w:val="bottom"/>
          </w:tcPr>
          <w:p w14:paraId="46BAC1B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5A643DA" w14:textId="77777777" w:rsidR="00AC5C0C" w:rsidRPr="00B02BA3" w:rsidRDefault="00AC5C0C" w:rsidP="00922116">
            <w:pPr>
              <w:pStyle w:val="VSmCellBody"/>
              <w:jc w:val="right"/>
              <w:rPr>
                <w:sz w:val="16"/>
                <w:szCs w:val="16"/>
              </w:rPr>
            </w:pPr>
            <w:r w:rsidRPr="00B02BA3">
              <w:rPr>
                <w:sz w:val="16"/>
                <w:szCs w:val="16"/>
              </w:rPr>
              <w:t xml:space="preserve">2 years </w:t>
            </w:r>
          </w:p>
        </w:tc>
        <w:tc>
          <w:tcPr>
            <w:tcW w:w="236" w:type="dxa"/>
            <w:vAlign w:val="bottom"/>
          </w:tcPr>
          <w:p w14:paraId="5685C8C7" w14:textId="77777777" w:rsidR="00AC5C0C" w:rsidRPr="00B02BA3" w:rsidRDefault="00AC5C0C" w:rsidP="00922116">
            <w:pPr>
              <w:pStyle w:val="CellRowSpacer"/>
              <w:rPr>
                <w:sz w:val="16"/>
                <w:szCs w:val="16"/>
              </w:rPr>
            </w:pPr>
          </w:p>
        </w:tc>
      </w:tr>
      <w:tr w:rsidR="00AC5C0C" w:rsidRPr="00B02BA3" w14:paraId="5147220A" w14:textId="77777777" w:rsidTr="00922116">
        <w:tc>
          <w:tcPr>
            <w:tcW w:w="3163" w:type="dxa"/>
            <w:vAlign w:val="bottom"/>
          </w:tcPr>
          <w:p w14:paraId="3B67A70A"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Bahla</w:t>
            </w:r>
            <w:r w:rsidRPr="00B02BA3">
              <w:rPr>
                <w:rFonts w:eastAsia="SimSun"/>
                <w:sz w:val="16"/>
                <w:szCs w:val="16"/>
              </w:rPr>
              <w:tab/>
            </w:r>
          </w:p>
        </w:tc>
        <w:tc>
          <w:tcPr>
            <w:tcW w:w="236" w:type="dxa"/>
            <w:vAlign w:val="bottom"/>
          </w:tcPr>
          <w:p w14:paraId="12800BAB" w14:textId="77777777" w:rsidR="00AC5C0C" w:rsidRPr="00B02BA3" w:rsidRDefault="00AC5C0C" w:rsidP="00922116">
            <w:pPr>
              <w:pStyle w:val="CellRowSpacer"/>
              <w:rPr>
                <w:sz w:val="16"/>
                <w:szCs w:val="16"/>
              </w:rPr>
            </w:pPr>
          </w:p>
        </w:tc>
        <w:tc>
          <w:tcPr>
            <w:tcW w:w="907" w:type="dxa"/>
            <w:vAlign w:val="bottom"/>
          </w:tcPr>
          <w:p w14:paraId="554C5B36"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6D541A6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E84ED6E" w14:textId="77777777" w:rsidR="00AC5C0C" w:rsidRPr="00B02BA3" w:rsidRDefault="00AC5C0C" w:rsidP="00922116">
            <w:pPr>
              <w:pStyle w:val="VSmCellBody"/>
              <w:jc w:val="right"/>
              <w:rPr>
                <w:sz w:val="16"/>
                <w:szCs w:val="16"/>
              </w:rPr>
            </w:pPr>
            <w:r w:rsidRPr="00B02BA3">
              <w:rPr>
                <w:sz w:val="16"/>
                <w:szCs w:val="16"/>
              </w:rPr>
              <w:t>July 2022</w:t>
            </w:r>
          </w:p>
        </w:tc>
        <w:tc>
          <w:tcPr>
            <w:tcW w:w="236" w:type="dxa"/>
            <w:vAlign w:val="bottom"/>
          </w:tcPr>
          <w:p w14:paraId="5C9567E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AC00C0A" w14:textId="77777777" w:rsidR="00AC5C0C" w:rsidRPr="00B02BA3" w:rsidRDefault="00AC5C0C" w:rsidP="00922116">
            <w:pPr>
              <w:pStyle w:val="VSmCellBody"/>
              <w:jc w:val="right"/>
              <w:rPr>
                <w:sz w:val="16"/>
                <w:szCs w:val="16"/>
              </w:rPr>
            </w:pPr>
            <w:r w:rsidRPr="00B02BA3">
              <w:rPr>
                <w:sz w:val="16"/>
                <w:szCs w:val="16"/>
              </w:rPr>
              <w:t>July 2027</w:t>
            </w:r>
          </w:p>
        </w:tc>
        <w:tc>
          <w:tcPr>
            <w:tcW w:w="236" w:type="dxa"/>
            <w:vAlign w:val="bottom"/>
          </w:tcPr>
          <w:p w14:paraId="649AD6E3"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332BAF4" w14:textId="77777777" w:rsidR="00AC5C0C" w:rsidRPr="00B02BA3" w:rsidRDefault="00AC5C0C" w:rsidP="00922116">
            <w:pPr>
              <w:pStyle w:val="VSmCellBody"/>
              <w:jc w:val="right"/>
              <w:rPr>
                <w:sz w:val="16"/>
                <w:szCs w:val="16"/>
              </w:rPr>
            </w:pPr>
            <w:r w:rsidRPr="00B02BA3">
              <w:rPr>
                <w:sz w:val="16"/>
                <w:szCs w:val="16"/>
              </w:rPr>
              <w:t xml:space="preserve"> 5 years </w:t>
            </w:r>
          </w:p>
        </w:tc>
        <w:tc>
          <w:tcPr>
            <w:tcW w:w="236" w:type="dxa"/>
            <w:vAlign w:val="bottom"/>
          </w:tcPr>
          <w:p w14:paraId="6C3AD91C" w14:textId="77777777" w:rsidR="00AC5C0C" w:rsidRPr="00B02BA3" w:rsidRDefault="00AC5C0C" w:rsidP="00922116">
            <w:pPr>
              <w:pStyle w:val="CellRowSpacer"/>
              <w:jc w:val="right"/>
              <w:rPr>
                <w:sz w:val="16"/>
                <w:szCs w:val="16"/>
              </w:rPr>
            </w:pPr>
          </w:p>
        </w:tc>
        <w:tc>
          <w:tcPr>
            <w:tcW w:w="907" w:type="dxa"/>
            <w:vAlign w:val="bottom"/>
          </w:tcPr>
          <w:p w14:paraId="28A80966" w14:textId="77777777" w:rsidR="00AC5C0C" w:rsidRPr="00B02BA3" w:rsidRDefault="00AC5C0C" w:rsidP="00922116">
            <w:pPr>
              <w:pStyle w:val="VSmCellBody"/>
              <w:jc w:val="right"/>
              <w:rPr>
                <w:sz w:val="16"/>
                <w:szCs w:val="16"/>
              </w:rPr>
            </w:pPr>
            <w:r w:rsidRPr="00B02BA3">
              <w:rPr>
                <w:sz w:val="16"/>
                <w:szCs w:val="16"/>
              </w:rPr>
              <w:t xml:space="preserve">2 years </w:t>
            </w:r>
          </w:p>
        </w:tc>
        <w:tc>
          <w:tcPr>
            <w:tcW w:w="236" w:type="dxa"/>
            <w:vAlign w:val="bottom"/>
          </w:tcPr>
          <w:p w14:paraId="517D5C34" w14:textId="77777777" w:rsidR="00AC5C0C" w:rsidRPr="00B02BA3" w:rsidRDefault="00AC5C0C" w:rsidP="00922116">
            <w:pPr>
              <w:pStyle w:val="CellRowSpacer"/>
              <w:rPr>
                <w:sz w:val="16"/>
                <w:szCs w:val="16"/>
              </w:rPr>
            </w:pPr>
          </w:p>
        </w:tc>
      </w:tr>
      <w:tr w:rsidR="00AC5C0C" w:rsidRPr="00B02BA3" w14:paraId="4F833750" w14:textId="77777777" w:rsidTr="00922116">
        <w:tc>
          <w:tcPr>
            <w:tcW w:w="3163" w:type="dxa"/>
            <w:vAlign w:val="bottom"/>
          </w:tcPr>
          <w:p w14:paraId="30F1A9BB"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Dhalkut</w:t>
            </w:r>
            <w:r w:rsidRPr="00B02BA3">
              <w:rPr>
                <w:rFonts w:eastAsia="SimSun"/>
                <w:sz w:val="16"/>
                <w:szCs w:val="16"/>
              </w:rPr>
              <w:tab/>
            </w:r>
          </w:p>
        </w:tc>
        <w:tc>
          <w:tcPr>
            <w:tcW w:w="236" w:type="dxa"/>
            <w:vAlign w:val="bottom"/>
          </w:tcPr>
          <w:p w14:paraId="42094B71" w14:textId="77777777" w:rsidR="00AC5C0C" w:rsidRPr="00B02BA3" w:rsidRDefault="00AC5C0C" w:rsidP="00922116">
            <w:pPr>
              <w:pStyle w:val="CellRowSpacer"/>
              <w:rPr>
                <w:sz w:val="16"/>
                <w:szCs w:val="16"/>
              </w:rPr>
            </w:pPr>
          </w:p>
        </w:tc>
        <w:tc>
          <w:tcPr>
            <w:tcW w:w="907" w:type="dxa"/>
            <w:vAlign w:val="bottom"/>
          </w:tcPr>
          <w:p w14:paraId="79A00617"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0B168A9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AD025A9" w14:textId="77777777" w:rsidR="00AC5C0C" w:rsidRPr="00B02BA3" w:rsidRDefault="00AC5C0C" w:rsidP="00922116">
            <w:pPr>
              <w:pStyle w:val="VSmCellBody"/>
              <w:jc w:val="right"/>
              <w:rPr>
                <w:sz w:val="16"/>
                <w:szCs w:val="16"/>
              </w:rPr>
            </w:pPr>
            <w:r w:rsidRPr="00B02BA3">
              <w:rPr>
                <w:sz w:val="16"/>
                <w:szCs w:val="16"/>
              </w:rPr>
              <w:t>July 2022</w:t>
            </w:r>
          </w:p>
        </w:tc>
        <w:tc>
          <w:tcPr>
            <w:tcW w:w="236" w:type="dxa"/>
            <w:vAlign w:val="bottom"/>
          </w:tcPr>
          <w:p w14:paraId="1E41BDE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B201EEA" w14:textId="77777777" w:rsidR="00AC5C0C" w:rsidRPr="00B02BA3" w:rsidRDefault="00AC5C0C" w:rsidP="00922116">
            <w:pPr>
              <w:pStyle w:val="VSmCellBody"/>
              <w:jc w:val="right"/>
              <w:rPr>
                <w:sz w:val="16"/>
                <w:szCs w:val="16"/>
              </w:rPr>
            </w:pPr>
            <w:r w:rsidRPr="00B02BA3">
              <w:rPr>
                <w:sz w:val="16"/>
                <w:szCs w:val="16"/>
              </w:rPr>
              <w:t>July 2027</w:t>
            </w:r>
          </w:p>
        </w:tc>
        <w:tc>
          <w:tcPr>
            <w:tcW w:w="236" w:type="dxa"/>
            <w:vAlign w:val="bottom"/>
          </w:tcPr>
          <w:p w14:paraId="7A4ECD7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C2D8C53" w14:textId="77777777" w:rsidR="00AC5C0C" w:rsidRPr="00B02BA3" w:rsidRDefault="00AC5C0C" w:rsidP="00922116">
            <w:pPr>
              <w:pStyle w:val="VSmCellBody"/>
              <w:jc w:val="right"/>
              <w:rPr>
                <w:sz w:val="16"/>
                <w:szCs w:val="16"/>
              </w:rPr>
            </w:pPr>
            <w:r w:rsidRPr="00B02BA3">
              <w:rPr>
                <w:sz w:val="16"/>
                <w:szCs w:val="16"/>
              </w:rPr>
              <w:t xml:space="preserve"> 5 years </w:t>
            </w:r>
          </w:p>
        </w:tc>
        <w:tc>
          <w:tcPr>
            <w:tcW w:w="236" w:type="dxa"/>
            <w:vAlign w:val="bottom"/>
          </w:tcPr>
          <w:p w14:paraId="3A6D1F40" w14:textId="77777777" w:rsidR="00AC5C0C" w:rsidRPr="00B02BA3" w:rsidRDefault="00AC5C0C" w:rsidP="00922116">
            <w:pPr>
              <w:pStyle w:val="CellRowSpacer"/>
              <w:jc w:val="right"/>
              <w:rPr>
                <w:sz w:val="16"/>
                <w:szCs w:val="16"/>
              </w:rPr>
            </w:pPr>
          </w:p>
        </w:tc>
        <w:tc>
          <w:tcPr>
            <w:tcW w:w="907" w:type="dxa"/>
            <w:vAlign w:val="bottom"/>
          </w:tcPr>
          <w:p w14:paraId="07549E97" w14:textId="77777777" w:rsidR="00AC5C0C" w:rsidRPr="00B02BA3" w:rsidRDefault="00AC5C0C" w:rsidP="00922116">
            <w:pPr>
              <w:pStyle w:val="VSmCellBody"/>
              <w:jc w:val="right"/>
              <w:rPr>
                <w:sz w:val="16"/>
                <w:szCs w:val="16"/>
              </w:rPr>
            </w:pPr>
            <w:r w:rsidRPr="00B02BA3">
              <w:rPr>
                <w:sz w:val="16"/>
                <w:szCs w:val="16"/>
              </w:rPr>
              <w:t xml:space="preserve">2 years </w:t>
            </w:r>
          </w:p>
        </w:tc>
        <w:tc>
          <w:tcPr>
            <w:tcW w:w="236" w:type="dxa"/>
            <w:vAlign w:val="bottom"/>
          </w:tcPr>
          <w:p w14:paraId="5454AD25" w14:textId="77777777" w:rsidR="00AC5C0C" w:rsidRPr="00B02BA3" w:rsidRDefault="00AC5C0C" w:rsidP="00922116">
            <w:pPr>
              <w:pStyle w:val="CellRowSpacer"/>
              <w:rPr>
                <w:sz w:val="16"/>
                <w:szCs w:val="16"/>
              </w:rPr>
            </w:pPr>
          </w:p>
        </w:tc>
      </w:tr>
      <w:tr w:rsidR="00AC5C0C" w:rsidRPr="00B02BA3" w14:paraId="2B67BBE1" w14:textId="77777777" w:rsidTr="00922116">
        <w:tc>
          <w:tcPr>
            <w:tcW w:w="3163" w:type="dxa"/>
            <w:vAlign w:val="bottom"/>
          </w:tcPr>
          <w:p w14:paraId="77EDCDDA" w14:textId="77777777" w:rsidR="00AC5C0C" w:rsidRPr="00B02BA3" w:rsidDel="00B03343" w:rsidRDefault="00AC5C0C" w:rsidP="00922116">
            <w:pPr>
              <w:pStyle w:val="VSmCellBody"/>
              <w:tabs>
                <w:tab w:val="right" w:leader="dot" w:pos="3163"/>
              </w:tabs>
              <w:rPr>
                <w:sz w:val="16"/>
                <w:szCs w:val="16"/>
              </w:rPr>
            </w:pPr>
            <w:r w:rsidRPr="00B02BA3">
              <w:rPr>
                <w:sz w:val="16"/>
                <w:szCs w:val="16"/>
              </w:rPr>
              <w:t>Nordic Hunter</w:t>
            </w:r>
            <w:r w:rsidRPr="00B02BA3">
              <w:rPr>
                <w:rFonts w:eastAsia="SimSun"/>
                <w:sz w:val="16"/>
                <w:szCs w:val="16"/>
              </w:rPr>
              <w:tab/>
            </w:r>
          </w:p>
        </w:tc>
        <w:tc>
          <w:tcPr>
            <w:tcW w:w="236" w:type="dxa"/>
            <w:vAlign w:val="bottom"/>
          </w:tcPr>
          <w:p w14:paraId="78FF2392" w14:textId="77777777" w:rsidR="00AC5C0C" w:rsidRPr="00B02BA3" w:rsidRDefault="00AC5C0C" w:rsidP="00922116">
            <w:pPr>
              <w:pStyle w:val="CellRowSpacer"/>
              <w:rPr>
                <w:sz w:val="16"/>
                <w:szCs w:val="16"/>
              </w:rPr>
            </w:pPr>
          </w:p>
        </w:tc>
        <w:tc>
          <w:tcPr>
            <w:tcW w:w="907" w:type="dxa"/>
            <w:vAlign w:val="bottom"/>
          </w:tcPr>
          <w:p w14:paraId="6F049026"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1D1AE23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B660F4F" w14:textId="77777777" w:rsidR="00AC5C0C" w:rsidRPr="00B02BA3" w:rsidRDefault="00AC5C0C" w:rsidP="00922116">
            <w:pPr>
              <w:pStyle w:val="VSmCellBody"/>
              <w:jc w:val="right"/>
              <w:rPr>
                <w:sz w:val="16"/>
                <w:szCs w:val="16"/>
              </w:rPr>
            </w:pPr>
            <w:r w:rsidRPr="00B02BA3">
              <w:rPr>
                <w:sz w:val="16"/>
                <w:szCs w:val="16"/>
              </w:rPr>
              <w:t>July 2022</w:t>
            </w:r>
          </w:p>
        </w:tc>
        <w:tc>
          <w:tcPr>
            <w:tcW w:w="236" w:type="dxa"/>
            <w:vAlign w:val="bottom"/>
          </w:tcPr>
          <w:p w14:paraId="056618A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8CD698F" w14:textId="77777777" w:rsidR="00AC5C0C" w:rsidRPr="00B02BA3" w:rsidRDefault="00AC5C0C" w:rsidP="00922116">
            <w:pPr>
              <w:pStyle w:val="VSmCellBody"/>
              <w:jc w:val="right"/>
              <w:rPr>
                <w:sz w:val="16"/>
                <w:szCs w:val="16"/>
              </w:rPr>
            </w:pPr>
            <w:r w:rsidRPr="00B02BA3">
              <w:rPr>
                <w:sz w:val="16"/>
                <w:szCs w:val="16"/>
              </w:rPr>
              <w:t>July 2028</w:t>
            </w:r>
          </w:p>
        </w:tc>
        <w:tc>
          <w:tcPr>
            <w:tcW w:w="236" w:type="dxa"/>
            <w:vAlign w:val="bottom"/>
          </w:tcPr>
          <w:p w14:paraId="3B575C1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1744FE6" w14:textId="77777777" w:rsidR="00AC5C0C" w:rsidRPr="00B02BA3" w:rsidRDefault="00AC5C0C" w:rsidP="00922116">
            <w:pPr>
              <w:pStyle w:val="VSmCellBody"/>
              <w:jc w:val="right"/>
              <w:rPr>
                <w:sz w:val="16"/>
                <w:szCs w:val="16"/>
              </w:rPr>
            </w:pPr>
            <w:r w:rsidRPr="00B02BA3">
              <w:rPr>
                <w:sz w:val="16"/>
                <w:szCs w:val="16"/>
              </w:rPr>
              <w:t xml:space="preserve"> 6 years </w:t>
            </w:r>
          </w:p>
        </w:tc>
        <w:tc>
          <w:tcPr>
            <w:tcW w:w="236" w:type="dxa"/>
            <w:vAlign w:val="bottom"/>
          </w:tcPr>
          <w:p w14:paraId="0629DBDD" w14:textId="77777777" w:rsidR="00AC5C0C" w:rsidRPr="00B02BA3" w:rsidRDefault="00AC5C0C" w:rsidP="00922116">
            <w:pPr>
              <w:pStyle w:val="CellRowSpacer"/>
              <w:jc w:val="right"/>
              <w:rPr>
                <w:sz w:val="16"/>
                <w:szCs w:val="16"/>
              </w:rPr>
            </w:pPr>
          </w:p>
        </w:tc>
        <w:tc>
          <w:tcPr>
            <w:tcW w:w="907" w:type="dxa"/>
            <w:vAlign w:val="bottom"/>
          </w:tcPr>
          <w:p w14:paraId="0EE44E55" w14:textId="77777777" w:rsidR="00AC5C0C" w:rsidRPr="00B02BA3" w:rsidRDefault="00AC5C0C" w:rsidP="00922116">
            <w:pPr>
              <w:pStyle w:val="VSmCellBody"/>
              <w:jc w:val="right"/>
              <w:rPr>
                <w:sz w:val="16"/>
                <w:szCs w:val="16"/>
              </w:rPr>
            </w:pPr>
            <w:r w:rsidRPr="00B02BA3">
              <w:rPr>
                <w:sz w:val="16"/>
                <w:szCs w:val="16"/>
              </w:rPr>
              <w:t xml:space="preserve">2 years </w:t>
            </w:r>
          </w:p>
        </w:tc>
        <w:tc>
          <w:tcPr>
            <w:tcW w:w="236" w:type="dxa"/>
            <w:vAlign w:val="bottom"/>
          </w:tcPr>
          <w:p w14:paraId="679DCA53" w14:textId="77777777" w:rsidR="00AC5C0C" w:rsidRPr="00B02BA3" w:rsidRDefault="00AC5C0C" w:rsidP="00922116">
            <w:pPr>
              <w:pStyle w:val="CellRowSpacer"/>
              <w:rPr>
                <w:sz w:val="16"/>
                <w:szCs w:val="16"/>
              </w:rPr>
            </w:pPr>
          </w:p>
        </w:tc>
      </w:tr>
      <w:tr w:rsidR="00AC5C0C" w:rsidRPr="00B02BA3" w14:paraId="50B82452" w14:textId="77777777" w:rsidTr="00922116">
        <w:tc>
          <w:tcPr>
            <w:tcW w:w="3163" w:type="dxa"/>
            <w:vAlign w:val="bottom"/>
          </w:tcPr>
          <w:p w14:paraId="459F6587" w14:textId="77777777" w:rsidR="00AC5C0C" w:rsidRPr="00B02BA3" w:rsidRDefault="00AC5C0C" w:rsidP="00922116">
            <w:pPr>
              <w:pStyle w:val="VSmCellBody"/>
              <w:tabs>
                <w:tab w:val="right" w:leader="dot" w:pos="3163"/>
              </w:tabs>
              <w:rPr>
                <w:sz w:val="16"/>
                <w:szCs w:val="16"/>
              </w:rPr>
            </w:pPr>
            <w:r w:rsidRPr="00B02BA3">
              <w:rPr>
                <w:sz w:val="16"/>
                <w:szCs w:val="16"/>
              </w:rPr>
              <w:t>Nordic Harrier</w:t>
            </w:r>
            <w:r w:rsidRPr="00B02BA3">
              <w:rPr>
                <w:rFonts w:eastAsia="SimSun"/>
                <w:sz w:val="16"/>
                <w:szCs w:val="16"/>
              </w:rPr>
              <w:tab/>
            </w:r>
          </w:p>
        </w:tc>
        <w:tc>
          <w:tcPr>
            <w:tcW w:w="236" w:type="dxa"/>
            <w:vAlign w:val="bottom"/>
          </w:tcPr>
          <w:p w14:paraId="0F06CE21" w14:textId="77777777" w:rsidR="00AC5C0C" w:rsidRPr="00B02BA3" w:rsidRDefault="00AC5C0C" w:rsidP="00922116">
            <w:pPr>
              <w:pStyle w:val="CellRowSpacer"/>
              <w:rPr>
                <w:sz w:val="16"/>
                <w:szCs w:val="16"/>
              </w:rPr>
            </w:pPr>
          </w:p>
        </w:tc>
        <w:tc>
          <w:tcPr>
            <w:tcW w:w="907" w:type="dxa"/>
            <w:vAlign w:val="bottom"/>
          </w:tcPr>
          <w:p w14:paraId="131E728D"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121D454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7F81F52" w14:textId="77777777" w:rsidR="00AC5C0C" w:rsidRPr="00B02BA3" w:rsidRDefault="00AC5C0C" w:rsidP="00922116">
            <w:pPr>
              <w:pStyle w:val="VSmCellBody"/>
              <w:jc w:val="right"/>
              <w:rPr>
                <w:sz w:val="16"/>
                <w:szCs w:val="16"/>
              </w:rPr>
            </w:pPr>
            <w:r w:rsidRPr="00B02BA3">
              <w:rPr>
                <w:sz w:val="16"/>
                <w:szCs w:val="16"/>
              </w:rPr>
              <w:t>December 2022</w:t>
            </w:r>
          </w:p>
        </w:tc>
        <w:tc>
          <w:tcPr>
            <w:tcW w:w="236" w:type="dxa"/>
            <w:vAlign w:val="bottom"/>
          </w:tcPr>
          <w:p w14:paraId="54D654C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D7FDEF1" w14:textId="77777777" w:rsidR="00AC5C0C" w:rsidRPr="00B02BA3" w:rsidRDefault="00AC5C0C" w:rsidP="00922116">
            <w:pPr>
              <w:pStyle w:val="VSmCellBody"/>
              <w:jc w:val="right"/>
              <w:rPr>
                <w:sz w:val="16"/>
                <w:szCs w:val="16"/>
              </w:rPr>
            </w:pPr>
            <w:r w:rsidRPr="00B02BA3">
              <w:rPr>
                <w:sz w:val="16"/>
                <w:szCs w:val="16"/>
              </w:rPr>
              <w:t>December 2028</w:t>
            </w:r>
          </w:p>
        </w:tc>
        <w:tc>
          <w:tcPr>
            <w:tcW w:w="236" w:type="dxa"/>
            <w:vAlign w:val="bottom"/>
          </w:tcPr>
          <w:p w14:paraId="6D988C4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04B747D" w14:textId="77777777" w:rsidR="00AC5C0C" w:rsidRPr="00B02BA3" w:rsidRDefault="00AC5C0C" w:rsidP="00922116">
            <w:pPr>
              <w:pStyle w:val="VSmCellBody"/>
              <w:jc w:val="right"/>
              <w:rPr>
                <w:sz w:val="16"/>
                <w:szCs w:val="16"/>
              </w:rPr>
            </w:pPr>
            <w:r w:rsidRPr="00B02BA3">
              <w:rPr>
                <w:sz w:val="16"/>
                <w:szCs w:val="16"/>
              </w:rPr>
              <w:t>6 years</w:t>
            </w:r>
          </w:p>
        </w:tc>
        <w:tc>
          <w:tcPr>
            <w:tcW w:w="236" w:type="dxa"/>
            <w:vAlign w:val="bottom"/>
          </w:tcPr>
          <w:p w14:paraId="39C0A578" w14:textId="77777777" w:rsidR="00AC5C0C" w:rsidRPr="00B02BA3" w:rsidRDefault="00AC5C0C" w:rsidP="00922116">
            <w:pPr>
              <w:pStyle w:val="CellRowSpacer"/>
              <w:jc w:val="right"/>
              <w:rPr>
                <w:sz w:val="16"/>
                <w:szCs w:val="16"/>
              </w:rPr>
            </w:pPr>
          </w:p>
        </w:tc>
        <w:tc>
          <w:tcPr>
            <w:tcW w:w="907" w:type="dxa"/>
            <w:vAlign w:val="bottom"/>
          </w:tcPr>
          <w:p w14:paraId="2E98C011" w14:textId="77777777" w:rsidR="00AC5C0C" w:rsidRPr="00B02BA3" w:rsidRDefault="00AC5C0C" w:rsidP="00922116">
            <w:pPr>
              <w:pStyle w:val="VSmCellBody"/>
              <w:jc w:val="right"/>
              <w:rPr>
                <w:sz w:val="16"/>
                <w:szCs w:val="16"/>
              </w:rPr>
            </w:pPr>
            <w:r w:rsidRPr="00B02BA3">
              <w:rPr>
                <w:sz w:val="16"/>
                <w:szCs w:val="16"/>
              </w:rPr>
              <w:t xml:space="preserve">2 years </w:t>
            </w:r>
          </w:p>
        </w:tc>
        <w:tc>
          <w:tcPr>
            <w:tcW w:w="236" w:type="dxa"/>
            <w:vAlign w:val="bottom"/>
          </w:tcPr>
          <w:p w14:paraId="350D0CFD" w14:textId="77777777" w:rsidR="00AC5C0C" w:rsidRPr="00B02BA3" w:rsidRDefault="00AC5C0C" w:rsidP="00922116">
            <w:pPr>
              <w:pStyle w:val="CellRowSpacer"/>
              <w:rPr>
                <w:sz w:val="16"/>
                <w:szCs w:val="16"/>
              </w:rPr>
            </w:pPr>
          </w:p>
        </w:tc>
      </w:tr>
      <w:tr w:rsidR="00AC5C0C" w:rsidRPr="00B02BA3" w14:paraId="30E00B1D" w14:textId="77777777" w:rsidTr="00922116">
        <w:tc>
          <w:tcPr>
            <w:tcW w:w="3163" w:type="dxa"/>
            <w:vAlign w:val="bottom"/>
          </w:tcPr>
          <w:p w14:paraId="43563288" w14:textId="77777777" w:rsidR="00AC5C0C" w:rsidRPr="00B02BA3" w:rsidRDefault="00AC5C0C" w:rsidP="00922116">
            <w:pPr>
              <w:pStyle w:val="VSmCellBody"/>
              <w:tabs>
                <w:tab w:val="right" w:leader="dot" w:pos="3163"/>
              </w:tabs>
              <w:rPr>
                <w:sz w:val="16"/>
                <w:szCs w:val="16"/>
              </w:rPr>
            </w:pPr>
            <w:proofErr w:type="spellStart"/>
            <w:r w:rsidRPr="00B02BA3">
              <w:rPr>
                <w:sz w:val="16"/>
                <w:szCs w:val="16"/>
              </w:rPr>
              <w:t>Barbarosa</w:t>
            </w:r>
            <w:proofErr w:type="spellEnd"/>
            <w:r w:rsidRPr="00B02BA3">
              <w:rPr>
                <w:rFonts w:eastAsia="SimSun"/>
                <w:sz w:val="16"/>
                <w:szCs w:val="16"/>
              </w:rPr>
              <w:tab/>
            </w:r>
          </w:p>
        </w:tc>
        <w:tc>
          <w:tcPr>
            <w:tcW w:w="236" w:type="dxa"/>
            <w:vAlign w:val="bottom"/>
          </w:tcPr>
          <w:p w14:paraId="5CDD75F4" w14:textId="77777777" w:rsidR="00AC5C0C" w:rsidRPr="00B02BA3" w:rsidRDefault="00AC5C0C" w:rsidP="00922116">
            <w:pPr>
              <w:pStyle w:val="CellRowSpacer"/>
              <w:rPr>
                <w:sz w:val="16"/>
                <w:szCs w:val="16"/>
              </w:rPr>
            </w:pPr>
          </w:p>
        </w:tc>
        <w:tc>
          <w:tcPr>
            <w:tcW w:w="907" w:type="dxa"/>
            <w:vAlign w:val="bottom"/>
          </w:tcPr>
          <w:p w14:paraId="3702F6B8" w14:textId="77777777" w:rsidR="00AC5C0C" w:rsidRPr="00B02BA3" w:rsidRDefault="00AC5C0C" w:rsidP="00922116">
            <w:pPr>
              <w:pStyle w:val="VSmCellBody"/>
              <w:jc w:val="right"/>
              <w:rPr>
                <w:sz w:val="16"/>
                <w:szCs w:val="16"/>
              </w:rPr>
            </w:pPr>
            <w:r w:rsidRPr="00B02BA3">
              <w:rPr>
                <w:sz w:val="16"/>
                <w:szCs w:val="16"/>
              </w:rPr>
              <w:t> Short term Time charter</w:t>
            </w:r>
          </w:p>
        </w:tc>
        <w:tc>
          <w:tcPr>
            <w:tcW w:w="236" w:type="dxa"/>
            <w:vAlign w:val="bottom"/>
          </w:tcPr>
          <w:p w14:paraId="07BFCBF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4004B0C" w14:textId="77777777" w:rsidR="00AC5C0C" w:rsidRPr="00B02BA3" w:rsidRDefault="00AC5C0C" w:rsidP="00922116">
            <w:pPr>
              <w:pStyle w:val="VSmCellBody"/>
              <w:jc w:val="right"/>
              <w:rPr>
                <w:sz w:val="16"/>
                <w:szCs w:val="16"/>
              </w:rPr>
            </w:pPr>
            <w:r w:rsidRPr="00B02BA3">
              <w:rPr>
                <w:sz w:val="16"/>
                <w:szCs w:val="16"/>
              </w:rPr>
              <w:t> March 2024</w:t>
            </w:r>
          </w:p>
        </w:tc>
        <w:tc>
          <w:tcPr>
            <w:tcW w:w="236" w:type="dxa"/>
            <w:vAlign w:val="bottom"/>
          </w:tcPr>
          <w:p w14:paraId="7A4BEB6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D933C77" w14:textId="77777777" w:rsidR="00AC5C0C" w:rsidRPr="00B02BA3" w:rsidRDefault="00AC5C0C" w:rsidP="00922116">
            <w:pPr>
              <w:pStyle w:val="VSmCellBody"/>
              <w:jc w:val="right"/>
              <w:rPr>
                <w:sz w:val="16"/>
                <w:szCs w:val="16"/>
              </w:rPr>
            </w:pPr>
            <w:r w:rsidRPr="00B02BA3">
              <w:rPr>
                <w:sz w:val="16"/>
                <w:szCs w:val="16"/>
              </w:rPr>
              <w:t>March 2025</w:t>
            </w:r>
          </w:p>
        </w:tc>
        <w:tc>
          <w:tcPr>
            <w:tcW w:w="236" w:type="dxa"/>
            <w:vAlign w:val="bottom"/>
          </w:tcPr>
          <w:p w14:paraId="24837DE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3826E4B" w14:textId="77777777" w:rsidR="00AC5C0C" w:rsidRPr="00B02BA3" w:rsidRDefault="00AC5C0C" w:rsidP="00922116">
            <w:pPr>
              <w:pStyle w:val="VSmCellBody"/>
              <w:jc w:val="right"/>
              <w:rPr>
                <w:sz w:val="16"/>
                <w:szCs w:val="16"/>
              </w:rPr>
            </w:pPr>
            <w:r w:rsidRPr="00B02BA3">
              <w:rPr>
                <w:sz w:val="16"/>
                <w:szCs w:val="16"/>
              </w:rPr>
              <w:t xml:space="preserve"> 1 year </w:t>
            </w:r>
          </w:p>
        </w:tc>
        <w:tc>
          <w:tcPr>
            <w:tcW w:w="236" w:type="dxa"/>
            <w:vAlign w:val="bottom"/>
          </w:tcPr>
          <w:p w14:paraId="1DCE2FD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A0E9AA9" w14:textId="77777777" w:rsidR="00AC5C0C" w:rsidRPr="00B02BA3" w:rsidRDefault="00AC5C0C" w:rsidP="00922116">
            <w:pPr>
              <w:pStyle w:val="VSmCellBody"/>
              <w:jc w:val="right"/>
              <w:rPr>
                <w:sz w:val="16"/>
                <w:szCs w:val="16"/>
              </w:rPr>
            </w:pPr>
            <w:r w:rsidRPr="00B02BA3">
              <w:rPr>
                <w:sz w:val="16"/>
                <w:szCs w:val="16"/>
              </w:rPr>
              <w:t>N/A</w:t>
            </w:r>
          </w:p>
        </w:tc>
        <w:tc>
          <w:tcPr>
            <w:tcW w:w="236" w:type="dxa"/>
            <w:vAlign w:val="bottom"/>
          </w:tcPr>
          <w:p w14:paraId="6D4FFE6A" w14:textId="77777777" w:rsidR="00AC5C0C" w:rsidRPr="00B02BA3" w:rsidRDefault="00AC5C0C" w:rsidP="00922116">
            <w:pPr>
              <w:pStyle w:val="CellRowSpacer"/>
              <w:rPr>
                <w:sz w:val="16"/>
                <w:szCs w:val="16"/>
              </w:rPr>
            </w:pPr>
          </w:p>
        </w:tc>
      </w:tr>
      <w:tr w:rsidR="00AC5C0C" w:rsidRPr="00B02BA3" w14:paraId="6F64FE49" w14:textId="77777777" w:rsidTr="00922116">
        <w:tc>
          <w:tcPr>
            <w:tcW w:w="3163" w:type="dxa"/>
            <w:vAlign w:val="bottom"/>
          </w:tcPr>
          <w:p w14:paraId="1E1732E0" w14:textId="77777777" w:rsidR="00AC5C0C" w:rsidRPr="00B02BA3" w:rsidRDefault="00AC5C0C" w:rsidP="00922116">
            <w:pPr>
              <w:pStyle w:val="VSmCellBody"/>
              <w:tabs>
                <w:tab w:val="right" w:leader="dot" w:pos="3163"/>
              </w:tabs>
              <w:rPr>
                <w:sz w:val="16"/>
                <w:szCs w:val="16"/>
              </w:rPr>
            </w:pPr>
            <w:r w:rsidRPr="00B02BA3">
              <w:rPr>
                <w:sz w:val="16"/>
                <w:szCs w:val="16"/>
              </w:rPr>
              <w:t xml:space="preserve">Al </w:t>
            </w:r>
            <w:proofErr w:type="spellStart"/>
            <w:r w:rsidRPr="00B02BA3">
              <w:rPr>
                <w:sz w:val="16"/>
                <w:szCs w:val="16"/>
              </w:rPr>
              <w:t>Agaila</w:t>
            </w:r>
            <w:proofErr w:type="spellEnd"/>
            <w:r w:rsidRPr="00B02BA3">
              <w:rPr>
                <w:rFonts w:eastAsia="SimSun"/>
                <w:sz w:val="16"/>
                <w:szCs w:val="16"/>
              </w:rPr>
              <w:tab/>
            </w:r>
          </w:p>
        </w:tc>
        <w:tc>
          <w:tcPr>
            <w:tcW w:w="236" w:type="dxa"/>
            <w:vAlign w:val="bottom"/>
          </w:tcPr>
          <w:p w14:paraId="7B077EF5" w14:textId="77777777" w:rsidR="00AC5C0C" w:rsidRPr="00B02BA3" w:rsidRDefault="00AC5C0C" w:rsidP="00922116">
            <w:pPr>
              <w:pStyle w:val="CellRowSpacer"/>
              <w:rPr>
                <w:sz w:val="16"/>
                <w:szCs w:val="16"/>
              </w:rPr>
            </w:pPr>
          </w:p>
        </w:tc>
        <w:tc>
          <w:tcPr>
            <w:tcW w:w="907" w:type="dxa"/>
            <w:vAlign w:val="bottom"/>
          </w:tcPr>
          <w:p w14:paraId="699E770F" w14:textId="77777777" w:rsidR="00AC5C0C" w:rsidRPr="00B02BA3" w:rsidRDefault="00AC5C0C" w:rsidP="00922116">
            <w:pPr>
              <w:pStyle w:val="VSmCellBody"/>
              <w:jc w:val="right"/>
              <w:rPr>
                <w:sz w:val="16"/>
                <w:szCs w:val="16"/>
              </w:rPr>
            </w:pPr>
            <w:r w:rsidRPr="00B02BA3">
              <w:rPr>
                <w:sz w:val="16"/>
                <w:szCs w:val="16"/>
              </w:rPr>
              <w:t> Short term Time charter</w:t>
            </w:r>
          </w:p>
        </w:tc>
        <w:tc>
          <w:tcPr>
            <w:tcW w:w="236" w:type="dxa"/>
            <w:vAlign w:val="bottom"/>
          </w:tcPr>
          <w:p w14:paraId="7F4A769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6B4F152" w14:textId="77777777" w:rsidR="00AC5C0C" w:rsidRPr="00B02BA3" w:rsidRDefault="00AC5C0C" w:rsidP="00922116">
            <w:pPr>
              <w:pStyle w:val="VSmCellBody"/>
              <w:jc w:val="right"/>
              <w:rPr>
                <w:sz w:val="16"/>
                <w:szCs w:val="16"/>
              </w:rPr>
            </w:pPr>
            <w:r w:rsidRPr="00B02BA3">
              <w:rPr>
                <w:sz w:val="16"/>
                <w:szCs w:val="16"/>
              </w:rPr>
              <w:t>June 2024</w:t>
            </w:r>
          </w:p>
        </w:tc>
        <w:tc>
          <w:tcPr>
            <w:tcW w:w="236" w:type="dxa"/>
            <w:vAlign w:val="bottom"/>
          </w:tcPr>
          <w:p w14:paraId="469ACEE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C002DEA" w14:textId="77777777" w:rsidR="00AC5C0C" w:rsidRPr="00B02BA3" w:rsidRDefault="00AC5C0C" w:rsidP="00922116">
            <w:pPr>
              <w:pStyle w:val="VSmCellBody"/>
              <w:jc w:val="right"/>
              <w:rPr>
                <w:sz w:val="16"/>
                <w:szCs w:val="16"/>
              </w:rPr>
            </w:pPr>
            <w:r w:rsidRPr="00B02BA3">
              <w:rPr>
                <w:sz w:val="16"/>
                <w:szCs w:val="16"/>
              </w:rPr>
              <w:t>June 2025</w:t>
            </w:r>
          </w:p>
        </w:tc>
        <w:tc>
          <w:tcPr>
            <w:tcW w:w="236" w:type="dxa"/>
            <w:vAlign w:val="bottom"/>
          </w:tcPr>
          <w:p w14:paraId="6DEE341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65208A9" w14:textId="77777777" w:rsidR="00AC5C0C" w:rsidRPr="00B02BA3" w:rsidRDefault="00AC5C0C" w:rsidP="00922116">
            <w:pPr>
              <w:pStyle w:val="VSmCellBody"/>
              <w:jc w:val="right"/>
              <w:rPr>
                <w:sz w:val="16"/>
                <w:szCs w:val="16"/>
              </w:rPr>
            </w:pPr>
            <w:r w:rsidRPr="00B02BA3">
              <w:rPr>
                <w:sz w:val="16"/>
                <w:szCs w:val="16"/>
              </w:rPr>
              <w:t> 1 year</w:t>
            </w:r>
          </w:p>
        </w:tc>
        <w:tc>
          <w:tcPr>
            <w:tcW w:w="236" w:type="dxa"/>
            <w:vAlign w:val="bottom"/>
          </w:tcPr>
          <w:p w14:paraId="74232A3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4174C43" w14:textId="77777777" w:rsidR="00AC5C0C" w:rsidRPr="00B02BA3" w:rsidRDefault="00AC5C0C" w:rsidP="00922116">
            <w:pPr>
              <w:pStyle w:val="VSmCellBody"/>
              <w:jc w:val="right"/>
              <w:rPr>
                <w:sz w:val="16"/>
                <w:szCs w:val="16"/>
              </w:rPr>
            </w:pPr>
            <w:r w:rsidRPr="00B02BA3">
              <w:rPr>
                <w:sz w:val="16"/>
                <w:szCs w:val="16"/>
              </w:rPr>
              <w:t> N/A</w:t>
            </w:r>
          </w:p>
        </w:tc>
        <w:tc>
          <w:tcPr>
            <w:tcW w:w="236" w:type="dxa"/>
            <w:vAlign w:val="bottom"/>
          </w:tcPr>
          <w:p w14:paraId="0CD55686" w14:textId="77777777" w:rsidR="00AC5C0C" w:rsidRPr="00B02BA3" w:rsidRDefault="00AC5C0C" w:rsidP="00922116">
            <w:pPr>
              <w:pStyle w:val="CellRowSpacer"/>
              <w:rPr>
                <w:sz w:val="16"/>
                <w:szCs w:val="16"/>
              </w:rPr>
            </w:pPr>
          </w:p>
        </w:tc>
      </w:tr>
      <w:tr w:rsidR="00AC5C0C" w:rsidRPr="00B02BA3" w14:paraId="712C7761" w14:textId="77777777" w:rsidTr="00922116">
        <w:tc>
          <w:tcPr>
            <w:tcW w:w="3163" w:type="dxa"/>
            <w:vAlign w:val="bottom"/>
          </w:tcPr>
          <w:p w14:paraId="107C2BC9" w14:textId="77777777" w:rsidR="00AC5C0C" w:rsidRPr="00B02BA3" w:rsidRDefault="00AC5C0C" w:rsidP="00922116">
            <w:pPr>
              <w:pStyle w:val="VSmCellBody"/>
              <w:tabs>
                <w:tab w:val="right" w:leader="dot" w:pos="3163"/>
              </w:tabs>
              <w:rPr>
                <w:sz w:val="16"/>
                <w:szCs w:val="16"/>
              </w:rPr>
            </w:pPr>
            <w:r w:rsidRPr="00B02BA3">
              <w:rPr>
                <w:sz w:val="16"/>
                <w:szCs w:val="16"/>
              </w:rPr>
              <w:t>Al Haya</w:t>
            </w:r>
            <w:r w:rsidRPr="00B02BA3">
              <w:rPr>
                <w:rFonts w:eastAsia="SimSun"/>
                <w:sz w:val="16"/>
                <w:szCs w:val="16"/>
              </w:rPr>
              <w:tab/>
            </w:r>
          </w:p>
        </w:tc>
        <w:tc>
          <w:tcPr>
            <w:tcW w:w="236" w:type="dxa"/>
            <w:vAlign w:val="bottom"/>
          </w:tcPr>
          <w:p w14:paraId="06A87BD7" w14:textId="77777777" w:rsidR="00AC5C0C" w:rsidRPr="00B02BA3" w:rsidRDefault="00AC5C0C" w:rsidP="00922116">
            <w:pPr>
              <w:pStyle w:val="CellRowSpacer"/>
              <w:rPr>
                <w:sz w:val="16"/>
                <w:szCs w:val="16"/>
              </w:rPr>
            </w:pPr>
          </w:p>
        </w:tc>
        <w:tc>
          <w:tcPr>
            <w:tcW w:w="907" w:type="dxa"/>
            <w:vAlign w:val="bottom"/>
          </w:tcPr>
          <w:p w14:paraId="08A394F7"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0696818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6F2E710" w14:textId="77777777" w:rsidR="00AC5C0C" w:rsidRPr="00B02BA3" w:rsidRDefault="00AC5C0C" w:rsidP="00922116">
            <w:pPr>
              <w:pStyle w:val="VSmCellBody"/>
              <w:jc w:val="right"/>
              <w:rPr>
                <w:sz w:val="16"/>
                <w:szCs w:val="16"/>
              </w:rPr>
            </w:pPr>
            <w:r w:rsidRPr="00B02BA3">
              <w:rPr>
                <w:sz w:val="16"/>
                <w:szCs w:val="16"/>
              </w:rPr>
              <w:t> July 2023</w:t>
            </w:r>
          </w:p>
        </w:tc>
        <w:tc>
          <w:tcPr>
            <w:tcW w:w="236" w:type="dxa"/>
            <w:vAlign w:val="bottom"/>
          </w:tcPr>
          <w:p w14:paraId="3F97294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5185CAB" w14:textId="77777777" w:rsidR="00AC5C0C" w:rsidRPr="00B02BA3" w:rsidRDefault="00AC5C0C" w:rsidP="00922116">
            <w:pPr>
              <w:pStyle w:val="VSmCellBody"/>
              <w:jc w:val="right"/>
              <w:rPr>
                <w:sz w:val="16"/>
                <w:szCs w:val="16"/>
              </w:rPr>
            </w:pPr>
            <w:r w:rsidRPr="00B02BA3">
              <w:rPr>
                <w:sz w:val="16"/>
                <w:szCs w:val="16"/>
              </w:rPr>
              <w:t> January 2026</w:t>
            </w:r>
          </w:p>
        </w:tc>
        <w:tc>
          <w:tcPr>
            <w:tcW w:w="236" w:type="dxa"/>
            <w:vAlign w:val="bottom"/>
          </w:tcPr>
          <w:p w14:paraId="32A7E2F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DBAE536" w14:textId="77777777" w:rsidR="00AC5C0C" w:rsidRPr="00B02BA3" w:rsidRDefault="00AC5C0C" w:rsidP="00922116">
            <w:pPr>
              <w:pStyle w:val="VSmCellBody"/>
              <w:jc w:val="right"/>
              <w:rPr>
                <w:sz w:val="16"/>
                <w:szCs w:val="16"/>
              </w:rPr>
            </w:pPr>
            <w:r w:rsidRPr="00B02BA3">
              <w:rPr>
                <w:sz w:val="16"/>
                <w:szCs w:val="16"/>
              </w:rPr>
              <w:t xml:space="preserve"> 2.5 year </w:t>
            </w:r>
          </w:p>
        </w:tc>
        <w:tc>
          <w:tcPr>
            <w:tcW w:w="236" w:type="dxa"/>
            <w:vAlign w:val="bottom"/>
          </w:tcPr>
          <w:p w14:paraId="35F82D6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CF2615F" w14:textId="77777777" w:rsidR="00AC5C0C" w:rsidRPr="00B02BA3" w:rsidRDefault="00AC5C0C" w:rsidP="00922116">
            <w:pPr>
              <w:pStyle w:val="VSmCellBody"/>
              <w:jc w:val="right"/>
              <w:rPr>
                <w:sz w:val="16"/>
                <w:szCs w:val="16"/>
              </w:rPr>
            </w:pPr>
            <w:r w:rsidRPr="00B02BA3">
              <w:rPr>
                <w:sz w:val="16"/>
                <w:szCs w:val="16"/>
              </w:rPr>
              <w:t>1 year</w:t>
            </w:r>
          </w:p>
        </w:tc>
        <w:tc>
          <w:tcPr>
            <w:tcW w:w="236" w:type="dxa"/>
            <w:vAlign w:val="bottom"/>
          </w:tcPr>
          <w:p w14:paraId="498E3FA5" w14:textId="77777777" w:rsidR="00AC5C0C" w:rsidRPr="00B02BA3" w:rsidRDefault="00AC5C0C" w:rsidP="00922116">
            <w:pPr>
              <w:pStyle w:val="CellRowSpacer"/>
              <w:rPr>
                <w:sz w:val="16"/>
                <w:szCs w:val="16"/>
              </w:rPr>
            </w:pPr>
          </w:p>
        </w:tc>
      </w:tr>
      <w:tr w:rsidR="00AC5C0C" w:rsidRPr="00B02BA3" w14:paraId="255CAEFB" w14:textId="77777777" w:rsidTr="00922116">
        <w:tc>
          <w:tcPr>
            <w:tcW w:w="3163" w:type="dxa"/>
            <w:vAlign w:val="bottom"/>
          </w:tcPr>
          <w:p w14:paraId="51ECA74B" w14:textId="77777777" w:rsidR="00AC5C0C" w:rsidRPr="00B02BA3" w:rsidRDefault="00AC5C0C" w:rsidP="00922116">
            <w:pPr>
              <w:pStyle w:val="VSmCellBody"/>
              <w:tabs>
                <w:tab w:val="right" w:leader="dot" w:pos="3163"/>
              </w:tabs>
              <w:rPr>
                <w:sz w:val="16"/>
                <w:szCs w:val="16"/>
              </w:rPr>
            </w:pPr>
            <w:proofErr w:type="spellStart"/>
            <w:r w:rsidRPr="00B02BA3">
              <w:rPr>
                <w:sz w:val="16"/>
                <w:szCs w:val="16"/>
              </w:rPr>
              <w:t>Ebn</w:t>
            </w:r>
            <w:proofErr w:type="spellEnd"/>
            <w:r w:rsidRPr="00B02BA3">
              <w:rPr>
                <w:sz w:val="16"/>
                <w:szCs w:val="16"/>
              </w:rPr>
              <w:t xml:space="preserve"> </w:t>
            </w:r>
            <w:proofErr w:type="spellStart"/>
            <w:r w:rsidRPr="00B02BA3">
              <w:rPr>
                <w:sz w:val="16"/>
                <w:szCs w:val="16"/>
              </w:rPr>
              <w:t>Hawkel</w:t>
            </w:r>
            <w:proofErr w:type="spellEnd"/>
            <w:r w:rsidRPr="00B02BA3">
              <w:rPr>
                <w:rFonts w:eastAsia="SimSun"/>
                <w:sz w:val="16"/>
                <w:szCs w:val="16"/>
              </w:rPr>
              <w:tab/>
            </w:r>
          </w:p>
        </w:tc>
        <w:tc>
          <w:tcPr>
            <w:tcW w:w="236" w:type="dxa"/>
            <w:vAlign w:val="bottom"/>
          </w:tcPr>
          <w:p w14:paraId="7EDAC72D" w14:textId="77777777" w:rsidR="00AC5C0C" w:rsidRPr="00B02BA3" w:rsidRDefault="00AC5C0C" w:rsidP="00922116">
            <w:pPr>
              <w:pStyle w:val="CellRowSpacer"/>
              <w:rPr>
                <w:sz w:val="16"/>
                <w:szCs w:val="16"/>
              </w:rPr>
            </w:pPr>
          </w:p>
        </w:tc>
        <w:tc>
          <w:tcPr>
            <w:tcW w:w="907" w:type="dxa"/>
            <w:vAlign w:val="bottom"/>
          </w:tcPr>
          <w:p w14:paraId="2A180EDF" w14:textId="77777777" w:rsidR="00AC5C0C" w:rsidRPr="00B02BA3" w:rsidRDefault="00AC5C0C" w:rsidP="00922116">
            <w:pPr>
              <w:pStyle w:val="VSmCellBody"/>
              <w:jc w:val="right"/>
              <w:rPr>
                <w:sz w:val="16"/>
                <w:szCs w:val="16"/>
              </w:rPr>
            </w:pPr>
            <w:r w:rsidRPr="00B02BA3">
              <w:rPr>
                <w:sz w:val="16"/>
                <w:szCs w:val="16"/>
              </w:rPr>
              <w:t> Long term Time charter</w:t>
            </w:r>
          </w:p>
        </w:tc>
        <w:tc>
          <w:tcPr>
            <w:tcW w:w="236" w:type="dxa"/>
            <w:vAlign w:val="bottom"/>
          </w:tcPr>
          <w:p w14:paraId="77FF4ED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8814390" w14:textId="77777777" w:rsidR="00AC5C0C" w:rsidRPr="00B02BA3" w:rsidRDefault="00AC5C0C" w:rsidP="00922116">
            <w:pPr>
              <w:pStyle w:val="VSmCellBody"/>
              <w:jc w:val="right"/>
              <w:rPr>
                <w:sz w:val="16"/>
                <w:szCs w:val="16"/>
              </w:rPr>
            </w:pPr>
            <w:r w:rsidRPr="00B02BA3">
              <w:rPr>
                <w:sz w:val="16"/>
                <w:szCs w:val="16"/>
              </w:rPr>
              <w:t> June 2024</w:t>
            </w:r>
          </w:p>
        </w:tc>
        <w:tc>
          <w:tcPr>
            <w:tcW w:w="236" w:type="dxa"/>
            <w:vAlign w:val="bottom"/>
          </w:tcPr>
          <w:p w14:paraId="3209A5A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725F128" w14:textId="77777777" w:rsidR="00AC5C0C" w:rsidRPr="00B02BA3" w:rsidRDefault="00AC5C0C" w:rsidP="00922116">
            <w:pPr>
              <w:pStyle w:val="VSmCellBody"/>
              <w:jc w:val="right"/>
              <w:rPr>
                <w:sz w:val="16"/>
                <w:szCs w:val="16"/>
              </w:rPr>
            </w:pPr>
            <w:r w:rsidRPr="00B02BA3">
              <w:rPr>
                <w:sz w:val="16"/>
                <w:szCs w:val="16"/>
              </w:rPr>
              <w:t>June 2027</w:t>
            </w:r>
          </w:p>
        </w:tc>
        <w:tc>
          <w:tcPr>
            <w:tcW w:w="236" w:type="dxa"/>
            <w:vAlign w:val="bottom"/>
          </w:tcPr>
          <w:p w14:paraId="45A1696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C55F833" w14:textId="77777777" w:rsidR="00AC5C0C" w:rsidRPr="00B02BA3" w:rsidRDefault="00AC5C0C" w:rsidP="00922116">
            <w:pPr>
              <w:pStyle w:val="VSmCellBody"/>
              <w:jc w:val="right"/>
              <w:rPr>
                <w:sz w:val="16"/>
                <w:szCs w:val="16"/>
              </w:rPr>
            </w:pPr>
            <w:r w:rsidRPr="00B02BA3">
              <w:rPr>
                <w:sz w:val="16"/>
                <w:szCs w:val="16"/>
              </w:rPr>
              <w:t xml:space="preserve">3 years </w:t>
            </w:r>
          </w:p>
        </w:tc>
        <w:tc>
          <w:tcPr>
            <w:tcW w:w="236" w:type="dxa"/>
            <w:vAlign w:val="bottom"/>
          </w:tcPr>
          <w:p w14:paraId="691F9D8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CEC5967" w14:textId="77777777" w:rsidR="00AC5C0C" w:rsidRPr="00B02BA3" w:rsidRDefault="00AC5C0C" w:rsidP="00922116">
            <w:pPr>
              <w:pStyle w:val="VSmCellBody"/>
              <w:jc w:val="right"/>
              <w:rPr>
                <w:sz w:val="16"/>
                <w:szCs w:val="16"/>
              </w:rPr>
            </w:pPr>
            <w:r w:rsidRPr="00B02BA3">
              <w:rPr>
                <w:sz w:val="16"/>
                <w:szCs w:val="16"/>
              </w:rPr>
              <w:t xml:space="preserve">1 year </w:t>
            </w:r>
          </w:p>
        </w:tc>
        <w:tc>
          <w:tcPr>
            <w:tcW w:w="236" w:type="dxa"/>
            <w:vAlign w:val="bottom"/>
          </w:tcPr>
          <w:p w14:paraId="122EB82F" w14:textId="77777777" w:rsidR="00AC5C0C" w:rsidRPr="00B02BA3" w:rsidRDefault="00AC5C0C" w:rsidP="00922116">
            <w:pPr>
              <w:pStyle w:val="CellRowSpacer"/>
              <w:rPr>
                <w:sz w:val="16"/>
                <w:szCs w:val="16"/>
              </w:rPr>
            </w:pPr>
          </w:p>
        </w:tc>
      </w:tr>
      <w:bookmarkEnd w:id="8"/>
    </w:tbl>
    <w:p w14:paraId="6FB186BB" w14:textId="77777777" w:rsidR="00AC5C0C" w:rsidRDefault="00AC5C0C" w:rsidP="00AC5C0C">
      <w:pPr>
        <w:bidi/>
        <w:jc w:val="both"/>
        <w:rPr>
          <w:rFonts w:ascii="Traditional Arabic" w:hAnsi="Traditional Arabic" w:cs="Traditional Arabic"/>
          <w:b/>
          <w:i/>
          <w:sz w:val="30"/>
          <w:szCs w:val="30"/>
          <w:rtl/>
        </w:rPr>
      </w:pPr>
    </w:p>
    <w:p w14:paraId="088AB2F1" w14:textId="77777777" w:rsidR="00334534" w:rsidRPr="00985281" w:rsidRDefault="00607B02" w:rsidP="00AC5C0C">
      <w:pPr>
        <w:bidi/>
        <w:jc w:val="both"/>
        <w:rPr>
          <w:rFonts w:ascii="Traditional Arabic" w:hAnsi="Traditional Arabic" w:cs="Traditional Arabic"/>
          <w:bCs/>
          <w:i/>
          <w:sz w:val="30"/>
          <w:szCs w:val="30"/>
        </w:rPr>
      </w:pPr>
      <w:r>
        <w:rPr>
          <w:rFonts w:ascii="Traditional Arabic" w:hAnsi="Traditional Arabic" w:cs="Traditional Arabic"/>
          <w:bCs/>
          <w:i/>
          <w:sz w:val="30"/>
          <w:szCs w:val="30"/>
          <w:rtl/>
        </w:rPr>
        <w:t>نقل</w:t>
      </w:r>
      <w:r w:rsidR="00334534" w:rsidRPr="00985281">
        <w:rPr>
          <w:rFonts w:ascii="Traditional Arabic" w:hAnsi="Traditional Arabic" w:cs="Traditional Arabic"/>
          <w:bCs/>
          <w:i/>
          <w:sz w:val="30"/>
          <w:szCs w:val="30"/>
          <w:rtl/>
        </w:rPr>
        <w:t xml:space="preserve"> المنتجات</w:t>
      </w:r>
    </w:p>
    <w:p w14:paraId="4BFF7688"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يوفر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المنتجات خدمات نقل للشحنات السائلة التي تشمل المنتجات البترولية النظيفة والمنتجات الكيميائية، بما في ذلك وقود الديزل والوقود النفاث ووقود محركات البنزين والنافتا والميثانول والإيثانول. بدأت الشركة في نقل الميثانول وغيره من </w:t>
      </w:r>
      <w:r w:rsidRPr="00334534">
        <w:rPr>
          <w:rFonts w:ascii="Traditional Arabic" w:hAnsi="Traditional Arabic" w:cs="Traditional Arabic"/>
          <w:sz w:val="30"/>
          <w:szCs w:val="30"/>
          <w:rtl/>
        </w:rPr>
        <w:lastRenderedPageBreak/>
        <w:t xml:space="preserve">المنتجات البترولية النظيفة في عام 2008. وحتى 30 سبتمبر 2024، كان أسطول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المنتجات يتكون من 35 ناقلة منتجات، بسعة إجمالية تبلغ 1,652,778 طن ساكن. </w:t>
      </w:r>
      <w:bookmarkEnd w:id="7"/>
      <w:r w:rsidRPr="00334534">
        <w:rPr>
          <w:rFonts w:ascii="Traditional Arabic" w:hAnsi="Traditional Arabic" w:cs="Traditional Arabic"/>
          <w:sz w:val="30"/>
          <w:szCs w:val="30"/>
          <w:rtl/>
        </w:rPr>
        <w:t xml:space="preserve">يوضح الجدول أدناه بعض المعلومات المتعلقة بناقلات منتجات الشركة حتى 30 سبتمبر 2024: </w:t>
      </w:r>
    </w:p>
    <w:p w14:paraId="227314FA" w14:textId="77777777" w:rsidR="00334534" w:rsidRDefault="00334534" w:rsidP="00334534">
      <w:pPr>
        <w:bidi/>
        <w:jc w:val="both"/>
        <w:rPr>
          <w:rFonts w:ascii="Traditional Arabic" w:hAnsi="Traditional Arabic" w:cs="Traditional Arabic"/>
          <w:sz w:val="30"/>
          <w:szCs w:val="30"/>
          <w:rtl/>
        </w:rPr>
      </w:pPr>
    </w:p>
    <w:tbl>
      <w:tblPr>
        <w:tblW w:w="9114" w:type="dxa"/>
        <w:tblInd w:w="437" w:type="dxa"/>
        <w:tblLayout w:type="fixed"/>
        <w:tblCellMar>
          <w:left w:w="0" w:type="dxa"/>
          <w:right w:w="0" w:type="dxa"/>
        </w:tblCellMar>
        <w:tblLook w:val="0000" w:firstRow="0" w:lastRow="0" w:firstColumn="0" w:lastColumn="0" w:noHBand="0" w:noVBand="0"/>
      </w:tblPr>
      <w:tblGrid>
        <w:gridCol w:w="3163"/>
        <w:gridCol w:w="236"/>
        <w:gridCol w:w="907"/>
        <w:gridCol w:w="236"/>
        <w:gridCol w:w="907"/>
        <w:gridCol w:w="236"/>
        <w:gridCol w:w="907"/>
        <w:gridCol w:w="236"/>
        <w:gridCol w:w="655"/>
        <w:gridCol w:w="270"/>
        <w:gridCol w:w="1125"/>
        <w:gridCol w:w="236"/>
      </w:tblGrid>
      <w:tr w:rsidR="00AC5C0C" w:rsidRPr="00B02BA3" w14:paraId="2BBC4AF5" w14:textId="77777777" w:rsidTr="00922116">
        <w:trPr>
          <w:tblHeader/>
        </w:trPr>
        <w:tc>
          <w:tcPr>
            <w:tcW w:w="3163" w:type="dxa"/>
            <w:tcBorders>
              <w:bottom w:val="single" w:sz="4" w:space="0" w:color="auto"/>
            </w:tcBorders>
            <w:vAlign w:val="bottom"/>
          </w:tcPr>
          <w:p w14:paraId="33F87EEE" w14:textId="77777777" w:rsidR="00AC5C0C" w:rsidRPr="00B02BA3" w:rsidRDefault="00AC5C0C" w:rsidP="00922116">
            <w:pPr>
              <w:pStyle w:val="VSmCellHead"/>
              <w:jc w:val="center"/>
              <w:rPr>
                <w:sz w:val="16"/>
                <w:szCs w:val="16"/>
              </w:rPr>
            </w:pPr>
            <w:bookmarkStart w:id="9" w:name="_Hlk178245051"/>
            <w:r w:rsidRPr="00B02BA3">
              <w:rPr>
                <w:sz w:val="16"/>
                <w:szCs w:val="16"/>
              </w:rPr>
              <w:t>Vessel name</w:t>
            </w:r>
          </w:p>
        </w:tc>
        <w:tc>
          <w:tcPr>
            <w:tcW w:w="236" w:type="dxa"/>
            <w:vAlign w:val="bottom"/>
          </w:tcPr>
          <w:p w14:paraId="5F2A4E92"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75151645" w14:textId="77777777" w:rsidR="00AC5C0C" w:rsidRPr="00B02BA3" w:rsidRDefault="00AC5C0C" w:rsidP="00922116">
            <w:pPr>
              <w:pStyle w:val="VSmCellHead"/>
              <w:jc w:val="center"/>
              <w:rPr>
                <w:sz w:val="16"/>
                <w:szCs w:val="16"/>
              </w:rPr>
            </w:pPr>
            <w:r w:rsidRPr="00B02BA3">
              <w:rPr>
                <w:sz w:val="16"/>
                <w:szCs w:val="16"/>
              </w:rPr>
              <w:t>Capacity (DWT)</w:t>
            </w:r>
          </w:p>
        </w:tc>
        <w:tc>
          <w:tcPr>
            <w:tcW w:w="236" w:type="dxa"/>
            <w:vAlign w:val="bottom"/>
          </w:tcPr>
          <w:p w14:paraId="45045019"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5181B2D0" w14:textId="77777777" w:rsidR="00AC5C0C" w:rsidRPr="00B02BA3" w:rsidRDefault="00AC5C0C" w:rsidP="00922116">
            <w:pPr>
              <w:pStyle w:val="VSmCellHead"/>
              <w:jc w:val="center"/>
              <w:rPr>
                <w:sz w:val="16"/>
                <w:szCs w:val="16"/>
              </w:rPr>
            </w:pPr>
            <w:r w:rsidRPr="00B02BA3">
              <w:rPr>
                <w:sz w:val="16"/>
                <w:szCs w:val="16"/>
              </w:rPr>
              <w:t>Vessel type</w:t>
            </w:r>
          </w:p>
        </w:tc>
        <w:tc>
          <w:tcPr>
            <w:tcW w:w="236" w:type="dxa"/>
            <w:vAlign w:val="bottom"/>
          </w:tcPr>
          <w:p w14:paraId="77B5A655"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0EBB03BE" w14:textId="77777777" w:rsidR="00AC5C0C" w:rsidRPr="00B02BA3" w:rsidRDefault="00AC5C0C" w:rsidP="00922116">
            <w:pPr>
              <w:pStyle w:val="VSmCellHead"/>
              <w:jc w:val="center"/>
              <w:rPr>
                <w:sz w:val="16"/>
                <w:szCs w:val="16"/>
              </w:rPr>
            </w:pPr>
            <w:r w:rsidRPr="00B02BA3">
              <w:rPr>
                <w:sz w:val="16"/>
                <w:szCs w:val="16"/>
              </w:rPr>
              <w:t>Ownership (%) / Charter-In Term (Expiry Year)</w:t>
            </w:r>
          </w:p>
        </w:tc>
        <w:tc>
          <w:tcPr>
            <w:tcW w:w="236" w:type="dxa"/>
            <w:vAlign w:val="bottom"/>
          </w:tcPr>
          <w:p w14:paraId="378B430D" w14:textId="77777777" w:rsidR="00AC5C0C" w:rsidRPr="00B02BA3" w:rsidRDefault="00AC5C0C" w:rsidP="00922116">
            <w:pPr>
              <w:pStyle w:val="CellRowSpacer"/>
              <w:spacing w:after="120"/>
              <w:rPr>
                <w:b/>
                <w:bCs/>
                <w:sz w:val="16"/>
                <w:szCs w:val="16"/>
                <w:vertAlign w:val="superscript"/>
              </w:rPr>
            </w:pPr>
            <w:r w:rsidRPr="00B02BA3">
              <w:rPr>
                <w:b/>
                <w:bCs/>
                <w:sz w:val="16"/>
                <w:szCs w:val="16"/>
                <w:vertAlign w:val="superscript"/>
              </w:rPr>
              <w:t>(1)</w:t>
            </w:r>
          </w:p>
        </w:tc>
        <w:tc>
          <w:tcPr>
            <w:tcW w:w="655" w:type="dxa"/>
            <w:tcBorders>
              <w:bottom w:val="single" w:sz="4" w:space="0" w:color="auto"/>
            </w:tcBorders>
            <w:vAlign w:val="bottom"/>
          </w:tcPr>
          <w:p w14:paraId="749817F2" w14:textId="77777777" w:rsidR="00AC5C0C" w:rsidRPr="00B02BA3" w:rsidRDefault="00AC5C0C" w:rsidP="00922116">
            <w:pPr>
              <w:pStyle w:val="VSmCellHead"/>
              <w:jc w:val="center"/>
              <w:rPr>
                <w:sz w:val="16"/>
                <w:szCs w:val="16"/>
              </w:rPr>
            </w:pPr>
            <w:r w:rsidRPr="00B02BA3">
              <w:rPr>
                <w:sz w:val="16"/>
                <w:szCs w:val="16"/>
              </w:rPr>
              <w:t>Year built</w:t>
            </w:r>
          </w:p>
        </w:tc>
        <w:tc>
          <w:tcPr>
            <w:tcW w:w="270" w:type="dxa"/>
            <w:vAlign w:val="bottom"/>
          </w:tcPr>
          <w:p w14:paraId="09DB9109" w14:textId="77777777" w:rsidR="00AC5C0C" w:rsidRPr="00B02BA3" w:rsidRDefault="00AC5C0C" w:rsidP="00922116">
            <w:pPr>
              <w:pStyle w:val="CellRowSpacer"/>
              <w:spacing w:after="120"/>
              <w:jc w:val="center"/>
              <w:rPr>
                <w:sz w:val="16"/>
                <w:szCs w:val="16"/>
              </w:rPr>
            </w:pPr>
          </w:p>
        </w:tc>
        <w:tc>
          <w:tcPr>
            <w:tcW w:w="1125" w:type="dxa"/>
            <w:tcBorders>
              <w:bottom w:val="single" w:sz="4" w:space="0" w:color="auto"/>
            </w:tcBorders>
            <w:vAlign w:val="bottom"/>
          </w:tcPr>
          <w:p w14:paraId="4757ABF5" w14:textId="77777777" w:rsidR="00AC5C0C" w:rsidRPr="00B02BA3" w:rsidRDefault="00AC5C0C" w:rsidP="00922116">
            <w:pPr>
              <w:pStyle w:val="VSmCellHead"/>
              <w:jc w:val="center"/>
              <w:rPr>
                <w:sz w:val="16"/>
                <w:szCs w:val="16"/>
              </w:rPr>
            </w:pPr>
            <w:r w:rsidRPr="00B02BA3">
              <w:rPr>
                <w:sz w:val="16"/>
                <w:szCs w:val="16"/>
              </w:rPr>
              <w:t>Flag</w:t>
            </w:r>
          </w:p>
        </w:tc>
        <w:tc>
          <w:tcPr>
            <w:tcW w:w="236" w:type="dxa"/>
            <w:vAlign w:val="bottom"/>
          </w:tcPr>
          <w:p w14:paraId="096CBDDC" w14:textId="77777777" w:rsidR="00AC5C0C" w:rsidRPr="00B02BA3" w:rsidRDefault="00AC5C0C" w:rsidP="00922116">
            <w:pPr>
              <w:pStyle w:val="CellRowSpacer"/>
              <w:spacing w:after="120"/>
              <w:rPr>
                <w:sz w:val="16"/>
                <w:szCs w:val="16"/>
              </w:rPr>
            </w:pPr>
          </w:p>
        </w:tc>
      </w:tr>
      <w:tr w:rsidR="00AC5C0C" w:rsidRPr="00B02BA3" w14:paraId="05F979AB" w14:textId="77777777" w:rsidTr="00922116">
        <w:tc>
          <w:tcPr>
            <w:tcW w:w="3163" w:type="dxa"/>
          </w:tcPr>
          <w:p w14:paraId="71946F05" w14:textId="77777777" w:rsidR="00AC5C0C" w:rsidRPr="00B02BA3" w:rsidRDefault="00AC5C0C" w:rsidP="00922116">
            <w:pPr>
              <w:pStyle w:val="VSmCellBody"/>
              <w:tabs>
                <w:tab w:val="right" w:leader="dot" w:pos="3163"/>
              </w:tabs>
              <w:rPr>
                <w:b/>
                <w:bCs/>
                <w:sz w:val="16"/>
                <w:szCs w:val="16"/>
              </w:rPr>
            </w:pPr>
            <w:r w:rsidRPr="00B02BA3">
              <w:rPr>
                <w:b/>
                <w:bCs/>
                <w:sz w:val="16"/>
                <w:szCs w:val="16"/>
              </w:rPr>
              <w:t>Owned</w:t>
            </w:r>
          </w:p>
        </w:tc>
        <w:tc>
          <w:tcPr>
            <w:tcW w:w="236" w:type="dxa"/>
            <w:vAlign w:val="bottom"/>
          </w:tcPr>
          <w:p w14:paraId="667400BC" w14:textId="77777777" w:rsidR="00AC5C0C" w:rsidRPr="00B02BA3" w:rsidRDefault="00AC5C0C" w:rsidP="00922116">
            <w:pPr>
              <w:pStyle w:val="CellRowSpacer"/>
              <w:rPr>
                <w:sz w:val="16"/>
                <w:szCs w:val="16"/>
              </w:rPr>
            </w:pPr>
          </w:p>
        </w:tc>
        <w:tc>
          <w:tcPr>
            <w:tcW w:w="907" w:type="dxa"/>
          </w:tcPr>
          <w:p w14:paraId="0B4D181F" w14:textId="77777777" w:rsidR="00AC5C0C" w:rsidRPr="00B02BA3" w:rsidRDefault="00AC5C0C" w:rsidP="00922116">
            <w:pPr>
              <w:pStyle w:val="VSmCellBody"/>
              <w:jc w:val="right"/>
              <w:rPr>
                <w:sz w:val="16"/>
                <w:szCs w:val="16"/>
              </w:rPr>
            </w:pPr>
          </w:p>
        </w:tc>
        <w:tc>
          <w:tcPr>
            <w:tcW w:w="236" w:type="dxa"/>
            <w:vAlign w:val="bottom"/>
          </w:tcPr>
          <w:p w14:paraId="27A31F5A" w14:textId="77777777" w:rsidR="00AC5C0C" w:rsidRPr="00B02BA3" w:rsidRDefault="00AC5C0C" w:rsidP="00922116">
            <w:pPr>
              <w:pStyle w:val="CellRowSpacer"/>
              <w:rPr>
                <w:sz w:val="16"/>
                <w:szCs w:val="16"/>
              </w:rPr>
            </w:pPr>
          </w:p>
        </w:tc>
        <w:tc>
          <w:tcPr>
            <w:tcW w:w="907" w:type="dxa"/>
            <w:vAlign w:val="bottom"/>
          </w:tcPr>
          <w:p w14:paraId="37F67B1D" w14:textId="77777777" w:rsidR="00AC5C0C" w:rsidRPr="00B02BA3" w:rsidRDefault="00AC5C0C" w:rsidP="00922116">
            <w:pPr>
              <w:pStyle w:val="VSmCellBody"/>
              <w:jc w:val="right"/>
              <w:rPr>
                <w:sz w:val="16"/>
                <w:szCs w:val="16"/>
              </w:rPr>
            </w:pPr>
          </w:p>
        </w:tc>
        <w:tc>
          <w:tcPr>
            <w:tcW w:w="236" w:type="dxa"/>
            <w:vAlign w:val="bottom"/>
          </w:tcPr>
          <w:p w14:paraId="05DDE2F4" w14:textId="77777777" w:rsidR="00AC5C0C" w:rsidRPr="00B02BA3" w:rsidRDefault="00AC5C0C" w:rsidP="00922116">
            <w:pPr>
              <w:pStyle w:val="CellRowSpacer"/>
              <w:rPr>
                <w:sz w:val="16"/>
                <w:szCs w:val="16"/>
              </w:rPr>
            </w:pPr>
          </w:p>
        </w:tc>
        <w:tc>
          <w:tcPr>
            <w:tcW w:w="907" w:type="dxa"/>
            <w:vAlign w:val="bottom"/>
          </w:tcPr>
          <w:p w14:paraId="2C584ED5" w14:textId="77777777" w:rsidR="00AC5C0C" w:rsidRPr="00B02BA3" w:rsidRDefault="00AC5C0C" w:rsidP="00922116">
            <w:pPr>
              <w:pStyle w:val="VSmCellBody"/>
              <w:jc w:val="right"/>
              <w:rPr>
                <w:sz w:val="16"/>
                <w:szCs w:val="16"/>
              </w:rPr>
            </w:pPr>
          </w:p>
        </w:tc>
        <w:tc>
          <w:tcPr>
            <w:tcW w:w="236" w:type="dxa"/>
            <w:vAlign w:val="bottom"/>
          </w:tcPr>
          <w:p w14:paraId="52D510F4" w14:textId="77777777" w:rsidR="00AC5C0C" w:rsidRPr="00B02BA3" w:rsidRDefault="00AC5C0C" w:rsidP="00922116">
            <w:pPr>
              <w:pStyle w:val="CellRowSpacer"/>
              <w:rPr>
                <w:sz w:val="16"/>
                <w:szCs w:val="16"/>
              </w:rPr>
            </w:pPr>
          </w:p>
        </w:tc>
        <w:tc>
          <w:tcPr>
            <w:tcW w:w="655" w:type="dxa"/>
            <w:vAlign w:val="bottom"/>
          </w:tcPr>
          <w:p w14:paraId="52F836BB" w14:textId="77777777" w:rsidR="00AC5C0C" w:rsidRPr="00B02BA3" w:rsidRDefault="00AC5C0C" w:rsidP="00922116">
            <w:pPr>
              <w:pStyle w:val="VSmCellBody"/>
              <w:jc w:val="right"/>
              <w:rPr>
                <w:sz w:val="16"/>
                <w:szCs w:val="16"/>
              </w:rPr>
            </w:pPr>
          </w:p>
        </w:tc>
        <w:tc>
          <w:tcPr>
            <w:tcW w:w="270" w:type="dxa"/>
            <w:vAlign w:val="bottom"/>
          </w:tcPr>
          <w:p w14:paraId="175898D3" w14:textId="77777777" w:rsidR="00AC5C0C" w:rsidRPr="00B02BA3" w:rsidRDefault="00AC5C0C" w:rsidP="00922116">
            <w:pPr>
              <w:pStyle w:val="CellRowSpacer"/>
              <w:rPr>
                <w:sz w:val="16"/>
                <w:szCs w:val="16"/>
              </w:rPr>
            </w:pPr>
          </w:p>
        </w:tc>
        <w:tc>
          <w:tcPr>
            <w:tcW w:w="1125" w:type="dxa"/>
            <w:vAlign w:val="bottom"/>
          </w:tcPr>
          <w:p w14:paraId="3CEB97EA" w14:textId="77777777" w:rsidR="00AC5C0C" w:rsidRPr="00B02BA3" w:rsidRDefault="00AC5C0C" w:rsidP="00922116">
            <w:pPr>
              <w:pStyle w:val="VSmCellBody"/>
              <w:jc w:val="right"/>
              <w:rPr>
                <w:sz w:val="16"/>
                <w:szCs w:val="16"/>
              </w:rPr>
            </w:pPr>
          </w:p>
        </w:tc>
        <w:tc>
          <w:tcPr>
            <w:tcW w:w="236" w:type="dxa"/>
            <w:vAlign w:val="bottom"/>
          </w:tcPr>
          <w:p w14:paraId="352FCDDD" w14:textId="77777777" w:rsidR="00AC5C0C" w:rsidRPr="00B02BA3" w:rsidRDefault="00AC5C0C" w:rsidP="00922116">
            <w:pPr>
              <w:pStyle w:val="CellRowSpacer"/>
              <w:rPr>
                <w:sz w:val="16"/>
                <w:szCs w:val="16"/>
              </w:rPr>
            </w:pPr>
          </w:p>
        </w:tc>
      </w:tr>
      <w:tr w:rsidR="00AC5C0C" w:rsidRPr="00B02BA3" w14:paraId="3B8DA1BA" w14:textId="77777777" w:rsidTr="00922116">
        <w:tc>
          <w:tcPr>
            <w:tcW w:w="3163" w:type="dxa"/>
            <w:vAlign w:val="bottom"/>
          </w:tcPr>
          <w:p w14:paraId="4EBD5B8E" w14:textId="77777777" w:rsidR="00AC5C0C" w:rsidRPr="00B02BA3" w:rsidRDefault="00AC5C0C" w:rsidP="00922116">
            <w:pPr>
              <w:pStyle w:val="VSmCellBody"/>
              <w:tabs>
                <w:tab w:val="right" w:leader="dot" w:pos="3163"/>
              </w:tabs>
              <w:rPr>
                <w:rFonts w:eastAsia="SimSun"/>
                <w:sz w:val="16"/>
                <w:szCs w:val="16"/>
              </w:rPr>
            </w:pPr>
            <w:r w:rsidRPr="00B02BA3">
              <w:rPr>
                <w:sz w:val="16"/>
                <w:szCs w:val="16"/>
              </w:rPr>
              <w:t>Matrah</w:t>
            </w:r>
            <w:r w:rsidRPr="00B02BA3">
              <w:rPr>
                <w:rFonts w:eastAsia="SimSun"/>
                <w:sz w:val="16"/>
                <w:szCs w:val="16"/>
              </w:rPr>
              <w:tab/>
            </w:r>
          </w:p>
        </w:tc>
        <w:tc>
          <w:tcPr>
            <w:tcW w:w="236" w:type="dxa"/>
            <w:vAlign w:val="bottom"/>
          </w:tcPr>
          <w:p w14:paraId="516E2689"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09C92858" w14:textId="77777777" w:rsidR="00AC5C0C" w:rsidRPr="00B02BA3" w:rsidRDefault="00AC5C0C" w:rsidP="00922116">
            <w:pPr>
              <w:pStyle w:val="VSmCellBody"/>
              <w:jc w:val="right"/>
              <w:rPr>
                <w:sz w:val="16"/>
                <w:szCs w:val="16"/>
              </w:rPr>
            </w:pPr>
            <w:r w:rsidRPr="00B02BA3">
              <w:rPr>
                <w:sz w:val="16"/>
                <w:szCs w:val="16"/>
              </w:rPr>
              <w:t>51,021</w:t>
            </w:r>
          </w:p>
        </w:tc>
        <w:tc>
          <w:tcPr>
            <w:tcW w:w="236" w:type="dxa"/>
            <w:vAlign w:val="bottom"/>
          </w:tcPr>
          <w:p w14:paraId="051D71E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5A6FAF6" w14:textId="77777777" w:rsidR="00AC5C0C" w:rsidRPr="00B02BA3" w:rsidRDefault="00AC5C0C" w:rsidP="00922116">
            <w:pPr>
              <w:pStyle w:val="VSmCellBody"/>
              <w:jc w:val="right"/>
              <w:rPr>
                <w:sz w:val="16"/>
                <w:szCs w:val="16"/>
              </w:rPr>
            </w:pPr>
            <w:r w:rsidRPr="00B02BA3">
              <w:rPr>
                <w:sz w:val="16"/>
                <w:szCs w:val="16"/>
              </w:rPr>
              <w:t>Methanol carrier</w:t>
            </w:r>
          </w:p>
        </w:tc>
        <w:tc>
          <w:tcPr>
            <w:tcW w:w="236" w:type="dxa"/>
            <w:vAlign w:val="bottom"/>
          </w:tcPr>
          <w:p w14:paraId="01F6A5F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E4A5643"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34DC3E81"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0056B681" w14:textId="77777777" w:rsidR="00AC5C0C" w:rsidRPr="00B02BA3" w:rsidRDefault="00AC5C0C" w:rsidP="00922116">
            <w:pPr>
              <w:pStyle w:val="VSmCellBody"/>
              <w:jc w:val="right"/>
              <w:rPr>
                <w:sz w:val="16"/>
                <w:szCs w:val="16"/>
              </w:rPr>
            </w:pPr>
            <w:r w:rsidRPr="00B02BA3">
              <w:rPr>
                <w:sz w:val="16"/>
                <w:szCs w:val="16"/>
              </w:rPr>
              <w:t>2008</w:t>
            </w:r>
          </w:p>
        </w:tc>
        <w:tc>
          <w:tcPr>
            <w:tcW w:w="270" w:type="dxa"/>
            <w:vAlign w:val="bottom"/>
          </w:tcPr>
          <w:p w14:paraId="19A42BF6"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4A373F94" w14:textId="77777777" w:rsidR="00AC5C0C" w:rsidRPr="00B02BA3" w:rsidRDefault="00AC5C0C" w:rsidP="00922116">
            <w:pPr>
              <w:pStyle w:val="VSmCellBody"/>
              <w:jc w:val="right"/>
              <w:rPr>
                <w:sz w:val="16"/>
                <w:szCs w:val="16"/>
              </w:rPr>
            </w:pPr>
            <w:r w:rsidRPr="00B02BA3">
              <w:rPr>
                <w:sz w:val="16"/>
                <w:szCs w:val="16"/>
              </w:rPr>
              <w:t>Panama</w:t>
            </w:r>
          </w:p>
        </w:tc>
        <w:tc>
          <w:tcPr>
            <w:tcW w:w="236" w:type="dxa"/>
            <w:vAlign w:val="bottom"/>
          </w:tcPr>
          <w:p w14:paraId="448EF65A" w14:textId="77777777" w:rsidR="00AC5C0C" w:rsidRPr="00B02BA3" w:rsidRDefault="00AC5C0C" w:rsidP="00922116">
            <w:pPr>
              <w:pStyle w:val="CellRowSpacer"/>
              <w:rPr>
                <w:sz w:val="16"/>
                <w:szCs w:val="16"/>
              </w:rPr>
            </w:pPr>
          </w:p>
        </w:tc>
      </w:tr>
      <w:tr w:rsidR="00AC5C0C" w:rsidRPr="00B02BA3" w14:paraId="6FF7B0AC" w14:textId="77777777" w:rsidTr="00922116">
        <w:tc>
          <w:tcPr>
            <w:tcW w:w="3163" w:type="dxa"/>
            <w:vAlign w:val="bottom"/>
          </w:tcPr>
          <w:p w14:paraId="43823DE7" w14:textId="77777777" w:rsidR="00AC5C0C" w:rsidRPr="00B02BA3" w:rsidRDefault="00AC5C0C" w:rsidP="00922116">
            <w:pPr>
              <w:pStyle w:val="VSmCellBody"/>
              <w:tabs>
                <w:tab w:val="right" w:leader="dot" w:pos="3163"/>
              </w:tabs>
              <w:rPr>
                <w:rFonts w:eastAsia="SimSun"/>
                <w:sz w:val="16"/>
                <w:szCs w:val="16"/>
              </w:rPr>
            </w:pPr>
            <w:r w:rsidRPr="00B02BA3">
              <w:rPr>
                <w:sz w:val="16"/>
                <w:szCs w:val="16"/>
              </w:rPr>
              <w:t xml:space="preserve">Al </w:t>
            </w:r>
            <w:proofErr w:type="spellStart"/>
            <w:r w:rsidRPr="00B02BA3">
              <w:rPr>
                <w:sz w:val="16"/>
                <w:szCs w:val="16"/>
              </w:rPr>
              <w:t>Amerat</w:t>
            </w:r>
            <w:proofErr w:type="spellEnd"/>
            <w:r w:rsidRPr="00B02BA3">
              <w:rPr>
                <w:rFonts w:eastAsia="SimSun"/>
                <w:sz w:val="16"/>
                <w:szCs w:val="16"/>
              </w:rPr>
              <w:tab/>
            </w:r>
          </w:p>
        </w:tc>
        <w:tc>
          <w:tcPr>
            <w:tcW w:w="236" w:type="dxa"/>
            <w:vAlign w:val="bottom"/>
          </w:tcPr>
          <w:p w14:paraId="768D9EE1"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32152762" w14:textId="77777777" w:rsidR="00AC5C0C" w:rsidRPr="00B02BA3" w:rsidRDefault="00AC5C0C" w:rsidP="00922116">
            <w:pPr>
              <w:pStyle w:val="VSmCellBody"/>
              <w:jc w:val="right"/>
              <w:rPr>
                <w:sz w:val="16"/>
                <w:szCs w:val="16"/>
              </w:rPr>
            </w:pPr>
            <w:r w:rsidRPr="00B02BA3">
              <w:rPr>
                <w:sz w:val="16"/>
                <w:szCs w:val="16"/>
              </w:rPr>
              <w:t>51,022</w:t>
            </w:r>
          </w:p>
        </w:tc>
        <w:tc>
          <w:tcPr>
            <w:tcW w:w="236" w:type="dxa"/>
            <w:vAlign w:val="bottom"/>
          </w:tcPr>
          <w:p w14:paraId="7094A80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1FDFA32" w14:textId="77777777" w:rsidR="00AC5C0C" w:rsidRPr="00B02BA3" w:rsidRDefault="00AC5C0C" w:rsidP="00922116">
            <w:pPr>
              <w:pStyle w:val="VSmCellBody"/>
              <w:jc w:val="right"/>
              <w:rPr>
                <w:sz w:val="16"/>
                <w:szCs w:val="16"/>
              </w:rPr>
            </w:pPr>
            <w:r w:rsidRPr="00B02BA3">
              <w:rPr>
                <w:sz w:val="16"/>
                <w:szCs w:val="16"/>
              </w:rPr>
              <w:t>Methanol carrier</w:t>
            </w:r>
          </w:p>
        </w:tc>
        <w:tc>
          <w:tcPr>
            <w:tcW w:w="236" w:type="dxa"/>
            <w:vAlign w:val="bottom"/>
          </w:tcPr>
          <w:p w14:paraId="5773FCB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7B40827"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70A96EB2"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2F089B26" w14:textId="77777777" w:rsidR="00AC5C0C" w:rsidRPr="00B02BA3" w:rsidRDefault="00AC5C0C" w:rsidP="00922116">
            <w:pPr>
              <w:pStyle w:val="VSmCellBody"/>
              <w:jc w:val="right"/>
              <w:rPr>
                <w:sz w:val="16"/>
                <w:szCs w:val="16"/>
              </w:rPr>
            </w:pPr>
            <w:r w:rsidRPr="00B02BA3">
              <w:rPr>
                <w:sz w:val="16"/>
                <w:szCs w:val="16"/>
              </w:rPr>
              <w:t>2008</w:t>
            </w:r>
          </w:p>
        </w:tc>
        <w:tc>
          <w:tcPr>
            <w:tcW w:w="270" w:type="dxa"/>
            <w:vAlign w:val="bottom"/>
          </w:tcPr>
          <w:p w14:paraId="7834DDA3"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1F27B871" w14:textId="77777777" w:rsidR="00AC5C0C" w:rsidRPr="00B02BA3" w:rsidRDefault="00AC5C0C" w:rsidP="00922116">
            <w:pPr>
              <w:pStyle w:val="VSmCellBody"/>
              <w:jc w:val="right"/>
              <w:rPr>
                <w:sz w:val="16"/>
                <w:szCs w:val="16"/>
              </w:rPr>
            </w:pPr>
            <w:r w:rsidRPr="00B02BA3">
              <w:rPr>
                <w:sz w:val="16"/>
                <w:szCs w:val="16"/>
              </w:rPr>
              <w:t>Panama</w:t>
            </w:r>
          </w:p>
        </w:tc>
        <w:tc>
          <w:tcPr>
            <w:tcW w:w="236" w:type="dxa"/>
            <w:vAlign w:val="bottom"/>
          </w:tcPr>
          <w:p w14:paraId="51DB9533" w14:textId="77777777" w:rsidR="00AC5C0C" w:rsidRPr="00B02BA3" w:rsidRDefault="00AC5C0C" w:rsidP="00922116">
            <w:pPr>
              <w:pStyle w:val="CellRowSpacer"/>
              <w:rPr>
                <w:sz w:val="16"/>
                <w:szCs w:val="16"/>
              </w:rPr>
            </w:pPr>
          </w:p>
        </w:tc>
      </w:tr>
      <w:tr w:rsidR="00AC5C0C" w:rsidRPr="00B02BA3" w14:paraId="22F8BFA6" w14:textId="77777777" w:rsidTr="00922116">
        <w:tc>
          <w:tcPr>
            <w:tcW w:w="3163" w:type="dxa"/>
            <w:vAlign w:val="bottom"/>
          </w:tcPr>
          <w:p w14:paraId="0C41ACF3" w14:textId="77777777" w:rsidR="00AC5C0C" w:rsidRPr="00B02BA3" w:rsidRDefault="00AC5C0C" w:rsidP="00922116">
            <w:pPr>
              <w:pStyle w:val="VSmCellBody"/>
              <w:tabs>
                <w:tab w:val="right" w:leader="dot" w:pos="3163"/>
              </w:tabs>
              <w:rPr>
                <w:rFonts w:eastAsia="SimSun"/>
                <w:sz w:val="16"/>
                <w:szCs w:val="16"/>
              </w:rPr>
            </w:pPr>
            <w:r w:rsidRPr="00B02BA3">
              <w:rPr>
                <w:sz w:val="16"/>
                <w:szCs w:val="16"/>
              </w:rPr>
              <w:t>Masirah</w:t>
            </w:r>
            <w:r w:rsidRPr="00B02BA3">
              <w:rPr>
                <w:rFonts w:eastAsia="SimSun"/>
                <w:sz w:val="16"/>
                <w:szCs w:val="16"/>
              </w:rPr>
              <w:tab/>
            </w:r>
            <w:r w:rsidRPr="00B02BA3">
              <w:rPr>
                <w:sz w:val="16"/>
                <w:szCs w:val="16"/>
              </w:rPr>
              <w:t xml:space="preserve"> </w:t>
            </w:r>
          </w:p>
        </w:tc>
        <w:tc>
          <w:tcPr>
            <w:tcW w:w="236" w:type="dxa"/>
            <w:vAlign w:val="bottom"/>
          </w:tcPr>
          <w:p w14:paraId="4E94A07F"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36DE0726" w14:textId="77777777" w:rsidR="00AC5C0C" w:rsidRPr="00B02BA3" w:rsidRDefault="00AC5C0C" w:rsidP="00922116">
            <w:pPr>
              <w:pStyle w:val="VSmCellBody"/>
              <w:jc w:val="right"/>
              <w:rPr>
                <w:sz w:val="16"/>
                <w:szCs w:val="16"/>
              </w:rPr>
            </w:pPr>
            <w:r w:rsidRPr="00B02BA3">
              <w:rPr>
                <w:sz w:val="16"/>
                <w:szCs w:val="16"/>
              </w:rPr>
              <w:t>12,885</w:t>
            </w:r>
          </w:p>
        </w:tc>
        <w:tc>
          <w:tcPr>
            <w:tcW w:w="236" w:type="dxa"/>
            <w:vAlign w:val="bottom"/>
          </w:tcPr>
          <w:p w14:paraId="7EC4FC9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61A369E" w14:textId="77777777" w:rsidR="00AC5C0C" w:rsidRPr="00B02BA3" w:rsidRDefault="00AC5C0C" w:rsidP="00922116">
            <w:pPr>
              <w:pStyle w:val="VSmCellBody"/>
              <w:jc w:val="right"/>
              <w:rPr>
                <w:sz w:val="16"/>
                <w:szCs w:val="16"/>
              </w:rPr>
            </w:pPr>
            <w:r w:rsidRPr="00B02BA3">
              <w:rPr>
                <w:sz w:val="16"/>
                <w:szCs w:val="16"/>
              </w:rPr>
              <w:t>Small chemical tanker</w:t>
            </w:r>
          </w:p>
        </w:tc>
        <w:tc>
          <w:tcPr>
            <w:tcW w:w="236" w:type="dxa"/>
            <w:vAlign w:val="bottom"/>
          </w:tcPr>
          <w:p w14:paraId="16AE33A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3FF4E01"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64603DC6"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5B2EC4B9" w14:textId="77777777" w:rsidR="00AC5C0C" w:rsidRPr="00B02BA3" w:rsidRDefault="00AC5C0C" w:rsidP="00922116">
            <w:pPr>
              <w:pStyle w:val="VSmCellBody"/>
              <w:jc w:val="right"/>
              <w:rPr>
                <w:sz w:val="16"/>
                <w:szCs w:val="16"/>
              </w:rPr>
            </w:pPr>
            <w:r w:rsidRPr="00B02BA3">
              <w:rPr>
                <w:sz w:val="16"/>
                <w:szCs w:val="16"/>
              </w:rPr>
              <w:t>2007</w:t>
            </w:r>
          </w:p>
        </w:tc>
        <w:tc>
          <w:tcPr>
            <w:tcW w:w="270" w:type="dxa"/>
            <w:vAlign w:val="bottom"/>
          </w:tcPr>
          <w:p w14:paraId="2C3DC759"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59156883" w14:textId="77777777" w:rsidR="00AC5C0C" w:rsidRPr="00B02BA3" w:rsidDel="00986B80" w:rsidRDefault="00AC5C0C" w:rsidP="00922116">
            <w:pPr>
              <w:pStyle w:val="VSmCellBody"/>
              <w:jc w:val="right"/>
              <w:rPr>
                <w:sz w:val="16"/>
                <w:szCs w:val="16"/>
              </w:rPr>
            </w:pPr>
            <w:r w:rsidRPr="00B02BA3">
              <w:rPr>
                <w:sz w:val="16"/>
                <w:szCs w:val="16"/>
              </w:rPr>
              <w:t>Panama</w:t>
            </w:r>
          </w:p>
        </w:tc>
        <w:tc>
          <w:tcPr>
            <w:tcW w:w="236" w:type="dxa"/>
            <w:vAlign w:val="bottom"/>
          </w:tcPr>
          <w:p w14:paraId="255758DC" w14:textId="77777777" w:rsidR="00AC5C0C" w:rsidRPr="00B02BA3" w:rsidRDefault="00AC5C0C" w:rsidP="00922116">
            <w:pPr>
              <w:pStyle w:val="CellRowSpacer"/>
              <w:rPr>
                <w:sz w:val="16"/>
                <w:szCs w:val="16"/>
              </w:rPr>
            </w:pPr>
          </w:p>
        </w:tc>
      </w:tr>
      <w:tr w:rsidR="00AC5C0C" w:rsidRPr="00B02BA3" w14:paraId="2A468076" w14:textId="77777777" w:rsidTr="00922116">
        <w:tc>
          <w:tcPr>
            <w:tcW w:w="3163" w:type="dxa"/>
            <w:vAlign w:val="bottom"/>
          </w:tcPr>
          <w:p w14:paraId="3BDD00F9" w14:textId="77777777" w:rsidR="00AC5C0C" w:rsidRPr="00B02BA3" w:rsidRDefault="00AC5C0C" w:rsidP="00922116">
            <w:pPr>
              <w:pStyle w:val="VSmCellBody"/>
              <w:tabs>
                <w:tab w:val="right" w:leader="dot" w:pos="3163"/>
              </w:tabs>
              <w:rPr>
                <w:rFonts w:eastAsia="SimSun"/>
                <w:sz w:val="16"/>
                <w:szCs w:val="16"/>
              </w:rPr>
            </w:pPr>
            <w:r w:rsidRPr="00B02BA3">
              <w:rPr>
                <w:sz w:val="16"/>
                <w:szCs w:val="16"/>
              </w:rPr>
              <w:t>Muscat Silver</w:t>
            </w:r>
            <w:r w:rsidRPr="00B02BA3">
              <w:rPr>
                <w:rFonts w:eastAsia="SimSun"/>
                <w:sz w:val="16"/>
                <w:szCs w:val="16"/>
              </w:rPr>
              <w:tab/>
            </w:r>
          </w:p>
        </w:tc>
        <w:tc>
          <w:tcPr>
            <w:tcW w:w="236" w:type="dxa"/>
            <w:vAlign w:val="bottom"/>
          </w:tcPr>
          <w:p w14:paraId="287B16BE"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1524390A" w14:textId="77777777" w:rsidR="00AC5C0C" w:rsidRPr="00B02BA3" w:rsidRDefault="00AC5C0C" w:rsidP="00922116">
            <w:pPr>
              <w:pStyle w:val="VSmCellBody"/>
              <w:jc w:val="right"/>
              <w:rPr>
                <w:sz w:val="16"/>
                <w:szCs w:val="16"/>
              </w:rPr>
            </w:pPr>
            <w:r w:rsidRPr="00B02BA3">
              <w:rPr>
                <w:sz w:val="16"/>
                <w:szCs w:val="16"/>
              </w:rPr>
              <w:t>45,923</w:t>
            </w:r>
          </w:p>
        </w:tc>
        <w:tc>
          <w:tcPr>
            <w:tcW w:w="236" w:type="dxa"/>
            <w:vAlign w:val="bottom"/>
          </w:tcPr>
          <w:p w14:paraId="29ACE91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976AA29"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086AD77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5D7B6C9"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3F8C015B"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791CCCB5" w14:textId="77777777" w:rsidR="00AC5C0C" w:rsidRPr="00B02BA3" w:rsidRDefault="00AC5C0C" w:rsidP="00922116">
            <w:pPr>
              <w:pStyle w:val="VSmCellBody"/>
              <w:jc w:val="right"/>
              <w:rPr>
                <w:sz w:val="16"/>
                <w:szCs w:val="16"/>
              </w:rPr>
            </w:pPr>
            <w:r w:rsidRPr="00B02BA3">
              <w:rPr>
                <w:sz w:val="16"/>
                <w:szCs w:val="16"/>
              </w:rPr>
              <w:t>2015</w:t>
            </w:r>
          </w:p>
        </w:tc>
        <w:tc>
          <w:tcPr>
            <w:tcW w:w="270" w:type="dxa"/>
            <w:vAlign w:val="bottom"/>
          </w:tcPr>
          <w:p w14:paraId="60E634FC"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7A8BA3DA" w14:textId="77777777" w:rsidR="00AC5C0C" w:rsidRPr="00B02BA3" w:rsidDel="00986B80" w:rsidRDefault="00AC5C0C" w:rsidP="00922116">
            <w:pPr>
              <w:pStyle w:val="VSmCellBody"/>
              <w:jc w:val="right"/>
              <w:rPr>
                <w:sz w:val="16"/>
                <w:szCs w:val="16"/>
              </w:rPr>
            </w:pPr>
            <w:r w:rsidRPr="00B02BA3">
              <w:rPr>
                <w:sz w:val="16"/>
                <w:szCs w:val="16"/>
              </w:rPr>
              <w:t>Marshall Islands</w:t>
            </w:r>
          </w:p>
        </w:tc>
        <w:tc>
          <w:tcPr>
            <w:tcW w:w="236" w:type="dxa"/>
            <w:vAlign w:val="bottom"/>
          </w:tcPr>
          <w:p w14:paraId="5A19C925" w14:textId="77777777" w:rsidR="00AC5C0C" w:rsidRPr="00B02BA3" w:rsidRDefault="00AC5C0C" w:rsidP="00922116">
            <w:pPr>
              <w:pStyle w:val="CellRowSpacer"/>
              <w:rPr>
                <w:sz w:val="16"/>
                <w:szCs w:val="16"/>
              </w:rPr>
            </w:pPr>
          </w:p>
        </w:tc>
      </w:tr>
      <w:tr w:rsidR="00AC5C0C" w:rsidRPr="00B02BA3" w14:paraId="1192EE3B" w14:textId="77777777" w:rsidTr="00922116">
        <w:tc>
          <w:tcPr>
            <w:tcW w:w="3163" w:type="dxa"/>
            <w:vAlign w:val="bottom"/>
          </w:tcPr>
          <w:p w14:paraId="6DBAF78C" w14:textId="77777777" w:rsidR="00AC5C0C" w:rsidRPr="00B02BA3" w:rsidRDefault="00AC5C0C" w:rsidP="00922116">
            <w:pPr>
              <w:pStyle w:val="VSmCellBody"/>
              <w:tabs>
                <w:tab w:val="right" w:leader="dot" w:pos="3163"/>
              </w:tabs>
              <w:rPr>
                <w:rFonts w:eastAsia="SimSun"/>
                <w:sz w:val="16"/>
                <w:szCs w:val="16"/>
              </w:rPr>
            </w:pPr>
            <w:proofErr w:type="spellStart"/>
            <w:r w:rsidRPr="00B02BA3">
              <w:rPr>
                <w:sz w:val="16"/>
                <w:szCs w:val="16"/>
              </w:rPr>
              <w:t>Rustaq</w:t>
            </w:r>
            <w:proofErr w:type="spellEnd"/>
            <w:r w:rsidRPr="00B02BA3">
              <w:rPr>
                <w:sz w:val="16"/>
                <w:szCs w:val="16"/>
              </w:rPr>
              <w:t xml:space="preserve"> Silver</w:t>
            </w:r>
            <w:r w:rsidRPr="00B02BA3">
              <w:rPr>
                <w:rFonts w:eastAsia="SimSun"/>
                <w:sz w:val="16"/>
                <w:szCs w:val="16"/>
              </w:rPr>
              <w:tab/>
            </w:r>
          </w:p>
        </w:tc>
        <w:tc>
          <w:tcPr>
            <w:tcW w:w="236" w:type="dxa"/>
            <w:vAlign w:val="bottom"/>
          </w:tcPr>
          <w:p w14:paraId="38B7970B"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762A4B19" w14:textId="77777777" w:rsidR="00AC5C0C" w:rsidRPr="00B02BA3" w:rsidRDefault="00AC5C0C" w:rsidP="00922116">
            <w:pPr>
              <w:pStyle w:val="VSmCellBody"/>
              <w:jc w:val="right"/>
              <w:rPr>
                <w:sz w:val="16"/>
                <w:szCs w:val="16"/>
              </w:rPr>
            </w:pPr>
            <w:r w:rsidRPr="00B02BA3">
              <w:rPr>
                <w:sz w:val="16"/>
                <w:szCs w:val="16"/>
              </w:rPr>
              <w:t>45,923</w:t>
            </w:r>
          </w:p>
        </w:tc>
        <w:tc>
          <w:tcPr>
            <w:tcW w:w="236" w:type="dxa"/>
            <w:vAlign w:val="bottom"/>
          </w:tcPr>
          <w:p w14:paraId="4F8FF09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00CFFDB"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6DC0673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943E5EC"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0CD852D9"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61EF0694" w14:textId="77777777" w:rsidR="00AC5C0C" w:rsidRPr="00B02BA3" w:rsidRDefault="00AC5C0C" w:rsidP="00922116">
            <w:pPr>
              <w:pStyle w:val="VSmCellBody"/>
              <w:jc w:val="right"/>
              <w:rPr>
                <w:sz w:val="16"/>
                <w:szCs w:val="16"/>
              </w:rPr>
            </w:pPr>
            <w:r w:rsidRPr="00B02BA3">
              <w:rPr>
                <w:sz w:val="16"/>
                <w:szCs w:val="16"/>
              </w:rPr>
              <w:t>2015</w:t>
            </w:r>
          </w:p>
        </w:tc>
        <w:tc>
          <w:tcPr>
            <w:tcW w:w="270" w:type="dxa"/>
            <w:vAlign w:val="bottom"/>
          </w:tcPr>
          <w:p w14:paraId="29DC3B00"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00D043AC" w14:textId="77777777" w:rsidR="00AC5C0C" w:rsidRPr="00B02BA3" w:rsidDel="00986B80" w:rsidRDefault="00AC5C0C" w:rsidP="00922116">
            <w:pPr>
              <w:pStyle w:val="VSmCellBody"/>
              <w:jc w:val="right"/>
              <w:rPr>
                <w:sz w:val="16"/>
                <w:szCs w:val="16"/>
              </w:rPr>
            </w:pPr>
            <w:r w:rsidRPr="00B02BA3">
              <w:rPr>
                <w:sz w:val="16"/>
                <w:szCs w:val="16"/>
              </w:rPr>
              <w:t>Marshall Islands</w:t>
            </w:r>
          </w:p>
        </w:tc>
        <w:tc>
          <w:tcPr>
            <w:tcW w:w="236" w:type="dxa"/>
            <w:vAlign w:val="bottom"/>
          </w:tcPr>
          <w:p w14:paraId="50C0DAB3" w14:textId="77777777" w:rsidR="00AC5C0C" w:rsidRPr="00B02BA3" w:rsidRDefault="00AC5C0C" w:rsidP="00922116">
            <w:pPr>
              <w:pStyle w:val="CellRowSpacer"/>
              <w:rPr>
                <w:sz w:val="16"/>
                <w:szCs w:val="16"/>
              </w:rPr>
            </w:pPr>
          </w:p>
        </w:tc>
      </w:tr>
      <w:tr w:rsidR="00AC5C0C" w:rsidRPr="00B02BA3" w14:paraId="280EF5AC" w14:textId="77777777" w:rsidTr="00922116">
        <w:tc>
          <w:tcPr>
            <w:tcW w:w="3163" w:type="dxa"/>
            <w:vAlign w:val="bottom"/>
          </w:tcPr>
          <w:p w14:paraId="4CCA0D46" w14:textId="77777777" w:rsidR="00AC5C0C" w:rsidRPr="00B02BA3" w:rsidRDefault="00AC5C0C" w:rsidP="00922116">
            <w:pPr>
              <w:pStyle w:val="VSmCellBody"/>
              <w:tabs>
                <w:tab w:val="right" w:leader="dot" w:pos="3163"/>
              </w:tabs>
              <w:rPr>
                <w:rFonts w:eastAsia="SimSun"/>
                <w:sz w:val="16"/>
                <w:szCs w:val="16"/>
              </w:rPr>
            </w:pPr>
            <w:proofErr w:type="spellStart"/>
            <w:r w:rsidRPr="00B02BA3">
              <w:rPr>
                <w:sz w:val="16"/>
                <w:szCs w:val="16"/>
              </w:rPr>
              <w:t>Nakhal</w:t>
            </w:r>
            <w:proofErr w:type="spellEnd"/>
            <w:r w:rsidRPr="00B02BA3">
              <w:rPr>
                <w:sz w:val="16"/>
                <w:szCs w:val="16"/>
              </w:rPr>
              <w:t xml:space="preserve"> Silver</w:t>
            </w:r>
            <w:r w:rsidRPr="00B02BA3">
              <w:rPr>
                <w:rFonts w:eastAsia="SimSun"/>
                <w:sz w:val="16"/>
                <w:szCs w:val="16"/>
              </w:rPr>
              <w:tab/>
            </w:r>
          </w:p>
        </w:tc>
        <w:tc>
          <w:tcPr>
            <w:tcW w:w="236" w:type="dxa"/>
            <w:vAlign w:val="bottom"/>
          </w:tcPr>
          <w:p w14:paraId="7E6C06F9"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115488C7" w14:textId="77777777" w:rsidR="00AC5C0C" w:rsidRPr="00B02BA3" w:rsidRDefault="00AC5C0C" w:rsidP="00922116">
            <w:pPr>
              <w:pStyle w:val="VSmCellBody"/>
              <w:jc w:val="right"/>
              <w:rPr>
                <w:sz w:val="16"/>
                <w:szCs w:val="16"/>
              </w:rPr>
            </w:pPr>
            <w:r w:rsidRPr="00B02BA3">
              <w:rPr>
                <w:sz w:val="16"/>
                <w:szCs w:val="16"/>
              </w:rPr>
              <w:t>45,923</w:t>
            </w:r>
          </w:p>
        </w:tc>
        <w:tc>
          <w:tcPr>
            <w:tcW w:w="236" w:type="dxa"/>
            <w:vAlign w:val="bottom"/>
          </w:tcPr>
          <w:p w14:paraId="730FF9C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6ED5B8C"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1ADDDC3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C55A8A2"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0D331E5B"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7D2031D1" w14:textId="77777777" w:rsidR="00AC5C0C" w:rsidRPr="00B02BA3" w:rsidRDefault="00AC5C0C" w:rsidP="00922116">
            <w:pPr>
              <w:pStyle w:val="VSmCellBody"/>
              <w:jc w:val="right"/>
              <w:rPr>
                <w:sz w:val="16"/>
                <w:szCs w:val="16"/>
              </w:rPr>
            </w:pPr>
            <w:r w:rsidRPr="00B02BA3">
              <w:rPr>
                <w:sz w:val="16"/>
                <w:szCs w:val="16"/>
              </w:rPr>
              <w:t>2016</w:t>
            </w:r>
          </w:p>
        </w:tc>
        <w:tc>
          <w:tcPr>
            <w:tcW w:w="270" w:type="dxa"/>
            <w:vAlign w:val="bottom"/>
          </w:tcPr>
          <w:p w14:paraId="572417EF"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1EB71327" w14:textId="77777777" w:rsidR="00AC5C0C" w:rsidRPr="00B02BA3" w:rsidDel="00986B80" w:rsidRDefault="00AC5C0C" w:rsidP="00922116">
            <w:pPr>
              <w:pStyle w:val="VSmCellBody"/>
              <w:jc w:val="right"/>
              <w:rPr>
                <w:sz w:val="16"/>
                <w:szCs w:val="16"/>
              </w:rPr>
            </w:pPr>
            <w:r w:rsidRPr="00B02BA3">
              <w:rPr>
                <w:sz w:val="16"/>
                <w:szCs w:val="16"/>
              </w:rPr>
              <w:t>Marshall Islands</w:t>
            </w:r>
          </w:p>
        </w:tc>
        <w:tc>
          <w:tcPr>
            <w:tcW w:w="236" w:type="dxa"/>
            <w:vAlign w:val="bottom"/>
          </w:tcPr>
          <w:p w14:paraId="70668526" w14:textId="77777777" w:rsidR="00AC5C0C" w:rsidRPr="00B02BA3" w:rsidRDefault="00AC5C0C" w:rsidP="00922116">
            <w:pPr>
              <w:pStyle w:val="CellRowSpacer"/>
              <w:rPr>
                <w:sz w:val="16"/>
                <w:szCs w:val="16"/>
              </w:rPr>
            </w:pPr>
          </w:p>
        </w:tc>
      </w:tr>
      <w:tr w:rsidR="00AC5C0C" w:rsidRPr="00B02BA3" w14:paraId="7336FF15" w14:textId="77777777" w:rsidTr="00922116">
        <w:tc>
          <w:tcPr>
            <w:tcW w:w="3163" w:type="dxa"/>
            <w:vAlign w:val="bottom"/>
          </w:tcPr>
          <w:p w14:paraId="60F38C7E" w14:textId="77777777" w:rsidR="00AC5C0C" w:rsidRPr="00B02BA3" w:rsidRDefault="00AC5C0C" w:rsidP="00922116">
            <w:pPr>
              <w:pStyle w:val="VSmCellBody"/>
              <w:tabs>
                <w:tab w:val="right" w:leader="dot" w:pos="3163"/>
              </w:tabs>
              <w:rPr>
                <w:rFonts w:eastAsia="SimSun"/>
                <w:sz w:val="16"/>
                <w:szCs w:val="16"/>
              </w:rPr>
            </w:pPr>
            <w:proofErr w:type="spellStart"/>
            <w:r w:rsidRPr="00B02BA3">
              <w:rPr>
                <w:sz w:val="16"/>
                <w:szCs w:val="16"/>
              </w:rPr>
              <w:t>Mahadah</w:t>
            </w:r>
            <w:proofErr w:type="spellEnd"/>
            <w:r w:rsidRPr="00B02BA3">
              <w:rPr>
                <w:sz w:val="16"/>
                <w:szCs w:val="16"/>
              </w:rPr>
              <w:t xml:space="preserve"> Silver</w:t>
            </w:r>
            <w:r w:rsidRPr="00B02BA3">
              <w:rPr>
                <w:rFonts w:eastAsia="SimSun"/>
                <w:sz w:val="16"/>
                <w:szCs w:val="16"/>
              </w:rPr>
              <w:tab/>
            </w:r>
            <w:r w:rsidRPr="00B02BA3">
              <w:rPr>
                <w:sz w:val="16"/>
                <w:szCs w:val="16"/>
              </w:rPr>
              <w:t xml:space="preserve"> </w:t>
            </w:r>
          </w:p>
        </w:tc>
        <w:tc>
          <w:tcPr>
            <w:tcW w:w="236" w:type="dxa"/>
            <w:vAlign w:val="bottom"/>
          </w:tcPr>
          <w:p w14:paraId="7A61A2C6"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0EAE8071" w14:textId="77777777" w:rsidR="00AC5C0C" w:rsidRPr="00B02BA3" w:rsidRDefault="00AC5C0C" w:rsidP="00922116">
            <w:pPr>
              <w:pStyle w:val="VSmCellBody"/>
              <w:jc w:val="right"/>
              <w:rPr>
                <w:sz w:val="16"/>
                <w:szCs w:val="16"/>
              </w:rPr>
            </w:pPr>
            <w:r w:rsidRPr="00B02BA3">
              <w:rPr>
                <w:sz w:val="16"/>
                <w:szCs w:val="16"/>
              </w:rPr>
              <w:t>45,923</w:t>
            </w:r>
          </w:p>
        </w:tc>
        <w:tc>
          <w:tcPr>
            <w:tcW w:w="236" w:type="dxa"/>
            <w:vAlign w:val="bottom"/>
          </w:tcPr>
          <w:p w14:paraId="578221E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65C67C0"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120504B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593DE9D"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74D014F5"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6DC0F8BB" w14:textId="77777777" w:rsidR="00AC5C0C" w:rsidRPr="00B02BA3" w:rsidRDefault="00AC5C0C" w:rsidP="00922116">
            <w:pPr>
              <w:pStyle w:val="VSmCellBody"/>
              <w:jc w:val="right"/>
              <w:rPr>
                <w:sz w:val="16"/>
                <w:szCs w:val="16"/>
              </w:rPr>
            </w:pPr>
            <w:r w:rsidRPr="00B02BA3">
              <w:rPr>
                <w:sz w:val="16"/>
                <w:szCs w:val="16"/>
              </w:rPr>
              <w:t>2016</w:t>
            </w:r>
          </w:p>
        </w:tc>
        <w:tc>
          <w:tcPr>
            <w:tcW w:w="270" w:type="dxa"/>
            <w:vAlign w:val="bottom"/>
          </w:tcPr>
          <w:p w14:paraId="1F131658"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3A4D03EA" w14:textId="77777777" w:rsidR="00AC5C0C" w:rsidRPr="00B02BA3" w:rsidDel="00986B80" w:rsidRDefault="00AC5C0C" w:rsidP="00922116">
            <w:pPr>
              <w:pStyle w:val="VSmCellBody"/>
              <w:jc w:val="right"/>
              <w:rPr>
                <w:sz w:val="16"/>
                <w:szCs w:val="16"/>
              </w:rPr>
            </w:pPr>
            <w:r w:rsidRPr="00B02BA3">
              <w:rPr>
                <w:sz w:val="16"/>
                <w:szCs w:val="16"/>
              </w:rPr>
              <w:t>Marshall Islands</w:t>
            </w:r>
          </w:p>
        </w:tc>
        <w:tc>
          <w:tcPr>
            <w:tcW w:w="236" w:type="dxa"/>
            <w:vAlign w:val="bottom"/>
          </w:tcPr>
          <w:p w14:paraId="379BE899" w14:textId="77777777" w:rsidR="00AC5C0C" w:rsidRPr="00B02BA3" w:rsidRDefault="00AC5C0C" w:rsidP="00922116">
            <w:pPr>
              <w:pStyle w:val="CellRowSpacer"/>
              <w:rPr>
                <w:sz w:val="16"/>
                <w:szCs w:val="16"/>
              </w:rPr>
            </w:pPr>
          </w:p>
        </w:tc>
      </w:tr>
      <w:tr w:rsidR="00AC5C0C" w:rsidRPr="00B02BA3" w14:paraId="7B361956" w14:textId="77777777" w:rsidTr="00922116">
        <w:tc>
          <w:tcPr>
            <w:tcW w:w="3163" w:type="dxa"/>
            <w:vAlign w:val="bottom"/>
          </w:tcPr>
          <w:p w14:paraId="1FE4D01A" w14:textId="77777777" w:rsidR="00AC5C0C" w:rsidRPr="00B02BA3" w:rsidRDefault="00AC5C0C" w:rsidP="00922116">
            <w:pPr>
              <w:pStyle w:val="VSmCellBody"/>
              <w:tabs>
                <w:tab w:val="right" w:leader="dot" w:pos="3163"/>
              </w:tabs>
              <w:rPr>
                <w:rFonts w:eastAsia="SimSun"/>
                <w:sz w:val="16"/>
                <w:szCs w:val="16"/>
              </w:rPr>
            </w:pPr>
            <w:proofErr w:type="spellStart"/>
            <w:r w:rsidRPr="00B02BA3">
              <w:rPr>
                <w:sz w:val="16"/>
                <w:szCs w:val="16"/>
              </w:rPr>
              <w:t>Muhut</w:t>
            </w:r>
            <w:proofErr w:type="spellEnd"/>
            <w:r w:rsidRPr="00B02BA3">
              <w:rPr>
                <w:sz w:val="16"/>
                <w:szCs w:val="16"/>
              </w:rPr>
              <w:t xml:space="preserve"> Silver</w:t>
            </w:r>
            <w:r w:rsidRPr="00B02BA3">
              <w:rPr>
                <w:rFonts w:eastAsia="SimSun"/>
                <w:sz w:val="16"/>
                <w:szCs w:val="16"/>
              </w:rPr>
              <w:tab/>
            </w:r>
          </w:p>
        </w:tc>
        <w:tc>
          <w:tcPr>
            <w:tcW w:w="236" w:type="dxa"/>
            <w:vAlign w:val="bottom"/>
          </w:tcPr>
          <w:p w14:paraId="28103882"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11549C82" w14:textId="77777777" w:rsidR="00AC5C0C" w:rsidRPr="00B02BA3" w:rsidRDefault="00AC5C0C" w:rsidP="00922116">
            <w:pPr>
              <w:pStyle w:val="VSmCellBody"/>
              <w:jc w:val="right"/>
              <w:rPr>
                <w:sz w:val="16"/>
                <w:szCs w:val="16"/>
              </w:rPr>
            </w:pPr>
            <w:r w:rsidRPr="00B02BA3">
              <w:rPr>
                <w:sz w:val="16"/>
                <w:szCs w:val="16"/>
              </w:rPr>
              <w:t>45,923</w:t>
            </w:r>
          </w:p>
        </w:tc>
        <w:tc>
          <w:tcPr>
            <w:tcW w:w="236" w:type="dxa"/>
            <w:vAlign w:val="bottom"/>
          </w:tcPr>
          <w:p w14:paraId="7604F36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6FB9263"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6C2BA81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1DD8407"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0A1EE793"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5EA69C83" w14:textId="77777777" w:rsidR="00AC5C0C" w:rsidRPr="00B02BA3" w:rsidRDefault="00AC5C0C" w:rsidP="00922116">
            <w:pPr>
              <w:pStyle w:val="VSmCellBody"/>
              <w:jc w:val="right"/>
              <w:rPr>
                <w:sz w:val="16"/>
                <w:szCs w:val="16"/>
              </w:rPr>
            </w:pPr>
            <w:r w:rsidRPr="00B02BA3">
              <w:rPr>
                <w:sz w:val="16"/>
                <w:szCs w:val="16"/>
              </w:rPr>
              <w:t>2016</w:t>
            </w:r>
          </w:p>
        </w:tc>
        <w:tc>
          <w:tcPr>
            <w:tcW w:w="270" w:type="dxa"/>
            <w:vAlign w:val="bottom"/>
          </w:tcPr>
          <w:p w14:paraId="38CF2A94"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7EA13333" w14:textId="77777777" w:rsidR="00AC5C0C" w:rsidRPr="00B02BA3" w:rsidDel="00986B80" w:rsidRDefault="00AC5C0C" w:rsidP="00922116">
            <w:pPr>
              <w:pStyle w:val="VSmCellBody"/>
              <w:jc w:val="right"/>
              <w:rPr>
                <w:sz w:val="16"/>
                <w:szCs w:val="16"/>
              </w:rPr>
            </w:pPr>
            <w:r w:rsidRPr="00B02BA3">
              <w:rPr>
                <w:sz w:val="16"/>
                <w:szCs w:val="16"/>
              </w:rPr>
              <w:t>Marshall Islands</w:t>
            </w:r>
          </w:p>
        </w:tc>
        <w:tc>
          <w:tcPr>
            <w:tcW w:w="236" w:type="dxa"/>
            <w:vAlign w:val="bottom"/>
          </w:tcPr>
          <w:p w14:paraId="093617A7" w14:textId="77777777" w:rsidR="00AC5C0C" w:rsidRPr="00B02BA3" w:rsidRDefault="00AC5C0C" w:rsidP="00922116">
            <w:pPr>
              <w:pStyle w:val="CellRowSpacer"/>
              <w:rPr>
                <w:sz w:val="16"/>
                <w:szCs w:val="16"/>
              </w:rPr>
            </w:pPr>
          </w:p>
        </w:tc>
      </w:tr>
      <w:tr w:rsidR="00AC5C0C" w:rsidRPr="00B02BA3" w14:paraId="165926AB" w14:textId="77777777" w:rsidTr="00922116">
        <w:tc>
          <w:tcPr>
            <w:tcW w:w="3163" w:type="dxa"/>
            <w:vAlign w:val="bottom"/>
          </w:tcPr>
          <w:p w14:paraId="6576F6DE" w14:textId="77777777" w:rsidR="00AC5C0C" w:rsidRPr="00B02BA3" w:rsidRDefault="00AC5C0C" w:rsidP="00922116">
            <w:pPr>
              <w:pStyle w:val="VSmCellBody"/>
              <w:tabs>
                <w:tab w:val="right" w:leader="dot" w:pos="3163"/>
              </w:tabs>
              <w:rPr>
                <w:rFonts w:eastAsia="SimSun"/>
                <w:sz w:val="16"/>
                <w:szCs w:val="16"/>
              </w:rPr>
            </w:pPr>
            <w:proofErr w:type="spellStart"/>
            <w:r w:rsidRPr="00B02BA3">
              <w:rPr>
                <w:sz w:val="16"/>
                <w:szCs w:val="16"/>
              </w:rPr>
              <w:t>Yankul</w:t>
            </w:r>
            <w:proofErr w:type="spellEnd"/>
            <w:r w:rsidRPr="00B02BA3">
              <w:rPr>
                <w:sz w:val="16"/>
                <w:szCs w:val="16"/>
              </w:rPr>
              <w:t xml:space="preserve"> Silver</w:t>
            </w:r>
            <w:r w:rsidRPr="00B02BA3">
              <w:rPr>
                <w:rFonts w:eastAsia="SimSun"/>
                <w:sz w:val="16"/>
                <w:szCs w:val="16"/>
              </w:rPr>
              <w:tab/>
            </w:r>
          </w:p>
        </w:tc>
        <w:tc>
          <w:tcPr>
            <w:tcW w:w="236" w:type="dxa"/>
            <w:vAlign w:val="bottom"/>
          </w:tcPr>
          <w:p w14:paraId="1FE9A1F4"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60F6D86B" w14:textId="77777777" w:rsidR="00AC5C0C" w:rsidRPr="00B02BA3" w:rsidRDefault="00AC5C0C" w:rsidP="00922116">
            <w:pPr>
              <w:pStyle w:val="VSmCellBody"/>
              <w:jc w:val="right"/>
              <w:rPr>
                <w:sz w:val="16"/>
                <w:szCs w:val="16"/>
              </w:rPr>
            </w:pPr>
            <w:r w:rsidRPr="00B02BA3">
              <w:rPr>
                <w:sz w:val="16"/>
                <w:szCs w:val="16"/>
              </w:rPr>
              <w:t>45,923</w:t>
            </w:r>
          </w:p>
        </w:tc>
        <w:tc>
          <w:tcPr>
            <w:tcW w:w="236" w:type="dxa"/>
            <w:vAlign w:val="bottom"/>
          </w:tcPr>
          <w:p w14:paraId="78D9655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711F76D"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174DE04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1A0ADF3"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2C3E0DAF"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639FB436" w14:textId="77777777" w:rsidR="00AC5C0C" w:rsidRPr="00B02BA3" w:rsidRDefault="00AC5C0C" w:rsidP="00922116">
            <w:pPr>
              <w:pStyle w:val="VSmCellBody"/>
              <w:jc w:val="right"/>
              <w:rPr>
                <w:sz w:val="16"/>
                <w:szCs w:val="16"/>
              </w:rPr>
            </w:pPr>
            <w:r w:rsidRPr="00B02BA3">
              <w:rPr>
                <w:sz w:val="16"/>
                <w:szCs w:val="16"/>
              </w:rPr>
              <w:t>2016</w:t>
            </w:r>
          </w:p>
        </w:tc>
        <w:tc>
          <w:tcPr>
            <w:tcW w:w="270" w:type="dxa"/>
            <w:vAlign w:val="bottom"/>
          </w:tcPr>
          <w:p w14:paraId="00D159F5"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7A74B36A" w14:textId="77777777" w:rsidR="00AC5C0C" w:rsidRPr="00B02BA3" w:rsidDel="00986B80" w:rsidRDefault="00AC5C0C" w:rsidP="00922116">
            <w:pPr>
              <w:pStyle w:val="VSmCellBody"/>
              <w:jc w:val="right"/>
              <w:rPr>
                <w:sz w:val="16"/>
                <w:szCs w:val="16"/>
              </w:rPr>
            </w:pPr>
            <w:r w:rsidRPr="00B02BA3">
              <w:rPr>
                <w:sz w:val="16"/>
                <w:szCs w:val="16"/>
              </w:rPr>
              <w:t>Marshall Islands</w:t>
            </w:r>
          </w:p>
        </w:tc>
        <w:tc>
          <w:tcPr>
            <w:tcW w:w="236" w:type="dxa"/>
            <w:vAlign w:val="bottom"/>
          </w:tcPr>
          <w:p w14:paraId="6A13D82D" w14:textId="77777777" w:rsidR="00AC5C0C" w:rsidRPr="00B02BA3" w:rsidRDefault="00AC5C0C" w:rsidP="00922116">
            <w:pPr>
              <w:pStyle w:val="CellRowSpacer"/>
              <w:rPr>
                <w:sz w:val="16"/>
                <w:szCs w:val="16"/>
              </w:rPr>
            </w:pPr>
          </w:p>
        </w:tc>
      </w:tr>
      <w:tr w:rsidR="00AC5C0C" w:rsidRPr="00B02BA3" w14:paraId="3B044B16" w14:textId="77777777" w:rsidTr="00922116">
        <w:tc>
          <w:tcPr>
            <w:tcW w:w="3163" w:type="dxa"/>
            <w:vAlign w:val="bottom"/>
          </w:tcPr>
          <w:p w14:paraId="752D2C4F" w14:textId="77777777" w:rsidR="00AC5C0C" w:rsidRPr="00B02BA3" w:rsidRDefault="00AC5C0C" w:rsidP="00922116">
            <w:pPr>
              <w:pStyle w:val="VSmCellBody"/>
              <w:tabs>
                <w:tab w:val="right" w:leader="dot" w:pos="3163"/>
              </w:tabs>
              <w:rPr>
                <w:rFonts w:eastAsia="SimSun"/>
                <w:sz w:val="16"/>
                <w:szCs w:val="16"/>
              </w:rPr>
            </w:pPr>
            <w:r w:rsidRPr="00B02BA3">
              <w:rPr>
                <w:sz w:val="16"/>
                <w:szCs w:val="16"/>
              </w:rPr>
              <w:t>Dank Silver</w:t>
            </w:r>
            <w:r w:rsidRPr="00B02BA3">
              <w:rPr>
                <w:rFonts w:eastAsia="SimSun"/>
                <w:sz w:val="16"/>
                <w:szCs w:val="16"/>
              </w:rPr>
              <w:tab/>
            </w:r>
          </w:p>
        </w:tc>
        <w:tc>
          <w:tcPr>
            <w:tcW w:w="236" w:type="dxa"/>
            <w:vAlign w:val="bottom"/>
          </w:tcPr>
          <w:p w14:paraId="6109C9C2"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4F8E0971" w14:textId="77777777" w:rsidR="00AC5C0C" w:rsidRPr="00B02BA3" w:rsidRDefault="00AC5C0C" w:rsidP="00922116">
            <w:pPr>
              <w:pStyle w:val="VSmCellBody"/>
              <w:jc w:val="right"/>
              <w:rPr>
                <w:sz w:val="16"/>
                <w:szCs w:val="16"/>
              </w:rPr>
            </w:pPr>
            <w:r w:rsidRPr="00B02BA3">
              <w:rPr>
                <w:sz w:val="16"/>
                <w:szCs w:val="16"/>
              </w:rPr>
              <w:t>45,923</w:t>
            </w:r>
          </w:p>
        </w:tc>
        <w:tc>
          <w:tcPr>
            <w:tcW w:w="236" w:type="dxa"/>
            <w:vAlign w:val="bottom"/>
          </w:tcPr>
          <w:p w14:paraId="170D187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C700343"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203A1B7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03CCDCA"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67AFC09B"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5C7CEED2" w14:textId="77777777" w:rsidR="00AC5C0C" w:rsidRPr="00B02BA3" w:rsidRDefault="00AC5C0C" w:rsidP="00922116">
            <w:pPr>
              <w:pStyle w:val="VSmCellBody"/>
              <w:jc w:val="right"/>
              <w:rPr>
                <w:sz w:val="16"/>
                <w:szCs w:val="16"/>
              </w:rPr>
            </w:pPr>
            <w:r w:rsidRPr="00B02BA3">
              <w:rPr>
                <w:sz w:val="16"/>
                <w:szCs w:val="16"/>
              </w:rPr>
              <w:t>2016</w:t>
            </w:r>
          </w:p>
        </w:tc>
        <w:tc>
          <w:tcPr>
            <w:tcW w:w="270" w:type="dxa"/>
            <w:vAlign w:val="bottom"/>
          </w:tcPr>
          <w:p w14:paraId="3FE2D970"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7CBC6DC8" w14:textId="77777777" w:rsidR="00AC5C0C" w:rsidRPr="00B02BA3" w:rsidDel="00986B80" w:rsidRDefault="00AC5C0C" w:rsidP="00922116">
            <w:pPr>
              <w:pStyle w:val="VSmCellBody"/>
              <w:jc w:val="right"/>
              <w:rPr>
                <w:sz w:val="16"/>
                <w:szCs w:val="16"/>
              </w:rPr>
            </w:pPr>
            <w:r w:rsidRPr="00B02BA3">
              <w:rPr>
                <w:sz w:val="16"/>
                <w:szCs w:val="16"/>
              </w:rPr>
              <w:t>Marshall Islands</w:t>
            </w:r>
          </w:p>
        </w:tc>
        <w:tc>
          <w:tcPr>
            <w:tcW w:w="236" w:type="dxa"/>
            <w:vAlign w:val="bottom"/>
          </w:tcPr>
          <w:p w14:paraId="63CC9886" w14:textId="77777777" w:rsidR="00AC5C0C" w:rsidRPr="00B02BA3" w:rsidRDefault="00AC5C0C" w:rsidP="00922116">
            <w:pPr>
              <w:pStyle w:val="CellRowSpacer"/>
              <w:rPr>
                <w:sz w:val="16"/>
                <w:szCs w:val="16"/>
              </w:rPr>
            </w:pPr>
          </w:p>
        </w:tc>
      </w:tr>
      <w:tr w:rsidR="00AC5C0C" w:rsidRPr="00B02BA3" w14:paraId="757FD3A4" w14:textId="77777777" w:rsidTr="00922116">
        <w:tc>
          <w:tcPr>
            <w:tcW w:w="3163" w:type="dxa"/>
            <w:vAlign w:val="bottom"/>
          </w:tcPr>
          <w:p w14:paraId="2EC14EE1" w14:textId="77777777" w:rsidR="00AC5C0C" w:rsidRPr="00B02BA3" w:rsidRDefault="00AC5C0C" w:rsidP="00922116">
            <w:pPr>
              <w:pStyle w:val="VSmCellBody"/>
              <w:tabs>
                <w:tab w:val="right" w:leader="dot" w:pos="3163"/>
              </w:tabs>
              <w:rPr>
                <w:rFonts w:eastAsia="SimSun"/>
                <w:sz w:val="16"/>
                <w:szCs w:val="16"/>
              </w:rPr>
            </w:pPr>
            <w:r w:rsidRPr="00B02BA3">
              <w:rPr>
                <w:sz w:val="16"/>
                <w:szCs w:val="16"/>
              </w:rPr>
              <w:t>Madha Silver</w:t>
            </w:r>
            <w:r w:rsidRPr="00B02BA3">
              <w:rPr>
                <w:rFonts w:eastAsia="SimSun"/>
                <w:sz w:val="16"/>
                <w:szCs w:val="16"/>
              </w:rPr>
              <w:tab/>
            </w:r>
          </w:p>
        </w:tc>
        <w:tc>
          <w:tcPr>
            <w:tcW w:w="236" w:type="dxa"/>
            <w:vAlign w:val="bottom"/>
          </w:tcPr>
          <w:p w14:paraId="48FBD6F1"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0071C727" w14:textId="77777777" w:rsidR="00AC5C0C" w:rsidRPr="00B02BA3" w:rsidRDefault="00AC5C0C" w:rsidP="00922116">
            <w:pPr>
              <w:pStyle w:val="VSmCellBody"/>
              <w:jc w:val="right"/>
              <w:rPr>
                <w:sz w:val="16"/>
                <w:szCs w:val="16"/>
              </w:rPr>
            </w:pPr>
            <w:r w:rsidRPr="00B02BA3">
              <w:rPr>
                <w:sz w:val="16"/>
                <w:szCs w:val="16"/>
              </w:rPr>
              <w:t>45,923</w:t>
            </w:r>
          </w:p>
        </w:tc>
        <w:tc>
          <w:tcPr>
            <w:tcW w:w="236" w:type="dxa"/>
            <w:vAlign w:val="bottom"/>
          </w:tcPr>
          <w:p w14:paraId="27F1D05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2D2D47B"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6D2E321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0453FF2"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1BB2D8BE"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3731C2D9" w14:textId="77777777" w:rsidR="00AC5C0C" w:rsidRPr="00B02BA3" w:rsidRDefault="00AC5C0C" w:rsidP="00922116">
            <w:pPr>
              <w:pStyle w:val="VSmCellBody"/>
              <w:jc w:val="right"/>
              <w:rPr>
                <w:sz w:val="16"/>
                <w:szCs w:val="16"/>
              </w:rPr>
            </w:pPr>
            <w:r w:rsidRPr="00B02BA3">
              <w:rPr>
                <w:sz w:val="16"/>
                <w:szCs w:val="16"/>
              </w:rPr>
              <w:t>2016</w:t>
            </w:r>
          </w:p>
        </w:tc>
        <w:tc>
          <w:tcPr>
            <w:tcW w:w="270" w:type="dxa"/>
            <w:vAlign w:val="bottom"/>
          </w:tcPr>
          <w:p w14:paraId="0B0CBFCC"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0326BB19" w14:textId="77777777" w:rsidR="00AC5C0C" w:rsidRPr="00B02BA3" w:rsidDel="00986B80" w:rsidRDefault="00AC5C0C" w:rsidP="00922116">
            <w:pPr>
              <w:pStyle w:val="VSmCellBody"/>
              <w:jc w:val="right"/>
              <w:rPr>
                <w:sz w:val="16"/>
                <w:szCs w:val="16"/>
              </w:rPr>
            </w:pPr>
            <w:r w:rsidRPr="00B02BA3">
              <w:rPr>
                <w:sz w:val="16"/>
                <w:szCs w:val="16"/>
              </w:rPr>
              <w:t>Marshall Islands</w:t>
            </w:r>
          </w:p>
        </w:tc>
        <w:tc>
          <w:tcPr>
            <w:tcW w:w="236" w:type="dxa"/>
            <w:vAlign w:val="bottom"/>
          </w:tcPr>
          <w:p w14:paraId="7FE45438" w14:textId="77777777" w:rsidR="00AC5C0C" w:rsidRPr="00B02BA3" w:rsidRDefault="00AC5C0C" w:rsidP="00922116">
            <w:pPr>
              <w:pStyle w:val="CellRowSpacer"/>
              <w:rPr>
                <w:sz w:val="16"/>
                <w:szCs w:val="16"/>
              </w:rPr>
            </w:pPr>
          </w:p>
        </w:tc>
      </w:tr>
      <w:tr w:rsidR="00AC5C0C" w:rsidRPr="00B02BA3" w14:paraId="3D5F2A23" w14:textId="77777777" w:rsidTr="00922116">
        <w:tc>
          <w:tcPr>
            <w:tcW w:w="3163" w:type="dxa"/>
            <w:vAlign w:val="bottom"/>
          </w:tcPr>
          <w:p w14:paraId="43E72FB1" w14:textId="77777777" w:rsidR="00AC5C0C" w:rsidRPr="00B02BA3" w:rsidRDefault="00AC5C0C" w:rsidP="00922116">
            <w:pPr>
              <w:pStyle w:val="VSmCellBody"/>
              <w:tabs>
                <w:tab w:val="right" w:leader="dot" w:pos="3163"/>
              </w:tabs>
              <w:rPr>
                <w:rFonts w:eastAsia="SimSun"/>
                <w:sz w:val="16"/>
                <w:szCs w:val="16"/>
              </w:rPr>
            </w:pPr>
            <w:r w:rsidRPr="00B02BA3">
              <w:rPr>
                <w:sz w:val="16"/>
                <w:szCs w:val="16"/>
              </w:rPr>
              <w:t>Sadah Silver</w:t>
            </w:r>
            <w:r w:rsidRPr="00B02BA3">
              <w:rPr>
                <w:rFonts w:eastAsia="SimSun"/>
                <w:sz w:val="16"/>
                <w:szCs w:val="16"/>
              </w:rPr>
              <w:tab/>
            </w:r>
          </w:p>
        </w:tc>
        <w:tc>
          <w:tcPr>
            <w:tcW w:w="236" w:type="dxa"/>
            <w:vAlign w:val="bottom"/>
          </w:tcPr>
          <w:p w14:paraId="171D6F8C"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5F4D03F5" w14:textId="77777777" w:rsidR="00AC5C0C" w:rsidRPr="00B02BA3" w:rsidRDefault="00AC5C0C" w:rsidP="00922116">
            <w:pPr>
              <w:pStyle w:val="VSmCellBody"/>
              <w:jc w:val="right"/>
              <w:rPr>
                <w:sz w:val="16"/>
                <w:szCs w:val="16"/>
              </w:rPr>
            </w:pPr>
            <w:r w:rsidRPr="00B02BA3">
              <w:rPr>
                <w:sz w:val="16"/>
                <w:szCs w:val="16"/>
              </w:rPr>
              <w:t>45,923</w:t>
            </w:r>
          </w:p>
        </w:tc>
        <w:tc>
          <w:tcPr>
            <w:tcW w:w="236" w:type="dxa"/>
            <w:vAlign w:val="bottom"/>
          </w:tcPr>
          <w:p w14:paraId="289DAD6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4119192"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710A696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77971D3"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49107F7F"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18F80ECB" w14:textId="77777777" w:rsidR="00AC5C0C" w:rsidRPr="00B02BA3" w:rsidRDefault="00AC5C0C" w:rsidP="00922116">
            <w:pPr>
              <w:pStyle w:val="VSmCellBody"/>
              <w:jc w:val="right"/>
              <w:rPr>
                <w:sz w:val="16"/>
                <w:szCs w:val="16"/>
              </w:rPr>
            </w:pPr>
            <w:r w:rsidRPr="00B02BA3">
              <w:rPr>
                <w:sz w:val="16"/>
                <w:szCs w:val="16"/>
              </w:rPr>
              <w:t>2016</w:t>
            </w:r>
          </w:p>
        </w:tc>
        <w:tc>
          <w:tcPr>
            <w:tcW w:w="270" w:type="dxa"/>
            <w:vAlign w:val="bottom"/>
          </w:tcPr>
          <w:p w14:paraId="7F5C4B8C"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12CB36D8" w14:textId="77777777" w:rsidR="00AC5C0C" w:rsidRPr="00B02BA3" w:rsidDel="00986B80" w:rsidRDefault="00AC5C0C" w:rsidP="00922116">
            <w:pPr>
              <w:pStyle w:val="VSmCellBody"/>
              <w:jc w:val="right"/>
              <w:rPr>
                <w:sz w:val="16"/>
                <w:szCs w:val="16"/>
              </w:rPr>
            </w:pPr>
            <w:r w:rsidRPr="00B02BA3">
              <w:rPr>
                <w:sz w:val="16"/>
                <w:szCs w:val="16"/>
              </w:rPr>
              <w:t>Marshall Islands</w:t>
            </w:r>
          </w:p>
        </w:tc>
        <w:tc>
          <w:tcPr>
            <w:tcW w:w="236" w:type="dxa"/>
            <w:vAlign w:val="bottom"/>
          </w:tcPr>
          <w:p w14:paraId="1903AF0C" w14:textId="77777777" w:rsidR="00AC5C0C" w:rsidRPr="00B02BA3" w:rsidRDefault="00AC5C0C" w:rsidP="00922116">
            <w:pPr>
              <w:pStyle w:val="CellRowSpacer"/>
              <w:rPr>
                <w:sz w:val="16"/>
                <w:szCs w:val="16"/>
              </w:rPr>
            </w:pPr>
          </w:p>
        </w:tc>
      </w:tr>
      <w:tr w:rsidR="00AC5C0C" w:rsidRPr="00B02BA3" w14:paraId="32071849" w14:textId="77777777" w:rsidTr="00922116">
        <w:tc>
          <w:tcPr>
            <w:tcW w:w="3163" w:type="dxa"/>
            <w:vAlign w:val="bottom"/>
          </w:tcPr>
          <w:p w14:paraId="06E06533" w14:textId="77777777" w:rsidR="00AC5C0C" w:rsidRPr="00B02BA3" w:rsidRDefault="00AC5C0C" w:rsidP="00922116">
            <w:pPr>
              <w:pStyle w:val="VSmCellBody"/>
              <w:tabs>
                <w:tab w:val="right" w:leader="dot" w:pos="3163"/>
              </w:tabs>
              <w:rPr>
                <w:rFonts w:eastAsia="SimSun"/>
                <w:sz w:val="16"/>
                <w:szCs w:val="16"/>
              </w:rPr>
            </w:pPr>
            <w:r w:rsidRPr="00B02BA3">
              <w:rPr>
                <w:sz w:val="16"/>
                <w:szCs w:val="16"/>
              </w:rPr>
              <w:t>Khasab Silver</w:t>
            </w:r>
            <w:r w:rsidRPr="00B02BA3">
              <w:rPr>
                <w:rFonts w:eastAsia="SimSun"/>
                <w:sz w:val="16"/>
                <w:szCs w:val="16"/>
              </w:rPr>
              <w:tab/>
            </w:r>
          </w:p>
        </w:tc>
        <w:tc>
          <w:tcPr>
            <w:tcW w:w="236" w:type="dxa"/>
            <w:vAlign w:val="bottom"/>
          </w:tcPr>
          <w:p w14:paraId="6996F8E4"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5FD738D7" w14:textId="77777777" w:rsidR="00AC5C0C" w:rsidRPr="00B02BA3" w:rsidRDefault="00AC5C0C" w:rsidP="00922116">
            <w:pPr>
              <w:pStyle w:val="VSmCellBody"/>
              <w:jc w:val="right"/>
              <w:rPr>
                <w:sz w:val="16"/>
                <w:szCs w:val="16"/>
              </w:rPr>
            </w:pPr>
            <w:r w:rsidRPr="00B02BA3">
              <w:rPr>
                <w:sz w:val="16"/>
                <w:szCs w:val="16"/>
              </w:rPr>
              <w:t>45,923</w:t>
            </w:r>
          </w:p>
        </w:tc>
        <w:tc>
          <w:tcPr>
            <w:tcW w:w="236" w:type="dxa"/>
            <w:vAlign w:val="bottom"/>
          </w:tcPr>
          <w:p w14:paraId="5EAC6D2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7E4D507"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40CD2F2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A97D60C" w14:textId="77777777" w:rsidR="00AC5C0C" w:rsidRPr="00B02BA3" w:rsidDel="00986B80" w:rsidRDefault="00AC5C0C" w:rsidP="00922116">
            <w:pPr>
              <w:pStyle w:val="VSmCellBody"/>
              <w:jc w:val="right"/>
              <w:rPr>
                <w:sz w:val="16"/>
                <w:szCs w:val="16"/>
              </w:rPr>
            </w:pPr>
            <w:r w:rsidRPr="00B02BA3">
              <w:rPr>
                <w:sz w:val="16"/>
                <w:szCs w:val="16"/>
              </w:rPr>
              <w:t>100</w:t>
            </w:r>
          </w:p>
        </w:tc>
        <w:tc>
          <w:tcPr>
            <w:tcW w:w="236" w:type="dxa"/>
            <w:vAlign w:val="bottom"/>
          </w:tcPr>
          <w:p w14:paraId="4DFB5822"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3E70FF05" w14:textId="77777777" w:rsidR="00AC5C0C" w:rsidRPr="00B02BA3" w:rsidRDefault="00AC5C0C" w:rsidP="00922116">
            <w:pPr>
              <w:pStyle w:val="VSmCellBody"/>
              <w:jc w:val="right"/>
              <w:rPr>
                <w:sz w:val="16"/>
                <w:szCs w:val="16"/>
              </w:rPr>
            </w:pPr>
            <w:r w:rsidRPr="00B02BA3">
              <w:rPr>
                <w:sz w:val="16"/>
                <w:szCs w:val="16"/>
              </w:rPr>
              <w:t>2016</w:t>
            </w:r>
          </w:p>
        </w:tc>
        <w:tc>
          <w:tcPr>
            <w:tcW w:w="270" w:type="dxa"/>
            <w:vAlign w:val="bottom"/>
          </w:tcPr>
          <w:p w14:paraId="0FF44786"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296897F4" w14:textId="77777777" w:rsidR="00AC5C0C" w:rsidRPr="00B02BA3" w:rsidDel="00986B80" w:rsidRDefault="00AC5C0C" w:rsidP="00922116">
            <w:pPr>
              <w:pStyle w:val="VSmCellBody"/>
              <w:jc w:val="right"/>
              <w:rPr>
                <w:sz w:val="16"/>
                <w:szCs w:val="16"/>
              </w:rPr>
            </w:pPr>
            <w:r w:rsidRPr="00B02BA3">
              <w:rPr>
                <w:sz w:val="16"/>
                <w:szCs w:val="16"/>
              </w:rPr>
              <w:t>Marshall Islands</w:t>
            </w:r>
          </w:p>
        </w:tc>
        <w:tc>
          <w:tcPr>
            <w:tcW w:w="236" w:type="dxa"/>
            <w:vAlign w:val="bottom"/>
          </w:tcPr>
          <w:p w14:paraId="2C9A2EEE" w14:textId="77777777" w:rsidR="00AC5C0C" w:rsidRPr="00B02BA3" w:rsidRDefault="00AC5C0C" w:rsidP="00922116">
            <w:pPr>
              <w:pStyle w:val="CellRowSpacer"/>
              <w:rPr>
                <w:sz w:val="16"/>
                <w:szCs w:val="16"/>
              </w:rPr>
            </w:pPr>
          </w:p>
        </w:tc>
      </w:tr>
      <w:tr w:rsidR="00AC5C0C" w:rsidRPr="00B02BA3" w14:paraId="7C8AB9B1" w14:textId="77777777" w:rsidTr="00922116">
        <w:tc>
          <w:tcPr>
            <w:tcW w:w="3163" w:type="dxa"/>
            <w:vAlign w:val="bottom"/>
          </w:tcPr>
          <w:p w14:paraId="553B685C" w14:textId="77777777" w:rsidR="00AC5C0C" w:rsidRPr="00B02BA3" w:rsidRDefault="00AC5C0C" w:rsidP="00922116">
            <w:pPr>
              <w:pStyle w:val="VSmCellBody"/>
              <w:tabs>
                <w:tab w:val="right" w:leader="dot" w:pos="3163"/>
              </w:tabs>
              <w:rPr>
                <w:rFonts w:eastAsia="SimSun"/>
                <w:b/>
                <w:bCs/>
                <w:sz w:val="16"/>
                <w:szCs w:val="16"/>
              </w:rPr>
            </w:pPr>
            <w:r w:rsidRPr="00B02BA3">
              <w:rPr>
                <w:b/>
                <w:bCs/>
                <w:sz w:val="16"/>
                <w:szCs w:val="16"/>
              </w:rPr>
              <w:t>Co-owned</w:t>
            </w:r>
          </w:p>
        </w:tc>
        <w:tc>
          <w:tcPr>
            <w:tcW w:w="236" w:type="dxa"/>
            <w:vAlign w:val="bottom"/>
          </w:tcPr>
          <w:p w14:paraId="631F61F8"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45FE4B0C" w14:textId="77777777" w:rsidR="00AC5C0C" w:rsidRPr="00B02BA3" w:rsidRDefault="00AC5C0C" w:rsidP="00922116">
            <w:pPr>
              <w:pStyle w:val="VSmCellBody"/>
              <w:jc w:val="right"/>
              <w:rPr>
                <w:sz w:val="16"/>
                <w:szCs w:val="16"/>
              </w:rPr>
            </w:pPr>
            <w:r w:rsidRPr="00B02BA3">
              <w:rPr>
                <w:sz w:val="16"/>
                <w:szCs w:val="16"/>
              </w:rPr>
              <w:t> </w:t>
            </w:r>
          </w:p>
        </w:tc>
        <w:tc>
          <w:tcPr>
            <w:tcW w:w="236" w:type="dxa"/>
            <w:vAlign w:val="bottom"/>
          </w:tcPr>
          <w:p w14:paraId="4791F10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4D8D2C4" w14:textId="77777777" w:rsidR="00AC5C0C" w:rsidRPr="00B02BA3" w:rsidRDefault="00AC5C0C" w:rsidP="00922116">
            <w:pPr>
              <w:pStyle w:val="VSmCellBody"/>
              <w:jc w:val="right"/>
              <w:rPr>
                <w:sz w:val="16"/>
                <w:szCs w:val="16"/>
              </w:rPr>
            </w:pPr>
            <w:r w:rsidRPr="00B02BA3">
              <w:rPr>
                <w:sz w:val="16"/>
                <w:szCs w:val="16"/>
              </w:rPr>
              <w:t> </w:t>
            </w:r>
          </w:p>
        </w:tc>
        <w:tc>
          <w:tcPr>
            <w:tcW w:w="236" w:type="dxa"/>
            <w:vAlign w:val="bottom"/>
          </w:tcPr>
          <w:p w14:paraId="4D1A83A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D390DA3" w14:textId="77777777" w:rsidR="00AC5C0C" w:rsidRPr="00B02BA3" w:rsidRDefault="00AC5C0C" w:rsidP="00922116">
            <w:pPr>
              <w:pStyle w:val="VSmCellBody"/>
              <w:jc w:val="right"/>
              <w:rPr>
                <w:sz w:val="16"/>
                <w:szCs w:val="16"/>
              </w:rPr>
            </w:pPr>
            <w:r w:rsidRPr="00B02BA3">
              <w:rPr>
                <w:sz w:val="16"/>
                <w:szCs w:val="16"/>
              </w:rPr>
              <w:t> </w:t>
            </w:r>
          </w:p>
        </w:tc>
        <w:tc>
          <w:tcPr>
            <w:tcW w:w="236" w:type="dxa"/>
            <w:vAlign w:val="bottom"/>
          </w:tcPr>
          <w:p w14:paraId="60CCDEA2"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2E85E470" w14:textId="77777777" w:rsidR="00AC5C0C" w:rsidRPr="00B02BA3" w:rsidRDefault="00AC5C0C" w:rsidP="00922116">
            <w:pPr>
              <w:pStyle w:val="VSmCellBody"/>
              <w:jc w:val="right"/>
              <w:rPr>
                <w:sz w:val="16"/>
                <w:szCs w:val="16"/>
              </w:rPr>
            </w:pPr>
            <w:r w:rsidRPr="00B02BA3">
              <w:rPr>
                <w:sz w:val="16"/>
                <w:szCs w:val="16"/>
              </w:rPr>
              <w:t> </w:t>
            </w:r>
          </w:p>
        </w:tc>
        <w:tc>
          <w:tcPr>
            <w:tcW w:w="270" w:type="dxa"/>
            <w:vAlign w:val="bottom"/>
          </w:tcPr>
          <w:p w14:paraId="619972A1"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56CF7170" w14:textId="77777777" w:rsidR="00AC5C0C" w:rsidRPr="00B02BA3" w:rsidRDefault="00AC5C0C" w:rsidP="00922116">
            <w:pPr>
              <w:pStyle w:val="VSmCellBody"/>
              <w:jc w:val="right"/>
              <w:rPr>
                <w:sz w:val="16"/>
                <w:szCs w:val="16"/>
              </w:rPr>
            </w:pPr>
            <w:r w:rsidRPr="00B02BA3">
              <w:rPr>
                <w:sz w:val="16"/>
                <w:szCs w:val="16"/>
              </w:rPr>
              <w:t> </w:t>
            </w:r>
          </w:p>
        </w:tc>
        <w:tc>
          <w:tcPr>
            <w:tcW w:w="236" w:type="dxa"/>
            <w:vAlign w:val="bottom"/>
          </w:tcPr>
          <w:p w14:paraId="6F3FC58E" w14:textId="77777777" w:rsidR="00AC5C0C" w:rsidRPr="00B02BA3" w:rsidRDefault="00AC5C0C" w:rsidP="00922116">
            <w:pPr>
              <w:pStyle w:val="CellRowSpacer"/>
              <w:rPr>
                <w:sz w:val="16"/>
                <w:szCs w:val="16"/>
              </w:rPr>
            </w:pPr>
          </w:p>
        </w:tc>
      </w:tr>
      <w:tr w:rsidR="00AC5C0C" w:rsidRPr="00B02BA3" w14:paraId="2CA468E6" w14:textId="77777777" w:rsidTr="00922116">
        <w:tc>
          <w:tcPr>
            <w:tcW w:w="3163" w:type="dxa"/>
            <w:vAlign w:val="bottom"/>
          </w:tcPr>
          <w:p w14:paraId="7102A4B9" w14:textId="77777777" w:rsidR="00AC5C0C" w:rsidRPr="00B02BA3" w:rsidRDefault="00AC5C0C" w:rsidP="00922116">
            <w:pPr>
              <w:pStyle w:val="VSmCellBody"/>
              <w:tabs>
                <w:tab w:val="right" w:leader="dot" w:pos="3163"/>
              </w:tabs>
              <w:rPr>
                <w:rFonts w:eastAsia="SimSun"/>
                <w:sz w:val="16"/>
                <w:szCs w:val="16"/>
              </w:rPr>
            </w:pPr>
            <w:r w:rsidRPr="00B02BA3">
              <w:rPr>
                <w:sz w:val="16"/>
                <w:szCs w:val="16"/>
              </w:rPr>
              <w:t>Haima</w:t>
            </w:r>
            <w:r w:rsidRPr="00B02BA3">
              <w:rPr>
                <w:rFonts w:eastAsia="SimSun"/>
                <w:sz w:val="16"/>
                <w:szCs w:val="16"/>
              </w:rPr>
              <w:tab/>
            </w:r>
          </w:p>
        </w:tc>
        <w:tc>
          <w:tcPr>
            <w:tcW w:w="236" w:type="dxa"/>
            <w:vAlign w:val="bottom"/>
          </w:tcPr>
          <w:p w14:paraId="0D763CEE"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0C0C2359" w14:textId="77777777" w:rsidR="00AC5C0C" w:rsidRPr="00B02BA3" w:rsidRDefault="00AC5C0C" w:rsidP="00922116">
            <w:pPr>
              <w:pStyle w:val="VSmCellBody"/>
              <w:jc w:val="right"/>
              <w:rPr>
                <w:sz w:val="16"/>
                <w:szCs w:val="16"/>
              </w:rPr>
            </w:pPr>
            <w:r w:rsidRPr="00B02BA3">
              <w:rPr>
                <w:sz w:val="16"/>
                <w:szCs w:val="16"/>
              </w:rPr>
              <w:t>110,077</w:t>
            </w:r>
          </w:p>
        </w:tc>
        <w:tc>
          <w:tcPr>
            <w:tcW w:w="236" w:type="dxa"/>
            <w:vAlign w:val="bottom"/>
          </w:tcPr>
          <w:p w14:paraId="48B4B93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83343EF" w14:textId="77777777" w:rsidR="00AC5C0C" w:rsidRPr="00B02BA3" w:rsidRDefault="00AC5C0C" w:rsidP="00922116">
            <w:pPr>
              <w:pStyle w:val="VSmCellBody"/>
              <w:jc w:val="right"/>
              <w:rPr>
                <w:sz w:val="16"/>
                <w:szCs w:val="16"/>
              </w:rPr>
            </w:pPr>
            <w:r w:rsidRPr="00B02BA3">
              <w:rPr>
                <w:sz w:val="16"/>
                <w:szCs w:val="16"/>
              </w:rPr>
              <w:t>LR2 tanker</w:t>
            </w:r>
          </w:p>
        </w:tc>
        <w:tc>
          <w:tcPr>
            <w:tcW w:w="236" w:type="dxa"/>
            <w:vAlign w:val="bottom"/>
          </w:tcPr>
          <w:p w14:paraId="41C1FB7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9D8132A" w14:textId="77777777" w:rsidR="00AC5C0C" w:rsidRPr="00B02BA3" w:rsidRDefault="00AC5C0C" w:rsidP="00922116">
            <w:pPr>
              <w:pStyle w:val="VSmCellBody"/>
              <w:jc w:val="right"/>
              <w:rPr>
                <w:sz w:val="16"/>
                <w:szCs w:val="16"/>
              </w:rPr>
            </w:pPr>
            <w:r w:rsidRPr="00B02BA3">
              <w:rPr>
                <w:sz w:val="16"/>
                <w:szCs w:val="16"/>
              </w:rPr>
              <w:t>50</w:t>
            </w:r>
          </w:p>
        </w:tc>
        <w:tc>
          <w:tcPr>
            <w:tcW w:w="236" w:type="dxa"/>
            <w:vAlign w:val="bottom"/>
          </w:tcPr>
          <w:p w14:paraId="0164086E" w14:textId="77777777" w:rsidR="00AC5C0C" w:rsidRPr="00B02BA3" w:rsidRDefault="00AC5C0C" w:rsidP="00922116">
            <w:pPr>
              <w:pStyle w:val="CellRowSpacer"/>
              <w:rPr>
                <w:sz w:val="16"/>
                <w:szCs w:val="16"/>
              </w:rPr>
            </w:pPr>
            <w:r w:rsidRPr="00B02BA3">
              <w:rPr>
                <w:sz w:val="16"/>
                <w:szCs w:val="16"/>
                <w:vertAlign w:val="superscript"/>
              </w:rPr>
              <w:t>(2)</w:t>
            </w:r>
          </w:p>
        </w:tc>
        <w:tc>
          <w:tcPr>
            <w:tcW w:w="655" w:type="dxa"/>
            <w:vAlign w:val="bottom"/>
          </w:tcPr>
          <w:p w14:paraId="75A41316" w14:textId="77777777" w:rsidR="00AC5C0C" w:rsidRPr="00B02BA3" w:rsidRDefault="00AC5C0C" w:rsidP="00922116">
            <w:pPr>
              <w:pStyle w:val="VSmCellBody"/>
              <w:jc w:val="right"/>
              <w:rPr>
                <w:sz w:val="16"/>
                <w:szCs w:val="16"/>
              </w:rPr>
            </w:pPr>
            <w:r w:rsidRPr="00B02BA3">
              <w:rPr>
                <w:sz w:val="16"/>
                <w:szCs w:val="16"/>
              </w:rPr>
              <w:t>2009</w:t>
            </w:r>
          </w:p>
        </w:tc>
        <w:tc>
          <w:tcPr>
            <w:tcW w:w="270" w:type="dxa"/>
            <w:vAlign w:val="bottom"/>
          </w:tcPr>
          <w:p w14:paraId="327D3CDD"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0994B1B2" w14:textId="77777777" w:rsidR="00AC5C0C" w:rsidRPr="00B02BA3" w:rsidRDefault="00AC5C0C" w:rsidP="00922116">
            <w:pPr>
              <w:pStyle w:val="VSmCellBody"/>
              <w:jc w:val="right"/>
              <w:rPr>
                <w:sz w:val="16"/>
                <w:szCs w:val="16"/>
              </w:rPr>
            </w:pPr>
            <w:r w:rsidRPr="00B02BA3">
              <w:rPr>
                <w:sz w:val="16"/>
                <w:szCs w:val="16"/>
              </w:rPr>
              <w:t>Panama</w:t>
            </w:r>
          </w:p>
        </w:tc>
        <w:tc>
          <w:tcPr>
            <w:tcW w:w="236" w:type="dxa"/>
            <w:vAlign w:val="bottom"/>
          </w:tcPr>
          <w:p w14:paraId="2871B11D" w14:textId="77777777" w:rsidR="00AC5C0C" w:rsidRPr="00B02BA3" w:rsidRDefault="00AC5C0C" w:rsidP="00922116">
            <w:pPr>
              <w:pStyle w:val="CellRowSpacer"/>
              <w:rPr>
                <w:sz w:val="16"/>
                <w:szCs w:val="16"/>
              </w:rPr>
            </w:pPr>
          </w:p>
        </w:tc>
      </w:tr>
      <w:tr w:rsidR="00AC5C0C" w:rsidRPr="00B02BA3" w14:paraId="70ECAE0B" w14:textId="77777777" w:rsidTr="00922116">
        <w:tc>
          <w:tcPr>
            <w:tcW w:w="3163" w:type="dxa"/>
            <w:vAlign w:val="bottom"/>
          </w:tcPr>
          <w:p w14:paraId="3A58FE58" w14:textId="77777777" w:rsidR="00AC5C0C" w:rsidRPr="00B02BA3" w:rsidRDefault="00AC5C0C" w:rsidP="00922116">
            <w:pPr>
              <w:pStyle w:val="VSmCellBody"/>
              <w:tabs>
                <w:tab w:val="right" w:leader="dot" w:pos="3163"/>
              </w:tabs>
              <w:rPr>
                <w:rFonts w:eastAsia="SimSun"/>
                <w:sz w:val="16"/>
                <w:szCs w:val="16"/>
              </w:rPr>
            </w:pPr>
            <w:r w:rsidRPr="00B02BA3">
              <w:rPr>
                <w:sz w:val="16"/>
                <w:szCs w:val="16"/>
              </w:rPr>
              <w:t>Raysut</w:t>
            </w:r>
            <w:r w:rsidRPr="00B02BA3">
              <w:rPr>
                <w:rFonts w:eastAsia="SimSun"/>
                <w:sz w:val="16"/>
                <w:szCs w:val="16"/>
              </w:rPr>
              <w:tab/>
            </w:r>
          </w:p>
        </w:tc>
        <w:tc>
          <w:tcPr>
            <w:tcW w:w="236" w:type="dxa"/>
            <w:vAlign w:val="bottom"/>
          </w:tcPr>
          <w:p w14:paraId="0322580E"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5798BBA5" w14:textId="77777777" w:rsidR="00AC5C0C" w:rsidRPr="00B02BA3" w:rsidRDefault="00AC5C0C" w:rsidP="00922116">
            <w:pPr>
              <w:pStyle w:val="VSmCellBody"/>
              <w:jc w:val="right"/>
              <w:rPr>
                <w:sz w:val="16"/>
                <w:szCs w:val="16"/>
              </w:rPr>
            </w:pPr>
            <w:r w:rsidRPr="00B02BA3">
              <w:rPr>
                <w:sz w:val="16"/>
                <w:szCs w:val="16"/>
              </w:rPr>
              <w:t>104,995</w:t>
            </w:r>
          </w:p>
        </w:tc>
        <w:tc>
          <w:tcPr>
            <w:tcW w:w="236" w:type="dxa"/>
            <w:vAlign w:val="bottom"/>
          </w:tcPr>
          <w:p w14:paraId="1963896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A9A0FF4" w14:textId="77777777" w:rsidR="00AC5C0C" w:rsidRPr="00B02BA3" w:rsidRDefault="00AC5C0C" w:rsidP="00922116">
            <w:pPr>
              <w:pStyle w:val="VSmCellBody"/>
              <w:jc w:val="right"/>
              <w:rPr>
                <w:sz w:val="16"/>
                <w:szCs w:val="16"/>
              </w:rPr>
            </w:pPr>
            <w:r w:rsidRPr="00B02BA3">
              <w:rPr>
                <w:sz w:val="16"/>
                <w:szCs w:val="16"/>
              </w:rPr>
              <w:t>LR2 tanker</w:t>
            </w:r>
          </w:p>
        </w:tc>
        <w:tc>
          <w:tcPr>
            <w:tcW w:w="236" w:type="dxa"/>
            <w:vAlign w:val="bottom"/>
          </w:tcPr>
          <w:p w14:paraId="2362C29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ECF97C9" w14:textId="77777777" w:rsidR="00AC5C0C" w:rsidRPr="00B02BA3" w:rsidRDefault="00AC5C0C" w:rsidP="00922116">
            <w:pPr>
              <w:pStyle w:val="VSmCellBody"/>
              <w:jc w:val="right"/>
              <w:rPr>
                <w:sz w:val="16"/>
                <w:szCs w:val="16"/>
              </w:rPr>
            </w:pPr>
            <w:r w:rsidRPr="00B02BA3">
              <w:rPr>
                <w:sz w:val="16"/>
                <w:szCs w:val="16"/>
              </w:rPr>
              <w:t>50</w:t>
            </w:r>
          </w:p>
        </w:tc>
        <w:tc>
          <w:tcPr>
            <w:tcW w:w="236" w:type="dxa"/>
            <w:vAlign w:val="bottom"/>
          </w:tcPr>
          <w:p w14:paraId="1CFEC2B4" w14:textId="77777777" w:rsidR="00AC5C0C" w:rsidRPr="00B02BA3" w:rsidRDefault="00AC5C0C" w:rsidP="00922116">
            <w:pPr>
              <w:pStyle w:val="CellRowSpacer"/>
              <w:rPr>
                <w:sz w:val="16"/>
                <w:szCs w:val="16"/>
              </w:rPr>
            </w:pPr>
            <w:r w:rsidRPr="00B02BA3">
              <w:rPr>
                <w:sz w:val="16"/>
                <w:szCs w:val="16"/>
                <w:vertAlign w:val="superscript"/>
              </w:rPr>
              <w:t>(2)</w:t>
            </w:r>
          </w:p>
        </w:tc>
        <w:tc>
          <w:tcPr>
            <w:tcW w:w="655" w:type="dxa"/>
            <w:vAlign w:val="bottom"/>
          </w:tcPr>
          <w:p w14:paraId="74802E35" w14:textId="77777777" w:rsidR="00AC5C0C" w:rsidRPr="00B02BA3" w:rsidRDefault="00AC5C0C" w:rsidP="00922116">
            <w:pPr>
              <w:pStyle w:val="VSmCellBody"/>
              <w:jc w:val="right"/>
              <w:rPr>
                <w:sz w:val="16"/>
                <w:szCs w:val="16"/>
              </w:rPr>
            </w:pPr>
            <w:r w:rsidRPr="00B02BA3">
              <w:rPr>
                <w:sz w:val="16"/>
                <w:szCs w:val="16"/>
              </w:rPr>
              <w:t>2009</w:t>
            </w:r>
          </w:p>
        </w:tc>
        <w:tc>
          <w:tcPr>
            <w:tcW w:w="270" w:type="dxa"/>
            <w:vAlign w:val="bottom"/>
          </w:tcPr>
          <w:p w14:paraId="747997A5"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77BB8076" w14:textId="77777777" w:rsidR="00AC5C0C" w:rsidRPr="00B02BA3" w:rsidRDefault="00AC5C0C" w:rsidP="00922116">
            <w:pPr>
              <w:pStyle w:val="VSmCellBody"/>
              <w:jc w:val="right"/>
              <w:rPr>
                <w:sz w:val="16"/>
                <w:szCs w:val="16"/>
              </w:rPr>
            </w:pPr>
            <w:r w:rsidRPr="00B02BA3">
              <w:rPr>
                <w:sz w:val="16"/>
                <w:szCs w:val="16"/>
              </w:rPr>
              <w:t>Panama</w:t>
            </w:r>
          </w:p>
        </w:tc>
        <w:tc>
          <w:tcPr>
            <w:tcW w:w="236" w:type="dxa"/>
            <w:vAlign w:val="bottom"/>
          </w:tcPr>
          <w:p w14:paraId="6F3C21E1" w14:textId="77777777" w:rsidR="00AC5C0C" w:rsidRPr="00B02BA3" w:rsidRDefault="00AC5C0C" w:rsidP="00922116">
            <w:pPr>
              <w:pStyle w:val="CellRowSpacer"/>
              <w:rPr>
                <w:sz w:val="16"/>
                <w:szCs w:val="16"/>
              </w:rPr>
            </w:pPr>
          </w:p>
        </w:tc>
      </w:tr>
      <w:tr w:rsidR="00AC5C0C" w:rsidRPr="00B02BA3" w14:paraId="6983A288" w14:textId="77777777" w:rsidTr="00922116">
        <w:trPr>
          <w:trHeight w:val="215"/>
        </w:trPr>
        <w:tc>
          <w:tcPr>
            <w:tcW w:w="3163" w:type="dxa"/>
            <w:vAlign w:val="bottom"/>
          </w:tcPr>
          <w:p w14:paraId="42DDDF32" w14:textId="77777777" w:rsidR="00AC5C0C" w:rsidRPr="00B02BA3" w:rsidRDefault="00AC5C0C" w:rsidP="00922116">
            <w:pPr>
              <w:pStyle w:val="VSmCellHead"/>
              <w:rPr>
                <w:sz w:val="16"/>
                <w:szCs w:val="16"/>
                <w:u w:val="single"/>
              </w:rPr>
            </w:pPr>
            <w:r w:rsidRPr="00B02BA3">
              <w:rPr>
                <w:sz w:val="16"/>
                <w:szCs w:val="16"/>
              </w:rPr>
              <w:t>Chartered-in</w:t>
            </w:r>
          </w:p>
        </w:tc>
        <w:tc>
          <w:tcPr>
            <w:tcW w:w="236" w:type="dxa"/>
            <w:vAlign w:val="bottom"/>
          </w:tcPr>
          <w:p w14:paraId="54C85D1A"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25A8836A" w14:textId="77777777" w:rsidR="00AC5C0C" w:rsidRPr="00B02BA3" w:rsidRDefault="00AC5C0C" w:rsidP="00922116">
            <w:pPr>
              <w:pStyle w:val="VSmCellBody"/>
              <w:jc w:val="right"/>
              <w:rPr>
                <w:sz w:val="16"/>
                <w:szCs w:val="16"/>
              </w:rPr>
            </w:pPr>
            <w:r w:rsidRPr="00B02BA3">
              <w:rPr>
                <w:sz w:val="16"/>
                <w:szCs w:val="16"/>
              </w:rPr>
              <w:t> </w:t>
            </w:r>
          </w:p>
        </w:tc>
        <w:tc>
          <w:tcPr>
            <w:tcW w:w="236" w:type="dxa"/>
            <w:vAlign w:val="bottom"/>
          </w:tcPr>
          <w:p w14:paraId="4CC6529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F5B904B" w14:textId="77777777" w:rsidR="00AC5C0C" w:rsidRPr="00B02BA3" w:rsidRDefault="00AC5C0C" w:rsidP="00922116">
            <w:pPr>
              <w:pStyle w:val="VSmCellBody"/>
              <w:jc w:val="right"/>
              <w:rPr>
                <w:sz w:val="16"/>
                <w:szCs w:val="16"/>
              </w:rPr>
            </w:pPr>
            <w:r w:rsidRPr="00B02BA3">
              <w:rPr>
                <w:sz w:val="16"/>
                <w:szCs w:val="16"/>
              </w:rPr>
              <w:t> </w:t>
            </w:r>
          </w:p>
        </w:tc>
        <w:tc>
          <w:tcPr>
            <w:tcW w:w="236" w:type="dxa"/>
            <w:vAlign w:val="bottom"/>
          </w:tcPr>
          <w:p w14:paraId="26BB8FD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48A4264" w14:textId="77777777" w:rsidR="00AC5C0C" w:rsidRPr="00B02BA3" w:rsidRDefault="00AC5C0C" w:rsidP="00922116">
            <w:pPr>
              <w:pStyle w:val="VSmCellBody"/>
              <w:jc w:val="right"/>
              <w:rPr>
                <w:sz w:val="16"/>
                <w:szCs w:val="16"/>
              </w:rPr>
            </w:pPr>
            <w:r w:rsidRPr="00B02BA3">
              <w:rPr>
                <w:sz w:val="16"/>
                <w:szCs w:val="16"/>
              </w:rPr>
              <w:t> </w:t>
            </w:r>
          </w:p>
        </w:tc>
        <w:tc>
          <w:tcPr>
            <w:tcW w:w="236" w:type="dxa"/>
            <w:vAlign w:val="bottom"/>
          </w:tcPr>
          <w:p w14:paraId="47219F8A"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6FF24739" w14:textId="77777777" w:rsidR="00AC5C0C" w:rsidRPr="00B02BA3" w:rsidRDefault="00AC5C0C" w:rsidP="00922116">
            <w:pPr>
              <w:pStyle w:val="VSmCellBody"/>
              <w:jc w:val="right"/>
              <w:rPr>
                <w:sz w:val="16"/>
                <w:szCs w:val="16"/>
              </w:rPr>
            </w:pPr>
            <w:r w:rsidRPr="00B02BA3">
              <w:rPr>
                <w:sz w:val="16"/>
                <w:szCs w:val="16"/>
              </w:rPr>
              <w:t> </w:t>
            </w:r>
          </w:p>
        </w:tc>
        <w:tc>
          <w:tcPr>
            <w:tcW w:w="270" w:type="dxa"/>
            <w:vAlign w:val="bottom"/>
          </w:tcPr>
          <w:p w14:paraId="3CA34A98"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5F7190D8" w14:textId="77777777" w:rsidR="00AC5C0C" w:rsidRPr="00B02BA3" w:rsidRDefault="00AC5C0C" w:rsidP="00922116">
            <w:pPr>
              <w:pStyle w:val="VSmCellBody"/>
              <w:jc w:val="right"/>
              <w:rPr>
                <w:sz w:val="16"/>
                <w:szCs w:val="16"/>
              </w:rPr>
            </w:pPr>
            <w:r w:rsidRPr="00B02BA3">
              <w:rPr>
                <w:sz w:val="16"/>
                <w:szCs w:val="16"/>
              </w:rPr>
              <w:t> </w:t>
            </w:r>
          </w:p>
        </w:tc>
        <w:tc>
          <w:tcPr>
            <w:tcW w:w="236" w:type="dxa"/>
            <w:vAlign w:val="bottom"/>
          </w:tcPr>
          <w:p w14:paraId="22CE9054" w14:textId="77777777" w:rsidR="00AC5C0C" w:rsidRPr="00B02BA3" w:rsidRDefault="00AC5C0C" w:rsidP="00922116">
            <w:pPr>
              <w:pStyle w:val="CellRowSpacer"/>
              <w:rPr>
                <w:sz w:val="16"/>
                <w:szCs w:val="16"/>
              </w:rPr>
            </w:pPr>
          </w:p>
        </w:tc>
      </w:tr>
      <w:tr w:rsidR="00AC5C0C" w:rsidRPr="00B02BA3" w14:paraId="1D1C45E6" w14:textId="77777777" w:rsidTr="00922116">
        <w:tc>
          <w:tcPr>
            <w:tcW w:w="3163" w:type="dxa"/>
            <w:vAlign w:val="bottom"/>
          </w:tcPr>
          <w:p w14:paraId="79FF2833" w14:textId="77777777" w:rsidR="00AC5C0C" w:rsidRPr="00B02BA3" w:rsidRDefault="00AC5C0C" w:rsidP="00922116">
            <w:pPr>
              <w:pStyle w:val="VSmCellBody"/>
              <w:tabs>
                <w:tab w:val="right" w:leader="dot" w:pos="3163"/>
              </w:tabs>
              <w:rPr>
                <w:sz w:val="16"/>
                <w:szCs w:val="16"/>
              </w:rPr>
            </w:pPr>
            <w:r w:rsidRPr="00B02BA3">
              <w:rPr>
                <w:sz w:val="16"/>
                <w:szCs w:val="16"/>
              </w:rPr>
              <w:t>FPMC26</w:t>
            </w:r>
            <w:r w:rsidRPr="00B02BA3">
              <w:rPr>
                <w:rFonts w:eastAsia="SimSun"/>
                <w:sz w:val="16"/>
                <w:szCs w:val="16"/>
              </w:rPr>
              <w:tab/>
            </w:r>
          </w:p>
        </w:tc>
        <w:tc>
          <w:tcPr>
            <w:tcW w:w="236" w:type="dxa"/>
            <w:vAlign w:val="bottom"/>
          </w:tcPr>
          <w:p w14:paraId="4CB622D7"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026364C1" w14:textId="77777777" w:rsidR="00AC5C0C" w:rsidRPr="00B02BA3" w:rsidRDefault="00AC5C0C" w:rsidP="00922116">
            <w:pPr>
              <w:pStyle w:val="VSmCellBody"/>
              <w:jc w:val="right"/>
              <w:rPr>
                <w:sz w:val="16"/>
                <w:szCs w:val="16"/>
              </w:rPr>
            </w:pPr>
            <w:r w:rsidRPr="00B02BA3">
              <w:rPr>
                <w:sz w:val="16"/>
                <w:szCs w:val="16"/>
              </w:rPr>
              <w:t>49,999</w:t>
            </w:r>
          </w:p>
        </w:tc>
        <w:tc>
          <w:tcPr>
            <w:tcW w:w="236" w:type="dxa"/>
            <w:vAlign w:val="bottom"/>
          </w:tcPr>
          <w:p w14:paraId="3A1D010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5BC4262" w14:textId="77777777" w:rsidR="00AC5C0C" w:rsidRPr="00B02BA3" w:rsidRDefault="00AC5C0C" w:rsidP="00922116">
            <w:pPr>
              <w:pStyle w:val="VSmCellBody"/>
              <w:jc w:val="right"/>
              <w:rPr>
                <w:sz w:val="16"/>
                <w:szCs w:val="16"/>
              </w:rPr>
            </w:pPr>
            <w:r w:rsidRPr="00B02BA3">
              <w:rPr>
                <w:sz w:val="16"/>
                <w:szCs w:val="16"/>
              </w:rPr>
              <w:t xml:space="preserve">MR </w:t>
            </w:r>
          </w:p>
        </w:tc>
        <w:tc>
          <w:tcPr>
            <w:tcW w:w="236" w:type="dxa"/>
            <w:vAlign w:val="bottom"/>
          </w:tcPr>
          <w:p w14:paraId="224B6AD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24F8224"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7F408175"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68B3524C" w14:textId="77777777" w:rsidR="00AC5C0C" w:rsidRPr="00B02BA3" w:rsidRDefault="00AC5C0C" w:rsidP="00922116">
            <w:pPr>
              <w:pStyle w:val="VSmCellBody"/>
              <w:jc w:val="right"/>
              <w:rPr>
                <w:sz w:val="16"/>
                <w:szCs w:val="16"/>
              </w:rPr>
            </w:pPr>
            <w:r w:rsidRPr="00B02BA3">
              <w:rPr>
                <w:sz w:val="16"/>
                <w:szCs w:val="16"/>
              </w:rPr>
              <w:t>2011</w:t>
            </w:r>
          </w:p>
        </w:tc>
        <w:tc>
          <w:tcPr>
            <w:tcW w:w="270" w:type="dxa"/>
            <w:vAlign w:val="bottom"/>
          </w:tcPr>
          <w:p w14:paraId="426923EC"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5693E74E" w14:textId="77777777" w:rsidR="00AC5C0C" w:rsidRPr="00B02BA3" w:rsidRDefault="00AC5C0C" w:rsidP="00922116">
            <w:pPr>
              <w:pStyle w:val="VSmCellBody"/>
              <w:jc w:val="right"/>
              <w:rPr>
                <w:sz w:val="16"/>
                <w:szCs w:val="16"/>
              </w:rPr>
            </w:pPr>
            <w:r w:rsidRPr="00B02BA3">
              <w:rPr>
                <w:sz w:val="16"/>
                <w:szCs w:val="16"/>
              </w:rPr>
              <w:t>Liberia</w:t>
            </w:r>
          </w:p>
        </w:tc>
        <w:tc>
          <w:tcPr>
            <w:tcW w:w="236" w:type="dxa"/>
            <w:vAlign w:val="bottom"/>
          </w:tcPr>
          <w:p w14:paraId="031D7B9F" w14:textId="77777777" w:rsidR="00AC5C0C" w:rsidRPr="00B02BA3" w:rsidRDefault="00AC5C0C" w:rsidP="00922116">
            <w:pPr>
              <w:pStyle w:val="CellRowSpacer"/>
              <w:rPr>
                <w:sz w:val="16"/>
                <w:szCs w:val="16"/>
              </w:rPr>
            </w:pPr>
          </w:p>
        </w:tc>
      </w:tr>
      <w:tr w:rsidR="00AC5C0C" w:rsidRPr="00B02BA3" w14:paraId="3CE0B380" w14:textId="77777777" w:rsidTr="00922116">
        <w:tc>
          <w:tcPr>
            <w:tcW w:w="3163" w:type="dxa"/>
            <w:vAlign w:val="bottom"/>
          </w:tcPr>
          <w:p w14:paraId="60B258CE" w14:textId="77777777" w:rsidR="00AC5C0C" w:rsidRPr="00B02BA3" w:rsidRDefault="00AC5C0C" w:rsidP="00922116">
            <w:pPr>
              <w:pStyle w:val="VSmCellBody"/>
              <w:tabs>
                <w:tab w:val="right" w:leader="dot" w:pos="3163"/>
              </w:tabs>
              <w:rPr>
                <w:sz w:val="16"/>
                <w:szCs w:val="16"/>
              </w:rPr>
            </w:pPr>
            <w:r w:rsidRPr="00B02BA3">
              <w:rPr>
                <w:sz w:val="16"/>
                <w:szCs w:val="16"/>
              </w:rPr>
              <w:t>Songa Diamond</w:t>
            </w:r>
            <w:r w:rsidRPr="00B02BA3">
              <w:rPr>
                <w:rFonts w:eastAsia="SimSun"/>
                <w:sz w:val="16"/>
                <w:szCs w:val="16"/>
              </w:rPr>
              <w:tab/>
            </w:r>
          </w:p>
        </w:tc>
        <w:tc>
          <w:tcPr>
            <w:tcW w:w="236" w:type="dxa"/>
            <w:vAlign w:val="bottom"/>
          </w:tcPr>
          <w:p w14:paraId="3505B5EC"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3720E578" w14:textId="77777777" w:rsidR="00AC5C0C" w:rsidRPr="00B02BA3" w:rsidRDefault="00AC5C0C" w:rsidP="00922116">
            <w:pPr>
              <w:pStyle w:val="VSmCellBody"/>
              <w:jc w:val="right"/>
              <w:rPr>
                <w:sz w:val="16"/>
                <w:szCs w:val="16"/>
              </w:rPr>
            </w:pPr>
            <w:r w:rsidRPr="00B02BA3">
              <w:rPr>
                <w:sz w:val="16"/>
                <w:szCs w:val="16"/>
              </w:rPr>
              <w:t>17,500</w:t>
            </w:r>
          </w:p>
        </w:tc>
        <w:tc>
          <w:tcPr>
            <w:tcW w:w="236" w:type="dxa"/>
            <w:vAlign w:val="bottom"/>
          </w:tcPr>
          <w:p w14:paraId="040FF20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2C5C52B" w14:textId="77777777" w:rsidR="00AC5C0C" w:rsidRPr="00B02BA3" w:rsidRDefault="00AC5C0C" w:rsidP="00922116">
            <w:pPr>
              <w:pStyle w:val="VSmCellBody"/>
              <w:jc w:val="right"/>
              <w:rPr>
                <w:sz w:val="16"/>
                <w:szCs w:val="16"/>
              </w:rPr>
            </w:pPr>
            <w:r w:rsidRPr="00B02BA3">
              <w:rPr>
                <w:sz w:val="16"/>
                <w:szCs w:val="16"/>
              </w:rPr>
              <w:t>Small Tanker</w:t>
            </w:r>
          </w:p>
        </w:tc>
        <w:tc>
          <w:tcPr>
            <w:tcW w:w="236" w:type="dxa"/>
            <w:vAlign w:val="bottom"/>
          </w:tcPr>
          <w:p w14:paraId="282A0AC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FEBDCB0"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467E43D3"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74FCC11A" w14:textId="77777777" w:rsidR="00AC5C0C" w:rsidRPr="00B02BA3" w:rsidRDefault="00AC5C0C" w:rsidP="00922116">
            <w:pPr>
              <w:pStyle w:val="VSmCellBody"/>
              <w:jc w:val="right"/>
              <w:rPr>
                <w:sz w:val="16"/>
                <w:szCs w:val="16"/>
              </w:rPr>
            </w:pPr>
            <w:r w:rsidRPr="00B02BA3">
              <w:rPr>
                <w:sz w:val="16"/>
                <w:szCs w:val="16"/>
              </w:rPr>
              <w:t>2009</w:t>
            </w:r>
          </w:p>
        </w:tc>
        <w:tc>
          <w:tcPr>
            <w:tcW w:w="270" w:type="dxa"/>
            <w:vAlign w:val="bottom"/>
          </w:tcPr>
          <w:p w14:paraId="1F88FF47"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65B611F2" w14:textId="77777777" w:rsidR="00AC5C0C" w:rsidRPr="00B02BA3" w:rsidRDefault="00AC5C0C" w:rsidP="00922116">
            <w:pPr>
              <w:pStyle w:val="VSmCellBody"/>
              <w:jc w:val="right"/>
              <w:rPr>
                <w:sz w:val="16"/>
                <w:szCs w:val="16"/>
              </w:rPr>
            </w:pPr>
            <w:r w:rsidRPr="00B02BA3">
              <w:rPr>
                <w:sz w:val="16"/>
                <w:szCs w:val="16"/>
              </w:rPr>
              <w:t xml:space="preserve">Marshall Islands </w:t>
            </w:r>
          </w:p>
        </w:tc>
        <w:tc>
          <w:tcPr>
            <w:tcW w:w="236" w:type="dxa"/>
            <w:vAlign w:val="bottom"/>
          </w:tcPr>
          <w:p w14:paraId="14DB51E0" w14:textId="77777777" w:rsidR="00AC5C0C" w:rsidRPr="00B02BA3" w:rsidRDefault="00AC5C0C" w:rsidP="00922116">
            <w:pPr>
              <w:pStyle w:val="CellRowSpacer"/>
              <w:rPr>
                <w:sz w:val="16"/>
                <w:szCs w:val="16"/>
              </w:rPr>
            </w:pPr>
          </w:p>
        </w:tc>
      </w:tr>
      <w:tr w:rsidR="00AC5C0C" w:rsidRPr="00B02BA3" w14:paraId="2E0C7D0B" w14:textId="77777777" w:rsidTr="00922116">
        <w:tc>
          <w:tcPr>
            <w:tcW w:w="3163" w:type="dxa"/>
            <w:vAlign w:val="bottom"/>
          </w:tcPr>
          <w:p w14:paraId="13530706" w14:textId="77777777" w:rsidR="00AC5C0C" w:rsidRPr="00B02BA3" w:rsidRDefault="00AC5C0C" w:rsidP="00922116">
            <w:pPr>
              <w:pStyle w:val="VSmCellBody"/>
              <w:tabs>
                <w:tab w:val="right" w:leader="dot" w:pos="3163"/>
              </w:tabs>
              <w:rPr>
                <w:sz w:val="16"/>
                <w:szCs w:val="16"/>
              </w:rPr>
            </w:pPr>
            <w:r w:rsidRPr="00B02BA3">
              <w:rPr>
                <w:sz w:val="16"/>
                <w:szCs w:val="16"/>
              </w:rPr>
              <w:t>Songa Topaz</w:t>
            </w:r>
            <w:r w:rsidRPr="00B02BA3">
              <w:rPr>
                <w:rFonts w:eastAsia="SimSun"/>
                <w:sz w:val="16"/>
                <w:szCs w:val="16"/>
              </w:rPr>
              <w:tab/>
            </w:r>
          </w:p>
        </w:tc>
        <w:tc>
          <w:tcPr>
            <w:tcW w:w="236" w:type="dxa"/>
            <w:vAlign w:val="bottom"/>
          </w:tcPr>
          <w:p w14:paraId="73413CA1"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28BFE952" w14:textId="77777777" w:rsidR="00AC5C0C" w:rsidRPr="00B02BA3" w:rsidRDefault="00AC5C0C" w:rsidP="00922116">
            <w:pPr>
              <w:pStyle w:val="VSmCellBody"/>
              <w:jc w:val="right"/>
              <w:rPr>
                <w:sz w:val="16"/>
                <w:szCs w:val="16"/>
              </w:rPr>
            </w:pPr>
            <w:r w:rsidRPr="00B02BA3">
              <w:rPr>
                <w:sz w:val="16"/>
                <w:szCs w:val="16"/>
              </w:rPr>
              <w:t>17,500</w:t>
            </w:r>
          </w:p>
        </w:tc>
        <w:tc>
          <w:tcPr>
            <w:tcW w:w="236" w:type="dxa"/>
            <w:vAlign w:val="bottom"/>
          </w:tcPr>
          <w:p w14:paraId="6566B9F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0F83382" w14:textId="77777777" w:rsidR="00AC5C0C" w:rsidRPr="00B02BA3" w:rsidRDefault="00AC5C0C" w:rsidP="00922116">
            <w:pPr>
              <w:pStyle w:val="VSmCellBody"/>
              <w:jc w:val="right"/>
              <w:rPr>
                <w:sz w:val="16"/>
                <w:szCs w:val="16"/>
              </w:rPr>
            </w:pPr>
            <w:r w:rsidRPr="00B02BA3">
              <w:rPr>
                <w:sz w:val="16"/>
                <w:szCs w:val="16"/>
              </w:rPr>
              <w:t>Small Tanker</w:t>
            </w:r>
          </w:p>
        </w:tc>
        <w:tc>
          <w:tcPr>
            <w:tcW w:w="236" w:type="dxa"/>
            <w:vAlign w:val="bottom"/>
          </w:tcPr>
          <w:p w14:paraId="3CDCDDB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0328702"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2D71FCD1"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08FCB466" w14:textId="77777777" w:rsidR="00AC5C0C" w:rsidRPr="00B02BA3" w:rsidRDefault="00AC5C0C" w:rsidP="00922116">
            <w:pPr>
              <w:pStyle w:val="VSmCellBody"/>
              <w:jc w:val="right"/>
              <w:rPr>
                <w:sz w:val="16"/>
                <w:szCs w:val="16"/>
              </w:rPr>
            </w:pPr>
            <w:r w:rsidRPr="00B02BA3">
              <w:rPr>
                <w:sz w:val="16"/>
                <w:szCs w:val="16"/>
              </w:rPr>
              <w:t>2009</w:t>
            </w:r>
          </w:p>
        </w:tc>
        <w:tc>
          <w:tcPr>
            <w:tcW w:w="270" w:type="dxa"/>
            <w:vAlign w:val="bottom"/>
          </w:tcPr>
          <w:p w14:paraId="61A16014"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06EFD3DC" w14:textId="77777777" w:rsidR="00AC5C0C" w:rsidRPr="00B02BA3" w:rsidRDefault="00AC5C0C" w:rsidP="00922116">
            <w:pPr>
              <w:pStyle w:val="VSmCellBody"/>
              <w:jc w:val="right"/>
              <w:rPr>
                <w:sz w:val="16"/>
                <w:szCs w:val="16"/>
              </w:rPr>
            </w:pPr>
            <w:r w:rsidRPr="00B02BA3">
              <w:rPr>
                <w:sz w:val="16"/>
                <w:szCs w:val="16"/>
              </w:rPr>
              <w:t xml:space="preserve">Marshall Islands </w:t>
            </w:r>
          </w:p>
        </w:tc>
        <w:tc>
          <w:tcPr>
            <w:tcW w:w="236" w:type="dxa"/>
            <w:vAlign w:val="bottom"/>
          </w:tcPr>
          <w:p w14:paraId="399F4450" w14:textId="77777777" w:rsidR="00AC5C0C" w:rsidRPr="00B02BA3" w:rsidRDefault="00AC5C0C" w:rsidP="00922116">
            <w:pPr>
              <w:pStyle w:val="CellRowSpacer"/>
              <w:rPr>
                <w:sz w:val="16"/>
                <w:szCs w:val="16"/>
              </w:rPr>
            </w:pPr>
          </w:p>
        </w:tc>
      </w:tr>
      <w:tr w:rsidR="00AC5C0C" w:rsidRPr="00B02BA3" w14:paraId="3F883AD7" w14:textId="77777777" w:rsidTr="00922116">
        <w:tc>
          <w:tcPr>
            <w:tcW w:w="3163" w:type="dxa"/>
            <w:vAlign w:val="bottom"/>
          </w:tcPr>
          <w:p w14:paraId="3025C984" w14:textId="77777777" w:rsidR="00AC5C0C" w:rsidRPr="00B02BA3" w:rsidRDefault="00AC5C0C" w:rsidP="00922116">
            <w:pPr>
              <w:pStyle w:val="VSmCellBody"/>
              <w:tabs>
                <w:tab w:val="right" w:leader="dot" w:pos="3163"/>
              </w:tabs>
              <w:rPr>
                <w:sz w:val="16"/>
                <w:szCs w:val="16"/>
              </w:rPr>
            </w:pPr>
            <w:r w:rsidRPr="00B02BA3">
              <w:rPr>
                <w:sz w:val="16"/>
                <w:szCs w:val="16"/>
              </w:rPr>
              <w:t>Kanala</w:t>
            </w:r>
            <w:r w:rsidRPr="00B02BA3">
              <w:rPr>
                <w:rFonts w:eastAsia="SimSun"/>
                <w:sz w:val="16"/>
                <w:szCs w:val="16"/>
              </w:rPr>
              <w:tab/>
            </w:r>
          </w:p>
        </w:tc>
        <w:tc>
          <w:tcPr>
            <w:tcW w:w="236" w:type="dxa"/>
            <w:vAlign w:val="bottom"/>
          </w:tcPr>
          <w:p w14:paraId="34B0A179"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772F7499" w14:textId="77777777" w:rsidR="00AC5C0C" w:rsidRPr="00B02BA3" w:rsidRDefault="00AC5C0C" w:rsidP="00922116">
            <w:pPr>
              <w:pStyle w:val="VSmCellBody"/>
              <w:jc w:val="right"/>
              <w:rPr>
                <w:sz w:val="16"/>
                <w:szCs w:val="16"/>
              </w:rPr>
            </w:pPr>
            <w:r w:rsidRPr="00B02BA3">
              <w:rPr>
                <w:sz w:val="16"/>
                <w:szCs w:val="16"/>
              </w:rPr>
              <w:t>34,188</w:t>
            </w:r>
          </w:p>
        </w:tc>
        <w:tc>
          <w:tcPr>
            <w:tcW w:w="236" w:type="dxa"/>
            <w:vAlign w:val="bottom"/>
          </w:tcPr>
          <w:p w14:paraId="7299030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315D751"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27F22C0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0909850"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162FE146"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45E1F459" w14:textId="77777777" w:rsidR="00AC5C0C" w:rsidRPr="00B02BA3" w:rsidRDefault="00AC5C0C" w:rsidP="00922116">
            <w:pPr>
              <w:pStyle w:val="VSmCellBody"/>
              <w:jc w:val="right"/>
              <w:rPr>
                <w:sz w:val="16"/>
                <w:szCs w:val="16"/>
              </w:rPr>
            </w:pPr>
            <w:r w:rsidRPr="00B02BA3">
              <w:rPr>
                <w:sz w:val="16"/>
                <w:szCs w:val="16"/>
              </w:rPr>
              <w:t>2010</w:t>
            </w:r>
          </w:p>
        </w:tc>
        <w:tc>
          <w:tcPr>
            <w:tcW w:w="270" w:type="dxa"/>
            <w:vAlign w:val="bottom"/>
          </w:tcPr>
          <w:p w14:paraId="0867E3D6"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149C32A1" w14:textId="77777777" w:rsidR="00AC5C0C" w:rsidRPr="00B02BA3" w:rsidRDefault="00AC5C0C" w:rsidP="00922116">
            <w:pPr>
              <w:pStyle w:val="VSmCellBody"/>
              <w:jc w:val="right"/>
              <w:rPr>
                <w:sz w:val="16"/>
                <w:szCs w:val="16"/>
              </w:rPr>
            </w:pPr>
            <w:r w:rsidRPr="00B02BA3">
              <w:rPr>
                <w:sz w:val="16"/>
                <w:szCs w:val="16"/>
              </w:rPr>
              <w:t>Malta</w:t>
            </w:r>
          </w:p>
        </w:tc>
        <w:tc>
          <w:tcPr>
            <w:tcW w:w="236" w:type="dxa"/>
            <w:vAlign w:val="bottom"/>
          </w:tcPr>
          <w:p w14:paraId="474F1292" w14:textId="77777777" w:rsidR="00AC5C0C" w:rsidRPr="00B02BA3" w:rsidRDefault="00AC5C0C" w:rsidP="00922116">
            <w:pPr>
              <w:pStyle w:val="CellRowSpacer"/>
              <w:rPr>
                <w:sz w:val="16"/>
                <w:szCs w:val="16"/>
              </w:rPr>
            </w:pPr>
          </w:p>
        </w:tc>
      </w:tr>
      <w:tr w:rsidR="00AC5C0C" w:rsidRPr="00B02BA3" w14:paraId="2A64F1C7" w14:textId="77777777" w:rsidTr="00922116">
        <w:tc>
          <w:tcPr>
            <w:tcW w:w="3163" w:type="dxa"/>
            <w:vAlign w:val="bottom"/>
          </w:tcPr>
          <w:p w14:paraId="68460EBD" w14:textId="77777777" w:rsidR="00AC5C0C" w:rsidRPr="00B02BA3" w:rsidRDefault="00AC5C0C" w:rsidP="00922116">
            <w:pPr>
              <w:pStyle w:val="VSmCellBody"/>
              <w:tabs>
                <w:tab w:val="right" w:leader="dot" w:pos="3163"/>
              </w:tabs>
              <w:rPr>
                <w:sz w:val="16"/>
                <w:szCs w:val="16"/>
              </w:rPr>
            </w:pPr>
            <w:r w:rsidRPr="00B02BA3">
              <w:rPr>
                <w:sz w:val="16"/>
                <w:szCs w:val="16"/>
              </w:rPr>
              <w:t>Celsius Portsmouth</w:t>
            </w:r>
            <w:r w:rsidRPr="00B02BA3">
              <w:rPr>
                <w:rFonts w:eastAsia="SimSun"/>
                <w:sz w:val="16"/>
                <w:szCs w:val="16"/>
              </w:rPr>
              <w:tab/>
            </w:r>
            <w:r w:rsidRPr="00B02BA3">
              <w:rPr>
                <w:sz w:val="16"/>
                <w:szCs w:val="16"/>
              </w:rPr>
              <w:t xml:space="preserve"> </w:t>
            </w:r>
          </w:p>
        </w:tc>
        <w:tc>
          <w:tcPr>
            <w:tcW w:w="236" w:type="dxa"/>
            <w:vAlign w:val="bottom"/>
          </w:tcPr>
          <w:p w14:paraId="62B0512F"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212760D4" w14:textId="77777777" w:rsidR="00AC5C0C" w:rsidRPr="00B02BA3" w:rsidRDefault="00AC5C0C" w:rsidP="00922116">
            <w:pPr>
              <w:pStyle w:val="VSmCellBody"/>
              <w:jc w:val="right"/>
              <w:rPr>
                <w:sz w:val="16"/>
                <w:szCs w:val="16"/>
              </w:rPr>
            </w:pPr>
            <w:r w:rsidRPr="00B02BA3">
              <w:rPr>
                <w:sz w:val="16"/>
                <w:szCs w:val="16"/>
              </w:rPr>
              <w:t>50,300</w:t>
            </w:r>
          </w:p>
        </w:tc>
        <w:tc>
          <w:tcPr>
            <w:tcW w:w="236" w:type="dxa"/>
            <w:vAlign w:val="bottom"/>
          </w:tcPr>
          <w:p w14:paraId="7EBA55F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D7FEFD8"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4020FD8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CAABF2B"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4D74A505"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0EEB86D6" w14:textId="77777777" w:rsidR="00AC5C0C" w:rsidRPr="00B02BA3" w:rsidRDefault="00AC5C0C" w:rsidP="00922116">
            <w:pPr>
              <w:pStyle w:val="VSmCellBody"/>
              <w:jc w:val="right"/>
              <w:rPr>
                <w:sz w:val="16"/>
                <w:szCs w:val="16"/>
              </w:rPr>
            </w:pPr>
            <w:r w:rsidRPr="00B02BA3">
              <w:rPr>
                <w:sz w:val="16"/>
                <w:szCs w:val="16"/>
              </w:rPr>
              <w:t>2021</w:t>
            </w:r>
          </w:p>
        </w:tc>
        <w:tc>
          <w:tcPr>
            <w:tcW w:w="270" w:type="dxa"/>
            <w:vAlign w:val="bottom"/>
          </w:tcPr>
          <w:p w14:paraId="7CA0874C"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35735A5B"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255E36B1" w14:textId="77777777" w:rsidR="00AC5C0C" w:rsidRPr="00B02BA3" w:rsidRDefault="00AC5C0C" w:rsidP="00922116">
            <w:pPr>
              <w:pStyle w:val="CellRowSpacer"/>
              <w:rPr>
                <w:sz w:val="16"/>
                <w:szCs w:val="16"/>
              </w:rPr>
            </w:pPr>
          </w:p>
        </w:tc>
      </w:tr>
      <w:tr w:rsidR="00AC5C0C" w:rsidRPr="00B02BA3" w14:paraId="165A4D39" w14:textId="77777777" w:rsidTr="00922116">
        <w:tc>
          <w:tcPr>
            <w:tcW w:w="3163" w:type="dxa"/>
            <w:vAlign w:val="bottom"/>
          </w:tcPr>
          <w:p w14:paraId="7D9C3216" w14:textId="77777777" w:rsidR="00AC5C0C" w:rsidRPr="00B02BA3" w:rsidRDefault="00AC5C0C" w:rsidP="00922116">
            <w:pPr>
              <w:pStyle w:val="VSmCellBody"/>
              <w:tabs>
                <w:tab w:val="right" w:leader="dot" w:pos="3163"/>
              </w:tabs>
              <w:rPr>
                <w:sz w:val="16"/>
                <w:szCs w:val="16"/>
              </w:rPr>
            </w:pPr>
            <w:r w:rsidRPr="00B02BA3">
              <w:rPr>
                <w:sz w:val="16"/>
                <w:szCs w:val="16"/>
              </w:rPr>
              <w:t>Nord Himalaya</w:t>
            </w:r>
            <w:r w:rsidRPr="00B02BA3">
              <w:rPr>
                <w:rFonts w:eastAsia="SimSun"/>
                <w:sz w:val="16"/>
                <w:szCs w:val="16"/>
              </w:rPr>
              <w:tab/>
            </w:r>
          </w:p>
        </w:tc>
        <w:tc>
          <w:tcPr>
            <w:tcW w:w="236" w:type="dxa"/>
            <w:vAlign w:val="bottom"/>
          </w:tcPr>
          <w:p w14:paraId="6C3A6B2D"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182EA0D9" w14:textId="77777777" w:rsidR="00AC5C0C" w:rsidRPr="00B02BA3" w:rsidRDefault="00AC5C0C" w:rsidP="00922116">
            <w:pPr>
              <w:pStyle w:val="VSmCellBody"/>
              <w:jc w:val="right"/>
              <w:rPr>
                <w:sz w:val="16"/>
                <w:szCs w:val="16"/>
              </w:rPr>
            </w:pPr>
            <w:r w:rsidRPr="00B02BA3">
              <w:rPr>
                <w:sz w:val="16"/>
                <w:szCs w:val="16"/>
              </w:rPr>
              <w:t>49,936</w:t>
            </w:r>
          </w:p>
        </w:tc>
        <w:tc>
          <w:tcPr>
            <w:tcW w:w="236" w:type="dxa"/>
            <w:vAlign w:val="bottom"/>
          </w:tcPr>
          <w:p w14:paraId="4FDD764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E0F6CA3"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30C7AA2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6D7FE52" w14:textId="77777777" w:rsidR="00AC5C0C" w:rsidRPr="00B02BA3" w:rsidRDefault="00AC5C0C" w:rsidP="00922116">
            <w:pPr>
              <w:pStyle w:val="VSmCellBody"/>
              <w:jc w:val="right"/>
              <w:rPr>
                <w:sz w:val="16"/>
                <w:szCs w:val="16"/>
              </w:rPr>
            </w:pPr>
            <w:r w:rsidRPr="00B02BA3">
              <w:rPr>
                <w:sz w:val="16"/>
                <w:szCs w:val="16"/>
              </w:rPr>
              <w:t>2024</w:t>
            </w:r>
          </w:p>
        </w:tc>
        <w:tc>
          <w:tcPr>
            <w:tcW w:w="236" w:type="dxa"/>
            <w:vAlign w:val="bottom"/>
          </w:tcPr>
          <w:p w14:paraId="574493A9"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7CE1AE9B" w14:textId="77777777" w:rsidR="00AC5C0C" w:rsidRPr="00B02BA3" w:rsidRDefault="00AC5C0C" w:rsidP="00922116">
            <w:pPr>
              <w:pStyle w:val="VSmCellBody"/>
              <w:jc w:val="right"/>
              <w:rPr>
                <w:sz w:val="16"/>
                <w:szCs w:val="16"/>
              </w:rPr>
            </w:pPr>
            <w:r w:rsidRPr="00B02BA3">
              <w:rPr>
                <w:sz w:val="16"/>
                <w:szCs w:val="16"/>
              </w:rPr>
              <w:t>2011</w:t>
            </w:r>
          </w:p>
        </w:tc>
        <w:tc>
          <w:tcPr>
            <w:tcW w:w="270" w:type="dxa"/>
            <w:vAlign w:val="bottom"/>
          </w:tcPr>
          <w:p w14:paraId="78F465F1"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52F7D5A5" w14:textId="77777777" w:rsidR="00AC5C0C" w:rsidRPr="00B02BA3" w:rsidRDefault="00AC5C0C" w:rsidP="00922116">
            <w:pPr>
              <w:pStyle w:val="VSmCellBody"/>
              <w:jc w:val="right"/>
              <w:rPr>
                <w:sz w:val="16"/>
                <w:szCs w:val="16"/>
              </w:rPr>
            </w:pPr>
            <w:r w:rsidRPr="00B02BA3">
              <w:rPr>
                <w:sz w:val="16"/>
                <w:szCs w:val="16"/>
              </w:rPr>
              <w:t>Denmark</w:t>
            </w:r>
          </w:p>
        </w:tc>
        <w:tc>
          <w:tcPr>
            <w:tcW w:w="236" w:type="dxa"/>
            <w:vAlign w:val="bottom"/>
          </w:tcPr>
          <w:p w14:paraId="08CC07F7" w14:textId="77777777" w:rsidR="00AC5C0C" w:rsidRPr="00B02BA3" w:rsidRDefault="00AC5C0C" w:rsidP="00922116">
            <w:pPr>
              <w:pStyle w:val="CellRowSpacer"/>
              <w:rPr>
                <w:sz w:val="16"/>
                <w:szCs w:val="16"/>
              </w:rPr>
            </w:pPr>
          </w:p>
        </w:tc>
      </w:tr>
      <w:tr w:rsidR="00AC5C0C" w:rsidRPr="00B02BA3" w14:paraId="00EE20AB" w14:textId="77777777" w:rsidTr="00922116">
        <w:tc>
          <w:tcPr>
            <w:tcW w:w="3163" w:type="dxa"/>
            <w:vAlign w:val="bottom"/>
          </w:tcPr>
          <w:p w14:paraId="215149EB" w14:textId="77777777" w:rsidR="00AC5C0C" w:rsidRPr="00B02BA3" w:rsidRDefault="00AC5C0C" w:rsidP="00922116">
            <w:pPr>
              <w:pStyle w:val="VSmCellBody"/>
              <w:tabs>
                <w:tab w:val="right" w:leader="dot" w:pos="3163"/>
              </w:tabs>
              <w:rPr>
                <w:sz w:val="16"/>
                <w:szCs w:val="16"/>
              </w:rPr>
            </w:pPr>
            <w:r w:rsidRPr="00B02BA3">
              <w:rPr>
                <w:sz w:val="16"/>
                <w:szCs w:val="16"/>
              </w:rPr>
              <w:t>Nord Miyabi</w:t>
            </w:r>
            <w:r w:rsidRPr="00B02BA3">
              <w:rPr>
                <w:rFonts w:eastAsia="SimSun"/>
                <w:sz w:val="16"/>
                <w:szCs w:val="16"/>
              </w:rPr>
              <w:tab/>
            </w:r>
            <w:r w:rsidRPr="00B02BA3">
              <w:rPr>
                <w:sz w:val="16"/>
                <w:szCs w:val="16"/>
              </w:rPr>
              <w:t xml:space="preserve"> </w:t>
            </w:r>
          </w:p>
        </w:tc>
        <w:tc>
          <w:tcPr>
            <w:tcW w:w="236" w:type="dxa"/>
            <w:vAlign w:val="bottom"/>
          </w:tcPr>
          <w:p w14:paraId="468D776A"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3C2AFC71" w14:textId="77777777" w:rsidR="00AC5C0C" w:rsidRPr="00B02BA3" w:rsidRDefault="00AC5C0C" w:rsidP="00922116">
            <w:pPr>
              <w:pStyle w:val="VSmCellBody"/>
              <w:jc w:val="right"/>
              <w:rPr>
                <w:sz w:val="16"/>
                <w:szCs w:val="16"/>
              </w:rPr>
            </w:pPr>
            <w:r w:rsidRPr="00B02BA3">
              <w:rPr>
                <w:sz w:val="16"/>
                <w:szCs w:val="16"/>
              </w:rPr>
              <w:t>49,996</w:t>
            </w:r>
          </w:p>
        </w:tc>
        <w:tc>
          <w:tcPr>
            <w:tcW w:w="236" w:type="dxa"/>
            <w:vAlign w:val="bottom"/>
          </w:tcPr>
          <w:p w14:paraId="58235A3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F489751"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7EE1E61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B464273"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1170141D"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13C06A50" w14:textId="77777777" w:rsidR="00AC5C0C" w:rsidRPr="00B02BA3" w:rsidRDefault="00AC5C0C" w:rsidP="00922116">
            <w:pPr>
              <w:pStyle w:val="VSmCellBody"/>
              <w:jc w:val="right"/>
              <w:rPr>
                <w:sz w:val="16"/>
                <w:szCs w:val="16"/>
              </w:rPr>
            </w:pPr>
            <w:r w:rsidRPr="00B02BA3">
              <w:rPr>
                <w:sz w:val="16"/>
                <w:szCs w:val="16"/>
              </w:rPr>
              <w:t>2022</w:t>
            </w:r>
          </w:p>
        </w:tc>
        <w:tc>
          <w:tcPr>
            <w:tcW w:w="270" w:type="dxa"/>
            <w:vAlign w:val="bottom"/>
          </w:tcPr>
          <w:p w14:paraId="57BB475E"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46ADC5DA"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138C1AD5" w14:textId="77777777" w:rsidR="00AC5C0C" w:rsidRPr="00B02BA3" w:rsidRDefault="00AC5C0C" w:rsidP="00922116">
            <w:pPr>
              <w:pStyle w:val="CellRowSpacer"/>
              <w:rPr>
                <w:sz w:val="16"/>
                <w:szCs w:val="16"/>
              </w:rPr>
            </w:pPr>
          </w:p>
        </w:tc>
      </w:tr>
      <w:tr w:rsidR="00AC5C0C" w:rsidRPr="00B02BA3" w14:paraId="14ADA319" w14:textId="77777777" w:rsidTr="00922116">
        <w:tc>
          <w:tcPr>
            <w:tcW w:w="3163" w:type="dxa"/>
            <w:vAlign w:val="bottom"/>
          </w:tcPr>
          <w:p w14:paraId="4A67F7F1" w14:textId="77777777" w:rsidR="00AC5C0C" w:rsidRPr="00B02BA3" w:rsidRDefault="00AC5C0C" w:rsidP="00922116">
            <w:pPr>
              <w:pStyle w:val="VSmCellBody"/>
              <w:tabs>
                <w:tab w:val="right" w:leader="dot" w:pos="3163"/>
              </w:tabs>
              <w:rPr>
                <w:sz w:val="16"/>
                <w:szCs w:val="16"/>
              </w:rPr>
            </w:pPr>
            <w:r w:rsidRPr="00B02BA3">
              <w:rPr>
                <w:sz w:val="16"/>
                <w:szCs w:val="16"/>
              </w:rPr>
              <w:t>Alpine Link</w:t>
            </w:r>
            <w:r w:rsidRPr="00B02BA3">
              <w:rPr>
                <w:rFonts w:eastAsia="SimSun"/>
                <w:sz w:val="16"/>
                <w:szCs w:val="16"/>
              </w:rPr>
              <w:tab/>
            </w:r>
          </w:p>
        </w:tc>
        <w:tc>
          <w:tcPr>
            <w:tcW w:w="236" w:type="dxa"/>
            <w:vAlign w:val="bottom"/>
          </w:tcPr>
          <w:p w14:paraId="119FBEC2"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3865CE20" w14:textId="77777777" w:rsidR="00AC5C0C" w:rsidRPr="00B02BA3" w:rsidRDefault="00AC5C0C" w:rsidP="00922116">
            <w:pPr>
              <w:pStyle w:val="VSmCellBody"/>
              <w:jc w:val="right"/>
              <w:rPr>
                <w:sz w:val="16"/>
                <w:szCs w:val="16"/>
              </w:rPr>
            </w:pPr>
            <w:r w:rsidRPr="00B02BA3">
              <w:rPr>
                <w:sz w:val="16"/>
                <w:szCs w:val="16"/>
              </w:rPr>
              <w:t>50,208</w:t>
            </w:r>
          </w:p>
        </w:tc>
        <w:tc>
          <w:tcPr>
            <w:tcW w:w="236" w:type="dxa"/>
            <w:vAlign w:val="bottom"/>
          </w:tcPr>
          <w:p w14:paraId="34A17D9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25AD248"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6141ED3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937629A" w14:textId="77777777" w:rsidR="00AC5C0C" w:rsidRPr="00B02BA3" w:rsidRDefault="00AC5C0C" w:rsidP="00922116">
            <w:pPr>
              <w:pStyle w:val="VSmCellBody"/>
              <w:jc w:val="right"/>
              <w:rPr>
                <w:sz w:val="16"/>
                <w:szCs w:val="16"/>
              </w:rPr>
            </w:pPr>
            <w:r w:rsidRPr="00B02BA3">
              <w:rPr>
                <w:sz w:val="16"/>
                <w:szCs w:val="16"/>
              </w:rPr>
              <w:t>2024</w:t>
            </w:r>
          </w:p>
        </w:tc>
        <w:tc>
          <w:tcPr>
            <w:tcW w:w="236" w:type="dxa"/>
            <w:vAlign w:val="bottom"/>
          </w:tcPr>
          <w:p w14:paraId="1CCE8A2F"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3A97F78E" w14:textId="77777777" w:rsidR="00AC5C0C" w:rsidRPr="00B02BA3" w:rsidRDefault="00AC5C0C" w:rsidP="00922116">
            <w:pPr>
              <w:pStyle w:val="VSmCellBody"/>
              <w:jc w:val="right"/>
              <w:rPr>
                <w:sz w:val="16"/>
                <w:szCs w:val="16"/>
              </w:rPr>
            </w:pPr>
            <w:r w:rsidRPr="00B02BA3">
              <w:rPr>
                <w:sz w:val="16"/>
                <w:szCs w:val="16"/>
              </w:rPr>
              <w:t>2010</w:t>
            </w:r>
          </w:p>
        </w:tc>
        <w:tc>
          <w:tcPr>
            <w:tcW w:w="270" w:type="dxa"/>
            <w:vAlign w:val="bottom"/>
          </w:tcPr>
          <w:p w14:paraId="7300CB30"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007FF105" w14:textId="77777777" w:rsidR="00AC5C0C" w:rsidRPr="00B02BA3" w:rsidRDefault="00AC5C0C" w:rsidP="00922116">
            <w:pPr>
              <w:pStyle w:val="VSmCellBody"/>
              <w:jc w:val="right"/>
              <w:rPr>
                <w:sz w:val="16"/>
                <w:szCs w:val="16"/>
              </w:rPr>
            </w:pPr>
            <w:r w:rsidRPr="00B02BA3">
              <w:rPr>
                <w:sz w:val="16"/>
                <w:szCs w:val="16"/>
              </w:rPr>
              <w:t xml:space="preserve">Marshall Islands </w:t>
            </w:r>
          </w:p>
        </w:tc>
        <w:tc>
          <w:tcPr>
            <w:tcW w:w="236" w:type="dxa"/>
            <w:vAlign w:val="bottom"/>
          </w:tcPr>
          <w:p w14:paraId="474DF49A" w14:textId="77777777" w:rsidR="00AC5C0C" w:rsidRPr="00B02BA3" w:rsidRDefault="00AC5C0C" w:rsidP="00922116">
            <w:pPr>
              <w:pStyle w:val="CellRowSpacer"/>
              <w:rPr>
                <w:sz w:val="16"/>
                <w:szCs w:val="16"/>
              </w:rPr>
            </w:pPr>
          </w:p>
        </w:tc>
      </w:tr>
      <w:tr w:rsidR="00AC5C0C" w:rsidRPr="00B02BA3" w14:paraId="29A39EDE" w14:textId="77777777" w:rsidTr="00922116">
        <w:tc>
          <w:tcPr>
            <w:tcW w:w="3163" w:type="dxa"/>
            <w:vAlign w:val="bottom"/>
          </w:tcPr>
          <w:p w14:paraId="6456AB47" w14:textId="77777777" w:rsidR="00AC5C0C" w:rsidRPr="00B02BA3" w:rsidRDefault="00AC5C0C" w:rsidP="00922116">
            <w:pPr>
              <w:pStyle w:val="VSmCellBody"/>
              <w:tabs>
                <w:tab w:val="right" w:leader="dot" w:pos="3163"/>
              </w:tabs>
              <w:rPr>
                <w:sz w:val="16"/>
                <w:szCs w:val="16"/>
              </w:rPr>
            </w:pPr>
            <w:r w:rsidRPr="00B02BA3">
              <w:rPr>
                <w:sz w:val="16"/>
                <w:szCs w:val="16"/>
              </w:rPr>
              <w:t>Green Sky</w:t>
            </w:r>
            <w:r w:rsidRPr="00B02BA3">
              <w:rPr>
                <w:rFonts w:eastAsia="SimSun"/>
                <w:sz w:val="16"/>
                <w:szCs w:val="16"/>
              </w:rPr>
              <w:tab/>
            </w:r>
          </w:p>
        </w:tc>
        <w:tc>
          <w:tcPr>
            <w:tcW w:w="236" w:type="dxa"/>
            <w:vAlign w:val="bottom"/>
          </w:tcPr>
          <w:p w14:paraId="6BF5C1A5"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4E12C4A3" w14:textId="77777777" w:rsidR="00AC5C0C" w:rsidRPr="00B02BA3" w:rsidRDefault="00AC5C0C" w:rsidP="00922116">
            <w:pPr>
              <w:pStyle w:val="VSmCellBody"/>
              <w:jc w:val="right"/>
              <w:rPr>
                <w:sz w:val="16"/>
                <w:szCs w:val="16"/>
              </w:rPr>
            </w:pPr>
            <w:r w:rsidRPr="00B02BA3">
              <w:rPr>
                <w:sz w:val="16"/>
                <w:szCs w:val="16"/>
              </w:rPr>
              <w:t>49,4</w:t>
            </w:r>
            <w:r w:rsidR="00BF1E87">
              <w:rPr>
                <w:sz w:val="16"/>
                <w:szCs w:val="16"/>
              </w:rPr>
              <w:t>2</w:t>
            </w:r>
            <w:r w:rsidRPr="00B02BA3">
              <w:rPr>
                <w:sz w:val="16"/>
                <w:szCs w:val="16"/>
              </w:rPr>
              <w:t>6</w:t>
            </w:r>
          </w:p>
        </w:tc>
        <w:tc>
          <w:tcPr>
            <w:tcW w:w="236" w:type="dxa"/>
            <w:vAlign w:val="bottom"/>
          </w:tcPr>
          <w:p w14:paraId="410E780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3209EEE"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757DF53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C360AC2"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4047C05E"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1BABB4C9" w14:textId="77777777" w:rsidR="00AC5C0C" w:rsidRPr="00B02BA3" w:rsidRDefault="00AC5C0C" w:rsidP="00922116">
            <w:pPr>
              <w:pStyle w:val="VSmCellBody"/>
              <w:jc w:val="right"/>
              <w:rPr>
                <w:sz w:val="16"/>
                <w:szCs w:val="16"/>
              </w:rPr>
            </w:pPr>
            <w:r w:rsidRPr="00B02BA3">
              <w:rPr>
                <w:sz w:val="16"/>
                <w:szCs w:val="16"/>
              </w:rPr>
              <w:t>2014</w:t>
            </w:r>
          </w:p>
        </w:tc>
        <w:tc>
          <w:tcPr>
            <w:tcW w:w="270" w:type="dxa"/>
            <w:vAlign w:val="bottom"/>
          </w:tcPr>
          <w:p w14:paraId="2543464F"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20ECFC86" w14:textId="77777777" w:rsidR="00AC5C0C" w:rsidRPr="00B02BA3" w:rsidRDefault="00AC5C0C" w:rsidP="00922116">
            <w:pPr>
              <w:pStyle w:val="VSmCellBody"/>
              <w:jc w:val="right"/>
              <w:rPr>
                <w:sz w:val="16"/>
                <w:szCs w:val="16"/>
              </w:rPr>
            </w:pPr>
            <w:r w:rsidRPr="00B02BA3">
              <w:rPr>
                <w:sz w:val="16"/>
                <w:szCs w:val="16"/>
              </w:rPr>
              <w:t>Liberia</w:t>
            </w:r>
          </w:p>
        </w:tc>
        <w:tc>
          <w:tcPr>
            <w:tcW w:w="236" w:type="dxa"/>
            <w:vAlign w:val="bottom"/>
          </w:tcPr>
          <w:p w14:paraId="3EA06085" w14:textId="77777777" w:rsidR="00AC5C0C" w:rsidRPr="00B02BA3" w:rsidRDefault="00AC5C0C" w:rsidP="00922116">
            <w:pPr>
              <w:pStyle w:val="CellRowSpacer"/>
              <w:rPr>
                <w:sz w:val="16"/>
                <w:szCs w:val="16"/>
              </w:rPr>
            </w:pPr>
          </w:p>
        </w:tc>
      </w:tr>
      <w:tr w:rsidR="00AC5C0C" w:rsidRPr="00B02BA3" w14:paraId="22F3B56B" w14:textId="77777777" w:rsidTr="00922116">
        <w:tc>
          <w:tcPr>
            <w:tcW w:w="3163" w:type="dxa"/>
            <w:vAlign w:val="bottom"/>
          </w:tcPr>
          <w:p w14:paraId="0512683E" w14:textId="77777777" w:rsidR="00AC5C0C" w:rsidRPr="00B02BA3" w:rsidRDefault="00AC5C0C" w:rsidP="00922116">
            <w:pPr>
              <w:pStyle w:val="VSmCellBody"/>
              <w:tabs>
                <w:tab w:val="right" w:leader="dot" w:pos="3163"/>
              </w:tabs>
              <w:rPr>
                <w:sz w:val="16"/>
                <w:szCs w:val="16"/>
              </w:rPr>
            </w:pPr>
            <w:r w:rsidRPr="00B02BA3">
              <w:rPr>
                <w:sz w:val="16"/>
                <w:szCs w:val="16"/>
              </w:rPr>
              <w:t>Bungo Crown</w:t>
            </w:r>
            <w:r w:rsidRPr="00B02BA3">
              <w:rPr>
                <w:rFonts w:eastAsia="SimSun"/>
                <w:sz w:val="16"/>
                <w:szCs w:val="16"/>
              </w:rPr>
              <w:tab/>
            </w:r>
          </w:p>
        </w:tc>
        <w:tc>
          <w:tcPr>
            <w:tcW w:w="236" w:type="dxa"/>
            <w:vAlign w:val="bottom"/>
          </w:tcPr>
          <w:p w14:paraId="2E35D1D7"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61BFEB3D" w14:textId="77777777" w:rsidR="00AC5C0C" w:rsidRPr="00B02BA3" w:rsidRDefault="00AC5C0C" w:rsidP="00922116">
            <w:pPr>
              <w:pStyle w:val="VSmCellBody"/>
              <w:jc w:val="right"/>
              <w:rPr>
                <w:sz w:val="16"/>
                <w:szCs w:val="16"/>
              </w:rPr>
            </w:pPr>
            <w:r w:rsidRPr="00B02BA3">
              <w:rPr>
                <w:sz w:val="16"/>
                <w:szCs w:val="16"/>
              </w:rPr>
              <w:t>49,994</w:t>
            </w:r>
          </w:p>
        </w:tc>
        <w:tc>
          <w:tcPr>
            <w:tcW w:w="236" w:type="dxa"/>
            <w:vAlign w:val="bottom"/>
          </w:tcPr>
          <w:p w14:paraId="1AB05D9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B0399A2"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5429E10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5A98E4C" w14:textId="77777777" w:rsidR="00AC5C0C" w:rsidRPr="00B02BA3" w:rsidRDefault="00AC5C0C" w:rsidP="00922116">
            <w:pPr>
              <w:pStyle w:val="VSmCellBody"/>
              <w:jc w:val="right"/>
              <w:rPr>
                <w:sz w:val="16"/>
                <w:szCs w:val="16"/>
              </w:rPr>
            </w:pPr>
            <w:r w:rsidRPr="00B02BA3">
              <w:rPr>
                <w:sz w:val="16"/>
                <w:szCs w:val="16"/>
              </w:rPr>
              <w:t>2024</w:t>
            </w:r>
          </w:p>
        </w:tc>
        <w:tc>
          <w:tcPr>
            <w:tcW w:w="236" w:type="dxa"/>
            <w:vAlign w:val="bottom"/>
          </w:tcPr>
          <w:p w14:paraId="34C4D685"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7E668F25" w14:textId="77777777" w:rsidR="00AC5C0C" w:rsidRPr="00B02BA3" w:rsidRDefault="00AC5C0C" w:rsidP="00922116">
            <w:pPr>
              <w:pStyle w:val="VSmCellBody"/>
              <w:jc w:val="right"/>
              <w:rPr>
                <w:sz w:val="16"/>
                <w:szCs w:val="16"/>
              </w:rPr>
            </w:pPr>
            <w:r w:rsidRPr="00B02BA3">
              <w:rPr>
                <w:sz w:val="16"/>
                <w:szCs w:val="16"/>
              </w:rPr>
              <w:t>2022</w:t>
            </w:r>
          </w:p>
        </w:tc>
        <w:tc>
          <w:tcPr>
            <w:tcW w:w="270" w:type="dxa"/>
            <w:vAlign w:val="bottom"/>
          </w:tcPr>
          <w:p w14:paraId="3F8E6EAF"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56390D4F" w14:textId="77777777" w:rsidR="00AC5C0C" w:rsidRPr="00B02BA3" w:rsidRDefault="00AC5C0C" w:rsidP="00922116">
            <w:pPr>
              <w:pStyle w:val="VSmCellBody"/>
              <w:jc w:val="right"/>
              <w:rPr>
                <w:sz w:val="16"/>
                <w:szCs w:val="16"/>
              </w:rPr>
            </w:pPr>
            <w:r w:rsidRPr="00B02BA3">
              <w:rPr>
                <w:sz w:val="16"/>
                <w:szCs w:val="16"/>
              </w:rPr>
              <w:t>Denmark</w:t>
            </w:r>
          </w:p>
        </w:tc>
        <w:tc>
          <w:tcPr>
            <w:tcW w:w="236" w:type="dxa"/>
            <w:vAlign w:val="bottom"/>
          </w:tcPr>
          <w:p w14:paraId="65C07274" w14:textId="77777777" w:rsidR="00AC5C0C" w:rsidRPr="00B02BA3" w:rsidRDefault="00AC5C0C" w:rsidP="00922116">
            <w:pPr>
              <w:pStyle w:val="CellRowSpacer"/>
              <w:rPr>
                <w:sz w:val="16"/>
                <w:szCs w:val="16"/>
              </w:rPr>
            </w:pPr>
          </w:p>
        </w:tc>
      </w:tr>
      <w:tr w:rsidR="00AC5C0C" w:rsidRPr="00B02BA3" w14:paraId="69393A11" w14:textId="77777777" w:rsidTr="00922116">
        <w:tc>
          <w:tcPr>
            <w:tcW w:w="3163" w:type="dxa"/>
            <w:vAlign w:val="bottom"/>
          </w:tcPr>
          <w:p w14:paraId="7A838536" w14:textId="77777777" w:rsidR="00AC5C0C" w:rsidRPr="00B02BA3" w:rsidRDefault="00AC5C0C" w:rsidP="00922116">
            <w:pPr>
              <w:pStyle w:val="VSmCellBody"/>
              <w:tabs>
                <w:tab w:val="right" w:leader="dot" w:pos="3163"/>
              </w:tabs>
              <w:rPr>
                <w:sz w:val="16"/>
                <w:szCs w:val="16"/>
              </w:rPr>
            </w:pPr>
            <w:r w:rsidRPr="00B02BA3">
              <w:rPr>
                <w:sz w:val="16"/>
                <w:szCs w:val="16"/>
              </w:rPr>
              <w:lastRenderedPageBreak/>
              <w:t>Venture III</w:t>
            </w:r>
            <w:r w:rsidRPr="00B02BA3">
              <w:rPr>
                <w:rFonts w:eastAsia="SimSun"/>
                <w:sz w:val="16"/>
                <w:szCs w:val="16"/>
              </w:rPr>
              <w:tab/>
            </w:r>
          </w:p>
        </w:tc>
        <w:tc>
          <w:tcPr>
            <w:tcW w:w="236" w:type="dxa"/>
            <w:vAlign w:val="bottom"/>
          </w:tcPr>
          <w:p w14:paraId="229A636D"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17E51B5A" w14:textId="77777777" w:rsidR="00AC5C0C" w:rsidRPr="00B02BA3" w:rsidRDefault="00AC5C0C" w:rsidP="00922116">
            <w:pPr>
              <w:pStyle w:val="VSmCellBody"/>
              <w:jc w:val="right"/>
              <w:rPr>
                <w:sz w:val="16"/>
                <w:szCs w:val="16"/>
              </w:rPr>
            </w:pPr>
            <w:r w:rsidRPr="00B02BA3">
              <w:rPr>
                <w:sz w:val="16"/>
                <w:szCs w:val="16"/>
              </w:rPr>
              <w:t>49,999</w:t>
            </w:r>
          </w:p>
        </w:tc>
        <w:tc>
          <w:tcPr>
            <w:tcW w:w="236" w:type="dxa"/>
            <w:vAlign w:val="bottom"/>
          </w:tcPr>
          <w:p w14:paraId="4B56FB8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2FB32FE"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59E01DC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5E33D87" w14:textId="77777777" w:rsidR="00AC5C0C" w:rsidRPr="00B02BA3" w:rsidRDefault="00AC5C0C" w:rsidP="00922116">
            <w:pPr>
              <w:pStyle w:val="VSmCellBody"/>
              <w:jc w:val="right"/>
              <w:rPr>
                <w:sz w:val="16"/>
                <w:szCs w:val="16"/>
              </w:rPr>
            </w:pPr>
            <w:r w:rsidRPr="00B02BA3">
              <w:rPr>
                <w:sz w:val="16"/>
                <w:szCs w:val="16"/>
              </w:rPr>
              <w:t>2029</w:t>
            </w:r>
          </w:p>
        </w:tc>
        <w:tc>
          <w:tcPr>
            <w:tcW w:w="236" w:type="dxa"/>
            <w:vAlign w:val="bottom"/>
          </w:tcPr>
          <w:p w14:paraId="79BC1C89"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409FB253" w14:textId="77777777" w:rsidR="00AC5C0C" w:rsidRPr="00B02BA3" w:rsidRDefault="00AC5C0C" w:rsidP="00922116">
            <w:pPr>
              <w:pStyle w:val="VSmCellBody"/>
              <w:jc w:val="right"/>
              <w:rPr>
                <w:sz w:val="16"/>
                <w:szCs w:val="16"/>
              </w:rPr>
            </w:pPr>
            <w:r w:rsidRPr="00B02BA3">
              <w:rPr>
                <w:sz w:val="16"/>
                <w:szCs w:val="16"/>
              </w:rPr>
              <w:t>2021</w:t>
            </w:r>
          </w:p>
        </w:tc>
        <w:tc>
          <w:tcPr>
            <w:tcW w:w="270" w:type="dxa"/>
            <w:vAlign w:val="bottom"/>
          </w:tcPr>
          <w:p w14:paraId="4988EC0C"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24D476A8" w14:textId="77777777" w:rsidR="00AC5C0C" w:rsidRPr="00B02BA3" w:rsidRDefault="00AC5C0C" w:rsidP="00922116">
            <w:pPr>
              <w:pStyle w:val="VSmCellBody"/>
              <w:jc w:val="right"/>
              <w:rPr>
                <w:sz w:val="16"/>
                <w:szCs w:val="16"/>
              </w:rPr>
            </w:pPr>
            <w:r w:rsidRPr="00B02BA3">
              <w:rPr>
                <w:sz w:val="16"/>
                <w:szCs w:val="16"/>
              </w:rPr>
              <w:t>Singapore</w:t>
            </w:r>
          </w:p>
        </w:tc>
        <w:tc>
          <w:tcPr>
            <w:tcW w:w="236" w:type="dxa"/>
            <w:vAlign w:val="bottom"/>
          </w:tcPr>
          <w:p w14:paraId="05D8CCE6" w14:textId="77777777" w:rsidR="00AC5C0C" w:rsidRPr="00B02BA3" w:rsidRDefault="00AC5C0C" w:rsidP="00922116">
            <w:pPr>
              <w:pStyle w:val="CellRowSpacer"/>
              <w:rPr>
                <w:sz w:val="16"/>
                <w:szCs w:val="16"/>
              </w:rPr>
            </w:pPr>
          </w:p>
        </w:tc>
      </w:tr>
      <w:tr w:rsidR="00AC5C0C" w:rsidRPr="00B02BA3" w14:paraId="7AE30CA5" w14:textId="77777777" w:rsidTr="00922116">
        <w:tc>
          <w:tcPr>
            <w:tcW w:w="3163" w:type="dxa"/>
            <w:vAlign w:val="bottom"/>
          </w:tcPr>
          <w:p w14:paraId="537585F3" w14:textId="77777777" w:rsidR="00AC5C0C" w:rsidRPr="00B02BA3" w:rsidRDefault="00AC5C0C" w:rsidP="00922116">
            <w:pPr>
              <w:pStyle w:val="VSmCellBody"/>
              <w:tabs>
                <w:tab w:val="right" w:leader="dot" w:pos="3163"/>
              </w:tabs>
              <w:rPr>
                <w:sz w:val="16"/>
                <w:szCs w:val="16"/>
              </w:rPr>
            </w:pPr>
            <w:r w:rsidRPr="00B02BA3">
              <w:rPr>
                <w:sz w:val="16"/>
                <w:szCs w:val="16"/>
              </w:rPr>
              <w:t>Nord Elegance</w:t>
            </w:r>
            <w:r w:rsidRPr="00B02BA3">
              <w:rPr>
                <w:rFonts w:eastAsia="SimSun"/>
                <w:sz w:val="16"/>
                <w:szCs w:val="16"/>
              </w:rPr>
              <w:tab/>
            </w:r>
          </w:p>
        </w:tc>
        <w:tc>
          <w:tcPr>
            <w:tcW w:w="236" w:type="dxa"/>
            <w:vAlign w:val="bottom"/>
          </w:tcPr>
          <w:p w14:paraId="5EA0AB12"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54CFABAD" w14:textId="77777777" w:rsidR="00AC5C0C" w:rsidRPr="00B02BA3" w:rsidRDefault="00AC5C0C" w:rsidP="00922116">
            <w:pPr>
              <w:pStyle w:val="VSmCellBody"/>
              <w:jc w:val="right"/>
              <w:rPr>
                <w:sz w:val="16"/>
                <w:szCs w:val="16"/>
              </w:rPr>
            </w:pPr>
            <w:r w:rsidRPr="00B02BA3">
              <w:rPr>
                <w:sz w:val="16"/>
                <w:szCs w:val="16"/>
              </w:rPr>
              <w:t>44,997</w:t>
            </w:r>
          </w:p>
        </w:tc>
        <w:tc>
          <w:tcPr>
            <w:tcW w:w="236" w:type="dxa"/>
            <w:vAlign w:val="bottom"/>
          </w:tcPr>
          <w:p w14:paraId="3DF9F96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9E16099"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16439D4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AF69D5E" w14:textId="77777777" w:rsidR="00AC5C0C" w:rsidRPr="00B02BA3" w:rsidRDefault="00AC5C0C" w:rsidP="00922116">
            <w:pPr>
              <w:pStyle w:val="VSmCellBody"/>
              <w:jc w:val="right"/>
              <w:rPr>
                <w:sz w:val="16"/>
                <w:szCs w:val="16"/>
              </w:rPr>
            </w:pPr>
            <w:r w:rsidRPr="00B02BA3">
              <w:rPr>
                <w:sz w:val="16"/>
                <w:szCs w:val="16"/>
              </w:rPr>
              <w:t>2024</w:t>
            </w:r>
          </w:p>
        </w:tc>
        <w:tc>
          <w:tcPr>
            <w:tcW w:w="236" w:type="dxa"/>
            <w:vAlign w:val="bottom"/>
          </w:tcPr>
          <w:p w14:paraId="21FFE56F"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71119555" w14:textId="77777777" w:rsidR="00AC5C0C" w:rsidRPr="00B02BA3" w:rsidRDefault="00AC5C0C" w:rsidP="00922116">
            <w:pPr>
              <w:pStyle w:val="VSmCellBody"/>
              <w:jc w:val="right"/>
              <w:rPr>
                <w:sz w:val="16"/>
                <w:szCs w:val="16"/>
              </w:rPr>
            </w:pPr>
            <w:r w:rsidRPr="00B02BA3">
              <w:rPr>
                <w:sz w:val="16"/>
                <w:szCs w:val="16"/>
              </w:rPr>
              <w:t>2020</w:t>
            </w:r>
          </w:p>
        </w:tc>
        <w:tc>
          <w:tcPr>
            <w:tcW w:w="270" w:type="dxa"/>
            <w:vAlign w:val="bottom"/>
          </w:tcPr>
          <w:p w14:paraId="4A9ADF0E"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326BFB9F" w14:textId="77777777" w:rsidR="00AC5C0C" w:rsidRPr="00B02BA3" w:rsidRDefault="00AC5C0C" w:rsidP="00922116">
            <w:pPr>
              <w:pStyle w:val="VSmCellBody"/>
              <w:jc w:val="right"/>
              <w:rPr>
                <w:sz w:val="16"/>
                <w:szCs w:val="16"/>
              </w:rPr>
            </w:pPr>
            <w:r w:rsidRPr="00B02BA3">
              <w:rPr>
                <w:sz w:val="16"/>
                <w:szCs w:val="16"/>
              </w:rPr>
              <w:t>Panama</w:t>
            </w:r>
          </w:p>
        </w:tc>
        <w:tc>
          <w:tcPr>
            <w:tcW w:w="236" w:type="dxa"/>
            <w:vAlign w:val="bottom"/>
          </w:tcPr>
          <w:p w14:paraId="73A0CCF0" w14:textId="77777777" w:rsidR="00AC5C0C" w:rsidRPr="00B02BA3" w:rsidRDefault="00AC5C0C" w:rsidP="00922116">
            <w:pPr>
              <w:pStyle w:val="CellRowSpacer"/>
              <w:rPr>
                <w:sz w:val="16"/>
                <w:szCs w:val="16"/>
              </w:rPr>
            </w:pPr>
          </w:p>
        </w:tc>
      </w:tr>
      <w:tr w:rsidR="00AC5C0C" w:rsidRPr="00B02BA3" w14:paraId="5042702D" w14:textId="77777777" w:rsidTr="00922116">
        <w:tc>
          <w:tcPr>
            <w:tcW w:w="3163" w:type="dxa"/>
            <w:vAlign w:val="bottom"/>
          </w:tcPr>
          <w:p w14:paraId="736900B6" w14:textId="77777777" w:rsidR="00AC5C0C" w:rsidRPr="00B02BA3" w:rsidRDefault="00AC5C0C" w:rsidP="00922116">
            <w:pPr>
              <w:pStyle w:val="VSmCellBody"/>
              <w:tabs>
                <w:tab w:val="right" w:leader="dot" w:pos="3163"/>
              </w:tabs>
              <w:rPr>
                <w:sz w:val="16"/>
                <w:szCs w:val="16"/>
              </w:rPr>
            </w:pPr>
            <w:r w:rsidRPr="00B02BA3">
              <w:rPr>
                <w:sz w:val="16"/>
                <w:szCs w:val="16"/>
              </w:rPr>
              <w:t>Angela Glory</w:t>
            </w:r>
            <w:r w:rsidRPr="00B02BA3">
              <w:rPr>
                <w:rFonts w:eastAsia="SimSun"/>
                <w:sz w:val="16"/>
                <w:szCs w:val="16"/>
              </w:rPr>
              <w:tab/>
            </w:r>
          </w:p>
        </w:tc>
        <w:tc>
          <w:tcPr>
            <w:tcW w:w="236" w:type="dxa"/>
            <w:vAlign w:val="bottom"/>
          </w:tcPr>
          <w:p w14:paraId="1E4D402E"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14A3D425" w14:textId="77777777" w:rsidR="00AC5C0C" w:rsidRPr="00B02BA3" w:rsidRDefault="00AC5C0C" w:rsidP="00922116">
            <w:pPr>
              <w:pStyle w:val="VSmCellBody"/>
              <w:jc w:val="right"/>
              <w:rPr>
                <w:sz w:val="16"/>
                <w:szCs w:val="16"/>
              </w:rPr>
            </w:pPr>
            <w:r w:rsidRPr="00B02BA3">
              <w:rPr>
                <w:sz w:val="16"/>
                <w:szCs w:val="16"/>
              </w:rPr>
              <w:t>49,903</w:t>
            </w:r>
          </w:p>
        </w:tc>
        <w:tc>
          <w:tcPr>
            <w:tcW w:w="236" w:type="dxa"/>
            <w:vAlign w:val="bottom"/>
          </w:tcPr>
          <w:p w14:paraId="6C0E421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A0A6476"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7BBD09A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E288FE8"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15258655"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5B9F368E" w14:textId="77777777" w:rsidR="00AC5C0C" w:rsidRPr="00B02BA3" w:rsidRDefault="00AC5C0C" w:rsidP="00922116">
            <w:pPr>
              <w:pStyle w:val="VSmCellBody"/>
              <w:jc w:val="right"/>
              <w:rPr>
                <w:sz w:val="16"/>
                <w:szCs w:val="16"/>
              </w:rPr>
            </w:pPr>
            <w:r w:rsidRPr="00B02BA3">
              <w:rPr>
                <w:sz w:val="16"/>
                <w:szCs w:val="16"/>
              </w:rPr>
              <w:t>2023</w:t>
            </w:r>
          </w:p>
        </w:tc>
        <w:tc>
          <w:tcPr>
            <w:tcW w:w="270" w:type="dxa"/>
            <w:vAlign w:val="bottom"/>
          </w:tcPr>
          <w:p w14:paraId="05FCD0F6"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4EE92C02"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624A1CDF" w14:textId="77777777" w:rsidR="00AC5C0C" w:rsidRPr="00B02BA3" w:rsidRDefault="00AC5C0C" w:rsidP="00922116">
            <w:pPr>
              <w:pStyle w:val="CellRowSpacer"/>
              <w:rPr>
                <w:sz w:val="16"/>
                <w:szCs w:val="16"/>
              </w:rPr>
            </w:pPr>
          </w:p>
        </w:tc>
      </w:tr>
      <w:tr w:rsidR="00AC5C0C" w:rsidRPr="00B02BA3" w14:paraId="334BBD26" w14:textId="77777777" w:rsidTr="00922116">
        <w:tc>
          <w:tcPr>
            <w:tcW w:w="3163" w:type="dxa"/>
            <w:vAlign w:val="bottom"/>
          </w:tcPr>
          <w:p w14:paraId="1FD64E09" w14:textId="77777777" w:rsidR="00AC5C0C" w:rsidRPr="00B02BA3" w:rsidRDefault="00AC5C0C" w:rsidP="00922116">
            <w:pPr>
              <w:pStyle w:val="VSmCellBody"/>
              <w:tabs>
                <w:tab w:val="right" w:leader="dot" w:pos="3163"/>
              </w:tabs>
              <w:rPr>
                <w:sz w:val="16"/>
                <w:szCs w:val="16"/>
              </w:rPr>
            </w:pPr>
            <w:r w:rsidRPr="00B02BA3">
              <w:rPr>
                <w:sz w:val="16"/>
                <w:szCs w:val="16"/>
              </w:rPr>
              <w:t>Jessie Glory</w:t>
            </w:r>
            <w:r w:rsidRPr="00B02BA3">
              <w:rPr>
                <w:rFonts w:eastAsia="SimSun"/>
                <w:sz w:val="16"/>
                <w:szCs w:val="16"/>
              </w:rPr>
              <w:tab/>
            </w:r>
          </w:p>
        </w:tc>
        <w:tc>
          <w:tcPr>
            <w:tcW w:w="236" w:type="dxa"/>
            <w:vAlign w:val="bottom"/>
          </w:tcPr>
          <w:p w14:paraId="7B7C6105"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6DA2EE08" w14:textId="77777777" w:rsidR="00AC5C0C" w:rsidRPr="00B02BA3" w:rsidRDefault="00AC5C0C" w:rsidP="00922116">
            <w:pPr>
              <w:pStyle w:val="VSmCellBody"/>
              <w:jc w:val="right"/>
              <w:rPr>
                <w:sz w:val="16"/>
                <w:szCs w:val="16"/>
              </w:rPr>
            </w:pPr>
            <w:r w:rsidRPr="00B02BA3">
              <w:rPr>
                <w:sz w:val="16"/>
                <w:szCs w:val="16"/>
              </w:rPr>
              <w:t>49,903</w:t>
            </w:r>
          </w:p>
        </w:tc>
        <w:tc>
          <w:tcPr>
            <w:tcW w:w="236" w:type="dxa"/>
            <w:vAlign w:val="bottom"/>
          </w:tcPr>
          <w:p w14:paraId="1E92946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8550C9C"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71D1B5E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53C5B3A"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478480BC"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414B7CC5" w14:textId="77777777" w:rsidR="00AC5C0C" w:rsidRPr="00B02BA3" w:rsidRDefault="00AC5C0C" w:rsidP="00922116">
            <w:pPr>
              <w:pStyle w:val="VSmCellBody"/>
              <w:jc w:val="right"/>
              <w:rPr>
                <w:sz w:val="16"/>
                <w:szCs w:val="16"/>
              </w:rPr>
            </w:pPr>
            <w:r w:rsidRPr="00B02BA3">
              <w:rPr>
                <w:sz w:val="16"/>
                <w:szCs w:val="16"/>
              </w:rPr>
              <w:t>2024</w:t>
            </w:r>
          </w:p>
        </w:tc>
        <w:tc>
          <w:tcPr>
            <w:tcW w:w="270" w:type="dxa"/>
            <w:vAlign w:val="bottom"/>
          </w:tcPr>
          <w:p w14:paraId="07FE6E8E"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46E40105"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340808F0" w14:textId="77777777" w:rsidR="00AC5C0C" w:rsidRPr="00B02BA3" w:rsidRDefault="00AC5C0C" w:rsidP="00922116">
            <w:pPr>
              <w:pStyle w:val="CellRowSpacer"/>
              <w:rPr>
                <w:sz w:val="16"/>
                <w:szCs w:val="16"/>
              </w:rPr>
            </w:pPr>
          </w:p>
        </w:tc>
      </w:tr>
      <w:tr w:rsidR="00AC5C0C" w:rsidRPr="00B02BA3" w14:paraId="63FE561C" w14:textId="77777777" w:rsidTr="00922116">
        <w:tc>
          <w:tcPr>
            <w:tcW w:w="3163" w:type="dxa"/>
            <w:vAlign w:val="bottom"/>
          </w:tcPr>
          <w:p w14:paraId="7BA42C19" w14:textId="77777777" w:rsidR="00AC5C0C" w:rsidRPr="00B02BA3" w:rsidRDefault="00AC5C0C" w:rsidP="00922116">
            <w:pPr>
              <w:pStyle w:val="VSmCellBody"/>
              <w:tabs>
                <w:tab w:val="right" w:leader="dot" w:pos="3163"/>
              </w:tabs>
              <w:rPr>
                <w:sz w:val="16"/>
                <w:szCs w:val="16"/>
              </w:rPr>
            </w:pPr>
            <w:proofErr w:type="spellStart"/>
            <w:r w:rsidRPr="00B02BA3">
              <w:rPr>
                <w:sz w:val="16"/>
                <w:szCs w:val="16"/>
              </w:rPr>
              <w:t>Clearocean</w:t>
            </w:r>
            <w:proofErr w:type="spellEnd"/>
            <w:r w:rsidRPr="00B02BA3">
              <w:rPr>
                <w:sz w:val="16"/>
                <w:szCs w:val="16"/>
              </w:rPr>
              <w:t xml:space="preserve"> Music</w:t>
            </w:r>
            <w:r w:rsidRPr="00B02BA3">
              <w:rPr>
                <w:rFonts w:eastAsia="SimSun"/>
                <w:sz w:val="16"/>
                <w:szCs w:val="16"/>
              </w:rPr>
              <w:tab/>
            </w:r>
          </w:p>
        </w:tc>
        <w:tc>
          <w:tcPr>
            <w:tcW w:w="236" w:type="dxa"/>
            <w:vAlign w:val="bottom"/>
          </w:tcPr>
          <w:p w14:paraId="643CBE5B" w14:textId="77777777" w:rsidR="00AC5C0C" w:rsidRPr="00B02BA3" w:rsidRDefault="00AC5C0C" w:rsidP="00922116">
            <w:pPr>
              <w:pStyle w:val="CellRowSpacer"/>
              <w:rPr>
                <w:sz w:val="16"/>
                <w:szCs w:val="16"/>
              </w:rPr>
            </w:pPr>
            <w:r w:rsidRPr="00B02BA3">
              <w:rPr>
                <w:sz w:val="16"/>
                <w:szCs w:val="16"/>
              </w:rPr>
              <w:t> </w:t>
            </w:r>
          </w:p>
        </w:tc>
        <w:tc>
          <w:tcPr>
            <w:tcW w:w="907" w:type="dxa"/>
            <w:vAlign w:val="bottom"/>
          </w:tcPr>
          <w:p w14:paraId="095F8BE5" w14:textId="77777777" w:rsidR="00AC5C0C" w:rsidRPr="00B02BA3" w:rsidRDefault="00AC5C0C" w:rsidP="00922116">
            <w:pPr>
              <w:pStyle w:val="VSmCellBody"/>
              <w:jc w:val="right"/>
              <w:rPr>
                <w:sz w:val="16"/>
                <w:szCs w:val="16"/>
              </w:rPr>
            </w:pPr>
            <w:r w:rsidRPr="00B02BA3">
              <w:rPr>
                <w:sz w:val="16"/>
                <w:szCs w:val="16"/>
              </w:rPr>
              <w:t>49,703</w:t>
            </w:r>
          </w:p>
        </w:tc>
        <w:tc>
          <w:tcPr>
            <w:tcW w:w="236" w:type="dxa"/>
            <w:vAlign w:val="bottom"/>
          </w:tcPr>
          <w:p w14:paraId="318673B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E11C458" w14:textId="77777777" w:rsidR="00AC5C0C" w:rsidRPr="00B02BA3" w:rsidRDefault="00AC5C0C" w:rsidP="00922116">
            <w:pPr>
              <w:pStyle w:val="VSmCellBody"/>
              <w:jc w:val="right"/>
              <w:rPr>
                <w:sz w:val="16"/>
                <w:szCs w:val="16"/>
              </w:rPr>
            </w:pPr>
            <w:r w:rsidRPr="00B02BA3">
              <w:rPr>
                <w:sz w:val="16"/>
                <w:szCs w:val="16"/>
              </w:rPr>
              <w:t>MR</w:t>
            </w:r>
          </w:p>
        </w:tc>
        <w:tc>
          <w:tcPr>
            <w:tcW w:w="236" w:type="dxa"/>
            <w:vAlign w:val="bottom"/>
          </w:tcPr>
          <w:p w14:paraId="5AA6126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01DAAC1"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7D2C68B4" w14:textId="77777777" w:rsidR="00AC5C0C" w:rsidRPr="00B02BA3" w:rsidRDefault="00AC5C0C" w:rsidP="00922116">
            <w:pPr>
              <w:pStyle w:val="CellRowSpacer"/>
              <w:jc w:val="right"/>
              <w:rPr>
                <w:sz w:val="16"/>
                <w:szCs w:val="16"/>
              </w:rPr>
            </w:pPr>
            <w:r w:rsidRPr="00B02BA3">
              <w:rPr>
                <w:sz w:val="16"/>
                <w:szCs w:val="16"/>
              </w:rPr>
              <w:t> </w:t>
            </w:r>
          </w:p>
        </w:tc>
        <w:tc>
          <w:tcPr>
            <w:tcW w:w="655" w:type="dxa"/>
            <w:vAlign w:val="bottom"/>
          </w:tcPr>
          <w:p w14:paraId="2BB9C33E" w14:textId="77777777" w:rsidR="00AC5C0C" w:rsidRPr="00B02BA3" w:rsidRDefault="00AC5C0C" w:rsidP="00922116">
            <w:pPr>
              <w:pStyle w:val="VSmCellBody"/>
              <w:jc w:val="right"/>
              <w:rPr>
                <w:sz w:val="16"/>
                <w:szCs w:val="16"/>
              </w:rPr>
            </w:pPr>
            <w:r w:rsidRPr="00B02BA3">
              <w:rPr>
                <w:sz w:val="16"/>
                <w:szCs w:val="16"/>
              </w:rPr>
              <w:t>2018</w:t>
            </w:r>
          </w:p>
        </w:tc>
        <w:tc>
          <w:tcPr>
            <w:tcW w:w="270" w:type="dxa"/>
            <w:vAlign w:val="bottom"/>
          </w:tcPr>
          <w:p w14:paraId="1083F320" w14:textId="77777777" w:rsidR="00AC5C0C" w:rsidRPr="00B02BA3" w:rsidRDefault="00AC5C0C" w:rsidP="00922116">
            <w:pPr>
              <w:pStyle w:val="CellRowSpacer"/>
              <w:jc w:val="right"/>
              <w:rPr>
                <w:sz w:val="16"/>
                <w:szCs w:val="16"/>
              </w:rPr>
            </w:pPr>
            <w:r w:rsidRPr="00B02BA3">
              <w:rPr>
                <w:sz w:val="16"/>
                <w:szCs w:val="16"/>
              </w:rPr>
              <w:t> </w:t>
            </w:r>
          </w:p>
        </w:tc>
        <w:tc>
          <w:tcPr>
            <w:tcW w:w="1125" w:type="dxa"/>
            <w:vAlign w:val="bottom"/>
          </w:tcPr>
          <w:p w14:paraId="3112BEAF" w14:textId="77777777" w:rsidR="00AC5C0C" w:rsidRPr="00B02BA3" w:rsidRDefault="00AC5C0C" w:rsidP="00922116">
            <w:pPr>
              <w:pStyle w:val="VSmCellBody"/>
              <w:jc w:val="right"/>
              <w:rPr>
                <w:sz w:val="16"/>
                <w:szCs w:val="16"/>
              </w:rPr>
            </w:pPr>
            <w:r w:rsidRPr="00B02BA3">
              <w:rPr>
                <w:sz w:val="16"/>
                <w:szCs w:val="16"/>
              </w:rPr>
              <w:t>Liberia</w:t>
            </w:r>
          </w:p>
        </w:tc>
        <w:tc>
          <w:tcPr>
            <w:tcW w:w="236" w:type="dxa"/>
            <w:vAlign w:val="bottom"/>
          </w:tcPr>
          <w:p w14:paraId="372A11EC" w14:textId="77777777" w:rsidR="00AC5C0C" w:rsidRPr="00B02BA3" w:rsidRDefault="00AC5C0C" w:rsidP="00922116">
            <w:pPr>
              <w:pStyle w:val="CellRowSpacer"/>
              <w:rPr>
                <w:sz w:val="16"/>
                <w:szCs w:val="16"/>
              </w:rPr>
            </w:pPr>
          </w:p>
        </w:tc>
      </w:tr>
      <w:tr w:rsidR="00AC5C0C" w:rsidRPr="00B02BA3" w14:paraId="62043080" w14:textId="77777777" w:rsidTr="00922116">
        <w:tc>
          <w:tcPr>
            <w:tcW w:w="3163" w:type="dxa"/>
          </w:tcPr>
          <w:p w14:paraId="2F3A6609" w14:textId="77777777" w:rsidR="00AC5C0C" w:rsidRPr="00B02BA3" w:rsidDel="000D70BB" w:rsidRDefault="00AC5C0C" w:rsidP="00922116">
            <w:pPr>
              <w:pStyle w:val="VSmCellBody"/>
              <w:tabs>
                <w:tab w:val="right" w:leader="dot" w:pos="3163"/>
              </w:tabs>
              <w:rPr>
                <w:sz w:val="16"/>
                <w:szCs w:val="16"/>
              </w:rPr>
            </w:pPr>
            <w:r w:rsidRPr="00B02BA3">
              <w:rPr>
                <w:sz w:val="16"/>
                <w:szCs w:val="16"/>
              </w:rPr>
              <w:t>Nord Vignale</w:t>
            </w:r>
            <w:r w:rsidRPr="00B02BA3">
              <w:rPr>
                <w:rFonts w:eastAsia="SimSun"/>
                <w:sz w:val="16"/>
                <w:szCs w:val="16"/>
              </w:rPr>
              <w:tab/>
            </w:r>
          </w:p>
        </w:tc>
        <w:tc>
          <w:tcPr>
            <w:tcW w:w="236" w:type="dxa"/>
            <w:vAlign w:val="bottom"/>
          </w:tcPr>
          <w:p w14:paraId="6E693664" w14:textId="77777777" w:rsidR="00AC5C0C" w:rsidRPr="00B02BA3" w:rsidRDefault="00AC5C0C" w:rsidP="00922116">
            <w:pPr>
              <w:pStyle w:val="CellRowSpacer"/>
              <w:rPr>
                <w:sz w:val="16"/>
                <w:szCs w:val="16"/>
              </w:rPr>
            </w:pPr>
          </w:p>
        </w:tc>
        <w:tc>
          <w:tcPr>
            <w:tcW w:w="907" w:type="dxa"/>
          </w:tcPr>
          <w:p w14:paraId="55589356" w14:textId="77777777" w:rsidR="00AC5C0C" w:rsidRPr="00B02BA3" w:rsidRDefault="00AC5C0C" w:rsidP="00922116">
            <w:pPr>
              <w:pStyle w:val="VSmCellBody"/>
              <w:jc w:val="right"/>
              <w:rPr>
                <w:sz w:val="16"/>
                <w:szCs w:val="16"/>
              </w:rPr>
            </w:pPr>
            <w:r w:rsidRPr="00B02BA3">
              <w:t>49,999</w:t>
            </w:r>
          </w:p>
        </w:tc>
        <w:tc>
          <w:tcPr>
            <w:tcW w:w="236" w:type="dxa"/>
          </w:tcPr>
          <w:p w14:paraId="42193192" w14:textId="77777777" w:rsidR="00AC5C0C" w:rsidRPr="00B02BA3" w:rsidRDefault="00AC5C0C" w:rsidP="00922116">
            <w:pPr>
              <w:pStyle w:val="CellRowSpacer"/>
              <w:jc w:val="right"/>
              <w:rPr>
                <w:sz w:val="16"/>
                <w:szCs w:val="16"/>
              </w:rPr>
            </w:pPr>
          </w:p>
        </w:tc>
        <w:tc>
          <w:tcPr>
            <w:tcW w:w="907" w:type="dxa"/>
          </w:tcPr>
          <w:p w14:paraId="5B8F7405" w14:textId="77777777" w:rsidR="00AC5C0C" w:rsidRPr="00B02BA3" w:rsidRDefault="00AC5C0C" w:rsidP="00922116">
            <w:pPr>
              <w:pStyle w:val="VSmCellBody"/>
              <w:jc w:val="right"/>
              <w:rPr>
                <w:sz w:val="16"/>
                <w:szCs w:val="16"/>
              </w:rPr>
            </w:pPr>
            <w:r w:rsidRPr="00B02BA3">
              <w:t>MR</w:t>
            </w:r>
          </w:p>
        </w:tc>
        <w:tc>
          <w:tcPr>
            <w:tcW w:w="236" w:type="dxa"/>
          </w:tcPr>
          <w:p w14:paraId="2962D6AF" w14:textId="77777777" w:rsidR="00AC5C0C" w:rsidRPr="00B02BA3" w:rsidRDefault="00AC5C0C" w:rsidP="00922116">
            <w:pPr>
              <w:pStyle w:val="CellRowSpacer"/>
              <w:jc w:val="right"/>
              <w:rPr>
                <w:sz w:val="16"/>
                <w:szCs w:val="16"/>
              </w:rPr>
            </w:pPr>
          </w:p>
        </w:tc>
        <w:tc>
          <w:tcPr>
            <w:tcW w:w="907" w:type="dxa"/>
          </w:tcPr>
          <w:p w14:paraId="4FD2BC82" w14:textId="77777777" w:rsidR="00AC5C0C" w:rsidRPr="00B02BA3" w:rsidRDefault="00AC5C0C" w:rsidP="00922116">
            <w:pPr>
              <w:pStyle w:val="VSmCellBody"/>
              <w:jc w:val="right"/>
              <w:rPr>
                <w:sz w:val="16"/>
                <w:szCs w:val="16"/>
              </w:rPr>
            </w:pPr>
            <w:r w:rsidRPr="00B02BA3">
              <w:rPr>
                <w:sz w:val="16"/>
                <w:szCs w:val="16"/>
              </w:rPr>
              <w:t>2027</w:t>
            </w:r>
          </w:p>
        </w:tc>
        <w:tc>
          <w:tcPr>
            <w:tcW w:w="236" w:type="dxa"/>
          </w:tcPr>
          <w:p w14:paraId="6296A543" w14:textId="77777777" w:rsidR="00AC5C0C" w:rsidRPr="00B02BA3" w:rsidRDefault="00AC5C0C" w:rsidP="00922116">
            <w:pPr>
              <w:pStyle w:val="CellRowSpacer"/>
              <w:jc w:val="right"/>
              <w:rPr>
                <w:sz w:val="16"/>
                <w:szCs w:val="16"/>
              </w:rPr>
            </w:pPr>
          </w:p>
        </w:tc>
        <w:tc>
          <w:tcPr>
            <w:tcW w:w="655" w:type="dxa"/>
          </w:tcPr>
          <w:p w14:paraId="484ED39B" w14:textId="77777777" w:rsidR="00AC5C0C" w:rsidRPr="00B02BA3" w:rsidRDefault="00AC5C0C" w:rsidP="00922116">
            <w:pPr>
              <w:pStyle w:val="VSmCellBody"/>
              <w:jc w:val="right"/>
              <w:rPr>
                <w:sz w:val="16"/>
                <w:szCs w:val="16"/>
              </w:rPr>
            </w:pPr>
            <w:r w:rsidRPr="00B02BA3">
              <w:t>2024</w:t>
            </w:r>
          </w:p>
        </w:tc>
        <w:tc>
          <w:tcPr>
            <w:tcW w:w="270" w:type="dxa"/>
          </w:tcPr>
          <w:p w14:paraId="1318BA1A" w14:textId="77777777" w:rsidR="00AC5C0C" w:rsidRPr="00B02BA3" w:rsidRDefault="00AC5C0C" w:rsidP="00922116">
            <w:pPr>
              <w:pStyle w:val="CellRowSpacer"/>
              <w:jc w:val="right"/>
              <w:rPr>
                <w:sz w:val="16"/>
                <w:szCs w:val="16"/>
              </w:rPr>
            </w:pPr>
          </w:p>
        </w:tc>
        <w:tc>
          <w:tcPr>
            <w:tcW w:w="1125" w:type="dxa"/>
          </w:tcPr>
          <w:p w14:paraId="36A8344A" w14:textId="77777777" w:rsidR="00AC5C0C" w:rsidRPr="00B02BA3" w:rsidRDefault="00AC5C0C" w:rsidP="00922116">
            <w:pPr>
              <w:pStyle w:val="VSmCellBody"/>
              <w:jc w:val="right"/>
              <w:rPr>
                <w:sz w:val="16"/>
                <w:szCs w:val="16"/>
              </w:rPr>
            </w:pPr>
            <w:r w:rsidRPr="00B02BA3">
              <w:t>Panama</w:t>
            </w:r>
          </w:p>
        </w:tc>
        <w:tc>
          <w:tcPr>
            <w:tcW w:w="236" w:type="dxa"/>
            <w:vAlign w:val="bottom"/>
          </w:tcPr>
          <w:p w14:paraId="6DEAC13D" w14:textId="77777777" w:rsidR="00AC5C0C" w:rsidRPr="00B02BA3" w:rsidRDefault="00AC5C0C" w:rsidP="00922116">
            <w:pPr>
              <w:pStyle w:val="CellRowSpacer"/>
              <w:rPr>
                <w:sz w:val="16"/>
                <w:szCs w:val="16"/>
              </w:rPr>
            </w:pPr>
          </w:p>
        </w:tc>
      </w:tr>
      <w:tr w:rsidR="00AC5C0C" w:rsidRPr="00B02BA3" w14:paraId="1E220697" w14:textId="77777777" w:rsidTr="00922116">
        <w:tc>
          <w:tcPr>
            <w:tcW w:w="3163" w:type="dxa"/>
          </w:tcPr>
          <w:p w14:paraId="55C59BB4" w14:textId="77777777" w:rsidR="00AC5C0C" w:rsidRPr="00B02BA3" w:rsidDel="000D70BB" w:rsidRDefault="00AC5C0C" w:rsidP="00922116">
            <w:pPr>
              <w:pStyle w:val="VSmCellBody"/>
              <w:tabs>
                <w:tab w:val="right" w:leader="dot" w:pos="3163"/>
              </w:tabs>
              <w:rPr>
                <w:sz w:val="16"/>
                <w:szCs w:val="16"/>
              </w:rPr>
            </w:pPr>
            <w:r w:rsidRPr="00B02BA3">
              <w:rPr>
                <w:sz w:val="16"/>
                <w:szCs w:val="16"/>
              </w:rPr>
              <w:t>Nord Ventura</w:t>
            </w:r>
            <w:r w:rsidRPr="00B02BA3">
              <w:rPr>
                <w:rFonts w:eastAsia="SimSun"/>
                <w:sz w:val="16"/>
                <w:szCs w:val="16"/>
              </w:rPr>
              <w:tab/>
            </w:r>
          </w:p>
        </w:tc>
        <w:tc>
          <w:tcPr>
            <w:tcW w:w="236" w:type="dxa"/>
            <w:vAlign w:val="bottom"/>
          </w:tcPr>
          <w:p w14:paraId="18F3363D" w14:textId="77777777" w:rsidR="00AC5C0C" w:rsidRPr="00B02BA3" w:rsidRDefault="00AC5C0C" w:rsidP="00922116">
            <w:pPr>
              <w:pStyle w:val="CellRowSpacer"/>
              <w:rPr>
                <w:sz w:val="16"/>
                <w:szCs w:val="16"/>
              </w:rPr>
            </w:pPr>
          </w:p>
        </w:tc>
        <w:tc>
          <w:tcPr>
            <w:tcW w:w="907" w:type="dxa"/>
          </w:tcPr>
          <w:p w14:paraId="45748093" w14:textId="77777777" w:rsidR="00AC5C0C" w:rsidRPr="00B02BA3" w:rsidRDefault="00AC5C0C" w:rsidP="00922116">
            <w:pPr>
              <w:pStyle w:val="VSmCellBody"/>
              <w:jc w:val="right"/>
              <w:rPr>
                <w:sz w:val="16"/>
                <w:szCs w:val="16"/>
              </w:rPr>
            </w:pPr>
            <w:r w:rsidRPr="00B02BA3">
              <w:t>49,999</w:t>
            </w:r>
          </w:p>
        </w:tc>
        <w:tc>
          <w:tcPr>
            <w:tcW w:w="236" w:type="dxa"/>
          </w:tcPr>
          <w:p w14:paraId="21756D02" w14:textId="77777777" w:rsidR="00AC5C0C" w:rsidRPr="00B02BA3" w:rsidRDefault="00AC5C0C" w:rsidP="00922116">
            <w:pPr>
              <w:pStyle w:val="CellRowSpacer"/>
              <w:jc w:val="right"/>
              <w:rPr>
                <w:sz w:val="16"/>
                <w:szCs w:val="16"/>
              </w:rPr>
            </w:pPr>
          </w:p>
        </w:tc>
        <w:tc>
          <w:tcPr>
            <w:tcW w:w="907" w:type="dxa"/>
          </w:tcPr>
          <w:p w14:paraId="30E3A4E4" w14:textId="77777777" w:rsidR="00AC5C0C" w:rsidRPr="00B02BA3" w:rsidRDefault="00AC5C0C" w:rsidP="00922116">
            <w:pPr>
              <w:pStyle w:val="VSmCellBody"/>
              <w:jc w:val="right"/>
              <w:rPr>
                <w:sz w:val="16"/>
                <w:szCs w:val="16"/>
              </w:rPr>
            </w:pPr>
            <w:r w:rsidRPr="00B02BA3">
              <w:t>MR</w:t>
            </w:r>
          </w:p>
        </w:tc>
        <w:tc>
          <w:tcPr>
            <w:tcW w:w="236" w:type="dxa"/>
          </w:tcPr>
          <w:p w14:paraId="28399D64" w14:textId="77777777" w:rsidR="00AC5C0C" w:rsidRPr="00B02BA3" w:rsidRDefault="00AC5C0C" w:rsidP="00922116">
            <w:pPr>
              <w:pStyle w:val="CellRowSpacer"/>
              <w:jc w:val="right"/>
              <w:rPr>
                <w:sz w:val="16"/>
                <w:szCs w:val="16"/>
              </w:rPr>
            </w:pPr>
          </w:p>
        </w:tc>
        <w:tc>
          <w:tcPr>
            <w:tcW w:w="907" w:type="dxa"/>
          </w:tcPr>
          <w:p w14:paraId="4557C1A5" w14:textId="77777777" w:rsidR="00AC5C0C" w:rsidRPr="00B02BA3" w:rsidRDefault="00AC5C0C" w:rsidP="00922116">
            <w:pPr>
              <w:pStyle w:val="VSmCellBody"/>
              <w:jc w:val="right"/>
              <w:rPr>
                <w:sz w:val="16"/>
                <w:szCs w:val="16"/>
              </w:rPr>
            </w:pPr>
            <w:r w:rsidRPr="00B02BA3">
              <w:rPr>
                <w:sz w:val="16"/>
                <w:szCs w:val="16"/>
              </w:rPr>
              <w:t xml:space="preserve"> 2021</w:t>
            </w:r>
          </w:p>
        </w:tc>
        <w:tc>
          <w:tcPr>
            <w:tcW w:w="236" w:type="dxa"/>
          </w:tcPr>
          <w:p w14:paraId="52ACB93F" w14:textId="77777777" w:rsidR="00AC5C0C" w:rsidRPr="00B02BA3" w:rsidRDefault="00AC5C0C" w:rsidP="00922116">
            <w:pPr>
              <w:pStyle w:val="CellRowSpacer"/>
              <w:jc w:val="right"/>
              <w:rPr>
                <w:sz w:val="16"/>
                <w:szCs w:val="16"/>
              </w:rPr>
            </w:pPr>
          </w:p>
        </w:tc>
        <w:tc>
          <w:tcPr>
            <w:tcW w:w="655" w:type="dxa"/>
          </w:tcPr>
          <w:p w14:paraId="474B8BB7" w14:textId="77777777" w:rsidR="00AC5C0C" w:rsidRPr="00B02BA3" w:rsidRDefault="00AC5C0C" w:rsidP="00922116">
            <w:pPr>
              <w:pStyle w:val="VSmCellBody"/>
              <w:jc w:val="right"/>
              <w:rPr>
                <w:sz w:val="16"/>
                <w:szCs w:val="16"/>
              </w:rPr>
            </w:pPr>
            <w:r w:rsidRPr="00B02BA3">
              <w:t>2021</w:t>
            </w:r>
          </w:p>
        </w:tc>
        <w:tc>
          <w:tcPr>
            <w:tcW w:w="270" w:type="dxa"/>
          </w:tcPr>
          <w:p w14:paraId="383BBF8D" w14:textId="77777777" w:rsidR="00AC5C0C" w:rsidRPr="00B02BA3" w:rsidRDefault="00AC5C0C" w:rsidP="00922116">
            <w:pPr>
              <w:pStyle w:val="CellRowSpacer"/>
              <w:jc w:val="right"/>
              <w:rPr>
                <w:sz w:val="16"/>
                <w:szCs w:val="16"/>
              </w:rPr>
            </w:pPr>
          </w:p>
        </w:tc>
        <w:tc>
          <w:tcPr>
            <w:tcW w:w="1125" w:type="dxa"/>
          </w:tcPr>
          <w:p w14:paraId="6730566B" w14:textId="77777777" w:rsidR="00AC5C0C" w:rsidRPr="00C533EB" w:rsidRDefault="00AC5C0C" w:rsidP="00922116">
            <w:pPr>
              <w:pStyle w:val="VSmCellBody"/>
              <w:jc w:val="right"/>
              <w:rPr>
                <w:sz w:val="16"/>
                <w:szCs w:val="16"/>
              </w:rPr>
            </w:pPr>
            <w:r w:rsidRPr="00C533EB">
              <w:t>Panama</w:t>
            </w:r>
          </w:p>
        </w:tc>
        <w:tc>
          <w:tcPr>
            <w:tcW w:w="236" w:type="dxa"/>
            <w:vAlign w:val="bottom"/>
          </w:tcPr>
          <w:p w14:paraId="44702AAD" w14:textId="77777777" w:rsidR="00AC5C0C" w:rsidRPr="00B02BA3" w:rsidRDefault="00AC5C0C" w:rsidP="00922116">
            <w:pPr>
              <w:pStyle w:val="CellRowSpacer"/>
              <w:rPr>
                <w:sz w:val="16"/>
                <w:szCs w:val="16"/>
              </w:rPr>
            </w:pPr>
          </w:p>
        </w:tc>
      </w:tr>
      <w:tr w:rsidR="00AC5C0C" w:rsidRPr="00B02BA3" w14:paraId="1C092EFE" w14:textId="77777777" w:rsidTr="00922116">
        <w:tc>
          <w:tcPr>
            <w:tcW w:w="3163" w:type="dxa"/>
          </w:tcPr>
          <w:p w14:paraId="1A639D3C" w14:textId="77777777" w:rsidR="00AC5C0C" w:rsidRPr="00B02BA3" w:rsidRDefault="00AC5C0C" w:rsidP="00922116">
            <w:pPr>
              <w:pStyle w:val="VSmCellBody"/>
              <w:tabs>
                <w:tab w:val="right" w:leader="dot" w:pos="3163"/>
              </w:tabs>
              <w:rPr>
                <w:sz w:val="16"/>
                <w:szCs w:val="16"/>
              </w:rPr>
            </w:pPr>
            <w:r w:rsidRPr="00B02BA3">
              <w:rPr>
                <w:rFonts w:eastAsia="SimSun"/>
                <w:sz w:val="16"/>
                <w:szCs w:val="16"/>
              </w:rPr>
              <w:t xml:space="preserve">MT </w:t>
            </w:r>
            <w:proofErr w:type="spellStart"/>
            <w:r w:rsidRPr="00B02BA3">
              <w:rPr>
                <w:rFonts w:eastAsia="SimSun"/>
                <w:sz w:val="16"/>
                <w:szCs w:val="16"/>
              </w:rPr>
              <w:t>Valisko</w:t>
            </w:r>
            <w:proofErr w:type="spellEnd"/>
            <w:r w:rsidRPr="00B02BA3">
              <w:rPr>
                <w:rFonts w:eastAsia="SimSun"/>
                <w:sz w:val="16"/>
                <w:szCs w:val="16"/>
              </w:rPr>
              <w:tab/>
            </w:r>
          </w:p>
        </w:tc>
        <w:tc>
          <w:tcPr>
            <w:tcW w:w="236" w:type="dxa"/>
            <w:vAlign w:val="bottom"/>
          </w:tcPr>
          <w:p w14:paraId="7A93BA1F" w14:textId="77777777" w:rsidR="00AC5C0C" w:rsidRPr="00B02BA3" w:rsidRDefault="00AC5C0C" w:rsidP="00922116">
            <w:pPr>
              <w:pStyle w:val="CellRowSpacer"/>
              <w:rPr>
                <w:sz w:val="16"/>
                <w:szCs w:val="16"/>
              </w:rPr>
            </w:pPr>
          </w:p>
        </w:tc>
        <w:tc>
          <w:tcPr>
            <w:tcW w:w="907" w:type="dxa"/>
          </w:tcPr>
          <w:p w14:paraId="1058215D" w14:textId="77777777" w:rsidR="00AC5C0C" w:rsidRPr="00B02BA3" w:rsidRDefault="00AC5C0C" w:rsidP="00922116">
            <w:pPr>
              <w:pStyle w:val="VSmCellBody"/>
              <w:jc w:val="right"/>
            </w:pPr>
            <w:r w:rsidRPr="00B02BA3">
              <w:rPr>
                <w:sz w:val="16"/>
                <w:szCs w:val="16"/>
              </w:rPr>
              <w:t>49,999</w:t>
            </w:r>
          </w:p>
        </w:tc>
        <w:tc>
          <w:tcPr>
            <w:tcW w:w="236" w:type="dxa"/>
          </w:tcPr>
          <w:p w14:paraId="2004A80E" w14:textId="77777777" w:rsidR="00AC5C0C" w:rsidRPr="00B02BA3" w:rsidRDefault="00AC5C0C" w:rsidP="00922116">
            <w:pPr>
              <w:pStyle w:val="CellRowSpacer"/>
              <w:jc w:val="right"/>
              <w:rPr>
                <w:sz w:val="16"/>
                <w:szCs w:val="16"/>
              </w:rPr>
            </w:pPr>
          </w:p>
        </w:tc>
        <w:tc>
          <w:tcPr>
            <w:tcW w:w="907" w:type="dxa"/>
          </w:tcPr>
          <w:p w14:paraId="6DAFEE8F" w14:textId="77777777" w:rsidR="00AC5C0C" w:rsidRPr="00B02BA3" w:rsidRDefault="00AC5C0C" w:rsidP="00922116">
            <w:pPr>
              <w:pStyle w:val="VSmCellBody"/>
              <w:jc w:val="right"/>
            </w:pPr>
            <w:r w:rsidRPr="00B02BA3">
              <w:rPr>
                <w:sz w:val="16"/>
                <w:szCs w:val="16"/>
              </w:rPr>
              <w:t>MR</w:t>
            </w:r>
          </w:p>
        </w:tc>
        <w:tc>
          <w:tcPr>
            <w:tcW w:w="236" w:type="dxa"/>
          </w:tcPr>
          <w:p w14:paraId="115FDD1D" w14:textId="77777777" w:rsidR="00AC5C0C" w:rsidRPr="00B02BA3" w:rsidRDefault="00AC5C0C" w:rsidP="00922116">
            <w:pPr>
              <w:pStyle w:val="CellRowSpacer"/>
              <w:jc w:val="right"/>
              <w:rPr>
                <w:sz w:val="16"/>
                <w:szCs w:val="16"/>
              </w:rPr>
            </w:pPr>
          </w:p>
        </w:tc>
        <w:tc>
          <w:tcPr>
            <w:tcW w:w="907" w:type="dxa"/>
          </w:tcPr>
          <w:p w14:paraId="25B24A13" w14:textId="77777777" w:rsidR="00AC5C0C" w:rsidRPr="00B02BA3" w:rsidRDefault="00AC5C0C" w:rsidP="00922116">
            <w:pPr>
              <w:pStyle w:val="VSmCellBody"/>
              <w:jc w:val="right"/>
              <w:rPr>
                <w:sz w:val="16"/>
                <w:szCs w:val="16"/>
              </w:rPr>
            </w:pPr>
            <w:r w:rsidRPr="00B02BA3">
              <w:rPr>
                <w:sz w:val="16"/>
                <w:szCs w:val="16"/>
              </w:rPr>
              <w:t>2030</w:t>
            </w:r>
          </w:p>
        </w:tc>
        <w:tc>
          <w:tcPr>
            <w:tcW w:w="236" w:type="dxa"/>
          </w:tcPr>
          <w:p w14:paraId="43D078A5" w14:textId="77777777" w:rsidR="00AC5C0C" w:rsidRPr="00B02BA3" w:rsidRDefault="00AC5C0C" w:rsidP="00922116">
            <w:pPr>
              <w:pStyle w:val="CellRowSpacer"/>
              <w:jc w:val="right"/>
              <w:rPr>
                <w:sz w:val="16"/>
                <w:szCs w:val="16"/>
              </w:rPr>
            </w:pPr>
          </w:p>
        </w:tc>
        <w:tc>
          <w:tcPr>
            <w:tcW w:w="655" w:type="dxa"/>
          </w:tcPr>
          <w:p w14:paraId="2FB11F32" w14:textId="77777777" w:rsidR="00AC5C0C" w:rsidRPr="00B02BA3" w:rsidRDefault="00AC5C0C" w:rsidP="00922116">
            <w:pPr>
              <w:pStyle w:val="VSmCellBody"/>
              <w:jc w:val="right"/>
            </w:pPr>
            <w:r w:rsidRPr="00B02BA3">
              <w:rPr>
                <w:sz w:val="16"/>
                <w:szCs w:val="16"/>
              </w:rPr>
              <w:t>2024</w:t>
            </w:r>
          </w:p>
        </w:tc>
        <w:tc>
          <w:tcPr>
            <w:tcW w:w="270" w:type="dxa"/>
          </w:tcPr>
          <w:p w14:paraId="39067F0E" w14:textId="77777777" w:rsidR="00AC5C0C" w:rsidRPr="00B02BA3" w:rsidRDefault="00AC5C0C" w:rsidP="00922116">
            <w:pPr>
              <w:pStyle w:val="CellRowSpacer"/>
              <w:jc w:val="right"/>
              <w:rPr>
                <w:sz w:val="16"/>
                <w:szCs w:val="16"/>
              </w:rPr>
            </w:pPr>
          </w:p>
        </w:tc>
        <w:tc>
          <w:tcPr>
            <w:tcW w:w="1125" w:type="dxa"/>
          </w:tcPr>
          <w:p w14:paraId="49451746" w14:textId="77777777" w:rsidR="00AC5C0C" w:rsidRPr="00C533EB" w:rsidRDefault="00AC5C0C" w:rsidP="00922116">
            <w:pPr>
              <w:pStyle w:val="VSmCellBody"/>
              <w:jc w:val="right"/>
            </w:pPr>
            <w:r w:rsidRPr="00C533EB">
              <w:rPr>
                <w:sz w:val="16"/>
                <w:szCs w:val="16"/>
              </w:rPr>
              <w:t>—</w:t>
            </w:r>
          </w:p>
        </w:tc>
        <w:tc>
          <w:tcPr>
            <w:tcW w:w="236" w:type="dxa"/>
          </w:tcPr>
          <w:p w14:paraId="7A9AB470" w14:textId="77777777" w:rsidR="00AC5C0C" w:rsidRPr="00B02BA3" w:rsidRDefault="00AC5C0C" w:rsidP="00922116">
            <w:pPr>
              <w:pStyle w:val="CellRowSpacer"/>
              <w:rPr>
                <w:sz w:val="16"/>
                <w:szCs w:val="16"/>
              </w:rPr>
            </w:pPr>
          </w:p>
        </w:tc>
      </w:tr>
      <w:tr w:rsidR="00AC5C0C" w:rsidRPr="00B02BA3" w14:paraId="75BE49A9" w14:textId="77777777" w:rsidTr="00922116">
        <w:tc>
          <w:tcPr>
            <w:tcW w:w="3163" w:type="dxa"/>
          </w:tcPr>
          <w:p w14:paraId="275C74F5" w14:textId="77777777" w:rsidR="00AC5C0C" w:rsidRPr="00B02BA3" w:rsidRDefault="00AC5C0C" w:rsidP="00922116">
            <w:pPr>
              <w:pStyle w:val="VSmCellBody"/>
              <w:tabs>
                <w:tab w:val="right" w:leader="dot" w:pos="3163"/>
              </w:tabs>
              <w:rPr>
                <w:sz w:val="16"/>
                <w:szCs w:val="16"/>
              </w:rPr>
            </w:pPr>
            <w:r w:rsidRPr="00B02BA3">
              <w:rPr>
                <w:rFonts w:eastAsia="SimSun"/>
                <w:sz w:val="16"/>
                <w:szCs w:val="16"/>
              </w:rPr>
              <w:t>Kathi Commercial</w:t>
            </w:r>
            <w:r w:rsidRPr="00B02BA3">
              <w:rPr>
                <w:rFonts w:eastAsia="SimSun"/>
                <w:sz w:val="16"/>
                <w:szCs w:val="16"/>
              </w:rPr>
              <w:tab/>
            </w:r>
          </w:p>
        </w:tc>
        <w:tc>
          <w:tcPr>
            <w:tcW w:w="236" w:type="dxa"/>
            <w:vAlign w:val="bottom"/>
          </w:tcPr>
          <w:p w14:paraId="20FF94B3" w14:textId="77777777" w:rsidR="00AC5C0C" w:rsidRPr="00B02BA3" w:rsidRDefault="00AC5C0C" w:rsidP="00922116">
            <w:pPr>
              <w:pStyle w:val="CellRowSpacer"/>
              <w:rPr>
                <w:sz w:val="16"/>
                <w:szCs w:val="16"/>
              </w:rPr>
            </w:pPr>
          </w:p>
        </w:tc>
        <w:tc>
          <w:tcPr>
            <w:tcW w:w="907" w:type="dxa"/>
          </w:tcPr>
          <w:p w14:paraId="07F86BA0" w14:textId="77777777" w:rsidR="00AC5C0C" w:rsidRPr="00B02BA3" w:rsidRDefault="00AC5C0C" w:rsidP="00922116">
            <w:pPr>
              <w:pStyle w:val="VSmCellBody"/>
              <w:jc w:val="right"/>
            </w:pPr>
            <w:r w:rsidRPr="00B02BA3">
              <w:rPr>
                <w:sz w:val="16"/>
                <w:szCs w:val="16"/>
              </w:rPr>
              <w:t>49,999</w:t>
            </w:r>
          </w:p>
        </w:tc>
        <w:tc>
          <w:tcPr>
            <w:tcW w:w="236" w:type="dxa"/>
          </w:tcPr>
          <w:p w14:paraId="60458F5F" w14:textId="77777777" w:rsidR="00AC5C0C" w:rsidRPr="00B02BA3" w:rsidRDefault="00AC5C0C" w:rsidP="00922116">
            <w:pPr>
              <w:pStyle w:val="CellRowSpacer"/>
              <w:jc w:val="right"/>
              <w:rPr>
                <w:sz w:val="16"/>
                <w:szCs w:val="16"/>
              </w:rPr>
            </w:pPr>
          </w:p>
        </w:tc>
        <w:tc>
          <w:tcPr>
            <w:tcW w:w="907" w:type="dxa"/>
          </w:tcPr>
          <w:p w14:paraId="679A1CD4" w14:textId="77777777" w:rsidR="00AC5C0C" w:rsidRPr="00B02BA3" w:rsidRDefault="00AC5C0C" w:rsidP="00922116">
            <w:pPr>
              <w:pStyle w:val="VSmCellBody"/>
              <w:jc w:val="right"/>
            </w:pPr>
            <w:r w:rsidRPr="00B02BA3">
              <w:rPr>
                <w:sz w:val="16"/>
                <w:szCs w:val="16"/>
              </w:rPr>
              <w:t>MR</w:t>
            </w:r>
          </w:p>
        </w:tc>
        <w:tc>
          <w:tcPr>
            <w:tcW w:w="236" w:type="dxa"/>
          </w:tcPr>
          <w:p w14:paraId="1E50F1BF" w14:textId="77777777" w:rsidR="00AC5C0C" w:rsidRPr="00B02BA3" w:rsidRDefault="00AC5C0C" w:rsidP="00922116">
            <w:pPr>
              <w:pStyle w:val="CellRowSpacer"/>
              <w:jc w:val="right"/>
              <w:rPr>
                <w:sz w:val="16"/>
                <w:szCs w:val="16"/>
              </w:rPr>
            </w:pPr>
          </w:p>
        </w:tc>
        <w:tc>
          <w:tcPr>
            <w:tcW w:w="907" w:type="dxa"/>
          </w:tcPr>
          <w:p w14:paraId="2256E21D" w14:textId="77777777" w:rsidR="00AC5C0C" w:rsidRPr="00B02BA3" w:rsidRDefault="00AC5C0C" w:rsidP="00922116">
            <w:pPr>
              <w:pStyle w:val="VSmCellBody"/>
              <w:jc w:val="right"/>
              <w:rPr>
                <w:sz w:val="16"/>
                <w:szCs w:val="16"/>
              </w:rPr>
            </w:pPr>
            <w:r w:rsidRPr="00B02BA3">
              <w:rPr>
                <w:sz w:val="16"/>
                <w:szCs w:val="16"/>
              </w:rPr>
              <w:t>2030</w:t>
            </w:r>
          </w:p>
        </w:tc>
        <w:tc>
          <w:tcPr>
            <w:tcW w:w="236" w:type="dxa"/>
          </w:tcPr>
          <w:p w14:paraId="7A2D2F13" w14:textId="77777777" w:rsidR="00AC5C0C" w:rsidRPr="00B02BA3" w:rsidRDefault="00AC5C0C" w:rsidP="00922116">
            <w:pPr>
              <w:pStyle w:val="CellRowSpacer"/>
              <w:jc w:val="right"/>
              <w:rPr>
                <w:sz w:val="16"/>
                <w:szCs w:val="16"/>
              </w:rPr>
            </w:pPr>
          </w:p>
        </w:tc>
        <w:tc>
          <w:tcPr>
            <w:tcW w:w="655" w:type="dxa"/>
          </w:tcPr>
          <w:p w14:paraId="3273E31D" w14:textId="77777777" w:rsidR="00AC5C0C" w:rsidRPr="00B02BA3" w:rsidRDefault="00AC5C0C" w:rsidP="00922116">
            <w:pPr>
              <w:pStyle w:val="VSmCellBody"/>
              <w:jc w:val="right"/>
            </w:pPr>
            <w:r w:rsidRPr="00B02BA3">
              <w:rPr>
                <w:sz w:val="16"/>
                <w:szCs w:val="16"/>
              </w:rPr>
              <w:t>2024</w:t>
            </w:r>
          </w:p>
        </w:tc>
        <w:tc>
          <w:tcPr>
            <w:tcW w:w="270" w:type="dxa"/>
          </w:tcPr>
          <w:p w14:paraId="22DCA914" w14:textId="77777777" w:rsidR="00AC5C0C" w:rsidRPr="00B02BA3" w:rsidRDefault="00AC5C0C" w:rsidP="00922116">
            <w:pPr>
              <w:pStyle w:val="CellRowSpacer"/>
              <w:jc w:val="right"/>
              <w:rPr>
                <w:sz w:val="16"/>
                <w:szCs w:val="16"/>
              </w:rPr>
            </w:pPr>
          </w:p>
        </w:tc>
        <w:tc>
          <w:tcPr>
            <w:tcW w:w="1125" w:type="dxa"/>
          </w:tcPr>
          <w:p w14:paraId="064F1A11" w14:textId="77777777" w:rsidR="00AC5C0C" w:rsidRPr="00C533EB" w:rsidRDefault="00AC5C0C" w:rsidP="00922116">
            <w:pPr>
              <w:pStyle w:val="VSmCellBody"/>
              <w:jc w:val="right"/>
            </w:pPr>
            <w:r w:rsidRPr="00C533EB">
              <w:rPr>
                <w:sz w:val="16"/>
                <w:szCs w:val="16"/>
              </w:rPr>
              <w:t>—</w:t>
            </w:r>
          </w:p>
        </w:tc>
        <w:tc>
          <w:tcPr>
            <w:tcW w:w="236" w:type="dxa"/>
          </w:tcPr>
          <w:p w14:paraId="23A7C1B0" w14:textId="77777777" w:rsidR="00AC5C0C" w:rsidRPr="00B02BA3" w:rsidRDefault="00AC5C0C" w:rsidP="00922116">
            <w:pPr>
              <w:pStyle w:val="CellRowSpacer"/>
              <w:rPr>
                <w:sz w:val="16"/>
                <w:szCs w:val="16"/>
              </w:rPr>
            </w:pPr>
          </w:p>
        </w:tc>
      </w:tr>
      <w:bookmarkEnd w:id="9"/>
    </w:tbl>
    <w:p w14:paraId="201CD899" w14:textId="77777777" w:rsidR="00AC5C0C" w:rsidRDefault="00AC5C0C" w:rsidP="00AC5C0C">
      <w:pPr>
        <w:bidi/>
        <w:jc w:val="both"/>
        <w:rPr>
          <w:rFonts w:ascii="Traditional Arabic" w:hAnsi="Traditional Arabic" w:cs="Traditional Arabic"/>
          <w:sz w:val="30"/>
          <w:szCs w:val="30"/>
          <w:rtl/>
        </w:rPr>
      </w:pPr>
    </w:p>
    <w:p w14:paraId="0DAE3755" w14:textId="77777777" w:rsidR="00AC5C0C" w:rsidRPr="00334534" w:rsidRDefault="00AC5C0C" w:rsidP="00AC5C0C">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AC5C0C" w14:paraId="2DF302E3" w14:textId="77777777" w:rsidTr="00922116">
        <w:tc>
          <w:tcPr>
            <w:tcW w:w="1424" w:type="dxa"/>
            <w:tcBorders>
              <w:top w:val="single" w:sz="4" w:space="0" w:color="auto"/>
            </w:tcBorders>
            <w:vAlign w:val="bottom"/>
          </w:tcPr>
          <w:p w14:paraId="6F8D71DF"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الملاحظات:</w:t>
            </w:r>
          </w:p>
        </w:tc>
        <w:tc>
          <w:tcPr>
            <w:tcW w:w="7501" w:type="dxa"/>
            <w:vAlign w:val="bottom"/>
          </w:tcPr>
          <w:p w14:paraId="2056687B" w14:textId="77777777" w:rsidR="00334534" w:rsidRPr="00985281" w:rsidRDefault="00334534" w:rsidP="00334534">
            <w:pPr>
              <w:bidi/>
              <w:jc w:val="both"/>
              <w:rPr>
                <w:rFonts w:ascii="Traditional Arabic" w:hAnsi="Traditional Arabic" w:cs="Traditional Arabic"/>
                <w:sz w:val="24"/>
              </w:rPr>
            </w:pPr>
          </w:p>
        </w:tc>
      </w:tr>
      <w:tr w:rsidR="00334534" w:rsidRPr="00AC5C0C" w14:paraId="68CA2BFB" w14:textId="77777777" w:rsidTr="00922116">
        <w:tc>
          <w:tcPr>
            <w:tcW w:w="8925" w:type="dxa"/>
            <w:gridSpan w:val="2"/>
            <w:vAlign w:val="bottom"/>
          </w:tcPr>
          <w:p w14:paraId="5EC28DE3"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 xml:space="preserve">في حالة السفن المملوكة ملكية تامة أو </w:t>
            </w:r>
            <w:r w:rsidR="00E65E26">
              <w:rPr>
                <w:rFonts w:ascii="Traditional Arabic" w:hAnsi="Traditional Arabic" w:cs="Traditional Arabic"/>
                <w:sz w:val="24"/>
                <w:rtl/>
              </w:rPr>
              <w:t>بشكل مشترك</w:t>
            </w:r>
            <w:r w:rsidRPr="00985281">
              <w:rPr>
                <w:rFonts w:ascii="Traditional Arabic" w:hAnsi="Traditional Arabic" w:cs="Traditional Arabic"/>
                <w:sz w:val="24"/>
                <w:rtl/>
              </w:rPr>
              <w:t>، تمثل "الملكية (٪)" النسبة المئوية لملكية الشركة في الشركة المالكة للسفن. في حالة السفن المستأجرة، تمثل "مدة الاستئجار (سنة انتهاء الصلاحية)" سنة انتهاء الصلاحية.</w:t>
            </w:r>
          </w:p>
        </w:tc>
      </w:tr>
      <w:tr w:rsidR="00334534" w:rsidRPr="00AC5C0C" w14:paraId="1CD198F1" w14:textId="77777777" w:rsidTr="00922116">
        <w:tc>
          <w:tcPr>
            <w:tcW w:w="8925" w:type="dxa"/>
            <w:gridSpan w:val="2"/>
            <w:vAlign w:val="bottom"/>
          </w:tcPr>
          <w:p w14:paraId="2F063951"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تحتفظ شركة متسوي بحصة الملكية المتبقية.</w:t>
            </w:r>
          </w:p>
        </w:tc>
      </w:tr>
    </w:tbl>
    <w:p w14:paraId="2FE51817" w14:textId="77777777" w:rsidR="00AC5C0C" w:rsidRDefault="00AC5C0C" w:rsidP="00334534">
      <w:pPr>
        <w:bidi/>
        <w:jc w:val="both"/>
        <w:rPr>
          <w:rFonts w:ascii="Traditional Arabic" w:hAnsi="Traditional Arabic" w:cs="Traditional Arabic"/>
          <w:sz w:val="30"/>
          <w:szCs w:val="30"/>
          <w:rtl/>
        </w:rPr>
      </w:pPr>
    </w:p>
    <w:p w14:paraId="02D9E939"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تدير الشركة شبكة عالمية تربط محطات تحميل المنتجات البترولية والكيماوية النظيفة الدولية الرئيسية في آسيا والخليج العربي والولايات المتحدة وأوروبا بمحطات الشحن الرئيسية في أستراليا وآسيا والولايات المتحدة وأوروبا. ولديها تغطية واسعة لخطوط النقل، بما في ذلك الشحنات من الخليج العربي إلى الشرق الأقصى، وصلالة إلى أوروبا والشرق الأقصى، بالإضافة إلى العمليات المحلية والعالمية، فإن الشركة في وضع جيد لخدمة قاعدة واسعة من العملاء والمشاريع. توضح الخريطة التالية مسارات السفن الحالية للشركة لقطاع شحن المنتجات:</w:t>
      </w:r>
    </w:p>
    <w:p w14:paraId="7CD4F264"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 xml:space="preserve"> </w:t>
      </w:r>
      <w:r w:rsidRPr="00334534">
        <w:rPr>
          <w:rFonts w:ascii="Traditional Arabic" w:hAnsi="Traditional Arabic" w:cs="Traditional Arabic"/>
          <w:noProof/>
          <w:sz w:val="30"/>
          <w:szCs w:val="30"/>
        </w:rPr>
        <w:drawing>
          <wp:inline distT="0" distB="0" distL="0" distR="0" wp14:anchorId="280BB5E3" wp14:editId="644D81EE">
            <wp:extent cx="5638800" cy="2976828"/>
            <wp:effectExtent l="0" t="0" r="0" b="0"/>
            <wp:docPr id="133478578" name="Picture 1" descr="A map of the world with different imag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8578" name="Picture 1" descr="A map of the world with different images  Description automatically generated"/>
                    <pic:cNvPicPr/>
                  </pic:nvPicPr>
                  <pic:blipFill>
                    <a:blip r:embed="rId72"/>
                    <a:stretch>
                      <a:fillRect/>
                    </a:stretch>
                  </pic:blipFill>
                  <pic:spPr>
                    <a:xfrm>
                      <a:off x="0" y="0"/>
                      <a:ext cx="5649078" cy="2982254"/>
                    </a:xfrm>
                    <a:prstGeom prst="rect">
                      <a:avLst/>
                    </a:prstGeom>
                  </pic:spPr>
                </pic:pic>
              </a:graphicData>
            </a:graphic>
          </wp:inline>
        </w:drawing>
      </w:r>
    </w:p>
    <w:p w14:paraId="1063D980" w14:textId="77777777" w:rsidR="00AC5C0C" w:rsidRDefault="00AC5C0C" w:rsidP="00334534">
      <w:pPr>
        <w:bidi/>
        <w:jc w:val="both"/>
        <w:rPr>
          <w:rFonts w:ascii="Traditional Arabic" w:hAnsi="Traditional Arabic" w:cs="Traditional Arabic"/>
          <w:sz w:val="30"/>
          <w:szCs w:val="30"/>
          <w:rtl/>
        </w:rPr>
      </w:pPr>
    </w:p>
    <w:p w14:paraId="619BAE95"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حيث بلغ متوسط عمر السفن في قطاع </w:t>
      </w:r>
      <w:r w:rsidR="00076D6E">
        <w:rPr>
          <w:rFonts w:ascii="Traditional Arabic" w:hAnsi="Traditional Arabic" w:cs="Traditional Arabic" w:hint="cs"/>
          <w:sz w:val="30"/>
          <w:szCs w:val="30"/>
          <w:rtl/>
        </w:rPr>
        <w:t xml:space="preserve">شحن المنتجات </w:t>
      </w:r>
      <w:r w:rsidRPr="00334534">
        <w:rPr>
          <w:rFonts w:ascii="Traditional Arabic" w:hAnsi="Traditional Arabic" w:cs="Traditional Arabic"/>
          <w:sz w:val="30"/>
          <w:szCs w:val="30"/>
          <w:rtl/>
        </w:rPr>
        <w:t>ثماني سنوات حتى 30 سبتمبر 2024، مع أكثر من 70 في المائة من السفن في هذه الشريحة ممثلة بناقلات حديثة لنقل البضائع لمسافات متوسطة. ويشمل الجزء المتبقي من السفن في هذه الشريحة القطاعية ناقلات البضائع لمسافات طويلة، وناقلات الميثانول، والناقلات الصغيرة، وناقلات المواد الكيميائية الصغيرة التي يتراوح عمرها بين 15 و 17 عامًا. بلغ متوسط المدة المتبقية لعقود نقل منتجات الشركة (باستثناء السفن المطلوبة) 18 شهرًا حتى 30 سبتمبر 2024. وبلغت القيمة الإجمالية لإيرادات العقود لقطاع شحن المنتجات 169</w:t>
      </w:r>
      <w:r w:rsidR="001A50E5">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حتى 30 سبتمبر 2024. وشكل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المنتجات ما نسبته 17 في المائة من </w:t>
      </w:r>
      <w:r w:rsidR="00641004">
        <w:rPr>
          <w:rFonts w:ascii="Traditional Arabic" w:hAnsi="Traditional Arabic" w:cs="Traditional Arabic" w:hint="cs"/>
          <w:sz w:val="30"/>
          <w:szCs w:val="30"/>
          <w:rtl/>
        </w:rPr>
        <w:t>ممتلكات</w:t>
      </w:r>
      <w:r w:rsidR="00641004" w:rsidRPr="00334534">
        <w:rPr>
          <w:rFonts w:ascii="Traditional Arabic" w:hAnsi="Traditional Arabic" w:cs="Traditional Arabic"/>
          <w:sz w:val="30"/>
          <w:szCs w:val="30"/>
          <w:rtl/>
        </w:rPr>
        <w:t xml:space="preserve"> الشركة </w:t>
      </w:r>
      <w:r w:rsidR="00641004">
        <w:rPr>
          <w:rFonts w:ascii="Traditional Arabic" w:hAnsi="Traditional Arabic" w:cs="Traditional Arabic" w:hint="cs"/>
          <w:sz w:val="30"/>
          <w:szCs w:val="30"/>
          <w:rtl/>
        </w:rPr>
        <w:t xml:space="preserve">وناقلاتها ومعداتها </w:t>
      </w:r>
      <w:r w:rsidRPr="00334534">
        <w:rPr>
          <w:rFonts w:ascii="Traditional Arabic" w:hAnsi="Traditional Arabic" w:cs="Traditional Arabic"/>
          <w:sz w:val="30"/>
          <w:szCs w:val="30"/>
          <w:rtl/>
        </w:rPr>
        <w:t>كما في 31 ديسمبر 2023.</w:t>
      </w:r>
    </w:p>
    <w:p w14:paraId="2C8574FA" w14:textId="77777777" w:rsidR="00AC5C0C" w:rsidRDefault="00AC5C0C" w:rsidP="00334534">
      <w:pPr>
        <w:bidi/>
        <w:jc w:val="both"/>
        <w:rPr>
          <w:rFonts w:ascii="Traditional Arabic" w:hAnsi="Traditional Arabic" w:cs="Traditional Arabic"/>
          <w:sz w:val="30"/>
          <w:szCs w:val="30"/>
          <w:rtl/>
        </w:rPr>
      </w:pPr>
    </w:p>
    <w:p w14:paraId="16E57569"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يوضح الجدول التالي معايير الأداء الرئيسية لقطاع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المنتجات عن السنوات المنتهية في 31 ديسمبر 2021 و 2022 و 2023 والأشهر التسعة المنتهية في 30 سبتمبر 2023 و 2024: </w:t>
      </w:r>
    </w:p>
    <w:p w14:paraId="7BD607C5" w14:textId="77777777" w:rsidR="00334534" w:rsidRDefault="00334534" w:rsidP="00334534">
      <w:pPr>
        <w:bidi/>
        <w:jc w:val="both"/>
        <w:rPr>
          <w:rFonts w:ascii="Traditional Arabic" w:hAnsi="Traditional Arabic" w:cs="Traditional Arabic"/>
          <w:sz w:val="30"/>
          <w:szCs w:val="30"/>
          <w:rtl/>
        </w:rPr>
      </w:pPr>
    </w:p>
    <w:tbl>
      <w:tblPr>
        <w:tblW w:w="9048" w:type="dxa"/>
        <w:tblInd w:w="437" w:type="dxa"/>
        <w:tblLayout w:type="fixed"/>
        <w:tblCellMar>
          <w:left w:w="0" w:type="dxa"/>
          <w:right w:w="0" w:type="dxa"/>
        </w:tblCellMar>
        <w:tblLook w:val="0020" w:firstRow="1" w:lastRow="0" w:firstColumn="0" w:lastColumn="0" w:noHBand="0" w:noVBand="0"/>
      </w:tblPr>
      <w:tblGrid>
        <w:gridCol w:w="3141"/>
        <w:gridCol w:w="235"/>
        <w:gridCol w:w="901"/>
        <w:gridCol w:w="235"/>
        <w:gridCol w:w="900"/>
        <w:gridCol w:w="234"/>
        <w:gridCol w:w="900"/>
        <w:gridCol w:w="234"/>
        <w:gridCol w:w="900"/>
        <w:gridCol w:w="234"/>
        <w:gridCol w:w="900"/>
        <w:gridCol w:w="234"/>
      </w:tblGrid>
      <w:tr w:rsidR="00AC5C0C" w:rsidRPr="00B02BA3" w14:paraId="308FF7AC" w14:textId="77777777" w:rsidTr="00922116">
        <w:trPr>
          <w:tblHeader/>
        </w:trPr>
        <w:tc>
          <w:tcPr>
            <w:tcW w:w="3141" w:type="dxa"/>
            <w:vAlign w:val="bottom"/>
          </w:tcPr>
          <w:p w14:paraId="5CF50D78" w14:textId="77777777" w:rsidR="00AC5C0C" w:rsidRPr="00B02BA3" w:rsidRDefault="00AC5C0C" w:rsidP="00922116">
            <w:pPr>
              <w:pStyle w:val="VSmCellHead"/>
              <w:rPr>
                <w:sz w:val="16"/>
                <w:szCs w:val="16"/>
              </w:rPr>
            </w:pPr>
          </w:p>
        </w:tc>
        <w:tc>
          <w:tcPr>
            <w:tcW w:w="235" w:type="dxa"/>
            <w:vAlign w:val="bottom"/>
          </w:tcPr>
          <w:p w14:paraId="4012AD01" w14:textId="77777777" w:rsidR="00AC5C0C" w:rsidRPr="00B02BA3" w:rsidRDefault="00AC5C0C" w:rsidP="00922116">
            <w:pPr>
              <w:pStyle w:val="CellRowSpacer"/>
              <w:spacing w:after="120"/>
              <w:rPr>
                <w:sz w:val="16"/>
                <w:szCs w:val="16"/>
              </w:rPr>
            </w:pPr>
          </w:p>
        </w:tc>
        <w:tc>
          <w:tcPr>
            <w:tcW w:w="3170" w:type="dxa"/>
            <w:gridSpan w:val="5"/>
            <w:tcBorders>
              <w:bottom w:val="single" w:sz="4" w:space="0" w:color="auto"/>
            </w:tcBorders>
            <w:vAlign w:val="bottom"/>
          </w:tcPr>
          <w:p w14:paraId="2783D53C" w14:textId="77777777" w:rsidR="00AC5C0C" w:rsidRPr="00B02BA3" w:rsidRDefault="00AC5C0C" w:rsidP="00922116">
            <w:pPr>
              <w:pStyle w:val="VSmCellHead"/>
              <w:jc w:val="center"/>
              <w:rPr>
                <w:sz w:val="16"/>
                <w:szCs w:val="16"/>
              </w:rPr>
            </w:pPr>
            <w:r w:rsidRPr="00B02BA3">
              <w:rPr>
                <w:sz w:val="16"/>
                <w:szCs w:val="16"/>
              </w:rPr>
              <w:t>As at and for the year ended 31 December</w:t>
            </w:r>
          </w:p>
        </w:tc>
        <w:tc>
          <w:tcPr>
            <w:tcW w:w="234" w:type="dxa"/>
          </w:tcPr>
          <w:p w14:paraId="0798186C" w14:textId="77777777" w:rsidR="00AC5C0C" w:rsidRPr="00B02BA3" w:rsidRDefault="00AC5C0C" w:rsidP="00922116">
            <w:pPr>
              <w:pStyle w:val="CellRowSpacer"/>
              <w:spacing w:after="120"/>
              <w:rPr>
                <w:sz w:val="16"/>
                <w:szCs w:val="16"/>
              </w:rPr>
            </w:pPr>
          </w:p>
        </w:tc>
        <w:tc>
          <w:tcPr>
            <w:tcW w:w="2034" w:type="dxa"/>
            <w:gridSpan w:val="3"/>
            <w:tcBorders>
              <w:bottom w:val="single" w:sz="4" w:space="0" w:color="auto"/>
            </w:tcBorders>
            <w:vAlign w:val="bottom"/>
          </w:tcPr>
          <w:p w14:paraId="70ED8E7F" w14:textId="77777777" w:rsidR="00AC5C0C" w:rsidRPr="00B02BA3" w:rsidRDefault="00AC5C0C" w:rsidP="00922116">
            <w:pPr>
              <w:pStyle w:val="VSmCellHead"/>
              <w:jc w:val="center"/>
              <w:rPr>
                <w:sz w:val="16"/>
                <w:szCs w:val="16"/>
              </w:rPr>
            </w:pPr>
            <w:r w:rsidRPr="00B02BA3">
              <w:rPr>
                <w:sz w:val="16"/>
                <w:szCs w:val="16"/>
              </w:rPr>
              <w:t>As at and for the nine months ended 30 September</w:t>
            </w:r>
          </w:p>
        </w:tc>
        <w:tc>
          <w:tcPr>
            <w:tcW w:w="234" w:type="dxa"/>
            <w:vAlign w:val="bottom"/>
          </w:tcPr>
          <w:p w14:paraId="64807EDE" w14:textId="77777777" w:rsidR="00AC5C0C" w:rsidRPr="00B02BA3" w:rsidRDefault="00AC5C0C" w:rsidP="00922116">
            <w:pPr>
              <w:pStyle w:val="CellRowSpacer"/>
              <w:spacing w:after="120"/>
              <w:rPr>
                <w:sz w:val="16"/>
                <w:szCs w:val="16"/>
              </w:rPr>
            </w:pPr>
          </w:p>
        </w:tc>
      </w:tr>
      <w:tr w:rsidR="00AC5C0C" w:rsidRPr="00B02BA3" w14:paraId="0B4D4CCF" w14:textId="77777777" w:rsidTr="00922116">
        <w:trPr>
          <w:tblHeader/>
        </w:trPr>
        <w:tc>
          <w:tcPr>
            <w:tcW w:w="3141" w:type="dxa"/>
            <w:vAlign w:val="bottom"/>
          </w:tcPr>
          <w:p w14:paraId="1E1D3FFA" w14:textId="77777777" w:rsidR="00AC5C0C" w:rsidRPr="00B02BA3" w:rsidRDefault="00AC5C0C" w:rsidP="00922116">
            <w:pPr>
              <w:pStyle w:val="VSmCellHead"/>
              <w:rPr>
                <w:sz w:val="16"/>
                <w:szCs w:val="16"/>
              </w:rPr>
            </w:pPr>
          </w:p>
        </w:tc>
        <w:tc>
          <w:tcPr>
            <w:tcW w:w="235" w:type="dxa"/>
            <w:vAlign w:val="bottom"/>
          </w:tcPr>
          <w:p w14:paraId="632C2007" w14:textId="77777777" w:rsidR="00AC5C0C" w:rsidRPr="00B02BA3" w:rsidRDefault="00AC5C0C" w:rsidP="00922116">
            <w:pPr>
              <w:pStyle w:val="CellRowSpacer"/>
              <w:spacing w:after="120"/>
              <w:rPr>
                <w:sz w:val="16"/>
                <w:szCs w:val="16"/>
              </w:rPr>
            </w:pPr>
          </w:p>
        </w:tc>
        <w:tc>
          <w:tcPr>
            <w:tcW w:w="901" w:type="dxa"/>
            <w:tcBorders>
              <w:top w:val="single" w:sz="4" w:space="0" w:color="auto"/>
              <w:bottom w:val="single" w:sz="4" w:space="0" w:color="auto"/>
            </w:tcBorders>
            <w:vAlign w:val="bottom"/>
          </w:tcPr>
          <w:p w14:paraId="2ED58DF3" w14:textId="77777777" w:rsidR="00AC5C0C" w:rsidRPr="00B02BA3" w:rsidRDefault="00AC5C0C" w:rsidP="00922116">
            <w:pPr>
              <w:pStyle w:val="VSmCellHead"/>
              <w:jc w:val="right"/>
              <w:rPr>
                <w:sz w:val="16"/>
                <w:szCs w:val="16"/>
              </w:rPr>
            </w:pPr>
            <w:r w:rsidRPr="00B02BA3">
              <w:rPr>
                <w:sz w:val="16"/>
                <w:szCs w:val="16"/>
              </w:rPr>
              <w:t>2021</w:t>
            </w:r>
          </w:p>
        </w:tc>
        <w:tc>
          <w:tcPr>
            <w:tcW w:w="235" w:type="dxa"/>
            <w:tcBorders>
              <w:top w:val="single" w:sz="4" w:space="0" w:color="auto"/>
            </w:tcBorders>
          </w:tcPr>
          <w:p w14:paraId="51B38236"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6E9730C6" w14:textId="77777777" w:rsidR="00AC5C0C" w:rsidRPr="00B02BA3" w:rsidRDefault="00AC5C0C" w:rsidP="00922116">
            <w:pPr>
              <w:pStyle w:val="VSmCellHead"/>
              <w:jc w:val="right"/>
              <w:rPr>
                <w:sz w:val="16"/>
                <w:szCs w:val="16"/>
              </w:rPr>
            </w:pPr>
            <w:r w:rsidRPr="00B02BA3">
              <w:rPr>
                <w:sz w:val="16"/>
                <w:szCs w:val="16"/>
              </w:rPr>
              <w:t>2022</w:t>
            </w:r>
          </w:p>
        </w:tc>
        <w:tc>
          <w:tcPr>
            <w:tcW w:w="234" w:type="dxa"/>
            <w:tcBorders>
              <w:top w:val="single" w:sz="4" w:space="0" w:color="auto"/>
            </w:tcBorders>
          </w:tcPr>
          <w:p w14:paraId="39370FFF"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106D6B0D" w14:textId="77777777" w:rsidR="00AC5C0C" w:rsidRPr="00B02BA3" w:rsidRDefault="00AC5C0C" w:rsidP="00922116">
            <w:pPr>
              <w:pStyle w:val="VSmCellHead"/>
              <w:jc w:val="right"/>
              <w:rPr>
                <w:sz w:val="16"/>
                <w:szCs w:val="16"/>
              </w:rPr>
            </w:pPr>
            <w:r w:rsidRPr="00B02BA3">
              <w:rPr>
                <w:sz w:val="16"/>
                <w:szCs w:val="16"/>
              </w:rPr>
              <w:t>2023</w:t>
            </w:r>
          </w:p>
        </w:tc>
        <w:tc>
          <w:tcPr>
            <w:tcW w:w="234" w:type="dxa"/>
          </w:tcPr>
          <w:p w14:paraId="50B09B27"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223D014F" w14:textId="77777777" w:rsidR="00AC5C0C" w:rsidRPr="00B02BA3" w:rsidRDefault="00AC5C0C" w:rsidP="00922116">
            <w:pPr>
              <w:pStyle w:val="VSmCellHead"/>
              <w:jc w:val="right"/>
              <w:rPr>
                <w:sz w:val="16"/>
                <w:szCs w:val="16"/>
              </w:rPr>
            </w:pPr>
            <w:r w:rsidRPr="00B02BA3">
              <w:rPr>
                <w:sz w:val="16"/>
                <w:szCs w:val="16"/>
              </w:rPr>
              <w:t>2023</w:t>
            </w:r>
          </w:p>
        </w:tc>
        <w:tc>
          <w:tcPr>
            <w:tcW w:w="234" w:type="dxa"/>
            <w:tcBorders>
              <w:top w:val="single" w:sz="4" w:space="0" w:color="auto"/>
            </w:tcBorders>
          </w:tcPr>
          <w:p w14:paraId="1967FAE2"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45107902" w14:textId="77777777" w:rsidR="00AC5C0C" w:rsidRPr="00B02BA3" w:rsidRDefault="00AC5C0C" w:rsidP="00922116">
            <w:pPr>
              <w:pStyle w:val="VSmCellHead"/>
              <w:jc w:val="right"/>
              <w:rPr>
                <w:sz w:val="16"/>
                <w:szCs w:val="16"/>
              </w:rPr>
            </w:pPr>
            <w:r w:rsidRPr="00B02BA3">
              <w:rPr>
                <w:sz w:val="16"/>
                <w:szCs w:val="16"/>
              </w:rPr>
              <w:t>2024</w:t>
            </w:r>
          </w:p>
        </w:tc>
        <w:tc>
          <w:tcPr>
            <w:tcW w:w="234" w:type="dxa"/>
            <w:vAlign w:val="bottom"/>
          </w:tcPr>
          <w:p w14:paraId="23FF1174" w14:textId="77777777" w:rsidR="00AC5C0C" w:rsidRPr="00B02BA3" w:rsidRDefault="00AC5C0C" w:rsidP="00922116">
            <w:pPr>
              <w:pStyle w:val="CellRowSpacer"/>
              <w:spacing w:after="120"/>
              <w:rPr>
                <w:sz w:val="16"/>
                <w:szCs w:val="16"/>
              </w:rPr>
            </w:pPr>
          </w:p>
        </w:tc>
      </w:tr>
      <w:tr w:rsidR="00AC5C0C" w:rsidRPr="00B02BA3" w14:paraId="51D6C0B0" w14:textId="77777777" w:rsidTr="00922116">
        <w:tc>
          <w:tcPr>
            <w:tcW w:w="3141" w:type="dxa"/>
          </w:tcPr>
          <w:p w14:paraId="2F88677C" w14:textId="77777777" w:rsidR="00AC5C0C" w:rsidRPr="00B02BA3" w:rsidRDefault="00AC5C0C" w:rsidP="00922116">
            <w:pPr>
              <w:pStyle w:val="CellBodyIndent1"/>
              <w:tabs>
                <w:tab w:val="right" w:leader="dot" w:pos="3168"/>
              </w:tabs>
              <w:ind w:left="0"/>
              <w:rPr>
                <w:sz w:val="16"/>
                <w:szCs w:val="16"/>
              </w:rPr>
            </w:pPr>
            <w:r w:rsidRPr="00B02BA3">
              <w:rPr>
                <w:rFonts w:eastAsia="SimSun"/>
                <w:sz w:val="16"/>
                <w:szCs w:val="16"/>
              </w:rPr>
              <w:t>Number of vessels</w:t>
            </w:r>
            <w:r w:rsidRPr="00B02BA3">
              <w:rPr>
                <w:rFonts w:eastAsia="SimSun"/>
                <w:sz w:val="16"/>
                <w:szCs w:val="16"/>
                <w:vertAlign w:val="superscript"/>
              </w:rPr>
              <w:t>(1)</w:t>
            </w:r>
            <w:r w:rsidRPr="00B02BA3">
              <w:rPr>
                <w:rFonts w:eastAsia="SimSun"/>
                <w:sz w:val="16"/>
                <w:szCs w:val="16"/>
              </w:rPr>
              <w:tab/>
            </w:r>
          </w:p>
        </w:tc>
        <w:tc>
          <w:tcPr>
            <w:tcW w:w="235" w:type="dxa"/>
          </w:tcPr>
          <w:p w14:paraId="1EF6C210" w14:textId="77777777" w:rsidR="00AC5C0C" w:rsidRPr="00B02BA3" w:rsidRDefault="00AC5C0C" w:rsidP="00922116">
            <w:pPr>
              <w:pStyle w:val="CellRowSpacer"/>
              <w:rPr>
                <w:sz w:val="16"/>
                <w:szCs w:val="16"/>
              </w:rPr>
            </w:pPr>
          </w:p>
        </w:tc>
        <w:tc>
          <w:tcPr>
            <w:tcW w:w="901" w:type="dxa"/>
            <w:vAlign w:val="bottom"/>
          </w:tcPr>
          <w:p w14:paraId="7B7F9442" w14:textId="77777777" w:rsidR="00AC5C0C" w:rsidRPr="007472B7" w:rsidRDefault="00AC5C0C" w:rsidP="00922116">
            <w:pPr>
              <w:pStyle w:val="VSmCellBody"/>
              <w:jc w:val="right"/>
              <w:rPr>
                <w:sz w:val="16"/>
                <w:szCs w:val="16"/>
              </w:rPr>
            </w:pPr>
            <w:r w:rsidRPr="007472B7">
              <w:rPr>
                <w:color w:val="000000"/>
                <w:kern w:val="0"/>
                <w:sz w:val="16"/>
                <w:szCs w:val="16"/>
              </w:rPr>
              <w:t>20</w:t>
            </w:r>
          </w:p>
        </w:tc>
        <w:tc>
          <w:tcPr>
            <w:tcW w:w="235" w:type="dxa"/>
          </w:tcPr>
          <w:p w14:paraId="6867ADDF" w14:textId="77777777" w:rsidR="00AC5C0C" w:rsidRPr="007472B7" w:rsidRDefault="00AC5C0C" w:rsidP="00922116">
            <w:pPr>
              <w:pStyle w:val="CellRowSpacer"/>
              <w:rPr>
                <w:sz w:val="16"/>
                <w:szCs w:val="16"/>
              </w:rPr>
            </w:pPr>
          </w:p>
        </w:tc>
        <w:tc>
          <w:tcPr>
            <w:tcW w:w="900" w:type="dxa"/>
            <w:vAlign w:val="bottom"/>
          </w:tcPr>
          <w:p w14:paraId="6C8634A0" w14:textId="77777777" w:rsidR="00AC5C0C" w:rsidRPr="007472B7" w:rsidRDefault="00AC5C0C" w:rsidP="00922116">
            <w:pPr>
              <w:pStyle w:val="VSmCellBody"/>
              <w:jc w:val="right"/>
              <w:rPr>
                <w:sz w:val="16"/>
                <w:szCs w:val="16"/>
              </w:rPr>
            </w:pPr>
            <w:r w:rsidRPr="007472B7">
              <w:rPr>
                <w:color w:val="000000"/>
                <w:kern w:val="0"/>
                <w:sz w:val="16"/>
                <w:szCs w:val="16"/>
              </w:rPr>
              <w:t>25</w:t>
            </w:r>
          </w:p>
        </w:tc>
        <w:tc>
          <w:tcPr>
            <w:tcW w:w="234" w:type="dxa"/>
            <w:vAlign w:val="bottom"/>
          </w:tcPr>
          <w:p w14:paraId="739DDE8D" w14:textId="77777777" w:rsidR="00AC5C0C" w:rsidRPr="007472B7" w:rsidRDefault="00AC5C0C" w:rsidP="00922116">
            <w:pPr>
              <w:pStyle w:val="CellRowSpacer"/>
              <w:rPr>
                <w:sz w:val="16"/>
                <w:szCs w:val="16"/>
              </w:rPr>
            </w:pPr>
          </w:p>
        </w:tc>
        <w:tc>
          <w:tcPr>
            <w:tcW w:w="900" w:type="dxa"/>
            <w:vAlign w:val="bottom"/>
          </w:tcPr>
          <w:p w14:paraId="0A6FADF4" w14:textId="77777777" w:rsidR="00AC5C0C" w:rsidRPr="007472B7" w:rsidRDefault="00AC5C0C" w:rsidP="00922116">
            <w:pPr>
              <w:pStyle w:val="VSmCellBody"/>
              <w:jc w:val="right"/>
              <w:rPr>
                <w:sz w:val="16"/>
                <w:szCs w:val="16"/>
              </w:rPr>
            </w:pPr>
            <w:r w:rsidRPr="007472B7">
              <w:rPr>
                <w:color w:val="000000"/>
                <w:kern w:val="0"/>
                <w:sz w:val="16"/>
                <w:szCs w:val="16"/>
              </w:rPr>
              <w:t>29</w:t>
            </w:r>
          </w:p>
        </w:tc>
        <w:tc>
          <w:tcPr>
            <w:tcW w:w="234" w:type="dxa"/>
          </w:tcPr>
          <w:p w14:paraId="79711E50" w14:textId="77777777" w:rsidR="00AC5C0C" w:rsidRPr="007472B7" w:rsidRDefault="00AC5C0C" w:rsidP="00922116">
            <w:pPr>
              <w:pStyle w:val="CellRowSpacer"/>
              <w:rPr>
                <w:sz w:val="16"/>
                <w:szCs w:val="16"/>
              </w:rPr>
            </w:pPr>
          </w:p>
        </w:tc>
        <w:tc>
          <w:tcPr>
            <w:tcW w:w="900" w:type="dxa"/>
            <w:vAlign w:val="bottom"/>
          </w:tcPr>
          <w:p w14:paraId="03A4D781" w14:textId="77777777" w:rsidR="00AC5C0C" w:rsidRPr="007D35D4" w:rsidRDefault="00055B90" w:rsidP="00922116">
            <w:pPr>
              <w:pStyle w:val="VSmCellBody"/>
              <w:jc w:val="right"/>
              <w:rPr>
                <w:sz w:val="16"/>
                <w:szCs w:val="16"/>
              </w:rPr>
            </w:pPr>
            <w:r>
              <w:rPr>
                <w:color w:val="000000"/>
                <w:kern w:val="0"/>
                <w:sz w:val="16"/>
                <w:szCs w:val="16"/>
              </w:rPr>
              <w:t>32</w:t>
            </w:r>
          </w:p>
        </w:tc>
        <w:tc>
          <w:tcPr>
            <w:tcW w:w="234" w:type="dxa"/>
          </w:tcPr>
          <w:p w14:paraId="65EC2DD4" w14:textId="77777777" w:rsidR="00AC5C0C" w:rsidRPr="007472B7" w:rsidRDefault="00AC5C0C" w:rsidP="00922116">
            <w:pPr>
              <w:pStyle w:val="CellRowSpacer"/>
              <w:rPr>
                <w:sz w:val="16"/>
                <w:szCs w:val="16"/>
              </w:rPr>
            </w:pPr>
          </w:p>
        </w:tc>
        <w:tc>
          <w:tcPr>
            <w:tcW w:w="900" w:type="dxa"/>
            <w:vAlign w:val="bottom"/>
          </w:tcPr>
          <w:p w14:paraId="30A7002C" w14:textId="77777777" w:rsidR="00AC5C0C" w:rsidRPr="007472B7" w:rsidRDefault="00AC5C0C" w:rsidP="00922116">
            <w:pPr>
              <w:pStyle w:val="VSmCellBody"/>
              <w:jc w:val="right"/>
              <w:rPr>
                <w:sz w:val="16"/>
                <w:szCs w:val="16"/>
              </w:rPr>
            </w:pPr>
            <w:r w:rsidRPr="007472B7">
              <w:rPr>
                <w:color w:val="000000"/>
                <w:kern w:val="0"/>
                <w:sz w:val="16"/>
                <w:szCs w:val="16"/>
              </w:rPr>
              <w:t>34</w:t>
            </w:r>
          </w:p>
        </w:tc>
        <w:tc>
          <w:tcPr>
            <w:tcW w:w="234" w:type="dxa"/>
            <w:vAlign w:val="bottom"/>
          </w:tcPr>
          <w:p w14:paraId="11BE6FE1" w14:textId="77777777" w:rsidR="00AC5C0C" w:rsidRPr="00B02BA3" w:rsidRDefault="00AC5C0C" w:rsidP="00922116">
            <w:pPr>
              <w:pStyle w:val="CellRowSpacer"/>
              <w:rPr>
                <w:sz w:val="16"/>
                <w:szCs w:val="16"/>
              </w:rPr>
            </w:pPr>
          </w:p>
        </w:tc>
      </w:tr>
      <w:tr w:rsidR="00AC5C0C" w:rsidRPr="00B02BA3" w14:paraId="7C123FB3" w14:textId="77777777" w:rsidTr="00922116">
        <w:tc>
          <w:tcPr>
            <w:tcW w:w="3141" w:type="dxa"/>
          </w:tcPr>
          <w:p w14:paraId="36AAF163" w14:textId="77777777" w:rsidR="00AC5C0C" w:rsidRPr="00B02BA3" w:rsidRDefault="00AC5C0C" w:rsidP="00922116">
            <w:pPr>
              <w:pStyle w:val="CellBodyIndent1"/>
              <w:tabs>
                <w:tab w:val="right" w:leader="dot" w:pos="3168"/>
              </w:tabs>
              <w:ind w:left="0"/>
              <w:rPr>
                <w:rFonts w:eastAsia="SimSun"/>
                <w:sz w:val="16"/>
                <w:szCs w:val="16"/>
              </w:rPr>
            </w:pPr>
            <w:r w:rsidRPr="00B02BA3">
              <w:rPr>
                <w:rFonts w:eastAsia="SimSun"/>
                <w:sz w:val="16"/>
                <w:szCs w:val="16"/>
              </w:rPr>
              <w:t>Fleet utilisation rate</w:t>
            </w:r>
            <w:r w:rsidRPr="00B02BA3">
              <w:rPr>
                <w:rFonts w:eastAsia="SimSun"/>
                <w:sz w:val="16"/>
                <w:szCs w:val="16"/>
                <w:vertAlign w:val="superscript"/>
              </w:rPr>
              <w:t>(2)</w:t>
            </w:r>
            <w:r w:rsidRPr="00B02BA3">
              <w:rPr>
                <w:rFonts w:eastAsia="SimSun"/>
                <w:sz w:val="16"/>
                <w:szCs w:val="16"/>
              </w:rPr>
              <w:t xml:space="preserve"> (</w:t>
            </w:r>
            <w:r w:rsidRPr="00B02BA3">
              <w:rPr>
                <w:rFonts w:eastAsia="SimSun"/>
                <w:i/>
                <w:iCs/>
                <w:sz w:val="16"/>
                <w:szCs w:val="16"/>
              </w:rPr>
              <w:t>%</w:t>
            </w:r>
            <w:r w:rsidRPr="00B02BA3">
              <w:rPr>
                <w:rFonts w:eastAsia="SimSun"/>
                <w:sz w:val="16"/>
                <w:szCs w:val="16"/>
              </w:rPr>
              <w:t>)</w:t>
            </w:r>
            <w:r w:rsidRPr="00B02BA3">
              <w:rPr>
                <w:rFonts w:eastAsia="SimSun"/>
                <w:sz w:val="16"/>
                <w:szCs w:val="16"/>
              </w:rPr>
              <w:tab/>
            </w:r>
          </w:p>
        </w:tc>
        <w:tc>
          <w:tcPr>
            <w:tcW w:w="235" w:type="dxa"/>
          </w:tcPr>
          <w:p w14:paraId="56FB2773" w14:textId="77777777" w:rsidR="00AC5C0C" w:rsidRPr="00B02BA3" w:rsidRDefault="00AC5C0C" w:rsidP="00922116">
            <w:pPr>
              <w:pStyle w:val="CellRowSpacer"/>
              <w:rPr>
                <w:sz w:val="16"/>
                <w:szCs w:val="16"/>
              </w:rPr>
            </w:pPr>
          </w:p>
        </w:tc>
        <w:tc>
          <w:tcPr>
            <w:tcW w:w="901" w:type="dxa"/>
            <w:vAlign w:val="bottom"/>
          </w:tcPr>
          <w:p w14:paraId="7C25415D"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97.6</w:t>
            </w:r>
          </w:p>
        </w:tc>
        <w:tc>
          <w:tcPr>
            <w:tcW w:w="235" w:type="dxa"/>
          </w:tcPr>
          <w:p w14:paraId="3C497DC7" w14:textId="77777777" w:rsidR="00AC5C0C" w:rsidRPr="007472B7" w:rsidRDefault="00AC5C0C" w:rsidP="00922116">
            <w:pPr>
              <w:pStyle w:val="CellRowSpacer"/>
              <w:rPr>
                <w:sz w:val="16"/>
                <w:szCs w:val="16"/>
              </w:rPr>
            </w:pPr>
          </w:p>
        </w:tc>
        <w:tc>
          <w:tcPr>
            <w:tcW w:w="900" w:type="dxa"/>
            <w:vAlign w:val="bottom"/>
          </w:tcPr>
          <w:p w14:paraId="6A6B11D5"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99.7</w:t>
            </w:r>
          </w:p>
        </w:tc>
        <w:tc>
          <w:tcPr>
            <w:tcW w:w="234" w:type="dxa"/>
            <w:vAlign w:val="bottom"/>
          </w:tcPr>
          <w:p w14:paraId="289810B7" w14:textId="77777777" w:rsidR="00AC5C0C" w:rsidRPr="007472B7" w:rsidRDefault="00AC5C0C" w:rsidP="00922116">
            <w:pPr>
              <w:pStyle w:val="CellRowSpacer"/>
              <w:rPr>
                <w:sz w:val="16"/>
                <w:szCs w:val="16"/>
              </w:rPr>
            </w:pPr>
          </w:p>
        </w:tc>
        <w:tc>
          <w:tcPr>
            <w:tcW w:w="900" w:type="dxa"/>
            <w:vAlign w:val="bottom"/>
          </w:tcPr>
          <w:p w14:paraId="6CC60B61"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98.8</w:t>
            </w:r>
          </w:p>
        </w:tc>
        <w:tc>
          <w:tcPr>
            <w:tcW w:w="234" w:type="dxa"/>
          </w:tcPr>
          <w:p w14:paraId="04AF6C59" w14:textId="77777777" w:rsidR="00AC5C0C" w:rsidRPr="007472B7" w:rsidRDefault="00AC5C0C" w:rsidP="00922116">
            <w:pPr>
              <w:pStyle w:val="CellRowSpacer"/>
              <w:rPr>
                <w:sz w:val="16"/>
                <w:szCs w:val="16"/>
              </w:rPr>
            </w:pPr>
          </w:p>
        </w:tc>
        <w:tc>
          <w:tcPr>
            <w:tcW w:w="900" w:type="dxa"/>
            <w:vAlign w:val="bottom"/>
          </w:tcPr>
          <w:p w14:paraId="58DC3938" w14:textId="77777777" w:rsidR="00AC5C0C" w:rsidRPr="007D35D4" w:rsidRDefault="00055B90" w:rsidP="00922116">
            <w:pPr>
              <w:pStyle w:val="VSmCellBody"/>
              <w:jc w:val="right"/>
              <w:rPr>
                <w:color w:val="000000"/>
                <w:kern w:val="0"/>
                <w:sz w:val="16"/>
                <w:szCs w:val="16"/>
              </w:rPr>
            </w:pPr>
            <w:r>
              <w:rPr>
                <w:color w:val="000000"/>
                <w:kern w:val="0"/>
                <w:sz w:val="16"/>
                <w:szCs w:val="16"/>
              </w:rPr>
              <w:t>99.9</w:t>
            </w:r>
          </w:p>
        </w:tc>
        <w:tc>
          <w:tcPr>
            <w:tcW w:w="234" w:type="dxa"/>
          </w:tcPr>
          <w:p w14:paraId="138BFD9A" w14:textId="77777777" w:rsidR="00AC5C0C" w:rsidRPr="007472B7" w:rsidRDefault="00AC5C0C" w:rsidP="00922116">
            <w:pPr>
              <w:pStyle w:val="CellRowSpacer"/>
              <w:rPr>
                <w:sz w:val="16"/>
                <w:szCs w:val="16"/>
              </w:rPr>
            </w:pPr>
          </w:p>
        </w:tc>
        <w:tc>
          <w:tcPr>
            <w:tcW w:w="900" w:type="dxa"/>
            <w:vAlign w:val="bottom"/>
          </w:tcPr>
          <w:p w14:paraId="7C8CB1C4" w14:textId="77777777" w:rsidR="00AC5C0C" w:rsidRPr="007472B7" w:rsidRDefault="00055B90" w:rsidP="00922116">
            <w:pPr>
              <w:pStyle w:val="VSmCellBody"/>
              <w:jc w:val="right"/>
              <w:rPr>
                <w:color w:val="000000"/>
                <w:kern w:val="0"/>
                <w:sz w:val="16"/>
                <w:szCs w:val="16"/>
              </w:rPr>
            </w:pPr>
            <w:r>
              <w:rPr>
                <w:color w:val="000000"/>
                <w:kern w:val="0"/>
                <w:sz w:val="16"/>
                <w:szCs w:val="16"/>
              </w:rPr>
              <w:t>100.0</w:t>
            </w:r>
          </w:p>
        </w:tc>
        <w:tc>
          <w:tcPr>
            <w:tcW w:w="234" w:type="dxa"/>
            <w:vAlign w:val="bottom"/>
          </w:tcPr>
          <w:p w14:paraId="3C8CAE94" w14:textId="77777777" w:rsidR="00AC5C0C" w:rsidRPr="00B02BA3" w:rsidRDefault="00AC5C0C" w:rsidP="00922116">
            <w:pPr>
              <w:pStyle w:val="CellRowSpacer"/>
              <w:rPr>
                <w:sz w:val="16"/>
                <w:szCs w:val="16"/>
              </w:rPr>
            </w:pPr>
          </w:p>
        </w:tc>
      </w:tr>
      <w:tr w:rsidR="00AC5C0C" w:rsidRPr="00B02BA3" w14:paraId="30831542" w14:textId="77777777" w:rsidTr="00922116">
        <w:tc>
          <w:tcPr>
            <w:tcW w:w="3141" w:type="dxa"/>
          </w:tcPr>
          <w:p w14:paraId="6322B15C" w14:textId="77777777" w:rsidR="00AC5C0C" w:rsidRPr="00B02BA3" w:rsidRDefault="00AC5C0C" w:rsidP="00922116">
            <w:pPr>
              <w:pStyle w:val="CellBodyIndent1"/>
              <w:tabs>
                <w:tab w:val="right" w:leader="dot" w:pos="3168"/>
              </w:tabs>
              <w:ind w:left="0"/>
              <w:rPr>
                <w:rFonts w:eastAsia="SimSun"/>
                <w:sz w:val="16"/>
                <w:szCs w:val="16"/>
              </w:rPr>
            </w:pPr>
            <w:r>
              <w:rPr>
                <w:rFonts w:eastAsia="SimSun"/>
                <w:sz w:val="16"/>
                <w:szCs w:val="16"/>
              </w:rPr>
              <w:t>TCE</w:t>
            </w:r>
            <w:r w:rsidRPr="00B02BA3">
              <w:rPr>
                <w:rFonts w:eastAsia="SimSun"/>
                <w:sz w:val="16"/>
                <w:szCs w:val="16"/>
              </w:rPr>
              <w:t xml:space="preserve"> revenue</w:t>
            </w:r>
            <w:r w:rsidRPr="00B02BA3">
              <w:rPr>
                <w:rFonts w:eastAsia="SimSun"/>
                <w:sz w:val="16"/>
                <w:szCs w:val="16"/>
                <w:vertAlign w:val="superscript"/>
              </w:rPr>
              <w:t xml:space="preserve">(3) </w:t>
            </w:r>
            <w:r w:rsidRPr="00B02BA3">
              <w:rPr>
                <w:rFonts w:eastAsia="SimSun"/>
                <w:sz w:val="16"/>
                <w:szCs w:val="16"/>
              </w:rPr>
              <w:t>(</w:t>
            </w:r>
            <w:r w:rsidRPr="00B02BA3">
              <w:rPr>
                <w:rFonts w:eastAsia="SimSun"/>
                <w:i/>
                <w:iCs/>
                <w:sz w:val="16"/>
                <w:szCs w:val="16"/>
              </w:rPr>
              <w:t>U.S.$ millions</w:t>
            </w:r>
            <w:r w:rsidRPr="00B02BA3">
              <w:rPr>
                <w:rFonts w:eastAsia="SimSun"/>
                <w:sz w:val="16"/>
                <w:szCs w:val="16"/>
              </w:rPr>
              <w:t>)</w:t>
            </w:r>
            <w:r w:rsidRPr="00B02BA3">
              <w:rPr>
                <w:rFonts w:eastAsia="SimSun"/>
                <w:sz w:val="16"/>
                <w:szCs w:val="16"/>
              </w:rPr>
              <w:tab/>
            </w:r>
          </w:p>
        </w:tc>
        <w:tc>
          <w:tcPr>
            <w:tcW w:w="235" w:type="dxa"/>
          </w:tcPr>
          <w:p w14:paraId="44FAEFA9" w14:textId="77777777" w:rsidR="00AC5C0C" w:rsidRPr="00B02BA3" w:rsidRDefault="00AC5C0C" w:rsidP="00922116">
            <w:pPr>
              <w:pStyle w:val="CellRowSpacer"/>
              <w:rPr>
                <w:sz w:val="16"/>
                <w:szCs w:val="16"/>
              </w:rPr>
            </w:pPr>
          </w:p>
        </w:tc>
        <w:tc>
          <w:tcPr>
            <w:tcW w:w="901" w:type="dxa"/>
            <w:vAlign w:val="bottom"/>
          </w:tcPr>
          <w:p w14:paraId="69C90D0B" w14:textId="77777777" w:rsidR="00AC5C0C" w:rsidRPr="007472B7" w:rsidRDefault="00AC5C0C" w:rsidP="00922116">
            <w:pPr>
              <w:pStyle w:val="VSmCellBody"/>
              <w:jc w:val="right"/>
              <w:rPr>
                <w:color w:val="000000"/>
                <w:kern w:val="0"/>
                <w:sz w:val="16"/>
                <w:szCs w:val="16"/>
              </w:rPr>
            </w:pPr>
            <w:r w:rsidRPr="007472B7">
              <w:rPr>
                <w:color w:val="000000"/>
                <w:sz w:val="16"/>
                <w:szCs w:val="16"/>
              </w:rPr>
              <w:t>73.9</w:t>
            </w:r>
          </w:p>
        </w:tc>
        <w:tc>
          <w:tcPr>
            <w:tcW w:w="235" w:type="dxa"/>
            <w:vAlign w:val="bottom"/>
          </w:tcPr>
          <w:p w14:paraId="6106595A" w14:textId="77777777" w:rsidR="00AC5C0C" w:rsidRPr="007472B7" w:rsidRDefault="00AC5C0C" w:rsidP="00922116">
            <w:pPr>
              <w:pStyle w:val="CellRowSpacer"/>
              <w:rPr>
                <w:sz w:val="16"/>
                <w:szCs w:val="16"/>
              </w:rPr>
            </w:pPr>
          </w:p>
        </w:tc>
        <w:tc>
          <w:tcPr>
            <w:tcW w:w="900" w:type="dxa"/>
            <w:vAlign w:val="bottom"/>
          </w:tcPr>
          <w:p w14:paraId="4B9EC349" w14:textId="77777777" w:rsidR="00AC5C0C" w:rsidRPr="007472B7" w:rsidRDefault="00AC5C0C" w:rsidP="00922116">
            <w:pPr>
              <w:pStyle w:val="VSmCellBody"/>
              <w:jc w:val="right"/>
              <w:rPr>
                <w:color w:val="000000"/>
                <w:kern w:val="0"/>
                <w:sz w:val="16"/>
                <w:szCs w:val="16"/>
              </w:rPr>
            </w:pPr>
            <w:r w:rsidRPr="007472B7">
              <w:rPr>
                <w:color w:val="000000"/>
                <w:sz w:val="16"/>
                <w:szCs w:val="16"/>
              </w:rPr>
              <w:t>128.3</w:t>
            </w:r>
          </w:p>
        </w:tc>
        <w:tc>
          <w:tcPr>
            <w:tcW w:w="234" w:type="dxa"/>
            <w:vAlign w:val="bottom"/>
          </w:tcPr>
          <w:p w14:paraId="24B6AF72" w14:textId="77777777" w:rsidR="00AC5C0C" w:rsidRPr="007472B7" w:rsidRDefault="00AC5C0C" w:rsidP="00922116">
            <w:pPr>
              <w:pStyle w:val="CellRowSpacer"/>
              <w:rPr>
                <w:sz w:val="16"/>
                <w:szCs w:val="16"/>
              </w:rPr>
            </w:pPr>
          </w:p>
        </w:tc>
        <w:tc>
          <w:tcPr>
            <w:tcW w:w="900" w:type="dxa"/>
            <w:vAlign w:val="bottom"/>
          </w:tcPr>
          <w:p w14:paraId="0F757FC9" w14:textId="77777777" w:rsidR="00AC5C0C" w:rsidRPr="007472B7" w:rsidRDefault="00302A33" w:rsidP="00922116">
            <w:pPr>
              <w:pStyle w:val="VSmCellBody"/>
              <w:jc w:val="right"/>
              <w:rPr>
                <w:color w:val="000000"/>
                <w:kern w:val="0"/>
                <w:sz w:val="16"/>
                <w:szCs w:val="16"/>
              </w:rPr>
            </w:pPr>
            <w:r>
              <w:rPr>
                <w:color w:val="000000"/>
                <w:sz w:val="16"/>
                <w:szCs w:val="16"/>
              </w:rPr>
              <w:t>199.9</w:t>
            </w:r>
          </w:p>
        </w:tc>
        <w:tc>
          <w:tcPr>
            <w:tcW w:w="234" w:type="dxa"/>
            <w:vAlign w:val="bottom"/>
          </w:tcPr>
          <w:p w14:paraId="29B3ED8E" w14:textId="77777777" w:rsidR="00AC5C0C" w:rsidRPr="007472B7" w:rsidRDefault="00AC5C0C" w:rsidP="00922116">
            <w:pPr>
              <w:pStyle w:val="CellRowSpacer"/>
              <w:rPr>
                <w:sz w:val="16"/>
                <w:szCs w:val="16"/>
              </w:rPr>
            </w:pPr>
          </w:p>
        </w:tc>
        <w:tc>
          <w:tcPr>
            <w:tcW w:w="900" w:type="dxa"/>
            <w:vAlign w:val="bottom"/>
          </w:tcPr>
          <w:p w14:paraId="76AD2884" w14:textId="77777777" w:rsidR="00AC5C0C" w:rsidRPr="007D35D4" w:rsidRDefault="00302A33" w:rsidP="00922116">
            <w:pPr>
              <w:pStyle w:val="VSmCellBody"/>
              <w:jc w:val="right"/>
              <w:rPr>
                <w:color w:val="000000"/>
                <w:kern w:val="0"/>
                <w:sz w:val="16"/>
                <w:szCs w:val="16"/>
              </w:rPr>
            </w:pPr>
            <w:r>
              <w:rPr>
                <w:color w:val="000000"/>
                <w:sz w:val="16"/>
                <w:szCs w:val="16"/>
              </w:rPr>
              <w:t>144.1</w:t>
            </w:r>
          </w:p>
        </w:tc>
        <w:tc>
          <w:tcPr>
            <w:tcW w:w="234" w:type="dxa"/>
            <w:vAlign w:val="bottom"/>
          </w:tcPr>
          <w:p w14:paraId="6BF8382D" w14:textId="77777777" w:rsidR="00AC5C0C" w:rsidRPr="007472B7" w:rsidRDefault="00AC5C0C" w:rsidP="00922116">
            <w:pPr>
              <w:pStyle w:val="CellRowSpacer"/>
              <w:rPr>
                <w:sz w:val="16"/>
                <w:szCs w:val="16"/>
              </w:rPr>
            </w:pPr>
          </w:p>
        </w:tc>
        <w:tc>
          <w:tcPr>
            <w:tcW w:w="900" w:type="dxa"/>
            <w:vAlign w:val="bottom"/>
          </w:tcPr>
          <w:p w14:paraId="2C9009AA" w14:textId="77777777" w:rsidR="00AC5C0C" w:rsidRPr="007472B7" w:rsidRDefault="00AC5C0C" w:rsidP="00922116">
            <w:pPr>
              <w:pStyle w:val="VSmCellBody"/>
              <w:jc w:val="right"/>
              <w:rPr>
                <w:color w:val="000000"/>
                <w:kern w:val="0"/>
                <w:sz w:val="16"/>
                <w:szCs w:val="16"/>
              </w:rPr>
            </w:pPr>
            <w:r w:rsidRPr="007472B7">
              <w:rPr>
                <w:color w:val="000000"/>
                <w:sz w:val="16"/>
                <w:szCs w:val="16"/>
              </w:rPr>
              <w:t>191.0</w:t>
            </w:r>
          </w:p>
        </w:tc>
        <w:tc>
          <w:tcPr>
            <w:tcW w:w="234" w:type="dxa"/>
            <w:vAlign w:val="bottom"/>
          </w:tcPr>
          <w:p w14:paraId="2CCF8737" w14:textId="77777777" w:rsidR="00AC5C0C" w:rsidRPr="00B02BA3" w:rsidRDefault="00AC5C0C" w:rsidP="00922116">
            <w:pPr>
              <w:pStyle w:val="CellRowSpacer"/>
              <w:rPr>
                <w:sz w:val="16"/>
                <w:szCs w:val="16"/>
              </w:rPr>
            </w:pPr>
          </w:p>
        </w:tc>
      </w:tr>
      <w:tr w:rsidR="00AC5C0C" w:rsidRPr="00B02BA3" w14:paraId="384733D5" w14:textId="77777777" w:rsidTr="00922116">
        <w:tc>
          <w:tcPr>
            <w:tcW w:w="3141" w:type="dxa"/>
          </w:tcPr>
          <w:p w14:paraId="2FD35B5F" w14:textId="77777777" w:rsidR="00AC5C0C" w:rsidRPr="00B02BA3" w:rsidRDefault="00AC5C0C" w:rsidP="00922116">
            <w:pPr>
              <w:pStyle w:val="CellBodyIndent1"/>
              <w:tabs>
                <w:tab w:val="right" w:leader="dot" w:pos="3168"/>
              </w:tabs>
              <w:ind w:left="0"/>
              <w:rPr>
                <w:color w:val="000000"/>
                <w:kern w:val="0"/>
                <w:sz w:val="16"/>
                <w:szCs w:val="16"/>
              </w:rPr>
            </w:pPr>
            <w:r>
              <w:rPr>
                <w:rFonts w:eastAsia="SimSun"/>
                <w:sz w:val="16"/>
                <w:szCs w:val="16"/>
              </w:rPr>
              <w:t>TCE</w:t>
            </w:r>
            <w:r w:rsidRPr="00B02BA3">
              <w:rPr>
                <w:rFonts w:eastAsia="SimSun"/>
                <w:sz w:val="16"/>
                <w:szCs w:val="16"/>
              </w:rPr>
              <w:t xml:space="preserve"> rate</w:t>
            </w:r>
            <w:r w:rsidRPr="00B02BA3">
              <w:rPr>
                <w:rFonts w:eastAsia="SimSun"/>
                <w:sz w:val="16"/>
                <w:szCs w:val="16"/>
                <w:vertAlign w:val="superscript"/>
              </w:rPr>
              <w:t>(3)</w:t>
            </w:r>
            <w:r w:rsidRPr="00B02BA3">
              <w:rPr>
                <w:rFonts w:eastAsia="SimSun"/>
                <w:sz w:val="16"/>
                <w:szCs w:val="16"/>
              </w:rPr>
              <w:t xml:space="preserve"> (</w:t>
            </w:r>
            <w:r w:rsidRPr="00B02BA3">
              <w:rPr>
                <w:rFonts w:eastAsia="SimSun"/>
                <w:i/>
                <w:iCs/>
                <w:sz w:val="16"/>
                <w:szCs w:val="16"/>
              </w:rPr>
              <w:t>U.S.$/day</w:t>
            </w:r>
            <w:r w:rsidRPr="00B02BA3">
              <w:rPr>
                <w:rFonts w:eastAsia="SimSun"/>
                <w:sz w:val="16"/>
                <w:szCs w:val="16"/>
              </w:rPr>
              <w:t>)</w:t>
            </w:r>
            <w:r w:rsidRPr="00B02BA3">
              <w:rPr>
                <w:rFonts w:eastAsia="SimSun"/>
                <w:sz w:val="16"/>
                <w:szCs w:val="16"/>
              </w:rPr>
              <w:tab/>
            </w:r>
          </w:p>
        </w:tc>
        <w:tc>
          <w:tcPr>
            <w:tcW w:w="235" w:type="dxa"/>
          </w:tcPr>
          <w:p w14:paraId="5A650F8C" w14:textId="77777777" w:rsidR="00AC5C0C" w:rsidRPr="00B02BA3" w:rsidRDefault="00AC5C0C" w:rsidP="00922116">
            <w:pPr>
              <w:pStyle w:val="CellRowSpacer"/>
              <w:rPr>
                <w:sz w:val="16"/>
                <w:szCs w:val="16"/>
              </w:rPr>
            </w:pPr>
          </w:p>
        </w:tc>
        <w:tc>
          <w:tcPr>
            <w:tcW w:w="901" w:type="dxa"/>
            <w:vAlign w:val="bottom"/>
          </w:tcPr>
          <w:p w14:paraId="72124500"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15,896</w:t>
            </w:r>
          </w:p>
        </w:tc>
        <w:tc>
          <w:tcPr>
            <w:tcW w:w="235" w:type="dxa"/>
          </w:tcPr>
          <w:p w14:paraId="41EDF45B" w14:textId="77777777" w:rsidR="00AC5C0C" w:rsidRPr="007472B7" w:rsidRDefault="00AC5C0C" w:rsidP="00922116">
            <w:pPr>
              <w:pStyle w:val="CellRowSpacer"/>
              <w:rPr>
                <w:sz w:val="16"/>
                <w:szCs w:val="16"/>
              </w:rPr>
            </w:pPr>
          </w:p>
        </w:tc>
        <w:tc>
          <w:tcPr>
            <w:tcW w:w="900" w:type="dxa"/>
            <w:vAlign w:val="bottom"/>
          </w:tcPr>
          <w:p w14:paraId="60C41B80"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17,077</w:t>
            </w:r>
          </w:p>
        </w:tc>
        <w:tc>
          <w:tcPr>
            <w:tcW w:w="234" w:type="dxa"/>
            <w:vAlign w:val="bottom"/>
          </w:tcPr>
          <w:p w14:paraId="5E5FF289" w14:textId="77777777" w:rsidR="00AC5C0C" w:rsidRPr="007472B7" w:rsidRDefault="00AC5C0C" w:rsidP="00922116">
            <w:pPr>
              <w:pStyle w:val="CellRowSpacer"/>
              <w:rPr>
                <w:sz w:val="16"/>
                <w:szCs w:val="16"/>
              </w:rPr>
            </w:pPr>
          </w:p>
        </w:tc>
        <w:tc>
          <w:tcPr>
            <w:tcW w:w="900" w:type="dxa"/>
            <w:vAlign w:val="bottom"/>
          </w:tcPr>
          <w:p w14:paraId="21E86756"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18,842</w:t>
            </w:r>
          </w:p>
        </w:tc>
        <w:tc>
          <w:tcPr>
            <w:tcW w:w="234" w:type="dxa"/>
          </w:tcPr>
          <w:p w14:paraId="6BD1017E" w14:textId="77777777" w:rsidR="00AC5C0C" w:rsidRPr="007472B7" w:rsidRDefault="00AC5C0C" w:rsidP="00922116">
            <w:pPr>
              <w:pStyle w:val="CellRowSpacer"/>
              <w:rPr>
                <w:sz w:val="16"/>
                <w:szCs w:val="16"/>
              </w:rPr>
            </w:pPr>
          </w:p>
        </w:tc>
        <w:tc>
          <w:tcPr>
            <w:tcW w:w="900" w:type="dxa"/>
            <w:vAlign w:val="bottom"/>
          </w:tcPr>
          <w:p w14:paraId="4C3321E7" w14:textId="77777777" w:rsidR="00AC5C0C" w:rsidRPr="007D35D4" w:rsidRDefault="00055B90" w:rsidP="00922116">
            <w:pPr>
              <w:pStyle w:val="VSmCellBody"/>
              <w:jc w:val="right"/>
              <w:rPr>
                <w:color w:val="000000"/>
                <w:kern w:val="0"/>
                <w:sz w:val="16"/>
                <w:szCs w:val="16"/>
              </w:rPr>
            </w:pPr>
            <w:r>
              <w:rPr>
                <w:color w:val="000000"/>
                <w:kern w:val="0"/>
                <w:sz w:val="16"/>
                <w:szCs w:val="16"/>
              </w:rPr>
              <w:t>26,</w:t>
            </w:r>
            <w:r w:rsidR="00403D4A">
              <w:rPr>
                <w:color w:val="000000"/>
                <w:kern w:val="0"/>
                <w:sz w:val="16"/>
                <w:szCs w:val="16"/>
              </w:rPr>
              <w:t>862</w:t>
            </w:r>
          </w:p>
        </w:tc>
        <w:tc>
          <w:tcPr>
            <w:tcW w:w="234" w:type="dxa"/>
          </w:tcPr>
          <w:p w14:paraId="60A880BE" w14:textId="77777777" w:rsidR="00AC5C0C" w:rsidRPr="007472B7" w:rsidRDefault="00AC5C0C" w:rsidP="00922116">
            <w:pPr>
              <w:pStyle w:val="CellRowSpacer"/>
              <w:rPr>
                <w:sz w:val="16"/>
                <w:szCs w:val="16"/>
              </w:rPr>
            </w:pPr>
          </w:p>
        </w:tc>
        <w:tc>
          <w:tcPr>
            <w:tcW w:w="900" w:type="dxa"/>
            <w:vAlign w:val="bottom"/>
          </w:tcPr>
          <w:p w14:paraId="3B5FF375"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20,569</w:t>
            </w:r>
          </w:p>
        </w:tc>
        <w:tc>
          <w:tcPr>
            <w:tcW w:w="234" w:type="dxa"/>
            <w:vAlign w:val="bottom"/>
          </w:tcPr>
          <w:p w14:paraId="6B0BA1B3" w14:textId="77777777" w:rsidR="00AC5C0C" w:rsidRPr="00B02BA3" w:rsidRDefault="00AC5C0C" w:rsidP="00922116">
            <w:pPr>
              <w:pStyle w:val="CellRowSpacer"/>
              <w:rPr>
                <w:sz w:val="16"/>
                <w:szCs w:val="16"/>
              </w:rPr>
            </w:pPr>
          </w:p>
        </w:tc>
      </w:tr>
      <w:tr w:rsidR="00AC5C0C" w:rsidRPr="00B02BA3" w14:paraId="3307AE82" w14:textId="77777777" w:rsidTr="00922116">
        <w:tc>
          <w:tcPr>
            <w:tcW w:w="3141" w:type="dxa"/>
          </w:tcPr>
          <w:p w14:paraId="1E9C4A1F" w14:textId="77777777" w:rsidR="00AC5C0C" w:rsidRPr="00B02BA3" w:rsidRDefault="00AC5C0C" w:rsidP="00922116">
            <w:pPr>
              <w:pStyle w:val="CellBodyIndent1"/>
              <w:tabs>
                <w:tab w:val="right" w:leader="dot" w:pos="3168"/>
              </w:tabs>
              <w:ind w:left="0"/>
              <w:rPr>
                <w:rFonts w:eastAsia="SimSun"/>
                <w:sz w:val="16"/>
                <w:szCs w:val="16"/>
              </w:rPr>
            </w:pPr>
            <w:r w:rsidRPr="00B02BA3">
              <w:rPr>
                <w:rFonts w:eastAsia="SimSun"/>
                <w:sz w:val="16"/>
                <w:szCs w:val="16"/>
              </w:rPr>
              <w:t>EBITDA</w:t>
            </w:r>
            <w:r w:rsidRPr="00B02BA3">
              <w:rPr>
                <w:rFonts w:eastAsia="SimSun"/>
                <w:sz w:val="16"/>
                <w:szCs w:val="16"/>
                <w:vertAlign w:val="superscript"/>
              </w:rPr>
              <w:t xml:space="preserve">(3) </w:t>
            </w:r>
            <w:r w:rsidRPr="00B02BA3">
              <w:rPr>
                <w:rFonts w:eastAsia="SimSun"/>
                <w:sz w:val="16"/>
                <w:szCs w:val="16"/>
              </w:rPr>
              <w:t>(</w:t>
            </w:r>
            <w:r w:rsidRPr="00B02BA3">
              <w:rPr>
                <w:rFonts w:eastAsia="SimSun"/>
                <w:i/>
                <w:iCs/>
                <w:sz w:val="16"/>
                <w:szCs w:val="16"/>
              </w:rPr>
              <w:t>U.S.$ millions</w:t>
            </w:r>
            <w:r w:rsidRPr="00B02BA3">
              <w:rPr>
                <w:rFonts w:eastAsia="SimSun"/>
                <w:sz w:val="16"/>
                <w:szCs w:val="16"/>
              </w:rPr>
              <w:t>)</w:t>
            </w:r>
            <w:r w:rsidRPr="00B02BA3">
              <w:rPr>
                <w:rFonts w:eastAsia="SimSun"/>
                <w:sz w:val="16"/>
                <w:szCs w:val="16"/>
              </w:rPr>
              <w:tab/>
            </w:r>
          </w:p>
        </w:tc>
        <w:tc>
          <w:tcPr>
            <w:tcW w:w="235" w:type="dxa"/>
          </w:tcPr>
          <w:p w14:paraId="6CD455A2" w14:textId="77777777" w:rsidR="00AC5C0C" w:rsidRPr="00B02BA3" w:rsidRDefault="00AC5C0C" w:rsidP="00922116">
            <w:pPr>
              <w:pStyle w:val="CellRowSpacer"/>
              <w:rPr>
                <w:sz w:val="16"/>
                <w:szCs w:val="16"/>
              </w:rPr>
            </w:pPr>
          </w:p>
        </w:tc>
        <w:tc>
          <w:tcPr>
            <w:tcW w:w="901" w:type="dxa"/>
            <w:vAlign w:val="bottom"/>
          </w:tcPr>
          <w:p w14:paraId="28E627E8"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38.3</w:t>
            </w:r>
          </w:p>
        </w:tc>
        <w:tc>
          <w:tcPr>
            <w:tcW w:w="235" w:type="dxa"/>
          </w:tcPr>
          <w:p w14:paraId="2095B318" w14:textId="77777777" w:rsidR="00AC5C0C" w:rsidRPr="00B02BA3" w:rsidRDefault="00AC5C0C" w:rsidP="00922116">
            <w:pPr>
              <w:pStyle w:val="CellRowSpacer"/>
              <w:rPr>
                <w:sz w:val="16"/>
                <w:szCs w:val="16"/>
              </w:rPr>
            </w:pPr>
          </w:p>
        </w:tc>
        <w:tc>
          <w:tcPr>
            <w:tcW w:w="900" w:type="dxa"/>
            <w:vAlign w:val="bottom"/>
          </w:tcPr>
          <w:p w14:paraId="2A0461F5"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56.3</w:t>
            </w:r>
          </w:p>
        </w:tc>
        <w:tc>
          <w:tcPr>
            <w:tcW w:w="234" w:type="dxa"/>
            <w:vAlign w:val="bottom"/>
          </w:tcPr>
          <w:p w14:paraId="052EBD5D" w14:textId="77777777" w:rsidR="00AC5C0C" w:rsidRPr="00B02BA3" w:rsidRDefault="00AC5C0C" w:rsidP="00922116">
            <w:pPr>
              <w:pStyle w:val="CellRowSpacer"/>
              <w:rPr>
                <w:sz w:val="16"/>
                <w:szCs w:val="16"/>
              </w:rPr>
            </w:pPr>
          </w:p>
        </w:tc>
        <w:tc>
          <w:tcPr>
            <w:tcW w:w="900" w:type="dxa"/>
            <w:vAlign w:val="bottom"/>
          </w:tcPr>
          <w:p w14:paraId="6D234597"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151.2</w:t>
            </w:r>
          </w:p>
        </w:tc>
        <w:tc>
          <w:tcPr>
            <w:tcW w:w="234" w:type="dxa"/>
          </w:tcPr>
          <w:p w14:paraId="7D31A385" w14:textId="77777777" w:rsidR="00AC5C0C" w:rsidRPr="00B02BA3" w:rsidRDefault="00AC5C0C" w:rsidP="00922116">
            <w:pPr>
              <w:pStyle w:val="CellRowSpacer"/>
              <w:rPr>
                <w:sz w:val="16"/>
                <w:szCs w:val="16"/>
              </w:rPr>
            </w:pPr>
          </w:p>
        </w:tc>
        <w:tc>
          <w:tcPr>
            <w:tcW w:w="900" w:type="dxa"/>
            <w:vAlign w:val="bottom"/>
          </w:tcPr>
          <w:p w14:paraId="745B1448" w14:textId="77777777" w:rsidR="00AC5C0C" w:rsidRPr="007D35D4" w:rsidRDefault="00AC5C0C" w:rsidP="00922116">
            <w:pPr>
              <w:pStyle w:val="VSmCellBody"/>
              <w:jc w:val="right"/>
              <w:rPr>
                <w:color w:val="000000"/>
                <w:kern w:val="0"/>
                <w:sz w:val="16"/>
                <w:szCs w:val="16"/>
              </w:rPr>
            </w:pPr>
            <w:r w:rsidRPr="007D35D4">
              <w:rPr>
                <w:color w:val="000000"/>
                <w:kern w:val="0"/>
                <w:sz w:val="16"/>
                <w:szCs w:val="16"/>
              </w:rPr>
              <w:t>108.2</w:t>
            </w:r>
          </w:p>
        </w:tc>
        <w:tc>
          <w:tcPr>
            <w:tcW w:w="234" w:type="dxa"/>
          </w:tcPr>
          <w:p w14:paraId="65260ECE" w14:textId="77777777" w:rsidR="00AC5C0C" w:rsidRPr="007472B7" w:rsidRDefault="00AC5C0C" w:rsidP="00922116">
            <w:pPr>
              <w:pStyle w:val="CellRowSpacer"/>
              <w:rPr>
                <w:sz w:val="16"/>
                <w:szCs w:val="16"/>
              </w:rPr>
            </w:pPr>
          </w:p>
        </w:tc>
        <w:tc>
          <w:tcPr>
            <w:tcW w:w="900" w:type="dxa"/>
            <w:vAlign w:val="bottom"/>
          </w:tcPr>
          <w:p w14:paraId="0012F066"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158.8</w:t>
            </w:r>
          </w:p>
        </w:tc>
        <w:tc>
          <w:tcPr>
            <w:tcW w:w="234" w:type="dxa"/>
            <w:vAlign w:val="bottom"/>
          </w:tcPr>
          <w:p w14:paraId="719D1A52" w14:textId="77777777" w:rsidR="00AC5C0C" w:rsidRPr="00B02BA3" w:rsidRDefault="00AC5C0C" w:rsidP="00922116">
            <w:pPr>
              <w:pStyle w:val="CellRowSpacer"/>
              <w:rPr>
                <w:sz w:val="16"/>
                <w:szCs w:val="16"/>
              </w:rPr>
            </w:pPr>
          </w:p>
        </w:tc>
      </w:tr>
    </w:tbl>
    <w:p w14:paraId="48BE75F0" w14:textId="77777777" w:rsidR="00AC5C0C" w:rsidRDefault="00AC5C0C" w:rsidP="00AC5C0C">
      <w:pPr>
        <w:bidi/>
        <w:jc w:val="both"/>
        <w:rPr>
          <w:rFonts w:ascii="Traditional Arabic" w:hAnsi="Traditional Arabic" w:cs="Traditional Arabic"/>
          <w:sz w:val="30"/>
          <w:szCs w:val="30"/>
          <w:rtl/>
        </w:rPr>
      </w:pPr>
    </w:p>
    <w:p w14:paraId="4DBF4151" w14:textId="77777777" w:rsidR="00AC5C0C" w:rsidRPr="00334534" w:rsidRDefault="00AC5C0C" w:rsidP="00AC5C0C">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AC5C0C" w14:paraId="634A7085" w14:textId="77777777" w:rsidTr="00922116">
        <w:tc>
          <w:tcPr>
            <w:tcW w:w="1424" w:type="dxa"/>
            <w:tcBorders>
              <w:top w:val="single" w:sz="4" w:space="0" w:color="auto"/>
            </w:tcBorders>
            <w:vAlign w:val="bottom"/>
          </w:tcPr>
          <w:p w14:paraId="3D39A50E"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الملاحظات:</w:t>
            </w:r>
          </w:p>
        </w:tc>
        <w:tc>
          <w:tcPr>
            <w:tcW w:w="7501" w:type="dxa"/>
            <w:vAlign w:val="bottom"/>
          </w:tcPr>
          <w:p w14:paraId="677DE1C0" w14:textId="77777777" w:rsidR="00334534" w:rsidRPr="00985281" w:rsidRDefault="00334534" w:rsidP="00334534">
            <w:pPr>
              <w:bidi/>
              <w:jc w:val="both"/>
              <w:rPr>
                <w:rFonts w:ascii="Traditional Arabic" w:hAnsi="Traditional Arabic" w:cs="Traditional Arabic"/>
                <w:sz w:val="24"/>
              </w:rPr>
            </w:pPr>
          </w:p>
        </w:tc>
      </w:tr>
      <w:tr w:rsidR="00334534" w:rsidRPr="00AC5C0C" w14:paraId="4E65C159" w14:textId="77777777" w:rsidTr="00922116">
        <w:tc>
          <w:tcPr>
            <w:tcW w:w="8925" w:type="dxa"/>
            <w:gridSpan w:val="2"/>
            <w:vAlign w:val="bottom"/>
          </w:tcPr>
          <w:p w14:paraId="39CB7C21"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باستثناء السفن المطلوبة.</w:t>
            </w:r>
          </w:p>
        </w:tc>
      </w:tr>
      <w:tr w:rsidR="00334534" w:rsidRPr="00AC5C0C" w14:paraId="04CA6F22" w14:textId="77777777" w:rsidTr="00922116">
        <w:tc>
          <w:tcPr>
            <w:tcW w:w="8925" w:type="dxa"/>
            <w:gridSpan w:val="2"/>
            <w:vAlign w:val="bottom"/>
          </w:tcPr>
          <w:p w14:paraId="30B7587D"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يتم حساب استخدام الأسطول على أنه 365 يوما ناقص عدد الأيام التي ترسو فيها السفن في الحوض الجاف، مقسومًا على 365.</w:t>
            </w:r>
          </w:p>
        </w:tc>
      </w:tr>
      <w:tr w:rsidR="00334534" w:rsidRPr="00AC5C0C" w14:paraId="1B536C14" w14:textId="77777777" w:rsidTr="00922116">
        <w:tc>
          <w:tcPr>
            <w:tcW w:w="8925" w:type="dxa"/>
            <w:gridSpan w:val="2"/>
            <w:vAlign w:val="bottom"/>
          </w:tcPr>
          <w:p w14:paraId="651615E9"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لمناقشة كيفية حساب مكافئ تأجير السفن المجهزة بالمدة، ومعدل مكافئ تأجير السفن المجهزة بالمدة، والأرباح قبل حساب الفائدة والضريبة والإهلاك والإطفاء، يرجى الاطلاع على "</w:t>
            </w:r>
            <w:r w:rsidRPr="00985281">
              <w:rPr>
                <w:rFonts w:ascii="Traditional Arabic" w:hAnsi="Traditional Arabic" w:cs="Traditional Arabic"/>
                <w:i/>
                <w:sz w:val="24"/>
                <w:rtl/>
              </w:rPr>
              <w:t>عرض البيانات المالية وبيانات القطاع والسوق - معلومات غير متصلة بالمعايير الدولية لإعداد التقارير المالية وبعض البيانات المالية والتشغيلية الأخرى - معلومات</w:t>
            </w:r>
            <w:r w:rsidRPr="00985281">
              <w:rPr>
                <w:rFonts w:ascii="Traditional Arabic" w:hAnsi="Traditional Arabic" w:cs="Traditional Arabic"/>
                <w:sz w:val="24"/>
                <w:rtl/>
              </w:rPr>
              <w:t xml:space="preserve"> غير متصلة بالمعايير الدولية لإعداد</w:t>
            </w:r>
            <w:r w:rsidRPr="00985281">
              <w:rPr>
                <w:rFonts w:ascii="Traditional Arabic" w:hAnsi="Traditional Arabic" w:cs="Traditional Arabic"/>
                <w:i/>
                <w:sz w:val="24"/>
                <w:rtl/>
              </w:rPr>
              <w:t xml:space="preserve"> التقارير المالية" و "الفصل الثالث عشر - معلومات مالية وتشغيلية تاريخية مختارة وغيرها من المعلومات - بيانات مالية وتشغيلية أخرى</w:t>
            </w:r>
            <w:r w:rsidRPr="00985281">
              <w:rPr>
                <w:rFonts w:ascii="Traditional Arabic" w:hAnsi="Traditional Arabic" w:cs="Traditional Arabic"/>
                <w:sz w:val="24"/>
                <w:rtl/>
              </w:rPr>
              <w:t xml:space="preserve"> ". </w:t>
            </w:r>
          </w:p>
        </w:tc>
      </w:tr>
    </w:tbl>
    <w:p w14:paraId="6A660C56" w14:textId="77777777" w:rsidR="00AC5C0C" w:rsidRDefault="00AC5C0C" w:rsidP="00334534">
      <w:pPr>
        <w:bidi/>
        <w:jc w:val="both"/>
        <w:rPr>
          <w:rFonts w:ascii="Traditional Arabic" w:hAnsi="Traditional Arabic" w:cs="Traditional Arabic"/>
          <w:i/>
          <w:sz w:val="30"/>
          <w:szCs w:val="30"/>
          <w:rtl/>
        </w:rPr>
      </w:pPr>
    </w:p>
    <w:p w14:paraId="67F42D9C"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المنافسة</w:t>
      </w:r>
    </w:p>
    <w:p w14:paraId="1D86A8DE"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تشتد المنافسة على التأجير في سوق ناقلات المنتجات، وتكون على أساس سعر السفينة وموقعها وحجمها وعمرها وحالتها ومقبوليتها (بما في ذلك المنتجات التي حملتها السفينة مؤخرًا) وسمعة مشغل السفينة. كما تتأثر تنافسية الشركة من حيث فئة الأحجام التي تتنافس فيها ومدى توافر سفن بأحجام أخرى متنافسة في تلك السوق. يتألف منافسو الشركة في هذا القطاع من شركات الشحن الدولية، مثل شركة نوردن، وشركة تورم، وشركة سكوربيو، وشركة إنترناشيونال سيويز، وناقلات ميرسك</w:t>
      </w:r>
    </w:p>
    <w:p w14:paraId="52091567" w14:textId="77777777" w:rsidR="00AC5C0C" w:rsidRDefault="00AC5C0C" w:rsidP="00334534">
      <w:pPr>
        <w:bidi/>
        <w:jc w:val="both"/>
        <w:rPr>
          <w:rFonts w:ascii="Traditional Arabic" w:hAnsi="Traditional Arabic" w:cs="Traditional Arabic"/>
          <w:i/>
          <w:sz w:val="30"/>
          <w:szCs w:val="30"/>
          <w:rtl/>
        </w:rPr>
      </w:pPr>
    </w:p>
    <w:p w14:paraId="4186F892"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العملاء</w:t>
      </w:r>
    </w:p>
    <w:p w14:paraId="71FABEF2"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تعمل سفن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المنتجات عادة وفقًا لعقود تأجير السفن المجهزة بالمدة. ومن بين ناقلات المنتجات التابعة للشركة البالغ عددها 34 ناقلة، تعمل 33 ناقلة بموجب عقود تأجير السفن المجهزة بالمدة، وتعمل ناقلة واحدة في سوق التأجير الفوري. تتراوح عقود تأجير السفن المجهزة بالمدة من مدة قصيرة الأمد (أقل من ثلاثة أشهر) إلى متوسطة الأمد (بين ثلاثة أشهر و 12 شهرًا) إلى طويلة الأمد (أكثر من 12 شهرًا إلى ما يصل إلى 20 عامًا). وهناك عشرة من ناقلات المنتجات التابعة للشركة بخيارات تمديد تتراوح من ثلاث إلى خمس سنوات.</w:t>
      </w:r>
    </w:p>
    <w:p w14:paraId="3B7C35D0" w14:textId="77777777" w:rsidR="00AC5C0C" w:rsidRDefault="00AC5C0C" w:rsidP="00334534">
      <w:pPr>
        <w:bidi/>
        <w:jc w:val="both"/>
        <w:rPr>
          <w:rFonts w:ascii="Traditional Arabic" w:hAnsi="Traditional Arabic" w:cs="Traditional Arabic"/>
          <w:sz w:val="30"/>
          <w:szCs w:val="30"/>
          <w:rtl/>
        </w:rPr>
      </w:pPr>
    </w:p>
    <w:p w14:paraId="2729359F"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ويتمثل عملاء الشركة في هذا القطاع من شركات النفط العالمية الكبرى، مثل شركة شل، وشركة بي بي، وشركة إكسون موبيل، وشركة شيفرون، وشركة سينوبيك، بالإضافة إلى تجار النفط الآخرين والشركات الوطنية والشركات التجارية، بما في ذلك شركة ريلاينس إندستريز ليمتد، وشركة أوكيو للمصافي، وشركة ترافيجورا، وشركة كلير ليك، وشركة بتروناس، وشركة أوكيو تريدينج ليمتد، وشركة ريبسول، وشركة فيتول. </w:t>
      </w:r>
    </w:p>
    <w:p w14:paraId="72FACC0E" w14:textId="77777777" w:rsidR="00AC5C0C" w:rsidRDefault="00AC5C0C" w:rsidP="00334534">
      <w:pPr>
        <w:bidi/>
        <w:jc w:val="both"/>
        <w:rPr>
          <w:rFonts w:ascii="Traditional Arabic" w:hAnsi="Traditional Arabic" w:cs="Traditional Arabic"/>
          <w:sz w:val="30"/>
          <w:szCs w:val="30"/>
          <w:rtl/>
        </w:rPr>
      </w:pPr>
    </w:p>
    <w:p w14:paraId="1A73373D"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وتقوم الشركة بتشغيل سفينتين لتصدير الميثانول لشركة أوكيو في ولاية صلالة بموجب عقود تأجير طويلة الأمد للسفن المجهزة بالمدة، كما تنقل مكثفات الغاز الطبيعي المسال من الشركة العمانية للغاز الطبيعي المسال إلى مصفاة صحار باستخدام ناقلة </w:t>
      </w:r>
      <w:r w:rsidRPr="00334534">
        <w:rPr>
          <w:rFonts w:ascii="Traditional Arabic" w:hAnsi="Traditional Arabic" w:cs="Traditional Arabic"/>
          <w:sz w:val="30"/>
          <w:szCs w:val="30"/>
          <w:rtl/>
        </w:rPr>
        <w:lastRenderedPageBreak/>
        <w:t>مواد كيميائية صغيرة. بالإضافة إلى ذلك، تقوم الشركة بتسيير ناقلتين صغيرتين لنقل المنتجات البترولية النظيفة من مصفاة صحار إلى ميناء صلالة، كما تدعم مشاريع المصافي الرئيسية، بما في ذلك مصفاة صحار ومصفاة ميناء الفحل ومصفاة الدقم، مما يعزز مكانتها في سلسلة قيمة الطاقة في سلطنة عمان.</w:t>
      </w:r>
    </w:p>
    <w:p w14:paraId="511AE644" w14:textId="77777777" w:rsidR="00AC5C0C" w:rsidRDefault="00AC5C0C" w:rsidP="00334534">
      <w:pPr>
        <w:bidi/>
        <w:jc w:val="both"/>
        <w:rPr>
          <w:rFonts w:ascii="Traditional Arabic" w:hAnsi="Traditional Arabic" w:cs="Traditional Arabic"/>
          <w:sz w:val="30"/>
          <w:szCs w:val="30"/>
          <w:rtl/>
        </w:rPr>
      </w:pPr>
    </w:p>
    <w:p w14:paraId="1000A702"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يلخص الجدول أدناه ترتيبات التأجير المطبقة على كل سفينة من سفن الشركة العاملة في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المنتجات حتى 30 سبتمبر 2024: </w:t>
      </w:r>
    </w:p>
    <w:p w14:paraId="0413A536" w14:textId="77777777" w:rsidR="00AC5C0C" w:rsidRDefault="00AC5C0C" w:rsidP="00334534">
      <w:pPr>
        <w:bidi/>
        <w:jc w:val="both"/>
        <w:rPr>
          <w:rFonts w:ascii="Traditional Arabic" w:hAnsi="Traditional Arabic" w:cs="Traditional Arabic"/>
          <w:b/>
          <w:sz w:val="30"/>
          <w:szCs w:val="30"/>
          <w:rtl/>
        </w:rPr>
      </w:pPr>
    </w:p>
    <w:tbl>
      <w:tblPr>
        <w:tblW w:w="9114" w:type="dxa"/>
        <w:tblInd w:w="437" w:type="dxa"/>
        <w:tblLayout w:type="fixed"/>
        <w:tblCellMar>
          <w:left w:w="0" w:type="dxa"/>
          <w:right w:w="0" w:type="dxa"/>
        </w:tblCellMar>
        <w:tblLook w:val="0000" w:firstRow="0" w:lastRow="0" w:firstColumn="0" w:lastColumn="0" w:noHBand="0" w:noVBand="0"/>
      </w:tblPr>
      <w:tblGrid>
        <w:gridCol w:w="3163"/>
        <w:gridCol w:w="236"/>
        <w:gridCol w:w="907"/>
        <w:gridCol w:w="236"/>
        <w:gridCol w:w="907"/>
        <w:gridCol w:w="236"/>
        <w:gridCol w:w="907"/>
        <w:gridCol w:w="236"/>
        <w:gridCol w:w="907"/>
        <w:gridCol w:w="236"/>
        <w:gridCol w:w="907"/>
        <w:gridCol w:w="236"/>
      </w:tblGrid>
      <w:tr w:rsidR="00AC5C0C" w:rsidRPr="00B02BA3" w14:paraId="50F35D1D" w14:textId="77777777" w:rsidTr="00922116">
        <w:trPr>
          <w:tblHeader/>
        </w:trPr>
        <w:tc>
          <w:tcPr>
            <w:tcW w:w="3163" w:type="dxa"/>
            <w:tcBorders>
              <w:bottom w:val="single" w:sz="4" w:space="0" w:color="auto"/>
            </w:tcBorders>
            <w:vAlign w:val="bottom"/>
          </w:tcPr>
          <w:p w14:paraId="00B5C5EA" w14:textId="77777777" w:rsidR="00AC5C0C" w:rsidRPr="00B02BA3" w:rsidRDefault="00AC5C0C" w:rsidP="00922116">
            <w:pPr>
              <w:pStyle w:val="VSmCellHead"/>
              <w:jc w:val="center"/>
              <w:rPr>
                <w:sz w:val="16"/>
                <w:szCs w:val="16"/>
              </w:rPr>
            </w:pPr>
            <w:bookmarkStart w:id="10" w:name="_Hlk178247700"/>
            <w:r w:rsidRPr="00B02BA3">
              <w:rPr>
                <w:sz w:val="16"/>
                <w:szCs w:val="16"/>
              </w:rPr>
              <w:t>Vessel name</w:t>
            </w:r>
          </w:p>
        </w:tc>
        <w:tc>
          <w:tcPr>
            <w:tcW w:w="236" w:type="dxa"/>
            <w:vAlign w:val="bottom"/>
          </w:tcPr>
          <w:p w14:paraId="58764573"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4C532365" w14:textId="77777777" w:rsidR="00AC5C0C" w:rsidRPr="00B02BA3" w:rsidRDefault="00AC5C0C" w:rsidP="00922116">
            <w:pPr>
              <w:pStyle w:val="VSmCellHead"/>
              <w:jc w:val="center"/>
              <w:rPr>
                <w:sz w:val="16"/>
                <w:szCs w:val="16"/>
              </w:rPr>
            </w:pPr>
            <w:r w:rsidRPr="00B02BA3">
              <w:rPr>
                <w:sz w:val="16"/>
                <w:szCs w:val="16"/>
              </w:rPr>
              <w:t>Customer / Project</w:t>
            </w:r>
          </w:p>
        </w:tc>
        <w:tc>
          <w:tcPr>
            <w:tcW w:w="236" w:type="dxa"/>
            <w:vAlign w:val="bottom"/>
          </w:tcPr>
          <w:p w14:paraId="2C81BE19"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086687D9" w14:textId="77777777" w:rsidR="00AC5C0C" w:rsidRPr="00B02BA3" w:rsidRDefault="00AC5C0C" w:rsidP="00922116">
            <w:pPr>
              <w:pStyle w:val="VSmCellHead"/>
              <w:jc w:val="center"/>
              <w:rPr>
                <w:sz w:val="16"/>
                <w:szCs w:val="16"/>
              </w:rPr>
            </w:pPr>
            <w:r w:rsidRPr="00B02BA3">
              <w:rPr>
                <w:rFonts w:eastAsia="SimSun"/>
                <w:kern w:val="0"/>
                <w:sz w:val="16"/>
                <w:szCs w:val="16"/>
              </w:rPr>
              <w:t>Charter start</w:t>
            </w:r>
          </w:p>
        </w:tc>
        <w:tc>
          <w:tcPr>
            <w:tcW w:w="236" w:type="dxa"/>
            <w:vAlign w:val="bottom"/>
          </w:tcPr>
          <w:p w14:paraId="60763D3D"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331829D9" w14:textId="77777777" w:rsidR="00AC5C0C" w:rsidRPr="00B02BA3" w:rsidRDefault="00AC5C0C" w:rsidP="00922116">
            <w:pPr>
              <w:pStyle w:val="VSmCellHead"/>
              <w:jc w:val="center"/>
              <w:rPr>
                <w:sz w:val="16"/>
                <w:szCs w:val="16"/>
              </w:rPr>
            </w:pPr>
            <w:r w:rsidRPr="00B02BA3">
              <w:rPr>
                <w:rFonts w:eastAsia="SimSun"/>
                <w:kern w:val="0"/>
                <w:sz w:val="16"/>
                <w:szCs w:val="16"/>
              </w:rPr>
              <w:t>Charter expiration</w:t>
            </w:r>
          </w:p>
        </w:tc>
        <w:tc>
          <w:tcPr>
            <w:tcW w:w="236" w:type="dxa"/>
            <w:vAlign w:val="bottom"/>
          </w:tcPr>
          <w:p w14:paraId="410A37C2" w14:textId="77777777" w:rsidR="00AC5C0C" w:rsidRPr="00B02BA3" w:rsidRDefault="00AC5C0C" w:rsidP="00922116">
            <w:pPr>
              <w:pStyle w:val="CellRowSpacer"/>
              <w:spacing w:after="120"/>
              <w:jc w:val="center"/>
              <w:rPr>
                <w:b/>
                <w:bCs/>
                <w:sz w:val="16"/>
                <w:szCs w:val="16"/>
                <w:vertAlign w:val="superscript"/>
              </w:rPr>
            </w:pPr>
          </w:p>
        </w:tc>
        <w:tc>
          <w:tcPr>
            <w:tcW w:w="907" w:type="dxa"/>
            <w:tcBorders>
              <w:bottom w:val="single" w:sz="4" w:space="0" w:color="auto"/>
            </w:tcBorders>
            <w:vAlign w:val="bottom"/>
          </w:tcPr>
          <w:p w14:paraId="4009E3B8" w14:textId="77777777" w:rsidR="00AC5C0C" w:rsidRPr="00B02BA3" w:rsidRDefault="00AC5C0C" w:rsidP="00922116">
            <w:pPr>
              <w:pStyle w:val="VSmCellHead"/>
              <w:jc w:val="center"/>
              <w:rPr>
                <w:sz w:val="16"/>
                <w:szCs w:val="16"/>
              </w:rPr>
            </w:pPr>
            <w:r w:rsidRPr="00B02BA3">
              <w:rPr>
                <w:rFonts w:eastAsia="SimSun"/>
                <w:kern w:val="0"/>
                <w:sz w:val="16"/>
                <w:szCs w:val="16"/>
              </w:rPr>
              <w:t>Term</w:t>
            </w:r>
          </w:p>
        </w:tc>
        <w:tc>
          <w:tcPr>
            <w:tcW w:w="236" w:type="dxa"/>
            <w:vAlign w:val="bottom"/>
          </w:tcPr>
          <w:p w14:paraId="5671E64E" w14:textId="77777777" w:rsidR="00AC5C0C" w:rsidRPr="00B02BA3" w:rsidRDefault="00AC5C0C" w:rsidP="00922116">
            <w:pPr>
              <w:pStyle w:val="CellRowSpacer"/>
              <w:spacing w:after="120"/>
              <w:jc w:val="center"/>
              <w:rPr>
                <w:sz w:val="16"/>
                <w:szCs w:val="16"/>
              </w:rPr>
            </w:pPr>
          </w:p>
        </w:tc>
        <w:tc>
          <w:tcPr>
            <w:tcW w:w="907" w:type="dxa"/>
            <w:tcBorders>
              <w:bottom w:val="single" w:sz="4" w:space="0" w:color="auto"/>
            </w:tcBorders>
            <w:vAlign w:val="bottom"/>
          </w:tcPr>
          <w:p w14:paraId="6A9D1DB8" w14:textId="77777777" w:rsidR="00AC5C0C" w:rsidRPr="00B02BA3" w:rsidRDefault="00AC5C0C" w:rsidP="00922116">
            <w:pPr>
              <w:pStyle w:val="VSmCellHead"/>
              <w:jc w:val="center"/>
              <w:rPr>
                <w:sz w:val="16"/>
                <w:szCs w:val="16"/>
              </w:rPr>
            </w:pPr>
            <w:r w:rsidRPr="00B02BA3">
              <w:rPr>
                <w:rFonts w:eastAsia="SimSun"/>
                <w:kern w:val="0"/>
                <w:sz w:val="16"/>
                <w:szCs w:val="16"/>
              </w:rPr>
              <w:t>Extension option</w:t>
            </w:r>
          </w:p>
        </w:tc>
        <w:tc>
          <w:tcPr>
            <w:tcW w:w="236" w:type="dxa"/>
            <w:vAlign w:val="bottom"/>
          </w:tcPr>
          <w:p w14:paraId="2889FE73" w14:textId="77777777" w:rsidR="00AC5C0C" w:rsidRPr="00B02BA3" w:rsidRDefault="00AC5C0C" w:rsidP="00922116">
            <w:pPr>
              <w:pStyle w:val="CellRowSpacer"/>
              <w:spacing w:after="120"/>
              <w:rPr>
                <w:sz w:val="16"/>
                <w:szCs w:val="16"/>
              </w:rPr>
            </w:pPr>
          </w:p>
        </w:tc>
      </w:tr>
      <w:tr w:rsidR="00AC5C0C" w:rsidRPr="00B02BA3" w14:paraId="35F2D238" w14:textId="77777777" w:rsidTr="00922116">
        <w:tc>
          <w:tcPr>
            <w:tcW w:w="3163" w:type="dxa"/>
            <w:vAlign w:val="bottom"/>
          </w:tcPr>
          <w:p w14:paraId="23480B7C"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Matrah</w:t>
            </w:r>
            <w:r w:rsidRPr="00B02BA3">
              <w:rPr>
                <w:rFonts w:eastAsia="SimSun"/>
                <w:sz w:val="16"/>
                <w:szCs w:val="16"/>
              </w:rPr>
              <w:tab/>
            </w:r>
          </w:p>
        </w:tc>
        <w:tc>
          <w:tcPr>
            <w:tcW w:w="236" w:type="dxa"/>
            <w:vAlign w:val="bottom"/>
          </w:tcPr>
          <w:p w14:paraId="1DED67BF" w14:textId="77777777" w:rsidR="00AC5C0C" w:rsidRPr="00B02BA3" w:rsidRDefault="00AC5C0C" w:rsidP="00922116">
            <w:pPr>
              <w:pStyle w:val="CellRowSpacer"/>
              <w:rPr>
                <w:sz w:val="16"/>
                <w:szCs w:val="16"/>
              </w:rPr>
            </w:pPr>
          </w:p>
        </w:tc>
        <w:tc>
          <w:tcPr>
            <w:tcW w:w="907" w:type="dxa"/>
            <w:vAlign w:val="bottom"/>
          </w:tcPr>
          <w:p w14:paraId="37B1B9BE" w14:textId="77777777" w:rsidR="00AC5C0C" w:rsidRPr="00B02BA3" w:rsidRDefault="00AC5C0C" w:rsidP="00922116">
            <w:pPr>
              <w:pStyle w:val="VSmCellBody"/>
              <w:jc w:val="right"/>
              <w:rPr>
                <w:sz w:val="16"/>
                <w:szCs w:val="16"/>
              </w:rPr>
            </w:pPr>
            <w:r w:rsidRPr="00B02BA3">
              <w:rPr>
                <w:sz w:val="16"/>
                <w:szCs w:val="16"/>
              </w:rPr>
              <w:t> OQT</w:t>
            </w:r>
          </w:p>
        </w:tc>
        <w:tc>
          <w:tcPr>
            <w:tcW w:w="236" w:type="dxa"/>
            <w:vAlign w:val="bottom"/>
          </w:tcPr>
          <w:p w14:paraId="382F801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1510869" w14:textId="77777777" w:rsidR="00AC5C0C" w:rsidRPr="00B02BA3" w:rsidRDefault="00AC5C0C" w:rsidP="00922116">
            <w:pPr>
              <w:pStyle w:val="VSmCellBody"/>
              <w:jc w:val="right"/>
              <w:rPr>
                <w:sz w:val="16"/>
                <w:szCs w:val="16"/>
              </w:rPr>
            </w:pPr>
            <w:r w:rsidRPr="00B02BA3">
              <w:rPr>
                <w:sz w:val="16"/>
                <w:szCs w:val="16"/>
              </w:rPr>
              <w:t> October 2010</w:t>
            </w:r>
          </w:p>
        </w:tc>
        <w:tc>
          <w:tcPr>
            <w:tcW w:w="236" w:type="dxa"/>
            <w:vAlign w:val="bottom"/>
          </w:tcPr>
          <w:p w14:paraId="6CBC5DC3"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165F5D5" w14:textId="77777777" w:rsidR="00AC5C0C" w:rsidRPr="00B02BA3" w:rsidRDefault="00AC5C0C" w:rsidP="00922116">
            <w:pPr>
              <w:pStyle w:val="VSmCellBody"/>
              <w:jc w:val="right"/>
              <w:rPr>
                <w:sz w:val="16"/>
                <w:szCs w:val="16"/>
              </w:rPr>
            </w:pPr>
            <w:r w:rsidRPr="00B02BA3">
              <w:rPr>
                <w:sz w:val="16"/>
                <w:szCs w:val="16"/>
              </w:rPr>
              <w:t> October 2025</w:t>
            </w:r>
          </w:p>
        </w:tc>
        <w:tc>
          <w:tcPr>
            <w:tcW w:w="236" w:type="dxa"/>
            <w:vAlign w:val="bottom"/>
          </w:tcPr>
          <w:p w14:paraId="0F94A6C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4CDDA55" w14:textId="77777777" w:rsidR="00AC5C0C" w:rsidRPr="00B02BA3" w:rsidRDefault="00AC5C0C" w:rsidP="00922116">
            <w:pPr>
              <w:pStyle w:val="VSmCellBody"/>
              <w:jc w:val="right"/>
              <w:rPr>
                <w:sz w:val="16"/>
                <w:szCs w:val="16"/>
              </w:rPr>
            </w:pPr>
            <w:r w:rsidRPr="00B02BA3">
              <w:rPr>
                <w:sz w:val="16"/>
                <w:szCs w:val="16"/>
              </w:rPr>
              <w:t> 15 years</w:t>
            </w:r>
          </w:p>
        </w:tc>
        <w:tc>
          <w:tcPr>
            <w:tcW w:w="236" w:type="dxa"/>
            <w:vAlign w:val="bottom"/>
          </w:tcPr>
          <w:p w14:paraId="783DCCC3" w14:textId="77777777" w:rsidR="00AC5C0C" w:rsidRPr="00B02BA3" w:rsidRDefault="00AC5C0C" w:rsidP="00922116">
            <w:pPr>
              <w:pStyle w:val="CellRowSpacer"/>
              <w:jc w:val="right"/>
              <w:rPr>
                <w:sz w:val="16"/>
                <w:szCs w:val="16"/>
              </w:rPr>
            </w:pPr>
            <w:r w:rsidRPr="00B02BA3">
              <w:rPr>
                <w:sz w:val="16"/>
                <w:szCs w:val="16"/>
              </w:rPr>
              <w:t> </w:t>
            </w:r>
          </w:p>
        </w:tc>
        <w:tc>
          <w:tcPr>
            <w:tcW w:w="907" w:type="dxa"/>
            <w:tcBorders>
              <w:top w:val="single" w:sz="4" w:space="0" w:color="auto"/>
            </w:tcBorders>
            <w:vAlign w:val="bottom"/>
          </w:tcPr>
          <w:p w14:paraId="75E54587" w14:textId="77777777" w:rsidR="00AC5C0C" w:rsidRPr="00B02BA3" w:rsidRDefault="00AC5C0C" w:rsidP="00922116">
            <w:pPr>
              <w:pStyle w:val="VSmCellBody"/>
              <w:jc w:val="right"/>
              <w:rPr>
                <w:sz w:val="16"/>
                <w:szCs w:val="16"/>
              </w:rPr>
            </w:pPr>
            <w:r w:rsidRPr="00B02BA3">
              <w:rPr>
                <w:sz w:val="16"/>
                <w:szCs w:val="16"/>
              </w:rPr>
              <w:t>none</w:t>
            </w:r>
          </w:p>
        </w:tc>
        <w:tc>
          <w:tcPr>
            <w:tcW w:w="236" w:type="dxa"/>
            <w:vAlign w:val="bottom"/>
          </w:tcPr>
          <w:p w14:paraId="77A9536F" w14:textId="77777777" w:rsidR="00AC5C0C" w:rsidRPr="00B02BA3" w:rsidRDefault="00AC5C0C" w:rsidP="00922116">
            <w:pPr>
              <w:pStyle w:val="CellRowSpacer"/>
              <w:rPr>
                <w:sz w:val="16"/>
                <w:szCs w:val="16"/>
              </w:rPr>
            </w:pPr>
          </w:p>
        </w:tc>
      </w:tr>
      <w:tr w:rsidR="00AC5C0C" w:rsidRPr="00B02BA3" w14:paraId="7FD47C3C" w14:textId="77777777" w:rsidTr="00922116">
        <w:tc>
          <w:tcPr>
            <w:tcW w:w="3163" w:type="dxa"/>
            <w:vAlign w:val="bottom"/>
          </w:tcPr>
          <w:p w14:paraId="3F7782CA"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 xml:space="preserve">Al </w:t>
            </w:r>
            <w:proofErr w:type="spellStart"/>
            <w:r w:rsidRPr="00B02BA3">
              <w:rPr>
                <w:rFonts w:eastAsia="SimSun"/>
                <w:sz w:val="16"/>
                <w:szCs w:val="16"/>
              </w:rPr>
              <w:t>Amerat</w:t>
            </w:r>
            <w:proofErr w:type="spellEnd"/>
            <w:r w:rsidRPr="00B02BA3">
              <w:rPr>
                <w:rFonts w:eastAsia="SimSun"/>
                <w:sz w:val="16"/>
                <w:szCs w:val="16"/>
              </w:rPr>
              <w:tab/>
            </w:r>
          </w:p>
        </w:tc>
        <w:tc>
          <w:tcPr>
            <w:tcW w:w="236" w:type="dxa"/>
            <w:vAlign w:val="bottom"/>
          </w:tcPr>
          <w:p w14:paraId="66E14E0E" w14:textId="77777777" w:rsidR="00AC5C0C" w:rsidRPr="00B02BA3" w:rsidRDefault="00AC5C0C" w:rsidP="00922116">
            <w:pPr>
              <w:pStyle w:val="CellRowSpacer"/>
              <w:rPr>
                <w:sz w:val="16"/>
                <w:szCs w:val="16"/>
              </w:rPr>
            </w:pPr>
          </w:p>
        </w:tc>
        <w:tc>
          <w:tcPr>
            <w:tcW w:w="907" w:type="dxa"/>
            <w:vAlign w:val="bottom"/>
          </w:tcPr>
          <w:p w14:paraId="6C7C64A5" w14:textId="77777777" w:rsidR="00AC5C0C" w:rsidRPr="00B02BA3" w:rsidRDefault="00AC5C0C" w:rsidP="00922116">
            <w:pPr>
              <w:pStyle w:val="VSmCellBody"/>
              <w:jc w:val="right"/>
              <w:rPr>
                <w:sz w:val="16"/>
                <w:szCs w:val="16"/>
              </w:rPr>
            </w:pPr>
            <w:r w:rsidRPr="00B02BA3">
              <w:rPr>
                <w:sz w:val="16"/>
                <w:szCs w:val="16"/>
              </w:rPr>
              <w:t> OQT</w:t>
            </w:r>
          </w:p>
        </w:tc>
        <w:tc>
          <w:tcPr>
            <w:tcW w:w="236" w:type="dxa"/>
            <w:vAlign w:val="bottom"/>
          </w:tcPr>
          <w:p w14:paraId="7B2E0DE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0D8D381" w14:textId="77777777" w:rsidR="00AC5C0C" w:rsidRPr="00B02BA3" w:rsidRDefault="00AC5C0C" w:rsidP="00922116">
            <w:pPr>
              <w:pStyle w:val="VSmCellBody"/>
              <w:jc w:val="right"/>
              <w:rPr>
                <w:sz w:val="16"/>
                <w:szCs w:val="16"/>
              </w:rPr>
            </w:pPr>
            <w:r w:rsidRPr="00B02BA3">
              <w:rPr>
                <w:sz w:val="16"/>
                <w:szCs w:val="16"/>
              </w:rPr>
              <w:t> August 2010</w:t>
            </w:r>
          </w:p>
        </w:tc>
        <w:tc>
          <w:tcPr>
            <w:tcW w:w="236" w:type="dxa"/>
            <w:vAlign w:val="bottom"/>
          </w:tcPr>
          <w:p w14:paraId="0936BB5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3BD5997" w14:textId="77777777" w:rsidR="00AC5C0C" w:rsidRPr="00B02BA3" w:rsidRDefault="00AC5C0C" w:rsidP="00922116">
            <w:pPr>
              <w:pStyle w:val="VSmCellBody"/>
              <w:jc w:val="right"/>
              <w:rPr>
                <w:sz w:val="16"/>
                <w:szCs w:val="16"/>
              </w:rPr>
            </w:pPr>
            <w:r w:rsidRPr="00B02BA3">
              <w:rPr>
                <w:sz w:val="16"/>
                <w:szCs w:val="16"/>
              </w:rPr>
              <w:t> August 2025</w:t>
            </w:r>
          </w:p>
        </w:tc>
        <w:tc>
          <w:tcPr>
            <w:tcW w:w="236" w:type="dxa"/>
            <w:vAlign w:val="bottom"/>
          </w:tcPr>
          <w:p w14:paraId="6222A1B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5A1C0BD" w14:textId="77777777" w:rsidR="00AC5C0C" w:rsidRPr="00B02BA3" w:rsidRDefault="00AC5C0C" w:rsidP="00922116">
            <w:pPr>
              <w:pStyle w:val="VSmCellBody"/>
              <w:jc w:val="right"/>
              <w:rPr>
                <w:sz w:val="16"/>
                <w:szCs w:val="16"/>
              </w:rPr>
            </w:pPr>
            <w:r w:rsidRPr="00B02BA3">
              <w:rPr>
                <w:sz w:val="16"/>
                <w:szCs w:val="16"/>
              </w:rPr>
              <w:t>15 years</w:t>
            </w:r>
          </w:p>
        </w:tc>
        <w:tc>
          <w:tcPr>
            <w:tcW w:w="236" w:type="dxa"/>
            <w:vAlign w:val="bottom"/>
          </w:tcPr>
          <w:p w14:paraId="096C10C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1CBFD95" w14:textId="77777777" w:rsidR="00AC5C0C" w:rsidRPr="00B02BA3" w:rsidRDefault="00AC5C0C" w:rsidP="00922116">
            <w:pPr>
              <w:pStyle w:val="VSmCellBody"/>
              <w:jc w:val="right"/>
              <w:rPr>
                <w:sz w:val="16"/>
                <w:szCs w:val="16"/>
              </w:rPr>
            </w:pPr>
            <w:r w:rsidRPr="00B02BA3">
              <w:rPr>
                <w:sz w:val="16"/>
                <w:szCs w:val="16"/>
              </w:rPr>
              <w:t>none</w:t>
            </w:r>
          </w:p>
        </w:tc>
        <w:tc>
          <w:tcPr>
            <w:tcW w:w="236" w:type="dxa"/>
            <w:vAlign w:val="bottom"/>
          </w:tcPr>
          <w:p w14:paraId="59CBF074" w14:textId="77777777" w:rsidR="00AC5C0C" w:rsidRPr="00B02BA3" w:rsidRDefault="00AC5C0C" w:rsidP="00922116">
            <w:pPr>
              <w:pStyle w:val="CellRowSpacer"/>
              <w:rPr>
                <w:sz w:val="16"/>
                <w:szCs w:val="16"/>
              </w:rPr>
            </w:pPr>
          </w:p>
        </w:tc>
      </w:tr>
      <w:tr w:rsidR="00AC5C0C" w:rsidRPr="00B02BA3" w14:paraId="69EE0FD6" w14:textId="77777777" w:rsidTr="00922116">
        <w:tc>
          <w:tcPr>
            <w:tcW w:w="3163" w:type="dxa"/>
            <w:vAlign w:val="bottom"/>
          </w:tcPr>
          <w:p w14:paraId="15AF11CB"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Masirah</w:t>
            </w:r>
            <w:r w:rsidRPr="00B02BA3">
              <w:rPr>
                <w:rFonts w:eastAsia="SimSun"/>
                <w:sz w:val="16"/>
                <w:szCs w:val="16"/>
              </w:rPr>
              <w:tab/>
            </w:r>
          </w:p>
        </w:tc>
        <w:tc>
          <w:tcPr>
            <w:tcW w:w="236" w:type="dxa"/>
            <w:vAlign w:val="bottom"/>
          </w:tcPr>
          <w:p w14:paraId="784A664B" w14:textId="77777777" w:rsidR="00AC5C0C" w:rsidRPr="00B02BA3" w:rsidRDefault="00AC5C0C" w:rsidP="00922116">
            <w:pPr>
              <w:pStyle w:val="CellRowSpacer"/>
              <w:rPr>
                <w:sz w:val="16"/>
                <w:szCs w:val="16"/>
              </w:rPr>
            </w:pPr>
          </w:p>
        </w:tc>
        <w:tc>
          <w:tcPr>
            <w:tcW w:w="907" w:type="dxa"/>
            <w:vAlign w:val="bottom"/>
          </w:tcPr>
          <w:p w14:paraId="59434B5F" w14:textId="77777777" w:rsidR="00AC5C0C" w:rsidRPr="00B02BA3" w:rsidRDefault="00AC5C0C" w:rsidP="00922116">
            <w:pPr>
              <w:pStyle w:val="VSmCellBody"/>
              <w:jc w:val="right"/>
              <w:rPr>
                <w:sz w:val="16"/>
                <w:szCs w:val="16"/>
              </w:rPr>
            </w:pPr>
            <w:r w:rsidRPr="00B02BA3">
              <w:rPr>
                <w:sz w:val="16"/>
                <w:szCs w:val="16"/>
              </w:rPr>
              <w:t> OQ</w:t>
            </w:r>
          </w:p>
        </w:tc>
        <w:tc>
          <w:tcPr>
            <w:tcW w:w="236" w:type="dxa"/>
            <w:vAlign w:val="bottom"/>
          </w:tcPr>
          <w:p w14:paraId="05AF6CB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5EB0705" w14:textId="77777777" w:rsidR="00AC5C0C" w:rsidRPr="00B02BA3" w:rsidRDefault="00AC5C0C" w:rsidP="00922116">
            <w:pPr>
              <w:pStyle w:val="VSmCellBody"/>
              <w:jc w:val="right"/>
              <w:rPr>
                <w:sz w:val="16"/>
                <w:szCs w:val="16"/>
              </w:rPr>
            </w:pPr>
            <w:r w:rsidRPr="00B02BA3">
              <w:rPr>
                <w:sz w:val="16"/>
                <w:szCs w:val="16"/>
              </w:rPr>
              <w:t> March 2007</w:t>
            </w:r>
          </w:p>
        </w:tc>
        <w:tc>
          <w:tcPr>
            <w:tcW w:w="236" w:type="dxa"/>
            <w:vAlign w:val="bottom"/>
          </w:tcPr>
          <w:p w14:paraId="1479106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377F5A0" w14:textId="77777777" w:rsidR="00AC5C0C" w:rsidRPr="00B02BA3" w:rsidDel="00986B80" w:rsidRDefault="00AC5C0C" w:rsidP="00922116">
            <w:pPr>
              <w:pStyle w:val="VSmCellBody"/>
              <w:jc w:val="right"/>
              <w:rPr>
                <w:sz w:val="16"/>
                <w:szCs w:val="16"/>
              </w:rPr>
            </w:pPr>
            <w:r w:rsidRPr="00B02BA3">
              <w:rPr>
                <w:sz w:val="16"/>
                <w:szCs w:val="16"/>
              </w:rPr>
              <w:t>March 2027</w:t>
            </w:r>
          </w:p>
        </w:tc>
        <w:tc>
          <w:tcPr>
            <w:tcW w:w="236" w:type="dxa"/>
            <w:vAlign w:val="bottom"/>
          </w:tcPr>
          <w:p w14:paraId="2C16AE4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D299C22" w14:textId="77777777" w:rsidR="00AC5C0C" w:rsidRPr="00B02BA3" w:rsidRDefault="00AC5C0C" w:rsidP="00922116">
            <w:pPr>
              <w:pStyle w:val="VSmCellBody"/>
              <w:jc w:val="right"/>
              <w:rPr>
                <w:sz w:val="16"/>
                <w:szCs w:val="16"/>
              </w:rPr>
            </w:pPr>
            <w:r w:rsidRPr="00B02BA3">
              <w:rPr>
                <w:sz w:val="16"/>
                <w:szCs w:val="16"/>
              </w:rPr>
              <w:t xml:space="preserve">20 years </w:t>
            </w:r>
          </w:p>
        </w:tc>
        <w:tc>
          <w:tcPr>
            <w:tcW w:w="236" w:type="dxa"/>
            <w:vAlign w:val="bottom"/>
          </w:tcPr>
          <w:p w14:paraId="4057AE3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EC3B3DE" w14:textId="77777777" w:rsidR="00AC5C0C" w:rsidRPr="00B02BA3" w:rsidDel="00986B80" w:rsidRDefault="00AC5C0C" w:rsidP="00922116">
            <w:pPr>
              <w:pStyle w:val="VSmCellBody"/>
              <w:jc w:val="right"/>
              <w:rPr>
                <w:sz w:val="16"/>
                <w:szCs w:val="16"/>
              </w:rPr>
            </w:pPr>
            <w:r w:rsidRPr="00B02BA3">
              <w:rPr>
                <w:sz w:val="16"/>
                <w:szCs w:val="16"/>
              </w:rPr>
              <w:t>none</w:t>
            </w:r>
          </w:p>
        </w:tc>
        <w:tc>
          <w:tcPr>
            <w:tcW w:w="236" w:type="dxa"/>
            <w:vAlign w:val="bottom"/>
          </w:tcPr>
          <w:p w14:paraId="34D852D2" w14:textId="77777777" w:rsidR="00AC5C0C" w:rsidRPr="00B02BA3" w:rsidRDefault="00AC5C0C" w:rsidP="00922116">
            <w:pPr>
              <w:pStyle w:val="CellRowSpacer"/>
              <w:rPr>
                <w:sz w:val="16"/>
                <w:szCs w:val="16"/>
              </w:rPr>
            </w:pPr>
          </w:p>
        </w:tc>
      </w:tr>
      <w:tr w:rsidR="00AC5C0C" w:rsidRPr="00B02BA3" w14:paraId="5FFD1B8E" w14:textId="77777777" w:rsidTr="00922116">
        <w:tc>
          <w:tcPr>
            <w:tcW w:w="3163" w:type="dxa"/>
            <w:vAlign w:val="bottom"/>
          </w:tcPr>
          <w:p w14:paraId="6CE284DE"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Muscat Silver</w:t>
            </w:r>
            <w:r w:rsidRPr="00B02BA3">
              <w:rPr>
                <w:rFonts w:eastAsia="SimSun"/>
                <w:sz w:val="16"/>
                <w:szCs w:val="16"/>
              </w:rPr>
              <w:tab/>
            </w:r>
          </w:p>
        </w:tc>
        <w:tc>
          <w:tcPr>
            <w:tcW w:w="236" w:type="dxa"/>
            <w:vAlign w:val="bottom"/>
          </w:tcPr>
          <w:p w14:paraId="491029B7" w14:textId="77777777" w:rsidR="00AC5C0C" w:rsidRPr="00B02BA3" w:rsidRDefault="00AC5C0C" w:rsidP="00922116">
            <w:pPr>
              <w:pStyle w:val="CellRowSpacer"/>
              <w:rPr>
                <w:sz w:val="16"/>
                <w:szCs w:val="16"/>
              </w:rPr>
            </w:pPr>
          </w:p>
        </w:tc>
        <w:tc>
          <w:tcPr>
            <w:tcW w:w="907" w:type="dxa"/>
            <w:vAlign w:val="bottom"/>
          </w:tcPr>
          <w:p w14:paraId="0C1D2F12" w14:textId="77777777" w:rsidR="00AC5C0C" w:rsidRPr="00B02BA3" w:rsidRDefault="00AC5C0C" w:rsidP="00922116">
            <w:pPr>
              <w:pStyle w:val="VSmCellBody"/>
              <w:jc w:val="right"/>
              <w:rPr>
                <w:sz w:val="16"/>
                <w:szCs w:val="16"/>
              </w:rPr>
            </w:pPr>
            <w:r w:rsidRPr="00B02BA3">
              <w:rPr>
                <w:sz w:val="16"/>
                <w:szCs w:val="16"/>
              </w:rPr>
              <w:t> Shell</w:t>
            </w:r>
          </w:p>
        </w:tc>
        <w:tc>
          <w:tcPr>
            <w:tcW w:w="236" w:type="dxa"/>
            <w:vAlign w:val="bottom"/>
          </w:tcPr>
          <w:p w14:paraId="56A373F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7A5C8CA" w14:textId="77777777" w:rsidR="00AC5C0C" w:rsidRPr="00B02BA3" w:rsidRDefault="00AC5C0C" w:rsidP="00922116">
            <w:pPr>
              <w:pStyle w:val="VSmCellBody"/>
              <w:jc w:val="right"/>
              <w:rPr>
                <w:sz w:val="16"/>
                <w:szCs w:val="16"/>
              </w:rPr>
            </w:pPr>
            <w:r w:rsidRPr="00B02BA3">
              <w:rPr>
                <w:sz w:val="16"/>
                <w:szCs w:val="16"/>
              </w:rPr>
              <w:t> November 2015</w:t>
            </w:r>
          </w:p>
        </w:tc>
        <w:tc>
          <w:tcPr>
            <w:tcW w:w="236" w:type="dxa"/>
            <w:vAlign w:val="bottom"/>
          </w:tcPr>
          <w:p w14:paraId="0E14CE5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F3CBB18" w14:textId="77777777" w:rsidR="00AC5C0C" w:rsidRPr="00B02BA3" w:rsidDel="00986B80" w:rsidRDefault="00AC5C0C" w:rsidP="00922116">
            <w:pPr>
              <w:pStyle w:val="VSmCellBody"/>
              <w:jc w:val="right"/>
              <w:rPr>
                <w:sz w:val="16"/>
                <w:szCs w:val="16"/>
              </w:rPr>
            </w:pPr>
            <w:r w:rsidRPr="00B02BA3">
              <w:rPr>
                <w:sz w:val="16"/>
                <w:szCs w:val="16"/>
              </w:rPr>
              <w:t>December 2025</w:t>
            </w:r>
          </w:p>
        </w:tc>
        <w:tc>
          <w:tcPr>
            <w:tcW w:w="236" w:type="dxa"/>
            <w:vAlign w:val="bottom"/>
          </w:tcPr>
          <w:p w14:paraId="67E2593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1866AF9" w14:textId="77777777" w:rsidR="00AC5C0C" w:rsidRPr="00B02BA3" w:rsidRDefault="00AC5C0C" w:rsidP="00922116">
            <w:pPr>
              <w:pStyle w:val="VSmCellBody"/>
              <w:jc w:val="right"/>
              <w:rPr>
                <w:sz w:val="16"/>
                <w:szCs w:val="16"/>
              </w:rPr>
            </w:pPr>
            <w:r w:rsidRPr="00B02BA3">
              <w:rPr>
                <w:sz w:val="16"/>
                <w:szCs w:val="16"/>
              </w:rPr>
              <w:t> 7 years</w:t>
            </w:r>
          </w:p>
        </w:tc>
        <w:tc>
          <w:tcPr>
            <w:tcW w:w="236" w:type="dxa"/>
            <w:vAlign w:val="bottom"/>
          </w:tcPr>
          <w:p w14:paraId="4CC2CF4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8971509" w14:textId="77777777" w:rsidR="00AC5C0C" w:rsidRPr="00B02BA3" w:rsidDel="00986B80" w:rsidRDefault="00AC5C0C" w:rsidP="00922116">
            <w:pPr>
              <w:pStyle w:val="VSmCellBody"/>
              <w:jc w:val="right"/>
              <w:rPr>
                <w:sz w:val="16"/>
                <w:szCs w:val="16"/>
              </w:rPr>
            </w:pPr>
            <w:r w:rsidRPr="00B02BA3">
              <w:rPr>
                <w:sz w:val="16"/>
                <w:szCs w:val="16"/>
              </w:rPr>
              <w:t>1+1+1</w:t>
            </w:r>
          </w:p>
        </w:tc>
        <w:tc>
          <w:tcPr>
            <w:tcW w:w="236" w:type="dxa"/>
            <w:vAlign w:val="bottom"/>
          </w:tcPr>
          <w:p w14:paraId="070EDB3B" w14:textId="77777777" w:rsidR="00AC5C0C" w:rsidRPr="00B02BA3" w:rsidRDefault="00AC5C0C" w:rsidP="00922116">
            <w:pPr>
              <w:pStyle w:val="CellRowSpacer"/>
              <w:rPr>
                <w:sz w:val="16"/>
                <w:szCs w:val="16"/>
              </w:rPr>
            </w:pPr>
          </w:p>
        </w:tc>
      </w:tr>
      <w:tr w:rsidR="00AC5C0C" w:rsidRPr="00B02BA3" w14:paraId="5D30722F" w14:textId="77777777" w:rsidTr="00922116">
        <w:tc>
          <w:tcPr>
            <w:tcW w:w="3163" w:type="dxa"/>
            <w:vAlign w:val="bottom"/>
          </w:tcPr>
          <w:p w14:paraId="0C170E7A" w14:textId="77777777" w:rsidR="00AC5C0C" w:rsidRPr="00B02BA3" w:rsidRDefault="00AC5C0C" w:rsidP="00922116">
            <w:pPr>
              <w:pStyle w:val="VSmCellBody"/>
              <w:tabs>
                <w:tab w:val="right" w:leader="dot" w:pos="3163"/>
              </w:tabs>
              <w:rPr>
                <w:rFonts w:eastAsia="SimSun"/>
                <w:sz w:val="16"/>
                <w:szCs w:val="16"/>
              </w:rPr>
            </w:pPr>
            <w:proofErr w:type="spellStart"/>
            <w:r w:rsidRPr="00B02BA3">
              <w:rPr>
                <w:rFonts w:eastAsia="SimSun"/>
                <w:sz w:val="16"/>
                <w:szCs w:val="16"/>
              </w:rPr>
              <w:t>Rustaq</w:t>
            </w:r>
            <w:proofErr w:type="spellEnd"/>
            <w:r w:rsidRPr="00B02BA3">
              <w:rPr>
                <w:rFonts w:eastAsia="SimSun"/>
                <w:sz w:val="16"/>
                <w:szCs w:val="16"/>
              </w:rPr>
              <w:t xml:space="preserve"> Silver</w:t>
            </w:r>
            <w:r w:rsidRPr="00B02BA3">
              <w:rPr>
                <w:rFonts w:eastAsia="SimSun"/>
                <w:sz w:val="16"/>
                <w:szCs w:val="16"/>
              </w:rPr>
              <w:tab/>
            </w:r>
          </w:p>
        </w:tc>
        <w:tc>
          <w:tcPr>
            <w:tcW w:w="236" w:type="dxa"/>
            <w:vAlign w:val="bottom"/>
          </w:tcPr>
          <w:p w14:paraId="6B930368" w14:textId="77777777" w:rsidR="00AC5C0C" w:rsidRPr="00B02BA3" w:rsidRDefault="00AC5C0C" w:rsidP="00922116">
            <w:pPr>
              <w:pStyle w:val="CellRowSpacer"/>
              <w:rPr>
                <w:sz w:val="16"/>
                <w:szCs w:val="16"/>
              </w:rPr>
            </w:pPr>
          </w:p>
        </w:tc>
        <w:tc>
          <w:tcPr>
            <w:tcW w:w="907" w:type="dxa"/>
            <w:vAlign w:val="bottom"/>
          </w:tcPr>
          <w:p w14:paraId="01F6A99E" w14:textId="77777777" w:rsidR="00AC5C0C" w:rsidRPr="00B02BA3" w:rsidRDefault="00AC5C0C" w:rsidP="00922116">
            <w:pPr>
              <w:pStyle w:val="VSmCellBody"/>
              <w:jc w:val="right"/>
              <w:rPr>
                <w:sz w:val="16"/>
                <w:szCs w:val="16"/>
              </w:rPr>
            </w:pPr>
            <w:r w:rsidRPr="00B02BA3">
              <w:rPr>
                <w:sz w:val="16"/>
                <w:szCs w:val="16"/>
              </w:rPr>
              <w:t>Shell</w:t>
            </w:r>
          </w:p>
        </w:tc>
        <w:tc>
          <w:tcPr>
            <w:tcW w:w="236" w:type="dxa"/>
            <w:vAlign w:val="bottom"/>
          </w:tcPr>
          <w:p w14:paraId="6ED5B73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7E18D66" w14:textId="77777777" w:rsidR="00AC5C0C" w:rsidRPr="00B02BA3" w:rsidRDefault="00AC5C0C" w:rsidP="00922116">
            <w:pPr>
              <w:pStyle w:val="VSmCellBody"/>
              <w:jc w:val="right"/>
              <w:rPr>
                <w:sz w:val="16"/>
                <w:szCs w:val="16"/>
              </w:rPr>
            </w:pPr>
            <w:r w:rsidRPr="00B02BA3">
              <w:rPr>
                <w:sz w:val="16"/>
                <w:szCs w:val="16"/>
              </w:rPr>
              <w:t> December 2015</w:t>
            </w:r>
          </w:p>
        </w:tc>
        <w:tc>
          <w:tcPr>
            <w:tcW w:w="236" w:type="dxa"/>
            <w:vAlign w:val="bottom"/>
          </w:tcPr>
          <w:p w14:paraId="42FA4E4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7990967" w14:textId="77777777" w:rsidR="00AC5C0C" w:rsidRPr="00B02BA3" w:rsidDel="00986B80" w:rsidRDefault="00AC5C0C" w:rsidP="00922116">
            <w:pPr>
              <w:pStyle w:val="VSmCellBody"/>
              <w:jc w:val="right"/>
              <w:rPr>
                <w:sz w:val="16"/>
                <w:szCs w:val="16"/>
              </w:rPr>
            </w:pPr>
            <w:r w:rsidRPr="00B02BA3">
              <w:rPr>
                <w:sz w:val="16"/>
                <w:szCs w:val="16"/>
              </w:rPr>
              <w:t>January 2026</w:t>
            </w:r>
          </w:p>
        </w:tc>
        <w:tc>
          <w:tcPr>
            <w:tcW w:w="236" w:type="dxa"/>
            <w:vAlign w:val="bottom"/>
          </w:tcPr>
          <w:p w14:paraId="650A7C9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E59EA2B" w14:textId="77777777" w:rsidR="00AC5C0C" w:rsidRPr="00B02BA3" w:rsidRDefault="00AC5C0C" w:rsidP="00922116">
            <w:pPr>
              <w:pStyle w:val="VSmCellBody"/>
              <w:jc w:val="right"/>
              <w:rPr>
                <w:sz w:val="16"/>
                <w:szCs w:val="16"/>
              </w:rPr>
            </w:pPr>
            <w:r w:rsidRPr="00B02BA3">
              <w:rPr>
                <w:sz w:val="16"/>
                <w:szCs w:val="16"/>
              </w:rPr>
              <w:t> 7 years</w:t>
            </w:r>
          </w:p>
        </w:tc>
        <w:tc>
          <w:tcPr>
            <w:tcW w:w="236" w:type="dxa"/>
            <w:vAlign w:val="bottom"/>
          </w:tcPr>
          <w:p w14:paraId="3A795A8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C91A309" w14:textId="77777777" w:rsidR="00AC5C0C" w:rsidRPr="00B02BA3" w:rsidDel="00986B80" w:rsidRDefault="00AC5C0C" w:rsidP="00922116">
            <w:pPr>
              <w:pStyle w:val="VSmCellBody"/>
              <w:jc w:val="right"/>
              <w:rPr>
                <w:sz w:val="16"/>
                <w:szCs w:val="16"/>
              </w:rPr>
            </w:pPr>
            <w:r w:rsidRPr="00B02BA3">
              <w:rPr>
                <w:sz w:val="16"/>
                <w:szCs w:val="16"/>
              </w:rPr>
              <w:t> 1+1+1+1+1</w:t>
            </w:r>
          </w:p>
        </w:tc>
        <w:tc>
          <w:tcPr>
            <w:tcW w:w="236" w:type="dxa"/>
            <w:vAlign w:val="bottom"/>
          </w:tcPr>
          <w:p w14:paraId="5A28757F" w14:textId="77777777" w:rsidR="00AC5C0C" w:rsidRPr="00B02BA3" w:rsidRDefault="00AC5C0C" w:rsidP="00922116">
            <w:pPr>
              <w:pStyle w:val="CellRowSpacer"/>
              <w:rPr>
                <w:sz w:val="16"/>
                <w:szCs w:val="16"/>
              </w:rPr>
            </w:pPr>
          </w:p>
        </w:tc>
      </w:tr>
      <w:tr w:rsidR="00AC5C0C" w:rsidRPr="00B02BA3" w14:paraId="5B75BE86" w14:textId="77777777" w:rsidTr="00922116">
        <w:tc>
          <w:tcPr>
            <w:tcW w:w="3163" w:type="dxa"/>
            <w:vAlign w:val="bottom"/>
          </w:tcPr>
          <w:p w14:paraId="2699683E" w14:textId="77777777" w:rsidR="00AC5C0C" w:rsidRPr="00B02BA3" w:rsidRDefault="00AC5C0C" w:rsidP="00922116">
            <w:pPr>
              <w:pStyle w:val="VSmCellBody"/>
              <w:tabs>
                <w:tab w:val="right" w:leader="dot" w:pos="3163"/>
              </w:tabs>
              <w:rPr>
                <w:rFonts w:eastAsia="SimSun"/>
                <w:sz w:val="16"/>
                <w:szCs w:val="16"/>
              </w:rPr>
            </w:pPr>
            <w:proofErr w:type="spellStart"/>
            <w:r w:rsidRPr="00B02BA3">
              <w:rPr>
                <w:rFonts w:eastAsia="SimSun"/>
                <w:sz w:val="16"/>
                <w:szCs w:val="16"/>
              </w:rPr>
              <w:t>Nakhal</w:t>
            </w:r>
            <w:proofErr w:type="spellEnd"/>
            <w:r w:rsidRPr="00B02BA3">
              <w:rPr>
                <w:rFonts w:eastAsia="SimSun"/>
                <w:sz w:val="16"/>
                <w:szCs w:val="16"/>
              </w:rPr>
              <w:t xml:space="preserve"> Silver</w:t>
            </w:r>
            <w:r w:rsidRPr="00B02BA3">
              <w:rPr>
                <w:rFonts w:eastAsia="SimSun"/>
                <w:sz w:val="16"/>
                <w:szCs w:val="16"/>
              </w:rPr>
              <w:tab/>
            </w:r>
          </w:p>
        </w:tc>
        <w:tc>
          <w:tcPr>
            <w:tcW w:w="236" w:type="dxa"/>
            <w:vAlign w:val="bottom"/>
          </w:tcPr>
          <w:p w14:paraId="6640CCF7" w14:textId="77777777" w:rsidR="00AC5C0C" w:rsidRPr="00B02BA3" w:rsidRDefault="00AC5C0C" w:rsidP="00922116">
            <w:pPr>
              <w:pStyle w:val="CellRowSpacer"/>
              <w:rPr>
                <w:sz w:val="16"/>
                <w:szCs w:val="16"/>
              </w:rPr>
            </w:pPr>
          </w:p>
        </w:tc>
        <w:tc>
          <w:tcPr>
            <w:tcW w:w="907" w:type="dxa"/>
            <w:vAlign w:val="bottom"/>
          </w:tcPr>
          <w:p w14:paraId="5F0413A5" w14:textId="77777777" w:rsidR="00AC5C0C" w:rsidRPr="00B02BA3" w:rsidRDefault="00AC5C0C" w:rsidP="00922116">
            <w:pPr>
              <w:pStyle w:val="VSmCellBody"/>
              <w:jc w:val="right"/>
              <w:rPr>
                <w:sz w:val="16"/>
                <w:szCs w:val="16"/>
              </w:rPr>
            </w:pPr>
            <w:r w:rsidRPr="00B02BA3">
              <w:rPr>
                <w:sz w:val="16"/>
                <w:szCs w:val="16"/>
              </w:rPr>
              <w:t>Shell</w:t>
            </w:r>
          </w:p>
        </w:tc>
        <w:tc>
          <w:tcPr>
            <w:tcW w:w="236" w:type="dxa"/>
            <w:vAlign w:val="bottom"/>
          </w:tcPr>
          <w:p w14:paraId="3A727AB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4DA3C75" w14:textId="77777777" w:rsidR="00AC5C0C" w:rsidRPr="00B02BA3" w:rsidRDefault="00AC5C0C" w:rsidP="00922116">
            <w:pPr>
              <w:pStyle w:val="VSmCellBody"/>
              <w:jc w:val="right"/>
              <w:rPr>
                <w:sz w:val="16"/>
                <w:szCs w:val="16"/>
              </w:rPr>
            </w:pPr>
            <w:r w:rsidRPr="00B02BA3">
              <w:rPr>
                <w:sz w:val="16"/>
                <w:szCs w:val="16"/>
              </w:rPr>
              <w:t> June 2016</w:t>
            </w:r>
          </w:p>
        </w:tc>
        <w:tc>
          <w:tcPr>
            <w:tcW w:w="236" w:type="dxa"/>
            <w:vAlign w:val="bottom"/>
          </w:tcPr>
          <w:p w14:paraId="534E3203"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9E1914D" w14:textId="77777777" w:rsidR="00AC5C0C" w:rsidRPr="00B02BA3" w:rsidDel="00986B80" w:rsidRDefault="00AC5C0C" w:rsidP="00922116">
            <w:pPr>
              <w:pStyle w:val="VSmCellBody"/>
              <w:jc w:val="right"/>
              <w:rPr>
                <w:sz w:val="16"/>
                <w:szCs w:val="16"/>
              </w:rPr>
            </w:pPr>
            <w:r w:rsidRPr="00B02BA3">
              <w:rPr>
                <w:sz w:val="16"/>
                <w:szCs w:val="16"/>
              </w:rPr>
              <w:t>February 2026</w:t>
            </w:r>
          </w:p>
        </w:tc>
        <w:tc>
          <w:tcPr>
            <w:tcW w:w="236" w:type="dxa"/>
            <w:vAlign w:val="bottom"/>
          </w:tcPr>
          <w:p w14:paraId="5D902C9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F0C3D67" w14:textId="77777777" w:rsidR="00AC5C0C" w:rsidRPr="00B02BA3" w:rsidRDefault="00AC5C0C" w:rsidP="00922116">
            <w:pPr>
              <w:pStyle w:val="VSmCellBody"/>
              <w:jc w:val="right"/>
              <w:rPr>
                <w:sz w:val="16"/>
                <w:szCs w:val="16"/>
              </w:rPr>
            </w:pPr>
            <w:r w:rsidRPr="00B02BA3">
              <w:rPr>
                <w:sz w:val="16"/>
                <w:szCs w:val="16"/>
              </w:rPr>
              <w:t> 7 years</w:t>
            </w:r>
          </w:p>
        </w:tc>
        <w:tc>
          <w:tcPr>
            <w:tcW w:w="236" w:type="dxa"/>
            <w:vAlign w:val="bottom"/>
          </w:tcPr>
          <w:p w14:paraId="139C855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6B51ED1" w14:textId="77777777" w:rsidR="00AC5C0C" w:rsidRPr="00B02BA3" w:rsidDel="00986B80" w:rsidRDefault="00AC5C0C" w:rsidP="00922116">
            <w:pPr>
              <w:pStyle w:val="VSmCellBody"/>
              <w:jc w:val="right"/>
              <w:rPr>
                <w:sz w:val="16"/>
                <w:szCs w:val="16"/>
              </w:rPr>
            </w:pPr>
            <w:r w:rsidRPr="00B02BA3">
              <w:rPr>
                <w:sz w:val="16"/>
                <w:szCs w:val="16"/>
              </w:rPr>
              <w:t> 1+1+1</w:t>
            </w:r>
          </w:p>
        </w:tc>
        <w:tc>
          <w:tcPr>
            <w:tcW w:w="236" w:type="dxa"/>
            <w:vAlign w:val="bottom"/>
          </w:tcPr>
          <w:p w14:paraId="1D6C368F" w14:textId="77777777" w:rsidR="00AC5C0C" w:rsidRPr="00B02BA3" w:rsidRDefault="00AC5C0C" w:rsidP="00922116">
            <w:pPr>
              <w:pStyle w:val="CellRowSpacer"/>
              <w:rPr>
                <w:sz w:val="16"/>
                <w:szCs w:val="16"/>
              </w:rPr>
            </w:pPr>
          </w:p>
        </w:tc>
      </w:tr>
      <w:tr w:rsidR="00AC5C0C" w:rsidRPr="00B02BA3" w14:paraId="33978B2C" w14:textId="77777777" w:rsidTr="00922116">
        <w:tc>
          <w:tcPr>
            <w:tcW w:w="3163" w:type="dxa"/>
            <w:vAlign w:val="bottom"/>
          </w:tcPr>
          <w:p w14:paraId="4F1B0BD2" w14:textId="77777777" w:rsidR="00AC5C0C" w:rsidRPr="00B02BA3" w:rsidRDefault="00AC5C0C" w:rsidP="00922116">
            <w:pPr>
              <w:pStyle w:val="VSmCellBody"/>
              <w:tabs>
                <w:tab w:val="right" w:leader="dot" w:pos="3163"/>
              </w:tabs>
              <w:rPr>
                <w:rFonts w:eastAsia="SimSun"/>
                <w:sz w:val="16"/>
                <w:szCs w:val="16"/>
              </w:rPr>
            </w:pPr>
            <w:proofErr w:type="spellStart"/>
            <w:r w:rsidRPr="00B02BA3">
              <w:rPr>
                <w:rFonts w:eastAsia="SimSun"/>
                <w:sz w:val="16"/>
                <w:szCs w:val="16"/>
              </w:rPr>
              <w:t>Mahadah</w:t>
            </w:r>
            <w:proofErr w:type="spellEnd"/>
            <w:r w:rsidRPr="00B02BA3">
              <w:rPr>
                <w:rFonts w:eastAsia="SimSun"/>
                <w:sz w:val="16"/>
                <w:szCs w:val="16"/>
              </w:rPr>
              <w:t xml:space="preserve"> Silver</w:t>
            </w:r>
            <w:r w:rsidRPr="00B02BA3">
              <w:rPr>
                <w:rFonts w:eastAsia="SimSun"/>
                <w:sz w:val="16"/>
                <w:szCs w:val="16"/>
              </w:rPr>
              <w:tab/>
            </w:r>
          </w:p>
        </w:tc>
        <w:tc>
          <w:tcPr>
            <w:tcW w:w="236" w:type="dxa"/>
            <w:vAlign w:val="bottom"/>
          </w:tcPr>
          <w:p w14:paraId="5BA15BC4" w14:textId="77777777" w:rsidR="00AC5C0C" w:rsidRPr="00B02BA3" w:rsidRDefault="00AC5C0C" w:rsidP="00922116">
            <w:pPr>
              <w:pStyle w:val="CellRowSpacer"/>
              <w:rPr>
                <w:sz w:val="16"/>
                <w:szCs w:val="16"/>
              </w:rPr>
            </w:pPr>
          </w:p>
        </w:tc>
        <w:tc>
          <w:tcPr>
            <w:tcW w:w="907" w:type="dxa"/>
            <w:vAlign w:val="bottom"/>
          </w:tcPr>
          <w:p w14:paraId="584A5E4B" w14:textId="77777777" w:rsidR="00AC5C0C" w:rsidRPr="00B02BA3" w:rsidRDefault="00AC5C0C" w:rsidP="00922116">
            <w:pPr>
              <w:pStyle w:val="VSmCellBody"/>
              <w:jc w:val="right"/>
              <w:rPr>
                <w:sz w:val="16"/>
                <w:szCs w:val="16"/>
              </w:rPr>
            </w:pPr>
            <w:r w:rsidRPr="00B02BA3">
              <w:rPr>
                <w:sz w:val="16"/>
                <w:szCs w:val="16"/>
              </w:rPr>
              <w:t>Shell</w:t>
            </w:r>
          </w:p>
        </w:tc>
        <w:tc>
          <w:tcPr>
            <w:tcW w:w="236" w:type="dxa"/>
            <w:vAlign w:val="bottom"/>
          </w:tcPr>
          <w:p w14:paraId="3810594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63D1609" w14:textId="77777777" w:rsidR="00AC5C0C" w:rsidRPr="00B02BA3" w:rsidRDefault="00AC5C0C" w:rsidP="00922116">
            <w:pPr>
              <w:pStyle w:val="VSmCellBody"/>
              <w:jc w:val="right"/>
              <w:rPr>
                <w:sz w:val="16"/>
                <w:szCs w:val="16"/>
              </w:rPr>
            </w:pPr>
            <w:r w:rsidRPr="00B02BA3">
              <w:rPr>
                <w:sz w:val="16"/>
                <w:szCs w:val="16"/>
              </w:rPr>
              <w:t> January 2016</w:t>
            </w:r>
          </w:p>
        </w:tc>
        <w:tc>
          <w:tcPr>
            <w:tcW w:w="236" w:type="dxa"/>
            <w:vAlign w:val="bottom"/>
          </w:tcPr>
          <w:p w14:paraId="5083480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76F6945" w14:textId="77777777" w:rsidR="00AC5C0C" w:rsidRPr="00B02BA3" w:rsidDel="00986B80" w:rsidRDefault="00AC5C0C" w:rsidP="00922116">
            <w:pPr>
              <w:pStyle w:val="VSmCellBody"/>
              <w:jc w:val="right"/>
              <w:rPr>
                <w:sz w:val="16"/>
                <w:szCs w:val="16"/>
              </w:rPr>
            </w:pPr>
            <w:r w:rsidRPr="00B02BA3">
              <w:rPr>
                <w:sz w:val="16"/>
                <w:szCs w:val="16"/>
              </w:rPr>
              <w:t>April 2025</w:t>
            </w:r>
          </w:p>
        </w:tc>
        <w:tc>
          <w:tcPr>
            <w:tcW w:w="236" w:type="dxa"/>
            <w:vAlign w:val="bottom"/>
          </w:tcPr>
          <w:p w14:paraId="68265A6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266EF32" w14:textId="77777777" w:rsidR="00AC5C0C" w:rsidRPr="00B02BA3" w:rsidRDefault="00AC5C0C" w:rsidP="00922116">
            <w:pPr>
              <w:pStyle w:val="VSmCellBody"/>
              <w:jc w:val="right"/>
              <w:rPr>
                <w:sz w:val="16"/>
                <w:szCs w:val="16"/>
              </w:rPr>
            </w:pPr>
            <w:r w:rsidRPr="00B02BA3">
              <w:rPr>
                <w:sz w:val="16"/>
                <w:szCs w:val="16"/>
              </w:rPr>
              <w:t> 7 years</w:t>
            </w:r>
          </w:p>
        </w:tc>
        <w:tc>
          <w:tcPr>
            <w:tcW w:w="236" w:type="dxa"/>
            <w:vAlign w:val="bottom"/>
          </w:tcPr>
          <w:p w14:paraId="61F3197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624F54C" w14:textId="77777777" w:rsidR="00AC5C0C" w:rsidRPr="00B02BA3" w:rsidDel="00986B80" w:rsidRDefault="00AC5C0C" w:rsidP="00922116">
            <w:pPr>
              <w:pStyle w:val="VSmCellBody"/>
              <w:jc w:val="right"/>
              <w:rPr>
                <w:sz w:val="16"/>
                <w:szCs w:val="16"/>
              </w:rPr>
            </w:pPr>
            <w:r w:rsidRPr="00B02BA3">
              <w:rPr>
                <w:sz w:val="16"/>
                <w:szCs w:val="16"/>
              </w:rPr>
              <w:t> 1+1+1+1+1</w:t>
            </w:r>
          </w:p>
        </w:tc>
        <w:tc>
          <w:tcPr>
            <w:tcW w:w="236" w:type="dxa"/>
            <w:vAlign w:val="bottom"/>
          </w:tcPr>
          <w:p w14:paraId="12E3433F" w14:textId="77777777" w:rsidR="00AC5C0C" w:rsidRPr="00B02BA3" w:rsidRDefault="00AC5C0C" w:rsidP="00922116">
            <w:pPr>
              <w:pStyle w:val="CellRowSpacer"/>
              <w:rPr>
                <w:sz w:val="16"/>
                <w:szCs w:val="16"/>
              </w:rPr>
            </w:pPr>
          </w:p>
        </w:tc>
      </w:tr>
      <w:tr w:rsidR="00AC5C0C" w:rsidRPr="00B02BA3" w14:paraId="7A04873A" w14:textId="77777777" w:rsidTr="00922116">
        <w:tc>
          <w:tcPr>
            <w:tcW w:w="3163" w:type="dxa"/>
            <w:vAlign w:val="bottom"/>
          </w:tcPr>
          <w:p w14:paraId="57C2F52B" w14:textId="77777777" w:rsidR="00AC5C0C" w:rsidRPr="00B02BA3" w:rsidRDefault="00AC5C0C" w:rsidP="00922116">
            <w:pPr>
              <w:pStyle w:val="VSmCellBody"/>
              <w:tabs>
                <w:tab w:val="right" w:leader="dot" w:pos="3163"/>
              </w:tabs>
              <w:rPr>
                <w:rFonts w:eastAsia="SimSun"/>
                <w:sz w:val="16"/>
                <w:szCs w:val="16"/>
              </w:rPr>
            </w:pPr>
            <w:proofErr w:type="spellStart"/>
            <w:r w:rsidRPr="00B02BA3">
              <w:rPr>
                <w:rFonts w:eastAsia="SimSun"/>
                <w:sz w:val="16"/>
                <w:szCs w:val="16"/>
              </w:rPr>
              <w:t>Muhut</w:t>
            </w:r>
            <w:proofErr w:type="spellEnd"/>
            <w:r w:rsidRPr="00B02BA3">
              <w:rPr>
                <w:rFonts w:eastAsia="SimSun"/>
                <w:sz w:val="16"/>
                <w:szCs w:val="16"/>
              </w:rPr>
              <w:t xml:space="preserve"> Silver</w:t>
            </w:r>
            <w:r w:rsidRPr="00B02BA3">
              <w:rPr>
                <w:rFonts w:eastAsia="SimSun"/>
                <w:sz w:val="16"/>
                <w:szCs w:val="16"/>
              </w:rPr>
              <w:tab/>
            </w:r>
          </w:p>
        </w:tc>
        <w:tc>
          <w:tcPr>
            <w:tcW w:w="236" w:type="dxa"/>
            <w:vAlign w:val="bottom"/>
          </w:tcPr>
          <w:p w14:paraId="6D4458D2" w14:textId="77777777" w:rsidR="00AC5C0C" w:rsidRPr="00B02BA3" w:rsidRDefault="00AC5C0C" w:rsidP="00922116">
            <w:pPr>
              <w:pStyle w:val="CellRowSpacer"/>
              <w:rPr>
                <w:sz w:val="16"/>
                <w:szCs w:val="16"/>
              </w:rPr>
            </w:pPr>
          </w:p>
        </w:tc>
        <w:tc>
          <w:tcPr>
            <w:tcW w:w="907" w:type="dxa"/>
            <w:vAlign w:val="bottom"/>
          </w:tcPr>
          <w:p w14:paraId="72106733" w14:textId="77777777" w:rsidR="00AC5C0C" w:rsidRPr="00B02BA3" w:rsidRDefault="00AC5C0C" w:rsidP="00922116">
            <w:pPr>
              <w:pStyle w:val="VSmCellBody"/>
              <w:jc w:val="right"/>
              <w:rPr>
                <w:sz w:val="16"/>
                <w:szCs w:val="16"/>
              </w:rPr>
            </w:pPr>
            <w:r w:rsidRPr="00B02BA3">
              <w:rPr>
                <w:sz w:val="16"/>
                <w:szCs w:val="16"/>
              </w:rPr>
              <w:t>Shell</w:t>
            </w:r>
          </w:p>
        </w:tc>
        <w:tc>
          <w:tcPr>
            <w:tcW w:w="236" w:type="dxa"/>
            <w:vAlign w:val="bottom"/>
          </w:tcPr>
          <w:p w14:paraId="7A53F38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1B37B50" w14:textId="77777777" w:rsidR="00AC5C0C" w:rsidRPr="00B02BA3" w:rsidRDefault="00AC5C0C" w:rsidP="00922116">
            <w:pPr>
              <w:pStyle w:val="VSmCellBody"/>
              <w:jc w:val="right"/>
              <w:rPr>
                <w:sz w:val="16"/>
                <w:szCs w:val="16"/>
              </w:rPr>
            </w:pPr>
            <w:r w:rsidRPr="00B02BA3">
              <w:rPr>
                <w:sz w:val="16"/>
                <w:szCs w:val="16"/>
              </w:rPr>
              <w:t> February 2016</w:t>
            </w:r>
          </w:p>
        </w:tc>
        <w:tc>
          <w:tcPr>
            <w:tcW w:w="236" w:type="dxa"/>
            <w:vAlign w:val="bottom"/>
          </w:tcPr>
          <w:p w14:paraId="5D8E4EC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7701FC7" w14:textId="77777777" w:rsidR="00AC5C0C" w:rsidRPr="00B02BA3" w:rsidDel="00986B80" w:rsidRDefault="00AC5C0C" w:rsidP="00922116">
            <w:pPr>
              <w:pStyle w:val="VSmCellBody"/>
              <w:jc w:val="right"/>
              <w:rPr>
                <w:sz w:val="16"/>
                <w:szCs w:val="16"/>
              </w:rPr>
            </w:pPr>
            <w:r w:rsidRPr="00B02BA3">
              <w:rPr>
                <w:sz w:val="16"/>
                <w:szCs w:val="16"/>
              </w:rPr>
              <w:t>March 2025</w:t>
            </w:r>
          </w:p>
        </w:tc>
        <w:tc>
          <w:tcPr>
            <w:tcW w:w="236" w:type="dxa"/>
            <w:vAlign w:val="bottom"/>
          </w:tcPr>
          <w:p w14:paraId="637FE1B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C03342C" w14:textId="77777777" w:rsidR="00AC5C0C" w:rsidRPr="00B02BA3" w:rsidRDefault="00AC5C0C" w:rsidP="00922116">
            <w:pPr>
              <w:pStyle w:val="VSmCellBody"/>
              <w:jc w:val="right"/>
              <w:rPr>
                <w:sz w:val="16"/>
                <w:szCs w:val="16"/>
              </w:rPr>
            </w:pPr>
            <w:r w:rsidRPr="00B02BA3">
              <w:rPr>
                <w:sz w:val="16"/>
                <w:szCs w:val="16"/>
              </w:rPr>
              <w:t> 7 years</w:t>
            </w:r>
          </w:p>
        </w:tc>
        <w:tc>
          <w:tcPr>
            <w:tcW w:w="236" w:type="dxa"/>
            <w:vAlign w:val="bottom"/>
          </w:tcPr>
          <w:p w14:paraId="61F55E2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D2962F9" w14:textId="77777777" w:rsidR="00AC5C0C" w:rsidRPr="00B02BA3" w:rsidDel="00986B80" w:rsidRDefault="00AC5C0C" w:rsidP="00922116">
            <w:pPr>
              <w:pStyle w:val="VSmCellBody"/>
              <w:jc w:val="right"/>
              <w:rPr>
                <w:sz w:val="16"/>
                <w:szCs w:val="16"/>
              </w:rPr>
            </w:pPr>
            <w:r w:rsidRPr="00B02BA3">
              <w:rPr>
                <w:sz w:val="16"/>
                <w:szCs w:val="16"/>
              </w:rPr>
              <w:t> 1+1+1</w:t>
            </w:r>
          </w:p>
        </w:tc>
        <w:tc>
          <w:tcPr>
            <w:tcW w:w="236" w:type="dxa"/>
            <w:vAlign w:val="bottom"/>
          </w:tcPr>
          <w:p w14:paraId="57C6A067" w14:textId="77777777" w:rsidR="00AC5C0C" w:rsidRPr="00B02BA3" w:rsidRDefault="00AC5C0C" w:rsidP="00922116">
            <w:pPr>
              <w:pStyle w:val="CellRowSpacer"/>
              <w:rPr>
                <w:sz w:val="16"/>
                <w:szCs w:val="16"/>
              </w:rPr>
            </w:pPr>
          </w:p>
        </w:tc>
      </w:tr>
      <w:tr w:rsidR="00AC5C0C" w:rsidRPr="00B02BA3" w14:paraId="40A0163F" w14:textId="77777777" w:rsidTr="00922116">
        <w:tc>
          <w:tcPr>
            <w:tcW w:w="3163" w:type="dxa"/>
            <w:vAlign w:val="bottom"/>
          </w:tcPr>
          <w:p w14:paraId="1AC4A6EC" w14:textId="77777777" w:rsidR="00AC5C0C" w:rsidRPr="00B02BA3" w:rsidRDefault="00AC5C0C" w:rsidP="00922116">
            <w:pPr>
              <w:pStyle w:val="VSmCellBody"/>
              <w:tabs>
                <w:tab w:val="right" w:leader="dot" w:pos="3163"/>
              </w:tabs>
              <w:rPr>
                <w:rFonts w:eastAsia="SimSun"/>
                <w:sz w:val="16"/>
                <w:szCs w:val="16"/>
              </w:rPr>
            </w:pPr>
            <w:proofErr w:type="spellStart"/>
            <w:r w:rsidRPr="00B02BA3">
              <w:rPr>
                <w:rFonts w:eastAsia="SimSun"/>
                <w:sz w:val="16"/>
                <w:szCs w:val="16"/>
              </w:rPr>
              <w:t>Yankul</w:t>
            </w:r>
            <w:proofErr w:type="spellEnd"/>
            <w:r w:rsidRPr="00B02BA3">
              <w:rPr>
                <w:rFonts w:eastAsia="SimSun"/>
                <w:sz w:val="16"/>
                <w:szCs w:val="16"/>
              </w:rPr>
              <w:t xml:space="preserve"> Silver</w:t>
            </w:r>
            <w:r w:rsidRPr="00B02BA3">
              <w:rPr>
                <w:rFonts w:eastAsia="SimSun"/>
                <w:sz w:val="16"/>
                <w:szCs w:val="16"/>
              </w:rPr>
              <w:tab/>
            </w:r>
          </w:p>
        </w:tc>
        <w:tc>
          <w:tcPr>
            <w:tcW w:w="236" w:type="dxa"/>
            <w:vAlign w:val="bottom"/>
          </w:tcPr>
          <w:p w14:paraId="0544601D" w14:textId="77777777" w:rsidR="00AC5C0C" w:rsidRPr="00B02BA3" w:rsidRDefault="00AC5C0C" w:rsidP="00922116">
            <w:pPr>
              <w:pStyle w:val="CellRowSpacer"/>
              <w:rPr>
                <w:sz w:val="16"/>
                <w:szCs w:val="16"/>
              </w:rPr>
            </w:pPr>
          </w:p>
        </w:tc>
        <w:tc>
          <w:tcPr>
            <w:tcW w:w="907" w:type="dxa"/>
            <w:vAlign w:val="bottom"/>
          </w:tcPr>
          <w:p w14:paraId="2B27EABD" w14:textId="77777777" w:rsidR="00AC5C0C" w:rsidRPr="00B02BA3" w:rsidRDefault="00AC5C0C" w:rsidP="00922116">
            <w:pPr>
              <w:pStyle w:val="VSmCellBody"/>
              <w:jc w:val="right"/>
              <w:rPr>
                <w:sz w:val="16"/>
                <w:szCs w:val="16"/>
              </w:rPr>
            </w:pPr>
            <w:r w:rsidRPr="00B02BA3">
              <w:rPr>
                <w:sz w:val="16"/>
                <w:szCs w:val="16"/>
              </w:rPr>
              <w:t>Shell</w:t>
            </w:r>
          </w:p>
        </w:tc>
        <w:tc>
          <w:tcPr>
            <w:tcW w:w="236" w:type="dxa"/>
            <w:vAlign w:val="bottom"/>
          </w:tcPr>
          <w:p w14:paraId="356522F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3FB0A18" w14:textId="77777777" w:rsidR="00AC5C0C" w:rsidRPr="00B02BA3" w:rsidRDefault="00AC5C0C" w:rsidP="00922116">
            <w:pPr>
              <w:pStyle w:val="VSmCellBody"/>
              <w:jc w:val="right"/>
              <w:rPr>
                <w:sz w:val="16"/>
                <w:szCs w:val="16"/>
              </w:rPr>
            </w:pPr>
            <w:r w:rsidRPr="00B02BA3">
              <w:rPr>
                <w:sz w:val="16"/>
                <w:szCs w:val="16"/>
              </w:rPr>
              <w:t> July 2016</w:t>
            </w:r>
          </w:p>
        </w:tc>
        <w:tc>
          <w:tcPr>
            <w:tcW w:w="236" w:type="dxa"/>
            <w:vAlign w:val="bottom"/>
          </w:tcPr>
          <w:p w14:paraId="50BEDC3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512E4E0" w14:textId="77777777" w:rsidR="00AC5C0C" w:rsidRPr="00B02BA3" w:rsidDel="00986B80" w:rsidRDefault="00AC5C0C" w:rsidP="00922116">
            <w:pPr>
              <w:pStyle w:val="VSmCellBody"/>
              <w:jc w:val="right"/>
              <w:rPr>
                <w:sz w:val="16"/>
                <w:szCs w:val="16"/>
              </w:rPr>
            </w:pPr>
            <w:r w:rsidRPr="00B02BA3">
              <w:rPr>
                <w:sz w:val="16"/>
                <w:szCs w:val="16"/>
              </w:rPr>
              <w:t>September 2025</w:t>
            </w:r>
          </w:p>
        </w:tc>
        <w:tc>
          <w:tcPr>
            <w:tcW w:w="236" w:type="dxa"/>
            <w:vAlign w:val="bottom"/>
          </w:tcPr>
          <w:p w14:paraId="00E3366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7A9C1EA" w14:textId="77777777" w:rsidR="00AC5C0C" w:rsidRPr="00B02BA3" w:rsidRDefault="00AC5C0C" w:rsidP="00922116">
            <w:pPr>
              <w:pStyle w:val="VSmCellBody"/>
              <w:jc w:val="right"/>
              <w:rPr>
                <w:sz w:val="16"/>
                <w:szCs w:val="16"/>
              </w:rPr>
            </w:pPr>
            <w:r w:rsidRPr="00B02BA3">
              <w:rPr>
                <w:sz w:val="16"/>
                <w:szCs w:val="16"/>
              </w:rPr>
              <w:t> 7 years</w:t>
            </w:r>
          </w:p>
        </w:tc>
        <w:tc>
          <w:tcPr>
            <w:tcW w:w="236" w:type="dxa"/>
            <w:vAlign w:val="bottom"/>
          </w:tcPr>
          <w:p w14:paraId="3680FAF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D288341" w14:textId="77777777" w:rsidR="00AC5C0C" w:rsidRPr="00B02BA3" w:rsidDel="00986B80" w:rsidRDefault="00AC5C0C" w:rsidP="00922116">
            <w:pPr>
              <w:pStyle w:val="VSmCellBody"/>
              <w:jc w:val="right"/>
              <w:rPr>
                <w:sz w:val="16"/>
                <w:szCs w:val="16"/>
              </w:rPr>
            </w:pPr>
            <w:r w:rsidRPr="00B02BA3">
              <w:rPr>
                <w:sz w:val="16"/>
                <w:szCs w:val="16"/>
              </w:rPr>
              <w:t> 1+1+1+1+1</w:t>
            </w:r>
          </w:p>
        </w:tc>
        <w:tc>
          <w:tcPr>
            <w:tcW w:w="236" w:type="dxa"/>
            <w:vAlign w:val="bottom"/>
          </w:tcPr>
          <w:p w14:paraId="6640022B" w14:textId="77777777" w:rsidR="00AC5C0C" w:rsidRPr="00B02BA3" w:rsidRDefault="00AC5C0C" w:rsidP="00922116">
            <w:pPr>
              <w:pStyle w:val="CellRowSpacer"/>
              <w:rPr>
                <w:sz w:val="16"/>
                <w:szCs w:val="16"/>
              </w:rPr>
            </w:pPr>
          </w:p>
        </w:tc>
      </w:tr>
      <w:tr w:rsidR="00AC5C0C" w:rsidRPr="00B02BA3" w14:paraId="7F9FDACF" w14:textId="77777777" w:rsidTr="00922116">
        <w:tc>
          <w:tcPr>
            <w:tcW w:w="3163" w:type="dxa"/>
            <w:vAlign w:val="bottom"/>
          </w:tcPr>
          <w:p w14:paraId="58823492"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Dank Silver</w:t>
            </w:r>
            <w:r w:rsidRPr="00B02BA3">
              <w:rPr>
                <w:rFonts w:eastAsia="SimSun"/>
                <w:sz w:val="16"/>
                <w:szCs w:val="16"/>
              </w:rPr>
              <w:tab/>
            </w:r>
          </w:p>
        </w:tc>
        <w:tc>
          <w:tcPr>
            <w:tcW w:w="236" w:type="dxa"/>
            <w:vAlign w:val="bottom"/>
          </w:tcPr>
          <w:p w14:paraId="16279C09" w14:textId="77777777" w:rsidR="00AC5C0C" w:rsidRPr="00B02BA3" w:rsidRDefault="00AC5C0C" w:rsidP="00922116">
            <w:pPr>
              <w:pStyle w:val="CellRowSpacer"/>
              <w:rPr>
                <w:sz w:val="16"/>
                <w:szCs w:val="16"/>
              </w:rPr>
            </w:pPr>
          </w:p>
        </w:tc>
        <w:tc>
          <w:tcPr>
            <w:tcW w:w="907" w:type="dxa"/>
            <w:vAlign w:val="bottom"/>
          </w:tcPr>
          <w:p w14:paraId="0899B454" w14:textId="77777777" w:rsidR="00AC5C0C" w:rsidRPr="00B02BA3" w:rsidRDefault="00AC5C0C" w:rsidP="00922116">
            <w:pPr>
              <w:pStyle w:val="VSmCellBody"/>
              <w:jc w:val="right"/>
              <w:rPr>
                <w:sz w:val="16"/>
                <w:szCs w:val="16"/>
              </w:rPr>
            </w:pPr>
            <w:r w:rsidRPr="00B02BA3">
              <w:rPr>
                <w:sz w:val="16"/>
                <w:szCs w:val="16"/>
              </w:rPr>
              <w:t>Shell</w:t>
            </w:r>
          </w:p>
        </w:tc>
        <w:tc>
          <w:tcPr>
            <w:tcW w:w="236" w:type="dxa"/>
            <w:vAlign w:val="bottom"/>
          </w:tcPr>
          <w:p w14:paraId="0BA7B0B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B32364A" w14:textId="77777777" w:rsidR="00AC5C0C" w:rsidRPr="00B02BA3" w:rsidRDefault="00AC5C0C" w:rsidP="00922116">
            <w:pPr>
              <w:pStyle w:val="VSmCellBody"/>
              <w:jc w:val="right"/>
              <w:rPr>
                <w:sz w:val="16"/>
                <w:szCs w:val="16"/>
              </w:rPr>
            </w:pPr>
            <w:r w:rsidRPr="00B02BA3">
              <w:rPr>
                <w:sz w:val="16"/>
                <w:szCs w:val="16"/>
              </w:rPr>
              <w:t> August 2016</w:t>
            </w:r>
          </w:p>
        </w:tc>
        <w:tc>
          <w:tcPr>
            <w:tcW w:w="236" w:type="dxa"/>
            <w:vAlign w:val="bottom"/>
          </w:tcPr>
          <w:p w14:paraId="1059935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77758DC" w14:textId="77777777" w:rsidR="00AC5C0C" w:rsidRPr="00B02BA3" w:rsidDel="00986B80" w:rsidRDefault="00AC5C0C" w:rsidP="00922116">
            <w:pPr>
              <w:pStyle w:val="VSmCellBody"/>
              <w:jc w:val="right"/>
              <w:rPr>
                <w:sz w:val="16"/>
                <w:szCs w:val="16"/>
              </w:rPr>
            </w:pPr>
            <w:r w:rsidRPr="00B02BA3">
              <w:rPr>
                <w:sz w:val="16"/>
                <w:szCs w:val="16"/>
              </w:rPr>
              <w:t>October 2025</w:t>
            </w:r>
          </w:p>
        </w:tc>
        <w:tc>
          <w:tcPr>
            <w:tcW w:w="236" w:type="dxa"/>
            <w:vAlign w:val="bottom"/>
          </w:tcPr>
          <w:p w14:paraId="1898D65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A63F9C9" w14:textId="77777777" w:rsidR="00AC5C0C" w:rsidRPr="00B02BA3" w:rsidRDefault="00AC5C0C" w:rsidP="00922116">
            <w:pPr>
              <w:pStyle w:val="VSmCellBody"/>
              <w:jc w:val="right"/>
              <w:rPr>
                <w:sz w:val="16"/>
                <w:szCs w:val="16"/>
              </w:rPr>
            </w:pPr>
            <w:r w:rsidRPr="00B02BA3">
              <w:rPr>
                <w:sz w:val="16"/>
                <w:szCs w:val="16"/>
              </w:rPr>
              <w:t> 7 years</w:t>
            </w:r>
          </w:p>
        </w:tc>
        <w:tc>
          <w:tcPr>
            <w:tcW w:w="236" w:type="dxa"/>
            <w:vAlign w:val="bottom"/>
          </w:tcPr>
          <w:p w14:paraId="28726B9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8972679" w14:textId="77777777" w:rsidR="00AC5C0C" w:rsidRPr="00B02BA3" w:rsidDel="00986B80" w:rsidRDefault="00AC5C0C" w:rsidP="00922116">
            <w:pPr>
              <w:pStyle w:val="VSmCellBody"/>
              <w:jc w:val="right"/>
              <w:rPr>
                <w:sz w:val="16"/>
                <w:szCs w:val="16"/>
              </w:rPr>
            </w:pPr>
            <w:r w:rsidRPr="00B02BA3">
              <w:rPr>
                <w:sz w:val="16"/>
                <w:szCs w:val="16"/>
              </w:rPr>
              <w:t> 1+1+1</w:t>
            </w:r>
          </w:p>
        </w:tc>
        <w:tc>
          <w:tcPr>
            <w:tcW w:w="236" w:type="dxa"/>
            <w:vAlign w:val="bottom"/>
          </w:tcPr>
          <w:p w14:paraId="69ABD1E3" w14:textId="77777777" w:rsidR="00AC5C0C" w:rsidRPr="00B02BA3" w:rsidRDefault="00AC5C0C" w:rsidP="00922116">
            <w:pPr>
              <w:pStyle w:val="CellRowSpacer"/>
              <w:rPr>
                <w:sz w:val="16"/>
                <w:szCs w:val="16"/>
              </w:rPr>
            </w:pPr>
          </w:p>
        </w:tc>
      </w:tr>
      <w:tr w:rsidR="00AC5C0C" w:rsidRPr="00B02BA3" w14:paraId="54F9E973" w14:textId="77777777" w:rsidTr="00922116">
        <w:tc>
          <w:tcPr>
            <w:tcW w:w="3163" w:type="dxa"/>
            <w:vAlign w:val="bottom"/>
          </w:tcPr>
          <w:p w14:paraId="329A463D"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Madha Silver</w:t>
            </w:r>
            <w:r w:rsidRPr="00B02BA3">
              <w:rPr>
                <w:rFonts w:eastAsia="SimSun"/>
                <w:sz w:val="16"/>
                <w:szCs w:val="16"/>
              </w:rPr>
              <w:tab/>
            </w:r>
          </w:p>
        </w:tc>
        <w:tc>
          <w:tcPr>
            <w:tcW w:w="236" w:type="dxa"/>
            <w:vAlign w:val="bottom"/>
          </w:tcPr>
          <w:p w14:paraId="6385628E" w14:textId="77777777" w:rsidR="00AC5C0C" w:rsidRPr="00B02BA3" w:rsidRDefault="00AC5C0C" w:rsidP="00922116">
            <w:pPr>
              <w:pStyle w:val="CellRowSpacer"/>
              <w:rPr>
                <w:sz w:val="16"/>
                <w:szCs w:val="16"/>
              </w:rPr>
            </w:pPr>
          </w:p>
        </w:tc>
        <w:tc>
          <w:tcPr>
            <w:tcW w:w="907" w:type="dxa"/>
            <w:vAlign w:val="bottom"/>
          </w:tcPr>
          <w:p w14:paraId="0F22DDF8" w14:textId="77777777" w:rsidR="00AC5C0C" w:rsidRPr="00B02BA3" w:rsidRDefault="00AC5C0C" w:rsidP="00922116">
            <w:pPr>
              <w:pStyle w:val="VSmCellBody"/>
              <w:jc w:val="right"/>
              <w:rPr>
                <w:sz w:val="16"/>
                <w:szCs w:val="16"/>
              </w:rPr>
            </w:pPr>
            <w:r w:rsidRPr="00B02BA3">
              <w:rPr>
                <w:sz w:val="16"/>
                <w:szCs w:val="16"/>
              </w:rPr>
              <w:t>Shell</w:t>
            </w:r>
          </w:p>
        </w:tc>
        <w:tc>
          <w:tcPr>
            <w:tcW w:w="236" w:type="dxa"/>
            <w:vAlign w:val="bottom"/>
          </w:tcPr>
          <w:p w14:paraId="47AA3AA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898DE0D" w14:textId="77777777" w:rsidR="00AC5C0C" w:rsidRPr="00B02BA3" w:rsidRDefault="00AC5C0C" w:rsidP="00922116">
            <w:pPr>
              <w:pStyle w:val="VSmCellBody"/>
              <w:jc w:val="right"/>
              <w:rPr>
                <w:sz w:val="16"/>
                <w:szCs w:val="16"/>
              </w:rPr>
            </w:pPr>
            <w:r w:rsidRPr="00B02BA3">
              <w:rPr>
                <w:sz w:val="16"/>
                <w:szCs w:val="16"/>
              </w:rPr>
              <w:t> August 2016</w:t>
            </w:r>
          </w:p>
        </w:tc>
        <w:tc>
          <w:tcPr>
            <w:tcW w:w="236" w:type="dxa"/>
            <w:vAlign w:val="bottom"/>
          </w:tcPr>
          <w:p w14:paraId="4B8B7A3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0DC02CB" w14:textId="77777777" w:rsidR="00AC5C0C" w:rsidRPr="00B02BA3" w:rsidDel="00986B80" w:rsidRDefault="00AC5C0C" w:rsidP="00922116">
            <w:pPr>
              <w:pStyle w:val="VSmCellBody"/>
              <w:jc w:val="right"/>
              <w:rPr>
                <w:sz w:val="16"/>
                <w:szCs w:val="16"/>
              </w:rPr>
            </w:pPr>
            <w:r w:rsidRPr="00B02BA3">
              <w:rPr>
                <w:sz w:val="16"/>
                <w:szCs w:val="16"/>
              </w:rPr>
              <w:t>August 2025</w:t>
            </w:r>
          </w:p>
        </w:tc>
        <w:tc>
          <w:tcPr>
            <w:tcW w:w="236" w:type="dxa"/>
            <w:vAlign w:val="bottom"/>
          </w:tcPr>
          <w:p w14:paraId="536400C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E7EED18" w14:textId="77777777" w:rsidR="00AC5C0C" w:rsidRPr="00B02BA3" w:rsidRDefault="00AC5C0C" w:rsidP="00922116">
            <w:pPr>
              <w:pStyle w:val="VSmCellBody"/>
              <w:jc w:val="right"/>
              <w:rPr>
                <w:sz w:val="16"/>
                <w:szCs w:val="16"/>
              </w:rPr>
            </w:pPr>
            <w:r w:rsidRPr="00B02BA3">
              <w:rPr>
                <w:sz w:val="16"/>
                <w:szCs w:val="16"/>
              </w:rPr>
              <w:t> 7 years</w:t>
            </w:r>
          </w:p>
        </w:tc>
        <w:tc>
          <w:tcPr>
            <w:tcW w:w="236" w:type="dxa"/>
            <w:vAlign w:val="bottom"/>
          </w:tcPr>
          <w:p w14:paraId="265A95E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C356CC5" w14:textId="77777777" w:rsidR="00AC5C0C" w:rsidRPr="00B02BA3" w:rsidDel="00986B80" w:rsidRDefault="00AC5C0C" w:rsidP="00922116">
            <w:pPr>
              <w:pStyle w:val="VSmCellBody"/>
              <w:jc w:val="right"/>
              <w:rPr>
                <w:sz w:val="16"/>
                <w:szCs w:val="16"/>
              </w:rPr>
            </w:pPr>
            <w:r w:rsidRPr="00B02BA3">
              <w:rPr>
                <w:sz w:val="16"/>
                <w:szCs w:val="16"/>
              </w:rPr>
              <w:t> 1+1+1+1+1</w:t>
            </w:r>
          </w:p>
        </w:tc>
        <w:tc>
          <w:tcPr>
            <w:tcW w:w="236" w:type="dxa"/>
            <w:vAlign w:val="bottom"/>
          </w:tcPr>
          <w:p w14:paraId="289AC810" w14:textId="77777777" w:rsidR="00AC5C0C" w:rsidRPr="00B02BA3" w:rsidRDefault="00AC5C0C" w:rsidP="00922116">
            <w:pPr>
              <w:pStyle w:val="CellRowSpacer"/>
              <w:rPr>
                <w:sz w:val="16"/>
                <w:szCs w:val="16"/>
              </w:rPr>
            </w:pPr>
          </w:p>
        </w:tc>
      </w:tr>
      <w:tr w:rsidR="00AC5C0C" w:rsidRPr="00B02BA3" w14:paraId="7742DB88" w14:textId="77777777" w:rsidTr="00922116">
        <w:tc>
          <w:tcPr>
            <w:tcW w:w="3163" w:type="dxa"/>
            <w:vAlign w:val="bottom"/>
          </w:tcPr>
          <w:p w14:paraId="127DC03D"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Sadah Silver</w:t>
            </w:r>
            <w:r w:rsidRPr="00B02BA3">
              <w:rPr>
                <w:rFonts w:eastAsia="SimSun"/>
                <w:sz w:val="16"/>
                <w:szCs w:val="16"/>
              </w:rPr>
              <w:tab/>
            </w:r>
          </w:p>
        </w:tc>
        <w:tc>
          <w:tcPr>
            <w:tcW w:w="236" w:type="dxa"/>
            <w:vAlign w:val="bottom"/>
          </w:tcPr>
          <w:p w14:paraId="7D44A75E" w14:textId="77777777" w:rsidR="00AC5C0C" w:rsidRPr="00B02BA3" w:rsidRDefault="00AC5C0C" w:rsidP="00922116">
            <w:pPr>
              <w:pStyle w:val="CellRowSpacer"/>
              <w:rPr>
                <w:sz w:val="16"/>
                <w:szCs w:val="16"/>
              </w:rPr>
            </w:pPr>
          </w:p>
        </w:tc>
        <w:tc>
          <w:tcPr>
            <w:tcW w:w="907" w:type="dxa"/>
            <w:vAlign w:val="bottom"/>
          </w:tcPr>
          <w:p w14:paraId="4DD5BEBA" w14:textId="77777777" w:rsidR="00AC5C0C" w:rsidRPr="00B02BA3" w:rsidRDefault="00AC5C0C" w:rsidP="00922116">
            <w:pPr>
              <w:pStyle w:val="VSmCellBody"/>
              <w:jc w:val="right"/>
              <w:rPr>
                <w:sz w:val="16"/>
                <w:szCs w:val="16"/>
              </w:rPr>
            </w:pPr>
            <w:r w:rsidRPr="00B02BA3">
              <w:rPr>
                <w:sz w:val="16"/>
                <w:szCs w:val="16"/>
              </w:rPr>
              <w:t>Shell</w:t>
            </w:r>
          </w:p>
        </w:tc>
        <w:tc>
          <w:tcPr>
            <w:tcW w:w="236" w:type="dxa"/>
            <w:vAlign w:val="bottom"/>
          </w:tcPr>
          <w:p w14:paraId="1C02CFE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2EE545E" w14:textId="77777777" w:rsidR="00AC5C0C" w:rsidRPr="00B02BA3" w:rsidRDefault="00AC5C0C" w:rsidP="00922116">
            <w:pPr>
              <w:pStyle w:val="VSmCellBody"/>
              <w:jc w:val="right"/>
              <w:rPr>
                <w:sz w:val="16"/>
                <w:szCs w:val="16"/>
              </w:rPr>
            </w:pPr>
            <w:r w:rsidRPr="00B02BA3">
              <w:rPr>
                <w:sz w:val="16"/>
                <w:szCs w:val="16"/>
              </w:rPr>
              <w:t> October 2016</w:t>
            </w:r>
          </w:p>
        </w:tc>
        <w:tc>
          <w:tcPr>
            <w:tcW w:w="236" w:type="dxa"/>
            <w:vAlign w:val="bottom"/>
          </w:tcPr>
          <w:p w14:paraId="7C275B4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CE4ED43" w14:textId="77777777" w:rsidR="00AC5C0C" w:rsidRPr="00B02BA3" w:rsidDel="00986B80" w:rsidRDefault="00AC5C0C" w:rsidP="00922116">
            <w:pPr>
              <w:pStyle w:val="VSmCellBody"/>
              <w:jc w:val="right"/>
              <w:rPr>
                <w:sz w:val="16"/>
                <w:szCs w:val="16"/>
              </w:rPr>
            </w:pPr>
            <w:r w:rsidRPr="00B02BA3">
              <w:rPr>
                <w:sz w:val="16"/>
                <w:szCs w:val="16"/>
              </w:rPr>
              <w:t>December 2025</w:t>
            </w:r>
          </w:p>
        </w:tc>
        <w:tc>
          <w:tcPr>
            <w:tcW w:w="236" w:type="dxa"/>
            <w:vAlign w:val="bottom"/>
          </w:tcPr>
          <w:p w14:paraId="456EE79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AB7C4A1" w14:textId="77777777" w:rsidR="00AC5C0C" w:rsidRPr="00B02BA3" w:rsidRDefault="00AC5C0C" w:rsidP="00922116">
            <w:pPr>
              <w:pStyle w:val="VSmCellBody"/>
              <w:jc w:val="right"/>
              <w:rPr>
                <w:sz w:val="16"/>
                <w:szCs w:val="16"/>
              </w:rPr>
            </w:pPr>
            <w:r w:rsidRPr="00B02BA3">
              <w:rPr>
                <w:sz w:val="16"/>
                <w:szCs w:val="16"/>
              </w:rPr>
              <w:t> 7 years</w:t>
            </w:r>
          </w:p>
        </w:tc>
        <w:tc>
          <w:tcPr>
            <w:tcW w:w="236" w:type="dxa"/>
            <w:vAlign w:val="bottom"/>
          </w:tcPr>
          <w:p w14:paraId="06FF2B7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633E31B" w14:textId="77777777" w:rsidR="00AC5C0C" w:rsidRPr="00B02BA3" w:rsidDel="00986B80" w:rsidRDefault="00AC5C0C" w:rsidP="00922116">
            <w:pPr>
              <w:pStyle w:val="VSmCellBody"/>
              <w:jc w:val="right"/>
              <w:rPr>
                <w:sz w:val="16"/>
                <w:szCs w:val="16"/>
              </w:rPr>
            </w:pPr>
            <w:r w:rsidRPr="00B02BA3">
              <w:rPr>
                <w:sz w:val="16"/>
                <w:szCs w:val="16"/>
              </w:rPr>
              <w:t> 1+1+1</w:t>
            </w:r>
          </w:p>
        </w:tc>
        <w:tc>
          <w:tcPr>
            <w:tcW w:w="236" w:type="dxa"/>
            <w:vAlign w:val="bottom"/>
          </w:tcPr>
          <w:p w14:paraId="0F9C38FC" w14:textId="77777777" w:rsidR="00AC5C0C" w:rsidRPr="00B02BA3" w:rsidRDefault="00AC5C0C" w:rsidP="00922116">
            <w:pPr>
              <w:pStyle w:val="CellRowSpacer"/>
              <w:rPr>
                <w:sz w:val="16"/>
                <w:szCs w:val="16"/>
              </w:rPr>
            </w:pPr>
          </w:p>
        </w:tc>
      </w:tr>
      <w:tr w:rsidR="00AC5C0C" w:rsidRPr="00B02BA3" w14:paraId="5AACE029" w14:textId="77777777" w:rsidTr="00922116">
        <w:tc>
          <w:tcPr>
            <w:tcW w:w="3163" w:type="dxa"/>
            <w:vAlign w:val="bottom"/>
          </w:tcPr>
          <w:p w14:paraId="5AECF541"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Khasab Silver</w:t>
            </w:r>
            <w:r w:rsidRPr="00B02BA3">
              <w:rPr>
                <w:rFonts w:eastAsia="SimSun"/>
                <w:sz w:val="16"/>
                <w:szCs w:val="16"/>
              </w:rPr>
              <w:tab/>
            </w:r>
          </w:p>
        </w:tc>
        <w:tc>
          <w:tcPr>
            <w:tcW w:w="236" w:type="dxa"/>
            <w:vAlign w:val="bottom"/>
          </w:tcPr>
          <w:p w14:paraId="4F899A66" w14:textId="77777777" w:rsidR="00AC5C0C" w:rsidRPr="00B02BA3" w:rsidRDefault="00AC5C0C" w:rsidP="00922116">
            <w:pPr>
              <w:pStyle w:val="CellRowSpacer"/>
              <w:rPr>
                <w:sz w:val="16"/>
                <w:szCs w:val="16"/>
              </w:rPr>
            </w:pPr>
          </w:p>
        </w:tc>
        <w:tc>
          <w:tcPr>
            <w:tcW w:w="907" w:type="dxa"/>
            <w:vAlign w:val="bottom"/>
          </w:tcPr>
          <w:p w14:paraId="6CF52873" w14:textId="77777777" w:rsidR="00AC5C0C" w:rsidRPr="00B02BA3" w:rsidRDefault="00AC5C0C" w:rsidP="00922116">
            <w:pPr>
              <w:pStyle w:val="VSmCellBody"/>
              <w:jc w:val="right"/>
              <w:rPr>
                <w:sz w:val="16"/>
                <w:szCs w:val="16"/>
              </w:rPr>
            </w:pPr>
            <w:r w:rsidRPr="00B02BA3">
              <w:rPr>
                <w:sz w:val="16"/>
                <w:szCs w:val="16"/>
              </w:rPr>
              <w:t>Shell</w:t>
            </w:r>
          </w:p>
        </w:tc>
        <w:tc>
          <w:tcPr>
            <w:tcW w:w="236" w:type="dxa"/>
            <w:vAlign w:val="bottom"/>
          </w:tcPr>
          <w:p w14:paraId="141DA51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053FB36" w14:textId="77777777" w:rsidR="00AC5C0C" w:rsidRPr="00B02BA3" w:rsidRDefault="00AC5C0C" w:rsidP="00922116">
            <w:pPr>
              <w:pStyle w:val="VSmCellBody"/>
              <w:jc w:val="right"/>
              <w:rPr>
                <w:sz w:val="16"/>
                <w:szCs w:val="16"/>
              </w:rPr>
            </w:pPr>
            <w:r w:rsidRPr="00B02BA3">
              <w:rPr>
                <w:sz w:val="16"/>
                <w:szCs w:val="16"/>
              </w:rPr>
              <w:t> November 2016</w:t>
            </w:r>
          </w:p>
        </w:tc>
        <w:tc>
          <w:tcPr>
            <w:tcW w:w="236" w:type="dxa"/>
            <w:vAlign w:val="bottom"/>
          </w:tcPr>
          <w:p w14:paraId="40D930D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7347DDA" w14:textId="77777777" w:rsidR="00AC5C0C" w:rsidRPr="00B02BA3" w:rsidDel="00986B80" w:rsidRDefault="00AC5C0C" w:rsidP="00922116">
            <w:pPr>
              <w:pStyle w:val="VSmCellBody"/>
              <w:jc w:val="right"/>
              <w:rPr>
                <w:sz w:val="16"/>
                <w:szCs w:val="16"/>
              </w:rPr>
            </w:pPr>
            <w:r w:rsidRPr="00B02BA3">
              <w:rPr>
                <w:sz w:val="16"/>
                <w:szCs w:val="16"/>
              </w:rPr>
              <w:t>January 2026</w:t>
            </w:r>
          </w:p>
        </w:tc>
        <w:tc>
          <w:tcPr>
            <w:tcW w:w="236" w:type="dxa"/>
            <w:vAlign w:val="bottom"/>
          </w:tcPr>
          <w:p w14:paraId="63CCFFC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A7DE24A" w14:textId="77777777" w:rsidR="00AC5C0C" w:rsidRPr="00B02BA3" w:rsidRDefault="00AC5C0C" w:rsidP="00922116">
            <w:pPr>
              <w:pStyle w:val="VSmCellBody"/>
              <w:jc w:val="right"/>
              <w:rPr>
                <w:sz w:val="16"/>
                <w:szCs w:val="16"/>
              </w:rPr>
            </w:pPr>
            <w:r w:rsidRPr="00B02BA3">
              <w:rPr>
                <w:sz w:val="16"/>
                <w:szCs w:val="16"/>
              </w:rPr>
              <w:t> 7 years</w:t>
            </w:r>
          </w:p>
        </w:tc>
        <w:tc>
          <w:tcPr>
            <w:tcW w:w="236" w:type="dxa"/>
            <w:vAlign w:val="bottom"/>
          </w:tcPr>
          <w:p w14:paraId="5A5F1F0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E3629D6" w14:textId="77777777" w:rsidR="00AC5C0C" w:rsidRPr="00B02BA3" w:rsidDel="00986B80" w:rsidRDefault="00AC5C0C" w:rsidP="00922116">
            <w:pPr>
              <w:pStyle w:val="VSmCellBody"/>
              <w:jc w:val="right"/>
              <w:rPr>
                <w:sz w:val="16"/>
                <w:szCs w:val="16"/>
              </w:rPr>
            </w:pPr>
            <w:r w:rsidRPr="00B02BA3">
              <w:rPr>
                <w:sz w:val="16"/>
                <w:szCs w:val="16"/>
              </w:rPr>
              <w:t> 1+1+1+1+1</w:t>
            </w:r>
          </w:p>
        </w:tc>
        <w:tc>
          <w:tcPr>
            <w:tcW w:w="236" w:type="dxa"/>
            <w:vAlign w:val="bottom"/>
          </w:tcPr>
          <w:p w14:paraId="4EEFA57F" w14:textId="77777777" w:rsidR="00AC5C0C" w:rsidRPr="00B02BA3" w:rsidRDefault="00AC5C0C" w:rsidP="00922116">
            <w:pPr>
              <w:pStyle w:val="CellRowSpacer"/>
              <w:rPr>
                <w:sz w:val="16"/>
                <w:szCs w:val="16"/>
              </w:rPr>
            </w:pPr>
          </w:p>
        </w:tc>
      </w:tr>
      <w:tr w:rsidR="00AC5C0C" w:rsidRPr="00B02BA3" w14:paraId="75A52F10" w14:textId="77777777" w:rsidTr="00922116">
        <w:tc>
          <w:tcPr>
            <w:tcW w:w="3163" w:type="dxa"/>
            <w:vAlign w:val="bottom"/>
          </w:tcPr>
          <w:p w14:paraId="35207BBB"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Haima</w:t>
            </w:r>
            <w:r w:rsidRPr="00B02BA3">
              <w:rPr>
                <w:rFonts w:eastAsia="SimSun"/>
                <w:sz w:val="16"/>
                <w:szCs w:val="16"/>
              </w:rPr>
              <w:tab/>
            </w:r>
          </w:p>
        </w:tc>
        <w:tc>
          <w:tcPr>
            <w:tcW w:w="236" w:type="dxa"/>
            <w:vAlign w:val="bottom"/>
          </w:tcPr>
          <w:p w14:paraId="3A3791EC" w14:textId="77777777" w:rsidR="00AC5C0C" w:rsidRPr="00B02BA3" w:rsidRDefault="00AC5C0C" w:rsidP="00922116">
            <w:pPr>
              <w:pStyle w:val="CellRowSpacer"/>
              <w:rPr>
                <w:sz w:val="16"/>
                <w:szCs w:val="16"/>
              </w:rPr>
            </w:pPr>
          </w:p>
        </w:tc>
        <w:tc>
          <w:tcPr>
            <w:tcW w:w="907" w:type="dxa"/>
            <w:vAlign w:val="bottom"/>
          </w:tcPr>
          <w:p w14:paraId="00E5CE2D" w14:textId="77777777" w:rsidR="00AC5C0C" w:rsidRPr="00B02BA3" w:rsidRDefault="00AC5C0C" w:rsidP="00922116">
            <w:pPr>
              <w:pStyle w:val="VSmCellBody"/>
              <w:jc w:val="right"/>
              <w:rPr>
                <w:sz w:val="16"/>
                <w:szCs w:val="16"/>
              </w:rPr>
            </w:pPr>
            <w:r w:rsidRPr="00B02BA3">
              <w:rPr>
                <w:sz w:val="16"/>
                <w:szCs w:val="16"/>
              </w:rPr>
              <w:t xml:space="preserve">Reliance </w:t>
            </w:r>
          </w:p>
        </w:tc>
        <w:tc>
          <w:tcPr>
            <w:tcW w:w="236" w:type="dxa"/>
            <w:vAlign w:val="bottom"/>
          </w:tcPr>
          <w:p w14:paraId="0B2333B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084DDFC" w14:textId="77777777" w:rsidR="00AC5C0C" w:rsidRPr="00B02BA3" w:rsidRDefault="00AC5C0C" w:rsidP="00922116">
            <w:pPr>
              <w:pStyle w:val="VSmCellBody"/>
              <w:jc w:val="right"/>
              <w:rPr>
                <w:sz w:val="16"/>
                <w:szCs w:val="16"/>
              </w:rPr>
            </w:pPr>
            <w:r w:rsidRPr="00B02BA3">
              <w:rPr>
                <w:sz w:val="16"/>
                <w:szCs w:val="16"/>
              </w:rPr>
              <w:t> September 2023</w:t>
            </w:r>
          </w:p>
        </w:tc>
        <w:tc>
          <w:tcPr>
            <w:tcW w:w="236" w:type="dxa"/>
            <w:vAlign w:val="bottom"/>
          </w:tcPr>
          <w:p w14:paraId="6444E95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2B8C091" w14:textId="77777777" w:rsidR="00AC5C0C" w:rsidRPr="00B02BA3" w:rsidRDefault="00AC5C0C" w:rsidP="00922116">
            <w:pPr>
              <w:pStyle w:val="VSmCellBody"/>
              <w:jc w:val="right"/>
              <w:rPr>
                <w:sz w:val="16"/>
                <w:szCs w:val="16"/>
              </w:rPr>
            </w:pPr>
            <w:r w:rsidRPr="00B02BA3">
              <w:rPr>
                <w:sz w:val="16"/>
                <w:szCs w:val="16"/>
              </w:rPr>
              <w:t>September 2026</w:t>
            </w:r>
          </w:p>
        </w:tc>
        <w:tc>
          <w:tcPr>
            <w:tcW w:w="236" w:type="dxa"/>
            <w:vAlign w:val="bottom"/>
          </w:tcPr>
          <w:p w14:paraId="44C04E3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085A87E" w14:textId="77777777" w:rsidR="00AC5C0C" w:rsidRPr="00B02BA3" w:rsidRDefault="00AC5C0C" w:rsidP="00922116">
            <w:pPr>
              <w:pStyle w:val="VSmCellBody"/>
              <w:jc w:val="right"/>
              <w:rPr>
                <w:sz w:val="16"/>
                <w:szCs w:val="16"/>
              </w:rPr>
            </w:pPr>
            <w:r w:rsidRPr="00B02BA3">
              <w:rPr>
                <w:sz w:val="16"/>
                <w:szCs w:val="16"/>
              </w:rPr>
              <w:t xml:space="preserve">3 years </w:t>
            </w:r>
          </w:p>
        </w:tc>
        <w:tc>
          <w:tcPr>
            <w:tcW w:w="236" w:type="dxa"/>
            <w:vAlign w:val="bottom"/>
          </w:tcPr>
          <w:p w14:paraId="429D9DB3"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3B7B126" w14:textId="77777777" w:rsidR="00AC5C0C" w:rsidRPr="00B02BA3" w:rsidRDefault="00AC5C0C" w:rsidP="00922116">
            <w:pPr>
              <w:pStyle w:val="VSmCellBody"/>
              <w:jc w:val="right"/>
              <w:rPr>
                <w:sz w:val="16"/>
                <w:szCs w:val="16"/>
              </w:rPr>
            </w:pPr>
            <w:r w:rsidRPr="00B02BA3">
              <w:rPr>
                <w:sz w:val="16"/>
                <w:szCs w:val="16"/>
              </w:rPr>
              <w:t xml:space="preserve"> None </w:t>
            </w:r>
          </w:p>
        </w:tc>
        <w:tc>
          <w:tcPr>
            <w:tcW w:w="236" w:type="dxa"/>
            <w:vAlign w:val="bottom"/>
          </w:tcPr>
          <w:p w14:paraId="2913BF78" w14:textId="77777777" w:rsidR="00AC5C0C" w:rsidRPr="00B02BA3" w:rsidRDefault="00AC5C0C" w:rsidP="00922116">
            <w:pPr>
              <w:pStyle w:val="CellRowSpacer"/>
              <w:rPr>
                <w:sz w:val="16"/>
                <w:szCs w:val="16"/>
              </w:rPr>
            </w:pPr>
          </w:p>
        </w:tc>
      </w:tr>
      <w:tr w:rsidR="00AC5C0C" w:rsidRPr="00B02BA3" w14:paraId="0D8E18B8" w14:textId="77777777" w:rsidTr="00922116">
        <w:tc>
          <w:tcPr>
            <w:tcW w:w="3163" w:type="dxa"/>
            <w:vAlign w:val="bottom"/>
          </w:tcPr>
          <w:p w14:paraId="5D0B7C29" w14:textId="77777777" w:rsidR="00AC5C0C" w:rsidRPr="00B02BA3" w:rsidRDefault="00AC5C0C" w:rsidP="00922116">
            <w:pPr>
              <w:pStyle w:val="VSmCellBody"/>
              <w:tabs>
                <w:tab w:val="right" w:leader="dot" w:pos="3163"/>
              </w:tabs>
              <w:rPr>
                <w:rFonts w:eastAsia="SimSun"/>
                <w:sz w:val="16"/>
                <w:szCs w:val="16"/>
              </w:rPr>
            </w:pPr>
            <w:r w:rsidRPr="00B02BA3">
              <w:rPr>
                <w:rFonts w:eastAsia="SimSun"/>
                <w:sz w:val="16"/>
                <w:szCs w:val="16"/>
              </w:rPr>
              <w:t>Raysut</w:t>
            </w:r>
            <w:r w:rsidRPr="00B02BA3">
              <w:rPr>
                <w:rFonts w:eastAsia="SimSun"/>
                <w:sz w:val="16"/>
                <w:szCs w:val="16"/>
              </w:rPr>
              <w:tab/>
            </w:r>
          </w:p>
        </w:tc>
        <w:tc>
          <w:tcPr>
            <w:tcW w:w="236" w:type="dxa"/>
            <w:vAlign w:val="bottom"/>
          </w:tcPr>
          <w:p w14:paraId="1CA71AC5" w14:textId="77777777" w:rsidR="00AC5C0C" w:rsidRPr="00B02BA3" w:rsidRDefault="00AC5C0C" w:rsidP="00922116">
            <w:pPr>
              <w:pStyle w:val="CellRowSpacer"/>
              <w:rPr>
                <w:sz w:val="16"/>
                <w:szCs w:val="16"/>
              </w:rPr>
            </w:pPr>
          </w:p>
        </w:tc>
        <w:tc>
          <w:tcPr>
            <w:tcW w:w="907" w:type="dxa"/>
            <w:vAlign w:val="bottom"/>
          </w:tcPr>
          <w:p w14:paraId="51BAC44B" w14:textId="77777777" w:rsidR="00AC5C0C" w:rsidRPr="00B02BA3" w:rsidRDefault="00AC5C0C" w:rsidP="00922116">
            <w:pPr>
              <w:pStyle w:val="VSmCellBody"/>
              <w:jc w:val="right"/>
              <w:rPr>
                <w:sz w:val="16"/>
                <w:szCs w:val="16"/>
              </w:rPr>
            </w:pPr>
            <w:r w:rsidRPr="00B02BA3">
              <w:rPr>
                <w:sz w:val="16"/>
                <w:szCs w:val="16"/>
              </w:rPr>
              <w:t> ADMIC</w:t>
            </w:r>
          </w:p>
        </w:tc>
        <w:tc>
          <w:tcPr>
            <w:tcW w:w="236" w:type="dxa"/>
            <w:vAlign w:val="bottom"/>
          </w:tcPr>
          <w:p w14:paraId="05094B1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0925CAA" w14:textId="77777777" w:rsidR="00AC5C0C" w:rsidRPr="00B02BA3" w:rsidRDefault="00AC5C0C" w:rsidP="00922116">
            <w:pPr>
              <w:pStyle w:val="VSmCellBody"/>
              <w:jc w:val="right"/>
              <w:rPr>
                <w:sz w:val="16"/>
                <w:szCs w:val="16"/>
              </w:rPr>
            </w:pPr>
            <w:r w:rsidRPr="00B02BA3">
              <w:rPr>
                <w:sz w:val="16"/>
                <w:szCs w:val="16"/>
              </w:rPr>
              <w:t>October 2023</w:t>
            </w:r>
          </w:p>
        </w:tc>
        <w:tc>
          <w:tcPr>
            <w:tcW w:w="236" w:type="dxa"/>
            <w:vAlign w:val="bottom"/>
          </w:tcPr>
          <w:p w14:paraId="19F9BF2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D26E308" w14:textId="77777777" w:rsidR="00AC5C0C" w:rsidRPr="00B02BA3" w:rsidRDefault="00AC5C0C" w:rsidP="00922116">
            <w:pPr>
              <w:pStyle w:val="VSmCellBody"/>
              <w:jc w:val="right"/>
              <w:rPr>
                <w:sz w:val="16"/>
                <w:szCs w:val="16"/>
              </w:rPr>
            </w:pPr>
            <w:r w:rsidRPr="00B02BA3">
              <w:rPr>
                <w:sz w:val="16"/>
                <w:szCs w:val="16"/>
              </w:rPr>
              <w:t>October 2025</w:t>
            </w:r>
          </w:p>
        </w:tc>
        <w:tc>
          <w:tcPr>
            <w:tcW w:w="236" w:type="dxa"/>
            <w:vAlign w:val="bottom"/>
          </w:tcPr>
          <w:p w14:paraId="77E075A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90EA05E" w14:textId="77777777" w:rsidR="00AC5C0C" w:rsidRPr="00B02BA3" w:rsidRDefault="00AC5C0C" w:rsidP="00922116">
            <w:pPr>
              <w:pStyle w:val="VSmCellBody"/>
              <w:jc w:val="right"/>
              <w:rPr>
                <w:sz w:val="16"/>
                <w:szCs w:val="16"/>
              </w:rPr>
            </w:pPr>
            <w:r w:rsidRPr="00B02BA3">
              <w:rPr>
                <w:sz w:val="16"/>
                <w:szCs w:val="16"/>
              </w:rPr>
              <w:t xml:space="preserve">2 years </w:t>
            </w:r>
          </w:p>
        </w:tc>
        <w:tc>
          <w:tcPr>
            <w:tcW w:w="236" w:type="dxa"/>
            <w:vAlign w:val="bottom"/>
          </w:tcPr>
          <w:p w14:paraId="412B3D8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2E4E007" w14:textId="77777777" w:rsidR="00AC5C0C" w:rsidRPr="00B02BA3" w:rsidRDefault="00AC5C0C" w:rsidP="00922116">
            <w:pPr>
              <w:pStyle w:val="VSmCellBody"/>
              <w:jc w:val="right"/>
              <w:rPr>
                <w:sz w:val="16"/>
                <w:szCs w:val="16"/>
              </w:rPr>
            </w:pPr>
            <w:r w:rsidRPr="00B02BA3">
              <w:rPr>
                <w:sz w:val="16"/>
                <w:szCs w:val="16"/>
              </w:rPr>
              <w:t xml:space="preserve">1 year </w:t>
            </w:r>
          </w:p>
        </w:tc>
        <w:tc>
          <w:tcPr>
            <w:tcW w:w="236" w:type="dxa"/>
            <w:vAlign w:val="bottom"/>
          </w:tcPr>
          <w:p w14:paraId="117340EA" w14:textId="77777777" w:rsidR="00AC5C0C" w:rsidRPr="00B02BA3" w:rsidRDefault="00AC5C0C" w:rsidP="00922116">
            <w:pPr>
              <w:pStyle w:val="CellRowSpacer"/>
              <w:rPr>
                <w:sz w:val="16"/>
                <w:szCs w:val="16"/>
              </w:rPr>
            </w:pPr>
          </w:p>
        </w:tc>
      </w:tr>
      <w:tr w:rsidR="00AC5C0C" w:rsidRPr="00B02BA3" w14:paraId="4FE26560" w14:textId="77777777" w:rsidTr="00922116">
        <w:tc>
          <w:tcPr>
            <w:tcW w:w="3163" w:type="dxa"/>
            <w:vAlign w:val="bottom"/>
          </w:tcPr>
          <w:p w14:paraId="1F56F7CE" w14:textId="77777777" w:rsidR="00AC5C0C" w:rsidRPr="00B02BA3" w:rsidRDefault="00AC5C0C" w:rsidP="00922116">
            <w:pPr>
              <w:pStyle w:val="VSmCellBody"/>
              <w:tabs>
                <w:tab w:val="right" w:leader="dot" w:pos="3163"/>
              </w:tabs>
              <w:rPr>
                <w:sz w:val="16"/>
                <w:szCs w:val="16"/>
              </w:rPr>
            </w:pPr>
            <w:r w:rsidRPr="00B02BA3">
              <w:rPr>
                <w:sz w:val="16"/>
                <w:szCs w:val="16"/>
              </w:rPr>
              <w:t>FPMC26</w:t>
            </w:r>
            <w:r w:rsidRPr="00B02BA3">
              <w:rPr>
                <w:rFonts w:eastAsia="SimSun"/>
                <w:sz w:val="16"/>
                <w:szCs w:val="16"/>
              </w:rPr>
              <w:tab/>
            </w:r>
          </w:p>
        </w:tc>
        <w:tc>
          <w:tcPr>
            <w:tcW w:w="236" w:type="dxa"/>
            <w:vAlign w:val="bottom"/>
          </w:tcPr>
          <w:p w14:paraId="666D4CB6" w14:textId="77777777" w:rsidR="00AC5C0C" w:rsidRPr="00B02BA3" w:rsidRDefault="00AC5C0C" w:rsidP="00922116">
            <w:pPr>
              <w:pStyle w:val="CellRowSpacer"/>
              <w:rPr>
                <w:sz w:val="16"/>
                <w:szCs w:val="16"/>
              </w:rPr>
            </w:pPr>
          </w:p>
        </w:tc>
        <w:tc>
          <w:tcPr>
            <w:tcW w:w="907" w:type="dxa"/>
            <w:vAlign w:val="bottom"/>
          </w:tcPr>
          <w:p w14:paraId="0A24C8C6" w14:textId="77777777" w:rsidR="00AC5C0C" w:rsidRPr="00B02BA3" w:rsidRDefault="00AC5C0C" w:rsidP="00922116">
            <w:pPr>
              <w:pStyle w:val="VSmCellBody"/>
              <w:jc w:val="right"/>
              <w:rPr>
                <w:sz w:val="16"/>
                <w:szCs w:val="16"/>
              </w:rPr>
            </w:pPr>
            <w:r w:rsidRPr="00B02BA3">
              <w:rPr>
                <w:sz w:val="16"/>
                <w:szCs w:val="16"/>
              </w:rPr>
              <w:t> </w:t>
            </w:r>
            <w:proofErr w:type="spellStart"/>
            <w:r w:rsidRPr="00B02BA3">
              <w:rPr>
                <w:sz w:val="16"/>
                <w:szCs w:val="16"/>
              </w:rPr>
              <w:t>Unipec</w:t>
            </w:r>
            <w:proofErr w:type="spellEnd"/>
          </w:p>
        </w:tc>
        <w:tc>
          <w:tcPr>
            <w:tcW w:w="236" w:type="dxa"/>
            <w:vAlign w:val="bottom"/>
          </w:tcPr>
          <w:p w14:paraId="4037019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943BC8B" w14:textId="77777777" w:rsidR="00AC5C0C" w:rsidRPr="00B02BA3" w:rsidRDefault="00AC5C0C" w:rsidP="00922116">
            <w:pPr>
              <w:pStyle w:val="VSmCellBody"/>
              <w:jc w:val="right"/>
              <w:rPr>
                <w:sz w:val="16"/>
                <w:szCs w:val="16"/>
              </w:rPr>
            </w:pPr>
            <w:r w:rsidRPr="00B02BA3">
              <w:rPr>
                <w:sz w:val="16"/>
                <w:szCs w:val="16"/>
              </w:rPr>
              <w:t>August 2024</w:t>
            </w:r>
          </w:p>
        </w:tc>
        <w:tc>
          <w:tcPr>
            <w:tcW w:w="236" w:type="dxa"/>
            <w:vAlign w:val="bottom"/>
          </w:tcPr>
          <w:p w14:paraId="56A4E20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E8130D2" w14:textId="77777777" w:rsidR="00AC5C0C" w:rsidRPr="00B02BA3" w:rsidRDefault="00AC5C0C" w:rsidP="00922116">
            <w:pPr>
              <w:pStyle w:val="VSmCellBody"/>
              <w:jc w:val="right"/>
              <w:rPr>
                <w:sz w:val="16"/>
                <w:szCs w:val="16"/>
              </w:rPr>
            </w:pPr>
            <w:r w:rsidRPr="00B02BA3">
              <w:rPr>
                <w:sz w:val="16"/>
                <w:szCs w:val="16"/>
              </w:rPr>
              <w:t>January 2025</w:t>
            </w:r>
          </w:p>
        </w:tc>
        <w:tc>
          <w:tcPr>
            <w:tcW w:w="236" w:type="dxa"/>
            <w:vAlign w:val="bottom"/>
          </w:tcPr>
          <w:p w14:paraId="0D3A93D3"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B45CD96" w14:textId="77777777" w:rsidR="00AC5C0C" w:rsidRPr="00B02BA3" w:rsidRDefault="00AC5C0C" w:rsidP="00922116">
            <w:pPr>
              <w:pStyle w:val="VSmCellBody"/>
              <w:jc w:val="right"/>
              <w:rPr>
                <w:sz w:val="16"/>
                <w:szCs w:val="16"/>
              </w:rPr>
            </w:pPr>
            <w:r w:rsidRPr="00B02BA3">
              <w:rPr>
                <w:sz w:val="16"/>
                <w:szCs w:val="16"/>
              </w:rPr>
              <w:t> 4 months</w:t>
            </w:r>
          </w:p>
        </w:tc>
        <w:tc>
          <w:tcPr>
            <w:tcW w:w="236" w:type="dxa"/>
            <w:vAlign w:val="bottom"/>
          </w:tcPr>
          <w:p w14:paraId="5FECB55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6F630F0" w14:textId="77777777" w:rsidR="00AC5C0C" w:rsidRPr="00B02BA3" w:rsidRDefault="00AC5C0C" w:rsidP="00922116">
            <w:pPr>
              <w:pStyle w:val="VSmCellBody"/>
              <w:jc w:val="right"/>
              <w:rPr>
                <w:sz w:val="16"/>
                <w:szCs w:val="16"/>
              </w:rPr>
            </w:pPr>
            <w:r w:rsidRPr="00B02BA3">
              <w:rPr>
                <w:sz w:val="16"/>
                <w:szCs w:val="16"/>
              </w:rPr>
              <w:t> 1 month</w:t>
            </w:r>
          </w:p>
        </w:tc>
        <w:tc>
          <w:tcPr>
            <w:tcW w:w="236" w:type="dxa"/>
            <w:vAlign w:val="bottom"/>
          </w:tcPr>
          <w:p w14:paraId="7DC02899" w14:textId="77777777" w:rsidR="00AC5C0C" w:rsidRPr="00B02BA3" w:rsidRDefault="00AC5C0C" w:rsidP="00922116">
            <w:pPr>
              <w:pStyle w:val="CellRowSpacer"/>
              <w:rPr>
                <w:sz w:val="16"/>
                <w:szCs w:val="16"/>
              </w:rPr>
            </w:pPr>
          </w:p>
        </w:tc>
      </w:tr>
      <w:tr w:rsidR="00AC5C0C" w:rsidRPr="00B02BA3" w14:paraId="20AFF802" w14:textId="77777777" w:rsidTr="00922116">
        <w:tc>
          <w:tcPr>
            <w:tcW w:w="3163" w:type="dxa"/>
            <w:vAlign w:val="bottom"/>
          </w:tcPr>
          <w:p w14:paraId="3B57EE04" w14:textId="77777777" w:rsidR="00AC5C0C" w:rsidRPr="00B02BA3" w:rsidRDefault="00AC5C0C" w:rsidP="00922116">
            <w:pPr>
              <w:pStyle w:val="VSmCellBody"/>
              <w:tabs>
                <w:tab w:val="right" w:leader="dot" w:pos="3163"/>
              </w:tabs>
              <w:rPr>
                <w:sz w:val="16"/>
                <w:szCs w:val="16"/>
              </w:rPr>
            </w:pPr>
            <w:r w:rsidRPr="00B02BA3">
              <w:rPr>
                <w:sz w:val="16"/>
                <w:szCs w:val="16"/>
              </w:rPr>
              <w:t>Songa Topaz</w:t>
            </w:r>
            <w:r w:rsidRPr="00B02BA3">
              <w:rPr>
                <w:rFonts w:eastAsia="SimSun"/>
                <w:sz w:val="16"/>
                <w:szCs w:val="16"/>
              </w:rPr>
              <w:tab/>
            </w:r>
          </w:p>
        </w:tc>
        <w:tc>
          <w:tcPr>
            <w:tcW w:w="236" w:type="dxa"/>
            <w:vAlign w:val="bottom"/>
          </w:tcPr>
          <w:p w14:paraId="3752D6A3" w14:textId="77777777" w:rsidR="00AC5C0C" w:rsidRPr="00B02BA3" w:rsidRDefault="00AC5C0C" w:rsidP="00922116">
            <w:pPr>
              <w:pStyle w:val="CellRowSpacer"/>
              <w:rPr>
                <w:sz w:val="16"/>
                <w:szCs w:val="16"/>
              </w:rPr>
            </w:pPr>
          </w:p>
        </w:tc>
        <w:tc>
          <w:tcPr>
            <w:tcW w:w="907" w:type="dxa"/>
            <w:vAlign w:val="bottom"/>
          </w:tcPr>
          <w:p w14:paraId="0000F420" w14:textId="77777777" w:rsidR="00AC5C0C" w:rsidRPr="00B02BA3" w:rsidRDefault="00AC5C0C" w:rsidP="00922116">
            <w:pPr>
              <w:pStyle w:val="VSmCellBody"/>
              <w:jc w:val="right"/>
              <w:rPr>
                <w:sz w:val="16"/>
                <w:szCs w:val="16"/>
              </w:rPr>
            </w:pPr>
            <w:r w:rsidRPr="00B02BA3">
              <w:rPr>
                <w:sz w:val="16"/>
                <w:szCs w:val="16"/>
              </w:rPr>
              <w:t> OQ</w:t>
            </w:r>
          </w:p>
        </w:tc>
        <w:tc>
          <w:tcPr>
            <w:tcW w:w="236" w:type="dxa"/>
            <w:vAlign w:val="bottom"/>
          </w:tcPr>
          <w:p w14:paraId="3FA218F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8A55F94" w14:textId="77777777" w:rsidR="00AC5C0C" w:rsidRPr="00B02BA3" w:rsidRDefault="00AC5C0C" w:rsidP="00922116">
            <w:pPr>
              <w:pStyle w:val="VSmCellBody"/>
              <w:jc w:val="right"/>
              <w:rPr>
                <w:sz w:val="16"/>
                <w:szCs w:val="16"/>
              </w:rPr>
            </w:pPr>
            <w:r w:rsidRPr="00B02BA3">
              <w:rPr>
                <w:sz w:val="16"/>
                <w:szCs w:val="16"/>
              </w:rPr>
              <w:t> February 2023</w:t>
            </w:r>
          </w:p>
        </w:tc>
        <w:tc>
          <w:tcPr>
            <w:tcW w:w="236" w:type="dxa"/>
            <w:vAlign w:val="bottom"/>
          </w:tcPr>
          <w:p w14:paraId="0B5084D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B04D7F1" w14:textId="77777777" w:rsidR="00AC5C0C" w:rsidRPr="00B02BA3" w:rsidRDefault="00AC5C0C" w:rsidP="00922116">
            <w:pPr>
              <w:pStyle w:val="VSmCellBody"/>
              <w:jc w:val="right"/>
              <w:rPr>
                <w:sz w:val="16"/>
                <w:szCs w:val="16"/>
              </w:rPr>
            </w:pPr>
            <w:r w:rsidRPr="00B02BA3">
              <w:rPr>
                <w:sz w:val="16"/>
                <w:szCs w:val="16"/>
              </w:rPr>
              <w:t>February 2025</w:t>
            </w:r>
          </w:p>
        </w:tc>
        <w:tc>
          <w:tcPr>
            <w:tcW w:w="236" w:type="dxa"/>
            <w:vAlign w:val="bottom"/>
          </w:tcPr>
          <w:p w14:paraId="73DCF5F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ED5E903" w14:textId="77777777" w:rsidR="00AC5C0C" w:rsidRPr="00B02BA3" w:rsidRDefault="00AC5C0C" w:rsidP="00922116">
            <w:pPr>
              <w:pStyle w:val="VSmCellBody"/>
              <w:jc w:val="right"/>
              <w:rPr>
                <w:sz w:val="16"/>
                <w:szCs w:val="16"/>
              </w:rPr>
            </w:pPr>
            <w:r w:rsidRPr="00B02BA3">
              <w:rPr>
                <w:sz w:val="16"/>
                <w:szCs w:val="16"/>
              </w:rPr>
              <w:t xml:space="preserve"> 2 years </w:t>
            </w:r>
          </w:p>
        </w:tc>
        <w:tc>
          <w:tcPr>
            <w:tcW w:w="236" w:type="dxa"/>
            <w:vAlign w:val="bottom"/>
          </w:tcPr>
          <w:p w14:paraId="6F590CE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650DAA6" w14:textId="77777777" w:rsidR="00AC5C0C" w:rsidRPr="00B02BA3" w:rsidRDefault="00AC5C0C" w:rsidP="00922116">
            <w:pPr>
              <w:pStyle w:val="VSmCellBody"/>
              <w:jc w:val="right"/>
              <w:rPr>
                <w:sz w:val="16"/>
                <w:szCs w:val="16"/>
              </w:rPr>
            </w:pPr>
            <w:r w:rsidRPr="00B02BA3">
              <w:rPr>
                <w:sz w:val="16"/>
                <w:szCs w:val="16"/>
              </w:rPr>
              <w:t>1 year</w:t>
            </w:r>
          </w:p>
        </w:tc>
        <w:tc>
          <w:tcPr>
            <w:tcW w:w="236" w:type="dxa"/>
            <w:vAlign w:val="bottom"/>
          </w:tcPr>
          <w:p w14:paraId="26E0FF54" w14:textId="77777777" w:rsidR="00AC5C0C" w:rsidRPr="00B02BA3" w:rsidRDefault="00AC5C0C" w:rsidP="00922116">
            <w:pPr>
              <w:pStyle w:val="CellRowSpacer"/>
              <w:rPr>
                <w:sz w:val="16"/>
                <w:szCs w:val="16"/>
              </w:rPr>
            </w:pPr>
          </w:p>
        </w:tc>
      </w:tr>
      <w:tr w:rsidR="00AC5C0C" w:rsidRPr="00B02BA3" w14:paraId="554EEA51" w14:textId="77777777" w:rsidTr="00922116">
        <w:tc>
          <w:tcPr>
            <w:tcW w:w="3163" w:type="dxa"/>
            <w:vAlign w:val="bottom"/>
          </w:tcPr>
          <w:p w14:paraId="19CA2AF0" w14:textId="77777777" w:rsidR="00AC5C0C" w:rsidRPr="00B02BA3" w:rsidRDefault="00AC5C0C" w:rsidP="00922116">
            <w:pPr>
              <w:pStyle w:val="VSmCellBody"/>
              <w:tabs>
                <w:tab w:val="right" w:leader="dot" w:pos="3163"/>
              </w:tabs>
              <w:rPr>
                <w:sz w:val="16"/>
                <w:szCs w:val="16"/>
              </w:rPr>
            </w:pPr>
            <w:r w:rsidRPr="00B02BA3">
              <w:rPr>
                <w:sz w:val="16"/>
                <w:szCs w:val="16"/>
              </w:rPr>
              <w:t>Songa Diamond</w:t>
            </w:r>
            <w:r w:rsidRPr="00B02BA3">
              <w:rPr>
                <w:rFonts w:eastAsia="SimSun"/>
                <w:sz w:val="16"/>
                <w:szCs w:val="16"/>
              </w:rPr>
              <w:tab/>
            </w:r>
          </w:p>
        </w:tc>
        <w:tc>
          <w:tcPr>
            <w:tcW w:w="236" w:type="dxa"/>
            <w:vAlign w:val="bottom"/>
          </w:tcPr>
          <w:p w14:paraId="7BDDF43A" w14:textId="77777777" w:rsidR="00AC5C0C" w:rsidRPr="00B02BA3" w:rsidRDefault="00AC5C0C" w:rsidP="00922116">
            <w:pPr>
              <w:pStyle w:val="CellRowSpacer"/>
              <w:rPr>
                <w:sz w:val="16"/>
                <w:szCs w:val="16"/>
              </w:rPr>
            </w:pPr>
          </w:p>
        </w:tc>
        <w:tc>
          <w:tcPr>
            <w:tcW w:w="907" w:type="dxa"/>
            <w:vAlign w:val="bottom"/>
          </w:tcPr>
          <w:p w14:paraId="0CEF5A5F" w14:textId="77777777" w:rsidR="00AC5C0C" w:rsidRPr="00B02BA3" w:rsidRDefault="00AC5C0C" w:rsidP="00922116">
            <w:pPr>
              <w:pStyle w:val="VSmCellBody"/>
              <w:jc w:val="right"/>
              <w:rPr>
                <w:sz w:val="16"/>
                <w:szCs w:val="16"/>
              </w:rPr>
            </w:pPr>
            <w:r w:rsidRPr="00B02BA3">
              <w:rPr>
                <w:sz w:val="16"/>
                <w:szCs w:val="16"/>
              </w:rPr>
              <w:t> OQ</w:t>
            </w:r>
          </w:p>
        </w:tc>
        <w:tc>
          <w:tcPr>
            <w:tcW w:w="236" w:type="dxa"/>
            <w:vAlign w:val="bottom"/>
          </w:tcPr>
          <w:p w14:paraId="556AA76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7A42F44" w14:textId="77777777" w:rsidR="00AC5C0C" w:rsidRPr="00B02BA3" w:rsidRDefault="00AC5C0C" w:rsidP="00922116">
            <w:pPr>
              <w:pStyle w:val="VSmCellBody"/>
              <w:jc w:val="right"/>
              <w:rPr>
                <w:sz w:val="16"/>
                <w:szCs w:val="16"/>
              </w:rPr>
            </w:pPr>
            <w:r w:rsidRPr="00B02BA3">
              <w:rPr>
                <w:sz w:val="16"/>
                <w:szCs w:val="16"/>
              </w:rPr>
              <w:t> February 2023</w:t>
            </w:r>
          </w:p>
        </w:tc>
        <w:tc>
          <w:tcPr>
            <w:tcW w:w="236" w:type="dxa"/>
            <w:vAlign w:val="bottom"/>
          </w:tcPr>
          <w:p w14:paraId="70B64DA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CCD9C38" w14:textId="77777777" w:rsidR="00AC5C0C" w:rsidRPr="00B02BA3" w:rsidRDefault="00AC5C0C" w:rsidP="00922116">
            <w:pPr>
              <w:pStyle w:val="VSmCellBody"/>
              <w:jc w:val="right"/>
              <w:rPr>
                <w:sz w:val="16"/>
                <w:szCs w:val="16"/>
              </w:rPr>
            </w:pPr>
            <w:r w:rsidRPr="00B02BA3">
              <w:rPr>
                <w:sz w:val="16"/>
                <w:szCs w:val="16"/>
              </w:rPr>
              <w:t>February 2025</w:t>
            </w:r>
          </w:p>
        </w:tc>
        <w:tc>
          <w:tcPr>
            <w:tcW w:w="236" w:type="dxa"/>
            <w:vAlign w:val="bottom"/>
          </w:tcPr>
          <w:p w14:paraId="16EECBC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20BD340" w14:textId="77777777" w:rsidR="00AC5C0C" w:rsidRPr="00B02BA3" w:rsidRDefault="00AC5C0C" w:rsidP="00922116">
            <w:pPr>
              <w:pStyle w:val="VSmCellBody"/>
              <w:jc w:val="right"/>
              <w:rPr>
                <w:sz w:val="16"/>
                <w:szCs w:val="16"/>
              </w:rPr>
            </w:pPr>
            <w:r w:rsidRPr="00B02BA3">
              <w:rPr>
                <w:sz w:val="16"/>
                <w:szCs w:val="16"/>
              </w:rPr>
              <w:t>2 years</w:t>
            </w:r>
          </w:p>
        </w:tc>
        <w:tc>
          <w:tcPr>
            <w:tcW w:w="236" w:type="dxa"/>
            <w:vAlign w:val="bottom"/>
          </w:tcPr>
          <w:p w14:paraId="7AB42F2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D825431" w14:textId="77777777" w:rsidR="00AC5C0C" w:rsidRPr="00B02BA3" w:rsidRDefault="00AC5C0C" w:rsidP="00922116">
            <w:pPr>
              <w:pStyle w:val="VSmCellBody"/>
              <w:jc w:val="right"/>
              <w:rPr>
                <w:sz w:val="16"/>
                <w:szCs w:val="16"/>
              </w:rPr>
            </w:pPr>
            <w:r w:rsidRPr="00B02BA3">
              <w:rPr>
                <w:sz w:val="16"/>
                <w:szCs w:val="16"/>
              </w:rPr>
              <w:t> 1 year</w:t>
            </w:r>
          </w:p>
        </w:tc>
        <w:tc>
          <w:tcPr>
            <w:tcW w:w="236" w:type="dxa"/>
            <w:vAlign w:val="bottom"/>
          </w:tcPr>
          <w:p w14:paraId="3BE4D868" w14:textId="77777777" w:rsidR="00AC5C0C" w:rsidRPr="00B02BA3" w:rsidRDefault="00AC5C0C" w:rsidP="00922116">
            <w:pPr>
              <w:pStyle w:val="CellRowSpacer"/>
              <w:rPr>
                <w:sz w:val="16"/>
                <w:szCs w:val="16"/>
              </w:rPr>
            </w:pPr>
          </w:p>
        </w:tc>
      </w:tr>
      <w:tr w:rsidR="00AC5C0C" w:rsidRPr="00B02BA3" w14:paraId="21D62703" w14:textId="77777777" w:rsidTr="00922116">
        <w:tc>
          <w:tcPr>
            <w:tcW w:w="3163" w:type="dxa"/>
            <w:vAlign w:val="bottom"/>
          </w:tcPr>
          <w:p w14:paraId="4F800BC7" w14:textId="77777777" w:rsidR="00AC5C0C" w:rsidRPr="00B02BA3" w:rsidRDefault="00AC5C0C" w:rsidP="00922116">
            <w:pPr>
              <w:pStyle w:val="VSmCellBody"/>
              <w:tabs>
                <w:tab w:val="right" w:leader="dot" w:pos="3163"/>
              </w:tabs>
              <w:rPr>
                <w:sz w:val="16"/>
                <w:szCs w:val="16"/>
              </w:rPr>
            </w:pPr>
            <w:r w:rsidRPr="00B02BA3">
              <w:rPr>
                <w:sz w:val="16"/>
                <w:szCs w:val="16"/>
              </w:rPr>
              <w:t>Kanala</w:t>
            </w:r>
            <w:r w:rsidRPr="00B02BA3">
              <w:rPr>
                <w:rFonts w:eastAsia="SimSun"/>
                <w:sz w:val="16"/>
                <w:szCs w:val="16"/>
              </w:rPr>
              <w:tab/>
            </w:r>
          </w:p>
        </w:tc>
        <w:tc>
          <w:tcPr>
            <w:tcW w:w="236" w:type="dxa"/>
            <w:vAlign w:val="bottom"/>
          </w:tcPr>
          <w:p w14:paraId="7E50AFC6" w14:textId="77777777" w:rsidR="00AC5C0C" w:rsidRPr="00B02BA3" w:rsidRDefault="00AC5C0C" w:rsidP="00922116">
            <w:pPr>
              <w:pStyle w:val="CellRowSpacer"/>
              <w:rPr>
                <w:sz w:val="16"/>
                <w:szCs w:val="16"/>
              </w:rPr>
            </w:pPr>
          </w:p>
        </w:tc>
        <w:tc>
          <w:tcPr>
            <w:tcW w:w="907" w:type="dxa"/>
            <w:vAlign w:val="bottom"/>
          </w:tcPr>
          <w:p w14:paraId="78744101" w14:textId="77777777" w:rsidR="00AC5C0C" w:rsidRPr="00B02BA3" w:rsidRDefault="00AC5C0C" w:rsidP="00922116">
            <w:pPr>
              <w:pStyle w:val="VSmCellBody"/>
              <w:jc w:val="right"/>
              <w:rPr>
                <w:sz w:val="16"/>
                <w:szCs w:val="16"/>
              </w:rPr>
            </w:pPr>
            <w:r w:rsidRPr="00B02BA3">
              <w:rPr>
                <w:sz w:val="16"/>
                <w:szCs w:val="16"/>
              </w:rPr>
              <w:t> Repsol</w:t>
            </w:r>
          </w:p>
        </w:tc>
        <w:tc>
          <w:tcPr>
            <w:tcW w:w="236" w:type="dxa"/>
            <w:vAlign w:val="bottom"/>
          </w:tcPr>
          <w:p w14:paraId="1EEEA9C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4F48FE9" w14:textId="77777777" w:rsidR="00AC5C0C" w:rsidRPr="00B02BA3" w:rsidRDefault="00AC5C0C" w:rsidP="00922116">
            <w:pPr>
              <w:pStyle w:val="VSmCellBody"/>
              <w:jc w:val="right"/>
              <w:rPr>
                <w:sz w:val="16"/>
                <w:szCs w:val="16"/>
              </w:rPr>
            </w:pPr>
            <w:r w:rsidRPr="00B02BA3">
              <w:rPr>
                <w:sz w:val="16"/>
                <w:szCs w:val="16"/>
              </w:rPr>
              <w:t>August 2023</w:t>
            </w:r>
          </w:p>
        </w:tc>
        <w:tc>
          <w:tcPr>
            <w:tcW w:w="236" w:type="dxa"/>
            <w:vAlign w:val="bottom"/>
          </w:tcPr>
          <w:p w14:paraId="7541BC33"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5DDF991" w14:textId="77777777" w:rsidR="00AC5C0C" w:rsidRPr="00B02BA3" w:rsidRDefault="00AC5C0C" w:rsidP="00922116">
            <w:pPr>
              <w:pStyle w:val="VSmCellBody"/>
              <w:jc w:val="right"/>
              <w:rPr>
                <w:sz w:val="16"/>
                <w:szCs w:val="16"/>
              </w:rPr>
            </w:pPr>
            <w:r w:rsidRPr="00B02BA3">
              <w:rPr>
                <w:sz w:val="16"/>
                <w:szCs w:val="16"/>
              </w:rPr>
              <w:t>May 2025</w:t>
            </w:r>
          </w:p>
        </w:tc>
        <w:tc>
          <w:tcPr>
            <w:tcW w:w="236" w:type="dxa"/>
            <w:vAlign w:val="bottom"/>
          </w:tcPr>
          <w:p w14:paraId="5FBC386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2CD4DBE" w14:textId="77777777" w:rsidR="00AC5C0C" w:rsidRPr="00B02BA3" w:rsidRDefault="00AC5C0C" w:rsidP="00922116">
            <w:pPr>
              <w:pStyle w:val="VSmCellBody"/>
              <w:jc w:val="right"/>
              <w:rPr>
                <w:sz w:val="16"/>
                <w:szCs w:val="16"/>
              </w:rPr>
            </w:pPr>
            <w:r w:rsidRPr="00B02BA3">
              <w:rPr>
                <w:sz w:val="16"/>
                <w:szCs w:val="16"/>
              </w:rPr>
              <w:t>21 months</w:t>
            </w:r>
          </w:p>
        </w:tc>
        <w:tc>
          <w:tcPr>
            <w:tcW w:w="236" w:type="dxa"/>
            <w:vAlign w:val="bottom"/>
          </w:tcPr>
          <w:p w14:paraId="292C48F1"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2F71401" w14:textId="77777777" w:rsidR="00AC5C0C" w:rsidRPr="00B02BA3" w:rsidRDefault="00AC5C0C" w:rsidP="00922116">
            <w:pPr>
              <w:pStyle w:val="VSmCellBody"/>
              <w:jc w:val="right"/>
              <w:rPr>
                <w:sz w:val="16"/>
                <w:szCs w:val="16"/>
              </w:rPr>
            </w:pPr>
            <w:r w:rsidRPr="00B02BA3">
              <w:rPr>
                <w:sz w:val="16"/>
                <w:szCs w:val="16"/>
              </w:rPr>
              <w:t xml:space="preserve"> None </w:t>
            </w:r>
          </w:p>
        </w:tc>
        <w:tc>
          <w:tcPr>
            <w:tcW w:w="236" w:type="dxa"/>
            <w:vAlign w:val="bottom"/>
          </w:tcPr>
          <w:p w14:paraId="7BC724A7" w14:textId="77777777" w:rsidR="00AC5C0C" w:rsidRPr="00B02BA3" w:rsidRDefault="00AC5C0C" w:rsidP="00922116">
            <w:pPr>
              <w:pStyle w:val="CellRowSpacer"/>
              <w:rPr>
                <w:sz w:val="16"/>
                <w:szCs w:val="16"/>
              </w:rPr>
            </w:pPr>
          </w:p>
        </w:tc>
      </w:tr>
      <w:tr w:rsidR="00AC5C0C" w:rsidRPr="00B02BA3" w14:paraId="0DD0EA0B" w14:textId="77777777" w:rsidTr="00922116">
        <w:tc>
          <w:tcPr>
            <w:tcW w:w="3163" w:type="dxa"/>
            <w:vAlign w:val="bottom"/>
          </w:tcPr>
          <w:p w14:paraId="2FA359CF" w14:textId="77777777" w:rsidR="00AC5C0C" w:rsidRPr="00B02BA3" w:rsidRDefault="00AC5C0C" w:rsidP="00922116">
            <w:pPr>
              <w:pStyle w:val="VSmCellBody"/>
              <w:tabs>
                <w:tab w:val="right" w:leader="dot" w:pos="3163"/>
              </w:tabs>
              <w:rPr>
                <w:sz w:val="16"/>
                <w:szCs w:val="16"/>
              </w:rPr>
            </w:pPr>
            <w:r w:rsidRPr="00B02BA3">
              <w:rPr>
                <w:sz w:val="16"/>
                <w:szCs w:val="16"/>
              </w:rPr>
              <w:t>Celsius Portsmouth</w:t>
            </w:r>
            <w:r w:rsidRPr="00B02BA3">
              <w:rPr>
                <w:rFonts w:eastAsia="SimSun"/>
                <w:sz w:val="16"/>
                <w:szCs w:val="16"/>
              </w:rPr>
              <w:tab/>
            </w:r>
          </w:p>
        </w:tc>
        <w:tc>
          <w:tcPr>
            <w:tcW w:w="236" w:type="dxa"/>
            <w:vAlign w:val="bottom"/>
          </w:tcPr>
          <w:p w14:paraId="28B92B20" w14:textId="77777777" w:rsidR="00AC5C0C" w:rsidRPr="00B02BA3" w:rsidRDefault="00AC5C0C" w:rsidP="00922116">
            <w:pPr>
              <w:pStyle w:val="CellRowSpacer"/>
              <w:rPr>
                <w:sz w:val="16"/>
                <w:szCs w:val="16"/>
              </w:rPr>
            </w:pPr>
          </w:p>
        </w:tc>
        <w:tc>
          <w:tcPr>
            <w:tcW w:w="907" w:type="dxa"/>
            <w:vAlign w:val="bottom"/>
          </w:tcPr>
          <w:p w14:paraId="62B824B1" w14:textId="77777777" w:rsidR="00AC5C0C" w:rsidRPr="00B02BA3" w:rsidRDefault="00AC5C0C" w:rsidP="00922116">
            <w:pPr>
              <w:pStyle w:val="VSmCellBody"/>
              <w:jc w:val="right"/>
              <w:rPr>
                <w:sz w:val="16"/>
                <w:szCs w:val="16"/>
              </w:rPr>
            </w:pPr>
            <w:r w:rsidRPr="00B02BA3">
              <w:rPr>
                <w:sz w:val="16"/>
                <w:szCs w:val="16"/>
              </w:rPr>
              <w:t> ExxonMobil</w:t>
            </w:r>
          </w:p>
        </w:tc>
        <w:tc>
          <w:tcPr>
            <w:tcW w:w="236" w:type="dxa"/>
            <w:vAlign w:val="bottom"/>
          </w:tcPr>
          <w:p w14:paraId="4D6491B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637C7AB" w14:textId="77777777" w:rsidR="00AC5C0C" w:rsidRPr="00B02BA3" w:rsidRDefault="00AC5C0C" w:rsidP="00922116">
            <w:pPr>
              <w:pStyle w:val="VSmCellBody"/>
              <w:jc w:val="right"/>
              <w:rPr>
                <w:sz w:val="16"/>
                <w:szCs w:val="16"/>
              </w:rPr>
            </w:pPr>
            <w:r w:rsidRPr="00B02BA3">
              <w:rPr>
                <w:sz w:val="16"/>
                <w:szCs w:val="16"/>
              </w:rPr>
              <w:t> February 2024</w:t>
            </w:r>
          </w:p>
        </w:tc>
        <w:tc>
          <w:tcPr>
            <w:tcW w:w="236" w:type="dxa"/>
            <w:vAlign w:val="bottom"/>
          </w:tcPr>
          <w:p w14:paraId="44F3B3F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44B6065" w14:textId="77777777" w:rsidR="00AC5C0C" w:rsidRPr="00B02BA3" w:rsidRDefault="00AC5C0C" w:rsidP="00922116">
            <w:pPr>
              <w:pStyle w:val="VSmCellBody"/>
              <w:jc w:val="right"/>
              <w:rPr>
                <w:sz w:val="16"/>
                <w:szCs w:val="16"/>
              </w:rPr>
            </w:pPr>
            <w:r w:rsidRPr="00B02BA3">
              <w:rPr>
                <w:sz w:val="16"/>
                <w:szCs w:val="16"/>
              </w:rPr>
              <w:t>February 2025</w:t>
            </w:r>
          </w:p>
        </w:tc>
        <w:tc>
          <w:tcPr>
            <w:tcW w:w="236" w:type="dxa"/>
            <w:vAlign w:val="bottom"/>
          </w:tcPr>
          <w:p w14:paraId="6ABDEAD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2E72661" w14:textId="77777777" w:rsidR="00AC5C0C" w:rsidRPr="00B02BA3" w:rsidRDefault="00AC5C0C" w:rsidP="00922116">
            <w:pPr>
              <w:pStyle w:val="VSmCellBody"/>
              <w:jc w:val="right"/>
              <w:rPr>
                <w:sz w:val="16"/>
                <w:szCs w:val="16"/>
              </w:rPr>
            </w:pPr>
            <w:r w:rsidRPr="00B02BA3">
              <w:rPr>
                <w:sz w:val="16"/>
                <w:szCs w:val="16"/>
              </w:rPr>
              <w:t>1 year</w:t>
            </w:r>
          </w:p>
        </w:tc>
        <w:tc>
          <w:tcPr>
            <w:tcW w:w="236" w:type="dxa"/>
            <w:vAlign w:val="bottom"/>
          </w:tcPr>
          <w:p w14:paraId="48B81CC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A34A0FC" w14:textId="77777777" w:rsidR="00AC5C0C" w:rsidRPr="00B02BA3" w:rsidRDefault="00AC5C0C" w:rsidP="00922116">
            <w:pPr>
              <w:pStyle w:val="VSmCellBody"/>
              <w:jc w:val="right"/>
              <w:rPr>
                <w:sz w:val="16"/>
                <w:szCs w:val="16"/>
              </w:rPr>
            </w:pPr>
            <w:r w:rsidRPr="00B02BA3">
              <w:rPr>
                <w:sz w:val="16"/>
                <w:szCs w:val="16"/>
              </w:rPr>
              <w:t xml:space="preserve"> None </w:t>
            </w:r>
          </w:p>
        </w:tc>
        <w:tc>
          <w:tcPr>
            <w:tcW w:w="236" w:type="dxa"/>
            <w:vAlign w:val="bottom"/>
          </w:tcPr>
          <w:p w14:paraId="3010C135" w14:textId="77777777" w:rsidR="00AC5C0C" w:rsidRPr="00B02BA3" w:rsidRDefault="00AC5C0C" w:rsidP="00922116">
            <w:pPr>
              <w:pStyle w:val="CellRowSpacer"/>
              <w:rPr>
                <w:sz w:val="16"/>
                <w:szCs w:val="16"/>
              </w:rPr>
            </w:pPr>
          </w:p>
        </w:tc>
      </w:tr>
      <w:tr w:rsidR="00AC5C0C" w:rsidRPr="00B02BA3" w14:paraId="2F8F1F85" w14:textId="77777777" w:rsidTr="00922116">
        <w:tc>
          <w:tcPr>
            <w:tcW w:w="3163" w:type="dxa"/>
            <w:vAlign w:val="bottom"/>
          </w:tcPr>
          <w:p w14:paraId="22AF6F08" w14:textId="77777777" w:rsidR="00AC5C0C" w:rsidRPr="00B02BA3" w:rsidRDefault="00AC5C0C" w:rsidP="00922116">
            <w:pPr>
              <w:pStyle w:val="VSmCellBody"/>
              <w:tabs>
                <w:tab w:val="right" w:leader="dot" w:pos="3163"/>
              </w:tabs>
              <w:rPr>
                <w:sz w:val="16"/>
                <w:szCs w:val="16"/>
              </w:rPr>
            </w:pPr>
            <w:r w:rsidRPr="00B02BA3">
              <w:rPr>
                <w:sz w:val="16"/>
                <w:szCs w:val="16"/>
              </w:rPr>
              <w:lastRenderedPageBreak/>
              <w:t>Nord Himalaya</w:t>
            </w:r>
            <w:r w:rsidRPr="00B02BA3">
              <w:rPr>
                <w:rFonts w:eastAsia="SimSun"/>
                <w:sz w:val="16"/>
                <w:szCs w:val="16"/>
              </w:rPr>
              <w:tab/>
            </w:r>
          </w:p>
        </w:tc>
        <w:tc>
          <w:tcPr>
            <w:tcW w:w="236" w:type="dxa"/>
            <w:vAlign w:val="bottom"/>
          </w:tcPr>
          <w:p w14:paraId="3F4340E0" w14:textId="77777777" w:rsidR="00AC5C0C" w:rsidRPr="00B02BA3" w:rsidRDefault="00AC5C0C" w:rsidP="00922116">
            <w:pPr>
              <w:pStyle w:val="CellRowSpacer"/>
              <w:rPr>
                <w:sz w:val="16"/>
                <w:szCs w:val="16"/>
              </w:rPr>
            </w:pPr>
          </w:p>
        </w:tc>
        <w:tc>
          <w:tcPr>
            <w:tcW w:w="907" w:type="dxa"/>
            <w:vAlign w:val="bottom"/>
          </w:tcPr>
          <w:p w14:paraId="121CA958" w14:textId="77777777" w:rsidR="00AC5C0C" w:rsidRPr="00B02BA3" w:rsidRDefault="00AC5C0C" w:rsidP="00922116">
            <w:pPr>
              <w:pStyle w:val="VSmCellBody"/>
              <w:jc w:val="right"/>
              <w:rPr>
                <w:sz w:val="16"/>
                <w:szCs w:val="16"/>
              </w:rPr>
            </w:pPr>
            <w:r w:rsidRPr="00B02BA3">
              <w:rPr>
                <w:sz w:val="16"/>
                <w:szCs w:val="16"/>
              </w:rPr>
              <w:t> Novum Energy</w:t>
            </w:r>
          </w:p>
        </w:tc>
        <w:tc>
          <w:tcPr>
            <w:tcW w:w="236" w:type="dxa"/>
            <w:vAlign w:val="bottom"/>
          </w:tcPr>
          <w:p w14:paraId="709951E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4E73ECA" w14:textId="77777777" w:rsidR="00AC5C0C" w:rsidRPr="00B02BA3" w:rsidRDefault="00AC5C0C" w:rsidP="00922116">
            <w:pPr>
              <w:pStyle w:val="VSmCellBody"/>
              <w:jc w:val="right"/>
              <w:rPr>
                <w:sz w:val="16"/>
                <w:szCs w:val="16"/>
              </w:rPr>
            </w:pPr>
            <w:r w:rsidRPr="00B02BA3">
              <w:rPr>
                <w:sz w:val="16"/>
                <w:szCs w:val="16"/>
              </w:rPr>
              <w:t>August 2024</w:t>
            </w:r>
          </w:p>
        </w:tc>
        <w:tc>
          <w:tcPr>
            <w:tcW w:w="236" w:type="dxa"/>
            <w:vAlign w:val="bottom"/>
          </w:tcPr>
          <w:p w14:paraId="7660B69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74A2F5F" w14:textId="77777777" w:rsidR="00AC5C0C" w:rsidRPr="00B02BA3" w:rsidRDefault="00AC5C0C" w:rsidP="00922116">
            <w:pPr>
              <w:pStyle w:val="VSmCellBody"/>
              <w:jc w:val="right"/>
              <w:rPr>
                <w:sz w:val="16"/>
                <w:szCs w:val="16"/>
              </w:rPr>
            </w:pPr>
            <w:r w:rsidRPr="00B02BA3">
              <w:rPr>
                <w:sz w:val="16"/>
                <w:szCs w:val="16"/>
              </w:rPr>
              <w:t>November 2024</w:t>
            </w:r>
          </w:p>
        </w:tc>
        <w:tc>
          <w:tcPr>
            <w:tcW w:w="236" w:type="dxa"/>
            <w:vAlign w:val="bottom"/>
          </w:tcPr>
          <w:p w14:paraId="7408526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E4E6C91" w14:textId="77777777" w:rsidR="00AC5C0C" w:rsidRPr="00B02BA3" w:rsidRDefault="00AC5C0C" w:rsidP="00922116">
            <w:pPr>
              <w:pStyle w:val="VSmCellBody"/>
              <w:jc w:val="right"/>
              <w:rPr>
                <w:sz w:val="16"/>
                <w:szCs w:val="16"/>
              </w:rPr>
            </w:pPr>
            <w:r w:rsidRPr="00B02BA3">
              <w:rPr>
                <w:sz w:val="16"/>
                <w:szCs w:val="16"/>
              </w:rPr>
              <w:t>3 months</w:t>
            </w:r>
          </w:p>
        </w:tc>
        <w:tc>
          <w:tcPr>
            <w:tcW w:w="236" w:type="dxa"/>
            <w:vAlign w:val="bottom"/>
          </w:tcPr>
          <w:p w14:paraId="21A8029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577534F" w14:textId="77777777" w:rsidR="00AC5C0C" w:rsidRPr="00B02BA3" w:rsidRDefault="00AC5C0C" w:rsidP="00922116">
            <w:pPr>
              <w:pStyle w:val="VSmCellBody"/>
              <w:jc w:val="right"/>
              <w:rPr>
                <w:sz w:val="16"/>
                <w:szCs w:val="16"/>
              </w:rPr>
            </w:pPr>
            <w:r w:rsidRPr="00B02BA3">
              <w:rPr>
                <w:sz w:val="16"/>
                <w:szCs w:val="16"/>
              </w:rPr>
              <w:t> 1 month</w:t>
            </w:r>
          </w:p>
        </w:tc>
        <w:tc>
          <w:tcPr>
            <w:tcW w:w="236" w:type="dxa"/>
            <w:vAlign w:val="bottom"/>
          </w:tcPr>
          <w:p w14:paraId="0DC3E75A" w14:textId="77777777" w:rsidR="00AC5C0C" w:rsidRPr="00B02BA3" w:rsidRDefault="00AC5C0C" w:rsidP="00922116">
            <w:pPr>
              <w:pStyle w:val="CellRowSpacer"/>
              <w:rPr>
                <w:sz w:val="16"/>
                <w:szCs w:val="16"/>
              </w:rPr>
            </w:pPr>
          </w:p>
        </w:tc>
      </w:tr>
      <w:tr w:rsidR="00AC5C0C" w:rsidRPr="00B02BA3" w14:paraId="3CED6D19" w14:textId="77777777" w:rsidTr="00922116">
        <w:tc>
          <w:tcPr>
            <w:tcW w:w="3163" w:type="dxa"/>
            <w:vAlign w:val="bottom"/>
          </w:tcPr>
          <w:p w14:paraId="20B8F128" w14:textId="77777777" w:rsidR="00AC5C0C" w:rsidRPr="00B02BA3" w:rsidRDefault="00AC5C0C" w:rsidP="00922116">
            <w:pPr>
              <w:pStyle w:val="VSmCellBody"/>
              <w:tabs>
                <w:tab w:val="right" w:leader="dot" w:pos="3163"/>
              </w:tabs>
              <w:rPr>
                <w:sz w:val="16"/>
                <w:szCs w:val="16"/>
              </w:rPr>
            </w:pPr>
            <w:r w:rsidRPr="00B02BA3">
              <w:rPr>
                <w:sz w:val="16"/>
                <w:szCs w:val="16"/>
              </w:rPr>
              <w:t>Nord Miyabi</w:t>
            </w:r>
            <w:r w:rsidRPr="00B02BA3">
              <w:rPr>
                <w:rFonts w:eastAsia="SimSun"/>
                <w:sz w:val="16"/>
                <w:szCs w:val="16"/>
              </w:rPr>
              <w:tab/>
            </w:r>
          </w:p>
        </w:tc>
        <w:tc>
          <w:tcPr>
            <w:tcW w:w="236" w:type="dxa"/>
            <w:vAlign w:val="bottom"/>
          </w:tcPr>
          <w:p w14:paraId="72085C14" w14:textId="77777777" w:rsidR="00AC5C0C" w:rsidRPr="00B02BA3" w:rsidRDefault="00AC5C0C" w:rsidP="00922116">
            <w:pPr>
              <w:pStyle w:val="CellRowSpacer"/>
              <w:rPr>
                <w:sz w:val="16"/>
                <w:szCs w:val="16"/>
              </w:rPr>
            </w:pPr>
          </w:p>
        </w:tc>
        <w:tc>
          <w:tcPr>
            <w:tcW w:w="907" w:type="dxa"/>
            <w:vAlign w:val="bottom"/>
          </w:tcPr>
          <w:p w14:paraId="45C14F38" w14:textId="77777777" w:rsidR="00AC5C0C" w:rsidRPr="00B02BA3" w:rsidRDefault="00AC5C0C" w:rsidP="00922116">
            <w:pPr>
              <w:pStyle w:val="VSmCellBody"/>
              <w:jc w:val="right"/>
              <w:rPr>
                <w:sz w:val="16"/>
                <w:szCs w:val="16"/>
              </w:rPr>
            </w:pPr>
            <w:r w:rsidRPr="00B02BA3">
              <w:rPr>
                <w:sz w:val="16"/>
                <w:szCs w:val="16"/>
              </w:rPr>
              <w:t> Cargill</w:t>
            </w:r>
          </w:p>
        </w:tc>
        <w:tc>
          <w:tcPr>
            <w:tcW w:w="236" w:type="dxa"/>
            <w:vAlign w:val="bottom"/>
          </w:tcPr>
          <w:p w14:paraId="2408FD2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7E5550F" w14:textId="77777777" w:rsidR="00AC5C0C" w:rsidRPr="00B02BA3" w:rsidRDefault="00AC5C0C" w:rsidP="00922116">
            <w:pPr>
              <w:pStyle w:val="VSmCellBody"/>
              <w:jc w:val="right"/>
              <w:rPr>
                <w:sz w:val="16"/>
                <w:szCs w:val="16"/>
              </w:rPr>
            </w:pPr>
            <w:r w:rsidRPr="00B02BA3">
              <w:rPr>
                <w:sz w:val="16"/>
                <w:szCs w:val="16"/>
              </w:rPr>
              <w:t>June 2024</w:t>
            </w:r>
          </w:p>
        </w:tc>
        <w:tc>
          <w:tcPr>
            <w:tcW w:w="236" w:type="dxa"/>
            <w:vAlign w:val="bottom"/>
          </w:tcPr>
          <w:p w14:paraId="03FCCC4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435C9F7" w14:textId="77777777" w:rsidR="00AC5C0C" w:rsidRPr="00B02BA3" w:rsidRDefault="00AC5C0C" w:rsidP="00922116">
            <w:pPr>
              <w:pStyle w:val="VSmCellBody"/>
              <w:jc w:val="right"/>
              <w:rPr>
                <w:sz w:val="16"/>
                <w:szCs w:val="16"/>
              </w:rPr>
            </w:pPr>
            <w:r w:rsidRPr="00B02BA3">
              <w:rPr>
                <w:sz w:val="16"/>
                <w:szCs w:val="16"/>
              </w:rPr>
              <w:t>April 2025</w:t>
            </w:r>
          </w:p>
        </w:tc>
        <w:tc>
          <w:tcPr>
            <w:tcW w:w="236" w:type="dxa"/>
            <w:vAlign w:val="bottom"/>
          </w:tcPr>
          <w:p w14:paraId="6E91BA1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79D928B" w14:textId="77777777" w:rsidR="00AC5C0C" w:rsidRPr="00B02BA3" w:rsidRDefault="00AC5C0C" w:rsidP="00922116">
            <w:pPr>
              <w:pStyle w:val="VSmCellBody"/>
              <w:jc w:val="right"/>
              <w:rPr>
                <w:sz w:val="16"/>
                <w:szCs w:val="16"/>
              </w:rPr>
            </w:pPr>
            <w:r w:rsidRPr="00B02BA3">
              <w:rPr>
                <w:sz w:val="16"/>
                <w:szCs w:val="16"/>
              </w:rPr>
              <w:t>10 months</w:t>
            </w:r>
          </w:p>
        </w:tc>
        <w:tc>
          <w:tcPr>
            <w:tcW w:w="236" w:type="dxa"/>
            <w:vAlign w:val="bottom"/>
          </w:tcPr>
          <w:p w14:paraId="230BDEB3"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96B4AB4" w14:textId="77777777" w:rsidR="00AC5C0C" w:rsidRPr="00B02BA3" w:rsidRDefault="00AC5C0C" w:rsidP="00922116">
            <w:pPr>
              <w:pStyle w:val="VSmCellBody"/>
              <w:jc w:val="right"/>
              <w:rPr>
                <w:sz w:val="16"/>
                <w:szCs w:val="16"/>
              </w:rPr>
            </w:pPr>
            <w:r w:rsidRPr="00B02BA3">
              <w:rPr>
                <w:sz w:val="16"/>
                <w:szCs w:val="16"/>
              </w:rPr>
              <w:t xml:space="preserve"> None </w:t>
            </w:r>
          </w:p>
        </w:tc>
        <w:tc>
          <w:tcPr>
            <w:tcW w:w="236" w:type="dxa"/>
            <w:vAlign w:val="bottom"/>
          </w:tcPr>
          <w:p w14:paraId="441D8E6B" w14:textId="77777777" w:rsidR="00AC5C0C" w:rsidRPr="00B02BA3" w:rsidRDefault="00AC5C0C" w:rsidP="00922116">
            <w:pPr>
              <w:pStyle w:val="CellRowSpacer"/>
              <w:rPr>
                <w:sz w:val="16"/>
                <w:szCs w:val="16"/>
              </w:rPr>
            </w:pPr>
          </w:p>
        </w:tc>
      </w:tr>
      <w:tr w:rsidR="00AC5C0C" w:rsidRPr="00B02BA3" w14:paraId="60757A4C" w14:textId="77777777" w:rsidTr="00922116">
        <w:tc>
          <w:tcPr>
            <w:tcW w:w="3163" w:type="dxa"/>
            <w:vAlign w:val="bottom"/>
          </w:tcPr>
          <w:p w14:paraId="7B7F23D5" w14:textId="77777777" w:rsidR="00AC5C0C" w:rsidRPr="00B02BA3" w:rsidRDefault="00AC5C0C" w:rsidP="00922116">
            <w:pPr>
              <w:pStyle w:val="VSmCellBody"/>
              <w:tabs>
                <w:tab w:val="right" w:leader="dot" w:pos="3163"/>
              </w:tabs>
              <w:rPr>
                <w:sz w:val="16"/>
                <w:szCs w:val="16"/>
              </w:rPr>
            </w:pPr>
            <w:r w:rsidRPr="00B02BA3">
              <w:rPr>
                <w:sz w:val="16"/>
                <w:szCs w:val="16"/>
              </w:rPr>
              <w:t>Alpine Link</w:t>
            </w:r>
            <w:r w:rsidRPr="00B02BA3">
              <w:rPr>
                <w:rFonts w:eastAsia="SimSun"/>
                <w:sz w:val="16"/>
                <w:szCs w:val="16"/>
              </w:rPr>
              <w:tab/>
            </w:r>
          </w:p>
        </w:tc>
        <w:tc>
          <w:tcPr>
            <w:tcW w:w="236" w:type="dxa"/>
            <w:vAlign w:val="bottom"/>
          </w:tcPr>
          <w:p w14:paraId="578E94B8" w14:textId="77777777" w:rsidR="00AC5C0C" w:rsidRPr="00B02BA3" w:rsidRDefault="00AC5C0C" w:rsidP="00922116">
            <w:pPr>
              <w:pStyle w:val="CellRowSpacer"/>
              <w:rPr>
                <w:sz w:val="16"/>
                <w:szCs w:val="16"/>
              </w:rPr>
            </w:pPr>
          </w:p>
        </w:tc>
        <w:tc>
          <w:tcPr>
            <w:tcW w:w="907" w:type="dxa"/>
            <w:vAlign w:val="bottom"/>
          </w:tcPr>
          <w:p w14:paraId="13EC37E1" w14:textId="77777777" w:rsidR="00AC5C0C" w:rsidRPr="00B02BA3" w:rsidRDefault="00AC5C0C" w:rsidP="00922116">
            <w:pPr>
              <w:pStyle w:val="VSmCellBody"/>
              <w:jc w:val="right"/>
              <w:rPr>
                <w:sz w:val="16"/>
                <w:szCs w:val="16"/>
              </w:rPr>
            </w:pPr>
            <w:r w:rsidRPr="00B02BA3">
              <w:rPr>
                <w:sz w:val="16"/>
                <w:szCs w:val="16"/>
              </w:rPr>
              <w:t xml:space="preserve"> Vitol </w:t>
            </w:r>
          </w:p>
        </w:tc>
        <w:tc>
          <w:tcPr>
            <w:tcW w:w="236" w:type="dxa"/>
            <w:vAlign w:val="bottom"/>
          </w:tcPr>
          <w:p w14:paraId="68286ED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230AEC7" w14:textId="77777777" w:rsidR="00AC5C0C" w:rsidRPr="00B02BA3" w:rsidRDefault="00AC5C0C" w:rsidP="00922116">
            <w:pPr>
              <w:pStyle w:val="VSmCellBody"/>
              <w:jc w:val="right"/>
              <w:rPr>
                <w:sz w:val="16"/>
                <w:szCs w:val="16"/>
              </w:rPr>
            </w:pPr>
            <w:r w:rsidRPr="00B02BA3">
              <w:rPr>
                <w:sz w:val="16"/>
                <w:szCs w:val="16"/>
              </w:rPr>
              <w:t>April 2024</w:t>
            </w:r>
          </w:p>
        </w:tc>
        <w:tc>
          <w:tcPr>
            <w:tcW w:w="236" w:type="dxa"/>
            <w:vAlign w:val="bottom"/>
          </w:tcPr>
          <w:p w14:paraId="50ADFA7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D6F39FE" w14:textId="77777777" w:rsidR="00AC5C0C" w:rsidRPr="00B02BA3" w:rsidRDefault="00AC5C0C" w:rsidP="00922116">
            <w:pPr>
              <w:pStyle w:val="VSmCellBody"/>
              <w:jc w:val="right"/>
              <w:rPr>
                <w:sz w:val="16"/>
                <w:szCs w:val="16"/>
              </w:rPr>
            </w:pPr>
            <w:r w:rsidRPr="00B02BA3">
              <w:rPr>
                <w:sz w:val="16"/>
                <w:szCs w:val="16"/>
              </w:rPr>
              <w:t>October 2024</w:t>
            </w:r>
          </w:p>
        </w:tc>
        <w:tc>
          <w:tcPr>
            <w:tcW w:w="236" w:type="dxa"/>
            <w:vAlign w:val="bottom"/>
          </w:tcPr>
          <w:p w14:paraId="6F10A20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C250829" w14:textId="77777777" w:rsidR="00AC5C0C" w:rsidRPr="00B02BA3" w:rsidRDefault="00AC5C0C" w:rsidP="00922116">
            <w:pPr>
              <w:pStyle w:val="VSmCellBody"/>
              <w:jc w:val="right"/>
              <w:rPr>
                <w:sz w:val="16"/>
                <w:szCs w:val="16"/>
              </w:rPr>
            </w:pPr>
            <w:r w:rsidRPr="00B02BA3">
              <w:rPr>
                <w:sz w:val="16"/>
                <w:szCs w:val="16"/>
              </w:rPr>
              <w:t xml:space="preserve">6 months </w:t>
            </w:r>
          </w:p>
        </w:tc>
        <w:tc>
          <w:tcPr>
            <w:tcW w:w="236" w:type="dxa"/>
            <w:vAlign w:val="bottom"/>
          </w:tcPr>
          <w:p w14:paraId="63B7057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F591704" w14:textId="77777777" w:rsidR="00AC5C0C" w:rsidRPr="00B02BA3" w:rsidRDefault="00AC5C0C" w:rsidP="00922116">
            <w:pPr>
              <w:pStyle w:val="VSmCellBody"/>
              <w:jc w:val="right"/>
              <w:rPr>
                <w:sz w:val="16"/>
                <w:szCs w:val="16"/>
              </w:rPr>
            </w:pPr>
            <w:r w:rsidRPr="00B02BA3">
              <w:rPr>
                <w:sz w:val="16"/>
                <w:szCs w:val="16"/>
              </w:rPr>
              <w:t> 2 months</w:t>
            </w:r>
          </w:p>
        </w:tc>
        <w:tc>
          <w:tcPr>
            <w:tcW w:w="236" w:type="dxa"/>
            <w:vAlign w:val="bottom"/>
          </w:tcPr>
          <w:p w14:paraId="17D4F987" w14:textId="77777777" w:rsidR="00AC5C0C" w:rsidRPr="00B02BA3" w:rsidRDefault="00AC5C0C" w:rsidP="00922116">
            <w:pPr>
              <w:pStyle w:val="CellRowSpacer"/>
              <w:rPr>
                <w:sz w:val="16"/>
                <w:szCs w:val="16"/>
              </w:rPr>
            </w:pPr>
          </w:p>
        </w:tc>
      </w:tr>
      <w:tr w:rsidR="00AC5C0C" w:rsidRPr="00B02BA3" w14:paraId="79D79747" w14:textId="77777777" w:rsidTr="00922116">
        <w:tc>
          <w:tcPr>
            <w:tcW w:w="3163" w:type="dxa"/>
            <w:vAlign w:val="bottom"/>
          </w:tcPr>
          <w:p w14:paraId="15E18FAD" w14:textId="77777777" w:rsidR="00AC5C0C" w:rsidRPr="00B02BA3" w:rsidRDefault="00AC5C0C" w:rsidP="00922116">
            <w:pPr>
              <w:pStyle w:val="VSmCellBody"/>
              <w:tabs>
                <w:tab w:val="right" w:leader="dot" w:pos="3163"/>
              </w:tabs>
              <w:rPr>
                <w:sz w:val="16"/>
                <w:szCs w:val="16"/>
              </w:rPr>
            </w:pPr>
            <w:r w:rsidRPr="00B02BA3">
              <w:rPr>
                <w:sz w:val="16"/>
                <w:szCs w:val="16"/>
              </w:rPr>
              <w:t>Green Sky</w:t>
            </w:r>
            <w:r w:rsidRPr="00B02BA3">
              <w:rPr>
                <w:rFonts w:eastAsia="SimSun"/>
                <w:sz w:val="16"/>
                <w:szCs w:val="16"/>
              </w:rPr>
              <w:tab/>
            </w:r>
          </w:p>
        </w:tc>
        <w:tc>
          <w:tcPr>
            <w:tcW w:w="236" w:type="dxa"/>
            <w:vAlign w:val="bottom"/>
          </w:tcPr>
          <w:p w14:paraId="0951A011" w14:textId="77777777" w:rsidR="00AC5C0C" w:rsidRPr="00B02BA3" w:rsidRDefault="00AC5C0C" w:rsidP="00922116">
            <w:pPr>
              <w:pStyle w:val="CellRowSpacer"/>
              <w:rPr>
                <w:sz w:val="16"/>
                <w:szCs w:val="16"/>
              </w:rPr>
            </w:pPr>
          </w:p>
        </w:tc>
        <w:tc>
          <w:tcPr>
            <w:tcW w:w="907" w:type="dxa"/>
            <w:vAlign w:val="bottom"/>
          </w:tcPr>
          <w:p w14:paraId="1B7652D7" w14:textId="77777777" w:rsidR="00AC5C0C" w:rsidRPr="00B02BA3" w:rsidRDefault="00AC5C0C" w:rsidP="00922116">
            <w:pPr>
              <w:pStyle w:val="VSmCellBody"/>
              <w:jc w:val="right"/>
              <w:rPr>
                <w:sz w:val="16"/>
                <w:szCs w:val="16"/>
              </w:rPr>
            </w:pPr>
            <w:r w:rsidRPr="00B02BA3">
              <w:rPr>
                <w:sz w:val="16"/>
                <w:szCs w:val="16"/>
              </w:rPr>
              <w:t xml:space="preserve"> Mercuria </w:t>
            </w:r>
          </w:p>
        </w:tc>
        <w:tc>
          <w:tcPr>
            <w:tcW w:w="236" w:type="dxa"/>
            <w:vAlign w:val="bottom"/>
          </w:tcPr>
          <w:p w14:paraId="2554D17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1F436B1" w14:textId="77777777" w:rsidR="00AC5C0C" w:rsidRPr="00B02BA3" w:rsidRDefault="00AC5C0C" w:rsidP="00922116">
            <w:pPr>
              <w:pStyle w:val="VSmCellBody"/>
              <w:jc w:val="right"/>
              <w:rPr>
                <w:sz w:val="16"/>
                <w:szCs w:val="16"/>
              </w:rPr>
            </w:pPr>
            <w:r w:rsidRPr="00B02BA3">
              <w:rPr>
                <w:sz w:val="16"/>
                <w:szCs w:val="16"/>
              </w:rPr>
              <w:t>September 2024</w:t>
            </w:r>
          </w:p>
        </w:tc>
        <w:tc>
          <w:tcPr>
            <w:tcW w:w="236" w:type="dxa"/>
            <w:vAlign w:val="bottom"/>
          </w:tcPr>
          <w:p w14:paraId="50E2FF3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F64BAF1" w14:textId="77777777" w:rsidR="00AC5C0C" w:rsidRPr="00B02BA3" w:rsidRDefault="00AC5C0C" w:rsidP="00922116">
            <w:pPr>
              <w:pStyle w:val="VSmCellBody"/>
              <w:jc w:val="right"/>
              <w:rPr>
                <w:sz w:val="16"/>
                <w:szCs w:val="16"/>
              </w:rPr>
            </w:pPr>
            <w:r w:rsidRPr="00B02BA3">
              <w:rPr>
                <w:sz w:val="16"/>
                <w:szCs w:val="16"/>
              </w:rPr>
              <w:t>May 2025</w:t>
            </w:r>
          </w:p>
        </w:tc>
        <w:tc>
          <w:tcPr>
            <w:tcW w:w="236" w:type="dxa"/>
            <w:vAlign w:val="bottom"/>
          </w:tcPr>
          <w:p w14:paraId="4664759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700B525" w14:textId="77777777" w:rsidR="00AC5C0C" w:rsidRPr="00B02BA3" w:rsidRDefault="00AC5C0C" w:rsidP="00922116">
            <w:pPr>
              <w:pStyle w:val="VSmCellBody"/>
              <w:jc w:val="right"/>
              <w:rPr>
                <w:sz w:val="16"/>
                <w:szCs w:val="16"/>
              </w:rPr>
            </w:pPr>
            <w:r w:rsidRPr="00B02BA3">
              <w:rPr>
                <w:sz w:val="16"/>
                <w:szCs w:val="16"/>
              </w:rPr>
              <w:t>8 months</w:t>
            </w:r>
          </w:p>
        </w:tc>
        <w:tc>
          <w:tcPr>
            <w:tcW w:w="236" w:type="dxa"/>
            <w:vAlign w:val="bottom"/>
          </w:tcPr>
          <w:p w14:paraId="11320D4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8335506" w14:textId="77777777" w:rsidR="00AC5C0C" w:rsidRPr="00B02BA3" w:rsidRDefault="00AC5C0C" w:rsidP="00922116">
            <w:pPr>
              <w:pStyle w:val="VSmCellBody"/>
              <w:jc w:val="right"/>
              <w:rPr>
                <w:sz w:val="16"/>
                <w:szCs w:val="16"/>
              </w:rPr>
            </w:pPr>
            <w:r w:rsidRPr="00B02BA3">
              <w:rPr>
                <w:sz w:val="16"/>
                <w:szCs w:val="16"/>
              </w:rPr>
              <w:t xml:space="preserve">None </w:t>
            </w:r>
          </w:p>
        </w:tc>
        <w:tc>
          <w:tcPr>
            <w:tcW w:w="236" w:type="dxa"/>
            <w:vAlign w:val="bottom"/>
          </w:tcPr>
          <w:p w14:paraId="74519BEC" w14:textId="77777777" w:rsidR="00AC5C0C" w:rsidRPr="00B02BA3" w:rsidRDefault="00AC5C0C" w:rsidP="00922116">
            <w:pPr>
              <w:pStyle w:val="CellRowSpacer"/>
              <w:rPr>
                <w:sz w:val="16"/>
                <w:szCs w:val="16"/>
              </w:rPr>
            </w:pPr>
          </w:p>
        </w:tc>
      </w:tr>
      <w:tr w:rsidR="00AC5C0C" w:rsidRPr="00B02BA3" w14:paraId="3EC46CF2" w14:textId="77777777" w:rsidTr="00922116">
        <w:tc>
          <w:tcPr>
            <w:tcW w:w="3163" w:type="dxa"/>
            <w:vAlign w:val="bottom"/>
          </w:tcPr>
          <w:p w14:paraId="5ED38A62" w14:textId="77777777" w:rsidR="00AC5C0C" w:rsidRPr="00B02BA3" w:rsidRDefault="00AC5C0C" w:rsidP="00922116">
            <w:pPr>
              <w:pStyle w:val="VSmCellBody"/>
              <w:tabs>
                <w:tab w:val="right" w:leader="dot" w:pos="3163"/>
              </w:tabs>
              <w:rPr>
                <w:sz w:val="16"/>
                <w:szCs w:val="16"/>
              </w:rPr>
            </w:pPr>
            <w:r w:rsidRPr="00B02BA3">
              <w:rPr>
                <w:sz w:val="16"/>
                <w:szCs w:val="16"/>
              </w:rPr>
              <w:t>Venture III</w:t>
            </w:r>
            <w:r w:rsidRPr="00B02BA3">
              <w:rPr>
                <w:rFonts w:eastAsia="SimSun"/>
                <w:sz w:val="16"/>
                <w:szCs w:val="16"/>
              </w:rPr>
              <w:tab/>
            </w:r>
          </w:p>
        </w:tc>
        <w:tc>
          <w:tcPr>
            <w:tcW w:w="236" w:type="dxa"/>
            <w:vAlign w:val="bottom"/>
          </w:tcPr>
          <w:p w14:paraId="7470BAB9" w14:textId="77777777" w:rsidR="00AC5C0C" w:rsidRPr="00B02BA3" w:rsidRDefault="00AC5C0C" w:rsidP="00922116">
            <w:pPr>
              <w:pStyle w:val="CellRowSpacer"/>
              <w:rPr>
                <w:sz w:val="16"/>
                <w:szCs w:val="16"/>
              </w:rPr>
            </w:pPr>
          </w:p>
        </w:tc>
        <w:tc>
          <w:tcPr>
            <w:tcW w:w="907" w:type="dxa"/>
            <w:vAlign w:val="bottom"/>
          </w:tcPr>
          <w:p w14:paraId="23B84558" w14:textId="77777777" w:rsidR="00AC5C0C" w:rsidRPr="00B02BA3" w:rsidRDefault="00AC5C0C" w:rsidP="00922116">
            <w:pPr>
              <w:pStyle w:val="VSmCellBody"/>
              <w:jc w:val="right"/>
              <w:rPr>
                <w:sz w:val="16"/>
                <w:szCs w:val="16"/>
              </w:rPr>
            </w:pPr>
            <w:r w:rsidRPr="00B02BA3">
              <w:rPr>
                <w:sz w:val="16"/>
                <w:szCs w:val="16"/>
              </w:rPr>
              <w:t xml:space="preserve">Spot Charter Market </w:t>
            </w:r>
          </w:p>
        </w:tc>
        <w:tc>
          <w:tcPr>
            <w:tcW w:w="236" w:type="dxa"/>
            <w:vAlign w:val="bottom"/>
          </w:tcPr>
          <w:p w14:paraId="6F48F770"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D4985E9"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68A3302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77B59AD" w14:textId="77777777" w:rsidR="00AC5C0C" w:rsidRPr="00B02BA3" w:rsidRDefault="00AC5C0C" w:rsidP="00922116">
            <w:pPr>
              <w:pStyle w:val="VSmCellBody"/>
              <w:jc w:val="right"/>
              <w:rPr>
                <w:sz w:val="16"/>
                <w:szCs w:val="16"/>
              </w:rPr>
            </w:pPr>
            <w:r w:rsidRPr="00B02BA3">
              <w:rPr>
                <w:sz w:val="16"/>
                <w:szCs w:val="16"/>
              </w:rPr>
              <w:t> —</w:t>
            </w:r>
            <w:r w:rsidRPr="00B02BA3" w:rsidDel="0022703C">
              <w:rPr>
                <w:sz w:val="16"/>
                <w:szCs w:val="16"/>
              </w:rPr>
              <w:t xml:space="preserve"> </w:t>
            </w:r>
          </w:p>
        </w:tc>
        <w:tc>
          <w:tcPr>
            <w:tcW w:w="236" w:type="dxa"/>
            <w:vAlign w:val="bottom"/>
          </w:tcPr>
          <w:p w14:paraId="322C384F"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5790F34" w14:textId="77777777" w:rsidR="00AC5C0C" w:rsidRPr="00B02BA3" w:rsidRDefault="00AC5C0C" w:rsidP="00922116">
            <w:pPr>
              <w:pStyle w:val="VSmCellBody"/>
              <w:jc w:val="right"/>
              <w:rPr>
                <w:sz w:val="16"/>
                <w:szCs w:val="16"/>
              </w:rPr>
            </w:pPr>
            <w:r w:rsidRPr="00B02BA3">
              <w:rPr>
                <w:sz w:val="16"/>
                <w:szCs w:val="16"/>
              </w:rPr>
              <w:t> —</w:t>
            </w:r>
            <w:r w:rsidRPr="00B02BA3" w:rsidDel="0022703C">
              <w:rPr>
                <w:sz w:val="16"/>
                <w:szCs w:val="16"/>
              </w:rPr>
              <w:t xml:space="preserve"> </w:t>
            </w:r>
          </w:p>
        </w:tc>
        <w:tc>
          <w:tcPr>
            <w:tcW w:w="236" w:type="dxa"/>
            <w:vAlign w:val="bottom"/>
          </w:tcPr>
          <w:p w14:paraId="70493C4B"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49AF37F" w14:textId="77777777" w:rsidR="00AC5C0C" w:rsidRPr="00B02BA3" w:rsidRDefault="00AC5C0C" w:rsidP="00922116">
            <w:pPr>
              <w:pStyle w:val="VSmCellBody"/>
              <w:jc w:val="right"/>
              <w:rPr>
                <w:sz w:val="16"/>
                <w:szCs w:val="16"/>
              </w:rPr>
            </w:pPr>
            <w:r w:rsidRPr="00B02BA3">
              <w:rPr>
                <w:sz w:val="16"/>
                <w:szCs w:val="16"/>
              </w:rPr>
              <w:t> —</w:t>
            </w:r>
            <w:r w:rsidRPr="00B02BA3" w:rsidDel="0022703C">
              <w:rPr>
                <w:sz w:val="16"/>
                <w:szCs w:val="16"/>
              </w:rPr>
              <w:t xml:space="preserve"> </w:t>
            </w:r>
          </w:p>
        </w:tc>
        <w:tc>
          <w:tcPr>
            <w:tcW w:w="236" w:type="dxa"/>
            <w:vAlign w:val="bottom"/>
          </w:tcPr>
          <w:p w14:paraId="077C187F" w14:textId="77777777" w:rsidR="00AC5C0C" w:rsidRPr="00B02BA3" w:rsidRDefault="00AC5C0C" w:rsidP="00922116">
            <w:pPr>
              <w:pStyle w:val="CellRowSpacer"/>
              <w:rPr>
                <w:sz w:val="16"/>
                <w:szCs w:val="16"/>
              </w:rPr>
            </w:pPr>
          </w:p>
        </w:tc>
      </w:tr>
      <w:tr w:rsidR="00AC5C0C" w:rsidRPr="00B02BA3" w14:paraId="00340699" w14:textId="77777777" w:rsidTr="00922116">
        <w:tc>
          <w:tcPr>
            <w:tcW w:w="3163" w:type="dxa"/>
            <w:vAlign w:val="bottom"/>
          </w:tcPr>
          <w:p w14:paraId="10944B38" w14:textId="77777777" w:rsidR="00AC5C0C" w:rsidRPr="00B02BA3" w:rsidRDefault="00AC5C0C" w:rsidP="00922116">
            <w:pPr>
              <w:pStyle w:val="VSmCellBody"/>
              <w:tabs>
                <w:tab w:val="right" w:leader="dot" w:pos="3163"/>
              </w:tabs>
              <w:rPr>
                <w:sz w:val="16"/>
                <w:szCs w:val="16"/>
              </w:rPr>
            </w:pPr>
            <w:r w:rsidRPr="00B02BA3">
              <w:rPr>
                <w:sz w:val="16"/>
                <w:szCs w:val="16"/>
              </w:rPr>
              <w:t>Bungo Crown</w:t>
            </w:r>
            <w:r w:rsidRPr="00B02BA3">
              <w:rPr>
                <w:rFonts w:eastAsia="SimSun"/>
                <w:sz w:val="16"/>
                <w:szCs w:val="16"/>
              </w:rPr>
              <w:tab/>
            </w:r>
          </w:p>
        </w:tc>
        <w:tc>
          <w:tcPr>
            <w:tcW w:w="236" w:type="dxa"/>
            <w:vAlign w:val="bottom"/>
          </w:tcPr>
          <w:p w14:paraId="24166BE0" w14:textId="77777777" w:rsidR="00AC5C0C" w:rsidRPr="00B02BA3" w:rsidRDefault="00AC5C0C" w:rsidP="00922116">
            <w:pPr>
              <w:pStyle w:val="CellRowSpacer"/>
              <w:rPr>
                <w:sz w:val="16"/>
                <w:szCs w:val="16"/>
              </w:rPr>
            </w:pPr>
          </w:p>
        </w:tc>
        <w:tc>
          <w:tcPr>
            <w:tcW w:w="907" w:type="dxa"/>
            <w:vAlign w:val="bottom"/>
          </w:tcPr>
          <w:p w14:paraId="0B3543A0" w14:textId="77777777" w:rsidR="00AC5C0C" w:rsidRPr="00B02BA3" w:rsidRDefault="00AC5C0C" w:rsidP="00922116">
            <w:pPr>
              <w:pStyle w:val="VSmCellBody"/>
              <w:jc w:val="right"/>
              <w:rPr>
                <w:sz w:val="16"/>
                <w:szCs w:val="16"/>
              </w:rPr>
            </w:pPr>
            <w:r w:rsidRPr="00B02BA3">
              <w:rPr>
                <w:sz w:val="16"/>
                <w:szCs w:val="16"/>
              </w:rPr>
              <w:t>PETCO</w:t>
            </w:r>
          </w:p>
        </w:tc>
        <w:tc>
          <w:tcPr>
            <w:tcW w:w="236" w:type="dxa"/>
            <w:vAlign w:val="bottom"/>
          </w:tcPr>
          <w:p w14:paraId="156FFD0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44B06AF" w14:textId="77777777" w:rsidR="00AC5C0C" w:rsidRPr="00B02BA3" w:rsidRDefault="00AC5C0C" w:rsidP="00922116">
            <w:pPr>
              <w:pStyle w:val="VSmCellBody"/>
              <w:jc w:val="right"/>
              <w:rPr>
                <w:sz w:val="16"/>
                <w:szCs w:val="16"/>
              </w:rPr>
            </w:pPr>
            <w:r w:rsidRPr="00B02BA3">
              <w:rPr>
                <w:sz w:val="16"/>
                <w:szCs w:val="16"/>
              </w:rPr>
              <w:t> December 2023</w:t>
            </w:r>
          </w:p>
        </w:tc>
        <w:tc>
          <w:tcPr>
            <w:tcW w:w="236" w:type="dxa"/>
            <w:vAlign w:val="bottom"/>
          </w:tcPr>
          <w:p w14:paraId="4D4C14D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AC7FE20" w14:textId="77777777" w:rsidR="00AC5C0C" w:rsidRPr="00B02BA3" w:rsidRDefault="00AC5C0C" w:rsidP="00922116">
            <w:pPr>
              <w:pStyle w:val="VSmCellBody"/>
              <w:jc w:val="right"/>
              <w:rPr>
                <w:sz w:val="16"/>
                <w:szCs w:val="16"/>
              </w:rPr>
            </w:pPr>
            <w:r w:rsidRPr="00B02BA3">
              <w:rPr>
                <w:sz w:val="16"/>
                <w:szCs w:val="16"/>
              </w:rPr>
              <w:t>December 2024</w:t>
            </w:r>
          </w:p>
        </w:tc>
        <w:tc>
          <w:tcPr>
            <w:tcW w:w="236" w:type="dxa"/>
            <w:vAlign w:val="bottom"/>
          </w:tcPr>
          <w:p w14:paraId="656D0E2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3C4EA2D" w14:textId="77777777" w:rsidR="00AC5C0C" w:rsidRPr="00B02BA3" w:rsidRDefault="00AC5C0C" w:rsidP="00922116">
            <w:pPr>
              <w:pStyle w:val="VSmCellBody"/>
              <w:jc w:val="right"/>
              <w:rPr>
                <w:sz w:val="16"/>
                <w:szCs w:val="16"/>
              </w:rPr>
            </w:pPr>
            <w:r w:rsidRPr="00B02BA3">
              <w:rPr>
                <w:sz w:val="16"/>
                <w:szCs w:val="16"/>
              </w:rPr>
              <w:t>1 year</w:t>
            </w:r>
          </w:p>
        </w:tc>
        <w:tc>
          <w:tcPr>
            <w:tcW w:w="236" w:type="dxa"/>
            <w:vAlign w:val="bottom"/>
          </w:tcPr>
          <w:p w14:paraId="54588B6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3E9AE96" w14:textId="77777777" w:rsidR="00AC5C0C" w:rsidRPr="00B02BA3" w:rsidRDefault="00AC5C0C" w:rsidP="00922116">
            <w:pPr>
              <w:pStyle w:val="VSmCellBody"/>
              <w:jc w:val="right"/>
              <w:rPr>
                <w:sz w:val="16"/>
                <w:szCs w:val="16"/>
              </w:rPr>
            </w:pPr>
            <w:r w:rsidRPr="00B02BA3">
              <w:rPr>
                <w:sz w:val="16"/>
                <w:szCs w:val="16"/>
              </w:rPr>
              <w:t>+/- 15 days</w:t>
            </w:r>
          </w:p>
        </w:tc>
        <w:tc>
          <w:tcPr>
            <w:tcW w:w="236" w:type="dxa"/>
            <w:vAlign w:val="bottom"/>
          </w:tcPr>
          <w:p w14:paraId="16DB901B" w14:textId="77777777" w:rsidR="00AC5C0C" w:rsidRPr="00B02BA3" w:rsidRDefault="00AC5C0C" w:rsidP="00922116">
            <w:pPr>
              <w:pStyle w:val="CellRowSpacer"/>
              <w:rPr>
                <w:sz w:val="16"/>
                <w:szCs w:val="16"/>
              </w:rPr>
            </w:pPr>
          </w:p>
        </w:tc>
      </w:tr>
      <w:tr w:rsidR="00AC5C0C" w:rsidRPr="00B02BA3" w14:paraId="4491C034" w14:textId="77777777" w:rsidTr="00922116">
        <w:tc>
          <w:tcPr>
            <w:tcW w:w="3163" w:type="dxa"/>
            <w:vAlign w:val="bottom"/>
          </w:tcPr>
          <w:p w14:paraId="66EDC431" w14:textId="77777777" w:rsidR="00AC5C0C" w:rsidRPr="00B02BA3" w:rsidRDefault="00AC5C0C" w:rsidP="00922116">
            <w:pPr>
              <w:pStyle w:val="VSmCellBody"/>
              <w:tabs>
                <w:tab w:val="right" w:leader="dot" w:pos="3163"/>
              </w:tabs>
              <w:rPr>
                <w:sz w:val="16"/>
                <w:szCs w:val="16"/>
              </w:rPr>
            </w:pPr>
            <w:r w:rsidRPr="00B02BA3">
              <w:rPr>
                <w:sz w:val="16"/>
                <w:szCs w:val="16"/>
              </w:rPr>
              <w:t>Nord Elegance</w:t>
            </w:r>
            <w:r w:rsidRPr="00B02BA3">
              <w:rPr>
                <w:rFonts w:eastAsia="SimSun"/>
                <w:sz w:val="16"/>
                <w:szCs w:val="16"/>
              </w:rPr>
              <w:tab/>
            </w:r>
          </w:p>
        </w:tc>
        <w:tc>
          <w:tcPr>
            <w:tcW w:w="236" w:type="dxa"/>
            <w:vAlign w:val="bottom"/>
          </w:tcPr>
          <w:p w14:paraId="4A8C76E0" w14:textId="77777777" w:rsidR="00AC5C0C" w:rsidRPr="00B02BA3" w:rsidRDefault="00AC5C0C" w:rsidP="00922116">
            <w:pPr>
              <w:pStyle w:val="CellRowSpacer"/>
              <w:rPr>
                <w:sz w:val="16"/>
                <w:szCs w:val="16"/>
              </w:rPr>
            </w:pPr>
          </w:p>
        </w:tc>
        <w:tc>
          <w:tcPr>
            <w:tcW w:w="907" w:type="dxa"/>
            <w:vAlign w:val="bottom"/>
          </w:tcPr>
          <w:p w14:paraId="09B946E5" w14:textId="77777777" w:rsidR="00AC5C0C" w:rsidRPr="00B02BA3" w:rsidRDefault="00AC5C0C" w:rsidP="00922116">
            <w:pPr>
              <w:pStyle w:val="VSmCellBody"/>
              <w:jc w:val="right"/>
              <w:rPr>
                <w:sz w:val="16"/>
                <w:szCs w:val="16"/>
              </w:rPr>
            </w:pPr>
            <w:r w:rsidRPr="00B02BA3">
              <w:rPr>
                <w:sz w:val="16"/>
                <w:szCs w:val="16"/>
              </w:rPr>
              <w:t xml:space="preserve">Cargill </w:t>
            </w:r>
          </w:p>
        </w:tc>
        <w:tc>
          <w:tcPr>
            <w:tcW w:w="236" w:type="dxa"/>
            <w:vAlign w:val="bottom"/>
          </w:tcPr>
          <w:p w14:paraId="23E178A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BDED173" w14:textId="77777777" w:rsidR="00AC5C0C" w:rsidRPr="00B02BA3" w:rsidRDefault="00AC5C0C" w:rsidP="00922116">
            <w:pPr>
              <w:pStyle w:val="VSmCellBody"/>
              <w:jc w:val="right"/>
              <w:rPr>
                <w:sz w:val="16"/>
                <w:szCs w:val="16"/>
              </w:rPr>
            </w:pPr>
            <w:r w:rsidRPr="00B02BA3">
              <w:rPr>
                <w:sz w:val="16"/>
                <w:szCs w:val="16"/>
              </w:rPr>
              <w:t>May 2024</w:t>
            </w:r>
          </w:p>
        </w:tc>
        <w:tc>
          <w:tcPr>
            <w:tcW w:w="236" w:type="dxa"/>
            <w:vAlign w:val="bottom"/>
          </w:tcPr>
          <w:p w14:paraId="4E15EB63"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9F42129" w14:textId="77777777" w:rsidR="00AC5C0C" w:rsidRPr="00B02BA3" w:rsidRDefault="00AC5C0C" w:rsidP="00922116">
            <w:pPr>
              <w:pStyle w:val="VSmCellBody"/>
              <w:jc w:val="right"/>
              <w:rPr>
                <w:sz w:val="16"/>
                <w:szCs w:val="16"/>
              </w:rPr>
            </w:pPr>
            <w:r w:rsidRPr="00B02BA3">
              <w:rPr>
                <w:sz w:val="16"/>
                <w:szCs w:val="16"/>
              </w:rPr>
              <w:t>November 2024</w:t>
            </w:r>
          </w:p>
        </w:tc>
        <w:tc>
          <w:tcPr>
            <w:tcW w:w="236" w:type="dxa"/>
            <w:vAlign w:val="bottom"/>
          </w:tcPr>
          <w:p w14:paraId="65A906D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07799D5" w14:textId="77777777" w:rsidR="00AC5C0C" w:rsidRPr="00B02BA3" w:rsidRDefault="00AC5C0C" w:rsidP="00922116">
            <w:pPr>
              <w:pStyle w:val="VSmCellBody"/>
              <w:jc w:val="right"/>
              <w:rPr>
                <w:sz w:val="16"/>
                <w:szCs w:val="16"/>
              </w:rPr>
            </w:pPr>
            <w:r w:rsidRPr="00B02BA3">
              <w:rPr>
                <w:sz w:val="16"/>
                <w:szCs w:val="16"/>
              </w:rPr>
              <w:t>6 months</w:t>
            </w:r>
          </w:p>
        </w:tc>
        <w:tc>
          <w:tcPr>
            <w:tcW w:w="236" w:type="dxa"/>
            <w:vAlign w:val="bottom"/>
          </w:tcPr>
          <w:p w14:paraId="2755374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B376449" w14:textId="77777777" w:rsidR="00AC5C0C" w:rsidRPr="00B02BA3" w:rsidRDefault="00AC5C0C" w:rsidP="00922116">
            <w:pPr>
              <w:pStyle w:val="VSmCellBody"/>
              <w:jc w:val="right"/>
              <w:rPr>
                <w:sz w:val="16"/>
                <w:szCs w:val="16"/>
              </w:rPr>
            </w:pPr>
            <w:r w:rsidRPr="00B02BA3">
              <w:rPr>
                <w:sz w:val="16"/>
                <w:szCs w:val="16"/>
              </w:rPr>
              <w:t xml:space="preserve">4 months </w:t>
            </w:r>
          </w:p>
        </w:tc>
        <w:tc>
          <w:tcPr>
            <w:tcW w:w="236" w:type="dxa"/>
            <w:vAlign w:val="bottom"/>
          </w:tcPr>
          <w:p w14:paraId="670EF9CB" w14:textId="77777777" w:rsidR="00AC5C0C" w:rsidRPr="00B02BA3" w:rsidRDefault="00AC5C0C" w:rsidP="00922116">
            <w:pPr>
              <w:pStyle w:val="CellRowSpacer"/>
              <w:rPr>
                <w:sz w:val="16"/>
                <w:szCs w:val="16"/>
              </w:rPr>
            </w:pPr>
          </w:p>
        </w:tc>
      </w:tr>
      <w:tr w:rsidR="00AC5C0C" w:rsidRPr="00B02BA3" w14:paraId="1C62ACDA" w14:textId="77777777" w:rsidTr="00922116">
        <w:tc>
          <w:tcPr>
            <w:tcW w:w="3163" w:type="dxa"/>
            <w:vAlign w:val="bottom"/>
          </w:tcPr>
          <w:p w14:paraId="26877477" w14:textId="77777777" w:rsidR="00AC5C0C" w:rsidRPr="00B02BA3" w:rsidRDefault="00AC5C0C" w:rsidP="00922116">
            <w:pPr>
              <w:pStyle w:val="VSmCellBody"/>
              <w:tabs>
                <w:tab w:val="right" w:leader="dot" w:pos="3163"/>
              </w:tabs>
              <w:rPr>
                <w:sz w:val="16"/>
                <w:szCs w:val="16"/>
              </w:rPr>
            </w:pPr>
            <w:r w:rsidRPr="00B02BA3">
              <w:rPr>
                <w:sz w:val="16"/>
                <w:szCs w:val="16"/>
              </w:rPr>
              <w:t>Angela Glory</w:t>
            </w:r>
            <w:r w:rsidRPr="00B02BA3">
              <w:rPr>
                <w:rFonts w:eastAsia="SimSun"/>
                <w:sz w:val="16"/>
                <w:szCs w:val="16"/>
              </w:rPr>
              <w:tab/>
            </w:r>
          </w:p>
        </w:tc>
        <w:tc>
          <w:tcPr>
            <w:tcW w:w="236" w:type="dxa"/>
            <w:vAlign w:val="bottom"/>
          </w:tcPr>
          <w:p w14:paraId="358BD073" w14:textId="77777777" w:rsidR="00AC5C0C" w:rsidRPr="00B02BA3" w:rsidRDefault="00AC5C0C" w:rsidP="00922116">
            <w:pPr>
              <w:pStyle w:val="CellRowSpacer"/>
              <w:rPr>
                <w:sz w:val="16"/>
                <w:szCs w:val="16"/>
              </w:rPr>
            </w:pPr>
          </w:p>
        </w:tc>
        <w:tc>
          <w:tcPr>
            <w:tcW w:w="907" w:type="dxa"/>
            <w:vAlign w:val="bottom"/>
          </w:tcPr>
          <w:p w14:paraId="4FC88FBD" w14:textId="77777777" w:rsidR="00AC5C0C" w:rsidRPr="00B02BA3" w:rsidRDefault="00AC5C0C" w:rsidP="00922116">
            <w:pPr>
              <w:pStyle w:val="VSmCellBody"/>
              <w:jc w:val="right"/>
              <w:rPr>
                <w:sz w:val="16"/>
                <w:szCs w:val="16"/>
              </w:rPr>
            </w:pPr>
            <w:r w:rsidRPr="00B02BA3">
              <w:rPr>
                <w:sz w:val="16"/>
                <w:szCs w:val="16"/>
              </w:rPr>
              <w:t> ExxonMobil</w:t>
            </w:r>
          </w:p>
        </w:tc>
        <w:tc>
          <w:tcPr>
            <w:tcW w:w="236" w:type="dxa"/>
            <w:vAlign w:val="bottom"/>
          </w:tcPr>
          <w:p w14:paraId="5C3F15D5"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B3573DA" w14:textId="77777777" w:rsidR="00AC5C0C" w:rsidRPr="00B02BA3" w:rsidRDefault="00AC5C0C" w:rsidP="00922116">
            <w:pPr>
              <w:pStyle w:val="VSmCellBody"/>
              <w:jc w:val="right"/>
              <w:rPr>
                <w:sz w:val="16"/>
                <w:szCs w:val="16"/>
              </w:rPr>
            </w:pPr>
            <w:r w:rsidRPr="00B02BA3">
              <w:rPr>
                <w:sz w:val="16"/>
                <w:szCs w:val="16"/>
              </w:rPr>
              <w:t>December 2023</w:t>
            </w:r>
          </w:p>
        </w:tc>
        <w:tc>
          <w:tcPr>
            <w:tcW w:w="236" w:type="dxa"/>
            <w:vAlign w:val="bottom"/>
          </w:tcPr>
          <w:p w14:paraId="4CAA6C7A"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1106EF2" w14:textId="77777777" w:rsidR="00AC5C0C" w:rsidRPr="00B02BA3" w:rsidRDefault="00AC5C0C" w:rsidP="00922116">
            <w:pPr>
              <w:pStyle w:val="VSmCellBody"/>
              <w:jc w:val="right"/>
              <w:rPr>
                <w:sz w:val="16"/>
                <w:szCs w:val="16"/>
              </w:rPr>
            </w:pPr>
            <w:r w:rsidRPr="00B02BA3">
              <w:rPr>
                <w:sz w:val="16"/>
                <w:szCs w:val="16"/>
              </w:rPr>
              <w:t>June 2025</w:t>
            </w:r>
          </w:p>
        </w:tc>
        <w:tc>
          <w:tcPr>
            <w:tcW w:w="236" w:type="dxa"/>
            <w:vAlign w:val="bottom"/>
          </w:tcPr>
          <w:p w14:paraId="2E7CFF99"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C666794" w14:textId="77777777" w:rsidR="00AC5C0C" w:rsidRPr="00B02BA3" w:rsidRDefault="00AC5C0C" w:rsidP="00922116">
            <w:pPr>
              <w:pStyle w:val="VSmCellBody"/>
              <w:jc w:val="right"/>
              <w:rPr>
                <w:sz w:val="16"/>
                <w:szCs w:val="16"/>
              </w:rPr>
            </w:pPr>
            <w:r w:rsidRPr="00B02BA3">
              <w:rPr>
                <w:sz w:val="16"/>
                <w:szCs w:val="16"/>
              </w:rPr>
              <w:t>18 months</w:t>
            </w:r>
          </w:p>
        </w:tc>
        <w:tc>
          <w:tcPr>
            <w:tcW w:w="236" w:type="dxa"/>
            <w:vAlign w:val="bottom"/>
          </w:tcPr>
          <w:p w14:paraId="4FA047D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2F01FD3" w14:textId="77777777" w:rsidR="00AC5C0C" w:rsidRPr="00B02BA3" w:rsidRDefault="00AC5C0C" w:rsidP="00922116">
            <w:pPr>
              <w:pStyle w:val="VSmCellBody"/>
              <w:jc w:val="right"/>
              <w:rPr>
                <w:sz w:val="16"/>
                <w:szCs w:val="16"/>
              </w:rPr>
            </w:pPr>
            <w:r w:rsidRPr="00B02BA3">
              <w:rPr>
                <w:sz w:val="16"/>
                <w:szCs w:val="16"/>
              </w:rPr>
              <w:t>None</w:t>
            </w:r>
          </w:p>
        </w:tc>
        <w:tc>
          <w:tcPr>
            <w:tcW w:w="236" w:type="dxa"/>
            <w:vAlign w:val="bottom"/>
          </w:tcPr>
          <w:p w14:paraId="6101C801" w14:textId="77777777" w:rsidR="00AC5C0C" w:rsidRPr="00B02BA3" w:rsidRDefault="00AC5C0C" w:rsidP="00922116">
            <w:pPr>
              <w:pStyle w:val="CellRowSpacer"/>
              <w:rPr>
                <w:sz w:val="16"/>
                <w:szCs w:val="16"/>
              </w:rPr>
            </w:pPr>
          </w:p>
        </w:tc>
      </w:tr>
      <w:tr w:rsidR="00AC5C0C" w:rsidRPr="00B02BA3" w14:paraId="096D8129" w14:textId="77777777" w:rsidTr="00922116">
        <w:tc>
          <w:tcPr>
            <w:tcW w:w="3163" w:type="dxa"/>
            <w:vAlign w:val="bottom"/>
          </w:tcPr>
          <w:p w14:paraId="108DDC8C" w14:textId="77777777" w:rsidR="00AC5C0C" w:rsidRPr="00B02BA3" w:rsidRDefault="00AC5C0C" w:rsidP="00922116">
            <w:pPr>
              <w:pStyle w:val="VSmCellBody"/>
              <w:tabs>
                <w:tab w:val="right" w:leader="dot" w:pos="3163"/>
              </w:tabs>
              <w:rPr>
                <w:sz w:val="16"/>
                <w:szCs w:val="16"/>
              </w:rPr>
            </w:pPr>
            <w:r w:rsidRPr="00B02BA3">
              <w:rPr>
                <w:sz w:val="16"/>
                <w:szCs w:val="16"/>
              </w:rPr>
              <w:t>Jessie Glory</w:t>
            </w:r>
            <w:r w:rsidRPr="00B02BA3">
              <w:rPr>
                <w:rFonts w:eastAsia="SimSun"/>
                <w:sz w:val="16"/>
                <w:szCs w:val="16"/>
              </w:rPr>
              <w:tab/>
            </w:r>
          </w:p>
        </w:tc>
        <w:tc>
          <w:tcPr>
            <w:tcW w:w="236" w:type="dxa"/>
            <w:vAlign w:val="bottom"/>
          </w:tcPr>
          <w:p w14:paraId="2D52A6ED" w14:textId="77777777" w:rsidR="00AC5C0C" w:rsidRPr="00B02BA3" w:rsidRDefault="00AC5C0C" w:rsidP="00922116">
            <w:pPr>
              <w:pStyle w:val="CellRowSpacer"/>
              <w:rPr>
                <w:sz w:val="16"/>
                <w:szCs w:val="16"/>
              </w:rPr>
            </w:pPr>
          </w:p>
        </w:tc>
        <w:tc>
          <w:tcPr>
            <w:tcW w:w="907" w:type="dxa"/>
            <w:vAlign w:val="bottom"/>
          </w:tcPr>
          <w:p w14:paraId="56DA9130" w14:textId="77777777" w:rsidR="00AC5C0C" w:rsidRPr="00B02BA3" w:rsidRDefault="00AC5C0C" w:rsidP="00922116">
            <w:pPr>
              <w:pStyle w:val="VSmCellBody"/>
              <w:jc w:val="right"/>
              <w:rPr>
                <w:sz w:val="16"/>
                <w:szCs w:val="16"/>
              </w:rPr>
            </w:pPr>
            <w:r w:rsidRPr="00B02BA3">
              <w:rPr>
                <w:sz w:val="16"/>
                <w:szCs w:val="16"/>
              </w:rPr>
              <w:t>ExxonMobil</w:t>
            </w:r>
          </w:p>
        </w:tc>
        <w:tc>
          <w:tcPr>
            <w:tcW w:w="236" w:type="dxa"/>
            <w:vAlign w:val="bottom"/>
          </w:tcPr>
          <w:p w14:paraId="1A00B60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28541159" w14:textId="77777777" w:rsidR="00AC5C0C" w:rsidRPr="00B02BA3" w:rsidRDefault="00AC5C0C" w:rsidP="00922116">
            <w:pPr>
              <w:pStyle w:val="VSmCellBody"/>
              <w:jc w:val="right"/>
              <w:rPr>
                <w:sz w:val="16"/>
                <w:szCs w:val="16"/>
              </w:rPr>
            </w:pPr>
            <w:r w:rsidRPr="00B02BA3">
              <w:rPr>
                <w:sz w:val="16"/>
                <w:szCs w:val="16"/>
              </w:rPr>
              <w:t>March 2024</w:t>
            </w:r>
          </w:p>
        </w:tc>
        <w:tc>
          <w:tcPr>
            <w:tcW w:w="236" w:type="dxa"/>
            <w:vAlign w:val="bottom"/>
          </w:tcPr>
          <w:p w14:paraId="3C2A3EE7"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BBBE6E8" w14:textId="77777777" w:rsidR="00AC5C0C" w:rsidRPr="00B02BA3" w:rsidRDefault="00AC5C0C" w:rsidP="00922116">
            <w:pPr>
              <w:pStyle w:val="VSmCellBody"/>
              <w:jc w:val="right"/>
              <w:rPr>
                <w:sz w:val="16"/>
                <w:szCs w:val="16"/>
              </w:rPr>
            </w:pPr>
            <w:r w:rsidRPr="00B02BA3">
              <w:rPr>
                <w:sz w:val="16"/>
                <w:szCs w:val="16"/>
              </w:rPr>
              <w:t>September 2025</w:t>
            </w:r>
          </w:p>
        </w:tc>
        <w:tc>
          <w:tcPr>
            <w:tcW w:w="236" w:type="dxa"/>
            <w:vAlign w:val="bottom"/>
          </w:tcPr>
          <w:p w14:paraId="3296149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2A0DB8B" w14:textId="77777777" w:rsidR="00AC5C0C" w:rsidRPr="00B02BA3" w:rsidRDefault="00AC5C0C" w:rsidP="00922116">
            <w:pPr>
              <w:pStyle w:val="VSmCellBody"/>
              <w:jc w:val="right"/>
              <w:rPr>
                <w:sz w:val="16"/>
                <w:szCs w:val="16"/>
              </w:rPr>
            </w:pPr>
            <w:r w:rsidRPr="00B02BA3">
              <w:rPr>
                <w:sz w:val="16"/>
                <w:szCs w:val="16"/>
              </w:rPr>
              <w:t xml:space="preserve">18 months </w:t>
            </w:r>
          </w:p>
        </w:tc>
        <w:tc>
          <w:tcPr>
            <w:tcW w:w="236" w:type="dxa"/>
            <w:vAlign w:val="bottom"/>
          </w:tcPr>
          <w:p w14:paraId="3013328C"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6B86F089" w14:textId="77777777" w:rsidR="00AC5C0C" w:rsidRPr="00B02BA3" w:rsidRDefault="00AC5C0C" w:rsidP="00922116">
            <w:pPr>
              <w:pStyle w:val="VSmCellBody"/>
              <w:jc w:val="right"/>
              <w:rPr>
                <w:sz w:val="16"/>
                <w:szCs w:val="16"/>
              </w:rPr>
            </w:pPr>
            <w:r w:rsidRPr="00B02BA3">
              <w:rPr>
                <w:sz w:val="16"/>
                <w:szCs w:val="16"/>
              </w:rPr>
              <w:t xml:space="preserve">None </w:t>
            </w:r>
          </w:p>
        </w:tc>
        <w:tc>
          <w:tcPr>
            <w:tcW w:w="236" w:type="dxa"/>
            <w:vAlign w:val="bottom"/>
          </w:tcPr>
          <w:p w14:paraId="32C6A325" w14:textId="77777777" w:rsidR="00AC5C0C" w:rsidRPr="00B02BA3" w:rsidRDefault="00AC5C0C" w:rsidP="00922116">
            <w:pPr>
              <w:pStyle w:val="CellRowSpacer"/>
              <w:rPr>
                <w:sz w:val="16"/>
                <w:szCs w:val="16"/>
              </w:rPr>
            </w:pPr>
          </w:p>
        </w:tc>
      </w:tr>
      <w:tr w:rsidR="00AC5C0C" w:rsidRPr="00B02BA3" w14:paraId="78B9B085" w14:textId="77777777" w:rsidTr="00922116">
        <w:tc>
          <w:tcPr>
            <w:tcW w:w="3163" w:type="dxa"/>
            <w:vAlign w:val="bottom"/>
          </w:tcPr>
          <w:p w14:paraId="4900B6A5" w14:textId="77777777" w:rsidR="00AC5C0C" w:rsidRPr="00B02BA3" w:rsidRDefault="00AC5C0C" w:rsidP="00922116">
            <w:pPr>
              <w:pStyle w:val="VSmCellBody"/>
              <w:tabs>
                <w:tab w:val="right" w:leader="dot" w:pos="3163"/>
              </w:tabs>
              <w:rPr>
                <w:sz w:val="16"/>
                <w:szCs w:val="16"/>
              </w:rPr>
            </w:pPr>
            <w:proofErr w:type="spellStart"/>
            <w:r w:rsidRPr="00B02BA3">
              <w:rPr>
                <w:sz w:val="16"/>
                <w:szCs w:val="16"/>
              </w:rPr>
              <w:t>Clearocean</w:t>
            </w:r>
            <w:proofErr w:type="spellEnd"/>
            <w:r w:rsidRPr="00B02BA3">
              <w:rPr>
                <w:sz w:val="16"/>
                <w:szCs w:val="16"/>
              </w:rPr>
              <w:t xml:space="preserve"> Music</w:t>
            </w:r>
            <w:r w:rsidRPr="00B02BA3">
              <w:rPr>
                <w:rFonts w:eastAsia="SimSun"/>
                <w:sz w:val="16"/>
                <w:szCs w:val="16"/>
              </w:rPr>
              <w:tab/>
            </w:r>
          </w:p>
        </w:tc>
        <w:tc>
          <w:tcPr>
            <w:tcW w:w="236" w:type="dxa"/>
            <w:vAlign w:val="bottom"/>
          </w:tcPr>
          <w:p w14:paraId="3B6BACFC" w14:textId="77777777" w:rsidR="00AC5C0C" w:rsidRPr="00B02BA3" w:rsidRDefault="00AC5C0C" w:rsidP="00922116">
            <w:pPr>
              <w:pStyle w:val="CellRowSpacer"/>
              <w:rPr>
                <w:sz w:val="16"/>
                <w:szCs w:val="16"/>
              </w:rPr>
            </w:pPr>
          </w:p>
        </w:tc>
        <w:tc>
          <w:tcPr>
            <w:tcW w:w="907" w:type="dxa"/>
            <w:vAlign w:val="bottom"/>
          </w:tcPr>
          <w:p w14:paraId="2CD81F9B" w14:textId="77777777" w:rsidR="00AC5C0C" w:rsidRPr="00B02BA3" w:rsidRDefault="00AC5C0C" w:rsidP="00922116">
            <w:pPr>
              <w:pStyle w:val="VSmCellBody"/>
              <w:jc w:val="right"/>
              <w:rPr>
                <w:sz w:val="16"/>
                <w:szCs w:val="16"/>
              </w:rPr>
            </w:pPr>
            <w:r w:rsidRPr="00B02BA3">
              <w:rPr>
                <w:sz w:val="16"/>
                <w:szCs w:val="16"/>
              </w:rPr>
              <w:t xml:space="preserve"> Norden </w:t>
            </w:r>
          </w:p>
        </w:tc>
        <w:tc>
          <w:tcPr>
            <w:tcW w:w="236" w:type="dxa"/>
            <w:vAlign w:val="bottom"/>
          </w:tcPr>
          <w:p w14:paraId="7A4151E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36EFE788" w14:textId="77777777" w:rsidR="00AC5C0C" w:rsidRPr="00B02BA3" w:rsidRDefault="00AC5C0C" w:rsidP="00922116">
            <w:pPr>
              <w:pStyle w:val="VSmCellBody"/>
              <w:jc w:val="right"/>
              <w:rPr>
                <w:sz w:val="16"/>
                <w:szCs w:val="16"/>
              </w:rPr>
            </w:pPr>
            <w:r w:rsidRPr="00B02BA3">
              <w:rPr>
                <w:sz w:val="16"/>
                <w:szCs w:val="16"/>
              </w:rPr>
              <w:t>May 2024</w:t>
            </w:r>
          </w:p>
        </w:tc>
        <w:tc>
          <w:tcPr>
            <w:tcW w:w="236" w:type="dxa"/>
            <w:vAlign w:val="bottom"/>
          </w:tcPr>
          <w:p w14:paraId="2C92135D"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7AFDB125" w14:textId="77777777" w:rsidR="00AC5C0C" w:rsidRPr="00B02BA3" w:rsidRDefault="00AC5C0C" w:rsidP="00922116">
            <w:pPr>
              <w:pStyle w:val="VSmCellBody"/>
              <w:jc w:val="right"/>
              <w:rPr>
                <w:sz w:val="16"/>
                <w:szCs w:val="16"/>
              </w:rPr>
            </w:pPr>
            <w:r w:rsidRPr="00B02BA3">
              <w:rPr>
                <w:sz w:val="16"/>
                <w:szCs w:val="16"/>
              </w:rPr>
              <w:t>November 2025</w:t>
            </w:r>
          </w:p>
        </w:tc>
        <w:tc>
          <w:tcPr>
            <w:tcW w:w="236" w:type="dxa"/>
            <w:vAlign w:val="bottom"/>
          </w:tcPr>
          <w:p w14:paraId="7181DAE4"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DB73FD0" w14:textId="77777777" w:rsidR="00AC5C0C" w:rsidRPr="00B02BA3" w:rsidRDefault="00AC5C0C" w:rsidP="00922116">
            <w:pPr>
              <w:pStyle w:val="VSmCellBody"/>
              <w:jc w:val="right"/>
              <w:rPr>
                <w:sz w:val="16"/>
                <w:szCs w:val="16"/>
              </w:rPr>
            </w:pPr>
            <w:r w:rsidRPr="00B02BA3">
              <w:rPr>
                <w:sz w:val="16"/>
                <w:szCs w:val="16"/>
              </w:rPr>
              <w:t xml:space="preserve">18 months </w:t>
            </w:r>
          </w:p>
        </w:tc>
        <w:tc>
          <w:tcPr>
            <w:tcW w:w="236" w:type="dxa"/>
            <w:vAlign w:val="bottom"/>
          </w:tcPr>
          <w:p w14:paraId="1A17C018"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C310EAB" w14:textId="77777777" w:rsidR="00AC5C0C" w:rsidRPr="00B02BA3" w:rsidRDefault="00AC5C0C" w:rsidP="00922116">
            <w:pPr>
              <w:pStyle w:val="VSmCellBody"/>
              <w:jc w:val="right"/>
              <w:rPr>
                <w:sz w:val="16"/>
                <w:szCs w:val="16"/>
              </w:rPr>
            </w:pPr>
            <w:r w:rsidRPr="00B02BA3">
              <w:rPr>
                <w:sz w:val="16"/>
                <w:szCs w:val="16"/>
              </w:rPr>
              <w:t xml:space="preserve">None </w:t>
            </w:r>
          </w:p>
        </w:tc>
        <w:tc>
          <w:tcPr>
            <w:tcW w:w="236" w:type="dxa"/>
            <w:vAlign w:val="bottom"/>
          </w:tcPr>
          <w:p w14:paraId="210C8792" w14:textId="77777777" w:rsidR="00AC5C0C" w:rsidRPr="00B02BA3" w:rsidRDefault="00AC5C0C" w:rsidP="00922116">
            <w:pPr>
              <w:pStyle w:val="CellRowSpacer"/>
              <w:rPr>
                <w:sz w:val="16"/>
                <w:szCs w:val="16"/>
              </w:rPr>
            </w:pPr>
          </w:p>
        </w:tc>
      </w:tr>
      <w:tr w:rsidR="00AC5C0C" w:rsidRPr="00B02BA3" w14:paraId="7EB58071" w14:textId="77777777" w:rsidTr="00922116">
        <w:tc>
          <w:tcPr>
            <w:tcW w:w="3163" w:type="dxa"/>
            <w:vAlign w:val="bottom"/>
          </w:tcPr>
          <w:p w14:paraId="06B5DF46" w14:textId="77777777" w:rsidR="00AC5C0C" w:rsidRPr="00B02BA3" w:rsidRDefault="00AC5C0C" w:rsidP="00922116">
            <w:pPr>
              <w:pStyle w:val="VSmCellBody"/>
              <w:tabs>
                <w:tab w:val="right" w:leader="dot" w:pos="3163"/>
              </w:tabs>
              <w:rPr>
                <w:sz w:val="16"/>
                <w:szCs w:val="16"/>
              </w:rPr>
            </w:pPr>
            <w:r w:rsidRPr="00B02BA3">
              <w:rPr>
                <w:sz w:val="16"/>
                <w:szCs w:val="16"/>
              </w:rPr>
              <w:t>Nord Ventura</w:t>
            </w:r>
            <w:r w:rsidRPr="00B02BA3">
              <w:rPr>
                <w:rFonts w:eastAsia="SimSun"/>
                <w:sz w:val="16"/>
                <w:szCs w:val="16"/>
              </w:rPr>
              <w:tab/>
            </w:r>
          </w:p>
        </w:tc>
        <w:tc>
          <w:tcPr>
            <w:tcW w:w="236" w:type="dxa"/>
            <w:vAlign w:val="bottom"/>
          </w:tcPr>
          <w:p w14:paraId="0A4324C6" w14:textId="77777777" w:rsidR="00AC5C0C" w:rsidRPr="00B02BA3" w:rsidRDefault="00AC5C0C" w:rsidP="00922116">
            <w:pPr>
              <w:pStyle w:val="CellRowSpacer"/>
              <w:rPr>
                <w:sz w:val="16"/>
                <w:szCs w:val="16"/>
              </w:rPr>
            </w:pPr>
          </w:p>
        </w:tc>
        <w:tc>
          <w:tcPr>
            <w:tcW w:w="907" w:type="dxa"/>
            <w:vAlign w:val="bottom"/>
          </w:tcPr>
          <w:p w14:paraId="4CE67714" w14:textId="77777777" w:rsidR="00AC5C0C" w:rsidRPr="00B02BA3" w:rsidRDefault="00AC5C0C" w:rsidP="00922116">
            <w:pPr>
              <w:pStyle w:val="VSmCellBody"/>
              <w:jc w:val="right"/>
              <w:rPr>
                <w:sz w:val="16"/>
                <w:szCs w:val="16"/>
              </w:rPr>
            </w:pPr>
            <w:proofErr w:type="spellStart"/>
            <w:r w:rsidRPr="00B02BA3">
              <w:rPr>
                <w:sz w:val="16"/>
                <w:szCs w:val="16"/>
              </w:rPr>
              <w:t>Weco</w:t>
            </w:r>
            <w:proofErr w:type="spellEnd"/>
          </w:p>
        </w:tc>
        <w:tc>
          <w:tcPr>
            <w:tcW w:w="236" w:type="dxa"/>
            <w:vAlign w:val="bottom"/>
          </w:tcPr>
          <w:p w14:paraId="4073081E"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180B362D" w14:textId="77777777" w:rsidR="00AC5C0C" w:rsidRPr="00B02BA3" w:rsidRDefault="00AC5C0C" w:rsidP="00922116">
            <w:pPr>
              <w:pStyle w:val="VSmCellBody"/>
              <w:jc w:val="right"/>
              <w:rPr>
                <w:sz w:val="16"/>
                <w:szCs w:val="16"/>
              </w:rPr>
            </w:pPr>
            <w:r w:rsidRPr="00B02BA3">
              <w:rPr>
                <w:sz w:val="16"/>
                <w:szCs w:val="16"/>
              </w:rPr>
              <w:t>September 2024</w:t>
            </w:r>
          </w:p>
        </w:tc>
        <w:tc>
          <w:tcPr>
            <w:tcW w:w="236" w:type="dxa"/>
            <w:vAlign w:val="bottom"/>
          </w:tcPr>
          <w:p w14:paraId="012A1692"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46B097AF" w14:textId="77777777" w:rsidR="00AC5C0C" w:rsidRPr="00B02BA3" w:rsidRDefault="00AC5C0C" w:rsidP="00922116">
            <w:pPr>
              <w:pStyle w:val="VSmCellBody"/>
              <w:jc w:val="right"/>
              <w:rPr>
                <w:sz w:val="16"/>
                <w:szCs w:val="16"/>
              </w:rPr>
            </w:pPr>
            <w:r w:rsidRPr="00B02BA3">
              <w:rPr>
                <w:sz w:val="16"/>
                <w:szCs w:val="16"/>
              </w:rPr>
              <w:t>November 2024</w:t>
            </w:r>
          </w:p>
        </w:tc>
        <w:tc>
          <w:tcPr>
            <w:tcW w:w="236" w:type="dxa"/>
            <w:vAlign w:val="bottom"/>
          </w:tcPr>
          <w:p w14:paraId="7FB7FAB3"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5019A06F" w14:textId="77777777" w:rsidR="00AC5C0C" w:rsidRPr="00B02BA3" w:rsidRDefault="00AC5C0C" w:rsidP="00922116">
            <w:pPr>
              <w:pStyle w:val="VSmCellBody"/>
              <w:jc w:val="right"/>
              <w:rPr>
                <w:sz w:val="16"/>
                <w:szCs w:val="16"/>
              </w:rPr>
            </w:pPr>
            <w:r w:rsidRPr="00B02BA3">
              <w:rPr>
                <w:sz w:val="16"/>
                <w:szCs w:val="16"/>
              </w:rPr>
              <w:t xml:space="preserve">2 months </w:t>
            </w:r>
          </w:p>
        </w:tc>
        <w:tc>
          <w:tcPr>
            <w:tcW w:w="236" w:type="dxa"/>
            <w:vAlign w:val="bottom"/>
          </w:tcPr>
          <w:p w14:paraId="022CA276" w14:textId="77777777" w:rsidR="00AC5C0C" w:rsidRPr="00B02BA3" w:rsidRDefault="00AC5C0C" w:rsidP="00922116">
            <w:pPr>
              <w:pStyle w:val="CellRowSpacer"/>
              <w:jc w:val="right"/>
              <w:rPr>
                <w:sz w:val="16"/>
                <w:szCs w:val="16"/>
              </w:rPr>
            </w:pPr>
            <w:r w:rsidRPr="00B02BA3">
              <w:rPr>
                <w:sz w:val="16"/>
                <w:szCs w:val="16"/>
              </w:rPr>
              <w:t> </w:t>
            </w:r>
          </w:p>
        </w:tc>
        <w:tc>
          <w:tcPr>
            <w:tcW w:w="907" w:type="dxa"/>
            <w:vAlign w:val="bottom"/>
          </w:tcPr>
          <w:p w14:paraId="05613E12" w14:textId="77777777" w:rsidR="00AC5C0C" w:rsidRPr="00B02BA3" w:rsidRDefault="00AC5C0C" w:rsidP="00922116">
            <w:pPr>
              <w:pStyle w:val="VSmCellBody"/>
              <w:jc w:val="right"/>
              <w:rPr>
                <w:sz w:val="16"/>
                <w:szCs w:val="16"/>
              </w:rPr>
            </w:pPr>
            <w:r w:rsidRPr="00B02BA3">
              <w:rPr>
                <w:sz w:val="16"/>
                <w:szCs w:val="16"/>
              </w:rPr>
              <w:t xml:space="preserve">2 months </w:t>
            </w:r>
          </w:p>
        </w:tc>
        <w:tc>
          <w:tcPr>
            <w:tcW w:w="236" w:type="dxa"/>
            <w:vAlign w:val="bottom"/>
          </w:tcPr>
          <w:p w14:paraId="7E96EAAA" w14:textId="77777777" w:rsidR="00AC5C0C" w:rsidRPr="00B02BA3" w:rsidRDefault="00AC5C0C" w:rsidP="00922116">
            <w:pPr>
              <w:pStyle w:val="CellRowSpacer"/>
              <w:rPr>
                <w:sz w:val="16"/>
                <w:szCs w:val="16"/>
              </w:rPr>
            </w:pPr>
          </w:p>
        </w:tc>
      </w:tr>
      <w:tr w:rsidR="00AC5C0C" w:rsidRPr="00B02BA3" w14:paraId="280EE7B6" w14:textId="77777777" w:rsidTr="00922116">
        <w:tc>
          <w:tcPr>
            <w:tcW w:w="3163" w:type="dxa"/>
            <w:vAlign w:val="bottom"/>
          </w:tcPr>
          <w:p w14:paraId="140D7A58" w14:textId="77777777" w:rsidR="00AC5C0C" w:rsidRPr="00B02BA3" w:rsidDel="00964A1F" w:rsidRDefault="00AC5C0C" w:rsidP="00922116">
            <w:pPr>
              <w:pStyle w:val="VSmCellBody"/>
              <w:tabs>
                <w:tab w:val="right" w:leader="dot" w:pos="3163"/>
              </w:tabs>
              <w:rPr>
                <w:sz w:val="16"/>
                <w:szCs w:val="16"/>
              </w:rPr>
            </w:pPr>
            <w:r w:rsidRPr="00B02BA3">
              <w:rPr>
                <w:sz w:val="16"/>
                <w:szCs w:val="16"/>
              </w:rPr>
              <w:t>Nord Vignale</w:t>
            </w:r>
            <w:r w:rsidRPr="00B02BA3">
              <w:rPr>
                <w:rFonts w:eastAsia="SimSun"/>
                <w:sz w:val="16"/>
                <w:szCs w:val="16"/>
              </w:rPr>
              <w:tab/>
            </w:r>
          </w:p>
        </w:tc>
        <w:tc>
          <w:tcPr>
            <w:tcW w:w="236" w:type="dxa"/>
            <w:vAlign w:val="bottom"/>
          </w:tcPr>
          <w:p w14:paraId="641B4F38" w14:textId="77777777" w:rsidR="00AC5C0C" w:rsidRPr="00B02BA3" w:rsidRDefault="00AC5C0C" w:rsidP="00922116">
            <w:pPr>
              <w:pStyle w:val="CellRowSpacer"/>
              <w:rPr>
                <w:sz w:val="16"/>
                <w:szCs w:val="16"/>
              </w:rPr>
            </w:pPr>
          </w:p>
        </w:tc>
        <w:tc>
          <w:tcPr>
            <w:tcW w:w="907" w:type="dxa"/>
            <w:vAlign w:val="bottom"/>
          </w:tcPr>
          <w:p w14:paraId="06BAFB9A" w14:textId="77777777" w:rsidR="00AC5C0C" w:rsidRPr="00B02BA3" w:rsidRDefault="00AC5C0C" w:rsidP="00922116">
            <w:pPr>
              <w:pStyle w:val="VSmCellBody"/>
              <w:jc w:val="right"/>
              <w:rPr>
                <w:sz w:val="16"/>
                <w:szCs w:val="16"/>
              </w:rPr>
            </w:pPr>
            <w:r w:rsidRPr="00B02BA3">
              <w:rPr>
                <w:sz w:val="16"/>
                <w:szCs w:val="16"/>
              </w:rPr>
              <w:t>Petronas</w:t>
            </w:r>
          </w:p>
        </w:tc>
        <w:tc>
          <w:tcPr>
            <w:tcW w:w="236" w:type="dxa"/>
            <w:vAlign w:val="bottom"/>
          </w:tcPr>
          <w:p w14:paraId="4E52F7C5" w14:textId="77777777" w:rsidR="00AC5C0C" w:rsidRPr="00B02BA3" w:rsidRDefault="00AC5C0C" w:rsidP="00922116">
            <w:pPr>
              <w:pStyle w:val="CellRowSpacer"/>
              <w:jc w:val="right"/>
              <w:rPr>
                <w:sz w:val="16"/>
                <w:szCs w:val="16"/>
              </w:rPr>
            </w:pPr>
          </w:p>
        </w:tc>
        <w:tc>
          <w:tcPr>
            <w:tcW w:w="907" w:type="dxa"/>
            <w:vAlign w:val="bottom"/>
          </w:tcPr>
          <w:p w14:paraId="5FF81C94" w14:textId="77777777" w:rsidR="00AC5C0C" w:rsidRPr="00B02BA3" w:rsidRDefault="00AC5C0C" w:rsidP="00922116">
            <w:pPr>
              <w:pStyle w:val="VSmCellBody"/>
              <w:jc w:val="right"/>
              <w:rPr>
                <w:sz w:val="16"/>
                <w:szCs w:val="16"/>
              </w:rPr>
            </w:pPr>
            <w:r w:rsidRPr="00B02BA3">
              <w:rPr>
                <w:sz w:val="16"/>
                <w:szCs w:val="16"/>
              </w:rPr>
              <w:t>December 2024</w:t>
            </w:r>
          </w:p>
        </w:tc>
        <w:tc>
          <w:tcPr>
            <w:tcW w:w="236" w:type="dxa"/>
            <w:vAlign w:val="bottom"/>
          </w:tcPr>
          <w:p w14:paraId="4C6D35B4" w14:textId="77777777" w:rsidR="00AC5C0C" w:rsidRPr="00B02BA3" w:rsidRDefault="00AC5C0C" w:rsidP="00922116">
            <w:pPr>
              <w:pStyle w:val="CellRowSpacer"/>
              <w:jc w:val="right"/>
              <w:rPr>
                <w:sz w:val="16"/>
                <w:szCs w:val="16"/>
              </w:rPr>
            </w:pPr>
          </w:p>
        </w:tc>
        <w:tc>
          <w:tcPr>
            <w:tcW w:w="907" w:type="dxa"/>
            <w:vAlign w:val="bottom"/>
          </w:tcPr>
          <w:p w14:paraId="14B20F5D" w14:textId="77777777" w:rsidR="00AC5C0C" w:rsidRPr="00B02BA3" w:rsidRDefault="00AC5C0C" w:rsidP="00922116">
            <w:pPr>
              <w:pStyle w:val="VSmCellBody"/>
              <w:jc w:val="right"/>
              <w:rPr>
                <w:sz w:val="16"/>
                <w:szCs w:val="16"/>
              </w:rPr>
            </w:pPr>
            <w:r w:rsidRPr="00B02BA3">
              <w:rPr>
                <w:sz w:val="16"/>
                <w:szCs w:val="16"/>
              </w:rPr>
              <w:t>December 2026</w:t>
            </w:r>
          </w:p>
        </w:tc>
        <w:tc>
          <w:tcPr>
            <w:tcW w:w="236" w:type="dxa"/>
            <w:vAlign w:val="bottom"/>
          </w:tcPr>
          <w:p w14:paraId="0E041584" w14:textId="77777777" w:rsidR="00AC5C0C" w:rsidRPr="00B02BA3" w:rsidRDefault="00AC5C0C" w:rsidP="00922116">
            <w:pPr>
              <w:pStyle w:val="CellRowSpacer"/>
              <w:jc w:val="right"/>
              <w:rPr>
                <w:sz w:val="16"/>
                <w:szCs w:val="16"/>
              </w:rPr>
            </w:pPr>
          </w:p>
        </w:tc>
        <w:tc>
          <w:tcPr>
            <w:tcW w:w="907" w:type="dxa"/>
            <w:vAlign w:val="bottom"/>
          </w:tcPr>
          <w:p w14:paraId="4DBA1B4E" w14:textId="77777777" w:rsidR="00AC5C0C" w:rsidRPr="00B02BA3" w:rsidRDefault="00AC5C0C" w:rsidP="00922116">
            <w:pPr>
              <w:pStyle w:val="VSmCellBody"/>
              <w:jc w:val="right"/>
              <w:rPr>
                <w:sz w:val="16"/>
                <w:szCs w:val="16"/>
              </w:rPr>
            </w:pPr>
            <w:r w:rsidRPr="00B02BA3">
              <w:rPr>
                <w:sz w:val="16"/>
                <w:szCs w:val="16"/>
              </w:rPr>
              <w:t>2 years</w:t>
            </w:r>
          </w:p>
        </w:tc>
        <w:tc>
          <w:tcPr>
            <w:tcW w:w="236" w:type="dxa"/>
            <w:vAlign w:val="bottom"/>
          </w:tcPr>
          <w:p w14:paraId="77B65B92" w14:textId="77777777" w:rsidR="00AC5C0C" w:rsidRPr="00B02BA3" w:rsidRDefault="00AC5C0C" w:rsidP="00922116">
            <w:pPr>
              <w:pStyle w:val="CellRowSpacer"/>
              <w:jc w:val="right"/>
              <w:rPr>
                <w:sz w:val="16"/>
                <w:szCs w:val="16"/>
              </w:rPr>
            </w:pPr>
          </w:p>
        </w:tc>
        <w:tc>
          <w:tcPr>
            <w:tcW w:w="907" w:type="dxa"/>
            <w:vAlign w:val="bottom"/>
          </w:tcPr>
          <w:p w14:paraId="29E3E0E2" w14:textId="77777777" w:rsidR="00AC5C0C" w:rsidRPr="00B02BA3" w:rsidRDefault="00AC5C0C" w:rsidP="00922116">
            <w:pPr>
              <w:pStyle w:val="VSmCellBody"/>
              <w:jc w:val="right"/>
              <w:rPr>
                <w:sz w:val="16"/>
                <w:szCs w:val="16"/>
              </w:rPr>
            </w:pPr>
            <w:r w:rsidRPr="00B02BA3">
              <w:rPr>
                <w:sz w:val="16"/>
                <w:szCs w:val="16"/>
              </w:rPr>
              <w:t>1 month</w:t>
            </w:r>
          </w:p>
        </w:tc>
        <w:tc>
          <w:tcPr>
            <w:tcW w:w="236" w:type="dxa"/>
            <w:vAlign w:val="bottom"/>
          </w:tcPr>
          <w:p w14:paraId="263706DC" w14:textId="77777777" w:rsidR="00AC5C0C" w:rsidRPr="00B02BA3" w:rsidRDefault="00AC5C0C" w:rsidP="00922116">
            <w:pPr>
              <w:pStyle w:val="CellRowSpacer"/>
              <w:rPr>
                <w:sz w:val="16"/>
                <w:szCs w:val="16"/>
              </w:rPr>
            </w:pPr>
          </w:p>
        </w:tc>
      </w:tr>
      <w:tr w:rsidR="00AC5C0C" w:rsidRPr="00B02BA3" w14:paraId="5F2D7789" w14:textId="77777777" w:rsidTr="00922116">
        <w:tc>
          <w:tcPr>
            <w:tcW w:w="3163" w:type="dxa"/>
            <w:vAlign w:val="bottom"/>
          </w:tcPr>
          <w:p w14:paraId="5EDBF706" w14:textId="77777777" w:rsidR="00AC5C0C" w:rsidRPr="00B02BA3" w:rsidRDefault="00AC5C0C" w:rsidP="00922116">
            <w:pPr>
              <w:pStyle w:val="VSmCellBody"/>
              <w:tabs>
                <w:tab w:val="right" w:leader="dot" w:pos="3163"/>
              </w:tabs>
              <w:rPr>
                <w:sz w:val="16"/>
                <w:szCs w:val="16"/>
              </w:rPr>
            </w:pPr>
            <w:r w:rsidRPr="00B02BA3">
              <w:rPr>
                <w:rFonts w:eastAsia="SimSun"/>
                <w:sz w:val="16"/>
                <w:szCs w:val="16"/>
              </w:rPr>
              <w:t xml:space="preserve">MT </w:t>
            </w:r>
            <w:proofErr w:type="spellStart"/>
            <w:r w:rsidRPr="00B02BA3">
              <w:rPr>
                <w:rFonts w:eastAsia="SimSun"/>
                <w:sz w:val="16"/>
                <w:szCs w:val="16"/>
              </w:rPr>
              <w:t>Valisko</w:t>
            </w:r>
            <w:proofErr w:type="spellEnd"/>
            <w:r w:rsidRPr="00B02BA3">
              <w:rPr>
                <w:rFonts w:eastAsia="SimSun"/>
                <w:sz w:val="16"/>
                <w:szCs w:val="16"/>
              </w:rPr>
              <w:tab/>
            </w:r>
          </w:p>
        </w:tc>
        <w:tc>
          <w:tcPr>
            <w:tcW w:w="236" w:type="dxa"/>
            <w:vAlign w:val="bottom"/>
          </w:tcPr>
          <w:p w14:paraId="37A08D14" w14:textId="77777777" w:rsidR="00AC5C0C" w:rsidRPr="00B02BA3" w:rsidRDefault="00AC5C0C" w:rsidP="00922116">
            <w:pPr>
              <w:pStyle w:val="CellRowSpacer"/>
              <w:rPr>
                <w:sz w:val="16"/>
                <w:szCs w:val="16"/>
              </w:rPr>
            </w:pPr>
          </w:p>
        </w:tc>
        <w:tc>
          <w:tcPr>
            <w:tcW w:w="907" w:type="dxa"/>
            <w:vAlign w:val="bottom"/>
          </w:tcPr>
          <w:p w14:paraId="25510153" w14:textId="77777777" w:rsidR="00AC5C0C" w:rsidRPr="00B02BA3" w:rsidRDefault="00AC5C0C" w:rsidP="00922116">
            <w:pPr>
              <w:pStyle w:val="VSmCellBody"/>
              <w:jc w:val="right"/>
              <w:rPr>
                <w:sz w:val="16"/>
                <w:szCs w:val="16"/>
              </w:rPr>
            </w:pPr>
            <w:r w:rsidRPr="00B02BA3">
              <w:rPr>
                <w:sz w:val="16"/>
                <w:szCs w:val="16"/>
              </w:rPr>
              <w:t> —</w:t>
            </w:r>
          </w:p>
        </w:tc>
        <w:tc>
          <w:tcPr>
            <w:tcW w:w="236" w:type="dxa"/>
            <w:vAlign w:val="bottom"/>
          </w:tcPr>
          <w:p w14:paraId="2FAC8473" w14:textId="77777777" w:rsidR="00AC5C0C" w:rsidRPr="00B02BA3" w:rsidRDefault="00AC5C0C" w:rsidP="00922116">
            <w:pPr>
              <w:pStyle w:val="CellRowSpacer"/>
              <w:jc w:val="right"/>
              <w:rPr>
                <w:sz w:val="16"/>
                <w:szCs w:val="16"/>
              </w:rPr>
            </w:pPr>
          </w:p>
        </w:tc>
        <w:tc>
          <w:tcPr>
            <w:tcW w:w="907" w:type="dxa"/>
            <w:vAlign w:val="bottom"/>
          </w:tcPr>
          <w:p w14:paraId="08620B91" w14:textId="77777777" w:rsidR="00AC5C0C" w:rsidRPr="00B02BA3" w:rsidRDefault="00AC5C0C" w:rsidP="00922116">
            <w:pPr>
              <w:pStyle w:val="VSmCellBody"/>
              <w:jc w:val="right"/>
              <w:rPr>
                <w:sz w:val="16"/>
                <w:szCs w:val="16"/>
              </w:rPr>
            </w:pPr>
            <w:r w:rsidRPr="00B02BA3">
              <w:rPr>
                <w:sz w:val="16"/>
                <w:szCs w:val="16"/>
              </w:rPr>
              <w:t>March 2025</w:t>
            </w:r>
          </w:p>
        </w:tc>
        <w:tc>
          <w:tcPr>
            <w:tcW w:w="236" w:type="dxa"/>
            <w:vAlign w:val="bottom"/>
          </w:tcPr>
          <w:p w14:paraId="346280B5" w14:textId="77777777" w:rsidR="00AC5C0C" w:rsidRPr="00B02BA3" w:rsidRDefault="00AC5C0C" w:rsidP="00922116">
            <w:pPr>
              <w:pStyle w:val="CellRowSpacer"/>
              <w:jc w:val="right"/>
              <w:rPr>
                <w:sz w:val="16"/>
                <w:szCs w:val="16"/>
              </w:rPr>
            </w:pPr>
          </w:p>
        </w:tc>
        <w:tc>
          <w:tcPr>
            <w:tcW w:w="907" w:type="dxa"/>
            <w:vAlign w:val="bottom"/>
          </w:tcPr>
          <w:p w14:paraId="41F08116" w14:textId="77777777" w:rsidR="00AC5C0C" w:rsidRPr="00B02BA3" w:rsidRDefault="00AC5C0C" w:rsidP="00922116">
            <w:pPr>
              <w:pStyle w:val="VSmCellBody"/>
              <w:jc w:val="right"/>
              <w:rPr>
                <w:sz w:val="16"/>
                <w:szCs w:val="16"/>
              </w:rPr>
            </w:pPr>
            <w:r w:rsidRPr="00B02BA3">
              <w:rPr>
                <w:sz w:val="16"/>
                <w:szCs w:val="16"/>
              </w:rPr>
              <w:t>March 2030</w:t>
            </w:r>
          </w:p>
        </w:tc>
        <w:tc>
          <w:tcPr>
            <w:tcW w:w="236" w:type="dxa"/>
            <w:vAlign w:val="bottom"/>
          </w:tcPr>
          <w:p w14:paraId="429500F5" w14:textId="77777777" w:rsidR="00AC5C0C" w:rsidRPr="00B02BA3" w:rsidRDefault="00AC5C0C" w:rsidP="00922116">
            <w:pPr>
              <w:pStyle w:val="CellRowSpacer"/>
              <w:jc w:val="right"/>
              <w:rPr>
                <w:sz w:val="16"/>
                <w:szCs w:val="16"/>
              </w:rPr>
            </w:pPr>
          </w:p>
        </w:tc>
        <w:tc>
          <w:tcPr>
            <w:tcW w:w="907" w:type="dxa"/>
            <w:vAlign w:val="bottom"/>
          </w:tcPr>
          <w:p w14:paraId="69529A48" w14:textId="77777777" w:rsidR="00AC5C0C" w:rsidRPr="00B02BA3" w:rsidRDefault="00AC5C0C" w:rsidP="00922116">
            <w:pPr>
              <w:pStyle w:val="VSmCellBody"/>
              <w:jc w:val="right"/>
              <w:rPr>
                <w:sz w:val="16"/>
                <w:szCs w:val="16"/>
              </w:rPr>
            </w:pPr>
            <w:r w:rsidRPr="00B02BA3">
              <w:rPr>
                <w:sz w:val="16"/>
                <w:szCs w:val="16"/>
              </w:rPr>
              <w:t>5 years</w:t>
            </w:r>
          </w:p>
        </w:tc>
        <w:tc>
          <w:tcPr>
            <w:tcW w:w="236" w:type="dxa"/>
            <w:vAlign w:val="bottom"/>
          </w:tcPr>
          <w:p w14:paraId="20F5AFD9" w14:textId="77777777" w:rsidR="00AC5C0C" w:rsidRPr="00B02BA3" w:rsidRDefault="00AC5C0C" w:rsidP="00922116">
            <w:pPr>
              <w:pStyle w:val="CellRowSpacer"/>
              <w:jc w:val="right"/>
              <w:rPr>
                <w:sz w:val="16"/>
                <w:szCs w:val="16"/>
              </w:rPr>
            </w:pPr>
          </w:p>
        </w:tc>
        <w:tc>
          <w:tcPr>
            <w:tcW w:w="907" w:type="dxa"/>
            <w:vAlign w:val="bottom"/>
          </w:tcPr>
          <w:p w14:paraId="0C67DCB2" w14:textId="77777777" w:rsidR="00AC5C0C" w:rsidRPr="00B02BA3" w:rsidRDefault="00AC5C0C" w:rsidP="00922116">
            <w:pPr>
              <w:pStyle w:val="VSmCellBody"/>
              <w:tabs>
                <w:tab w:val="center" w:pos="453"/>
                <w:tab w:val="right" w:pos="907"/>
              </w:tabs>
              <w:jc w:val="right"/>
              <w:rPr>
                <w:sz w:val="16"/>
                <w:szCs w:val="16"/>
              </w:rPr>
            </w:pPr>
            <w:r w:rsidRPr="00B02BA3">
              <w:rPr>
                <w:sz w:val="16"/>
                <w:szCs w:val="16"/>
              </w:rPr>
              <w:tab/>
            </w:r>
            <w:r w:rsidRPr="00B02BA3">
              <w:rPr>
                <w:sz w:val="16"/>
                <w:szCs w:val="16"/>
              </w:rPr>
              <w:tab/>
              <w:t xml:space="preserve"> — </w:t>
            </w:r>
          </w:p>
        </w:tc>
        <w:tc>
          <w:tcPr>
            <w:tcW w:w="236" w:type="dxa"/>
            <w:vAlign w:val="bottom"/>
          </w:tcPr>
          <w:p w14:paraId="078A495F" w14:textId="77777777" w:rsidR="00AC5C0C" w:rsidRPr="00B02BA3" w:rsidRDefault="00AC5C0C" w:rsidP="00922116">
            <w:pPr>
              <w:pStyle w:val="CellRowSpacer"/>
              <w:rPr>
                <w:sz w:val="16"/>
                <w:szCs w:val="16"/>
              </w:rPr>
            </w:pPr>
          </w:p>
        </w:tc>
      </w:tr>
      <w:tr w:rsidR="00AC5C0C" w:rsidRPr="00B02BA3" w14:paraId="39B1BC74" w14:textId="77777777" w:rsidTr="00922116">
        <w:tc>
          <w:tcPr>
            <w:tcW w:w="3163" w:type="dxa"/>
            <w:vAlign w:val="bottom"/>
          </w:tcPr>
          <w:p w14:paraId="6E4F9B2F" w14:textId="77777777" w:rsidR="00AC5C0C" w:rsidRPr="00B02BA3" w:rsidRDefault="00AC5C0C" w:rsidP="00922116">
            <w:pPr>
              <w:pStyle w:val="VSmCellBody"/>
              <w:tabs>
                <w:tab w:val="right" w:leader="dot" w:pos="3163"/>
              </w:tabs>
              <w:rPr>
                <w:sz w:val="16"/>
                <w:szCs w:val="16"/>
              </w:rPr>
            </w:pPr>
            <w:r w:rsidRPr="00B02BA3">
              <w:rPr>
                <w:rFonts w:eastAsia="SimSun"/>
                <w:sz w:val="16"/>
                <w:szCs w:val="16"/>
              </w:rPr>
              <w:t>Kathi Commercial</w:t>
            </w:r>
            <w:r w:rsidRPr="00B02BA3">
              <w:rPr>
                <w:rFonts w:eastAsia="SimSun"/>
                <w:sz w:val="16"/>
                <w:szCs w:val="16"/>
              </w:rPr>
              <w:tab/>
            </w:r>
          </w:p>
        </w:tc>
        <w:tc>
          <w:tcPr>
            <w:tcW w:w="236" w:type="dxa"/>
            <w:vAlign w:val="bottom"/>
          </w:tcPr>
          <w:p w14:paraId="7F0140CC" w14:textId="77777777" w:rsidR="00AC5C0C" w:rsidRPr="00B02BA3" w:rsidRDefault="00AC5C0C" w:rsidP="00922116">
            <w:pPr>
              <w:pStyle w:val="CellRowSpacer"/>
              <w:rPr>
                <w:sz w:val="16"/>
                <w:szCs w:val="16"/>
              </w:rPr>
            </w:pPr>
          </w:p>
        </w:tc>
        <w:tc>
          <w:tcPr>
            <w:tcW w:w="907" w:type="dxa"/>
            <w:vAlign w:val="bottom"/>
          </w:tcPr>
          <w:p w14:paraId="6E1FD382" w14:textId="77777777" w:rsidR="00AC5C0C" w:rsidRPr="00B02BA3" w:rsidRDefault="00AC5C0C" w:rsidP="00922116">
            <w:pPr>
              <w:pStyle w:val="VSmCellBody"/>
              <w:jc w:val="right"/>
              <w:rPr>
                <w:sz w:val="16"/>
                <w:szCs w:val="16"/>
              </w:rPr>
            </w:pPr>
            <w:r w:rsidRPr="00B02BA3">
              <w:rPr>
                <w:sz w:val="16"/>
                <w:szCs w:val="16"/>
              </w:rPr>
              <w:t> —</w:t>
            </w:r>
          </w:p>
        </w:tc>
        <w:tc>
          <w:tcPr>
            <w:tcW w:w="236" w:type="dxa"/>
            <w:vAlign w:val="bottom"/>
          </w:tcPr>
          <w:p w14:paraId="560216BD" w14:textId="77777777" w:rsidR="00AC5C0C" w:rsidRPr="00B02BA3" w:rsidRDefault="00AC5C0C" w:rsidP="00922116">
            <w:pPr>
              <w:pStyle w:val="CellRowSpacer"/>
              <w:jc w:val="right"/>
              <w:rPr>
                <w:sz w:val="16"/>
                <w:szCs w:val="16"/>
              </w:rPr>
            </w:pPr>
          </w:p>
        </w:tc>
        <w:tc>
          <w:tcPr>
            <w:tcW w:w="907" w:type="dxa"/>
            <w:vAlign w:val="bottom"/>
          </w:tcPr>
          <w:p w14:paraId="292F3BE2" w14:textId="77777777" w:rsidR="00AC5C0C" w:rsidRPr="00B02BA3" w:rsidRDefault="00AC5C0C" w:rsidP="00922116">
            <w:pPr>
              <w:pStyle w:val="VSmCellBody"/>
              <w:jc w:val="right"/>
              <w:rPr>
                <w:sz w:val="16"/>
                <w:szCs w:val="16"/>
              </w:rPr>
            </w:pPr>
            <w:r w:rsidRPr="00B02BA3">
              <w:rPr>
                <w:sz w:val="16"/>
                <w:szCs w:val="16"/>
              </w:rPr>
              <w:t>March 2025</w:t>
            </w:r>
          </w:p>
        </w:tc>
        <w:tc>
          <w:tcPr>
            <w:tcW w:w="236" w:type="dxa"/>
            <w:vAlign w:val="bottom"/>
          </w:tcPr>
          <w:p w14:paraId="1419242C" w14:textId="77777777" w:rsidR="00AC5C0C" w:rsidRPr="00B02BA3" w:rsidRDefault="00AC5C0C" w:rsidP="00922116">
            <w:pPr>
              <w:pStyle w:val="CellRowSpacer"/>
              <w:jc w:val="right"/>
              <w:rPr>
                <w:sz w:val="16"/>
                <w:szCs w:val="16"/>
              </w:rPr>
            </w:pPr>
          </w:p>
        </w:tc>
        <w:tc>
          <w:tcPr>
            <w:tcW w:w="907" w:type="dxa"/>
            <w:vAlign w:val="bottom"/>
          </w:tcPr>
          <w:p w14:paraId="238D6202" w14:textId="77777777" w:rsidR="00AC5C0C" w:rsidRPr="00B02BA3" w:rsidRDefault="00AC5C0C" w:rsidP="00922116">
            <w:pPr>
              <w:pStyle w:val="VSmCellBody"/>
              <w:jc w:val="right"/>
              <w:rPr>
                <w:sz w:val="16"/>
                <w:szCs w:val="16"/>
              </w:rPr>
            </w:pPr>
            <w:r w:rsidRPr="00B02BA3">
              <w:rPr>
                <w:sz w:val="16"/>
                <w:szCs w:val="16"/>
              </w:rPr>
              <w:t>March 2030</w:t>
            </w:r>
          </w:p>
        </w:tc>
        <w:tc>
          <w:tcPr>
            <w:tcW w:w="236" w:type="dxa"/>
            <w:vAlign w:val="bottom"/>
          </w:tcPr>
          <w:p w14:paraId="01F5BF25" w14:textId="77777777" w:rsidR="00AC5C0C" w:rsidRPr="00B02BA3" w:rsidRDefault="00AC5C0C" w:rsidP="00922116">
            <w:pPr>
              <w:pStyle w:val="CellRowSpacer"/>
              <w:jc w:val="right"/>
              <w:rPr>
                <w:sz w:val="16"/>
                <w:szCs w:val="16"/>
              </w:rPr>
            </w:pPr>
          </w:p>
        </w:tc>
        <w:tc>
          <w:tcPr>
            <w:tcW w:w="907" w:type="dxa"/>
            <w:vAlign w:val="bottom"/>
          </w:tcPr>
          <w:p w14:paraId="4BB2AECE" w14:textId="77777777" w:rsidR="00AC5C0C" w:rsidRPr="00B02BA3" w:rsidRDefault="00AC5C0C" w:rsidP="00922116">
            <w:pPr>
              <w:pStyle w:val="VSmCellBody"/>
              <w:jc w:val="right"/>
              <w:rPr>
                <w:sz w:val="16"/>
                <w:szCs w:val="16"/>
              </w:rPr>
            </w:pPr>
            <w:r w:rsidRPr="00B02BA3">
              <w:rPr>
                <w:sz w:val="16"/>
                <w:szCs w:val="16"/>
              </w:rPr>
              <w:t>5 years</w:t>
            </w:r>
          </w:p>
        </w:tc>
        <w:tc>
          <w:tcPr>
            <w:tcW w:w="236" w:type="dxa"/>
            <w:vAlign w:val="bottom"/>
          </w:tcPr>
          <w:p w14:paraId="20E8EFCE" w14:textId="77777777" w:rsidR="00AC5C0C" w:rsidRPr="00B02BA3" w:rsidRDefault="00AC5C0C" w:rsidP="00922116">
            <w:pPr>
              <w:pStyle w:val="CellRowSpacer"/>
              <w:jc w:val="right"/>
              <w:rPr>
                <w:sz w:val="16"/>
                <w:szCs w:val="16"/>
              </w:rPr>
            </w:pPr>
          </w:p>
        </w:tc>
        <w:tc>
          <w:tcPr>
            <w:tcW w:w="907" w:type="dxa"/>
            <w:vAlign w:val="bottom"/>
          </w:tcPr>
          <w:p w14:paraId="23446996" w14:textId="77777777" w:rsidR="00AC5C0C" w:rsidRPr="00B02BA3" w:rsidRDefault="00AC5C0C" w:rsidP="00922116">
            <w:pPr>
              <w:pStyle w:val="VSmCellBody"/>
              <w:jc w:val="right"/>
              <w:rPr>
                <w:sz w:val="16"/>
                <w:szCs w:val="16"/>
              </w:rPr>
            </w:pPr>
            <w:r w:rsidRPr="00B02BA3">
              <w:rPr>
                <w:sz w:val="16"/>
                <w:szCs w:val="16"/>
              </w:rPr>
              <w:t xml:space="preserve">— </w:t>
            </w:r>
          </w:p>
        </w:tc>
        <w:tc>
          <w:tcPr>
            <w:tcW w:w="236" w:type="dxa"/>
            <w:vAlign w:val="bottom"/>
          </w:tcPr>
          <w:p w14:paraId="1293585E" w14:textId="77777777" w:rsidR="00AC5C0C" w:rsidRPr="00B02BA3" w:rsidRDefault="00AC5C0C" w:rsidP="00922116">
            <w:pPr>
              <w:pStyle w:val="CellRowSpacer"/>
              <w:rPr>
                <w:sz w:val="16"/>
                <w:szCs w:val="16"/>
              </w:rPr>
            </w:pPr>
          </w:p>
        </w:tc>
      </w:tr>
      <w:bookmarkEnd w:id="10"/>
    </w:tbl>
    <w:p w14:paraId="729791B8" w14:textId="77777777" w:rsidR="00AC5C0C" w:rsidRDefault="00AC5C0C" w:rsidP="00AC5C0C">
      <w:pPr>
        <w:bidi/>
        <w:jc w:val="both"/>
        <w:rPr>
          <w:rFonts w:ascii="Traditional Arabic" w:hAnsi="Traditional Arabic" w:cs="Traditional Arabic"/>
          <w:b/>
          <w:sz w:val="30"/>
          <w:szCs w:val="30"/>
          <w:rtl/>
        </w:rPr>
      </w:pPr>
    </w:p>
    <w:p w14:paraId="3BBE290B" w14:textId="77777777" w:rsidR="00AC5C0C" w:rsidRDefault="00AC5C0C" w:rsidP="00AC5C0C">
      <w:pPr>
        <w:bidi/>
        <w:jc w:val="both"/>
        <w:rPr>
          <w:rFonts w:ascii="Traditional Arabic" w:hAnsi="Traditional Arabic" w:cs="Traditional Arabic"/>
          <w:b/>
          <w:sz w:val="30"/>
          <w:szCs w:val="30"/>
          <w:rtl/>
        </w:rPr>
      </w:pPr>
    </w:p>
    <w:p w14:paraId="093965BD" w14:textId="77777777" w:rsidR="00334534" w:rsidRPr="00985281" w:rsidRDefault="00607B02" w:rsidP="00AC5C0C">
      <w:pPr>
        <w:bidi/>
        <w:jc w:val="both"/>
        <w:rPr>
          <w:rFonts w:ascii="Traditional Arabic" w:hAnsi="Traditional Arabic" w:cs="Traditional Arabic"/>
          <w:bCs/>
          <w:sz w:val="30"/>
          <w:szCs w:val="30"/>
        </w:rPr>
      </w:pPr>
      <w:r>
        <w:rPr>
          <w:rFonts w:ascii="Traditional Arabic" w:hAnsi="Traditional Arabic" w:cs="Traditional Arabic"/>
          <w:bCs/>
          <w:sz w:val="30"/>
          <w:szCs w:val="30"/>
          <w:rtl/>
        </w:rPr>
        <w:t>نقل</w:t>
      </w:r>
      <w:r w:rsidR="00334534" w:rsidRPr="00985281">
        <w:rPr>
          <w:rFonts w:ascii="Traditional Arabic" w:hAnsi="Traditional Arabic" w:cs="Traditional Arabic"/>
          <w:bCs/>
          <w:sz w:val="30"/>
          <w:szCs w:val="30"/>
          <w:rtl/>
        </w:rPr>
        <w:t xml:space="preserve"> البضائع السائبة الجافة</w:t>
      </w:r>
    </w:p>
    <w:p w14:paraId="7A00B5DC"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يوفر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البضائع السائبة الجافة خدمات نقل لخام الحديد والألومنيوم والحبوب والفحم والمعادن والأسمدة. وقد بدأت الشركة في نقل العديد من هذه المنتجات في عام 2011. وحتى 30 سبتمبر 2024، كان أسطول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البضائع السائبة الجافة يتكون من أربع ناقلات نفط خام عملاقة، وثماني سفن ألتراماكس، وثلاث سفن سوبراماكس، وسفينتين هانديماكس وسفينة كامزارماكس، بسعة إجمالية تبلغ 2,434,842 طن ساكن. يوضح الجدول أدناه بعض المعلومات المتعلقة بناقلات السوائب الجافة التابعة للشركة حتى 30 سبتمبر 2024: </w:t>
      </w:r>
    </w:p>
    <w:p w14:paraId="084DAD97" w14:textId="77777777" w:rsidR="00334534" w:rsidRDefault="00334534" w:rsidP="00334534">
      <w:pPr>
        <w:bidi/>
        <w:jc w:val="both"/>
        <w:rPr>
          <w:rFonts w:ascii="Traditional Arabic" w:hAnsi="Traditional Arabic" w:cs="Traditional Arabic"/>
          <w:sz w:val="30"/>
          <w:szCs w:val="30"/>
          <w:rtl/>
        </w:rPr>
      </w:pPr>
    </w:p>
    <w:tbl>
      <w:tblPr>
        <w:tblW w:w="9114" w:type="dxa"/>
        <w:tblInd w:w="437" w:type="dxa"/>
        <w:tblLayout w:type="fixed"/>
        <w:tblCellMar>
          <w:left w:w="0" w:type="dxa"/>
          <w:right w:w="0" w:type="dxa"/>
        </w:tblCellMar>
        <w:tblLook w:val="0620" w:firstRow="1" w:lastRow="0" w:firstColumn="0" w:lastColumn="0" w:noHBand="1" w:noVBand="1"/>
      </w:tblPr>
      <w:tblGrid>
        <w:gridCol w:w="3163"/>
        <w:gridCol w:w="236"/>
        <w:gridCol w:w="907"/>
        <w:gridCol w:w="236"/>
        <w:gridCol w:w="907"/>
        <w:gridCol w:w="236"/>
        <w:gridCol w:w="907"/>
        <w:gridCol w:w="236"/>
        <w:gridCol w:w="745"/>
        <w:gridCol w:w="180"/>
        <w:gridCol w:w="1125"/>
        <w:gridCol w:w="236"/>
      </w:tblGrid>
      <w:tr w:rsidR="00AC5C0C" w:rsidRPr="00B02BA3" w14:paraId="06401D74" w14:textId="77777777" w:rsidTr="00922116">
        <w:trPr>
          <w:tblHeader/>
        </w:trPr>
        <w:tc>
          <w:tcPr>
            <w:tcW w:w="3163" w:type="dxa"/>
            <w:tcBorders>
              <w:bottom w:val="single" w:sz="4" w:space="0" w:color="auto"/>
            </w:tcBorders>
            <w:vAlign w:val="bottom"/>
          </w:tcPr>
          <w:p w14:paraId="2709264A" w14:textId="77777777" w:rsidR="00AC5C0C" w:rsidRPr="00B02BA3" w:rsidRDefault="00AC5C0C" w:rsidP="00922116">
            <w:pPr>
              <w:pStyle w:val="CellHead"/>
              <w:jc w:val="center"/>
              <w:rPr>
                <w:sz w:val="16"/>
                <w:szCs w:val="16"/>
              </w:rPr>
            </w:pPr>
            <w:r w:rsidRPr="00B02BA3">
              <w:rPr>
                <w:sz w:val="16"/>
                <w:szCs w:val="16"/>
              </w:rPr>
              <w:t>Vessel name</w:t>
            </w:r>
          </w:p>
        </w:tc>
        <w:tc>
          <w:tcPr>
            <w:tcW w:w="236" w:type="dxa"/>
            <w:vAlign w:val="bottom"/>
          </w:tcPr>
          <w:p w14:paraId="250EB3B6"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401103E4" w14:textId="77777777" w:rsidR="00AC5C0C" w:rsidRPr="00B02BA3" w:rsidRDefault="00AC5C0C" w:rsidP="00922116">
            <w:pPr>
              <w:pStyle w:val="CellHead"/>
              <w:jc w:val="center"/>
              <w:rPr>
                <w:sz w:val="16"/>
                <w:szCs w:val="16"/>
              </w:rPr>
            </w:pPr>
            <w:r w:rsidRPr="00B02BA3">
              <w:rPr>
                <w:sz w:val="16"/>
                <w:szCs w:val="16"/>
              </w:rPr>
              <w:t>Capacity (DWT)</w:t>
            </w:r>
          </w:p>
        </w:tc>
        <w:tc>
          <w:tcPr>
            <w:tcW w:w="236" w:type="dxa"/>
            <w:vAlign w:val="bottom"/>
          </w:tcPr>
          <w:p w14:paraId="67CF1333"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0E206F69" w14:textId="77777777" w:rsidR="00AC5C0C" w:rsidRPr="00B02BA3" w:rsidRDefault="00AC5C0C" w:rsidP="00922116">
            <w:pPr>
              <w:pStyle w:val="CellHead"/>
              <w:jc w:val="center"/>
              <w:rPr>
                <w:sz w:val="16"/>
                <w:szCs w:val="16"/>
              </w:rPr>
            </w:pPr>
            <w:r w:rsidRPr="00B02BA3">
              <w:rPr>
                <w:sz w:val="16"/>
                <w:szCs w:val="16"/>
              </w:rPr>
              <w:t>Vessel type</w:t>
            </w:r>
          </w:p>
        </w:tc>
        <w:tc>
          <w:tcPr>
            <w:tcW w:w="236" w:type="dxa"/>
            <w:vAlign w:val="bottom"/>
          </w:tcPr>
          <w:p w14:paraId="0D5EC77E"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0817F708" w14:textId="77777777" w:rsidR="00AC5C0C" w:rsidRPr="00B02BA3" w:rsidRDefault="00AC5C0C" w:rsidP="00922116">
            <w:pPr>
              <w:pStyle w:val="CellHead"/>
              <w:jc w:val="center"/>
              <w:rPr>
                <w:sz w:val="16"/>
                <w:szCs w:val="16"/>
              </w:rPr>
            </w:pPr>
            <w:r w:rsidRPr="00B02BA3">
              <w:rPr>
                <w:sz w:val="16"/>
                <w:szCs w:val="16"/>
              </w:rPr>
              <w:t>Ownership (%) / Charter-In Term (Expiry Year)</w:t>
            </w:r>
          </w:p>
        </w:tc>
        <w:tc>
          <w:tcPr>
            <w:tcW w:w="236" w:type="dxa"/>
            <w:vAlign w:val="bottom"/>
          </w:tcPr>
          <w:p w14:paraId="1A6CA19C" w14:textId="77777777" w:rsidR="00AC5C0C" w:rsidRPr="00B02BA3" w:rsidRDefault="00AC5C0C" w:rsidP="00922116">
            <w:pPr>
              <w:pStyle w:val="CellHead"/>
              <w:rPr>
                <w:sz w:val="16"/>
                <w:szCs w:val="16"/>
              </w:rPr>
            </w:pPr>
            <w:r w:rsidRPr="00B02BA3">
              <w:rPr>
                <w:bCs/>
                <w:sz w:val="16"/>
                <w:szCs w:val="16"/>
                <w:vertAlign w:val="superscript"/>
              </w:rPr>
              <w:t>(1)</w:t>
            </w:r>
          </w:p>
        </w:tc>
        <w:tc>
          <w:tcPr>
            <w:tcW w:w="745" w:type="dxa"/>
            <w:tcBorders>
              <w:bottom w:val="single" w:sz="4" w:space="0" w:color="auto"/>
            </w:tcBorders>
            <w:vAlign w:val="bottom"/>
          </w:tcPr>
          <w:p w14:paraId="54809DE2" w14:textId="77777777" w:rsidR="00AC5C0C" w:rsidRPr="00B02BA3" w:rsidRDefault="00AC5C0C" w:rsidP="00922116">
            <w:pPr>
              <w:pStyle w:val="CellHead"/>
              <w:jc w:val="center"/>
              <w:rPr>
                <w:sz w:val="16"/>
                <w:szCs w:val="16"/>
              </w:rPr>
            </w:pPr>
            <w:r w:rsidRPr="00B02BA3">
              <w:rPr>
                <w:sz w:val="16"/>
                <w:szCs w:val="16"/>
              </w:rPr>
              <w:t>Year built</w:t>
            </w:r>
          </w:p>
        </w:tc>
        <w:tc>
          <w:tcPr>
            <w:tcW w:w="180" w:type="dxa"/>
            <w:vAlign w:val="bottom"/>
          </w:tcPr>
          <w:p w14:paraId="6535DA7D" w14:textId="77777777" w:rsidR="00AC5C0C" w:rsidRPr="00B02BA3" w:rsidRDefault="00AC5C0C" w:rsidP="00922116">
            <w:pPr>
              <w:pStyle w:val="CellHead"/>
              <w:jc w:val="center"/>
              <w:rPr>
                <w:sz w:val="16"/>
                <w:szCs w:val="16"/>
              </w:rPr>
            </w:pPr>
          </w:p>
        </w:tc>
        <w:tc>
          <w:tcPr>
            <w:tcW w:w="1125" w:type="dxa"/>
            <w:tcBorders>
              <w:bottom w:val="single" w:sz="4" w:space="0" w:color="auto"/>
            </w:tcBorders>
            <w:vAlign w:val="bottom"/>
          </w:tcPr>
          <w:p w14:paraId="5E0BE31F" w14:textId="77777777" w:rsidR="00AC5C0C" w:rsidRPr="00B02BA3" w:rsidRDefault="00AC5C0C" w:rsidP="00922116">
            <w:pPr>
              <w:pStyle w:val="CellHead"/>
              <w:jc w:val="center"/>
              <w:rPr>
                <w:sz w:val="16"/>
                <w:szCs w:val="16"/>
              </w:rPr>
            </w:pPr>
            <w:r w:rsidRPr="00B02BA3">
              <w:rPr>
                <w:sz w:val="16"/>
                <w:szCs w:val="16"/>
              </w:rPr>
              <w:t>Flag</w:t>
            </w:r>
          </w:p>
        </w:tc>
        <w:tc>
          <w:tcPr>
            <w:tcW w:w="236" w:type="dxa"/>
            <w:vAlign w:val="bottom"/>
          </w:tcPr>
          <w:p w14:paraId="091503D1" w14:textId="77777777" w:rsidR="00AC5C0C" w:rsidRPr="00B02BA3" w:rsidRDefault="00AC5C0C" w:rsidP="00922116">
            <w:pPr>
              <w:pStyle w:val="CellHead"/>
              <w:rPr>
                <w:sz w:val="16"/>
                <w:szCs w:val="16"/>
              </w:rPr>
            </w:pPr>
          </w:p>
        </w:tc>
      </w:tr>
      <w:tr w:rsidR="00AC5C0C" w:rsidRPr="00B02BA3" w14:paraId="313C4C28" w14:textId="77777777" w:rsidTr="00922116">
        <w:tc>
          <w:tcPr>
            <w:tcW w:w="3163" w:type="dxa"/>
            <w:vAlign w:val="bottom"/>
          </w:tcPr>
          <w:p w14:paraId="64B6AB47" w14:textId="77777777" w:rsidR="00AC5C0C" w:rsidRPr="00B02BA3" w:rsidRDefault="00AC5C0C" w:rsidP="00922116">
            <w:pPr>
              <w:pStyle w:val="VSmCellBody"/>
              <w:tabs>
                <w:tab w:val="right" w:leader="dot" w:pos="3163"/>
              </w:tabs>
              <w:rPr>
                <w:b/>
                <w:bCs/>
                <w:sz w:val="16"/>
                <w:szCs w:val="16"/>
              </w:rPr>
            </w:pPr>
            <w:r w:rsidRPr="00B02BA3">
              <w:rPr>
                <w:b/>
                <w:bCs/>
                <w:sz w:val="16"/>
                <w:szCs w:val="16"/>
              </w:rPr>
              <w:t>Owned</w:t>
            </w:r>
          </w:p>
        </w:tc>
        <w:tc>
          <w:tcPr>
            <w:tcW w:w="236" w:type="dxa"/>
            <w:vAlign w:val="bottom"/>
          </w:tcPr>
          <w:p w14:paraId="4ED5AF37" w14:textId="77777777" w:rsidR="00AC5C0C" w:rsidRPr="00B02BA3" w:rsidRDefault="00AC5C0C" w:rsidP="00922116">
            <w:pPr>
              <w:pStyle w:val="CellRowSpacer"/>
              <w:rPr>
                <w:sz w:val="16"/>
                <w:szCs w:val="16"/>
              </w:rPr>
            </w:pPr>
          </w:p>
        </w:tc>
        <w:tc>
          <w:tcPr>
            <w:tcW w:w="907" w:type="dxa"/>
            <w:tcBorders>
              <w:top w:val="single" w:sz="4" w:space="0" w:color="auto"/>
            </w:tcBorders>
            <w:vAlign w:val="bottom"/>
          </w:tcPr>
          <w:p w14:paraId="76AFA473" w14:textId="77777777" w:rsidR="00AC5C0C" w:rsidRPr="00B02BA3" w:rsidRDefault="00AC5C0C" w:rsidP="00922116">
            <w:pPr>
              <w:pStyle w:val="VSmCellBody"/>
              <w:jc w:val="right"/>
              <w:rPr>
                <w:sz w:val="16"/>
                <w:szCs w:val="16"/>
              </w:rPr>
            </w:pPr>
          </w:p>
        </w:tc>
        <w:tc>
          <w:tcPr>
            <w:tcW w:w="236" w:type="dxa"/>
            <w:vAlign w:val="bottom"/>
          </w:tcPr>
          <w:p w14:paraId="4B44B6F4" w14:textId="77777777" w:rsidR="00AC5C0C" w:rsidRPr="00B02BA3" w:rsidRDefault="00AC5C0C" w:rsidP="00922116">
            <w:pPr>
              <w:pStyle w:val="CellRowSpacer"/>
              <w:rPr>
                <w:sz w:val="16"/>
                <w:szCs w:val="16"/>
              </w:rPr>
            </w:pPr>
          </w:p>
        </w:tc>
        <w:tc>
          <w:tcPr>
            <w:tcW w:w="907" w:type="dxa"/>
            <w:tcBorders>
              <w:top w:val="single" w:sz="4" w:space="0" w:color="auto"/>
            </w:tcBorders>
            <w:vAlign w:val="bottom"/>
          </w:tcPr>
          <w:p w14:paraId="262B8D21" w14:textId="77777777" w:rsidR="00AC5C0C" w:rsidRPr="00B02BA3" w:rsidRDefault="00AC5C0C" w:rsidP="00922116">
            <w:pPr>
              <w:pStyle w:val="VSmCellBody"/>
              <w:jc w:val="right"/>
              <w:rPr>
                <w:sz w:val="16"/>
                <w:szCs w:val="16"/>
              </w:rPr>
            </w:pPr>
          </w:p>
        </w:tc>
        <w:tc>
          <w:tcPr>
            <w:tcW w:w="236" w:type="dxa"/>
            <w:vAlign w:val="bottom"/>
          </w:tcPr>
          <w:p w14:paraId="6FD1E056" w14:textId="77777777" w:rsidR="00AC5C0C" w:rsidRPr="00B02BA3" w:rsidRDefault="00AC5C0C" w:rsidP="00922116">
            <w:pPr>
              <w:pStyle w:val="CellRowSpacer"/>
              <w:rPr>
                <w:sz w:val="16"/>
                <w:szCs w:val="16"/>
              </w:rPr>
            </w:pPr>
          </w:p>
        </w:tc>
        <w:tc>
          <w:tcPr>
            <w:tcW w:w="907" w:type="dxa"/>
            <w:tcBorders>
              <w:top w:val="single" w:sz="4" w:space="0" w:color="auto"/>
            </w:tcBorders>
            <w:vAlign w:val="bottom"/>
          </w:tcPr>
          <w:p w14:paraId="619829AB" w14:textId="77777777" w:rsidR="00AC5C0C" w:rsidRPr="00B02BA3" w:rsidRDefault="00AC5C0C" w:rsidP="00922116">
            <w:pPr>
              <w:pStyle w:val="VSmCellBody"/>
              <w:jc w:val="right"/>
              <w:rPr>
                <w:sz w:val="16"/>
                <w:szCs w:val="16"/>
              </w:rPr>
            </w:pPr>
          </w:p>
        </w:tc>
        <w:tc>
          <w:tcPr>
            <w:tcW w:w="236" w:type="dxa"/>
            <w:vAlign w:val="bottom"/>
          </w:tcPr>
          <w:p w14:paraId="25836AA7" w14:textId="77777777" w:rsidR="00AC5C0C" w:rsidRPr="00B02BA3" w:rsidRDefault="00AC5C0C" w:rsidP="00922116">
            <w:pPr>
              <w:pStyle w:val="CellRowSpacer"/>
              <w:rPr>
                <w:sz w:val="16"/>
                <w:szCs w:val="16"/>
              </w:rPr>
            </w:pPr>
          </w:p>
        </w:tc>
        <w:tc>
          <w:tcPr>
            <w:tcW w:w="745" w:type="dxa"/>
            <w:tcBorders>
              <w:top w:val="single" w:sz="4" w:space="0" w:color="auto"/>
            </w:tcBorders>
            <w:vAlign w:val="bottom"/>
          </w:tcPr>
          <w:p w14:paraId="3D9F40DD" w14:textId="77777777" w:rsidR="00AC5C0C" w:rsidRPr="00B02BA3" w:rsidRDefault="00AC5C0C" w:rsidP="00922116">
            <w:pPr>
              <w:pStyle w:val="VSmCellBody"/>
              <w:jc w:val="right"/>
              <w:rPr>
                <w:sz w:val="16"/>
                <w:szCs w:val="16"/>
              </w:rPr>
            </w:pPr>
          </w:p>
        </w:tc>
        <w:tc>
          <w:tcPr>
            <w:tcW w:w="180" w:type="dxa"/>
            <w:vAlign w:val="bottom"/>
          </w:tcPr>
          <w:p w14:paraId="218840F8" w14:textId="77777777" w:rsidR="00AC5C0C" w:rsidRPr="00B02BA3" w:rsidRDefault="00AC5C0C" w:rsidP="00922116">
            <w:pPr>
              <w:pStyle w:val="CellRowSpacer"/>
              <w:rPr>
                <w:sz w:val="16"/>
                <w:szCs w:val="16"/>
              </w:rPr>
            </w:pPr>
          </w:p>
        </w:tc>
        <w:tc>
          <w:tcPr>
            <w:tcW w:w="1125" w:type="dxa"/>
            <w:vAlign w:val="bottom"/>
          </w:tcPr>
          <w:p w14:paraId="0331260A" w14:textId="77777777" w:rsidR="00AC5C0C" w:rsidRPr="00B02BA3" w:rsidRDefault="00AC5C0C" w:rsidP="00922116">
            <w:pPr>
              <w:pStyle w:val="VSmCellBody"/>
              <w:jc w:val="right"/>
              <w:rPr>
                <w:sz w:val="16"/>
                <w:szCs w:val="16"/>
              </w:rPr>
            </w:pPr>
          </w:p>
        </w:tc>
        <w:tc>
          <w:tcPr>
            <w:tcW w:w="236" w:type="dxa"/>
            <w:vAlign w:val="bottom"/>
          </w:tcPr>
          <w:p w14:paraId="0F8D0D1A" w14:textId="77777777" w:rsidR="00AC5C0C" w:rsidRPr="00B02BA3" w:rsidRDefault="00AC5C0C" w:rsidP="00922116">
            <w:pPr>
              <w:pStyle w:val="CellRowSpacer"/>
              <w:rPr>
                <w:sz w:val="16"/>
                <w:szCs w:val="16"/>
              </w:rPr>
            </w:pPr>
          </w:p>
        </w:tc>
      </w:tr>
      <w:tr w:rsidR="00AC5C0C" w:rsidRPr="00B02BA3" w14:paraId="76815C86" w14:textId="77777777" w:rsidTr="00922116">
        <w:tc>
          <w:tcPr>
            <w:tcW w:w="3163" w:type="dxa"/>
            <w:vAlign w:val="bottom"/>
          </w:tcPr>
          <w:p w14:paraId="71425D5D" w14:textId="77777777" w:rsidR="00AC5C0C" w:rsidRPr="00B02BA3" w:rsidRDefault="00AC5C0C" w:rsidP="00922116">
            <w:pPr>
              <w:pStyle w:val="VSmCellBody"/>
              <w:tabs>
                <w:tab w:val="right" w:leader="dot" w:pos="3163"/>
              </w:tabs>
              <w:rPr>
                <w:sz w:val="16"/>
                <w:szCs w:val="16"/>
              </w:rPr>
            </w:pPr>
            <w:r w:rsidRPr="00B02BA3">
              <w:rPr>
                <w:sz w:val="16"/>
                <w:szCs w:val="16"/>
              </w:rPr>
              <w:lastRenderedPageBreak/>
              <w:t>Liwa Max</w:t>
            </w:r>
            <w:r w:rsidRPr="00B02BA3">
              <w:rPr>
                <w:rFonts w:eastAsia="SimSun"/>
                <w:sz w:val="16"/>
                <w:szCs w:val="16"/>
              </w:rPr>
              <w:tab/>
            </w:r>
          </w:p>
        </w:tc>
        <w:tc>
          <w:tcPr>
            <w:tcW w:w="236" w:type="dxa"/>
            <w:vAlign w:val="bottom"/>
          </w:tcPr>
          <w:p w14:paraId="1A04B9E4" w14:textId="77777777" w:rsidR="00AC5C0C" w:rsidRPr="00B02BA3" w:rsidRDefault="00AC5C0C" w:rsidP="00922116">
            <w:pPr>
              <w:pStyle w:val="CellRowSpacer"/>
              <w:rPr>
                <w:sz w:val="16"/>
                <w:szCs w:val="16"/>
              </w:rPr>
            </w:pPr>
          </w:p>
        </w:tc>
        <w:tc>
          <w:tcPr>
            <w:tcW w:w="907" w:type="dxa"/>
            <w:vAlign w:val="bottom"/>
          </w:tcPr>
          <w:p w14:paraId="425C121B" w14:textId="77777777" w:rsidR="00AC5C0C" w:rsidRPr="00B02BA3" w:rsidRDefault="00AC5C0C" w:rsidP="00922116">
            <w:pPr>
              <w:pStyle w:val="VSmCellBody"/>
              <w:jc w:val="right"/>
              <w:rPr>
                <w:sz w:val="16"/>
                <w:szCs w:val="16"/>
              </w:rPr>
            </w:pPr>
            <w:r w:rsidRPr="00B02BA3">
              <w:rPr>
                <w:sz w:val="16"/>
                <w:szCs w:val="16"/>
              </w:rPr>
              <w:t>400,315</w:t>
            </w:r>
          </w:p>
        </w:tc>
        <w:tc>
          <w:tcPr>
            <w:tcW w:w="236" w:type="dxa"/>
            <w:vAlign w:val="bottom"/>
          </w:tcPr>
          <w:p w14:paraId="612F6B13" w14:textId="77777777" w:rsidR="00AC5C0C" w:rsidRPr="00B02BA3" w:rsidRDefault="00AC5C0C" w:rsidP="00922116">
            <w:pPr>
              <w:pStyle w:val="CellRowSpacer"/>
              <w:rPr>
                <w:sz w:val="16"/>
                <w:szCs w:val="16"/>
              </w:rPr>
            </w:pPr>
          </w:p>
        </w:tc>
        <w:tc>
          <w:tcPr>
            <w:tcW w:w="907" w:type="dxa"/>
            <w:vAlign w:val="bottom"/>
          </w:tcPr>
          <w:p w14:paraId="732BACDD" w14:textId="77777777" w:rsidR="00AC5C0C" w:rsidRPr="00B02BA3" w:rsidRDefault="00AC5C0C" w:rsidP="00922116">
            <w:pPr>
              <w:pStyle w:val="VSmCellBody"/>
              <w:jc w:val="right"/>
              <w:rPr>
                <w:sz w:val="16"/>
                <w:szCs w:val="16"/>
              </w:rPr>
            </w:pPr>
            <w:r w:rsidRPr="00B02BA3">
              <w:rPr>
                <w:sz w:val="16"/>
                <w:szCs w:val="16"/>
              </w:rPr>
              <w:t>VLOC</w:t>
            </w:r>
          </w:p>
        </w:tc>
        <w:tc>
          <w:tcPr>
            <w:tcW w:w="236" w:type="dxa"/>
            <w:vAlign w:val="bottom"/>
          </w:tcPr>
          <w:p w14:paraId="6D9388E0" w14:textId="77777777" w:rsidR="00AC5C0C" w:rsidRPr="00B02BA3" w:rsidRDefault="00AC5C0C" w:rsidP="00922116">
            <w:pPr>
              <w:pStyle w:val="CellRowSpacer"/>
              <w:rPr>
                <w:sz w:val="16"/>
                <w:szCs w:val="16"/>
              </w:rPr>
            </w:pPr>
          </w:p>
        </w:tc>
        <w:tc>
          <w:tcPr>
            <w:tcW w:w="907" w:type="dxa"/>
            <w:vAlign w:val="bottom"/>
          </w:tcPr>
          <w:p w14:paraId="4FF6FD79"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5166EDC9" w14:textId="77777777" w:rsidR="00AC5C0C" w:rsidRPr="00B02BA3" w:rsidRDefault="00AC5C0C" w:rsidP="00922116">
            <w:pPr>
              <w:pStyle w:val="CellRowSpacer"/>
              <w:rPr>
                <w:sz w:val="16"/>
                <w:szCs w:val="16"/>
              </w:rPr>
            </w:pPr>
          </w:p>
        </w:tc>
        <w:tc>
          <w:tcPr>
            <w:tcW w:w="745" w:type="dxa"/>
            <w:vAlign w:val="bottom"/>
          </w:tcPr>
          <w:p w14:paraId="74BD2842" w14:textId="77777777" w:rsidR="00AC5C0C" w:rsidRPr="00B02BA3" w:rsidRDefault="00AC5C0C" w:rsidP="00922116">
            <w:pPr>
              <w:pStyle w:val="VSmCellBody"/>
              <w:jc w:val="right"/>
              <w:rPr>
                <w:sz w:val="16"/>
                <w:szCs w:val="16"/>
              </w:rPr>
            </w:pPr>
            <w:r w:rsidRPr="00B02BA3">
              <w:rPr>
                <w:sz w:val="16"/>
                <w:szCs w:val="16"/>
              </w:rPr>
              <w:t>2012</w:t>
            </w:r>
          </w:p>
        </w:tc>
        <w:tc>
          <w:tcPr>
            <w:tcW w:w="180" w:type="dxa"/>
            <w:vAlign w:val="bottom"/>
          </w:tcPr>
          <w:p w14:paraId="17BE6FEE" w14:textId="77777777" w:rsidR="00AC5C0C" w:rsidRPr="00B02BA3" w:rsidRDefault="00AC5C0C" w:rsidP="00922116">
            <w:pPr>
              <w:pStyle w:val="CellRowSpacer"/>
              <w:rPr>
                <w:sz w:val="16"/>
                <w:szCs w:val="16"/>
              </w:rPr>
            </w:pPr>
          </w:p>
        </w:tc>
        <w:tc>
          <w:tcPr>
            <w:tcW w:w="1125" w:type="dxa"/>
            <w:vAlign w:val="bottom"/>
          </w:tcPr>
          <w:p w14:paraId="7FD8ABFD"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364B0165" w14:textId="77777777" w:rsidR="00AC5C0C" w:rsidRPr="00B02BA3" w:rsidRDefault="00AC5C0C" w:rsidP="00922116">
            <w:pPr>
              <w:pStyle w:val="CellRowSpacer"/>
              <w:rPr>
                <w:sz w:val="16"/>
                <w:szCs w:val="16"/>
              </w:rPr>
            </w:pPr>
          </w:p>
        </w:tc>
      </w:tr>
      <w:tr w:rsidR="00AC5C0C" w:rsidRPr="00B02BA3" w14:paraId="381A9F14" w14:textId="77777777" w:rsidTr="00922116">
        <w:tc>
          <w:tcPr>
            <w:tcW w:w="3163" w:type="dxa"/>
            <w:vAlign w:val="bottom"/>
          </w:tcPr>
          <w:p w14:paraId="5BC782E7" w14:textId="77777777" w:rsidR="00AC5C0C" w:rsidRPr="00B02BA3" w:rsidRDefault="00AC5C0C" w:rsidP="00922116">
            <w:pPr>
              <w:pStyle w:val="VSmCellBody"/>
              <w:tabs>
                <w:tab w:val="right" w:leader="dot" w:pos="3163"/>
              </w:tabs>
              <w:rPr>
                <w:sz w:val="16"/>
                <w:szCs w:val="16"/>
              </w:rPr>
            </w:pPr>
            <w:r w:rsidRPr="00B02BA3">
              <w:rPr>
                <w:sz w:val="16"/>
                <w:szCs w:val="16"/>
              </w:rPr>
              <w:t>Sohar Max</w:t>
            </w:r>
            <w:r w:rsidRPr="00B02BA3">
              <w:rPr>
                <w:rFonts w:eastAsia="SimSun"/>
                <w:sz w:val="16"/>
                <w:szCs w:val="16"/>
              </w:rPr>
              <w:tab/>
            </w:r>
          </w:p>
        </w:tc>
        <w:tc>
          <w:tcPr>
            <w:tcW w:w="236" w:type="dxa"/>
            <w:vAlign w:val="bottom"/>
          </w:tcPr>
          <w:p w14:paraId="0FF5CC6F" w14:textId="77777777" w:rsidR="00AC5C0C" w:rsidRPr="00B02BA3" w:rsidRDefault="00AC5C0C" w:rsidP="00922116">
            <w:pPr>
              <w:pStyle w:val="CellRowSpacer"/>
              <w:rPr>
                <w:sz w:val="16"/>
                <w:szCs w:val="16"/>
              </w:rPr>
            </w:pPr>
          </w:p>
        </w:tc>
        <w:tc>
          <w:tcPr>
            <w:tcW w:w="907" w:type="dxa"/>
            <w:vAlign w:val="bottom"/>
          </w:tcPr>
          <w:p w14:paraId="63B0831B" w14:textId="77777777" w:rsidR="00AC5C0C" w:rsidRPr="00B02BA3" w:rsidRDefault="00AC5C0C" w:rsidP="00922116">
            <w:pPr>
              <w:pStyle w:val="VSmCellBody"/>
              <w:jc w:val="right"/>
              <w:rPr>
                <w:sz w:val="16"/>
                <w:szCs w:val="16"/>
              </w:rPr>
            </w:pPr>
            <w:r w:rsidRPr="00B02BA3">
              <w:rPr>
                <w:sz w:val="16"/>
                <w:szCs w:val="16"/>
              </w:rPr>
              <w:t>400,315</w:t>
            </w:r>
          </w:p>
        </w:tc>
        <w:tc>
          <w:tcPr>
            <w:tcW w:w="236" w:type="dxa"/>
            <w:vAlign w:val="bottom"/>
          </w:tcPr>
          <w:p w14:paraId="05A29946" w14:textId="77777777" w:rsidR="00AC5C0C" w:rsidRPr="00B02BA3" w:rsidRDefault="00AC5C0C" w:rsidP="00922116">
            <w:pPr>
              <w:pStyle w:val="CellRowSpacer"/>
              <w:rPr>
                <w:sz w:val="16"/>
                <w:szCs w:val="16"/>
              </w:rPr>
            </w:pPr>
          </w:p>
        </w:tc>
        <w:tc>
          <w:tcPr>
            <w:tcW w:w="907" w:type="dxa"/>
            <w:vAlign w:val="bottom"/>
          </w:tcPr>
          <w:p w14:paraId="49DECC93" w14:textId="77777777" w:rsidR="00AC5C0C" w:rsidRPr="00B02BA3" w:rsidRDefault="00AC5C0C" w:rsidP="00922116">
            <w:pPr>
              <w:pStyle w:val="VSmCellBody"/>
              <w:jc w:val="right"/>
              <w:rPr>
                <w:sz w:val="16"/>
                <w:szCs w:val="16"/>
              </w:rPr>
            </w:pPr>
            <w:r w:rsidRPr="00B02BA3">
              <w:rPr>
                <w:sz w:val="16"/>
                <w:szCs w:val="16"/>
              </w:rPr>
              <w:t>VLOC</w:t>
            </w:r>
          </w:p>
        </w:tc>
        <w:tc>
          <w:tcPr>
            <w:tcW w:w="236" w:type="dxa"/>
            <w:vAlign w:val="bottom"/>
          </w:tcPr>
          <w:p w14:paraId="035AFB72" w14:textId="77777777" w:rsidR="00AC5C0C" w:rsidRPr="00B02BA3" w:rsidRDefault="00AC5C0C" w:rsidP="00922116">
            <w:pPr>
              <w:pStyle w:val="CellRowSpacer"/>
              <w:rPr>
                <w:sz w:val="16"/>
                <w:szCs w:val="16"/>
              </w:rPr>
            </w:pPr>
          </w:p>
        </w:tc>
        <w:tc>
          <w:tcPr>
            <w:tcW w:w="907" w:type="dxa"/>
            <w:vAlign w:val="bottom"/>
          </w:tcPr>
          <w:p w14:paraId="546D084C"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75E43B2D" w14:textId="77777777" w:rsidR="00AC5C0C" w:rsidRPr="00B02BA3" w:rsidRDefault="00AC5C0C" w:rsidP="00922116">
            <w:pPr>
              <w:pStyle w:val="CellRowSpacer"/>
              <w:rPr>
                <w:sz w:val="16"/>
                <w:szCs w:val="16"/>
              </w:rPr>
            </w:pPr>
          </w:p>
        </w:tc>
        <w:tc>
          <w:tcPr>
            <w:tcW w:w="745" w:type="dxa"/>
            <w:vAlign w:val="bottom"/>
          </w:tcPr>
          <w:p w14:paraId="4FBF18F2" w14:textId="77777777" w:rsidR="00AC5C0C" w:rsidRPr="00B02BA3" w:rsidRDefault="00AC5C0C" w:rsidP="00922116">
            <w:pPr>
              <w:pStyle w:val="VSmCellBody"/>
              <w:jc w:val="right"/>
              <w:rPr>
                <w:sz w:val="16"/>
                <w:szCs w:val="16"/>
              </w:rPr>
            </w:pPr>
            <w:r w:rsidRPr="00B02BA3">
              <w:rPr>
                <w:sz w:val="16"/>
                <w:szCs w:val="16"/>
              </w:rPr>
              <w:t>2012</w:t>
            </w:r>
          </w:p>
        </w:tc>
        <w:tc>
          <w:tcPr>
            <w:tcW w:w="180" w:type="dxa"/>
            <w:vAlign w:val="bottom"/>
          </w:tcPr>
          <w:p w14:paraId="712CCF75" w14:textId="77777777" w:rsidR="00AC5C0C" w:rsidRPr="00B02BA3" w:rsidRDefault="00AC5C0C" w:rsidP="00922116">
            <w:pPr>
              <w:pStyle w:val="CellRowSpacer"/>
              <w:rPr>
                <w:sz w:val="16"/>
                <w:szCs w:val="16"/>
              </w:rPr>
            </w:pPr>
          </w:p>
        </w:tc>
        <w:tc>
          <w:tcPr>
            <w:tcW w:w="1125" w:type="dxa"/>
            <w:vAlign w:val="bottom"/>
          </w:tcPr>
          <w:p w14:paraId="5F1FA9A6"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5CBC1FBE" w14:textId="77777777" w:rsidR="00AC5C0C" w:rsidRPr="00B02BA3" w:rsidRDefault="00AC5C0C" w:rsidP="00922116">
            <w:pPr>
              <w:pStyle w:val="CellRowSpacer"/>
              <w:rPr>
                <w:sz w:val="16"/>
                <w:szCs w:val="16"/>
              </w:rPr>
            </w:pPr>
          </w:p>
        </w:tc>
      </w:tr>
      <w:tr w:rsidR="00AC5C0C" w:rsidRPr="00B02BA3" w14:paraId="2149DDAE" w14:textId="77777777" w:rsidTr="00922116">
        <w:tc>
          <w:tcPr>
            <w:tcW w:w="3163" w:type="dxa"/>
            <w:vAlign w:val="bottom"/>
          </w:tcPr>
          <w:p w14:paraId="7055A10C" w14:textId="77777777" w:rsidR="00AC5C0C" w:rsidRPr="00B02BA3" w:rsidRDefault="00AC5C0C" w:rsidP="00922116">
            <w:pPr>
              <w:pStyle w:val="VSmCellBody"/>
              <w:tabs>
                <w:tab w:val="right" w:leader="dot" w:pos="3163"/>
              </w:tabs>
              <w:rPr>
                <w:sz w:val="16"/>
                <w:szCs w:val="16"/>
              </w:rPr>
            </w:pPr>
            <w:r w:rsidRPr="00B02BA3">
              <w:rPr>
                <w:sz w:val="16"/>
                <w:szCs w:val="16"/>
              </w:rPr>
              <w:t>Saham Max</w:t>
            </w:r>
            <w:r w:rsidRPr="00B02BA3">
              <w:rPr>
                <w:rFonts w:eastAsia="SimSun"/>
                <w:sz w:val="16"/>
                <w:szCs w:val="16"/>
              </w:rPr>
              <w:tab/>
            </w:r>
          </w:p>
        </w:tc>
        <w:tc>
          <w:tcPr>
            <w:tcW w:w="236" w:type="dxa"/>
            <w:vAlign w:val="bottom"/>
          </w:tcPr>
          <w:p w14:paraId="201040F2" w14:textId="77777777" w:rsidR="00AC5C0C" w:rsidRPr="00B02BA3" w:rsidRDefault="00AC5C0C" w:rsidP="00922116">
            <w:pPr>
              <w:pStyle w:val="CellRowSpacer"/>
              <w:rPr>
                <w:sz w:val="16"/>
                <w:szCs w:val="16"/>
              </w:rPr>
            </w:pPr>
          </w:p>
        </w:tc>
        <w:tc>
          <w:tcPr>
            <w:tcW w:w="907" w:type="dxa"/>
            <w:vAlign w:val="bottom"/>
          </w:tcPr>
          <w:p w14:paraId="2A9859DC" w14:textId="77777777" w:rsidR="00AC5C0C" w:rsidRPr="00B02BA3" w:rsidRDefault="00AC5C0C" w:rsidP="00922116">
            <w:pPr>
              <w:pStyle w:val="VSmCellBody"/>
              <w:jc w:val="right"/>
              <w:rPr>
                <w:sz w:val="16"/>
                <w:szCs w:val="16"/>
              </w:rPr>
            </w:pPr>
            <w:r w:rsidRPr="00B02BA3">
              <w:rPr>
                <w:sz w:val="16"/>
                <w:szCs w:val="16"/>
              </w:rPr>
              <w:t>400,</w:t>
            </w:r>
            <w:r w:rsidR="00B6386B">
              <w:rPr>
                <w:sz w:val="16"/>
                <w:szCs w:val="16"/>
              </w:rPr>
              <w:t>694</w:t>
            </w:r>
          </w:p>
        </w:tc>
        <w:tc>
          <w:tcPr>
            <w:tcW w:w="236" w:type="dxa"/>
            <w:vAlign w:val="bottom"/>
          </w:tcPr>
          <w:p w14:paraId="31BC0D83" w14:textId="77777777" w:rsidR="00AC5C0C" w:rsidRPr="00B02BA3" w:rsidRDefault="00AC5C0C" w:rsidP="00922116">
            <w:pPr>
              <w:pStyle w:val="CellRowSpacer"/>
              <w:rPr>
                <w:sz w:val="16"/>
                <w:szCs w:val="16"/>
              </w:rPr>
            </w:pPr>
          </w:p>
        </w:tc>
        <w:tc>
          <w:tcPr>
            <w:tcW w:w="907" w:type="dxa"/>
            <w:vAlign w:val="bottom"/>
          </w:tcPr>
          <w:p w14:paraId="165F2419" w14:textId="77777777" w:rsidR="00AC5C0C" w:rsidRPr="00B02BA3" w:rsidRDefault="00AC5C0C" w:rsidP="00922116">
            <w:pPr>
              <w:pStyle w:val="VSmCellBody"/>
              <w:jc w:val="right"/>
              <w:rPr>
                <w:sz w:val="16"/>
                <w:szCs w:val="16"/>
              </w:rPr>
            </w:pPr>
            <w:r w:rsidRPr="00B02BA3">
              <w:rPr>
                <w:sz w:val="16"/>
                <w:szCs w:val="16"/>
              </w:rPr>
              <w:t>VLOC</w:t>
            </w:r>
          </w:p>
        </w:tc>
        <w:tc>
          <w:tcPr>
            <w:tcW w:w="236" w:type="dxa"/>
            <w:vAlign w:val="bottom"/>
          </w:tcPr>
          <w:p w14:paraId="5AF88DD3" w14:textId="77777777" w:rsidR="00AC5C0C" w:rsidRPr="00B02BA3" w:rsidRDefault="00AC5C0C" w:rsidP="00922116">
            <w:pPr>
              <w:pStyle w:val="CellRowSpacer"/>
              <w:rPr>
                <w:sz w:val="16"/>
                <w:szCs w:val="16"/>
              </w:rPr>
            </w:pPr>
          </w:p>
        </w:tc>
        <w:tc>
          <w:tcPr>
            <w:tcW w:w="907" w:type="dxa"/>
            <w:vAlign w:val="bottom"/>
          </w:tcPr>
          <w:p w14:paraId="0C65C114"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36ACE58C" w14:textId="77777777" w:rsidR="00AC5C0C" w:rsidRPr="00B02BA3" w:rsidRDefault="00AC5C0C" w:rsidP="00922116">
            <w:pPr>
              <w:pStyle w:val="CellRowSpacer"/>
              <w:rPr>
                <w:sz w:val="16"/>
                <w:szCs w:val="16"/>
              </w:rPr>
            </w:pPr>
          </w:p>
        </w:tc>
        <w:tc>
          <w:tcPr>
            <w:tcW w:w="745" w:type="dxa"/>
            <w:vAlign w:val="bottom"/>
          </w:tcPr>
          <w:p w14:paraId="21EEF810" w14:textId="77777777" w:rsidR="00AC5C0C" w:rsidRPr="00B02BA3" w:rsidRDefault="00AC5C0C" w:rsidP="00922116">
            <w:pPr>
              <w:pStyle w:val="VSmCellBody"/>
              <w:jc w:val="right"/>
              <w:rPr>
                <w:sz w:val="16"/>
                <w:szCs w:val="16"/>
              </w:rPr>
            </w:pPr>
            <w:r w:rsidRPr="00B02BA3">
              <w:rPr>
                <w:sz w:val="16"/>
                <w:szCs w:val="16"/>
              </w:rPr>
              <w:t>2013</w:t>
            </w:r>
          </w:p>
        </w:tc>
        <w:tc>
          <w:tcPr>
            <w:tcW w:w="180" w:type="dxa"/>
            <w:vAlign w:val="bottom"/>
          </w:tcPr>
          <w:p w14:paraId="67AF4D3C" w14:textId="77777777" w:rsidR="00AC5C0C" w:rsidRPr="00B02BA3" w:rsidRDefault="00AC5C0C" w:rsidP="00922116">
            <w:pPr>
              <w:pStyle w:val="CellRowSpacer"/>
              <w:rPr>
                <w:sz w:val="16"/>
                <w:szCs w:val="16"/>
              </w:rPr>
            </w:pPr>
          </w:p>
        </w:tc>
        <w:tc>
          <w:tcPr>
            <w:tcW w:w="1125" w:type="dxa"/>
            <w:vAlign w:val="bottom"/>
          </w:tcPr>
          <w:p w14:paraId="4B32E551"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7A942B31" w14:textId="77777777" w:rsidR="00AC5C0C" w:rsidRPr="00B02BA3" w:rsidRDefault="00AC5C0C" w:rsidP="00922116">
            <w:pPr>
              <w:pStyle w:val="CellRowSpacer"/>
              <w:rPr>
                <w:sz w:val="16"/>
                <w:szCs w:val="16"/>
              </w:rPr>
            </w:pPr>
          </w:p>
        </w:tc>
      </w:tr>
      <w:tr w:rsidR="00AC5C0C" w:rsidRPr="00B02BA3" w14:paraId="61303418" w14:textId="77777777" w:rsidTr="00922116">
        <w:tc>
          <w:tcPr>
            <w:tcW w:w="3163" w:type="dxa"/>
            <w:vAlign w:val="bottom"/>
          </w:tcPr>
          <w:p w14:paraId="29CA1ED3" w14:textId="77777777" w:rsidR="00AC5C0C" w:rsidRPr="00B02BA3" w:rsidRDefault="00AC5C0C" w:rsidP="00922116">
            <w:pPr>
              <w:pStyle w:val="VSmCellBody"/>
              <w:tabs>
                <w:tab w:val="right" w:leader="dot" w:pos="3163"/>
              </w:tabs>
              <w:rPr>
                <w:sz w:val="16"/>
                <w:szCs w:val="16"/>
              </w:rPr>
            </w:pPr>
            <w:r w:rsidRPr="00B02BA3">
              <w:rPr>
                <w:sz w:val="16"/>
                <w:szCs w:val="16"/>
              </w:rPr>
              <w:t>Shinas Max</w:t>
            </w:r>
            <w:r w:rsidRPr="00B02BA3">
              <w:rPr>
                <w:rFonts w:eastAsia="SimSun"/>
                <w:sz w:val="16"/>
                <w:szCs w:val="16"/>
              </w:rPr>
              <w:tab/>
            </w:r>
          </w:p>
        </w:tc>
        <w:tc>
          <w:tcPr>
            <w:tcW w:w="236" w:type="dxa"/>
            <w:vAlign w:val="bottom"/>
          </w:tcPr>
          <w:p w14:paraId="4A0D4A7C" w14:textId="77777777" w:rsidR="00AC5C0C" w:rsidRPr="00B02BA3" w:rsidRDefault="00AC5C0C" w:rsidP="00922116">
            <w:pPr>
              <w:pStyle w:val="CellRowSpacer"/>
              <w:rPr>
                <w:sz w:val="16"/>
                <w:szCs w:val="16"/>
              </w:rPr>
            </w:pPr>
          </w:p>
        </w:tc>
        <w:tc>
          <w:tcPr>
            <w:tcW w:w="907" w:type="dxa"/>
            <w:vAlign w:val="bottom"/>
          </w:tcPr>
          <w:p w14:paraId="7AEF5BF9" w14:textId="77777777" w:rsidR="00AC5C0C" w:rsidRPr="00B02BA3" w:rsidRDefault="00AC5C0C" w:rsidP="00922116">
            <w:pPr>
              <w:pStyle w:val="VSmCellBody"/>
              <w:jc w:val="right"/>
              <w:rPr>
                <w:sz w:val="16"/>
                <w:szCs w:val="16"/>
              </w:rPr>
            </w:pPr>
            <w:r w:rsidRPr="00B02BA3">
              <w:rPr>
                <w:sz w:val="16"/>
                <w:szCs w:val="16"/>
              </w:rPr>
              <w:t>400,</w:t>
            </w:r>
            <w:r w:rsidR="00B6386B">
              <w:rPr>
                <w:sz w:val="16"/>
                <w:szCs w:val="16"/>
              </w:rPr>
              <w:t>285</w:t>
            </w:r>
          </w:p>
        </w:tc>
        <w:tc>
          <w:tcPr>
            <w:tcW w:w="236" w:type="dxa"/>
            <w:vAlign w:val="bottom"/>
          </w:tcPr>
          <w:p w14:paraId="4BA852FF" w14:textId="77777777" w:rsidR="00AC5C0C" w:rsidRPr="00B02BA3" w:rsidRDefault="00AC5C0C" w:rsidP="00922116">
            <w:pPr>
              <w:pStyle w:val="CellRowSpacer"/>
              <w:rPr>
                <w:sz w:val="16"/>
                <w:szCs w:val="16"/>
              </w:rPr>
            </w:pPr>
          </w:p>
        </w:tc>
        <w:tc>
          <w:tcPr>
            <w:tcW w:w="907" w:type="dxa"/>
            <w:vAlign w:val="bottom"/>
          </w:tcPr>
          <w:p w14:paraId="1384DE13" w14:textId="77777777" w:rsidR="00AC5C0C" w:rsidRPr="00B02BA3" w:rsidRDefault="00AC5C0C" w:rsidP="00922116">
            <w:pPr>
              <w:pStyle w:val="VSmCellBody"/>
              <w:jc w:val="right"/>
              <w:rPr>
                <w:sz w:val="16"/>
                <w:szCs w:val="16"/>
              </w:rPr>
            </w:pPr>
            <w:r w:rsidRPr="00B02BA3">
              <w:rPr>
                <w:sz w:val="16"/>
                <w:szCs w:val="16"/>
              </w:rPr>
              <w:t>VLOC</w:t>
            </w:r>
          </w:p>
        </w:tc>
        <w:tc>
          <w:tcPr>
            <w:tcW w:w="236" w:type="dxa"/>
            <w:vAlign w:val="bottom"/>
          </w:tcPr>
          <w:p w14:paraId="6B4845C8" w14:textId="77777777" w:rsidR="00AC5C0C" w:rsidRPr="00B02BA3" w:rsidRDefault="00AC5C0C" w:rsidP="00922116">
            <w:pPr>
              <w:pStyle w:val="CellRowSpacer"/>
              <w:rPr>
                <w:sz w:val="16"/>
                <w:szCs w:val="16"/>
              </w:rPr>
            </w:pPr>
          </w:p>
        </w:tc>
        <w:tc>
          <w:tcPr>
            <w:tcW w:w="907" w:type="dxa"/>
            <w:vAlign w:val="bottom"/>
          </w:tcPr>
          <w:p w14:paraId="4EAA036A"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6B51D9CA" w14:textId="77777777" w:rsidR="00AC5C0C" w:rsidRPr="00B02BA3" w:rsidRDefault="00AC5C0C" w:rsidP="00922116">
            <w:pPr>
              <w:pStyle w:val="CellRowSpacer"/>
              <w:rPr>
                <w:sz w:val="16"/>
                <w:szCs w:val="16"/>
              </w:rPr>
            </w:pPr>
          </w:p>
        </w:tc>
        <w:tc>
          <w:tcPr>
            <w:tcW w:w="745" w:type="dxa"/>
            <w:vAlign w:val="bottom"/>
          </w:tcPr>
          <w:p w14:paraId="3E1D03E2" w14:textId="77777777" w:rsidR="00AC5C0C" w:rsidRPr="00B02BA3" w:rsidRDefault="00AC5C0C" w:rsidP="00922116">
            <w:pPr>
              <w:pStyle w:val="VSmCellBody"/>
              <w:jc w:val="right"/>
              <w:rPr>
                <w:sz w:val="16"/>
                <w:szCs w:val="16"/>
              </w:rPr>
            </w:pPr>
            <w:r w:rsidRPr="00B02BA3">
              <w:rPr>
                <w:sz w:val="16"/>
                <w:szCs w:val="16"/>
              </w:rPr>
              <w:t>2013</w:t>
            </w:r>
          </w:p>
        </w:tc>
        <w:tc>
          <w:tcPr>
            <w:tcW w:w="180" w:type="dxa"/>
            <w:vAlign w:val="bottom"/>
          </w:tcPr>
          <w:p w14:paraId="7A2AC559" w14:textId="77777777" w:rsidR="00AC5C0C" w:rsidRPr="00B02BA3" w:rsidRDefault="00AC5C0C" w:rsidP="00922116">
            <w:pPr>
              <w:pStyle w:val="CellRowSpacer"/>
              <w:rPr>
                <w:sz w:val="16"/>
                <w:szCs w:val="16"/>
              </w:rPr>
            </w:pPr>
          </w:p>
        </w:tc>
        <w:tc>
          <w:tcPr>
            <w:tcW w:w="1125" w:type="dxa"/>
            <w:vAlign w:val="bottom"/>
          </w:tcPr>
          <w:p w14:paraId="55E1D5C6"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53D3033E" w14:textId="77777777" w:rsidR="00AC5C0C" w:rsidRPr="00B02BA3" w:rsidRDefault="00AC5C0C" w:rsidP="00922116">
            <w:pPr>
              <w:pStyle w:val="CellRowSpacer"/>
              <w:rPr>
                <w:sz w:val="16"/>
                <w:szCs w:val="16"/>
              </w:rPr>
            </w:pPr>
          </w:p>
        </w:tc>
      </w:tr>
      <w:tr w:rsidR="00AC5C0C" w:rsidRPr="00B02BA3" w14:paraId="626F6046" w14:textId="77777777" w:rsidTr="00922116">
        <w:tc>
          <w:tcPr>
            <w:tcW w:w="3163" w:type="dxa"/>
            <w:vAlign w:val="bottom"/>
          </w:tcPr>
          <w:p w14:paraId="114B5D01" w14:textId="77777777" w:rsidR="00AC5C0C" w:rsidRPr="00B02BA3" w:rsidRDefault="00AC5C0C" w:rsidP="00922116">
            <w:pPr>
              <w:pStyle w:val="VSmCellBody"/>
              <w:tabs>
                <w:tab w:val="right" w:leader="dot" w:pos="3163"/>
              </w:tabs>
              <w:rPr>
                <w:sz w:val="16"/>
                <w:szCs w:val="16"/>
              </w:rPr>
            </w:pPr>
            <w:r w:rsidRPr="00B02BA3">
              <w:rPr>
                <w:sz w:val="16"/>
                <w:szCs w:val="16"/>
              </w:rPr>
              <w:t xml:space="preserve">Jabal Al </w:t>
            </w:r>
            <w:proofErr w:type="spellStart"/>
            <w:r w:rsidRPr="00B02BA3">
              <w:rPr>
                <w:sz w:val="16"/>
                <w:szCs w:val="16"/>
              </w:rPr>
              <w:t>Misht</w:t>
            </w:r>
            <w:proofErr w:type="spellEnd"/>
            <w:r w:rsidRPr="00B02BA3">
              <w:rPr>
                <w:rFonts w:eastAsia="SimSun"/>
                <w:sz w:val="16"/>
                <w:szCs w:val="16"/>
              </w:rPr>
              <w:tab/>
            </w:r>
          </w:p>
        </w:tc>
        <w:tc>
          <w:tcPr>
            <w:tcW w:w="236" w:type="dxa"/>
            <w:vAlign w:val="bottom"/>
          </w:tcPr>
          <w:p w14:paraId="133BB281" w14:textId="77777777" w:rsidR="00AC5C0C" w:rsidRPr="00B02BA3" w:rsidRDefault="00AC5C0C" w:rsidP="00922116">
            <w:pPr>
              <w:pStyle w:val="CellRowSpacer"/>
              <w:rPr>
                <w:sz w:val="16"/>
                <w:szCs w:val="16"/>
              </w:rPr>
            </w:pPr>
          </w:p>
        </w:tc>
        <w:tc>
          <w:tcPr>
            <w:tcW w:w="907" w:type="dxa"/>
            <w:vAlign w:val="bottom"/>
          </w:tcPr>
          <w:p w14:paraId="743BA8BF" w14:textId="77777777" w:rsidR="00AC5C0C" w:rsidRPr="00B02BA3" w:rsidRDefault="00AC5C0C" w:rsidP="00922116">
            <w:pPr>
              <w:pStyle w:val="VSmCellBody"/>
              <w:jc w:val="right"/>
              <w:rPr>
                <w:sz w:val="16"/>
                <w:szCs w:val="16"/>
              </w:rPr>
            </w:pPr>
            <w:r w:rsidRPr="00B02BA3">
              <w:rPr>
                <w:sz w:val="16"/>
                <w:szCs w:val="16"/>
              </w:rPr>
              <w:t>63,192</w:t>
            </w:r>
          </w:p>
        </w:tc>
        <w:tc>
          <w:tcPr>
            <w:tcW w:w="236" w:type="dxa"/>
            <w:vAlign w:val="bottom"/>
          </w:tcPr>
          <w:p w14:paraId="2FC595D5" w14:textId="77777777" w:rsidR="00AC5C0C" w:rsidRPr="00B02BA3" w:rsidRDefault="00AC5C0C" w:rsidP="00922116">
            <w:pPr>
              <w:pStyle w:val="CellRowSpacer"/>
              <w:rPr>
                <w:sz w:val="16"/>
                <w:szCs w:val="16"/>
              </w:rPr>
            </w:pPr>
          </w:p>
        </w:tc>
        <w:tc>
          <w:tcPr>
            <w:tcW w:w="907" w:type="dxa"/>
            <w:vAlign w:val="bottom"/>
          </w:tcPr>
          <w:p w14:paraId="4A11DC54" w14:textId="77777777" w:rsidR="00AC5C0C" w:rsidRPr="00B02BA3" w:rsidRDefault="00AC5C0C" w:rsidP="00922116">
            <w:pPr>
              <w:pStyle w:val="VSmCellBody"/>
              <w:jc w:val="right"/>
              <w:rPr>
                <w:sz w:val="16"/>
                <w:szCs w:val="16"/>
              </w:rPr>
            </w:pPr>
            <w:proofErr w:type="spellStart"/>
            <w:r w:rsidRPr="00B02BA3">
              <w:rPr>
                <w:sz w:val="16"/>
                <w:szCs w:val="16"/>
              </w:rPr>
              <w:t>Ultramax</w:t>
            </w:r>
            <w:proofErr w:type="spellEnd"/>
          </w:p>
        </w:tc>
        <w:tc>
          <w:tcPr>
            <w:tcW w:w="236" w:type="dxa"/>
            <w:vAlign w:val="bottom"/>
          </w:tcPr>
          <w:p w14:paraId="2A3E5517" w14:textId="77777777" w:rsidR="00AC5C0C" w:rsidRPr="00B02BA3" w:rsidRDefault="00AC5C0C" w:rsidP="00922116">
            <w:pPr>
              <w:pStyle w:val="CellRowSpacer"/>
              <w:rPr>
                <w:sz w:val="16"/>
                <w:szCs w:val="16"/>
              </w:rPr>
            </w:pPr>
          </w:p>
        </w:tc>
        <w:tc>
          <w:tcPr>
            <w:tcW w:w="907" w:type="dxa"/>
            <w:vAlign w:val="bottom"/>
          </w:tcPr>
          <w:p w14:paraId="34530D47"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71311FED" w14:textId="77777777" w:rsidR="00AC5C0C" w:rsidRPr="00B02BA3" w:rsidRDefault="00AC5C0C" w:rsidP="00922116">
            <w:pPr>
              <w:pStyle w:val="CellRowSpacer"/>
              <w:rPr>
                <w:sz w:val="16"/>
                <w:szCs w:val="16"/>
              </w:rPr>
            </w:pPr>
          </w:p>
        </w:tc>
        <w:tc>
          <w:tcPr>
            <w:tcW w:w="745" w:type="dxa"/>
            <w:vAlign w:val="bottom"/>
          </w:tcPr>
          <w:p w14:paraId="04A2BDB7" w14:textId="77777777" w:rsidR="00AC5C0C" w:rsidRPr="00B02BA3" w:rsidDel="00CD6878" w:rsidRDefault="00AC5C0C" w:rsidP="00922116">
            <w:pPr>
              <w:pStyle w:val="VSmCellBody"/>
              <w:jc w:val="right"/>
              <w:rPr>
                <w:sz w:val="16"/>
                <w:szCs w:val="16"/>
              </w:rPr>
            </w:pPr>
            <w:r w:rsidRPr="00B02BA3">
              <w:rPr>
                <w:sz w:val="16"/>
                <w:szCs w:val="16"/>
              </w:rPr>
              <w:t>2019</w:t>
            </w:r>
          </w:p>
        </w:tc>
        <w:tc>
          <w:tcPr>
            <w:tcW w:w="180" w:type="dxa"/>
            <w:vAlign w:val="bottom"/>
          </w:tcPr>
          <w:p w14:paraId="7254B745" w14:textId="77777777" w:rsidR="00AC5C0C" w:rsidRPr="00B02BA3" w:rsidRDefault="00AC5C0C" w:rsidP="00922116">
            <w:pPr>
              <w:pStyle w:val="CellRowSpacer"/>
              <w:rPr>
                <w:sz w:val="16"/>
                <w:szCs w:val="16"/>
              </w:rPr>
            </w:pPr>
          </w:p>
        </w:tc>
        <w:tc>
          <w:tcPr>
            <w:tcW w:w="1125" w:type="dxa"/>
            <w:vAlign w:val="bottom"/>
          </w:tcPr>
          <w:p w14:paraId="3707CF33"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41A49831" w14:textId="77777777" w:rsidR="00AC5C0C" w:rsidRPr="00B02BA3" w:rsidRDefault="00AC5C0C" w:rsidP="00922116">
            <w:pPr>
              <w:pStyle w:val="CellRowSpacer"/>
              <w:rPr>
                <w:sz w:val="16"/>
                <w:szCs w:val="16"/>
              </w:rPr>
            </w:pPr>
          </w:p>
        </w:tc>
      </w:tr>
      <w:tr w:rsidR="00AC5C0C" w:rsidRPr="00B02BA3" w14:paraId="6F27124F" w14:textId="77777777" w:rsidTr="00922116">
        <w:tc>
          <w:tcPr>
            <w:tcW w:w="3163" w:type="dxa"/>
            <w:vAlign w:val="bottom"/>
          </w:tcPr>
          <w:p w14:paraId="65CD3A6A" w14:textId="77777777" w:rsidR="00AC5C0C" w:rsidRPr="00B02BA3" w:rsidRDefault="00AC5C0C" w:rsidP="00922116">
            <w:pPr>
              <w:pStyle w:val="VSmCellBody"/>
              <w:tabs>
                <w:tab w:val="right" w:leader="dot" w:pos="3163"/>
              </w:tabs>
              <w:rPr>
                <w:sz w:val="16"/>
                <w:szCs w:val="16"/>
              </w:rPr>
            </w:pPr>
            <w:r w:rsidRPr="00B02BA3">
              <w:rPr>
                <w:sz w:val="16"/>
                <w:szCs w:val="16"/>
              </w:rPr>
              <w:t>Jabal Shams</w:t>
            </w:r>
            <w:r w:rsidRPr="00B02BA3">
              <w:rPr>
                <w:rFonts w:eastAsia="SimSun"/>
                <w:sz w:val="16"/>
                <w:szCs w:val="16"/>
              </w:rPr>
              <w:tab/>
            </w:r>
          </w:p>
        </w:tc>
        <w:tc>
          <w:tcPr>
            <w:tcW w:w="236" w:type="dxa"/>
            <w:vAlign w:val="bottom"/>
          </w:tcPr>
          <w:p w14:paraId="0D46DE4F" w14:textId="77777777" w:rsidR="00AC5C0C" w:rsidRPr="00B02BA3" w:rsidRDefault="00AC5C0C" w:rsidP="00922116">
            <w:pPr>
              <w:pStyle w:val="CellRowSpacer"/>
              <w:rPr>
                <w:sz w:val="16"/>
                <w:szCs w:val="16"/>
              </w:rPr>
            </w:pPr>
          </w:p>
        </w:tc>
        <w:tc>
          <w:tcPr>
            <w:tcW w:w="907" w:type="dxa"/>
            <w:vAlign w:val="bottom"/>
          </w:tcPr>
          <w:p w14:paraId="72CB4274" w14:textId="77777777" w:rsidR="00AC5C0C" w:rsidRPr="00B02BA3" w:rsidRDefault="00AC5C0C" w:rsidP="00922116">
            <w:pPr>
              <w:pStyle w:val="VSmCellBody"/>
              <w:jc w:val="right"/>
              <w:rPr>
                <w:sz w:val="16"/>
                <w:szCs w:val="16"/>
              </w:rPr>
            </w:pPr>
            <w:r w:rsidRPr="00B02BA3">
              <w:rPr>
                <w:sz w:val="16"/>
                <w:szCs w:val="16"/>
              </w:rPr>
              <w:t>63,192</w:t>
            </w:r>
          </w:p>
        </w:tc>
        <w:tc>
          <w:tcPr>
            <w:tcW w:w="236" w:type="dxa"/>
            <w:vAlign w:val="bottom"/>
          </w:tcPr>
          <w:p w14:paraId="7AC16076" w14:textId="77777777" w:rsidR="00AC5C0C" w:rsidRPr="00B02BA3" w:rsidRDefault="00AC5C0C" w:rsidP="00922116">
            <w:pPr>
              <w:pStyle w:val="CellRowSpacer"/>
              <w:rPr>
                <w:sz w:val="16"/>
                <w:szCs w:val="16"/>
              </w:rPr>
            </w:pPr>
          </w:p>
        </w:tc>
        <w:tc>
          <w:tcPr>
            <w:tcW w:w="907" w:type="dxa"/>
            <w:vAlign w:val="bottom"/>
          </w:tcPr>
          <w:p w14:paraId="679E86AD" w14:textId="77777777" w:rsidR="00AC5C0C" w:rsidRPr="00B02BA3" w:rsidRDefault="00AC5C0C" w:rsidP="00922116">
            <w:pPr>
              <w:pStyle w:val="VSmCellBody"/>
              <w:jc w:val="right"/>
              <w:rPr>
                <w:sz w:val="16"/>
                <w:szCs w:val="16"/>
              </w:rPr>
            </w:pPr>
            <w:proofErr w:type="spellStart"/>
            <w:r w:rsidRPr="00B02BA3">
              <w:rPr>
                <w:sz w:val="16"/>
                <w:szCs w:val="16"/>
              </w:rPr>
              <w:t>Ultramax</w:t>
            </w:r>
            <w:proofErr w:type="spellEnd"/>
          </w:p>
        </w:tc>
        <w:tc>
          <w:tcPr>
            <w:tcW w:w="236" w:type="dxa"/>
            <w:vAlign w:val="bottom"/>
          </w:tcPr>
          <w:p w14:paraId="47A185C5" w14:textId="77777777" w:rsidR="00AC5C0C" w:rsidRPr="00B02BA3" w:rsidRDefault="00AC5C0C" w:rsidP="00922116">
            <w:pPr>
              <w:pStyle w:val="CellRowSpacer"/>
              <w:rPr>
                <w:sz w:val="16"/>
                <w:szCs w:val="16"/>
              </w:rPr>
            </w:pPr>
          </w:p>
        </w:tc>
        <w:tc>
          <w:tcPr>
            <w:tcW w:w="907" w:type="dxa"/>
            <w:vAlign w:val="bottom"/>
          </w:tcPr>
          <w:p w14:paraId="1A95B820"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7CC56A21" w14:textId="77777777" w:rsidR="00AC5C0C" w:rsidRPr="00B02BA3" w:rsidRDefault="00AC5C0C" w:rsidP="00922116">
            <w:pPr>
              <w:pStyle w:val="CellRowSpacer"/>
              <w:rPr>
                <w:sz w:val="16"/>
                <w:szCs w:val="16"/>
              </w:rPr>
            </w:pPr>
          </w:p>
        </w:tc>
        <w:tc>
          <w:tcPr>
            <w:tcW w:w="745" w:type="dxa"/>
            <w:vAlign w:val="bottom"/>
          </w:tcPr>
          <w:p w14:paraId="3C857145" w14:textId="77777777" w:rsidR="00AC5C0C" w:rsidRPr="00B02BA3" w:rsidDel="00CD6878" w:rsidRDefault="00AC5C0C" w:rsidP="00922116">
            <w:pPr>
              <w:pStyle w:val="VSmCellBody"/>
              <w:jc w:val="right"/>
              <w:rPr>
                <w:sz w:val="16"/>
                <w:szCs w:val="16"/>
              </w:rPr>
            </w:pPr>
            <w:r w:rsidRPr="00B02BA3">
              <w:rPr>
                <w:sz w:val="16"/>
                <w:szCs w:val="16"/>
              </w:rPr>
              <w:t>2019</w:t>
            </w:r>
          </w:p>
        </w:tc>
        <w:tc>
          <w:tcPr>
            <w:tcW w:w="180" w:type="dxa"/>
            <w:vAlign w:val="bottom"/>
          </w:tcPr>
          <w:p w14:paraId="66573284" w14:textId="77777777" w:rsidR="00AC5C0C" w:rsidRPr="00B02BA3" w:rsidRDefault="00AC5C0C" w:rsidP="00922116">
            <w:pPr>
              <w:pStyle w:val="CellRowSpacer"/>
              <w:rPr>
                <w:sz w:val="16"/>
                <w:szCs w:val="16"/>
              </w:rPr>
            </w:pPr>
          </w:p>
        </w:tc>
        <w:tc>
          <w:tcPr>
            <w:tcW w:w="1125" w:type="dxa"/>
            <w:vAlign w:val="bottom"/>
          </w:tcPr>
          <w:p w14:paraId="3A39D29C"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575190A6" w14:textId="77777777" w:rsidR="00AC5C0C" w:rsidRPr="00B02BA3" w:rsidRDefault="00AC5C0C" w:rsidP="00922116">
            <w:pPr>
              <w:pStyle w:val="CellRowSpacer"/>
              <w:rPr>
                <w:sz w:val="16"/>
                <w:szCs w:val="16"/>
              </w:rPr>
            </w:pPr>
          </w:p>
        </w:tc>
      </w:tr>
      <w:tr w:rsidR="00AC5C0C" w:rsidRPr="00B02BA3" w14:paraId="6A02E911" w14:textId="77777777" w:rsidTr="00922116">
        <w:tc>
          <w:tcPr>
            <w:tcW w:w="3163" w:type="dxa"/>
            <w:vAlign w:val="bottom"/>
          </w:tcPr>
          <w:p w14:paraId="48F65104" w14:textId="77777777" w:rsidR="00AC5C0C" w:rsidRPr="00B02BA3" w:rsidRDefault="00AC5C0C" w:rsidP="00922116">
            <w:pPr>
              <w:pStyle w:val="VSmCellBody"/>
              <w:tabs>
                <w:tab w:val="right" w:leader="dot" w:pos="3163"/>
              </w:tabs>
              <w:rPr>
                <w:sz w:val="16"/>
                <w:szCs w:val="16"/>
              </w:rPr>
            </w:pPr>
            <w:r w:rsidRPr="00B02BA3">
              <w:rPr>
                <w:sz w:val="16"/>
                <w:szCs w:val="16"/>
              </w:rPr>
              <w:t>Jabal Alkawr</w:t>
            </w:r>
            <w:r w:rsidRPr="00B02BA3">
              <w:rPr>
                <w:rFonts w:eastAsia="SimSun"/>
                <w:sz w:val="16"/>
                <w:szCs w:val="16"/>
              </w:rPr>
              <w:tab/>
            </w:r>
          </w:p>
        </w:tc>
        <w:tc>
          <w:tcPr>
            <w:tcW w:w="236" w:type="dxa"/>
            <w:vAlign w:val="bottom"/>
          </w:tcPr>
          <w:p w14:paraId="2C8EEB15" w14:textId="77777777" w:rsidR="00AC5C0C" w:rsidRPr="00B02BA3" w:rsidRDefault="00AC5C0C" w:rsidP="00922116">
            <w:pPr>
              <w:pStyle w:val="CellRowSpacer"/>
              <w:rPr>
                <w:sz w:val="16"/>
                <w:szCs w:val="16"/>
              </w:rPr>
            </w:pPr>
          </w:p>
        </w:tc>
        <w:tc>
          <w:tcPr>
            <w:tcW w:w="907" w:type="dxa"/>
            <w:vAlign w:val="bottom"/>
          </w:tcPr>
          <w:p w14:paraId="01DD5C4D" w14:textId="77777777" w:rsidR="00AC5C0C" w:rsidRPr="00B02BA3" w:rsidRDefault="00AC5C0C" w:rsidP="00922116">
            <w:pPr>
              <w:pStyle w:val="VSmCellBody"/>
              <w:jc w:val="right"/>
              <w:rPr>
                <w:sz w:val="16"/>
                <w:szCs w:val="16"/>
              </w:rPr>
            </w:pPr>
            <w:r w:rsidRPr="00B02BA3">
              <w:rPr>
                <w:sz w:val="16"/>
                <w:szCs w:val="16"/>
              </w:rPr>
              <w:t>63,581</w:t>
            </w:r>
          </w:p>
        </w:tc>
        <w:tc>
          <w:tcPr>
            <w:tcW w:w="236" w:type="dxa"/>
            <w:vAlign w:val="bottom"/>
          </w:tcPr>
          <w:p w14:paraId="242A9705" w14:textId="77777777" w:rsidR="00AC5C0C" w:rsidRPr="00B02BA3" w:rsidRDefault="00AC5C0C" w:rsidP="00922116">
            <w:pPr>
              <w:pStyle w:val="CellRowSpacer"/>
              <w:rPr>
                <w:sz w:val="16"/>
                <w:szCs w:val="16"/>
              </w:rPr>
            </w:pPr>
          </w:p>
        </w:tc>
        <w:tc>
          <w:tcPr>
            <w:tcW w:w="907" w:type="dxa"/>
            <w:vAlign w:val="bottom"/>
          </w:tcPr>
          <w:p w14:paraId="10F05245" w14:textId="77777777" w:rsidR="00AC5C0C" w:rsidRPr="00B02BA3" w:rsidRDefault="00AC5C0C" w:rsidP="00922116">
            <w:pPr>
              <w:pStyle w:val="VSmCellBody"/>
              <w:jc w:val="right"/>
              <w:rPr>
                <w:sz w:val="16"/>
                <w:szCs w:val="16"/>
              </w:rPr>
            </w:pPr>
            <w:proofErr w:type="spellStart"/>
            <w:r w:rsidRPr="00B02BA3">
              <w:rPr>
                <w:sz w:val="16"/>
                <w:szCs w:val="16"/>
              </w:rPr>
              <w:t>Ultramax</w:t>
            </w:r>
            <w:proofErr w:type="spellEnd"/>
          </w:p>
        </w:tc>
        <w:tc>
          <w:tcPr>
            <w:tcW w:w="236" w:type="dxa"/>
            <w:vAlign w:val="bottom"/>
          </w:tcPr>
          <w:p w14:paraId="6E90D510" w14:textId="77777777" w:rsidR="00AC5C0C" w:rsidRPr="00B02BA3" w:rsidRDefault="00AC5C0C" w:rsidP="00922116">
            <w:pPr>
              <w:pStyle w:val="CellRowSpacer"/>
              <w:rPr>
                <w:sz w:val="16"/>
                <w:szCs w:val="16"/>
              </w:rPr>
            </w:pPr>
          </w:p>
        </w:tc>
        <w:tc>
          <w:tcPr>
            <w:tcW w:w="907" w:type="dxa"/>
            <w:vAlign w:val="bottom"/>
          </w:tcPr>
          <w:p w14:paraId="454AC943"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6117F252" w14:textId="77777777" w:rsidR="00AC5C0C" w:rsidRPr="00B02BA3" w:rsidRDefault="00AC5C0C" w:rsidP="00922116">
            <w:pPr>
              <w:pStyle w:val="CellRowSpacer"/>
              <w:rPr>
                <w:sz w:val="16"/>
                <w:szCs w:val="16"/>
              </w:rPr>
            </w:pPr>
          </w:p>
        </w:tc>
        <w:tc>
          <w:tcPr>
            <w:tcW w:w="745" w:type="dxa"/>
            <w:vAlign w:val="bottom"/>
          </w:tcPr>
          <w:p w14:paraId="6EB80B9A" w14:textId="77777777" w:rsidR="00AC5C0C" w:rsidRPr="00B02BA3" w:rsidDel="00CD6878" w:rsidRDefault="00AC5C0C" w:rsidP="00922116">
            <w:pPr>
              <w:pStyle w:val="VSmCellBody"/>
              <w:jc w:val="right"/>
              <w:rPr>
                <w:sz w:val="16"/>
                <w:szCs w:val="16"/>
              </w:rPr>
            </w:pPr>
            <w:r w:rsidRPr="00B02BA3">
              <w:rPr>
                <w:sz w:val="16"/>
                <w:szCs w:val="16"/>
              </w:rPr>
              <w:t>2014</w:t>
            </w:r>
          </w:p>
        </w:tc>
        <w:tc>
          <w:tcPr>
            <w:tcW w:w="180" w:type="dxa"/>
            <w:vAlign w:val="bottom"/>
          </w:tcPr>
          <w:p w14:paraId="25A20EA7" w14:textId="77777777" w:rsidR="00AC5C0C" w:rsidRPr="00B02BA3" w:rsidRDefault="00AC5C0C" w:rsidP="00922116">
            <w:pPr>
              <w:pStyle w:val="CellRowSpacer"/>
              <w:rPr>
                <w:sz w:val="16"/>
                <w:szCs w:val="16"/>
              </w:rPr>
            </w:pPr>
          </w:p>
        </w:tc>
        <w:tc>
          <w:tcPr>
            <w:tcW w:w="1125" w:type="dxa"/>
            <w:vAlign w:val="bottom"/>
          </w:tcPr>
          <w:p w14:paraId="5518F24F"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3914B224" w14:textId="77777777" w:rsidR="00AC5C0C" w:rsidRPr="00B02BA3" w:rsidRDefault="00AC5C0C" w:rsidP="00922116">
            <w:pPr>
              <w:pStyle w:val="CellRowSpacer"/>
              <w:rPr>
                <w:sz w:val="16"/>
                <w:szCs w:val="16"/>
              </w:rPr>
            </w:pPr>
          </w:p>
        </w:tc>
      </w:tr>
      <w:tr w:rsidR="00AC5C0C" w:rsidRPr="00B02BA3" w14:paraId="70A48888" w14:textId="77777777" w:rsidTr="00922116">
        <w:tc>
          <w:tcPr>
            <w:tcW w:w="3163" w:type="dxa"/>
            <w:vAlign w:val="bottom"/>
          </w:tcPr>
          <w:p w14:paraId="0CB410CA" w14:textId="77777777" w:rsidR="00AC5C0C" w:rsidRPr="00B02BA3" w:rsidRDefault="00AC5C0C" w:rsidP="00922116">
            <w:pPr>
              <w:pStyle w:val="VSmCellBody"/>
              <w:tabs>
                <w:tab w:val="right" w:leader="dot" w:pos="3163"/>
              </w:tabs>
              <w:rPr>
                <w:sz w:val="16"/>
                <w:szCs w:val="16"/>
              </w:rPr>
            </w:pPr>
            <w:r w:rsidRPr="00B02BA3">
              <w:rPr>
                <w:sz w:val="16"/>
                <w:szCs w:val="16"/>
              </w:rPr>
              <w:t>Jabal Samhan</w:t>
            </w:r>
            <w:r w:rsidRPr="00B02BA3">
              <w:rPr>
                <w:rFonts w:eastAsia="SimSun"/>
                <w:sz w:val="16"/>
                <w:szCs w:val="16"/>
              </w:rPr>
              <w:tab/>
            </w:r>
          </w:p>
        </w:tc>
        <w:tc>
          <w:tcPr>
            <w:tcW w:w="236" w:type="dxa"/>
            <w:vAlign w:val="bottom"/>
          </w:tcPr>
          <w:p w14:paraId="72F4C02A" w14:textId="77777777" w:rsidR="00AC5C0C" w:rsidRPr="00B02BA3" w:rsidRDefault="00AC5C0C" w:rsidP="00922116">
            <w:pPr>
              <w:pStyle w:val="CellRowSpacer"/>
              <w:rPr>
                <w:sz w:val="16"/>
                <w:szCs w:val="16"/>
              </w:rPr>
            </w:pPr>
          </w:p>
        </w:tc>
        <w:tc>
          <w:tcPr>
            <w:tcW w:w="907" w:type="dxa"/>
            <w:vAlign w:val="bottom"/>
          </w:tcPr>
          <w:p w14:paraId="327D0099" w14:textId="77777777" w:rsidR="00AC5C0C" w:rsidRPr="00B02BA3" w:rsidRDefault="00AC5C0C" w:rsidP="00922116">
            <w:pPr>
              <w:pStyle w:val="VSmCellBody"/>
              <w:jc w:val="right"/>
              <w:rPr>
                <w:sz w:val="16"/>
                <w:szCs w:val="16"/>
              </w:rPr>
            </w:pPr>
            <w:r w:rsidRPr="00B02BA3">
              <w:rPr>
                <w:sz w:val="16"/>
                <w:szCs w:val="16"/>
              </w:rPr>
              <w:t>63,</w:t>
            </w:r>
            <w:r w:rsidR="00B6386B">
              <w:rPr>
                <w:sz w:val="16"/>
                <w:szCs w:val="16"/>
              </w:rPr>
              <w:t>658</w:t>
            </w:r>
          </w:p>
        </w:tc>
        <w:tc>
          <w:tcPr>
            <w:tcW w:w="236" w:type="dxa"/>
            <w:vAlign w:val="bottom"/>
          </w:tcPr>
          <w:p w14:paraId="008CB272" w14:textId="77777777" w:rsidR="00AC5C0C" w:rsidRPr="00B02BA3" w:rsidRDefault="00AC5C0C" w:rsidP="00922116">
            <w:pPr>
              <w:pStyle w:val="CellRowSpacer"/>
              <w:rPr>
                <w:sz w:val="16"/>
                <w:szCs w:val="16"/>
              </w:rPr>
            </w:pPr>
          </w:p>
        </w:tc>
        <w:tc>
          <w:tcPr>
            <w:tcW w:w="907" w:type="dxa"/>
            <w:vAlign w:val="bottom"/>
          </w:tcPr>
          <w:p w14:paraId="30A6701E" w14:textId="77777777" w:rsidR="00AC5C0C" w:rsidRPr="00B02BA3" w:rsidRDefault="00AC5C0C" w:rsidP="00922116">
            <w:pPr>
              <w:pStyle w:val="VSmCellBody"/>
              <w:jc w:val="right"/>
              <w:rPr>
                <w:sz w:val="16"/>
                <w:szCs w:val="16"/>
              </w:rPr>
            </w:pPr>
            <w:proofErr w:type="spellStart"/>
            <w:r w:rsidRPr="00B02BA3">
              <w:rPr>
                <w:sz w:val="16"/>
                <w:szCs w:val="16"/>
              </w:rPr>
              <w:t>Ultramax</w:t>
            </w:r>
            <w:proofErr w:type="spellEnd"/>
          </w:p>
        </w:tc>
        <w:tc>
          <w:tcPr>
            <w:tcW w:w="236" w:type="dxa"/>
            <w:vAlign w:val="bottom"/>
          </w:tcPr>
          <w:p w14:paraId="7C280B48" w14:textId="77777777" w:rsidR="00AC5C0C" w:rsidRPr="00B02BA3" w:rsidRDefault="00AC5C0C" w:rsidP="00922116">
            <w:pPr>
              <w:pStyle w:val="CellRowSpacer"/>
              <w:rPr>
                <w:sz w:val="16"/>
                <w:szCs w:val="16"/>
              </w:rPr>
            </w:pPr>
          </w:p>
        </w:tc>
        <w:tc>
          <w:tcPr>
            <w:tcW w:w="907" w:type="dxa"/>
            <w:vAlign w:val="bottom"/>
          </w:tcPr>
          <w:p w14:paraId="2745D370"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3CCD3EBD" w14:textId="77777777" w:rsidR="00AC5C0C" w:rsidRPr="00B02BA3" w:rsidRDefault="00AC5C0C" w:rsidP="00922116">
            <w:pPr>
              <w:pStyle w:val="CellRowSpacer"/>
              <w:rPr>
                <w:sz w:val="16"/>
                <w:szCs w:val="16"/>
              </w:rPr>
            </w:pPr>
          </w:p>
        </w:tc>
        <w:tc>
          <w:tcPr>
            <w:tcW w:w="745" w:type="dxa"/>
            <w:vAlign w:val="bottom"/>
          </w:tcPr>
          <w:p w14:paraId="28ECA457" w14:textId="77777777" w:rsidR="00AC5C0C" w:rsidRPr="00B02BA3" w:rsidDel="00CD6878" w:rsidRDefault="00AC5C0C" w:rsidP="00922116">
            <w:pPr>
              <w:pStyle w:val="VSmCellBody"/>
              <w:jc w:val="right"/>
              <w:rPr>
                <w:sz w:val="16"/>
                <w:szCs w:val="16"/>
              </w:rPr>
            </w:pPr>
            <w:r w:rsidRPr="00B02BA3">
              <w:rPr>
                <w:sz w:val="16"/>
                <w:szCs w:val="16"/>
              </w:rPr>
              <w:t>2015</w:t>
            </w:r>
          </w:p>
        </w:tc>
        <w:tc>
          <w:tcPr>
            <w:tcW w:w="180" w:type="dxa"/>
            <w:vAlign w:val="bottom"/>
          </w:tcPr>
          <w:p w14:paraId="1969629E" w14:textId="77777777" w:rsidR="00AC5C0C" w:rsidRPr="00B02BA3" w:rsidRDefault="00AC5C0C" w:rsidP="00922116">
            <w:pPr>
              <w:pStyle w:val="CellRowSpacer"/>
              <w:rPr>
                <w:sz w:val="16"/>
                <w:szCs w:val="16"/>
              </w:rPr>
            </w:pPr>
          </w:p>
        </w:tc>
        <w:tc>
          <w:tcPr>
            <w:tcW w:w="1125" w:type="dxa"/>
            <w:vAlign w:val="bottom"/>
          </w:tcPr>
          <w:p w14:paraId="7AF90609"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3E6981C7" w14:textId="77777777" w:rsidR="00AC5C0C" w:rsidRPr="00B02BA3" w:rsidRDefault="00AC5C0C" w:rsidP="00922116">
            <w:pPr>
              <w:pStyle w:val="CellRowSpacer"/>
              <w:rPr>
                <w:sz w:val="16"/>
                <w:szCs w:val="16"/>
              </w:rPr>
            </w:pPr>
          </w:p>
        </w:tc>
      </w:tr>
      <w:tr w:rsidR="00AC5C0C" w:rsidRPr="00B02BA3" w14:paraId="17E139F6" w14:textId="77777777" w:rsidTr="00922116">
        <w:tc>
          <w:tcPr>
            <w:tcW w:w="3163" w:type="dxa"/>
            <w:vAlign w:val="bottom"/>
          </w:tcPr>
          <w:p w14:paraId="7316B00E" w14:textId="77777777" w:rsidR="00AC5C0C" w:rsidRPr="00B02BA3" w:rsidRDefault="00AC5C0C" w:rsidP="00922116">
            <w:pPr>
              <w:pStyle w:val="VSmCellBody"/>
              <w:tabs>
                <w:tab w:val="right" w:leader="dot" w:pos="3163"/>
              </w:tabs>
              <w:rPr>
                <w:b/>
                <w:bCs/>
                <w:sz w:val="16"/>
                <w:szCs w:val="16"/>
              </w:rPr>
            </w:pPr>
            <w:r w:rsidRPr="00B02BA3">
              <w:rPr>
                <w:sz w:val="16"/>
                <w:szCs w:val="16"/>
              </w:rPr>
              <w:t>Jabal Harim</w:t>
            </w:r>
            <w:r w:rsidRPr="00B02BA3">
              <w:rPr>
                <w:rFonts w:eastAsia="SimSun"/>
                <w:sz w:val="16"/>
                <w:szCs w:val="16"/>
              </w:rPr>
              <w:tab/>
            </w:r>
          </w:p>
        </w:tc>
        <w:tc>
          <w:tcPr>
            <w:tcW w:w="236" w:type="dxa"/>
            <w:vAlign w:val="bottom"/>
          </w:tcPr>
          <w:p w14:paraId="486D0398" w14:textId="77777777" w:rsidR="00AC5C0C" w:rsidRPr="00B02BA3" w:rsidRDefault="00AC5C0C" w:rsidP="00922116">
            <w:pPr>
              <w:pStyle w:val="CellRowSpacer"/>
              <w:rPr>
                <w:sz w:val="16"/>
                <w:szCs w:val="16"/>
              </w:rPr>
            </w:pPr>
          </w:p>
        </w:tc>
        <w:tc>
          <w:tcPr>
            <w:tcW w:w="907" w:type="dxa"/>
            <w:vAlign w:val="bottom"/>
          </w:tcPr>
          <w:p w14:paraId="192FB776" w14:textId="77777777" w:rsidR="00AC5C0C" w:rsidRPr="00B02BA3" w:rsidRDefault="00AC5C0C" w:rsidP="00922116">
            <w:pPr>
              <w:pStyle w:val="VSmCellBody"/>
              <w:jc w:val="right"/>
              <w:rPr>
                <w:sz w:val="16"/>
                <w:szCs w:val="16"/>
              </w:rPr>
            </w:pPr>
            <w:r w:rsidRPr="00B02BA3">
              <w:rPr>
                <w:sz w:val="16"/>
                <w:szCs w:val="16"/>
              </w:rPr>
              <w:t>63,277</w:t>
            </w:r>
          </w:p>
        </w:tc>
        <w:tc>
          <w:tcPr>
            <w:tcW w:w="236" w:type="dxa"/>
            <w:vAlign w:val="bottom"/>
          </w:tcPr>
          <w:p w14:paraId="569DEA28" w14:textId="77777777" w:rsidR="00AC5C0C" w:rsidRPr="00B02BA3" w:rsidRDefault="00AC5C0C" w:rsidP="00922116">
            <w:pPr>
              <w:pStyle w:val="CellRowSpacer"/>
              <w:rPr>
                <w:sz w:val="16"/>
                <w:szCs w:val="16"/>
              </w:rPr>
            </w:pPr>
          </w:p>
        </w:tc>
        <w:tc>
          <w:tcPr>
            <w:tcW w:w="907" w:type="dxa"/>
            <w:vAlign w:val="bottom"/>
          </w:tcPr>
          <w:p w14:paraId="032CD488" w14:textId="77777777" w:rsidR="00AC5C0C" w:rsidRPr="00B02BA3" w:rsidRDefault="00AC5C0C" w:rsidP="00922116">
            <w:pPr>
              <w:pStyle w:val="VSmCellBody"/>
              <w:jc w:val="right"/>
              <w:rPr>
                <w:sz w:val="16"/>
                <w:szCs w:val="16"/>
              </w:rPr>
            </w:pPr>
            <w:proofErr w:type="spellStart"/>
            <w:r w:rsidRPr="00B02BA3">
              <w:rPr>
                <w:sz w:val="16"/>
                <w:szCs w:val="16"/>
              </w:rPr>
              <w:t>Ultramax</w:t>
            </w:r>
            <w:proofErr w:type="spellEnd"/>
          </w:p>
        </w:tc>
        <w:tc>
          <w:tcPr>
            <w:tcW w:w="236" w:type="dxa"/>
            <w:vAlign w:val="bottom"/>
          </w:tcPr>
          <w:p w14:paraId="69E20A45" w14:textId="77777777" w:rsidR="00AC5C0C" w:rsidRPr="00B02BA3" w:rsidRDefault="00AC5C0C" w:rsidP="00922116">
            <w:pPr>
              <w:pStyle w:val="CellRowSpacer"/>
              <w:rPr>
                <w:sz w:val="16"/>
                <w:szCs w:val="16"/>
              </w:rPr>
            </w:pPr>
          </w:p>
        </w:tc>
        <w:tc>
          <w:tcPr>
            <w:tcW w:w="907" w:type="dxa"/>
            <w:vAlign w:val="bottom"/>
          </w:tcPr>
          <w:p w14:paraId="1FB0E0FF"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5FB45EA4" w14:textId="77777777" w:rsidR="00AC5C0C" w:rsidRPr="00B02BA3" w:rsidRDefault="00AC5C0C" w:rsidP="00922116">
            <w:pPr>
              <w:pStyle w:val="CellRowSpacer"/>
              <w:rPr>
                <w:sz w:val="16"/>
                <w:szCs w:val="16"/>
              </w:rPr>
            </w:pPr>
          </w:p>
        </w:tc>
        <w:tc>
          <w:tcPr>
            <w:tcW w:w="745" w:type="dxa"/>
            <w:vAlign w:val="bottom"/>
          </w:tcPr>
          <w:p w14:paraId="259FA8C6" w14:textId="77777777" w:rsidR="00AC5C0C" w:rsidRPr="00B02BA3" w:rsidDel="00CD6878" w:rsidRDefault="00AC5C0C" w:rsidP="00922116">
            <w:pPr>
              <w:pStyle w:val="VSmCellBody"/>
              <w:jc w:val="right"/>
              <w:rPr>
                <w:sz w:val="16"/>
                <w:szCs w:val="16"/>
              </w:rPr>
            </w:pPr>
            <w:r w:rsidRPr="00B02BA3">
              <w:rPr>
                <w:sz w:val="16"/>
                <w:szCs w:val="16"/>
              </w:rPr>
              <w:t>2017</w:t>
            </w:r>
          </w:p>
        </w:tc>
        <w:tc>
          <w:tcPr>
            <w:tcW w:w="180" w:type="dxa"/>
            <w:vAlign w:val="bottom"/>
          </w:tcPr>
          <w:p w14:paraId="791A7CAF" w14:textId="77777777" w:rsidR="00AC5C0C" w:rsidRPr="00B02BA3" w:rsidRDefault="00AC5C0C" w:rsidP="00922116">
            <w:pPr>
              <w:pStyle w:val="CellRowSpacer"/>
              <w:rPr>
                <w:sz w:val="16"/>
                <w:szCs w:val="16"/>
              </w:rPr>
            </w:pPr>
          </w:p>
        </w:tc>
        <w:tc>
          <w:tcPr>
            <w:tcW w:w="1125" w:type="dxa"/>
            <w:vAlign w:val="bottom"/>
          </w:tcPr>
          <w:p w14:paraId="082E2DBA"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6E9CFEA0" w14:textId="77777777" w:rsidR="00AC5C0C" w:rsidRPr="00B02BA3" w:rsidRDefault="00AC5C0C" w:rsidP="00922116">
            <w:pPr>
              <w:pStyle w:val="CellRowSpacer"/>
              <w:rPr>
                <w:sz w:val="16"/>
                <w:szCs w:val="16"/>
              </w:rPr>
            </w:pPr>
          </w:p>
        </w:tc>
      </w:tr>
      <w:tr w:rsidR="00AC5C0C" w:rsidRPr="00B02BA3" w14:paraId="090A89A5" w14:textId="77777777" w:rsidTr="00922116">
        <w:tc>
          <w:tcPr>
            <w:tcW w:w="3163" w:type="dxa"/>
            <w:vAlign w:val="bottom"/>
          </w:tcPr>
          <w:p w14:paraId="36795355" w14:textId="77777777" w:rsidR="00AC5C0C" w:rsidRPr="00B02BA3" w:rsidRDefault="00AC5C0C" w:rsidP="00922116">
            <w:pPr>
              <w:pStyle w:val="VSmCellBody"/>
              <w:tabs>
                <w:tab w:val="right" w:leader="dot" w:pos="3163"/>
              </w:tabs>
              <w:rPr>
                <w:sz w:val="16"/>
                <w:szCs w:val="16"/>
              </w:rPr>
            </w:pPr>
            <w:r w:rsidRPr="00B02BA3">
              <w:rPr>
                <w:sz w:val="16"/>
                <w:szCs w:val="16"/>
              </w:rPr>
              <w:t xml:space="preserve">Jabal </w:t>
            </w:r>
            <w:proofErr w:type="spellStart"/>
            <w:r w:rsidRPr="00B02BA3">
              <w:rPr>
                <w:sz w:val="16"/>
                <w:szCs w:val="16"/>
              </w:rPr>
              <w:t>Hafit</w:t>
            </w:r>
            <w:proofErr w:type="spellEnd"/>
            <w:r w:rsidRPr="00B02BA3">
              <w:rPr>
                <w:rFonts w:eastAsia="SimSun"/>
                <w:sz w:val="16"/>
                <w:szCs w:val="16"/>
              </w:rPr>
              <w:tab/>
            </w:r>
          </w:p>
        </w:tc>
        <w:tc>
          <w:tcPr>
            <w:tcW w:w="236" w:type="dxa"/>
            <w:vAlign w:val="bottom"/>
          </w:tcPr>
          <w:p w14:paraId="677EA9DC" w14:textId="77777777" w:rsidR="00AC5C0C" w:rsidRPr="00B02BA3" w:rsidRDefault="00AC5C0C" w:rsidP="00922116">
            <w:pPr>
              <w:pStyle w:val="CellRowSpacer"/>
              <w:rPr>
                <w:sz w:val="16"/>
                <w:szCs w:val="16"/>
              </w:rPr>
            </w:pPr>
          </w:p>
        </w:tc>
        <w:tc>
          <w:tcPr>
            <w:tcW w:w="907" w:type="dxa"/>
            <w:vAlign w:val="bottom"/>
          </w:tcPr>
          <w:p w14:paraId="01474FCB" w14:textId="77777777" w:rsidR="00AC5C0C" w:rsidRPr="00B02BA3" w:rsidRDefault="00AC5C0C" w:rsidP="00922116">
            <w:pPr>
              <w:pStyle w:val="VSmCellBody"/>
              <w:jc w:val="right"/>
              <w:rPr>
                <w:sz w:val="16"/>
                <w:szCs w:val="16"/>
              </w:rPr>
            </w:pPr>
            <w:r w:rsidRPr="00B02BA3">
              <w:rPr>
                <w:sz w:val="16"/>
                <w:szCs w:val="16"/>
              </w:rPr>
              <w:t>63,369</w:t>
            </w:r>
          </w:p>
        </w:tc>
        <w:tc>
          <w:tcPr>
            <w:tcW w:w="236" w:type="dxa"/>
            <w:vAlign w:val="bottom"/>
          </w:tcPr>
          <w:p w14:paraId="27CCBD52" w14:textId="77777777" w:rsidR="00AC5C0C" w:rsidRPr="00B02BA3" w:rsidRDefault="00AC5C0C" w:rsidP="00922116">
            <w:pPr>
              <w:pStyle w:val="CellRowSpacer"/>
              <w:rPr>
                <w:sz w:val="16"/>
                <w:szCs w:val="16"/>
              </w:rPr>
            </w:pPr>
          </w:p>
        </w:tc>
        <w:tc>
          <w:tcPr>
            <w:tcW w:w="907" w:type="dxa"/>
            <w:vAlign w:val="bottom"/>
          </w:tcPr>
          <w:p w14:paraId="7487AA76" w14:textId="77777777" w:rsidR="00AC5C0C" w:rsidRPr="00B02BA3" w:rsidRDefault="00AC5C0C" w:rsidP="00922116">
            <w:pPr>
              <w:pStyle w:val="VSmCellBody"/>
              <w:jc w:val="right"/>
              <w:rPr>
                <w:sz w:val="16"/>
                <w:szCs w:val="16"/>
              </w:rPr>
            </w:pPr>
            <w:proofErr w:type="spellStart"/>
            <w:r w:rsidRPr="00B02BA3">
              <w:rPr>
                <w:sz w:val="16"/>
                <w:szCs w:val="16"/>
              </w:rPr>
              <w:t>Ultramax</w:t>
            </w:r>
            <w:proofErr w:type="spellEnd"/>
          </w:p>
        </w:tc>
        <w:tc>
          <w:tcPr>
            <w:tcW w:w="236" w:type="dxa"/>
            <w:vAlign w:val="bottom"/>
          </w:tcPr>
          <w:p w14:paraId="13A354A3" w14:textId="77777777" w:rsidR="00AC5C0C" w:rsidRPr="00B02BA3" w:rsidRDefault="00AC5C0C" w:rsidP="00922116">
            <w:pPr>
              <w:pStyle w:val="CellRowSpacer"/>
              <w:rPr>
                <w:sz w:val="16"/>
                <w:szCs w:val="16"/>
              </w:rPr>
            </w:pPr>
          </w:p>
        </w:tc>
        <w:tc>
          <w:tcPr>
            <w:tcW w:w="907" w:type="dxa"/>
            <w:vAlign w:val="bottom"/>
          </w:tcPr>
          <w:p w14:paraId="7BF2B253"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28B01470" w14:textId="77777777" w:rsidR="00AC5C0C" w:rsidRPr="00B02BA3" w:rsidRDefault="00AC5C0C" w:rsidP="00922116">
            <w:pPr>
              <w:pStyle w:val="CellRowSpacer"/>
              <w:rPr>
                <w:sz w:val="16"/>
                <w:szCs w:val="16"/>
              </w:rPr>
            </w:pPr>
          </w:p>
        </w:tc>
        <w:tc>
          <w:tcPr>
            <w:tcW w:w="745" w:type="dxa"/>
            <w:vAlign w:val="bottom"/>
          </w:tcPr>
          <w:p w14:paraId="060CD0F3" w14:textId="77777777" w:rsidR="00AC5C0C" w:rsidRPr="00B02BA3" w:rsidDel="00CD6878" w:rsidRDefault="00AC5C0C" w:rsidP="00922116">
            <w:pPr>
              <w:pStyle w:val="VSmCellBody"/>
              <w:jc w:val="right"/>
              <w:rPr>
                <w:sz w:val="16"/>
                <w:szCs w:val="16"/>
              </w:rPr>
            </w:pPr>
            <w:r w:rsidRPr="00B02BA3">
              <w:rPr>
                <w:sz w:val="16"/>
                <w:szCs w:val="16"/>
              </w:rPr>
              <w:t>2017</w:t>
            </w:r>
          </w:p>
        </w:tc>
        <w:tc>
          <w:tcPr>
            <w:tcW w:w="180" w:type="dxa"/>
            <w:vAlign w:val="bottom"/>
          </w:tcPr>
          <w:p w14:paraId="34B8BFF6" w14:textId="77777777" w:rsidR="00AC5C0C" w:rsidRPr="00B02BA3" w:rsidRDefault="00AC5C0C" w:rsidP="00922116">
            <w:pPr>
              <w:pStyle w:val="CellRowSpacer"/>
              <w:rPr>
                <w:sz w:val="16"/>
                <w:szCs w:val="16"/>
              </w:rPr>
            </w:pPr>
          </w:p>
        </w:tc>
        <w:tc>
          <w:tcPr>
            <w:tcW w:w="1125" w:type="dxa"/>
            <w:vAlign w:val="bottom"/>
          </w:tcPr>
          <w:p w14:paraId="2EA9175C"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27F1F9D8" w14:textId="77777777" w:rsidR="00AC5C0C" w:rsidRPr="00B02BA3" w:rsidRDefault="00AC5C0C" w:rsidP="00922116">
            <w:pPr>
              <w:pStyle w:val="CellRowSpacer"/>
              <w:rPr>
                <w:sz w:val="16"/>
                <w:szCs w:val="16"/>
              </w:rPr>
            </w:pPr>
          </w:p>
        </w:tc>
      </w:tr>
      <w:tr w:rsidR="00AC5C0C" w:rsidRPr="00B02BA3" w14:paraId="0AF9D21B" w14:textId="77777777" w:rsidTr="00922116">
        <w:tc>
          <w:tcPr>
            <w:tcW w:w="3163" w:type="dxa"/>
            <w:vAlign w:val="bottom"/>
          </w:tcPr>
          <w:p w14:paraId="744F3EED" w14:textId="77777777" w:rsidR="00AC5C0C" w:rsidRPr="00B02BA3" w:rsidRDefault="00AC5C0C" w:rsidP="00922116">
            <w:pPr>
              <w:pStyle w:val="VSmCellBody"/>
              <w:tabs>
                <w:tab w:val="right" w:leader="dot" w:pos="3163"/>
              </w:tabs>
              <w:rPr>
                <w:sz w:val="16"/>
                <w:szCs w:val="16"/>
              </w:rPr>
            </w:pPr>
            <w:r w:rsidRPr="00B02BA3">
              <w:rPr>
                <w:sz w:val="16"/>
                <w:szCs w:val="16"/>
              </w:rPr>
              <w:t xml:space="preserve">Jabal </w:t>
            </w:r>
            <w:proofErr w:type="spellStart"/>
            <w:r w:rsidRPr="00B02BA3">
              <w:rPr>
                <w:sz w:val="16"/>
                <w:szCs w:val="16"/>
              </w:rPr>
              <w:t>Ar</w:t>
            </w:r>
            <w:proofErr w:type="spellEnd"/>
            <w:r w:rsidRPr="00B02BA3">
              <w:rPr>
                <w:sz w:val="16"/>
                <w:szCs w:val="16"/>
              </w:rPr>
              <w:t xml:space="preserve"> Rawdah</w:t>
            </w:r>
            <w:r w:rsidRPr="00B02BA3">
              <w:rPr>
                <w:rFonts w:eastAsia="SimSun"/>
                <w:sz w:val="16"/>
                <w:szCs w:val="16"/>
              </w:rPr>
              <w:tab/>
            </w:r>
          </w:p>
        </w:tc>
        <w:tc>
          <w:tcPr>
            <w:tcW w:w="236" w:type="dxa"/>
            <w:vAlign w:val="bottom"/>
          </w:tcPr>
          <w:p w14:paraId="1F2E0EF3" w14:textId="77777777" w:rsidR="00AC5C0C" w:rsidRPr="00B02BA3" w:rsidRDefault="00AC5C0C" w:rsidP="00922116">
            <w:pPr>
              <w:pStyle w:val="CellRowSpacer"/>
              <w:rPr>
                <w:sz w:val="16"/>
                <w:szCs w:val="16"/>
              </w:rPr>
            </w:pPr>
          </w:p>
        </w:tc>
        <w:tc>
          <w:tcPr>
            <w:tcW w:w="907" w:type="dxa"/>
            <w:vAlign w:val="bottom"/>
          </w:tcPr>
          <w:p w14:paraId="450035B4" w14:textId="77777777" w:rsidR="00AC5C0C" w:rsidRPr="00B02BA3" w:rsidRDefault="00AC5C0C" w:rsidP="00922116">
            <w:pPr>
              <w:pStyle w:val="VSmCellBody"/>
              <w:jc w:val="right"/>
              <w:rPr>
                <w:sz w:val="16"/>
                <w:szCs w:val="16"/>
              </w:rPr>
            </w:pPr>
            <w:r w:rsidRPr="00B02BA3">
              <w:rPr>
                <w:sz w:val="16"/>
                <w:szCs w:val="16"/>
              </w:rPr>
              <w:t>63,292</w:t>
            </w:r>
          </w:p>
        </w:tc>
        <w:tc>
          <w:tcPr>
            <w:tcW w:w="236" w:type="dxa"/>
            <w:vAlign w:val="bottom"/>
          </w:tcPr>
          <w:p w14:paraId="3419016C" w14:textId="77777777" w:rsidR="00AC5C0C" w:rsidRPr="00B02BA3" w:rsidRDefault="00AC5C0C" w:rsidP="00922116">
            <w:pPr>
              <w:pStyle w:val="CellRowSpacer"/>
              <w:rPr>
                <w:sz w:val="16"/>
                <w:szCs w:val="16"/>
              </w:rPr>
            </w:pPr>
          </w:p>
        </w:tc>
        <w:tc>
          <w:tcPr>
            <w:tcW w:w="907" w:type="dxa"/>
            <w:vAlign w:val="bottom"/>
          </w:tcPr>
          <w:p w14:paraId="3E586D91" w14:textId="77777777" w:rsidR="00AC5C0C" w:rsidRPr="00B02BA3" w:rsidRDefault="00AC5C0C" w:rsidP="00922116">
            <w:pPr>
              <w:pStyle w:val="VSmCellBody"/>
              <w:jc w:val="right"/>
              <w:rPr>
                <w:sz w:val="16"/>
                <w:szCs w:val="16"/>
              </w:rPr>
            </w:pPr>
            <w:proofErr w:type="spellStart"/>
            <w:r w:rsidRPr="00B02BA3">
              <w:rPr>
                <w:sz w:val="16"/>
                <w:szCs w:val="16"/>
              </w:rPr>
              <w:t>Ultramax</w:t>
            </w:r>
            <w:proofErr w:type="spellEnd"/>
          </w:p>
        </w:tc>
        <w:tc>
          <w:tcPr>
            <w:tcW w:w="236" w:type="dxa"/>
            <w:vAlign w:val="bottom"/>
          </w:tcPr>
          <w:p w14:paraId="61702BA4" w14:textId="77777777" w:rsidR="00AC5C0C" w:rsidRPr="00B02BA3" w:rsidRDefault="00AC5C0C" w:rsidP="00922116">
            <w:pPr>
              <w:pStyle w:val="CellRowSpacer"/>
              <w:rPr>
                <w:sz w:val="16"/>
                <w:szCs w:val="16"/>
              </w:rPr>
            </w:pPr>
          </w:p>
        </w:tc>
        <w:tc>
          <w:tcPr>
            <w:tcW w:w="907" w:type="dxa"/>
            <w:vAlign w:val="bottom"/>
          </w:tcPr>
          <w:p w14:paraId="274715DC"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6D1E663F" w14:textId="77777777" w:rsidR="00AC5C0C" w:rsidRPr="00B02BA3" w:rsidRDefault="00AC5C0C" w:rsidP="00922116">
            <w:pPr>
              <w:pStyle w:val="CellRowSpacer"/>
              <w:rPr>
                <w:sz w:val="16"/>
                <w:szCs w:val="16"/>
              </w:rPr>
            </w:pPr>
          </w:p>
        </w:tc>
        <w:tc>
          <w:tcPr>
            <w:tcW w:w="745" w:type="dxa"/>
            <w:vAlign w:val="bottom"/>
          </w:tcPr>
          <w:p w14:paraId="42456A1C" w14:textId="77777777" w:rsidR="00AC5C0C" w:rsidRPr="00B02BA3" w:rsidDel="00CD6878" w:rsidRDefault="00AC5C0C" w:rsidP="00922116">
            <w:pPr>
              <w:pStyle w:val="VSmCellBody"/>
              <w:jc w:val="right"/>
              <w:rPr>
                <w:sz w:val="16"/>
                <w:szCs w:val="16"/>
              </w:rPr>
            </w:pPr>
            <w:r w:rsidRPr="00B02BA3">
              <w:rPr>
                <w:sz w:val="16"/>
                <w:szCs w:val="16"/>
              </w:rPr>
              <w:t>2016</w:t>
            </w:r>
          </w:p>
        </w:tc>
        <w:tc>
          <w:tcPr>
            <w:tcW w:w="180" w:type="dxa"/>
            <w:vAlign w:val="bottom"/>
          </w:tcPr>
          <w:p w14:paraId="7C048B4F" w14:textId="77777777" w:rsidR="00AC5C0C" w:rsidRPr="00B02BA3" w:rsidRDefault="00AC5C0C" w:rsidP="00922116">
            <w:pPr>
              <w:pStyle w:val="CellRowSpacer"/>
              <w:rPr>
                <w:sz w:val="16"/>
                <w:szCs w:val="16"/>
              </w:rPr>
            </w:pPr>
          </w:p>
        </w:tc>
        <w:tc>
          <w:tcPr>
            <w:tcW w:w="1125" w:type="dxa"/>
            <w:vAlign w:val="bottom"/>
          </w:tcPr>
          <w:p w14:paraId="55615F6B"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13966051" w14:textId="77777777" w:rsidR="00AC5C0C" w:rsidRPr="00B02BA3" w:rsidRDefault="00AC5C0C" w:rsidP="00922116">
            <w:pPr>
              <w:pStyle w:val="CellRowSpacer"/>
              <w:rPr>
                <w:sz w:val="16"/>
                <w:szCs w:val="16"/>
              </w:rPr>
            </w:pPr>
          </w:p>
        </w:tc>
      </w:tr>
      <w:tr w:rsidR="00AC5C0C" w:rsidRPr="00B02BA3" w14:paraId="55049E3A" w14:textId="77777777" w:rsidTr="00922116">
        <w:tc>
          <w:tcPr>
            <w:tcW w:w="3163" w:type="dxa"/>
            <w:vAlign w:val="bottom"/>
          </w:tcPr>
          <w:p w14:paraId="2CFDFEA5" w14:textId="77777777" w:rsidR="00AC5C0C" w:rsidRPr="00B02BA3" w:rsidRDefault="00AC5C0C" w:rsidP="00922116">
            <w:pPr>
              <w:pStyle w:val="VSmCellHead"/>
              <w:rPr>
                <w:sz w:val="16"/>
                <w:szCs w:val="16"/>
              </w:rPr>
            </w:pPr>
            <w:r w:rsidRPr="00B02BA3">
              <w:rPr>
                <w:sz w:val="16"/>
                <w:szCs w:val="16"/>
              </w:rPr>
              <w:t>Chartered-in</w:t>
            </w:r>
          </w:p>
        </w:tc>
        <w:tc>
          <w:tcPr>
            <w:tcW w:w="236" w:type="dxa"/>
            <w:vAlign w:val="bottom"/>
          </w:tcPr>
          <w:p w14:paraId="271ED98F" w14:textId="77777777" w:rsidR="00AC5C0C" w:rsidRPr="00B02BA3" w:rsidRDefault="00AC5C0C" w:rsidP="00922116">
            <w:pPr>
              <w:pStyle w:val="CellRowSpacer"/>
              <w:rPr>
                <w:sz w:val="16"/>
                <w:szCs w:val="16"/>
              </w:rPr>
            </w:pPr>
          </w:p>
        </w:tc>
        <w:tc>
          <w:tcPr>
            <w:tcW w:w="907" w:type="dxa"/>
            <w:vAlign w:val="bottom"/>
          </w:tcPr>
          <w:p w14:paraId="658CFFB7" w14:textId="77777777" w:rsidR="00AC5C0C" w:rsidRPr="00B02BA3" w:rsidRDefault="00AC5C0C" w:rsidP="00922116">
            <w:pPr>
              <w:pStyle w:val="VSmCellBody"/>
              <w:jc w:val="right"/>
              <w:rPr>
                <w:sz w:val="16"/>
                <w:szCs w:val="16"/>
              </w:rPr>
            </w:pPr>
          </w:p>
        </w:tc>
        <w:tc>
          <w:tcPr>
            <w:tcW w:w="236" w:type="dxa"/>
            <w:vAlign w:val="bottom"/>
          </w:tcPr>
          <w:p w14:paraId="6D3AF53B" w14:textId="77777777" w:rsidR="00AC5C0C" w:rsidRPr="00B02BA3" w:rsidRDefault="00AC5C0C" w:rsidP="00922116">
            <w:pPr>
              <w:pStyle w:val="CellRowSpacer"/>
              <w:rPr>
                <w:sz w:val="16"/>
                <w:szCs w:val="16"/>
              </w:rPr>
            </w:pPr>
          </w:p>
        </w:tc>
        <w:tc>
          <w:tcPr>
            <w:tcW w:w="907" w:type="dxa"/>
            <w:vAlign w:val="bottom"/>
          </w:tcPr>
          <w:p w14:paraId="09DECBE7" w14:textId="77777777" w:rsidR="00AC5C0C" w:rsidRPr="00B02BA3" w:rsidRDefault="00AC5C0C" w:rsidP="00922116">
            <w:pPr>
              <w:pStyle w:val="VSmCellBody"/>
              <w:jc w:val="right"/>
              <w:rPr>
                <w:sz w:val="16"/>
                <w:szCs w:val="16"/>
              </w:rPr>
            </w:pPr>
          </w:p>
        </w:tc>
        <w:tc>
          <w:tcPr>
            <w:tcW w:w="236" w:type="dxa"/>
            <w:vAlign w:val="bottom"/>
          </w:tcPr>
          <w:p w14:paraId="43410CF2" w14:textId="77777777" w:rsidR="00AC5C0C" w:rsidRPr="00B02BA3" w:rsidRDefault="00AC5C0C" w:rsidP="00922116">
            <w:pPr>
              <w:pStyle w:val="CellRowSpacer"/>
              <w:rPr>
                <w:sz w:val="16"/>
                <w:szCs w:val="16"/>
              </w:rPr>
            </w:pPr>
          </w:p>
        </w:tc>
        <w:tc>
          <w:tcPr>
            <w:tcW w:w="907" w:type="dxa"/>
            <w:vAlign w:val="bottom"/>
          </w:tcPr>
          <w:p w14:paraId="319A8A50" w14:textId="77777777" w:rsidR="00AC5C0C" w:rsidRPr="00B02BA3" w:rsidRDefault="00AC5C0C" w:rsidP="00922116">
            <w:pPr>
              <w:pStyle w:val="VSmCellBody"/>
              <w:jc w:val="right"/>
              <w:rPr>
                <w:sz w:val="16"/>
                <w:szCs w:val="16"/>
              </w:rPr>
            </w:pPr>
          </w:p>
        </w:tc>
        <w:tc>
          <w:tcPr>
            <w:tcW w:w="236" w:type="dxa"/>
            <w:vAlign w:val="bottom"/>
          </w:tcPr>
          <w:p w14:paraId="10B8F635" w14:textId="77777777" w:rsidR="00AC5C0C" w:rsidRPr="00B02BA3" w:rsidRDefault="00AC5C0C" w:rsidP="00922116">
            <w:pPr>
              <w:pStyle w:val="CellRowSpacer"/>
              <w:rPr>
                <w:sz w:val="16"/>
                <w:szCs w:val="16"/>
              </w:rPr>
            </w:pPr>
          </w:p>
        </w:tc>
        <w:tc>
          <w:tcPr>
            <w:tcW w:w="745" w:type="dxa"/>
            <w:vAlign w:val="bottom"/>
          </w:tcPr>
          <w:p w14:paraId="22CA0C3F" w14:textId="77777777" w:rsidR="00AC5C0C" w:rsidRPr="00B02BA3" w:rsidRDefault="00AC5C0C" w:rsidP="00922116">
            <w:pPr>
              <w:pStyle w:val="VSmCellBody"/>
              <w:jc w:val="right"/>
              <w:rPr>
                <w:sz w:val="16"/>
                <w:szCs w:val="16"/>
              </w:rPr>
            </w:pPr>
          </w:p>
        </w:tc>
        <w:tc>
          <w:tcPr>
            <w:tcW w:w="180" w:type="dxa"/>
            <w:vAlign w:val="bottom"/>
          </w:tcPr>
          <w:p w14:paraId="3C44A12E" w14:textId="77777777" w:rsidR="00AC5C0C" w:rsidRPr="00B02BA3" w:rsidRDefault="00AC5C0C" w:rsidP="00922116">
            <w:pPr>
              <w:pStyle w:val="CellRowSpacer"/>
              <w:rPr>
                <w:sz w:val="16"/>
                <w:szCs w:val="16"/>
              </w:rPr>
            </w:pPr>
          </w:p>
        </w:tc>
        <w:tc>
          <w:tcPr>
            <w:tcW w:w="1125" w:type="dxa"/>
            <w:vAlign w:val="bottom"/>
          </w:tcPr>
          <w:p w14:paraId="2FE848D0" w14:textId="77777777" w:rsidR="00AC5C0C" w:rsidRPr="00B02BA3" w:rsidRDefault="00AC5C0C" w:rsidP="00922116">
            <w:pPr>
              <w:pStyle w:val="VSmCellBody"/>
              <w:jc w:val="right"/>
              <w:rPr>
                <w:sz w:val="16"/>
                <w:szCs w:val="16"/>
              </w:rPr>
            </w:pPr>
          </w:p>
        </w:tc>
        <w:tc>
          <w:tcPr>
            <w:tcW w:w="236" w:type="dxa"/>
            <w:vAlign w:val="bottom"/>
          </w:tcPr>
          <w:p w14:paraId="7D3E2B00" w14:textId="77777777" w:rsidR="00AC5C0C" w:rsidRPr="00B02BA3" w:rsidRDefault="00AC5C0C" w:rsidP="00922116">
            <w:pPr>
              <w:pStyle w:val="CellRowSpacer"/>
              <w:rPr>
                <w:sz w:val="16"/>
                <w:szCs w:val="16"/>
              </w:rPr>
            </w:pPr>
          </w:p>
        </w:tc>
      </w:tr>
      <w:tr w:rsidR="00AC5C0C" w:rsidRPr="00B02BA3" w14:paraId="6A5ECF00" w14:textId="77777777" w:rsidTr="00922116">
        <w:tc>
          <w:tcPr>
            <w:tcW w:w="3163" w:type="dxa"/>
            <w:vAlign w:val="bottom"/>
          </w:tcPr>
          <w:p w14:paraId="2D370165" w14:textId="77777777" w:rsidR="00AC5C0C" w:rsidRPr="00B02BA3" w:rsidRDefault="00AC5C0C" w:rsidP="00922116">
            <w:pPr>
              <w:pStyle w:val="VSmCellBody"/>
              <w:tabs>
                <w:tab w:val="right" w:leader="dot" w:pos="3163"/>
              </w:tabs>
              <w:rPr>
                <w:sz w:val="16"/>
                <w:szCs w:val="16"/>
              </w:rPr>
            </w:pPr>
            <w:r w:rsidRPr="00B02BA3">
              <w:rPr>
                <w:sz w:val="16"/>
                <w:szCs w:val="16"/>
              </w:rPr>
              <w:t>Jewel of Shinas</w:t>
            </w:r>
            <w:r w:rsidRPr="00B02BA3">
              <w:rPr>
                <w:rFonts w:eastAsia="SimSun"/>
                <w:sz w:val="16"/>
                <w:szCs w:val="16"/>
              </w:rPr>
              <w:tab/>
            </w:r>
          </w:p>
        </w:tc>
        <w:tc>
          <w:tcPr>
            <w:tcW w:w="236" w:type="dxa"/>
            <w:vAlign w:val="bottom"/>
          </w:tcPr>
          <w:p w14:paraId="323D4FDE" w14:textId="77777777" w:rsidR="00AC5C0C" w:rsidRPr="00B02BA3" w:rsidRDefault="00AC5C0C" w:rsidP="00922116">
            <w:pPr>
              <w:pStyle w:val="CellRowSpacer"/>
              <w:rPr>
                <w:sz w:val="16"/>
                <w:szCs w:val="16"/>
              </w:rPr>
            </w:pPr>
          </w:p>
        </w:tc>
        <w:tc>
          <w:tcPr>
            <w:tcW w:w="907" w:type="dxa"/>
            <w:vAlign w:val="bottom"/>
          </w:tcPr>
          <w:p w14:paraId="752DB8C2" w14:textId="77777777" w:rsidR="00AC5C0C" w:rsidRPr="00B02BA3" w:rsidRDefault="00AC5C0C" w:rsidP="00922116">
            <w:pPr>
              <w:pStyle w:val="VSmCellBody"/>
              <w:jc w:val="right"/>
              <w:rPr>
                <w:sz w:val="16"/>
                <w:szCs w:val="16"/>
              </w:rPr>
            </w:pPr>
            <w:r w:rsidRPr="00B02BA3">
              <w:rPr>
                <w:sz w:val="16"/>
                <w:szCs w:val="16"/>
              </w:rPr>
              <w:t>55,886</w:t>
            </w:r>
          </w:p>
        </w:tc>
        <w:tc>
          <w:tcPr>
            <w:tcW w:w="236" w:type="dxa"/>
            <w:vAlign w:val="bottom"/>
          </w:tcPr>
          <w:p w14:paraId="7615E4C2" w14:textId="77777777" w:rsidR="00AC5C0C" w:rsidRPr="00B02BA3" w:rsidRDefault="00AC5C0C" w:rsidP="00922116">
            <w:pPr>
              <w:pStyle w:val="CellRowSpacer"/>
              <w:rPr>
                <w:sz w:val="16"/>
                <w:szCs w:val="16"/>
              </w:rPr>
            </w:pPr>
          </w:p>
        </w:tc>
        <w:tc>
          <w:tcPr>
            <w:tcW w:w="907" w:type="dxa"/>
            <w:vAlign w:val="bottom"/>
          </w:tcPr>
          <w:p w14:paraId="40F5D11A" w14:textId="77777777" w:rsidR="00AC5C0C" w:rsidRPr="00B02BA3" w:rsidRDefault="00AC5C0C" w:rsidP="00922116">
            <w:pPr>
              <w:pStyle w:val="VSmCellBody"/>
              <w:jc w:val="right"/>
              <w:rPr>
                <w:sz w:val="16"/>
                <w:szCs w:val="16"/>
              </w:rPr>
            </w:pPr>
            <w:proofErr w:type="spellStart"/>
            <w:r w:rsidRPr="00B02BA3">
              <w:rPr>
                <w:sz w:val="16"/>
                <w:szCs w:val="16"/>
              </w:rPr>
              <w:t>Supramax</w:t>
            </w:r>
            <w:proofErr w:type="spellEnd"/>
          </w:p>
        </w:tc>
        <w:tc>
          <w:tcPr>
            <w:tcW w:w="236" w:type="dxa"/>
            <w:vAlign w:val="bottom"/>
          </w:tcPr>
          <w:p w14:paraId="31639834" w14:textId="77777777" w:rsidR="00AC5C0C" w:rsidRPr="00B02BA3" w:rsidRDefault="00AC5C0C" w:rsidP="00922116">
            <w:pPr>
              <w:pStyle w:val="CellRowSpacer"/>
              <w:rPr>
                <w:sz w:val="16"/>
                <w:szCs w:val="16"/>
              </w:rPr>
            </w:pPr>
          </w:p>
        </w:tc>
        <w:tc>
          <w:tcPr>
            <w:tcW w:w="907" w:type="dxa"/>
            <w:vAlign w:val="bottom"/>
          </w:tcPr>
          <w:p w14:paraId="54D2E0DA" w14:textId="77777777" w:rsidR="00AC5C0C" w:rsidRPr="00B02BA3" w:rsidRDefault="00AC5C0C" w:rsidP="00922116">
            <w:pPr>
              <w:pStyle w:val="VSmCellBody"/>
              <w:jc w:val="right"/>
              <w:rPr>
                <w:sz w:val="16"/>
                <w:szCs w:val="16"/>
              </w:rPr>
            </w:pPr>
            <w:r w:rsidRPr="00B02BA3">
              <w:rPr>
                <w:sz w:val="16"/>
                <w:szCs w:val="16"/>
              </w:rPr>
              <w:t>2026</w:t>
            </w:r>
          </w:p>
        </w:tc>
        <w:tc>
          <w:tcPr>
            <w:tcW w:w="236" w:type="dxa"/>
            <w:vAlign w:val="bottom"/>
          </w:tcPr>
          <w:p w14:paraId="3908DC7E" w14:textId="77777777" w:rsidR="00AC5C0C" w:rsidRPr="00B02BA3" w:rsidRDefault="00AC5C0C" w:rsidP="00922116">
            <w:pPr>
              <w:pStyle w:val="CellRowSpacer"/>
              <w:rPr>
                <w:sz w:val="16"/>
                <w:szCs w:val="16"/>
              </w:rPr>
            </w:pPr>
          </w:p>
        </w:tc>
        <w:tc>
          <w:tcPr>
            <w:tcW w:w="745" w:type="dxa"/>
            <w:vAlign w:val="bottom"/>
          </w:tcPr>
          <w:p w14:paraId="23FFAAB0" w14:textId="77777777" w:rsidR="00AC5C0C" w:rsidRPr="00B02BA3" w:rsidRDefault="00AC5C0C" w:rsidP="00922116">
            <w:pPr>
              <w:pStyle w:val="VSmCellBody"/>
              <w:jc w:val="right"/>
              <w:rPr>
                <w:sz w:val="16"/>
                <w:szCs w:val="16"/>
              </w:rPr>
            </w:pPr>
            <w:r w:rsidRPr="00B02BA3">
              <w:rPr>
                <w:sz w:val="16"/>
                <w:szCs w:val="16"/>
              </w:rPr>
              <w:t>2011</w:t>
            </w:r>
          </w:p>
        </w:tc>
        <w:tc>
          <w:tcPr>
            <w:tcW w:w="180" w:type="dxa"/>
            <w:vAlign w:val="bottom"/>
          </w:tcPr>
          <w:p w14:paraId="2243DE68" w14:textId="77777777" w:rsidR="00AC5C0C" w:rsidRPr="00B02BA3" w:rsidRDefault="00AC5C0C" w:rsidP="00922116">
            <w:pPr>
              <w:pStyle w:val="CellRowSpacer"/>
              <w:rPr>
                <w:sz w:val="16"/>
                <w:szCs w:val="16"/>
              </w:rPr>
            </w:pPr>
          </w:p>
        </w:tc>
        <w:tc>
          <w:tcPr>
            <w:tcW w:w="1125" w:type="dxa"/>
            <w:vAlign w:val="bottom"/>
          </w:tcPr>
          <w:p w14:paraId="20B805AA" w14:textId="77777777" w:rsidR="00AC5C0C" w:rsidRPr="00B02BA3" w:rsidRDefault="00AC5C0C" w:rsidP="00922116">
            <w:pPr>
              <w:pStyle w:val="VSmCellBody"/>
              <w:jc w:val="right"/>
              <w:rPr>
                <w:sz w:val="16"/>
                <w:szCs w:val="16"/>
              </w:rPr>
            </w:pPr>
            <w:r w:rsidRPr="00B02BA3">
              <w:rPr>
                <w:sz w:val="16"/>
                <w:szCs w:val="16"/>
              </w:rPr>
              <w:t>Panama</w:t>
            </w:r>
          </w:p>
        </w:tc>
        <w:tc>
          <w:tcPr>
            <w:tcW w:w="236" w:type="dxa"/>
            <w:vAlign w:val="bottom"/>
          </w:tcPr>
          <w:p w14:paraId="4EBE01FB" w14:textId="77777777" w:rsidR="00AC5C0C" w:rsidRPr="00B02BA3" w:rsidRDefault="00AC5C0C" w:rsidP="00922116">
            <w:pPr>
              <w:pStyle w:val="CellRowSpacer"/>
              <w:rPr>
                <w:sz w:val="16"/>
                <w:szCs w:val="16"/>
              </w:rPr>
            </w:pPr>
          </w:p>
        </w:tc>
      </w:tr>
      <w:tr w:rsidR="00AC5C0C" w:rsidRPr="00B02BA3" w14:paraId="091BD480" w14:textId="77777777" w:rsidTr="00922116">
        <w:tc>
          <w:tcPr>
            <w:tcW w:w="3163" w:type="dxa"/>
            <w:vAlign w:val="bottom"/>
          </w:tcPr>
          <w:p w14:paraId="52382484" w14:textId="77777777" w:rsidR="00AC5C0C" w:rsidRPr="00B02BA3" w:rsidRDefault="00AC5C0C" w:rsidP="00922116">
            <w:pPr>
              <w:pStyle w:val="VSmCellBody"/>
              <w:tabs>
                <w:tab w:val="right" w:leader="dot" w:pos="3163"/>
              </w:tabs>
              <w:rPr>
                <w:sz w:val="16"/>
                <w:szCs w:val="16"/>
              </w:rPr>
            </w:pPr>
            <w:r w:rsidRPr="00B02BA3">
              <w:rPr>
                <w:sz w:val="16"/>
                <w:szCs w:val="16"/>
              </w:rPr>
              <w:t>Jewel of Sohar</w:t>
            </w:r>
            <w:r w:rsidRPr="00B02BA3">
              <w:rPr>
                <w:rFonts w:eastAsia="SimSun"/>
                <w:sz w:val="16"/>
                <w:szCs w:val="16"/>
              </w:rPr>
              <w:tab/>
            </w:r>
          </w:p>
        </w:tc>
        <w:tc>
          <w:tcPr>
            <w:tcW w:w="236" w:type="dxa"/>
            <w:vAlign w:val="bottom"/>
          </w:tcPr>
          <w:p w14:paraId="4EDDBCE9" w14:textId="77777777" w:rsidR="00AC5C0C" w:rsidRPr="00B02BA3" w:rsidRDefault="00AC5C0C" w:rsidP="00922116">
            <w:pPr>
              <w:pStyle w:val="CellRowSpacer"/>
              <w:rPr>
                <w:sz w:val="16"/>
                <w:szCs w:val="16"/>
              </w:rPr>
            </w:pPr>
          </w:p>
        </w:tc>
        <w:tc>
          <w:tcPr>
            <w:tcW w:w="907" w:type="dxa"/>
            <w:vAlign w:val="bottom"/>
          </w:tcPr>
          <w:p w14:paraId="2BA51222" w14:textId="77777777" w:rsidR="00AC5C0C" w:rsidRPr="00B02BA3" w:rsidRDefault="00AC5C0C" w:rsidP="00922116">
            <w:pPr>
              <w:pStyle w:val="VSmCellBody"/>
              <w:jc w:val="right"/>
              <w:rPr>
                <w:sz w:val="16"/>
                <w:szCs w:val="16"/>
              </w:rPr>
            </w:pPr>
            <w:r w:rsidRPr="00B02BA3">
              <w:rPr>
                <w:sz w:val="16"/>
                <w:szCs w:val="16"/>
              </w:rPr>
              <w:t>55,886</w:t>
            </w:r>
          </w:p>
        </w:tc>
        <w:tc>
          <w:tcPr>
            <w:tcW w:w="236" w:type="dxa"/>
            <w:vAlign w:val="bottom"/>
          </w:tcPr>
          <w:p w14:paraId="76B573DF" w14:textId="77777777" w:rsidR="00AC5C0C" w:rsidRPr="00B02BA3" w:rsidRDefault="00AC5C0C" w:rsidP="00922116">
            <w:pPr>
              <w:pStyle w:val="CellRowSpacer"/>
              <w:rPr>
                <w:sz w:val="16"/>
                <w:szCs w:val="16"/>
              </w:rPr>
            </w:pPr>
          </w:p>
        </w:tc>
        <w:tc>
          <w:tcPr>
            <w:tcW w:w="907" w:type="dxa"/>
            <w:vAlign w:val="bottom"/>
          </w:tcPr>
          <w:p w14:paraId="2A2B23D4" w14:textId="77777777" w:rsidR="00AC5C0C" w:rsidRPr="00B02BA3" w:rsidRDefault="00AC5C0C" w:rsidP="00922116">
            <w:pPr>
              <w:pStyle w:val="VSmCellBody"/>
              <w:jc w:val="right"/>
              <w:rPr>
                <w:sz w:val="16"/>
                <w:szCs w:val="16"/>
              </w:rPr>
            </w:pPr>
            <w:proofErr w:type="spellStart"/>
            <w:r w:rsidRPr="00B02BA3">
              <w:rPr>
                <w:sz w:val="16"/>
                <w:szCs w:val="16"/>
              </w:rPr>
              <w:t>Supramax</w:t>
            </w:r>
            <w:proofErr w:type="spellEnd"/>
          </w:p>
        </w:tc>
        <w:tc>
          <w:tcPr>
            <w:tcW w:w="236" w:type="dxa"/>
            <w:vAlign w:val="bottom"/>
          </w:tcPr>
          <w:p w14:paraId="540A528F" w14:textId="77777777" w:rsidR="00AC5C0C" w:rsidRPr="00B02BA3" w:rsidRDefault="00AC5C0C" w:rsidP="00922116">
            <w:pPr>
              <w:pStyle w:val="CellRowSpacer"/>
              <w:rPr>
                <w:sz w:val="16"/>
                <w:szCs w:val="16"/>
              </w:rPr>
            </w:pPr>
          </w:p>
        </w:tc>
        <w:tc>
          <w:tcPr>
            <w:tcW w:w="907" w:type="dxa"/>
            <w:vAlign w:val="bottom"/>
          </w:tcPr>
          <w:p w14:paraId="2B0E09EC" w14:textId="77777777" w:rsidR="00AC5C0C" w:rsidRPr="00B02BA3" w:rsidRDefault="00AC5C0C" w:rsidP="00922116">
            <w:pPr>
              <w:pStyle w:val="VSmCellBody"/>
              <w:jc w:val="right"/>
              <w:rPr>
                <w:sz w:val="16"/>
                <w:szCs w:val="16"/>
              </w:rPr>
            </w:pPr>
            <w:r w:rsidRPr="00B02BA3">
              <w:rPr>
                <w:sz w:val="16"/>
                <w:szCs w:val="16"/>
              </w:rPr>
              <w:t>2026</w:t>
            </w:r>
          </w:p>
        </w:tc>
        <w:tc>
          <w:tcPr>
            <w:tcW w:w="236" w:type="dxa"/>
            <w:vAlign w:val="bottom"/>
          </w:tcPr>
          <w:p w14:paraId="549F71A2" w14:textId="77777777" w:rsidR="00AC5C0C" w:rsidRPr="00B02BA3" w:rsidRDefault="00AC5C0C" w:rsidP="00922116">
            <w:pPr>
              <w:pStyle w:val="CellRowSpacer"/>
              <w:rPr>
                <w:sz w:val="16"/>
                <w:szCs w:val="16"/>
              </w:rPr>
            </w:pPr>
          </w:p>
        </w:tc>
        <w:tc>
          <w:tcPr>
            <w:tcW w:w="745" w:type="dxa"/>
            <w:vAlign w:val="bottom"/>
          </w:tcPr>
          <w:p w14:paraId="03D737F6" w14:textId="77777777" w:rsidR="00AC5C0C" w:rsidRPr="00B02BA3" w:rsidRDefault="00AC5C0C" w:rsidP="00922116">
            <w:pPr>
              <w:pStyle w:val="VSmCellBody"/>
              <w:jc w:val="right"/>
              <w:rPr>
                <w:sz w:val="16"/>
                <w:szCs w:val="16"/>
              </w:rPr>
            </w:pPr>
            <w:r w:rsidRPr="00B02BA3">
              <w:rPr>
                <w:sz w:val="16"/>
                <w:szCs w:val="16"/>
              </w:rPr>
              <w:t>2011</w:t>
            </w:r>
          </w:p>
        </w:tc>
        <w:tc>
          <w:tcPr>
            <w:tcW w:w="180" w:type="dxa"/>
            <w:vAlign w:val="bottom"/>
          </w:tcPr>
          <w:p w14:paraId="728A7F41" w14:textId="77777777" w:rsidR="00AC5C0C" w:rsidRPr="00B02BA3" w:rsidRDefault="00AC5C0C" w:rsidP="00922116">
            <w:pPr>
              <w:pStyle w:val="CellRowSpacer"/>
              <w:rPr>
                <w:sz w:val="16"/>
                <w:szCs w:val="16"/>
              </w:rPr>
            </w:pPr>
          </w:p>
        </w:tc>
        <w:tc>
          <w:tcPr>
            <w:tcW w:w="1125" w:type="dxa"/>
            <w:vAlign w:val="bottom"/>
          </w:tcPr>
          <w:p w14:paraId="4640C4DE" w14:textId="77777777" w:rsidR="00AC5C0C" w:rsidRPr="00B02BA3" w:rsidRDefault="00AC5C0C" w:rsidP="00922116">
            <w:pPr>
              <w:pStyle w:val="VSmCellBody"/>
              <w:jc w:val="right"/>
              <w:rPr>
                <w:sz w:val="16"/>
                <w:szCs w:val="16"/>
              </w:rPr>
            </w:pPr>
            <w:r w:rsidRPr="00B02BA3">
              <w:rPr>
                <w:sz w:val="16"/>
                <w:szCs w:val="16"/>
              </w:rPr>
              <w:t>Panama</w:t>
            </w:r>
          </w:p>
        </w:tc>
        <w:tc>
          <w:tcPr>
            <w:tcW w:w="236" w:type="dxa"/>
            <w:vAlign w:val="bottom"/>
          </w:tcPr>
          <w:p w14:paraId="3DCD53FD" w14:textId="77777777" w:rsidR="00AC5C0C" w:rsidRPr="00B02BA3" w:rsidRDefault="00AC5C0C" w:rsidP="00922116">
            <w:pPr>
              <w:pStyle w:val="CellRowSpacer"/>
              <w:rPr>
                <w:sz w:val="16"/>
                <w:szCs w:val="16"/>
              </w:rPr>
            </w:pPr>
          </w:p>
        </w:tc>
      </w:tr>
      <w:tr w:rsidR="00AC5C0C" w:rsidRPr="00B02BA3" w14:paraId="3CD5FE97" w14:textId="77777777" w:rsidTr="00922116">
        <w:tc>
          <w:tcPr>
            <w:tcW w:w="3163" w:type="dxa"/>
            <w:vAlign w:val="bottom"/>
          </w:tcPr>
          <w:p w14:paraId="0BB3DFD6" w14:textId="77777777" w:rsidR="00AC5C0C" w:rsidRPr="00B02BA3" w:rsidRDefault="00AC5C0C" w:rsidP="00922116">
            <w:pPr>
              <w:pStyle w:val="VSmCellBody"/>
              <w:tabs>
                <w:tab w:val="right" w:leader="dot" w:pos="3163"/>
              </w:tabs>
              <w:rPr>
                <w:sz w:val="16"/>
                <w:szCs w:val="16"/>
              </w:rPr>
            </w:pPr>
            <w:r w:rsidRPr="00B02BA3">
              <w:rPr>
                <w:sz w:val="16"/>
                <w:szCs w:val="16"/>
              </w:rPr>
              <w:t>MV Eastern</w:t>
            </w:r>
            <w:r w:rsidRPr="00B02BA3">
              <w:rPr>
                <w:rFonts w:eastAsia="SimSun"/>
                <w:sz w:val="16"/>
                <w:szCs w:val="16"/>
              </w:rPr>
              <w:tab/>
            </w:r>
          </w:p>
        </w:tc>
        <w:tc>
          <w:tcPr>
            <w:tcW w:w="236" w:type="dxa"/>
            <w:vAlign w:val="bottom"/>
          </w:tcPr>
          <w:p w14:paraId="0E9EC41A" w14:textId="77777777" w:rsidR="00AC5C0C" w:rsidRPr="00B02BA3" w:rsidRDefault="00AC5C0C" w:rsidP="00922116">
            <w:pPr>
              <w:pStyle w:val="CellRowSpacer"/>
              <w:rPr>
                <w:sz w:val="16"/>
                <w:szCs w:val="16"/>
              </w:rPr>
            </w:pPr>
          </w:p>
        </w:tc>
        <w:tc>
          <w:tcPr>
            <w:tcW w:w="907" w:type="dxa"/>
            <w:vAlign w:val="bottom"/>
          </w:tcPr>
          <w:p w14:paraId="7BD5C520" w14:textId="77777777" w:rsidR="00AC5C0C" w:rsidRPr="00B02BA3" w:rsidRDefault="00AC5C0C" w:rsidP="00922116">
            <w:pPr>
              <w:pStyle w:val="VSmCellBody"/>
              <w:jc w:val="right"/>
              <w:rPr>
                <w:sz w:val="16"/>
                <w:szCs w:val="16"/>
              </w:rPr>
            </w:pPr>
            <w:r w:rsidRPr="00B02BA3">
              <w:rPr>
                <w:sz w:val="16"/>
                <w:szCs w:val="16"/>
              </w:rPr>
              <w:t>56,757</w:t>
            </w:r>
          </w:p>
        </w:tc>
        <w:tc>
          <w:tcPr>
            <w:tcW w:w="236" w:type="dxa"/>
            <w:vAlign w:val="bottom"/>
          </w:tcPr>
          <w:p w14:paraId="52F858DB" w14:textId="77777777" w:rsidR="00AC5C0C" w:rsidRPr="00B02BA3" w:rsidRDefault="00AC5C0C" w:rsidP="00922116">
            <w:pPr>
              <w:pStyle w:val="CellRowSpacer"/>
              <w:rPr>
                <w:sz w:val="16"/>
                <w:szCs w:val="16"/>
              </w:rPr>
            </w:pPr>
          </w:p>
        </w:tc>
        <w:tc>
          <w:tcPr>
            <w:tcW w:w="907" w:type="dxa"/>
            <w:vAlign w:val="bottom"/>
          </w:tcPr>
          <w:p w14:paraId="1C75A9B2" w14:textId="77777777" w:rsidR="00AC5C0C" w:rsidRPr="00B02BA3" w:rsidRDefault="00AC5C0C" w:rsidP="00922116">
            <w:pPr>
              <w:pStyle w:val="VSmCellBody"/>
              <w:jc w:val="right"/>
              <w:rPr>
                <w:sz w:val="16"/>
                <w:szCs w:val="16"/>
              </w:rPr>
            </w:pPr>
            <w:proofErr w:type="spellStart"/>
            <w:r w:rsidRPr="00B02BA3">
              <w:rPr>
                <w:sz w:val="16"/>
                <w:szCs w:val="16"/>
              </w:rPr>
              <w:t>Supramax</w:t>
            </w:r>
            <w:proofErr w:type="spellEnd"/>
          </w:p>
        </w:tc>
        <w:tc>
          <w:tcPr>
            <w:tcW w:w="236" w:type="dxa"/>
            <w:vAlign w:val="bottom"/>
          </w:tcPr>
          <w:p w14:paraId="68FBC6DC" w14:textId="77777777" w:rsidR="00AC5C0C" w:rsidRPr="00B02BA3" w:rsidRDefault="00AC5C0C" w:rsidP="00922116">
            <w:pPr>
              <w:pStyle w:val="CellRowSpacer"/>
              <w:rPr>
                <w:sz w:val="16"/>
                <w:szCs w:val="16"/>
              </w:rPr>
            </w:pPr>
          </w:p>
        </w:tc>
        <w:tc>
          <w:tcPr>
            <w:tcW w:w="907" w:type="dxa"/>
            <w:vAlign w:val="bottom"/>
          </w:tcPr>
          <w:p w14:paraId="1E08E4C7" w14:textId="77777777" w:rsidR="00AC5C0C" w:rsidRPr="00B02BA3" w:rsidRDefault="00AC5C0C" w:rsidP="00922116">
            <w:pPr>
              <w:pStyle w:val="VSmCellBody"/>
              <w:jc w:val="right"/>
              <w:rPr>
                <w:sz w:val="16"/>
                <w:szCs w:val="16"/>
              </w:rPr>
            </w:pPr>
            <w:r w:rsidRPr="00B02BA3">
              <w:rPr>
                <w:sz w:val="16"/>
                <w:szCs w:val="16"/>
              </w:rPr>
              <w:t>2024</w:t>
            </w:r>
            <w:r w:rsidRPr="00B02BA3" w:rsidDel="00746894">
              <w:rPr>
                <w:sz w:val="16"/>
                <w:szCs w:val="16"/>
              </w:rPr>
              <w:t xml:space="preserve"> </w:t>
            </w:r>
          </w:p>
        </w:tc>
        <w:tc>
          <w:tcPr>
            <w:tcW w:w="236" w:type="dxa"/>
            <w:vAlign w:val="bottom"/>
          </w:tcPr>
          <w:p w14:paraId="563D6DA0" w14:textId="77777777" w:rsidR="00AC5C0C" w:rsidRPr="00B02BA3" w:rsidRDefault="00AC5C0C" w:rsidP="00922116">
            <w:pPr>
              <w:pStyle w:val="CellRowSpacer"/>
              <w:rPr>
                <w:sz w:val="16"/>
                <w:szCs w:val="16"/>
              </w:rPr>
            </w:pPr>
          </w:p>
        </w:tc>
        <w:tc>
          <w:tcPr>
            <w:tcW w:w="745" w:type="dxa"/>
            <w:vAlign w:val="bottom"/>
          </w:tcPr>
          <w:p w14:paraId="0DA369F8" w14:textId="77777777" w:rsidR="00AC5C0C" w:rsidRPr="00B02BA3" w:rsidRDefault="00AC5C0C" w:rsidP="00922116">
            <w:pPr>
              <w:pStyle w:val="VSmCellBody"/>
              <w:jc w:val="right"/>
              <w:rPr>
                <w:sz w:val="16"/>
                <w:szCs w:val="16"/>
              </w:rPr>
            </w:pPr>
            <w:r w:rsidRPr="00B02BA3">
              <w:rPr>
                <w:sz w:val="16"/>
                <w:szCs w:val="16"/>
              </w:rPr>
              <w:t>2012</w:t>
            </w:r>
          </w:p>
        </w:tc>
        <w:tc>
          <w:tcPr>
            <w:tcW w:w="180" w:type="dxa"/>
            <w:vAlign w:val="bottom"/>
          </w:tcPr>
          <w:p w14:paraId="51251693" w14:textId="77777777" w:rsidR="00AC5C0C" w:rsidRPr="00B02BA3" w:rsidRDefault="00AC5C0C" w:rsidP="00922116">
            <w:pPr>
              <w:pStyle w:val="CellRowSpacer"/>
              <w:rPr>
                <w:sz w:val="16"/>
                <w:szCs w:val="16"/>
              </w:rPr>
            </w:pPr>
          </w:p>
        </w:tc>
        <w:tc>
          <w:tcPr>
            <w:tcW w:w="1125" w:type="dxa"/>
          </w:tcPr>
          <w:p w14:paraId="16DFEA2F" w14:textId="77777777" w:rsidR="00AC5C0C" w:rsidRPr="00B02BA3" w:rsidRDefault="00AC5C0C" w:rsidP="00922116">
            <w:pPr>
              <w:pStyle w:val="VSmCellBody"/>
              <w:jc w:val="right"/>
              <w:rPr>
                <w:sz w:val="16"/>
                <w:szCs w:val="16"/>
              </w:rPr>
            </w:pPr>
            <w:r w:rsidRPr="00B02BA3">
              <w:rPr>
                <w:sz w:val="16"/>
                <w:szCs w:val="16"/>
              </w:rPr>
              <w:t>Hong Kong</w:t>
            </w:r>
          </w:p>
        </w:tc>
        <w:tc>
          <w:tcPr>
            <w:tcW w:w="236" w:type="dxa"/>
            <w:vAlign w:val="bottom"/>
          </w:tcPr>
          <w:p w14:paraId="2727CC51" w14:textId="77777777" w:rsidR="00AC5C0C" w:rsidRPr="00B02BA3" w:rsidRDefault="00AC5C0C" w:rsidP="00922116">
            <w:pPr>
              <w:pStyle w:val="CellRowSpacer"/>
              <w:rPr>
                <w:sz w:val="16"/>
                <w:szCs w:val="16"/>
              </w:rPr>
            </w:pPr>
          </w:p>
        </w:tc>
      </w:tr>
      <w:tr w:rsidR="00AC5C0C" w:rsidRPr="00B02BA3" w14:paraId="4E3E2D22" w14:textId="77777777" w:rsidTr="00922116">
        <w:tc>
          <w:tcPr>
            <w:tcW w:w="3163" w:type="dxa"/>
            <w:vAlign w:val="bottom"/>
          </w:tcPr>
          <w:p w14:paraId="7894C569" w14:textId="77777777" w:rsidR="00AC5C0C" w:rsidRPr="00B02BA3" w:rsidRDefault="00AC5C0C" w:rsidP="00922116">
            <w:pPr>
              <w:pStyle w:val="VSmCellBody"/>
              <w:tabs>
                <w:tab w:val="right" w:leader="dot" w:pos="3163"/>
              </w:tabs>
              <w:rPr>
                <w:sz w:val="16"/>
                <w:szCs w:val="16"/>
              </w:rPr>
            </w:pPr>
            <w:r w:rsidRPr="00B02BA3">
              <w:rPr>
                <w:sz w:val="16"/>
                <w:szCs w:val="16"/>
              </w:rPr>
              <w:t>MV Melody Selmer</w:t>
            </w:r>
            <w:r w:rsidRPr="00B02BA3">
              <w:rPr>
                <w:rFonts w:eastAsia="SimSun"/>
                <w:sz w:val="16"/>
                <w:szCs w:val="16"/>
              </w:rPr>
              <w:tab/>
            </w:r>
          </w:p>
        </w:tc>
        <w:tc>
          <w:tcPr>
            <w:tcW w:w="236" w:type="dxa"/>
            <w:vAlign w:val="bottom"/>
          </w:tcPr>
          <w:p w14:paraId="7E66562F" w14:textId="77777777" w:rsidR="00AC5C0C" w:rsidRPr="00B02BA3" w:rsidRDefault="00AC5C0C" w:rsidP="00922116">
            <w:pPr>
              <w:pStyle w:val="CellRowSpacer"/>
              <w:rPr>
                <w:sz w:val="16"/>
                <w:szCs w:val="16"/>
              </w:rPr>
            </w:pPr>
          </w:p>
        </w:tc>
        <w:tc>
          <w:tcPr>
            <w:tcW w:w="907" w:type="dxa"/>
            <w:vAlign w:val="bottom"/>
          </w:tcPr>
          <w:p w14:paraId="370551D2" w14:textId="77777777" w:rsidR="00AC5C0C" w:rsidRPr="00B02BA3" w:rsidRDefault="00AC5C0C" w:rsidP="00922116">
            <w:pPr>
              <w:pStyle w:val="VSmCellBody"/>
              <w:jc w:val="right"/>
              <w:rPr>
                <w:sz w:val="16"/>
                <w:szCs w:val="16"/>
              </w:rPr>
            </w:pPr>
            <w:r w:rsidRPr="00B02BA3">
              <w:rPr>
                <w:sz w:val="16"/>
                <w:szCs w:val="16"/>
              </w:rPr>
              <w:t>37,408</w:t>
            </w:r>
          </w:p>
        </w:tc>
        <w:tc>
          <w:tcPr>
            <w:tcW w:w="236" w:type="dxa"/>
            <w:vAlign w:val="bottom"/>
          </w:tcPr>
          <w:p w14:paraId="6220ABCB" w14:textId="77777777" w:rsidR="00AC5C0C" w:rsidRPr="00B02BA3" w:rsidRDefault="00AC5C0C" w:rsidP="00922116">
            <w:pPr>
              <w:pStyle w:val="CellRowSpacer"/>
              <w:rPr>
                <w:sz w:val="16"/>
                <w:szCs w:val="16"/>
              </w:rPr>
            </w:pPr>
          </w:p>
        </w:tc>
        <w:tc>
          <w:tcPr>
            <w:tcW w:w="907" w:type="dxa"/>
            <w:vAlign w:val="bottom"/>
          </w:tcPr>
          <w:p w14:paraId="1A6B8807" w14:textId="77777777" w:rsidR="00AC5C0C" w:rsidRPr="00B02BA3" w:rsidRDefault="00AC5C0C" w:rsidP="00922116">
            <w:pPr>
              <w:pStyle w:val="VSmCellBody"/>
              <w:jc w:val="right"/>
              <w:rPr>
                <w:sz w:val="16"/>
                <w:szCs w:val="16"/>
              </w:rPr>
            </w:pPr>
            <w:r w:rsidRPr="00B02BA3">
              <w:rPr>
                <w:sz w:val="16"/>
                <w:szCs w:val="16"/>
              </w:rPr>
              <w:t>Handymax</w:t>
            </w:r>
          </w:p>
        </w:tc>
        <w:tc>
          <w:tcPr>
            <w:tcW w:w="236" w:type="dxa"/>
            <w:vAlign w:val="bottom"/>
          </w:tcPr>
          <w:p w14:paraId="2A4E42FF" w14:textId="77777777" w:rsidR="00AC5C0C" w:rsidRPr="00B02BA3" w:rsidRDefault="00AC5C0C" w:rsidP="00922116">
            <w:pPr>
              <w:pStyle w:val="CellRowSpacer"/>
              <w:rPr>
                <w:sz w:val="16"/>
                <w:szCs w:val="16"/>
              </w:rPr>
            </w:pPr>
          </w:p>
        </w:tc>
        <w:tc>
          <w:tcPr>
            <w:tcW w:w="907" w:type="dxa"/>
            <w:vAlign w:val="bottom"/>
          </w:tcPr>
          <w:p w14:paraId="176CEAEF" w14:textId="77777777" w:rsidR="00AC5C0C" w:rsidRPr="00B02BA3" w:rsidRDefault="00AC5C0C" w:rsidP="00922116">
            <w:pPr>
              <w:pStyle w:val="VSmCellBody"/>
              <w:jc w:val="right"/>
              <w:rPr>
                <w:sz w:val="16"/>
                <w:szCs w:val="16"/>
              </w:rPr>
            </w:pPr>
            <w:r w:rsidRPr="00B02BA3">
              <w:rPr>
                <w:sz w:val="16"/>
                <w:szCs w:val="16"/>
              </w:rPr>
              <w:t>2024</w:t>
            </w:r>
            <w:r w:rsidRPr="00B02BA3" w:rsidDel="00746894">
              <w:rPr>
                <w:sz w:val="16"/>
                <w:szCs w:val="16"/>
              </w:rPr>
              <w:t xml:space="preserve"> </w:t>
            </w:r>
          </w:p>
        </w:tc>
        <w:tc>
          <w:tcPr>
            <w:tcW w:w="236" w:type="dxa"/>
            <w:vAlign w:val="bottom"/>
          </w:tcPr>
          <w:p w14:paraId="487D9270" w14:textId="77777777" w:rsidR="00AC5C0C" w:rsidRPr="00B02BA3" w:rsidRDefault="00AC5C0C" w:rsidP="00922116">
            <w:pPr>
              <w:pStyle w:val="CellRowSpacer"/>
              <w:rPr>
                <w:sz w:val="16"/>
                <w:szCs w:val="16"/>
              </w:rPr>
            </w:pPr>
          </w:p>
        </w:tc>
        <w:tc>
          <w:tcPr>
            <w:tcW w:w="745" w:type="dxa"/>
            <w:vAlign w:val="bottom"/>
          </w:tcPr>
          <w:p w14:paraId="1467B4B2" w14:textId="77777777" w:rsidR="00AC5C0C" w:rsidRPr="00B02BA3" w:rsidRDefault="00AC5C0C" w:rsidP="00922116">
            <w:pPr>
              <w:pStyle w:val="VSmCellBody"/>
              <w:jc w:val="right"/>
              <w:rPr>
                <w:sz w:val="16"/>
                <w:szCs w:val="16"/>
              </w:rPr>
            </w:pPr>
            <w:r w:rsidRPr="00B02BA3">
              <w:rPr>
                <w:sz w:val="16"/>
                <w:szCs w:val="16"/>
              </w:rPr>
              <w:t>2013</w:t>
            </w:r>
          </w:p>
        </w:tc>
        <w:tc>
          <w:tcPr>
            <w:tcW w:w="180" w:type="dxa"/>
            <w:vAlign w:val="bottom"/>
          </w:tcPr>
          <w:p w14:paraId="698BDA9E" w14:textId="77777777" w:rsidR="00AC5C0C" w:rsidRPr="00B02BA3" w:rsidRDefault="00AC5C0C" w:rsidP="00922116">
            <w:pPr>
              <w:pStyle w:val="CellRowSpacer"/>
              <w:rPr>
                <w:sz w:val="16"/>
                <w:szCs w:val="16"/>
              </w:rPr>
            </w:pPr>
          </w:p>
        </w:tc>
        <w:tc>
          <w:tcPr>
            <w:tcW w:w="1125" w:type="dxa"/>
          </w:tcPr>
          <w:p w14:paraId="354EC3F4" w14:textId="77777777" w:rsidR="00AC5C0C" w:rsidRPr="00B02BA3" w:rsidRDefault="00AC5C0C" w:rsidP="00922116">
            <w:pPr>
              <w:pStyle w:val="VSmCellBody"/>
              <w:jc w:val="right"/>
              <w:rPr>
                <w:sz w:val="16"/>
                <w:szCs w:val="16"/>
              </w:rPr>
            </w:pPr>
            <w:r w:rsidRPr="00B02BA3">
              <w:rPr>
                <w:sz w:val="16"/>
                <w:szCs w:val="16"/>
              </w:rPr>
              <w:t>Liberia</w:t>
            </w:r>
          </w:p>
        </w:tc>
        <w:tc>
          <w:tcPr>
            <w:tcW w:w="236" w:type="dxa"/>
            <w:vAlign w:val="bottom"/>
          </w:tcPr>
          <w:p w14:paraId="29C03857" w14:textId="77777777" w:rsidR="00AC5C0C" w:rsidRPr="00B02BA3" w:rsidRDefault="00AC5C0C" w:rsidP="00922116">
            <w:pPr>
              <w:pStyle w:val="CellRowSpacer"/>
              <w:rPr>
                <w:sz w:val="16"/>
                <w:szCs w:val="16"/>
              </w:rPr>
            </w:pPr>
          </w:p>
        </w:tc>
      </w:tr>
      <w:tr w:rsidR="00AC5C0C" w:rsidRPr="00B02BA3" w14:paraId="25E2569D" w14:textId="77777777" w:rsidTr="00922116">
        <w:tc>
          <w:tcPr>
            <w:tcW w:w="3163" w:type="dxa"/>
            <w:vAlign w:val="bottom"/>
          </w:tcPr>
          <w:p w14:paraId="42564ECA" w14:textId="77777777" w:rsidR="00AC5C0C" w:rsidRPr="00B02BA3" w:rsidRDefault="00AC5C0C" w:rsidP="00922116">
            <w:pPr>
              <w:pStyle w:val="VSmCellBody"/>
              <w:tabs>
                <w:tab w:val="right" w:leader="dot" w:pos="3163"/>
              </w:tabs>
              <w:rPr>
                <w:b/>
                <w:bCs/>
                <w:sz w:val="16"/>
                <w:szCs w:val="16"/>
              </w:rPr>
            </w:pPr>
            <w:r w:rsidRPr="00B02BA3">
              <w:rPr>
                <w:sz w:val="16"/>
                <w:szCs w:val="16"/>
              </w:rPr>
              <w:t xml:space="preserve">MV Ain Al </w:t>
            </w:r>
            <w:proofErr w:type="spellStart"/>
            <w:r w:rsidRPr="00B02BA3">
              <w:rPr>
                <w:sz w:val="16"/>
                <w:szCs w:val="16"/>
              </w:rPr>
              <w:t>Khasfah</w:t>
            </w:r>
            <w:proofErr w:type="spellEnd"/>
            <w:r w:rsidRPr="00B02BA3">
              <w:rPr>
                <w:rFonts w:eastAsia="SimSun"/>
                <w:sz w:val="16"/>
                <w:szCs w:val="16"/>
              </w:rPr>
              <w:tab/>
            </w:r>
          </w:p>
        </w:tc>
        <w:tc>
          <w:tcPr>
            <w:tcW w:w="236" w:type="dxa"/>
            <w:vAlign w:val="bottom"/>
          </w:tcPr>
          <w:p w14:paraId="04196245" w14:textId="77777777" w:rsidR="00AC5C0C" w:rsidRPr="00B02BA3" w:rsidRDefault="00AC5C0C" w:rsidP="00922116">
            <w:pPr>
              <w:pStyle w:val="CellRowSpacer"/>
              <w:rPr>
                <w:sz w:val="16"/>
                <w:szCs w:val="16"/>
              </w:rPr>
            </w:pPr>
          </w:p>
        </w:tc>
        <w:tc>
          <w:tcPr>
            <w:tcW w:w="907" w:type="dxa"/>
            <w:vAlign w:val="bottom"/>
          </w:tcPr>
          <w:p w14:paraId="5CDB9E19" w14:textId="77777777" w:rsidR="00AC5C0C" w:rsidRPr="00B02BA3" w:rsidRDefault="00AC5C0C" w:rsidP="00922116">
            <w:pPr>
              <w:pStyle w:val="VSmCellBody"/>
              <w:jc w:val="right"/>
              <w:rPr>
                <w:sz w:val="16"/>
                <w:szCs w:val="16"/>
              </w:rPr>
            </w:pPr>
            <w:r w:rsidRPr="00B02BA3">
              <w:rPr>
                <w:sz w:val="16"/>
                <w:szCs w:val="16"/>
              </w:rPr>
              <w:t>82,500</w:t>
            </w:r>
          </w:p>
        </w:tc>
        <w:tc>
          <w:tcPr>
            <w:tcW w:w="236" w:type="dxa"/>
            <w:vAlign w:val="bottom"/>
          </w:tcPr>
          <w:p w14:paraId="704D054A" w14:textId="77777777" w:rsidR="00AC5C0C" w:rsidRPr="00B02BA3" w:rsidRDefault="00AC5C0C" w:rsidP="00922116">
            <w:pPr>
              <w:pStyle w:val="CellRowSpacer"/>
              <w:rPr>
                <w:sz w:val="16"/>
                <w:szCs w:val="16"/>
              </w:rPr>
            </w:pPr>
          </w:p>
        </w:tc>
        <w:tc>
          <w:tcPr>
            <w:tcW w:w="907" w:type="dxa"/>
            <w:vAlign w:val="bottom"/>
          </w:tcPr>
          <w:p w14:paraId="55D0CA6A" w14:textId="77777777" w:rsidR="00AC5C0C" w:rsidRPr="00B02BA3" w:rsidRDefault="00AC5C0C" w:rsidP="00922116">
            <w:pPr>
              <w:pStyle w:val="VSmCellBody"/>
              <w:jc w:val="right"/>
              <w:rPr>
                <w:sz w:val="16"/>
                <w:szCs w:val="16"/>
              </w:rPr>
            </w:pPr>
            <w:proofErr w:type="spellStart"/>
            <w:r w:rsidRPr="00B02BA3">
              <w:rPr>
                <w:sz w:val="16"/>
                <w:szCs w:val="16"/>
              </w:rPr>
              <w:t>Kamsarmax</w:t>
            </w:r>
            <w:proofErr w:type="spellEnd"/>
          </w:p>
        </w:tc>
        <w:tc>
          <w:tcPr>
            <w:tcW w:w="236" w:type="dxa"/>
            <w:vAlign w:val="bottom"/>
          </w:tcPr>
          <w:p w14:paraId="45F218F4" w14:textId="77777777" w:rsidR="00AC5C0C" w:rsidRPr="00B02BA3" w:rsidRDefault="00AC5C0C" w:rsidP="00922116">
            <w:pPr>
              <w:pStyle w:val="CellRowSpacer"/>
              <w:rPr>
                <w:sz w:val="16"/>
                <w:szCs w:val="16"/>
              </w:rPr>
            </w:pPr>
          </w:p>
        </w:tc>
        <w:tc>
          <w:tcPr>
            <w:tcW w:w="907" w:type="dxa"/>
            <w:vAlign w:val="bottom"/>
          </w:tcPr>
          <w:p w14:paraId="73B41750" w14:textId="77777777" w:rsidR="00AC5C0C" w:rsidRPr="00B02BA3" w:rsidRDefault="00AC5C0C" w:rsidP="00922116">
            <w:pPr>
              <w:pStyle w:val="VSmCellBody"/>
              <w:jc w:val="right"/>
              <w:rPr>
                <w:sz w:val="16"/>
                <w:szCs w:val="16"/>
              </w:rPr>
            </w:pPr>
            <w:r w:rsidRPr="00B02BA3">
              <w:rPr>
                <w:sz w:val="16"/>
                <w:szCs w:val="16"/>
              </w:rPr>
              <w:t>2029</w:t>
            </w:r>
          </w:p>
        </w:tc>
        <w:tc>
          <w:tcPr>
            <w:tcW w:w="236" w:type="dxa"/>
            <w:vAlign w:val="bottom"/>
          </w:tcPr>
          <w:p w14:paraId="5EEF4DA0" w14:textId="77777777" w:rsidR="00AC5C0C" w:rsidRPr="00B02BA3" w:rsidRDefault="00AC5C0C" w:rsidP="00922116">
            <w:pPr>
              <w:pStyle w:val="CellRowSpacer"/>
              <w:rPr>
                <w:sz w:val="16"/>
                <w:szCs w:val="16"/>
              </w:rPr>
            </w:pPr>
          </w:p>
        </w:tc>
        <w:tc>
          <w:tcPr>
            <w:tcW w:w="745" w:type="dxa"/>
            <w:vAlign w:val="bottom"/>
          </w:tcPr>
          <w:p w14:paraId="1D81CCD1" w14:textId="77777777" w:rsidR="00AC5C0C" w:rsidRPr="00B02BA3" w:rsidRDefault="00AC5C0C" w:rsidP="00922116">
            <w:pPr>
              <w:pStyle w:val="VSmCellBody"/>
              <w:jc w:val="right"/>
              <w:rPr>
                <w:sz w:val="16"/>
                <w:szCs w:val="16"/>
              </w:rPr>
            </w:pPr>
            <w:r w:rsidRPr="00B02BA3">
              <w:rPr>
                <w:sz w:val="16"/>
                <w:szCs w:val="16"/>
              </w:rPr>
              <w:t>2024</w:t>
            </w:r>
          </w:p>
        </w:tc>
        <w:tc>
          <w:tcPr>
            <w:tcW w:w="180" w:type="dxa"/>
            <w:vAlign w:val="bottom"/>
          </w:tcPr>
          <w:p w14:paraId="179B31AA" w14:textId="77777777" w:rsidR="00AC5C0C" w:rsidRPr="00B02BA3" w:rsidRDefault="00AC5C0C" w:rsidP="00922116">
            <w:pPr>
              <w:pStyle w:val="CellRowSpacer"/>
              <w:rPr>
                <w:sz w:val="16"/>
                <w:szCs w:val="16"/>
              </w:rPr>
            </w:pPr>
          </w:p>
        </w:tc>
        <w:tc>
          <w:tcPr>
            <w:tcW w:w="1125" w:type="dxa"/>
          </w:tcPr>
          <w:p w14:paraId="37CD0207"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4ED39405" w14:textId="77777777" w:rsidR="00AC5C0C" w:rsidRPr="00B02BA3" w:rsidRDefault="00AC5C0C" w:rsidP="00922116">
            <w:pPr>
              <w:pStyle w:val="CellRowSpacer"/>
              <w:rPr>
                <w:sz w:val="16"/>
                <w:szCs w:val="16"/>
              </w:rPr>
            </w:pPr>
          </w:p>
        </w:tc>
      </w:tr>
      <w:tr w:rsidR="00AC5C0C" w:rsidRPr="00B02BA3" w14:paraId="3D25CEF3" w14:textId="77777777" w:rsidTr="00922116">
        <w:tc>
          <w:tcPr>
            <w:tcW w:w="3163" w:type="dxa"/>
            <w:vAlign w:val="bottom"/>
          </w:tcPr>
          <w:p w14:paraId="772193DB" w14:textId="77777777" w:rsidR="00AC5C0C" w:rsidRPr="00B02BA3" w:rsidRDefault="00AC5C0C" w:rsidP="00922116">
            <w:pPr>
              <w:pStyle w:val="VSmCellBody"/>
              <w:tabs>
                <w:tab w:val="right" w:leader="dot" w:pos="3163"/>
              </w:tabs>
              <w:rPr>
                <w:sz w:val="16"/>
                <w:szCs w:val="16"/>
              </w:rPr>
            </w:pPr>
            <w:r w:rsidRPr="00B02BA3">
              <w:rPr>
                <w:rFonts w:eastAsia="SimSun"/>
                <w:sz w:val="16"/>
                <w:szCs w:val="16"/>
              </w:rPr>
              <w:t>MV Dioni Gr</w:t>
            </w:r>
            <w:r w:rsidRPr="00B02BA3">
              <w:rPr>
                <w:rFonts w:eastAsia="SimSun"/>
                <w:sz w:val="16"/>
                <w:szCs w:val="16"/>
              </w:rPr>
              <w:tab/>
            </w:r>
          </w:p>
        </w:tc>
        <w:tc>
          <w:tcPr>
            <w:tcW w:w="236" w:type="dxa"/>
            <w:vAlign w:val="bottom"/>
          </w:tcPr>
          <w:p w14:paraId="5E323C0E" w14:textId="77777777" w:rsidR="00AC5C0C" w:rsidRPr="00B02BA3" w:rsidRDefault="00AC5C0C" w:rsidP="00922116">
            <w:pPr>
              <w:pStyle w:val="CellRowSpacer"/>
              <w:rPr>
                <w:sz w:val="16"/>
                <w:szCs w:val="16"/>
              </w:rPr>
            </w:pPr>
          </w:p>
        </w:tc>
        <w:tc>
          <w:tcPr>
            <w:tcW w:w="907" w:type="dxa"/>
            <w:vAlign w:val="bottom"/>
          </w:tcPr>
          <w:p w14:paraId="4836DCE5" w14:textId="77777777" w:rsidR="00AC5C0C" w:rsidRPr="00B02BA3" w:rsidRDefault="00AC5C0C" w:rsidP="00922116">
            <w:pPr>
              <w:pStyle w:val="VSmCellBody"/>
              <w:jc w:val="right"/>
              <w:rPr>
                <w:sz w:val="16"/>
                <w:szCs w:val="16"/>
              </w:rPr>
            </w:pPr>
            <w:r w:rsidRPr="00B02BA3">
              <w:rPr>
                <w:sz w:val="16"/>
                <w:szCs w:val="16"/>
              </w:rPr>
              <w:t>34,930</w:t>
            </w:r>
          </w:p>
        </w:tc>
        <w:tc>
          <w:tcPr>
            <w:tcW w:w="236" w:type="dxa"/>
            <w:vAlign w:val="bottom"/>
          </w:tcPr>
          <w:p w14:paraId="7BC52809" w14:textId="77777777" w:rsidR="00AC5C0C" w:rsidRPr="00B02BA3" w:rsidRDefault="00AC5C0C" w:rsidP="00922116">
            <w:pPr>
              <w:pStyle w:val="CellRowSpacer"/>
              <w:rPr>
                <w:sz w:val="16"/>
                <w:szCs w:val="16"/>
              </w:rPr>
            </w:pPr>
          </w:p>
        </w:tc>
        <w:tc>
          <w:tcPr>
            <w:tcW w:w="907" w:type="dxa"/>
            <w:vAlign w:val="bottom"/>
          </w:tcPr>
          <w:p w14:paraId="559DE238" w14:textId="77777777" w:rsidR="00AC5C0C" w:rsidRPr="00B02BA3" w:rsidRDefault="00AC5C0C" w:rsidP="00922116">
            <w:pPr>
              <w:pStyle w:val="VSmCellBody"/>
              <w:jc w:val="right"/>
              <w:rPr>
                <w:sz w:val="16"/>
                <w:szCs w:val="16"/>
              </w:rPr>
            </w:pPr>
            <w:r w:rsidRPr="00B02BA3">
              <w:rPr>
                <w:sz w:val="16"/>
                <w:szCs w:val="16"/>
              </w:rPr>
              <w:t>Handymax</w:t>
            </w:r>
          </w:p>
        </w:tc>
        <w:tc>
          <w:tcPr>
            <w:tcW w:w="236" w:type="dxa"/>
            <w:vAlign w:val="bottom"/>
          </w:tcPr>
          <w:p w14:paraId="24FC6F6A" w14:textId="77777777" w:rsidR="00AC5C0C" w:rsidRPr="00B02BA3" w:rsidRDefault="00AC5C0C" w:rsidP="00922116">
            <w:pPr>
              <w:pStyle w:val="CellRowSpacer"/>
              <w:rPr>
                <w:sz w:val="16"/>
                <w:szCs w:val="16"/>
              </w:rPr>
            </w:pPr>
          </w:p>
        </w:tc>
        <w:tc>
          <w:tcPr>
            <w:tcW w:w="907" w:type="dxa"/>
            <w:vAlign w:val="bottom"/>
          </w:tcPr>
          <w:p w14:paraId="034AECA9" w14:textId="77777777" w:rsidR="00AC5C0C" w:rsidRPr="00B02BA3" w:rsidRDefault="00AC5C0C" w:rsidP="00922116">
            <w:pPr>
              <w:pStyle w:val="VSmCellBody"/>
              <w:jc w:val="right"/>
              <w:rPr>
                <w:sz w:val="16"/>
                <w:szCs w:val="16"/>
              </w:rPr>
            </w:pPr>
            <w:r w:rsidRPr="00B02BA3">
              <w:rPr>
                <w:sz w:val="16"/>
                <w:szCs w:val="16"/>
              </w:rPr>
              <w:t>2024</w:t>
            </w:r>
            <w:r w:rsidRPr="00B02BA3" w:rsidDel="00746894">
              <w:rPr>
                <w:sz w:val="16"/>
                <w:szCs w:val="16"/>
              </w:rPr>
              <w:t xml:space="preserve"> </w:t>
            </w:r>
          </w:p>
        </w:tc>
        <w:tc>
          <w:tcPr>
            <w:tcW w:w="236" w:type="dxa"/>
            <w:vAlign w:val="bottom"/>
          </w:tcPr>
          <w:p w14:paraId="6C65B6E1" w14:textId="77777777" w:rsidR="00AC5C0C" w:rsidRPr="00B02BA3" w:rsidRDefault="00AC5C0C" w:rsidP="00922116">
            <w:pPr>
              <w:pStyle w:val="CellRowSpacer"/>
              <w:rPr>
                <w:sz w:val="16"/>
                <w:szCs w:val="16"/>
              </w:rPr>
            </w:pPr>
          </w:p>
        </w:tc>
        <w:tc>
          <w:tcPr>
            <w:tcW w:w="745" w:type="dxa"/>
            <w:vAlign w:val="bottom"/>
          </w:tcPr>
          <w:p w14:paraId="1525CB62" w14:textId="77777777" w:rsidR="00AC5C0C" w:rsidRPr="00B02BA3" w:rsidRDefault="00AC5C0C" w:rsidP="00922116">
            <w:pPr>
              <w:pStyle w:val="VSmCellBody"/>
              <w:jc w:val="right"/>
              <w:rPr>
                <w:sz w:val="16"/>
                <w:szCs w:val="16"/>
              </w:rPr>
            </w:pPr>
            <w:r w:rsidRPr="00B02BA3">
              <w:rPr>
                <w:sz w:val="16"/>
                <w:szCs w:val="16"/>
              </w:rPr>
              <w:t>2018</w:t>
            </w:r>
          </w:p>
        </w:tc>
        <w:tc>
          <w:tcPr>
            <w:tcW w:w="180" w:type="dxa"/>
            <w:vAlign w:val="bottom"/>
          </w:tcPr>
          <w:p w14:paraId="65F81989" w14:textId="77777777" w:rsidR="00AC5C0C" w:rsidRPr="00B02BA3" w:rsidRDefault="00AC5C0C" w:rsidP="00922116">
            <w:pPr>
              <w:pStyle w:val="CellRowSpacer"/>
              <w:rPr>
                <w:sz w:val="16"/>
                <w:szCs w:val="16"/>
              </w:rPr>
            </w:pPr>
          </w:p>
        </w:tc>
        <w:tc>
          <w:tcPr>
            <w:tcW w:w="1125" w:type="dxa"/>
            <w:vAlign w:val="bottom"/>
          </w:tcPr>
          <w:p w14:paraId="79F879AD" w14:textId="77777777" w:rsidR="00AC5C0C" w:rsidRPr="00B02BA3" w:rsidRDefault="00AC5C0C" w:rsidP="00922116">
            <w:pPr>
              <w:pStyle w:val="VSmCellBody"/>
              <w:jc w:val="right"/>
              <w:rPr>
                <w:sz w:val="16"/>
                <w:szCs w:val="16"/>
              </w:rPr>
            </w:pPr>
            <w:r w:rsidRPr="00B02BA3">
              <w:rPr>
                <w:sz w:val="16"/>
                <w:szCs w:val="16"/>
              </w:rPr>
              <w:t>Marshall Islands</w:t>
            </w:r>
            <w:r w:rsidRPr="00B02BA3" w:rsidDel="00746894">
              <w:rPr>
                <w:sz w:val="16"/>
                <w:szCs w:val="16"/>
              </w:rPr>
              <w:t xml:space="preserve"> </w:t>
            </w:r>
          </w:p>
        </w:tc>
        <w:tc>
          <w:tcPr>
            <w:tcW w:w="236" w:type="dxa"/>
            <w:vAlign w:val="bottom"/>
          </w:tcPr>
          <w:p w14:paraId="4C60EB0A" w14:textId="77777777" w:rsidR="00AC5C0C" w:rsidRPr="00B02BA3" w:rsidRDefault="00AC5C0C" w:rsidP="00922116">
            <w:pPr>
              <w:pStyle w:val="CellRowSpacer"/>
              <w:rPr>
                <w:sz w:val="16"/>
                <w:szCs w:val="16"/>
              </w:rPr>
            </w:pPr>
          </w:p>
        </w:tc>
      </w:tr>
      <w:tr w:rsidR="00AC5C0C" w:rsidRPr="00B02BA3" w14:paraId="23BD0F0F" w14:textId="77777777" w:rsidTr="00922116">
        <w:tc>
          <w:tcPr>
            <w:tcW w:w="3163" w:type="dxa"/>
          </w:tcPr>
          <w:p w14:paraId="6E8124D4" w14:textId="77777777" w:rsidR="00AC5C0C" w:rsidRPr="00B02BA3" w:rsidRDefault="00AC5C0C" w:rsidP="00922116">
            <w:pPr>
              <w:pStyle w:val="VSmCellBody"/>
              <w:tabs>
                <w:tab w:val="right" w:leader="dot" w:pos="3163"/>
              </w:tabs>
              <w:rPr>
                <w:sz w:val="16"/>
                <w:szCs w:val="16"/>
              </w:rPr>
            </w:pPr>
            <w:r w:rsidRPr="00B02BA3">
              <w:rPr>
                <w:rFonts w:eastAsia="SimSun"/>
                <w:sz w:val="16"/>
                <w:szCs w:val="16"/>
              </w:rPr>
              <w:t>Norse Evolution</w:t>
            </w:r>
            <w:r w:rsidRPr="00B02BA3">
              <w:rPr>
                <w:rFonts w:eastAsia="SimSun"/>
                <w:sz w:val="16"/>
                <w:szCs w:val="16"/>
              </w:rPr>
              <w:tab/>
            </w:r>
          </w:p>
        </w:tc>
        <w:tc>
          <w:tcPr>
            <w:tcW w:w="236" w:type="dxa"/>
            <w:vAlign w:val="bottom"/>
          </w:tcPr>
          <w:p w14:paraId="6B6ED013" w14:textId="77777777" w:rsidR="00AC5C0C" w:rsidRPr="00B02BA3" w:rsidRDefault="00AC5C0C" w:rsidP="00922116">
            <w:pPr>
              <w:pStyle w:val="CellRowSpacer"/>
              <w:rPr>
                <w:sz w:val="16"/>
                <w:szCs w:val="16"/>
              </w:rPr>
            </w:pPr>
          </w:p>
        </w:tc>
        <w:tc>
          <w:tcPr>
            <w:tcW w:w="907" w:type="dxa"/>
            <w:vAlign w:val="bottom"/>
          </w:tcPr>
          <w:p w14:paraId="15315ADF" w14:textId="77777777" w:rsidR="00AC5C0C" w:rsidRPr="00B02BA3" w:rsidRDefault="00AC5C0C" w:rsidP="00922116">
            <w:pPr>
              <w:pStyle w:val="VSmCellBody"/>
              <w:jc w:val="right"/>
              <w:rPr>
                <w:sz w:val="16"/>
                <w:szCs w:val="16"/>
              </w:rPr>
            </w:pPr>
            <w:r w:rsidRPr="00B02BA3">
              <w:rPr>
                <w:sz w:val="16"/>
                <w:szCs w:val="16"/>
              </w:rPr>
              <w:t>66,305</w:t>
            </w:r>
          </w:p>
        </w:tc>
        <w:tc>
          <w:tcPr>
            <w:tcW w:w="236" w:type="dxa"/>
            <w:vAlign w:val="bottom"/>
          </w:tcPr>
          <w:p w14:paraId="2177DB21" w14:textId="77777777" w:rsidR="00AC5C0C" w:rsidRPr="00B02BA3" w:rsidRDefault="00AC5C0C" w:rsidP="00922116">
            <w:pPr>
              <w:pStyle w:val="CellRowSpacer"/>
              <w:rPr>
                <w:sz w:val="16"/>
                <w:szCs w:val="16"/>
              </w:rPr>
            </w:pPr>
          </w:p>
        </w:tc>
        <w:tc>
          <w:tcPr>
            <w:tcW w:w="907" w:type="dxa"/>
            <w:vAlign w:val="bottom"/>
          </w:tcPr>
          <w:p w14:paraId="0E1E4AB9" w14:textId="77777777" w:rsidR="00AC5C0C" w:rsidRPr="00B02BA3" w:rsidRDefault="00AC5C0C" w:rsidP="00922116">
            <w:pPr>
              <w:pStyle w:val="VSmCellBody"/>
              <w:jc w:val="right"/>
              <w:rPr>
                <w:sz w:val="16"/>
                <w:szCs w:val="16"/>
              </w:rPr>
            </w:pPr>
            <w:proofErr w:type="spellStart"/>
            <w:r w:rsidRPr="00B02BA3">
              <w:rPr>
                <w:sz w:val="16"/>
                <w:szCs w:val="16"/>
              </w:rPr>
              <w:t>Ultramax</w:t>
            </w:r>
            <w:proofErr w:type="spellEnd"/>
          </w:p>
        </w:tc>
        <w:tc>
          <w:tcPr>
            <w:tcW w:w="236" w:type="dxa"/>
            <w:vAlign w:val="bottom"/>
          </w:tcPr>
          <w:p w14:paraId="3B25447E" w14:textId="77777777" w:rsidR="00AC5C0C" w:rsidRPr="00B02BA3" w:rsidRDefault="00AC5C0C" w:rsidP="00922116">
            <w:pPr>
              <w:pStyle w:val="CellRowSpacer"/>
              <w:rPr>
                <w:sz w:val="16"/>
                <w:szCs w:val="16"/>
              </w:rPr>
            </w:pPr>
          </w:p>
        </w:tc>
        <w:tc>
          <w:tcPr>
            <w:tcW w:w="907" w:type="dxa"/>
            <w:vAlign w:val="bottom"/>
          </w:tcPr>
          <w:p w14:paraId="1FC172D6" w14:textId="77777777" w:rsidR="00AC5C0C" w:rsidRPr="00B02BA3" w:rsidRDefault="00AC5C0C" w:rsidP="00922116">
            <w:pPr>
              <w:pStyle w:val="VSmCellBody"/>
              <w:jc w:val="right"/>
              <w:rPr>
                <w:sz w:val="16"/>
                <w:szCs w:val="16"/>
              </w:rPr>
            </w:pPr>
            <w:r w:rsidRPr="00B02BA3">
              <w:rPr>
                <w:sz w:val="16"/>
                <w:szCs w:val="16"/>
              </w:rPr>
              <w:t>2024</w:t>
            </w:r>
          </w:p>
        </w:tc>
        <w:tc>
          <w:tcPr>
            <w:tcW w:w="236" w:type="dxa"/>
            <w:vAlign w:val="bottom"/>
          </w:tcPr>
          <w:p w14:paraId="5B5F4625" w14:textId="77777777" w:rsidR="00AC5C0C" w:rsidRPr="00B02BA3" w:rsidRDefault="00AC5C0C" w:rsidP="00922116">
            <w:pPr>
              <w:pStyle w:val="CellRowSpacer"/>
              <w:rPr>
                <w:sz w:val="16"/>
                <w:szCs w:val="16"/>
              </w:rPr>
            </w:pPr>
          </w:p>
        </w:tc>
        <w:tc>
          <w:tcPr>
            <w:tcW w:w="745" w:type="dxa"/>
            <w:vAlign w:val="bottom"/>
          </w:tcPr>
          <w:p w14:paraId="7112E170" w14:textId="77777777" w:rsidR="00AC5C0C" w:rsidRPr="00B02BA3" w:rsidRDefault="00AC5C0C" w:rsidP="00922116">
            <w:pPr>
              <w:pStyle w:val="VSmCellBody"/>
              <w:jc w:val="right"/>
              <w:rPr>
                <w:sz w:val="16"/>
                <w:szCs w:val="16"/>
              </w:rPr>
            </w:pPr>
            <w:r w:rsidRPr="00B02BA3">
              <w:rPr>
                <w:sz w:val="16"/>
                <w:szCs w:val="16"/>
              </w:rPr>
              <w:t>2023</w:t>
            </w:r>
          </w:p>
        </w:tc>
        <w:tc>
          <w:tcPr>
            <w:tcW w:w="180" w:type="dxa"/>
            <w:vAlign w:val="bottom"/>
          </w:tcPr>
          <w:p w14:paraId="7C5F8A62" w14:textId="77777777" w:rsidR="00AC5C0C" w:rsidRPr="00B02BA3" w:rsidRDefault="00AC5C0C" w:rsidP="00922116">
            <w:pPr>
              <w:pStyle w:val="CellRowSpacer"/>
              <w:rPr>
                <w:sz w:val="16"/>
                <w:szCs w:val="16"/>
              </w:rPr>
            </w:pPr>
          </w:p>
        </w:tc>
        <w:tc>
          <w:tcPr>
            <w:tcW w:w="1125" w:type="dxa"/>
            <w:vAlign w:val="bottom"/>
          </w:tcPr>
          <w:p w14:paraId="784CC5D0" w14:textId="77777777" w:rsidR="00AC5C0C" w:rsidRPr="00B02BA3" w:rsidRDefault="00AC5C0C" w:rsidP="00922116">
            <w:pPr>
              <w:pStyle w:val="VSmCellBody"/>
              <w:jc w:val="right"/>
              <w:rPr>
                <w:sz w:val="16"/>
                <w:szCs w:val="16"/>
              </w:rPr>
            </w:pPr>
            <w:r w:rsidRPr="00B02BA3">
              <w:rPr>
                <w:sz w:val="16"/>
                <w:szCs w:val="16"/>
              </w:rPr>
              <w:t>Singapore</w:t>
            </w:r>
            <w:r w:rsidRPr="00B02BA3" w:rsidDel="00746894">
              <w:rPr>
                <w:sz w:val="16"/>
                <w:szCs w:val="16"/>
              </w:rPr>
              <w:t xml:space="preserve"> </w:t>
            </w:r>
          </w:p>
        </w:tc>
        <w:tc>
          <w:tcPr>
            <w:tcW w:w="236" w:type="dxa"/>
            <w:vAlign w:val="bottom"/>
          </w:tcPr>
          <w:p w14:paraId="344DB247" w14:textId="77777777" w:rsidR="00AC5C0C" w:rsidRPr="00B02BA3" w:rsidRDefault="00AC5C0C" w:rsidP="00922116">
            <w:pPr>
              <w:pStyle w:val="CellRowSpacer"/>
              <w:rPr>
                <w:sz w:val="16"/>
                <w:szCs w:val="16"/>
              </w:rPr>
            </w:pPr>
          </w:p>
        </w:tc>
      </w:tr>
    </w:tbl>
    <w:p w14:paraId="26F76DF2" w14:textId="77777777" w:rsidR="00AC5C0C" w:rsidRPr="00334534" w:rsidRDefault="00AC5C0C" w:rsidP="00AC5C0C">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AC5C0C" w14:paraId="5FDFE6EC" w14:textId="77777777" w:rsidTr="00922116">
        <w:tc>
          <w:tcPr>
            <w:tcW w:w="1440" w:type="dxa"/>
            <w:tcBorders>
              <w:top w:val="single" w:sz="4" w:space="0" w:color="auto"/>
            </w:tcBorders>
            <w:vAlign w:val="bottom"/>
          </w:tcPr>
          <w:p w14:paraId="7D4198EE"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ملاحظة:</w:t>
            </w:r>
          </w:p>
        </w:tc>
        <w:tc>
          <w:tcPr>
            <w:tcW w:w="7599" w:type="dxa"/>
            <w:vAlign w:val="bottom"/>
          </w:tcPr>
          <w:p w14:paraId="5894CF41" w14:textId="77777777" w:rsidR="00334534" w:rsidRPr="00985281" w:rsidRDefault="00334534" w:rsidP="00334534">
            <w:pPr>
              <w:bidi/>
              <w:jc w:val="both"/>
              <w:rPr>
                <w:rFonts w:ascii="Traditional Arabic" w:hAnsi="Traditional Arabic" w:cs="Traditional Arabic"/>
                <w:sz w:val="24"/>
              </w:rPr>
            </w:pPr>
          </w:p>
        </w:tc>
      </w:tr>
      <w:tr w:rsidR="00334534" w:rsidRPr="00AC5C0C" w14:paraId="56135467" w14:textId="77777777" w:rsidTr="00922116">
        <w:tc>
          <w:tcPr>
            <w:tcW w:w="9039" w:type="dxa"/>
            <w:gridSpan w:val="2"/>
            <w:vAlign w:val="bottom"/>
          </w:tcPr>
          <w:p w14:paraId="2BAAE4AC"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 xml:space="preserve">في حالة السفن المملوكة ملكية تامة أو </w:t>
            </w:r>
            <w:r w:rsidR="00E65E26">
              <w:rPr>
                <w:rFonts w:ascii="Traditional Arabic" w:hAnsi="Traditional Arabic" w:cs="Traditional Arabic"/>
                <w:sz w:val="24"/>
                <w:rtl/>
              </w:rPr>
              <w:t>بشكل مشترك</w:t>
            </w:r>
            <w:r w:rsidRPr="00985281">
              <w:rPr>
                <w:rFonts w:ascii="Traditional Arabic" w:hAnsi="Traditional Arabic" w:cs="Traditional Arabic"/>
                <w:sz w:val="24"/>
                <w:rtl/>
              </w:rPr>
              <w:t>، تمثل "الملكية (٪)" النسبة المئوية لملكية الشركة في الشركة المالكة للسفن. في حالة السفن المستأجرة، تمثل "مدة الاستئجار (سنة انتهاء الصلاحية)" سنة انتهاء الصلاحية.</w:t>
            </w:r>
          </w:p>
        </w:tc>
      </w:tr>
    </w:tbl>
    <w:p w14:paraId="3E99DCEB" w14:textId="77777777" w:rsidR="00AC5C0C" w:rsidRDefault="00AC5C0C" w:rsidP="00334534">
      <w:pPr>
        <w:bidi/>
        <w:jc w:val="both"/>
        <w:rPr>
          <w:rFonts w:ascii="Traditional Arabic" w:hAnsi="Traditional Arabic" w:cs="Traditional Arabic"/>
          <w:sz w:val="30"/>
          <w:szCs w:val="30"/>
          <w:rtl/>
        </w:rPr>
      </w:pPr>
    </w:p>
    <w:p w14:paraId="2FBCF39F"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يعتمد عدد متزايد من مشاريع التعدين في سلطنة عمان حاليًا على سفن الشركة الحديثة لشحن موادها الخام أو شحن منتجاتها المكررة وسلعها النهائية. وتعد ناقلات خام الحديد العملاقة التابعة للشركة هي الأكبر من نوعها في العالم، وخير شاهدٍ على رؤية الشركة طويلة الأمد في دعم متطلبات نقل البضائع السائبة الجافة في البلاد.</w:t>
      </w:r>
    </w:p>
    <w:p w14:paraId="7EDAE2D7" w14:textId="77777777" w:rsidR="00AC5C0C" w:rsidRDefault="00AC5C0C" w:rsidP="00334534">
      <w:pPr>
        <w:bidi/>
        <w:jc w:val="both"/>
        <w:rPr>
          <w:rFonts w:ascii="Traditional Arabic" w:hAnsi="Traditional Arabic" w:cs="Traditional Arabic"/>
          <w:sz w:val="30"/>
          <w:szCs w:val="30"/>
          <w:rtl/>
        </w:rPr>
      </w:pPr>
    </w:p>
    <w:p w14:paraId="2E3D4845"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كما تدير الشركة شبكة عالمية من طرق شحن البضائع السائبة الجافة. وفي حالة عقود شحن البضائع السائبة الجافة، تنقل سفن الشركة في المقام الأول البضائع السائبة الجافة من أمريكا الجنوبية إلى آسيا. وفي حالة استئجار سفن نقل البضائع السائبة الجافة، فإن سفن الشركة تعمل على مستوى العالم، بما في ذلك في الولايات المتحدة وأوروبا وآسيا. توضح الخرائط التالية مسارات السفن الحالية للشركة لقطاع شحن البضائع السائبة الجافة:</w:t>
      </w:r>
    </w:p>
    <w:p w14:paraId="000A43C8"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lastRenderedPageBreak/>
        <w:drawing>
          <wp:inline distT="0" distB="0" distL="0" distR="0" wp14:anchorId="0C7E77B5" wp14:editId="6AC311F9">
            <wp:extent cx="3575050" cy="1742612"/>
            <wp:effectExtent l="0" t="0" r="6350" b="0"/>
            <wp:docPr id="410556449" name="Picture 1" descr="A map of the world with a rout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56449" name="Picture 1" descr="A map of the world with a route  Description automatically generated"/>
                    <pic:cNvPicPr/>
                  </pic:nvPicPr>
                  <pic:blipFill>
                    <a:blip r:embed="rId73"/>
                    <a:stretch>
                      <a:fillRect/>
                    </a:stretch>
                  </pic:blipFill>
                  <pic:spPr>
                    <a:xfrm>
                      <a:off x="0" y="0"/>
                      <a:ext cx="3596505" cy="1753070"/>
                    </a:xfrm>
                    <a:prstGeom prst="rect">
                      <a:avLst/>
                    </a:prstGeom>
                  </pic:spPr>
                </pic:pic>
              </a:graphicData>
            </a:graphic>
          </wp:inline>
        </w:drawing>
      </w:r>
    </w:p>
    <w:p w14:paraId="24D6F26D" w14:textId="77777777" w:rsidR="00AC5C0C" w:rsidRDefault="00AC5C0C" w:rsidP="00334534">
      <w:pPr>
        <w:bidi/>
        <w:jc w:val="both"/>
        <w:rPr>
          <w:rFonts w:ascii="Traditional Arabic" w:hAnsi="Traditional Arabic" w:cs="Traditional Arabic"/>
          <w:sz w:val="30"/>
          <w:szCs w:val="30"/>
          <w:rtl/>
        </w:rPr>
      </w:pPr>
    </w:p>
    <w:p w14:paraId="651EFDDD"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حيث بلغ متوسط عمر السفن في هذا القطاع ثماني سنوات حتى 30 سبتمبر 2024. وبلغ متوسط المدة المتبقية لعقود نقل البضائع السائبة الجافة للشركة ثلاث سنوات حتى 30 سبتمبر 2024. وبلغت القيمة الإجمالية لإيرادات العقود لقطاع شحن البضائع السائبة الجافة 660</w:t>
      </w:r>
      <w:r w:rsidR="00E5317A">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حتى 30 سبتمبر 2024. وشكل قطاع شحن البضائع السائبة الجافة ما نسبته 9 في المائة من </w:t>
      </w:r>
      <w:r w:rsidR="00B278F4">
        <w:rPr>
          <w:rFonts w:ascii="Traditional Arabic" w:hAnsi="Traditional Arabic" w:cs="Traditional Arabic" w:hint="cs"/>
          <w:sz w:val="30"/>
          <w:szCs w:val="30"/>
          <w:rtl/>
        </w:rPr>
        <w:t>ممتلكات</w:t>
      </w:r>
      <w:r w:rsidR="00B278F4" w:rsidRPr="00334534">
        <w:rPr>
          <w:rFonts w:ascii="Traditional Arabic" w:hAnsi="Traditional Arabic" w:cs="Traditional Arabic"/>
          <w:sz w:val="30"/>
          <w:szCs w:val="30"/>
          <w:rtl/>
        </w:rPr>
        <w:t xml:space="preserve"> الشركة </w:t>
      </w:r>
      <w:r w:rsidR="00B278F4">
        <w:rPr>
          <w:rFonts w:ascii="Traditional Arabic" w:hAnsi="Traditional Arabic" w:cs="Traditional Arabic" w:hint="cs"/>
          <w:sz w:val="30"/>
          <w:szCs w:val="30"/>
          <w:rtl/>
        </w:rPr>
        <w:t xml:space="preserve">وناقلاتها ومعداتها </w:t>
      </w:r>
      <w:r w:rsidRPr="00334534">
        <w:rPr>
          <w:rFonts w:ascii="Traditional Arabic" w:hAnsi="Traditional Arabic" w:cs="Traditional Arabic"/>
          <w:sz w:val="30"/>
          <w:szCs w:val="30"/>
          <w:rtl/>
        </w:rPr>
        <w:t>كما في 31 ديسمبر 2023.</w:t>
      </w:r>
    </w:p>
    <w:p w14:paraId="70FDEC96" w14:textId="77777777" w:rsidR="00AC5C0C" w:rsidRDefault="00AC5C0C" w:rsidP="00334534">
      <w:pPr>
        <w:bidi/>
        <w:jc w:val="both"/>
        <w:rPr>
          <w:rFonts w:ascii="Traditional Arabic" w:hAnsi="Traditional Arabic" w:cs="Traditional Arabic"/>
          <w:sz w:val="30"/>
          <w:szCs w:val="30"/>
          <w:rtl/>
        </w:rPr>
      </w:pPr>
    </w:p>
    <w:p w14:paraId="586A2682"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يوضح الجدول التالي معايير الأداء الرئيسية لقطاع شحن البضائع السائبة الجافة عن السنوات المنتهية في 31 ديسمبر 2021 و 2022 و 2023 والأشهر التسعة المنتهية في 30 سبتمبر 2023 و 2024: </w:t>
      </w:r>
    </w:p>
    <w:p w14:paraId="7B543858" w14:textId="77777777" w:rsidR="00334534" w:rsidRDefault="00334534" w:rsidP="00334534">
      <w:pPr>
        <w:bidi/>
        <w:jc w:val="both"/>
        <w:rPr>
          <w:rFonts w:ascii="Traditional Arabic" w:hAnsi="Traditional Arabic" w:cs="Traditional Arabic"/>
          <w:sz w:val="30"/>
          <w:szCs w:val="30"/>
          <w:rtl/>
        </w:rPr>
      </w:pPr>
    </w:p>
    <w:tbl>
      <w:tblPr>
        <w:tblW w:w="9048" w:type="dxa"/>
        <w:tblInd w:w="437" w:type="dxa"/>
        <w:tblLayout w:type="fixed"/>
        <w:tblCellMar>
          <w:left w:w="0" w:type="dxa"/>
          <w:right w:w="0" w:type="dxa"/>
        </w:tblCellMar>
        <w:tblLook w:val="0020" w:firstRow="1" w:lastRow="0" w:firstColumn="0" w:lastColumn="0" w:noHBand="0" w:noVBand="0"/>
      </w:tblPr>
      <w:tblGrid>
        <w:gridCol w:w="3141"/>
        <w:gridCol w:w="235"/>
        <w:gridCol w:w="901"/>
        <w:gridCol w:w="235"/>
        <w:gridCol w:w="900"/>
        <w:gridCol w:w="234"/>
        <w:gridCol w:w="900"/>
        <w:gridCol w:w="234"/>
        <w:gridCol w:w="900"/>
        <w:gridCol w:w="234"/>
        <w:gridCol w:w="900"/>
        <w:gridCol w:w="234"/>
      </w:tblGrid>
      <w:tr w:rsidR="00AC5C0C" w:rsidRPr="00B02BA3" w14:paraId="0659A8C7" w14:textId="77777777" w:rsidTr="00922116">
        <w:trPr>
          <w:tblHeader/>
        </w:trPr>
        <w:tc>
          <w:tcPr>
            <w:tcW w:w="3141" w:type="dxa"/>
            <w:vAlign w:val="bottom"/>
          </w:tcPr>
          <w:p w14:paraId="6902701E" w14:textId="77777777" w:rsidR="00AC5C0C" w:rsidRPr="00B02BA3" w:rsidRDefault="00AC5C0C" w:rsidP="00922116">
            <w:pPr>
              <w:pStyle w:val="VSmCellHead"/>
              <w:rPr>
                <w:sz w:val="16"/>
                <w:szCs w:val="16"/>
              </w:rPr>
            </w:pPr>
          </w:p>
        </w:tc>
        <w:tc>
          <w:tcPr>
            <w:tcW w:w="235" w:type="dxa"/>
            <w:vAlign w:val="bottom"/>
          </w:tcPr>
          <w:p w14:paraId="1D941B52" w14:textId="77777777" w:rsidR="00AC5C0C" w:rsidRPr="00B02BA3" w:rsidRDefault="00AC5C0C" w:rsidP="00922116">
            <w:pPr>
              <w:pStyle w:val="CellRowSpacer"/>
              <w:spacing w:after="120"/>
              <w:rPr>
                <w:sz w:val="16"/>
                <w:szCs w:val="16"/>
              </w:rPr>
            </w:pPr>
          </w:p>
        </w:tc>
        <w:tc>
          <w:tcPr>
            <w:tcW w:w="3170" w:type="dxa"/>
            <w:gridSpan w:val="5"/>
            <w:tcBorders>
              <w:bottom w:val="single" w:sz="4" w:space="0" w:color="auto"/>
            </w:tcBorders>
            <w:vAlign w:val="bottom"/>
          </w:tcPr>
          <w:p w14:paraId="55E8EC42" w14:textId="77777777" w:rsidR="00AC5C0C" w:rsidRPr="00B02BA3" w:rsidRDefault="00AC5C0C" w:rsidP="00922116">
            <w:pPr>
              <w:pStyle w:val="VSmCellHead"/>
              <w:jc w:val="center"/>
              <w:rPr>
                <w:sz w:val="16"/>
                <w:szCs w:val="16"/>
              </w:rPr>
            </w:pPr>
            <w:r w:rsidRPr="00B02BA3">
              <w:rPr>
                <w:sz w:val="16"/>
                <w:szCs w:val="16"/>
              </w:rPr>
              <w:t>As at and for the year ended 31 December</w:t>
            </w:r>
          </w:p>
        </w:tc>
        <w:tc>
          <w:tcPr>
            <w:tcW w:w="234" w:type="dxa"/>
          </w:tcPr>
          <w:p w14:paraId="63BC8727" w14:textId="77777777" w:rsidR="00AC5C0C" w:rsidRPr="00B02BA3" w:rsidRDefault="00AC5C0C" w:rsidP="00922116">
            <w:pPr>
              <w:pStyle w:val="CellRowSpacer"/>
              <w:spacing w:after="120"/>
              <w:rPr>
                <w:sz w:val="16"/>
                <w:szCs w:val="16"/>
              </w:rPr>
            </w:pPr>
          </w:p>
        </w:tc>
        <w:tc>
          <w:tcPr>
            <w:tcW w:w="2034" w:type="dxa"/>
            <w:gridSpan w:val="3"/>
            <w:tcBorders>
              <w:bottom w:val="single" w:sz="4" w:space="0" w:color="auto"/>
            </w:tcBorders>
            <w:vAlign w:val="bottom"/>
          </w:tcPr>
          <w:p w14:paraId="5299C194" w14:textId="77777777" w:rsidR="00AC5C0C" w:rsidRPr="00B02BA3" w:rsidRDefault="00AC5C0C" w:rsidP="00922116">
            <w:pPr>
              <w:pStyle w:val="VSmCellHead"/>
              <w:jc w:val="center"/>
              <w:rPr>
                <w:sz w:val="16"/>
                <w:szCs w:val="16"/>
              </w:rPr>
            </w:pPr>
            <w:r w:rsidRPr="00B02BA3">
              <w:rPr>
                <w:sz w:val="16"/>
                <w:szCs w:val="16"/>
              </w:rPr>
              <w:t>As at and for the nine months ended 30 September</w:t>
            </w:r>
          </w:p>
        </w:tc>
        <w:tc>
          <w:tcPr>
            <w:tcW w:w="234" w:type="dxa"/>
            <w:vAlign w:val="bottom"/>
          </w:tcPr>
          <w:p w14:paraId="6FA41F82" w14:textId="77777777" w:rsidR="00AC5C0C" w:rsidRPr="00B02BA3" w:rsidRDefault="00AC5C0C" w:rsidP="00922116">
            <w:pPr>
              <w:pStyle w:val="CellRowSpacer"/>
              <w:spacing w:after="120"/>
              <w:rPr>
                <w:sz w:val="16"/>
                <w:szCs w:val="16"/>
              </w:rPr>
            </w:pPr>
          </w:p>
        </w:tc>
      </w:tr>
      <w:tr w:rsidR="00AC5C0C" w:rsidRPr="00B02BA3" w14:paraId="68E53D64" w14:textId="77777777" w:rsidTr="00922116">
        <w:trPr>
          <w:tblHeader/>
        </w:trPr>
        <w:tc>
          <w:tcPr>
            <w:tcW w:w="3141" w:type="dxa"/>
            <w:vAlign w:val="bottom"/>
          </w:tcPr>
          <w:p w14:paraId="38AC9929" w14:textId="77777777" w:rsidR="00AC5C0C" w:rsidRPr="00B02BA3" w:rsidRDefault="00AC5C0C" w:rsidP="00922116">
            <w:pPr>
              <w:pStyle w:val="VSmCellHead"/>
              <w:rPr>
                <w:sz w:val="16"/>
                <w:szCs w:val="16"/>
              </w:rPr>
            </w:pPr>
          </w:p>
        </w:tc>
        <w:tc>
          <w:tcPr>
            <w:tcW w:w="235" w:type="dxa"/>
            <w:vAlign w:val="bottom"/>
          </w:tcPr>
          <w:p w14:paraId="507C7C94" w14:textId="77777777" w:rsidR="00AC5C0C" w:rsidRPr="00B02BA3" w:rsidRDefault="00AC5C0C" w:rsidP="00922116">
            <w:pPr>
              <w:pStyle w:val="CellRowSpacer"/>
              <w:spacing w:after="120"/>
              <w:rPr>
                <w:sz w:val="16"/>
                <w:szCs w:val="16"/>
              </w:rPr>
            </w:pPr>
          </w:p>
        </w:tc>
        <w:tc>
          <w:tcPr>
            <w:tcW w:w="901" w:type="dxa"/>
            <w:tcBorders>
              <w:top w:val="single" w:sz="4" w:space="0" w:color="auto"/>
              <w:bottom w:val="single" w:sz="4" w:space="0" w:color="auto"/>
            </w:tcBorders>
            <w:vAlign w:val="bottom"/>
          </w:tcPr>
          <w:p w14:paraId="52C42CEE" w14:textId="77777777" w:rsidR="00AC5C0C" w:rsidRPr="00B02BA3" w:rsidRDefault="00AC5C0C" w:rsidP="00922116">
            <w:pPr>
              <w:pStyle w:val="VSmCellHead"/>
              <w:jc w:val="right"/>
              <w:rPr>
                <w:sz w:val="16"/>
                <w:szCs w:val="16"/>
              </w:rPr>
            </w:pPr>
            <w:r w:rsidRPr="00B02BA3">
              <w:rPr>
                <w:sz w:val="16"/>
                <w:szCs w:val="16"/>
              </w:rPr>
              <w:t>2021</w:t>
            </w:r>
          </w:p>
        </w:tc>
        <w:tc>
          <w:tcPr>
            <w:tcW w:w="235" w:type="dxa"/>
            <w:tcBorders>
              <w:top w:val="single" w:sz="4" w:space="0" w:color="auto"/>
            </w:tcBorders>
          </w:tcPr>
          <w:p w14:paraId="4AFC8745"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54DE2F9E" w14:textId="77777777" w:rsidR="00AC5C0C" w:rsidRPr="00B02BA3" w:rsidRDefault="00AC5C0C" w:rsidP="00922116">
            <w:pPr>
              <w:pStyle w:val="VSmCellHead"/>
              <w:jc w:val="right"/>
              <w:rPr>
                <w:sz w:val="16"/>
                <w:szCs w:val="16"/>
              </w:rPr>
            </w:pPr>
            <w:r w:rsidRPr="00B02BA3">
              <w:rPr>
                <w:sz w:val="16"/>
                <w:szCs w:val="16"/>
              </w:rPr>
              <w:t>2022</w:t>
            </w:r>
          </w:p>
        </w:tc>
        <w:tc>
          <w:tcPr>
            <w:tcW w:w="234" w:type="dxa"/>
            <w:tcBorders>
              <w:top w:val="single" w:sz="4" w:space="0" w:color="auto"/>
            </w:tcBorders>
          </w:tcPr>
          <w:p w14:paraId="6AD59A29"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1F8807F7" w14:textId="77777777" w:rsidR="00AC5C0C" w:rsidRPr="00B02BA3" w:rsidRDefault="00AC5C0C" w:rsidP="00922116">
            <w:pPr>
              <w:pStyle w:val="VSmCellHead"/>
              <w:jc w:val="right"/>
              <w:rPr>
                <w:sz w:val="16"/>
                <w:szCs w:val="16"/>
              </w:rPr>
            </w:pPr>
            <w:r w:rsidRPr="00B02BA3">
              <w:rPr>
                <w:sz w:val="16"/>
                <w:szCs w:val="16"/>
              </w:rPr>
              <w:t>2023</w:t>
            </w:r>
          </w:p>
        </w:tc>
        <w:tc>
          <w:tcPr>
            <w:tcW w:w="234" w:type="dxa"/>
          </w:tcPr>
          <w:p w14:paraId="40A645F4"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45D67676" w14:textId="77777777" w:rsidR="00AC5C0C" w:rsidRPr="00B02BA3" w:rsidRDefault="00AC5C0C" w:rsidP="00922116">
            <w:pPr>
              <w:pStyle w:val="VSmCellHead"/>
              <w:jc w:val="right"/>
              <w:rPr>
                <w:sz w:val="16"/>
                <w:szCs w:val="16"/>
              </w:rPr>
            </w:pPr>
            <w:r w:rsidRPr="00B02BA3">
              <w:rPr>
                <w:sz w:val="16"/>
                <w:szCs w:val="16"/>
              </w:rPr>
              <w:t>2023</w:t>
            </w:r>
          </w:p>
        </w:tc>
        <w:tc>
          <w:tcPr>
            <w:tcW w:w="234" w:type="dxa"/>
            <w:tcBorders>
              <w:top w:val="single" w:sz="4" w:space="0" w:color="auto"/>
            </w:tcBorders>
          </w:tcPr>
          <w:p w14:paraId="4F8B5805"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2FBC98C6" w14:textId="77777777" w:rsidR="00AC5C0C" w:rsidRPr="00B02BA3" w:rsidRDefault="00AC5C0C" w:rsidP="00922116">
            <w:pPr>
              <w:pStyle w:val="VSmCellHead"/>
              <w:jc w:val="right"/>
              <w:rPr>
                <w:sz w:val="16"/>
                <w:szCs w:val="16"/>
              </w:rPr>
            </w:pPr>
            <w:r w:rsidRPr="00B02BA3">
              <w:rPr>
                <w:sz w:val="16"/>
                <w:szCs w:val="16"/>
              </w:rPr>
              <w:t>2024</w:t>
            </w:r>
          </w:p>
        </w:tc>
        <w:tc>
          <w:tcPr>
            <w:tcW w:w="234" w:type="dxa"/>
            <w:vAlign w:val="bottom"/>
          </w:tcPr>
          <w:p w14:paraId="713DBF6A" w14:textId="77777777" w:rsidR="00AC5C0C" w:rsidRPr="00B02BA3" w:rsidRDefault="00AC5C0C" w:rsidP="00922116">
            <w:pPr>
              <w:pStyle w:val="CellRowSpacer"/>
              <w:spacing w:after="120"/>
              <w:rPr>
                <w:sz w:val="16"/>
                <w:szCs w:val="16"/>
              </w:rPr>
            </w:pPr>
          </w:p>
        </w:tc>
      </w:tr>
      <w:tr w:rsidR="00AC5C0C" w:rsidRPr="00B02BA3" w14:paraId="26EA017C" w14:textId="77777777" w:rsidTr="00922116">
        <w:tc>
          <w:tcPr>
            <w:tcW w:w="3141" w:type="dxa"/>
          </w:tcPr>
          <w:p w14:paraId="3D711725" w14:textId="77777777" w:rsidR="00AC5C0C" w:rsidRPr="00B02BA3" w:rsidRDefault="00AC5C0C" w:rsidP="00922116">
            <w:pPr>
              <w:pStyle w:val="CellBodyIndent1"/>
              <w:tabs>
                <w:tab w:val="right" w:leader="dot" w:pos="3168"/>
              </w:tabs>
              <w:ind w:left="0"/>
              <w:rPr>
                <w:sz w:val="16"/>
                <w:szCs w:val="16"/>
              </w:rPr>
            </w:pPr>
            <w:r w:rsidRPr="00B02BA3">
              <w:rPr>
                <w:rFonts w:eastAsia="SimSun"/>
                <w:sz w:val="16"/>
                <w:szCs w:val="16"/>
              </w:rPr>
              <w:t>Number of vessels</w:t>
            </w:r>
            <w:r w:rsidRPr="00B02BA3">
              <w:rPr>
                <w:rFonts w:eastAsia="SimSun"/>
                <w:sz w:val="16"/>
                <w:szCs w:val="16"/>
                <w:vertAlign w:val="superscript"/>
              </w:rPr>
              <w:t>(1)</w:t>
            </w:r>
            <w:r w:rsidRPr="00B02BA3">
              <w:rPr>
                <w:rFonts w:eastAsia="SimSun"/>
                <w:sz w:val="16"/>
                <w:szCs w:val="16"/>
              </w:rPr>
              <w:tab/>
            </w:r>
          </w:p>
        </w:tc>
        <w:tc>
          <w:tcPr>
            <w:tcW w:w="235" w:type="dxa"/>
          </w:tcPr>
          <w:p w14:paraId="3691BCE9" w14:textId="77777777" w:rsidR="00AC5C0C" w:rsidRPr="00B02BA3" w:rsidRDefault="00AC5C0C" w:rsidP="00922116">
            <w:pPr>
              <w:pStyle w:val="CellRowSpacer"/>
              <w:rPr>
                <w:sz w:val="16"/>
                <w:szCs w:val="16"/>
              </w:rPr>
            </w:pPr>
          </w:p>
        </w:tc>
        <w:tc>
          <w:tcPr>
            <w:tcW w:w="901" w:type="dxa"/>
            <w:vAlign w:val="bottom"/>
          </w:tcPr>
          <w:p w14:paraId="100901A7" w14:textId="77777777" w:rsidR="00AC5C0C" w:rsidRPr="00B02BA3" w:rsidRDefault="00AC5C0C" w:rsidP="00922116">
            <w:pPr>
              <w:pStyle w:val="VSmCellBody"/>
              <w:jc w:val="right"/>
              <w:rPr>
                <w:sz w:val="16"/>
                <w:szCs w:val="16"/>
              </w:rPr>
            </w:pPr>
            <w:r w:rsidRPr="00B02BA3">
              <w:rPr>
                <w:color w:val="000000"/>
                <w:kern w:val="0"/>
                <w:sz w:val="16"/>
                <w:szCs w:val="16"/>
              </w:rPr>
              <w:t>16</w:t>
            </w:r>
          </w:p>
        </w:tc>
        <w:tc>
          <w:tcPr>
            <w:tcW w:w="235" w:type="dxa"/>
          </w:tcPr>
          <w:p w14:paraId="44911053" w14:textId="77777777" w:rsidR="00AC5C0C" w:rsidRPr="00B02BA3" w:rsidRDefault="00AC5C0C" w:rsidP="00922116">
            <w:pPr>
              <w:pStyle w:val="CellRowSpacer"/>
              <w:rPr>
                <w:sz w:val="16"/>
                <w:szCs w:val="16"/>
              </w:rPr>
            </w:pPr>
          </w:p>
        </w:tc>
        <w:tc>
          <w:tcPr>
            <w:tcW w:w="900" w:type="dxa"/>
            <w:vAlign w:val="bottom"/>
          </w:tcPr>
          <w:p w14:paraId="0C2C23E3" w14:textId="77777777" w:rsidR="00AC5C0C" w:rsidRPr="00B02BA3" w:rsidRDefault="00AC5C0C" w:rsidP="00922116">
            <w:pPr>
              <w:pStyle w:val="VSmCellBody"/>
              <w:jc w:val="right"/>
              <w:rPr>
                <w:sz w:val="16"/>
                <w:szCs w:val="16"/>
              </w:rPr>
            </w:pPr>
            <w:r w:rsidRPr="00B02BA3">
              <w:rPr>
                <w:color w:val="000000"/>
                <w:kern w:val="0"/>
                <w:sz w:val="16"/>
                <w:szCs w:val="16"/>
              </w:rPr>
              <w:t>16</w:t>
            </w:r>
          </w:p>
        </w:tc>
        <w:tc>
          <w:tcPr>
            <w:tcW w:w="234" w:type="dxa"/>
            <w:vAlign w:val="bottom"/>
          </w:tcPr>
          <w:p w14:paraId="146965E1" w14:textId="77777777" w:rsidR="00AC5C0C" w:rsidRPr="00B02BA3" w:rsidRDefault="00AC5C0C" w:rsidP="00922116">
            <w:pPr>
              <w:pStyle w:val="CellRowSpacer"/>
              <w:rPr>
                <w:sz w:val="16"/>
                <w:szCs w:val="16"/>
              </w:rPr>
            </w:pPr>
          </w:p>
        </w:tc>
        <w:tc>
          <w:tcPr>
            <w:tcW w:w="900" w:type="dxa"/>
            <w:vAlign w:val="bottom"/>
          </w:tcPr>
          <w:p w14:paraId="2A7614DF" w14:textId="77777777" w:rsidR="00AC5C0C" w:rsidRPr="00B02BA3" w:rsidRDefault="00AC5C0C" w:rsidP="00922116">
            <w:pPr>
              <w:pStyle w:val="VSmCellBody"/>
              <w:jc w:val="right"/>
              <w:rPr>
                <w:sz w:val="16"/>
                <w:szCs w:val="16"/>
              </w:rPr>
            </w:pPr>
            <w:r w:rsidRPr="00B02BA3">
              <w:rPr>
                <w:color w:val="000000"/>
                <w:kern w:val="0"/>
                <w:sz w:val="16"/>
                <w:szCs w:val="16"/>
              </w:rPr>
              <w:t>28</w:t>
            </w:r>
          </w:p>
        </w:tc>
        <w:tc>
          <w:tcPr>
            <w:tcW w:w="234" w:type="dxa"/>
          </w:tcPr>
          <w:p w14:paraId="0F0B8854" w14:textId="77777777" w:rsidR="00AC5C0C" w:rsidRPr="00B02BA3" w:rsidRDefault="00AC5C0C" w:rsidP="00922116">
            <w:pPr>
              <w:pStyle w:val="CellRowSpacer"/>
              <w:rPr>
                <w:sz w:val="16"/>
                <w:szCs w:val="16"/>
              </w:rPr>
            </w:pPr>
          </w:p>
        </w:tc>
        <w:tc>
          <w:tcPr>
            <w:tcW w:w="900" w:type="dxa"/>
            <w:vAlign w:val="bottom"/>
          </w:tcPr>
          <w:p w14:paraId="4879C5C6" w14:textId="77777777" w:rsidR="00AC5C0C" w:rsidRPr="001B105A" w:rsidRDefault="00AC5C0C" w:rsidP="00922116">
            <w:pPr>
              <w:pStyle w:val="VSmCellBody"/>
              <w:jc w:val="right"/>
              <w:rPr>
                <w:sz w:val="16"/>
                <w:szCs w:val="16"/>
              </w:rPr>
            </w:pPr>
            <w:r w:rsidRPr="001B105A">
              <w:rPr>
                <w:color w:val="000000"/>
                <w:kern w:val="0"/>
                <w:sz w:val="16"/>
                <w:szCs w:val="16"/>
              </w:rPr>
              <w:t>20</w:t>
            </w:r>
          </w:p>
        </w:tc>
        <w:tc>
          <w:tcPr>
            <w:tcW w:w="234" w:type="dxa"/>
          </w:tcPr>
          <w:p w14:paraId="02A50CCF" w14:textId="77777777" w:rsidR="00AC5C0C" w:rsidRPr="00B02BA3" w:rsidRDefault="00AC5C0C" w:rsidP="00922116">
            <w:pPr>
              <w:pStyle w:val="CellRowSpacer"/>
              <w:rPr>
                <w:sz w:val="16"/>
                <w:szCs w:val="16"/>
              </w:rPr>
            </w:pPr>
          </w:p>
        </w:tc>
        <w:tc>
          <w:tcPr>
            <w:tcW w:w="900" w:type="dxa"/>
            <w:vAlign w:val="bottom"/>
          </w:tcPr>
          <w:p w14:paraId="10E90671" w14:textId="77777777" w:rsidR="00AC5C0C" w:rsidRPr="00B02BA3" w:rsidRDefault="00AC5C0C" w:rsidP="00922116">
            <w:pPr>
              <w:pStyle w:val="VSmCellBody"/>
              <w:jc w:val="right"/>
              <w:rPr>
                <w:sz w:val="16"/>
                <w:szCs w:val="16"/>
              </w:rPr>
            </w:pPr>
            <w:r w:rsidRPr="00B02BA3">
              <w:rPr>
                <w:color w:val="000000"/>
                <w:kern w:val="0"/>
                <w:sz w:val="16"/>
                <w:szCs w:val="16"/>
              </w:rPr>
              <w:t>18</w:t>
            </w:r>
          </w:p>
        </w:tc>
        <w:tc>
          <w:tcPr>
            <w:tcW w:w="234" w:type="dxa"/>
            <w:vAlign w:val="bottom"/>
          </w:tcPr>
          <w:p w14:paraId="56A8DB18" w14:textId="77777777" w:rsidR="00AC5C0C" w:rsidRPr="00B02BA3" w:rsidRDefault="00AC5C0C" w:rsidP="00922116">
            <w:pPr>
              <w:pStyle w:val="CellRowSpacer"/>
              <w:rPr>
                <w:sz w:val="16"/>
                <w:szCs w:val="16"/>
              </w:rPr>
            </w:pPr>
          </w:p>
        </w:tc>
      </w:tr>
      <w:tr w:rsidR="00AC5C0C" w:rsidRPr="00B02BA3" w14:paraId="27695598" w14:textId="77777777" w:rsidTr="00922116">
        <w:tc>
          <w:tcPr>
            <w:tcW w:w="3141" w:type="dxa"/>
          </w:tcPr>
          <w:p w14:paraId="7A47BCBF" w14:textId="77777777" w:rsidR="00AC5C0C" w:rsidRPr="00B02BA3" w:rsidRDefault="00AC5C0C" w:rsidP="00922116">
            <w:pPr>
              <w:pStyle w:val="CellBodyIndent1"/>
              <w:tabs>
                <w:tab w:val="right" w:leader="dot" w:pos="3168"/>
              </w:tabs>
              <w:ind w:left="0"/>
              <w:rPr>
                <w:rFonts w:eastAsia="SimSun"/>
                <w:sz w:val="16"/>
                <w:szCs w:val="16"/>
              </w:rPr>
            </w:pPr>
            <w:r w:rsidRPr="00B02BA3">
              <w:rPr>
                <w:rFonts w:eastAsia="SimSun"/>
                <w:sz w:val="16"/>
                <w:szCs w:val="16"/>
              </w:rPr>
              <w:t>Fleet utilisation rate</w:t>
            </w:r>
            <w:r w:rsidRPr="00B02BA3">
              <w:rPr>
                <w:rFonts w:eastAsia="SimSun"/>
                <w:sz w:val="16"/>
                <w:szCs w:val="16"/>
                <w:vertAlign w:val="superscript"/>
              </w:rPr>
              <w:t>(2)</w:t>
            </w:r>
            <w:r w:rsidRPr="00B02BA3">
              <w:rPr>
                <w:rFonts w:eastAsia="SimSun"/>
                <w:sz w:val="16"/>
                <w:szCs w:val="16"/>
              </w:rPr>
              <w:t xml:space="preserve"> (</w:t>
            </w:r>
            <w:r w:rsidRPr="00B02BA3">
              <w:rPr>
                <w:rFonts w:eastAsia="SimSun"/>
                <w:i/>
                <w:iCs/>
                <w:sz w:val="16"/>
                <w:szCs w:val="16"/>
              </w:rPr>
              <w:t>%</w:t>
            </w:r>
            <w:r w:rsidRPr="00B02BA3">
              <w:rPr>
                <w:rFonts w:eastAsia="SimSun"/>
                <w:sz w:val="16"/>
                <w:szCs w:val="16"/>
              </w:rPr>
              <w:t>)</w:t>
            </w:r>
            <w:r w:rsidRPr="00B02BA3">
              <w:rPr>
                <w:rFonts w:eastAsia="SimSun"/>
                <w:sz w:val="16"/>
                <w:szCs w:val="16"/>
              </w:rPr>
              <w:tab/>
            </w:r>
          </w:p>
        </w:tc>
        <w:tc>
          <w:tcPr>
            <w:tcW w:w="235" w:type="dxa"/>
          </w:tcPr>
          <w:p w14:paraId="2D20EF43" w14:textId="77777777" w:rsidR="00AC5C0C" w:rsidRPr="00B02BA3" w:rsidRDefault="00AC5C0C" w:rsidP="00922116">
            <w:pPr>
              <w:pStyle w:val="CellRowSpacer"/>
              <w:rPr>
                <w:sz w:val="16"/>
                <w:szCs w:val="16"/>
              </w:rPr>
            </w:pPr>
          </w:p>
        </w:tc>
        <w:tc>
          <w:tcPr>
            <w:tcW w:w="901" w:type="dxa"/>
            <w:vAlign w:val="bottom"/>
          </w:tcPr>
          <w:p w14:paraId="6387AB30"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99.9</w:t>
            </w:r>
          </w:p>
        </w:tc>
        <w:tc>
          <w:tcPr>
            <w:tcW w:w="235" w:type="dxa"/>
          </w:tcPr>
          <w:p w14:paraId="66BF4613" w14:textId="77777777" w:rsidR="00AC5C0C" w:rsidRPr="00B02BA3" w:rsidRDefault="00AC5C0C" w:rsidP="00922116">
            <w:pPr>
              <w:pStyle w:val="CellRowSpacer"/>
              <w:rPr>
                <w:sz w:val="16"/>
                <w:szCs w:val="16"/>
              </w:rPr>
            </w:pPr>
          </w:p>
        </w:tc>
        <w:tc>
          <w:tcPr>
            <w:tcW w:w="900" w:type="dxa"/>
            <w:vAlign w:val="bottom"/>
          </w:tcPr>
          <w:p w14:paraId="52F0277C"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92.8</w:t>
            </w:r>
          </w:p>
        </w:tc>
        <w:tc>
          <w:tcPr>
            <w:tcW w:w="234" w:type="dxa"/>
            <w:vAlign w:val="bottom"/>
          </w:tcPr>
          <w:p w14:paraId="62279F0E" w14:textId="77777777" w:rsidR="00AC5C0C" w:rsidRPr="00B02BA3" w:rsidRDefault="00AC5C0C" w:rsidP="00922116">
            <w:pPr>
              <w:pStyle w:val="CellRowSpacer"/>
              <w:rPr>
                <w:sz w:val="16"/>
                <w:szCs w:val="16"/>
              </w:rPr>
            </w:pPr>
          </w:p>
        </w:tc>
        <w:tc>
          <w:tcPr>
            <w:tcW w:w="900" w:type="dxa"/>
            <w:vAlign w:val="bottom"/>
          </w:tcPr>
          <w:p w14:paraId="250DC237"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96.8</w:t>
            </w:r>
          </w:p>
        </w:tc>
        <w:tc>
          <w:tcPr>
            <w:tcW w:w="234" w:type="dxa"/>
          </w:tcPr>
          <w:p w14:paraId="1BE08190" w14:textId="77777777" w:rsidR="00AC5C0C" w:rsidRPr="00B02BA3" w:rsidRDefault="00AC5C0C" w:rsidP="00922116">
            <w:pPr>
              <w:pStyle w:val="CellRowSpacer"/>
              <w:rPr>
                <w:sz w:val="16"/>
                <w:szCs w:val="16"/>
              </w:rPr>
            </w:pPr>
          </w:p>
        </w:tc>
        <w:tc>
          <w:tcPr>
            <w:tcW w:w="900" w:type="dxa"/>
            <w:vAlign w:val="bottom"/>
          </w:tcPr>
          <w:p w14:paraId="0ED73307" w14:textId="77777777" w:rsidR="00AC5C0C" w:rsidRPr="001B105A" w:rsidRDefault="00AC5C0C" w:rsidP="00922116">
            <w:pPr>
              <w:pStyle w:val="VSmCellBody"/>
              <w:jc w:val="right"/>
              <w:rPr>
                <w:color w:val="000000"/>
                <w:kern w:val="0"/>
                <w:sz w:val="16"/>
                <w:szCs w:val="16"/>
              </w:rPr>
            </w:pPr>
            <w:r w:rsidRPr="001B105A">
              <w:rPr>
                <w:color w:val="000000"/>
                <w:kern w:val="0"/>
                <w:sz w:val="16"/>
                <w:szCs w:val="16"/>
              </w:rPr>
              <w:t>99.0</w:t>
            </w:r>
          </w:p>
        </w:tc>
        <w:tc>
          <w:tcPr>
            <w:tcW w:w="234" w:type="dxa"/>
          </w:tcPr>
          <w:p w14:paraId="70CD527B" w14:textId="77777777" w:rsidR="00AC5C0C" w:rsidRPr="00B02BA3" w:rsidRDefault="00AC5C0C" w:rsidP="00922116">
            <w:pPr>
              <w:pStyle w:val="CellRowSpacer"/>
              <w:rPr>
                <w:sz w:val="16"/>
                <w:szCs w:val="16"/>
              </w:rPr>
            </w:pPr>
          </w:p>
        </w:tc>
        <w:tc>
          <w:tcPr>
            <w:tcW w:w="900" w:type="dxa"/>
            <w:vAlign w:val="bottom"/>
          </w:tcPr>
          <w:p w14:paraId="0FE228B4"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100.0</w:t>
            </w:r>
          </w:p>
        </w:tc>
        <w:tc>
          <w:tcPr>
            <w:tcW w:w="234" w:type="dxa"/>
            <w:vAlign w:val="bottom"/>
          </w:tcPr>
          <w:p w14:paraId="72404A25" w14:textId="77777777" w:rsidR="00AC5C0C" w:rsidRPr="00B02BA3" w:rsidRDefault="00AC5C0C" w:rsidP="00922116">
            <w:pPr>
              <w:pStyle w:val="CellRowSpacer"/>
              <w:rPr>
                <w:sz w:val="16"/>
                <w:szCs w:val="16"/>
              </w:rPr>
            </w:pPr>
          </w:p>
        </w:tc>
      </w:tr>
      <w:tr w:rsidR="00AC5C0C" w:rsidRPr="00B02BA3" w14:paraId="34919CE0" w14:textId="77777777" w:rsidTr="00922116">
        <w:tc>
          <w:tcPr>
            <w:tcW w:w="3141" w:type="dxa"/>
          </w:tcPr>
          <w:p w14:paraId="0F056E48" w14:textId="77777777" w:rsidR="00AC5C0C" w:rsidRPr="00B02BA3" w:rsidRDefault="00AC5C0C" w:rsidP="00922116">
            <w:pPr>
              <w:pStyle w:val="CellBodyIndent1"/>
              <w:tabs>
                <w:tab w:val="right" w:leader="dot" w:pos="3168"/>
              </w:tabs>
              <w:ind w:left="0"/>
              <w:rPr>
                <w:rFonts w:eastAsia="SimSun"/>
                <w:sz w:val="16"/>
                <w:szCs w:val="16"/>
              </w:rPr>
            </w:pPr>
            <w:r>
              <w:rPr>
                <w:rFonts w:eastAsia="SimSun"/>
                <w:sz w:val="16"/>
                <w:szCs w:val="16"/>
              </w:rPr>
              <w:t>TCE</w:t>
            </w:r>
            <w:r w:rsidRPr="00B02BA3">
              <w:rPr>
                <w:rFonts w:eastAsia="SimSun"/>
                <w:sz w:val="16"/>
                <w:szCs w:val="16"/>
              </w:rPr>
              <w:t xml:space="preserve"> revenue</w:t>
            </w:r>
            <w:r w:rsidRPr="00B02BA3">
              <w:rPr>
                <w:rFonts w:eastAsia="SimSun"/>
                <w:sz w:val="16"/>
                <w:szCs w:val="16"/>
                <w:vertAlign w:val="superscript"/>
              </w:rPr>
              <w:t xml:space="preserve">(3) </w:t>
            </w:r>
            <w:r w:rsidRPr="00B02BA3">
              <w:rPr>
                <w:rFonts w:eastAsia="SimSun"/>
                <w:sz w:val="16"/>
                <w:szCs w:val="16"/>
              </w:rPr>
              <w:t>(</w:t>
            </w:r>
            <w:r w:rsidRPr="00B02BA3">
              <w:rPr>
                <w:rFonts w:eastAsia="SimSun"/>
                <w:i/>
                <w:iCs/>
                <w:sz w:val="16"/>
                <w:szCs w:val="16"/>
              </w:rPr>
              <w:t>U.S.$ millions</w:t>
            </w:r>
            <w:r w:rsidRPr="00B02BA3">
              <w:rPr>
                <w:rFonts w:eastAsia="SimSun"/>
                <w:sz w:val="16"/>
                <w:szCs w:val="16"/>
              </w:rPr>
              <w:t>)</w:t>
            </w:r>
            <w:r w:rsidRPr="00B02BA3">
              <w:rPr>
                <w:rFonts w:eastAsia="SimSun"/>
                <w:sz w:val="16"/>
                <w:szCs w:val="16"/>
              </w:rPr>
              <w:tab/>
            </w:r>
          </w:p>
        </w:tc>
        <w:tc>
          <w:tcPr>
            <w:tcW w:w="235" w:type="dxa"/>
          </w:tcPr>
          <w:p w14:paraId="5E646D43" w14:textId="77777777" w:rsidR="00AC5C0C" w:rsidRPr="00B02BA3" w:rsidRDefault="00AC5C0C" w:rsidP="00922116">
            <w:pPr>
              <w:pStyle w:val="CellRowSpacer"/>
              <w:rPr>
                <w:sz w:val="16"/>
                <w:szCs w:val="16"/>
              </w:rPr>
            </w:pPr>
          </w:p>
        </w:tc>
        <w:tc>
          <w:tcPr>
            <w:tcW w:w="901" w:type="dxa"/>
            <w:vAlign w:val="bottom"/>
          </w:tcPr>
          <w:p w14:paraId="4DC08A84"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139.</w:t>
            </w:r>
            <w:r w:rsidR="00D44750">
              <w:rPr>
                <w:color w:val="000000"/>
                <w:kern w:val="0"/>
                <w:sz w:val="16"/>
                <w:szCs w:val="16"/>
              </w:rPr>
              <w:t>6</w:t>
            </w:r>
          </w:p>
        </w:tc>
        <w:tc>
          <w:tcPr>
            <w:tcW w:w="235" w:type="dxa"/>
          </w:tcPr>
          <w:p w14:paraId="6E8EC85C" w14:textId="77777777" w:rsidR="00AC5C0C" w:rsidRPr="00B02BA3" w:rsidRDefault="00AC5C0C" w:rsidP="00922116">
            <w:pPr>
              <w:pStyle w:val="CellRowSpacer"/>
              <w:rPr>
                <w:sz w:val="16"/>
                <w:szCs w:val="16"/>
              </w:rPr>
            </w:pPr>
          </w:p>
        </w:tc>
        <w:tc>
          <w:tcPr>
            <w:tcW w:w="900" w:type="dxa"/>
            <w:vAlign w:val="bottom"/>
          </w:tcPr>
          <w:p w14:paraId="76A96C87"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162.1</w:t>
            </w:r>
          </w:p>
        </w:tc>
        <w:tc>
          <w:tcPr>
            <w:tcW w:w="234" w:type="dxa"/>
            <w:vAlign w:val="bottom"/>
          </w:tcPr>
          <w:p w14:paraId="5CB561AA" w14:textId="77777777" w:rsidR="00AC5C0C" w:rsidRPr="00B02BA3" w:rsidRDefault="00AC5C0C" w:rsidP="00922116">
            <w:pPr>
              <w:pStyle w:val="CellRowSpacer"/>
              <w:rPr>
                <w:sz w:val="16"/>
                <w:szCs w:val="16"/>
              </w:rPr>
            </w:pPr>
          </w:p>
        </w:tc>
        <w:tc>
          <w:tcPr>
            <w:tcW w:w="900" w:type="dxa"/>
            <w:vAlign w:val="bottom"/>
          </w:tcPr>
          <w:p w14:paraId="3570A2E1"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140.7</w:t>
            </w:r>
          </w:p>
        </w:tc>
        <w:tc>
          <w:tcPr>
            <w:tcW w:w="234" w:type="dxa"/>
          </w:tcPr>
          <w:p w14:paraId="3D256FB3" w14:textId="77777777" w:rsidR="00AC5C0C" w:rsidRPr="00B02BA3" w:rsidRDefault="00AC5C0C" w:rsidP="00922116">
            <w:pPr>
              <w:pStyle w:val="CellRowSpacer"/>
              <w:rPr>
                <w:sz w:val="16"/>
                <w:szCs w:val="16"/>
              </w:rPr>
            </w:pPr>
          </w:p>
        </w:tc>
        <w:tc>
          <w:tcPr>
            <w:tcW w:w="900" w:type="dxa"/>
            <w:vAlign w:val="bottom"/>
          </w:tcPr>
          <w:p w14:paraId="603AF753"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105.5</w:t>
            </w:r>
          </w:p>
        </w:tc>
        <w:tc>
          <w:tcPr>
            <w:tcW w:w="234" w:type="dxa"/>
          </w:tcPr>
          <w:p w14:paraId="512F0810" w14:textId="77777777" w:rsidR="00AC5C0C" w:rsidRPr="007472B7" w:rsidRDefault="00AC5C0C" w:rsidP="00922116">
            <w:pPr>
              <w:pStyle w:val="CellRowSpacer"/>
              <w:rPr>
                <w:sz w:val="16"/>
                <w:szCs w:val="16"/>
              </w:rPr>
            </w:pPr>
          </w:p>
        </w:tc>
        <w:tc>
          <w:tcPr>
            <w:tcW w:w="900" w:type="dxa"/>
            <w:vAlign w:val="bottom"/>
          </w:tcPr>
          <w:p w14:paraId="145530A5" w14:textId="77777777" w:rsidR="00AC5C0C" w:rsidRPr="007472B7" w:rsidRDefault="00D44750" w:rsidP="00922116">
            <w:pPr>
              <w:pStyle w:val="VSmCellBody"/>
              <w:jc w:val="right"/>
              <w:rPr>
                <w:color w:val="000000"/>
                <w:kern w:val="0"/>
                <w:sz w:val="16"/>
                <w:szCs w:val="16"/>
              </w:rPr>
            </w:pPr>
            <w:r>
              <w:rPr>
                <w:color w:val="000000"/>
                <w:kern w:val="0"/>
                <w:sz w:val="16"/>
                <w:szCs w:val="16"/>
              </w:rPr>
              <w:t>106.6</w:t>
            </w:r>
          </w:p>
        </w:tc>
        <w:tc>
          <w:tcPr>
            <w:tcW w:w="234" w:type="dxa"/>
            <w:vAlign w:val="bottom"/>
          </w:tcPr>
          <w:p w14:paraId="2337F3D3" w14:textId="77777777" w:rsidR="00AC5C0C" w:rsidRPr="00B02BA3" w:rsidRDefault="00AC5C0C" w:rsidP="00922116">
            <w:pPr>
              <w:pStyle w:val="CellRowSpacer"/>
              <w:rPr>
                <w:sz w:val="16"/>
                <w:szCs w:val="16"/>
              </w:rPr>
            </w:pPr>
          </w:p>
        </w:tc>
      </w:tr>
      <w:tr w:rsidR="00AC5C0C" w:rsidRPr="00B02BA3" w14:paraId="7736C41F" w14:textId="77777777" w:rsidTr="00922116">
        <w:tc>
          <w:tcPr>
            <w:tcW w:w="3141" w:type="dxa"/>
          </w:tcPr>
          <w:p w14:paraId="513C1231" w14:textId="77777777" w:rsidR="00AC5C0C" w:rsidRPr="00B02BA3" w:rsidRDefault="00AC5C0C" w:rsidP="00922116">
            <w:pPr>
              <w:pStyle w:val="CellBodyIndent1"/>
              <w:tabs>
                <w:tab w:val="right" w:leader="dot" w:pos="3168"/>
              </w:tabs>
              <w:ind w:left="0"/>
              <w:rPr>
                <w:color w:val="000000"/>
                <w:kern w:val="0"/>
                <w:sz w:val="16"/>
                <w:szCs w:val="16"/>
              </w:rPr>
            </w:pPr>
            <w:r>
              <w:rPr>
                <w:rFonts w:eastAsia="SimSun"/>
                <w:sz w:val="16"/>
                <w:szCs w:val="16"/>
              </w:rPr>
              <w:t>TCE</w:t>
            </w:r>
            <w:r w:rsidRPr="00B02BA3">
              <w:rPr>
                <w:rFonts w:eastAsia="SimSun"/>
                <w:sz w:val="16"/>
                <w:szCs w:val="16"/>
              </w:rPr>
              <w:t xml:space="preserve"> rate</w:t>
            </w:r>
            <w:r w:rsidRPr="00B02BA3">
              <w:rPr>
                <w:rFonts w:eastAsia="SimSun"/>
                <w:sz w:val="16"/>
                <w:szCs w:val="16"/>
                <w:vertAlign w:val="superscript"/>
              </w:rPr>
              <w:t>(3)</w:t>
            </w:r>
            <w:r w:rsidRPr="00B02BA3">
              <w:rPr>
                <w:rFonts w:eastAsia="SimSun"/>
                <w:sz w:val="16"/>
                <w:szCs w:val="16"/>
              </w:rPr>
              <w:t xml:space="preserve"> (</w:t>
            </w:r>
            <w:r w:rsidRPr="00B02BA3">
              <w:rPr>
                <w:rFonts w:eastAsia="SimSun"/>
                <w:i/>
                <w:iCs/>
                <w:sz w:val="16"/>
                <w:szCs w:val="16"/>
              </w:rPr>
              <w:t>U.S.$/day</w:t>
            </w:r>
            <w:r w:rsidRPr="00B02BA3">
              <w:rPr>
                <w:rFonts w:eastAsia="SimSun"/>
                <w:sz w:val="16"/>
                <w:szCs w:val="16"/>
              </w:rPr>
              <w:t>)</w:t>
            </w:r>
            <w:r w:rsidRPr="00B02BA3">
              <w:rPr>
                <w:rFonts w:eastAsia="SimSun"/>
                <w:sz w:val="16"/>
                <w:szCs w:val="16"/>
              </w:rPr>
              <w:tab/>
            </w:r>
          </w:p>
        </w:tc>
        <w:tc>
          <w:tcPr>
            <w:tcW w:w="235" w:type="dxa"/>
          </w:tcPr>
          <w:p w14:paraId="0892D352" w14:textId="77777777" w:rsidR="00AC5C0C" w:rsidRPr="00B02BA3" w:rsidRDefault="00AC5C0C" w:rsidP="00922116">
            <w:pPr>
              <w:pStyle w:val="CellRowSpacer"/>
              <w:rPr>
                <w:sz w:val="16"/>
                <w:szCs w:val="16"/>
              </w:rPr>
            </w:pPr>
          </w:p>
        </w:tc>
        <w:tc>
          <w:tcPr>
            <w:tcW w:w="901" w:type="dxa"/>
            <w:vAlign w:val="bottom"/>
          </w:tcPr>
          <w:p w14:paraId="03C1AB63"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19,239</w:t>
            </w:r>
          </w:p>
        </w:tc>
        <w:tc>
          <w:tcPr>
            <w:tcW w:w="235" w:type="dxa"/>
          </w:tcPr>
          <w:p w14:paraId="37D8AA17" w14:textId="77777777" w:rsidR="00AC5C0C" w:rsidRPr="00B02BA3" w:rsidRDefault="00AC5C0C" w:rsidP="00922116">
            <w:pPr>
              <w:pStyle w:val="CellRowSpacer"/>
              <w:rPr>
                <w:sz w:val="16"/>
                <w:szCs w:val="16"/>
              </w:rPr>
            </w:pPr>
          </w:p>
        </w:tc>
        <w:tc>
          <w:tcPr>
            <w:tcW w:w="900" w:type="dxa"/>
            <w:vAlign w:val="bottom"/>
          </w:tcPr>
          <w:p w14:paraId="0E0205E1"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23,155</w:t>
            </w:r>
          </w:p>
        </w:tc>
        <w:tc>
          <w:tcPr>
            <w:tcW w:w="234" w:type="dxa"/>
            <w:vAlign w:val="bottom"/>
          </w:tcPr>
          <w:p w14:paraId="7EA85430" w14:textId="77777777" w:rsidR="00AC5C0C" w:rsidRPr="00B02BA3" w:rsidRDefault="00AC5C0C" w:rsidP="00922116">
            <w:pPr>
              <w:pStyle w:val="CellRowSpacer"/>
              <w:rPr>
                <w:sz w:val="16"/>
                <w:szCs w:val="16"/>
              </w:rPr>
            </w:pPr>
          </w:p>
        </w:tc>
        <w:tc>
          <w:tcPr>
            <w:tcW w:w="900" w:type="dxa"/>
            <w:vAlign w:val="bottom"/>
          </w:tcPr>
          <w:p w14:paraId="1AB2B245"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18,095</w:t>
            </w:r>
          </w:p>
        </w:tc>
        <w:tc>
          <w:tcPr>
            <w:tcW w:w="234" w:type="dxa"/>
          </w:tcPr>
          <w:p w14:paraId="546DCC38" w14:textId="77777777" w:rsidR="00AC5C0C" w:rsidRPr="00B02BA3" w:rsidRDefault="00AC5C0C" w:rsidP="00922116">
            <w:pPr>
              <w:pStyle w:val="CellRowSpacer"/>
              <w:rPr>
                <w:sz w:val="16"/>
                <w:szCs w:val="16"/>
              </w:rPr>
            </w:pPr>
          </w:p>
        </w:tc>
        <w:tc>
          <w:tcPr>
            <w:tcW w:w="900" w:type="dxa"/>
            <w:vAlign w:val="bottom"/>
          </w:tcPr>
          <w:p w14:paraId="1340614E"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18,996</w:t>
            </w:r>
          </w:p>
        </w:tc>
        <w:tc>
          <w:tcPr>
            <w:tcW w:w="234" w:type="dxa"/>
          </w:tcPr>
          <w:p w14:paraId="27E1A276" w14:textId="77777777" w:rsidR="00AC5C0C" w:rsidRPr="007472B7" w:rsidRDefault="00AC5C0C" w:rsidP="00922116">
            <w:pPr>
              <w:pStyle w:val="CellRowSpacer"/>
              <w:rPr>
                <w:sz w:val="16"/>
                <w:szCs w:val="16"/>
              </w:rPr>
            </w:pPr>
          </w:p>
        </w:tc>
        <w:tc>
          <w:tcPr>
            <w:tcW w:w="900" w:type="dxa"/>
            <w:vAlign w:val="bottom"/>
          </w:tcPr>
          <w:p w14:paraId="16225A64"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16,929</w:t>
            </w:r>
          </w:p>
        </w:tc>
        <w:tc>
          <w:tcPr>
            <w:tcW w:w="234" w:type="dxa"/>
            <w:vAlign w:val="bottom"/>
          </w:tcPr>
          <w:p w14:paraId="3EF279C8" w14:textId="77777777" w:rsidR="00AC5C0C" w:rsidRPr="00B02BA3" w:rsidRDefault="00AC5C0C" w:rsidP="00922116">
            <w:pPr>
              <w:pStyle w:val="CellRowSpacer"/>
              <w:rPr>
                <w:sz w:val="16"/>
                <w:szCs w:val="16"/>
              </w:rPr>
            </w:pPr>
          </w:p>
        </w:tc>
      </w:tr>
      <w:tr w:rsidR="00AC5C0C" w:rsidRPr="00B02BA3" w14:paraId="4CA01103" w14:textId="77777777" w:rsidTr="00922116">
        <w:tc>
          <w:tcPr>
            <w:tcW w:w="3141" w:type="dxa"/>
          </w:tcPr>
          <w:p w14:paraId="0B0ECAA2" w14:textId="77777777" w:rsidR="00AC5C0C" w:rsidRPr="00B02BA3" w:rsidRDefault="00AC5C0C" w:rsidP="00922116">
            <w:pPr>
              <w:pStyle w:val="CellBodyIndent1"/>
              <w:tabs>
                <w:tab w:val="right" w:leader="dot" w:pos="3168"/>
              </w:tabs>
              <w:ind w:left="0"/>
              <w:rPr>
                <w:rFonts w:eastAsia="SimSun"/>
                <w:sz w:val="16"/>
                <w:szCs w:val="16"/>
              </w:rPr>
            </w:pPr>
            <w:r w:rsidRPr="00B02BA3">
              <w:rPr>
                <w:rFonts w:eastAsia="SimSun"/>
                <w:sz w:val="16"/>
                <w:szCs w:val="16"/>
              </w:rPr>
              <w:t>EBITDA</w:t>
            </w:r>
            <w:r w:rsidRPr="00B02BA3">
              <w:rPr>
                <w:rFonts w:eastAsia="SimSun"/>
                <w:sz w:val="16"/>
                <w:szCs w:val="16"/>
                <w:vertAlign w:val="superscript"/>
              </w:rPr>
              <w:t xml:space="preserve">(3) </w:t>
            </w:r>
            <w:r w:rsidRPr="00B02BA3">
              <w:rPr>
                <w:rFonts w:eastAsia="SimSun"/>
                <w:sz w:val="16"/>
                <w:szCs w:val="16"/>
              </w:rPr>
              <w:t>(</w:t>
            </w:r>
            <w:r w:rsidRPr="00B02BA3">
              <w:rPr>
                <w:rFonts w:eastAsia="SimSun"/>
                <w:i/>
                <w:iCs/>
                <w:sz w:val="16"/>
                <w:szCs w:val="16"/>
              </w:rPr>
              <w:t>U.S.$ millions</w:t>
            </w:r>
            <w:r w:rsidRPr="00B02BA3">
              <w:rPr>
                <w:rFonts w:eastAsia="SimSun"/>
                <w:sz w:val="16"/>
                <w:szCs w:val="16"/>
              </w:rPr>
              <w:t>)</w:t>
            </w:r>
            <w:r w:rsidRPr="00B02BA3">
              <w:rPr>
                <w:rFonts w:eastAsia="SimSun"/>
                <w:sz w:val="16"/>
                <w:szCs w:val="16"/>
              </w:rPr>
              <w:tab/>
            </w:r>
          </w:p>
        </w:tc>
        <w:tc>
          <w:tcPr>
            <w:tcW w:w="235" w:type="dxa"/>
          </w:tcPr>
          <w:p w14:paraId="51805595" w14:textId="77777777" w:rsidR="00AC5C0C" w:rsidRPr="00B02BA3" w:rsidRDefault="00AC5C0C" w:rsidP="00922116">
            <w:pPr>
              <w:pStyle w:val="CellRowSpacer"/>
              <w:rPr>
                <w:sz w:val="16"/>
                <w:szCs w:val="16"/>
              </w:rPr>
            </w:pPr>
          </w:p>
        </w:tc>
        <w:tc>
          <w:tcPr>
            <w:tcW w:w="901" w:type="dxa"/>
            <w:vAlign w:val="bottom"/>
          </w:tcPr>
          <w:p w14:paraId="43601FD4"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104.0</w:t>
            </w:r>
          </w:p>
        </w:tc>
        <w:tc>
          <w:tcPr>
            <w:tcW w:w="235" w:type="dxa"/>
          </w:tcPr>
          <w:p w14:paraId="59B1D4AB" w14:textId="77777777" w:rsidR="00AC5C0C" w:rsidRPr="00B02BA3" w:rsidRDefault="00AC5C0C" w:rsidP="00922116">
            <w:pPr>
              <w:pStyle w:val="CellRowSpacer"/>
              <w:rPr>
                <w:sz w:val="16"/>
                <w:szCs w:val="16"/>
              </w:rPr>
            </w:pPr>
          </w:p>
        </w:tc>
        <w:tc>
          <w:tcPr>
            <w:tcW w:w="900" w:type="dxa"/>
            <w:vAlign w:val="bottom"/>
          </w:tcPr>
          <w:p w14:paraId="163876FF"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109.5</w:t>
            </w:r>
          </w:p>
        </w:tc>
        <w:tc>
          <w:tcPr>
            <w:tcW w:w="234" w:type="dxa"/>
            <w:vAlign w:val="bottom"/>
          </w:tcPr>
          <w:p w14:paraId="0F39C412" w14:textId="77777777" w:rsidR="00AC5C0C" w:rsidRPr="00B02BA3" w:rsidRDefault="00AC5C0C" w:rsidP="00922116">
            <w:pPr>
              <w:pStyle w:val="CellRowSpacer"/>
              <w:rPr>
                <w:sz w:val="16"/>
                <w:szCs w:val="16"/>
              </w:rPr>
            </w:pPr>
          </w:p>
        </w:tc>
        <w:tc>
          <w:tcPr>
            <w:tcW w:w="900" w:type="dxa"/>
            <w:vAlign w:val="bottom"/>
          </w:tcPr>
          <w:p w14:paraId="36239931"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89.7</w:t>
            </w:r>
          </w:p>
        </w:tc>
        <w:tc>
          <w:tcPr>
            <w:tcW w:w="234" w:type="dxa"/>
          </w:tcPr>
          <w:p w14:paraId="0EB8BE8D" w14:textId="77777777" w:rsidR="00AC5C0C" w:rsidRPr="00B02BA3" w:rsidRDefault="00AC5C0C" w:rsidP="00922116">
            <w:pPr>
              <w:pStyle w:val="CellRowSpacer"/>
              <w:rPr>
                <w:sz w:val="16"/>
                <w:szCs w:val="16"/>
              </w:rPr>
            </w:pPr>
          </w:p>
        </w:tc>
        <w:tc>
          <w:tcPr>
            <w:tcW w:w="900" w:type="dxa"/>
            <w:vAlign w:val="bottom"/>
          </w:tcPr>
          <w:p w14:paraId="6072E137"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66.9</w:t>
            </w:r>
          </w:p>
        </w:tc>
        <w:tc>
          <w:tcPr>
            <w:tcW w:w="234" w:type="dxa"/>
          </w:tcPr>
          <w:p w14:paraId="3236EB73" w14:textId="77777777" w:rsidR="00AC5C0C" w:rsidRPr="007472B7" w:rsidRDefault="00AC5C0C" w:rsidP="00922116">
            <w:pPr>
              <w:pStyle w:val="CellRowSpacer"/>
              <w:rPr>
                <w:sz w:val="16"/>
                <w:szCs w:val="16"/>
              </w:rPr>
            </w:pPr>
          </w:p>
        </w:tc>
        <w:tc>
          <w:tcPr>
            <w:tcW w:w="900" w:type="dxa"/>
            <w:vAlign w:val="bottom"/>
          </w:tcPr>
          <w:p w14:paraId="7FF366E7" w14:textId="77777777" w:rsidR="00AC5C0C" w:rsidRPr="007472B7" w:rsidRDefault="00290FEC" w:rsidP="00922116">
            <w:pPr>
              <w:pStyle w:val="VSmCellBody"/>
              <w:jc w:val="right"/>
              <w:rPr>
                <w:color w:val="000000"/>
                <w:kern w:val="0"/>
                <w:sz w:val="16"/>
                <w:szCs w:val="16"/>
              </w:rPr>
            </w:pPr>
            <w:r>
              <w:rPr>
                <w:color w:val="000000"/>
                <w:kern w:val="0"/>
                <w:sz w:val="16"/>
                <w:szCs w:val="16"/>
              </w:rPr>
              <w:t>59.7</w:t>
            </w:r>
          </w:p>
        </w:tc>
        <w:tc>
          <w:tcPr>
            <w:tcW w:w="234" w:type="dxa"/>
            <w:vAlign w:val="bottom"/>
          </w:tcPr>
          <w:p w14:paraId="37BF9ABD" w14:textId="77777777" w:rsidR="00AC5C0C" w:rsidRPr="00B02BA3" w:rsidRDefault="00AC5C0C" w:rsidP="00922116">
            <w:pPr>
              <w:pStyle w:val="CellRowSpacer"/>
              <w:rPr>
                <w:sz w:val="16"/>
                <w:szCs w:val="16"/>
              </w:rPr>
            </w:pPr>
          </w:p>
        </w:tc>
      </w:tr>
    </w:tbl>
    <w:p w14:paraId="33B97D74" w14:textId="77777777" w:rsidR="00AC5C0C" w:rsidRDefault="00AC5C0C" w:rsidP="00AC5C0C">
      <w:pPr>
        <w:bidi/>
        <w:jc w:val="both"/>
        <w:rPr>
          <w:rFonts w:ascii="Traditional Arabic" w:hAnsi="Traditional Arabic" w:cs="Traditional Arabic"/>
          <w:sz w:val="30"/>
          <w:szCs w:val="30"/>
          <w:rtl/>
        </w:rPr>
      </w:pPr>
    </w:p>
    <w:p w14:paraId="6E0E8B0D" w14:textId="77777777" w:rsidR="00AC5C0C" w:rsidRPr="00334534" w:rsidRDefault="00AC5C0C" w:rsidP="00AC5C0C">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AC5C0C" w14:paraId="37172659" w14:textId="77777777" w:rsidTr="00922116">
        <w:tc>
          <w:tcPr>
            <w:tcW w:w="1424" w:type="dxa"/>
            <w:tcBorders>
              <w:top w:val="single" w:sz="4" w:space="0" w:color="auto"/>
            </w:tcBorders>
            <w:vAlign w:val="bottom"/>
          </w:tcPr>
          <w:p w14:paraId="3EF96F9A"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الملاحظات:</w:t>
            </w:r>
          </w:p>
        </w:tc>
        <w:tc>
          <w:tcPr>
            <w:tcW w:w="7501" w:type="dxa"/>
            <w:vAlign w:val="bottom"/>
          </w:tcPr>
          <w:p w14:paraId="023B46C8" w14:textId="77777777" w:rsidR="00334534" w:rsidRPr="00985281" w:rsidRDefault="00334534" w:rsidP="00334534">
            <w:pPr>
              <w:bidi/>
              <w:jc w:val="both"/>
              <w:rPr>
                <w:rFonts w:ascii="Traditional Arabic" w:hAnsi="Traditional Arabic" w:cs="Traditional Arabic"/>
                <w:sz w:val="24"/>
              </w:rPr>
            </w:pPr>
          </w:p>
        </w:tc>
      </w:tr>
      <w:tr w:rsidR="00334534" w:rsidRPr="00AC5C0C" w14:paraId="0576AEC1" w14:textId="77777777" w:rsidTr="00922116">
        <w:tc>
          <w:tcPr>
            <w:tcW w:w="8925" w:type="dxa"/>
            <w:gridSpan w:val="2"/>
            <w:vAlign w:val="bottom"/>
          </w:tcPr>
          <w:p w14:paraId="0E26E6F3"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باستثناء السفن المطلوبة.</w:t>
            </w:r>
          </w:p>
        </w:tc>
      </w:tr>
      <w:tr w:rsidR="00334534" w:rsidRPr="00AC5C0C" w14:paraId="61CE7009" w14:textId="77777777" w:rsidTr="00922116">
        <w:tc>
          <w:tcPr>
            <w:tcW w:w="8925" w:type="dxa"/>
            <w:gridSpan w:val="2"/>
            <w:vAlign w:val="bottom"/>
          </w:tcPr>
          <w:p w14:paraId="351AD79D"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يتم حساب استخدام الأسطول على أنه 365 يوما ناقص عدد الأيام التي ترسو فيها السفن في الحوض الجاف، مقسومًا على 365.</w:t>
            </w:r>
          </w:p>
        </w:tc>
      </w:tr>
      <w:tr w:rsidR="00334534" w:rsidRPr="00AC5C0C" w14:paraId="4F12D506" w14:textId="77777777" w:rsidTr="00922116">
        <w:tc>
          <w:tcPr>
            <w:tcW w:w="8925" w:type="dxa"/>
            <w:gridSpan w:val="2"/>
            <w:vAlign w:val="bottom"/>
          </w:tcPr>
          <w:p w14:paraId="47ACE67B"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لمناقشة كيفية حساب مكافئ تأجير السفن المجهزة بالمدة، ومعدل مكافئ تأجير السفن المجهزة بالمدة، والأرباح قبل حساب الفائدة والضريبة والإهلاك والإطفاء، يرجى الاطلاع على "</w:t>
            </w:r>
            <w:r w:rsidRPr="00985281">
              <w:rPr>
                <w:rFonts w:ascii="Traditional Arabic" w:hAnsi="Traditional Arabic" w:cs="Traditional Arabic"/>
                <w:i/>
                <w:sz w:val="24"/>
                <w:rtl/>
              </w:rPr>
              <w:t>عرض البيانات المالية وبيانات القطاع والسوق - معلومات غير متصلة بالمعايير الدولية لإعداد التقارير المالية وبعض البيانات المالية والتشغيلية الأخرى - معلومات</w:t>
            </w:r>
            <w:r w:rsidRPr="00985281">
              <w:rPr>
                <w:rFonts w:ascii="Traditional Arabic" w:hAnsi="Traditional Arabic" w:cs="Traditional Arabic"/>
                <w:sz w:val="24"/>
                <w:rtl/>
              </w:rPr>
              <w:t xml:space="preserve"> غير متصلة بالمعايير الدولية لإعداد</w:t>
            </w:r>
            <w:r w:rsidRPr="00985281">
              <w:rPr>
                <w:rFonts w:ascii="Traditional Arabic" w:hAnsi="Traditional Arabic" w:cs="Traditional Arabic"/>
                <w:i/>
                <w:sz w:val="24"/>
                <w:rtl/>
              </w:rPr>
              <w:t xml:space="preserve"> التقارير المالية" و "الفصل الثالث عشر - معلومات مالية وتشغيلية تاريخية مختارة وغيرها من المعلومات - بيانات مالية وتشغيلية أخرى</w:t>
            </w:r>
            <w:r w:rsidRPr="00985281">
              <w:rPr>
                <w:rFonts w:ascii="Traditional Arabic" w:hAnsi="Traditional Arabic" w:cs="Traditional Arabic"/>
                <w:sz w:val="24"/>
                <w:rtl/>
              </w:rPr>
              <w:t xml:space="preserve"> ". </w:t>
            </w:r>
          </w:p>
        </w:tc>
      </w:tr>
    </w:tbl>
    <w:p w14:paraId="208326F1" w14:textId="77777777" w:rsidR="00334534" w:rsidRPr="00985281" w:rsidRDefault="00334534" w:rsidP="00334534">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lastRenderedPageBreak/>
        <w:t>المنافسة</w:t>
      </w:r>
    </w:p>
    <w:p w14:paraId="6279A445"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تشتد المنافسة على التأجير في سوق شحن البضائع السائبة الجافة، وتكون على أساس سعر السفينة وموقعها وحجمها وعمرها وحالتها ومقبوليتها (بما في ذلك المنتجات التي حملتها السفينة مؤخرًا)، بالإضافة إلى سمعة مشغل السفينة. كما تتأثر تنافسية الشركة من حيث فئة الأحجام التي تتنافس فيها ومدى توافر سفن بأحجام أخرى متنافسة في تلك السوق. يشمل المنافسون الرئيسيون للشركة في سوق شحن البضائع السائبة الجافة كلاً من مشغلي الشحن من داخل الشركات ومختلف شركات الشحن الدولية، اعتمادًا على حجم السفينة والمنتجات التي يتم شحنها.</w:t>
      </w:r>
    </w:p>
    <w:p w14:paraId="6F9FD829" w14:textId="77777777" w:rsidR="00AC5C0C" w:rsidRDefault="00AC5C0C" w:rsidP="00334534">
      <w:pPr>
        <w:bidi/>
        <w:jc w:val="both"/>
        <w:rPr>
          <w:rFonts w:ascii="Traditional Arabic" w:hAnsi="Traditional Arabic" w:cs="Traditional Arabic"/>
          <w:i/>
          <w:sz w:val="30"/>
          <w:szCs w:val="30"/>
          <w:rtl/>
        </w:rPr>
      </w:pPr>
    </w:p>
    <w:p w14:paraId="623488B7"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 xml:space="preserve">العملاء </w:t>
      </w:r>
    </w:p>
    <w:p w14:paraId="146DBD02"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تعمل ناقلات السوائب الجافة التابعة للشركة في المقام الأول وفقًا لعقود تأجير السفن المجهزة بالمدة وعقود الشحن طويلة الأمد. ومن بين ناقلات البضائع السائبة الجافة التابعة للشركة البالغ عددها 18 ناقلة، تعمل 11 ناقلة بموجب عقود تأجير السفن المجهزة بالمدة، وتعمل أربع ناقلات بموجب عقود نقل البضائع، وتعمل ثلاث ناقلات في السوق الفورية. وتتراوح عقود تأجير السفن المجهزة بالمدة من مدة متوسطة الأمد (بين خمسة أشهر و 12 شهرًا) إلى مدة طويلة الأمد (أكثر من 12 شهرًا إلى ما يصل إلى 25 عامًا). والسفن التي تعمل في السوق الفورية إما مؤجرة أو معروضة للإيجار مجهزة بالرحلة. تعمل ناقلات السوائب الجافة الأربع المتبقية بموجب عقود شحن مدتها 20 عامًا.</w:t>
      </w:r>
    </w:p>
    <w:p w14:paraId="50F8B81D" w14:textId="77777777" w:rsidR="00AC5C0C" w:rsidRDefault="00AC5C0C" w:rsidP="00334534">
      <w:pPr>
        <w:bidi/>
        <w:jc w:val="both"/>
        <w:rPr>
          <w:rFonts w:ascii="Traditional Arabic" w:hAnsi="Traditional Arabic" w:cs="Traditional Arabic"/>
          <w:sz w:val="30"/>
          <w:szCs w:val="30"/>
          <w:rtl/>
        </w:rPr>
      </w:pPr>
    </w:p>
    <w:p w14:paraId="70BC07D3"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ومن عملاء الشركة في هذا القطاع: شركة فالي، وصحار ألمنيوم، وفيزاغ ستيل، وهيئة الصلب الهندية المحدودة، ولافارج هولسيم. هذا، وتتعامل الشركة مع جميع واردات شركة صحار ألمنيوم من مواد البوكسيت من أستراليا بموجب عقد طويل الأمد يتضمن استخدام سفينتين من طراز سوبراماكس، وهما جوهرة شناص وجوهرة صحار. وتكرس ناقلات خام الحديد العملاقة الأربع التابعة للشركة جهودها لنقل 100 في المائة من واردات خام الحديد لشركة فالي عمان، والتي تصل إلى 9.9 مليون طن سنويًا، من البرازيل إلى صحار بموجب عقد طويل الأمد. ويتم تأجير سفن من طراز ألتراماكس وكمزارماكس التابعة للشركة في المقام الأول لتجار السلع ومشغلي السفن الآخرين، بما في ذلك شركة أدي، وشركة بونجي، وشركة أولام، وشركة كارجيل، وشركة أوليندروف، وشركة نوردين.</w:t>
      </w:r>
    </w:p>
    <w:p w14:paraId="78851AF1" w14:textId="77777777" w:rsidR="00AC5C0C" w:rsidRDefault="00AC5C0C" w:rsidP="00334534">
      <w:pPr>
        <w:bidi/>
        <w:jc w:val="both"/>
        <w:rPr>
          <w:rFonts w:ascii="Traditional Arabic" w:hAnsi="Traditional Arabic" w:cs="Traditional Arabic"/>
          <w:sz w:val="30"/>
          <w:szCs w:val="30"/>
          <w:rtl/>
        </w:rPr>
      </w:pPr>
    </w:p>
    <w:p w14:paraId="256781F8"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يلخص الجدول أدناه ترتيبات التأجير المطبقة على كل سفينة من سفن الشركة العاملة في قطاع شحن البضائع السائبة الجافة حتى 30 سبتمبر 2024: </w:t>
      </w:r>
    </w:p>
    <w:tbl>
      <w:tblPr>
        <w:tblW w:w="9114" w:type="dxa"/>
        <w:tblInd w:w="437" w:type="dxa"/>
        <w:tblLayout w:type="fixed"/>
        <w:tblCellMar>
          <w:left w:w="0" w:type="dxa"/>
          <w:right w:w="0" w:type="dxa"/>
        </w:tblCellMar>
        <w:tblLook w:val="0620" w:firstRow="1" w:lastRow="0" w:firstColumn="0" w:lastColumn="0" w:noHBand="1" w:noVBand="1"/>
      </w:tblPr>
      <w:tblGrid>
        <w:gridCol w:w="3163"/>
        <w:gridCol w:w="236"/>
        <w:gridCol w:w="907"/>
        <w:gridCol w:w="236"/>
        <w:gridCol w:w="907"/>
        <w:gridCol w:w="236"/>
        <w:gridCol w:w="907"/>
        <w:gridCol w:w="236"/>
        <w:gridCol w:w="907"/>
        <w:gridCol w:w="236"/>
        <w:gridCol w:w="907"/>
        <w:gridCol w:w="236"/>
      </w:tblGrid>
      <w:tr w:rsidR="00AC5C0C" w:rsidRPr="00B02BA3" w14:paraId="556993CD" w14:textId="77777777" w:rsidTr="00922116">
        <w:trPr>
          <w:tblHeader/>
        </w:trPr>
        <w:tc>
          <w:tcPr>
            <w:tcW w:w="3163" w:type="dxa"/>
            <w:tcBorders>
              <w:bottom w:val="single" w:sz="4" w:space="0" w:color="auto"/>
            </w:tcBorders>
            <w:vAlign w:val="bottom"/>
          </w:tcPr>
          <w:p w14:paraId="0EF1C8A9" w14:textId="77777777" w:rsidR="00AC5C0C" w:rsidRPr="00B02BA3" w:rsidRDefault="00AC5C0C" w:rsidP="00922116">
            <w:pPr>
              <w:pStyle w:val="CellHead"/>
              <w:jc w:val="center"/>
              <w:rPr>
                <w:sz w:val="16"/>
                <w:szCs w:val="16"/>
              </w:rPr>
            </w:pPr>
            <w:r w:rsidRPr="00B02BA3">
              <w:rPr>
                <w:sz w:val="16"/>
                <w:szCs w:val="16"/>
              </w:rPr>
              <w:t>Vessel name</w:t>
            </w:r>
          </w:p>
        </w:tc>
        <w:tc>
          <w:tcPr>
            <w:tcW w:w="236" w:type="dxa"/>
            <w:vAlign w:val="bottom"/>
          </w:tcPr>
          <w:p w14:paraId="6CABAC65"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110196F4" w14:textId="77777777" w:rsidR="00AC5C0C" w:rsidRPr="00B02BA3" w:rsidRDefault="00AC5C0C" w:rsidP="00922116">
            <w:pPr>
              <w:pStyle w:val="CellHead"/>
              <w:jc w:val="center"/>
              <w:rPr>
                <w:sz w:val="16"/>
                <w:szCs w:val="16"/>
              </w:rPr>
            </w:pPr>
            <w:r w:rsidRPr="00B02BA3">
              <w:rPr>
                <w:sz w:val="16"/>
                <w:szCs w:val="16"/>
              </w:rPr>
              <w:t>Customer / Project</w:t>
            </w:r>
          </w:p>
        </w:tc>
        <w:tc>
          <w:tcPr>
            <w:tcW w:w="236" w:type="dxa"/>
            <w:vAlign w:val="bottom"/>
          </w:tcPr>
          <w:p w14:paraId="0508D6A7"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3F1F6723" w14:textId="77777777" w:rsidR="00AC5C0C" w:rsidRPr="00B02BA3" w:rsidRDefault="00AC5C0C" w:rsidP="00922116">
            <w:pPr>
              <w:pStyle w:val="CellHead"/>
              <w:jc w:val="center"/>
              <w:rPr>
                <w:sz w:val="16"/>
                <w:szCs w:val="16"/>
              </w:rPr>
            </w:pPr>
            <w:r w:rsidRPr="00B02BA3">
              <w:rPr>
                <w:rFonts w:eastAsia="SimSun"/>
                <w:kern w:val="0"/>
                <w:sz w:val="16"/>
                <w:szCs w:val="16"/>
              </w:rPr>
              <w:t>Charter start</w:t>
            </w:r>
          </w:p>
        </w:tc>
        <w:tc>
          <w:tcPr>
            <w:tcW w:w="236" w:type="dxa"/>
            <w:vAlign w:val="bottom"/>
          </w:tcPr>
          <w:p w14:paraId="32C47279"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35684DBF" w14:textId="77777777" w:rsidR="00AC5C0C" w:rsidRPr="00B02BA3" w:rsidRDefault="00AC5C0C" w:rsidP="00922116">
            <w:pPr>
              <w:pStyle w:val="CellHead"/>
              <w:jc w:val="center"/>
              <w:rPr>
                <w:sz w:val="16"/>
                <w:szCs w:val="16"/>
              </w:rPr>
            </w:pPr>
            <w:r w:rsidRPr="00B02BA3">
              <w:rPr>
                <w:rFonts w:eastAsia="SimSun"/>
                <w:kern w:val="0"/>
                <w:sz w:val="16"/>
                <w:szCs w:val="16"/>
              </w:rPr>
              <w:t>Charter expiration</w:t>
            </w:r>
          </w:p>
        </w:tc>
        <w:tc>
          <w:tcPr>
            <w:tcW w:w="236" w:type="dxa"/>
            <w:vAlign w:val="bottom"/>
          </w:tcPr>
          <w:p w14:paraId="7D7B5E4B"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00DD4F26" w14:textId="77777777" w:rsidR="00AC5C0C" w:rsidRPr="00B02BA3" w:rsidRDefault="00AC5C0C" w:rsidP="00922116">
            <w:pPr>
              <w:pStyle w:val="CellHead"/>
              <w:jc w:val="center"/>
              <w:rPr>
                <w:sz w:val="16"/>
                <w:szCs w:val="16"/>
              </w:rPr>
            </w:pPr>
            <w:r w:rsidRPr="00B02BA3">
              <w:rPr>
                <w:rFonts w:eastAsia="SimSun"/>
                <w:kern w:val="0"/>
                <w:sz w:val="16"/>
                <w:szCs w:val="16"/>
              </w:rPr>
              <w:t>Term</w:t>
            </w:r>
          </w:p>
        </w:tc>
        <w:tc>
          <w:tcPr>
            <w:tcW w:w="236" w:type="dxa"/>
            <w:vAlign w:val="bottom"/>
          </w:tcPr>
          <w:p w14:paraId="4532077F"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2B5670CD" w14:textId="77777777" w:rsidR="00AC5C0C" w:rsidRPr="00B02BA3" w:rsidRDefault="00AC5C0C" w:rsidP="00922116">
            <w:pPr>
              <w:pStyle w:val="CellHead"/>
              <w:jc w:val="center"/>
              <w:rPr>
                <w:sz w:val="16"/>
                <w:szCs w:val="16"/>
              </w:rPr>
            </w:pPr>
            <w:r w:rsidRPr="00B02BA3">
              <w:rPr>
                <w:rFonts w:eastAsia="SimSun"/>
                <w:kern w:val="0"/>
                <w:sz w:val="16"/>
                <w:szCs w:val="16"/>
              </w:rPr>
              <w:t>Extension option</w:t>
            </w:r>
          </w:p>
        </w:tc>
        <w:tc>
          <w:tcPr>
            <w:tcW w:w="236" w:type="dxa"/>
            <w:vAlign w:val="bottom"/>
          </w:tcPr>
          <w:p w14:paraId="2E32295D" w14:textId="77777777" w:rsidR="00AC5C0C" w:rsidRPr="00B02BA3" w:rsidRDefault="00AC5C0C" w:rsidP="00922116">
            <w:pPr>
              <w:pStyle w:val="CellHead"/>
              <w:rPr>
                <w:sz w:val="16"/>
                <w:szCs w:val="16"/>
              </w:rPr>
            </w:pPr>
          </w:p>
        </w:tc>
      </w:tr>
      <w:tr w:rsidR="00AC5C0C" w:rsidRPr="00B02BA3" w14:paraId="2314C88A" w14:textId="77777777" w:rsidTr="00922116">
        <w:tc>
          <w:tcPr>
            <w:tcW w:w="3163" w:type="dxa"/>
            <w:vAlign w:val="bottom"/>
          </w:tcPr>
          <w:p w14:paraId="4E57F018" w14:textId="77777777" w:rsidR="00AC5C0C" w:rsidRPr="00B02BA3" w:rsidRDefault="00AC5C0C" w:rsidP="00922116">
            <w:pPr>
              <w:pStyle w:val="VSmCellBody"/>
              <w:tabs>
                <w:tab w:val="right" w:leader="dot" w:pos="3163"/>
              </w:tabs>
              <w:rPr>
                <w:sz w:val="16"/>
                <w:szCs w:val="16"/>
              </w:rPr>
            </w:pPr>
            <w:r w:rsidRPr="00B02BA3">
              <w:rPr>
                <w:sz w:val="16"/>
                <w:szCs w:val="16"/>
              </w:rPr>
              <w:t>Liwa Max</w:t>
            </w:r>
            <w:r w:rsidRPr="00B02BA3">
              <w:rPr>
                <w:rFonts w:eastAsia="SimSun"/>
                <w:sz w:val="16"/>
                <w:szCs w:val="16"/>
              </w:rPr>
              <w:tab/>
            </w:r>
          </w:p>
        </w:tc>
        <w:tc>
          <w:tcPr>
            <w:tcW w:w="236" w:type="dxa"/>
            <w:vAlign w:val="bottom"/>
          </w:tcPr>
          <w:p w14:paraId="1EA2B3A5" w14:textId="77777777" w:rsidR="00AC5C0C" w:rsidRPr="00B02BA3" w:rsidRDefault="00AC5C0C" w:rsidP="00922116">
            <w:pPr>
              <w:pStyle w:val="CellRowSpacer"/>
              <w:rPr>
                <w:sz w:val="16"/>
                <w:szCs w:val="16"/>
              </w:rPr>
            </w:pPr>
          </w:p>
        </w:tc>
        <w:tc>
          <w:tcPr>
            <w:tcW w:w="907" w:type="dxa"/>
            <w:tcBorders>
              <w:top w:val="single" w:sz="4" w:space="0" w:color="auto"/>
            </w:tcBorders>
            <w:vAlign w:val="bottom"/>
          </w:tcPr>
          <w:p w14:paraId="62D27C22" w14:textId="77777777" w:rsidR="00AC5C0C" w:rsidRPr="00B02BA3" w:rsidRDefault="00AC5C0C" w:rsidP="00922116">
            <w:pPr>
              <w:pStyle w:val="VSmCellBody"/>
              <w:jc w:val="right"/>
              <w:rPr>
                <w:sz w:val="16"/>
                <w:szCs w:val="16"/>
              </w:rPr>
            </w:pPr>
            <w:r w:rsidRPr="00B02BA3">
              <w:rPr>
                <w:sz w:val="16"/>
                <w:szCs w:val="16"/>
              </w:rPr>
              <w:t>Vale</w:t>
            </w:r>
          </w:p>
        </w:tc>
        <w:tc>
          <w:tcPr>
            <w:tcW w:w="236" w:type="dxa"/>
            <w:vAlign w:val="bottom"/>
          </w:tcPr>
          <w:p w14:paraId="3FF11139" w14:textId="77777777" w:rsidR="00AC5C0C" w:rsidRPr="00B02BA3" w:rsidRDefault="00AC5C0C" w:rsidP="00922116">
            <w:pPr>
              <w:pStyle w:val="CellRowSpacer"/>
              <w:rPr>
                <w:sz w:val="16"/>
                <w:szCs w:val="16"/>
              </w:rPr>
            </w:pPr>
          </w:p>
        </w:tc>
        <w:tc>
          <w:tcPr>
            <w:tcW w:w="907" w:type="dxa"/>
            <w:tcBorders>
              <w:top w:val="single" w:sz="4" w:space="0" w:color="auto"/>
            </w:tcBorders>
            <w:vAlign w:val="bottom"/>
          </w:tcPr>
          <w:p w14:paraId="1E2E8EA0" w14:textId="77777777" w:rsidR="00AC5C0C" w:rsidRPr="00B02BA3" w:rsidRDefault="00AC5C0C" w:rsidP="00922116">
            <w:pPr>
              <w:pStyle w:val="VSmCellBody"/>
              <w:jc w:val="right"/>
              <w:rPr>
                <w:sz w:val="16"/>
                <w:szCs w:val="16"/>
              </w:rPr>
            </w:pPr>
            <w:r w:rsidRPr="00B02BA3">
              <w:rPr>
                <w:sz w:val="16"/>
                <w:szCs w:val="16"/>
              </w:rPr>
              <w:t xml:space="preserve">2012 </w:t>
            </w:r>
          </w:p>
        </w:tc>
        <w:tc>
          <w:tcPr>
            <w:tcW w:w="236" w:type="dxa"/>
            <w:vAlign w:val="bottom"/>
          </w:tcPr>
          <w:p w14:paraId="7B225E92" w14:textId="77777777" w:rsidR="00AC5C0C" w:rsidRPr="00B02BA3" w:rsidRDefault="00AC5C0C" w:rsidP="00922116">
            <w:pPr>
              <w:pStyle w:val="CellRowSpacer"/>
              <w:rPr>
                <w:sz w:val="16"/>
                <w:szCs w:val="16"/>
              </w:rPr>
            </w:pPr>
          </w:p>
        </w:tc>
        <w:tc>
          <w:tcPr>
            <w:tcW w:w="907" w:type="dxa"/>
            <w:tcBorders>
              <w:top w:val="single" w:sz="4" w:space="0" w:color="auto"/>
            </w:tcBorders>
            <w:vAlign w:val="bottom"/>
          </w:tcPr>
          <w:p w14:paraId="70930E0F" w14:textId="77777777" w:rsidR="00AC5C0C" w:rsidRPr="00B02BA3" w:rsidRDefault="00AC5C0C" w:rsidP="00922116">
            <w:pPr>
              <w:pStyle w:val="VSmCellBody"/>
              <w:jc w:val="right"/>
              <w:rPr>
                <w:sz w:val="16"/>
                <w:szCs w:val="16"/>
              </w:rPr>
            </w:pPr>
            <w:r w:rsidRPr="00B02BA3">
              <w:rPr>
                <w:sz w:val="16"/>
                <w:szCs w:val="16"/>
              </w:rPr>
              <w:t>August 2032</w:t>
            </w:r>
          </w:p>
        </w:tc>
        <w:tc>
          <w:tcPr>
            <w:tcW w:w="236" w:type="dxa"/>
            <w:vAlign w:val="bottom"/>
          </w:tcPr>
          <w:p w14:paraId="548F3B93" w14:textId="77777777" w:rsidR="00AC5C0C" w:rsidRPr="00B02BA3" w:rsidRDefault="00AC5C0C" w:rsidP="00922116">
            <w:pPr>
              <w:pStyle w:val="CellRowSpacer"/>
              <w:rPr>
                <w:sz w:val="16"/>
                <w:szCs w:val="16"/>
              </w:rPr>
            </w:pPr>
          </w:p>
        </w:tc>
        <w:tc>
          <w:tcPr>
            <w:tcW w:w="907" w:type="dxa"/>
            <w:tcBorders>
              <w:top w:val="single" w:sz="4" w:space="0" w:color="auto"/>
            </w:tcBorders>
            <w:vAlign w:val="bottom"/>
          </w:tcPr>
          <w:p w14:paraId="15ED666C" w14:textId="77777777" w:rsidR="00AC5C0C" w:rsidRPr="00B02BA3" w:rsidRDefault="00AC5C0C" w:rsidP="00922116">
            <w:pPr>
              <w:pStyle w:val="VSmCellBody"/>
              <w:jc w:val="right"/>
              <w:rPr>
                <w:sz w:val="16"/>
                <w:szCs w:val="16"/>
              </w:rPr>
            </w:pPr>
            <w:r w:rsidRPr="00B02BA3">
              <w:rPr>
                <w:sz w:val="16"/>
                <w:szCs w:val="16"/>
              </w:rPr>
              <w:t>20 years</w:t>
            </w:r>
          </w:p>
        </w:tc>
        <w:tc>
          <w:tcPr>
            <w:tcW w:w="236" w:type="dxa"/>
            <w:vAlign w:val="bottom"/>
          </w:tcPr>
          <w:p w14:paraId="4F7F05EA" w14:textId="77777777" w:rsidR="00AC5C0C" w:rsidRPr="00B02BA3" w:rsidRDefault="00AC5C0C" w:rsidP="00922116">
            <w:pPr>
              <w:pStyle w:val="CellRowSpacer"/>
              <w:rPr>
                <w:sz w:val="16"/>
                <w:szCs w:val="16"/>
              </w:rPr>
            </w:pPr>
          </w:p>
        </w:tc>
        <w:tc>
          <w:tcPr>
            <w:tcW w:w="907" w:type="dxa"/>
            <w:vAlign w:val="bottom"/>
          </w:tcPr>
          <w:p w14:paraId="5712C330"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05D6F8D5" w14:textId="77777777" w:rsidR="00AC5C0C" w:rsidRPr="00B02BA3" w:rsidRDefault="00AC5C0C" w:rsidP="00922116">
            <w:pPr>
              <w:pStyle w:val="CellRowSpacer"/>
              <w:rPr>
                <w:sz w:val="16"/>
                <w:szCs w:val="16"/>
              </w:rPr>
            </w:pPr>
          </w:p>
        </w:tc>
      </w:tr>
      <w:tr w:rsidR="00AC5C0C" w:rsidRPr="00B02BA3" w14:paraId="6FB059BC" w14:textId="77777777" w:rsidTr="00922116">
        <w:tc>
          <w:tcPr>
            <w:tcW w:w="3163" w:type="dxa"/>
            <w:vAlign w:val="bottom"/>
          </w:tcPr>
          <w:p w14:paraId="6F5E22B5" w14:textId="77777777" w:rsidR="00AC5C0C" w:rsidRPr="00B02BA3" w:rsidRDefault="00AC5C0C" w:rsidP="00922116">
            <w:pPr>
              <w:pStyle w:val="VSmCellBody"/>
              <w:tabs>
                <w:tab w:val="right" w:leader="dot" w:pos="3163"/>
              </w:tabs>
              <w:rPr>
                <w:sz w:val="16"/>
                <w:szCs w:val="16"/>
              </w:rPr>
            </w:pPr>
            <w:r w:rsidRPr="00B02BA3">
              <w:rPr>
                <w:sz w:val="16"/>
                <w:szCs w:val="16"/>
              </w:rPr>
              <w:t>Sohar Max</w:t>
            </w:r>
            <w:r w:rsidRPr="00B02BA3">
              <w:rPr>
                <w:rFonts w:eastAsia="SimSun"/>
                <w:sz w:val="16"/>
                <w:szCs w:val="16"/>
              </w:rPr>
              <w:tab/>
            </w:r>
          </w:p>
        </w:tc>
        <w:tc>
          <w:tcPr>
            <w:tcW w:w="236" w:type="dxa"/>
            <w:vAlign w:val="bottom"/>
          </w:tcPr>
          <w:p w14:paraId="09666C06" w14:textId="77777777" w:rsidR="00AC5C0C" w:rsidRPr="00B02BA3" w:rsidRDefault="00AC5C0C" w:rsidP="00922116">
            <w:pPr>
              <w:pStyle w:val="CellRowSpacer"/>
              <w:rPr>
                <w:sz w:val="16"/>
                <w:szCs w:val="16"/>
              </w:rPr>
            </w:pPr>
          </w:p>
        </w:tc>
        <w:tc>
          <w:tcPr>
            <w:tcW w:w="907" w:type="dxa"/>
            <w:vAlign w:val="bottom"/>
          </w:tcPr>
          <w:p w14:paraId="394AD5CE" w14:textId="77777777" w:rsidR="00AC5C0C" w:rsidRPr="00B02BA3" w:rsidRDefault="00AC5C0C" w:rsidP="00922116">
            <w:pPr>
              <w:pStyle w:val="VSmCellBody"/>
              <w:jc w:val="right"/>
              <w:rPr>
                <w:sz w:val="16"/>
                <w:szCs w:val="16"/>
              </w:rPr>
            </w:pPr>
            <w:r w:rsidRPr="00B02BA3">
              <w:rPr>
                <w:sz w:val="16"/>
                <w:szCs w:val="16"/>
              </w:rPr>
              <w:t>Vale</w:t>
            </w:r>
          </w:p>
        </w:tc>
        <w:tc>
          <w:tcPr>
            <w:tcW w:w="236" w:type="dxa"/>
            <w:vAlign w:val="bottom"/>
          </w:tcPr>
          <w:p w14:paraId="06F91F73" w14:textId="77777777" w:rsidR="00AC5C0C" w:rsidRPr="00B02BA3" w:rsidRDefault="00AC5C0C" w:rsidP="00922116">
            <w:pPr>
              <w:pStyle w:val="CellRowSpacer"/>
              <w:rPr>
                <w:sz w:val="16"/>
                <w:szCs w:val="16"/>
              </w:rPr>
            </w:pPr>
          </w:p>
        </w:tc>
        <w:tc>
          <w:tcPr>
            <w:tcW w:w="907" w:type="dxa"/>
            <w:vAlign w:val="bottom"/>
          </w:tcPr>
          <w:p w14:paraId="1E382990" w14:textId="77777777" w:rsidR="00AC5C0C" w:rsidRPr="00B02BA3" w:rsidRDefault="00AC5C0C" w:rsidP="00922116">
            <w:pPr>
              <w:pStyle w:val="VSmCellBody"/>
              <w:jc w:val="right"/>
              <w:rPr>
                <w:sz w:val="16"/>
                <w:szCs w:val="16"/>
              </w:rPr>
            </w:pPr>
            <w:r w:rsidRPr="00B02BA3">
              <w:rPr>
                <w:sz w:val="16"/>
                <w:szCs w:val="16"/>
              </w:rPr>
              <w:t xml:space="preserve">2012 </w:t>
            </w:r>
          </w:p>
        </w:tc>
        <w:tc>
          <w:tcPr>
            <w:tcW w:w="236" w:type="dxa"/>
            <w:vAlign w:val="bottom"/>
          </w:tcPr>
          <w:p w14:paraId="6B9F4849" w14:textId="77777777" w:rsidR="00AC5C0C" w:rsidRPr="00B02BA3" w:rsidRDefault="00AC5C0C" w:rsidP="00922116">
            <w:pPr>
              <w:pStyle w:val="CellRowSpacer"/>
              <w:rPr>
                <w:sz w:val="16"/>
                <w:szCs w:val="16"/>
              </w:rPr>
            </w:pPr>
          </w:p>
        </w:tc>
        <w:tc>
          <w:tcPr>
            <w:tcW w:w="907" w:type="dxa"/>
            <w:vAlign w:val="bottom"/>
          </w:tcPr>
          <w:p w14:paraId="58A50397" w14:textId="77777777" w:rsidR="00AC5C0C" w:rsidRPr="00B02BA3" w:rsidRDefault="00AC5C0C" w:rsidP="00922116">
            <w:pPr>
              <w:pStyle w:val="VSmCellBody"/>
              <w:jc w:val="right"/>
              <w:rPr>
                <w:sz w:val="16"/>
                <w:szCs w:val="16"/>
              </w:rPr>
            </w:pPr>
            <w:r w:rsidRPr="00B02BA3">
              <w:rPr>
                <w:sz w:val="16"/>
                <w:szCs w:val="16"/>
              </w:rPr>
              <w:t xml:space="preserve"> September 2032</w:t>
            </w:r>
          </w:p>
        </w:tc>
        <w:tc>
          <w:tcPr>
            <w:tcW w:w="236" w:type="dxa"/>
            <w:vAlign w:val="bottom"/>
          </w:tcPr>
          <w:p w14:paraId="4D87A76C" w14:textId="77777777" w:rsidR="00AC5C0C" w:rsidRPr="00B02BA3" w:rsidRDefault="00AC5C0C" w:rsidP="00922116">
            <w:pPr>
              <w:pStyle w:val="CellRowSpacer"/>
              <w:rPr>
                <w:sz w:val="16"/>
                <w:szCs w:val="16"/>
              </w:rPr>
            </w:pPr>
          </w:p>
        </w:tc>
        <w:tc>
          <w:tcPr>
            <w:tcW w:w="907" w:type="dxa"/>
            <w:vAlign w:val="bottom"/>
          </w:tcPr>
          <w:p w14:paraId="682EC5D4" w14:textId="77777777" w:rsidR="00AC5C0C" w:rsidRPr="00B02BA3" w:rsidRDefault="00AC5C0C" w:rsidP="00922116">
            <w:pPr>
              <w:pStyle w:val="VSmCellBody"/>
              <w:jc w:val="right"/>
              <w:rPr>
                <w:sz w:val="16"/>
                <w:szCs w:val="16"/>
              </w:rPr>
            </w:pPr>
            <w:r w:rsidRPr="00B02BA3">
              <w:rPr>
                <w:sz w:val="16"/>
                <w:szCs w:val="16"/>
              </w:rPr>
              <w:t>20 years</w:t>
            </w:r>
          </w:p>
        </w:tc>
        <w:tc>
          <w:tcPr>
            <w:tcW w:w="236" w:type="dxa"/>
            <w:vAlign w:val="bottom"/>
          </w:tcPr>
          <w:p w14:paraId="65684FEC" w14:textId="77777777" w:rsidR="00AC5C0C" w:rsidRPr="00B02BA3" w:rsidRDefault="00AC5C0C" w:rsidP="00922116">
            <w:pPr>
              <w:pStyle w:val="CellRowSpacer"/>
              <w:rPr>
                <w:sz w:val="16"/>
                <w:szCs w:val="16"/>
              </w:rPr>
            </w:pPr>
          </w:p>
        </w:tc>
        <w:tc>
          <w:tcPr>
            <w:tcW w:w="907" w:type="dxa"/>
            <w:vAlign w:val="bottom"/>
          </w:tcPr>
          <w:p w14:paraId="6DCEFEE0"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3914D807" w14:textId="77777777" w:rsidR="00AC5C0C" w:rsidRPr="00B02BA3" w:rsidRDefault="00AC5C0C" w:rsidP="00922116">
            <w:pPr>
              <w:pStyle w:val="CellRowSpacer"/>
              <w:rPr>
                <w:sz w:val="16"/>
                <w:szCs w:val="16"/>
              </w:rPr>
            </w:pPr>
          </w:p>
        </w:tc>
      </w:tr>
      <w:tr w:rsidR="00AC5C0C" w:rsidRPr="00B02BA3" w14:paraId="562B3D6C" w14:textId="77777777" w:rsidTr="00922116">
        <w:tc>
          <w:tcPr>
            <w:tcW w:w="3163" w:type="dxa"/>
            <w:vAlign w:val="bottom"/>
          </w:tcPr>
          <w:p w14:paraId="5B6F6F4A" w14:textId="77777777" w:rsidR="00AC5C0C" w:rsidRPr="00B02BA3" w:rsidRDefault="00AC5C0C" w:rsidP="00922116">
            <w:pPr>
              <w:pStyle w:val="VSmCellBody"/>
              <w:tabs>
                <w:tab w:val="right" w:leader="dot" w:pos="3163"/>
              </w:tabs>
              <w:rPr>
                <w:sz w:val="16"/>
                <w:szCs w:val="16"/>
              </w:rPr>
            </w:pPr>
            <w:r w:rsidRPr="00B02BA3">
              <w:rPr>
                <w:sz w:val="16"/>
                <w:szCs w:val="16"/>
              </w:rPr>
              <w:lastRenderedPageBreak/>
              <w:t>Saham Max</w:t>
            </w:r>
            <w:r w:rsidRPr="00B02BA3">
              <w:rPr>
                <w:rFonts w:eastAsia="SimSun"/>
                <w:sz w:val="16"/>
                <w:szCs w:val="16"/>
              </w:rPr>
              <w:tab/>
            </w:r>
          </w:p>
        </w:tc>
        <w:tc>
          <w:tcPr>
            <w:tcW w:w="236" w:type="dxa"/>
            <w:vAlign w:val="bottom"/>
          </w:tcPr>
          <w:p w14:paraId="5D0D5C99" w14:textId="77777777" w:rsidR="00AC5C0C" w:rsidRPr="00B02BA3" w:rsidRDefault="00AC5C0C" w:rsidP="00922116">
            <w:pPr>
              <w:pStyle w:val="CellRowSpacer"/>
              <w:rPr>
                <w:sz w:val="16"/>
                <w:szCs w:val="16"/>
              </w:rPr>
            </w:pPr>
          </w:p>
        </w:tc>
        <w:tc>
          <w:tcPr>
            <w:tcW w:w="907" w:type="dxa"/>
            <w:vAlign w:val="bottom"/>
          </w:tcPr>
          <w:p w14:paraId="64A636F1" w14:textId="77777777" w:rsidR="00AC5C0C" w:rsidRPr="00B02BA3" w:rsidRDefault="00AC5C0C" w:rsidP="00922116">
            <w:pPr>
              <w:pStyle w:val="VSmCellBody"/>
              <w:jc w:val="right"/>
              <w:rPr>
                <w:sz w:val="16"/>
                <w:szCs w:val="16"/>
              </w:rPr>
            </w:pPr>
            <w:r w:rsidRPr="00B02BA3">
              <w:rPr>
                <w:sz w:val="16"/>
                <w:szCs w:val="16"/>
              </w:rPr>
              <w:t>Vale</w:t>
            </w:r>
          </w:p>
        </w:tc>
        <w:tc>
          <w:tcPr>
            <w:tcW w:w="236" w:type="dxa"/>
            <w:vAlign w:val="bottom"/>
          </w:tcPr>
          <w:p w14:paraId="5796A1D4" w14:textId="77777777" w:rsidR="00AC5C0C" w:rsidRPr="00B02BA3" w:rsidRDefault="00AC5C0C" w:rsidP="00922116">
            <w:pPr>
              <w:pStyle w:val="CellRowSpacer"/>
              <w:rPr>
                <w:sz w:val="16"/>
                <w:szCs w:val="16"/>
              </w:rPr>
            </w:pPr>
          </w:p>
        </w:tc>
        <w:tc>
          <w:tcPr>
            <w:tcW w:w="907" w:type="dxa"/>
            <w:vAlign w:val="bottom"/>
          </w:tcPr>
          <w:p w14:paraId="48CB1988" w14:textId="77777777" w:rsidR="00AC5C0C" w:rsidRPr="00B02BA3" w:rsidRDefault="00AC5C0C" w:rsidP="00922116">
            <w:pPr>
              <w:pStyle w:val="VSmCellBody"/>
              <w:jc w:val="right"/>
              <w:rPr>
                <w:sz w:val="16"/>
                <w:szCs w:val="16"/>
              </w:rPr>
            </w:pPr>
            <w:r w:rsidRPr="00B02BA3">
              <w:rPr>
                <w:sz w:val="16"/>
                <w:szCs w:val="16"/>
              </w:rPr>
              <w:t xml:space="preserve">2013 </w:t>
            </w:r>
          </w:p>
        </w:tc>
        <w:tc>
          <w:tcPr>
            <w:tcW w:w="236" w:type="dxa"/>
            <w:vAlign w:val="bottom"/>
          </w:tcPr>
          <w:p w14:paraId="329F563E" w14:textId="77777777" w:rsidR="00AC5C0C" w:rsidRPr="00B02BA3" w:rsidRDefault="00AC5C0C" w:rsidP="00922116">
            <w:pPr>
              <w:pStyle w:val="CellRowSpacer"/>
              <w:rPr>
                <w:sz w:val="16"/>
                <w:szCs w:val="16"/>
              </w:rPr>
            </w:pPr>
          </w:p>
        </w:tc>
        <w:tc>
          <w:tcPr>
            <w:tcW w:w="907" w:type="dxa"/>
            <w:vAlign w:val="bottom"/>
          </w:tcPr>
          <w:p w14:paraId="25BC4837" w14:textId="77777777" w:rsidR="00AC5C0C" w:rsidRPr="00B02BA3" w:rsidRDefault="00AC5C0C" w:rsidP="00922116">
            <w:pPr>
              <w:pStyle w:val="VSmCellBody"/>
              <w:jc w:val="right"/>
              <w:rPr>
                <w:sz w:val="16"/>
                <w:szCs w:val="16"/>
              </w:rPr>
            </w:pPr>
            <w:r w:rsidRPr="00B02BA3">
              <w:rPr>
                <w:sz w:val="16"/>
                <w:szCs w:val="16"/>
              </w:rPr>
              <w:t>January 2033</w:t>
            </w:r>
          </w:p>
        </w:tc>
        <w:tc>
          <w:tcPr>
            <w:tcW w:w="236" w:type="dxa"/>
            <w:vAlign w:val="bottom"/>
          </w:tcPr>
          <w:p w14:paraId="432B2898" w14:textId="77777777" w:rsidR="00AC5C0C" w:rsidRPr="00B02BA3" w:rsidRDefault="00AC5C0C" w:rsidP="00922116">
            <w:pPr>
              <w:pStyle w:val="CellRowSpacer"/>
              <w:rPr>
                <w:sz w:val="16"/>
                <w:szCs w:val="16"/>
              </w:rPr>
            </w:pPr>
          </w:p>
        </w:tc>
        <w:tc>
          <w:tcPr>
            <w:tcW w:w="907" w:type="dxa"/>
            <w:vAlign w:val="bottom"/>
          </w:tcPr>
          <w:p w14:paraId="69C1150D" w14:textId="77777777" w:rsidR="00AC5C0C" w:rsidRPr="00B02BA3" w:rsidRDefault="00AC5C0C" w:rsidP="00922116">
            <w:pPr>
              <w:pStyle w:val="VSmCellBody"/>
              <w:jc w:val="right"/>
              <w:rPr>
                <w:sz w:val="16"/>
                <w:szCs w:val="16"/>
              </w:rPr>
            </w:pPr>
            <w:r w:rsidRPr="00B02BA3">
              <w:rPr>
                <w:sz w:val="16"/>
                <w:szCs w:val="16"/>
              </w:rPr>
              <w:t>20 years</w:t>
            </w:r>
          </w:p>
        </w:tc>
        <w:tc>
          <w:tcPr>
            <w:tcW w:w="236" w:type="dxa"/>
            <w:vAlign w:val="bottom"/>
          </w:tcPr>
          <w:p w14:paraId="2F5178A7" w14:textId="77777777" w:rsidR="00AC5C0C" w:rsidRPr="00B02BA3" w:rsidRDefault="00AC5C0C" w:rsidP="00922116">
            <w:pPr>
              <w:pStyle w:val="CellRowSpacer"/>
              <w:rPr>
                <w:sz w:val="16"/>
                <w:szCs w:val="16"/>
              </w:rPr>
            </w:pPr>
          </w:p>
        </w:tc>
        <w:tc>
          <w:tcPr>
            <w:tcW w:w="907" w:type="dxa"/>
            <w:vAlign w:val="bottom"/>
          </w:tcPr>
          <w:p w14:paraId="638E6BD8"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69CC1AC1" w14:textId="77777777" w:rsidR="00AC5C0C" w:rsidRPr="00B02BA3" w:rsidRDefault="00AC5C0C" w:rsidP="00922116">
            <w:pPr>
              <w:pStyle w:val="CellRowSpacer"/>
              <w:rPr>
                <w:sz w:val="16"/>
                <w:szCs w:val="16"/>
              </w:rPr>
            </w:pPr>
          </w:p>
        </w:tc>
      </w:tr>
      <w:tr w:rsidR="00AC5C0C" w:rsidRPr="00B02BA3" w14:paraId="59D72714" w14:textId="77777777" w:rsidTr="00922116">
        <w:tc>
          <w:tcPr>
            <w:tcW w:w="3163" w:type="dxa"/>
            <w:vAlign w:val="bottom"/>
          </w:tcPr>
          <w:p w14:paraId="53E033DF" w14:textId="77777777" w:rsidR="00AC5C0C" w:rsidRPr="00B02BA3" w:rsidRDefault="00AC5C0C" w:rsidP="00922116">
            <w:pPr>
              <w:pStyle w:val="VSmCellBody"/>
              <w:tabs>
                <w:tab w:val="right" w:leader="dot" w:pos="3163"/>
              </w:tabs>
              <w:rPr>
                <w:sz w:val="16"/>
                <w:szCs w:val="16"/>
              </w:rPr>
            </w:pPr>
            <w:r w:rsidRPr="00B02BA3">
              <w:rPr>
                <w:sz w:val="16"/>
                <w:szCs w:val="16"/>
              </w:rPr>
              <w:t>Shinas Max</w:t>
            </w:r>
            <w:r w:rsidRPr="00B02BA3">
              <w:rPr>
                <w:rFonts w:eastAsia="SimSun"/>
                <w:sz w:val="16"/>
                <w:szCs w:val="16"/>
              </w:rPr>
              <w:tab/>
            </w:r>
          </w:p>
        </w:tc>
        <w:tc>
          <w:tcPr>
            <w:tcW w:w="236" w:type="dxa"/>
            <w:vAlign w:val="bottom"/>
          </w:tcPr>
          <w:p w14:paraId="5B32D178" w14:textId="77777777" w:rsidR="00AC5C0C" w:rsidRPr="00B02BA3" w:rsidRDefault="00AC5C0C" w:rsidP="00922116">
            <w:pPr>
              <w:pStyle w:val="CellRowSpacer"/>
              <w:rPr>
                <w:sz w:val="16"/>
                <w:szCs w:val="16"/>
              </w:rPr>
            </w:pPr>
          </w:p>
        </w:tc>
        <w:tc>
          <w:tcPr>
            <w:tcW w:w="907" w:type="dxa"/>
            <w:vAlign w:val="bottom"/>
          </w:tcPr>
          <w:p w14:paraId="479AD22B" w14:textId="77777777" w:rsidR="00AC5C0C" w:rsidRPr="00B02BA3" w:rsidRDefault="00AC5C0C" w:rsidP="00922116">
            <w:pPr>
              <w:pStyle w:val="VSmCellBody"/>
              <w:jc w:val="right"/>
              <w:rPr>
                <w:sz w:val="16"/>
                <w:szCs w:val="16"/>
              </w:rPr>
            </w:pPr>
            <w:r w:rsidRPr="00B02BA3">
              <w:rPr>
                <w:sz w:val="16"/>
                <w:szCs w:val="16"/>
              </w:rPr>
              <w:t>Vale</w:t>
            </w:r>
          </w:p>
        </w:tc>
        <w:tc>
          <w:tcPr>
            <w:tcW w:w="236" w:type="dxa"/>
            <w:vAlign w:val="bottom"/>
          </w:tcPr>
          <w:p w14:paraId="197D92D7" w14:textId="77777777" w:rsidR="00AC5C0C" w:rsidRPr="00B02BA3" w:rsidRDefault="00AC5C0C" w:rsidP="00922116">
            <w:pPr>
              <w:pStyle w:val="CellRowSpacer"/>
              <w:rPr>
                <w:sz w:val="16"/>
                <w:szCs w:val="16"/>
              </w:rPr>
            </w:pPr>
          </w:p>
        </w:tc>
        <w:tc>
          <w:tcPr>
            <w:tcW w:w="907" w:type="dxa"/>
            <w:vAlign w:val="bottom"/>
          </w:tcPr>
          <w:p w14:paraId="01770612" w14:textId="77777777" w:rsidR="00AC5C0C" w:rsidRPr="00B02BA3" w:rsidRDefault="00AC5C0C" w:rsidP="00922116">
            <w:pPr>
              <w:pStyle w:val="VSmCellBody"/>
              <w:jc w:val="right"/>
              <w:rPr>
                <w:sz w:val="16"/>
                <w:szCs w:val="16"/>
              </w:rPr>
            </w:pPr>
            <w:r w:rsidRPr="00B02BA3">
              <w:rPr>
                <w:sz w:val="16"/>
                <w:szCs w:val="16"/>
              </w:rPr>
              <w:t xml:space="preserve">2013 </w:t>
            </w:r>
          </w:p>
        </w:tc>
        <w:tc>
          <w:tcPr>
            <w:tcW w:w="236" w:type="dxa"/>
            <w:vAlign w:val="bottom"/>
          </w:tcPr>
          <w:p w14:paraId="4E308A59" w14:textId="77777777" w:rsidR="00AC5C0C" w:rsidRPr="00B02BA3" w:rsidRDefault="00AC5C0C" w:rsidP="00922116">
            <w:pPr>
              <w:pStyle w:val="CellRowSpacer"/>
              <w:rPr>
                <w:sz w:val="16"/>
                <w:szCs w:val="16"/>
              </w:rPr>
            </w:pPr>
          </w:p>
        </w:tc>
        <w:tc>
          <w:tcPr>
            <w:tcW w:w="907" w:type="dxa"/>
            <w:vAlign w:val="bottom"/>
          </w:tcPr>
          <w:p w14:paraId="37385FCF" w14:textId="77777777" w:rsidR="00AC5C0C" w:rsidRPr="00B02BA3" w:rsidRDefault="00AC5C0C" w:rsidP="00922116">
            <w:pPr>
              <w:pStyle w:val="VSmCellBody"/>
              <w:jc w:val="right"/>
              <w:rPr>
                <w:sz w:val="16"/>
                <w:szCs w:val="16"/>
              </w:rPr>
            </w:pPr>
            <w:r w:rsidRPr="00B02BA3">
              <w:rPr>
                <w:sz w:val="16"/>
                <w:szCs w:val="16"/>
              </w:rPr>
              <w:t>March 2033</w:t>
            </w:r>
          </w:p>
        </w:tc>
        <w:tc>
          <w:tcPr>
            <w:tcW w:w="236" w:type="dxa"/>
            <w:vAlign w:val="bottom"/>
          </w:tcPr>
          <w:p w14:paraId="08C06796" w14:textId="77777777" w:rsidR="00AC5C0C" w:rsidRPr="00B02BA3" w:rsidRDefault="00AC5C0C" w:rsidP="00922116">
            <w:pPr>
              <w:pStyle w:val="CellRowSpacer"/>
              <w:rPr>
                <w:sz w:val="16"/>
                <w:szCs w:val="16"/>
              </w:rPr>
            </w:pPr>
          </w:p>
        </w:tc>
        <w:tc>
          <w:tcPr>
            <w:tcW w:w="907" w:type="dxa"/>
            <w:vAlign w:val="bottom"/>
          </w:tcPr>
          <w:p w14:paraId="5852A1BC" w14:textId="77777777" w:rsidR="00AC5C0C" w:rsidRPr="00B02BA3" w:rsidRDefault="00AC5C0C" w:rsidP="00922116">
            <w:pPr>
              <w:pStyle w:val="VSmCellBody"/>
              <w:jc w:val="right"/>
              <w:rPr>
                <w:sz w:val="16"/>
                <w:szCs w:val="16"/>
              </w:rPr>
            </w:pPr>
            <w:r w:rsidRPr="00B02BA3">
              <w:rPr>
                <w:sz w:val="16"/>
                <w:szCs w:val="16"/>
              </w:rPr>
              <w:t>20 years</w:t>
            </w:r>
          </w:p>
        </w:tc>
        <w:tc>
          <w:tcPr>
            <w:tcW w:w="236" w:type="dxa"/>
            <w:vAlign w:val="bottom"/>
          </w:tcPr>
          <w:p w14:paraId="751384A2" w14:textId="77777777" w:rsidR="00AC5C0C" w:rsidRPr="00B02BA3" w:rsidRDefault="00AC5C0C" w:rsidP="00922116">
            <w:pPr>
              <w:pStyle w:val="CellRowSpacer"/>
              <w:rPr>
                <w:sz w:val="16"/>
                <w:szCs w:val="16"/>
              </w:rPr>
            </w:pPr>
          </w:p>
        </w:tc>
        <w:tc>
          <w:tcPr>
            <w:tcW w:w="907" w:type="dxa"/>
            <w:vAlign w:val="bottom"/>
          </w:tcPr>
          <w:p w14:paraId="08D424CE"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4D94A051" w14:textId="77777777" w:rsidR="00AC5C0C" w:rsidRPr="00B02BA3" w:rsidRDefault="00AC5C0C" w:rsidP="00922116">
            <w:pPr>
              <w:pStyle w:val="CellRowSpacer"/>
              <w:rPr>
                <w:sz w:val="16"/>
                <w:szCs w:val="16"/>
              </w:rPr>
            </w:pPr>
          </w:p>
        </w:tc>
      </w:tr>
      <w:tr w:rsidR="00AC5C0C" w:rsidRPr="00B02BA3" w14:paraId="750434B9" w14:textId="77777777" w:rsidTr="00922116">
        <w:tc>
          <w:tcPr>
            <w:tcW w:w="3163" w:type="dxa"/>
            <w:vAlign w:val="bottom"/>
          </w:tcPr>
          <w:p w14:paraId="2E031A6F" w14:textId="77777777" w:rsidR="00AC5C0C" w:rsidRPr="00B02BA3" w:rsidRDefault="00AC5C0C" w:rsidP="00922116">
            <w:pPr>
              <w:pStyle w:val="VSmCellBody"/>
              <w:tabs>
                <w:tab w:val="right" w:leader="dot" w:pos="3163"/>
              </w:tabs>
              <w:rPr>
                <w:sz w:val="16"/>
                <w:szCs w:val="16"/>
              </w:rPr>
            </w:pPr>
            <w:r w:rsidRPr="00B02BA3">
              <w:rPr>
                <w:sz w:val="16"/>
                <w:szCs w:val="16"/>
              </w:rPr>
              <w:t xml:space="preserve">Jabal Al </w:t>
            </w:r>
            <w:proofErr w:type="spellStart"/>
            <w:r w:rsidRPr="00B02BA3">
              <w:rPr>
                <w:sz w:val="16"/>
                <w:szCs w:val="16"/>
              </w:rPr>
              <w:t>Misht</w:t>
            </w:r>
            <w:proofErr w:type="spellEnd"/>
            <w:r w:rsidRPr="00B02BA3">
              <w:rPr>
                <w:rFonts w:eastAsia="SimSun"/>
                <w:sz w:val="16"/>
                <w:szCs w:val="16"/>
              </w:rPr>
              <w:tab/>
            </w:r>
          </w:p>
        </w:tc>
        <w:tc>
          <w:tcPr>
            <w:tcW w:w="236" w:type="dxa"/>
            <w:vAlign w:val="bottom"/>
          </w:tcPr>
          <w:p w14:paraId="4819EAF1" w14:textId="77777777" w:rsidR="00AC5C0C" w:rsidRPr="00B02BA3" w:rsidRDefault="00AC5C0C" w:rsidP="00922116">
            <w:pPr>
              <w:pStyle w:val="CellRowSpacer"/>
              <w:rPr>
                <w:sz w:val="16"/>
                <w:szCs w:val="16"/>
              </w:rPr>
            </w:pPr>
          </w:p>
        </w:tc>
        <w:tc>
          <w:tcPr>
            <w:tcW w:w="907" w:type="dxa"/>
          </w:tcPr>
          <w:p w14:paraId="2556F87E" w14:textId="77777777" w:rsidR="00AC5C0C" w:rsidRPr="00B02BA3" w:rsidRDefault="00AC5C0C" w:rsidP="00922116">
            <w:pPr>
              <w:pStyle w:val="VSmCellBody"/>
              <w:jc w:val="right"/>
              <w:rPr>
                <w:sz w:val="16"/>
                <w:szCs w:val="16"/>
              </w:rPr>
            </w:pPr>
            <w:r w:rsidRPr="00B02BA3">
              <w:rPr>
                <w:sz w:val="16"/>
                <w:szCs w:val="16"/>
              </w:rPr>
              <w:t>Dry Bulk Exp.</w:t>
            </w:r>
          </w:p>
        </w:tc>
        <w:tc>
          <w:tcPr>
            <w:tcW w:w="236" w:type="dxa"/>
            <w:vAlign w:val="bottom"/>
          </w:tcPr>
          <w:p w14:paraId="1487C48E" w14:textId="77777777" w:rsidR="00AC5C0C" w:rsidRPr="00B02BA3" w:rsidRDefault="00AC5C0C" w:rsidP="00922116">
            <w:pPr>
              <w:pStyle w:val="CellRowSpacer"/>
              <w:rPr>
                <w:sz w:val="16"/>
                <w:szCs w:val="16"/>
              </w:rPr>
            </w:pPr>
          </w:p>
        </w:tc>
        <w:tc>
          <w:tcPr>
            <w:tcW w:w="907" w:type="dxa"/>
            <w:vAlign w:val="bottom"/>
          </w:tcPr>
          <w:p w14:paraId="378C39B4" w14:textId="77777777" w:rsidR="00AC5C0C" w:rsidRPr="00B02BA3" w:rsidRDefault="00AC5C0C" w:rsidP="00922116">
            <w:pPr>
              <w:pStyle w:val="VSmCellBody"/>
              <w:jc w:val="right"/>
              <w:rPr>
                <w:sz w:val="16"/>
                <w:szCs w:val="16"/>
              </w:rPr>
            </w:pPr>
            <w:r w:rsidRPr="00B02BA3">
              <w:rPr>
                <w:sz w:val="16"/>
                <w:szCs w:val="16"/>
              </w:rPr>
              <w:t xml:space="preserve">2019 </w:t>
            </w:r>
          </w:p>
        </w:tc>
        <w:tc>
          <w:tcPr>
            <w:tcW w:w="236" w:type="dxa"/>
            <w:vAlign w:val="bottom"/>
          </w:tcPr>
          <w:p w14:paraId="198E781F" w14:textId="77777777" w:rsidR="00AC5C0C" w:rsidRPr="00B02BA3" w:rsidRDefault="00AC5C0C" w:rsidP="00922116">
            <w:pPr>
              <w:pStyle w:val="CellRowSpacer"/>
              <w:rPr>
                <w:sz w:val="16"/>
                <w:szCs w:val="16"/>
              </w:rPr>
            </w:pPr>
          </w:p>
        </w:tc>
        <w:tc>
          <w:tcPr>
            <w:tcW w:w="907" w:type="dxa"/>
            <w:vAlign w:val="bottom"/>
          </w:tcPr>
          <w:p w14:paraId="09A30CEA" w14:textId="77777777" w:rsidR="00AC5C0C" w:rsidRPr="00B02BA3" w:rsidRDefault="00AC5C0C" w:rsidP="00922116">
            <w:pPr>
              <w:pStyle w:val="VSmCellBody"/>
              <w:jc w:val="right"/>
              <w:rPr>
                <w:sz w:val="16"/>
                <w:szCs w:val="16"/>
              </w:rPr>
            </w:pPr>
            <w:r w:rsidRPr="00B02BA3">
              <w:rPr>
                <w:sz w:val="16"/>
                <w:szCs w:val="16"/>
              </w:rPr>
              <w:t>December 2025</w:t>
            </w:r>
          </w:p>
        </w:tc>
        <w:tc>
          <w:tcPr>
            <w:tcW w:w="236" w:type="dxa"/>
            <w:vAlign w:val="bottom"/>
          </w:tcPr>
          <w:p w14:paraId="4F3323B4" w14:textId="77777777" w:rsidR="00AC5C0C" w:rsidRPr="00B02BA3" w:rsidRDefault="00AC5C0C" w:rsidP="00922116">
            <w:pPr>
              <w:pStyle w:val="CellRowSpacer"/>
              <w:rPr>
                <w:sz w:val="16"/>
                <w:szCs w:val="16"/>
              </w:rPr>
            </w:pPr>
          </w:p>
        </w:tc>
        <w:tc>
          <w:tcPr>
            <w:tcW w:w="907" w:type="dxa"/>
            <w:vAlign w:val="bottom"/>
          </w:tcPr>
          <w:p w14:paraId="77EDA128" w14:textId="77777777" w:rsidR="00AC5C0C" w:rsidRPr="00B02BA3" w:rsidDel="00CD6878" w:rsidRDefault="00AC5C0C" w:rsidP="00922116">
            <w:pPr>
              <w:pStyle w:val="VSmCellBody"/>
              <w:jc w:val="right"/>
              <w:rPr>
                <w:sz w:val="16"/>
                <w:szCs w:val="16"/>
              </w:rPr>
            </w:pPr>
            <w:r w:rsidRPr="00B02BA3">
              <w:rPr>
                <w:sz w:val="16"/>
                <w:szCs w:val="16"/>
              </w:rPr>
              <w:t>—</w:t>
            </w:r>
          </w:p>
        </w:tc>
        <w:tc>
          <w:tcPr>
            <w:tcW w:w="236" w:type="dxa"/>
            <w:vAlign w:val="bottom"/>
          </w:tcPr>
          <w:p w14:paraId="724C6387" w14:textId="77777777" w:rsidR="00AC5C0C" w:rsidRPr="00B02BA3" w:rsidRDefault="00AC5C0C" w:rsidP="00922116">
            <w:pPr>
              <w:pStyle w:val="CellRowSpacer"/>
              <w:rPr>
                <w:sz w:val="16"/>
                <w:szCs w:val="16"/>
              </w:rPr>
            </w:pPr>
          </w:p>
        </w:tc>
        <w:tc>
          <w:tcPr>
            <w:tcW w:w="907" w:type="dxa"/>
            <w:vAlign w:val="bottom"/>
          </w:tcPr>
          <w:p w14:paraId="779336BD"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65A7E4DF" w14:textId="77777777" w:rsidR="00AC5C0C" w:rsidRPr="00B02BA3" w:rsidRDefault="00AC5C0C" w:rsidP="00922116">
            <w:pPr>
              <w:pStyle w:val="CellRowSpacer"/>
              <w:rPr>
                <w:sz w:val="16"/>
                <w:szCs w:val="16"/>
              </w:rPr>
            </w:pPr>
          </w:p>
        </w:tc>
      </w:tr>
      <w:tr w:rsidR="00AC5C0C" w:rsidRPr="00B02BA3" w14:paraId="037FCCF3" w14:textId="77777777" w:rsidTr="00922116">
        <w:tc>
          <w:tcPr>
            <w:tcW w:w="3163" w:type="dxa"/>
            <w:vAlign w:val="bottom"/>
          </w:tcPr>
          <w:p w14:paraId="3D6784C2" w14:textId="77777777" w:rsidR="00AC5C0C" w:rsidRPr="00B02BA3" w:rsidRDefault="00AC5C0C" w:rsidP="00922116">
            <w:pPr>
              <w:pStyle w:val="VSmCellBody"/>
              <w:tabs>
                <w:tab w:val="right" w:leader="dot" w:pos="3163"/>
              </w:tabs>
              <w:rPr>
                <w:sz w:val="16"/>
                <w:szCs w:val="16"/>
              </w:rPr>
            </w:pPr>
            <w:r w:rsidRPr="00B02BA3">
              <w:rPr>
                <w:sz w:val="16"/>
                <w:szCs w:val="16"/>
              </w:rPr>
              <w:t>Jabal Shams</w:t>
            </w:r>
            <w:r w:rsidRPr="00B02BA3">
              <w:rPr>
                <w:rFonts w:eastAsia="SimSun"/>
                <w:sz w:val="16"/>
                <w:szCs w:val="16"/>
              </w:rPr>
              <w:tab/>
            </w:r>
          </w:p>
        </w:tc>
        <w:tc>
          <w:tcPr>
            <w:tcW w:w="236" w:type="dxa"/>
            <w:vAlign w:val="bottom"/>
          </w:tcPr>
          <w:p w14:paraId="475CE184" w14:textId="77777777" w:rsidR="00AC5C0C" w:rsidRPr="00B02BA3" w:rsidRDefault="00AC5C0C" w:rsidP="00922116">
            <w:pPr>
              <w:pStyle w:val="CellRowSpacer"/>
              <w:rPr>
                <w:sz w:val="16"/>
                <w:szCs w:val="16"/>
              </w:rPr>
            </w:pPr>
          </w:p>
        </w:tc>
        <w:tc>
          <w:tcPr>
            <w:tcW w:w="907" w:type="dxa"/>
          </w:tcPr>
          <w:p w14:paraId="51445307" w14:textId="77777777" w:rsidR="00AC5C0C" w:rsidRPr="00B02BA3" w:rsidRDefault="00AC5C0C" w:rsidP="00922116">
            <w:pPr>
              <w:pStyle w:val="VSmCellBody"/>
              <w:jc w:val="right"/>
              <w:rPr>
                <w:sz w:val="16"/>
                <w:szCs w:val="16"/>
              </w:rPr>
            </w:pPr>
            <w:r w:rsidRPr="00B02BA3">
              <w:rPr>
                <w:sz w:val="16"/>
                <w:szCs w:val="16"/>
              </w:rPr>
              <w:t>Dry Bulk Exp.</w:t>
            </w:r>
          </w:p>
        </w:tc>
        <w:tc>
          <w:tcPr>
            <w:tcW w:w="236" w:type="dxa"/>
            <w:vAlign w:val="bottom"/>
          </w:tcPr>
          <w:p w14:paraId="453217B9" w14:textId="77777777" w:rsidR="00AC5C0C" w:rsidRPr="00B02BA3" w:rsidRDefault="00AC5C0C" w:rsidP="00922116">
            <w:pPr>
              <w:pStyle w:val="CellRowSpacer"/>
              <w:rPr>
                <w:sz w:val="16"/>
                <w:szCs w:val="16"/>
              </w:rPr>
            </w:pPr>
          </w:p>
        </w:tc>
        <w:tc>
          <w:tcPr>
            <w:tcW w:w="907" w:type="dxa"/>
            <w:vAlign w:val="bottom"/>
          </w:tcPr>
          <w:p w14:paraId="2DC4E86E" w14:textId="77777777" w:rsidR="00AC5C0C" w:rsidRPr="00B02BA3" w:rsidRDefault="00AC5C0C" w:rsidP="00922116">
            <w:pPr>
              <w:pStyle w:val="VSmCellBody"/>
              <w:jc w:val="right"/>
              <w:rPr>
                <w:sz w:val="16"/>
                <w:szCs w:val="16"/>
              </w:rPr>
            </w:pPr>
            <w:r w:rsidRPr="00B02BA3">
              <w:rPr>
                <w:sz w:val="16"/>
                <w:szCs w:val="16"/>
              </w:rPr>
              <w:t xml:space="preserve">2019 </w:t>
            </w:r>
          </w:p>
        </w:tc>
        <w:tc>
          <w:tcPr>
            <w:tcW w:w="236" w:type="dxa"/>
            <w:vAlign w:val="bottom"/>
          </w:tcPr>
          <w:p w14:paraId="76157DBA" w14:textId="77777777" w:rsidR="00AC5C0C" w:rsidRPr="00B02BA3" w:rsidRDefault="00AC5C0C" w:rsidP="00922116">
            <w:pPr>
              <w:pStyle w:val="CellRowSpacer"/>
              <w:rPr>
                <w:sz w:val="16"/>
                <w:szCs w:val="16"/>
              </w:rPr>
            </w:pPr>
          </w:p>
        </w:tc>
        <w:tc>
          <w:tcPr>
            <w:tcW w:w="907" w:type="dxa"/>
            <w:vAlign w:val="bottom"/>
          </w:tcPr>
          <w:p w14:paraId="31854A7F" w14:textId="77777777" w:rsidR="00AC5C0C" w:rsidRPr="00B02BA3" w:rsidRDefault="00AC5C0C" w:rsidP="00922116">
            <w:pPr>
              <w:pStyle w:val="VSmCellBody"/>
              <w:jc w:val="right"/>
              <w:rPr>
                <w:sz w:val="16"/>
                <w:szCs w:val="16"/>
              </w:rPr>
            </w:pPr>
            <w:r w:rsidRPr="00B02BA3">
              <w:rPr>
                <w:sz w:val="16"/>
                <w:szCs w:val="16"/>
              </w:rPr>
              <w:t>January 2025</w:t>
            </w:r>
          </w:p>
        </w:tc>
        <w:tc>
          <w:tcPr>
            <w:tcW w:w="236" w:type="dxa"/>
            <w:vAlign w:val="bottom"/>
          </w:tcPr>
          <w:p w14:paraId="6187C2C6" w14:textId="77777777" w:rsidR="00AC5C0C" w:rsidRPr="00B02BA3" w:rsidRDefault="00AC5C0C" w:rsidP="00922116">
            <w:pPr>
              <w:pStyle w:val="CellRowSpacer"/>
              <w:rPr>
                <w:sz w:val="16"/>
                <w:szCs w:val="16"/>
              </w:rPr>
            </w:pPr>
          </w:p>
        </w:tc>
        <w:tc>
          <w:tcPr>
            <w:tcW w:w="907" w:type="dxa"/>
            <w:vAlign w:val="bottom"/>
          </w:tcPr>
          <w:p w14:paraId="30482190" w14:textId="77777777" w:rsidR="00AC5C0C" w:rsidRPr="00B02BA3" w:rsidDel="00CD6878" w:rsidRDefault="00AC5C0C" w:rsidP="00922116">
            <w:pPr>
              <w:pStyle w:val="VSmCellBody"/>
              <w:jc w:val="right"/>
              <w:rPr>
                <w:sz w:val="16"/>
                <w:szCs w:val="16"/>
              </w:rPr>
            </w:pPr>
            <w:r w:rsidRPr="00B02BA3">
              <w:rPr>
                <w:sz w:val="16"/>
                <w:szCs w:val="16"/>
              </w:rPr>
              <w:t>—</w:t>
            </w:r>
          </w:p>
        </w:tc>
        <w:tc>
          <w:tcPr>
            <w:tcW w:w="236" w:type="dxa"/>
            <w:vAlign w:val="bottom"/>
          </w:tcPr>
          <w:p w14:paraId="5A3C5FE9" w14:textId="77777777" w:rsidR="00AC5C0C" w:rsidRPr="00B02BA3" w:rsidRDefault="00AC5C0C" w:rsidP="00922116">
            <w:pPr>
              <w:pStyle w:val="CellRowSpacer"/>
              <w:rPr>
                <w:sz w:val="16"/>
                <w:szCs w:val="16"/>
              </w:rPr>
            </w:pPr>
          </w:p>
        </w:tc>
        <w:tc>
          <w:tcPr>
            <w:tcW w:w="907" w:type="dxa"/>
            <w:vAlign w:val="bottom"/>
          </w:tcPr>
          <w:p w14:paraId="59385C3D"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62376DE5" w14:textId="77777777" w:rsidR="00AC5C0C" w:rsidRPr="00B02BA3" w:rsidRDefault="00AC5C0C" w:rsidP="00922116">
            <w:pPr>
              <w:pStyle w:val="CellRowSpacer"/>
              <w:rPr>
                <w:sz w:val="16"/>
                <w:szCs w:val="16"/>
              </w:rPr>
            </w:pPr>
          </w:p>
        </w:tc>
      </w:tr>
      <w:tr w:rsidR="00AC5C0C" w:rsidRPr="00B02BA3" w14:paraId="07991CEE" w14:textId="77777777" w:rsidTr="00922116">
        <w:tc>
          <w:tcPr>
            <w:tcW w:w="3163" w:type="dxa"/>
            <w:vAlign w:val="bottom"/>
          </w:tcPr>
          <w:p w14:paraId="58E64930" w14:textId="77777777" w:rsidR="00AC5C0C" w:rsidRPr="00B02BA3" w:rsidRDefault="00AC5C0C" w:rsidP="00922116">
            <w:pPr>
              <w:pStyle w:val="VSmCellBody"/>
              <w:tabs>
                <w:tab w:val="right" w:leader="dot" w:pos="3163"/>
              </w:tabs>
              <w:rPr>
                <w:sz w:val="16"/>
                <w:szCs w:val="16"/>
              </w:rPr>
            </w:pPr>
            <w:r w:rsidRPr="00B02BA3">
              <w:rPr>
                <w:sz w:val="16"/>
                <w:szCs w:val="16"/>
              </w:rPr>
              <w:t>Jabal Alkawr</w:t>
            </w:r>
            <w:r w:rsidRPr="00B02BA3">
              <w:rPr>
                <w:rFonts w:eastAsia="SimSun"/>
                <w:sz w:val="16"/>
                <w:szCs w:val="16"/>
              </w:rPr>
              <w:tab/>
            </w:r>
          </w:p>
        </w:tc>
        <w:tc>
          <w:tcPr>
            <w:tcW w:w="236" w:type="dxa"/>
            <w:vAlign w:val="bottom"/>
          </w:tcPr>
          <w:p w14:paraId="15929826" w14:textId="77777777" w:rsidR="00AC5C0C" w:rsidRPr="00B02BA3" w:rsidRDefault="00AC5C0C" w:rsidP="00922116">
            <w:pPr>
              <w:pStyle w:val="CellRowSpacer"/>
              <w:rPr>
                <w:sz w:val="16"/>
                <w:szCs w:val="16"/>
              </w:rPr>
            </w:pPr>
          </w:p>
        </w:tc>
        <w:tc>
          <w:tcPr>
            <w:tcW w:w="907" w:type="dxa"/>
          </w:tcPr>
          <w:p w14:paraId="33E397E3" w14:textId="77777777" w:rsidR="00AC5C0C" w:rsidRPr="00B02BA3" w:rsidRDefault="00AC5C0C" w:rsidP="00922116">
            <w:pPr>
              <w:pStyle w:val="VSmCellBody"/>
              <w:jc w:val="right"/>
              <w:rPr>
                <w:sz w:val="16"/>
                <w:szCs w:val="16"/>
              </w:rPr>
            </w:pPr>
            <w:r w:rsidRPr="00B02BA3">
              <w:rPr>
                <w:sz w:val="16"/>
                <w:szCs w:val="16"/>
              </w:rPr>
              <w:t>Dry Bulk Exp.</w:t>
            </w:r>
          </w:p>
        </w:tc>
        <w:tc>
          <w:tcPr>
            <w:tcW w:w="236" w:type="dxa"/>
            <w:vAlign w:val="bottom"/>
          </w:tcPr>
          <w:p w14:paraId="3D46AE24" w14:textId="77777777" w:rsidR="00AC5C0C" w:rsidRPr="00B02BA3" w:rsidRDefault="00AC5C0C" w:rsidP="00922116">
            <w:pPr>
              <w:pStyle w:val="CellRowSpacer"/>
              <w:rPr>
                <w:sz w:val="16"/>
                <w:szCs w:val="16"/>
              </w:rPr>
            </w:pPr>
          </w:p>
        </w:tc>
        <w:tc>
          <w:tcPr>
            <w:tcW w:w="907" w:type="dxa"/>
            <w:vAlign w:val="bottom"/>
          </w:tcPr>
          <w:p w14:paraId="5B936A47" w14:textId="77777777" w:rsidR="00AC5C0C" w:rsidRPr="00B02BA3" w:rsidRDefault="00AC5C0C" w:rsidP="00922116">
            <w:pPr>
              <w:pStyle w:val="VSmCellBody"/>
              <w:jc w:val="right"/>
              <w:rPr>
                <w:sz w:val="16"/>
                <w:szCs w:val="16"/>
              </w:rPr>
            </w:pPr>
            <w:r w:rsidRPr="00B02BA3">
              <w:rPr>
                <w:sz w:val="16"/>
                <w:szCs w:val="16"/>
              </w:rPr>
              <w:t xml:space="preserve">2019 </w:t>
            </w:r>
          </w:p>
        </w:tc>
        <w:tc>
          <w:tcPr>
            <w:tcW w:w="236" w:type="dxa"/>
            <w:vAlign w:val="bottom"/>
          </w:tcPr>
          <w:p w14:paraId="4160FF68" w14:textId="77777777" w:rsidR="00AC5C0C" w:rsidRPr="00B02BA3" w:rsidRDefault="00AC5C0C" w:rsidP="00922116">
            <w:pPr>
              <w:pStyle w:val="CellRowSpacer"/>
              <w:rPr>
                <w:sz w:val="16"/>
                <w:szCs w:val="16"/>
              </w:rPr>
            </w:pPr>
          </w:p>
        </w:tc>
        <w:tc>
          <w:tcPr>
            <w:tcW w:w="907" w:type="dxa"/>
            <w:vAlign w:val="bottom"/>
          </w:tcPr>
          <w:p w14:paraId="41331BE9" w14:textId="77777777" w:rsidR="00AC5C0C" w:rsidRPr="00B02BA3" w:rsidRDefault="00AC5C0C" w:rsidP="00922116">
            <w:pPr>
              <w:pStyle w:val="VSmCellBody"/>
              <w:jc w:val="right"/>
              <w:rPr>
                <w:sz w:val="16"/>
                <w:szCs w:val="16"/>
              </w:rPr>
            </w:pPr>
            <w:r w:rsidRPr="00B02BA3">
              <w:rPr>
                <w:sz w:val="16"/>
                <w:szCs w:val="16"/>
              </w:rPr>
              <w:t>February 2025</w:t>
            </w:r>
          </w:p>
        </w:tc>
        <w:tc>
          <w:tcPr>
            <w:tcW w:w="236" w:type="dxa"/>
            <w:vAlign w:val="bottom"/>
          </w:tcPr>
          <w:p w14:paraId="60C29F65" w14:textId="77777777" w:rsidR="00AC5C0C" w:rsidRPr="00B02BA3" w:rsidRDefault="00AC5C0C" w:rsidP="00922116">
            <w:pPr>
              <w:pStyle w:val="CellRowSpacer"/>
              <w:rPr>
                <w:sz w:val="16"/>
                <w:szCs w:val="16"/>
              </w:rPr>
            </w:pPr>
          </w:p>
        </w:tc>
        <w:tc>
          <w:tcPr>
            <w:tcW w:w="907" w:type="dxa"/>
            <w:vAlign w:val="bottom"/>
          </w:tcPr>
          <w:p w14:paraId="2569D928" w14:textId="77777777" w:rsidR="00AC5C0C" w:rsidRPr="00B02BA3" w:rsidDel="00CD6878" w:rsidRDefault="00AC5C0C" w:rsidP="00922116">
            <w:pPr>
              <w:pStyle w:val="VSmCellBody"/>
              <w:jc w:val="right"/>
              <w:rPr>
                <w:sz w:val="16"/>
                <w:szCs w:val="16"/>
              </w:rPr>
            </w:pPr>
            <w:r w:rsidRPr="00B02BA3">
              <w:rPr>
                <w:sz w:val="16"/>
                <w:szCs w:val="16"/>
              </w:rPr>
              <w:t>—</w:t>
            </w:r>
          </w:p>
        </w:tc>
        <w:tc>
          <w:tcPr>
            <w:tcW w:w="236" w:type="dxa"/>
            <w:vAlign w:val="bottom"/>
          </w:tcPr>
          <w:p w14:paraId="68BCA9D9" w14:textId="77777777" w:rsidR="00AC5C0C" w:rsidRPr="00B02BA3" w:rsidRDefault="00AC5C0C" w:rsidP="00922116">
            <w:pPr>
              <w:pStyle w:val="CellRowSpacer"/>
              <w:rPr>
                <w:sz w:val="16"/>
                <w:szCs w:val="16"/>
              </w:rPr>
            </w:pPr>
          </w:p>
        </w:tc>
        <w:tc>
          <w:tcPr>
            <w:tcW w:w="907" w:type="dxa"/>
            <w:vAlign w:val="bottom"/>
          </w:tcPr>
          <w:p w14:paraId="28CCCD43"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53EB5E9A" w14:textId="77777777" w:rsidR="00AC5C0C" w:rsidRPr="00B02BA3" w:rsidRDefault="00AC5C0C" w:rsidP="00922116">
            <w:pPr>
              <w:pStyle w:val="CellRowSpacer"/>
              <w:rPr>
                <w:sz w:val="16"/>
                <w:szCs w:val="16"/>
              </w:rPr>
            </w:pPr>
          </w:p>
        </w:tc>
      </w:tr>
      <w:tr w:rsidR="00AC5C0C" w:rsidRPr="00B02BA3" w14:paraId="1FCCD7C1" w14:textId="77777777" w:rsidTr="00922116">
        <w:tc>
          <w:tcPr>
            <w:tcW w:w="3163" w:type="dxa"/>
            <w:vAlign w:val="bottom"/>
          </w:tcPr>
          <w:p w14:paraId="17F787EB" w14:textId="77777777" w:rsidR="00AC5C0C" w:rsidRPr="00B02BA3" w:rsidRDefault="00AC5C0C" w:rsidP="00922116">
            <w:pPr>
              <w:pStyle w:val="VSmCellBody"/>
              <w:tabs>
                <w:tab w:val="right" w:leader="dot" w:pos="3163"/>
              </w:tabs>
              <w:rPr>
                <w:sz w:val="16"/>
                <w:szCs w:val="16"/>
              </w:rPr>
            </w:pPr>
            <w:r w:rsidRPr="00B02BA3">
              <w:rPr>
                <w:sz w:val="16"/>
                <w:szCs w:val="16"/>
              </w:rPr>
              <w:t>Jabal Samhan</w:t>
            </w:r>
            <w:r w:rsidRPr="00B02BA3">
              <w:rPr>
                <w:rFonts w:eastAsia="SimSun"/>
                <w:sz w:val="16"/>
                <w:szCs w:val="16"/>
              </w:rPr>
              <w:tab/>
            </w:r>
          </w:p>
        </w:tc>
        <w:tc>
          <w:tcPr>
            <w:tcW w:w="236" w:type="dxa"/>
            <w:vAlign w:val="bottom"/>
          </w:tcPr>
          <w:p w14:paraId="0E25F15B" w14:textId="77777777" w:rsidR="00AC5C0C" w:rsidRPr="00B02BA3" w:rsidRDefault="00AC5C0C" w:rsidP="00922116">
            <w:pPr>
              <w:pStyle w:val="CellRowSpacer"/>
              <w:rPr>
                <w:sz w:val="16"/>
                <w:szCs w:val="16"/>
              </w:rPr>
            </w:pPr>
          </w:p>
        </w:tc>
        <w:tc>
          <w:tcPr>
            <w:tcW w:w="907" w:type="dxa"/>
          </w:tcPr>
          <w:p w14:paraId="60A8DF43" w14:textId="77777777" w:rsidR="00AC5C0C" w:rsidRPr="00B02BA3" w:rsidRDefault="00AC5C0C" w:rsidP="00922116">
            <w:pPr>
              <w:pStyle w:val="VSmCellBody"/>
              <w:jc w:val="right"/>
              <w:rPr>
                <w:sz w:val="16"/>
                <w:szCs w:val="16"/>
              </w:rPr>
            </w:pPr>
            <w:r w:rsidRPr="00B02BA3">
              <w:rPr>
                <w:sz w:val="16"/>
                <w:szCs w:val="16"/>
              </w:rPr>
              <w:t>Dry Bulk Exp.</w:t>
            </w:r>
          </w:p>
        </w:tc>
        <w:tc>
          <w:tcPr>
            <w:tcW w:w="236" w:type="dxa"/>
            <w:vAlign w:val="bottom"/>
          </w:tcPr>
          <w:p w14:paraId="4989F7D0" w14:textId="77777777" w:rsidR="00AC5C0C" w:rsidRPr="00B02BA3" w:rsidRDefault="00AC5C0C" w:rsidP="00922116">
            <w:pPr>
              <w:pStyle w:val="CellRowSpacer"/>
              <w:rPr>
                <w:sz w:val="16"/>
                <w:szCs w:val="16"/>
              </w:rPr>
            </w:pPr>
          </w:p>
        </w:tc>
        <w:tc>
          <w:tcPr>
            <w:tcW w:w="907" w:type="dxa"/>
            <w:vAlign w:val="bottom"/>
          </w:tcPr>
          <w:p w14:paraId="4CF4C4AC" w14:textId="77777777" w:rsidR="00AC5C0C" w:rsidRPr="00B02BA3" w:rsidRDefault="00AC5C0C" w:rsidP="00922116">
            <w:pPr>
              <w:pStyle w:val="VSmCellBody"/>
              <w:jc w:val="right"/>
              <w:rPr>
                <w:sz w:val="16"/>
                <w:szCs w:val="16"/>
              </w:rPr>
            </w:pPr>
            <w:r w:rsidRPr="00B02BA3">
              <w:rPr>
                <w:sz w:val="16"/>
                <w:szCs w:val="16"/>
              </w:rPr>
              <w:t xml:space="preserve">2019 </w:t>
            </w:r>
          </w:p>
        </w:tc>
        <w:tc>
          <w:tcPr>
            <w:tcW w:w="236" w:type="dxa"/>
            <w:vAlign w:val="bottom"/>
          </w:tcPr>
          <w:p w14:paraId="6529D9B7" w14:textId="77777777" w:rsidR="00AC5C0C" w:rsidRPr="00B02BA3" w:rsidRDefault="00AC5C0C" w:rsidP="00922116">
            <w:pPr>
              <w:pStyle w:val="CellRowSpacer"/>
              <w:rPr>
                <w:sz w:val="16"/>
                <w:szCs w:val="16"/>
              </w:rPr>
            </w:pPr>
          </w:p>
        </w:tc>
        <w:tc>
          <w:tcPr>
            <w:tcW w:w="907" w:type="dxa"/>
            <w:vAlign w:val="bottom"/>
          </w:tcPr>
          <w:p w14:paraId="11923C84" w14:textId="77777777" w:rsidR="00AC5C0C" w:rsidRPr="00B02BA3" w:rsidRDefault="00AC5C0C" w:rsidP="00922116">
            <w:pPr>
              <w:pStyle w:val="VSmCellBody"/>
              <w:jc w:val="right"/>
              <w:rPr>
                <w:sz w:val="16"/>
                <w:szCs w:val="16"/>
              </w:rPr>
            </w:pPr>
            <w:r w:rsidRPr="00B02BA3">
              <w:rPr>
                <w:sz w:val="16"/>
                <w:szCs w:val="16"/>
              </w:rPr>
              <w:t>January 2025</w:t>
            </w:r>
          </w:p>
        </w:tc>
        <w:tc>
          <w:tcPr>
            <w:tcW w:w="236" w:type="dxa"/>
            <w:vAlign w:val="bottom"/>
          </w:tcPr>
          <w:p w14:paraId="3228512C" w14:textId="77777777" w:rsidR="00AC5C0C" w:rsidRPr="00B02BA3" w:rsidRDefault="00AC5C0C" w:rsidP="00922116">
            <w:pPr>
              <w:pStyle w:val="CellRowSpacer"/>
              <w:rPr>
                <w:sz w:val="16"/>
                <w:szCs w:val="16"/>
              </w:rPr>
            </w:pPr>
          </w:p>
        </w:tc>
        <w:tc>
          <w:tcPr>
            <w:tcW w:w="907" w:type="dxa"/>
            <w:vAlign w:val="bottom"/>
          </w:tcPr>
          <w:p w14:paraId="4FBEC7D2" w14:textId="77777777" w:rsidR="00AC5C0C" w:rsidRPr="00B02BA3" w:rsidDel="00CD6878" w:rsidRDefault="00AC5C0C" w:rsidP="00922116">
            <w:pPr>
              <w:pStyle w:val="VSmCellBody"/>
              <w:jc w:val="right"/>
              <w:rPr>
                <w:sz w:val="16"/>
                <w:szCs w:val="16"/>
              </w:rPr>
            </w:pPr>
            <w:r w:rsidRPr="00B02BA3">
              <w:rPr>
                <w:sz w:val="16"/>
                <w:szCs w:val="16"/>
              </w:rPr>
              <w:t>—</w:t>
            </w:r>
          </w:p>
        </w:tc>
        <w:tc>
          <w:tcPr>
            <w:tcW w:w="236" w:type="dxa"/>
            <w:vAlign w:val="bottom"/>
          </w:tcPr>
          <w:p w14:paraId="65049E06" w14:textId="77777777" w:rsidR="00AC5C0C" w:rsidRPr="00B02BA3" w:rsidRDefault="00AC5C0C" w:rsidP="00922116">
            <w:pPr>
              <w:pStyle w:val="CellRowSpacer"/>
              <w:rPr>
                <w:sz w:val="16"/>
                <w:szCs w:val="16"/>
              </w:rPr>
            </w:pPr>
          </w:p>
        </w:tc>
        <w:tc>
          <w:tcPr>
            <w:tcW w:w="907" w:type="dxa"/>
            <w:vAlign w:val="bottom"/>
          </w:tcPr>
          <w:p w14:paraId="7D2F4B1B"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1A613F79" w14:textId="77777777" w:rsidR="00AC5C0C" w:rsidRPr="00B02BA3" w:rsidRDefault="00AC5C0C" w:rsidP="00922116">
            <w:pPr>
              <w:pStyle w:val="CellRowSpacer"/>
              <w:rPr>
                <w:sz w:val="16"/>
                <w:szCs w:val="16"/>
              </w:rPr>
            </w:pPr>
          </w:p>
        </w:tc>
      </w:tr>
      <w:tr w:rsidR="00AC5C0C" w:rsidRPr="00B02BA3" w14:paraId="33495073" w14:textId="77777777" w:rsidTr="00922116">
        <w:tc>
          <w:tcPr>
            <w:tcW w:w="3163" w:type="dxa"/>
            <w:vAlign w:val="bottom"/>
          </w:tcPr>
          <w:p w14:paraId="107DD5F1" w14:textId="77777777" w:rsidR="00AC5C0C" w:rsidRPr="00B02BA3" w:rsidRDefault="00AC5C0C" w:rsidP="00922116">
            <w:pPr>
              <w:pStyle w:val="VSmCellBody"/>
              <w:tabs>
                <w:tab w:val="right" w:leader="dot" w:pos="3163"/>
              </w:tabs>
              <w:rPr>
                <w:b/>
                <w:bCs/>
                <w:sz w:val="16"/>
                <w:szCs w:val="16"/>
              </w:rPr>
            </w:pPr>
            <w:r w:rsidRPr="00B02BA3">
              <w:rPr>
                <w:sz w:val="16"/>
                <w:szCs w:val="16"/>
              </w:rPr>
              <w:t>Jabal Harim</w:t>
            </w:r>
            <w:r w:rsidRPr="00B02BA3">
              <w:rPr>
                <w:rFonts w:eastAsia="SimSun"/>
                <w:sz w:val="16"/>
                <w:szCs w:val="16"/>
              </w:rPr>
              <w:tab/>
            </w:r>
          </w:p>
        </w:tc>
        <w:tc>
          <w:tcPr>
            <w:tcW w:w="236" w:type="dxa"/>
            <w:vAlign w:val="bottom"/>
          </w:tcPr>
          <w:p w14:paraId="46853553" w14:textId="77777777" w:rsidR="00AC5C0C" w:rsidRPr="00B02BA3" w:rsidRDefault="00AC5C0C" w:rsidP="00922116">
            <w:pPr>
              <w:pStyle w:val="CellRowSpacer"/>
              <w:rPr>
                <w:sz w:val="16"/>
                <w:szCs w:val="16"/>
              </w:rPr>
            </w:pPr>
          </w:p>
        </w:tc>
        <w:tc>
          <w:tcPr>
            <w:tcW w:w="907" w:type="dxa"/>
          </w:tcPr>
          <w:p w14:paraId="7F5B8285" w14:textId="77777777" w:rsidR="00AC5C0C" w:rsidRPr="00B02BA3" w:rsidRDefault="00AC5C0C" w:rsidP="00922116">
            <w:pPr>
              <w:pStyle w:val="VSmCellBody"/>
              <w:jc w:val="right"/>
              <w:rPr>
                <w:sz w:val="16"/>
                <w:szCs w:val="16"/>
              </w:rPr>
            </w:pPr>
            <w:r w:rsidRPr="00B02BA3">
              <w:rPr>
                <w:sz w:val="16"/>
                <w:szCs w:val="16"/>
              </w:rPr>
              <w:t>Dry Bulk Exp.</w:t>
            </w:r>
          </w:p>
        </w:tc>
        <w:tc>
          <w:tcPr>
            <w:tcW w:w="236" w:type="dxa"/>
            <w:vAlign w:val="bottom"/>
          </w:tcPr>
          <w:p w14:paraId="74AB328E" w14:textId="77777777" w:rsidR="00AC5C0C" w:rsidRPr="00B02BA3" w:rsidRDefault="00AC5C0C" w:rsidP="00922116">
            <w:pPr>
              <w:pStyle w:val="CellRowSpacer"/>
              <w:rPr>
                <w:sz w:val="16"/>
                <w:szCs w:val="16"/>
              </w:rPr>
            </w:pPr>
          </w:p>
        </w:tc>
        <w:tc>
          <w:tcPr>
            <w:tcW w:w="907" w:type="dxa"/>
            <w:vAlign w:val="bottom"/>
          </w:tcPr>
          <w:p w14:paraId="66BF76BB" w14:textId="77777777" w:rsidR="00AC5C0C" w:rsidRPr="00B02BA3" w:rsidRDefault="00AC5C0C" w:rsidP="00922116">
            <w:pPr>
              <w:pStyle w:val="VSmCellBody"/>
              <w:jc w:val="right"/>
              <w:rPr>
                <w:sz w:val="16"/>
                <w:szCs w:val="16"/>
              </w:rPr>
            </w:pPr>
            <w:r w:rsidRPr="00B02BA3">
              <w:rPr>
                <w:sz w:val="16"/>
                <w:szCs w:val="16"/>
              </w:rPr>
              <w:t xml:space="preserve">2019 </w:t>
            </w:r>
          </w:p>
        </w:tc>
        <w:tc>
          <w:tcPr>
            <w:tcW w:w="236" w:type="dxa"/>
            <w:vAlign w:val="bottom"/>
          </w:tcPr>
          <w:p w14:paraId="5A3ADB98" w14:textId="77777777" w:rsidR="00AC5C0C" w:rsidRPr="00B02BA3" w:rsidRDefault="00AC5C0C" w:rsidP="00922116">
            <w:pPr>
              <w:pStyle w:val="CellRowSpacer"/>
              <w:rPr>
                <w:sz w:val="16"/>
                <w:szCs w:val="16"/>
              </w:rPr>
            </w:pPr>
          </w:p>
        </w:tc>
        <w:tc>
          <w:tcPr>
            <w:tcW w:w="907" w:type="dxa"/>
            <w:vAlign w:val="bottom"/>
          </w:tcPr>
          <w:p w14:paraId="1F073322" w14:textId="77777777" w:rsidR="00AC5C0C" w:rsidRPr="00B02BA3" w:rsidRDefault="00AC5C0C" w:rsidP="00922116">
            <w:pPr>
              <w:pStyle w:val="VSmCellBody"/>
              <w:jc w:val="right"/>
              <w:rPr>
                <w:sz w:val="16"/>
                <w:szCs w:val="16"/>
              </w:rPr>
            </w:pPr>
            <w:r w:rsidRPr="00B02BA3">
              <w:rPr>
                <w:sz w:val="16"/>
                <w:szCs w:val="16"/>
              </w:rPr>
              <w:t>April 2025</w:t>
            </w:r>
          </w:p>
        </w:tc>
        <w:tc>
          <w:tcPr>
            <w:tcW w:w="236" w:type="dxa"/>
            <w:vAlign w:val="bottom"/>
          </w:tcPr>
          <w:p w14:paraId="72415BD1" w14:textId="77777777" w:rsidR="00AC5C0C" w:rsidRPr="00B02BA3" w:rsidRDefault="00AC5C0C" w:rsidP="00922116">
            <w:pPr>
              <w:pStyle w:val="CellRowSpacer"/>
              <w:rPr>
                <w:sz w:val="16"/>
                <w:szCs w:val="16"/>
              </w:rPr>
            </w:pPr>
          </w:p>
        </w:tc>
        <w:tc>
          <w:tcPr>
            <w:tcW w:w="907" w:type="dxa"/>
            <w:vAlign w:val="bottom"/>
          </w:tcPr>
          <w:p w14:paraId="506C512B" w14:textId="77777777" w:rsidR="00AC5C0C" w:rsidRPr="00B02BA3" w:rsidDel="00CD6878" w:rsidRDefault="00AC5C0C" w:rsidP="00922116">
            <w:pPr>
              <w:pStyle w:val="VSmCellBody"/>
              <w:jc w:val="right"/>
              <w:rPr>
                <w:sz w:val="16"/>
                <w:szCs w:val="16"/>
              </w:rPr>
            </w:pPr>
            <w:r w:rsidRPr="00B02BA3">
              <w:rPr>
                <w:sz w:val="16"/>
                <w:szCs w:val="16"/>
              </w:rPr>
              <w:t>—</w:t>
            </w:r>
          </w:p>
        </w:tc>
        <w:tc>
          <w:tcPr>
            <w:tcW w:w="236" w:type="dxa"/>
            <w:vAlign w:val="bottom"/>
          </w:tcPr>
          <w:p w14:paraId="6672BC5B" w14:textId="77777777" w:rsidR="00AC5C0C" w:rsidRPr="00B02BA3" w:rsidRDefault="00AC5C0C" w:rsidP="00922116">
            <w:pPr>
              <w:pStyle w:val="CellRowSpacer"/>
              <w:rPr>
                <w:sz w:val="16"/>
                <w:szCs w:val="16"/>
              </w:rPr>
            </w:pPr>
          </w:p>
        </w:tc>
        <w:tc>
          <w:tcPr>
            <w:tcW w:w="907" w:type="dxa"/>
            <w:vAlign w:val="bottom"/>
          </w:tcPr>
          <w:p w14:paraId="5AB0D1D0"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4C6E01D6" w14:textId="77777777" w:rsidR="00AC5C0C" w:rsidRPr="00B02BA3" w:rsidRDefault="00AC5C0C" w:rsidP="00922116">
            <w:pPr>
              <w:pStyle w:val="CellRowSpacer"/>
              <w:rPr>
                <w:sz w:val="16"/>
                <w:szCs w:val="16"/>
              </w:rPr>
            </w:pPr>
          </w:p>
        </w:tc>
      </w:tr>
      <w:tr w:rsidR="00AC5C0C" w:rsidRPr="00B02BA3" w14:paraId="707BE5AB" w14:textId="77777777" w:rsidTr="00922116">
        <w:tc>
          <w:tcPr>
            <w:tcW w:w="3163" w:type="dxa"/>
            <w:vAlign w:val="bottom"/>
          </w:tcPr>
          <w:p w14:paraId="1EA02039" w14:textId="77777777" w:rsidR="00AC5C0C" w:rsidRPr="00B02BA3" w:rsidRDefault="00AC5C0C" w:rsidP="00922116">
            <w:pPr>
              <w:pStyle w:val="VSmCellBody"/>
              <w:tabs>
                <w:tab w:val="right" w:leader="dot" w:pos="3163"/>
              </w:tabs>
              <w:rPr>
                <w:sz w:val="16"/>
                <w:szCs w:val="16"/>
              </w:rPr>
            </w:pPr>
            <w:r w:rsidRPr="00B02BA3">
              <w:rPr>
                <w:sz w:val="16"/>
                <w:szCs w:val="16"/>
              </w:rPr>
              <w:t xml:space="preserve">Jabal </w:t>
            </w:r>
            <w:proofErr w:type="spellStart"/>
            <w:r w:rsidRPr="00B02BA3">
              <w:rPr>
                <w:sz w:val="16"/>
                <w:szCs w:val="16"/>
              </w:rPr>
              <w:t>Hafit</w:t>
            </w:r>
            <w:proofErr w:type="spellEnd"/>
            <w:r w:rsidRPr="00B02BA3">
              <w:rPr>
                <w:rFonts w:eastAsia="SimSun"/>
                <w:sz w:val="16"/>
                <w:szCs w:val="16"/>
              </w:rPr>
              <w:tab/>
            </w:r>
          </w:p>
        </w:tc>
        <w:tc>
          <w:tcPr>
            <w:tcW w:w="236" w:type="dxa"/>
            <w:vAlign w:val="bottom"/>
          </w:tcPr>
          <w:p w14:paraId="0000F963" w14:textId="77777777" w:rsidR="00AC5C0C" w:rsidRPr="00B02BA3" w:rsidRDefault="00AC5C0C" w:rsidP="00922116">
            <w:pPr>
              <w:pStyle w:val="CellRowSpacer"/>
              <w:rPr>
                <w:sz w:val="16"/>
                <w:szCs w:val="16"/>
              </w:rPr>
            </w:pPr>
          </w:p>
        </w:tc>
        <w:tc>
          <w:tcPr>
            <w:tcW w:w="907" w:type="dxa"/>
          </w:tcPr>
          <w:p w14:paraId="406BF3CD" w14:textId="77777777" w:rsidR="00AC5C0C" w:rsidRPr="00B02BA3" w:rsidRDefault="00AC5C0C" w:rsidP="00922116">
            <w:pPr>
              <w:pStyle w:val="VSmCellBody"/>
              <w:jc w:val="right"/>
              <w:rPr>
                <w:sz w:val="16"/>
                <w:szCs w:val="16"/>
              </w:rPr>
            </w:pPr>
            <w:r w:rsidRPr="00B02BA3">
              <w:rPr>
                <w:sz w:val="16"/>
                <w:szCs w:val="16"/>
              </w:rPr>
              <w:t>Dry Bulk Exp.</w:t>
            </w:r>
          </w:p>
        </w:tc>
        <w:tc>
          <w:tcPr>
            <w:tcW w:w="236" w:type="dxa"/>
            <w:vAlign w:val="bottom"/>
          </w:tcPr>
          <w:p w14:paraId="0874D918" w14:textId="77777777" w:rsidR="00AC5C0C" w:rsidRPr="00B02BA3" w:rsidRDefault="00AC5C0C" w:rsidP="00922116">
            <w:pPr>
              <w:pStyle w:val="CellRowSpacer"/>
              <w:rPr>
                <w:sz w:val="16"/>
                <w:szCs w:val="16"/>
              </w:rPr>
            </w:pPr>
          </w:p>
        </w:tc>
        <w:tc>
          <w:tcPr>
            <w:tcW w:w="907" w:type="dxa"/>
            <w:vAlign w:val="bottom"/>
          </w:tcPr>
          <w:p w14:paraId="05B911FD" w14:textId="77777777" w:rsidR="00AC5C0C" w:rsidRPr="00B02BA3" w:rsidRDefault="00AC5C0C" w:rsidP="00922116">
            <w:pPr>
              <w:pStyle w:val="VSmCellBody"/>
              <w:jc w:val="right"/>
              <w:rPr>
                <w:sz w:val="16"/>
                <w:szCs w:val="16"/>
              </w:rPr>
            </w:pPr>
            <w:r w:rsidRPr="00B02BA3">
              <w:rPr>
                <w:sz w:val="16"/>
                <w:szCs w:val="16"/>
              </w:rPr>
              <w:t xml:space="preserve">2019 </w:t>
            </w:r>
          </w:p>
        </w:tc>
        <w:tc>
          <w:tcPr>
            <w:tcW w:w="236" w:type="dxa"/>
            <w:vAlign w:val="bottom"/>
          </w:tcPr>
          <w:p w14:paraId="27F3C717" w14:textId="77777777" w:rsidR="00AC5C0C" w:rsidRPr="00B02BA3" w:rsidRDefault="00AC5C0C" w:rsidP="00922116">
            <w:pPr>
              <w:pStyle w:val="CellRowSpacer"/>
              <w:rPr>
                <w:sz w:val="16"/>
                <w:szCs w:val="16"/>
              </w:rPr>
            </w:pPr>
          </w:p>
        </w:tc>
        <w:tc>
          <w:tcPr>
            <w:tcW w:w="907" w:type="dxa"/>
            <w:vAlign w:val="bottom"/>
          </w:tcPr>
          <w:p w14:paraId="4E298F54" w14:textId="77777777" w:rsidR="00AC5C0C" w:rsidRPr="00B02BA3" w:rsidRDefault="00AC5C0C" w:rsidP="00922116">
            <w:pPr>
              <w:pStyle w:val="VSmCellBody"/>
              <w:jc w:val="right"/>
              <w:rPr>
                <w:sz w:val="16"/>
                <w:szCs w:val="16"/>
              </w:rPr>
            </w:pPr>
            <w:r w:rsidRPr="00B02BA3">
              <w:rPr>
                <w:sz w:val="16"/>
                <w:szCs w:val="16"/>
              </w:rPr>
              <w:t>January 2025</w:t>
            </w:r>
          </w:p>
        </w:tc>
        <w:tc>
          <w:tcPr>
            <w:tcW w:w="236" w:type="dxa"/>
            <w:vAlign w:val="bottom"/>
          </w:tcPr>
          <w:p w14:paraId="2B6C586B" w14:textId="77777777" w:rsidR="00AC5C0C" w:rsidRPr="00B02BA3" w:rsidRDefault="00AC5C0C" w:rsidP="00922116">
            <w:pPr>
              <w:pStyle w:val="CellRowSpacer"/>
              <w:rPr>
                <w:sz w:val="16"/>
                <w:szCs w:val="16"/>
              </w:rPr>
            </w:pPr>
          </w:p>
        </w:tc>
        <w:tc>
          <w:tcPr>
            <w:tcW w:w="907" w:type="dxa"/>
            <w:vAlign w:val="bottom"/>
          </w:tcPr>
          <w:p w14:paraId="7688BE9C" w14:textId="77777777" w:rsidR="00AC5C0C" w:rsidRPr="00B02BA3" w:rsidDel="00CD6878" w:rsidRDefault="00AC5C0C" w:rsidP="00922116">
            <w:pPr>
              <w:pStyle w:val="VSmCellBody"/>
              <w:jc w:val="right"/>
              <w:rPr>
                <w:sz w:val="16"/>
                <w:szCs w:val="16"/>
              </w:rPr>
            </w:pPr>
            <w:r w:rsidRPr="00B02BA3">
              <w:rPr>
                <w:sz w:val="16"/>
                <w:szCs w:val="16"/>
              </w:rPr>
              <w:t>—</w:t>
            </w:r>
          </w:p>
        </w:tc>
        <w:tc>
          <w:tcPr>
            <w:tcW w:w="236" w:type="dxa"/>
            <w:vAlign w:val="bottom"/>
          </w:tcPr>
          <w:p w14:paraId="77055A48" w14:textId="77777777" w:rsidR="00AC5C0C" w:rsidRPr="00B02BA3" w:rsidRDefault="00AC5C0C" w:rsidP="00922116">
            <w:pPr>
              <w:pStyle w:val="CellRowSpacer"/>
              <w:rPr>
                <w:sz w:val="16"/>
                <w:szCs w:val="16"/>
              </w:rPr>
            </w:pPr>
          </w:p>
        </w:tc>
        <w:tc>
          <w:tcPr>
            <w:tcW w:w="907" w:type="dxa"/>
            <w:vAlign w:val="bottom"/>
          </w:tcPr>
          <w:p w14:paraId="236586DA"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08F31511" w14:textId="77777777" w:rsidR="00AC5C0C" w:rsidRPr="00B02BA3" w:rsidRDefault="00AC5C0C" w:rsidP="00922116">
            <w:pPr>
              <w:pStyle w:val="CellRowSpacer"/>
              <w:rPr>
                <w:sz w:val="16"/>
                <w:szCs w:val="16"/>
              </w:rPr>
            </w:pPr>
          </w:p>
        </w:tc>
      </w:tr>
      <w:tr w:rsidR="00AC5C0C" w:rsidRPr="00B02BA3" w14:paraId="6D2ACE28" w14:textId="77777777" w:rsidTr="00922116">
        <w:tc>
          <w:tcPr>
            <w:tcW w:w="3163" w:type="dxa"/>
            <w:vAlign w:val="bottom"/>
          </w:tcPr>
          <w:p w14:paraId="5C26CFAC" w14:textId="77777777" w:rsidR="00AC5C0C" w:rsidRPr="00B02BA3" w:rsidRDefault="00AC5C0C" w:rsidP="00922116">
            <w:pPr>
              <w:pStyle w:val="VSmCellBody"/>
              <w:tabs>
                <w:tab w:val="right" w:leader="dot" w:pos="3163"/>
              </w:tabs>
              <w:rPr>
                <w:sz w:val="16"/>
                <w:szCs w:val="16"/>
              </w:rPr>
            </w:pPr>
            <w:r w:rsidRPr="00B02BA3">
              <w:rPr>
                <w:sz w:val="16"/>
                <w:szCs w:val="16"/>
              </w:rPr>
              <w:t xml:space="preserve">Jabal </w:t>
            </w:r>
            <w:proofErr w:type="spellStart"/>
            <w:r w:rsidRPr="00B02BA3">
              <w:rPr>
                <w:sz w:val="16"/>
                <w:szCs w:val="16"/>
              </w:rPr>
              <w:t>Ar</w:t>
            </w:r>
            <w:proofErr w:type="spellEnd"/>
            <w:r w:rsidRPr="00B02BA3">
              <w:rPr>
                <w:sz w:val="16"/>
                <w:szCs w:val="16"/>
              </w:rPr>
              <w:t xml:space="preserve"> Rawdah</w:t>
            </w:r>
            <w:r w:rsidRPr="00B02BA3">
              <w:rPr>
                <w:rFonts w:eastAsia="SimSun"/>
                <w:sz w:val="16"/>
                <w:szCs w:val="16"/>
              </w:rPr>
              <w:tab/>
            </w:r>
          </w:p>
        </w:tc>
        <w:tc>
          <w:tcPr>
            <w:tcW w:w="236" w:type="dxa"/>
            <w:vAlign w:val="bottom"/>
          </w:tcPr>
          <w:p w14:paraId="57F9F1BE" w14:textId="77777777" w:rsidR="00AC5C0C" w:rsidRPr="00B02BA3" w:rsidRDefault="00AC5C0C" w:rsidP="00922116">
            <w:pPr>
              <w:pStyle w:val="CellRowSpacer"/>
              <w:rPr>
                <w:sz w:val="16"/>
                <w:szCs w:val="16"/>
              </w:rPr>
            </w:pPr>
          </w:p>
        </w:tc>
        <w:tc>
          <w:tcPr>
            <w:tcW w:w="907" w:type="dxa"/>
            <w:vAlign w:val="bottom"/>
          </w:tcPr>
          <w:p w14:paraId="2ABBF452" w14:textId="77777777" w:rsidR="00AC5C0C" w:rsidRPr="00B02BA3" w:rsidRDefault="00AC5C0C" w:rsidP="00922116">
            <w:pPr>
              <w:pStyle w:val="VSmCellBody"/>
              <w:jc w:val="right"/>
              <w:rPr>
                <w:sz w:val="16"/>
                <w:szCs w:val="16"/>
              </w:rPr>
            </w:pPr>
            <w:r w:rsidRPr="00B02BA3">
              <w:rPr>
                <w:sz w:val="16"/>
                <w:szCs w:val="16"/>
              </w:rPr>
              <w:t>Dry Bulk Exp.</w:t>
            </w:r>
          </w:p>
        </w:tc>
        <w:tc>
          <w:tcPr>
            <w:tcW w:w="236" w:type="dxa"/>
            <w:vAlign w:val="bottom"/>
          </w:tcPr>
          <w:p w14:paraId="0798AFA8" w14:textId="77777777" w:rsidR="00AC5C0C" w:rsidRPr="00B02BA3" w:rsidRDefault="00AC5C0C" w:rsidP="00922116">
            <w:pPr>
              <w:pStyle w:val="CellRowSpacer"/>
              <w:rPr>
                <w:sz w:val="16"/>
                <w:szCs w:val="16"/>
              </w:rPr>
            </w:pPr>
          </w:p>
        </w:tc>
        <w:tc>
          <w:tcPr>
            <w:tcW w:w="907" w:type="dxa"/>
            <w:vAlign w:val="bottom"/>
          </w:tcPr>
          <w:p w14:paraId="0797668C" w14:textId="77777777" w:rsidR="00AC5C0C" w:rsidRPr="00B02BA3" w:rsidRDefault="00AC5C0C" w:rsidP="00922116">
            <w:pPr>
              <w:pStyle w:val="VSmCellBody"/>
              <w:jc w:val="right"/>
              <w:rPr>
                <w:sz w:val="16"/>
                <w:szCs w:val="16"/>
              </w:rPr>
            </w:pPr>
            <w:r w:rsidRPr="00B02BA3">
              <w:rPr>
                <w:sz w:val="16"/>
                <w:szCs w:val="16"/>
              </w:rPr>
              <w:t xml:space="preserve">2019 </w:t>
            </w:r>
          </w:p>
        </w:tc>
        <w:tc>
          <w:tcPr>
            <w:tcW w:w="236" w:type="dxa"/>
            <w:vAlign w:val="bottom"/>
          </w:tcPr>
          <w:p w14:paraId="5645CA45" w14:textId="77777777" w:rsidR="00AC5C0C" w:rsidRPr="00B02BA3" w:rsidRDefault="00AC5C0C" w:rsidP="00922116">
            <w:pPr>
              <w:pStyle w:val="CellRowSpacer"/>
              <w:rPr>
                <w:sz w:val="16"/>
                <w:szCs w:val="16"/>
              </w:rPr>
            </w:pPr>
          </w:p>
        </w:tc>
        <w:tc>
          <w:tcPr>
            <w:tcW w:w="907" w:type="dxa"/>
            <w:vAlign w:val="bottom"/>
          </w:tcPr>
          <w:p w14:paraId="4E6DA8DC" w14:textId="77777777" w:rsidR="00AC5C0C" w:rsidRPr="00B02BA3" w:rsidRDefault="00AC5C0C" w:rsidP="00922116">
            <w:pPr>
              <w:pStyle w:val="VSmCellBody"/>
              <w:jc w:val="right"/>
              <w:rPr>
                <w:sz w:val="16"/>
                <w:szCs w:val="16"/>
              </w:rPr>
            </w:pPr>
            <w:r w:rsidRPr="00B02BA3">
              <w:rPr>
                <w:sz w:val="16"/>
                <w:szCs w:val="16"/>
              </w:rPr>
              <w:t>November 2024</w:t>
            </w:r>
          </w:p>
        </w:tc>
        <w:tc>
          <w:tcPr>
            <w:tcW w:w="236" w:type="dxa"/>
            <w:vAlign w:val="bottom"/>
          </w:tcPr>
          <w:p w14:paraId="5FF3DA0F" w14:textId="77777777" w:rsidR="00AC5C0C" w:rsidRPr="00B02BA3" w:rsidRDefault="00AC5C0C" w:rsidP="00922116">
            <w:pPr>
              <w:pStyle w:val="CellRowSpacer"/>
              <w:rPr>
                <w:sz w:val="16"/>
                <w:szCs w:val="16"/>
              </w:rPr>
            </w:pPr>
          </w:p>
        </w:tc>
        <w:tc>
          <w:tcPr>
            <w:tcW w:w="907" w:type="dxa"/>
            <w:vAlign w:val="bottom"/>
          </w:tcPr>
          <w:p w14:paraId="29015EFF" w14:textId="77777777" w:rsidR="00AC5C0C" w:rsidRPr="00B02BA3" w:rsidDel="00CD6878" w:rsidRDefault="00AC5C0C" w:rsidP="00922116">
            <w:pPr>
              <w:pStyle w:val="VSmCellBody"/>
              <w:jc w:val="right"/>
              <w:rPr>
                <w:sz w:val="16"/>
                <w:szCs w:val="16"/>
              </w:rPr>
            </w:pPr>
            <w:r w:rsidRPr="00B02BA3">
              <w:rPr>
                <w:sz w:val="16"/>
                <w:szCs w:val="16"/>
              </w:rPr>
              <w:t>—</w:t>
            </w:r>
          </w:p>
        </w:tc>
        <w:tc>
          <w:tcPr>
            <w:tcW w:w="236" w:type="dxa"/>
            <w:vAlign w:val="bottom"/>
          </w:tcPr>
          <w:p w14:paraId="34A6258B" w14:textId="77777777" w:rsidR="00AC5C0C" w:rsidRPr="00B02BA3" w:rsidRDefault="00AC5C0C" w:rsidP="00922116">
            <w:pPr>
              <w:pStyle w:val="CellRowSpacer"/>
              <w:rPr>
                <w:sz w:val="16"/>
                <w:szCs w:val="16"/>
              </w:rPr>
            </w:pPr>
          </w:p>
        </w:tc>
        <w:tc>
          <w:tcPr>
            <w:tcW w:w="907" w:type="dxa"/>
            <w:vAlign w:val="bottom"/>
          </w:tcPr>
          <w:p w14:paraId="64FB1538"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0F69E960" w14:textId="77777777" w:rsidR="00AC5C0C" w:rsidRPr="00B02BA3" w:rsidRDefault="00AC5C0C" w:rsidP="00922116">
            <w:pPr>
              <w:pStyle w:val="CellRowSpacer"/>
              <w:rPr>
                <w:sz w:val="16"/>
                <w:szCs w:val="16"/>
              </w:rPr>
            </w:pPr>
          </w:p>
        </w:tc>
      </w:tr>
      <w:tr w:rsidR="00AC5C0C" w:rsidRPr="00B02BA3" w14:paraId="1590E976" w14:textId="77777777" w:rsidTr="00922116">
        <w:tc>
          <w:tcPr>
            <w:tcW w:w="3163" w:type="dxa"/>
            <w:vAlign w:val="bottom"/>
          </w:tcPr>
          <w:p w14:paraId="1E33BCE9" w14:textId="77777777" w:rsidR="00AC5C0C" w:rsidRPr="00B02BA3" w:rsidRDefault="00AC5C0C" w:rsidP="00922116">
            <w:pPr>
              <w:pStyle w:val="VSmCellBody"/>
              <w:tabs>
                <w:tab w:val="right" w:leader="dot" w:pos="3163"/>
              </w:tabs>
              <w:rPr>
                <w:sz w:val="16"/>
                <w:szCs w:val="16"/>
              </w:rPr>
            </w:pPr>
            <w:r w:rsidRPr="00B02BA3">
              <w:rPr>
                <w:sz w:val="16"/>
                <w:szCs w:val="16"/>
              </w:rPr>
              <w:t>Jewel of Shinas</w:t>
            </w:r>
            <w:r w:rsidRPr="00B02BA3">
              <w:rPr>
                <w:rFonts w:eastAsia="SimSun"/>
                <w:sz w:val="16"/>
                <w:szCs w:val="16"/>
              </w:rPr>
              <w:tab/>
            </w:r>
          </w:p>
        </w:tc>
        <w:tc>
          <w:tcPr>
            <w:tcW w:w="236" w:type="dxa"/>
            <w:vAlign w:val="bottom"/>
          </w:tcPr>
          <w:p w14:paraId="41E2EB2B" w14:textId="77777777" w:rsidR="00AC5C0C" w:rsidRPr="00B02BA3" w:rsidRDefault="00AC5C0C" w:rsidP="00922116">
            <w:pPr>
              <w:pStyle w:val="CellRowSpacer"/>
              <w:rPr>
                <w:sz w:val="16"/>
                <w:szCs w:val="16"/>
              </w:rPr>
            </w:pPr>
          </w:p>
        </w:tc>
        <w:tc>
          <w:tcPr>
            <w:tcW w:w="907" w:type="dxa"/>
            <w:vAlign w:val="bottom"/>
          </w:tcPr>
          <w:p w14:paraId="3964B720" w14:textId="77777777" w:rsidR="00AC5C0C" w:rsidRPr="00B02BA3" w:rsidRDefault="00AC5C0C" w:rsidP="00922116">
            <w:pPr>
              <w:pStyle w:val="VSmCellBody"/>
              <w:jc w:val="right"/>
              <w:rPr>
                <w:sz w:val="16"/>
                <w:szCs w:val="16"/>
              </w:rPr>
            </w:pPr>
            <w:r w:rsidRPr="00B02BA3">
              <w:rPr>
                <w:sz w:val="16"/>
                <w:szCs w:val="16"/>
              </w:rPr>
              <w:t>Sohar Aluminium</w:t>
            </w:r>
          </w:p>
        </w:tc>
        <w:tc>
          <w:tcPr>
            <w:tcW w:w="236" w:type="dxa"/>
            <w:vAlign w:val="bottom"/>
          </w:tcPr>
          <w:p w14:paraId="67D20CAE" w14:textId="77777777" w:rsidR="00AC5C0C" w:rsidRPr="00B02BA3" w:rsidRDefault="00AC5C0C" w:rsidP="00922116">
            <w:pPr>
              <w:pStyle w:val="CellRowSpacer"/>
              <w:rPr>
                <w:sz w:val="16"/>
                <w:szCs w:val="16"/>
              </w:rPr>
            </w:pPr>
          </w:p>
        </w:tc>
        <w:tc>
          <w:tcPr>
            <w:tcW w:w="907" w:type="dxa"/>
            <w:vAlign w:val="bottom"/>
          </w:tcPr>
          <w:p w14:paraId="003D690C" w14:textId="77777777" w:rsidR="00AC5C0C" w:rsidRPr="00B02BA3" w:rsidRDefault="00AC5C0C" w:rsidP="00922116">
            <w:pPr>
              <w:pStyle w:val="VSmCellBody"/>
              <w:jc w:val="right"/>
              <w:rPr>
                <w:sz w:val="16"/>
                <w:szCs w:val="16"/>
              </w:rPr>
            </w:pPr>
            <w:r w:rsidRPr="00B02BA3">
              <w:rPr>
                <w:sz w:val="16"/>
                <w:szCs w:val="16"/>
              </w:rPr>
              <w:t xml:space="preserve">2011 </w:t>
            </w:r>
          </w:p>
        </w:tc>
        <w:tc>
          <w:tcPr>
            <w:tcW w:w="236" w:type="dxa"/>
            <w:vAlign w:val="bottom"/>
          </w:tcPr>
          <w:p w14:paraId="4EF3B22C" w14:textId="77777777" w:rsidR="00AC5C0C" w:rsidRPr="00B02BA3" w:rsidRDefault="00AC5C0C" w:rsidP="00922116">
            <w:pPr>
              <w:pStyle w:val="CellRowSpacer"/>
              <w:rPr>
                <w:sz w:val="16"/>
                <w:szCs w:val="16"/>
              </w:rPr>
            </w:pPr>
          </w:p>
        </w:tc>
        <w:tc>
          <w:tcPr>
            <w:tcW w:w="907" w:type="dxa"/>
            <w:vAlign w:val="bottom"/>
          </w:tcPr>
          <w:p w14:paraId="76072064" w14:textId="77777777" w:rsidR="00AC5C0C" w:rsidRPr="00B02BA3" w:rsidRDefault="00AC5C0C" w:rsidP="00922116">
            <w:pPr>
              <w:pStyle w:val="VSmCellBody"/>
              <w:jc w:val="right"/>
              <w:rPr>
                <w:sz w:val="16"/>
                <w:szCs w:val="16"/>
              </w:rPr>
            </w:pPr>
            <w:r w:rsidRPr="00B02BA3">
              <w:rPr>
                <w:sz w:val="16"/>
                <w:szCs w:val="16"/>
              </w:rPr>
              <w:t>April 2026</w:t>
            </w:r>
          </w:p>
        </w:tc>
        <w:tc>
          <w:tcPr>
            <w:tcW w:w="236" w:type="dxa"/>
            <w:vAlign w:val="bottom"/>
          </w:tcPr>
          <w:p w14:paraId="0A72A5D3" w14:textId="77777777" w:rsidR="00AC5C0C" w:rsidRPr="00B02BA3" w:rsidRDefault="00AC5C0C" w:rsidP="00922116">
            <w:pPr>
              <w:pStyle w:val="CellRowSpacer"/>
              <w:rPr>
                <w:sz w:val="16"/>
                <w:szCs w:val="16"/>
              </w:rPr>
            </w:pPr>
          </w:p>
        </w:tc>
        <w:tc>
          <w:tcPr>
            <w:tcW w:w="907" w:type="dxa"/>
            <w:vAlign w:val="bottom"/>
          </w:tcPr>
          <w:p w14:paraId="6B504F1D" w14:textId="77777777" w:rsidR="00AC5C0C" w:rsidRPr="00B02BA3" w:rsidRDefault="00AC5C0C" w:rsidP="00922116">
            <w:pPr>
              <w:pStyle w:val="VSmCellBody"/>
              <w:jc w:val="right"/>
              <w:rPr>
                <w:sz w:val="16"/>
                <w:szCs w:val="16"/>
              </w:rPr>
            </w:pPr>
            <w:r w:rsidRPr="00B02BA3">
              <w:rPr>
                <w:sz w:val="16"/>
                <w:szCs w:val="16"/>
              </w:rPr>
              <w:t>15 years</w:t>
            </w:r>
          </w:p>
        </w:tc>
        <w:tc>
          <w:tcPr>
            <w:tcW w:w="236" w:type="dxa"/>
            <w:vAlign w:val="bottom"/>
          </w:tcPr>
          <w:p w14:paraId="02F805F9" w14:textId="77777777" w:rsidR="00AC5C0C" w:rsidRPr="00B02BA3" w:rsidRDefault="00AC5C0C" w:rsidP="00922116">
            <w:pPr>
              <w:pStyle w:val="CellRowSpacer"/>
              <w:rPr>
                <w:sz w:val="16"/>
                <w:szCs w:val="16"/>
              </w:rPr>
            </w:pPr>
          </w:p>
        </w:tc>
        <w:tc>
          <w:tcPr>
            <w:tcW w:w="907" w:type="dxa"/>
            <w:vAlign w:val="bottom"/>
          </w:tcPr>
          <w:p w14:paraId="0009CD72"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131B336F" w14:textId="77777777" w:rsidR="00AC5C0C" w:rsidRPr="00B02BA3" w:rsidRDefault="00AC5C0C" w:rsidP="00922116">
            <w:pPr>
              <w:pStyle w:val="CellRowSpacer"/>
              <w:rPr>
                <w:sz w:val="16"/>
                <w:szCs w:val="16"/>
              </w:rPr>
            </w:pPr>
          </w:p>
        </w:tc>
      </w:tr>
      <w:tr w:rsidR="00AC5C0C" w:rsidRPr="00B02BA3" w14:paraId="6D9E2640" w14:textId="77777777" w:rsidTr="00922116">
        <w:tc>
          <w:tcPr>
            <w:tcW w:w="3163" w:type="dxa"/>
            <w:vAlign w:val="bottom"/>
          </w:tcPr>
          <w:p w14:paraId="735908F3" w14:textId="77777777" w:rsidR="00AC5C0C" w:rsidRPr="00B02BA3" w:rsidRDefault="00AC5C0C" w:rsidP="00922116">
            <w:pPr>
              <w:pStyle w:val="VSmCellBody"/>
              <w:tabs>
                <w:tab w:val="right" w:leader="dot" w:pos="3163"/>
              </w:tabs>
              <w:rPr>
                <w:sz w:val="16"/>
                <w:szCs w:val="16"/>
              </w:rPr>
            </w:pPr>
            <w:r w:rsidRPr="00B02BA3">
              <w:rPr>
                <w:sz w:val="16"/>
                <w:szCs w:val="16"/>
              </w:rPr>
              <w:t>Jewel of Sohar</w:t>
            </w:r>
            <w:r w:rsidRPr="00B02BA3">
              <w:rPr>
                <w:rFonts w:eastAsia="SimSun"/>
                <w:sz w:val="16"/>
                <w:szCs w:val="16"/>
              </w:rPr>
              <w:tab/>
            </w:r>
          </w:p>
        </w:tc>
        <w:tc>
          <w:tcPr>
            <w:tcW w:w="236" w:type="dxa"/>
            <w:vAlign w:val="bottom"/>
          </w:tcPr>
          <w:p w14:paraId="39B959DC" w14:textId="77777777" w:rsidR="00AC5C0C" w:rsidRPr="00B02BA3" w:rsidRDefault="00AC5C0C" w:rsidP="00922116">
            <w:pPr>
              <w:pStyle w:val="CellRowSpacer"/>
              <w:rPr>
                <w:sz w:val="16"/>
                <w:szCs w:val="16"/>
              </w:rPr>
            </w:pPr>
          </w:p>
        </w:tc>
        <w:tc>
          <w:tcPr>
            <w:tcW w:w="907" w:type="dxa"/>
            <w:vAlign w:val="bottom"/>
          </w:tcPr>
          <w:p w14:paraId="16B92DA8" w14:textId="77777777" w:rsidR="00AC5C0C" w:rsidRPr="00B02BA3" w:rsidRDefault="00AC5C0C" w:rsidP="00922116">
            <w:pPr>
              <w:pStyle w:val="VSmCellBody"/>
              <w:jc w:val="right"/>
              <w:rPr>
                <w:sz w:val="16"/>
                <w:szCs w:val="16"/>
              </w:rPr>
            </w:pPr>
            <w:r w:rsidRPr="00B02BA3">
              <w:rPr>
                <w:sz w:val="16"/>
                <w:szCs w:val="16"/>
              </w:rPr>
              <w:t>Sohar Aluminium</w:t>
            </w:r>
          </w:p>
        </w:tc>
        <w:tc>
          <w:tcPr>
            <w:tcW w:w="236" w:type="dxa"/>
            <w:vAlign w:val="bottom"/>
          </w:tcPr>
          <w:p w14:paraId="59194C9D" w14:textId="77777777" w:rsidR="00AC5C0C" w:rsidRPr="00B02BA3" w:rsidRDefault="00AC5C0C" w:rsidP="00922116">
            <w:pPr>
              <w:pStyle w:val="CellRowSpacer"/>
              <w:rPr>
                <w:sz w:val="16"/>
                <w:szCs w:val="16"/>
              </w:rPr>
            </w:pPr>
          </w:p>
        </w:tc>
        <w:tc>
          <w:tcPr>
            <w:tcW w:w="907" w:type="dxa"/>
            <w:vAlign w:val="bottom"/>
          </w:tcPr>
          <w:p w14:paraId="3A9D00EC" w14:textId="77777777" w:rsidR="00AC5C0C" w:rsidRPr="00B02BA3" w:rsidRDefault="00AC5C0C" w:rsidP="00922116">
            <w:pPr>
              <w:pStyle w:val="VSmCellBody"/>
              <w:jc w:val="right"/>
              <w:rPr>
                <w:sz w:val="16"/>
                <w:szCs w:val="16"/>
              </w:rPr>
            </w:pPr>
            <w:r w:rsidRPr="00B02BA3">
              <w:rPr>
                <w:sz w:val="16"/>
                <w:szCs w:val="16"/>
              </w:rPr>
              <w:t xml:space="preserve">2011 </w:t>
            </w:r>
          </w:p>
        </w:tc>
        <w:tc>
          <w:tcPr>
            <w:tcW w:w="236" w:type="dxa"/>
            <w:vAlign w:val="bottom"/>
          </w:tcPr>
          <w:p w14:paraId="34392810" w14:textId="77777777" w:rsidR="00AC5C0C" w:rsidRPr="00B02BA3" w:rsidRDefault="00AC5C0C" w:rsidP="00922116">
            <w:pPr>
              <w:pStyle w:val="CellRowSpacer"/>
              <w:rPr>
                <w:sz w:val="16"/>
                <w:szCs w:val="16"/>
              </w:rPr>
            </w:pPr>
          </w:p>
        </w:tc>
        <w:tc>
          <w:tcPr>
            <w:tcW w:w="907" w:type="dxa"/>
            <w:vAlign w:val="bottom"/>
          </w:tcPr>
          <w:p w14:paraId="0FC2CED9" w14:textId="77777777" w:rsidR="00AC5C0C" w:rsidRPr="00B02BA3" w:rsidRDefault="00AC5C0C" w:rsidP="00922116">
            <w:pPr>
              <w:pStyle w:val="VSmCellBody"/>
              <w:jc w:val="right"/>
              <w:rPr>
                <w:sz w:val="16"/>
                <w:szCs w:val="16"/>
              </w:rPr>
            </w:pPr>
            <w:r w:rsidRPr="00B02BA3">
              <w:rPr>
                <w:sz w:val="16"/>
                <w:szCs w:val="16"/>
              </w:rPr>
              <w:t>March 2027</w:t>
            </w:r>
          </w:p>
        </w:tc>
        <w:tc>
          <w:tcPr>
            <w:tcW w:w="236" w:type="dxa"/>
            <w:vAlign w:val="bottom"/>
          </w:tcPr>
          <w:p w14:paraId="3F8616ED" w14:textId="77777777" w:rsidR="00AC5C0C" w:rsidRPr="00B02BA3" w:rsidRDefault="00AC5C0C" w:rsidP="00922116">
            <w:pPr>
              <w:pStyle w:val="CellRowSpacer"/>
              <w:rPr>
                <w:sz w:val="16"/>
                <w:szCs w:val="16"/>
              </w:rPr>
            </w:pPr>
          </w:p>
        </w:tc>
        <w:tc>
          <w:tcPr>
            <w:tcW w:w="907" w:type="dxa"/>
            <w:vAlign w:val="bottom"/>
          </w:tcPr>
          <w:p w14:paraId="162A4F80" w14:textId="77777777" w:rsidR="00AC5C0C" w:rsidRPr="00B02BA3" w:rsidRDefault="00AC5C0C" w:rsidP="00922116">
            <w:pPr>
              <w:pStyle w:val="VSmCellBody"/>
              <w:jc w:val="right"/>
              <w:rPr>
                <w:sz w:val="16"/>
                <w:szCs w:val="16"/>
              </w:rPr>
            </w:pPr>
            <w:r w:rsidRPr="00B02BA3">
              <w:rPr>
                <w:sz w:val="16"/>
                <w:szCs w:val="16"/>
              </w:rPr>
              <w:t>15 years</w:t>
            </w:r>
          </w:p>
        </w:tc>
        <w:tc>
          <w:tcPr>
            <w:tcW w:w="236" w:type="dxa"/>
            <w:vAlign w:val="bottom"/>
          </w:tcPr>
          <w:p w14:paraId="7038AD53" w14:textId="77777777" w:rsidR="00AC5C0C" w:rsidRPr="00B02BA3" w:rsidRDefault="00AC5C0C" w:rsidP="00922116">
            <w:pPr>
              <w:pStyle w:val="CellRowSpacer"/>
              <w:rPr>
                <w:sz w:val="16"/>
                <w:szCs w:val="16"/>
              </w:rPr>
            </w:pPr>
          </w:p>
        </w:tc>
        <w:tc>
          <w:tcPr>
            <w:tcW w:w="907" w:type="dxa"/>
            <w:vAlign w:val="bottom"/>
          </w:tcPr>
          <w:p w14:paraId="495E4276"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402885B4" w14:textId="77777777" w:rsidR="00AC5C0C" w:rsidRPr="00B02BA3" w:rsidRDefault="00AC5C0C" w:rsidP="00922116">
            <w:pPr>
              <w:pStyle w:val="CellRowSpacer"/>
              <w:rPr>
                <w:sz w:val="16"/>
                <w:szCs w:val="16"/>
              </w:rPr>
            </w:pPr>
          </w:p>
        </w:tc>
      </w:tr>
      <w:tr w:rsidR="00AC5C0C" w:rsidRPr="00B02BA3" w14:paraId="410FB2A3" w14:textId="77777777" w:rsidTr="00922116">
        <w:tc>
          <w:tcPr>
            <w:tcW w:w="3163" w:type="dxa"/>
            <w:vAlign w:val="bottom"/>
          </w:tcPr>
          <w:p w14:paraId="672E599D" w14:textId="77777777" w:rsidR="00AC5C0C" w:rsidRPr="00B02BA3" w:rsidRDefault="00AC5C0C" w:rsidP="00922116">
            <w:pPr>
              <w:pStyle w:val="VSmCellBody"/>
              <w:tabs>
                <w:tab w:val="right" w:leader="dot" w:pos="3163"/>
              </w:tabs>
              <w:rPr>
                <w:sz w:val="16"/>
                <w:szCs w:val="16"/>
              </w:rPr>
            </w:pPr>
            <w:r w:rsidRPr="00B02BA3">
              <w:rPr>
                <w:sz w:val="16"/>
                <w:szCs w:val="16"/>
              </w:rPr>
              <w:t>MV Eastern</w:t>
            </w:r>
            <w:r w:rsidRPr="00B02BA3">
              <w:rPr>
                <w:rFonts w:eastAsia="SimSun"/>
                <w:sz w:val="16"/>
                <w:szCs w:val="16"/>
              </w:rPr>
              <w:tab/>
            </w:r>
          </w:p>
        </w:tc>
        <w:tc>
          <w:tcPr>
            <w:tcW w:w="236" w:type="dxa"/>
            <w:vAlign w:val="bottom"/>
          </w:tcPr>
          <w:p w14:paraId="7830B951" w14:textId="77777777" w:rsidR="00AC5C0C" w:rsidRPr="00B02BA3" w:rsidRDefault="00AC5C0C" w:rsidP="00922116">
            <w:pPr>
              <w:pStyle w:val="CellRowSpacer"/>
              <w:rPr>
                <w:sz w:val="16"/>
                <w:szCs w:val="16"/>
              </w:rPr>
            </w:pPr>
          </w:p>
        </w:tc>
        <w:tc>
          <w:tcPr>
            <w:tcW w:w="907" w:type="dxa"/>
            <w:vAlign w:val="bottom"/>
          </w:tcPr>
          <w:p w14:paraId="00425E1A" w14:textId="77777777" w:rsidR="00AC5C0C" w:rsidRPr="00B02BA3" w:rsidRDefault="00AC5C0C" w:rsidP="00922116">
            <w:pPr>
              <w:pStyle w:val="VSmCellBody"/>
              <w:jc w:val="right"/>
              <w:rPr>
                <w:sz w:val="16"/>
                <w:szCs w:val="16"/>
              </w:rPr>
            </w:pPr>
            <w:r w:rsidRPr="00B02BA3">
              <w:rPr>
                <w:sz w:val="16"/>
                <w:szCs w:val="16"/>
              </w:rPr>
              <w:t>Spot Charter Market</w:t>
            </w:r>
          </w:p>
        </w:tc>
        <w:tc>
          <w:tcPr>
            <w:tcW w:w="236" w:type="dxa"/>
            <w:vAlign w:val="bottom"/>
          </w:tcPr>
          <w:p w14:paraId="0D20C0B9" w14:textId="77777777" w:rsidR="00AC5C0C" w:rsidRPr="00B02BA3" w:rsidRDefault="00AC5C0C" w:rsidP="00922116">
            <w:pPr>
              <w:pStyle w:val="CellRowSpacer"/>
              <w:rPr>
                <w:sz w:val="16"/>
                <w:szCs w:val="16"/>
              </w:rPr>
            </w:pPr>
          </w:p>
        </w:tc>
        <w:tc>
          <w:tcPr>
            <w:tcW w:w="907" w:type="dxa"/>
            <w:vAlign w:val="bottom"/>
          </w:tcPr>
          <w:p w14:paraId="3C8E324E" w14:textId="77777777" w:rsidR="00AC5C0C" w:rsidRPr="00B02BA3" w:rsidRDefault="00AC5C0C" w:rsidP="00922116">
            <w:pPr>
              <w:pStyle w:val="VSmCellBody"/>
              <w:jc w:val="right"/>
              <w:rPr>
                <w:sz w:val="16"/>
                <w:szCs w:val="16"/>
              </w:rPr>
            </w:pPr>
            <w:r w:rsidRPr="00B02BA3">
              <w:rPr>
                <w:sz w:val="16"/>
                <w:szCs w:val="16"/>
              </w:rPr>
              <w:t>2024</w:t>
            </w:r>
          </w:p>
        </w:tc>
        <w:tc>
          <w:tcPr>
            <w:tcW w:w="236" w:type="dxa"/>
            <w:vAlign w:val="bottom"/>
          </w:tcPr>
          <w:p w14:paraId="362CABED" w14:textId="77777777" w:rsidR="00AC5C0C" w:rsidRPr="00B02BA3" w:rsidRDefault="00AC5C0C" w:rsidP="00922116">
            <w:pPr>
              <w:pStyle w:val="CellRowSpacer"/>
              <w:jc w:val="right"/>
              <w:rPr>
                <w:sz w:val="16"/>
                <w:szCs w:val="16"/>
              </w:rPr>
            </w:pPr>
          </w:p>
        </w:tc>
        <w:tc>
          <w:tcPr>
            <w:tcW w:w="907" w:type="dxa"/>
            <w:vAlign w:val="bottom"/>
          </w:tcPr>
          <w:p w14:paraId="6ACC663B" w14:textId="77777777" w:rsidR="00AC5C0C" w:rsidRPr="00B02BA3" w:rsidRDefault="00AC5C0C" w:rsidP="00922116">
            <w:pPr>
              <w:pStyle w:val="VSmCellBody"/>
              <w:jc w:val="right"/>
              <w:rPr>
                <w:sz w:val="16"/>
                <w:szCs w:val="16"/>
              </w:rPr>
            </w:pPr>
            <w:r w:rsidRPr="00B02BA3">
              <w:rPr>
                <w:sz w:val="16"/>
                <w:szCs w:val="16"/>
              </w:rPr>
              <w:t>October 2024</w:t>
            </w:r>
          </w:p>
        </w:tc>
        <w:tc>
          <w:tcPr>
            <w:tcW w:w="236" w:type="dxa"/>
            <w:vAlign w:val="bottom"/>
          </w:tcPr>
          <w:p w14:paraId="3E7ADC0C" w14:textId="77777777" w:rsidR="00AC5C0C" w:rsidRPr="00B02BA3" w:rsidRDefault="00AC5C0C" w:rsidP="00922116">
            <w:pPr>
              <w:pStyle w:val="CellRowSpacer"/>
              <w:jc w:val="right"/>
              <w:rPr>
                <w:sz w:val="16"/>
                <w:szCs w:val="16"/>
              </w:rPr>
            </w:pPr>
          </w:p>
        </w:tc>
        <w:tc>
          <w:tcPr>
            <w:tcW w:w="907" w:type="dxa"/>
            <w:vAlign w:val="bottom"/>
          </w:tcPr>
          <w:p w14:paraId="0A588085"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00471EB9" w14:textId="77777777" w:rsidR="00AC5C0C" w:rsidRPr="00B02BA3" w:rsidRDefault="00AC5C0C" w:rsidP="00922116">
            <w:pPr>
              <w:pStyle w:val="CellRowSpacer"/>
              <w:rPr>
                <w:sz w:val="16"/>
                <w:szCs w:val="16"/>
              </w:rPr>
            </w:pPr>
          </w:p>
        </w:tc>
        <w:tc>
          <w:tcPr>
            <w:tcW w:w="907" w:type="dxa"/>
            <w:vAlign w:val="bottom"/>
          </w:tcPr>
          <w:p w14:paraId="43725FB8"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15CEFEBF" w14:textId="77777777" w:rsidR="00AC5C0C" w:rsidRPr="00B02BA3" w:rsidRDefault="00AC5C0C" w:rsidP="00922116">
            <w:pPr>
              <w:pStyle w:val="CellRowSpacer"/>
              <w:rPr>
                <w:sz w:val="16"/>
                <w:szCs w:val="16"/>
              </w:rPr>
            </w:pPr>
          </w:p>
        </w:tc>
      </w:tr>
      <w:tr w:rsidR="00AC5C0C" w:rsidRPr="00B02BA3" w14:paraId="7D7AFC1A" w14:textId="77777777" w:rsidTr="00922116">
        <w:tc>
          <w:tcPr>
            <w:tcW w:w="3163" w:type="dxa"/>
            <w:vAlign w:val="bottom"/>
          </w:tcPr>
          <w:p w14:paraId="1244FB79" w14:textId="77777777" w:rsidR="00AC5C0C" w:rsidRPr="00B02BA3" w:rsidRDefault="00AC5C0C" w:rsidP="00922116">
            <w:pPr>
              <w:pStyle w:val="VSmCellBody"/>
              <w:tabs>
                <w:tab w:val="right" w:leader="dot" w:pos="3163"/>
              </w:tabs>
              <w:rPr>
                <w:b/>
                <w:bCs/>
                <w:sz w:val="16"/>
                <w:szCs w:val="16"/>
              </w:rPr>
            </w:pPr>
            <w:r w:rsidRPr="00B02BA3">
              <w:rPr>
                <w:sz w:val="16"/>
                <w:szCs w:val="16"/>
              </w:rPr>
              <w:t>MV Melody Selmer</w:t>
            </w:r>
            <w:r w:rsidRPr="00B02BA3">
              <w:rPr>
                <w:rFonts w:eastAsia="SimSun"/>
                <w:sz w:val="16"/>
                <w:szCs w:val="16"/>
              </w:rPr>
              <w:tab/>
            </w:r>
          </w:p>
        </w:tc>
        <w:tc>
          <w:tcPr>
            <w:tcW w:w="236" w:type="dxa"/>
            <w:vAlign w:val="bottom"/>
          </w:tcPr>
          <w:p w14:paraId="7B7005C7" w14:textId="77777777" w:rsidR="00AC5C0C" w:rsidRPr="00B02BA3" w:rsidRDefault="00AC5C0C" w:rsidP="00922116">
            <w:pPr>
              <w:pStyle w:val="CellRowSpacer"/>
              <w:rPr>
                <w:sz w:val="16"/>
                <w:szCs w:val="16"/>
              </w:rPr>
            </w:pPr>
          </w:p>
        </w:tc>
        <w:tc>
          <w:tcPr>
            <w:tcW w:w="907" w:type="dxa"/>
            <w:vAlign w:val="bottom"/>
          </w:tcPr>
          <w:p w14:paraId="139AA5AC" w14:textId="77777777" w:rsidR="00AC5C0C" w:rsidRPr="00B02BA3" w:rsidRDefault="00AC5C0C" w:rsidP="00922116">
            <w:pPr>
              <w:pStyle w:val="VSmCellBody"/>
              <w:jc w:val="right"/>
              <w:rPr>
                <w:sz w:val="16"/>
                <w:szCs w:val="16"/>
              </w:rPr>
            </w:pPr>
            <w:r w:rsidRPr="00B02BA3">
              <w:rPr>
                <w:sz w:val="16"/>
                <w:szCs w:val="16"/>
              </w:rPr>
              <w:t>Spot Charter Market</w:t>
            </w:r>
          </w:p>
        </w:tc>
        <w:tc>
          <w:tcPr>
            <w:tcW w:w="236" w:type="dxa"/>
            <w:vAlign w:val="bottom"/>
          </w:tcPr>
          <w:p w14:paraId="2ED26D0F" w14:textId="77777777" w:rsidR="00AC5C0C" w:rsidRPr="00B02BA3" w:rsidRDefault="00AC5C0C" w:rsidP="00922116">
            <w:pPr>
              <w:pStyle w:val="CellRowSpacer"/>
              <w:rPr>
                <w:sz w:val="16"/>
                <w:szCs w:val="16"/>
              </w:rPr>
            </w:pPr>
          </w:p>
        </w:tc>
        <w:tc>
          <w:tcPr>
            <w:tcW w:w="907" w:type="dxa"/>
            <w:vAlign w:val="bottom"/>
          </w:tcPr>
          <w:p w14:paraId="59AEAD6B" w14:textId="77777777" w:rsidR="00AC5C0C" w:rsidRPr="00B02BA3" w:rsidRDefault="00AC5C0C" w:rsidP="00922116">
            <w:pPr>
              <w:pStyle w:val="VSmCellBody"/>
              <w:jc w:val="right"/>
              <w:rPr>
                <w:sz w:val="16"/>
                <w:szCs w:val="16"/>
              </w:rPr>
            </w:pPr>
            <w:r w:rsidRPr="00B02BA3">
              <w:rPr>
                <w:sz w:val="16"/>
                <w:szCs w:val="16"/>
              </w:rPr>
              <w:t>2024</w:t>
            </w:r>
          </w:p>
        </w:tc>
        <w:tc>
          <w:tcPr>
            <w:tcW w:w="236" w:type="dxa"/>
            <w:vAlign w:val="bottom"/>
          </w:tcPr>
          <w:p w14:paraId="1D3FBAF7" w14:textId="77777777" w:rsidR="00AC5C0C" w:rsidRPr="00B02BA3" w:rsidRDefault="00AC5C0C" w:rsidP="00922116">
            <w:pPr>
              <w:pStyle w:val="CellRowSpacer"/>
              <w:jc w:val="right"/>
              <w:rPr>
                <w:sz w:val="16"/>
                <w:szCs w:val="16"/>
              </w:rPr>
            </w:pPr>
          </w:p>
        </w:tc>
        <w:tc>
          <w:tcPr>
            <w:tcW w:w="907" w:type="dxa"/>
            <w:vAlign w:val="bottom"/>
          </w:tcPr>
          <w:p w14:paraId="30F44815" w14:textId="77777777" w:rsidR="00AC5C0C" w:rsidRPr="00B02BA3" w:rsidRDefault="00AC5C0C" w:rsidP="00922116">
            <w:pPr>
              <w:pStyle w:val="VSmCellBody"/>
              <w:jc w:val="right"/>
              <w:rPr>
                <w:sz w:val="16"/>
                <w:szCs w:val="16"/>
              </w:rPr>
            </w:pPr>
            <w:r w:rsidRPr="00B02BA3">
              <w:rPr>
                <w:sz w:val="16"/>
                <w:szCs w:val="16"/>
              </w:rPr>
              <w:t xml:space="preserve"> October 2024</w:t>
            </w:r>
          </w:p>
        </w:tc>
        <w:tc>
          <w:tcPr>
            <w:tcW w:w="236" w:type="dxa"/>
            <w:vAlign w:val="bottom"/>
          </w:tcPr>
          <w:p w14:paraId="267E29DE" w14:textId="77777777" w:rsidR="00AC5C0C" w:rsidRPr="00B02BA3" w:rsidRDefault="00AC5C0C" w:rsidP="00922116">
            <w:pPr>
              <w:pStyle w:val="CellRowSpacer"/>
              <w:jc w:val="right"/>
              <w:rPr>
                <w:sz w:val="16"/>
                <w:szCs w:val="16"/>
              </w:rPr>
            </w:pPr>
          </w:p>
        </w:tc>
        <w:tc>
          <w:tcPr>
            <w:tcW w:w="907" w:type="dxa"/>
            <w:vAlign w:val="bottom"/>
          </w:tcPr>
          <w:p w14:paraId="5118F420"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455A5E98" w14:textId="77777777" w:rsidR="00AC5C0C" w:rsidRPr="00B02BA3" w:rsidRDefault="00AC5C0C" w:rsidP="00922116">
            <w:pPr>
              <w:pStyle w:val="CellRowSpacer"/>
              <w:rPr>
                <w:sz w:val="16"/>
                <w:szCs w:val="16"/>
              </w:rPr>
            </w:pPr>
          </w:p>
        </w:tc>
        <w:tc>
          <w:tcPr>
            <w:tcW w:w="907" w:type="dxa"/>
            <w:vAlign w:val="bottom"/>
          </w:tcPr>
          <w:p w14:paraId="36EBC76F"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0E4EBB7A" w14:textId="77777777" w:rsidR="00AC5C0C" w:rsidRPr="00B02BA3" w:rsidRDefault="00AC5C0C" w:rsidP="00922116">
            <w:pPr>
              <w:pStyle w:val="CellRowSpacer"/>
              <w:rPr>
                <w:sz w:val="16"/>
                <w:szCs w:val="16"/>
              </w:rPr>
            </w:pPr>
          </w:p>
        </w:tc>
      </w:tr>
      <w:tr w:rsidR="00AC5C0C" w:rsidRPr="00B02BA3" w14:paraId="318EB49C" w14:textId="77777777" w:rsidTr="00922116">
        <w:tc>
          <w:tcPr>
            <w:tcW w:w="3163" w:type="dxa"/>
            <w:vAlign w:val="bottom"/>
          </w:tcPr>
          <w:p w14:paraId="722667E7" w14:textId="77777777" w:rsidR="00AC5C0C" w:rsidRPr="00B02BA3" w:rsidRDefault="00AC5C0C" w:rsidP="00922116">
            <w:pPr>
              <w:pStyle w:val="VSmCellBody"/>
              <w:tabs>
                <w:tab w:val="right" w:leader="dot" w:pos="3163"/>
              </w:tabs>
              <w:rPr>
                <w:sz w:val="16"/>
                <w:szCs w:val="16"/>
              </w:rPr>
            </w:pPr>
            <w:r w:rsidRPr="00B02BA3">
              <w:rPr>
                <w:sz w:val="16"/>
                <w:szCs w:val="16"/>
              </w:rPr>
              <w:t xml:space="preserve">MV Ain Al </w:t>
            </w:r>
            <w:proofErr w:type="spellStart"/>
            <w:r w:rsidRPr="00B02BA3">
              <w:rPr>
                <w:sz w:val="16"/>
                <w:szCs w:val="16"/>
              </w:rPr>
              <w:t>Khasfah</w:t>
            </w:r>
            <w:proofErr w:type="spellEnd"/>
            <w:r w:rsidRPr="00B02BA3">
              <w:rPr>
                <w:rFonts w:eastAsia="SimSun"/>
                <w:sz w:val="16"/>
                <w:szCs w:val="16"/>
              </w:rPr>
              <w:tab/>
            </w:r>
          </w:p>
        </w:tc>
        <w:tc>
          <w:tcPr>
            <w:tcW w:w="236" w:type="dxa"/>
            <w:vAlign w:val="bottom"/>
          </w:tcPr>
          <w:p w14:paraId="466D0FDD" w14:textId="77777777" w:rsidR="00AC5C0C" w:rsidRPr="00B02BA3" w:rsidRDefault="00AC5C0C" w:rsidP="00922116">
            <w:pPr>
              <w:pStyle w:val="CellRowSpacer"/>
              <w:rPr>
                <w:sz w:val="16"/>
                <w:szCs w:val="16"/>
              </w:rPr>
            </w:pPr>
          </w:p>
        </w:tc>
        <w:tc>
          <w:tcPr>
            <w:tcW w:w="907" w:type="dxa"/>
            <w:vAlign w:val="bottom"/>
          </w:tcPr>
          <w:p w14:paraId="6106705E" w14:textId="77777777" w:rsidR="00AC5C0C" w:rsidRPr="00B02BA3" w:rsidRDefault="00AC5C0C" w:rsidP="00922116">
            <w:pPr>
              <w:pStyle w:val="VSmCellBody"/>
              <w:jc w:val="right"/>
              <w:rPr>
                <w:sz w:val="16"/>
                <w:szCs w:val="16"/>
              </w:rPr>
            </w:pPr>
            <w:r w:rsidRPr="00B02BA3">
              <w:rPr>
                <w:sz w:val="16"/>
                <w:szCs w:val="16"/>
              </w:rPr>
              <w:t>Singapore Exp.</w:t>
            </w:r>
          </w:p>
        </w:tc>
        <w:tc>
          <w:tcPr>
            <w:tcW w:w="236" w:type="dxa"/>
            <w:vAlign w:val="bottom"/>
          </w:tcPr>
          <w:p w14:paraId="4F11B33E" w14:textId="77777777" w:rsidR="00AC5C0C" w:rsidRPr="00B02BA3" w:rsidRDefault="00AC5C0C" w:rsidP="00922116">
            <w:pPr>
              <w:pStyle w:val="CellRowSpacer"/>
              <w:rPr>
                <w:sz w:val="16"/>
                <w:szCs w:val="16"/>
              </w:rPr>
            </w:pPr>
          </w:p>
        </w:tc>
        <w:tc>
          <w:tcPr>
            <w:tcW w:w="907" w:type="dxa"/>
            <w:vAlign w:val="bottom"/>
          </w:tcPr>
          <w:p w14:paraId="75163D58" w14:textId="77777777" w:rsidR="00AC5C0C" w:rsidRPr="00B02BA3" w:rsidRDefault="00AC5C0C" w:rsidP="00922116">
            <w:pPr>
              <w:pStyle w:val="VSmCellBody"/>
              <w:jc w:val="right"/>
              <w:rPr>
                <w:sz w:val="16"/>
                <w:szCs w:val="16"/>
              </w:rPr>
            </w:pPr>
            <w:r w:rsidRPr="00B02BA3">
              <w:rPr>
                <w:sz w:val="16"/>
                <w:szCs w:val="16"/>
              </w:rPr>
              <w:t xml:space="preserve">2024 </w:t>
            </w:r>
          </w:p>
        </w:tc>
        <w:tc>
          <w:tcPr>
            <w:tcW w:w="236" w:type="dxa"/>
            <w:vAlign w:val="bottom"/>
          </w:tcPr>
          <w:p w14:paraId="713C416B" w14:textId="77777777" w:rsidR="00AC5C0C" w:rsidRPr="00B02BA3" w:rsidRDefault="00AC5C0C" w:rsidP="00922116">
            <w:pPr>
              <w:pStyle w:val="CellRowSpacer"/>
              <w:jc w:val="right"/>
              <w:rPr>
                <w:sz w:val="16"/>
                <w:szCs w:val="16"/>
              </w:rPr>
            </w:pPr>
          </w:p>
        </w:tc>
        <w:tc>
          <w:tcPr>
            <w:tcW w:w="907" w:type="dxa"/>
            <w:vAlign w:val="bottom"/>
          </w:tcPr>
          <w:p w14:paraId="2FA687CE" w14:textId="77777777" w:rsidR="00AC5C0C" w:rsidRPr="00B02BA3" w:rsidRDefault="00AC5C0C" w:rsidP="00922116">
            <w:pPr>
              <w:pStyle w:val="VSmCellBody"/>
              <w:jc w:val="right"/>
              <w:rPr>
                <w:sz w:val="16"/>
                <w:szCs w:val="16"/>
              </w:rPr>
            </w:pPr>
            <w:r w:rsidRPr="00B02BA3">
              <w:rPr>
                <w:sz w:val="16"/>
                <w:szCs w:val="16"/>
              </w:rPr>
              <w:t>July 2029</w:t>
            </w:r>
          </w:p>
        </w:tc>
        <w:tc>
          <w:tcPr>
            <w:tcW w:w="236" w:type="dxa"/>
            <w:vAlign w:val="bottom"/>
          </w:tcPr>
          <w:p w14:paraId="22B4ACE6" w14:textId="77777777" w:rsidR="00AC5C0C" w:rsidRPr="00B02BA3" w:rsidRDefault="00AC5C0C" w:rsidP="00922116">
            <w:pPr>
              <w:pStyle w:val="CellRowSpacer"/>
              <w:jc w:val="right"/>
              <w:rPr>
                <w:sz w:val="16"/>
                <w:szCs w:val="16"/>
              </w:rPr>
            </w:pPr>
          </w:p>
        </w:tc>
        <w:tc>
          <w:tcPr>
            <w:tcW w:w="907" w:type="dxa"/>
            <w:vAlign w:val="bottom"/>
          </w:tcPr>
          <w:p w14:paraId="0859BCD7" w14:textId="77777777" w:rsidR="00AC5C0C" w:rsidRPr="00B02BA3" w:rsidRDefault="00AC5C0C" w:rsidP="00922116">
            <w:pPr>
              <w:pStyle w:val="VSmCellBody"/>
              <w:jc w:val="right"/>
              <w:rPr>
                <w:sz w:val="16"/>
                <w:szCs w:val="16"/>
              </w:rPr>
            </w:pPr>
            <w:r w:rsidRPr="00B02BA3">
              <w:rPr>
                <w:sz w:val="16"/>
                <w:szCs w:val="16"/>
              </w:rPr>
              <w:t>5 years</w:t>
            </w:r>
          </w:p>
        </w:tc>
        <w:tc>
          <w:tcPr>
            <w:tcW w:w="236" w:type="dxa"/>
            <w:vAlign w:val="bottom"/>
          </w:tcPr>
          <w:p w14:paraId="75AE29F1" w14:textId="77777777" w:rsidR="00AC5C0C" w:rsidRPr="00B02BA3" w:rsidRDefault="00AC5C0C" w:rsidP="00922116">
            <w:pPr>
              <w:pStyle w:val="CellRowSpacer"/>
              <w:rPr>
                <w:sz w:val="16"/>
                <w:szCs w:val="16"/>
              </w:rPr>
            </w:pPr>
          </w:p>
        </w:tc>
        <w:tc>
          <w:tcPr>
            <w:tcW w:w="907" w:type="dxa"/>
            <w:vAlign w:val="bottom"/>
          </w:tcPr>
          <w:p w14:paraId="358BF857"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55C2E9C3" w14:textId="77777777" w:rsidR="00AC5C0C" w:rsidRPr="00B02BA3" w:rsidRDefault="00AC5C0C" w:rsidP="00922116">
            <w:pPr>
              <w:pStyle w:val="CellRowSpacer"/>
              <w:rPr>
                <w:sz w:val="16"/>
                <w:szCs w:val="16"/>
              </w:rPr>
            </w:pPr>
          </w:p>
        </w:tc>
      </w:tr>
      <w:tr w:rsidR="00AC5C0C" w:rsidRPr="00B02BA3" w14:paraId="331C74F2" w14:textId="77777777" w:rsidTr="00922116">
        <w:tc>
          <w:tcPr>
            <w:tcW w:w="3163" w:type="dxa"/>
            <w:vAlign w:val="bottom"/>
          </w:tcPr>
          <w:p w14:paraId="4AB3852F" w14:textId="77777777" w:rsidR="00AC5C0C" w:rsidRPr="00B02BA3" w:rsidRDefault="00AC5C0C" w:rsidP="00922116">
            <w:pPr>
              <w:pStyle w:val="VSmCellBody"/>
              <w:tabs>
                <w:tab w:val="right" w:leader="dot" w:pos="3163"/>
              </w:tabs>
              <w:rPr>
                <w:sz w:val="16"/>
                <w:szCs w:val="16"/>
              </w:rPr>
            </w:pPr>
            <w:r w:rsidRPr="00B02BA3">
              <w:rPr>
                <w:rFonts w:eastAsia="SimSun"/>
                <w:sz w:val="16"/>
                <w:szCs w:val="16"/>
              </w:rPr>
              <w:t>MV Dioni Gr</w:t>
            </w:r>
            <w:r w:rsidRPr="00B02BA3">
              <w:rPr>
                <w:rFonts w:eastAsia="SimSun"/>
                <w:sz w:val="16"/>
                <w:szCs w:val="16"/>
              </w:rPr>
              <w:tab/>
            </w:r>
          </w:p>
        </w:tc>
        <w:tc>
          <w:tcPr>
            <w:tcW w:w="236" w:type="dxa"/>
            <w:vAlign w:val="bottom"/>
          </w:tcPr>
          <w:p w14:paraId="640944F9" w14:textId="77777777" w:rsidR="00AC5C0C" w:rsidRPr="00B02BA3" w:rsidRDefault="00AC5C0C" w:rsidP="00922116">
            <w:pPr>
              <w:pStyle w:val="CellRowSpacer"/>
              <w:rPr>
                <w:sz w:val="16"/>
                <w:szCs w:val="16"/>
              </w:rPr>
            </w:pPr>
          </w:p>
        </w:tc>
        <w:tc>
          <w:tcPr>
            <w:tcW w:w="907" w:type="dxa"/>
            <w:vAlign w:val="bottom"/>
          </w:tcPr>
          <w:p w14:paraId="52A7E9AF" w14:textId="77777777" w:rsidR="00AC5C0C" w:rsidRPr="00B02BA3" w:rsidRDefault="00AC5C0C" w:rsidP="00922116">
            <w:pPr>
              <w:pStyle w:val="VSmCellBody"/>
              <w:jc w:val="right"/>
              <w:rPr>
                <w:sz w:val="16"/>
                <w:szCs w:val="16"/>
              </w:rPr>
            </w:pPr>
            <w:r w:rsidRPr="00B02BA3">
              <w:rPr>
                <w:sz w:val="16"/>
                <w:szCs w:val="16"/>
              </w:rPr>
              <w:t>Spot Charter Market</w:t>
            </w:r>
          </w:p>
        </w:tc>
        <w:tc>
          <w:tcPr>
            <w:tcW w:w="236" w:type="dxa"/>
            <w:vAlign w:val="bottom"/>
          </w:tcPr>
          <w:p w14:paraId="0EBCC7A1" w14:textId="77777777" w:rsidR="00AC5C0C" w:rsidRPr="00B02BA3" w:rsidRDefault="00AC5C0C" w:rsidP="00922116">
            <w:pPr>
              <w:pStyle w:val="CellRowSpacer"/>
              <w:rPr>
                <w:sz w:val="16"/>
                <w:szCs w:val="16"/>
              </w:rPr>
            </w:pPr>
          </w:p>
        </w:tc>
        <w:tc>
          <w:tcPr>
            <w:tcW w:w="907" w:type="dxa"/>
            <w:vAlign w:val="bottom"/>
          </w:tcPr>
          <w:p w14:paraId="7B4311EC" w14:textId="77777777" w:rsidR="00AC5C0C" w:rsidRPr="00B02BA3" w:rsidRDefault="00AC5C0C" w:rsidP="00922116">
            <w:pPr>
              <w:pStyle w:val="VSmCellBody"/>
              <w:jc w:val="right"/>
              <w:rPr>
                <w:sz w:val="16"/>
                <w:szCs w:val="16"/>
              </w:rPr>
            </w:pPr>
            <w:r w:rsidRPr="00B02BA3">
              <w:rPr>
                <w:sz w:val="16"/>
                <w:szCs w:val="16"/>
              </w:rPr>
              <w:t>2024</w:t>
            </w:r>
          </w:p>
        </w:tc>
        <w:tc>
          <w:tcPr>
            <w:tcW w:w="236" w:type="dxa"/>
            <w:vAlign w:val="bottom"/>
          </w:tcPr>
          <w:p w14:paraId="571391E7" w14:textId="77777777" w:rsidR="00AC5C0C" w:rsidRPr="00B02BA3" w:rsidRDefault="00AC5C0C" w:rsidP="00922116">
            <w:pPr>
              <w:pStyle w:val="CellRowSpacer"/>
              <w:jc w:val="right"/>
              <w:rPr>
                <w:sz w:val="16"/>
                <w:szCs w:val="16"/>
              </w:rPr>
            </w:pPr>
          </w:p>
        </w:tc>
        <w:tc>
          <w:tcPr>
            <w:tcW w:w="907" w:type="dxa"/>
            <w:vAlign w:val="bottom"/>
          </w:tcPr>
          <w:p w14:paraId="24D13ED6" w14:textId="77777777" w:rsidR="00AC5C0C" w:rsidRPr="00B02BA3" w:rsidRDefault="00AC5C0C" w:rsidP="00922116">
            <w:pPr>
              <w:pStyle w:val="VSmCellBody"/>
              <w:jc w:val="right"/>
              <w:rPr>
                <w:sz w:val="16"/>
                <w:szCs w:val="16"/>
              </w:rPr>
            </w:pPr>
            <w:r w:rsidRPr="00B02BA3">
              <w:rPr>
                <w:sz w:val="16"/>
                <w:szCs w:val="16"/>
              </w:rPr>
              <w:t>December 2024</w:t>
            </w:r>
          </w:p>
        </w:tc>
        <w:tc>
          <w:tcPr>
            <w:tcW w:w="236" w:type="dxa"/>
            <w:vAlign w:val="bottom"/>
          </w:tcPr>
          <w:p w14:paraId="0A644B26" w14:textId="77777777" w:rsidR="00AC5C0C" w:rsidRPr="00B02BA3" w:rsidRDefault="00AC5C0C" w:rsidP="00922116">
            <w:pPr>
              <w:pStyle w:val="CellRowSpacer"/>
              <w:jc w:val="right"/>
              <w:rPr>
                <w:sz w:val="16"/>
                <w:szCs w:val="16"/>
              </w:rPr>
            </w:pPr>
          </w:p>
        </w:tc>
        <w:tc>
          <w:tcPr>
            <w:tcW w:w="907" w:type="dxa"/>
            <w:vAlign w:val="bottom"/>
          </w:tcPr>
          <w:p w14:paraId="44A39525"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529D89F3" w14:textId="77777777" w:rsidR="00AC5C0C" w:rsidRPr="00B02BA3" w:rsidRDefault="00AC5C0C" w:rsidP="00922116">
            <w:pPr>
              <w:pStyle w:val="CellRowSpacer"/>
              <w:rPr>
                <w:sz w:val="16"/>
                <w:szCs w:val="16"/>
              </w:rPr>
            </w:pPr>
          </w:p>
        </w:tc>
        <w:tc>
          <w:tcPr>
            <w:tcW w:w="907" w:type="dxa"/>
            <w:vAlign w:val="bottom"/>
          </w:tcPr>
          <w:p w14:paraId="00C2237F"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32D8680C" w14:textId="77777777" w:rsidR="00AC5C0C" w:rsidRPr="00B02BA3" w:rsidRDefault="00AC5C0C" w:rsidP="00922116">
            <w:pPr>
              <w:pStyle w:val="CellRowSpacer"/>
              <w:rPr>
                <w:sz w:val="16"/>
                <w:szCs w:val="16"/>
              </w:rPr>
            </w:pPr>
          </w:p>
        </w:tc>
      </w:tr>
      <w:tr w:rsidR="00AC5C0C" w:rsidRPr="00B02BA3" w14:paraId="6FA4A680" w14:textId="77777777" w:rsidTr="00922116">
        <w:tc>
          <w:tcPr>
            <w:tcW w:w="3163" w:type="dxa"/>
            <w:vAlign w:val="bottom"/>
          </w:tcPr>
          <w:p w14:paraId="65BF2C0F" w14:textId="77777777" w:rsidR="00AC5C0C" w:rsidRPr="00B02BA3" w:rsidRDefault="00AC5C0C" w:rsidP="00922116">
            <w:pPr>
              <w:pStyle w:val="VSmCellBody"/>
              <w:tabs>
                <w:tab w:val="right" w:leader="dot" w:pos="3163"/>
              </w:tabs>
              <w:rPr>
                <w:sz w:val="16"/>
                <w:szCs w:val="16"/>
              </w:rPr>
            </w:pPr>
            <w:r w:rsidRPr="00B02BA3">
              <w:rPr>
                <w:rFonts w:eastAsia="SimSun"/>
                <w:sz w:val="16"/>
                <w:szCs w:val="16"/>
              </w:rPr>
              <w:t>Norse Evolution</w:t>
            </w:r>
            <w:r w:rsidRPr="00B02BA3">
              <w:rPr>
                <w:rFonts w:eastAsia="SimSun"/>
                <w:sz w:val="16"/>
                <w:szCs w:val="16"/>
              </w:rPr>
              <w:tab/>
            </w:r>
          </w:p>
        </w:tc>
        <w:tc>
          <w:tcPr>
            <w:tcW w:w="236" w:type="dxa"/>
            <w:vAlign w:val="bottom"/>
          </w:tcPr>
          <w:p w14:paraId="720A3039" w14:textId="77777777" w:rsidR="00AC5C0C" w:rsidRPr="00B02BA3" w:rsidRDefault="00AC5C0C" w:rsidP="00922116">
            <w:pPr>
              <w:pStyle w:val="CellRowSpacer"/>
              <w:rPr>
                <w:sz w:val="16"/>
                <w:szCs w:val="16"/>
              </w:rPr>
            </w:pPr>
          </w:p>
        </w:tc>
        <w:tc>
          <w:tcPr>
            <w:tcW w:w="907" w:type="dxa"/>
            <w:vAlign w:val="bottom"/>
          </w:tcPr>
          <w:p w14:paraId="0BE8EB1A" w14:textId="77777777" w:rsidR="00AC5C0C" w:rsidRPr="00B02BA3" w:rsidRDefault="00AC5C0C" w:rsidP="00922116">
            <w:pPr>
              <w:pStyle w:val="VSmCellBody"/>
              <w:jc w:val="right"/>
              <w:rPr>
                <w:sz w:val="16"/>
                <w:szCs w:val="16"/>
              </w:rPr>
            </w:pPr>
            <w:r w:rsidRPr="00B02BA3">
              <w:rPr>
                <w:sz w:val="16"/>
                <w:szCs w:val="16"/>
              </w:rPr>
              <w:t xml:space="preserve">Sohar Aluminium &amp; </w:t>
            </w:r>
            <w:proofErr w:type="spellStart"/>
            <w:r w:rsidRPr="00B02BA3">
              <w:rPr>
                <w:sz w:val="16"/>
                <w:szCs w:val="16"/>
              </w:rPr>
              <w:t>Oldendorff</w:t>
            </w:r>
            <w:proofErr w:type="spellEnd"/>
          </w:p>
        </w:tc>
        <w:tc>
          <w:tcPr>
            <w:tcW w:w="236" w:type="dxa"/>
            <w:vAlign w:val="bottom"/>
          </w:tcPr>
          <w:p w14:paraId="0190099C" w14:textId="77777777" w:rsidR="00AC5C0C" w:rsidRPr="00B02BA3" w:rsidRDefault="00AC5C0C" w:rsidP="00922116">
            <w:pPr>
              <w:pStyle w:val="CellRowSpacer"/>
              <w:rPr>
                <w:sz w:val="16"/>
                <w:szCs w:val="16"/>
              </w:rPr>
            </w:pPr>
          </w:p>
        </w:tc>
        <w:tc>
          <w:tcPr>
            <w:tcW w:w="907" w:type="dxa"/>
            <w:vAlign w:val="bottom"/>
          </w:tcPr>
          <w:p w14:paraId="0DCD4BE4" w14:textId="77777777" w:rsidR="00AC5C0C" w:rsidRPr="00B02BA3" w:rsidRDefault="00AC5C0C" w:rsidP="00922116">
            <w:pPr>
              <w:pStyle w:val="VSmCellBody"/>
              <w:jc w:val="right"/>
              <w:rPr>
                <w:sz w:val="16"/>
                <w:szCs w:val="16"/>
              </w:rPr>
            </w:pPr>
            <w:r w:rsidRPr="00B02BA3">
              <w:rPr>
                <w:sz w:val="16"/>
                <w:szCs w:val="16"/>
              </w:rPr>
              <w:t xml:space="preserve">May 2024 </w:t>
            </w:r>
          </w:p>
        </w:tc>
        <w:tc>
          <w:tcPr>
            <w:tcW w:w="236" w:type="dxa"/>
            <w:vAlign w:val="bottom"/>
          </w:tcPr>
          <w:p w14:paraId="17E50F5F" w14:textId="77777777" w:rsidR="00AC5C0C" w:rsidRPr="00B02BA3" w:rsidRDefault="00AC5C0C" w:rsidP="00922116">
            <w:pPr>
              <w:pStyle w:val="CellRowSpacer"/>
              <w:rPr>
                <w:sz w:val="16"/>
                <w:szCs w:val="16"/>
              </w:rPr>
            </w:pPr>
          </w:p>
        </w:tc>
        <w:tc>
          <w:tcPr>
            <w:tcW w:w="907" w:type="dxa"/>
            <w:vAlign w:val="bottom"/>
          </w:tcPr>
          <w:p w14:paraId="498B6E90" w14:textId="77777777" w:rsidR="00AC5C0C" w:rsidRPr="00B02BA3" w:rsidRDefault="00AC5C0C" w:rsidP="00922116">
            <w:pPr>
              <w:pStyle w:val="VSmCellBody"/>
              <w:jc w:val="right"/>
              <w:rPr>
                <w:sz w:val="16"/>
                <w:szCs w:val="16"/>
              </w:rPr>
            </w:pPr>
            <w:r w:rsidRPr="00B02BA3">
              <w:rPr>
                <w:sz w:val="16"/>
                <w:szCs w:val="16"/>
              </w:rPr>
              <w:t>October 2024</w:t>
            </w:r>
          </w:p>
        </w:tc>
        <w:tc>
          <w:tcPr>
            <w:tcW w:w="236" w:type="dxa"/>
            <w:vAlign w:val="bottom"/>
          </w:tcPr>
          <w:p w14:paraId="051D719B" w14:textId="77777777" w:rsidR="00AC5C0C" w:rsidRPr="00B02BA3" w:rsidRDefault="00AC5C0C" w:rsidP="00922116">
            <w:pPr>
              <w:pStyle w:val="CellRowSpacer"/>
              <w:rPr>
                <w:sz w:val="16"/>
                <w:szCs w:val="16"/>
              </w:rPr>
            </w:pPr>
          </w:p>
        </w:tc>
        <w:tc>
          <w:tcPr>
            <w:tcW w:w="907" w:type="dxa"/>
            <w:vAlign w:val="bottom"/>
          </w:tcPr>
          <w:p w14:paraId="559BF6AA" w14:textId="77777777" w:rsidR="00AC5C0C" w:rsidRPr="00B02BA3" w:rsidRDefault="00AC5C0C" w:rsidP="00922116">
            <w:pPr>
              <w:pStyle w:val="VSmCellBody"/>
              <w:jc w:val="right"/>
              <w:rPr>
                <w:sz w:val="16"/>
                <w:szCs w:val="16"/>
              </w:rPr>
            </w:pPr>
            <w:r w:rsidRPr="00B02BA3">
              <w:rPr>
                <w:sz w:val="16"/>
                <w:szCs w:val="16"/>
              </w:rPr>
              <w:t>4 months</w:t>
            </w:r>
          </w:p>
        </w:tc>
        <w:tc>
          <w:tcPr>
            <w:tcW w:w="236" w:type="dxa"/>
            <w:vAlign w:val="bottom"/>
          </w:tcPr>
          <w:p w14:paraId="5B52A9CE" w14:textId="77777777" w:rsidR="00AC5C0C" w:rsidRPr="00B02BA3" w:rsidRDefault="00AC5C0C" w:rsidP="00922116">
            <w:pPr>
              <w:pStyle w:val="CellRowSpacer"/>
              <w:rPr>
                <w:sz w:val="16"/>
                <w:szCs w:val="16"/>
              </w:rPr>
            </w:pPr>
          </w:p>
        </w:tc>
        <w:tc>
          <w:tcPr>
            <w:tcW w:w="907" w:type="dxa"/>
            <w:vAlign w:val="bottom"/>
          </w:tcPr>
          <w:p w14:paraId="0D4919B5" w14:textId="77777777" w:rsidR="00AC5C0C" w:rsidRPr="00B02BA3" w:rsidRDefault="00AC5C0C" w:rsidP="00922116">
            <w:pPr>
              <w:pStyle w:val="VSmCellBody"/>
              <w:jc w:val="right"/>
              <w:rPr>
                <w:sz w:val="16"/>
                <w:szCs w:val="16"/>
              </w:rPr>
            </w:pPr>
            <w:r w:rsidRPr="00B02BA3">
              <w:rPr>
                <w:sz w:val="16"/>
                <w:szCs w:val="16"/>
              </w:rPr>
              <w:t>2 months</w:t>
            </w:r>
          </w:p>
        </w:tc>
        <w:tc>
          <w:tcPr>
            <w:tcW w:w="236" w:type="dxa"/>
            <w:vAlign w:val="bottom"/>
          </w:tcPr>
          <w:p w14:paraId="486BEE60" w14:textId="77777777" w:rsidR="00AC5C0C" w:rsidRPr="00B02BA3" w:rsidRDefault="00AC5C0C" w:rsidP="00922116">
            <w:pPr>
              <w:pStyle w:val="CellRowSpacer"/>
              <w:rPr>
                <w:sz w:val="16"/>
                <w:szCs w:val="16"/>
              </w:rPr>
            </w:pPr>
          </w:p>
        </w:tc>
      </w:tr>
    </w:tbl>
    <w:p w14:paraId="1A945D3C" w14:textId="77777777" w:rsidR="00334534" w:rsidRDefault="00334534" w:rsidP="00334534">
      <w:pPr>
        <w:bidi/>
        <w:jc w:val="both"/>
        <w:rPr>
          <w:rFonts w:ascii="Traditional Arabic" w:hAnsi="Traditional Arabic" w:cs="Traditional Arabic"/>
          <w:sz w:val="30"/>
          <w:szCs w:val="30"/>
          <w:rtl/>
        </w:rPr>
      </w:pPr>
    </w:p>
    <w:p w14:paraId="48C98D74" w14:textId="77777777" w:rsidR="00AC5C0C" w:rsidRPr="00334534" w:rsidRDefault="00AC5C0C" w:rsidP="00AC5C0C">
      <w:pPr>
        <w:bidi/>
        <w:jc w:val="both"/>
        <w:rPr>
          <w:rFonts w:ascii="Traditional Arabic" w:hAnsi="Traditional Arabic" w:cs="Traditional Arabic"/>
          <w:sz w:val="30"/>
          <w:szCs w:val="30"/>
        </w:rPr>
      </w:pPr>
    </w:p>
    <w:p w14:paraId="77447FFE" w14:textId="77777777" w:rsidR="00334534" w:rsidRPr="00985281" w:rsidRDefault="00607B02" w:rsidP="00334534">
      <w:pPr>
        <w:bidi/>
        <w:jc w:val="both"/>
        <w:rPr>
          <w:rFonts w:ascii="Traditional Arabic" w:hAnsi="Traditional Arabic" w:cs="Traditional Arabic"/>
          <w:bCs/>
          <w:i/>
          <w:sz w:val="30"/>
          <w:szCs w:val="30"/>
        </w:rPr>
      </w:pPr>
      <w:r>
        <w:rPr>
          <w:rFonts w:ascii="Traditional Arabic" w:hAnsi="Traditional Arabic" w:cs="Traditional Arabic"/>
          <w:bCs/>
          <w:i/>
          <w:sz w:val="30"/>
          <w:szCs w:val="30"/>
          <w:rtl/>
        </w:rPr>
        <w:t>نقل</w:t>
      </w:r>
      <w:r w:rsidR="00334534" w:rsidRPr="00985281">
        <w:rPr>
          <w:rFonts w:ascii="Traditional Arabic" w:hAnsi="Traditional Arabic" w:cs="Traditional Arabic"/>
          <w:bCs/>
          <w:i/>
          <w:sz w:val="30"/>
          <w:szCs w:val="30"/>
          <w:rtl/>
        </w:rPr>
        <w:t xml:space="preserve"> الغاز </w:t>
      </w:r>
    </w:p>
    <w:p w14:paraId="19EF1FD9"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بدأت الشركة في نقل الغاز الطبيعي المسال في عام 2003 وغاز البترول المسال في عام 2009، حيث يتم نقل الغاز الطبيعي المسال من خلال ناقلات الغاز الطبيعي المسال وفقًا لعقود تأجير السفن المجهزة بالمدة، إذ يتم استئجار سفينة لفترة زمنية محددة، عادة ما بين سنة و 20 سنة، ويتم دفع سعر الإيجار للمالك على أساس شهري بسعر ثابت. وحتى 30 سبتمبر 2024، كان أسطول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يتكون من ست ناقلات للغاز الطبيعي المسال، وناقلة واحدة من ناقلات الغاز العملاقة، وناقلة واحدة من ناقلات الغاز المتوسطة الحجم، بسعة إجمالية تبلغ 1,311,546 </w:t>
      </w:r>
      <w:r w:rsidRPr="00334534">
        <w:rPr>
          <w:rFonts w:ascii="Traditional Arabic" w:hAnsi="Traditional Arabic" w:cs="Traditional Arabic"/>
          <w:sz w:val="30"/>
          <w:szCs w:val="30"/>
          <w:vertAlign w:val="superscript"/>
          <w:rtl/>
        </w:rPr>
        <w:t>متر مكعب</w:t>
      </w:r>
      <w:r w:rsidRPr="00334534">
        <w:rPr>
          <w:rFonts w:ascii="Traditional Arabic" w:hAnsi="Traditional Arabic" w:cs="Traditional Arabic"/>
          <w:sz w:val="30"/>
          <w:szCs w:val="30"/>
          <w:rtl/>
        </w:rPr>
        <w:t xml:space="preserve">. وقد طلبت الشركة لأسطول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أيضًا ناقلتين للغاز الطبيعي المسال. يوضح الجدول أدناه بعض المعلومات المتعلقة بناقلات الغاز التابعة للشركة حتى 30 سبتمبر 2024:</w:t>
      </w:r>
    </w:p>
    <w:p w14:paraId="05A582F4" w14:textId="77777777" w:rsidR="00334534" w:rsidRDefault="00334534" w:rsidP="00334534">
      <w:pPr>
        <w:bidi/>
        <w:jc w:val="both"/>
        <w:rPr>
          <w:rFonts w:ascii="Traditional Arabic" w:hAnsi="Traditional Arabic" w:cs="Traditional Arabic"/>
          <w:sz w:val="30"/>
          <w:szCs w:val="30"/>
          <w:rtl/>
        </w:rPr>
      </w:pPr>
    </w:p>
    <w:tbl>
      <w:tblPr>
        <w:tblW w:w="9060" w:type="dxa"/>
        <w:tblInd w:w="437" w:type="dxa"/>
        <w:tblLayout w:type="fixed"/>
        <w:tblCellMar>
          <w:left w:w="0" w:type="dxa"/>
          <w:right w:w="0" w:type="dxa"/>
        </w:tblCellMar>
        <w:tblLook w:val="0000" w:firstRow="0" w:lastRow="0" w:firstColumn="0" w:lastColumn="0" w:noHBand="0" w:noVBand="0"/>
      </w:tblPr>
      <w:tblGrid>
        <w:gridCol w:w="2736"/>
        <w:gridCol w:w="243"/>
        <w:gridCol w:w="981"/>
        <w:gridCol w:w="248"/>
        <w:gridCol w:w="981"/>
        <w:gridCol w:w="244"/>
        <w:gridCol w:w="981"/>
        <w:gridCol w:w="244"/>
        <w:gridCol w:w="981"/>
        <w:gridCol w:w="244"/>
        <w:gridCol w:w="981"/>
        <w:gridCol w:w="196"/>
      </w:tblGrid>
      <w:tr w:rsidR="00AC5C0C" w:rsidRPr="00B02BA3" w14:paraId="5E6F607E" w14:textId="77777777" w:rsidTr="00922116">
        <w:trPr>
          <w:trHeight w:val="464"/>
          <w:tblHeader/>
        </w:trPr>
        <w:tc>
          <w:tcPr>
            <w:tcW w:w="2736" w:type="dxa"/>
            <w:tcBorders>
              <w:bottom w:val="single" w:sz="4" w:space="0" w:color="auto"/>
            </w:tcBorders>
            <w:vAlign w:val="bottom"/>
          </w:tcPr>
          <w:p w14:paraId="399D8A2E" w14:textId="77777777" w:rsidR="00AC5C0C" w:rsidRPr="00B02BA3" w:rsidRDefault="00AC5C0C" w:rsidP="00922116">
            <w:pPr>
              <w:pStyle w:val="SmCellHead"/>
              <w:jc w:val="center"/>
              <w:rPr>
                <w:sz w:val="16"/>
                <w:szCs w:val="16"/>
              </w:rPr>
            </w:pPr>
            <w:r w:rsidRPr="00B02BA3">
              <w:rPr>
                <w:sz w:val="16"/>
                <w:szCs w:val="16"/>
              </w:rPr>
              <w:t>Vessel name</w:t>
            </w:r>
          </w:p>
        </w:tc>
        <w:tc>
          <w:tcPr>
            <w:tcW w:w="243" w:type="dxa"/>
            <w:vAlign w:val="bottom"/>
          </w:tcPr>
          <w:p w14:paraId="6BCAE1BF" w14:textId="77777777" w:rsidR="00AC5C0C" w:rsidRPr="00B02BA3" w:rsidRDefault="00AC5C0C" w:rsidP="00922116">
            <w:pPr>
              <w:pStyle w:val="CellRowSpacer"/>
              <w:spacing w:after="120"/>
              <w:jc w:val="center"/>
              <w:rPr>
                <w:sz w:val="16"/>
                <w:szCs w:val="16"/>
              </w:rPr>
            </w:pPr>
          </w:p>
        </w:tc>
        <w:tc>
          <w:tcPr>
            <w:tcW w:w="981" w:type="dxa"/>
            <w:tcBorders>
              <w:bottom w:val="single" w:sz="4" w:space="0" w:color="auto"/>
            </w:tcBorders>
            <w:vAlign w:val="bottom"/>
          </w:tcPr>
          <w:p w14:paraId="614350D3" w14:textId="77777777" w:rsidR="00AC5C0C" w:rsidRPr="00B02BA3" w:rsidRDefault="00AC5C0C" w:rsidP="00922116">
            <w:pPr>
              <w:pStyle w:val="SmCellHead"/>
              <w:jc w:val="center"/>
              <w:rPr>
                <w:sz w:val="16"/>
                <w:szCs w:val="16"/>
              </w:rPr>
            </w:pPr>
            <w:r w:rsidRPr="00B02BA3">
              <w:rPr>
                <w:sz w:val="16"/>
                <w:szCs w:val="16"/>
              </w:rPr>
              <w:t>Capacity (m</w:t>
            </w:r>
            <w:r w:rsidRPr="00B02BA3">
              <w:rPr>
                <w:sz w:val="16"/>
                <w:szCs w:val="16"/>
                <w:vertAlign w:val="superscript"/>
              </w:rPr>
              <w:t>3</w:t>
            </w:r>
            <w:r w:rsidRPr="00B02BA3">
              <w:rPr>
                <w:sz w:val="16"/>
                <w:szCs w:val="16"/>
              </w:rPr>
              <w:t>)</w:t>
            </w:r>
          </w:p>
        </w:tc>
        <w:tc>
          <w:tcPr>
            <w:tcW w:w="248" w:type="dxa"/>
            <w:vAlign w:val="bottom"/>
          </w:tcPr>
          <w:p w14:paraId="6E8092FB" w14:textId="77777777" w:rsidR="00AC5C0C" w:rsidRPr="00B02BA3" w:rsidRDefault="00AC5C0C" w:rsidP="00922116">
            <w:pPr>
              <w:pStyle w:val="SmCellHead"/>
              <w:jc w:val="center"/>
              <w:rPr>
                <w:sz w:val="16"/>
                <w:szCs w:val="16"/>
              </w:rPr>
            </w:pPr>
          </w:p>
        </w:tc>
        <w:tc>
          <w:tcPr>
            <w:tcW w:w="981" w:type="dxa"/>
            <w:tcBorders>
              <w:bottom w:val="single" w:sz="4" w:space="0" w:color="auto"/>
            </w:tcBorders>
            <w:vAlign w:val="bottom"/>
          </w:tcPr>
          <w:p w14:paraId="55938957" w14:textId="77777777" w:rsidR="00AC5C0C" w:rsidRPr="00B02BA3" w:rsidRDefault="00AC5C0C" w:rsidP="00922116">
            <w:pPr>
              <w:pStyle w:val="SmCellHead"/>
              <w:jc w:val="center"/>
              <w:rPr>
                <w:sz w:val="16"/>
                <w:szCs w:val="16"/>
              </w:rPr>
            </w:pPr>
            <w:r w:rsidRPr="00B02BA3">
              <w:rPr>
                <w:sz w:val="16"/>
                <w:szCs w:val="16"/>
              </w:rPr>
              <w:t>Vessel type</w:t>
            </w:r>
          </w:p>
        </w:tc>
        <w:tc>
          <w:tcPr>
            <w:tcW w:w="244" w:type="dxa"/>
            <w:vAlign w:val="bottom"/>
          </w:tcPr>
          <w:p w14:paraId="1808A6A6" w14:textId="77777777" w:rsidR="00AC5C0C" w:rsidRPr="00B02BA3" w:rsidRDefault="00AC5C0C" w:rsidP="00922116">
            <w:pPr>
              <w:pStyle w:val="CellRowSpacer"/>
              <w:spacing w:after="120"/>
              <w:jc w:val="center"/>
              <w:rPr>
                <w:sz w:val="16"/>
                <w:szCs w:val="16"/>
              </w:rPr>
            </w:pPr>
          </w:p>
        </w:tc>
        <w:tc>
          <w:tcPr>
            <w:tcW w:w="981" w:type="dxa"/>
            <w:tcBorders>
              <w:bottom w:val="single" w:sz="4" w:space="0" w:color="auto"/>
            </w:tcBorders>
            <w:vAlign w:val="bottom"/>
          </w:tcPr>
          <w:p w14:paraId="1EEDF231" w14:textId="77777777" w:rsidR="00AC5C0C" w:rsidRPr="00B02BA3" w:rsidRDefault="00AC5C0C" w:rsidP="00922116">
            <w:pPr>
              <w:pStyle w:val="SmCellHead"/>
              <w:jc w:val="center"/>
              <w:rPr>
                <w:sz w:val="16"/>
                <w:szCs w:val="16"/>
              </w:rPr>
            </w:pPr>
            <w:r w:rsidRPr="00B02BA3">
              <w:rPr>
                <w:sz w:val="16"/>
                <w:szCs w:val="16"/>
              </w:rPr>
              <w:t>Ownership (%) / Charter-In Term (Expiry Year)</w:t>
            </w:r>
          </w:p>
        </w:tc>
        <w:tc>
          <w:tcPr>
            <w:tcW w:w="244" w:type="dxa"/>
            <w:vAlign w:val="bottom"/>
          </w:tcPr>
          <w:p w14:paraId="29710B02" w14:textId="77777777" w:rsidR="00AC5C0C" w:rsidRPr="00B02BA3" w:rsidRDefault="00AC5C0C" w:rsidP="00922116">
            <w:pPr>
              <w:pStyle w:val="CellRowSpacer"/>
              <w:spacing w:after="120"/>
              <w:rPr>
                <w:b/>
                <w:bCs/>
                <w:sz w:val="16"/>
                <w:szCs w:val="16"/>
              </w:rPr>
            </w:pPr>
            <w:r w:rsidRPr="00B02BA3">
              <w:rPr>
                <w:b/>
                <w:bCs/>
                <w:sz w:val="16"/>
                <w:szCs w:val="16"/>
                <w:vertAlign w:val="superscript"/>
              </w:rPr>
              <w:t>(1)</w:t>
            </w:r>
          </w:p>
        </w:tc>
        <w:tc>
          <w:tcPr>
            <w:tcW w:w="981" w:type="dxa"/>
            <w:tcBorders>
              <w:bottom w:val="single" w:sz="4" w:space="0" w:color="auto"/>
            </w:tcBorders>
            <w:vAlign w:val="bottom"/>
          </w:tcPr>
          <w:p w14:paraId="70C010F5" w14:textId="77777777" w:rsidR="00AC5C0C" w:rsidRPr="00B02BA3" w:rsidRDefault="00AC5C0C" w:rsidP="00922116">
            <w:pPr>
              <w:pStyle w:val="SmCellHead"/>
              <w:jc w:val="center"/>
              <w:rPr>
                <w:sz w:val="16"/>
                <w:szCs w:val="16"/>
              </w:rPr>
            </w:pPr>
            <w:r w:rsidRPr="00B02BA3">
              <w:rPr>
                <w:sz w:val="16"/>
                <w:szCs w:val="16"/>
              </w:rPr>
              <w:t>Year built</w:t>
            </w:r>
          </w:p>
        </w:tc>
        <w:tc>
          <w:tcPr>
            <w:tcW w:w="244" w:type="dxa"/>
            <w:vAlign w:val="bottom"/>
          </w:tcPr>
          <w:p w14:paraId="135780EA" w14:textId="77777777" w:rsidR="00AC5C0C" w:rsidRPr="00B02BA3" w:rsidRDefault="00AC5C0C" w:rsidP="00922116">
            <w:pPr>
              <w:pStyle w:val="CellRowSpacer"/>
              <w:spacing w:after="120"/>
              <w:jc w:val="center"/>
              <w:rPr>
                <w:sz w:val="16"/>
                <w:szCs w:val="16"/>
              </w:rPr>
            </w:pPr>
          </w:p>
        </w:tc>
        <w:tc>
          <w:tcPr>
            <w:tcW w:w="981" w:type="dxa"/>
            <w:tcBorders>
              <w:bottom w:val="single" w:sz="4" w:space="0" w:color="auto"/>
            </w:tcBorders>
            <w:vAlign w:val="bottom"/>
          </w:tcPr>
          <w:p w14:paraId="1EF958DE" w14:textId="77777777" w:rsidR="00AC5C0C" w:rsidRPr="00B02BA3" w:rsidRDefault="00AC5C0C" w:rsidP="00922116">
            <w:pPr>
              <w:pStyle w:val="SmCellHead"/>
              <w:jc w:val="center"/>
              <w:rPr>
                <w:sz w:val="16"/>
                <w:szCs w:val="16"/>
              </w:rPr>
            </w:pPr>
            <w:r w:rsidRPr="00B02BA3">
              <w:rPr>
                <w:sz w:val="16"/>
                <w:szCs w:val="16"/>
              </w:rPr>
              <w:t>Flag</w:t>
            </w:r>
          </w:p>
        </w:tc>
        <w:tc>
          <w:tcPr>
            <w:tcW w:w="196" w:type="dxa"/>
            <w:vAlign w:val="bottom"/>
          </w:tcPr>
          <w:p w14:paraId="5ED2F78A" w14:textId="77777777" w:rsidR="00AC5C0C" w:rsidRPr="00B02BA3" w:rsidRDefault="00AC5C0C" w:rsidP="00922116">
            <w:pPr>
              <w:pStyle w:val="CellRowSpacer"/>
              <w:spacing w:after="120"/>
              <w:rPr>
                <w:sz w:val="16"/>
                <w:szCs w:val="16"/>
              </w:rPr>
            </w:pPr>
          </w:p>
        </w:tc>
      </w:tr>
      <w:tr w:rsidR="00AC5C0C" w:rsidRPr="00B02BA3" w14:paraId="0675F4A2" w14:textId="77777777" w:rsidTr="00922116">
        <w:trPr>
          <w:trHeight w:val="379"/>
        </w:trPr>
        <w:tc>
          <w:tcPr>
            <w:tcW w:w="2736" w:type="dxa"/>
            <w:vAlign w:val="bottom"/>
          </w:tcPr>
          <w:p w14:paraId="71D5A92C" w14:textId="77777777" w:rsidR="00AC5C0C" w:rsidRPr="00B02BA3" w:rsidRDefault="00AC5C0C" w:rsidP="00922116">
            <w:pPr>
              <w:pStyle w:val="SmCellBody"/>
              <w:tabs>
                <w:tab w:val="right" w:leader="dot" w:pos="3163"/>
              </w:tabs>
              <w:rPr>
                <w:b/>
                <w:bCs/>
                <w:sz w:val="16"/>
                <w:szCs w:val="16"/>
              </w:rPr>
            </w:pPr>
            <w:r w:rsidRPr="00B02BA3">
              <w:rPr>
                <w:b/>
                <w:bCs/>
                <w:sz w:val="16"/>
                <w:szCs w:val="16"/>
              </w:rPr>
              <w:t>Owned</w:t>
            </w:r>
          </w:p>
        </w:tc>
        <w:tc>
          <w:tcPr>
            <w:tcW w:w="243" w:type="dxa"/>
            <w:vAlign w:val="bottom"/>
          </w:tcPr>
          <w:p w14:paraId="2CC7F04D" w14:textId="77777777" w:rsidR="00AC5C0C" w:rsidRPr="00B02BA3" w:rsidRDefault="00AC5C0C" w:rsidP="00922116">
            <w:pPr>
              <w:pStyle w:val="CellRowSpacer"/>
              <w:rPr>
                <w:sz w:val="16"/>
                <w:szCs w:val="16"/>
              </w:rPr>
            </w:pPr>
          </w:p>
        </w:tc>
        <w:tc>
          <w:tcPr>
            <w:tcW w:w="981" w:type="dxa"/>
            <w:tcBorders>
              <w:top w:val="single" w:sz="4" w:space="0" w:color="auto"/>
            </w:tcBorders>
            <w:vAlign w:val="bottom"/>
          </w:tcPr>
          <w:p w14:paraId="0D5A826F" w14:textId="77777777" w:rsidR="00AC5C0C" w:rsidRPr="00B02BA3" w:rsidRDefault="00AC5C0C" w:rsidP="00922116">
            <w:pPr>
              <w:pStyle w:val="SmCellBody"/>
              <w:jc w:val="right"/>
              <w:rPr>
                <w:sz w:val="16"/>
                <w:szCs w:val="16"/>
              </w:rPr>
            </w:pPr>
          </w:p>
        </w:tc>
        <w:tc>
          <w:tcPr>
            <w:tcW w:w="248" w:type="dxa"/>
          </w:tcPr>
          <w:p w14:paraId="644A823C" w14:textId="77777777" w:rsidR="00AC5C0C" w:rsidRPr="00B02BA3" w:rsidRDefault="00AC5C0C" w:rsidP="00922116">
            <w:pPr>
              <w:pStyle w:val="SmCellBody"/>
              <w:jc w:val="right"/>
              <w:rPr>
                <w:sz w:val="16"/>
                <w:szCs w:val="16"/>
              </w:rPr>
            </w:pPr>
          </w:p>
        </w:tc>
        <w:tc>
          <w:tcPr>
            <w:tcW w:w="981" w:type="dxa"/>
            <w:vAlign w:val="bottom"/>
          </w:tcPr>
          <w:p w14:paraId="1973348E" w14:textId="77777777" w:rsidR="00AC5C0C" w:rsidRPr="00B02BA3" w:rsidDel="003B2991" w:rsidRDefault="00AC5C0C" w:rsidP="00922116">
            <w:pPr>
              <w:pStyle w:val="SmCellBody"/>
              <w:jc w:val="right"/>
              <w:rPr>
                <w:sz w:val="16"/>
                <w:szCs w:val="16"/>
              </w:rPr>
            </w:pPr>
          </w:p>
        </w:tc>
        <w:tc>
          <w:tcPr>
            <w:tcW w:w="244" w:type="dxa"/>
            <w:vAlign w:val="bottom"/>
          </w:tcPr>
          <w:p w14:paraId="73B3EF9E" w14:textId="77777777" w:rsidR="00AC5C0C" w:rsidRPr="00B02BA3" w:rsidRDefault="00AC5C0C" w:rsidP="00922116">
            <w:pPr>
              <w:pStyle w:val="CellRowSpacer"/>
              <w:rPr>
                <w:sz w:val="16"/>
                <w:szCs w:val="16"/>
              </w:rPr>
            </w:pPr>
          </w:p>
        </w:tc>
        <w:tc>
          <w:tcPr>
            <w:tcW w:w="981" w:type="dxa"/>
            <w:vAlign w:val="bottom"/>
          </w:tcPr>
          <w:p w14:paraId="58FC7DE7" w14:textId="77777777" w:rsidR="00AC5C0C" w:rsidRPr="00B02BA3" w:rsidRDefault="00AC5C0C" w:rsidP="00922116">
            <w:pPr>
              <w:pStyle w:val="SmCellBody"/>
              <w:jc w:val="right"/>
              <w:rPr>
                <w:sz w:val="16"/>
                <w:szCs w:val="16"/>
              </w:rPr>
            </w:pPr>
          </w:p>
        </w:tc>
        <w:tc>
          <w:tcPr>
            <w:tcW w:w="244" w:type="dxa"/>
            <w:vAlign w:val="bottom"/>
          </w:tcPr>
          <w:p w14:paraId="6976EA58" w14:textId="77777777" w:rsidR="00AC5C0C" w:rsidRPr="00B02BA3" w:rsidRDefault="00AC5C0C" w:rsidP="00922116">
            <w:pPr>
              <w:pStyle w:val="CellRowSpacer"/>
              <w:rPr>
                <w:sz w:val="16"/>
                <w:szCs w:val="16"/>
                <w:vertAlign w:val="superscript"/>
              </w:rPr>
            </w:pPr>
          </w:p>
        </w:tc>
        <w:tc>
          <w:tcPr>
            <w:tcW w:w="981" w:type="dxa"/>
            <w:vAlign w:val="bottom"/>
          </w:tcPr>
          <w:p w14:paraId="12093399" w14:textId="77777777" w:rsidR="00AC5C0C" w:rsidRPr="00B02BA3" w:rsidRDefault="00AC5C0C" w:rsidP="00922116">
            <w:pPr>
              <w:pStyle w:val="SmCellBody"/>
              <w:jc w:val="right"/>
              <w:rPr>
                <w:sz w:val="16"/>
                <w:szCs w:val="16"/>
              </w:rPr>
            </w:pPr>
          </w:p>
        </w:tc>
        <w:tc>
          <w:tcPr>
            <w:tcW w:w="244" w:type="dxa"/>
            <w:vAlign w:val="bottom"/>
          </w:tcPr>
          <w:p w14:paraId="060D3134" w14:textId="77777777" w:rsidR="00AC5C0C" w:rsidRPr="00B02BA3" w:rsidRDefault="00AC5C0C" w:rsidP="00922116">
            <w:pPr>
              <w:pStyle w:val="CellRowSpacer"/>
              <w:rPr>
                <w:sz w:val="16"/>
                <w:szCs w:val="16"/>
              </w:rPr>
            </w:pPr>
          </w:p>
        </w:tc>
        <w:tc>
          <w:tcPr>
            <w:tcW w:w="981" w:type="dxa"/>
            <w:vAlign w:val="bottom"/>
          </w:tcPr>
          <w:p w14:paraId="43254958" w14:textId="77777777" w:rsidR="00AC5C0C" w:rsidRPr="00B02BA3" w:rsidRDefault="00AC5C0C" w:rsidP="00922116">
            <w:pPr>
              <w:pStyle w:val="SmCellBody"/>
              <w:jc w:val="right"/>
              <w:rPr>
                <w:sz w:val="16"/>
                <w:szCs w:val="16"/>
              </w:rPr>
            </w:pPr>
          </w:p>
        </w:tc>
        <w:tc>
          <w:tcPr>
            <w:tcW w:w="196" w:type="dxa"/>
            <w:vAlign w:val="bottom"/>
          </w:tcPr>
          <w:p w14:paraId="087B8A51" w14:textId="77777777" w:rsidR="00AC5C0C" w:rsidRPr="00B02BA3" w:rsidRDefault="00AC5C0C" w:rsidP="00922116">
            <w:pPr>
              <w:pStyle w:val="CellRowSpacer"/>
              <w:rPr>
                <w:sz w:val="16"/>
                <w:szCs w:val="16"/>
              </w:rPr>
            </w:pPr>
          </w:p>
        </w:tc>
      </w:tr>
      <w:tr w:rsidR="00AC5C0C" w:rsidRPr="00B02BA3" w14:paraId="153E1619" w14:textId="77777777" w:rsidTr="00922116">
        <w:trPr>
          <w:trHeight w:val="379"/>
        </w:trPr>
        <w:tc>
          <w:tcPr>
            <w:tcW w:w="2736" w:type="dxa"/>
            <w:vAlign w:val="bottom"/>
          </w:tcPr>
          <w:p w14:paraId="7636AEF5" w14:textId="77777777" w:rsidR="00AC5C0C" w:rsidRPr="00B02BA3" w:rsidRDefault="00AC5C0C" w:rsidP="00922116">
            <w:pPr>
              <w:pStyle w:val="SmCellBody"/>
              <w:tabs>
                <w:tab w:val="right" w:leader="dot" w:pos="3163"/>
              </w:tabs>
              <w:rPr>
                <w:sz w:val="16"/>
                <w:szCs w:val="16"/>
              </w:rPr>
            </w:pPr>
            <w:r w:rsidRPr="00B02BA3">
              <w:rPr>
                <w:sz w:val="16"/>
                <w:szCs w:val="16"/>
              </w:rPr>
              <w:t>Sohar LNG</w:t>
            </w:r>
            <w:r w:rsidRPr="00B02BA3">
              <w:rPr>
                <w:rFonts w:eastAsia="SimSun"/>
                <w:sz w:val="16"/>
                <w:szCs w:val="16"/>
              </w:rPr>
              <w:tab/>
            </w:r>
          </w:p>
        </w:tc>
        <w:tc>
          <w:tcPr>
            <w:tcW w:w="243" w:type="dxa"/>
            <w:vAlign w:val="bottom"/>
          </w:tcPr>
          <w:p w14:paraId="2AE2F17B" w14:textId="77777777" w:rsidR="00AC5C0C" w:rsidRPr="00B02BA3" w:rsidRDefault="00AC5C0C" w:rsidP="00922116">
            <w:pPr>
              <w:pStyle w:val="CellRowSpacer"/>
              <w:rPr>
                <w:sz w:val="16"/>
                <w:szCs w:val="16"/>
              </w:rPr>
            </w:pPr>
          </w:p>
        </w:tc>
        <w:tc>
          <w:tcPr>
            <w:tcW w:w="981" w:type="dxa"/>
            <w:vAlign w:val="bottom"/>
          </w:tcPr>
          <w:p w14:paraId="5F56B48D" w14:textId="77777777" w:rsidR="00AC5C0C" w:rsidRPr="00B02BA3" w:rsidRDefault="00AC5C0C" w:rsidP="00922116">
            <w:pPr>
              <w:pStyle w:val="SmCellBody"/>
              <w:jc w:val="right"/>
              <w:rPr>
                <w:sz w:val="16"/>
                <w:szCs w:val="16"/>
              </w:rPr>
            </w:pPr>
            <w:r w:rsidRPr="00B02BA3">
              <w:rPr>
                <w:sz w:val="16"/>
                <w:szCs w:val="16"/>
              </w:rPr>
              <w:t>138,000</w:t>
            </w:r>
          </w:p>
        </w:tc>
        <w:tc>
          <w:tcPr>
            <w:tcW w:w="248" w:type="dxa"/>
          </w:tcPr>
          <w:p w14:paraId="1C598042" w14:textId="77777777" w:rsidR="00AC5C0C" w:rsidRPr="00B02BA3" w:rsidRDefault="00AC5C0C" w:rsidP="00922116">
            <w:pPr>
              <w:pStyle w:val="SmCellBody"/>
              <w:jc w:val="right"/>
              <w:rPr>
                <w:sz w:val="16"/>
                <w:szCs w:val="16"/>
              </w:rPr>
            </w:pPr>
          </w:p>
        </w:tc>
        <w:tc>
          <w:tcPr>
            <w:tcW w:w="981" w:type="dxa"/>
            <w:vAlign w:val="bottom"/>
          </w:tcPr>
          <w:p w14:paraId="309A2132" w14:textId="77777777" w:rsidR="00AC5C0C" w:rsidRPr="00B02BA3" w:rsidRDefault="00AC5C0C" w:rsidP="00922116">
            <w:pPr>
              <w:pStyle w:val="SmCellBody"/>
              <w:jc w:val="right"/>
              <w:rPr>
                <w:sz w:val="16"/>
                <w:szCs w:val="16"/>
              </w:rPr>
            </w:pPr>
            <w:r w:rsidRPr="00B02BA3">
              <w:rPr>
                <w:sz w:val="16"/>
                <w:szCs w:val="16"/>
              </w:rPr>
              <w:t>LNG carrier</w:t>
            </w:r>
          </w:p>
        </w:tc>
        <w:tc>
          <w:tcPr>
            <w:tcW w:w="244" w:type="dxa"/>
            <w:vAlign w:val="bottom"/>
          </w:tcPr>
          <w:p w14:paraId="23F83E01" w14:textId="77777777" w:rsidR="00AC5C0C" w:rsidRPr="00B02BA3" w:rsidRDefault="00AC5C0C" w:rsidP="00922116">
            <w:pPr>
              <w:pStyle w:val="CellRowSpacer"/>
              <w:rPr>
                <w:sz w:val="16"/>
                <w:szCs w:val="16"/>
              </w:rPr>
            </w:pPr>
          </w:p>
        </w:tc>
        <w:tc>
          <w:tcPr>
            <w:tcW w:w="981" w:type="dxa"/>
            <w:vAlign w:val="bottom"/>
          </w:tcPr>
          <w:p w14:paraId="056F60BE" w14:textId="77777777" w:rsidR="00AC5C0C" w:rsidRPr="00B02BA3" w:rsidRDefault="00AC5C0C" w:rsidP="00922116">
            <w:pPr>
              <w:pStyle w:val="SmCellBody"/>
              <w:jc w:val="right"/>
              <w:rPr>
                <w:sz w:val="16"/>
                <w:szCs w:val="16"/>
              </w:rPr>
            </w:pPr>
            <w:r w:rsidRPr="00B02BA3">
              <w:rPr>
                <w:sz w:val="16"/>
                <w:szCs w:val="16"/>
              </w:rPr>
              <w:t>50</w:t>
            </w:r>
          </w:p>
        </w:tc>
        <w:tc>
          <w:tcPr>
            <w:tcW w:w="244" w:type="dxa"/>
            <w:vAlign w:val="bottom"/>
          </w:tcPr>
          <w:p w14:paraId="1CDF0B3A" w14:textId="77777777" w:rsidR="00AC5C0C" w:rsidRPr="00B02BA3" w:rsidRDefault="00AC5C0C" w:rsidP="00922116">
            <w:pPr>
              <w:pStyle w:val="CellRowSpacer"/>
              <w:rPr>
                <w:sz w:val="16"/>
                <w:szCs w:val="16"/>
                <w:vertAlign w:val="superscript"/>
              </w:rPr>
            </w:pPr>
            <w:r w:rsidRPr="00B02BA3">
              <w:rPr>
                <w:sz w:val="16"/>
                <w:szCs w:val="16"/>
                <w:vertAlign w:val="superscript"/>
              </w:rPr>
              <w:t>(2)</w:t>
            </w:r>
          </w:p>
        </w:tc>
        <w:tc>
          <w:tcPr>
            <w:tcW w:w="981" w:type="dxa"/>
            <w:vAlign w:val="bottom"/>
          </w:tcPr>
          <w:p w14:paraId="33BE7E5F" w14:textId="77777777" w:rsidR="00AC5C0C" w:rsidRPr="00B02BA3" w:rsidRDefault="00AC5C0C" w:rsidP="00922116">
            <w:pPr>
              <w:pStyle w:val="SmCellBody"/>
              <w:jc w:val="right"/>
              <w:rPr>
                <w:sz w:val="16"/>
                <w:szCs w:val="16"/>
              </w:rPr>
            </w:pPr>
            <w:r w:rsidRPr="00B02BA3">
              <w:rPr>
                <w:sz w:val="16"/>
                <w:szCs w:val="16"/>
              </w:rPr>
              <w:t>2001</w:t>
            </w:r>
          </w:p>
        </w:tc>
        <w:tc>
          <w:tcPr>
            <w:tcW w:w="244" w:type="dxa"/>
            <w:vAlign w:val="bottom"/>
          </w:tcPr>
          <w:p w14:paraId="2E02D53C" w14:textId="77777777" w:rsidR="00AC5C0C" w:rsidRPr="00B02BA3" w:rsidRDefault="00AC5C0C" w:rsidP="00922116">
            <w:pPr>
              <w:pStyle w:val="CellRowSpacer"/>
              <w:rPr>
                <w:sz w:val="16"/>
                <w:szCs w:val="16"/>
              </w:rPr>
            </w:pPr>
          </w:p>
        </w:tc>
        <w:tc>
          <w:tcPr>
            <w:tcW w:w="981" w:type="dxa"/>
            <w:vAlign w:val="bottom"/>
          </w:tcPr>
          <w:p w14:paraId="3DBB26A7" w14:textId="77777777" w:rsidR="00AC5C0C" w:rsidRPr="00B02BA3" w:rsidRDefault="00AC5C0C" w:rsidP="00922116">
            <w:pPr>
              <w:pStyle w:val="SmCellBody"/>
              <w:jc w:val="right"/>
              <w:rPr>
                <w:sz w:val="16"/>
                <w:szCs w:val="16"/>
              </w:rPr>
            </w:pPr>
            <w:r w:rsidRPr="00B02BA3">
              <w:rPr>
                <w:sz w:val="16"/>
                <w:szCs w:val="16"/>
              </w:rPr>
              <w:t>Panama</w:t>
            </w:r>
          </w:p>
        </w:tc>
        <w:tc>
          <w:tcPr>
            <w:tcW w:w="196" w:type="dxa"/>
            <w:vAlign w:val="bottom"/>
          </w:tcPr>
          <w:p w14:paraId="4FC6B5ED" w14:textId="77777777" w:rsidR="00AC5C0C" w:rsidRPr="00B02BA3" w:rsidRDefault="00AC5C0C" w:rsidP="00922116">
            <w:pPr>
              <w:pStyle w:val="CellRowSpacer"/>
              <w:rPr>
                <w:sz w:val="16"/>
                <w:szCs w:val="16"/>
              </w:rPr>
            </w:pPr>
          </w:p>
        </w:tc>
      </w:tr>
      <w:tr w:rsidR="00AC5C0C" w:rsidRPr="00B02BA3" w14:paraId="6537DAEE" w14:textId="77777777" w:rsidTr="00922116">
        <w:trPr>
          <w:trHeight w:val="368"/>
        </w:trPr>
        <w:tc>
          <w:tcPr>
            <w:tcW w:w="2736" w:type="dxa"/>
            <w:vAlign w:val="bottom"/>
          </w:tcPr>
          <w:p w14:paraId="09E27E20" w14:textId="77777777" w:rsidR="00AC5C0C" w:rsidRPr="00B02BA3" w:rsidRDefault="00AC5C0C" w:rsidP="00922116">
            <w:pPr>
              <w:pStyle w:val="SmCellBody"/>
              <w:tabs>
                <w:tab w:val="right" w:leader="dot" w:pos="3163"/>
              </w:tabs>
              <w:rPr>
                <w:sz w:val="16"/>
                <w:szCs w:val="16"/>
              </w:rPr>
            </w:pPr>
            <w:r w:rsidRPr="00B02BA3">
              <w:rPr>
                <w:sz w:val="16"/>
                <w:szCs w:val="16"/>
              </w:rPr>
              <w:t>Nizwa LNG</w:t>
            </w:r>
            <w:r w:rsidRPr="00B02BA3">
              <w:rPr>
                <w:rFonts w:eastAsia="SimSun"/>
                <w:sz w:val="16"/>
                <w:szCs w:val="16"/>
              </w:rPr>
              <w:tab/>
            </w:r>
          </w:p>
        </w:tc>
        <w:tc>
          <w:tcPr>
            <w:tcW w:w="243" w:type="dxa"/>
            <w:vAlign w:val="bottom"/>
          </w:tcPr>
          <w:p w14:paraId="510D3836" w14:textId="77777777" w:rsidR="00AC5C0C" w:rsidRPr="00B02BA3" w:rsidRDefault="00AC5C0C" w:rsidP="00922116">
            <w:pPr>
              <w:pStyle w:val="CellRowSpacer"/>
              <w:rPr>
                <w:sz w:val="16"/>
                <w:szCs w:val="16"/>
              </w:rPr>
            </w:pPr>
          </w:p>
        </w:tc>
        <w:tc>
          <w:tcPr>
            <w:tcW w:w="981" w:type="dxa"/>
            <w:vAlign w:val="bottom"/>
          </w:tcPr>
          <w:p w14:paraId="03325E5E" w14:textId="77777777" w:rsidR="00AC5C0C" w:rsidRPr="00B02BA3" w:rsidRDefault="00AC5C0C" w:rsidP="00922116">
            <w:pPr>
              <w:pStyle w:val="SmCellBody"/>
              <w:jc w:val="right"/>
              <w:rPr>
                <w:sz w:val="16"/>
                <w:szCs w:val="16"/>
              </w:rPr>
            </w:pPr>
            <w:r w:rsidRPr="00B02BA3">
              <w:rPr>
                <w:sz w:val="16"/>
                <w:szCs w:val="16"/>
              </w:rPr>
              <w:t>145,000</w:t>
            </w:r>
          </w:p>
        </w:tc>
        <w:tc>
          <w:tcPr>
            <w:tcW w:w="248" w:type="dxa"/>
          </w:tcPr>
          <w:p w14:paraId="3E5ADB18" w14:textId="77777777" w:rsidR="00AC5C0C" w:rsidRPr="00B02BA3" w:rsidRDefault="00AC5C0C" w:rsidP="00922116">
            <w:pPr>
              <w:pStyle w:val="SmCellBody"/>
              <w:jc w:val="right"/>
              <w:rPr>
                <w:sz w:val="16"/>
                <w:szCs w:val="16"/>
              </w:rPr>
            </w:pPr>
          </w:p>
        </w:tc>
        <w:tc>
          <w:tcPr>
            <w:tcW w:w="981" w:type="dxa"/>
            <w:vAlign w:val="bottom"/>
          </w:tcPr>
          <w:p w14:paraId="3E94023C" w14:textId="77777777" w:rsidR="00AC5C0C" w:rsidRPr="00B02BA3" w:rsidRDefault="00AC5C0C" w:rsidP="00922116">
            <w:pPr>
              <w:pStyle w:val="SmCellBody"/>
              <w:jc w:val="right"/>
              <w:rPr>
                <w:sz w:val="16"/>
                <w:szCs w:val="16"/>
              </w:rPr>
            </w:pPr>
            <w:r w:rsidRPr="00B02BA3">
              <w:rPr>
                <w:sz w:val="16"/>
                <w:szCs w:val="16"/>
              </w:rPr>
              <w:t>LNG carrier</w:t>
            </w:r>
          </w:p>
        </w:tc>
        <w:tc>
          <w:tcPr>
            <w:tcW w:w="244" w:type="dxa"/>
            <w:vAlign w:val="bottom"/>
          </w:tcPr>
          <w:p w14:paraId="4F269276" w14:textId="77777777" w:rsidR="00AC5C0C" w:rsidRPr="00B02BA3" w:rsidRDefault="00AC5C0C" w:rsidP="00922116">
            <w:pPr>
              <w:pStyle w:val="CellRowSpacer"/>
              <w:rPr>
                <w:sz w:val="16"/>
                <w:szCs w:val="16"/>
              </w:rPr>
            </w:pPr>
          </w:p>
        </w:tc>
        <w:tc>
          <w:tcPr>
            <w:tcW w:w="981" w:type="dxa"/>
            <w:vAlign w:val="bottom"/>
          </w:tcPr>
          <w:p w14:paraId="15CD8A78" w14:textId="77777777" w:rsidR="00AC5C0C" w:rsidRPr="00B02BA3" w:rsidRDefault="00AC5C0C" w:rsidP="00922116">
            <w:pPr>
              <w:pStyle w:val="SmCellBody"/>
              <w:jc w:val="right"/>
              <w:rPr>
                <w:sz w:val="16"/>
                <w:szCs w:val="16"/>
              </w:rPr>
            </w:pPr>
            <w:r w:rsidRPr="00B02BA3">
              <w:rPr>
                <w:sz w:val="16"/>
                <w:szCs w:val="16"/>
              </w:rPr>
              <w:t>60</w:t>
            </w:r>
          </w:p>
        </w:tc>
        <w:tc>
          <w:tcPr>
            <w:tcW w:w="244" w:type="dxa"/>
            <w:vAlign w:val="bottom"/>
          </w:tcPr>
          <w:p w14:paraId="0945C9A8" w14:textId="77777777" w:rsidR="00AC5C0C" w:rsidRPr="00B02BA3" w:rsidRDefault="00AC5C0C" w:rsidP="00922116">
            <w:pPr>
              <w:pStyle w:val="CellRowSpacer"/>
              <w:rPr>
                <w:sz w:val="16"/>
                <w:szCs w:val="16"/>
              </w:rPr>
            </w:pPr>
            <w:r w:rsidRPr="00B02BA3">
              <w:rPr>
                <w:sz w:val="16"/>
                <w:szCs w:val="16"/>
                <w:vertAlign w:val="superscript"/>
              </w:rPr>
              <w:t>(3)</w:t>
            </w:r>
          </w:p>
        </w:tc>
        <w:tc>
          <w:tcPr>
            <w:tcW w:w="981" w:type="dxa"/>
            <w:vAlign w:val="bottom"/>
          </w:tcPr>
          <w:p w14:paraId="5555DE03" w14:textId="77777777" w:rsidR="00AC5C0C" w:rsidRPr="00B02BA3" w:rsidRDefault="00AC5C0C" w:rsidP="00922116">
            <w:pPr>
              <w:pStyle w:val="SmCellBody"/>
              <w:jc w:val="right"/>
              <w:rPr>
                <w:sz w:val="16"/>
                <w:szCs w:val="16"/>
              </w:rPr>
            </w:pPr>
            <w:r w:rsidRPr="00B02BA3">
              <w:rPr>
                <w:sz w:val="16"/>
                <w:szCs w:val="16"/>
              </w:rPr>
              <w:t>2005</w:t>
            </w:r>
          </w:p>
        </w:tc>
        <w:tc>
          <w:tcPr>
            <w:tcW w:w="244" w:type="dxa"/>
            <w:vAlign w:val="bottom"/>
          </w:tcPr>
          <w:p w14:paraId="5A330AD4" w14:textId="77777777" w:rsidR="00AC5C0C" w:rsidRPr="00B02BA3" w:rsidRDefault="00AC5C0C" w:rsidP="00922116">
            <w:pPr>
              <w:pStyle w:val="CellRowSpacer"/>
              <w:rPr>
                <w:sz w:val="16"/>
                <w:szCs w:val="16"/>
              </w:rPr>
            </w:pPr>
          </w:p>
        </w:tc>
        <w:tc>
          <w:tcPr>
            <w:tcW w:w="981" w:type="dxa"/>
            <w:vAlign w:val="bottom"/>
          </w:tcPr>
          <w:p w14:paraId="73335CE0" w14:textId="77777777" w:rsidR="00AC5C0C" w:rsidRPr="00B02BA3" w:rsidRDefault="00AC5C0C" w:rsidP="00922116">
            <w:pPr>
              <w:pStyle w:val="SmCellBody"/>
              <w:jc w:val="right"/>
              <w:rPr>
                <w:sz w:val="16"/>
                <w:szCs w:val="16"/>
              </w:rPr>
            </w:pPr>
            <w:r w:rsidRPr="00B02BA3">
              <w:rPr>
                <w:sz w:val="16"/>
                <w:szCs w:val="16"/>
              </w:rPr>
              <w:t>Panama</w:t>
            </w:r>
          </w:p>
        </w:tc>
        <w:tc>
          <w:tcPr>
            <w:tcW w:w="196" w:type="dxa"/>
            <w:vAlign w:val="bottom"/>
          </w:tcPr>
          <w:p w14:paraId="147EF2DE" w14:textId="77777777" w:rsidR="00AC5C0C" w:rsidRPr="00B02BA3" w:rsidRDefault="00AC5C0C" w:rsidP="00922116">
            <w:pPr>
              <w:pStyle w:val="CellRowSpacer"/>
              <w:rPr>
                <w:sz w:val="16"/>
                <w:szCs w:val="16"/>
              </w:rPr>
            </w:pPr>
          </w:p>
        </w:tc>
      </w:tr>
      <w:tr w:rsidR="00AC5C0C" w:rsidRPr="00B02BA3" w14:paraId="551DA5FD" w14:textId="77777777" w:rsidTr="00922116">
        <w:trPr>
          <w:trHeight w:val="379"/>
        </w:trPr>
        <w:tc>
          <w:tcPr>
            <w:tcW w:w="2736" w:type="dxa"/>
            <w:vAlign w:val="bottom"/>
          </w:tcPr>
          <w:p w14:paraId="2AD6C3B7" w14:textId="77777777" w:rsidR="00AC5C0C" w:rsidRPr="00B02BA3" w:rsidRDefault="00AC5C0C" w:rsidP="00922116">
            <w:pPr>
              <w:pStyle w:val="SmCellBody"/>
              <w:tabs>
                <w:tab w:val="right" w:leader="dot" w:pos="3163"/>
              </w:tabs>
              <w:rPr>
                <w:sz w:val="16"/>
                <w:szCs w:val="16"/>
              </w:rPr>
            </w:pPr>
            <w:r w:rsidRPr="00B02BA3">
              <w:rPr>
                <w:sz w:val="16"/>
                <w:szCs w:val="16"/>
              </w:rPr>
              <w:t>Ibri LNG</w:t>
            </w:r>
            <w:r w:rsidRPr="00B02BA3">
              <w:rPr>
                <w:rFonts w:eastAsia="SimSun"/>
                <w:sz w:val="16"/>
                <w:szCs w:val="16"/>
              </w:rPr>
              <w:tab/>
            </w:r>
          </w:p>
        </w:tc>
        <w:tc>
          <w:tcPr>
            <w:tcW w:w="243" w:type="dxa"/>
            <w:vAlign w:val="bottom"/>
          </w:tcPr>
          <w:p w14:paraId="0C1F0280" w14:textId="77777777" w:rsidR="00AC5C0C" w:rsidRPr="00B02BA3" w:rsidRDefault="00AC5C0C" w:rsidP="00922116">
            <w:pPr>
              <w:pStyle w:val="CellRowSpacer"/>
              <w:rPr>
                <w:sz w:val="16"/>
                <w:szCs w:val="16"/>
              </w:rPr>
            </w:pPr>
          </w:p>
        </w:tc>
        <w:tc>
          <w:tcPr>
            <w:tcW w:w="981" w:type="dxa"/>
            <w:vAlign w:val="bottom"/>
          </w:tcPr>
          <w:p w14:paraId="1CAF92C3" w14:textId="77777777" w:rsidR="00AC5C0C" w:rsidRPr="00B02BA3" w:rsidRDefault="00AC5C0C" w:rsidP="00922116">
            <w:pPr>
              <w:pStyle w:val="SmCellBody"/>
              <w:jc w:val="right"/>
              <w:rPr>
                <w:sz w:val="16"/>
                <w:szCs w:val="16"/>
              </w:rPr>
            </w:pPr>
            <w:r w:rsidRPr="00B02BA3">
              <w:rPr>
                <w:sz w:val="16"/>
                <w:szCs w:val="16"/>
              </w:rPr>
              <w:t>145,000</w:t>
            </w:r>
          </w:p>
        </w:tc>
        <w:tc>
          <w:tcPr>
            <w:tcW w:w="248" w:type="dxa"/>
          </w:tcPr>
          <w:p w14:paraId="169E0767" w14:textId="77777777" w:rsidR="00AC5C0C" w:rsidRPr="00B02BA3" w:rsidRDefault="00AC5C0C" w:rsidP="00922116">
            <w:pPr>
              <w:pStyle w:val="SmCellBody"/>
              <w:jc w:val="right"/>
              <w:rPr>
                <w:sz w:val="16"/>
                <w:szCs w:val="16"/>
              </w:rPr>
            </w:pPr>
          </w:p>
        </w:tc>
        <w:tc>
          <w:tcPr>
            <w:tcW w:w="981" w:type="dxa"/>
            <w:vAlign w:val="bottom"/>
          </w:tcPr>
          <w:p w14:paraId="478EB59C" w14:textId="77777777" w:rsidR="00AC5C0C" w:rsidRPr="00B02BA3" w:rsidRDefault="00AC5C0C" w:rsidP="00922116">
            <w:pPr>
              <w:pStyle w:val="SmCellBody"/>
              <w:jc w:val="right"/>
              <w:rPr>
                <w:sz w:val="16"/>
                <w:szCs w:val="16"/>
              </w:rPr>
            </w:pPr>
            <w:r w:rsidRPr="00B02BA3">
              <w:rPr>
                <w:sz w:val="16"/>
                <w:szCs w:val="16"/>
              </w:rPr>
              <w:t>LNG carrier</w:t>
            </w:r>
          </w:p>
        </w:tc>
        <w:tc>
          <w:tcPr>
            <w:tcW w:w="244" w:type="dxa"/>
            <w:vAlign w:val="bottom"/>
          </w:tcPr>
          <w:p w14:paraId="48DA0E8B" w14:textId="77777777" w:rsidR="00AC5C0C" w:rsidRPr="00B02BA3" w:rsidRDefault="00AC5C0C" w:rsidP="00922116">
            <w:pPr>
              <w:pStyle w:val="CellRowSpacer"/>
              <w:rPr>
                <w:sz w:val="16"/>
                <w:szCs w:val="16"/>
              </w:rPr>
            </w:pPr>
          </w:p>
        </w:tc>
        <w:tc>
          <w:tcPr>
            <w:tcW w:w="981" w:type="dxa"/>
            <w:vAlign w:val="bottom"/>
          </w:tcPr>
          <w:p w14:paraId="706CC169" w14:textId="77777777" w:rsidR="00AC5C0C" w:rsidRPr="00B02BA3" w:rsidRDefault="00AC5C0C" w:rsidP="00922116">
            <w:pPr>
              <w:pStyle w:val="SmCellBody"/>
              <w:jc w:val="right"/>
              <w:rPr>
                <w:sz w:val="16"/>
                <w:szCs w:val="16"/>
              </w:rPr>
            </w:pPr>
            <w:r w:rsidRPr="00B02BA3">
              <w:rPr>
                <w:sz w:val="16"/>
                <w:szCs w:val="16"/>
              </w:rPr>
              <w:t>80</w:t>
            </w:r>
          </w:p>
        </w:tc>
        <w:tc>
          <w:tcPr>
            <w:tcW w:w="244" w:type="dxa"/>
            <w:vAlign w:val="bottom"/>
          </w:tcPr>
          <w:p w14:paraId="1744CDF6" w14:textId="77777777" w:rsidR="00AC5C0C" w:rsidRPr="00B02BA3" w:rsidRDefault="00AC5C0C" w:rsidP="00922116">
            <w:pPr>
              <w:pStyle w:val="CellRowSpacer"/>
              <w:rPr>
                <w:sz w:val="16"/>
                <w:szCs w:val="16"/>
              </w:rPr>
            </w:pPr>
            <w:r w:rsidRPr="00B02BA3">
              <w:rPr>
                <w:sz w:val="16"/>
                <w:szCs w:val="16"/>
                <w:vertAlign w:val="superscript"/>
              </w:rPr>
              <w:t>(2)</w:t>
            </w:r>
          </w:p>
        </w:tc>
        <w:tc>
          <w:tcPr>
            <w:tcW w:w="981" w:type="dxa"/>
            <w:vAlign w:val="bottom"/>
          </w:tcPr>
          <w:p w14:paraId="459E10BC" w14:textId="77777777" w:rsidR="00AC5C0C" w:rsidRPr="00B02BA3" w:rsidRDefault="00AC5C0C" w:rsidP="00922116">
            <w:pPr>
              <w:pStyle w:val="SmCellBody"/>
              <w:jc w:val="right"/>
              <w:rPr>
                <w:sz w:val="16"/>
                <w:szCs w:val="16"/>
              </w:rPr>
            </w:pPr>
            <w:r w:rsidRPr="00B02BA3">
              <w:rPr>
                <w:sz w:val="16"/>
                <w:szCs w:val="16"/>
              </w:rPr>
              <w:t>2006</w:t>
            </w:r>
          </w:p>
        </w:tc>
        <w:tc>
          <w:tcPr>
            <w:tcW w:w="244" w:type="dxa"/>
            <w:vAlign w:val="bottom"/>
          </w:tcPr>
          <w:p w14:paraId="5BF4E93E" w14:textId="77777777" w:rsidR="00AC5C0C" w:rsidRPr="00B02BA3" w:rsidRDefault="00AC5C0C" w:rsidP="00922116">
            <w:pPr>
              <w:pStyle w:val="CellRowSpacer"/>
              <w:rPr>
                <w:sz w:val="16"/>
                <w:szCs w:val="16"/>
              </w:rPr>
            </w:pPr>
          </w:p>
        </w:tc>
        <w:tc>
          <w:tcPr>
            <w:tcW w:w="981" w:type="dxa"/>
            <w:vAlign w:val="bottom"/>
          </w:tcPr>
          <w:p w14:paraId="5DA4CD68" w14:textId="77777777" w:rsidR="00AC5C0C" w:rsidRPr="00B02BA3" w:rsidRDefault="00AC5C0C" w:rsidP="00922116">
            <w:pPr>
              <w:pStyle w:val="SmCellBody"/>
              <w:jc w:val="right"/>
              <w:rPr>
                <w:sz w:val="16"/>
                <w:szCs w:val="16"/>
              </w:rPr>
            </w:pPr>
            <w:r w:rsidRPr="00B02BA3">
              <w:rPr>
                <w:sz w:val="16"/>
                <w:szCs w:val="16"/>
              </w:rPr>
              <w:t>Panama</w:t>
            </w:r>
          </w:p>
        </w:tc>
        <w:tc>
          <w:tcPr>
            <w:tcW w:w="196" w:type="dxa"/>
            <w:vAlign w:val="bottom"/>
          </w:tcPr>
          <w:p w14:paraId="1668FF7A" w14:textId="77777777" w:rsidR="00AC5C0C" w:rsidRPr="00B02BA3" w:rsidRDefault="00AC5C0C" w:rsidP="00922116">
            <w:pPr>
              <w:pStyle w:val="CellRowSpacer"/>
              <w:rPr>
                <w:sz w:val="16"/>
                <w:szCs w:val="16"/>
              </w:rPr>
            </w:pPr>
          </w:p>
        </w:tc>
      </w:tr>
      <w:tr w:rsidR="00AC5C0C" w:rsidRPr="00B02BA3" w14:paraId="4335E521" w14:textId="77777777" w:rsidTr="00922116">
        <w:trPr>
          <w:trHeight w:val="379"/>
        </w:trPr>
        <w:tc>
          <w:tcPr>
            <w:tcW w:w="2736" w:type="dxa"/>
            <w:vAlign w:val="bottom"/>
          </w:tcPr>
          <w:p w14:paraId="6D75BD5D" w14:textId="77777777" w:rsidR="00AC5C0C" w:rsidRPr="00B02BA3" w:rsidRDefault="00AC5C0C" w:rsidP="00922116">
            <w:pPr>
              <w:pStyle w:val="SmCellBody"/>
              <w:tabs>
                <w:tab w:val="right" w:leader="dot" w:pos="3163"/>
              </w:tabs>
              <w:rPr>
                <w:sz w:val="16"/>
                <w:szCs w:val="16"/>
              </w:rPr>
            </w:pPr>
            <w:r w:rsidRPr="00B02BA3">
              <w:rPr>
                <w:sz w:val="16"/>
                <w:szCs w:val="16"/>
              </w:rPr>
              <w:t>Ibra LNG</w:t>
            </w:r>
            <w:r w:rsidRPr="00B02BA3">
              <w:rPr>
                <w:rFonts w:eastAsia="SimSun"/>
                <w:sz w:val="16"/>
                <w:szCs w:val="16"/>
              </w:rPr>
              <w:tab/>
            </w:r>
          </w:p>
        </w:tc>
        <w:tc>
          <w:tcPr>
            <w:tcW w:w="243" w:type="dxa"/>
            <w:vAlign w:val="bottom"/>
          </w:tcPr>
          <w:p w14:paraId="58EE8C8C" w14:textId="77777777" w:rsidR="00AC5C0C" w:rsidRPr="00B02BA3" w:rsidRDefault="00AC5C0C" w:rsidP="00922116">
            <w:pPr>
              <w:pStyle w:val="CellRowSpacer"/>
              <w:rPr>
                <w:sz w:val="16"/>
                <w:szCs w:val="16"/>
              </w:rPr>
            </w:pPr>
          </w:p>
        </w:tc>
        <w:tc>
          <w:tcPr>
            <w:tcW w:w="981" w:type="dxa"/>
            <w:vAlign w:val="bottom"/>
          </w:tcPr>
          <w:p w14:paraId="5292C920" w14:textId="77777777" w:rsidR="00AC5C0C" w:rsidRPr="00B02BA3" w:rsidRDefault="00AC5C0C" w:rsidP="00922116">
            <w:pPr>
              <w:pStyle w:val="SmCellBody"/>
              <w:jc w:val="right"/>
              <w:rPr>
                <w:sz w:val="16"/>
                <w:szCs w:val="16"/>
              </w:rPr>
            </w:pPr>
            <w:r w:rsidRPr="00B02BA3">
              <w:rPr>
                <w:sz w:val="16"/>
                <w:szCs w:val="16"/>
              </w:rPr>
              <w:t>145,000</w:t>
            </w:r>
          </w:p>
        </w:tc>
        <w:tc>
          <w:tcPr>
            <w:tcW w:w="248" w:type="dxa"/>
          </w:tcPr>
          <w:p w14:paraId="643AAA89" w14:textId="77777777" w:rsidR="00AC5C0C" w:rsidRPr="00B02BA3" w:rsidRDefault="00AC5C0C" w:rsidP="00922116">
            <w:pPr>
              <w:pStyle w:val="SmCellBody"/>
              <w:jc w:val="right"/>
              <w:rPr>
                <w:sz w:val="16"/>
                <w:szCs w:val="16"/>
              </w:rPr>
            </w:pPr>
          </w:p>
        </w:tc>
        <w:tc>
          <w:tcPr>
            <w:tcW w:w="981" w:type="dxa"/>
            <w:vAlign w:val="bottom"/>
          </w:tcPr>
          <w:p w14:paraId="39AD48C6" w14:textId="77777777" w:rsidR="00AC5C0C" w:rsidRPr="00B02BA3" w:rsidRDefault="00AC5C0C" w:rsidP="00922116">
            <w:pPr>
              <w:pStyle w:val="SmCellBody"/>
              <w:jc w:val="right"/>
              <w:rPr>
                <w:sz w:val="16"/>
                <w:szCs w:val="16"/>
              </w:rPr>
            </w:pPr>
            <w:r w:rsidRPr="00B02BA3">
              <w:rPr>
                <w:sz w:val="16"/>
                <w:szCs w:val="16"/>
              </w:rPr>
              <w:t>LNG carrier</w:t>
            </w:r>
          </w:p>
        </w:tc>
        <w:tc>
          <w:tcPr>
            <w:tcW w:w="244" w:type="dxa"/>
            <w:vAlign w:val="bottom"/>
          </w:tcPr>
          <w:p w14:paraId="47CDA933" w14:textId="77777777" w:rsidR="00AC5C0C" w:rsidRPr="00B02BA3" w:rsidRDefault="00AC5C0C" w:rsidP="00922116">
            <w:pPr>
              <w:pStyle w:val="CellRowSpacer"/>
              <w:rPr>
                <w:sz w:val="16"/>
                <w:szCs w:val="16"/>
              </w:rPr>
            </w:pPr>
          </w:p>
        </w:tc>
        <w:tc>
          <w:tcPr>
            <w:tcW w:w="981" w:type="dxa"/>
            <w:vAlign w:val="bottom"/>
          </w:tcPr>
          <w:p w14:paraId="37E0D821" w14:textId="77777777" w:rsidR="00AC5C0C" w:rsidRPr="00B02BA3" w:rsidRDefault="00AC5C0C" w:rsidP="00922116">
            <w:pPr>
              <w:pStyle w:val="SmCellBody"/>
              <w:jc w:val="right"/>
              <w:rPr>
                <w:sz w:val="16"/>
                <w:szCs w:val="16"/>
              </w:rPr>
            </w:pPr>
            <w:r w:rsidRPr="00B02BA3">
              <w:rPr>
                <w:sz w:val="16"/>
                <w:szCs w:val="16"/>
              </w:rPr>
              <w:t>80</w:t>
            </w:r>
          </w:p>
        </w:tc>
        <w:tc>
          <w:tcPr>
            <w:tcW w:w="244" w:type="dxa"/>
            <w:vAlign w:val="bottom"/>
          </w:tcPr>
          <w:p w14:paraId="47D03238" w14:textId="77777777" w:rsidR="00AC5C0C" w:rsidRPr="00B02BA3" w:rsidRDefault="00AC5C0C" w:rsidP="00922116">
            <w:pPr>
              <w:pStyle w:val="CellRowSpacer"/>
              <w:rPr>
                <w:sz w:val="16"/>
                <w:szCs w:val="16"/>
              </w:rPr>
            </w:pPr>
            <w:r w:rsidRPr="00B02BA3">
              <w:rPr>
                <w:sz w:val="16"/>
                <w:szCs w:val="16"/>
                <w:vertAlign w:val="superscript"/>
              </w:rPr>
              <w:t>(2)</w:t>
            </w:r>
          </w:p>
        </w:tc>
        <w:tc>
          <w:tcPr>
            <w:tcW w:w="981" w:type="dxa"/>
            <w:vAlign w:val="bottom"/>
          </w:tcPr>
          <w:p w14:paraId="19236C15" w14:textId="77777777" w:rsidR="00AC5C0C" w:rsidRPr="00B02BA3" w:rsidRDefault="00AC5C0C" w:rsidP="00922116">
            <w:pPr>
              <w:pStyle w:val="SmCellBody"/>
              <w:jc w:val="right"/>
              <w:rPr>
                <w:sz w:val="16"/>
                <w:szCs w:val="16"/>
              </w:rPr>
            </w:pPr>
            <w:r w:rsidRPr="00B02BA3">
              <w:rPr>
                <w:sz w:val="16"/>
                <w:szCs w:val="16"/>
              </w:rPr>
              <w:t>2006</w:t>
            </w:r>
          </w:p>
        </w:tc>
        <w:tc>
          <w:tcPr>
            <w:tcW w:w="244" w:type="dxa"/>
            <w:vAlign w:val="bottom"/>
          </w:tcPr>
          <w:p w14:paraId="7EF61E05" w14:textId="77777777" w:rsidR="00AC5C0C" w:rsidRPr="00B02BA3" w:rsidRDefault="00AC5C0C" w:rsidP="00922116">
            <w:pPr>
              <w:pStyle w:val="CellRowSpacer"/>
              <w:rPr>
                <w:sz w:val="16"/>
                <w:szCs w:val="16"/>
              </w:rPr>
            </w:pPr>
          </w:p>
        </w:tc>
        <w:tc>
          <w:tcPr>
            <w:tcW w:w="981" w:type="dxa"/>
            <w:vAlign w:val="bottom"/>
          </w:tcPr>
          <w:p w14:paraId="42EA8F17" w14:textId="77777777" w:rsidR="00AC5C0C" w:rsidRPr="00B02BA3" w:rsidRDefault="00AC5C0C" w:rsidP="00922116">
            <w:pPr>
              <w:pStyle w:val="SmCellBody"/>
              <w:jc w:val="right"/>
              <w:rPr>
                <w:sz w:val="16"/>
                <w:szCs w:val="16"/>
              </w:rPr>
            </w:pPr>
            <w:r w:rsidRPr="00B02BA3">
              <w:rPr>
                <w:sz w:val="16"/>
                <w:szCs w:val="16"/>
              </w:rPr>
              <w:t>Panama</w:t>
            </w:r>
          </w:p>
        </w:tc>
        <w:tc>
          <w:tcPr>
            <w:tcW w:w="196" w:type="dxa"/>
            <w:vAlign w:val="bottom"/>
          </w:tcPr>
          <w:p w14:paraId="3B804723" w14:textId="77777777" w:rsidR="00AC5C0C" w:rsidRPr="00B02BA3" w:rsidRDefault="00AC5C0C" w:rsidP="00922116">
            <w:pPr>
              <w:pStyle w:val="CellRowSpacer"/>
              <w:rPr>
                <w:sz w:val="16"/>
                <w:szCs w:val="16"/>
              </w:rPr>
            </w:pPr>
          </w:p>
        </w:tc>
      </w:tr>
      <w:tr w:rsidR="00AC5C0C" w:rsidRPr="00B02BA3" w14:paraId="0833D303" w14:textId="77777777" w:rsidTr="00922116">
        <w:trPr>
          <w:trHeight w:val="368"/>
        </w:trPr>
        <w:tc>
          <w:tcPr>
            <w:tcW w:w="2736" w:type="dxa"/>
            <w:vAlign w:val="bottom"/>
          </w:tcPr>
          <w:p w14:paraId="05A3ED8C" w14:textId="77777777" w:rsidR="00AC5C0C" w:rsidRPr="00B02BA3" w:rsidRDefault="00AC5C0C" w:rsidP="00922116">
            <w:pPr>
              <w:pStyle w:val="SmCellBody"/>
              <w:tabs>
                <w:tab w:val="right" w:leader="dot" w:pos="3163"/>
              </w:tabs>
              <w:rPr>
                <w:sz w:val="16"/>
                <w:szCs w:val="16"/>
              </w:rPr>
            </w:pPr>
            <w:r w:rsidRPr="00B02BA3">
              <w:rPr>
                <w:sz w:val="16"/>
                <w:szCs w:val="16"/>
              </w:rPr>
              <w:t>Salalah LNG</w:t>
            </w:r>
            <w:r w:rsidRPr="00B02BA3">
              <w:rPr>
                <w:rFonts w:eastAsia="SimSun"/>
                <w:sz w:val="16"/>
                <w:szCs w:val="16"/>
              </w:rPr>
              <w:tab/>
            </w:r>
          </w:p>
        </w:tc>
        <w:tc>
          <w:tcPr>
            <w:tcW w:w="243" w:type="dxa"/>
            <w:vAlign w:val="bottom"/>
          </w:tcPr>
          <w:p w14:paraId="7CDCBD11" w14:textId="77777777" w:rsidR="00AC5C0C" w:rsidRPr="00B02BA3" w:rsidRDefault="00AC5C0C" w:rsidP="00922116">
            <w:pPr>
              <w:pStyle w:val="CellRowSpacer"/>
              <w:rPr>
                <w:sz w:val="16"/>
                <w:szCs w:val="16"/>
              </w:rPr>
            </w:pPr>
          </w:p>
        </w:tc>
        <w:tc>
          <w:tcPr>
            <w:tcW w:w="981" w:type="dxa"/>
            <w:vAlign w:val="bottom"/>
          </w:tcPr>
          <w:p w14:paraId="3B4E31A2" w14:textId="77777777" w:rsidR="00AC5C0C" w:rsidRPr="00B02BA3" w:rsidRDefault="00AC5C0C" w:rsidP="00922116">
            <w:pPr>
              <w:pStyle w:val="SmCellBody"/>
              <w:jc w:val="right"/>
              <w:rPr>
                <w:sz w:val="16"/>
                <w:szCs w:val="16"/>
              </w:rPr>
            </w:pPr>
            <w:r w:rsidRPr="00B02BA3">
              <w:rPr>
                <w:sz w:val="16"/>
                <w:szCs w:val="16"/>
              </w:rPr>
              <w:t>145,000</w:t>
            </w:r>
          </w:p>
        </w:tc>
        <w:tc>
          <w:tcPr>
            <w:tcW w:w="248" w:type="dxa"/>
          </w:tcPr>
          <w:p w14:paraId="41D2E274" w14:textId="77777777" w:rsidR="00AC5C0C" w:rsidRPr="00B02BA3" w:rsidRDefault="00AC5C0C" w:rsidP="00922116">
            <w:pPr>
              <w:pStyle w:val="SmCellBody"/>
              <w:jc w:val="right"/>
              <w:rPr>
                <w:sz w:val="16"/>
                <w:szCs w:val="16"/>
              </w:rPr>
            </w:pPr>
          </w:p>
        </w:tc>
        <w:tc>
          <w:tcPr>
            <w:tcW w:w="981" w:type="dxa"/>
            <w:vAlign w:val="bottom"/>
          </w:tcPr>
          <w:p w14:paraId="5246445F" w14:textId="77777777" w:rsidR="00AC5C0C" w:rsidRPr="00B02BA3" w:rsidRDefault="00AC5C0C" w:rsidP="00922116">
            <w:pPr>
              <w:pStyle w:val="SmCellBody"/>
              <w:jc w:val="right"/>
              <w:rPr>
                <w:sz w:val="16"/>
                <w:szCs w:val="16"/>
              </w:rPr>
            </w:pPr>
            <w:r w:rsidRPr="00B02BA3">
              <w:rPr>
                <w:sz w:val="16"/>
                <w:szCs w:val="16"/>
              </w:rPr>
              <w:t>LNG carrier</w:t>
            </w:r>
          </w:p>
        </w:tc>
        <w:tc>
          <w:tcPr>
            <w:tcW w:w="244" w:type="dxa"/>
            <w:vAlign w:val="bottom"/>
          </w:tcPr>
          <w:p w14:paraId="6CB9CE3F" w14:textId="77777777" w:rsidR="00AC5C0C" w:rsidRPr="00B02BA3" w:rsidRDefault="00AC5C0C" w:rsidP="00922116">
            <w:pPr>
              <w:pStyle w:val="CellRowSpacer"/>
              <w:rPr>
                <w:sz w:val="16"/>
                <w:szCs w:val="16"/>
              </w:rPr>
            </w:pPr>
          </w:p>
        </w:tc>
        <w:tc>
          <w:tcPr>
            <w:tcW w:w="981" w:type="dxa"/>
            <w:vAlign w:val="bottom"/>
          </w:tcPr>
          <w:p w14:paraId="2F2A29A5" w14:textId="77777777" w:rsidR="00AC5C0C" w:rsidRPr="00B02BA3" w:rsidRDefault="00AC5C0C" w:rsidP="00922116">
            <w:pPr>
              <w:pStyle w:val="SmCellBody"/>
              <w:jc w:val="right"/>
              <w:rPr>
                <w:sz w:val="16"/>
                <w:szCs w:val="16"/>
              </w:rPr>
            </w:pPr>
            <w:r w:rsidRPr="00B02BA3">
              <w:rPr>
                <w:sz w:val="16"/>
                <w:szCs w:val="16"/>
              </w:rPr>
              <w:t>80</w:t>
            </w:r>
          </w:p>
        </w:tc>
        <w:tc>
          <w:tcPr>
            <w:tcW w:w="244" w:type="dxa"/>
            <w:vAlign w:val="bottom"/>
          </w:tcPr>
          <w:p w14:paraId="7F8C6200" w14:textId="77777777" w:rsidR="00AC5C0C" w:rsidRPr="00B02BA3" w:rsidRDefault="00AC5C0C" w:rsidP="00922116">
            <w:pPr>
              <w:pStyle w:val="CellRowSpacer"/>
              <w:rPr>
                <w:sz w:val="16"/>
                <w:szCs w:val="16"/>
              </w:rPr>
            </w:pPr>
            <w:r w:rsidRPr="00B02BA3">
              <w:rPr>
                <w:sz w:val="16"/>
                <w:szCs w:val="16"/>
                <w:vertAlign w:val="superscript"/>
              </w:rPr>
              <w:t>(2)</w:t>
            </w:r>
          </w:p>
        </w:tc>
        <w:tc>
          <w:tcPr>
            <w:tcW w:w="981" w:type="dxa"/>
            <w:vAlign w:val="bottom"/>
          </w:tcPr>
          <w:p w14:paraId="479889A5" w14:textId="77777777" w:rsidR="00AC5C0C" w:rsidRPr="00B02BA3" w:rsidRDefault="00AC5C0C" w:rsidP="00922116">
            <w:pPr>
              <w:pStyle w:val="SmCellBody"/>
              <w:jc w:val="right"/>
              <w:rPr>
                <w:sz w:val="16"/>
                <w:szCs w:val="16"/>
              </w:rPr>
            </w:pPr>
            <w:r w:rsidRPr="00B02BA3">
              <w:rPr>
                <w:sz w:val="16"/>
                <w:szCs w:val="16"/>
              </w:rPr>
              <w:t>2005</w:t>
            </w:r>
          </w:p>
        </w:tc>
        <w:tc>
          <w:tcPr>
            <w:tcW w:w="244" w:type="dxa"/>
            <w:vAlign w:val="bottom"/>
          </w:tcPr>
          <w:p w14:paraId="41E54B4B" w14:textId="77777777" w:rsidR="00AC5C0C" w:rsidRPr="00B02BA3" w:rsidRDefault="00AC5C0C" w:rsidP="00922116">
            <w:pPr>
              <w:pStyle w:val="CellRowSpacer"/>
              <w:rPr>
                <w:sz w:val="16"/>
                <w:szCs w:val="16"/>
              </w:rPr>
            </w:pPr>
          </w:p>
        </w:tc>
        <w:tc>
          <w:tcPr>
            <w:tcW w:w="981" w:type="dxa"/>
            <w:vAlign w:val="bottom"/>
          </w:tcPr>
          <w:p w14:paraId="1486599C" w14:textId="77777777" w:rsidR="00AC5C0C" w:rsidRPr="00B02BA3" w:rsidRDefault="00AC5C0C" w:rsidP="00922116">
            <w:pPr>
              <w:pStyle w:val="SmCellBody"/>
              <w:jc w:val="right"/>
              <w:rPr>
                <w:sz w:val="16"/>
                <w:szCs w:val="16"/>
              </w:rPr>
            </w:pPr>
            <w:r w:rsidRPr="00B02BA3">
              <w:rPr>
                <w:sz w:val="16"/>
                <w:szCs w:val="16"/>
              </w:rPr>
              <w:t>Panama</w:t>
            </w:r>
          </w:p>
        </w:tc>
        <w:tc>
          <w:tcPr>
            <w:tcW w:w="196" w:type="dxa"/>
            <w:vAlign w:val="bottom"/>
          </w:tcPr>
          <w:p w14:paraId="01287597" w14:textId="77777777" w:rsidR="00AC5C0C" w:rsidRPr="00B02BA3" w:rsidRDefault="00AC5C0C" w:rsidP="00922116">
            <w:pPr>
              <w:pStyle w:val="CellRowSpacer"/>
              <w:rPr>
                <w:sz w:val="16"/>
                <w:szCs w:val="16"/>
              </w:rPr>
            </w:pPr>
          </w:p>
        </w:tc>
      </w:tr>
      <w:tr w:rsidR="00AC5C0C" w:rsidRPr="00B02BA3" w14:paraId="589CD170" w14:textId="77777777" w:rsidTr="00922116">
        <w:trPr>
          <w:trHeight w:val="379"/>
        </w:trPr>
        <w:tc>
          <w:tcPr>
            <w:tcW w:w="2736" w:type="dxa"/>
            <w:vAlign w:val="bottom"/>
          </w:tcPr>
          <w:p w14:paraId="4732D390" w14:textId="77777777" w:rsidR="00AC5C0C" w:rsidRPr="00B02BA3" w:rsidRDefault="00AC5C0C" w:rsidP="00922116">
            <w:pPr>
              <w:pStyle w:val="SmCellBody"/>
              <w:tabs>
                <w:tab w:val="right" w:leader="dot" w:pos="3163"/>
              </w:tabs>
              <w:rPr>
                <w:sz w:val="16"/>
                <w:szCs w:val="16"/>
              </w:rPr>
            </w:pPr>
            <w:r w:rsidRPr="00B02BA3">
              <w:rPr>
                <w:sz w:val="16"/>
                <w:szCs w:val="16"/>
              </w:rPr>
              <w:t>Adam LNG</w:t>
            </w:r>
            <w:r w:rsidRPr="00B02BA3">
              <w:rPr>
                <w:rFonts w:eastAsia="SimSun"/>
                <w:sz w:val="16"/>
                <w:szCs w:val="16"/>
              </w:rPr>
              <w:tab/>
            </w:r>
          </w:p>
        </w:tc>
        <w:tc>
          <w:tcPr>
            <w:tcW w:w="243" w:type="dxa"/>
            <w:vAlign w:val="bottom"/>
          </w:tcPr>
          <w:p w14:paraId="03EB0682" w14:textId="77777777" w:rsidR="00AC5C0C" w:rsidRPr="00B02BA3" w:rsidRDefault="00AC5C0C" w:rsidP="00922116">
            <w:pPr>
              <w:pStyle w:val="CellRowSpacer"/>
              <w:rPr>
                <w:sz w:val="16"/>
                <w:szCs w:val="16"/>
              </w:rPr>
            </w:pPr>
          </w:p>
        </w:tc>
        <w:tc>
          <w:tcPr>
            <w:tcW w:w="981" w:type="dxa"/>
            <w:vAlign w:val="bottom"/>
          </w:tcPr>
          <w:p w14:paraId="6A655415" w14:textId="77777777" w:rsidR="00AC5C0C" w:rsidRPr="00B02BA3" w:rsidRDefault="00AC5C0C" w:rsidP="00922116">
            <w:pPr>
              <w:pStyle w:val="SmCellBody"/>
              <w:jc w:val="right"/>
              <w:rPr>
                <w:sz w:val="16"/>
                <w:szCs w:val="16"/>
              </w:rPr>
            </w:pPr>
            <w:r w:rsidRPr="00B02BA3">
              <w:rPr>
                <w:sz w:val="16"/>
                <w:szCs w:val="16"/>
              </w:rPr>
              <w:t>162,000</w:t>
            </w:r>
          </w:p>
        </w:tc>
        <w:tc>
          <w:tcPr>
            <w:tcW w:w="248" w:type="dxa"/>
          </w:tcPr>
          <w:p w14:paraId="4C57A5EF" w14:textId="77777777" w:rsidR="00AC5C0C" w:rsidRPr="00B02BA3" w:rsidRDefault="00AC5C0C" w:rsidP="00922116">
            <w:pPr>
              <w:pStyle w:val="SmCellBody"/>
              <w:jc w:val="right"/>
              <w:rPr>
                <w:sz w:val="16"/>
                <w:szCs w:val="16"/>
              </w:rPr>
            </w:pPr>
          </w:p>
        </w:tc>
        <w:tc>
          <w:tcPr>
            <w:tcW w:w="981" w:type="dxa"/>
            <w:vAlign w:val="bottom"/>
          </w:tcPr>
          <w:p w14:paraId="5985A8C6" w14:textId="77777777" w:rsidR="00AC5C0C" w:rsidRPr="00B02BA3" w:rsidRDefault="00AC5C0C" w:rsidP="00922116">
            <w:pPr>
              <w:pStyle w:val="SmCellBody"/>
              <w:jc w:val="right"/>
              <w:rPr>
                <w:sz w:val="16"/>
                <w:szCs w:val="16"/>
              </w:rPr>
            </w:pPr>
            <w:r w:rsidRPr="00B02BA3">
              <w:rPr>
                <w:sz w:val="16"/>
                <w:szCs w:val="16"/>
              </w:rPr>
              <w:t>LNG carrier</w:t>
            </w:r>
          </w:p>
        </w:tc>
        <w:tc>
          <w:tcPr>
            <w:tcW w:w="244" w:type="dxa"/>
            <w:vAlign w:val="bottom"/>
          </w:tcPr>
          <w:p w14:paraId="77A8A3CB" w14:textId="77777777" w:rsidR="00AC5C0C" w:rsidRPr="00B02BA3" w:rsidRDefault="00AC5C0C" w:rsidP="00922116">
            <w:pPr>
              <w:pStyle w:val="CellRowSpacer"/>
              <w:rPr>
                <w:sz w:val="16"/>
                <w:szCs w:val="16"/>
              </w:rPr>
            </w:pPr>
          </w:p>
        </w:tc>
        <w:tc>
          <w:tcPr>
            <w:tcW w:w="981" w:type="dxa"/>
            <w:vAlign w:val="bottom"/>
          </w:tcPr>
          <w:p w14:paraId="1BA0AA38" w14:textId="77777777" w:rsidR="00AC5C0C" w:rsidRPr="00B02BA3" w:rsidRDefault="00AC5C0C" w:rsidP="00922116">
            <w:pPr>
              <w:pStyle w:val="SmCellBody"/>
              <w:jc w:val="right"/>
              <w:rPr>
                <w:sz w:val="16"/>
                <w:szCs w:val="16"/>
              </w:rPr>
            </w:pPr>
            <w:r w:rsidRPr="00B02BA3">
              <w:rPr>
                <w:sz w:val="16"/>
                <w:szCs w:val="16"/>
              </w:rPr>
              <w:t>100</w:t>
            </w:r>
          </w:p>
        </w:tc>
        <w:tc>
          <w:tcPr>
            <w:tcW w:w="244" w:type="dxa"/>
            <w:vAlign w:val="bottom"/>
          </w:tcPr>
          <w:p w14:paraId="7DAEE967" w14:textId="77777777" w:rsidR="00AC5C0C" w:rsidRPr="00B02BA3" w:rsidRDefault="00AC5C0C" w:rsidP="00922116">
            <w:pPr>
              <w:pStyle w:val="CellRowSpacer"/>
              <w:rPr>
                <w:sz w:val="16"/>
                <w:szCs w:val="16"/>
              </w:rPr>
            </w:pPr>
          </w:p>
        </w:tc>
        <w:tc>
          <w:tcPr>
            <w:tcW w:w="981" w:type="dxa"/>
            <w:vAlign w:val="bottom"/>
          </w:tcPr>
          <w:p w14:paraId="3A3D0410" w14:textId="77777777" w:rsidR="00AC5C0C" w:rsidRPr="00B02BA3" w:rsidRDefault="00AC5C0C" w:rsidP="00922116">
            <w:pPr>
              <w:pStyle w:val="SmCellBody"/>
              <w:jc w:val="right"/>
              <w:rPr>
                <w:sz w:val="16"/>
                <w:szCs w:val="16"/>
              </w:rPr>
            </w:pPr>
            <w:r w:rsidRPr="00B02BA3">
              <w:rPr>
                <w:sz w:val="16"/>
                <w:szCs w:val="16"/>
              </w:rPr>
              <w:t>2014</w:t>
            </w:r>
          </w:p>
        </w:tc>
        <w:tc>
          <w:tcPr>
            <w:tcW w:w="244" w:type="dxa"/>
            <w:vAlign w:val="bottom"/>
          </w:tcPr>
          <w:p w14:paraId="51D1A62A" w14:textId="77777777" w:rsidR="00AC5C0C" w:rsidRPr="00B02BA3" w:rsidRDefault="00AC5C0C" w:rsidP="00922116">
            <w:pPr>
              <w:pStyle w:val="CellRowSpacer"/>
              <w:rPr>
                <w:sz w:val="16"/>
                <w:szCs w:val="16"/>
              </w:rPr>
            </w:pPr>
          </w:p>
        </w:tc>
        <w:tc>
          <w:tcPr>
            <w:tcW w:w="981" w:type="dxa"/>
            <w:vAlign w:val="bottom"/>
          </w:tcPr>
          <w:p w14:paraId="72E0769E" w14:textId="77777777" w:rsidR="00AC5C0C" w:rsidRPr="00B02BA3" w:rsidRDefault="00AC5C0C" w:rsidP="00922116">
            <w:pPr>
              <w:pStyle w:val="SmCellBody"/>
              <w:jc w:val="right"/>
              <w:rPr>
                <w:sz w:val="16"/>
                <w:szCs w:val="16"/>
              </w:rPr>
            </w:pPr>
            <w:r w:rsidRPr="00B02BA3">
              <w:rPr>
                <w:sz w:val="16"/>
                <w:szCs w:val="16"/>
              </w:rPr>
              <w:t>Marshall Islands</w:t>
            </w:r>
          </w:p>
        </w:tc>
        <w:tc>
          <w:tcPr>
            <w:tcW w:w="196" w:type="dxa"/>
            <w:vAlign w:val="bottom"/>
          </w:tcPr>
          <w:p w14:paraId="283371AD" w14:textId="77777777" w:rsidR="00AC5C0C" w:rsidRPr="00B02BA3" w:rsidRDefault="00AC5C0C" w:rsidP="00922116">
            <w:pPr>
              <w:pStyle w:val="CellRowSpacer"/>
              <w:rPr>
                <w:sz w:val="16"/>
                <w:szCs w:val="16"/>
              </w:rPr>
            </w:pPr>
          </w:p>
        </w:tc>
      </w:tr>
      <w:tr w:rsidR="00AC5C0C" w:rsidRPr="00B02BA3" w14:paraId="760935A9" w14:textId="77777777" w:rsidTr="00922116">
        <w:trPr>
          <w:trHeight w:val="379"/>
        </w:trPr>
        <w:tc>
          <w:tcPr>
            <w:tcW w:w="2736" w:type="dxa"/>
            <w:vAlign w:val="bottom"/>
          </w:tcPr>
          <w:p w14:paraId="131B9C7E" w14:textId="77777777" w:rsidR="00AC5C0C" w:rsidRPr="00B02BA3" w:rsidRDefault="00AC5C0C" w:rsidP="00922116">
            <w:pPr>
              <w:pStyle w:val="SmCellBody"/>
              <w:tabs>
                <w:tab w:val="right" w:leader="dot" w:pos="3163"/>
              </w:tabs>
              <w:rPr>
                <w:sz w:val="16"/>
                <w:szCs w:val="16"/>
              </w:rPr>
            </w:pPr>
            <w:proofErr w:type="spellStart"/>
            <w:r w:rsidRPr="00B02BA3">
              <w:rPr>
                <w:sz w:val="16"/>
                <w:szCs w:val="16"/>
              </w:rPr>
              <w:t>Musanah</w:t>
            </w:r>
            <w:proofErr w:type="spellEnd"/>
            <w:r w:rsidRPr="00B02BA3">
              <w:rPr>
                <w:rFonts w:eastAsia="SimSun"/>
                <w:sz w:val="16"/>
                <w:szCs w:val="16"/>
              </w:rPr>
              <w:tab/>
            </w:r>
          </w:p>
        </w:tc>
        <w:tc>
          <w:tcPr>
            <w:tcW w:w="243" w:type="dxa"/>
            <w:vAlign w:val="bottom"/>
          </w:tcPr>
          <w:p w14:paraId="254F4958" w14:textId="77777777" w:rsidR="00AC5C0C" w:rsidRPr="00B02BA3" w:rsidRDefault="00AC5C0C" w:rsidP="00922116">
            <w:pPr>
              <w:pStyle w:val="CellRowSpacer"/>
              <w:rPr>
                <w:sz w:val="16"/>
                <w:szCs w:val="16"/>
              </w:rPr>
            </w:pPr>
          </w:p>
        </w:tc>
        <w:tc>
          <w:tcPr>
            <w:tcW w:w="981" w:type="dxa"/>
            <w:vAlign w:val="bottom"/>
          </w:tcPr>
          <w:p w14:paraId="6DBD77F4" w14:textId="77777777" w:rsidR="00AC5C0C" w:rsidRPr="00B02BA3" w:rsidRDefault="00AC5C0C" w:rsidP="00922116">
            <w:pPr>
              <w:pStyle w:val="SmCellBody"/>
              <w:jc w:val="right"/>
              <w:rPr>
                <w:sz w:val="16"/>
                <w:szCs w:val="16"/>
              </w:rPr>
            </w:pPr>
            <w:r w:rsidRPr="00B02BA3">
              <w:rPr>
                <w:sz w:val="16"/>
                <w:szCs w:val="16"/>
              </w:rPr>
              <w:t>70,000</w:t>
            </w:r>
          </w:p>
        </w:tc>
        <w:tc>
          <w:tcPr>
            <w:tcW w:w="248" w:type="dxa"/>
          </w:tcPr>
          <w:p w14:paraId="18AFB451" w14:textId="77777777" w:rsidR="00AC5C0C" w:rsidRPr="00B02BA3" w:rsidRDefault="00AC5C0C" w:rsidP="00922116">
            <w:pPr>
              <w:pStyle w:val="SmCellBody"/>
              <w:jc w:val="right"/>
              <w:rPr>
                <w:sz w:val="16"/>
                <w:szCs w:val="16"/>
              </w:rPr>
            </w:pPr>
          </w:p>
        </w:tc>
        <w:tc>
          <w:tcPr>
            <w:tcW w:w="981" w:type="dxa"/>
            <w:vAlign w:val="bottom"/>
          </w:tcPr>
          <w:p w14:paraId="27A557D3" w14:textId="77777777" w:rsidR="00AC5C0C" w:rsidRPr="00B02BA3" w:rsidRDefault="00AC5C0C" w:rsidP="00922116">
            <w:pPr>
              <w:pStyle w:val="SmCellBody"/>
              <w:jc w:val="right"/>
              <w:rPr>
                <w:sz w:val="16"/>
                <w:szCs w:val="16"/>
              </w:rPr>
            </w:pPr>
            <w:r w:rsidRPr="00B02BA3">
              <w:rPr>
                <w:sz w:val="16"/>
                <w:szCs w:val="16"/>
              </w:rPr>
              <w:t>VLGC</w:t>
            </w:r>
          </w:p>
        </w:tc>
        <w:tc>
          <w:tcPr>
            <w:tcW w:w="244" w:type="dxa"/>
            <w:vAlign w:val="bottom"/>
          </w:tcPr>
          <w:p w14:paraId="0D270FAC" w14:textId="77777777" w:rsidR="00AC5C0C" w:rsidRPr="00B02BA3" w:rsidRDefault="00AC5C0C" w:rsidP="00922116">
            <w:pPr>
              <w:pStyle w:val="CellRowSpacer"/>
              <w:rPr>
                <w:sz w:val="16"/>
                <w:szCs w:val="16"/>
              </w:rPr>
            </w:pPr>
          </w:p>
        </w:tc>
        <w:tc>
          <w:tcPr>
            <w:tcW w:w="981" w:type="dxa"/>
            <w:vAlign w:val="bottom"/>
          </w:tcPr>
          <w:p w14:paraId="2E91010B" w14:textId="77777777" w:rsidR="00AC5C0C" w:rsidRPr="00B02BA3" w:rsidRDefault="00AC5C0C" w:rsidP="00922116">
            <w:pPr>
              <w:pStyle w:val="SmCellBody"/>
              <w:jc w:val="right"/>
              <w:rPr>
                <w:sz w:val="16"/>
                <w:szCs w:val="16"/>
              </w:rPr>
            </w:pPr>
            <w:r w:rsidRPr="00B02BA3">
              <w:rPr>
                <w:sz w:val="16"/>
                <w:szCs w:val="16"/>
              </w:rPr>
              <w:t>50</w:t>
            </w:r>
          </w:p>
        </w:tc>
        <w:tc>
          <w:tcPr>
            <w:tcW w:w="244" w:type="dxa"/>
            <w:vAlign w:val="bottom"/>
          </w:tcPr>
          <w:p w14:paraId="0BE1C862" w14:textId="77777777" w:rsidR="00AC5C0C" w:rsidRPr="00B02BA3" w:rsidRDefault="00AC5C0C" w:rsidP="00922116">
            <w:pPr>
              <w:pStyle w:val="CellRowSpacer"/>
              <w:rPr>
                <w:sz w:val="16"/>
                <w:szCs w:val="16"/>
              </w:rPr>
            </w:pPr>
            <w:r w:rsidRPr="00B02BA3">
              <w:rPr>
                <w:sz w:val="16"/>
                <w:szCs w:val="16"/>
                <w:vertAlign w:val="superscript"/>
              </w:rPr>
              <w:t>(2)</w:t>
            </w:r>
          </w:p>
        </w:tc>
        <w:tc>
          <w:tcPr>
            <w:tcW w:w="981" w:type="dxa"/>
            <w:vAlign w:val="bottom"/>
          </w:tcPr>
          <w:p w14:paraId="6FD112B8" w14:textId="77777777" w:rsidR="00AC5C0C" w:rsidRPr="00B02BA3" w:rsidRDefault="00AC5C0C" w:rsidP="00922116">
            <w:pPr>
              <w:pStyle w:val="SmCellBody"/>
              <w:jc w:val="right"/>
              <w:rPr>
                <w:sz w:val="16"/>
                <w:szCs w:val="16"/>
              </w:rPr>
            </w:pPr>
            <w:r w:rsidRPr="00B02BA3">
              <w:rPr>
                <w:sz w:val="16"/>
                <w:szCs w:val="16"/>
              </w:rPr>
              <w:t>2009</w:t>
            </w:r>
          </w:p>
        </w:tc>
        <w:tc>
          <w:tcPr>
            <w:tcW w:w="244" w:type="dxa"/>
            <w:vAlign w:val="bottom"/>
          </w:tcPr>
          <w:p w14:paraId="42C802BF" w14:textId="77777777" w:rsidR="00AC5C0C" w:rsidRPr="00B02BA3" w:rsidRDefault="00AC5C0C" w:rsidP="00922116">
            <w:pPr>
              <w:pStyle w:val="CellRowSpacer"/>
              <w:rPr>
                <w:sz w:val="16"/>
                <w:szCs w:val="16"/>
              </w:rPr>
            </w:pPr>
          </w:p>
        </w:tc>
        <w:tc>
          <w:tcPr>
            <w:tcW w:w="981" w:type="dxa"/>
            <w:vAlign w:val="bottom"/>
          </w:tcPr>
          <w:p w14:paraId="0E1E346E" w14:textId="77777777" w:rsidR="00AC5C0C" w:rsidRPr="00B02BA3" w:rsidRDefault="00AC5C0C" w:rsidP="00922116">
            <w:pPr>
              <w:pStyle w:val="SmCellBody"/>
              <w:jc w:val="right"/>
              <w:rPr>
                <w:sz w:val="16"/>
                <w:szCs w:val="16"/>
              </w:rPr>
            </w:pPr>
            <w:r w:rsidRPr="00B02BA3">
              <w:rPr>
                <w:sz w:val="16"/>
                <w:szCs w:val="16"/>
              </w:rPr>
              <w:t>Panama</w:t>
            </w:r>
          </w:p>
        </w:tc>
        <w:tc>
          <w:tcPr>
            <w:tcW w:w="196" w:type="dxa"/>
            <w:vAlign w:val="bottom"/>
          </w:tcPr>
          <w:p w14:paraId="37CE07AC" w14:textId="77777777" w:rsidR="00AC5C0C" w:rsidRPr="00B02BA3" w:rsidRDefault="00AC5C0C" w:rsidP="00922116">
            <w:pPr>
              <w:pStyle w:val="CellRowSpacer"/>
              <w:rPr>
                <w:sz w:val="16"/>
                <w:szCs w:val="16"/>
              </w:rPr>
            </w:pPr>
          </w:p>
        </w:tc>
      </w:tr>
      <w:tr w:rsidR="00AC5C0C" w:rsidRPr="00B02BA3" w14:paraId="34B393BB" w14:textId="77777777" w:rsidTr="00922116">
        <w:trPr>
          <w:trHeight w:val="379"/>
        </w:trPr>
        <w:tc>
          <w:tcPr>
            <w:tcW w:w="2736" w:type="dxa"/>
            <w:vAlign w:val="bottom"/>
          </w:tcPr>
          <w:p w14:paraId="5A5C8EFA" w14:textId="77777777" w:rsidR="00AC5C0C" w:rsidRPr="00B02BA3" w:rsidRDefault="00AC5C0C" w:rsidP="00922116">
            <w:pPr>
              <w:pStyle w:val="SmCellBody"/>
              <w:tabs>
                <w:tab w:val="right" w:leader="dot" w:pos="3163"/>
              </w:tabs>
              <w:rPr>
                <w:b/>
                <w:bCs/>
                <w:sz w:val="16"/>
                <w:szCs w:val="16"/>
              </w:rPr>
            </w:pPr>
            <w:r w:rsidRPr="00B02BA3">
              <w:rPr>
                <w:b/>
                <w:bCs/>
                <w:sz w:val="16"/>
                <w:szCs w:val="16"/>
              </w:rPr>
              <w:t>Chartered-in</w:t>
            </w:r>
          </w:p>
        </w:tc>
        <w:tc>
          <w:tcPr>
            <w:tcW w:w="243" w:type="dxa"/>
            <w:vAlign w:val="bottom"/>
          </w:tcPr>
          <w:p w14:paraId="2BE5ECF4" w14:textId="77777777" w:rsidR="00AC5C0C" w:rsidRPr="00B02BA3" w:rsidRDefault="00AC5C0C" w:rsidP="00922116">
            <w:pPr>
              <w:pStyle w:val="CellRowSpacer"/>
              <w:rPr>
                <w:sz w:val="16"/>
                <w:szCs w:val="16"/>
              </w:rPr>
            </w:pPr>
          </w:p>
        </w:tc>
        <w:tc>
          <w:tcPr>
            <w:tcW w:w="981" w:type="dxa"/>
          </w:tcPr>
          <w:p w14:paraId="2EC02834" w14:textId="77777777" w:rsidR="00AC5C0C" w:rsidRPr="00B02BA3" w:rsidRDefault="00AC5C0C" w:rsidP="00922116">
            <w:pPr>
              <w:pStyle w:val="SmCellBody"/>
              <w:jc w:val="right"/>
              <w:rPr>
                <w:sz w:val="16"/>
                <w:szCs w:val="16"/>
              </w:rPr>
            </w:pPr>
          </w:p>
        </w:tc>
        <w:tc>
          <w:tcPr>
            <w:tcW w:w="248" w:type="dxa"/>
          </w:tcPr>
          <w:p w14:paraId="1CD32B62" w14:textId="77777777" w:rsidR="00AC5C0C" w:rsidRPr="00B02BA3" w:rsidRDefault="00AC5C0C" w:rsidP="00922116">
            <w:pPr>
              <w:pStyle w:val="SmCellBody"/>
              <w:jc w:val="right"/>
              <w:rPr>
                <w:sz w:val="16"/>
                <w:szCs w:val="16"/>
              </w:rPr>
            </w:pPr>
          </w:p>
        </w:tc>
        <w:tc>
          <w:tcPr>
            <w:tcW w:w="981" w:type="dxa"/>
            <w:vAlign w:val="bottom"/>
          </w:tcPr>
          <w:p w14:paraId="6C3415EE" w14:textId="77777777" w:rsidR="00AC5C0C" w:rsidRPr="00B02BA3" w:rsidRDefault="00AC5C0C" w:rsidP="00922116">
            <w:pPr>
              <w:pStyle w:val="SmCellBody"/>
              <w:jc w:val="right"/>
              <w:rPr>
                <w:sz w:val="16"/>
                <w:szCs w:val="16"/>
              </w:rPr>
            </w:pPr>
          </w:p>
        </w:tc>
        <w:tc>
          <w:tcPr>
            <w:tcW w:w="244" w:type="dxa"/>
            <w:vAlign w:val="bottom"/>
          </w:tcPr>
          <w:p w14:paraId="253A48AB" w14:textId="77777777" w:rsidR="00AC5C0C" w:rsidRPr="00B02BA3" w:rsidRDefault="00AC5C0C" w:rsidP="00922116">
            <w:pPr>
              <w:pStyle w:val="CellRowSpacer"/>
              <w:rPr>
                <w:sz w:val="16"/>
                <w:szCs w:val="16"/>
              </w:rPr>
            </w:pPr>
          </w:p>
        </w:tc>
        <w:tc>
          <w:tcPr>
            <w:tcW w:w="981" w:type="dxa"/>
            <w:vAlign w:val="bottom"/>
          </w:tcPr>
          <w:p w14:paraId="48028FAD" w14:textId="77777777" w:rsidR="00AC5C0C" w:rsidRPr="00B02BA3" w:rsidRDefault="00AC5C0C" w:rsidP="00922116">
            <w:pPr>
              <w:pStyle w:val="SmCellBody"/>
              <w:jc w:val="right"/>
              <w:rPr>
                <w:sz w:val="16"/>
                <w:szCs w:val="16"/>
              </w:rPr>
            </w:pPr>
          </w:p>
        </w:tc>
        <w:tc>
          <w:tcPr>
            <w:tcW w:w="244" w:type="dxa"/>
            <w:vAlign w:val="bottom"/>
          </w:tcPr>
          <w:p w14:paraId="254ECB99" w14:textId="77777777" w:rsidR="00AC5C0C" w:rsidRPr="00B02BA3" w:rsidRDefault="00AC5C0C" w:rsidP="00922116">
            <w:pPr>
              <w:pStyle w:val="CellRowSpacer"/>
              <w:rPr>
                <w:sz w:val="16"/>
                <w:szCs w:val="16"/>
              </w:rPr>
            </w:pPr>
          </w:p>
        </w:tc>
        <w:tc>
          <w:tcPr>
            <w:tcW w:w="981" w:type="dxa"/>
            <w:vAlign w:val="bottom"/>
          </w:tcPr>
          <w:p w14:paraId="5AE567B3" w14:textId="77777777" w:rsidR="00AC5C0C" w:rsidRPr="00B02BA3" w:rsidRDefault="00AC5C0C" w:rsidP="00922116">
            <w:pPr>
              <w:pStyle w:val="SmCellBody"/>
              <w:jc w:val="right"/>
              <w:rPr>
                <w:sz w:val="16"/>
                <w:szCs w:val="16"/>
              </w:rPr>
            </w:pPr>
          </w:p>
        </w:tc>
        <w:tc>
          <w:tcPr>
            <w:tcW w:w="244" w:type="dxa"/>
            <w:vAlign w:val="bottom"/>
          </w:tcPr>
          <w:p w14:paraId="2DC823EE" w14:textId="77777777" w:rsidR="00AC5C0C" w:rsidRPr="00B02BA3" w:rsidRDefault="00AC5C0C" w:rsidP="00922116">
            <w:pPr>
              <w:pStyle w:val="CellRowSpacer"/>
              <w:rPr>
                <w:sz w:val="16"/>
                <w:szCs w:val="16"/>
              </w:rPr>
            </w:pPr>
          </w:p>
        </w:tc>
        <w:tc>
          <w:tcPr>
            <w:tcW w:w="981" w:type="dxa"/>
            <w:vAlign w:val="bottom"/>
          </w:tcPr>
          <w:p w14:paraId="72173C7F" w14:textId="77777777" w:rsidR="00AC5C0C" w:rsidRPr="00B02BA3" w:rsidRDefault="00AC5C0C" w:rsidP="00922116">
            <w:pPr>
              <w:pStyle w:val="SmCellBody"/>
              <w:jc w:val="right"/>
              <w:rPr>
                <w:sz w:val="16"/>
                <w:szCs w:val="16"/>
              </w:rPr>
            </w:pPr>
          </w:p>
        </w:tc>
        <w:tc>
          <w:tcPr>
            <w:tcW w:w="196" w:type="dxa"/>
            <w:vAlign w:val="bottom"/>
          </w:tcPr>
          <w:p w14:paraId="0078C894" w14:textId="77777777" w:rsidR="00AC5C0C" w:rsidRPr="00B02BA3" w:rsidRDefault="00AC5C0C" w:rsidP="00922116">
            <w:pPr>
              <w:pStyle w:val="CellRowSpacer"/>
              <w:rPr>
                <w:sz w:val="16"/>
                <w:szCs w:val="16"/>
              </w:rPr>
            </w:pPr>
          </w:p>
        </w:tc>
      </w:tr>
      <w:tr w:rsidR="00AC5C0C" w:rsidRPr="00B02BA3" w14:paraId="739D00CF" w14:textId="77777777" w:rsidTr="00922116">
        <w:trPr>
          <w:trHeight w:val="379"/>
        </w:trPr>
        <w:tc>
          <w:tcPr>
            <w:tcW w:w="2736" w:type="dxa"/>
            <w:vAlign w:val="bottom"/>
          </w:tcPr>
          <w:p w14:paraId="68374F17" w14:textId="77777777" w:rsidR="00AC5C0C" w:rsidRPr="00B02BA3" w:rsidRDefault="00AC5C0C" w:rsidP="00922116">
            <w:pPr>
              <w:pStyle w:val="SmCellBody"/>
              <w:tabs>
                <w:tab w:val="right" w:leader="dot" w:pos="3163"/>
              </w:tabs>
              <w:rPr>
                <w:sz w:val="16"/>
                <w:szCs w:val="16"/>
              </w:rPr>
            </w:pPr>
            <w:r w:rsidRPr="00B02BA3">
              <w:rPr>
                <w:sz w:val="16"/>
                <w:szCs w:val="16"/>
              </w:rPr>
              <w:t>Waasmunster</w:t>
            </w:r>
            <w:r w:rsidRPr="00B02BA3">
              <w:rPr>
                <w:rFonts w:eastAsia="SimSun"/>
                <w:sz w:val="16"/>
                <w:szCs w:val="16"/>
              </w:rPr>
              <w:tab/>
            </w:r>
          </w:p>
        </w:tc>
        <w:tc>
          <w:tcPr>
            <w:tcW w:w="243" w:type="dxa"/>
            <w:vAlign w:val="bottom"/>
          </w:tcPr>
          <w:p w14:paraId="2CE208C0" w14:textId="77777777" w:rsidR="00AC5C0C" w:rsidRPr="00B02BA3" w:rsidRDefault="00AC5C0C" w:rsidP="00922116">
            <w:pPr>
              <w:pStyle w:val="CellRowSpacer"/>
              <w:rPr>
                <w:sz w:val="16"/>
                <w:szCs w:val="16"/>
              </w:rPr>
            </w:pPr>
          </w:p>
        </w:tc>
        <w:tc>
          <w:tcPr>
            <w:tcW w:w="981" w:type="dxa"/>
            <w:vAlign w:val="bottom"/>
          </w:tcPr>
          <w:p w14:paraId="76767262" w14:textId="77777777" w:rsidR="00AC5C0C" w:rsidRPr="00B02BA3" w:rsidRDefault="00AC5C0C" w:rsidP="00922116">
            <w:pPr>
              <w:pStyle w:val="SmCellBody"/>
              <w:jc w:val="right"/>
              <w:rPr>
                <w:sz w:val="16"/>
                <w:szCs w:val="16"/>
              </w:rPr>
            </w:pPr>
            <w:r w:rsidRPr="00B02BA3">
              <w:rPr>
                <w:sz w:val="16"/>
                <w:szCs w:val="16"/>
              </w:rPr>
              <w:t>35,000 – 40,000</w:t>
            </w:r>
          </w:p>
        </w:tc>
        <w:tc>
          <w:tcPr>
            <w:tcW w:w="248" w:type="dxa"/>
          </w:tcPr>
          <w:p w14:paraId="390F0221" w14:textId="77777777" w:rsidR="00AC5C0C" w:rsidRPr="00B02BA3" w:rsidRDefault="00AC5C0C" w:rsidP="00922116">
            <w:pPr>
              <w:pStyle w:val="SmCellBody"/>
              <w:jc w:val="right"/>
              <w:rPr>
                <w:sz w:val="16"/>
                <w:szCs w:val="16"/>
              </w:rPr>
            </w:pPr>
          </w:p>
        </w:tc>
        <w:tc>
          <w:tcPr>
            <w:tcW w:w="981" w:type="dxa"/>
            <w:vAlign w:val="bottom"/>
          </w:tcPr>
          <w:p w14:paraId="0FD16E74" w14:textId="77777777" w:rsidR="00AC5C0C" w:rsidRPr="00B02BA3" w:rsidRDefault="00AC5C0C" w:rsidP="00922116">
            <w:pPr>
              <w:pStyle w:val="SmCellBody"/>
              <w:jc w:val="right"/>
              <w:rPr>
                <w:sz w:val="16"/>
                <w:szCs w:val="16"/>
              </w:rPr>
            </w:pPr>
            <w:r w:rsidRPr="00B02BA3">
              <w:rPr>
                <w:sz w:val="16"/>
                <w:szCs w:val="16"/>
              </w:rPr>
              <w:t>MGC</w:t>
            </w:r>
          </w:p>
        </w:tc>
        <w:tc>
          <w:tcPr>
            <w:tcW w:w="244" w:type="dxa"/>
            <w:vAlign w:val="bottom"/>
          </w:tcPr>
          <w:p w14:paraId="70871009" w14:textId="77777777" w:rsidR="00AC5C0C" w:rsidRPr="00B02BA3" w:rsidRDefault="00AC5C0C" w:rsidP="00922116">
            <w:pPr>
              <w:pStyle w:val="CellRowSpacer"/>
              <w:rPr>
                <w:sz w:val="16"/>
                <w:szCs w:val="16"/>
              </w:rPr>
            </w:pPr>
          </w:p>
        </w:tc>
        <w:tc>
          <w:tcPr>
            <w:tcW w:w="981" w:type="dxa"/>
            <w:vAlign w:val="bottom"/>
          </w:tcPr>
          <w:p w14:paraId="087F1672" w14:textId="77777777" w:rsidR="00AC5C0C" w:rsidRPr="00B02BA3" w:rsidRDefault="00AC5C0C" w:rsidP="00922116">
            <w:pPr>
              <w:pStyle w:val="SmCellBody"/>
              <w:jc w:val="right"/>
              <w:rPr>
                <w:sz w:val="16"/>
                <w:szCs w:val="16"/>
              </w:rPr>
            </w:pPr>
            <w:r w:rsidRPr="00B02BA3">
              <w:rPr>
                <w:sz w:val="16"/>
                <w:szCs w:val="16"/>
              </w:rPr>
              <w:t>2025</w:t>
            </w:r>
          </w:p>
        </w:tc>
        <w:tc>
          <w:tcPr>
            <w:tcW w:w="244" w:type="dxa"/>
            <w:vAlign w:val="bottom"/>
          </w:tcPr>
          <w:p w14:paraId="0E8CB98E" w14:textId="77777777" w:rsidR="00AC5C0C" w:rsidRPr="00B02BA3" w:rsidRDefault="00AC5C0C" w:rsidP="00922116">
            <w:pPr>
              <w:pStyle w:val="CellRowSpacer"/>
              <w:rPr>
                <w:sz w:val="16"/>
                <w:szCs w:val="16"/>
              </w:rPr>
            </w:pPr>
          </w:p>
        </w:tc>
        <w:tc>
          <w:tcPr>
            <w:tcW w:w="981" w:type="dxa"/>
            <w:vAlign w:val="bottom"/>
          </w:tcPr>
          <w:p w14:paraId="47B74185" w14:textId="77777777" w:rsidR="00AC5C0C" w:rsidRPr="00B02BA3" w:rsidRDefault="00AC5C0C" w:rsidP="00922116">
            <w:pPr>
              <w:pStyle w:val="SmCellBody"/>
              <w:jc w:val="right"/>
              <w:rPr>
                <w:sz w:val="16"/>
                <w:szCs w:val="16"/>
              </w:rPr>
            </w:pPr>
            <w:r w:rsidRPr="00B02BA3">
              <w:rPr>
                <w:sz w:val="16"/>
                <w:szCs w:val="16"/>
              </w:rPr>
              <w:t>2014</w:t>
            </w:r>
          </w:p>
        </w:tc>
        <w:tc>
          <w:tcPr>
            <w:tcW w:w="244" w:type="dxa"/>
            <w:vAlign w:val="bottom"/>
          </w:tcPr>
          <w:p w14:paraId="5C59695A" w14:textId="77777777" w:rsidR="00AC5C0C" w:rsidRPr="00B02BA3" w:rsidRDefault="00AC5C0C" w:rsidP="00922116">
            <w:pPr>
              <w:pStyle w:val="CellRowSpacer"/>
              <w:rPr>
                <w:sz w:val="16"/>
                <w:szCs w:val="16"/>
              </w:rPr>
            </w:pPr>
          </w:p>
        </w:tc>
        <w:tc>
          <w:tcPr>
            <w:tcW w:w="981" w:type="dxa"/>
            <w:vAlign w:val="bottom"/>
          </w:tcPr>
          <w:p w14:paraId="6D2B79F5" w14:textId="77777777" w:rsidR="00AC5C0C" w:rsidRPr="00B02BA3" w:rsidRDefault="00AC5C0C" w:rsidP="00922116">
            <w:pPr>
              <w:pStyle w:val="SmCellBody"/>
              <w:jc w:val="right"/>
              <w:rPr>
                <w:sz w:val="16"/>
                <w:szCs w:val="16"/>
              </w:rPr>
            </w:pPr>
            <w:r w:rsidRPr="00B02BA3">
              <w:rPr>
                <w:sz w:val="16"/>
                <w:szCs w:val="16"/>
              </w:rPr>
              <w:t>Belgium</w:t>
            </w:r>
          </w:p>
        </w:tc>
        <w:tc>
          <w:tcPr>
            <w:tcW w:w="196" w:type="dxa"/>
            <w:vAlign w:val="bottom"/>
          </w:tcPr>
          <w:p w14:paraId="37F2AB28" w14:textId="77777777" w:rsidR="00AC5C0C" w:rsidRPr="00B02BA3" w:rsidRDefault="00AC5C0C" w:rsidP="00922116">
            <w:pPr>
              <w:pStyle w:val="CellRowSpacer"/>
              <w:rPr>
                <w:sz w:val="16"/>
                <w:szCs w:val="16"/>
              </w:rPr>
            </w:pPr>
          </w:p>
        </w:tc>
      </w:tr>
    </w:tbl>
    <w:p w14:paraId="6934F8E3" w14:textId="77777777" w:rsidR="00AC5C0C" w:rsidRPr="00334534" w:rsidRDefault="00AC5C0C" w:rsidP="00AC5C0C">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AC5C0C" w14:paraId="718B7CBF" w14:textId="77777777" w:rsidTr="00922116">
        <w:tc>
          <w:tcPr>
            <w:tcW w:w="1424" w:type="dxa"/>
            <w:tcBorders>
              <w:top w:val="single" w:sz="4" w:space="0" w:color="auto"/>
            </w:tcBorders>
            <w:vAlign w:val="bottom"/>
          </w:tcPr>
          <w:p w14:paraId="303D07B0"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الملاحظات:</w:t>
            </w:r>
          </w:p>
        </w:tc>
        <w:tc>
          <w:tcPr>
            <w:tcW w:w="7501" w:type="dxa"/>
            <w:vAlign w:val="bottom"/>
          </w:tcPr>
          <w:p w14:paraId="305CC201" w14:textId="77777777" w:rsidR="00334534" w:rsidRPr="00985281" w:rsidRDefault="00334534" w:rsidP="00334534">
            <w:pPr>
              <w:bidi/>
              <w:jc w:val="both"/>
              <w:rPr>
                <w:rFonts w:ascii="Traditional Arabic" w:hAnsi="Traditional Arabic" w:cs="Traditional Arabic"/>
                <w:sz w:val="24"/>
              </w:rPr>
            </w:pPr>
          </w:p>
        </w:tc>
      </w:tr>
      <w:tr w:rsidR="00334534" w:rsidRPr="00AC5C0C" w14:paraId="4BB5F3FC" w14:textId="77777777" w:rsidTr="00922116">
        <w:tc>
          <w:tcPr>
            <w:tcW w:w="8925" w:type="dxa"/>
            <w:gridSpan w:val="2"/>
            <w:vAlign w:val="bottom"/>
          </w:tcPr>
          <w:p w14:paraId="0F3DAA2B"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 xml:space="preserve">في حالة السفن المملوكة ملكية تامة أو </w:t>
            </w:r>
            <w:r w:rsidR="00E65E26">
              <w:rPr>
                <w:rFonts w:ascii="Traditional Arabic" w:hAnsi="Traditional Arabic" w:cs="Traditional Arabic"/>
                <w:sz w:val="24"/>
                <w:rtl/>
              </w:rPr>
              <w:t>بشكل مشترك</w:t>
            </w:r>
            <w:r w:rsidRPr="00985281">
              <w:rPr>
                <w:rFonts w:ascii="Traditional Arabic" w:hAnsi="Traditional Arabic" w:cs="Traditional Arabic"/>
                <w:sz w:val="24"/>
                <w:rtl/>
              </w:rPr>
              <w:t>، تمثل "الملكية (٪)" النسبة المئوية لملكية الشركة في الشركة المالكة للسفن. في حالة السفن المستأجرة، تمثل "مدة الاستئجار (سنة انتهاء الصلاحية)" سنة انتهاء الصلاحية.</w:t>
            </w:r>
          </w:p>
        </w:tc>
      </w:tr>
      <w:tr w:rsidR="00334534" w:rsidRPr="00AC5C0C" w14:paraId="133A99B3" w14:textId="77777777" w:rsidTr="00922116">
        <w:tc>
          <w:tcPr>
            <w:tcW w:w="8925" w:type="dxa"/>
            <w:gridSpan w:val="2"/>
            <w:vAlign w:val="bottom"/>
          </w:tcPr>
          <w:p w14:paraId="1E5DE583"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تحتفظ شركة متسوي بحصة الملكية المتبقية.</w:t>
            </w:r>
          </w:p>
        </w:tc>
      </w:tr>
      <w:tr w:rsidR="00334534" w:rsidRPr="00AC5C0C" w14:paraId="5B81BC93" w14:textId="77777777" w:rsidTr="00922116">
        <w:tc>
          <w:tcPr>
            <w:tcW w:w="8925" w:type="dxa"/>
            <w:gridSpan w:val="2"/>
            <w:vAlign w:val="bottom"/>
          </w:tcPr>
          <w:p w14:paraId="4A2729F7"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وتعود حقوق الملكية المتبقية إلى شركة متسوي (بنسبة 20 في المائة) وشركة إيتوتشو كوربوريشن (بنسبة 20 في المائة).</w:t>
            </w:r>
          </w:p>
        </w:tc>
      </w:tr>
    </w:tbl>
    <w:p w14:paraId="1B2C370F" w14:textId="77777777" w:rsidR="00AC5C0C" w:rsidRDefault="00AC5C0C" w:rsidP="00334534">
      <w:pPr>
        <w:bidi/>
        <w:jc w:val="both"/>
        <w:rPr>
          <w:rFonts w:ascii="Traditional Arabic" w:hAnsi="Traditional Arabic" w:cs="Traditional Arabic"/>
          <w:sz w:val="30"/>
          <w:szCs w:val="30"/>
          <w:rtl/>
        </w:rPr>
      </w:pPr>
    </w:p>
    <w:p w14:paraId="0A490442"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تخدم ناقلات الغاز الطبيعي المسال التابعة للشركة </w:t>
      </w:r>
      <w:r w:rsidR="004D2178">
        <w:rPr>
          <w:rFonts w:ascii="Traditional Arabic" w:hAnsi="Traditional Arabic" w:cs="Traditional Arabic" w:hint="cs"/>
          <w:sz w:val="30"/>
          <w:szCs w:val="30"/>
          <w:rtl/>
        </w:rPr>
        <w:t>بشكل أساسي</w:t>
      </w:r>
      <w:r w:rsidRPr="00334534">
        <w:rPr>
          <w:rFonts w:ascii="Traditional Arabic" w:hAnsi="Traditional Arabic" w:cs="Traditional Arabic"/>
          <w:sz w:val="30"/>
          <w:szCs w:val="30"/>
          <w:rtl/>
        </w:rPr>
        <w:t xml:space="preserve"> الأسواق الآسيوية، بما في ذلك الصين وكوريا الجنوبية واليابان، وتدعم عملاء مثل الشركة العمانية للغاز الطبيعي المسال وأدنوك وجونفور. </w:t>
      </w:r>
      <w:r w:rsidR="00AC5C0C">
        <w:rPr>
          <w:rFonts w:ascii="Traditional Arabic" w:hAnsi="Traditional Arabic" w:cs="Traditional Arabic" w:hint="cs"/>
          <w:sz w:val="30"/>
          <w:szCs w:val="30"/>
          <w:rtl/>
        </w:rPr>
        <w:t>و</w:t>
      </w:r>
      <w:r w:rsidRPr="00334534">
        <w:rPr>
          <w:rFonts w:ascii="Traditional Arabic" w:hAnsi="Traditional Arabic" w:cs="Traditional Arabic"/>
          <w:sz w:val="30"/>
          <w:szCs w:val="30"/>
          <w:rtl/>
        </w:rPr>
        <w:t xml:space="preserve">تركز سفينة نقل الغاز العملاقة التابعة للشركة على الطرق التي تربط بين الشرق الأقصى وأمريكا الشمالية، بينما تنقل سفينة نقل الغاز متوسطة الحجم الأمونيا وغاز البترول المسال على الطرق داخل المنطقة الإقليمية والتجارة عبر المسافات المتوسطة من صلالة إلى الساحل الغربي للهند والمحيط الهندي. توضح الخرائط التالية مسارات السفن الحالية للشركة لقطاع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البضائع السائبة الجافة:</w:t>
      </w:r>
    </w:p>
    <w:p w14:paraId="2E35083B"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 xml:space="preserve"> </w:t>
      </w:r>
      <w:r w:rsidRPr="00334534">
        <w:rPr>
          <w:rFonts w:ascii="Traditional Arabic" w:hAnsi="Traditional Arabic" w:cs="Traditional Arabic"/>
          <w:noProof/>
          <w:sz w:val="30"/>
          <w:szCs w:val="30"/>
        </w:rPr>
        <w:drawing>
          <wp:inline distT="0" distB="0" distL="0" distR="0" wp14:anchorId="589578A3" wp14:editId="7941F6BA">
            <wp:extent cx="5553075" cy="3051522"/>
            <wp:effectExtent l="0" t="0" r="0" b="0"/>
            <wp:docPr id="1759603176" name="Picture 1" descr="A map of a shi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603176" name="Picture 1" descr="A map of a ship  Description automatically generated"/>
                    <pic:cNvPicPr/>
                  </pic:nvPicPr>
                  <pic:blipFill>
                    <a:blip r:embed="rId74"/>
                    <a:stretch>
                      <a:fillRect/>
                    </a:stretch>
                  </pic:blipFill>
                  <pic:spPr>
                    <a:xfrm>
                      <a:off x="0" y="0"/>
                      <a:ext cx="5559288" cy="3054936"/>
                    </a:xfrm>
                    <a:prstGeom prst="rect">
                      <a:avLst/>
                    </a:prstGeom>
                  </pic:spPr>
                </pic:pic>
              </a:graphicData>
            </a:graphic>
          </wp:inline>
        </w:drawing>
      </w:r>
    </w:p>
    <w:p w14:paraId="43899860" w14:textId="77777777" w:rsidR="00AC5C0C" w:rsidRDefault="00AC5C0C" w:rsidP="00334534">
      <w:pPr>
        <w:bidi/>
        <w:jc w:val="both"/>
        <w:rPr>
          <w:rFonts w:ascii="Traditional Arabic" w:hAnsi="Traditional Arabic" w:cs="Traditional Arabic"/>
          <w:sz w:val="30"/>
          <w:szCs w:val="30"/>
          <w:rtl/>
        </w:rPr>
      </w:pPr>
    </w:p>
    <w:p w14:paraId="10A765A8"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حيث بلغ متوسط عمر السفن في هذا القطاع 13 عامًا حتى 30 سبتمبر 2024. بلغ متوسط المدة المتبقية لعقود نقل الغاز الخاصة بالشركة (باستثناء السفن المطلوبة) 18 شهرًا حتى 30 سبتمبر 2024. وبلغت القيمة الإجمالية لإيرادات العقود لقطاع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849</w:t>
      </w:r>
      <w:r w:rsidR="004053A9">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حتى 30 سبتمبر 2024. وشكل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ما نسبته 26 في المائة من </w:t>
      </w:r>
      <w:r w:rsidR="00C33918">
        <w:rPr>
          <w:rFonts w:ascii="Traditional Arabic" w:hAnsi="Traditional Arabic" w:cs="Traditional Arabic" w:hint="cs"/>
          <w:sz w:val="30"/>
          <w:szCs w:val="30"/>
          <w:rtl/>
        </w:rPr>
        <w:t>ممتلكات</w:t>
      </w:r>
      <w:r w:rsidR="00C33918" w:rsidRPr="00334534">
        <w:rPr>
          <w:rFonts w:ascii="Traditional Arabic" w:hAnsi="Traditional Arabic" w:cs="Traditional Arabic"/>
          <w:sz w:val="30"/>
          <w:szCs w:val="30"/>
          <w:rtl/>
        </w:rPr>
        <w:t xml:space="preserve"> الشركة </w:t>
      </w:r>
      <w:r w:rsidR="00C33918">
        <w:rPr>
          <w:rFonts w:ascii="Traditional Arabic" w:hAnsi="Traditional Arabic" w:cs="Traditional Arabic" w:hint="cs"/>
          <w:sz w:val="30"/>
          <w:szCs w:val="30"/>
          <w:rtl/>
        </w:rPr>
        <w:t xml:space="preserve">وناقلاتها ومعداتها </w:t>
      </w:r>
      <w:r w:rsidRPr="00334534">
        <w:rPr>
          <w:rFonts w:ascii="Traditional Arabic" w:hAnsi="Traditional Arabic" w:cs="Traditional Arabic"/>
          <w:sz w:val="30"/>
          <w:szCs w:val="30"/>
          <w:rtl/>
        </w:rPr>
        <w:t>كما في 31 ديسمبر 2023.</w:t>
      </w:r>
    </w:p>
    <w:p w14:paraId="00F39C27" w14:textId="77777777" w:rsidR="00AC5C0C" w:rsidRDefault="00AC5C0C" w:rsidP="00334534">
      <w:pPr>
        <w:bidi/>
        <w:jc w:val="both"/>
        <w:rPr>
          <w:rFonts w:ascii="Traditional Arabic" w:hAnsi="Traditional Arabic" w:cs="Traditional Arabic"/>
          <w:sz w:val="30"/>
          <w:szCs w:val="30"/>
          <w:rtl/>
        </w:rPr>
      </w:pPr>
    </w:p>
    <w:p w14:paraId="1CBA2789"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يوضح الجدول التالي معايير الأداء الرئيسية لقطاع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عن السنوات المنتهية في 31 ديسمبر 2021 و 2022 و 2023 والأشهر التسعة المنتهية في 30 سبتمبر 2023 و 2024:</w:t>
      </w:r>
    </w:p>
    <w:p w14:paraId="2C8B826C" w14:textId="77777777" w:rsidR="00334534" w:rsidRDefault="00334534" w:rsidP="00334534">
      <w:pPr>
        <w:bidi/>
        <w:jc w:val="both"/>
        <w:rPr>
          <w:rFonts w:ascii="Traditional Arabic" w:hAnsi="Traditional Arabic" w:cs="Traditional Arabic"/>
          <w:sz w:val="30"/>
          <w:szCs w:val="30"/>
          <w:rtl/>
        </w:rPr>
      </w:pPr>
    </w:p>
    <w:tbl>
      <w:tblPr>
        <w:tblW w:w="9048" w:type="dxa"/>
        <w:tblInd w:w="437" w:type="dxa"/>
        <w:tblLayout w:type="fixed"/>
        <w:tblCellMar>
          <w:left w:w="0" w:type="dxa"/>
          <w:right w:w="0" w:type="dxa"/>
        </w:tblCellMar>
        <w:tblLook w:val="0020" w:firstRow="1" w:lastRow="0" w:firstColumn="0" w:lastColumn="0" w:noHBand="0" w:noVBand="0"/>
      </w:tblPr>
      <w:tblGrid>
        <w:gridCol w:w="3141"/>
        <w:gridCol w:w="235"/>
        <w:gridCol w:w="901"/>
        <w:gridCol w:w="235"/>
        <w:gridCol w:w="900"/>
        <w:gridCol w:w="234"/>
        <w:gridCol w:w="900"/>
        <w:gridCol w:w="234"/>
        <w:gridCol w:w="900"/>
        <w:gridCol w:w="234"/>
        <w:gridCol w:w="900"/>
        <w:gridCol w:w="234"/>
      </w:tblGrid>
      <w:tr w:rsidR="00AC5C0C" w:rsidRPr="00B02BA3" w14:paraId="5255776C" w14:textId="77777777" w:rsidTr="00922116">
        <w:trPr>
          <w:tblHeader/>
        </w:trPr>
        <w:tc>
          <w:tcPr>
            <w:tcW w:w="3141" w:type="dxa"/>
            <w:vAlign w:val="bottom"/>
          </w:tcPr>
          <w:p w14:paraId="7F172B6E" w14:textId="77777777" w:rsidR="00AC5C0C" w:rsidRPr="00B02BA3" w:rsidRDefault="00AC5C0C" w:rsidP="00922116">
            <w:pPr>
              <w:pStyle w:val="VSmCellHead"/>
              <w:rPr>
                <w:sz w:val="16"/>
                <w:szCs w:val="16"/>
              </w:rPr>
            </w:pPr>
          </w:p>
        </w:tc>
        <w:tc>
          <w:tcPr>
            <w:tcW w:w="235" w:type="dxa"/>
            <w:vAlign w:val="bottom"/>
          </w:tcPr>
          <w:p w14:paraId="36EA1A61" w14:textId="77777777" w:rsidR="00AC5C0C" w:rsidRPr="00B02BA3" w:rsidRDefault="00AC5C0C" w:rsidP="00922116">
            <w:pPr>
              <w:pStyle w:val="CellRowSpacer"/>
              <w:spacing w:after="120"/>
              <w:rPr>
                <w:sz w:val="16"/>
                <w:szCs w:val="16"/>
              </w:rPr>
            </w:pPr>
          </w:p>
        </w:tc>
        <w:tc>
          <w:tcPr>
            <w:tcW w:w="3170" w:type="dxa"/>
            <w:gridSpan w:val="5"/>
            <w:tcBorders>
              <w:bottom w:val="single" w:sz="4" w:space="0" w:color="auto"/>
            </w:tcBorders>
            <w:vAlign w:val="bottom"/>
          </w:tcPr>
          <w:p w14:paraId="4E02BD66" w14:textId="77777777" w:rsidR="00AC5C0C" w:rsidRPr="00B02BA3" w:rsidRDefault="00AC5C0C" w:rsidP="00922116">
            <w:pPr>
              <w:pStyle w:val="VSmCellHead"/>
              <w:jc w:val="center"/>
              <w:rPr>
                <w:sz w:val="16"/>
                <w:szCs w:val="16"/>
              </w:rPr>
            </w:pPr>
            <w:r w:rsidRPr="00B02BA3">
              <w:rPr>
                <w:sz w:val="16"/>
                <w:szCs w:val="16"/>
              </w:rPr>
              <w:t>As at and for the year ended 31 December</w:t>
            </w:r>
          </w:p>
        </w:tc>
        <w:tc>
          <w:tcPr>
            <w:tcW w:w="234" w:type="dxa"/>
          </w:tcPr>
          <w:p w14:paraId="5A28DACE" w14:textId="77777777" w:rsidR="00AC5C0C" w:rsidRPr="00B02BA3" w:rsidRDefault="00AC5C0C" w:rsidP="00922116">
            <w:pPr>
              <w:pStyle w:val="CellRowSpacer"/>
              <w:spacing w:after="120"/>
              <w:rPr>
                <w:sz w:val="16"/>
                <w:szCs w:val="16"/>
              </w:rPr>
            </w:pPr>
          </w:p>
        </w:tc>
        <w:tc>
          <w:tcPr>
            <w:tcW w:w="2034" w:type="dxa"/>
            <w:gridSpan w:val="3"/>
            <w:tcBorders>
              <w:bottom w:val="single" w:sz="4" w:space="0" w:color="auto"/>
            </w:tcBorders>
            <w:vAlign w:val="bottom"/>
          </w:tcPr>
          <w:p w14:paraId="6C5EE820" w14:textId="77777777" w:rsidR="00AC5C0C" w:rsidRPr="00B02BA3" w:rsidRDefault="00AC5C0C" w:rsidP="00922116">
            <w:pPr>
              <w:pStyle w:val="VSmCellHead"/>
              <w:jc w:val="center"/>
              <w:rPr>
                <w:sz w:val="16"/>
                <w:szCs w:val="16"/>
              </w:rPr>
            </w:pPr>
            <w:r w:rsidRPr="00B02BA3">
              <w:rPr>
                <w:sz w:val="16"/>
                <w:szCs w:val="16"/>
              </w:rPr>
              <w:t>As at and for the nine months ended 30 September</w:t>
            </w:r>
          </w:p>
        </w:tc>
        <w:tc>
          <w:tcPr>
            <w:tcW w:w="234" w:type="dxa"/>
            <w:vAlign w:val="bottom"/>
          </w:tcPr>
          <w:p w14:paraId="0FFC04EB" w14:textId="77777777" w:rsidR="00AC5C0C" w:rsidRPr="00B02BA3" w:rsidRDefault="00AC5C0C" w:rsidP="00922116">
            <w:pPr>
              <w:pStyle w:val="CellRowSpacer"/>
              <w:spacing w:after="120"/>
              <w:rPr>
                <w:sz w:val="16"/>
                <w:szCs w:val="16"/>
              </w:rPr>
            </w:pPr>
          </w:p>
        </w:tc>
      </w:tr>
      <w:tr w:rsidR="00AC5C0C" w:rsidRPr="00B02BA3" w14:paraId="0E79762A" w14:textId="77777777" w:rsidTr="00922116">
        <w:trPr>
          <w:tblHeader/>
        </w:trPr>
        <w:tc>
          <w:tcPr>
            <w:tcW w:w="3141" w:type="dxa"/>
            <w:vAlign w:val="bottom"/>
          </w:tcPr>
          <w:p w14:paraId="33D35216" w14:textId="77777777" w:rsidR="00AC5C0C" w:rsidRPr="00B02BA3" w:rsidRDefault="00AC5C0C" w:rsidP="00922116">
            <w:pPr>
              <w:pStyle w:val="VSmCellHead"/>
              <w:rPr>
                <w:sz w:val="16"/>
                <w:szCs w:val="16"/>
              </w:rPr>
            </w:pPr>
          </w:p>
        </w:tc>
        <w:tc>
          <w:tcPr>
            <w:tcW w:w="235" w:type="dxa"/>
            <w:vAlign w:val="bottom"/>
          </w:tcPr>
          <w:p w14:paraId="4D00E664" w14:textId="77777777" w:rsidR="00AC5C0C" w:rsidRPr="00B02BA3" w:rsidRDefault="00AC5C0C" w:rsidP="00922116">
            <w:pPr>
              <w:pStyle w:val="CellRowSpacer"/>
              <w:spacing w:after="120"/>
              <w:rPr>
                <w:sz w:val="16"/>
                <w:szCs w:val="16"/>
              </w:rPr>
            </w:pPr>
          </w:p>
        </w:tc>
        <w:tc>
          <w:tcPr>
            <w:tcW w:w="901" w:type="dxa"/>
            <w:tcBorders>
              <w:top w:val="single" w:sz="4" w:space="0" w:color="auto"/>
              <w:bottom w:val="single" w:sz="4" w:space="0" w:color="auto"/>
            </w:tcBorders>
            <w:vAlign w:val="bottom"/>
          </w:tcPr>
          <w:p w14:paraId="36936059" w14:textId="77777777" w:rsidR="00AC5C0C" w:rsidRPr="00B02BA3" w:rsidRDefault="00AC5C0C" w:rsidP="00922116">
            <w:pPr>
              <w:pStyle w:val="VSmCellHead"/>
              <w:jc w:val="right"/>
              <w:rPr>
                <w:sz w:val="16"/>
                <w:szCs w:val="16"/>
              </w:rPr>
            </w:pPr>
            <w:r w:rsidRPr="00B02BA3">
              <w:rPr>
                <w:sz w:val="16"/>
                <w:szCs w:val="16"/>
              </w:rPr>
              <w:t>2021</w:t>
            </w:r>
          </w:p>
        </w:tc>
        <w:tc>
          <w:tcPr>
            <w:tcW w:w="235" w:type="dxa"/>
            <w:tcBorders>
              <w:top w:val="single" w:sz="4" w:space="0" w:color="auto"/>
            </w:tcBorders>
          </w:tcPr>
          <w:p w14:paraId="4EE3FDE3"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1B8FD937" w14:textId="77777777" w:rsidR="00AC5C0C" w:rsidRPr="00B02BA3" w:rsidRDefault="00AC5C0C" w:rsidP="00922116">
            <w:pPr>
              <w:pStyle w:val="VSmCellHead"/>
              <w:jc w:val="right"/>
              <w:rPr>
                <w:sz w:val="16"/>
                <w:szCs w:val="16"/>
              </w:rPr>
            </w:pPr>
            <w:r w:rsidRPr="00B02BA3">
              <w:rPr>
                <w:sz w:val="16"/>
                <w:szCs w:val="16"/>
              </w:rPr>
              <w:t>2022</w:t>
            </w:r>
          </w:p>
        </w:tc>
        <w:tc>
          <w:tcPr>
            <w:tcW w:w="234" w:type="dxa"/>
            <w:tcBorders>
              <w:top w:val="single" w:sz="4" w:space="0" w:color="auto"/>
            </w:tcBorders>
          </w:tcPr>
          <w:p w14:paraId="788CCE19"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4CCB7AFC" w14:textId="77777777" w:rsidR="00AC5C0C" w:rsidRPr="00B02BA3" w:rsidRDefault="00AC5C0C" w:rsidP="00922116">
            <w:pPr>
              <w:pStyle w:val="VSmCellHead"/>
              <w:jc w:val="right"/>
              <w:rPr>
                <w:sz w:val="16"/>
                <w:szCs w:val="16"/>
              </w:rPr>
            </w:pPr>
            <w:r w:rsidRPr="00B02BA3">
              <w:rPr>
                <w:sz w:val="16"/>
                <w:szCs w:val="16"/>
              </w:rPr>
              <w:t>2023</w:t>
            </w:r>
          </w:p>
        </w:tc>
        <w:tc>
          <w:tcPr>
            <w:tcW w:w="234" w:type="dxa"/>
          </w:tcPr>
          <w:p w14:paraId="3539F096"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0ACF7892" w14:textId="77777777" w:rsidR="00AC5C0C" w:rsidRPr="00B02BA3" w:rsidRDefault="00AC5C0C" w:rsidP="00922116">
            <w:pPr>
              <w:pStyle w:val="VSmCellHead"/>
              <w:jc w:val="right"/>
              <w:rPr>
                <w:sz w:val="16"/>
                <w:szCs w:val="16"/>
              </w:rPr>
            </w:pPr>
            <w:r w:rsidRPr="00B02BA3">
              <w:rPr>
                <w:sz w:val="16"/>
                <w:szCs w:val="16"/>
              </w:rPr>
              <w:t>2023</w:t>
            </w:r>
          </w:p>
        </w:tc>
        <w:tc>
          <w:tcPr>
            <w:tcW w:w="234" w:type="dxa"/>
            <w:tcBorders>
              <w:top w:val="single" w:sz="4" w:space="0" w:color="auto"/>
            </w:tcBorders>
          </w:tcPr>
          <w:p w14:paraId="545136DB"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4AB243C7" w14:textId="77777777" w:rsidR="00AC5C0C" w:rsidRPr="00B02BA3" w:rsidRDefault="00AC5C0C" w:rsidP="00922116">
            <w:pPr>
              <w:pStyle w:val="VSmCellHead"/>
              <w:jc w:val="right"/>
              <w:rPr>
                <w:sz w:val="16"/>
                <w:szCs w:val="16"/>
              </w:rPr>
            </w:pPr>
            <w:r w:rsidRPr="00B02BA3">
              <w:rPr>
                <w:sz w:val="16"/>
                <w:szCs w:val="16"/>
              </w:rPr>
              <w:t>2024</w:t>
            </w:r>
          </w:p>
        </w:tc>
        <w:tc>
          <w:tcPr>
            <w:tcW w:w="234" w:type="dxa"/>
            <w:vAlign w:val="bottom"/>
          </w:tcPr>
          <w:p w14:paraId="33DF096D" w14:textId="77777777" w:rsidR="00AC5C0C" w:rsidRPr="00B02BA3" w:rsidRDefault="00AC5C0C" w:rsidP="00922116">
            <w:pPr>
              <w:pStyle w:val="CellRowSpacer"/>
              <w:spacing w:after="120"/>
              <w:rPr>
                <w:sz w:val="16"/>
                <w:szCs w:val="16"/>
              </w:rPr>
            </w:pPr>
          </w:p>
        </w:tc>
      </w:tr>
      <w:tr w:rsidR="00A26A98" w:rsidRPr="00B02BA3" w14:paraId="438DCA7F" w14:textId="77777777" w:rsidTr="00922116">
        <w:tc>
          <w:tcPr>
            <w:tcW w:w="3141" w:type="dxa"/>
          </w:tcPr>
          <w:p w14:paraId="64B6DB62" w14:textId="77777777" w:rsidR="00A26A98" w:rsidRPr="00B02BA3" w:rsidRDefault="00A26A98" w:rsidP="00A26A98">
            <w:pPr>
              <w:pStyle w:val="CellBodyIndent1"/>
              <w:tabs>
                <w:tab w:val="right" w:leader="dot" w:pos="3168"/>
              </w:tabs>
              <w:ind w:left="15"/>
              <w:rPr>
                <w:sz w:val="16"/>
                <w:szCs w:val="16"/>
              </w:rPr>
            </w:pPr>
            <w:r w:rsidRPr="00B02BA3">
              <w:rPr>
                <w:rFonts w:eastAsia="SimSun"/>
                <w:sz w:val="16"/>
                <w:szCs w:val="16"/>
              </w:rPr>
              <w:t>Number of vessels</w:t>
            </w:r>
            <w:r w:rsidRPr="00B02BA3">
              <w:rPr>
                <w:rFonts w:eastAsia="SimSun"/>
                <w:sz w:val="16"/>
                <w:szCs w:val="16"/>
                <w:vertAlign w:val="superscript"/>
              </w:rPr>
              <w:t>(1)</w:t>
            </w:r>
            <w:r w:rsidRPr="00B02BA3">
              <w:rPr>
                <w:rFonts w:eastAsia="SimSun"/>
                <w:sz w:val="16"/>
                <w:szCs w:val="16"/>
              </w:rPr>
              <w:tab/>
            </w:r>
          </w:p>
        </w:tc>
        <w:tc>
          <w:tcPr>
            <w:tcW w:w="235" w:type="dxa"/>
          </w:tcPr>
          <w:p w14:paraId="560B2C4C" w14:textId="77777777" w:rsidR="00A26A98" w:rsidRPr="00B02BA3" w:rsidRDefault="00A26A98" w:rsidP="00A26A98">
            <w:pPr>
              <w:pStyle w:val="CellRowSpacer"/>
              <w:rPr>
                <w:sz w:val="16"/>
                <w:szCs w:val="16"/>
              </w:rPr>
            </w:pPr>
          </w:p>
        </w:tc>
        <w:tc>
          <w:tcPr>
            <w:tcW w:w="901" w:type="dxa"/>
            <w:vAlign w:val="bottom"/>
          </w:tcPr>
          <w:p w14:paraId="05AF3675" w14:textId="77777777" w:rsidR="00A26A98" w:rsidRPr="00B02BA3" w:rsidRDefault="00A26A98" w:rsidP="00A26A98">
            <w:pPr>
              <w:pStyle w:val="VSmCellBody"/>
              <w:jc w:val="right"/>
              <w:rPr>
                <w:sz w:val="16"/>
                <w:szCs w:val="16"/>
              </w:rPr>
            </w:pPr>
            <w:r w:rsidRPr="00B02BA3">
              <w:rPr>
                <w:color w:val="000000"/>
                <w:kern w:val="0"/>
                <w:sz w:val="16"/>
                <w:szCs w:val="16"/>
              </w:rPr>
              <w:t>7</w:t>
            </w:r>
          </w:p>
        </w:tc>
        <w:tc>
          <w:tcPr>
            <w:tcW w:w="235" w:type="dxa"/>
          </w:tcPr>
          <w:p w14:paraId="2DC8C7A0" w14:textId="77777777" w:rsidR="00A26A98" w:rsidRPr="00B02BA3" w:rsidRDefault="00A26A98" w:rsidP="00A26A98">
            <w:pPr>
              <w:pStyle w:val="CellRowSpacer"/>
              <w:rPr>
                <w:sz w:val="16"/>
                <w:szCs w:val="16"/>
              </w:rPr>
            </w:pPr>
          </w:p>
        </w:tc>
        <w:tc>
          <w:tcPr>
            <w:tcW w:w="900" w:type="dxa"/>
            <w:vAlign w:val="bottom"/>
          </w:tcPr>
          <w:p w14:paraId="0A9F038B" w14:textId="77777777" w:rsidR="00A26A98" w:rsidRPr="00B02BA3" w:rsidRDefault="00A26A98" w:rsidP="00A26A98">
            <w:pPr>
              <w:pStyle w:val="VSmCellBody"/>
              <w:jc w:val="right"/>
              <w:rPr>
                <w:sz w:val="16"/>
                <w:szCs w:val="16"/>
              </w:rPr>
            </w:pPr>
            <w:r w:rsidRPr="00B02BA3">
              <w:rPr>
                <w:color w:val="000000"/>
                <w:kern w:val="0"/>
                <w:sz w:val="16"/>
                <w:szCs w:val="16"/>
              </w:rPr>
              <w:t>7</w:t>
            </w:r>
          </w:p>
        </w:tc>
        <w:tc>
          <w:tcPr>
            <w:tcW w:w="234" w:type="dxa"/>
            <w:vAlign w:val="bottom"/>
          </w:tcPr>
          <w:p w14:paraId="1157AABD" w14:textId="77777777" w:rsidR="00A26A98" w:rsidRPr="00B02BA3" w:rsidRDefault="00A26A98" w:rsidP="00A26A98">
            <w:pPr>
              <w:pStyle w:val="CellRowSpacer"/>
              <w:rPr>
                <w:sz w:val="16"/>
                <w:szCs w:val="16"/>
              </w:rPr>
            </w:pPr>
          </w:p>
        </w:tc>
        <w:tc>
          <w:tcPr>
            <w:tcW w:w="900" w:type="dxa"/>
            <w:vAlign w:val="bottom"/>
          </w:tcPr>
          <w:p w14:paraId="6B3DD3D3" w14:textId="77777777" w:rsidR="00A26A98" w:rsidRPr="00B02BA3" w:rsidRDefault="00A26A98" w:rsidP="00A26A98">
            <w:pPr>
              <w:pStyle w:val="VSmCellBody"/>
              <w:jc w:val="right"/>
              <w:rPr>
                <w:sz w:val="16"/>
                <w:szCs w:val="16"/>
              </w:rPr>
            </w:pPr>
            <w:r w:rsidRPr="00B02BA3">
              <w:rPr>
                <w:color w:val="000000"/>
                <w:kern w:val="0"/>
                <w:sz w:val="16"/>
                <w:szCs w:val="16"/>
              </w:rPr>
              <w:t>8</w:t>
            </w:r>
          </w:p>
        </w:tc>
        <w:tc>
          <w:tcPr>
            <w:tcW w:w="234" w:type="dxa"/>
          </w:tcPr>
          <w:p w14:paraId="3DF42436" w14:textId="77777777" w:rsidR="00A26A98" w:rsidRPr="00B02BA3" w:rsidRDefault="00A26A98" w:rsidP="00A26A98">
            <w:pPr>
              <w:pStyle w:val="CellRowSpacer"/>
              <w:rPr>
                <w:sz w:val="16"/>
                <w:szCs w:val="16"/>
              </w:rPr>
            </w:pPr>
          </w:p>
        </w:tc>
        <w:tc>
          <w:tcPr>
            <w:tcW w:w="900" w:type="dxa"/>
            <w:vAlign w:val="bottom"/>
          </w:tcPr>
          <w:p w14:paraId="5A1E0E72" w14:textId="77777777" w:rsidR="00A26A98" w:rsidRPr="007D35D4" w:rsidRDefault="00A26A98" w:rsidP="00A26A98">
            <w:pPr>
              <w:pStyle w:val="VSmCellBody"/>
              <w:jc w:val="right"/>
              <w:rPr>
                <w:sz w:val="16"/>
                <w:szCs w:val="16"/>
              </w:rPr>
            </w:pPr>
            <w:r w:rsidRPr="00B02BA3">
              <w:rPr>
                <w:color w:val="000000"/>
                <w:kern w:val="0"/>
                <w:sz w:val="16"/>
                <w:szCs w:val="16"/>
              </w:rPr>
              <w:t>8</w:t>
            </w:r>
          </w:p>
        </w:tc>
        <w:tc>
          <w:tcPr>
            <w:tcW w:w="234" w:type="dxa"/>
          </w:tcPr>
          <w:p w14:paraId="4E1D1BA8" w14:textId="77777777" w:rsidR="00A26A98" w:rsidRPr="00B02BA3" w:rsidRDefault="00A26A98" w:rsidP="00A26A98">
            <w:pPr>
              <w:pStyle w:val="CellRowSpacer"/>
              <w:rPr>
                <w:sz w:val="16"/>
                <w:szCs w:val="16"/>
              </w:rPr>
            </w:pPr>
          </w:p>
        </w:tc>
        <w:tc>
          <w:tcPr>
            <w:tcW w:w="900" w:type="dxa"/>
            <w:vAlign w:val="bottom"/>
          </w:tcPr>
          <w:p w14:paraId="4DBAD99E" w14:textId="77777777" w:rsidR="00A26A98" w:rsidRPr="00B02BA3" w:rsidRDefault="00A26A98" w:rsidP="00A26A98">
            <w:pPr>
              <w:pStyle w:val="VSmCellBody"/>
              <w:jc w:val="right"/>
              <w:rPr>
                <w:sz w:val="16"/>
                <w:szCs w:val="16"/>
              </w:rPr>
            </w:pPr>
            <w:r w:rsidRPr="00B02BA3">
              <w:rPr>
                <w:color w:val="000000"/>
                <w:kern w:val="0"/>
                <w:sz w:val="16"/>
                <w:szCs w:val="16"/>
              </w:rPr>
              <w:t>8</w:t>
            </w:r>
          </w:p>
        </w:tc>
        <w:tc>
          <w:tcPr>
            <w:tcW w:w="234" w:type="dxa"/>
            <w:vAlign w:val="bottom"/>
          </w:tcPr>
          <w:p w14:paraId="143B5738" w14:textId="77777777" w:rsidR="00A26A98" w:rsidRPr="00B02BA3" w:rsidRDefault="00A26A98" w:rsidP="00A26A98">
            <w:pPr>
              <w:pStyle w:val="CellRowSpacer"/>
              <w:rPr>
                <w:sz w:val="16"/>
                <w:szCs w:val="16"/>
              </w:rPr>
            </w:pPr>
          </w:p>
        </w:tc>
      </w:tr>
      <w:tr w:rsidR="00A26A98" w:rsidRPr="00B02BA3" w14:paraId="74570F20" w14:textId="77777777" w:rsidTr="00922116">
        <w:tc>
          <w:tcPr>
            <w:tcW w:w="3141" w:type="dxa"/>
          </w:tcPr>
          <w:p w14:paraId="319E4B18" w14:textId="77777777" w:rsidR="00A26A98" w:rsidRPr="00B02BA3" w:rsidRDefault="00A26A98" w:rsidP="00A26A98">
            <w:pPr>
              <w:pStyle w:val="CellBodyIndent1"/>
              <w:tabs>
                <w:tab w:val="right" w:leader="dot" w:pos="3168"/>
              </w:tabs>
              <w:ind w:left="15"/>
              <w:rPr>
                <w:rFonts w:eastAsia="SimSun"/>
                <w:sz w:val="16"/>
                <w:szCs w:val="16"/>
              </w:rPr>
            </w:pPr>
            <w:r w:rsidRPr="00B02BA3">
              <w:rPr>
                <w:rFonts w:eastAsia="SimSun"/>
                <w:sz w:val="16"/>
                <w:szCs w:val="16"/>
              </w:rPr>
              <w:t>Fleet utilisation rate</w:t>
            </w:r>
            <w:r w:rsidRPr="00B02BA3">
              <w:rPr>
                <w:rFonts w:eastAsia="SimSun"/>
                <w:sz w:val="16"/>
                <w:szCs w:val="16"/>
                <w:vertAlign w:val="superscript"/>
              </w:rPr>
              <w:t>(2)</w:t>
            </w:r>
            <w:r w:rsidRPr="00B02BA3">
              <w:rPr>
                <w:rFonts w:eastAsia="SimSun"/>
                <w:sz w:val="16"/>
                <w:szCs w:val="16"/>
              </w:rPr>
              <w:t xml:space="preserve"> (</w:t>
            </w:r>
            <w:r w:rsidRPr="00B02BA3">
              <w:rPr>
                <w:rFonts w:eastAsia="SimSun"/>
                <w:i/>
                <w:iCs/>
                <w:sz w:val="16"/>
                <w:szCs w:val="16"/>
              </w:rPr>
              <w:t>%</w:t>
            </w:r>
            <w:r w:rsidRPr="00B02BA3">
              <w:rPr>
                <w:rFonts w:eastAsia="SimSun"/>
                <w:sz w:val="16"/>
                <w:szCs w:val="16"/>
              </w:rPr>
              <w:t>)</w:t>
            </w:r>
            <w:r w:rsidRPr="00B02BA3">
              <w:rPr>
                <w:rFonts w:eastAsia="SimSun"/>
                <w:sz w:val="16"/>
                <w:szCs w:val="16"/>
              </w:rPr>
              <w:tab/>
            </w:r>
          </w:p>
        </w:tc>
        <w:tc>
          <w:tcPr>
            <w:tcW w:w="235" w:type="dxa"/>
          </w:tcPr>
          <w:p w14:paraId="20B3B335" w14:textId="77777777" w:rsidR="00A26A98" w:rsidRPr="00B02BA3" w:rsidRDefault="00A26A98" w:rsidP="00A26A98">
            <w:pPr>
              <w:pStyle w:val="CellRowSpacer"/>
              <w:rPr>
                <w:sz w:val="16"/>
                <w:szCs w:val="16"/>
              </w:rPr>
            </w:pPr>
          </w:p>
        </w:tc>
        <w:tc>
          <w:tcPr>
            <w:tcW w:w="901" w:type="dxa"/>
            <w:vAlign w:val="bottom"/>
          </w:tcPr>
          <w:p w14:paraId="28EEC9C7"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98.4</w:t>
            </w:r>
          </w:p>
        </w:tc>
        <w:tc>
          <w:tcPr>
            <w:tcW w:w="235" w:type="dxa"/>
          </w:tcPr>
          <w:p w14:paraId="6BBFA2BE" w14:textId="77777777" w:rsidR="00A26A98" w:rsidRPr="00B02BA3" w:rsidRDefault="00A26A98" w:rsidP="00A26A98">
            <w:pPr>
              <w:pStyle w:val="CellRowSpacer"/>
              <w:rPr>
                <w:sz w:val="16"/>
                <w:szCs w:val="16"/>
              </w:rPr>
            </w:pPr>
          </w:p>
        </w:tc>
        <w:tc>
          <w:tcPr>
            <w:tcW w:w="900" w:type="dxa"/>
            <w:vAlign w:val="bottom"/>
          </w:tcPr>
          <w:p w14:paraId="31D34FDB"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96.1</w:t>
            </w:r>
          </w:p>
        </w:tc>
        <w:tc>
          <w:tcPr>
            <w:tcW w:w="234" w:type="dxa"/>
            <w:vAlign w:val="bottom"/>
          </w:tcPr>
          <w:p w14:paraId="12AB4FB7" w14:textId="77777777" w:rsidR="00A26A98" w:rsidRPr="00B02BA3" w:rsidRDefault="00A26A98" w:rsidP="00A26A98">
            <w:pPr>
              <w:pStyle w:val="CellRowSpacer"/>
              <w:rPr>
                <w:sz w:val="16"/>
                <w:szCs w:val="16"/>
              </w:rPr>
            </w:pPr>
          </w:p>
        </w:tc>
        <w:tc>
          <w:tcPr>
            <w:tcW w:w="900" w:type="dxa"/>
            <w:vAlign w:val="bottom"/>
          </w:tcPr>
          <w:p w14:paraId="511DDA13"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99.2</w:t>
            </w:r>
          </w:p>
        </w:tc>
        <w:tc>
          <w:tcPr>
            <w:tcW w:w="234" w:type="dxa"/>
          </w:tcPr>
          <w:p w14:paraId="0143E665" w14:textId="77777777" w:rsidR="00A26A98" w:rsidRPr="00B02BA3" w:rsidRDefault="00A26A98" w:rsidP="00A26A98">
            <w:pPr>
              <w:pStyle w:val="CellRowSpacer"/>
              <w:rPr>
                <w:sz w:val="16"/>
                <w:szCs w:val="16"/>
              </w:rPr>
            </w:pPr>
          </w:p>
        </w:tc>
        <w:tc>
          <w:tcPr>
            <w:tcW w:w="900" w:type="dxa"/>
            <w:vAlign w:val="bottom"/>
          </w:tcPr>
          <w:p w14:paraId="24EA5BDA" w14:textId="77777777" w:rsidR="00A26A98" w:rsidRPr="007D35D4" w:rsidRDefault="00A26A98" w:rsidP="00A26A98">
            <w:pPr>
              <w:pStyle w:val="VSmCellBody"/>
              <w:jc w:val="right"/>
              <w:rPr>
                <w:color w:val="000000"/>
                <w:kern w:val="0"/>
                <w:sz w:val="16"/>
                <w:szCs w:val="16"/>
              </w:rPr>
            </w:pPr>
            <w:r w:rsidRPr="00B02BA3">
              <w:rPr>
                <w:color w:val="000000"/>
                <w:kern w:val="0"/>
                <w:sz w:val="16"/>
                <w:szCs w:val="16"/>
              </w:rPr>
              <w:t>99.2</w:t>
            </w:r>
          </w:p>
        </w:tc>
        <w:tc>
          <w:tcPr>
            <w:tcW w:w="234" w:type="dxa"/>
          </w:tcPr>
          <w:p w14:paraId="4DD285A6" w14:textId="77777777" w:rsidR="00A26A98" w:rsidRPr="00B02BA3" w:rsidRDefault="00A26A98" w:rsidP="00A26A98">
            <w:pPr>
              <w:pStyle w:val="CellRowSpacer"/>
              <w:rPr>
                <w:sz w:val="16"/>
                <w:szCs w:val="16"/>
              </w:rPr>
            </w:pPr>
          </w:p>
        </w:tc>
        <w:tc>
          <w:tcPr>
            <w:tcW w:w="900" w:type="dxa"/>
            <w:vAlign w:val="bottom"/>
          </w:tcPr>
          <w:p w14:paraId="205E1347"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94.0</w:t>
            </w:r>
          </w:p>
        </w:tc>
        <w:tc>
          <w:tcPr>
            <w:tcW w:w="234" w:type="dxa"/>
            <w:vAlign w:val="bottom"/>
          </w:tcPr>
          <w:p w14:paraId="54163E0B" w14:textId="77777777" w:rsidR="00A26A98" w:rsidRPr="00B02BA3" w:rsidRDefault="00A26A98" w:rsidP="00A26A98">
            <w:pPr>
              <w:pStyle w:val="CellRowSpacer"/>
              <w:rPr>
                <w:sz w:val="16"/>
                <w:szCs w:val="16"/>
              </w:rPr>
            </w:pPr>
          </w:p>
        </w:tc>
      </w:tr>
      <w:tr w:rsidR="00A26A98" w:rsidRPr="00B02BA3" w14:paraId="00EA6DD5" w14:textId="77777777" w:rsidTr="00922116">
        <w:tc>
          <w:tcPr>
            <w:tcW w:w="3141" w:type="dxa"/>
          </w:tcPr>
          <w:p w14:paraId="4AEC2461" w14:textId="77777777" w:rsidR="00A26A98" w:rsidRPr="00B02BA3" w:rsidRDefault="00A26A98" w:rsidP="00A26A98">
            <w:pPr>
              <w:pStyle w:val="CellBodyIndent1"/>
              <w:tabs>
                <w:tab w:val="right" w:leader="dot" w:pos="3168"/>
              </w:tabs>
              <w:ind w:left="15"/>
              <w:rPr>
                <w:rFonts w:eastAsia="SimSun"/>
                <w:sz w:val="16"/>
                <w:szCs w:val="16"/>
              </w:rPr>
            </w:pPr>
            <w:r>
              <w:rPr>
                <w:rFonts w:eastAsia="SimSun"/>
                <w:sz w:val="16"/>
                <w:szCs w:val="16"/>
              </w:rPr>
              <w:t>TCE</w:t>
            </w:r>
            <w:r w:rsidRPr="00B02BA3">
              <w:rPr>
                <w:rFonts w:eastAsia="SimSun"/>
                <w:sz w:val="16"/>
                <w:szCs w:val="16"/>
              </w:rPr>
              <w:t xml:space="preserve"> revenue</w:t>
            </w:r>
            <w:r w:rsidRPr="00B02BA3">
              <w:rPr>
                <w:rFonts w:eastAsia="SimSun"/>
                <w:sz w:val="16"/>
                <w:szCs w:val="16"/>
                <w:vertAlign w:val="superscript"/>
              </w:rPr>
              <w:t xml:space="preserve">(3) </w:t>
            </w:r>
            <w:r w:rsidRPr="00B02BA3">
              <w:rPr>
                <w:rFonts w:eastAsia="SimSun"/>
                <w:sz w:val="16"/>
                <w:szCs w:val="16"/>
              </w:rPr>
              <w:t>(</w:t>
            </w:r>
            <w:r w:rsidRPr="00B02BA3">
              <w:rPr>
                <w:rFonts w:eastAsia="SimSun"/>
                <w:i/>
                <w:iCs/>
                <w:sz w:val="16"/>
                <w:szCs w:val="16"/>
              </w:rPr>
              <w:t>U.S.$ millions</w:t>
            </w:r>
            <w:r w:rsidRPr="00B02BA3">
              <w:rPr>
                <w:rFonts w:eastAsia="SimSun"/>
                <w:sz w:val="16"/>
                <w:szCs w:val="16"/>
              </w:rPr>
              <w:t>)</w:t>
            </w:r>
            <w:r w:rsidRPr="00B02BA3">
              <w:rPr>
                <w:rFonts w:eastAsia="SimSun"/>
                <w:sz w:val="16"/>
                <w:szCs w:val="16"/>
              </w:rPr>
              <w:tab/>
            </w:r>
          </w:p>
        </w:tc>
        <w:tc>
          <w:tcPr>
            <w:tcW w:w="235" w:type="dxa"/>
          </w:tcPr>
          <w:p w14:paraId="603C6A7D" w14:textId="77777777" w:rsidR="00A26A98" w:rsidRPr="00B02BA3" w:rsidRDefault="00A26A98" w:rsidP="00A26A98">
            <w:pPr>
              <w:pStyle w:val="CellRowSpacer"/>
              <w:rPr>
                <w:sz w:val="16"/>
                <w:szCs w:val="16"/>
              </w:rPr>
            </w:pPr>
          </w:p>
        </w:tc>
        <w:tc>
          <w:tcPr>
            <w:tcW w:w="901" w:type="dxa"/>
            <w:vAlign w:val="bottom"/>
          </w:tcPr>
          <w:p w14:paraId="08CE21AB"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95.8</w:t>
            </w:r>
          </w:p>
        </w:tc>
        <w:tc>
          <w:tcPr>
            <w:tcW w:w="235" w:type="dxa"/>
          </w:tcPr>
          <w:p w14:paraId="66EE51F2" w14:textId="77777777" w:rsidR="00A26A98" w:rsidRPr="00B02BA3" w:rsidRDefault="00A26A98" w:rsidP="00A26A98">
            <w:pPr>
              <w:pStyle w:val="CellRowSpacer"/>
              <w:rPr>
                <w:sz w:val="16"/>
                <w:szCs w:val="16"/>
              </w:rPr>
            </w:pPr>
          </w:p>
        </w:tc>
        <w:tc>
          <w:tcPr>
            <w:tcW w:w="900" w:type="dxa"/>
            <w:vAlign w:val="bottom"/>
          </w:tcPr>
          <w:p w14:paraId="5FCA8CED"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110.1</w:t>
            </w:r>
          </w:p>
        </w:tc>
        <w:tc>
          <w:tcPr>
            <w:tcW w:w="234" w:type="dxa"/>
            <w:vAlign w:val="bottom"/>
          </w:tcPr>
          <w:p w14:paraId="788D3C08" w14:textId="77777777" w:rsidR="00A26A98" w:rsidRPr="00B02BA3" w:rsidRDefault="00A26A98" w:rsidP="00A26A98">
            <w:pPr>
              <w:pStyle w:val="CellRowSpacer"/>
              <w:rPr>
                <w:sz w:val="16"/>
                <w:szCs w:val="16"/>
              </w:rPr>
            </w:pPr>
          </w:p>
        </w:tc>
        <w:tc>
          <w:tcPr>
            <w:tcW w:w="900" w:type="dxa"/>
            <w:vAlign w:val="bottom"/>
          </w:tcPr>
          <w:p w14:paraId="5D44FA3D" w14:textId="77777777" w:rsidR="00A26A98" w:rsidRPr="00B02BA3" w:rsidRDefault="00E62222" w:rsidP="00A26A98">
            <w:pPr>
              <w:pStyle w:val="VSmCellBody"/>
              <w:jc w:val="right"/>
              <w:rPr>
                <w:color w:val="000000"/>
                <w:kern w:val="0"/>
                <w:sz w:val="16"/>
                <w:szCs w:val="16"/>
              </w:rPr>
            </w:pPr>
            <w:r>
              <w:rPr>
                <w:color w:val="000000"/>
                <w:kern w:val="0"/>
                <w:sz w:val="16"/>
                <w:szCs w:val="16"/>
              </w:rPr>
              <w:t>132.7</w:t>
            </w:r>
          </w:p>
        </w:tc>
        <w:tc>
          <w:tcPr>
            <w:tcW w:w="234" w:type="dxa"/>
          </w:tcPr>
          <w:p w14:paraId="3A40CF67" w14:textId="77777777" w:rsidR="00A26A98" w:rsidRPr="00B02BA3" w:rsidRDefault="00A26A98" w:rsidP="00A26A98">
            <w:pPr>
              <w:pStyle w:val="CellRowSpacer"/>
              <w:rPr>
                <w:sz w:val="16"/>
                <w:szCs w:val="16"/>
              </w:rPr>
            </w:pPr>
          </w:p>
        </w:tc>
        <w:tc>
          <w:tcPr>
            <w:tcW w:w="900" w:type="dxa"/>
            <w:vAlign w:val="bottom"/>
          </w:tcPr>
          <w:p w14:paraId="636162B4" w14:textId="77777777" w:rsidR="00A26A98" w:rsidRPr="007D35D4" w:rsidRDefault="00E62222" w:rsidP="00A26A98">
            <w:pPr>
              <w:pStyle w:val="VSmCellBody"/>
              <w:jc w:val="right"/>
              <w:rPr>
                <w:color w:val="000000"/>
                <w:kern w:val="0"/>
                <w:sz w:val="16"/>
                <w:szCs w:val="16"/>
              </w:rPr>
            </w:pPr>
            <w:r>
              <w:rPr>
                <w:color w:val="000000"/>
                <w:kern w:val="0"/>
                <w:sz w:val="16"/>
                <w:szCs w:val="16"/>
              </w:rPr>
              <w:t>99.2</w:t>
            </w:r>
          </w:p>
        </w:tc>
        <w:tc>
          <w:tcPr>
            <w:tcW w:w="234" w:type="dxa"/>
          </w:tcPr>
          <w:p w14:paraId="2A148DC0" w14:textId="77777777" w:rsidR="00A26A98" w:rsidRPr="007472B7" w:rsidRDefault="00A26A98" w:rsidP="00A26A98">
            <w:pPr>
              <w:pStyle w:val="CellRowSpacer"/>
              <w:rPr>
                <w:sz w:val="16"/>
                <w:szCs w:val="16"/>
              </w:rPr>
            </w:pPr>
          </w:p>
        </w:tc>
        <w:tc>
          <w:tcPr>
            <w:tcW w:w="900" w:type="dxa"/>
            <w:vAlign w:val="bottom"/>
          </w:tcPr>
          <w:p w14:paraId="718EC9FA" w14:textId="77777777" w:rsidR="00A26A98" w:rsidRPr="007472B7" w:rsidRDefault="00A26A98" w:rsidP="00A26A98">
            <w:pPr>
              <w:pStyle w:val="VSmCellBody"/>
              <w:jc w:val="right"/>
              <w:rPr>
                <w:color w:val="000000"/>
                <w:kern w:val="0"/>
                <w:sz w:val="16"/>
                <w:szCs w:val="16"/>
              </w:rPr>
            </w:pPr>
            <w:r w:rsidRPr="007472B7">
              <w:rPr>
                <w:color w:val="000000"/>
                <w:kern w:val="0"/>
                <w:sz w:val="16"/>
                <w:szCs w:val="16"/>
              </w:rPr>
              <w:t>97.5</w:t>
            </w:r>
          </w:p>
        </w:tc>
        <w:tc>
          <w:tcPr>
            <w:tcW w:w="234" w:type="dxa"/>
            <w:vAlign w:val="bottom"/>
          </w:tcPr>
          <w:p w14:paraId="0DE763C0" w14:textId="77777777" w:rsidR="00A26A98" w:rsidRPr="00B02BA3" w:rsidRDefault="00A26A98" w:rsidP="00A26A98">
            <w:pPr>
              <w:pStyle w:val="CellRowSpacer"/>
              <w:rPr>
                <w:sz w:val="16"/>
                <w:szCs w:val="16"/>
              </w:rPr>
            </w:pPr>
          </w:p>
        </w:tc>
      </w:tr>
      <w:tr w:rsidR="00A26A98" w:rsidRPr="00B02BA3" w14:paraId="42390A34" w14:textId="77777777" w:rsidTr="00922116">
        <w:tc>
          <w:tcPr>
            <w:tcW w:w="3141" w:type="dxa"/>
          </w:tcPr>
          <w:p w14:paraId="3C8436E2" w14:textId="77777777" w:rsidR="00A26A98" w:rsidRPr="00B02BA3" w:rsidRDefault="00A26A98" w:rsidP="00A26A98">
            <w:pPr>
              <w:pStyle w:val="CellBodyIndent1"/>
              <w:tabs>
                <w:tab w:val="right" w:leader="dot" w:pos="3168"/>
              </w:tabs>
              <w:ind w:left="15"/>
              <w:rPr>
                <w:rFonts w:eastAsia="SimSun"/>
                <w:sz w:val="16"/>
                <w:szCs w:val="16"/>
              </w:rPr>
            </w:pPr>
            <w:r w:rsidRPr="00B02BA3">
              <w:rPr>
                <w:rFonts w:eastAsia="SimSun"/>
                <w:sz w:val="16"/>
                <w:szCs w:val="16"/>
              </w:rPr>
              <w:t xml:space="preserve">LNG Carrier </w:t>
            </w:r>
            <w:r>
              <w:rPr>
                <w:rFonts w:eastAsia="SimSun"/>
                <w:sz w:val="16"/>
                <w:szCs w:val="16"/>
              </w:rPr>
              <w:t>TCE</w:t>
            </w:r>
            <w:r w:rsidRPr="00B02BA3">
              <w:rPr>
                <w:rFonts w:eastAsia="SimSun"/>
                <w:sz w:val="16"/>
                <w:szCs w:val="16"/>
              </w:rPr>
              <w:t xml:space="preserve"> rate</w:t>
            </w:r>
            <w:r w:rsidRPr="00B02BA3">
              <w:rPr>
                <w:rFonts w:eastAsia="SimSun"/>
                <w:sz w:val="16"/>
                <w:szCs w:val="16"/>
                <w:vertAlign w:val="superscript"/>
              </w:rPr>
              <w:t>(3)</w:t>
            </w:r>
            <w:r w:rsidRPr="00B02BA3">
              <w:rPr>
                <w:rFonts w:eastAsia="SimSun"/>
                <w:sz w:val="16"/>
                <w:szCs w:val="16"/>
              </w:rPr>
              <w:t xml:space="preserve"> (</w:t>
            </w:r>
            <w:r w:rsidRPr="00B02BA3">
              <w:rPr>
                <w:rFonts w:eastAsia="SimSun"/>
                <w:i/>
                <w:iCs/>
                <w:sz w:val="16"/>
                <w:szCs w:val="16"/>
              </w:rPr>
              <w:t>U.S.$/day</w:t>
            </w:r>
            <w:r w:rsidRPr="00B02BA3">
              <w:rPr>
                <w:rFonts w:eastAsia="SimSun"/>
                <w:sz w:val="16"/>
                <w:szCs w:val="16"/>
              </w:rPr>
              <w:t>)</w:t>
            </w:r>
            <w:r w:rsidRPr="00B02BA3">
              <w:rPr>
                <w:rFonts w:eastAsia="SimSun"/>
                <w:sz w:val="16"/>
                <w:szCs w:val="16"/>
              </w:rPr>
              <w:tab/>
            </w:r>
          </w:p>
        </w:tc>
        <w:tc>
          <w:tcPr>
            <w:tcW w:w="235" w:type="dxa"/>
          </w:tcPr>
          <w:p w14:paraId="373A3FEA" w14:textId="77777777" w:rsidR="00A26A98" w:rsidRPr="00B02BA3" w:rsidRDefault="00A26A98" w:rsidP="00A26A98">
            <w:pPr>
              <w:pStyle w:val="CellRowSpacer"/>
              <w:rPr>
                <w:sz w:val="16"/>
                <w:szCs w:val="16"/>
              </w:rPr>
            </w:pPr>
          </w:p>
        </w:tc>
        <w:tc>
          <w:tcPr>
            <w:tcW w:w="901" w:type="dxa"/>
            <w:vAlign w:val="bottom"/>
          </w:tcPr>
          <w:p w14:paraId="50B2C1B5"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63,961</w:t>
            </w:r>
          </w:p>
        </w:tc>
        <w:tc>
          <w:tcPr>
            <w:tcW w:w="235" w:type="dxa"/>
          </w:tcPr>
          <w:p w14:paraId="74BE2474" w14:textId="77777777" w:rsidR="00A26A98" w:rsidRPr="00B02BA3" w:rsidRDefault="00A26A98" w:rsidP="00A26A98">
            <w:pPr>
              <w:pStyle w:val="CellRowSpacer"/>
              <w:rPr>
                <w:sz w:val="16"/>
                <w:szCs w:val="16"/>
              </w:rPr>
            </w:pPr>
          </w:p>
        </w:tc>
        <w:tc>
          <w:tcPr>
            <w:tcW w:w="900" w:type="dxa"/>
            <w:vAlign w:val="bottom"/>
          </w:tcPr>
          <w:p w14:paraId="3D895EF7"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58,979</w:t>
            </w:r>
          </w:p>
        </w:tc>
        <w:tc>
          <w:tcPr>
            <w:tcW w:w="234" w:type="dxa"/>
            <w:vAlign w:val="bottom"/>
          </w:tcPr>
          <w:p w14:paraId="5A0D0810" w14:textId="77777777" w:rsidR="00A26A98" w:rsidRPr="00B02BA3" w:rsidRDefault="00A26A98" w:rsidP="00A26A98">
            <w:pPr>
              <w:pStyle w:val="CellRowSpacer"/>
              <w:rPr>
                <w:sz w:val="16"/>
                <w:szCs w:val="16"/>
              </w:rPr>
            </w:pPr>
          </w:p>
        </w:tc>
        <w:tc>
          <w:tcPr>
            <w:tcW w:w="900" w:type="dxa"/>
            <w:vAlign w:val="bottom"/>
          </w:tcPr>
          <w:p w14:paraId="40FB41F4"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61,685</w:t>
            </w:r>
          </w:p>
        </w:tc>
        <w:tc>
          <w:tcPr>
            <w:tcW w:w="234" w:type="dxa"/>
          </w:tcPr>
          <w:p w14:paraId="021DF5F3" w14:textId="77777777" w:rsidR="00A26A98" w:rsidRPr="00B02BA3" w:rsidRDefault="00A26A98" w:rsidP="00A26A98">
            <w:pPr>
              <w:pStyle w:val="CellRowSpacer"/>
              <w:rPr>
                <w:sz w:val="16"/>
                <w:szCs w:val="16"/>
              </w:rPr>
            </w:pPr>
          </w:p>
        </w:tc>
        <w:tc>
          <w:tcPr>
            <w:tcW w:w="900" w:type="dxa"/>
            <w:vAlign w:val="bottom"/>
          </w:tcPr>
          <w:p w14:paraId="5271299E" w14:textId="77777777" w:rsidR="00A26A98" w:rsidRPr="007D35D4" w:rsidRDefault="00A26A98" w:rsidP="00A26A98">
            <w:pPr>
              <w:pStyle w:val="VSmCellBody"/>
              <w:jc w:val="right"/>
              <w:rPr>
                <w:color w:val="000000"/>
                <w:kern w:val="0"/>
                <w:sz w:val="16"/>
                <w:szCs w:val="16"/>
              </w:rPr>
            </w:pPr>
            <w:r w:rsidRPr="00B02BA3">
              <w:rPr>
                <w:color w:val="000000"/>
                <w:kern w:val="0"/>
                <w:sz w:val="16"/>
                <w:szCs w:val="16"/>
              </w:rPr>
              <w:t>61,685</w:t>
            </w:r>
          </w:p>
        </w:tc>
        <w:tc>
          <w:tcPr>
            <w:tcW w:w="234" w:type="dxa"/>
          </w:tcPr>
          <w:p w14:paraId="5A567109" w14:textId="77777777" w:rsidR="00A26A98" w:rsidRPr="00B02BA3" w:rsidRDefault="00A26A98" w:rsidP="00A26A98">
            <w:pPr>
              <w:pStyle w:val="CellRowSpacer"/>
              <w:rPr>
                <w:sz w:val="16"/>
                <w:szCs w:val="16"/>
              </w:rPr>
            </w:pPr>
          </w:p>
        </w:tc>
        <w:tc>
          <w:tcPr>
            <w:tcW w:w="900" w:type="dxa"/>
            <w:vAlign w:val="bottom"/>
          </w:tcPr>
          <w:p w14:paraId="413B408F"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31,829</w:t>
            </w:r>
          </w:p>
        </w:tc>
        <w:tc>
          <w:tcPr>
            <w:tcW w:w="234" w:type="dxa"/>
            <w:vAlign w:val="bottom"/>
          </w:tcPr>
          <w:p w14:paraId="19288312" w14:textId="77777777" w:rsidR="00A26A98" w:rsidRPr="00B02BA3" w:rsidRDefault="00A26A98" w:rsidP="00A26A98">
            <w:pPr>
              <w:pStyle w:val="CellRowSpacer"/>
              <w:rPr>
                <w:sz w:val="16"/>
                <w:szCs w:val="16"/>
              </w:rPr>
            </w:pPr>
          </w:p>
        </w:tc>
      </w:tr>
      <w:tr w:rsidR="00A26A98" w:rsidRPr="00B02BA3" w14:paraId="0C3E9BCE" w14:textId="77777777" w:rsidTr="00922116">
        <w:tc>
          <w:tcPr>
            <w:tcW w:w="3141" w:type="dxa"/>
          </w:tcPr>
          <w:p w14:paraId="21493D5E" w14:textId="77777777" w:rsidR="00A26A98" w:rsidRPr="00B02BA3" w:rsidRDefault="00A26A98" w:rsidP="00A26A98">
            <w:pPr>
              <w:pStyle w:val="CellBodyIndent1"/>
              <w:tabs>
                <w:tab w:val="right" w:leader="dot" w:pos="3168"/>
              </w:tabs>
              <w:ind w:left="15"/>
              <w:rPr>
                <w:rFonts w:eastAsia="SimSun"/>
                <w:sz w:val="16"/>
                <w:szCs w:val="16"/>
              </w:rPr>
            </w:pPr>
            <w:r w:rsidRPr="00B02BA3">
              <w:rPr>
                <w:rFonts w:eastAsia="SimSun"/>
                <w:sz w:val="16"/>
                <w:szCs w:val="16"/>
              </w:rPr>
              <w:t xml:space="preserve">VLGC </w:t>
            </w:r>
            <w:r>
              <w:rPr>
                <w:rFonts w:eastAsia="SimSun"/>
                <w:sz w:val="16"/>
                <w:szCs w:val="16"/>
              </w:rPr>
              <w:t>TCE</w:t>
            </w:r>
            <w:r w:rsidRPr="00B02BA3">
              <w:rPr>
                <w:rFonts w:eastAsia="SimSun"/>
                <w:sz w:val="16"/>
                <w:szCs w:val="16"/>
              </w:rPr>
              <w:t xml:space="preserve"> rate</w:t>
            </w:r>
            <w:r w:rsidRPr="00B02BA3">
              <w:rPr>
                <w:rFonts w:eastAsia="SimSun"/>
                <w:sz w:val="16"/>
                <w:szCs w:val="16"/>
                <w:vertAlign w:val="superscript"/>
              </w:rPr>
              <w:t>(3)</w:t>
            </w:r>
            <w:r w:rsidRPr="00B02BA3">
              <w:rPr>
                <w:rFonts w:eastAsia="SimSun"/>
                <w:sz w:val="16"/>
                <w:szCs w:val="16"/>
              </w:rPr>
              <w:t xml:space="preserve"> (</w:t>
            </w:r>
            <w:r w:rsidRPr="00B02BA3">
              <w:rPr>
                <w:rFonts w:eastAsia="SimSun"/>
                <w:i/>
                <w:iCs/>
                <w:sz w:val="16"/>
                <w:szCs w:val="16"/>
              </w:rPr>
              <w:t>U.S.$/day</w:t>
            </w:r>
            <w:r w:rsidRPr="00B02BA3">
              <w:rPr>
                <w:rFonts w:eastAsia="SimSun"/>
                <w:sz w:val="16"/>
                <w:szCs w:val="16"/>
              </w:rPr>
              <w:t>)</w:t>
            </w:r>
            <w:r w:rsidRPr="00B02BA3">
              <w:rPr>
                <w:rFonts w:eastAsia="SimSun"/>
                <w:sz w:val="16"/>
                <w:szCs w:val="16"/>
              </w:rPr>
              <w:tab/>
            </w:r>
          </w:p>
        </w:tc>
        <w:tc>
          <w:tcPr>
            <w:tcW w:w="235" w:type="dxa"/>
          </w:tcPr>
          <w:p w14:paraId="11C3F5C6" w14:textId="77777777" w:rsidR="00A26A98" w:rsidRPr="00B02BA3" w:rsidRDefault="00A26A98" w:rsidP="00A26A98">
            <w:pPr>
              <w:pStyle w:val="CellRowSpacer"/>
              <w:rPr>
                <w:sz w:val="16"/>
                <w:szCs w:val="16"/>
              </w:rPr>
            </w:pPr>
          </w:p>
        </w:tc>
        <w:tc>
          <w:tcPr>
            <w:tcW w:w="901" w:type="dxa"/>
            <w:vAlign w:val="bottom"/>
          </w:tcPr>
          <w:p w14:paraId="25B8705E"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27,616</w:t>
            </w:r>
          </w:p>
        </w:tc>
        <w:tc>
          <w:tcPr>
            <w:tcW w:w="235" w:type="dxa"/>
          </w:tcPr>
          <w:p w14:paraId="2FBB8BE8" w14:textId="77777777" w:rsidR="00A26A98" w:rsidRPr="00B02BA3" w:rsidRDefault="00A26A98" w:rsidP="00A26A98">
            <w:pPr>
              <w:pStyle w:val="CellRowSpacer"/>
              <w:rPr>
                <w:sz w:val="16"/>
                <w:szCs w:val="16"/>
              </w:rPr>
            </w:pPr>
          </w:p>
        </w:tc>
        <w:tc>
          <w:tcPr>
            <w:tcW w:w="900" w:type="dxa"/>
            <w:vAlign w:val="bottom"/>
          </w:tcPr>
          <w:p w14:paraId="48F3213E"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27,616</w:t>
            </w:r>
          </w:p>
        </w:tc>
        <w:tc>
          <w:tcPr>
            <w:tcW w:w="234" w:type="dxa"/>
            <w:vAlign w:val="bottom"/>
          </w:tcPr>
          <w:p w14:paraId="324F18D2" w14:textId="77777777" w:rsidR="00A26A98" w:rsidRPr="00B02BA3" w:rsidRDefault="00A26A98" w:rsidP="00A26A98">
            <w:pPr>
              <w:pStyle w:val="CellRowSpacer"/>
              <w:rPr>
                <w:sz w:val="16"/>
                <w:szCs w:val="16"/>
              </w:rPr>
            </w:pPr>
          </w:p>
        </w:tc>
        <w:tc>
          <w:tcPr>
            <w:tcW w:w="900" w:type="dxa"/>
            <w:vAlign w:val="bottom"/>
          </w:tcPr>
          <w:p w14:paraId="1F780D34"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29,589</w:t>
            </w:r>
          </w:p>
        </w:tc>
        <w:tc>
          <w:tcPr>
            <w:tcW w:w="234" w:type="dxa"/>
          </w:tcPr>
          <w:p w14:paraId="5B9F405B" w14:textId="77777777" w:rsidR="00A26A98" w:rsidRPr="00B02BA3" w:rsidRDefault="00A26A98" w:rsidP="00A26A98">
            <w:pPr>
              <w:pStyle w:val="CellRowSpacer"/>
              <w:rPr>
                <w:sz w:val="16"/>
                <w:szCs w:val="16"/>
              </w:rPr>
            </w:pPr>
          </w:p>
        </w:tc>
        <w:tc>
          <w:tcPr>
            <w:tcW w:w="900" w:type="dxa"/>
            <w:vAlign w:val="bottom"/>
          </w:tcPr>
          <w:p w14:paraId="0774D34E" w14:textId="77777777" w:rsidR="00A26A98" w:rsidRPr="007D35D4" w:rsidRDefault="00A26A98" w:rsidP="00A26A98">
            <w:pPr>
              <w:pStyle w:val="VSmCellBody"/>
              <w:jc w:val="right"/>
              <w:rPr>
                <w:color w:val="000000"/>
                <w:kern w:val="0"/>
                <w:sz w:val="16"/>
                <w:szCs w:val="16"/>
              </w:rPr>
            </w:pPr>
            <w:r w:rsidRPr="00B02BA3">
              <w:rPr>
                <w:color w:val="000000"/>
                <w:kern w:val="0"/>
                <w:sz w:val="16"/>
                <w:szCs w:val="16"/>
              </w:rPr>
              <w:t>29,589</w:t>
            </w:r>
          </w:p>
        </w:tc>
        <w:tc>
          <w:tcPr>
            <w:tcW w:w="234" w:type="dxa"/>
          </w:tcPr>
          <w:p w14:paraId="27DB0E8F" w14:textId="77777777" w:rsidR="00A26A98" w:rsidRPr="00B02BA3" w:rsidRDefault="00A26A98" w:rsidP="00A26A98">
            <w:pPr>
              <w:pStyle w:val="CellRowSpacer"/>
              <w:rPr>
                <w:sz w:val="16"/>
                <w:szCs w:val="16"/>
              </w:rPr>
            </w:pPr>
          </w:p>
        </w:tc>
        <w:tc>
          <w:tcPr>
            <w:tcW w:w="900" w:type="dxa"/>
            <w:vAlign w:val="bottom"/>
          </w:tcPr>
          <w:p w14:paraId="19CA58C5"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29,589</w:t>
            </w:r>
          </w:p>
        </w:tc>
        <w:tc>
          <w:tcPr>
            <w:tcW w:w="234" w:type="dxa"/>
            <w:vAlign w:val="bottom"/>
          </w:tcPr>
          <w:p w14:paraId="02BC48B9" w14:textId="77777777" w:rsidR="00A26A98" w:rsidRPr="00B02BA3" w:rsidRDefault="00A26A98" w:rsidP="00A26A98">
            <w:pPr>
              <w:pStyle w:val="CellRowSpacer"/>
              <w:rPr>
                <w:sz w:val="16"/>
                <w:szCs w:val="16"/>
              </w:rPr>
            </w:pPr>
          </w:p>
        </w:tc>
      </w:tr>
      <w:tr w:rsidR="00A26A98" w:rsidRPr="00B02BA3" w14:paraId="725EFCB5" w14:textId="77777777" w:rsidTr="00922116">
        <w:tc>
          <w:tcPr>
            <w:tcW w:w="3141" w:type="dxa"/>
          </w:tcPr>
          <w:p w14:paraId="58EBE2F6" w14:textId="77777777" w:rsidR="00A26A98" w:rsidRPr="00B02BA3" w:rsidRDefault="00A26A98" w:rsidP="00A26A98">
            <w:pPr>
              <w:pStyle w:val="CellBodyIndent1"/>
              <w:tabs>
                <w:tab w:val="right" w:leader="dot" w:pos="3168"/>
              </w:tabs>
              <w:ind w:left="15"/>
              <w:rPr>
                <w:color w:val="000000"/>
                <w:kern w:val="0"/>
                <w:sz w:val="16"/>
                <w:szCs w:val="16"/>
              </w:rPr>
            </w:pPr>
            <w:r w:rsidRPr="00B02BA3">
              <w:rPr>
                <w:rFonts w:eastAsia="SimSun"/>
                <w:sz w:val="16"/>
                <w:szCs w:val="16"/>
              </w:rPr>
              <w:t xml:space="preserve">MGC </w:t>
            </w:r>
            <w:r>
              <w:rPr>
                <w:rFonts w:eastAsia="SimSun"/>
                <w:sz w:val="16"/>
                <w:szCs w:val="16"/>
              </w:rPr>
              <w:t>TCE</w:t>
            </w:r>
            <w:r w:rsidRPr="00B02BA3">
              <w:rPr>
                <w:rFonts w:eastAsia="SimSun"/>
                <w:sz w:val="16"/>
                <w:szCs w:val="16"/>
              </w:rPr>
              <w:t xml:space="preserve"> rate</w:t>
            </w:r>
            <w:r w:rsidRPr="00B02BA3">
              <w:rPr>
                <w:rFonts w:eastAsia="SimSun"/>
                <w:sz w:val="16"/>
                <w:szCs w:val="16"/>
                <w:vertAlign w:val="superscript"/>
              </w:rPr>
              <w:t>(3)</w:t>
            </w:r>
            <w:r w:rsidRPr="00B02BA3">
              <w:rPr>
                <w:rFonts w:eastAsia="SimSun"/>
                <w:sz w:val="16"/>
                <w:szCs w:val="16"/>
              </w:rPr>
              <w:t xml:space="preserve"> (</w:t>
            </w:r>
            <w:r w:rsidRPr="00B02BA3">
              <w:rPr>
                <w:rFonts w:eastAsia="SimSun"/>
                <w:i/>
                <w:iCs/>
                <w:sz w:val="16"/>
                <w:szCs w:val="16"/>
              </w:rPr>
              <w:t>U.S.$/day</w:t>
            </w:r>
            <w:r w:rsidRPr="00B02BA3">
              <w:rPr>
                <w:rFonts w:eastAsia="SimSun"/>
                <w:sz w:val="16"/>
                <w:szCs w:val="16"/>
              </w:rPr>
              <w:t>)</w:t>
            </w:r>
            <w:r w:rsidRPr="00B02BA3">
              <w:rPr>
                <w:rFonts w:eastAsia="SimSun"/>
                <w:sz w:val="16"/>
                <w:szCs w:val="16"/>
              </w:rPr>
              <w:tab/>
            </w:r>
          </w:p>
        </w:tc>
        <w:tc>
          <w:tcPr>
            <w:tcW w:w="235" w:type="dxa"/>
          </w:tcPr>
          <w:p w14:paraId="6C6EDFE1" w14:textId="77777777" w:rsidR="00A26A98" w:rsidRPr="00B02BA3" w:rsidRDefault="00A26A98" w:rsidP="00A26A98">
            <w:pPr>
              <w:pStyle w:val="CellRowSpacer"/>
              <w:rPr>
                <w:sz w:val="16"/>
                <w:szCs w:val="16"/>
              </w:rPr>
            </w:pPr>
          </w:p>
        </w:tc>
        <w:tc>
          <w:tcPr>
            <w:tcW w:w="901" w:type="dxa"/>
            <w:vAlign w:val="bottom"/>
          </w:tcPr>
          <w:p w14:paraId="748FBA90"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w:t>
            </w:r>
          </w:p>
        </w:tc>
        <w:tc>
          <w:tcPr>
            <w:tcW w:w="235" w:type="dxa"/>
          </w:tcPr>
          <w:p w14:paraId="48F52205" w14:textId="77777777" w:rsidR="00A26A98" w:rsidRPr="00B02BA3" w:rsidRDefault="00A26A98" w:rsidP="00A26A98">
            <w:pPr>
              <w:pStyle w:val="CellRowSpacer"/>
              <w:rPr>
                <w:sz w:val="16"/>
                <w:szCs w:val="16"/>
              </w:rPr>
            </w:pPr>
          </w:p>
        </w:tc>
        <w:tc>
          <w:tcPr>
            <w:tcW w:w="900" w:type="dxa"/>
            <w:vAlign w:val="bottom"/>
          </w:tcPr>
          <w:p w14:paraId="7F26EF75"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w:t>
            </w:r>
          </w:p>
        </w:tc>
        <w:tc>
          <w:tcPr>
            <w:tcW w:w="234" w:type="dxa"/>
            <w:vAlign w:val="bottom"/>
          </w:tcPr>
          <w:p w14:paraId="13BD4CF3" w14:textId="77777777" w:rsidR="00A26A98" w:rsidRPr="00B02BA3" w:rsidRDefault="00A26A98" w:rsidP="00A26A98">
            <w:pPr>
              <w:pStyle w:val="CellRowSpacer"/>
              <w:rPr>
                <w:sz w:val="16"/>
                <w:szCs w:val="16"/>
              </w:rPr>
            </w:pPr>
          </w:p>
        </w:tc>
        <w:tc>
          <w:tcPr>
            <w:tcW w:w="900" w:type="dxa"/>
            <w:vAlign w:val="bottom"/>
          </w:tcPr>
          <w:p w14:paraId="603DBA0D"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31,829</w:t>
            </w:r>
          </w:p>
        </w:tc>
        <w:tc>
          <w:tcPr>
            <w:tcW w:w="234" w:type="dxa"/>
          </w:tcPr>
          <w:p w14:paraId="3B177245" w14:textId="77777777" w:rsidR="00A26A98" w:rsidRPr="00B02BA3" w:rsidRDefault="00A26A98" w:rsidP="00A26A98">
            <w:pPr>
              <w:pStyle w:val="CellRowSpacer"/>
              <w:rPr>
                <w:sz w:val="16"/>
                <w:szCs w:val="16"/>
              </w:rPr>
            </w:pPr>
          </w:p>
        </w:tc>
        <w:tc>
          <w:tcPr>
            <w:tcW w:w="900" w:type="dxa"/>
            <w:vAlign w:val="bottom"/>
          </w:tcPr>
          <w:p w14:paraId="0D8789FA" w14:textId="77777777" w:rsidR="00A26A98" w:rsidRPr="007D35D4" w:rsidRDefault="00A26A98" w:rsidP="00A26A98">
            <w:pPr>
              <w:pStyle w:val="VSmCellBody"/>
              <w:jc w:val="right"/>
              <w:rPr>
                <w:color w:val="000000"/>
                <w:kern w:val="0"/>
                <w:sz w:val="16"/>
                <w:szCs w:val="16"/>
              </w:rPr>
            </w:pPr>
            <w:r w:rsidRPr="00B02BA3">
              <w:rPr>
                <w:color w:val="000000"/>
                <w:kern w:val="0"/>
                <w:sz w:val="16"/>
                <w:szCs w:val="16"/>
              </w:rPr>
              <w:t>31,829</w:t>
            </w:r>
          </w:p>
        </w:tc>
        <w:tc>
          <w:tcPr>
            <w:tcW w:w="234" w:type="dxa"/>
          </w:tcPr>
          <w:p w14:paraId="23C4E52F" w14:textId="77777777" w:rsidR="00A26A98" w:rsidRPr="00B02BA3" w:rsidRDefault="00A26A98" w:rsidP="00A26A98">
            <w:pPr>
              <w:pStyle w:val="CellRowSpacer"/>
              <w:rPr>
                <w:sz w:val="16"/>
                <w:szCs w:val="16"/>
              </w:rPr>
            </w:pPr>
          </w:p>
        </w:tc>
        <w:tc>
          <w:tcPr>
            <w:tcW w:w="900" w:type="dxa"/>
            <w:vAlign w:val="bottom"/>
          </w:tcPr>
          <w:p w14:paraId="5398F9BD" w14:textId="77777777" w:rsidR="00A26A98" w:rsidRPr="00B02BA3" w:rsidRDefault="00A26A98" w:rsidP="00A26A98">
            <w:pPr>
              <w:pStyle w:val="VSmCellBody"/>
              <w:jc w:val="right"/>
              <w:rPr>
                <w:color w:val="000000"/>
                <w:kern w:val="0"/>
                <w:sz w:val="16"/>
                <w:szCs w:val="16"/>
              </w:rPr>
            </w:pPr>
            <w:r w:rsidRPr="00B02BA3">
              <w:rPr>
                <w:color w:val="000000"/>
                <w:kern w:val="0"/>
                <w:sz w:val="16"/>
                <w:szCs w:val="16"/>
              </w:rPr>
              <w:t>33,186</w:t>
            </w:r>
          </w:p>
        </w:tc>
        <w:tc>
          <w:tcPr>
            <w:tcW w:w="234" w:type="dxa"/>
            <w:vAlign w:val="bottom"/>
          </w:tcPr>
          <w:p w14:paraId="2EB1B44F" w14:textId="77777777" w:rsidR="00A26A98" w:rsidRPr="00B02BA3" w:rsidRDefault="00A26A98" w:rsidP="00A26A98">
            <w:pPr>
              <w:pStyle w:val="CellRowSpacer"/>
              <w:rPr>
                <w:sz w:val="16"/>
                <w:szCs w:val="16"/>
              </w:rPr>
            </w:pPr>
          </w:p>
        </w:tc>
      </w:tr>
      <w:tr w:rsidR="00AC5C0C" w:rsidRPr="00B02BA3" w14:paraId="6A47537B" w14:textId="77777777" w:rsidTr="00922116">
        <w:tc>
          <w:tcPr>
            <w:tcW w:w="3141" w:type="dxa"/>
          </w:tcPr>
          <w:p w14:paraId="4111ACEE" w14:textId="77777777" w:rsidR="00AC5C0C" w:rsidRPr="00B02BA3" w:rsidRDefault="00AC5C0C" w:rsidP="00922116">
            <w:pPr>
              <w:pStyle w:val="CellBodyIndent1"/>
              <w:tabs>
                <w:tab w:val="right" w:leader="dot" w:pos="3168"/>
              </w:tabs>
              <w:ind w:left="15"/>
              <w:rPr>
                <w:rFonts w:eastAsia="SimSun"/>
                <w:sz w:val="16"/>
                <w:szCs w:val="16"/>
              </w:rPr>
            </w:pPr>
            <w:r w:rsidRPr="00B02BA3">
              <w:rPr>
                <w:rFonts w:eastAsia="SimSun"/>
                <w:sz w:val="16"/>
                <w:szCs w:val="16"/>
              </w:rPr>
              <w:t>EBITDA</w:t>
            </w:r>
            <w:r w:rsidRPr="00B02BA3">
              <w:rPr>
                <w:rFonts w:eastAsia="SimSun"/>
                <w:sz w:val="16"/>
                <w:szCs w:val="16"/>
                <w:vertAlign w:val="superscript"/>
              </w:rPr>
              <w:t xml:space="preserve">(3) </w:t>
            </w:r>
            <w:r w:rsidRPr="00B02BA3">
              <w:rPr>
                <w:rFonts w:eastAsia="SimSun"/>
                <w:sz w:val="16"/>
                <w:szCs w:val="16"/>
              </w:rPr>
              <w:t>(</w:t>
            </w:r>
            <w:r w:rsidRPr="00B02BA3">
              <w:rPr>
                <w:rFonts w:eastAsia="SimSun"/>
                <w:i/>
                <w:iCs/>
                <w:sz w:val="16"/>
                <w:szCs w:val="16"/>
              </w:rPr>
              <w:t>U.S.$ millions</w:t>
            </w:r>
            <w:r w:rsidRPr="00B02BA3">
              <w:rPr>
                <w:rFonts w:eastAsia="SimSun"/>
                <w:sz w:val="16"/>
                <w:szCs w:val="16"/>
              </w:rPr>
              <w:t>)</w:t>
            </w:r>
            <w:r w:rsidRPr="00B02BA3">
              <w:rPr>
                <w:rFonts w:eastAsia="SimSun"/>
                <w:sz w:val="16"/>
                <w:szCs w:val="16"/>
              </w:rPr>
              <w:tab/>
            </w:r>
          </w:p>
        </w:tc>
        <w:tc>
          <w:tcPr>
            <w:tcW w:w="235" w:type="dxa"/>
          </w:tcPr>
          <w:p w14:paraId="5E2405FE" w14:textId="77777777" w:rsidR="00AC5C0C" w:rsidRPr="00B02BA3" w:rsidRDefault="00AC5C0C" w:rsidP="00922116">
            <w:pPr>
              <w:pStyle w:val="CellRowSpacer"/>
              <w:rPr>
                <w:sz w:val="16"/>
                <w:szCs w:val="16"/>
              </w:rPr>
            </w:pPr>
          </w:p>
        </w:tc>
        <w:tc>
          <w:tcPr>
            <w:tcW w:w="901" w:type="dxa"/>
            <w:vAlign w:val="bottom"/>
          </w:tcPr>
          <w:p w14:paraId="2706D1D1"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76.2</w:t>
            </w:r>
          </w:p>
        </w:tc>
        <w:tc>
          <w:tcPr>
            <w:tcW w:w="235" w:type="dxa"/>
          </w:tcPr>
          <w:p w14:paraId="4BAC1205" w14:textId="77777777" w:rsidR="00AC5C0C" w:rsidRPr="00B02BA3" w:rsidRDefault="00AC5C0C" w:rsidP="00922116">
            <w:pPr>
              <w:pStyle w:val="CellRowSpacer"/>
              <w:rPr>
                <w:sz w:val="16"/>
                <w:szCs w:val="16"/>
              </w:rPr>
            </w:pPr>
          </w:p>
        </w:tc>
        <w:tc>
          <w:tcPr>
            <w:tcW w:w="900" w:type="dxa"/>
            <w:vAlign w:val="bottom"/>
          </w:tcPr>
          <w:p w14:paraId="233C3484"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86.5</w:t>
            </w:r>
          </w:p>
        </w:tc>
        <w:tc>
          <w:tcPr>
            <w:tcW w:w="234" w:type="dxa"/>
            <w:vAlign w:val="bottom"/>
          </w:tcPr>
          <w:p w14:paraId="57B7789B" w14:textId="77777777" w:rsidR="00AC5C0C" w:rsidRPr="00B02BA3" w:rsidRDefault="00AC5C0C" w:rsidP="00922116">
            <w:pPr>
              <w:pStyle w:val="CellRowSpacer"/>
              <w:rPr>
                <w:sz w:val="16"/>
                <w:szCs w:val="16"/>
              </w:rPr>
            </w:pPr>
          </w:p>
        </w:tc>
        <w:tc>
          <w:tcPr>
            <w:tcW w:w="900" w:type="dxa"/>
            <w:vAlign w:val="bottom"/>
          </w:tcPr>
          <w:p w14:paraId="349AA52E"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104.4</w:t>
            </w:r>
          </w:p>
        </w:tc>
        <w:tc>
          <w:tcPr>
            <w:tcW w:w="234" w:type="dxa"/>
          </w:tcPr>
          <w:p w14:paraId="2BBFAB81" w14:textId="77777777" w:rsidR="00AC5C0C" w:rsidRPr="00B02BA3" w:rsidRDefault="00AC5C0C" w:rsidP="00922116">
            <w:pPr>
              <w:pStyle w:val="CellRowSpacer"/>
              <w:rPr>
                <w:sz w:val="16"/>
                <w:szCs w:val="16"/>
              </w:rPr>
            </w:pPr>
          </w:p>
        </w:tc>
        <w:tc>
          <w:tcPr>
            <w:tcW w:w="900" w:type="dxa"/>
            <w:vAlign w:val="bottom"/>
          </w:tcPr>
          <w:p w14:paraId="73234CE0"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78.9</w:t>
            </w:r>
          </w:p>
        </w:tc>
        <w:tc>
          <w:tcPr>
            <w:tcW w:w="234" w:type="dxa"/>
          </w:tcPr>
          <w:p w14:paraId="2C49257D" w14:textId="77777777" w:rsidR="00AC5C0C" w:rsidRPr="007472B7" w:rsidRDefault="00AC5C0C" w:rsidP="00922116">
            <w:pPr>
              <w:pStyle w:val="CellRowSpacer"/>
              <w:rPr>
                <w:sz w:val="16"/>
                <w:szCs w:val="16"/>
              </w:rPr>
            </w:pPr>
          </w:p>
        </w:tc>
        <w:tc>
          <w:tcPr>
            <w:tcW w:w="900" w:type="dxa"/>
            <w:vAlign w:val="bottom"/>
          </w:tcPr>
          <w:p w14:paraId="0D2FE67C" w14:textId="77777777" w:rsidR="00AC5C0C" w:rsidRPr="007472B7" w:rsidRDefault="00AC5C0C" w:rsidP="00922116">
            <w:pPr>
              <w:pStyle w:val="VSmCellBody"/>
              <w:jc w:val="right"/>
              <w:rPr>
                <w:color w:val="000000"/>
                <w:kern w:val="0"/>
                <w:sz w:val="16"/>
                <w:szCs w:val="16"/>
              </w:rPr>
            </w:pPr>
            <w:r w:rsidRPr="007472B7">
              <w:rPr>
                <w:color w:val="000000"/>
                <w:kern w:val="0"/>
                <w:sz w:val="16"/>
                <w:szCs w:val="16"/>
              </w:rPr>
              <w:t>72.9</w:t>
            </w:r>
          </w:p>
        </w:tc>
        <w:tc>
          <w:tcPr>
            <w:tcW w:w="234" w:type="dxa"/>
            <w:vAlign w:val="bottom"/>
          </w:tcPr>
          <w:p w14:paraId="01A9CDC3" w14:textId="77777777" w:rsidR="00AC5C0C" w:rsidRPr="00B02BA3" w:rsidRDefault="00AC5C0C" w:rsidP="00922116">
            <w:pPr>
              <w:pStyle w:val="CellRowSpacer"/>
              <w:rPr>
                <w:sz w:val="16"/>
                <w:szCs w:val="16"/>
              </w:rPr>
            </w:pPr>
          </w:p>
        </w:tc>
      </w:tr>
    </w:tbl>
    <w:p w14:paraId="4D5A84E1" w14:textId="77777777" w:rsidR="00AC5C0C" w:rsidRPr="00334534" w:rsidRDefault="00AC5C0C" w:rsidP="00AC5C0C">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AC5C0C" w14:paraId="478EAC47" w14:textId="77777777" w:rsidTr="00922116">
        <w:tc>
          <w:tcPr>
            <w:tcW w:w="1424" w:type="dxa"/>
            <w:tcBorders>
              <w:top w:val="single" w:sz="4" w:space="0" w:color="auto"/>
            </w:tcBorders>
            <w:vAlign w:val="bottom"/>
          </w:tcPr>
          <w:p w14:paraId="24A87FF6"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الملاحظات:</w:t>
            </w:r>
          </w:p>
        </w:tc>
        <w:tc>
          <w:tcPr>
            <w:tcW w:w="7501" w:type="dxa"/>
            <w:vAlign w:val="bottom"/>
          </w:tcPr>
          <w:p w14:paraId="6F41BA22" w14:textId="77777777" w:rsidR="00334534" w:rsidRPr="00985281" w:rsidRDefault="00334534" w:rsidP="00334534">
            <w:pPr>
              <w:bidi/>
              <w:jc w:val="both"/>
              <w:rPr>
                <w:rFonts w:ascii="Traditional Arabic" w:hAnsi="Traditional Arabic" w:cs="Traditional Arabic"/>
                <w:sz w:val="24"/>
              </w:rPr>
            </w:pPr>
          </w:p>
        </w:tc>
      </w:tr>
      <w:tr w:rsidR="00334534" w:rsidRPr="00AC5C0C" w14:paraId="470E8F98" w14:textId="77777777" w:rsidTr="00922116">
        <w:tc>
          <w:tcPr>
            <w:tcW w:w="8925" w:type="dxa"/>
            <w:gridSpan w:val="2"/>
            <w:vAlign w:val="bottom"/>
          </w:tcPr>
          <w:p w14:paraId="4773F86F"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lastRenderedPageBreak/>
              <w:t>باستثناء السفن المطلوبة.</w:t>
            </w:r>
          </w:p>
        </w:tc>
      </w:tr>
      <w:tr w:rsidR="00334534" w:rsidRPr="00AC5C0C" w14:paraId="7A38A884" w14:textId="77777777" w:rsidTr="00922116">
        <w:tc>
          <w:tcPr>
            <w:tcW w:w="8925" w:type="dxa"/>
            <w:gridSpan w:val="2"/>
            <w:vAlign w:val="bottom"/>
          </w:tcPr>
          <w:p w14:paraId="14A788D2"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يتم حساب استخدام الأسطول على أنه 365 يوما ناقص عدد الأيام التي ترسو فيها السفن في الحوض الجاف، مقسومًا على 365.</w:t>
            </w:r>
          </w:p>
        </w:tc>
      </w:tr>
      <w:tr w:rsidR="00334534" w:rsidRPr="00AC5C0C" w14:paraId="76C4D98D" w14:textId="77777777" w:rsidTr="00922116">
        <w:tc>
          <w:tcPr>
            <w:tcW w:w="8925" w:type="dxa"/>
            <w:gridSpan w:val="2"/>
            <w:vAlign w:val="bottom"/>
          </w:tcPr>
          <w:p w14:paraId="6AA5D40D"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لمناقشة كيفية حساب مكافئ تأجير السفن المجهزة بالمدة، ومعدل مكافئ تأجير السفن المجهزة بالمدة، والأرباح قبل حساب الفائدة والضريبة والإهلاك والإطفاء، يرجى الاطلاع على "</w:t>
            </w:r>
            <w:r w:rsidRPr="00985281">
              <w:rPr>
                <w:rFonts w:ascii="Traditional Arabic" w:hAnsi="Traditional Arabic" w:cs="Traditional Arabic"/>
                <w:i/>
                <w:sz w:val="24"/>
                <w:rtl/>
              </w:rPr>
              <w:t>عرض البيانات المالية وبيانات القطاع والسوق - معلومات غير متصلة بالمعايير الدولية لإعداد التقارير المالية وبعض البيانات المالية والتشغيلية الأخرى - معلومات</w:t>
            </w:r>
            <w:r w:rsidRPr="00985281">
              <w:rPr>
                <w:rFonts w:ascii="Traditional Arabic" w:hAnsi="Traditional Arabic" w:cs="Traditional Arabic"/>
                <w:sz w:val="24"/>
                <w:rtl/>
              </w:rPr>
              <w:t xml:space="preserve"> غير متصلة بالمعايير الدولية لإعداد</w:t>
            </w:r>
            <w:r w:rsidRPr="00985281">
              <w:rPr>
                <w:rFonts w:ascii="Traditional Arabic" w:hAnsi="Traditional Arabic" w:cs="Traditional Arabic"/>
                <w:i/>
                <w:sz w:val="24"/>
                <w:rtl/>
              </w:rPr>
              <w:t xml:space="preserve"> التقارير المالية" و "الفصل الثالث عشر - معلومات مالية وتشغيلية تاريخية مختارة وغيرها من المعلومات - بيانات مالية وتشغيلية أخرى</w:t>
            </w:r>
            <w:r w:rsidRPr="00985281">
              <w:rPr>
                <w:rFonts w:ascii="Traditional Arabic" w:hAnsi="Traditional Arabic" w:cs="Traditional Arabic"/>
                <w:sz w:val="24"/>
                <w:rtl/>
              </w:rPr>
              <w:t xml:space="preserve"> ". </w:t>
            </w:r>
          </w:p>
        </w:tc>
      </w:tr>
    </w:tbl>
    <w:p w14:paraId="78DAE676" w14:textId="77777777" w:rsidR="00AC5C0C" w:rsidRDefault="00AC5C0C" w:rsidP="00334534">
      <w:pPr>
        <w:bidi/>
        <w:jc w:val="both"/>
        <w:rPr>
          <w:rFonts w:ascii="Traditional Arabic" w:hAnsi="Traditional Arabic" w:cs="Traditional Arabic"/>
          <w:i/>
          <w:sz w:val="30"/>
          <w:szCs w:val="30"/>
          <w:rtl/>
        </w:rPr>
      </w:pPr>
    </w:p>
    <w:p w14:paraId="00C840F8"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تطوير الأسطول</w:t>
      </w:r>
    </w:p>
    <w:p w14:paraId="1D712690"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تتوقع الشركة أنه بحلول نهاية عام 2027، ستكون قد خرجت تدريجياً من الخدمة (إما من خلال إيقاف التشغيل أو البيع) ناقلات الغاز الطبيعي المسال ذات التوربينات البخارية، وصحار للغاز الطبيعي المسال، وعبري للغاز الطبيعي المسال، وإبراء للغاز الطبيعي المسال، وصلالة للغاز الطبيعي المسال، ونزوى للغاز الطبيعي المسال، نظرًا لأنها أصبحت غير فعالة من الناحية التكنولوجية مقارنة بالجيل الجديد من السفن التي يفضلها العملاء. لذلك طلبت الشركة ناقلتين جديدتين للغاز الطبيعي المسال، وتتوقع تسليمهما قبل نهاية النصف الأول من عام 2026 بتكلفة إجمالية تبلغ حوالي 1.0 مليار دولار أمريكي. وستبلغ سعة كل من ناقلات الغاز الطبيعي المسال هذه 174,000 متر</w:t>
      </w:r>
      <w:r w:rsidRPr="00334534">
        <w:rPr>
          <w:rFonts w:ascii="Traditional Arabic" w:hAnsi="Traditional Arabic" w:cs="Traditional Arabic"/>
          <w:sz w:val="30"/>
          <w:szCs w:val="30"/>
          <w:vertAlign w:val="superscript"/>
          <w:rtl/>
        </w:rPr>
        <w:t xml:space="preserve"> مكعب</w:t>
      </w:r>
      <w:r w:rsidRPr="00334534">
        <w:rPr>
          <w:rFonts w:ascii="Traditional Arabic" w:hAnsi="Traditional Arabic" w:cs="Traditional Arabic"/>
          <w:sz w:val="30"/>
          <w:szCs w:val="30"/>
          <w:rtl/>
        </w:rPr>
        <w:t xml:space="preserve"> ، وستكون بمواصفات أعلى المواصفات المتاحة حاليًا، بما في ذلك أنظمة التشحيم الهوائية، والمولدات المحورية مما يقلل من مقاومة الماء التي تواجهها السفينة أثناء حركتها مما يسهم في تقليل استهلاكها للطاقة وتحسين كفاءتها في استخدام الوقود. </w:t>
      </w:r>
    </w:p>
    <w:p w14:paraId="18E12C32" w14:textId="77777777" w:rsidR="00AC5C0C" w:rsidRDefault="00AC5C0C" w:rsidP="00334534">
      <w:pPr>
        <w:bidi/>
        <w:jc w:val="both"/>
        <w:rPr>
          <w:rFonts w:ascii="Traditional Arabic" w:hAnsi="Traditional Arabic" w:cs="Traditional Arabic"/>
          <w:sz w:val="30"/>
          <w:szCs w:val="30"/>
          <w:rtl/>
        </w:rPr>
      </w:pPr>
    </w:p>
    <w:p w14:paraId="11693CE4"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ونظرًا لارتفاع متطلبات رأس المال الاستثماري لناقلات الغاز الطبيعي المسال، فإن استراتيجية الشركة هي الاستثمار في ناقلات الغاز الطبيعي المسال الجديدة فقط بمجرد تأمين ترتيبات تأجير طويلة الأمد. وسيتم تأجير ناقلتي الغاز الطبيعي المسال المطلوبتين للغاز الطبيعي المسال العماني حتى ديسمبر 2034. هذا، وتدرس الشركة المزيد من الخيارات لتوسيع أسطولها من الغاز الطبيعي المسال عن طريق عقد شراكات مع الشركة العمانية للغاز الطبيعي المسال وغيرها من العملاء المحتملين ومالكي البضائع.</w:t>
      </w:r>
    </w:p>
    <w:p w14:paraId="0D51B3F0" w14:textId="77777777" w:rsidR="00AC5C0C" w:rsidRDefault="00AC5C0C" w:rsidP="00334534">
      <w:pPr>
        <w:bidi/>
        <w:jc w:val="both"/>
        <w:rPr>
          <w:rFonts w:ascii="Traditional Arabic" w:hAnsi="Traditional Arabic" w:cs="Traditional Arabic"/>
          <w:i/>
          <w:sz w:val="30"/>
          <w:szCs w:val="30"/>
          <w:rtl/>
        </w:rPr>
      </w:pPr>
    </w:p>
    <w:p w14:paraId="1270A364"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المنافسة</w:t>
      </w:r>
    </w:p>
    <w:p w14:paraId="06390112"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تتنافس السفن في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بالشركة في أسواق الغاز الطبيعي المسال وغاز البترول المسال، بحسب الأحوال، بشكل أساسي مع شركات الطاقة الدولية الخاصة وشركات المرافق التي تسيطر عليها الدولة، والتي تدير عمومًا أساطيل حبيسة؛ بمعنى أن إدارتها تكون لأغراض محددة داخل نطاق عملياتها الخاصة، وملاك ومشغلي السفن المستقلين. </w:t>
      </w:r>
    </w:p>
    <w:p w14:paraId="53EAC12E" w14:textId="77777777" w:rsidR="00AC5C0C" w:rsidRDefault="00AC5C0C" w:rsidP="00334534">
      <w:pPr>
        <w:bidi/>
        <w:jc w:val="both"/>
        <w:rPr>
          <w:rFonts w:ascii="Traditional Arabic" w:hAnsi="Traditional Arabic" w:cs="Traditional Arabic"/>
          <w:i/>
          <w:sz w:val="30"/>
          <w:szCs w:val="30"/>
          <w:rtl/>
        </w:rPr>
      </w:pPr>
    </w:p>
    <w:p w14:paraId="7001D54A"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العملاء</w:t>
      </w:r>
    </w:p>
    <w:p w14:paraId="11607CA9"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يتم نقل الغاز الطبيعي المسال من خلال ناقلات الغاز الطبيعي المسال وفقًا لعقود تأجير السفن المجهزة بالمدة، حيث يتم استئجار سفينة لفترة زمنية محددة، عادة ما بين سنة و 20 سنة، ويتم دفع سعر الإيجار للمالك على أساس شهري بسعر ثابت. تتطلب </w:t>
      </w:r>
      <w:r w:rsidRPr="00334534">
        <w:rPr>
          <w:rFonts w:ascii="Traditional Arabic" w:hAnsi="Traditional Arabic" w:cs="Traditional Arabic"/>
          <w:sz w:val="30"/>
          <w:szCs w:val="30"/>
          <w:rtl/>
        </w:rPr>
        <w:lastRenderedPageBreak/>
        <w:t xml:space="preserve">مشاريع الغاز الطبيعي المسال نفقات رأسمالية كبيرة وعادة ما تحتاج إلى سلسلة متكاملة من المرافق المخصصة والأنشطة التعاونية. ولذلك، يعتمد النجاح العام لمشروع الغاز الطبيعي المسال إلى حد كبير على التخطيط طويل المدى وتنسيق أنشطة المشروع، بما في ذلك النقل البحري. ومع ذلك، استمر سوق التأجير الفوري والقصير الأجل في توسيع حصته من شحن الغاز الطبيعي المسال خلال السنوات الأخيرة، حيث تم تشغيل جميع ناقلات الغاز الطبيعي المسال التابعة للشركة وفقًا لعقود تأجير سفن مجهزة بالمدة ذات أسعار ثابتة بمدد متوسطة وطويلة الأمد لتعكس ظروف وأحوال ومستجدات السوق، وتوفر إمكانية التنبؤ بالتدفقات النقدية للشركة من هذه السفن. العملاء الرئيسيون للشركة بالنسبة لهذه الناقلات: الشركة العمانية للغاز الطبيعي المسال، وشركة أدميك (أدنوك سابقًا)، ومجموعة غونفور، وشركة إيتوتشو كوربوريشن، وشركة ترافيغورا. </w:t>
      </w:r>
    </w:p>
    <w:p w14:paraId="3D9B0DC7" w14:textId="77777777" w:rsidR="00AC5C0C" w:rsidRDefault="00AC5C0C" w:rsidP="00334534">
      <w:pPr>
        <w:bidi/>
        <w:jc w:val="both"/>
        <w:rPr>
          <w:rFonts w:ascii="Traditional Arabic" w:hAnsi="Traditional Arabic" w:cs="Traditional Arabic"/>
          <w:sz w:val="30"/>
          <w:szCs w:val="30"/>
          <w:rtl/>
        </w:rPr>
      </w:pPr>
    </w:p>
    <w:p w14:paraId="006C4F7B"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ولا شك أن شراكتها مع الشركة العمانية للغاز الطبيعي المسال، وهو مشروع وطني رائد ومتكامل يملك استراتيجية تصدير الطاقة في سلطنة عمان، هي حجر الزاوية في عمليات شحن الغاز التي تقوم بها الشركة. وتدعم الشركة حاليًا قطارات الإنتاج الحالية للغاز الطبيعي المسال في سلطنة عمان، والتي تصدر 11.4 مليون طن متري سنويًا من الغاز الطبيعي المسال، وقد تم التعاقد مع ناقلتين للغاز الطبيعي المسال حتى نهاية عام 2025. وسيتم تعزيز هذا الدعم من خلال ناقلتين جديدتين للغاز الطبيعي المسال، وقد تم التعاقد عليهما بالفعل وسيكون التسليم في عام 2026. يشمل التوسع المستقبلي للمشروع قطار إنتاج رابع، متوقع بحلول عام 2029، والذي من المتوقع أن يضيف 3.8 مليون طن متري سنويًا من سعة تصدير الغاز الطبيعي المسال ويوفر فرصة للشركة لتأمين عقود جديدة في المستقبل. يسلط هذا المشروع الضوء على الدور الأساسي للشركة في دعم خطط التوسع للغاز الطبيعي المسال في سلطنة عمان، مما يمكّن الشركة من تعزيز مكانتها كشريك رئيسي في استراتيجية تصدير الطاقة في سلطنة عمان.</w:t>
      </w:r>
    </w:p>
    <w:p w14:paraId="5631E066" w14:textId="77777777" w:rsidR="00AC5C0C" w:rsidRDefault="00AC5C0C" w:rsidP="00334534">
      <w:pPr>
        <w:bidi/>
        <w:jc w:val="both"/>
        <w:rPr>
          <w:rFonts w:ascii="Traditional Arabic" w:hAnsi="Traditional Arabic" w:cs="Traditional Arabic"/>
          <w:sz w:val="30"/>
          <w:szCs w:val="30"/>
          <w:rtl/>
        </w:rPr>
      </w:pPr>
    </w:p>
    <w:p w14:paraId="527A842B"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تعمل ناقلة الغاز العملاقة التابعة للشركة حاليًا بموجب عقد إيجار سفن مجهزة بالمدة مدته خمس سنوات مع شركة جيكسيس، وبموجب شروطه أبرمت شركة جيكسيس بدورها ترتيبًا مشتركًا مع أطراف أخرى. ويسمح هذا الترتيب لشركة جيكسيس والمشاركين الآخرين بإدارة مجموعة السفن الخاصة بهم مركزيًا وتحسين العوائد الإجمالية. وتتوقع الشركة أنه بعد انتهاء عقد إيجار السفينة المجهزة بالمدة هذا في عام 2025، فإنه يمكن بيع ناقلة الغاز العملاقة واستبدالهه بناقلة غاز عملاقة جديدة. </w:t>
      </w:r>
    </w:p>
    <w:p w14:paraId="412D4621" w14:textId="77777777" w:rsidR="00AC5C0C" w:rsidRDefault="00AC5C0C" w:rsidP="00334534">
      <w:pPr>
        <w:bidi/>
        <w:jc w:val="both"/>
        <w:rPr>
          <w:rFonts w:ascii="Traditional Arabic" w:hAnsi="Traditional Arabic" w:cs="Traditional Arabic"/>
          <w:sz w:val="30"/>
          <w:szCs w:val="30"/>
          <w:rtl/>
        </w:rPr>
      </w:pPr>
    </w:p>
    <w:p w14:paraId="00E83808"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هذا، وتعمل ناقلة الغاز متوسطة الحجم الخاصة بالشركة حاليًا بموجب عقد إيجار سفينة مجهزة بالمدة لمدة عام واحد، وسيتم بموجبه تأجير السفينة إلى شركة أوكيو، وهي طرف ذو علاقة بالشركة. يتضمن عقد إيجار السفينة المجهزة بالمدة هذا على خيار تمديد لمدة عام واحد، وبعد ذلك سيتم إعادة السفينة إلى المالك الأصلي.</w:t>
      </w:r>
    </w:p>
    <w:p w14:paraId="67BA4ECA" w14:textId="77777777" w:rsidR="00AC5C0C" w:rsidRDefault="00AC5C0C" w:rsidP="00334534">
      <w:pPr>
        <w:bidi/>
        <w:jc w:val="both"/>
        <w:rPr>
          <w:rFonts w:ascii="Traditional Arabic" w:hAnsi="Traditional Arabic" w:cs="Traditional Arabic"/>
          <w:sz w:val="30"/>
          <w:szCs w:val="30"/>
          <w:rtl/>
        </w:rPr>
      </w:pPr>
    </w:p>
    <w:p w14:paraId="716D8AF3"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 xml:space="preserve">يلخص الجدول أدناه ترتيبات التأجير المطبقة على كل سفينة من سفن الشركة العاملة في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الغاز حتى 30 سبتمبر 2024: </w:t>
      </w:r>
    </w:p>
    <w:p w14:paraId="12788357" w14:textId="77777777" w:rsidR="00334534" w:rsidRDefault="00334534" w:rsidP="00334534">
      <w:pPr>
        <w:bidi/>
        <w:jc w:val="both"/>
        <w:rPr>
          <w:rFonts w:ascii="Traditional Arabic" w:hAnsi="Traditional Arabic" w:cs="Traditional Arabic"/>
          <w:sz w:val="30"/>
          <w:szCs w:val="30"/>
          <w:rtl/>
        </w:rPr>
      </w:pPr>
    </w:p>
    <w:tbl>
      <w:tblPr>
        <w:tblW w:w="9089" w:type="dxa"/>
        <w:tblInd w:w="437" w:type="dxa"/>
        <w:tblLayout w:type="fixed"/>
        <w:tblCellMar>
          <w:left w:w="0" w:type="dxa"/>
          <w:right w:w="0" w:type="dxa"/>
        </w:tblCellMar>
        <w:tblLook w:val="0000" w:firstRow="0" w:lastRow="0" w:firstColumn="0" w:lastColumn="0" w:noHBand="0" w:noVBand="0"/>
      </w:tblPr>
      <w:tblGrid>
        <w:gridCol w:w="3162"/>
        <w:gridCol w:w="278"/>
        <w:gridCol w:w="1132"/>
        <w:gridCol w:w="284"/>
        <w:gridCol w:w="1132"/>
        <w:gridCol w:w="279"/>
        <w:gridCol w:w="1132"/>
        <w:gridCol w:w="279"/>
        <w:gridCol w:w="1132"/>
        <w:gridCol w:w="279"/>
      </w:tblGrid>
      <w:tr w:rsidR="00AC5C0C" w:rsidRPr="00B02BA3" w14:paraId="74BE5759" w14:textId="77777777" w:rsidTr="00922116">
        <w:trPr>
          <w:trHeight w:val="478"/>
          <w:tblHeader/>
        </w:trPr>
        <w:tc>
          <w:tcPr>
            <w:tcW w:w="3162" w:type="dxa"/>
            <w:tcBorders>
              <w:bottom w:val="single" w:sz="4" w:space="0" w:color="auto"/>
            </w:tcBorders>
            <w:vAlign w:val="bottom"/>
          </w:tcPr>
          <w:p w14:paraId="34536C36" w14:textId="77777777" w:rsidR="00AC5C0C" w:rsidRPr="00B02BA3" w:rsidRDefault="00AC5C0C" w:rsidP="00922116">
            <w:pPr>
              <w:pStyle w:val="SmCellHead"/>
              <w:jc w:val="center"/>
              <w:rPr>
                <w:sz w:val="16"/>
                <w:szCs w:val="16"/>
              </w:rPr>
            </w:pPr>
            <w:r w:rsidRPr="00B02BA3">
              <w:rPr>
                <w:sz w:val="16"/>
                <w:szCs w:val="16"/>
              </w:rPr>
              <w:t>Vessel name</w:t>
            </w:r>
          </w:p>
        </w:tc>
        <w:tc>
          <w:tcPr>
            <w:tcW w:w="278" w:type="dxa"/>
            <w:vAlign w:val="bottom"/>
          </w:tcPr>
          <w:p w14:paraId="7F6B11A7" w14:textId="77777777" w:rsidR="00AC5C0C" w:rsidRPr="00B02BA3" w:rsidRDefault="00AC5C0C" w:rsidP="00922116">
            <w:pPr>
              <w:pStyle w:val="CellRowSpacer"/>
              <w:spacing w:after="120"/>
              <w:jc w:val="center"/>
              <w:rPr>
                <w:sz w:val="16"/>
                <w:szCs w:val="16"/>
              </w:rPr>
            </w:pPr>
          </w:p>
        </w:tc>
        <w:tc>
          <w:tcPr>
            <w:tcW w:w="1132" w:type="dxa"/>
            <w:tcBorders>
              <w:bottom w:val="single" w:sz="4" w:space="0" w:color="auto"/>
            </w:tcBorders>
            <w:vAlign w:val="bottom"/>
          </w:tcPr>
          <w:p w14:paraId="49914328" w14:textId="77777777" w:rsidR="00AC5C0C" w:rsidRPr="00B02BA3" w:rsidRDefault="00AC5C0C" w:rsidP="00922116">
            <w:pPr>
              <w:pStyle w:val="SmCellHead"/>
              <w:jc w:val="center"/>
              <w:rPr>
                <w:sz w:val="16"/>
                <w:szCs w:val="16"/>
              </w:rPr>
            </w:pPr>
            <w:r w:rsidRPr="00B02BA3">
              <w:rPr>
                <w:sz w:val="16"/>
                <w:szCs w:val="16"/>
              </w:rPr>
              <w:t>Customer / Project</w:t>
            </w:r>
          </w:p>
        </w:tc>
        <w:tc>
          <w:tcPr>
            <w:tcW w:w="284" w:type="dxa"/>
            <w:vAlign w:val="bottom"/>
          </w:tcPr>
          <w:p w14:paraId="64CA2960" w14:textId="77777777" w:rsidR="00AC5C0C" w:rsidRPr="00B02BA3" w:rsidRDefault="00AC5C0C" w:rsidP="00922116">
            <w:pPr>
              <w:pStyle w:val="SmCellHead"/>
              <w:jc w:val="center"/>
              <w:rPr>
                <w:sz w:val="16"/>
                <w:szCs w:val="16"/>
              </w:rPr>
            </w:pPr>
          </w:p>
        </w:tc>
        <w:tc>
          <w:tcPr>
            <w:tcW w:w="1132" w:type="dxa"/>
            <w:tcBorders>
              <w:bottom w:val="single" w:sz="4" w:space="0" w:color="auto"/>
            </w:tcBorders>
            <w:vAlign w:val="bottom"/>
          </w:tcPr>
          <w:p w14:paraId="3AA22B88" w14:textId="77777777" w:rsidR="00AC5C0C" w:rsidRPr="00B02BA3" w:rsidRDefault="00AC5C0C" w:rsidP="00922116">
            <w:pPr>
              <w:pStyle w:val="SmCellHead"/>
              <w:jc w:val="center"/>
              <w:rPr>
                <w:sz w:val="16"/>
                <w:szCs w:val="16"/>
              </w:rPr>
            </w:pPr>
            <w:r w:rsidRPr="00B02BA3">
              <w:rPr>
                <w:rFonts w:eastAsia="SimSun"/>
                <w:kern w:val="0"/>
                <w:sz w:val="16"/>
                <w:szCs w:val="16"/>
              </w:rPr>
              <w:t>Charter start</w:t>
            </w:r>
          </w:p>
        </w:tc>
        <w:tc>
          <w:tcPr>
            <w:tcW w:w="279" w:type="dxa"/>
            <w:vAlign w:val="bottom"/>
          </w:tcPr>
          <w:p w14:paraId="7A6CCA35" w14:textId="77777777" w:rsidR="00AC5C0C" w:rsidRPr="00B02BA3" w:rsidRDefault="00AC5C0C" w:rsidP="00922116">
            <w:pPr>
              <w:pStyle w:val="CellRowSpacer"/>
              <w:spacing w:after="120"/>
              <w:jc w:val="center"/>
              <w:rPr>
                <w:sz w:val="16"/>
                <w:szCs w:val="16"/>
              </w:rPr>
            </w:pPr>
          </w:p>
        </w:tc>
        <w:tc>
          <w:tcPr>
            <w:tcW w:w="1132" w:type="dxa"/>
            <w:tcBorders>
              <w:bottom w:val="single" w:sz="4" w:space="0" w:color="auto"/>
            </w:tcBorders>
            <w:vAlign w:val="bottom"/>
          </w:tcPr>
          <w:p w14:paraId="3A96503C" w14:textId="77777777" w:rsidR="00AC5C0C" w:rsidRPr="00B02BA3" w:rsidRDefault="00AC5C0C" w:rsidP="00922116">
            <w:pPr>
              <w:pStyle w:val="SmCellHead"/>
              <w:jc w:val="center"/>
              <w:rPr>
                <w:sz w:val="16"/>
                <w:szCs w:val="16"/>
              </w:rPr>
            </w:pPr>
            <w:r w:rsidRPr="00B02BA3">
              <w:rPr>
                <w:rFonts w:eastAsia="SimSun"/>
                <w:kern w:val="0"/>
                <w:sz w:val="16"/>
                <w:szCs w:val="16"/>
              </w:rPr>
              <w:t>Charter expiration</w:t>
            </w:r>
          </w:p>
        </w:tc>
        <w:tc>
          <w:tcPr>
            <w:tcW w:w="279" w:type="dxa"/>
            <w:vAlign w:val="bottom"/>
          </w:tcPr>
          <w:p w14:paraId="3390E6BD" w14:textId="77777777" w:rsidR="00AC5C0C" w:rsidRPr="00B02BA3" w:rsidRDefault="00AC5C0C" w:rsidP="00922116">
            <w:pPr>
              <w:pStyle w:val="CellRowSpacer"/>
              <w:spacing w:after="120"/>
              <w:jc w:val="center"/>
              <w:rPr>
                <w:b/>
                <w:bCs/>
                <w:sz w:val="16"/>
                <w:szCs w:val="16"/>
              </w:rPr>
            </w:pPr>
          </w:p>
        </w:tc>
        <w:tc>
          <w:tcPr>
            <w:tcW w:w="1132" w:type="dxa"/>
            <w:tcBorders>
              <w:bottom w:val="single" w:sz="4" w:space="0" w:color="auto"/>
            </w:tcBorders>
            <w:vAlign w:val="bottom"/>
          </w:tcPr>
          <w:p w14:paraId="58F0AB70" w14:textId="77777777" w:rsidR="00AC5C0C" w:rsidRPr="00B02BA3" w:rsidRDefault="00AC5C0C" w:rsidP="00922116">
            <w:pPr>
              <w:pStyle w:val="SmCellHead"/>
              <w:jc w:val="center"/>
              <w:rPr>
                <w:sz w:val="16"/>
                <w:szCs w:val="16"/>
              </w:rPr>
            </w:pPr>
            <w:r w:rsidRPr="00B02BA3">
              <w:rPr>
                <w:rFonts w:eastAsia="SimSun"/>
                <w:kern w:val="0"/>
                <w:sz w:val="16"/>
                <w:szCs w:val="16"/>
              </w:rPr>
              <w:t>Term</w:t>
            </w:r>
          </w:p>
        </w:tc>
        <w:tc>
          <w:tcPr>
            <w:tcW w:w="279" w:type="dxa"/>
            <w:vAlign w:val="bottom"/>
          </w:tcPr>
          <w:p w14:paraId="23EDCC2B" w14:textId="77777777" w:rsidR="00AC5C0C" w:rsidRPr="00B02BA3" w:rsidRDefault="00AC5C0C" w:rsidP="00922116">
            <w:pPr>
              <w:pStyle w:val="CellRowSpacer"/>
              <w:spacing w:after="120"/>
              <w:jc w:val="center"/>
              <w:rPr>
                <w:sz w:val="16"/>
                <w:szCs w:val="16"/>
              </w:rPr>
            </w:pPr>
          </w:p>
        </w:tc>
      </w:tr>
      <w:tr w:rsidR="00AC5C0C" w:rsidRPr="00B02BA3" w14:paraId="4A284484" w14:textId="77777777" w:rsidTr="00922116">
        <w:trPr>
          <w:trHeight w:val="390"/>
        </w:trPr>
        <w:tc>
          <w:tcPr>
            <w:tcW w:w="3162" w:type="dxa"/>
            <w:vAlign w:val="bottom"/>
          </w:tcPr>
          <w:p w14:paraId="4529E758" w14:textId="77777777" w:rsidR="00AC5C0C" w:rsidRPr="00B02BA3" w:rsidRDefault="00AC5C0C" w:rsidP="00922116">
            <w:pPr>
              <w:pStyle w:val="SmCellBody"/>
              <w:tabs>
                <w:tab w:val="right" w:leader="dot" w:pos="3163"/>
              </w:tabs>
              <w:rPr>
                <w:sz w:val="16"/>
                <w:szCs w:val="16"/>
              </w:rPr>
            </w:pPr>
            <w:r w:rsidRPr="00B02BA3">
              <w:rPr>
                <w:sz w:val="16"/>
                <w:szCs w:val="16"/>
              </w:rPr>
              <w:t>Adam LNG</w:t>
            </w:r>
            <w:r w:rsidRPr="00B02BA3">
              <w:rPr>
                <w:rFonts w:eastAsia="SimSun"/>
                <w:sz w:val="16"/>
                <w:szCs w:val="16"/>
              </w:rPr>
              <w:tab/>
            </w:r>
          </w:p>
        </w:tc>
        <w:tc>
          <w:tcPr>
            <w:tcW w:w="278" w:type="dxa"/>
            <w:vAlign w:val="bottom"/>
          </w:tcPr>
          <w:p w14:paraId="739CF81A" w14:textId="77777777" w:rsidR="00AC5C0C" w:rsidRPr="00B02BA3" w:rsidRDefault="00AC5C0C" w:rsidP="00922116">
            <w:pPr>
              <w:pStyle w:val="CellRowSpacer"/>
              <w:rPr>
                <w:sz w:val="16"/>
                <w:szCs w:val="16"/>
              </w:rPr>
            </w:pPr>
          </w:p>
        </w:tc>
        <w:tc>
          <w:tcPr>
            <w:tcW w:w="1132" w:type="dxa"/>
            <w:vAlign w:val="bottom"/>
          </w:tcPr>
          <w:p w14:paraId="67E6F52E" w14:textId="77777777" w:rsidR="00AC5C0C" w:rsidRPr="00B02BA3" w:rsidRDefault="00AC5C0C" w:rsidP="00922116">
            <w:pPr>
              <w:pStyle w:val="SmCellBody"/>
              <w:jc w:val="right"/>
              <w:rPr>
                <w:sz w:val="16"/>
                <w:szCs w:val="16"/>
              </w:rPr>
            </w:pPr>
            <w:r w:rsidRPr="00B02BA3">
              <w:rPr>
                <w:sz w:val="16"/>
                <w:szCs w:val="16"/>
              </w:rPr>
              <w:t>Gunvor</w:t>
            </w:r>
          </w:p>
        </w:tc>
        <w:tc>
          <w:tcPr>
            <w:tcW w:w="284" w:type="dxa"/>
            <w:vAlign w:val="bottom"/>
          </w:tcPr>
          <w:p w14:paraId="2258C9BE" w14:textId="77777777" w:rsidR="00AC5C0C" w:rsidRPr="00B02BA3" w:rsidRDefault="00AC5C0C" w:rsidP="00922116">
            <w:pPr>
              <w:pStyle w:val="SmCellBody"/>
              <w:jc w:val="right"/>
              <w:rPr>
                <w:sz w:val="16"/>
                <w:szCs w:val="16"/>
              </w:rPr>
            </w:pPr>
          </w:p>
        </w:tc>
        <w:tc>
          <w:tcPr>
            <w:tcW w:w="1132" w:type="dxa"/>
            <w:vAlign w:val="bottom"/>
          </w:tcPr>
          <w:p w14:paraId="4340444E" w14:textId="77777777" w:rsidR="00AC5C0C" w:rsidRPr="00B02BA3" w:rsidRDefault="00AC5C0C" w:rsidP="00922116">
            <w:pPr>
              <w:pStyle w:val="SmCellBody"/>
              <w:jc w:val="right"/>
              <w:rPr>
                <w:sz w:val="16"/>
                <w:szCs w:val="16"/>
              </w:rPr>
            </w:pPr>
            <w:r w:rsidRPr="00B02BA3">
              <w:rPr>
                <w:sz w:val="16"/>
                <w:szCs w:val="16"/>
              </w:rPr>
              <w:t>May 2021</w:t>
            </w:r>
          </w:p>
        </w:tc>
        <w:tc>
          <w:tcPr>
            <w:tcW w:w="279" w:type="dxa"/>
            <w:vAlign w:val="bottom"/>
          </w:tcPr>
          <w:p w14:paraId="13894CB7" w14:textId="77777777" w:rsidR="00AC5C0C" w:rsidRPr="00B02BA3" w:rsidRDefault="00AC5C0C" w:rsidP="00922116">
            <w:pPr>
              <w:pStyle w:val="CellRowSpacer"/>
              <w:rPr>
                <w:sz w:val="16"/>
                <w:szCs w:val="16"/>
              </w:rPr>
            </w:pPr>
          </w:p>
        </w:tc>
        <w:tc>
          <w:tcPr>
            <w:tcW w:w="1132" w:type="dxa"/>
            <w:vAlign w:val="bottom"/>
          </w:tcPr>
          <w:p w14:paraId="1550BCEF" w14:textId="77777777" w:rsidR="00AC5C0C" w:rsidRPr="00B02BA3" w:rsidRDefault="00AC5C0C" w:rsidP="00922116">
            <w:pPr>
              <w:pStyle w:val="SmCellBody"/>
              <w:jc w:val="right"/>
              <w:rPr>
                <w:sz w:val="16"/>
                <w:szCs w:val="16"/>
              </w:rPr>
            </w:pPr>
            <w:r w:rsidRPr="00B02BA3">
              <w:rPr>
                <w:sz w:val="16"/>
                <w:szCs w:val="16"/>
              </w:rPr>
              <w:t xml:space="preserve">March 2029 </w:t>
            </w:r>
          </w:p>
        </w:tc>
        <w:tc>
          <w:tcPr>
            <w:tcW w:w="279" w:type="dxa"/>
            <w:vAlign w:val="bottom"/>
          </w:tcPr>
          <w:p w14:paraId="556CD5FE" w14:textId="77777777" w:rsidR="00AC5C0C" w:rsidRPr="00B02BA3" w:rsidRDefault="00AC5C0C" w:rsidP="00922116">
            <w:pPr>
              <w:pStyle w:val="CellRowSpacer"/>
              <w:rPr>
                <w:sz w:val="16"/>
                <w:szCs w:val="16"/>
                <w:vertAlign w:val="superscript"/>
              </w:rPr>
            </w:pPr>
          </w:p>
        </w:tc>
        <w:tc>
          <w:tcPr>
            <w:tcW w:w="1132" w:type="dxa"/>
            <w:vAlign w:val="bottom"/>
          </w:tcPr>
          <w:p w14:paraId="4B5A61D1" w14:textId="77777777" w:rsidR="00AC5C0C" w:rsidRPr="00B02BA3" w:rsidRDefault="00AC5C0C" w:rsidP="00922116">
            <w:pPr>
              <w:pStyle w:val="SmCellBody"/>
              <w:jc w:val="right"/>
              <w:rPr>
                <w:sz w:val="16"/>
                <w:szCs w:val="16"/>
              </w:rPr>
            </w:pPr>
            <w:r w:rsidRPr="00B02BA3">
              <w:rPr>
                <w:sz w:val="16"/>
                <w:szCs w:val="16"/>
              </w:rPr>
              <w:t>8 years</w:t>
            </w:r>
          </w:p>
        </w:tc>
        <w:tc>
          <w:tcPr>
            <w:tcW w:w="279" w:type="dxa"/>
            <w:vAlign w:val="bottom"/>
          </w:tcPr>
          <w:p w14:paraId="65676205" w14:textId="77777777" w:rsidR="00AC5C0C" w:rsidRPr="00B02BA3" w:rsidRDefault="00AC5C0C" w:rsidP="00922116">
            <w:pPr>
              <w:pStyle w:val="CellRowSpacer"/>
              <w:rPr>
                <w:sz w:val="16"/>
                <w:szCs w:val="16"/>
              </w:rPr>
            </w:pPr>
          </w:p>
        </w:tc>
      </w:tr>
      <w:tr w:rsidR="00AC5C0C" w:rsidRPr="00B02BA3" w14:paraId="7B227F4E" w14:textId="77777777" w:rsidTr="00922116">
        <w:trPr>
          <w:trHeight w:val="378"/>
        </w:trPr>
        <w:tc>
          <w:tcPr>
            <w:tcW w:w="3162" w:type="dxa"/>
            <w:vAlign w:val="bottom"/>
          </w:tcPr>
          <w:p w14:paraId="05D9489C" w14:textId="77777777" w:rsidR="00AC5C0C" w:rsidRPr="00B02BA3" w:rsidRDefault="00AC5C0C" w:rsidP="00922116">
            <w:pPr>
              <w:pStyle w:val="SmCellBody"/>
              <w:tabs>
                <w:tab w:val="right" w:leader="dot" w:pos="3163"/>
              </w:tabs>
              <w:rPr>
                <w:sz w:val="16"/>
                <w:szCs w:val="16"/>
              </w:rPr>
            </w:pPr>
            <w:r w:rsidRPr="00B02BA3">
              <w:rPr>
                <w:sz w:val="16"/>
                <w:szCs w:val="16"/>
              </w:rPr>
              <w:t>Ibra LNG</w:t>
            </w:r>
            <w:r w:rsidRPr="00B02BA3">
              <w:rPr>
                <w:rFonts w:eastAsia="SimSun"/>
                <w:sz w:val="16"/>
                <w:szCs w:val="16"/>
              </w:rPr>
              <w:tab/>
            </w:r>
          </w:p>
        </w:tc>
        <w:tc>
          <w:tcPr>
            <w:tcW w:w="278" w:type="dxa"/>
            <w:vAlign w:val="bottom"/>
          </w:tcPr>
          <w:p w14:paraId="7BC3352D" w14:textId="77777777" w:rsidR="00AC5C0C" w:rsidRPr="00B02BA3" w:rsidRDefault="00AC5C0C" w:rsidP="00922116">
            <w:pPr>
              <w:pStyle w:val="CellRowSpacer"/>
              <w:rPr>
                <w:sz w:val="16"/>
                <w:szCs w:val="16"/>
              </w:rPr>
            </w:pPr>
          </w:p>
        </w:tc>
        <w:tc>
          <w:tcPr>
            <w:tcW w:w="1132" w:type="dxa"/>
            <w:vAlign w:val="bottom"/>
          </w:tcPr>
          <w:p w14:paraId="0ADBFB82" w14:textId="77777777" w:rsidR="00AC5C0C" w:rsidRPr="00B02BA3" w:rsidRDefault="00AC5C0C" w:rsidP="00922116">
            <w:pPr>
              <w:pStyle w:val="SmCellBody"/>
              <w:jc w:val="right"/>
              <w:rPr>
                <w:sz w:val="16"/>
                <w:szCs w:val="16"/>
              </w:rPr>
            </w:pPr>
            <w:proofErr w:type="spellStart"/>
            <w:r w:rsidRPr="00B02BA3">
              <w:rPr>
                <w:sz w:val="16"/>
                <w:szCs w:val="16"/>
              </w:rPr>
              <w:t>Qalhat</w:t>
            </w:r>
            <w:proofErr w:type="spellEnd"/>
            <w:r w:rsidRPr="00B02BA3">
              <w:rPr>
                <w:sz w:val="16"/>
                <w:szCs w:val="16"/>
              </w:rPr>
              <w:t xml:space="preserve"> LNG</w:t>
            </w:r>
          </w:p>
        </w:tc>
        <w:tc>
          <w:tcPr>
            <w:tcW w:w="284" w:type="dxa"/>
            <w:vAlign w:val="bottom"/>
          </w:tcPr>
          <w:p w14:paraId="344C5CF4" w14:textId="77777777" w:rsidR="00AC5C0C" w:rsidRPr="00B02BA3" w:rsidRDefault="00AC5C0C" w:rsidP="00922116">
            <w:pPr>
              <w:pStyle w:val="SmCellBody"/>
              <w:jc w:val="right"/>
              <w:rPr>
                <w:sz w:val="16"/>
                <w:szCs w:val="16"/>
              </w:rPr>
            </w:pPr>
          </w:p>
        </w:tc>
        <w:tc>
          <w:tcPr>
            <w:tcW w:w="1132" w:type="dxa"/>
            <w:vAlign w:val="bottom"/>
          </w:tcPr>
          <w:p w14:paraId="7096D55A" w14:textId="77777777" w:rsidR="00AC5C0C" w:rsidRPr="00B02BA3" w:rsidRDefault="00AC5C0C" w:rsidP="00922116">
            <w:pPr>
              <w:pStyle w:val="SmCellBody"/>
              <w:jc w:val="right"/>
              <w:rPr>
                <w:sz w:val="16"/>
                <w:szCs w:val="16"/>
              </w:rPr>
            </w:pPr>
            <w:r w:rsidRPr="00B02BA3">
              <w:rPr>
                <w:sz w:val="16"/>
                <w:szCs w:val="16"/>
              </w:rPr>
              <w:t>August 2006</w:t>
            </w:r>
          </w:p>
        </w:tc>
        <w:tc>
          <w:tcPr>
            <w:tcW w:w="279" w:type="dxa"/>
            <w:vAlign w:val="bottom"/>
          </w:tcPr>
          <w:p w14:paraId="6583E04B" w14:textId="77777777" w:rsidR="00AC5C0C" w:rsidRPr="00B02BA3" w:rsidRDefault="00AC5C0C" w:rsidP="00922116">
            <w:pPr>
              <w:pStyle w:val="CellRowSpacer"/>
              <w:rPr>
                <w:sz w:val="16"/>
                <w:szCs w:val="16"/>
              </w:rPr>
            </w:pPr>
          </w:p>
        </w:tc>
        <w:tc>
          <w:tcPr>
            <w:tcW w:w="1132" w:type="dxa"/>
            <w:vAlign w:val="bottom"/>
          </w:tcPr>
          <w:p w14:paraId="0F408E2B" w14:textId="77777777" w:rsidR="00AC5C0C" w:rsidRPr="00B02BA3" w:rsidRDefault="00AC5C0C" w:rsidP="00922116">
            <w:pPr>
              <w:pStyle w:val="SmCellBody"/>
              <w:jc w:val="right"/>
              <w:rPr>
                <w:sz w:val="16"/>
                <w:szCs w:val="16"/>
              </w:rPr>
            </w:pPr>
            <w:r w:rsidRPr="00B02BA3">
              <w:rPr>
                <w:sz w:val="16"/>
                <w:szCs w:val="16"/>
              </w:rPr>
              <w:t>December 2025</w:t>
            </w:r>
          </w:p>
        </w:tc>
        <w:tc>
          <w:tcPr>
            <w:tcW w:w="279" w:type="dxa"/>
            <w:vAlign w:val="bottom"/>
          </w:tcPr>
          <w:p w14:paraId="3A9AB0D5" w14:textId="77777777" w:rsidR="00AC5C0C" w:rsidRPr="00B02BA3" w:rsidRDefault="00AC5C0C" w:rsidP="00922116">
            <w:pPr>
              <w:pStyle w:val="CellRowSpacer"/>
              <w:rPr>
                <w:sz w:val="16"/>
                <w:szCs w:val="16"/>
              </w:rPr>
            </w:pPr>
          </w:p>
        </w:tc>
        <w:tc>
          <w:tcPr>
            <w:tcW w:w="1132" w:type="dxa"/>
            <w:vAlign w:val="bottom"/>
          </w:tcPr>
          <w:p w14:paraId="5B7EB178" w14:textId="77777777" w:rsidR="00AC5C0C" w:rsidRPr="00B02BA3" w:rsidRDefault="00AC5C0C" w:rsidP="00922116">
            <w:pPr>
              <w:pStyle w:val="SmCellBody"/>
              <w:jc w:val="right"/>
              <w:rPr>
                <w:sz w:val="16"/>
                <w:szCs w:val="16"/>
              </w:rPr>
            </w:pPr>
            <w:r w:rsidRPr="00B02BA3">
              <w:rPr>
                <w:sz w:val="16"/>
                <w:szCs w:val="16"/>
              </w:rPr>
              <w:t>19.5 years</w:t>
            </w:r>
          </w:p>
        </w:tc>
        <w:tc>
          <w:tcPr>
            <w:tcW w:w="279" w:type="dxa"/>
            <w:vAlign w:val="bottom"/>
          </w:tcPr>
          <w:p w14:paraId="266B3D7C" w14:textId="77777777" w:rsidR="00AC5C0C" w:rsidRPr="00B02BA3" w:rsidRDefault="00AC5C0C" w:rsidP="00922116">
            <w:pPr>
              <w:pStyle w:val="CellRowSpacer"/>
              <w:rPr>
                <w:sz w:val="16"/>
                <w:szCs w:val="16"/>
              </w:rPr>
            </w:pPr>
          </w:p>
        </w:tc>
      </w:tr>
      <w:tr w:rsidR="00AC5C0C" w:rsidRPr="00B02BA3" w14:paraId="28970F20" w14:textId="77777777" w:rsidTr="00922116">
        <w:trPr>
          <w:trHeight w:val="390"/>
        </w:trPr>
        <w:tc>
          <w:tcPr>
            <w:tcW w:w="3162" w:type="dxa"/>
            <w:vAlign w:val="bottom"/>
          </w:tcPr>
          <w:p w14:paraId="757ADB8D" w14:textId="77777777" w:rsidR="00AC5C0C" w:rsidRPr="00B02BA3" w:rsidRDefault="00AC5C0C" w:rsidP="00922116">
            <w:pPr>
              <w:pStyle w:val="SmCellBody"/>
              <w:tabs>
                <w:tab w:val="right" w:leader="dot" w:pos="3163"/>
              </w:tabs>
              <w:rPr>
                <w:sz w:val="16"/>
                <w:szCs w:val="16"/>
              </w:rPr>
            </w:pPr>
            <w:r w:rsidRPr="00B02BA3">
              <w:rPr>
                <w:sz w:val="16"/>
                <w:szCs w:val="16"/>
              </w:rPr>
              <w:t>Ibri LNG</w:t>
            </w:r>
            <w:r w:rsidRPr="00B02BA3">
              <w:rPr>
                <w:rFonts w:eastAsia="SimSun"/>
                <w:sz w:val="16"/>
                <w:szCs w:val="16"/>
              </w:rPr>
              <w:tab/>
            </w:r>
          </w:p>
        </w:tc>
        <w:tc>
          <w:tcPr>
            <w:tcW w:w="278" w:type="dxa"/>
            <w:vAlign w:val="bottom"/>
          </w:tcPr>
          <w:p w14:paraId="0545B91F" w14:textId="77777777" w:rsidR="00AC5C0C" w:rsidRPr="00B02BA3" w:rsidRDefault="00AC5C0C" w:rsidP="00922116">
            <w:pPr>
              <w:pStyle w:val="CellRowSpacer"/>
              <w:rPr>
                <w:sz w:val="16"/>
                <w:szCs w:val="16"/>
              </w:rPr>
            </w:pPr>
          </w:p>
        </w:tc>
        <w:tc>
          <w:tcPr>
            <w:tcW w:w="1132" w:type="dxa"/>
            <w:vAlign w:val="bottom"/>
          </w:tcPr>
          <w:p w14:paraId="5EDB8857" w14:textId="77777777" w:rsidR="00AC5C0C" w:rsidRPr="00B02BA3" w:rsidRDefault="00AC5C0C" w:rsidP="00922116">
            <w:pPr>
              <w:pStyle w:val="SmCellBody"/>
              <w:jc w:val="right"/>
              <w:rPr>
                <w:sz w:val="16"/>
                <w:szCs w:val="16"/>
              </w:rPr>
            </w:pPr>
            <w:r w:rsidRPr="00B02BA3">
              <w:rPr>
                <w:sz w:val="16"/>
                <w:szCs w:val="16"/>
              </w:rPr>
              <w:t>Gunvor</w:t>
            </w:r>
          </w:p>
        </w:tc>
        <w:tc>
          <w:tcPr>
            <w:tcW w:w="284" w:type="dxa"/>
            <w:vAlign w:val="bottom"/>
          </w:tcPr>
          <w:p w14:paraId="270A66A5" w14:textId="77777777" w:rsidR="00AC5C0C" w:rsidRPr="00B02BA3" w:rsidRDefault="00AC5C0C" w:rsidP="00922116">
            <w:pPr>
              <w:pStyle w:val="SmCellBody"/>
              <w:jc w:val="right"/>
              <w:rPr>
                <w:sz w:val="16"/>
                <w:szCs w:val="16"/>
              </w:rPr>
            </w:pPr>
          </w:p>
        </w:tc>
        <w:tc>
          <w:tcPr>
            <w:tcW w:w="1132" w:type="dxa"/>
            <w:vAlign w:val="bottom"/>
          </w:tcPr>
          <w:p w14:paraId="55109724" w14:textId="77777777" w:rsidR="00AC5C0C" w:rsidRPr="00B02BA3" w:rsidRDefault="00AC5C0C" w:rsidP="00922116">
            <w:pPr>
              <w:pStyle w:val="SmCellBody"/>
              <w:jc w:val="right"/>
              <w:rPr>
                <w:sz w:val="16"/>
                <w:szCs w:val="16"/>
              </w:rPr>
            </w:pPr>
            <w:r w:rsidRPr="00B02BA3">
              <w:rPr>
                <w:sz w:val="16"/>
                <w:szCs w:val="16"/>
              </w:rPr>
              <w:t>March 2021</w:t>
            </w:r>
          </w:p>
        </w:tc>
        <w:tc>
          <w:tcPr>
            <w:tcW w:w="279" w:type="dxa"/>
            <w:vAlign w:val="bottom"/>
          </w:tcPr>
          <w:p w14:paraId="788319B0" w14:textId="77777777" w:rsidR="00AC5C0C" w:rsidRPr="00B02BA3" w:rsidRDefault="00AC5C0C" w:rsidP="00922116">
            <w:pPr>
              <w:pStyle w:val="CellRowSpacer"/>
              <w:rPr>
                <w:sz w:val="16"/>
                <w:szCs w:val="16"/>
              </w:rPr>
            </w:pPr>
          </w:p>
        </w:tc>
        <w:tc>
          <w:tcPr>
            <w:tcW w:w="1132" w:type="dxa"/>
            <w:vAlign w:val="bottom"/>
          </w:tcPr>
          <w:p w14:paraId="587D7E6E" w14:textId="77777777" w:rsidR="00AC5C0C" w:rsidRPr="00B02BA3" w:rsidRDefault="00AC5C0C" w:rsidP="00922116">
            <w:pPr>
              <w:pStyle w:val="SmCellBody"/>
              <w:jc w:val="right"/>
              <w:rPr>
                <w:sz w:val="16"/>
                <w:szCs w:val="16"/>
              </w:rPr>
            </w:pPr>
            <w:r w:rsidRPr="00B02BA3">
              <w:rPr>
                <w:sz w:val="16"/>
                <w:szCs w:val="16"/>
              </w:rPr>
              <w:t>February 2025</w:t>
            </w:r>
          </w:p>
        </w:tc>
        <w:tc>
          <w:tcPr>
            <w:tcW w:w="279" w:type="dxa"/>
            <w:vAlign w:val="bottom"/>
          </w:tcPr>
          <w:p w14:paraId="616827C9" w14:textId="77777777" w:rsidR="00AC5C0C" w:rsidRPr="00B02BA3" w:rsidRDefault="00AC5C0C" w:rsidP="00922116">
            <w:pPr>
              <w:pStyle w:val="CellRowSpacer"/>
              <w:rPr>
                <w:sz w:val="16"/>
                <w:szCs w:val="16"/>
              </w:rPr>
            </w:pPr>
          </w:p>
        </w:tc>
        <w:tc>
          <w:tcPr>
            <w:tcW w:w="1132" w:type="dxa"/>
            <w:vAlign w:val="bottom"/>
          </w:tcPr>
          <w:p w14:paraId="73CB4473" w14:textId="77777777" w:rsidR="00AC5C0C" w:rsidRPr="00B02BA3" w:rsidRDefault="00AC5C0C" w:rsidP="00922116">
            <w:pPr>
              <w:pStyle w:val="SmCellBody"/>
              <w:jc w:val="right"/>
              <w:rPr>
                <w:sz w:val="16"/>
                <w:szCs w:val="16"/>
              </w:rPr>
            </w:pPr>
            <w:r w:rsidRPr="00B02BA3">
              <w:rPr>
                <w:sz w:val="16"/>
                <w:szCs w:val="16"/>
              </w:rPr>
              <w:t>4 years</w:t>
            </w:r>
          </w:p>
        </w:tc>
        <w:tc>
          <w:tcPr>
            <w:tcW w:w="279" w:type="dxa"/>
            <w:vAlign w:val="bottom"/>
          </w:tcPr>
          <w:p w14:paraId="580DE856" w14:textId="77777777" w:rsidR="00AC5C0C" w:rsidRPr="00B02BA3" w:rsidRDefault="00AC5C0C" w:rsidP="00922116">
            <w:pPr>
              <w:pStyle w:val="CellRowSpacer"/>
              <w:rPr>
                <w:sz w:val="16"/>
                <w:szCs w:val="16"/>
              </w:rPr>
            </w:pPr>
          </w:p>
        </w:tc>
      </w:tr>
      <w:tr w:rsidR="00AC5C0C" w:rsidRPr="00B02BA3" w14:paraId="133B28AA" w14:textId="77777777" w:rsidTr="00922116">
        <w:trPr>
          <w:trHeight w:val="390"/>
        </w:trPr>
        <w:tc>
          <w:tcPr>
            <w:tcW w:w="3162" w:type="dxa"/>
            <w:vAlign w:val="bottom"/>
          </w:tcPr>
          <w:p w14:paraId="462BF6F9" w14:textId="77777777" w:rsidR="00AC5C0C" w:rsidRPr="00B02BA3" w:rsidRDefault="00AC5C0C" w:rsidP="00922116">
            <w:pPr>
              <w:pStyle w:val="SmCellBody"/>
              <w:tabs>
                <w:tab w:val="right" w:leader="dot" w:pos="3163"/>
              </w:tabs>
              <w:rPr>
                <w:sz w:val="16"/>
                <w:szCs w:val="16"/>
              </w:rPr>
            </w:pPr>
            <w:proofErr w:type="spellStart"/>
            <w:r w:rsidRPr="00B02BA3">
              <w:rPr>
                <w:sz w:val="16"/>
                <w:szCs w:val="16"/>
              </w:rPr>
              <w:t>Musanah</w:t>
            </w:r>
            <w:proofErr w:type="spellEnd"/>
            <w:r w:rsidRPr="00B02BA3">
              <w:rPr>
                <w:rFonts w:eastAsia="SimSun"/>
                <w:sz w:val="16"/>
                <w:szCs w:val="16"/>
              </w:rPr>
              <w:tab/>
            </w:r>
          </w:p>
        </w:tc>
        <w:tc>
          <w:tcPr>
            <w:tcW w:w="278" w:type="dxa"/>
            <w:vAlign w:val="bottom"/>
          </w:tcPr>
          <w:p w14:paraId="1FAE78B7" w14:textId="77777777" w:rsidR="00AC5C0C" w:rsidRPr="00B02BA3" w:rsidRDefault="00AC5C0C" w:rsidP="00922116">
            <w:pPr>
              <w:pStyle w:val="CellRowSpacer"/>
              <w:rPr>
                <w:sz w:val="16"/>
                <w:szCs w:val="16"/>
              </w:rPr>
            </w:pPr>
          </w:p>
        </w:tc>
        <w:tc>
          <w:tcPr>
            <w:tcW w:w="1132" w:type="dxa"/>
            <w:vAlign w:val="bottom"/>
          </w:tcPr>
          <w:p w14:paraId="0359B82F" w14:textId="77777777" w:rsidR="00AC5C0C" w:rsidRPr="00B02BA3" w:rsidRDefault="00AC5C0C" w:rsidP="00922116">
            <w:pPr>
              <w:pStyle w:val="SmCellBody"/>
              <w:jc w:val="right"/>
              <w:rPr>
                <w:sz w:val="16"/>
                <w:szCs w:val="16"/>
              </w:rPr>
            </w:pPr>
            <w:proofErr w:type="spellStart"/>
            <w:r w:rsidRPr="00B02BA3">
              <w:rPr>
                <w:sz w:val="16"/>
                <w:szCs w:val="16"/>
              </w:rPr>
              <w:t>Gyxis</w:t>
            </w:r>
            <w:proofErr w:type="spellEnd"/>
          </w:p>
        </w:tc>
        <w:tc>
          <w:tcPr>
            <w:tcW w:w="284" w:type="dxa"/>
            <w:vAlign w:val="bottom"/>
          </w:tcPr>
          <w:p w14:paraId="23FBA34A" w14:textId="77777777" w:rsidR="00AC5C0C" w:rsidRPr="00B02BA3" w:rsidRDefault="00AC5C0C" w:rsidP="00922116">
            <w:pPr>
              <w:pStyle w:val="SmCellBody"/>
              <w:jc w:val="right"/>
              <w:rPr>
                <w:sz w:val="16"/>
                <w:szCs w:val="16"/>
              </w:rPr>
            </w:pPr>
          </w:p>
        </w:tc>
        <w:tc>
          <w:tcPr>
            <w:tcW w:w="1132" w:type="dxa"/>
            <w:vAlign w:val="bottom"/>
          </w:tcPr>
          <w:p w14:paraId="07B41AEA" w14:textId="77777777" w:rsidR="00AC5C0C" w:rsidRPr="00B02BA3" w:rsidRDefault="00AC5C0C" w:rsidP="00922116">
            <w:pPr>
              <w:pStyle w:val="SmCellBody"/>
              <w:jc w:val="right"/>
              <w:rPr>
                <w:sz w:val="16"/>
                <w:szCs w:val="16"/>
              </w:rPr>
            </w:pPr>
            <w:r w:rsidRPr="00B02BA3">
              <w:rPr>
                <w:sz w:val="16"/>
                <w:szCs w:val="16"/>
              </w:rPr>
              <w:t>December 2022</w:t>
            </w:r>
          </w:p>
        </w:tc>
        <w:tc>
          <w:tcPr>
            <w:tcW w:w="279" w:type="dxa"/>
            <w:vAlign w:val="bottom"/>
          </w:tcPr>
          <w:p w14:paraId="23792BFF" w14:textId="77777777" w:rsidR="00AC5C0C" w:rsidRPr="00B02BA3" w:rsidRDefault="00AC5C0C" w:rsidP="00922116">
            <w:pPr>
              <w:pStyle w:val="CellRowSpacer"/>
              <w:rPr>
                <w:sz w:val="16"/>
                <w:szCs w:val="16"/>
              </w:rPr>
            </w:pPr>
          </w:p>
        </w:tc>
        <w:tc>
          <w:tcPr>
            <w:tcW w:w="1132" w:type="dxa"/>
            <w:vAlign w:val="bottom"/>
          </w:tcPr>
          <w:p w14:paraId="7A9996D2" w14:textId="77777777" w:rsidR="00AC5C0C" w:rsidRPr="00B02BA3" w:rsidRDefault="00AC5C0C" w:rsidP="00922116">
            <w:pPr>
              <w:pStyle w:val="SmCellBody"/>
              <w:jc w:val="right"/>
              <w:rPr>
                <w:sz w:val="16"/>
                <w:szCs w:val="16"/>
              </w:rPr>
            </w:pPr>
            <w:r w:rsidRPr="00B02BA3">
              <w:rPr>
                <w:sz w:val="16"/>
                <w:szCs w:val="16"/>
              </w:rPr>
              <w:t>June 2025</w:t>
            </w:r>
          </w:p>
        </w:tc>
        <w:tc>
          <w:tcPr>
            <w:tcW w:w="279" w:type="dxa"/>
            <w:vAlign w:val="bottom"/>
          </w:tcPr>
          <w:p w14:paraId="713BF78A" w14:textId="77777777" w:rsidR="00AC5C0C" w:rsidRPr="00B02BA3" w:rsidRDefault="00AC5C0C" w:rsidP="00922116">
            <w:pPr>
              <w:pStyle w:val="CellRowSpacer"/>
              <w:rPr>
                <w:sz w:val="16"/>
                <w:szCs w:val="16"/>
              </w:rPr>
            </w:pPr>
          </w:p>
        </w:tc>
        <w:tc>
          <w:tcPr>
            <w:tcW w:w="1132" w:type="dxa"/>
            <w:vAlign w:val="bottom"/>
          </w:tcPr>
          <w:p w14:paraId="24944FB6" w14:textId="77777777" w:rsidR="00AC5C0C" w:rsidRPr="00B02BA3" w:rsidRDefault="00AC5C0C" w:rsidP="00922116">
            <w:pPr>
              <w:pStyle w:val="SmCellBody"/>
              <w:jc w:val="right"/>
              <w:rPr>
                <w:sz w:val="16"/>
                <w:szCs w:val="16"/>
              </w:rPr>
            </w:pPr>
            <w:r w:rsidRPr="00B02BA3">
              <w:rPr>
                <w:sz w:val="16"/>
                <w:szCs w:val="16"/>
              </w:rPr>
              <w:t>2.5 years</w:t>
            </w:r>
          </w:p>
        </w:tc>
        <w:tc>
          <w:tcPr>
            <w:tcW w:w="279" w:type="dxa"/>
            <w:vAlign w:val="bottom"/>
          </w:tcPr>
          <w:p w14:paraId="68C2C637" w14:textId="77777777" w:rsidR="00AC5C0C" w:rsidRPr="00B02BA3" w:rsidRDefault="00AC5C0C" w:rsidP="00922116">
            <w:pPr>
              <w:pStyle w:val="CellRowSpacer"/>
              <w:rPr>
                <w:sz w:val="16"/>
                <w:szCs w:val="16"/>
              </w:rPr>
            </w:pPr>
          </w:p>
        </w:tc>
      </w:tr>
      <w:tr w:rsidR="00AC5C0C" w:rsidRPr="00B02BA3" w14:paraId="2D91B849" w14:textId="77777777" w:rsidTr="00922116">
        <w:trPr>
          <w:trHeight w:val="378"/>
        </w:trPr>
        <w:tc>
          <w:tcPr>
            <w:tcW w:w="3162" w:type="dxa"/>
            <w:vAlign w:val="bottom"/>
          </w:tcPr>
          <w:p w14:paraId="5F93BED3" w14:textId="77777777" w:rsidR="00AC5C0C" w:rsidRPr="00B02BA3" w:rsidRDefault="00AC5C0C" w:rsidP="00922116">
            <w:pPr>
              <w:pStyle w:val="SmCellBody"/>
              <w:tabs>
                <w:tab w:val="right" w:leader="dot" w:pos="3163"/>
              </w:tabs>
              <w:rPr>
                <w:sz w:val="16"/>
                <w:szCs w:val="16"/>
              </w:rPr>
            </w:pPr>
            <w:r w:rsidRPr="00B02BA3">
              <w:rPr>
                <w:sz w:val="16"/>
                <w:szCs w:val="16"/>
              </w:rPr>
              <w:t>Nizwa LNG</w:t>
            </w:r>
            <w:r w:rsidRPr="00B02BA3">
              <w:rPr>
                <w:rFonts w:eastAsia="SimSun"/>
                <w:sz w:val="16"/>
                <w:szCs w:val="16"/>
              </w:rPr>
              <w:tab/>
            </w:r>
          </w:p>
        </w:tc>
        <w:tc>
          <w:tcPr>
            <w:tcW w:w="278" w:type="dxa"/>
            <w:vAlign w:val="bottom"/>
          </w:tcPr>
          <w:p w14:paraId="420C7FEA" w14:textId="77777777" w:rsidR="00AC5C0C" w:rsidRPr="00B02BA3" w:rsidRDefault="00AC5C0C" w:rsidP="00922116">
            <w:pPr>
              <w:pStyle w:val="CellRowSpacer"/>
              <w:rPr>
                <w:sz w:val="16"/>
                <w:szCs w:val="16"/>
              </w:rPr>
            </w:pPr>
          </w:p>
        </w:tc>
        <w:tc>
          <w:tcPr>
            <w:tcW w:w="1132" w:type="dxa"/>
            <w:vAlign w:val="bottom"/>
          </w:tcPr>
          <w:p w14:paraId="749416FC" w14:textId="77777777" w:rsidR="00AC5C0C" w:rsidRPr="00B02BA3" w:rsidRDefault="00AC5C0C" w:rsidP="00922116">
            <w:pPr>
              <w:pStyle w:val="SmCellBody"/>
              <w:jc w:val="right"/>
              <w:rPr>
                <w:sz w:val="16"/>
                <w:szCs w:val="16"/>
              </w:rPr>
            </w:pPr>
            <w:r w:rsidRPr="00B02BA3">
              <w:rPr>
                <w:sz w:val="16"/>
                <w:szCs w:val="16"/>
              </w:rPr>
              <w:t>Itochu Corporation</w:t>
            </w:r>
          </w:p>
        </w:tc>
        <w:tc>
          <w:tcPr>
            <w:tcW w:w="284" w:type="dxa"/>
            <w:vAlign w:val="bottom"/>
          </w:tcPr>
          <w:p w14:paraId="7042BFB9" w14:textId="77777777" w:rsidR="00AC5C0C" w:rsidRPr="00B02BA3" w:rsidRDefault="00AC5C0C" w:rsidP="00922116">
            <w:pPr>
              <w:pStyle w:val="SmCellBody"/>
              <w:jc w:val="right"/>
              <w:rPr>
                <w:sz w:val="16"/>
                <w:szCs w:val="16"/>
              </w:rPr>
            </w:pPr>
          </w:p>
        </w:tc>
        <w:tc>
          <w:tcPr>
            <w:tcW w:w="1132" w:type="dxa"/>
            <w:vAlign w:val="bottom"/>
          </w:tcPr>
          <w:p w14:paraId="4BC217EA" w14:textId="77777777" w:rsidR="00AC5C0C" w:rsidRPr="00B02BA3" w:rsidRDefault="00AC5C0C" w:rsidP="00922116">
            <w:pPr>
              <w:pStyle w:val="SmCellBody"/>
              <w:jc w:val="right"/>
              <w:rPr>
                <w:sz w:val="16"/>
                <w:szCs w:val="16"/>
              </w:rPr>
            </w:pPr>
            <w:r w:rsidRPr="00B02BA3">
              <w:rPr>
                <w:sz w:val="16"/>
                <w:szCs w:val="16"/>
              </w:rPr>
              <w:t>December 2005</w:t>
            </w:r>
          </w:p>
        </w:tc>
        <w:tc>
          <w:tcPr>
            <w:tcW w:w="279" w:type="dxa"/>
            <w:vAlign w:val="bottom"/>
          </w:tcPr>
          <w:p w14:paraId="701C41A6" w14:textId="77777777" w:rsidR="00AC5C0C" w:rsidRPr="00B02BA3" w:rsidRDefault="00AC5C0C" w:rsidP="00922116">
            <w:pPr>
              <w:pStyle w:val="CellRowSpacer"/>
              <w:rPr>
                <w:sz w:val="16"/>
                <w:szCs w:val="16"/>
              </w:rPr>
            </w:pPr>
          </w:p>
        </w:tc>
        <w:tc>
          <w:tcPr>
            <w:tcW w:w="1132" w:type="dxa"/>
            <w:vAlign w:val="bottom"/>
          </w:tcPr>
          <w:p w14:paraId="070F6EC0" w14:textId="77777777" w:rsidR="00AC5C0C" w:rsidRPr="00B02BA3" w:rsidRDefault="00AC5C0C" w:rsidP="00922116">
            <w:pPr>
              <w:pStyle w:val="SmCellBody"/>
              <w:jc w:val="right"/>
              <w:rPr>
                <w:sz w:val="16"/>
                <w:szCs w:val="16"/>
              </w:rPr>
            </w:pPr>
            <w:r w:rsidRPr="00B02BA3">
              <w:rPr>
                <w:sz w:val="16"/>
                <w:szCs w:val="16"/>
              </w:rPr>
              <w:t>December 2025</w:t>
            </w:r>
          </w:p>
        </w:tc>
        <w:tc>
          <w:tcPr>
            <w:tcW w:w="279" w:type="dxa"/>
            <w:vAlign w:val="bottom"/>
          </w:tcPr>
          <w:p w14:paraId="76186F86" w14:textId="77777777" w:rsidR="00AC5C0C" w:rsidRPr="00B02BA3" w:rsidRDefault="00AC5C0C" w:rsidP="00922116">
            <w:pPr>
              <w:pStyle w:val="CellRowSpacer"/>
              <w:rPr>
                <w:sz w:val="16"/>
                <w:szCs w:val="16"/>
              </w:rPr>
            </w:pPr>
          </w:p>
        </w:tc>
        <w:tc>
          <w:tcPr>
            <w:tcW w:w="1132" w:type="dxa"/>
            <w:vAlign w:val="bottom"/>
          </w:tcPr>
          <w:p w14:paraId="227B553A" w14:textId="77777777" w:rsidR="00AC5C0C" w:rsidRPr="00B02BA3" w:rsidRDefault="00AC5C0C" w:rsidP="00922116">
            <w:pPr>
              <w:pStyle w:val="SmCellBody"/>
              <w:jc w:val="right"/>
              <w:rPr>
                <w:sz w:val="16"/>
                <w:szCs w:val="16"/>
              </w:rPr>
            </w:pPr>
            <w:r w:rsidRPr="00B02BA3">
              <w:rPr>
                <w:sz w:val="16"/>
                <w:szCs w:val="16"/>
              </w:rPr>
              <w:t>20 years</w:t>
            </w:r>
          </w:p>
        </w:tc>
        <w:tc>
          <w:tcPr>
            <w:tcW w:w="279" w:type="dxa"/>
            <w:vAlign w:val="bottom"/>
          </w:tcPr>
          <w:p w14:paraId="70815B1F" w14:textId="77777777" w:rsidR="00AC5C0C" w:rsidRPr="00B02BA3" w:rsidRDefault="00AC5C0C" w:rsidP="00922116">
            <w:pPr>
              <w:pStyle w:val="CellRowSpacer"/>
              <w:rPr>
                <w:sz w:val="16"/>
                <w:szCs w:val="16"/>
              </w:rPr>
            </w:pPr>
          </w:p>
        </w:tc>
      </w:tr>
      <w:tr w:rsidR="00AC5C0C" w:rsidRPr="00B02BA3" w14:paraId="7DEFF2BD" w14:textId="77777777" w:rsidTr="00922116">
        <w:trPr>
          <w:trHeight w:val="390"/>
        </w:trPr>
        <w:tc>
          <w:tcPr>
            <w:tcW w:w="3162" w:type="dxa"/>
            <w:vAlign w:val="bottom"/>
          </w:tcPr>
          <w:p w14:paraId="4A57A475" w14:textId="77777777" w:rsidR="00AC5C0C" w:rsidRPr="00B02BA3" w:rsidRDefault="00AC5C0C" w:rsidP="00922116">
            <w:pPr>
              <w:pStyle w:val="SmCellBody"/>
              <w:tabs>
                <w:tab w:val="right" w:leader="dot" w:pos="3163"/>
              </w:tabs>
              <w:rPr>
                <w:sz w:val="16"/>
                <w:szCs w:val="16"/>
              </w:rPr>
            </w:pPr>
            <w:r w:rsidRPr="00B02BA3">
              <w:rPr>
                <w:sz w:val="16"/>
                <w:szCs w:val="16"/>
              </w:rPr>
              <w:t>Salalah LNG</w:t>
            </w:r>
            <w:r w:rsidRPr="00B02BA3">
              <w:rPr>
                <w:rFonts w:eastAsia="SimSun"/>
                <w:sz w:val="16"/>
                <w:szCs w:val="16"/>
              </w:rPr>
              <w:tab/>
            </w:r>
          </w:p>
        </w:tc>
        <w:tc>
          <w:tcPr>
            <w:tcW w:w="278" w:type="dxa"/>
            <w:vAlign w:val="bottom"/>
          </w:tcPr>
          <w:p w14:paraId="1F4CF17A" w14:textId="77777777" w:rsidR="00AC5C0C" w:rsidRPr="00B02BA3" w:rsidRDefault="00AC5C0C" w:rsidP="00922116">
            <w:pPr>
              <w:pStyle w:val="CellRowSpacer"/>
              <w:rPr>
                <w:sz w:val="16"/>
                <w:szCs w:val="16"/>
              </w:rPr>
            </w:pPr>
          </w:p>
        </w:tc>
        <w:tc>
          <w:tcPr>
            <w:tcW w:w="1132" w:type="dxa"/>
            <w:vAlign w:val="bottom"/>
          </w:tcPr>
          <w:p w14:paraId="65D8880B" w14:textId="77777777" w:rsidR="00AC5C0C" w:rsidRPr="00B02BA3" w:rsidRDefault="00AC5C0C" w:rsidP="00922116">
            <w:pPr>
              <w:pStyle w:val="SmCellBody"/>
              <w:jc w:val="right"/>
              <w:rPr>
                <w:sz w:val="16"/>
                <w:szCs w:val="16"/>
              </w:rPr>
            </w:pPr>
            <w:proofErr w:type="spellStart"/>
            <w:r w:rsidRPr="00B02BA3">
              <w:rPr>
                <w:sz w:val="16"/>
                <w:szCs w:val="16"/>
              </w:rPr>
              <w:t>Qalhat</w:t>
            </w:r>
            <w:proofErr w:type="spellEnd"/>
            <w:r w:rsidRPr="00B02BA3">
              <w:rPr>
                <w:sz w:val="16"/>
                <w:szCs w:val="16"/>
              </w:rPr>
              <w:t xml:space="preserve"> LNG</w:t>
            </w:r>
          </w:p>
        </w:tc>
        <w:tc>
          <w:tcPr>
            <w:tcW w:w="284" w:type="dxa"/>
            <w:vAlign w:val="bottom"/>
          </w:tcPr>
          <w:p w14:paraId="3EE80D13" w14:textId="77777777" w:rsidR="00AC5C0C" w:rsidRPr="00B02BA3" w:rsidRDefault="00AC5C0C" w:rsidP="00922116">
            <w:pPr>
              <w:pStyle w:val="SmCellBody"/>
              <w:jc w:val="right"/>
              <w:rPr>
                <w:sz w:val="16"/>
                <w:szCs w:val="16"/>
              </w:rPr>
            </w:pPr>
          </w:p>
        </w:tc>
        <w:tc>
          <w:tcPr>
            <w:tcW w:w="1132" w:type="dxa"/>
            <w:vAlign w:val="bottom"/>
          </w:tcPr>
          <w:p w14:paraId="674A6E23" w14:textId="77777777" w:rsidR="00AC5C0C" w:rsidRPr="00B02BA3" w:rsidRDefault="00AC5C0C" w:rsidP="00922116">
            <w:pPr>
              <w:pStyle w:val="SmCellBody"/>
              <w:jc w:val="right"/>
              <w:rPr>
                <w:sz w:val="16"/>
                <w:szCs w:val="16"/>
              </w:rPr>
            </w:pPr>
            <w:r w:rsidRPr="00B02BA3">
              <w:rPr>
                <w:sz w:val="16"/>
                <w:szCs w:val="16"/>
              </w:rPr>
              <w:t>December 2005</w:t>
            </w:r>
          </w:p>
        </w:tc>
        <w:tc>
          <w:tcPr>
            <w:tcW w:w="279" w:type="dxa"/>
            <w:vAlign w:val="bottom"/>
          </w:tcPr>
          <w:p w14:paraId="2D70258F" w14:textId="77777777" w:rsidR="00AC5C0C" w:rsidRPr="00B02BA3" w:rsidRDefault="00AC5C0C" w:rsidP="00922116">
            <w:pPr>
              <w:pStyle w:val="CellRowSpacer"/>
              <w:rPr>
                <w:sz w:val="16"/>
                <w:szCs w:val="16"/>
              </w:rPr>
            </w:pPr>
          </w:p>
        </w:tc>
        <w:tc>
          <w:tcPr>
            <w:tcW w:w="1132" w:type="dxa"/>
            <w:vAlign w:val="bottom"/>
          </w:tcPr>
          <w:p w14:paraId="425DA78E" w14:textId="77777777" w:rsidR="00AC5C0C" w:rsidRPr="00B02BA3" w:rsidRDefault="00AC5C0C" w:rsidP="00922116">
            <w:pPr>
              <w:pStyle w:val="SmCellBody"/>
              <w:jc w:val="right"/>
              <w:rPr>
                <w:sz w:val="16"/>
                <w:szCs w:val="16"/>
              </w:rPr>
            </w:pPr>
            <w:r w:rsidRPr="00B02BA3">
              <w:rPr>
                <w:sz w:val="16"/>
                <w:szCs w:val="16"/>
              </w:rPr>
              <w:t>December 2025</w:t>
            </w:r>
          </w:p>
        </w:tc>
        <w:tc>
          <w:tcPr>
            <w:tcW w:w="279" w:type="dxa"/>
            <w:vAlign w:val="bottom"/>
          </w:tcPr>
          <w:p w14:paraId="1DF1CCCD" w14:textId="77777777" w:rsidR="00AC5C0C" w:rsidRPr="00B02BA3" w:rsidRDefault="00AC5C0C" w:rsidP="00922116">
            <w:pPr>
              <w:pStyle w:val="CellRowSpacer"/>
              <w:rPr>
                <w:sz w:val="16"/>
                <w:szCs w:val="16"/>
              </w:rPr>
            </w:pPr>
          </w:p>
        </w:tc>
        <w:tc>
          <w:tcPr>
            <w:tcW w:w="1132" w:type="dxa"/>
            <w:vAlign w:val="bottom"/>
          </w:tcPr>
          <w:p w14:paraId="604AA29F" w14:textId="77777777" w:rsidR="00AC5C0C" w:rsidRPr="00B02BA3" w:rsidRDefault="00AC5C0C" w:rsidP="00922116">
            <w:pPr>
              <w:pStyle w:val="SmCellBody"/>
              <w:jc w:val="right"/>
              <w:rPr>
                <w:sz w:val="16"/>
                <w:szCs w:val="16"/>
              </w:rPr>
            </w:pPr>
            <w:r w:rsidRPr="00B02BA3">
              <w:rPr>
                <w:sz w:val="16"/>
                <w:szCs w:val="16"/>
              </w:rPr>
              <w:t>20 years</w:t>
            </w:r>
          </w:p>
        </w:tc>
        <w:tc>
          <w:tcPr>
            <w:tcW w:w="279" w:type="dxa"/>
            <w:vAlign w:val="bottom"/>
          </w:tcPr>
          <w:p w14:paraId="2A4D98E9" w14:textId="77777777" w:rsidR="00AC5C0C" w:rsidRPr="00B02BA3" w:rsidRDefault="00AC5C0C" w:rsidP="00922116">
            <w:pPr>
              <w:pStyle w:val="CellRowSpacer"/>
              <w:rPr>
                <w:sz w:val="16"/>
                <w:szCs w:val="16"/>
              </w:rPr>
            </w:pPr>
          </w:p>
        </w:tc>
      </w:tr>
      <w:tr w:rsidR="00AC5C0C" w:rsidRPr="00B02BA3" w14:paraId="6C7D3007" w14:textId="77777777" w:rsidTr="00922116">
        <w:trPr>
          <w:trHeight w:val="390"/>
        </w:trPr>
        <w:tc>
          <w:tcPr>
            <w:tcW w:w="3162" w:type="dxa"/>
            <w:vAlign w:val="bottom"/>
          </w:tcPr>
          <w:p w14:paraId="79404387" w14:textId="77777777" w:rsidR="00AC5C0C" w:rsidRPr="00B02BA3" w:rsidRDefault="00AC5C0C" w:rsidP="00922116">
            <w:pPr>
              <w:pStyle w:val="SmCellBody"/>
              <w:tabs>
                <w:tab w:val="right" w:leader="dot" w:pos="3163"/>
              </w:tabs>
              <w:rPr>
                <w:sz w:val="16"/>
                <w:szCs w:val="16"/>
              </w:rPr>
            </w:pPr>
            <w:r w:rsidRPr="00B02BA3">
              <w:rPr>
                <w:sz w:val="16"/>
                <w:szCs w:val="16"/>
              </w:rPr>
              <w:t>Sohar LNG</w:t>
            </w:r>
            <w:r w:rsidRPr="00B02BA3">
              <w:rPr>
                <w:rFonts w:eastAsia="SimSun"/>
                <w:sz w:val="16"/>
                <w:szCs w:val="16"/>
              </w:rPr>
              <w:tab/>
            </w:r>
          </w:p>
        </w:tc>
        <w:tc>
          <w:tcPr>
            <w:tcW w:w="278" w:type="dxa"/>
            <w:vAlign w:val="bottom"/>
          </w:tcPr>
          <w:p w14:paraId="316B9073" w14:textId="77777777" w:rsidR="00AC5C0C" w:rsidRPr="00B02BA3" w:rsidRDefault="00AC5C0C" w:rsidP="00922116">
            <w:pPr>
              <w:pStyle w:val="CellRowSpacer"/>
              <w:rPr>
                <w:sz w:val="16"/>
                <w:szCs w:val="16"/>
              </w:rPr>
            </w:pPr>
          </w:p>
        </w:tc>
        <w:tc>
          <w:tcPr>
            <w:tcW w:w="1132" w:type="dxa"/>
            <w:vAlign w:val="bottom"/>
          </w:tcPr>
          <w:p w14:paraId="06914FBE" w14:textId="77777777" w:rsidR="00AC5C0C" w:rsidRPr="00B02BA3" w:rsidRDefault="00AC5C0C" w:rsidP="00922116">
            <w:pPr>
              <w:pStyle w:val="SmCellBody"/>
              <w:jc w:val="right"/>
              <w:rPr>
                <w:sz w:val="16"/>
                <w:szCs w:val="16"/>
              </w:rPr>
            </w:pPr>
            <w:r w:rsidRPr="00B02BA3">
              <w:rPr>
                <w:sz w:val="16"/>
                <w:szCs w:val="16"/>
              </w:rPr>
              <w:t xml:space="preserve">ADMIC </w:t>
            </w:r>
          </w:p>
        </w:tc>
        <w:tc>
          <w:tcPr>
            <w:tcW w:w="284" w:type="dxa"/>
            <w:vAlign w:val="bottom"/>
          </w:tcPr>
          <w:p w14:paraId="0FACD5D6" w14:textId="77777777" w:rsidR="00AC5C0C" w:rsidRPr="00B02BA3" w:rsidRDefault="00AC5C0C" w:rsidP="00922116">
            <w:pPr>
              <w:pStyle w:val="SmCellBody"/>
              <w:jc w:val="right"/>
              <w:rPr>
                <w:sz w:val="16"/>
                <w:szCs w:val="16"/>
              </w:rPr>
            </w:pPr>
          </w:p>
        </w:tc>
        <w:tc>
          <w:tcPr>
            <w:tcW w:w="1132" w:type="dxa"/>
            <w:vAlign w:val="bottom"/>
          </w:tcPr>
          <w:p w14:paraId="749433DA" w14:textId="77777777" w:rsidR="00AC5C0C" w:rsidRPr="00B02BA3" w:rsidRDefault="00AC5C0C" w:rsidP="00922116">
            <w:pPr>
              <w:pStyle w:val="SmCellBody"/>
              <w:jc w:val="right"/>
              <w:rPr>
                <w:sz w:val="16"/>
                <w:szCs w:val="16"/>
              </w:rPr>
            </w:pPr>
            <w:r w:rsidRPr="00B02BA3">
              <w:rPr>
                <w:sz w:val="16"/>
                <w:szCs w:val="16"/>
              </w:rPr>
              <w:t>September 2022</w:t>
            </w:r>
          </w:p>
        </w:tc>
        <w:tc>
          <w:tcPr>
            <w:tcW w:w="279" w:type="dxa"/>
            <w:vAlign w:val="bottom"/>
          </w:tcPr>
          <w:p w14:paraId="74962C7A" w14:textId="77777777" w:rsidR="00AC5C0C" w:rsidRPr="00B02BA3" w:rsidRDefault="00AC5C0C" w:rsidP="00922116">
            <w:pPr>
              <w:pStyle w:val="CellRowSpacer"/>
              <w:rPr>
                <w:sz w:val="16"/>
                <w:szCs w:val="16"/>
              </w:rPr>
            </w:pPr>
          </w:p>
        </w:tc>
        <w:tc>
          <w:tcPr>
            <w:tcW w:w="1132" w:type="dxa"/>
            <w:vAlign w:val="bottom"/>
          </w:tcPr>
          <w:p w14:paraId="40352EF2" w14:textId="77777777" w:rsidR="00AC5C0C" w:rsidRPr="00B02BA3" w:rsidRDefault="00AC5C0C" w:rsidP="00922116">
            <w:pPr>
              <w:pStyle w:val="SmCellBody"/>
              <w:jc w:val="right"/>
              <w:rPr>
                <w:sz w:val="16"/>
                <w:szCs w:val="16"/>
              </w:rPr>
            </w:pPr>
            <w:r w:rsidRPr="00B02BA3">
              <w:rPr>
                <w:sz w:val="16"/>
                <w:szCs w:val="16"/>
              </w:rPr>
              <w:t>September 2025</w:t>
            </w:r>
          </w:p>
        </w:tc>
        <w:tc>
          <w:tcPr>
            <w:tcW w:w="279" w:type="dxa"/>
            <w:vAlign w:val="bottom"/>
          </w:tcPr>
          <w:p w14:paraId="5356BFAC" w14:textId="77777777" w:rsidR="00AC5C0C" w:rsidRPr="00B02BA3" w:rsidRDefault="00AC5C0C" w:rsidP="00922116">
            <w:pPr>
              <w:pStyle w:val="CellRowSpacer"/>
              <w:rPr>
                <w:sz w:val="16"/>
                <w:szCs w:val="16"/>
              </w:rPr>
            </w:pPr>
          </w:p>
        </w:tc>
        <w:tc>
          <w:tcPr>
            <w:tcW w:w="1132" w:type="dxa"/>
            <w:vAlign w:val="bottom"/>
          </w:tcPr>
          <w:p w14:paraId="42040772" w14:textId="77777777" w:rsidR="00AC5C0C" w:rsidRPr="00B02BA3" w:rsidRDefault="00AC5C0C" w:rsidP="00922116">
            <w:pPr>
              <w:pStyle w:val="SmCellBody"/>
              <w:jc w:val="right"/>
              <w:rPr>
                <w:sz w:val="16"/>
                <w:szCs w:val="16"/>
              </w:rPr>
            </w:pPr>
            <w:r w:rsidRPr="00B02BA3">
              <w:rPr>
                <w:sz w:val="16"/>
                <w:szCs w:val="16"/>
              </w:rPr>
              <w:t>3 years</w:t>
            </w:r>
          </w:p>
        </w:tc>
        <w:tc>
          <w:tcPr>
            <w:tcW w:w="279" w:type="dxa"/>
            <w:vAlign w:val="bottom"/>
          </w:tcPr>
          <w:p w14:paraId="2F9E71B6" w14:textId="77777777" w:rsidR="00AC5C0C" w:rsidRPr="00B02BA3" w:rsidRDefault="00AC5C0C" w:rsidP="00922116">
            <w:pPr>
              <w:pStyle w:val="CellRowSpacer"/>
              <w:rPr>
                <w:sz w:val="16"/>
                <w:szCs w:val="16"/>
              </w:rPr>
            </w:pPr>
          </w:p>
        </w:tc>
      </w:tr>
      <w:tr w:rsidR="00AC5C0C" w:rsidRPr="00B02BA3" w14:paraId="0D311EFD" w14:textId="77777777" w:rsidTr="00922116">
        <w:trPr>
          <w:trHeight w:val="390"/>
        </w:trPr>
        <w:tc>
          <w:tcPr>
            <w:tcW w:w="3162" w:type="dxa"/>
            <w:vAlign w:val="bottom"/>
          </w:tcPr>
          <w:p w14:paraId="19A85F60" w14:textId="77777777" w:rsidR="00AC5C0C" w:rsidRPr="00B02BA3" w:rsidRDefault="00AC5C0C" w:rsidP="00922116">
            <w:pPr>
              <w:pStyle w:val="SmCellBody"/>
              <w:tabs>
                <w:tab w:val="right" w:leader="dot" w:pos="3163"/>
              </w:tabs>
              <w:rPr>
                <w:sz w:val="16"/>
                <w:szCs w:val="16"/>
              </w:rPr>
            </w:pPr>
            <w:r w:rsidRPr="00B02BA3">
              <w:rPr>
                <w:sz w:val="16"/>
                <w:szCs w:val="16"/>
              </w:rPr>
              <w:t>Waasmunster</w:t>
            </w:r>
            <w:r w:rsidRPr="00B02BA3">
              <w:rPr>
                <w:rFonts w:eastAsia="SimSun"/>
                <w:sz w:val="16"/>
                <w:szCs w:val="16"/>
              </w:rPr>
              <w:tab/>
            </w:r>
          </w:p>
        </w:tc>
        <w:tc>
          <w:tcPr>
            <w:tcW w:w="278" w:type="dxa"/>
            <w:vAlign w:val="bottom"/>
          </w:tcPr>
          <w:p w14:paraId="6B5FAFD4" w14:textId="77777777" w:rsidR="00AC5C0C" w:rsidRPr="00B02BA3" w:rsidRDefault="00AC5C0C" w:rsidP="00922116">
            <w:pPr>
              <w:pStyle w:val="CellRowSpacer"/>
              <w:rPr>
                <w:sz w:val="16"/>
                <w:szCs w:val="16"/>
              </w:rPr>
            </w:pPr>
          </w:p>
        </w:tc>
        <w:tc>
          <w:tcPr>
            <w:tcW w:w="1132" w:type="dxa"/>
            <w:vAlign w:val="bottom"/>
          </w:tcPr>
          <w:p w14:paraId="50E93C92" w14:textId="77777777" w:rsidR="00AC5C0C" w:rsidRPr="00B02BA3" w:rsidRDefault="00AC5C0C" w:rsidP="00922116">
            <w:pPr>
              <w:pStyle w:val="SmCellBody"/>
              <w:jc w:val="right"/>
              <w:rPr>
                <w:sz w:val="16"/>
                <w:szCs w:val="16"/>
              </w:rPr>
            </w:pPr>
            <w:r w:rsidRPr="00B02BA3">
              <w:rPr>
                <w:sz w:val="16"/>
                <w:szCs w:val="16"/>
              </w:rPr>
              <w:t>OQ</w:t>
            </w:r>
          </w:p>
        </w:tc>
        <w:tc>
          <w:tcPr>
            <w:tcW w:w="284" w:type="dxa"/>
            <w:vAlign w:val="bottom"/>
          </w:tcPr>
          <w:p w14:paraId="1EC57DE4" w14:textId="77777777" w:rsidR="00AC5C0C" w:rsidRPr="00B02BA3" w:rsidRDefault="00AC5C0C" w:rsidP="00922116">
            <w:pPr>
              <w:pStyle w:val="SmCellBody"/>
              <w:jc w:val="right"/>
              <w:rPr>
                <w:sz w:val="16"/>
                <w:szCs w:val="16"/>
              </w:rPr>
            </w:pPr>
          </w:p>
        </w:tc>
        <w:tc>
          <w:tcPr>
            <w:tcW w:w="1132" w:type="dxa"/>
            <w:vAlign w:val="bottom"/>
          </w:tcPr>
          <w:p w14:paraId="197B46EF" w14:textId="77777777" w:rsidR="00AC5C0C" w:rsidRPr="00B02BA3" w:rsidRDefault="00AC5C0C" w:rsidP="00922116">
            <w:pPr>
              <w:pStyle w:val="SmCellBody"/>
              <w:jc w:val="right"/>
              <w:rPr>
                <w:sz w:val="16"/>
                <w:szCs w:val="16"/>
              </w:rPr>
            </w:pPr>
            <w:r w:rsidRPr="00B02BA3">
              <w:rPr>
                <w:sz w:val="16"/>
                <w:szCs w:val="16"/>
              </w:rPr>
              <w:t>October 2024</w:t>
            </w:r>
          </w:p>
        </w:tc>
        <w:tc>
          <w:tcPr>
            <w:tcW w:w="279" w:type="dxa"/>
            <w:vAlign w:val="bottom"/>
          </w:tcPr>
          <w:p w14:paraId="295CEDA8" w14:textId="77777777" w:rsidR="00AC5C0C" w:rsidRPr="00B02BA3" w:rsidRDefault="00AC5C0C" w:rsidP="00922116">
            <w:pPr>
              <w:pStyle w:val="CellRowSpacer"/>
              <w:rPr>
                <w:sz w:val="16"/>
                <w:szCs w:val="16"/>
              </w:rPr>
            </w:pPr>
          </w:p>
        </w:tc>
        <w:tc>
          <w:tcPr>
            <w:tcW w:w="1132" w:type="dxa"/>
            <w:vAlign w:val="bottom"/>
          </w:tcPr>
          <w:p w14:paraId="6D160DA9" w14:textId="77777777" w:rsidR="00AC5C0C" w:rsidRPr="00B02BA3" w:rsidRDefault="00AC5C0C" w:rsidP="00922116">
            <w:pPr>
              <w:pStyle w:val="SmCellBody"/>
              <w:jc w:val="right"/>
              <w:rPr>
                <w:sz w:val="16"/>
                <w:szCs w:val="16"/>
              </w:rPr>
            </w:pPr>
            <w:r w:rsidRPr="00B02BA3">
              <w:rPr>
                <w:sz w:val="16"/>
                <w:szCs w:val="16"/>
              </w:rPr>
              <w:t>October 2025</w:t>
            </w:r>
          </w:p>
        </w:tc>
        <w:tc>
          <w:tcPr>
            <w:tcW w:w="279" w:type="dxa"/>
            <w:vAlign w:val="bottom"/>
          </w:tcPr>
          <w:p w14:paraId="0216FF1D" w14:textId="77777777" w:rsidR="00AC5C0C" w:rsidRPr="00B02BA3" w:rsidRDefault="00AC5C0C" w:rsidP="00922116">
            <w:pPr>
              <w:pStyle w:val="CellRowSpacer"/>
              <w:rPr>
                <w:sz w:val="16"/>
                <w:szCs w:val="16"/>
              </w:rPr>
            </w:pPr>
          </w:p>
        </w:tc>
        <w:tc>
          <w:tcPr>
            <w:tcW w:w="1132" w:type="dxa"/>
            <w:vAlign w:val="bottom"/>
          </w:tcPr>
          <w:p w14:paraId="4745B29B" w14:textId="77777777" w:rsidR="00AC5C0C" w:rsidRPr="00B02BA3" w:rsidRDefault="00AC5C0C" w:rsidP="00922116">
            <w:pPr>
              <w:pStyle w:val="SmCellBody"/>
              <w:jc w:val="right"/>
              <w:rPr>
                <w:sz w:val="16"/>
                <w:szCs w:val="16"/>
              </w:rPr>
            </w:pPr>
            <w:r w:rsidRPr="00B02BA3">
              <w:rPr>
                <w:sz w:val="16"/>
                <w:szCs w:val="16"/>
              </w:rPr>
              <w:t>1 year</w:t>
            </w:r>
          </w:p>
        </w:tc>
        <w:tc>
          <w:tcPr>
            <w:tcW w:w="279" w:type="dxa"/>
            <w:vAlign w:val="bottom"/>
          </w:tcPr>
          <w:p w14:paraId="57E1D18E" w14:textId="77777777" w:rsidR="00AC5C0C" w:rsidRPr="00B02BA3" w:rsidRDefault="00AC5C0C" w:rsidP="00922116">
            <w:pPr>
              <w:pStyle w:val="CellRowSpacer"/>
              <w:rPr>
                <w:sz w:val="16"/>
                <w:szCs w:val="16"/>
              </w:rPr>
            </w:pPr>
          </w:p>
        </w:tc>
      </w:tr>
    </w:tbl>
    <w:p w14:paraId="307E80B1" w14:textId="77777777" w:rsidR="00AC5C0C" w:rsidRPr="00334534" w:rsidRDefault="00AC5C0C" w:rsidP="00AC5C0C">
      <w:pPr>
        <w:bidi/>
        <w:jc w:val="both"/>
        <w:rPr>
          <w:rFonts w:ascii="Traditional Arabic" w:hAnsi="Traditional Arabic" w:cs="Traditional Arabic"/>
          <w:sz w:val="30"/>
          <w:szCs w:val="30"/>
        </w:rPr>
      </w:pPr>
    </w:p>
    <w:p w14:paraId="001BC34C" w14:textId="77777777" w:rsidR="00334534" w:rsidRPr="00985281" w:rsidRDefault="00607B02" w:rsidP="00334534">
      <w:pPr>
        <w:bidi/>
        <w:jc w:val="both"/>
        <w:rPr>
          <w:rFonts w:ascii="Traditional Arabic" w:hAnsi="Traditional Arabic" w:cs="Traditional Arabic"/>
          <w:bCs/>
          <w:i/>
          <w:sz w:val="30"/>
          <w:szCs w:val="30"/>
        </w:rPr>
      </w:pPr>
      <w:r>
        <w:rPr>
          <w:rFonts w:ascii="Traditional Arabic" w:hAnsi="Traditional Arabic" w:cs="Traditional Arabic"/>
          <w:bCs/>
          <w:i/>
          <w:sz w:val="30"/>
          <w:szCs w:val="30"/>
          <w:rtl/>
        </w:rPr>
        <w:t>نقل</w:t>
      </w:r>
      <w:r w:rsidR="00334534" w:rsidRPr="00985281">
        <w:rPr>
          <w:rFonts w:ascii="Traditional Arabic" w:hAnsi="Traditional Arabic" w:cs="Traditional Arabic"/>
          <w:bCs/>
          <w:i/>
          <w:sz w:val="30"/>
          <w:szCs w:val="30"/>
          <w:rtl/>
        </w:rPr>
        <w:t xml:space="preserve"> الخطوط الملاحية المنتظمة</w:t>
      </w:r>
    </w:p>
    <w:p w14:paraId="441FE88A"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يتم تشغيل قطاع 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البحري المنتظم من خلال شركة خط أسياد (وهي شركة تابعة مملوكة بالكامل للشركة) وتوفر خدمات نقل البضائع بالحاويات. تأسست شركة خط أسياد في عام 2020 لتحل محل شركة خطوط حاويات عمان، ولتوسيع عمليات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الحاويات للشركة. وحتى 30 سبتمبر 2024، كان أسطول 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البحري يتكون من خمس سفن حاويات، بسعة إجمالية تبلغ 235,420 طن ساكن. يوضح الجدول أدناه بعض المعلومات المتعلقة بسفن الحاويات التابعة للشركة حتى 30 سبتمبر 2024: </w:t>
      </w:r>
    </w:p>
    <w:p w14:paraId="1728DD3D" w14:textId="77777777" w:rsidR="00334534" w:rsidRDefault="00334534" w:rsidP="00334534">
      <w:pPr>
        <w:bidi/>
        <w:jc w:val="both"/>
        <w:rPr>
          <w:rFonts w:ascii="Traditional Arabic" w:hAnsi="Traditional Arabic" w:cs="Traditional Arabic"/>
          <w:sz w:val="30"/>
          <w:szCs w:val="30"/>
          <w:rtl/>
        </w:rPr>
      </w:pPr>
    </w:p>
    <w:tbl>
      <w:tblPr>
        <w:tblW w:w="9114" w:type="dxa"/>
        <w:tblInd w:w="437" w:type="dxa"/>
        <w:tblLayout w:type="fixed"/>
        <w:tblCellMar>
          <w:left w:w="0" w:type="dxa"/>
          <w:right w:w="0" w:type="dxa"/>
        </w:tblCellMar>
        <w:tblLook w:val="0600" w:firstRow="0" w:lastRow="0" w:firstColumn="0" w:lastColumn="0" w:noHBand="1" w:noVBand="1"/>
      </w:tblPr>
      <w:tblGrid>
        <w:gridCol w:w="3163"/>
        <w:gridCol w:w="236"/>
        <w:gridCol w:w="907"/>
        <w:gridCol w:w="236"/>
        <w:gridCol w:w="907"/>
        <w:gridCol w:w="236"/>
        <w:gridCol w:w="907"/>
        <w:gridCol w:w="236"/>
        <w:gridCol w:w="907"/>
        <w:gridCol w:w="236"/>
        <w:gridCol w:w="907"/>
        <w:gridCol w:w="236"/>
      </w:tblGrid>
      <w:tr w:rsidR="00AC5C0C" w:rsidRPr="00B02BA3" w14:paraId="65C6B59D" w14:textId="77777777" w:rsidTr="00922116">
        <w:trPr>
          <w:tblHeader/>
        </w:trPr>
        <w:tc>
          <w:tcPr>
            <w:tcW w:w="3163" w:type="dxa"/>
            <w:tcBorders>
              <w:bottom w:val="single" w:sz="4" w:space="0" w:color="auto"/>
            </w:tcBorders>
            <w:vAlign w:val="bottom"/>
          </w:tcPr>
          <w:p w14:paraId="15BC2CA1" w14:textId="77777777" w:rsidR="00AC5C0C" w:rsidRPr="00B02BA3" w:rsidRDefault="00AC5C0C" w:rsidP="00922116">
            <w:pPr>
              <w:pStyle w:val="CellHead"/>
              <w:jc w:val="center"/>
              <w:rPr>
                <w:sz w:val="16"/>
                <w:szCs w:val="16"/>
              </w:rPr>
            </w:pPr>
            <w:r w:rsidRPr="00B02BA3">
              <w:rPr>
                <w:sz w:val="16"/>
                <w:szCs w:val="16"/>
              </w:rPr>
              <w:t>Vessel name</w:t>
            </w:r>
          </w:p>
        </w:tc>
        <w:tc>
          <w:tcPr>
            <w:tcW w:w="236" w:type="dxa"/>
            <w:vAlign w:val="bottom"/>
          </w:tcPr>
          <w:p w14:paraId="6F08CA31"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3F41B25C" w14:textId="77777777" w:rsidR="00AC5C0C" w:rsidRPr="00B02BA3" w:rsidRDefault="00AC5C0C" w:rsidP="00922116">
            <w:pPr>
              <w:pStyle w:val="CellHead"/>
              <w:jc w:val="center"/>
              <w:rPr>
                <w:sz w:val="16"/>
                <w:szCs w:val="16"/>
              </w:rPr>
            </w:pPr>
            <w:r w:rsidRPr="00B02BA3">
              <w:rPr>
                <w:sz w:val="16"/>
                <w:szCs w:val="16"/>
              </w:rPr>
              <w:t>Capacity (TEU)</w:t>
            </w:r>
          </w:p>
        </w:tc>
        <w:tc>
          <w:tcPr>
            <w:tcW w:w="236" w:type="dxa"/>
            <w:vAlign w:val="bottom"/>
          </w:tcPr>
          <w:p w14:paraId="5664574D"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627603AE" w14:textId="77777777" w:rsidR="00AC5C0C" w:rsidRPr="00B02BA3" w:rsidRDefault="00AC5C0C" w:rsidP="00922116">
            <w:pPr>
              <w:pStyle w:val="CellHead"/>
              <w:jc w:val="center"/>
              <w:rPr>
                <w:sz w:val="16"/>
                <w:szCs w:val="16"/>
              </w:rPr>
            </w:pPr>
            <w:r w:rsidRPr="00B02BA3">
              <w:rPr>
                <w:sz w:val="16"/>
                <w:szCs w:val="16"/>
              </w:rPr>
              <w:t>Vessel type</w:t>
            </w:r>
          </w:p>
        </w:tc>
        <w:tc>
          <w:tcPr>
            <w:tcW w:w="236" w:type="dxa"/>
            <w:vAlign w:val="bottom"/>
          </w:tcPr>
          <w:p w14:paraId="64781AD4"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6EAA1114" w14:textId="77777777" w:rsidR="00AC5C0C" w:rsidRPr="00B02BA3" w:rsidRDefault="00AC5C0C" w:rsidP="00922116">
            <w:pPr>
              <w:pStyle w:val="CellHead"/>
              <w:jc w:val="center"/>
              <w:rPr>
                <w:sz w:val="16"/>
                <w:szCs w:val="16"/>
              </w:rPr>
            </w:pPr>
            <w:r w:rsidRPr="00B02BA3">
              <w:rPr>
                <w:sz w:val="16"/>
                <w:szCs w:val="16"/>
              </w:rPr>
              <w:t>Ownership (%) / Charter-In Term (Expiry Year)</w:t>
            </w:r>
          </w:p>
        </w:tc>
        <w:tc>
          <w:tcPr>
            <w:tcW w:w="236" w:type="dxa"/>
            <w:vAlign w:val="bottom"/>
          </w:tcPr>
          <w:p w14:paraId="0D5E12D9" w14:textId="77777777" w:rsidR="00AC5C0C" w:rsidRPr="00B02BA3" w:rsidRDefault="00AC5C0C" w:rsidP="00922116">
            <w:pPr>
              <w:pStyle w:val="CellHead"/>
              <w:rPr>
                <w:bCs/>
                <w:sz w:val="16"/>
                <w:szCs w:val="16"/>
                <w:vertAlign w:val="superscript"/>
              </w:rPr>
            </w:pPr>
            <w:r w:rsidRPr="00B02BA3">
              <w:rPr>
                <w:bCs/>
                <w:sz w:val="16"/>
                <w:szCs w:val="16"/>
                <w:vertAlign w:val="superscript"/>
              </w:rPr>
              <w:t>(1)</w:t>
            </w:r>
          </w:p>
        </w:tc>
        <w:tc>
          <w:tcPr>
            <w:tcW w:w="907" w:type="dxa"/>
            <w:tcBorders>
              <w:bottom w:val="single" w:sz="4" w:space="0" w:color="auto"/>
            </w:tcBorders>
            <w:vAlign w:val="bottom"/>
          </w:tcPr>
          <w:p w14:paraId="6D05B591" w14:textId="77777777" w:rsidR="00AC5C0C" w:rsidRPr="00B02BA3" w:rsidRDefault="00AC5C0C" w:rsidP="00922116">
            <w:pPr>
              <w:pStyle w:val="CellHead"/>
              <w:jc w:val="center"/>
              <w:rPr>
                <w:sz w:val="16"/>
                <w:szCs w:val="16"/>
              </w:rPr>
            </w:pPr>
            <w:r w:rsidRPr="00B02BA3">
              <w:rPr>
                <w:sz w:val="16"/>
                <w:szCs w:val="16"/>
              </w:rPr>
              <w:t>Year built</w:t>
            </w:r>
          </w:p>
        </w:tc>
        <w:tc>
          <w:tcPr>
            <w:tcW w:w="236" w:type="dxa"/>
            <w:vAlign w:val="bottom"/>
          </w:tcPr>
          <w:p w14:paraId="0F13785C"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78FD1E7C" w14:textId="77777777" w:rsidR="00AC5C0C" w:rsidRPr="00B02BA3" w:rsidRDefault="00AC5C0C" w:rsidP="00922116">
            <w:pPr>
              <w:pStyle w:val="CellHead"/>
              <w:jc w:val="center"/>
              <w:rPr>
                <w:sz w:val="16"/>
                <w:szCs w:val="16"/>
              </w:rPr>
            </w:pPr>
            <w:r w:rsidRPr="00B02BA3">
              <w:rPr>
                <w:sz w:val="16"/>
                <w:szCs w:val="16"/>
              </w:rPr>
              <w:t>Flag</w:t>
            </w:r>
          </w:p>
        </w:tc>
        <w:tc>
          <w:tcPr>
            <w:tcW w:w="236" w:type="dxa"/>
            <w:vAlign w:val="bottom"/>
          </w:tcPr>
          <w:p w14:paraId="21877CAD" w14:textId="77777777" w:rsidR="00AC5C0C" w:rsidRPr="00B02BA3" w:rsidRDefault="00AC5C0C" w:rsidP="00922116">
            <w:pPr>
              <w:pStyle w:val="CellHead"/>
              <w:rPr>
                <w:sz w:val="16"/>
                <w:szCs w:val="16"/>
              </w:rPr>
            </w:pPr>
          </w:p>
        </w:tc>
      </w:tr>
      <w:tr w:rsidR="00AC5C0C" w:rsidRPr="00B02BA3" w14:paraId="62335EA7" w14:textId="77777777" w:rsidTr="00922116">
        <w:trPr>
          <w:tblHeader/>
        </w:trPr>
        <w:tc>
          <w:tcPr>
            <w:tcW w:w="3163" w:type="dxa"/>
            <w:tcBorders>
              <w:top w:val="single" w:sz="4" w:space="0" w:color="auto"/>
            </w:tcBorders>
            <w:vAlign w:val="bottom"/>
          </w:tcPr>
          <w:p w14:paraId="13322DCA" w14:textId="77777777" w:rsidR="00AC5C0C" w:rsidRPr="00B02BA3" w:rsidRDefault="00AC5C0C" w:rsidP="00922116">
            <w:pPr>
              <w:pStyle w:val="VSmCellHead"/>
              <w:rPr>
                <w:sz w:val="16"/>
                <w:szCs w:val="16"/>
              </w:rPr>
            </w:pPr>
            <w:r w:rsidRPr="00B02BA3">
              <w:rPr>
                <w:sz w:val="16"/>
                <w:szCs w:val="16"/>
              </w:rPr>
              <w:t xml:space="preserve">Owned </w:t>
            </w:r>
          </w:p>
        </w:tc>
        <w:tc>
          <w:tcPr>
            <w:tcW w:w="236" w:type="dxa"/>
            <w:vAlign w:val="bottom"/>
          </w:tcPr>
          <w:p w14:paraId="07136B7D" w14:textId="77777777" w:rsidR="00AC5C0C" w:rsidRPr="00B02BA3" w:rsidRDefault="00AC5C0C" w:rsidP="00922116">
            <w:pPr>
              <w:pStyle w:val="CellRowSpacer"/>
              <w:spacing w:after="120"/>
              <w:rPr>
                <w:sz w:val="16"/>
                <w:szCs w:val="16"/>
              </w:rPr>
            </w:pPr>
          </w:p>
        </w:tc>
        <w:tc>
          <w:tcPr>
            <w:tcW w:w="907" w:type="dxa"/>
            <w:tcBorders>
              <w:top w:val="single" w:sz="4" w:space="0" w:color="auto"/>
            </w:tcBorders>
            <w:vAlign w:val="bottom"/>
          </w:tcPr>
          <w:p w14:paraId="0F0F4A5E" w14:textId="77777777" w:rsidR="00AC5C0C" w:rsidRPr="00B02BA3" w:rsidRDefault="00AC5C0C" w:rsidP="00922116">
            <w:pPr>
              <w:pStyle w:val="VSmCellHead"/>
              <w:jc w:val="right"/>
              <w:rPr>
                <w:sz w:val="16"/>
                <w:szCs w:val="16"/>
              </w:rPr>
            </w:pPr>
          </w:p>
        </w:tc>
        <w:tc>
          <w:tcPr>
            <w:tcW w:w="236" w:type="dxa"/>
            <w:vAlign w:val="bottom"/>
          </w:tcPr>
          <w:p w14:paraId="58A4B537" w14:textId="77777777" w:rsidR="00AC5C0C" w:rsidRPr="00B02BA3" w:rsidRDefault="00AC5C0C" w:rsidP="00922116">
            <w:pPr>
              <w:pStyle w:val="CellRowSpacer"/>
              <w:spacing w:after="120"/>
              <w:rPr>
                <w:sz w:val="16"/>
                <w:szCs w:val="16"/>
              </w:rPr>
            </w:pPr>
          </w:p>
        </w:tc>
        <w:tc>
          <w:tcPr>
            <w:tcW w:w="907" w:type="dxa"/>
            <w:tcBorders>
              <w:top w:val="single" w:sz="4" w:space="0" w:color="auto"/>
            </w:tcBorders>
            <w:vAlign w:val="bottom"/>
          </w:tcPr>
          <w:p w14:paraId="41C8DA3E" w14:textId="77777777" w:rsidR="00AC5C0C" w:rsidRPr="00B02BA3" w:rsidRDefault="00AC5C0C" w:rsidP="00922116">
            <w:pPr>
              <w:pStyle w:val="VSmCellHead"/>
              <w:jc w:val="right"/>
              <w:rPr>
                <w:sz w:val="16"/>
                <w:szCs w:val="16"/>
              </w:rPr>
            </w:pPr>
          </w:p>
        </w:tc>
        <w:tc>
          <w:tcPr>
            <w:tcW w:w="236" w:type="dxa"/>
            <w:vAlign w:val="bottom"/>
          </w:tcPr>
          <w:p w14:paraId="51695F81" w14:textId="77777777" w:rsidR="00AC5C0C" w:rsidRPr="00B02BA3" w:rsidRDefault="00AC5C0C" w:rsidP="00922116">
            <w:pPr>
              <w:pStyle w:val="CellRowSpacer"/>
              <w:spacing w:after="120"/>
              <w:rPr>
                <w:sz w:val="16"/>
                <w:szCs w:val="16"/>
              </w:rPr>
            </w:pPr>
          </w:p>
        </w:tc>
        <w:tc>
          <w:tcPr>
            <w:tcW w:w="907" w:type="dxa"/>
            <w:tcBorders>
              <w:top w:val="single" w:sz="4" w:space="0" w:color="auto"/>
            </w:tcBorders>
            <w:vAlign w:val="bottom"/>
          </w:tcPr>
          <w:p w14:paraId="5281AFAE" w14:textId="77777777" w:rsidR="00AC5C0C" w:rsidRPr="00B02BA3" w:rsidRDefault="00AC5C0C" w:rsidP="00922116">
            <w:pPr>
              <w:pStyle w:val="VSmCellHead"/>
              <w:jc w:val="right"/>
              <w:rPr>
                <w:sz w:val="16"/>
                <w:szCs w:val="16"/>
              </w:rPr>
            </w:pPr>
          </w:p>
        </w:tc>
        <w:tc>
          <w:tcPr>
            <w:tcW w:w="236" w:type="dxa"/>
            <w:vAlign w:val="bottom"/>
          </w:tcPr>
          <w:p w14:paraId="543D7B8E" w14:textId="77777777" w:rsidR="00AC5C0C" w:rsidRPr="00B02BA3" w:rsidRDefault="00AC5C0C" w:rsidP="00922116">
            <w:pPr>
              <w:pStyle w:val="CellRowSpacer"/>
              <w:spacing w:after="120"/>
              <w:rPr>
                <w:sz w:val="16"/>
                <w:szCs w:val="16"/>
              </w:rPr>
            </w:pPr>
          </w:p>
        </w:tc>
        <w:tc>
          <w:tcPr>
            <w:tcW w:w="907" w:type="dxa"/>
            <w:tcBorders>
              <w:top w:val="single" w:sz="4" w:space="0" w:color="auto"/>
            </w:tcBorders>
            <w:vAlign w:val="bottom"/>
          </w:tcPr>
          <w:p w14:paraId="55B9CC27" w14:textId="77777777" w:rsidR="00AC5C0C" w:rsidRPr="00B02BA3" w:rsidRDefault="00AC5C0C" w:rsidP="00922116">
            <w:pPr>
              <w:pStyle w:val="VSmCellHead"/>
              <w:jc w:val="right"/>
              <w:rPr>
                <w:sz w:val="16"/>
                <w:szCs w:val="16"/>
              </w:rPr>
            </w:pPr>
          </w:p>
        </w:tc>
        <w:tc>
          <w:tcPr>
            <w:tcW w:w="236" w:type="dxa"/>
            <w:vAlign w:val="bottom"/>
          </w:tcPr>
          <w:p w14:paraId="53D9DEA4" w14:textId="77777777" w:rsidR="00AC5C0C" w:rsidRPr="00B02BA3" w:rsidRDefault="00AC5C0C" w:rsidP="00922116">
            <w:pPr>
              <w:pStyle w:val="CellRowSpacer"/>
              <w:spacing w:after="120"/>
              <w:rPr>
                <w:sz w:val="16"/>
                <w:szCs w:val="16"/>
              </w:rPr>
            </w:pPr>
          </w:p>
        </w:tc>
        <w:tc>
          <w:tcPr>
            <w:tcW w:w="907" w:type="dxa"/>
            <w:tcBorders>
              <w:top w:val="single" w:sz="4" w:space="0" w:color="auto"/>
            </w:tcBorders>
            <w:vAlign w:val="bottom"/>
          </w:tcPr>
          <w:p w14:paraId="683F17B0" w14:textId="77777777" w:rsidR="00AC5C0C" w:rsidRPr="00B02BA3" w:rsidRDefault="00AC5C0C" w:rsidP="00922116">
            <w:pPr>
              <w:pStyle w:val="VSmCellHead"/>
              <w:jc w:val="right"/>
              <w:rPr>
                <w:sz w:val="16"/>
                <w:szCs w:val="16"/>
              </w:rPr>
            </w:pPr>
          </w:p>
        </w:tc>
        <w:tc>
          <w:tcPr>
            <w:tcW w:w="236" w:type="dxa"/>
            <w:vAlign w:val="bottom"/>
          </w:tcPr>
          <w:p w14:paraId="577C9A2C" w14:textId="77777777" w:rsidR="00AC5C0C" w:rsidRPr="00B02BA3" w:rsidRDefault="00AC5C0C" w:rsidP="00922116">
            <w:pPr>
              <w:pStyle w:val="CellRowSpacer"/>
              <w:spacing w:after="120"/>
              <w:rPr>
                <w:sz w:val="16"/>
                <w:szCs w:val="16"/>
              </w:rPr>
            </w:pPr>
          </w:p>
        </w:tc>
      </w:tr>
      <w:tr w:rsidR="00AC5C0C" w:rsidRPr="00B02BA3" w14:paraId="78921C24" w14:textId="77777777" w:rsidTr="00922116">
        <w:tc>
          <w:tcPr>
            <w:tcW w:w="3163" w:type="dxa"/>
            <w:vAlign w:val="bottom"/>
          </w:tcPr>
          <w:p w14:paraId="67C3103F" w14:textId="77777777" w:rsidR="00AC5C0C" w:rsidRPr="00B02BA3" w:rsidRDefault="00AC5C0C" w:rsidP="00922116">
            <w:pPr>
              <w:pStyle w:val="VSmCellBody"/>
              <w:tabs>
                <w:tab w:val="right" w:leader="dot" w:pos="3163"/>
              </w:tabs>
              <w:rPr>
                <w:sz w:val="16"/>
                <w:szCs w:val="16"/>
              </w:rPr>
            </w:pPr>
            <w:r w:rsidRPr="00B02BA3">
              <w:rPr>
                <w:sz w:val="16"/>
                <w:szCs w:val="16"/>
              </w:rPr>
              <w:t>Wadi Bani Khalid</w:t>
            </w:r>
            <w:r w:rsidRPr="00B02BA3">
              <w:rPr>
                <w:rFonts w:eastAsia="SimSun"/>
                <w:sz w:val="16"/>
                <w:szCs w:val="16"/>
              </w:rPr>
              <w:tab/>
            </w:r>
          </w:p>
        </w:tc>
        <w:tc>
          <w:tcPr>
            <w:tcW w:w="236" w:type="dxa"/>
            <w:vAlign w:val="bottom"/>
          </w:tcPr>
          <w:p w14:paraId="41532A16" w14:textId="77777777" w:rsidR="00AC5C0C" w:rsidRPr="00B02BA3" w:rsidRDefault="00AC5C0C" w:rsidP="00922116">
            <w:pPr>
              <w:pStyle w:val="CellRowSpacer"/>
              <w:rPr>
                <w:sz w:val="16"/>
                <w:szCs w:val="16"/>
              </w:rPr>
            </w:pPr>
          </w:p>
        </w:tc>
        <w:tc>
          <w:tcPr>
            <w:tcW w:w="907" w:type="dxa"/>
            <w:vAlign w:val="bottom"/>
          </w:tcPr>
          <w:p w14:paraId="2E8268BB" w14:textId="77777777" w:rsidR="00AC5C0C" w:rsidRPr="00B02BA3" w:rsidRDefault="00AC5C0C" w:rsidP="00922116">
            <w:pPr>
              <w:pStyle w:val="VSmCellBody"/>
              <w:jc w:val="right"/>
              <w:rPr>
                <w:sz w:val="16"/>
                <w:szCs w:val="16"/>
              </w:rPr>
            </w:pPr>
            <w:r w:rsidRPr="00B02BA3">
              <w:rPr>
                <w:sz w:val="16"/>
                <w:szCs w:val="16"/>
              </w:rPr>
              <w:t>4,253</w:t>
            </w:r>
          </w:p>
        </w:tc>
        <w:tc>
          <w:tcPr>
            <w:tcW w:w="236" w:type="dxa"/>
            <w:vAlign w:val="bottom"/>
          </w:tcPr>
          <w:p w14:paraId="5BF8A67F" w14:textId="77777777" w:rsidR="00AC5C0C" w:rsidRPr="00B02BA3" w:rsidRDefault="00AC5C0C" w:rsidP="00922116">
            <w:pPr>
              <w:pStyle w:val="CellRowSpacer"/>
              <w:rPr>
                <w:sz w:val="16"/>
                <w:szCs w:val="16"/>
              </w:rPr>
            </w:pPr>
          </w:p>
        </w:tc>
        <w:tc>
          <w:tcPr>
            <w:tcW w:w="907" w:type="dxa"/>
            <w:vAlign w:val="bottom"/>
          </w:tcPr>
          <w:p w14:paraId="6D184ACC" w14:textId="77777777" w:rsidR="00AC5C0C" w:rsidRPr="00B02BA3" w:rsidRDefault="00AC5C0C" w:rsidP="00922116">
            <w:pPr>
              <w:pStyle w:val="VSmCellBody"/>
              <w:jc w:val="right"/>
              <w:rPr>
                <w:sz w:val="16"/>
                <w:szCs w:val="16"/>
              </w:rPr>
            </w:pPr>
            <w:r>
              <w:rPr>
                <w:sz w:val="16"/>
                <w:szCs w:val="16"/>
              </w:rPr>
              <w:t>Container vessel</w:t>
            </w:r>
          </w:p>
        </w:tc>
        <w:tc>
          <w:tcPr>
            <w:tcW w:w="236" w:type="dxa"/>
            <w:vAlign w:val="bottom"/>
          </w:tcPr>
          <w:p w14:paraId="57FA6D31" w14:textId="77777777" w:rsidR="00AC5C0C" w:rsidRPr="00B02BA3" w:rsidRDefault="00AC5C0C" w:rsidP="00922116">
            <w:pPr>
              <w:pStyle w:val="CellRowSpacer"/>
              <w:rPr>
                <w:sz w:val="16"/>
                <w:szCs w:val="16"/>
              </w:rPr>
            </w:pPr>
          </w:p>
        </w:tc>
        <w:tc>
          <w:tcPr>
            <w:tcW w:w="907" w:type="dxa"/>
            <w:vAlign w:val="bottom"/>
          </w:tcPr>
          <w:p w14:paraId="3D3BDF05"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3CE7A413" w14:textId="77777777" w:rsidR="00AC5C0C" w:rsidRPr="00B02BA3" w:rsidRDefault="00AC5C0C" w:rsidP="00922116">
            <w:pPr>
              <w:pStyle w:val="CellRowSpacer"/>
              <w:rPr>
                <w:sz w:val="16"/>
                <w:szCs w:val="16"/>
              </w:rPr>
            </w:pPr>
          </w:p>
        </w:tc>
        <w:tc>
          <w:tcPr>
            <w:tcW w:w="907" w:type="dxa"/>
            <w:vAlign w:val="bottom"/>
          </w:tcPr>
          <w:p w14:paraId="1D8E3DE7" w14:textId="77777777" w:rsidR="00AC5C0C" w:rsidRPr="00B02BA3" w:rsidRDefault="00AC5C0C" w:rsidP="00922116">
            <w:pPr>
              <w:pStyle w:val="VSmCellBody"/>
              <w:jc w:val="right"/>
              <w:rPr>
                <w:sz w:val="16"/>
                <w:szCs w:val="16"/>
              </w:rPr>
            </w:pPr>
            <w:r w:rsidRPr="00B02BA3">
              <w:rPr>
                <w:sz w:val="16"/>
                <w:szCs w:val="16"/>
              </w:rPr>
              <w:t>2008</w:t>
            </w:r>
          </w:p>
        </w:tc>
        <w:tc>
          <w:tcPr>
            <w:tcW w:w="236" w:type="dxa"/>
            <w:vAlign w:val="bottom"/>
          </w:tcPr>
          <w:p w14:paraId="74E987F4" w14:textId="77777777" w:rsidR="00AC5C0C" w:rsidRPr="00B02BA3" w:rsidRDefault="00AC5C0C" w:rsidP="00922116">
            <w:pPr>
              <w:pStyle w:val="CellRowSpacer"/>
              <w:rPr>
                <w:sz w:val="16"/>
                <w:szCs w:val="16"/>
              </w:rPr>
            </w:pPr>
          </w:p>
        </w:tc>
        <w:tc>
          <w:tcPr>
            <w:tcW w:w="907" w:type="dxa"/>
            <w:vAlign w:val="bottom"/>
          </w:tcPr>
          <w:p w14:paraId="3E118EF5"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42A61576" w14:textId="77777777" w:rsidR="00AC5C0C" w:rsidRPr="00B02BA3" w:rsidRDefault="00AC5C0C" w:rsidP="00922116">
            <w:pPr>
              <w:pStyle w:val="CellRowSpacer"/>
              <w:rPr>
                <w:sz w:val="16"/>
                <w:szCs w:val="16"/>
              </w:rPr>
            </w:pPr>
          </w:p>
        </w:tc>
      </w:tr>
      <w:tr w:rsidR="00AC5C0C" w:rsidRPr="00B02BA3" w14:paraId="1151FE09" w14:textId="77777777" w:rsidTr="00922116">
        <w:tc>
          <w:tcPr>
            <w:tcW w:w="3163" w:type="dxa"/>
            <w:vAlign w:val="bottom"/>
          </w:tcPr>
          <w:p w14:paraId="184E8DD6" w14:textId="77777777" w:rsidR="00AC5C0C" w:rsidRPr="00B02BA3" w:rsidRDefault="00AC5C0C" w:rsidP="00922116">
            <w:pPr>
              <w:pStyle w:val="VSmCellBody"/>
              <w:tabs>
                <w:tab w:val="right" w:leader="dot" w:pos="3163"/>
              </w:tabs>
              <w:rPr>
                <w:sz w:val="16"/>
                <w:szCs w:val="16"/>
              </w:rPr>
            </w:pPr>
            <w:r w:rsidRPr="00B02BA3">
              <w:rPr>
                <w:sz w:val="16"/>
                <w:szCs w:val="16"/>
              </w:rPr>
              <w:t>Wadi Duka</w:t>
            </w:r>
            <w:r w:rsidRPr="00B02BA3">
              <w:rPr>
                <w:rFonts w:eastAsia="SimSun"/>
                <w:sz w:val="16"/>
                <w:szCs w:val="16"/>
              </w:rPr>
              <w:tab/>
            </w:r>
          </w:p>
        </w:tc>
        <w:tc>
          <w:tcPr>
            <w:tcW w:w="236" w:type="dxa"/>
            <w:vAlign w:val="bottom"/>
          </w:tcPr>
          <w:p w14:paraId="18A40EDB" w14:textId="77777777" w:rsidR="00AC5C0C" w:rsidRPr="00B02BA3" w:rsidRDefault="00AC5C0C" w:rsidP="00922116">
            <w:pPr>
              <w:pStyle w:val="CellRowSpacer"/>
              <w:rPr>
                <w:sz w:val="16"/>
                <w:szCs w:val="16"/>
              </w:rPr>
            </w:pPr>
          </w:p>
        </w:tc>
        <w:tc>
          <w:tcPr>
            <w:tcW w:w="907" w:type="dxa"/>
            <w:vAlign w:val="bottom"/>
          </w:tcPr>
          <w:p w14:paraId="68DA9F4E" w14:textId="77777777" w:rsidR="00AC5C0C" w:rsidRPr="00B02BA3" w:rsidRDefault="00AC5C0C" w:rsidP="00922116">
            <w:pPr>
              <w:pStyle w:val="VSmCellBody"/>
              <w:jc w:val="right"/>
              <w:rPr>
                <w:sz w:val="16"/>
                <w:szCs w:val="16"/>
              </w:rPr>
            </w:pPr>
            <w:r w:rsidRPr="00B02BA3">
              <w:rPr>
                <w:sz w:val="16"/>
                <w:szCs w:val="16"/>
              </w:rPr>
              <w:t>3,534</w:t>
            </w:r>
          </w:p>
        </w:tc>
        <w:tc>
          <w:tcPr>
            <w:tcW w:w="236" w:type="dxa"/>
            <w:vAlign w:val="bottom"/>
          </w:tcPr>
          <w:p w14:paraId="261E5292" w14:textId="77777777" w:rsidR="00AC5C0C" w:rsidRPr="00B02BA3" w:rsidRDefault="00AC5C0C" w:rsidP="00922116">
            <w:pPr>
              <w:pStyle w:val="CellRowSpacer"/>
              <w:rPr>
                <w:sz w:val="16"/>
                <w:szCs w:val="16"/>
              </w:rPr>
            </w:pPr>
          </w:p>
        </w:tc>
        <w:tc>
          <w:tcPr>
            <w:tcW w:w="907" w:type="dxa"/>
            <w:vAlign w:val="bottom"/>
          </w:tcPr>
          <w:p w14:paraId="74527FB5" w14:textId="77777777" w:rsidR="00AC5C0C" w:rsidRPr="00B02BA3" w:rsidRDefault="00AC5C0C" w:rsidP="00922116">
            <w:pPr>
              <w:pStyle w:val="VSmCellBody"/>
              <w:jc w:val="right"/>
              <w:rPr>
                <w:sz w:val="16"/>
                <w:szCs w:val="16"/>
              </w:rPr>
            </w:pPr>
            <w:r>
              <w:rPr>
                <w:sz w:val="16"/>
                <w:szCs w:val="16"/>
              </w:rPr>
              <w:t>Container vessel</w:t>
            </w:r>
          </w:p>
        </w:tc>
        <w:tc>
          <w:tcPr>
            <w:tcW w:w="236" w:type="dxa"/>
            <w:vAlign w:val="bottom"/>
          </w:tcPr>
          <w:p w14:paraId="1BFA2656" w14:textId="77777777" w:rsidR="00AC5C0C" w:rsidRPr="00B02BA3" w:rsidRDefault="00AC5C0C" w:rsidP="00922116">
            <w:pPr>
              <w:pStyle w:val="CellRowSpacer"/>
              <w:rPr>
                <w:sz w:val="16"/>
                <w:szCs w:val="16"/>
              </w:rPr>
            </w:pPr>
          </w:p>
        </w:tc>
        <w:tc>
          <w:tcPr>
            <w:tcW w:w="907" w:type="dxa"/>
            <w:vAlign w:val="bottom"/>
          </w:tcPr>
          <w:p w14:paraId="669D7427" w14:textId="77777777" w:rsidR="00AC5C0C" w:rsidRPr="00B02BA3" w:rsidRDefault="00AC5C0C" w:rsidP="00922116">
            <w:pPr>
              <w:pStyle w:val="VSmCellBody"/>
              <w:jc w:val="right"/>
              <w:rPr>
                <w:sz w:val="16"/>
                <w:szCs w:val="16"/>
              </w:rPr>
            </w:pPr>
            <w:r w:rsidRPr="00B02BA3">
              <w:rPr>
                <w:sz w:val="16"/>
                <w:szCs w:val="16"/>
              </w:rPr>
              <w:t>100</w:t>
            </w:r>
          </w:p>
        </w:tc>
        <w:tc>
          <w:tcPr>
            <w:tcW w:w="236" w:type="dxa"/>
            <w:vAlign w:val="bottom"/>
          </w:tcPr>
          <w:p w14:paraId="417DDDE0" w14:textId="77777777" w:rsidR="00AC5C0C" w:rsidRPr="00B02BA3" w:rsidRDefault="00AC5C0C" w:rsidP="00922116">
            <w:pPr>
              <w:pStyle w:val="CellRowSpacer"/>
              <w:rPr>
                <w:sz w:val="16"/>
                <w:szCs w:val="16"/>
              </w:rPr>
            </w:pPr>
          </w:p>
        </w:tc>
        <w:tc>
          <w:tcPr>
            <w:tcW w:w="907" w:type="dxa"/>
            <w:vAlign w:val="bottom"/>
          </w:tcPr>
          <w:p w14:paraId="14B5AED2" w14:textId="77777777" w:rsidR="00AC5C0C" w:rsidRPr="00B02BA3" w:rsidRDefault="00AC5C0C" w:rsidP="00922116">
            <w:pPr>
              <w:pStyle w:val="VSmCellBody"/>
              <w:jc w:val="right"/>
              <w:rPr>
                <w:sz w:val="16"/>
                <w:szCs w:val="16"/>
              </w:rPr>
            </w:pPr>
            <w:r w:rsidRPr="00B02BA3">
              <w:rPr>
                <w:sz w:val="16"/>
                <w:szCs w:val="16"/>
              </w:rPr>
              <w:t>2010</w:t>
            </w:r>
          </w:p>
        </w:tc>
        <w:tc>
          <w:tcPr>
            <w:tcW w:w="236" w:type="dxa"/>
            <w:vAlign w:val="bottom"/>
          </w:tcPr>
          <w:p w14:paraId="19007CF7" w14:textId="77777777" w:rsidR="00AC5C0C" w:rsidRPr="00B02BA3" w:rsidRDefault="00AC5C0C" w:rsidP="00922116">
            <w:pPr>
              <w:pStyle w:val="CellRowSpacer"/>
              <w:rPr>
                <w:sz w:val="16"/>
                <w:szCs w:val="16"/>
              </w:rPr>
            </w:pPr>
          </w:p>
        </w:tc>
        <w:tc>
          <w:tcPr>
            <w:tcW w:w="907" w:type="dxa"/>
            <w:vAlign w:val="bottom"/>
          </w:tcPr>
          <w:p w14:paraId="42C6DEEE"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62632A13" w14:textId="77777777" w:rsidR="00AC5C0C" w:rsidRPr="00B02BA3" w:rsidRDefault="00AC5C0C" w:rsidP="00922116">
            <w:pPr>
              <w:pStyle w:val="CellRowSpacer"/>
              <w:rPr>
                <w:sz w:val="16"/>
                <w:szCs w:val="16"/>
              </w:rPr>
            </w:pPr>
          </w:p>
        </w:tc>
      </w:tr>
      <w:tr w:rsidR="00AC5C0C" w:rsidRPr="00B02BA3" w14:paraId="1379F4E3" w14:textId="77777777" w:rsidTr="00922116">
        <w:tc>
          <w:tcPr>
            <w:tcW w:w="3163" w:type="dxa"/>
            <w:vAlign w:val="bottom"/>
          </w:tcPr>
          <w:p w14:paraId="118B5EA9" w14:textId="77777777" w:rsidR="00AC5C0C" w:rsidRPr="00B02BA3" w:rsidRDefault="00AC5C0C" w:rsidP="00922116">
            <w:pPr>
              <w:pStyle w:val="VSmCellBody"/>
              <w:tabs>
                <w:tab w:val="right" w:leader="dot" w:pos="3163"/>
              </w:tabs>
              <w:rPr>
                <w:b/>
                <w:bCs/>
                <w:sz w:val="16"/>
                <w:szCs w:val="16"/>
              </w:rPr>
            </w:pPr>
            <w:r w:rsidRPr="00B02BA3">
              <w:rPr>
                <w:b/>
                <w:bCs/>
                <w:sz w:val="16"/>
                <w:szCs w:val="16"/>
              </w:rPr>
              <w:t>Chartered-in</w:t>
            </w:r>
          </w:p>
        </w:tc>
        <w:tc>
          <w:tcPr>
            <w:tcW w:w="236" w:type="dxa"/>
            <w:vAlign w:val="bottom"/>
          </w:tcPr>
          <w:p w14:paraId="2ABB467F" w14:textId="77777777" w:rsidR="00AC5C0C" w:rsidRPr="00B02BA3" w:rsidRDefault="00AC5C0C" w:rsidP="00922116">
            <w:pPr>
              <w:pStyle w:val="CellRowSpacer"/>
              <w:rPr>
                <w:sz w:val="16"/>
                <w:szCs w:val="16"/>
              </w:rPr>
            </w:pPr>
          </w:p>
        </w:tc>
        <w:tc>
          <w:tcPr>
            <w:tcW w:w="907" w:type="dxa"/>
            <w:vAlign w:val="bottom"/>
          </w:tcPr>
          <w:p w14:paraId="6D8C4C74" w14:textId="77777777" w:rsidR="00AC5C0C" w:rsidRPr="00B02BA3" w:rsidRDefault="00AC5C0C" w:rsidP="00922116">
            <w:pPr>
              <w:pStyle w:val="VSmCellBody"/>
              <w:jc w:val="right"/>
              <w:rPr>
                <w:sz w:val="16"/>
                <w:szCs w:val="16"/>
              </w:rPr>
            </w:pPr>
          </w:p>
        </w:tc>
        <w:tc>
          <w:tcPr>
            <w:tcW w:w="236" w:type="dxa"/>
            <w:vAlign w:val="bottom"/>
          </w:tcPr>
          <w:p w14:paraId="3A5DE192" w14:textId="77777777" w:rsidR="00AC5C0C" w:rsidRPr="00B02BA3" w:rsidRDefault="00AC5C0C" w:rsidP="00922116">
            <w:pPr>
              <w:pStyle w:val="CellRowSpacer"/>
              <w:rPr>
                <w:sz w:val="16"/>
                <w:szCs w:val="16"/>
              </w:rPr>
            </w:pPr>
          </w:p>
        </w:tc>
        <w:tc>
          <w:tcPr>
            <w:tcW w:w="907" w:type="dxa"/>
            <w:vAlign w:val="bottom"/>
          </w:tcPr>
          <w:p w14:paraId="3EA37961" w14:textId="77777777" w:rsidR="00AC5C0C" w:rsidRPr="00B02BA3" w:rsidRDefault="00AC5C0C" w:rsidP="00922116">
            <w:pPr>
              <w:pStyle w:val="VSmCellBody"/>
              <w:jc w:val="right"/>
              <w:rPr>
                <w:sz w:val="16"/>
                <w:szCs w:val="16"/>
              </w:rPr>
            </w:pPr>
          </w:p>
        </w:tc>
        <w:tc>
          <w:tcPr>
            <w:tcW w:w="236" w:type="dxa"/>
            <w:vAlign w:val="bottom"/>
          </w:tcPr>
          <w:p w14:paraId="207441D3" w14:textId="77777777" w:rsidR="00AC5C0C" w:rsidRPr="00B02BA3" w:rsidRDefault="00AC5C0C" w:rsidP="00922116">
            <w:pPr>
              <w:pStyle w:val="CellRowSpacer"/>
              <w:rPr>
                <w:sz w:val="16"/>
                <w:szCs w:val="16"/>
              </w:rPr>
            </w:pPr>
          </w:p>
        </w:tc>
        <w:tc>
          <w:tcPr>
            <w:tcW w:w="907" w:type="dxa"/>
            <w:vAlign w:val="bottom"/>
          </w:tcPr>
          <w:p w14:paraId="270E0F59" w14:textId="77777777" w:rsidR="00AC5C0C" w:rsidRPr="00B02BA3" w:rsidRDefault="00AC5C0C" w:rsidP="00922116">
            <w:pPr>
              <w:pStyle w:val="VSmCellBody"/>
              <w:jc w:val="right"/>
              <w:rPr>
                <w:sz w:val="16"/>
                <w:szCs w:val="16"/>
              </w:rPr>
            </w:pPr>
          </w:p>
        </w:tc>
        <w:tc>
          <w:tcPr>
            <w:tcW w:w="236" w:type="dxa"/>
            <w:vAlign w:val="bottom"/>
          </w:tcPr>
          <w:p w14:paraId="616F9F0C" w14:textId="77777777" w:rsidR="00AC5C0C" w:rsidRPr="00B02BA3" w:rsidRDefault="00AC5C0C" w:rsidP="00922116">
            <w:pPr>
              <w:pStyle w:val="CellRowSpacer"/>
              <w:rPr>
                <w:sz w:val="16"/>
                <w:szCs w:val="16"/>
              </w:rPr>
            </w:pPr>
          </w:p>
        </w:tc>
        <w:tc>
          <w:tcPr>
            <w:tcW w:w="907" w:type="dxa"/>
            <w:vAlign w:val="bottom"/>
          </w:tcPr>
          <w:p w14:paraId="123587C6" w14:textId="77777777" w:rsidR="00AC5C0C" w:rsidRPr="00B02BA3" w:rsidRDefault="00AC5C0C" w:rsidP="00922116">
            <w:pPr>
              <w:pStyle w:val="VSmCellBody"/>
              <w:jc w:val="right"/>
              <w:rPr>
                <w:sz w:val="16"/>
                <w:szCs w:val="16"/>
              </w:rPr>
            </w:pPr>
          </w:p>
        </w:tc>
        <w:tc>
          <w:tcPr>
            <w:tcW w:w="236" w:type="dxa"/>
            <w:vAlign w:val="bottom"/>
          </w:tcPr>
          <w:p w14:paraId="2AA66670" w14:textId="77777777" w:rsidR="00AC5C0C" w:rsidRPr="00B02BA3" w:rsidRDefault="00AC5C0C" w:rsidP="00922116">
            <w:pPr>
              <w:pStyle w:val="CellRowSpacer"/>
              <w:rPr>
                <w:sz w:val="16"/>
                <w:szCs w:val="16"/>
              </w:rPr>
            </w:pPr>
          </w:p>
        </w:tc>
        <w:tc>
          <w:tcPr>
            <w:tcW w:w="907" w:type="dxa"/>
            <w:vAlign w:val="bottom"/>
          </w:tcPr>
          <w:p w14:paraId="4CB4904F" w14:textId="77777777" w:rsidR="00AC5C0C" w:rsidRPr="00B02BA3" w:rsidRDefault="00AC5C0C" w:rsidP="00922116">
            <w:pPr>
              <w:pStyle w:val="VSmCellBody"/>
              <w:jc w:val="right"/>
              <w:rPr>
                <w:sz w:val="16"/>
                <w:szCs w:val="16"/>
              </w:rPr>
            </w:pPr>
          </w:p>
        </w:tc>
        <w:tc>
          <w:tcPr>
            <w:tcW w:w="236" w:type="dxa"/>
            <w:vAlign w:val="bottom"/>
          </w:tcPr>
          <w:p w14:paraId="4610F453" w14:textId="77777777" w:rsidR="00AC5C0C" w:rsidRPr="00B02BA3" w:rsidRDefault="00AC5C0C" w:rsidP="00922116">
            <w:pPr>
              <w:pStyle w:val="CellRowSpacer"/>
              <w:rPr>
                <w:sz w:val="16"/>
                <w:szCs w:val="16"/>
              </w:rPr>
            </w:pPr>
          </w:p>
        </w:tc>
      </w:tr>
      <w:tr w:rsidR="00AC5C0C" w:rsidRPr="00B02BA3" w14:paraId="10A117DC" w14:textId="77777777" w:rsidTr="00922116">
        <w:tc>
          <w:tcPr>
            <w:tcW w:w="3163" w:type="dxa"/>
            <w:vAlign w:val="bottom"/>
          </w:tcPr>
          <w:p w14:paraId="48B46F0C" w14:textId="77777777" w:rsidR="00AC5C0C" w:rsidRPr="00B02BA3" w:rsidRDefault="00AC5C0C" w:rsidP="00922116">
            <w:pPr>
              <w:pStyle w:val="VSmCellBody"/>
              <w:tabs>
                <w:tab w:val="right" w:leader="dot" w:pos="3163"/>
              </w:tabs>
              <w:rPr>
                <w:sz w:val="16"/>
                <w:szCs w:val="16"/>
              </w:rPr>
            </w:pPr>
            <w:r w:rsidRPr="00B02BA3">
              <w:rPr>
                <w:sz w:val="16"/>
                <w:szCs w:val="16"/>
              </w:rPr>
              <w:t>Stephanie C</w:t>
            </w:r>
            <w:r w:rsidRPr="00B02BA3">
              <w:rPr>
                <w:rFonts w:eastAsia="SimSun"/>
                <w:sz w:val="16"/>
                <w:szCs w:val="16"/>
              </w:rPr>
              <w:tab/>
            </w:r>
          </w:p>
        </w:tc>
        <w:tc>
          <w:tcPr>
            <w:tcW w:w="236" w:type="dxa"/>
            <w:vAlign w:val="bottom"/>
          </w:tcPr>
          <w:p w14:paraId="4D14FD3E" w14:textId="77777777" w:rsidR="00AC5C0C" w:rsidRPr="00B02BA3" w:rsidRDefault="00AC5C0C" w:rsidP="00922116">
            <w:pPr>
              <w:pStyle w:val="CellRowSpacer"/>
              <w:rPr>
                <w:sz w:val="16"/>
                <w:szCs w:val="16"/>
              </w:rPr>
            </w:pPr>
          </w:p>
        </w:tc>
        <w:tc>
          <w:tcPr>
            <w:tcW w:w="907" w:type="dxa"/>
            <w:vAlign w:val="bottom"/>
          </w:tcPr>
          <w:p w14:paraId="39442437" w14:textId="77777777" w:rsidR="00AC5C0C" w:rsidRPr="00B02BA3" w:rsidRDefault="00AC5C0C" w:rsidP="00922116">
            <w:pPr>
              <w:pStyle w:val="VSmCellBody"/>
              <w:jc w:val="right"/>
              <w:rPr>
                <w:sz w:val="16"/>
                <w:szCs w:val="16"/>
              </w:rPr>
            </w:pPr>
            <w:r w:rsidRPr="00B02BA3">
              <w:rPr>
                <w:sz w:val="16"/>
                <w:szCs w:val="16"/>
              </w:rPr>
              <w:t>5,466</w:t>
            </w:r>
          </w:p>
        </w:tc>
        <w:tc>
          <w:tcPr>
            <w:tcW w:w="236" w:type="dxa"/>
            <w:vAlign w:val="bottom"/>
          </w:tcPr>
          <w:p w14:paraId="062E3304" w14:textId="77777777" w:rsidR="00AC5C0C" w:rsidRPr="00B02BA3" w:rsidRDefault="00AC5C0C" w:rsidP="00922116">
            <w:pPr>
              <w:pStyle w:val="CellRowSpacer"/>
              <w:rPr>
                <w:sz w:val="16"/>
                <w:szCs w:val="16"/>
              </w:rPr>
            </w:pPr>
          </w:p>
        </w:tc>
        <w:tc>
          <w:tcPr>
            <w:tcW w:w="907" w:type="dxa"/>
            <w:vAlign w:val="bottom"/>
          </w:tcPr>
          <w:p w14:paraId="3567DC8C" w14:textId="77777777" w:rsidR="00AC5C0C" w:rsidRPr="00B02BA3" w:rsidRDefault="00AC5C0C" w:rsidP="00922116">
            <w:pPr>
              <w:pStyle w:val="VSmCellBody"/>
              <w:jc w:val="right"/>
              <w:rPr>
                <w:sz w:val="16"/>
                <w:szCs w:val="16"/>
              </w:rPr>
            </w:pPr>
            <w:r>
              <w:rPr>
                <w:sz w:val="16"/>
                <w:szCs w:val="16"/>
              </w:rPr>
              <w:t>Container vessel</w:t>
            </w:r>
          </w:p>
        </w:tc>
        <w:tc>
          <w:tcPr>
            <w:tcW w:w="236" w:type="dxa"/>
            <w:vAlign w:val="bottom"/>
          </w:tcPr>
          <w:p w14:paraId="6C84B442" w14:textId="77777777" w:rsidR="00AC5C0C" w:rsidRPr="00B02BA3" w:rsidRDefault="00AC5C0C" w:rsidP="00922116">
            <w:pPr>
              <w:pStyle w:val="CellRowSpacer"/>
              <w:rPr>
                <w:sz w:val="16"/>
                <w:szCs w:val="16"/>
              </w:rPr>
            </w:pPr>
          </w:p>
        </w:tc>
        <w:tc>
          <w:tcPr>
            <w:tcW w:w="907" w:type="dxa"/>
            <w:vAlign w:val="bottom"/>
          </w:tcPr>
          <w:p w14:paraId="3A043A2B" w14:textId="77777777" w:rsidR="00AC5C0C" w:rsidRPr="00B02BA3" w:rsidRDefault="00AC5C0C" w:rsidP="00922116">
            <w:pPr>
              <w:pStyle w:val="VSmCellBody"/>
              <w:jc w:val="right"/>
              <w:rPr>
                <w:sz w:val="16"/>
                <w:szCs w:val="16"/>
              </w:rPr>
            </w:pPr>
            <w:r w:rsidRPr="00B02BA3">
              <w:rPr>
                <w:sz w:val="16"/>
                <w:szCs w:val="16"/>
              </w:rPr>
              <w:t>2025</w:t>
            </w:r>
          </w:p>
        </w:tc>
        <w:tc>
          <w:tcPr>
            <w:tcW w:w="236" w:type="dxa"/>
            <w:vAlign w:val="bottom"/>
          </w:tcPr>
          <w:p w14:paraId="4F385691" w14:textId="77777777" w:rsidR="00AC5C0C" w:rsidRPr="00B02BA3" w:rsidRDefault="00AC5C0C" w:rsidP="00922116">
            <w:pPr>
              <w:pStyle w:val="CellRowSpacer"/>
              <w:rPr>
                <w:sz w:val="16"/>
                <w:szCs w:val="16"/>
              </w:rPr>
            </w:pPr>
          </w:p>
        </w:tc>
        <w:tc>
          <w:tcPr>
            <w:tcW w:w="907" w:type="dxa"/>
            <w:vAlign w:val="bottom"/>
          </w:tcPr>
          <w:p w14:paraId="3F5DD570" w14:textId="77777777" w:rsidR="00AC5C0C" w:rsidRPr="00B02BA3" w:rsidRDefault="00AC5C0C" w:rsidP="00922116">
            <w:pPr>
              <w:pStyle w:val="VSmCellBody"/>
              <w:jc w:val="right"/>
              <w:rPr>
                <w:sz w:val="16"/>
                <w:szCs w:val="16"/>
              </w:rPr>
            </w:pPr>
            <w:r w:rsidRPr="00B02BA3">
              <w:rPr>
                <w:sz w:val="16"/>
                <w:szCs w:val="16"/>
              </w:rPr>
              <w:t>2014</w:t>
            </w:r>
          </w:p>
        </w:tc>
        <w:tc>
          <w:tcPr>
            <w:tcW w:w="236" w:type="dxa"/>
            <w:vAlign w:val="bottom"/>
          </w:tcPr>
          <w:p w14:paraId="0DD1FE96" w14:textId="77777777" w:rsidR="00AC5C0C" w:rsidRPr="00B02BA3" w:rsidRDefault="00AC5C0C" w:rsidP="00922116">
            <w:pPr>
              <w:pStyle w:val="CellRowSpacer"/>
              <w:rPr>
                <w:sz w:val="16"/>
                <w:szCs w:val="16"/>
              </w:rPr>
            </w:pPr>
          </w:p>
        </w:tc>
        <w:tc>
          <w:tcPr>
            <w:tcW w:w="907" w:type="dxa"/>
            <w:vAlign w:val="bottom"/>
          </w:tcPr>
          <w:p w14:paraId="4C206C40"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12E5B017" w14:textId="77777777" w:rsidR="00AC5C0C" w:rsidRPr="00B02BA3" w:rsidRDefault="00AC5C0C" w:rsidP="00922116">
            <w:pPr>
              <w:pStyle w:val="CellRowSpacer"/>
              <w:rPr>
                <w:sz w:val="16"/>
                <w:szCs w:val="16"/>
              </w:rPr>
            </w:pPr>
          </w:p>
        </w:tc>
      </w:tr>
      <w:tr w:rsidR="00AC5C0C" w:rsidRPr="00B02BA3" w14:paraId="41AE56B2" w14:textId="77777777" w:rsidTr="00922116">
        <w:tc>
          <w:tcPr>
            <w:tcW w:w="3163" w:type="dxa"/>
            <w:vAlign w:val="bottom"/>
          </w:tcPr>
          <w:p w14:paraId="0F1CFA90" w14:textId="77777777" w:rsidR="00AC5C0C" w:rsidRPr="00B02BA3" w:rsidRDefault="00AC5C0C" w:rsidP="00922116">
            <w:pPr>
              <w:pStyle w:val="VSmCellBody"/>
              <w:tabs>
                <w:tab w:val="right" w:leader="dot" w:pos="3163"/>
              </w:tabs>
              <w:rPr>
                <w:sz w:val="16"/>
                <w:szCs w:val="16"/>
              </w:rPr>
            </w:pPr>
            <w:proofErr w:type="spellStart"/>
            <w:r w:rsidRPr="00B02BA3">
              <w:rPr>
                <w:sz w:val="16"/>
                <w:szCs w:val="16"/>
              </w:rPr>
              <w:lastRenderedPageBreak/>
              <w:t>Terataki</w:t>
            </w:r>
            <w:proofErr w:type="spellEnd"/>
            <w:r w:rsidRPr="00B02BA3">
              <w:rPr>
                <w:rFonts w:eastAsia="SimSun"/>
                <w:sz w:val="16"/>
                <w:szCs w:val="16"/>
              </w:rPr>
              <w:tab/>
            </w:r>
          </w:p>
        </w:tc>
        <w:tc>
          <w:tcPr>
            <w:tcW w:w="236" w:type="dxa"/>
            <w:vAlign w:val="bottom"/>
          </w:tcPr>
          <w:p w14:paraId="65C51D28" w14:textId="77777777" w:rsidR="00AC5C0C" w:rsidRPr="00B02BA3" w:rsidRDefault="00AC5C0C" w:rsidP="00922116">
            <w:pPr>
              <w:pStyle w:val="CellRowSpacer"/>
              <w:rPr>
                <w:sz w:val="16"/>
                <w:szCs w:val="16"/>
              </w:rPr>
            </w:pPr>
          </w:p>
        </w:tc>
        <w:tc>
          <w:tcPr>
            <w:tcW w:w="907" w:type="dxa"/>
            <w:vAlign w:val="bottom"/>
          </w:tcPr>
          <w:p w14:paraId="55FC863C" w14:textId="77777777" w:rsidR="00AC5C0C" w:rsidRPr="00B02BA3" w:rsidRDefault="00AC5C0C" w:rsidP="00922116">
            <w:pPr>
              <w:pStyle w:val="VSmCellBody"/>
              <w:tabs>
                <w:tab w:val="center" w:pos="453"/>
                <w:tab w:val="right" w:pos="907"/>
              </w:tabs>
              <w:jc w:val="right"/>
              <w:rPr>
                <w:sz w:val="16"/>
                <w:szCs w:val="16"/>
              </w:rPr>
            </w:pPr>
            <w:r w:rsidRPr="00B02BA3">
              <w:rPr>
                <w:sz w:val="16"/>
                <w:szCs w:val="16"/>
              </w:rPr>
              <w:t>2,782</w:t>
            </w:r>
          </w:p>
        </w:tc>
        <w:tc>
          <w:tcPr>
            <w:tcW w:w="236" w:type="dxa"/>
            <w:vAlign w:val="bottom"/>
          </w:tcPr>
          <w:p w14:paraId="53B68B8E" w14:textId="77777777" w:rsidR="00AC5C0C" w:rsidRPr="00B02BA3" w:rsidRDefault="00AC5C0C" w:rsidP="00922116">
            <w:pPr>
              <w:pStyle w:val="CellRowSpacer"/>
              <w:rPr>
                <w:sz w:val="16"/>
                <w:szCs w:val="16"/>
              </w:rPr>
            </w:pPr>
          </w:p>
        </w:tc>
        <w:tc>
          <w:tcPr>
            <w:tcW w:w="907" w:type="dxa"/>
            <w:vAlign w:val="bottom"/>
          </w:tcPr>
          <w:p w14:paraId="1D14A5AC" w14:textId="77777777" w:rsidR="00AC5C0C" w:rsidRPr="00B02BA3" w:rsidRDefault="00AC5C0C" w:rsidP="00922116">
            <w:pPr>
              <w:pStyle w:val="VSmCellBody"/>
              <w:jc w:val="right"/>
              <w:rPr>
                <w:sz w:val="16"/>
                <w:szCs w:val="16"/>
              </w:rPr>
            </w:pPr>
            <w:r>
              <w:rPr>
                <w:sz w:val="16"/>
                <w:szCs w:val="16"/>
              </w:rPr>
              <w:t>Container vessel</w:t>
            </w:r>
          </w:p>
        </w:tc>
        <w:tc>
          <w:tcPr>
            <w:tcW w:w="236" w:type="dxa"/>
            <w:vAlign w:val="bottom"/>
          </w:tcPr>
          <w:p w14:paraId="3C247E38" w14:textId="77777777" w:rsidR="00AC5C0C" w:rsidRPr="00B02BA3" w:rsidRDefault="00AC5C0C" w:rsidP="00922116">
            <w:pPr>
              <w:pStyle w:val="CellRowSpacer"/>
              <w:rPr>
                <w:sz w:val="16"/>
                <w:szCs w:val="16"/>
              </w:rPr>
            </w:pPr>
          </w:p>
        </w:tc>
        <w:tc>
          <w:tcPr>
            <w:tcW w:w="907" w:type="dxa"/>
            <w:vAlign w:val="bottom"/>
          </w:tcPr>
          <w:p w14:paraId="5F0AEFCD" w14:textId="77777777" w:rsidR="00AC5C0C" w:rsidRPr="00B02BA3" w:rsidRDefault="00AC5C0C" w:rsidP="00922116">
            <w:pPr>
              <w:pStyle w:val="VSmCellBody"/>
              <w:jc w:val="right"/>
              <w:rPr>
                <w:sz w:val="16"/>
                <w:szCs w:val="16"/>
              </w:rPr>
            </w:pPr>
            <w:r w:rsidRPr="00B02BA3">
              <w:rPr>
                <w:sz w:val="16"/>
                <w:szCs w:val="16"/>
              </w:rPr>
              <w:t>2026</w:t>
            </w:r>
          </w:p>
        </w:tc>
        <w:tc>
          <w:tcPr>
            <w:tcW w:w="236" w:type="dxa"/>
            <w:vAlign w:val="bottom"/>
          </w:tcPr>
          <w:p w14:paraId="419E73EC" w14:textId="77777777" w:rsidR="00AC5C0C" w:rsidRPr="00B02BA3" w:rsidRDefault="00AC5C0C" w:rsidP="00922116">
            <w:pPr>
              <w:pStyle w:val="CellRowSpacer"/>
              <w:rPr>
                <w:sz w:val="16"/>
                <w:szCs w:val="16"/>
              </w:rPr>
            </w:pPr>
          </w:p>
        </w:tc>
        <w:tc>
          <w:tcPr>
            <w:tcW w:w="907" w:type="dxa"/>
            <w:vAlign w:val="bottom"/>
          </w:tcPr>
          <w:p w14:paraId="76D20683" w14:textId="77777777" w:rsidR="00AC5C0C" w:rsidRPr="00B02BA3" w:rsidRDefault="00AC5C0C" w:rsidP="00922116">
            <w:pPr>
              <w:pStyle w:val="VSmCellBody"/>
              <w:jc w:val="right"/>
              <w:rPr>
                <w:sz w:val="16"/>
                <w:szCs w:val="16"/>
              </w:rPr>
            </w:pPr>
            <w:r w:rsidRPr="00B02BA3">
              <w:rPr>
                <w:sz w:val="16"/>
                <w:szCs w:val="16"/>
              </w:rPr>
              <w:t>2023</w:t>
            </w:r>
          </w:p>
        </w:tc>
        <w:tc>
          <w:tcPr>
            <w:tcW w:w="236" w:type="dxa"/>
            <w:vAlign w:val="bottom"/>
          </w:tcPr>
          <w:p w14:paraId="7250D15D" w14:textId="77777777" w:rsidR="00AC5C0C" w:rsidRPr="00B02BA3" w:rsidRDefault="00AC5C0C" w:rsidP="00922116">
            <w:pPr>
              <w:pStyle w:val="CellRowSpacer"/>
              <w:rPr>
                <w:sz w:val="16"/>
                <w:szCs w:val="16"/>
              </w:rPr>
            </w:pPr>
          </w:p>
        </w:tc>
        <w:tc>
          <w:tcPr>
            <w:tcW w:w="907" w:type="dxa"/>
            <w:vAlign w:val="bottom"/>
          </w:tcPr>
          <w:p w14:paraId="217CCDB4"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4BEC420A" w14:textId="77777777" w:rsidR="00AC5C0C" w:rsidRPr="00B02BA3" w:rsidRDefault="00AC5C0C" w:rsidP="00922116">
            <w:pPr>
              <w:pStyle w:val="CellRowSpacer"/>
              <w:rPr>
                <w:sz w:val="16"/>
                <w:szCs w:val="16"/>
              </w:rPr>
            </w:pPr>
          </w:p>
        </w:tc>
      </w:tr>
      <w:tr w:rsidR="00AC5C0C" w:rsidRPr="00B02BA3" w14:paraId="1E5FABC4" w14:textId="77777777" w:rsidTr="00922116">
        <w:tc>
          <w:tcPr>
            <w:tcW w:w="3163" w:type="dxa"/>
            <w:vAlign w:val="bottom"/>
          </w:tcPr>
          <w:p w14:paraId="5840B511" w14:textId="77777777" w:rsidR="00AC5C0C" w:rsidRPr="00B02BA3" w:rsidRDefault="00AC5C0C" w:rsidP="00922116">
            <w:pPr>
              <w:pStyle w:val="VSmCellBody"/>
              <w:tabs>
                <w:tab w:val="right" w:leader="dot" w:pos="3163"/>
              </w:tabs>
              <w:rPr>
                <w:sz w:val="16"/>
                <w:szCs w:val="16"/>
              </w:rPr>
            </w:pPr>
            <w:proofErr w:type="spellStart"/>
            <w:r w:rsidRPr="00B02BA3">
              <w:rPr>
                <w:sz w:val="16"/>
                <w:szCs w:val="16"/>
              </w:rPr>
              <w:t>Gergos</w:t>
            </w:r>
            <w:proofErr w:type="spellEnd"/>
            <w:r w:rsidRPr="00B02BA3">
              <w:rPr>
                <w:rFonts w:eastAsia="SimSun"/>
                <w:sz w:val="16"/>
                <w:szCs w:val="16"/>
              </w:rPr>
              <w:tab/>
            </w:r>
          </w:p>
        </w:tc>
        <w:tc>
          <w:tcPr>
            <w:tcW w:w="236" w:type="dxa"/>
            <w:vAlign w:val="bottom"/>
          </w:tcPr>
          <w:p w14:paraId="456F352D" w14:textId="77777777" w:rsidR="00AC5C0C" w:rsidRPr="00B02BA3" w:rsidRDefault="00AC5C0C" w:rsidP="00922116">
            <w:pPr>
              <w:pStyle w:val="CellRowSpacer"/>
              <w:rPr>
                <w:sz w:val="16"/>
                <w:szCs w:val="16"/>
              </w:rPr>
            </w:pPr>
          </w:p>
        </w:tc>
        <w:tc>
          <w:tcPr>
            <w:tcW w:w="907" w:type="dxa"/>
            <w:vAlign w:val="bottom"/>
          </w:tcPr>
          <w:p w14:paraId="5657DDAE" w14:textId="77777777" w:rsidR="00AC5C0C" w:rsidRPr="00B02BA3" w:rsidRDefault="00AC5C0C" w:rsidP="00922116">
            <w:pPr>
              <w:pStyle w:val="VSmCellBody"/>
              <w:jc w:val="right"/>
              <w:rPr>
                <w:sz w:val="16"/>
                <w:szCs w:val="16"/>
              </w:rPr>
            </w:pPr>
            <w:r w:rsidRPr="00B02BA3">
              <w:rPr>
                <w:sz w:val="16"/>
                <w:szCs w:val="16"/>
              </w:rPr>
              <w:t>2,782</w:t>
            </w:r>
          </w:p>
        </w:tc>
        <w:tc>
          <w:tcPr>
            <w:tcW w:w="236" w:type="dxa"/>
            <w:vAlign w:val="bottom"/>
          </w:tcPr>
          <w:p w14:paraId="03E0505B" w14:textId="77777777" w:rsidR="00AC5C0C" w:rsidRPr="00B02BA3" w:rsidRDefault="00AC5C0C" w:rsidP="00922116">
            <w:pPr>
              <w:pStyle w:val="CellRowSpacer"/>
              <w:rPr>
                <w:sz w:val="16"/>
                <w:szCs w:val="16"/>
              </w:rPr>
            </w:pPr>
          </w:p>
        </w:tc>
        <w:tc>
          <w:tcPr>
            <w:tcW w:w="907" w:type="dxa"/>
            <w:vAlign w:val="bottom"/>
          </w:tcPr>
          <w:p w14:paraId="4F775500" w14:textId="77777777" w:rsidR="00AC5C0C" w:rsidRPr="00B02BA3" w:rsidRDefault="00AC5C0C" w:rsidP="00922116">
            <w:pPr>
              <w:pStyle w:val="VSmCellBody"/>
              <w:jc w:val="right"/>
              <w:rPr>
                <w:sz w:val="16"/>
                <w:szCs w:val="16"/>
              </w:rPr>
            </w:pPr>
            <w:r>
              <w:rPr>
                <w:sz w:val="16"/>
                <w:szCs w:val="16"/>
              </w:rPr>
              <w:t>Container vessel</w:t>
            </w:r>
          </w:p>
        </w:tc>
        <w:tc>
          <w:tcPr>
            <w:tcW w:w="236" w:type="dxa"/>
            <w:vAlign w:val="bottom"/>
          </w:tcPr>
          <w:p w14:paraId="3004C5B4" w14:textId="77777777" w:rsidR="00AC5C0C" w:rsidRPr="00B02BA3" w:rsidRDefault="00AC5C0C" w:rsidP="00922116">
            <w:pPr>
              <w:pStyle w:val="CellRowSpacer"/>
              <w:rPr>
                <w:sz w:val="16"/>
                <w:szCs w:val="16"/>
              </w:rPr>
            </w:pPr>
          </w:p>
        </w:tc>
        <w:tc>
          <w:tcPr>
            <w:tcW w:w="907" w:type="dxa"/>
            <w:vAlign w:val="bottom"/>
          </w:tcPr>
          <w:p w14:paraId="42216906" w14:textId="77777777" w:rsidR="00AC5C0C" w:rsidRPr="00B02BA3" w:rsidRDefault="00AC5C0C" w:rsidP="00922116">
            <w:pPr>
              <w:pStyle w:val="VSmCellBody"/>
              <w:jc w:val="right"/>
              <w:rPr>
                <w:sz w:val="16"/>
                <w:szCs w:val="16"/>
              </w:rPr>
            </w:pPr>
            <w:r w:rsidRPr="00B02BA3">
              <w:rPr>
                <w:sz w:val="16"/>
                <w:szCs w:val="16"/>
              </w:rPr>
              <w:t>2026</w:t>
            </w:r>
          </w:p>
        </w:tc>
        <w:tc>
          <w:tcPr>
            <w:tcW w:w="236" w:type="dxa"/>
            <w:vAlign w:val="bottom"/>
          </w:tcPr>
          <w:p w14:paraId="16C6F4D5" w14:textId="77777777" w:rsidR="00AC5C0C" w:rsidRPr="00B02BA3" w:rsidRDefault="00AC5C0C" w:rsidP="00922116">
            <w:pPr>
              <w:pStyle w:val="CellRowSpacer"/>
              <w:rPr>
                <w:sz w:val="16"/>
                <w:szCs w:val="16"/>
              </w:rPr>
            </w:pPr>
          </w:p>
        </w:tc>
        <w:tc>
          <w:tcPr>
            <w:tcW w:w="907" w:type="dxa"/>
            <w:vAlign w:val="bottom"/>
          </w:tcPr>
          <w:p w14:paraId="69AB4733" w14:textId="77777777" w:rsidR="00AC5C0C" w:rsidRPr="00B02BA3" w:rsidRDefault="00AC5C0C" w:rsidP="00922116">
            <w:pPr>
              <w:pStyle w:val="VSmCellBody"/>
              <w:jc w:val="right"/>
              <w:rPr>
                <w:sz w:val="16"/>
                <w:szCs w:val="16"/>
              </w:rPr>
            </w:pPr>
            <w:r w:rsidRPr="00B02BA3">
              <w:rPr>
                <w:sz w:val="16"/>
                <w:szCs w:val="16"/>
              </w:rPr>
              <w:t>2023</w:t>
            </w:r>
          </w:p>
        </w:tc>
        <w:tc>
          <w:tcPr>
            <w:tcW w:w="236" w:type="dxa"/>
            <w:vAlign w:val="bottom"/>
          </w:tcPr>
          <w:p w14:paraId="6AD755BA" w14:textId="77777777" w:rsidR="00AC5C0C" w:rsidRPr="00B02BA3" w:rsidRDefault="00AC5C0C" w:rsidP="00922116">
            <w:pPr>
              <w:pStyle w:val="CellRowSpacer"/>
              <w:rPr>
                <w:sz w:val="16"/>
                <w:szCs w:val="16"/>
              </w:rPr>
            </w:pPr>
          </w:p>
        </w:tc>
        <w:tc>
          <w:tcPr>
            <w:tcW w:w="907" w:type="dxa"/>
            <w:vAlign w:val="bottom"/>
          </w:tcPr>
          <w:p w14:paraId="6200B77B" w14:textId="77777777" w:rsidR="00AC5C0C" w:rsidRPr="00B02BA3" w:rsidRDefault="00AC5C0C" w:rsidP="00922116">
            <w:pPr>
              <w:pStyle w:val="VSmCellBody"/>
              <w:jc w:val="right"/>
              <w:rPr>
                <w:sz w:val="16"/>
                <w:szCs w:val="16"/>
              </w:rPr>
            </w:pPr>
            <w:r w:rsidRPr="00B02BA3">
              <w:rPr>
                <w:sz w:val="16"/>
                <w:szCs w:val="16"/>
              </w:rPr>
              <w:t>Marshall Islands</w:t>
            </w:r>
          </w:p>
        </w:tc>
        <w:tc>
          <w:tcPr>
            <w:tcW w:w="236" w:type="dxa"/>
            <w:vAlign w:val="bottom"/>
          </w:tcPr>
          <w:p w14:paraId="508BCDB6" w14:textId="77777777" w:rsidR="00AC5C0C" w:rsidRPr="00B02BA3" w:rsidRDefault="00AC5C0C" w:rsidP="00922116">
            <w:pPr>
              <w:pStyle w:val="CellRowSpacer"/>
              <w:rPr>
                <w:sz w:val="16"/>
                <w:szCs w:val="16"/>
              </w:rPr>
            </w:pPr>
          </w:p>
        </w:tc>
      </w:tr>
    </w:tbl>
    <w:p w14:paraId="574D4037" w14:textId="77777777" w:rsidR="00AC5C0C" w:rsidRPr="00334534" w:rsidRDefault="00AC5C0C" w:rsidP="00AC5C0C">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AC5C0C" w14:paraId="73BDEB55" w14:textId="77777777" w:rsidTr="00922116">
        <w:tc>
          <w:tcPr>
            <w:tcW w:w="1424" w:type="dxa"/>
            <w:tcBorders>
              <w:top w:val="single" w:sz="4" w:space="0" w:color="auto"/>
            </w:tcBorders>
            <w:vAlign w:val="bottom"/>
          </w:tcPr>
          <w:p w14:paraId="49A558CB"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ملاحظة:</w:t>
            </w:r>
          </w:p>
        </w:tc>
        <w:tc>
          <w:tcPr>
            <w:tcW w:w="7501" w:type="dxa"/>
            <w:vAlign w:val="bottom"/>
          </w:tcPr>
          <w:p w14:paraId="674C4347" w14:textId="77777777" w:rsidR="00334534" w:rsidRPr="00985281" w:rsidRDefault="00334534" w:rsidP="00334534">
            <w:pPr>
              <w:bidi/>
              <w:jc w:val="both"/>
              <w:rPr>
                <w:rFonts w:ascii="Traditional Arabic" w:hAnsi="Traditional Arabic" w:cs="Traditional Arabic"/>
                <w:sz w:val="24"/>
              </w:rPr>
            </w:pPr>
          </w:p>
        </w:tc>
      </w:tr>
      <w:tr w:rsidR="00334534" w:rsidRPr="00AC5C0C" w14:paraId="30116F04" w14:textId="77777777" w:rsidTr="00922116">
        <w:tc>
          <w:tcPr>
            <w:tcW w:w="8925" w:type="dxa"/>
            <w:gridSpan w:val="2"/>
            <w:vAlign w:val="bottom"/>
          </w:tcPr>
          <w:p w14:paraId="57FA1556" w14:textId="77777777" w:rsidR="00334534" w:rsidRPr="00985281" w:rsidRDefault="00334534" w:rsidP="00922116">
            <w:pPr>
              <w:numPr>
                <w:ilvl w:val="0"/>
                <w:numId w:val="33"/>
              </w:numPr>
              <w:bidi/>
              <w:jc w:val="both"/>
              <w:rPr>
                <w:rFonts w:ascii="Traditional Arabic" w:hAnsi="Traditional Arabic" w:cs="Traditional Arabic"/>
                <w:sz w:val="24"/>
              </w:rPr>
            </w:pPr>
            <w:r w:rsidRPr="00985281">
              <w:rPr>
                <w:rFonts w:ascii="Traditional Arabic" w:hAnsi="Traditional Arabic" w:cs="Traditional Arabic"/>
                <w:sz w:val="24"/>
                <w:rtl/>
              </w:rPr>
              <w:t xml:space="preserve">في حالة السفن المملوكة ملكية تامة أو </w:t>
            </w:r>
            <w:r w:rsidR="00E65E26">
              <w:rPr>
                <w:rFonts w:ascii="Traditional Arabic" w:hAnsi="Traditional Arabic" w:cs="Traditional Arabic" w:hint="cs"/>
                <w:sz w:val="24"/>
                <w:rtl/>
              </w:rPr>
              <w:t>بشكل مشترك</w:t>
            </w:r>
            <w:r w:rsidRPr="00985281">
              <w:rPr>
                <w:rFonts w:ascii="Traditional Arabic" w:hAnsi="Traditional Arabic" w:cs="Traditional Arabic"/>
                <w:sz w:val="24"/>
                <w:rtl/>
              </w:rPr>
              <w:t>، تمثل "الملكية (٪)" النسبة المئوية لملكية الشركة في الشركة المالكة للسفن. في حالة السفن المستأجرة، تمثل "مدة الاستئجار (سنة انتهاء الصلاحية)" سنة انتهاء الصلاحية.</w:t>
            </w:r>
          </w:p>
        </w:tc>
      </w:tr>
    </w:tbl>
    <w:p w14:paraId="27DCC013" w14:textId="77777777" w:rsidR="00AC5C0C" w:rsidRDefault="00AC5C0C" w:rsidP="00334534">
      <w:pPr>
        <w:bidi/>
        <w:jc w:val="both"/>
        <w:rPr>
          <w:rFonts w:ascii="Traditional Arabic" w:hAnsi="Traditional Arabic" w:cs="Traditional Arabic"/>
          <w:sz w:val="30"/>
          <w:szCs w:val="30"/>
          <w:rtl/>
        </w:rPr>
      </w:pPr>
    </w:p>
    <w:p w14:paraId="5AC167A7"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تعمل سفن الحاويات الخاصة بالشركة عادةً على أساس طرق التجارة، أي على طرق بحرية محددة مسبقًا من نقطة إلى نقطة تربط موانئ الحاويات الدولية في دول مجلس التعاون الخليجي والهند والصين والبحر الأحمر وجنوب شرق آسيا، وبالتالي تقدم خدمات نقل الحاويات لمشغلي الخطوط الرئيسية والناقلين غير المشغّلين للسفن ومالكي البضائع المستفيدين ووكلاء الشحن. يجوز للعملاء استخدام الحاويات التي يملكها الشاحن أو يمكنهم استخدام الحاويات التي يملكها الناقل البحري بالشركة. توضح الخرائط التالية مسارات التجارة الحالية للشركة لقطاع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الخطوط الملاحية المنتظمة:</w:t>
      </w:r>
    </w:p>
    <w:p w14:paraId="48B247D6"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drawing>
          <wp:inline distT="0" distB="0" distL="0" distR="0" wp14:anchorId="72A344E3" wp14:editId="7C96BA76">
            <wp:extent cx="5610225" cy="2137690"/>
            <wp:effectExtent l="0" t="0" r="0" b="0"/>
            <wp:docPr id="1630202951" name="Picture 1" descr="A map of the world with blue lin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02951" name="Picture 1" descr="A map of the world with blue lines  Description automatically generated"/>
                    <pic:cNvPicPr/>
                  </pic:nvPicPr>
                  <pic:blipFill>
                    <a:blip r:embed="rId75"/>
                    <a:stretch>
                      <a:fillRect/>
                    </a:stretch>
                  </pic:blipFill>
                  <pic:spPr>
                    <a:xfrm>
                      <a:off x="0" y="0"/>
                      <a:ext cx="5621336" cy="2141924"/>
                    </a:xfrm>
                    <a:prstGeom prst="rect">
                      <a:avLst/>
                    </a:prstGeom>
                  </pic:spPr>
                </pic:pic>
              </a:graphicData>
            </a:graphic>
          </wp:inline>
        </w:drawing>
      </w:r>
      <w:r w:rsidRPr="00334534">
        <w:rPr>
          <w:rFonts w:ascii="Traditional Arabic" w:hAnsi="Traditional Arabic" w:cs="Traditional Arabic"/>
          <w:sz w:val="30"/>
          <w:szCs w:val="30"/>
          <w:rtl/>
        </w:rPr>
        <w:t xml:space="preserve"> </w:t>
      </w:r>
    </w:p>
    <w:p w14:paraId="7A7AB23B" w14:textId="77777777" w:rsidR="00AC5C0C" w:rsidRDefault="00AC5C0C" w:rsidP="00334534">
      <w:pPr>
        <w:bidi/>
        <w:jc w:val="both"/>
        <w:rPr>
          <w:rFonts w:ascii="Traditional Arabic" w:hAnsi="Traditional Arabic" w:cs="Traditional Arabic"/>
          <w:sz w:val="30"/>
          <w:szCs w:val="30"/>
          <w:rtl/>
        </w:rPr>
      </w:pPr>
    </w:p>
    <w:p w14:paraId="50148B4D"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حيث بلغ متوسط عمر السفن في هذا القطاع تسع سنوات حتى 30 سبتمبر 2024. بلغ متوسط المدة المتبقية لعقود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الخطوط الملاحية المنتظمة للشركة 14 شهرًا حتى 30 سبتمبر 2024. وبلغت القيمة الإجمالية لإيرادات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الخطوط الملاحية المنتظمة 15</w:t>
      </w:r>
      <w:r w:rsidR="00567740">
        <w:rPr>
          <w:rFonts w:ascii="Traditional Arabic" w:hAnsi="Traditional Arabic" w:cs="Traditional Arabic" w:hint="cs"/>
          <w:sz w:val="30"/>
          <w:szCs w:val="30"/>
          <w:rtl/>
        </w:rPr>
        <w:t>,0</w:t>
      </w:r>
      <w:r w:rsidRPr="00334534">
        <w:rPr>
          <w:rFonts w:ascii="Traditional Arabic" w:hAnsi="Traditional Arabic" w:cs="Traditional Arabic"/>
          <w:sz w:val="30"/>
          <w:szCs w:val="30"/>
          <w:rtl/>
        </w:rPr>
        <w:t xml:space="preserve"> مليون دولار أمريكي حتى 30 سبتمبر 2023. وشكل 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الخطوط الملاحية المنتظمة ما</w:t>
      </w:r>
      <w:r w:rsidR="00AC5C0C">
        <w:rPr>
          <w:rFonts w:ascii="Traditional Arabic" w:hAnsi="Traditional Arabic" w:cs="Traditional Arabic" w:hint="cs"/>
          <w:sz w:val="30"/>
          <w:szCs w:val="30"/>
          <w:rtl/>
        </w:rPr>
        <w:t xml:space="preserve"> </w:t>
      </w:r>
      <w:r w:rsidRPr="00334534">
        <w:rPr>
          <w:rFonts w:ascii="Traditional Arabic" w:hAnsi="Traditional Arabic" w:cs="Traditional Arabic"/>
          <w:sz w:val="30"/>
          <w:szCs w:val="30"/>
          <w:rtl/>
        </w:rPr>
        <w:t xml:space="preserve">نسبته 5 في المائة من </w:t>
      </w:r>
      <w:r w:rsidR="004F7E25">
        <w:rPr>
          <w:rFonts w:ascii="Traditional Arabic" w:hAnsi="Traditional Arabic" w:cs="Traditional Arabic" w:hint="cs"/>
          <w:sz w:val="30"/>
          <w:szCs w:val="30"/>
          <w:rtl/>
        </w:rPr>
        <w:t>ممتلكات</w:t>
      </w:r>
      <w:r w:rsidR="004F7E25" w:rsidRPr="00334534">
        <w:rPr>
          <w:rFonts w:ascii="Traditional Arabic" w:hAnsi="Traditional Arabic" w:cs="Traditional Arabic"/>
          <w:sz w:val="30"/>
          <w:szCs w:val="30"/>
          <w:rtl/>
        </w:rPr>
        <w:t xml:space="preserve"> الشركة </w:t>
      </w:r>
      <w:r w:rsidR="004F7E25">
        <w:rPr>
          <w:rFonts w:ascii="Traditional Arabic" w:hAnsi="Traditional Arabic" w:cs="Traditional Arabic" w:hint="cs"/>
          <w:sz w:val="30"/>
          <w:szCs w:val="30"/>
          <w:rtl/>
        </w:rPr>
        <w:t xml:space="preserve">وناقلاتها ومعداتها </w:t>
      </w:r>
      <w:r w:rsidRPr="00334534">
        <w:rPr>
          <w:rFonts w:ascii="Traditional Arabic" w:hAnsi="Traditional Arabic" w:cs="Traditional Arabic"/>
          <w:sz w:val="30"/>
          <w:szCs w:val="30"/>
          <w:rtl/>
        </w:rPr>
        <w:t>كما في 31 ديسمبر 2023.</w:t>
      </w:r>
    </w:p>
    <w:p w14:paraId="3F30EB34"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 xml:space="preserve">يوضح الجدول التالي معايير الأداء الرئيسية لقطاع </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الخطوط الملاحية المنتظمة عن السنوات المنتهية في 31 ديسمبر 2021 و 2022 و 2023 والأشهر التسعة المنتهية في 30 سبتمبر 2023 و 2024:</w:t>
      </w:r>
    </w:p>
    <w:p w14:paraId="52BC08C0" w14:textId="77777777" w:rsidR="00334534" w:rsidRDefault="00334534" w:rsidP="00334534">
      <w:pPr>
        <w:bidi/>
        <w:jc w:val="both"/>
        <w:rPr>
          <w:rFonts w:ascii="Traditional Arabic" w:hAnsi="Traditional Arabic" w:cs="Traditional Arabic"/>
          <w:sz w:val="30"/>
          <w:szCs w:val="30"/>
          <w:rtl/>
        </w:rPr>
      </w:pPr>
    </w:p>
    <w:tbl>
      <w:tblPr>
        <w:tblW w:w="9048" w:type="dxa"/>
        <w:tblInd w:w="437" w:type="dxa"/>
        <w:tblLayout w:type="fixed"/>
        <w:tblCellMar>
          <w:left w:w="0" w:type="dxa"/>
          <w:right w:w="0" w:type="dxa"/>
        </w:tblCellMar>
        <w:tblLook w:val="0020" w:firstRow="1" w:lastRow="0" w:firstColumn="0" w:lastColumn="0" w:noHBand="0" w:noVBand="0"/>
      </w:tblPr>
      <w:tblGrid>
        <w:gridCol w:w="3141"/>
        <w:gridCol w:w="235"/>
        <w:gridCol w:w="901"/>
        <w:gridCol w:w="235"/>
        <w:gridCol w:w="900"/>
        <w:gridCol w:w="234"/>
        <w:gridCol w:w="900"/>
        <w:gridCol w:w="234"/>
        <w:gridCol w:w="900"/>
        <w:gridCol w:w="234"/>
        <w:gridCol w:w="900"/>
        <w:gridCol w:w="234"/>
      </w:tblGrid>
      <w:tr w:rsidR="00AC5C0C" w:rsidRPr="00B02BA3" w14:paraId="1E1D7299" w14:textId="77777777" w:rsidTr="00922116">
        <w:trPr>
          <w:tblHeader/>
        </w:trPr>
        <w:tc>
          <w:tcPr>
            <w:tcW w:w="3141" w:type="dxa"/>
            <w:vAlign w:val="bottom"/>
          </w:tcPr>
          <w:p w14:paraId="12A885F2" w14:textId="77777777" w:rsidR="00AC5C0C" w:rsidRPr="00B02BA3" w:rsidRDefault="00AC5C0C" w:rsidP="00922116">
            <w:pPr>
              <w:pStyle w:val="VSmCellHead"/>
              <w:rPr>
                <w:sz w:val="16"/>
                <w:szCs w:val="16"/>
              </w:rPr>
            </w:pPr>
          </w:p>
        </w:tc>
        <w:tc>
          <w:tcPr>
            <w:tcW w:w="235" w:type="dxa"/>
            <w:vAlign w:val="bottom"/>
          </w:tcPr>
          <w:p w14:paraId="6627405F" w14:textId="77777777" w:rsidR="00AC5C0C" w:rsidRPr="00B02BA3" w:rsidRDefault="00AC5C0C" w:rsidP="00922116">
            <w:pPr>
              <w:pStyle w:val="CellRowSpacer"/>
              <w:spacing w:after="120"/>
              <w:rPr>
                <w:sz w:val="16"/>
                <w:szCs w:val="16"/>
              </w:rPr>
            </w:pPr>
          </w:p>
        </w:tc>
        <w:tc>
          <w:tcPr>
            <w:tcW w:w="3170" w:type="dxa"/>
            <w:gridSpan w:val="5"/>
            <w:tcBorders>
              <w:bottom w:val="single" w:sz="4" w:space="0" w:color="auto"/>
            </w:tcBorders>
            <w:vAlign w:val="bottom"/>
          </w:tcPr>
          <w:p w14:paraId="0ADD63D7" w14:textId="77777777" w:rsidR="00AC5C0C" w:rsidRPr="00B02BA3" w:rsidRDefault="00AC5C0C" w:rsidP="00922116">
            <w:pPr>
              <w:pStyle w:val="VSmCellHead"/>
              <w:jc w:val="center"/>
              <w:rPr>
                <w:sz w:val="16"/>
                <w:szCs w:val="16"/>
              </w:rPr>
            </w:pPr>
            <w:r w:rsidRPr="00B02BA3">
              <w:rPr>
                <w:sz w:val="16"/>
                <w:szCs w:val="16"/>
              </w:rPr>
              <w:t>As at and for the year ended 31 December</w:t>
            </w:r>
          </w:p>
        </w:tc>
        <w:tc>
          <w:tcPr>
            <w:tcW w:w="234" w:type="dxa"/>
          </w:tcPr>
          <w:p w14:paraId="6A4BF516" w14:textId="77777777" w:rsidR="00AC5C0C" w:rsidRPr="00B02BA3" w:rsidRDefault="00AC5C0C" w:rsidP="00922116">
            <w:pPr>
              <w:pStyle w:val="CellRowSpacer"/>
              <w:spacing w:after="120"/>
              <w:rPr>
                <w:sz w:val="16"/>
                <w:szCs w:val="16"/>
              </w:rPr>
            </w:pPr>
          </w:p>
        </w:tc>
        <w:tc>
          <w:tcPr>
            <w:tcW w:w="2034" w:type="dxa"/>
            <w:gridSpan w:val="3"/>
            <w:tcBorders>
              <w:bottom w:val="single" w:sz="4" w:space="0" w:color="auto"/>
            </w:tcBorders>
            <w:vAlign w:val="bottom"/>
          </w:tcPr>
          <w:p w14:paraId="7F063FDB" w14:textId="77777777" w:rsidR="00AC5C0C" w:rsidRPr="00B02BA3" w:rsidRDefault="00AC5C0C" w:rsidP="00922116">
            <w:pPr>
              <w:pStyle w:val="VSmCellHead"/>
              <w:jc w:val="center"/>
              <w:rPr>
                <w:sz w:val="16"/>
                <w:szCs w:val="16"/>
              </w:rPr>
            </w:pPr>
            <w:r w:rsidRPr="00B02BA3">
              <w:rPr>
                <w:sz w:val="16"/>
                <w:szCs w:val="16"/>
              </w:rPr>
              <w:t>As at and for the nine months ended 30 September</w:t>
            </w:r>
          </w:p>
        </w:tc>
        <w:tc>
          <w:tcPr>
            <w:tcW w:w="234" w:type="dxa"/>
            <w:vAlign w:val="bottom"/>
          </w:tcPr>
          <w:p w14:paraId="2DCC9FDB" w14:textId="77777777" w:rsidR="00AC5C0C" w:rsidRPr="00B02BA3" w:rsidRDefault="00AC5C0C" w:rsidP="00922116">
            <w:pPr>
              <w:pStyle w:val="CellRowSpacer"/>
              <w:spacing w:after="120"/>
              <w:rPr>
                <w:sz w:val="16"/>
                <w:szCs w:val="16"/>
              </w:rPr>
            </w:pPr>
          </w:p>
        </w:tc>
      </w:tr>
      <w:tr w:rsidR="00AC5C0C" w:rsidRPr="00B02BA3" w14:paraId="4AA8F39C" w14:textId="77777777" w:rsidTr="00922116">
        <w:trPr>
          <w:tblHeader/>
        </w:trPr>
        <w:tc>
          <w:tcPr>
            <w:tcW w:w="3141" w:type="dxa"/>
            <w:vAlign w:val="bottom"/>
          </w:tcPr>
          <w:p w14:paraId="6AC2097B" w14:textId="77777777" w:rsidR="00AC5C0C" w:rsidRPr="00B02BA3" w:rsidRDefault="00AC5C0C" w:rsidP="00922116">
            <w:pPr>
              <w:pStyle w:val="VSmCellHead"/>
              <w:rPr>
                <w:sz w:val="16"/>
                <w:szCs w:val="16"/>
              </w:rPr>
            </w:pPr>
          </w:p>
        </w:tc>
        <w:tc>
          <w:tcPr>
            <w:tcW w:w="235" w:type="dxa"/>
            <w:vAlign w:val="bottom"/>
          </w:tcPr>
          <w:p w14:paraId="30F2B2D7" w14:textId="77777777" w:rsidR="00AC5C0C" w:rsidRPr="00B02BA3" w:rsidRDefault="00AC5C0C" w:rsidP="00922116">
            <w:pPr>
              <w:pStyle w:val="CellRowSpacer"/>
              <w:spacing w:after="120"/>
              <w:rPr>
                <w:sz w:val="16"/>
                <w:szCs w:val="16"/>
              </w:rPr>
            </w:pPr>
          </w:p>
        </w:tc>
        <w:tc>
          <w:tcPr>
            <w:tcW w:w="901" w:type="dxa"/>
            <w:tcBorders>
              <w:top w:val="single" w:sz="4" w:space="0" w:color="auto"/>
              <w:bottom w:val="single" w:sz="4" w:space="0" w:color="auto"/>
            </w:tcBorders>
            <w:vAlign w:val="bottom"/>
          </w:tcPr>
          <w:p w14:paraId="69C39EF2" w14:textId="77777777" w:rsidR="00AC5C0C" w:rsidRPr="00B02BA3" w:rsidRDefault="00AC5C0C" w:rsidP="00922116">
            <w:pPr>
              <w:pStyle w:val="VSmCellHead"/>
              <w:jc w:val="right"/>
              <w:rPr>
                <w:sz w:val="16"/>
                <w:szCs w:val="16"/>
              </w:rPr>
            </w:pPr>
            <w:r w:rsidRPr="00B02BA3">
              <w:rPr>
                <w:sz w:val="16"/>
                <w:szCs w:val="16"/>
              </w:rPr>
              <w:t>2021</w:t>
            </w:r>
          </w:p>
        </w:tc>
        <w:tc>
          <w:tcPr>
            <w:tcW w:w="235" w:type="dxa"/>
            <w:tcBorders>
              <w:top w:val="single" w:sz="4" w:space="0" w:color="auto"/>
            </w:tcBorders>
          </w:tcPr>
          <w:p w14:paraId="10B596A3"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2160B432" w14:textId="77777777" w:rsidR="00AC5C0C" w:rsidRPr="00B02BA3" w:rsidRDefault="00AC5C0C" w:rsidP="00922116">
            <w:pPr>
              <w:pStyle w:val="VSmCellHead"/>
              <w:jc w:val="right"/>
              <w:rPr>
                <w:sz w:val="16"/>
                <w:szCs w:val="16"/>
              </w:rPr>
            </w:pPr>
            <w:r w:rsidRPr="00B02BA3">
              <w:rPr>
                <w:sz w:val="16"/>
                <w:szCs w:val="16"/>
              </w:rPr>
              <w:t>2022</w:t>
            </w:r>
          </w:p>
        </w:tc>
        <w:tc>
          <w:tcPr>
            <w:tcW w:w="234" w:type="dxa"/>
            <w:tcBorders>
              <w:top w:val="single" w:sz="4" w:space="0" w:color="auto"/>
            </w:tcBorders>
          </w:tcPr>
          <w:p w14:paraId="15EDB8DC"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5BD98977" w14:textId="77777777" w:rsidR="00AC5C0C" w:rsidRPr="00B02BA3" w:rsidRDefault="00AC5C0C" w:rsidP="00922116">
            <w:pPr>
              <w:pStyle w:val="VSmCellHead"/>
              <w:jc w:val="right"/>
              <w:rPr>
                <w:sz w:val="16"/>
                <w:szCs w:val="16"/>
              </w:rPr>
            </w:pPr>
            <w:r w:rsidRPr="00B02BA3">
              <w:rPr>
                <w:sz w:val="16"/>
                <w:szCs w:val="16"/>
              </w:rPr>
              <w:t>2023</w:t>
            </w:r>
          </w:p>
        </w:tc>
        <w:tc>
          <w:tcPr>
            <w:tcW w:w="234" w:type="dxa"/>
          </w:tcPr>
          <w:p w14:paraId="437B8740"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7500871A" w14:textId="77777777" w:rsidR="00AC5C0C" w:rsidRPr="00B02BA3" w:rsidRDefault="00AC5C0C" w:rsidP="00922116">
            <w:pPr>
              <w:pStyle w:val="VSmCellHead"/>
              <w:jc w:val="right"/>
              <w:rPr>
                <w:sz w:val="16"/>
                <w:szCs w:val="16"/>
              </w:rPr>
            </w:pPr>
            <w:r w:rsidRPr="00B02BA3">
              <w:rPr>
                <w:sz w:val="16"/>
                <w:szCs w:val="16"/>
              </w:rPr>
              <w:t>2023</w:t>
            </w:r>
          </w:p>
        </w:tc>
        <w:tc>
          <w:tcPr>
            <w:tcW w:w="234" w:type="dxa"/>
            <w:tcBorders>
              <w:top w:val="single" w:sz="4" w:space="0" w:color="auto"/>
            </w:tcBorders>
          </w:tcPr>
          <w:p w14:paraId="304BDD05" w14:textId="77777777" w:rsidR="00AC5C0C" w:rsidRPr="00B02BA3" w:rsidRDefault="00AC5C0C" w:rsidP="00922116">
            <w:pPr>
              <w:pStyle w:val="CellRowSpacer"/>
              <w:spacing w:after="120"/>
              <w:rPr>
                <w:sz w:val="16"/>
                <w:szCs w:val="16"/>
              </w:rPr>
            </w:pPr>
          </w:p>
        </w:tc>
        <w:tc>
          <w:tcPr>
            <w:tcW w:w="900" w:type="dxa"/>
            <w:tcBorders>
              <w:top w:val="single" w:sz="4" w:space="0" w:color="auto"/>
              <w:bottom w:val="single" w:sz="4" w:space="0" w:color="auto"/>
            </w:tcBorders>
            <w:vAlign w:val="bottom"/>
          </w:tcPr>
          <w:p w14:paraId="696AC3EF" w14:textId="77777777" w:rsidR="00AC5C0C" w:rsidRPr="00B02BA3" w:rsidRDefault="00AC5C0C" w:rsidP="00922116">
            <w:pPr>
              <w:pStyle w:val="VSmCellHead"/>
              <w:jc w:val="right"/>
              <w:rPr>
                <w:sz w:val="16"/>
                <w:szCs w:val="16"/>
              </w:rPr>
            </w:pPr>
            <w:r w:rsidRPr="00B02BA3">
              <w:rPr>
                <w:sz w:val="16"/>
                <w:szCs w:val="16"/>
              </w:rPr>
              <w:t>2024</w:t>
            </w:r>
          </w:p>
        </w:tc>
        <w:tc>
          <w:tcPr>
            <w:tcW w:w="234" w:type="dxa"/>
            <w:vAlign w:val="bottom"/>
          </w:tcPr>
          <w:p w14:paraId="3FEB8DBA" w14:textId="77777777" w:rsidR="00AC5C0C" w:rsidRPr="00B02BA3" w:rsidRDefault="00AC5C0C" w:rsidP="00922116">
            <w:pPr>
              <w:pStyle w:val="CellRowSpacer"/>
              <w:spacing w:after="120"/>
              <w:rPr>
                <w:sz w:val="16"/>
                <w:szCs w:val="16"/>
              </w:rPr>
            </w:pPr>
          </w:p>
        </w:tc>
      </w:tr>
      <w:tr w:rsidR="00AC5C0C" w:rsidRPr="00B02BA3" w14:paraId="42572BBF" w14:textId="77777777" w:rsidTr="00922116">
        <w:tc>
          <w:tcPr>
            <w:tcW w:w="3141" w:type="dxa"/>
          </w:tcPr>
          <w:p w14:paraId="4E9675BF" w14:textId="77777777" w:rsidR="00AC5C0C" w:rsidRPr="00B02BA3" w:rsidRDefault="00AC5C0C" w:rsidP="00922116">
            <w:pPr>
              <w:pStyle w:val="CellBodyIndent1"/>
              <w:tabs>
                <w:tab w:val="right" w:leader="dot" w:pos="3168"/>
              </w:tabs>
              <w:ind w:left="0"/>
              <w:rPr>
                <w:sz w:val="16"/>
                <w:szCs w:val="16"/>
              </w:rPr>
            </w:pPr>
            <w:r w:rsidRPr="00B02BA3">
              <w:rPr>
                <w:rFonts w:eastAsia="SimSun"/>
                <w:sz w:val="16"/>
                <w:szCs w:val="16"/>
              </w:rPr>
              <w:t>Number of vessels</w:t>
            </w:r>
            <w:r w:rsidRPr="00B02BA3">
              <w:rPr>
                <w:rFonts w:eastAsia="SimSun"/>
                <w:sz w:val="16"/>
                <w:szCs w:val="16"/>
                <w:vertAlign w:val="superscript"/>
              </w:rPr>
              <w:t>(1)</w:t>
            </w:r>
            <w:r w:rsidRPr="00B02BA3">
              <w:rPr>
                <w:rFonts w:eastAsia="SimSun"/>
                <w:sz w:val="16"/>
                <w:szCs w:val="16"/>
              </w:rPr>
              <w:tab/>
            </w:r>
          </w:p>
        </w:tc>
        <w:tc>
          <w:tcPr>
            <w:tcW w:w="235" w:type="dxa"/>
          </w:tcPr>
          <w:p w14:paraId="7D300490" w14:textId="77777777" w:rsidR="00AC5C0C" w:rsidRPr="00B02BA3" w:rsidRDefault="00AC5C0C" w:rsidP="00922116">
            <w:pPr>
              <w:pStyle w:val="CellRowSpacer"/>
              <w:rPr>
                <w:sz w:val="16"/>
                <w:szCs w:val="16"/>
              </w:rPr>
            </w:pPr>
          </w:p>
        </w:tc>
        <w:tc>
          <w:tcPr>
            <w:tcW w:w="901" w:type="dxa"/>
            <w:vAlign w:val="bottom"/>
          </w:tcPr>
          <w:p w14:paraId="362C02E5" w14:textId="77777777" w:rsidR="00AC5C0C" w:rsidRPr="00B02BA3" w:rsidRDefault="00AC5C0C" w:rsidP="00922116">
            <w:pPr>
              <w:pStyle w:val="VSmCellBody"/>
              <w:jc w:val="right"/>
              <w:rPr>
                <w:sz w:val="16"/>
                <w:szCs w:val="16"/>
              </w:rPr>
            </w:pPr>
            <w:r w:rsidRPr="00B02BA3">
              <w:rPr>
                <w:color w:val="000000"/>
                <w:kern w:val="0"/>
                <w:sz w:val="16"/>
                <w:szCs w:val="16"/>
              </w:rPr>
              <w:t>4</w:t>
            </w:r>
          </w:p>
        </w:tc>
        <w:tc>
          <w:tcPr>
            <w:tcW w:w="235" w:type="dxa"/>
          </w:tcPr>
          <w:p w14:paraId="5177EB53" w14:textId="77777777" w:rsidR="00AC5C0C" w:rsidRPr="00B02BA3" w:rsidRDefault="00AC5C0C" w:rsidP="00922116">
            <w:pPr>
              <w:pStyle w:val="CellRowSpacer"/>
              <w:rPr>
                <w:sz w:val="16"/>
                <w:szCs w:val="16"/>
              </w:rPr>
            </w:pPr>
          </w:p>
        </w:tc>
        <w:tc>
          <w:tcPr>
            <w:tcW w:w="900" w:type="dxa"/>
            <w:vAlign w:val="bottom"/>
          </w:tcPr>
          <w:p w14:paraId="008BAAB8" w14:textId="77777777" w:rsidR="00AC5C0C" w:rsidRPr="00B02BA3" w:rsidRDefault="00AC5C0C" w:rsidP="00922116">
            <w:pPr>
              <w:pStyle w:val="VSmCellBody"/>
              <w:jc w:val="right"/>
              <w:rPr>
                <w:sz w:val="16"/>
                <w:szCs w:val="16"/>
              </w:rPr>
            </w:pPr>
            <w:r w:rsidRPr="00B02BA3">
              <w:rPr>
                <w:color w:val="000000"/>
                <w:kern w:val="0"/>
                <w:sz w:val="16"/>
                <w:szCs w:val="16"/>
              </w:rPr>
              <w:t>5</w:t>
            </w:r>
          </w:p>
        </w:tc>
        <w:tc>
          <w:tcPr>
            <w:tcW w:w="234" w:type="dxa"/>
            <w:vAlign w:val="bottom"/>
          </w:tcPr>
          <w:p w14:paraId="092106F9" w14:textId="77777777" w:rsidR="00AC5C0C" w:rsidRPr="00B02BA3" w:rsidRDefault="00AC5C0C" w:rsidP="00922116">
            <w:pPr>
              <w:pStyle w:val="CellRowSpacer"/>
              <w:rPr>
                <w:sz w:val="16"/>
                <w:szCs w:val="16"/>
              </w:rPr>
            </w:pPr>
          </w:p>
        </w:tc>
        <w:tc>
          <w:tcPr>
            <w:tcW w:w="900" w:type="dxa"/>
            <w:vAlign w:val="bottom"/>
          </w:tcPr>
          <w:p w14:paraId="531545CA" w14:textId="77777777" w:rsidR="00AC5C0C" w:rsidRPr="00B02BA3" w:rsidRDefault="00AC5C0C" w:rsidP="00922116">
            <w:pPr>
              <w:pStyle w:val="VSmCellBody"/>
              <w:jc w:val="right"/>
              <w:rPr>
                <w:sz w:val="16"/>
                <w:szCs w:val="16"/>
              </w:rPr>
            </w:pPr>
            <w:r w:rsidRPr="00B02BA3">
              <w:rPr>
                <w:color w:val="000000"/>
                <w:kern w:val="0"/>
                <w:sz w:val="16"/>
                <w:szCs w:val="16"/>
              </w:rPr>
              <w:t>9</w:t>
            </w:r>
          </w:p>
        </w:tc>
        <w:tc>
          <w:tcPr>
            <w:tcW w:w="234" w:type="dxa"/>
          </w:tcPr>
          <w:p w14:paraId="722338B9" w14:textId="77777777" w:rsidR="00AC5C0C" w:rsidRPr="00B02BA3" w:rsidRDefault="00AC5C0C" w:rsidP="00922116">
            <w:pPr>
              <w:pStyle w:val="CellRowSpacer"/>
              <w:rPr>
                <w:sz w:val="16"/>
                <w:szCs w:val="16"/>
              </w:rPr>
            </w:pPr>
          </w:p>
        </w:tc>
        <w:tc>
          <w:tcPr>
            <w:tcW w:w="900" w:type="dxa"/>
            <w:vAlign w:val="bottom"/>
          </w:tcPr>
          <w:p w14:paraId="4C440DBD" w14:textId="77777777" w:rsidR="00AC5C0C" w:rsidRPr="00B02BA3" w:rsidRDefault="00AC5C0C" w:rsidP="00922116">
            <w:pPr>
              <w:pStyle w:val="VSmCellBody"/>
              <w:jc w:val="right"/>
              <w:rPr>
                <w:sz w:val="16"/>
                <w:szCs w:val="16"/>
              </w:rPr>
            </w:pPr>
            <w:r w:rsidRPr="00B02BA3">
              <w:rPr>
                <w:color w:val="000000"/>
                <w:kern w:val="0"/>
                <w:sz w:val="16"/>
                <w:szCs w:val="16"/>
              </w:rPr>
              <w:t>9</w:t>
            </w:r>
          </w:p>
        </w:tc>
        <w:tc>
          <w:tcPr>
            <w:tcW w:w="234" w:type="dxa"/>
          </w:tcPr>
          <w:p w14:paraId="69CFE14D" w14:textId="77777777" w:rsidR="00AC5C0C" w:rsidRPr="00B02BA3" w:rsidRDefault="00AC5C0C" w:rsidP="00922116">
            <w:pPr>
              <w:pStyle w:val="CellRowSpacer"/>
              <w:rPr>
                <w:sz w:val="16"/>
                <w:szCs w:val="16"/>
              </w:rPr>
            </w:pPr>
          </w:p>
        </w:tc>
        <w:tc>
          <w:tcPr>
            <w:tcW w:w="900" w:type="dxa"/>
            <w:vAlign w:val="bottom"/>
          </w:tcPr>
          <w:p w14:paraId="67033869" w14:textId="77777777" w:rsidR="00AC5C0C" w:rsidRPr="00B02BA3" w:rsidRDefault="00AC5C0C" w:rsidP="00922116">
            <w:pPr>
              <w:pStyle w:val="VSmCellBody"/>
              <w:jc w:val="right"/>
              <w:rPr>
                <w:sz w:val="16"/>
                <w:szCs w:val="16"/>
              </w:rPr>
            </w:pPr>
            <w:r w:rsidRPr="00B02BA3">
              <w:rPr>
                <w:color w:val="000000"/>
                <w:kern w:val="0"/>
                <w:sz w:val="16"/>
                <w:szCs w:val="16"/>
              </w:rPr>
              <w:t>5</w:t>
            </w:r>
          </w:p>
        </w:tc>
        <w:tc>
          <w:tcPr>
            <w:tcW w:w="234" w:type="dxa"/>
            <w:vAlign w:val="bottom"/>
          </w:tcPr>
          <w:p w14:paraId="01981480" w14:textId="77777777" w:rsidR="00AC5C0C" w:rsidRPr="00B02BA3" w:rsidRDefault="00AC5C0C" w:rsidP="00922116">
            <w:pPr>
              <w:pStyle w:val="CellRowSpacer"/>
              <w:rPr>
                <w:sz w:val="16"/>
                <w:szCs w:val="16"/>
              </w:rPr>
            </w:pPr>
          </w:p>
        </w:tc>
      </w:tr>
      <w:tr w:rsidR="00AC5C0C" w:rsidRPr="00B02BA3" w14:paraId="5D31EC82" w14:textId="77777777" w:rsidTr="00922116">
        <w:tc>
          <w:tcPr>
            <w:tcW w:w="3141" w:type="dxa"/>
          </w:tcPr>
          <w:p w14:paraId="25360F8A" w14:textId="77777777" w:rsidR="00AC5C0C" w:rsidRPr="00B02BA3" w:rsidRDefault="00AC5C0C" w:rsidP="00922116">
            <w:pPr>
              <w:pStyle w:val="CellBodyIndent1"/>
              <w:tabs>
                <w:tab w:val="right" w:leader="dot" w:pos="3168"/>
              </w:tabs>
              <w:ind w:left="0"/>
              <w:rPr>
                <w:rFonts w:eastAsia="SimSun"/>
                <w:sz w:val="16"/>
                <w:szCs w:val="16"/>
              </w:rPr>
            </w:pPr>
            <w:r w:rsidRPr="00B02BA3">
              <w:rPr>
                <w:rFonts w:eastAsia="SimSun"/>
                <w:sz w:val="16"/>
                <w:szCs w:val="16"/>
              </w:rPr>
              <w:t>Fleet utilisation rate</w:t>
            </w:r>
            <w:r w:rsidRPr="00B02BA3">
              <w:rPr>
                <w:rFonts w:eastAsia="SimSun"/>
                <w:sz w:val="16"/>
                <w:szCs w:val="16"/>
                <w:vertAlign w:val="superscript"/>
              </w:rPr>
              <w:t>(2)</w:t>
            </w:r>
            <w:r w:rsidRPr="00B02BA3">
              <w:rPr>
                <w:rFonts w:eastAsia="SimSun"/>
                <w:sz w:val="16"/>
                <w:szCs w:val="16"/>
              </w:rPr>
              <w:t xml:space="preserve"> (</w:t>
            </w:r>
            <w:r w:rsidRPr="00B02BA3">
              <w:rPr>
                <w:rFonts w:eastAsia="SimSun"/>
                <w:i/>
                <w:iCs/>
                <w:sz w:val="16"/>
                <w:szCs w:val="16"/>
              </w:rPr>
              <w:t>%</w:t>
            </w:r>
            <w:r w:rsidRPr="00B02BA3">
              <w:rPr>
                <w:rFonts w:eastAsia="SimSun"/>
                <w:sz w:val="16"/>
                <w:szCs w:val="16"/>
              </w:rPr>
              <w:t>)</w:t>
            </w:r>
            <w:r w:rsidRPr="00B02BA3">
              <w:rPr>
                <w:rFonts w:eastAsia="SimSun"/>
                <w:sz w:val="16"/>
                <w:szCs w:val="16"/>
              </w:rPr>
              <w:tab/>
            </w:r>
          </w:p>
        </w:tc>
        <w:tc>
          <w:tcPr>
            <w:tcW w:w="235" w:type="dxa"/>
          </w:tcPr>
          <w:p w14:paraId="25FED536" w14:textId="77777777" w:rsidR="00AC5C0C" w:rsidRPr="00B02BA3" w:rsidRDefault="00AC5C0C" w:rsidP="00922116">
            <w:pPr>
              <w:pStyle w:val="CellRowSpacer"/>
              <w:rPr>
                <w:sz w:val="16"/>
                <w:szCs w:val="16"/>
              </w:rPr>
            </w:pPr>
          </w:p>
        </w:tc>
        <w:tc>
          <w:tcPr>
            <w:tcW w:w="901" w:type="dxa"/>
            <w:vAlign w:val="bottom"/>
          </w:tcPr>
          <w:p w14:paraId="3C46354F"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100.0</w:t>
            </w:r>
          </w:p>
        </w:tc>
        <w:tc>
          <w:tcPr>
            <w:tcW w:w="235" w:type="dxa"/>
          </w:tcPr>
          <w:p w14:paraId="6C77F67B" w14:textId="77777777" w:rsidR="00AC5C0C" w:rsidRPr="00B02BA3" w:rsidRDefault="00AC5C0C" w:rsidP="00922116">
            <w:pPr>
              <w:pStyle w:val="CellRowSpacer"/>
              <w:rPr>
                <w:sz w:val="16"/>
                <w:szCs w:val="16"/>
              </w:rPr>
            </w:pPr>
          </w:p>
        </w:tc>
        <w:tc>
          <w:tcPr>
            <w:tcW w:w="900" w:type="dxa"/>
            <w:vAlign w:val="bottom"/>
          </w:tcPr>
          <w:p w14:paraId="5137C445"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100.0</w:t>
            </w:r>
          </w:p>
        </w:tc>
        <w:tc>
          <w:tcPr>
            <w:tcW w:w="234" w:type="dxa"/>
            <w:vAlign w:val="bottom"/>
          </w:tcPr>
          <w:p w14:paraId="63716102" w14:textId="77777777" w:rsidR="00AC5C0C" w:rsidRPr="00B02BA3" w:rsidRDefault="00AC5C0C" w:rsidP="00922116">
            <w:pPr>
              <w:pStyle w:val="CellRowSpacer"/>
              <w:rPr>
                <w:sz w:val="16"/>
                <w:szCs w:val="16"/>
              </w:rPr>
            </w:pPr>
          </w:p>
        </w:tc>
        <w:tc>
          <w:tcPr>
            <w:tcW w:w="900" w:type="dxa"/>
            <w:vAlign w:val="bottom"/>
          </w:tcPr>
          <w:p w14:paraId="0FA370AE"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91.0</w:t>
            </w:r>
          </w:p>
        </w:tc>
        <w:tc>
          <w:tcPr>
            <w:tcW w:w="234" w:type="dxa"/>
          </w:tcPr>
          <w:p w14:paraId="0C268CB8" w14:textId="77777777" w:rsidR="00AC5C0C" w:rsidRPr="00B02BA3" w:rsidRDefault="00AC5C0C" w:rsidP="00922116">
            <w:pPr>
              <w:pStyle w:val="CellRowSpacer"/>
              <w:rPr>
                <w:sz w:val="16"/>
                <w:szCs w:val="16"/>
              </w:rPr>
            </w:pPr>
          </w:p>
        </w:tc>
        <w:tc>
          <w:tcPr>
            <w:tcW w:w="900" w:type="dxa"/>
            <w:vAlign w:val="bottom"/>
          </w:tcPr>
          <w:p w14:paraId="3DF12997"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85.0</w:t>
            </w:r>
          </w:p>
        </w:tc>
        <w:tc>
          <w:tcPr>
            <w:tcW w:w="234" w:type="dxa"/>
          </w:tcPr>
          <w:p w14:paraId="67D548EA" w14:textId="77777777" w:rsidR="00AC5C0C" w:rsidRPr="00B02BA3" w:rsidRDefault="00AC5C0C" w:rsidP="00922116">
            <w:pPr>
              <w:pStyle w:val="CellRowSpacer"/>
              <w:rPr>
                <w:sz w:val="16"/>
                <w:szCs w:val="16"/>
              </w:rPr>
            </w:pPr>
          </w:p>
        </w:tc>
        <w:tc>
          <w:tcPr>
            <w:tcW w:w="900" w:type="dxa"/>
            <w:vAlign w:val="bottom"/>
          </w:tcPr>
          <w:p w14:paraId="7C5B28A6" w14:textId="77777777" w:rsidR="00AC5C0C" w:rsidRPr="00B02BA3" w:rsidDel="009133D0" w:rsidRDefault="00AC5C0C" w:rsidP="00922116">
            <w:pPr>
              <w:pStyle w:val="VSmCellBody"/>
              <w:jc w:val="right"/>
              <w:rPr>
                <w:color w:val="000000"/>
                <w:kern w:val="0"/>
                <w:sz w:val="16"/>
                <w:szCs w:val="16"/>
              </w:rPr>
            </w:pPr>
            <w:r w:rsidRPr="00B02BA3">
              <w:rPr>
                <w:color w:val="000000"/>
                <w:kern w:val="0"/>
                <w:sz w:val="16"/>
                <w:szCs w:val="16"/>
              </w:rPr>
              <w:t>100.0</w:t>
            </w:r>
          </w:p>
        </w:tc>
        <w:tc>
          <w:tcPr>
            <w:tcW w:w="234" w:type="dxa"/>
            <w:vAlign w:val="bottom"/>
          </w:tcPr>
          <w:p w14:paraId="50335ADF" w14:textId="77777777" w:rsidR="00AC5C0C" w:rsidRPr="00B02BA3" w:rsidRDefault="00AC5C0C" w:rsidP="00922116">
            <w:pPr>
              <w:pStyle w:val="CellRowSpacer"/>
              <w:rPr>
                <w:sz w:val="16"/>
                <w:szCs w:val="16"/>
              </w:rPr>
            </w:pPr>
          </w:p>
        </w:tc>
      </w:tr>
      <w:tr w:rsidR="00AC5C0C" w:rsidRPr="00B02BA3" w14:paraId="608EE3CE" w14:textId="77777777" w:rsidTr="00922116">
        <w:tc>
          <w:tcPr>
            <w:tcW w:w="3141" w:type="dxa"/>
          </w:tcPr>
          <w:p w14:paraId="5F4B2CB6" w14:textId="77777777" w:rsidR="00AC5C0C" w:rsidRPr="00B02BA3" w:rsidRDefault="00AC5C0C" w:rsidP="00922116">
            <w:pPr>
              <w:pStyle w:val="CellBodyIndent1"/>
              <w:tabs>
                <w:tab w:val="right" w:leader="dot" w:pos="3168"/>
              </w:tabs>
              <w:ind w:left="0"/>
              <w:rPr>
                <w:rFonts w:eastAsia="SimSun"/>
                <w:sz w:val="16"/>
                <w:szCs w:val="16"/>
              </w:rPr>
            </w:pPr>
            <w:r>
              <w:rPr>
                <w:rFonts w:eastAsia="SimSun"/>
                <w:sz w:val="16"/>
                <w:szCs w:val="16"/>
              </w:rPr>
              <w:t>TCE</w:t>
            </w:r>
            <w:r w:rsidRPr="00B02BA3">
              <w:rPr>
                <w:rFonts w:eastAsia="SimSun"/>
                <w:sz w:val="16"/>
                <w:szCs w:val="16"/>
              </w:rPr>
              <w:t xml:space="preserve"> revenue</w:t>
            </w:r>
            <w:r w:rsidRPr="00B02BA3">
              <w:rPr>
                <w:rFonts w:eastAsia="SimSun"/>
                <w:sz w:val="16"/>
                <w:szCs w:val="16"/>
                <w:vertAlign w:val="superscript"/>
              </w:rPr>
              <w:t xml:space="preserve">(3) </w:t>
            </w:r>
            <w:r w:rsidRPr="00B02BA3">
              <w:rPr>
                <w:rFonts w:eastAsia="SimSun"/>
                <w:sz w:val="16"/>
                <w:szCs w:val="16"/>
              </w:rPr>
              <w:t>(</w:t>
            </w:r>
            <w:r w:rsidRPr="00B02BA3">
              <w:rPr>
                <w:rFonts w:eastAsia="SimSun"/>
                <w:i/>
                <w:iCs/>
                <w:sz w:val="16"/>
                <w:szCs w:val="16"/>
              </w:rPr>
              <w:t>U.S.$ millions</w:t>
            </w:r>
            <w:r w:rsidRPr="00B02BA3">
              <w:rPr>
                <w:rFonts w:eastAsia="SimSun"/>
                <w:sz w:val="16"/>
                <w:szCs w:val="16"/>
              </w:rPr>
              <w:t>)</w:t>
            </w:r>
            <w:r w:rsidRPr="00B02BA3">
              <w:rPr>
                <w:rFonts w:eastAsia="SimSun"/>
                <w:sz w:val="16"/>
                <w:szCs w:val="16"/>
              </w:rPr>
              <w:tab/>
            </w:r>
          </w:p>
        </w:tc>
        <w:tc>
          <w:tcPr>
            <w:tcW w:w="235" w:type="dxa"/>
          </w:tcPr>
          <w:p w14:paraId="61FF3B20" w14:textId="77777777" w:rsidR="00AC5C0C" w:rsidRPr="00B02BA3" w:rsidRDefault="00AC5C0C" w:rsidP="00922116">
            <w:pPr>
              <w:pStyle w:val="CellRowSpacer"/>
              <w:rPr>
                <w:sz w:val="16"/>
                <w:szCs w:val="16"/>
              </w:rPr>
            </w:pPr>
          </w:p>
        </w:tc>
        <w:tc>
          <w:tcPr>
            <w:tcW w:w="901" w:type="dxa"/>
            <w:vAlign w:val="bottom"/>
          </w:tcPr>
          <w:p w14:paraId="178C21E1" w14:textId="77777777" w:rsidR="00AC5C0C" w:rsidRPr="00B02BA3" w:rsidRDefault="000710EB" w:rsidP="00922116">
            <w:pPr>
              <w:pStyle w:val="VSmCellBody"/>
              <w:jc w:val="right"/>
              <w:rPr>
                <w:color w:val="000000"/>
                <w:kern w:val="0"/>
                <w:sz w:val="16"/>
                <w:szCs w:val="16"/>
              </w:rPr>
            </w:pPr>
            <w:r>
              <w:rPr>
                <w:color w:val="000000"/>
                <w:kern w:val="0"/>
                <w:sz w:val="16"/>
                <w:szCs w:val="16"/>
              </w:rPr>
              <w:t>55.3</w:t>
            </w:r>
          </w:p>
        </w:tc>
        <w:tc>
          <w:tcPr>
            <w:tcW w:w="235" w:type="dxa"/>
          </w:tcPr>
          <w:p w14:paraId="75FC73C0" w14:textId="77777777" w:rsidR="00AC5C0C" w:rsidRPr="00B02BA3" w:rsidRDefault="00AC5C0C" w:rsidP="00922116">
            <w:pPr>
              <w:pStyle w:val="CellRowSpacer"/>
              <w:rPr>
                <w:sz w:val="16"/>
                <w:szCs w:val="16"/>
              </w:rPr>
            </w:pPr>
          </w:p>
        </w:tc>
        <w:tc>
          <w:tcPr>
            <w:tcW w:w="900" w:type="dxa"/>
            <w:vAlign w:val="bottom"/>
          </w:tcPr>
          <w:p w14:paraId="70F183BC" w14:textId="77777777" w:rsidR="00AC5C0C" w:rsidRPr="00B02BA3" w:rsidRDefault="00AC5C0C" w:rsidP="00922116">
            <w:pPr>
              <w:pStyle w:val="VSmCellBody"/>
              <w:jc w:val="right"/>
              <w:rPr>
                <w:color w:val="000000"/>
                <w:kern w:val="0"/>
                <w:sz w:val="16"/>
                <w:szCs w:val="16"/>
              </w:rPr>
            </w:pPr>
            <w:r>
              <w:rPr>
                <w:color w:val="000000"/>
                <w:kern w:val="0"/>
                <w:sz w:val="16"/>
                <w:szCs w:val="16"/>
              </w:rPr>
              <w:t>79.9</w:t>
            </w:r>
          </w:p>
        </w:tc>
        <w:tc>
          <w:tcPr>
            <w:tcW w:w="234" w:type="dxa"/>
            <w:vAlign w:val="bottom"/>
          </w:tcPr>
          <w:p w14:paraId="7C57AE37" w14:textId="77777777" w:rsidR="00AC5C0C" w:rsidRPr="00B02BA3" w:rsidRDefault="00AC5C0C" w:rsidP="00922116">
            <w:pPr>
              <w:pStyle w:val="CellRowSpacer"/>
              <w:rPr>
                <w:sz w:val="16"/>
                <w:szCs w:val="16"/>
              </w:rPr>
            </w:pPr>
          </w:p>
        </w:tc>
        <w:tc>
          <w:tcPr>
            <w:tcW w:w="900" w:type="dxa"/>
            <w:vAlign w:val="bottom"/>
          </w:tcPr>
          <w:p w14:paraId="4AC37BFA" w14:textId="77777777" w:rsidR="00AC5C0C" w:rsidRPr="00B02BA3" w:rsidRDefault="00AC5C0C" w:rsidP="00922116">
            <w:pPr>
              <w:pStyle w:val="VSmCellBody"/>
              <w:jc w:val="right"/>
              <w:rPr>
                <w:color w:val="000000"/>
                <w:kern w:val="0"/>
                <w:sz w:val="16"/>
                <w:szCs w:val="16"/>
              </w:rPr>
            </w:pPr>
            <w:r>
              <w:rPr>
                <w:color w:val="000000"/>
                <w:kern w:val="0"/>
                <w:sz w:val="16"/>
                <w:szCs w:val="16"/>
              </w:rPr>
              <w:t>11.7</w:t>
            </w:r>
          </w:p>
        </w:tc>
        <w:tc>
          <w:tcPr>
            <w:tcW w:w="234" w:type="dxa"/>
          </w:tcPr>
          <w:p w14:paraId="4877F35F" w14:textId="77777777" w:rsidR="00AC5C0C" w:rsidRPr="00B02BA3" w:rsidRDefault="00AC5C0C" w:rsidP="00922116">
            <w:pPr>
              <w:pStyle w:val="CellRowSpacer"/>
              <w:rPr>
                <w:sz w:val="16"/>
                <w:szCs w:val="16"/>
              </w:rPr>
            </w:pPr>
          </w:p>
        </w:tc>
        <w:tc>
          <w:tcPr>
            <w:tcW w:w="900" w:type="dxa"/>
            <w:vAlign w:val="bottom"/>
          </w:tcPr>
          <w:p w14:paraId="3CC05D47" w14:textId="77777777" w:rsidR="00AC5C0C" w:rsidRPr="00B02BA3" w:rsidRDefault="00AC5C0C" w:rsidP="00922116">
            <w:pPr>
              <w:pStyle w:val="VSmCellBody"/>
              <w:jc w:val="right"/>
              <w:rPr>
                <w:color w:val="000000"/>
                <w:kern w:val="0"/>
                <w:sz w:val="16"/>
                <w:szCs w:val="16"/>
              </w:rPr>
            </w:pPr>
            <w:r>
              <w:rPr>
                <w:color w:val="000000"/>
                <w:kern w:val="0"/>
                <w:sz w:val="16"/>
                <w:szCs w:val="16"/>
              </w:rPr>
              <w:t>13.5</w:t>
            </w:r>
          </w:p>
        </w:tc>
        <w:tc>
          <w:tcPr>
            <w:tcW w:w="234" w:type="dxa"/>
          </w:tcPr>
          <w:p w14:paraId="3AC7377F" w14:textId="77777777" w:rsidR="00AC5C0C" w:rsidRPr="00B02BA3" w:rsidRDefault="00AC5C0C" w:rsidP="00922116">
            <w:pPr>
              <w:pStyle w:val="CellRowSpacer"/>
              <w:rPr>
                <w:sz w:val="16"/>
                <w:szCs w:val="16"/>
              </w:rPr>
            </w:pPr>
          </w:p>
        </w:tc>
        <w:tc>
          <w:tcPr>
            <w:tcW w:w="900" w:type="dxa"/>
            <w:vAlign w:val="bottom"/>
          </w:tcPr>
          <w:p w14:paraId="07A8E0A7" w14:textId="77777777" w:rsidR="00AC5C0C" w:rsidRPr="00B02BA3" w:rsidRDefault="00297862" w:rsidP="00922116">
            <w:pPr>
              <w:pStyle w:val="VSmCellBody"/>
              <w:jc w:val="right"/>
              <w:rPr>
                <w:color w:val="000000"/>
                <w:kern w:val="0"/>
                <w:sz w:val="16"/>
                <w:szCs w:val="16"/>
              </w:rPr>
            </w:pPr>
            <w:r>
              <w:rPr>
                <w:color w:val="000000"/>
                <w:kern w:val="0"/>
                <w:sz w:val="16"/>
                <w:szCs w:val="16"/>
              </w:rPr>
              <w:t>43.8</w:t>
            </w:r>
          </w:p>
        </w:tc>
        <w:tc>
          <w:tcPr>
            <w:tcW w:w="234" w:type="dxa"/>
            <w:vAlign w:val="bottom"/>
          </w:tcPr>
          <w:p w14:paraId="74BF0E27" w14:textId="77777777" w:rsidR="00AC5C0C" w:rsidRPr="00B02BA3" w:rsidRDefault="00AC5C0C" w:rsidP="00922116">
            <w:pPr>
              <w:pStyle w:val="CellRowSpacer"/>
              <w:rPr>
                <w:sz w:val="16"/>
                <w:szCs w:val="16"/>
              </w:rPr>
            </w:pPr>
          </w:p>
        </w:tc>
      </w:tr>
      <w:tr w:rsidR="00AC5C0C" w:rsidRPr="00B02BA3" w14:paraId="455D6C55" w14:textId="77777777" w:rsidTr="00922116">
        <w:tc>
          <w:tcPr>
            <w:tcW w:w="3141" w:type="dxa"/>
          </w:tcPr>
          <w:p w14:paraId="64C63691" w14:textId="77777777" w:rsidR="00AC5C0C" w:rsidRPr="00B02BA3" w:rsidRDefault="00AC5C0C" w:rsidP="00922116">
            <w:pPr>
              <w:pStyle w:val="CellBodyIndent1"/>
              <w:tabs>
                <w:tab w:val="right" w:leader="dot" w:pos="3168"/>
              </w:tabs>
              <w:ind w:left="0"/>
              <w:rPr>
                <w:color w:val="000000"/>
                <w:kern w:val="0"/>
                <w:sz w:val="16"/>
                <w:szCs w:val="16"/>
              </w:rPr>
            </w:pPr>
            <w:r w:rsidRPr="00B02BA3">
              <w:rPr>
                <w:rFonts w:eastAsia="SimSun"/>
                <w:sz w:val="16"/>
                <w:szCs w:val="16"/>
              </w:rPr>
              <w:t xml:space="preserve">COC </w:t>
            </w:r>
            <w:r>
              <w:rPr>
                <w:rFonts w:eastAsia="SimSun"/>
                <w:sz w:val="16"/>
                <w:szCs w:val="16"/>
              </w:rPr>
              <w:t>Average</w:t>
            </w:r>
            <w:r w:rsidRPr="00B02BA3">
              <w:rPr>
                <w:rFonts w:eastAsia="SimSun"/>
                <w:sz w:val="16"/>
                <w:szCs w:val="16"/>
              </w:rPr>
              <w:t xml:space="preserve"> Rate (</w:t>
            </w:r>
            <w:r w:rsidRPr="00B02BA3">
              <w:rPr>
                <w:rFonts w:eastAsia="SimSun"/>
                <w:i/>
                <w:iCs/>
                <w:sz w:val="16"/>
                <w:szCs w:val="16"/>
              </w:rPr>
              <w:t>U.S.$/TEU</w:t>
            </w:r>
            <w:r w:rsidRPr="00B02BA3">
              <w:rPr>
                <w:rFonts w:eastAsia="SimSun"/>
                <w:sz w:val="16"/>
                <w:szCs w:val="16"/>
              </w:rPr>
              <w:t>)</w:t>
            </w:r>
            <w:r w:rsidRPr="00B02BA3">
              <w:rPr>
                <w:rFonts w:eastAsia="SimSun"/>
                <w:sz w:val="16"/>
                <w:szCs w:val="16"/>
              </w:rPr>
              <w:tab/>
            </w:r>
          </w:p>
        </w:tc>
        <w:tc>
          <w:tcPr>
            <w:tcW w:w="235" w:type="dxa"/>
          </w:tcPr>
          <w:p w14:paraId="232845A0" w14:textId="77777777" w:rsidR="00AC5C0C" w:rsidRPr="00B02BA3" w:rsidRDefault="00AC5C0C" w:rsidP="00922116">
            <w:pPr>
              <w:pStyle w:val="CellRowSpacer"/>
              <w:rPr>
                <w:sz w:val="16"/>
                <w:szCs w:val="16"/>
              </w:rPr>
            </w:pPr>
          </w:p>
        </w:tc>
        <w:tc>
          <w:tcPr>
            <w:tcW w:w="901" w:type="dxa"/>
            <w:vAlign w:val="bottom"/>
          </w:tcPr>
          <w:p w14:paraId="5B03C2A5"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842</w:t>
            </w:r>
          </w:p>
        </w:tc>
        <w:tc>
          <w:tcPr>
            <w:tcW w:w="235" w:type="dxa"/>
          </w:tcPr>
          <w:p w14:paraId="3A4F24A2" w14:textId="77777777" w:rsidR="00AC5C0C" w:rsidRPr="00B02BA3" w:rsidRDefault="00AC5C0C" w:rsidP="00922116">
            <w:pPr>
              <w:pStyle w:val="CellRowSpacer"/>
              <w:rPr>
                <w:sz w:val="16"/>
                <w:szCs w:val="16"/>
              </w:rPr>
            </w:pPr>
          </w:p>
        </w:tc>
        <w:tc>
          <w:tcPr>
            <w:tcW w:w="900" w:type="dxa"/>
            <w:vAlign w:val="bottom"/>
          </w:tcPr>
          <w:p w14:paraId="093D3BE3"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1,079</w:t>
            </w:r>
          </w:p>
        </w:tc>
        <w:tc>
          <w:tcPr>
            <w:tcW w:w="234" w:type="dxa"/>
            <w:vAlign w:val="bottom"/>
          </w:tcPr>
          <w:p w14:paraId="0D2F2F90" w14:textId="77777777" w:rsidR="00AC5C0C" w:rsidRPr="00B02BA3" w:rsidRDefault="00AC5C0C" w:rsidP="00922116">
            <w:pPr>
              <w:pStyle w:val="CellRowSpacer"/>
              <w:rPr>
                <w:sz w:val="16"/>
                <w:szCs w:val="16"/>
              </w:rPr>
            </w:pPr>
          </w:p>
        </w:tc>
        <w:tc>
          <w:tcPr>
            <w:tcW w:w="900" w:type="dxa"/>
            <w:vAlign w:val="bottom"/>
          </w:tcPr>
          <w:p w14:paraId="66404E59"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688</w:t>
            </w:r>
          </w:p>
        </w:tc>
        <w:tc>
          <w:tcPr>
            <w:tcW w:w="234" w:type="dxa"/>
          </w:tcPr>
          <w:p w14:paraId="4C0A9E86" w14:textId="77777777" w:rsidR="00AC5C0C" w:rsidRPr="00B02BA3" w:rsidRDefault="00AC5C0C" w:rsidP="00922116">
            <w:pPr>
              <w:pStyle w:val="CellRowSpacer"/>
              <w:rPr>
                <w:sz w:val="16"/>
                <w:szCs w:val="16"/>
              </w:rPr>
            </w:pPr>
          </w:p>
        </w:tc>
        <w:tc>
          <w:tcPr>
            <w:tcW w:w="900" w:type="dxa"/>
            <w:vAlign w:val="bottom"/>
          </w:tcPr>
          <w:p w14:paraId="4E704DA0"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705</w:t>
            </w:r>
          </w:p>
        </w:tc>
        <w:tc>
          <w:tcPr>
            <w:tcW w:w="234" w:type="dxa"/>
          </w:tcPr>
          <w:p w14:paraId="455ECFE3" w14:textId="77777777" w:rsidR="00AC5C0C" w:rsidRPr="00B02BA3" w:rsidRDefault="00AC5C0C" w:rsidP="00922116">
            <w:pPr>
              <w:pStyle w:val="CellRowSpacer"/>
              <w:rPr>
                <w:sz w:val="16"/>
                <w:szCs w:val="16"/>
              </w:rPr>
            </w:pPr>
          </w:p>
        </w:tc>
        <w:tc>
          <w:tcPr>
            <w:tcW w:w="900" w:type="dxa"/>
            <w:vAlign w:val="bottom"/>
          </w:tcPr>
          <w:p w14:paraId="615A0C5B"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1,387</w:t>
            </w:r>
          </w:p>
        </w:tc>
        <w:tc>
          <w:tcPr>
            <w:tcW w:w="234" w:type="dxa"/>
            <w:vAlign w:val="bottom"/>
          </w:tcPr>
          <w:p w14:paraId="5698F78B" w14:textId="77777777" w:rsidR="00AC5C0C" w:rsidRPr="00B02BA3" w:rsidRDefault="00AC5C0C" w:rsidP="00922116">
            <w:pPr>
              <w:pStyle w:val="CellRowSpacer"/>
              <w:rPr>
                <w:sz w:val="16"/>
                <w:szCs w:val="16"/>
              </w:rPr>
            </w:pPr>
          </w:p>
        </w:tc>
      </w:tr>
      <w:tr w:rsidR="00AC5C0C" w:rsidRPr="00B02BA3" w14:paraId="22720852" w14:textId="77777777" w:rsidTr="00922116">
        <w:tc>
          <w:tcPr>
            <w:tcW w:w="3141" w:type="dxa"/>
          </w:tcPr>
          <w:p w14:paraId="2C11D4BE" w14:textId="77777777" w:rsidR="00AC5C0C" w:rsidRPr="00B02BA3" w:rsidRDefault="00AC5C0C" w:rsidP="00922116">
            <w:pPr>
              <w:pStyle w:val="CellBodyIndent1"/>
              <w:tabs>
                <w:tab w:val="right" w:leader="dot" w:pos="3168"/>
              </w:tabs>
              <w:ind w:left="0"/>
              <w:rPr>
                <w:rFonts w:eastAsia="SimSun"/>
                <w:sz w:val="16"/>
                <w:szCs w:val="16"/>
              </w:rPr>
            </w:pPr>
            <w:r w:rsidRPr="00B02BA3">
              <w:rPr>
                <w:rFonts w:eastAsia="SimSun"/>
                <w:sz w:val="16"/>
                <w:szCs w:val="16"/>
              </w:rPr>
              <w:t xml:space="preserve">SOC </w:t>
            </w:r>
            <w:r>
              <w:rPr>
                <w:rFonts w:eastAsia="SimSun"/>
                <w:sz w:val="16"/>
                <w:szCs w:val="16"/>
              </w:rPr>
              <w:t>Average</w:t>
            </w:r>
            <w:r w:rsidRPr="00B02BA3">
              <w:rPr>
                <w:rFonts w:eastAsia="SimSun"/>
                <w:sz w:val="16"/>
                <w:szCs w:val="16"/>
              </w:rPr>
              <w:t xml:space="preserve"> Rate (</w:t>
            </w:r>
            <w:r w:rsidRPr="00B02BA3">
              <w:rPr>
                <w:rFonts w:eastAsia="SimSun"/>
                <w:i/>
                <w:iCs/>
                <w:sz w:val="16"/>
                <w:szCs w:val="16"/>
              </w:rPr>
              <w:t>U.S.$/TEU</w:t>
            </w:r>
            <w:r w:rsidRPr="00B02BA3">
              <w:rPr>
                <w:rFonts w:eastAsia="SimSun"/>
                <w:sz w:val="16"/>
                <w:szCs w:val="16"/>
              </w:rPr>
              <w:t>)</w:t>
            </w:r>
            <w:r w:rsidRPr="00B02BA3">
              <w:rPr>
                <w:rFonts w:eastAsia="SimSun"/>
                <w:sz w:val="16"/>
                <w:szCs w:val="16"/>
              </w:rPr>
              <w:tab/>
            </w:r>
          </w:p>
        </w:tc>
        <w:tc>
          <w:tcPr>
            <w:tcW w:w="235" w:type="dxa"/>
          </w:tcPr>
          <w:p w14:paraId="431B4B06" w14:textId="77777777" w:rsidR="00AC5C0C" w:rsidRPr="00B02BA3" w:rsidRDefault="00AC5C0C" w:rsidP="00922116">
            <w:pPr>
              <w:pStyle w:val="CellRowSpacer"/>
              <w:rPr>
                <w:sz w:val="16"/>
                <w:szCs w:val="16"/>
              </w:rPr>
            </w:pPr>
          </w:p>
        </w:tc>
        <w:tc>
          <w:tcPr>
            <w:tcW w:w="901" w:type="dxa"/>
            <w:vAlign w:val="bottom"/>
          </w:tcPr>
          <w:p w14:paraId="091A0265"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154</w:t>
            </w:r>
          </w:p>
        </w:tc>
        <w:tc>
          <w:tcPr>
            <w:tcW w:w="235" w:type="dxa"/>
          </w:tcPr>
          <w:p w14:paraId="45DA8EAB" w14:textId="77777777" w:rsidR="00AC5C0C" w:rsidRPr="00B02BA3" w:rsidRDefault="00AC5C0C" w:rsidP="00922116">
            <w:pPr>
              <w:pStyle w:val="CellRowSpacer"/>
              <w:rPr>
                <w:sz w:val="16"/>
                <w:szCs w:val="16"/>
              </w:rPr>
            </w:pPr>
          </w:p>
        </w:tc>
        <w:tc>
          <w:tcPr>
            <w:tcW w:w="900" w:type="dxa"/>
            <w:vAlign w:val="bottom"/>
          </w:tcPr>
          <w:p w14:paraId="6CA015E1"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267</w:t>
            </w:r>
          </w:p>
        </w:tc>
        <w:tc>
          <w:tcPr>
            <w:tcW w:w="234" w:type="dxa"/>
            <w:vAlign w:val="bottom"/>
          </w:tcPr>
          <w:p w14:paraId="547437D2" w14:textId="77777777" w:rsidR="00AC5C0C" w:rsidRPr="00B02BA3" w:rsidRDefault="00AC5C0C" w:rsidP="00922116">
            <w:pPr>
              <w:pStyle w:val="CellRowSpacer"/>
              <w:rPr>
                <w:sz w:val="16"/>
                <w:szCs w:val="16"/>
              </w:rPr>
            </w:pPr>
          </w:p>
        </w:tc>
        <w:tc>
          <w:tcPr>
            <w:tcW w:w="900" w:type="dxa"/>
            <w:vAlign w:val="bottom"/>
          </w:tcPr>
          <w:p w14:paraId="098E6077"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221</w:t>
            </w:r>
          </w:p>
        </w:tc>
        <w:tc>
          <w:tcPr>
            <w:tcW w:w="234" w:type="dxa"/>
          </w:tcPr>
          <w:p w14:paraId="36175B4C" w14:textId="77777777" w:rsidR="00AC5C0C" w:rsidRPr="00B02BA3" w:rsidRDefault="00AC5C0C" w:rsidP="00922116">
            <w:pPr>
              <w:pStyle w:val="CellRowSpacer"/>
              <w:rPr>
                <w:sz w:val="16"/>
                <w:szCs w:val="16"/>
              </w:rPr>
            </w:pPr>
          </w:p>
        </w:tc>
        <w:tc>
          <w:tcPr>
            <w:tcW w:w="900" w:type="dxa"/>
            <w:vAlign w:val="bottom"/>
          </w:tcPr>
          <w:p w14:paraId="39163093"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220</w:t>
            </w:r>
          </w:p>
        </w:tc>
        <w:tc>
          <w:tcPr>
            <w:tcW w:w="234" w:type="dxa"/>
          </w:tcPr>
          <w:p w14:paraId="2352598F" w14:textId="77777777" w:rsidR="00AC5C0C" w:rsidRPr="00B02BA3" w:rsidRDefault="00AC5C0C" w:rsidP="00922116">
            <w:pPr>
              <w:pStyle w:val="CellRowSpacer"/>
              <w:rPr>
                <w:sz w:val="16"/>
                <w:szCs w:val="16"/>
              </w:rPr>
            </w:pPr>
          </w:p>
        </w:tc>
        <w:tc>
          <w:tcPr>
            <w:tcW w:w="900" w:type="dxa"/>
            <w:vAlign w:val="bottom"/>
          </w:tcPr>
          <w:p w14:paraId="29429AD8" w14:textId="77777777" w:rsidR="00AC5C0C" w:rsidRPr="00B02BA3" w:rsidRDefault="00336746" w:rsidP="00922116">
            <w:pPr>
              <w:pStyle w:val="VSmCellBody"/>
              <w:jc w:val="right"/>
              <w:rPr>
                <w:color w:val="000000"/>
                <w:kern w:val="0"/>
                <w:sz w:val="16"/>
                <w:szCs w:val="16"/>
                <w:rtl/>
              </w:rPr>
            </w:pPr>
            <w:r>
              <w:rPr>
                <w:color w:val="000000"/>
                <w:kern w:val="0"/>
                <w:sz w:val="16"/>
                <w:szCs w:val="16"/>
              </w:rPr>
              <w:t>332</w:t>
            </w:r>
          </w:p>
        </w:tc>
        <w:tc>
          <w:tcPr>
            <w:tcW w:w="234" w:type="dxa"/>
            <w:vAlign w:val="bottom"/>
          </w:tcPr>
          <w:p w14:paraId="7B3B066A" w14:textId="77777777" w:rsidR="00AC5C0C" w:rsidRPr="00B02BA3" w:rsidRDefault="00AC5C0C" w:rsidP="00922116">
            <w:pPr>
              <w:pStyle w:val="CellRowSpacer"/>
              <w:rPr>
                <w:sz w:val="16"/>
                <w:szCs w:val="16"/>
              </w:rPr>
            </w:pPr>
          </w:p>
        </w:tc>
      </w:tr>
      <w:tr w:rsidR="00AC5C0C" w:rsidRPr="00B02BA3" w14:paraId="0FB8DBB3" w14:textId="77777777" w:rsidTr="00922116">
        <w:tc>
          <w:tcPr>
            <w:tcW w:w="3141" w:type="dxa"/>
          </w:tcPr>
          <w:p w14:paraId="0BB5F65A" w14:textId="77777777" w:rsidR="00AC5C0C" w:rsidRPr="00B02BA3" w:rsidRDefault="00AC5C0C" w:rsidP="00922116">
            <w:pPr>
              <w:pStyle w:val="CellBodyIndent1"/>
              <w:tabs>
                <w:tab w:val="right" w:leader="dot" w:pos="3168"/>
              </w:tabs>
              <w:ind w:left="0"/>
              <w:rPr>
                <w:rFonts w:eastAsia="SimSun"/>
                <w:sz w:val="16"/>
                <w:szCs w:val="16"/>
              </w:rPr>
            </w:pPr>
            <w:r w:rsidRPr="00B02BA3">
              <w:rPr>
                <w:rFonts w:eastAsia="SimSun"/>
                <w:sz w:val="16"/>
                <w:szCs w:val="16"/>
              </w:rPr>
              <w:t>EBITDA</w:t>
            </w:r>
            <w:r w:rsidRPr="00B02BA3">
              <w:rPr>
                <w:rFonts w:eastAsia="SimSun"/>
                <w:sz w:val="16"/>
                <w:szCs w:val="16"/>
                <w:vertAlign w:val="superscript"/>
              </w:rPr>
              <w:t xml:space="preserve">(3) </w:t>
            </w:r>
            <w:r w:rsidRPr="00B02BA3">
              <w:rPr>
                <w:rFonts w:eastAsia="SimSun"/>
                <w:sz w:val="16"/>
                <w:szCs w:val="16"/>
              </w:rPr>
              <w:t>(</w:t>
            </w:r>
            <w:r w:rsidRPr="00B02BA3">
              <w:rPr>
                <w:rFonts w:eastAsia="SimSun"/>
                <w:i/>
                <w:iCs/>
                <w:sz w:val="16"/>
                <w:szCs w:val="16"/>
              </w:rPr>
              <w:t>U.S.$ millions</w:t>
            </w:r>
            <w:r w:rsidRPr="00B02BA3">
              <w:rPr>
                <w:rFonts w:eastAsia="SimSun"/>
                <w:sz w:val="16"/>
                <w:szCs w:val="16"/>
              </w:rPr>
              <w:t>)</w:t>
            </w:r>
            <w:r w:rsidRPr="00B02BA3">
              <w:rPr>
                <w:rFonts w:eastAsia="SimSun"/>
                <w:sz w:val="16"/>
                <w:szCs w:val="16"/>
              </w:rPr>
              <w:tab/>
            </w:r>
          </w:p>
        </w:tc>
        <w:tc>
          <w:tcPr>
            <w:tcW w:w="235" w:type="dxa"/>
          </w:tcPr>
          <w:p w14:paraId="5EB895E3" w14:textId="77777777" w:rsidR="00AC5C0C" w:rsidRPr="00B02BA3" w:rsidRDefault="00AC5C0C" w:rsidP="00922116">
            <w:pPr>
              <w:pStyle w:val="CellRowSpacer"/>
              <w:rPr>
                <w:sz w:val="16"/>
                <w:szCs w:val="16"/>
              </w:rPr>
            </w:pPr>
          </w:p>
        </w:tc>
        <w:tc>
          <w:tcPr>
            <w:tcW w:w="901" w:type="dxa"/>
            <w:vAlign w:val="bottom"/>
          </w:tcPr>
          <w:p w14:paraId="6A5B1255"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35.6</w:t>
            </w:r>
          </w:p>
        </w:tc>
        <w:tc>
          <w:tcPr>
            <w:tcW w:w="235" w:type="dxa"/>
          </w:tcPr>
          <w:p w14:paraId="42DB4429" w14:textId="77777777" w:rsidR="00AC5C0C" w:rsidRPr="00B02BA3" w:rsidRDefault="00AC5C0C" w:rsidP="00922116">
            <w:pPr>
              <w:pStyle w:val="CellRowSpacer"/>
              <w:rPr>
                <w:sz w:val="16"/>
                <w:szCs w:val="16"/>
              </w:rPr>
            </w:pPr>
          </w:p>
        </w:tc>
        <w:tc>
          <w:tcPr>
            <w:tcW w:w="900" w:type="dxa"/>
            <w:vAlign w:val="bottom"/>
          </w:tcPr>
          <w:p w14:paraId="70D2A758"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78.5</w:t>
            </w:r>
          </w:p>
        </w:tc>
        <w:tc>
          <w:tcPr>
            <w:tcW w:w="234" w:type="dxa"/>
            <w:vAlign w:val="bottom"/>
          </w:tcPr>
          <w:p w14:paraId="5C6ABBA0" w14:textId="77777777" w:rsidR="00AC5C0C" w:rsidRPr="00B02BA3" w:rsidRDefault="00AC5C0C" w:rsidP="00922116">
            <w:pPr>
              <w:pStyle w:val="CellRowSpacer"/>
              <w:rPr>
                <w:sz w:val="16"/>
                <w:szCs w:val="16"/>
              </w:rPr>
            </w:pPr>
          </w:p>
        </w:tc>
        <w:tc>
          <w:tcPr>
            <w:tcW w:w="900" w:type="dxa"/>
            <w:vAlign w:val="bottom"/>
          </w:tcPr>
          <w:p w14:paraId="05ACCF42"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(68.3</w:t>
            </w:r>
          </w:p>
        </w:tc>
        <w:tc>
          <w:tcPr>
            <w:tcW w:w="234" w:type="dxa"/>
          </w:tcPr>
          <w:p w14:paraId="5197BA31" w14:textId="77777777" w:rsidR="00AC5C0C" w:rsidRPr="00B02BA3" w:rsidRDefault="00AC5C0C" w:rsidP="00922116">
            <w:pPr>
              <w:pStyle w:val="CellRowSpacer"/>
              <w:rPr>
                <w:sz w:val="16"/>
                <w:szCs w:val="16"/>
              </w:rPr>
            </w:pPr>
            <w:r w:rsidRPr="00B02BA3">
              <w:rPr>
                <w:sz w:val="16"/>
                <w:szCs w:val="16"/>
              </w:rPr>
              <w:t>)</w:t>
            </w:r>
          </w:p>
        </w:tc>
        <w:tc>
          <w:tcPr>
            <w:tcW w:w="900" w:type="dxa"/>
            <w:vAlign w:val="bottom"/>
          </w:tcPr>
          <w:p w14:paraId="44CED1E0" w14:textId="77777777" w:rsidR="00AC5C0C" w:rsidRPr="00B02BA3" w:rsidRDefault="00AC5C0C" w:rsidP="00922116">
            <w:pPr>
              <w:pStyle w:val="VSmCellBody"/>
              <w:jc w:val="right"/>
              <w:rPr>
                <w:color w:val="000000"/>
                <w:kern w:val="0"/>
                <w:sz w:val="16"/>
                <w:szCs w:val="16"/>
              </w:rPr>
            </w:pPr>
            <w:r w:rsidRPr="00B02BA3">
              <w:rPr>
                <w:color w:val="000000"/>
                <w:kern w:val="0"/>
                <w:sz w:val="16"/>
                <w:szCs w:val="16"/>
              </w:rPr>
              <w:t>(</w:t>
            </w:r>
            <w:r>
              <w:rPr>
                <w:color w:val="000000"/>
                <w:kern w:val="0"/>
                <w:sz w:val="16"/>
                <w:szCs w:val="16"/>
              </w:rPr>
              <w:t>60.8</w:t>
            </w:r>
          </w:p>
        </w:tc>
        <w:tc>
          <w:tcPr>
            <w:tcW w:w="234" w:type="dxa"/>
          </w:tcPr>
          <w:p w14:paraId="4D5663AD" w14:textId="77777777" w:rsidR="00AC5C0C" w:rsidRPr="00B02BA3" w:rsidRDefault="00AC5C0C" w:rsidP="00922116">
            <w:pPr>
              <w:pStyle w:val="CellRowSpacer"/>
              <w:rPr>
                <w:sz w:val="16"/>
                <w:szCs w:val="16"/>
              </w:rPr>
            </w:pPr>
            <w:r w:rsidRPr="00B02BA3">
              <w:rPr>
                <w:sz w:val="16"/>
                <w:szCs w:val="16"/>
              </w:rPr>
              <w:t>)</w:t>
            </w:r>
          </w:p>
        </w:tc>
        <w:tc>
          <w:tcPr>
            <w:tcW w:w="900" w:type="dxa"/>
            <w:vAlign w:val="bottom"/>
          </w:tcPr>
          <w:p w14:paraId="063AD3DF" w14:textId="77777777" w:rsidR="00AC5C0C" w:rsidRPr="00B02BA3" w:rsidRDefault="00297862" w:rsidP="00922116">
            <w:pPr>
              <w:pStyle w:val="VSmCellBody"/>
              <w:jc w:val="right"/>
              <w:rPr>
                <w:color w:val="000000"/>
                <w:kern w:val="0"/>
                <w:sz w:val="16"/>
                <w:szCs w:val="16"/>
              </w:rPr>
            </w:pPr>
            <w:r>
              <w:rPr>
                <w:color w:val="000000"/>
                <w:kern w:val="0"/>
                <w:sz w:val="16"/>
                <w:szCs w:val="16"/>
              </w:rPr>
              <w:t>35.5</w:t>
            </w:r>
          </w:p>
        </w:tc>
        <w:tc>
          <w:tcPr>
            <w:tcW w:w="234" w:type="dxa"/>
            <w:vAlign w:val="bottom"/>
          </w:tcPr>
          <w:p w14:paraId="19DEB455" w14:textId="77777777" w:rsidR="00AC5C0C" w:rsidRPr="00B02BA3" w:rsidRDefault="00AC5C0C" w:rsidP="00922116">
            <w:pPr>
              <w:pStyle w:val="CellRowSpacer"/>
              <w:rPr>
                <w:sz w:val="16"/>
                <w:szCs w:val="16"/>
              </w:rPr>
            </w:pPr>
          </w:p>
        </w:tc>
      </w:tr>
    </w:tbl>
    <w:p w14:paraId="41D12C0F" w14:textId="77777777" w:rsidR="00AC5C0C" w:rsidRPr="00334534" w:rsidRDefault="00AC5C0C" w:rsidP="00AC5C0C">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AC5C0C" w14:paraId="1E1CBC28" w14:textId="77777777" w:rsidTr="00922116">
        <w:tc>
          <w:tcPr>
            <w:tcW w:w="1424" w:type="dxa"/>
            <w:tcBorders>
              <w:top w:val="single" w:sz="4" w:space="0" w:color="auto"/>
            </w:tcBorders>
            <w:vAlign w:val="bottom"/>
          </w:tcPr>
          <w:p w14:paraId="1094009C"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الملاحظات:</w:t>
            </w:r>
          </w:p>
        </w:tc>
        <w:tc>
          <w:tcPr>
            <w:tcW w:w="7501" w:type="dxa"/>
            <w:vAlign w:val="bottom"/>
          </w:tcPr>
          <w:p w14:paraId="18E82D40" w14:textId="77777777" w:rsidR="00334534" w:rsidRPr="00985281" w:rsidRDefault="00334534" w:rsidP="00334534">
            <w:pPr>
              <w:bidi/>
              <w:jc w:val="both"/>
              <w:rPr>
                <w:rFonts w:ascii="Traditional Arabic" w:hAnsi="Traditional Arabic" w:cs="Traditional Arabic"/>
                <w:sz w:val="24"/>
              </w:rPr>
            </w:pPr>
          </w:p>
        </w:tc>
      </w:tr>
      <w:tr w:rsidR="00334534" w:rsidRPr="00AC5C0C" w14:paraId="56A24445" w14:textId="77777777" w:rsidTr="00922116">
        <w:tc>
          <w:tcPr>
            <w:tcW w:w="8925" w:type="dxa"/>
            <w:gridSpan w:val="2"/>
            <w:vAlign w:val="bottom"/>
          </w:tcPr>
          <w:p w14:paraId="4F6AFE15" w14:textId="77777777" w:rsidR="00334534" w:rsidRPr="00985281" w:rsidRDefault="00334534" w:rsidP="00922116">
            <w:pPr>
              <w:numPr>
                <w:ilvl w:val="0"/>
                <w:numId w:val="52"/>
              </w:numPr>
              <w:bidi/>
              <w:jc w:val="both"/>
              <w:rPr>
                <w:rFonts w:ascii="Traditional Arabic" w:hAnsi="Traditional Arabic" w:cs="Traditional Arabic"/>
                <w:sz w:val="24"/>
              </w:rPr>
            </w:pPr>
            <w:r w:rsidRPr="00985281">
              <w:rPr>
                <w:rFonts w:ascii="Traditional Arabic" w:hAnsi="Traditional Arabic" w:cs="Traditional Arabic"/>
                <w:sz w:val="24"/>
                <w:rtl/>
              </w:rPr>
              <w:t>باستثناء السفن المطلوبة.</w:t>
            </w:r>
          </w:p>
        </w:tc>
      </w:tr>
      <w:tr w:rsidR="00334534" w:rsidRPr="00AC5C0C" w14:paraId="70A811D7" w14:textId="77777777" w:rsidTr="00922116">
        <w:tc>
          <w:tcPr>
            <w:tcW w:w="8925" w:type="dxa"/>
            <w:gridSpan w:val="2"/>
            <w:vAlign w:val="bottom"/>
          </w:tcPr>
          <w:p w14:paraId="2A21E056" w14:textId="77777777" w:rsidR="00334534" w:rsidRPr="00985281" w:rsidRDefault="00334534" w:rsidP="00922116">
            <w:pPr>
              <w:numPr>
                <w:ilvl w:val="0"/>
                <w:numId w:val="52"/>
              </w:numPr>
              <w:bidi/>
              <w:jc w:val="both"/>
              <w:rPr>
                <w:rFonts w:ascii="Traditional Arabic" w:hAnsi="Traditional Arabic" w:cs="Traditional Arabic"/>
                <w:sz w:val="24"/>
              </w:rPr>
            </w:pPr>
            <w:r w:rsidRPr="00985281">
              <w:rPr>
                <w:rFonts w:ascii="Traditional Arabic" w:hAnsi="Traditional Arabic" w:cs="Traditional Arabic"/>
                <w:sz w:val="24"/>
                <w:rtl/>
              </w:rPr>
              <w:t>يتم حساب معدل استخدام الأسطول لقطاع ال</w:t>
            </w:r>
            <w:r w:rsidR="00607B02">
              <w:rPr>
                <w:rFonts w:ascii="Traditional Arabic" w:hAnsi="Traditional Arabic" w:cs="Traditional Arabic"/>
                <w:sz w:val="24"/>
                <w:rtl/>
              </w:rPr>
              <w:t>نقل</w:t>
            </w:r>
            <w:r w:rsidRPr="00985281">
              <w:rPr>
                <w:rFonts w:ascii="Traditional Arabic" w:hAnsi="Traditional Arabic" w:cs="Traditional Arabic"/>
                <w:sz w:val="24"/>
                <w:rtl/>
              </w:rPr>
              <w:t xml:space="preserve"> البحري المنتظم على أساس وصف السفن عند 14 طنًا متريًا متجانسًا/ تعادل حجم حاوية واحدة بطول 20 قدما، ومتوسط وزن البضائع في ممر التجارة على أساس الرحلة الكاملة ذهابا وإيابا.</w:t>
            </w:r>
          </w:p>
        </w:tc>
      </w:tr>
      <w:tr w:rsidR="00334534" w:rsidRPr="00AC5C0C" w14:paraId="65B4D7C3" w14:textId="77777777" w:rsidTr="00922116">
        <w:tc>
          <w:tcPr>
            <w:tcW w:w="8925" w:type="dxa"/>
            <w:gridSpan w:val="2"/>
            <w:vAlign w:val="bottom"/>
          </w:tcPr>
          <w:p w14:paraId="7AC153B2" w14:textId="77777777" w:rsidR="00334534" w:rsidRPr="00985281" w:rsidRDefault="00334534" w:rsidP="00922116">
            <w:pPr>
              <w:numPr>
                <w:ilvl w:val="0"/>
                <w:numId w:val="52"/>
              </w:numPr>
              <w:bidi/>
              <w:jc w:val="both"/>
              <w:rPr>
                <w:rFonts w:ascii="Traditional Arabic" w:hAnsi="Traditional Arabic" w:cs="Traditional Arabic"/>
                <w:sz w:val="24"/>
              </w:rPr>
            </w:pPr>
            <w:r w:rsidRPr="00985281">
              <w:rPr>
                <w:rFonts w:ascii="Traditional Arabic" w:hAnsi="Traditional Arabic" w:cs="Traditional Arabic"/>
                <w:sz w:val="24"/>
                <w:rtl/>
              </w:rPr>
              <w:t>لمناقشة كيفية حساب مكافئ تأجير السفن المجهزة بالمدة، والأرباح قبل حساب الفائدة والضريبة والإهلاك والإطفاء، يرجى الاطلاع على "</w:t>
            </w:r>
            <w:r w:rsidRPr="00985281">
              <w:rPr>
                <w:rFonts w:ascii="Traditional Arabic" w:hAnsi="Traditional Arabic" w:cs="Traditional Arabic"/>
                <w:i/>
                <w:sz w:val="24"/>
                <w:rtl/>
              </w:rPr>
              <w:t>عرض البيانات المالية وبيانات القطاع والسوق - معلومات غير متصلة بالمعايير الدولية لإعداد التقارير المالية وبعض البيانات المالية والتشغيلية الأخرى - معلومات</w:t>
            </w:r>
            <w:r w:rsidRPr="00985281">
              <w:rPr>
                <w:rFonts w:ascii="Traditional Arabic" w:hAnsi="Traditional Arabic" w:cs="Traditional Arabic"/>
                <w:sz w:val="24"/>
                <w:rtl/>
              </w:rPr>
              <w:t xml:space="preserve"> غير متصلة بالمعايير الدولية لإعداد</w:t>
            </w:r>
            <w:r w:rsidRPr="00985281">
              <w:rPr>
                <w:rFonts w:ascii="Traditional Arabic" w:hAnsi="Traditional Arabic" w:cs="Traditional Arabic"/>
                <w:i/>
                <w:sz w:val="24"/>
                <w:rtl/>
              </w:rPr>
              <w:t xml:space="preserve"> التقارير المالية" و "الفصل الثالث عشر - معلومات مالية وتشغيلية تاريخية مختارة وغيرها من المعلومات - بيانات مالية وتشغيلية أخرى</w:t>
            </w:r>
            <w:r w:rsidRPr="00985281">
              <w:rPr>
                <w:rFonts w:ascii="Traditional Arabic" w:hAnsi="Traditional Arabic" w:cs="Traditional Arabic"/>
                <w:sz w:val="24"/>
                <w:rtl/>
              </w:rPr>
              <w:t xml:space="preserve"> ". </w:t>
            </w:r>
          </w:p>
        </w:tc>
      </w:tr>
    </w:tbl>
    <w:p w14:paraId="65C636AB" w14:textId="77777777" w:rsidR="00AC5C0C" w:rsidRDefault="00AC5C0C" w:rsidP="00334534">
      <w:pPr>
        <w:bidi/>
        <w:jc w:val="both"/>
        <w:rPr>
          <w:rFonts w:ascii="Traditional Arabic" w:hAnsi="Traditional Arabic" w:cs="Traditional Arabic"/>
          <w:i/>
          <w:sz w:val="30"/>
          <w:szCs w:val="30"/>
          <w:rtl/>
        </w:rPr>
      </w:pPr>
    </w:p>
    <w:p w14:paraId="002C2E5E"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المنافسة</w:t>
      </w:r>
    </w:p>
    <w:p w14:paraId="39FB835F"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تتأثر المنافسة في سوق الخطوط الملاحية المنتظمة بالتسعير وموقع السفينة ومعدات الحاويات وحجمها وعمرها وحالتها ومقبوليتها وسمعة مشغل السفينة. كما تتأثر تنافسية الشركة من حيث فئة الأحجام التي تتنافس فيها ومدى توافر سفن بأحجام أخرى ومدى توافر المعدات في تلك السوق. يشمل بعض منافسي الشركة في هذا القطاع: شركة ميرسيك، وشركة إم إس سي، وشركة هابيج لويد، وشركة كوسكو، وشركة سي إم إيه سي جي إم، وشركة وان، وشركة واي إم إل، وشركة سي ليد، وشركة سي يو لاينز، وشركة إيسل، وشركة جي إس إف، وشركة يونيفيدر، وشركة إكس بريس فيدرز. </w:t>
      </w:r>
    </w:p>
    <w:p w14:paraId="00EBA856" w14:textId="77777777" w:rsidR="00AC5C0C" w:rsidRDefault="00AC5C0C" w:rsidP="00334534">
      <w:pPr>
        <w:bidi/>
        <w:jc w:val="both"/>
        <w:rPr>
          <w:rFonts w:ascii="Traditional Arabic" w:hAnsi="Traditional Arabic" w:cs="Traditional Arabic"/>
          <w:i/>
          <w:sz w:val="30"/>
          <w:szCs w:val="30"/>
          <w:rtl/>
        </w:rPr>
      </w:pPr>
    </w:p>
    <w:p w14:paraId="6BA59E6A" w14:textId="77777777" w:rsidR="00334534" w:rsidRPr="00985281" w:rsidRDefault="00334534" w:rsidP="00AC5C0C">
      <w:pPr>
        <w:bidi/>
        <w:jc w:val="both"/>
        <w:rPr>
          <w:rFonts w:ascii="Traditional Arabic" w:hAnsi="Traditional Arabic" w:cs="Traditional Arabic"/>
          <w:b/>
          <w:bCs/>
          <w:i/>
          <w:sz w:val="30"/>
          <w:szCs w:val="30"/>
        </w:rPr>
      </w:pPr>
      <w:r w:rsidRPr="00985281">
        <w:rPr>
          <w:rFonts w:ascii="Traditional Arabic" w:hAnsi="Traditional Arabic" w:cs="Traditional Arabic"/>
          <w:b/>
          <w:bCs/>
          <w:i/>
          <w:sz w:val="30"/>
          <w:szCs w:val="30"/>
          <w:rtl/>
        </w:rPr>
        <w:t xml:space="preserve">العملاء </w:t>
      </w:r>
    </w:p>
    <w:p w14:paraId="4BBB4B09"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تقوم الشركة بملء سفن الحاويات الخاصة بها من خلال وكالات السفن، والتي تقوم بتجميع شحنات الحاويات التي سيتم نقلها على طريق التجارة التشغيلية لسفينة معينة. </w:t>
      </w:r>
    </w:p>
    <w:p w14:paraId="6B3A6751"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وتعمل الشركة من خلال وكلاء طرف ثالث واتفاقيات مشاركة السفن لتعبئة سفن الحاويات الخاصة بها ، وتقديم حلول نقل الحاويات إلى شركات تشغيل الخطوط البحرية الرئيسية وشركات النقل التي لا تملك سفنا خاصة بها ولا تشغلها ومالكي البضائع المستفيدين ووكلاء الشحن. تعمل الشركة مع قاعدة عملاء متنوعة تضم أكثر من 4500 عميل، وتدعم الشركة العمليات الرئيسية عبر الموانئ الآسيوية الرئيسية مثل صحار وموندرا وشنغهاي وجبل علي. وبدعم من أسطول يضم أكثر من 22,000 حاوية، توفر الشركة روابط موثوقة وفعالة عبر ممرات التجارة العالمية الاستراتيجية لتلبية الاحتياجات المتطورة لعملائها.</w:t>
      </w:r>
    </w:p>
    <w:p w14:paraId="3A9A8078" w14:textId="77777777" w:rsidR="00AC5C0C" w:rsidRDefault="00AC5C0C" w:rsidP="00334534">
      <w:pPr>
        <w:bidi/>
        <w:jc w:val="both"/>
        <w:rPr>
          <w:rFonts w:ascii="Traditional Arabic" w:hAnsi="Traditional Arabic" w:cs="Traditional Arabic"/>
          <w:sz w:val="30"/>
          <w:szCs w:val="30"/>
          <w:rtl/>
        </w:rPr>
      </w:pPr>
    </w:p>
    <w:p w14:paraId="543F40C0"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يلخص الجدول أدناه ترتيب التأجير المطبق على سفينة الحاويات المؤجرة التابعة للشركة حتى 30 سبتمبر 2024:</w:t>
      </w:r>
    </w:p>
    <w:p w14:paraId="19A3F8B1" w14:textId="77777777" w:rsidR="00AC5C0C" w:rsidRDefault="00AC5C0C" w:rsidP="00334534">
      <w:pPr>
        <w:bidi/>
        <w:jc w:val="both"/>
        <w:rPr>
          <w:rFonts w:ascii="Traditional Arabic" w:hAnsi="Traditional Arabic" w:cs="Traditional Arabic"/>
          <w:sz w:val="30"/>
          <w:szCs w:val="30"/>
          <w:rtl/>
        </w:rPr>
      </w:pPr>
    </w:p>
    <w:tbl>
      <w:tblPr>
        <w:tblW w:w="9114" w:type="dxa"/>
        <w:tblInd w:w="437" w:type="dxa"/>
        <w:tblLayout w:type="fixed"/>
        <w:tblCellMar>
          <w:left w:w="0" w:type="dxa"/>
          <w:right w:w="0" w:type="dxa"/>
        </w:tblCellMar>
        <w:tblLook w:val="0600" w:firstRow="0" w:lastRow="0" w:firstColumn="0" w:lastColumn="0" w:noHBand="1" w:noVBand="1"/>
      </w:tblPr>
      <w:tblGrid>
        <w:gridCol w:w="3163"/>
        <w:gridCol w:w="236"/>
        <w:gridCol w:w="907"/>
        <w:gridCol w:w="236"/>
        <w:gridCol w:w="907"/>
        <w:gridCol w:w="236"/>
        <w:gridCol w:w="907"/>
        <w:gridCol w:w="236"/>
        <w:gridCol w:w="907"/>
        <w:gridCol w:w="236"/>
        <w:gridCol w:w="907"/>
        <w:gridCol w:w="236"/>
      </w:tblGrid>
      <w:tr w:rsidR="00AC5C0C" w:rsidRPr="00B02BA3" w14:paraId="55960E91" w14:textId="77777777" w:rsidTr="00922116">
        <w:trPr>
          <w:tblHeader/>
        </w:trPr>
        <w:tc>
          <w:tcPr>
            <w:tcW w:w="3163" w:type="dxa"/>
            <w:tcBorders>
              <w:bottom w:val="single" w:sz="4" w:space="0" w:color="auto"/>
            </w:tcBorders>
            <w:vAlign w:val="bottom"/>
          </w:tcPr>
          <w:p w14:paraId="42886A34" w14:textId="77777777" w:rsidR="00AC5C0C" w:rsidRPr="00B02BA3" w:rsidRDefault="00AC5C0C" w:rsidP="00922116">
            <w:pPr>
              <w:pStyle w:val="CellHead"/>
              <w:jc w:val="center"/>
              <w:rPr>
                <w:sz w:val="16"/>
                <w:szCs w:val="16"/>
              </w:rPr>
            </w:pPr>
            <w:r w:rsidRPr="00B02BA3">
              <w:rPr>
                <w:sz w:val="16"/>
                <w:szCs w:val="16"/>
              </w:rPr>
              <w:t>Vessel name</w:t>
            </w:r>
          </w:p>
        </w:tc>
        <w:tc>
          <w:tcPr>
            <w:tcW w:w="236" w:type="dxa"/>
            <w:vAlign w:val="bottom"/>
          </w:tcPr>
          <w:p w14:paraId="065F26CF"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0B60857B" w14:textId="77777777" w:rsidR="00AC5C0C" w:rsidRPr="00B02BA3" w:rsidRDefault="00AC5C0C" w:rsidP="00922116">
            <w:pPr>
              <w:pStyle w:val="CellHead"/>
              <w:jc w:val="center"/>
              <w:rPr>
                <w:sz w:val="16"/>
                <w:szCs w:val="16"/>
              </w:rPr>
            </w:pPr>
            <w:r w:rsidRPr="00B02BA3">
              <w:rPr>
                <w:sz w:val="16"/>
                <w:szCs w:val="16"/>
              </w:rPr>
              <w:t>Customer / Project</w:t>
            </w:r>
          </w:p>
        </w:tc>
        <w:tc>
          <w:tcPr>
            <w:tcW w:w="236" w:type="dxa"/>
            <w:vAlign w:val="bottom"/>
          </w:tcPr>
          <w:p w14:paraId="10ED6E98"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7FB86574" w14:textId="77777777" w:rsidR="00AC5C0C" w:rsidRPr="00B02BA3" w:rsidRDefault="00AC5C0C" w:rsidP="00922116">
            <w:pPr>
              <w:pStyle w:val="CellHead"/>
              <w:jc w:val="center"/>
              <w:rPr>
                <w:sz w:val="16"/>
                <w:szCs w:val="16"/>
              </w:rPr>
            </w:pPr>
            <w:r w:rsidRPr="00B02BA3">
              <w:rPr>
                <w:rFonts w:eastAsia="SimSun"/>
                <w:kern w:val="0"/>
                <w:sz w:val="16"/>
                <w:szCs w:val="16"/>
              </w:rPr>
              <w:t>Charter start</w:t>
            </w:r>
          </w:p>
        </w:tc>
        <w:tc>
          <w:tcPr>
            <w:tcW w:w="236" w:type="dxa"/>
            <w:vAlign w:val="bottom"/>
          </w:tcPr>
          <w:p w14:paraId="601901BC"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3A646708" w14:textId="77777777" w:rsidR="00AC5C0C" w:rsidRPr="00B02BA3" w:rsidRDefault="00AC5C0C" w:rsidP="00922116">
            <w:pPr>
              <w:pStyle w:val="CellHead"/>
              <w:jc w:val="center"/>
              <w:rPr>
                <w:sz w:val="16"/>
                <w:szCs w:val="16"/>
              </w:rPr>
            </w:pPr>
            <w:r w:rsidRPr="00B02BA3">
              <w:rPr>
                <w:rFonts w:eastAsia="SimSun"/>
                <w:kern w:val="0"/>
                <w:sz w:val="16"/>
                <w:szCs w:val="16"/>
              </w:rPr>
              <w:t>Charter expiration</w:t>
            </w:r>
          </w:p>
        </w:tc>
        <w:tc>
          <w:tcPr>
            <w:tcW w:w="236" w:type="dxa"/>
            <w:vAlign w:val="bottom"/>
          </w:tcPr>
          <w:p w14:paraId="38D180AA" w14:textId="77777777" w:rsidR="00AC5C0C" w:rsidRPr="00B02BA3" w:rsidRDefault="00AC5C0C" w:rsidP="00922116">
            <w:pPr>
              <w:pStyle w:val="CellHead"/>
              <w:jc w:val="center"/>
              <w:rPr>
                <w:bCs/>
                <w:sz w:val="16"/>
                <w:szCs w:val="16"/>
                <w:vertAlign w:val="superscript"/>
              </w:rPr>
            </w:pPr>
          </w:p>
        </w:tc>
        <w:tc>
          <w:tcPr>
            <w:tcW w:w="907" w:type="dxa"/>
            <w:tcBorders>
              <w:bottom w:val="single" w:sz="4" w:space="0" w:color="auto"/>
            </w:tcBorders>
            <w:vAlign w:val="bottom"/>
          </w:tcPr>
          <w:p w14:paraId="5841BCAB" w14:textId="77777777" w:rsidR="00AC5C0C" w:rsidRPr="00B02BA3" w:rsidRDefault="00AC5C0C" w:rsidP="00922116">
            <w:pPr>
              <w:pStyle w:val="CellHead"/>
              <w:jc w:val="center"/>
              <w:rPr>
                <w:sz w:val="16"/>
                <w:szCs w:val="16"/>
              </w:rPr>
            </w:pPr>
            <w:r w:rsidRPr="00B02BA3">
              <w:rPr>
                <w:rFonts w:eastAsia="SimSun"/>
                <w:kern w:val="0"/>
                <w:sz w:val="16"/>
                <w:szCs w:val="16"/>
              </w:rPr>
              <w:t>Term</w:t>
            </w:r>
          </w:p>
        </w:tc>
        <w:tc>
          <w:tcPr>
            <w:tcW w:w="236" w:type="dxa"/>
            <w:vAlign w:val="bottom"/>
          </w:tcPr>
          <w:p w14:paraId="6CEFCDD3" w14:textId="77777777" w:rsidR="00AC5C0C" w:rsidRPr="00B02BA3" w:rsidRDefault="00AC5C0C" w:rsidP="00922116">
            <w:pPr>
              <w:pStyle w:val="CellHead"/>
              <w:jc w:val="center"/>
              <w:rPr>
                <w:sz w:val="16"/>
                <w:szCs w:val="16"/>
              </w:rPr>
            </w:pPr>
          </w:p>
        </w:tc>
        <w:tc>
          <w:tcPr>
            <w:tcW w:w="907" w:type="dxa"/>
            <w:tcBorders>
              <w:bottom w:val="single" w:sz="4" w:space="0" w:color="auto"/>
            </w:tcBorders>
            <w:vAlign w:val="bottom"/>
          </w:tcPr>
          <w:p w14:paraId="46B81276" w14:textId="77777777" w:rsidR="00AC5C0C" w:rsidRPr="00B02BA3" w:rsidRDefault="00AC5C0C" w:rsidP="00922116">
            <w:pPr>
              <w:pStyle w:val="CellHead"/>
              <w:jc w:val="center"/>
              <w:rPr>
                <w:sz w:val="16"/>
                <w:szCs w:val="16"/>
              </w:rPr>
            </w:pPr>
            <w:r w:rsidRPr="00B02BA3">
              <w:rPr>
                <w:rFonts w:eastAsia="SimSun"/>
                <w:kern w:val="0"/>
                <w:sz w:val="16"/>
                <w:szCs w:val="16"/>
              </w:rPr>
              <w:t>Extension option</w:t>
            </w:r>
          </w:p>
        </w:tc>
        <w:tc>
          <w:tcPr>
            <w:tcW w:w="236" w:type="dxa"/>
            <w:vAlign w:val="bottom"/>
          </w:tcPr>
          <w:p w14:paraId="1EA9079F" w14:textId="77777777" w:rsidR="00AC5C0C" w:rsidRPr="00B02BA3" w:rsidRDefault="00AC5C0C" w:rsidP="00922116">
            <w:pPr>
              <w:pStyle w:val="CellHead"/>
              <w:rPr>
                <w:sz w:val="16"/>
                <w:szCs w:val="16"/>
              </w:rPr>
            </w:pPr>
          </w:p>
        </w:tc>
      </w:tr>
      <w:tr w:rsidR="00AC5C0C" w:rsidRPr="00B02BA3" w14:paraId="5070828A" w14:textId="77777777" w:rsidTr="00922116">
        <w:tc>
          <w:tcPr>
            <w:tcW w:w="3163" w:type="dxa"/>
            <w:vAlign w:val="bottom"/>
          </w:tcPr>
          <w:p w14:paraId="78B9A62A" w14:textId="77777777" w:rsidR="00AC5C0C" w:rsidRPr="00B02BA3" w:rsidRDefault="00AC5C0C" w:rsidP="00922116">
            <w:pPr>
              <w:pStyle w:val="VSmCellBody"/>
              <w:tabs>
                <w:tab w:val="right" w:leader="dot" w:pos="3163"/>
              </w:tabs>
              <w:rPr>
                <w:sz w:val="16"/>
                <w:szCs w:val="16"/>
              </w:rPr>
            </w:pPr>
            <w:r w:rsidRPr="00B02BA3">
              <w:rPr>
                <w:sz w:val="16"/>
                <w:szCs w:val="16"/>
              </w:rPr>
              <w:t>Wadi Bani Khalid</w:t>
            </w:r>
            <w:r w:rsidRPr="00B02BA3">
              <w:rPr>
                <w:rFonts w:eastAsia="SimSun" w:cs="Arial"/>
                <w:sz w:val="16"/>
                <w:szCs w:val="16"/>
              </w:rPr>
              <w:tab/>
            </w:r>
          </w:p>
        </w:tc>
        <w:tc>
          <w:tcPr>
            <w:tcW w:w="236" w:type="dxa"/>
            <w:vAlign w:val="bottom"/>
          </w:tcPr>
          <w:p w14:paraId="0528A321" w14:textId="77777777" w:rsidR="00AC5C0C" w:rsidRPr="00B02BA3" w:rsidRDefault="00AC5C0C" w:rsidP="00922116">
            <w:pPr>
              <w:pStyle w:val="CellRowSpacer"/>
              <w:rPr>
                <w:sz w:val="16"/>
                <w:szCs w:val="16"/>
              </w:rPr>
            </w:pPr>
          </w:p>
        </w:tc>
        <w:tc>
          <w:tcPr>
            <w:tcW w:w="907" w:type="dxa"/>
            <w:vAlign w:val="bottom"/>
          </w:tcPr>
          <w:p w14:paraId="0306E4DC" w14:textId="77777777" w:rsidR="00AC5C0C" w:rsidRPr="00B02BA3" w:rsidRDefault="00AC5C0C" w:rsidP="00922116">
            <w:pPr>
              <w:pStyle w:val="VSmCellBody"/>
              <w:jc w:val="right"/>
              <w:rPr>
                <w:sz w:val="16"/>
                <w:szCs w:val="16"/>
              </w:rPr>
            </w:pPr>
            <w:r w:rsidRPr="00B02BA3">
              <w:rPr>
                <w:sz w:val="16"/>
                <w:szCs w:val="16"/>
              </w:rPr>
              <w:t>ONE</w:t>
            </w:r>
          </w:p>
        </w:tc>
        <w:tc>
          <w:tcPr>
            <w:tcW w:w="236" w:type="dxa"/>
            <w:vAlign w:val="bottom"/>
          </w:tcPr>
          <w:p w14:paraId="3A86846B" w14:textId="77777777" w:rsidR="00AC5C0C" w:rsidRPr="00B02BA3" w:rsidRDefault="00AC5C0C" w:rsidP="00922116">
            <w:pPr>
              <w:pStyle w:val="CellRowSpacer"/>
              <w:rPr>
                <w:sz w:val="16"/>
                <w:szCs w:val="16"/>
              </w:rPr>
            </w:pPr>
          </w:p>
        </w:tc>
        <w:tc>
          <w:tcPr>
            <w:tcW w:w="907" w:type="dxa"/>
            <w:vAlign w:val="bottom"/>
          </w:tcPr>
          <w:p w14:paraId="5592D510" w14:textId="77777777" w:rsidR="00AC5C0C" w:rsidRPr="00B02BA3" w:rsidRDefault="00AC5C0C" w:rsidP="00922116">
            <w:pPr>
              <w:pStyle w:val="VSmCellBody"/>
              <w:jc w:val="right"/>
              <w:rPr>
                <w:sz w:val="16"/>
                <w:szCs w:val="16"/>
              </w:rPr>
            </w:pPr>
            <w:r w:rsidRPr="00B02BA3">
              <w:rPr>
                <w:sz w:val="16"/>
                <w:szCs w:val="16"/>
              </w:rPr>
              <w:t>June 2024</w:t>
            </w:r>
          </w:p>
        </w:tc>
        <w:tc>
          <w:tcPr>
            <w:tcW w:w="236" w:type="dxa"/>
            <w:vAlign w:val="bottom"/>
          </w:tcPr>
          <w:p w14:paraId="7D04AFA2" w14:textId="77777777" w:rsidR="00AC5C0C" w:rsidRPr="00B02BA3" w:rsidRDefault="00AC5C0C" w:rsidP="00922116">
            <w:pPr>
              <w:pStyle w:val="CellRowSpacer"/>
              <w:rPr>
                <w:sz w:val="16"/>
                <w:szCs w:val="16"/>
              </w:rPr>
            </w:pPr>
          </w:p>
        </w:tc>
        <w:tc>
          <w:tcPr>
            <w:tcW w:w="907" w:type="dxa"/>
            <w:vAlign w:val="bottom"/>
          </w:tcPr>
          <w:p w14:paraId="37D2DE7A" w14:textId="77777777" w:rsidR="00AC5C0C" w:rsidRPr="00B02BA3" w:rsidRDefault="00AC5C0C" w:rsidP="00922116">
            <w:pPr>
              <w:pStyle w:val="VSmCellBody"/>
              <w:jc w:val="right"/>
              <w:rPr>
                <w:sz w:val="16"/>
                <w:szCs w:val="16"/>
              </w:rPr>
            </w:pPr>
            <w:r w:rsidRPr="00B02BA3">
              <w:rPr>
                <w:sz w:val="16"/>
                <w:szCs w:val="16"/>
              </w:rPr>
              <w:t>June 2025</w:t>
            </w:r>
          </w:p>
        </w:tc>
        <w:tc>
          <w:tcPr>
            <w:tcW w:w="236" w:type="dxa"/>
            <w:vAlign w:val="bottom"/>
          </w:tcPr>
          <w:p w14:paraId="2FADB547" w14:textId="77777777" w:rsidR="00AC5C0C" w:rsidRPr="00B02BA3" w:rsidRDefault="00AC5C0C" w:rsidP="00922116">
            <w:pPr>
              <w:pStyle w:val="CellRowSpacer"/>
              <w:rPr>
                <w:sz w:val="16"/>
                <w:szCs w:val="16"/>
              </w:rPr>
            </w:pPr>
          </w:p>
        </w:tc>
        <w:tc>
          <w:tcPr>
            <w:tcW w:w="907" w:type="dxa"/>
            <w:vAlign w:val="bottom"/>
          </w:tcPr>
          <w:p w14:paraId="36103F28" w14:textId="77777777" w:rsidR="00AC5C0C" w:rsidRPr="00B02BA3" w:rsidRDefault="00AC5C0C" w:rsidP="00922116">
            <w:pPr>
              <w:pStyle w:val="VSmCellBody"/>
              <w:jc w:val="right"/>
              <w:rPr>
                <w:sz w:val="16"/>
                <w:szCs w:val="16"/>
              </w:rPr>
            </w:pPr>
            <w:r w:rsidRPr="00B02BA3">
              <w:rPr>
                <w:sz w:val="16"/>
                <w:szCs w:val="16"/>
              </w:rPr>
              <w:t>10-14 months</w:t>
            </w:r>
          </w:p>
        </w:tc>
        <w:tc>
          <w:tcPr>
            <w:tcW w:w="236" w:type="dxa"/>
            <w:vAlign w:val="bottom"/>
          </w:tcPr>
          <w:p w14:paraId="2853BD9F" w14:textId="77777777" w:rsidR="00AC5C0C" w:rsidRPr="00B02BA3" w:rsidRDefault="00AC5C0C" w:rsidP="00922116">
            <w:pPr>
              <w:pStyle w:val="CellRowSpacer"/>
              <w:rPr>
                <w:sz w:val="16"/>
                <w:szCs w:val="16"/>
              </w:rPr>
            </w:pPr>
          </w:p>
        </w:tc>
        <w:tc>
          <w:tcPr>
            <w:tcW w:w="907" w:type="dxa"/>
            <w:vAlign w:val="bottom"/>
          </w:tcPr>
          <w:p w14:paraId="2F9E394E" w14:textId="77777777" w:rsidR="00AC5C0C" w:rsidRPr="00B02BA3" w:rsidRDefault="00AC5C0C" w:rsidP="00922116">
            <w:pPr>
              <w:pStyle w:val="VSmCellBody"/>
              <w:jc w:val="right"/>
              <w:rPr>
                <w:sz w:val="16"/>
                <w:szCs w:val="16"/>
              </w:rPr>
            </w:pPr>
            <w:r w:rsidRPr="00B02BA3">
              <w:rPr>
                <w:sz w:val="16"/>
                <w:szCs w:val="16"/>
              </w:rPr>
              <w:t>—</w:t>
            </w:r>
          </w:p>
        </w:tc>
        <w:tc>
          <w:tcPr>
            <w:tcW w:w="236" w:type="dxa"/>
            <w:vAlign w:val="bottom"/>
          </w:tcPr>
          <w:p w14:paraId="6409362F" w14:textId="77777777" w:rsidR="00AC5C0C" w:rsidRPr="00B02BA3" w:rsidRDefault="00AC5C0C" w:rsidP="00922116">
            <w:pPr>
              <w:pStyle w:val="CellRowSpacer"/>
              <w:rPr>
                <w:sz w:val="16"/>
                <w:szCs w:val="16"/>
              </w:rPr>
            </w:pPr>
          </w:p>
        </w:tc>
      </w:tr>
    </w:tbl>
    <w:p w14:paraId="074CBD54" w14:textId="77777777" w:rsidR="00AC5C0C" w:rsidRDefault="00AC5C0C" w:rsidP="00AC5C0C">
      <w:pPr>
        <w:bidi/>
        <w:jc w:val="both"/>
        <w:rPr>
          <w:rFonts w:ascii="Traditional Arabic" w:hAnsi="Traditional Arabic" w:cs="Traditional Arabic"/>
          <w:sz w:val="30"/>
          <w:szCs w:val="30"/>
          <w:rtl/>
        </w:rPr>
      </w:pPr>
    </w:p>
    <w:p w14:paraId="26080726" w14:textId="77777777" w:rsidR="00334534" w:rsidRPr="00985281" w:rsidRDefault="00334534" w:rsidP="00AC5C0C">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تطوير الأسطول والمحفظة الاستثمارية</w:t>
      </w:r>
    </w:p>
    <w:p w14:paraId="1D070929"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تشغل الشركة أسطولًا متنوعًا من 89 سفينة، منها 47 سفينة مملوكة بالكامل أو </w:t>
      </w:r>
      <w:r w:rsidR="00E65E26">
        <w:rPr>
          <w:rFonts w:ascii="Traditional Arabic" w:hAnsi="Traditional Arabic" w:cs="Traditional Arabic" w:hint="cs"/>
          <w:sz w:val="30"/>
          <w:szCs w:val="30"/>
          <w:rtl/>
        </w:rPr>
        <w:t>بشكل مشترك</w:t>
      </w:r>
      <w:r w:rsidRPr="00334534">
        <w:rPr>
          <w:rFonts w:ascii="Traditional Arabic" w:hAnsi="Traditional Arabic" w:cs="Traditional Arabic"/>
          <w:sz w:val="30"/>
          <w:szCs w:val="30"/>
          <w:rtl/>
        </w:rPr>
        <w:t>، و 36 سفينة مستأجرة و 6 سفن تم طلبها في الوقت الحالي، بسعة إجمالية تبلغ 9.6 مليون طن ساكن حتى 30 سبتمبر 2024 لتلبية احتياجات العملاء ومتطلباتهم، بما في ذلك مزيج من ناقلات الغاز الطبيعي المسال، و ناقلات الغاز العملاقة، وناقلات الغاز متوسطة الحجم، وناقلات النفط الخام العملاقة، وسفن سويسماكس، وسفن أفراماكس، وسفن خام الحديد العملاقة، وسفن ألتراماكس، وسفن سوبراماكس، وسفن هانديماكس وسفن كمزارماكس، بالإضافة إلى العديد من سفن الحاويات.</w:t>
      </w:r>
    </w:p>
    <w:p w14:paraId="31F720E5" w14:textId="77777777" w:rsidR="00AC5C0C" w:rsidRDefault="00AC5C0C" w:rsidP="00334534">
      <w:pPr>
        <w:bidi/>
        <w:jc w:val="both"/>
        <w:rPr>
          <w:rFonts w:ascii="Traditional Arabic" w:hAnsi="Traditional Arabic" w:cs="Traditional Arabic"/>
          <w:sz w:val="30"/>
          <w:szCs w:val="30"/>
          <w:rtl/>
        </w:rPr>
      </w:pPr>
    </w:p>
    <w:p w14:paraId="70B5B11A"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يوضح الجدول التالي لمحة عامة عن قطاع الأعمال لأسطول الشركة المملوك ملكية تامة و</w:t>
      </w:r>
      <w:r w:rsidR="00E65E26">
        <w:rPr>
          <w:rFonts w:ascii="Traditional Arabic" w:hAnsi="Traditional Arabic" w:cs="Traditional Arabic" w:hint="cs"/>
          <w:sz w:val="30"/>
          <w:szCs w:val="30"/>
          <w:rtl/>
        </w:rPr>
        <w:t>بشكل مشترك</w:t>
      </w:r>
      <w:r w:rsidRPr="00334534">
        <w:rPr>
          <w:rFonts w:ascii="Traditional Arabic" w:hAnsi="Traditional Arabic" w:cs="Traditional Arabic"/>
          <w:sz w:val="30"/>
          <w:szCs w:val="30"/>
          <w:rtl/>
        </w:rPr>
        <w:t xml:space="preserve"> والمستأجر حتى 30 سبتمبر 2024: </w:t>
      </w:r>
    </w:p>
    <w:p w14:paraId="05583054" w14:textId="77777777" w:rsidR="00334534" w:rsidRDefault="00334534" w:rsidP="00334534">
      <w:pPr>
        <w:bidi/>
        <w:jc w:val="both"/>
        <w:rPr>
          <w:rFonts w:ascii="Traditional Arabic" w:hAnsi="Traditional Arabic" w:cs="Traditional Arabic"/>
          <w:sz w:val="30"/>
          <w:szCs w:val="30"/>
          <w:rtl/>
        </w:rPr>
      </w:pPr>
    </w:p>
    <w:tbl>
      <w:tblPr>
        <w:tblW w:w="9048" w:type="dxa"/>
        <w:tblInd w:w="437" w:type="dxa"/>
        <w:tblLayout w:type="fixed"/>
        <w:tblCellMar>
          <w:left w:w="0" w:type="dxa"/>
          <w:right w:w="0" w:type="dxa"/>
        </w:tblCellMar>
        <w:tblLook w:val="0000" w:firstRow="0" w:lastRow="0" w:firstColumn="0" w:lastColumn="0" w:noHBand="0" w:noVBand="0"/>
      </w:tblPr>
      <w:tblGrid>
        <w:gridCol w:w="2173"/>
        <w:gridCol w:w="270"/>
        <w:gridCol w:w="1170"/>
        <w:gridCol w:w="270"/>
        <w:gridCol w:w="1080"/>
        <w:gridCol w:w="270"/>
        <w:gridCol w:w="1080"/>
        <w:gridCol w:w="270"/>
        <w:gridCol w:w="990"/>
        <w:gridCol w:w="270"/>
        <w:gridCol w:w="978"/>
        <w:gridCol w:w="227"/>
      </w:tblGrid>
      <w:tr w:rsidR="00AC5C0C" w:rsidRPr="00B02BA3" w14:paraId="24744B78" w14:textId="77777777" w:rsidTr="00922116">
        <w:trPr>
          <w:trHeight w:val="655"/>
          <w:tblHeader/>
        </w:trPr>
        <w:tc>
          <w:tcPr>
            <w:tcW w:w="2173" w:type="dxa"/>
            <w:vAlign w:val="bottom"/>
          </w:tcPr>
          <w:p w14:paraId="2342BFFD" w14:textId="77777777" w:rsidR="00AC5C0C" w:rsidRPr="00B02BA3" w:rsidRDefault="00AC5C0C" w:rsidP="00922116">
            <w:pPr>
              <w:pStyle w:val="VSmCellHead"/>
              <w:rPr>
                <w:sz w:val="16"/>
                <w:szCs w:val="16"/>
              </w:rPr>
            </w:pPr>
          </w:p>
        </w:tc>
        <w:tc>
          <w:tcPr>
            <w:tcW w:w="270" w:type="dxa"/>
            <w:vAlign w:val="bottom"/>
          </w:tcPr>
          <w:p w14:paraId="52CC0C99" w14:textId="77777777" w:rsidR="00AC5C0C" w:rsidRPr="00B02BA3" w:rsidRDefault="00AC5C0C" w:rsidP="00922116">
            <w:pPr>
              <w:pStyle w:val="CellRowSpacer"/>
              <w:spacing w:after="120"/>
              <w:rPr>
                <w:sz w:val="16"/>
                <w:szCs w:val="16"/>
              </w:rPr>
            </w:pPr>
          </w:p>
        </w:tc>
        <w:tc>
          <w:tcPr>
            <w:tcW w:w="1170" w:type="dxa"/>
            <w:vAlign w:val="bottom"/>
          </w:tcPr>
          <w:p w14:paraId="790C328E" w14:textId="77777777" w:rsidR="00AC5C0C" w:rsidRPr="00B02BA3" w:rsidRDefault="00AC5C0C" w:rsidP="00922116">
            <w:pPr>
              <w:pStyle w:val="VSmCellHead"/>
              <w:jc w:val="center"/>
              <w:rPr>
                <w:sz w:val="16"/>
                <w:szCs w:val="16"/>
              </w:rPr>
            </w:pPr>
            <w:r w:rsidRPr="00B02BA3">
              <w:rPr>
                <w:sz w:val="16"/>
                <w:szCs w:val="16"/>
              </w:rPr>
              <w:t xml:space="preserve">Crude Shipping </w:t>
            </w:r>
          </w:p>
        </w:tc>
        <w:tc>
          <w:tcPr>
            <w:tcW w:w="270" w:type="dxa"/>
            <w:vAlign w:val="bottom"/>
          </w:tcPr>
          <w:p w14:paraId="63FC5DC8" w14:textId="77777777" w:rsidR="00AC5C0C" w:rsidRPr="00B02BA3" w:rsidRDefault="00AC5C0C" w:rsidP="00922116">
            <w:pPr>
              <w:pStyle w:val="CellRowSpacer"/>
              <w:spacing w:after="120"/>
              <w:jc w:val="center"/>
              <w:rPr>
                <w:sz w:val="16"/>
                <w:szCs w:val="16"/>
              </w:rPr>
            </w:pPr>
          </w:p>
        </w:tc>
        <w:tc>
          <w:tcPr>
            <w:tcW w:w="1080" w:type="dxa"/>
            <w:vAlign w:val="bottom"/>
          </w:tcPr>
          <w:p w14:paraId="63A6A695" w14:textId="77777777" w:rsidR="00AC5C0C" w:rsidRPr="00B02BA3" w:rsidRDefault="00AC5C0C" w:rsidP="00922116">
            <w:pPr>
              <w:pStyle w:val="VSmCellHead"/>
              <w:jc w:val="center"/>
              <w:rPr>
                <w:sz w:val="16"/>
                <w:szCs w:val="16"/>
              </w:rPr>
            </w:pPr>
            <w:r w:rsidRPr="00B02BA3">
              <w:rPr>
                <w:sz w:val="16"/>
                <w:szCs w:val="16"/>
              </w:rPr>
              <w:t>Products Shipping</w:t>
            </w:r>
          </w:p>
        </w:tc>
        <w:tc>
          <w:tcPr>
            <w:tcW w:w="270" w:type="dxa"/>
            <w:vAlign w:val="bottom"/>
          </w:tcPr>
          <w:p w14:paraId="0B5195AC" w14:textId="77777777" w:rsidR="00AC5C0C" w:rsidRPr="00B02BA3" w:rsidRDefault="00AC5C0C" w:rsidP="00922116">
            <w:pPr>
              <w:pStyle w:val="CellRowSpacer"/>
              <w:spacing w:after="120"/>
              <w:jc w:val="center"/>
              <w:rPr>
                <w:sz w:val="16"/>
                <w:szCs w:val="16"/>
              </w:rPr>
            </w:pPr>
          </w:p>
        </w:tc>
        <w:tc>
          <w:tcPr>
            <w:tcW w:w="1080" w:type="dxa"/>
            <w:vAlign w:val="bottom"/>
          </w:tcPr>
          <w:p w14:paraId="53E79E68" w14:textId="77777777" w:rsidR="00AC5C0C" w:rsidRPr="00B02BA3" w:rsidRDefault="00AC5C0C" w:rsidP="00922116">
            <w:pPr>
              <w:pStyle w:val="VSmCellHead"/>
              <w:jc w:val="center"/>
              <w:rPr>
                <w:sz w:val="16"/>
                <w:szCs w:val="16"/>
              </w:rPr>
            </w:pPr>
            <w:r w:rsidRPr="00B02BA3">
              <w:rPr>
                <w:sz w:val="16"/>
                <w:szCs w:val="16"/>
              </w:rPr>
              <w:t>Dry B</w:t>
            </w:r>
            <w:r w:rsidRPr="00240371">
              <w:rPr>
                <w:noProof/>
                <w:sz w:val="16"/>
              </w:rPr>
              <mc:AlternateContent>
                <mc:Choice Requires="wps">
                  <w:drawing>
                    <wp:anchor distT="0" distB="0" distL="114300" distR="114300" simplePos="0" relativeHeight="251658240" behindDoc="0" locked="0" layoutInCell="0" allowOverlap="1" wp14:anchorId="3D7C46C4" wp14:editId="63B39775">
                      <wp:simplePos x="0" y="0"/>
                      <wp:positionH relativeFrom="page">
                        <wp:posOffset>6840855</wp:posOffset>
                      </wp:positionH>
                      <wp:positionV relativeFrom="paragraph">
                        <wp:posOffset>0</wp:posOffset>
                      </wp:positionV>
                      <wp:extent cx="539750" cy="194945"/>
                      <wp:effectExtent l="1905" t="0" r="1270" b="0"/>
                      <wp:wrapNone/>
                      <wp:docPr id="12757757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1615E" w14:textId="77777777" w:rsidR="00893A9A" w:rsidRPr="00CF30B0" w:rsidRDefault="00893A9A" w:rsidP="00AC5C0C">
                                  <w:pPr>
                                    <w:rPr>
                                      <w:sz w:val="12"/>
                                      <w:szCs w:val="1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7C46C4" id="_x0000_t202" coordsize="21600,21600" o:spt="202" path="m,l,21600r21600,l21600,xe">
                      <v:stroke joinstyle="miter"/>
                      <v:path gradientshapeok="t" o:connecttype="rect"/>
                    </v:shapetype>
                    <v:shape id="Text Box 1" o:spid="_x0000_s1026" type="#_x0000_t202" style="position:absolute;left:0;text-align:left;margin-left:538.65pt;margin-top:0;width:42.5pt;height:1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" o:allowincell="f" filled="f" stroked="f">
                      <v:textbox style="mso-fit-shape-to-text:t" inset="0,0,0,0">
                        <w:txbxContent>
                          <w:p w14:paraId="3561615E" w14:textId="77777777" w:rsidR="00893A9A" w:rsidRPr="00CF30B0" w:rsidRDefault="00893A9A" w:rsidP="00AC5C0C">
                            <w:pPr>
                              <w:rPr>
                                <w:sz w:val="12"/>
                                <w:szCs w:val="12"/>
                              </w:rPr>
                            </w:pPr>
                          </w:p>
                        </w:txbxContent>
                      </v:textbox>
                      <w10:wrap anchorx="page"/>
                    </v:shape>
                  </w:pict>
                </mc:Fallback>
              </mc:AlternateContent>
            </w:r>
            <w:r w:rsidRPr="00B02BA3">
              <w:rPr>
                <w:sz w:val="16"/>
                <w:szCs w:val="16"/>
              </w:rPr>
              <w:t>ulk Shipping</w:t>
            </w:r>
          </w:p>
        </w:tc>
        <w:tc>
          <w:tcPr>
            <w:tcW w:w="270" w:type="dxa"/>
            <w:vAlign w:val="bottom"/>
          </w:tcPr>
          <w:p w14:paraId="77B4DB16" w14:textId="77777777" w:rsidR="00AC5C0C" w:rsidRPr="00B02BA3" w:rsidRDefault="00AC5C0C" w:rsidP="00922116">
            <w:pPr>
              <w:pStyle w:val="CellRowSpacer"/>
              <w:spacing w:after="120"/>
              <w:jc w:val="center"/>
              <w:rPr>
                <w:sz w:val="16"/>
                <w:szCs w:val="16"/>
              </w:rPr>
            </w:pPr>
          </w:p>
        </w:tc>
        <w:tc>
          <w:tcPr>
            <w:tcW w:w="990" w:type="dxa"/>
            <w:vAlign w:val="bottom"/>
          </w:tcPr>
          <w:p w14:paraId="7045DCFD" w14:textId="77777777" w:rsidR="00AC5C0C" w:rsidRPr="00B02BA3" w:rsidRDefault="00AC5C0C" w:rsidP="00922116">
            <w:pPr>
              <w:pStyle w:val="VSmCellHead"/>
              <w:jc w:val="center"/>
              <w:rPr>
                <w:sz w:val="16"/>
                <w:szCs w:val="16"/>
              </w:rPr>
            </w:pPr>
            <w:r w:rsidRPr="00B02BA3">
              <w:rPr>
                <w:sz w:val="16"/>
                <w:szCs w:val="16"/>
              </w:rPr>
              <w:t>Gas Shipping</w:t>
            </w:r>
          </w:p>
        </w:tc>
        <w:tc>
          <w:tcPr>
            <w:tcW w:w="270" w:type="dxa"/>
            <w:vAlign w:val="bottom"/>
          </w:tcPr>
          <w:p w14:paraId="433BDBCF" w14:textId="77777777" w:rsidR="00AC5C0C" w:rsidRPr="00B02BA3" w:rsidRDefault="00AC5C0C" w:rsidP="00922116">
            <w:pPr>
              <w:pStyle w:val="CellRowSpacer"/>
              <w:spacing w:after="120"/>
              <w:jc w:val="center"/>
              <w:rPr>
                <w:sz w:val="16"/>
                <w:szCs w:val="16"/>
              </w:rPr>
            </w:pPr>
          </w:p>
        </w:tc>
        <w:tc>
          <w:tcPr>
            <w:tcW w:w="978" w:type="dxa"/>
            <w:vAlign w:val="bottom"/>
          </w:tcPr>
          <w:p w14:paraId="6A6C5E73" w14:textId="77777777" w:rsidR="00AC5C0C" w:rsidRPr="00B02BA3" w:rsidRDefault="00AC5C0C" w:rsidP="00922116">
            <w:pPr>
              <w:pStyle w:val="VSmCellHead"/>
              <w:jc w:val="center"/>
              <w:rPr>
                <w:sz w:val="16"/>
                <w:szCs w:val="16"/>
              </w:rPr>
            </w:pPr>
            <w:r w:rsidRPr="00B02BA3">
              <w:rPr>
                <w:sz w:val="16"/>
                <w:szCs w:val="16"/>
              </w:rPr>
              <w:t>Liner Shipping</w:t>
            </w:r>
          </w:p>
        </w:tc>
        <w:tc>
          <w:tcPr>
            <w:tcW w:w="227" w:type="dxa"/>
            <w:vAlign w:val="bottom"/>
          </w:tcPr>
          <w:p w14:paraId="5A706234" w14:textId="77777777" w:rsidR="00AC5C0C" w:rsidRPr="00B02BA3" w:rsidRDefault="00AC5C0C" w:rsidP="00922116">
            <w:pPr>
              <w:pStyle w:val="CellRowSpacer"/>
              <w:spacing w:after="120"/>
              <w:rPr>
                <w:sz w:val="16"/>
                <w:szCs w:val="16"/>
              </w:rPr>
            </w:pPr>
          </w:p>
        </w:tc>
      </w:tr>
      <w:tr w:rsidR="00AC5C0C" w:rsidRPr="00B02BA3" w14:paraId="7061F024" w14:textId="77777777" w:rsidTr="00922116">
        <w:trPr>
          <w:trHeight w:val="554"/>
        </w:trPr>
        <w:tc>
          <w:tcPr>
            <w:tcW w:w="2173" w:type="dxa"/>
            <w:vAlign w:val="bottom"/>
          </w:tcPr>
          <w:p w14:paraId="1C80079F" w14:textId="77777777" w:rsidR="00AC5C0C" w:rsidRPr="00B02BA3" w:rsidRDefault="00AC5C0C" w:rsidP="00922116">
            <w:pPr>
              <w:pStyle w:val="VSmCellBody"/>
              <w:tabs>
                <w:tab w:val="right" w:leader="dot" w:pos="3163"/>
              </w:tabs>
              <w:rPr>
                <w:sz w:val="16"/>
                <w:szCs w:val="16"/>
              </w:rPr>
            </w:pPr>
            <w:r w:rsidRPr="00B02BA3">
              <w:rPr>
                <w:bCs/>
                <w:sz w:val="16"/>
                <w:szCs w:val="16"/>
              </w:rPr>
              <w:t>Owned and co-owned vessels (+orderbook)</w:t>
            </w:r>
            <w:r w:rsidRPr="00B02BA3">
              <w:rPr>
                <w:bCs/>
                <w:sz w:val="16"/>
                <w:szCs w:val="16"/>
                <w:vertAlign w:val="superscript"/>
              </w:rPr>
              <w:t>(1)</w:t>
            </w:r>
            <w:r w:rsidRPr="00B02BA3">
              <w:rPr>
                <w:bCs/>
                <w:sz w:val="16"/>
                <w:szCs w:val="16"/>
              </w:rPr>
              <w:tab/>
            </w:r>
          </w:p>
        </w:tc>
        <w:tc>
          <w:tcPr>
            <w:tcW w:w="270" w:type="dxa"/>
            <w:vAlign w:val="bottom"/>
          </w:tcPr>
          <w:p w14:paraId="76B12E1C" w14:textId="77777777" w:rsidR="00AC5C0C" w:rsidRPr="00B02BA3" w:rsidRDefault="00AC5C0C" w:rsidP="00922116">
            <w:pPr>
              <w:pStyle w:val="CellRowSpacer"/>
              <w:rPr>
                <w:sz w:val="16"/>
                <w:szCs w:val="16"/>
              </w:rPr>
            </w:pPr>
          </w:p>
        </w:tc>
        <w:tc>
          <w:tcPr>
            <w:tcW w:w="1170" w:type="dxa"/>
            <w:tcBorders>
              <w:top w:val="single" w:sz="4" w:space="0" w:color="auto"/>
            </w:tcBorders>
            <w:vAlign w:val="bottom"/>
          </w:tcPr>
          <w:p w14:paraId="0642CFBA" w14:textId="77777777" w:rsidR="00AC5C0C" w:rsidRPr="00B02BA3" w:rsidRDefault="00AC5C0C" w:rsidP="00922116">
            <w:pPr>
              <w:pStyle w:val="VSmCellBody"/>
              <w:jc w:val="right"/>
              <w:rPr>
                <w:sz w:val="16"/>
                <w:szCs w:val="16"/>
              </w:rPr>
            </w:pPr>
            <w:r w:rsidRPr="00B02BA3">
              <w:rPr>
                <w:bCs/>
                <w:sz w:val="16"/>
                <w:szCs w:val="16"/>
              </w:rPr>
              <w:t>12 (+4)</w:t>
            </w:r>
          </w:p>
        </w:tc>
        <w:tc>
          <w:tcPr>
            <w:tcW w:w="270" w:type="dxa"/>
            <w:vAlign w:val="bottom"/>
          </w:tcPr>
          <w:p w14:paraId="4C27C73F" w14:textId="77777777" w:rsidR="00AC5C0C" w:rsidRPr="00B02BA3" w:rsidRDefault="00AC5C0C" w:rsidP="00922116">
            <w:pPr>
              <w:pStyle w:val="CellRowSpacer"/>
              <w:rPr>
                <w:sz w:val="16"/>
                <w:szCs w:val="16"/>
              </w:rPr>
            </w:pPr>
          </w:p>
        </w:tc>
        <w:tc>
          <w:tcPr>
            <w:tcW w:w="1080" w:type="dxa"/>
            <w:tcBorders>
              <w:top w:val="single" w:sz="4" w:space="0" w:color="auto"/>
            </w:tcBorders>
            <w:vAlign w:val="bottom"/>
          </w:tcPr>
          <w:p w14:paraId="2D1389F7" w14:textId="77777777" w:rsidR="00AC5C0C" w:rsidRPr="00B02BA3" w:rsidRDefault="00AC5C0C" w:rsidP="00922116">
            <w:pPr>
              <w:pStyle w:val="VSmCellBody"/>
              <w:jc w:val="right"/>
              <w:rPr>
                <w:sz w:val="16"/>
                <w:szCs w:val="16"/>
              </w:rPr>
            </w:pPr>
            <w:r w:rsidRPr="00B02BA3">
              <w:rPr>
                <w:bCs/>
                <w:sz w:val="16"/>
                <w:szCs w:val="16"/>
              </w:rPr>
              <w:t>15</w:t>
            </w:r>
          </w:p>
        </w:tc>
        <w:tc>
          <w:tcPr>
            <w:tcW w:w="270" w:type="dxa"/>
            <w:vAlign w:val="bottom"/>
          </w:tcPr>
          <w:p w14:paraId="61A0868B" w14:textId="77777777" w:rsidR="00AC5C0C" w:rsidRPr="00B02BA3" w:rsidRDefault="00AC5C0C" w:rsidP="00922116">
            <w:pPr>
              <w:pStyle w:val="CellRowSpacer"/>
              <w:rPr>
                <w:sz w:val="16"/>
                <w:szCs w:val="16"/>
              </w:rPr>
            </w:pPr>
          </w:p>
        </w:tc>
        <w:tc>
          <w:tcPr>
            <w:tcW w:w="1080" w:type="dxa"/>
            <w:tcBorders>
              <w:top w:val="single" w:sz="4" w:space="0" w:color="auto"/>
            </w:tcBorders>
            <w:vAlign w:val="bottom"/>
          </w:tcPr>
          <w:p w14:paraId="66567D14" w14:textId="77777777" w:rsidR="00AC5C0C" w:rsidRPr="00B02BA3" w:rsidDel="00294B1E" w:rsidRDefault="00AC5C0C" w:rsidP="00922116">
            <w:pPr>
              <w:pStyle w:val="VSmCellBody"/>
              <w:jc w:val="right"/>
              <w:rPr>
                <w:sz w:val="16"/>
                <w:szCs w:val="16"/>
              </w:rPr>
            </w:pPr>
            <w:r w:rsidRPr="00B02BA3">
              <w:rPr>
                <w:bCs/>
                <w:sz w:val="16"/>
                <w:szCs w:val="16"/>
              </w:rPr>
              <w:t>11</w:t>
            </w:r>
          </w:p>
        </w:tc>
        <w:tc>
          <w:tcPr>
            <w:tcW w:w="270" w:type="dxa"/>
            <w:vAlign w:val="bottom"/>
          </w:tcPr>
          <w:p w14:paraId="1F094867" w14:textId="77777777" w:rsidR="00AC5C0C" w:rsidRPr="00B02BA3" w:rsidRDefault="00AC5C0C" w:rsidP="00922116">
            <w:pPr>
              <w:pStyle w:val="CellRowSpacer"/>
              <w:rPr>
                <w:sz w:val="16"/>
                <w:szCs w:val="16"/>
              </w:rPr>
            </w:pPr>
          </w:p>
        </w:tc>
        <w:tc>
          <w:tcPr>
            <w:tcW w:w="990" w:type="dxa"/>
            <w:tcBorders>
              <w:top w:val="single" w:sz="4" w:space="0" w:color="auto"/>
            </w:tcBorders>
            <w:vAlign w:val="bottom"/>
          </w:tcPr>
          <w:p w14:paraId="422B4C9E" w14:textId="77777777" w:rsidR="00AC5C0C" w:rsidRPr="00B02BA3" w:rsidRDefault="00AC5C0C" w:rsidP="00922116">
            <w:pPr>
              <w:pStyle w:val="VSmCellBody"/>
              <w:jc w:val="right"/>
              <w:rPr>
                <w:sz w:val="16"/>
                <w:szCs w:val="16"/>
              </w:rPr>
            </w:pPr>
            <w:r w:rsidRPr="00B02BA3">
              <w:rPr>
                <w:bCs/>
                <w:sz w:val="16"/>
                <w:szCs w:val="16"/>
              </w:rPr>
              <w:t>7 (+2)</w:t>
            </w:r>
          </w:p>
        </w:tc>
        <w:tc>
          <w:tcPr>
            <w:tcW w:w="270" w:type="dxa"/>
            <w:vAlign w:val="bottom"/>
          </w:tcPr>
          <w:p w14:paraId="122721E4" w14:textId="77777777" w:rsidR="00AC5C0C" w:rsidRPr="00B02BA3" w:rsidRDefault="00AC5C0C" w:rsidP="00922116">
            <w:pPr>
              <w:pStyle w:val="CellRowSpacer"/>
              <w:rPr>
                <w:sz w:val="16"/>
                <w:szCs w:val="16"/>
              </w:rPr>
            </w:pPr>
          </w:p>
        </w:tc>
        <w:tc>
          <w:tcPr>
            <w:tcW w:w="978" w:type="dxa"/>
            <w:tcBorders>
              <w:top w:val="single" w:sz="4" w:space="0" w:color="auto"/>
            </w:tcBorders>
            <w:vAlign w:val="bottom"/>
          </w:tcPr>
          <w:p w14:paraId="024BEF2A" w14:textId="77777777" w:rsidR="00AC5C0C" w:rsidRPr="00B02BA3" w:rsidRDefault="00AC5C0C" w:rsidP="00922116">
            <w:pPr>
              <w:pStyle w:val="VSmCellBody"/>
              <w:jc w:val="right"/>
              <w:rPr>
                <w:sz w:val="16"/>
                <w:szCs w:val="16"/>
              </w:rPr>
            </w:pPr>
            <w:r w:rsidRPr="00B02BA3">
              <w:rPr>
                <w:bCs/>
                <w:sz w:val="16"/>
                <w:szCs w:val="16"/>
              </w:rPr>
              <w:t>3</w:t>
            </w:r>
          </w:p>
        </w:tc>
        <w:tc>
          <w:tcPr>
            <w:tcW w:w="227" w:type="dxa"/>
            <w:vAlign w:val="bottom"/>
          </w:tcPr>
          <w:p w14:paraId="3622CEBD" w14:textId="77777777" w:rsidR="00AC5C0C" w:rsidRPr="00B02BA3" w:rsidRDefault="00AC5C0C" w:rsidP="00922116">
            <w:pPr>
              <w:pStyle w:val="CellRowSpacer"/>
              <w:rPr>
                <w:sz w:val="16"/>
                <w:szCs w:val="16"/>
              </w:rPr>
            </w:pPr>
          </w:p>
        </w:tc>
      </w:tr>
      <w:tr w:rsidR="00AC5C0C" w:rsidRPr="00B02BA3" w14:paraId="61D672E2" w14:textId="77777777" w:rsidTr="00922116">
        <w:trPr>
          <w:trHeight w:val="554"/>
        </w:trPr>
        <w:tc>
          <w:tcPr>
            <w:tcW w:w="2173" w:type="dxa"/>
            <w:vAlign w:val="bottom"/>
          </w:tcPr>
          <w:p w14:paraId="784690DB" w14:textId="77777777" w:rsidR="00AC5C0C" w:rsidRPr="00B02BA3" w:rsidRDefault="00AC5C0C" w:rsidP="00922116">
            <w:pPr>
              <w:pStyle w:val="VSmCellBody"/>
              <w:tabs>
                <w:tab w:val="right" w:leader="dot" w:pos="3163"/>
              </w:tabs>
              <w:rPr>
                <w:sz w:val="16"/>
                <w:szCs w:val="16"/>
              </w:rPr>
            </w:pPr>
            <w:r w:rsidRPr="00B02BA3">
              <w:rPr>
                <w:sz w:val="16"/>
                <w:szCs w:val="16"/>
              </w:rPr>
              <w:t>Chartered-in vessels</w:t>
            </w:r>
            <w:r w:rsidRPr="00B02BA3">
              <w:rPr>
                <w:sz w:val="16"/>
                <w:szCs w:val="16"/>
              </w:rPr>
              <w:tab/>
            </w:r>
          </w:p>
        </w:tc>
        <w:tc>
          <w:tcPr>
            <w:tcW w:w="270" w:type="dxa"/>
            <w:vAlign w:val="bottom"/>
          </w:tcPr>
          <w:p w14:paraId="46302475" w14:textId="77777777" w:rsidR="00AC5C0C" w:rsidRPr="00B02BA3" w:rsidRDefault="00AC5C0C" w:rsidP="00922116">
            <w:pPr>
              <w:pStyle w:val="CellRowSpacer"/>
              <w:rPr>
                <w:sz w:val="16"/>
                <w:szCs w:val="16"/>
              </w:rPr>
            </w:pPr>
          </w:p>
        </w:tc>
        <w:tc>
          <w:tcPr>
            <w:tcW w:w="1170" w:type="dxa"/>
            <w:vAlign w:val="bottom"/>
          </w:tcPr>
          <w:p w14:paraId="3FF382EE" w14:textId="77777777" w:rsidR="00AC5C0C" w:rsidRPr="00B02BA3" w:rsidRDefault="00AC5C0C" w:rsidP="00922116">
            <w:pPr>
              <w:pStyle w:val="VSmCellBody"/>
              <w:jc w:val="right"/>
              <w:rPr>
                <w:sz w:val="16"/>
                <w:szCs w:val="16"/>
              </w:rPr>
            </w:pPr>
            <w:r w:rsidRPr="00B02BA3">
              <w:rPr>
                <w:sz w:val="16"/>
                <w:szCs w:val="16"/>
              </w:rPr>
              <w:t>6</w:t>
            </w:r>
          </w:p>
        </w:tc>
        <w:tc>
          <w:tcPr>
            <w:tcW w:w="270" w:type="dxa"/>
            <w:vAlign w:val="bottom"/>
          </w:tcPr>
          <w:p w14:paraId="7BF2C9E9" w14:textId="77777777" w:rsidR="00AC5C0C" w:rsidRPr="00B02BA3" w:rsidRDefault="00AC5C0C" w:rsidP="00922116">
            <w:pPr>
              <w:pStyle w:val="CellRowSpacer"/>
              <w:rPr>
                <w:sz w:val="16"/>
                <w:szCs w:val="16"/>
              </w:rPr>
            </w:pPr>
          </w:p>
        </w:tc>
        <w:tc>
          <w:tcPr>
            <w:tcW w:w="1080" w:type="dxa"/>
            <w:vAlign w:val="bottom"/>
          </w:tcPr>
          <w:p w14:paraId="2C38ED9A" w14:textId="77777777" w:rsidR="00AC5C0C" w:rsidRPr="00B02BA3" w:rsidRDefault="00AC5C0C" w:rsidP="00922116">
            <w:pPr>
              <w:pStyle w:val="VSmCellBody"/>
              <w:jc w:val="right"/>
              <w:rPr>
                <w:sz w:val="16"/>
                <w:szCs w:val="16"/>
              </w:rPr>
            </w:pPr>
            <w:r w:rsidRPr="00B02BA3">
              <w:rPr>
                <w:sz w:val="16"/>
                <w:szCs w:val="16"/>
              </w:rPr>
              <w:t>19</w:t>
            </w:r>
          </w:p>
        </w:tc>
        <w:tc>
          <w:tcPr>
            <w:tcW w:w="270" w:type="dxa"/>
            <w:vAlign w:val="bottom"/>
          </w:tcPr>
          <w:p w14:paraId="1EFFED76" w14:textId="77777777" w:rsidR="00AC5C0C" w:rsidRPr="00B02BA3" w:rsidRDefault="00AC5C0C" w:rsidP="00922116">
            <w:pPr>
              <w:pStyle w:val="CellRowSpacer"/>
              <w:rPr>
                <w:sz w:val="16"/>
                <w:szCs w:val="16"/>
              </w:rPr>
            </w:pPr>
          </w:p>
        </w:tc>
        <w:tc>
          <w:tcPr>
            <w:tcW w:w="1080" w:type="dxa"/>
            <w:vAlign w:val="bottom"/>
          </w:tcPr>
          <w:p w14:paraId="5B458A67" w14:textId="77777777" w:rsidR="00AC5C0C" w:rsidRPr="00B02BA3" w:rsidRDefault="00AC5C0C" w:rsidP="00922116">
            <w:pPr>
              <w:pStyle w:val="VSmCellBody"/>
              <w:jc w:val="right"/>
              <w:rPr>
                <w:sz w:val="16"/>
                <w:szCs w:val="16"/>
              </w:rPr>
            </w:pPr>
            <w:r w:rsidRPr="00B02BA3">
              <w:rPr>
                <w:sz w:val="16"/>
                <w:szCs w:val="16"/>
              </w:rPr>
              <w:t>7</w:t>
            </w:r>
          </w:p>
        </w:tc>
        <w:tc>
          <w:tcPr>
            <w:tcW w:w="270" w:type="dxa"/>
            <w:vAlign w:val="bottom"/>
          </w:tcPr>
          <w:p w14:paraId="15DB76A6" w14:textId="77777777" w:rsidR="00AC5C0C" w:rsidRPr="00B02BA3" w:rsidRDefault="00AC5C0C" w:rsidP="00922116">
            <w:pPr>
              <w:pStyle w:val="CellRowSpacer"/>
              <w:rPr>
                <w:sz w:val="16"/>
                <w:szCs w:val="16"/>
              </w:rPr>
            </w:pPr>
          </w:p>
        </w:tc>
        <w:tc>
          <w:tcPr>
            <w:tcW w:w="990" w:type="dxa"/>
            <w:vAlign w:val="bottom"/>
          </w:tcPr>
          <w:p w14:paraId="1F6380FE" w14:textId="77777777" w:rsidR="00AC5C0C" w:rsidRPr="00B02BA3" w:rsidRDefault="00AC5C0C" w:rsidP="00922116">
            <w:pPr>
              <w:pStyle w:val="VSmCellBody"/>
              <w:jc w:val="right"/>
              <w:rPr>
                <w:sz w:val="16"/>
                <w:szCs w:val="16"/>
              </w:rPr>
            </w:pPr>
            <w:r w:rsidRPr="00B02BA3">
              <w:rPr>
                <w:sz w:val="16"/>
                <w:szCs w:val="16"/>
              </w:rPr>
              <w:t>1</w:t>
            </w:r>
          </w:p>
        </w:tc>
        <w:tc>
          <w:tcPr>
            <w:tcW w:w="270" w:type="dxa"/>
            <w:vAlign w:val="bottom"/>
          </w:tcPr>
          <w:p w14:paraId="47585D13" w14:textId="77777777" w:rsidR="00AC5C0C" w:rsidRPr="00B02BA3" w:rsidRDefault="00AC5C0C" w:rsidP="00922116">
            <w:pPr>
              <w:pStyle w:val="CellRowSpacer"/>
              <w:rPr>
                <w:sz w:val="16"/>
                <w:szCs w:val="16"/>
              </w:rPr>
            </w:pPr>
          </w:p>
        </w:tc>
        <w:tc>
          <w:tcPr>
            <w:tcW w:w="978" w:type="dxa"/>
            <w:vAlign w:val="bottom"/>
          </w:tcPr>
          <w:p w14:paraId="23F782B6" w14:textId="77777777" w:rsidR="00AC5C0C" w:rsidRPr="00B02BA3" w:rsidRDefault="00AC5C0C" w:rsidP="00922116">
            <w:pPr>
              <w:pStyle w:val="VSmCellBody"/>
              <w:jc w:val="right"/>
              <w:rPr>
                <w:sz w:val="16"/>
                <w:szCs w:val="16"/>
              </w:rPr>
            </w:pPr>
            <w:r w:rsidRPr="00B02BA3">
              <w:rPr>
                <w:sz w:val="16"/>
                <w:szCs w:val="16"/>
              </w:rPr>
              <w:t>2</w:t>
            </w:r>
          </w:p>
        </w:tc>
        <w:tc>
          <w:tcPr>
            <w:tcW w:w="227" w:type="dxa"/>
            <w:vAlign w:val="bottom"/>
          </w:tcPr>
          <w:p w14:paraId="695E4DAA" w14:textId="77777777" w:rsidR="00AC5C0C" w:rsidRPr="00B02BA3" w:rsidRDefault="00AC5C0C" w:rsidP="00922116">
            <w:pPr>
              <w:pStyle w:val="CellRowSpacer"/>
              <w:rPr>
                <w:sz w:val="16"/>
                <w:szCs w:val="16"/>
              </w:rPr>
            </w:pPr>
          </w:p>
        </w:tc>
      </w:tr>
      <w:tr w:rsidR="00AC5C0C" w:rsidRPr="00B02BA3" w14:paraId="2BA9226B" w14:textId="77777777" w:rsidTr="00922116">
        <w:trPr>
          <w:trHeight w:val="335"/>
        </w:trPr>
        <w:tc>
          <w:tcPr>
            <w:tcW w:w="2173" w:type="dxa"/>
            <w:vAlign w:val="bottom"/>
          </w:tcPr>
          <w:p w14:paraId="7B02392A" w14:textId="77777777" w:rsidR="00AC5C0C" w:rsidRPr="00B02BA3" w:rsidRDefault="00AC5C0C" w:rsidP="00922116">
            <w:pPr>
              <w:pStyle w:val="VSmCellBody"/>
              <w:tabs>
                <w:tab w:val="right" w:leader="dot" w:pos="3163"/>
              </w:tabs>
              <w:rPr>
                <w:sz w:val="16"/>
                <w:szCs w:val="16"/>
              </w:rPr>
            </w:pPr>
            <w:r w:rsidRPr="00B02BA3">
              <w:rPr>
                <w:sz w:val="16"/>
                <w:szCs w:val="16"/>
              </w:rPr>
              <w:t>Average age</w:t>
            </w:r>
            <w:r w:rsidRPr="00B02BA3">
              <w:rPr>
                <w:sz w:val="16"/>
                <w:szCs w:val="16"/>
              </w:rPr>
              <w:tab/>
            </w:r>
          </w:p>
        </w:tc>
        <w:tc>
          <w:tcPr>
            <w:tcW w:w="270" w:type="dxa"/>
            <w:vAlign w:val="bottom"/>
          </w:tcPr>
          <w:p w14:paraId="1F580422" w14:textId="77777777" w:rsidR="00AC5C0C" w:rsidRPr="00B02BA3" w:rsidRDefault="00AC5C0C" w:rsidP="00922116">
            <w:pPr>
              <w:pStyle w:val="CellRowSpacer"/>
              <w:rPr>
                <w:sz w:val="16"/>
                <w:szCs w:val="16"/>
              </w:rPr>
            </w:pPr>
          </w:p>
        </w:tc>
        <w:tc>
          <w:tcPr>
            <w:tcW w:w="1170" w:type="dxa"/>
            <w:vAlign w:val="bottom"/>
          </w:tcPr>
          <w:p w14:paraId="0EA35A35" w14:textId="77777777" w:rsidR="00AC5C0C" w:rsidRPr="00B02BA3" w:rsidRDefault="00AC5C0C" w:rsidP="00922116">
            <w:pPr>
              <w:pStyle w:val="VSmCellBody"/>
              <w:jc w:val="right"/>
              <w:rPr>
                <w:sz w:val="16"/>
                <w:szCs w:val="16"/>
              </w:rPr>
            </w:pPr>
            <w:r w:rsidRPr="00B02BA3">
              <w:rPr>
                <w:sz w:val="16"/>
                <w:szCs w:val="16"/>
              </w:rPr>
              <w:t>7 years</w:t>
            </w:r>
          </w:p>
        </w:tc>
        <w:tc>
          <w:tcPr>
            <w:tcW w:w="270" w:type="dxa"/>
            <w:vAlign w:val="bottom"/>
          </w:tcPr>
          <w:p w14:paraId="2BC84C2B" w14:textId="77777777" w:rsidR="00AC5C0C" w:rsidRPr="00B02BA3" w:rsidRDefault="00AC5C0C" w:rsidP="00922116">
            <w:pPr>
              <w:pStyle w:val="CellRowSpacer"/>
              <w:rPr>
                <w:sz w:val="16"/>
                <w:szCs w:val="16"/>
              </w:rPr>
            </w:pPr>
          </w:p>
        </w:tc>
        <w:tc>
          <w:tcPr>
            <w:tcW w:w="1080" w:type="dxa"/>
            <w:vAlign w:val="bottom"/>
          </w:tcPr>
          <w:p w14:paraId="3E1EC7D7" w14:textId="77777777" w:rsidR="00AC5C0C" w:rsidRPr="00B02BA3" w:rsidRDefault="00AC5C0C" w:rsidP="00922116">
            <w:pPr>
              <w:pStyle w:val="VSmCellBody"/>
              <w:jc w:val="right"/>
              <w:rPr>
                <w:sz w:val="16"/>
                <w:szCs w:val="16"/>
              </w:rPr>
            </w:pPr>
            <w:r w:rsidRPr="00B02BA3">
              <w:rPr>
                <w:sz w:val="16"/>
                <w:szCs w:val="16"/>
              </w:rPr>
              <w:t>8 years</w:t>
            </w:r>
          </w:p>
        </w:tc>
        <w:tc>
          <w:tcPr>
            <w:tcW w:w="270" w:type="dxa"/>
            <w:vAlign w:val="bottom"/>
          </w:tcPr>
          <w:p w14:paraId="3DE5621D" w14:textId="77777777" w:rsidR="00AC5C0C" w:rsidRPr="00B02BA3" w:rsidRDefault="00AC5C0C" w:rsidP="00922116">
            <w:pPr>
              <w:pStyle w:val="CellRowSpacer"/>
              <w:rPr>
                <w:sz w:val="16"/>
                <w:szCs w:val="16"/>
              </w:rPr>
            </w:pPr>
          </w:p>
        </w:tc>
        <w:tc>
          <w:tcPr>
            <w:tcW w:w="1080" w:type="dxa"/>
            <w:vAlign w:val="bottom"/>
          </w:tcPr>
          <w:p w14:paraId="23F1D8AA" w14:textId="77777777" w:rsidR="00AC5C0C" w:rsidRPr="00B02BA3" w:rsidRDefault="00AC5C0C" w:rsidP="00922116">
            <w:pPr>
              <w:pStyle w:val="VSmCellBody"/>
              <w:jc w:val="right"/>
              <w:rPr>
                <w:sz w:val="16"/>
                <w:szCs w:val="16"/>
              </w:rPr>
            </w:pPr>
            <w:r w:rsidRPr="00B02BA3">
              <w:rPr>
                <w:sz w:val="16"/>
                <w:szCs w:val="16"/>
              </w:rPr>
              <w:t>9 years</w:t>
            </w:r>
          </w:p>
        </w:tc>
        <w:tc>
          <w:tcPr>
            <w:tcW w:w="270" w:type="dxa"/>
            <w:vAlign w:val="bottom"/>
          </w:tcPr>
          <w:p w14:paraId="1011BB57" w14:textId="77777777" w:rsidR="00AC5C0C" w:rsidRPr="00B02BA3" w:rsidRDefault="00AC5C0C" w:rsidP="00922116">
            <w:pPr>
              <w:pStyle w:val="CellRowSpacer"/>
              <w:rPr>
                <w:sz w:val="16"/>
                <w:szCs w:val="16"/>
              </w:rPr>
            </w:pPr>
          </w:p>
        </w:tc>
        <w:tc>
          <w:tcPr>
            <w:tcW w:w="990" w:type="dxa"/>
            <w:vAlign w:val="bottom"/>
          </w:tcPr>
          <w:p w14:paraId="134CBA52" w14:textId="77777777" w:rsidR="00AC5C0C" w:rsidRPr="00B02BA3" w:rsidRDefault="00AC5C0C" w:rsidP="00922116">
            <w:pPr>
              <w:pStyle w:val="VSmCellBody"/>
              <w:jc w:val="right"/>
              <w:rPr>
                <w:sz w:val="16"/>
                <w:szCs w:val="16"/>
              </w:rPr>
            </w:pPr>
            <w:r w:rsidRPr="00B02BA3">
              <w:rPr>
                <w:sz w:val="16"/>
                <w:szCs w:val="16"/>
              </w:rPr>
              <w:t>13 years</w:t>
            </w:r>
          </w:p>
        </w:tc>
        <w:tc>
          <w:tcPr>
            <w:tcW w:w="270" w:type="dxa"/>
            <w:vAlign w:val="bottom"/>
          </w:tcPr>
          <w:p w14:paraId="01949ABC" w14:textId="77777777" w:rsidR="00AC5C0C" w:rsidRPr="00B02BA3" w:rsidRDefault="00AC5C0C" w:rsidP="00922116">
            <w:pPr>
              <w:pStyle w:val="CellRowSpacer"/>
              <w:rPr>
                <w:sz w:val="16"/>
                <w:szCs w:val="16"/>
              </w:rPr>
            </w:pPr>
          </w:p>
        </w:tc>
        <w:tc>
          <w:tcPr>
            <w:tcW w:w="978" w:type="dxa"/>
            <w:vAlign w:val="bottom"/>
          </w:tcPr>
          <w:p w14:paraId="3D00C197" w14:textId="77777777" w:rsidR="00AC5C0C" w:rsidRPr="00B02BA3" w:rsidRDefault="00AC5C0C" w:rsidP="00922116">
            <w:pPr>
              <w:pStyle w:val="VSmCellBody"/>
              <w:jc w:val="right"/>
              <w:rPr>
                <w:sz w:val="16"/>
                <w:szCs w:val="16"/>
              </w:rPr>
            </w:pPr>
            <w:r w:rsidRPr="00B02BA3">
              <w:rPr>
                <w:sz w:val="16"/>
                <w:szCs w:val="16"/>
              </w:rPr>
              <w:t>8 years</w:t>
            </w:r>
          </w:p>
        </w:tc>
        <w:tc>
          <w:tcPr>
            <w:tcW w:w="227" w:type="dxa"/>
            <w:vAlign w:val="bottom"/>
          </w:tcPr>
          <w:p w14:paraId="610F8689" w14:textId="77777777" w:rsidR="00AC5C0C" w:rsidRPr="00B02BA3" w:rsidRDefault="00AC5C0C" w:rsidP="00922116">
            <w:pPr>
              <w:pStyle w:val="CellRowSpacer"/>
              <w:rPr>
                <w:sz w:val="16"/>
                <w:szCs w:val="16"/>
              </w:rPr>
            </w:pPr>
          </w:p>
        </w:tc>
      </w:tr>
      <w:tr w:rsidR="00AC5C0C" w:rsidRPr="00B02BA3" w14:paraId="324C0FEB" w14:textId="77777777" w:rsidTr="00922116">
        <w:trPr>
          <w:trHeight w:val="335"/>
        </w:trPr>
        <w:tc>
          <w:tcPr>
            <w:tcW w:w="2173" w:type="dxa"/>
            <w:vAlign w:val="bottom"/>
          </w:tcPr>
          <w:p w14:paraId="129A24E3" w14:textId="77777777" w:rsidR="00AC5C0C" w:rsidRPr="00B02BA3" w:rsidRDefault="00AC5C0C" w:rsidP="00922116">
            <w:pPr>
              <w:pStyle w:val="VSmCellBody"/>
              <w:tabs>
                <w:tab w:val="right" w:leader="dot" w:pos="3163"/>
              </w:tabs>
              <w:rPr>
                <w:sz w:val="16"/>
                <w:szCs w:val="16"/>
              </w:rPr>
            </w:pPr>
            <w:r w:rsidRPr="00B02BA3">
              <w:rPr>
                <w:sz w:val="16"/>
                <w:szCs w:val="16"/>
              </w:rPr>
              <w:t>Vessel type</w:t>
            </w:r>
            <w:r w:rsidRPr="00B02BA3">
              <w:rPr>
                <w:sz w:val="16"/>
                <w:szCs w:val="16"/>
              </w:rPr>
              <w:tab/>
            </w:r>
          </w:p>
        </w:tc>
        <w:tc>
          <w:tcPr>
            <w:tcW w:w="270" w:type="dxa"/>
            <w:vAlign w:val="bottom"/>
          </w:tcPr>
          <w:p w14:paraId="3E85CCEA" w14:textId="77777777" w:rsidR="00AC5C0C" w:rsidRPr="00B02BA3" w:rsidRDefault="00AC5C0C" w:rsidP="00922116">
            <w:pPr>
              <w:pStyle w:val="CellRowSpacer"/>
              <w:rPr>
                <w:sz w:val="16"/>
                <w:szCs w:val="16"/>
              </w:rPr>
            </w:pPr>
          </w:p>
        </w:tc>
        <w:tc>
          <w:tcPr>
            <w:tcW w:w="1170" w:type="dxa"/>
            <w:vAlign w:val="bottom"/>
          </w:tcPr>
          <w:p w14:paraId="2E130C8B" w14:textId="77777777" w:rsidR="00AC5C0C" w:rsidRPr="00C47B7A" w:rsidRDefault="00AC5C0C" w:rsidP="00922116">
            <w:pPr>
              <w:pStyle w:val="VSmCellBody"/>
              <w:jc w:val="right"/>
              <w:rPr>
                <w:sz w:val="16"/>
                <w:szCs w:val="16"/>
                <w:lang w:val="fr-FR"/>
              </w:rPr>
            </w:pPr>
            <w:proofErr w:type="spellStart"/>
            <w:r w:rsidRPr="00C47B7A">
              <w:rPr>
                <w:sz w:val="16"/>
                <w:szCs w:val="16"/>
                <w:lang w:val="fr-FR"/>
              </w:rPr>
              <w:t>VLCCs</w:t>
            </w:r>
            <w:proofErr w:type="spellEnd"/>
            <w:r w:rsidRPr="00C47B7A">
              <w:rPr>
                <w:sz w:val="16"/>
                <w:szCs w:val="16"/>
                <w:lang w:val="fr-FR"/>
              </w:rPr>
              <w:t xml:space="preserve">, </w:t>
            </w:r>
            <w:proofErr w:type="spellStart"/>
            <w:r w:rsidRPr="00C47B7A">
              <w:rPr>
                <w:sz w:val="16"/>
                <w:szCs w:val="16"/>
                <w:lang w:val="fr-FR"/>
              </w:rPr>
              <w:t>Aframax</w:t>
            </w:r>
            <w:proofErr w:type="spellEnd"/>
            <w:r w:rsidRPr="00C47B7A">
              <w:rPr>
                <w:sz w:val="16"/>
                <w:szCs w:val="16"/>
                <w:lang w:val="fr-FR"/>
              </w:rPr>
              <w:t xml:space="preserve"> </w:t>
            </w:r>
            <w:proofErr w:type="spellStart"/>
            <w:r w:rsidRPr="00C47B7A">
              <w:rPr>
                <w:sz w:val="16"/>
                <w:szCs w:val="16"/>
                <w:lang w:val="fr-FR"/>
              </w:rPr>
              <w:t>vessels</w:t>
            </w:r>
            <w:proofErr w:type="spellEnd"/>
            <w:r w:rsidRPr="00C47B7A">
              <w:rPr>
                <w:sz w:val="16"/>
                <w:szCs w:val="16"/>
                <w:lang w:val="fr-FR"/>
              </w:rPr>
              <w:t xml:space="preserve">, </w:t>
            </w:r>
            <w:proofErr w:type="spellStart"/>
            <w:r w:rsidRPr="00C47B7A">
              <w:rPr>
                <w:sz w:val="16"/>
                <w:szCs w:val="16"/>
                <w:lang w:val="fr-FR"/>
              </w:rPr>
              <w:t>Suezmax</w:t>
            </w:r>
            <w:proofErr w:type="spellEnd"/>
            <w:r w:rsidRPr="00C47B7A">
              <w:rPr>
                <w:sz w:val="16"/>
                <w:szCs w:val="16"/>
                <w:lang w:val="fr-FR"/>
              </w:rPr>
              <w:t xml:space="preserve"> </w:t>
            </w:r>
            <w:proofErr w:type="spellStart"/>
            <w:r w:rsidRPr="00C47B7A">
              <w:rPr>
                <w:sz w:val="16"/>
                <w:szCs w:val="16"/>
                <w:lang w:val="fr-FR"/>
              </w:rPr>
              <w:t>vessels</w:t>
            </w:r>
            <w:proofErr w:type="spellEnd"/>
          </w:p>
        </w:tc>
        <w:tc>
          <w:tcPr>
            <w:tcW w:w="270" w:type="dxa"/>
            <w:vAlign w:val="bottom"/>
          </w:tcPr>
          <w:p w14:paraId="2BD4FAAD" w14:textId="77777777" w:rsidR="00AC5C0C" w:rsidRPr="00C47B7A" w:rsidRDefault="00AC5C0C" w:rsidP="00922116">
            <w:pPr>
              <w:pStyle w:val="CellRowSpacer"/>
              <w:rPr>
                <w:sz w:val="16"/>
                <w:szCs w:val="16"/>
                <w:lang w:val="fr-FR"/>
              </w:rPr>
            </w:pPr>
          </w:p>
        </w:tc>
        <w:tc>
          <w:tcPr>
            <w:tcW w:w="1080" w:type="dxa"/>
            <w:vAlign w:val="bottom"/>
          </w:tcPr>
          <w:p w14:paraId="24A191F2" w14:textId="77777777" w:rsidR="00AC5C0C" w:rsidRPr="00B02BA3" w:rsidRDefault="00AC5C0C" w:rsidP="00922116">
            <w:pPr>
              <w:pStyle w:val="VSmCellBody"/>
              <w:jc w:val="right"/>
              <w:rPr>
                <w:sz w:val="16"/>
                <w:szCs w:val="16"/>
              </w:rPr>
            </w:pPr>
            <w:r w:rsidRPr="00B02BA3">
              <w:rPr>
                <w:sz w:val="16"/>
                <w:szCs w:val="16"/>
              </w:rPr>
              <w:t>Products tankers</w:t>
            </w:r>
          </w:p>
        </w:tc>
        <w:tc>
          <w:tcPr>
            <w:tcW w:w="270" w:type="dxa"/>
            <w:vAlign w:val="bottom"/>
          </w:tcPr>
          <w:p w14:paraId="6568B53F" w14:textId="77777777" w:rsidR="00AC5C0C" w:rsidRPr="00B02BA3" w:rsidRDefault="00AC5C0C" w:rsidP="00922116">
            <w:pPr>
              <w:pStyle w:val="CellRowSpacer"/>
              <w:rPr>
                <w:sz w:val="16"/>
                <w:szCs w:val="16"/>
              </w:rPr>
            </w:pPr>
          </w:p>
        </w:tc>
        <w:tc>
          <w:tcPr>
            <w:tcW w:w="1080" w:type="dxa"/>
            <w:vAlign w:val="bottom"/>
          </w:tcPr>
          <w:p w14:paraId="7CFE24E6" w14:textId="77777777" w:rsidR="00AC5C0C" w:rsidRPr="00B02BA3" w:rsidRDefault="00AC5C0C" w:rsidP="00922116">
            <w:pPr>
              <w:pStyle w:val="VSmCellBody"/>
              <w:jc w:val="right"/>
              <w:rPr>
                <w:sz w:val="16"/>
                <w:szCs w:val="16"/>
              </w:rPr>
            </w:pPr>
            <w:r w:rsidRPr="00B02BA3">
              <w:rPr>
                <w:sz w:val="16"/>
                <w:szCs w:val="16"/>
              </w:rPr>
              <w:t xml:space="preserve">VLOCs, </w:t>
            </w:r>
            <w:proofErr w:type="spellStart"/>
            <w:r w:rsidRPr="00B02BA3">
              <w:rPr>
                <w:sz w:val="16"/>
                <w:szCs w:val="16"/>
              </w:rPr>
              <w:t>Ultramax</w:t>
            </w:r>
            <w:proofErr w:type="spellEnd"/>
            <w:r w:rsidRPr="00B02BA3">
              <w:rPr>
                <w:sz w:val="16"/>
                <w:szCs w:val="16"/>
              </w:rPr>
              <w:t xml:space="preserve"> vessels, </w:t>
            </w:r>
            <w:proofErr w:type="spellStart"/>
            <w:r w:rsidRPr="00B02BA3">
              <w:rPr>
                <w:sz w:val="16"/>
                <w:szCs w:val="16"/>
              </w:rPr>
              <w:t>Supramax</w:t>
            </w:r>
            <w:proofErr w:type="spellEnd"/>
            <w:r w:rsidRPr="00B02BA3">
              <w:rPr>
                <w:sz w:val="16"/>
                <w:szCs w:val="16"/>
              </w:rPr>
              <w:t xml:space="preserve"> vessels, Handymax </w:t>
            </w:r>
            <w:r w:rsidRPr="00B02BA3">
              <w:rPr>
                <w:sz w:val="16"/>
                <w:szCs w:val="16"/>
              </w:rPr>
              <w:lastRenderedPageBreak/>
              <w:t xml:space="preserve">vessel, </w:t>
            </w:r>
            <w:proofErr w:type="spellStart"/>
            <w:r w:rsidRPr="00B02BA3">
              <w:rPr>
                <w:sz w:val="16"/>
                <w:szCs w:val="16"/>
              </w:rPr>
              <w:t>Kamsarmax</w:t>
            </w:r>
            <w:proofErr w:type="spellEnd"/>
            <w:r w:rsidRPr="00B02BA3">
              <w:rPr>
                <w:sz w:val="16"/>
                <w:szCs w:val="16"/>
              </w:rPr>
              <w:t xml:space="preserve"> vessels</w:t>
            </w:r>
            <w:r w:rsidRPr="00B02BA3" w:rsidDel="00833DC9">
              <w:rPr>
                <w:sz w:val="16"/>
                <w:szCs w:val="16"/>
              </w:rPr>
              <w:t xml:space="preserve"> </w:t>
            </w:r>
          </w:p>
        </w:tc>
        <w:tc>
          <w:tcPr>
            <w:tcW w:w="270" w:type="dxa"/>
            <w:vAlign w:val="bottom"/>
          </w:tcPr>
          <w:p w14:paraId="3CDA84CA" w14:textId="77777777" w:rsidR="00AC5C0C" w:rsidRPr="00B02BA3" w:rsidRDefault="00AC5C0C" w:rsidP="00922116">
            <w:pPr>
              <w:pStyle w:val="CellRowSpacer"/>
              <w:rPr>
                <w:sz w:val="16"/>
                <w:szCs w:val="16"/>
              </w:rPr>
            </w:pPr>
          </w:p>
        </w:tc>
        <w:tc>
          <w:tcPr>
            <w:tcW w:w="990" w:type="dxa"/>
            <w:vAlign w:val="bottom"/>
          </w:tcPr>
          <w:p w14:paraId="26250F54" w14:textId="77777777" w:rsidR="00AC5C0C" w:rsidRPr="00B02BA3" w:rsidRDefault="00AC5C0C" w:rsidP="00922116">
            <w:pPr>
              <w:pStyle w:val="VSmCellBody"/>
              <w:jc w:val="right"/>
              <w:rPr>
                <w:sz w:val="16"/>
                <w:szCs w:val="16"/>
              </w:rPr>
            </w:pPr>
            <w:r w:rsidRPr="00B02BA3">
              <w:rPr>
                <w:sz w:val="16"/>
                <w:szCs w:val="16"/>
              </w:rPr>
              <w:t xml:space="preserve">LNG carriers, VLGC, MGC </w:t>
            </w:r>
          </w:p>
        </w:tc>
        <w:tc>
          <w:tcPr>
            <w:tcW w:w="270" w:type="dxa"/>
            <w:vAlign w:val="bottom"/>
          </w:tcPr>
          <w:p w14:paraId="76C9CA1A" w14:textId="77777777" w:rsidR="00AC5C0C" w:rsidRPr="00B02BA3" w:rsidRDefault="00AC5C0C" w:rsidP="00922116">
            <w:pPr>
              <w:pStyle w:val="CellRowSpacer"/>
              <w:rPr>
                <w:sz w:val="16"/>
                <w:szCs w:val="16"/>
              </w:rPr>
            </w:pPr>
          </w:p>
        </w:tc>
        <w:tc>
          <w:tcPr>
            <w:tcW w:w="978" w:type="dxa"/>
            <w:vAlign w:val="bottom"/>
          </w:tcPr>
          <w:p w14:paraId="365B3750" w14:textId="77777777" w:rsidR="00AC5C0C" w:rsidRPr="00B02BA3" w:rsidRDefault="00AC5C0C" w:rsidP="00922116">
            <w:pPr>
              <w:pStyle w:val="VSmCellBody"/>
              <w:jc w:val="right"/>
              <w:rPr>
                <w:sz w:val="16"/>
                <w:szCs w:val="16"/>
              </w:rPr>
            </w:pPr>
            <w:r>
              <w:rPr>
                <w:sz w:val="16"/>
                <w:szCs w:val="16"/>
              </w:rPr>
              <w:t>Container vessels</w:t>
            </w:r>
          </w:p>
        </w:tc>
        <w:tc>
          <w:tcPr>
            <w:tcW w:w="227" w:type="dxa"/>
            <w:vAlign w:val="bottom"/>
          </w:tcPr>
          <w:p w14:paraId="6465D93E" w14:textId="77777777" w:rsidR="00AC5C0C" w:rsidRPr="00B02BA3" w:rsidRDefault="00AC5C0C" w:rsidP="00922116">
            <w:pPr>
              <w:pStyle w:val="CellRowSpacer"/>
              <w:rPr>
                <w:sz w:val="16"/>
                <w:szCs w:val="16"/>
              </w:rPr>
            </w:pPr>
          </w:p>
        </w:tc>
      </w:tr>
      <w:tr w:rsidR="00AC5C0C" w:rsidRPr="00B02BA3" w14:paraId="1C196414" w14:textId="77777777" w:rsidTr="00922116">
        <w:trPr>
          <w:trHeight w:val="319"/>
        </w:trPr>
        <w:tc>
          <w:tcPr>
            <w:tcW w:w="2173" w:type="dxa"/>
            <w:vAlign w:val="bottom"/>
          </w:tcPr>
          <w:p w14:paraId="2B0B6F88" w14:textId="77777777" w:rsidR="00AC5C0C" w:rsidRPr="00B02BA3" w:rsidRDefault="00AC5C0C" w:rsidP="00922116">
            <w:pPr>
              <w:pStyle w:val="VSmCellBody"/>
              <w:tabs>
                <w:tab w:val="right" w:leader="dot" w:pos="3163"/>
              </w:tabs>
              <w:rPr>
                <w:sz w:val="16"/>
                <w:szCs w:val="16"/>
              </w:rPr>
            </w:pPr>
            <w:r w:rsidRPr="00B02BA3">
              <w:rPr>
                <w:sz w:val="16"/>
                <w:szCs w:val="16"/>
              </w:rPr>
              <w:t>Capacity (</w:t>
            </w:r>
            <w:r w:rsidRPr="00B02BA3">
              <w:rPr>
                <w:i/>
                <w:iCs/>
                <w:sz w:val="16"/>
                <w:szCs w:val="16"/>
              </w:rPr>
              <w:t>DWT</w:t>
            </w:r>
            <w:r w:rsidRPr="00B02BA3">
              <w:rPr>
                <w:sz w:val="16"/>
                <w:szCs w:val="16"/>
              </w:rPr>
              <w:t>)</w:t>
            </w:r>
            <w:r w:rsidRPr="00B02BA3">
              <w:rPr>
                <w:sz w:val="16"/>
                <w:szCs w:val="16"/>
              </w:rPr>
              <w:tab/>
            </w:r>
          </w:p>
        </w:tc>
        <w:tc>
          <w:tcPr>
            <w:tcW w:w="270" w:type="dxa"/>
            <w:vAlign w:val="bottom"/>
          </w:tcPr>
          <w:p w14:paraId="70C280FB" w14:textId="77777777" w:rsidR="00AC5C0C" w:rsidRPr="00B02BA3" w:rsidRDefault="00AC5C0C" w:rsidP="00922116">
            <w:pPr>
              <w:pStyle w:val="CellRowSpacer"/>
              <w:rPr>
                <w:sz w:val="16"/>
                <w:szCs w:val="16"/>
              </w:rPr>
            </w:pPr>
          </w:p>
        </w:tc>
        <w:tc>
          <w:tcPr>
            <w:tcW w:w="1170" w:type="dxa"/>
            <w:vAlign w:val="bottom"/>
          </w:tcPr>
          <w:p w14:paraId="70DB0F72" w14:textId="77777777" w:rsidR="00AC5C0C" w:rsidRPr="00B02BA3" w:rsidRDefault="00AC5C0C" w:rsidP="00922116">
            <w:pPr>
              <w:pStyle w:val="VSmCellBody"/>
              <w:jc w:val="right"/>
              <w:rPr>
                <w:sz w:val="16"/>
                <w:szCs w:val="16"/>
              </w:rPr>
            </w:pPr>
            <w:r w:rsidRPr="00B02BA3">
              <w:rPr>
                <w:sz w:val="16"/>
                <w:szCs w:val="16"/>
              </w:rPr>
              <w:t>4,571,725</w:t>
            </w:r>
          </w:p>
        </w:tc>
        <w:tc>
          <w:tcPr>
            <w:tcW w:w="270" w:type="dxa"/>
            <w:vAlign w:val="bottom"/>
          </w:tcPr>
          <w:p w14:paraId="1EEC88C5" w14:textId="77777777" w:rsidR="00AC5C0C" w:rsidRPr="00B02BA3" w:rsidRDefault="00AC5C0C" w:rsidP="00922116">
            <w:pPr>
              <w:pStyle w:val="CellRowSpacer"/>
              <w:rPr>
                <w:sz w:val="16"/>
                <w:szCs w:val="16"/>
                <w:vertAlign w:val="superscript"/>
              </w:rPr>
            </w:pPr>
          </w:p>
        </w:tc>
        <w:tc>
          <w:tcPr>
            <w:tcW w:w="1080" w:type="dxa"/>
            <w:vAlign w:val="bottom"/>
          </w:tcPr>
          <w:p w14:paraId="7347A6E2" w14:textId="77777777" w:rsidR="00AC5C0C" w:rsidRPr="00B02BA3" w:rsidRDefault="00AC5C0C" w:rsidP="00922116">
            <w:pPr>
              <w:pStyle w:val="VSmCellBody"/>
              <w:jc w:val="right"/>
              <w:rPr>
                <w:sz w:val="16"/>
                <w:szCs w:val="16"/>
              </w:rPr>
            </w:pPr>
            <w:r w:rsidRPr="00B02BA3">
              <w:rPr>
                <w:sz w:val="16"/>
                <w:szCs w:val="16"/>
              </w:rPr>
              <w:t>1,652,778</w:t>
            </w:r>
          </w:p>
        </w:tc>
        <w:tc>
          <w:tcPr>
            <w:tcW w:w="270" w:type="dxa"/>
            <w:vAlign w:val="bottom"/>
          </w:tcPr>
          <w:p w14:paraId="1EDA2A95" w14:textId="77777777" w:rsidR="00AC5C0C" w:rsidRPr="00B02BA3" w:rsidRDefault="00AC5C0C" w:rsidP="00922116">
            <w:pPr>
              <w:pStyle w:val="CellRowSpacer"/>
              <w:rPr>
                <w:sz w:val="16"/>
                <w:szCs w:val="16"/>
              </w:rPr>
            </w:pPr>
          </w:p>
        </w:tc>
        <w:tc>
          <w:tcPr>
            <w:tcW w:w="1080" w:type="dxa"/>
            <w:vAlign w:val="bottom"/>
          </w:tcPr>
          <w:p w14:paraId="32A060FC" w14:textId="77777777" w:rsidR="00AC5C0C" w:rsidRPr="00B02BA3" w:rsidRDefault="00AC5C0C" w:rsidP="00922116">
            <w:pPr>
              <w:pStyle w:val="VSmCellBody"/>
              <w:jc w:val="right"/>
              <w:rPr>
                <w:sz w:val="16"/>
                <w:szCs w:val="16"/>
              </w:rPr>
            </w:pPr>
            <w:r w:rsidRPr="00B02BA3">
              <w:rPr>
                <w:sz w:val="16"/>
                <w:szCs w:val="16"/>
              </w:rPr>
              <w:t>2,434,842</w:t>
            </w:r>
          </w:p>
        </w:tc>
        <w:tc>
          <w:tcPr>
            <w:tcW w:w="270" w:type="dxa"/>
            <w:vAlign w:val="bottom"/>
          </w:tcPr>
          <w:p w14:paraId="4DB568A1" w14:textId="77777777" w:rsidR="00AC5C0C" w:rsidRPr="00B02BA3" w:rsidRDefault="00AC5C0C" w:rsidP="00922116">
            <w:pPr>
              <w:pStyle w:val="CellRowSpacer"/>
              <w:rPr>
                <w:sz w:val="16"/>
                <w:szCs w:val="16"/>
              </w:rPr>
            </w:pPr>
          </w:p>
        </w:tc>
        <w:tc>
          <w:tcPr>
            <w:tcW w:w="990" w:type="dxa"/>
            <w:vAlign w:val="bottom"/>
          </w:tcPr>
          <w:p w14:paraId="437BD476" w14:textId="77777777" w:rsidR="00AC5C0C" w:rsidRPr="00B02BA3" w:rsidRDefault="00AC5C0C" w:rsidP="00922116">
            <w:pPr>
              <w:pStyle w:val="VSmCellBody"/>
              <w:jc w:val="right"/>
              <w:rPr>
                <w:sz w:val="16"/>
                <w:szCs w:val="16"/>
              </w:rPr>
            </w:pPr>
            <w:r w:rsidRPr="00B02BA3">
              <w:rPr>
                <w:sz w:val="16"/>
                <w:szCs w:val="16"/>
              </w:rPr>
              <w:t>1,335,550</w:t>
            </w:r>
          </w:p>
        </w:tc>
        <w:tc>
          <w:tcPr>
            <w:tcW w:w="270" w:type="dxa"/>
            <w:vAlign w:val="bottom"/>
          </w:tcPr>
          <w:p w14:paraId="009282E5" w14:textId="77777777" w:rsidR="00AC5C0C" w:rsidRPr="00B02BA3" w:rsidRDefault="00AC5C0C" w:rsidP="00922116">
            <w:pPr>
              <w:pStyle w:val="CellRowSpacer"/>
              <w:rPr>
                <w:sz w:val="16"/>
                <w:szCs w:val="16"/>
              </w:rPr>
            </w:pPr>
            <w:r w:rsidRPr="00B02BA3">
              <w:rPr>
                <w:sz w:val="16"/>
                <w:szCs w:val="16"/>
                <w:vertAlign w:val="superscript"/>
              </w:rPr>
              <w:t>(2)</w:t>
            </w:r>
          </w:p>
        </w:tc>
        <w:tc>
          <w:tcPr>
            <w:tcW w:w="978" w:type="dxa"/>
            <w:vAlign w:val="bottom"/>
          </w:tcPr>
          <w:p w14:paraId="0FB43E5F" w14:textId="77777777" w:rsidR="00AC5C0C" w:rsidRPr="00B02BA3" w:rsidRDefault="00AC5C0C" w:rsidP="00922116">
            <w:pPr>
              <w:pStyle w:val="VSmCellBody"/>
              <w:jc w:val="right"/>
              <w:rPr>
                <w:sz w:val="16"/>
                <w:szCs w:val="16"/>
              </w:rPr>
            </w:pPr>
            <w:r w:rsidRPr="00B02BA3">
              <w:rPr>
                <w:sz w:val="16"/>
                <w:szCs w:val="16"/>
              </w:rPr>
              <w:t>235,420</w:t>
            </w:r>
          </w:p>
        </w:tc>
        <w:tc>
          <w:tcPr>
            <w:tcW w:w="227" w:type="dxa"/>
            <w:vAlign w:val="bottom"/>
          </w:tcPr>
          <w:p w14:paraId="10C97851" w14:textId="77777777" w:rsidR="00AC5C0C" w:rsidRPr="00B02BA3" w:rsidRDefault="00AC5C0C" w:rsidP="00922116">
            <w:pPr>
              <w:pStyle w:val="CellRowSpacer"/>
              <w:rPr>
                <w:sz w:val="16"/>
                <w:szCs w:val="16"/>
              </w:rPr>
            </w:pPr>
          </w:p>
        </w:tc>
      </w:tr>
      <w:tr w:rsidR="00AC5C0C" w:rsidRPr="00B02BA3" w14:paraId="2C927BE9" w14:textId="77777777" w:rsidTr="00922116">
        <w:trPr>
          <w:trHeight w:val="319"/>
        </w:trPr>
        <w:tc>
          <w:tcPr>
            <w:tcW w:w="2173" w:type="dxa"/>
            <w:vAlign w:val="bottom"/>
          </w:tcPr>
          <w:p w14:paraId="15210848" w14:textId="77777777" w:rsidR="00AC5C0C" w:rsidRPr="00B02BA3" w:rsidRDefault="00AC5C0C" w:rsidP="00922116">
            <w:pPr>
              <w:pStyle w:val="VSmCellBody"/>
              <w:tabs>
                <w:tab w:val="right" w:leader="dot" w:pos="3163"/>
              </w:tabs>
              <w:rPr>
                <w:sz w:val="16"/>
                <w:szCs w:val="16"/>
              </w:rPr>
            </w:pPr>
            <w:r w:rsidRPr="00B02BA3">
              <w:rPr>
                <w:sz w:val="16"/>
                <w:szCs w:val="16"/>
              </w:rPr>
              <w:t>Utilisation (</w:t>
            </w:r>
            <w:r w:rsidRPr="00B02BA3">
              <w:rPr>
                <w:i/>
                <w:iCs/>
                <w:sz w:val="16"/>
                <w:szCs w:val="16"/>
              </w:rPr>
              <w:t>%</w:t>
            </w:r>
            <w:r w:rsidRPr="00B02BA3">
              <w:rPr>
                <w:sz w:val="16"/>
                <w:szCs w:val="16"/>
              </w:rPr>
              <w:t>)</w:t>
            </w:r>
            <w:r w:rsidRPr="00B02BA3">
              <w:rPr>
                <w:sz w:val="16"/>
                <w:szCs w:val="16"/>
              </w:rPr>
              <w:tab/>
            </w:r>
          </w:p>
        </w:tc>
        <w:tc>
          <w:tcPr>
            <w:tcW w:w="270" w:type="dxa"/>
            <w:vAlign w:val="bottom"/>
          </w:tcPr>
          <w:p w14:paraId="2F47660C" w14:textId="77777777" w:rsidR="00AC5C0C" w:rsidRPr="00B02BA3" w:rsidRDefault="00AC5C0C" w:rsidP="00922116">
            <w:pPr>
              <w:pStyle w:val="CellRowSpacer"/>
              <w:rPr>
                <w:sz w:val="16"/>
                <w:szCs w:val="16"/>
              </w:rPr>
            </w:pPr>
          </w:p>
        </w:tc>
        <w:tc>
          <w:tcPr>
            <w:tcW w:w="1170" w:type="dxa"/>
            <w:vAlign w:val="bottom"/>
          </w:tcPr>
          <w:p w14:paraId="612298CF" w14:textId="77777777" w:rsidR="00AC5C0C" w:rsidRPr="00B02BA3" w:rsidRDefault="00AC5C0C" w:rsidP="00922116">
            <w:pPr>
              <w:pStyle w:val="VSmCellBody"/>
              <w:jc w:val="right"/>
              <w:rPr>
                <w:sz w:val="16"/>
                <w:szCs w:val="16"/>
              </w:rPr>
            </w:pPr>
            <w:r w:rsidRPr="00B02BA3">
              <w:rPr>
                <w:sz w:val="16"/>
                <w:szCs w:val="16"/>
              </w:rPr>
              <w:t>98</w:t>
            </w:r>
          </w:p>
        </w:tc>
        <w:tc>
          <w:tcPr>
            <w:tcW w:w="270" w:type="dxa"/>
            <w:vAlign w:val="bottom"/>
          </w:tcPr>
          <w:p w14:paraId="074D3979" w14:textId="77777777" w:rsidR="00AC5C0C" w:rsidRPr="00B02BA3" w:rsidRDefault="00AC5C0C" w:rsidP="00922116">
            <w:pPr>
              <w:pStyle w:val="CellRowSpacer"/>
              <w:rPr>
                <w:sz w:val="16"/>
                <w:szCs w:val="16"/>
              </w:rPr>
            </w:pPr>
            <w:r w:rsidRPr="00B02BA3">
              <w:rPr>
                <w:sz w:val="16"/>
                <w:szCs w:val="16"/>
              </w:rPr>
              <w:t>%</w:t>
            </w:r>
          </w:p>
        </w:tc>
        <w:tc>
          <w:tcPr>
            <w:tcW w:w="1080" w:type="dxa"/>
            <w:vAlign w:val="bottom"/>
          </w:tcPr>
          <w:p w14:paraId="38A280EB" w14:textId="77777777" w:rsidR="00AC5C0C" w:rsidRPr="00B02BA3" w:rsidRDefault="00AC5C0C" w:rsidP="00922116">
            <w:pPr>
              <w:pStyle w:val="VSmCellBody"/>
              <w:jc w:val="right"/>
              <w:rPr>
                <w:sz w:val="16"/>
                <w:szCs w:val="16"/>
              </w:rPr>
            </w:pPr>
            <w:r w:rsidRPr="00B02BA3">
              <w:rPr>
                <w:sz w:val="16"/>
                <w:szCs w:val="16"/>
              </w:rPr>
              <w:t>99</w:t>
            </w:r>
          </w:p>
        </w:tc>
        <w:tc>
          <w:tcPr>
            <w:tcW w:w="270" w:type="dxa"/>
            <w:vAlign w:val="bottom"/>
          </w:tcPr>
          <w:p w14:paraId="4D38866C" w14:textId="77777777" w:rsidR="00AC5C0C" w:rsidRPr="00B02BA3" w:rsidRDefault="00AC5C0C" w:rsidP="00922116">
            <w:pPr>
              <w:pStyle w:val="CellRowSpacer"/>
              <w:rPr>
                <w:sz w:val="16"/>
                <w:szCs w:val="16"/>
              </w:rPr>
            </w:pPr>
            <w:r w:rsidRPr="00B02BA3">
              <w:rPr>
                <w:sz w:val="16"/>
                <w:szCs w:val="16"/>
              </w:rPr>
              <w:t>%</w:t>
            </w:r>
          </w:p>
        </w:tc>
        <w:tc>
          <w:tcPr>
            <w:tcW w:w="1080" w:type="dxa"/>
            <w:vAlign w:val="bottom"/>
          </w:tcPr>
          <w:p w14:paraId="0C89A8EA" w14:textId="77777777" w:rsidR="00AC5C0C" w:rsidRPr="00B02BA3" w:rsidRDefault="00AC5C0C" w:rsidP="00922116">
            <w:pPr>
              <w:pStyle w:val="VSmCellBody"/>
              <w:jc w:val="right"/>
              <w:rPr>
                <w:sz w:val="16"/>
                <w:szCs w:val="16"/>
              </w:rPr>
            </w:pPr>
            <w:r w:rsidRPr="00B02BA3">
              <w:rPr>
                <w:sz w:val="16"/>
                <w:szCs w:val="16"/>
              </w:rPr>
              <w:t>97</w:t>
            </w:r>
          </w:p>
        </w:tc>
        <w:tc>
          <w:tcPr>
            <w:tcW w:w="270" w:type="dxa"/>
            <w:vAlign w:val="bottom"/>
          </w:tcPr>
          <w:p w14:paraId="1821DE05" w14:textId="77777777" w:rsidR="00AC5C0C" w:rsidRPr="00B02BA3" w:rsidRDefault="00AC5C0C" w:rsidP="00922116">
            <w:pPr>
              <w:pStyle w:val="CellRowSpacer"/>
              <w:rPr>
                <w:sz w:val="16"/>
                <w:szCs w:val="16"/>
              </w:rPr>
            </w:pPr>
            <w:r w:rsidRPr="00B02BA3">
              <w:rPr>
                <w:sz w:val="16"/>
                <w:szCs w:val="16"/>
              </w:rPr>
              <w:t>%</w:t>
            </w:r>
          </w:p>
        </w:tc>
        <w:tc>
          <w:tcPr>
            <w:tcW w:w="990" w:type="dxa"/>
            <w:vAlign w:val="bottom"/>
          </w:tcPr>
          <w:p w14:paraId="664F2474" w14:textId="77777777" w:rsidR="00AC5C0C" w:rsidRPr="00B02BA3" w:rsidRDefault="00AC5C0C" w:rsidP="00922116">
            <w:pPr>
              <w:pStyle w:val="VSmCellBody"/>
              <w:jc w:val="right"/>
              <w:rPr>
                <w:sz w:val="16"/>
                <w:szCs w:val="16"/>
              </w:rPr>
            </w:pPr>
            <w:r w:rsidRPr="00B02BA3">
              <w:rPr>
                <w:sz w:val="16"/>
                <w:szCs w:val="16"/>
              </w:rPr>
              <w:t>99</w:t>
            </w:r>
          </w:p>
        </w:tc>
        <w:tc>
          <w:tcPr>
            <w:tcW w:w="270" w:type="dxa"/>
            <w:vAlign w:val="bottom"/>
          </w:tcPr>
          <w:p w14:paraId="053670A7" w14:textId="77777777" w:rsidR="00AC5C0C" w:rsidRPr="00B02BA3" w:rsidRDefault="00AC5C0C" w:rsidP="00922116">
            <w:pPr>
              <w:pStyle w:val="CellRowSpacer"/>
              <w:rPr>
                <w:sz w:val="16"/>
                <w:szCs w:val="16"/>
              </w:rPr>
            </w:pPr>
            <w:r w:rsidRPr="00B02BA3">
              <w:rPr>
                <w:sz w:val="16"/>
                <w:szCs w:val="16"/>
              </w:rPr>
              <w:t>%</w:t>
            </w:r>
          </w:p>
        </w:tc>
        <w:tc>
          <w:tcPr>
            <w:tcW w:w="978" w:type="dxa"/>
            <w:vAlign w:val="bottom"/>
          </w:tcPr>
          <w:p w14:paraId="148C6979" w14:textId="77777777" w:rsidR="00AC5C0C" w:rsidRPr="00B02BA3" w:rsidRDefault="00AC5C0C" w:rsidP="00922116">
            <w:pPr>
              <w:pStyle w:val="VSmCellBody"/>
              <w:jc w:val="right"/>
              <w:rPr>
                <w:sz w:val="16"/>
                <w:szCs w:val="16"/>
              </w:rPr>
            </w:pPr>
            <w:r w:rsidRPr="00B02BA3">
              <w:rPr>
                <w:sz w:val="16"/>
                <w:szCs w:val="16"/>
              </w:rPr>
              <w:t>91</w:t>
            </w:r>
          </w:p>
        </w:tc>
        <w:tc>
          <w:tcPr>
            <w:tcW w:w="227" w:type="dxa"/>
            <w:vAlign w:val="bottom"/>
          </w:tcPr>
          <w:p w14:paraId="69B70046" w14:textId="77777777" w:rsidR="00AC5C0C" w:rsidRPr="00B02BA3" w:rsidRDefault="00AC5C0C" w:rsidP="00922116">
            <w:pPr>
              <w:pStyle w:val="CellRowSpacer"/>
              <w:rPr>
                <w:sz w:val="16"/>
                <w:szCs w:val="16"/>
              </w:rPr>
            </w:pPr>
            <w:r w:rsidRPr="00B02BA3">
              <w:rPr>
                <w:sz w:val="16"/>
                <w:szCs w:val="16"/>
              </w:rPr>
              <w:t>%</w:t>
            </w:r>
          </w:p>
        </w:tc>
      </w:tr>
      <w:tr w:rsidR="00AC5C0C" w:rsidRPr="00B02BA3" w14:paraId="0DC9A678" w14:textId="77777777" w:rsidTr="00922116">
        <w:trPr>
          <w:trHeight w:val="319"/>
        </w:trPr>
        <w:tc>
          <w:tcPr>
            <w:tcW w:w="2173" w:type="dxa"/>
            <w:vAlign w:val="bottom"/>
          </w:tcPr>
          <w:p w14:paraId="0AA86480" w14:textId="77777777" w:rsidR="00AC5C0C" w:rsidRPr="00B02BA3" w:rsidRDefault="00AC5C0C" w:rsidP="00922116">
            <w:pPr>
              <w:pStyle w:val="VSmCellBody"/>
              <w:tabs>
                <w:tab w:val="right" w:leader="dot" w:pos="3163"/>
              </w:tabs>
              <w:rPr>
                <w:sz w:val="16"/>
                <w:szCs w:val="16"/>
              </w:rPr>
            </w:pPr>
            <w:r w:rsidRPr="00B02BA3">
              <w:rPr>
                <w:sz w:val="16"/>
                <w:szCs w:val="16"/>
              </w:rPr>
              <w:t>Backlog (</w:t>
            </w:r>
            <w:r w:rsidRPr="00B02BA3">
              <w:rPr>
                <w:i/>
                <w:iCs/>
                <w:sz w:val="16"/>
                <w:szCs w:val="16"/>
              </w:rPr>
              <w:t>USD millions)</w:t>
            </w:r>
            <w:r w:rsidRPr="00B02BA3">
              <w:rPr>
                <w:sz w:val="16"/>
                <w:szCs w:val="16"/>
              </w:rPr>
              <w:tab/>
            </w:r>
          </w:p>
        </w:tc>
        <w:tc>
          <w:tcPr>
            <w:tcW w:w="270" w:type="dxa"/>
            <w:vAlign w:val="bottom"/>
          </w:tcPr>
          <w:p w14:paraId="79244795" w14:textId="77777777" w:rsidR="00AC5C0C" w:rsidRPr="00B02BA3" w:rsidRDefault="00AC5C0C" w:rsidP="00922116">
            <w:pPr>
              <w:pStyle w:val="CellRowSpacer"/>
              <w:rPr>
                <w:sz w:val="16"/>
                <w:szCs w:val="16"/>
              </w:rPr>
            </w:pPr>
          </w:p>
        </w:tc>
        <w:tc>
          <w:tcPr>
            <w:tcW w:w="1170" w:type="dxa"/>
            <w:vAlign w:val="bottom"/>
          </w:tcPr>
          <w:p w14:paraId="7FDB0B19" w14:textId="77777777" w:rsidR="00AC5C0C" w:rsidRPr="00B02BA3" w:rsidRDefault="00AC5C0C" w:rsidP="00922116">
            <w:pPr>
              <w:pStyle w:val="VSmCellBody"/>
              <w:jc w:val="right"/>
              <w:rPr>
                <w:sz w:val="16"/>
                <w:szCs w:val="16"/>
              </w:rPr>
            </w:pPr>
            <w:r w:rsidRPr="00B02BA3">
              <w:rPr>
                <w:sz w:val="16"/>
                <w:szCs w:val="16"/>
              </w:rPr>
              <w:t>239</w:t>
            </w:r>
          </w:p>
        </w:tc>
        <w:tc>
          <w:tcPr>
            <w:tcW w:w="270" w:type="dxa"/>
            <w:vAlign w:val="bottom"/>
          </w:tcPr>
          <w:p w14:paraId="1145B48C" w14:textId="77777777" w:rsidR="00AC5C0C" w:rsidRPr="00B02BA3" w:rsidRDefault="00AC5C0C" w:rsidP="00922116">
            <w:pPr>
              <w:pStyle w:val="CellRowSpacer"/>
              <w:rPr>
                <w:sz w:val="16"/>
                <w:szCs w:val="16"/>
              </w:rPr>
            </w:pPr>
          </w:p>
        </w:tc>
        <w:tc>
          <w:tcPr>
            <w:tcW w:w="1080" w:type="dxa"/>
            <w:vAlign w:val="bottom"/>
          </w:tcPr>
          <w:p w14:paraId="3A2C1914" w14:textId="77777777" w:rsidR="00AC5C0C" w:rsidRPr="00B02BA3" w:rsidRDefault="00AC5C0C" w:rsidP="00922116">
            <w:pPr>
              <w:pStyle w:val="VSmCellBody"/>
              <w:jc w:val="right"/>
              <w:rPr>
                <w:sz w:val="16"/>
                <w:szCs w:val="16"/>
              </w:rPr>
            </w:pPr>
            <w:r w:rsidRPr="00B02BA3">
              <w:rPr>
                <w:sz w:val="16"/>
                <w:szCs w:val="16"/>
              </w:rPr>
              <w:t>169</w:t>
            </w:r>
          </w:p>
        </w:tc>
        <w:tc>
          <w:tcPr>
            <w:tcW w:w="270" w:type="dxa"/>
            <w:vAlign w:val="bottom"/>
          </w:tcPr>
          <w:p w14:paraId="48CAF346" w14:textId="77777777" w:rsidR="00AC5C0C" w:rsidRPr="00B02BA3" w:rsidRDefault="00AC5C0C" w:rsidP="00922116">
            <w:pPr>
              <w:pStyle w:val="CellRowSpacer"/>
              <w:rPr>
                <w:sz w:val="16"/>
                <w:szCs w:val="16"/>
              </w:rPr>
            </w:pPr>
          </w:p>
        </w:tc>
        <w:tc>
          <w:tcPr>
            <w:tcW w:w="1080" w:type="dxa"/>
            <w:vAlign w:val="bottom"/>
          </w:tcPr>
          <w:p w14:paraId="2CE3AA8F" w14:textId="77777777" w:rsidR="00AC5C0C" w:rsidRPr="00B02BA3" w:rsidRDefault="00AC5C0C" w:rsidP="00922116">
            <w:pPr>
              <w:pStyle w:val="VSmCellBody"/>
              <w:jc w:val="right"/>
              <w:rPr>
                <w:sz w:val="16"/>
                <w:szCs w:val="16"/>
              </w:rPr>
            </w:pPr>
            <w:r w:rsidRPr="00B02BA3">
              <w:rPr>
                <w:sz w:val="16"/>
                <w:szCs w:val="16"/>
              </w:rPr>
              <w:t>660</w:t>
            </w:r>
          </w:p>
        </w:tc>
        <w:tc>
          <w:tcPr>
            <w:tcW w:w="270" w:type="dxa"/>
            <w:vAlign w:val="bottom"/>
          </w:tcPr>
          <w:p w14:paraId="3512F988" w14:textId="77777777" w:rsidR="00AC5C0C" w:rsidRPr="00B02BA3" w:rsidRDefault="00AC5C0C" w:rsidP="00922116">
            <w:pPr>
              <w:pStyle w:val="CellRowSpacer"/>
              <w:rPr>
                <w:sz w:val="16"/>
                <w:szCs w:val="16"/>
              </w:rPr>
            </w:pPr>
          </w:p>
        </w:tc>
        <w:tc>
          <w:tcPr>
            <w:tcW w:w="990" w:type="dxa"/>
            <w:vAlign w:val="bottom"/>
          </w:tcPr>
          <w:p w14:paraId="33FB981F" w14:textId="77777777" w:rsidR="00AC5C0C" w:rsidRPr="00B02BA3" w:rsidRDefault="00AC5C0C" w:rsidP="00922116">
            <w:pPr>
              <w:pStyle w:val="VSmCellBody"/>
              <w:jc w:val="right"/>
              <w:rPr>
                <w:sz w:val="16"/>
                <w:szCs w:val="16"/>
              </w:rPr>
            </w:pPr>
            <w:r w:rsidRPr="00B02BA3">
              <w:rPr>
                <w:sz w:val="16"/>
                <w:szCs w:val="16"/>
              </w:rPr>
              <w:t>849</w:t>
            </w:r>
          </w:p>
        </w:tc>
        <w:tc>
          <w:tcPr>
            <w:tcW w:w="270" w:type="dxa"/>
            <w:vAlign w:val="bottom"/>
          </w:tcPr>
          <w:p w14:paraId="56079C33" w14:textId="77777777" w:rsidR="00AC5C0C" w:rsidRPr="00B02BA3" w:rsidRDefault="00AC5C0C" w:rsidP="00922116">
            <w:pPr>
              <w:pStyle w:val="CellRowSpacer"/>
              <w:rPr>
                <w:sz w:val="16"/>
                <w:szCs w:val="16"/>
                <w:vertAlign w:val="superscript"/>
              </w:rPr>
            </w:pPr>
            <w:r w:rsidRPr="00B02BA3">
              <w:rPr>
                <w:sz w:val="16"/>
                <w:szCs w:val="16"/>
                <w:vertAlign w:val="superscript"/>
              </w:rPr>
              <w:t>(3)</w:t>
            </w:r>
          </w:p>
        </w:tc>
        <w:tc>
          <w:tcPr>
            <w:tcW w:w="978" w:type="dxa"/>
            <w:vAlign w:val="bottom"/>
          </w:tcPr>
          <w:p w14:paraId="7D00408B" w14:textId="77777777" w:rsidR="00AC5C0C" w:rsidRPr="00B02BA3" w:rsidRDefault="00AC5C0C" w:rsidP="00922116">
            <w:pPr>
              <w:pStyle w:val="VSmCellBody"/>
              <w:jc w:val="right"/>
              <w:rPr>
                <w:sz w:val="16"/>
                <w:szCs w:val="16"/>
              </w:rPr>
            </w:pPr>
            <w:r w:rsidRPr="00B02BA3">
              <w:rPr>
                <w:sz w:val="16"/>
                <w:szCs w:val="16"/>
              </w:rPr>
              <w:t>15</w:t>
            </w:r>
          </w:p>
        </w:tc>
        <w:tc>
          <w:tcPr>
            <w:tcW w:w="227" w:type="dxa"/>
            <w:vAlign w:val="bottom"/>
          </w:tcPr>
          <w:p w14:paraId="0DB9038B" w14:textId="77777777" w:rsidR="00AC5C0C" w:rsidRPr="00B02BA3" w:rsidRDefault="00AC5C0C" w:rsidP="00922116">
            <w:pPr>
              <w:pStyle w:val="CellRowSpacer"/>
              <w:rPr>
                <w:sz w:val="16"/>
                <w:szCs w:val="16"/>
              </w:rPr>
            </w:pPr>
          </w:p>
        </w:tc>
      </w:tr>
    </w:tbl>
    <w:p w14:paraId="0C03FB33" w14:textId="77777777" w:rsidR="00AC5C0C" w:rsidRPr="00334534" w:rsidRDefault="00AC5C0C" w:rsidP="00AC5C0C">
      <w:pPr>
        <w:bidi/>
        <w:jc w:val="both"/>
        <w:rPr>
          <w:rFonts w:ascii="Traditional Arabic" w:hAnsi="Traditional Arabic" w:cs="Traditional Arabic"/>
          <w:sz w:val="30"/>
          <w:szCs w:val="30"/>
        </w:rPr>
      </w:pPr>
    </w:p>
    <w:p w14:paraId="0FC89073" w14:textId="77777777" w:rsidR="00334534" w:rsidRPr="00334534" w:rsidRDefault="00334534" w:rsidP="00334534">
      <w:pPr>
        <w:bidi/>
        <w:jc w:val="both"/>
        <w:rPr>
          <w:rFonts w:ascii="Traditional Arabic" w:hAnsi="Traditional Arabic" w:cs="Traditional Arabic"/>
          <w:sz w:val="30"/>
          <w:szCs w:val="30"/>
        </w:rPr>
      </w:pPr>
    </w:p>
    <w:tbl>
      <w:tblPr>
        <w:bidiVisual/>
        <w:tblW w:w="8925" w:type="dxa"/>
        <w:tblInd w:w="425" w:type="dxa"/>
        <w:tblLayout w:type="fixed"/>
        <w:tblLook w:val="0000" w:firstRow="0" w:lastRow="0" w:firstColumn="0" w:lastColumn="0" w:noHBand="0" w:noVBand="0"/>
      </w:tblPr>
      <w:tblGrid>
        <w:gridCol w:w="1424"/>
        <w:gridCol w:w="7501"/>
      </w:tblGrid>
      <w:tr w:rsidR="00334534" w:rsidRPr="00AC5C0C" w14:paraId="3FF3202B" w14:textId="77777777" w:rsidTr="00922116">
        <w:tc>
          <w:tcPr>
            <w:tcW w:w="1440" w:type="dxa"/>
            <w:tcBorders>
              <w:top w:val="single" w:sz="4" w:space="0" w:color="auto"/>
            </w:tcBorders>
            <w:vAlign w:val="bottom"/>
          </w:tcPr>
          <w:p w14:paraId="1C5A32BE"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الملاحظات:</w:t>
            </w:r>
          </w:p>
        </w:tc>
        <w:tc>
          <w:tcPr>
            <w:tcW w:w="7599" w:type="dxa"/>
            <w:vAlign w:val="bottom"/>
          </w:tcPr>
          <w:p w14:paraId="4B5967E2" w14:textId="77777777" w:rsidR="00334534" w:rsidRPr="00985281" w:rsidRDefault="00334534" w:rsidP="00334534">
            <w:pPr>
              <w:bidi/>
              <w:jc w:val="both"/>
              <w:rPr>
                <w:rFonts w:ascii="Traditional Arabic" w:hAnsi="Traditional Arabic" w:cs="Traditional Arabic"/>
                <w:sz w:val="24"/>
              </w:rPr>
            </w:pPr>
          </w:p>
        </w:tc>
      </w:tr>
      <w:tr w:rsidR="00334534" w:rsidRPr="00AC5C0C" w14:paraId="63289B24" w14:textId="77777777" w:rsidTr="00922116">
        <w:tc>
          <w:tcPr>
            <w:tcW w:w="9039" w:type="dxa"/>
            <w:gridSpan w:val="2"/>
            <w:vAlign w:val="bottom"/>
          </w:tcPr>
          <w:p w14:paraId="6D25EE01" w14:textId="77777777" w:rsidR="00334534" w:rsidRPr="00985281" w:rsidRDefault="00334534" w:rsidP="00922116">
            <w:pPr>
              <w:numPr>
                <w:ilvl w:val="0"/>
                <w:numId w:val="54"/>
              </w:numPr>
              <w:bidi/>
              <w:jc w:val="both"/>
              <w:rPr>
                <w:rFonts w:ascii="Traditional Arabic" w:hAnsi="Traditional Arabic" w:cs="Traditional Arabic"/>
                <w:sz w:val="24"/>
              </w:rPr>
            </w:pPr>
            <w:r w:rsidRPr="00985281">
              <w:rPr>
                <w:rFonts w:ascii="Traditional Arabic" w:hAnsi="Traditional Arabic" w:cs="Traditional Arabic"/>
                <w:sz w:val="24"/>
                <w:rtl/>
              </w:rPr>
              <w:t>بما في ذلك السفن الملتزم بها تعاقديًا أو المتعاقد عليها والتي هي قيد البناء، على أن يكون تسليمها في المواعيد المقررة على المدى المتوسط.</w:t>
            </w:r>
          </w:p>
        </w:tc>
      </w:tr>
      <w:tr w:rsidR="00334534" w:rsidRPr="00AC5C0C" w14:paraId="2243ABCD" w14:textId="77777777" w:rsidTr="00922116">
        <w:tc>
          <w:tcPr>
            <w:tcW w:w="9039" w:type="dxa"/>
            <w:gridSpan w:val="2"/>
            <w:vAlign w:val="bottom"/>
          </w:tcPr>
          <w:p w14:paraId="27D49ACE"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يتم تحديد سعة قطاع شحن الغاز بالمتر المكعب.</w:t>
            </w:r>
          </w:p>
        </w:tc>
      </w:tr>
      <w:tr w:rsidR="00334534" w:rsidRPr="00AC5C0C" w14:paraId="602A7C10" w14:textId="77777777" w:rsidTr="00922116">
        <w:tc>
          <w:tcPr>
            <w:tcW w:w="9039" w:type="dxa"/>
            <w:gridSpan w:val="2"/>
            <w:vAlign w:val="bottom"/>
          </w:tcPr>
          <w:p w14:paraId="19229E95" w14:textId="77777777" w:rsidR="00334534" w:rsidRPr="00985281" w:rsidRDefault="00334534" w:rsidP="00334534">
            <w:pPr>
              <w:bidi/>
              <w:jc w:val="both"/>
              <w:rPr>
                <w:rFonts w:ascii="Traditional Arabic" w:hAnsi="Traditional Arabic" w:cs="Traditional Arabic"/>
                <w:sz w:val="24"/>
              </w:rPr>
            </w:pPr>
            <w:r w:rsidRPr="00985281">
              <w:rPr>
                <w:rFonts w:ascii="Traditional Arabic" w:hAnsi="Traditional Arabic" w:cs="Traditional Arabic"/>
                <w:sz w:val="24"/>
                <w:rtl/>
              </w:rPr>
              <w:t>تبلغ قيمة إجمالي العقود في قطاع شحن الغاز 598 مليون دولار أمريكي من السفن التي طلبتها الشركة في الوقت الحالي.</w:t>
            </w:r>
          </w:p>
        </w:tc>
      </w:tr>
    </w:tbl>
    <w:p w14:paraId="58E66C05" w14:textId="77777777" w:rsidR="00AC5C0C" w:rsidRDefault="00AC5C0C" w:rsidP="00334534">
      <w:pPr>
        <w:bidi/>
        <w:jc w:val="both"/>
        <w:rPr>
          <w:rFonts w:ascii="Traditional Arabic" w:hAnsi="Traditional Arabic" w:cs="Traditional Arabic"/>
          <w:sz w:val="30"/>
          <w:szCs w:val="30"/>
          <w:rtl/>
        </w:rPr>
      </w:pPr>
    </w:p>
    <w:p w14:paraId="1ACADF79"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تقوم الشركة باستمرار بتقييم الفرص لتحسين أسطولها من خلال الحصول على سفن مبنية حديثًا بأعلى المواصفات، والامتثال لمعايير الممارسات البيئية والاجتماعية والحوكمة الحديثة، بالإضافة إلى الحصول بشكل انتقائي على سفن مستعملة عالية الجودة بأسعار جذابة. بالإضافة إلى ذلك، في عام 2020، اعتمدت الشركة استراتيجية تأجير، ونتيجة لذلك بدأت في استئجار وتأجير سفن تابعة لجهات خارجية بدلاً من امتلاك جميع السفن ملكية تامة أو تملكها على الشيوع. لتوسيع الطاقة الاستيعابية في المستقبل ودعم مرونة الأسطول، تخطط الشركة لمواصلة الاستثمار في سفن إضافية واستئجارها، وبالتالي الحفاظ على نموذج التوسع الخاص بها.</w:t>
      </w:r>
    </w:p>
    <w:p w14:paraId="73EBEEC2" w14:textId="77777777" w:rsidR="00AC5C0C" w:rsidRDefault="00AC5C0C" w:rsidP="00334534">
      <w:pPr>
        <w:bidi/>
        <w:jc w:val="both"/>
        <w:rPr>
          <w:rFonts w:ascii="Traditional Arabic" w:hAnsi="Traditional Arabic" w:cs="Traditional Arabic"/>
          <w:sz w:val="30"/>
          <w:szCs w:val="30"/>
          <w:rtl/>
        </w:rPr>
      </w:pPr>
    </w:p>
    <w:p w14:paraId="3D338575"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وبعد أن كرست الشركة جهودها لتحقيق الكفاءة التشغيلية وتحقيق أهداف الممارسات البيئية والاجتماعية والحوكمة، شرعت في الحفاظ على أسطول "حديث"، يبلغ متوسط عمره ثماني سنوات حتى 30 سبتمبر 2024. ونظرًا لطبيعة الظروف وأحوال أسواق الشحن، ستواصل الشركة إدارة محفظتها من السفن بنشاط بناءً على التوقعات الداخلية ورؤى وسطاء الشحن.</w:t>
      </w:r>
    </w:p>
    <w:p w14:paraId="7C93B271" w14:textId="77777777" w:rsidR="00AC5C0C" w:rsidRDefault="00AC5C0C" w:rsidP="00334534">
      <w:pPr>
        <w:bidi/>
        <w:jc w:val="both"/>
        <w:rPr>
          <w:rFonts w:ascii="Traditional Arabic" w:hAnsi="Traditional Arabic" w:cs="Traditional Arabic"/>
          <w:sz w:val="30"/>
          <w:szCs w:val="30"/>
          <w:rtl/>
        </w:rPr>
      </w:pPr>
    </w:p>
    <w:p w14:paraId="49318A31"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تهدف الشركة إلى أن يكون لديها أسطول من 112 سفينة (65 سفينة مملوكة</w:t>
      </w:r>
      <w:r w:rsidR="004B25AB">
        <w:rPr>
          <w:rFonts w:ascii="Traditional Arabic" w:hAnsi="Traditional Arabic" w:cs="Traditional Arabic" w:hint="cs"/>
          <w:sz w:val="30"/>
          <w:szCs w:val="30"/>
          <w:rtl/>
        </w:rPr>
        <w:t xml:space="preserve"> بالكامل أو على المشاع</w:t>
      </w:r>
      <w:r w:rsidRPr="00334534">
        <w:rPr>
          <w:rFonts w:ascii="Traditional Arabic" w:hAnsi="Traditional Arabic" w:cs="Traditional Arabic"/>
          <w:sz w:val="30"/>
          <w:szCs w:val="30"/>
          <w:rtl/>
        </w:rPr>
        <w:t xml:space="preserve"> و 47 سفينة مستأجرة) بحلول عام 2029، مدفوعة بعمليات الاستحواذ على السفن خلال هذه الفترة. </w:t>
      </w:r>
    </w:p>
    <w:p w14:paraId="0C8F5E6F" w14:textId="77777777" w:rsidR="00AC5C0C" w:rsidRDefault="00AC5C0C" w:rsidP="00334534">
      <w:pPr>
        <w:bidi/>
        <w:jc w:val="both"/>
        <w:rPr>
          <w:rFonts w:ascii="Traditional Arabic" w:hAnsi="Traditional Arabic" w:cs="Traditional Arabic"/>
          <w:sz w:val="30"/>
          <w:szCs w:val="30"/>
          <w:rtl/>
        </w:rPr>
      </w:pPr>
    </w:p>
    <w:p w14:paraId="732679A0"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يوضح الرسم البياني التالي خطة تطوير أسطول الشركة بين عامي 2024 و 2029:</w:t>
      </w:r>
    </w:p>
    <w:p w14:paraId="2614DCE6"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lastRenderedPageBreak/>
        <w:drawing>
          <wp:inline distT="0" distB="0" distL="0" distR="0" wp14:anchorId="7BC63D90" wp14:editId="7F34CA40">
            <wp:extent cx="5638800" cy="1251510"/>
            <wp:effectExtent l="0" t="0" r="0" b="6350"/>
            <wp:docPr id="837982635" name="Picture 1"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82635" name="Picture 1" descr="A screenshot of a computer  Description automatically generated"/>
                    <pic:cNvPicPr/>
                  </pic:nvPicPr>
                  <pic:blipFill rotWithShape="1">
                    <a:blip r:embed="rId76"/>
                    <a:srcRect b="35902"/>
                    <a:stretch/>
                  </pic:blipFill>
                  <pic:spPr bwMode="auto">
                    <a:xfrm>
                      <a:off x="0" y="0"/>
                      <a:ext cx="5654121" cy="1254911"/>
                    </a:xfrm>
                    <a:prstGeom prst="rect">
                      <a:avLst/>
                    </a:prstGeom>
                    <a:ln>
                      <a:noFill/>
                    </a:ln>
                    <a:extLst>
                      <a:ext uri="{53640926-AAD7-44D8-BBD7-CCE9431645EC}">
                        <a14:shadowObscured xmlns:a14="http://schemas.microsoft.com/office/drawing/2010/main"/>
                      </a:ext>
                    </a:extLst>
                  </pic:spPr>
                </pic:pic>
              </a:graphicData>
            </a:graphic>
          </wp:inline>
        </w:drawing>
      </w:r>
    </w:p>
    <w:p w14:paraId="096B1B15" w14:textId="77777777" w:rsidR="00AC5C0C" w:rsidRDefault="00AC5C0C" w:rsidP="00985281">
      <w:pPr>
        <w:bidi/>
        <w:jc w:val="both"/>
        <w:rPr>
          <w:rFonts w:ascii="Traditional Arabic" w:hAnsi="Traditional Arabic" w:cs="Traditional Arabic"/>
          <w:sz w:val="30"/>
          <w:szCs w:val="30"/>
        </w:rPr>
      </w:pPr>
    </w:p>
    <w:p w14:paraId="6CFA9898" w14:textId="77777777" w:rsidR="00334534" w:rsidRPr="00334534" w:rsidRDefault="00607B02" w:rsidP="00922116">
      <w:pPr>
        <w:numPr>
          <w:ilvl w:val="0"/>
          <w:numId w:val="55"/>
        </w:numPr>
        <w:bidi/>
        <w:jc w:val="both"/>
        <w:rPr>
          <w:rFonts w:ascii="Traditional Arabic" w:hAnsi="Traditional Arabic" w:cs="Traditional Arabic"/>
          <w:sz w:val="30"/>
          <w:szCs w:val="30"/>
        </w:rPr>
      </w:pPr>
      <w:r>
        <w:rPr>
          <w:rFonts w:ascii="Traditional Arabic" w:hAnsi="Traditional Arabic" w:cs="Traditional Arabic"/>
          <w:sz w:val="30"/>
          <w:szCs w:val="30"/>
          <w:rtl/>
        </w:rPr>
        <w:t>نقل</w:t>
      </w:r>
      <w:r w:rsidR="00334534" w:rsidRPr="00334534">
        <w:rPr>
          <w:rFonts w:ascii="Traditional Arabic" w:hAnsi="Traditional Arabic" w:cs="Traditional Arabic"/>
          <w:sz w:val="30"/>
          <w:szCs w:val="30"/>
          <w:rtl/>
        </w:rPr>
        <w:t xml:space="preserve"> النفط الخام: بحلول عام 2029، تخطط الشركة للحصول على 13 سفينة إضافية (منها أربع سفن قيد البناء بالفعل)، والتخلص من أربع سفن موجودة وتقليل عدد السفن المستأجرة بمقدار ثلاث سفن، وبالتالي ستكون المحصلة كما يلي: ثلاث سفن مستأجرة و 21 سفينة شحن نفط خام مملوكة ملكية تامة أو </w:t>
      </w:r>
      <w:r w:rsidR="00E65E26">
        <w:rPr>
          <w:rFonts w:ascii="Traditional Arabic" w:hAnsi="Traditional Arabic" w:cs="Traditional Arabic"/>
          <w:sz w:val="30"/>
          <w:szCs w:val="30"/>
          <w:rtl/>
        </w:rPr>
        <w:t>بشكل مشترك</w:t>
      </w:r>
      <w:r w:rsidR="00334534" w:rsidRPr="00334534">
        <w:rPr>
          <w:rFonts w:ascii="Traditional Arabic" w:hAnsi="Traditional Arabic" w:cs="Traditional Arabic"/>
          <w:sz w:val="30"/>
          <w:szCs w:val="30"/>
          <w:rtl/>
        </w:rPr>
        <w:t xml:space="preserve">. </w:t>
      </w:r>
    </w:p>
    <w:p w14:paraId="64BCE040" w14:textId="77777777" w:rsidR="00334534" w:rsidRPr="00334534" w:rsidRDefault="00607B02" w:rsidP="00922116">
      <w:pPr>
        <w:numPr>
          <w:ilvl w:val="0"/>
          <w:numId w:val="55"/>
        </w:numPr>
        <w:bidi/>
        <w:jc w:val="both"/>
        <w:rPr>
          <w:rFonts w:ascii="Traditional Arabic" w:hAnsi="Traditional Arabic" w:cs="Traditional Arabic"/>
          <w:sz w:val="30"/>
          <w:szCs w:val="30"/>
        </w:rPr>
      </w:pPr>
      <w:r>
        <w:rPr>
          <w:rFonts w:ascii="Traditional Arabic" w:hAnsi="Traditional Arabic" w:cs="Traditional Arabic"/>
          <w:sz w:val="30"/>
          <w:szCs w:val="30"/>
          <w:rtl/>
        </w:rPr>
        <w:t>نقل</w:t>
      </w:r>
      <w:r w:rsidR="00334534" w:rsidRPr="00334534">
        <w:rPr>
          <w:rFonts w:ascii="Traditional Arabic" w:hAnsi="Traditional Arabic" w:cs="Traditional Arabic"/>
          <w:sz w:val="30"/>
          <w:szCs w:val="30"/>
          <w:rtl/>
        </w:rPr>
        <w:t xml:space="preserve"> المنتجات: بحلول عام 2029، تخطط الشركة للحصول على ست سفن إضافية، والتخلص من ثلاث سفن موجودة وتقليل عدد السفن المستأجرة بمقدار أربع سفن، وبالتالي ستكون المحصلة كما يلي: 15 سفينة مستأجرة و 18 سفينة </w:t>
      </w:r>
      <w:r>
        <w:rPr>
          <w:rFonts w:ascii="Traditional Arabic" w:hAnsi="Traditional Arabic" w:cs="Traditional Arabic"/>
          <w:sz w:val="30"/>
          <w:szCs w:val="30"/>
          <w:rtl/>
        </w:rPr>
        <w:t>نقل</w:t>
      </w:r>
      <w:r w:rsidR="00334534" w:rsidRPr="00334534">
        <w:rPr>
          <w:rFonts w:ascii="Traditional Arabic" w:hAnsi="Traditional Arabic" w:cs="Traditional Arabic"/>
          <w:sz w:val="30"/>
          <w:szCs w:val="30"/>
          <w:rtl/>
        </w:rPr>
        <w:t xml:space="preserve"> منتجات مملوكة ملكية تامة أو </w:t>
      </w:r>
      <w:r w:rsidR="00E65E26">
        <w:rPr>
          <w:rFonts w:ascii="Traditional Arabic" w:hAnsi="Traditional Arabic" w:cs="Traditional Arabic" w:hint="cs"/>
          <w:sz w:val="30"/>
          <w:szCs w:val="30"/>
          <w:rtl/>
        </w:rPr>
        <w:t>بشكل مشترك</w:t>
      </w:r>
      <w:r w:rsidR="00334534" w:rsidRPr="00334534">
        <w:rPr>
          <w:rFonts w:ascii="Traditional Arabic" w:hAnsi="Traditional Arabic" w:cs="Traditional Arabic"/>
          <w:sz w:val="30"/>
          <w:szCs w:val="30"/>
          <w:rtl/>
        </w:rPr>
        <w:t xml:space="preserve">. </w:t>
      </w:r>
    </w:p>
    <w:p w14:paraId="3CF3D9C8" w14:textId="77777777" w:rsidR="00334534" w:rsidRPr="00334534" w:rsidRDefault="00607B02" w:rsidP="00922116">
      <w:pPr>
        <w:numPr>
          <w:ilvl w:val="0"/>
          <w:numId w:val="55"/>
        </w:numPr>
        <w:bidi/>
        <w:jc w:val="both"/>
        <w:rPr>
          <w:rFonts w:ascii="Traditional Arabic" w:hAnsi="Traditional Arabic" w:cs="Traditional Arabic"/>
          <w:sz w:val="30"/>
          <w:szCs w:val="30"/>
        </w:rPr>
      </w:pPr>
      <w:r>
        <w:rPr>
          <w:rFonts w:ascii="Traditional Arabic" w:hAnsi="Traditional Arabic" w:cs="Traditional Arabic"/>
          <w:sz w:val="30"/>
          <w:szCs w:val="30"/>
          <w:rtl/>
        </w:rPr>
        <w:t>نقل</w:t>
      </w:r>
      <w:r w:rsidR="00334534" w:rsidRPr="00334534">
        <w:rPr>
          <w:rFonts w:ascii="Traditional Arabic" w:hAnsi="Traditional Arabic" w:cs="Traditional Arabic"/>
          <w:sz w:val="30"/>
          <w:szCs w:val="30"/>
          <w:rtl/>
        </w:rPr>
        <w:t xml:space="preserve"> البضائع السائبة الجافة: بحلول عام 2029، تخطط الشركة للحصول على ست سفن إضافية، واستئجار 15 سفينة إضافية، وبالتالي ستكون المحصلة كما يلي: 22 سفينة مستأجرة و 17 سفينة </w:t>
      </w:r>
      <w:r>
        <w:rPr>
          <w:rFonts w:ascii="Traditional Arabic" w:hAnsi="Traditional Arabic" w:cs="Traditional Arabic"/>
          <w:sz w:val="30"/>
          <w:szCs w:val="30"/>
          <w:rtl/>
        </w:rPr>
        <w:t>نقل</w:t>
      </w:r>
      <w:r w:rsidR="00334534" w:rsidRPr="00334534">
        <w:rPr>
          <w:rFonts w:ascii="Traditional Arabic" w:hAnsi="Traditional Arabic" w:cs="Traditional Arabic"/>
          <w:sz w:val="30"/>
          <w:szCs w:val="30"/>
          <w:rtl/>
        </w:rPr>
        <w:t xml:space="preserve"> للبضائع السائبة الجافة؛ مملوكة ملكية تامة أو </w:t>
      </w:r>
      <w:r w:rsidR="00E65E26">
        <w:rPr>
          <w:rFonts w:ascii="Traditional Arabic" w:hAnsi="Traditional Arabic" w:cs="Traditional Arabic" w:hint="cs"/>
          <w:sz w:val="30"/>
          <w:szCs w:val="30"/>
          <w:rtl/>
        </w:rPr>
        <w:t>بشكل مشترك</w:t>
      </w:r>
      <w:r w:rsidR="00334534" w:rsidRPr="00334534">
        <w:rPr>
          <w:rFonts w:ascii="Traditional Arabic" w:hAnsi="Traditional Arabic" w:cs="Traditional Arabic"/>
          <w:sz w:val="30"/>
          <w:szCs w:val="30"/>
          <w:rtl/>
        </w:rPr>
        <w:t xml:space="preserve">. </w:t>
      </w:r>
    </w:p>
    <w:p w14:paraId="71F6A206" w14:textId="77777777" w:rsidR="00334534" w:rsidRPr="00334534" w:rsidRDefault="00607B02" w:rsidP="00922116">
      <w:pPr>
        <w:numPr>
          <w:ilvl w:val="0"/>
          <w:numId w:val="55"/>
        </w:numPr>
        <w:bidi/>
        <w:jc w:val="both"/>
        <w:rPr>
          <w:rFonts w:ascii="Traditional Arabic" w:hAnsi="Traditional Arabic" w:cs="Traditional Arabic"/>
          <w:sz w:val="30"/>
          <w:szCs w:val="30"/>
        </w:rPr>
      </w:pPr>
      <w:r>
        <w:rPr>
          <w:rFonts w:ascii="Traditional Arabic" w:hAnsi="Traditional Arabic" w:cs="Traditional Arabic"/>
          <w:sz w:val="30"/>
          <w:szCs w:val="30"/>
          <w:rtl/>
        </w:rPr>
        <w:t>نقل</w:t>
      </w:r>
      <w:r w:rsidR="00334534" w:rsidRPr="00334534">
        <w:rPr>
          <w:rFonts w:ascii="Traditional Arabic" w:hAnsi="Traditional Arabic" w:cs="Traditional Arabic"/>
          <w:sz w:val="30"/>
          <w:szCs w:val="30"/>
          <w:rtl/>
        </w:rPr>
        <w:t xml:space="preserve"> الغاز: بحلول عام 2029، تخطط الشركة للحصول على أربع سفن إضافية (منها اثنتان قيد البناء بالفعل)، والتخلص من خمس سفن موجودة وتقليل عدد السفن المستأجرة بمقدار سفينة واحدة، وبالتالي تكون المحصلة هي كما يلي: ست سفن </w:t>
      </w:r>
      <w:r>
        <w:rPr>
          <w:rFonts w:ascii="Traditional Arabic" w:hAnsi="Traditional Arabic" w:cs="Traditional Arabic"/>
          <w:sz w:val="30"/>
          <w:szCs w:val="30"/>
          <w:rtl/>
        </w:rPr>
        <w:t>نقل</w:t>
      </w:r>
      <w:r w:rsidR="00334534" w:rsidRPr="00334534">
        <w:rPr>
          <w:rFonts w:ascii="Traditional Arabic" w:hAnsi="Traditional Arabic" w:cs="Traditional Arabic"/>
          <w:sz w:val="30"/>
          <w:szCs w:val="30"/>
          <w:rtl/>
        </w:rPr>
        <w:t xml:space="preserve"> غاز مملوكة ملكية تامة أو </w:t>
      </w:r>
      <w:r w:rsidR="00E65E26">
        <w:rPr>
          <w:rFonts w:ascii="Traditional Arabic" w:hAnsi="Traditional Arabic" w:cs="Traditional Arabic" w:hint="cs"/>
          <w:sz w:val="30"/>
          <w:szCs w:val="30"/>
          <w:rtl/>
        </w:rPr>
        <w:t>بشكل مشترك</w:t>
      </w:r>
      <w:r w:rsidR="00334534" w:rsidRPr="00334534">
        <w:rPr>
          <w:rFonts w:ascii="Traditional Arabic" w:hAnsi="Traditional Arabic" w:cs="Traditional Arabic"/>
          <w:sz w:val="30"/>
          <w:szCs w:val="30"/>
          <w:rtl/>
        </w:rPr>
        <w:t xml:space="preserve">. </w:t>
      </w:r>
    </w:p>
    <w:p w14:paraId="1DB2AE40" w14:textId="77777777" w:rsidR="00B86A58" w:rsidRDefault="00334534" w:rsidP="00B86A58">
      <w:pPr>
        <w:numPr>
          <w:ilvl w:val="0"/>
          <w:numId w:val="55"/>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ال</w:t>
      </w:r>
      <w:r w:rsidR="00607B02">
        <w:rPr>
          <w:rFonts w:ascii="Traditional Arabic" w:hAnsi="Traditional Arabic" w:cs="Traditional Arabic"/>
          <w:sz w:val="30"/>
          <w:szCs w:val="30"/>
          <w:rtl/>
        </w:rPr>
        <w:t>نقل</w:t>
      </w:r>
      <w:r w:rsidRPr="00334534">
        <w:rPr>
          <w:rFonts w:ascii="Traditional Arabic" w:hAnsi="Traditional Arabic" w:cs="Traditional Arabic"/>
          <w:sz w:val="30"/>
          <w:szCs w:val="30"/>
          <w:rtl/>
        </w:rPr>
        <w:t xml:space="preserve"> على الخطوط الملاحية المنتظمة: بحلول عام 2029، تخطط الشركة للحصول على سفينة إضافية </w:t>
      </w:r>
      <w:r w:rsidR="007A26E7">
        <w:rPr>
          <w:rFonts w:ascii="Traditional Arabic" w:hAnsi="Traditional Arabic" w:cs="Traditional Arabic" w:hint="cs"/>
          <w:sz w:val="30"/>
          <w:szCs w:val="30"/>
          <w:rtl/>
        </w:rPr>
        <w:t>وزيادة</w:t>
      </w:r>
      <w:r w:rsidR="007A26E7"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 xml:space="preserve">عدد السفن المستأجرة بمقدار </w:t>
      </w:r>
      <w:r w:rsidR="007A26E7">
        <w:rPr>
          <w:rFonts w:ascii="Traditional Arabic" w:hAnsi="Traditional Arabic" w:cs="Traditional Arabic" w:hint="cs"/>
          <w:sz w:val="30"/>
          <w:szCs w:val="30"/>
          <w:rtl/>
        </w:rPr>
        <w:t>أربع</w:t>
      </w:r>
      <w:r w:rsidR="007A26E7"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 xml:space="preserve">سفن، وبالتالي ستكون المحصلة كما يلي: امتلاك </w:t>
      </w:r>
      <w:r w:rsidR="003E77FF">
        <w:rPr>
          <w:rFonts w:ascii="Traditional Arabic" w:hAnsi="Traditional Arabic" w:cs="Traditional Arabic" w:hint="cs"/>
          <w:sz w:val="30"/>
          <w:szCs w:val="30"/>
          <w:rtl/>
        </w:rPr>
        <w:t>سبعة</w:t>
      </w:r>
      <w:r w:rsidR="003E77FF"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سفن شحن على الخطوط الملاحية المنتظمة.</w:t>
      </w:r>
    </w:p>
    <w:p w14:paraId="6AD3A0A5" w14:textId="77777777" w:rsidR="00AC5C0C" w:rsidRPr="00334534" w:rsidRDefault="00AC5C0C" w:rsidP="00985281">
      <w:pPr>
        <w:bidi/>
        <w:ind w:left="1145"/>
        <w:jc w:val="both"/>
        <w:rPr>
          <w:rFonts w:ascii="Traditional Arabic" w:hAnsi="Traditional Arabic" w:cs="Traditional Arabic"/>
          <w:sz w:val="30"/>
          <w:szCs w:val="30"/>
        </w:rPr>
      </w:pPr>
    </w:p>
    <w:p w14:paraId="53C6BA26"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يوضح الرسم البياني التالي استثمار السفينة المخطط له للشركة بين عامي 2024 و 2029:</w:t>
      </w:r>
    </w:p>
    <w:p w14:paraId="09E02657"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drawing>
          <wp:inline distT="0" distB="0" distL="0" distR="0" wp14:anchorId="273FECB7" wp14:editId="5A68FEDF">
            <wp:extent cx="5638800" cy="1471362"/>
            <wp:effectExtent l="0" t="0" r="0" b="0"/>
            <wp:docPr id="216288030" name="Picture 1" descr="A graph with purple squares and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88030" name="Picture 1" descr="A graph with purple squares and text  Description automatically generated"/>
                    <pic:cNvPicPr/>
                  </pic:nvPicPr>
                  <pic:blipFill>
                    <a:blip r:embed="rId77"/>
                    <a:stretch>
                      <a:fillRect/>
                    </a:stretch>
                  </pic:blipFill>
                  <pic:spPr>
                    <a:xfrm>
                      <a:off x="0" y="0"/>
                      <a:ext cx="5660967" cy="1477146"/>
                    </a:xfrm>
                    <a:prstGeom prst="rect">
                      <a:avLst/>
                    </a:prstGeom>
                  </pic:spPr>
                </pic:pic>
              </a:graphicData>
            </a:graphic>
          </wp:inline>
        </w:drawing>
      </w:r>
    </w:p>
    <w:p w14:paraId="772B859C" w14:textId="77777777" w:rsidR="00AC5C0C" w:rsidRDefault="00AC5C0C" w:rsidP="00334534">
      <w:pPr>
        <w:bidi/>
        <w:jc w:val="both"/>
        <w:rPr>
          <w:rFonts w:ascii="Traditional Arabic" w:hAnsi="Traditional Arabic" w:cs="Traditional Arabic"/>
          <w:sz w:val="30"/>
          <w:szCs w:val="30"/>
          <w:rtl/>
        </w:rPr>
      </w:pPr>
    </w:p>
    <w:p w14:paraId="5BB19FBD"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يوضح الجدول التالي جدول التسليم المتوقع للسفن المطلوبة حتى 30 سبتمبر 2024، والتي ستكون جميعها مملوكة بالكامل للشركة:</w:t>
      </w:r>
    </w:p>
    <w:p w14:paraId="484A0F6B" w14:textId="77777777" w:rsidR="00AC5C0C" w:rsidRDefault="00AC5C0C" w:rsidP="00334534">
      <w:pPr>
        <w:bidi/>
        <w:jc w:val="both"/>
        <w:rPr>
          <w:rFonts w:ascii="Traditional Arabic" w:hAnsi="Traditional Arabic" w:cs="Traditional Arabic"/>
          <w:sz w:val="30"/>
          <w:szCs w:val="30"/>
          <w:rtl/>
        </w:rPr>
      </w:pPr>
      <w:bookmarkStart w:id="11" w:name="new_table"/>
      <w:bookmarkEnd w:id="11"/>
    </w:p>
    <w:tbl>
      <w:tblPr>
        <w:tblW w:w="9061" w:type="dxa"/>
        <w:tblInd w:w="437" w:type="dxa"/>
        <w:tblLayout w:type="fixed"/>
        <w:tblCellMar>
          <w:left w:w="0" w:type="dxa"/>
          <w:right w:w="0" w:type="dxa"/>
        </w:tblCellMar>
        <w:tblLook w:val="0000" w:firstRow="0" w:lastRow="0" w:firstColumn="0" w:lastColumn="0" w:noHBand="0" w:noVBand="0"/>
      </w:tblPr>
      <w:tblGrid>
        <w:gridCol w:w="7076"/>
        <w:gridCol w:w="250"/>
        <w:gridCol w:w="1593"/>
        <w:gridCol w:w="142"/>
      </w:tblGrid>
      <w:tr w:rsidR="00AC5C0C" w:rsidRPr="00B02BA3" w14:paraId="58DC04A6" w14:textId="77777777" w:rsidTr="00922116">
        <w:trPr>
          <w:trHeight w:val="431"/>
          <w:tblHeader/>
        </w:trPr>
        <w:tc>
          <w:tcPr>
            <w:tcW w:w="7076" w:type="dxa"/>
            <w:tcBorders>
              <w:bottom w:val="single" w:sz="4" w:space="0" w:color="auto"/>
            </w:tcBorders>
            <w:vAlign w:val="bottom"/>
          </w:tcPr>
          <w:p w14:paraId="5C3E5C14" w14:textId="77777777" w:rsidR="00AC5C0C" w:rsidRPr="00B02BA3" w:rsidRDefault="00AC5C0C" w:rsidP="00922116">
            <w:pPr>
              <w:pStyle w:val="CellHead"/>
              <w:jc w:val="center"/>
              <w:rPr>
                <w:sz w:val="16"/>
                <w:szCs w:val="16"/>
              </w:rPr>
            </w:pPr>
            <w:r w:rsidRPr="00B02BA3">
              <w:rPr>
                <w:sz w:val="16"/>
                <w:szCs w:val="16"/>
              </w:rPr>
              <w:t>Vessel Type</w:t>
            </w:r>
          </w:p>
        </w:tc>
        <w:tc>
          <w:tcPr>
            <w:tcW w:w="250" w:type="dxa"/>
            <w:vAlign w:val="bottom"/>
          </w:tcPr>
          <w:p w14:paraId="5F5F4DCB" w14:textId="77777777" w:rsidR="00AC5C0C" w:rsidRPr="00B02BA3" w:rsidRDefault="00AC5C0C" w:rsidP="00922116">
            <w:pPr>
              <w:pStyle w:val="CellRowSpacer"/>
              <w:spacing w:after="120"/>
              <w:jc w:val="center"/>
              <w:rPr>
                <w:sz w:val="16"/>
                <w:szCs w:val="16"/>
              </w:rPr>
            </w:pPr>
          </w:p>
        </w:tc>
        <w:tc>
          <w:tcPr>
            <w:tcW w:w="1593" w:type="dxa"/>
            <w:tcBorders>
              <w:bottom w:val="single" w:sz="4" w:space="0" w:color="auto"/>
            </w:tcBorders>
            <w:vAlign w:val="bottom"/>
          </w:tcPr>
          <w:p w14:paraId="66385F7A" w14:textId="77777777" w:rsidR="00AC5C0C" w:rsidRPr="00B02BA3" w:rsidRDefault="00AC5C0C" w:rsidP="00922116">
            <w:pPr>
              <w:pStyle w:val="CellHead"/>
              <w:jc w:val="center"/>
              <w:rPr>
                <w:sz w:val="16"/>
                <w:szCs w:val="16"/>
              </w:rPr>
            </w:pPr>
            <w:r w:rsidRPr="00B02BA3">
              <w:rPr>
                <w:sz w:val="16"/>
                <w:szCs w:val="16"/>
              </w:rPr>
              <w:t>Expected Delivery Date</w:t>
            </w:r>
          </w:p>
        </w:tc>
        <w:tc>
          <w:tcPr>
            <w:tcW w:w="142" w:type="dxa"/>
            <w:vAlign w:val="bottom"/>
          </w:tcPr>
          <w:p w14:paraId="1BB3B964" w14:textId="77777777" w:rsidR="00AC5C0C" w:rsidRPr="00B02BA3" w:rsidRDefault="00AC5C0C" w:rsidP="00922116">
            <w:pPr>
              <w:pStyle w:val="CellRowSpacer"/>
              <w:spacing w:after="120"/>
              <w:rPr>
                <w:sz w:val="16"/>
                <w:szCs w:val="16"/>
              </w:rPr>
            </w:pPr>
          </w:p>
        </w:tc>
      </w:tr>
      <w:tr w:rsidR="00AC5C0C" w:rsidRPr="00B02BA3" w14:paraId="20BF22F5" w14:textId="77777777" w:rsidTr="00922116">
        <w:trPr>
          <w:trHeight w:val="372"/>
        </w:trPr>
        <w:tc>
          <w:tcPr>
            <w:tcW w:w="7076" w:type="dxa"/>
            <w:vAlign w:val="bottom"/>
          </w:tcPr>
          <w:p w14:paraId="0BAB2D8C" w14:textId="77777777" w:rsidR="00AC5C0C" w:rsidRPr="00B02BA3" w:rsidRDefault="00AC5C0C" w:rsidP="00922116">
            <w:pPr>
              <w:pStyle w:val="CellBody"/>
              <w:tabs>
                <w:tab w:val="right" w:leader="dot" w:pos="7078"/>
              </w:tabs>
              <w:rPr>
                <w:sz w:val="16"/>
                <w:szCs w:val="16"/>
              </w:rPr>
            </w:pPr>
            <w:bookmarkStart w:id="12" w:name="bodyrow1"/>
            <w:r w:rsidRPr="00B02BA3">
              <w:rPr>
                <w:sz w:val="16"/>
                <w:szCs w:val="16"/>
              </w:rPr>
              <w:t>LNG</w:t>
            </w:r>
            <w:r w:rsidRPr="00B02BA3">
              <w:rPr>
                <w:sz w:val="16"/>
                <w:szCs w:val="16"/>
              </w:rPr>
              <w:tab/>
            </w:r>
          </w:p>
        </w:tc>
        <w:tc>
          <w:tcPr>
            <w:tcW w:w="250" w:type="dxa"/>
            <w:vAlign w:val="bottom"/>
          </w:tcPr>
          <w:p w14:paraId="40FF1426" w14:textId="77777777" w:rsidR="00AC5C0C" w:rsidRPr="00B02BA3" w:rsidRDefault="00AC5C0C" w:rsidP="00922116">
            <w:pPr>
              <w:pStyle w:val="CellRowSpacer"/>
              <w:rPr>
                <w:sz w:val="16"/>
                <w:szCs w:val="16"/>
              </w:rPr>
            </w:pPr>
          </w:p>
        </w:tc>
        <w:tc>
          <w:tcPr>
            <w:tcW w:w="1593" w:type="dxa"/>
            <w:vAlign w:val="bottom"/>
          </w:tcPr>
          <w:p w14:paraId="14B4C9CD" w14:textId="77777777" w:rsidR="00AC5C0C" w:rsidRPr="00B02BA3" w:rsidRDefault="00AC5C0C" w:rsidP="00922116">
            <w:pPr>
              <w:pStyle w:val="CellBody"/>
              <w:jc w:val="right"/>
              <w:rPr>
                <w:sz w:val="16"/>
                <w:szCs w:val="16"/>
              </w:rPr>
            </w:pPr>
            <w:r w:rsidRPr="00B02BA3">
              <w:rPr>
                <w:sz w:val="16"/>
                <w:szCs w:val="16"/>
              </w:rPr>
              <w:t>May 2026</w:t>
            </w:r>
          </w:p>
        </w:tc>
        <w:tc>
          <w:tcPr>
            <w:tcW w:w="142" w:type="dxa"/>
            <w:vAlign w:val="bottom"/>
          </w:tcPr>
          <w:p w14:paraId="76AE88B3" w14:textId="77777777" w:rsidR="00AC5C0C" w:rsidRPr="00B02BA3" w:rsidRDefault="00AC5C0C" w:rsidP="00922116">
            <w:pPr>
              <w:pStyle w:val="CellRowSpacer"/>
              <w:rPr>
                <w:sz w:val="16"/>
                <w:szCs w:val="16"/>
              </w:rPr>
            </w:pPr>
          </w:p>
        </w:tc>
      </w:tr>
      <w:tr w:rsidR="003110A4" w:rsidRPr="00B02BA3" w14:paraId="403353C6" w14:textId="77777777" w:rsidTr="00922116">
        <w:trPr>
          <w:trHeight w:val="372"/>
        </w:trPr>
        <w:tc>
          <w:tcPr>
            <w:tcW w:w="7076" w:type="dxa"/>
            <w:vAlign w:val="bottom"/>
          </w:tcPr>
          <w:p w14:paraId="5FACC215" w14:textId="77777777" w:rsidR="003110A4" w:rsidRPr="00B02BA3" w:rsidRDefault="003110A4" w:rsidP="003110A4">
            <w:pPr>
              <w:pStyle w:val="CellBody"/>
              <w:tabs>
                <w:tab w:val="right" w:leader="dot" w:pos="7078"/>
              </w:tabs>
              <w:rPr>
                <w:sz w:val="16"/>
                <w:szCs w:val="16"/>
              </w:rPr>
            </w:pPr>
            <w:r w:rsidRPr="00B02BA3">
              <w:rPr>
                <w:sz w:val="16"/>
                <w:szCs w:val="16"/>
              </w:rPr>
              <w:t>LNG</w:t>
            </w:r>
            <w:r w:rsidRPr="00B02BA3">
              <w:rPr>
                <w:sz w:val="16"/>
                <w:szCs w:val="16"/>
              </w:rPr>
              <w:tab/>
            </w:r>
          </w:p>
        </w:tc>
        <w:tc>
          <w:tcPr>
            <w:tcW w:w="250" w:type="dxa"/>
            <w:vAlign w:val="bottom"/>
          </w:tcPr>
          <w:p w14:paraId="019E787F" w14:textId="77777777" w:rsidR="003110A4" w:rsidRPr="00B02BA3" w:rsidRDefault="003110A4" w:rsidP="003110A4">
            <w:pPr>
              <w:pStyle w:val="CellRowSpacer"/>
              <w:rPr>
                <w:sz w:val="16"/>
                <w:szCs w:val="16"/>
              </w:rPr>
            </w:pPr>
          </w:p>
        </w:tc>
        <w:tc>
          <w:tcPr>
            <w:tcW w:w="1593" w:type="dxa"/>
            <w:vAlign w:val="bottom"/>
          </w:tcPr>
          <w:p w14:paraId="378163F3" w14:textId="77777777" w:rsidR="003110A4" w:rsidRPr="00B02BA3" w:rsidRDefault="003110A4" w:rsidP="003110A4">
            <w:pPr>
              <w:pStyle w:val="CellBody"/>
              <w:jc w:val="right"/>
              <w:rPr>
                <w:sz w:val="16"/>
                <w:szCs w:val="16"/>
              </w:rPr>
            </w:pPr>
            <w:r>
              <w:rPr>
                <w:sz w:val="16"/>
                <w:szCs w:val="16"/>
              </w:rPr>
              <w:t>June 2026</w:t>
            </w:r>
          </w:p>
        </w:tc>
        <w:tc>
          <w:tcPr>
            <w:tcW w:w="142" w:type="dxa"/>
            <w:vAlign w:val="bottom"/>
          </w:tcPr>
          <w:p w14:paraId="79E42383" w14:textId="77777777" w:rsidR="003110A4" w:rsidRPr="00B02BA3" w:rsidRDefault="003110A4" w:rsidP="003110A4">
            <w:pPr>
              <w:pStyle w:val="CellRowSpacer"/>
              <w:rPr>
                <w:sz w:val="16"/>
                <w:szCs w:val="16"/>
              </w:rPr>
            </w:pPr>
          </w:p>
        </w:tc>
      </w:tr>
      <w:tr w:rsidR="003110A4" w:rsidRPr="00B02BA3" w14:paraId="7450C5B5" w14:textId="77777777" w:rsidTr="00922116">
        <w:trPr>
          <w:trHeight w:val="372"/>
        </w:trPr>
        <w:tc>
          <w:tcPr>
            <w:tcW w:w="7076" w:type="dxa"/>
            <w:vAlign w:val="bottom"/>
          </w:tcPr>
          <w:p w14:paraId="0C219E16" w14:textId="77777777" w:rsidR="003110A4" w:rsidRPr="00B02BA3" w:rsidRDefault="003110A4" w:rsidP="003110A4">
            <w:pPr>
              <w:pStyle w:val="CellBody"/>
              <w:tabs>
                <w:tab w:val="right" w:leader="dot" w:pos="7078"/>
              </w:tabs>
              <w:rPr>
                <w:sz w:val="16"/>
                <w:szCs w:val="16"/>
              </w:rPr>
            </w:pPr>
            <w:r w:rsidRPr="00B02BA3">
              <w:rPr>
                <w:sz w:val="16"/>
                <w:szCs w:val="16"/>
              </w:rPr>
              <w:t>VLCC</w:t>
            </w:r>
            <w:r w:rsidRPr="00B02BA3">
              <w:rPr>
                <w:sz w:val="16"/>
                <w:szCs w:val="16"/>
              </w:rPr>
              <w:tab/>
            </w:r>
          </w:p>
        </w:tc>
        <w:tc>
          <w:tcPr>
            <w:tcW w:w="250" w:type="dxa"/>
            <w:vAlign w:val="bottom"/>
          </w:tcPr>
          <w:p w14:paraId="00BA6C97" w14:textId="77777777" w:rsidR="003110A4" w:rsidRPr="00B02BA3" w:rsidRDefault="003110A4" w:rsidP="003110A4">
            <w:pPr>
              <w:pStyle w:val="CellRowSpacer"/>
              <w:rPr>
                <w:sz w:val="16"/>
                <w:szCs w:val="16"/>
              </w:rPr>
            </w:pPr>
          </w:p>
        </w:tc>
        <w:tc>
          <w:tcPr>
            <w:tcW w:w="1593" w:type="dxa"/>
            <w:vAlign w:val="bottom"/>
          </w:tcPr>
          <w:p w14:paraId="0AE491FC" w14:textId="77777777" w:rsidR="003110A4" w:rsidRPr="00B02BA3" w:rsidRDefault="003110A4" w:rsidP="003110A4">
            <w:pPr>
              <w:pStyle w:val="CellBody"/>
              <w:jc w:val="right"/>
              <w:rPr>
                <w:sz w:val="16"/>
                <w:szCs w:val="16"/>
              </w:rPr>
            </w:pPr>
            <w:r>
              <w:rPr>
                <w:sz w:val="16"/>
                <w:szCs w:val="16"/>
              </w:rPr>
              <w:t>July</w:t>
            </w:r>
            <w:r w:rsidRPr="00B02BA3">
              <w:rPr>
                <w:sz w:val="16"/>
                <w:szCs w:val="16"/>
              </w:rPr>
              <w:t xml:space="preserve"> 2026</w:t>
            </w:r>
          </w:p>
        </w:tc>
        <w:tc>
          <w:tcPr>
            <w:tcW w:w="142" w:type="dxa"/>
            <w:vAlign w:val="bottom"/>
          </w:tcPr>
          <w:p w14:paraId="7DC11BB4" w14:textId="77777777" w:rsidR="003110A4" w:rsidRPr="00B02BA3" w:rsidRDefault="003110A4" w:rsidP="003110A4">
            <w:pPr>
              <w:pStyle w:val="CellRowSpacer"/>
              <w:rPr>
                <w:sz w:val="16"/>
                <w:szCs w:val="16"/>
              </w:rPr>
            </w:pPr>
          </w:p>
        </w:tc>
      </w:tr>
      <w:tr w:rsidR="003110A4" w:rsidRPr="00B02BA3" w14:paraId="78A1CD14" w14:textId="77777777" w:rsidTr="00922116">
        <w:trPr>
          <w:trHeight w:val="372"/>
        </w:trPr>
        <w:tc>
          <w:tcPr>
            <w:tcW w:w="7076" w:type="dxa"/>
            <w:vAlign w:val="bottom"/>
          </w:tcPr>
          <w:p w14:paraId="59BD95FB" w14:textId="77777777" w:rsidR="003110A4" w:rsidRPr="00B02BA3" w:rsidRDefault="003110A4" w:rsidP="003110A4">
            <w:pPr>
              <w:pStyle w:val="CellBody"/>
              <w:tabs>
                <w:tab w:val="right" w:leader="dot" w:pos="7078"/>
              </w:tabs>
              <w:rPr>
                <w:sz w:val="16"/>
                <w:szCs w:val="16"/>
              </w:rPr>
            </w:pPr>
            <w:r w:rsidRPr="00B02BA3">
              <w:rPr>
                <w:sz w:val="16"/>
                <w:szCs w:val="16"/>
              </w:rPr>
              <w:t>VLCC</w:t>
            </w:r>
            <w:r w:rsidRPr="00B02BA3">
              <w:rPr>
                <w:sz w:val="16"/>
                <w:szCs w:val="16"/>
              </w:rPr>
              <w:tab/>
            </w:r>
          </w:p>
        </w:tc>
        <w:tc>
          <w:tcPr>
            <w:tcW w:w="250" w:type="dxa"/>
            <w:vAlign w:val="bottom"/>
          </w:tcPr>
          <w:p w14:paraId="592FA74F" w14:textId="77777777" w:rsidR="003110A4" w:rsidRPr="00B02BA3" w:rsidRDefault="003110A4" w:rsidP="003110A4">
            <w:pPr>
              <w:pStyle w:val="CellRowSpacer"/>
              <w:rPr>
                <w:sz w:val="16"/>
                <w:szCs w:val="16"/>
              </w:rPr>
            </w:pPr>
          </w:p>
        </w:tc>
        <w:tc>
          <w:tcPr>
            <w:tcW w:w="1593" w:type="dxa"/>
            <w:vAlign w:val="bottom"/>
          </w:tcPr>
          <w:p w14:paraId="14325579" w14:textId="77777777" w:rsidR="003110A4" w:rsidRPr="00B02BA3" w:rsidRDefault="003110A4" w:rsidP="003110A4">
            <w:pPr>
              <w:pStyle w:val="CellBody"/>
              <w:jc w:val="right"/>
              <w:rPr>
                <w:sz w:val="16"/>
                <w:szCs w:val="16"/>
              </w:rPr>
            </w:pPr>
            <w:r>
              <w:rPr>
                <w:sz w:val="16"/>
                <w:szCs w:val="16"/>
              </w:rPr>
              <w:t>October</w:t>
            </w:r>
            <w:r w:rsidRPr="00B02BA3">
              <w:rPr>
                <w:sz w:val="16"/>
                <w:szCs w:val="16"/>
              </w:rPr>
              <w:t xml:space="preserve"> 2026</w:t>
            </w:r>
          </w:p>
        </w:tc>
        <w:tc>
          <w:tcPr>
            <w:tcW w:w="142" w:type="dxa"/>
            <w:vAlign w:val="bottom"/>
          </w:tcPr>
          <w:p w14:paraId="6A05B947" w14:textId="77777777" w:rsidR="003110A4" w:rsidRPr="00B02BA3" w:rsidRDefault="003110A4" w:rsidP="003110A4">
            <w:pPr>
              <w:pStyle w:val="CellRowSpacer"/>
              <w:rPr>
                <w:sz w:val="16"/>
                <w:szCs w:val="16"/>
              </w:rPr>
            </w:pPr>
          </w:p>
        </w:tc>
      </w:tr>
      <w:tr w:rsidR="003110A4" w:rsidRPr="00B02BA3" w14:paraId="1CF128EC" w14:textId="77777777" w:rsidTr="00922116">
        <w:trPr>
          <w:trHeight w:val="372"/>
        </w:trPr>
        <w:tc>
          <w:tcPr>
            <w:tcW w:w="7076" w:type="dxa"/>
            <w:vAlign w:val="bottom"/>
          </w:tcPr>
          <w:p w14:paraId="724574DE" w14:textId="77777777" w:rsidR="003110A4" w:rsidRPr="00B02BA3" w:rsidRDefault="003110A4" w:rsidP="003110A4">
            <w:pPr>
              <w:pStyle w:val="CellBody"/>
              <w:tabs>
                <w:tab w:val="right" w:leader="dot" w:pos="7078"/>
              </w:tabs>
              <w:rPr>
                <w:sz w:val="16"/>
                <w:szCs w:val="16"/>
              </w:rPr>
            </w:pPr>
            <w:r w:rsidRPr="00B02BA3">
              <w:rPr>
                <w:sz w:val="16"/>
                <w:szCs w:val="16"/>
              </w:rPr>
              <w:t>VLCC</w:t>
            </w:r>
            <w:r w:rsidRPr="00B02BA3">
              <w:rPr>
                <w:sz w:val="16"/>
                <w:szCs w:val="16"/>
              </w:rPr>
              <w:tab/>
            </w:r>
          </w:p>
        </w:tc>
        <w:tc>
          <w:tcPr>
            <w:tcW w:w="250" w:type="dxa"/>
            <w:vAlign w:val="bottom"/>
          </w:tcPr>
          <w:p w14:paraId="6DA16B8C" w14:textId="77777777" w:rsidR="003110A4" w:rsidRPr="00B02BA3" w:rsidRDefault="003110A4" w:rsidP="003110A4">
            <w:pPr>
              <w:pStyle w:val="CellRowSpacer"/>
              <w:rPr>
                <w:sz w:val="16"/>
                <w:szCs w:val="16"/>
              </w:rPr>
            </w:pPr>
          </w:p>
        </w:tc>
        <w:tc>
          <w:tcPr>
            <w:tcW w:w="1593" w:type="dxa"/>
            <w:vAlign w:val="bottom"/>
          </w:tcPr>
          <w:p w14:paraId="64A7C049" w14:textId="77777777" w:rsidR="003110A4" w:rsidRPr="00B02BA3" w:rsidRDefault="003110A4" w:rsidP="003110A4">
            <w:pPr>
              <w:pStyle w:val="CellBody"/>
              <w:jc w:val="right"/>
              <w:rPr>
                <w:sz w:val="16"/>
                <w:szCs w:val="16"/>
              </w:rPr>
            </w:pPr>
            <w:r w:rsidRPr="0018060C">
              <w:rPr>
                <w:sz w:val="16"/>
                <w:szCs w:val="16"/>
              </w:rPr>
              <w:t>January</w:t>
            </w:r>
            <w:r w:rsidRPr="00B02BA3">
              <w:rPr>
                <w:sz w:val="16"/>
                <w:szCs w:val="16"/>
              </w:rPr>
              <w:t xml:space="preserve"> 2027</w:t>
            </w:r>
          </w:p>
        </w:tc>
        <w:tc>
          <w:tcPr>
            <w:tcW w:w="142" w:type="dxa"/>
            <w:vAlign w:val="bottom"/>
          </w:tcPr>
          <w:p w14:paraId="1288960D" w14:textId="77777777" w:rsidR="003110A4" w:rsidRPr="00B02BA3" w:rsidRDefault="003110A4" w:rsidP="003110A4">
            <w:pPr>
              <w:pStyle w:val="CellRowSpacer"/>
              <w:rPr>
                <w:sz w:val="16"/>
                <w:szCs w:val="16"/>
              </w:rPr>
            </w:pPr>
          </w:p>
        </w:tc>
      </w:tr>
      <w:tr w:rsidR="003110A4" w:rsidRPr="00B02BA3" w14:paraId="1E046354" w14:textId="77777777" w:rsidTr="00922116">
        <w:trPr>
          <w:trHeight w:val="372"/>
        </w:trPr>
        <w:tc>
          <w:tcPr>
            <w:tcW w:w="7076" w:type="dxa"/>
            <w:vAlign w:val="bottom"/>
          </w:tcPr>
          <w:p w14:paraId="6ABBA20D" w14:textId="77777777" w:rsidR="003110A4" w:rsidRPr="00B02BA3" w:rsidRDefault="003110A4" w:rsidP="003110A4">
            <w:pPr>
              <w:pStyle w:val="CellBody"/>
              <w:tabs>
                <w:tab w:val="right" w:leader="dot" w:pos="7078"/>
              </w:tabs>
              <w:rPr>
                <w:sz w:val="16"/>
                <w:szCs w:val="16"/>
              </w:rPr>
            </w:pPr>
            <w:r w:rsidRPr="00B02BA3">
              <w:rPr>
                <w:sz w:val="16"/>
                <w:szCs w:val="16"/>
              </w:rPr>
              <w:t>VLCC</w:t>
            </w:r>
            <w:r w:rsidRPr="00B02BA3">
              <w:rPr>
                <w:sz w:val="16"/>
                <w:szCs w:val="16"/>
              </w:rPr>
              <w:tab/>
            </w:r>
          </w:p>
        </w:tc>
        <w:tc>
          <w:tcPr>
            <w:tcW w:w="250" w:type="dxa"/>
            <w:vAlign w:val="bottom"/>
          </w:tcPr>
          <w:p w14:paraId="3B44AF07" w14:textId="77777777" w:rsidR="003110A4" w:rsidRPr="00B02BA3" w:rsidRDefault="003110A4" w:rsidP="003110A4">
            <w:pPr>
              <w:pStyle w:val="CellRowSpacer"/>
              <w:rPr>
                <w:sz w:val="16"/>
                <w:szCs w:val="16"/>
              </w:rPr>
            </w:pPr>
          </w:p>
        </w:tc>
        <w:tc>
          <w:tcPr>
            <w:tcW w:w="1593" w:type="dxa"/>
            <w:vAlign w:val="bottom"/>
          </w:tcPr>
          <w:p w14:paraId="54FB855F" w14:textId="77777777" w:rsidR="003110A4" w:rsidRPr="00B02BA3" w:rsidRDefault="003110A4" w:rsidP="003110A4">
            <w:pPr>
              <w:pStyle w:val="CellBody"/>
              <w:jc w:val="right"/>
              <w:rPr>
                <w:sz w:val="16"/>
                <w:szCs w:val="16"/>
              </w:rPr>
            </w:pPr>
            <w:r w:rsidRPr="00B02BA3">
              <w:rPr>
                <w:sz w:val="16"/>
                <w:szCs w:val="16"/>
              </w:rPr>
              <w:t>April 2027</w:t>
            </w:r>
          </w:p>
        </w:tc>
        <w:tc>
          <w:tcPr>
            <w:tcW w:w="142" w:type="dxa"/>
            <w:vAlign w:val="bottom"/>
          </w:tcPr>
          <w:p w14:paraId="50386195" w14:textId="77777777" w:rsidR="003110A4" w:rsidRPr="00B02BA3" w:rsidRDefault="003110A4" w:rsidP="003110A4">
            <w:pPr>
              <w:pStyle w:val="CellRowSpacer"/>
              <w:rPr>
                <w:sz w:val="16"/>
                <w:szCs w:val="16"/>
              </w:rPr>
            </w:pPr>
          </w:p>
        </w:tc>
      </w:tr>
      <w:bookmarkEnd w:id="12"/>
    </w:tbl>
    <w:p w14:paraId="29634AF5" w14:textId="77777777" w:rsidR="00AC5C0C" w:rsidRDefault="00AC5C0C" w:rsidP="00AC5C0C">
      <w:pPr>
        <w:bidi/>
        <w:jc w:val="both"/>
        <w:rPr>
          <w:rFonts w:ascii="Traditional Arabic" w:hAnsi="Traditional Arabic" w:cs="Traditional Arabic"/>
          <w:sz w:val="30"/>
          <w:szCs w:val="30"/>
          <w:rtl/>
        </w:rPr>
      </w:pPr>
    </w:p>
    <w:p w14:paraId="613F70BE"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تعتقد الشركة أن أسطولها الحديث هو أحد المزايا التنافسية الرئيسية في الأسواق التي تعمل فيها، وتسعى باستمرار إلى تجديد أجزاء من أسطولها للحفاظ على المكانة التنافسية لسفنها. </w:t>
      </w:r>
    </w:p>
    <w:p w14:paraId="59D51DC3" w14:textId="77777777" w:rsidR="00AC5C0C" w:rsidRDefault="00AC5C0C" w:rsidP="00334534">
      <w:pPr>
        <w:bidi/>
        <w:jc w:val="both"/>
        <w:rPr>
          <w:rFonts w:ascii="Traditional Arabic" w:hAnsi="Traditional Arabic" w:cs="Traditional Arabic"/>
          <w:b/>
          <w:sz w:val="30"/>
          <w:szCs w:val="30"/>
          <w:rtl/>
        </w:rPr>
      </w:pPr>
    </w:p>
    <w:p w14:paraId="5FE39B87"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الأنشطة الأخرى</w:t>
      </w:r>
    </w:p>
    <w:p w14:paraId="39D27424"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إن نجاح الشركة التشغيلي مدفوع بشكل أساسي بالدعم المهني من قبل الشركة العمانية </w:t>
      </w:r>
      <w:r w:rsidR="00D73935">
        <w:rPr>
          <w:rFonts w:ascii="Traditional Arabic" w:hAnsi="Traditional Arabic" w:cs="Traditional Arabic" w:hint="cs"/>
          <w:sz w:val="30"/>
          <w:szCs w:val="30"/>
          <w:rtl/>
        </w:rPr>
        <w:t>لاستئجار</w:t>
      </w:r>
      <w:r w:rsidR="00D73935"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 xml:space="preserve">السفن، والشركة العمانية لإدارة السفن، وشركة خط أسياد، وشركة أسياد شيبينغ </w:t>
      </w:r>
      <w:r w:rsidR="001805EC">
        <w:rPr>
          <w:rFonts w:ascii="Traditional Arabic" w:hAnsi="Traditional Arabic" w:cs="Traditional Arabic" w:hint="cs"/>
          <w:sz w:val="30"/>
          <w:szCs w:val="30"/>
          <w:rtl/>
        </w:rPr>
        <w:t>بي تي إي ليمتد</w:t>
      </w:r>
      <w:r w:rsidRPr="00334534">
        <w:rPr>
          <w:rFonts w:ascii="Traditional Arabic" w:hAnsi="Traditional Arabic" w:cs="Traditional Arabic"/>
          <w:sz w:val="30"/>
          <w:szCs w:val="30"/>
          <w:rtl/>
        </w:rPr>
        <w:t xml:space="preserve">، وهي الشركات التابعة المملوكة لها بالكامل، والتي تقدم خدمات تأجير السفن والخدمات الفنية لإدارة السفن لكل من سفن الشركة والسفن التابعة لأطراف أخرى وشركات الشحن. </w:t>
      </w:r>
    </w:p>
    <w:p w14:paraId="59BE6AB5" w14:textId="77777777" w:rsidR="00AC5C0C" w:rsidRDefault="00AC5C0C" w:rsidP="00334534">
      <w:pPr>
        <w:bidi/>
        <w:jc w:val="both"/>
        <w:rPr>
          <w:rFonts w:ascii="Traditional Arabic" w:hAnsi="Traditional Arabic" w:cs="Traditional Arabic"/>
          <w:i/>
          <w:sz w:val="30"/>
          <w:szCs w:val="30"/>
          <w:rtl/>
        </w:rPr>
      </w:pPr>
    </w:p>
    <w:p w14:paraId="79109597" w14:textId="77777777" w:rsidR="00334534" w:rsidRPr="00AC5C0C" w:rsidRDefault="00334534" w:rsidP="00AC5C0C">
      <w:pPr>
        <w:bidi/>
        <w:jc w:val="both"/>
        <w:rPr>
          <w:rFonts w:ascii="Traditional Arabic" w:hAnsi="Traditional Arabic" w:cs="Traditional Arabic"/>
          <w:i/>
          <w:sz w:val="30"/>
          <w:szCs w:val="30"/>
        </w:rPr>
      </w:pPr>
      <w:r w:rsidRPr="00AC5C0C">
        <w:rPr>
          <w:rFonts w:ascii="Traditional Arabic" w:hAnsi="Traditional Arabic" w:cs="Traditional Arabic"/>
          <w:i/>
          <w:sz w:val="30"/>
          <w:szCs w:val="30"/>
          <w:rtl/>
        </w:rPr>
        <w:t xml:space="preserve">الشركة العمانية </w:t>
      </w:r>
      <w:r w:rsidR="00D73935">
        <w:rPr>
          <w:rFonts w:ascii="Traditional Arabic" w:hAnsi="Traditional Arabic" w:cs="Traditional Arabic" w:hint="cs"/>
          <w:i/>
          <w:sz w:val="30"/>
          <w:szCs w:val="30"/>
          <w:rtl/>
        </w:rPr>
        <w:t>لاستئجار</w:t>
      </w:r>
      <w:r w:rsidR="00D73935" w:rsidRPr="00AC5C0C">
        <w:rPr>
          <w:rFonts w:ascii="Traditional Arabic" w:hAnsi="Traditional Arabic" w:cs="Traditional Arabic"/>
          <w:i/>
          <w:sz w:val="30"/>
          <w:szCs w:val="30"/>
          <w:rtl/>
        </w:rPr>
        <w:t xml:space="preserve"> </w:t>
      </w:r>
      <w:r w:rsidRPr="00AC5C0C">
        <w:rPr>
          <w:rFonts w:ascii="Traditional Arabic" w:hAnsi="Traditional Arabic" w:cs="Traditional Arabic"/>
          <w:i/>
          <w:sz w:val="30"/>
          <w:szCs w:val="30"/>
          <w:rtl/>
        </w:rPr>
        <w:t>السفن</w:t>
      </w:r>
    </w:p>
    <w:p w14:paraId="0C47BB05"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تشرف الشركة العمانية </w:t>
      </w:r>
      <w:r w:rsidR="00D73935">
        <w:rPr>
          <w:rFonts w:ascii="Traditional Arabic" w:hAnsi="Traditional Arabic" w:cs="Traditional Arabic" w:hint="cs"/>
          <w:sz w:val="30"/>
          <w:szCs w:val="30"/>
          <w:rtl/>
        </w:rPr>
        <w:t>لاستئجار</w:t>
      </w:r>
      <w:r w:rsidR="00D73935"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 xml:space="preserve">السفن التي تأسست في عام 2004 على أنشطة التأجير والسمسرة الموسعة للشركة، والتي تشمل السفن المملوكة للشركة وسفن الشركات الأخرى أيضا. كما تدير الشركة العمانية </w:t>
      </w:r>
      <w:r w:rsidR="00D73935">
        <w:rPr>
          <w:rFonts w:ascii="Traditional Arabic" w:hAnsi="Traditional Arabic" w:cs="Traditional Arabic" w:hint="cs"/>
          <w:sz w:val="30"/>
          <w:szCs w:val="30"/>
          <w:rtl/>
        </w:rPr>
        <w:t>لاستئجار</w:t>
      </w:r>
      <w:r w:rsidR="00D73935"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 xml:space="preserve">السفن العديد من السفن التي تم استئجارها لدعم عملاء الشركة. وهي تشمل أحجام مختلفة من ناقلات السوائب الجافة وناقلات المنتجات وناقلات الغاز متوسطة الحجم وسفينة صغيرة الحجم. وفي عام 2022، وسعت الشركة العمانية </w:t>
      </w:r>
      <w:r w:rsidR="00D73935">
        <w:rPr>
          <w:rFonts w:ascii="Traditional Arabic" w:hAnsi="Traditional Arabic" w:cs="Traditional Arabic" w:hint="cs"/>
          <w:sz w:val="30"/>
          <w:szCs w:val="30"/>
          <w:rtl/>
        </w:rPr>
        <w:t>لاستئجار</w:t>
      </w:r>
      <w:r w:rsidR="00D73935"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السفن نطاقها الجغرافي من خلال إنشاء وحدة تأجير ناقلات البضائع السائبة والمنتجات في سنغافورة.</w:t>
      </w:r>
    </w:p>
    <w:p w14:paraId="36DE575A" w14:textId="77777777" w:rsidR="00AC5C0C" w:rsidRDefault="00AC5C0C" w:rsidP="00334534">
      <w:pPr>
        <w:bidi/>
        <w:jc w:val="both"/>
        <w:rPr>
          <w:rFonts w:ascii="Traditional Arabic" w:hAnsi="Traditional Arabic" w:cs="Traditional Arabic"/>
          <w:i/>
          <w:sz w:val="30"/>
          <w:szCs w:val="30"/>
          <w:rtl/>
        </w:rPr>
      </w:pPr>
    </w:p>
    <w:p w14:paraId="0AC9FBCE" w14:textId="77777777" w:rsidR="00334534" w:rsidRPr="00334534" w:rsidRDefault="00334534" w:rsidP="00AC5C0C">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الشركة العمانية لإدارة السفن</w:t>
      </w:r>
    </w:p>
    <w:p w14:paraId="01CDB4BA"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تأسست الشركة العمانية لإدارة السفن في عام 2004 لتقديم الخدمات الفنية في تشغيل وإدارة الأسطول الوطني المتوسع للشركة. تتم إدارة أكثر من 90 في المائة من السفن المملوكة للشركة، بما في ذلك ناقلات النفط الخام العملاقة وناقلات الغاز الطبيعي المسال وناقلات المنتجات، من داخل الشركة بواسطة الشركة العمانية لإدارة السفن. وهذه الخدمات هي شهادة على التزام الشركة بأعلى معايير السلامة الملاحية والكفاءة التشغيلية وكفاءة الأعمال والمسؤولية البيئية. تقدم مجموعة الشحن اليابانية متسوي خدمات الدعم إلى الشركة العمانية لإدارة السفن في مسائل الإدارة الفنية لناقلات الغاز الطبيعي المسال. حصلت الشركة العمانية لإدارة السفن التي يقع مقرها في مسقط على اعتماد معيار الإدارة الدولي وعلى شهادة الأيزو.</w:t>
      </w:r>
    </w:p>
    <w:p w14:paraId="4B9B0176" w14:textId="77777777" w:rsidR="00AC5C0C" w:rsidRDefault="00AC5C0C" w:rsidP="00334534">
      <w:pPr>
        <w:bidi/>
        <w:jc w:val="both"/>
        <w:rPr>
          <w:rFonts w:ascii="Traditional Arabic" w:hAnsi="Traditional Arabic" w:cs="Traditional Arabic"/>
          <w:sz w:val="30"/>
          <w:szCs w:val="30"/>
          <w:rtl/>
        </w:rPr>
      </w:pPr>
    </w:p>
    <w:p w14:paraId="1493E70F"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تسمح الشركة العمانية لإدارة السفن للشركة بتقديم خدمات نقل بحري كاملة وفقًا لأعلى معايير الصناعة بما في ذلك خدمات الإدارة الفنية الكاملة لعملائها الحاصلين على أعلى تصنيف (AAA). </w:t>
      </w:r>
    </w:p>
    <w:p w14:paraId="0913F71B" w14:textId="77777777" w:rsidR="00AC5C0C" w:rsidRDefault="00AC5C0C" w:rsidP="00334534">
      <w:pPr>
        <w:bidi/>
        <w:jc w:val="both"/>
        <w:rPr>
          <w:rFonts w:ascii="Traditional Arabic" w:hAnsi="Traditional Arabic" w:cs="Traditional Arabic"/>
          <w:i/>
          <w:sz w:val="30"/>
          <w:szCs w:val="30"/>
          <w:rtl/>
        </w:rPr>
      </w:pPr>
    </w:p>
    <w:p w14:paraId="5DFB7351" w14:textId="77777777" w:rsidR="00334534" w:rsidRPr="00334534" w:rsidRDefault="00334534" w:rsidP="00AC5C0C">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شركة خط أسياد</w:t>
      </w:r>
    </w:p>
    <w:p w14:paraId="1283C039"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تأسست شركة خط أسياد في عام 2020 لتوسيع خدمات شحن الحاويات للشركة لتشمل طرق تجارة شحن الحاويات الإقليمية. بالإضافة إلى دعم قطاع الشحن البحري المنتظم للشركة، تقدم شركة خط أسياد مجموعة واسعة من الخدمات ذات القيمة المضافة للعملاء الخارجيين، بدءًا من التخزين والنقل وانتهاءً بخدمات التخليص الجمركي، وكل ذلك ضمن عرض لوجستي مرن ومتكامل يستهدف العملاء المحليين على وجه الخصوص.</w:t>
      </w:r>
    </w:p>
    <w:p w14:paraId="6371FD5B" w14:textId="77777777" w:rsidR="00AC5C0C" w:rsidRDefault="00AC5C0C" w:rsidP="00334534">
      <w:pPr>
        <w:bidi/>
        <w:jc w:val="both"/>
        <w:rPr>
          <w:rFonts w:ascii="Traditional Arabic" w:hAnsi="Traditional Arabic" w:cs="Traditional Arabic"/>
          <w:i/>
          <w:sz w:val="30"/>
          <w:szCs w:val="30"/>
          <w:rtl/>
        </w:rPr>
      </w:pPr>
    </w:p>
    <w:p w14:paraId="2711842C" w14:textId="77777777" w:rsidR="00334534" w:rsidRPr="00334534" w:rsidRDefault="00334534" w:rsidP="00AC5C0C">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 xml:space="preserve">شركة أسياد شيبينغ </w:t>
      </w:r>
      <w:r w:rsidR="00BD0FCE">
        <w:rPr>
          <w:rFonts w:ascii="Traditional Arabic" w:hAnsi="Traditional Arabic" w:cs="Traditional Arabic" w:hint="cs"/>
          <w:sz w:val="30"/>
          <w:szCs w:val="30"/>
          <w:rtl/>
        </w:rPr>
        <w:t>بي تي إي ليمتد</w:t>
      </w:r>
      <w:r w:rsidR="00BD0FCE" w:rsidRPr="00334534" w:rsidDel="00BD0FCE">
        <w:rPr>
          <w:rFonts w:ascii="Traditional Arabic" w:hAnsi="Traditional Arabic" w:cs="Traditional Arabic"/>
          <w:i/>
          <w:sz w:val="30"/>
          <w:szCs w:val="30"/>
          <w:rtl/>
        </w:rPr>
        <w:t xml:space="preserve"> </w:t>
      </w:r>
    </w:p>
    <w:p w14:paraId="660845FA"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تأسست شركة أسياد شيبينغ، وهي شركة تأجير ناقلات البضائع السائبة والمنتجات في سنغافورة، في عام 2022 لتوسيع أنشطة الشركة على مستوى العالم والدخول في أحد مراكز الشحن الرائدة في العالم. على غرار الشركة العمانية </w:t>
      </w:r>
      <w:r w:rsidR="00D73935">
        <w:rPr>
          <w:rFonts w:ascii="Traditional Arabic" w:hAnsi="Traditional Arabic" w:cs="Traditional Arabic" w:hint="cs"/>
          <w:sz w:val="30"/>
          <w:szCs w:val="30"/>
          <w:rtl/>
        </w:rPr>
        <w:t>لاستئجار</w:t>
      </w:r>
      <w:r w:rsidR="00D73935"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السفن، تشرف شركة أسياد شيبينغ</w:t>
      </w:r>
      <w:r w:rsidR="00006B03">
        <w:rPr>
          <w:rFonts w:ascii="Traditional Arabic" w:hAnsi="Traditional Arabic" w:cs="Traditional Arabic"/>
          <w:sz w:val="30"/>
          <w:szCs w:val="30"/>
        </w:rPr>
        <w:t xml:space="preserve"> </w:t>
      </w:r>
      <w:r w:rsidR="00006B03">
        <w:rPr>
          <w:rFonts w:ascii="Traditional Arabic" w:hAnsi="Traditional Arabic" w:cs="Traditional Arabic" w:hint="cs"/>
          <w:sz w:val="30"/>
          <w:szCs w:val="30"/>
          <w:rtl/>
        </w:rPr>
        <w:t>بي تي إي ليمتد</w:t>
      </w:r>
      <w:r w:rsidRPr="00334534">
        <w:rPr>
          <w:rFonts w:ascii="Traditional Arabic" w:hAnsi="Traditional Arabic" w:cs="Traditional Arabic"/>
          <w:sz w:val="30"/>
          <w:szCs w:val="30"/>
          <w:rtl/>
        </w:rPr>
        <w:t xml:space="preserve"> على أنشطة التأجير والسمسرة في آسيا وتدير السفن المستأجرة للشركة تجاريًا.</w:t>
      </w:r>
    </w:p>
    <w:p w14:paraId="66717849" w14:textId="77777777" w:rsidR="00AC5C0C" w:rsidRDefault="00AC5C0C" w:rsidP="00334534">
      <w:pPr>
        <w:bidi/>
        <w:jc w:val="both"/>
        <w:rPr>
          <w:rFonts w:ascii="Traditional Arabic" w:hAnsi="Traditional Arabic" w:cs="Traditional Arabic"/>
          <w:i/>
          <w:sz w:val="30"/>
          <w:szCs w:val="30"/>
          <w:rtl/>
        </w:rPr>
      </w:pPr>
    </w:p>
    <w:p w14:paraId="2A207B03" w14:textId="77777777" w:rsidR="00334534" w:rsidRPr="00334534" w:rsidRDefault="00334534" w:rsidP="00AC5C0C">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شركة أسياد لإدارة السفن ش ش و</w:t>
      </w:r>
    </w:p>
    <w:p w14:paraId="3B1BEA8C"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تأسست الشركة العمانية لإدارة السفن في عام 2024 لتقديم الخدمات الفنية في تشغيل وإدارة سفن الشحن البحري المنتظم التابعة للشركة. حصلت شركة أسياد لإدارة السفن على شهادة معيار الإدارة الدولي وعلى شهادة الأيزو.</w:t>
      </w:r>
    </w:p>
    <w:p w14:paraId="3901C923" w14:textId="77777777" w:rsidR="00AC5C0C" w:rsidRDefault="00AC5C0C" w:rsidP="00334534">
      <w:pPr>
        <w:bidi/>
        <w:jc w:val="both"/>
        <w:rPr>
          <w:rFonts w:ascii="Traditional Arabic" w:hAnsi="Traditional Arabic" w:cs="Traditional Arabic"/>
          <w:b/>
          <w:sz w:val="30"/>
          <w:szCs w:val="30"/>
          <w:rtl/>
        </w:rPr>
      </w:pPr>
    </w:p>
    <w:p w14:paraId="148E1A1C"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نظرة عامة على العقود</w:t>
      </w:r>
    </w:p>
    <w:p w14:paraId="2A8C6835"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تم تصميم استراتيجية الشركة في تخصيص واستخدام مواردها لدعم الاستخدام الأمثل للأسطول مع الحفاظ على المرونة للتكيف مع ظروف السوق المتقلبة. ويتضمن ذلك تخصيص جزء من الأسطول في سوق التأجير الفوري للاستفادة من فرص السوق </w:t>
      </w:r>
      <w:r w:rsidRPr="00334534">
        <w:rPr>
          <w:rFonts w:ascii="Traditional Arabic" w:hAnsi="Traditional Arabic" w:cs="Traditional Arabic"/>
          <w:sz w:val="30"/>
          <w:szCs w:val="30"/>
          <w:rtl/>
        </w:rPr>
        <w:lastRenderedPageBreak/>
        <w:t xml:space="preserve">المرتفعة على المدى القصير واستئجار السفن للحماية من ركود السوق. وإذا رأت الشركة أن سعر السوق للسفن الجديدة مرتفع للغاية، فإنها تستأجر السفن لتلبية الطلب الفوري والقصير والمتوسط الأمد في السوق، والحفاظ على وجودها كمنافس في أسواق معينة. وحتى 30 سبتمبر 2024، خصصت الشركة ما نسبته 84.2 في المائة من أسطول سفنها المجهزة المؤجرة بالمدة و 15.8 في المائة من أسطولها في سوق التأجير الفوري. </w:t>
      </w:r>
    </w:p>
    <w:p w14:paraId="67869065" w14:textId="77777777" w:rsidR="00AC5C0C" w:rsidRDefault="00AC5C0C" w:rsidP="00334534">
      <w:pPr>
        <w:bidi/>
        <w:jc w:val="both"/>
        <w:rPr>
          <w:rFonts w:ascii="Traditional Arabic" w:hAnsi="Traditional Arabic" w:cs="Traditional Arabic"/>
          <w:sz w:val="30"/>
          <w:szCs w:val="30"/>
          <w:rtl/>
        </w:rPr>
      </w:pPr>
    </w:p>
    <w:p w14:paraId="305E560C"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الأنواع الرئيسية الثلاثة للعلاقات التعاقدية التي تستخدمها الشركة هي:</w:t>
      </w:r>
    </w:p>
    <w:p w14:paraId="2E17DEA8" w14:textId="77777777" w:rsidR="00334534" w:rsidRPr="00334534" w:rsidRDefault="00334534" w:rsidP="00922116">
      <w:pPr>
        <w:numPr>
          <w:ilvl w:val="0"/>
          <w:numId w:val="56"/>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عقود تأجير السفن المجهزة بالمدة، وتشمل استئجار سفينة لرحلات متعددة على مدى فترة زمنية محددة، مع إدارة السفينة من قبل مالك السفينة. </w:t>
      </w:r>
    </w:p>
    <w:p w14:paraId="64C593C4" w14:textId="77777777" w:rsidR="00334534" w:rsidRPr="00334534" w:rsidRDefault="00334534" w:rsidP="00922116">
      <w:pPr>
        <w:numPr>
          <w:ilvl w:val="0"/>
          <w:numId w:val="56"/>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تأجير السفن المجهزة بالرحلة، حيث يتم استئجار السفينة لنقل كمية محددة من البضائع، إما في رحلة واحدة أو عدد محدد من الرحلات، من ميناء (موانئ) حمولة محددة إلى ميناء (موانئ) تفريغ محددة، مع مراعاة فرق مناولة البضائع المختلفة. وفي حالة تأجير السفن المجهزة بالرحلة، يتولى مالك السفينة عملياتها التشغيلية ونفقاتها. </w:t>
      </w:r>
    </w:p>
    <w:p w14:paraId="0AC2C403" w14:textId="77777777" w:rsidR="00334534" w:rsidRPr="00334534" w:rsidRDefault="00334534" w:rsidP="00922116">
      <w:pPr>
        <w:numPr>
          <w:ilvl w:val="0"/>
          <w:numId w:val="56"/>
        </w:num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عقود النقل البحري للبضائع، حيث يتم التعاقد مع الشركة لنقل كمية متفق عليها من البضائع لعدد متفق عليه من الرحلات على مدى فترة زمنية محددة، والتي عادة ما تمتد لعدد من السنوات. وهذه العلاقة التعاقدية لا تُحدد السفن أو جداول الرحلات التي ستنقل البضائع، مما يوفر لكل من المستأجر ومالك السفينة مرونة تشغيلية أكبر من مستأجري الرحلات وحدهم.</w:t>
      </w:r>
    </w:p>
    <w:p w14:paraId="6CE65997" w14:textId="77777777" w:rsidR="00AC5C0C" w:rsidRDefault="00AC5C0C" w:rsidP="00334534">
      <w:pPr>
        <w:bidi/>
        <w:jc w:val="both"/>
        <w:rPr>
          <w:rFonts w:ascii="Traditional Arabic" w:hAnsi="Traditional Arabic" w:cs="Traditional Arabic"/>
          <w:sz w:val="30"/>
          <w:szCs w:val="30"/>
          <w:rtl/>
        </w:rPr>
      </w:pPr>
    </w:p>
    <w:p w14:paraId="5C07E007"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ويمكن أن تكون العقود لفترات متفاوتة بناءً على نوع السفينة وقطاع الشحن واتجاهات السوق المعمول بها. وعادة ما يعمل سوق التأجير الفوري لفترة تتراوح من شهر إلى ثلاثة أشهر. كما يمكن أن تكون أسعار الشحن ثابتة أو متغيرة، مع شروط دفع محددة متفق عليها مع كل عميل. تؤثر ظروف السوق السائدة، مثل العرض والطلب، بشكل كبير على الأسعار الجارية لأنواع محددة من السفن. وقد تتضمن بعض الترتيبات التعاقدية مقاييس الأداء، مثل وقت العمل والسرعة أو ضمانات الأداء. يتم التفاوض بشكل عام على عقود التأجير الفورية وعقود تأجير السفن المجهزة بالمدة وإبرامها في غضون يومين إلى خمسة أيام عمل. </w:t>
      </w:r>
    </w:p>
    <w:p w14:paraId="352A5538"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وهناك في سوق الشحن العالمي شركات الوساطة التي يمكن أن تمثل العملاء أو مالكي السفن في معاملات التأجير. وفي هذا السوق، يتم تقديم بعض المعاملات من قبل العملاء من خلال اثنين أو أكثر من الوسطاء في وقت واحد ويتم عرضها على أوسع نطاق ممكن من المالكين. يتم تقديم المعاملات الأخرى من قبل العميل إلى وسيط واحد فقط وتظهر بشكل انتقائي لعدد محدود من المالكين الذين من المرجح أن تكون سفنهم مقبولة للعميل وتكون في وضع يسمح لها بالقيام بالرحلة. بالإضافة إلى ذلك، في كثير من الحالات، يتصل العملاء بالشركة مباشرة لاستئجار سفينة بسبب علاقاتهم الحالية مع الشركة. تراقب الشركة باستمرار عمليات أسطولها ومواقع السفن وأسعار سوق التأجير، والتي تعتقد أنها حاسمة في تقديم عطاءات مبنية على معلومات كافية بشأن الأعمال التنافسية التي يتم التوسط فيها. </w:t>
      </w:r>
    </w:p>
    <w:p w14:paraId="341415AB" w14:textId="77777777" w:rsidR="00AC5C0C" w:rsidRDefault="00AC5C0C" w:rsidP="00334534">
      <w:pPr>
        <w:bidi/>
        <w:jc w:val="both"/>
        <w:rPr>
          <w:rFonts w:ascii="Traditional Arabic" w:hAnsi="Traditional Arabic" w:cs="Traditional Arabic"/>
          <w:b/>
          <w:sz w:val="30"/>
          <w:szCs w:val="30"/>
          <w:rtl/>
        </w:rPr>
      </w:pPr>
    </w:p>
    <w:p w14:paraId="0190102D"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إدارة السلامة وعمليات السفن</w:t>
      </w:r>
    </w:p>
    <w:p w14:paraId="0EC933AA"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تمثل السلامة والامتثال البيئي أهم الأولويات التشغيلية للشركة. وتقوم الشركة بتشغيل سفنها بطريقة تهدف إلى حماية سلامة وصحة موظفي الشركة وعامة الناس والبيئة. كما تسعى إدارة الشركة إلى إدارة المخاطر الكامنة في أعمالها، والالتزام بالقضاء على الحوادث التي تهدد سلامة سفن الشركة، مثل التأريض والحرائق والتصادم والانسكابات النفطية. كما تلتزم الشركة أيضًا بالحد من انبعاثات سفنها ومن إنتاج النفايات. </w:t>
      </w:r>
    </w:p>
    <w:p w14:paraId="57CFC5C4" w14:textId="77777777" w:rsidR="00AC5C0C" w:rsidRDefault="00AC5C0C" w:rsidP="00334534">
      <w:pPr>
        <w:bidi/>
        <w:jc w:val="both"/>
        <w:rPr>
          <w:rFonts w:ascii="Traditional Arabic" w:hAnsi="Traditional Arabic" w:cs="Traditional Arabic"/>
          <w:sz w:val="30"/>
          <w:szCs w:val="30"/>
          <w:rtl/>
        </w:rPr>
      </w:pPr>
    </w:p>
    <w:p w14:paraId="58E2E0B5"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يقوم قسم مختص بالاستراتيجية المؤسسية وإدارة المخاطر بإجراء تحليل شهري للمقارنات المعيارية لتقييم أداء قطاع الشركة مقارنة بأقرانها، والذي يتضمن مقارنة مفصلة لاتجاهات السوق وأداء الأسطول، وبعد ذلك يتم رفع تقرير به إلى الإدارة التنفيذية في كل شهر. </w:t>
      </w:r>
      <w:r w:rsidR="006C1384" w:rsidRPr="006C1384">
        <w:rPr>
          <w:rFonts w:ascii="Traditional Arabic" w:hAnsi="Traditional Arabic" w:cs="Traditional Arabic"/>
          <w:sz w:val="30"/>
          <w:szCs w:val="30"/>
          <w:rtl/>
        </w:rPr>
        <w:t>تمتلك الشركة نظامًا موحدًا لإدارة السلامة، والذي يعتمد على أفضل ممارسات الصناعة ويتوافق - لاسيما - مع مدونة إدارة السلامة الدولية لإدارة السفن وفقًا للاتفاقية الدولية لحماية الأرواح في البحر. لدى الشركة وثيقة امتثال صادرة عن المكتب الأمريكي للشحن</w:t>
      </w:r>
      <w:r w:rsidRPr="00334534">
        <w:rPr>
          <w:rFonts w:ascii="Traditional Arabic" w:hAnsi="Traditional Arabic" w:cs="Traditional Arabic"/>
          <w:sz w:val="30"/>
          <w:szCs w:val="30"/>
          <w:rtl/>
        </w:rPr>
        <w:t xml:space="preserve"> ("</w:t>
      </w:r>
      <w:r w:rsidRPr="00334534">
        <w:rPr>
          <w:rFonts w:ascii="Traditional Arabic" w:hAnsi="Traditional Arabic" w:cs="Traditional Arabic"/>
          <w:b/>
          <w:sz w:val="30"/>
          <w:szCs w:val="30"/>
          <w:rtl/>
        </w:rPr>
        <w:t xml:space="preserve"> ABS</w:t>
      </w:r>
      <w:r w:rsidRPr="00334534">
        <w:rPr>
          <w:rFonts w:ascii="Traditional Arabic" w:hAnsi="Traditional Arabic" w:cs="Traditional Arabic"/>
          <w:sz w:val="30"/>
          <w:szCs w:val="30"/>
          <w:rtl/>
        </w:rPr>
        <w:t xml:space="preserve"> ") و ISO 9001:2015 لإدارة الجودة و ISO 14001:2015 لأنظمة إدارة البيئة. وتؤكد الشركة امتثالها لهذه المعايير على أساس سنوي من خلال إجراء تدقيق صارم يتضمن كل من التدقيق الداخلي وتدقيق التحقق الخارجي من قبل دولة علم السفينة من خلال مكتب الشحن الأمريكي. هذا، ويتضمن نظام إدارة السلامة الموحد للشركة أيضًا توصيات من مدونة الإدارة والتقييم الذاتي للناقلات ("TMSA") التي تم تطويرها من قبل منظمة المنتدى البحري الدولي لشركات</w:t>
      </w:r>
      <w:r w:rsidRPr="00334534">
        <w:rPr>
          <w:rFonts w:ascii="Traditional Arabic" w:hAnsi="Traditional Arabic" w:cs="Traditional Arabic"/>
          <w:b/>
          <w:sz w:val="30"/>
          <w:szCs w:val="30"/>
          <w:rtl/>
        </w:rPr>
        <w:t xml:space="preserve"> النفط ("OCIMF</w:t>
      </w:r>
      <w:r w:rsidRPr="00334534">
        <w:rPr>
          <w:rFonts w:ascii="Traditional Arabic" w:hAnsi="Traditional Arabic" w:cs="Traditional Arabic"/>
          <w:sz w:val="30"/>
          <w:szCs w:val="30"/>
          <w:rtl/>
        </w:rPr>
        <w:t xml:space="preserve"> "). فأما منظمة المنتدى البحري الدولي لشركات النفط، فهي جمعية تطوعية لشركات النفط التي لها مصلحة في شحن النفط الخام والمنتجات النفطية وتشغيل محطات النفط البرية والبحرية، لتمثيل أعضائها أمام المنظمة البحرية الدولية والهيئات الحكومية الأخرى والتشاور معها بشأن المسائل المتعلقة بشحن النفط الخام والمنتجات النفطية وتشغيل محطات النفط، بما في ذلك التلوث البحري والسلامة. تقوم مدونة الإدارة والتقييم الذاتي للناقلات بتقييم شركات الشحن وفقًا لـ 13 عنصرًا وتخصص واحدة من أربع درجات لكل عنصر من العناصر المذكورة. وتهدف الشركة إلى تحقيق أعلى مستوى في مدونة الإدارة والتقييم الذاتي للناقلات؛ (أربعة) في جميع العناصر الثلاثة عشر. وأما في الوقت الحالي، فقد حققت الشركة أربعة من كل ستة عناصر وثلاثة من العناصر السبعة المتبقية.</w:t>
      </w:r>
    </w:p>
    <w:p w14:paraId="12D36283" w14:textId="77777777" w:rsidR="00334534" w:rsidRDefault="00334534" w:rsidP="00334534">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كما أن الشركة تلتزم التزاما صارما بالقانون البحري لسلطنة عمان (الصادر بالمرسوم السلطاني رقم 19/2023)، حيث يتضمن هذا القانون مبادئ الاتفاقيات والمعاهدات البحرية المعترف بها دوليًا، بما في ذلك تلك التي أصدرتها المنظمة البحرية الدولية. وهذه الأطر - بلا شك - تشمل المجالات الرئيسية للحوكمة مثل السلامة الملاحية وحماية البيئة وأنظمة المسؤولية والتعويض وحقوق البحارة ورفاهيتهم.</w:t>
      </w:r>
    </w:p>
    <w:p w14:paraId="5276FE80" w14:textId="77777777" w:rsidR="00AC5C0C" w:rsidRPr="00334534" w:rsidRDefault="00AC5C0C" w:rsidP="00AC5C0C">
      <w:pPr>
        <w:bidi/>
        <w:jc w:val="both"/>
        <w:rPr>
          <w:rFonts w:ascii="Traditional Arabic" w:hAnsi="Traditional Arabic" w:cs="Traditional Arabic"/>
          <w:sz w:val="30"/>
          <w:szCs w:val="30"/>
        </w:rPr>
      </w:pPr>
    </w:p>
    <w:p w14:paraId="3A0E5635" w14:textId="77777777" w:rsidR="00334534" w:rsidRPr="00334534" w:rsidRDefault="00AC5C0C" w:rsidP="00334534">
      <w:pPr>
        <w:bidi/>
        <w:jc w:val="both"/>
        <w:rPr>
          <w:rFonts w:ascii="Traditional Arabic" w:hAnsi="Traditional Arabic" w:cs="Traditional Arabic"/>
          <w:sz w:val="30"/>
          <w:szCs w:val="30"/>
        </w:rPr>
      </w:pPr>
      <w:r>
        <w:rPr>
          <w:rFonts w:ascii="Traditional Arabic" w:hAnsi="Traditional Arabic" w:cs="Traditional Arabic" w:hint="cs"/>
          <w:sz w:val="30"/>
          <w:szCs w:val="30"/>
          <w:rtl/>
        </w:rPr>
        <w:lastRenderedPageBreak/>
        <w:t xml:space="preserve">كما </w:t>
      </w:r>
      <w:r w:rsidR="00334534" w:rsidRPr="00334534">
        <w:rPr>
          <w:rFonts w:ascii="Traditional Arabic" w:hAnsi="Traditional Arabic" w:cs="Traditional Arabic"/>
          <w:sz w:val="30"/>
          <w:szCs w:val="30"/>
          <w:rtl/>
        </w:rPr>
        <w:t>تسعى الشركة إلى مواءمة عملياتها مع جميع المتطلبات القانونية المحلية المعمول بها، بالإضافة إلى الالتزام بالمعايير البحرية الدولية ذات الصلة. ولتحقيق ذلك، وضعت الشركة أطر حوكمة قوية يدعمها فريق مخصص للحوكمة والامتثال إلى جانب الفريق القانوني. وتراقب هذه الفرق عن كثب التطورات التشريعية والتحديثات التنظيمية، مما يساعد أقسام الشركة على الامتثال للقوانين والمعايير التي تصدر حديثا. ومن خلال هذا النهج الاستباقي، تؤكد الشركة التزامها بالحفاظ على إطار تشغيلي قانوني وآمن ومسؤول من الناحية البيئية، سواء داخل المياه الإقليمية لسلطنة عمان أو على الصعيد العالمي</w:t>
      </w:r>
    </w:p>
    <w:p w14:paraId="530E03B2" w14:textId="77777777" w:rsidR="00AC5C0C" w:rsidRDefault="00AC5C0C" w:rsidP="00334534">
      <w:pPr>
        <w:bidi/>
        <w:jc w:val="both"/>
        <w:rPr>
          <w:rFonts w:ascii="Traditional Arabic" w:hAnsi="Traditional Arabic" w:cs="Traditional Arabic"/>
          <w:sz w:val="30"/>
          <w:szCs w:val="30"/>
          <w:rtl/>
        </w:rPr>
      </w:pPr>
    </w:p>
    <w:p w14:paraId="5BB0B8B3"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وهناك جزء لا يتجزأ من نظام إدارة السلامة في الشركة، وهو سياسة حماية البيئة الخاصة بها، والتي تتمثل أهدافها الرئيسية في زيادة الاستدامة البيئية للأسطول وضمان توفير خدمات نقل البضائع المنقولة بحراً بشكل موثوق وآمن. انظر فقرة "</w:t>
      </w:r>
      <w:r w:rsidRPr="00334534">
        <w:rPr>
          <w:rFonts w:ascii="Traditional Arabic" w:hAnsi="Traditional Arabic" w:cs="Traditional Arabic"/>
          <w:i/>
          <w:sz w:val="30"/>
          <w:szCs w:val="30"/>
          <w:rtl/>
        </w:rPr>
        <w:t>البيئة والمجتمع والحوكمة"</w:t>
      </w:r>
      <w:r w:rsidRPr="00334534">
        <w:rPr>
          <w:rFonts w:ascii="Traditional Arabic" w:hAnsi="Traditional Arabic" w:cs="Traditional Arabic"/>
          <w:sz w:val="30"/>
          <w:szCs w:val="30"/>
          <w:rtl/>
        </w:rPr>
        <w:t xml:space="preserve"> على نحو ما سيأتي. </w:t>
      </w:r>
    </w:p>
    <w:p w14:paraId="25AAA097" w14:textId="77777777" w:rsidR="00AC5C0C" w:rsidRDefault="00AC5C0C" w:rsidP="00334534">
      <w:pPr>
        <w:bidi/>
        <w:jc w:val="both"/>
        <w:rPr>
          <w:rFonts w:ascii="Traditional Arabic" w:hAnsi="Traditional Arabic" w:cs="Traditional Arabic"/>
          <w:sz w:val="30"/>
          <w:szCs w:val="30"/>
          <w:rtl/>
        </w:rPr>
      </w:pPr>
    </w:p>
    <w:p w14:paraId="1DDF9A79"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توفر الشركة العمانية لإدارة السفن خدمات الإدارة الفنية المطلوبة في تشغيل أسطول الشركة، وإدارة أكثر من 90 في المائة من الأسطول المملوك للشركة، مع إدارة بقية السفن بواسطة شركة متسوي، وشركة أي تي إم، وشركة مارلو للملاحة. كما تقدم الشركة بعض خدمات إدارة السفن، وتتراوح من الإدارة الفنية الكاملة إلى وبعض وظائف الإدارة المختارة، ثم هناك أيضا خدمات مالكي أو مشغلي الأطراف الخارجية. وتشمل خدمات إدارة السفن وظائف حرجة مثل صيانة السفن (بما في ذلك الإصلاحات والإرساء في الحوض الجاف) وإصدار الشهادات، وتكوين الأطقم من قبل البحارة المختصين، وشراء المؤن ووقود السفينة وقطع الغيار، وإدارة حالات الطوارئ والحوادث، والتأمين.</w:t>
      </w:r>
    </w:p>
    <w:p w14:paraId="2635D0BA" w14:textId="77777777" w:rsidR="00AC5C0C" w:rsidRDefault="00AC5C0C" w:rsidP="00334534">
      <w:pPr>
        <w:bidi/>
        <w:jc w:val="both"/>
        <w:rPr>
          <w:rFonts w:ascii="Traditional Arabic" w:hAnsi="Traditional Arabic" w:cs="Traditional Arabic"/>
          <w:b/>
          <w:i/>
          <w:sz w:val="30"/>
          <w:szCs w:val="30"/>
          <w:rtl/>
        </w:rPr>
      </w:pPr>
    </w:p>
    <w:p w14:paraId="79952EF5" w14:textId="77777777" w:rsidR="00334534" w:rsidRPr="00985281" w:rsidRDefault="00334534" w:rsidP="00AC5C0C">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 xml:space="preserve">الصحة والسلامة </w:t>
      </w:r>
    </w:p>
    <w:p w14:paraId="6B376077"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تضع الشركة الصحة والسلامة في مقدمة عملياتها، معتبرة السلامة والأمن في العمل حقًا أساسيًا من حقوق الإنسان وقيمة أساسية للشركة. وقد كرست الشركة جهودها لتوظيف العاملين الذين يتمتعون بالكفاءة والاعتمادية في أداء مهامهم بشكل متسق وموثوق به، ولذا، تجري الشركة العديد من برامج السلامة والتطوير، بهدف ضمان رفاهية موظفيها ومقاوليها وأصحاب المصلحة. وتركز خدمات الصحة المهنية للشركة على تحديد مخاطر مكان العمل والتعامل معها وتقليلها؛ من خلال مراقبة المواد الخطرة، واستخدام معدات الحماية الشخصية، وإجراءات وسياسات إدارة السلامة الشاملة. وتحافظ الشركة على جودة هذه الخدمات من خلال إجراء عمليات تدقيق صارمة وفحوصات الامتثال لبروتوكول السلامة وتقارير أداء السلامة الشهرية.</w:t>
      </w:r>
    </w:p>
    <w:p w14:paraId="467CB1FC"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ولتحديد وإدارة المخاطر المتعلقة بالعمل، تجري الشركة تدريبات سنوية بين فريق العمل الموجود على متن السفينة وفريق العمل الموجود في البر، وتجري تقييمًا منتظمًا للمخاطر والتحقيق في الحوادث. ويتم الإبلاغ عن جميع المخاطر المتعلقة بالعمل في نظام تخطيط موارد المؤسسة الخاص بالشركة وإبلاغ الإدارة المعنية بها. كما توجد سياسات وعمليات مختلفة للعمال لإبعاد أنفسهم عن الظروف والأحوال التي يعتقدون أنها قد تسبب إصابات أو حوادث. كما توفر الشركة تدريبًا مكثفًا، سواء بالحضور </w:t>
      </w:r>
      <w:r w:rsidRPr="00334534">
        <w:rPr>
          <w:rFonts w:ascii="Traditional Arabic" w:hAnsi="Traditional Arabic" w:cs="Traditional Arabic"/>
          <w:sz w:val="30"/>
          <w:szCs w:val="30"/>
          <w:rtl/>
        </w:rPr>
        <w:lastRenderedPageBreak/>
        <w:t>الشخصي أو عبر الإنترنت، مما يساعد موظفيها على الالتزام بأعلى معايير السلامة. وبالنسبة لخطط السلامة الشاملة ومعدات الحماية الشخصية فهي إلزامية في جميع العمليات.</w:t>
      </w:r>
    </w:p>
    <w:p w14:paraId="38C4FB05" w14:textId="77777777" w:rsidR="00AC5C0C" w:rsidRDefault="00AC5C0C" w:rsidP="00334534">
      <w:pPr>
        <w:bidi/>
        <w:jc w:val="both"/>
        <w:rPr>
          <w:rFonts w:ascii="Traditional Arabic" w:hAnsi="Traditional Arabic" w:cs="Traditional Arabic"/>
          <w:sz w:val="30"/>
          <w:szCs w:val="30"/>
          <w:rtl/>
        </w:rPr>
      </w:pPr>
    </w:p>
    <w:p w14:paraId="77DECCEC" w14:textId="77777777" w:rsidR="00334534" w:rsidRPr="00334534" w:rsidRDefault="00AC5C0C" w:rsidP="00AC5C0C">
      <w:pPr>
        <w:bidi/>
        <w:jc w:val="both"/>
        <w:rPr>
          <w:rFonts w:ascii="Traditional Arabic" w:hAnsi="Traditional Arabic" w:cs="Traditional Arabic"/>
          <w:sz w:val="30"/>
          <w:szCs w:val="30"/>
        </w:rPr>
      </w:pPr>
      <w:r>
        <w:rPr>
          <w:rFonts w:ascii="Traditional Arabic" w:hAnsi="Traditional Arabic" w:cs="Traditional Arabic" w:hint="cs"/>
          <w:sz w:val="30"/>
          <w:szCs w:val="30"/>
          <w:rtl/>
        </w:rPr>
        <w:t>و</w:t>
      </w:r>
      <w:r w:rsidR="00334534" w:rsidRPr="00334534">
        <w:rPr>
          <w:rFonts w:ascii="Traditional Arabic" w:hAnsi="Traditional Arabic" w:cs="Traditional Arabic"/>
          <w:sz w:val="30"/>
          <w:szCs w:val="30"/>
          <w:rtl/>
        </w:rPr>
        <w:t xml:space="preserve">تتمتع الشركة بسجل حافل في مجال السلامة، حيث بلغ إجمالي معدل تكرار إصابات الوقت بدل الضائع القابلة للتسجيل 0.1 حالة لكل مليون ساعة عمل في عام 2023 (مقابل 0.0 حالة لكل مليون ساعة عمل في عام 2022)، مقارنة بمتوسط الأداء فيما يتعلق بالسلامة وسجل الحوادث والإصابات في قطاع النقل البحري البالغ 0.3 حالة لكل مليون ساعة عمل. </w:t>
      </w:r>
    </w:p>
    <w:p w14:paraId="39687F55" w14:textId="77777777" w:rsidR="00AC5C0C" w:rsidRDefault="00AC5C0C" w:rsidP="00334534">
      <w:pPr>
        <w:bidi/>
        <w:jc w:val="both"/>
        <w:rPr>
          <w:rFonts w:ascii="Traditional Arabic" w:hAnsi="Traditional Arabic" w:cs="Traditional Arabic"/>
          <w:sz w:val="30"/>
          <w:szCs w:val="30"/>
          <w:rtl/>
        </w:rPr>
      </w:pPr>
    </w:p>
    <w:p w14:paraId="78E9B49F"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يوضح الجدول التالي بيانات السلامة الرئيسية للشركة للسنوات الثلاث الماضية:</w:t>
      </w:r>
    </w:p>
    <w:p w14:paraId="38C3224F" w14:textId="77777777" w:rsidR="00AC5C0C" w:rsidRDefault="00AC5C0C" w:rsidP="00334534">
      <w:pPr>
        <w:bidi/>
        <w:jc w:val="both"/>
        <w:rPr>
          <w:rFonts w:ascii="Traditional Arabic" w:hAnsi="Traditional Arabic" w:cs="Traditional Arabic"/>
          <w:sz w:val="30"/>
          <w:szCs w:val="30"/>
          <w:rtl/>
        </w:rPr>
      </w:pPr>
    </w:p>
    <w:tbl>
      <w:tblPr>
        <w:tblW w:w="9048" w:type="dxa"/>
        <w:tblInd w:w="437" w:type="dxa"/>
        <w:tblLayout w:type="fixed"/>
        <w:tblCellMar>
          <w:left w:w="0" w:type="dxa"/>
          <w:right w:w="0" w:type="dxa"/>
        </w:tblCellMar>
        <w:tblLook w:val="0000" w:firstRow="0" w:lastRow="0" w:firstColumn="0" w:lastColumn="0" w:noHBand="0" w:noVBand="0"/>
      </w:tblPr>
      <w:tblGrid>
        <w:gridCol w:w="4572"/>
        <w:gridCol w:w="283"/>
        <w:gridCol w:w="1131"/>
        <w:gridCol w:w="282"/>
        <w:gridCol w:w="1131"/>
        <w:gridCol w:w="282"/>
        <w:gridCol w:w="1131"/>
        <w:gridCol w:w="236"/>
      </w:tblGrid>
      <w:tr w:rsidR="00AC5C0C" w:rsidRPr="003717EC" w14:paraId="6420467B" w14:textId="77777777" w:rsidTr="00922116">
        <w:trPr>
          <w:tblHeader/>
        </w:trPr>
        <w:tc>
          <w:tcPr>
            <w:tcW w:w="4572" w:type="dxa"/>
            <w:vAlign w:val="bottom"/>
          </w:tcPr>
          <w:p w14:paraId="310815EE" w14:textId="77777777" w:rsidR="00AC5C0C" w:rsidRPr="00B02BA3" w:rsidRDefault="00AC5C0C" w:rsidP="00922116">
            <w:pPr>
              <w:pStyle w:val="CellHead"/>
              <w:rPr>
                <w:sz w:val="16"/>
                <w:szCs w:val="16"/>
              </w:rPr>
            </w:pPr>
          </w:p>
        </w:tc>
        <w:tc>
          <w:tcPr>
            <w:tcW w:w="283" w:type="dxa"/>
            <w:vAlign w:val="bottom"/>
          </w:tcPr>
          <w:p w14:paraId="1E3E0E26" w14:textId="77777777" w:rsidR="00AC5C0C" w:rsidRPr="00B02BA3" w:rsidRDefault="00AC5C0C" w:rsidP="00922116">
            <w:pPr>
              <w:pStyle w:val="CellRowSpacer"/>
              <w:keepNext/>
              <w:spacing w:after="120"/>
              <w:rPr>
                <w:sz w:val="16"/>
                <w:szCs w:val="16"/>
              </w:rPr>
            </w:pPr>
          </w:p>
        </w:tc>
        <w:tc>
          <w:tcPr>
            <w:tcW w:w="1131" w:type="dxa"/>
            <w:tcBorders>
              <w:bottom w:val="single" w:sz="4" w:space="0" w:color="auto"/>
            </w:tcBorders>
            <w:vAlign w:val="bottom"/>
          </w:tcPr>
          <w:p w14:paraId="4DB1949B" w14:textId="77777777" w:rsidR="00AC5C0C" w:rsidRPr="003717EC" w:rsidRDefault="00AC5C0C" w:rsidP="00922116">
            <w:pPr>
              <w:pStyle w:val="CellHead"/>
              <w:jc w:val="right"/>
              <w:rPr>
                <w:sz w:val="16"/>
                <w:szCs w:val="16"/>
              </w:rPr>
            </w:pPr>
            <w:r w:rsidRPr="003717EC">
              <w:rPr>
                <w:sz w:val="16"/>
                <w:szCs w:val="16"/>
              </w:rPr>
              <w:t>2021</w:t>
            </w:r>
          </w:p>
        </w:tc>
        <w:tc>
          <w:tcPr>
            <w:tcW w:w="282" w:type="dxa"/>
            <w:vAlign w:val="bottom"/>
          </w:tcPr>
          <w:p w14:paraId="309EDF1E" w14:textId="77777777" w:rsidR="00AC5C0C" w:rsidRPr="003717EC" w:rsidRDefault="00AC5C0C" w:rsidP="00922116">
            <w:pPr>
              <w:pStyle w:val="CellRowSpacer"/>
              <w:keepNext/>
              <w:spacing w:after="120"/>
              <w:rPr>
                <w:sz w:val="16"/>
                <w:szCs w:val="16"/>
              </w:rPr>
            </w:pPr>
          </w:p>
        </w:tc>
        <w:tc>
          <w:tcPr>
            <w:tcW w:w="1131" w:type="dxa"/>
            <w:tcBorders>
              <w:bottom w:val="single" w:sz="4" w:space="0" w:color="auto"/>
            </w:tcBorders>
            <w:vAlign w:val="bottom"/>
          </w:tcPr>
          <w:p w14:paraId="59E24F73" w14:textId="77777777" w:rsidR="00AC5C0C" w:rsidRPr="003717EC" w:rsidRDefault="00AC5C0C" w:rsidP="00922116">
            <w:pPr>
              <w:pStyle w:val="CellHead"/>
              <w:jc w:val="right"/>
              <w:rPr>
                <w:sz w:val="16"/>
                <w:szCs w:val="16"/>
              </w:rPr>
            </w:pPr>
            <w:r w:rsidRPr="003717EC">
              <w:rPr>
                <w:sz w:val="16"/>
                <w:szCs w:val="16"/>
              </w:rPr>
              <w:t>2022</w:t>
            </w:r>
          </w:p>
        </w:tc>
        <w:tc>
          <w:tcPr>
            <w:tcW w:w="282" w:type="dxa"/>
            <w:vAlign w:val="bottom"/>
          </w:tcPr>
          <w:p w14:paraId="5A0EC88A" w14:textId="77777777" w:rsidR="00AC5C0C" w:rsidRPr="003717EC" w:rsidRDefault="00AC5C0C" w:rsidP="00922116">
            <w:pPr>
              <w:pStyle w:val="CellRowSpacer"/>
              <w:keepNext/>
              <w:spacing w:after="120"/>
              <w:rPr>
                <w:sz w:val="16"/>
                <w:szCs w:val="16"/>
              </w:rPr>
            </w:pPr>
          </w:p>
        </w:tc>
        <w:tc>
          <w:tcPr>
            <w:tcW w:w="1131" w:type="dxa"/>
            <w:tcBorders>
              <w:bottom w:val="single" w:sz="4" w:space="0" w:color="auto"/>
            </w:tcBorders>
            <w:vAlign w:val="bottom"/>
          </w:tcPr>
          <w:p w14:paraId="04304734" w14:textId="77777777" w:rsidR="00AC5C0C" w:rsidRPr="003717EC" w:rsidRDefault="00AC5C0C" w:rsidP="00922116">
            <w:pPr>
              <w:pStyle w:val="CellHead"/>
              <w:jc w:val="right"/>
              <w:rPr>
                <w:sz w:val="16"/>
                <w:szCs w:val="16"/>
              </w:rPr>
            </w:pPr>
            <w:r w:rsidRPr="003717EC">
              <w:rPr>
                <w:sz w:val="16"/>
                <w:szCs w:val="16"/>
              </w:rPr>
              <w:t>2023</w:t>
            </w:r>
          </w:p>
        </w:tc>
        <w:tc>
          <w:tcPr>
            <w:tcW w:w="236" w:type="dxa"/>
            <w:vAlign w:val="bottom"/>
          </w:tcPr>
          <w:p w14:paraId="4B284D0A" w14:textId="77777777" w:rsidR="00AC5C0C" w:rsidRPr="003717EC" w:rsidRDefault="00AC5C0C" w:rsidP="00922116">
            <w:pPr>
              <w:pStyle w:val="CellRowSpacer"/>
              <w:keepNext/>
              <w:spacing w:after="120"/>
              <w:rPr>
                <w:sz w:val="16"/>
                <w:szCs w:val="16"/>
              </w:rPr>
            </w:pPr>
          </w:p>
        </w:tc>
      </w:tr>
      <w:tr w:rsidR="00AC5C0C" w:rsidRPr="003717EC" w14:paraId="3071A5B2" w14:textId="77777777" w:rsidTr="00922116">
        <w:tc>
          <w:tcPr>
            <w:tcW w:w="4572" w:type="dxa"/>
            <w:vAlign w:val="bottom"/>
          </w:tcPr>
          <w:p w14:paraId="453CD252" w14:textId="77777777" w:rsidR="00AC5C0C" w:rsidRPr="003717EC" w:rsidRDefault="00AC5C0C" w:rsidP="00922116">
            <w:pPr>
              <w:pStyle w:val="CellBody"/>
              <w:keepNext/>
              <w:tabs>
                <w:tab w:val="right" w:leader="dot" w:pos="4581"/>
              </w:tabs>
              <w:rPr>
                <w:sz w:val="16"/>
                <w:szCs w:val="16"/>
              </w:rPr>
            </w:pPr>
            <w:r w:rsidRPr="003717EC">
              <w:rPr>
                <w:b/>
                <w:sz w:val="16"/>
                <w:szCs w:val="16"/>
              </w:rPr>
              <w:t>Work-Related Fatalities</w:t>
            </w:r>
          </w:p>
        </w:tc>
        <w:tc>
          <w:tcPr>
            <w:tcW w:w="283" w:type="dxa"/>
            <w:vAlign w:val="bottom"/>
          </w:tcPr>
          <w:p w14:paraId="495D745F" w14:textId="77777777" w:rsidR="00AC5C0C" w:rsidRPr="003717EC" w:rsidRDefault="00AC5C0C" w:rsidP="00922116">
            <w:pPr>
              <w:pStyle w:val="CellRowSpacer"/>
              <w:keepNext/>
              <w:rPr>
                <w:sz w:val="16"/>
                <w:szCs w:val="16"/>
              </w:rPr>
            </w:pPr>
          </w:p>
        </w:tc>
        <w:tc>
          <w:tcPr>
            <w:tcW w:w="1131" w:type="dxa"/>
            <w:tcBorders>
              <w:top w:val="single" w:sz="4" w:space="0" w:color="auto"/>
            </w:tcBorders>
            <w:vAlign w:val="bottom"/>
          </w:tcPr>
          <w:p w14:paraId="21463F86" w14:textId="77777777" w:rsidR="00AC5C0C" w:rsidRPr="003717EC" w:rsidRDefault="00AC5C0C" w:rsidP="00922116">
            <w:pPr>
              <w:pStyle w:val="CellBody"/>
              <w:keepNext/>
              <w:jc w:val="right"/>
              <w:rPr>
                <w:sz w:val="16"/>
                <w:szCs w:val="16"/>
              </w:rPr>
            </w:pPr>
          </w:p>
        </w:tc>
        <w:tc>
          <w:tcPr>
            <w:tcW w:w="282" w:type="dxa"/>
            <w:vAlign w:val="bottom"/>
          </w:tcPr>
          <w:p w14:paraId="1EFFB772" w14:textId="77777777" w:rsidR="00AC5C0C" w:rsidRPr="003717EC" w:rsidRDefault="00AC5C0C" w:rsidP="00922116">
            <w:pPr>
              <w:pStyle w:val="CellRowSpacer"/>
              <w:keepNext/>
              <w:rPr>
                <w:sz w:val="16"/>
                <w:szCs w:val="16"/>
              </w:rPr>
            </w:pPr>
          </w:p>
        </w:tc>
        <w:tc>
          <w:tcPr>
            <w:tcW w:w="1131" w:type="dxa"/>
            <w:tcBorders>
              <w:top w:val="single" w:sz="4" w:space="0" w:color="auto"/>
            </w:tcBorders>
            <w:vAlign w:val="bottom"/>
          </w:tcPr>
          <w:p w14:paraId="532D59FE" w14:textId="77777777" w:rsidR="00AC5C0C" w:rsidRPr="003717EC" w:rsidRDefault="00AC5C0C" w:rsidP="00922116">
            <w:pPr>
              <w:pStyle w:val="CellBody"/>
              <w:keepNext/>
              <w:jc w:val="right"/>
              <w:rPr>
                <w:sz w:val="16"/>
                <w:szCs w:val="16"/>
              </w:rPr>
            </w:pPr>
          </w:p>
        </w:tc>
        <w:tc>
          <w:tcPr>
            <w:tcW w:w="282" w:type="dxa"/>
            <w:vAlign w:val="bottom"/>
          </w:tcPr>
          <w:p w14:paraId="0DE24D5A" w14:textId="77777777" w:rsidR="00AC5C0C" w:rsidRPr="003717EC" w:rsidRDefault="00AC5C0C" w:rsidP="00922116">
            <w:pPr>
              <w:pStyle w:val="CellRowSpacer"/>
              <w:keepNext/>
              <w:rPr>
                <w:sz w:val="16"/>
                <w:szCs w:val="16"/>
              </w:rPr>
            </w:pPr>
          </w:p>
        </w:tc>
        <w:tc>
          <w:tcPr>
            <w:tcW w:w="1131" w:type="dxa"/>
            <w:tcBorders>
              <w:top w:val="single" w:sz="4" w:space="0" w:color="auto"/>
            </w:tcBorders>
            <w:vAlign w:val="bottom"/>
          </w:tcPr>
          <w:p w14:paraId="3DBE34A3" w14:textId="77777777" w:rsidR="00AC5C0C" w:rsidRPr="003717EC" w:rsidRDefault="00AC5C0C" w:rsidP="00922116">
            <w:pPr>
              <w:pStyle w:val="CellBody"/>
              <w:keepNext/>
              <w:jc w:val="right"/>
              <w:rPr>
                <w:sz w:val="16"/>
                <w:szCs w:val="16"/>
              </w:rPr>
            </w:pPr>
          </w:p>
        </w:tc>
        <w:tc>
          <w:tcPr>
            <w:tcW w:w="236" w:type="dxa"/>
            <w:vAlign w:val="bottom"/>
          </w:tcPr>
          <w:p w14:paraId="44F61ADF" w14:textId="77777777" w:rsidR="00AC5C0C" w:rsidRPr="003717EC" w:rsidRDefault="00AC5C0C" w:rsidP="00922116">
            <w:pPr>
              <w:pStyle w:val="CellRowSpacer"/>
              <w:keepNext/>
              <w:rPr>
                <w:sz w:val="16"/>
                <w:szCs w:val="16"/>
              </w:rPr>
            </w:pPr>
          </w:p>
        </w:tc>
      </w:tr>
      <w:tr w:rsidR="00AC5C0C" w:rsidRPr="003717EC" w14:paraId="4F762440" w14:textId="77777777" w:rsidTr="00922116">
        <w:tc>
          <w:tcPr>
            <w:tcW w:w="4572" w:type="dxa"/>
            <w:vAlign w:val="bottom"/>
          </w:tcPr>
          <w:p w14:paraId="12EE587C" w14:textId="77777777" w:rsidR="00AC5C0C" w:rsidRPr="003717EC" w:rsidRDefault="00AC5C0C" w:rsidP="00922116">
            <w:pPr>
              <w:pStyle w:val="CellBody"/>
              <w:tabs>
                <w:tab w:val="right" w:leader="dot" w:pos="4581"/>
              </w:tabs>
              <w:rPr>
                <w:sz w:val="16"/>
                <w:szCs w:val="16"/>
              </w:rPr>
            </w:pPr>
            <w:r w:rsidRPr="003717EC">
              <w:rPr>
                <w:sz w:val="16"/>
                <w:szCs w:val="16"/>
              </w:rPr>
              <w:t>Total number</w:t>
            </w:r>
            <w:r w:rsidRPr="003717EC">
              <w:rPr>
                <w:sz w:val="16"/>
                <w:szCs w:val="16"/>
              </w:rPr>
              <w:tab/>
            </w:r>
          </w:p>
        </w:tc>
        <w:tc>
          <w:tcPr>
            <w:tcW w:w="283" w:type="dxa"/>
            <w:vAlign w:val="bottom"/>
          </w:tcPr>
          <w:p w14:paraId="5CC55713" w14:textId="77777777" w:rsidR="00AC5C0C" w:rsidRPr="003717EC" w:rsidRDefault="00AC5C0C" w:rsidP="00922116">
            <w:pPr>
              <w:pStyle w:val="CellRowSpacer"/>
              <w:rPr>
                <w:sz w:val="16"/>
                <w:szCs w:val="16"/>
              </w:rPr>
            </w:pPr>
          </w:p>
        </w:tc>
        <w:tc>
          <w:tcPr>
            <w:tcW w:w="1131" w:type="dxa"/>
            <w:vAlign w:val="bottom"/>
          </w:tcPr>
          <w:p w14:paraId="19AA5F6D" w14:textId="77777777" w:rsidR="00AC5C0C" w:rsidRPr="003717EC" w:rsidRDefault="00AC5C0C" w:rsidP="00922116">
            <w:pPr>
              <w:pStyle w:val="CellBody"/>
              <w:jc w:val="right"/>
              <w:rPr>
                <w:sz w:val="16"/>
                <w:szCs w:val="16"/>
              </w:rPr>
            </w:pPr>
            <w:r w:rsidRPr="003717EC">
              <w:rPr>
                <w:sz w:val="16"/>
                <w:szCs w:val="16"/>
              </w:rPr>
              <w:t>0</w:t>
            </w:r>
          </w:p>
        </w:tc>
        <w:tc>
          <w:tcPr>
            <w:tcW w:w="282" w:type="dxa"/>
            <w:vAlign w:val="bottom"/>
          </w:tcPr>
          <w:p w14:paraId="381BA52D" w14:textId="77777777" w:rsidR="00AC5C0C" w:rsidRPr="003717EC" w:rsidRDefault="00AC5C0C" w:rsidP="00922116">
            <w:pPr>
              <w:pStyle w:val="CellRowSpacer"/>
              <w:rPr>
                <w:sz w:val="16"/>
                <w:szCs w:val="16"/>
              </w:rPr>
            </w:pPr>
          </w:p>
        </w:tc>
        <w:tc>
          <w:tcPr>
            <w:tcW w:w="1131" w:type="dxa"/>
            <w:vAlign w:val="bottom"/>
          </w:tcPr>
          <w:p w14:paraId="179C7B41" w14:textId="77777777" w:rsidR="00AC5C0C" w:rsidRPr="003717EC" w:rsidRDefault="00AC5C0C" w:rsidP="00922116">
            <w:pPr>
              <w:pStyle w:val="CellBody"/>
              <w:jc w:val="right"/>
              <w:rPr>
                <w:sz w:val="16"/>
                <w:szCs w:val="16"/>
              </w:rPr>
            </w:pPr>
            <w:r w:rsidRPr="003717EC">
              <w:rPr>
                <w:sz w:val="16"/>
                <w:szCs w:val="16"/>
              </w:rPr>
              <w:t>0</w:t>
            </w:r>
          </w:p>
        </w:tc>
        <w:tc>
          <w:tcPr>
            <w:tcW w:w="282" w:type="dxa"/>
            <w:vAlign w:val="bottom"/>
          </w:tcPr>
          <w:p w14:paraId="69312029" w14:textId="77777777" w:rsidR="00AC5C0C" w:rsidRPr="003717EC" w:rsidRDefault="00AC5C0C" w:rsidP="00922116">
            <w:pPr>
              <w:pStyle w:val="CellRowSpacer"/>
              <w:rPr>
                <w:sz w:val="16"/>
                <w:szCs w:val="16"/>
              </w:rPr>
            </w:pPr>
          </w:p>
        </w:tc>
        <w:tc>
          <w:tcPr>
            <w:tcW w:w="1131" w:type="dxa"/>
            <w:vAlign w:val="bottom"/>
          </w:tcPr>
          <w:p w14:paraId="1CABC3E7" w14:textId="77777777" w:rsidR="00AC5C0C" w:rsidRPr="003717EC" w:rsidRDefault="00AC5C0C" w:rsidP="00922116">
            <w:pPr>
              <w:pStyle w:val="CellBody"/>
              <w:jc w:val="right"/>
              <w:rPr>
                <w:sz w:val="16"/>
                <w:szCs w:val="16"/>
              </w:rPr>
            </w:pPr>
            <w:r w:rsidRPr="003717EC">
              <w:rPr>
                <w:sz w:val="16"/>
                <w:szCs w:val="16"/>
              </w:rPr>
              <w:t>0</w:t>
            </w:r>
          </w:p>
        </w:tc>
        <w:tc>
          <w:tcPr>
            <w:tcW w:w="236" w:type="dxa"/>
            <w:vAlign w:val="bottom"/>
          </w:tcPr>
          <w:p w14:paraId="048723D4" w14:textId="77777777" w:rsidR="00AC5C0C" w:rsidRPr="003717EC" w:rsidRDefault="00AC5C0C" w:rsidP="00922116">
            <w:pPr>
              <w:pStyle w:val="CellRowSpacer"/>
              <w:rPr>
                <w:sz w:val="16"/>
                <w:szCs w:val="16"/>
              </w:rPr>
            </w:pPr>
          </w:p>
        </w:tc>
      </w:tr>
      <w:tr w:rsidR="00AC5C0C" w:rsidRPr="003717EC" w14:paraId="2DC8C22B" w14:textId="77777777" w:rsidTr="00922116">
        <w:tc>
          <w:tcPr>
            <w:tcW w:w="4572" w:type="dxa"/>
            <w:vAlign w:val="bottom"/>
          </w:tcPr>
          <w:p w14:paraId="025999D9" w14:textId="77777777" w:rsidR="00AC5C0C" w:rsidRPr="003717EC" w:rsidRDefault="00AC5C0C" w:rsidP="00922116">
            <w:pPr>
              <w:pStyle w:val="CellBody"/>
              <w:keepNext/>
              <w:tabs>
                <w:tab w:val="right" w:leader="dot" w:pos="4581"/>
              </w:tabs>
              <w:rPr>
                <w:sz w:val="16"/>
                <w:szCs w:val="16"/>
              </w:rPr>
            </w:pPr>
            <w:r w:rsidRPr="003717EC">
              <w:rPr>
                <w:b/>
                <w:bCs/>
                <w:sz w:val="16"/>
                <w:szCs w:val="16"/>
              </w:rPr>
              <w:t>Injuries</w:t>
            </w:r>
          </w:p>
        </w:tc>
        <w:tc>
          <w:tcPr>
            <w:tcW w:w="283" w:type="dxa"/>
            <w:vAlign w:val="bottom"/>
          </w:tcPr>
          <w:p w14:paraId="426FD134" w14:textId="77777777" w:rsidR="00AC5C0C" w:rsidRPr="003717EC" w:rsidRDefault="00AC5C0C" w:rsidP="00922116">
            <w:pPr>
              <w:pStyle w:val="CellRowSpacer"/>
              <w:keepNext/>
              <w:rPr>
                <w:sz w:val="16"/>
                <w:szCs w:val="16"/>
              </w:rPr>
            </w:pPr>
          </w:p>
        </w:tc>
        <w:tc>
          <w:tcPr>
            <w:tcW w:w="1131" w:type="dxa"/>
            <w:vAlign w:val="bottom"/>
          </w:tcPr>
          <w:p w14:paraId="56B99AA6" w14:textId="77777777" w:rsidR="00AC5C0C" w:rsidRPr="003717EC" w:rsidRDefault="00AC5C0C" w:rsidP="00922116">
            <w:pPr>
              <w:pStyle w:val="CellBody"/>
              <w:keepNext/>
              <w:jc w:val="right"/>
              <w:rPr>
                <w:sz w:val="16"/>
                <w:szCs w:val="16"/>
              </w:rPr>
            </w:pPr>
          </w:p>
        </w:tc>
        <w:tc>
          <w:tcPr>
            <w:tcW w:w="282" w:type="dxa"/>
            <w:vAlign w:val="bottom"/>
          </w:tcPr>
          <w:p w14:paraId="296EAC38" w14:textId="77777777" w:rsidR="00AC5C0C" w:rsidRPr="003717EC" w:rsidRDefault="00AC5C0C" w:rsidP="00922116">
            <w:pPr>
              <w:pStyle w:val="CellRowSpacer"/>
              <w:keepNext/>
              <w:rPr>
                <w:sz w:val="16"/>
                <w:szCs w:val="16"/>
              </w:rPr>
            </w:pPr>
          </w:p>
        </w:tc>
        <w:tc>
          <w:tcPr>
            <w:tcW w:w="1131" w:type="dxa"/>
            <w:vAlign w:val="bottom"/>
          </w:tcPr>
          <w:p w14:paraId="15D1B8FD" w14:textId="77777777" w:rsidR="00AC5C0C" w:rsidRPr="003717EC" w:rsidRDefault="00AC5C0C" w:rsidP="00922116">
            <w:pPr>
              <w:pStyle w:val="CellBody"/>
              <w:keepNext/>
              <w:jc w:val="right"/>
              <w:rPr>
                <w:sz w:val="16"/>
                <w:szCs w:val="16"/>
              </w:rPr>
            </w:pPr>
          </w:p>
        </w:tc>
        <w:tc>
          <w:tcPr>
            <w:tcW w:w="282" w:type="dxa"/>
            <w:vAlign w:val="bottom"/>
          </w:tcPr>
          <w:p w14:paraId="29B270D1" w14:textId="77777777" w:rsidR="00AC5C0C" w:rsidRPr="003717EC" w:rsidRDefault="00AC5C0C" w:rsidP="00922116">
            <w:pPr>
              <w:pStyle w:val="CellRowSpacer"/>
              <w:keepNext/>
              <w:rPr>
                <w:sz w:val="16"/>
                <w:szCs w:val="16"/>
              </w:rPr>
            </w:pPr>
          </w:p>
        </w:tc>
        <w:tc>
          <w:tcPr>
            <w:tcW w:w="1131" w:type="dxa"/>
            <w:vAlign w:val="bottom"/>
          </w:tcPr>
          <w:p w14:paraId="3D9ED087" w14:textId="77777777" w:rsidR="00AC5C0C" w:rsidRPr="003717EC" w:rsidRDefault="00AC5C0C" w:rsidP="00922116">
            <w:pPr>
              <w:pStyle w:val="CellBody"/>
              <w:keepNext/>
              <w:jc w:val="right"/>
              <w:rPr>
                <w:sz w:val="16"/>
                <w:szCs w:val="16"/>
              </w:rPr>
            </w:pPr>
          </w:p>
        </w:tc>
        <w:tc>
          <w:tcPr>
            <w:tcW w:w="236" w:type="dxa"/>
            <w:vAlign w:val="bottom"/>
          </w:tcPr>
          <w:p w14:paraId="10B29347" w14:textId="77777777" w:rsidR="00AC5C0C" w:rsidRPr="003717EC" w:rsidRDefault="00AC5C0C" w:rsidP="00922116">
            <w:pPr>
              <w:pStyle w:val="CellRowSpacer"/>
              <w:keepNext/>
              <w:rPr>
                <w:sz w:val="16"/>
                <w:szCs w:val="16"/>
              </w:rPr>
            </w:pPr>
          </w:p>
        </w:tc>
      </w:tr>
      <w:tr w:rsidR="00AC5C0C" w:rsidRPr="003717EC" w14:paraId="288E065D" w14:textId="77777777" w:rsidTr="00922116">
        <w:tc>
          <w:tcPr>
            <w:tcW w:w="4572" w:type="dxa"/>
            <w:vAlign w:val="bottom"/>
          </w:tcPr>
          <w:p w14:paraId="09CDA804" w14:textId="77777777" w:rsidR="00AC5C0C" w:rsidRPr="003717EC" w:rsidRDefault="00AC5C0C" w:rsidP="00922116">
            <w:pPr>
              <w:pStyle w:val="CellBody"/>
              <w:tabs>
                <w:tab w:val="right" w:leader="dot" w:pos="4581"/>
              </w:tabs>
              <w:rPr>
                <w:sz w:val="16"/>
                <w:szCs w:val="16"/>
              </w:rPr>
            </w:pPr>
            <w:r w:rsidRPr="003717EC">
              <w:rPr>
                <w:sz w:val="16"/>
                <w:szCs w:val="16"/>
              </w:rPr>
              <w:t>Lost Time Injury (“</w:t>
            </w:r>
            <w:r w:rsidRPr="003717EC">
              <w:rPr>
                <w:b/>
                <w:bCs/>
                <w:sz w:val="16"/>
                <w:szCs w:val="16"/>
              </w:rPr>
              <w:t>LTI</w:t>
            </w:r>
            <w:r w:rsidRPr="003717EC">
              <w:rPr>
                <w:sz w:val="16"/>
                <w:szCs w:val="16"/>
              </w:rPr>
              <w:t>”)</w:t>
            </w:r>
            <w:r w:rsidRPr="003717EC">
              <w:rPr>
                <w:i/>
                <w:iCs/>
                <w:sz w:val="16"/>
                <w:szCs w:val="16"/>
              </w:rPr>
              <w:tab/>
            </w:r>
          </w:p>
        </w:tc>
        <w:tc>
          <w:tcPr>
            <w:tcW w:w="283" w:type="dxa"/>
            <w:vAlign w:val="bottom"/>
          </w:tcPr>
          <w:p w14:paraId="31B3645E" w14:textId="77777777" w:rsidR="00AC5C0C" w:rsidRPr="003717EC" w:rsidRDefault="00AC5C0C" w:rsidP="00922116">
            <w:pPr>
              <w:pStyle w:val="CellRowSpacer"/>
              <w:rPr>
                <w:sz w:val="16"/>
                <w:szCs w:val="16"/>
              </w:rPr>
            </w:pPr>
          </w:p>
        </w:tc>
        <w:tc>
          <w:tcPr>
            <w:tcW w:w="1131" w:type="dxa"/>
            <w:vAlign w:val="bottom"/>
          </w:tcPr>
          <w:p w14:paraId="4A1E257E" w14:textId="77777777" w:rsidR="00AC5C0C" w:rsidRPr="003717EC" w:rsidRDefault="00AC5C0C" w:rsidP="00922116">
            <w:pPr>
              <w:pStyle w:val="CellBody"/>
              <w:jc w:val="right"/>
              <w:rPr>
                <w:sz w:val="16"/>
                <w:szCs w:val="16"/>
              </w:rPr>
            </w:pPr>
            <w:r w:rsidRPr="003717EC">
              <w:rPr>
                <w:sz w:val="16"/>
                <w:szCs w:val="16"/>
              </w:rPr>
              <w:t>0</w:t>
            </w:r>
          </w:p>
        </w:tc>
        <w:tc>
          <w:tcPr>
            <w:tcW w:w="282" w:type="dxa"/>
            <w:vAlign w:val="bottom"/>
          </w:tcPr>
          <w:p w14:paraId="01912739" w14:textId="77777777" w:rsidR="00AC5C0C" w:rsidRPr="003717EC" w:rsidRDefault="00AC5C0C" w:rsidP="00922116">
            <w:pPr>
              <w:pStyle w:val="CellRowSpacer"/>
              <w:rPr>
                <w:sz w:val="16"/>
                <w:szCs w:val="16"/>
              </w:rPr>
            </w:pPr>
          </w:p>
        </w:tc>
        <w:tc>
          <w:tcPr>
            <w:tcW w:w="1131" w:type="dxa"/>
            <w:vAlign w:val="bottom"/>
          </w:tcPr>
          <w:p w14:paraId="389A5E05" w14:textId="77777777" w:rsidR="00AC5C0C" w:rsidRPr="003717EC" w:rsidRDefault="00AC5C0C" w:rsidP="00922116">
            <w:pPr>
              <w:pStyle w:val="CellBody"/>
              <w:jc w:val="right"/>
              <w:rPr>
                <w:sz w:val="16"/>
                <w:szCs w:val="16"/>
              </w:rPr>
            </w:pPr>
            <w:r w:rsidRPr="003717EC">
              <w:rPr>
                <w:sz w:val="16"/>
                <w:szCs w:val="16"/>
              </w:rPr>
              <w:t>0</w:t>
            </w:r>
          </w:p>
        </w:tc>
        <w:tc>
          <w:tcPr>
            <w:tcW w:w="282" w:type="dxa"/>
            <w:vAlign w:val="bottom"/>
          </w:tcPr>
          <w:p w14:paraId="1515B505" w14:textId="77777777" w:rsidR="00AC5C0C" w:rsidRPr="003717EC" w:rsidRDefault="00AC5C0C" w:rsidP="00922116">
            <w:pPr>
              <w:pStyle w:val="CellRowSpacer"/>
              <w:rPr>
                <w:sz w:val="16"/>
                <w:szCs w:val="16"/>
              </w:rPr>
            </w:pPr>
          </w:p>
        </w:tc>
        <w:tc>
          <w:tcPr>
            <w:tcW w:w="1131" w:type="dxa"/>
            <w:vAlign w:val="bottom"/>
          </w:tcPr>
          <w:p w14:paraId="7CCE3F87" w14:textId="77777777" w:rsidR="00AC5C0C" w:rsidRPr="003717EC" w:rsidRDefault="00AC5C0C" w:rsidP="00922116">
            <w:pPr>
              <w:pStyle w:val="CellBody"/>
              <w:jc w:val="right"/>
              <w:rPr>
                <w:sz w:val="16"/>
                <w:szCs w:val="16"/>
              </w:rPr>
            </w:pPr>
            <w:r w:rsidRPr="003717EC">
              <w:rPr>
                <w:sz w:val="16"/>
                <w:szCs w:val="16"/>
              </w:rPr>
              <w:t>1</w:t>
            </w:r>
          </w:p>
        </w:tc>
        <w:tc>
          <w:tcPr>
            <w:tcW w:w="236" w:type="dxa"/>
            <w:vAlign w:val="bottom"/>
          </w:tcPr>
          <w:p w14:paraId="0F681F86" w14:textId="77777777" w:rsidR="00AC5C0C" w:rsidRPr="003717EC" w:rsidRDefault="00AC5C0C" w:rsidP="00922116">
            <w:pPr>
              <w:pStyle w:val="CellRowSpacer"/>
              <w:rPr>
                <w:sz w:val="16"/>
                <w:szCs w:val="16"/>
              </w:rPr>
            </w:pPr>
          </w:p>
        </w:tc>
      </w:tr>
      <w:tr w:rsidR="00AC5C0C" w:rsidRPr="003717EC" w14:paraId="1A4538E2" w14:textId="77777777" w:rsidTr="00922116">
        <w:tc>
          <w:tcPr>
            <w:tcW w:w="4572" w:type="dxa"/>
            <w:vAlign w:val="bottom"/>
          </w:tcPr>
          <w:p w14:paraId="6B96D77A" w14:textId="77777777" w:rsidR="00AC5C0C" w:rsidRPr="003717EC" w:rsidRDefault="00AC5C0C" w:rsidP="00922116">
            <w:pPr>
              <w:pStyle w:val="CellBody"/>
              <w:tabs>
                <w:tab w:val="right" w:leader="dot" w:pos="4581"/>
              </w:tabs>
              <w:rPr>
                <w:sz w:val="16"/>
                <w:szCs w:val="16"/>
              </w:rPr>
            </w:pPr>
            <w:r w:rsidRPr="003717EC">
              <w:rPr>
                <w:sz w:val="16"/>
                <w:szCs w:val="16"/>
              </w:rPr>
              <w:t>Lost Time Injury Frequency (“</w:t>
            </w:r>
            <w:r w:rsidRPr="003717EC">
              <w:rPr>
                <w:b/>
                <w:bCs/>
                <w:sz w:val="16"/>
                <w:szCs w:val="16"/>
              </w:rPr>
              <w:t>LTIF</w:t>
            </w:r>
            <w:r w:rsidRPr="003717EC">
              <w:rPr>
                <w:sz w:val="16"/>
                <w:szCs w:val="16"/>
              </w:rPr>
              <w:t xml:space="preserve">”) </w:t>
            </w:r>
            <w:r w:rsidRPr="003717EC">
              <w:rPr>
                <w:sz w:val="16"/>
                <w:szCs w:val="16"/>
              </w:rPr>
              <w:br/>
            </w:r>
            <w:r w:rsidRPr="003717EC">
              <w:rPr>
                <w:i/>
                <w:iCs/>
                <w:sz w:val="16"/>
                <w:szCs w:val="16"/>
              </w:rPr>
              <w:t>(Lost Time Injuries per million working hours, both employees and contractors)</w:t>
            </w:r>
            <w:r w:rsidRPr="003717EC">
              <w:rPr>
                <w:i/>
                <w:iCs/>
                <w:sz w:val="16"/>
                <w:szCs w:val="16"/>
              </w:rPr>
              <w:tab/>
            </w:r>
          </w:p>
        </w:tc>
        <w:tc>
          <w:tcPr>
            <w:tcW w:w="283" w:type="dxa"/>
            <w:vAlign w:val="bottom"/>
          </w:tcPr>
          <w:p w14:paraId="14D55E48" w14:textId="77777777" w:rsidR="00AC5C0C" w:rsidRPr="003717EC" w:rsidRDefault="00AC5C0C" w:rsidP="00922116">
            <w:pPr>
              <w:pStyle w:val="CellRowSpacer"/>
              <w:rPr>
                <w:sz w:val="16"/>
                <w:szCs w:val="16"/>
              </w:rPr>
            </w:pPr>
          </w:p>
        </w:tc>
        <w:tc>
          <w:tcPr>
            <w:tcW w:w="1131" w:type="dxa"/>
            <w:vAlign w:val="bottom"/>
          </w:tcPr>
          <w:p w14:paraId="588EA67A" w14:textId="77777777" w:rsidR="00AC5C0C" w:rsidRPr="003717EC" w:rsidRDefault="00AC5C0C" w:rsidP="00922116">
            <w:pPr>
              <w:pStyle w:val="CellBody"/>
              <w:jc w:val="right"/>
              <w:rPr>
                <w:sz w:val="16"/>
                <w:szCs w:val="16"/>
              </w:rPr>
            </w:pPr>
            <w:r w:rsidRPr="003717EC">
              <w:rPr>
                <w:sz w:val="16"/>
                <w:szCs w:val="16"/>
              </w:rPr>
              <w:t>0.0</w:t>
            </w:r>
          </w:p>
        </w:tc>
        <w:tc>
          <w:tcPr>
            <w:tcW w:w="282" w:type="dxa"/>
            <w:vAlign w:val="bottom"/>
          </w:tcPr>
          <w:p w14:paraId="73958A9B" w14:textId="77777777" w:rsidR="00AC5C0C" w:rsidRPr="003717EC" w:rsidRDefault="00AC5C0C" w:rsidP="00922116">
            <w:pPr>
              <w:pStyle w:val="CellRowSpacer"/>
              <w:rPr>
                <w:sz w:val="16"/>
                <w:szCs w:val="16"/>
              </w:rPr>
            </w:pPr>
          </w:p>
        </w:tc>
        <w:tc>
          <w:tcPr>
            <w:tcW w:w="1131" w:type="dxa"/>
            <w:vAlign w:val="bottom"/>
          </w:tcPr>
          <w:p w14:paraId="4AF358EA" w14:textId="77777777" w:rsidR="00AC5C0C" w:rsidRPr="003717EC" w:rsidRDefault="00AC5C0C" w:rsidP="00922116">
            <w:pPr>
              <w:pStyle w:val="CellBody"/>
              <w:jc w:val="right"/>
              <w:rPr>
                <w:sz w:val="16"/>
                <w:szCs w:val="16"/>
              </w:rPr>
            </w:pPr>
            <w:r w:rsidRPr="003717EC">
              <w:rPr>
                <w:sz w:val="16"/>
                <w:szCs w:val="16"/>
              </w:rPr>
              <w:t>0.0</w:t>
            </w:r>
          </w:p>
        </w:tc>
        <w:tc>
          <w:tcPr>
            <w:tcW w:w="282" w:type="dxa"/>
            <w:vAlign w:val="bottom"/>
          </w:tcPr>
          <w:p w14:paraId="74A6E58B" w14:textId="77777777" w:rsidR="00AC5C0C" w:rsidRPr="003717EC" w:rsidRDefault="00AC5C0C" w:rsidP="00922116">
            <w:pPr>
              <w:pStyle w:val="CellRowSpacer"/>
              <w:rPr>
                <w:sz w:val="16"/>
                <w:szCs w:val="16"/>
              </w:rPr>
            </w:pPr>
          </w:p>
        </w:tc>
        <w:tc>
          <w:tcPr>
            <w:tcW w:w="1131" w:type="dxa"/>
            <w:vAlign w:val="bottom"/>
          </w:tcPr>
          <w:p w14:paraId="41C0EBD9" w14:textId="77777777" w:rsidR="00AC5C0C" w:rsidRPr="003717EC" w:rsidRDefault="00AC5C0C" w:rsidP="00922116">
            <w:pPr>
              <w:pStyle w:val="CellBody"/>
              <w:jc w:val="right"/>
              <w:rPr>
                <w:sz w:val="16"/>
                <w:szCs w:val="16"/>
              </w:rPr>
            </w:pPr>
            <w:r w:rsidRPr="003717EC">
              <w:rPr>
                <w:sz w:val="16"/>
                <w:szCs w:val="16"/>
              </w:rPr>
              <w:t>0.1</w:t>
            </w:r>
          </w:p>
        </w:tc>
        <w:tc>
          <w:tcPr>
            <w:tcW w:w="236" w:type="dxa"/>
            <w:vAlign w:val="bottom"/>
          </w:tcPr>
          <w:p w14:paraId="2124C278" w14:textId="77777777" w:rsidR="00AC5C0C" w:rsidRPr="003717EC" w:rsidRDefault="00AC5C0C" w:rsidP="00922116">
            <w:pPr>
              <w:pStyle w:val="CellRowSpacer"/>
              <w:rPr>
                <w:sz w:val="16"/>
                <w:szCs w:val="16"/>
              </w:rPr>
            </w:pPr>
          </w:p>
        </w:tc>
      </w:tr>
      <w:tr w:rsidR="00AC5C0C" w:rsidRPr="003717EC" w14:paraId="33B59AC7" w14:textId="77777777" w:rsidTr="00922116">
        <w:tc>
          <w:tcPr>
            <w:tcW w:w="4572" w:type="dxa"/>
            <w:vAlign w:val="bottom"/>
          </w:tcPr>
          <w:p w14:paraId="6CA3EDEC" w14:textId="77777777" w:rsidR="00AC5C0C" w:rsidRPr="003717EC" w:rsidRDefault="00AC5C0C" w:rsidP="00922116">
            <w:pPr>
              <w:pStyle w:val="CellBody"/>
              <w:tabs>
                <w:tab w:val="right" w:leader="dot" w:pos="4581"/>
              </w:tabs>
              <w:rPr>
                <w:sz w:val="16"/>
                <w:szCs w:val="16"/>
              </w:rPr>
            </w:pPr>
            <w:r w:rsidRPr="003717EC">
              <w:rPr>
                <w:sz w:val="16"/>
                <w:szCs w:val="16"/>
              </w:rPr>
              <w:t>Total Recordable Cases (“</w:t>
            </w:r>
            <w:r w:rsidRPr="003717EC">
              <w:rPr>
                <w:b/>
                <w:bCs/>
                <w:sz w:val="16"/>
                <w:szCs w:val="16"/>
              </w:rPr>
              <w:t>TRCs</w:t>
            </w:r>
            <w:r w:rsidRPr="003717EC">
              <w:rPr>
                <w:sz w:val="16"/>
                <w:szCs w:val="16"/>
              </w:rPr>
              <w:t>”)</w:t>
            </w:r>
            <w:r w:rsidRPr="003717EC">
              <w:rPr>
                <w:i/>
                <w:iCs/>
                <w:sz w:val="16"/>
                <w:szCs w:val="16"/>
              </w:rPr>
              <w:tab/>
            </w:r>
          </w:p>
        </w:tc>
        <w:tc>
          <w:tcPr>
            <w:tcW w:w="283" w:type="dxa"/>
            <w:vAlign w:val="bottom"/>
          </w:tcPr>
          <w:p w14:paraId="67EB5CEF" w14:textId="77777777" w:rsidR="00AC5C0C" w:rsidRPr="003717EC" w:rsidRDefault="00AC5C0C" w:rsidP="00922116">
            <w:pPr>
              <w:pStyle w:val="CellRowSpacer"/>
              <w:rPr>
                <w:sz w:val="16"/>
                <w:szCs w:val="16"/>
              </w:rPr>
            </w:pPr>
          </w:p>
        </w:tc>
        <w:tc>
          <w:tcPr>
            <w:tcW w:w="1131" w:type="dxa"/>
            <w:vAlign w:val="bottom"/>
          </w:tcPr>
          <w:p w14:paraId="4B5933BC" w14:textId="77777777" w:rsidR="00AC5C0C" w:rsidRPr="003717EC" w:rsidRDefault="00AC5C0C" w:rsidP="00922116">
            <w:pPr>
              <w:pStyle w:val="CellBody"/>
              <w:jc w:val="right"/>
              <w:rPr>
                <w:sz w:val="16"/>
                <w:szCs w:val="16"/>
              </w:rPr>
            </w:pPr>
            <w:r w:rsidRPr="003717EC">
              <w:rPr>
                <w:sz w:val="16"/>
                <w:szCs w:val="16"/>
              </w:rPr>
              <w:t>5</w:t>
            </w:r>
          </w:p>
        </w:tc>
        <w:tc>
          <w:tcPr>
            <w:tcW w:w="282" w:type="dxa"/>
            <w:vAlign w:val="bottom"/>
          </w:tcPr>
          <w:p w14:paraId="38229741" w14:textId="77777777" w:rsidR="00AC5C0C" w:rsidRPr="003717EC" w:rsidRDefault="00AC5C0C" w:rsidP="00922116">
            <w:pPr>
              <w:pStyle w:val="CellRowSpacer"/>
              <w:rPr>
                <w:sz w:val="16"/>
                <w:szCs w:val="16"/>
              </w:rPr>
            </w:pPr>
          </w:p>
        </w:tc>
        <w:tc>
          <w:tcPr>
            <w:tcW w:w="1131" w:type="dxa"/>
            <w:vAlign w:val="bottom"/>
          </w:tcPr>
          <w:p w14:paraId="221157EE" w14:textId="77777777" w:rsidR="00AC5C0C" w:rsidRPr="003717EC" w:rsidRDefault="00AC5C0C" w:rsidP="00922116">
            <w:pPr>
              <w:pStyle w:val="CellBody"/>
              <w:jc w:val="right"/>
              <w:rPr>
                <w:sz w:val="16"/>
                <w:szCs w:val="16"/>
              </w:rPr>
            </w:pPr>
            <w:r w:rsidRPr="003717EC">
              <w:rPr>
                <w:sz w:val="16"/>
                <w:szCs w:val="16"/>
              </w:rPr>
              <w:t>2</w:t>
            </w:r>
          </w:p>
        </w:tc>
        <w:tc>
          <w:tcPr>
            <w:tcW w:w="282" w:type="dxa"/>
            <w:vAlign w:val="bottom"/>
          </w:tcPr>
          <w:p w14:paraId="0E670B99" w14:textId="77777777" w:rsidR="00AC5C0C" w:rsidRPr="003717EC" w:rsidRDefault="00AC5C0C" w:rsidP="00922116">
            <w:pPr>
              <w:pStyle w:val="CellRowSpacer"/>
              <w:rPr>
                <w:sz w:val="16"/>
                <w:szCs w:val="16"/>
              </w:rPr>
            </w:pPr>
          </w:p>
        </w:tc>
        <w:tc>
          <w:tcPr>
            <w:tcW w:w="1131" w:type="dxa"/>
            <w:vAlign w:val="bottom"/>
          </w:tcPr>
          <w:p w14:paraId="2234A0A9" w14:textId="77777777" w:rsidR="00AC5C0C" w:rsidRPr="003717EC" w:rsidRDefault="00AC5C0C" w:rsidP="00922116">
            <w:pPr>
              <w:pStyle w:val="CellBody"/>
              <w:jc w:val="right"/>
              <w:rPr>
                <w:sz w:val="16"/>
                <w:szCs w:val="16"/>
              </w:rPr>
            </w:pPr>
            <w:r w:rsidRPr="003717EC">
              <w:rPr>
                <w:sz w:val="16"/>
                <w:szCs w:val="16"/>
              </w:rPr>
              <w:t>4</w:t>
            </w:r>
          </w:p>
        </w:tc>
        <w:tc>
          <w:tcPr>
            <w:tcW w:w="236" w:type="dxa"/>
            <w:vAlign w:val="bottom"/>
          </w:tcPr>
          <w:p w14:paraId="58043016" w14:textId="77777777" w:rsidR="00AC5C0C" w:rsidRPr="003717EC" w:rsidRDefault="00AC5C0C" w:rsidP="00922116">
            <w:pPr>
              <w:pStyle w:val="CellRowSpacer"/>
              <w:rPr>
                <w:sz w:val="16"/>
                <w:szCs w:val="16"/>
              </w:rPr>
            </w:pPr>
          </w:p>
        </w:tc>
      </w:tr>
      <w:tr w:rsidR="00AC5C0C" w:rsidRPr="003717EC" w14:paraId="3A50AD0F" w14:textId="77777777" w:rsidTr="00922116">
        <w:tc>
          <w:tcPr>
            <w:tcW w:w="4572" w:type="dxa"/>
            <w:vAlign w:val="bottom"/>
          </w:tcPr>
          <w:p w14:paraId="58FF9584" w14:textId="77777777" w:rsidR="00AC5C0C" w:rsidRPr="003717EC" w:rsidRDefault="00AC5C0C" w:rsidP="00922116">
            <w:pPr>
              <w:pStyle w:val="CellBody"/>
              <w:tabs>
                <w:tab w:val="right" w:leader="dot" w:pos="4581"/>
              </w:tabs>
              <w:rPr>
                <w:sz w:val="16"/>
                <w:szCs w:val="16"/>
              </w:rPr>
            </w:pPr>
            <w:r w:rsidRPr="003717EC">
              <w:rPr>
                <w:sz w:val="16"/>
                <w:szCs w:val="16"/>
              </w:rPr>
              <w:t>Total Recordable Cases Frequency (“</w:t>
            </w:r>
            <w:r w:rsidRPr="003717EC">
              <w:rPr>
                <w:b/>
                <w:bCs/>
                <w:sz w:val="16"/>
                <w:szCs w:val="16"/>
              </w:rPr>
              <w:t>TRCF</w:t>
            </w:r>
            <w:r w:rsidRPr="003717EC">
              <w:rPr>
                <w:sz w:val="16"/>
                <w:szCs w:val="16"/>
              </w:rPr>
              <w:t>”)</w:t>
            </w:r>
            <w:r w:rsidRPr="003717EC">
              <w:rPr>
                <w:sz w:val="16"/>
                <w:szCs w:val="16"/>
              </w:rPr>
              <w:br/>
            </w:r>
            <w:r w:rsidRPr="003717EC">
              <w:rPr>
                <w:i/>
                <w:iCs/>
                <w:sz w:val="16"/>
                <w:szCs w:val="16"/>
              </w:rPr>
              <w:t>(All injuries per million working hours, both employees and contractors)</w:t>
            </w:r>
            <w:r w:rsidRPr="003717EC">
              <w:rPr>
                <w:i/>
                <w:iCs/>
                <w:sz w:val="16"/>
                <w:szCs w:val="16"/>
              </w:rPr>
              <w:tab/>
            </w:r>
          </w:p>
        </w:tc>
        <w:tc>
          <w:tcPr>
            <w:tcW w:w="283" w:type="dxa"/>
            <w:vAlign w:val="bottom"/>
          </w:tcPr>
          <w:p w14:paraId="6017BEE5" w14:textId="77777777" w:rsidR="00AC5C0C" w:rsidRPr="003717EC" w:rsidRDefault="00AC5C0C" w:rsidP="00922116">
            <w:pPr>
              <w:pStyle w:val="CellRowSpacer"/>
              <w:rPr>
                <w:sz w:val="16"/>
                <w:szCs w:val="16"/>
              </w:rPr>
            </w:pPr>
          </w:p>
        </w:tc>
        <w:tc>
          <w:tcPr>
            <w:tcW w:w="1131" w:type="dxa"/>
            <w:vAlign w:val="bottom"/>
          </w:tcPr>
          <w:p w14:paraId="0A033E26" w14:textId="77777777" w:rsidR="00AC5C0C" w:rsidRPr="003717EC" w:rsidRDefault="00AC5C0C" w:rsidP="00922116">
            <w:pPr>
              <w:pStyle w:val="CellBody"/>
              <w:jc w:val="right"/>
              <w:rPr>
                <w:sz w:val="16"/>
                <w:szCs w:val="16"/>
              </w:rPr>
            </w:pPr>
            <w:r w:rsidRPr="003717EC">
              <w:rPr>
                <w:sz w:val="16"/>
                <w:szCs w:val="16"/>
              </w:rPr>
              <w:t>0.55</w:t>
            </w:r>
          </w:p>
        </w:tc>
        <w:tc>
          <w:tcPr>
            <w:tcW w:w="282" w:type="dxa"/>
            <w:vAlign w:val="bottom"/>
          </w:tcPr>
          <w:p w14:paraId="3973DAF2" w14:textId="77777777" w:rsidR="00AC5C0C" w:rsidRPr="003717EC" w:rsidRDefault="00AC5C0C" w:rsidP="00922116">
            <w:pPr>
              <w:pStyle w:val="CellRowSpacer"/>
              <w:rPr>
                <w:sz w:val="16"/>
                <w:szCs w:val="16"/>
              </w:rPr>
            </w:pPr>
          </w:p>
        </w:tc>
        <w:tc>
          <w:tcPr>
            <w:tcW w:w="1131" w:type="dxa"/>
            <w:vAlign w:val="bottom"/>
          </w:tcPr>
          <w:p w14:paraId="2CA35706" w14:textId="77777777" w:rsidR="00AC5C0C" w:rsidRPr="003717EC" w:rsidRDefault="00AC5C0C" w:rsidP="00922116">
            <w:pPr>
              <w:pStyle w:val="CellBody"/>
              <w:jc w:val="right"/>
              <w:rPr>
                <w:sz w:val="16"/>
                <w:szCs w:val="16"/>
              </w:rPr>
            </w:pPr>
            <w:r w:rsidRPr="003717EC">
              <w:rPr>
                <w:sz w:val="16"/>
                <w:szCs w:val="16"/>
              </w:rPr>
              <w:t>0.22</w:t>
            </w:r>
          </w:p>
        </w:tc>
        <w:tc>
          <w:tcPr>
            <w:tcW w:w="282" w:type="dxa"/>
            <w:vAlign w:val="bottom"/>
          </w:tcPr>
          <w:p w14:paraId="114E443E" w14:textId="77777777" w:rsidR="00AC5C0C" w:rsidRPr="003717EC" w:rsidRDefault="00AC5C0C" w:rsidP="00922116">
            <w:pPr>
              <w:pStyle w:val="CellRowSpacer"/>
              <w:rPr>
                <w:sz w:val="16"/>
                <w:szCs w:val="16"/>
              </w:rPr>
            </w:pPr>
          </w:p>
        </w:tc>
        <w:tc>
          <w:tcPr>
            <w:tcW w:w="1131" w:type="dxa"/>
            <w:vAlign w:val="bottom"/>
          </w:tcPr>
          <w:p w14:paraId="029CC7CF" w14:textId="77777777" w:rsidR="00AC5C0C" w:rsidRPr="003717EC" w:rsidRDefault="00AC5C0C" w:rsidP="00922116">
            <w:pPr>
              <w:pStyle w:val="CellBody"/>
              <w:jc w:val="right"/>
              <w:rPr>
                <w:sz w:val="16"/>
                <w:szCs w:val="16"/>
              </w:rPr>
            </w:pPr>
            <w:r w:rsidRPr="003717EC">
              <w:rPr>
                <w:sz w:val="16"/>
                <w:szCs w:val="16"/>
              </w:rPr>
              <w:t>0.41</w:t>
            </w:r>
          </w:p>
        </w:tc>
        <w:tc>
          <w:tcPr>
            <w:tcW w:w="236" w:type="dxa"/>
            <w:vAlign w:val="bottom"/>
          </w:tcPr>
          <w:p w14:paraId="53A9F60A" w14:textId="77777777" w:rsidR="00AC5C0C" w:rsidRPr="003717EC" w:rsidRDefault="00AC5C0C" w:rsidP="00922116">
            <w:pPr>
              <w:pStyle w:val="CellRowSpacer"/>
              <w:rPr>
                <w:sz w:val="16"/>
                <w:szCs w:val="16"/>
              </w:rPr>
            </w:pPr>
          </w:p>
        </w:tc>
      </w:tr>
      <w:tr w:rsidR="00AC5C0C" w:rsidRPr="003717EC" w14:paraId="417A509C" w14:textId="77777777" w:rsidTr="00922116">
        <w:tc>
          <w:tcPr>
            <w:tcW w:w="4572" w:type="dxa"/>
            <w:vAlign w:val="bottom"/>
          </w:tcPr>
          <w:p w14:paraId="440BF79C" w14:textId="77777777" w:rsidR="00AC5C0C" w:rsidRPr="003717EC" w:rsidRDefault="00AC5C0C" w:rsidP="00922116">
            <w:pPr>
              <w:pStyle w:val="CellBody"/>
              <w:keepNext/>
              <w:tabs>
                <w:tab w:val="right" w:leader="dot" w:pos="4581"/>
              </w:tabs>
              <w:rPr>
                <w:sz w:val="16"/>
                <w:szCs w:val="16"/>
              </w:rPr>
            </w:pPr>
            <w:r w:rsidRPr="003717EC">
              <w:rPr>
                <w:b/>
                <w:bCs/>
                <w:sz w:val="16"/>
                <w:szCs w:val="16"/>
              </w:rPr>
              <w:t>Exposure</w:t>
            </w:r>
          </w:p>
        </w:tc>
        <w:tc>
          <w:tcPr>
            <w:tcW w:w="283" w:type="dxa"/>
            <w:vAlign w:val="bottom"/>
          </w:tcPr>
          <w:p w14:paraId="1A26E960" w14:textId="77777777" w:rsidR="00AC5C0C" w:rsidRPr="003717EC" w:rsidRDefault="00AC5C0C" w:rsidP="00922116">
            <w:pPr>
              <w:pStyle w:val="CellRowSpacer"/>
              <w:keepNext/>
              <w:rPr>
                <w:sz w:val="16"/>
                <w:szCs w:val="16"/>
              </w:rPr>
            </w:pPr>
          </w:p>
        </w:tc>
        <w:tc>
          <w:tcPr>
            <w:tcW w:w="1131" w:type="dxa"/>
            <w:vAlign w:val="bottom"/>
          </w:tcPr>
          <w:p w14:paraId="61D3C936" w14:textId="77777777" w:rsidR="00AC5C0C" w:rsidRPr="003717EC" w:rsidRDefault="00AC5C0C" w:rsidP="00922116">
            <w:pPr>
              <w:pStyle w:val="CellBody"/>
              <w:keepNext/>
              <w:jc w:val="right"/>
              <w:rPr>
                <w:sz w:val="16"/>
                <w:szCs w:val="16"/>
              </w:rPr>
            </w:pPr>
          </w:p>
        </w:tc>
        <w:tc>
          <w:tcPr>
            <w:tcW w:w="282" w:type="dxa"/>
            <w:vAlign w:val="bottom"/>
          </w:tcPr>
          <w:p w14:paraId="14DB0572" w14:textId="77777777" w:rsidR="00AC5C0C" w:rsidRPr="003717EC" w:rsidRDefault="00AC5C0C" w:rsidP="00922116">
            <w:pPr>
              <w:pStyle w:val="CellRowSpacer"/>
              <w:keepNext/>
              <w:rPr>
                <w:sz w:val="16"/>
                <w:szCs w:val="16"/>
              </w:rPr>
            </w:pPr>
          </w:p>
        </w:tc>
        <w:tc>
          <w:tcPr>
            <w:tcW w:w="1131" w:type="dxa"/>
            <w:vAlign w:val="bottom"/>
          </w:tcPr>
          <w:p w14:paraId="316C9E50" w14:textId="77777777" w:rsidR="00AC5C0C" w:rsidRPr="003717EC" w:rsidRDefault="00AC5C0C" w:rsidP="00922116">
            <w:pPr>
              <w:pStyle w:val="CellBody"/>
              <w:keepNext/>
              <w:jc w:val="right"/>
              <w:rPr>
                <w:sz w:val="16"/>
                <w:szCs w:val="16"/>
              </w:rPr>
            </w:pPr>
          </w:p>
        </w:tc>
        <w:tc>
          <w:tcPr>
            <w:tcW w:w="282" w:type="dxa"/>
            <w:vAlign w:val="bottom"/>
          </w:tcPr>
          <w:p w14:paraId="2F0229DF" w14:textId="77777777" w:rsidR="00AC5C0C" w:rsidRPr="003717EC" w:rsidRDefault="00AC5C0C" w:rsidP="00922116">
            <w:pPr>
              <w:pStyle w:val="CellRowSpacer"/>
              <w:keepNext/>
              <w:rPr>
                <w:sz w:val="16"/>
                <w:szCs w:val="16"/>
              </w:rPr>
            </w:pPr>
          </w:p>
        </w:tc>
        <w:tc>
          <w:tcPr>
            <w:tcW w:w="1131" w:type="dxa"/>
            <w:vAlign w:val="bottom"/>
          </w:tcPr>
          <w:p w14:paraId="010D1C71" w14:textId="77777777" w:rsidR="00AC5C0C" w:rsidRPr="003717EC" w:rsidRDefault="00AC5C0C" w:rsidP="00922116">
            <w:pPr>
              <w:pStyle w:val="CellBody"/>
              <w:keepNext/>
              <w:jc w:val="right"/>
              <w:rPr>
                <w:sz w:val="16"/>
                <w:szCs w:val="16"/>
              </w:rPr>
            </w:pPr>
          </w:p>
        </w:tc>
        <w:tc>
          <w:tcPr>
            <w:tcW w:w="236" w:type="dxa"/>
            <w:vAlign w:val="bottom"/>
          </w:tcPr>
          <w:p w14:paraId="6F08D904" w14:textId="77777777" w:rsidR="00AC5C0C" w:rsidRPr="003717EC" w:rsidRDefault="00AC5C0C" w:rsidP="00922116">
            <w:pPr>
              <w:pStyle w:val="CellRowSpacer"/>
              <w:keepNext/>
              <w:rPr>
                <w:sz w:val="16"/>
                <w:szCs w:val="16"/>
              </w:rPr>
            </w:pPr>
          </w:p>
        </w:tc>
      </w:tr>
      <w:tr w:rsidR="00AC5C0C" w:rsidRPr="00B02BA3" w14:paraId="7C690EEE" w14:textId="77777777" w:rsidTr="00922116">
        <w:tc>
          <w:tcPr>
            <w:tcW w:w="4572" w:type="dxa"/>
            <w:vAlign w:val="bottom"/>
          </w:tcPr>
          <w:p w14:paraId="0C73541B" w14:textId="77777777" w:rsidR="00AC5C0C" w:rsidRPr="003717EC" w:rsidRDefault="00AC5C0C" w:rsidP="00922116">
            <w:pPr>
              <w:pStyle w:val="CellBody"/>
              <w:tabs>
                <w:tab w:val="right" w:leader="dot" w:pos="4581"/>
              </w:tabs>
              <w:rPr>
                <w:b/>
                <w:bCs/>
                <w:sz w:val="16"/>
                <w:szCs w:val="16"/>
              </w:rPr>
            </w:pPr>
            <w:r w:rsidRPr="003717EC">
              <w:rPr>
                <w:sz w:val="16"/>
                <w:szCs w:val="16"/>
              </w:rPr>
              <w:t>Man hours worked</w:t>
            </w:r>
            <w:r w:rsidRPr="003717EC">
              <w:rPr>
                <w:sz w:val="16"/>
                <w:szCs w:val="16"/>
              </w:rPr>
              <w:tab/>
            </w:r>
          </w:p>
        </w:tc>
        <w:tc>
          <w:tcPr>
            <w:tcW w:w="283" w:type="dxa"/>
            <w:vAlign w:val="bottom"/>
          </w:tcPr>
          <w:p w14:paraId="3F6E44B5" w14:textId="77777777" w:rsidR="00AC5C0C" w:rsidRPr="003717EC" w:rsidRDefault="00AC5C0C" w:rsidP="00922116">
            <w:pPr>
              <w:pStyle w:val="CellRowSpacer"/>
              <w:rPr>
                <w:sz w:val="16"/>
                <w:szCs w:val="16"/>
              </w:rPr>
            </w:pPr>
          </w:p>
        </w:tc>
        <w:tc>
          <w:tcPr>
            <w:tcW w:w="1131" w:type="dxa"/>
            <w:vAlign w:val="bottom"/>
          </w:tcPr>
          <w:p w14:paraId="044EB6BD" w14:textId="77777777" w:rsidR="00AC5C0C" w:rsidRPr="003717EC" w:rsidRDefault="00AC5C0C" w:rsidP="00922116">
            <w:pPr>
              <w:pStyle w:val="CellBody"/>
              <w:jc w:val="right"/>
              <w:rPr>
                <w:sz w:val="16"/>
                <w:szCs w:val="16"/>
              </w:rPr>
            </w:pPr>
            <w:r w:rsidRPr="003717EC">
              <w:rPr>
                <w:sz w:val="16"/>
                <w:szCs w:val="16"/>
              </w:rPr>
              <w:t>9,090,910</w:t>
            </w:r>
          </w:p>
        </w:tc>
        <w:tc>
          <w:tcPr>
            <w:tcW w:w="282" w:type="dxa"/>
            <w:vAlign w:val="bottom"/>
          </w:tcPr>
          <w:p w14:paraId="5AC5221D" w14:textId="77777777" w:rsidR="00AC5C0C" w:rsidRPr="003717EC" w:rsidRDefault="00AC5C0C" w:rsidP="00922116">
            <w:pPr>
              <w:pStyle w:val="CellRowSpacer"/>
              <w:rPr>
                <w:sz w:val="16"/>
                <w:szCs w:val="16"/>
              </w:rPr>
            </w:pPr>
          </w:p>
        </w:tc>
        <w:tc>
          <w:tcPr>
            <w:tcW w:w="1131" w:type="dxa"/>
            <w:vAlign w:val="bottom"/>
          </w:tcPr>
          <w:p w14:paraId="57BA87E1" w14:textId="77777777" w:rsidR="00AC5C0C" w:rsidRPr="003717EC" w:rsidRDefault="00AC5C0C" w:rsidP="00922116">
            <w:pPr>
              <w:pStyle w:val="CellBody"/>
              <w:jc w:val="right"/>
              <w:rPr>
                <w:sz w:val="16"/>
                <w:szCs w:val="16"/>
              </w:rPr>
            </w:pPr>
            <w:r w:rsidRPr="003717EC">
              <w:rPr>
                <w:sz w:val="16"/>
                <w:szCs w:val="16"/>
              </w:rPr>
              <w:t>9,169,098</w:t>
            </w:r>
          </w:p>
        </w:tc>
        <w:tc>
          <w:tcPr>
            <w:tcW w:w="282" w:type="dxa"/>
            <w:vAlign w:val="bottom"/>
          </w:tcPr>
          <w:p w14:paraId="29FB984F" w14:textId="77777777" w:rsidR="00AC5C0C" w:rsidRPr="003717EC" w:rsidRDefault="00AC5C0C" w:rsidP="00922116">
            <w:pPr>
              <w:pStyle w:val="CellRowSpacer"/>
              <w:rPr>
                <w:sz w:val="16"/>
                <w:szCs w:val="16"/>
              </w:rPr>
            </w:pPr>
          </w:p>
        </w:tc>
        <w:tc>
          <w:tcPr>
            <w:tcW w:w="1131" w:type="dxa"/>
            <w:vAlign w:val="bottom"/>
          </w:tcPr>
          <w:p w14:paraId="340ED2CF" w14:textId="77777777" w:rsidR="00AC5C0C" w:rsidRPr="003717EC" w:rsidRDefault="00AC5C0C" w:rsidP="00922116">
            <w:pPr>
              <w:pStyle w:val="CellBody"/>
              <w:jc w:val="right"/>
              <w:rPr>
                <w:sz w:val="16"/>
                <w:szCs w:val="16"/>
              </w:rPr>
            </w:pPr>
            <w:r w:rsidRPr="003717EC">
              <w:rPr>
                <w:sz w:val="16"/>
                <w:szCs w:val="16"/>
              </w:rPr>
              <w:t>9,727,414</w:t>
            </w:r>
          </w:p>
        </w:tc>
        <w:tc>
          <w:tcPr>
            <w:tcW w:w="236" w:type="dxa"/>
            <w:vAlign w:val="bottom"/>
          </w:tcPr>
          <w:p w14:paraId="37BA2D4F" w14:textId="77777777" w:rsidR="00AC5C0C" w:rsidRPr="00B02BA3" w:rsidRDefault="00AC5C0C" w:rsidP="00922116">
            <w:pPr>
              <w:pStyle w:val="CellRowSpacer"/>
              <w:rPr>
                <w:sz w:val="16"/>
                <w:szCs w:val="16"/>
              </w:rPr>
            </w:pPr>
          </w:p>
        </w:tc>
      </w:tr>
    </w:tbl>
    <w:p w14:paraId="656EBB7E" w14:textId="77777777" w:rsidR="00AC5C0C" w:rsidRDefault="00AC5C0C" w:rsidP="00AC5C0C">
      <w:pPr>
        <w:bidi/>
        <w:jc w:val="both"/>
        <w:rPr>
          <w:rFonts w:ascii="Traditional Arabic" w:hAnsi="Traditional Arabic" w:cs="Traditional Arabic"/>
          <w:sz w:val="30"/>
          <w:szCs w:val="30"/>
          <w:rtl/>
        </w:rPr>
      </w:pPr>
    </w:p>
    <w:p w14:paraId="641BB480"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 xml:space="preserve">الممارسات البيئة والاجتماعية والحوكمة </w:t>
      </w:r>
    </w:p>
    <w:p w14:paraId="15E889A4" w14:textId="77777777" w:rsidR="00334534" w:rsidRPr="00985281" w:rsidRDefault="00334534" w:rsidP="00334534">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البيئة</w:t>
      </w:r>
    </w:p>
    <w:p w14:paraId="14F504B7"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تركز استراتيجية الشركة البيئية واستراتيجيتها في الاستدامة على الالتزام باللوائح الدولية وجهود الحد من انبعاثات الكربون بما يتماشى مع استراتيجية سلطنة عمان</w:t>
      </w:r>
      <w:r w:rsidRPr="00334534">
        <w:rPr>
          <w:rFonts w:ascii="Traditional Arabic" w:hAnsi="Traditional Arabic" w:cs="Traditional Arabic"/>
          <w:b/>
          <w:sz w:val="30"/>
          <w:szCs w:val="30"/>
          <w:rtl/>
        </w:rPr>
        <w:t xml:space="preserve"> اللوجستية 2040</w:t>
      </w:r>
      <w:r w:rsidRPr="00334534">
        <w:rPr>
          <w:rFonts w:ascii="Traditional Arabic" w:hAnsi="Traditional Arabic" w:cs="Traditional Arabic"/>
          <w:sz w:val="30"/>
          <w:szCs w:val="30"/>
          <w:rtl/>
        </w:rPr>
        <w:t xml:space="preserve"> وأهداف المنظمة البحرية الدولية لخفض الانبعاثات. ويشمل الالتزام بالمسؤولية البيئية: العمل على تحقيق أهداف الحياد الكربوني المضمن في استراتيجية سلطنة عمان لعام 2050، والحد من انبعاثات الكربون من أنشطة الشحن عن طريق الاستثمار في أسطول أكثر استدامة ، والتخلص من السفن القديمة، والإدارة الفعالة للنفايات، والتركيز على التنوع البيولوجي والوقود البديل. </w:t>
      </w:r>
    </w:p>
    <w:p w14:paraId="16C2936F" w14:textId="77777777" w:rsidR="00AC5C0C" w:rsidRDefault="00AC5C0C" w:rsidP="00334534">
      <w:pPr>
        <w:bidi/>
        <w:jc w:val="both"/>
        <w:rPr>
          <w:rFonts w:ascii="Traditional Arabic" w:hAnsi="Traditional Arabic" w:cs="Traditional Arabic"/>
          <w:sz w:val="30"/>
          <w:szCs w:val="30"/>
          <w:rtl/>
        </w:rPr>
      </w:pPr>
    </w:p>
    <w:p w14:paraId="419ED095"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 xml:space="preserve">كما تهدف الشركة إلى أن تكون رائدة في قطاع النقل البحري، وقيادة التنمية المستدامة والإشراف البيئي. فمنذ تسريع أهداف إزالة الكربون في عام 2022، حققت الشركة تقدمًا كبيرًا نحو الوفاء بالتزاماتها تجاه الممارسات البيئية والاجتماعية والحوكمة. وفي عام 2023، نشرت الشركة أول تقرير لها عن الممارسات البيئية والاجتماعية والحوكمة، ومنذ ذلك الحين، تتبعت 100 في المائة من انبعاثاتها من الغازات الدفيئة (غازات الاحتباس الحراري) وأكاسيد الكبريت وأكاسيد النيتروجين وانبعاثات مواد معينة لإيجاد القيمة المرجعية لقياس وتحليل الأداء المستقبلي. وكجزء من استراتيجية المنظمة البحرية الدولية للحد من كثافة الكربون لجميع السفن بنسبة 40 في المائة بحلول عام 2030 (مقارنة بالقيمة المرجعية لعام 2008)، فإنها تطلب من السفن حساب تصنيفين، وهما مؤشر كفاءة الطاقة للسفن الحالية ومؤشر كثافة الكربون التشغيلي السنوي وتصنيف مؤشر كثافة الكربون التشغيلي المرتبط به. ويشير مؤشر كفاءة الطاقة للسفن الحالية الذي حققته السفينة إلى كفاءتها في استخدام الطاقة مقارنة بالقيمة المرجعية المحددة. تربط كثافة الكربون بين انبعاثات الغازات الدفيئة للسفينة وكمية البضائع المتفاوتة عبر المسافات المقطوعة. وقد انتهت الشركة من إعداد التقرير السنوي الأول لهذه الشهادات في عام 2023، وصدرت التقييمات الأولية في عام 2024. تقوم الشركة بإجراء مراجعات ربع سنوية لتصنيفات مؤشر كثافة الكربون التشغيلي الخاصة بها وتلتزم بتحسينها سنويًا بنسبة 2 في المائة. </w:t>
      </w:r>
    </w:p>
    <w:p w14:paraId="04B4B402" w14:textId="77777777" w:rsidR="00AC5C0C" w:rsidRDefault="00AC5C0C" w:rsidP="00334534">
      <w:pPr>
        <w:bidi/>
        <w:jc w:val="both"/>
        <w:rPr>
          <w:rFonts w:ascii="Traditional Arabic" w:hAnsi="Traditional Arabic" w:cs="Traditional Arabic"/>
          <w:sz w:val="30"/>
          <w:szCs w:val="30"/>
          <w:rtl/>
        </w:rPr>
      </w:pPr>
    </w:p>
    <w:p w14:paraId="236A55F8"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ولتحقيق أهداف الاستدامة، وضعت الشركة مجموعة من المبادرات والبرامج التي تهدف إلى الحد من تأثيرها البيئي مع إحداث تأثير اجتماعي واقتصادي إيجابي. كما تشارك الشركة بانتظام مع الجهات الفاعلة في هذا المجال مثل الهيئات التنظيمية ومصنعي المحركات والعملاء ومعاهد بناء السفن والمؤسسات المالية لدراسة وتنفيذ التقنيات الجديدة التي تساهم في جهود إزالة الكربون في مجال النقل البحري. ويشمل ذلك اتفاقية تمويل مرتبطة بالاستدامة بقيمة 35.5 مليون دولار أمريكي ربطتها الشركة بهدفين للاستدامة: (1) الحصول على تصنيف إيكو "ECO" (وهو التزام السفن بالممارسات البيئية المستدامة) لاثنين من سفنها من مؤسسة لويد ريجستر (مما يدل على التزام السفينة بالإشراف البيئي)؛ و (2) تحسين مؤشر كفاءة الطاقة على مستوى الأسطول بنسبة 8 في المائة سنويًا.</w:t>
      </w:r>
    </w:p>
    <w:p w14:paraId="4170C922" w14:textId="77777777" w:rsidR="00AC5C0C" w:rsidRDefault="00AC5C0C" w:rsidP="00334534">
      <w:pPr>
        <w:bidi/>
        <w:jc w:val="both"/>
        <w:rPr>
          <w:rFonts w:ascii="Traditional Arabic" w:hAnsi="Traditional Arabic" w:cs="Traditional Arabic"/>
          <w:sz w:val="30"/>
          <w:szCs w:val="30"/>
          <w:rtl/>
        </w:rPr>
      </w:pPr>
    </w:p>
    <w:p w14:paraId="1EE1067A"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استثمرت الشركة ما يقرب من 1.0 مليار دولار أمريكي في سفن أكثر استدامة للبيئة، بما في ذلك سفنها الست قيد الطلب (وهي تعمل بالوقود المزدوج) وخصصت ميزانية إضافية قدرها 11.4 مليون دولار أمريكي لعام 2025 لتحديث السفن الحالية من أجل تحسين الأداء البيئي. وعلى مدى السنوات الخمس الماضية، استثمرت الشركة 66.5 مليون دولار أمريكي في المبادرات المرتبطة بالاستدامة، بما في ذلك تركيب أجهزة تنقية الغاز على 19 من سفنها، بالإضافة إلى استثمارات إضافية في أنظمة التشحيم الهوائية، وأنظمة المولدات المحورية، والطلاء النانوي، ومحددات سرعة المحرك، وزعانف الغطاء الرأسي للمروحة، والأشرعة الدوارة، وتركيب قنوات وأنابيب أمام المروحة لتحسين الكفاءة، واستخدام أساليب ذكية في إدارة الطاقة، وأجهزة التحكم في سرعة وعزم الدوران (المعروف باسم محركات التيار المتردد). </w:t>
      </w:r>
    </w:p>
    <w:p w14:paraId="39C24A17" w14:textId="77777777" w:rsidR="00AC5C0C" w:rsidRDefault="00AC5C0C" w:rsidP="00334534">
      <w:pPr>
        <w:bidi/>
        <w:jc w:val="both"/>
        <w:rPr>
          <w:rFonts w:ascii="Traditional Arabic" w:hAnsi="Traditional Arabic" w:cs="Traditional Arabic"/>
          <w:sz w:val="30"/>
          <w:szCs w:val="30"/>
          <w:rtl/>
        </w:rPr>
      </w:pPr>
    </w:p>
    <w:p w14:paraId="6DA1310A"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كما دخلت الشركة مؤخرًا في شراكة مع الجامعة الألمانية للتكنولوجيا في سلطنة عمان لإجراء دراسة حول تطوير نظام احتجاز الكربون، والذي يهدف إلى الحد من انبعاثات ثاني أكسيد الكربون من السفن، وهي عبارة عن اتفاقية دراسة مشتركة مع شركة أوكيو وشركة سوميتومو لاستكشاف إمكانات سلطنة عمان في أن تصبح مركزًا لوقود السفن منخفض الكربون</w:t>
      </w:r>
    </w:p>
    <w:p w14:paraId="5BE340EC" w14:textId="77777777" w:rsidR="00AC5C0C" w:rsidRDefault="00AC5C0C" w:rsidP="00334534">
      <w:pPr>
        <w:bidi/>
        <w:jc w:val="both"/>
        <w:rPr>
          <w:rFonts w:ascii="Traditional Arabic" w:hAnsi="Traditional Arabic" w:cs="Traditional Arabic"/>
          <w:sz w:val="30"/>
          <w:szCs w:val="30"/>
          <w:rtl/>
        </w:rPr>
      </w:pPr>
    </w:p>
    <w:p w14:paraId="383E73FA"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ويتم الإشراف على تنفيذ وتطوير استراتيجية الممارسات البيئية والاجتماعية والحوكمة للشركة من قبل لجنة الممارسات البيئية والاجتماعية والحوكمة، وهي تقدم تقاريرها إلى مجلس الإدارة. وتعمل سياسة الحماية البيئية للشركة من خلال نظام الإدارة البيئية للشركة ومراقبة مؤشرات الأداء الرئيسية البيئية التي تتعلق بالانبعاثات وإنتاج النفايات، حسب حسابات الشركة الموضحة بمزيد من التفصيل في الجدول التالي:</w:t>
      </w:r>
    </w:p>
    <w:p w14:paraId="4EF41A48" w14:textId="77777777" w:rsidR="00AC5C0C" w:rsidRDefault="00AC5C0C" w:rsidP="00334534">
      <w:pPr>
        <w:bidi/>
        <w:jc w:val="both"/>
        <w:rPr>
          <w:rFonts w:ascii="Traditional Arabic" w:hAnsi="Traditional Arabic" w:cs="Traditional Arabic"/>
          <w:sz w:val="30"/>
          <w:szCs w:val="30"/>
          <w:rtl/>
        </w:rPr>
      </w:pPr>
    </w:p>
    <w:tbl>
      <w:tblPr>
        <w:tblW w:w="8902" w:type="dxa"/>
        <w:tblInd w:w="437" w:type="dxa"/>
        <w:tblLayout w:type="fixed"/>
        <w:tblCellMar>
          <w:left w:w="0" w:type="dxa"/>
          <w:right w:w="0" w:type="dxa"/>
        </w:tblCellMar>
        <w:tblLook w:val="0000" w:firstRow="0" w:lastRow="0" w:firstColumn="0" w:lastColumn="0" w:noHBand="0" w:noVBand="0"/>
      </w:tblPr>
      <w:tblGrid>
        <w:gridCol w:w="3657"/>
        <w:gridCol w:w="326"/>
        <w:gridCol w:w="1312"/>
        <w:gridCol w:w="327"/>
        <w:gridCol w:w="1312"/>
        <w:gridCol w:w="327"/>
        <w:gridCol w:w="1314"/>
        <w:gridCol w:w="327"/>
      </w:tblGrid>
      <w:tr w:rsidR="00AC5C0C" w:rsidRPr="00B02BA3" w14:paraId="1A8F1E57" w14:textId="77777777" w:rsidTr="00922116">
        <w:trPr>
          <w:trHeight w:val="386"/>
          <w:tblHeader/>
        </w:trPr>
        <w:tc>
          <w:tcPr>
            <w:tcW w:w="3657" w:type="dxa"/>
            <w:vAlign w:val="bottom"/>
          </w:tcPr>
          <w:p w14:paraId="05A11B8B" w14:textId="77777777" w:rsidR="00AC5C0C" w:rsidRPr="00B02BA3" w:rsidRDefault="00AC5C0C" w:rsidP="00922116">
            <w:pPr>
              <w:pStyle w:val="Body"/>
              <w:rPr>
                <w:sz w:val="16"/>
                <w:szCs w:val="16"/>
              </w:rPr>
            </w:pPr>
          </w:p>
        </w:tc>
        <w:tc>
          <w:tcPr>
            <w:tcW w:w="326" w:type="dxa"/>
            <w:vAlign w:val="bottom"/>
          </w:tcPr>
          <w:p w14:paraId="10AA5FBE" w14:textId="77777777" w:rsidR="00AC5C0C" w:rsidRPr="00B02BA3" w:rsidRDefault="00AC5C0C" w:rsidP="00922116">
            <w:pPr>
              <w:pStyle w:val="CellRowSpacer"/>
              <w:spacing w:after="120"/>
              <w:rPr>
                <w:sz w:val="16"/>
                <w:szCs w:val="16"/>
              </w:rPr>
            </w:pPr>
          </w:p>
        </w:tc>
        <w:tc>
          <w:tcPr>
            <w:tcW w:w="4592" w:type="dxa"/>
            <w:gridSpan w:val="5"/>
            <w:tcBorders>
              <w:bottom w:val="single" w:sz="4" w:space="0" w:color="auto"/>
            </w:tcBorders>
            <w:vAlign w:val="bottom"/>
          </w:tcPr>
          <w:p w14:paraId="7327B0FF" w14:textId="77777777" w:rsidR="00AC5C0C" w:rsidRPr="00B02BA3" w:rsidRDefault="00AC5C0C" w:rsidP="00922116">
            <w:pPr>
              <w:pStyle w:val="SmCellHead"/>
              <w:jc w:val="center"/>
              <w:rPr>
                <w:sz w:val="16"/>
                <w:szCs w:val="16"/>
              </w:rPr>
            </w:pPr>
            <w:r w:rsidRPr="00B02BA3">
              <w:rPr>
                <w:sz w:val="16"/>
                <w:szCs w:val="16"/>
              </w:rPr>
              <w:t>For the year ended 31 December</w:t>
            </w:r>
          </w:p>
        </w:tc>
        <w:tc>
          <w:tcPr>
            <w:tcW w:w="327" w:type="dxa"/>
            <w:vAlign w:val="bottom"/>
          </w:tcPr>
          <w:p w14:paraId="54BE1096" w14:textId="77777777" w:rsidR="00AC5C0C" w:rsidRPr="00B02BA3" w:rsidRDefault="00AC5C0C" w:rsidP="00922116">
            <w:pPr>
              <w:pStyle w:val="CellRowSpacer"/>
              <w:spacing w:after="120"/>
              <w:jc w:val="center"/>
              <w:rPr>
                <w:sz w:val="16"/>
                <w:szCs w:val="16"/>
              </w:rPr>
            </w:pPr>
          </w:p>
        </w:tc>
      </w:tr>
      <w:tr w:rsidR="00AC5C0C" w:rsidRPr="00B02BA3" w14:paraId="64D260BC" w14:textId="77777777" w:rsidTr="00922116">
        <w:trPr>
          <w:trHeight w:val="402"/>
          <w:tblHeader/>
        </w:trPr>
        <w:tc>
          <w:tcPr>
            <w:tcW w:w="3657" w:type="dxa"/>
            <w:vAlign w:val="bottom"/>
          </w:tcPr>
          <w:p w14:paraId="7F8BACE5" w14:textId="77777777" w:rsidR="00AC5C0C" w:rsidRPr="00B02BA3" w:rsidRDefault="00AC5C0C" w:rsidP="00922116">
            <w:pPr>
              <w:pStyle w:val="SmCellHead"/>
              <w:rPr>
                <w:sz w:val="16"/>
                <w:szCs w:val="16"/>
              </w:rPr>
            </w:pPr>
          </w:p>
        </w:tc>
        <w:tc>
          <w:tcPr>
            <w:tcW w:w="326" w:type="dxa"/>
            <w:vAlign w:val="bottom"/>
          </w:tcPr>
          <w:p w14:paraId="2C74BD5C" w14:textId="77777777" w:rsidR="00AC5C0C" w:rsidRPr="00B02BA3" w:rsidRDefault="00AC5C0C" w:rsidP="00922116">
            <w:pPr>
              <w:pStyle w:val="CellRowSpacer"/>
              <w:spacing w:after="120"/>
              <w:rPr>
                <w:sz w:val="16"/>
                <w:szCs w:val="16"/>
              </w:rPr>
            </w:pPr>
          </w:p>
        </w:tc>
        <w:tc>
          <w:tcPr>
            <w:tcW w:w="1312" w:type="dxa"/>
            <w:tcBorders>
              <w:bottom w:val="single" w:sz="4" w:space="0" w:color="auto"/>
            </w:tcBorders>
            <w:vAlign w:val="bottom"/>
          </w:tcPr>
          <w:p w14:paraId="1591491E" w14:textId="77777777" w:rsidR="00AC5C0C" w:rsidRPr="00B02BA3" w:rsidRDefault="00AC5C0C" w:rsidP="00922116">
            <w:pPr>
              <w:pStyle w:val="SmCellHead"/>
              <w:jc w:val="center"/>
              <w:rPr>
                <w:sz w:val="16"/>
                <w:szCs w:val="16"/>
              </w:rPr>
            </w:pPr>
            <w:r w:rsidRPr="00B02BA3">
              <w:rPr>
                <w:sz w:val="16"/>
                <w:szCs w:val="16"/>
              </w:rPr>
              <w:t>2021</w:t>
            </w:r>
          </w:p>
        </w:tc>
        <w:tc>
          <w:tcPr>
            <w:tcW w:w="327" w:type="dxa"/>
            <w:vAlign w:val="bottom"/>
          </w:tcPr>
          <w:p w14:paraId="01AEBD73" w14:textId="77777777" w:rsidR="00AC5C0C" w:rsidRPr="00B02BA3" w:rsidRDefault="00AC5C0C" w:rsidP="00922116">
            <w:pPr>
              <w:pStyle w:val="CellRowSpacer"/>
              <w:spacing w:after="120"/>
              <w:jc w:val="center"/>
              <w:rPr>
                <w:sz w:val="16"/>
                <w:szCs w:val="16"/>
              </w:rPr>
            </w:pPr>
          </w:p>
        </w:tc>
        <w:tc>
          <w:tcPr>
            <w:tcW w:w="1312" w:type="dxa"/>
            <w:tcBorders>
              <w:bottom w:val="single" w:sz="4" w:space="0" w:color="auto"/>
            </w:tcBorders>
            <w:vAlign w:val="bottom"/>
          </w:tcPr>
          <w:p w14:paraId="27A68513" w14:textId="77777777" w:rsidR="00AC5C0C" w:rsidRPr="00B02BA3" w:rsidRDefault="00AC5C0C" w:rsidP="00922116">
            <w:pPr>
              <w:pStyle w:val="SmCellHead"/>
              <w:jc w:val="center"/>
              <w:rPr>
                <w:sz w:val="16"/>
                <w:szCs w:val="16"/>
              </w:rPr>
            </w:pPr>
            <w:r w:rsidRPr="00B02BA3">
              <w:rPr>
                <w:sz w:val="16"/>
                <w:szCs w:val="16"/>
              </w:rPr>
              <w:t>2022</w:t>
            </w:r>
          </w:p>
        </w:tc>
        <w:tc>
          <w:tcPr>
            <w:tcW w:w="327" w:type="dxa"/>
            <w:vAlign w:val="bottom"/>
          </w:tcPr>
          <w:p w14:paraId="3A4BE865" w14:textId="77777777" w:rsidR="00AC5C0C" w:rsidRPr="00B02BA3" w:rsidRDefault="00AC5C0C" w:rsidP="00922116">
            <w:pPr>
              <w:pStyle w:val="CellRowSpacer"/>
              <w:spacing w:after="120"/>
              <w:jc w:val="center"/>
              <w:rPr>
                <w:sz w:val="16"/>
                <w:szCs w:val="16"/>
              </w:rPr>
            </w:pPr>
          </w:p>
        </w:tc>
        <w:tc>
          <w:tcPr>
            <w:tcW w:w="1314" w:type="dxa"/>
            <w:tcBorders>
              <w:bottom w:val="single" w:sz="4" w:space="0" w:color="auto"/>
            </w:tcBorders>
            <w:vAlign w:val="bottom"/>
          </w:tcPr>
          <w:p w14:paraId="0D1F47E8" w14:textId="77777777" w:rsidR="00AC5C0C" w:rsidRPr="00B02BA3" w:rsidRDefault="00AC5C0C" w:rsidP="00922116">
            <w:pPr>
              <w:pStyle w:val="SmCellHead"/>
              <w:jc w:val="center"/>
              <w:rPr>
                <w:sz w:val="16"/>
                <w:szCs w:val="16"/>
              </w:rPr>
            </w:pPr>
            <w:r w:rsidRPr="00B02BA3">
              <w:rPr>
                <w:sz w:val="16"/>
                <w:szCs w:val="16"/>
              </w:rPr>
              <w:t>2023</w:t>
            </w:r>
          </w:p>
        </w:tc>
        <w:tc>
          <w:tcPr>
            <w:tcW w:w="327" w:type="dxa"/>
            <w:vAlign w:val="bottom"/>
          </w:tcPr>
          <w:p w14:paraId="04164143" w14:textId="77777777" w:rsidR="00AC5C0C" w:rsidRPr="00B02BA3" w:rsidRDefault="00AC5C0C" w:rsidP="00922116">
            <w:pPr>
              <w:pStyle w:val="CellRowSpacer"/>
              <w:spacing w:after="120"/>
              <w:jc w:val="center"/>
              <w:rPr>
                <w:sz w:val="16"/>
                <w:szCs w:val="16"/>
              </w:rPr>
            </w:pPr>
          </w:p>
        </w:tc>
      </w:tr>
      <w:tr w:rsidR="00AC5C0C" w:rsidRPr="00B02BA3" w14:paraId="6F9C2E7C" w14:textId="77777777" w:rsidTr="00922116">
        <w:trPr>
          <w:trHeight w:val="294"/>
        </w:trPr>
        <w:tc>
          <w:tcPr>
            <w:tcW w:w="3657" w:type="dxa"/>
            <w:vAlign w:val="bottom"/>
          </w:tcPr>
          <w:p w14:paraId="75D5EB61" w14:textId="77777777" w:rsidR="00AC5C0C" w:rsidRPr="00B02BA3" w:rsidRDefault="00AC5C0C" w:rsidP="00922116">
            <w:pPr>
              <w:pStyle w:val="SmCellBody"/>
              <w:tabs>
                <w:tab w:val="right" w:leader="dot" w:pos="3163"/>
              </w:tabs>
              <w:rPr>
                <w:sz w:val="16"/>
                <w:szCs w:val="16"/>
              </w:rPr>
            </w:pPr>
            <w:r w:rsidRPr="00B02BA3">
              <w:rPr>
                <w:b/>
                <w:bCs/>
                <w:sz w:val="16"/>
                <w:szCs w:val="16"/>
              </w:rPr>
              <w:t>Emissions</w:t>
            </w:r>
          </w:p>
        </w:tc>
        <w:tc>
          <w:tcPr>
            <w:tcW w:w="326" w:type="dxa"/>
            <w:vAlign w:val="bottom"/>
          </w:tcPr>
          <w:p w14:paraId="2AB3D556" w14:textId="77777777" w:rsidR="00AC5C0C" w:rsidRPr="00B02BA3" w:rsidRDefault="00AC5C0C" w:rsidP="00922116">
            <w:pPr>
              <w:pStyle w:val="CellRowSpacer"/>
              <w:rPr>
                <w:sz w:val="16"/>
                <w:szCs w:val="16"/>
              </w:rPr>
            </w:pPr>
          </w:p>
        </w:tc>
        <w:tc>
          <w:tcPr>
            <w:tcW w:w="1312" w:type="dxa"/>
            <w:vAlign w:val="bottom"/>
          </w:tcPr>
          <w:p w14:paraId="500C09B3" w14:textId="77777777" w:rsidR="00AC5C0C" w:rsidRPr="00B02BA3" w:rsidRDefault="00AC5C0C" w:rsidP="00922116">
            <w:pPr>
              <w:pStyle w:val="SmCellBody"/>
              <w:jc w:val="right"/>
              <w:rPr>
                <w:sz w:val="16"/>
                <w:szCs w:val="16"/>
              </w:rPr>
            </w:pPr>
          </w:p>
        </w:tc>
        <w:tc>
          <w:tcPr>
            <w:tcW w:w="327" w:type="dxa"/>
            <w:vAlign w:val="bottom"/>
          </w:tcPr>
          <w:p w14:paraId="78DD0079" w14:textId="77777777" w:rsidR="00AC5C0C" w:rsidRPr="00B02BA3" w:rsidRDefault="00AC5C0C" w:rsidP="00922116">
            <w:pPr>
              <w:pStyle w:val="CellRowSpacer"/>
              <w:rPr>
                <w:sz w:val="16"/>
                <w:szCs w:val="16"/>
              </w:rPr>
            </w:pPr>
          </w:p>
        </w:tc>
        <w:tc>
          <w:tcPr>
            <w:tcW w:w="1312" w:type="dxa"/>
            <w:vAlign w:val="bottom"/>
          </w:tcPr>
          <w:p w14:paraId="51682A1A" w14:textId="77777777" w:rsidR="00AC5C0C" w:rsidRPr="00B02BA3" w:rsidRDefault="00AC5C0C" w:rsidP="00922116">
            <w:pPr>
              <w:pStyle w:val="SmCellBody"/>
              <w:jc w:val="right"/>
              <w:rPr>
                <w:sz w:val="16"/>
                <w:szCs w:val="16"/>
              </w:rPr>
            </w:pPr>
          </w:p>
        </w:tc>
        <w:tc>
          <w:tcPr>
            <w:tcW w:w="327" w:type="dxa"/>
            <w:vAlign w:val="bottom"/>
          </w:tcPr>
          <w:p w14:paraId="242402EF" w14:textId="77777777" w:rsidR="00AC5C0C" w:rsidRPr="00B02BA3" w:rsidRDefault="00AC5C0C" w:rsidP="00922116">
            <w:pPr>
              <w:pStyle w:val="CellRowSpacer"/>
              <w:rPr>
                <w:sz w:val="16"/>
                <w:szCs w:val="16"/>
              </w:rPr>
            </w:pPr>
          </w:p>
        </w:tc>
        <w:tc>
          <w:tcPr>
            <w:tcW w:w="1314" w:type="dxa"/>
            <w:vAlign w:val="bottom"/>
          </w:tcPr>
          <w:p w14:paraId="14915C59" w14:textId="77777777" w:rsidR="00AC5C0C" w:rsidRPr="00B02BA3" w:rsidRDefault="00AC5C0C" w:rsidP="00922116">
            <w:pPr>
              <w:pStyle w:val="SmCellBody"/>
              <w:jc w:val="right"/>
              <w:rPr>
                <w:sz w:val="16"/>
                <w:szCs w:val="16"/>
              </w:rPr>
            </w:pPr>
          </w:p>
        </w:tc>
        <w:tc>
          <w:tcPr>
            <w:tcW w:w="327" w:type="dxa"/>
            <w:vAlign w:val="bottom"/>
          </w:tcPr>
          <w:p w14:paraId="27908DC9" w14:textId="77777777" w:rsidR="00AC5C0C" w:rsidRPr="00B02BA3" w:rsidRDefault="00AC5C0C" w:rsidP="00922116">
            <w:pPr>
              <w:pStyle w:val="CellRowSpacer"/>
              <w:rPr>
                <w:sz w:val="16"/>
                <w:szCs w:val="16"/>
              </w:rPr>
            </w:pPr>
          </w:p>
        </w:tc>
      </w:tr>
      <w:tr w:rsidR="00AC5C0C" w:rsidRPr="00B02BA3" w14:paraId="5C247284" w14:textId="77777777" w:rsidTr="00922116">
        <w:trPr>
          <w:trHeight w:val="325"/>
        </w:trPr>
        <w:tc>
          <w:tcPr>
            <w:tcW w:w="3657" w:type="dxa"/>
            <w:vAlign w:val="bottom"/>
          </w:tcPr>
          <w:p w14:paraId="55B03C6A" w14:textId="77777777" w:rsidR="00AC5C0C" w:rsidRPr="00B02BA3" w:rsidRDefault="00AC5C0C" w:rsidP="00922116">
            <w:pPr>
              <w:pStyle w:val="SmCellBody"/>
              <w:tabs>
                <w:tab w:val="right" w:leader="dot" w:pos="3163"/>
              </w:tabs>
              <w:rPr>
                <w:sz w:val="16"/>
                <w:szCs w:val="16"/>
              </w:rPr>
            </w:pPr>
            <w:r w:rsidRPr="00B02BA3">
              <w:rPr>
                <w:sz w:val="16"/>
                <w:szCs w:val="16"/>
              </w:rPr>
              <w:t>Total GHG emissions (</w:t>
            </w:r>
            <w:r w:rsidRPr="00B02BA3">
              <w:rPr>
                <w:i/>
                <w:iCs/>
                <w:sz w:val="16"/>
                <w:szCs w:val="16"/>
              </w:rPr>
              <w:t>mmtCO2 equivalent</w:t>
            </w:r>
            <w:r w:rsidRPr="00B02BA3">
              <w:rPr>
                <w:sz w:val="16"/>
                <w:szCs w:val="16"/>
              </w:rPr>
              <w:t>)</w:t>
            </w:r>
            <w:r w:rsidRPr="00B02BA3">
              <w:rPr>
                <w:sz w:val="16"/>
                <w:szCs w:val="16"/>
              </w:rPr>
              <w:tab/>
            </w:r>
          </w:p>
        </w:tc>
        <w:tc>
          <w:tcPr>
            <w:tcW w:w="326" w:type="dxa"/>
            <w:vAlign w:val="bottom"/>
          </w:tcPr>
          <w:p w14:paraId="650A819A" w14:textId="77777777" w:rsidR="00AC5C0C" w:rsidRPr="00B02BA3" w:rsidRDefault="00AC5C0C" w:rsidP="00922116">
            <w:pPr>
              <w:pStyle w:val="CellRowSpacer"/>
              <w:rPr>
                <w:sz w:val="16"/>
                <w:szCs w:val="16"/>
              </w:rPr>
            </w:pPr>
          </w:p>
        </w:tc>
        <w:tc>
          <w:tcPr>
            <w:tcW w:w="1312" w:type="dxa"/>
            <w:vAlign w:val="bottom"/>
          </w:tcPr>
          <w:p w14:paraId="5F1ADBA4" w14:textId="77777777" w:rsidR="00AC5C0C" w:rsidRPr="00B02BA3" w:rsidRDefault="00AC5C0C" w:rsidP="00922116">
            <w:pPr>
              <w:pStyle w:val="SmCellBody"/>
              <w:jc w:val="right"/>
              <w:rPr>
                <w:sz w:val="16"/>
                <w:szCs w:val="16"/>
              </w:rPr>
            </w:pPr>
            <w:r w:rsidRPr="00B02BA3">
              <w:rPr>
                <w:sz w:val="16"/>
                <w:szCs w:val="16"/>
              </w:rPr>
              <w:t>1,692</w:t>
            </w:r>
          </w:p>
        </w:tc>
        <w:tc>
          <w:tcPr>
            <w:tcW w:w="327" w:type="dxa"/>
            <w:vAlign w:val="bottom"/>
          </w:tcPr>
          <w:p w14:paraId="24691598" w14:textId="77777777" w:rsidR="00AC5C0C" w:rsidRPr="00B02BA3" w:rsidRDefault="00AC5C0C" w:rsidP="00922116">
            <w:pPr>
              <w:pStyle w:val="CellRowSpacer"/>
              <w:rPr>
                <w:sz w:val="16"/>
                <w:szCs w:val="16"/>
              </w:rPr>
            </w:pPr>
          </w:p>
        </w:tc>
        <w:tc>
          <w:tcPr>
            <w:tcW w:w="1312" w:type="dxa"/>
            <w:vAlign w:val="bottom"/>
          </w:tcPr>
          <w:p w14:paraId="6E6E3B16" w14:textId="77777777" w:rsidR="00AC5C0C" w:rsidRPr="00B02BA3" w:rsidRDefault="00AC5C0C" w:rsidP="00922116">
            <w:pPr>
              <w:pStyle w:val="SmCellBody"/>
              <w:jc w:val="right"/>
              <w:rPr>
                <w:sz w:val="16"/>
                <w:szCs w:val="16"/>
              </w:rPr>
            </w:pPr>
            <w:r w:rsidRPr="00B02BA3">
              <w:rPr>
                <w:sz w:val="16"/>
                <w:szCs w:val="16"/>
              </w:rPr>
              <w:t>1,7</w:t>
            </w:r>
            <w:r>
              <w:rPr>
                <w:sz w:val="16"/>
                <w:szCs w:val="16"/>
              </w:rPr>
              <w:t>60</w:t>
            </w:r>
          </w:p>
        </w:tc>
        <w:tc>
          <w:tcPr>
            <w:tcW w:w="327" w:type="dxa"/>
            <w:vAlign w:val="bottom"/>
          </w:tcPr>
          <w:p w14:paraId="15DDB727" w14:textId="77777777" w:rsidR="00AC5C0C" w:rsidRPr="00B02BA3" w:rsidRDefault="00AC5C0C" w:rsidP="00922116">
            <w:pPr>
              <w:pStyle w:val="CellRowSpacer"/>
              <w:rPr>
                <w:sz w:val="16"/>
                <w:szCs w:val="16"/>
              </w:rPr>
            </w:pPr>
          </w:p>
        </w:tc>
        <w:tc>
          <w:tcPr>
            <w:tcW w:w="1314" w:type="dxa"/>
            <w:vAlign w:val="bottom"/>
          </w:tcPr>
          <w:p w14:paraId="75C805E4" w14:textId="77777777" w:rsidR="00AC5C0C" w:rsidRPr="00B02BA3" w:rsidRDefault="00AC5C0C" w:rsidP="00922116">
            <w:pPr>
              <w:pStyle w:val="SmCellBody"/>
              <w:jc w:val="right"/>
              <w:rPr>
                <w:sz w:val="16"/>
                <w:szCs w:val="16"/>
              </w:rPr>
            </w:pPr>
            <w:r w:rsidRPr="00B02BA3">
              <w:rPr>
                <w:sz w:val="16"/>
                <w:szCs w:val="16"/>
              </w:rPr>
              <w:t>1,</w:t>
            </w:r>
            <w:r>
              <w:rPr>
                <w:sz w:val="16"/>
                <w:szCs w:val="16"/>
              </w:rPr>
              <w:t>735</w:t>
            </w:r>
          </w:p>
        </w:tc>
        <w:tc>
          <w:tcPr>
            <w:tcW w:w="327" w:type="dxa"/>
            <w:vAlign w:val="bottom"/>
          </w:tcPr>
          <w:p w14:paraId="1596FAE9" w14:textId="77777777" w:rsidR="00AC5C0C" w:rsidRPr="00B02BA3" w:rsidRDefault="00AC5C0C" w:rsidP="00922116">
            <w:pPr>
              <w:pStyle w:val="CellRowSpacer"/>
              <w:rPr>
                <w:sz w:val="16"/>
                <w:szCs w:val="16"/>
              </w:rPr>
            </w:pPr>
          </w:p>
        </w:tc>
      </w:tr>
      <w:tr w:rsidR="00AC5C0C" w:rsidRPr="00B02BA3" w14:paraId="712B9EF5" w14:textId="77777777" w:rsidTr="00922116">
        <w:trPr>
          <w:trHeight w:val="309"/>
        </w:trPr>
        <w:tc>
          <w:tcPr>
            <w:tcW w:w="3657" w:type="dxa"/>
            <w:vAlign w:val="bottom"/>
          </w:tcPr>
          <w:p w14:paraId="7D4A22CB" w14:textId="77777777" w:rsidR="00AC5C0C" w:rsidRPr="00B02BA3" w:rsidRDefault="00AC5C0C" w:rsidP="00922116">
            <w:pPr>
              <w:pStyle w:val="SmCellBody"/>
              <w:tabs>
                <w:tab w:val="right" w:leader="dot" w:pos="3163"/>
              </w:tabs>
              <w:rPr>
                <w:sz w:val="16"/>
                <w:szCs w:val="16"/>
              </w:rPr>
            </w:pPr>
            <w:r w:rsidRPr="00B02BA3">
              <w:rPr>
                <w:sz w:val="16"/>
                <w:szCs w:val="16"/>
              </w:rPr>
              <w:t>Nitrogen Oxides emissions (</w:t>
            </w:r>
            <w:proofErr w:type="spellStart"/>
            <w:r w:rsidRPr="00B02BA3">
              <w:rPr>
                <w:i/>
                <w:iCs/>
                <w:sz w:val="16"/>
                <w:szCs w:val="16"/>
              </w:rPr>
              <w:t>mt</w:t>
            </w:r>
            <w:proofErr w:type="spellEnd"/>
            <w:r w:rsidRPr="00B02BA3">
              <w:rPr>
                <w:sz w:val="16"/>
                <w:szCs w:val="16"/>
              </w:rPr>
              <w:t>)</w:t>
            </w:r>
            <w:r w:rsidRPr="00B02BA3">
              <w:rPr>
                <w:sz w:val="16"/>
                <w:szCs w:val="16"/>
              </w:rPr>
              <w:tab/>
            </w:r>
          </w:p>
        </w:tc>
        <w:tc>
          <w:tcPr>
            <w:tcW w:w="326" w:type="dxa"/>
            <w:vAlign w:val="bottom"/>
          </w:tcPr>
          <w:p w14:paraId="2025B4B8" w14:textId="77777777" w:rsidR="00AC5C0C" w:rsidRPr="00B02BA3" w:rsidRDefault="00AC5C0C" w:rsidP="00922116">
            <w:pPr>
              <w:pStyle w:val="CellRowSpacer"/>
              <w:rPr>
                <w:sz w:val="16"/>
                <w:szCs w:val="16"/>
              </w:rPr>
            </w:pPr>
          </w:p>
        </w:tc>
        <w:tc>
          <w:tcPr>
            <w:tcW w:w="1312" w:type="dxa"/>
            <w:vAlign w:val="bottom"/>
          </w:tcPr>
          <w:p w14:paraId="6192AAC4" w14:textId="77777777" w:rsidR="00AC5C0C" w:rsidRPr="003717EC" w:rsidRDefault="00AC5C0C" w:rsidP="00922116">
            <w:pPr>
              <w:pStyle w:val="SmCellBody"/>
              <w:jc w:val="right"/>
              <w:rPr>
                <w:sz w:val="16"/>
                <w:szCs w:val="16"/>
              </w:rPr>
            </w:pPr>
            <w:r w:rsidRPr="003717EC">
              <w:rPr>
                <w:sz w:val="16"/>
                <w:szCs w:val="16"/>
              </w:rPr>
              <w:t>—</w:t>
            </w:r>
          </w:p>
        </w:tc>
        <w:tc>
          <w:tcPr>
            <w:tcW w:w="327" w:type="dxa"/>
            <w:vAlign w:val="bottom"/>
          </w:tcPr>
          <w:p w14:paraId="52AE1CAF" w14:textId="77777777" w:rsidR="00AC5C0C" w:rsidRPr="003717EC" w:rsidRDefault="00AC5C0C" w:rsidP="00922116">
            <w:pPr>
              <w:pStyle w:val="CellRowSpacer"/>
              <w:rPr>
                <w:sz w:val="16"/>
                <w:szCs w:val="16"/>
              </w:rPr>
            </w:pPr>
          </w:p>
        </w:tc>
        <w:tc>
          <w:tcPr>
            <w:tcW w:w="1312" w:type="dxa"/>
            <w:vAlign w:val="bottom"/>
          </w:tcPr>
          <w:p w14:paraId="7C8F4C99" w14:textId="77777777" w:rsidR="00AC5C0C" w:rsidRPr="003717EC" w:rsidRDefault="00AC5C0C" w:rsidP="00922116">
            <w:pPr>
              <w:pStyle w:val="SmCellBody"/>
              <w:jc w:val="right"/>
              <w:rPr>
                <w:sz w:val="16"/>
                <w:szCs w:val="16"/>
              </w:rPr>
            </w:pPr>
            <w:r w:rsidRPr="003717EC">
              <w:rPr>
                <w:sz w:val="16"/>
                <w:szCs w:val="16"/>
              </w:rPr>
              <w:t>720.64</w:t>
            </w:r>
          </w:p>
        </w:tc>
        <w:tc>
          <w:tcPr>
            <w:tcW w:w="327" w:type="dxa"/>
            <w:vAlign w:val="bottom"/>
          </w:tcPr>
          <w:p w14:paraId="207A806C" w14:textId="77777777" w:rsidR="00AC5C0C" w:rsidRPr="003717EC" w:rsidRDefault="00AC5C0C" w:rsidP="00922116">
            <w:pPr>
              <w:pStyle w:val="CellRowSpacer"/>
              <w:rPr>
                <w:sz w:val="16"/>
                <w:szCs w:val="16"/>
              </w:rPr>
            </w:pPr>
          </w:p>
        </w:tc>
        <w:tc>
          <w:tcPr>
            <w:tcW w:w="1314" w:type="dxa"/>
            <w:vAlign w:val="bottom"/>
          </w:tcPr>
          <w:p w14:paraId="169D6603" w14:textId="77777777" w:rsidR="00AC5C0C" w:rsidRPr="003717EC" w:rsidRDefault="00AC5C0C" w:rsidP="00922116">
            <w:pPr>
              <w:pStyle w:val="SmCellBody"/>
              <w:jc w:val="right"/>
              <w:rPr>
                <w:sz w:val="16"/>
                <w:szCs w:val="16"/>
              </w:rPr>
            </w:pPr>
            <w:r w:rsidRPr="003717EC">
              <w:rPr>
                <w:sz w:val="16"/>
                <w:szCs w:val="16"/>
              </w:rPr>
              <w:t>662.14</w:t>
            </w:r>
          </w:p>
        </w:tc>
        <w:tc>
          <w:tcPr>
            <w:tcW w:w="327" w:type="dxa"/>
            <w:vAlign w:val="bottom"/>
          </w:tcPr>
          <w:p w14:paraId="2F5F2C1A" w14:textId="77777777" w:rsidR="00AC5C0C" w:rsidRPr="00B02BA3" w:rsidRDefault="00AC5C0C" w:rsidP="00922116">
            <w:pPr>
              <w:pStyle w:val="CellRowSpacer"/>
              <w:rPr>
                <w:sz w:val="16"/>
                <w:szCs w:val="16"/>
              </w:rPr>
            </w:pPr>
          </w:p>
        </w:tc>
      </w:tr>
      <w:tr w:rsidR="00AC5C0C" w:rsidRPr="00B02BA3" w14:paraId="3908F35B" w14:textId="77777777" w:rsidTr="00922116">
        <w:trPr>
          <w:trHeight w:val="309"/>
        </w:trPr>
        <w:tc>
          <w:tcPr>
            <w:tcW w:w="3657" w:type="dxa"/>
            <w:vAlign w:val="bottom"/>
          </w:tcPr>
          <w:p w14:paraId="317E2214" w14:textId="77777777" w:rsidR="00AC5C0C" w:rsidRPr="00B02BA3" w:rsidRDefault="00AC5C0C" w:rsidP="00922116">
            <w:pPr>
              <w:pStyle w:val="SmCellBody"/>
              <w:tabs>
                <w:tab w:val="right" w:leader="dot" w:pos="3163"/>
              </w:tabs>
              <w:rPr>
                <w:sz w:val="16"/>
                <w:szCs w:val="16"/>
              </w:rPr>
            </w:pPr>
            <w:r w:rsidRPr="00B02BA3">
              <w:rPr>
                <w:sz w:val="16"/>
                <w:szCs w:val="16"/>
              </w:rPr>
              <w:t>Sulphur Oxides emissions (</w:t>
            </w:r>
            <w:proofErr w:type="spellStart"/>
            <w:r w:rsidRPr="00B02BA3">
              <w:rPr>
                <w:i/>
                <w:iCs/>
                <w:sz w:val="16"/>
                <w:szCs w:val="16"/>
              </w:rPr>
              <w:t>mt</w:t>
            </w:r>
            <w:proofErr w:type="spellEnd"/>
            <w:r w:rsidRPr="00B02BA3">
              <w:rPr>
                <w:sz w:val="16"/>
                <w:szCs w:val="16"/>
              </w:rPr>
              <w:t>)</w:t>
            </w:r>
            <w:r w:rsidRPr="00B02BA3">
              <w:rPr>
                <w:sz w:val="16"/>
                <w:szCs w:val="16"/>
              </w:rPr>
              <w:tab/>
            </w:r>
          </w:p>
        </w:tc>
        <w:tc>
          <w:tcPr>
            <w:tcW w:w="326" w:type="dxa"/>
            <w:vAlign w:val="bottom"/>
          </w:tcPr>
          <w:p w14:paraId="4EEE2385" w14:textId="77777777" w:rsidR="00AC5C0C" w:rsidRPr="00B02BA3" w:rsidRDefault="00AC5C0C" w:rsidP="00922116">
            <w:pPr>
              <w:pStyle w:val="CellRowSpacer"/>
              <w:rPr>
                <w:sz w:val="16"/>
                <w:szCs w:val="16"/>
              </w:rPr>
            </w:pPr>
          </w:p>
        </w:tc>
        <w:tc>
          <w:tcPr>
            <w:tcW w:w="1312" w:type="dxa"/>
            <w:vAlign w:val="bottom"/>
          </w:tcPr>
          <w:p w14:paraId="20D57F62" w14:textId="77777777" w:rsidR="00AC5C0C" w:rsidRPr="003717EC" w:rsidRDefault="00AC5C0C" w:rsidP="00922116">
            <w:pPr>
              <w:pStyle w:val="SmCellBody"/>
              <w:jc w:val="right"/>
              <w:rPr>
                <w:sz w:val="16"/>
                <w:szCs w:val="16"/>
              </w:rPr>
            </w:pPr>
            <w:r w:rsidRPr="003717EC">
              <w:rPr>
                <w:sz w:val="16"/>
                <w:szCs w:val="16"/>
              </w:rPr>
              <w:t>—</w:t>
            </w:r>
          </w:p>
        </w:tc>
        <w:tc>
          <w:tcPr>
            <w:tcW w:w="327" w:type="dxa"/>
            <w:vAlign w:val="bottom"/>
          </w:tcPr>
          <w:p w14:paraId="398492D1" w14:textId="77777777" w:rsidR="00AC5C0C" w:rsidRPr="003717EC" w:rsidRDefault="00AC5C0C" w:rsidP="00922116">
            <w:pPr>
              <w:pStyle w:val="CellRowSpacer"/>
              <w:rPr>
                <w:sz w:val="16"/>
                <w:szCs w:val="16"/>
              </w:rPr>
            </w:pPr>
          </w:p>
        </w:tc>
        <w:tc>
          <w:tcPr>
            <w:tcW w:w="1312" w:type="dxa"/>
            <w:vAlign w:val="bottom"/>
          </w:tcPr>
          <w:p w14:paraId="2E0128F4" w14:textId="77777777" w:rsidR="00AC5C0C" w:rsidRPr="003717EC" w:rsidRDefault="00AC5C0C" w:rsidP="00922116">
            <w:pPr>
              <w:pStyle w:val="SmCellBody"/>
              <w:jc w:val="right"/>
              <w:rPr>
                <w:sz w:val="16"/>
                <w:szCs w:val="16"/>
              </w:rPr>
            </w:pPr>
            <w:r w:rsidRPr="003717EC">
              <w:rPr>
                <w:sz w:val="16"/>
                <w:szCs w:val="16"/>
              </w:rPr>
              <w:t>393.43</w:t>
            </w:r>
          </w:p>
        </w:tc>
        <w:tc>
          <w:tcPr>
            <w:tcW w:w="327" w:type="dxa"/>
            <w:vAlign w:val="bottom"/>
          </w:tcPr>
          <w:p w14:paraId="7D8CE7FC" w14:textId="77777777" w:rsidR="00AC5C0C" w:rsidRPr="003717EC" w:rsidRDefault="00AC5C0C" w:rsidP="00922116">
            <w:pPr>
              <w:pStyle w:val="CellRowSpacer"/>
              <w:rPr>
                <w:sz w:val="16"/>
                <w:szCs w:val="16"/>
              </w:rPr>
            </w:pPr>
          </w:p>
        </w:tc>
        <w:tc>
          <w:tcPr>
            <w:tcW w:w="1314" w:type="dxa"/>
            <w:vAlign w:val="bottom"/>
          </w:tcPr>
          <w:p w14:paraId="21ACBC77" w14:textId="77777777" w:rsidR="00AC5C0C" w:rsidRPr="003717EC" w:rsidRDefault="00AC5C0C" w:rsidP="00922116">
            <w:pPr>
              <w:pStyle w:val="SmCellBody"/>
              <w:jc w:val="right"/>
              <w:rPr>
                <w:sz w:val="16"/>
                <w:szCs w:val="16"/>
              </w:rPr>
            </w:pPr>
            <w:r w:rsidRPr="003717EC">
              <w:rPr>
                <w:sz w:val="16"/>
                <w:szCs w:val="16"/>
              </w:rPr>
              <w:t>364.69</w:t>
            </w:r>
          </w:p>
        </w:tc>
        <w:tc>
          <w:tcPr>
            <w:tcW w:w="327" w:type="dxa"/>
            <w:vAlign w:val="bottom"/>
          </w:tcPr>
          <w:p w14:paraId="7AC6D5E7" w14:textId="77777777" w:rsidR="00AC5C0C" w:rsidRPr="00B02BA3" w:rsidRDefault="00AC5C0C" w:rsidP="00922116">
            <w:pPr>
              <w:pStyle w:val="CellRowSpacer"/>
              <w:rPr>
                <w:sz w:val="16"/>
                <w:szCs w:val="16"/>
              </w:rPr>
            </w:pPr>
          </w:p>
        </w:tc>
      </w:tr>
      <w:tr w:rsidR="00AC5C0C" w:rsidRPr="00B02BA3" w14:paraId="467FB3C5" w14:textId="77777777" w:rsidTr="00922116">
        <w:trPr>
          <w:trHeight w:val="309"/>
        </w:trPr>
        <w:tc>
          <w:tcPr>
            <w:tcW w:w="3657" w:type="dxa"/>
            <w:vAlign w:val="bottom"/>
          </w:tcPr>
          <w:p w14:paraId="276CCE64" w14:textId="77777777" w:rsidR="00AC5C0C" w:rsidRPr="00B02BA3" w:rsidRDefault="00AC5C0C" w:rsidP="00922116">
            <w:pPr>
              <w:pStyle w:val="SmCellBody"/>
              <w:tabs>
                <w:tab w:val="right" w:leader="dot" w:pos="3163"/>
              </w:tabs>
              <w:rPr>
                <w:b/>
                <w:bCs/>
                <w:sz w:val="16"/>
                <w:szCs w:val="16"/>
              </w:rPr>
            </w:pPr>
            <w:r w:rsidRPr="00B02BA3">
              <w:rPr>
                <w:b/>
                <w:bCs/>
                <w:sz w:val="16"/>
                <w:szCs w:val="16"/>
              </w:rPr>
              <w:t>Waste generation</w:t>
            </w:r>
          </w:p>
        </w:tc>
        <w:tc>
          <w:tcPr>
            <w:tcW w:w="326" w:type="dxa"/>
            <w:vAlign w:val="bottom"/>
          </w:tcPr>
          <w:p w14:paraId="14368E20" w14:textId="77777777" w:rsidR="00AC5C0C" w:rsidRPr="00B02BA3" w:rsidRDefault="00AC5C0C" w:rsidP="00922116">
            <w:pPr>
              <w:pStyle w:val="CellRowSpacer"/>
              <w:rPr>
                <w:sz w:val="16"/>
                <w:szCs w:val="16"/>
              </w:rPr>
            </w:pPr>
          </w:p>
        </w:tc>
        <w:tc>
          <w:tcPr>
            <w:tcW w:w="1312" w:type="dxa"/>
            <w:vAlign w:val="bottom"/>
          </w:tcPr>
          <w:p w14:paraId="0BF71328" w14:textId="77777777" w:rsidR="00AC5C0C" w:rsidRPr="00B02BA3" w:rsidRDefault="00AC5C0C" w:rsidP="00922116">
            <w:pPr>
              <w:pStyle w:val="SmCellBody"/>
              <w:jc w:val="right"/>
              <w:rPr>
                <w:sz w:val="16"/>
                <w:szCs w:val="16"/>
                <w:highlight w:val="yellow"/>
              </w:rPr>
            </w:pPr>
            <w:r w:rsidRPr="00B02BA3">
              <w:rPr>
                <w:sz w:val="16"/>
                <w:szCs w:val="16"/>
                <w:highlight w:val="yellow"/>
              </w:rPr>
              <w:t xml:space="preserve"> </w:t>
            </w:r>
          </w:p>
        </w:tc>
        <w:tc>
          <w:tcPr>
            <w:tcW w:w="327" w:type="dxa"/>
            <w:vAlign w:val="bottom"/>
          </w:tcPr>
          <w:p w14:paraId="20A69B7B" w14:textId="77777777" w:rsidR="00AC5C0C" w:rsidRPr="00B02BA3" w:rsidRDefault="00AC5C0C" w:rsidP="00922116">
            <w:pPr>
              <w:pStyle w:val="CellRowSpacer"/>
              <w:rPr>
                <w:sz w:val="16"/>
                <w:szCs w:val="16"/>
                <w:highlight w:val="yellow"/>
              </w:rPr>
            </w:pPr>
          </w:p>
        </w:tc>
        <w:tc>
          <w:tcPr>
            <w:tcW w:w="1312" w:type="dxa"/>
            <w:vAlign w:val="bottom"/>
          </w:tcPr>
          <w:p w14:paraId="32A78F22" w14:textId="77777777" w:rsidR="00AC5C0C" w:rsidRPr="00B02BA3" w:rsidRDefault="00AC5C0C" w:rsidP="00922116">
            <w:pPr>
              <w:pStyle w:val="SmCellBody"/>
              <w:jc w:val="right"/>
              <w:rPr>
                <w:sz w:val="16"/>
                <w:szCs w:val="16"/>
                <w:highlight w:val="yellow"/>
              </w:rPr>
            </w:pPr>
            <w:r w:rsidRPr="00B02BA3">
              <w:rPr>
                <w:sz w:val="16"/>
                <w:szCs w:val="16"/>
                <w:highlight w:val="yellow"/>
              </w:rPr>
              <w:t xml:space="preserve"> </w:t>
            </w:r>
          </w:p>
        </w:tc>
        <w:tc>
          <w:tcPr>
            <w:tcW w:w="327" w:type="dxa"/>
            <w:vAlign w:val="bottom"/>
          </w:tcPr>
          <w:p w14:paraId="612ACFD6" w14:textId="77777777" w:rsidR="00AC5C0C" w:rsidRPr="00B02BA3" w:rsidRDefault="00AC5C0C" w:rsidP="00922116">
            <w:pPr>
              <w:pStyle w:val="CellRowSpacer"/>
              <w:rPr>
                <w:sz w:val="16"/>
                <w:szCs w:val="16"/>
                <w:highlight w:val="yellow"/>
              </w:rPr>
            </w:pPr>
          </w:p>
        </w:tc>
        <w:tc>
          <w:tcPr>
            <w:tcW w:w="1314" w:type="dxa"/>
            <w:vAlign w:val="bottom"/>
          </w:tcPr>
          <w:p w14:paraId="42741F55" w14:textId="77777777" w:rsidR="00AC5C0C" w:rsidRPr="00B02BA3" w:rsidRDefault="00AC5C0C" w:rsidP="00922116">
            <w:pPr>
              <w:pStyle w:val="SmCellBody"/>
              <w:jc w:val="right"/>
              <w:rPr>
                <w:sz w:val="16"/>
                <w:szCs w:val="16"/>
                <w:highlight w:val="yellow"/>
              </w:rPr>
            </w:pPr>
          </w:p>
        </w:tc>
        <w:tc>
          <w:tcPr>
            <w:tcW w:w="327" w:type="dxa"/>
            <w:vAlign w:val="bottom"/>
          </w:tcPr>
          <w:p w14:paraId="7BE2CA81" w14:textId="77777777" w:rsidR="00AC5C0C" w:rsidRPr="00B02BA3" w:rsidRDefault="00AC5C0C" w:rsidP="00922116">
            <w:pPr>
              <w:pStyle w:val="CellRowSpacer"/>
              <w:rPr>
                <w:sz w:val="16"/>
                <w:szCs w:val="16"/>
              </w:rPr>
            </w:pPr>
          </w:p>
        </w:tc>
      </w:tr>
      <w:tr w:rsidR="00AC5C0C" w:rsidRPr="00B02BA3" w14:paraId="19A3D3C4" w14:textId="77777777" w:rsidTr="00922116">
        <w:trPr>
          <w:trHeight w:val="309"/>
        </w:trPr>
        <w:tc>
          <w:tcPr>
            <w:tcW w:w="3657" w:type="dxa"/>
            <w:vAlign w:val="bottom"/>
          </w:tcPr>
          <w:p w14:paraId="2C205E9D" w14:textId="77777777" w:rsidR="00AC5C0C" w:rsidRPr="00B02BA3" w:rsidRDefault="00AC5C0C" w:rsidP="00922116">
            <w:pPr>
              <w:pStyle w:val="SmCellBody"/>
              <w:tabs>
                <w:tab w:val="right" w:leader="dot" w:pos="3163"/>
              </w:tabs>
              <w:rPr>
                <w:sz w:val="16"/>
                <w:szCs w:val="16"/>
              </w:rPr>
            </w:pPr>
            <w:r w:rsidRPr="00B02BA3">
              <w:rPr>
                <w:sz w:val="16"/>
                <w:szCs w:val="16"/>
              </w:rPr>
              <w:t>Total waste generation</w:t>
            </w:r>
            <w:r>
              <w:rPr>
                <w:sz w:val="16"/>
                <w:szCs w:val="16"/>
              </w:rPr>
              <w:t xml:space="preserve"> (garbage disposal ashore)</w:t>
            </w:r>
            <w:r w:rsidRPr="00B02BA3">
              <w:rPr>
                <w:sz w:val="16"/>
                <w:szCs w:val="16"/>
              </w:rPr>
              <w:t xml:space="preserve"> (</w:t>
            </w:r>
            <w:r>
              <w:rPr>
                <w:i/>
                <w:iCs/>
                <w:sz w:val="16"/>
                <w:szCs w:val="16"/>
              </w:rPr>
              <w:t>m</w:t>
            </w:r>
            <w:r w:rsidRPr="003717EC">
              <w:rPr>
                <w:i/>
                <w:iCs/>
                <w:sz w:val="16"/>
                <w:szCs w:val="16"/>
                <w:vertAlign w:val="superscript"/>
              </w:rPr>
              <w:t>3</w:t>
            </w:r>
            <w:r w:rsidRPr="00B02BA3">
              <w:rPr>
                <w:sz w:val="16"/>
                <w:szCs w:val="16"/>
              </w:rPr>
              <w:t>)</w:t>
            </w:r>
            <w:r w:rsidRPr="00B02BA3">
              <w:rPr>
                <w:sz w:val="16"/>
                <w:szCs w:val="16"/>
              </w:rPr>
              <w:tab/>
            </w:r>
          </w:p>
        </w:tc>
        <w:tc>
          <w:tcPr>
            <w:tcW w:w="326" w:type="dxa"/>
            <w:vAlign w:val="bottom"/>
          </w:tcPr>
          <w:p w14:paraId="70DA82E6" w14:textId="77777777" w:rsidR="00AC5C0C" w:rsidRPr="00B02BA3" w:rsidRDefault="00AC5C0C" w:rsidP="00922116">
            <w:pPr>
              <w:pStyle w:val="CellRowSpacer"/>
              <w:rPr>
                <w:sz w:val="16"/>
                <w:szCs w:val="16"/>
              </w:rPr>
            </w:pPr>
          </w:p>
        </w:tc>
        <w:tc>
          <w:tcPr>
            <w:tcW w:w="1312" w:type="dxa"/>
            <w:vAlign w:val="bottom"/>
          </w:tcPr>
          <w:p w14:paraId="09DCB7E8" w14:textId="77777777" w:rsidR="00AC5C0C" w:rsidRPr="00B02BA3" w:rsidRDefault="00AC5C0C" w:rsidP="00922116">
            <w:pPr>
              <w:pStyle w:val="SmCellBody"/>
              <w:jc w:val="right"/>
              <w:rPr>
                <w:sz w:val="16"/>
                <w:szCs w:val="16"/>
                <w:highlight w:val="yellow"/>
              </w:rPr>
            </w:pPr>
            <w:r w:rsidRPr="003717EC">
              <w:rPr>
                <w:sz w:val="16"/>
                <w:szCs w:val="16"/>
              </w:rPr>
              <w:t>—</w:t>
            </w:r>
          </w:p>
        </w:tc>
        <w:tc>
          <w:tcPr>
            <w:tcW w:w="327" w:type="dxa"/>
            <w:vAlign w:val="bottom"/>
          </w:tcPr>
          <w:p w14:paraId="7387E69E" w14:textId="77777777" w:rsidR="00AC5C0C" w:rsidRPr="00B02BA3" w:rsidRDefault="00AC5C0C" w:rsidP="00922116">
            <w:pPr>
              <w:pStyle w:val="CellRowSpacer"/>
              <w:rPr>
                <w:sz w:val="16"/>
                <w:szCs w:val="16"/>
                <w:highlight w:val="yellow"/>
              </w:rPr>
            </w:pPr>
          </w:p>
        </w:tc>
        <w:tc>
          <w:tcPr>
            <w:tcW w:w="1312" w:type="dxa"/>
            <w:vAlign w:val="bottom"/>
          </w:tcPr>
          <w:p w14:paraId="3FA72319" w14:textId="77777777" w:rsidR="00AC5C0C" w:rsidRPr="003717EC" w:rsidRDefault="00AC5C0C" w:rsidP="00922116">
            <w:pPr>
              <w:pStyle w:val="SmCellBody"/>
              <w:jc w:val="right"/>
              <w:rPr>
                <w:sz w:val="16"/>
                <w:szCs w:val="16"/>
              </w:rPr>
            </w:pPr>
            <w:r w:rsidRPr="003717EC">
              <w:rPr>
                <w:sz w:val="16"/>
                <w:szCs w:val="16"/>
              </w:rPr>
              <w:t>2,120.06</w:t>
            </w:r>
          </w:p>
        </w:tc>
        <w:tc>
          <w:tcPr>
            <w:tcW w:w="327" w:type="dxa"/>
            <w:vAlign w:val="bottom"/>
          </w:tcPr>
          <w:p w14:paraId="09FA5EE9" w14:textId="77777777" w:rsidR="00AC5C0C" w:rsidRPr="003717EC" w:rsidRDefault="00AC5C0C" w:rsidP="00922116">
            <w:pPr>
              <w:pStyle w:val="CellRowSpacer"/>
              <w:rPr>
                <w:sz w:val="16"/>
                <w:szCs w:val="16"/>
              </w:rPr>
            </w:pPr>
          </w:p>
        </w:tc>
        <w:tc>
          <w:tcPr>
            <w:tcW w:w="1314" w:type="dxa"/>
            <w:vAlign w:val="bottom"/>
          </w:tcPr>
          <w:p w14:paraId="6517C88A" w14:textId="77777777" w:rsidR="00AC5C0C" w:rsidRPr="003717EC" w:rsidRDefault="00AC5C0C" w:rsidP="00922116">
            <w:pPr>
              <w:pStyle w:val="SmCellBody"/>
              <w:jc w:val="right"/>
              <w:rPr>
                <w:sz w:val="16"/>
                <w:szCs w:val="16"/>
              </w:rPr>
            </w:pPr>
            <w:r w:rsidRPr="003717EC">
              <w:rPr>
                <w:sz w:val="16"/>
                <w:szCs w:val="16"/>
              </w:rPr>
              <w:t>1,971.40</w:t>
            </w:r>
          </w:p>
        </w:tc>
        <w:tc>
          <w:tcPr>
            <w:tcW w:w="327" w:type="dxa"/>
            <w:vAlign w:val="bottom"/>
          </w:tcPr>
          <w:p w14:paraId="5C75434D" w14:textId="77777777" w:rsidR="00AC5C0C" w:rsidRPr="00B02BA3" w:rsidRDefault="00AC5C0C" w:rsidP="00922116">
            <w:pPr>
              <w:pStyle w:val="CellRowSpacer"/>
              <w:rPr>
                <w:sz w:val="16"/>
                <w:szCs w:val="16"/>
              </w:rPr>
            </w:pPr>
          </w:p>
        </w:tc>
      </w:tr>
    </w:tbl>
    <w:p w14:paraId="3CFFC42B" w14:textId="77777777" w:rsidR="00AC5C0C" w:rsidRDefault="00AC5C0C" w:rsidP="00AC5C0C">
      <w:pPr>
        <w:bidi/>
        <w:jc w:val="both"/>
        <w:rPr>
          <w:rFonts w:ascii="Traditional Arabic" w:hAnsi="Traditional Arabic" w:cs="Traditional Arabic"/>
          <w:sz w:val="30"/>
          <w:szCs w:val="30"/>
          <w:rtl/>
        </w:rPr>
      </w:pPr>
    </w:p>
    <w:p w14:paraId="3B1587C7"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تعطي الشركة الأولوية للامتثال للوائح البيئية وأفضل الممارسات التي تحددها المتطلبات القانونية والتنظيمية الوطنية، والمنظمة البحرية الدولية، وجمعيات التصنيف، ودول العلم لسفنها.</w:t>
      </w:r>
    </w:p>
    <w:p w14:paraId="4406B52F" w14:textId="77777777" w:rsidR="00AC5C0C" w:rsidRDefault="00AC5C0C" w:rsidP="00334534">
      <w:pPr>
        <w:bidi/>
        <w:jc w:val="both"/>
        <w:rPr>
          <w:rFonts w:ascii="Traditional Arabic" w:hAnsi="Traditional Arabic" w:cs="Traditional Arabic"/>
          <w:i/>
          <w:sz w:val="30"/>
          <w:szCs w:val="30"/>
          <w:rtl/>
        </w:rPr>
      </w:pPr>
    </w:p>
    <w:p w14:paraId="5061A863" w14:textId="77777777" w:rsidR="00334534" w:rsidRPr="00AC5C0C" w:rsidRDefault="00334534" w:rsidP="00AC5C0C">
      <w:pPr>
        <w:bidi/>
        <w:jc w:val="both"/>
        <w:rPr>
          <w:rFonts w:ascii="Traditional Arabic" w:hAnsi="Traditional Arabic" w:cs="Traditional Arabic"/>
          <w:i/>
          <w:sz w:val="30"/>
          <w:szCs w:val="30"/>
        </w:rPr>
      </w:pPr>
      <w:r w:rsidRPr="00AC5C0C">
        <w:rPr>
          <w:rFonts w:ascii="Traditional Arabic" w:hAnsi="Traditional Arabic" w:cs="Traditional Arabic"/>
          <w:i/>
          <w:sz w:val="30"/>
          <w:szCs w:val="30"/>
          <w:rtl/>
        </w:rPr>
        <w:t>جودة الهواء</w:t>
      </w:r>
    </w:p>
    <w:p w14:paraId="4D85AF69"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هناك ثلاث فئات من الغازات الدفيئة: انبعاثات النطاق 1 وانبعاثات النطاق 2 وانبعاثات النطاق 3. وغالبية انبعاثات الغازات الدفيئة المنسوبة للشركة هي انبعاثات النطاق 1، وهي انبعاثات تنشأ من مصادر تسيطر عليها الشركة أو تملكها. وبالنسبة لانبعاثات النطاق 2، فهي انبعاثات غير مباشرة وهي مرتبطة بشراء الكهرباء. لا تبلغ الشركة عن انبعاثات النطاق 3، وهي انبعاثات غير مباشرة (غير مدرجة في النطاق 2) وتنشأ في سلسلة القيمة للشركة، مثل السلع والخدمات المشتراة، والسفر للأعمال، وتنقل الموظفين، والتخلص من النفايات والنقل. </w:t>
      </w:r>
    </w:p>
    <w:p w14:paraId="1CA739FF" w14:textId="77777777" w:rsidR="00AC5C0C" w:rsidRDefault="00AC5C0C" w:rsidP="00334534">
      <w:pPr>
        <w:bidi/>
        <w:jc w:val="both"/>
        <w:rPr>
          <w:rFonts w:ascii="Traditional Arabic" w:hAnsi="Traditional Arabic" w:cs="Traditional Arabic"/>
          <w:sz w:val="30"/>
          <w:szCs w:val="30"/>
          <w:rtl/>
        </w:rPr>
      </w:pPr>
    </w:p>
    <w:p w14:paraId="56689FDC"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يوضح الجدول التالي إجمالي الانبعاثات المطلقة للغازات الدفيئة للشركة للفترات المشار إليها:</w:t>
      </w:r>
    </w:p>
    <w:p w14:paraId="06C9ABEB" w14:textId="77777777" w:rsidR="00AC5C0C" w:rsidRDefault="00AC5C0C" w:rsidP="00334534">
      <w:pPr>
        <w:bidi/>
        <w:jc w:val="both"/>
        <w:rPr>
          <w:rFonts w:ascii="Traditional Arabic" w:hAnsi="Traditional Arabic" w:cs="Traditional Arabic"/>
          <w:sz w:val="30"/>
          <w:szCs w:val="30"/>
          <w:rtl/>
        </w:rPr>
      </w:pPr>
    </w:p>
    <w:tbl>
      <w:tblPr>
        <w:tblW w:w="8933" w:type="dxa"/>
        <w:tblInd w:w="437" w:type="dxa"/>
        <w:tblLayout w:type="fixed"/>
        <w:tblCellMar>
          <w:left w:w="0" w:type="dxa"/>
          <w:right w:w="0" w:type="dxa"/>
        </w:tblCellMar>
        <w:tblLook w:val="0000" w:firstRow="0" w:lastRow="0" w:firstColumn="0" w:lastColumn="0" w:noHBand="0" w:noVBand="0"/>
      </w:tblPr>
      <w:tblGrid>
        <w:gridCol w:w="3691"/>
        <w:gridCol w:w="329"/>
        <w:gridCol w:w="1324"/>
        <w:gridCol w:w="330"/>
        <w:gridCol w:w="1324"/>
        <w:gridCol w:w="330"/>
        <w:gridCol w:w="1307"/>
        <w:gridCol w:w="19"/>
        <w:gridCol w:w="279"/>
      </w:tblGrid>
      <w:tr w:rsidR="00AC5C0C" w:rsidRPr="00B02BA3" w14:paraId="35A51BEC" w14:textId="77777777" w:rsidTr="00922116">
        <w:trPr>
          <w:trHeight w:val="393"/>
          <w:tblHeader/>
        </w:trPr>
        <w:tc>
          <w:tcPr>
            <w:tcW w:w="3691" w:type="dxa"/>
            <w:vAlign w:val="bottom"/>
          </w:tcPr>
          <w:p w14:paraId="01D5068E" w14:textId="77777777" w:rsidR="00AC5C0C" w:rsidRPr="00B02BA3" w:rsidRDefault="00AC5C0C" w:rsidP="00922116">
            <w:pPr>
              <w:pStyle w:val="SmCellHead"/>
              <w:rPr>
                <w:sz w:val="16"/>
                <w:szCs w:val="16"/>
              </w:rPr>
            </w:pPr>
          </w:p>
        </w:tc>
        <w:tc>
          <w:tcPr>
            <w:tcW w:w="329" w:type="dxa"/>
            <w:vAlign w:val="bottom"/>
          </w:tcPr>
          <w:p w14:paraId="64692131" w14:textId="77777777" w:rsidR="00AC5C0C" w:rsidRPr="00B02BA3" w:rsidRDefault="00AC5C0C" w:rsidP="00922116">
            <w:pPr>
              <w:pStyle w:val="CellRowSpacer"/>
              <w:rPr>
                <w:sz w:val="16"/>
                <w:szCs w:val="16"/>
              </w:rPr>
            </w:pPr>
          </w:p>
        </w:tc>
        <w:tc>
          <w:tcPr>
            <w:tcW w:w="4634" w:type="dxa"/>
            <w:gridSpan w:val="6"/>
            <w:tcBorders>
              <w:bottom w:val="single" w:sz="4" w:space="0" w:color="auto"/>
            </w:tcBorders>
            <w:vAlign w:val="bottom"/>
          </w:tcPr>
          <w:p w14:paraId="302B4A11" w14:textId="77777777" w:rsidR="00AC5C0C" w:rsidRPr="00B02BA3" w:rsidRDefault="00AC5C0C" w:rsidP="00922116">
            <w:pPr>
              <w:pStyle w:val="SmCellHead"/>
              <w:jc w:val="center"/>
              <w:rPr>
                <w:sz w:val="16"/>
                <w:szCs w:val="16"/>
              </w:rPr>
            </w:pPr>
            <w:r w:rsidRPr="00B02BA3">
              <w:rPr>
                <w:sz w:val="16"/>
                <w:szCs w:val="16"/>
              </w:rPr>
              <w:t>For the year ended 31 December</w:t>
            </w:r>
          </w:p>
        </w:tc>
        <w:tc>
          <w:tcPr>
            <w:tcW w:w="279" w:type="dxa"/>
            <w:vAlign w:val="bottom"/>
          </w:tcPr>
          <w:p w14:paraId="07C542EC" w14:textId="77777777" w:rsidR="00AC5C0C" w:rsidRPr="00B02BA3" w:rsidRDefault="00AC5C0C" w:rsidP="00922116">
            <w:pPr>
              <w:pStyle w:val="CellRowSpacer"/>
              <w:jc w:val="center"/>
              <w:rPr>
                <w:sz w:val="16"/>
                <w:szCs w:val="16"/>
              </w:rPr>
            </w:pPr>
          </w:p>
        </w:tc>
      </w:tr>
      <w:tr w:rsidR="00AC5C0C" w:rsidRPr="00B02BA3" w14:paraId="11E7AACD" w14:textId="77777777" w:rsidTr="00922116">
        <w:trPr>
          <w:trHeight w:val="409"/>
          <w:tblHeader/>
        </w:trPr>
        <w:tc>
          <w:tcPr>
            <w:tcW w:w="3691" w:type="dxa"/>
            <w:vAlign w:val="bottom"/>
          </w:tcPr>
          <w:p w14:paraId="1A2CEB74" w14:textId="77777777" w:rsidR="00AC5C0C" w:rsidRPr="00B02BA3" w:rsidRDefault="00AC5C0C" w:rsidP="00922116">
            <w:pPr>
              <w:pStyle w:val="SmCellHead"/>
              <w:rPr>
                <w:sz w:val="16"/>
                <w:szCs w:val="16"/>
              </w:rPr>
            </w:pPr>
          </w:p>
        </w:tc>
        <w:tc>
          <w:tcPr>
            <w:tcW w:w="329" w:type="dxa"/>
            <w:vAlign w:val="bottom"/>
          </w:tcPr>
          <w:p w14:paraId="485175E4" w14:textId="77777777" w:rsidR="00AC5C0C" w:rsidRPr="00B02BA3" w:rsidRDefault="00AC5C0C" w:rsidP="00922116">
            <w:pPr>
              <w:pStyle w:val="CellRowSpacer"/>
              <w:rPr>
                <w:sz w:val="16"/>
                <w:szCs w:val="16"/>
              </w:rPr>
            </w:pPr>
          </w:p>
        </w:tc>
        <w:tc>
          <w:tcPr>
            <w:tcW w:w="1324" w:type="dxa"/>
            <w:tcBorders>
              <w:top w:val="single" w:sz="4" w:space="0" w:color="auto"/>
              <w:bottom w:val="single" w:sz="4" w:space="0" w:color="auto"/>
            </w:tcBorders>
            <w:vAlign w:val="bottom"/>
          </w:tcPr>
          <w:p w14:paraId="782480DE" w14:textId="77777777" w:rsidR="00AC5C0C" w:rsidRPr="00B02BA3" w:rsidRDefault="00AC5C0C" w:rsidP="00922116">
            <w:pPr>
              <w:pStyle w:val="SmCellHead"/>
              <w:jc w:val="center"/>
              <w:rPr>
                <w:sz w:val="16"/>
                <w:szCs w:val="16"/>
              </w:rPr>
            </w:pPr>
            <w:r w:rsidRPr="00B02BA3">
              <w:rPr>
                <w:sz w:val="16"/>
                <w:szCs w:val="16"/>
              </w:rPr>
              <w:t>2021</w:t>
            </w:r>
          </w:p>
        </w:tc>
        <w:tc>
          <w:tcPr>
            <w:tcW w:w="330" w:type="dxa"/>
            <w:tcBorders>
              <w:top w:val="single" w:sz="4" w:space="0" w:color="auto"/>
            </w:tcBorders>
            <w:vAlign w:val="bottom"/>
          </w:tcPr>
          <w:p w14:paraId="2B70CB12" w14:textId="77777777" w:rsidR="00AC5C0C" w:rsidRPr="00B02BA3" w:rsidRDefault="00AC5C0C" w:rsidP="00922116">
            <w:pPr>
              <w:pStyle w:val="CellRowSpacer"/>
              <w:jc w:val="center"/>
              <w:rPr>
                <w:sz w:val="16"/>
                <w:szCs w:val="16"/>
              </w:rPr>
            </w:pPr>
          </w:p>
        </w:tc>
        <w:tc>
          <w:tcPr>
            <w:tcW w:w="1324" w:type="dxa"/>
            <w:tcBorders>
              <w:top w:val="single" w:sz="4" w:space="0" w:color="auto"/>
              <w:bottom w:val="single" w:sz="4" w:space="0" w:color="auto"/>
            </w:tcBorders>
            <w:vAlign w:val="bottom"/>
          </w:tcPr>
          <w:p w14:paraId="212B4649" w14:textId="77777777" w:rsidR="00AC5C0C" w:rsidRPr="00B02BA3" w:rsidRDefault="00AC5C0C" w:rsidP="00922116">
            <w:pPr>
              <w:pStyle w:val="SmCellHead"/>
              <w:jc w:val="center"/>
              <w:rPr>
                <w:sz w:val="16"/>
                <w:szCs w:val="16"/>
              </w:rPr>
            </w:pPr>
            <w:r w:rsidRPr="00B02BA3">
              <w:rPr>
                <w:sz w:val="16"/>
                <w:szCs w:val="16"/>
              </w:rPr>
              <w:t>2022</w:t>
            </w:r>
          </w:p>
        </w:tc>
        <w:tc>
          <w:tcPr>
            <w:tcW w:w="330" w:type="dxa"/>
            <w:tcBorders>
              <w:top w:val="single" w:sz="4" w:space="0" w:color="auto"/>
            </w:tcBorders>
            <w:vAlign w:val="bottom"/>
          </w:tcPr>
          <w:p w14:paraId="143422B5" w14:textId="77777777" w:rsidR="00AC5C0C" w:rsidRPr="00B02BA3" w:rsidRDefault="00AC5C0C" w:rsidP="00922116">
            <w:pPr>
              <w:pStyle w:val="CellRowSpacer"/>
              <w:jc w:val="center"/>
              <w:rPr>
                <w:sz w:val="16"/>
                <w:szCs w:val="16"/>
              </w:rPr>
            </w:pPr>
          </w:p>
        </w:tc>
        <w:tc>
          <w:tcPr>
            <w:tcW w:w="1326" w:type="dxa"/>
            <w:gridSpan w:val="2"/>
            <w:tcBorders>
              <w:top w:val="single" w:sz="4" w:space="0" w:color="auto"/>
              <w:bottom w:val="single" w:sz="4" w:space="0" w:color="auto"/>
            </w:tcBorders>
            <w:vAlign w:val="bottom"/>
          </w:tcPr>
          <w:p w14:paraId="2F243878" w14:textId="77777777" w:rsidR="00AC5C0C" w:rsidRPr="00B02BA3" w:rsidRDefault="00AC5C0C" w:rsidP="00922116">
            <w:pPr>
              <w:pStyle w:val="SmCellHead"/>
              <w:jc w:val="center"/>
              <w:rPr>
                <w:sz w:val="16"/>
                <w:szCs w:val="16"/>
              </w:rPr>
            </w:pPr>
            <w:r w:rsidRPr="00B02BA3">
              <w:rPr>
                <w:sz w:val="16"/>
                <w:szCs w:val="16"/>
              </w:rPr>
              <w:t>2023</w:t>
            </w:r>
          </w:p>
        </w:tc>
        <w:tc>
          <w:tcPr>
            <w:tcW w:w="279" w:type="dxa"/>
            <w:vAlign w:val="bottom"/>
          </w:tcPr>
          <w:p w14:paraId="1B972EB6" w14:textId="77777777" w:rsidR="00AC5C0C" w:rsidRPr="00B02BA3" w:rsidRDefault="00AC5C0C" w:rsidP="00922116">
            <w:pPr>
              <w:pStyle w:val="CellRowSpacer"/>
              <w:jc w:val="center"/>
              <w:rPr>
                <w:sz w:val="16"/>
                <w:szCs w:val="16"/>
              </w:rPr>
            </w:pPr>
          </w:p>
        </w:tc>
      </w:tr>
      <w:tr w:rsidR="00AC5C0C" w:rsidRPr="00B02BA3" w14:paraId="5BD2D49A" w14:textId="77777777" w:rsidTr="00922116">
        <w:trPr>
          <w:trHeight w:val="393"/>
          <w:tblHeader/>
        </w:trPr>
        <w:tc>
          <w:tcPr>
            <w:tcW w:w="3691" w:type="dxa"/>
            <w:vAlign w:val="bottom"/>
          </w:tcPr>
          <w:p w14:paraId="7F90342A" w14:textId="77777777" w:rsidR="00AC5C0C" w:rsidRPr="00B02BA3" w:rsidRDefault="00AC5C0C" w:rsidP="00922116">
            <w:pPr>
              <w:pStyle w:val="SmCellHead"/>
              <w:rPr>
                <w:sz w:val="16"/>
                <w:szCs w:val="16"/>
              </w:rPr>
            </w:pPr>
          </w:p>
        </w:tc>
        <w:tc>
          <w:tcPr>
            <w:tcW w:w="329" w:type="dxa"/>
            <w:vAlign w:val="bottom"/>
          </w:tcPr>
          <w:p w14:paraId="5A2E2A37" w14:textId="77777777" w:rsidR="00AC5C0C" w:rsidRPr="00B02BA3" w:rsidRDefault="00AC5C0C" w:rsidP="00922116">
            <w:pPr>
              <w:pStyle w:val="CellRowSpacer"/>
              <w:rPr>
                <w:sz w:val="16"/>
                <w:szCs w:val="16"/>
              </w:rPr>
            </w:pPr>
          </w:p>
        </w:tc>
        <w:tc>
          <w:tcPr>
            <w:tcW w:w="4615" w:type="dxa"/>
            <w:gridSpan w:val="5"/>
            <w:vAlign w:val="bottom"/>
          </w:tcPr>
          <w:p w14:paraId="38165CAB" w14:textId="77777777" w:rsidR="00AC5C0C" w:rsidRPr="00B02BA3" w:rsidRDefault="00AC5C0C" w:rsidP="00922116">
            <w:pPr>
              <w:pStyle w:val="SmCell-Headitalic"/>
              <w:rPr>
                <w:sz w:val="16"/>
                <w:szCs w:val="16"/>
              </w:rPr>
            </w:pPr>
            <w:r w:rsidRPr="00B02BA3">
              <w:rPr>
                <w:sz w:val="16"/>
                <w:szCs w:val="16"/>
              </w:rPr>
              <w:t>(Million tonnes of C02)</w:t>
            </w:r>
          </w:p>
        </w:tc>
        <w:tc>
          <w:tcPr>
            <w:tcW w:w="298" w:type="dxa"/>
            <w:gridSpan w:val="2"/>
            <w:vAlign w:val="bottom"/>
          </w:tcPr>
          <w:p w14:paraId="4CEDDA0C" w14:textId="77777777" w:rsidR="00AC5C0C" w:rsidRPr="00B02BA3" w:rsidRDefault="00AC5C0C" w:rsidP="00922116">
            <w:pPr>
              <w:pStyle w:val="SmCell-Headitalic"/>
              <w:rPr>
                <w:sz w:val="16"/>
                <w:szCs w:val="16"/>
              </w:rPr>
            </w:pPr>
          </w:p>
        </w:tc>
      </w:tr>
      <w:tr w:rsidR="00AC5C0C" w:rsidRPr="00B02BA3" w14:paraId="46AAD6C2" w14:textId="77777777" w:rsidTr="00922116">
        <w:trPr>
          <w:trHeight w:val="314"/>
        </w:trPr>
        <w:tc>
          <w:tcPr>
            <w:tcW w:w="3691" w:type="dxa"/>
            <w:vAlign w:val="bottom"/>
          </w:tcPr>
          <w:p w14:paraId="4232F468" w14:textId="77777777" w:rsidR="00AC5C0C" w:rsidRPr="00B02BA3" w:rsidRDefault="00AC5C0C" w:rsidP="00922116">
            <w:pPr>
              <w:pStyle w:val="SmCellBody"/>
              <w:tabs>
                <w:tab w:val="right" w:leader="dot" w:pos="3163"/>
              </w:tabs>
              <w:rPr>
                <w:sz w:val="16"/>
                <w:szCs w:val="16"/>
              </w:rPr>
            </w:pPr>
            <w:r w:rsidRPr="00B02BA3">
              <w:rPr>
                <w:sz w:val="16"/>
                <w:szCs w:val="16"/>
              </w:rPr>
              <w:t>Scope 1</w:t>
            </w:r>
            <w:r w:rsidRPr="00B02BA3">
              <w:rPr>
                <w:sz w:val="16"/>
                <w:szCs w:val="16"/>
              </w:rPr>
              <w:tab/>
            </w:r>
          </w:p>
        </w:tc>
        <w:tc>
          <w:tcPr>
            <w:tcW w:w="329" w:type="dxa"/>
            <w:vAlign w:val="bottom"/>
          </w:tcPr>
          <w:p w14:paraId="37D7192A" w14:textId="77777777" w:rsidR="00AC5C0C" w:rsidRPr="00B02BA3" w:rsidRDefault="00AC5C0C" w:rsidP="00922116">
            <w:pPr>
              <w:pStyle w:val="CellRowSpacer"/>
              <w:rPr>
                <w:sz w:val="16"/>
                <w:szCs w:val="16"/>
              </w:rPr>
            </w:pPr>
          </w:p>
        </w:tc>
        <w:tc>
          <w:tcPr>
            <w:tcW w:w="1324" w:type="dxa"/>
            <w:vAlign w:val="bottom"/>
          </w:tcPr>
          <w:p w14:paraId="51ED42DD" w14:textId="77777777" w:rsidR="00AC5C0C" w:rsidRPr="00B02BA3" w:rsidRDefault="00AC5C0C" w:rsidP="00922116">
            <w:pPr>
              <w:pStyle w:val="SmCellBody"/>
              <w:jc w:val="right"/>
              <w:rPr>
                <w:sz w:val="16"/>
                <w:szCs w:val="16"/>
              </w:rPr>
            </w:pPr>
            <w:r w:rsidRPr="00B02BA3">
              <w:rPr>
                <w:sz w:val="16"/>
                <w:szCs w:val="16"/>
              </w:rPr>
              <w:t>1,692</w:t>
            </w:r>
          </w:p>
        </w:tc>
        <w:tc>
          <w:tcPr>
            <w:tcW w:w="330" w:type="dxa"/>
            <w:vAlign w:val="bottom"/>
          </w:tcPr>
          <w:p w14:paraId="162AF3A0" w14:textId="77777777" w:rsidR="00AC5C0C" w:rsidRPr="00B02BA3" w:rsidRDefault="00AC5C0C" w:rsidP="00922116">
            <w:pPr>
              <w:pStyle w:val="CellRowSpacer"/>
              <w:rPr>
                <w:sz w:val="16"/>
                <w:szCs w:val="16"/>
              </w:rPr>
            </w:pPr>
          </w:p>
        </w:tc>
        <w:tc>
          <w:tcPr>
            <w:tcW w:w="1324" w:type="dxa"/>
            <w:vAlign w:val="bottom"/>
          </w:tcPr>
          <w:p w14:paraId="08D104B7" w14:textId="77777777" w:rsidR="00AC5C0C" w:rsidRPr="00B02BA3" w:rsidRDefault="00AC5C0C" w:rsidP="00922116">
            <w:pPr>
              <w:pStyle w:val="SmCellBody"/>
              <w:jc w:val="right"/>
              <w:rPr>
                <w:sz w:val="16"/>
                <w:szCs w:val="16"/>
              </w:rPr>
            </w:pPr>
            <w:r w:rsidRPr="00B02BA3">
              <w:rPr>
                <w:sz w:val="16"/>
                <w:szCs w:val="16"/>
              </w:rPr>
              <w:t>1,772</w:t>
            </w:r>
          </w:p>
        </w:tc>
        <w:tc>
          <w:tcPr>
            <w:tcW w:w="330" w:type="dxa"/>
            <w:vAlign w:val="bottom"/>
          </w:tcPr>
          <w:p w14:paraId="55AE8DD0" w14:textId="77777777" w:rsidR="00AC5C0C" w:rsidRPr="00B02BA3" w:rsidRDefault="00AC5C0C" w:rsidP="00922116">
            <w:pPr>
              <w:pStyle w:val="CellRowSpacer"/>
              <w:rPr>
                <w:sz w:val="16"/>
                <w:szCs w:val="16"/>
              </w:rPr>
            </w:pPr>
          </w:p>
        </w:tc>
        <w:tc>
          <w:tcPr>
            <w:tcW w:w="1326" w:type="dxa"/>
            <w:gridSpan w:val="2"/>
            <w:vAlign w:val="bottom"/>
          </w:tcPr>
          <w:p w14:paraId="24833A48" w14:textId="77777777" w:rsidR="00AC5C0C" w:rsidRPr="00B02BA3" w:rsidRDefault="00AC5C0C" w:rsidP="00922116">
            <w:pPr>
              <w:pStyle w:val="SmCellBody"/>
              <w:jc w:val="right"/>
              <w:rPr>
                <w:sz w:val="16"/>
                <w:szCs w:val="16"/>
              </w:rPr>
            </w:pPr>
            <w:r w:rsidRPr="00B02BA3">
              <w:rPr>
                <w:sz w:val="16"/>
                <w:szCs w:val="16"/>
              </w:rPr>
              <w:t>1,661</w:t>
            </w:r>
          </w:p>
        </w:tc>
        <w:tc>
          <w:tcPr>
            <w:tcW w:w="279" w:type="dxa"/>
            <w:vAlign w:val="bottom"/>
          </w:tcPr>
          <w:p w14:paraId="595FAE34" w14:textId="77777777" w:rsidR="00AC5C0C" w:rsidRPr="00B02BA3" w:rsidRDefault="00AC5C0C" w:rsidP="00922116">
            <w:pPr>
              <w:pStyle w:val="CellRowSpacer"/>
              <w:rPr>
                <w:sz w:val="16"/>
                <w:szCs w:val="16"/>
              </w:rPr>
            </w:pPr>
          </w:p>
        </w:tc>
      </w:tr>
      <w:tr w:rsidR="00AC5C0C" w:rsidRPr="00B02BA3" w14:paraId="077A01DD" w14:textId="77777777" w:rsidTr="00922116">
        <w:trPr>
          <w:trHeight w:val="314"/>
        </w:trPr>
        <w:tc>
          <w:tcPr>
            <w:tcW w:w="3691" w:type="dxa"/>
            <w:vAlign w:val="bottom"/>
          </w:tcPr>
          <w:p w14:paraId="22FDB076" w14:textId="77777777" w:rsidR="00AC5C0C" w:rsidRPr="00B02BA3" w:rsidRDefault="00AC5C0C" w:rsidP="00922116">
            <w:pPr>
              <w:pStyle w:val="SmCellBody"/>
              <w:tabs>
                <w:tab w:val="right" w:leader="dot" w:pos="3163"/>
              </w:tabs>
              <w:rPr>
                <w:sz w:val="16"/>
                <w:szCs w:val="16"/>
              </w:rPr>
            </w:pPr>
            <w:r w:rsidRPr="00B02BA3">
              <w:rPr>
                <w:sz w:val="16"/>
                <w:szCs w:val="16"/>
              </w:rPr>
              <w:t>Scope 2</w:t>
            </w:r>
            <w:r w:rsidRPr="00B02BA3">
              <w:rPr>
                <w:sz w:val="16"/>
                <w:szCs w:val="16"/>
              </w:rPr>
              <w:tab/>
            </w:r>
          </w:p>
        </w:tc>
        <w:tc>
          <w:tcPr>
            <w:tcW w:w="329" w:type="dxa"/>
            <w:vAlign w:val="bottom"/>
          </w:tcPr>
          <w:p w14:paraId="79676C7D" w14:textId="77777777" w:rsidR="00AC5C0C" w:rsidRPr="00B02BA3" w:rsidRDefault="00AC5C0C" w:rsidP="00922116">
            <w:pPr>
              <w:pStyle w:val="CellRowSpacer"/>
              <w:rPr>
                <w:sz w:val="16"/>
                <w:szCs w:val="16"/>
              </w:rPr>
            </w:pPr>
          </w:p>
        </w:tc>
        <w:tc>
          <w:tcPr>
            <w:tcW w:w="1324" w:type="dxa"/>
            <w:tcBorders>
              <w:bottom w:val="single" w:sz="4" w:space="0" w:color="auto"/>
            </w:tcBorders>
            <w:vAlign w:val="bottom"/>
          </w:tcPr>
          <w:p w14:paraId="0FB9FE82" w14:textId="77777777" w:rsidR="00AC5C0C" w:rsidRPr="00B02BA3" w:rsidRDefault="00AC5C0C" w:rsidP="00922116">
            <w:pPr>
              <w:pStyle w:val="SmCellBody"/>
              <w:jc w:val="right"/>
              <w:rPr>
                <w:sz w:val="16"/>
                <w:szCs w:val="16"/>
              </w:rPr>
            </w:pPr>
            <w:r w:rsidRPr="00B02BA3">
              <w:rPr>
                <w:sz w:val="16"/>
                <w:szCs w:val="16"/>
              </w:rPr>
              <w:t>0.5</w:t>
            </w:r>
          </w:p>
        </w:tc>
        <w:tc>
          <w:tcPr>
            <w:tcW w:w="330" w:type="dxa"/>
            <w:vAlign w:val="bottom"/>
          </w:tcPr>
          <w:p w14:paraId="6D6587E2" w14:textId="77777777" w:rsidR="00AC5C0C" w:rsidRPr="00B02BA3" w:rsidRDefault="00AC5C0C" w:rsidP="00922116">
            <w:pPr>
              <w:pStyle w:val="CellRowSpacer"/>
              <w:rPr>
                <w:sz w:val="16"/>
                <w:szCs w:val="16"/>
              </w:rPr>
            </w:pPr>
          </w:p>
        </w:tc>
        <w:tc>
          <w:tcPr>
            <w:tcW w:w="1324" w:type="dxa"/>
            <w:tcBorders>
              <w:bottom w:val="single" w:sz="4" w:space="0" w:color="auto"/>
            </w:tcBorders>
            <w:vAlign w:val="bottom"/>
          </w:tcPr>
          <w:p w14:paraId="6B1ACDF4" w14:textId="77777777" w:rsidR="00AC5C0C" w:rsidRPr="00B02BA3" w:rsidRDefault="00AC5C0C" w:rsidP="00922116">
            <w:pPr>
              <w:pStyle w:val="SmCellBody"/>
              <w:jc w:val="right"/>
              <w:rPr>
                <w:sz w:val="16"/>
                <w:szCs w:val="16"/>
              </w:rPr>
            </w:pPr>
            <w:r w:rsidRPr="00B02BA3">
              <w:rPr>
                <w:sz w:val="16"/>
                <w:szCs w:val="16"/>
              </w:rPr>
              <w:t>0.5</w:t>
            </w:r>
          </w:p>
        </w:tc>
        <w:tc>
          <w:tcPr>
            <w:tcW w:w="330" w:type="dxa"/>
            <w:vAlign w:val="bottom"/>
          </w:tcPr>
          <w:p w14:paraId="7E5BF65C" w14:textId="77777777" w:rsidR="00AC5C0C" w:rsidRPr="00B02BA3" w:rsidRDefault="00AC5C0C" w:rsidP="00922116">
            <w:pPr>
              <w:pStyle w:val="CellRowSpacer"/>
              <w:rPr>
                <w:sz w:val="16"/>
                <w:szCs w:val="16"/>
              </w:rPr>
            </w:pPr>
          </w:p>
        </w:tc>
        <w:tc>
          <w:tcPr>
            <w:tcW w:w="1326" w:type="dxa"/>
            <w:gridSpan w:val="2"/>
            <w:tcBorders>
              <w:bottom w:val="single" w:sz="4" w:space="0" w:color="auto"/>
            </w:tcBorders>
            <w:vAlign w:val="bottom"/>
          </w:tcPr>
          <w:p w14:paraId="290716D8" w14:textId="77777777" w:rsidR="00AC5C0C" w:rsidRPr="00B02BA3" w:rsidRDefault="00AC5C0C" w:rsidP="00922116">
            <w:pPr>
              <w:pStyle w:val="SmCellBody"/>
              <w:jc w:val="right"/>
              <w:rPr>
                <w:sz w:val="16"/>
                <w:szCs w:val="16"/>
              </w:rPr>
            </w:pPr>
            <w:r w:rsidRPr="00B02BA3">
              <w:rPr>
                <w:sz w:val="16"/>
                <w:szCs w:val="16"/>
              </w:rPr>
              <w:t>0.6</w:t>
            </w:r>
          </w:p>
        </w:tc>
        <w:tc>
          <w:tcPr>
            <w:tcW w:w="279" w:type="dxa"/>
            <w:vAlign w:val="bottom"/>
          </w:tcPr>
          <w:p w14:paraId="100413D8" w14:textId="77777777" w:rsidR="00AC5C0C" w:rsidRPr="00B02BA3" w:rsidRDefault="00AC5C0C" w:rsidP="00922116">
            <w:pPr>
              <w:pStyle w:val="CellRowSpacer"/>
              <w:rPr>
                <w:sz w:val="16"/>
                <w:szCs w:val="16"/>
              </w:rPr>
            </w:pPr>
          </w:p>
        </w:tc>
      </w:tr>
      <w:tr w:rsidR="00AC5C0C" w:rsidRPr="00B02BA3" w14:paraId="7DF4E251" w14:textId="77777777" w:rsidTr="00922116">
        <w:trPr>
          <w:trHeight w:val="314"/>
        </w:trPr>
        <w:tc>
          <w:tcPr>
            <w:tcW w:w="3691" w:type="dxa"/>
            <w:vAlign w:val="bottom"/>
          </w:tcPr>
          <w:p w14:paraId="6EA63E32" w14:textId="77777777" w:rsidR="00AC5C0C" w:rsidRPr="00B02BA3" w:rsidRDefault="00AC5C0C" w:rsidP="00922116">
            <w:pPr>
              <w:pStyle w:val="SmCellBody"/>
              <w:tabs>
                <w:tab w:val="right" w:leader="dot" w:pos="3163"/>
              </w:tabs>
              <w:rPr>
                <w:sz w:val="16"/>
                <w:szCs w:val="16"/>
              </w:rPr>
            </w:pPr>
            <w:r w:rsidRPr="00B02BA3">
              <w:rPr>
                <w:b/>
                <w:bCs/>
                <w:sz w:val="16"/>
                <w:szCs w:val="16"/>
              </w:rPr>
              <w:t>Total</w:t>
            </w:r>
            <w:r w:rsidRPr="00B02BA3">
              <w:rPr>
                <w:sz w:val="16"/>
                <w:szCs w:val="16"/>
              </w:rPr>
              <w:tab/>
            </w:r>
          </w:p>
        </w:tc>
        <w:tc>
          <w:tcPr>
            <w:tcW w:w="329" w:type="dxa"/>
            <w:vAlign w:val="bottom"/>
          </w:tcPr>
          <w:p w14:paraId="7AACE5DE" w14:textId="77777777" w:rsidR="00AC5C0C" w:rsidRPr="00B02BA3" w:rsidRDefault="00AC5C0C" w:rsidP="00922116">
            <w:pPr>
              <w:pStyle w:val="CellRowSpacer"/>
              <w:rPr>
                <w:sz w:val="16"/>
                <w:szCs w:val="16"/>
              </w:rPr>
            </w:pPr>
          </w:p>
        </w:tc>
        <w:tc>
          <w:tcPr>
            <w:tcW w:w="1324" w:type="dxa"/>
            <w:tcBorders>
              <w:top w:val="single" w:sz="4" w:space="0" w:color="auto"/>
              <w:bottom w:val="double" w:sz="4" w:space="0" w:color="auto"/>
            </w:tcBorders>
            <w:vAlign w:val="bottom"/>
          </w:tcPr>
          <w:p w14:paraId="55FB7074" w14:textId="77777777" w:rsidR="00AC5C0C" w:rsidRPr="00B02BA3" w:rsidRDefault="00AC5C0C" w:rsidP="00922116">
            <w:pPr>
              <w:pStyle w:val="SmCellBody"/>
              <w:jc w:val="right"/>
              <w:rPr>
                <w:sz w:val="16"/>
                <w:szCs w:val="16"/>
              </w:rPr>
            </w:pPr>
            <w:r w:rsidRPr="00B02BA3">
              <w:rPr>
                <w:sz w:val="16"/>
                <w:szCs w:val="16"/>
              </w:rPr>
              <w:t>1,692</w:t>
            </w:r>
          </w:p>
        </w:tc>
        <w:tc>
          <w:tcPr>
            <w:tcW w:w="330" w:type="dxa"/>
            <w:vAlign w:val="bottom"/>
          </w:tcPr>
          <w:p w14:paraId="2A160741" w14:textId="77777777" w:rsidR="00AC5C0C" w:rsidRPr="00B02BA3" w:rsidRDefault="00AC5C0C" w:rsidP="00922116">
            <w:pPr>
              <w:pStyle w:val="CellRowSpacer"/>
              <w:rPr>
                <w:sz w:val="16"/>
                <w:szCs w:val="16"/>
              </w:rPr>
            </w:pPr>
          </w:p>
        </w:tc>
        <w:tc>
          <w:tcPr>
            <w:tcW w:w="1324" w:type="dxa"/>
            <w:tcBorders>
              <w:top w:val="single" w:sz="4" w:space="0" w:color="auto"/>
              <w:bottom w:val="double" w:sz="4" w:space="0" w:color="auto"/>
            </w:tcBorders>
            <w:vAlign w:val="bottom"/>
          </w:tcPr>
          <w:p w14:paraId="2A211EC8" w14:textId="77777777" w:rsidR="00AC5C0C" w:rsidRPr="00B02BA3" w:rsidRDefault="00AC5C0C" w:rsidP="00922116">
            <w:pPr>
              <w:pStyle w:val="SmCellBody"/>
              <w:jc w:val="right"/>
              <w:rPr>
                <w:sz w:val="16"/>
                <w:szCs w:val="16"/>
              </w:rPr>
            </w:pPr>
            <w:r w:rsidRPr="00B02BA3">
              <w:rPr>
                <w:sz w:val="16"/>
                <w:szCs w:val="16"/>
              </w:rPr>
              <w:t>1,772</w:t>
            </w:r>
          </w:p>
        </w:tc>
        <w:tc>
          <w:tcPr>
            <w:tcW w:w="330" w:type="dxa"/>
            <w:vAlign w:val="bottom"/>
          </w:tcPr>
          <w:p w14:paraId="53A6B426" w14:textId="77777777" w:rsidR="00AC5C0C" w:rsidRPr="00B02BA3" w:rsidRDefault="00AC5C0C" w:rsidP="00922116">
            <w:pPr>
              <w:pStyle w:val="CellRowSpacer"/>
              <w:rPr>
                <w:sz w:val="16"/>
                <w:szCs w:val="16"/>
              </w:rPr>
            </w:pPr>
          </w:p>
        </w:tc>
        <w:tc>
          <w:tcPr>
            <w:tcW w:w="1326" w:type="dxa"/>
            <w:gridSpan w:val="2"/>
            <w:tcBorders>
              <w:top w:val="single" w:sz="4" w:space="0" w:color="auto"/>
              <w:bottom w:val="double" w:sz="4" w:space="0" w:color="auto"/>
            </w:tcBorders>
            <w:vAlign w:val="bottom"/>
          </w:tcPr>
          <w:p w14:paraId="3D59F94F" w14:textId="77777777" w:rsidR="00AC5C0C" w:rsidRPr="00B02BA3" w:rsidRDefault="00AC5C0C" w:rsidP="00922116">
            <w:pPr>
              <w:pStyle w:val="SmCellBody"/>
              <w:jc w:val="right"/>
              <w:rPr>
                <w:sz w:val="16"/>
                <w:szCs w:val="16"/>
              </w:rPr>
            </w:pPr>
            <w:r w:rsidRPr="00B02BA3">
              <w:rPr>
                <w:sz w:val="16"/>
                <w:szCs w:val="16"/>
              </w:rPr>
              <w:t>1,662</w:t>
            </w:r>
          </w:p>
        </w:tc>
        <w:tc>
          <w:tcPr>
            <w:tcW w:w="279" w:type="dxa"/>
            <w:vAlign w:val="bottom"/>
          </w:tcPr>
          <w:p w14:paraId="3FBE2DEE" w14:textId="77777777" w:rsidR="00AC5C0C" w:rsidRPr="00B02BA3" w:rsidRDefault="00AC5C0C" w:rsidP="00922116">
            <w:pPr>
              <w:pStyle w:val="CellRowSpacer"/>
              <w:rPr>
                <w:sz w:val="16"/>
                <w:szCs w:val="16"/>
              </w:rPr>
            </w:pPr>
          </w:p>
        </w:tc>
      </w:tr>
    </w:tbl>
    <w:p w14:paraId="369B3BFB" w14:textId="77777777" w:rsidR="00AC5C0C" w:rsidRDefault="00AC5C0C" w:rsidP="00AC5C0C">
      <w:pPr>
        <w:bidi/>
        <w:jc w:val="both"/>
        <w:rPr>
          <w:rFonts w:ascii="Traditional Arabic" w:hAnsi="Traditional Arabic" w:cs="Traditional Arabic"/>
          <w:sz w:val="30"/>
          <w:szCs w:val="30"/>
          <w:rtl/>
        </w:rPr>
      </w:pPr>
    </w:p>
    <w:p w14:paraId="7C58DE14"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من خلال نظام شامل لمراقبة الانبعاثات، تتعقب الشركة بيانات استهلاك الوقود لحساب انبعاثات ثاني أكسيد الكربون بدقة، وتحديد الاتجاهات والأنماط، وتحليل مجالات التحسين واستراتيجيات الحد من الانبعاثات. وتهدف التقنيات الموفرة للطاقة، مثل أنظمة دفع السفن المحسنة، وطلاء السفن الحديثة، وأنظمة إدارة الطاقة، بالإضافة إلى عمليات التفتيش المنتظمة للسفن والتنظيف الروتيني للبدن والمروحة، إلى تحسين كفاءة استهلاك الطاقة للسفن وعملياتها. بالإضافة إلى ذلك، تستكشف الشركة خيارات الوقود البديل، مثل الأمونيا والميثانول والوقود الحيوي والهيدروجين، مع التركيز على مواجهة التحديات المتعلقة بالمناولة الآمنة والتخزين وتطوير البنية التحتية. وفي الوقت الحالي، تستخدم سفن الشركة زيت وقود منخفض الكبريت وزيت وقود ثقيل، وهي مزودة بأجهزة تنقية الغاز للتحكم في الانبعاثات. وقد امتثلت الشركة لنسبة 0.5 في المائة التي حددتها المنظمة البحرية الدولية كحد أقصى عالمي لمحتوى الكبريت في الوقود منذ إدخاله في عام 2020 وقامت حاليًا بتتبع ما نسبته 100 في المائة من ثاني أكسيد الكبريت وأكاسيد النيتروجين وانبعاثات الجسيمات. </w:t>
      </w:r>
    </w:p>
    <w:p w14:paraId="784C938F" w14:textId="77777777" w:rsidR="00AC5C0C" w:rsidRDefault="00AC5C0C" w:rsidP="00334534">
      <w:pPr>
        <w:bidi/>
        <w:jc w:val="both"/>
        <w:rPr>
          <w:rFonts w:ascii="Traditional Arabic" w:hAnsi="Traditional Arabic" w:cs="Traditional Arabic"/>
          <w:sz w:val="30"/>
          <w:szCs w:val="30"/>
          <w:rtl/>
        </w:rPr>
      </w:pPr>
    </w:p>
    <w:p w14:paraId="2CC5BD2D" w14:textId="77777777" w:rsidR="00334534" w:rsidRDefault="00334534" w:rsidP="00AC5C0C">
      <w:pPr>
        <w:bidi/>
        <w:jc w:val="both"/>
        <w:rPr>
          <w:rFonts w:ascii="Traditional Arabic" w:hAnsi="Traditional Arabic" w:cs="Traditional Arabic"/>
          <w:sz w:val="30"/>
          <w:szCs w:val="30"/>
          <w:rtl/>
        </w:rPr>
      </w:pPr>
      <w:r w:rsidRPr="00334534">
        <w:rPr>
          <w:rFonts w:ascii="Traditional Arabic" w:hAnsi="Traditional Arabic" w:cs="Traditional Arabic"/>
          <w:sz w:val="30"/>
          <w:szCs w:val="30"/>
          <w:rtl/>
        </w:rPr>
        <w:t>توضح الرسوم البيانية التالية توزيع مؤشر كثافة الكربون التشغيلي للشركة عبر أسطولها حتى 31 ديسمبر 2022 و 2023:</w:t>
      </w:r>
    </w:p>
    <w:p w14:paraId="38F7344D" w14:textId="77777777" w:rsidR="00AC5C0C" w:rsidRPr="00334534" w:rsidRDefault="00AC5C0C" w:rsidP="00AC5C0C">
      <w:pPr>
        <w:bidi/>
        <w:jc w:val="both"/>
        <w:rPr>
          <w:rFonts w:ascii="Traditional Arabic" w:hAnsi="Traditional Arabic" w:cs="Traditional Arabic"/>
          <w:sz w:val="30"/>
          <w:szCs w:val="30"/>
        </w:rPr>
      </w:pPr>
    </w:p>
    <w:p w14:paraId="7E9E365A"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noProof/>
          <w:sz w:val="30"/>
          <w:szCs w:val="30"/>
        </w:rPr>
        <w:drawing>
          <wp:inline distT="0" distB="0" distL="0" distR="0" wp14:anchorId="09069B6A" wp14:editId="5D84E249">
            <wp:extent cx="5661329" cy="1354341"/>
            <wp:effectExtent l="0" t="0" r="0" b="0"/>
            <wp:docPr id="1792292388" name="Picture 1" descr="A graph of carbon intensity indicato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92388" name="Picture 1" descr="A graph of carbon intensity indicator  Description automatically generated"/>
                    <pic:cNvPicPr/>
                  </pic:nvPicPr>
                  <pic:blipFill>
                    <a:blip r:embed="rId78"/>
                    <a:stretch>
                      <a:fillRect/>
                    </a:stretch>
                  </pic:blipFill>
                  <pic:spPr>
                    <a:xfrm>
                      <a:off x="0" y="0"/>
                      <a:ext cx="5665645" cy="1355373"/>
                    </a:xfrm>
                    <a:prstGeom prst="rect">
                      <a:avLst/>
                    </a:prstGeom>
                  </pic:spPr>
                </pic:pic>
              </a:graphicData>
            </a:graphic>
          </wp:inline>
        </w:drawing>
      </w:r>
    </w:p>
    <w:p w14:paraId="1698065F" w14:textId="77777777" w:rsidR="00334534" w:rsidRPr="00334534" w:rsidRDefault="00334534" w:rsidP="00334534">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إدارة المياه والصرف الصحي</w:t>
      </w:r>
    </w:p>
    <w:p w14:paraId="61391EBC"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تكرس الشركة جهودها للحد من استهلاك المياه، ومنع تلوث المياه، وتعزيز ممارسات المياه المستدامة عبر سلسلة القيمة الخاصة بها. ولمنع التلوث البحري نتيجة لانسكاب النفط والوقود، تلتزم الشركة بمتطلبات الاتفاقية الدولية لمنع التلوث الناجم عن السفن (</w:t>
      </w:r>
      <w:r w:rsidRPr="00334534">
        <w:rPr>
          <w:rFonts w:ascii="Traditional Arabic" w:hAnsi="Traditional Arabic" w:cs="Traditional Arabic"/>
          <w:b/>
          <w:sz w:val="30"/>
          <w:szCs w:val="30"/>
          <w:rtl/>
        </w:rPr>
        <w:t>ماربول</w:t>
      </w:r>
      <w:r w:rsidRPr="00334534">
        <w:rPr>
          <w:rFonts w:ascii="Traditional Arabic" w:hAnsi="Traditional Arabic" w:cs="Traditional Arabic"/>
          <w:sz w:val="30"/>
          <w:szCs w:val="30"/>
          <w:rtl/>
        </w:rPr>
        <w:t>) والمبادئ التوجيهية لخطة الطوارئ الخاصة بالتلوث</w:t>
      </w:r>
      <w:r w:rsidRPr="00334534">
        <w:rPr>
          <w:rFonts w:ascii="Traditional Arabic" w:hAnsi="Traditional Arabic" w:cs="Traditional Arabic"/>
          <w:b/>
          <w:sz w:val="30"/>
          <w:szCs w:val="30"/>
          <w:rtl/>
        </w:rPr>
        <w:t xml:space="preserve"> النفطي</w:t>
      </w:r>
      <w:r w:rsidRPr="00334534">
        <w:rPr>
          <w:rFonts w:ascii="Traditional Arabic" w:hAnsi="Traditional Arabic" w:cs="Traditional Arabic"/>
          <w:sz w:val="30"/>
          <w:szCs w:val="30"/>
          <w:rtl/>
        </w:rPr>
        <w:t xml:space="preserve"> للسفن، وتجري تدريبات واختبارًا شهريًا لجميع المعدات. ولحماية البيئة من أنواع الكائنات الحية الغازية الموجودة في مياه الصابورة الموجودة في السفن، يجب تزويد السفن بنظام معالجة </w:t>
      </w:r>
      <w:r w:rsidRPr="00334534">
        <w:rPr>
          <w:rFonts w:ascii="Traditional Arabic" w:hAnsi="Traditional Arabic" w:cs="Traditional Arabic"/>
          <w:sz w:val="30"/>
          <w:szCs w:val="30"/>
          <w:rtl/>
        </w:rPr>
        <w:lastRenderedPageBreak/>
        <w:t>مياه الصابورة المصمم للقضاء على الأحياء المائية الغازية، مما يسمح بتصريف مياه الصابورة بأمان دون الإضرار بالبيئات أو الموانئ البحرية الساحلية. حتى 31 ديسمبر 2024، تم تعديل جميع سفن الشركة بنظام معالجة مياه الصابورة. كما تقوم الشركة بتتبع كمية مياه القاع، وهي المياه التي يتم جمعها في الجزء السفلي من الجزء الداخلي من سفنها بسبب التسرب من مضخات ومبردات مياه البحر والمياه العذبة، والتي يتم تصريفها في البحر. تتم معالجة مياه القاع بواسطة جهاز فصل المياه الزيتية الذي يزيل المحتوى الزيتي.</w:t>
      </w:r>
    </w:p>
    <w:p w14:paraId="675D0349" w14:textId="77777777" w:rsidR="00AC5C0C" w:rsidRDefault="00AC5C0C" w:rsidP="00334534">
      <w:pPr>
        <w:bidi/>
        <w:jc w:val="both"/>
        <w:rPr>
          <w:rFonts w:ascii="Traditional Arabic" w:hAnsi="Traditional Arabic" w:cs="Traditional Arabic"/>
          <w:i/>
          <w:sz w:val="30"/>
          <w:szCs w:val="30"/>
          <w:rtl/>
        </w:rPr>
      </w:pPr>
    </w:p>
    <w:p w14:paraId="7654046C" w14:textId="77777777" w:rsidR="00334534" w:rsidRPr="00334534" w:rsidRDefault="00334534" w:rsidP="00AC5C0C">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إدارة النفايات والمواد الخطرة</w:t>
      </w:r>
    </w:p>
    <w:p w14:paraId="103A9B93"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امتثالًا للوائح التخلص من النفايات البحرية والمواد الضارة الصادرة عن الاتفاقية الدولية لمنع التلوث الناجم عن السفن، نفذت الشركة تدابير لمنع تصريف الزيت أو النفايات الزيتية في الماء وضمان عدم وجود تسرب سائل أو كيميائي سام في محطة الإرساء أو على سطح السفينة. يؤدي تشغيل المحرك الرئيسي للسفينة وأنواع مختلفة من الآلات المساعدة ومناولة زيت الوقود إلى إنتاج الحمأة على متن السفينة. وتخزن هذه الحمأة في خزانات غرفة المحرك المختلفة ويتم تفريغها إلى الشاطئ أو حرقها على متن السفينة. وتقوم الشركة بتتبع ما نسبته 100 في المائة من نفاياتها الخطرة وغير الخطرة. لم تكن هناك انسكابات كبيرة للمواد الكيميائية أو الزيوت أو الوقود في السنوات المنتهية في 31 ديسمبر 2021 أو 2022 أو 2023 أو الأشهر التسعة المنتهية في 30 سبتمبر 2024. </w:t>
      </w:r>
    </w:p>
    <w:p w14:paraId="336EFF17" w14:textId="77777777" w:rsidR="00AC5C0C" w:rsidRDefault="00AC5C0C" w:rsidP="00334534">
      <w:pPr>
        <w:bidi/>
        <w:jc w:val="both"/>
        <w:rPr>
          <w:rFonts w:ascii="Traditional Arabic" w:hAnsi="Traditional Arabic" w:cs="Traditional Arabic"/>
          <w:i/>
          <w:sz w:val="30"/>
          <w:szCs w:val="30"/>
          <w:rtl/>
        </w:rPr>
      </w:pPr>
    </w:p>
    <w:p w14:paraId="443CE108" w14:textId="77777777" w:rsidR="00334534" w:rsidRPr="00334534" w:rsidRDefault="00334534" w:rsidP="00AC5C0C">
      <w:pPr>
        <w:bidi/>
        <w:jc w:val="both"/>
        <w:rPr>
          <w:rFonts w:ascii="Traditional Arabic" w:hAnsi="Traditional Arabic" w:cs="Traditional Arabic"/>
          <w:i/>
          <w:sz w:val="30"/>
          <w:szCs w:val="30"/>
        </w:rPr>
      </w:pPr>
      <w:r w:rsidRPr="00334534">
        <w:rPr>
          <w:rFonts w:ascii="Traditional Arabic" w:hAnsi="Traditional Arabic" w:cs="Traditional Arabic"/>
          <w:i/>
          <w:sz w:val="30"/>
          <w:szCs w:val="30"/>
          <w:rtl/>
        </w:rPr>
        <w:t>كفاءة الطاقة</w:t>
      </w:r>
    </w:p>
    <w:p w14:paraId="6E91DB47"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يكرس جزء كبير من الاستراتيجية البيئية للشركة للحد من استهلاك الطاقة، والحفاظ على الموارد، وتعزيز ممارسات الشحن المستدامة. ولتحسين كفاءة الطاقة، نفذت الشركة العديد من التقنيات الموفرة للطاقة على بعض السفن، بما في ذلك: </w:t>
      </w:r>
    </w:p>
    <w:p w14:paraId="6C9617CB" w14:textId="77777777" w:rsidR="00AC5C0C" w:rsidRDefault="00AC5C0C" w:rsidP="00334534">
      <w:pPr>
        <w:bidi/>
        <w:jc w:val="both"/>
        <w:rPr>
          <w:rFonts w:ascii="Traditional Arabic" w:hAnsi="Traditional Arabic" w:cs="Traditional Arabic"/>
          <w:i/>
          <w:sz w:val="30"/>
          <w:szCs w:val="30"/>
          <w:rtl/>
        </w:rPr>
      </w:pPr>
    </w:p>
    <w:p w14:paraId="551BC141" w14:textId="77777777" w:rsidR="00334534" w:rsidRPr="00985281" w:rsidRDefault="00334534" w:rsidP="00922116">
      <w:pPr>
        <w:pStyle w:val="ListParagraph"/>
        <w:numPr>
          <w:ilvl w:val="0"/>
          <w:numId w:val="56"/>
        </w:numPr>
        <w:bidi/>
        <w:jc w:val="both"/>
        <w:rPr>
          <w:rFonts w:ascii="Traditional Arabic" w:hAnsi="Traditional Arabic" w:cs="Traditional Arabic"/>
          <w:sz w:val="30"/>
          <w:szCs w:val="30"/>
        </w:rPr>
      </w:pPr>
      <w:r w:rsidRPr="00985281">
        <w:rPr>
          <w:rFonts w:ascii="Traditional Arabic" w:hAnsi="Traditional Arabic" w:cs="Traditional Arabic"/>
          <w:i/>
          <w:sz w:val="30"/>
          <w:szCs w:val="30"/>
          <w:rtl/>
        </w:rPr>
        <w:t>أشرعة الدوارات من أنيموي</w:t>
      </w:r>
      <w:r w:rsidRPr="00985281">
        <w:rPr>
          <w:rFonts w:ascii="Traditional Arabic" w:hAnsi="Traditional Arabic" w:cs="Traditional Arabic"/>
          <w:sz w:val="30"/>
          <w:szCs w:val="30"/>
          <w:rtl/>
        </w:rPr>
        <w:t>: تشير إلى استخدام تكنولوجيا تستفيد من الظاهرة الديناميكية الهوائية المعروفة باسم تأثير ماغنوس، وتستند هذه التقنية إلى تحسين كفاءة السفن من خلال تقليل استهلاك الوقود وتكاليف الوقود البحري والانبعاثات الضارة.</w:t>
      </w:r>
    </w:p>
    <w:p w14:paraId="24D1B3DB" w14:textId="77777777" w:rsidR="00334534" w:rsidRPr="00985281" w:rsidRDefault="00334534" w:rsidP="00922116">
      <w:pPr>
        <w:pStyle w:val="ListParagraph"/>
        <w:numPr>
          <w:ilvl w:val="0"/>
          <w:numId w:val="56"/>
        </w:numPr>
        <w:bidi/>
        <w:jc w:val="both"/>
        <w:rPr>
          <w:rFonts w:ascii="Traditional Arabic" w:hAnsi="Traditional Arabic" w:cs="Traditional Arabic"/>
          <w:sz w:val="30"/>
          <w:szCs w:val="30"/>
        </w:rPr>
      </w:pPr>
      <w:r w:rsidRPr="00985281">
        <w:rPr>
          <w:rFonts w:ascii="Traditional Arabic" w:hAnsi="Traditional Arabic" w:cs="Traditional Arabic"/>
          <w:i/>
          <w:sz w:val="30"/>
          <w:szCs w:val="30"/>
          <w:rtl/>
        </w:rPr>
        <w:t>محول التردد المتغير أوبتيسيف</w:t>
      </w:r>
      <w:r w:rsidRPr="00985281">
        <w:rPr>
          <w:rFonts w:ascii="Traditional Arabic" w:hAnsi="Traditional Arabic" w:cs="Traditional Arabic"/>
          <w:sz w:val="30"/>
          <w:szCs w:val="30"/>
          <w:rtl/>
        </w:rPr>
        <w:t xml:space="preserve">: جهاز يهدف إلى تحسين نظام التحكم في مضخات التبريد ومراوح غرفة المحرك الموجودة على متن السفن، مما يقلل من الطاقة الكهربائية المستهلكة ويوفر الوقود. </w:t>
      </w:r>
    </w:p>
    <w:p w14:paraId="1BED98D9" w14:textId="77777777" w:rsidR="00334534" w:rsidRPr="00985281" w:rsidRDefault="00334534" w:rsidP="00922116">
      <w:pPr>
        <w:pStyle w:val="ListParagraph"/>
        <w:numPr>
          <w:ilvl w:val="0"/>
          <w:numId w:val="56"/>
        </w:numPr>
        <w:bidi/>
        <w:jc w:val="both"/>
        <w:rPr>
          <w:rFonts w:ascii="Traditional Arabic" w:hAnsi="Traditional Arabic" w:cs="Traditional Arabic"/>
          <w:sz w:val="30"/>
          <w:szCs w:val="30"/>
        </w:rPr>
      </w:pPr>
      <w:r w:rsidRPr="00985281">
        <w:rPr>
          <w:rFonts w:ascii="Traditional Arabic" w:hAnsi="Traditional Arabic" w:cs="Traditional Arabic"/>
          <w:i/>
          <w:sz w:val="30"/>
          <w:szCs w:val="30"/>
          <w:rtl/>
        </w:rPr>
        <w:t>قناة بيكرمويس</w:t>
      </w:r>
      <w:r w:rsidRPr="00985281">
        <w:rPr>
          <w:rFonts w:ascii="Traditional Arabic" w:hAnsi="Traditional Arabic" w:cs="Traditional Arabic"/>
          <w:sz w:val="30"/>
          <w:szCs w:val="30"/>
          <w:rtl/>
        </w:rPr>
        <w:t xml:space="preserve">: جهاز مخصص لتوفير الطاقة تم تطويره للسفن البطيئة ذات الشكل الكامل مما يتيح توفيرًا كبيرًا في الطاقة عند سرعة معينة أو تحقيق سرعات أعلى عند نفس مستوى الطاقة المستخدم. </w:t>
      </w:r>
    </w:p>
    <w:p w14:paraId="050D90D5" w14:textId="77777777" w:rsidR="00334534" w:rsidRPr="00985281" w:rsidRDefault="00334534" w:rsidP="00922116">
      <w:pPr>
        <w:pStyle w:val="ListParagraph"/>
        <w:numPr>
          <w:ilvl w:val="0"/>
          <w:numId w:val="56"/>
        </w:numPr>
        <w:bidi/>
        <w:jc w:val="both"/>
        <w:rPr>
          <w:rFonts w:ascii="Traditional Arabic" w:hAnsi="Traditional Arabic" w:cs="Traditional Arabic"/>
          <w:sz w:val="30"/>
          <w:szCs w:val="30"/>
        </w:rPr>
      </w:pPr>
      <w:r w:rsidRPr="00985281">
        <w:rPr>
          <w:rFonts w:ascii="Traditional Arabic" w:hAnsi="Traditional Arabic" w:cs="Traditional Arabic"/>
          <w:i/>
          <w:sz w:val="30"/>
          <w:szCs w:val="30"/>
          <w:rtl/>
        </w:rPr>
        <w:t>نظام التشحيم الهوائي سيلفرستريم</w:t>
      </w:r>
      <w:r w:rsidRPr="00985281">
        <w:rPr>
          <w:rFonts w:ascii="Traditional Arabic" w:hAnsi="Traditional Arabic" w:cs="Traditional Arabic"/>
          <w:sz w:val="30"/>
          <w:szCs w:val="30"/>
          <w:rtl/>
        </w:rPr>
        <w:t xml:space="preserve">: تقنية تُستخدم لتقليل مقاومة الاحتكاك للسفينة من خلال إنشاء طبقة من الفقاعات الدقيقة التي تغطي معظم الجزء السفلي المسطح لهيكل السفينة، حيث يعمل هذا الغطاء من الفقاعات </w:t>
      </w:r>
      <w:r w:rsidRPr="00985281">
        <w:rPr>
          <w:rFonts w:ascii="Traditional Arabic" w:hAnsi="Traditional Arabic" w:cs="Traditional Arabic"/>
          <w:sz w:val="30"/>
          <w:szCs w:val="30"/>
          <w:rtl/>
        </w:rPr>
        <w:lastRenderedPageBreak/>
        <w:t xml:space="preserve">على تقليل الاحتكاك بين هيكل السفينة والماء، مما يؤدي إلى تحسين كفاءة استهلاك الوقود وتقليل الانبعاثات الضارة بنسبة تصل إلى 10 بالمائة.; </w:t>
      </w:r>
    </w:p>
    <w:p w14:paraId="7479E03E" w14:textId="77777777" w:rsidR="00334534" w:rsidRPr="00985281" w:rsidRDefault="00334534" w:rsidP="00922116">
      <w:pPr>
        <w:pStyle w:val="ListParagraph"/>
        <w:numPr>
          <w:ilvl w:val="0"/>
          <w:numId w:val="56"/>
        </w:numPr>
        <w:bidi/>
        <w:jc w:val="both"/>
        <w:rPr>
          <w:rFonts w:ascii="Traditional Arabic" w:hAnsi="Traditional Arabic" w:cs="Traditional Arabic"/>
          <w:sz w:val="30"/>
          <w:szCs w:val="30"/>
        </w:rPr>
      </w:pPr>
      <w:r w:rsidRPr="00985281">
        <w:rPr>
          <w:rFonts w:ascii="Traditional Arabic" w:hAnsi="Traditional Arabic" w:cs="Traditional Arabic"/>
          <w:i/>
          <w:sz w:val="30"/>
          <w:szCs w:val="30"/>
          <w:rtl/>
        </w:rPr>
        <w:t>محدد قوة المحرك</w:t>
      </w:r>
      <w:r w:rsidRPr="00985281">
        <w:rPr>
          <w:rFonts w:ascii="Traditional Arabic" w:hAnsi="Traditional Arabic" w:cs="Traditional Arabic"/>
          <w:sz w:val="30"/>
          <w:szCs w:val="30"/>
          <w:rtl/>
        </w:rPr>
        <w:t>: تقنية تضع حداً شبه دائم يمكن تجاوزه لقوة وسرعة المحرك الرئيسي للسفينة.</w:t>
      </w:r>
    </w:p>
    <w:p w14:paraId="029C9274" w14:textId="77777777" w:rsidR="00334534" w:rsidRPr="00985281" w:rsidRDefault="00334534" w:rsidP="00922116">
      <w:pPr>
        <w:pStyle w:val="ListParagraph"/>
        <w:numPr>
          <w:ilvl w:val="0"/>
          <w:numId w:val="56"/>
        </w:numPr>
        <w:bidi/>
        <w:jc w:val="both"/>
        <w:rPr>
          <w:rFonts w:ascii="Traditional Arabic" w:hAnsi="Traditional Arabic" w:cs="Traditional Arabic"/>
          <w:i/>
          <w:sz w:val="30"/>
          <w:szCs w:val="30"/>
        </w:rPr>
      </w:pPr>
      <w:r w:rsidRPr="00985281">
        <w:rPr>
          <w:rFonts w:ascii="Traditional Arabic" w:hAnsi="Traditional Arabic" w:cs="Traditional Arabic"/>
          <w:i/>
          <w:sz w:val="30"/>
          <w:szCs w:val="30"/>
          <w:rtl/>
        </w:rPr>
        <w:t>طلاء إنتراسليك 1100</w:t>
      </w:r>
      <w:r w:rsidRPr="00985281">
        <w:rPr>
          <w:rFonts w:ascii="Traditional Arabic" w:hAnsi="Traditional Arabic" w:cs="Traditional Arabic"/>
          <w:sz w:val="30"/>
          <w:szCs w:val="30"/>
          <w:rtl/>
        </w:rPr>
        <w:t xml:space="preserve"> إس آر: </w:t>
      </w:r>
      <w:r w:rsidRPr="00985281">
        <w:rPr>
          <w:rFonts w:ascii="Traditional Arabic" w:hAnsi="Traditional Arabic" w:cs="Traditional Arabic"/>
          <w:i/>
          <w:sz w:val="30"/>
          <w:szCs w:val="30"/>
          <w:rtl/>
        </w:rPr>
        <w:t>طلاء</w:t>
      </w:r>
      <w:r w:rsidRPr="00985281">
        <w:rPr>
          <w:rFonts w:ascii="Traditional Arabic" w:hAnsi="Traditional Arabic" w:cs="Traditional Arabic"/>
          <w:sz w:val="30"/>
          <w:szCs w:val="30"/>
          <w:rtl/>
        </w:rPr>
        <w:t xml:space="preserve"> يُستخدم لتوفير سطح أملس ومنخفض الاحتكاك فائق النعومة يحسن استهلاك الوقود بنسبة تصل إلى 9 في المائة وانخفاض كبير في ثاني أكسيد الكربون مقارنة بالطلاءات التقليدية المضادة لتكون الرواسب البحرية على هياكل السفن. </w:t>
      </w:r>
    </w:p>
    <w:p w14:paraId="4BAB1D38" w14:textId="77777777" w:rsidR="00334534" w:rsidRPr="00985281" w:rsidRDefault="00334534" w:rsidP="00922116">
      <w:pPr>
        <w:pStyle w:val="ListParagraph"/>
        <w:numPr>
          <w:ilvl w:val="0"/>
          <w:numId w:val="56"/>
        </w:numPr>
        <w:bidi/>
        <w:jc w:val="both"/>
        <w:rPr>
          <w:rFonts w:ascii="Traditional Arabic" w:hAnsi="Traditional Arabic" w:cs="Traditional Arabic"/>
          <w:sz w:val="30"/>
          <w:szCs w:val="30"/>
        </w:rPr>
      </w:pPr>
      <w:r w:rsidRPr="00985281">
        <w:rPr>
          <w:rFonts w:ascii="Traditional Arabic" w:hAnsi="Traditional Arabic" w:cs="Traditional Arabic"/>
          <w:i/>
          <w:sz w:val="30"/>
          <w:szCs w:val="30"/>
          <w:rtl/>
        </w:rPr>
        <w:t>طلاء نانو إيبوكسي - بتقنية أزرا</w:t>
      </w:r>
      <w:r w:rsidRPr="00985281">
        <w:rPr>
          <w:rFonts w:ascii="Traditional Arabic" w:hAnsi="Traditional Arabic" w:cs="Traditional Arabic"/>
          <w:sz w:val="30"/>
          <w:szCs w:val="30"/>
          <w:rtl/>
        </w:rPr>
        <w:t>: يستخدم لحماية هياكل السفن تحت الماء، ويوفر هذا الطلاء الطاقة والوقود بفضل سطحه الأملس للغاية الذي يقلل من الاحتكاك، إضافة إلى مقاومته العالية للتآكل والصدمات الميكانيكية.</w:t>
      </w:r>
    </w:p>
    <w:p w14:paraId="7E8CC635" w14:textId="77777777" w:rsidR="00AC5C0C" w:rsidRDefault="00AC5C0C" w:rsidP="00334534">
      <w:pPr>
        <w:bidi/>
        <w:jc w:val="both"/>
        <w:rPr>
          <w:rFonts w:ascii="Traditional Arabic" w:hAnsi="Traditional Arabic" w:cs="Traditional Arabic"/>
          <w:b/>
          <w:i/>
          <w:sz w:val="30"/>
          <w:szCs w:val="30"/>
          <w:rtl/>
        </w:rPr>
      </w:pPr>
    </w:p>
    <w:p w14:paraId="799CE06D" w14:textId="77777777" w:rsidR="00334534" w:rsidRPr="00985281" w:rsidRDefault="00334534" w:rsidP="00AC5C0C">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الحوكمة والأخلاقيات</w:t>
      </w:r>
    </w:p>
    <w:p w14:paraId="125ABB7F"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من أولويات الشركة الحفاظ على ممارسات الحوكمة الرشيدة وثقافة السلوك الأخلاقي والامتثال. وتقوم الشركة بتنفذ مجموعة من السياسات التي تحكم السلوك في مكان العمل، وتغطي مجالات مثل الامتثال للقوانين واللوائح، والتعامل مع حالات تضارب المصالح، والتعامل مع الهدايا والترفيه، ومكافحة الفساد والرشوة، والحفاظ على نزاهة الأعمال، والأنشطة السياسية، وحماية المعلومات السرية، ودعم المعلومات التجارية والمالية، وإعطاء الأولوية للصحة والسلامة المهنية، ومراقبة استخدام المواد، وتعزيز الممارسات المثالية في مكان العمل. وتتماشى جميع سياسات الشركة مع ميثاق حوكمة الشركات الخاص بجهاز الاستثمار العُماني وسياساته وإجراءاته. </w:t>
      </w:r>
    </w:p>
    <w:p w14:paraId="3DD7C164" w14:textId="77777777" w:rsidR="00AC5C0C" w:rsidRDefault="00AC5C0C" w:rsidP="00334534">
      <w:pPr>
        <w:bidi/>
        <w:jc w:val="both"/>
        <w:rPr>
          <w:rFonts w:ascii="Traditional Arabic" w:hAnsi="Traditional Arabic" w:cs="Traditional Arabic"/>
          <w:sz w:val="30"/>
          <w:szCs w:val="30"/>
          <w:rtl/>
        </w:rPr>
      </w:pPr>
    </w:p>
    <w:p w14:paraId="1922F365"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ولضمان الامتثال للتشريعات الصادرة في شأن العقوبات ومكافحة غسل الأموال، تقوم الشركة باتخاذ كافة إجراءات العناية الواجبة، وإجراءات اعرف عميلك المطبقة على شركائها وعملائها ومورديها. ويشمل ذلك مراقبة السفن بشكل مستمر، والفحص الدقيق مقابل قوائم العقوبات لجميع السفن المملوكة والمستأجرة والأطراف الأخرى المرتبطة بالشركة. </w:t>
      </w:r>
    </w:p>
    <w:p w14:paraId="6CE029E7" w14:textId="77777777" w:rsidR="00AC5C0C" w:rsidRDefault="00AC5C0C" w:rsidP="00334534">
      <w:pPr>
        <w:bidi/>
        <w:jc w:val="both"/>
        <w:rPr>
          <w:rFonts w:ascii="Traditional Arabic" w:hAnsi="Traditional Arabic" w:cs="Traditional Arabic"/>
          <w:sz w:val="30"/>
          <w:szCs w:val="30"/>
          <w:rtl/>
        </w:rPr>
      </w:pPr>
    </w:p>
    <w:p w14:paraId="6EB4764E"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وتتولى لجنة مخصصة للامتثال والحوكمة والمخاطر والامتثال مسؤولية ضمان تنفيذ مدونة قواعد سلوك العمل الخاصة بالشركة والامتثال لها. هذا، وتنطبق المدونة على جميع أعضاء مجلس الإدارة والمسؤولين والموظفين في الشركة، بما في ذلك أولئك الموجودين داخل الشركات التابعة لها. </w:t>
      </w:r>
    </w:p>
    <w:p w14:paraId="1C2B840D" w14:textId="77777777" w:rsidR="00AC5C0C" w:rsidRDefault="00AC5C0C" w:rsidP="00334534">
      <w:pPr>
        <w:bidi/>
        <w:jc w:val="both"/>
        <w:rPr>
          <w:rFonts w:ascii="Traditional Arabic" w:hAnsi="Traditional Arabic" w:cs="Traditional Arabic"/>
          <w:sz w:val="30"/>
          <w:szCs w:val="30"/>
          <w:rtl/>
        </w:rPr>
      </w:pPr>
    </w:p>
    <w:p w14:paraId="4C75A7FC"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ولا ننسى أن الشركة عضو في شبكة مكافحة الفساد البحري، وحصلت على شهادة (تريس) لممارسات مكافحة الرشوة والامتثال والحوكمة الرشيدة.</w:t>
      </w:r>
    </w:p>
    <w:p w14:paraId="58BA5067" w14:textId="77777777" w:rsidR="00AC5C0C" w:rsidRDefault="00AC5C0C" w:rsidP="00334534">
      <w:pPr>
        <w:bidi/>
        <w:jc w:val="both"/>
        <w:rPr>
          <w:rFonts w:ascii="Traditional Arabic" w:hAnsi="Traditional Arabic" w:cs="Traditional Arabic"/>
          <w:b/>
          <w:i/>
          <w:sz w:val="30"/>
          <w:szCs w:val="30"/>
          <w:rtl/>
        </w:rPr>
      </w:pPr>
    </w:p>
    <w:p w14:paraId="7EAB61CC" w14:textId="77777777" w:rsidR="00334534" w:rsidRPr="00985281" w:rsidRDefault="00334534" w:rsidP="00AC5C0C">
      <w:pPr>
        <w:bidi/>
        <w:jc w:val="both"/>
        <w:rPr>
          <w:rFonts w:ascii="Traditional Arabic" w:hAnsi="Traditional Arabic" w:cs="Traditional Arabic"/>
          <w:bCs/>
          <w:i/>
          <w:sz w:val="30"/>
          <w:szCs w:val="30"/>
        </w:rPr>
      </w:pPr>
      <w:r w:rsidRPr="00985281">
        <w:rPr>
          <w:rFonts w:ascii="Traditional Arabic" w:hAnsi="Traditional Arabic" w:cs="Traditional Arabic"/>
          <w:bCs/>
          <w:i/>
          <w:sz w:val="30"/>
          <w:szCs w:val="30"/>
          <w:rtl/>
        </w:rPr>
        <w:t xml:space="preserve">المسؤولية الاجتماعية للشركة </w:t>
      </w:r>
    </w:p>
    <w:p w14:paraId="0FD3BBE9"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تلتزم الشركة بإيجاد قيمة مشتركة في المجتمعات التي تعمل فيها من خلال إيجاد وتوفير مكان عمل أخلاقي وشامل. وتدمج الشركة النمو المستدام والأثر الاجتماعي في ممارساتها التجارية من خلال المساهمة في النمو الاقتصادي في مجالات عملها بشكل مباشر وغير مباشر من خلال خلق فرص العمل والتدريب والاستعانة بالمصادر المحلية ومبادرات التنمية المجتمعية، وكثير منها مدعوم من قبل مجموعة أسياد. </w:t>
      </w:r>
    </w:p>
    <w:p w14:paraId="48DC833B" w14:textId="77777777" w:rsidR="00AC5C0C" w:rsidRDefault="00AC5C0C" w:rsidP="00334534">
      <w:pPr>
        <w:bidi/>
        <w:jc w:val="both"/>
        <w:rPr>
          <w:rFonts w:ascii="Traditional Arabic" w:hAnsi="Traditional Arabic" w:cs="Traditional Arabic"/>
          <w:sz w:val="30"/>
          <w:szCs w:val="30"/>
          <w:rtl/>
        </w:rPr>
      </w:pPr>
    </w:p>
    <w:p w14:paraId="4EA34101"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وتشمل أمثلة مبادرات التنمية المجتمعية للشركة ما يلي:</w:t>
      </w:r>
    </w:p>
    <w:p w14:paraId="6801A3A5" w14:textId="77777777" w:rsidR="00AC5C0C" w:rsidRDefault="00AC5C0C" w:rsidP="00334534">
      <w:pPr>
        <w:bidi/>
        <w:jc w:val="both"/>
        <w:rPr>
          <w:rFonts w:ascii="Traditional Arabic" w:hAnsi="Traditional Arabic" w:cs="Traditional Arabic"/>
          <w:sz w:val="30"/>
          <w:szCs w:val="30"/>
          <w:rtl/>
        </w:rPr>
      </w:pPr>
    </w:p>
    <w:p w14:paraId="21EFDA71" w14:textId="77777777" w:rsidR="00AC5C0C" w:rsidRPr="00985281" w:rsidRDefault="00334534" w:rsidP="00922116">
      <w:pPr>
        <w:pStyle w:val="ListParagraph"/>
        <w:numPr>
          <w:ilvl w:val="0"/>
          <w:numId w:val="56"/>
        </w:numPr>
        <w:bidi/>
        <w:jc w:val="both"/>
        <w:rPr>
          <w:rFonts w:ascii="Traditional Arabic" w:hAnsi="Traditional Arabic" w:cs="Traditional Arabic"/>
          <w:sz w:val="30"/>
          <w:szCs w:val="30"/>
          <w:rtl/>
        </w:rPr>
      </w:pPr>
      <w:r w:rsidRPr="00985281">
        <w:rPr>
          <w:rFonts w:ascii="Traditional Arabic" w:hAnsi="Traditional Arabic" w:cs="Traditional Arabic"/>
          <w:sz w:val="30"/>
          <w:szCs w:val="30"/>
          <w:rtl/>
        </w:rPr>
        <w:t>مبادرات التعافي المتعددة الموجهة نحو المجتمعات المتضررة من العاصفة المدارية تشالاني في عام 2021.</w:t>
      </w:r>
    </w:p>
    <w:p w14:paraId="099BF14D" w14:textId="77777777" w:rsidR="00334534" w:rsidRPr="00985281" w:rsidRDefault="00334534" w:rsidP="00922116">
      <w:pPr>
        <w:pStyle w:val="ListParagraph"/>
        <w:numPr>
          <w:ilvl w:val="0"/>
          <w:numId w:val="56"/>
        </w:numPr>
        <w:bidi/>
        <w:jc w:val="both"/>
        <w:rPr>
          <w:rFonts w:ascii="Traditional Arabic" w:hAnsi="Traditional Arabic" w:cs="Traditional Arabic"/>
          <w:sz w:val="30"/>
          <w:szCs w:val="30"/>
        </w:rPr>
      </w:pPr>
      <w:r w:rsidRPr="00985281">
        <w:rPr>
          <w:rFonts w:ascii="Traditional Arabic" w:hAnsi="Traditional Arabic" w:cs="Traditional Arabic"/>
          <w:sz w:val="30"/>
          <w:szCs w:val="30"/>
          <w:rtl/>
        </w:rPr>
        <w:t>دورة ملاح للقيادة: دورة في القيادة مدتها ثلاثة أشهر تزود المرشحين بالمهارات القيادية الأساسية. وعند الانتهاء، ينخرط المشاركون في مشروع جماعي لإثبات معرفتهم ثم يتخرجون من البرنامج.</w:t>
      </w:r>
    </w:p>
    <w:p w14:paraId="3E84DF0E" w14:textId="77777777" w:rsidR="00334534" w:rsidRPr="00985281" w:rsidRDefault="00334534" w:rsidP="00922116">
      <w:pPr>
        <w:pStyle w:val="ListParagraph"/>
        <w:numPr>
          <w:ilvl w:val="0"/>
          <w:numId w:val="56"/>
        </w:numPr>
        <w:bidi/>
        <w:jc w:val="both"/>
        <w:rPr>
          <w:rFonts w:ascii="Traditional Arabic" w:hAnsi="Traditional Arabic" w:cs="Traditional Arabic"/>
          <w:sz w:val="30"/>
          <w:szCs w:val="30"/>
        </w:rPr>
      </w:pPr>
      <w:r w:rsidRPr="00985281">
        <w:rPr>
          <w:rFonts w:ascii="Traditional Arabic" w:hAnsi="Traditional Arabic" w:cs="Traditional Arabic"/>
          <w:sz w:val="30"/>
          <w:szCs w:val="30"/>
          <w:rtl/>
        </w:rPr>
        <w:t>برنامج اعتماد للقيادة: برنامج تموله الحكومة بالكامل، ويمتد على مدى عشرة أشهر ويتضمن مهامًا ومشاريع مكثفة مصممة لتعزيز الصفات القيادية القوية لدى المشاركين.</w:t>
      </w:r>
    </w:p>
    <w:p w14:paraId="0A6DEBE3" w14:textId="77777777" w:rsidR="00AC5C0C" w:rsidRDefault="00AC5C0C" w:rsidP="00334534">
      <w:pPr>
        <w:bidi/>
        <w:jc w:val="both"/>
        <w:rPr>
          <w:rFonts w:ascii="Traditional Arabic" w:hAnsi="Traditional Arabic" w:cs="Traditional Arabic"/>
          <w:b/>
          <w:sz w:val="30"/>
          <w:szCs w:val="30"/>
          <w:rtl/>
        </w:rPr>
      </w:pPr>
    </w:p>
    <w:p w14:paraId="35FF281A"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الموظفون</w:t>
      </w:r>
    </w:p>
    <w:p w14:paraId="18B22F9C"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حتى 31 أكتوبر 2024، وظفت الشركة 2039 موظفًا، منهم 231 موظفًا في المكاتب، و 174 بحارًا، و 1634 بحارًا من وكالات توظيف أخرى. وحتى 31 ديسمبر 2023، حققت الشركة معدل تعمين بنسبة 90 في المائة بين الموظفين في المكتب.</w:t>
      </w:r>
    </w:p>
    <w:p w14:paraId="06D93610" w14:textId="77777777" w:rsidR="00AC5C0C" w:rsidRDefault="00AC5C0C" w:rsidP="00334534">
      <w:pPr>
        <w:bidi/>
        <w:jc w:val="both"/>
        <w:rPr>
          <w:rFonts w:ascii="Traditional Arabic" w:hAnsi="Traditional Arabic" w:cs="Traditional Arabic"/>
          <w:sz w:val="30"/>
          <w:szCs w:val="30"/>
          <w:rtl/>
        </w:rPr>
      </w:pPr>
    </w:p>
    <w:p w14:paraId="55FBB4BD"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يوضح الجدول التالي عدد الموظفين في التواريخ المشار إليها، موزعين حسب الوظيفة:</w:t>
      </w:r>
    </w:p>
    <w:p w14:paraId="3451A7F4" w14:textId="77777777" w:rsidR="00AC5C0C" w:rsidRDefault="00AC5C0C" w:rsidP="00334534">
      <w:pPr>
        <w:bidi/>
        <w:jc w:val="both"/>
        <w:rPr>
          <w:rFonts w:ascii="Traditional Arabic" w:hAnsi="Traditional Arabic" w:cs="Traditional Arabic"/>
          <w:sz w:val="30"/>
          <w:szCs w:val="30"/>
          <w:rtl/>
        </w:rPr>
      </w:pPr>
    </w:p>
    <w:tbl>
      <w:tblPr>
        <w:tblW w:w="8911" w:type="dxa"/>
        <w:tblInd w:w="437" w:type="dxa"/>
        <w:tblLayout w:type="fixed"/>
        <w:tblCellMar>
          <w:left w:w="0" w:type="dxa"/>
          <w:right w:w="0" w:type="dxa"/>
        </w:tblCellMar>
        <w:tblLook w:val="0020" w:firstRow="1" w:lastRow="0" w:firstColumn="0" w:lastColumn="0" w:noHBand="0" w:noVBand="0"/>
      </w:tblPr>
      <w:tblGrid>
        <w:gridCol w:w="3662"/>
        <w:gridCol w:w="327"/>
        <w:gridCol w:w="1313"/>
        <w:gridCol w:w="327"/>
        <w:gridCol w:w="1313"/>
        <w:gridCol w:w="327"/>
        <w:gridCol w:w="1315"/>
        <w:gridCol w:w="327"/>
      </w:tblGrid>
      <w:tr w:rsidR="00AC5C0C" w:rsidRPr="00B02BA3" w14:paraId="6F048938" w14:textId="77777777" w:rsidTr="00922116">
        <w:trPr>
          <w:trHeight w:val="438"/>
          <w:tblHeader/>
        </w:trPr>
        <w:tc>
          <w:tcPr>
            <w:tcW w:w="3662" w:type="dxa"/>
            <w:vAlign w:val="bottom"/>
          </w:tcPr>
          <w:p w14:paraId="3BA507B2" w14:textId="77777777" w:rsidR="00AC5C0C" w:rsidRPr="00B02BA3" w:rsidRDefault="00AC5C0C" w:rsidP="00922116">
            <w:pPr>
              <w:pStyle w:val="SmCellHead"/>
              <w:rPr>
                <w:sz w:val="16"/>
                <w:szCs w:val="16"/>
              </w:rPr>
            </w:pPr>
          </w:p>
        </w:tc>
        <w:tc>
          <w:tcPr>
            <w:tcW w:w="327" w:type="dxa"/>
            <w:vAlign w:val="bottom"/>
          </w:tcPr>
          <w:p w14:paraId="4524F927" w14:textId="77777777" w:rsidR="00AC5C0C" w:rsidRPr="00B02BA3" w:rsidRDefault="00AC5C0C" w:rsidP="00922116">
            <w:pPr>
              <w:pStyle w:val="CellRowSpacer"/>
              <w:spacing w:after="120"/>
              <w:rPr>
                <w:sz w:val="16"/>
                <w:szCs w:val="16"/>
              </w:rPr>
            </w:pPr>
          </w:p>
        </w:tc>
        <w:tc>
          <w:tcPr>
            <w:tcW w:w="4595" w:type="dxa"/>
            <w:gridSpan w:val="5"/>
            <w:tcBorders>
              <w:bottom w:val="single" w:sz="4" w:space="0" w:color="auto"/>
            </w:tcBorders>
            <w:vAlign w:val="bottom"/>
          </w:tcPr>
          <w:p w14:paraId="36771D91" w14:textId="77777777" w:rsidR="00AC5C0C" w:rsidRPr="00B02BA3" w:rsidRDefault="00AC5C0C" w:rsidP="00922116">
            <w:pPr>
              <w:pStyle w:val="SmCellHead"/>
              <w:jc w:val="center"/>
              <w:rPr>
                <w:sz w:val="16"/>
                <w:szCs w:val="16"/>
              </w:rPr>
            </w:pPr>
            <w:r w:rsidRPr="00B02BA3">
              <w:rPr>
                <w:sz w:val="16"/>
                <w:szCs w:val="16"/>
              </w:rPr>
              <w:t>As at 31 December</w:t>
            </w:r>
          </w:p>
        </w:tc>
        <w:tc>
          <w:tcPr>
            <w:tcW w:w="327" w:type="dxa"/>
            <w:vAlign w:val="bottom"/>
          </w:tcPr>
          <w:p w14:paraId="12B619B2" w14:textId="77777777" w:rsidR="00AC5C0C" w:rsidRPr="00B02BA3" w:rsidRDefault="00AC5C0C" w:rsidP="00922116">
            <w:pPr>
              <w:pStyle w:val="CellRowSpacer"/>
              <w:spacing w:after="120"/>
              <w:rPr>
                <w:sz w:val="16"/>
                <w:szCs w:val="16"/>
              </w:rPr>
            </w:pPr>
          </w:p>
        </w:tc>
      </w:tr>
      <w:tr w:rsidR="00AC5C0C" w:rsidRPr="00B02BA3" w14:paraId="7EE4BA66" w14:textId="77777777" w:rsidTr="00922116">
        <w:trPr>
          <w:trHeight w:val="356"/>
        </w:trPr>
        <w:tc>
          <w:tcPr>
            <w:tcW w:w="3662" w:type="dxa"/>
            <w:vAlign w:val="bottom"/>
          </w:tcPr>
          <w:p w14:paraId="1C111518" w14:textId="77777777" w:rsidR="00AC5C0C" w:rsidRPr="00B02BA3" w:rsidRDefault="00AC5C0C" w:rsidP="00922116">
            <w:pPr>
              <w:pStyle w:val="SmCellBody"/>
              <w:tabs>
                <w:tab w:val="right" w:leader="dot" w:pos="3163"/>
              </w:tabs>
              <w:rPr>
                <w:sz w:val="16"/>
                <w:szCs w:val="16"/>
              </w:rPr>
            </w:pPr>
          </w:p>
        </w:tc>
        <w:tc>
          <w:tcPr>
            <w:tcW w:w="327" w:type="dxa"/>
            <w:vAlign w:val="bottom"/>
          </w:tcPr>
          <w:p w14:paraId="5662F4FC" w14:textId="77777777" w:rsidR="00AC5C0C" w:rsidRPr="00B02BA3" w:rsidRDefault="00AC5C0C" w:rsidP="00922116">
            <w:pPr>
              <w:pStyle w:val="CellRowSpacer"/>
              <w:rPr>
                <w:sz w:val="16"/>
                <w:szCs w:val="16"/>
              </w:rPr>
            </w:pPr>
          </w:p>
        </w:tc>
        <w:tc>
          <w:tcPr>
            <w:tcW w:w="1313" w:type="dxa"/>
            <w:tcBorders>
              <w:top w:val="single" w:sz="4" w:space="0" w:color="auto"/>
              <w:bottom w:val="single" w:sz="4" w:space="0" w:color="auto"/>
            </w:tcBorders>
            <w:vAlign w:val="bottom"/>
          </w:tcPr>
          <w:p w14:paraId="2D5D5B63" w14:textId="77777777" w:rsidR="00AC5C0C" w:rsidRPr="00B02BA3" w:rsidRDefault="00AC5C0C" w:rsidP="00922116">
            <w:pPr>
              <w:pStyle w:val="SmCellBody"/>
              <w:jc w:val="right"/>
              <w:rPr>
                <w:b/>
                <w:bCs/>
                <w:sz w:val="16"/>
                <w:szCs w:val="16"/>
              </w:rPr>
            </w:pPr>
            <w:r w:rsidRPr="00B02BA3">
              <w:rPr>
                <w:b/>
                <w:bCs/>
                <w:sz w:val="16"/>
                <w:szCs w:val="16"/>
              </w:rPr>
              <w:t>2021</w:t>
            </w:r>
          </w:p>
        </w:tc>
        <w:tc>
          <w:tcPr>
            <w:tcW w:w="327" w:type="dxa"/>
            <w:vAlign w:val="bottom"/>
          </w:tcPr>
          <w:p w14:paraId="7187B7C2" w14:textId="77777777" w:rsidR="00AC5C0C" w:rsidRPr="00B02BA3" w:rsidRDefault="00AC5C0C" w:rsidP="00922116">
            <w:pPr>
              <w:pStyle w:val="CellRowSpacer"/>
              <w:rPr>
                <w:b/>
                <w:bCs/>
                <w:sz w:val="16"/>
                <w:szCs w:val="16"/>
              </w:rPr>
            </w:pPr>
          </w:p>
        </w:tc>
        <w:tc>
          <w:tcPr>
            <w:tcW w:w="1313" w:type="dxa"/>
            <w:tcBorders>
              <w:top w:val="single" w:sz="4" w:space="0" w:color="auto"/>
              <w:bottom w:val="single" w:sz="4" w:space="0" w:color="auto"/>
            </w:tcBorders>
            <w:vAlign w:val="bottom"/>
          </w:tcPr>
          <w:p w14:paraId="7EA182A9" w14:textId="77777777" w:rsidR="00AC5C0C" w:rsidRPr="00B02BA3" w:rsidRDefault="00AC5C0C" w:rsidP="00922116">
            <w:pPr>
              <w:pStyle w:val="SmCellBody"/>
              <w:jc w:val="right"/>
              <w:rPr>
                <w:b/>
                <w:bCs/>
                <w:sz w:val="16"/>
                <w:szCs w:val="16"/>
              </w:rPr>
            </w:pPr>
            <w:r w:rsidRPr="00B02BA3">
              <w:rPr>
                <w:b/>
                <w:bCs/>
                <w:sz w:val="16"/>
                <w:szCs w:val="16"/>
              </w:rPr>
              <w:t>2022</w:t>
            </w:r>
          </w:p>
        </w:tc>
        <w:tc>
          <w:tcPr>
            <w:tcW w:w="327" w:type="dxa"/>
            <w:vAlign w:val="bottom"/>
          </w:tcPr>
          <w:p w14:paraId="151E90E6" w14:textId="77777777" w:rsidR="00AC5C0C" w:rsidRPr="00B02BA3" w:rsidRDefault="00AC5C0C" w:rsidP="00922116">
            <w:pPr>
              <w:pStyle w:val="CellRowSpacer"/>
              <w:rPr>
                <w:b/>
                <w:bCs/>
                <w:sz w:val="16"/>
                <w:szCs w:val="16"/>
              </w:rPr>
            </w:pPr>
          </w:p>
        </w:tc>
        <w:tc>
          <w:tcPr>
            <w:tcW w:w="1315" w:type="dxa"/>
            <w:tcBorders>
              <w:top w:val="single" w:sz="4" w:space="0" w:color="auto"/>
              <w:bottom w:val="single" w:sz="4" w:space="0" w:color="auto"/>
            </w:tcBorders>
            <w:vAlign w:val="bottom"/>
          </w:tcPr>
          <w:p w14:paraId="50A972A3" w14:textId="77777777" w:rsidR="00AC5C0C" w:rsidRPr="00B02BA3" w:rsidRDefault="00AC5C0C" w:rsidP="00922116">
            <w:pPr>
              <w:pStyle w:val="SmCellBody"/>
              <w:jc w:val="right"/>
              <w:rPr>
                <w:b/>
                <w:bCs/>
                <w:sz w:val="16"/>
                <w:szCs w:val="16"/>
              </w:rPr>
            </w:pPr>
            <w:r w:rsidRPr="00B02BA3">
              <w:rPr>
                <w:b/>
                <w:bCs/>
                <w:sz w:val="16"/>
                <w:szCs w:val="16"/>
              </w:rPr>
              <w:t>2023</w:t>
            </w:r>
          </w:p>
        </w:tc>
        <w:tc>
          <w:tcPr>
            <w:tcW w:w="327" w:type="dxa"/>
            <w:vAlign w:val="bottom"/>
          </w:tcPr>
          <w:p w14:paraId="0F9FC211" w14:textId="77777777" w:rsidR="00AC5C0C" w:rsidRPr="00B02BA3" w:rsidRDefault="00AC5C0C" w:rsidP="00922116">
            <w:pPr>
              <w:pStyle w:val="CellRowSpacer"/>
              <w:rPr>
                <w:b/>
                <w:bCs/>
                <w:sz w:val="16"/>
                <w:szCs w:val="16"/>
              </w:rPr>
            </w:pPr>
          </w:p>
        </w:tc>
      </w:tr>
      <w:tr w:rsidR="00AC5C0C" w:rsidRPr="00B02BA3" w14:paraId="45ABF758" w14:textId="77777777" w:rsidTr="00922116">
        <w:trPr>
          <w:trHeight w:val="389"/>
        </w:trPr>
        <w:tc>
          <w:tcPr>
            <w:tcW w:w="3662" w:type="dxa"/>
            <w:vAlign w:val="bottom"/>
          </w:tcPr>
          <w:p w14:paraId="27CFCC0C" w14:textId="77777777" w:rsidR="00AC5C0C" w:rsidRPr="00B02BA3" w:rsidRDefault="00AC5C0C" w:rsidP="00922116">
            <w:pPr>
              <w:pStyle w:val="CellBody"/>
              <w:tabs>
                <w:tab w:val="right" w:leader="dot" w:pos="4581"/>
              </w:tabs>
              <w:rPr>
                <w:sz w:val="16"/>
                <w:szCs w:val="16"/>
              </w:rPr>
            </w:pPr>
            <w:r w:rsidRPr="00B02BA3">
              <w:rPr>
                <w:sz w:val="16"/>
                <w:szCs w:val="16"/>
              </w:rPr>
              <w:t>Office based employees</w:t>
            </w:r>
            <w:r w:rsidRPr="00B02BA3">
              <w:rPr>
                <w:sz w:val="16"/>
                <w:szCs w:val="16"/>
              </w:rPr>
              <w:tab/>
            </w:r>
          </w:p>
        </w:tc>
        <w:tc>
          <w:tcPr>
            <w:tcW w:w="327" w:type="dxa"/>
            <w:vAlign w:val="bottom"/>
          </w:tcPr>
          <w:p w14:paraId="69D3BEE6" w14:textId="77777777" w:rsidR="00AC5C0C" w:rsidRPr="00B02BA3" w:rsidRDefault="00AC5C0C" w:rsidP="00922116">
            <w:pPr>
              <w:pStyle w:val="CellRowSpacer"/>
              <w:rPr>
                <w:sz w:val="16"/>
                <w:szCs w:val="16"/>
              </w:rPr>
            </w:pPr>
          </w:p>
        </w:tc>
        <w:tc>
          <w:tcPr>
            <w:tcW w:w="1313" w:type="dxa"/>
            <w:tcBorders>
              <w:top w:val="single" w:sz="4" w:space="0" w:color="auto"/>
            </w:tcBorders>
            <w:vAlign w:val="bottom"/>
          </w:tcPr>
          <w:p w14:paraId="7B4F75E3" w14:textId="77777777" w:rsidR="00AC5C0C" w:rsidRPr="00B02BA3" w:rsidRDefault="00AC5C0C" w:rsidP="00922116">
            <w:pPr>
              <w:pStyle w:val="SmCellBody"/>
              <w:jc w:val="right"/>
              <w:rPr>
                <w:sz w:val="16"/>
                <w:szCs w:val="16"/>
              </w:rPr>
            </w:pPr>
            <w:r w:rsidRPr="00B02BA3">
              <w:rPr>
                <w:sz w:val="16"/>
                <w:szCs w:val="16"/>
              </w:rPr>
              <w:t>230</w:t>
            </w:r>
          </w:p>
        </w:tc>
        <w:tc>
          <w:tcPr>
            <w:tcW w:w="327" w:type="dxa"/>
            <w:vAlign w:val="bottom"/>
          </w:tcPr>
          <w:p w14:paraId="326A7ABB" w14:textId="77777777" w:rsidR="00AC5C0C" w:rsidRPr="00B02BA3" w:rsidRDefault="00AC5C0C" w:rsidP="00922116">
            <w:pPr>
              <w:pStyle w:val="CellRowSpacer"/>
              <w:rPr>
                <w:sz w:val="16"/>
                <w:szCs w:val="16"/>
              </w:rPr>
            </w:pPr>
          </w:p>
        </w:tc>
        <w:tc>
          <w:tcPr>
            <w:tcW w:w="1313" w:type="dxa"/>
            <w:tcBorders>
              <w:top w:val="single" w:sz="4" w:space="0" w:color="auto"/>
            </w:tcBorders>
            <w:vAlign w:val="bottom"/>
          </w:tcPr>
          <w:p w14:paraId="39F315C0" w14:textId="77777777" w:rsidR="00AC5C0C" w:rsidRPr="00B02BA3" w:rsidRDefault="00AC5C0C" w:rsidP="00922116">
            <w:pPr>
              <w:pStyle w:val="SmCellBody"/>
              <w:jc w:val="right"/>
              <w:rPr>
                <w:sz w:val="16"/>
                <w:szCs w:val="16"/>
              </w:rPr>
            </w:pPr>
            <w:r w:rsidRPr="00B02BA3">
              <w:rPr>
                <w:sz w:val="16"/>
                <w:szCs w:val="16"/>
              </w:rPr>
              <w:t>404</w:t>
            </w:r>
          </w:p>
        </w:tc>
        <w:tc>
          <w:tcPr>
            <w:tcW w:w="327" w:type="dxa"/>
            <w:vAlign w:val="bottom"/>
          </w:tcPr>
          <w:p w14:paraId="3D963AF8" w14:textId="77777777" w:rsidR="00AC5C0C" w:rsidRPr="00B02BA3" w:rsidRDefault="00AC5C0C" w:rsidP="00922116">
            <w:pPr>
              <w:pStyle w:val="CellRowSpacer"/>
              <w:jc w:val="right"/>
              <w:rPr>
                <w:sz w:val="16"/>
                <w:szCs w:val="16"/>
              </w:rPr>
            </w:pPr>
          </w:p>
        </w:tc>
        <w:tc>
          <w:tcPr>
            <w:tcW w:w="1315" w:type="dxa"/>
            <w:tcBorders>
              <w:top w:val="single" w:sz="4" w:space="0" w:color="auto"/>
            </w:tcBorders>
            <w:vAlign w:val="bottom"/>
          </w:tcPr>
          <w:p w14:paraId="47611C3A" w14:textId="77777777" w:rsidR="00AC5C0C" w:rsidRPr="00B02BA3" w:rsidRDefault="00AC5C0C" w:rsidP="00922116">
            <w:pPr>
              <w:pStyle w:val="SmCellBody"/>
              <w:jc w:val="right"/>
              <w:rPr>
                <w:sz w:val="16"/>
                <w:szCs w:val="16"/>
              </w:rPr>
            </w:pPr>
            <w:r w:rsidRPr="00B02BA3">
              <w:rPr>
                <w:sz w:val="16"/>
                <w:szCs w:val="16"/>
              </w:rPr>
              <w:t>416</w:t>
            </w:r>
          </w:p>
        </w:tc>
        <w:tc>
          <w:tcPr>
            <w:tcW w:w="327" w:type="dxa"/>
            <w:vAlign w:val="bottom"/>
          </w:tcPr>
          <w:p w14:paraId="7384B8A1" w14:textId="77777777" w:rsidR="00AC5C0C" w:rsidRPr="00B02BA3" w:rsidRDefault="00AC5C0C" w:rsidP="00922116">
            <w:pPr>
              <w:pStyle w:val="CellRowSpacer"/>
              <w:rPr>
                <w:sz w:val="16"/>
                <w:szCs w:val="16"/>
              </w:rPr>
            </w:pPr>
          </w:p>
        </w:tc>
      </w:tr>
      <w:tr w:rsidR="00AC5C0C" w:rsidRPr="00B02BA3" w14:paraId="7F036057" w14:textId="77777777" w:rsidTr="00922116">
        <w:trPr>
          <w:trHeight w:val="389"/>
        </w:trPr>
        <w:tc>
          <w:tcPr>
            <w:tcW w:w="3662" w:type="dxa"/>
            <w:vAlign w:val="bottom"/>
          </w:tcPr>
          <w:p w14:paraId="713CB25F" w14:textId="77777777" w:rsidR="00AC5C0C" w:rsidRPr="00B02BA3" w:rsidDel="00CF649B" w:rsidRDefault="00AC5C0C" w:rsidP="00922116">
            <w:pPr>
              <w:pStyle w:val="CellBody"/>
              <w:tabs>
                <w:tab w:val="right" w:leader="dot" w:pos="4581"/>
              </w:tabs>
              <w:rPr>
                <w:sz w:val="16"/>
                <w:szCs w:val="16"/>
              </w:rPr>
            </w:pPr>
            <w:r w:rsidRPr="00B02BA3">
              <w:rPr>
                <w:sz w:val="16"/>
                <w:szCs w:val="16"/>
              </w:rPr>
              <w:t>Seafarers</w:t>
            </w:r>
            <w:r w:rsidRPr="00B02BA3">
              <w:rPr>
                <w:sz w:val="16"/>
                <w:szCs w:val="16"/>
              </w:rPr>
              <w:tab/>
            </w:r>
          </w:p>
        </w:tc>
        <w:tc>
          <w:tcPr>
            <w:tcW w:w="327" w:type="dxa"/>
            <w:vAlign w:val="bottom"/>
          </w:tcPr>
          <w:p w14:paraId="4093EAAF" w14:textId="77777777" w:rsidR="00AC5C0C" w:rsidRPr="00B02BA3" w:rsidRDefault="00AC5C0C" w:rsidP="00922116">
            <w:pPr>
              <w:pStyle w:val="CellRowSpacer"/>
              <w:rPr>
                <w:sz w:val="16"/>
                <w:szCs w:val="16"/>
              </w:rPr>
            </w:pPr>
          </w:p>
        </w:tc>
        <w:tc>
          <w:tcPr>
            <w:tcW w:w="1313" w:type="dxa"/>
            <w:vAlign w:val="bottom"/>
          </w:tcPr>
          <w:p w14:paraId="059F254D" w14:textId="77777777" w:rsidR="00AC5C0C" w:rsidRPr="00B02BA3" w:rsidRDefault="00AC5C0C" w:rsidP="00922116">
            <w:pPr>
              <w:pStyle w:val="SmCellBody"/>
              <w:jc w:val="right"/>
              <w:rPr>
                <w:sz w:val="16"/>
                <w:szCs w:val="16"/>
              </w:rPr>
            </w:pPr>
            <w:r w:rsidRPr="00B02BA3">
              <w:rPr>
                <w:sz w:val="16"/>
                <w:szCs w:val="16"/>
              </w:rPr>
              <w:t>170</w:t>
            </w:r>
          </w:p>
        </w:tc>
        <w:tc>
          <w:tcPr>
            <w:tcW w:w="327" w:type="dxa"/>
            <w:vAlign w:val="bottom"/>
          </w:tcPr>
          <w:p w14:paraId="4566B9C3" w14:textId="77777777" w:rsidR="00AC5C0C" w:rsidRPr="00B02BA3" w:rsidRDefault="00AC5C0C" w:rsidP="00922116">
            <w:pPr>
              <w:pStyle w:val="CellRowSpacer"/>
              <w:rPr>
                <w:sz w:val="16"/>
                <w:szCs w:val="16"/>
              </w:rPr>
            </w:pPr>
          </w:p>
        </w:tc>
        <w:tc>
          <w:tcPr>
            <w:tcW w:w="1313" w:type="dxa"/>
            <w:vAlign w:val="bottom"/>
          </w:tcPr>
          <w:p w14:paraId="10F14FED" w14:textId="77777777" w:rsidR="00AC5C0C" w:rsidRPr="00B02BA3" w:rsidRDefault="00AC5C0C" w:rsidP="00922116">
            <w:pPr>
              <w:pStyle w:val="SmCellBody"/>
              <w:jc w:val="right"/>
              <w:rPr>
                <w:sz w:val="16"/>
                <w:szCs w:val="16"/>
              </w:rPr>
            </w:pPr>
            <w:r w:rsidRPr="00B02BA3">
              <w:rPr>
                <w:sz w:val="16"/>
                <w:szCs w:val="16"/>
              </w:rPr>
              <w:t>174</w:t>
            </w:r>
          </w:p>
        </w:tc>
        <w:tc>
          <w:tcPr>
            <w:tcW w:w="327" w:type="dxa"/>
            <w:vAlign w:val="bottom"/>
          </w:tcPr>
          <w:p w14:paraId="1493E1A9" w14:textId="77777777" w:rsidR="00AC5C0C" w:rsidRPr="00B02BA3" w:rsidRDefault="00AC5C0C" w:rsidP="00922116">
            <w:pPr>
              <w:pStyle w:val="CellRowSpacer"/>
              <w:jc w:val="right"/>
              <w:rPr>
                <w:sz w:val="16"/>
                <w:szCs w:val="16"/>
              </w:rPr>
            </w:pPr>
          </w:p>
        </w:tc>
        <w:tc>
          <w:tcPr>
            <w:tcW w:w="1315" w:type="dxa"/>
            <w:vAlign w:val="bottom"/>
          </w:tcPr>
          <w:p w14:paraId="0844CA78" w14:textId="77777777" w:rsidR="00AC5C0C" w:rsidRPr="00B02BA3" w:rsidRDefault="00AC5C0C" w:rsidP="00922116">
            <w:pPr>
              <w:pStyle w:val="SmCellBody"/>
              <w:jc w:val="right"/>
              <w:rPr>
                <w:sz w:val="16"/>
                <w:szCs w:val="16"/>
              </w:rPr>
            </w:pPr>
            <w:r w:rsidRPr="00B02BA3">
              <w:rPr>
                <w:sz w:val="16"/>
                <w:szCs w:val="16"/>
              </w:rPr>
              <w:t>191</w:t>
            </w:r>
          </w:p>
        </w:tc>
        <w:tc>
          <w:tcPr>
            <w:tcW w:w="327" w:type="dxa"/>
            <w:vAlign w:val="bottom"/>
          </w:tcPr>
          <w:p w14:paraId="5218084D" w14:textId="77777777" w:rsidR="00AC5C0C" w:rsidRPr="00B02BA3" w:rsidRDefault="00AC5C0C" w:rsidP="00922116">
            <w:pPr>
              <w:pStyle w:val="CellRowSpacer"/>
              <w:rPr>
                <w:sz w:val="16"/>
                <w:szCs w:val="16"/>
              </w:rPr>
            </w:pPr>
          </w:p>
        </w:tc>
      </w:tr>
      <w:tr w:rsidR="00AC5C0C" w:rsidRPr="00B02BA3" w14:paraId="76EEB37F" w14:textId="77777777" w:rsidTr="00922116">
        <w:trPr>
          <w:trHeight w:val="389"/>
        </w:trPr>
        <w:tc>
          <w:tcPr>
            <w:tcW w:w="3662" w:type="dxa"/>
            <w:vAlign w:val="bottom"/>
          </w:tcPr>
          <w:p w14:paraId="3F93D8CD" w14:textId="77777777" w:rsidR="00AC5C0C" w:rsidRPr="00B02BA3" w:rsidRDefault="00AC5C0C" w:rsidP="00922116">
            <w:pPr>
              <w:pStyle w:val="CellBody"/>
              <w:tabs>
                <w:tab w:val="right" w:leader="dot" w:pos="4581"/>
              </w:tabs>
              <w:rPr>
                <w:sz w:val="16"/>
                <w:szCs w:val="16"/>
              </w:rPr>
            </w:pPr>
            <w:r w:rsidRPr="00B02BA3">
              <w:rPr>
                <w:sz w:val="16"/>
                <w:szCs w:val="16"/>
              </w:rPr>
              <w:t>Seafarers from other manning agencies</w:t>
            </w:r>
            <w:r w:rsidRPr="00B02BA3">
              <w:rPr>
                <w:sz w:val="16"/>
                <w:szCs w:val="16"/>
              </w:rPr>
              <w:tab/>
            </w:r>
          </w:p>
        </w:tc>
        <w:tc>
          <w:tcPr>
            <w:tcW w:w="327" w:type="dxa"/>
            <w:vAlign w:val="bottom"/>
          </w:tcPr>
          <w:p w14:paraId="25F0F93B" w14:textId="77777777" w:rsidR="00AC5C0C" w:rsidRPr="00B02BA3" w:rsidRDefault="00AC5C0C" w:rsidP="00922116">
            <w:pPr>
              <w:pStyle w:val="CellRowSpacer"/>
              <w:rPr>
                <w:sz w:val="16"/>
                <w:szCs w:val="16"/>
              </w:rPr>
            </w:pPr>
          </w:p>
        </w:tc>
        <w:tc>
          <w:tcPr>
            <w:tcW w:w="1313" w:type="dxa"/>
            <w:vAlign w:val="bottom"/>
          </w:tcPr>
          <w:p w14:paraId="28960E39" w14:textId="77777777" w:rsidR="00AC5C0C" w:rsidRPr="003717EC" w:rsidRDefault="00AC5C0C" w:rsidP="00922116">
            <w:pPr>
              <w:pStyle w:val="SmCellBody"/>
              <w:jc w:val="right"/>
              <w:rPr>
                <w:sz w:val="16"/>
                <w:szCs w:val="16"/>
              </w:rPr>
            </w:pPr>
            <w:r w:rsidRPr="003717EC">
              <w:rPr>
                <w:sz w:val="16"/>
                <w:szCs w:val="16"/>
              </w:rPr>
              <w:t>1,635</w:t>
            </w:r>
          </w:p>
        </w:tc>
        <w:tc>
          <w:tcPr>
            <w:tcW w:w="327" w:type="dxa"/>
            <w:vAlign w:val="bottom"/>
          </w:tcPr>
          <w:p w14:paraId="1FAC669E" w14:textId="77777777" w:rsidR="00AC5C0C" w:rsidRPr="003717EC" w:rsidRDefault="00AC5C0C" w:rsidP="00922116">
            <w:pPr>
              <w:pStyle w:val="CellRowSpacer"/>
              <w:rPr>
                <w:sz w:val="16"/>
                <w:szCs w:val="16"/>
              </w:rPr>
            </w:pPr>
          </w:p>
        </w:tc>
        <w:tc>
          <w:tcPr>
            <w:tcW w:w="1313" w:type="dxa"/>
            <w:vAlign w:val="bottom"/>
          </w:tcPr>
          <w:p w14:paraId="33E980EF" w14:textId="77777777" w:rsidR="00AC5C0C" w:rsidRPr="003717EC" w:rsidRDefault="00AC5C0C" w:rsidP="00922116">
            <w:pPr>
              <w:pStyle w:val="SmCellBody"/>
              <w:jc w:val="right"/>
              <w:rPr>
                <w:sz w:val="16"/>
                <w:szCs w:val="16"/>
              </w:rPr>
            </w:pPr>
            <w:r w:rsidRPr="003717EC">
              <w:rPr>
                <w:sz w:val="16"/>
                <w:szCs w:val="16"/>
              </w:rPr>
              <w:t>2,239</w:t>
            </w:r>
          </w:p>
        </w:tc>
        <w:tc>
          <w:tcPr>
            <w:tcW w:w="327" w:type="dxa"/>
            <w:vAlign w:val="bottom"/>
          </w:tcPr>
          <w:p w14:paraId="200419E2" w14:textId="77777777" w:rsidR="00AC5C0C" w:rsidRPr="00B02BA3" w:rsidRDefault="00AC5C0C" w:rsidP="00922116">
            <w:pPr>
              <w:pStyle w:val="CellRowSpacer"/>
              <w:jc w:val="right"/>
              <w:rPr>
                <w:sz w:val="16"/>
                <w:szCs w:val="16"/>
              </w:rPr>
            </w:pPr>
          </w:p>
        </w:tc>
        <w:tc>
          <w:tcPr>
            <w:tcW w:w="1315" w:type="dxa"/>
            <w:vAlign w:val="bottom"/>
          </w:tcPr>
          <w:p w14:paraId="5861AA66" w14:textId="77777777" w:rsidR="00AC5C0C" w:rsidRPr="00B02BA3" w:rsidRDefault="00AC5C0C" w:rsidP="00922116">
            <w:pPr>
              <w:pStyle w:val="SmCellBody"/>
              <w:jc w:val="right"/>
              <w:rPr>
                <w:sz w:val="16"/>
                <w:szCs w:val="16"/>
              </w:rPr>
            </w:pPr>
            <w:r w:rsidRPr="00B02BA3">
              <w:rPr>
                <w:sz w:val="16"/>
                <w:szCs w:val="16"/>
              </w:rPr>
              <w:t>1,476</w:t>
            </w:r>
          </w:p>
        </w:tc>
        <w:tc>
          <w:tcPr>
            <w:tcW w:w="327" w:type="dxa"/>
            <w:vAlign w:val="bottom"/>
          </w:tcPr>
          <w:p w14:paraId="35D2E6D8" w14:textId="77777777" w:rsidR="00AC5C0C" w:rsidRPr="00B02BA3" w:rsidRDefault="00AC5C0C" w:rsidP="00922116">
            <w:pPr>
              <w:pStyle w:val="CellRowSpacer"/>
              <w:rPr>
                <w:sz w:val="16"/>
                <w:szCs w:val="16"/>
              </w:rPr>
            </w:pPr>
          </w:p>
        </w:tc>
      </w:tr>
      <w:tr w:rsidR="00AC5C0C" w:rsidRPr="00B02BA3" w14:paraId="00A742D9" w14:textId="77777777" w:rsidTr="00922116">
        <w:trPr>
          <w:trHeight w:val="373"/>
        </w:trPr>
        <w:tc>
          <w:tcPr>
            <w:tcW w:w="3662" w:type="dxa"/>
            <w:vAlign w:val="bottom"/>
          </w:tcPr>
          <w:p w14:paraId="3E6916D5" w14:textId="77777777" w:rsidR="00AC5C0C" w:rsidRPr="00B02BA3" w:rsidRDefault="00AC5C0C" w:rsidP="00922116">
            <w:pPr>
              <w:pStyle w:val="CellBody"/>
              <w:tabs>
                <w:tab w:val="right" w:leader="dot" w:pos="4581"/>
              </w:tabs>
              <w:rPr>
                <w:b/>
                <w:bCs/>
                <w:sz w:val="16"/>
                <w:szCs w:val="16"/>
              </w:rPr>
            </w:pPr>
            <w:r w:rsidRPr="00B02BA3">
              <w:rPr>
                <w:b/>
                <w:bCs/>
                <w:sz w:val="16"/>
                <w:szCs w:val="16"/>
              </w:rPr>
              <w:t>Total</w:t>
            </w:r>
            <w:r w:rsidRPr="00B02BA3">
              <w:rPr>
                <w:sz w:val="16"/>
                <w:szCs w:val="16"/>
              </w:rPr>
              <w:tab/>
            </w:r>
          </w:p>
        </w:tc>
        <w:tc>
          <w:tcPr>
            <w:tcW w:w="327" w:type="dxa"/>
            <w:vAlign w:val="bottom"/>
          </w:tcPr>
          <w:p w14:paraId="609DC16B" w14:textId="77777777" w:rsidR="00AC5C0C" w:rsidRPr="00B02BA3" w:rsidRDefault="00AC5C0C" w:rsidP="00922116">
            <w:pPr>
              <w:pStyle w:val="CellRowSpacer"/>
              <w:rPr>
                <w:sz w:val="16"/>
                <w:szCs w:val="16"/>
              </w:rPr>
            </w:pPr>
          </w:p>
        </w:tc>
        <w:tc>
          <w:tcPr>
            <w:tcW w:w="1313" w:type="dxa"/>
            <w:tcBorders>
              <w:top w:val="single" w:sz="4" w:space="0" w:color="auto"/>
              <w:bottom w:val="double" w:sz="4" w:space="0" w:color="auto"/>
            </w:tcBorders>
            <w:vAlign w:val="bottom"/>
          </w:tcPr>
          <w:p w14:paraId="1F12101F" w14:textId="77777777" w:rsidR="00AC5C0C" w:rsidRPr="003717EC" w:rsidRDefault="00AC5C0C" w:rsidP="00922116">
            <w:pPr>
              <w:pStyle w:val="SmCellBody"/>
              <w:jc w:val="right"/>
              <w:rPr>
                <w:sz w:val="16"/>
                <w:szCs w:val="16"/>
              </w:rPr>
            </w:pPr>
            <w:r w:rsidRPr="003717EC">
              <w:rPr>
                <w:sz w:val="16"/>
                <w:szCs w:val="16"/>
              </w:rPr>
              <w:t>2,035</w:t>
            </w:r>
          </w:p>
        </w:tc>
        <w:tc>
          <w:tcPr>
            <w:tcW w:w="327" w:type="dxa"/>
            <w:vAlign w:val="bottom"/>
          </w:tcPr>
          <w:p w14:paraId="13013E78" w14:textId="77777777" w:rsidR="00AC5C0C" w:rsidRPr="003717EC" w:rsidRDefault="00AC5C0C" w:rsidP="00922116">
            <w:pPr>
              <w:pStyle w:val="CellRowSpacer"/>
              <w:rPr>
                <w:sz w:val="16"/>
                <w:szCs w:val="16"/>
              </w:rPr>
            </w:pPr>
          </w:p>
        </w:tc>
        <w:tc>
          <w:tcPr>
            <w:tcW w:w="1313" w:type="dxa"/>
            <w:tcBorders>
              <w:top w:val="single" w:sz="4" w:space="0" w:color="auto"/>
              <w:bottom w:val="double" w:sz="4" w:space="0" w:color="auto"/>
            </w:tcBorders>
            <w:vAlign w:val="bottom"/>
          </w:tcPr>
          <w:p w14:paraId="31C646D4" w14:textId="77777777" w:rsidR="00AC5C0C" w:rsidRPr="003717EC" w:rsidRDefault="00AC5C0C" w:rsidP="00922116">
            <w:pPr>
              <w:pStyle w:val="SmCellBody"/>
              <w:tabs>
                <w:tab w:val="center" w:pos="656"/>
                <w:tab w:val="right" w:pos="1313"/>
              </w:tabs>
              <w:jc w:val="right"/>
              <w:rPr>
                <w:sz w:val="16"/>
                <w:szCs w:val="16"/>
              </w:rPr>
            </w:pPr>
            <w:r w:rsidRPr="003717EC">
              <w:rPr>
                <w:sz w:val="16"/>
                <w:szCs w:val="16"/>
              </w:rPr>
              <w:t>2,817</w:t>
            </w:r>
          </w:p>
        </w:tc>
        <w:tc>
          <w:tcPr>
            <w:tcW w:w="327" w:type="dxa"/>
            <w:vAlign w:val="bottom"/>
          </w:tcPr>
          <w:p w14:paraId="1E980690" w14:textId="77777777" w:rsidR="00AC5C0C" w:rsidRPr="00B02BA3" w:rsidRDefault="00AC5C0C" w:rsidP="00922116">
            <w:pPr>
              <w:pStyle w:val="CellRowSpacer"/>
              <w:jc w:val="right"/>
              <w:rPr>
                <w:sz w:val="16"/>
                <w:szCs w:val="16"/>
              </w:rPr>
            </w:pPr>
          </w:p>
        </w:tc>
        <w:tc>
          <w:tcPr>
            <w:tcW w:w="1315" w:type="dxa"/>
            <w:tcBorders>
              <w:top w:val="single" w:sz="4" w:space="0" w:color="auto"/>
              <w:bottom w:val="double" w:sz="4" w:space="0" w:color="auto"/>
            </w:tcBorders>
            <w:vAlign w:val="bottom"/>
          </w:tcPr>
          <w:p w14:paraId="49408A18" w14:textId="77777777" w:rsidR="00AC5C0C" w:rsidRPr="00B02BA3" w:rsidRDefault="00AC5C0C" w:rsidP="00922116">
            <w:pPr>
              <w:pStyle w:val="SmCellBody"/>
              <w:jc w:val="right"/>
              <w:rPr>
                <w:sz w:val="16"/>
                <w:szCs w:val="16"/>
              </w:rPr>
            </w:pPr>
            <w:r w:rsidRPr="00B02BA3">
              <w:rPr>
                <w:sz w:val="16"/>
                <w:szCs w:val="16"/>
              </w:rPr>
              <w:t>2,083</w:t>
            </w:r>
          </w:p>
        </w:tc>
        <w:tc>
          <w:tcPr>
            <w:tcW w:w="327" w:type="dxa"/>
            <w:vAlign w:val="bottom"/>
          </w:tcPr>
          <w:p w14:paraId="4BFE9502" w14:textId="77777777" w:rsidR="00AC5C0C" w:rsidRPr="00B02BA3" w:rsidRDefault="00AC5C0C" w:rsidP="00922116">
            <w:pPr>
              <w:pStyle w:val="CellRowSpacer"/>
              <w:rPr>
                <w:sz w:val="16"/>
                <w:szCs w:val="16"/>
              </w:rPr>
            </w:pPr>
          </w:p>
        </w:tc>
      </w:tr>
    </w:tbl>
    <w:p w14:paraId="2BBC3F7F" w14:textId="77777777" w:rsidR="00AC5C0C" w:rsidRDefault="00AC5C0C" w:rsidP="00AC5C0C">
      <w:pPr>
        <w:bidi/>
        <w:jc w:val="both"/>
        <w:rPr>
          <w:rFonts w:ascii="Traditional Arabic" w:hAnsi="Traditional Arabic" w:cs="Traditional Arabic"/>
          <w:sz w:val="30"/>
          <w:szCs w:val="30"/>
          <w:rtl/>
        </w:rPr>
      </w:pPr>
    </w:p>
    <w:p w14:paraId="6FDCBB9C" w14:textId="77777777" w:rsid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lastRenderedPageBreak/>
        <w:t>وحتى 31 ديسمبر 2023، بلغ عدد الموظفين في مكتب الشركة 76 في المائة من الذكور و 24 في المائة من الإناث، وبلغ معدل دوران الموظفين 5 في المائة. وبلغ معدل احتفاظ الشركة بالبحارة حوالي 93 في المائة حتى 31 ديسمبر 2023 (مقارنة بنسبة 91 في المائة كما في 31 ديسمبر 2022).</w:t>
      </w:r>
    </w:p>
    <w:p w14:paraId="0216382A" w14:textId="77777777" w:rsidR="006F26E7" w:rsidRDefault="006F26E7" w:rsidP="006F26E7">
      <w:pPr>
        <w:bidi/>
        <w:jc w:val="both"/>
        <w:rPr>
          <w:rFonts w:ascii="Traditional Arabic" w:hAnsi="Traditional Arabic" w:cs="Traditional Arabic"/>
          <w:sz w:val="30"/>
          <w:szCs w:val="30"/>
        </w:rPr>
      </w:pPr>
    </w:p>
    <w:p w14:paraId="29754F18" w14:textId="77777777" w:rsidR="006F26E7" w:rsidRPr="006F26E7" w:rsidRDefault="006F26E7" w:rsidP="006F26E7">
      <w:pPr>
        <w:bidi/>
        <w:jc w:val="both"/>
        <w:rPr>
          <w:rFonts w:ascii="Traditional Arabic" w:hAnsi="Traditional Arabic" w:cs="Traditional Arabic"/>
          <w:sz w:val="30"/>
          <w:szCs w:val="30"/>
        </w:rPr>
      </w:pPr>
      <w:r w:rsidRPr="006F26E7">
        <w:rPr>
          <w:rFonts w:ascii="Traditional Arabic" w:hAnsi="Traditional Arabic" w:cs="Traditional Arabic"/>
          <w:sz w:val="30"/>
          <w:szCs w:val="30"/>
          <w:rtl/>
        </w:rPr>
        <w:t xml:space="preserve">تلتزم الشركة </w:t>
      </w:r>
      <w:r>
        <w:rPr>
          <w:rFonts w:ascii="Traditional Arabic" w:hAnsi="Traditional Arabic" w:cs="Traditional Arabic" w:hint="cs"/>
          <w:sz w:val="30"/>
          <w:szCs w:val="30"/>
          <w:rtl/>
        </w:rPr>
        <w:t xml:space="preserve">بموجب القانون العماني </w:t>
      </w:r>
      <w:r w:rsidRPr="006F26E7">
        <w:rPr>
          <w:rFonts w:ascii="Traditional Arabic" w:hAnsi="Traditional Arabic" w:cs="Traditional Arabic"/>
          <w:sz w:val="30"/>
          <w:szCs w:val="30"/>
          <w:rtl/>
        </w:rPr>
        <w:t xml:space="preserve">بالمساهمة في نظام </w:t>
      </w:r>
      <w:r w:rsidR="00F63B74">
        <w:rPr>
          <w:rFonts w:ascii="Traditional Arabic" w:hAnsi="Traditional Arabic" w:cs="Traditional Arabic" w:hint="cs"/>
          <w:sz w:val="30"/>
          <w:szCs w:val="30"/>
          <w:rtl/>
        </w:rPr>
        <w:t>الحماية</w:t>
      </w:r>
      <w:r w:rsidRPr="006F26E7">
        <w:rPr>
          <w:rFonts w:ascii="Traditional Arabic" w:hAnsi="Traditional Arabic" w:cs="Traditional Arabic"/>
          <w:sz w:val="30"/>
          <w:szCs w:val="30"/>
          <w:rtl/>
        </w:rPr>
        <w:t xml:space="preserve"> الاجتماعي</w:t>
      </w:r>
      <w:r w:rsidR="00F63B74">
        <w:rPr>
          <w:rFonts w:ascii="Traditional Arabic" w:hAnsi="Traditional Arabic" w:cs="Traditional Arabic" w:hint="cs"/>
          <w:sz w:val="30"/>
          <w:szCs w:val="30"/>
          <w:rtl/>
        </w:rPr>
        <w:t>ة</w:t>
      </w:r>
      <w:r w:rsidRPr="006F26E7">
        <w:rPr>
          <w:rFonts w:ascii="Traditional Arabic" w:hAnsi="Traditional Arabic" w:cs="Traditional Arabic"/>
          <w:sz w:val="30"/>
          <w:szCs w:val="30"/>
          <w:rtl/>
        </w:rPr>
        <w:t xml:space="preserve"> للموظفين العمانيين. يتم تقديم المساهمات وفقًا </w:t>
      </w:r>
      <w:r w:rsidR="003266BE">
        <w:rPr>
          <w:rFonts w:ascii="Traditional Arabic" w:hAnsi="Traditional Arabic" w:cs="Traditional Arabic" w:hint="cs"/>
          <w:sz w:val="30"/>
          <w:szCs w:val="30"/>
          <w:rtl/>
        </w:rPr>
        <w:t>للأنظمة</w:t>
      </w:r>
      <w:r w:rsidRPr="006F26E7">
        <w:rPr>
          <w:rFonts w:ascii="Traditional Arabic" w:hAnsi="Traditional Arabic" w:cs="Traditional Arabic"/>
          <w:sz w:val="30"/>
          <w:szCs w:val="30"/>
          <w:rtl/>
        </w:rPr>
        <w:t xml:space="preserve"> المحلية، والتي تتطلب من أصحاب العمل المساهمة بنسبة مئوية من </w:t>
      </w:r>
      <w:r w:rsidR="00576965">
        <w:rPr>
          <w:rFonts w:ascii="Traditional Arabic" w:hAnsi="Traditional Arabic" w:cs="Traditional Arabic" w:hint="cs"/>
          <w:sz w:val="30"/>
          <w:szCs w:val="30"/>
          <w:rtl/>
        </w:rPr>
        <w:t>أجر</w:t>
      </w:r>
      <w:r w:rsidRPr="006F26E7">
        <w:rPr>
          <w:rFonts w:ascii="Traditional Arabic" w:hAnsi="Traditional Arabic" w:cs="Traditional Arabic"/>
          <w:sz w:val="30"/>
          <w:szCs w:val="30"/>
          <w:rtl/>
        </w:rPr>
        <w:t xml:space="preserve"> الموظف في صندوق </w:t>
      </w:r>
      <w:r w:rsidR="0013693E">
        <w:rPr>
          <w:rFonts w:ascii="Traditional Arabic" w:hAnsi="Traditional Arabic" w:cs="Traditional Arabic" w:hint="cs"/>
          <w:sz w:val="30"/>
          <w:szCs w:val="30"/>
          <w:rtl/>
        </w:rPr>
        <w:t>الحماية</w:t>
      </w:r>
      <w:r w:rsidRPr="006F26E7">
        <w:rPr>
          <w:rFonts w:ascii="Traditional Arabic" w:hAnsi="Traditional Arabic" w:cs="Traditional Arabic"/>
          <w:sz w:val="30"/>
          <w:szCs w:val="30"/>
          <w:rtl/>
        </w:rPr>
        <w:t xml:space="preserve"> الاجتماعي</w:t>
      </w:r>
      <w:r w:rsidR="0013693E">
        <w:rPr>
          <w:rFonts w:ascii="Traditional Arabic" w:hAnsi="Traditional Arabic" w:cs="Traditional Arabic" w:hint="cs"/>
          <w:sz w:val="30"/>
          <w:szCs w:val="30"/>
          <w:rtl/>
        </w:rPr>
        <w:t>ة</w:t>
      </w:r>
      <w:r w:rsidRPr="006F26E7">
        <w:rPr>
          <w:rFonts w:ascii="Traditional Arabic" w:hAnsi="Traditional Arabic" w:cs="Traditional Arabic"/>
          <w:sz w:val="30"/>
          <w:szCs w:val="30"/>
          <w:rtl/>
        </w:rPr>
        <w:t xml:space="preserve">. بالنسبة للموظفين </w:t>
      </w:r>
      <w:r w:rsidR="0013693E">
        <w:rPr>
          <w:rFonts w:ascii="Traditional Arabic" w:hAnsi="Traditional Arabic" w:cs="Traditional Arabic" w:hint="cs"/>
          <w:sz w:val="30"/>
          <w:szCs w:val="30"/>
          <w:rtl/>
        </w:rPr>
        <w:t>الأجانب</w:t>
      </w:r>
      <w:r w:rsidRPr="006F26E7">
        <w:rPr>
          <w:rFonts w:ascii="Traditional Arabic" w:hAnsi="Traditional Arabic" w:cs="Traditional Arabic"/>
          <w:sz w:val="30"/>
          <w:szCs w:val="30"/>
          <w:rtl/>
        </w:rPr>
        <w:t xml:space="preserve">، تعتمد المساهمات المطلوبة على فئة الموظف وعقد </w:t>
      </w:r>
      <w:r w:rsidR="00F87F00">
        <w:rPr>
          <w:rFonts w:ascii="Traditional Arabic" w:hAnsi="Traditional Arabic" w:cs="Traditional Arabic" w:hint="cs"/>
          <w:sz w:val="30"/>
          <w:szCs w:val="30"/>
          <w:rtl/>
        </w:rPr>
        <w:t>العمل</w:t>
      </w:r>
      <w:r w:rsidR="004919E9">
        <w:rPr>
          <w:rFonts w:ascii="Traditional Arabic" w:hAnsi="Traditional Arabic" w:cs="Traditional Arabic" w:hint="cs"/>
          <w:sz w:val="30"/>
          <w:szCs w:val="30"/>
          <w:rtl/>
        </w:rPr>
        <w:t>يقدم الملخص أدناه تفصيلا</w:t>
      </w:r>
      <w:r w:rsidRPr="006F26E7">
        <w:rPr>
          <w:rFonts w:ascii="Traditional Arabic" w:hAnsi="Traditional Arabic" w:cs="Traditional Arabic"/>
          <w:sz w:val="30"/>
          <w:szCs w:val="30"/>
          <w:rtl/>
        </w:rPr>
        <w:t xml:space="preserve"> للمساهمات المطلوبة للموظفين </w:t>
      </w:r>
      <w:r w:rsidR="00F87F00">
        <w:rPr>
          <w:rFonts w:ascii="Traditional Arabic" w:hAnsi="Traditional Arabic" w:cs="Traditional Arabic" w:hint="cs"/>
          <w:sz w:val="30"/>
          <w:szCs w:val="30"/>
          <w:rtl/>
        </w:rPr>
        <w:t>الاجانب</w:t>
      </w:r>
      <w:r w:rsidRPr="006F26E7">
        <w:rPr>
          <w:rFonts w:ascii="Traditional Arabic" w:hAnsi="Traditional Arabic" w:cs="Traditional Arabic"/>
          <w:sz w:val="30"/>
          <w:szCs w:val="30"/>
          <w:rtl/>
        </w:rPr>
        <w:t>:</w:t>
      </w:r>
    </w:p>
    <w:p w14:paraId="1468092A" w14:textId="77777777" w:rsidR="006F26E7" w:rsidRPr="006F26E7" w:rsidRDefault="006F26E7" w:rsidP="006F26E7">
      <w:pPr>
        <w:bidi/>
        <w:jc w:val="both"/>
        <w:rPr>
          <w:rFonts w:ascii="Traditional Arabic" w:hAnsi="Traditional Arabic" w:cs="Traditional Arabic"/>
          <w:sz w:val="30"/>
          <w:szCs w:val="30"/>
        </w:rPr>
      </w:pPr>
      <w:r w:rsidRPr="006F26E7">
        <w:rPr>
          <w:rFonts w:ascii="Traditional Arabic" w:hAnsi="Traditional Arabic" w:cs="Traditional Arabic"/>
          <w:sz w:val="30"/>
          <w:szCs w:val="30"/>
          <w:rtl/>
        </w:rPr>
        <w:t>• إصابات العمل والأمراض المهنية: معدل المساهمة هو 1</w:t>
      </w:r>
      <w:r w:rsidR="001F6122">
        <w:rPr>
          <w:rFonts w:ascii="Traditional Arabic" w:hAnsi="Traditional Arabic" w:cs="Traditional Arabic" w:hint="cs"/>
          <w:sz w:val="30"/>
          <w:szCs w:val="30"/>
          <w:rtl/>
        </w:rPr>
        <w:t xml:space="preserve">% </w:t>
      </w:r>
      <w:r w:rsidRPr="006F26E7">
        <w:rPr>
          <w:rFonts w:ascii="Traditional Arabic" w:hAnsi="Traditional Arabic" w:cs="Traditional Arabic"/>
          <w:sz w:val="30"/>
          <w:szCs w:val="30"/>
          <w:rtl/>
        </w:rPr>
        <w:t xml:space="preserve">من </w:t>
      </w:r>
      <w:r w:rsidR="00262268">
        <w:rPr>
          <w:rFonts w:ascii="Traditional Arabic" w:hAnsi="Traditional Arabic" w:cs="Traditional Arabic" w:hint="cs"/>
          <w:sz w:val="30"/>
          <w:szCs w:val="30"/>
          <w:rtl/>
        </w:rPr>
        <w:t>الأجر</w:t>
      </w:r>
      <w:r w:rsidRPr="006F26E7">
        <w:rPr>
          <w:rFonts w:ascii="Traditional Arabic" w:hAnsi="Traditional Arabic" w:cs="Traditional Arabic"/>
          <w:sz w:val="30"/>
          <w:szCs w:val="30"/>
          <w:rtl/>
        </w:rPr>
        <w:t xml:space="preserve"> الإجمالي للموظف، مع مراعاة الحد الأقصى </w:t>
      </w:r>
      <w:r w:rsidR="00262268">
        <w:rPr>
          <w:rFonts w:ascii="Traditional Arabic" w:hAnsi="Traditional Arabic" w:cs="Traditional Arabic" w:hint="cs"/>
          <w:sz w:val="30"/>
          <w:szCs w:val="30"/>
          <w:rtl/>
        </w:rPr>
        <w:t>للأجر</w:t>
      </w:r>
      <w:r w:rsidRPr="006F26E7">
        <w:rPr>
          <w:rFonts w:ascii="Traditional Arabic" w:hAnsi="Traditional Arabic" w:cs="Traditional Arabic"/>
          <w:sz w:val="30"/>
          <w:szCs w:val="30"/>
          <w:rtl/>
        </w:rPr>
        <w:t xml:space="preserve"> (3000 ريال عماني) بدءًا من 1 يوليو 2026.</w:t>
      </w:r>
    </w:p>
    <w:p w14:paraId="763458A3" w14:textId="77777777" w:rsidR="006F26E7" w:rsidRPr="006F26E7" w:rsidRDefault="006F26E7" w:rsidP="006F26E7">
      <w:pPr>
        <w:bidi/>
        <w:jc w:val="both"/>
        <w:rPr>
          <w:rFonts w:ascii="Traditional Arabic" w:hAnsi="Traditional Arabic" w:cs="Traditional Arabic"/>
          <w:sz w:val="30"/>
          <w:szCs w:val="30"/>
        </w:rPr>
      </w:pPr>
      <w:r w:rsidRPr="006F26E7">
        <w:rPr>
          <w:rFonts w:ascii="Traditional Arabic" w:hAnsi="Traditional Arabic" w:cs="Traditional Arabic"/>
          <w:sz w:val="30"/>
          <w:szCs w:val="30"/>
          <w:rtl/>
        </w:rPr>
        <w:t xml:space="preserve">• إجازة الأمومة: يخضع الموظفون </w:t>
      </w:r>
      <w:r w:rsidR="00C02DD1">
        <w:rPr>
          <w:rFonts w:ascii="Traditional Arabic" w:hAnsi="Traditional Arabic" w:cs="Traditional Arabic" w:hint="cs"/>
          <w:sz w:val="30"/>
          <w:szCs w:val="30"/>
          <w:rtl/>
        </w:rPr>
        <w:t>الأجانب</w:t>
      </w:r>
      <w:r w:rsidRPr="006F26E7">
        <w:rPr>
          <w:rFonts w:ascii="Traditional Arabic" w:hAnsi="Traditional Arabic" w:cs="Traditional Arabic"/>
          <w:sz w:val="30"/>
          <w:szCs w:val="30"/>
          <w:rtl/>
        </w:rPr>
        <w:t xml:space="preserve"> لخصم بنسبة 1</w:t>
      </w:r>
      <w:r w:rsidR="001F6122">
        <w:rPr>
          <w:rFonts w:ascii="Traditional Arabic" w:hAnsi="Traditional Arabic" w:cs="Traditional Arabic" w:hint="cs"/>
          <w:sz w:val="30"/>
          <w:szCs w:val="30"/>
          <w:rtl/>
        </w:rPr>
        <w:t xml:space="preserve">% </w:t>
      </w:r>
      <w:r w:rsidRPr="006F26E7">
        <w:rPr>
          <w:rFonts w:ascii="Traditional Arabic" w:hAnsi="Traditional Arabic" w:cs="Traditional Arabic"/>
          <w:sz w:val="30"/>
          <w:szCs w:val="30"/>
          <w:rtl/>
        </w:rPr>
        <w:t xml:space="preserve">من </w:t>
      </w:r>
      <w:r w:rsidR="00262268">
        <w:rPr>
          <w:rFonts w:ascii="Traditional Arabic" w:hAnsi="Traditional Arabic" w:cs="Traditional Arabic" w:hint="cs"/>
          <w:sz w:val="30"/>
          <w:szCs w:val="30"/>
          <w:rtl/>
        </w:rPr>
        <w:t>أجرهم</w:t>
      </w:r>
      <w:r w:rsidRPr="006F26E7">
        <w:rPr>
          <w:rFonts w:ascii="Traditional Arabic" w:hAnsi="Traditional Arabic" w:cs="Traditional Arabic"/>
          <w:sz w:val="30"/>
          <w:szCs w:val="30"/>
          <w:rtl/>
        </w:rPr>
        <w:t xml:space="preserve"> الإجمالي لمزايا إجازة الأمومة، والتي تسري اعتبارًا من 1 يوليو 2024.</w:t>
      </w:r>
    </w:p>
    <w:p w14:paraId="513950E3" w14:textId="77777777" w:rsidR="006F26E7" w:rsidRPr="006F26E7" w:rsidRDefault="006F26E7" w:rsidP="006F26E7">
      <w:pPr>
        <w:bidi/>
        <w:jc w:val="both"/>
        <w:rPr>
          <w:rFonts w:ascii="Traditional Arabic" w:hAnsi="Traditional Arabic" w:cs="Traditional Arabic"/>
          <w:sz w:val="30"/>
          <w:szCs w:val="30"/>
        </w:rPr>
      </w:pPr>
      <w:r w:rsidRPr="006F26E7">
        <w:rPr>
          <w:rFonts w:ascii="Traditional Arabic" w:hAnsi="Traditional Arabic" w:cs="Traditional Arabic"/>
          <w:sz w:val="30"/>
          <w:szCs w:val="30"/>
          <w:rtl/>
        </w:rPr>
        <w:t xml:space="preserve">• الإجازات المرضية وغيرها: يخضع الموظفون </w:t>
      </w:r>
      <w:r w:rsidR="00657CD1">
        <w:rPr>
          <w:rFonts w:ascii="Traditional Arabic" w:hAnsi="Traditional Arabic" w:cs="Traditional Arabic" w:hint="cs"/>
          <w:sz w:val="30"/>
          <w:szCs w:val="30"/>
          <w:rtl/>
        </w:rPr>
        <w:t>الأجانب</w:t>
      </w:r>
      <w:r w:rsidRPr="006F26E7">
        <w:rPr>
          <w:rFonts w:ascii="Traditional Arabic" w:hAnsi="Traditional Arabic" w:cs="Traditional Arabic"/>
          <w:sz w:val="30"/>
          <w:szCs w:val="30"/>
          <w:rtl/>
        </w:rPr>
        <w:t xml:space="preserve"> لخصم بنسبة 1</w:t>
      </w:r>
      <w:r w:rsidR="001F6122">
        <w:rPr>
          <w:rFonts w:ascii="Traditional Arabic" w:hAnsi="Traditional Arabic" w:cs="Traditional Arabic" w:hint="cs"/>
          <w:sz w:val="30"/>
          <w:szCs w:val="30"/>
          <w:rtl/>
        </w:rPr>
        <w:t>%</w:t>
      </w:r>
      <w:r w:rsidRPr="006F26E7">
        <w:rPr>
          <w:rFonts w:ascii="Traditional Arabic" w:hAnsi="Traditional Arabic" w:cs="Traditional Arabic"/>
          <w:sz w:val="30"/>
          <w:szCs w:val="30"/>
          <w:rtl/>
        </w:rPr>
        <w:t xml:space="preserve">. </w:t>
      </w:r>
      <w:r w:rsidR="008A34C0">
        <w:rPr>
          <w:rFonts w:ascii="Traditional Arabic" w:hAnsi="Traditional Arabic" w:cs="Traditional Arabic" w:hint="cs"/>
          <w:sz w:val="30"/>
          <w:szCs w:val="30"/>
          <w:rtl/>
        </w:rPr>
        <w:t xml:space="preserve">من </w:t>
      </w:r>
      <w:r w:rsidR="00262268">
        <w:rPr>
          <w:rFonts w:ascii="Traditional Arabic" w:hAnsi="Traditional Arabic" w:cs="Traditional Arabic" w:hint="cs"/>
          <w:sz w:val="30"/>
          <w:szCs w:val="30"/>
          <w:rtl/>
        </w:rPr>
        <w:t>أجرهم</w:t>
      </w:r>
      <w:r w:rsidR="008A34C0">
        <w:rPr>
          <w:rFonts w:ascii="Traditional Arabic" w:hAnsi="Traditional Arabic" w:cs="Traditional Arabic" w:hint="cs"/>
          <w:sz w:val="30"/>
          <w:szCs w:val="30"/>
          <w:rtl/>
        </w:rPr>
        <w:t xml:space="preserve"> </w:t>
      </w:r>
      <w:r w:rsidR="00262268">
        <w:rPr>
          <w:rFonts w:ascii="Traditional Arabic" w:hAnsi="Traditional Arabic" w:cs="Traditional Arabic" w:hint="cs"/>
          <w:sz w:val="30"/>
          <w:szCs w:val="30"/>
          <w:rtl/>
        </w:rPr>
        <w:t xml:space="preserve">للإجازات </w:t>
      </w:r>
      <w:r w:rsidRPr="006F26E7">
        <w:rPr>
          <w:rFonts w:ascii="Traditional Arabic" w:hAnsi="Traditional Arabic" w:cs="Traditional Arabic"/>
          <w:sz w:val="30"/>
          <w:szCs w:val="30"/>
          <w:rtl/>
        </w:rPr>
        <w:t xml:space="preserve">المرضية وغير </w:t>
      </w:r>
      <w:r w:rsidR="00C52845">
        <w:rPr>
          <w:rFonts w:ascii="Traditional Arabic" w:hAnsi="Traditional Arabic" w:cs="Traditional Arabic" w:hint="cs"/>
          <w:sz w:val="30"/>
          <w:szCs w:val="30"/>
          <w:rtl/>
        </w:rPr>
        <w:t>الاعتيادية</w:t>
      </w:r>
      <w:r w:rsidRPr="006F26E7">
        <w:rPr>
          <w:rFonts w:ascii="Traditional Arabic" w:hAnsi="Traditional Arabic" w:cs="Traditional Arabic"/>
          <w:sz w:val="30"/>
          <w:szCs w:val="30"/>
          <w:rtl/>
        </w:rPr>
        <w:t>، يسري اعتبارًا من 1 يوليو 2025.</w:t>
      </w:r>
    </w:p>
    <w:p w14:paraId="1EE0EF0E" w14:textId="77777777" w:rsidR="00FC18E7" w:rsidRPr="00334534" w:rsidRDefault="006F26E7" w:rsidP="006F26E7">
      <w:pPr>
        <w:bidi/>
        <w:jc w:val="both"/>
        <w:rPr>
          <w:rFonts w:ascii="Traditional Arabic" w:hAnsi="Traditional Arabic" w:cs="Traditional Arabic"/>
          <w:sz w:val="30"/>
          <w:szCs w:val="30"/>
        </w:rPr>
      </w:pPr>
      <w:r w:rsidRPr="006F26E7">
        <w:rPr>
          <w:rFonts w:ascii="Traditional Arabic" w:hAnsi="Traditional Arabic" w:cs="Traditional Arabic"/>
          <w:sz w:val="30"/>
          <w:szCs w:val="30"/>
          <w:rtl/>
        </w:rPr>
        <w:t xml:space="preserve">• برنامج الادخار: يخضع الموظفون </w:t>
      </w:r>
      <w:r w:rsidR="001F6122">
        <w:rPr>
          <w:rFonts w:ascii="Traditional Arabic" w:hAnsi="Traditional Arabic" w:cs="Traditional Arabic" w:hint="cs"/>
          <w:sz w:val="30"/>
          <w:szCs w:val="30"/>
          <w:rtl/>
        </w:rPr>
        <w:t>الأجانب</w:t>
      </w:r>
      <w:r w:rsidRPr="006F26E7">
        <w:rPr>
          <w:rFonts w:ascii="Traditional Arabic" w:hAnsi="Traditional Arabic" w:cs="Traditional Arabic"/>
          <w:sz w:val="30"/>
          <w:szCs w:val="30"/>
          <w:rtl/>
        </w:rPr>
        <w:t xml:space="preserve"> لخصم بنسبة 9</w:t>
      </w:r>
      <w:r w:rsidR="001F6122">
        <w:rPr>
          <w:rFonts w:ascii="Traditional Arabic" w:hAnsi="Traditional Arabic" w:cs="Traditional Arabic" w:hint="cs"/>
          <w:sz w:val="30"/>
          <w:szCs w:val="30"/>
          <w:rtl/>
        </w:rPr>
        <w:t xml:space="preserve">% </w:t>
      </w:r>
      <w:r w:rsidRPr="006F26E7">
        <w:rPr>
          <w:rFonts w:ascii="Traditional Arabic" w:hAnsi="Traditional Arabic" w:cs="Traditional Arabic"/>
          <w:sz w:val="30"/>
          <w:szCs w:val="30"/>
          <w:rtl/>
        </w:rPr>
        <w:t>من راتبهم الأساسي، يسري اعتبارًا من 1 يوليو 2026 أو قبل ذلك حسب ما قد تعلنه الجهة المختصة.</w:t>
      </w:r>
    </w:p>
    <w:p w14:paraId="363FB6B7" w14:textId="77777777" w:rsidR="00AC5C0C" w:rsidRDefault="00AC5C0C" w:rsidP="00334534">
      <w:pPr>
        <w:bidi/>
        <w:jc w:val="both"/>
        <w:rPr>
          <w:rFonts w:ascii="Traditional Arabic" w:hAnsi="Traditional Arabic" w:cs="Traditional Arabic"/>
          <w:sz w:val="30"/>
          <w:szCs w:val="30"/>
          <w:rtl/>
        </w:rPr>
      </w:pPr>
    </w:p>
    <w:p w14:paraId="45516106"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هذا، وتعتبر الشركة استقطاب الموظفين البحريين المتحمسين والاحتفاظ بهم أولوية قصوى. فمن خلال مكاتب توفير طواقم العمل للشركة في شركات مثل: شركة في شيبس، وشركة مولمي، وشركة نورذرن مارين، وشركة مينا مارلو، وشركة ماغساي متسوي مارين، وشركة يونايتد مارين إيجنس، فإن الشركة تقدم للبحارة ما تعتقد أنه مكافآت توظيف تنافسية ومزايا شاملة، بما في ذلك التأمين الطبي وتأمين الحماية والتعويض للبحارة على متن السفينة ومزايا السفر. علاوة على ذلك، اتخذت الشركة العديد من التدابير لتعزيز سلامة ورفاهية موظفيها، بما في ذلك إدخال موظفين إضافيين على متن سفنها، وتركيب مرافق اللياقة البدنية على متنها وتقديم عقود تقلل من الوقت في البحر لكبار الموظفين. </w:t>
      </w:r>
    </w:p>
    <w:p w14:paraId="5E03F526" w14:textId="77777777" w:rsidR="00AC5C0C" w:rsidRDefault="00AC5C0C" w:rsidP="00334534">
      <w:pPr>
        <w:bidi/>
        <w:jc w:val="both"/>
        <w:rPr>
          <w:rFonts w:ascii="Traditional Arabic" w:hAnsi="Traditional Arabic" w:cs="Traditional Arabic"/>
          <w:sz w:val="30"/>
          <w:szCs w:val="30"/>
          <w:rtl/>
        </w:rPr>
      </w:pPr>
    </w:p>
    <w:p w14:paraId="58E0A811"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جميع بحارة الشركة هم جزء من الاتفاقيات الخاصة بالاتحاد الدولي لعمال النقل وفقًا لمتطلبات اتفاقية العمل البحري التي تم تحديدها من خلال اتفاقيات المفاوضة الجماعية التي تم التفاوض عليها مع نقابة البحارة المحلية. ويخضع لهذه الاتفاقيات توظيف الشركة للبحارة الذين يعملون على عدد كبير من سفن الشركة. وتخضع الأجور المدفوعة لطاقم الشركة، والحد الأدنى لظروف </w:t>
      </w:r>
      <w:r w:rsidRPr="00334534">
        <w:rPr>
          <w:rFonts w:ascii="Traditional Arabic" w:hAnsi="Traditional Arabic" w:cs="Traditional Arabic"/>
          <w:sz w:val="30"/>
          <w:szCs w:val="30"/>
          <w:rtl/>
        </w:rPr>
        <w:lastRenderedPageBreak/>
        <w:t xml:space="preserve">المعيشة على متن سفن الشركة، بالإضافة إلى المزايا والشروط الأخرى لتوظيف البحارة لشروط وأحكام هذه الاتفاقيات بشكل عام. </w:t>
      </w:r>
    </w:p>
    <w:p w14:paraId="3D9C7848" w14:textId="77777777" w:rsidR="00AC5C0C" w:rsidRDefault="00AC5C0C" w:rsidP="00334534">
      <w:pPr>
        <w:bidi/>
        <w:jc w:val="both"/>
        <w:rPr>
          <w:rFonts w:ascii="Traditional Arabic" w:hAnsi="Traditional Arabic" w:cs="Traditional Arabic"/>
          <w:sz w:val="30"/>
          <w:szCs w:val="30"/>
          <w:rtl/>
        </w:rPr>
      </w:pPr>
    </w:p>
    <w:p w14:paraId="36BF2F69"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تلتزم الشركة بتطوير وتدريب موظفيها والبحارة. ولجلب المزيد من العمانيين إلى مجتمع الملاحة البحرية، توفر الشركة التدريب لتخريج طلاب من الكليات المحلية. وتقوم الشركة بتدريب أكثر من 100 طالب متدرب سنويًا. وتشجع الشركة التدريب على رأس العمل، وهذا التدريب يكون مسؤولية المشرفين أو المديرين المباشرين الذين يضمنون توفير فرص التدريب العملي لجميع الموظفين. وكجزء من التزامها بتطوير الموظفين، نفذت الشركة العديد من البرامج التي تهدف إلى رفع مستوى مهارات الموظفين وتعزيز القدرات القيادية:</w:t>
      </w:r>
    </w:p>
    <w:p w14:paraId="5F8A8D09" w14:textId="77777777" w:rsidR="00334534" w:rsidRPr="00985281" w:rsidRDefault="00334534" w:rsidP="00922116">
      <w:pPr>
        <w:pStyle w:val="ListParagraph"/>
        <w:numPr>
          <w:ilvl w:val="0"/>
          <w:numId w:val="56"/>
        </w:numPr>
        <w:bidi/>
        <w:jc w:val="both"/>
        <w:rPr>
          <w:rFonts w:ascii="Traditional Arabic" w:hAnsi="Traditional Arabic" w:cs="Traditional Arabic"/>
          <w:sz w:val="30"/>
          <w:szCs w:val="30"/>
        </w:rPr>
      </w:pPr>
      <w:r w:rsidRPr="00985281">
        <w:rPr>
          <w:rFonts w:ascii="Traditional Arabic" w:hAnsi="Traditional Arabic" w:cs="Traditional Arabic"/>
          <w:sz w:val="30"/>
          <w:szCs w:val="30"/>
          <w:rtl/>
        </w:rPr>
        <w:t>التدريب المعتمد على الحاسوب الآلي: التدريب المعتمد على الحاسوب الآلي المقدم للبحارة والموظفين في مكاتب الشركة، مما يمكنهم من تعزيز مهاراتهم التقنية والمعرفة ذات الصلة بأدوارهم.</w:t>
      </w:r>
    </w:p>
    <w:p w14:paraId="61516D75" w14:textId="77777777" w:rsidR="00334534" w:rsidRPr="00985281" w:rsidRDefault="00AC5C0C" w:rsidP="00922116">
      <w:pPr>
        <w:pStyle w:val="ListParagraph"/>
        <w:numPr>
          <w:ilvl w:val="0"/>
          <w:numId w:val="56"/>
        </w:numPr>
        <w:bidi/>
        <w:jc w:val="both"/>
        <w:rPr>
          <w:rFonts w:ascii="Traditional Arabic" w:hAnsi="Traditional Arabic" w:cs="Traditional Arabic"/>
          <w:sz w:val="30"/>
          <w:szCs w:val="30"/>
        </w:rPr>
      </w:pPr>
      <w:r>
        <w:rPr>
          <w:rFonts w:ascii="Traditional Arabic" w:hAnsi="Traditional Arabic" w:cs="Traditional Arabic" w:hint="cs"/>
          <w:sz w:val="30"/>
          <w:szCs w:val="30"/>
          <w:rtl/>
        </w:rPr>
        <w:t>ال</w:t>
      </w:r>
      <w:r w:rsidR="00334534" w:rsidRPr="00985281">
        <w:rPr>
          <w:rFonts w:ascii="Traditional Arabic" w:hAnsi="Traditional Arabic" w:cs="Traditional Arabic"/>
          <w:sz w:val="30"/>
          <w:szCs w:val="30"/>
          <w:rtl/>
        </w:rPr>
        <w:t>تدريب لموظفي السفينة: تدريبات تدريبية منتظمة يتم إجراؤها لموظفي السفينة لضمان استعدادهم جيدًا لمختلف السيناريوهات وقياس قدرتهم على الاستجابة بفعالية في المواقف الصعبة.</w:t>
      </w:r>
    </w:p>
    <w:p w14:paraId="0BE0FD85" w14:textId="77777777" w:rsidR="00AC5C0C" w:rsidRDefault="00AC5C0C" w:rsidP="00334534">
      <w:pPr>
        <w:bidi/>
        <w:jc w:val="both"/>
        <w:rPr>
          <w:rFonts w:ascii="Traditional Arabic" w:hAnsi="Traditional Arabic" w:cs="Traditional Arabic"/>
          <w:sz w:val="30"/>
          <w:szCs w:val="30"/>
          <w:rtl/>
        </w:rPr>
      </w:pPr>
    </w:p>
    <w:p w14:paraId="516A8CE4"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تولي الشركة أهمية كبيرة للامتثال لمتطلبات الاتفاقية الدولية لمعايير التدريب والاعتماد والمراقبة للبحارة. لذلك، يخضع جميع موظفي إدارة السفينة للتدريب لدعم الالتزام بهذه اللوائح. بالإضافة إلى ذلك، يشمل تدريب الموظفين التدريب البيئي، وتدريب (شل) (التدريب على متن السفينة للبحارة)، وتدريبات الأمن والسلامة. ويخضع جميع الموظفين والبحارة لمراجعات منتظمة لأداء الموظفين والتطوير الوظيفي، مما يتيح تحديد نقاط القوة ومجالات التحسين. </w:t>
      </w:r>
    </w:p>
    <w:p w14:paraId="7FABDBCB" w14:textId="77777777" w:rsidR="00AC5C0C" w:rsidRDefault="00AC5C0C" w:rsidP="00334534">
      <w:pPr>
        <w:bidi/>
        <w:jc w:val="both"/>
        <w:rPr>
          <w:rFonts w:ascii="Traditional Arabic" w:hAnsi="Traditional Arabic" w:cs="Traditional Arabic"/>
          <w:b/>
          <w:sz w:val="30"/>
          <w:szCs w:val="30"/>
          <w:rtl/>
        </w:rPr>
      </w:pPr>
    </w:p>
    <w:p w14:paraId="7F1BFA32"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الممتلكات</w:t>
      </w:r>
    </w:p>
    <w:p w14:paraId="6F5A4F51"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الملكية الأساسية للشركة هو مبنى مقرها الرئيسي في مسقط، سلطنة عمان. وهذا المبنى مملوك بالكامل للشركة.</w:t>
      </w:r>
    </w:p>
    <w:p w14:paraId="76A1B9B4" w14:textId="77777777" w:rsidR="00AC5C0C" w:rsidRDefault="00AC5C0C" w:rsidP="00334534">
      <w:pPr>
        <w:bidi/>
        <w:jc w:val="both"/>
        <w:rPr>
          <w:rFonts w:ascii="Traditional Arabic" w:hAnsi="Traditional Arabic" w:cs="Traditional Arabic"/>
          <w:b/>
          <w:sz w:val="30"/>
          <w:szCs w:val="30"/>
          <w:rtl/>
        </w:rPr>
      </w:pPr>
    </w:p>
    <w:p w14:paraId="355E2228"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تقنية المعلومات</w:t>
      </w:r>
    </w:p>
    <w:p w14:paraId="7751246E"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أنشأت الشركة بنية تحتية شاملة</w:t>
      </w:r>
      <w:r w:rsidRPr="00334534">
        <w:rPr>
          <w:rFonts w:ascii="Traditional Arabic" w:hAnsi="Traditional Arabic" w:cs="Traditional Arabic"/>
          <w:b/>
          <w:sz w:val="30"/>
          <w:szCs w:val="30"/>
          <w:rtl/>
        </w:rPr>
        <w:t xml:space="preserve"> لتكنولوجيا المعلومات</w:t>
      </w:r>
      <w:r w:rsidRPr="00334534">
        <w:rPr>
          <w:rFonts w:ascii="Traditional Arabic" w:hAnsi="Traditional Arabic" w:cs="Traditional Arabic"/>
          <w:sz w:val="30"/>
          <w:szCs w:val="30"/>
          <w:rtl/>
        </w:rPr>
        <w:t>، مصممة لتلبية احتياجات عملياتها عبر الشحن والقطاعات ذات الصلة. ومن العناصر الرئيسية لاستراتيجية تكنولوجيا المعلومات الخاصة بالشركة هو التركيز القوي على أمن المعلومات، وتعزيز سرية وسلامة البيانات المهمة، بما في ذلك تفاصيل العملاء والمعاملات المالية والبيانات التشغيلية.</w:t>
      </w:r>
    </w:p>
    <w:p w14:paraId="7EEF903C" w14:textId="77777777" w:rsidR="00AC5C0C" w:rsidRDefault="00AC5C0C" w:rsidP="00334534">
      <w:pPr>
        <w:bidi/>
        <w:jc w:val="both"/>
        <w:rPr>
          <w:rFonts w:ascii="Traditional Arabic" w:hAnsi="Traditional Arabic" w:cs="Traditional Arabic"/>
          <w:sz w:val="30"/>
          <w:szCs w:val="30"/>
          <w:rtl/>
        </w:rPr>
      </w:pPr>
    </w:p>
    <w:p w14:paraId="477D4CCD"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وتستضيف الشركة أنظمة تخطيط موارد المؤسسات الأساسية عبر منصات سحابية رائدة، بما في ذلك إيه دبليو إس، </w:t>
      </w:r>
      <w:r w:rsidR="00AC5C0C" w:rsidRPr="00334534">
        <w:rPr>
          <w:rFonts w:ascii="Traditional Arabic" w:hAnsi="Traditional Arabic" w:cs="Traditional Arabic" w:hint="cs"/>
          <w:sz w:val="30"/>
          <w:szCs w:val="30"/>
          <w:rtl/>
        </w:rPr>
        <w:t>ومايكروسوفت</w:t>
      </w:r>
      <w:r w:rsidRPr="00334534">
        <w:rPr>
          <w:rFonts w:ascii="Traditional Arabic" w:hAnsi="Traditional Arabic" w:cs="Traditional Arabic"/>
          <w:sz w:val="30"/>
          <w:szCs w:val="30"/>
          <w:rtl/>
        </w:rPr>
        <w:t xml:space="preserve"> أزور، وعمان داتا بارك، وتوفر بيئات حوسبة سحابية آمنة وقابلة للتطوير وموثوقة. وعلى وجه الخصوص، تلتزم </w:t>
      </w:r>
      <w:r w:rsidRPr="00334534">
        <w:rPr>
          <w:rFonts w:ascii="Traditional Arabic" w:hAnsi="Traditional Arabic" w:cs="Traditional Arabic"/>
          <w:sz w:val="30"/>
          <w:szCs w:val="30"/>
          <w:rtl/>
        </w:rPr>
        <w:lastRenderedPageBreak/>
        <w:t>شركة عمان داتا بارك بمعايير الأمان المعترف بها دوليًا (ISO 27001 و ISO 20000)، مما يضمن حماية البيانات الحساسة بتقنيات متقدمة وتدابير أمنية قوية.</w:t>
      </w:r>
    </w:p>
    <w:p w14:paraId="2CF829D1" w14:textId="77777777" w:rsidR="00AC5C0C" w:rsidRDefault="00AC5C0C" w:rsidP="00334534">
      <w:pPr>
        <w:bidi/>
        <w:jc w:val="both"/>
        <w:rPr>
          <w:rFonts w:ascii="Traditional Arabic" w:hAnsi="Traditional Arabic" w:cs="Traditional Arabic"/>
          <w:sz w:val="30"/>
          <w:szCs w:val="30"/>
          <w:rtl/>
        </w:rPr>
      </w:pPr>
    </w:p>
    <w:p w14:paraId="47690C7E"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بالإضافة إلى ذلك، تدير الشركة أنظمة تكنولوجيا المعلومات/ التكنولوجيا التشغيلية لأسطول سفنها، مما يسهل التكامل السلس للتكنولوجيا التشغيلية مع أنظمة تكنولوجيا المعلومات. ويشمل ذلك الإشراف على أنظمة الاتصالات والأقمار الصناعية، والتي تعتبر ضرورية للعمليات اليومية للسفن في البحر. وتحتفظ الشركة بهذه الأنظمة لتعزيز الاتصالات الموثوقة ومراقبة أداء السفن والالتزام بالمعايير الدولية للأمن السيبراني البحري.</w:t>
      </w:r>
    </w:p>
    <w:p w14:paraId="24112840" w14:textId="77777777" w:rsidR="00AC5C0C" w:rsidRDefault="00AC5C0C" w:rsidP="00334534">
      <w:pPr>
        <w:bidi/>
        <w:jc w:val="both"/>
        <w:rPr>
          <w:rFonts w:ascii="Traditional Arabic" w:hAnsi="Traditional Arabic" w:cs="Traditional Arabic"/>
          <w:sz w:val="30"/>
          <w:szCs w:val="30"/>
          <w:rtl/>
        </w:rPr>
      </w:pPr>
    </w:p>
    <w:p w14:paraId="4141D6FF"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ومن خلال الاستفادة من هذه البنى التحتية والخدمات المتقدمة لتكنولوجيا المعلومات، تحافظ الشركة على بيئة تشغيلية آمنة وفعالة، مما يسمح بالتركيز بشكل أكبر على أنشطة الأعمال الأساسية دون الحاجة إلى استثمار كبير في إدارة مركز البيانات المحلي. </w:t>
      </w:r>
    </w:p>
    <w:p w14:paraId="15E1D3E0" w14:textId="77777777" w:rsidR="00AC5C0C" w:rsidRDefault="00AC5C0C" w:rsidP="00334534">
      <w:pPr>
        <w:bidi/>
        <w:jc w:val="both"/>
        <w:rPr>
          <w:rFonts w:ascii="Traditional Arabic" w:hAnsi="Traditional Arabic" w:cs="Traditional Arabic"/>
          <w:b/>
          <w:sz w:val="30"/>
          <w:szCs w:val="30"/>
          <w:rtl/>
        </w:rPr>
      </w:pPr>
    </w:p>
    <w:p w14:paraId="1389E6AF"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الملكية الفكرية</w:t>
      </w:r>
    </w:p>
    <w:p w14:paraId="2C6384CB"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تشتمل الملكية الفكرية الوحيدة للشركة على تسجيلات العلامات التجارية، وتعتقد أنه لا يوجد أصل واحد من أصول الملكية الفكرية جوهري لأعمال الشركة بشكل تام. تمتلك الشركة أو لها الحق في استخدام جميع العلامات التجارية التي تستخدمها في أعمالها (بما في ذلك على وجه الخصوص استخدام اسم أسياد).</w:t>
      </w:r>
    </w:p>
    <w:p w14:paraId="00EA2296" w14:textId="77777777" w:rsidR="00AC5C0C" w:rsidRDefault="00AC5C0C" w:rsidP="00334534">
      <w:pPr>
        <w:bidi/>
        <w:jc w:val="both"/>
        <w:rPr>
          <w:rFonts w:ascii="Traditional Arabic" w:hAnsi="Traditional Arabic" w:cs="Traditional Arabic"/>
          <w:b/>
          <w:sz w:val="30"/>
          <w:szCs w:val="30"/>
          <w:rtl/>
        </w:rPr>
      </w:pPr>
    </w:p>
    <w:p w14:paraId="313D88DE"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التأمين</w:t>
      </w:r>
    </w:p>
    <w:p w14:paraId="20B88538"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ينطوي تشغيل أي سفينة تسير في المحيط على مخاطر كامنة تتمثل في الكوارث البحرية الكارثية أو وفاة أو إصابة الأشخاص والأضرار التي تلحق بالممتلكات، والخسائر الناجمة عن الظروف الجوية السيئة، وتصادم السفن، والأعطال الميكانيكية، والأخطاء البشرية، والحرب، والإرهاب، والقرصنة وغيرها من الظروف أو الأحداث. بالإضافة إلى ذلك، يخضع نقل النفط الخام والمنتجات البترولية والغاز الطبيعي المسال وغاز البترول المسال لمخاطر الانسكابات وانقطاع الأعمال بسبب الظروف السياسية في البلدان الأجنبية، والأعمال العدائية، والإضرابات العمالية، ودعوات المقاطعة. </w:t>
      </w:r>
    </w:p>
    <w:p w14:paraId="61DB68C8" w14:textId="77777777" w:rsidR="00AC5C0C" w:rsidRDefault="00AC5C0C" w:rsidP="00334534">
      <w:pPr>
        <w:bidi/>
        <w:jc w:val="both"/>
        <w:rPr>
          <w:rFonts w:ascii="Traditional Arabic" w:hAnsi="Traditional Arabic" w:cs="Traditional Arabic"/>
          <w:sz w:val="30"/>
          <w:szCs w:val="30"/>
          <w:rtl/>
        </w:rPr>
      </w:pPr>
    </w:p>
    <w:p w14:paraId="394FA207"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وقد لا تكون بعض المخاطر قابلة للتأمين بشكل كامل بسبب طبيعتها المتطورة والقيود المفروضة على منتجات التأمين الحالية. وعادةً ما تستبعد منتجات التأمين بعض المخاطر حسب التصميم، مثل الأنشطة التي قد تؤدي إلى خرق العقوبات أو الاستثناءات غير العادية مثل الأضرار النووية. تحافظ </w:t>
      </w:r>
      <w:r w:rsidR="00C76CE7">
        <w:rPr>
          <w:rFonts w:ascii="Traditional Arabic" w:hAnsi="Traditional Arabic" w:cs="Traditional Arabic" w:hint="cs"/>
          <w:sz w:val="30"/>
          <w:szCs w:val="30"/>
          <w:rtl/>
        </w:rPr>
        <w:t>الشركة</w:t>
      </w:r>
      <w:r w:rsidR="00C76CE7" w:rsidRPr="00334534">
        <w:rPr>
          <w:rFonts w:ascii="Traditional Arabic" w:hAnsi="Traditional Arabic" w:cs="Traditional Arabic"/>
          <w:sz w:val="30"/>
          <w:szCs w:val="30"/>
          <w:rtl/>
        </w:rPr>
        <w:t xml:space="preserve"> </w:t>
      </w:r>
      <w:r w:rsidRPr="00334534">
        <w:rPr>
          <w:rFonts w:ascii="Traditional Arabic" w:hAnsi="Traditional Arabic" w:cs="Traditional Arabic"/>
          <w:sz w:val="30"/>
          <w:szCs w:val="30"/>
          <w:rtl/>
        </w:rPr>
        <w:t xml:space="preserve">على جميع وثائق التأمين ذات الصلة وفقًا لأعلى معايير السوق </w:t>
      </w:r>
      <w:r w:rsidRPr="00334534">
        <w:rPr>
          <w:rFonts w:ascii="Traditional Arabic" w:hAnsi="Traditional Arabic" w:cs="Traditional Arabic"/>
          <w:sz w:val="30"/>
          <w:szCs w:val="30"/>
          <w:rtl/>
        </w:rPr>
        <w:lastRenderedPageBreak/>
        <w:t>والصناعة، ومع ذلك فإن بعض المخاطر تقع خارج نطاق وثائق التأمين الخاصة بها على وجه التحديد بسبب عدم توفر المنتجات المناسبة.</w:t>
      </w:r>
    </w:p>
    <w:p w14:paraId="3F07AEC6" w14:textId="77777777" w:rsidR="00AC5C0C" w:rsidRDefault="00AC5C0C" w:rsidP="00334534">
      <w:pPr>
        <w:bidi/>
        <w:jc w:val="both"/>
        <w:rPr>
          <w:rFonts w:ascii="Traditional Arabic" w:hAnsi="Traditional Arabic" w:cs="Traditional Arabic"/>
          <w:sz w:val="30"/>
          <w:szCs w:val="30"/>
          <w:rtl/>
        </w:rPr>
      </w:pPr>
    </w:p>
    <w:p w14:paraId="24C8BFAB"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قامت الشركة بالتأمين على جسم السفينة والآلات (بما في ذلك المخاطر البحرية ومخاطر الحرب)، وتأمين الحماية والتعويض، وتأمين الشحن وتأمين غرامات التأخير والدفاع (في حالة النزاعات القانونية) للحماية من المخاطر المختلفة المتعلقة بالحوادث الكامنة في أعمالها. يغطي التأمين على البدن والآلات عادةً خسارة أو تلف السفينة بسبب المخاطر البحرية، مثل الجنوح الناتج عن التصادم وسوء الأحوال الجوية، ويغطي هذا التأمين القيمة الكاملة لبدن السفينة. ويعمل تأمين الحماية والتعويض على تعويض الشركة عن الالتزامات المتكبدة أثناء تشغيل السفن، بما في ذلك إصابات الطاقم وإصابات الأطراف الأخرى وفقدان البضائع والتلوث. يوفر تأمين الشحن وغرامات التأخير والدفاع تغطية للنفقات القانونية ونفقات الخبراء في النزاعات المتعلقة ببناء السفن أو شرائها أو بيعها أو ملكيتها أو تشغيلها. وتغطي الوثائق الإضافية مخاطر مثل الحرب (بما في ذلك القرصنة والإرهاب) وفقدان الاستئجار والخطف والفدية ومسؤولية المستأجر ومخاطر مشغل نقل الحاويات. علاوة على ذلك، تحتفظ الشركة بتأمين الأمن السيبراني والمسؤولية الاجتماعية وتحمل شهادة خفر السواحل الأمريكية للمسؤولية المالية.</w:t>
      </w:r>
    </w:p>
    <w:p w14:paraId="446DBF83" w14:textId="77777777" w:rsidR="00AC5C0C" w:rsidRDefault="00AC5C0C" w:rsidP="00334534">
      <w:pPr>
        <w:bidi/>
        <w:jc w:val="both"/>
        <w:rPr>
          <w:rFonts w:ascii="Traditional Arabic" w:hAnsi="Traditional Arabic" w:cs="Traditional Arabic"/>
          <w:sz w:val="30"/>
          <w:szCs w:val="30"/>
          <w:rtl/>
        </w:rPr>
      </w:pPr>
    </w:p>
    <w:p w14:paraId="4158EDDD"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وتعتقد الإدارة أن التغطية التأمينية الحالية للشركة كافية للحماية من معظم المخاطر المتعلقة بالحوادث التي ينطوي عليها تسيير أعمالها، وأن الشركة تحافظ على مستويات مناسبة من تغطية التأمين ضد الأضرار البيئية والتلوث، بما يتفق مع المعايير والممارسات المقبولة مع شركات التأمين المصنفة بتصنيف (A) من ستاندرد آند بورز، وذلك كشرط إلزامي.</w:t>
      </w:r>
    </w:p>
    <w:p w14:paraId="0BAA18FF" w14:textId="77777777" w:rsidR="00AC5C0C" w:rsidRDefault="00AC5C0C" w:rsidP="00334534">
      <w:pPr>
        <w:bidi/>
        <w:jc w:val="both"/>
        <w:rPr>
          <w:rFonts w:ascii="Traditional Arabic" w:hAnsi="Traditional Arabic" w:cs="Traditional Arabic"/>
          <w:b/>
          <w:sz w:val="30"/>
          <w:szCs w:val="30"/>
          <w:rtl/>
        </w:rPr>
      </w:pPr>
    </w:p>
    <w:p w14:paraId="178D9CB8"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التصنيف والتدقيق والتفتيش</w:t>
      </w:r>
    </w:p>
    <w:p w14:paraId="2EC20D85"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بشكل عام، نجد أن إجراءات ومتطلبات التفتيش عبارة عن نظام متعدد الطبقات لمراقبة الجودة، ويتضمن مراجعات داخلية بالإضافة إلى التحقق الخارجي. يبدأ النظام من التحكم في الوثائق الفنية للسفن المبنية حديثا وتطويرها، ويمتد إلى الإشراف أثناء البناء واختيار الطاقم وتدريبه؛ وتشغيل السفينة من قبل طاقم الشركة؛ والتحكم في السفن والطاقم من قبل مدير فني بري؛ وتقييمات المديرين الفنيين والطاقم والسفن من قبل مختلف الأطراف الأخرى، مثل جمعيات التصنيف ودول العلم والموانئ والعملاء وشركات التأمين.</w:t>
      </w:r>
    </w:p>
    <w:p w14:paraId="658D7683" w14:textId="77777777" w:rsidR="00AC5C0C" w:rsidRDefault="00AC5C0C" w:rsidP="00334534">
      <w:pPr>
        <w:bidi/>
        <w:jc w:val="both"/>
        <w:rPr>
          <w:rFonts w:ascii="Traditional Arabic" w:hAnsi="Traditional Arabic" w:cs="Traditional Arabic"/>
          <w:sz w:val="30"/>
          <w:szCs w:val="30"/>
          <w:rtl/>
        </w:rPr>
      </w:pPr>
    </w:p>
    <w:p w14:paraId="7F087F90"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ويتم فحص سفن وأطقم الشركة بانتظام من قبل موظفيها الفنيين لمراقبة حالة السفن وإجراء الصيانة الروتينية اللازمة. ويقوم أخصائيو التشغيل والفنيون العاملون في مكاتب الشركة بتفتيش السفن ثلاث مرات على الأقل في السنة. وعند الانتهاء من كل فحص، يتم إصدار تقرير الفحص، وإذا لزم الأمر، يتم وضع خطط عمل لمعالجة أي عناصر قد تتطلب التحسين. وتتم متابعة جميع خطط العمل حتى إنجازها بالكامل. تتمثل أهداف عمليات التفتيش هذه في ضمان الالتزام بمعايير التشغيل الداخلية </w:t>
      </w:r>
      <w:r w:rsidRPr="00334534">
        <w:rPr>
          <w:rFonts w:ascii="Traditional Arabic" w:hAnsi="Traditional Arabic" w:cs="Traditional Arabic"/>
          <w:sz w:val="30"/>
          <w:szCs w:val="30"/>
          <w:rtl/>
        </w:rPr>
        <w:lastRenderedPageBreak/>
        <w:t>والمتطلبات التشريعية للشركة؛ وأن تُجرى صيانة السفينة وفقًا لمعايير الشركة؛ وأن تُجرى صيانة آلات ومعدات السفينة لإعطاء الموثوقية الكاملة في الخدمة؛ وأن السفينة تعمل على تحسين الأداء من حيث السرعة واستهلاك الوقود؛ وأن مظهر السفينة سيدعم العلامة التجارية للشركة ويلبي توقعات العملاء.</w:t>
      </w:r>
    </w:p>
    <w:p w14:paraId="0412C0CF" w14:textId="77777777" w:rsidR="00AC5C0C" w:rsidRDefault="00AC5C0C" w:rsidP="00334534">
      <w:pPr>
        <w:bidi/>
        <w:jc w:val="both"/>
        <w:rPr>
          <w:rFonts w:ascii="Traditional Arabic" w:hAnsi="Traditional Arabic" w:cs="Traditional Arabic"/>
          <w:sz w:val="30"/>
          <w:szCs w:val="30"/>
          <w:rtl/>
        </w:rPr>
      </w:pPr>
    </w:p>
    <w:p w14:paraId="5E7B84A9"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تم "تصنيف" بدن وآلات جميع سفن الشركة من قبل إحدى جمعيات التصنيف الرئيسية: مجموعة دي إن في جي إل جروب ("DNV GL") أو سجل لويدز (Lloyd's Register) أو المكتب الأمريكي للشحن. وفي كل حالة، تشهد جمعية التصنيف ذات الصلة بأن السفينة قد تم بناؤها وصيانتها وفقًا لقواعد الجمعية. ويتم فحص كل سفينة من قبل مساح جمعية التصنيف سنويًا، حيث يكون الفحص السنوي الثاني أو الثالث مسحًا أكثر تفصيلاً ("</w:t>
      </w:r>
      <w:r w:rsidRPr="00334534">
        <w:rPr>
          <w:rFonts w:ascii="Traditional Arabic" w:hAnsi="Traditional Arabic" w:cs="Traditional Arabic"/>
          <w:b/>
          <w:sz w:val="30"/>
          <w:szCs w:val="30"/>
          <w:rtl/>
        </w:rPr>
        <w:t xml:space="preserve"> مسح متوسط</w:t>
      </w:r>
      <w:r w:rsidRPr="00334534">
        <w:rPr>
          <w:rFonts w:ascii="Traditional Arabic" w:hAnsi="Traditional Arabic" w:cs="Traditional Arabic"/>
          <w:sz w:val="30"/>
          <w:szCs w:val="30"/>
          <w:rtl/>
        </w:rPr>
        <w:t xml:space="preserve"> ") ويكون الفحص السنوي الخامس هو المسح الأكثر شمولاً ("</w:t>
      </w:r>
      <w:r w:rsidRPr="00334534">
        <w:rPr>
          <w:rFonts w:ascii="Traditional Arabic" w:hAnsi="Traditional Arabic" w:cs="Traditional Arabic"/>
          <w:b/>
          <w:sz w:val="30"/>
          <w:szCs w:val="30"/>
          <w:rtl/>
        </w:rPr>
        <w:t xml:space="preserve"> مسح خاص</w:t>
      </w:r>
      <w:r w:rsidRPr="00334534">
        <w:rPr>
          <w:rFonts w:ascii="Traditional Arabic" w:hAnsi="Traditional Arabic" w:cs="Traditional Arabic"/>
          <w:sz w:val="30"/>
          <w:szCs w:val="30"/>
          <w:rtl/>
        </w:rPr>
        <w:t xml:space="preserve"> "). وتستأنف دورة التفتيش بعد كل مسح خاص. قد يُطلب أيضًا من السفن أن ترسو السفينة في الحوض الجاف في كل مسح متوسط ومسح خاص لفحص الأجزاء تحت الماء من السفينة بالإضافة إلى فحص أكثر تفصيلاً للبدن والآلات. استوفت العديد من سفن الشركة اشتراطات جمعيات التصنيف الخاصة بها للرسو في الحوض الجاف كل خمس سنوات فيما يتعلق بالمسح الخاص، ولم تعد خاضعة للرسو في الحوض الجاف في المسوحات المتوسطة. ولاستيفاء هذه المعالجة، طُلب من الشركة تعزيز قوة تحمل الطلاءات تحت الماء لكل هيكل سفينة لاستيعاب عمليات التفتيش تحت الماء من قبل الغواصين.</w:t>
      </w:r>
    </w:p>
    <w:p w14:paraId="439D41D4" w14:textId="77777777" w:rsidR="00AC5C0C" w:rsidRDefault="00AC5C0C" w:rsidP="00334534">
      <w:pPr>
        <w:bidi/>
        <w:jc w:val="both"/>
        <w:rPr>
          <w:rFonts w:ascii="Traditional Arabic" w:hAnsi="Traditional Arabic" w:cs="Traditional Arabic"/>
          <w:sz w:val="30"/>
          <w:szCs w:val="30"/>
          <w:rtl/>
        </w:rPr>
      </w:pPr>
    </w:p>
    <w:p w14:paraId="02F33437" w14:textId="77777777" w:rsidR="006846DF" w:rsidRPr="006846DF" w:rsidRDefault="006846DF" w:rsidP="006846DF">
      <w:pPr>
        <w:bidi/>
        <w:jc w:val="both"/>
        <w:rPr>
          <w:rFonts w:ascii="Traditional Arabic" w:hAnsi="Traditional Arabic" w:cs="Traditional Arabic"/>
          <w:sz w:val="30"/>
          <w:szCs w:val="30"/>
        </w:rPr>
      </w:pPr>
      <w:r w:rsidRPr="006846DF">
        <w:rPr>
          <w:rFonts w:ascii="Traditional Arabic" w:hAnsi="Traditional Arabic" w:cs="Traditional Arabic"/>
          <w:sz w:val="30"/>
          <w:szCs w:val="30"/>
          <w:rtl/>
        </w:rPr>
        <w:t>تتوقع الشركة أن يكون العدد الإجمالي للسفن في الحوض الجاف خلال عامي 2025 و 2026 في خانة الأرقام المزدوجة، في حين أن العدد الإجمالي للسفن في الحوض الجاف خلال الفترة من 2027 إلى 2030 سيكون في خانة الأرقام الفردية بحدود الوسط. يوضح الجدول التالي بالتفصيل جدول الإرساء في الحوض الجاف للشركة فيما مضى حسب القطاع للسنوات المنتهية في 31 ديسمبر 2021 و 2022 و 2023 و 2024:</w:t>
      </w:r>
    </w:p>
    <w:p w14:paraId="4726DF6C" w14:textId="77777777" w:rsidR="006846DF" w:rsidRDefault="006846DF" w:rsidP="006846DF">
      <w:pPr>
        <w:bidi/>
        <w:jc w:val="both"/>
        <w:rPr>
          <w:rFonts w:ascii="Traditional Arabic" w:hAnsi="Traditional Arabic" w:cs="Traditional Arabic"/>
          <w:sz w:val="30"/>
          <w:szCs w:val="30"/>
          <w:rtl/>
        </w:rPr>
      </w:pPr>
    </w:p>
    <w:tbl>
      <w:tblPr>
        <w:tblW w:w="9102" w:type="dxa"/>
        <w:tblInd w:w="437" w:type="dxa"/>
        <w:tblLayout w:type="fixed"/>
        <w:tblCellMar>
          <w:left w:w="0" w:type="dxa"/>
          <w:right w:w="0" w:type="dxa"/>
        </w:tblCellMar>
        <w:tblLook w:val="0000" w:firstRow="0" w:lastRow="0" w:firstColumn="0" w:lastColumn="0" w:noHBand="0" w:noVBand="0"/>
      </w:tblPr>
      <w:tblGrid>
        <w:gridCol w:w="3499"/>
        <w:gridCol w:w="303"/>
        <w:gridCol w:w="1023"/>
        <w:gridCol w:w="302"/>
        <w:gridCol w:w="1023"/>
        <w:gridCol w:w="302"/>
        <w:gridCol w:w="1023"/>
        <w:gridCol w:w="302"/>
        <w:gridCol w:w="1023"/>
        <w:gridCol w:w="302"/>
      </w:tblGrid>
      <w:tr w:rsidR="006846DF" w:rsidRPr="00FC7539" w14:paraId="73EB2B72" w14:textId="77777777" w:rsidTr="00922116">
        <w:trPr>
          <w:trHeight w:val="441"/>
          <w:tblHeader/>
        </w:trPr>
        <w:tc>
          <w:tcPr>
            <w:tcW w:w="3499" w:type="dxa"/>
            <w:vAlign w:val="bottom"/>
          </w:tcPr>
          <w:p w14:paraId="395609FA" w14:textId="77777777" w:rsidR="006846DF" w:rsidRPr="00FC7539" w:rsidRDefault="006846DF" w:rsidP="00922116">
            <w:pPr>
              <w:pStyle w:val="VSmCellHead"/>
              <w:rPr>
                <w:sz w:val="16"/>
                <w:szCs w:val="18"/>
              </w:rPr>
            </w:pPr>
          </w:p>
        </w:tc>
        <w:tc>
          <w:tcPr>
            <w:tcW w:w="303" w:type="dxa"/>
            <w:vAlign w:val="bottom"/>
          </w:tcPr>
          <w:p w14:paraId="34C9A133" w14:textId="77777777" w:rsidR="006846DF" w:rsidRPr="00FC7539" w:rsidRDefault="006846DF" w:rsidP="00922116">
            <w:pPr>
              <w:pStyle w:val="CellRowSpacer"/>
              <w:spacing w:after="120"/>
              <w:rPr>
                <w:sz w:val="16"/>
                <w:szCs w:val="18"/>
              </w:rPr>
            </w:pPr>
          </w:p>
        </w:tc>
        <w:tc>
          <w:tcPr>
            <w:tcW w:w="1023" w:type="dxa"/>
            <w:tcBorders>
              <w:bottom w:val="single" w:sz="4" w:space="0" w:color="auto"/>
            </w:tcBorders>
            <w:vAlign w:val="bottom"/>
          </w:tcPr>
          <w:p w14:paraId="3639F227" w14:textId="77777777" w:rsidR="006846DF" w:rsidRPr="00FC7539" w:rsidRDefault="006846DF" w:rsidP="00922116">
            <w:pPr>
              <w:pStyle w:val="VSmCellHead"/>
              <w:jc w:val="center"/>
              <w:rPr>
                <w:sz w:val="16"/>
                <w:szCs w:val="18"/>
              </w:rPr>
            </w:pPr>
            <w:r w:rsidRPr="00FC7539">
              <w:rPr>
                <w:sz w:val="16"/>
                <w:szCs w:val="18"/>
              </w:rPr>
              <w:t>2021</w:t>
            </w:r>
          </w:p>
        </w:tc>
        <w:tc>
          <w:tcPr>
            <w:tcW w:w="302" w:type="dxa"/>
            <w:vAlign w:val="bottom"/>
          </w:tcPr>
          <w:p w14:paraId="680B86BA" w14:textId="77777777" w:rsidR="006846DF" w:rsidRPr="00FC7539" w:rsidRDefault="006846DF" w:rsidP="00922116">
            <w:pPr>
              <w:pStyle w:val="CellRowSpacer"/>
              <w:spacing w:after="120"/>
              <w:jc w:val="center"/>
              <w:rPr>
                <w:sz w:val="16"/>
                <w:szCs w:val="18"/>
              </w:rPr>
            </w:pPr>
          </w:p>
        </w:tc>
        <w:tc>
          <w:tcPr>
            <w:tcW w:w="1023" w:type="dxa"/>
            <w:tcBorders>
              <w:bottom w:val="single" w:sz="4" w:space="0" w:color="auto"/>
            </w:tcBorders>
            <w:vAlign w:val="bottom"/>
          </w:tcPr>
          <w:p w14:paraId="1D3C6F21" w14:textId="77777777" w:rsidR="006846DF" w:rsidRPr="00FC7539" w:rsidRDefault="006846DF" w:rsidP="00922116">
            <w:pPr>
              <w:pStyle w:val="VSmCellHead"/>
              <w:jc w:val="center"/>
              <w:rPr>
                <w:sz w:val="16"/>
                <w:szCs w:val="18"/>
              </w:rPr>
            </w:pPr>
            <w:r w:rsidRPr="00FC7539">
              <w:rPr>
                <w:sz w:val="16"/>
                <w:szCs w:val="18"/>
              </w:rPr>
              <w:t>2022</w:t>
            </w:r>
          </w:p>
        </w:tc>
        <w:tc>
          <w:tcPr>
            <w:tcW w:w="302" w:type="dxa"/>
            <w:vAlign w:val="bottom"/>
          </w:tcPr>
          <w:p w14:paraId="32800B7F" w14:textId="77777777" w:rsidR="006846DF" w:rsidRPr="00FC7539" w:rsidRDefault="006846DF" w:rsidP="00922116">
            <w:pPr>
              <w:pStyle w:val="CellRowSpacer"/>
              <w:spacing w:after="120"/>
              <w:jc w:val="center"/>
              <w:rPr>
                <w:sz w:val="16"/>
                <w:szCs w:val="18"/>
              </w:rPr>
            </w:pPr>
          </w:p>
        </w:tc>
        <w:tc>
          <w:tcPr>
            <w:tcW w:w="1023" w:type="dxa"/>
            <w:tcBorders>
              <w:bottom w:val="single" w:sz="4" w:space="0" w:color="auto"/>
            </w:tcBorders>
            <w:vAlign w:val="bottom"/>
          </w:tcPr>
          <w:p w14:paraId="7545DE0D" w14:textId="77777777" w:rsidR="006846DF" w:rsidRPr="00FC7539" w:rsidRDefault="006846DF" w:rsidP="00922116">
            <w:pPr>
              <w:pStyle w:val="VSmCellHead"/>
              <w:jc w:val="center"/>
              <w:rPr>
                <w:sz w:val="16"/>
                <w:szCs w:val="18"/>
              </w:rPr>
            </w:pPr>
            <w:r w:rsidRPr="00FC7539">
              <w:rPr>
                <w:sz w:val="16"/>
                <w:szCs w:val="18"/>
              </w:rPr>
              <w:t>2023</w:t>
            </w:r>
          </w:p>
        </w:tc>
        <w:tc>
          <w:tcPr>
            <w:tcW w:w="302" w:type="dxa"/>
            <w:vAlign w:val="bottom"/>
          </w:tcPr>
          <w:p w14:paraId="14648D8A" w14:textId="77777777" w:rsidR="006846DF" w:rsidRPr="00FC7539" w:rsidRDefault="006846DF" w:rsidP="00922116">
            <w:pPr>
              <w:pStyle w:val="CellRowSpacer"/>
              <w:spacing w:after="120"/>
              <w:jc w:val="center"/>
              <w:rPr>
                <w:sz w:val="16"/>
                <w:szCs w:val="18"/>
              </w:rPr>
            </w:pPr>
          </w:p>
        </w:tc>
        <w:tc>
          <w:tcPr>
            <w:tcW w:w="1023" w:type="dxa"/>
            <w:tcBorders>
              <w:bottom w:val="single" w:sz="4" w:space="0" w:color="auto"/>
            </w:tcBorders>
            <w:vAlign w:val="bottom"/>
          </w:tcPr>
          <w:p w14:paraId="7096A180" w14:textId="77777777" w:rsidR="006846DF" w:rsidRPr="00FC7539" w:rsidRDefault="006846DF" w:rsidP="00922116">
            <w:pPr>
              <w:pStyle w:val="VSmCellHead"/>
              <w:jc w:val="center"/>
              <w:rPr>
                <w:sz w:val="16"/>
                <w:szCs w:val="18"/>
              </w:rPr>
            </w:pPr>
            <w:r w:rsidRPr="00FC7539">
              <w:rPr>
                <w:sz w:val="16"/>
                <w:szCs w:val="18"/>
              </w:rPr>
              <w:t>2024</w:t>
            </w:r>
          </w:p>
        </w:tc>
        <w:tc>
          <w:tcPr>
            <w:tcW w:w="302" w:type="dxa"/>
            <w:vAlign w:val="bottom"/>
          </w:tcPr>
          <w:p w14:paraId="5DBE9872" w14:textId="77777777" w:rsidR="006846DF" w:rsidRPr="00FC7539" w:rsidRDefault="006846DF" w:rsidP="00922116">
            <w:pPr>
              <w:pStyle w:val="CellRowSpacer"/>
              <w:spacing w:after="120"/>
              <w:rPr>
                <w:sz w:val="16"/>
                <w:szCs w:val="18"/>
              </w:rPr>
            </w:pPr>
          </w:p>
        </w:tc>
      </w:tr>
      <w:tr w:rsidR="006846DF" w:rsidRPr="00FC7539" w14:paraId="4663659E" w14:textId="77777777" w:rsidTr="00922116">
        <w:trPr>
          <w:trHeight w:val="327"/>
        </w:trPr>
        <w:tc>
          <w:tcPr>
            <w:tcW w:w="3499" w:type="dxa"/>
            <w:vAlign w:val="bottom"/>
          </w:tcPr>
          <w:p w14:paraId="1FEEB30C" w14:textId="77777777" w:rsidR="006846DF" w:rsidRPr="00FC7539" w:rsidRDefault="006846DF" w:rsidP="00922116">
            <w:pPr>
              <w:pStyle w:val="VSmCellBody"/>
              <w:tabs>
                <w:tab w:val="right" w:leader="dot" w:pos="3390"/>
              </w:tabs>
              <w:rPr>
                <w:sz w:val="16"/>
                <w:szCs w:val="18"/>
              </w:rPr>
            </w:pPr>
            <w:r w:rsidRPr="00FC7539">
              <w:rPr>
                <w:sz w:val="16"/>
                <w:szCs w:val="18"/>
              </w:rPr>
              <w:t>Crude Shipping</w:t>
            </w:r>
            <w:r w:rsidRPr="00FC7539">
              <w:rPr>
                <w:sz w:val="14"/>
                <w:szCs w:val="14"/>
              </w:rPr>
              <w:tab/>
            </w:r>
          </w:p>
        </w:tc>
        <w:tc>
          <w:tcPr>
            <w:tcW w:w="303" w:type="dxa"/>
            <w:vAlign w:val="bottom"/>
          </w:tcPr>
          <w:p w14:paraId="235785F0" w14:textId="77777777" w:rsidR="006846DF" w:rsidRPr="00FC7539" w:rsidRDefault="006846DF" w:rsidP="00922116">
            <w:pPr>
              <w:pStyle w:val="CellRowSpacer"/>
              <w:rPr>
                <w:sz w:val="16"/>
                <w:szCs w:val="18"/>
              </w:rPr>
            </w:pPr>
          </w:p>
        </w:tc>
        <w:tc>
          <w:tcPr>
            <w:tcW w:w="1023" w:type="dxa"/>
            <w:tcBorders>
              <w:top w:val="single" w:sz="4" w:space="0" w:color="auto"/>
            </w:tcBorders>
            <w:vAlign w:val="bottom"/>
          </w:tcPr>
          <w:p w14:paraId="6FBA12F7" w14:textId="77777777" w:rsidR="006846DF" w:rsidRPr="00FC7539" w:rsidRDefault="006846DF" w:rsidP="00922116">
            <w:pPr>
              <w:pStyle w:val="VSmCellBody"/>
              <w:jc w:val="right"/>
              <w:rPr>
                <w:sz w:val="16"/>
                <w:szCs w:val="18"/>
              </w:rPr>
            </w:pPr>
            <w:r w:rsidRPr="00FC7539">
              <w:rPr>
                <w:sz w:val="16"/>
                <w:szCs w:val="18"/>
              </w:rPr>
              <w:t>4</w:t>
            </w:r>
          </w:p>
        </w:tc>
        <w:tc>
          <w:tcPr>
            <w:tcW w:w="302" w:type="dxa"/>
            <w:vAlign w:val="bottom"/>
          </w:tcPr>
          <w:p w14:paraId="50767235" w14:textId="77777777" w:rsidR="006846DF" w:rsidRPr="00FC7539" w:rsidRDefault="006846DF" w:rsidP="00922116">
            <w:pPr>
              <w:pStyle w:val="CellRowSpacer"/>
              <w:rPr>
                <w:sz w:val="16"/>
                <w:szCs w:val="18"/>
              </w:rPr>
            </w:pPr>
          </w:p>
        </w:tc>
        <w:tc>
          <w:tcPr>
            <w:tcW w:w="1023" w:type="dxa"/>
            <w:tcBorders>
              <w:top w:val="single" w:sz="4" w:space="0" w:color="auto"/>
            </w:tcBorders>
            <w:vAlign w:val="bottom"/>
          </w:tcPr>
          <w:p w14:paraId="6B084B6B" w14:textId="77777777" w:rsidR="006846DF" w:rsidRPr="00FC7539" w:rsidRDefault="006846DF" w:rsidP="00922116">
            <w:pPr>
              <w:pStyle w:val="VSmCellBody"/>
              <w:jc w:val="right"/>
              <w:rPr>
                <w:sz w:val="16"/>
                <w:szCs w:val="18"/>
              </w:rPr>
            </w:pPr>
            <w:r w:rsidRPr="00FC7539">
              <w:rPr>
                <w:sz w:val="16"/>
                <w:szCs w:val="18"/>
              </w:rPr>
              <w:t>6</w:t>
            </w:r>
          </w:p>
        </w:tc>
        <w:tc>
          <w:tcPr>
            <w:tcW w:w="302" w:type="dxa"/>
            <w:vAlign w:val="bottom"/>
          </w:tcPr>
          <w:p w14:paraId="384244DA" w14:textId="77777777" w:rsidR="006846DF" w:rsidRPr="00FC7539" w:rsidRDefault="006846DF" w:rsidP="00922116">
            <w:pPr>
              <w:pStyle w:val="CellRowSpacer"/>
              <w:rPr>
                <w:sz w:val="16"/>
                <w:szCs w:val="18"/>
              </w:rPr>
            </w:pPr>
          </w:p>
        </w:tc>
        <w:tc>
          <w:tcPr>
            <w:tcW w:w="1023" w:type="dxa"/>
            <w:tcBorders>
              <w:top w:val="single" w:sz="4" w:space="0" w:color="auto"/>
            </w:tcBorders>
            <w:vAlign w:val="bottom"/>
          </w:tcPr>
          <w:p w14:paraId="61583822" w14:textId="77777777" w:rsidR="006846DF" w:rsidRPr="00FC7539" w:rsidRDefault="006846DF" w:rsidP="00922116">
            <w:pPr>
              <w:pStyle w:val="VSmCellBody"/>
              <w:jc w:val="right"/>
              <w:rPr>
                <w:sz w:val="16"/>
                <w:szCs w:val="18"/>
              </w:rPr>
            </w:pPr>
            <w:r w:rsidRPr="00FC7539">
              <w:rPr>
                <w:sz w:val="16"/>
                <w:szCs w:val="18"/>
              </w:rPr>
              <w:t>1</w:t>
            </w:r>
          </w:p>
        </w:tc>
        <w:tc>
          <w:tcPr>
            <w:tcW w:w="302" w:type="dxa"/>
            <w:vAlign w:val="bottom"/>
          </w:tcPr>
          <w:p w14:paraId="106E617F" w14:textId="77777777" w:rsidR="006846DF" w:rsidRPr="00FC7539" w:rsidRDefault="006846DF" w:rsidP="00922116">
            <w:pPr>
              <w:pStyle w:val="CellRowSpacer"/>
              <w:rPr>
                <w:sz w:val="16"/>
                <w:szCs w:val="18"/>
              </w:rPr>
            </w:pPr>
          </w:p>
        </w:tc>
        <w:tc>
          <w:tcPr>
            <w:tcW w:w="1023" w:type="dxa"/>
            <w:tcBorders>
              <w:top w:val="single" w:sz="4" w:space="0" w:color="auto"/>
            </w:tcBorders>
            <w:vAlign w:val="bottom"/>
          </w:tcPr>
          <w:p w14:paraId="759F0340" w14:textId="77777777" w:rsidR="006846DF" w:rsidRPr="00FC7539" w:rsidRDefault="006846DF" w:rsidP="00922116">
            <w:pPr>
              <w:pStyle w:val="VSmCellBody"/>
              <w:jc w:val="right"/>
              <w:rPr>
                <w:sz w:val="16"/>
                <w:szCs w:val="18"/>
              </w:rPr>
            </w:pPr>
            <w:r w:rsidRPr="00FC7539">
              <w:rPr>
                <w:sz w:val="16"/>
                <w:szCs w:val="18"/>
              </w:rPr>
              <w:t>—</w:t>
            </w:r>
          </w:p>
        </w:tc>
        <w:tc>
          <w:tcPr>
            <w:tcW w:w="302" w:type="dxa"/>
            <w:vAlign w:val="bottom"/>
          </w:tcPr>
          <w:p w14:paraId="704C9E57" w14:textId="77777777" w:rsidR="006846DF" w:rsidRPr="00FC7539" w:rsidRDefault="006846DF" w:rsidP="00922116">
            <w:pPr>
              <w:pStyle w:val="CellRowSpacer"/>
              <w:rPr>
                <w:sz w:val="16"/>
                <w:szCs w:val="18"/>
              </w:rPr>
            </w:pPr>
          </w:p>
        </w:tc>
      </w:tr>
      <w:tr w:rsidR="006846DF" w:rsidRPr="00FC7539" w14:paraId="067BBAE8" w14:textId="77777777" w:rsidTr="00922116">
        <w:trPr>
          <w:trHeight w:val="354"/>
        </w:trPr>
        <w:tc>
          <w:tcPr>
            <w:tcW w:w="3499" w:type="dxa"/>
            <w:vAlign w:val="bottom"/>
          </w:tcPr>
          <w:p w14:paraId="6E3E3B88" w14:textId="77777777" w:rsidR="006846DF" w:rsidRPr="00FC7539" w:rsidRDefault="006846DF" w:rsidP="00922116">
            <w:pPr>
              <w:pStyle w:val="VSmCellBody"/>
              <w:tabs>
                <w:tab w:val="right" w:leader="dot" w:pos="3390"/>
              </w:tabs>
              <w:rPr>
                <w:sz w:val="16"/>
                <w:szCs w:val="18"/>
              </w:rPr>
            </w:pPr>
            <w:r w:rsidRPr="00FC7539">
              <w:rPr>
                <w:sz w:val="16"/>
                <w:szCs w:val="18"/>
              </w:rPr>
              <w:t>Products Shipping</w:t>
            </w:r>
            <w:r w:rsidRPr="00FC7539">
              <w:rPr>
                <w:sz w:val="14"/>
                <w:szCs w:val="14"/>
              </w:rPr>
              <w:tab/>
            </w:r>
          </w:p>
        </w:tc>
        <w:tc>
          <w:tcPr>
            <w:tcW w:w="303" w:type="dxa"/>
            <w:vAlign w:val="bottom"/>
          </w:tcPr>
          <w:p w14:paraId="647EC824" w14:textId="77777777" w:rsidR="006846DF" w:rsidRPr="00FC7539" w:rsidRDefault="006846DF" w:rsidP="00922116">
            <w:pPr>
              <w:pStyle w:val="CellRowSpacer"/>
              <w:rPr>
                <w:sz w:val="16"/>
                <w:szCs w:val="18"/>
              </w:rPr>
            </w:pPr>
          </w:p>
        </w:tc>
        <w:tc>
          <w:tcPr>
            <w:tcW w:w="1023" w:type="dxa"/>
            <w:vAlign w:val="bottom"/>
          </w:tcPr>
          <w:p w14:paraId="6ED0F11B" w14:textId="77777777" w:rsidR="006846DF" w:rsidRPr="00FC7539" w:rsidRDefault="006846DF" w:rsidP="00922116">
            <w:pPr>
              <w:pStyle w:val="VSmCellBody"/>
              <w:jc w:val="right"/>
              <w:rPr>
                <w:sz w:val="16"/>
                <w:szCs w:val="18"/>
              </w:rPr>
            </w:pPr>
            <w:r w:rsidRPr="00FC7539">
              <w:rPr>
                <w:sz w:val="16"/>
                <w:szCs w:val="18"/>
              </w:rPr>
              <w:t>8</w:t>
            </w:r>
          </w:p>
        </w:tc>
        <w:tc>
          <w:tcPr>
            <w:tcW w:w="302" w:type="dxa"/>
            <w:vAlign w:val="bottom"/>
          </w:tcPr>
          <w:p w14:paraId="60BE8574" w14:textId="77777777" w:rsidR="006846DF" w:rsidRPr="00FC7539" w:rsidRDefault="006846DF" w:rsidP="00922116">
            <w:pPr>
              <w:pStyle w:val="CellRowSpacer"/>
              <w:rPr>
                <w:sz w:val="16"/>
                <w:szCs w:val="18"/>
              </w:rPr>
            </w:pPr>
          </w:p>
        </w:tc>
        <w:tc>
          <w:tcPr>
            <w:tcW w:w="1023" w:type="dxa"/>
            <w:vAlign w:val="bottom"/>
          </w:tcPr>
          <w:p w14:paraId="08129BAB" w14:textId="77777777" w:rsidR="006846DF" w:rsidRPr="00FC7539" w:rsidRDefault="006846DF" w:rsidP="00922116">
            <w:pPr>
              <w:pStyle w:val="VSmCellBody"/>
              <w:jc w:val="right"/>
              <w:rPr>
                <w:sz w:val="16"/>
                <w:szCs w:val="18"/>
              </w:rPr>
            </w:pPr>
            <w:r w:rsidRPr="00FC7539">
              <w:rPr>
                <w:sz w:val="16"/>
                <w:szCs w:val="18"/>
              </w:rPr>
              <w:t>1</w:t>
            </w:r>
          </w:p>
        </w:tc>
        <w:tc>
          <w:tcPr>
            <w:tcW w:w="302" w:type="dxa"/>
            <w:vAlign w:val="bottom"/>
          </w:tcPr>
          <w:p w14:paraId="4CEAB182" w14:textId="77777777" w:rsidR="006846DF" w:rsidRPr="00FC7539" w:rsidRDefault="006846DF" w:rsidP="00922116">
            <w:pPr>
              <w:pStyle w:val="CellRowSpacer"/>
              <w:rPr>
                <w:sz w:val="16"/>
                <w:szCs w:val="18"/>
              </w:rPr>
            </w:pPr>
          </w:p>
        </w:tc>
        <w:tc>
          <w:tcPr>
            <w:tcW w:w="1023" w:type="dxa"/>
            <w:vAlign w:val="bottom"/>
          </w:tcPr>
          <w:p w14:paraId="62A89F84" w14:textId="77777777" w:rsidR="006846DF" w:rsidRPr="00FC7539" w:rsidRDefault="006846DF" w:rsidP="00922116">
            <w:pPr>
              <w:pStyle w:val="VSmCellBody"/>
              <w:jc w:val="right"/>
              <w:rPr>
                <w:sz w:val="16"/>
                <w:szCs w:val="18"/>
              </w:rPr>
            </w:pPr>
            <w:r w:rsidRPr="00FC7539">
              <w:rPr>
                <w:sz w:val="16"/>
                <w:szCs w:val="18"/>
              </w:rPr>
              <w:t>2</w:t>
            </w:r>
          </w:p>
        </w:tc>
        <w:tc>
          <w:tcPr>
            <w:tcW w:w="302" w:type="dxa"/>
            <w:vAlign w:val="bottom"/>
          </w:tcPr>
          <w:p w14:paraId="79FC7C3E" w14:textId="77777777" w:rsidR="006846DF" w:rsidRPr="00FC7539" w:rsidRDefault="006846DF" w:rsidP="00922116">
            <w:pPr>
              <w:pStyle w:val="CellRowSpacer"/>
              <w:rPr>
                <w:sz w:val="16"/>
                <w:szCs w:val="18"/>
              </w:rPr>
            </w:pPr>
          </w:p>
        </w:tc>
        <w:tc>
          <w:tcPr>
            <w:tcW w:w="1023" w:type="dxa"/>
            <w:vAlign w:val="bottom"/>
          </w:tcPr>
          <w:p w14:paraId="663748F0" w14:textId="77777777" w:rsidR="006846DF" w:rsidRPr="00FC7539" w:rsidRDefault="006846DF" w:rsidP="00922116">
            <w:pPr>
              <w:pStyle w:val="VSmCellBody"/>
              <w:jc w:val="right"/>
              <w:rPr>
                <w:sz w:val="16"/>
                <w:szCs w:val="18"/>
              </w:rPr>
            </w:pPr>
            <w:r w:rsidRPr="00FC7539">
              <w:rPr>
                <w:sz w:val="16"/>
                <w:szCs w:val="18"/>
              </w:rPr>
              <w:t>—</w:t>
            </w:r>
          </w:p>
        </w:tc>
        <w:tc>
          <w:tcPr>
            <w:tcW w:w="302" w:type="dxa"/>
            <w:vAlign w:val="bottom"/>
          </w:tcPr>
          <w:p w14:paraId="71F6071C" w14:textId="77777777" w:rsidR="006846DF" w:rsidRPr="00FC7539" w:rsidRDefault="006846DF" w:rsidP="00922116">
            <w:pPr>
              <w:pStyle w:val="CellRowSpacer"/>
              <w:rPr>
                <w:sz w:val="16"/>
                <w:szCs w:val="18"/>
              </w:rPr>
            </w:pPr>
          </w:p>
        </w:tc>
      </w:tr>
      <w:tr w:rsidR="006846DF" w:rsidRPr="00FC7539" w14:paraId="2878990C" w14:textId="77777777" w:rsidTr="00922116">
        <w:trPr>
          <w:trHeight w:val="342"/>
        </w:trPr>
        <w:tc>
          <w:tcPr>
            <w:tcW w:w="3499" w:type="dxa"/>
            <w:vAlign w:val="bottom"/>
          </w:tcPr>
          <w:p w14:paraId="53BE01F7" w14:textId="77777777" w:rsidR="006846DF" w:rsidRPr="00FC7539" w:rsidRDefault="006846DF" w:rsidP="00922116">
            <w:pPr>
              <w:pStyle w:val="VSmCellBody"/>
              <w:tabs>
                <w:tab w:val="right" w:leader="dot" w:pos="3390"/>
              </w:tabs>
              <w:rPr>
                <w:sz w:val="16"/>
                <w:szCs w:val="18"/>
              </w:rPr>
            </w:pPr>
            <w:r w:rsidRPr="00FC7539">
              <w:rPr>
                <w:sz w:val="16"/>
                <w:szCs w:val="18"/>
              </w:rPr>
              <w:t>Dry Bulk Shipping</w:t>
            </w:r>
            <w:r w:rsidRPr="00FC7539">
              <w:rPr>
                <w:sz w:val="14"/>
                <w:szCs w:val="14"/>
              </w:rPr>
              <w:tab/>
            </w:r>
          </w:p>
        </w:tc>
        <w:tc>
          <w:tcPr>
            <w:tcW w:w="303" w:type="dxa"/>
            <w:vAlign w:val="bottom"/>
          </w:tcPr>
          <w:p w14:paraId="3B5E3699" w14:textId="77777777" w:rsidR="006846DF" w:rsidRPr="00FC7539" w:rsidRDefault="006846DF" w:rsidP="00922116">
            <w:pPr>
              <w:pStyle w:val="CellRowSpacer"/>
              <w:rPr>
                <w:sz w:val="16"/>
                <w:szCs w:val="18"/>
              </w:rPr>
            </w:pPr>
          </w:p>
        </w:tc>
        <w:tc>
          <w:tcPr>
            <w:tcW w:w="1023" w:type="dxa"/>
            <w:vAlign w:val="bottom"/>
          </w:tcPr>
          <w:p w14:paraId="28616B91" w14:textId="77777777" w:rsidR="006846DF" w:rsidRPr="00FC7539" w:rsidRDefault="006846DF" w:rsidP="00922116">
            <w:pPr>
              <w:pStyle w:val="VSmCellBody"/>
              <w:jc w:val="right"/>
              <w:rPr>
                <w:sz w:val="16"/>
                <w:szCs w:val="18"/>
              </w:rPr>
            </w:pPr>
            <w:r w:rsidRPr="00FC7539">
              <w:rPr>
                <w:sz w:val="16"/>
                <w:szCs w:val="18"/>
              </w:rPr>
              <w:t>—</w:t>
            </w:r>
          </w:p>
        </w:tc>
        <w:tc>
          <w:tcPr>
            <w:tcW w:w="302" w:type="dxa"/>
            <w:vAlign w:val="bottom"/>
          </w:tcPr>
          <w:p w14:paraId="3C68674D" w14:textId="77777777" w:rsidR="006846DF" w:rsidRPr="00FC7539" w:rsidRDefault="006846DF" w:rsidP="00922116">
            <w:pPr>
              <w:pStyle w:val="CellRowSpacer"/>
              <w:rPr>
                <w:sz w:val="16"/>
                <w:szCs w:val="18"/>
              </w:rPr>
            </w:pPr>
          </w:p>
        </w:tc>
        <w:tc>
          <w:tcPr>
            <w:tcW w:w="1023" w:type="dxa"/>
            <w:vAlign w:val="bottom"/>
          </w:tcPr>
          <w:p w14:paraId="0C4FD5B5" w14:textId="77777777" w:rsidR="006846DF" w:rsidRPr="00FC7539" w:rsidRDefault="006846DF" w:rsidP="00922116">
            <w:pPr>
              <w:pStyle w:val="VSmCellBody"/>
              <w:jc w:val="right"/>
              <w:rPr>
                <w:sz w:val="16"/>
                <w:szCs w:val="18"/>
              </w:rPr>
            </w:pPr>
            <w:r w:rsidRPr="00FC7539">
              <w:rPr>
                <w:sz w:val="16"/>
                <w:szCs w:val="18"/>
              </w:rPr>
              <w:t>3</w:t>
            </w:r>
          </w:p>
        </w:tc>
        <w:tc>
          <w:tcPr>
            <w:tcW w:w="302" w:type="dxa"/>
            <w:vAlign w:val="bottom"/>
          </w:tcPr>
          <w:p w14:paraId="6DC64755" w14:textId="77777777" w:rsidR="006846DF" w:rsidRPr="00FC7539" w:rsidRDefault="006846DF" w:rsidP="00922116">
            <w:pPr>
              <w:pStyle w:val="CellRowSpacer"/>
              <w:rPr>
                <w:sz w:val="16"/>
                <w:szCs w:val="18"/>
              </w:rPr>
            </w:pPr>
          </w:p>
        </w:tc>
        <w:tc>
          <w:tcPr>
            <w:tcW w:w="1023" w:type="dxa"/>
            <w:vAlign w:val="bottom"/>
          </w:tcPr>
          <w:p w14:paraId="6AAB8C20" w14:textId="77777777" w:rsidR="006846DF" w:rsidRPr="00FC7539" w:rsidRDefault="006846DF" w:rsidP="00922116">
            <w:pPr>
              <w:pStyle w:val="VSmCellBody"/>
              <w:jc w:val="right"/>
              <w:rPr>
                <w:sz w:val="16"/>
                <w:szCs w:val="18"/>
              </w:rPr>
            </w:pPr>
            <w:r w:rsidRPr="00FC7539">
              <w:rPr>
                <w:sz w:val="16"/>
                <w:szCs w:val="18"/>
              </w:rPr>
              <w:t>4</w:t>
            </w:r>
          </w:p>
        </w:tc>
        <w:tc>
          <w:tcPr>
            <w:tcW w:w="302" w:type="dxa"/>
            <w:vAlign w:val="bottom"/>
          </w:tcPr>
          <w:p w14:paraId="522B9864" w14:textId="77777777" w:rsidR="006846DF" w:rsidRPr="00FC7539" w:rsidRDefault="006846DF" w:rsidP="00922116">
            <w:pPr>
              <w:pStyle w:val="CellRowSpacer"/>
              <w:rPr>
                <w:sz w:val="16"/>
                <w:szCs w:val="18"/>
              </w:rPr>
            </w:pPr>
          </w:p>
        </w:tc>
        <w:tc>
          <w:tcPr>
            <w:tcW w:w="1023" w:type="dxa"/>
            <w:vAlign w:val="bottom"/>
          </w:tcPr>
          <w:p w14:paraId="6D821C53" w14:textId="77777777" w:rsidR="006846DF" w:rsidRPr="00FC7539" w:rsidRDefault="006846DF" w:rsidP="00922116">
            <w:pPr>
              <w:pStyle w:val="VSmCellBody"/>
              <w:jc w:val="right"/>
              <w:rPr>
                <w:sz w:val="16"/>
                <w:szCs w:val="18"/>
              </w:rPr>
            </w:pPr>
            <w:r w:rsidRPr="00FC7539">
              <w:rPr>
                <w:sz w:val="16"/>
                <w:szCs w:val="18"/>
              </w:rPr>
              <w:t>2</w:t>
            </w:r>
          </w:p>
        </w:tc>
        <w:tc>
          <w:tcPr>
            <w:tcW w:w="302" w:type="dxa"/>
            <w:vAlign w:val="bottom"/>
          </w:tcPr>
          <w:p w14:paraId="3385A0DA" w14:textId="77777777" w:rsidR="006846DF" w:rsidRPr="00FC7539" w:rsidRDefault="006846DF" w:rsidP="00922116">
            <w:pPr>
              <w:pStyle w:val="CellRowSpacer"/>
              <w:rPr>
                <w:sz w:val="16"/>
                <w:szCs w:val="18"/>
              </w:rPr>
            </w:pPr>
          </w:p>
        </w:tc>
      </w:tr>
      <w:tr w:rsidR="006846DF" w:rsidRPr="00FC7539" w14:paraId="7CE75FC7" w14:textId="77777777" w:rsidTr="00922116">
        <w:trPr>
          <w:trHeight w:val="342"/>
        </w:trPr>
        <w:tc>
          <w:tcPr>
            <w:tcW w:w="3499" w:type="dxa"/>
            <w:vAlign w:val="bottom"/>
          </w:tcPr>
          <w:p w14:paraId="359430A2" w14:textId="77777777" w:rsidR="006846DF" w:rsidRPr="00FC7539" w:rsidRDefault="006846DF" w:rsidP="00922116">
            <w:pPr>
              <w:pStyle w:val="VSmCellBody"/>
              <w:tabs>
                <w:tab w:val="right" w:leader="dot" w:pos="3390"/>
              </w:tabs>
              <w:rPr>
                <w:sz w:val="16"/>
                <w:szCs w:val="18"/>
              </w:rPr>
            </w:pPr>
            <w:r w:rsidRPr="00FC7539">
              <w:rPr>
                <w:sz w:val="16"/>
                <w:szCs w:val="18"/>
              </w:rPr>
              <w:t>Gas Shipping</w:t>
            </w:r>
            <w:r w:rsidRPr="00FC7539">
              <w:rPr>
                <w:sz w:val="14"/>
                <w:szCs w:val="14"/>
              </w:rPr>
              <w:tab/>
            </w:r>
          </w:p>
        </w:tc>
        <w:tc>
          <w:tcPr>
            <w:tcW w:w="303" w:type="dxa"/>
            <w:vAlign w:val="bottom"/>
          </w:tcPr>
          <w:p w14:paraId="111A9770" w14:textId="77777777" w:rsidR="006846DF" w:rsidRPr="00FC7539" w:rsidRDefault="006846DF" w:rsidP="00922116">
            <w:pPr>
              <w:pStyle w:val="CellRowSpacer"/>
              <w:rPr>
                <w:sz w:val="16"/>
                <w:szCs w:val="18"/>
              </w:rPr>
            </w:pPr>
          </w:p>
        </w:tc>
        <w:tc>
          <w:tcPr>
            <w:tcW w:w="1023" w:type="dxa"/>
            <w:vAlign w:val="bottom"/>
          </w:tcPr>
          <w:p w14:paraId="44305C55" w14:textId="77777777" w:rsidR="006846DF" w:rsidRPr="00FC7539" w:rsidRDefault="006846DF" w:rsidP="00922116">
            <w:pPr>
              <w:pStyle w:val="VSmCellBody"/>
              <w:jc w:val="right"/>
              <w:rPr>
                <w:sz w:val="16"/>
                <w:szCs w:val="18"/>
              </w:rPr>
            </w:pPr>
            <w:r w:rsidRPr="00FC7539">
              <w:rPr>
                <w:sz w:val="16"/>
                <w:szCs w:val="18"/>
              </w:rPr>
              <w:t>3</w:t>
            </w:r>
          </w:p>
        </w:tc>
        <w:tc>
          <w:tcPr>
            <w:tcW w:w="302" w:type="dxa"/>
            <w:vAlign w:val="bottom"/>
          </w:tcPr>
          <w:p w14:paraId="0E530F02" w14:textId="77777777" w:rsidR="006846DF" w:rsidRPr="00FC7539" w:rsidRDefault="006846DF" w:rsidP="00922116">
            <w:pPr>
              <w:pStyle w:val="CellRowSpacer"/>
              <w:rPr>
                <w:sz w:val="16"/>
                <w:szCs w:val="18"/>
              </w:rPr>
            </w:pPr>
          </w:p>
        </w:tc>
        <w:tc>
          <w:tcPr>
            <w:tcW w:w="1023" w:type="dxa"/>
            <w:vAlign w:val="bottom"/>
          </w:tcPr>
          <w:p w14:paraId="2373894F" w14:textId="77777777" w:rsidR="006846DF" w:rsidRPr="00FC7539" w:rsidRDefault="006846DF" w:rsidP="00922116">
            <w:pPr>
              <w:pStyle w:val="VSmCellBody"/>
              <w:jc w:val="right"/>
              <w:rPr>
                <w:sz w:val="16"/>
                <w:szCs w:val="18"/>
              </w:rPr>
            </w:pPr>
            <w:r w:rsidRPr="00FC7539">
              <w:rPr>
                <w:sz w:val="16"/>
                <w:szCs w:val="18"/>
              </w:rPr>
              <w:t>1</w:t>
            </w:r>
          </w:p>
        </w:tc>
        <w:tc>
          <w:tcPr>
            <w:tcW w:w="302" w:type="dxa"/>
            <w:vAlign w:val="bottom"/>
          </w:tcPr>
          <w:p w14:paraId="22675D6A" w14:textId="77777777" w:rsidR="006846DF" w:rsidRPr="00FC7539" w:rsidRDefault="006846DF" w:rsidP="00922116">
            <w:pPr>
              <w:pStyle w:val="CellRowSpacer"/>
              <w:rPr>
                <w:sz w:val="16"/>
                <w:szCs w:val="18"/>
              </w:rPr>
            </w:pPr>
          </w:p>
        </w:tc>
        <w:tc>
          <w:tcPr>
            <w:tcW w:w="1023" w:type="dxa"/>
            <w:vAlign w:val="bottom"/>
          </w:tcPr>
          <w:p w14:paraId="72776A72" w14:textId="77777777" w:rsidR="006846DF" w:rsidRPr="00FC7539" w:rsidRDefault="006846DF" w:rsidP="00922116">
            <w:pPr>
              <w:pStyle w:val="VSmCellBody"/>
              <w:jc w:val="right"/>
              <w:rPr>
                <w:sz w:val="16"/>
                <w:szCs w:val="18"/>
              </w:rPr>
            </w:pPr>
            <w:r w:rsidRPr="00FC7539">
              <w:rPr>
                <w:sz w:val="16"/>
                <w:szCs w:val="18"/>
              </w:rPr>
              <w:t>1</w:t>
            </w:r>
          </w:p>
        </w:tc>
        <w:tc>
          <w:tcPr>
            <w:tcW w:w="302" w:type="dxa"/>
            <w:vAlign w:val="bottom"/>
          </w:tcPr>
          <w:p w14:paraId="6A3B876E" w14:textId="77777777" w:rsidR="006846DF" w:rsidRPr="00FC7539" w:rsidRDefault="006846DF" w:rsidP="00922116">
            <w:pPr>
              <w:pStyle w:val="CellRowSpacer"/>
              <w:rPr>
                <w:sz w:val="16"/>
                <w:szCs w:val="18"/>
              </w:rPr>
            </w:pPr>
          </w:p>
        </w:tc>
        <w:tc>
          <w:tcPr>
            <w:tcW w:w="1023" w:type="dxa"/>
            <w:vAlign w:val="bottom"/>
          </w:tcPr>
          <w:p w14:paraId="08C77615" w14:textId="77777777" w:rsidR="006846DF" w:rsidRPr="00FC7539" w:rsidRDefault="006846DF" w:rsidP="00922116">
            <w:pPr>
              <w:pStyle w:val="VSmCellBody"/>
              <w:jc w:val="right"/>
              <w:rPr>
                <w:sz w:val="16"/>
                <w:szCs w:val="18"/>
              </w:rPr>
            </w:pPr>
            <w:r w:rsidRPr="00FC7539">
              <w:rPr>
                <w:sz w:val="16"/>
                <w:szCs w:val="18"/>
              </w:rPr>
              <w:t>4</w:t>
            </w:r>
          </w:p>
        </w:tc>
        <w:tc>
          <w:tcPr>
            <w:tcW w:w="302" w:type="dxa"/>
            <w:vAlign w:val="bottom"/>
          </w:tcPr>
          <w:p w14:paraId="6709C56A" w14:textId="77777777" w:rsidR="006846DF" w:rsidRPr="00FC7539" w:rsidRDefault="006846DF" w:rsidP="00922116">
            <w:pPr>
              <w:pStyle w:val="CellRowSpacer"/>
              <w:rPr>
                <w:sz w:val="16"/>
                <w:szCs w:val="18"/>
              </w:rPr>
            </w:pPr>
          </w:p>
        </w:tc>
      </w:tr>
      <w:tr w:rsidR="006846DF" w:rsidRPr="00FC7539" w14:paraId="3D9CB043" w14:textId="77777777" w:rsidTr="00922116">
        <w:trPr>
          <w:trHeight w:val="342"/>
        </w:trPr>
        <w:tc>
          <w:tcPr>
            <w:tcW w:w="3499" w:type="dxa"/>
            <w:vAlign w:val="bottom"/>
          </w:tcPr>
          <w:p w14:paraId="53524130" w14:textId="77777777" w:rsidR="006846DF" w:rsidRPr="00FC7539" w:rsidRDefault="006846DF" w:rsidP="00922116">
            <w:pPr>
              <w:pStyle w:val="VSmCellBody"/>
              <w:tabs>
                <w:tab w:val="right" w:leader="dot" w:pos="3390"/>
              </w:tabs>
              <w:rPr>
                <w:sz w:val="16"/>
                <w:szCs w:val="18"/>
              </w:rPr>
            </w:pPr>
            <w:r w:rsidRPr="00FC7539">
              <w:rPr>
                <w:sz w:val="16"/>
                <w:szCs w:val="18"/>
              </w:rPr>
              <w:t>Liner Shipping</w:t>
            </w:r>
            <w:r w:rsidRPr="00FC7539">
              <w:rPr>
                <w:sz w:val="14"/>
                <w:szCs w:val="14"/>
              </w:rPr>
              <w:tab/>
            </w:r>
          </w:p>
        </w:tc>
        <w:tc>
          <w:tcPr>
            <w:tcW w:w="303" w:type="dxa"/>
            <w:vAlign w:val="bottom"/>
          </w:tcPr>
          <w:p w14:paraId="159BBDDC" w14:textId="77777777" w:rsidR="006846DF" w:rsidRPr="00FC7539" w:rsidRDefault="006846DF" w:rsidP="00922116">
            <w:pPr>
              <w:pStyle w:val="CellRowSpacer"/>
              <w:rPr>
                <w:sz w:val="16"/>
                <w:szCs w:val="18"/>
              </w:rPr>
            </w:pPr>
          </w:p>
        </w:tc>
        <w:tc>
          <w:tcPr>
            <w:tcW w:w="1023" w:type="dxa"/>
            <w:tcBorders>
              <w:bottom w:val="single" w:sz="4" w:space="0" w:color="auto"/>
            </w:tcBorders>
            <w:vAlign w:val="bottom"/>
          </w:tcPr>
          <w:p w14:paraId="12CF5839" w14:textId="77777777" w:rsidR="006846DF" w:rsidRPr="00FC7539" w:rsidRDefault="006846DF" w:rsidP="00922116">
            <w:pPr>
              <w:pStyle w:val="VSmCellBody"/>
              <w:jc w:val="right"/>
              <w:rPr>
                <w:sz w:val="16"/>
                <w:szCs w:val="18"/>
              </w:rPr>
            </w:pPr>
            <w:r w:rsidRPr="00FC7539">
              <w:rPr>
                <w:sz w:val="16"/>
                <w:szCs w:val="18"/>
              </w:rPr>
              <w:t>—</w:t>
            </w:r>
          </w:p>
        </w:tc>
        <w:tc>
          <w:tcPr>
            <w:tcW w:w="302" w:type="dxa"/>
            <w:vAlign w:val="bottom"/>
          </w:tcPr>
          <w:p w14:paraId="37783822" w14:textId="77777777" w:rsidR="006846DF" w:rsidRPr="00FC7539" w:rsidRDefault="006846DF" w:rsidP="00922116">
            <w:pPr>
              <w:pStyle w:val="CellRowSpacer"/>
              <w:rPr>
                <w:sz w:val="16"/>
                <w:szCs w:val="18"/>
              </w:rPr>
            </w:pPr>
          </w:p>
        </w:tc>
        <w:tc>
          <w:tcPr>
            <w:tcW w:w="1023" w:type="dxa"/>
            <w:tcBorders>
              <w:bottom w:val="single" w:sz="4" w:space="0" w:color="auto"/>
            </w:tcBorders>
            <w:vAlign w:val="bottom"/>
          </w:tcPr>
          <w:p w14:paraId="1A0E3763" w14:textId="77777777" w:rsidR="006846DF" w:rsidRPr="00FC7539" w:rsidRDefault="006846DF" w:rsidP="00922116">
            <w:pPr>
              <w:pStyle w:val="VSmCellBody"/>
              <w:jc w:val="right"/>
              <w:rPr>
                <w:sz w:val="16"/>
                <w:szCs w:val="18"/>
              </w:rPr>
            </w:pPr>
            <w:r w:rsidRPr="00FC7539">
              <w:rPr>
                <w:sz w:val="16"/>
                <w:szCs w:val="18"/>
              </w:rPr>
              <w:t>—</w:t>
            </w:r>
          </w:p>
        </w:tc>
        <w:tc>
          <w:tcPr>
            <w:tcW w:w="302" w:type="dxa"/>
            <w:vAlign w:val="bottom"/>
          </w:tcPr>
          <w:p w14:paraId="2E6F8BEF" w14:textId="77777777" w:rsidR="006846DF" w:rsidRPr="00FC7539" w:rsidRDefault="006846DF" w:rsidP="00922116">
            <w:pPr>
              <w:pStyle w:val="CellRowSpacer"/>
              <w:rPr>
                <w:sz w:val="16"/>
                <w:szCs w:val="18"/>
              </w:rPr>
            </w:pPr>
          </w:p>
        </w:tc>
        <w:tc>
          <w:tcPr>
            <w:tcW w:w="1023" w:type="dxa"/>
            <w:tcBorders>
              <w:bottom w:val="single" w:sz="4" w:space="0" w:color="auto"/>
            </w:tcBorders>
            <w:vAlign w:val="bottom"/>
          </w:tcPr>
          <w:p w14:paraId="085827CB" w14:textId="77777777" w:rsidR="006846DF" w:rsidRPr="00FC7539" w:rsidRDefault="006846DF" w:rsidP="00922116">
            <w:pPr>
              <w:pStyle w:val="VSmCellBody"/>
              <w:jc w:val="right"/>
              <w:rPr>
                <w:sz w:val="16"/>
                <w:szCs w:val="18"/>
              </w:rPr>
            </w:pPr>
          </w:p>
        </w:tc>
        <w:tc>
          <w:tcPr>
            <w:tcW w:w="302" w:type="dxa"/>
            <w:vAlign w:val="bottom"/>
          </w:tcPr>
          <w:p w14:paraId="38FB53AA" w14:textId="77777777" w:rsidR="006846DF" w:rsidRPr="00FC7539" w:rsidRDefault="006846DF" w:rsidP="00922116">
            <w:pPr>
              <w:pStyle w:val="CellRowSpacer"/>
              <w:rPr>
                <w:sz w:val="16"/>
                <w:szCs w:val="18"/>
              </w:rPr>
            </w:pPr>
          </w:p>
        </w:tc>
        <w:tc>
          <w:tcPr>
            <w:tcW w:w="1023" w:type="dxa"/>
            <w:tcBorders>
              <w:bottom w:val="single" w:sz="4" w:space="0" w:color="auto"/>
            </w:tcBorders>
            <w:vAlign w:val="bottom"/>
          </w:tcPr>
          <w:p w14:paraId="1CC56E16" w14:textId="77777777" w:rsidR="006846DF" w:rsidRPr="00FC7539" w:rsidRDefault="006846DF" w:rsidP="00922116">
            <w:pPr>
              <w:pStyle w:val="VSmCellBody"/>
              <w:jc w:val="right"/>
              <w:rPr>
                <w:sz w:val="16"/>
                <w:szCs w:val="18"/>
              </w:rPr>
            </w:pPr>
            <w:r w:rsidRPr="00FC7539">
              <w:rPr>
                <w:sz w:val="16"/>
                <w:szCs w:val="18"/>
              </w:rPr>
              <w:t>—</w:t>
            </w:r>
          </w:p>
        </w:tc>
        <w:tc>
          <w:tcPr>
            <w:tcW w:w="302" w:type="dxa"/>
            <w:vAlign w:val="bottom"/>
          </w:tcPr>
          <w:p w14:paraId="5D1D06DA" w14:textId="77777777" w:rsidR="006846DF" w:rsidRPr="00FC7539" w:rsidRDefault="006846DF" w:rsidP="00922116">
            <w:pPr>
              <w:pStyle w:val="CellRowSpacer"/>
              <w:rPr>
                <w:sz w:val="16"/>
                <w:szCs w:val="18"/>
              </w:rPr>
            </w:pPr>
          </w:p>
        </w:tc>
      </w:tr>
      <w:tr w:rsidR="006846DF" w:rsidRPr="00FC7539" w14:paraId="66E0FCF6" w14:textId="77777777" w:rsidTr="00922116">
        <w:trPr>
          <w:trHeight w:val="342"/>
        </w:trPr>
        <w:tc>
          <w:tcPr>
            <w:tcW w:w="3499" w:type="dxa"/>
            <w:vAlign w:val="bottom"/>
          </w:tcPr>
          <w:p w14:paraId="3F22D6BA" w14:textId="77777777" w:rsidR="006846DF" w:rsidRPr="00FC7539" w:rsidRDefault="006846DF" w:rsidP="00922116">
            <w:pPr>
              <w:pStyle w:val="VSmCellBody"/>
              <w:tabs>
                <w:tab w:val="right" w:leader="dot" w:pos="3390"/>
              </w:tabs>
              <w:rPr>
                <w:b/>
                <w:bCs/>
                <w:sz w:val="16"/>
                <w:szCs w:val="18"/>
              </w:rPr>
            </w:pPr>
            <w:r w:rsidRPr="00FC7539">
              <w:rPr>
                <w:b/>
                <w:bCs/>
                <w:sz w:val="16"/>
                <w:szCs w:val="18"/>
              </w:rPr>
              <w:t>Total</w:t>
            </w:r>
            <w:r w:rsidRPr="00FC7539">
              <w:rPr>
                <w:sz w:val="14"/>
                <w:szCs w:val="14"/>
              </w:rPr>
              <w:tab/>
            </w:r>
          </w:p>
        </w:tc>
        <w:tc>
          <w:tcPr>
            <w:tcW w:w="303" w:type="dxa"/>
            <w:vAlign w:val="bottom"/>
          </w:tcPr>
          <w:p w14:paraId="369475FD" w14:textId="77777777" w:rsidR="006846DF" w:rsidRPr="00FC7539" w:rsidRDefault="006846DF" w:rsidP="00922116">
            <w:pPr>
              <w:pStyle w:val="CellRowSpacer"/>
              <w:rPr>
                <w:b/>
                <w:bCs/>
                <w:sz w:val="16"/>
                <w:szCs w:val="18"/>
              </w:rPr>
            </w:pPr>
          </w:p>
        </w:tc>
        <w:tc>
          <w:tcPr>
            <w:tcW w:w="1023" w:type="dxa"/>
            <w:tcBorders>
              <w:top w:val="single" w:sz="4" w:space="0" w:color="auto"/>
              <w:bottom w:val="double" w:sz="4" w:space="0" w:color="auto"/>
            </w:tcBorders>
            <w:vAlign w:val="bottom"/>
          </w:tcPr>
          <w:p w14:paraId="787F2B45" w14:textId="77777777" w:rsidR="006846DF" w:rsidRPr="00FC7539" w:rsidRDefault="006846DF" w:rsidP="00922116">
            <w:pPr>
              <w:pStyle w:val="VSmCellBody"/>
              <w:jc w:val="right"/>
              <w:rPr>
                <w:b/>
                <w:bCs/>
                <w:sz w:val="16"/>
                <w:szCs w:val="18"/>
              </w:rPr>
            </w:pPr>
            <w:r w:rsidRPr="00FC7539">
              <w:rPr>
                <w:b/>
                <w:bCs/>
                <w:sz w:val="16"/>
                <w:szCs w:val="18"/>
              </w:rPr>
              <w:t>15</w:t>
            </w:r>
          </w:p>
        </w:tc>
        <w:tc>
          <w:tcPr>
            <w:tcW w:w="302" w:type="dxa"/>
            <w:vAlign w:val="bottom"/>
          </w:tcPr>
          <w:p w14:paraId="41ABF765" w14:textId="77777777" w:rsidR="006846DF" w:rsidRPr="00FC7539" w:rsidRDefault="006846DF" w:rsidP="00922116">
            <w:pPr>
              <w:pStyle w:val="CellRowSpacer"/>
              <w:rPr>
                <w:b/>
                <w:bCs/>
                <w:sz w:val="16"/>
                <w:szCs w:val="18"/>
              </w:rPr>
            </w:pPr>
          </w:p>
        </w:tc>
        <w:tc>
          <w:tcPr>
            <w:tcW w:w="1023" w:type="dxa"/>
            <w:tcBorders>
              <w:top w:val="single" w:sz="4" w:space="0" w:color="auto"/>
              <w:bottom w:val="double" w:sz="4" w:space="0" w:color="auto"/>
            </w:tcBorders>
            <w:vAlign w:val="bottom"/>
          </w:tcPr>
          <w:p w14:paraId="7D3EA4F2" w14:textId="77777777" w:rsidR="006846DF" w:rsidRPr="00FC7539" w:rsidRDefault="006846DF" w:rsidP="00922116">
            <w:pPr>
              <w:pStyle w:val="VSmCellBody"/>
              <w:jc w:val="right"/>
              <w:rPr>
                <w:b/>
                <w:bCs/>
                <w:sz w:val="16"/>
                <w:szCs w:val="18"/>
              </w:rPr>
            </w:pPr>
            <w:r w:rsidRPr="00FC7539">
              <w:rPr>
                <w:b/>
                <w:bCs/>
                <w:sz w:val="16"/>
                <w:szCs w:val="18"/>
              </w:rPr>
              <w:t>11</w:t>
            </w:r>
          </w:p>
        </w:tc>
        <w:tc>
          <w:tcPr>
            <w:tcW w:w="302" w:type="dxa"/>
            <w:vAlign w:val="bottom"/>
          </w:tcPr>
          <w:p w14:paraId="674ACE26" w14:textId="77777777" w:rsidR="006846DF" w:rsidRPr="00FC7539" w:rsidRDefault="006846DF" w:rsidP="00922116">
            <w:pPr>
              <w:pStyle w:val="CellRowSpacer"/>
              <w:rPr>
                <w:b/>
                <w:bCs/>
                <w:sz w:val="16"/>
                <w:szCs w:val="18"/>
              </w:rPr>
            </w:pPr>
          </w:p>
        </w:tc>
        <w:tc>
          <w:tcPr>
            <w:tcW w:w="1023" w:type="dxa"/>
            <w:tcBorders>
              <w:top w:val="single" w:sz="4" w:space="0" w:color="auto"/>
              <w:bottom w:val="double" w:sz="4" w:space="0" w:color="auto"/>
            </w:tcBorders>
            <w:vAlign w:val="bottom"/>
          </w:tcPr>
          <w:p w14:paraId="3BD379EC" w14:textId="77777777" w:rsidR="006846DF" w:rsidRPr="00FC7539" w:rsidRDefault="006846DF" w:rsidP="00922116">
            <w:pPr>
              <w:pStyle w:val="VSmCellBody"/>
              <w:jc w:val="right"/>
              <w:rPr>
                <w:b/>
                <w:bCs/>
                <w:sz w:val="16"/>
                <w:szCs w:val="18"/>
              </w:rPr>
            </w:pPr>
            <w:r w:rsidRPr="00FC7539">
              <w:rPr>
                <w:b/>
                <w:bCs/>
                <w:sz w:val="16"/>
                <w:szCs w:val="18"/>
              </w:rPr>
              <w:t>9</w:t>
            </w:r>
          </w:p>
        </w:tc>
        <w:tc>
          <w:tcPr>
            <w:tcW w:w="302" w:type="dxa"/>
            <w:vAlign w:val="bottom"/>
          </w:tcPr>
          <w:p w14:paraId="3AF91EB6" w14:textId="77777777" w:rsidR="006846DF" w:rsidRPr="00FC7539" w:rsidRDefault="006846DF" w:rsidP="00922116">
            <w:pPr>
              <w:pStyle w:val="CellRowSpacer"/>
              <w:rPr>
                <w:b/>
                <w:bCs/>
                <w:sz w:val="16"/>
                <w:szCs w:val="18"/>
              </w:rPr>
            </w:pPr>
          </w:p>
        </w:tc>
        <w:tc>
          <w:tcPr>
            <w:tcW w:w="1023" w:type="dxa"/>
            <w:tcBorders>
              <w:top w:val="single" w:sz="4" w:space="0" w:color="auto"/>
              <w:bottom w:val="double" w:sz="4" w:space="0" w:color="auto"/>
            </w:tcBorders>
            <w:vAlign w:val="bottom"/>
          </w:tcPr>
          <w:p w14:paraId="021C0D01" w14:textId="77777777" w:rsidR="006846DF" w:rsidRPr="00FC7539" w:rsidRDefault="006846DF" w:rsidP="00922116">
            <w:pPr>
              <w:pStyle w:val="VSmCellBody"/>
              <w:jc w:val="right"/>
              <w:rPr>
                <w:b/>
                <w:bCs/>
                <w:sz w:val="16"/>
                <w:szCs w:val="18"/>
              </w:rPr>
            </w:pPr>
            <w:r w:rsidRPr="00FC7539">
              <w:rPr>
                <w:b/>
                <w:bCs/>
                <w:sz w:val="16"/>
                <w:szCs w:val="18"/>
              </w:rPr>
              <w:t>6</w:t>
            </w:r>
          </w:p>
        </w:tc>
        <w:tc>
          <w:tcPr>
            <w:tcW w:w="302" w:type="dxa"/>
            <w:vAlign w:val="bottom"/>
          </w:tcPr>
          <w:p w14:paraId="092B8D86" w14:textId="77777777" w:rsidR="006846DF" w:rsidRPr="00FC7539" w:rsidRDefault="006846DF" w:rsidP="00922116">
            <w:pPr>
              <w:pStyle w:val="CellRowSpacer"/>
              <w:rPr>
                <w:sz w:val="16"/>
                <w:szCs w:val="18"/>
              </w:rPr>
            </w:pPr>
          </w:p>
        </w:tc>
      </w:tr>
    </w:tbl>
    <w:p w14:paraId="60554B70" w14:textId="77777777" w:rsidR="006846DF" w:rsidRDefault="006846DF" w:rsidP="006846DF">
      <w:pPr>
        <w:bidi/>
        <w:jc w:val="both"/>
        <w:rPr>
          <w:rFonts w:ascii="Traditional Arabic" w:hAnsi="Traditional Arabic" w:cs="Traditional Arabic"/>
          <w:sz w:val="30"/>
          <w:szCs w:val="30"/>
          <w:rtl/>
        </w:rPr>
      </w:pPr>
    </w:p>
    <w:p w14:paraId="433BEFB0" w14:textId="77777777" w:rsidR="00334534" w:rsidRPr="00334534" w:rsidRDefault="00334534" w:rsidP="00AC5C0C">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كما تقوم دولة علم كل سفينة، أو جمعية تصنيف السفينة إذا رشحتها دولة العلم، بتفتيش تلك السفينة، للتأكد من امتثالها للقواعد واللوائح المعمول بها في بلد تسجيل السفينة والاتفاقيات الدولية التي وقعت عليها تلك الدولة. كما تقوم سلطات دولة </w:t>
      </w:r>
      <w:r w:rsidRPr="00334534">
        <w:rPr>
          <w:rFonts w:ascii="Traditional Arabic" w:hAnsi="Traditional Arabic" w:cs="Traditional Arabic"/>
          <w:sz w:val="30"/>
          <w:szCs w:val="30"/>
          <w:rtl/>
        </w:rPr>
        <w:lastRenderedPageBreak/>
        <w:t>الميناء، مثل خفر السواحل في الولايات المتحدة وهيئة السلامة البحرية الأسترالية، بتفتيش سفن الشركة عند زيارة موانئها. هذا، ويقوم العديد من عملاء الشركة أيضًا بفحص سفن الشركة بانتظام، والمعروفة باسم "الفحص"، كشرط للتأجير. وتعتقد الإدارة أن سفن الشركة الحديثة ذات الصيانة الجيدة والجودة العالية توفر للشركة ميزة تنافسية في البيئة الحالية التي تتزايد فيها اللوائح التنظيمية وتركيز العملاء على جودة الخدمة.</w:t>
      </w:r>
    </w:p>
    <w:p w14:paraId="6D671145" w14:textId="77777777" w:rsidR="00AC5C0C" w:rsidRDefault="00AC5C0C" w:rsidP="00334534">
      <w:pPr>
        <w:bidi/>
        <w:jc w:val="both"/>
        <w:rPr>
          <w:rFonts w:ascii="Traditional Arabic" w:hAnsi="Traditional Arabic" w:cs="Traditional Arabic"/>
          <w:b/>
          <w:sz w:val="30"/>
          <w:szCs w:val="30"/>
          <w:rtl/>
        </w:rPr>
      </w:pPr>
    </w:p>
    <w:p w14:paraId="260E7835" w14:textId="77777777" w:rsidR="00334534" w:rsidRPr="00985281"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الدعاوى القضائية</w:t>
      </w:r>
    </w:p>
    <w:p w14:paraId="142651B6" w14:textId="77777777" w:rsidR="00334534" w:rsidRPr="00334534" w:rsidRDefault="00334534" w:rsidP="00334534">
      <w:pPr>
        <w:bidi/>
        <w:jc w:val="both"/>
        <w:rPr>
          <w:rFonts w:ascii="Traditional Arabic" w:hAnsi="Traditional Arabic" w:cs="Traditional Arabic"/>
          <w:sz w:val="30"/>
          <w:szCs w:val="30"/>
        </w:rPr>
      </w:pPr>
      <w:r w:rsidRPr="00334534">
        <w:rPr>
          <w:rFonts w:ascii="Traditional Arabic" w:hAnsi="Traditional Arabic" w:cs="Traditional Arabic"/>
          <w:sz w:val="30"/>
          <w:szCs w:val="30"/>
          <w:rtl/>
        </w:rPr>
        <w:t xml:space="preserve">تدخل الشركة من وقت لآخر في دعاوى حكومية أو قانونية أو تحكيمية أو دعاوى أخرى. ولا تعتقد الشركة أن هناك أي دعوى إذا حُكم فيها لصالح خصمها أن يكون لها تأثير سلبي جوهري على المركز المالي للشركة أو ربحيتها. </w:t>
      </w:r>
    </w:p>
    <w:p w14:paraId="1D197F66" w14:textId="77777777" w:rsidR="00AC5C0C" w:rsidRDefault="00AC5C0C" w:rsidP="00334534">
      <w:pPr>
        <w:bidi/>
        <w:jc w:val="both"/>
        <w:rPr>
          <w:rFonts w:ascii="Traditional Arabic" w:hAnsi="Traditional Arabic" w:cs="Traditional Arabic"/>
          <w:b/>
          <w:sz w:val="30"/>
          <w:szCs w:val="30"/>
          <w:rtl/>
        </w:rPr>
      </w:pPr>
    </w:p>
    <w:p w14:paraId="76391C15" w14:textId="77777777" w:rsidR="00334534" w:rsidRDefault="00334534" w:rsidP="00AC5C0C">
      <w:pPr>
        <w:bidi/>
        <w:jc w:val="both"/>
        <w:rPr>
          <w:rFonts w:ascii="Traditional Arabic" w:hAnsi="Traditional Arabic" w:cs="Traditional Arabic"/>
          <w:bCs/>
          <w:sz w:val="30"/>
          <w:szCs w:val="30"/>
        </w:rPr>
      </w:pPr>
      <w:r w:rsidRPr="00985281">
        <w:rPr>
          <w:rFonts w:ascii="Traditional Arabic" w:hAnsi="Traditional Arabic" w:cs="Traditional Arabic"/>
          <w:bCs/>
          <w:sz w:val="30"/>
          <w:szCs w:val="30"/>
          <w:rtl/>
        </w:rPr>
        <w:t>العقود الأساسية</w:t>
      </w:r>
    </w:p>
    <w:p w14:paraId="07F73C08" w14:textId="77777777" w:rsidR="00BB597A" w:rsidRPr="00A656B1" w:rsidRDefault="00BB597A" w:rsidP="008268A8">
      <w:pPr>
        <w:bidi/>
        <w:jc w:val="both"/>
        <w:rPr>
          <w:rFonts w:ascii="Traditional Arabic" w:hAnsi="Traditional Arabic" w:cs="Traditional Arabic"/>
          <w:b/>
          <w:sz w:val="30"/>
          <w:szCs w:val="30"/>
        </w:rPr>
      </w:pPr>
      <w:r w:rsidRPr="00A656B1">
        <w:rPr>
          <w:rFonts w:ascii="Traditional Arabic" w:hAnsi="Traditional Arabic" w:cs="Traditional Arabic"/>
          <w:bCs/>
          <w:i/>
          <w:iCs/>
          <w:sz w:val="30"/>
          <w:szCs w:val="30"/>
          <w:rtl/>
        </w:rPr>
        <w:t>اتفاقيات المشاريع المشتركة</w:t>
      </w:r>
    </w:p>
    <w:p w14:paraId="32C6AFB0" w14:textId="77777777" w:rsidR="00BB597A" w:rsidRPr="00A656B1" w:rsidRDefault="00BB597A" w:rsidP="00B934CE">
      <w:pPr>
        <w:bidi/>
        <w:spacing w:after="240"/>
        <w:jc w:val="both"/>
        <w:rPr>
          <w:rFonts w:ascii="Traditional Arabic" w:hAnsi="Traditional Arabic" w:cs="Traditional Arabic"/>
          <w:b/>
          <w:sz w:val="30"/>
          <w:szCs w:val="30"/>
        </w:rPr>
      </w:pPr>
      <w:r w:rsidRPr="00A656B1">
        <w:rPr>
          <w:rFonts w:ascii="Traditional Arabic" w:hAnsi="Traditional Arabic" w:cs="Traditional Arabic"/>
          <w:b/>
          <w:sz w:val="30"/>
          <w:szCs w:val="30"/>
          <w:rtl/>
        </w:rPr>
        <w:t xml:space="preserve">أبرمت الشركة العديد من اتفاقيات المشاريع المشتركة منذ إنشائها في عام 2003، وتخضع لها سفن الشركة المملوكة </w:t>
      </w:r>
      <w:r w:rsidR="0016384C">
        <w:rPr>
          <w:rFonts w:ascii="Traditional Arabic" w:hAnsi="Traditional Arabic" w:cs="Traditional Arabic" w:hint="cs"/>
          <w:b/>
          <w:sz w:val="30"/>
          <w:szCs w:val="30"/>
          <w:rtl/>
        </w:rPr>
        <w:t>بصورة مشتركة</w:t>
      </w:r>
      <w:r w:rsidRPr="00A656B1">
        <w:rPr>
          <w:rFonts w:ascii="Traditional Arabic" w:hAnsi="Traditional Arabic" w:cs="Traditional Arabic"/>
          <w:b/>
          <w:sz w:val="30"/>
          <w:szCs w:val="30"/>
          <w:rtl/>
        </w:rPr>
        <w:t xml:space="preserve"> مع أطراف أخرى. وقد أبرمت الشركة - على وجه الخصوص - العديد من اتفاقيات المشاريع المشتركة مع شركة متسوي التي تخضع لها السفن المملوكة </w:t>
      </w:r>
      <w:r w:rsidR="0016384C">
        <w:rPr>
          <w:rFonts w:ascii="Traditional Arabic" w:hAnsi="Traditional Arabic" w:cs="Traditional Arabic" w:hint="cs"/>
          <w:b/>
          <w:sz w:val="30"/>
          <w:szCs w:val="30"/>
          <w:rtl/>
        </w:rPr>
        <w:t>بصورة مشتركة</w:t>
      </w:r>
      <w:r w:rsidRPr="00A656B1">
        <w:rPr>
          <w:rFonts w:ascii="Traditional Arabic" w:hAnsi="Traditional Arabic" w:cs="Traditional Arabic"/>
          <w:b/>
          <w:sz w:val="30"/>
          <w:szCs w:val="30"/>
          <w:rtl/>
        </w:rPr>
        <w:t xml:space="preserve"> بين الشركة وشركة متسوي.</w:t>
      </w:r>
    </w:p>
    <w:p w14:paraId="0B4EAFEF" w14:textId="77777777" w:rsidR="00BB597A" w:rsidRPr="00A656B1" w:rsidRDefault="00BB597A" w:rsidP="008268A8">
      <w:pPr>
        <w:bidi/>
        <w:jc w:val="both"/>
        <w:rPr>
          <w:rFonts w:ascii="Traditional Arabic" w:hAnsi="Traditional Arabic" w:cs="Traditional Arabic"/>
          <w:b/>
          <w:sz w:val="30"/>
          <w:szCs w:val="30"/>
        </w:rPr>
      </w:pPr>
      <w:r w:rsidRPr="00A656B1">
        <w:rPr>
          <w:rFonts w:ascii="Traditional Arabic" w:hAnsi="Traditional Arabic" w:cs="Traditional Arabic"/>
          <w:b/>
          <w:sz w:val="30"/>
          <w:szCs w:val="30"/>
          <w:rtl/>
        </w:rPr>
        <w:t xml:space="preserve">وتنظم اتفاقيات المشاريع المشتركة العلاقة بين شركاء المشروع المشترك من تاريخ السريان، كما هو محدد فيها، وتستمر حتى يصبح المشروع المشترك مملوكًا لطرف واحد، أو يتم إنهاؤه أو حله أو تصفيته أو أن يتم بيع السفينة ذات الصلة أو أن تُفقد أو يتم التخلص منها. كما تحدد اتفاقيات المشروع المشترك الحقوق والالتزامات الخاصة بالأطراف التي تمثل مشروعًا مشتركًا غير مؤسس يهدف إلى تنفيذ عمليات إدارة السفن لكل سفينة من السفن المحددة. </w:t>
      </w:r>
    </w:p>
    <w:p w14:paraId="64C011C1" w14:textId="77777777" w:rsidR="00BB597A" w:rsidRPr="00A656B1" w:rsidRDefault="00BB597A" w:rsidP="00B934CE">
      <w:pPr>
        <w:bidi/>
        <w:spacing w:before="240"/>
        <w:jc w:val="both"/>
        <w:rPr>
          <w:rFonts w:ascii="Traditional Arabic" w:hAnsi="Traditional Arabic" w:cs="Traditional Arabic"/>
          <w:b/>
          <w:sz w:val="30"/>
          <w:szCs w:val="30"/>
        </w:rPr>
      </w:pPr>
      <w:r w:rsidRPr="00A656B1">
        <w:rPr>
          <w:rFonts w:ascii="Traditional Arabic" w:hAnsi="Traditional Arabic" w:cs="Traditional Arabic"/>
          <w:b/>
          <w:sz w:val="30"/>
          <w:szCs w:val="30"/>
          <w:rtl/>
        </w:rPr>
        <w:t>وعادةً ما تخضع اتفاقيات المشروع المشترك لقوانين إنجلترا وويلز.</w:t>
      </w:r>
    </w:p>
    <w:p w14:paraId="37760037" w14:textId="77777777" w:rsidR="00BB597A" w:rsidRPr="00A656B1" w:rsidRDefault="00BB597A" w:rsidP="00BB597A">
      <w:pPr>
        <w:bidi/>
        <w:jc w:val="both"/>
        <w:rPr>
          <w:rFonts w:ascii="Traditional Arabic" w:hAnsi="Traditional Arabic" w:cs="Traditional Arabic"/>
          <w:b/>
          <w:sz w:val="30"/>
          <w:szCs w:val="30"/>
        </w:rPr>
      </w:pPr>
    </w:p>
    <w:p w14:paraId="44F3156C" w14:textId="77777777" w:rsidR="00597EAA" w:rsidRPr="00597EAA" w:rsidRDefault="00BB597A" w:rsidP="00B934CE">
      <w:pPr>
        <w:bidi/>
        <w:spacing w:after="240"/>
        <w:jc w:val="both"/>
        <w:rPr>
          <w:rFonts w:ascii="Traditional Arabic" w:hAnsi="Traditional Arabic" w:cs="Traditional Arabic"/>
          <w:bCs/>
          <w:i/>
          <w:iCs/>
          <w:sz w:val="30"/>
          <w:szCs w:val="30"/>
          <w:rtl/>
        </w:rPr>
      </w:pPr>
      <w:r w:rsidRPr="00A656B1">
        <w:rPr>
          <w:rFonts w:ascii="Traditional Arabic" w:hAnsi="Traditional Arabic" w:cs="Traditional Arabic"/>
          <w:bCs/>
          <w:i/>
          <w:iCs/>
          <w:sz w:val="30"/>
          <w:szCs w:val="30"/>
          <w:rtl/>
        </w:rPr>
        <w:t>عقود إيجار سفينة مجهزة بالمدة</w:t>
      </w:r>
    </w:p>
    <w:p w14:paraId="3C89A91A"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كجزء من مسار عملها العادي، أبرمت الشركة عددًا من عقود إيجار السفن المجهزة بالمدة لمدد طويلة وقصيرة وعقود النقل البحري للبضائع مع عملائها، بما في ذلك سينوكور، فالي، شل، قلهات، ترافيجورا وكليرليك (كل على النحو المحدد أدنا</w:t>
      </w:r>
      <w:r w:rsidRPr="00B934CE">
        <w:rPr>
          <w:rFonts w:ascii="Traditional Arabic" w:hAnsi="Traditional Arabic" w:cs="Traditional Arabic" w:hint="eastAsia"/>
          <w:b/>
          <w:sz w:val="30"/>
          <w:szCs w:val="30"/>
          <w:rtl/>
        </w:rPr>
        <w:t>ه</w:t>
      </w:r>
      <w:r w:rsidRPr="00B934CE">
        <w:rPr>
          <w:rFonts w:ascii="Traditional Arabic" w:hAnsi="Traditional Arabic" w:cs="Traditional Arabic"/>
          <w:b/>
          <w:sz w:val="30"/>
          <w:szCs w:val="30"/>
          <w:rtl/>
        </w:rPr>
        <w:t>).</w:t>
      </w:r>
    </w:p>
    <w:p w14:paraId="08290E42" w14:textId="77777777" w:rsidR="00597EAA" w:rsidRPr="00B934CE" w:rsidRDefault="00597EAA" w:rsidP="00B934CE">
      <w:pPr>
        <w:bidi/>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وقد أوردنا فيما يلي بعض عقود إيجار السفن المجهزة بالمدة وعقود النقل البحري للبضائع بمزيد من التفصيل. يرجى الاطلاع على فقرة "- نظرة عامة على العقود</w:t>
      </w:r>
      <w:r w:rsidRPr="00B934CE">
        <w:rPr>
          <w:rFonts w:ascii="Traditional Arabic" w:hAnsi="Traditional Arabic" w:cs="Traditional Arabic"/>
          <w:b/>
          <w:sz w:val="30"/>
          <w:szCs w:val="30"/>
        </w:rPr>
        <w:t xml:space="preserve"> ".</w:t>
      </w:r>
    </w:p>
    <w:p w14:paraId="2A14BC37" w14:textId="77777777" w:rsidR="00597EAA" w:rsidRPr="00B934CE" w:rsidRDefault="00597EAA" w:rsidP="00B934CE">
      <w:pPr>
        <w:bidi/>
        <w:jc w:val="both"/>
        <w:rPr>
          <w:rFonts w:ascii="Traditional Arabic" w:hAnsi="Traditional Arabic" w:cs="Traditional Arabic"/>
          <w:b/>
          <w:sz w:val="30"/>
          <w:szCs w:val="30"/>
          <w:rtl/>
        </w:rPr>
      </w:pPr>
    </w:p>
    <w:p w14:paraId="78855355" w14:textId="77777777" w:rsidR="00597EAA" w:rsidRPr="00B934CE" w:rsidRDefault="00597EAA" w:rsidP="00B934CE">
      <w:pPr>
        <w:bidi/>
        <w:spacing w:after="240"/>
        <w:jc w:val="both"/>
        <w:rPr>
          <w:rFonts w:ascii="Traditional Arabic" w:hAnsi="Traditional Arabic" w:cs="Traditional Arabic"/>
          <w:b/>
          <w:i/>
          <w:iCs/>
          <w:sz w:val="30"/>
          <w:szCs w:val="30"/>
          <w:rtl/>
        </w:rPr>
      </w:pPr>
      <w:r w:rsidRPr="00B934CE">
        <w:rPr>
          <w:rFonts w:ascii="Traditional Arabic" w:hAnsi="Traditional Arabic" w:cs="Traditional Arabic"/>
          <w:b/>
          <w:i/>
          <w:iCs/>
          <w:sz w:val="30"/>
          <w:szCs w:val="30"/>
          <w:rtl/>
        </w:rPr>
        <w:lastRenderedPageBreak/>
        <w:t>شركة سينوكور</w:t>
      </w:r>
    </w:p>
    <w:p w14:paraId="2DDADD6A"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أبرمت الشركة عددًا من عقود إيجار السفن المجهزة بالمدة مع شركة سينوكور البحرية المحدودة ("سينوكور") لنقل النفط الخام. تتراوح مدة هذه العقود من ثلاث سنوات إلى ست سنوات وتشمل فترات تمديد اختيارية</w:t>
      </w:r>
      <w:r w:rsidRPr="00B934CE">
        <w:rPr>
          <w:rFonts w:ascii="Traditional Arabic" w:hAnsi="Traditional Arabic" w:cs="Traditional Arabic"/>
          <w:b/>
          <w:sz w:val="30"/>
          <w:szCs w:val="30"/>
        </w:rPr>
        <w:t>.</w:t>
      </w:r>
    </w:p>
    <w:p w14:paraId="406CF6F6"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ويتم دفع أجور الموظفين شهريًا من قبل سينوكور إلى الشركة وفقًا لعقد إيجار سفينة مجهزة بالمدة المعمول به. وتتحمل الشركة، بصفتها مالك السفن، مسؤولية صيانة السفن طوال فترة الاستئجار، بما في ذلك إجراء أي إصلاحات ضرورية والامتثال لأي لوائح معمول بها (على سبيل المثال، متطلبات الامتثال للمرور عبر قناة السويس وقناة بنما). كما تلتزم الشركة أيضًا بتوفير طاقم مدرب يتحدث اللغة الإنجليزية، ودفع تكاليفه والحصول على تأمين معين كما هو مفصل في عقد إيجار السفينة المجهزة بالمدة. وتتحمل سينوكور، بصفتها مستأجرة، مسؤولية تكاليف جميع الوقود والمياه العذبة ومواد تنظيف الخزانات وغيرها من النفقات التشغيلية ونفقات الرحلات البحرية خلال فترة الاستئجار، بما في ذلك رسوم الميناء ورسوم القطر والإرشاد البحري وتكاليف الأمن والتخلص من النفايات المرتبطة بالبضائع. تتضمن عقود إيجار سفينة مجهزة بالمدة أحكام الإنهاء النموذجية (بما في ذلك، على سبيل المثال، بالاتفاق المتبادل أو في حالة حدوث تقصير</w:t>
      </w:r>
      <w:r w:rsidR="004E61AD">
        <w:rPr>
          <w:rFonts w:ascii="Traditional Arabic" w:hAnsi="Traditional Arabic" w:cs="Traditional Arabic" w:hint="cs"/>
          <w:b/>
          <w:sz w:val="30"/>
          <w:szCs w:val="30"/>
          <w:rtl/>
        </w:rPr>
        <w:t>)</w:t>
      </w:r>
      <w:r w:rsidRPr="00B934CE">
        <w:rPr>
          <w:rFonts w:ascii="Traditional Arabic" w:hAnsi="Traditional Arabic" w:cs="Traditional Arabic"/>
          <w:b/>
          <w:sz w:val="30"/>
          <w:szCs w:val="30"/>
        </w:rPr>
        <w:t>.</w:t>
      </w:r>
    </w:p>
    <w:p w14:paraId="2F4B11D6" w14:textId="77777777" w:rsidR="00597EAA" w:rsidRPr="00B934CE" w:rsidRDefault="00597EAA" w:rsidP="00B934CE">
      <w:pPr>
        <w:bidi/>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وتخضع عقود إيجار سفينة مجهزة بالمدة مع سينوكور لقوانين إنجلترا وويلز</w:t>
      </w:r>
      <w:r w:rsidRPr="00B934CE">
        <w:rPr>
          <w:rFonts w:ascii="Traditional Arabic" w:hAnsi="Traditional Arabic" w:cs="Traditional Arabic"/>
          <w:b/>
          <w:sz w:val="30"/>
          <w:szCs w:val="30"/>
        </w:rPr>
        <w:t>.</w:t>
      </w:r>
    </w:p>
    <w:p w14:paraId="6DF809BE" w14:textId="77777777" w:rsidR="00597EAA" w:rsidRPr="00B934CE" w:rsidRDefault="00597EAA" w:rsidP="00B934CE">
      <w:pPr>
        <w:bidi/>
        <w:jc w:val="both"/>
        <w:rPr>
          <w:rFonts w:ascii="Traditional Arabic" w:hAnsi="Traditional Arabic" w:cs="Traditional Arabic"/>
          <w:b/>
          <w:sz w:val="30"/>
          <w:szCs w:val="30"/>
          <w:rtl/>
        </w:rPr>
      </w:pPr>
    </w:p>
    <w:p w14:paraId="5F9AB768" w14:textId="77777777" w:rsidR="00597EAA" w:rsidRPr="00B934CE" w:rsidRDefault="00597EAA" w:rsidP="00B934CE">
      <w:pPr>
        <w:bidi/>
        <w:spacing w:after="240"/>
        <w:jc w:val="both"/>
        <w:rPr>
          <w:rFonts w:ascii="Traditional Arabic" w:hAnsi="Traditional Arabic" w:cs="Traditional Arabic"/>
          <w:b/>
          <w:i/>
          <w:iCs/>
          <w:sz w:val="30"/>
          <w:szCs w:val="30"/>
          <w:rtl/>
        </w:rPr>
      </w:pPr>
      <w:r w:rsidRPr="00B934CE">
        <w:rPr>
          <w:rFonts w:ascii="Traditional Arabic" w:hAnsi="Traditional Arabic" w:cs="Traditional Arabic"/>
          <w:b/>
          <w:i/>
          <w:iCs/>
          <w:sz w:val="30"/>
          <w:szCs w:val="30"/>
          <w:rtl/>
        </w:rPr>
        <w:t>شركة فالي</w:t>
      </w:r>
    </w:p>
    <w:p w14:paraId="4D7AF483"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 xml:space="preserve">في </w:t>
      </w:r>
      <w:r w:rsidR="009D50A1">
        <w:rPr>
          <w:rFonts w:ascii="Traditional Arabic" w:hAnsi="Traditional Arabic" w:cs="Traditional Arabic" w:hint="cs"/>
          <w:b/>
          <w:sz w:val="30"/>
          <w:szCs w:val="30"/>
          <w:rtl/>
        </w:rPr>
        <w:t>١٢</w:t>
      </w:r>
      <w:r w:rsidRPr="00B934CE">
        <w:rPr>
          <w:rFonts w:ascii="Traditional Arabic" w:hAnsi="Traditional Arabic" w:cs="Traditional Arabic"/>
          <w:b/>
          <w:sz w:val="30"/>
          <w:szCs w:val="30"/>
          <w:rtl/>
        </w:rPr>
        <w:t xml:space="preserve"> سبتمبر </w:t>
      </w:r>
      <w:r w:rsidR="009D50A1">
        <w:rPr>
          <w:rFonts w:ascii="Traditional Arabic" w:hAnsi="Traditional Arabic" w:cs="Traditional Arabic" w:hint="cs"/>
          <w:b/>
          <w:sz w:val="30"/>
          <w:szCs w:val="30"/>
          <w:rtl/>
        </w:rPr>
        <w:t>٢٠١٢</w:t>
      </w:r>
      <w:r w:rsidRPr="00B934CE">
        <w:rPr>
          <w:rFonts w:ascii="Traditional Arabic" w:hAnsi="Traditional Arabic" w:cs="Traditional Arabic"/>
          <w:b/>
          <w:sz w:val="30"/>
          <w:szCs w:val="30"/>
          <w:rtl/>
        </w:rPr>
        <w:t xml:space="preserve">، أبرمت الشركة العديد من عقود إيجار السفن مع شركة فالي إنترناشيونال إس إيه ("فالي") لنقل خام الحديد. تستمر هذه العقود لمدة </w:t>
      </w:r>
      <w:r w:rsidR="009D50A1">
        <w:rPr>
          <w:rFonts w:ascii="Traditional Arabic" w:hAnsi="Traditional Arabic" w:cs="Traditional Arabic" w:hint="cs"/>
          <w:b/>
          <w:sz w:val="30"/>
          <w:szCs w:val="30"/>
          <w:rtl/>
        </w:rPr>
        <w:t>٢٠</w:t>
      </w:r>
      <w:r w:rsidRPr="00B934CE">
        <w:rPr>
          <w:rFonts w:ascii="Traditional Arabic" w:hAnsi="Traditional Arabic" w:cs="Traditional Arabic"/>
          <w:b/>
          <w:sz w:val="30"/>
          <w:szCs w:val="30"/>
          <w:rtl/>
        </w:rPr>
        <w:t xml:space="preserve"> عامًا وتستأجر شركة فالي جميع ناقلات خام الحديد العملاقة الأربعة التابعة للشركة</w:t>
      </w:r>
      <w:r w:rsidRPr="00B934CE">
        <w:rPr>
          <w:rFonts w:ascii="Traditional Arabic" w:hAnsi="Traditional Arabic" w:cs="Traditional Arabic"/>
          <w:b/>
          <w:sz w:val="30"/>
          <w:szCs w:val="30"/>
        </w:rPr>
        <w:t>.</w:t>
      </w:r>
    </w:p>
    <w:p w14:paraId="0103165E" w14:textId="77777777" w:rsidR="002739B9"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 xml:space="preserve">ويتم دفع أجور الموظفين </w:t>
      </w:r>
      <w:r w:rsidR="00332F28">
        <w:rPr>
          <w:rFonts w:ascii="Traditional Arabic" w:hAnsi="Traditional Arabic" w:cs="Traditional Arabic" w:hint="cs"/>
          <w:b/>
          <w:sz w:val="30"/>
          <w:szCs w:val="30"/>
          <w:rtl/>
        </w:rPr>
        <w:t>شهريا</w:t>
      </w:r>
      <w:r w:rsidR="00332F28" w:rsidRPr="00B934CE">
        <w:rPr>
          <w:rFonts w:ascii="Traditional Arabic" w:hAnsi="Traditional Arabic" w:cs="Traditional Arabic"/>
          <w:b/>
          <w:sz w:val="30"/>
          <w:szCs w:val="30"/>
          <w:rtl/>
        </w:rPr>
        <w:t xml:space="preserve"> </w:t>
      </w:r>
      <w:r w:rsidRPr="00B934CE">
        <w:rPr>
          <w:rFonts w:ascii="Traditional Arabic" w:hAnsi="Traditional Arabic" w:cs="Traditional Arabic"/>
          <w:b/>
          <w:sz w:val="30"/>
          <w:szCs w:val="30"/>
          <w:rtl/>
        </w:rPr>
        <w:t xml:space="preserve">من قبل فالي إلى الشركة وفقًا لعقد إيجار سفينة مجهزة بالمدة المعمول به. وتتحمل الشركة، بصفتها مالك السفن، مسؤولية </w:t>
      </w:r>
      <w:r w:rsidR="000E1B01" w:rsidRPr="000E1B01">
        <w:rPr>
          <w:rFonts w:ascii="Traditional Arabic" w:hAnsi="Traditional Arabic" w:cs="Traditional Arabic"/>
          <w:b/>
          <w:sz w:val="30"/>
          <w:szCs w:val="30"/>
          <w:rtl/>
        </w:rPr>
        <w:t>تسليم السفن في حالة صالحة للإبحار وضمان الامتثال لجميع القواعد واللوائح ذات الصلة في وقت التسليم. يجب على المالك صيانة السفن</w:t>
      </w:r>
      <w:r w:rsidR="002A19C8" w:rsidRPr="002A19C8">
        <w:rPr>
          <w:rFonts w:ascii="Traditional Arabic" w:hAnsi="Traditional Arabic" w:cs="Traditional Arabic"/>
          <w:b/>
          <w:sz w:val="30"/>
          <w:szCs w:val="30"/>
          <w:rtl/>
        </w:rPr>
        <w:t xml:space="preserve"> </w:t>
      </w:r>
      <w:r w:rsidR="002A19C8" w:rsidRPr="000E1B01">
        <w:rPr>
          <w:rFonts w:ascii="Traditional Arabic" w:hAnsi="Traditional Arabic" w:cs="Traditional Arabic"/>
          <w:b/>
          <w:sz w:val="30"/>
          <w:szCs w:val="30"/>
          <w:rtl/>
        </w:rPr>
        <w:t>طوال فترة الإيجار</w:t>
      </w:r>
      <w:r w:rsidR="000E1B01" w:rsidRPr="000E1B01">
        <w:rPr>
          <w:rFonts w:ascii="Traditional Arabic" w:hAnsi="Traditional Arabic" w:cs="Traditional Arabic"/>
          <w:b/>
          <w:sz w:val="30"/>
          <w:szCs w:val="30"/>
          <w:rtl/>
        </w:rPr>
        <w:t>، بما في ذلك توفير الطاقم والوقود والإمدادات اللازمة. كما يتحمل المالك المسؤولية عن أي أضرار تلحق بالسفن نتيجة لإهماله ويجب أن يتحمل تكاليف أي خسائر أو انتهاكات لشروط الإيجار. بالإضافة إلى ذلك، يجب على المالك تقديم الوثائق الأساسية، مثل شهادات صلاحية الإبحار وشهادات الشحن وشهادات السلامة</w:t>
      </w:r>
      <w:r w:rsidR="0097714A">
        <w:rPr>
          <w:rFonts w:ascii="Traditional Arabic" w:hAnsi="Traditional Arabic" w:cs="Traditional Arabic" w:hint="cs"/>
          <w:b/>
          <w:sz w:val="30"/>
          <w:szCs w:val="30"/>
          <w:rtl/>
        </w:rPr>
        <w:t xml:space="preserve"> </w:t>
      </w:r>
      <w:r w:rsidR="000E1B01" w:rsidRPr="000E1B01">
        <w:rPr>
          <w:rFonts w:ascii="Traditional Arabic" w:hAnsi="Traditional Arabic" w:cs="Traditional Arabic"/>
          <w:b/>
          <w:sz w:val="30"/>
          <w:szCs w:val="30"/>
          <w:rtl/>
        </w:rPr>
        <w:t xml:space="preserve">إلى المستأجر. </w:t>
      </w:r>
    </w:p>
    <w:p w14:paraId="6E7DC047" w14:textId="77777777" w:rsidR="00597EAA" w:rsidRPr="00B934CE" w:rsidRDefault="002739B9" w:rsidP="00D925C8">
      <w:pPr>
        <w:bidi/>
        <w:spacing w:after="240"/>
        <w:jc w:val="both"/>
        <w:rPr>
          <w:rFonts w:ascii="Traditional Arabic" w:hAnsi="Traditional Arabic" w:cs="Traditional Arabic"/>
          <w:b/>
          <w:sz w:val="30"/>
          <w:szCs w:val="30"/>
          <w:rtl/>
        </w:rPr>
      </w:pPr>
      <w:r>
        <w:rPr>
          <w:rFonts w:ascii="Traditional Arabic" w:hAnsi="Traditional Arabic" w:cs="Traditional Arabic" w:hint="cs"/>
          <w:b/>
          <w:sz w:val="30"/>
          <w:szCs w:val="30"/>
          <w:rtl/>
        </w:rPr>
        <w:t xml:space="preserve">وتكون </w:t>
      </w:r>
      <w:r w:rsidR="000E1B01" w:rsidRPr="000E1B01">
        <w:rPr>
          <w:rFonts w:ascii="Traditional Arabic" w:hAnsi="Traditional Arabic" w:cs="Traditional Arabic"/>
          <w:b/>
          <w:sz w:val="30"/>
          <w:szCs w:val="30"/>
          <w:rtl/>
        </w:rPr>
        <w:t xml:space="preserve">فالي، بصفتها مستأجرًا، مسؤولة عن دفع الإيجار المتفق عليه في الوقت المحدد وتشغيل السفن وفقًا لشروط الإيجار. </w:t>
      </w:r>
      <w:r w:rsidR="0097714A">
        <w:rPr>
          <w:rFonts w:ascii="Traditional Arabic" w:hAnsi="Traditional Arabic" w:cs="Traditional Arabic" w:hint="cs"/>
          <w:b/>
          <w:sz w:val="30"/>
          <w:szCs w:val="30"/>
          <w:rtl/>
        </w:rPr>
        <w:t>كما يقع على عات</w:t>
      </w:r>
      <w:r w:rsidR="0030064E">
        <w:rPr>
          <w:rFonts w:ascii="Traditional Arabic" w:hAnsi="Traditional Arabic" w:cs="Traditional Arabic" w:hint="cs"/>
          <w:b/>
          <w:sz w:val="30"/>
          <w:szCs w:val="30"/>
          <w:rtl/>
        </w:rPr>
        <w:t xml:space="preserve">قها </w:t>
      </w:r>
      <w:r w:rsidR="000E1B01" w:rsidRPr="000E1B01">
        <w:rPr>
          <w:rFonts w:ascii="Traditional Arabic" w:hAnsi="Traditional Arabic" w:cs="Traditional Arabic"/>
          <w:b/>
          <w:sz w:val="30"/>
          <w:szCs w:val="30"/>
          <w:rtl/>
        </w:rPr>
        <w:t xml:space="preserve">التأكد من إجراء تحميل وتفريغ البضائع بأمان وكفاءة. المستأجر مسؤول عن أي أضرار تلحق بالسفن بسبب إهماله أو سوء استخدامه. علاوة على ذلك، يجب على المستأجر الالتزام بجميع القوانين واللوائح المعمول بها أثناء تشغيل السفن، </w:t>
      </w:r>
      <w:r w:rsidR="000E1B01" w:rsidRPr="000E1B01">
        <w:rPr>
          <w:rFonts w:ascii="Traditional Arabic" w:hAnsi="Traditional Arabic" w:cs="Traditional Arabic"/>
          <w:b/>
          <w:sz w:val="30"/>
          <w:szCs w:val="30"/>
          <w:rtl/>
        </w:rPr>
        <w:lastRenderedPageBreak/>
        <w:t>ودفع جميع الضرائب والرسوم المتعلقة بالسفن وحمولتها وإبلاغ المالك على الفور عن أي أضرار أو إصلاحات ضرورية.</w:t>
      </w:r>
      <w:r w:rsidR="000E1B01" w:rsidRPr="000E1B01" w:rsidDel="000E1B01">
        <w:rPr>
          <w:rFonts w:ascii="Traditional Arabic" w:hAnsi="Traditional Arabic" w:cs="Traditional Arabic"/>
          <w:b/>
          <w:sz w:val="30"/>
          <w:szCs w:val="30"/>
          <w:rtl/>
        </w:rPr>
        <w:t xml:space="preserve"> </w:t>
      </w:r>
      <w:r w:rsidR="00597EAA" w:rsidRPr="00B934CE">
        <w:rPr>
          <w:rFonts w:ascii="Traditional Arabic" w:hAnsi="Traditional Arabic" w:cs="Traditional Arabic"/>
          <w:b/>
          <w:sz w:val="30"/>
          <w:szCs w:val="30"/>
          <w:rtl/>
        </w:rPr>
        <w:t>وتخضع عقود إيجار سفينة مجهزة بالمدة مع فالي للقانون الإنجليزي</w:t>
      </w:r>
      <w:r w:rsidR="00597EAA" w:rsidRPr="00B934CE">
        <w:rPr>
          <w:rFonts w:ascii="Traditional Arabic" w:hAnsi="Traditional Arabic" w:cs="Traditional Arabic"/>
          <w:b/>
          <w:sz w:val="30"/>
          <w:szCs w:val="30"/>
        </w:rPr>
        <w:t>.</w:t>
      </w:r>
    </w:p>
    <w:p w14:paraId="69466378" w14:textId="77777777" w:rsidR="00597EAA" w:rsidRPr="00B934CE" w:rsidRDefault="00597EAA" w:rsidP="00B934CE">
      <w:pPr>
        <w:bidi/>
        <w:jc w:val="both"/>
        <w:rPr>
          <w:rFonts w:ascii="Traditional Arabic" w:hAnsi="Traditional Arabic" w:cs="Traditional Arabic"/>
          <w:b/>
          <w:sz w:val="30"/>
          <w:szCs w:val="30"/>
          <w:rtl/>
        </w:rPr>
      </w:pPr>
    </w:p>
    <w:p w14:paraId="4C62EBC1" w14:textId="77777777" w:rsidR="00597EAA" w:rsidRPr="00B934CE" w:rsidRDefault="00597EAA" w:rsidP="00B934CE">
      <w:pPr>
        <w:bidi/>
        <w:spacing w:after="240"/>
        <w:jc w:val="both"/>
        <w:rPr>
          <w:rFonts w:ascii="Traditional Arabic" w:hAnsi="Traditional Arabic" w:cs="Traditional Arabic"/>
          <w:b/>
          <w:i/>
          <w:iCs/>
          <w:sz w:val="30"/>
          <w:szCs w:val="30"/>
          <w:rtl/>
        </w:rPr>
      </w:pPr>
      <w:r w:rsidRPr="00B934CE">
        <w:rPr>
          <w:rFonts w:ascii="Traditional Arabic" w:hAnsi="Traditional Arabic" w:cs="Traditional Arabic"/>
          <w:b/>
          <w:i/>
          <w:iCs/>
          <w:sz w:val="30"/>
          <w:szCs w:val="30"/>
          <w:rtl/>
        </w:rPr>
        <w:t>شركة شل</w:t>
      </w:r>
    </w:p>
    <w:p w14:paraId="09FB19F1" w14:textId="77777777" w:rsidR="00597EAA" w:rsidRPr="00B934CE" w:rsidRDefault="00597EAA" w:rsidP="00B934CE">
      <w:pPr>
        <w:bidi/>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أبرمت الشركة عددًا من عقود إيجار السفن المجهزة بالمدة مع شركة شل للناقلات (سنغافورة) الخاصة المحدودة ("شل") لنقل النفط والمنتجات المكررة والمنتجات الكيميائية. تتراوح مدة هذه العقود من ست سنوات إلى سبع سنوات وتشمل فترات تمديد اختيارية</w:t>
      </w:r>
      <w:r w:rsidRPr="00B934CE">
        <w:rPr>
          <w:rFonts w:ascii="Traditional Arabic" w:hAnsi="Traditional Arabic" w:cs="Traditional Arabic"/>
          <w:b/>
          <w:sz w:val="30"/>
          <w:szCs w:val="30"/>
        </w:rPr>
        <w:t>.</w:t>
      </w:r>
    </w:p>
    <w:p w14:paraId="011EE954" w14:textId="77777777" w:rsidR="00597EAA" w:rsidRPr="00B934CE" w:rsidRDefault="00597EAA" w:rsidP="00B934CE">
      <w:pPr>
        <w:bidi/>
        <w:jc w:val="both"/>
        <w:rPr>
          <w:rFonts w:ascii="Traditional Arabic" w:hAnsi="Traditional Arabic" w:cs="Traditional Arabic"/>
          <w:b/>
          <w:sz w:val="30"/>
          <w:szCs w:val="30"/>
          <w:rtl/>
        </w:rPr>
      </w:pPr>
    </w:p>
    <w:p w14:paraId="19E9E687"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ويتم دفع أجور الموظفين شهريًا من قبل شل إلى الشركة وفقًا لعقد إيجار سفينة مجهزة بالمدة المعمول به. وقد تعهدت الشركة، بصفتها مالك السفن، بتوفير ودفع جميع المخصصات والأجور ورسوم الشحن والتفريغ، وكذلك جميع النفقات الأخرى للربان والموظفين والطاقم. بالإضافة إلى ذلك، تتحمل الشركة مسؤولية تأمين السفن والسطح والمقصورة وغرفة المحرك والمياه (باستثناء تنظيف الخزان) والإرساء في الحوض الجاف وأي تجديدات مطلوبة للمعدات أو النظام، وصيانة وإصلاحات للسفينة خلال فترة الاستئجار. وتتحمل شل، بصفتها مستأجرة، مسؤولية الوقود (باستثناء الوقود المستخدم للخدمات التشغيلية اليومية) والقطر والإرشاد، وكذلك جميع رسوم الوكالة ورسوم الميناء والعمولات ونفقات التحميل والتفريغ ورسوم القناة والمواد الكيميائية لتنظيف الخزانات وبدل العمل الإضافي المعقول للطاقم و/أو مكافآت الطاقم المتفق عليها نظير تنظيف الخزان. تتضمن عقود إيجار سفينة مجهزة بالمدة أحكام الإنهاء النموذجية (بما في ذلك، على سبيل المثال، بالاتفاق المتبادل أو في حالة حدوث تقصير</w:t>
      </w:r>
      <w:r w:rsidRPr="00B934CE">
        <w:rPr>
          <w:rFonts w:ascii="Traditional Arabic" w:hAnsi="Traditional Arabic" w:cs="Traditional Arabic"/>
          <w:b/>
          <w:sz w:val="30"/>
          <w:szCs w:val="30"/>
        </w:rPr>
        <w:t>).</w:t>
      </w:r>
    </w:p>
    <w:p w14:paraId="3D3D8690" w14:textId="77777777" w:rsidR="00597EAA" w:rsidRPr="00B934CE" w:rsidRDefault="00597EAA" w:rsidP="00B934CE">
      <w:pPr>
        <w:bidi/>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وتخضع عقود إيجار سفينة مجهزة بالمدة مع شل لقوانين إنجلترا وويلز</w:t>
      </w:r>
      <w:r w:rsidRPr="00B934CE">
        <w:rPr>
          <w:rFonts w:ascii="Traditional Arabic" w:hAnsi="Traditional Arabic" w:cs="Traditional Arabic"/>
          <w:b/>
          <w:sz w:val="30"/>
          <w:szCs w:val="30"/>
        </w:rPr>
        <w:t>.</w:t>
      </w:r>
    </w:p>
    <w:p w14:paraId="7C600628" w14:textId="77777777" w:rsidR="00597EAA" w:rsidRPr="00B934CE" w:rsidRDefault="00597EAA" w:rsidP="00B934CE">
      <w:pPr>
        <w:bidi/>
        <w:jc w:val="both"/>
        <w:rPr>
          <w:rFonts w:ascii="Traditional Arabic" w:hAnsi="Traditional Arabic" w:cs="Traditional Arabic"/>
          <w:b/>
          <w:sz w:val="30"/>
          <w:szCs w:val="30"/>
          <w:rtl/>
        </w:rPr>
      </w:pPr>
    </w:p>
    <w:p w14:paraId="0AD92BC3" w14:textId="77777777" w:rsidR="00597EAA" w:rsidRPr="00B934CE" w:rsidRDefault="00597EAA" w:rsidP="00B934CE">
      <w:pPr>
        <w:bidi/>
        <w:spacing w:after="240"/>
        <w:jc w:val="both"/>
        <w:rPr>
          <w:rFonts w:ascii="Traditional Arabic" w:hAnsi="Traditional Arabic" w:cs="Traditional Arabic"/>
          <w:b/>
          <w:i/>
          <w:iCs/>
          <w:sz w:val="30"/>
          <w:szCs w:val="30"/>
          <w:rtl/>
        </w:rPr>
      </w:pPr>
      <w:r w:rsidRPr="00B934CE">
        <w:rPr>
          <w:rFonts w:ascii="Traditional Arabic" w:hAnsi="Traditional Arabic" w:cs="Traditional Arabic"/>
          <w:b/>
          <w:i/>
          <w:iCs/>
          <w:sz w:val="30"/>
          <w:szCs w:val="30"/>
          <w:rtl/>
        </w:rPr>
        <w:t>شركة قلهات</w:t>
      </w:r>
    </w:p>
    <w:p w14:paraId="48709BCD"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أبرمت الشركة عددًا من عقود إيجار السفن المجهزة بالمدة مع شركة قلهات للغاز الطبيعي المسال ش.م.ع. م (" قلهات ") لنقل الغاز الطبيعي المسال. وتستمر هذه العقود لمدة 20 عامًا</w:t>
      </w:r>
      <w:r w:rsidRPr="00B934CE">
        <w:rPr>
          <w:rFonts w:ascii="Traditional Arabic" w:hAnsi="Traditional Arabic" w:cs="Traditional Arabic"/>
          <w:b/>
          <w:sz w:val="30"/>
          <w:szCs w:val="30"/>
        </w:rPr>
        <w:t>.</w:t>
      </w:r>
    </w:p>
    <w:p w14:paraId="2315D7A6"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 xml:space="preserve">ويتم دفع الرسوم شهريًا من قبل قلهات إلى الشركة وفقًا لعقد إيجار سفينة مجهزة بالمدة المعمول به. وقد تعهدت الشركة، بصفتها مالك السفن، بتوفير ودفع جميع المخصصات والأجور ورسوم الشحن والتفريغ، وكذلك جميع النفقات الأخرى للربان والموظفين والطاقم. بالإضافة إلى ذلك، تتحمل الشركة مسؤولية تأمين السفن والسطح والمقصورة وغرفة المحرك والمياه والإرساء في الحوض الجاف وأي تجديدات مطلوبة للمعدات أو النظام، وصيانة وإصلاحات للسفينة خلال فترة الاستئجار. وتتحمل قلهات، بصفتها مستأجرة، مسؤولية الوقود والقطر والإرشاد، وكذلك رسوم الوكالة ورسوم الميناء والعمولات ونفقات التحميل والتفريغ </w:t>
      </w:r>
      <w:r w:rsidRPr="00B934CE">
        <w:rPr>
          <w:rFonts w:ascii="Traditional Arabic" w:hAnsi="Traditional Arabic" w:cs="Traditional Arabic"/>
          <w:b/>
          <w:sz w:val="30"/>
          <w:szCs w:val="30"/>
          <w:rtl/>
        </w:rPr>
        <w:lastRenderedPageBreak/>
        <w:t>ورسوم القناة والاتصالات من السفينة لأغراضها الخاصة. تتضمن عقود إيجار سفينة مجهزة بالمدة أحكام الإنهاء النموذجية (بما في ذلك، على سبيل المثال، بالاتفاق المتبادل أو في حالة حدوث تقصير</w:t>
      </w:r>
      <w:r w:rsidR="001D67A4">
        <w:rPr>
          <w:rFonts w:ascii="Traditional Arabic" w:hAnsi="Traditional Arabic" w:cs="Traditional Arabic" w:hint="cs"/>
          <w:b/>
          <w:sz w:val="30"/>
          <w:szCs w:val="30"/>
          <w:rtl/>
        </w:rPr>
        <w:t>)</w:t>
      </w:r>
      <w:r w:rsidRPr="00B934CE">
        <w:rPr>
          <w:rFonts w:ascii="Traditional Arabic" w:hAnsi="Traditional Arabic" w:cs="Traditional Arabic"/>
          <w:b/>
          <w:sz w:val="30"/>
          <w:szCs w:val="30"/>
        </w:rPr>
        <w:t>.</w:t>
      </w:r>
    </w:p>
    <w:p w14:paraId="17FEBC6C" w14:textId="77777777" w:rsidR="00597EAA" w:rsidRPr="00B934CE" w:rsidRDefault="00597EAA" w:rsidP="00B934CE">
      <w:pPr>
        <w:bidi/>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وتخضع عقود إيجار سفينة مجهزة بالمدة مع قلهات لقوانين إنجلترا</w:t>
      </w:r>
      <w:r w:rsidRPr="00B934CE">
        <w:rPr>
          <w:rFonts w:ascii="Traditional Arabic" w:hAnsi="Traditional Arabic" w:cs="Traditional Arabic"/>
          <w:b/>
          <w:sz w:val="30"/>
          <w:szCs w:val="30"/>
        </w:rPr>
        <w:t>.</w:t>
      </w:r>
    </w:p>
    <w:p w14:paraId="228F28CB" w14:textId="77777777" w:rsidR="00597EAA" w:rsidRPr="00B934CE" w:rsidRDefault="00597EAA" w:rsidP="00B934CE">
      <w:pPr>
        <w:bidi/>
        <w:jc w:val="both"/>
        <w:rPr>
          <w:rFonts w:ascii="Traditional Arabic" w:hAnsi="Traditional Arabic" w:cs="Traditional Arabic"/>
          <w:b/>
          <w:sz w:val="30"/>
          <w:szCs w:val="30"/>
          <w:rtl/>
        </w:rPr>
      </w:pPr>
    </w:p>
    <w:p w14:paraId="691CB801" w14:textId="77777777" w:rsidR="00597EAA" w:rsidRPr="00B934CE" w:rsidRDefault="00597EAA" w:rsidP="00B934CE">
      <w:pPr>
        <w:bidi/>
        <w:jc w:val="both"/>
        <w:rPr>
          <w:rFonts w:ascii="Traditional Arabic" w:hAnsi="Traditional Arabic" w:cs="Traditional Arabic"/>
          <w:b/>
          <w:i/>
          <w:iCs/>
          <w:sz w:val="30"/>
          <w:szCs w:val="30"/>
          <w:rtl/>
        </w:rPr>
      </w:pPr>
      <w:r w:rsidRPr="00B934CE">
        <w:rPr>
          <w:rFonts w:ascii="Traditional Arabic" w:hAnsi="Traditional Arabic" w:cs="Traditional Arabic"/>
          <w:b/>
          <w:i/>
          <w:iCs/>
          <w:sz w:val="30"/>
          <w:szCs w:val="30"/>
          <w:rtl/>
        </w:rPr>
        <w:t>شركة ترافيجورا</w:t>
      </w:r>
    </w:p>
    <w:p w14:paraId="0DCBEA6A" w14:textId="77777777" w:rsidR="00597EAA" w:rsidRPr="00B934CE" w:rsidRDefault="00597EAA" w:rsidP="00B934CE">
      <w:pPr>
        <w:bidi/>
        <w:jc w:val="both"/>
        <w:rPr>
          <w:rFonts w:ascii="Traditional Arabic" w:hAnsi="Traditional Arabic" w:cs="Traditional Arabic"/>
          <w:b/>
          <w:sz w:val="30"/>
          <w:szCs w:val="30"/>
          <w:rtl/>
        </w:rPr>
      </w:pPr>
    </w:p>
    <w:p w14:paraId="62EC9522"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أبرمت الشركة عددًا من عقود إيجار السفن المجهزة بالمدة مع شركة ترافيجورا للخدمات اللوجستية البحرية الخاصة المحدودة. ("ترافيجورا") لنقل النفط الخام والمنتجات الأخرى. تتراوح مدة هذه العقود من ثلاث سنوات إلى خمس سنوات وتشمل فترات تمديد اختيارية</w:t>
      </w:r>
      <w:r w:rsidRPr="00B934CE">
        <w:rPr>
          <w:rFonts w:ascii="Traditional Arabic" w:hAnsi="Traditional Arabic" w:cs="Traditional Arabic"/>
          <w:b/>
          <w:sz w:val="30"/>
          <w:szCs w:val="30"/>
        </w:rPr>
        <w:t>.</w:t>
      </w:r>
    </w:p>
    <w:p w14:paraId="29223523"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ويتم دفع أجور الموظفين شهريًا من قبل ترافيجورا إلى الشركة وفقًا لعقد إيجار سفينة مجهزة بالمدة المعمول به. وتتحمل الشركة، بصفتها مالك السفن، مسؤولية صيانة السفن طوال فترة الاستئجار، بما في ذلك إجراء أي إصلاحات ضرورية والامتثال لأي لوائح معمول بها. وكجزء من هذا المطلب، يجب على الشركة تقديم تقارير شهرية عن أي حوادث أو أعطال والتزامات بالإبلاغ البيئي، ويجب عليها إجراء فحص أولي كل ستة أشهر. كما تلتزم الشركة أيضًا بتوفير طاقم مدرب، ودفع تكاليفه والحصول على تأمين معين كما هو مفصل في عقد إيجار السفينة المجهزة بالمدة. وتتحمل ترافيجورا، بصفتها مستأجرة، مسؤولية تكاليف الوقود والمياه والمواد الكيميائية لتنظيف الخزانات وغيرها من النفقات التشغيلية ونفقات الرحلات البحرية، بما في ذلك رسوم الميناء ورسوم القطر والإرشاد البحري ورسوم الوكالة وتكاليف التحميل والتفريغ ورسوم القناة. ويجب عليها أيضًا توفير المياه العذبة للرحلات الساحلية أو عندما لا تتمكن السفينة من إنتاج المياه العذبة بسبب نمط تجارتها</w:t>
      </w:r>
      <w:r w:rsidRPr="00B934CE">
        <w:rPr>
          <w:rFonts w:ascii="Traditional Arabic" w:hAnsi="Traditional Arabic" w:cs="Traditional Arabic"/>
          <w:b/>
          <w:sz w:val="30"/>
          <w:szCs w:val="30"/>
        </w:rPr>
        <w:t>.</w:t>
      </w:r>
    </w:p>
    <w:p w14:paraId="205D35E4"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تتضمن عقود إيجار سفينة مجهزة بالمدة أحكام الإنهاء النموذجية (بما في ذلك، على سبيل المثال، بالاتفاق المتبادل أو في حالة حدوث تقصير</w:t>
      </w:r>
      <w:r w:rsidR="001D67A4">
        <w:rPr>
          <w:rFonts w:ascii="Traditional Arabic" w:hAnsi="Traditional Arabic" w:cs="Traditional Arabic" w:hint="cs"/>
          <w:b/>
          <w:sz w:val="30"/>
          <w:szCs w:val="30"/>
          <w:rtl/>
        </w:rPr>
        <w:t>)</w:t>
      </w:r>
      <w:r w:rsidRPr="00B934CE">
        <w:rPr>
          <w:rFonts w:ascii="Traditional Arabic" w:hAnsi="Traditional Arabic" w:cs="Traditional Arabic"/>
          <w:b/>
          <w:sz w:val="30"/>
          <w:szCs w:val="30"/>
        </w:rPr>
        <w:t>.</w:t>
      </w:r>
    </w:p>
    <w:p w14:paraId="32E92BD1" w14:textId="77777777" w:rsidR="00597EAA" w:rsidRPr="00B934CE" w:rsidRDefault="00597EAA" w:rsidP="00B934CE">
      <w:pPr>
        <w:bidi/>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وتخضع عقود إيجار سفينة مجهزة بالمدة مع ترافيجورا لقوانين إنجلترا وويلز</w:t>
      </w:r>
      <w:r w:rsidRPr="00B934CE">
        <w:rPr>
          <w:rFonts w:ascii="Traditional Arabic" w:hAnsi="Traditional Arabic" w:cs="Traditional Arabic"/>
          <w:b/>
          <w:sz w:val="30"/>
          <w:szCs w:val="30"/>
        </w:rPr>
        <w:t>.</w:t>
      </w:r>
    </w:p>
    <w:p w14:paraId="3642CF69" w14:textId="77777777" w:rsidR="00597EAA" w:rsidRPr="00B934CE" w:rsidRDefault="00597EAA" w:rsidP="00B934CE">
      <w:pPr>
        <w:bidi/>
        <w:jc w:val="both"/>
        <w:rPr>
          <w:rFonts w:ascii="Traditional Arabic" w:hAnsi="Traditional Arabic" w:cs="Traditional Arabic"/>
          <w:b/>
          <w:sz w:val="30"/>
          <w:szCs w:val="30"/>
          <w:rtl/>
        </w:rPr>
      </w:pPr>
    </w:p>
    <w:p w14:paraId="3C1BCADB" w14:textId="77777777" w:rsidR="008268A8" w:rsidRPr="00B934CE" w:rsidRDefault="00597EAA" w:rsidP="00B934CE">
      <w:pPr>
        <w:bidi/>
        <w:spacing w:after="240"/>
        <w:jc w:val="both"/>
        <w:rPr>
          <w:rFonts w:ascii="Traditional Arabic" w:hAnsi="Traditional Arabic" w:cs="Traditional Arabic"/>
          <w:b/>
          <w:i/>
          <w:iCs/>
          <w:sz w:val="30"/>
          <w:szCs w:val="30"/>
          <w:rtl/>
        </w:rPr>
      </w:pPr>
      <w:r w:rsidRPr="00B934CE">
        <w:rPr>
          <w:rFonts w:ascii="Traditional Arabic" w:hAnsi="Traditional Arabic" w:cs="Traditional Arabic"/>
          <w:b/>
          <w:i/>
          <w:iCs/>
          <w:sz w:val="30"/>
          <w:szCs w:val="30"/>
          <w:rtl/>
        </w:rPr>
        <w:t>شركة كليرليك</w:t>
      </w:r>
    </w:p>
    <w:p w14:paraId="114219FD"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أبرمت الشركة عددًا من عقود إيجار السفن المجهزة بالمدة مع شركة كليرليك للشحن الخاصة المحدودة. ("كليرليك") لنقل الغاز الطبيعي المسال والبترول النظيف والمنتجات الكيميائية. تتراوح مدة هذه العقود من ثلاث سنوات إلى سنة واحدة</w:t>
      </w:r>
      <w:r w:rsidRPr="00B934CE">
        <w:rPr>
          <w:rFonts w:ascii="Traditional Arabic" w:hAnsi="Traditional Arabic" w:cs="Traditional Arabic"/>
          <w:b/>
          <w:sz w:val="30"/>
          <w:szCs w:val="30"/>
        </w:rPr>
        <w:t>.</w:t>
      </w:r>
    </w:p>
    <w:p w14:paraId="2FEBBE00" w14:textId="77777777" w:rsidR="00597EAA" w:rsidRPr="00B934CE" w:rsidRDefault="00597EAA" w:rsidP="00B934CE">
      <w:pPr>
        <w:bidi/>
        <w:spacing w:after="240"/>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lastRenderedPageBreak/>
        <w:t>ويتم دفع أجور الموظفين شهريًا من قبل كليرليك إلى الشركة وفقًا لعقد إيجار سفينة مجهزة بالمدة المعمول به. وتتحمل الشركة، بصفتها مالك السفن، مسؤولية ضمان بقاء السفينة في حالة صالحة للإبحار وامتثالها الكامل لجميع القوانين المعمول بها طوال فترة الاستئجار، بما في ذلك إكمال الإصلاحات اللازمة. هذا، ويتعين على الشركة تعيين طاقم مؤهل، وتوريد كميات محددة من الوقود عند التسليم، وإعادة شراء أي وقود متبقي عند إعادة التسليم وإخطار كليرليك على الفور بأي مشاكل تشغيلية. ويجب على كليرليك، بصفتها مستأجرة، تشغيل السفينة بمسؤولية وفقًا للقوانين المعمول بها وتسليمها في نفس حالتها باستثناء ما يبلى بالاستخدام العادي. بالإضافة إلى ذلك، يجب على كليرليك إبلاغ الشركة بأي حوادث تؤثر على السفينة وتغطية جميع التكاليف التشغيلية، بما في ذلك الوقود ورسوم الميناء ورسوم مناولة البضائع. تتضمن عقود إيجار سفينة مجهزة بالمدة أحكام الإنهاء النموذجية (بما في ذلك، على سبيل المثال، بالاتفاق المتبادل أو في حالة حدوث تقصير</w:t>
      </w:r>
      <w:r w:rsidR="008268A8">
        <w:rPr>
          <w:rFonts w:ascii="Traditional Arabic" w:hAnsi="Traditional Arabic" w:cs="Traditional Arabic" w:hint="cs"/>
          <w:b/>
          <w:sz w:val="30"/>
          <w:szCs w:val="30"/>
          <w:rtl/>
        </w:rPr>
        <w:t>)</w:t>
      </w:r>
      <w:r w:rsidRPr="00B934CE">
        <w:rPr>
          <w:rFonts w:ascii="Traditional Arabic" w:hAnsi="Traditional Arabic" w:cs="Traditional Arabic"/>
          <w:b/>
          <w:sz w:val="30"/>
          <w:szCs w:val="30"/>
        </w:rPr>
        <w:t>.</w:t>
      </w:r>
    </w:p>
    <w:p w14:paraId="01E4DD98" w14:textId="77777777" w:rsidR="00CE08D1" w:rsidRPr="00B934CE" w:rsidRDefault="00597EAA" w:rsidP="008133B5">
      <w:pPr>
        <w:bidi/>
        <w:jc w:val="both"/>
        <w:rPr>
          <w:rFonts w:ascii="Traditional Arabic" w:hAnsi="Traditional Arabic" w:cs="Traditional Arabic"/>
          <w:b/>
          <w:sz w:val="30"/>
          <w:szCs w:val="30"/>
          <w:rtl/>
        </w:rPr>
      </w:pPr>
      <w:r w:rsidRPr="00B934CE">
        <w:rPr>
          <w:rFonts w:ascii="Traditional Arabic" w:hAnsi="Traditional Arabic" w:cs="Traditional Arabic"/>
          <w:b/>
          <w:sz w:val="30"/>
          <w:szCs w:val="30"/>
          <w:rtl/>
        </w:rPr>
        <w:t>وتخضع عقود إيجار سفينة مجهزة بالمدة مع كليرليك لقوانين إنجلترا وويلز.</w:t>
      </w:r>
    </w:p>
    <w:p w14:paraId="4415D0A8" w14:textId="77777777" w:rsidR="008E014B" w:rsidRDefault="008E014B" w:rsidP="008E014B">
      <w:pPr>
        <w:bidi/>
        <w:jc w:val="both"/>
        <w:rPr>
          <w:rFonts w:ascii="Traditional Arabic" w:hAnsi="Traditional Arabic" w:cs="Traditional Arabic"/>
          <w:b/>
          <w:sz w:val="30"/>
          <w:szCs w:val="30"/>
          <w:rtl/>
        </w:rPr>
      </w:pPr>
    </w:p>
    <w:p w14:paraId="13F29EF8" w14:textId="77777777" w:rsidR="003237B4" w:rsidRPr="00B934CE" w:rsidRDefault="00E1023B" w:rsidP="008E014B">
      <w:pPr>
        <w:bidi/>
        <w:jc w:val="both"/>
        <w:rPr>
          <w:rFonts w:ascii="Traditional Arabic" w:hAnsi="Traditional Arabic" w:cs="Traditional Arabic"/>
          <w:b/>
          <w:bCs/>
          <w:iCs/>
          <w:sz w:val="30"/>
          <w:szCs w:val="30"/>
          <w:rtl/>
        </w:rPr>
      </w:pPr>
      <w:r w:rsidRPr="00B934CE">
        <w:rPr>
          <w:rFonts w:ascii="Traditional Arabic" w:hAnsi="Traditional Arabic" w:cs="Traditional Arabic" w:hint="eastAsia"/>
          <w:b/>
          <w:bCs/>
          <w:iCs/>
          <w:sz w:val="30"/>
          <w:szCs w:val="30"/>
          <w:rtl/>
        </w:rPr>
        <w:t>اتفاقيات</w:t>
      </w:r>
      <w:r w:rsidRPr="00B934CE">
        <w:rPr>
          <w:rFonts w:ascii="Traditional Arabic" w:hAnsi="Traditional Arabic" w:cs="Traditional Arabic"/>
          <w:b/>
          <w:bCs/>
          <w:iCs/>
          <w:sz w:val="30"/>
          <w:szCs w:val="30"/>
          <w:rtl/>
        </w:rPr>
        <w:t xml:space="preserve"> </w:t>
      </w:r>
      <w:r w:rsidRPr="00B934CE">
        <w:rPr>
          <w:rFonts w:ascii="Traditional Arabic" w:hAnsi="Traditional Arabic" w:cs="Traditional Arabic" w:hint="eastAsia"/>
          <w:b/>
          <w:bCs/>
          <w:iCs/>
          <w:sz w:val="30"/>
          <w:szCs w:val="30"/>
          <w:rtl/>
        </w:rPr>
        <w:t>بناء</w:t>
      </w:r>
      <w:r w:rsidRPr="00B934CE">
        <w:rPr>
          <w:rFonts w:ascii="Traditional Arabic" w:hAnsi="Traditional Arabic" w:cs="Traditional Arabic"/>
          <w:b/>
          <w:bCs/>
          <w:iCs/>
          <w:sz w:val="30"/>
          <w:szCs w:val="30"/>
          <w:rtl/>
        </w:rPr>
        <w:t xml:space="preserve"> </w:t>
      </w:r>
      <w:r w:rsidRPr="00B934CE">
        <w:rPr>
          <w:rFonts w:ascii="Traditional Arabic" w:hAnsi="Traditional Arabic" w:cs="Traditional Arabic" w:hint="eastAsia"/>
          <w:b/>
          <w:bCs/>
          <w:iCs/>
          <w:sz w:val="30"/>
          <w:szCs w:val="30"/>
          <w:rtl/>
        </w:rPr>
        <w:t>السفن</w:t>
      </w:r>
    </w:p>
    <w:p w14:paraId="5DC943B8" w14:textId="77777777" w:rsidR="00796231" w:rsidRDefault="00796231" w:rsidP="00A656B1">
      <w:pPr>
        <w:bidi/>
        <w:jc w:val="both"/>
        <w:rPr>
          <w:rFonts w:ascii="Traditional Arabic" w:hAnsi="Traditional Arabic" w:cs="Traditional Arabic"/>
          <w:sz w:val="30"/>
          <w:szCs w:val="30"/>
          <w:lang w:val="en-GB"/>
        </w:rPr>
      </w:pPr>
      <w:r w:rsidRPr="00796231">
        <w:rPr>
          <w:rFonts w:ascii="Traditional Arabic" w:hAnsi="Traditional Arabic" w:cs="Traditional Arabic"/>
          <w:sz w:val="30"/>
          <w:szCs w:val="30"/>
          <w:rtl/>
        </w:rPr>
        <w:t>تعمل الشركة على توسيع أسطولها من خلال إبرام عقود استراتيجية لبناء السفن مع شركة هيونداي سامهو وهانوا أوشن (كل على النحو المحدد أدناه)</w:t>
      </w:r>
      <w:r w:rsidRPr="00796231">
        <w:rPr>
          <w:rFonts w:ascii="Traditional Arabic" w:hAnsi="Traditional Arabic" w:cs="Traditional Arabic"/>
          <w:sz w:val="30"/>
          <w:szCs w:val="30"/>
        </w:rPr>
        <w:t>.</w:t>
      </w:r>
    </w:p>
    <w:p w14:paraId="0D37C975" w14:textId="77777777" w:rsidR="003237B4" w:rsidRPr="00A656B1" w:rsidRDefault="003237B4" w:rsidP="00A656B1">
      <w:pPr>
        <w:bidi/>
        <w:jc w:val="both"/>
        <w:rPr>
          <w:rFonts w:ascii="Traditional Arabic" w:hAnsi="Traditional Arabic" w:cs="Traditional Arabic"/>
          <w:sz w:val="30"/>
          <w:szCs w:val="30"/>
          <w:rtl/>
          <w:lang w:val="en-GB"/>
        </w:rPr>
      </w:pPr>
    </w:p>
    <w:p w14:paraId="3038384A" w14:textId="77777777" w:rsidR="00796231" w:rsidRPr="00B934CE" w:rsidRDefault="00796231" w:rsidP="00A656B1">
      <w:pPr>
        <w:bidi/>
        <w:jc w:val="both"/>
        <w:rPr>
          <w:rFonts w:ascii="Traditional Arabic" w:hAnsi="Traditional Arabic" w:cs="Traditional Arabic"/>
          <w:i/>
          <w:iCs/>
          <w:sz w:val="30"/>
          <w:szCs w:val="30"/>
          <w:rtl/>
        </w:rPr>
      </w:pPr>
      <w:r w:rsidRPr="00B934CE">
        <w:rPr>
          <w:rFonts w:ascii="Traditional Arabic" w:hAnsi="Traditional Arabic" w:cs="Traditional Arabic"/>
          <w:i/>
          <w:iCs/>
          <w:sz w:val="30"/>
          <w:szCs w:val="30"/>
          <w:rtl/>
        </w:rPr>
        <w:t>شركة هيونداي سامهو</w:t>
      </w:r>
    </w:p>
    <w:p w14:paraId="77D43DDB" w14:textId="77777777" w:rsidR="00796231" w:rsidRPr="00796231" w:rsidRDefault="00796231" w:rsidP="00A656B1">
      <w:pPr>
        <w:bidi/>
        <w:jc w:val="both"/>
        <w:rPr>
          <w:rFonts w:ascii="Traditional Arabic" w:hAnsi="Traditional Arabic" w:cs="Traditional Arabic"/>
          <w:sz w:val="30"/>
          <w:szCs w:val="30"/>
          <w:rtl/>
        </w:rPr>
      </w:pPr>
      <w:r w:rsidRPr="00796231">
        <w:rPr>
          <w:rFonts w:ascii="Traditional Arabic" w:hAnsi="Traditional Arabic" w:cs="Traditional Arabic"/>
          <w:sz w:val="30"/>
          <w:szCs w:val="30"/>
          <w:rtl/>
        </w:rPr>
        <w:t>أبرمت الشركة وشركة هيونداي سامهو للصناعات الثقيلة المحدودة (" شركة هيونداي سامهو ") اتفاقيات لبناء سفن لبناء ناقلتين للغاز الطبيعي المسال من فئة 174</w:t>
      </w:r>
      <w:r w:rsidR="00262B2F">
        <w:rPr>
          <w:rFonts w:ascii="Traditional Arabic" w:hAnsi="Traditional Arabic" w:cs="Traditional Arabic" w:hint="cs"/>
          <w:sz w:val="30"/>
          <w:szCs w:val="30"/>
          <w:rtl/>
        </w:rPr>
        <w:t>,</w:t>
      </w:r>
      <w:r w:rsidRPr="00796231">
        <w:rPr>
          <w:rFonts w:ascii="Traditional Arabic" w:hAnsi="Traditional Arabic" w:cs="Traditional Arabic"/>
          <w:sz w:val="30"/>
          <w:szCs w:val="30"/>
          <w:rtl/>
        </w:rPr>
        <w:t xml:space="preserve">000 متر مكعب برقمي بدن 8204 و 8205 (كل منهما بتاريخ 21 ديسمبر 2022). وسيتم تسليم الناقلتين في مواعيد مختلفة في مايو ويونيو 2026. تتضمن هذه الاتفاقيات بعض أحكام الإنهاء المبكر التي تسمح لشركة هيونداي سامهو بفسخ العقد إذا كانت الشركة في حالة تقصير مستمر (أي فشلت في دفع قسط أو فشلت في استلام الناقلتين) لمدة عشرة أيام، بالإضافة إلى أحكام تسمح لشركة هيونداي سامهو ببيع السفينة بعد إلغاء العقد. وفي حالة حدوث تأخير في التسليم أو عيوب في البناء، يحق للشركة الحصول على [تخفيضات في سعر العقد كتعويضات اتفاقي]، بناءً على نوع ومدى التأخير أو العيب في البناء، كما هو محدد في الاتفاقية. ومن المقرر تأجير هذه السفن للغاز الطبيعي المسال العماني لمدة ثماني سنوات (مع خيار تمديد لمدة </w:t>
      </w:r>
      <w:r w:rsidR="00744846">
        <w:rPr>
          <w:rFonts w:ascii="Traditional Arabic" w:hAnsi="Traditional Arabic" w:cs="Traditional Arabic" w:hint="cs"/>
          <w:sz w:val="30"/>
          <w:szCs w:val="30"/>
          <w:rtl/>
        </w:rPr>
        <w:t>120 يوم</w:t>
      </w:r>
      <w:r w:rsidRPr="00796231">
        <w:rPr>
          <w:rFonts w:ascii="Traditional Arabic" w:hAnsi="Traditional Arabic" w:cs="Traditional Arabic"/>
          <w:sz w:val="30"/>
          <w:szCs w:val="30"/>
          <w:rtl/>
        </w:rPr>
        <w:t>) وفقًا للاتفاقية الموقعة في 20 ديسمبر 2023</w:t>
      </w:r>
      <w:r w:rsidRPr="00796231">
        <w:rPr>
          <w:rFonts w:ascii="Traditional Arabic" w:hAnsi="Traditional Arabic" w:cs="Traditional Arabic"/>
          <w:sz w:val="30"/>
          <w:szCs w:val="30"/>
        </w:rPr>
        <w:t>.</w:t>
      </w:r>
    </w:p>
    <w:p w14:paraId="2455E5A2" w14:textId="77777777" w:rsidR="00796231" w:rsidRPr="00796231" w:rsidRDefault="00796231" w:rsidP="00A656B1">
      <w:pPr>
        <w:bidi/>
        <w:jc w:val="both"/>
        <w:rPr>
          <w:rFonts w:ascii="Traditional Arabic" w:hAnsi="Traditional Arabic" w:cs="Traditional Arabic"/>
          <w:sz w:val="30"/>
          <w:szCs w:val="30"/>
          <w:rtl/>
        </w:rPr>
      </w:pPr>
    </w:p>
    <w:p w14:paraId="0E57410F" w14:textId="77777777" w:rsidR="00796231" w:rsidRPr="00B934CE" w:rsidRDefault="00796231" w:rsidP="00A656B1">
      <w:pPr>
        <w:bidi/>
        <w:jc w:val="both"/>
        <w:rPr>
          <w:rFonts w:ascii="Traditional Arabic" w:hAnsi="Traditional Arabic" w:cs="Traditional Arabic"/>
          <w:i/>
          <w:iCs/>
          <w:sz w:val="30"/>
          <w:szCs w:val="30"/>
          <w:rtl/>
        </w:rPr>
      </w:pPr>
      <w:r w:rsidRPr="00B934CE">
        <w:rPr>
          <w:rFonts w:ascii="Traditional Arabic" w:hAnsi="Traditional Arabic" w:cs="Traditional Arabic"/>
          <w:i/>
          <w:iCs/>
          <w:sz w:val="30"/>
          <w:szCs w:val="30"/>
          <w:rtl/>
        </w:rPr>
        <w:t>شركة هانوا أوشن</w:t>
      </w:r>
    </w:p>
    <w:p w14:paraId="4467A1AF" w14:textId="77777777" w:rsidR="00796231" w:rsidRPr="00796231" w:rsidRDefault="00796231" w:rsidP="00A656B1">
      <w:pPr>
        <w:bidi/>
        <w:jc w:val="both"/>
        <w:rPr>
          <w:rFonts w:ascii="Traditional Arabic" w:hAnsi="Traditional Arabic" w:cs="Traditional Arabic"/>
          <w:sz w:val="30"/>
          <w:szCs w:val="30"/>
          <w:rtl/>
        </w:rPr>
      </w:pPr>
      <w:r w:rsidRPr="00796231">
        <w:rPr>
          <w:rFonts w:ascii="Traditional Arabic" w:hAnsi="Traditional Arabic" w:cs="Traditional Arabic"/>
          <w:sz w:val="30"/>
          <w:szCs w:val="30"/>
          <w:rtl/>
        </w:rPr>
        <w:t>أبرمت الشركة وشركة هانوا أوشن ليمتد (" هانوا أوشن ") اتفاقيات بناء سفن؛ لبناء أربع سفن كبيرة الحجم بوزن 300</w:t>
      </w:r>
      <w:r w:rsidR="00262B2F">
        <w:rPr>
          <w:rFonts w:ascii="Traditional Arabic" w:hAnsi="Traditional Arabic" w:cs="Traditional Arabic" w:hint="cs"/>
          <w:sz w:val="30"/>
          <w:szCs w:val="30"/>
          <w:rtl/>
        </w:rPr>
        <w:t>,</w:t>
      </w:r>
      <w:r w:rsidRPr="00796231">
        <w:rPr>
          <w:rFonts w:ascii="Traditional Arabic" w:hAnsi="Traditional Arabic" w:cs="Traditional Arabic"/>
          <w:sz w:val="30"/>
          <w:szCs w:val="30"/>
          <w:rtl/>
        </w:rPr>
        <w:t xml:space="preserve">000 طن مع أرقام بدن 5511 و 5512 و 5513 و 5514 (كل منها بتاريخ 28 يونيو 2024). وسيتم تسليم السفن في مواعيد مختلفة في عامي 2026 و2027. تتضمن هذه الاتفاقيات بعض أحكام الإنهاء المبكر التي تسمح لشركة هانوا أوشن </w:t>
      </w:r>
      <w:r w:rsidRPr="00796231">
        <w:rPr>
          <w:rFonts w:ascii="Traditional Arabic" w:hAnsi="Traditional Arabic" w:cs="Traditional Arabic"/>
          <w:sz w:val="30"/>
          <w:szCs w:val="30"/>
          <w:rtl/>
        </w:rPr>
        <w:lastRenderedPageBreak/>
        <w:t>بفسخ العقد إذا كانت الشركة في حالة تقصير مستمر (أي فشلت في دفع قسط أو فشلت في استلام السفن) لمدة عشرة أيام، بالإضافة إلى أحكام تسمح لشركة هانوا أوشن ببيع السفينة بعد إلغاء العقد. وفي حالة حدوث تأخير في التسليم أو عيوب في البناء، يحق للشركة الحصول على [تخفيضات في سعر العقد كتعويضات اتفاقي]، بناءً على نوع ومدى التأخير أو العيب في البناء، كما هو محدد في الاتفاقية</w:t>
      </w:r>
      <w:r w:rsidR="0029176E">
        <w:rPr>
          <w:rFonts w:ascii="Traditional Arabic" w:hAnsi="Traditional Arabic" w:cs="Traditional Arabic" w:hint="cs"/>
          <w:sz w:val="30"/>
          <w:szCs w:val="30"/>
          <w:rtl/>
        </w:rPr>
        <w:t>.</w:t>
      </w:r>
    </w:p>
    <w:p w14:paraId="56B28A1E" w14:textId="77777777" w:rsidR="00796231" w:rsidRPr="00796231" w:rsidRDefault="00796231" w:rsidP="00A656B1">
      <w:pPr>
        <w:bidi/>
        <w:jc w:val="both"/>
        <w:rPr>
          <w:rFonts w:ascii="Traditional Arabic" w:hAnsi="Traditional Arabic" w:cs="Traditional Arabic"/>
          <w:sz w:val="30"/>
          <w:szCs w:val="30"/>
          <w:rtl/>
        </w:rPr>
      </w:pPr>
    </w:p>
    <w:p w14:paraId="1A698F0C" w14:textId="53725D39" w:rsidR="00796231" w:rsidRPr="00B934CE" w:rsidRDefault="00796231" w:rsidP="00A656B1">
      <w:pPr>
        <w:bidi/>
        <w:jc w:val="both"/>
        <w:rPr>
          <w:rFonts w:ascii="Traditional Arabic" w:hAnsi="Traditional Arabic" w:cs="Traditional Arabic"/>
          <w:b/>
          <w:bCs/>
          <w:i/>
          <w:iCs/>
          <w:sz w:val="30"/>
          <w:szCs w:val="30"/>
          <w:rtl/>
        </w:rPr>
      </w:pPr>
      <w:r w:rsidRPr="00B934CE">
        <w:rPr>
          <w:rFonts w:ascii="Traditional Arabic" w:hAnsi="Traditional Arabic" w:cs="Traditional Arabic"/>
          <w:b/>
          <w:bCs/>
          <w:i/>
          <w:iCs/>
          <w:sz w:val="30"/>
          <w:szCs w:val="30"/>
          <w:rtl/>
        </w:rPr>
        <w:t>اتفاقي</w:t>
      </w:r>
      <w:r w:rsidR="00D80394">
        <w:rPr>
          <w:rFonts w:ascii="Traditional Arabic" w:hAnsi="Traditional Arabic" w:cs="Traditional Arabic" w:hint="cs"/>
          <w:b/>
          <w:bCs/>
          <w:i/>
          <w:iCs/>
          <w:sz w:val="30"/>
          <w:szCs w:val="30"/>
          <w:rtl/>
        </w:rPr>
        <w:t>ات</w:t>
      </w:r>
      <w:r w:rsidRPr="00B934CE">
        <w:rPr>
          <w:rFonts w:ascii="Traditional Arabic" w:hAnsi="Traditional Arabic" w:cs="Traditional Arabic"/>
          <w:b/>
          <w:bCs/>
          <w:i/>
          <w:iCs/>
          <w:sz w:val="30"/>
          <w:szCs w:val="30"/>
          <w:rtl/>
        </w:rPr>
        <w:t xml:space="preserve"> </w:t>
      </w:r>
      <w:r w:rsidR="0063718E">
        <w:rPr>
          <w:rFonts w:ascii="Traditional Arabic" w:hAnsi="Traditional Arabic" w:cs="Traditional Arabic" w:hint="cs"/>
          <w:b/>
          <w:bCs/>
          <w:i/>
          <w:iCs/>
          <w:sz w:val="30"/>
          <w:szCs w:val="30"/>
          <w:rtl/>
        </w:rPr>
        <w:t>الخدمات</w:t>
      </w:r>
    </w:p>
    <w:p w14:paraId="5EA17348" w14:textId="77777777" w:rsidR="00597CAB" w:rsidRDefault="00796231" w:rsidP="001C0DBE">
      <w:pPr>
        <w:bidi/>
        <w:jc w:val="both"/>
        <w:rPr>
          <w:rFonts w:ascii="Traditional Arabic" w:hAnsi="Traditional Arabic" w:cs="Traditional Arabic"/>
          <w:sz w:val="30"/>
          <w:szCs w:val="30"/>
          <w:rtl/>
        </w:rPr>
      </w:pPr>
      <w:r w:rsidRPr="00796231">
        <w:rPr>
          <w:rFonts w:ascii="Traditional Arabic" w:hAnsi="Traditional Arabic" w:cs="Traditional Arabic"/>
          <w:sz w:val="30"/>
          <w:szCs w:val="30"/>
          <w:rtl/>
        </w:rPr>
        <w:t xml:space="preserve">تتوقع الشركة إبرام اتفاقية </w:t>
      </w:r>
      <w:r w:rsidR="004A15F5">
        <w:rPr>
          <w:rFonts w:ascii="Traditional Arabic" w:hAnsi="Traditional Arabic" w:cs="Traditional Arabic" w:hint="cs"/>
          <w:sz w:val="30"/>
          <w:szCs w:val="30"/>
          <w:rtl/>
        </w:rPr>
        <w:t>مستوى الخدمة ال</w:t>
      </w:r>
      <w:r w:rsidR="00315032">
        <w:rPr>
          <w:rFonts w:ascii="Traditional Arabic" w:hAnsi="Traditional Arabic" w:cs="Traditional Arabic" w:hint="cs"/>
          <w:sz w:val="30"/>
          <w:szCs w:val="30"/>
          <w:rtl/>
        </w:rPr>
        <w:t xml:space="preserve">جديدة </w:t>
      </w:r>
      <w:r w:rsidR="00437FC8">
        <w:rPr>
          <w:rFonts w:ascii="Traditional Arabic" w:hAnsi="Traditional Arabic" w:cs="Traditional Arabic" w:hint="cs"/>
          <w:sz w:val="30"/>
          <w:szCs w:val="30"/>
          <w:rtl/>
        </w:rPr>
        <w:t>(</w:t>
      </w:r>
      <w:r w:rsidR="006F6690">
        <w:rPr>
          <w:rFonts w:ascii="Traditional Arabic" w:hAnsi="Traditional Arabic" w:cs="Traditional Arabic" w:hint="cs"/>
          <w:sz w:val="30"/>
          <w:szCs w:val="30"/>
          <w:rtl/>
        </w:rPr>
        <w:t xml:space="preserve"> كما تم تعريفه</w:t>
      </w:r>
      <w:r w:rsidR="00B3327E">
        <w:rPr>
          <w:rFonts w:ascii="Traditional Arabic" w:hAnsi="Traditional Arabic" w:cs="Traditional Arabic" w:hint="cs"/>
          <w:sz w:val="30"/>
          <w:szCs w:val="30"/>
          <w:rtl/>
        </w:rPr>
        <w:t>ا</w:t>
      </w:r>
      <w:r w:rsidR="006F6690">
        <w:rPr>
          <w:rFonts w:ascii="Traditional Arabic" w:hAnsi="Traditional Arabic" w:cs="Traditional Arabic" w:hint="cs"/>
          <w:sz w:val="30"/>
          <w:szCs w:val="30"/>
          <w:rtl/>
        </w:rPr>
        <w:t xml:space="preserve"> في " </w:t>
      </w:r>
      <w:r w:rsidR="006F6690" w:rsidRPr="00D925C8">
        <w:rPr>
          <w:rFonts w:ascii="Traditional Arabic" w:hAnsi="Traditional Arabic" w:cs="Traditional Arabic" w:hint="cs"/>
          <w:i/>
          <w:iCs/>
          <w:sz w:val="30"/>
          <w:szCs w:val="30"/>
          <w:rtl/>
        </w:rPr>
        <w:t>الفصل الرابع- عوامل المخاطرة-</w:t>
      </w:r>
      <w:r w:rsidR="00D83BD0" w:rsidRPr="00D925C8">
        <w:rPr>
          <w:rFonts w:ascii="Traditional Arabic" w:hAnsi="Traditional Arabic" w:cs="Traditional Arabic" w:hint="cs"/>
          <w:i/>
          <w:iCs/>
          <w:sz w:val="30"/>
          <w:szCs w:val="30"/>
          <w:rtl/>
        </w:rPr>
        <w:t xml:space="preserve"> </w:t>
      </w:r>
      <w:r w:rsidR="00D83BD0" w:rsidRPr="00D925C8">
        <w:rPr>
          <w:rFonts w:ascii="Traditional Arabic" w:hAnsi="Traditional Arabic" w:cs="Traditional Arabic"/>
          <w:i/>
          <w:iCs/>
          <w:sz w:val="30"/>
          <w:szCs w:val="30"/>
          <w:rtl/>
        </w:rPr>
        <w:t>اعتمدت الشركة وستواصل الاعتماد على مجموعة أسياد في استخدام العلامة التجارية لمجموعة أسياد وتزويد الشركة ببعض الخدمات المؤسسية</w:t>
      </w:r>
      <w:r w:rsidR="00A4461D">
        <w:rPr>
          <w:rFonts w:ascii="Traditional Arabic" w:hAnsi="Traditional Arabic" w:cs="Traditional Arabic" w:hint="cs"/>
          <w:sz w:val="30"/>
          <w:szCs w:val="30"/>
          <w:rtl/>
        </w:rPr>
        <w:t>")</w:t>
      </w:r>
      <w:r w:rsidRPr="00796231">
        <w:rPr>
          <w:rFonts w:ascii="Traditional Arabic" w:hAnsi="Traditional Arabic" w:cs="Traditional Arabic"/>
          <w:sz w:val="30"/>
          <w:szCs w:val="30"/>
          <w:rtl/>
        </w:rPr>
        <w:t xml:space="preserve"> </w:t>
      </w:r>
      <w:r w:rsidR="001C0DBE" w:rsidRPr="00796231">
        <w:rPr>
          <w:rFonts w:ascii="Traditional Arabic" w:hAnsi="Traditional Arabic" w:cs="Traditional Arabic"/>
          <w:sz w:val="30"/>
          <w:szCs w:val="30"/>
          <w:rtl/>
        </w:rPr>
        <w:t>مع مجموعة أسياد</w:t>
      </w:r>
      <w:r w:rsidR="001C0DBE">
        <w:rPr>
          <w:rFonts w:ascii="Traditional Arabic" w:hAnsi="Traditional Arabic" w:cs="Traditional Arabic" w:hint="cs"/>
          <w:sz w:val="30"/>
          <w:szCs w:val="30"/>
          <w:rtl/>
        </w:rPr>
        <w:t xml:space="preserve"> </w:t>
      </w:r>
      <w:r w:rsidR="00B11C45">
        <w:rPr>
          <w:rFonts w:ascii="Traditional Arabic" w:hAnsi="Traditional Arabic" w:cs="Traditional Arabic" w:hint="cs"/>
          <w:sz w:val="30"/>
          <w:szCs w:val="30"/>
          <w:rtl/>
        </w:rPr>
        <w:t xml:space="preserve">وذلك </w:t>
      </w:r>
      <w:r w:rsidR="00DB54C6">
        <w:rPr>
          <w:rFonts w:ascii="Traditional Arabic" w:hAnsi="Traditional Arabic" w:cs="Traditional Arabic" w:hint="cs"/>
          <w:sz w:val="30"/>
          <w:szCs w:val="30"/>
          <w:rtl/>
        </w:rPr>
        <w:t xml:space="preserve">قبل </w:t>
      </w:r>
      <w:r w:rsidRPr="00796231">
        <w:rPr>
          <w:rFonts w:ascii="Traditional Arabic" w:hAnsi="Traditional Arabic" w:cs="Traditional Arabic"/>
          <w:sz w:val="30"/>
          <w:szCs w:val="30"/>
          <w:rtl/>
        </w:rPr>
        <w:t xml:space="preserve">التسجيل، والتي بموجبها </w:t>
      </w:r>
      <w:r w:rsidR="003B38A6">
        <w:rPr>
          <w:rFonts w:ascii="Traditional Arabic" w:hAnsi="Traditional Arabic" w:cs="Traditional Arabic" w:hint="cs"/>
          <w:sz w:val="30"/>
          <w:szCs w:val="30"/>
          <w:rtl/>
        </w:rPr>
        <w:t xml:space="preserve">يتوقع ان </w:t>
      </w:r>
      <w:r w:rsidR="00E1207B">
        <w:rPr>
          <w:rFonts w:ascii="Traditional Arabic" w:hAnsi="Traditional Arabic" w:cs="Traditional Arabic" w:hint="cs"/>
          <w:sz w:val="30"/>
          <w:szCs w:val="30"/>
          <w:rtl/>
        </w:rPr>
        <w:t xml:space="preserve">تستمر </w:t>
      </w:r>
      <w:r w:rsidRPr="00796231">
        <w:rPr>
          <w:rFonts w:ascii="Traditional Arabic" w:hAnsi="Traditional Arabic" w:cs="Traditional Arabic"/>
          <w:sz w:val="30"/>
          <w:szCs w:val="30"/>
          <w:rtl/>
        </w:rPr>
        <w:t xml:space="preserve">مجموعة أسياد </w:t>
      </w:r>
      <w:r w:rsidR="00E1207B">
        <w:rPr>
          <w:rFonts w:ascii="Traditional Arabic" w:hAnsi="Traditional Arabic" w:cs="Traditional Arabic" w:hint="cs"/>
          <w:sz w:val="30"/>
          <w:szCs w:val="30"/>
          <w:rtl/>
        </w:rPr>
        <w:t xml:space="preserve">بتزويد </w:t>
      </w:r>
      <w:r w:rsidRPr="00796231">
        <w:rPr>
          <w:rFonts w:ascii="Traditional Arabic" w:hAnsi="Traditional Arabic" w:cs="Traditional Arabic"/>
          <w:sz w:val="30"/>
          <w:szCs w:val="30"/>
          <w:rtl/>
        </w:rPr>
        <w:t xml:space="preserve">الشركة بمجموعة من </w:t>
      </w:r>
      <w:r w:rsidR="00F47895">
        <w:rPr>
          <w:rFonts w:ascii="Traditional Arabic" w:hAnsi="Traditional Arabic" w:cs="Traditional Arabic" w:hint="cs"/>
          <w:sz w:val="30"/>
          <w:szCs w:val="30"/>
          <w:rtl/>
        </w:rPr>
        <w:t>ال</w:t>
      </w:r>
      <w:r w:rsidRPr="00796231">
        <w:rPr>
          <w:rFonts w:ascii="Traditional Arabic" w:hAnsi="Traditional Arabic" w:cs="Traditional Arabic"/>
          <w:sz w:val="30"/>
          <w:szCs w:val="30"/>
          <w:rtl/>
        </w:rPr>
        <w:t>خدمات</w:t>
      </w:r>
      <w:r w:rsidR="00F47895">
        <w:rPr>
          <w:rFonts w:ascii="Traditional Arabic" w:hAnsi="Traditional Arabic" w:cs="Traditional Arabic" w:hint="cs"/>
          <w:sz w:val="30"/>
          <w:szCs w:val="30"/>
          <w:rtl/>
        </w:rPr>
        <w:t xml:space="preserve"> </w:t>
      </w:r>
      <w:r w:rsidR="007D2509">
        <w:rPr>
          <w:rFonts w:ascii="Traditional Arabic" w:hAnsi="Traditional Arabic" w:cs="Traditional Arabic" w:hint="cs"/>
          <w:sz w:val="30"/>
          <w:szCs w:val="30"/>
          <w:rtl/>
        </w:rPr>
        <w:t xml:space="preserve">المؤسسية </w:t>
      </w:r>
      <w:r w:rsidR="00F47895">
        <w:rPr>
          <w:rFonts w:ascii="Traditional Arabic" w:hAnsi="Traditional Arabic" w:cs="Traditional Arabic" w:hint="cs"/>
          <w:sz w:val="30"/>
          <w:szCs w:val="30"/>
          <w:rtl/>
        </w:rPr>
        <w:t>المركزية</w:t>
      </w:r>
      <w:r w:rsidRPr="00796231">
        <w:rPr>
          <w:rFonts w:ascii="Traditional Arabic" w:hAnsi="Traditional Arabic" w:cs="Traditional Arabic"/>
          <w:sz w:val="30"/>
          <w:szCs w:val="30"/>
          <w:rtl/>
        </w:rPr>
        <w:t>.</w:t>
      </w:r>
      <w:r w:rsidR="00836183">
        <w:rPr>
          <w:rFonts w:ascii="Traditional Arabic" w:hAnsi="Traditional Arabic" w:cs="Traditional Arabic" w:hint="cs"/>
          <w:sz w:val="30"/>
          <w:szCs w:val="30"/>
          <w:rtl/>
        </w:rPr>
        <w:t xml:space="preserve"> </w:t>
      </w:r>
      <w:r w:rsidR="00BA58D2">
        <w:rPr>
          <w:rFonts w:ascii="Traditional Arabic" w:hAnsi="Traditional Arabic" w:cs="Traditional Arabic" w:hint="cs"/>
          <w:sz w:val="30"/>
          <w:szCs w:val="30"/>
          <w:rtl/>
        </w:rPr>
        <w:t>ستحلّ</w:t>
      </w:r>
      <w:r w:rsidR="00C62080">
        <w:rPr>
          <w:rFonts w:ascii="Traditional Arabic" w:hAnsi="Traditional Arabic" w:cs="Traditional Arabic" w:hint="cs"/>
          <w:sz w:val="30"/>
          <w:szCs w:val="30"/>
          <w:rtl/>
        </w:rPr>
        <w:t xml:space="preserve"> الات</w:t>
      </w:r>
      <w:r w:rsidR="00BA58D2">
        <w:rPr>
          <w:rFonts w:ascii="Traditional Arabic" w:hAnsi="Traditional Arabic" w:cs="Traditional Arabic" w:hint="cs"/>
          <w:sz w:val="30"/>
          <w:szCs w:val="30"/>
          <w:rtl/>
        </w:rPr>
        <w:t>فاقية محل</w:t>
      </w:r>
      <w:r w:rsidR="00C62080">
        <w:rPr>
          <w:rFonts w:ascii="Traditional Arabic" w:hAnsi="Traditional Arabic" w:cs="Traditional Arabic" w:hint="cs"/>
          <w:sz w:val="30"/>
          <w:szCs w:val="30"/>
          <w:rtl/>
        </w:rPr>
        <w:t xml:space="preserve"> </w:t>
      </w:r>
      <w:r w:rsidR="00570062">
        <w:rPr>
          <w:rFonts w:ascii="Traditional Arabic" w:hAnsi="Traditional Arabic" w:cs="Traditional Arabic" w:hint="cs"/>
          <w:sz w:val="30"/>
          <w:szCs w:val="30"/>
          <w:rtl/>
        </w:rPr>
        <w:t>ال</w:t>
      </w:r>
      <w:r w:rsidR="00845850" w:rsidRPr="00845850">
        <w:rPr>
          <w:rFonts w:ascii="Traditional Arabic" w:hAnsi="Traditional Arabic" w:cs="Traditional Arabic"/>
          <w:sz w:val="30"/>
          <w:szCs w:val="30"/>
          <w:rtl/>
        </w:rPr>
        <w:t>اتفاقية الرئيسية</w:t>
      </w:r>
      <w:r w:rsidR="00570062">
        <w:rPr>
          <w:rFonts w:ascii="Traditional Arabic" w:hAnsi="Traditional Arabic" w:cs="Traditional Arabic" w:hint="cs"/>
          <w:sz w:val="30"/>
          <w:szCs w:val="30"/>
          <w:rtl/>
        </w:rPr>
        <w:t xml:space="preserve"> الحالية ( كما تم تعريفها في " </w:t>
      </w:r>
      <w:r w:rsidR="00570062" w:rsidRPr="00082A29">
        <w:rPr>
          <w:rFonts w:ascii="Traditional Arabic" w:hAnsi="Traditional Arabic" w:cs="Traditional Arabic" w:hint="cs"/>
          <w:i/>
          <w:iCs/>
          <w:sz w:val="30"/>
          <w:szCs w:val="30"/>
          <w:rtl/>
        </w:rPr>
        <w:t>الفصل الرابع- عوامل المخاطرة</w:t>
      </w:r>
      <w:r w:rsidR="00E23A9D" w:rsidRPr="00082A29" w:rsidDel="00E23A9D">
        <w:rPr>
          <w:rFonts w:ascii="Traditional Arabic" w:hAnsi="Traditional Arabic" w:cs="Traditional Arabic" w:hint="cs"/>
          <w:i/>
          <w:iCs/>
          <w:sz w:val="30"/>
          <w:szCs w:val="30"/>
          <w:rtl/>
        </w:rPr>
        <w:t xml:space="preserve"> </w:t>
      </w:r>
      <w:r w:rsidR="00570062">
        <w:rPr>
          <w:rFonts w:ascii="Traditional Arabic" w:hAnsi="Traditional Arabic" w:cs="Traditional Arabic" w:hint="cs"/>
          <w:sz w:val="30"/>
          <w:szCs w:val="30"/>
          <w:rtl/>
        </w:rPr>
        <w:t>")</w:t>
      </w:r>
      <w:r w:rsidR="00845850" w:rsidRPr="00845850">
        <w:rPr>
          <w:rFonts w:ascii="Traditional Arabic" w:hAnsi="Traditional Arabic" w:cs="Traditional Arabic"/>
          <w:sz w:val="30"/>
          <w:szCs w:val="30"/>
          <w:rtl/>
        </w:rPr>
        <w:t xml:space="preserve"> والتي بموجبها قدمت مجموعة أسياد للشركة خدمات مؤسسية</w:t>
      </w:r>
      <w:r w:rsidR="003577AB">
        <w:rPr>
          <w:rFonts w:ascii="Traditional Arabic" w:hAnsi="Traditional Arabic" w:cs="Traditional Arabic" w:hint="cs"/>
          <w:sz w:val="30"/>
          <w:szCs w:val="30"/>
          <w:rtl/>
        </w:rPr>
        <w:t xml:space="preserve"> مركزية</w:t>
      </w:r>
      <w:r w:rsidR="00845850" w:rsidRPr="00845850">
        <w:rPr>
          <w:rFonts w:ascii="Traditional Arabic" w:hAnsi="Traditional Arabic" w:cs="Traditional Arabic"/>
          <w:sz w:val="30"/>
          <w:szCs w:val="30"/>
          <w:rtl/>
        </w:rPr>
        <w:t xml:space="preserve"> مثل </w:t>
      </w:r>
      <w:r w:rsidR="001B6A2F">
        <w:rPr>
          <w:rFonts w:ascii="Traditional Arabic" w:hAnsi="Traditional Arabic" w:cs="Traditional Arabic" w:hint="cs"/>
          <w:sz w:val="30"/>
          <w:szCs w:val="30"/>
          <w:rtl/>
        </w:rPr>
        <w:t xml:space="preserve">خدمات </w:t>
      </w:r>
      <w:r w:rsidR="00845850" w:rsidRPr="00845850">
        <w:rPr>
          <w:rFonts w:ascii="Traditional Arabic" w:hAnsi="Traditional Arabic" w:cs="Traditional Arabic"/>
          <w:sz w:val="30"/>
          <w:szCs w:val="30"/>
          <w:rtl/>
        </w:rPr>
        <w:t>الخزانة، والموارد البشرية، وخدمات دعم الأعمال، والمشتريات</w:t>
      </w:r>
      <w:r w:rsidR="00443F6D">
        <w:rPr>
          <w:rFonts w:ascii="Traditional Arabic" w:hAnsi="Traditional Arabic" w:cs="Traditional Arabic" w:hint="cs"/>
          <w:sz w:val="30"/>
          <w:szCs w:val="30"/>
          <w:rtl/>
        </w:rPr>
        <w:t xml:space="preserve"> والعقود</w:t>
      </w:r>
      <w:r w:rsidR="00845850" w:rsidRPr="00845850">
        <w:rPr>
          <w:rFonts w:ascii="Traditional Arabic" w:hAnsi="Traditional Arabic" w:cs="Traditional Arabic"/>
          <w:sz w:val="30"/>
          <w:szCs w:val="30"/>
          <w:rtl/>
        </w:rPr>
        <w:t xml:space="preserve">، وخدمات الاتصالات، وخدمات الصحة والسلامة والبيئة، والخدمات القانونية، وخدمات </w:t>
      </w:r>
      <w:r w:rsidR="003C4D71">
        <w:rPr>
          <w:rFonts w:ascii="Traditional Arabic" w:hAnsi="Traditional Arabic" w:cs="Traditional Arabic" w:hint="cs"/>
          <w:sz w:val="30"/>
          <w:szCs w:val="30"/>
          <w:rtl/>
        </w:rPr>
        <w:t>التسويق</w:t>
      </w:r>
      <w:r w:rsidR="00845850" w:rsidRPr="00845850">
        <w:rPr>
          <w:rFonts w:ascii="Traditional Arabic" w:hAnsi="Traditional Arabic" w:cs="Traditional Arabic"/>
          <w:sz w:val="30"/>
          <w:szCs w:val="30"/>
          <w:rtl/>
        </w:rPr>
        <w:t>، وخدمات تكنولوجيا المعلومات.</w:t>
      </w:r>
      <w:r w:rsidR="00E14382">
        <w:rPr>
          <w:rFonts w:ascii="Traditional Arabic" w:hAnsi="Traditional Arabic" w:cs="Traditional Arabic" w:hint="cs"/>
          <w:sz w:val="30"/>
          <w:szCs w:val="30"/>
          <w:rtl/>
        </w:rPr>
        <w:t xml:space="preserve">  </w:t>
      </w:r>
    </w:p>
    <w:p w14:paraId="72D08CA3" w14:textId="77777777" w:rsidR="00E14382" w:rsidRDefault="00E14382" w:rsidP="00E14382">
      <w:pPr>
        <w:bidi/>
        <w:jc w:val="both"/>
        <w:rPr>
          <w:rFonts w:ascii="Traditional Arabic" w:hAnsi="Traditional Arabic" w:cs="Traditional Arabic"/>
          <w:sz w:val="30"/>
          <w:szCs w:val="30"/>
          <w:rtl/>
        </w:rPr>
      </w:pPr>
    </w:p>
    <w:p w14:paraId="45B0303E" w14:textId="77777777" w:rsidR="003D5551" w:rsidRPr="00796231" w:rsidRDefault="006D4377" w:rsidP="003D5551">
      <w:pPr>
        <w:bidi/>
        <w:jc w:val="both"/>
        <w:rPr>
          <w:rFonts w:ascii="Traditional Arabic" w:hAnsi="Traditional Arabic" w:cs="Traditional Arabic"/>
          <w:sz w:val="30"/>
          <w:szCs w:val="30"/>
          <w:rtl/>
        </w:rPr>
      </w:pPr>
      <w:r>
        <w:rPr>
          <w:rFonts w:ascii="Traditional Arabic" w:hAnsi="Traditional Arabic" w:cs="Traditional Arabic" w:hint="cs"/>
          <w:sz w:val="30"/>
          <w:szCs w:val="30"/>
          <w:rtl/>
        </w:rPr>
        <w:t>و</w:t>
      </w:r>
      <w:r w:rsidR="00E60562">
        <w:rPr>
          <w:rFonts w:ascii="Traditional Arabic" w:hAnsi="Traditional Arabic" w:cs="Traditional Arabic" w:hint="cs"/>
          <w:sz w:val="30"/>
          <w:szCs w:val="30"/>
          <w:rtl/>
        </w:rPr>
        <w:t xml:space="preserve">من المتوقع أن </w:t>
      </w:r>
      <w:r>
        <w:rPr>
          <w:rFonts w:ascii="Traditional Arabic" w:hAnsi="Traditional Arabic" w:cs="Traditional Arabic" w:hint="cs"/>
          <w:sz w:val="30"/>
          <w:szCs w:val="30"/>
          <w:rtl/>
        </w:rPr>
        <w:t>تغطي</w:t>
      </w:r>
      <w:r w:rsidR="00B61E35">
        <w:rPr>
          <w:rFonts w:ascii="Traditional Arabic" w:hAnsi="Traditional Arabic" w:cs="Traditional Arabic" w:hint="cs"/>
          <w:sz w:val="30"/>
          <w:szCs w:val="30"/>
          <w:rtl/>
        </w:rPr>
        <w:t xml:space="preserve"> الخدمات التي سيتم تقديمها بموجب </w:t>
      </w:r>
      <w:r w:rsidR="00B84B59">
        <w:rPr>
          <w:rFonts w:ascii="Traditional Arabic" w:hAnsi="Traditional Arabic" w:cs="Traditional Arabic" w:hint="cs"/>
          <w:sz w:val="30"/>
          <w:szCs w:val="30"/>
          <w:rtl/>
        </w:rPr>
        <w:t>ا</w:t>
      </w:r>
      <w:r w:rsidR="00B61E35">
        <w:rPr>
          <w:rFonts w:ascii="Traditional Arabic" w:hAnsi="Traditional Arabic" w:cs="Traditional Arabic" w:hint="cs"/>
          <w:sz w:val="30"/>
          <w:szCs w:val="30"/>
          <w:rtl/>
        </w:rPr>
        <w:t xml:space="preserve">تفاقية </w:t>
      </w:r>
      <w:r w:rsidR="009F4C58">
        <w:rPr>
          <w:rFonts w:ascii="Traditional Arabic" w:hAnsi="Traditional Arabic" w:cs="Traditional Arabic" w:hint="cs"/>
          <w:sz w:val="30"/>
          <w:szCs w:val="30"/>
          <w:rtl/>
        </w:rPr>
        <w:t xml:space="preserve">مستوى الخدمة </w:t>
      </w:r>
      <w:r w:rsidR="00B84B59">
        <w:rPr>
          <w:rFonts w:ascii="Traditional Arabic" w:hAnsi="Traditional Arabic" w:cs="Traditional Arabic" w:hint="cs"/>
          <w:sz w:val="30"/>
          <w:szCs w:val="30"/>
          <w:rtl/>
        </w:rPr>
        <w:t>الجديدة</w:t>
      </w:r>
      <w:r>
        <w:rPr>
          <w:rFonts w:ascii="Traditional Arabic" w:hAnsi="Traditional Arabic" w:cs="Traditional Arabic" w:hint="cs"/>
          <w:sz w:val="30"/>
          <w:szCs w:val="30"/>
          <w:rtl/>
        </w:rPr>
        <w:t xml:space="preserve"> </w:t>
      </w:r>
      <w:r w:rsidR="009330BF">
        <w:rPr>
          <w:rFonts w:ascii="Traditional Arabic" w:hAnsi="Traditional Arabic" w:cs="Traditional Arabic" w:hint="cs"/>
          <w:sz w:val="30"/>
          <w:szCs w:val="30"/>
          <w:rtl/>
        </w:rPr>
        <w:t xml:space="preserve">ذات </w:t>
      </w:r>
      <w:r w:rsidR="0056506C">
        <w:rPr>
          <w:rFonts w:ascii="Traditional Arabic" w:hAnsi="Traditional Arabic" w:cs="Traditional Arabic" w:hint="cs"/>
          <w:sz w:val="30"/>
          <w:szCs w:val="30"/>
          <w:rtl/>
        </w:rPr>
        <w:t xml:space="preserve">المجالات </w:t>
      </w:r>
      <w:r w:rsidR="00E77E36">
        <w:rPr>
          <w:rFonts w:ascii="Traditional Arabic" w:hAnsi="Traditional Arabic" w:cs="Traditional Arabic" w:hint="cs"/>
          <w:sz w:val="30"/>
          <w:szCs w:val="30"/>
          <w:rtl/>
        </w:rPr>
        <w:t>التشغيلية</w:t>
      </w:r>
      <w:r w:rsidR="009009D0">
        <w:rPr>
          <w:rFonts w:ascii="Traditional Arabic" w:hAnsi="Traditional Arabic" w:cs="Traditional Arabic" w:hint="cs"/>
          <w:sz w:val="30"/>
          <w:szCs w:val="30"/>
          <w:rtl/>
        </w:rPr>
        <w:t xml:space="preserve"> التي تغطيها ا</w:t>
      </w:r>
      <w:r w:rsidR="0000522B">
        <w:rPr>
          <w:rFonts w:ascii="Traditional Arabic" w:hAnsi="Traditional Arabic" w:cs="Traditional Arabic" w:hint="cs"/>
          <w:sz w:val="30"/>
          <w:szCs w:val="30"/>
          <w:rtl/>
        </w:rPr>
        <w:t>لاتفاقية الرئيسية الحالية</w:t>
      </w:r>
      <w:r w:rsidR="004F0830">
        <w:rPr>
          <w:rFonts w:ascii="Traditional Arabic" w:hAnsi="Traditional Arabic" w:cs="Traditional Arabic" w:hint="cs"/>
          <w:sz w:val="30"/>
          <w:szCs w:val="30"/>
          <w:rtl/>
        </w:rPr>
        <w:t>.</w:t>
      </w:r>
      <w:r w:rsidR="00B44611">
        <w:rPr>
          <w:rFonts w:ascii="Traditional Arabic" w:hAnsi="Traditional Arabic" w:cs="Traditional Arabic" w:hint="cs"/>
          <w:sz w:val="30"/>
          <w:szCs w:val="30"/>
          <w:rtl/>
        </w:rPr>
        <w:t xml:space="preserve"> </w:t>
      </w:r>
      <w:r w:rsidR="00B44611" w:rsidRPr="00B44611">
        <w:rPr>
          <w:rFonts w:ascii="Traditional Arabic" w:hAnsi="Traditional Arabic" w:cs="Traditional Arabic"/>
          <w:sz w:val="30"/>
          <w:szCs w:val="30"/>
          <w:rtl/>
        </w:rPr>
        <w:t xml:space="preserve">بالإضافة إلى ذلك، ستحدد اتفاقية مستوى الخدمة الجديدة </w:t>
      </w:r>
      <w:r w:rsidR="00ED4B34">
        <w:rPr>
          <w:rFonts w:ascii="Traditional Arabic" w:hAnsi="Traditional Arabic" w:cs="Traditional Arabic" w:hint="cs"/>
          <w:sz w:val="30"/>
          <w:szCs w:val="30"/>
          <w:rtl/>
        </w:rPr>
        <w:t>ال</w:t>
      </w:r>
      <w:r w:rsidR="00B44611" w:rsidRPr="00B44611">
        <w:rPr>
          <w:rFonts w:ascii="Traditional Arabic" w:hAnsi="Traditional Arabic" w:cs="Traditional Arabic"/>
          <w:sz w:val="30"/>
          <w:szCs w:val="30"/>
          <w:rtl/>
        </w:rPr>
        <w:t xml:space="preserve">ترتيبات </w:t>
      </w:r>
      <w:r w:rsidR="00ED4B34">
        <w:rPr>
          <w:rFonts w:ascii="Traditional Arabic" w:hAnsi="Traditional Arabic" w:cs="Traditional Arabic" w:hint="cs"/>
          <w:sz w:val="30"/>
          <w:szCs w:val="30"/>
          <w:rtl/>
        </w:rPr>
        <w:t>المتعلقة ب</w:t>
      </w:r>
      <w:r w:rsidR="00B44611" w:rsidRPr="00B44611">
        <w:rPr>
          <w:rFonts w:ascii="Traditional Arabic" w:hAnsi="Traditional Arabic" w:cs="Traditional Arabic"/>
          <w:sz w:val="30"/>
          <w:szCs w:val="30"/>
          <w:rtl/>
        </w:rPr>
        <w:t>الترخيص بين مجموعة أسياد و</w:t>
      </w:r>
      <w:r w:rsidR="00B24F35">
        <w:rPr>
          <w:rFonts w:ascii="Traditional Arabic" w:hAnsi="Traditional Arabic" w:cs="Traditional Arabic" w:hint="cs"/>
          <w:sz w:val="30"/>
          <w:szCs w:val="30"/>
          <w:rtl/>
        </w:rPr>
        <w:t xml:space="preserve">الشركة </w:t>
      </w:r>
      <w:r w:rsidR="00ED4B34">
        <w:rPr>
          <w:rFonts w:ascii="Traditional Arabic" w:hAnsi="Traditional Arabic" w:cs="Traditional Arabic" w:hint="cs"/>
          <w:sz w:val="30"/>
          <w:szCs w:val="30"/>
          <w:rtl/>
        </w:rPr>
        <w:t>الخاص</w:t>
      </w:r>
      <w:r w:rsidR="0051256A">
        <w:rPr>
          <w:rFonts w:ascii="Traditional Arabic" w:hAnsi="Traditional Arabic" w:cs="Traditional Arabic" w:hint="cs"/>
          <w:sz w:val="30"/>
          <w:szCs w:val="30"/>
          <w:rtl/>
        </w:rPr>
        <w:t xml:space="preserve"> باستخدام العلامة التجارية </w:t>
      </w:r>
      <w:r w:rsidR="008A5361">
        <w:rPr>
          <w:rFonts w:ascii="Traditional Arabic" w:hAnsi="Traditional Arabic" w:cs="Traditional Arabic" w:hint="cs"/>
          <w:sz w:val="30"/>
          <w:szCs w:val="30"/>
          <w:rtl/>
        </w:rPr>
        <w:t xml:space="preserve">وشعار </w:t>
      </w:r>
      <w:r w:rsidR="0051256A">
        <w:rPr>
          <w:rFonts w:ascii="Traditional Arabic" w:hAnsi="Traditional Arabic" w:cs="Traditional Arabic" w:hint="cs"/>
          <w:sz w:val="30"/>
          <w:szCs w:val="30"/>
          <w:rtl/>
        </w:rPr>
        <w:t>مجموعة أسياد</w:t>
      </w:r>
      <w:r w:rsidR="00796231" w:rsidRPr="00796231">
        <w:rPr>
          <w:rFonts w:ascii="Traditional Arabic" w:hAnsi="Traditional Arabic" w:cs="Traditional Arabic"/>
          <w:sz w:val="30"/>
          <w:szCs w:val="30"/>
          <w:rtl/>
        </w:rPr>
        <w:t xml:space="preserve">. </w:t>
      </w:r>
      <w:r w:rsidR="002B5D63">
        <w:rPr>
          <w:rFonts w:ascii="Traditional Arabic" w:hAnsi="Traditional Arabic" w:cs="Traditional Arabic" w:hint="cs"/>
          <w:sz w:val="30"/>
          <w:szCs w:val="30"/>
          <w:rtl/>
        </w:rPr>
        <w:t xml:space="preserve">ومن المتوقع أن </w:t>
      </w:r>
      <w:r w:rsidR="003D5551" w:rsidRPr="003D5551">
        <w:rPr>
          <w:rFonts w:ascii="Traditional Arabic" w:hAnsi="Traditional Arabic" w:cs="Traditional Arabic"/>
          <w:sz w:val="30"/>
          <w:szCs w:val="30"/>
          <w:rtl/>
        </w:rPr>
        <w:t xml:space="preserve">يتم دفع </w:t>
      </w:r>
      <w:r w:rsidR="00416A52">
        <w:rPr>
          <w:rFonts w:ascii="Traditional Arabic" w:hAnsi="Traditional Arabic" w:cs="Traditional Arabic" w:hint="cs"/>
          <w:sz w:val="30"/>
          <w:szCs w:val="30"/>
          <w:rtl/>
        </w:rPr>
        <w:t>ال</w:t>
      </w:r>
      <w:r w:rsidR="003D5551" w:rsidRPr="003D5551">
        <w:rPr>
          <w:rFonts w:ascii="Traditional Arabic" w:hAnsi="Traditional Arabic" w:cs="Traditional Arabic"/>
          <w:sz w:val="30"/>
          <w:szCs w:val="30"/>
          <w:rtl/>
        </w:rPr>
        <w:t>رسوم</w:t>
      </w:r>
      <w:r w:rsidR="00A00BA3">
        <w:rPr>
          <w:rFonts w:ascii="Traditional Arabic" w:hAnsi="Traditional Arabic" w:cs="Traditional Arabic" w:hint="cs"/>
          <w:sz w:val="30"/>
          <w:szCs w:val="30"/>
          <w:rtl/>
        </w:rPr>
        <w:t xml:space="preserve"> المتعلقة بالخدمات التي تغطيها</w:t>
      </w:r>
      <w:r w:rsidR="00326C2C">
        <w:rPr>
          <w:rFonts w:ascii="Traditional Arabic" w:hAnsi="Traditional Arabic" w:cs="Traditional Arabic" w:hint="cs"/>
          <w:sz w:val="30"/>
          <w:szCs w:val="30"/>
          <w:rtl/>
        </w:rPr>
        <w:t xml:space="preserve"> الاتفاقية</w:t>
      </w:r>
      <w:r w:rsidR="003D5551" w:rsidRPr="003D5551">
        <w:rPr>
          <w:rFonts w:ascii="Traditional Arabic" w:hAnsi="Traditional Arabic" w:cs="Traditional Arabic"/>
          <w:sz w:val="30"/>
          <w:szCs w:val="30"/>
          <w:rtl/>
        </w:rPr>
        <w:t xml:space="preserve"> سنويًا على شكل أقساط بمبلغ يعادل 1 في المائة من الإيرادات </w:t>
      </w:r>
      <w:r w:rsidR="003D5551">
        <w:rPr>
          <w:rFonts w:ascii="Traditional Arabic" w:hAnsi="Traditional Arabic" w:cs="Traditional Arabic" w:hint="cs"/>
          <w:sz w:val="30"/>
          <w:szCs w:val="30"/>
          <w:rtl/>
        </w:rPr>
        <w:t>الموحدة</w:t>
      </w:r>
      <w:r w:rsidR="003D5551" w:rsidRPr="003D5551">
        <w:rPr>
          <w:rFonts w:ascii="Traditional Arabic" w:hAnsi="Traditional Arabic" w:cs="Traditional Arabic"/>
          <w:sz w:val="30"/>
          <w:szCs w:val="30"/>
          <w:rtl/>
        </w:rPr>
        <w:t xml:space="preserve"> المدققة للشركة للسنة المالية ذات الصلة.</w:t>
      </w:r>
    </w:p>
    <w:p w14:paraId="13378B13" w14:textId="77777777" w:rsidR="00796231" w:rsidRPr="00796231" w:rsidRDefault="00796231" w:rsidP="003D5551">
      <w:pPr>
        <w:bidi/>
        <w:jc w:val="both"/>
        <w:rPr>
          <w:rFonts w:ascii="Traditional Arabic" w:hAnsi="Traditional Arabic" w:cs="Traditional Arabic"/>
          <w:sz w:val="30"/>
          <w:szCs w:val="30"/>
          <w:rtl/>
        </w:rPr>
      </w:pPr>
    </w:p>
    <w:p w14:paraId="54DF157E" w14:textId="77777777" w:rsidR="00796231" w:rsidRPr="00B934CE" w:rsidRDefault="00796231" w:rsidP="00A656B1">
      <w:pPr>
        <w:bidi/>
        <w:jc w:val="both"/>
        <w:rPr>
          <w:rFonts w:ascii="Traditional Arabic" w:hAnsi="Traditional Arabic" w:cs="Traditional Arabic"/>
          <w:b/>
          <w:bCs/>
          <w:i/>
          <w:iCs/>
          <w:sz w:val="30"/>
          <w:szCs w:val="30"/>
          <w:rtl/>
        </w:rPr>
      </w:pPr>
      <w:r w:rsidRPr="00B934CE">
        <w:rPr>
          <w:rFonts w:ascii="Traditional Arabic" w:hAnsi="Traditional Arabic" w:cs="Traditional Arabic"/>
          <w:b/>
          <w:bCs/>
          <w:i/>
          <w:iCs/>
          <w:sz w:val="30"/>
          <w:szCs w:val="30"/>
          <w:rtl/>
        </w:rPr>
        <w:t>اتفاقية خدمات الإرساء في الحوض الجاف وإصلاح السفن</w:t>
      </w:r>
    </w:p>
    <w:p w14:paraId="0D486874" w14:textId="77777777" w:rsidR="00334534" w:rsidRDefault="00796231" w:rsidP="00E1023B">
      <w:pPr>
        <w:bidi/>
        <w:jc w:val="both"/>
        <w:rPr>
          <w:rFonts w:ascii="Traditional Arabic" w:hAnsi="Traditional Arabic" w:cs="Traditional Arabic"/>
          <w:sz w:val="30"/>
          <w:szCs w:val="30"/>
          <w:rtl/>
        </w:rPr>
      </w:pPr>
      <w:r w:rsidRPr="00796231">
        <w:rPr>
          <w:rFonts w:ascii="Traditional Arabic" w:hAnsi="Traditional Arabic" w:cs="Traditional Arabic"/>
          <w:sz w:val="30"/>
          <w:szCs w:val="30"/>
          <w:rtl/>
        </w:rPr>
        <w:t>أبرمت الشركة العمانية لإدارة السفن اتفاقية مستوى خدمة لتوفير خدمات الإرساء في الحوض الجاف وإصلاح السفن مع شركة أسياد للحوض الجاف ش م م اعتبارًا من 24 أغسطس 2023 والتي بموجبها تقوم شركة أسياد للحوض الجاف بتزويد الشركة العمانية لإدارة السفن بخدمات الإرساء في الحوض الجاف وإصلاح السفن للأسطول الذي تديره. تسري اتفاقية خدمات الإرساء في الحوض الجاف وإصلاح السفن حتى يتم إنهاؤها بالاتفاق المتبادل بين الطرفين أو من قبل أي من الطرفين في حالة حدوث خرق مادي ومستمر من قبل الطرف الآخر. وافقت الشركة العمانية لإدارة السفن على استخدام حوض بناء السفن الخاص بشركة أسياد للحوض الجاف لجميع عمليات الإرساء الجاف المخطط لها وإصلاح السفن التي تديرها، مع مراعاة بعض الاستثناءات الموضحة في الاتفاقية. وسيتم الاتفاق على الرسوم المستحقة لشركة أسياد للحوض الجاف مقابل خدماتها على أساس كل حالة على حدة لكل سفينة.</w:t>
      </w:r>
    </w:p>
    <w:p w14:paraId="2DDBF046" w14:textId="77777777" w:rsidR="00DD765D" w:rsidRPr="00334534" w:rsidRDefault="00DD765D" w:rsidP="00DD765D">
      <w:pPr>
        <w:bidi/>
        <w:jc w:val="both"/>
        <w:rPr>
          <w:rFonts w:ascii="Traditional Arabic" w:hAnsi="Traditional Arabic" w:cs="Traditional Arabic"/>
          <w:sz w:val="30"/>
          <w:szCs w:val="30"/>
        </w:rPr>
      </w:pPr>
    </w:p>
    <w:p w14:paraId="699D87DE" w14:textId="77777777" w:rsidR="006C1384" w:rsidRPr="00985281" w:rsidRDefault="006C1384" w:rsidP="00985281">
      <w:pPr>
        <w:bidi/>
        <w:rPr>
          <w:rFonts w:ascii="Traditional Arabic" w:hAnsi="Traditional Arabic" w:cs="Traditional Arabic"/>
          <w:b/>
          <w:bCs/>
          <w:sz w:val="30"/>
          <w:szCs w:val="30"/>
          <w:rtl/>
        </w:rPr>
      </w:pPr>
      <w:r w:rsidRPr="00985281">
        <w:rPr>
          <w:rFonts w:ascii="Traditional Arabic" w:hAnsi="Traditional Arabic" w:cs="Traditional Arabic"/>
          <w:b/>
          <w:bCs/>
          <w:sz w:val="30"/>
          <w:szCs w:val="30"/>
          <w:rtl/>
        </w:rPr>
        <w:t>الشركات التابعة</w:t>
      </w:r>
      <w:r w:rsidRPr="00985281">
        <w:rPr>
          <w:rFonts w:ascii="Traditional Arabic" w:hAnsi="Traditional Arabic" w:cs="Traditional Arabic"/>
          <w:b/>
          <w:bCs/>
          <w:sz w:val="30"/>
          <w:szCs w:val="30"/>
        </w:rPr>
        <w:t xml:space="preserve"> </w:t>
      </w:r>
    </w:p>
    <w:p w14:paraId="5B7232B4" w14:textId="77777777" w:rsidR="00CD5777" w:rsidRPr="00E04239" w:rsidRDefault="006C1384" w:rsidP="006C1384">
      <w:pPr>
        <w:bidi/>
        <w:jc w:val="both"/>
        <w:rPr>
          <w:rFonts w:ascii="Traditional Arabic" w:hAnsi="Traditional Arabic" w:cs="Traditional Arabic"/>
          <w:sz w:val="30"/>
          <w:szCs w:val="30"/>
        </w:rPr>
      </w:pPr>
      <w:r w:rsidRPr="006C1384">
        <w:rPr>
          <w:rFonts w:ascii="Traditional Arabic" w:hAnsi="Traditional Arabic" w:cs="Traditional Arabic"/>
          <w:sz w:val="30"/>
          <w:szCs w:val="30"/>
          <w:rtl/>
        </w:rPr>
        <w:t>يوضح الجدول التالي بعض التفاصيل المتعلقة بالشركات التابعة للشركة:</w:t>
      </w:r>
    </w:p>
    <w:tbl>
      <w:tblPr>
        <w:tblW w:w="9048" w:type="dxa"/>
        <w:tblInd w:w="437" w:type="dxa"/>
        <w:tblLayout w:type="fixed"/>
        <w:tblCellMar>
          <w:left w:w="0" w:type="dxa"/>
          <w:right w:w="0" w:type="dxa"/>
        </w:tblCellMar>
        <w:tblLook w:val="0000" w:firstRow="0" w:lastRow="0" w:firstColumn="0" w:lastColumn="0" w:noHBand="0" w:noVBand="0"/>
      </w:tblPr>
      <w:tblGrid>
        <w:gridCol w:w="5984"/>
        <w:gridCol w:w="282"/>
        <w:gridCol w:w="1377"/>
        <w:gridCol w:w="37"/>
        <w:gridCol w:w="1132"/>
        <w:gridCol w:w="236"/>
      </w:tblGrid>
      <w:tr w:rsidR="006C1384" w:rsidRPr="008818B9" w14:paraId="45B010FC" w14:textId="77777777" w:rsidTr="00826D63">
        <w:trPr>
          <w:tblHeader/>
        </w:trPr>
        <w:tc>
          <w:tcPr>
            <w:tcW w:w="5984" w:type="dxa"/>
            <w:tcBorders>
              <w:bottom w:val="single" w:sz="4" w:space="0" w:color="auto"/>
            </w:tcBorders>
            <w:vAlign w:val="bottom"/>
          </w:tcPr>
          <w:p w14:paraId="4710022D" w14:textId="77777777" w:rsidR="006C1384" w:rsidRPr="008818B9" w:rsidRDefault="006C1384" w:rsidP="00922116">
            <w:pPr>
              <w:pStyle w:val="CellHead"/>
              <w:jc w:val="center"/>
              <w:rPr>
                <w:sz w:val="16"/>
                <w:szCs w:val="16"/>
              </w:rPr>
            </w:pPr>
            <w:bookmarkStart w:id="13" w:name="alien_table"/>
            <w:bookmarkStart w:id="14" w:name="temp_table"/>
            <w:bookmarkEnd w:id="13"/>
            <w:bookmarkEnd w:id="14"/>
            <w:r w:rsidRPr="008818B9">
              <w:rPr>
                <w:sz w:val="16"/>
                <w:szCs w:val="16"/>
              </w:rPr>
              <w:t>Subsidiary</w:t>
            </w:r>
          </w:p>
        </w:tc>
        <w:tc>
          <w:tcPr>
            <w:tcW w:w="282" w:type="dxa"/>
            <w:vAlign w:val="bottom"/>
          </w:tcPr>
          <w:p w14:paraId="4C304992" w14:textId="77777777" w:rsidR="006C1384" w:rsidRPr="008818B9" w:rsidRDefault="006C1384" w:rsidP="00922116">
            <w:pPr>
              <w:pStyle w:val="CellRowSpacer"/>
              <w:spacing w:after="120"/>
              <w:jc w:val="center"/>
              <w:rPr>
                <w:sz w:val="16"/>
                <w:szCs w:val="16"/>
              </w:rPr>
            </w:pPr>
          </w:p>
        </w:tc>
        <w:tc>
          <w:tcPr>
            <w:tcW w:w="1377" w:type="dxa"/>
            <w:tcBorders>
              <w:bottom w:val="single" w:sz="4" w:space="0" w:color="auto"/>
            </w:tcBorders>
            <w:vAlign w:val="bottom"/>
          </w:tcPr>
          <w:p w14:paraId="73833BFB" w14:textId="77777777" w:rsidR="006C1384" w:rsidRPr="008818B9" w:rsidRDefault="006C1384" w:rsidP="00922116">
            <w:pPr>
              <w:pStyle w:val="CellHead"/>
              <w:jc w:val="center"/>
              <w:rPr>
                <w:sz w:val="16"/>
                <w:szCs w:val="16"/>
              </w:rPr>
            </w:pPr>
            <w:r w:rsidRPr="008818B9">
              <w:rPr>
                <w:sz w:val="16"/>
                <w:szCs w:val="16"/>
              </w:rPr>
              <w:t>Country of Incorporation</w:t>
            </w:r>
          </w:p>
        </w:tc>
        <w:tc>
          <w:tcPr>
            <w:tcW w:w="37" w:type="dxa"/>
            <w:vAlign w:val="bottom"/>
          </w:tcPr>
          <w:p w14:paraId="0CA0F323" w14:textId="77777777" w:rsidR="006C1384" w:rsidRPr="008818B9" w:rsidRDefault="006C1384" w:rsidP="00922116">
            <w:pPr>
              <w:pStyle w:val="CellRowSpacer"/>
              <w:spacing w:after="120"/>
              <w:jc w:val="center"/>
              <w:rPr>
                <w:sz w:val="16"/>
                <w:szCs w:val="16"/>
              </w:rPr>
            </w:pPr>
          </w:p>
        </w:tc>
        <w:tc>
          <w:tcPr>
            <w:tcW w:w="1132" w:type="dxa"/>
            <w:tcBorders>
              <w:bottom w:val="single" w:sz="4" w:space="0" w:color="auto"/>
            </w:tcBorders>
            <w:vAlign w:val="bottom"/>
          </w:tcPr>
          <w:p w14:paraId="159C4F5F" w14:textId="77777777" w:rsidR="006C1384" w:rsidRPr="008818B9" w:rsidRDefault="006C1384" w:rsidP="00922116">
            <w:pPr>
              <w:pStyle w:val="CellHead"/>
              <w:jc w:val="center"/>
              <w:rPr>
                <w:sz w:val="16"/>
                <w:szCs w:val="16"/>
              </w:rPr>
            </w:pPr>
            <w:r w:rsidRPr="008818B9">
              <w:rPr>
                <w:sz w:val="16"/>
                <w:szCs w:val="16"/>
              </w:rPr>
              <w:t>Ownership Interest (%)</w:t>
            </w:r>
          </w:p>
        </w:tc>
        <w:tc>
          <w:tcPr>
            <w:tcW w:w="236" w:type="dxa"/>
            <w:vAlign w:val="bottom"/>
          </w:tcPr>
          <w:p w14:paraId="289DB832" w14:textId="77777777" w:rsidR="006C1384" w:rsidRPr="008818B9" w:rsidRDefault="006C1384" w:rsidP="00922116">
            <w:pPr>
              <w:pStyle w:val="CellRowSpacer"/>
              <w:spacing w:after="120"/>
              <w:rPr>
                <w:sz w:val="16"/>
                <w:szCs w:val="16"/>
              </w:rPr>
            </w:pPr>
          </w:p>
        </w:tc>
      </w:tr>
      <w:tr w:rsidR="006C1384" w:rsidRPr="008818B9" w14:paraId="365AC653" w14:textId="77777777" w:rsidTr="00826D63">
        <w:tc>
          <w:tcPr>
            <w:tcW w:w="5984" w:type="dxa"/>
            <w:tcBorders>
              <w:top w:val="single" w:sz="4" w:space="0" w:color="auto"/>
            </w:tcBorders>
            <w:vAlign w:val="center"/>
          </w:tcPr>
          <w:p w14:paraId="0E885D94" w14:textId="77777777" w:rsidR="006C1384" w:rsidRPr="008818B9" w:rsidRDefault="006C1384" w:rsidP="00922116">
            <w:pPr>
              <w:pStyle w:val="CellBody"/>
              <w:tabs>
                <w:tab w:val="right" w:leader="dot" w:pos="5998"/>
              </w:tabs>
              <w:rPr>
                <w:sz w:val="16"/>
                <w:szCs w:val="16"/>
              </w:rPr>
            </w:pPr>
            <w:r w:rsidRPr="008818B9">
              <w:rPr>
                <w:sz w:val="16"/>
                <w:szCs w:val="16"/>
              </w:rPr>
              <w:t>Oman Charter Company SAOC</w:t>
            </w:r>
            <w:r w:rsidRPr="00FC7539">
              <w:rPr>
                <w:sz w:val="14"/>
                <w:szCs w:val="14"/>
              </w:rPr>
              <w:tab/>
            </w:r>
          </w:p>
        </w:tc>
        <w:tc>
          <w:tcPr>
            <w:tcW w:w="282" w:type="dxa"/>
            <w:vAlign w:val="bottom"/>
          </w:tcPr>
          <w:p w14:paraId="207ABBED" w14:textId="77777777" w:rsidR="006C1384" w:rsidRPr="008818B9" w:rsidRDefault="006C1384" w:rsidP="00922116">
            <w:pPr>
              <w:pStyle w:val="CellRowSpacer"/>
              <w:rPr>
                <w:sz w:val="16"/>
                <w:szCs w:val="16"/>
              </w:rPr>
            </w:pPr>
          </w:p>
        </w:tc>
        <w:tc>
          <w:tcPr>
            <w:tcW w:w="1377" w:type="dxa"/>
            <w:tcBorders>
              <w:top w:val="single" w:sz="4" w:space="0" w:color="auto"/>
            </w:tcBorders>
            <w:vAlign w:val="center"/>
          </w:tcPr>
          <w:p w14:paraId="1F883FAD" w14:textId="77777777" w:rsidR="006C1384" w:rsidRPr="008818B9" w:rsidRDefault="000E1549" w:rsidP="00922116">
            <w:pPr>
              <w:pStyle w:val="CellBody"/>
              <w:jc w:val="right"/>
              <w:rPr>
                <w:sz w:val="16"/>
                <w:szCs w:val="16"/>
              </w:rPr>
            </w:pPr>
            <w:r>
              <w:rPr>
                <w:sz w:val="16"/>
                <w:szCs w:val="16"/>
              </w:rPr>
              <w:t xml:space="preserve">Sultanate of </w:t>
            </w:r>
            <w:r w:rsidR="006C1384" w:rsidRPr="008818B9">
              <w:rPr>
                <w:sz w:val="16"/>
                <w:szCs w:val="16"/>
              </w:rPr>
              <w:t>Oman</w:t>
            </w:r>
          </w:p>
        </w:tc>
        <w:tc>
          <w:tcPr>
            <w:tcW w:w="37" w:type="dxa"/>
            <w:vAlign w:val="bottom"/>
          </w:tcPr>
          <w:p w14:paraId="48FF9BC0" w14:textId="77777777" w:rsidR="006C1384" w:rsidRPr="008818B9" w:rsidRDefault="006C1384" w:rsidP="00922116">
            <w:pPr>
              <w:pStyle w:val="CellRowSpacer"/>
              <w:rPr>
                <w:sz w:val="16"/>
                <w:szCs w:val="16"/>
              </w:rPr>
            </w:pPr>
          </w:p>
        </w:tc>
        <w:tc>
          <w:tcPr>
            <w:tcW w:w="1132" w:type="dxa"/>
            <w:tcBorders>
              <w:top w:val="single" w:sz="4" w:space="0" w:color="auto"/>
            </w:tcBorders>
            <w:vAlign w:val="center"/>
          </w:tcPr>
          <w:p w14:paraId="1106EEAB" w14:textId="77777777" w:rsidR="006C1384" w:rsidRPr="008818B9" w:rsidRDefault="006C1384" w:rsidP="00922116">
            <w:pPr>
              <w:pStyle w:val="CellBody"/>
              <w:jc w:val="right"/>
              <w:rPr>
                <w:sz w:val="16"/>
                <w:szCs w:val="16"/>
              </w:rPr>
            </w:pPr>
            <w:r w:rsidRPr="008818B9">
              <w:rPr>
                <w:sz w:val="16"/>
                <w:szCs w:val="16"/>
              </w:rPr>
              <w:t>99.99</w:t>
            </w:r>
          </w:p>
        </w:tc>
        <w:tc>
          <w:tcPr>
            <w:tcW w:w="236" w:type="dxa"/>
            <w:vAlign w:val="bottom"/>
          </w:tcPr>
          <w:p w14:paraId="51FEC866" w14:textId="77777777" w:rsidR="006C1384" w:rsidRPr="008818B9" w:rsidRDefault="006C1384" w:rsidP="00922116">
            <w:pPr>
              <w:pStyle w:val="CellRowSpacer"/>
              <w:rPr>
                <w:sz w:val="16"/>
                <w:szCs w:val="16"/>
              </w:rPr>
            </w:pPr>
          </w:p>
        </w:tc>
      </w:tr>
      <w:tr w:rsidR="006C1384" w:rsidRPr="008818B9" w14:paraId="1435C12F" w14:textId="77777777" w:rsidTr="00826D63">
        <w:tc>
          <w:tcPr>
            <w:tcW w:w="5984" w:type="dxa"/>
            <w:vAlign w:val="center"/>
          </w:tcPr>
          <w:p w14:paraId="53772CC0" w14:textId="77777777" w:rsidR="006C1384" w:rsidRPr="008818B9" w:rsidRDefault="006C1384" w:rsidP="00922116">
            <w:pPr>
              <w:pStyle w:val="CellBody"/>
              <w:tabs>
                <w:tab w:val="right" w:leader="dot" w:pos="5998"/>
              </w:tabs>
              <w:rPr>
                <w:sz w:val="16"/>
                <w:szCs w:val="16"/>
              </w:rPr>
            </w:pPr>
            <w:r w:rsidRPr="008818B9">
              <w:rPr>
                <w:sz w:val="16"/>
                <w:szCs w:val="16"/>
              </w:rPr>
              <w:t>Oman Ship Management Company SAOC</w:t>
            </w:r>
            <w:r w:rsidRPr="00FC7539">
              <w:rPr>
                <w:sz w:val="14"/>
                <w:szCs w:val="14"/>
              </w:rPr>
              <w:tab/>
            </w:r>
          </w:p>
        </w:tc>
        <w:tc>
          <w:tcPr>
            <w:tcW w:w="282" w:type="dxa"/>
            <w:vAlign w:val="bottom"/>
          </w:tcPr>
          <w:p w14:paraId="1DFCB059" w14:textId="77777777" w:rsidR="006C1384" w:rsidRPr="008818B9" w:rsidRDefault="006C1384" w:rsidP="00922116">
            <w:pPr>
              <w:pStyle w:val="CellRowSpacer"/>
              <w:rPr>
                <w:sz w:val="16"/>
                <w:szCs w:val="16"/>
              </w:rPr>
            </w:pPr>
          </w:p>
        </w:tc>
        <w:tc>
          <w:tcPr>
            <w:tcW w:w="1377" w:type="dxa"/>
            <w:vAlign w:val="center"/>
          </w:tcPr>
          <w:p w14:paraId="0205FDB5" w14:textId="77777777" w:rsidR="006C1384" w:rsidRPr="008818B9" w:rsidRDefault="000E1549" w:rsidP="00922116">
            <w:pPr>
              <w:pStyle w:val="CellBody"/>
              <w:jc w:val="right"/>
              <w:rPr>
                <w:sz w:val="16"/>
                <w:szCs w:val="16"/>
              </w:rPr>
            </w:pPr>
            <w:r>
              <w:rPr>
                <w:sz w:val="16"/>
                <w:szCs w:val="16"/>
              </w:rPr>
              <w:t xml:space="preserve">Sultanate of </w:t>
            </w:r>
            <w:r w:rsidRPr="008818B9">
              <w:rPr>
                <w:sz w:val="16"/>
                <w:szCs w:val="16"/>
              </w:rPr>
              <w:t>Oman</w:t>
            </w:r>
          </w:p>
        </w:tc>
        <w:tc>
          <w:tcPr>
            <w:tcW w:w="37" w:type="dxa"/>
            <w:vAlign w:val="bottom"/>
          </w:tcPr>
          <w:p w14:paraId="3AE2C526" w14:textId="77777777" w:rsidR="006C1384" w:rsidRPr="008818B9" w:rsidRDefault="006C1384" w:rsidP="00922116">
            <w:pPr>
              <w:pStyle w:val="CellRowSpacer"/>
              <w:rPr>
                <w:sz w:val="16"/>
                <w:szCs w:val="16"/>
              </w:rPr>
            </w:pPr>
          </w:p>
        </w:tc>
        <w:tc>
          <w:tcPr>
            <w:tcW w:w="1132" w:type="dxa"/>
            <w:vAlign w:val="center"/>
          </w:tcPr>
          <w:p w14:paraId="28B205B8" w14:textId="77777777" w:rsidR="006C1384" w:rsidRPr="008818B9" w:rsidRDefault="006C1384" w:rsidP="00922116">
            <w:pPr>
              <w:pStyle w:val="CellBody"/>
              <w:jc w:val="right"/>
              <w:rPr>
                <w:sz w:val="16"/>
                <w:szCs w:val="16"/>
              </w:rPr>
            </w:pPr>
            <w:r w:rsidRPr="008818B9">
              <w:rPr>
                <w:sz w:val="16"/>
                <w:szCs w:val="16"/>
              </w:rPr>
              <w:t>99.99</w:t>
            </w:r>
          </w:p>
        </w:tc>
        <w:tc>
          <w:tcPr>
            <w:tcW w:w="236" w:type="dxa"/>
            <w:vAlign w:val="bottom"/>
          </w:tcPr>
          <w:p w14:paraId="50923630" w14:textId="77777777" w:rsidR="006C1384" w:rsidRPr="008818B9" w:rsidRDefault="006C1384" w:rsidP="00922116">
            <w:pPr>
              <w:pStyle w:val="CellRowSpacer"/>
              <w:rPr>
                <w:sz w:val="16"/>
                <w:szCs w:val="16"/>
              </w:rPr>
            </w:pPr>
          </w:p>
        </w:tc>
      </w:tr>
      <w:tr w:rsidR="006C1384" w:rsidRPr="008818B9" w14:paraId="1C9F5393" w14:textId="77777777" w:rsidTr="00826D63">
        <w:tc>
          <w:tcPr>
            <w:tcW w:w="5984" w:type="dxa"/>
            <w:vAlign w:val="center"/>
          </w:tcPr>
          <w:p w14:paraId="6D40D135" w14:textId="77777777" w:rsidR="006C1384" w:rsidRPr="008818B9" w:rsidRDefault="006C1384" w:rsidP="00922116">
            <w:pPr>
              <w:pStyle w:val="CellBody"/>
              <w:tabs>
                <w:tab w:val="right" w:leader="dot" w:pos="5998"/>
              </w:tabs>
              <w:rPr>
                <w:sz w:val="16"/>
                <w:szCs w:val="16"/>
              </w:rPr>
            </w:pPr>
            <w:r w:rsidRPr="008818B9">
              <w:rPr>
                <w:sz w:val="16"/>
                <w:szCs w:val="16"/>
              </w:rPr>
              <w:t>Areej LNG Carrier S. A</w:t>
            </w:r>
            <w:r w:rsidRPr="00FC7539">
              <w:rPr>
                <w:sz w:val="14"/>
                <w:szCs w:val="14"/>
              </w:rPr>
              <w:tab/>
            </w:r>
          </w:p>
        </w:tc>
        <w:tc>
          <w:tcPr>
            <w:tcW w:w="282" w:type="dxa"/>
            <w:vAlign w:val="bottom"/>
          </w:tcPr>
          <w:p w14:paraId="6AA6D3BD" w14:textId="77777777" w:rsidR="006C1384" w:rsidRPr="008818B9" w:rsidRDefault="006C1384" w:rsidP="00922116">
            <w:pPr>
              <w:pStyle w:val="CellRowSpacer"/>
              <w:rPr>
                <w:sz w:val="16"/>
                <w:szCs w:val="16"/>
              </w:rPr>
            </w:pPr>
          </w:p>
        </w:tc>
        <w:tc>
          <w:tcPr>
            <w:tcW w:w="1377" w:type="dxa"/>
          </w:tcPr>
          <w:p w14:paraId="1D15F2AC" w14:textId="77777777" w:rsidR="006C1384" w:rsidRPr="008818B9" w:rsidRDefault="00483BA3" w:rsidP="00922116">
            <w:pPr>
              <w:pStyle w:val="CellBody"/>
              <w:jc w:val="right"/>
              <w:rPr>
                <w:sz w:val="16"/>
                <w:szCs w:val="16"/>
              </w:rPr>
            </w:pPr>
            <w:r>
              <w:rPr>
                <w:sz w:val="16"/>
                <w:szCs w:val="16"/>
              </w:rPr>
              <w:t xml:space="preserve">Republic of </w:t>
            </w:r>
            <w:r w:rsidR="006C1384" w:rsidRPr="00EE0830">
              <w:rPr>
                <w:sz w:val="16"/>
                <w:szCs w:val="16"/>
              </w:rPr>
              <w:t>Panama</w:t>
            </w:r>
          </w:p>
        </w:tc>
        <w:tc>
          <w:tcPr>
            <w:tcW w:w="37" w:type="dxa"/>
            <w:vAlign w:val="bottom"/>
          </w:tcPr>
          <w:p w14:paraId="6E0B715F" w14:textId="77777777" w:rsidR="006C1384" w:rsidRPr="008818B9" w:rsidRDefault="006C1384" w:rsidP="00922116">
            <w:pPr>
              <w:pStyle w:val="CellRowSpacer"/>
              <w:rPr>
                <w:sz w:val="16"/>
                <w:szCs w:val="16"/>
              </w:rPr>
            </w:pPr>
          </w:p>
        </w:tc>
        <w:tc>
          <w:tcPr>
            <w:tcW w:w="1132" w:type="dxa"/>
            <w:vAlign w:val="center"/>
          </w:tcPr>
          <w:p w14:paraId="48092EE4" w14:textId="77777777" w:rsidR="006C1384" w:rsidRPr="008818B9" w:rsidRDefault="006C1384" w:rsidP="00922116">
            <w:pPr>
              <w:pStyle w:val="CellBody"/>
              <w:jc w:val="right"/>
              <w:rPr>
                <w:sz w:val="16"/>
                <w:szCs w:val="16"/>
              </w:rPr>
            </w:pPr>
            <w:r w:rsidRPr="008818B9">
              <w:rPr>
                <w:sz w:val="16"/>
                <w:szCs w:val="16"/>
              </w:rPr>
              <w:t>80.0</w:t>
            </w:r>
          </w:p>
        </w:tc>
        <w:tc>
          <w:tcPr>
            <w:tcW w:w="236" w:type="dxa"/>
            <w:vAlign w:val="bottom"/>
          </w:tcPr>
          <w:p w14:paraId="2358B187" w14:textId="77777777" w:rsidR="006C1384" w:rsidRPr="008818B9" w:rsidRDefault="006C1384" w:rsidP="00922116">
            <w:pPr>
              <w:pStyle w:val="CellRowSpacer"/>
              <w:rPr>
                <w:sz w:val="16"/>
                <w:szCs w:val="16"/>
              </w:rPr>
            </w:pPr>
          </w:p>
        </w:tc>
      </w:tr>
      <w:tr w:rsidR="006C1384" w:rsidRPr="008818B9" w14:paraId="0485EEA3" w14:textId="77777777" w:rsidTr="00826D63">
        <w:tc>
          <w:tcPr>
            <w:tcW w:w="5984" w:type="dxa"/>
            <w:vAlign w:val="center"/>
          </w:tcPr>
          <w:p w14:paraId="2755E57A" w14:textId="77777777" w:rsidR="006C1384" w:rsidRPr="008818B9" w:rsidRDefault="006C1384" w:rsidP="00922116">
            <w:pPr>
              <w:pStyle w:val="CellBody"/>
              <w:tabs>
                <w:tab w:val="right" w:leader="dot" w:pos="5998"/>
              </w:tabs>
              <w:rPr>
                <w:sz w:val="16"/>
                <w:szCs w:val="16"/>
              </w:rPr>
            </w:pPr>
            <w:r w:rsidRPr="008818B9">
              <w:rPr>
                <w:sz w:val="16"/>
                <w:szCs w:val="16"/>
              </w:rPr>
              <w:t>Tiwi LNG Carrier S. A</w:t>
            </w:r>
            <w:r w:rsidRPr="00FC7539">
              <w:rPr>
                <w:sz w:val="14"/>
                <w:szCs w:val="14"/>
              </w:rPr>
              <w:tab/>
            </w:r>
          </w:p>
        </w:tc>
        <w:tc>
          <w:tcPr>
            <w:tcW w:w="282" w:type="dxa"/>
            <w:vAlign w:val="bottom"/>
          </w:tcPr>
          <w:p w14:paraId="25514034" w14:textId="77777777" w:rsidR="006C1384" w:rsidRPr="008818B9" w:rsidRDefault="006C1384" w:rsidP="00922116">
            <w:pPr>
              <w:pStyle w:val="CellRowSpacer"/>
              <w:rPr>
                <w:sz w:val="16"/>
                <w:szCs w:val="16"/>
              </w:rPr>
            </w:pPr>
          </w:p>
        </w:tc>
        <w:tc>
          <w:tcPr>
            <w:tcW w:w="1377" w:type="dxa"/>
          </w:tcPr>
          <w:p w14:paraId="3918DE49" w14:textId="77777777" w:rsidR="006C1384" w:rsidRPr="008818B9" w:rsidRDefault="00483BA3" w:rsidP="00922116">
            <w:pPr>
              <w:pStyle w:val="CellBody"/>
              <w:jc w:val="right"/>
              <w:rPr>
                <w:sz w:val="16"/>
                <w:szCs w:val="16"/>
              </w:rPr>
            </w:pPr>
            <w:r>
              <w:rPr>
                <w:sz w:val="16"/>
                <w:szCs w:val="16"/>
              </w:rPr>
              <w:t xml:space="preserve">Republic of </w:t>
            </w:r>
            <w:r w:rsidR="006C1384" w:rsidRPr="00EE0830">
              <w:rPr>
                <w:sz w:val="16"/>
                <w:szCs w:val="16"/>
              </w:rPr>
              <w:t>Panama</w:t>
            </w:r>
          </w:p>
        </w:tc>
        <w:tc>
          <w:tcPr>
            <w:tcW w:w="37" w:type="dxa"/>
            <w:vAlign w:val="bottom"/>
          </w:tcPr>
          <w:p w14:paraId="0A1476BB" w14:textId="77777777" w:rsidR="006C1384" w:rsidRPr="008818B9" w:rsidRDefault="006C1384" w:rsidP="00922116">
            <w:pPr>
              <w:pStyle w:val="CellRowSpacer"/>
              <w:rPr>
                <w:sz w:val="16"/>
                <w:szCs w:val="16"/>
              </w:rPr>
            </w:pPr>
          </w:p>
        </w:tc>
        <w:tc>
          <w:tcPr>
            <w:tcW w:w="1132" w:type="dxa"/>
            <w:vAlign w:val="center"/>
          </w:tcPr>
          <w:p w14:paraId="4E1BA01A" w14:textId="77777777" w:rsidR="006C1384" w:rsidRPr="008818B9" w:rsidRDefault="006C1384" w:rsidP="00922116">
            <w:pPr>
              <w:pStyle w:val="CellBody"/>
              <w:jc w:val="right"/>
              <w:rPr>
                <w:sz w:val="16"/>
                <w:szCs w:val="16"/>
              </w:rPr>
            </w:pPr>
            <w:r w:rsidRPr="008818B9">
              <w:rPr>
                <w:sz w:val="16"/>
                <w:szCs w:val="16"/>
              </w:rPr>
              <w:t>80.0</w:t>
            </w:r>
          </w:p>
        </w:tc>
        <w:tc>
          <w:tcPr>
            <w:tcW w:w="236" w:type="dxa"/>
            <w:vAlign w:val="bottom"/>
          </w:tcPr>
          <w:p w14:paraId="14D9D9D1" w14:textId="77777777" w:rsidR="006C1384" w:rsidRPr="008818B9" w:rsidRDefault="006C1384" w:rsidP="00922116">
            <w:pPr>
              <w:pStyle w:val="CellRowSpacer"/>
              <w:rPr>
                <w:sz w:val="16"/>
                <w:szCs w:val="16"/>
              </w:rPr>
            </w:pPr>
          </w:p>
        </w:tc>
      </w:tr>
      <w:tr w:rsidR="006C1384" w:rsidRPr="008818B9" w14:paraId="6AF1E27F" w14:textId="77777777" w:rsidTr="00826D63">
        <w:tc>
          <w:tcPr>
            <w:tcW w:w="5984" w:type="dxa"/>
            <w:vAlign w:val="center"/>
          </w:tcPr>
          <w:p w14:paraId="2120902D" w14:textId="77777777" w:rsidR="006C1384" w:rsidRPr="008818B9" w:rsidRDefault="006C1384" w:rsidP="00922116">
            <w:pPr>
              <w:pStyle w:val="CellBody"/>
              <w:tabs>
                <w:tab w:val="right" w:leader="dot" w:pos="5998"/>
              </w:tabs>
              <w:rPr>
                <w:sz w:val="16"/>
                <w:szCs w:val="16"/>
              </w:rPr>
            </w:pPr>
            <w:r w:rsidRPr="008818B9">
              <w:rPr>
                <w:sz w:val="16"/>
                <w:szCs w:val="16"/>
              </w:rPr>
              <w:t>Adam Maritime Transportation Company</w:t>
            </w:r>
            <w:r w:rsidRPr="00FC7539">
              <w:rPr>
                <w:sz w:val="14"/>
                <w:szCs w:val="14"/>
              </w:rPr>
              <w:tab/>
            </w:r>
          </w:p>
        </w:tc>
        <w:tc>
          <w:tcPr>
            <w:tcW w:w="282" w:type="dxa"/>
            <w:vAlign w:val="bottom"/>
          </w:tcPr>
          <w:p w14:paraId="7947C139" w14:textId="77777777" w:rsidR="006C1384" w:rsidRPr="008818B9" w:rsidRDefault="006C1384" w:rsidP="00922116">
            <w:pPr>
              <w:pStyle w:val="CellRowSpacer"/>
              <w:rPr>
                <w:sz w:val="16"/>
                <w:szCs w:val="16"/>
              </w:rPr>
            </w:pPr>
          </w:p>
        </w:tc>
        <w:tc>
          <w:tcPr>
            <w:tcW w:w="1377" w:type="dxa"/>
            <w:vAlign w:val="center"/>
          </w:tcPr>
          <w:p w14:paraId="50CC8E5C"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527E3391" w14:textId="77777777" w:rsidR="006C1384" w:rsidRPr="008818B9" w:rsidRDefault="006C1384" w:rsidP="00922116">
            <w:pPr>
              <w:pStyle w:val="CellRowSpacer"/>
              <w:rPr>
                <w:sz w:val="16"/>
                <w:szCs w:val="16"/>
              </w:rPr>
            </w:pPr>
          </w:p>
        </w:tc>
        <w:tc>
          <w:tcPr>
            <w:tcW w:w="1132" w:type="dxa"/>
            <w:vAlign w:val="center"/>
          </w:tcPr>
          <w:p w14:paraId="4E8D1AD7"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164B89CB" w14:textId="77777777" w:rsidR="006C1384" w:rsidRPr="008818B9" w:rsidRDefault="006C1384" w:rsidP="00922116">
            <w:pPr>
              <w:pStyle w:val="CellRowSpacer"/>
              <w:rPr>
                <w:sz w:val="16"/>
                <w:szCs w:val="16"/>
              </w:rPr>
            </w:pPr>
          </w:p>
        </w:tc>
      </w:tr>
      <w:tr w:rsidR="006C1384" w:rsidRPr="008818B9" w14:paraId="0CB336C3" w14:textId="77777777" w:rsidTr="00826D63">
        <w:tc>
          <w:tcPr>
            <w:tcW w:w="5984" w:type="dxa"/>
            <w:vAlign w:val="center"/>
          </w:tcPr>
          <w:p w14:paraId="5C8B135A" w14:textId="77777777" w:rsidR="006C1384" w:rsidRPr="008818B9" w:rsidRDefault="006C1384" w:rsidP="00922116">
            <w:pPr>
              <w:pStyle w:val="CellBody"/>
              <w:tabs>
                <w:tab w:val="right" w:leader="dot" w:pos="5998"/>
              </w:tabs>
              <w:rPr>
                <w:sz w:val="16"/>
                <w:szCs w:val="16"/>
              </w:rPr>
            </w:pPr>
            <w:r w:rsidRPr="008818B9">
              <w:rPr>
                <w:sz w:val="16"/>
                <w:szCs w:val="16"/>
              </w:rPr>
              <w:t>Dune LNG Carrier S. A</w:t>
            </w:r>
            <w:r w:rsidRPr="00FC7539">
              <w:rPr>
                <w:sz w:val="14"/>
                <w:szCs w:val="14"/>
              </w:rPr>
              <w:tab/>
            </w:r>
          </w:p>
        </w:tc>
        <w:tc>
          <w:tcPr>
            <w:tcW w:w="282" w:type="dxa"/>
            <w:vAlign w:val="bottom"/>
          </w:tcPr>
          <w:p w14:paraId="5E724F37" w14:textId="77777777" w:rsidR="006C1384" w:rsidRPr="008818B9" w:rsidRDefault="006C1384" w:rsidP="00922116">
            <w:pPr>
              <w:pStyle w:val="CellRowSpacer"/>
              <w:rPr>
                <w:sz w:val="16"/>
                <w:szCs w:val="16"/>
              </w:rPr>
            </w:pPr>
          </w:p>
        </w:tc>
        <w:tc>
          <w:tcPr>
            <w:tcW w:w="1377" w:type="dxa"/>
          </w:tcPr>
          <w:p w14:paraId="6255E3EB" w14:textId="77777777" w:rsidR="006C1384" w:rsidRPr="008818B9" w:rsidRDefault="00483BA3" w:rsidP="00922116">
            <w:pPr>
              <w:pStyle w:val="CellBody"/>
              <w:jc w:val="right"/>
              <w:rPr>
                <w:sz w:val="16"/>
                <w:szCs w:val="16"/>
              </w:rPr>
            </w:pPr>
            <w:r>
              <w:rPr>
                <w:sz w:val="16"/>
                <w:szCs w:val="16"/>
              </w:rPr>
              <w:t xml:space="preserve">Republic of </w:t>
            </w:r>
            <w:r w:rsidR="006C1384" w:rsidRPr="00743F9F">
              <w:rPr>
                <w:sz w:val="16"/>
                <w:szCs w:val="16"/>
              </w:rPr>
              <w:t>Panama</w:t>
            </w:r>
          </w:p>
        </w:tc>
        <w:tc>
          <w:tcPr>
            <w:tcW w:w="37" w:type="dxa"/>
            <w:vAlign w:val="bottom"/>
          </w:tcPr>
          <w:p w14:paraId="1415A0A4" w14:textId="77777777" w:rsidR="006C1384" w:rsidRPr="008818B9" w:rsidRDefault="006C1384" w:rsidP="00922116">
            <w:pPr>
              <w:pStyle w:val="CellRowSpacer"/>
              <w:rPr>
                <w:sz w:val="16"/>
                <w:szCs w:val="16"/>
              </w:rPr>
            </w:pPr>
          </w:p>
        </w:tc>
        <w:tc>
          <w:tcPr>
            <w:tcW w:w="1132" w:type="dxa"/>
            <w:vAlign w:val="center"/>
          </w:tcPr>
          <w:p w14:paraId="1CC06722" w14:textId="77777777" w:rsidR="006C1384" w:rsidRPr="008818B9" w:rsidRDefault="006C1384" w:rsidP="00922116">
            <w:pPr>
              <w:pStyle w:val="CellBody"/>
              <w:jc w:val="right"/>
              <w:rPr>
                <w:sz w:val="16"/>
                <w:szCs w:val="16"/>
              </w:rPr>
            </w:pPr>
            <w:r w:rsidRPr="008818B9">
              <w:rPr>
                <w:sz w:val="16"/>
                <w:szCs w:val="16"/>
              </w:rPr>
              <w:t>80.0</w:t>
            </w:r>
          </w:p>
        </w:tc>
        <w:tc>
          <w:tcPr>
            <w:tcW w:w="236" w:type="dxa"/>
            <w:vAlign w:val="bottom"/>
          </w:tcPr>
          <w:p w14:paraId="1C4135A2" w14:textId="77777777" w:rsidR="006C1384" w:rsidRPr="008818B9" w:rsidRDefault="006C1384" w:rsidP="00922116">
            <w:pPr>
              <w:pStyle w:val="CellRowSpacer"/>
              <w:rPr>
                <w:sz w:val="16"/>
                <w:szCs w:val="16"/>
              </w:rPr>
            </w:pPr>
          </w:p>
        </w:tc>
      </w:tr>
      <w:tr w:rsidR="006C1384" w:rsidRPr="008818B9" w14:paraId="6F39A2DB" w14:textId="77777777" w:rsidTr="00826D63">
        <w:tc>
          <w:tcPr>
            <w:tcW w:w="5984" w:type="dxa"/>
            <w:vAlign w:val="center"/>
          </w:tcPr>
          <w:p w14:paraId="52487F13" w14:textId="77777777" w:rsidR="006C1384" w:rsidRPr="008818B9" w:rsidRDefault="006C1384" w:rsidP="00922116">
            <w:pPr>
              <w:pStyle w:val="CellBody"/>
              <w:tabs>
                <w:tab w:val="right" w:leader="dot" w:pos="5998"/>
              </w:tabs>
              <w:rPr>
                <w:sz w:val="16"/>
                <w:szCs w:val="16"/>
              </w:rPr>
            </w:pPr>
            <w:r w:rsidRPr="008818B9">
              <w:rPr>
                <w:sz w:val="16"/>
                <w:szCs w:val="16"/>
              </w:rPr>
              <w:t>Oryx LNG Carrier S. A</w:t>
            </w:r>
            <w:r w:rsidRPr="00FC7539">
              <w:rPr>
                <w:sz w:val="14"/>
                <w:szCs w:val="14"/>
              </w:rPr>
              <w:tab/>
            </w:r>
          </w:p>
        </w:tc>
        <w:tc>
          <w:tcPr>
            <w:tcW w:w="282" w:type="dxa"/>
            <w:vAlign w:val="bottom"/>
          </w:tcPr>
          <w:p w14:paraId="423FEA7F" w14:textId="77777777" w:rsidR="006C1384" w:rsidRPr="008818B9" w:rsidRDefault="006C1384" w:rsidP="00922116">
            <w:pPr>
              <w:pStyle w:val="CellRowSpacer"/>
              <w:rPr>
                <w:sz w:val="16"/>
                <w:szCs w:val="16"/>
              </w:rPr>
            </w:pPr>
          </w:p>
        </w:tc>
        <w:tc>
          <w:tcPr>
            <w:tcW w:w="1377" w:type="dxa"/>
          </w:tcPr>
          <w:p w14:paraId="2913E7E0" w14:textId="77777777" w:rsidR="006C1384" w:rsidRPr="008818B9" w:rsidRDefault="00483BA3" w:rsidP="00922116">
            <w:pPr>
              <w:pStyle w:val="CellBody"/>
              <w:jc w:val="right"/>
              <w:rPr>
                <w:sz w:val="16"/>
                <w:szCs w:val="16"/>
              </w:rPr>
            </w:pPr>
            <w:r>
              <w:rPr>
                <w:sz w:val="16"/>
                <w:szCs w:val="16"/>
              </w:rPr>
              <w:t xml:space="preserve">Republic of </w:t>
            </w:r>
            <w:r w:rsidR="006C1384" w:rsidRPr="00743F9F">
              <w:rPr>
                <w:sz w:val="16"/>
                <w:szCs w:val="16"/>
              </w:rPr>
              <w:t>Panama</w:t>
            </w:r>
          </w:p>
        </w:tc>
        <w:tc>
          <w:tcPr>
            <w:tcW w:w="37" w:type="dxa"/>
            <w:vAlign w:val="bottom"/>
          </w:tcPr>
          <w:p w14:paraId="7BB338C4" w14:textId="77777777" w:rsidR="006C1384" w:rsidRPr="008818B9" w:rsidRDefault="006C1384" w:rsidP="00922116">
            <w:pPr>
              <w:pStyle w:val="CellRowSpacer"/>
              <w:rPr>
                <w:sz w:val="16"/>
                <w:szCs w:val="16"/>
              </w:rPr>
            </w:pPr>
          </w:p>
        </w:tc>
        <w:tc>
          <w:tcPr>
            <w:tcW w:w="1132" w:type="dxa"/>
            <w:vAlign w:val="center"/>
          </w:tcPr>
          <w:p w14:paraId="2595A07B" w14:textId="77777777" w:rsidR="006C1384" w:rsidRPr="008818B9" w:rsidRDefault="006C1384" w:rsidP="00922116">
            <w:pPr>
              <w:pStyle w:val="CellBody"/>
              <w:jc w:val="right"/>
              <w:rPr>
                <w:sz w:val="16"/>
                <w:szCs w:val="16"/>
              </w:rPr>
            </w:pPr>
            <w:r w:rsidRPr="008818B9">
              <w:rPr>
                <w:sz w:val="16"/>
                <w:szCs w:val="16"/>
              </w:rPr>
              <w:t>60.0</w:t>
            </w:r>
          </w:p>
        </w:tc>
        <w:tc>
          <w:tcPr>
            <w:tcW w:w="236" w:type="dxa"/>
            <w:vAlign w:val="bottom"/>
          </w:tcPr>
          <w:p w14:paraId="783A4A19" w14:textId="77777777" w:rsidR="006C1384" w:rsidRPr="008818B9" w:rsidRDefault="006C1384" w:rsidP="00922116">
            <w:pPr>
              <w:pStyle w:val="CellRowSpacer"/>
              <w:rPr>
                <w:sz w:val="16"/>
                <w:szCs w:val="16"/>
              </w:rPr>
            </w:pPr>
          </w:p>
        </w:tc>
      </w:tr>
      <w:tr w:rsidR="006C1384" w:rsidRPr="008818B9" w14:paraId="089F61B0" w14:textId="77777777" w:rsidTr="00826D63">
        <w:tc>
          <w:tcPr>
            <w:tcW w:w="5984" w:type="dxa"/>
            <w:vAlign w:val="center"/>
          </w:tcPr>
          <w:p w14:paraId="11299C7B" w14:textId="77777777" w:rsidR="006C1384" w:rsidRPr="008818B9" w:rsidRDefault="006C1384" w:rsidP="00922116">
            <w:pPr>
              <w:pStyle w:val="CellBody"/>
              <w:tabs>
                <w:tab w:val="right" w:leader="dot" w:pos="5998"/>
              </w:tabs>
              <w:rPr>
                <w:sz w:val="16"/>
                <w:szCs w:val="16"/>
              </w:rPr>
            </w:pPr>
            <w:r w:rsidRPr="008818B9">
              <w:rPr>
                <w:sz w:val="16"/>
                <w:szCs w:val="16"/>
              </w:rPr>
              <w:t>Masirah Maritime Transportation Co. S. A</w:t>
            </w:r>
            <w:r w:rsidRPr="00FC7539">
              <w:rPr>
                <w:sz w:val="14"/>
                <w:szCs w:val="14"/>
              </w:rPr>
              <w:tab/>
            </w:r>
          </w:p>
        </w:tc>
        <w:tc>
          <w:tcPr>
            <w:tcW w:w="282" w:type="dxa"/>
            <w:vAlign w:val="bottom"/>
          </w:tcPr>
          <w:p w14:paraId="0464C3F9" w14:textId="77777777" w:rsidR="006C1384" w:rsidRPr="008818B9" w:rsidRDefault="006C1384" w:rsidP="00922116">
            <w:pPr>
              <w:pStyle w:val="CellRowSpacer"/>
              <w:rPr>
                <w:sz w:val="16"/>
                <w:szCs w:val="16"/>
              </w:rPr>
            </w:pPr>
          </w:p>
        </w:tc>
        <w:tc>
          <w:tcPr>
            <w:tcW w:w="1377" w:type="dxa"/>
          </w:tcPr>
          <w:p w14:paraId="28BEDE28" w14:textId="77777777" w:rsidR="006C1384" w:rsidRPr="008818B9" w:rsidRDefault="00483BA3" w:rsidP="00922116">
            <w:pPr>
              <w:pStyle w:val="CellBody"/>
              <w:jc w:val="right"/>
              <w:rPr>
                <w:sz w:val="16"/>
                <w:szCs w:val="16"/>
              </w:rPr>
            </w:pPr>
            <w:r>
              <w:rPr>
                <w:sz w:val="16"/>
                <w:szCs w:val="16"/>
              </w:rPr>
              <w:t xml:space="preserve">Republic of </w:t>
            </w:r>
            <w:r w:rsidR="006C1384" w:rsidRPr="00743F9F">
              <w:rPr>
                <w:sz w:val="16"/>
                <w:szCs w:val="16"/>
              </w:rPr>
              <w:t>Panama</w:t>
            </w:r>
          </w:p>
        </w:tc>
        <w:tc>
          <w:tcPr>
            <w:tcW w:w="37" w:type="dxa"/>
            <w:vAlign w:val="bottom"/>
          </w:tcPr>
          <w:p w14:paraId="3D5D6EEF" w14:textId="77777777" w:rsidR="006C1384" w:rsidRPr="008818B9" w:rsidRDefault="006C1384" w:rsidP="00922116">
            <w:pPr>
              <w:pStyle w:val="CellRowSpacer"/>
              <w:rPr>
                <w:sz w:val="16"/>
                <w:szCs w:val="16"/>
              </w:rPr>
            </w:pPr>
          </w:p>
        </w:tc>
        <w:tc>
          <w:tcPr>
            <w:tcW w:w="1132" w:type="dxa"/>
            <w:vAlign w:val="center"/>
          </w:tcPr>
          <w:p w14:paraId="4475AED3"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71C0B2FC" w14:textId="77777777" w:rsidR="006C1384" w:rsidRPr="008818B9" w:rsidRDefault="006C1384" w:rsidP="00922116">
            <w:pPr>
              <w:pStyle w:val="CellRowSpacer"/>
              <w:rPr>
                <w:sz w:val="16"/>
                <w:szCs w:val="16"/>
              </w:rPr>
            </w:pPr>
          </w:p>
        </w:tc>
      </w:tr>
      <w:tr w:rsidR="006C1384" w:rsidRPr="008818B9" w14:paraId="23302DD9" w14:textId="77777777" w:rsidTr="00826D63">
        <w:tc>
          <w:tcPr>
            <w:tcW w:w="5984" w:type="dxa"/>
            <w:vAlign w:val="center"/>
          </w:tcPr>
          <w:p w14:paraId="65736564" w14:textId="77777777" w:rsidR="006C1384" w:rsidRPr="008818B9" w:rsidRDefault="006C1384" w:rsidP="00922116">
            <w:pPr>
              <w:pStyle w:val="CellBody"/>
              <w:tabs>
                <w:tab w:val="right" w:leader="dot" w:pos="5998"/>
              </w:tabs>
              <w:rPr>
                <w:sz w:val="16"/>
                <w:szCs w:val="16"/>
              </w:rPr>
            </w:pPr>
            <w:r w:rsidRPr="008818B9">
              <w:rPr>
                <w:sz w:val="16"/>
                <w:szCs w:val="16"/>
              </w:rPr>
              <w:t>Matrah Transportation Co. S.A.</w:t>
            </w:r>
            <w:r w:rsidRPr="00FC7539">
              <w:rPr>
                <w:sz w:val="14"/>
                <w:szCs w:val="14"/>
              </w:rPr>
              <w:t xml:space="preserve"> </w:t>
            </w:r>
            <w:r w:rsidRPr="00FC7539">
              <w:rPr>
                <w:sz w:val="14"/>
                <w:szCs w:val="14"/>
              </w:rPr>
              <w:tab/>
            </w:r>
          </w:p>
        </w:tc>
        <w:tc>
          <w:tcPr>
            <w:tcW w:w="282" w:type="dxa"/>
            <w:vAlign w:val="bottom"/>
          </w:tcPr>
          <w:p w14:paraId="17059FF9" w14:textId="77777777" w:rsidR="006C1384" w:rsidRPr="008818B9" w:rsidRDefault="006C1384" w:rsidP="00922116">
            <w:pPr>
              <w:pStyle w:val="CellRowSpacer"/>
              <w:rPr>
                <w:sz w:val="16"/>
                <w:szCs w:val="16"/>
              </w:rPr>
            </w:pPr>
          </w:p>
        </w:tc>
        <w:tc>
          <w:tcPr>
            <w:tcW w:w="1377" w:type="dxa"/>
          </w:tcPr>
          <w:p w14:paraId="4DD6C37C" w14:textId="77777777" w:rsidR="006C1384" w:rsidRPr="008818B9" w:rsidRDefault="00483BA3" w:rsidP="00922116">
            <w:pPr>
              <w:pStyle w:val="CellBody"/>
              <w:jc w:val="right"/>
              <w:rPr>
                <w:sz w:val="16"/>
                <w:szCs w:val="16"/>
              </w:rPr>
            </w:pPr>
            <w:r>
              <w:rPr>
                <w:sz w:val="16"/>
                <w:szCs w:val="16"/>
              </w:rPr>
              <w:t xml:space="preserve">Republic of </w:t>
            </w:r>
            <w:r w:rsidR="006C1384" w:rsidRPr="00743F9F">
              <w:rPr>
                <w:sz w:val="16"/>
                <w:szCs w:val="16"/>
              </w:rPr>
              <w:t>Panama</w:t>
            </w:r>
          </w:p>
        </w:tc>
        <w:tc>
          <w:tcPr>
            <w:tcW w:w="37" w:type="dxa"/>
            <w:vAlign w:val="bottom"/>
          </w:tcPr>
          <w:p w14:paraId="43165672" w14:textId="77777777" w:rsidR="006C1384" w:rsidRPr="008818B9" w:rsidRDefault="006C1384" w:rsidP="00922116">
            <w:pPr>
              <w:pStyle w:val="CellRowSpacer"/>
              <w:rPr>
                <w:sz w:val="16"/>
                <w:szCs w:val="16"/>
              </w:rPr>
            </w:pPr>
          </w:p>
        </w:tc>
        <w:tc>
          <w:tcPr>
            <w:tcW w:w="1132" w:type="dxa"/>
            <w:vAlign w:val="center"/>
          </w:tcPr>
          <w:p w14:paraId="4AFF2A8E"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3A106CF1" w14:textId="77777777" w:rsidR="006C1384" w:rsidRPr="008818B9" w:rsidRDefault="006C1384" w:rsidP="00922116">
            <w:pPr>
              <w:pStyle w:val="CellRowSpacer"/>
              <w:rPr>
                <w:sz w:val="16"/>
                <w:szCs w:val="16"/>
              </w:rPr>
            </w:pPr>
          </w:p>
        </w:tc>
      </w:tr>
      <w:tr w:rsidR="006C1384" w:rsidRPr="008818B9" w14:paraId="26D0E4B5" w14:textId="77777777" w:rsidTr="00826D63">
        <w:tc>
          <w:tcPr>
            <w:tcW w:w="5984" w:type="dxa"/>
            <w:vAlign w:val="center"/>
          </w:tcPr>
          <w:p w14:paraId="0A5B9E93" w14:textId="77777777" w:rsidR="006C1384" w:rsidRPr="008818B9" w:rsidRDefault="006C1384" w:rsidP="00922116">
            <w:pPr>
              <w:pStyle w:val="CellBody"/>
              <w:tabs>
                <w:tab w:val="right" w:leader="dot" w:pos="5998"/>
              </w:tabs>
              <w:rPr>
                <w:sz w:val="16"/>
                <w:szCs w:val="16"/>
              </w:rPr>
            </w:pPr>
            <w:r w:rsidRPr="008818B9">
              <w:rPr>
                <w:sz w:val="16"/>
                <w:szCs w:val="16"/>
              </w:rPr>
              <w:t xml:space="preserve">Al </w:t>
            </w:r>
            <w:proofErr w:type="spellStart"/>
            <w:r w:rsidRPr="008818B9">
              <w:rPr>
                <w:sz w:val="16"/>
                <w:szCs w:val="16"/>
              </w:rPr>
              <w:t>Amerat</w:t>
            </w:r>
            <w:proofErr w:type="spellEnd"/>
            <w:r w:rsidRPr="008818B9">
              <w:rPr>
                <w:sz w:val="16"/>
                <w:szCs w:val="16"/>
              </w:rPr>
              <w:t xml:space="preserve"> Transportation Company S. A</w:t>
            </w:r>
            <w:r w:rsidRPr="00FC7539">
              <w:rPr>
                <w:sz w:val="14"/>
                <w:szCs w:val="14"/>
              </w:rPr>
              <w:tab/>
            </w:r>
          </w:p>
        </w:tc>
        <w:tc>
          <w:tcPr>
            <w:tcW w:w="282" w:type="dxa"/>
            <w:vAlign w:val="bottom"/>
          </w:tcPr>
          <w:p w14:paraId="77DF1E7A" w14:textId="77777777" w:rsidR="006C1384" w:rsidRPr="008818B9" w:rsidRDefault="006C1384" w:rsidP="00922116">
            <w:pPr>
              <w:pStyle w:val="CellRowSpacer"/>
              <w:rPr>
                <w:sz w:val="16"/>
                <w:szCs w:val="16"/>
              </w:rPr>
            </w:pPr>
          </w:p>
        </w:tc>
        <w:tc>
          <w:tcPr>
            <w:tcW w:w="1377" w:type="dxa"/>
          </w:tcPr>
          <w:p w14:paraId="45A12D8C" w14:textId="77777777" w:rsidR="006C1384" w:rsidRPr="008818B9" w:rsidRDefault="00483BA3" w:rsidP="00922116">
            <w:pPr>
              <w:pStyle w:val="CellBody"/>
              <w:jc w:val="right"/>
              <w:rPr>
                <w:sz w:val="16"/>
                <w:szCs w:val="16"/>
              </w:rPr>
            </w:pPr>
            <w:r>
              <w:rPr>
                <w:sz w:val="16"/>
                <w:szCs w:val="16"/>
              </w:rPr>
              <w:t xml:space="preserve">Republic of </w:t>
            </w:r>
            <w:r w:rsidR="006C1384" w:rsidRPr="00743F9F">
              <w:rPr>
                <w:sz w:val="16"/>
                <w:szCs w:val="16"/>
              </w:rPr>
              <w:t>Panama</w:t>
            </w:r>
          </w:p>
        </w:tc>
        <w:tc>
          <w:tcPr>
            <w:tcW w:w="37" w:type="dxa"/>
            <w:vAlign w:val="bottom"/>
          </w:tcPr>
          <w:p w14:paraId="535D3E2F" w14:textId="77777777" w:rsidR="006C1384" w:rsidRPr="008818B9" w:rsidRDefault="006C1384" w:rsidP="00922116">
            <w:pPr>
              <w:pStyle w:val="CellRowSpacer"/>
              <w:rPr>
                <w:sz w:val="16"/>
                <w:szCs w:val="16"/>
              </w:rPr>
            </w:pPr>
          </w:p>
        </w:tc>
        <w:tc>
          <w:tcPr>
            <w:tcW w:w="1132" w:type="dxa"/>
            <w:vAlign w:val="center"/>
          </w:tcPr>
          <w:p w14:paraId="3B276140"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70CA955C" w14:textId="77777777" w:rsidR="006C1384" w:rsidRPr="008818B9" w:rsidRDefault="006C1384" w:rsidP="00922116">
            <w:pPr>
              <w:pStyle w:val="CellRowSpacer"/>
              <w:rPr>
                <w:sz w:val="16"/>
                <w:szCs w:val="16"/>
              </w:rPr>
            </w:pPr>
          </w:p>
        </w:tc>
      </w:tr>
      <w:tr w:rsidR="006C1384" w:rsidRPr="008818B9" w14:paraId="47A74F8D" w14:textId="77777777" w:rsidTr="00826D63">
        <w:tc>
          <w:tcPr>
            <w:tcW w:w="5984" w:type="dxa"/>
            <w:vAlign w:val="center"/>
          </w:tcPr>
          <w:p w14:paraId="36E2B804"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t>Ezki</w:t>
            </w:r>
            <w:proofErr w:type="spellEnd"/>
            <w:r w:rsidRPr="008818B9">
              <w:rPr>
                <w:sz w:val="16"/>
                <w:szCs w:val="16"/>
              </w:rPr>
              <w:t xml:space="preserve"> Maritime Transportation Company</w:t>
            </w:r>
            <w:r w:rsidRPr="00FC7539">
              <w:rPr>
                <w:sz w:val="14"/>
                <w:szCs w:val="14"/>
              </w:rPr>
              <w:tab/>
            </w:r>
          </w:p>
        </w:tc>
        <w:tc>
          <w:tcPr>
            <w:tcW w:w="282" w:type="dxa"/>
            <w:vAlign w:val="bottom"/>
          </w:tcPr>
          <w:p w14:paraId="32BA3723" w14:textId="77777777" w:rsidR="006C1384" w:rsidRPr="008818B9" w:rsidRDefault="006C1384" w:rsidP="00922116">
            <w:pPr>
              <w:pStyle w:val="CellRowSpacer"/>
              <w:rPr>
                <w:sz w:val="16"/>
                <w:szCs w:val="16"/>
              </w:rPr>
            </w:pPr>
          </w:p>
        </w:tc>
        <w:tc>
          <w:tcPr>
            <w:tcW w:w="1377" w:type="dxa"/>
            <w:vAlign w:val="center"/>
          </w:tcPr>
          <w:p w14:paraId="2CE210B5"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77A7C52B" w14:textId="77777777" w:rsidR="006C1384" w:rsidRPr="008818B9" w:rsidRDefault="006C1384" w:rsidP="00922116">
            <w:pPr>
              <w:pStyle w:val="CellRowSpacer"/>
              <w:rPr>
                <w:sz w:val="16"/>
                <w:szCs w:val="16"/>
              </w:rPr>
            </w:pPr>
          </w:p>
        </w:tc>
        <w:tc>
          <w:tcPr>
            <w:tcW w:w="1132" w:type="dxa"/>
            <w:vAlign w:val="center"/>
          </w:tcPr>
          <w:p w14:paraId="7A440585"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1E94A5BF" w14:textId="77777777" w:rsidR="006C1384" w:rsidRPr="008818B9" w:rsidRDefault="006C1384" w:rsidP="00922116">
            <w:pPr>
              <w:pStyle w:val="CellRowSpacer"/>
              <w:rPr>
                <w:sz w:val="16"/>
                <w:szCs w:val="16"/>
              </w:rPr>
            </w:pPr>
          </w:p>
        </w:tc>
      </w:tr>
      <w:tr w:rsidR="006C1384" w:rsidRPr="008818B9" w14:paraId="704828E8" w14:textId="77777777" w:rsidTr="00826D63">
        <w:tc>
          <w:tcPr>
            <w:tcW w:w="5984" w:type="dxa"/>
            <w:vAlign w:val="center"/>
          </w:tcPr>
          <w:p w14:paraId="78A3B2C7" w14:textId="77777777" w:rsidR="006C1384" w:rsidRPr="008818B9" w:rsidRDefault="006C1384" w:rsidP="00922116">
            <w:pPr>
              <w:pStyle w:val="CellBody"/>
              <w:tabs>
                <w:tab w:val="right" w:leader="dot" w:pos="5998"/>
              </w:tabs>
              <w:rPr>
                <w:sz w:val="16"/>
                <w:szCs w:val="16"/>
              </w:rPr>
            </w:pPr>
            <w:r w:rsidRPr="008818B9">
              <w:rPr>
                <w:sz w:val="16"/>
                <w:szCs w:val="16"/>
              </w:rPr>
              <w:t>Buka Maritime Transportation Company</w:t>
            </w:r>
            <w:r w:rsidRPr="00FC7539">
              <w:rPr>
                <w:sz w:val="14"/>
                <w:szCs w:val="14"/>
              </w:rPr>
              <w:tab/>
            </w:r>
          </w:p>
        </w:tc>
        <w:tc>
          <w:tcPr>
            <w:tcW w:w="282" w:type="dxa"/>
            <w:vAlign w:val="bottom"/>
          </w:tcPr>
          <w:p w14:paraId="3B0E8556" w14:textId="77777777" w:rsidR="006C1384" w:rsidRPr="008818B9" w:rsidRDefault="006C1384" w:rsidP="00922116">
            <w:pPr>
              <w:pStyle w:val="CellRowSpacer"/>
              <w:rPr>
                <w:sz w:val="16"/>
                <w:szCs w:val="16"/>
              </w:rPr>
            </w:pPr>
          </w:p>
        </w:tc>
        <w:tc>
          <w:tcPr>
            <w:tcW w:w="1377" w:type="dxa"/>
            <w:vAlign w:val="center"/>
          </w:tcPr>
          <w:p w14:paraId="371E16A0"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1856BE8F" w14:textId="77777777" w:rsidR="006C1384" w:rsidRPr="008818B9" w:rsidRDefault="006C1384" w:rsidP="00922116">
            <w:pPr>
              <w:pStyle w:val="CellRowSpacer"/>
              <w:rPr>
                <w:sz w:val="16"/>
                <w:szCs w:val="16"/>
              </w:rPr>
            </w:pPr>
          </w:p>
        </w:tc>
        <w:tc>
          <w:tcPr>
            <w:tcW w:w="1132" w:type="dxa"/>
            <w:vAlign w:val="center"/>
          </w:tcPr>
          <w:p w14:paraId="52D943E6"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740EA11F" w14:textId="77777777" w:rsidR="006C1384" w:rsidRPr="008818B9" w:rsidRDefault="006C1384" w:rsidP="00922116">
            <w:pPr>
              <w:pStyle w:val="CellRowSpacer"/>
              <w:rPr>
                <w:sz w:val="16"/>
                <w:szCs w:val="16"/>
              </w:rPr>
            </w:pPr>
          </w:p>
        </w:tc>
      </w:tr>
      <w:tr w:rsidR="006C1384" w:rsidRPr="008818B9" w14:paraId="17BCD49E" w14:textId="77777777" w:rsidTr="00826D63">
        <w:tc>
          <w:tcPr>
            <w:tcW w:w="5984" w:type="dxa"/>
            <w:vAlign w:val="center"/>
          </w:tcPr>
          <w:p w14:paraId="1B5635DC" w14:textId="77777777" w:rsidR="006C1384" w:rsidRPr="008818B9" w:rsidRDefault="006C1384" w:rsidP="00922116">
            <w:pPr>
              <w:pStyle w:val="CellBody"/>
              <w:tabs>
                <w:tab w:val="right" w:leader="dot" w:pos="5998"/>
              </w:tabs>
              <w:rPr>
                <w:sz w:val="16"/>
                <w:szCs w:val="16"/>
              </w:rPr>
            </w:pPr>
            <w:r w:rsidRPr="008818B9">
              <w:rPr>
                <w:sz w:val="16"/>
                <w:szCs w:val="16"/>
              </w:rPr>
              <w:t>Sifa Maritime Transportation Company</w:t>
            </w:r>
            <w:r w:rsidRPr="00FC7539">
              <w:rPr>
                <w:sz w:val="14"/>
                <w:szCs w:val="14"/>
              </w:rPr>
              <w:tab/>
            </w:r>
          </w:p>
        </w:tc>
        <w:tc>
          <w:tcPr>
            <w:tcW w:w="282" w:type="dxa"/>
            <w:vAlign w:val="bottom"/>
          </w:tcPr>
          <w:p w14:paraId="555CE9D9" w14:textId="77777777" w:rsidR="006C1384" w:rsidRPr="008818B9" w:rsidRDefault="006C1384" w:rsidP="00922116">
            <w:pPr>
              <w:pStyle w:val="CellRowSpacer"/>
              <w:rPr>
                <w:sz w:val="16"/>
                <w:szCs w:val="16"/>
              </w:rPr>
            </w:pPr>
          </w:p>
        </w:tc>
        <w:tc>
          <w:tcPr>
            <w:tcW w:w="1377" w:type="dxa"/>
            <w:vAlign w:val="center"/>
          </w:tcPr>
          <w:p w14:paraId="68841B1F"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2F1166AE" w14:textId="77777777" w:rsidR="006C1384" w:rsidRPr="008818B9" w:rsidRDefault="006C1384" w:rsidP="00922116">
            <w:pPr>
              <w:pStyle w:val="CellRowSpacer"/>
              <w:rPr>
                <w:sz w:val="16"/>
                <w:szCs w:val="16"/>
              </w:rPr>
            </w:pPr>
          </w:p>
        </w:tc>
        <w:tc>
          <w:tcPr>
            <w:tcW w:w="1132" w:type="dxa"/>
            <w:vAlign w:val="center"/>
          </w:tcPr>
          <w:p w14:paraId="499CE2B3"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22B1BD6D" w14:textId="77777777" w:rsidR="006C1384" w:rsidRPr="008818B9" w:rsidRDefault="006C1384" w:rsidP="00922116">
            <w:pPr>
              <w:pStyle w:val="CellRowSpacer"/>
              <w:rPr>
                <w:sz w:val="16"/>
                <w:szCs w:val="16"/>
              </w:rPr>
            </w:pPr>
          </w:p>
        </w:tc>
      </w:tr>
      <w:tr w:rsidR="006C1384" w:rsidRPr="008818B9" w14:paraId="471BEB63" w14:textId="77777777" w:rsidTr="00826D63">
        <w:tc>
          <w:tcPr>
            <w:tcW w:w="5984" w:type="dxa"/>
            <w:vAlign w:val="center"/>
          </w:tcPr>
          <w:p w14:paraId="423578F5" w14:textId="77777777" w:rsidR="006C1384" w:rsidRPr="008818B9" w:rsidRDefault="006C1384" w:rsidP="00922116">
            <w:pPr>
              <w:pStyle w:val="CellBody"/>
              <w:tabs>
                <w:tab w:val="right" w:leader="dot" w:pos="5998"/>
              </w:tabs>
              <w:rPr>
                <w:sz w:val="16"/>
                <w:szCs w:val="16"/>
              </w:rPr>
            </w:pPr>
            <w:r w:rsidRPr="008818B9">
              <w:rPr>
                <w:sz w:val="16"/>
                <w:szCs w:val="16"/>
              </w:rPr>
              <w:t>Fida Maritime Transportation Company</w:t>
            </w:r>
            <w:r w:rsidRPr="00FC7539">
              <w:rPr>
                <w:sz w:val="14"/>
                <w:szCs w:val="14"/>
              </w:rPr>
              <w:tab/>
            </w:r>
          </w:p>
        </w:tc>
        <w:tc>
          <w:tcPr>
            <w:tcW w:w="282" w:type="dxa"/>
            <w:vAlign w:val="bottom"/>
          </w:tcPr>
          <w:p w14:paraId="186E1464" w14:textId="77777777" w:rsidR="006C1384" w:rsidRPr="008818B9" w:rsidRDefault="006C1384" w:rsidP="00922116">
            <w:pPr>
              <w:pStyle w:val="CellRowSpacer"/>
              <w:rPr>
                <w:sz w:val="16"/>
                <w:szCs w:val="16"/>
              </w:rPr>
            </w:pPr>
          </w:p>
        </w:tc>
        <w:tc>
          <w:tcPr>
            <w:tcW w:w="1377" w:type="dxa"/>
            <w:vAlign w:val="center"/>
          </w:tcPr>
          <w:p w14:paraId="5210FB72"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708B2A50" w14:textId="77777777" w:rsidR="006C1384" w:rsidRPr="008818B9" w:rsidRDefault="006C1384" w:rsidP="00922116">
            <w:pPr>
              <w:pStyle w:val="CellRowSpacer"/>
              <w:rPr>
                <w:sz w:val="16"/>
                <w:szCs w:val="16"/>
              </w:rPr>
            </w:pPr>
          </w:p>
        </w:tc>
        <w:tc>
          <w:tcPr>
            <w:tcW w:w="1132" w:type="dxa"/>
            <w:vAlign w:val="center"/>
          </w:tcPr>
          <w:p w14:paraId="25E34077"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1A2CE362" w14:textId="77777777" w:rsidR="006C1384" w:rsidRPr="008818B9" w:rsidRDefault="006C1384" w:rsidP="00922116">
            <w:pPr>
              <w:pStyle w:val="CellRowSpacer"/>
              <w:rPr>
                <w:sz w:val="16"/>
                <w:szCs w:val="16"/>
              </w:rPr>
            </w:pPr>
          </w:p>
        </w:tc>
      </w:tr>
      <w:tr w:rsidR="006C1384" w:rsidRPr="008818B9" w14:paraId="40AA4649" w14:textId="77777777" w:rsidTr="00826D63">
        <w:tc>
          <w:tcPr>
            <w:tcW w:w="5984" w:type="dxa"/>
            <w:vAlign w:val="center"/>
          </w:tcPr>
          <w:p w14:paraId="15220511" w14:textId="77777777" w:rsidR="006C1384" w:rsidRPr="008818B9" w:rsidRDefault="006C1384" w:rsidP="00922116">
            <w:pPr>
              <w:pStyle w:val="CellBody"/>
              <w:tabs>
                <w:tab w:val="right" w:leader="dot" w:pos="5998"/>
              </w:tabs>
              <w:rPr>
                <w:sz w:val="16"/>
                <w:szCs w:val="16"/>
              </w:rPr>
            </w:pPr>
            <w:r w:rsidRPr="008818B9">
              <w:rPr>
                <w:sz w:val="16"/>
                <w:szCs w:val="16"/>
              </w:rPr>
              <w:t>Daba Maritime Transportation Company</w:t>
            </w:r>
            <w:r w:rsidRPr="00FC7539">
              <w:rPr>
                <w:sz w:val="14"/>
                <w:szCs w:val="14"/>
              </w:rPr>
              <w:tab/>
            </w:r>
          </w:p>
        </w:tc>
        <w:tc>
          <w:tcPr>
            <w:tcW w:w="282" w:type="dxa"/>
            <w:vAlign w:val="bottom"/>
          </w:tcPr>
          <w:p w14:paraId="55291752" w14:textId="77777777" w:rsidR="006C1384" w:rsidRPr="008818B9" w:rsidRDefault="006C1384" w:rsidP="00922116">
            <w:pPr>
              <w:pStyle w:val="CellRowSpacer"/>
              <w:rPr>
                <w:sz w:val="16"/>
                <w:szCs w:val="16"/>
              </w:rPr>
            </w:pPr>
          </w:p>
        </w:tc>
        <w:tc>
          <w:tcPr>
            <w:tcW w:w="1377" w:type="dxa"/>
            <w:vAlign w:val="center"/>
          </w:tcPr>
          <w:p w14:paraId="24707CD5"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0A71BB44" w14:textId="77777777" w:rsidR="006C1384" w:rsidRPr="008818B9" w:rsidRDefault="006C1384" w:rsidP="00922116">
            <w:pPr>
              <w:pStyle w:val="CellRowSpacer"/>
              <w:rPr>
                <w:sz w:val="16"/>
                <w:szCs w:val="16"/>
              </w:rPr>
            </w:pPr>
          </w:p>
        </w:tc>
        <w:tc>
          <w:tcPr>
            <w:tcW w:w="1132" w:type="dxa"/>
            <w:vAlign w:val="center"/>
          </w:tcPr>
          <w:p w14:paraId="4829E8E8"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0AD8F7E2" w14:textId="77777777" w:rsidR="006C1384" w:rsidRPr="008818B9" w:rsidRDefault="006C1384" w:rsidP="00922116">
            <w:pPr>
              <w:pStyle w:val="CellRowSpacer"/>
              <w:rPr>
                <w:sz w:val="16"/>
                <w:szCs w:val="16"/>
              </w:rPr>
            </w:pPr>
          </w:p>
        </w:tc>
      </w:tr>
      <w:tr w:rsidR="006C1384" w:rsidRPr="008818B9" w14:paraId="126B23C0" w14:textId="77777777" w:rsidTr="00826D63">
        <w:tc>
          <w:tcPr>
            <w:tcW w:w="5984" w:type="dxa"/>
            <w:vAlign w:val="center"/>
          </w:tcPr>
          <w:p w14:paraId="5F57264D" w14:textId="77777777" w:rsidR="006C1384" w:rsidRPr="008818B9" w:rsidRDefault="006C1384" w:rsidP="00922116">
            <w:pPr>
              <w:pStyle w:val="CellBody"/>
              <w:tabs>
                <w:tab w:val="right" w:leader="dot" w:pos="5998"/>
              </w:tabs>
              <w:rPr>
                <w:sz w:val="16"/>
                <w:szCs w:val="16"/>
              </w:rPr>
            </w:pPr>
            <w:r w:rsidRPr="008818B9">
              <w:rPr>
                <w:sz w:val="16"/>
                <w:szCs w:val="16"/>
              </w:rPr>
              <w:t>Vale Sohar Maritime Transportation Company S.A.</w:t>
            </w:r>
            <w:r w:rsidRPr="00FC7539">
              <w:rPr>
                <w:sz w:val="14"/>
                <w:szCs w:val="14"/>
              </w:rPr>
              <w:t xml:space="preserve"> </w:t>
            </w:r>
            <w:r w:rsidRPr="00FC7539">
              <w:rPr>
                <w:sz w:val="14"/>
                <w:szCs w:val="14"/>
              </w:rPr>
              <w:tab/>
            </w:r>
          </w:p>
        </w:tc>
        <w:tc>
          <w:tcPr>
            <w:tcW w:w="282" w:type="dxa"/>
            <w:vAlign w:val="bottom"/>
          </w:tcPr>
          <w:p w14:paraId="2D653243" w14:textId="77777777" w:rsidR="006C1384" w:rsidRPr="008818B9" w:rsidRDefault="006C1384" w:rsidP="00922116">
            <w:pPr>
              <w:pStyle w:val="CellRowSpacer"/>
              <w:rPr>
                <w:sz w:val="16"/>
                <w:szCs w:val="16"/>
              </w:rPr>
            </w:pPr>
          </w:p>
        </w:tc>
        <w:tc>
          <w:tcPr>
            <w:tcW w:w="1377" w:type="dxa"/>
            <w:vAlign w:val="center"/>
          </w:tcPr>
          <w:p w14:paraId="1E460976"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7FE5B487" w14:textId="77777777" w:rsidR="006C1384" w:rsidRPr="008818B9" w:rsidRDefault="006C1384" w:rsidP="00922116">
            <w:pPr>
              <w:pStyle w:val="CellRowSpacer"/>
              <w:rPr>
                <w:sz w:val="16"/>
                <w:szCs w:val="16"/>
              </w:rPr>
            </w:pPr>
          </w:p>
        </w:tc>
        <w:tc>
          <w:tcPr>
            <w:tcW w:w="1132" w:type="dxa"/>
            <w:vAlign w:val="center"/>
          </w:tcPr>
          <w:p w14:paraId="2A4B95E2"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30C1B5E0" w14:textId="77777777" w:rsidR="006C1384" w:rsidRPr="008818B9" w:rsidRDefault="006C1384" w:rsidP="00922116">
            <w:pPr>
              <w:pStyle w:val="CellRowSpacer"/>
              <w:rPr>
                <w:sz w:val="16"/>
                <w:szCs w:val="16"/>
              </w:rPr>
            </w:pPr>
          </w:p>
        </w:tc>
      </w:tr>
      <w:tr w:rsidR="006C1384" w:rsidRPr="008818B9" w14:paraId="14814664" w14:textId="77777777" w:rsidTr="00826D63">
        <w:tc>
          <w:tcPr>
            <w:tcW w:w="5984" w:type="dxa"/>
            <w:vAlign w:val="center"/>
          </w:tcPr>
          <w:p w14:paraId="33473A44" w14:textId="77777777" w:rsidR="006C1384" w:rsidRPr="008818B9" w:rsidRDefault="006C1384" w:rsidP="00922116">
            <w:pPr>
              <w:pStyle w:val="CellBody"/>
              <w:tabs>
                <w:tab w:val="right" w:leader="dot" w:pos="5998"/>
              </w:tabs>
              <w:rPr>
                <w:sz w:val="16"/>
                <w:szCs w:val="16"/>
              </w:rPr>
            </w:pPr>
            <w:r w:rsidRPr="008818B9">
              <w:rPr>
                <w:sz w:val="16"/>
                <w:szCs w:val="16"/>
              </w:rPr>
              <w:t>Vale Shinas Maritime Transportation Company S.A.</w:t>
            </w:r>
            <w:r w:rsidRPr="00FC7539">
              <w:rPr>
                <w:sz w:val="14"/>
                <w:szCs w:val="14"/>
              </w:rPr>
              <w:t xml:space="preserve"> </w:t>
            </w:r>
            <w:r w:rsidRPr="00FC7539">
              <w:rPr>
                <w:sz w:val="14"/>
                <w:szCs w:val="14"/>
              </w:rPr>
              <w:tab/>
            </w:r>
          </w:p>
        </w:tc>
        <w:tc>
          <w:tcPr>
            <w:tcW w:w="282" w:type="dxa"/>
            <w:vAlign w:val="bottom"/>
          </w:tcPr>
          <w:p w14:paraId="4E932169" w14:textId="77777777" w:rsidR="006C1384" w:rsidRPr="008818B9" w:rsidRDefault="006C1384" w:rsidP="00922116">
            <w:pPr>
              <w:pStyle w:val="CellRowSpacer"/>
              <w:rPr>
                <w:sz w:val="16"/>
                <w:szCs w:val="16"/>
              </w:rPr>
            </w:pPr>
          </w:p>
        </w:tc>
        <w:tc>
          <w:tcPr>
            <w:tcW w:w="1377" w:type="dxa"/>
            <w:vAlign w:val="center"/>
          </w:tcPr>
          <w:p w14:paraId="7D75A9C2"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25FE77E8" w14:textId="77777777" w:rsidR="006C1384" w:rsidRPr="008818B9" w:rsidRDefault="006C1384" w:rsidP="00922116">
            <w:pPr>
              <w:pStyle w:val="CellRowSpacer"/>
              <w:rPr>
                <w:sz w:val="16"/>
                <w:szCs w:val="16"/>
              </w:rPr>
            </w:pPr>
          </w:p>
        </w:tc>
        <w:tc>
          <w:tcPr>
            <w:tcW w:w="1132" w:type="dxa"/>
            <w:vAlign w:val="center"/>
          </w:tcPr>
          <w:p w14:paraId="2E4ABFA5"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04A6F7E9" w14:textId="77777777" w:rsidR="006C1384" w:rsidRPr="008818B9" w:rsidRDefault="006C1384" w:rsidP="00922116">
            <w:pPr>
              <w:pStyle w:val="CellRowSpacer"/>
              <w:rPr>
                <w:sz w:val="16"/>
                <w:szCs w:val="16"/>
              </w:rPr>
            </w:pPr>
          </w:p>
        </w:tc>
      </w:tr>
      <w:tr w:rsidR="006C1384" w:rsidRPr="008818B9" w14:paraId="1A849911" w14:textId="77777777" w:rsidTr="00826D63">
        <w:tc>
          <w:tcPr>
            <w:tcW w:w="5984" w:type="dxa"/>
            <w:vAlign w:val="center"/>
          </w:tcPr>
          <w:p w14:paraId="3E762C44" w14:textId="77777777" w:rsidR="006C1384" w:rsidRPr="008818B9" w:rsidRDefault="006C1384" w:rsidP="00922116">
            <w:pPr>
              <w:pStyle w:val="CellBody"/>
              <w:tabs>
                <w:tab w:val="right" w:leader="dot" w:pos="5998"/>
              </w:tabs>
              <w:rPr>
                <w:sz w:val="16"/>
                <w:szCs w:val="16"/>
              </w:rPr>
            </w:pPr>
            <w:r w:rsidRPr="008818B9">
              <w:rPr>
                <w:sz w:val="16"/>
                <w:szCs w:val="16"/>
              </w:rPr>
              <w:t>Vale Saham Maritime Transportation Company S.A.</w:t>
            </w:r>
            <w:r w:rsidRPr="00FC7539">
              <w:rPr>
                <w:sz w:val="14"/>
                <w:szCs w:val="14"/>
              </w:rPr>
              <w:t xml:space="preserve"> </w:t>
            </w:r>
            <w:r w:rsidRPr="00FC7539">
              <w:rPr>
                <w:sz w:val="14"/>
                <w:szCs w:val="14"/>
              </w:rPr>
              <w:tab/>
            </w:r>
          </w:p>
        </w:tc>
        <w:tc>
          <w:tcPr>
            <w:tcW w:w="282" w:type="dxa"/>
            <w:vAlign w:val="bottom"/>
          </w:tcPr>
          <w:p w14:paraId="568D008C" w14:textId="77777777" w:rsidR="006C1384" w:rsidRPr="008818B9" w:rsidRDefault="006C1384" w:rsidP="00922116">
            <w:pPr>
              <w:pStyle w:val="CellRowSpacer"/>
              <w:rPr>
                <w:sz w:val="16"/>
                <w:szCs w:val="16"/>
              </w:rPr>
            </w:pPr>
          </w:p>
        </w:tc>
        <w:tc>
          <w:tcPr>
            <w:tcW w:w="1377" w:type="dxa"/>
            <w:vAlign w:val="center"/>
          </w:tcPr>
          <w:p w14:paraId="7A5ADE83"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0B1737C3" w14:textId="77777777" w:rsidR="006C1384" w:rsidRPr="008818B9" w:rsidRDefault="006C1384" w:rsidP="00922116">
            <w:pPr>
              <w:pStyle w:val="CellRowSpacer"/>
              <w:rPr>
                <w:sz w:val="16"/>
                <w:szCs w:val="16"/>
              </w:rPr>
            </w:pPr>
          </w:p>
        </w:tc>
        <w:tc>
          <w:tcPr>
            <w:tcW w:w="1132" w:type="dxa"/>
            <w:vAlign w:val="center"/>
          </w:tcPr>
          <w:p w14:paraId="14C2E42C"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13B82588" w14:textId="77777777" w:rsidR="006C1384" w:rsidRPr="008818B9" w:rsidRDefault="006C1384" w:rsidP="00922116">
            <w:pPr>
              <w:pStyle w:val="CellRowSpacer"/>
              <w:rPr>
                <w:sz w:val="16"/>
                <w:szCs w:val="16"/>
              </w:rPr>
            </w:pPr>
          </w:p>
        </w:tc>
      </w:tr>
      <w:tr w:rsidR="006C1384" w:rsidRPr="008818B9" w14:paraId="256DAAC8" w14:textId="77777777" w:rsidTr="00826D63">
        <w:tc>
          <w:tcPr>
            <w:tcW w:w="5984" w:type="dxa"/>
            <w:vAlign w:val="center"/>
          </w:tcPr>
          <w:p w14:paraId="6BF0DFAA" w14:textId="77777777" w:rsidR="006C1384" w:rsidRPr="008818B9" w:rsidRDefault="006C1384" w:rsidP="00922116">
            <w:pPr>
              <w:pStyle w:val="CellBody"/>
              <w:tabs>
                <w:tab w:val="right" w:leader="dot" w:pos="5998"/>
              </w:tabs>
              <w:rPr>
                <w:sz w:val="16"/>
                <w:szCs w:val="16"/>
              </w:rPr>
            </w:pPr>
            <w:r w:rsidRPr="008818B9">
              <w:rPr>
                <w:sz w:val="16"/>
                <w:szCs w:val="16"/>
              </w:rPr>
              <w:t xml:space="preserve">Oman Container Line </w:t>
            </w:r>
            <w:r w:rsidR="00C40CB9">
              <w:rPr>
                <w:sz w:val="16"/>
                <w:szCs w:val="16"/>
              </w:rPr>
              <w:t>S.A.</w:t>
            </w:r>
            <w:r w:rsidRPr="008818B9">
              <w:rPr>
                <w:sz w:val="16"/>
                <w:szCs w:val="16"/>
              </w:rPr>
              <w:t>.</w:t>
            </w:r>
            <w:r w:rsidRPr="00FC7539">
              <w:rPr>
                <w:sz w:val="14"/>
                <w:szCs w:val="14"/>
              </w:rPr>
              <w:t xml:space="preserve"> </w:t>
            </w:r>
            <w:r w:rsidRPr="00FC7539">
              <w:rPr>
                <w:sz w:val="14"/>
                <w:szCs w:val="14"/>
              </w:rPr>
              <w:tab/>
            </w:r>
          </w:p>
        </w:tc>
        <w:tc>
          <w:tcPr>
            <w:tcW w:w="282" w:type="dxa"/>
            <w:vAlign w:val="bottom"/>
          </w:tcPr>
          <w:p w14:paraId="12C16955" w14:textId="77777777" w:rsidR="006C1384" w:rsidRPr="008818B9" w:rsidRDefault="006C1384" w:rsidP="00922116">
            <w:pPr>
              <w:pStyle w:val="CellRowSpacer"/>
              <w:rPr>
                <w:sz w:val="16"/>
                <w:szCs w:val="16"/>
              </w:rPr>
            </w:pPr>
          </w:p>
        </w:tc>
        <w:tc>
          <w:tcPr>
            <w:tcW w:w="1377" w:type="dxa"/>
            <w:vAlign w:val="center"/>
          </w:tcPr>
          <w:p w14:paraId="20F29D00" w14:textId="77777777" w:rsidR="006C1384" w:rsidRPr="008818B9" w:rsidRDefault="00483BA3" w:rsidP="00922116">
            <w:pPr>
              <w:pStyle w:val="CellBody"/>
              <w:jc w:val="right"/>
              <w:rPr>
                <w:sz w:val="16"/>
                <w:szCs w:val="16"/>
              </w:rPr>
            </w:pPr>
            <w:r>
              <w:rPr>
                <w:sz w:val="16"/>
                <w:szCs w:val="16"/>
              </w:rPr>
              <w:t xml:space="preserve">Republic of </w:t>
            </w:r>
            <w:r w:rsidR="006C1384" w:rsidRPr="008818B9">
              <w:rPr>
                <w:sz w:val="16"/>
                <w:szCs w:val="16"/>
              </w:rPr>
              <w:t>Panama</w:t>
            </w:r>
          </w:p>
        </w:tc>
        <w:tc>
          <w:tcPr>
            <w:tcW w:w="37" w:type="dxa"/>
            <w:vAlign w:val="bottom"/>
          </w:tcPr>
          <w:p w14:paraId="167DC88B" w14:textId="77777777" w:rsidR="006C1384" w:rsidRPr="008818B9" w:rsidRDefault="006C1384" w:rsidP="00922116">
            <w:pPr>
              <w:pStyle w:val="CellRowSpacer"/>
              <w:rPr>
                <w:sz w:val="16"/>
                <w:szCs w:val="16"/>
              </w:rPr>
            </w:pPr>
          </w:p>
        </w:tc>
        <w:tc>
          <w:tcPr>
            <w:tcW w:w="1132" w:type="dxa"/>
            <w:vAlign w:val="center"/>
          </w:tcPr>
          <w:p w14:paraId="7283312B"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2E023310" w14:textId="77777777" w:rsidR="006C1384" w:rsidRPr="008818B9" w:rsidRDefault="006C1384" w:rsidP="00922116">
            <w:pPr>
              <w:pStyle w:val="CellRowSpacer"/>
              <w:rPr>
                <w:sz w:val="16"/>
                <w:szCs w:val="16"/>
              </w:rPr>
            </w:pPr>
          </w:p>
        </w:tc>
      </w:tr>
      <w:tr w:rsidR="006C1384" w:rsidRPr="008818B9" w14:paraId="55E4E248" w14:textId="77777777" w:rsidTr="00826D63">
        <w:tc>
          <w:tcPr>
            <w:tcW w:w="5984" w:type="dxa"/>
            <w:vAlign w:val="center"/>
          </w:tcPr>
          <w:p w14:paraId="7B3D7672" w14:textId="77777777" w:rsidR="006C1384" w:rsidRPr="008818B9" w:rsidRDefault="006C1384" w:rsidP="00922116">
            <w:pPr>
              <w:pStyle w:val="CellBody"/>
              <w:tabs>
                <w:tab w:val="right" w:leader="dot" w:pos="5998"/>
              </w:tabs>
              <w:rPr>
                <w:sz w:val="16"/>
                <w:szCs w:val="16"/>
              </w:rPr>
            </w:pPr>
            <w:r w:rsidRPr="008818B9">
              <w:rPr>
                <w:sz w:val="16"/>
                <w:szCs w:val="16"/>
              </w:rPr>
              <w:t>Saiq Maritime Transportation Company S.A. (Saiq)</w:t>
            </w:r>
            <w:r w:rsidRPr="00FC7539">
              <w:rPr>
                <w:sz w:val="14"/>
                <w:szCs w:val="14"/>
              </w:rPr>
              <w:t xml:space="preserve"> </w:t>
            </w:r>
            <w:r w:rsidRPr="00FC7539">
              <w:rPr>
                <w:sz w:val="14"/>
                <w:szCs w:val="14"/>
              </w:rPr>
              <w:tab/>
            </w:r>
          </w:p>
        </w:tc>
        <w:tc>
          <w:tcPr>
            <w:tcW w:w="282" w:type="dxa"/>
            <w:vAlign w:val="bottom"/>
          </w:tcPr>
          <w:p w14:paraId="7FF5F1AA" w14:textId="77777777" w:rsidR="006C1384" w:rsidRPr="008818B9" w:rsidRDefault="006C1384" w:rsidP="00922116">
            <w:pPr>
              <w:pStyle w:val="CellRowSpacer"/>
              <w:rPr>
                <w:sz w:val="16"/>
                <w:szCs w:val="16"/>
              </w:rPr>
            </w:pPr>
          </w:p>
        </w:tc>
        <w:tc>
          <w:tcPr>
            <w:tcW w:w="1377" w:type="dxa"/>
            <w:vAlign w:val="center"/>
          </w:tcPr>
          <w:p w14:paraId="19450983"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088A98B8" w14:textId="77777777" w:rsidR="006C1384" w:rsidRPr="008818B9" w:rsidRDefault="006C1384" w:rsidP="00922116">
            <w:pPr>
              <w:pStyle w:val="CellRowSpacer"/>
              <w:rPr>
                <w:sz w:val="16"/>
                <w:szCs w:val="16"/>
              </w:rPr>
            </w:pPr>
          </w:p>
        </w:tc>
        <w:tc>
          <w:tcPr>
            <w:tcW w:w="1132" w:type="dxa"/>
            <w:vAlign w:val="center"/>
          </w:tcPr>
          <w:p w14:paraId="4811922D"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65219F30" w14:textId="77777777" w:rsidR="006C1384" w:rsidRPr="008818B9" w:rsidRDefault="006C1384" w:rsidP="00922116">
            <w:pPr>
              <w:pStyle w:val="CellRowSpacer"/>
              <w:rPr>
                <w:sz w:val="16"/>
                <w:szCs w:val="16"/>
              </w:rPr>
            </w:pPr>
          </w:p>
        </w:tc>
      </w:tr>
      <w:tr w:rsidR="006C1384" w:rsidRPr="008818B9" w14:paraId="6674E533" w14:textId="77777777" w:rsidTr="00826D63">
        <w:tc>
          <w:tcPr>
            <w:tcW w:w="5984" w:type="dxa"/>
            <w:vAlign w:val="center"/>
          </w:tcPr>
          <w:p w14:paraId="48C9C8EF" w14:textId="77777777" w:rsidR="006C1384" w:rsidRPr="008818B9" w:rsidRDefault="006C1384" w:rsidP="00922116">
            <w:pPr>
              <w:pStyle w:val="CellBody"/>
              <w:tabs>
                <w:tab w:val="right" w:leader="dot" w:pos="5998"/>
              </w:tabs>
              <w:rPr>
                <w:sz w:val="16"/>
                <w:szCs w:val="16"/>
              </w:rPr>
            </w:pPr>
            <w:r w:rsidRPr="008818B9">
              <w:rPr>
                <w:sz w:val="16"/>
                <w:szCs w:val="16"/>
              </w:rPr>
              <w:t>Saham Maritime Transportation Company S.A.(Saham)</w:t>
            </w:r>
            <w:r w:rsidRPr="00FC7539">
              <w:rPr>
                <w:sz w:val="14"/>
                <w:szCs w:val="14"/>
              </w:rPr>
              <w:t xml:space="preserve"> </w:t>
            </w:r>
            <w:r w:rsidRPr="00FC7539">
              <w:rPr>
                <w:sz w:val="14"/>
                <w:szCs w:val="14"/>
              </w:rPr>
              <w:tab/>
            </w:r>
          </w:p>
        </w:tc>
        <w:tc>
          <w:tcPr>
            <w:tcW w:w="282" w:type="dxa"/>
            <w:vAlign w:val="bottom"/>
          </w:tcPr>
          <w:p w14:paraId="002E5E6E" w14:textId="77777777" w:rsidR="006C1384" w:rsidRPr="008818B9" w:rsidRDefault="006C1384" w:rsidP="00922116">
            <w:pPr>
              <w:pStyle w:val="CellRowSpacer"/>
              <w:rPr>
                <w:sz w:val="16"/>
                <w:szCs w:val="16"/>
              </w:rPr>
            </w:pPr>
          </w:p>
        </w:tc>
        <w:tc>
          <w:tcPr>
            <w:tcW w:w="1377" w:type="dxa"/>
            <w:vAlign w:val="center"/>
          </w:tcPr>
          <w:p w14:paraId="0DE96121"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4D3FE72F" w14:textId="77777777" w:rsidR="006C1384" w:rsidRPr="008818B9" w:rsidRDefault="006C1384" w:rsidP="00922116">
            <w:pPr>
              <w:pStyle w:val="CellRowSpacer"/>
              <w:rPr>
                <w:sz w:val="16"/>
                <w:szCs w:val="16"/>
              </w:rPr>
            </w:pPr>
          </w:p>
        </w:tc>
        <w:tc>
          <w:tcPr>
            <w:tcW w:w="1132" w:type="dxa"/>
            <w:vAlign w:val="center"/>
          </w:tcPr>
          <w:p w14:paraId="2794E720"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167375A4" w14:textId="77777777" w:rsidR="006C1384" w:rsidRPr="008818B9" w:rsidRDefault="006C1384" w:rsidP="00922116">
            <w:pPr>
              <w:pStyle w:val="CellRowSpacer"/>
              <w:rPr>
                <w:sz w:val="16"/>
                <w:szCs w:val="16"/>
              </w:rPr>
            </w:pPr>
          </w:p>
        </w:tc>
      </w:tr>
      <w:tr w:rsidR="006C1384" w:rsidRPr="008818B9" w14:paraId="1F12ABA5" w14:textId="77777777" w:rsidTr="00826D63">
        <w:tc>
          <w:tcPr>
            <w:tcW w:w="5984" w:type="dxa"/>
            <w:vAlign w:val="center"/>
          </w:tcPr>
          <w:p w14:paraId="2D89C074" w14:textId="77777777" w:rsidR="006C1384" w:rsidRPr="008818B9" w:rsidRDefault="006C1384" w:rsidP="00922116">
            <w:pPr>
              <w:pStyle w:val="CellBody"/>
              <w:tabs>
                <w:tab w:val="right" w:leader="dot" w:pos="5998"/>
              </w:tabs>
              <w:rPr>
                <w:sz w:val="16"/>
                <w:szCs w:val="16"/>
              </w:rPr>
            </w:pPr>
            <w:r w:rsidRPr="008818B9">
              <w:rPr>
                <w:sz w:val="16"/>
                <w:szCs w:val="16"/>
              </w:rPr>
              <w:t>Samail Maritime Transportation Company S.A. (Samail)</w:t>
            </w:r>
            <w:r w:rsidRPr="00FC7539">
              <w:rPr>
                <w:sz w:val="14"/>
                <w:szCs w:val="14"/>
              </w:rPr>
              <w:t xml:space="preserve"> </w:t>
            </w:r>
            <w:r w:rsidRPr="00FC7539">
              <w:rPr>
                <w:sz w:val="14"/>
                <w:szCs w:val="14"/>
              </w:rPr>
              <w:tab/>
            </w:r>
          </w:p>
        </w:tc>
        <w:tc>
          <w:tcPr>
            <w:tcW w:w="282" w:type="dxa"/>
            <w:vAlign w:val="bottom"/>
          </w:tcPr>
          <w:p w14:paraId="18A8DD56" w14:textId="77777777" w:rsidR="006C1384" w:rsidRPr="008818B9" w:rsidRDefault="006C1384" w:rsidP="00922116">
            <w:pPr>
              <w:pStyle w:val="CellRowSpacer"/>
              <w:rPr>
                <w:sz w:val="16"/>
                <w:szCs w:val="16"/>
              </w:rPr>
            </w:pPr>
          </w:p>
        </w:tc>
        <w:tc>
          <w:tcPr>
            <w:tcW w:w="1377" w:type="dxa"/>
            <w:vAlign w:val="center"/>
          </w:tcPr>
          <w:p w14:paraId="213FF2C0"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2D5086AB" w14:textId="77777777" w:rsidR="006C1384" w:rsidRPr="008818B9" w:rsidRDefault="006C1384" w:rsidP="00922116">
            <w:pPr>
              <w:pStyle w:val="CellRowSpacer"/>
              <w:rPr>
                <w:sz w:val="16"/>
                <w:szCs w:val="16"/>
              </w:rPr>
            </w:pPr>
          </w:p>
        </w:tc>
        <w:tc>
          <w:tcPr>
            <w:tcW w:w="1132" w:type="dxa"/>
            <w:vAlign w:val="center"/>
          </w:tcPr>
          <w:p w14:paraId="054B1C93"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2D93EDB3" w14:textId="77777777" w:rsidR="006C1384" w:rsidRPr="008818B9" w:rsidRDefault="006C1384" w:rsidP="00922116">
            <w:pPr>
              <w:pStyle w:val="CellRowSpacer"/>
              <w:rPr>
                <w:sz w:val="16"/>
                <w:szCs w:val="16"/>
              </w:rPr>
            </w:pPr>
          </w:p>
        </w:tc>
      </w:tr>
      <w:tr w:rsidR="006C1384" w:rsidRPr="008818B9" w14:paraId="0F1B7F89" w14:textId="77777777" w:rsidTr="00826D63">
        <w:tc>
          <w:tcPr>
            <w:tcW w:w="5984" w:type="dxa"/>
            <w:vAlign w:val="center"/>
          </w:tcPr>
          <w:p w14:paraId="2A4F9496" w14:textId="77777777" w:rsidR="006C1384" w:rsidRPr="008818B9" w:rsidRDefault="006C1384" w:rsidP="00922116">
            <w:pPr>
              <w:pStyle w:val="CellBody"/>
              <w:tabs>
                <w:tab w:val="right" w:leader="dot" w:pos="5998"/>
              </w:tabs>
              <w:rPr>
                <w:sz w:val="16"/>
                <w:szCs w:val="16"/>
              </w:rPr>
            </w:pPr>
            <w:r w:rsidRPr="008818B9">
              <w:rPr>
                <w:sz w:val="16"/>
                <w:szCs w:val="16"/>
              </w:rPr>
              <w:t>Muscat Silver Maritime Transportation Company S.A.</w:t>
            </w:r>
            <w:r w:rsidRPr="00FC7539">
              <w:rPr>
                <w:sz w:val="14"/>
                <w:szCs w:val="14"/>
              </w:rPr>
              <w:t xml:space="preserve"> </w:t>
            </w:r>
            <w:r w:rsidRPr="00FC7539">
              <w:rPr>
                <w:sz w:val="14"/>
                <w:szCs w:val="14"/>
              </w:rPr>
              <w:tab/>
            </w:r>
          </w:p>
        </w:tc>
        <w:tc>
          <w:tcPr>
            <w:tcW w:w="282" w:type="dxa"/>
            <w:vAlign w:val="bottom"/>
          </w:tcPr>
          <w:p w14:paraId="4A040872" w14:textId="77777777" w:rsidR="006C1384" w:rsidRPr="008818B9" w:rsidRDefault="006C1384" w:rsidP="00922116">
            <w:pPr>
              <w:pStyle w:val="CellRowSpacer"/>
              <w:rPr>
                <w:sz w:val="16"/>
                <w:szCs w:val="16"/>
              </w:rPr>
            </w:pPr>
          </w:p>
        </w:tc>
        <w:tc>
          <w:tcPr>
            <w:tcW w:w="1377" w:type="dxa"/>
            <w:vAlign w:val="center"/>
          </w:tcPr>
          <w:p w14:paraId="17C4E1F8"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771DB7CA" w14:textId="77777777" w:rsidR="006C1384" w:rsidRPr="008818B9" w:rsidRDefault="006C1384" w:rsidP="00922116">
            <w:pPr>
              <w:pStyle w:val="CellRowSpacer"/>
              <w:rPr>
                <w:sz w:val="16"/>
                <w:szCs w:val="16"/>
              </w:rPr>
            </w:pPr>
          </w:p>
        </w:tc>
        <w:tc>
          <w:tcPr>
            <w:tcW w:w="1132" w:type="dxa"/>
            <w:vAlign w:val="center"/>
          </w:tcPr>
          <w:p w14:paraId="4A20B246"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636404DD" w14:textId="77777777" w:rsidR="006C1384" w:rsidRPr="008818B9" w:rsidRDefault="006C1384" w:rsidP="00922116">
            <w:pPr>
              <w:pStyle w:val="CellRowSpacer"/>
              <w:rPr>
                <w:sz w:val="16"/>
                <w:szCs w:val="16"/>
              </w:rPr>
            </w:pPr>
          </w:p>
        </w:tc>
      </w:tr>
      <w:tr w:rsidR="006C1384" w:rsidRPr="008818B9" w14:paraId="31DC576A" w14:textId="77777777" w:rsidTr="00826D63">
        <w:tc>
          <w:tcPr>
            <w:tcW w:w="5984" w:type="dxa"/>
            <w:vAlign w:val="center"/>
          </w:tcPr>
          <w:p w14:paraId="2CF857CE"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t>Nakhal</w:t>
            </w:r>
            <w:proofErr w:type="spellEnd"/>
            <w:r w:rsidRPr="008818B9">
              <w:rPr>
                <w:sz w:val="16"/>
                <w:szCs w:val="16"/>
              </w:rPr>
              <w:t xml:space="preserve"> Silver Maritime Transportation Company S.A.</w:t>
            </w:r>
            <w:r w:rsidRPr="00FC7539">
              <w:rPr>
                <w:sz w:val="14"/>
                <w:szCs w:val="14"/>
              </w:rPr>
              <w:t xml:space="preserve"> </w:t>
            </w:r>
            <w:r w:rsidRPr="00FC7539">
              <w:rPr>
                <w:sz w:val="14"/>
                <w:szCs w:val="14"/>
              </w:rPr>
              <w:tab/>
            </w:r>
          </w:p>
        </w:tc>
        <w:tc>
          <w:tcPr>
            <w:tcW w:w="282" w:type="dxa"/>
            <w:vAlign w:val="bottom"/>
          </w:tcPr>
          <w:p w14:paraId="4E4D33AE" w14:textId="77777777" w:rsidR="006C1384" w:rsidRPr="008818B9" w:rsidRDefault="006C1384" w:rsidP="00922116">
            <w:pPr>
              <w:pStyle w:val="CellRowSpacer"/>
              <w:rPr>
                <w:sz w:val="16"/>
                <w:szCs w:val="16"/>
              </w:rPr>
            </w:pPr>
          </w:p>
        </w:tc>
        <w:tc>
          <w:tcPr>
            <w:tcW w:w="1377" w:type="dxa"/>
            <w:vAlign w:val="center"/>
          </w:tcPr>
          <w:p w14:paraId="02C47CBF"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46F25965" w14:textId="77777777" w:rsidR="006C1384" w:rsidRPr="008818B9" w:rsidRDefault="006C1384" w:rsidP="00922116">
            <w:pPr>
              <w:pStyle w:val="CellRowSpacer"/>
              <w:rPr>
                <w:sz w:val="16"/>
                <w:szCs w:val="16"/>
              </w:rPr>
            </w:pPr>
          </w:p>
        </w:tc>
        <w:tc>
          <w:tcPr>
            <w:tcW w:w="1132" w:type="dxa"/>
            <w:vAlign w:val="center"/>
          </w:tcPr>
          <w:p w14:paraId="5A5C3F66"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1FF91661" w14:textId="77777777" w:rsidR="006C1384" w:rsidRPr="008818B9" w:rsidRDefault="006C1384" w:rsidP="00922116">
            <w:pPr>
              <w:pStyle w:val="CellRowSpacer"/>
              <w:rPr>
                <w:sz w:val="16"/>
                <w:szCs w:val="16"/>
              </w:rPr>
            </w:pPr>
          </w:p>
        </w:tc>
      </w:tr>
      <w:tr w:rsidR="006C1384" w:rsidRPr="008818B9" w14:paraId="615F7D3E" w14:textId="77777777" w:rsidTr="00826D63">
        <w:tc>
          <w:tcPr>
            <w:tcW w:w="5984" w:type="dxa"/>
            <w:vAlign w:val="center"/>
          </w:tcPr>
          <w:p w14:paraId="6D123E9E"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t>Mahadah</w:t>
            </w:r>
            <w:proofErr w:type="spellEnd"/>
            <w:r w:rsidRPr="008818B9">
              <w:rPr>
                <w:sz w:val="16"/>
                <w:szCs w:val="16"/>
              </w:rPr>
              <w:t xml:space="preserve"> Silver Maritime Transportation Company S.A.</w:t>
            </w:r>
            <w:r w:rsidRPr="00FC7539">
              <w:rPr>
                <w:sz w:val="14"/>
                <w:szCs w:val="14"/>
              </w:rPr>
              <w:t xml:space="preserve"> </w:t>
            </w:r>
            <w:r w:rsidRPr="00FC7539">
              <w:rPr>
                <w:sz w:val="14"/>
                <w:szCs w:val="14"/>
              </w:rPr>
              <w:tab/>
            </w:r>
          </w:p>
        </w:tc>
        <w:tc>
          <w:tcPr>
            <w:tcW w:w="282" w:type="dxa"/>
            <w:vAlign w:val="bottom"/>
          </w:tcPr>
          <w:p w14:paraId="6FF92DAE" w14:textId="77777777" w:rsidR="006C1384" w:rsidRPr="008818B9" w:rsidRDefault="006C1384" w:rsidP="00922116">
            <w:pPr>
              <w:pStyle w:val="CellRowSpacer"/>
              <w:rPr>
                <w:sz w:val="16"/>
                <w:szCs w:val="16"/>
              </w:rPr>
            </w:pPr>
          </w:p>
        </w:tc>
        <w:tc>
          <w:tcPr>
            <w:tcW w:w="1377" w:type="dxa"/>
            <w:vAlign w:val="center"/>
          </w:tcPr>
          <w:p w14:paraId="455A56D5"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35C21580" w14:textId="77777777" w:rsidR="006C1384" w:rsidRPr="008818B9" w:rsidRDefault="006C1384" w:rsidP="00922116">
            <w:pPr>
              <w:pStyle w:val="CellRowSpacer"/>
              <w:rPr>
                <w:sz w:val="16"/>
                <w:szCs w:val="16"/>
              </w:rPr>
            </w:pPr>
          </w:p>
        </w:tc>
        <w:tc>
          <w:tcPr>
            <w:tcW w:w="1132" w:type="dxa"/>
            <w:vAlign w:val="center"/>
          </w:tcPr>
          <w:p w14:paraId="71BFAD75"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616E592A" w14:textId="77777777" w:rsidR="006C1384" w:rsidRPr="008818B9" w:rsidRDefault="006C1384" w:rsidP="00922116">
            <w:pPr>
              <w:pStyle w:val="CellRowSpacer"/>
              <w:rPr>
                <w:sz w:val="16"/>
                <w:szCs w:val="16"/>
              </w:rPr>
            </w:pPr>
          </w:p>
        </w:tc>
      </w:tr>
      <w:tr w:rsidR="006C1384" w:rsidRPr="008818B9" w14:paraId="321DE7A2" w14:textId="77777777" w:rsidTr="00826D63">
        <w:tc>
          <w:tcPr>
            <w:tcW w:w="5984" w:type="dxa"/>
            <w:vAlign w:val="center"/>
          </w:tcPr>
          <w:p w14:paraId="27549D53"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t>Muhut</w:t>
            </w:r>
            <w:proofErr w:type="spellEnd"/>
            <w:r w:rsidRPr="008818B9">
              <w:rPr>
                <w:sz w:val="16"/>
                <w:szCs w:val="16"/>
              </w:rPr>
              <w:t xml:space="preserve"> Silver Maritime Transportation Company S.A.</w:t>
            </w:r>
            <w:r w:rsidRPr="00FC7539">
              <w:rPr>
                <w:sz w:val="14"/>
                <w:szCs w:val="14"/>
              </w:rPr>
              <w:t xml:space="preserve"> </w:t>
            </w:r>
            <w:r w:rsidRPr="00FC7539">
              <w:rPr>
                <w:sz w:val="14"/>
                <w:szCs w:val="14"/>
              </w:rPr>
              <w:tab/>
            </w:r>
          </w:p>
        </w:tc>
        <w:tc>
          <w:tcPr>
            <w:tcW w:w="282" w:type="dxa"/>
            <w:vAlign w:val="bottom"/>
          </w:tcPr>
          <w:p w14:paraId="74243EE8" w14:textId="77777777" w:rsidR="006C1384" w:rsidRPr="008818B9" w:rsidRDefault="006C1384" w:rsidP="00922116">
            <w:pPr>
              <w:pStyle w:val="CellRowSpacer"/>
              <w:rPr>
                <w:sz w:val="16"/>
                <w:szCs w:val="16"/>
              </w:rPr>
            </w:pPr>
          </w:p>
        </w:tc>
        <w:tc>
          <w:tcPr>
            <w:tcW w:w="1377" w:type="dxa"/>
            <w:vAlign w:val="center"/>
          </w:tcPr>
          <w:p w14:paraId="2D8E4E9B"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476A61C1" w14:textId="77777777" w:rsidR="006C1384" w:rsidRPr="008818B9" w:rsidRDefault="006C1384" w:rsidP="00922116">
            <w:pPr>
              <w:pStyle w:val="CellRowSpacer"/>
              <w:rPr>
                <w:sz w:val="16"/>
                <w:szCs w:val="16"/>
              </w:rPr>
            </w:pPr>
          </w:p>
        </w:tc>
        <w:tc>
          <w:tcPr>
            <w:tcW w:w="1132" w:type="dxa"/>
            <w:vAlign w:val="center"/>
          </w:tcPr>
          <w:p w14:paraId="573513F6"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2A4B9EF5" w14:textId="77777777" w:rsidR="006C1384" w:rsidRPr="008818B9" w:rsidRDefault="006C1384" w:rsidP="00922116">
            <w:pPr>
              <w:pStyle w:val="CellRowSpacer"/>
              <w:rPr>
                <w:sz w:val="16"/>
                <w:szCs w:val="16"/>
              </w:rPr>
            </w:pPr>
          </w:p>
        </w:tc>
      </w:tr>
      <w:tr w:rsidR="006C1384" w:rsidRPr="008818B9" w14:paraId="3423F5E3" w14:textId="77777777" w:rsidTr="00826D63">
        <w:tc>
          <w:tcPr>
            <w:tcW w:w="5984" w:type="dxa"/>
            <w:vAlign w:val="center"/>
          </w:tcPr>
          <w:p w14:paraId="404C0865"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t>Yanqul</w:t>
            </w:r>
            <w:proofErr w:type="spellEnd"/>
            <w:r w:rsidRPr="008818B9">
              <w:rPr>
                <w:sz w:val="16"/>
                <w:szCs w:val="16"/>
              </w:rPr>
              <w:t xml:space="preserve"> Silver Maritime Transportation Company S.A.</w:t>
            </w:r>
            <w:r w:rsidRPr="00FC7539">
              <w:rPr>
                <w:sz w:val="14"/>
                <w:szCs w:val="14"/>
              </w:rPr>
              <w:t xml:space="preserve"> </w:t>
            </w:r>
            <w:r w:rsidRPr="00FC7539">
              <w:rPr>
                <w:sz w:val="14"/>
                <w:szCs w:val="14"/>
              </w:rPr>
              <w:tab/>
            </w:r>
          </w:p>
        </w:tc>
        <w:tc>
          <w:tcPr>
            <w:tcW w:w="282" w:type="dxa"/>
            <w:vAlign w:val="bottom"/>
          </w:tcPr>
          <w:p w14:paraId="3FEADCAA" w14:textId="77777777" w:rsidR="006C1384" w:rsidRPr="008818B9" w:rsidRDefault="006C1384" w:rsidP="00922116">
            <w:pPr>
              <w:pStyle w:val="CellRowSpacer"/>
              <w:rPr>
                <w:sz w:val="16"/>
                <w:szCs w:val="16"/>
              </w:rPr>
            </w:pPr>
          </w:p>
        </w:tc>
        <w:tc>
          <w:tcPr>
            <w:tcW w:w="1377" w:type="dxa"/>
            <w:vAlign w:val="center"/>
          </w:tcPr>
          <w:p w14:paraId="302034A9"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5E90F522" w14:textId="77777777" w:rsidR="006C1384" w:rsidRPr="008818B9" w:rsidRDefault="006C1384" w:rsidP="00922116">
            <w:pPr>
              <w:pStyle w:val="CellRowSpacer"/>
              <w:rPr>
                <w:sz w:val="16"/>
                <w:szCs w:val="16"/>
              </w:rPr>
            </w:pPr>
          </w:p>
        </w:tc>
        <w:tc>
          <w:tcPr>
            <w:tcW w:w="1132" w:type="dxa"/>
            <w:vAlign w:val="center"/>
          </w:tcPr>
          <w:p w14:paraId="7A190CF6"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2E1343FC" w14:textId="77777777" w:rsidR="006C1384" w:rsidRPr="008818B9" w:rsidRDefault="006C1384" w:rsidP="00922116">
            <w:pPr>
              <w:pStyle w:val="CellRowSpacer"/>
              <w:rPr>
                <w:sz w:val="16"/>
                <w:szCs w:val="16"/>
              </w:rPr>
            </w:pPr>
          </w:p>
        </w:tc>
      </w:tr>
      <w:tr w:rsidR="006C1384" w:rsidRPr="008818B9" w14:paraId="23074911" w14:textId="77777777" w:rsidTr="00826D63">
        <w:tc>
          <w:tcPr>
            <w:tcW w:w="5984" w:type="dxa"/>
            <w:vAlign w:val="center"/>
          </w:tcPr>
          <w:p w14:paraId="629CC90C" w14:textId="77777777" w:rsidR="006C1384" w:rsidRPr="008818B9" w:rsidRDefault="006C1384" w:rsidP="00922116">
            <w:pPr>
              <w:pStyle w:val="CellBody"/>
              <w:tabs>
                <w:tab w:val="right" w:leader="dot" w:pos="5998"/>
              </w:tabs>
              <w:rPr>
                <w:sz w:val="16"/>
                <w:szCs w:val="16"/>
              </w:rPr>
            </w:pPr>
            <w:r w:rsidRPr="008818B9">
              <w:rPr>
                <w:sz w:val="16"/>
                <w:szCs w:val="16"/>
              </w:rPr>
              <w:t>Dank Silver Maritime Transportation Company S.A.</w:t>
            </w:r>
            <w:r w:rsidRPr="00FC7539">
              <w:rPr>
                <w:sz w:val="14"/>
                <w:szCs w:val="14"/>
              </w:rPr>
              <w:t xml:space="preserve"> </w:t>
            </w:r>
            <w:r w:rsidRPr="00FC7539">
              <w:rPr>
                <w:sz w:val="14"/>
                <w:szCs w:val="14"/>
              </w:rPr>
              <w:tab/>
            </w:r>
          </w:p>
        </w:tc>
        <w:tc>
          <w:tcPr>
            <w:tcW w:w="282" w:type="dxa"/>
            <w:vAlign w:val="bottom"/>
          </w:tcPr>
          <w:p w14:paraId="33D9CB6B" w14:textId="77777777" w:rsidR="006C1384" w:rsidRPr="008818B9" w:rsidRDefault="006C1384" w:rsidP="00922116">
            <w:pPr>
              <w:pStyle w:val="CellRowSpacer"/>
              <w:rPr>
                <w:sz w:val="16"/>
                <w:szCs w:val="16"/>
              </w:rPr>
            </w:pPr>
          </w:p>
        </w:tc>
        <w:tc>
          <w:tcPr>
            <w:tcW w:w="1377" w:type="dxa"/>
            <w:vAlign w:val="center"/>
          </w:tcPr>
          <w:p w14:paraId="455D9D97"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33737BE7" w14:textId="77777777" w:rsidR="006C1384" w:rsidRPr="008818B9" w:rsidRDefault="006C1384" w:rsidP="00922116">
            <w:pPr>
              <w:pStyle w:val="CellRowSpacer"/>
              <w:rPr>
                <w:sz w:val="16"/>
                <w:szCs w:val="16"/>
              </w:rPr>
            </w:pPr>
          </w:p>
        </w:tc>
        <w:tc>
          <w:tcPr>
            <w:tcW w:w="1132" w:type="dxa"/>
            <w:vAlign w:val="center"/>
          </w:tcPr>
          <w:p w14:paraId="706522C8"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72F45900" w14:textId="77777777" w:rsidR="006C1384" w:rsidRPr="008818B9" w:rsidRDefault="006C1384" w:rsidP="00922116">
            <w:pPr>
              <w:pStyle w:val="CellRowSpacer"/>
              <w:rPr>
                <w:sz w:val="16"/>
                <w:szCs w:val="16"/>
              </w:rPr>
            </w:pPr>
          </w:p>
        </w:tc>
      </w:tr>
      <w:tr w:rsidR="006C1384" w:rsidRPr="008818B9" w14:paraId="65FE8948" w14:textId="77777777" w:rsidTr="00826D63">
        <w:tc>
          <w:tcPr>
            <w:tcW w:w="5984" w:type="dxa"/>
            <w:vAlign w:val="center"/>
          </w:tcPr>
          <w:p w14:paraId="698AD296" w14:textId="77777777" w:rsidR="006C1384" w:rsidRPr="008818B9" w:rsidRDefault="006C1384" w:rsidP="00922116">
            <w:pPr>
              <w:pStyle w:val="CellBody"/>
              <w:tabs>
                <w:tab w:val="right" w:leader="dot" w:pos="5998"/>
              </w:tabs>
              <w:rPr>
                <w:sz w:val="16"/>
                <w:szCs w:val="16"/>
              </w:rPr>
            </w:pPr>
            <w:r w:rsidRPr="008818B9">
              <w:rPr>
                <w:sz w:val="16"/>
                <w:szCs w:val="16"/>
              </w:rPr>
              <w:t>Madha Silver Maritime Transportation Company S.A.</w:t>
            </w:r>
            <w:r w:rsidRPr="00FC7539">
              <w:rPr>
                <w:sz w:val="14"/>
                <w:szCs w:val="14"/>
              </w:rPr>
              <w:t xml:space="preserve"> </w:t>
            </w:r>
            <w:r w:rsidRPr="00FC7539">
              <w:rPr>
                <w:sz w:val="14"/>
                <w:szCs w:val="14"/>
              </w:rPr>
              <w:tab/>
            </w:r>
          </w:p>
        </w:tc>
        <w:tc>
          <w:tcPr>
            <w:tcW w:w="282" w:type="dxa"/>
            <w:vAlign w:val="bottom"/>
          </w:tcPr>
          <w:p w14:paraId="0DBDB44A" w14:textId="77777777" w:rsidR="006C1384" w:rsidRPr="008818B9" w:rsidRDefault="006C1384" w:rsidP="00922116">
            <w:pPr>
              <w:pStyle w:val="CellRowSpacer"/>
              <w:rPr>
                <w:sz w:val="16"/>
                <w:szCs w:val="16"/>
              </w:rPr>
            </w:pPr>
          </w:p>
        </w:tc>
        <w:tc>
          <w:tcPr>
            <w:tcW w:w="1377" w:type="dxa"/>
            <w:vAlign w:val="center"/>
          </w:tcPr>
          <w:p w14:paraId="41BA2EA9"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1E9CD094" w14:textId="77777777" w:rsidR="006C1384" w:rsidRPr="008818B9" w:rsidRDefault="006C1384" w:rsidP="00922116">
            <w:pPr>
              <w:pStyle w:val="CellRowSpacer"/>
              <w:rPr>
                <w:sz w:val="16"/>
                <w:szCs w:val="16"/>
              </w:rPr>
            </w:pPr>
          </w:p>
        </w:tc>
        <w:tc>
          <w:tcPr>
            <w:tcW w:w="1132" w:type="dxa"/>
            <w:vAlign w:val="center"/>
          </w:tcPr>
          <w:p w14:paraId="00FA86AD"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260D4436" w14:textId="77777777" w:rsidR="006C1384" w:rsidRPr="008818B9" w:rsidRDefault="006C1384" w:rsidP="00922116">
            <w:pPr>
              <w:pStyle w:val="CellRowSpacer"/>
              <w:rPr>
                <w:sz w:val="16"/>
                <w:szCs w:val="16"/>
              </w:rPr>
            </w:pPr>
          </w:p>
        </w:tc>
      </w:tr>
      <w:tr w:rsidR="006C1384" w:rsidRPr="008818B9" w14:paraId="2E1B0D2D" w14:textId="77777777" w:rsidTr="00826D63">
        <w:tc>
          <w:tcPr>
            <w:tcW w:w="5984" w:type="dxa"/>
            <w:vAlign w:val="center"/>
          </w:tcPr>
          <w:p w14:paraId="70E5874D" w14:textId="77777777" w:rsidR="006C1384" w:rsidRPr="008818B9" w:rsidRDefault="006C1384" w:rsidP="00922116">
            <w:pPr>
              <w:pStyle w:val="CellBody"/>
              <w:tabs>
                <w:tab w:val="right" w:leader="dot" w:pos="5998"/>
              </w:tabs>
              <w:rPr>
                <w:sz w:val="16"/>
                <w:szCs w:val="16"/>
              </w:rPr>
            </w:pPr>
            <w:r w:rsidRPr="008818B9">
              <w:rPr>
                <w:sz w:val="16"/>
                <w:szCs w:val="16"/>
              </w:rPr>
              <w:t>Sadah Silver Maritime Transportation Company S.A.</w:t>
            </w:r>
            <w:r w:rsidRPr="00FC7539">
              <w:rPr>
                <w:sz w:val="14"/>
                <w:szCs w:val="14"/>
              </w:rPr>
              <w:t xml:space="preserve"> </w:t>
            </w:r>
            <w:r w:rsidRPr="00FC7539">
              <w:rPr>
                <w:sz w:val="14"/>
                <w:szCs w:val="14"/>
              </w:rPr>
              <w:tab/>
            </w:r>
          </w:p>
        </w:tc>
        <w:tc>
          <w:tcPr>
            <w:tcW w:w="282" w:type="dxa"/>
            <w:vAlign w:val="bottom"/>
          </w:tcPr>
          <w:p w14:paraId="30848BF6" w14:textId="77777777" w:rsidR="006C1384" w:rsidRPr="008818B9" w:rsidRDefault="006C1384" w:rsidP="00922116">
            <w:pPr>
              <w:pStyle w:val="CellRowSpacer"/>
              <w:rPr>
                <w:sz w:val="16"/>
                <w:szCs w:val="16"/>
              </w:rPr>
            </w:pPr>
          </w:p>
        </w:tc>
        <w:tc>
          <w:tcPr>
            <w:tcW w:w="1377" w:type="dxa"/>
            <w:vAlign w:val="center"/>
          </w:tcPr>
          <w:p w14:paraId="67FA20ED"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01CE05A9" w14:textId="77777777" w:rsidR="006C1384" w:rsidRPr="008818B9" w:rsidRDefault="006C1384" w:rsidP="00922116">
            <w:pPr>
              <w:pStyle w:val="CellRowSpacer"/>
              <w:rPr>
                <w:sz w:val="16"/>
                <w:szCs w:val="16"/>
              </w:rPr>
            </w:pPr>
          </w:p>
        </w:tc>
        <w:tc>
          <w:tcPr>
            <w:tcW w:w="1132" w:type="dxa"/>
            <w:vAlign w:val="center"/>
          </w:tcPr>
          <w:p w14:paraId="57BBC48A"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596FB90D" w14:textId="77777777" w:rsidR="006C1384" w:rsidRPr="008818B9" w:rsidRDefault="006C1384" w:rsidP="00922116">
            <w:pPr>
              <w:pStyle w:val="CellRowSpacer"/>
              <w:rPr>
                <w:sz w:val="16"/>
                <w:szCs w:val="16"/>
              </w:rPr>
            </w:pPr>
          </w:p>
        </w:tc>
      </w:tr>
      <w:tr w:rsidR="006C1384" w:rsidRPr="008818B9" w14:paraId="4220714D" w14:textId="77777777" w:rsidTr="00826D63">
        <w:tc>
          <w:tcPr>
            <w:tcW w:w="5984" w:type="dxa"/>
            <w:vAlign w:val="center"/>
          </w:tcPr>
          <w:p w14:paraId="5ED54EF0" w14:textId="77777777" w:rsidR="006C1384" w:rsidRPr="008818B9" w:rsidRDefault="006C1384" w:rsidP="00922116">
            <w:pPr>
              <w:pStyle w:val="CellBody"/>
              <w:tabs>
                <w:tab w:val="right" w:leader="dot" w:pos="5998"/>
              </w:tabs>
              <w:rPr>
                <w:sz w:val="16"/>
                <w:szCs w:val="16"/>
              </w:rPr>
            </w:pPr>
            <w:r w:rsidRPr="008818B9">
              <w:rPr>
                <w:sz w:val="16"/>
                <w:szCs w:val="16"/>
              </w:rPr>
              <w:t>Khasab Silver Maritime Transportation Company S.A.</w:t>
            </w:r>
            <w:r w:rsidRPr="00FC7539">
              <w:rPr>
                <w:sz w:val="14"/>
                <w:szCs w:val="14"/>
              </w:rPr>
              <w:t xml:space="preserve"> </w:t>
            </w:r>
            <w:r w:rsidRPr="00FC7539">
              <w:rPr>
                <w:sz w:val="14"/>
                <w:szCs w:val="14"/>
              </w:rPr>
              <w:tab/>
            </w:r>
          </w:p>
        </w:tc>
        <w:tc>
          <w:tcPr>
            <w:tcW w:w="282" w:type="dxa"/>
            <w:vAlign w:val="bottom"/>
          </w:tcPr>
          <w:p w14:paraId="384233FD" w14:textId="77777777" w:rsidR="006C1384" w:rsidRPr="008818B9" w:rsidRDefault="006C1384" w:rsidP="00922116">
            <w:pPr>
              <w:pStyle w:val="CellRowSpacer"/>
              <w:rPr>
                <w:sz w:val="16"/>
                <w:szCs w:val="16"/>
              </w:rPr>
            </w:pPr>
          </w:p>
        </w:tc>
        <w:tc>
          <w:tcPr>
            <w:tcW w:w="1377" w:type="dxa"/>
            <w:vAlign w:val="center"/>
          </w:tcPr>
          <w:p w14:paraId="5ED152D7"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1F63EB75" w14:textId="77777777" w:rsidR="006C1384" w:rsidRPr="008818B9" w:rsidRDefault="006C1384" w:rsidP="00922116">
            <w:pPr>
              <w:pStyle w:val="CellRowSpacer"/>
              <w:rPr>
                <w:sz w:val="16"/>
                <w:szCs w:val="16"/>
              </w:rPr>
            </w:pPr>
          </w:p>
        </w:tc>
        <w:tc>
          <w:tcPr>
            <w:tcW w:w="1132" w:type="dxa"/>
            <w:vAlign w:val="center"/>
          </w:tcPr>
          <w:p w14:paraId="574CA9D0"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331B8740" w14:textId="77777777" w:rsidR="006C1384" w:rsidRPr="008818B9" w:rsidRDefault="006C1384" w:rsidP="00922116">
            <w:pPr>
              <w:pStyle w:val="CellRowSpacer"/>
              <w:rPr>
                <w:sz w:val="16"/>
                <w:szCs w:val="16"/>
              </w:rPr>
            </w:pPr>
          </w:p>
        </w:tc>
      </w:tr>
      <w:tr w:rsidR="006C1384" w:rsidRPr="008818B9" w14:paraId="58A77F08" w14:textId="77777777" w:rsidTr="00826D63">
        <w:tc>
          <w:tcPr>
            <w:tcW w:w="5984" w:type="dxa"/>
            <w:vAlign w:val="center"/>
          </w:tcPr>
          <w:p w14:paraId="71A762A6" w14:textId="77777777" w:rsidR="006C1384" w:rsidRPr="008818B9" w:rsidRDefault="006C1384" w:rsidP="00922116">
            <w:pPr>
              <w:pStyle w:val="CellBody"/>
              <w:tabs>
                <w:tab w:val="right" w:leader="dot" w:pos="5998"/>
              </w:tabs>
              <w:rPr>
                <w:sz w:val="16"/>
                <w:szCs w:val="16"/>
              </w:rPr>
            </w:pPr>
            <w:r w:rsidRPr="008818B9">
              <w:rPr>
                <w:sz w:val="16"/>
                <w:szCs w:val="16"/>
              </w:rPr>
              <w:t xml:space="preserve">Jabal Al </w:t>
            </w:r>
            <w:proofErr w:type="spellStart"/>
            <w:r w:rsidRPr="008818B9">
              <w:rPr>
                <w:sz w:val="16"/>
                <w:szCs w:val="16"/>
              </w:rPr>
              <w:t>Misht</w:t>
            </w:r>
            <w:proofErr w:type="spellEnd"/>
            <w:r w:rsidRPr="008818B9">
              <w:rPr>
                <w:sz w:val="16"/>
                <w:szCs w:val="16"/>
              </w:rPr>
              <w:t xml:space="preserve"> Maritime Transportation Company Limited</w:t>
            </w:r>
            <w:r w:rsidRPr="00FC7539">
              <w:rPr>
                <w:sz w:val="14"/>
                <w:szCs w:val="14"/>
              </w:rPr>
              <w:tab/>
            </w:r>
          </w:p>
        </w:tc>
        <w:tc>
          <w:tcPr>
            <w:tcW w:w="282" w:type="dxa"/>
            <w:vAlign w:val="bottom"/>
          </w:tcPr>
          <w:p w14:paraId="3D8065AD" w14:textId="77777777" w:rsidR="006C1384" w:rsidRPr="008818B9" w:rsidRDefault="006C1384" w:rsidP="00922116">
            <w:pPr>
              <w:pStyle w:val="CellRowSpacer"/>
              <w:rPr>
                <w:sz w:val="16"/>
                <w:szCs w:val="16"/>
              </w:rPr>
            </w:pPr>
          </w:p>
        </w:tc>
        <w:tc>
          <w:tcPr>
            <w:tcW w:w="1377" w:type="dxa"/>
            <w:vAlign w:val="center"/>
          </w:tcPr>
          <w:p w14:paraId="01C982EE"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2AB09936" w14:textId="77777777" w:rsidR="006C1384" w:rsidRPr="008818B9" w:rsidRDefault="006C1384" w:rsidP="00922116">
            <w:pPr>
              <w:pStyle w:val="CellRowSpacer"/>
              <w:rPr>
                <w:sz w:val="16"/>
                <w:szCs w:val="16"/>
              </w:rPr>
            </w:pPr>
          </w:p>
        </w:tc>
        <w:tc>
          <w:tcPr>
            <w:tcW w:w="1132" w:type="dxa"/>
            <w:vAlign w:val="center"/>
          </w:tcPr>
          <w:p w14:paraId="53F281AA"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19652775" w14:textId="77777777" w:rsidR="006C1384" w:rsidRPr="008818B9" w:rsidRDefault="006C1384" w:rsidP="00922116">
            <w:pPr>
              <w:pStyle w:val="CellRowSpacer"/>
              <w:rPr>
                <w:sz w:val="16"/>
                <w:szCs w:val="16"/>
              </w:rPr>
            </w:pPr>
          </w:p>
        </w:tc>
      </w:tr>
      <w:tr w:rsidR="006C1384" w:rsidRPr="008818B9" w14:paraId="179AE951" w14:textId="77777777" w:rsidTr="00826D63">
        <w:tc>
          <w:tcPr>
            <w:tcW w:w="5984" w:type="dxa"/>
            <w:vAlign w:val="center"/>
          </w:tcPr>
          <w:p w14:paraId="2CC13358" w14:textId="77777777" w:rsidR="006C1384" w:rsidRPr="008818B9" w:rsidRDefault="006C1384" w:rsidP="00922116">
            <w:pPr>
              <w:pStyle w:val="CellBody"/>
              <w:tabs>
                <w:tab w:val="right" w:leader="dot" w:pos="5998"/>
              </w:tabs>
              <w:rPr>
                <w:sz w:val="16"/>
                <w:szCs w:val="16"/>
              </w:rPr>
            </w:pPr>
            <w:r w:rsidRPr="008818B9">
              <w:rPr>
                <w:sz w:val="16"/>
                <w:szCs w:val="16"/>
              </w:rPr>
              <w:t>Jabal Shams Maritime Transportation Company Limited</w:t>
            </w:r>
            <w:r w:rsidRPr="00FC7539">
              <w:rPr>
                <w:sz w:val="14"/>
                <w:szCs w:val="14"/>
              </w:rPr>
              <w:tab/>
            </w:r>
          </w:p>
        </w:tc>
        <w:tc>
          <w:tcPr>
            <w:tcW w:w="282" w:type="dxa"/>
            <w:vAlign w:val="bottom"/>
          </w:tcPr>
          <w:p w14:paraId="0ADB7DDB" w14:textId="77777777" w:rsidR="006C1384" w:rsidRPr="008818B9" w:rsidRDefault="006C1384" w:rsidP="00922116">
            <w:pPr>
              <w:pStyle w:val="CellRowSpacer"/>
              <w:rPr>
                <w:sz w:val="16"/>
                <w:szCs w:val="16"/>
              </w:rPr>
            </w:pPr>
          </w:p>
        </w:tc>
        <w:tc>
          <w:tcPr>
            <w:tcW w:w="1377" w:type="dxa"/>
            <w:vAlign w:val="center"/>
          </w:tcPr>
          <w:p w14:paraId="2177E798"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0FFC6C11" w14:textId="77777777" w:rsidR="006C1384" w:rsidRPr="008818B9" w:rsidRDefault="006C1384" w:rsidP="00922116">
            <w:pPr>
              <w:pStyle w:val="CellRowSpacer"/>
              <w:rPr>
                <w:sz w:val="16"/>
                <w:szCs w:val="16"/>
              </w:rPr>
            </w:pPr>
          </w:p>
        </w:tc>
        <w:tc>
          <w:tcPr>
            <w:tcW w:w="1132" w:type="dxa"/>
            <w:vAlign w:val="center"/>
          </w:tcPr>
          <w:p w14:paraId="61CA8457"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3143F857" w14:textId="77777777" w:rsidR="006C1384" w:rsidRPr="008818B9" w:rsidRDefault="006C1384" w:rsidP="00922116">
            <w:pPr>
              <w:pStyle w:val="CellRowSpacer"/>
              <w:rPr>
                <w:sz w:val="16"/>
                <w:szCs w:val="16"/>
              </w:rPr>
            </w:pPr>
          </w:p>
        </w:tc>
      </w:tr>
      <w:tr w:rsidR="006C1384" w:rsidRPr="008818B9" w14:paraId="236D8472" w14:textId="77777777" w:rsidTr="00826D63">
        <w:tc>
          <w:tcPr>
            <w:tcW w:w="5984" w:type="dxa"/>
            <w:vAlign w:val="center"/>
          </w:tcPr>
          <w:p w14:paraId="2CF57562"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t>Dalkut</w:t>
            </w:r>
            <w:proofErr w:type="spellEnd"/>
            <w:r w:rsidRPr="008818B9">
              <w:rPr>
                <w:sz w:val="16"/>
                <w:szCs w:val="16"/>
              </w:rPr>
              <w:t xml:space="preserve"> Maritime Transportation Company Limited</w:t>
            </w:r>
            <w:r w:rsidRPr="00FC7539">
              <w:rPr>
                <w:sz w:val="14"/>
                <w:szCs w:val="14"/>
              </w:rPr>
              <w:tab/>
            </w:r>
          </w:p>
        </w:tc>
        <w:tc>
          <w:tcPr>
            <w:tcW w:w="282" w:type="dxa"/>
            <w:vAlign w:val="bottom"/>
          </w:tcPr>
          <w:p w14:paraId="5FA509D7" w14:textId="77777777" w:rsidR="006C1384" w:rsidRPr="008818B9" w:rsidRDefault="006C1384" w:rsidP="00922116">
            <w:pPr>
              <w:pStyle w:val="CellRowSpacer"/>
              <w:rPr>
                <w:sz w:val="16"/>
                <w:szCs w:val="16"/>
              </w:rPr>
            </w:pPr>
          </w:p>
        </w:tc>
        <w:tc>
          <w:tcPr>
            <w:tcW w:w="1377" w:type="dxa"/>
            <w:vAlign w:val="center"/>
          </w:tcPr>
          <w:p w14:paraId="597763C2"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543ADD78" w14:textId="77777777" w:rsidR="006C1384" w:rsidRPr="008818B9" w:rsidRDefault="006C1384" w:rsidP="00922116">
            <w:pPr>
              <w:pStyle w:val="CellRowSpacer"/>
              <w:rPr>
                <w:sz w:val="16"/>
                <w:szCs w:val="16"/>
              </w:rPr>
            </w:pPr>
          </w:p>
        </w:tc>
        <w:tc>
          <w:tcPr>
            <w:tcW w:w="1132" w:type="dxa"/>
            <w:vAlign w:val="center"/>
          </w:tcPr>
          <w:p w14:paraId="714F362F"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06DE9101" w14:textId="77777777" w:rsidR="006C1384" w:rsidRPr="008818B9" w:rsidRDefault="006C1384" w:rsidP="00922116">
            <w:pPr>
              <w:pStyle w:val="CellRowSpacer"/>
              <w:rPr>
                <w:sz w:val="16"/>
                <w:szCs w:val="16"/>
              </w:rPr>
            </w:pPr>
          </w:p>
        </w:tc>
      </w:tr>
      <w:tr w:rsidR="006C1384" w:rsidRPr="008818B9" w14:paraId="0712F882" w14:textId="77777777" w:rsidTr="00826D63">
        <w:tc>
          <w:tcPr>
            <w:tcW w:w="5984" w:type="dxa"/>
            <w:vAlign w:val="center"/>
          </w:tcPr>
          <w:p w14:paraId="3B7EBBEB" w14:textId="77777777" w:rsidR="006C1384" w:rsidRPr="008818B9" w:rsidRDefault="006C1384" w:rsidP="00922116">
            <w:pPr>
              <w:pStyle w:val="CellBody"/>
              <w:tabs>
                <w:tab w:val="right" w:leader="dot" w:pos="5998"/>
              </w:tabs>
              <w:rPr>
                <w:sz w:val="16"/>
                <w:szCs w:val="16"/>
              </w:rPr>
            </w:pPr>
            <w:r w:rsidRPr="008818B9">
              <w:rPr>
                <w:sz w:val="16"/>
                <w:szCs w:val="16"/>
              </w:rPr>
              <w:t>Sur Maritime Transportation Company Limited</w:t>
            </w:r>
            <w:r w:rsidRPr="00FC7539">
              <w:rPr>
                <w:sz w:val="14"/>
                <w:szCs w:val="14"/>
              </w:rPr>
              <w:tab/>
            </w:r>
          </w:p>
        </w:tc>
        <w:tc>
          <w:tcPr>
            <w:tcW w:w="282" w:type="dxa"/>
            <w:vAlign w:val="bottom"/>
          </w:tcPr>
          <w:p w14:paraId="07FBEA2F" w14:textId="77777777" w:rsidR="006C1384" w:rsidRPr="008818B9" w:rsidRDefault="006C1384" w:rsidP="00922116">
            <w:pPr>
              <w:pStyle w:val="CellRowSpacer"/>
              <w:rPr>
                <w:sz w:val="16"/>
                <w:szCs w:val="16"/>
              </w:rPr>
            </w:pPr>
          </w:p>
        </w:tc>
        <w:tc>
          <w:tcPr>
            <w:tcW w:w="1377" w:type="dxa"/>
            <w:vAlign w:val="center"/>
          </w:tcPr>
          <w:p w14:paraId="6653CF4F"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3844F96B" w14:textId="77777777" w:rsidR="006C1384" w:rsidRPr="008818B9" w:rsidRDefault="006C1384" w:rsidP="00922116">
            <w:pPr>
              <w:pStyle w:val="CellRowSpacer"/>
              <w:rPr>
                <w:sz w:val="16"/>
                <w:szCs w:val="16"/>
              </w:rPr>
            </w:pPr>
          </w:p>
        </w:tc>
        <w:tc>
          <w:tcPr>
            <w:tcW w:w="1132" w:type="dxa"/>
            <w:vAlign w:val="center"/>
          </w:tcPr>
          <w:p w14:paraId="4921510B"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1E2EDE4D" w14:textId="77777777" w:rsidR="006C1384" w:rsidRPr="008818B9" w:rsidRDefault="006C1384" w:rsidP="00922116">
            <w:pPr>
              <w:pStyle w:val="CellRowSpacer"/>
              <w:rPr>
                <w:sz w:val="16"/>
                <w:szCs w:val="16"/>
              </w:rPr>
            </w:pPr>
          </w:p>
        </w:tc>
      </w:tr>
      <w:tr w:rsidR="006C1384" w:rsidRPr="008818B9" w14:paraId="58A3D0F8" w14:textId="77777777" w:rsidTr="00826D63">
        <w:tc>
          <w:tcPr>
            <w:tcW w:w="5984" w:type="dxa"/>
            <w:vAlign w:val="center"/>
          </w:tcPr>
          <w:p w14:paraId="7DD4401B" w14:textId="77777777" w:rsidR="006C1384" w:rsidRPr="008818B9" w:rsidRDefault="006C1384" w:rsidP="00922116">
            <w:pPr>
              <w:pStyle w:val="CellBody"/>
              <w:tabs>
                <w:tab w:val="right" w:leader="dot" w:pos="5998"/>
              </w:tabs>
              <w:rPr>
                <w:sz w:val="16"/>
                <w:szCs w:val="16"/>
              </w:rPr>
            </w:pPr>
            <w:r w:rsidRPr="008818B9">
              <w:rPr>
                <w:sz w:val="16"/>
                <w:szCs w:val="16"/>
              </w:rPr>
              <w:t>Bahla Maritime Transportation Company Limited</w:t>
            </w:r>
            <w:r w:rsidRPr="00FC7539">
              <w:rPr>
                <w:sz w:val="14"/>
                <w:szCs w:val="14"/>
              </w:rPr>
              <w:tab/>
            </w:r>
          </w:p>
        </w:tc>
        <w:tc>
          <w:tcPr>
            <w:tcW w:w="282" w:type="dxa"/>
            <w:vAlign w:val="bottom"/>
          </w:tcPr>
          <w:p w14:paraId="52AC4471" w14:textId="77777777" w:rsidR="006C1384" w:rsidRPr="008818B9" w:rsidRDefault="006C1384" w:rsidP="00922116">
            <w:pPr>
              <w:pStyle w:val="CellRowSpacer"/>
              <w:rPr>
                <w:sz w:val="16"/>
                <w:szCs w:val="16"/>
              </w:rPr>
            </w:pPr>
          </w:p>
        </w:tc>
        <w:tc>
          <w:tcPr>
            <w:tcW w:w="1377" w:type="dxa"/>
            <w:vAlign w:val="center"/>
          </w:tcPr>
          <w:p w14:paraId="35CA8DF9"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36B56B04" w14:textId="77777777" w:rsidR="006C1384" w:rsidRPr="008818B9" w:rsidRDefault="006C1384" w:rsidP="00922116">
            <w:pPr>
              <w:pStyle w:val="CellRowSpacer"/>
              <w:rPr>
                <w:sz w:val="16"/>
                <w:szCs w:val="16"/>
              </w:rPr>
            </w:pPr>
          </w:p>
        </w:tc>
        <w:tc>
          <w:tcPr>
            <w:tcW w:w="1132" w:type="dxa"/>
            <w:vAlign w:val="center"/>
          </w:tcPr>
          <w:p w14:paraId="68D73EF5"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24973A49" w14:textId="77777777" w:rsidR="006C1384" w:rsidRPr="008818B9" w:rsidRDefault="006C1384" w:rsidP="00922116">
            <w:pPr>
              <w:pStyle w:val="CellRowSpacer"/>
              <w:rPr>
                <w:sz w:val="16"/>
                <w:szCs w:val="16"/>
              </w:rPr>
            </w:pPr>
          </w:p>
        </w:tc>
      </w:tr>
      <w:tr w:rsidR="006C1384" w:rsidRPr="008818B9" w14:paraId="0912F8A5" w14:textId="77777777" w:rsidTr="00826D63">
        <w:tc>
          <w:tcPr>
            <w:tcW w:w="5984" w:type="dxa"/>
            <w:vAlign w:val="center"/>
          </w:tcPr>
          <w:p w14:paraId="1F949AC1"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lastRenderedPageBreak/>
              <w:t>Jabl</w:t>
            </w:r>
            <w:proofErr w:type="spellEnd"/>
            <w:r w:rsidRPr="008818B9">
              <w:rPr>
                <w:sz w:val="16"/>
                <w:szCs w:val="16"/>
              </w:rPr>
              <w:t xml:space="preserve"> Samhan Maritime Transportation Company Limited</w:t>
            </w:r>
            <w:r w:rsidRPr="00FC7539">
              <w:rPr>
                <w:sz w:val="14"/>
                <w:szCs w:val="14"/>
              </w:rPr>
              <w:tab/>
            </w:r>
          </w:p>
        </w:tc>
        <w:tc>
          <w:tcPr>
            <w:tcW w:w="282" w:type="dxa"/>
            <w:vAlign w:val="bottom"/>
          </w:tcPr>
          <w:p w14:paraId="23019DBB" w14:textId="77777777" w:rsidR="006C1384" w:rsidRPr="008818B9" w:rsidRDefault="006C1384" w:rsidP="00922116">
            <w:pPr>
              <w:pStyle w:val="CellRowSpacer"/>
              <w:rPr>
                <w:sz w:val="16"/>
                <w:szCs w:val="16"/>
              </w:rPr>
            </w:pPr>
          </w:p>
        </w:tc>
        <w:tc>
          <w:tcPr>
            <w:tcW w:w="1377" w:type="dxa"/>
            <w:vAlign w:val="center"/>
          </w:tcPr>
          <w:p w14:paraId="100CCA94"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55C459B8" w14:textId="77777777" w:rsidR="006C1384" w:rsidRPr="008818B9" w:rsidRDefault="006C1384" w:rsidP="00922116">
            <w:pPr>
              <w:pStyle w:val="CellRowSpacer"/>
              <w:rPr>
                <w:sz w:val="16"/>
                <w:szCs w:val="16"/>
              </w:rPr>
            </w:pPr>
          </w:p>
        </w:tc>
        <w:tc>
          <w:tcPr>
            <w:tcW w:w="1132" w:type="dxa"/>
            <w:vAlign w:val="center"/>
          </w:tcPr>
          <w:p w14:paraId="68B2CC65"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2E5835C1" w14:textId="77777777" w:rsidR="006C1384" w:rsidRPr="008818B9" w:rsidRDefault="006C1384" w:rsidP="00922116">
            <w:pPr>
              <w:pStyle w:val="CellRowSpacer"/>
              <w:rPr>
                <w:sz w:val="16"/>
                <w:szCs w:val="16"/>
              </w:rPr>
            </w:pPr>
          </w:p>
        </w:tc>
      </w:tr>
      <w:tr w:rsidR="006C1384" w:rsidRPr="008818B9" w14:paraId="04F5E6FC" w14:textId="77777777" w:rsidTr="00826D63">
        <w:tc>
          <w:tcPr>
            <w:tcW w:w="5984" w:type="dxa"/>
            <w:vAlign w:val="center"/>
          </w:tcPr>
          <w:p w14:paraId="37D98904"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t>Jabl</w:t>
            </w:r>
            <w:proofErr w:type="spellEnd"/>
            <w:r w:rsidRPr="008818B9">
              <w:rPr>
                <w:sz w:val="16"/>
                <w:szCs w:val="16"/>
              </w:rPr>
              <w:t xml:space="preserve"> </w:t>
            </w:r>
            <w:proofErr w:type="spellStart"/>
            <w:r w:rsidRPr="008818B9">
              <w:rPr>
                <w:sz w:val="16"/>
                <w:szCs w:val="16"/>
              </w:rPr>
              <w:t>Kawr</w:t>
            </w:r>
            <w:proofErr w:type="spellEnd"/>
            <w:r w:rsidRPr="008818B9">
              <w:rPr>
                <w:sz w:val="16"/>
                <w:szCs w:val="16"/>
              </w:rPr>
              <w:t xml:space="preserve"> Maritime Transportation Company Limited</w:t>
            </w:r>
            <w:r w:rsidRPr="00FC7539">
              <w:rPr>
                <w:sz w:val="14"/>
                <w:szCs w:val="14"/>
              </w:rPr>
              <w:tab/>
            </w:r>
          </w:p>
        </w:tc>
        <w:tc>
          <w:tcPr>
            <w:tcW w:w="282" w:type="dxa"/>
            <w:vAlign w:val="bottom"/>
          </w:tcPr>
          <w:p w14:paraId="2F6A2556" w14:textId="77777777" w:rsidR="006C1384" w:rsidRPr="008818B9" w:rsidRDefault="006C1384" w:rsidP="00922116">
            <w:pPr>
              <w:pStyle w:val="CellRowSpacer"/>
              <w:rPr>
                <w:sz w:val="16"/>
                <w:szCs w:val="16"/>
              </w:rPr>
            </w:pPr>
          </w:p>
        </w:tc>
        <w:tc>
          <w:tcPr>
            <w:tcW w:w="1377" w:type="dxa"/>
            <w:vAlign w:val="center"/>
          </w:tcPr>
          <w:p w14:paraId="162727A4"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7728786B" w14:textId="77777777" w:rsidR="006C1384" w:rsidRPr="008818B9" w:rsidRDefault="006C1384" w:rsidP="00922116">
            <w:pPr>
              <w:pStyle w:val="CellRowSpacer"/>
              <w:rPr>
                <w:sz w:val="16"/>
                <w:szCs w:val="16"/>
              </w:rPr>
            </w:pPr>
          </w:p>
        </w:tc>
        <w:tc>
          <w:tcPr>
            <w:tcW w:w="1132" w:type="dxa"/>
            <w:vAlign w:val="center"/>
          </w:tcPr>
          <w:p w14:paraId="66A0A9C3"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3C9D98A6" w14:textId="77777777" w:rsidR="006C1384" w:rsidRPr="008818B9" w:rsidRDefault="006C1384" w:rsidP="00922116">
            <w:pPr>
              <w:pStyle w:val="CellRowSpacer"/>
              <w:rPr>
                <w:sz w:val="16"/>
                <w:szCs w:val="16"/>
              </w:rPr>
            </w:pPr>
          </w:p>
        </w:tc>
      </w:tr>
      <w:tr w:rsidR="006C1384" w:rsidRPr="008818B9" w14:paraId="23EE363A" w14:textId="77777777" w:rsidTr="00826D63">
        <w:tc>
          <w:tcPr>
            <w:tcW w:w="5984" w:type="dxa"/>
            <w:vAlign w:val="center"/>
          </w:tcPr>
          <w:p w14:paraId="68AAFA61"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t>Jabl</w:t>
            </w:r>
            <w:proofErr w:type="spellEnd"/>
            <w:r w:rsidRPr="008818B9">
              <w:rPr>
                <w:sz w:val="16"/>
                <w:szCs w:val="16"/>
              </w:rPr>
              <w:t xml:space="preserve"> </w:t>
            </w:r>
            <w:proofErr w:type="spellStart"/>
            <w:r w:rsidRPr="008818B9">
              <w:rPr>
                <w:sz w:val="16"/>
                <w:szCs w:val="16"/>
              </w:rPr>
              <w:t>Hafit</w:t>
            </w:r>
            <w:proofErr w:type="spellEnd"/>
            <w:r w:rsidRPr="008818B9">
              <w:rPr>
                <w:sz w:val="16"/>
                <w:szCs w:val="16"/>
              </w:rPr>
              <w:t xml:space="preserve"> Maritime Transportation Company Limited</w:t>
            </w:r>
            <w:r w:rsidRPr="00FC7539">
              <w:rPr>
                <w:sz w:val="14"/>
                <w:szCs w:val="14"/>
              </w:rPr>
              <w:tab/>
            </w:r>
          </w:p>
        </w:tc>
        <w:tc>
          <w:tcPr>
            <w:tcW w:w="282" w:type="dxa"/>
            <w:vAlign w:val="bottom"/>
          </w:tcPr>
          <w:p w14:paraId="02545B38" w14:textId="77777777" w:rsidR="006C1384" w:rsidRPr="008818B9" w:rsidRDefault="006C1384" w:rsidP="00922116">
            <w:pPr>
              <w:pStyle w:val="CellRowSpacer"/>
              <w:rPr>
                <w:sz w:val="16"/>
                <w:szCs w:val="16"/>
              </w:rPr>
            </w:pPr>
          </w:p>
        </w:tc>
        <w:tc>
          <w:tcPr>
            <w:tcW w:w="1377" w:type="dxa"/>
            <w:vAlign w:val="center"/>
          </w:tcPr>
          <w:p w14:paraId="793C301C"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150E87EE" w14:textId="77777777" w:rsidR="006C1384" w:rsidRPr="008818B9" w:rsidRDefault="006C1384" w:rsidP="00922116">
            <w:pPr>
              <w:pStyle w:val="CellRowSpacer"/>
              <w:rPr>
                <w:sz w:val="16"/>
                <w:szCs w:val="16"/>
              </w:rPr>
            </w:pPr>
          </w:p>
        </w:tc>
        <w:tc>
          <w:tcPr>
            <w:tcW w:w="1132" w:type="dxa"/>
            <w:vAlign w:val="center"/>
          </w:tcPr>
          <w:p w14:paraId="69817346"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26303F04" w14:textId="77777777" w:rsidR="006C1384" w:rsidRPr="008818B9" w:rsidRDefault="006C1384" w:rsidP="00922116">
            <w:pPr>
              <w:pStyle w:val="CellRowSpacer"/>
              <w:rPr>
                <w:sz w:val="16"/>
                <w:szCs w:val="16"/>
              </w:rPr>
            </w:pPr>
          </w:p>
        </w:tc>
      </w:tr>
      <w:tr w:rsidR="006C1384" w:rsidRPr="008818B9" w14:paraId="03694B79" w14:textId="77777777" w:rsidTr="00826D63">
        <w:tc>
          <w:tcPr>
            <w:tcW w:w="5984" w:type="dxa"/>
            <w:vAlign w:val="center"/>
          </w:tcPr>
          <w:p w14:paraId="04A30446"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t>Jabl</w:t>
            </w:r>
            <w:proofErr w:type="spellEnd"/>
            <w:r w:rsidRPr="008818B9">
              <w:rPr>
                <w:sz w:val="16"/>
                <w:szCs w:val="16"/>
              </w:rPr>
              <w:t xml:space="preserve"> Harim Maritime Transportation Company Limited</w:t>
            </w:r>
            <w:r w:rsidRPr="00FC7539">
              <w:rPr>
                <w:sz w:val="14"/>
                <w:szCs w:val="14"/>
              </w:rPr>
              <w:tab/>
            </w:r>
          </w:p>
        </w:tc>
        <w:tc>
          <w:tcPr>
            <w:tcW w:w="282" w:type="dxa"/>
            <w:vAlign w:val="bottom"/>
          </w:tcPr>
          <w:p w14:paraId="7CE7A38E" w14:textId="77777777" w:rsidR="006C1384" w:rsidRPr="008818B9" w:rsidRDefault="006C1384" w:rsidP="00922116">
            <w:pPr>
              <w:pStyle w:val="CellRowSpacer"/>
              <w:rPr>
                <w:sz w:val="16"/>
                <w:szCs w:val="16"/>
              </w:rPr>
            </w:pPr>
          </w:p>
        </w:tc>
        <w:tc>
          <w:tcPr>
            <w:tcW w:w="1377" w:type="dxa"/>
            <w:vAlign w:val="center"/>
          </w:tcPr>
          <w:p w14:paraId="5D7A6C48"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3C98DD00" w14:textId="77777777" w:rsidR="006C1384" w:rsidRPr="008818B9" w:rsidRDefault="006C1384" w:rsidP="00922116">
            <w:pPr>
              <w:pStyle w:val="CellRowSpacer"/>
              <w:rPr>
                <w:sz w:val="16"/>
                <w:szCs w:val="16"/>
              </w:rPr>
            </w:pPr>
          </w:p>
        </w:tc>
        <w:tc>
          <w:tcPr>
            <w:tcW w:w="1132" w:type="dxa"/>
            <w:vAlign w:val="center"/>
          </w:tcPr>
          <w:p w14:paraId="4F63107B"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267C2377" w14:textId="77777777" w:rsidR="006C1384" w:rsidRPr="008818B9" w:rsidRDefault="006C1384" w:rsidP="00922116">
            <w:pPr>
              <w:pStyle w:val="CellRowSpacer"/>
              <w:rPr>
                <w:sz w:val="16"/>
                <w:szCs w:val="16"/>
              </w:rPr>
            </w:pPr>
          </w:p>
        </w:tc>
      </w:tr>
      <w:tr w:rsidR="006C1384" w:rsidRPr="008818B9" w14:paraId="0999FDEC" w14:textId="77777777" w:rsidTr="00826D63">
        <w:tc>
          <w:tcPr>
            <w:tcW w:w="5984" w:type="dxa"/>
            <w:vAlign w:val="center"/>
          </w:tcPr>
          <w:p w14:paraId="7981201E" w14:textId="77777777" w:rsidR="006C1384" w:rsidRPr="008818B9" w:rsidRDefault="006C1384" w:rsidP="00922116">
            <w:pPr>
              <w:pStyle w:val="CellBody"/>
              <w:tabs>
                <w:tab w:val="right" w:leader="dot" w:pos="5998"/>
              </w:tabs>
              <w:rPr>
                <w:sz w:val="16"/>
                <w:szCs w:val="16"/>
              </w:rPr>
            </w:pPr>
            <w:proofErr w:type="spellStart"/>
            <w:r w:rsidRPr="008818B9">
              <w:rPr>
                <w:sz w:val="16"/>
                <w:szCs w:val="16"/>
              </w:rPr>
              <w:t>Jabl</w:t>
            </w:r>
            <w:proofErr w:type="spellEnd"/>
            <w:r w:rsidRPr="008818B9">
              <w:rPr>
                <w:sz w:val="16"/>
                <w:szCs w:val="16"/>
              </w:rPr>
              <w:t xml:space="preserve"> Al Rawdah Maritime Transportation Company Limited</w:t>
            </w:r>
            <w:r w:rsidRPr="00FC7539">
              <w:rPr>
                <w:sz w:val="14"/>
                <w:szCs w:val="14"/>
              </w:rPr>
              <w:tab/>
            </w:r>
          </w:p>
        </w:tc>
        <w:tc>
          <w:tcPr>
            <w:tcW w:w="282" w:type="dxa"/>
            <w:vAlign w:val="bottom"/>
          </w:tcPr>
          <w:p w14:paraId="69BA23D2" w14:textId="77777777" w:rsidR="006C1384" w:rsidRPr="008818B9" w:rsidRDefault="006C1384" w:rsidP="00922116">
            <w:pPr>
              <w:pStyle w:val="CellRowSpacer"/>
              <w:rPr>
                <w:sz w:val="16"/>
                <w:szCs w:val="16"/>
              </w:rPr>
            </w:pPr>
          </w:p>
        </w:tc>
        <w:tc>
          <w:tcPr>
            <w:tcW w:w="1377" w:type="dxa"/>
            <w:vAlign w:val="center"/>
          </w:tcPr>
          <w:p w14:paraId="24FD121F" w14:textId="77777777" w:rsidR="006C1384" w:rsidRPr="008818B9" w:rsidRDefault="006C1384" w:rsidP="00922116">
            <w:pPr>
              <w:pStyle w:val="CellBody"/>
              <w:jc w:val="right"/>
              <w:rPr>
                <w:sz w:val="16"/>
                <w:szCs w:val="16"/>
              </w:rPr>
            </w:pPr>
            <w:r w:rsidRPr="008818B9">
              <w:rPr>
                <w:sz w:val="16"/>
                <w:szCs w:val="16"/>
              </w:rPr>
              <w:t>Marshall Islands</w:t>
            </w:r>
          </w:p>
        </w:tc>
        <w:tc>
          <w:tcPr>
            <w:tcW w:w="37" w:type="dxa"/>
            <w:vAlign w:val="bottom"/>
          </w:tcPr>
          <w:p w14:paraId="1BACF925" w14:textId="77777777" w:rsidR="006C1384" w:rsidRPr="008818B9" w:rsidRDefault="006C1384" w:rsidP="00922116">
            <w:pPr>
              <w:pStyle w:val="CellRowSpacer"/>
              <w:rPr>
                <w:sz w:val="16"/>
                <w:szCs w:val="16"/>
              </w:rPr>
            </w:pPr>
          </w:p>
        </w:tc>
        <w:tc>
          <w:tcPr>
            <w:tcW w:w="1132" w:type="dxa"/>
            <w:vAlign w:val="center"/>
          </w:tcPr>
          <w:p w14:paraId="55DEB7AA"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5C38C993" w14:textId="77777777" w:rsidR="006C1384" w:rsidRPr="008818B9" w:rsidRDefault="006C1384" w:rsidP="00922116">
            <w:pPr>
              <w:pStyle w:val="CellRowSpacer"/>
              <w:rPr>
                <w:sz w:val="16"/>
                <w:szCs w:val="16"/>
              </w:rPr>
            </w:pPr>
          </w:p>
        </w:tc>
      </w:tr>
      <w:tr w:rsidR="006C1384" w:rsidRPr="008818B9" w14:paraId="5E4F49C6" w14:textId="77777777" w:rsidTr="00826D63">
        <w:tc>
          <w:tcPr>
            <w:tcW w:w="5984" w:type="dxa"/>
            <w:vAlign w:val="center"/>
          </w:tcPr>
          <w:p w14:paraId="73AF0153" w14:textId="77777777" w:rsidR="006C1384" w:rsidRPr="008818B9" w:rsidRDefault="006C1384" w:rsidP="00922116">
            <w:pPr>
              <w:pStyle w:val="CellBody"/>
              <w:tabs>
                <w:tab w:val="right" w:leader="dot" w:pos="5998"/>
              </w:tabs>
              <w:rPr>
                <w:sz w:val="16"/>
                <w:szCs w:val="16"/>
              </w:rPr>
            </w:pPr>
            <w:r w:rsidRPr="008818B9">
              <w:rPr>
                <w:sz w:val="16"/>
                <w:szCs w:val="16"/>
              </w:rPr>
              <w:t>Asyad Lines LLC</w:t>
            </w:r>
            <w:r w:rsidRPr="00FC7539">
              <w:rPr>
                <w:sz w:val="14"/>
                <w:szCs w:val="14"/>
              </w:rPr>
              <w:tab/>
            </w:r>
          </w:p>
        </w:tc>
        <w:tc>
          <w:tcPr>
            <w:tcW w:w="282" w:type="dxa"/>
            <w:vAlign w:val="bottom"/>
          </w:tcPr>
          <w:p w14:paraId="1BD2CF01" w14:textId="77777777" w:rsidR="006C1384" w:rsidRPr="008818B9" w:rsidRDefault="006C1384" w:rsidP="00922116">
            <w:pPr>
              <w:pStyle w:val="CellRowSpacer"/>
              <w:rPr>
                <w:sz w:val="16"/>
                <w:szCs w:val="16"/>
              </w:rPr>
            </w:pPr>
          </w:p>
        </w:tc>
        <w:tc>
          <w:tcPr>
            <w:tcW w:w="1377" w:type="dxa"/>
            <w:vAlign w:val="center"/>
          </w:tcPr>
          <w:p w14:paraId="015C2AF7" w14:textId="77777777" w:rsidR="006C1384" w:rsidRPr="008818B9" w:rsidRDefault="00C1048B" w:rsidP="00922116">
            <w:pPr>
              <w:pStyle w:val="CellBody"/>
              <w:jc w:val="right"/>
              <w:rPr>
                <w:sz w:val="16"/>
                <w:szCs w:val="16"/>
              </w:rPr>
            </w:pPr>
            <w:r>
              <w:rPr>
                <w:sz w:val="16"/>
                <w:szCs w:val="16"/>
              </w:rPr>
              <w:t xml:space="preserve">Sultanate of </w:t>
            </w:r>
            <w:r w:rsidR="006C1384">
              <w:rPr>
                <w:sz w:val="16"/>
                <w:szCs w:val="16"/>
              </w:rPr>
              <w:t>Oman</w:t>
            </w:r>
          </w:p>
        </w:tc>
        <w:tc>
          <w:tcPr>
            <w:tcW w:w="37" w:type="dxa"/>
            <w:vAlign w:val="bottom"/>
          </w:tcPr>
          <w:p w14:paraId="47E8F1CA" w14:textId="77777777" w:rsidR="006C1384" w:rsidRPr="008818B9" w:rsidRDefault="006C1384" w:rsidP="00922116">
            <w:pPr>
              <w:pStyle w:val="CellRowSpacer"/>
              <w:rPr>
                <w:sz w:val="16"/>
                <w:szCs w:val="16"/>
              </w:rPr>
            </w:pPr>
          </w:p>
        </w:tc>
        <w:tc>
          <w:tcPr>
            <w:tcW w:w="1132" w:type="dxa"/>
            <w:vAlign w:val="center"/>
          </w:tcPr>
          <w:p w14:paraId="4E90A4BB"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1E0C70C7" w14:textId="77777777" w:rsidR="006C1384" w:rsidRPr="008818B9" w:rsidRDefault="006C1384" w:rsidP="00922116">
            <w:pPr>
              <w:pStyle w:val="CellRowSpacer"/>
              <w:rPr>
                <w:sz w:val="16"/>
                <w:szCs w:val="16"/>
              </w:rPr>
            </w:pPr>
          </w:p>
        </w:tc>
      </w:tr>
      <w:tr w:rsidR="006C1384" w:rsidRPr="008818B9" w14:paraId="40E39BFB" w14:textId="77777777" w:rsidTr="00826D63">
        <w:tc>
          <w:tcPr>
            <w:tcW w:w="5984" w:type="dxa"/>
            <w:vAlign w:val="center"/>
          </w:tcPr>
          <w:p w14:paraId="22CE15B6" w14:textId="77777777" w:rsidR="006C1384" w:rsidRPr="008818B9" w:rsidRDefault="006C1384" w:rsidP="00922116">
            <w:pPr>
              <w:pStyle w:val="CellBody"/>
              <w:tabs>
                <w:tab w:val="right" w:leader="dot" w:pos="5998"/>
              </w:tabs>
              <w:rPr>
                <w:sz w:val="16"/>
                <w:szCs w:val="16"/>
              </w:rPr>
            </w:pPr>
            <w:r w:rsidRPr="008818B9">
              <w:rPr>
                <w:sz w:val="16"/>
                <w:szCs w:val="16"/>
              </w:rPr>
              <w:t>Wadi Bani Khalid Maritime Transportation Company Limited</w:t>
            </w:r>
            <w:r w:rsidRPr="00FC7539">
              <w:rPr>
                <w:sz w:val="14"/>
                <w:szCs w:val="14"/>
              </w:rPr>
              <w:tab/>
            </w:r>
          </w:p>
        </w:tc>
        <w:tc>
          <w:tcPr>
            <w:tcW w:w="282" w:type="dxa"/>
            <w:vAlign w:val="bottom"/>
          </w:tcPr>
          <w:p w14:paraId="5723A65B" w14:textId="77777777" w:rsidR="006C1384" w:rsidRPr="008818B9" w:rsidRDefault="006C1384" w:rsidP="00922116">
            <w:pPr>
              <w:pStyle w:val="CellRowSpacer"/>
              <w:rPr>
                <w:sz w:val="16"/>
                <w:szCs w:val="16"/>
              </w:rPr>
            </w:pPr>
          </w:p>
        </w:tc>
        <w:tc>
          <w:tcPr>
            <w:tcW w:w="1377" w:type="dxa"/>
            <w:vAlign w:val="center"/>
          </w:tcPr>
          <w:p w14:paraId="0DB1D697" w14:textId="77777777" w:rsidR="006C1384" w:rsidRPr="008818B9" w:rsidRDefault="00AF3796" w:rsidP="00922116">
            <w:pPr>
              <w:pStyle w:val="CellBody"/>
              <w:jc w:val="right"/>
              <w:rPr>
                <w:sz w:val="16"/>
                <w:szCs w:val="16"/>
              </w:rPr>
            </w:pPr>
            <w:r w:rsidRPr="00CF2B65">
              <w:rPr>
                <w:sz w:val="16"/>
                <w:szCs w:val="16"/>
              </w:rPr>
              <w:t>Marshal</w:t>
            </w:r>
            <w:r>
              <w:rPr>
                <w:sz w:val="16"/>
                <w:szCs w:val="16"/>
              </w:rPr>
              <w:t>l</w:t>
            </w:r>
            <w:r w:rsidRPr="00CF2B65">
              <w:rPr>
                <w:sz w:val="16"/>
                <w:szCs w:val="16"/>
              </w:rPr>
              <w:t xml:space="preserve"> Island</w:t>
            </w:r>
            <w:r>
              <w:rPr>
                <w:sz w:val="16"/>
                <w:szCs w:val="16"/>
              </w:rPr>
              <w:t>s</w:t>
            </w:r>
          </w:p>
        </w:tc>
        <w:tc>
          <w:tcPr>
            <w:tcW w:w="37" w:type="dxa"/>
            <w:vAlign w:val="bottom"/>
          </w:tcPr>
          <w:p w14:paraId="7A82170C" w14:textId="77777777" w:rsidR="006C1384" w:rsidRPr="008818B9" w:rsidRDefault="006C1384" w:rsidP="00922116">
            <w:pPr>
              <w:pStyle w:val="CellRowSpacer"/>
              <w:rPr>
                <w:sz w:val="16"/>
                <w:szCs w:val="16"/>
              </w:rPr>
            </w:pPr>
          </w:p>
        </w:tc>
        <w:tc>
          <w:tcPr>
            <w:tcW w:w="1132" w:type="dxa"/>
            <w:vAlign w:val="center"/>
          </w:tcPr>
          <w:p w14:paraId="6BBB3067"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073CC1CD" w14:textId="77777777" w:rsidR="006C1384" w:rsidRPr="008818B9" w:rsidRDefault="006C1384" w:rsidP="00922116">
            <w:pPr>
              <w:pStyle w:val="CellRowSpacer"/>
              <w:rPr>
                <w:sz w:val="16"/>
                <w:szCs w:val="16"/>
              </w:rPr>
            </w:pPr>
          </w:p>
        </w:tc>
      </w:tr>
      <w:tr w:rsidR="006C1384" w:rsidRPr="008818B9" w14:paraId="488BD02D" w14:textId="77777777" w:rsidTr="00826D63">
        <w:tc>
          <w:tcPr>
            <w:tcW w:w="5984" w:type="dxa"/>
            <w:vAlign w:val="center"/>
          </w:tcPr>
          <w:p w14:paraId="76E3C319" w14:textId="77777777" w:rsidR="006C1384" w:rsidRPr="008818B9" w:rsidRDefault="006C1384" w:rsidP="00922116">
            <w:pPr>
              <w:pStyle w:val="CellBody"/>
              <w:tabs>
                <w:tab w:val="right" w:leader="dot" w:pos="5998"/>
              </w:tabs>
              <w:rPr>
                <w:sz w:val="16"/>
                <w:szCs w:val="16"/>
              </w:rPr>
            </w:pPr>
            <w:r w:rsidRPr="008818B9">
              <w:rPr>
                <w:sz w:val="16"/>
                <w:szCs w:val="16"/>
              </w:rPr>
              <w:t>Asyad Shipping PTE. LTD</w:t>
            </w:r>
            <w:r w:rsidRPr="00FC7539">
              <w:rPr>
                <w:sz w:val="14"/>
                <w:szCs w:val="14"/>
              </w:rPr>
              <w:tab/>
            </w:r>
          </w:p>
        </w:tc>
        <w:tc>
          <w:tcPr>
            <w:tcW w:w="282" w:type="dxa"/>
            <w:vAlign w:val="bottom"/>
          </w:tcPr>
          <w:p w14:paraId="1AC08AE6" w14:textId="77777777" w:rsidR="006C1384" w:rsidRPr="008818B9" w:rsidRDefault="006C1384" w:rsidP="00922116">
            <w:pPr>
              <w:pStyle w:val="CellRowSpacer"/>
              <w:rPr>
                <w:sz w:val="16"/>
                <w:szCs w:val="16"/>
              </w:rPr>
            </w:pPr>
          </w:p>
        </w:tc>
        <w:tc>
          <w:tcPr>
            <w:tcW w:w="1377" w:type="dxa"/>
            <w:vAlign w:val="center"/>
          </w:tcPr>
          <w:p w14:paraId="679D53EC" w14:textId="77777777" w:rsidR="006C1384" w:rsidRPr="008818B9" w:rsidRDefault="006C1384" w:rsidP="00922116">
            <w:pPr>
              <w:pStyle w:val="CellBody"/>
              <w:jc w:val="right"/>
              <w:rPr>
                <w:sz w:val="16"/>
                <w:szCs w:val="16"/>
              </w:rPr>
            </w:pPr>
            <w:r w:rsidRPr="008818B9">
              <w:rPr>
                <w:sz w:val="16"/>
                <w:szCs w:val="16"/>
              </w:rPr>
              <w:t>Singapore</w:t>
            </w:r>
          </w:p>
        </w:tc>
        <w:tc>
          <w:tcPr>
            <w:tcW w:w="37" w:type="dxa"/>
            <w:vAlign w:val="bottom"/>
          </w:tcPr>
          <w:p w14:paraId="19A971AF" w14:textId="77777777" w:rsidR="006C1384" w:rsidRPr="008818B9" w:rsidRDefault="006C1384" w:rsidP="00922116">
            <w:pPr>
              <w:pStyle w:val="CellRowSpacer"/>
              <w:rPr>
                <w:sz w:val="16"/>
                <w:szCs w:val="16"/>
              </w:rPr>
            </w:pPr>
          </w:p>
        </w:tc>
        <w:tc>
          <w:tcPr>
            <w:tcW w:w="1132" w:type="dxa"/>
            <w:vAlign w:val="center"/>
          </w:tcPr>
          <w:p w14:paraId="147AFE19"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4D72CF69" w14:textId="77777777" w:rsidR="006C1384" w:rsidRPr="008818B9" w:rsidRDefault="006C1384" w:rsidP="00922116">
            <w:pPr>
              <w:pStyle w:val="CellRowSpacer"/>
              <w:rPr>
                <w:sz w:val="16"/>
                <w:szCs w:val="16"/>
              </w:rPr>
            </w:pPr>
          </w:p>
        </w:tc>
      </w:tr>
      <w:tr w:rsidR="006C1384" w:rsidRPr="008818B9" w14:paraId="704E46C5" w14:textId="77777777" w:rsidTr="00826D63">
        <w:tc>
          <w:tcPr>
            <w:tcW w:w="5984" w:type="dxa"/>
            <w:vAlign w:val="center"/>
          </w:tcPr>
          <w:p w14:paraId="36BE30CE" w14:textId="77777777" w:rsidR="006C1384" w:rsidRPr="008818B9" w:rsidRDefault="006C1384" w:rsidP="00922116">
            <w:pPr>
              <w:pStyle w:val="CellBody"/>
              <w:tabs>
                <w:tab w:val="right" w:leader="dot" w:pos="5998"/>
              </w:tabs>
              <w:rPr>
                <w:sz w:val="16"/>
                <w:szCs w:val="16"/>
              </w:rPr>
            </w:pPr>
            <w:r w:rsidRPr="008818B9">
              <w:rPr>
                <w:sz w:val="16"/>
                <w:szCs w:val="16"/>
              </w:rPr>
              <w:t>Wadi Duka Maritime Transportation Company Limited</w:t>
            </w:r>
            <w:r w:rsidRPr="00FC7539">
              <w:rPr>
                <w:sz w:val="14"/>
                <w:szCs w:val="14"/>
              </w:rPr>
              <w:tab/>
            </w:r>
          </w:p>
        </w:tc>
        <w:tc>
          <w:tcPr>
            <w:tcW w:w="282" w:type="dxa"/>
            <w:vAlign w:val="bottom"/>
          </w:tcPr>
          <w:p w14:paraId="39631C3D" w14:textId="77777777" w:rsidR="006C1384" w:rsidRPr="008818B9" w:rsidRDefault="006C1384" w:rsidP="00922116">
            <w:pPr>
              <w:pStyle w:val="CellRowSpacer"/>
              <w:rPr>
                <w:sz w:val="16"/>
                <w:szCs w:val="16"/>
              </w:rPr>
            </w:pPr>
          </w:p>
        </w:tc>
        <w:tc>
          <w:tcPr>
            <w:tcW w:w="1377" w:type="dxa"/>
            <w:vAlign w:val="center"/>
          </w:tcPr>
          <w:p w14:paraId="2A3F1BFD" w14:textId="77777777" w:rsidR="006C1384" w:rsidRPr="008818B9" w:rsidRDefault="00EC6B08" w:rsidP="00922116">
            <w:pPr>
              <w:pStyle w:val="CellBody"/>
              <w:jc w:val="right"/>
              <w:rPr>
                <w:sz w:val="16"/>
                <w:szCs w:val="16"/>
              </w:rPr>
            </w:pPr>
            <w:r w:rsidRPr="00CF2B65">
              <w:rPr>
                <w:sz w:val="16"/>
                <w:szCs w:val="16"/>
              </w:rPr>
              <w:t>Marshal</w:t>
            </w:r>
            <w:r>
              <w:rPr>
                <w:sz w:val="16"/>
                <w:szCs w:val="16"/>
              </w:rPr>
              <w:t>l</w:t>
            </w:r>
            <w:r w:rsidRPr="00CF2B65">
              <w:rPr>
                <w:sz w:val="16"/>
                <w:szCs w:val="16"/>
              </w:rPr>
              <w:t xml:space="preserve"> Island</w:t>
            </w:r>
            <w:r>
              <w:rPr>
                <w:sz w:val="16"/>
                <w:szCs w:val="16"/>
              </w:rPr>
              <w:t>s</w:t>
            </w:r>
          </w:p>
        </w:tc>
        <w:tc>
          <w:tcPr>
            <w:tcW w:w="37" w:type="dxa"/>
            <w:vAlign w:val="bottom"/>
          </w:tcPr>
          <w:p w14:paraId="52218BDB" w14:textId="77777777" w:rsidR="006C1384" w:rsidRPr="008818B9" w:rsidRDefault="006C1384" w:rsidP="00922116">
            <w:pPr>
              <w:pStyle w:val="CellRowSpacer"/>
              <w:rPr>
                <w:sz w:val="16"/>
                <w:szCs w:val="16"/>
              </w:rPr>
            </w:pPr>
          </w:p>
        </w:tc>
        <w:tc>
          <w:tcPr>
            <w:tcW w:w="1132" w:type="dxa"/>
            <w:vAlign w:val="center"/>
          </w:tcPr>
          <w:p w14:paraId="6BFF2D51" w14:textId="77777777" w:rsidR="006C1384" w:rsidRPr="008818B9" w:rsidRDefault="006C1384" w:rsidP="00922116">
            <w:pPr>
              <w:pStyle w:val="CellBody"/>
              <w:jc w:val="right"/>
              <w:rPr>
                <w:sz w:val="16"/>
                <w:szCs w:val="16"/>
              </w:rPr>
            </w:pPr>
            <w:r w:rsidRPr="008818B9">
              <w:rPr>
                <w:sz w:val="16"/>
                <w:szCs w:val="16"/>
              </w:rPr>
              <w:t>100.0</w:t>
            </w:r>
          </w:p>
        </w:tc>
        <w:tc>
          <w:tcPr>
            <w:tcW w:w="236" w:type="dxa"/>
            <w:vAlign w:val="bottom"/>
          </w:tcPr>
          <w:p w14:paraId="377A77AF" w14:textId="77777777" w:rsidR="006C1384" w:rsidRPr="008818B9" w:rsidRDefault="006C1384" w:rsidP="00922116">
            <w:pPr>
              <w:pStyle w:val="CellRowSpacer"/>
              <w:rPr>
                <w:sz w:val="16"/>
                <w:szCs w:val="16"/>
              </w:rPr>
            </w:pPr>
          </w:p>
        </w:tc>
      </w:tr>
      <w:tr w:rsidR="0048119C" w:rsidRPr="008818B9" w14:paraId="762F763D" w14:textId="77777777" w:rsidTr="00826D63">
        <w:tc>
          <w:tcPr>
            <w:tcW w:w="5984" w:type="dxa"/>
            <w:vAlign w:val="bottom"/>
          </w:tcPr>
          <w:p w14:paraId="05FDD760" w14:textId="77777777" w:rsidR="0048119C" w:rsidRPr="008818B9" w:rsidRDefault="0048119C" w:rsidP="0048119C">
            <w:pPr>
              <w:pStyle w:val="CellBody"/>
              <w:tabs>
                <w:tab w:val="right" w:leader="dot" w:pos="5998"/>
              </w:tabs>
              <w:rPr>
                <w:sz w:val="16"/>
                <w:szCs w:val="16"/>
              </w:rPr>
            </w:pPr>
            <w:r>
              <w:rPr>
                <w:sz w:val="16"/>
                <w:szCs w:val="16"/>
              </w:rPr>
              <w:t>Asyad Ship Management Company SPC</w:t>
            </w:r>
            <w:r w:rsidRPr="00CF2B65">
              <w:rPr>
                <w:sz w:val="14"/>
                <w:szCs w:val="14"/>
              </w:rPr>
              <w:tab/>
            </w:r>
          </w:p>
        </w:tc>
        <w:tc>
          <w:tcPr>
            <w:tcW w:w="282" w:type="dxa"/>
            <w:vAlign w:val="bottom"/>
          </w:tcPr>
          <w:p w14:paraId="763C2F40" w14:textId="77777777" w:rsidR="0048119C" w:rsidRPr="008818B9" w:rsidRDefault="0048119C" w:rsidP="0048119C">
            <w:pPr>
              <w:pStyle w:val="CellRowSpacer"/>
              <w:rPr>
                <w:sz w:val="16"/>
                <w:szCs w:val="16"/>
              </w:rPr>
            </w:pPr>
          </w:p>
        </w:tc>
        <w:tc>
          <w:tcPr>
            <w:tcW w:w="1377" w:type="dxa"/>
            <w:vAlign w:val="center"/>
          </w:tcPr>
          <w:p w14:paraId="7DED9EFC" w14:textId="77777777" w:rsidR="0048119C" w:rsidRPr="00CF2B65" w:rsidRDefault="0048119C" w:rsidP="0048119C">
            <w:pPr>
              <w:pStyle w:val="CellBody"/>
              <w:jc w:val="right"/>
              <w:rPr>
                <w:sz w:val="16"/>
                <w:szCs w:val="16"/>
              </w:rPr>
            </w:pPr>
            <w:r>
              <w:rPr>
                <w:sz w:val="16"/>
                <w:szCs w:val="16"/>
              </w:rPr>
              <w:t>Sultanate of Oman</w:t>
            </w:r>
          </w:p>
        </w:tc>
        <w:tc>
          <w:tcPr>
            <w:tcW w:w="37" w:type="dxa"/>
            <w:vAlign w:val="bottom"/>
          </w:tcPr>
          <w:p w14:paraId="1FF929C0" w14:textId="77777777" w:rsidR="0048119C" w:rsidRPr="008818B9" w:rsidRDefault="0048119C" w:rsidP="0048119C">
            <w:pPr>
              <w:pStyle w:val="CellRowSpacer"/>
              <w:rPr>
                <w:sz w:val="16"/>
                <w:szCs w:val="16"/>
              </w:rPr>
            </w:pPr>
          </w:p>
        </w:tc>
        <w:tc>
          <w:tcPr>
            <w:tcW w:w="1132" w:type="dxa"/>
            <w:vAlign w:val="bottom"/>
          </w:tcPr>
          <w:p w14:paraId="34C37C7F" w14:textId="77777777" w:rsidR="0048119C" w:rsidRPr="008818B9" w:rsidRDefault="0048119C" w:rsidP="0048119C">
            <w:pPr>
              <w:pStyle w:val="CellBody"/>
              <w:jc w:val="right"/>
              <w:rPr>
                <w:sz w:val="16"/>
                <w:szCs w:val="16"/>
              </w:rPr>
            </w:pPr>
            <w:r>
              <w:rPr>
                <w:sz w:val="16"/>
                <w:szCs w:val="16"/>
              </w:rPr>
              <w:t>100.0</w:t>
            </w:r>
          </w:p>
        </w:tc>
        <w:tc>
          <w:tcPr>
            <w:tcW w:w="236" w:type="dxa"/>
            <w:vAlign w:val="bottom"/>
          </w:tcPr>
          <w:p w14:paraId="4A8BF47F" w14:textId="77777777" w:rsidR="0048119C" w:rsidRPr="008818B9" w:rsidRDefault="0048119C" w:rsidP="0048119C">
            <w:pPr>
              <w:pStyle w:val="CellRowSpacer"/>
              <w:rPr>
                <w:sz w:val="16"/>
                <w:szCs w:val="16"/>
              </w:rPr>
            </w:pPr>
          </w:p>
        </w:tc>
      </w:tr>
    </w:tbl>
    <w:p w14:paraId="15D7F4A7" w14:textId="77777777" w:rsidR="002226FF" w:rsidRPr="002226FF" w:rsidRDefault="002226FF" w:rsidP="002226FF">
      <w:pPr>
        <w:bidi/>
        <w:jc w:val="both"/>
        <w:rPr>
          <w:rFonts w:ascii="Traditional Arabic" w:hAnsi="Traditional Arabic" w:cs="Traditional Arabic"/>
          <w:sz w:val="30"/>
          <w:szCs w:val="30"/>
          <w:lang w:bidi="ar-OM"/>
        </w:rPr>
      </w:pPr>
    </w:p>
    <w:p w14:paraId="18D17320" w14:textId="77777777" w:rsidR="002226FF" w:rsidRDefault="002226FF" w:rsidP="002B6035">
      <w:pPr>
        <w:bidi/>
        <w:jc w:val="both"/>
        <w:rPr>
          <w:rFonts w:ascii="Traditional Arabic" w:hAnsi="Traditional Arabic" w:cs="Traditional Arabic"/>
          <w:sz w:val="30"/>
          <w:szCs w:val="30"/>
          <w:rtl/>
          <w:lang w:bidi="ar-OM"/>
        </w:rPr>
      </w:pPr>
    </w:p>
    <w:p w14:paraId="363A5EE7" w14:textId="77777777" w:rsidR="002B6035" w:rsidRPr="00EB5BCF" w:rsidRDefault="002B6035" w:rsidP="002B6035">
      <w:pPr>
        <w:autoSpaceDE w:val="0"/>
        <w:autoSpaceDN w:val="0"/>
        <w:bidi/>
        <w:adjustRightInd w:val="0"/>
        <w:jc w:val="both"/>
        <w:rPr>
          <w:rFonts w:ascii="Traditional Arabic" w:hAnsi="Traditional Arabic" w:cs="Traditional Arabic"/>
          <w:bCs/>
          <w:color w:val="000000"/>
          <w:sz w:val="30"/>
          <w:szCs w:val="30"/>
          <w:rtl/>
          <w:lang w:bidi="ar-OM"/>
        </w:rPr>
        <w:sectPr w:rsidR="002B6035" w:rsidRPr="00EB5BCF">
          <w:pgSz w:w="12240" w:h="15840"/>
          <w:pgMar w:top="1440" w:right="1440" w:bottom="1440" w:left="1440" w:header="720" w:footer="720" w:gutter="0"/>
          <w:cols w:space="720"/>
          <w:docGrid w:linePitch="360"/>
        </w:sectPr>
      </w:pPr>
      <w:bookmarkStart w:id="15" w:name="_gjdgxs" w:colFirst="0" w:colLast="0"/>
      <w:bookmarkEnd w:id="15"/>
    </w:p>
    <w:p w14:paraId="78579A4F" w14:textId="77777777" w:rsidR="004D1AA2" w:rsidRPr="00EB5BCF" w:rsidRDefault="009A4B0D" w:rsidP="00BF27FC">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lastRenderedPageBreak/>
        <w:t xml:space="preserve">الفصل </w:t>
      </w:r>
      <w:r w:rsidR="00FD7B9B">
        <w:rPr>
          <w:rFonts w:ascii="Traditional Arabic" w:hAnsi="Traditional Arabic" w:cs="Traditional Arabic" w:hint="cs"/>
          <w:b w:val="0"/>
          <w:bCs/>
          <w:sz w:val="30"/>
          <w:szCs w:val="30"/>
          <w:rtl/>
          <w:lang w:bidi="ar-OM"/>
        </w:rPr>
        <w:t>ال</w:t>
      </w:r>
      <w:r w:rsidR="00A263F6">
        <w:rPr>
          <w:rFonts w:ascii="Traditional Arabic" w:hAnsi="Traditional Arabic" w:cs="Traditional Arabic" w:hint="cs"/>
          <w:b w:val="0"/>
          <w:bCs/>
          <w:sz w:val="30"/>
          <w:szCs w:val="30"/>
          <w:rtl/>
          <w:lang w:bidi="ar-OM"/>
        </w:rPr>
        <w:t>ثالث</w:t>
      </w:r>
      <w:r w:rsidR="007C7639">
        <w:rPr>
          <w:rFonts w:ascii="Traditional Arabic" w:hAnsi="Traditional Arabic" w:cs="Traditional Arabic" w:hint="cs"/>
          <w:b w:val="0"/>
          <w:bCs/>
          <w:sz w:val="30"/>
          <w:szCs w:val="30"/>
          <w:rtl/>
          <w:lang w:bidi="ar-OM"/>
        </w:rPr>
        <w:t xml:space="preserve"> </w:t>
      </w:r>
      <w:r w:rsidRPr="00EB5BCF">
        <w:rPr>
          <w:rFonts w:ascii="Traditional Arabic" w:hAnsi="Traditional Arabic" w:cs="Traditional Arabic"/>
          <w:b w:val="0"/>
          <w:bCs/>
          <w:sz w:val="30"/>
          <w:szCs w:val="30"/>
          <w:rtl/>
          <w:lang w:bidi="ar-OM"/>
        </w:rPr>
        <w:t>عشر</w:t>
      </w:r>
    </w:p>
    <w:p w14:paraId="53C7B319" w14:textId="77777777" w:rsidR="009A4B0D" w:rsidRPr="00EB5BCF" w:rsidRDefault="00080339" w:rsidP="00BF27FC">
      <w:pPr>
        <w:pStyle w:val="Heading2"/>
        <w:bidi/>
        <w:jc w:val="center"/>
        <w:rPr>
          <w:rFonts w:ascii="Traditional Arabic" w:hAnsi="Traditional Arabic" w:cs="Traditional Arabic"/>
          <w:b w:val="0"/>
          <w:bCs/>
          <w:sz w:val="30"/>
          <w:szCs w:val="30"/>
          <w:rtl/>
          <w:lang w:bidi="ar-OM"/>
        </w:rPr>
      </w:pPr>
      <w:r w:rsidRPr="00EB5BCF">
        <w:rPr>
          <w:rFonts w:ascii="Traditional Arabic" w:hAnsi="Traditional Arabic" w:cs="Traditional Arabic"/>
          <w:b w:val="0"/>
          <w:bCs/>
          <w:sz w:val="30"/>
          <w:szCs w:val="30"/>
          <w:rtl/>
          <w:lang w:bidi="ar-OM"/>
        </w:rPr>
        <w:t xml:space="preserve">بيانات مالية </w:t>
      </w:r>
      <w:r w:rsidR="00325B0C">
        <w:rPr>
          <w:rFonts w:ascii="Traditional Arabic" w:hAnsi="Traditional Arabic" w:cs="Traditional Arabic" w:hint="cs"/>
          <w:b w:val="0"/>
          <w:bCs/>
          <w:sz w:val="30"/>
          <w:szCs w:val="30"/>
          <w:rtl/>
          <w:lang w:bidi="ar-OM"/>
        </w:rPr>
        <w:t xml:space="preserve">وتشغيلية </w:t>
      </w:r>
      <w:r w:rsidRPr="00EB5BCF">
        <w:rPr>
          <w:rFonts w:ascii="Traditional Arabic" w:hAnsi="Traditional Arabic" w:cs="Traditional Arabic"/>
          <w:b w:val="0"/>
          <w:bCs/>
          <w:sz w:val="30"/>
          <w:szCs w:val="30"/>
          <w:rtl/>
          <w:lang w:bidi="ar-OM"/>
        </w:rPr>
        <w:t>مختارة</w:t>
      </w:r>
    </w:p>
    <w:p w14:paraId="2F2E9D3A" w14:textId="77777777" w:rsidR="004B735E" w:rsidRDefault="004B735E" w:rsidP="004B735E">
      <w:pPr>
        <w:autoSpaceDE w:val="0"/>
        <w:autoSpaceDN w:val="0"/>
        <w:bidi/>
        <w:adjustRightInd w:val="0"/>
        <w:jc w:val="both"/>
        <w:rPr>
          <w:rFonts w:ascii="Traditional Arabic" w:hAnsi="Traditional Arabic" w:cs="Traditional Arabic"/>
          <w:b/>
          <w:bCs/>
          <w:sz w:val="30"/>
          <w:szCs w:val="30"/>
          <w:rtl/>
          <w:lang w:val="en-GB" w:bidi="ar-EG"/>
        </w:rPr>
      </w:pPr>
    </w:p>
    <w:p w14:paraId="2A527710" w14:textId="77777777" w:rsidR="00325B0C" w:rsidRPr="00D0065C" w:rsidRDefault="00325B0C" w:rsidP="00DF1D74">
      <w:pPr>
        <w:bidi/>
        <w:spacing w:beforeLines="40" w:before="96" w:afterLines="40" w:after="96" w:line="276" w:lineRule="auto"/>
        <w:jc w:val="both"/>
        <w:rPr>
          <w:rFonts w:ascii="Traditional Arabic" w:hAnsi="Traditional Arabic" w:cs="Traditional Arabic"/>
          <w:sz w:val="30"/>
          <w:szCs w:val="30"/>
          <w:rtl/>
        </w:rPr>
      </w:pPr>
      <w:r w:rsidRPr="00D0065C">
        <w:rPr>
          <w:rFonts w:ascii="Traditional Arabic" w:hAnsi="Traditional Arabic" w:cs="Traditional Arabic"/>
          <w:sz w:val="30"/>
          <w:szCs w:val="30"/>
          <w:rtl/>
        </w:rPr>
        <w:t>تم اشتقاق المعلومات المالية</w:t>
      </w:r>
      <w:r>
        <w:rPr>
          <w:rFonts w:ascii="Traditional Arabic" w:hAnsi="Traditional Arabic" w:cs="Traditional Arabic" w:hint="cs"/>
          <w:sz w:val="30"/>
          <w:szCs w:val="30"/>
          <w:rtl/>
        </w:rPr>
        <w:t xml:space="preserve"> </w:t>
      </w:r>
      <w:r w:rsidRPr="00D0065C">
        <w:rPr>
          <w:rFonts w:ascii="Traditional Arabic" w:hAnsi="Traditional Arabic" w:cs="Traditional Arabic"/>
          <w:sz w:val="30"/>
          <w:szCs w:val="30"/>
          <w:rtl/>
        </w:rPr>
        <w:t>التاريخية المختارة الواردة أدناه كما في وللسنوات المنتهية في 31 ديسمبر 2021 و2022 و</w:t>
      </w:r>
      <w:r>
        <w:rPr>
          <w:rFonts w:ascii="Traditional Arabic" w:hAnsi="Traditional Arabic" w:cs="Traditional Arabic" w:hint="cs"/>
          <w:sz w:val="30"/>
          <w:szCs w:val="30"/>
          <w:rtl/>
        </w:rPr>
        <w:t>2023 و</w:t>
      </w:r>
      <w:r w:rsidRPr="00D0065C">
        <w:rPr>
          <w:rFonts w:ascii="Traditional Arabic" w:hAnsi="Traditional Arabic" w:cs="Traditional Arabic"/>
          <w:sz w:val="30"/>
          <w:szCs w:val="30"/>
          <w:rtl/>
        </w:rPr>
        <w:t xml:space="preserve">الأشهر </w:t>
      </w:r>
      <w:r>
        <w:rPr>
          <w:rFonts w:ascii="Traditional Arabic" w:hAnsi="Traditional Arabic" w:cs="Traditional Arabic" w:hint="cs"/>
          <w:sz w:val="30"/>
          <w:szCs w:val="30"/>
          <w:rtl/>
        </w:rPr>
        <w:t>التسعة</w:t>
      </w:r>
      <w:r w:rsidRPr="00D0065C">
        <w:rPr>
          <w:rFonts w:ascii="Traditional Arabic" w:hAnsi="Traditional Arabic" w:cs="Traditional Arabic"/>
          <w:sz w:val="30"/>
          <w:szCs w:val="30"/>
          <w:rtl/>
        </w:rPr>
        <w:t xml:space="preserve"> المنتهية في 30 </w:t>
      </w:r>
      <w:r>
        <w:rPr>
          <w:rFonts w:ascii="Traditional Arabic" w:hAnsi="Traditional Arabic" w:cs="Traditional Arabic" w:hint="cs"/>
          <w:sz w:val="30"/>
          <w:szCs w:val="30"/>
          <w:rtl/>
        </w:rPr>
        <w:t>سبتمبر</w:t>
      </w:r>
      <w:r w:rsidRPr="00D0065C">
        <w:rPr>
          <w:rFonts w:ascii="Traditional Arabic" w:hAnsi="Traditional Arabic" w:cs="Traditional Arabic"/>
          <w:sz w:val="30"/>
          <w:szCs w:val="30"/>
          <w:rtl/>
        </w:rPr>
        <w:t xml:space="preserve"> </w:t>
      </w:r>
      <w:r>
        <w:rPr>
          <w:rFonts w:ascii="Traditional Arabic" w:hAnsi="Traditional Arabic" w:cs="Traditional Arabic" w:hint="cs"/>
          <w:sz w:val="30"/>
          <w:szCs w:val="30"/>
          <w:rtl/>
        </w:rPr>
        <w:t>2023</w:t>
      </w:r>
      <w:r w:rsidRPr="00D0065C">
        <w:rPr>
          <w:rFonts w:ascii="Traditional Arabic" w:hAnsi="Traditional Arabic" w:cs="Traditional Arabic"/>
          <w:sz w:val="30"/>
          <w:szCs w:val="30"/>
          <w:rtl/>
        </w:rPr>
        <w:t xml:space="preserve"> و202</w:t>
      </w:r>
      <w:r>
        <w:rPr>
          <w:rFonts w:ascii="Traditional Arabic" w:hAnsi="Traditional Arabic" w:cs="Traditional Arabic" w:hint="cs"/>
          <w:sz w:val="30"/>
          <w:szCs w:val="30"/>
          <w:rtl/>
        </w:rPr>
        <w:t>4</w:t>
      </w:r>
      <w:r w:rsidRPr="00D0065C">
        <w:rPr>
          <w:rFonts w:ascii="Traditional Arabic" w:hAnsi="Traditional Arabic" w:cs="Traditional Arabic"/>
          <w:sz w:val="30"/>
          <w:szCs w:val="30"/>
          <w:rtl/>
        </w:rPr>
        <w:t xml:space="preserve"> من البيانات المالية</w:t>
      </w:r>
      <w:r>
        <w:rPr>
          <w:rFonts w:ascii="Traditional Arabic" w:hAnsi="Traditional Arabic" w:cs="Traditional Arabic" w:hint="cs"/>
          <w:sz w:val="30"/>
          <w:szCs w:val="30"/>
          <w:rtl/>
        </w:rPr>
        <w:t xml:space="preserve"> </w:t>
      </w:r>
      <w:r w:rsidRPr="00D0065C">
        <w:rPr>
          <w:rFonts w:ascii="Traditional Arabic" w:hAnsi="Traditional Arabic" w:cs="Traditional Arabic"/>
          <w:sz w:val="30"/>
          <w:szCs w:val="30"/>
          <w:rtl/>
        </w:rPr>
        <w:t>السنوية المدققة</w:t>
      </w:r>
      <w:r>
        <w:rPr>
          <w:rFonts w:ascii="Traditional Arabic" w:hAnsi="Traditional Arabic" w:cs="Traditional Arabic" w:hint="cs"/>
          <w:sz w:val="30"/>
          <w:szCs w:val="30"/>
          <w:rtl/>
        </w:rPr>
        <w:t xml:space="preserve"> </w:t>
      </w:r>
      <w:r w:rsidRPr="00D0065C">
        <w:rPr>
          <w:rFonts w:ascii="Traditional Arabic" w:hAnsi="Traditional Arabic" w:cs="Traditional Arabic"/>
          <w:sz w:val="30"/>
          <w:szCs w:val="30"/>
          <w:rtl/>
        </w:rPr>
        <w:t>التي تم إعدادها وفقًا للمعايير الدولية لإعداد التقارير المالية، والبيانات المالية المرحلية</w:t>
      </w:r>
      <w:r>
        <w:rPr>
          <w:rFonts w:ascii="Traditional Arabic" w:hAnsi="Traditional Arabic" w:cs="Traditional Arabic" w:hint="cs"/>
          <w:sz w:val="30"/>
          <w:szCs w:val="30"/>
          <w:rtl/>
        </w:rPr>
        <w:t xml:space="preserve"> </w:t>
      </w:r>
      <w:r w:rsidRPr="00D0065C">
        <w:rPr>
          <w:rFonts w:ascii="Traditional Arabic" w:hAnsi="Traditional Arabic" w:cs="Traditional Arabic"/>
          <w:sz w:val="30"/>
          <w:szCs w:val="30"/>
          <w:rtl/>
        </w:rPr>
        <w:t>المدققة التي تم إعدادها وفقًا لمعيار المحاسبة الدولي 34.</w:t>
      </w:r>
    </w:p>
    <w:p w14:paraId="38AE751C" w14:textId="77777777" w:rsidR="00325B0C" w:rsidRPr="00D0065C" w:rsidRDefault="00325B0C" w:rsidP="00325B0C">
      <w:pPr>
        <w:bidi/>
        <w:spacing w:beforeLines="40" w:before="96" w:afterLines="40" w:after="96" w:line="276" w:lineRule="auto"/>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إن </w:t>
      </w:r>
      <w:r w:rsidRPr="00D0065C">
        <w:rPr>
          <w:rFonts w:ascii="Traditional Arabic" w:hAnsi="Traditional Arabic" w:cs="Traditional Arabic"/>
          <w:sz w:val="30"/>
          <w:szCs w:val="30"/>
          <w:rtl/>
        </w:rPr>
        <w:t xml:space="preserve">النتائج </w:t>
      </w:r>
      <w:r>
        <w:rPr>
          <w:rFonts w:ascii="Traditional Arabic" w:hAnsi="Traditional Arabic" w:cs="Traditional Arabic" w:hint="cs"/>
          <w:sz w:val="30"/>
          <w:szCs w:val="30"/>
          <w:rtl/>
        </w:rPr>
        <w:t xml:space="preserve">المالية الواردة </w:t>
      </w:r>
      <w:r w:rsidRPr="00D0065C">
        <w:rPr>
          <w:rFonts w:ascii="Traditional Arabic" w:hAnsi="Traditional Arabic" w:cs="Traditional Arabic"/>
          <w:sz w:val="30"/>
          <w:szCs w:val="30"/>
          <w:rtl/>
        </w:rPr>
        <w:t>في البيانات المالية المرحلية</w:t>
      </w:r>
      <w:r>
        <w:rPr>
          <w:rFonts w:ascii="Traditional Arabic" w:hAnsi="Traditional Arabic" w:cs="Traditional Arabic" w:hint="cs"/>
          <w:sz w:val="30"/>
          <w:szCs w:val="30"/>
          <w:rtl/>
        </w:rPr>
        <w:t xml:space="preserve"> </w:t>
      </w:r>
      <w:r w:rsidRPr="00D0065C">
        <w:rPr>
          <w:rFonts w:ascii="Traditional Arabic" w:hAnsi="Traditional Arabic" w:cs="Traditional Arabic"/>
          <w:sz w:val="30"/>
          <w:szCs w:val="30"/>
          <w:rtl/>
        </w:rPr>
        <w:t xml:space="preserve">ليست بالضرورة مؤشرا على النتائج التي يمكن توقعها للسنة بأكملها. </w:t>
      </w:r>
      <w:r w:rsidRPr="00D0065C">
        <w:rPr>
          <w:rFonts w:ascii="Traditional Arabic" w:hAnsi="Traditional Arabic" w:cs="Traditional Arabic"/>
          <w:sz w:val="30"/>
          <w:szCs w:val="30"/>
          <w:rtl/>
          <w:lang w:bidi="ar-OM"/>
        </w:rPr>
        <w:t>و</w:t>
      </w:r>
      <w:r w:rsidRPr="00D0065C">
        <w:rPr>
          <w:rFonts w:ascii="Traditional Arabic" w:hAnsi="Traditional Arabic" w:cs="Traditional Arabic"/>
          <w:sz w:val="30"/>
          <w:szCs w:val="30"/>
          <w:rtl/>
        </w:rPr>
        <w:t>يجب قراءة المعلومات المالية</w:t>
      </w:r>
      <w:r>
        <w:rPr>
          <w:rFonts w:ascii="Traditional Arabic" w:hAnsi="Traditional Arabic" w:cs="Traditional Arabic" w:hint="cs"/>
          <w:sz w:val="30"/>
          <w:szCs w:val="30"/>
          <w:rtl/>
        </w:rPr>
        <w:t xml:space="preserve"> </w:t>
      </w:r>
      <w:r w:rsidRPr="00D0065C">
        <w:rPr>
          <w:rFonts w:ascii="Traditional Arabic" w:hAnsi="Traditional Arabic" w:cs="Traditional Arabic"/>
          <w:sz w:val="30"/>
          <w:szCs w:val="30"/>
          <w:rtl/>
        </w:rPr>
        <w:t xml:space="preserve">التاريخية المختارة مع "الفصل </w:t>
      </w:r>
      <w:r w:rsidR="000A25F6">
        <w:rPr>
          <w:rFonts w:ascii="Traditional Arabic" w:hAnsi="Traditional Arabic" w:cs="Traditional Arabic" w:hint="cs"/>
          <w:sz w:val="30"/>
          <w:szCs w:val="30"/>
          <w:rtl/>
        </w:rPr>
        <w:t xml:space="preserve">الرابع </w:t>
      </w:r>
      <w:r w:rsidRPr="00D0065C">
        <w:rPr>
          <w:rFonts w:ascii="Traditional Arabic" w:hAnsi="Traditional Arabic" w:cs="Traditional Arabic"/>
          <w:sz w:val="30"/>
          <w:szCs w:val="30"/>
          <w:rtl/>
        </w:rPr>
        <w:t>عشر - مناقشة الإدارة وتحليلها للوضع المالي ونتائج ال</w:t>
      </w:r>
      <w:r>
        <w:rPr>
          <w:rFonts w:ascii="Traditional Arabic" w:hAnsi="Traditional Arabic" w:cs="Traditional Arabic" w:hint="cs"/>
          <w:sz w:val="30"/>
          <w:szCs w:val="30"/>
          <w:rtl/>
        </w:rPr>
        <w:t>أعمال</w:t>
      </w:r>
      <w:r w:rsidRPr="00D0065C">
        <w:rPr>
          <w:rFonts w:ascii="Traditional Arabic" w:hAnsi="Traditional Arabic" w:cs="Traditional Arabic"/>
          <w:sz w:val="30"/>
          <w:szCs w:val="30"/>
          <w:rtl/>
        </w:rPr>
        <w:t xml:space="preserve">"، والبيانات المالية، بما في ذلك </w:t>
      </w:r>
      <w:r w:rsidRPr="00D0065C">
        <w:rPr>
          <w:rFonts w:ascii="Traditional Arabic" w:hAnsi="Traditional Arabic" w:cs="Traditional Arabic"/>
          <w:sz w:val="30"/>
          <w:szCs w:val="30"/>
          <w:rtl/>
          <w:lang w:bidi="ar-OM"/>
        </w:rPr>
        <w:t>الإيضاحات</w:t>
      </w:r>
      <w:r w:rsidRPr="00D0065C">
        <w:rPr>
          <w:rFonts w:ascii="Traditional Arabic" w:hAnsi="Traditional Arabic" w:cs="Traditional Arabic"/>
          <w:sz w:val="30"/>
          <w:szCs w:val="30"/>
          <w:rtl/>
        </w:rPr>
        <w:t xml:space="preserve"> ذات الصلة، الواردة في هذه النشرة.</w:t>
      </w:r>
    </w:p>
    <w:p w14:paraId="17CF73EA" w14:textId="77777777" w:rsidR="00543052" w:rsidRDefault="00543052" w:rsidP="00543052">
      <w:pPr>
        <w:autoSpaceDE w:val="0"/>
        <w:autoSpaceDN w:val="0"/>
        <w:bidi/>
        <w:adjustRightInd w:val="0"/>
        <w:jc w:val="both"/>
        <w:rPr>
          <w:rFonts w:ascii="Traditional Arabic" w:hAnsi="Traditional Arabic" w:cs="Traditional Arabic"/>
          <w:sz w:val="30"/>
          <w:szCs w:val="30"/>
          <w:rtl/>
          <w:lang w:bidi="ar-EG"/>
        </w:rPr>
      </w:pPr>
    </w:p>
    <w:p w14:paraId="0C9E8917" w14:textId="77777777" w:rsidR="004B02D5" w:rsidRDefault="004B02D5" w:rsidP="004B02D5">
      <w:pPr>
        <w:autoSpaceDE w:val="0"/>
        <w:autoSpaceDN w:val="0"/>
        <w:bidi/>
        <w:adjustRightInd w:val="0"/>
        <w:jc w:val="both"/>
        <w:rPr>
          <w:rFonts w:ascii="Traditional Arabic" w:hAnsi="Traditional Arabic" w:cs="Traditional Arabic"/>
          <w:b/>
          <w:bCs/>
          <w:sz w:val="30"/>
          <w:szCs w:val="30"/>
          <w:rtl/>
          <w:lang w:bidi="ar-EG"/>
        </w:rPr>
      </w:pPr>
      <w:r>
        <w:rPr>
          <w:rFonts w:ascii="Traditional Arabic" w:hAnsi="Traditional Arabic" w:cs="Traditional Arabic" w:hint="cs"/>
          <w:b/>
          <w:bCs/>
          <w:sz w:val="30"/>
          <w:szCs w:val="30"/>
          <w:rtl/>
          <w:lang w:bidi="ar-EG"/>
        </w:rPr>
        <w:t>بيان الربح والخسارة والدخل الشامل الآخر الموحد (ر.ع)</w:t>
      </w:r>
    </w:p>
    <w:tbl>
      <w:tblPr>
        <w:bidiVisual/>
        <w:tblW w:w="9048" w:type="dxa"/>
        <w:tblInd w:w="437" w:type="dxa"/>
        <w:tblLayout w:type="fixed"/>
        <w:tblCellMar>
          <w:left w:w="0" w:type="dxa"/>
          <w:right w:w="0" w:type="dxa"/>
        </w:tblCellMar>
        <w:tblLook w:val="0020" w:firstRow="1" w:lastRow="0" w:firstColumn="0" w:lastColumn="0" w:noHBand="0" w:noVBand="0"/>
      </w:tblPr>
      <w:tblGrid>
        <w:gridCol w:w="3141"/>
        <w:gridCol w:w="235"/>
        <w:gridCol w:w="901"/>
        <w:gridCol w:w="235"/>
        <w:gridCol w:w="900"/>
        <w:gridCol w:w="234"/>
        <w:gridCol w:w="900"/>
        <w:gridCol w:w="234"/>
        <w:gridCol w:w="900"/>
        <w:gridCol w:w="234"/>
        <w:gridCol w:w="900"/>
        <w:gridCol w:w="234"/>
      </w:tblGrid>
      <w:tr w:rsidR="003A4750" w:rsidRPr="00B02BA3" w14:paraId="38E9CAD0" w14:textId="77777777" w:rsidTr="003A4750">
        <w:trPr>
          <w:tblHeader/>
        </w:trPr>
        <w:tc>
          <w:tcPr>
            <w:tcW w:w="3141" w:type="dxa"/>
            <w:vAlign w:val="bottom"/>
          </w:tcPr>
          <w:p w14:paraId="38FDE9DC" w14:textId="77777777" w:rsidR="003A4750" w:rsidRPr="00B02BA3" w:rsidRDefault="003A4750" w:rsidP="003A4750">
            <w:pPr>
              <w:pStyle w:val="VSmCellHead"/>
              <w:bidi/>
            </w:pPr>
          </w:p>
        </w:tc>
        <w:tc>
          <w:tcPr>
            <w:tcW w:w="235" w:type="dxa"/>
            <w:vAlign w:val="bottom"/>
          </w:tcPr>
          <w:p w14:paraId="000160BC" w14:textId="77777777" w:rsidR="003A4750" w:rsidRPr="00B02BA3" w:rsidRDefault="003A4750" w:rsidP="003A4750">
            <w:pPr>
              <w:pStyle w:val="CellRowSpacer"/>
              <w:spacing w:after="120"/>
              <w:rPr>
                <w:sz w:val="17"/>
              </w:rPr>
            </w:pPr>
          </w:p>
        </w:tc>
        <w:tc>
          <w:tcPr>
            <w:tcW w:w="3170" w:type="dxa"/>
            <w:gridSpan w:val="5"/>
            <w:tcBorders>
              <w:bottom w:val="single" w:sz="4" w:space="0" w:color="auto"/>
            </w:tcBorders>
            <w:vAlign w:val="bottom"/>
          </w:tcPr>
          <w:p w14:paraId="4FE8CE88" w14:textId="77777777" w:rsidR="003A4750" w:rsidRPr="00B02BA3" w:rsidRDefault="003A4750" w:rsidP="003A4750">
            <w:pPr>
              <w:pStyle w:val="VSmCellHead"/>
              <w:jc w:val="center"/>
            </w:pPr>
            <w:r w:rsidRPr="00B02BA3">
              <w:t>Year Ended 31 December</w:t>
            </w:r>
          </w:p>
        </w:tc>
        <w:tc>
          <w:tcPr>
            <w:tcW w:w="234" w:type="dxa"/>
            <w:vAlign w:val="bottom"/>
          </w:tcPr>
          <w:p w14:paraId="31482721" w14:textId="77777777" w:rsidR="003A4750" w:rsidRPr="00B02BA3" w:rsidRDefault="003A4750" w:rsidP="003A4750">
            <w:pPr>
              <w:pStyle w:val="CellRowSpacer"/>
              <w:spacing w:after="120"/>
              <w:jc w:val="center"/>
              <w:rPr>
                <w:sz w:val="17"/>
              </w:rPr>
            </w:pPr>
          </w:p>
        </w:tc>
        <w:tc>
          <w:tcPr>
            <w:tcW w:w="2034" w:type="dxa"/>
            <w:gridSpan w:val="3"/>
            <w:tcBorders>
              <w:bottom w:val="single" w:sz="4" w:space="0" w:color="auto"/>
            </w:tcBorders>
            <w:vAlign w:val="bottom"/>
          </w:tcPr>
          <w:p w14:paraId="3811D7A8" w14:textId="77777777" w:rsidR="003A4750" w:rsidRPr="00B02BA3" w:rsidRDefault="003A4750" w:rsidP="003A4750">
            <w:pPr>
              <w:pStyle w:val="VSmCellHead"/>
              <w:jc w:val="center"/>
            </w:pPr>
            <w:r w:rsidRPr="00B02BA3">
              <w:t>Nine Months Ended 30 September</w:t>
            </w:r>
          </w:p>
        </w:tc>
        <w:tc>
          <w:tcPr>
            <w:tcW w:w="234" w:type="dxa"/>
            <w:vAlign w:val="bottom"/>
          </w:tcPr>
          <w:p w14:paraId="1F8B2A7D" w14:textId="77777777" w:rsidR="003A4750" w:rsidRPr="00B02BA3" w:rsidRDefault="003A4750" w:rsidP="003A4750">
            <w:pPr>
              <w:pStyle w:val="CellRowSpacer"/>
              <w:spacing w:after="120"/>
              <w:rPr>
                <w:sz w:val="17"/>
              </w:rPr>
            </w:pPr>
          </w:p>
        </w:tc>
      </w:tr>
      <w:tr w:rsidR="003A4750" w:rsidRPr="00B02BA3" w14:paraId="4B777257" w14:textId="77777777" w:rsidTr="003A4750">
        <w:tc>
          <w:tcPr>
            <w:tcW w:w="3141" w:type="dxa"/>
            <w:vAlign w:val="bottom"/>
          </w:tcPr>
          <w:p w14:paraId="7C165963" w14:textId="77777777" w:rsidR="003A4750" w:rsidRPr="00B02BA3" w:rsidRDefault="003A4750" w:rsidP="003A4750">
            <w:pPr>
              <w:pStyle w:val="VSmCellBody"/>
              <w:tabs>
                <w:tab w:val="right" w:leader="dot" w:pos="3163"/>
              </w:tabs>
              <w:bidi/>
            </w:pPr>
          </w:p>
        </w:tc>
        <w:tc>
          <w:tcPr>
            <w:tcW w:w="235" w:type="dxa"/>
            <w:vAlign w:val="bottom"/>
          </w:tcPr>
          <w:p w14:paraId="00702447" w14:textId="77777777" w:rsidR="003A4750" w:rsidRPr="00B02BA3" w:rsidRDefault="003A4750" w:rsidP="003A4750">
            <w:pPr>
              <w:pStyle w:val="CellRowSpacer"/>
              <w:rPr>
                <w:sz w:val="17"/>
              </w:rPr>
            </w:pPr>
          </w:p>
        </w:tc>
        <w:tc>
          <w:tcPr>
            <w:tcW w:w="901" w:type="dxa"/>
            <w:tcBorders>
              <w:top w:val="single" w:sz="4" w:space="0" w:color="auto"/>
              <w:bottom w:val="single" w:sz="4" w:space="0" w:color="auto"/>
            </w:tcBorders>
            <w:vAlign w:val="bottom"/>
          </w:tcPr>
          <w:p w14:paraId="692C6E43" w14:textId="77777777" w:rsidR="003A4750" w:rsidRPr="00B02BA3" w:rsidRDefault="003A4750" w:rsidP="003A4750">
            <w:pPr>
              <w:pStyle w:val="VSmCellBody"/>
              <w:jc w:val="right"/>
              <w:rPr>
                <w:b/>
                <w:bCs/>
              </w:rPr>
            </w:pPr>
            <w:r w:rsidRPr="00B02BA3">
              <w:rPr>
                <w:b/>
                <w:bCs/>
              </w:rPr>
              <w:t>2021</w:t>
            </w:r>
          </w:p>
        </w:tc>
        <w:tc>
          <w:tcPr>
            <w:tcW w:w="235" w:type="dxa"/>
            <w:tcBorders>
              <w:top w:val="single" w:sz="4" w:space="0" w:color="auto"/>
            </w:tcBorders>
            <w:vAlign w:val="bottom"/>
          </w:tcPr>
          <w:p w14:paraId="688F0290" w14:textId="77777777" w:rsidR="003A4750" w:rsidRPr="00B02BA3" w:rsidRDefault="003A4750" w:rsidP="003A4750">
            <w:pPr>
              <w:pStyle w:val="CellRowSpacer"/>
              <w:rPr>
                <w:b/>
                <w:bCs/>
                <w:sz w:val="17"/>
              </w:rPr>
            </w:pPr>
          </w:p>
        </w:tc>
        <w:tc>
          <w:tcPr>
            <w:tcW w:w="900" w:type="dxa"/>
            <w:tcBorders>
              <w:top w:val="single" w:sz="4" w:space="0" w:color="auto"/>
              <w:bottom w:val="single" w:sz="4" w:space="0" w:color="auto"/>
            </w:tcBorders>
            <w:vAlign w:val="bottom"/>
          </w:tcPr>
          <w:p w14:paraId="51624E24" w14:textId="77777777" w:rsidR="003A4750" w:rsidRPr="00B02BA3" w:rsidRDefault="003A4750" w:rsidP="003A4750">
            <w:pPr>
              <w:pStyle w:val="VSmCellBody"/>
              <w:jc w:val="right"/>
              <w:rPr>
                <w:b/>
                <w:bCs/>
              </w:rPr>
            </w:pPr>
            <w:r w:rsidRPr="00B02BA3">
              <w:rPr>
                <w:b/>
                <w:bCs/>
              </w:rPr>
              <w:t>2022</w:t>
            </w:r>
          </w:p>
        </w:tc>
        <w:tc>
          <w:tcPr>
            <w:tcW w:w="234" w:type="dxa"/>
            <w:tcBorders>
              <w:top w:val="single" w:sz="4" w:space="0" w:color="auto"/>
            </w:tcBorders>
            <w:vAlign w:val="bottom"/>
          </w:tcPr>
          <w:p w14:paraId="435C9046" w14:textId="77777777" w:rsidR="003A4750" w:rsidRPr="00B02BA3" w:rsidRDefault="003A4750" w:rsidP="003A4750">
            <w:pPr>
              <w:pStyle w:val="CellRowSpacer"/>
              <w:rPr>
                <w:b/>
                <w:bCs/>
                <w:sz w:val="17"/>
              </w:rPr>
            </w:pPr>
          </w:p>
        </w:tc>
        <w:tc>
          <w:tcPr>
            <w:tcW w:w="900" w:type="dxa"/>
            <w:tcBorders>
              <w:top w:val="single" w:sz="4" w:space="0" w:color="auto"/>
              <w:bottom w:val="single" w:sz="4" w:space="0" w:color="auto"/>
            </w:tcBorders>
            <w:vAlign w:val="bottom"/>
          </w:tcPr>
          <w:p w14:paraId="5117950F" w14:textId="77777777" w:rsidR="003A4750" w:rsidRPr="00B02BA3" w:rsidRDefault="003A4750" w:rsidP="003A4750">
            <w:pPr>
              <w:pStyle w:val="VSmCellBody"/>
              <w:jc w:val="right"/>
              <w:rPr>
                <w:b/>
                <w:bCs/>
              </w:rPr>
            </w:pPr>
            <w:r w:rsidRPr="00B02BA3">
              <w:rPr>
                <w:b/>
                <w:bCs/>
              </w:rPr>
              <w:t>2023</w:t>
            </w:r>
          </w:p>
        </w:tc>
        <w:tc>
          <w:tcPr>
            <w:tcW w:w="234" w:type="dxa"/>
            <w:vAlign w:val="bottom"/>
          </w:tcPr>
          <w:p w14:paraId="10BE532B" w14:textId="77777777" w:rsidR="003A4750" w:rsidRPr="00B02BA3" w:rsidRDefault="003A4750" w:rsidP="003A4750">
            <w:pPr>
              <w:pStyle w:val="CellRowSpacer"/>
              <w:rPr>
                <w:b/>
                <w:bCs/>
                <w:sz w:val="17"/>
              </w:rPr>
            </w:pPr>
          </w:p>
        </w:tc>
        <w:tc>
          <w:tcPr>
            <w:tcW w:w="900" w:type="dxa"/>
            <w:tcBorders>
              <w:top w:val="single" w:sz="4" w:space="0" w:color="auto"/>
              <w:bottom w:val="single" w:sz="4" w:space="0" w:color="auto"/>
            </w:tcBorders>
            <w:vAlign w:val="bottom"/>
          </w:tcPr>
          <w:p w14:paraId="70894F9E" w14:textId="77777777" w:rsidR="003A4750" w:rsidRPr="00B02BA3" w:rsidRDefault="003A4750" w:rsidP="003A4750">
            <w:pPr>
              <w:pStyle w:val="VSmCellBody"/>
              <w:jc w:val="right"/>
              <w:rPr>
                <w:b/>
                <w:bCs/>
              </w:rPr>
            </w:pPr>
            <w:r w:rsidRPr="00B02BA3">
              <w:rPr>
                <w:b/>
                <w:bCs/>
              </w:rPr>
              <w:t>2023</w:t>
            </w:r>
          </w:p>
        </w:tc>
        <w:tc>
          <w:tcPr>
            <w:tcW w:w="234" w:type="dxa"/>
            <w:tcBorders>
              <w:top w:val="single" w:sz="4" w:space="0" w:color="auto"/>
            </w:tcBorders>
            <w:vAlign w:val="bottom"/>
          </w:tcPr>
          <w:p w14:paraId="5EC046AD" w14:textId="77777777" w:rsidR="003A4750" w:rsidRPr="00B02BA3" w:rsidRDefault="003A4750" w:rsidP="003A4750">
            <w:pPr>
              <w:pStyle w:val="CellRowSpacer"/>
              <w:rPr>
                <w:b/>
                <w:bCs/>
                <w:sz w:val="17"/>
              </w:rPr>
            </w:pPr>
          </w:p>
        </w:tc>
        <w:tc>
          <w:tcPr>
            <w:tcW w:w="900" w:type="dxa"/>
            <w:tcBorders>
              <w:top w:val="single" w:sz="4" w:space="0" w:color="auto"/>
              <w:bottom w:val="single" w:sz="4" w:space="0" w:color="auto"/>
            </w:tcBorders>
            <w:vAlign w:val="bottom"/>
          </w:tcPr>
          <w:p w14:paraId="11643271" w14:textId="77777777" w:rsidR="003A4750" w:rsidRPr="00B02BA3" w:rsidRDefault="003A4750" w:rsidP="003A4750">
            <w:pPr>
              <w:pStyle w:val="VSmCellBody"/>
              <w:jc w:val="right"/>
              <w:rPr>
                <w:b/>
                <w:bCs/>
              </w:rPr>
            </w:pPr>
            <w:r w:rsidRPr="00B02BA3">
              <w:rPr>
                <w:b/>
                <w:bCs/>
              </w:rPr>
              <w:t>2024</w:t>
            </w:r>
          </w:p>
        </w:tc>
        <w:tc>
          <w:tcPr>
            <w:tcW w:w="234" w:type="dxa"/>
            <w:vAlign w:val="bottom"/>
          </w:tcPr>
          <w:p w14:paraId="4BEFD97D" w14:textId="77777777" w:rsidR="003A4750" w:rsidRPr="00B02BA3" w:rsidRDefault="003A4750" w:rsidP="003A4750">
            <w:pPr>
              <w:pStyle w:val="CellRowSpacer"/>
              <w:rPr>
                <w:sz w:val="17"/>
              </w:rPr>
            </w:pPr>
          </w:p>
        </w:tc>
      </w:tr>
      <w:tr w:rsidR="003A4750" w:rsidRPr="00B02BA3" w14:paraId="6F948C26" w14:textId="77777777" w:rsidTr="003A4750">
        <w:tc>
          <w:tcPr>
            <w:tcW w:w="3141" w:type="dxa"/>
            <w:vAlign w:val="bottom"/>
          </w:tcPr>
          <w:p w14:paraId="406A5CF4" w14:textId="77777777" w:rsidR="003A4750" w:rsidRPr="00B02BA3" w:rsidRDefault="003A4750" w:rsidP="003A4750">
            <w:pPr>
              <w:pStyle w:val="VSmCellBody"/>
              <w:tabs>
                <w:tab w:val="right" w:leader="dot" w:pos="3163"/>
              </w:tabs>
              <w:bidi/>
              <w:jc w:val="center"/>
              <w:rPr>
                <w:i/>
                <w:iCs/>
              </w:rPr>
            </w:pPr>
          </w:p>
        </w:tc>
        <w:tc>
          <w:tcPr>
            <w:tcW w:w="235" w:type="dxa"/>
            <w:vAlign w:val="bottom"/>
          </w:tcPr>
          <w:p w14:paraId="4B7CE551" w14:textId="77777777" w:rsidR="003A4750" w:rsidRPr="00B02BA3" w:rsidRDefault="003A4750" w:rsidP="003A4750">
            <w:pPr>
              <w:pStyle w:val="CellRowSpacer"/>
              <w:jc w:val="center"/>
              <w:rPr>
                <w:i/>
                <w:iCs/>
                <w:sz w:val="17"/>
              </w:rPr>
            </w:pPr>
          </w:p>
        </w:tc>
        <w:tc>
          <w:tcPr>
            <w:tcW w:w="5438" w:type="dxa"/>
            <w:gridSpan w:val="9"/>
            <w:vAlign w:val="bottom"/>
          </w:tcPr>
          <w:p w14:paraId="117624C1" w14:textId="77777777" w:rsidR="003A4750" w:rsidRPr="00B02BA3" w:rsidRDefault="003A4750" w:rsidP="003A4750">
            <w:pPr>
              <w:pStyle w:val="VSmCellBody"/>
              <w:jc w:val="center"/>
              <w:rPr>
                <w:i/>
                <w:iCs/>
              </w:rPr>
            </w:pPr>
            <w:r w:rsidRPr="00B02BA3">
              <w:rPr>
                <w:i/>
                <w:iCs/>
              </w:rPr>
              <w:t xml:space="preserve">(OMR </w:t>
            </w:r>
            <w:r>
              <w:rPr>
                <w:i/>
                <w:iCs/>
              </w:rPr>
              <w:t>millions</w:t>
            </w:r>
            <w:r w:rsidRPr="00B02BA3">
              <w:rPr>
                <w:i/>
                <w:iCs/>
              </w:rPr>
              <w:t>)</w:t>
            </w:r>
          </w:p>
        </w:tc>
        <w:tc>
          <w:tcPr>
            <w:tcW w:w="234" w:type="dxa"/>
            <w:vAlign w:val="bottom"/>
          </w:tcPr>
          <w:p w14:paraId="7C6CA8CC" w14:textId="77777777" w:rsidR="003A4750" w:rsidRPr="00B02BA3" w:rsidRDefault="003A4750" w:rsidP="003A4750">
            <w:pPr>
              <w:pStyle w:val="CellRowSpacer"/>
              <w:jc w:val="center"/>
              <w:rPr>
                <w:i/>
                <w:iCs/>
                <w:sz w:val="17"/>
              </w:rPr>
            </w:pPr>
          </w:p>
        </w:tc>
      </w:tr>
      <w:tr w:rsidR="003A4750" w:rsidRPr="00B02BA3" w14:paraId="4FD471B1" w14:textId="77777777" w:rsidTr="003A4750">
        <w:tc>
          <w:tcPr>
            <w:tcW w:w="3141" w:type="dxa"/>
            <w:vAlign w:val="bottom"/>
          </w:tcPr>
          <w:p w14:paraId="30D17954" w14:textId="77777777" w:rsidR="003A4750" w:rsidRPr="00B02BA3" w:rsidRDefault="003A4750" w:rsidP="003A4750">
            <w:pPr>
              <w:pStyle w:val="VSmCellBody"/>
              <w:tabs>
                <w:tab w:val="right" w:leader="dot" w:pos="3163"/>
              </w:tabs>
              <w:bidi/>
              <w:ind w:left="407"/>
            </w:pPr>
            <w:r>
              <w:rPr>
                <w:rFonts w:hint="cs"/>
                <w:rtl/>
              </w:rPr>
              <w:t>الإيرادات من العقود مع العملاء</w:t>
            </w:r>
            <w:r w:rsidRPr="00B02BA3">
              <w:rPr>
                <w:szCs w:val="17"/>
              </w:rPr>
              <w:tab/>
            </w:r>
          </w:p>
        </w:tc>
        <w:tc>
          <w:tcPr>
            <w:tcW w:w="235" w:type="dxa"/>
            <w:vAlign w:val="bottom"/>
          </w:tcPr>
          <w:p w14:paraId="6F28582A" w14:textId="77777777" w:rsidR="003A4750" w:rsidRPr="00B02BA3" w:rsidRDefault="003A4750" w:rsidP="003A4750">
            <w:pPr>
              <w:pStyle w:val="CellRowSpacer"/>
              <w:rPr>
                <w:sz w:val="17"/>
              </w:rPr>
            </w:pPr>
          </w:p>
        </w:tc>
        <w:tc>
          <w:tcPr>
            <w:tcW w:w="901" w:type="dxa"/>
            <w:vAlign w:val="bottom"/>
          </w:tcPr>
          <w:p w14:paraId="79CB3C7D" w14:textId="77777777" w:rsidR="003A4750" w:rsidRPr="00B02BA3" w:rsidRDefault="003A4750" w:rsidP="003A4750">
            <w:pPr>
              <w:pStyle w:val="VSmCellBody"/>
              <w:jc w:val="right"/>
            </w:pPr>
            <w:r>
              <w:t>186.9</w:t>
            </w:r>
          </w:p>
        </w:tc>
        <w:tc>
          <w:tcPr>
            <w:tcW w:w="235" w:type="dxa"/>
            <w:vAlign w:val="bottom"/>
          </w:tcPr>
          <w:p w14:paraId="04DC83B8" w14:textId="77777777" w:rsidR="003A4750" w:rsidRPr="00B02BA3" w:rsidRDefault="003A4750" w:rsidP="003A4750">
            <w:pPr>
              <w:pStyle w:val="CellRowSpacer"/>
              <w:rPr>
                <w:sz w:val="17"/>
              </w:rPr>
            </w:pPr>
          </w:p>
        </w:tc>
        <w:tc>
          <w:tcPr>
            <w:tcW w:w="900" w:type="dxa"/>
            <w:vAlign w:val="bottom"/>
          </w:tcPr>
          <w:p w14:paraId="1AB5EA82" w14:textId="77777777" w:rsidR="003A4750" w:rsidRPr="00B02BA3" w:rsidRDefault="003A4750" w:rsidP="003A4750">
            <w:pPr>
              <w:pStyle w:val="VSmCellBody"/>
              <w:jc w:val="right"/>
            </w:pPr>
            <w:r w:rsidRPr="00B02BA3">
              <w:t>266</w:t>
            </w:r>
            <w:r>
              <w:t>.</w:t>
            </w:r>
            <w:r w:rsidRPr="00B02BA3">
              <w:t>4</w:t>
            </w:r>
          </w:p>
        </w:tc>
        <w:tc>
          <w:tcPr>
            <w:tcW w:w="234" w:type="dxa"/>
            <w:vAlign w:val="bottom"/>
          </w:tcPr>
          <w:p w14:paraId="4FF24DB3" w14:textId="77777777" w:rsidR="003A4750" w:rsidRPr="00B02BA3" w:rsidRDefault="003A4750" w:rsidP="003A4750">
            <w:pPr>
              <w:pStyle w:val="CellRowSpacer"/>
              <w:rPr>
                <w:sz w:val="17"/>
              </w:rPr>
            </w:pPr>
          </w:p>
        </w:tc>
        <w:tc>
          <w:tcPr>
            <w:tcW w:w="900" w:type="dxa"/>
            <w:vAlign w:val="bottom"/>
          </w:tcPr>
          <w:p w14:paraId="1D9BA904" w14:textId="77777777" w:rsidR="003A4750" w:rsidRPr="00B02BA3" w:rsidRDefault="003A4750" w:rsidP="003A4750">
            <w:pPr>
              <w:pStyle w:val="VSmCellBody"/>
              <w:jc w:val="right"/>
            </w:pPr>
            <w:r w:rsidRPr="00B02BA3">
              <w:t>217</w:t>
            </w:r>
            <w:r>
              <w:t>.</w:t>
            </w:r>
            <w:r w:rsidRPr="00B02BA3">
              <w:t>0</w:t>
            </w:r>
          </w:p>
        </w:tc>
        <w:tc>
          <w:tcPr>
            <w:tcW w:w="234" w:type="dxa"/>
            <w:vAlign w:val="bottom"/>
          </w:tcPr>
          <w:p w14:paraId="77AFC1E3" w14:textId="77777777" w:rsidR="003A4750" w:rsidRPr="00B02BA3" w:rsidRDefault="003A4750" w:rsidP="003A4750">
            <w:pPr>
              <w:pStyle w:val="CellRowSpacer"/>
              <w:rPr>
                <w:sz w:val="17"/>
              </w:rPr>
            </w:pPr>
          </w:p>
        </w:tc>
        <w:tc>
          <w:tcPr>
            <w:tcW w:w="900" w:type="dxa"/>
            <w:vAlign w:val="bottom"/>
          </w:tcPr>
          <w:p w14:paraId="2CAE0D96" w14:textId="77777777" w:rsidR="003A4750" w:rsidRPr="00B02BA3" w:rsidRDefault="003A4750" w:rsidP="003A4750">
            <w:pPr>
              <w:pStyle w:val="VSmCellBody"/>
              <w:jc w:val="right"/>
            </w:pPr>
            <w:r>
              <w:t>112.2</w:t>
            </w:r>
          </w:p>
        </w:tc>
        <w:tc>
          <w:tcPr>
            <w:tcW w:w="234" w:type="dxa"/>
            <w:vAlign w:val="bottom"/>
          </w:tcPr>
          <w:p w14:paraId="2C4C1187" w14:textId="77777777" w:rsidR="003A4750" w:rsidRPr="00B02BA3" w:rsidRDefault="003A4750" w:rsidP="003A4750">
            <w:pPr>
              <w:pStyle w:val="CellRowSpacer"/>
              <w:rPr>
                <w:sz w:val="17"/>
              </w:rPr>
            </w:pPr>
          </w:p>
        </w:tc>
        <w:tc>
          <w:tcPr>
            <w:tcW w:w="900" w:type="dxa"/>
            <w:vAlign w:val="bottom"/>
          </w:tcPr>
          <w:p w14:paraId="7D49404E" w14:textId="77777777" w:rsidR="003A4750" w:rsidRPr="00B02BA3" w:rsidRDefault="003A4750" w:rsidP="003A4750">
            <w:pPr>
              <w:pStyle w:val="VSmCellBody"/>
              <w:jc w:val="right"/>
            </w:pPr>
            <w:r>
              <w:t>81.3</w:t>
            </w:r>
          </w:p>
        </w:tc>
        <w:tc>
          <w:tcPr>
            <w:tcW w:w="234" w:type="dxa"/>
            <w:vAlign w:val="bottom"/>
          </w:tcPr>
          <w:p w14:paraId="7E34EF7C" w14:textId="77777777" w:rsidR="003A4750" w:rsidRPr="00B02BA3" w:rsidRDefault="003A4750" w:rsidP="003A4750">
            <w:pPr>
              <w:pStyle w:val="CellRowSpacer"/>
              <w:rPr>
                <w:sz w:val="17"/>
              </w:rPr>
            </w:pPr>
          </w:p>
        </w:tc>
      </w:tr>
      <w:tr w:rsidR="003A4750" w:rsidRPr="00B02BA3" w14:paraId="4F47458C" w14:textId="77777777" w:rsidTr="003A4750">
        <w:tc>
          <w:tcPr>
            <w:tcW w:w="3141" w:type="dxa"/>
            <w:vAlign w:val="bottom"/>
          </w:tcPr>
          <w:p w14:paraId="241A60B4" w14:textId="77777777" w:rsidR="003A4750" w:rsidRPr="00B02BA3" w:rsidRDefault="003A4750" w:rsidP="003A4750">
            <w:pPr>
              <w:pStyle w:val="VSmCellBody"/>
              <w:tabs>
                <w:tab w:val="right" w:leader="dot" w:pos="3163"/>
              </w:tabs>
              <w:bidi/>
              <w:ind w:left="407"/>
            </w:pPr>
            <w:r>
              <w:rPr>
                <w:rFonts w:hint="cs"/>
                <w:rtl/>
              </w:rPr>
              <w:t>الدخل من الإجارة التشغيلية</w:t>
            </w:r>
            <w:r w:rsidRPr="00B02BA3">
              <w:rPr>
                <w:szCs w:val="17"/>
              </w:rPr>
              <w:tab/>
            </w:r>
          </w:p>
        </w:tc>
        <w:tc>
          <w:tcPr>
            <w:tcW w:w="235" w:type="dxa"/>
            <w:vAlign w:val="bottom"/>
          </w:tcPr>
          <w:p w14:paraId="22FCA538" w14:textId="77777777" w:rsidR="003A4750" w:rsidRPr="00B02BA3" w:rsidRDefault="003A4750" w:rsidP="003A4750">
            <w:pPr>
              <w:pStyle w:val="CellRowSpacer"/>
              <w:rPr>
                <w:sz w:val="17"/>
              </w:rPr>
            </w:pPr>
          </w:p>
        </w:tc>
        <w:tc>
          <w:tcPr>
            <w:tcW w:w="901" w:type="dxa"/>
            <w:vAlign w:val="bottom"/>
          </w:tcPr>
          <w:p w14:paraId="515B284A" w14:textId="77777777" w:rsidR="003A4750" w:rsidRPr="00B02BA3" w:rsidRDefault="003A4750" w:rsidP="003A4750">
            <w:pPr>
              <w:pStyle w:val="VSmCellBody"/>
              <w:jc w:val="right"/>
            </w:pPr>
            <w:r>
              <w:t>38.4</w:t>
            </w:r>
          </w:p>
        </w:tc>
        <w:tc>
          <w:tcPr>
            <w:tcW w:w="235" w:type="dxa"/>
            <w:vAlign w:val="bottom"/>
          </w:tcPr>
          <w:p w14:paraId="31257BA5" w14:textId="77777777" w:rsidR="003A4750" w:rsidRPr="00B02BA3" w:rsidRDefault="003A4750" w:rsidP="003A4750">
            <w:pPr>
              <w:pStyle w:val="CellRowSpacer"/>
              <w:rPr>
                <w:sz w:val="17"/>
              </w:rPr>
            </w:pPr>
          </w:p>
        </w:tc>
        <w:tc>
          <w:tcPr>
            <w:tcW w:w="900" w:type="dxa"/>
            <w:vAlign w:val="bottom"/>
          </w:tcPr>
          <w:p w14:paraId="06053DD7" w14:textId="77777777" w:rsidR="003A4750" w:rsidRPr="00B02BA3" w:rsidRDefault="003A4750" w:rsidP="003A4750">
            <w:pPr>
              <w:pStyle w:val="VSmCellBody"/>
              <w:jc w:val="right"/>
            </w:pPr>
            <w:r w:rsidRPr="00B02BA3">
              <w:t>63</w:t>
            </w:r>
            <w:r>
              <w:t>.</w:t>
            </w:r>
            <w:r w:rsidRPr="00B02BA3">
              <w:t>9</w:t>
            </w:r>
          </w:p>
        </w:tc>
        <w:tc>
          <w:tcPr>
            <w:tcW w:w="234" w:type="dxa"/>
            <w:vAlign w:val="bottom"/>
          </w:tcPr>
          <w:p w14:paraId="12220CDE" w14:textId="77777777" w:rsidR="003A4750" w:rsidRPr="00B02BA3" w:rsidRDefault="003A4750" w:rsidP="003A4750">
            <w:pPr>
              <w:pStyle w:val="CellRowSpacer"/>
              <w:rPr>
                <w:sz w:val="17"/>
              </w:rPr>
            </w:pPr>
          </w:p>
        </w:tc>
        <w:tc>
          <w:tcPr>
            <w:tcW w:w="900" w:type="dxa"/>
            <w:vAlign w:val="bottom"/>
          </w:tcPr>
          <w:p w14:paraId="3F54571F" w14:textId="77777777" w:rsidR="003A4750" w:rsidRPr="00B02BA3" w:rsidRDefault="003A4750" w:rsidP="003A4750">
            <w:pPr>
              <w:pStyle w:val="VSmCellBody"/>
              <w:jc w:val="right"/>
            </w:pPr>
            <w:r w:rsidRPr="00B02BA3">
              <w:t>129</w:t>
            </w:r>
            <w:r>
              <w:t>.8</w:t>
            </w:r>
          </w:p>
        </w:tc>
        <w:tc>
          <w:tcPr>
            <w:tcW w:w="234" w:type="dxa"/>
            <w:vAlign w:val="bottom"/>
          </w:tcPr>
          <w:p w14:paraId="219F1C20" w14:textId="77777777" w:rsidR="003A4750" w:rsidRPr="00B02BA3" w:rsidRDefault="003A4750" w:rsidP="003A4750">
            <w:pPr>
              <w:pStyle w:val="CellRowSpacer"/>
              <w:rPr>
                <w:sz w:val="17"/>
              </w:rPr>
            </w:pPr>
          </w:p>
        </w:tc>
        <w:tc>
          <w:tcPr>
            <w:tcW w:w="900" w:type="dxa"/>
            <w:vAlign w:val="bottom"/>
          </w:tcPr>
          <w:p w14:paraId="7006C59F" w14:textId="77777777" w:rsidR="003A4750" w:rsidRPr="00B02BA3" w:rsidRDefault="003A4750" w:rsidP="003A4750">
            <w:pPr>
              <w:pStyle w:val="VSmCellBody"/>
              <w:jc w:val="right"/>
            </w:pPr>
            <w:r>
              <w:t>149.6</w:t>
            </w:r>
          </w:p>
        </w:tc>
        <w:tc>
          <w:tcPr>
            <w:tcW w:w="234" w:type="dxa"/>
            <w:vAlign w:val="bottom"/>
          </w:tcPr>
          <w:p w14:paraId="4ED86856" w14:textId="77777777" w:rsidR="003A4750" w:rsidRPr="00B02BA3" w:rsidRDefault="003A4750" w:rsidP="003A4750">
            <w:pPr>
              <w:pStyle w:val="CellRowSpacer"/>
              <w:rPr>
                <w:sz w:val="17"/>
              </w:rPr>
            </w:pPr>
          </w:p>
        </w:tc>
        <w:tc>
          <w:tcPr>
            <w:tcW w:w="900" w:type="dxa"/>
            <w:vAlign w:val="bottom"/>
          </w:tcPr>
          <w:p w14:paraId="5F278395" w14:textId="77777777" w:rsidR="003A4750" w:rsidRPr="00B02BA3" w:rsidRDefault="003A4750" w:rsidP="003A4750">
            <w:pPr>
              <w:pStyle w:val="VSmCellBody"/>
              <w:jc w:val="right"/>
            </w:pPr>
            <w:r>
              <w:t>181.4</w:t>
            </w:r>
          </w:p>
        </w:tc>
        <w:tc>
          <w:tcPr>
            <w:tcW w:w="234" w:type="dxa"/>
            <w:vAlign w:val="bottom"/>
          </w:tcPr>
          <w:p w14:paraId="09EFCAE4" w14:textId="77777777" w:rsidR="003A4750" w:rsidRPr="00B02BA3" w:rsidRDefault="003A4750" w:rsidP="003A4750">
            <w:pPr>
              <w:pStyle w:val="CellRowSpacer"/>
              <w:rPr>
                <w:sz w:val="17"/>
              </w:rPr>
            </w:pPr>
          </w:p>
        </w:tc>
      </w:tr>
      <w:tr w:rsidR="003A4750" w:rsidRPr="00B02BA3" w14:paraId="11439527" w14:textId="77777777" w:rsidTr="003A4750">
        <w:tc>
          <w:tcPr>
            <w:tcW w:w="3141" w:type="dxa"/>
            <w:vAlign w:val="bottom"/>
          </w:tcPr>
          <w:p w14:paraId="7C43F8F4" w14:textId="77777777" w:rsidR="003A4750" w:rsidRPr="00B02BA3" w:rsidRDefault="003A4750" w:rsidP="003A4750">
            <w:pPr>
              <w:pStyle w:val="VSmCellBody"/>
              <w:tabs>
                <w:tab w:val="right" w:leader="dot" w:pos="3163"/>
              </w:tabs>
              <w:bidi/>
              <w:ind w:left="407"/>
            </w:pPr>
            <w:r>
              <w:rPr>
                <w:rFonts w:hint="cs"/>
                <w:rtl/>
              </w:rPr>
              <w:t>الدخل من الإجارة التمويلية</w:t>
            </w:r>
            <w:r w:rsidRPr="00B02BA3">
              <w:rPr>
                <w:szCs w:val="17"/>
              </w:rPr>
              <w:tab/>
            </w:r>
          </w:p>
        </w:tc>
        <w:tc>
          <w:tcPr>
            <w:tcW w:w="235" w:type="dxa"/>
            <w:vAlign w:val="bottom"/>
          </w:tcPr>
          <w:p w14:paraId="56B29476" w14:textId="77777777" w:rsidR="003A4750" w:rsidRPr="00B02BA3" w:rsidRDefault="003A4750" w:rsidP="003A4750">
            <w:pPr>
              <w:pStyle w:val="CellRowSpacer"/>
              <w:rPr>
                <w:sz w:val="17"/>
              </w:rPr>
            </w:pPr>
          </w:p>
        </w:tc>
        <w:tc>
          <w:tcPr>
            <w:tcW w:w="901" w:type="dxa"/>
            <w:vAlign w:val="bottom"/>
          </w:tcPr>
          <w:p w14:paraId="1BF65B65" w14:textId="77777777" w:rsidR="003A4750" w:rsidRPr="00B02BA3" w:rsidRDefault="003A4750" w:rsidP="003A4750">
            <w:pPr>
              <w:pStyle w:val="VSmCellBody"/>
              <w:jc w:val="right"/>
            </w:pPr>
            <w:r w:rsidRPr="00B02BA3">
              <w:t>18</w:t>
            </w:r>
            <w:r>
              <w:t>.</w:t>
            </w:r>
            <w:r w:rsidRPr="00B02BA3">
              <w:t>5</w:t>
            </w:r>
          </w:p>
        </w:tc>
        <w:tc>
          <w:tcPr>
            <w:tcW w:w="235" w:type="dxa"/>
            <w:vAlign w:val="bottom"/>
          </w:tcPr>
          <w:p w14:paraId="551CF414" w14:textId="77777777" w:rsidR="003A4750" w:rsidRPr="00B02BA3" w:rsidRDefault="003A4750" w:rsidP="003A4750">
            <w:pPr>
              <w:pStyle w:val="CellRowSpacer"/>
              <w:rPr>
                <w:sz w:val="17"/>
              </w:rPr>
            </w:pPr>
          </w:p>
        </w:tc>
        <w:tc>
          <w:tcPr>
            <w:tcW w:w="900" w:type="dxa"/>
            <w:vAlign w:val="bottom"/>
          </w:tcPr>
          <w:p w14:paraId="52CC7A8E" w14:textId="77777777" w:rsidR="003A4750" w:rsidRPr="00B02BA3" w:rsidRDefault="003A4750" w:rsidP="003A4750">
            <w:pPr>
              <w:pStyle w:val="VSmCellBody"/>
              <w:jc w:val="right"/>
            </w:pPr>
            <w:r w:rsidRPr="00B02BA3">
              <w:t>17</w:t>
            </w:r>
            <w:r>
              <w:t>.8</w:t>
            </w:r>
          </w:p>
        </w:tc>
        <w:tc>
          <w:tcPr>
            <w:tcW w:w="234" w:type="dxa"/>
            <w:vAlign w:val="bottom"/>
          </w:tcPr>
          <w:p w14:paraId="09868AE2" w14:textId="77777777" w:rsidR="003A4750" w:rsidRPr="00B02BA3" w:rsidRDefault="003A4750" w:rsidP="003A4750">
            <w:pPr>
              <w:pStyle w:val="CellRowSpacer"/>
              <w:rPr>
                <w:sz w:val="17"/>
              </w:rPr>
            </w:pPr>
          </w:p>
        </w:tc>
        <w:tc>
          <w:tcPr>
            <w:tcW w:w="900" w:type="dxa"/>
            <w:vAlign w:val="bottom"/>
          </w:tcPr>
          <w:p w14:paraId="098AA5CB" w14:textId="77777777" w:rsidR="003A4750" w:rsidRPr="00B02BA3" w:rsidRDefault="003A4750" w:rsidP="003A4750">
            <w:pPr>
              <w:pStyle w:val="VSmCellBody"/>
              <w:jc w:val="right"/>
            </w:pPr>
            <w:r w:rsidRPr="00B02BA3">
              <w:t>1</w:t>
            </w:r>
            <w:r>
              <w:t>7.0</w:t>
            </w:r>
          </w:p>
        </w:tc>
        <w:tc>
          <w:tcPr>
            <w:tcW w:w="234" w:type="dxa"/>
            <w:vAlign w:val="bottom"/>
          </w:tcPr>
          <w:p w14:paraId="27071E3C" w14:textId="77777777" w:rsidR="003A4750" w:rsidRPr="00B02BA3" w:rsidRDefault="003A4750" w:rsidP="003A4750">
            <w:pPr>
              <w:pStyle w:val="CellRowSpacer"/>
              <w:rPr>
                <w:sz w:val="17"/>
              </w:rPr>
            </w:pPr>
          </w:p>
        </w:tc>
        <w:tc>
          <w:tcPr>
            <w:tcW w:w="900" w:type="dxa"/>
          </w:tcPr>
          <w:p w14:paraId="571FB432" w14:textId="77777777" w:rsidR="003A4750" w:rsidRPr="00B02BA3" w:rsidRDefault="003A4750" w:rsidP="003A4750">
            <w:pPr>
              <w:pStyle w:val="VSmCellBody"/>
              <w:jc w:val="right"/>
            </w:pPr>
            <w:r>
              <w:t>12.8</w:t>
            </w:r>
          </w:p>
        </w:tc>
        <w:tc>
          <w:tcPr>
            <w:tcW w:w="234" w:type="dxa"/>
            <w:vAlign w:val="bottom"/>
          </w:tcPr>
          <w:p w14:paraId="7650B82E" w14:textId="77777777" w:rsidR="003A4750" w:rsidRPr="00B02BA3" w:rsidRDefault="003A4750" w:rsidP="003A4750">
            <w:pPr>
              <w:pStyle w:val="CellRowSpacer"/>
              <w:rPr>
                <w:sz w:val="17"/>
              </w:rPr>
            </w:pPr>
          </w:p>
        </w:tc>
        <w:tc>
          <w:tcPr>
            <w:tcW w:w="900" w:type="dxa"/>
            <w:vAlign w:val="bottom"/>
          </w:tcPr>
          <w:p w14:paraId="11B6AAA2" w14:textId="77777777" w:rsidR="003A4750" w:rsidRPr="00B02BA3" w:rsidRDefault="003A4750" w:rsidP="003A4750">
            <w:pPr>
              <w:pStyle w:val="VSmCellBody"/>
              <w:jc w:val="right"/>
            </w:pPr>
            <w:r>
              <w:t>12.2</w:t>
            </w:r>
          </w:p>
        </w:tc>
        <w:tc>
          <w:tcPr>
            <w:tcW w:w="234" w:type="dxa"/>
            <w:vAlign w:val="bottom"/>
          </w:tcPr>
          <w:p w14:paraId="27BCCE50" w14:textId="77777777" w:rsidR="003A4750" w:rsidRPr="00B02BA3" w:rsidRDefault="003A4750" w:rsidP="003A4750">
            <w:pPr>
              <w:pStyle w:val="CellRowSpacer"/>
              <w:rPr>
                <w:sz w:val="17"/>
              </w:rPr>
            </w:pPr>
          </w:p>
        </w:tc>
      </w:tr>
      <w:tr w:rsidR="003A4750" w:rsidRPr="00B02BA3" w14:paraId="5DD758FB" w14:textId="77777777" w:rsidTr="003A4750">
        <w:tc>
          <w:tcPr>
            <w:tcW w:w="3141" w:type="dxa"/>
            <w:vAlign w:val="bottom"/>
          </w:tcPr>
          <w:p w14:paraId="68BDB495" w14:textId="77777777" w:rsidR="003A4750" w:rsidRPr="00B02BA3" w:rsidRDefault="003A4750" w:rsidP="003A4750">
            <w:pPr>
              <w:pStyle w:val="VSmCellBody"/>
              <w:tabs>
                <w:tab w:val="right" w:leader="dot" w:pos="3163"/>
              </w:tabs>
              <w:bidi/>
              <w:rPr>
                <w:b/>
                <w:bCs/>
              </w:rPr>
            </w:pPr>
            <w:r>
              <w:rPr>
                <w:rFonts w:hint="cs"/>
                <w:b/>
                <w:bCs/>
                <w:rtl/>
              </w:rPr>
              <w:t>الإيرادات</w:t>
            </w:r>
            <w:r w:rsidRPr="00B02BA3">
              <w:rPr>
                <w:szCs w:val="17"/>
              </w:rPr>
              <w:tab/>
            </w:r>
          </w:p>
        </w:tc>
        <w:tc>
          <w:tcPr>
            <w:tcW w:w="235" w:type="dxa"/>
            <w:vAlign w:val="bottom"/>
          </w:tcPr>
          <w:p w14:paraId="50C5B9E7" w14:textId="77777777" w:rsidR="003A4750" w:rsidRPr="00B02BA3" w:rsidRDefault="003A4750" w:rsidP="003A4750">
            <w:pPr>
              <w:pStyle w:val="CellRowSpacer"/>
              <w:rPr>
                <w:b/>
                <w:bCs/>
                <w:sz w:val="17"/>
              </w:rPr>
            </w:pPr>
          </w:p>
        </w:tc>
        <w:tc>
          <w:tcPr>
            <w:tcW w:w="901" w:type="dxa"/>
            <w:tcBorders>
              <w:top w:val="single" w:sz="4" w:space="0" w:color="auto"/>
            </w:tcBorders>
            <w:vAlign w:val="bottom"/>
          </w:tcPr>
          <w:p w14:paraId="4C79C3D6" w14:textId="77777777" w:rsidR="003A4750" w:rsidRPr="00B02BA3" w:rsidRDefault="003A4750" w:rsidP="003A4750">
            <w:pPr>
              <w:pStyle w:val="VSmCellBody"/>
              <w:jc w:val="right"/>
            </w:pPr>
            <w:r w:rsidRPr="00B02BA3">
              <w:t>24</w:t>
            </w:r>
            <w:r>
              <w:t>3.8</w:t>
            </w:r>
          </w:p>
        </w:tc>
        <w:tc>
          <w:tcPr>
            <w:tcW w:w="235" w:type="dxa"/>
            <w:vAlign w:val="bottom"/>
          </w:tcPr>
          <w:p w14:paraId="765AB850"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115DD186" w14:textId="77777777" w:rsidR="003A4750" w:rsidRPr="00B02BA3" w:rsidRDefault="003A4750" w:rsidP="003A4750">
            <w:pPr>
              <w:pStyle w:val="VSmCellBody"/>
              <w:jc w:val="right"/>
            </w:pPr>
            <w:r w:rsidRPr="00B02BA3">
              <w:t>348</w:t>
            </w:r>
            <w:r>
              <w:t>.</w:t>
            </w:r>
            <w:r w:rsidRPr="00B02BA3">
              <w:t>1</w:t>
            </w:r>
          </w:p>
        </w:tc>
        <w:tc>
          <w:tcPr>
            <w:tcW w:w="234" w:type="dxa"/>
            <w:vAlign w:val="bottom"/>
          </w:tcPr>
          <w:p w14:paraId="573BA9EA"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26F2649B" w14:textId="77777777" w:rsidR="003A4750" w:rsidRPr="00B02BA3" w:rsidRDefault="003A4750" w:rsidP="003A4750">
            <w:pPr>
              <w:pStyle w:val="VSmCellBody"/>
              <w:jc w:val="right"/>
            </w:pPr>
            <w:r w:rsidRPr="00B02BA3">
              <w:t>363</w:t>
            </w:r>
            <w:r>
              <w:t>.</w:t>
            </w:r>
            <w:r w:rsidRPr="00B02BA3">
              <w:t>7</w:t>
            </w:r>
          </w:p>
        </w:tc>
        <w:tc>
          <w:tcPr>
            <w:tcW w:w="234" w:type="dxa"/>
            <w:vAlign w:val="bottom"/>
          </w:tcPr>
          <w:p w14:paraId="3C0A45AE"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712006F7" w14:textId="77777777" w:rsidR="003A4750" w:rsidRPr="00B02BA3" w:rsidRDefault="003A4750" w:rsidP="003A4750">
            <w:pPr>
              <w:pStyle w:val="VSmCellBody"/>
              <w:jc w:val="right"/>
            </w:pPr>
            <w:r>
              <w:t>274.6</w:t>
            </w:r>
          </w:p>
        </w:tc>
        <w:tc>
          <w:tcPr>
            <w:tcW w:w="234" w:type="dxa"/>
            <w:vAlign w:val="bottom"/>
          </w:tcPr>
          <w:p w14:paraId="74B81B00"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55F0D725" w14:textId="77777777" w:rsidR="003A4750" w:rsidRPr="00B02BA3" w:rsidRDefault="003A4750" w:rsidP="003A4750">
            <w:pPr>
              <w:pStyle w:val="VSmCellBody"/>
              <w:jc w:val="right"/>
            </w:pPr>
            <w:r>
              <w:t>274.9</w:t>
            </w:r>
          </w:p>
        </w:tc>
        <w:tc>
          <w:tcPr>
            <w:tcW w:w="234" w:type="dxa"/>
            <w:vAlign w:val="bottom"/>
          </w:tcPr>
          <w:p w14:paraId="137A81EF" w14:textId="77777777" w:rsidR="003A4750" w:rsidRPr="00B02BA3" w:rsidRDefault="003A4750" w:rsidP="003A4750">
            <w:pPr>
              <w:pStyle w:val="CellRowSpacer"/>
              <w:rPr>
                <w:b/>
                <w:bCs/>
                <w:sz w:val="17"/>
              </w:rPr>
            </w:pPr>
          </w:p>
        </w:tc>
      </w:tr>
      <w:tr w:rsidR="003A4750" w:rsidRPr="00B02BA3" w14:paraId="0B45E027" w14:textId="77777777" w:rsidTr="003A4750">
        <w:tc>
          <w:tcPr>
            <w:tcW w:w="3141" w:type="dxa"/>
            <w:vAlign w:val="bottom"/>
          </w:tcPr>
          <w:p w14:paraId="297D8700" w14:textId="77777777" w:rsidR="003A4750" w:rsidRPr="00B02BA3" w:rsidRDefault="003A4750" w:rsidP="003A4750">
            <w:pPr>
              <w:pStyle w:val="VSmCellBody"/>
              <w:tabs>
                <w:tab w:val="right" w:leader="dot" w:pos="3163"/>
              </w:tabs>
              <w:bidi/>
              <w:ind w:left="407"/>
            </w:pPr>
            <w:r>
              <w:rPr>
                <w:rFonts w:hint="cs"/>
                <w:rtl/>
              </w:rPr>
              <w:t>تكاليف تشغيل الرحلة</w:t>
            </w:r>
            <w:r w:rsidRPr="00B02BA3">
              <w:rPr>
                <w:szCs w:val="17"/>
              </w:rPr>
              <w:tab/>
            </w:r>
          </w:p>
        </w:tc>
        <w:tc>
          <w:tcPr>
            <w:tcW w:w="235" w:type="dxa"/>
            <w:vAlign w:val="bottom"/>
          </w:tcPr>
          <w:p w14:paraId="4FB0E177" w14:textId="77777777" w:rsidR="003A4750" w:rsidRPr="00B02BA3" w:rsidRDefault="00BD76E5" w:rsidP="003A4750">
            <w:pPr>
              <w:pStyle w:val="CellRowSpacer"/>
              <w:rPr>
                <w:sz w:val="17"/>
              </w:rPr>
            </w:pPr>
            <w:r>
              <w:rPr>
                <w:sz w:val="17"/>
              </w:rPr>
              <w:t>)</w:t>
            </w:r>
          </w:p>
        </w:tc>
        <w:tc>
          <w:tcPr>
            <w:tcW w:w="901" w:type="dxa"/>
            <w:vAlign w:val="bottom"/>
          </w:tcPr>
          <w:p w14:paraId="4FC68399" w14:textId="77777777" w:rsidR="003A4750" w:rsidRPr="00B02BA3" w:rsidRDefault="003A4750" w:rsidP="003A4750">
            <w:pPr>
              <w:pStyle w:val="VSmCellBody"/>
              <w:jc w:val="right"/>
            </w:pPr>
            <w:r w:rsidRPr="00B02BA3">
              <w:t>(62</w:t>
            </w:r>
            <w:r>
              <w:t>.</w:t>
            </w:r>
            <w:r w:rsidRPr="00B02BA3">
              <w:t>7</w:t>
            </w:r>
          </w:p>
        </w:tc>
        <w:tc>
          <w:tcPr>
            <w:tcW w:w="235" w:type="dxa"/>
            <w:vAlign w:val="bottom"/>
          </w:tcPr>
          <w:p w14:paraId="0DB3579B" w14:textId="77777777" w:rsidR="003A4750" w:rsidRPr="00B02BA3" w:rsidRDefault="003A4750" w:rsidP="003A4750">
            <w:pPr>
              <w:pStyle w:val="CellRowSpacer"/>
              <w:rPr>
                <w:sz w:val="17"/>
              </w:rPr>
            </w:pPr>
            <w:r w:rsidRPr="00B02BA3">
              <w:rPr>
                <w:sz w:val="17"/>
              </w:rPr>
              <w:t>)</w:t>
            </w:r>
          </w:p>
        </w:tc>
        <w:tc>
          <w:tcPr>
            <w:tcW w:w="900" w:type="dxa"/>
            <w:vAlign w:val="bottom"/>
          </w:tcPr>
          <w:p w14:paraId="343492AD" w14:textId="77777777" w:rsidR="003A4750" w:rsidRPr="00B02BA3" w:rsidRDefault="003A4750" w:rsidP="003A4750">
            <w:pPr>
              <w:pStyle w:val="VSmCellBody"/>
              <w:jc w:val="right"/>
            </w:pPr>
            <w:r w:rsidRPr="00B02BA3">
              <w:t>(98</w:t>
            </w:r>
            <w:r>
              <w:t>.1</w:t>
            </w:r>
          </w:p>
        </w:tc>
        <w:tc>
          <w:tcPr>
            <w:tcW w:w="234" w:type="dxa"/>
            <w:vAlign w:val="bottom"/>
          </w:tcPr>
          <w:p w14:paraId="5FEBC79E" w14:textId="77777777" w:rsidR="003A4750" w:rsidRPr="00B02BA3" w:rsidRDefault="003A4750" w:rsidP="003A4750">
            <w:pPr>
              <w:pStyle w:val="CellRowSpacer"/>
              <w:rPr>
                <w:sz w:val="17"/>
              </w:rPr>
            </w:pPr>
            <w:r w:rsidRPr="00B02BA3">
              <w:rPr>
                <w:sz w:val="17"/>
              </w:rPr>
              <w:t>)</w:t>
            </w:r>
          </w:p>
        </w:tc>
        <w:tc>
          <w:tcPr>
            <w:tcW w:w="900" w:type="dxa"/>
            <w:vAlign w:val="bottom"/>
          </w:tcPr>
          <w:p w14:paraId="7355F141" w14:textId="77777777" w:rsidR="003A4750" w:rsidRPr="00B02BA3" w:rsidRDefault="003A4750" w:rsidP="003A4750">
            <w:pPr>
              <w:pStyle w:val="VSmCellBody"/>
              <w:jc w:val="right"/>
            </w:pPr>
            <w:r w:rsidRPr="00B02BA3">
              <w:t>(81</w:t>
            </w:r>
            <w:r>
              <w:t>.</w:t>
            </w:r>
            <w:r w:rsidRPr="00B02BA3">
              <w:t>7</w:t>
            </w:r>
          </w:p>
        </w:tc>
        <w:tc>
          <w:tcPr>
            <w:tcW w:w="234" w:type="dxa"/>
            <w:vAlign w:val="bottom"/>
          </w:tcPr>
          <w:p w14:paraId="43154A4B" w14:textId="77777777" w:rsidR="003A4750" w:rsidRPr="00B02BA3" w:rsidRDefault="003A4750" w:rsidP="003A4750">
            <w:pPr>
              <w:pStyle w:val="CellRowSpacer"/>
              <w:rPr>
                <w:sz w:val="17"/>
              </w:rPr>
            </w:pPr>
            <w:r w:rsidRPr="00B02BA3">
              <w:rPr>
                <w:sz w:val="17"/>
              </w:rPr>
              <w:t>)</w:t>
            </w:r>
          </w:p>
        </w:tc>
        <w:tc>
          <w:tcPr>
            <w:tcW w:w="900" w:type="dxa"/>
            <w:vAlign w:val="bottom"/>
          </w:tcPr>
          <w:p w14:paraId="22CFE681" w14:textId="77777777" w:rsidR="003A4750" w:rsidRPr="00B02BA3" w:rsidRDefault="003A4750" w:rsidP="003A4750">
            <w:pPr>
              <w:pStyle w:val="VSmCellBody"/>
              <w:jc w:val="right"/>
            </w:pPr>
            <w:r>
              <w:t>(62.2</w:t>
            </w:r>
          </w:p>
        </w:tc>
        <w:tc>
          <w:tcPr>
            <w:tcW w:w="234" w:type="dxa"/>
            <w:vAlign w:val="bottom"/>
          </w:tcPr>
          <w:p w14:paraId="1CCAB2BD" w14:textId="77777777" w:rsidR="003A4750" w:rsidRPr="00B02BA3" w:rsidRDefault="003A4750" w:rsidP="003A4750">
            <w:pPr>
              <w:pStyle w:val="CellRowSpacer"/>
              <w:rPr>
                <w:sz w:val="17"/>
              </w:rPr>
            </w:pPr>
            <w:r>
              <w:rPr>
                <w:sz w:val="17"/>
              </w:rPr>
              <w:t>)</w:t>
            </w:r>
          </w:p>
        </w:tc>
        <w:tc>
          <w:tcPr>
            <w:tcW w:w="900" w:type="dxa"/>
            <w:vAlign w:val="bottom"/>
          </w:tcPr>
          <w:p w14:paraId="2737C844" w14:textId="77777777" w:rsidR="003A4750" w:rsidRPr="00B02BA3" w:rsidRDefault="003A4750" w:rsidP="003A4750">
            <w:pPr>
              <w:pStyle w:val="VSmCellBody"/>
              <w:jc w:val="right"/>
            </w:pPr>
            <w:r>
              <w:t>(38.8</w:t>
            </w:r>
          </w:p>
        </w:tc>
        <w:tc>
          <w:tcPr>
            <w:tcW w:w="234" w:type="dxa"/>
            <w:vAlign w:val="bottom"/>
          </w:tcPr>
          <w:p w14:paraId="220A96BF" w14:textId="77777777" w:rsidR="003A4750" w:rsidRPr="00B02BA3" w:rsidRDefault="003A4750" w:rsidP="003A4750">
            <w:pPr>
              <w:pStyle w:val="CellRowSpacer"/>
              <w:rPr>
                <w:sz w:val="17"/>
              </w:rPr>
            </w:pPr>
          </w:p>
        </w:tc>
      </w:tr>
      <w:tr w:rsidR="003A4750" w:rsidRPr="00B02BA3" w14:paraId="2FABF396" w14:textId="77777777" w:rsidTr="003A4750">
        <w:tc>
          <w:tcPr>
            <w:tcW w:w="3141" w:type="dxa"/>
            <w:vAlign w:val="bottom"/>
          </w:tcPr>
          <w:p w14:paraId="12B4E594" w14:textId="77777777" w:rsidR="003A4750" w:rsidRPr="00B02BA3" w:rsidRDefault="003A4750" w:rsidP="003A4750">
            <w:pPr>
              <w:pStyle w:val="VSmCellBody"/>
              <w:tabs>
                <w:tab w:val="right" w:leader="dot" w:pos="3163"/>
              </w:tabs>
              <w:bidi/>
              <w:ind w:left="407"/>
            </w:pPr>
            <w:r>
              <w:rPr>
                <w:rFonts w:hint="cs"/>
                <w:rtl/>
              </w:rPr>
              <w:t>مصروفات استئجار السفينة لمدة قصيرة</w:t>
            </w:r>
            <w:r w:rsidRPr="00B02BA3">
              <w:rPr>
                <w:szCs w:val="17"/>
              </w:rPr>
              <w:tab/>
            </w:r>
          </w:p>
        </w:tc>
        <w:tc>
          <w:tcPr>
            <w:tcW w:w="235" w:type="dxa"/>
            <w:vAlign w:val="bottom"/>
          </w:tcPr>
          <w:p w14:paraId="40D81517" w14:textId="77777777" w:rsidR="003A4750" w:rsidRPr="00B02BA3" w:rsidRDefault="003A4750" w:rsidP="003A4750">
            <w:pPr>
              <w:pStyle w:val="CellRowSpacer"/>
              <w:rPr>
                <w:sz w:val="17"/>
              </w:rPr>
            </w:pPr>
          </w:p>
        </w:tc>
        <w:tc>
          <w:tcPr>
            <w:tcW w:w="901" w:type="dxa"/>
            <w:vAlign w:val="bottom"/>
          </w:tcPr>
          <w:p w14:paraId="3CADE148" w14:textId="77777777" w:rsidR="003A4750" w:rsidRPr="00B02BA3" w:rsidRDefault="003A4750" w:rsidP="003A4750">
            <w:pPr>
              <w:pStyle w:val="VSmCellBody"/>
              <w:jc w:val="right"/>
            </w:pPr>
            <w:r w:rsidRPr="00B02BA3">
              <w:t>(13</w:t>
            </w:r>
            <w:r>
              <w:t>.</w:t>
            </w:r>
            <w:r w:rsidRPr="00B02BA3">
              <w:t>0</w:t>
            </w:r>
            <w:r w:rsidR="00BD76E5">
              <w:t>)</w:t>
            </w:r>
          </w:p>
        </w:tc>
        <w:tc>
          <w:tcPr>
            <w:tcW w:w="235" w:type="dxa"/>
            <w:vAlign w:val="bottom"/>
          </w:tcPr>
          <w:p w14:paraId="75A85D65" w14:textId="77777777" w:rsidR="003A4750" w:rsidRPr="00B02BA3" w:rsidRDefault="003A4750" w:rsidP="003A4750">
            <w:pPr>
              <w:pStyle w:val="CellRowSpacer"/>
              <w:rPr>
                <w:sz w:val="17"/>
              </w:rPr>
            </w:pPr>
            <w:r w:rsidRPr="00B02BA3">
              <w:rPr>
                <w:sz w:val="17"/>
              </w:rPr>
              <w:t>)</w:t>
            </w:r>
          </w:p>
        </w:tc>
        <w:tc>
          <w:tcPr>
            <w:tcW w:w="900" w:type="dxa"/>
            <w:vAlign w:val="bottom"/>
          </w:tcPr>
          <w:p w14:paraId="5713EE84" w14:textId="77777777" w:rsidR="003A4750" w:rsidRPr="00B02BA3" w:rsidRDefault="003A4750" w:rsidP="003A4750">
            <w:pPr>
              <w:pStyle w:val="VSmCellBody"/>
              <w:jc w:val="right"/>
            </w:pPr>
            <w:r w:rsidRPr="00B02BA3">
              <w:t>(22</w:t>
            </w:r>
            <w:r>
              <w:t>.1</w:t>
            </w:r>
          </w:p>
        </w:tc>
        <w:tc>
          <w:tcPr>
            <w:tcW w:w="234" w:type="dxa"/>
            <w:vAlign w:val="bottom"/>
          </w:tcPr>
          <w:p w14:paraId="32B21D7D" w14:textId="77777777" w:rsidR="003A4750" w:rsidRPr="00B02BA3" w:rsidRDefault="003A4750" w:rsidP="003A4750">
            <w:pPr>
              <w:pStyle w:val="CellRowSpacer"/>
              <w:rPr>
                <w:sz w:val="17"/>
              </w:rPr>
            </w:pPr>
            <w:r w:rsidRPr="00B02BA3">
              <w:rPr>
                <w:sz w:val="17"/>
              </w:rPr>
              <w:t>)</w:t>
            </w:r>
          </w:p>
        </w:tc>
        <w:tc>
          <w:tcPr>
            <w:tcW w:w="900" w:type="dxa"/>
            <w:vAlign w:val="bottom"/>
          </w:tcPr>
          <w:p w14:paraId="76220E96" w14:textId="77777777" w:rsidR="003A4750" w:rsidRPr="00B02BA3" w:rsidRDefault="003A4750" w:rsidP="003A4750">
            <w:pPr>
              <w:pStyle w:val="VSmCellBody"/>
              <w:jc w:val="right"/>
            </w:pPr>
            <w:r w:rsidRPr="00B02BA3">
              <w:t>(28</w:t>
            </w:r>
            <w:r>
              <w:t>.</w:t>
            </w:r>
            <w:r w:rsidRPr="00B02BA3">
              <w:t>6</w:t>
            </w:r>
          </w:p>
        </w:tc>
        <w:tc>
          <w:tcPr>
            <w:tcW w:w="234" w:type="dxa"/>
            <w:vAlign w:val="bottom"/>
          </w:tcPr>
          <w:p w14:paraId="139689F4" w14:textId="77777777" w:rsidR="003A4750" w:rsidRPr="00B02BA3" w:rsidRDefault="003A4750" w:rsidP="003A4750">
            <w:pPr>
              <w:pStyle w:val="CellRowSpacer"/>
              <w:rPr>
                <w:sz w:val="17"/>
              </w:rPr>
            </w:pPr>
            <w:r w:rsidRPr="00B02BA3">
              <w:rPr>
                <w:sz w:val="17"/>
              </w:rPr>
              <w:t>)</w:t>
            </w:r>
          </w:p>
        </w:tc>
        <w:tc>
          <w:tcPr>
            <w:tcW w:w="900" w:type="dxa"/>
            <w:vAlign w:val="bottom"/>
          </w:tcPr>
          <w:p w14:paraId="11371A0E" w14:textId="77777777" w:rsidR="003A4750" w:rsidRPr="00B02BA3" w:rsidRDefault="003A4750" w:rsidP="003A4750">
            <w:pPr>
              <w:pStyle w:val="VSmCellBody"/>
              <w:jc w:val="right"/>
            </w:pPr>
            <w:r>
              <w:t>(22.5</w:t>
            </w:r>
          </w:p>
        </w:tc>
        <w:tc>
          <w:tcPr>
            <w:tcW w:w="234" w:type="dxa"/>
            <w:vAlign w:val="bottom"/>
          </w:tcPr>
          <w:p w14:paraId="09EF3859" w14:textId="77777777" w:rsidR="003A4750" w:rsidRPr="00B02BA3" w:rsidRDefault="003A4750" w:rsidP="003A4750">
            <w:pPr>
              <w:pStyle w:val="CellRowSpacer"/>
              <w:rPr>
                <w:sz w:val="17"/>
              </w:rPr>
            </w:pPr>
            <w:r>
              <w:rPr>
                <w:sz w:val="17"/>
              </w:rPr>
              <w:t>)</w:t>
            </w:r>
          </w:p>
        </w:tc>
        <w:tc>
          <w:tcPr>
            <w:tcW w:w="900" w:type="dxa"/>
            <w:vAlign w:val="bottom"/>
          </w:tcPr>
          <w:p w14:paraId="395156B8" w14:textId="77777777" w:rsidR="003A4750" w:rsidRPr="00B02BA3" w:rsidRDefault="003A4750" w:rsidP="003A4750">
            <w:pPr>
              <w:pStyle w:val="VSmCellBody"/>
              <w:jc w:val="right"/>
            </w:pPr>
            <w:r>
              <w:t>(18.6</w:t>
            </w:r>
          </w:p>
        </w:tc>
        <w:tc>
          <w:tcPr>
            <w:tcW w:w="234" w:type="dxa"/>
            <w:vAlign w:val="bottom"/>
          </w:tcPr>
          <w:p w14:paraId="0078A704" w14:textId="77777777" w:rsidR="003A4750" w:rsidRPr="00B02BA3" w:rsidRDefault="003A4750" w:rsidP="003A4750">
            <w:pPr>
              <w:pStyle w:val="CellRowSpacer"/>
              <w:rPr>
                <w:sz w:val="17"/>
              </w:rPr>
            </w:pPr>
          </w:p>
        </w:tc>
      </w:tr>
      <w:tr w:rsidR="003A4750" w:rsidRPr="00B02BA3" w14:paraId="6C35F18C" w14:textId="77777777" w:rsidTr="003A4750">
        <w:tc>
          <w:tcPr>
            <w:tcW w:w="3141" w:type="dxa"/>
            <w:vAlign w:val="bottom"/>
          </w:tcPr>
          <w:p w14:paraId="72AC7EA2" w14:textId="77777777" w:rsidR="003A4750" w:rsidRPr="00B02BA3" w:rsidRDefault="003A4750" w:rsidP="003A4750">
            <w:pPr>
              <w:pStyle w:val="VSmCellBody"/>
              <w:tabs>
                <w:tab w:val="right" w:leader="dot" w:pos="3163"/>
              </w:tabs>
              <w:bidi/>
              <w:ind w:left="407"/>
            </w:pPr>
            <w:r>
              <w:rPr>
                <w:rFonts w:hint="cs"/>
                <w:rtl/>
              </w:rPr>
              <w:t>تكاليف تشغيل السفينة</w:t>
            </w:r>
            <w:r w:rsidRPr="00B02BA3">
              <w:rPr>
                <w:szCs w:val="17"/>
              </w:rPr>
              <w:tab/>
            </w:r>
          </w:p>
        </w:tc>
        <w:tc>
          <w:tcPr>
            <w:tcW w:w="235" w:type="dxa"/>
            <w:vAlign w:val="bottom"/>
          </w:tcPr>
          <w:p w14:paraId="5E82FA95" w14:textId="77777777" w:rsidR="003A4750" w:rsidRPr="00B02BA3" w:rsidRDefault="003A4750" w:rsidP="003A4750">
            <w:pPr>
              <w:pStyle w:val="CellRowSpacer"/>
              <w:rPr>
                <w:sz w:val="17"/>
              </w:rPr>
            </w:pPr>
          </w:p>
        </w:tc>
        <w:tc>
          <w:tcPr>
            <w:tcW w:w="901" w:type="dxa"/>
            <w:tcBorders>
              <w:bottom w:val="single" w:sz="4" w:space="0" w:color="auto"/>
            </w:tcBorders>
            <w:vAlign w:val="bottom"/>
          </w:tcPr>
          <w:p w14:paraId="61D413BF" w14:textId="77777777" w:rsidR="003A4750" w:rsidRPr="00B02BA3" w:rsidRDefault="003A4750" w:rsidP="003A4750">
            <w:pPr>
              <w:pStyle w:val="VSmCellBody"/>
              <w:jc w:val="right"/>
            </w:pPr>
            <w:r w:rsidRPr="00B02BA3">
              <w:t>(115</w:t>
            </w:r>
            <w:r>
              <w:t>.3</w:t>
            </w:r>
            <w:r w:rsidR="00BD76E5">
              <w:t>)</w:t>
            </w:r>
          </w:p>
        </w:tc>
        <w:tc>
          <w:tcPr>
            <w:tcW w:w="235" w:type="dxa"/>
            <w:vAlign w:val="bottom"/>
          </w:tcPr>
          <w:p w14:paraId="20067CA0" w14:textId="77777777" w:rsidR="003A4750" w:rsidRPr="00B02BA3" w:rsidRDefault="003A4750" w:rsidP="003A4750">
            <w:pPr>
              <w:pStyle w:val="CellRowSpacer"/>
              <w:rPr>
                <w:sz w:val="17"/>
              </w:rPr>
            </w:pPr>
            <w:r w:rsidRPr="00B02BA3">
              <w:rPr>
                <w:sz w:val="17"/>
              </w:rPr>
              <w:t>)</w:t>
            </w:r>
          </w:p>
        </w:tc>
        <w:tc>
          <w:tcPr>
            <w:tcW w:w="900" w:type="dxa"/>
            <w:tcBorders>
              <w:bottom w:val="single" w:sz="4" w:space="0" w:color="auto"/>
            </w:tcBorders>
            <w:vAlign w:val="bottom"/>
          </w:tcPr>
          <w:p w14:paraId="33E7D1BB" w14:textId="77777777" w:rsidR="003A4750" w:rsidRPr="00B02BA3" w:rsidRDefault="003A4750" w:rsidP="003A4750">
            <w:pPr>
              <w:pStyle w:val="VSmCellBody"/>
              <w:jc w:val="right"/>
            </w:pPr>
            <w:r w:rsidRPr="00B02BA3">
              <w:t>(138</w:t>
            </w:r>
            <w:r>
              <w:t>.</w:t>
            </w:r>
            <w:r w:rsidRPr="00B02BA3">
              <w:t>0</w:t>
            </w:r>
          </w:p>
        </w:tc>
        <w:tc>
          <w:tcPr>
            <w:tcW w:w="234" w:type="dxa"/>
            <w:vAlign w:val="bottom"/>
          </w:tcPr>
          <w:p w14:paraId="5F65B0F9" w14:textId="77777777" w:rsidR="003A4750" w:rsidRPr="00B02BA3" w:rsidRDefault="003A4750" w:rsidP="003A4750">
            <w:pPr>
              <w:pStyle w:val="CellRowSpacer"/>
              <w:rPr>
                <w:sz w:val="17"/>
              </w:rPr>
            </w:pPr>
            <w:r w:rsidRPr="00B02BA3">
              <w:rPr>
                <w:sz w:val="17"/>
              </w:rPr>
              <w:t>)</w:t>
            </w:r>
          </w:p>
        </w:tc>
        <w:tc>
          <w:tcPr>
            <w:tcW w:w="900" w:type="dxa"/>
            <w:tcBorders>
              <w:bottom w:val="single" w:sz="4" w:space="0" w:color="auto"/>
            </w:tcBorders>
            <w:vAlign w:val="bottom"/>
          </w:tcPr>
          <w:p w14:paraId="5B432995" w14:textId="77777777" w:rsidR="003A4750" w:rsidRPr="00B02BA3" w:rsidRDefault="003A4750" w:rsidP="003A4750">
            <w:pPr>
              <w:pStyle w:val="VSmCellBody"/>
              <w:jc w:val="right"/>
            </w:pPr>
            <w:r w:rsidRPr="00B02BA3">
              <w:t>(170</w:t>
            </w:r>
            <w:r>
              <w:t>.6</w:t>
            </w:r>
          </w:p>
        </w:tc>
        <w:tc>
          <w:tcPr>
            <w:tcW w:w="234" w:type="dxa"/>
            <w:vAlign w:val="bottom"/>
          </w:tcPr>
          <w:p w14:paraId="3A9F0CE6" w14:textId="77777777" w:rsidR="003A4750" w:rsidRPr="00B02BA3" w:rsidRDefault="003A4750" w:rsidP="003A4750">
            <w:pPr>
              <w:pStyle w:val="CellRowSpacer"/>
              <w:rPr>
                <w:sz w:val="17"/>
              </w:rPr>
            </w:pPr>
            <w:r w:rsidRPr="00B02BA3">
              <w:rPr>
                <w:sz w:val="17"/>
              </w:rPr>
              <w:t>)</w:t>
            </w:r>
          </w:p>
        </w:tc>
        <w:tc>
          <w:tcPr>
            <w:tcW w:w="900" w:type="dxa"/>
            <w:tcBorders>
              <w:bottom w:val="single" w:sz="4" w:space="0" w:color="auto"/>
            </w:tcBorders>
            <w:vAlign w:val="bottom"/>
          </w:tcPr>
          <w:p w14:paraId="02BEB03F" w14:textId="77777777" w:rsidR="003A4750" w:rsidRPr="00B02BA3" w:rsidRDefault="003A4750" w:rsidP="003A4750">
            <w:pPr>
              <w:pStyle w:val="VSmCellBody"/>
              <w:jc w:val="right"/>
            </w:pPr>
            <w:r>
              <w:t>(123.0</w:t>
            </w:r>
          </w:p>
        </w:tc>
        <w:tc>
          <w:tcPr>
            <w:tcW w:w="234" w:type="dxa"/>
            <w:vAlign w:val="bottom"/>
          </w:tcPr>
          <w:p w14:paraId="687C0872" w14:textId="77777777" w:rsidR="003A4750" w:rsidRPr="00B02BA3" w:rsidRDefault="003A4750" w:rsidP="003A4750">
            <w:pPr>
              <w:pStyle w:val="CellRowSpacer"/>
              <w:rPr>
                <w:sz w:val="17"/>
              </w:rPr>
            </w:pPr>
            <w:r>
              <w:rPr>
                <w:sz w:val="17"/>
              </w:rPr>
              <w:t>)</w:t>
            </w:r>
          </w:p>
        </w:tc>
        <w:tc>
          <w:tcPr>
            <w:tcW w:w="900" w:type="dxa"/>
            <w:tcBorders>
              <w:bottom w:val="single" w:sz="4" w:space="0" w:color="auto"/>
            </w:tcBorders>
            <w:vAlign w:val="bottom"/>
          </w:tcPr>
          <w:p w14:paraId="795CFA05" w14:textId="77777777" w:rsidR="003A4750" w:rsidRPr="00B02BA3" w:rsidRDefault="003A4750" w:rsidP="003A4750">
            <w:pPr>
              <w:pStyle w:val="VSmCellBody"/>
              <w:jc w:val="right"/>
            </w:pPr>
            <w:r>
              <w:t>(134.3</w:t>
            </w:r>
          </w:p>
        </w:tc>
        <w:tc>
          <w:tcPr>
            <w:tcW w:w="234" w:type="dxa"/>
            <w:vAlign w:val="bottom"/>
          </w:tcPr>
          <w:p w14:paraId="7EF08547" w14:textId="77777777" w:rsidR="003A4750" w:rsidRPr="00B02BA3" w:rsidRDefault="003A4750" w:rsidP="003A4750">
            <w:pPr>
              <w:pStyle w:val="CellRowSpacer"/>
              <w:rPr>
                <w:sz w:val="17"/>
              </w:rPr>
            </w:pPr>
          </w:p>
        </w:tc>
      </w:tr>
      <w:tr w:rsidR="003A4750" w:rsidRPr="00B02BA3" w14:paraId="202E0847" w14:textId="77777777" w:rsidTr="003A4750">
        <w:tc>
          <w:tcPr>
            <w:tcW w:w="3141" w:type="dxa"/>
            <w:vAlign w:val="bottom"/>
          </w:tcPr>
          <w:p w14:paraId="6C807255" w14:textId="77777777" w:rsidR="003A4750" w:rsidRPr="00B02BA3" w:rsidRDefault="003A4750" w:rsidP="003A4750">
            <w:pPr>
              <w:pStyle w:val="VSmCellBody"/>
              <w:tabs>
                <w:tab w:val="right" w:leader="dot" w:pos="3163"/>
              </w:tabs>
              <w:bidi/>
              <w:rPr>
                <w:b/>
                <w:bCs/>
              </w:rPr>
            </w:pPr>
            <w:r>
              <w:rPr>
                <w:rFonts w:hint="cs"/>
                <w:b/>
                <w:bCs/>
                <w:rtl/>
              </w:rPr>
              <w:t>إجمالي الأرباح</w:t>
            </w:r>
            <w:r w:rsidRPr="00B02BA3">
              <w:rPr>
                <w:szCs w:val="17"/>
              </w:rPr>
              <w:tab/>
            </w:r>
          </w:p>
        </w:tc>
        <w:tc>
          <w:tcPr>
            <w:tcW w:w="235" w:type="dxa"/>
            <w:vAlign w:val="bottom"/>
          </w:tcPr>
          <w:p w14:paraId="16AF0511" w14:textId="77777777" w:rsidR="003A4750" w:rsidRPr="00B02BA3" w:rsidRDefault="003A4750" w:rsidP="003A4750">
            <w:pPr>
              <w:pStyle w:val="CellRowSpacer"/>
              <w:rPr>
                <w:b/>
                <w:bCs/>
                <w:sz w:val="17"/>
              </w:rPr>
            </w:pPr>
          </w:p>
        </w:tc>
        <w:tc>
          <w:tcPr>
            <w:tcW w:w="901" w:type="dxa"/>
            <w:tcBorders>
              <w:top w:val="single" w:sz="4" w:space="0" w:color="auto"/>
            </w:tcBorders>
            <w:vAlign w:val="bottom"/>
          </w:tcPr>
          <w:p w14:paraId="53621D17" w14:textId="77777777" w:rsidR="003A4750" w:rsidRPr="00B02BA3" w:rsidRDefault="003A4750" w:rsidP="003A4750">
            <w:pPr>
              <w:pStyle w:val="VSmCellBody"/>
              <w:jc w:val="right"/>
            </w:pPr>
            <w:r>
              <w:t>52.8</w:t>
            </w:r>
          </w:p>
        </w:tc>
        <w:tc>
          <w:tcPr>
            <w:tcW w:w="235" w:type="dxa"/>
            <w:vAlign w:val="bottom"/>
          </w:tcPr>
          <w:p w14:paraId="7602D2DE"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656094D8" w14:textId="77777777" w:rsidR="003A4750" w:rsidRPr="00B02BA3" w:rsidRDefault="003A4750" w:rsidP="003A4750">
            <w:pPr>
              <w:pStyle w:val="VSmCellBody"/>
              <w:jc w:val="right"/>
            </w:pPr>
            <w:r>
              <w:t>90.0</w:t>
            </w:r>
          </w:p>
        </w:tc>
        <w:tc>
          <w:tcPr>
            <w:tcW w:w="234" w:type="dxa"/>
            <w:vAlign w:val="bottom"/>
          </w:tcPr>
          <w:p w14:paraId="453B0899"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04C59F2A" w14:textId="77777777" w:rsidR="003A4750" w:rsidRPr="00B02BA3" w:rsidRDefault="003A4750" w:rsidP="003A4750">
            <w:pPr>
              <w:pStyle w:val="VSmCellBody"/>
              <w:jc w:val="right"/>
            </w:pPr>
            <w:r w:rsidRPr="00B02BA3">
              <w:t>82</w:t>
            </w:r>
            <w:r>
              <w:t>.</w:t>
            </w:r>
            <w:r w:rsidRPr="00B02BA3">
              <w:t>8</w:t>
            </w:r>
          </w:p>
        </w:tc>
        <w:tc>
          <w:tcPr>
            <w:tcW w:w="234" w:type="dxa"/>
            <w:vAlign w:val="bottom"/>
          </w:tcPr>
          <w:p w14:paraId="2C77CFF9" w14:textId="77777777" w:rsidR="003A4750" w:rsidRPr="00B02BA3" w:rsidRDefault="003A4750" w:rsidP="003A4750">
            <w:pPr>
              <w:pStyle w:val="CellRowSpacer"/>
              <w:rPr>
                <w:sz w:val="17"/>
              </w:rPr>
            </w:pPr>
          </w:p>
        </w:tc>
        <w:tc>
          <w:tcPr>
            <w:tcW w:w="900" w:type="dxa"/>
            <w:tcBorders>
              <w:top w:val="single" w:sz="4" w:space="0" w:color="auto"/>
            </w:tcBorders>
          </w:tcPr>
          <w:p w14:paraId="0B724266" w14:textId="77777777" w:rsidR="003A4750" w:rsidRPr="00B02BA3" w:rsidRDefault="003A4750" w:rsidP="003A4750">
            <w:pPr>
              <w:pStyle w:val="VSmCellBody"/>
              <w:jc w:val="right"/>
            </w:pPr>
            <w:r>
              <w:t>67.0</w:t>
            </w:r>
          </w:p>
        </w:tc>
        <w:tc>
          <w:tcPr>
            <w:tcW w:w="234" w:type="dxa"/>
            <w:vAlign w:val="bottom"/>
          </w:tcPr>
          <w:p w14:paraId="396A0CB6" w14:textId="77777777" w:rsidR="003A4750" w:rsidRPr="00B02BA3" w:rsidRDefault="003A4750" w:rsidP="003A4750">
            <w:pPr>
              <w:pStyle w:val="CellRowSpacer"/>
              <w:rPr>
                <w:sz w:val="17"/>
              </w:rPr>
            </w:pPr>
          </w:p>
        </w:tc>
        <w:tc>
          <w:tcPr>
            <w:tcW w:w="900" w:type="dxa"/>
            <w:tcBorders>
              <w:top w:val="single" w:sz="4" w:space="0" w:color="auto"/>
            </w:tcBorders>
          </w:tcPr>
          <w:p w14:paraId="34766ACC" w14:textId="77777777" w:rsidR="003A4750" w:rsidRPr="00B02BA3" w:rsidRDefault="003A4750" w:rsidP="003A4750">
            <w:pPr>
              <w:pStyle w:val="VSmCellBody"/>
              <w:jc w:val="right"/>
            </w:pPr>
            <w:r>
              <w:t>83.2</w:t>
            </w:r>
          </w:p>
        </w:tc>
        <w:tc>
          <w:tcPr>
            <w:tcW w:w="234" w:type="dxa"/>
            <w:vAlign w:val="bottom"/>
          </w:tcPr>
          <w:p w14:paraId="3DEBF54B" w14:textId="77777777" w:rsidR="003A4750" w:rsidRPr="00B02BA3" w:rsidRDefault="003A4750" w:rsidP="003A4750">
            <w:pPr>
              <w:pStyle w:val="CellRowSpacer"/>
              <w:rPr>
                <w:b/>
                <w:bCs/>
                <w:sz w:val="17"/>
              </w:rPr>
            </w:pPr>
          </w:p>
        </w:tc>
      </w:tr>
      <w:tr w:rsidR="003A4750" w:rsidRPr="00B02BA3" w14:paraId="3BF67EF9" w14:textId="77777777" w:rsidTr="003A4750">
        <w:tc>
          <w:tcPr>
            <w:tcW w:w="3141" w:type="dxa"/>
            <w:vAlign w:val="bottom"/>
          </w:tcPr>
          <w:p w14:paraId="210050F4" w14:textId="77777777" w:rsidR="003A4750" w:rsidRPr="00B02BA3" w:rsidRDefault="003D77D4" w:rsidP="003A4750">
            <w:pPr>
              <w:pStyle w:val="VSmCellBody"/>
              <w:tabs>
                <w:tab w:val="right" w:leader="dot" w:pos="3163"/>
              </w:tabs>
              <w:bidi/>
              <w:ind w:left="407"/>
            </w:pPr>
            <w:r>
              <w:rPr>
                <w:rFonts w:hint="cs"/>
                <w:rtl/>
              </w:rPr>
              <w:t>ايرادات اخرى</w:t>
            </w:r>
            <w:r w:rsidR="003A4750" w:rsidRPr="00B02BA3">
              <w:rPr>
                <w:szCs w:val="17"/>
              </w:rPr>
              <w:tab/>
            </w:r>
          </w:p>
        </w:tc>
        <w:tc>
          <w:tcPr>
            <w:tcW w:w="235" w:type="dxa"/>
            <w:vAlign w:val="bottom"/>
          </w:tcPr>
          <w:p w14:paraId="242E6D38" w14:textId="77777777" w:rsidR="003A4750" w:rsidRPr="00B02BA3" w:rsidRDefault="003A4750" w:rsidP="003A4750">
            <w:pPr>
              <w:pStyle w:val="CellRowSpacer"/>
              <w:rPr>
                <w:sz w:val="17"/>
              </w:rPr>
            </w:pPr>
          </w:p>
        </w:tc>
        <w:tc>
          <w:tcPr>
            <w:tcW w:w="901" w:type="dxa"/>
            <w:vAlign w:val="bottom"/>
          </w:tcPr>
          <w:p w14:paraId="2420C940" w14:textId="77777777" w:rsidR="003A4750" w:rsidRPr="00B02BA3" w:rsidRDefault="00133B69" w:rsidP="003A4750">
            <w:pPr>
              <w:pStyle w:val="VSmCellBody"/>
              <w:jc w:val="right"/>
            </w:pPr>
            <w:r>
              <w:t>0.3</w:t>
            </w:r>
          </w:p>
        </w:tc>
        <w:tc>
          <w:tcPr>
            <w:tcW w:w="235" w:type="dxa"/>
            <w:vAlign w:val="bottom"/>
          </w:tcPr>
          <w:p w14:paraId="18D54FCE" w14:textId="77777777" w:rsidR="003A4750" w:rsidRPr="00B02BA3" w:rsidRDefault="003A4750" w:rsidP="003A4750">
            <w:pPr>
              <w:pStyle w:val="CellRowSpacer"/>
              <w:rPr>
                <w:sz w:val="17"/>
              </w:rPr>
            </w:pPr>
          </w:p>
        </w:tc>
        <w:tc>
          <w:tcPr>
            <w:tcW w:w="900" w:type="dxa"/>
            <w:vAlign w:val="bottom"/>
          </w:tcPr>
          <w:p w14:paraId="4A63441D" w14:textId="77777777" w:rsidR="003A4750" w:rsidRPr="00B02BA3" w:rsidRDefault="003A4750" w:rsidP="003A4750">
            <w:pPr>
              <w:pStyle w:val="VSmCellBody"/>
              <w:jc w:val="right"/>
            </w:pPr>
            <w:r>
              <w:t>0.6</w:t>
            </w:r>
          </w:p>
        </w:tc>
        <w:tc>
          <w:tcPr>
            <w:tcW w:w="234" w:type="dxa"/>
            <w:vAlign w:val="bottom"/>
          </w:tcPr>
          <w:p w14:paraId="5D38E1CD" w14:textId="77777777" w:rsidR="003A4750" w:rsidRPr="00B02BA3" w:rsidRDefault="003A4750" w:rsidP="003A4750">
            <w:pPr>
              <w:pStyle w:val="CellRowSpacer"/>
              <w:rPr>
                <w:sz w:val="17"/>
              </w:rPr>
            </w:pPr>
          </w:p>
        </w:tc>
        <w:tc>
          <w:tcPr>
            <w:tcW w:w="900" w:type="dxa"/>
            <w:vAlign w:val="bottom"/>
          </w:tcPr>
          <w:p w14:paraId="6A3B6A6F" w14:textId="77777777" w:rsidR="003A4750" w:rsidRPr="00B02BA3" w:rsidRDefault="003A4750" w:rsidP="003A4750">
            <w:pPr>
              <w:pStyle w:val="VSmCellBody"/>
              <w:jc w:val="right"/>
            </w:pPr>
            <w:r w:rsidRPr="00B02BA3">
              <w:t>7</w:t>
            </w:r>
            <w:r>
              <w:t>.5</w:t>
            </w:r>
          </w:p>
        </w:tc>
        <w:tc>
          <w:tcPr>
            <w:tcW w:w="234" w:type="dxa"/>
            <w:vAlign w:val="bottom"/>
          </w:tcPr>
          <w:p w14:paraId="046F12EC" w14:textId="77777777" w:rsidR="003A4750" w:rsidRPr="00B02BA3" w:rsidRDefault="003A4750" w:rsidP="003A4750">
            <w:pPr>
              <w:pStyle w:val="CellRowSpacer"/>
              <w:rPr>
                <w:sz w:val="17"/>
              </w:rPr>
            </w:pPr>
          </w:p>
        </w:tc>
        <w:tc>
          <w:tcPr>
            <w:tcW w:w="900" w:type="dxa"/>
          </w:tcPr>
          <w:p w14:paraId="34359F1C" w14:textId="77777777" w:rsidR="003A4750" w:rsidRPr="00B02BA3" w:rsidRDefault="003A4750" w:rsidP="003A4750">
            <w:pPr>
              <w:pStyle w:val="VSmCellBody"/>
              <w:jc w:val="right"/>
            </w:pPr>
            <w:r>
              <w:t>7.4</w:t>
            </w:r>
          </w:p>
        </w:tc>
        <w:tc>
          <w:tcPr>
            <w:tcW w:w="234" w:type="dxa"/>
            <w:vAlign w:val="bottom"/>
          </w:tcPr>
          <w:p w14:paraId="0825B191" w14:textId="77777777" w:rsidR="003A4750" w:rsidRPr="00B02BA3" w:rsidRDefault="003A4750" w:rsidP="003A4750">
            <w:pPr>
              <w:pStyle w:val="CellRowSpacer"/>
              <w:rPr>
                <w:sz w:val="17"/>
              </w:rPr>
            </w:pPr>
          </w:p>
        </w:tc>
        <w:tc>
          <w:tcPr>
            <w:tcW w:w="900" w:type="dxa"/>
          </w:tcPr>
          <w:p w14:paraId="2919CA97" w14:textId="77777777" w:rsidR="003A4750" w:rsidRPr="00B02BA3" w:rsidRDefault="003A4750" w:rsidP="003A4750">
            <w:pPr>
              <w:pStyle w:val="VSmCellBody"/>
              <w:jc w:val="right"/>
            </w:pPr>
            <w:r>
              <w:t>0.3</w:t>
            </w:r>
          </w:p>
        </w:tc>
        <w:tc>
          <w:tcPr>
            <w:tcW w:w="234" w:type="dxa"/>
            <w:vAlign w:val="bottom"/>
          </w:tcPr>
          <w:p w14:paraId="5D7DBE32" w14:textId="77777777" w:rsidR="003A4750" w:rsidRPr="00B02BA3" w:rsidRDefault="003A4750" w:rsidP="003A4750">
            <w:pPr>
              <w:pStyle w:val="CellRowSpacer"/>
              <w:rPr>
                <w:sz w:val="17"/>
              </w:rPr>
            </w:pPr>
          </w:p>
        </w:tc>
      </w:tr>
      <w:tr w:rsidR="003A4750" w:rsidRPr="00B02BA3" w14:paraId="542A450E" w14:textId="77777777" w:rsidTr="003A4750">
        <w:tc>
          <w:tcPr>
            <w:tcW w:w="3141" w:type="dxa"/>
            <w:vAlign w:val="bottom"/>
          </w:tcPr>
          <w:p w14:paraId="7A71E521" w14:textId="77777777" w:rsidR="003A4750" w:rsidRPr="00B02BA3" w:rsidRDefault="003A4750" w:rsidP="003A4750">
            <w:pPr>
              <w:pStyle w:val="VSmCellBody"/>
              <w:tabs>
                <w:tab w:val="right" w:leader="dot" w:pos="3163"/>
              </w:tabs>
              <w:bidi/>
              <w:ind w:left="407"/>
            </w:pPr>
            <w:r>
              <w:rPr>
                <w:rFonts w:hint="cs"/>
                <w:rtl/>
              </w:rPr>
              <w:t>دخل توزيعات الأرباح</w:t>
            </w:r>
            <w:r w:rsidRPr="00B02BA3">
              <w:rPr>
                <w:szCs w:val="17"/>
              </w:rPr>
              <w:tab/>
            </w:r>
          </w:p>
        </w:tc>
        <w:tc>
          <w:tcPr>
            <w:tcW w:w="235" w:type="dxa"/>
            <w:vAlign w:val="bottom"/>
          </w:tcPr>
          <w:p w14:paraId="7E70188C" w14:textId="77777777" w:rsidR="003A4750" w:rsidRPr="00B02BA3" w:rsidRDefault="003A4750" w:rsidP="003A4750">
            <w:pPr>
              <w:pStyle w:val="CellRowSpacer"/>
              <w:rPr>
                <w:sz w:val="17"/>
              </w:rPr>
            </w:pPr>
          </w:p>
        </w:tc>
        <w:tc>
          <w:tcPr>
            <w:tcW w:w="901" w:type="dxa"/>
            <w:vAlign w:val="bottom"/>
          </w:tcPr>
          <w:p w14:paraId="2D6AB2EA" w14:textId="77777777" w:rsidR="003A4750" w:rsidRPr="00B02BA3" w:rsidRDefault="003A4750" w:rsidP="003A4750">
            <w:pPr>
              <w:pStyle w:val="VSmCellBody"/>
              <w:jc w:val="right"/>
            </w:pPr>
            <w:r w:rsidRPr="00B02BA3">
              <w:t>—</w:t>
            </w:r>
          </w:p>
        </w:tc>
        <w:tc>
          <w:tcPr>
            <w:tcW w:w="235" w:type="dxa"/>
            <w:vAlign w:val="bottom"/>
          </w:tcPr>
          <w:p w14:paraId="715E7ED1" w14:textId="77777777" w:rsidR="003A4750" w:rsidRPr="00B02BA3" w:rsidRDefault="003A4750" w:rsidP="003A4750">
            <w:pPr>
              <w:pStyle w:val="CellRowSpacer"/>
              <w:rPr>
                <w:sz w:val="17"/>
              </w:rPr>
            </w:pPr>
          </w:p>
        </w:tc>
        <w:tc>
          <w:tcPr>
            <w:tcW w:w="900" w:type="dxa"/>
            <w:vAlign w:val="bottom"/>
          </w:tcPr>
          <w:p w14:paraId="51340086" w14:textId="77777777" w:rsidR="003A4750" w:rsidRPr="00B02BA3" w:rsidRDefault="003A4750" w:rsidP="003A4750">
            <w:pPr>
              <w:pStyle w:val="VSmCellBody"/>
              <w:jc w:val="right"/>
            </w:pPr>
            <w:r>
              <w:t>1.0</w:t>
            </w:r>
          </w:p>
        </w:tc>
        <w:tc>
          <w:tcPr>
            <w:tcW w:w="234" w:type="dxa"/>
            <w:vAlign w:val="bottom"/>
          </w:tcPr>
          <w:p w14:paraId="53050466" w14:textId="77777777" w:rsidR="003A4750" w:rsidRPr="00B02BA3" w:rsidRDefault="003A4750" w:rsidP="003A4750">
            <w:pPr>
              <w:pStyle w:val="CellRowSpacer"/>
              <w:rPr>
                <w:sz w:val="17"/>
              </w:rPr>
            </w:pPr>
          </w:p>
        </w:tc>
        <w:tc>
          <w:tcPr>
            <w:tcW w:w="900" w:type="dxa"/>
            <w:vAlign w:val="bottom"/>
          </w:tcPr>
          <w:p w14:paraId="0286903B" w14:textId="77777777" w:rsidR="003A4750" w:rsidRPr="00B02BA3" w:rsidRDefault="003A4750" w:rsidP="003A4750">
            <w:pPr>
              <w:pStyle w:val="VSmCellBody"/>
              <w:jc w:val="right"/>
            </w:pPr>
            <w:r>
              <w:t>0.1</w:t>
            </w:r>
          </w:p>
        </w:tc>
        <w:tc>
          <w:tcPr>
            <w:tcW w:w="234" w:type="dxa"/>
            <w:vAlign w:val="bottom"/>
          </w:tcPr>
          <w:p w14:paraId="7F57CC5F" w14:textId="77777777" w:rsidR="003A4750" w:rsidRPr="00B02BA3" w:rsidRDefault="003A4750" w:rsidP="003A4750">
            <w:pPr>
              <w:pStyle w:val="CellRowSpacer"/>
              <w:rPr>
                <w:sz w:val="17"/>
              </w:rPr>
            </w:pPr>
          </w:p>
        </w:tc>
        <w:tc>
          <w:tcPr>
            <w:tcW w:w="900" w:type="dxa"/>
            <w:vAlign w:val="bottom"/>
          </w:tcPr>
          <w:p w14:paraId="66484768" w14:textId="77777777" w:rsidR="003A4750" w:rsidRPr="00B02BA3" w:rsidRDefault="003A4750" w:rsidP="003A4750">
            <w:pPr>
              <w:pStyle w:val="VSmCellBody"/>
              <w:jc w:val="right"/>
            </w:pPr>
            <w:r>
              <w:t>0.1</w:t>
            </w:r>
          </w:p>
        </w:tc>
        <w:tc>
          <w:tcPr>
            <w:tcW w:w="234" w:type="dxa"/>
            <w:vAlign w:val="bottom"/>
          </w:tcPr>
          <w:p w14:paraId="7DE84B1A" w14:textId="77777777" w:rsidR="003A4750" w:rsidRPr="00B02BA3" w:rsidRDefault="003A4750" w:rsidP="003A4750">
            <w:pPr>
              <w:pStyle w:val="CellRowSpacer"/>
              <w:rPr>
                <w:sz w:val="17"/>
              </w:rPr>
            </w:pPr>
          </w:p>
        </w:tc>
        <w:tc>
          <w:tcPr>
            <w:tcW w:w="900" w:type="dxa"/>
            <w:vAlign w:val="bottom"/>
          </w:tcPr>
          <w:p w14:paraId="53961AFB" w14:textId="77777777" w:rsidR="003A4750" w:rsidRPr="00B02BA3" w:rsidRDefault="003A4750" w:rsidP="003A4750">
            <w:pPr>
              <w:pStyle w:val="VSmCellBody"/>
              <w:jc w:val="right"/>
            </w:pPr>
            <w:r>
              <w:t>0.1</w:t>
            </w:r>
          </w:p>
        </w:tc>
        <w:tc>
          <w:tcPr>
            <w:tcW w:w="234" w:type="dxa"/>
            <w:vAlign w:val="bottom"/>
          </w:tcPr>
          <w:p w14:paraId="4095F6CF" w14:textId="77777777" w:rsidR="003A4750" w:rsidRPr="00B02BA3" w:rsidRDefault="003A4750" w:rsidP="003A4750">
            <w:pPr>
              <w:pStyle w:val="CellRowSpacer"/>
              <w:rPr>
                <w:sz w:val="17"/>
              </w:rPr>
            </w:pPr>
          </w:p>
        </w:tc>
      </w:tr>
      <w:tr w:rsidR="003A4750" w:rsidRPr="00B02BA3" w14:paraId="06150CB3" w14:textId="77777777" w:rsidTr="003A4750">
        <w:tc>
          <w:tcPr>
            <w:tcW w:w="3141" w:type="dxa"/>
            <w:vAlign w:val="bottom"/>
          </w:tcPr>
          <w:p w14:paraId="74A80C77" w14:textId="77777777" w:rsidR="003A4750" w:rsidRPr="00B02BA3" w:rsidRDefault="003A4750" w:rsidP="003A4750">
            <w:pPr>
              <w:pStyle w:val="VSmCellBody"/>
              <w:tabs>
                <w:tab w:val="right" w:leader="dot" w:pos="3163"/>
              </w:tabs>
              <w:bidi/>
              <w:ind w:left="407"/>
            </w:pPr>
            <w:r>
              <w:rPr>
                <w:rFonts w:hint="cs"/>
                <w:rtl/>
              </w:rPr>
              <w:t>المصروفات التجارية</w:t>
            </w:r>
            <w:r w:rsidRPr="00B02BA3">
              <w:rPr>
                <w:szCs w:val="17"/>
              </w:rPr>
              <w:tab/>
            </w:r>
          </w:p>
        </w:tc>
        <w:tc>
          <w:tcPr>
            <w:tcW w:w="235" w:type="dxa"/>
            <w:vAlign w:val="bottom"/>
          </w:tcPr>
          <w:p w14:paraId="6DF31E06" w14:textId="77777777" w:rsidR="003A4750" w:rsidRPr="00B02BA3" w:rsidRDefault="003A4750" w:rsidP="003A4750">
            <w:pPr>
              <w:pStyle w:val="CellRowSpacer"/>
              <w:rPr>
                <w:sz w:val="17"/>
              </w:rPr>
            </w:pPr>
          </w:p>
        </w:tc>
        <w:tc>
          <w:tcPr>
            <w:tcW w:w="901" w:type="dxa"/>
            <w:vAlign w:val="bottom"/>
          </w:tcPr>
          <w:p w14:paraId="22D3C27E" w14:textId="77777777" w:rsidR="003A4750" w:rsidRPr="00B02BA3" w:rsidRDefault="003A4750" w:rsidP="003A4750">
            <w:pPr>
              <w:pStyle w:val="VSmCellBody"/>
              <w:jc w:val="right"/>
            </w:pPr>
            <w:r w:rsidRPr="00B02BA3">
              <w:t>(4</w:t>
            </w:r>
            <w:r>
              <w:t>.9</w:t>
            </w:r>
            <w:r w:rsidR="00BD76E5">
              <w:t>)</w:t>
            </w:r>
          </w:p>
        </w:tc>
        <w:tc>
          <w:tcPr>
            <w:tcW w:w="235" w:type="dxa"/>
            <w:vAlign w:val="bottom"/>
          </w:tcPr>
          <w:p w14:paraId="30D92E6C" w14:textId="77777777" w:rsidR="003A4750" w:rsidRPr="00B02BA3" w:rsidRDefault="003A4750" w:rsidP="003A4750">
            <w:pPr>
              <w:pStyle w:val="CellRowSpacer"/>
              <w:rPr>
                <w:sz w:val="17"/>
              </w:rPr>
            </w:pPr>
            <w:r w:rsidRPr="00B02BA3">
              <w:rPr>
                <w:sz w:val="17"/>
              </w:rPr>
              <w:t>)</w:t>
            </w:r>
          </w:p>
        </w:tc>
        <w:tc>
          <w:tcPr>
            <w:tcW w:w="900" w:type="dxa"/>
            <w:vAlign w:val="bottom"/>
          </w:tcPr>
          <w:p w14:paraId="16D6A620" w14:textId="77777777" w:rsidR="003A4750" w:rsidRPr="00B02BA3" w:rsidRDefault="003A4750" w:rsidP="003A4750">
            <w:pPr>
              <w:pStyle w:val="VSmCellBody"/>
              <w:jc w:val="right"/>
            </w:pPr>
            <w:r w:rsidRPr="00B02BA3">
              <w:t>(8</w:t>
            </w:r>
            <w:r>
              <w:t>.0</w:t>
            </w:r>
          </w:p>
        </w:tc>
        <w:tc>
          <w:tcPr>
            <w:tcW w:w="234" w:type="dxa"/>
            <w:vAlign w:val="bottom"/>
          </w:tcPr>
          <w:p w14:paraId="43AFD8A4" w14:textId="77777777" w:rsidR="003A4750" w:rsidRPr="00B02BA3" w:rsidRDefault="003A4750" w:rsidP="003A4750">
            <w:pPr>
              <w:pStyle w:val="CellRowSpacer"/>
              <w:rPr>
                <w:sz w:val="17"/>
              </w:rPr>
            </w:pPr>
            <w:r w:rsidRPr="00B02BA3">
              <w:rPr>
                <w:sz w:val="17"/>
              </w:rPr>
              <w:t>)</w:t>
            </w:r>
          </w:p>
        </w:tc>
        <w:tc>
          <w:tcPr>
            <w:tcW w:w="900" w:type="dxa"/>
            <w:vAlign w:val="bottom"/>
          </w:tcPr>
          <w:p w14:paraId="4C16DC33" w14:textId="77777777" w:rsidR="003A4750" w:rsidRPr="00B02BA3" w:rsidRDefault="003A4750" w:rsidP="003A4750">
            <w:pPr>
              <w:pStyle w:val="VSmCellBody"/>
              <w:jc w:val="right"/>
            </w:pPr>
            <w:r w:rsidRPr="00B02BA3">
              <w:t>(8</w:t>
            </w:r>
            <w:r>
              <w:t>.1</w:t>
            </w:r>
          </w:p>
        </w:tc>
        <w:tc>
          <w:tcPr>
            <w:tcW w:w="234" w:type="dxa"/>
            <w:vAlign w:val="bottom"/>
          </w:tcPr>
          <w:p w14:paraId="240A7B74" w14:textId="77777777" w:rsidR="003A4750" w:rsidRPr="00B02BA3" w:rsidRDefault="003A4750" w:rsidP="003A4750">
            <w:pPr>
              <w:pStyle w:val="CellRowSpacer"/>
              <w:rPr>
                <w:sz w:val="17"/>
              </w:rPr>
            </w:pPr>
            <w:r w:rsidRPr="00B02BA3">
              <w:rPr>
                <w:sz w:val="17"/>
              </w:rPr>
              <w:t>)</w:t>
            </w:r>
          </w:p>
        </w:tc>
        <w:tc>
          <w:tcPr>
            <w:tcW w:w="900" w:type="dxa"/>
            <w:vAlign w:val="bottom"/>
          </w:tcPr>
          <w:p w14:paraId="412ECC56" w14:textId="77777777" w:rsidR="003A4750" w:rsidRPr="00B02BA3" w:rsidRDefault="003A4750" w:rsidP="003A4750">
            <w:pPr>
              <w:pStyle w:val="VSmCellBody"/>
              <w:jc w:val="right"/>
            </w:pPr>
            <w:r>
              <w:t>(6.6</w:t>
            </w:r>
          </w:p>
        </w:tc>
        <w:tc>
          <w:tcPr>
            <w:tcW w:w="234" w:type="dxa"/>
            <w:vAlign w:val="bottom"/>
          </w:tcPr>
          <w:p w14:paraId="3B61C5C0" w14:textId="77777777" w:rsidR="003A4750" w:rsidRPr="00B02BA3" w:rsidRDefault="003A4750" w:rsidP="003A4750">
            <w:pPr>
              <w:pStyle w:val="CellRowSpacer"/>
              <w:rPr>
                <w:sz w:val="17"/>
              </w:rPr>
            </w:pPr>
            <w:r>
              <w:rPr>
                <w:sz w:val="17"/>
              </w:rPr>
              <w:t>)</w:t>
            </w:r>
          </w:p>
        </w:tc>
        <w:tc>
          <w:tcPr>
            <w:tcW w:w="900" w:type="dxa"/>
            <w:vAlign w:val="bottom"/>
          </w:tcPr>
          <w:p w14:paraId="30EC2DAB" w14:textId="77777777" w:rsidR="003A4750" w:rsidRPr="00B02BA3" w:rsidRDefault="003A4750" w:rsidP="003A4750">
            <w:pPr>
              <w:pStyle w:val="VSmCellBody"/>
              <w:jc w:val="right"/>
            </w:pPr>
            <w:r>
              <w:t>(5.4</w:t>
            </w:r>
          </w:p>
        </w:tc>
        <w:tc>
          <w:tcPr>
            <w:tcW w:w="234" w:type="dxa"/>
            <w:vAlign w:val="bottom"/>
          </w:tcPr>
          <w:p w14:paraId="6FA0C792" w14:textId="77777777" w:rsidR="003A4750" w:rsidRPr="00B02BA3" w:rsidRDefault="003A4750" w:rsidP="003A4750">
            <w:pPr>
              <w:pStyle w:val="CellRowSpacer"/>
              <w:rPr>
                <w:sz w:val="17"/>
              </w:rPr>
            </w:pPr>
          </w:p>
        </w:tc>
      </w:tr>
      <w:tr w:rsidR="003A4750" w:rsidRPr="00B02BA3" w14:paraId="2C522430" w14:textId="77777777" w:rsidTr="003A4750">
        <w:tc>
          <w:tcPr>
            <w:tcW w:w="3141" w:type="dxa"/>
            <w:vAlign w:val="bottom"/>
          </w:tcPr>
          <w:p w14:paraId="7094EECA" w14:textId="77777777" w:rsidR="003A4750" w:rsidRPr="00B02BA3" w:rsidRDefault="003A4750" w:rsidP="003A4750">
            <w:pPr>
              <w:pStyle w:val="VSmCellBody"/>
              <w:tabs>
                <w:tab w:val="right" w:leader="dot" w:pos="3163"/>
              </w:tabs>
              <w:bidi/>
              <w:ind w:left="407"/>
            </w:pPr>
            <w:r>
              <w:rPr>
                <w:rFonts w:hint="cs"/>
                <w:rtl/>
              </w:rPr>
              <w:t>مصروفات عامة وإدارية</w:t>
            </w:r>
            <w:r w:rsidRPr="00B02BA3">
              <w:rPr>
                <w:szCs w:val="17"/>
              </w:rPr>
              <w:tab/>
            </w:r>
          </w:p>
        </w:tc>
        <w:tc>
          <w:tcPr>
            <w:tcW w:w="235" w:type="dxa"/>
            <w:vAlign w:val="bottom"/>
          </w:tcPr>
          <w:p w14:paraId="1C99AB54" w14:textId="77777777" w:rsidR="003A4750" w:rsidRPr="00B02BA3" w:rsidRDefault="003A4750" w:rsidP="003A4750">
            <w:pPr>
              <w:pStyle w:val="CellRowSpacer"/>
              <w:rPr>
                <w:sz w:val="17"/>
              </w:rPr>
            </w:pPr>
          </w:p>
        </w:tc>
        <w:tc>
          <w:tcPr>
            <w:tcW w:w="901" w:type="dxa"/>
            <w:vAlign w:val="bottom"/>
          </w:tcPr>
          <w:p w14:paraId="4E4E7761" w14:textId="77777777" w:rsidR="003A4750" w:rsidRPr="00B02BA3" w:rsidRDefault="003A4750" w:rsidP="003A4750">
            <w:pPr>
              <w:pStyle w:val="VSmCellBody"/>
              <w:jc w:val="right"/>
            </w:pPr>
            <w:r w:rsidRPr="00B02BA3">
              <w:t>(8</w:t>
            </w:r>
            <w:r>
              <w:t>.5</w:t>
            </w:r>
            <w:r w:rsidR="00BD76E5">
              <w:t>)</w:t>
            </w:r>
          </w:p>
        </w:tc>
        <w:tc>
          <w:tcPr>
            <w:tcW w:w="235" w:type="dxa"/>
            <w:vAlign w:val="bottom"/>
          </w:tcPr>
          <w:p w14:paraId="3346911E" w14:textId="77777777" w:rsidR="003A4750" w:rsidRPr="00B02BA3" w:rsidRDefault="003A4750" w:rsidP="003A4750">
            <w:pPr>
              <w:pStyle w:val="CellRowSpacer"/>
              <w:rPr>
                <w:sz w:val="17"/>
              </w:rPr>
            </w:pPr>
            <w:r w:rsidRPr="00B02BA3">
              <w:rPr>
                <w:sz w:val="17"/>
              </w:rPr>
              <w:t>)</w:t>
            </w:r>
          </w:p>
        </w:tc>
        <w:tc>
          <w:tcPr>
            <w:tcW w:w="900" w:type="dxa"/>
            <w:vAlign w:val="bottom"/>
          </w:tcPr>
          <w:p w14:paraId="3539ED50" w14:textId="77777777" w:rsidR="003A4750" w:rsidRPr="00B02BA3" w:rsidRDefault="003A4750" w:rsidP="003A4750">
            <w:pPr>
              <w:pStyle w:val="VSmCellBody"/>
              <w:jc w:val="right"/>
            </w:pPr>
            <w:r w:rsidRPr="00B02BA3">
              <w:t>(10</w:t>
            </w:r>
            <w:r>
              <w:t>.9</w:t>
            </w:r>
          </w:p>
        </w:tc>
        <w:tc>
          <w:tcPr>
            <w:tcW w:w="234" w:type="dxa"/>
            <w:vAlign w:val="bottom"/>
          </w:tcPr>
          <w:p w14:paraId="0A51DF7F" w14:textId="77777777" w:rsidR="003A4750" w:rsidRPr="00B02BA3" w:rsidRDefault="003A4750" w:rsidP="003A4750">
            <w:pPr>
              <w:pStyle w:val="CellRowSpacer"/>
              <w:rPr>
                <w:sz w:val="17"/>
              </w:rPr>
            </w:pPr>
            <w:r w:rsidRPr="00B02BA3">
              <w:rPr>
                <w:sz w:val="17"/>
              </w:rPr>
              <w:t>)</w:t>
            </w:r>
          </w:p>
        </w:tc>
        <w:tc>
          <w:tcPr>
            <w:tcW w:w="900" w:type="dxa"/>
            <w:vAlign w:val="bottom"/>
          </w:tcPr>
          <w:p w14:paraId="01F7BEEB" w14:textId="77777777" w:rsidR="003A4750" w:rsidRPr="00B02BA3" w:rsidRDefault="003A4750" w:rsidP="003A4750">
            <w:pPr>
              <w:pStyle w:val="VSmCellBody"/>
              <w:jc w:val="right"/>
            </w:pPr>
            <w:r w:rsidRPr="00B02BA3">
              <w:t>(12</w:t>
            </w:r>
            <w:r>
              <w:t>.6</w:t>
            </w:r>
          </w:p>
        </w:tc>
        <w:tc>
          <w:tcPr>
            <w:tcW w:w="234" w:type="dxa"/>
            <w:vAlign w:val="bottom"/>
          </w:tcPr>
          <w:p w14:paraId="1863DE31" w14:textId="77777777" w:rsidR="003A4750" w:rsidRPr="00B02BA3" w:rsidRDefault="003A4750" w:rsidP="003A4750">
            <w:pPr>
              <w:pStyle w:val="CellRowSpacer"/>
              <w:rPr>
                <w:sz w:val="17"/>
              </w:rPr>
            </w:pPr>
            <w:r w:rsidRPr="00B02BA3">
              <w:rPr>
                <w:sz w:val="17"/>
              </w:rPr>
              <w:t>)</w:t>
            </w:r>
          </w:p>
        </w:tc>
        <w:tc>
          <w:tcPr>
            <w:tcW w:w="900" w:type="dxa"/>
            <w:vAlign w:val="bottom"/>
          </w:tcPr>
          <w:p w14:paraId="4A4FC6B5" w14:textId="77777777" w:rsidR="003A4750" w:rsidRPr="00B02BA3" w:rsidRDefault="003A4750" w:rsidP="003A4750">
            <w:pPr>
              <w:pStyle w:val="VSmCellBody"/>
              <w:jc w:val="right"/>
            </w:pPr>
            <w:r>
              <w:t>(7.8</w:t>
            </w:r>
          </w:p>
        </w:tc>
        <w:tc>
          <w:tcPr>
            <w:tcW w:w="234" w:type="dxa"/>
            <w:vAlign w:val="bottom"/>
          </w:tcPr>
          <w:p w14:paraId="7186F47A" w14:textId="77777777" w:rsidR="003A4750" w:rsidRPr="00B02BA3" w:rsidRDefault="003A4750" w:rsidP="003A4750">
            <w:pPr>
              <w:pStyle w:val="CellRowSpacer"/>
              <w:rPr>
                <w:sz w:val="17"/>
              </w:rPr>
            </w:pPr>
            <w:r>
              <w:rPr>
                <w:sz w:val="17"/>
              </w:rPr>
              <w:t>)</w:t>
            </w:r>
          </w:p>
        </w:tc>
        <w:tc>
          <w:tcPr>
            <w:tcW w:w="900" w:type="dxa"/>
            <w:vAlign w:val="bottom"/>
          </w:tcPr>
          <w:p w14:paraId="615DEDA5" w14:textId="77777777" w:rsidR="003A4750" w:rsidRPr="00B02BA3" w:rsidRDefault="003A4750" w:rsidP="003A4750">
            <w:pPr>
              <w:pStyle w:val="VSmCellBody"/>
              <w:jc w:val="right"/>
            </w:pPr>
            <w:r>
              <w:t>(11.0</w:t>
            </w:r>
          </w:p>
        </w:tc>
        <w:tc>
          <w:tcPr>
            <w:tcW w:w="234" w:type="dxa"/>
            <w:vAlign w:val="bottom"/>
          </w:tcPr>
          <w:p w14:paraId="6B72C08F" w14:textId="77777777" w:rsidR="003A4750" w:rsidRPr="00B02BA3" w:rsidRDefault="003A4750" w:rsidP="003A4750">
            <w:pPr>
              <w:pStyle w:val="CellRowSpacer"/>
              <w:rPr>
                <w:sz w:val="17"/>
              </w:rPr>
            </w:pPr>
          </w:p>
        </w:tc>
      </w:tr>
      <w:tr w:rsidR="003A4750" w:rsidRPr="00B02BA3" w14:paraId="4ACC1958" w14:textId="77777777" w:rsidTr="003A4750">
        <w:tc>
          <w:tcPr>
            <w:tcW w:w="3141" w:type="dxa"/>
            <w:vAlign w:val="bottom"/>
          </w:tcPr>
          <w:p w14:paraId="66431130" w14:textId="77777777" w:rsidR="003A4750" w:rsidRPr="00B02BA3" w:rsidRDefault="003A4750" w:rsidP="003A4750">
            <w:pPr>
              <w:pStyle w:val="VSmCellBody"/>
              <w:tabs>
                <w:tab w:val="right" w:leader="dot" w:pos="3163"/>
              </w:tabs>
              <w:bidi/>
              <w:ind w:left="407"/>
            </w:pPr>
            <w:r>
              <w:rPr>
                <w:rFonts w:hint="cs"/>
                <w:rtl/>
              </w:rPr>
              <w:t>إلغاء انخفاض القيمة/ (الخسائر) على الأصول المالية والتعاقدية</w:t>
            </w:r>
            <w:r w:rsidRPr="00B02BA3">
              <w:rPr>
                <w:szCs w:val="17"/>
              </w:rPr>
              <w:tab/>
            </w:r>
          </w:p>
        </w:tc>
        <w:tc>
          <w:tcPr>
            <w:tcW w:w="235" w:type="dxa"/>
            <w:vAlign w:val="bottom"/>
          </w:tcPr>
          <w:p w14:paraId="35F750C7" w14:textId="77777777" w:rsidR="003A4750" w:rsidRPr="00B02BA3" w:rsidRDefault="00133B69" w:rsidP="003A4750">
            <w:pPr>
              <w:pStyle w:val="CellRowSpacer"/>
              <w:rPr>
                <w:sz w:val="17"/>
              </w:rPr>
            </w:pPr>
            <w:r>
              <w:rPr>
                <w:sz w:val="17"/>
              </w:rPr>
              <w:t>)</w:t>
            </w:r>
          </w:p>
        </w:tc>
        <w:tc>
          <w:tcPr>
            <w:tcW w:w="901" w:type="dxa"/>
            <w:vAlign w:val="bottom"/>
          </w:tcPr>
          <w:p w14:paraId="6BE2C32C" w14:textId="77777777" w:rsidR="003A4750" w:rsidRPr="00B02BA3" w:rsidRDefault="00133B69" w:rsidP="003A4750">
            <w:pPr>
              <w:pStyle w:val="VSmCellBody"/>
              <w:jc w:val="right"/>
            </w:pPr>
            <w:r>
              <w:t>(</w:t>
            </w:r>
            <w:r w:rsidR="003A4750">
              <w:t>0.2</w:t>
            </w:r>
          </w:p>
        </w:tc>
        <w:tc>
          <w:tcPr>
            <w:tcW w:w="235" w:type="dxa"/>
            <w:vAlign w:val="bottom"/>
          </w:tcPr>
          <w:p w14:paraId="756669DD" w14:textId="77777777" w:rsidR="003A4750" w:rsidRPr="00B02BA3" w:rsidRDefault="003A4750" w:rsidP="003A4750">
            <w:pPr>
              <w:pStyle w:val="CellRowSpacer"/>
              <w:rPr>
                <w:sz w:val="17"/>
              </w:rPr>
            </w:pPr>
          </w:p>
        </w:tc>
        <w:tc>
          <w:tcPr>
            <w:tcW w:w="900" w:type="dxa"/>
            <w:vAlign w:val="bottom"/>
          </w:tcPr>
          <w:p w14:paraId="74F83F4A" w14:textId="77777777" w:rsidR="003A4750" w:rsidRPr="00B02BA3" w:rsidRDefault="003A4750" w:rsidP="003A4750">
            <w:pPr>
              <w:pStyle w:val="VSmCellBody"/>
              <w:jc w:val="right"/>
            </w:pPr>
            <w:r w:rsidRPr="00B02BA3">
              <w:t>(</w:t>
            </w:r>
            <w:r>
              <w:t>0.2</w:t>
            </w:r>
            <w:r w:rsidR="00105A51">
              <w:t>)</w:t>
            </w:r>
          </w:p>
        </w:tc>
        <w:tc>
          <w:tcPr>
            <w:tcW w:w="234" w:type="dxa"/>
            <w:vAlign w:val="bottom"/>
          </w:tcPr>
          <w:p w14:paraId="72A0EB65" w14:textId="77777777" w:rsidR="003A4750" w:rsidRPr="00B02BA3" w:rsidRDefault="003A4750" w:rsidP="003A4750">
            <w:pPr>
              <w:pStyle w:val="CellRowSpacer"/>
              <w:rPr>
                <w:sz w:val="17"/>
              </w:rPr>
            </w:pPr>
          </w:p>
        </w:tc>
        <w:tc>
          <w:tcPr>
            <w:tcW w:w="900" w:type="dxa"/>
            <w:vAlign w:val="bottom"/>
          </w:tcPr>
          <w:p w14:paraId="22738917" w14:textId="77777777" w:rsidR="003A4750" w:rsidRPr="00B02BA3" w:rsidRDefault="003A4750" w:rsidP="003A4750">
            <w:pPr>
              <w:pStyle w:val="VSmCellBody"/>
              <w:jc w:val="right"/>
            </w:pPr>
            <w:r>
              <w:t>0.1</w:t>
            </w:r>
          </w:p>
        </w:tc>
        <w:tc>
          <w:tcPr>
            <w:tcW w:w="234" w:type="dxa"/>
            <w:vAlign w:val="bottom"/>
          </w:tcPr>
          <w:p w14:paraId="455EF386" w14:textId="77777777" w:rsidR="003A4750" w:rsidRPr="00B02BA3" w:rsidRDefault="003A4750" w:rsidP="003A4750">
            <w:pPr>
              <w:pStyle w:val="CellRowSpacer"/>
              <w:rPr>
                <w:sz w:val="17"/>
              </w:rPr>
            </w:pPr>
          </w:p>
        </w:tc>
        <w:tc>
          <w:tcPr>
            <w:tcW w:w="900" w:type="dxa"/>
            <w:vAlign w:val="bottom"/>
          </w:tcPr>
          <w:p w14:paraId="66B1300C" w14:textId="77777777" w:rsidR="003A4750" w:rsidRPr="00B02BA3" w:rsidRDefault="003A4750" w:rsidP="003A4750">
            <w:pPr>
              <w:pStyle w:val="VSmCellBody"/>
              <w:jc w:val="right"/>
            </w:pPr>
            <w:r>
              <w:t>0.1</w:t>
            </w:r>
          </w:p>
        </w:tc>
        <w:tc>
          <w:tcPr>
            <w:tcW w:w="234" w:type="dxa"/>
            <w:vAlign w:val="bottom"/>
          </w:tcPr>
          <w:p w14:paraId="368D2A6E" w14:textId="77777777" w:rsidR="003A4750" w:rsidRPr="00B02BA3" w:rsidRDefault="004A228C" w:rsidP="003A4750">
            <w:pPr>
              <w:pStyle w:val="CellRowSpacer"/>
              <w:rPr>
                <w:sz w:val="17"/>
              </w:rPr>
            </w:pPr>
            <w:r>
              <w:rPr>
                <w:sz w:val="17"/>
              </w:rPr>
              <w:t>)</w:t>
            </w:r>
          </w:p>
        </w:tc>
        <w:tc>
          <w:tcPr>
            <w:tcW w:w="900" w:type="dxa"/>
            <w:vAlign w:val="bottom"/>
          </w:tcPr>
          <w:p w14:paraId="60A19148" w14:textId="77777777" w:rsidR="003A4750" w:rsidRPr="00B02BA3" w:rsidRDefault="003A4750" w:rsidP="003A4750">
            <w:pPr>
              <w:pStyle w:val="VSmCellBody"/>
              <w:jc w:val="right"/>
            </w:pPr>
            <w:r>
              <w:t>(0.3</w:t>
            </w:r>
          </w:p>
        </w:tc>
        <w:tc>
          <w:tcPr>
            <w:tcW w:w="234" w:type="dxa"/>
            <w:vAlign w:val="bottom"/>
          </w:tcPr>
          <w:p w14:paraId="314F5066" w14:textId="77777777" w:rsidR="003A4750" w:rsidRPr="00B02BA3" w:rsidRDefault="003A4750" w:rsidP="003A4750">
            <w:pPr>
              <w:pStyle w:val="CellRowSpacer"/>
              <w:rPr>
                <w:sz w:val="17"/>
              </w:rPr>
            </w:pPr>
          </w:p>
        </w:tc>
      </w:tr>
      <w:tr w:rsidR="003A4750" w:rsidRPr="00B02BA3" w14:paraId="29667696" w14:textId="77777777" w:rsidTr="003A4750">
        <w:tc>
          <w:tcPr>
            <w:tcW w:w="3141" w:type="dxa"/>
            <w:vAlign w:val="bottom"/>
          </w:tcPr>
          <w:p w14:paraId="12F518F7" w14:textId="77777777" w:rsidR="003A4750" w:rsidRPr="00B02BA3" w:rsidRDefault="003A4750" w:rsidP="003A4750">
            <w:pPr>
              <w:pStyle w:val="VSmCellBody"/>
              <w:tabs>
                <w:tab w:val="right" w:leader="dot" w:pos="3163"/>
              </w:tabs>
              <w:bidi/>
              <w:ind w:left="407"/>
            </w:pPr>
            <w:r>
              <w:rPr>
                <w:rFonts w:hint="cs"/>
                <w:rtl/>
              </w:rPr>
              <w:lastRenderedPageBreak/>
              <w:t>خسائر انخفاض القيمة على حق استخدام الأصول</w:t>
            </w:r>
            <w:r w:rsidRPr="00B02BA3">
              <w:rPr>
                <w:szCs w:val="17"/>
              </w:rPr>
              <w:tab/>
            </w:r>
          </w:p>
        </w:tc>
        <w:tc>
          <w:tcPr>
            <w:tcW w:w="235" w:type="dxa"/>
            <w:vAlign w:val="bottom"/>
          </w:tcPr>
          <w:p w14:paraId="5FCB86F5" w14:textId="77777777" w:rsidR="003A4750" w:rsidRPr="00B02BA3" w:rsidRDefault="003A4750" w:rsidP="003A4750">
            <w:pPr>
              <w:pStyle w:val="CellRowSpacer"/>
              <w:rPr>
                <w:sz w:val="17"/>
              </w:rPr>
            </w:pPr>
          </w:p>
        </w:tc>
        <w:tc>
          <w:tcPr>
            <w:tcW w:w="901" w:type="dxa"/>
            <w:vAlign w:val="bottom"/>
          </w:tcPr>
          <w:p w14:paraId="1E054CEF" w14:textId="77777777" w:rsidR="003A4750" w:rsidRPr="00B02BA3" w:rsidRDefault="003A4750" w:rsidP="003A4750">
            <w:pPr>
              <w:pStyle w:val="VSmCellBody"/>
              <w:jc w:val="right"/>
            </w:pPr>
            <w:r w:rsidRPr="00B02BA3">
              <w:t>—</w:t>
            </w:r>
          </w:p>
        </w:tc>
        <w:tc>
          <w:tcPr>
            <w:tcW w:w="235" w:type="dxa"/>
            <w:vAlign w:val="bottom"/>
          </w:tcPr>
          <w:p w14:paraId="4C651DD4" w14:textId="77777777" w:rsidR="003A4750" w:rsidRPr="00B02BA3" w:rsidRDefault="003A4750" w:rsidP="003A4750">
            <w:pPr>
              <w:pStyle w:val="CellRowSpacer"/>
              <w:rPr>
                <w:sz w:val="17"/>
              </w:rPr>
            </w:pPr>
          </w:p>
        </w:tc>
        <w:tc>
          <w:tcPr>
            <w:tcW w:w="900" w:type="dxa"/>
            <w:vAlign w:val="bottom"/>
          </w:tcPr>
          <w:p w14:paraId="5E361FE9" w14:textId="77777777" w:rsidR="003A4750" w:rsidRPr="00B02BA3" w:rsidRDefault="003A4750" w:rsidP="003A4750">
            <w:pPr>
              <w:pStyle w:val="VSmCellBody"/>
              <w:jc w:val="right"/>
            </w:pPr>
            <w:r w:rsidRPr="00B02BA3">
              <w:t>—</w:t>
            </w:r>
          </w:p>
        </w:tc>
        <w:tc>
          <w:tcPr>
            <w:tcW w:w="234" w:type="dxa"/>
            <w:vAlign w:val="bottom"/>
          </w:tcPr>
          <w:p w14:paraId="5D731BF0" w14:textId="77777777" w:rsidR="003A4750" w:rsidRPr="00B02BA3" w:rsidRDefault="00CA14B3" w:rsidP="003A4750">
            <w:pPr>
              <w:pStyle w:val="CellRowSpacer"/>
              <w:rPr>
                <w:sz w:val="17"/>
              </w:rPr>
            </w:pPr>
            <w:r>
              <w:rPr>
                <w:sz w:val="17"/>
              </w:rPr>
              <w:t>)</w:t>
            </w:r>
          </w:p>
        </w:tc>
        <w:tc>
          <w:tcPr>
            <w:tcW w:w="900" w:type="dxa"/>
            <w:vAlign w:val="bottom"/>
          </w:tcPr>
          <w:p w14:paraId="2403AE6A" w14:textId="77777777" w:rsidR="003A4750" w:rsidRPr="00B02BA3" w:rsidRDefault="003A4750" w:rsidP="003A4750">
            <w:pPr>
              <w:pStyle w:val="VSmCellBody"/>
              <w:jc w:val="right"/>
            </w:pPr>
            <w:r w:rsidRPr="00B02BA3">
              <w:t>(22</w:t>
            </w:r>
            <w:r>
              <w:t>.</w:t>
            </w:r>
            <w:r w:rsidRPr="00B02BA3">
              <w:t>3</w:t>
            </w:r>
          </w:p>
        </w:tc>
        <w:tc>
          <w:tcPr>
            <w:tcW w:w="234" w:type="dxa"/>
            <w:vAlign w:val="bottom"/>
          </w:tcPr>
          <w:p w14:paraId="3C46E563" w14:textId="77777777" w:rsidR="003A4750" w:rsidRPr="00B02BA3" w:rsidRDefault="003A4750" w:rsidP="003A4750">
            <w:pPr>
              <w:pStyle w:val="CellRowSpacer"/>
              <w:rPr>
                <w:sz w:val="17"/>
              </w:rPr>
            </w:pPr>
            <w:r w:rsidRPr="00B02BA3">
              <w:rPr>
                <w:sz w:val="17"/>
              </w:rPr>
              <w:t>)</w:t>
            </w:r>
          </w:p>
        </w:tc>
        <w:tc>
          <w:tcPr>
            <w:tcW w:w="900" w:type="dxa"/>
            <w:vAlign w:val="bottom"/>
          </w:tcPr>
          <w:p w14:paraId="06DAC862" w14:textId="77777777" w:rsidR="003A4750" w:rsidRPr="00B02BA3" w:rsidRDefault="003A4750" w:rsidP="003A4750">
            <w:pPr>
              <w:pStyle w:val="VSmCellBody"/>
              <w:jc w:val="right"/>
            </w:pPr>
            <w:r>
              <w:t>(22.3</w:t>
            </w:r>
          </w:p>
        </w:tc>
        <w:tc>
          <w:tcPr>
            <w:tcW w:w="234" w:type="dxa"/>
            <w:vAlign w:val="bottom"/>
          </w:tcPr>
          <w:p w14:paraId="1245FAAC" w14:textId="77777777" w:rsidR="003A4750" w:rsidRPr="00B02BA3" w:rsidRDefault="003A4750" w:rsidP="003A4750">
            <w:pPr>
              <w:pStyle w:val="CellRowSpacer"/>
              <w:rPr>
                <w:sz w:val="17"/>
              </w:rPr>
            </w:pPr>
          </w:p>
        </w:tc>
        <w:tc>
          <w:tcPr>
            <w:tcW w:w="900" w:type="dxa"/>
            <w:vAlign w:val="bottom"/>
          </w:tcPr>
          <w:p w14:paraId="21AE4C43" w14:textId="77777777" w:rsidR="003A4750" w:rsidRPr="00B02BA3" w:rsidRDefault="003A4750" w:rsidP="003A4750">
            <w:pPr>
              <w:pStyle w:val="VSmCellBody"/>
              <w:jc w:val="right"/>
            </w:pPr>
            <w:r w:rsidRPr="00B02BA3">
              <w:t>—</w:t>
            </w:r>
          </w:p>
        </w:tc>
        <w:tc>
          <w:tcPr>
            <w:tcW w:w="234" w:type="dxa"/>
            <w:vAlign w:val="bottom"/>
          </w:tcPr>
          <w:p w14:paraId="36B06D86" w14:textId="77777777" w:rsidR="003A4750" w:rsidRPr="00B02BA3" w:rsidRDefault="003A4750" w:rsidP="003A4750">
            <w:pPr>
              <w:pStyle w:val="CellRowSpacer"/>
              <w:rPr>
                <w:sz w:val="17"/>
              </w:rPr>
            </w:pPr>
          </w:p>
        </w:tc>
      </w:tr>
      <w:tr w:rsidR="003A4750" w:rsidRPr="00B02BA3" w14:paraId="7BDE5627" w14:textId="77777777" w:rsidTr="003A4750">
        <w:tc>
          <w:tcPr>
            <w:tcW w:w="3141" w:type="dxa"/>
            <w:vAlign w:val="bottom"/>
          </w:tcPr>
          <w:p w14:paraId="5AE02837" w14:textId="77777777" w:rsidR="003A4750" w:rsidRPr="00B02BA3" w:rsidRDefault="003A4750" w:rsidP="003A4750">
            <w:pPr>
              <w:pStyle w:val="VSmCellBody"/>
              <w:tabs>
                <w:tab w:val="right" w:leader="dot" w:pos="3163"/>
              </w:tabs>
              <w:bidi/>
              <w:ind w:left="407"/>
            </w:pPr>
            <w:r>
              <w:rPr>
                <w:rFonts w:hint="cs"/>
                <w:rtl/>
              </w:rPr>
              <w:t>الربح/ (الخسارة) على بيع الممتلكات والسفن والمعدات</w:t>
            </w:r>
            <w:r w:rsidRPr="00B02BA3">
              <w:rPr>
                <w:szCs w:val="17"/>
              </w:rPr>
              <w:tab/>
            </w:r>
          </w:p>
        </w:tc>
        <w:tc>
          <w:tcPr>
            <w:tcW w:w="235" w:type="dxa"/>
            <w:vAlign w:val="bottom"/>
          </w:tcPr>
          <w:p w14:paraId="6473AA02" w14:textId="77777777" w:rsidR="003A4750" w:rsidRPr="00B02BA3" w:rsidRDefault="003A4750" w:rsidP="003A4750">
            <w:pPr>
              <w:pStyle w:val="CellRowSpacer"/>
              <w:rPr>
                <w:sz w:val="17"/>
              </w:rPr>
            </w:pPr>
          </w:p>
        </w:tc>
        <w:tc>
          <w:tcPr>
            <w:tcW w:w="901" w:type="dxa"/>
            <w:tcBorders>
              <w:bottom w:val="single" w:sz="4" w:space="0" w:color="auto"/>
            </w:tcBorders>
            <w:vAlign w:val="bottom"/>
          </w:tcPr>
          <w:p w14:paraId="444DFB5F" w14:textId="77777777" w:rsidR="003A4750" w:rsidRPr="00B02BA3" w:rsidRDefault="003A4750" w:rsidP="003A4750">
            <w:pPr>
              <w:pStyle w:val="VSmCellBody"/>
              <w:jc w:val="right"/>
            </w:pPr>
            <w:r w:rsidRPr="00B02BA3">
              <w:t>—</w:t>
            </w:r>
          </w:p>
        </w:tc>
        <w:tc>
          <w:tcPr>
            <w:tcW w:w="235" w:type="dxa"/>
            <w:vAlign w:val="bottom"/>
          </w:tcPr>
          <w:p w14:paraId="7EB153E2" w14:textId="77777777" w:rsidR="003A4750" w:rsidRPr="00B02BA3" w:rsidRDefault="00CA14B3" w:rsidP="003A4750">
            <w:pPr>
              <w:pStyle w:val="CellRowSpacer"/>
              <w:rPr>
                <w:sz w:val="17"/>
              </w:rPr>
            </w:pPr>
            <w:r>
              <w:rPr>
                <w:sz w:val="17"/>
              </w:rPr>
              <w:t>)</w:t>
            </w:r>
          </w:p>
        </w:tc>
        <w:tc>
          <w:tcPr>
            <w:tcW w:w="900" w:type="dxa"/>
            <w:tcBorders>
              <w:bottom w:val="single" w:sz="4" w:space="0" w:color="auto"/>
            </w:tcBorders>
            <w:vAlign w:val="bottom"/>
          </w:tcPr>
          <w:p w14:paraId="73EC0646" w14:textId="77777777" w:rsidR="003A4750" w:rsidRPr="00B02BA3" w:rsidRDefault="003A4750" w:rsidP="003A4750">
            <w:pPr>
              <w:pStyle w:val="VSmCellBody"/>
              <w:jc w:val="right"/>
            </w:pPr>
            <w:r w:rsidRPr="00B02BA3">
              <w:t>(</w:t>
            </w:r>
            <w:r>
              <w:t>0.7</w:t>
            </w:r>
          </w:p>
        </w:tc>
        <w:tc>
          <w:tcPr>
            <w:tcW w:w="234" w:type="dxa"/>
            <w:vAlign w:val="bottom"/>
          </w:tcPr>
          <w:p w14:paraId="40B9B154" w14:textId="77777777" w:rsidR="003A4750" w:rsidRPr="00B02BA3" w:rsidRDefault="003A4750" w:rsidP="003A4750">
            <w:pPr>
              <w:pStyle w:val="CellRowSpacer"/>
              <w:rPr>
                <w:sz w:val="17"/>
              </w:rPr>
            </w:pPr>
          </w:p>
        </w:tc>
        <w:tc>
          <w:tcPr>
            <w:tcW w:w="900" w:type="dxa"/>
            <w:tcBorders>
              <w:bottom w:val="single" w:sz="4" w:space="0" w:color="auto"/>
            </w:tcBorders>
            <w:vAlign w:val="bottom"/>
          </w:tcPr>
          <w:p w14:paraId="2ED4ADC5" w14:textId="77777777" w:rsidR="003A4750" w:rsidRPr="00B02BA3" w:rsidRDefault="003A4750" w:rsidP="003A4750">
            <w:pPr>
              <w:pStyle w:val="VSmCellBody"/>
              <w:jc w:val="right"/>
            </w:pPr>
            <w:r w:rsidRPr="00B02BA3">
              <w:t>18</w:t>
            </w:r>
            <w:r>
              <w:t>.</w:t>
            </w:r>
            <w:r w:rsidRPr="00B02BA3">
              <w:t>0</w:t>
            </w:r>
          </w:p>
        </w:tc>
        <w:tc>
          <w:tcPr>
            <w:tcW w:w="234" w:type="dxa"/>
            <w:vAlign w:val="bottom"/>
          </w:tcPr>
          <w:p w14:paraId="301B38A2" w14:textId="77777777" w:rsidR="003A4750" w:rsidRPr="00B02BA3" w:rsidRDefault="003A4750" w:rsidP="003A4750">
            <w:pPr>
              <w:pStyle w:val="CellRowSpacer"/>
              <w:rPr>
                <w:sz w:val="17"/>
              </w:rPr>
            </w:pPr>
          </w:p>
        </w:tc>
        <w:tc>
          <w:tcPr>
            <w:tcW w:w="900" w:type="dxa"/>
            <w:tcBorders>
              <w:bottom w:val="single" w:sz="4" w:space="0" w:color="auto"/>
            </w:tcBorders>
            <w:vAlign w:val="bottom"/>
          </w:tcPr>
          <w:p w14:paraId="1F585F11" w14:textId="77777777" w:rsidR="003A4750" w:rsidRPr="00B02BA3" w:rsidRDefault="003A4750" w:rsidP="003A4750">
            <w:pPr>
              <w:pStyle w:val="VSmCellBody"/>
              <w:jc w:val="right"/>
            </w:pPr>
            <w:r w:rsidRPr="00B02BA3">
              <w:t>—</w:t>
            </w:r>
          </w:p>
        </w:tc>
        <w:tc>
          <w:tcPr>
            <w:tcW w:w="234" w:type="dxa"/>
            <w:vAlign w:val="bottom"/>
          </w:tcPr>
          <w:p w14:paraId="1C43DC34" w14:textId="77777777" w:rsidR="003A4750" w:rsidRPr="00B02BA3" w:rsidRDefault="003A4750" w:rsidP="003A4750">
            <w:pPr>
              <w:pStyle w:val="CellRowSpacer"/>
              <w:rPr>
                <w:sz w:val="17"/>
              </w:rPr>
            </w:pPr>
          </w:p>
        </w:tc>
        <w:tc>
          <w:tcPr>
            <w:tcW w:w="900" w:type="dxa"/>
            <w:tcBorders>
              <w:bottom w:val="single" w:sz="4" w:space="0" w:color="auto"/>
            </w:tcBorders>
            <w:vAlign w:val="bottom"/>
          </w:tcPr>
          <w:p w14:paraId="7263863D" w14:textId="77777777" w:rsidR="003A4750" w:rsidRPr="00B02BA3" w:rsidRDefault="003A4750" w:rsidP="003A4750">
            <w:pPr>
              <w:pStyle w:val="VSmCellBody"/>
              <w:jc w:val="right"/>
            </w:pPr>
            <w:r w:rsidRPr="00B02BA3">
              <w:t>—</w:t>
            </w:r>
          </w:p>
        </w:tc>
        <w:tc>
          <w:tcPr>
            <w:tcW w:w="234" w:type="dxa"/>
            <w:vAlign w:val="bottom"/>
          </w:tcPr>
          <w:p w14:paraId="6F21B9B5" w14:textId="77777777" w:rsidR="003A4750" w:rsidRPr="00B02BA3" w:rsidRDefault="003A4750" w:rsidP="003A4750">
            <w:pPr>
              <w:pStyle w:val="CellRowSpacer"/>
              <w:rPr>
                <w:sz w:val="17"/>
              </w:rPr>
            </w:pPr>
          </w:p>
        </w:tc>
      </w:tr>
      <w:tr w:rsidR="003A4750" w:rsidRPr="00B02BA3" w14:paraId="4CF21894" w14:textId="77777777" w:rsidTr="003A4750">
        <w:tc>
          <w:tcPr>
            <w:tcW w:w="3141" w:type="dxa"/>
            <w:vAlign w:val="bottom"/>
          </w:tcPr>
          <w:p w14:paraId="1B9C0AAF" w14:textId="77777777" w:rsidR="003A4750" w:rsidRPr="00B02BA3" w:rsidRDefault="003A4750" w:rsidP="003A4750">
            <w:pPr>
              <w:pStyle w:val="VSmCellBody"/>
              <w:tabs>
                <w:tab w:val="right" w:leader="dot" w:pos="3163"/>
              </w:tabs>
              <w:bidi/>
              <w:rPr>
                <w:b/>
                <w:bCs/>
              </w:rPr>
            </w:pPr>
            <w:r>
              <w:rPr>
                <w:rFonts w:hint="cs"/>
                <w:b/>
                <w:bCs/>
                <w:rtl/>
              </w:rPr>
              <w:t>الأرباح التشغيلية</w:t>
            </w:r>
            <w:r w:rsidRPr="00B02BA3">
              <w:rPr>
                <w:szCs w:val="17"/>
              </w:rPr>
              <w:tab/>
            </w:r>
          </w:p>
        </w:tc>
        <w:tc>
          <w:tcPr>
            <w:tcW w:w="235" w:type="dxa"/>
            <w:vAlign w:val="bottom"/>
          </w:tcPr>
          <w:p w14:paraId="4C52A06F" w14:textId="77777777" w:rsidR="003A4750" w:rsidRPr="00B02BA3" w:rsidRDefault="003A4750" w:rsidP="003A4750">
            <w:pPr>
              <w:pStyle w:val="CellRowSpacer"/>
              <w:rPr>
                <w:b/>
                <w:bCs/>
                <w:sz w:val="17"/>
              </w:rPr>
            </w:pPr>
          </w:p>
        </w:tc>
        <w:tc>
          <w:tcPr>
            <w:tcW w:w="901" w:type="dxa"/>
            <w:tcBorders>
              <w:top w:val="single" w:sz="4" w:space="0" w:color="auto"/>
            </w:tcBorders>
            <w:vAlign w:val="bottom"/>
          </w:tcPr>
          <w:p w14:paraId="18E19965" w14:textId="77777777" w:rsidR="003A4750" w:rsidRPr="00B02BA3" w:rsidRDefault="003A4750" w:rsidP="003A4750">
            <w:pPr>
              <w:pStyle w:val="VSmCellBody"/>
              <w:jc w:val="right"/>
            </w:pPr>
            <w:r w:rsidRPr="00B02BA3">
              <w:t>39</w:t>
            </w:r>
            <w:r>
              <w:t>.</w:t>
            </w:r>
            <w:r w:rsidRPr="00B02BA3">
              <w:t>5</w:t>
            </w:r>
          </w:p>
        </w:tc>
        <w:tc>
          <w:tcPr>
            <w:tcW w:w="235" w:type="dxa"/>
            <w:vAlign w:val="bottom"/>
          </w:tcPr>
          <w:p w14:paraId="21C66DB8"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546BDDE5" w14:textId="77777777" w:rsidR="003A4750" w:rsidRPr="00B02BA3" w:rsidRDefault="003A4750" w:rsidP="003A4750">
            <w:pPr>
              <w:pStyle w:val="VSmCellBody"/>
              <w:jc w:val="right"/>
            </w:pPr>
            <w:r w:rsidRPr="00B02BA3">
              <w:t>71</w:t>
            </w:r>
            <w:r>
              <w:t>.7</w:t>
            </w:r>
          </w:p>
        </w:tc>
        <w:tc>
          <w:tcPr>
            <w:tcW w:w="234" w:type="dxa"/>
            <w:vAlign w:val="bottom"/>
          </w:tcPr>
          <w:p w14:paraId="492C80EB"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4B5A9255" w14:textId="77777777" w:rsidR="003A4750" w:rsidRPr="00B02BA3" w:rsidRDefault="003A4750" w:rsidP="003A4750">
            <w:pPr>
              <w:pStyle w:val="VSmCellBody"/>
              <w:jc w:val="right"/>
            </w:pPr>
            <w:r w:rsidRPr="00B02BA3">
              <w:t>65</w:t>
            </w:r>
            <w:r>
              <w:t>.</w:t>
            </w:r>
            <w:r w:rsidRPr="00B02BA3">
              <w:t>6</w:t>
            </w:r>
          </w:p>
        </w:tc>
        <w:tc>
          <w:tcPr>
            <w:tcW w:w="234" w:type="dxa"/>
            <w:vAlign w:val="bottom"/>
          </w:tcPr>
          <w:p w14:paraId="6CACB459"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388FA2A2" w14:textId="77777777" w:rsidR="003A4750" w:rsidRPr="00B02BA3" w:rsidRDefault="003A4750" w:rsidP="003A4750">
            <w:pPr>
              <w:pStyle w:val="VSmCellBody"/>
              <w:jc w:val="right"/>
            </w:pPr>
            <w:r>
              <w:t>38.0</w:t>
            </w:r>
          </w:p>
        </w:tc>
        <w:tc>
          <w:tcPr>
            <w:tcW w:w="234" w:type="dxa"/>
            <w:vAlign w:val="bottom"/>
          </w:tcPr>
          <w:p w14:paraId="795EF4B1"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4ADE3452" w14:textId="77777777" w:rsidR="003A4750" w:rsidRPr="00B02BA3" w:rsidRDefault="003A4750" w:rsidP="003A4750">
            <w:pPr>
              <w:pStyle w:val="VSmCellBody"/>
              <w:jc w:val="right"/>
            </w:pPr>
            <w:r>
              <w:t>66.9</w:t>
            </w:r>
          </w:p>
        </w:tc>
        <w:tc>
          <w:tcPr>
            <w:tcW w:w="234" w:type="dxa"/>
            <w:vAlign w:val="bottom"/>
          </w:tcPr>
          <w:p w14:paraId="4989F7BE" w14:textId="77777777" w:rsidR="003A4750" w:rsidRPr="00B02BA3" w:rsidRDefault="003A4750" w:rsidP="003A4750">
            <w:pPr>
              <w:pStyle w:val="CellRowSpacer"/>
              <w:rPr>
                <w:b/>
                <w:bCs/>
                <w:sz w:val="17"/>
              </w:rPr>
            </w:pPr>
          </w:p>
        </w:tc>
      </w:tr>
      <w:tr w:rsidR="003A4750" w:rsidRPr="00B02BA3" w14:paraId="1F8CEE48" w14:textId="77777777" w:rsidTr="003A4750">
        <w:tc>
          <w:tcPr>
            <w:tcW w:w="3141" w:type="dxa"/>
            <w:vAlign w:val="bottom"/>
          </w:tcPr>
          <w:p w14:paraId="7EA5B676" w14:textId="77777777" w:rsidR="003A4750" w:rsidRPr="00B02BA3" w:rsidRDefault="003A4750" w:rsidP="003A4750">
            <w:pPr>
              <w:pStyle w:val="VSmCellBody"/>
              <w:tabs>
                <w:tab w:val="right" w:leader="dot" w:pos="3163"/>
              </w:tabs>
              <w:bidi/>
              <w:ind w:firstLine="407"/>
            </w:pPr>
            <w:r>
              <w:rPr>
                <w:rFonts w:hint="cs"/>
                <w:rtl/>
              </w:rPr>
              <w:t>تكاليف التمويل</w:t>
            </w:r>
            <w:r w:rsidRPr="00B02BA3">
              <w:rPr>
                <w:szCs w:val="17"/>
              </w:rPr>
              <w:tab/>
            </w:r>
          </w:p>
        </w:tc>
        <w:tc>
          <w:tcPr>
            <w:tcW w:w="235" w:type="dxa"/>
            <w:vAlign w:val="bottom"/>
          </w:tcPr>
          <w:p w14:paraId="3655BEC2" w14:textId="77777777" w:rsidR="003A4750" w:rsidRPr="00B02BA3" w:rsidRDefault="003A4750" w:rsidP="003A4750">
            <w:pPr>
              <w:pStyle w:val="CellRowSpacer"/>
              <w:rPr>
                <w:sz w:val="17"/>
              </w:rPr>
            </w:pPr>
          </w:p>
        </w:tc>
        <w:tc>
          <w:tcPr>
            <w:tcW w:w="901" w:type="dxa"/>
            <w:vAlign w:val="bottom"/>
          </w:tcPr>
          <w:p w14:paraId="1283F5EA" w14:textId="77777777" w:rsidR="003A4750" w:rsidRPr="00B02BA3" w:rsidRDefault="003A4750" w:rsidP="003A4750">
            <w:pPr>
              <w:pStyle w:val="VSmCellBody"/>
              <w:jc w:val="right"/>
            </w:pPr>
            <w:r w:rsidRPr="00B02BA3">
              <w:t>(25</w:t>
            </w:r>
            <w:r>
              <w:t>.4</w:t>
            </w:r>
            <w:r w:rsidR="00CA14B3">
              <w:t>)</w:t>
            </w:r>
          </w:p>
        </w:tc>
        <w:tc>
          <w:tcPr>
            <w:tcW w:w="235" w:type="dxa"/>
            <w:vAlign w:val="bottom"/>
          </w:tcPr>
          <w:p w14:paraId="6B7DD8E3" w14:textId="77777777" w:rsidR="003A4750" w:rsidRPr="00B02BA3" w:rsidRDefault="003A4750" w:rsidP="003A4750">
            <w:pPr>
              <w:pStyle w:val="CellRowSpacer"/>
              <w:rPr>
                <w:sz w:val="17"/>
              </w:rPr>
            </w:pPr>
            <w:r w:rsidRPr="00B02BA3">
              <w:rPr>
                <w:sz w:val="17"/>
              </w:rPr>
              <w:t>)</w:t>
            </w:r>
          </w:p>
        </w:tc>
        <w:tc>
          <w:tcPr>
            <w:tcW w:w="900" w:type="dxa"/>
            <w:vAlign w:val="bottom"/>
          </w:tcPr>
          <w:p w14:paraId="55F67639" w14:textId="77777777" w:rsidR="003A4750" w:rsidRPr="00B02BA3" w:rsidRDefault="003A4750" w:rsidP="003A4750">
            <w:pPr>
              <w:pStyle w:val="VSmCellBody"/>
              <w:jc w:val="right"/>
            </w:pPr>
            <w:r w:rsidRPr="00B02BA3">
              <w:t>(25</w:t>
            </w:r>
            <w:r>
              <w:t>.</w:t>
            </w:r>
            <w:r w:rsidRPr="00B02BA3">
              <w:t>8</w:t>
            </w:r>
          </w:p>
        </w:tc>
        <w:tc>
          <w:tcPr>
            <w:tcW w:w="234" w:type="dxa"/>
            <w:vAlign w:val="bottom"/>
          </w:tcPr>
          <w:p w14:paraId="6B2248FD" w14:textId="77777777" w:rsidR="003A4750" w:rsidRPr="00B02BA3" w:rsidRDefault="003A4750" w:rsidP="003A4750">
            <w:pPr>
              <w:pStyle w:val="CellRowSpacer"/>
              <w:rPr>
                <w:sz w:val="17"/>
              </w:rPr>
            </w:pPr>
            <w:r w:rsidRPr="00B02BA3">
              <w:rPr>
                <w:sz w:val="17"/>
              </w:rPr>
              <w:t>)</w:t>
            </w:r>
          </w:p>
        </w:tc>
        <w:tc>
          <w:tcPr>
            <w:tcW w:w="900" w:type="dxa"/>
            <w:vAlign w:val="bottom"/>
          </w:tcPr>
          <w:p w14:paraId="1D56FB69" w14:textId="77777777" w:rsidR="003A4750" w:rsidRPr="00B02BA3" w:rsidRDefault="003A4750" w:rsidP="003A4750">
            <w:pPr>
              <w:pStyle w:val="VSmCellBody"/>
              <w:jc w:val="right"/>
            </w:pPr>
            <w:r w:rsidRPr="00B02BA3">
              <w:t>(42</w:t>
            </w:r>
            <w:r>
              <w:t>.</w:t>
            </w:r>
            <w:r w:rsidRPr="00B02BA3">
              <w:t>4</w:t>
            </w:r>
          </w:p>
        </w:tc>
        <w:tc>
          <w:tcPr>
            <w:tcW w:w="234" w:type="dxa"/>
            <w:vAlign w:val="bottom"/>
          </w:tcPr>
          <w:p w14:paraId="2CF7BB65" w14:textId="77777777" w:rsidR="003A4750" w:rsidRPr="00B02BA3" w:rsidRDefault="003A4750" w:rsidP="003A4750">
            <w:pPr>
              <w:pStyle w:val="CellRowSpacer"/>
              <w:rPr>
                <w:sz w:val="17"/>
              </w:rPr>
            </w:pPr>
            <w:r w:rsidRPr="00B02BA3">
              <w:rPr>
                <w:sz w:val="17"/>
              </w:rPr>
              <w:t>)</w:t>
            </w:r>
          </w:p>
        </w:tc>
        <w:tc>
          <w:tcPr>
            <w:tcW w:w="900" w:type="dxa"/>
            <w:vAlign w:val="bottom"/>
          </w:tcPr>
          <w:p w14:paraId="36DCD9C6" w14:textId="77777777" w:rsidR="003A4750" w:rsidRPr="00B02BA3" w:rsidRDefault="003A4750" w:rsidP="003A4750">
            <w:pPr>
              <w:pStyle w:val="VSmCellBody"/>
              <w:jc w:val="right"/>
            </w:pPr>
            <w:r>
              <w:t>(31.5</w:t>
            </w:r>
          </w:p>
        </w:tc>
        <w:tc>
          <w:tcPr>
            <w:tcW w:w="234" w:type="dxa"/>
            <w:vAlign w:val="bottom"/>
          </w:tcPr>
          <w:p w14:paraId="519B50BA" w14:textId="77777777" w:rsidR="003A4750" w:rsidRPr="00B02BA3" w:rsidRDefault="003A4750" w:rsidP="003A4750">
            <w:pPr>
              <w:pStyle w:val="CellRowSpacer"/>
              <w:rPr>
                <w:sz w:val="17"/>
              </w:rPr>
            </w:pPr>
            <w:r>
              <w:rPr>
                <w:sz w:val="17"/>
              </w:rPr>
              <w:t>)</w:t>
            </w:r>
          </w:p>
        </w:tc>
        <w:tc>
          <w:tcPr>
            <w:tcW w:w="900" w:type="dxa"/>
            <w:vAlign w:val="bottom"/>
          </w:tcPr>
          <w:p w14:paraId="4E74DA91" w14:textId="77777777" w:rsidR="003A4750" w:rsidRPr="00B02BA3" w:rsidRDefault="003A4750" w:rsidP="003A4750">
            <w:pPr>
              <w:pStyle w:val="VSmCellBody"/>
              <w:jc w:val="right"/>
            </w:pPr>
            <w:r>
              <w:t>(29.9</w:t>
            </w:r>
          </w:p>
        </w:tc>
        <w:tc>
          <w:tcPr>
            <w:tcW w:w="234" w:type="dxa"/>
            <w:vAlign w:val="bottom"/>
          </w:tcPr>
          <w:p w14:paraId="73F1D533" w14:textId="77777777" w:rsidR="003A4750" w:rsidRPr="00B02BA3" w:rsidRDefault="003A4750" w:rsidP="003A4750">
            <w:pPr>
              <w:pStyle w:val="CellRowSpacer"/>
              <w:rPr>
                <w:sz w:val="17"/>
              </w:rPr>
            </w:pPr>
          </w:p>
        </w:tc>
      </w:tr>
      <w:tr w:rsidR="003A4750" w:rsidRPr="00B02BA3" w14:paraId="12FFA74D" w14:textId="77777777" w:rsidTr="003A4750">
        <w:tc>
          <w:tcPr>
            <w:tcW w:w="3141" w:type="dxa"/>
            <w:vAlign w:val="bottom"/>
          </w:tcPr>
          <w:p w14:paraId="7C9DF13B" w14:textId="77777777" w:rsidR="003A4750" w:rsidRPr="00B02BA3" w:rsidRDefault="003A4750" w:rsidP="003A4750">
            <w:pPr>
              <w:pStyle w:val="VSmCellBody"/>
              <w:tabs>
                <w:tab w:val="right" w:leader="dot" w:pos="3163"/>
              </w:tabs>
              <w:bidi/>
              <w:ind w:firstLine="407"/>
            </w:pPr>
            <w:r>
              <w:rPr>
                <w:rFonts w:hint="cs"/>
                <w:rtl/>
              </w:rPr>
              <w:t>الدخل التمويلي</w:t>
            </w:r>
            <w:r w:rsidRPr="00B02BA3">
              <w:rPr>
                <w:szCs w:val="17"/>
              </w:rPr>
              <w:tab/>
            </w:r>
          </w:p>
        </w:tc>
        <w:tc>
          <w:tcPr>
            <w:tcW w:w="235" w:type="dxa"/>
            <w:vAlign w:val="bottom"/>
          </w:tcPr>
          <w:p w14:paraId="523C63A9" w14:textId="77777777" w:rsidR="003A4750" w:rsidRPr="00B02BA3" w:rsidRDefault="003A4750" w:rsidP="003A4750">
            <w:pPr>
              <w:pStyle w:val="CellRowSpacer"/>
              <w:rPr>
                <w:sz w:val="17"/>
              </w:rPr>
            </w:pPr>
          </w:p>
        </w:tc>
        <w:tc>
          <w:tcPr>
            <w:tcW w:w="901" w:type="dxa"/>
            <w:vAlign w:val="bottom"/>
          </w:tcPr>
          <w:p w14:paraId="71C834B7" w14:textId="77777777" w:rsidR="003A4750" w:rsidRPr="00B02BA3" w:rsidRDefault="003A4750" w:rsidP="003A4750">
            <w:pPr>
              <w:pStyle w:val="VSmCellBody"/>
              <w:jc w:val="right"/>
            </w:pPr>
            <w:r w:rsidRPr="00B02BA3">
              <w:t>3</w:t>
            </w:r>
            <w:r>
              <w:t>.8</w:t>
            </w:r>
          </w:p>
        </w:tc>
        <w:tc>
          <w:tcPr>
            <w:tcW w:w="235" w:type="dxa"/>
            <w:vAlign w:val="bottom"/>
          </w:tcPr>
          <w:p w14:paraId="289B4705" w14:textId="77777777" w:rsidR="003A4750" w:rsidRPr="00B02BA3" w:rsidRDefault="003A4750" w:rsidP="003A4750">
            <w:pPr>
              <w:pStyle w:val="CellRowSpacer"/>
              <w:rPr>
                <w:sz w:val="17"/>
              </w:rPr>
            </w:pPr>
          </w:p>
        </w:tc>
        <w:tc>
          <w:tcPr>
            <w:tcW w:w="900" w:type="dxa"/>
            <w:vAlign w:val="bottom"/>
          </w:tcPr>
          <w:p w14:paraId="68004C14" w14:textId="77777777" w:rsidR="003A4750" w:rsidRPr="00B02BA3" w:rsidRDefault="003A4750" w:rsidP="003A4750">
            <w:pPr>
              <w:pStyle w:val="VSmCellBody"/>
              <w:jc w:val="right"/>
            </w:pPr>
            <w:r w:rsidRPr="00B02BA3">
              <w:t>2</w:t>
            </w:r>
            <w:r>
              <w:t>.</w:t>
            </w:r>
            <w:r w:rsidRPr="00B02BA3">
              <w:t>0</w:t>
            </w:r>
          </w:p>
        </w:tc>
        <w:tc>
          <w:tcPr>
            <w:tcW w:w="234" w:type="dxa"/>
            <w:vAlign w:val="bottom"/>
          </w:tcPr>
          <w:p w14:paraId="6E737D1F" w14:textId="77777777" w:rsidR="003A4750" w:rsidRPr="00B02BA3" w:rsidRDefault="003A4750" w:rsidP="003A4750">
            <w:pPr>
              <w:pStyle w:val="CellRowSpacer"/>
              <w:rPr>
                <w:sz w:val="17"/>
              </w:rPr>
            </w:pPr>
          </w:p>
        </w:tc>
        <w:tc>
          <w:tcPr>
            <w:tcW w:w="900" w:type="dxa"/>
            <w:vAlign w:val="bottom"/>
          </w:tcPr>
          <w:p w14:paraId="5F93F0A4" w14:textId="77777777" w:rsidR="003A4750" w:rsidRPr="00B02BA3" w:rsidRDefault="003A4750" w:rsidP="003A4750">
            <w:pPr>
              <w:pStyle w:val="VSmCellBody"/>
              <w:jc w:val="right"/>
            </w:pPr>
            <w:r w:rsidRPr="00B02BA3">
              <w:t>13</w:t>
            </w:r>
            <w:r>
              <w:t>.</w:t>
            </w:r>
            <w:r w:rsidRPr="00B02BA3">
              <w:t>3</w:t>
            </w:r>
          </w:p>
        </w:tc>
        <w:tc>
          <w:tcPr>
            <w:tcW w:w="234" w:type="dxa"/>
            <w:vAlign w:val="bottom"/>
          </w:tcPr>
          <w:p w14:paraId="4983B073" w14:textId="77777777" w:rsidR="003A4750" w:rsidRPr="00B02BA3" w:rsidRDefault="003A4750" w:rsidP="003A4750">
            <w:pPr>
              <w:pStyle w:val="CellRowSpacer"/>
              <w:rPr>
                <w:sz w:val="17"/>
              </w:rPr>
            </w:pPr>
          </w:p>
        </w:tc>
        <w:tc>
          <w:tcPr>
            <w:tcW w:w="900" w:type="dxa"/>
            <w:vAlign w:val="bottom"/>
          </w:tcPr>
          <w:p w14:paraId="5C1502B1" w14:textId="77777777" w:rsidR="003A4750" w:rsidRPr="00B02BA3" w:rsidRDefault="003A4750" w:rsidP="003A4750">
            <w:pPr>
              <w:pStyle w:val="VSmCellBody"/>
              <w:jc w:val="right"/>
            </w:pPr>
            <w:r>
              <w:t>11.0</w:t>
            </w:r>
          </w:p>
        </w:tc>
        <w:tc>
          <w:tcPr>
            <w:tcW w:w="234" w:type="dxa"/>
            <w:vAlign w:val="bottom"/>
          </w:tcPr>
          <w:p w14:paraId="2D15351E" w14:textId="77777777" w:rsidR="003A4750" w:rsidRPr="00B02BA3" w:rsidRDefault="003A4750" w:rsidP="003A4750">
            <w:pPr>
              <w:pStyle w:val="CellRowSpacer"/>
              <w:rPr>
                <w:sz w:val="17"/>
              </w:rPr>
            </w:pPr>
          </w:p>
        </w:tc>
        <w:tc>
          <w:tcPr>
            <w:tcW w:w="900" w:type="dxa"/>
            <w:vAlign w:val="bottom"/>
          </w:tcPr>
          <w:p w14:paraId="21A37A32" w14:textId="77777777" w:rsidR="003A4750" w:rsidRPr="00B02BA3" w:rsidRDefault="003A4750" w:rsidP="003A4750">
            <w:pPr>
              <w:pStyle w:val="VSmCellBody"/>
              <w:jc w:val="right"/>
            </w:pPr>
            <w:r>
              <w:t>7.2</w:t>
            </w:r>
          </w:p>
        </w:tc>
        <w:tc>
          <w:tcPr>
            <w:tcW w:w="234" w:type="dxa"/>
            <w:vAlign w:val="bottom"/>
          </w:tcPr>
          <w:p w14:paraId="17938FC8" w14:textId="77777777" w:rsidR="003A4750" w:rsidRPr="00B02BA3" w:rsidRDefault="003A4750" w:rsidP="003A4750">
            <w:pPr>
              <w:pStyle w:val="CellRowSpacer"/>
              <w:rPr>
                <w:sz w:val="17"/>
              </w:rPr>
            </w:pPr>
          </w:p>
        </w:tc>
      </w:tr>
      <w:tr w:rsidR="003A4750" w:rsidRPr="00B02BA3" w14:paraId="7109E06A" w14:textId="77777777" w:rsidTr="003A4750">
        <w:tc>
          <w:tcPr>
            <w:tcW w:w="3141" w:type="dxa"/>
            <w:vAlign w:val="bottom"/>
          </w:tcPr>
          <w:p w14:paraId="74C1FEED" w14:textId="77777777" w:rsidR="003A4750" w:rsidRPr="00B02BA3" w:rsidRDefault="003A4750" w:rsidP="003A4750">
            <w:pPr>
              <w:pStyle w:val="VSmCellBody"/>
              <w:tabs>
                <w:tab w:val="right" w:leader="dot" w:pos="3163"/>
              </w:tabs>
              <w:bidi/>
              <w:ind w:left="407"/>
            </w:pPr>
            <w:r w:rsidRPr="00A2196C">
              <w:rPr>
                <w:rtl/>
              </w:rPr>
              <w:t>حصة نتائج الاستثمارات المحسوبة على أساس حقوق الملكية</w:t>
            </w:r>
            <w:r w:rsidRPr="00B02BA3">
              <w:rPr>
                <w:szCs w:val="17"/>
              </w:rPr>
              <w:tab/>
            </w:r>
          </w:p>
        </w:tc>
        <w:tc>
          <w:tcPr>
            <w:tcW w:w="235" w:type="dxa"/>
            <w:vAlign w:val="bottom"/>
          </w:tcPr>
          <w:p w14:paraId="515DAEA7" w14:textId="77777777" w:rsidR="003A4750" w:rsidRPr="00B02BA3" w:rsidRDefault="003A4750" w:rsidP="003A4750">
            <w:pPr>
              <w:pStyle w:val="CellRowSpacer"/>
              <w:rPr>
                <w:sz w:val="17"/>
              </w:rPr>
            </w:pPr>
          </w:p>
        </w:tc>
        <w:tc>
          <w:tcPr>
            <w:tcW w:w="901" w:type="dxa"/>
            <w:tcBorders>
              <w:bottom w:val="single" w:sz="4" w:space="0" w:color="auto"/>
            </w:tcBorders>
            <w:vAlign w:val="bottom"/>
          </w:tcPr>
          <w:p w14:paraId="12020D85" w14:textId="77777777" w:rsidR="003A4750" w:rsidRPr="00B02BA3" w:rsidRDefault="003A4750" w:rsidP="003A4750">
            <w:pPr>
              <w:pStyle w:val="VSmCellBody"/>
              <w:jc w:val="right"/>
            </w:pPr>
            <w:r w:rsidRPr="00B02BA3">
              <w:t>3</w:t>
            </w:r>
            <w:r>
              <w:t>.3</w:t>
            </w:r>
          </w:p>
        </w:tc>
        <w:tc>
          <w:tcPr>
            <w:tcW w:w="235" w:type="dxa"/>
            <w:vAlign w:val="bottom"/>
          </w:tcPr>
          <w:p w14:paraId="73CD5A6A" w14:textId="77777777" w:rsidR="003A4750" w:rsidRPr="00B02BA3" w:rsidRDefault="003A4750" w:rsidP="003A4750">
            <w:pPr>
              <w:pStyle w:val="CellRowSpacer"/>
              <w:rPr>
                <w:sz w:val="17"/>
              </w:rPr>
            </w:pPr>
          </w:p>
        </w:tc>
        <w:tc>
          <w:tcPr>
            <w:tcW w:w="900" w:type="dxa"/>
            <w:tcBorders>
              <w:bottom w:val="single" w:sz="4" w:space="0" w:color="auto"/>
            </w:tcBorders>
            <w:vAlign w:val="bottom"/>
          </w:tcPr>
          <w:p w14:paraId="28129011" w14:textId="77777777" w:rsidR="003A4750" w:rsidRPr="00B02BA3" w:rsidRDefault="003A4750" w:rsidP="003A4750">
            <w:pPr>
              <w:pStyle w:val="VSmCellBody"/>
              <w:jc w:val="right"/>
            </w:pPr>
            <w:r w:rsidRPr="00B02BA3">
              <w:t>(6</w:t>
            </w:r>
            <w:r>
              <w:t>.8</w:t>
            </w:r>
            <w:r w:rsidR="00CA14B3">
              <w:t>)</w:t>
            </w:r>
          </w:p>
        </w:tc>
        <w:tc>
          <w:tcPr>
            <w:tcW w:w="234" w:type="dxa"/>
            <w:vAlign w:val="bottom"/>
          </w:tcPr>
          <w:p w14:paraId="6B2DA3E1" w14:textId="77777777" w:rsidR="003A4750" w:rsidRPr="00B02BA3" w:rsidRDefault="003A4750" w:rsidP="003A4750">
            <w:pPr>
              <w:pStyle w:val="CellRowSpacer"/>
              <w:rPr>
                <w:sz w:val="17"/>
              </w:rPr>
            </w:pPr>
          </w:p>
        </w:tc>
        <w:tc>
          <w:tcPr>
            <w:tcW w:w="900" w:type="dxa"/>
            <w:tcBorders>
              <w:bottom w:val="single" w:sz="4" w:space="0" w:color="auto"/>
            </w:tcBorders>
            <w:vAlign w:val="bottom"/>
          </w:tcPr>
          <w:p w14:paraId="50F4E86C" w14:textId="77777777" w:rsidR="003A4750" w:rsidRPr="00B02BA3" w:rsidRDefault="003A4750" w:rsidP="003A4750">
            <w:pPr>
              <w:pStyle w:val="VSmCellBody"/>
              <w:jc w:val="right"/>
            </w:pPr>
            <w:r>
              <w:t>1.0</w:t>
            </w:r>
          </w:p>
        </w:tc>
        <w:tc>
          <w:tcPr>
            <w:tcW w:w="234" w:type="dxa"/>
            <w:vAlign w:val="bottom"/>
          </w:tcPr>
          <w:p w14:paraId="5E855079" w14:textId="77777777" w:rsidR="003A4750" w:rsidRPr="00B02BA3" w:rsidRDefault="003A4750" w:rsidP="003A4750">
            <w:pPr>
              <w:pStyle w:val="CellRowSpacer"/>
              <w:rPr>
                <w:sz w:val="17"/>
              </w:rPr>
            </w:pPr>
          </w:p>
        </w:tc>
        <w:tc>
          <w:tcPr>
            <w:tcW w:w="900" w:type="dxa"/>
            <w:tcBorders>
              <w:bottom w:val="single" w:sz="4" w:space="0" w:color="auto"/>
            </w:tcBorders>
            <w:vAlign w:val="bottom"/>
          </w:tcPr>
          <w:p w14:paraId="3B6D189C" w14:textId="77777777" w:rsidR="003A4750" w:rsidRPr="00B02BA3" w:rsidRDefault="003A4750" w:rsidP="003A4750">
            <w:pPr>
              <w:pStyle w:val="VSmCellBody"/>
              <w:jc w:val="right"/>
            </w:pPr>
            <w:r>
              <w:t>0.6</w:t>
            </w:r>
          </w:p>
        </w:tc>
        <w:tc>
          <w:tcPr>
            <w:tcW w:w="234" w:type="dxa"/>
            <w:vAlign w:val="bottom"/>
          </w:tcPr>
          <w:p w14:paraId="6355ECAA" w14:textId="77777777" w:rsidR="003A4750" w:rsidRPr="00B02BA3" w:rsidRDefault="003A4750" w:rsidP="003A4750">
            <w:pPr>
              <w:pStyle w:val="CellRowSpacer"/>
              <w:rPr>
                <w:sz w:val="17"/>
              </w:rPr>
            </w:pPr>
          </w:p>
        </w:tc>
        <w:tc>
          <w:tcPr>
            <w:tcW w:w="900" w:type="dxa"/>
            <w:tcBorders>
              <w:bottom w:val="single" w:sz="4" w:space="0" w:color="auto"/>
            </w:tcBorders>
            <w:vAlign w:val="bottom"/>
          </w:tcPr>
          <w:p w14:paraId="72652759" w14:textId="77777777" w:rsidR="003A4750" w:rsidRPr="00B02BA3" w:rsidRDefault="003A4750" w:rsidP="003A4750">
            <w:pPr>
              <w:pStyle w:val="VSmCellBody"/>
              <w:jc w:val="right"/>
            </w:pPr>
            <w:r>
              <w:t>0.9</w:t>
            </w:r>
          </w:p>
        </w:tc>
        <w:tc>
          <w:tcPr>
            <w:tcW w:w="234" w:type="dxa"/>
            <w:vAlign w:val="bottom"/>
          </w:tcPr>
          <w:p w14:paraId="2DA36942" w14:textId="77777777" w:rsidR="003A4750" w:rsidRPr="00B02BA3" w:rsidRDefault="003A4750" w:rsidP="003A4750">
            <w:pPr>
              <w:pStyle w:val="CellRowSpacer"/>
              <w:rPr>
                <w:sz w:val="17"/>
              </w:rPr>
            </w:pPr>
          </w:p>
        </w:tc>
      </w:tr>
      <w:tr w:rsidR="003A4750" w:rsidRPr="00B02BA3" w14:paraId="691CC290" w14:textId="77777777" w:rsidTr="003A4750">
        <w:tc>
          <w:tcPr>
            <w:tcW w:w="3141" w:type="dxa"/>
            <w:vAlign w:val="bottom"/>
          </w:tcPr>
          <w:p w14:paraId="22F341BD" w14:textId="77777777" w:rsidR="003A4750" w:rsidRPr="00B02BA3" w:rsidRDefault="003A4750" w:rsidP="003A4750">
            <w:pPr>
              <w:pStyle w:val="VSmCellBody"/>
              <w:tabs>
                <w:tab w:val="right" w:leader="dot" w:pos="3163"/>
              </w:tabs>
              <w:bidi/>
              <w:rPr>
                <w:b/>
                <w:bCs/>
              </w:rPr>
            </w:pPr>
            <w:r>
              <w:rPr>
                <w:rFonts w:hint="cs"/>
                <w:b/>
                <w:bCs/>
                <w:rtl/>
              </w:rPr>
              <w:t>الأرباح قبل حساب الضرائب</w:t>
            </w:r>
            <w:r w:rsidRPr="00B02BA3">
              <w:rPr>
                <w:szCs w:val="17"/>
              </w:rPr>
              <w:tab/>
            </w:r>
          </w:p>
        </w:tc>
        <w:tc>
          <w:tcPr>
            <w:tcW w:w="235" w:type="dxa"/>
            <w:vAlign w:val="bottom"/>
          </w:tcPr>
          <w:p w14:paraId="692DB39E" w14:textId="77777777" w:rsidR="003A4750" w:rsidRPr="00B02BA3" w:rsidRDefault="003A4750" w:rsidP="003A4750">
            <w:pPr>
              <w:pStyle w:val="CellRowSpacer"/>
              <w:rPr>
                <w:b/>
                <w:bCs/>
                <w:sz w:val="17"/>
              </w:rPr>
            </w:pPr>
          </w:p>
        </w:tc>
        <w:tc>
          <w:tcPr>
            <w:tcW w:w="901" w:type="dxa"/>
            <w:tcBorders>
              <w:top w:val="single" w:sz="4" w:space="0" w:color="auto"/>
            </w:tcBorders>
            <w:vAlign w:val="bottom"/>
          </w:tcPr>
          <w:p w14:paraId="1950AAF0" w14:textId="77777777" w:rsidR="003A4750" w:rsidRPr="00B02BA3" w:rsidRDefault="003A4750" w:rsidP="003A4750">
            <w:pPr>
              <w:pStyle w:val="VSmCellBody"/>
              <w:jc w:val="right"/>
            </w:pPr>
            <w:r w:rsidRPr="00B02BA3">
              <w:t>21</w:t>
            </w:r>
            <w:r>
              <w:t>.2</w:t>
            </w:r>
          </w:p>
        </w:tc>
        <w:tc>
          <w:tcPr>
            <w:tcW w:w="235" w:type="dxa"/>
            <w:vAlign w:val="bottom"/>
          </w:tcPr>
          <w:p w14:paraId="46BA7A4D"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7AF2AFE4" w14:textId="77777777" w:rsidR="003A4750" w:rsidRPr="00B02BA3" w:rsidRDefault="003A4750" w:rsidP="003A4750">
            <w:pPr>
              <w:pStyle w:val="VSmCellBody"/>
              <w:jc w:val="right"/>
            </w:pPr>
            <w:r w:rsidRPr="00B02BA3">
              <w:t>41</w:t>
            </w:r>
            <w:r>
              <w:t>.1</w:t>
            </w:r>
          </w:p>
        </w:tc>
        <w:tc>
          <w:tcPr>
            <w:tcW w:w="234" w:type="dxa"/>
            <w:vAlign w:val="bottom"/>
          </w:tcPr>
          <w:p w14:paraId="4B52A873"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3D152FE6" w14:textId="77777777" w:rsidR="003A4750" w:rsidRPr="00B02BA3" w:rsidRDefault="003A4750" w:rsidP="003A4750">
            <w:pPr>
              <w:pStyle w:val="VSmCellBody"/>
              <w:jc w:val="right"/>
            </w:pPr>
            <w:r w:rsidRPr="00B02BA3">
              <w:t>37</w:t>
            </w:r>
            <w:r>
              <w:t>.</w:t>
            </w:r>
            <w:r w:rsidRPr="00B02BA3">
              <w:t>3</w:t>
            </w:r>
          </w:p>
        </w:tc>
        <w:tc>
          <w:tcPr>
            <w:tcW w:w="234" w:type="dxa"/>
            <w:vAlign w:val="bottom"/>
          </w:tcPr>
          <w:p w14:paraId="70DB6883"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2C456140" w14:textId="77777777" w:rsidR="003A4750" w:rsidRPr="00B02BA3" w:rsidRDefault="003A4750" w:rsidP="003A4750">
            <w:pPr>
              <w:pStyle w:val="VSmCellBody"/>
              <w:jc w:val="right"/>
            </w:pPr>
            <w:r>
              <w:t>18.1</w:t>
            </w:r>
          </w:p>
        </w:tc>
        <w:tc>
          <w:tcPr>
            <w:tcW w:w="234" w:type="dxa"/>
            <w:vAlign w:val="bottom"/>
          </w:tcPr>
          <w:p w14:paraId="7CB0B13C"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218C3499" w14:textId="77777777" w:rsidR="003A4750" w:rsidRPr="00B02BA3" w:rsidRDefault="003A4750" w:rsidP="003A4750">
            <w:pPr>
              <w:pStyle w:val="VSmCellBody"/>
              <w:jc w:val="right"/>
            </w:pPr>
            <w:r>
              <w:t>45.1</w:t>
            </w:r>
          </w:p>
        </w:tc>
        <w:tc>
          <w:tcPr>
            <w:tcW w:w="234" w:type="dxa"/>
            <w:vAlign w:val="bottom"/>
          </w:tcPr>
          <w:p w14:paraId="1ACA9758" w14:textId="77777777" w:rsidR="003A4750" w:rsidRPr="00B02BA3" w:rsidRDefault="003A4750" w:rsidP="003A4750">
            <w:pPr>
              <w:pStyle w:val="CellRowSpacer"/>
              <w:rPr>
                <w:b/>
                <w:bCs/>
                <w:sz w:val="17"/>
              </w:rPr>
            </w:pPr>
          </w:p>
        </w:tc>
      </w:tr>
      <w:tr w:rsidR="003A4750" w:rsidRPr="00B02BA3" w14:paraId="7ACCFE14" w14:textId="77777777" w:rsidTr="003A4750">
        <w:tc>
          <w:tcPr>
            <w:tcW w:w="3141" w:type="dxa"/>
            <w:vAlign w:val="bottom"/>
          </w:tcPr>
          <w:p w14:paraId="0F6105FA" w14:textId="77777777" w:rsidR="003A4750" w:rsidRPr="00B02BA3" w:rsidRDefault="003A4750" w:rsidP="003A4750">
            <w:pPr>
              <w:pStyle w:val="VSmCellBody"/>
              <w:tabs>
                <w:tab w:val="right" w:leader="dot" w:pos="3163"/>
              </w:tabs>
              <w:bidi/>
              <w:ind w:firstLine="407"/>
            </w:pPr>
            <w:r>
              <w:rPr>
                <w:rFonts w:hint="cs"/>
                <w:rtl/>
              </w:rPr>
              <w:t>ضريبة الدخل</w:t>
            </w:r>
            <w:r w:rsidRPr="00B02BA3">
              <w:rPr>
                <w:szCs w:val="17"/>
              </w:rPr>
              <w:tab/>
            </w:r>
          </w:p>
        </w:tc>
        <w:tc>
          <w:tcPr>
            <w:tcW w:w="235" w:type="dxa"/>
            <w:vAlign w:val="bottom"/>
          </w:tcPr>
          <w:p w14:paraId="182EFE5F" w14:textId="77777777" w:rsidR="003A4750" w:rsidRPr="00B02BA3" w:rsidRDefault="003A4750" w:rsidP="003A4750">
            <w:pPr>
              <w:pStyle w:val="CellRowSpacer"/>
              <w:rPr>
                <w:sz w:val="17"/>
              </w:rPr>
            </w:pPr>
          </w:p>
        </w:tc>
        <w:tc>
          <w:tcPr>
            <w:tcW w:w="901" w:type="dxa"/>
            <w:tcBorders>
              <w:bottom w:val="single" w:sz="4" w:space="0" w:color="auto"/>
            </w:tcBorders>
            <w:vAlign w:val="bottom"/>
          </w:tcPr>
          <w:p w14:paraId="5DE13EFA" w14:textId="77777777" w:rsidR="003A4750" w:rsidRPr="00B02BA3" w:rsidRDefault="003A4750" w:rsidP="003A4750">
            <w:pPr>
              <w:pStyle w:val="VSmCellBody"/>
              <w:jc w:val="right"/>
            </w:pPr>
            <w:r w:rsidRPr="00B02BA3">
              <w:t>(</w:t>
            </w:r>
            <w:r>
              <w:t>0.4</w:t>
            </w:r>
            <w:r w:rsidR="00CA14B3">
              <w:t>)</w:t>
            </w:r>
          </w:p>
        </w:tc>
        <w:tc>
          <w:tcPr>
            <w:tcW w:w="235" w:type="dxa"/>
            <w:vAlign w:val="bottom"/>
          </w:tcPr>
          <w:p w14:paraId="2539ED11" w14:textId="77777777" w:rsidR="003A4750" w:rsidRPr="00B02BA3" w:rsidRDefault="003A4750" w:rsidP="003A4750">
            <w:pPr>
              <w:pStyle w:val="CellRowSpacer"/>
              <w:rPr>
                <w:sz w:val="17"/>
              </w:rPr>
            </w:pPr>
          </w:p>
        </w:tc>
        <w:tc>
          <w:tcPr>
            <w:tcW w:w="900" w:type="dxa"/>
            <w:tcBorders>
              <w:bottom w:val="single" w:sz="4" w:space="0" w:color="auto"/>
            </w:tcBorders>
            <w:vAlign w:val="bottom"/>
          </w:tcPr>
          <w:p w14:paraId="3A485C66" w14:textId="77777777" w:rsidR="003A4750" w:rsidRPr="00B02BA3" w:rsidRDefault="003A4750" w:rsidP="003A4750">
            <w:pPr>
              <w:pStyle w:val="VSmCellBody"/>
              <w:jc w:val="right"/>
            </w:pPr>
            <w:r w:rsidRPr="00B02BA3">
              <w:t>1</w:t>
            </w:r>
            <w:r>
              <w:t>.</w:t>
            </w:r>
            <w:r w:rsidRPr="00B02BA3">
              <w:t>7</w:t>
            </w:r>
          </w:p>
        </w:tc>
        <w:tc>
          <w:tcPr>
            <w:tcW w:w="234" w:type="dxa"/>
            <w:vAlign w:val="bottom"/>
          </w:tcPr>
          <w:p w14:paraId="050D89E1" w14:textId="77777777" w:rsidR="003A4750" w:rsidRPr="00B02BA3" w:rsidRDefault="003A4750" w:rsidP="003A4750">
            <w:pPr>
              <w:pStyle w:val="CellRowSpacer"/>
              <w:rPr>
                <w:sz w:val="17"/>
              </w:rPr>
            </w:pPr>
          </w:p>
        </w:tc>
        <w:tc>
          <w:tcPr>
            <w:tcW w:w="900" w:type="dxa"/>
            <w:tcBorders>
              <w:bottom w:val="single" w:sz="4" w:space="0" w:color="auto"/>
            </w:tcBorders>
            <w:vAlign w:val="bottom"/>
          </w:tcPr>
          <w:p w14:paraId="736F2186" w14:textId="77777777" w:rsidR="003A4750" w:rsidRPr="00B02BA3" w:rsidRDefault="003A4750" w:rsidP="003A4750">
            <w:pPr>
              <w:pStyle w:val="VSmCellBody"/>
              <w:jc w:val="right"/>
            </w:pPr>
            <w:r w:rsidRPr="00B02BA3">
              <w:t>2</w:t>
            </w:r>
            <w:r>
              <w:t>.2</w:t>
            </w:r>
          </w:p>
        </w:tc>
        <w:tc>
          <w:tcPr>
            <w:tcW w:w="234" w:type="dxa"/>
            <w:vAlign w:val="bottom"/>
          </w:tcPr>
          <w:p w14:paraId="09661901" w14:textId="77777777" w:rsidR="003A4750" w:rsidRPr="00B02BA3" w:rsidRDefault="003A4750" w:rsidP="003A4750">
            <w:pPr>
              <w:pStyle w:val="CellRowSpacer"/>
              <w:rPr>
                <w:sz w:val="17"/>
              </w:rPr>
            </w:pPr>
          </w:p>
        </w:tc>
        <w:tc>
          <w:tcPr>
            <w:tcW w:w="900" w:type="dxa"/>
            <w:tcBorders>
              <w:bottom w:val="single" w:sz="4" w:space="0" w:color="auto"/>
            </w:tcBorders>
            <w:vAlign w:val="bottom"/>
          </w:tcPr>
          <w:p w14:paraId="2CD9F0A4" w14:textId="77777777" w:rsidR="003A4750" w:rsidRPr="00B02BA3" w:rsidRDefault="003A4750" w:rsidP="003A4750">
            <w:pPr>
              <w:pStyle w:val="VSmCellBody"/>
              <w:jc w:val="right"/>
            </w:pPr>
            <w:r>
              <w:t>0.1</w:t>
            </w:r>
          </w:p>
        </w:tc>
        <w:tc>
          <w:tcPr>
            <w:tcW w:w="234" w:type="dxa"/>
            <w:vAlign w:val="bottom"/>
          </w:tcPr>
          <w:p w14:paraId="3FF17CAC" w14:textId="77777777" w:rsidR="003A4750" w:rsidRPr="00B02BA3" w:rsidRDefault="003A4750" w:rsidP="003A4750">
            <w:pPr>
              <w:pStyle w:val="CellRowSpacer"/>
              <w:rPr>
                <w:sz w:val="17"/>
              </w:rPr>
            </w:pPr>
          </w:p>
        </w:tc>
        <w:tc>
          <w:tcPr>
            <w:tcW w:w="900" w:type="dxa"/>
            <w:tcBorders>
              <w:bottom w:val="single" w:sz="4" w:space="0" w:color="auto"/>
            </w:tcBorders>
          </w:tcPr>
          <w:p w14:paraId="2E48BC0F" w14:textId="77777777" w:rsidR="003A4750" w:rsidRPr="00B02BA3" w:rsidRDefault="003A4750" w:rsidP="003A4750">
            <w:pPr>
              <w:pStyle w:val="VSmCellBody"/>
              <w:jc w:val="right"/>
            </w:pPr>
            <w:r>
              <w:t>0.8</w:t>
            </w:r>
          </w:p>
        </w:tc>
        <w:tc>
          <w:tcPr>
            <w:tcW w:w="234" w:type="dxa"/>
            <w:vAlign w:val="bottom"/>
          </w:tcPr>
          <w:p w14:paraId="376362AB" w14:textId="77777777" w:rsidR="003A4750" w:rsidRPr="00B02BA3" w:rsidRDefault="003A4750" w:rsidP="003A4750">
            <w:pPr>
              <w:pStyle w:val="CellRowSpacer"/>
              <w:rPr>
                <w:sz w:val="17"/>
              </w:rPr>
            </w:pPr>
          </w:p>
        </w:tc>
      </w:tr>
      <w:tr w:rsidR="003A4750" w:rsidRPr="00B02BA3" w14:paraId="2D4A664B" w14:textId="77777777" w:rsidTr="003A4750">
        <w:tc>
          <w:tcPr>
            <w:tcW w:w="3141" w:type="dxa"/>
            <w:vAlign w:val="bottom"/>
          </w:tcPr>
          <w:p w14:paraId="253C3BCE" w14:textId="77777777" w:rsidR="003A4750" w:rsidRPr="00B02BA3" w:rsidRDefault="003A4750" w:rsidP="003A4750">
            <w:pPr>
              <w:pStyle w:val="VSmCellBody"/>
              <w:tabs>
                <w:tab w:val="right" w:leader="dot" w:pos="3163"/>
              </w:tabs>
              <w:bidi/>
              <w:rPr>
                <w:b/>
                <w:bCs/>
              </w:rPr>
            </w:pPr>
            <w:r>
              <w:rPr>
                <w:rFonts w:hint="cs"/>
                <w:b/>
                <w:bCs/>
                <w:rtl/>
              </w:rPr>
              <w:t>الأرباح عن الفترة</w:t>
            </w:r>
            <w:r w:rsidRPr="00B02BA3">
              <w:rPr>
                <w:szCs w:val="17"/>
              </w:rPr>
              <w:tab/>
            </w:r>
          </w:p>
        </w:tc>
        <w:tc>
          <w:tcPr>
            <w:tcW w:w="235" w:type="dxa"/>
            <w:vAlign w:val="bottom"/>
          </w:tcPr>
          <w:p w14:paraId="12CF0F1A" w14:textId="77777777" w:rsidR="003A4750" w:rsidRPr="00B02BA3" w:rsidRDefault="003A4750" w:rsidP="003A4750">
            <w:pPr>
              <w:pStyle w:val="CellRowSpacer"/>
              <w:rPr>
                <w:b/>
                <w:bCs/>
                <w:sz w:val="17"/>
              </w:rPr>
            </w:pPr>
          </w:p>
        </w:tc>
        <w:tc>
          <w:tcPr>
            <w:tcW w:w="901" w:type="dxa"/>
            <w:tcBorders>
              <w:top w:val="single" w:sz="4" w:space="0" w:color="auto"/>
              <w:bottom w:val="single" w:sz="4" w:space="0" w:color="auto"/>
            </w:tcBorders>
            <w:vAlign w:val="bottom"/>
          </w:tcPr>
          <w:p w14:paraId="2C8313F1" w14:textId="77777777" w:rsidR="003A4750" w:rsidRPr="00B02BA3" w:rsidRDefault="003A4750" w:rsidP="003A4750">
            <w:pPr>
              <w:pStyle w:val="VSmCellBody"/>
              <w:jc w:val="right"/>
            </w:pPr>
            <w:r w:rsidRPr="00B02BA3">
              <w:t>20</w:t>
            </w:r>
            <w:r>
              <w:t>.</w:t>
            </w:r>
            <w:r w:rsidRPr="00B02BA3">
              <w:t>7</w:t>
            </w:r>
          </w:p>
        </w:tc>
        <w:tc>
          <w:tcPr>
            <w:tcW w:w="235" w:type="dxa"/>
            <w:vAlign w:val="bottom"/>
          </w:tcPr>
          <w:p w14:paraId="3BA0C092" w14:textId="77777777" w:rsidR="003A4750" w:rsidRPr="00B02BA3" w:rsidRDefault="003A4750" w:rsidP="003A4750">
            <w:pPr>
              <w:pStyle w:val="CellRowSpacer"/>
              <w:rPr>
                <w:sz w:val="17"/>
              </w:rPr>
            </w:pPr>
          </w:p>
        </w:tc>
        <w:tc>
          <w:tcPr>
            <w:tcW w:w="900" w:type="dxa"/>
            <w:tcBorders>
              <w:top w:val="single" w:sz="4" w:space="0" w:color="auto"/>
              <w:bottom w:val="single" w:sz="4" w:space="0" w:color="auto"/>
            </w:tcBorders>
            <w:vAlign w:val="bottom"/>
          </w:tcPr>
          <w:p w14:paraId="21086779" w14:textId="77777777" w:rsidR="003A4750" w:rsidRPr="00B02BA3" w:rsidRDefault="003A4750" w:rsidP="003A4750">
            <w:pPr>
              <w:pStyle w:val="VSmCellBody"/>
              <w:jc w:val="right"/>
            </w:pPr>
            <w:r w:rsidRPr="00B02BA3">
              <w:t>42</w:t>
            </w:r>
            <w:r>
              <w:t>.</w:t>
            </w:r>
            <w:r w:rsidRPr="00B02BA3">
              <w:t>8</w:t>
            </w:r>
          </w:p>
        </w:tc>
        <w:tc>
          <w:tcPr>
            <w:tcW w:w="234" w:type="dxa"/>
            <w:vAlign w:val="bottom"/>
          </w:tcPr>
          <w:p w14:paraId="5A765CE7" w14:textId="77777777" w:rsidR="003A4750" w:rsidRPr="00B02BA3" w:rsidRDefault="003A4750" w:rsidP="003A4750">
            <w:pPr>
              <w:pStyle w:val="CellRowSpacer"/>
              <w:rPr>
                <w:sz w:val="17"/>
              </w:rPr>
            </w:pPr>
          </w:p>
        </w:tc>
        <w:tc>
          <w:tcPr>
            <w:tcW w:w="900" w:type="dxa"/>
            <w:tcBorders>
              <w:top w:val="single" w:sz="4" w:space="0" w:color="auto"/>
              <w:bottom w:val="single" w:sz="4" w:space="0" w:color="auto"/>
            </w:tcBorders>
            <w:vAlign w:val="bottom"/>
          </w:tcPr>
          <w:p w14:paraId="09D702DB" w14:textId="77777777" w:rsidR="003A4750" w:rsidRPr="00B02BA3" w:rsidRDefault="003A4750" w:rsidP="003A4750">
            <w:pPr>
              <w:pStyle w:val="VSmCellBody"/>
              <w:jc w:val="right"/>
            </w:pPr>
            <w:r w:rsidRPr="00B02BA3">
              <w:t>39</w:t>
            </w:r>
            <w:r>
              <w:t>.5</w:t>
            </w:r>
          </w:p>
        </w:tc>
        <w:tc>
          <w:tcPr>
            <w:tcW w:w="234" w:type="dxa"/>
            <w:vAlign w:val="bottom"/>
          </w:tcPr>
          <w:p w14:paraId="1895457B" w14:textId="77777777" w:rsidR="003A4750" w:rsidRPr="00B02BA3" w:rsidRDefault="003A4750" w:rsidP="003A4750">
            <w:pPr>
              <w:pStyle w:val="CellRowSpacer"/>
              <w:rPr>
                <w:sz w:val="17"/>
              </w:rPr>
            </w:pPr>
          </w:p>
        </w:tc>
        <w:tc>
          <w:tcPr>
            <w:tcW w:w="900" w:type="dxa"/>
            <w:tcBorders>
              <w:top w:val="single" w:sz="4" w:space="0" w:color="auto"/>
              <w:bottom w:val="single" w:sz="4" w:space="0" w:color="auto"/>
            </w:tcBorders>
            <w:vAlign w:val="bottom"/>
          </w:tcPr>
          <w:p w14:paraId="319742D2" w14:textId="77777777" w:rsidR="003A4750" w:rsidRPr="00B02BA3" w:rsidRDefault="003A4750" w:rsidP="003A4750">
            <w:pPr>
              <w:pStyle w:val="VSmCellBody"/>
              <w:jc w:val="right"/>
            </w:pPr>
            <w:r>
              <w:t>18.2</w:t>
            </w:r>
          </w:p>
        </w:tc>
        <w:tc>
          <w:tcPr>
            <w:tcW w:w="234" w:type="dxa"/>
            <w:vAlign w:val="bottom"/>
          </w:tcPr>
          <w:p w14:paraId="12EB428A" w14:textId="77777777" w:rsidR="003A4750" w:rsidRPr="00B02BA3" w:rsidRDefault="003A4750" w:rsidP="003A4750">
            <w:pPr>
              <w:pStyle w:val="CellRowSpacer"/>
              <w:rPr>
                <w:sz w:val="17"/>
              </w:rPr>
            </w:pPr>
          </w:p>
        </w:tc>
        <w:tc>
          <w:tcPr>
            <w:tcW w:w="900" w:type="dxa"/>
            <w:tcBorders>
              <w:top w:val="single" w:sz="4" w:space="0" w:color="auto"/>
              <w:bottom w:val="single" w:sz="4" w:space="0" w:color="auto"/>
            </w:tcBorders>
          </w:tcPr>
          <w:p w14:paraId="66647036" w14:textId="77777777" w:rsidR="003A4750" w:rsidRPr="00B02BA3" w:rsidRDefault="003A4750" w:rsidP="003A4750">
            <w:pPr>
              <w:pStyle w:val="VSmCellBody"/>
              <w:jc w:val="right"/>
            </w:pPr>
            <w:r>
              <w:t>45.9</w:t>
            </w:r>
          </w:p>
        </w:tc>
        <w:tc>
          <w:tcPr>
            <w:tcW w:w="234" w:type="dxa"/>
            <w:vAlign w:val="bottom"/>
          </w:tcPr>
          <w:p w14:paraId="3631BDC8" w14:textId="77777777" w:rsidR="003A4750" w:rsidRPr="00B02BA3" w:rsidRDefault="003A4750" w:rsidP="003A4750">
            <w:pPr>
              <w:pStyle w:val="CellRowSpacer"/>
              <w:rPr>
                <w:b/>
                <w:bCs/>
                <w:sz w:val="17"/>
              </w:rPr>
            </w:pPr>
          </w:p>
        </w:tc>
      </w:tr>
      <w:tr w:rsidR="003A4750" w:rsidRPr="00B02BA3" w14:paraId="02E0DEC8" w14:textId="77777777" w:rsidTr="003A4750">
        <w:tc>
          <w:tcPr>
            <w:tcW w:w="3141" w:type="dxa"/>
            <w:vAlign w:val="bottom"/>
          </w:tcPr>
          <w:p w14:paraId="1A430D69" w14:textId="77777777" w:rsidR="003A4750" w:rsidRPr="00B02BA3" w:rsidRDefault="003A4750" w:rsidP="003A4750">
            <w:pPr>
              <w:pStyle w:val="VSmCellBody"/>
              <w:tabs>
                <w:tab w:val="right" w:leader="dot" w:pos="3163"/>
              </w:tabs>
              <w:bidi/>
            </w:pPr>
            <w:r>
              <w:rPr>
                <w:rFonts w:hint="cs"/>
                <w:rtl/>
              </w:rPr>
              <w:t>الدخل الشامل الآخر عن الفترة، بعد حساب الضريبة</w:t>
            </w:r>
            <w:r w:rsidRPr="00B02BA3">
              <w:rPr>
                <w:szCs w:val="17"/>
              </w:rPr>
              <w:tab/>
            </w:r>
          </w:p>
        </w:tc>
        <w:tc>
          <w:tcPr>
            <w:tcW w:w="235" w:type="dxa"/>
            <w:vAlign w:val="bottom"/>
          </w:tcPr>
          <w:p w14:paraId="19663789" w14:textId="77777777" w:rsidR="003A4750" w:rsidRPr="00B02BA3" w:rsidRDefault="003A4750" w:rsidP="003A4750">
            <w:pPr>
              <w:pStyle w:val="CellRowSpacer"/>
              <w:rPr>
                <w:sz w:val="17"/>
              </w:rPr>
            </w:pPr>
          </w:p>
        </w:tc>
        <w:tc>
          <w:tcPr>
            <w:tcW w:w="901" w:type="dxa"/>
            <w:tcBorders>
              <w:top w:val="single" w:sz="4" w:space="0" w:color="auto"/>
              <w:bottom w:val="single" w:sz="4" w:space="0" w:color="auto"/>
            </w:tcBorders>
            <w:vAlign w:val="bottom"/>
          </w:tcPr>
          <w:p w14:paraId="016D33B4" w14:textId="77777777" w:rsidR="003A4750" w:rsidRPr="00B02BA3" w:rsidRDefault="003A4750" w:rsidP="003A4750">
            <w:pPr>
              <w:pStyle w:val="VSmCellBody"/>
              <w:jc w:val="right"/>
            </w:pPr>
            <w:r w:rsidRPr="00B02BA3">
              <w:t>8</w:t>
            </w:r>
            <w:r>
              <w:t>.</w:t>
            </w:r>
            <w:r w:rsidRPr="00B02BA3">
              <w:t>5</w:t>
            </w:r>
          </w:p>
        </w:tc>
        <w:tc>
          <w:tcPr>
            <w:tcW w:w="235" w:type="dxa"/>
            <w:vAlign w:val="bottom"/>
          </w:tcPr>
          <w:p w14:paraId="556524F4" w14:textId="77777777" w:rsidR="003A4750" w:rsidRPr="00B02BA3" w:rsidRDefault="003A4750" w:rsidP="003A4750">
            <w:pPr>
              <w:pStyle w:val="CellRowSpacer"/>
              <w:rPr>
                <w:sz w:val="17"/>
              </w:rPr>
            </w:pPr>
          </w:p>
        </w:tc>
        <w:tc>
          <w:tcPr>
            <w:tcW w:w="900" w:type="dxa"/>
            <w:tcBorders>
              <w:top w:val="single" w:sz="4" w:space="0" w:color="auto"/>
              <w:bottom w:val="single" w:sz="4" w:space="0" w:color="auto"/>
            </w:tcBorders>
            <w:vAlign w:val="bottom"/>
          </w:tcPr>
          <w:p w14:paraId="2447970F" w14:textId="77777777" w:rsidR="003A4750" w:rsidRPr="00B02BA3" w:rsidRDefault="003A4750" w:rsidP="003A4750">
            <w:pPr>
              <w:pStyle w:val="VSmCellBody"/>
              <w:jc w:val="right"/>
            </w:pPr>
            <w:r w:rsidRPr="00B02BA3">
              <w:t>1</w:t>
            </w:r>
            <w:r>
              <w:t>5.0</w:t>
            </w:r>
          </w:p>
        </w:tc>
        <w:tc>
          <w:tcPr>
            <w:tcW w:w="234" w:type="dxa"/>
            <w:vAlign w:val="bottom"/>
          </w:tcPr>
          <w:p w14:paraId="697AE766" w14:textId="77777777" w:rsidR="003A4750" w:rsidRPr="00B02BA3" w:rsidRDefault="003A4750" w:rsidP="003A4750">
            <w:pPr>
              <w:pStyle w:val="CellRowSpacer"/>
              <w:rPr>
                <w:sz w:val="17"/>
              </w:rPr>
            </w:pPr>
          </w:p>
        </w:tc>
        <w:tc>
          <w:tcPr>
            <w:tcW w:w="900" w:type="dxa"/>
            <w:tcBorders>
              <w:top w:val="single" w:sz="4" w:space="0" w:color="auto"/>
              <w:bottom w:val="single" w:sz="4" w:space="0" w:color="auto"/>
            </w:tcBorders>
            <w:vAlign w:val="bottom"/>
          </w:tcPr>
          <w:p w14:paraId="2B0C22CD" w14:textId="77777777" w:rsidR="003A4750" w:rsidRPr="00B02BA3" w:rsidRDefault="003A4750" w:rsidP="003A4750">
            <w:pPr>
              <w:pStyle w:val="VSmCellBody"/>
              <w:jc w:val="right"/>
            </w:pPr>
            <w:r w:rsidRPr="00B02BA3">
              <w:t>(7</w:t>
            </w:r>
            <w:r>
              <w:t>.</w:t>
            </w:r>
            <w:r w:rsidRPr="00B02BA3">
              <w:t>2</w:t>
            </w:r>
            <w:r w:rsidR="00873A89">
              <w:t>)</w:t>
            </w:r>
          </w:p>
        </w:tc>
        <w:tc>
          <w:tcPr>
            <w:tcW w:w="234" w:type="dxa"/>
            <w:vAlign w:val="bottom"/>
          </w:tcPr>
          <w:p w14:paraId="0B9FD7C9" w14:textId="77777777" w:rsidR="003A4750" w:rsidRPr="00B02BA3" w:rsidRDefault="003A4750" w:rsidP="003A4750">
            <w:pPr>
              <w:pStyle w:val="CellRowSpacer"/>
              <w:rPr>
                <w:sz w:val="17"/>
              </w:rPr>
            </w:pPr>
            <w:r w:rsidRPr="00B02BA3">
              <w:rPr>
                <w:sz w:val="17"/>
              </w:rPr>
              <w:t>)</w:t>
            </w:r>
          </w:p>
        </w:tc>
        <w:tc>
          <w:tcPr>
            <w:tcW w:w="900" w:type="dxa"/>
            <w:tcBorders>
              <w:top w:val="single" w:sz="4" w:space="0" w:color="auto"/>
              <w:bottom w:val="single" w:sz="4" w:space="0" w:color="auto"/>
            </w:tcBorders>
            <w:vAlign w:val="bottom"/>
          </w:tcPr>
          <w:p w14:paraId="0E25EE2C" w14:textId="77777777" w:rsidR="003A4750" w:rsidRPr="00B02BA3" w:rsidRDefault="003A4750" w:rsidP="003A4750">
            <w:pPr>
              <w:pStyle w:val="VSmCellBody"/>
              <w:jc w:val="right"/>
            </w:pPr>
            <w:r>
              <w:t>(5.3</w:t>
            </w:r>
          </w:p>
        </w:tc>
        <w:tc>
          <w:tcPr>
            <w:tcW w:w="234" w:type="dxa"/>
            <w:vAlign w:val="bottom"/>
          </w:tcPr>
          <w:p w14:paraId="602ED1A5" w14:textId="77777777" w:rsidR="003A4750" w:rsidRPr="00B02BA3" w:rsidRDefault="003A4750" w:rsidP="003A4750">
            <w:pPr>
              <w:pStyle w:val="CellRowSpacer"/>
              <w:rPr>
                <w:sz w:val="17"/>
              </w:rPr>
            </w:pPr>
            <w:r>
              <w:rPr>
                <w:sz w:val="17"/>
              </w:rPr>
              <w:t>)</w:t>
            </w:r>
          </w:p>
        </w:tc>
        <w:tc>
          <w:tcPr>
            <w:tcW w:w="900" w:type="dxa"/>
            <w:tcBorders>
              <w:top w:val="single" w:sz="4" w:space="0" w:color="auto"/>
              <w:bottom w:val="single" w:sz="4" w:space="0" w:color="auto"/>
            </w:tcBorders>
            <w:vAlign w:val="bottom"/>
          </w:tcPr>
          <w:p w14:paraId="7F2D819A" w14:textId="77777777" w:rsidR="003A4750" w:rsidRPr="00B02BA3" w:rsidRDefault="003A4750" w:rsidP="003A4750">
            <w:pPr>
              <w:pStyle w:val="VSmCellBody"/>
              <w:jc w:val="right"/>
            </w:pPr>
            <w:r>
              <w:t>(1.7</w:t>
            </w:r>
          </w:p>
        </w:tc>
        <w:tc>
          <w:tcPr>
            <w:tcW w:w="234" w:type="dxa"/>
            <w:vAlign w:val="bottom"/>
          </w:tcPr>
          <w:p w14:paraId="0FD1E8E9" w14:textId="77777777" w:rsidR="003A4750" w:rsidRPr="00B02BA3" w:rsidRDefault="003A4750" w:rsidP="003A4750">
            <w:pPr>
              <w:pStyle w:val="CellRowSpacer"/>
              <w:rPr>
                <w:sz w:val="17"/>
              </w:rPr>
            </w:pPr>
          </w:p>
        </w:tc>
      </w:tr>
      <w:tr w:rsidR="003A4750" w:rsidRPr="00B02BA3" w14:paraId="1096CAF6" w14:textId="77777777" w:rsidTr="003A4750">
        <w:tc>
          <w:tcPr>
            <w:tcW w:w="3141" w:type="dxa"/>
            <w:vAlign w:val="bottom"/>
          </w:tcPr>
          <w:p w14:paraId="07CF519C" w14:textId="77777777" w:rsidR="003A4750" w:rsidRPr="00B02BA3" w:rsidRDefault="003A4750" w:rsidP="003A4750">
            <w:pPr>
              <w:pStyle w:val="VSmCellBody"/>
              <w:tabs>
                <w:tab w:val="right" w:leader="dot" w:pos="3163"/>
              </w:tabs>
              <w:bidi/>
              <w:rPr>
                <w:b/>
                <w:bCs/>
              </w:rPr>
            </w:pPr>
            <w:r>
              <w:rPr>
                <w:rFonts w:hint="cs"/>
                <w:b/>
                <w:bCs/>
                <w:rtl/>
              </w:rPr>
              <w:t>إجمالي الدخل الشامل عن الفترة</w:t>
            </w:r>
          </w:p>
        </w:tc>
        <w:tc>
          <w:tcPr>
            <w:tcW w:w="235" w:type="dxa"/>
            <w:vAlign w:val="bottom"/>
          </w:tcPr>
          <w:p w14:paraId="377A94EF" w14:textId="77777777" w:rsidR="003A4750" w:rsidRPr="00B02BA3" w:rsidRDefault="003A4750" w:rsidP="003A4750">
            <w:pPr>
              <w:pStyle w:val="CellRowSpacer"/>
              <w:rPr>
                <w:b/>
                <w:bCs/>
                <w:sz w:val="17"/>
              </w:rPr>
            </w:pPr>
          </w:p>
        </w:tc>
        <w:tc>
          <w:tcPr>
            <w:tcW w:w="901" w:type="dxa"/>
            <w:tcBorders>
              <w:top w:val="single" w:sz="4" w:space="0" w:color="auto"/>
              <w:bottom w:val="single" w:sz="4" w:space="0" w:color="auto"/>
            </w:tcBorders>
            <w:vAlign w:val="bottom"/>
          </w:tcPr>
          <w:p w14:paraId="74B05553" w14:textId="77777777" w:rsidR="003A4750" w:rsidRPr="00B02BA3" w:rsidRDefault="003A4750" w:rsidP="003A4750">
            <w:pPr>
              <w:pStyle w:val="VSmCellBody"/>
              <w:jc w:val="right"/>
            </w:pPr>
            <w:r w:rsidRPr="00B02BA3">
              <w:t>29</w:t>
            </w:r>
            <w:r>
              <w:t>.3</w:t>
            </w:r>
          </w:p>
        </w:tc>
        <w:tc>
          <w:tcPr>
            <w:tcW w:w="235" w:type="dxa"/>
            <w:vAlign w:val="bottom"/>
          </w:tcPr>
          <w:p w14:paraId="2BC65122" w14:textId="77777777" w:rsidR="003A4750" w:rsidRPr="00B02BA3" w:rsidRDefault="003A4750" w:rsidP="003A4750">
            <w:pPr>
              <w:pStyle w:val="CellRowSpacer"/>
              <w:rPr>
                <w:sz w:val="17"/>
              </w:rPr>
            </w:pPr>
          </w:p>
        </w:tc>
        <w:tc>
          <w:tcPr>
            <w:tcW w:w="900" w:type="dxa"/>
            <w:tcBorders>
              <w:top w:val="single" w:sz="4" w:space="0" w:color="auto"/>
              <w:bottom w:val="single" w:sz="4" w:space="0" w:color="auto"/>
            </w:tcBorders>
            <w:vAlign w:val="bottom"/>
          </w:tcPr>
          <w:p w14:paraId="7223421E" w14:textId="77777777" w:rsidR="003A4750" w:rsidRPr="00B02BA3" w:rsidRDefault="003A4750" w:rsidP="003A4750">
            <w:pPr>
              <w:pStyle w:val="VSmCellBody"/>
              <w:jc w:val="right"/>
            </w:pPr>
            <w:r w:rsidRPr="00B02BA3">
              <w:t>57</w:t>
            </w:r>
            <w:r>
              <w:t>.8</w:t>
            </w:r>
          </w:p>
        </w:tc>
        <w:tc>
          <w:tcPr>
            <w:tcW w:w="234" w:type="dxa"/>
            <w:vAlign w:val="bottom"/>
          </w:tcPr>
          <w:p w14:paraId="4DAC5EA7" w14:textId="77777777" w:rsidR="003A4750" w:rsidRPr="00B02BA3" w:rsidRDefault="003A4750" w:rsidP="003A4750">
            <w:pPr>
              <w:pStyle w:val="CellRowSpacer"/>
              <w:rPr>
                <w:sz w:val="17"/>
              </w:rPr>
            </w:pPr>
          </w:p>
        </w:tc>
        <w:tc>
          <w:tcPr>
            <w:tcW w:w="900" w:type="dxa"/>
            <w:tcBorders>
              <w:top w:val="single" w:sz="4" w:space="0" w:color="auto"/>
              <w:bottom w:val="single" w:sz="4" w:space="0" w:color="auto"/>
            </w:tcBorders>
            <w:vAlign w:val="bottom"/>
          </w:tcPr>
          <w:p w14:paraId="68B7F9EB" w14:textId="77777777" w:rsidR="003A4750" w:rsidRPr="00B02BA3" w:rsidRDefault="003A4750" w:rsidP="003A4750">
            <w:pPr>
              <w:pStyle w:val="VSmCellBody"/>
              <w:jc w:val="right"/>
            </w:pPr>
            <w:r w:rsidRPr="00B02BA3">
              <w:t>32</w:t>
            </w:r>
            <w:r>
              <w:t>.3</w:t>
            </w:r>
          </w:p>
        </w:tc>
        <w:tc>
          <w:tcPr>
            <w:tcW w:w="234" w:type="dxa"/>
            <w:vAlign w:val="bottom"/>
          </w:tcPr>
          <w:p w14:paraId="74FB909F" w14:textId="77777777" w:rsidR="003A4750" w:rsidRPr="00B02BA3" w:rsidRDefault="003A4750" w:rsidP="003A4750">
            <w:pPr>
              <w:pStyle w:val="CellRowSpacer"/>
              <w:rPr>
                <w:sz w:val="17"/>
              </w:rPr>
            </w:pPr>
          </w:p>
        </w:tc>
        <w:tc>
          <w:tcPr>
            <w:tcW w:w="900" w:type="dxa"/>
            <w:tcBorders>
              <w:top w:val="single" w:sz="4" w:space="0" w:color="auto"/>
              <w:bottom w:val="single" w:sz="4" w:space="0" w:color="auto"/>
            </w:tcBorders>
          </w:tcPr>
          <w:p w14:paraId="71E8254F" w14:textId="77777777" w:rsidR="003A4750" w:rsidRPr="00B02BA3" w:rsidRDefault="003A4750" w:rsidP="003A4750">
            <w:pPr>
              <w:pStyle w:val="VSmCellBody"/>
              <w:jc w:val="right"/>
            </w:pPr>
            <w:r>
              <w:t>12.9</w:t>
            </w:r>
          </w:p>
        </w:tc>
        <w:tc>
          <w:tcPr>
            <w:tcW w:w="234" w:type="dxa"/>
            <w:vAlign w:val="bottom"/>
          </w:tcPr>
          <w:p w14:paraId="71EC4A26" w14:textId="77777777" w:rsidR="003A4750" w:rsidRPr="00B02BA3" w:rsidRDefault="003A4750" w:rsidP="003A4750">
            <w:pPr>
              <w:pStyle w:val="CellRowSpacer"/>
              <w:rPr>
                <w:sz w:val="17"/>
              </w:rPr>
            </w:pPr>
          </w:p>
        </w:tc>
        <w:tc>
          <w:tcPr>
            <w:tcW w:w="900" w:type="dxa"/>
            <w:tcBorders>
              <w:top w:val="single" w:sz="4" w:space="0" w:color="auto"/>
              <w:bottom w:val="single" w:sz="4" w:space="0" w:color="auto"/>
            </w:tcBorders>
          </w:tcPr>
          <w:p w14:paraId="10E576CA" w14:textId="77777777" w:rsidR="003A4750" w:rsidRPr="00B02BA3" w:rsidRDefault="003A4750" w:rsidP="003A4750">
            <w:pPr>
              <w:pStyle w:val="VSmCellBody"/>
              <w:jc w:val="right"/>
            </w:pPr>
            <w:r>
              <w:t>44.2</w:t>
            </w:r>
          </w:p>
        </w:tc>
        <w:tc>
          <w:tcPr>
            <w:tcW w:w="234" w:type="dxa"/>
            <w:vAlign w:val="bottom"/>
          </w:tcPr>
          <w:p w14:paraId="4E0AD4E9" w14:textId="77777777" w:rsidR="003A4750" w:rsidRPr="00B02BA3" w:rsidRDefault="003A4750" w:rsidP="003A4750">
            <w:pPr>
              <w:pStyle w:val="CellRowSpacer"/>
              <w:rPr>
                <w:sz w:val="17"/>
              </w:rPr>
            </w:pPr>
          </w:p>
        </w:tc>
      </w:tr>
      <w:tr w:rsidR="003A4750" w:rsidRPr="00B02BA3" w14:paraId="6BE4427B" w14:textId="77777777" w:rsidTr="003A4750">
        <w:tc>
          <w:tcPr>
            <w:tcW w:w="3141" w:type="dxa"/>
            <w:vAlign w:val="bottom"/>
          </w:tcPr>
          <w:p w14:paraId="03F4EA74" w14:textId="77777777" w:rsidR="003A4750" w:rsidRPr="00B02BA3" w:rsidRDefault="003A4750" w:rsidP="003A4750">
            <w:pPr>
              <w:pStyle w:val="VSmCellBody"/>
              <w:tabs>
                <w:tab w:val="right" w:leader="dot" w:pos="3163"/>
              </w:tabs>
              <w:bidi/>
              <w:rPr>
                <w:b/>
                <w:bCs/>
              </w:rPr>
            </w:pPr>
            <w:r>
              <w:rPr>
                <w:rFonts w:hint="cs"/>
                <w:b/>
                <w:bCs/>
                <w:rtl/>
              </w:rPr>
              <w:t>الأرباح المنسوبة إلى:</w:t>
            </w:r>
          </w:p>
        </w:tc>
        <w:tc>
          <w:tcPr>
            <w:tcW w:w="235" w:type="dxa"/>
            <w:vAlign w:val="bottom"/>
          </w:tcPr>
          <w:p w14:paraId="65D328A0" w14:textId="77777777" w:rsidR="003A4750" w:rsidRPr="00B02BA3" w:rsidRDefault="003A4750" w:rsidP="003A4750">
            <w:pPr>
              <w:pStyle w:val="CellRowSpacer"/>
              <w:rPr>
                <w:sz w:val="17"/>
              </w:rPr>
            </w:pPr>
          </w:p>
        </w:tc>
        <w:tc>
          <w:tcPr>
            <w:tcW w:w="901" w:type="dxa"/>
            <w:tcBorders>
              <w:top w:val="single" w:sz="4" w:space="0" w:color="auto"/>
            </w:tcBorders>
            <w:vAlign w:val="bottom"/>
          </w:tcPr>
          <w:p w14:paraId="70CA5CB6" w14:textId="77777777" w:rsidR="003A4750" w:rsidRPr="00B02BA3" w:rsidRDefault="003A4750" w:rsidP="003A4750">
            <w:pPr>
              <w:pStyle w:val="VSmCellBody"/>
              <w:jc w:val="right"/>
            </w:pPr>
          </w:p>
        </w:tc>
        <w:tc>
          <w:tcPr>
            <w:tcW w:w="235" w:type="dxa"/>
            <w:vAlign w:val="bottom"/>
          </w:tcPr>
          <w:p w14:paraId="1E53A31D"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09A53FB8" w14:textId="77777777" w:rsidR="003A4750" w:rsidRPr="00B02BA3" w:rsidRDefault="003A4750" w:rsidP="003A4750">
            <w:pPr>
              <w:pStyle w:val="VSmCellBody"/>
              <w:jc w:val="right"/>
            </w:pPr>
          </w:p>
        </w:tc>
        <w:tc>
          <w:tcPr>
            <w:tcW w:w="234" w:type="dxa"/>
            <w:vAlign w:val="bottom"/>
          </w:tcPr>
          <w:p w14:paraId="238A2174" w14:textId="77777777" w:rsidR="003A4750" w:rsidRPr="00B02BA3" w:rsidRDefault="003A4750" w:rsidP="003A4750">
            <w:pPr>
              <w:pStyle w:val="CellRowSpacer"/>
              <w:rPr>
                <w:sz w:val="17"/>
              </w:rPr>
            </w:pPr>
          </w:p>
        </w:tc>
        <w:tc>
          <w:tcPr>
            <w:tcW w:w="900" w:type="dxa"/>
            <w:tcBorders>
              <w:top w:val="single" w:sz="4" w:space="0" w:color="auto"/>
            </w:tcBorders>
            <w:vAlign w:val="bottom"/>
          </w:tcPr>
          <w:p w14:paraId="05322E0B" w14:textId="77777777" w:rsidR="003A4750" w:rsidRPr="00B02BA3" w:rsidRDefault="003A4750" w:rsidP="003A4750">
            <w:pPr>
              <w:pStyle w:val="VSmCellBody"/>
              <w:jc w:val="right"/>
            </w:pPr>
          </w:p>
        </w:tc>
        <w:tc>
          <w:tcPr>
            <w:tcW w:w="234" w:type="dxa"/>
            <w:vAlign w:val="bottom"/>
          </w:tcPr>
          <w:p w14:paraId="711D19BC" w14:textId="77777777" w:rsidR="003A4750" w:rsidRPr="00B02BA3" w:rsidRDefault="003A4750" w:rsidP="003A4750">
            <w:pPr>
              <w:pStyle w:val="CellRowSpacer"/>
              <w:rPr>
                <w:sz w:val="17"/>
              </w:rPr>
            </w:pPr>
          </w:p>
        </w:tc>
        <w:tc>
          <w:tcPr>
            <w:tcW w:w="900" w:type="dxa"/>
            <w:tcBorders>
              <w:top w:val="single" w:sz="4" w:space="0" w:color="auto"/>
            </w:tcBorders>
          </w:tcPr>
          <w:p w14:paraId="047134EA" w14:textId="77777777" w:rsidR="003A4750" w:rsidRPr="00B02BA3" w:rsidRDefault="003A4750" w:rsidP="003A4750">
            <w:pPr>
              <w:pStyle w:val="VSmCellBody"/>
              <w:jc w:val="right"/>
            </w:pPr>
          </w:p>
        </w:tc>
        <w:tc>
          <w:tcPr>
            <w:tcW w:w="234" w:type="dxa"/>
            <w:vAlign w:val="bottom"/>
          </w:tcPr>
          <w:p w14:paraId="0607B2FA" w14:textId="77777777" w:rsidR="003A4750" w:rsidRPr="00B02BA3" w:rsidRDefault="003A4750" w:rsidP="003A4750">
            <w:pPr>
              <w:pStyle w:val="CellRowSpacer"/>
              <w:rPr>
                <w:sz w:val="17"/>
              </w:rPr>
            </w:pPr>
          </w:p>
        </w:tc>
        <w:tc>
          <w:tcPr>
            <w:tcW w:w="900" w:type="dxa"/>
            <w:tcBorders>
              <w:top w:val="single" w:sz="4" w:space="0" w:color="auto"/>
            </w:tcBorders>
          </w:tcPr>
          <w:p w14:paraId="7069DC9C" w14:textId="77777777" w:rsidR="003A4750" w:rsidRPr="00B02BA3" w:rsidRDefault="003A4750" w:rsidP="003A4750">
            <w:pPr>
              <w:pStyle w:val="VSmCellBody"/>
              <w:jc w:val="right"/>
            </w:pPr>
          </w:p>
        </w:tc>
        <w:tc>
          <w:tcPr>
            <w:tcW w:w="234" w:type="dxa"/>
            <w:vAlign w:val="bottom"/>
          </w:tcPr>
          <w:p w14:paraId="28414AEE" w14:textId="77777777" w:rsidR="003A4750" w:rsidRPr="00B02BA3" w:rsidRDefault="003A4750" w:rsidP="003A4750">
            <w:pPr>
              <w:pStyle w:val="CellRowSpacer"/>
              <w:rPr>
                <w:sz w:val="17"/>
              </w:rPr>
            </w:pPr>
          </w:p>
        </w:tc>
      </w:tr>
      <w:tr w:rsidR="003A4750" w:rsidRPr="00B02BA3" w14:paraId="124553E6" w14:textId="77777777" w:rsidTr="003A4750">
        <w:tc>
          <w:tcPr>
            <w:tcW w:w="3141" w:type="dxa"/>
            <w:vAlign w:val="bottom"/>
          </w:tcPr>
          <w:p w14:paraId="2ED76777" w14:textId="77777777" w:rsidR="003A4750" w:rsidRPr="00B02BA3" w:rsidRDefault="003A4750" w:rsidP="003A4750">
            <w:pPr>
              <w:pStyle w:val="VSmCellBody"/>
              <w:tabs>
                <w:tab w:val="right" w:leader="dot" w:pos="3163"/>
              </w:tabs>
              <w:bidi/>
            </w:pPr>
            <w:r>
              <w:rPr>
                <w:rFonts w:hint="cs"/>
                <w:rtl/>
              </w:rPr>
              <w:t>ملاك الشركة</w:t>
            </w:r>
            <w:r w:rsidRPr="00B02BA3">
              <w:rPr>
                <w:szCs w:val="17"/>
              </w:rPr>
              <w:tab/>
            </w:r>
          </w:p>
        </w:tc>
        <w:tc>
          <w:tcPr>
            <w:tcW w:w="235" w:type="dxa"/>
            <w:vAlign w:val="bottom"/>
          </w:tcPr>
          <w:p w14:paraId="18A90099" w14:textId="77777777" w:rsidR="003A4750" w:rsidRPr="00B02BA3" w:rsidRDefault="003A4750" w:rsidP="003A4750">
            <w:pPr>
              <w:pStyle w:val="CellRowSpacer"/>
              <w:rPr>
                <w:sz w:val="17"/>
              </w:rPr>
            </w:pPr>
          </w:p>
        </w:tc>
        <w:tc>
          <w:tcPr>
            <w:tcW w:w="901" w:type="dxa"/>
            <w:vAlign w:val="bottom"/>
          </w:tcPr>
          <w:p w14:paraId="2688A22F" w14:textId="77777777" w:rsidR="003A4750" w:rsidRPr="00B02BA3" w:rsidRDefault="003A4750" w:rsidP="003A4750">
            <w:pPr>
              <w:pStyle w:val="VSmCellBody"/>
              <w:jc w:val="right"/>
            </w:pPr>
            <w:r w:rsidRPr="00B02BA3">
              <w:t>16</w:t>
            </w:r>
            <w:r>
              <w:t>.</w:t>
            </w:r>
            <w:r w:rsidRPr="00B02BA3">
              <w:t>5</w:t>
            </w:r>
          </w:p>
        </w:tc>
        <w:tc>
          <w:tcPr>
            <w:tcW w:w="235" w:type="dxa"/>
            <w:vAlign w:val="bottom"/>
          </w:tcPr>
          <w:p w14:paraId="62C2AC2E" w14:textId="77777777" w:rsidR="003A4750" w:rsidRPr="00B02BA3" w:rsidRDefault="003A4750" w:rsidP="003A4750">
            <w:pPr>
              <w:pStyle w:val="CellRowSpacer"/>
              <w:rPr>
                <w:sz w:val="17"/>
              </w:rPr>
            </w:pPr>
          </w:p>
        </w:tc>
        <w:tc>
          <w:tcPr>
            <w:tcW w:w="900" w:type="dxa"/>
            <w:vAlign w:val="bottom"/>
          </w:tcPr>
          <w:p w14:paraId="61544902" w14:textId="77777777" w:rsidR="003A4750" w:rsidRPr="00B02BA3" w:rsidRDefault="003A4750" w:rsidP="003A4750">
            <w:pPr>
              <w:pStyle w:val="VSmCellBody"/>
              <w:jc w:val="right"/>
            </w:pPr>
            <w:r w:rsidRPr="00B02BA3">
              <w:t>38</w:t>
            </w:r>
            <w:r>
              <w:t>.6</w:t>
            </w:r>
          </w:p>
        </w:tc>
        <w:tc>
          <w:tcPr>
            <w:tcW w:w="234" w:type="dxa"/>
            <w:vAlign w:val="bottom"/>
          </w:tcPr>
          <w:p w14:paraId="7981CBEE" w14:textId="77777777" w:rsidR="003A4750" w:rsidRPr="00B02BA3" w:rsidRDefault="003A4750" w:rsidP="003A4750">
            <w:pPr>
              <w:pStyle w:val="CellRowSpacer"/>
              <w:rPr>
                <w:sz w:val="17"/>
              </w:rPr>
            </w:pPr>
          </w:p>
        </w:tc>
        <w:tc>
          <w:tcPr>
            <w:tcW w:w="900" w:type="dxa"/>
            <w:vAlign w:val="bottom"/>
          </w:tcPr>
          <w:p w14:paraId="0379737C" w14:textId="77777777" w:rsidR="003A4750" w:rsidRPr="00B02BA3" w:rsidRDefault="003A4750" w:rsidP="003A4750">
            <w:pPr>
              <w:pStyle w:val="VSmCellBody"/>
              <w:jc w:val="right"/>
            </w:pPr>
            <w:r w:rsidRPr="00B02BA3">
              <w:t>3</w:t>
            </w:r>
            <w:r>
              <w:t>5.0</w:t>
            </w:r>
          </w:p>
        </w:tc>
        <w:tc>
          <w:tcPr>
            <w:tcW w:w="234" w:type="dxa"/>
            <w:vAlign w:val="bottom"/>
          </w:tcPr>
          <w:p w14:paraId="654FFFA3" w14:textId="77777777" w:rsidR="003A4750" w:rsidRPr="00B02BA3" w:rsidRDefault="003A4750" w:rsidP="003A4750">
            <w:pPr>
              <w:pStyle w:val="CellRowSpacer"/>
              <w:rPr>
                <w:sz w:val="17"/>
              </w:rPr>
            </w:pPr>
          </w:p>
        </w:tc>
        <w:tc>
          <w:tcPr>
            <w:tcW w:w="900" w:type="dxa"/>
          </w:tcPr>
          <w:p w14:paraId="490EF4C5" w14:textId="77777777" w:rsidR="003A4750" w:rsidRPr="00B02BA3" w:rsidRDefault="003A4750" w:rsidP="003A4750">
            <w:pPr>
              <w:pStyle w:val="VSmCellBody"/>
              <w:jc w:val="right"/>
            </w:pPr>
            <w:r>
              <w:t>14.8</w:t>
            </w:r>
          </w:p>
        </w:tc>
        <w:tc>
          <w:tcPr>
            <w:tcW w:w="234" w:type="dxa"/>
            <w:vAlign w:val="bottom"/>
          </w:tcPr>
          <w:p w14:paraId="5DD0FA43" w14:textId="77777777" w:rsidR="003A4750" w:rsidRPr="00B02BA3" w:rsidRDefault="003A4750" w:rsidP="003A4750">
            <w:pPr>
              <w:pStyle w:val="CellRowSpacer"/>
              <w:rPr>
                <w:sz w:val="17"/>
              </w:rPr>
            </w:pPr>
          </w:p>
        </w:tc>
        <w:tc>
          <w:tcPr>
            <w:tcW w:w="900" w:type="dxa"/>
          </w:tcPr>
          <w:p w14:paraId="351DCE3B" w14:textId="77777777" w:rsidR="003A4750" w:rsidRPr="00B02BA3" w:rsidRDefault="003A4750" w:rsidP="003A4750">
            <w:pPr>
              <w:pStyle w:val="VSmCellBody"/>
              <w:jc w:val="right"/>
            </w:pPr>
            <w:r>
              <w:t>42.5</w:t>
            </w:r>
          </w:p>
        </w:tc>
        <w:tc>
          <w:tcPr>
            <w:tcW w:w="234" w:type="dxa"/>
            <w:vAlign w:val="bottom"/>
          </w:tcPr>
          <w:p w14:paraId="537D8ADE" w14:textId="77777777" w:rsidR="003A4750" w:rsidRPr="00B02BA3" w:rsidRDefault="003A4750" w:rsidP="003A4750">
            <w:pPr>
              <w:pStyle w:val="CellRowSpacer"/>
              <w:rPr>
                <w:sz w:val="17"/>
              </w:rPr>
            </w:pPr>
          </w:p>
        </w:tc>
      </w:tr>
      <w:tr w:rsidR="003A4750" w:rsidRPr="00B02BA3" w14:paraId="2675EA3C" w14:textId="77777777" w:rsidTr="003A4750">
        <w:tc>
          <w:tcPr>
            <w:tcW w:w="3141" w:type="dxa"/>
            <w:vAlign w:val="bottom"/>
          </w:tcPr>
          <w:p w14:paraId="08B04B97" w14:textId="77777777" w:rsidR="003A4750" w:rsidRPr="00B02BA3" w:rsidRDefault="003A4750" w:rsidP="003A4750">
            <w:pPr>
              <w:pStyle w:val="VSmCellBody"/>
              <w:tabs>
                <w:tab w:val="right" w:leader="dot" w:pos="3163"/>
              </w:tabs>
              <w:bidi/>
            </w:pPr>
            <w:r>
              <w:rPr>
                <w:rFonts w:hint="cs"/>
                <w:rtl/>
              </w:rPr>
              <w:t>الحصص غير المسيطرة</w:t>
            </w:r>
            <w:r w:rsidRPr="00B02BA3">
              <w:rPr>
                <w:szCs w:val="17"/>
              </w:rPr>
              <w:tab/>
            </w:r>
          </w:p>
        </w:tc>
        <w:tc>
          <w:tcPr>
            <w:tcW w:w="235" w:type="dxa"/>
            <w:vAlign w:val="bottom"/>
          </w:tcPr>
          <w:p w14:paraId="6E5099B3" w14:textId="77777777" w:rsidR="003A4750" w:rsidRPr="00B02BA3" w:rsidRDefault="003A4750" w:rsidP="003A4750">
            <w:pPr>
              <w:pStyle w:val="CellRowSpacer"/>
              <w:rPr>
                <w:sz w:val="17"/>
              </w:rPr>
            </w:pPr>
          </w:p>
        </w:tc>
        <w:tc>
          <w:tcPr>
            <w:tcW w:w="901" w:type="dxa"/>
            <w:vAlign w:val="bottom"/>
          </w:tcPr>
          <w:p w14:paraId="25254A8F" w14:textId="77777777" w:rsidR="003A4750" w:rsidRPr="00B02BA3" w:rsidRDefault="003A4750" w:rsidP="003A4750">
            <w:pPr>
              <w:pStyle w:val="VSmCellBody"/>
              <w:jc w:val="right"/>
            </w:pPr>
            <w:r w:rsidRPr="00B02BA3">
              <w:t>4</w:t>
            </w:r>
            <w:r>
              <w:t>.3</w:t>
            </w:r>
          </w:p>
        </w:tc>
        <w:tc>
          <w:tcPr>
            <w:tcW w:w="235" w:type="dxa"/>
            <w:vAlign w:val="bottom"/>
          </w:tcPr>
          <w:p w14:paraId="22AA2465" w14:textId="77777777" w:rsidR="003A4750" w:rsidRPr="00B02BA3" w:rsidRDefault="003A4750" w:rsidP="003A4750">
            <w:pPr>
              <w:pStyle w:val="CellRowSpacer"/>
              <w:rPr>
                <w:sz w:val="17"/>
              </w:rPr>
            </w:pPr>
          </w:p>
        </w:tc>
        <w:tc>
          <w:tcPr>
            <w:tcW w:w="900" w:type="dxa"/>
            <w:vAlign w:val="bottom"/>
          </w:tcPr>
          <w:p w14:paraId="7443055D" w14:textId="77777777" w:rsidR="003A4750" w:rsidRPr="00B02BA3" w:rsidRDefault="003A4750" w:rsidP="003A4750">
            <w:pPr>
              <w:pStyle w:val="VSmCellBody"/>
              <w:jc w:val="right"/>
            </w:pPr>
            <w:r w:rsidRPr="00B02BA3">
              <w:t>4</w:t>
            </w:r>
            <w:r>
              <w:t>.2</w:t>
            </w:r>
          </w:p>
        </w:tc>
        <w:tc>
          <w:tcPr>
            <w:tcW w:w="234" w:type="dxa"/>
            <w:vAlign w:val="bottom"/>
          </w:tcPr>
          <w:p w14:paraId="4A31B659" w14:textId="77777777" w:rsidR="003A4750" w:rsidRPr="00B02BA3" w:rsidRDefault="003A4750" w:rsidP="003A4750">
            <w:pPr>
              <w:pStyle w:val="CellRowSpacer"/>
              <w:rPr>
                <w:sz w:val="17"/>
              </w:rPr>
            </w:pPr>
          </w:p>
        </w:tc>
        <w:tc>
          <w:tcPr>
            <w:tcW w:w="900" w:type="dxa"/>
            <w:vAlign w:val="bottom"/>
          </w:tcPr>
          <w:p w14:paraId="702D4E05" w14:textId="77777777" w:rsidR="003A4750" w:rsidRPr="00B02BA3" w:rsidRDefault="003A4750" w:rsidP="003A4750">
            <w:pPr>
              <w:pStyle w:val="VSmCellBody"/>
              <w:jc w:val="right"/>
            </w:pPr>
            <w:r w:rsidRPr="00B02BA3">
              <w:t>4</w:t>
            </w:r>
            <w:r>
              <w:t>.</w:t>
            </w:r>
            <w:r w:rsidRPr="00B02BA3">
              <w:t>5</w:t>
            </w:r>
          </w:p>
        </w:tc>
        <w:tc>
          <w:tcPr>
            <w:tcW w:w="234" w:type="dxa"/>
            <w:vAlign w:val="bottom"/>
          </w:tcPr>
          <w:p w14:paraId="1516FFEB" w14:textId="77777777" w:rsidR="003A4750" w:rsidRPr="00B02BA3" w:rsidRDefault="003A4750" w:rsidP="003A4750">
            <w:pPr>
              <w:pStyle w:val="CellRowSpacer"/>
              <w:rPr>
                <w:sz w:val="17"/>
              </w:rPr>
            </w:pPr>
          </w:p>
        </w:tc>
        <w:tc>
          <w:tcPr>
            <w:tcW w:w="900" w:type="dxa"/>
          </w:tcPr>
          <w:p w14:paraId="2E6495A4" w14:textId="77777777" w:rsidR="003A4750" w:rsidRPr="00B02BA3" w:rsidRDefault="003A4750" w:rsidP="003A4750">
            <w:pPr>
              <w:pStyle w:val="VSmCellBody"/>
              <w:jc w:val="right"/>
            </w:pPr>
            <w:r>
              <w:t>3.4</w:t>
            </w:r>
          </w:p>
        </w:tc>
        <w:tc>
          <w:tcPr>
            <w:tcW w:w="234" w:type="dxa"/>
            <w:vAlign w:val="bottom"/>
          </w:tcPr>
          <w:p w14:paraId="63CD820D" w14:textId="77777777" w:rsidR="003A4750" w:rsidRPr="00B02BA3" w:rsidRDefault="003A4750" w:rsidP="003A4750">
            <w:pPr>
              <w:pStyle w:val="CellRowSpacer"/>
              <w:rPr>
                <w:sz w:val="17"/>
              </w:rPr>
            </w:pPr>
          </w:p>
        </w:tc>
        <w:tc>
          <w:tcPr>
            <w:tcW w:w="900" w:type="dxa"/>
          </w:tcPr>
          <w:p w14:paraId="5E0325E1" w14:textId="77777777" w:rsidR="003A4750" w:rsidRPr="00B02BA3" w:rsidRDefault="003A4750" w:rsidP="003A4750">
            <w:pPr>
              <w:pStyle w:val="VSmCellBody"/>
              <w:tabs>
                <w:tab w:val="center" w:pos="450"/>
                <w:tab w:val="right" w:pos="900"/>
              </w:tabs>
            </w:pPr>
            <w:r>
              <w:tab/>
            </w:r>
            <w:r>
              <w:tab/>
              <w:t>3.4</w:t>
            </w:r>
          </w:p>
        </w:tc>
        <w:tc>
          <w:tcPr>
            <w:tcW w:w="234" w:type="dxa"/>
            <w:vAlign w:val="bottom"/>
          </w:tcPr>
          <w:p w14:paraId="39D11DED" w14:textId="77777777" w:rsidR="003A4750" w:rsidRPr="00B02BA3" w:rsidRDefault="003A4750" w:rsidP="003A4750">
            <w:pPr>
              <w:pStyle w:val="CellRowSpacer"/>
              <w:rPr>
                <w:sz w:val="17"/>
              </w:rPr>
            </w:pPr>
          </w:p>
        </w:tc>
      </w:tr>
      <w:tr w:rsidR="003A4750" w:rsidRPr="00B02BA3" w14:paraId="63A1C8C4" w14:textId="77777777" w:rsidTr="003A4750">
        <w:tc>
          <w:tcPr>
            <w:tcW w:w="3141" w:type="dxa"/>
            <w:vAlign w:val="bottom"/>
          </w:tcPr>
          <w:p w14:paraId="14A7D12C" w14:textId="77777777" w:rsidR="003A4750" w:rsidRPr="00B02BA3" w:rsidRDefault="003A4750" w:rsidP="003A4750">
            <w:pPr>
              <w:pStyle w:val="VSmCellBody"/>
              <w:tabs>
                <w:tab w:val="right" w:leader="dot" w:pos="3163"/>
              </w:tabs>
              <w:bidi/>
              <w:rPr>
                <w:b/>
                <w:bCs/>
              </w:rPr>
            </w:pPr>
            <w:r>
              <w:rPr>
                <w:rFonts w:hint="cs"/>
                <w:b/>
                <w:bCs/>
                <w:rtl/>
              </w:rPr>
              <w:t>إجمالي الدخل الشامل المنسوب إلى:</w:t>
            </w:r>
          </w:p>
        </w:tc>
        <w:tc>
          <w:tcPr>
            <w:tcW w:w="235" w:type="dxa"/>
            <w:vAlign w:val="bottom"/>
          </w:tcPr>
          <w:p w14:paraId="05104281" w14:textId="77777777" w:rsidR="003A4750" w:rsidRPr="00B02BA3" w:rsidRDefault="003A4750" w:rsidP="003A4750">
            <w:pPr>
              <w:pStyle w:val="CellRowSpacer"/>
              <w:rPr>
                <w:b/>
                <w:bCs/>
                <w:sz w:val="17"/>
              </w:rPr>
            </w:pPr>
          </w:p>
        </w:tc>
        <w:tc>
          <w:tcPr>
            <w:tcW w:w="901" w:type="dxa"/>
            <w:vAlign w:val="bottom"/>
          </w:tcPr>
          <w:p w14:paraId="5BD40735" w14:textId="77777777" w:rsidR="003A4750" w:rsidRPr="00B02BA3" w:rsidRDefault="003A4750" w:rsidP="003A4750">
            <w:pPr>
              <w:pStyle w:val="VSmCellBody"/>
              <w:jc w:val="right"/>
            </w:pPr>
          </w:p>
        </w:tc>
        <w:tc>
          <w:tcPr>
            <w:tcW w:w="235" w:type="dxa"/>
            <w:vAlign w:val="bottom"/>
          </w:tcPr>
          <w:p w14:paraId="70256CDE" w14:textId="77777777" w:rsidR="003A4750" w:rsidRPr="00B02BA3" w:rsidRDefault="003A4750" w:rsidP="003A4750">
            <w:pPr>
              <w:pStyle w:val="CellRowSpacer"/>
              <w:rPr>
                <w:sz w:val="17"/>
              </w:rPr>
            </w:pPr>
          </w:p>
        </w:tc>
        <w:tc>
          <w:tcPr>
            <w:tcW w:w="900" w:type="dxa"/>
            <w:vAlign w:val="bottom"/>
          </w:tcPr>
          <w:p w14:paraId="66CE8113" w14:textId="77777777" w:rsidR="003A4750" w:rsidRPr="00B02BA3" w:rsidRDefault="003A4750" w:rsidP="003A4750">
            <w:pPr>
              <w:pStyle w:val="VSmCellBody"/>
              <w:jc w:val="right"/>
            </w:pPr>
          </w:p>
        </w:tc>
        <w:tc>
          <w:tcPr>
            <w:tcW w:w="234" w:type="dxa"/>
            <w:vAlign w:val="bottom"/>
          </w:tcPr>
          <w:p w14:paraId="1B3A9CA2" w14:textId="77777777" w:rsidR="003A4750" w:rsidRPr="00B02BA3" w:rsidRDefault="003A4750" w:rsidP="003A4750">
            <w:pPr>
              <w:pStyle w:val="CellRowSpacer"/>
              <w:rPr>
                <w:sz w:val="17"/>
              </w:rPr>
            </w:pPr>
          </w:p>
        </w:tc>
        <w:tc>
          <w:tcPr>
            <w:tcW w:w="900" w:type="dxa"/>
            <w:vAlign w:val="bottom"/>
          </w:tcPr>
          <w:p w14:paraId="3297A774" w14:textId="77777777" w:rsidR="003A4750" w:rsidRPr="00B02BA3" w:rsidRDefault="003A4750" w:rsidP="003A4750">
            <w:pPr>
              <w:pStyle w:val="VSmCellBody"/>
              <w:jc w:val="right"/>
            </w:pPr>
          </w:p>
        </w:tc>
        <w:tc>
          <w:tcPr>
            <w:tcW w:w="234" w:type="dxa"/>
            <w:vAlign w:val="bottom"/>
          </w:tcPr>
          <w:p w14:paraId="7EFFD43E" w14:textId="77777777" w:rsidR="003A4750" w:rsidRPr="00B02BA3" w:rsidRDefault="003A4750" w:rsidP="003A4750">
            <w:pPr>
              <w:pStyle w:val="CellRowSpacer"/>
              <w:rPr>
                <w:sz w:val="17"/>
              </w:rPr>
            </w:pPr>
          </w:p>
        </w:tc>
        <w:tc>
          <w:tcPr>
            <w:tcW w:w="900" w:type="dxa"/>
            <w:vAlign w:val="bottom"/>
          </w:tcPr>
          <w:p w14:paraId="377E5D30" w14:textId="77777777" w:rsidR="003A4750" w:rsidRPr="00B02BA3" w:rsidRDefault="003A4750" w:rsidP="003A4750">
            <w:pPr>
              <w:pStyle w:val="VSmCellBody"/>
              <w:jc w:val="right"/>
            </w:pPr>
          </w:p>
        </w:tc>
        <w:tc>
          <w:tcPr>
            <w:tcW w:w="234" w:type="dxa"/>
            <w:vAlign w:val="bottom"/>
          </w:tcPr>
          <w:p w14:paraId="05C9CE49" w14:textId="77777777" w:rsidR="003A4750" w:rsidRPr="00B02BA3" w:rsidRDefault="003A4750" w:rsidP="003A4750">
            <w:pPr>
              <w:pStyle w:val="CellRowSpacer"/>
              <w:rPr>
                <w:sz w:val="17"/>
              </w:rPr>
            </w:pPr>
          </w:p>
        </w:tc>
        <w:tc>
          <w:tcPr>
            <w:tcW w:w="900" w:type="dxa"/>
            <w:vAlign w:val="bottom"/>
          </w:tcPr>
          <w:p w14:paraId="29FB83D0" w14:textId="77777777" w:rsidR="003A4750" w:rsidRPr="00B02BA3" w:rsidRDefault="003A4750" w:rsidP="003A4750">
            <w:pPr>
              <w:pStyle w:val="VSmCellBody"/>
              <w:jc w:val="right"/>
            </w:pPr>
          </w:p>
        </w:tc>
        <w:tc>
          <w:tcPr>
            <w:tcW w:w="234" w:type="dxa"/>
            <w:vAlign w:val="bottom"/>
          </w:tcPr>
          <w:p w14:paraId="30FC8C5E" w14:textId="77777777" w:rsidR="003A4750" w:rsidRPr="00B02BA3" w:rsidRDefault="003A4750" w:rsidP="003A4750">
            <w:pPr>
              <w:pStyle w:val="CellRowSpacer"/>
              <w:rPr>
                <w:b/>
                <w:bCs/>
                <w:sz w:val="17"/>
              </w:rPr>
            </w:pPr>
          </w:p>
        </w:tc>
      </w:tr>
      <w:tr w:rsidR="003A4750" w:rsidRPr="00B02BA3" w14:paraId="314AE9C5" w14:textId="77777777" w:rsidTr="003A4750">
        <w:tc>
          <w:tcPr>
            <w:tcW w:w="3141" w:type="dxa"/>
            <w:vAlign w:val="bottom"/>
          </w:tcPr>
          <w:p w14:paraId="509FE024" w14:textId="77777777" w:rsidR="003A4750" w:rsidRPr="00B02BA3" w:rsidRDefault="003A4750" w:rsidP="003A4750">
            <w:pPr>
              <w:pStyle w:val="VSmCellBody"/>
              <w:tabs>
                <w:tab w:val="right" w:leader="dot" w:pos="3163"/>
              </w:tabs>
              <w:bidi/>
            </w:pPr>
            <w:r>
              <w:rPr>
                <w:rFonts w:hint="cs"/>
                <w:rtl/>
              </w:rPr>
              <w:t>ملاك الشركة</w:t>
            </w:r>
            <w:r w:rsidRPr="00B02BA3">
              <w:rPr>
                <w:szCs w:val="17"/>
              </w:rPr>
              <w:tab/>
            </w:r>
          </w:p>
        </w:tc>
        <w:tc>
          <w:tcPr>
            <w:tcW w:w="235" w:type="dxa"/>
            <w:vAlign w:val="bottom"/>
          </w:tcPr>
          <w:p w14:paraId="2066B639" w14:textId="77777777" w:rsidR="003A4750" w:rsidRPr="00B02BA3" w:rsidRDefault="003A4750" w:rsidP="003A4750">
            <w:pPr>
              <w:pStyle w:val="CellRowSpacer"/>
              <w:rPr>
                <w:sz w:val="17"/>
              </w:rPr>
            </w:pPr>
          </w:p>
        </w:tc>
        <w:tc>
          <w:tcPr>
            <w:tcW w:w="901" w:type="dxa"/>
            <w:vAlign w:val="bottom"/>
          </w:tcPr>
          <w:p w14:paraId="1F6966D3" w14:textId="77777777" w:rsidR="003A4750" w:rsidRPr="00B02BA3" w:rsidRDefault="003A4750" w:rsidP="003A4750">
            <w:pPr>
              <w:pStyle w:val="VSmCellBody"/>
              <w:jc w:val="right"/>
            </w:pPr>
            <w:r w:rsidRPr="00B02BA3">
              <w:t>24</w:t>
            </w:r>
            <w:r>
              <w:t>.</w:t>
            </w:r>
            <w:r w:rsidRPr="00B02BA3">
              <w:t>5</w:t>
            </w:r>
          </w:p>
        </w:tc>
        <w:tc>
          <w:tcPr>
            <w:tcW w:w="235" w:type="dxa"/>
            <w:vAlign w:val="bottom"/>
          </w:tcPr>
          <w:p w14:paraId="299A7662" w14:textId="77777777" w:rsidR="003A4750" w:rsidRPr="00B02BA3" w:rsidRDefault="003A4750" w:rsidP="003A4750">
            <w:pPr>
              <w:pStyle w:val="CellRowSpacer"/>
              <w:rPr>
                <w:sz w:val="17"/>
              </w:rPr>
            </w:pPr>
          </w:p>
        </w:tc>
        <w:tc>
          <w:tcPr>
            <w:tcW w:w="900" w:type="dxa"/>
            <w:vAlign w:val="bottom"/>
          </w:tcPr>
          <w:p w14:paraId="25BC5D41" w14:textId="77777777" w:rsidR="003A4750" w:rsidRPr="00B02BA3" w:rsidRDefault="003A4750" w:rsidP="003A4750">
            <w:pPr>
              <w:pStyle w:val="VSmCellBody"/>
              <w:jc w:val="right"/>
            </w:pPr>
            <w:r w:rsidRPr="00B02BA3">
              <w:t>53</w:t>
            </w:r>
            <w:r>
              <w:t>.1</w:t>
            </w:r>
          </w:p>
        </w:tc>
        <w:tc>
          <w:tcPr>
            <w:tcW w:w="234" w:type="dxa"/>
            <w:vAlign w:val="bottom"/>
          </w:tcPr>
          <w:p w14:paraId="46523D50" w14:textId="77777777" w:rsidR="003A4750" w:rsidRPr="00B02BA3" w:rsidRDefault="003A4750" w:rsidP="003A4750">
            <w:pPr>
              <w:pStyle w:val="CellRowSpacer"/>
              <w:rPr>
                <w:sz w:val="17"/>
              </w:rPr>
            </w:pPr>
          </w:p>
        </w:tc>
        <w:tc>
          <w:tcPr>
            <w:tcW w:w="900" w:type="dxa"/>
            <w:vAlign w:val="bottom"/>
          </w:tcPr>
          <w:p w14:paraId="5C06F077" w14:textId="77777777" w:rsidR="003A4750" w:rsidRPr="00B02BA3" w:rsidRDefault="003A4750" w:rsidP="003A4750">
            <w:pPr>
              <w:pStyle w:val="VSmCellBody"/>
              <w:jc w:val="right"/>
            </w:pPr>
            <w:r w:rsidRPr="00B02BA3">
              <w:t>27</w:t>
            </w:r>
            <w:r>
              <w:t>.</w:t>
            </w:r>
            <w:r w:rsidRPr="00B02BA3">
              <w:t>8</w:t>
            </w:r>
          </w:p>
        </w:tc>
        <w:tc>
          <w:tcPr>
            <w:tcW w:w="234" w:type="dxa"/>
            <w:vAlign w:val="bottom"/>
          </w:tcPr>
          <w:p w14:paraId="1143ED3C" w14:textId="77777777" w:rsidR="003A4750" w:rsidRPr="00B02BA3" w:rsidRDefault="003A4750" w:rsidP="003A4750">
            <w:pPr>
              <w:pStyle w:val="CellRowSpacer"/>
              <w:rPr>
                <w:sz w:val="17"/>
              </w:rPr>
            </w:pPr>
          </w:p>
        </w:tc>
        <w:tc>
          <w:tcPr>
            <w:tcW w:w="900" w:type="dxa"/>
          </w:tcPr>
          <w:p w14:paraId="75F0CEC4" w14:textId="77777777" w:rsidR="003A4750" w:rsidRPr="00B02BA3" w:rsidRDefault="003A4750" w:rsidP="003A4750">
            <w:pPr>
              <w:pStyle w:val="VSmCellBody"/>
              <w:jc w:val="right"/>
            </w:pPr>
            <w:r>
              <w:t>9.5</w:t>
            </w:r>
          </w:p>
        </w:tc>
        <w:tc>
          <w:tcPr>
            <w:tcW w:w="234" w:type="dxa"/>
            <w:vAlign w:val="bottom"/>
          </w:tcPr>
          <w:p w14:paraId="32392958" w14:textId="77777777" w:rsidR="003A4750" w:rsidRPr="00B02BA3" w:rsidRDefault="003A4750" w:rsidP="003A4750">
            <w:pPr>
              <w:pStyle w:val="CellRowSpacer"/>
              <w:rPr>
                <w:sz w:val="17"/>
              </w:rPr>
            </w:pPr>
          </w:p>
        </w:tc>
        <w:tc>
          <w:tcPr>
            <w:tcW w:w="900" w:type="dxa"/>
          </w:tcPr>
          <w:p w14:paraId="55F3DD6C" w14:textId="77777777" w:rsidR="003A4750" w:rsidRPr="00B02BA3" w:rsidRDefault="003A4750" w:rsidP="003A4750">
            <w:pPr>
              <w:pStyle w:val="VSmCellBody"/>
              <w:jc w:val="right"/>
            </w:pPr>
            <w:r>
              <w:t>40.8</w:t>
            </w:r>
          </w:p>
        </w:tc>
        <w:tc>
          <w:tcPr>
            <w:tcW w:w="234" w:type="dxa"/>
            <w:vAlign w:val="bottom"/>
          </w:tcPr>
          <w:p w14:paraId="07826AE1" w14:textId="77777777" w:rsidR="003A4750" w:rsidRPr="00B02BA3" w:rsidRDefault="003A4750" w:rsidP="003A4750">
            <w:pPr>
              <w:pStyle w:val="CellRowSpacer"/>
              <w:rPr>
                <w:sz w:val="17"/>
              </w:rPr>
            </w:pPr>
          </w:p>
        </w:tc>
      </w:tr>
      <w:tr w:rsidR="003A4750" w:rsidRPr="00B02BA3" w14:paraId="174B025A" w14:textId="77777777" w:rsidTr="003A4750">
        <w:tc>
          <w:tcPr>
            <w:tcW w:w="3141" w:type="dxa"/>
            <w:vAlign w:val="bottom"/>
          </w:tcPr>
          <w:p w14:paraId="21F6EE9A" w14:textId="77777777" w:rsidR="003A4750" w:rsidRPr="00B02BA3" w:rsidRDefault="003A4750" w:rsidP="003A4750">
            <w:pPr>
              <w:pStyle w:val="VSmCellBody"/>
              <w:tabs>
                <w:tab w:val="right" w:leader="dot" w:pos="3163"/>
              </w:tabs>
              <w:bidi/>
            </w:pPr>
            <w:r>
              <w:rPr>
                <w:rFonts w:hint="cs"/>
                <w:rtl/>
              </w:rPr>
              <w:t>الحصص غير المسيطرة</w:t>
            </w:r>
            <w:r w:rsidRPr="00B02BA3">
              <w:rPr>
                <w:szCs w:val="17"/>
              </w:rPr>
              <w:tab/>
            </w:r>
          </w:p>
        </w:tc>
        <w:tc>
          <w:tcPr>
            <w:tcW w:w="235" w:type="dxa"/>
            <w:vAlign w:val="bottom"/>
          </w:tcPr>
          <w:p w14:paraId="192C6117" w14:textId="77777777" w:rsidR="003A4750" w:rsidRPr="00B02BA3" w:rsidRDefault="003A4750" w:rsidP="003A4750">
            <w:pPr>
              <w:pStyle w:val="CellRowSpacer"/>
              <w:rPr>
                <w:sz w:val="17"/>
              </w:rPr>
            </w:pPr>
          </w:p>
        </w:tc>
        <w:tc>
          <w:tcPr>
            <w:tcW w:w="901" w:type="dxa"/>
            <w:vAlign w:val="bottom"/>
          </w:tcPr>
          <w:p w14:paraId="56956C59" w14:textId="77777777" w:rsidR="003A4750" w:rsidRPr="00B02BA3" w:rsidRDefault="003A4750" w:rsidP="003A4750">
            <w:pPr>
              <w:pStyle w:val="VSmCellBody"/>
              <w:jc w:val="right"/>
            </w:pPr>
            <w:r w:rsidRPr="00B02BA3">
              <w:t>4</w:t>
            </w:r>
            <w:r>
              <w:t>.</w:t>
            </w:r>
            <w:r w:rsidRPr="00B02BA3">
              <w:t>7</w:t>
            </w:r>
          </w:p>
        </w:tc>
        <w:tc>
          <w:tcPr>
            <w:tcW w:w="235" w:type="dxa"/>
            <w:vAlign w:val="bottom"/>
          </w:tcPr>
          <w:p w14:paraId="3D6A66A0" w14:textId="77777777" w:rsidR="003A4750" w:rsidRPr="00B02BA3" w:rsidRDefault="003A4750" w:rsidP="003A4750">
            <w:pPr>
              <w:pStyle w:val="CellRowSpacer"/>
              <w:rPr>
                <w:sz w:val="17"/>
              </w:rPr>
            </w:pPr>
          </w:p>
        </w:tc>
        <w:tc>
          <w:tcPr>
            <w:tcW w:w="900" w:type="dxa"/>
            <w:vAlign w:val="bottom"/>
          </w:tcPr>
          <w:p w14:paraId="35EFEF3A" w14:textId="77777777" w:rsidR="003A4750" w:rsidRPr="00B02BA3" w:rsidRDefault="003A4750" w:rsidP="003A4750">
            <w:pPr>
              <w:pStyle w:val="VSmCellBody"/>
              <w:jc w:val="right"/>
            </w:pPr>
            <w:r w:rsidRPr="00B02BA3">
              <w:t>4</w:t>
            </w:r>
            <w:r>
              <w:t>.</w:t>
            </w:r>
            <w:r w:rsidRPr="00B02BA3">
              <w:t>7</w:t>
            </w:r>
          </w:p>
        </w:tc>
        <w:tc>
          <w:tcPr>
            <w:tcW w:w="234" w:type="dxa"/>
            <w:vAlign w:val="bottom"/>
          </w:tcPr>
          <w:p w14:paraId="50B95B83" w14:textId="77777777" w:rsidR="003A4750" w:rsidRPr="00B02BA3" w:rsidRDefault="003A4750" w:rsidP="003A4750">
            <w:pPr>
              <w:pStyle w:val="CellRowSpacer"/>
              <w:rPr>
                <w:sz w:val="17"/>
              </w:rPr>
            </w:pPr>
          </w:p>
        </w:tc>
        <w:tc>
          <w:tcPr>
            <w:tcW w:w="900" w:type="dxa"/>
            <w:vAlign w:val="bottom"/>
          </w:tcPr>
          <w:p w14:paraId="71F88974" w14:textId="77777777" w:rsidR="003A4750" w:rsidRPr="00B02BA3" w:rsidRDefault="003A4750" w:rsidP="003A4750">
            <w:pPr>
              <w:pStyle w:val="VSmCellBody"/>
              <w:jc w:val="right"/>
            </w:pPr>
            <w:r w:rsidRPr="00B02BA3">
              <w:t>4</w:t>
            </w:r>
            <w:r>
              <w:t>.</w:t>
            </w:r>
            <w:r w:rsidRPr="00B02BA3">
              <w:t>4</w:t>
            </w:r>
          </w:p>
        </w:tc>
        <w:tc>
          <w:tcPr>
            <w:tcW w:w="234" w:type="dxa"/>
            <w:vAlign w:val="bottom"/>
          </w:tcPr>
          <w:p w14:paraId="66BE1150" w14:textId="77777777" w:rsidR="003A4750" w:rsidRPr="00B02BA3" w:rsidRDefault="003A4750" w:rsidP="003A4750">
            <w:pPr>
              <w:pStyle w:val="CellRowSpacer"/>
              <w:rPr>
                <w:sz w:val="17"/>
              </w:rPr>
            </w:pPr>
          </w:p>
        </w:tc>
        <w:tc>
          <w:tcPr>
            <w:tcW w:w="900" w:type="dxa"/>
            <w:vAlign w:val="bottom"/>
          </w:tcPr>
          <w:p w14:paraId="24AB12BD" w14:textId="77777777" w:rsidR="003A4750" w:rsidRPr="00B02BA3" w:rsidRDefault="003A4750" w:rsidP="003A4750">
            <w:pPr>
              <w:pStyle w:val="VSmCellBody"/>
              <w:jc w:val="right"/>
            </w:pPr>
            <w:r>
              <w:t>3.4</w:t>
            </w:r>
          </w:p>
        </w:tc>
        <w:tc>
          <w:tcPr>
            <w:tcW w:w="234" w:type="dxa"/>
            <w:vAlign w:val="bottom"/>
          </w:tcPr>
          <w:p w14:paraId="51FAACFC" w14:textId="77777777" w:rsidR="003A4750" w:rsidRPr="00B02BA3" w:rsidRDefault="003A4750" w:rsidP="003A4750">
            <w:pPr>
              <w:pStyle w:val="CellRowSpacer"/>
              <w:rPr>
                <w:sz w:val="17"/>
              </w:rPr>
            </w:pPr>
          </w:p>
        </w:tc>
        <w:tc>
          <w:tcPr>
            <w:tcW w:w="900" w:type="dxa"/>
            <w:vAlign w:val="bottom"/>
          </w:tcPr>
          <w:p w14:paraId="18CB0E99" w14:textId="77777777" w:rsidR="003A4750" w:rsidRPr="00B02BA3" w:rsidRDefault="003A4750" w:rsidP="003A4750">
            <w:pPr>
              <w:pStyle w:val="VSmCellBody"/>
              <w:jc w:val="right"/>
            </w:pPr>
            <w:r>
              <w:t>3.3</w:t>
            </w:r>
          </w:p>
        </w:tc>
        <w:tc>
          <w:tcPr>
            <w:tcW w:w="234" w:type="dxa"/>
            <w:vAlign w:val="bottom"/>
          </w:tcPr>
          <w:p w14:paraId="40FBCF43" w14:textId="77777777" w:rsidR="003A4750" w:rsidRPr="00B02BA3" w:rsidRDefault="003A4750" w:rsidP="003A4750">
            <w:pPr>
              <w:pStyle w:val="CellRowSpacer"/>
              <w:rPr>
                <w:sz w:val="17"/>
              </w:rPr>
            </w:pPr>
          </w:p>
        </w:tc>
      </w:tr>
    </w:tbl>
    <w:p w14:paraId="33A5F556" w14:textId="77777777" w:rsidR="00D50A45" w:rsidRDefault="00D50A45" w:rsidP="000437A0">
      <w:pPr>
        <w:autoSpaceDE w:val="0"/>
        <w:autoSpaceDN w:val="0"/>
        <w:bidi/>
        <w:adjustRightInd w:val="0"/>
        <w:jc w:val="both"/>
        <w:rPr>
          <w:rFonts w:ascii="Traditional Arabic" w:hAnsi="Traditional Arabic" w:cs="Traditional Arabic"/>
          <w:b/>
          <w:bCs/>
          <w:sz w:val="30"/>
          <w:szCs w:val="30"/>
          <w:rtl/>
          <w:lang w:bidi="ar-EG"/>
        </w:rPr>
      </w:pPr>
    </w:p>
    <w:p w14:paraId="00C1B864" w14:textId="77777777" w:rsidR="00D50A45" w:rsidRDefault="00D50A45" w:rsidP="00D50A45">
      <w:pPr>
        <w:autoSpaceDE w:val="0"/>
        <w:autoSpaceDN w:val="0"/>
        <w:bidi/>
        <w:adjustRightInd w:val="0"/>
        <w:jc w:val="both"/>
        <w:rPr>
          <w:rFonts w:ascii="Traditional Arabic" w:hAnsi="Traditional Arabic" w:cs="Traditional Arabic"/>
          <w:b/>
          <w:bCs/>
          <w:sz w:val="30"/>
          <w:szCs w:val="30"/>
          <w:rtl/>
          <w:lang w:bidi="ar-EG"/>
        </w:rPr>
      </w:pPr>
    </w:p>
    <w:p w14:paraId="22CB8722" w14:textId="77777777" w:rsidR="00D50A45" w:rsidRDefault="00D50A45" w:rsidP="00D50A45">
      <w:pPr>
        <w:autoSpaceDE w:val="0"/>
        <w:autoSpaceDN w:val="0"/>
        <w:bidi/>
        <w:adjustRightInd w:val="0"/>
        <w:jc w:val="both"/>
        <w:rPr>
          <w:rFonts w:ascii="Traditional Arabic" w:hAnsi="Traditional Arabic" w:cs="Traditional Arabic"/>
          <w:b/>
          <w:bCs/>
          <w:sz w:val="30"/>
          <w:szCs w:val="30"/>
          <w:rtl/>
          <w:lang w:bidi="ar-EG"/>
        </w:rPr>
      </w:pPr>
    </w:p>
    <w:p w14:paraId="750BDCAC" w14:textId="77777777" w:rsidR="000437A0" w:rsidRDefault="007B5A4B" w:rsidP="00D50A45">
      <w:pPr>
        <w:autoSpaceDE w:val="0"/>
        <w:autoSpaceDN w:val="0"/>
        <w:bidi/>
        <w:adjustRightInd w:val="0"/>
        <w:jc w:val="both"/>
        <w:rPr>
          <w:rFonts w:ascii="Traditional Arabic" w:hAnsi="Traditional Arabic" w:cs="Traditional Arabic"/>
          <w:b/>
          <w:bCs/>
          <w:sz w:val="30"/>
          <w:szCs w:val="30"/>
          <w:rtl/>
          <w:lang w:bidi="ar-EG"/>
        </w:rPr>
      </w:pPr>
      <w:r>
        <w:rPr>
          <w:rFonts w:ascii="Traditional Arabic" w:hAnsi="Traditional Arabic" w:cs="Traditional Arabic" w:hint="cs"/>
          <w:b/>
          <w:bCs/>
          <w:sz w:val="30"/>
          <w:szCs w:val="30"/>
          <w:rtl/>
          <w:lang w:bidi="ar-EG"/>
        </w:rPr>
        <w:t>بيان المركز المالي</w:t>
      </w:r>
      <w:r w:rsidR="007419C2">
        <w:rPr>
          <w:rFonts w:ascii="Traditional Arabic" w:hAnsi="Traditional Arabic" w:cs="Traditional Arabic" w:hint="cs"/>
          <w:b/>
          <w:bCs/>
          <w:sz w:val="30"/>
          <w:szCs w:val="30"/>
          <w:rtl/>
          <w:lang w:bidi="ar-EG"/>
        </w:rPr>
        <w:t xml:space="preserve"> الموحد (ر.ع)</w:t>
      </w:r>
    </w:p>
    <w:tbl>
      <w:tblPr>
        <w:bidiVisual/>
        <w:tblW w:w="9068" w:type="dxa"/>
        <w:tblInd w:w="437" w:type="dxa"/>
        <w:tblLayout w:type="fixed"/>
        <w:tblCellMar>
          <w:left w:w="0" w:type="dxa"/>
          <w:right w:w="0" w:type="dxa"/>
        </w:tblCellMar>
        <w:tblLook w:val="0000" w:firstRow="0" w:lastRow="0" w:firstColumn="0" w:lastColumn="0" w:noHBand="0" w:noVBand="0"/>
      </w:tblPr>
      <w:tblGrid>
        <w:gridCol w:w="3156"/>
        <w:gridCol w:w="282"/>
        <w:gridCol w:w="1132"/>
        <w:gridCol w:w="282"/>
        <w:gridCol w:w="1132"/>
        <w:gridCol w:w="282"/>
        <w:gridCol w:w="1132"/>
        <w:gridCol w:w="282"/>
        <w:gridCol w:w="1152"/>
        <w:gridCol w:w="236"/>
      </w:tblGrid>
      <w:tr w:rsidR="008C2BF6" w:rsidRPr="00B02BA3" w14:paraId="64E5A3DA" w14:textId="77777777" w:rsidTr="008C2BF6">
        <w:trPr>
          <w:tblHeader/>
        </w:trPr>
        <w:tc>
          <w:tcPr>
            <w:tcW w:w="3156" w:type="dxa"/>
            <w:vAlign w:val="bottom"/>
          </w:tcPr>
          <w:p w14:paraId="631D961A" w14:textId="77777777" w:rsidR="008C2BF6" w:rsidRPr="003D0326" w:rsidRDefault="008C2BF6" w:rsidP="008C2BF6">
            <w:pPr>
              <w:pStyle w:val="SmCellHead"/>
              <w:bidi/>
              <w:rPr>
                <w:sz w:val="14"/>
                <w:szCs w:val="16"/>
              </w:rPr>
            </w:pPr>
          </w:p>
        </w:tc>
        <w:tc>
          <w:tcPr>
            <w:tcW w:w="282" w:type="dxa"/>
            <w:vAlign w:val="bottom"/>
          </w:tcPr>
          <w:p w14:paraId="01143CFD" w14:textId="77777777" w:rsidR="008C2BF6" w:rsidRPr="00B02BA3" w:rsidRDefault="008C2BF6" w:rsidP="008C2BF6">
            <w:pPr>
              <w:pStyle w:val="CellRowSpacer"/>
              <w:spacing w:after="120"/>
              <w:rPr>
                <w:sz w:val="18"/>
              </w:rPr>
            </w:pPr>
          </w:p>
        </w:tc>
        <w:tc>
          <w:tcPr>
            <w:tcW w:w="3960" w:type="dxa"/>
            <w:gridSpan w:val="5"/>
            <w:tcBorders>
              <w:bottom w:val="single" w:sz="4" w:space="0" w:color="auto"/>
            </w:tcBorders>
            <w:vAlign w:val="bottom"/>
          </w:tcPr>
          <w:p w14:paraId="00746BB6" w14:textId="77777777" w:rsidR="008C2BF6" w:rsidRPr="00B02BA3" w:rsidRDefault="008C2BF6" w:rsidP="008C2BF6">
            <w:pPr>
              <w:pStyle w:val="SmCellHead"/>
              <w:jc w:val="center"/>
            </w:pPr>
            <w:r w:rsidRPr="00B02BA3">
              <w:t>As at Ended 31 December</w:t>
            </w:r>
          </w:p>
        </w:tc>
        <w:tc>
          <w:tcPr>
            <w:tcW w:w="282" w:type="dxa"/>
            <w:vAlign w:val="bottom"/>
          </w:tcPr>
          <w:p w14:paraId="0D54E8A2" w14:textId="77777777" w:rsidR="008C2BF6" w:rsidRPr="00B02BA3" w:rsidRDefault="008C2BF6" w:rsidP="008C2BF6">
            <w:pPr>
              <w:pStyle w:val="CellRowSpacer"/>
              <w:spacing w:after="120"/>
              <w:jc w:val="center"/>
              <w:rPr>
                <w:sz w:val="18"/>
              </w:rPr>
            </w:pPr>
          </w:p>
        </w:tc>
        <w:tc>
          <w:tcPr>
            <w:tcW w:w="1152" w:type="dxa"/>
            <w:vMerge w:val="restart"/>
            <w:vAlign w:val="bottom"/>
          </w:tcPr>
          <w:p w14:paraId="0D6D40B8" w14:textId="77777777" w:rsidR="008C2BF6" w:rsidRPr="00B02BA3" w:rsidRDefault="008C2BF6" w:rsidP="008C2BF6">
            <w:pPr>
              <w:pStyle w:val="SmCellHead"/>
              <w:jc w:val="center"/>
            </w:pPr>
            <w:r w:rsidRPr="00B02BA3">
              <w:t>As at 30 September 2024</w:t>
            </w:r>
          </w:p>
        </w:tc>
        <w:tc>
          <w:tcPr>
            <w:tcW w:w="236" w:type="dxa"/>
            <w:vAlign w:val="bottom"/>
          </w:tcPr>
          <w:p w14:paraId="33587DFA" w14:textId="77777777" w:rsidR="008C2BF6" w:rsidRPr="00B02BA3" w:rsidRDefault="008C2BF6" w:rsidP="008C2BF6">
            <w:pPr>
              <w:pStyle w:val="CellRowSpacer"/>
              <w:spacing w:after="120"/>
              <w:rPr>
                <w:sz w:val="18"/>
              </w:rPr>
            </w:pPr>
          </w:p>
        </w:tc>
      </w:tr>
      <w:tr w:rsidR="008C2BF6" w:rsidRPr="00B02BA3" w14:paraId="2381749A" w14:textId="77777777" w:rsidTr="008C2BF6">
        <w:tc>
          <w:tcPr>
            <w:tcW w:w="3156" w:type="dxa"/>
            <w:vAlign w:val="bottom"/>
          </w:tcPr>
          <w:p w14:paraId="58CBDFB3" w14:textId="77777777" w:rsidR="008C2BF6" w:rsidRPr="003D0326" w:rsidRDefault="008C2BF6" w:rsidP="008C2BF6">
            <w:pPr>
              <w:pStyle w:val="SmCellBody"/>
              <w:tabs>
                <w:tab w:val="right" w:leader="dot" w:pos="3163"/>
              </w:tabs>
              <w:bidi/>
              <w:rPr>
                <w:sz w:val="14"/>
                <w:szCs w:val="16"/>
              </w:rPr>
            </w:pPr>
          </w:p>
        </w:tc>
        <w:tc>
          <w:tcPr>
            <w:tcW w:w="282" w:type="dxa"/>
            <w:vAlign w:val="bottom"/>
          </w:tcPr>
          <w:p w14:paraId="2051B962" w14:textId="77777777" w:rsidR="008C2BF6" w:rsidRPr="00B02BA3" w:rsidRDefault="008C2BF6" w:rsidP="008C2BF6">
            <w:pPr>
              <w:pStyle w:val="CellRowSpacer"/>
              <w:rPr>
                <w:sz w:val="18"/>
              </w:rPr>
            </w:pPr>
          </w:p>
        </w:tc>
        <w:tc>
          <w:tcPr>
            <w:tcW w:w="1132" w:type="dxa"/>
            <w:tcBorders>
              <w:top w:val="single" w:sz="4" w:space="0" w:color="auto"/>
              <w:bottom w:val="single" w:sz="4" w:space="0" w:color="auto"/>
            </w:tcBorders>
            <w:vAlign w:val="bottom"/>
          </w:tcPr>
          <w:p w14:paraId="7A41B8E5" w14:textId="77777777" w:rsidR="008C2BF6" w:rsidRPr="00B02BA3" w:rsidRDefault="008C2BF6" w:rsidP="008C2BF6">
            <w:pPr>
              <w:pStyle w:val="SmCellBody"/>
              <w:jc w:val="right"/>
              <w:rPr>
                <w:b/>
                <w:bCs/>
              </w:rPr>
            </w:pPr>
            <w:r w:rsidRPr="00B02BA3">
              <w:rPr>
                <w:b/>
                <w:bCs/>
              </w:rPr>
              <w:t>2021</w:t>
            </w:r>
          </w:p>
        </w:tc>
        <w:tc>
          <w:tcPr>
            <w:tcW w:w="282" w:type="dxa"/>
            <w:tcBorders>
              <w:top w:val="single" w:sz="4" w:space="0" w:color="auto"/>
            </w:tcBorders>
            <w:vAlign w:val="bottom"/>
          </w:tcPr>
          <w:p w14:paraId="465F104B" w14:textId="77777777" w:rsidR="008C2BF6" w:rsidRPr="00B02BA3" w:rsidRDefault="008C2BF6" w:rsidP="008C2BF6">
            <w:pPr>
              <w:pStyle w:val="CellRowSpacer"/>
              <w:rPr>
                <w:b/>
                <w:bCs/>
                <w:sz w:val="18"/>
              </w:rPr>
            </w:pPr>
          </w:p>
        </w:tc>
        <w:tc>
          <w:tcPr>
            <w:tcW w:w="1132" w:type="dxa"/>
            <w:tcBorders>
              <w:top w:val="single" w:sz="4" w:space="0" w:color="auto"/>
              <w:bottom w:val="single" w:sz="4" w:space="0" w:color="auto"/>
            </w:tcBorders>
            <w:vAlign w:val="bottom"/>
          </w:tcPr>
          <w:p w14:paraId="4800E4B0" w14:textId="77777777" w:rsidR="008C2BF6" w:rsidRPr="00B02BA3" w:rsidRDefault="008C2BF6" w:rsidP="008C2BF6">
            <w:pPr>
              <w:pStyle w:val="SmCellBody"/>
              <w:jc w:val="right"/>
              <w:rPr>
                <w:b/>
                <w:bCs/>
              </w:rPr>
            </w:pPr>
            <w:r w:rsidRPr="00B02BA3">
              <w:rPr>
                <w:b/>
                <w:bCs/>
              </w:rPr>
              <w:t>2022</w:t>
            </w:r>
          </w:p>
        </w:tc>
        <w:tc>
          <w:tcPr>
            <w:tcW w:w="282" w:type="dxa"/>
            <w:tcBorders>
              <w:top w:val="single" w:sz="4" w:space="0" w:color="auto"/>
            </w:tcBorders>
            <w:vAlign w:val="bottom"/>
          </w:tcPr>
          <w:p w14:paraId="65520CCD" w14:textId="77777777" w:rsidR="008C2BF6" w:rsidRPr="00B02BA3" w:rsidRDefault="008C2BF6" w:rsidP="008C2BF6">
            <w:pPr>
              <w:pStyle w:val="CellRowSpacer"/>
              <w:rPr>
                <w:b/>
                <w:bCs/>
                <w:sz w:val="18"/>
              </w:rPr>
            </w:pPr>
          </w:p>
        </w:tc>
        <w:tc>
          <w:tcPr>
            <w:tcW w:w="1132" w:type="dxa"/>
            <w:tcBorders>
              <w:top w:val="single" w:sz="4" w:space="0" w:color="auto"/>
              <w:bottom w:val="single" w:sz="4" w:space="0" w:color="auto"/>
            </w:tcBorders>
            <w:vAlign w:val="bottom"/>
          </w:tcPr>
          <w:p w14:paraId="17C1FEA6" w14:textId="77777777" w:rsidR="008C2BF6" w:rsidRPr="00B02BA3" w:rsidRDefault="008C2BF6" w:rsidP="008C2BF6">
            <w:pPr>
              <w:pStyle w:val="SmCellBody"/>
              <w:jc w:val="right"/>
              <w:rPr>
                <w:b/>
                <w:bCs/>
              </w:rPr>
            </w:pPr>
            <w:r w:rsidRPr="00B02BA3">
              <w:rPr>
                <w:b/>
                <w:bCs/>
              </w:rPr>
              <w:t>2023</w:t>
            </w:r>
          </w:p>
        </w:tc>
        <w:tc>
          <w:tcPr>
            <w:tcW w:w="282" w:type="dxa"/>
            <w:vAlign w:val="bottom"/>
          </w:tcPr>
          <w:p w14:paraId="0852E88C" w14:textId="77777777" w:rsidR="008C2BF6" w:rsidRPr="00B02BA3" w:rsidRDefault="008C2BF6" w:rsidP="008C2BF6">
            <w:pPr>
              <w:pStyle w:val="CellRowSpacer"/>
              <w:rPr>
                <w:b/>
                <w:bCs/>
                <w:sz w:val="18"/>
              </w:rPr>
            </w:pPr>
          </w:p>
        </w:tc>
        <w:tc>
          <w:tcPr>
            <w:tcW w:w="1152" w:type="dxa"/>
            <w:vMerge/>
            <w:tcBorders>
              <w:bottom w:val="single" w:sz="4" w:space="0" w:color="auto"/>
            </w:tcBorders>
            <w:vAlign w:val="bottom"/>
          </w:tcPr>
          <w:p w14:paraId="6FAFE5D9" w14:textId="77777777" w:rsidR="008C2BF6" w:rsidRPr="00B02BA3" w:rsidRDefault="008C2BF6" w:rsidP="008C2BF6">
            <w:pPr>
              <w:pStyle w:val="SmCellBody"/>
              <w:jc w:val="right"/>
              <w:rPr>
                <w:b/>
                <w:bCs/>
              </w:rPr>
            </w:pPr>
          </w:p>
        </w:tc>
        <w:tc>
          <w:tcPr>
            <w:tcW w:w="236" w:type="dxa"/>
            <w:vAlign w:val="bottom"/>
          </w:tcPr>
          <w:p w14:paraId="4A11AF5E" w14:textId="77777777" w:rsidR="008C2BF6" w:rsidRPr="00B02BA3" w:rsidRDefault="008C2BF6" w:rsidP="008C2BF6">
            <w:pPr>
              <w:pStyle w:val="CellRowSpacer"/>
              <w:rPr>
                <w:sz w:val="18"/>
              </w:rPr>
            </w:pPr>
          </w:p>
        </w:tc>
      </w:tr>
      <w:tr w:rsidR="008C2BF6" w:rsidRPr="00B02BA3" w14:paraId="50B7D731" w14:textId="77777777" w:rsidTr="008C2BF6">
        <w:tc>
          <w:tcPr>
            <w:tcW w:w="3156" w:type="dxa"/>
            <w:vAlign w:val="bottom"/>
          </w:tcPr>
          <w:p w14:paraId="38630E6A" w14:textId="77777777" w:rsidR="008C2BF6" w:rsidRPr="003D0326" w:rsidRDefault="008C2BF6" w:rsidP="008C2BF6">
            <w:pPr>
              <w:pStyle w:val="SmCellBody"/>
              <w:tabs>
                <w:tab w:val="right" w:leader="dot" w:pos="3163"/>
              </w:tabs>
              <w:bidi/>
              <w:rPr>
                <w:sz w:val="14"/>
                <w:szCs w:val="16"/>
              </w:rPr>
            </w:pPr>
          </w:p>
        </w:tc>
        <w:tc>
          <w:tcPr>
            <w:tcW w:w="282" w:type="dxa"/>
            <w:vAlign w:val="bottom"/>
          </w:tcPr>
          <w:p w14:paraId="4B2CC383" w14:textId="77777777" w:rsidR="008C2BF6" w:rsidRPr="00B02BA3" w:rsidRDefault="008C2BF6" w:rsidP="008C2BF6">
            <w:pPr>
              <w:pStyle w:val="CellRowSpacer"/>
              <w:rPr>
                <w:sz w:val="18"/>
              </w:rPr>
            </w:pPr>
          </w:p>
        </w:tc>
        <w:tc>
          <w:tcPr>
            <w:tcW w:w="5394" w:type="dxa"/>
            <w:gridSpan w:val="7"/>
            <w:vAlign w:val="bottom"/>
          </w:tcPr>
          <w:p w14:paraId="0F554B9D" w14:textId="77777777" w:rsidR="008C2BF6" w:rsidRPr="00B02BA3" w:rsidRDefault="008C2BF6" w:rsidP="008C2BF6">
            <w:pPr>
              <w:pStyle w:val="SmCellBody"/>
              <w:jc w:val="center"/>
            </w:pPr>
            <w:r w:rsidRPr="00B02BA3">
              <w:rPr>
                <w:i/>
                <w:iCs/>
              </w:rPr>
              <w:t xml:space="preserve">(OMR </w:t>
            </w:r>
            <w:r>
              <w:rPr>
                <w:i/>
                <w:iCs/>
              </w:rPr>
              <w:t>millions</w:t>
            </w:r>
            <w:r w:rsidRPr="00B02BA3">
              <w:rPr>
                <w:i/>
                <w:iCs/>
              </w:rPr>
              <w:t>)</w:t>
            </w:r>
          </w:p>
        </w:tc>
        <w:tc>
          <w:tcPr>
            <w:tcW w:w="236" w:type="dxa"/>
            <w:vAlign w:val="bottom"/>
          </w:tcPr>
          <w:p w14:paraId="56428367" w14:textId="77777777" w:rsidR="008C2BF6" w:rsidRPr="00B02BA3" w:rsidRDefault="008C2BF6" w:rsidP="008C2BF6">
            <w:pPr>
              <w:pStyle w:val="CellRowSpacer"/>
              <w:rPr>
                <w:sz w:val="18"/>
              </w:rPr>
            </w:pPr>
          </w:p>
        </w:tc>
      </w:tr>
      <w:tr w:rsidR="008C2BF6" w:rsidRPr="00B02BA3" w14:paraId="6CFDC093" w14:textId="77777777" w:rsidTr="008C2BF6">
        <w:tc>
          <w:tcPr>
            <w:tcW w:w="3156" w:type="dxa"/>
            <w:vAlign w:val="bottom"/>
          </w:tcPr>
          <w:p w14:paraId="37C7454C"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الأصول</w:t>
            </w:r>
          </w:p>
        </w:tc>
        <w:tc>
          <w:tcPr>
            <w:tcW w:w="282" w:type="dxa"/>
            <w:vAlign w:val="bottom"/>
          </w:tcPr>
          <w:p w14:paraId="72BA4DEC" w14:textId="77777777" w:rsidR="008C2BF6" w:rsidRPr="00B02BA3" w:rsidRDefault="008C2BF6" w:rsidP="008C2BF6">
            <w:pPr>
              <w:pStyle w:val="CellRowSpacer"/>
              <w:rPr>
                <w:sz w:val="18"/>
              </w:rPr>
            </w:pPr>
          </w:p>
        </w:tc>
        <w:tc>
          <w:tcPr>
            <w:tcW w:w="1132" w:type="dxa"/>
            <w:vAlign w:val="bottom"/>
          </w:tcPr>
          <w:p w14:paraId="704C445A" w14:textId="77777777" w:rsidR="008C2BF6" w:rsidRPr="00B02BA3" w:rsidRDefault="008C2BF6" w:rsidP="008C2BF6">
            <w:pPr>
              <w:pStyle w:val="SmCellBody"/>
              <w:jc w:val="right"/>
            </w:pPr>
          </w:p>
        </w:tc>
        <w:tc>
          <w:tcPr>
            <w:tcW w:w="282" w:type="dxa"/>
            <w:vAlign w:val="bottom"/>
          </w:tcPr>
          <w:p w14:paraId="38E72702" w14:textId="77777777" w:rsidR="008C2BF6" w:rsidRPr="00B02BA3" w:rsidRDefault="008C2BF6" w:rsidP="008C2BF6">
            <w:pPr>
              <w:pStyle w:val="CellRowSpacer"/>
              <w:rPr>
                <w:sz w:val="18"/>
              </w:rPr>
            </w:pPr>
          </w:p>
        </w:tc>
        <w:tc>
          <w:tcPr>
            <w:tcW w:w="1132" w:type="dxa"/>
            <w:vAlign w:val="bottom"/>
          </w:tcPr>
          <w:p w14:paraId="16D04A60" w14:textId="77777777" w:rsidR="008C2BF6" w:rsidRPr="00B02BA3" w:rsidRDefault="008C2BF6" w:rsidP="008C2BF6">
            <w:pPr>
              <w:pStyle w:val="SmCellBody"/>
              <w:jc w:val="right"/>
            </w:pPr>
          </w:p>
        </w:tc>
        <w:tc>
          <w:tcPr>
            <w:tcW w:w="282" w:type="dxa"/>
            <w:vAlign w:val="bottom"/>
          </w:tcPr>
          <w:p w14:paraId="4FC205C3" w14:textId="77777777" w:rsidR="008C2BF6" w:rsidRPr="00B02BA3" w:rsidRDefault="008C2BF6" w:rsidP="008C2BF6">
            <w:pPr>
              <w:pStyle w:val="CellRowSpacer"/>
              <w:rPr>
                <w:sz w:val="18"/>
              </w:rPr>
            </w:pPr>
          </w:p>
        </w:tc>
        <w:tc>
          <w:tcPr>
            <w:tcW w:w="1132" w:type="dxa"/>
          </w:tcPr>
          <w:p w14:paraId="6163EF37" w14:textId="77777777" w:rsidR="008C2BF6" w:rsidRPr="00B02BA3" w:rsidRDefault="008C2BF6" w:rsidP="008C2BF6">
            <w:pPr>
              <w:pStyle w:val="SmCellBody"/>
              <w:jc w:val="right"/>
            </w:pPr>
          </w:p>
        </w:tc>
        <w:tc>
          <w:tcPr>
            <w:tcW w:w="282" w:type="dxa"/>
            <w:vAlign w:val="bottom"/>
          </w:tcPr>
          <w:p w14:paraId="51DD07F7" w14:textId="77777777" w:rsidR="008C2BF6" w:rsidRPr="00B02BA3" w:rsidRDefault="008C2BF6" w:rsidP="008C2BF6">
            <w:pPr>
              <w:pStyle w:val="CellRowSpacer"/>
              <w:rPr>
                <w:sz w:val="18"/>
              </w:rPr>
            </w:pPr>
          </w:p>
        </w:tc>
        <w:tc>
          <w:tcPr>
            <w:tcW w:w="1152" w:type="dxa"/>
            <w:vAlign w:val="bottom"/>
          </w:tcPr>
          <w:p w14:paraId="278779A8" w14:textId="77777777" w:rsidR="008C2BF6" w:rsidRPr="00B02BA3" w:rsidRDefault="008C2BF6" w:rsidP="008C2BF6">
            <w:pPr>
              <w:pStyle w:val="SmCellBody"/>
              <w:jc w:val="right"/>
            </w:pPr>
          </w:p>
        </w:tc>
        <w:tc>
          <w:tcPr>
            <w:tcW w:w="236" w:type="dxa"/>
            <w:vAlign w:val="bottom"/>
          </w:tcPr>
          <w:p w14:paraId="1352DD3A" w14:textId="77777777" w:rsidR="008C2BF6" w:rsidRPr="00B02BA3" w:rsidRDefault="008C2BF6" w:rsidP="008C2BF6">
            <w:pPr>
              <w:pStyle w:val="CellRowSpacer"/>
              <w:rPr>
                <w:sz w:val="18"/>
              </w:rPr>
            </w:pPr>
          </w:p>
        </w:tc>
      </w:tr>
      <w:tr w:rsidR="008C2BF6" w:rsidRPr="00B02BA3" w14:paraId="505BBB2C" w14:textId="77777777" w:rsidTr="008C2BF6">
        <w:tc>
          <w:tcPr>
            <w:tcW w:w="3156" w:type="dxa"/>
            <w:vAlign w:val="bottom"/>
          </w:tcPr>
          <w:p w14:paraId="5DD1C4AE"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أصول غير متداولة</w:t>
            </w:r>
          </w:p>
        </w:tc>
        <w:tc>
          <w:tcPr>
            <w:tcW w:w="282" w:type="dxa"/>
            <w:vAlign w:val="bottom"/>
          </w:tcPr>
          <w:p w14:paraId="53733C06" w14:textId="77777777" w:rsidR="008C2BF6" w:rsidRPr="00B02BA3" w:rsidRDefault="008C2BF6" w:rsidP="008C2BF6">
            <w:pPr>
              <w:pStyle w:val="CellRowSpacer"/>
              <w:rPr>
                <w:sz w:val="18"/>
              </w:rPr>
            </w:pPr>
          </w:p>
        </w:tc>
        <w:tc>
          <w:tcPr>
            <w:tcW w:w="1132" w:type="dxa"/>
            <w:vAlign w:val="bottom"/>
          </w:tcPr>
          <w:p w14:paraId="06D292D7" w14:textId="77777777" w:rsidR="008C2BF6" w:rsidRPr="00B02BA3" w:rsidRDefault="008C2BF6" w:rsidP="008C2BF6">
            <w:pPr>
              <w:pStyle w:val="SmCellBody"/>
              <w:jc w:val="right"/>
            </w:pPr>
          </w:p>
        </w:tc>
        <w:tc>
          <w:tcPr>
            <w:tcW w:w="282" w:type="dxa"/>
            <w:vAlign w:val="bottom"/>
          </w:tcPr>
          <w:p w14:paraId="575801B8" w14:textId="77777777" w:rsidR="008C2BF6" w:rsidRPr="00B02BA3" w:rsidRDefault="008C2BF6" w:rsidP="008C2BF6">
            <w:pPr>
              <w:pStyle w:val="CellRowSpacer"/>
              <w:rPr>
                <w:sz w:val="18"/>
              </w:rPr>
            </w:pPr>
          </w:p>
        </w:tc>
        <w:tc>
          <w:tcPr>
            <w:tcW w:w="1132" w:type="dxa"/>
            <w:vAlign w:val="bottom"/>
          </w:tcPr>
          <w:p w14:paraId="6646D1D9" w14:textId="77777777" w:rsidR="008C2BF6" w:rsidRPr="00B02BA3" w:rsidRDefault="008C2BF6" w:rsidP="008C2BF6">
            <w:pPr>
              <w:pStyle w:val="SmCellBody"/>
              <w:jc w:val="right"/>
            </w:pPr>
          </w:p>
        </w:tc>
        <w:tc>
          <w:tcPr>
            <w:tcW w:w="282" w:type="dxa"/>
            <w:vAlign w:val="bottom"/>
          </w:tcPr>
          <w:p w14:paraId="45ED6226" w14:textId="77777777" w:rsidR="008C2BF6" w:rsidRPr="00B02BA3" w:rsidRDefault="008C2BF6" w:rsidP="008C2BF6">
            <w:pPr>
              <w:pStyle w:val="CellRowSpacer"/>
              <w:rPr>
                <w:sz w:val="18"/>
              </w:rPr>
            </w:pPr>
          </w:p>
        </w:tc>
        <w:tc>
          <w:tcPr>
            <w:tcW w:w="1132" w:type="dxa"/>
          </w:tcPr>
          <w:p w14:paraId="3EDB305C" w14:textId="77777777" w:rsidR="008C2BF6" w:rsidRPr="00B02BA3" w:rsidRDefault="008C2BF6" w:rsidP="008C2BF6">
            <w:pPr>
              <w:pStyle w:val="SmCellBody"/>
              <w:jc w:val="right"/>
            </w:pPr>
          </w:p>
        </w:tc>
        <w:tc>
          <w:tcPr>
            <w:tcW w:w="282" w:type="dxa"/>
            <w:vAlign w:val="bottom"/>
          </w:tcPr>
          <w:p w14:paraId="79DB0A1E" w14:textId="77777777" w:rsidR="008C2BF6" w:rsidRPr="00B02BA3" w:rsidRDefault="008C2BF6" w:rsidP="008C2BF6">
            <w:pPr>
              <w:pStyle w:val="CellRowSpacer"/>
              <w:rPr>
                <w:sz w:val="18"/>
              </w:rPr>
            </w:pPr>
          </w:p>
        </w:tc>
        <w:tc>
          <w:tcPr>
            <w:tcW w:w="1152" w:type="dxa"/>
            <w:vAlign w:val="bottom"/>
          </w:tcPr>
          <w:p w14:paraId="632012CA" w14:textId="77777777" w:rsidR="008C2BF6" w:rsidRPr="00B02BA3" w:rsidRDefault="008C2BF6" w:rsidP="008C2BF6">
            <w:pPr>
              <w:pStyle w:val="SmCellBody"/>
              <w:jc w:val="right"/>
            </w:pPr>
          </w:p>
        </w:tc>
        <w:tc>
          <w:tcPr>
            <w:tcW w:w="236" w:type="dxa"/>
            <w:vAlign w:val="bottom"/>
          </w:tcPr>
          <w:p w14:paraId="607DACD1" w14:textId="77777777" w:rsidR="008C2BF6" w:rsidRPr="00B02BA3" w:rsidRDefault="008C2BF6" w:rsidP="008C2BF6">
            <w:pPr>
              <w:pStyle w:val="CellRowSpacer"/>
              <w:rPr>
                <w:sz w:val="18"/>
              </w:rPr>
            </w:pPr>
          </w:p>
        </w:tc>
      </w:tr>
      <w:tr w:rsidR="008C2BF6" w:rsidRPr="00B02BA3" w14:paraId="3EB04EA3" w14:textId="77777777" w:rsidTr="008C2BF6">
        <w:tc>
          <w:tcPr>
            <w:tcW w:w="3156" w:type="dxa"/>
            <w:vAlign w:val="bottom"/>
          </w:tcPr>
          <w:p w14:paraId="6A285A61"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الممتلكات والسفن والمعدات</w:t>
            </w:r>
            <w:r w:rsidRPr="003D0326">
              <w:rPr>
                <w:sz w:val="14"/>
                <w:szCs w:val="16"/>
              </w:rPr>
              <w:tab/>
            </w:r>
          </w:p>
        </w:tc>
        <w:tc>
          <w:tcPr>
            <w:tcW w:w="282" w:type="dxa"/>
            <w:vAlign w:val="bottom"/>
          </w:tcPr>
          <w:p w14:paraId="29201B73" w14:textId="77777777" w:rsidR="008C2BF6" w:rsidRPr="00B02BA3" w:rsidRDefault="008C2BF6" w:rsidP="008C2BF6">
            <w:pPr>
              <w:pStyle w:val="CellRowSpacer"/>
              <w:rPr>
                <w:sz w:val="18"/>
              </w:rPr>
            </w:pPr>
          </w:p>
        </w:tc>
        <w:tc>
          <w:tcPr>
            <w:tcW w:w="1132" w:type="dxa"/>
            <w:vAlign w:val="bottom"/>
          </w:tcPr>
          <w:p w14:paraId="4FC9C6F2" w14:textId="77777777" w:rsidR="008C2BF6" w:rsidRPr="00B02BA3" w:rsidRDefault="008C2BF6" w:rsidP="008C2BF6">
            <w:pPr>
              <w:pStyle w:val="SmCellBody"/>
              <w:jc w:val="right"/>
            </w:pPr>
            <w:r w:rsidRPr="00B02BA3">
              <w:t>774</w:t>
            </w:r>
            <w:r>
              <w:t>.</w:t>
            </w:r>
            <w:r w:rsidRPr="00B02BA3">
              <w:t>8</w:t>
            </w:r>
          </w:p>
        </w:tc>
        <w:tc>
          <w:tcPr>
            <w:tcW w:w="282" w:type="dxa"/>
            <w:vAlign w:val="bottom"/>
          </w:tcPr>
          <w:p w14:paraId="0AE20649" w14:textId="77777777" w:rsidR="008C2BF6" w:rsidRPr="00B02BA3" w:rsidRDefault="008C2BF6" w:rsidP="008C2BF6">
            <w:pPr>
              <w:pStyle w:val="CellRowSpacer"/>
              <w:rPr>
                <w:sz w:val="18"/>
              </w:rPr>
            </w:pPr>
          </w:p>
        </w:tc>
        <w:tc>
          <w:tcPr>
            <w:tcW w:w="1132" w:type="dxa"/>
            <w:vAlign w:val="bottom"/>
          </w:tcPr>
          <w:p w14:paraId="1C17E63A" w14:textId="77777777" w:rsidR="008C2BF6" w:rsidRPr="00B02BA3" w:rsidRDefault="008C2BF6" w:rsidP="008C2BF6">
            <w:pPr>
              <w:pStyle w:val="SmCellBody"/>
              <w:jc w:val="right"/>
            </w:pPr>
            <w:r w:rsidRPr="00B02BA3">
              <w:t>679</w:t>
            </w:r>
            <w:r>
              <w:t>.</w:t>
            </w:r>
            <w:r w:rsidRPr="00B02BA3">
              <w:t>6</w:t>
            </w:r>
          </w:p>
        </w:tc>
        <w:tc>
          <w:tcPr>
            <w:tcW w:w="282" w:type="dxa"/>
            <w:vAlign w:val="bottom"/>
          </w:tcPr>
          <w:p w14:paraId="5BE81264" w14:textId="77777777" w:rsidR="008C2BF6" w:rsidRPr="00B02BA3" w:rsidRDefault="008C2BF6" w:rsidP="008C2BF6">
            <w:pPr>
              <w:pStyle w:val="CellRowSpacer"/>
              <w:rPr>
                <w:sz w:val="18"/>
              </w:rPr>
            </w:pPr>
          </w:p>
        </w:tc>
        <w:tc>
          <w:tcPr>
            <w:tcW w:w="1132" w:type="dxa"/>
          </w:tcPr>
          <w:p w14:paraId="71165F91" w14:textId="77777777" w:rsidR="008C2BF6" w:rsidRPr="00B02BA3" w:rsidRDefault="008C2BF6" w:rsidP="008C2BF6">
            <w:pPr>
              <w:pStyle w:val="SmCellBody"/>
              <w:jc w:val="right"/>
            </w:pPr>
            <w:r w:rsidRPr="00B02BA3">
              <w:t>636</w:t>
            </w:r>
            <w:r>
              <w:t>.3</w:t>
            </w:r>
          </w:p>
        </w:tc>
        <w:tc>
          <w:tcPr>
            <w:tcW w:w="282" w:type="dxa"/>
            <w:vAlign w:val="bottom"/>
          </w:tcPr>
          <w:p w14:paraId="025D2455" w14:textId="77777777" w:rsidR="008C2BF6" w:rsidRPr="00B02BA3" w:rsidRDefault="008C2BF6" w:rsidP="008C2BF6">
            <w:pPr>
              <w:pStyle w:val="CellRowSpacer"/>
              <w:rPr>
                <w:sz w:val="18"/>
              </w:rPr>
            </w:pPr>
          </w:p>
        </w:tc>
        <w:tc>
          <w:tcPr>
            <w:tcW w:w="1152" w:type="dxa"/>
            <w:vAlign w:val="bottom"/>
          </w:tcPr>
          <w:p w14:paraId="4A477EA9" w14:textId="77777777" w:rsidR="008C2BF6" w:rsidRPr="00B02BA3" w:rsidRDefault="008C2BF6" w:rsidP="008C2BF6">
            <w:pPr>
              <w:pStyle w:val="SmCellBody"/>
              <w:jc w:val="right"/>
            </w:pPr>
            <w:r>
              <w:t>625.7</w:t>
            </w:r>
          </w:p>
        </w:tc>
        <w:tc>
          <w:tcPr>
            <w:tcW w:w="236" w:type="dxa"/>
            <w:vAlign w:val="bottom"/>
          </w:tcPr>
          <w:p w14:paraId="33D2F290" w14:textId="77777777" w:rsidR="008C2BF6" w:rsidRPr="00B02BA3" w:rsidRDefault="008C2BF6" w:rsidP="008C2BF6">
            <w:pPr>
              <w:pStyle w:val="CellRowSpacer"/>
              <w:rPr>
                <w:sz w:val="18"/>
              </w:rPr>
            </w:pPr>
          </w:p>
        </w:tc>
      </w:tr>
      <w:tr w:rsidR="008C2BF6" w:rsidRPr="00B02BA3" w14:paraId="6335CE90" w14:textId="77777777" w:rsidTr="008C2BF6">
        <w:tc>
          <w:tcPr>
            <w:tcW w:w="3156" w:type="dxa"/>
            <w:vAlign w:val="bottom"/>
          </w:tcPr>
          <w:p w14:paraId="0CC59245"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الأصول الملموسة</w:t>
            </w:r>
          </w:p>
        </w:tc>
        <w:tc>
          <w:tcPr>
            <w:tcW w:w="282" w:type="dxa"/>
            <w:vAlign w:val="bottom"/>
          </w:tcPr>
          <w:p w14:paraId="12890662" w14:textId="77777777" w:rsidR="008C2BF6" w:rsidRPr="00B02BA3" w:rsidRDefault="008C2BF6" w:rsidP="008C2BF6">
            <w:pPr>
              <w:pStyle w:val="CellRowSpacer"/>
              <w:rPr>
                <w:sz w:val="18"/>
              </w:rPr>
            </w:pPr>
          </w:p>
        </w:tc>
        <w:tc>
          <w:tcPr>
            <w:tcW w:w="1132" w:type="dxa"/>
            <w:vAlign w:val="bottom"/>
          </w:tcPr>
          <w:p w14:paraId="2DC6A29D" w14:textId="77777777" w:rsidR="008C2BF6" w:rsidRPr="00B02BA3" w:rsidRDefault="008C2BF6" w:rsidP="008C2BF6">
            <w:pPr>
              <w:pStyle w:val="SmCellBody"/>
              <w:jc w:val="right"/>
            </w:pPr>
            <w:r w:rsidRPr="00B02BA3">
              <w:t>—</w:t>
            </w:r>
          </w:p>
        </w:tc>
        <w:tc>
          <w:tcPr>
            <w:tcW w:w="282" w:type="dxa"/>
            <w:vAlign w:val="bottom"/>
          </w:tcPr>
          <w:p w14:paraId="38591FAD" w14:textId="77777777" w:rsidR="008C2BF6" w:rsidRPr="00B02BA3" w:rsidRDefault="008C2BF6" w:rsidP="008C2BF6">
            <w:pPr>
              <w:pStyle w:val="CellRowSpacer"/>
              <w:rPr>
                <w:sz w:val="18"/>
              </w:rPr>
            </w:pPr>
          </w:p>
        </w:tc>
        <w:tc>
          <w:tcPr>
            <w:tcW w:w="1132" w:type="dxa"/>
            <w:vAlign w:val="bottom"/>
          </w:tcPr>
          <w:p w14:paraId="4E2103FE" w14:textId="77777777" w:rsidR="008C2BF6" w:rsidRPr="00B02BA3" w:rsidRDefault="008C2BF6" w:rsidP="008C2BF6">
            <w:pPr>
              <w:pStyle w:val="SmCellBody"/>
              <w:jc w:val="right"/>
            </w:pPr>
            <w:r w:rsidRPr="00B02BA3">
              <w:t>—</w:t>
            </w:r>
          </w:p>
        </w:tc>
        <w:tc>
          <w:tcPr>
            <w:tcW w:w="282" w:type="dxa"/>
            <w:vAlign w:val="bottom"/>
          </w:tcPr>
          <w:p w14:paraId="63A30070" w14:textId="77777777" w:rsidR="008C2BF6" w:rsidRPr="00B02BA3" w:rsidRDefault="008C2BF6" w:rsidP="008C2BF6">
            <w:pPr>
              <w:pStyle w:val="CellRowSpacer"/>
              <w:rPr>
                <w:sz w:val="18"/>
              </w:rPr>
            </w:pPr>
          </w:p>
        </w:tc>
        <w:tc>
          <w:tcPr>
            <w:tcW w:w="1132" w:type="dxa"/>
          </w:tcPr>
          <w:p w14:paraId="7F54A85E" w14:textId="77777777" w:rsidR="008C2BF6" w:rsidRPr="00B02BA3" w:rsidRDefault="008C2BF6" w:rsidP="008C2BF6">
            <w:pPr>
              <w:pStyle w:val="SmCellBody"/>
              <w:jc w:val="right"/>
            </w:pPr>
            <w:r w:rsidRPr="00B02BA3">
              <w:t>—</w:t>
            </w:r>
          </w:p>
        </w:tc>
        <w:tc>
          <w:tcPr>
            <w:tcW w:w="282" w:type="dxa"/>
            <w:vAlign w:val="bottom"/>
          </w:tcPr>
          <w:p w14:paraId="6DCC1CA0" w14:textId="77777777" w:rsidR="008C2BF6" w:rsidRPr="00B02BA3" w:rsidRDefault="008C2BF6" w:rsidP="008C2BF6">
            <w:pPr>
              <w:pStyle w:val="CellRowSpacer"/>
              <w:rPr>
                <w:sz w:val="18"/>
              </w:rPr>
            </w:pPr>
          </w:p>
        </w:tc>
        <w:tc>
          <w:tcPr>
            <w:tcW w:w="1152" w:type="dxa"/>
            <w:vAlign w:val="bottom"/>
          </w:tcPr>
          <w:p w14:paraId="4A731757" w14:textId="77777777" w:rsidR="008C2BF6" w:rsidRPr="00B02BA3" w:rsidDel="00702CA4" w:rsidRDefault="008C2BF6" w:rsidP="008C2BF6">
            <w:pPr>
              <w:pStyle w:val="SmCellBody"/>
              <w:jc w:val="right"/>
            </w:pPr>
            <w:r>
              <w:t>0.2</w:t>
            </w:r>
          </w:p>
        </w:tc>
        <w:tc>
          <w:tcPr>
            <w:tcW w:w="236" w:type="dxa"/>
            <w:vAlign w:val="bottom"/>
          </w:tcPr>
          <w:p w14:paraId="3C535021" w14:textId="77777777" w:rsidR="008C2BF6" w:rsidRPr="00B02BA3" w:rsidRDefault="008C2BF6" w:rsidP="008C2BF6">
            <w:pPr>
              <w:pStyle w:val="CellRowSpacer"/>
              <w:rPr>
                <w:sz w:val="18"/>
              </w:rPr>
            </w:pPr>
          </w:p>
        </w:tc>
      </w:tr>
      <w:tr w:rsidR="008C2BF6" w:rsidRPr="00B02BA3" w14:paraId="631795FB" w14:textId="77777777" w:rsidTr="008C2BF6">
        <w:tc>
          <w:tcPr>
            <w:tcW w:w="3156" w:type="dxa"/>
            <w:vAlign w:val="bottom"/>
          </w:tcPr>
          <w:p w14:paraId="22425C95"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حق استخدام الأصول</w:t>
            </w:r>
            <w:r w:rsidRPr="003D0326">
              <w:rPr>
                <w:sz w:val="14"/>
                <w:szCs w:val="16"/>
              </w:rPr>
              <w:tab/>
            </w:r>
          </w:p>
        </w:tc>
        <w:tc>
          <w:tcPr>
            <w:tcW w:w="282" w:type="dxa"/>
            <w:vAlign w:val="bottom"/>
          </w:tcPr>
          <w:p w14:paraId="66E673AD" w14:textId="77777777" w:rsidR="008C2BF6" w:rsidRPr="00B02BA3" w:rsidRDefault="008C2BF6" w:rsidP="008C2BF6">
            <w:pPr>
              <w:pStyle w:val="CellRowSpacer"/>
              <w:rPr>
                <w:sz w:val="18"/>
              </w:rPr>
            </w:pPr>
          </w:p>
        </w:tc>
        <w:tc>
          <w:tcPr>
            <w:tcW w:w="1132" w:type="dxa"/>
            <w:vAlign w:val="bottom"/>
          </w:tcPr>
          <w:p w14:paraId="31F0B2DA" w14:textId="77777777" w:rsidR="008C2BF6" w:rsidRPr="00B02BA3" w:rsidRDefault="008C2BF6" w:rsidP="008C2BF6">
            <w:pPr>
              <w:pStyle w:val="SmCellBody"/>
              <w:jc w:val="right"/>
            </w:pPr>
            <w:r w:rsidRPr="00B02BA3">
              <w:t>40</w:t>
            </w:r>
            <w:r>
              <w:t>.5</w:t>
            </w:r>
          </w:p>
        </w:tc>
        <w:tc>
          <w:tcPr>
            <w:tcW w:w="282" w:type="dxa"/>
            <w:vAlign w:val="bottom"/>
          </w:tcPr>
          <w:p w14:paraId="7A0A2A76" w14:textId="77777777" w:rsidR="008C2BF6" w:rsidRPr="00B02BA3" w:rsidRDefault="008C2BF6" w:rsidP="008C2BF6">
            <w:pPr>
              <w:pStyle w:val="CellRowSpacer"/>
              <w:rPr>
                <w:sz w:val="18"/>
              </w:rPr>
            </w:pPr>
          </w:p>
        </w:tc>
        <w:tc>
          <w:tcPr>
            <w:tcW w:w="1132" w:type="dxa"/>
            <w:vAlign w:val="bottom"/>
          </w:tcPr>
          <w:p w14:paraId="730BE5D4" w14:textId="77777777" w:rsidR="008C2BF6" w:rsidRPr="00B02BA3" w:rsidRDefault="008C2BF6" w:rsidP="008C2BF6">
            <w:pPr>
              <w:pStyle w:val="SmCellBody"/>
              <w:jc w:val="right"/>
            </w:pPr>
            <w:r w:rsidRPr="00B02BA3">
              <w:t>88</w:t>
            </w:r>
            <w:r>
              <w:t>.4</w:t>
            </w:r>
          </w:p>
        </w:tc>
        <w:tc>
          <w:tcPr>
            <w:tcW w:w="282" w:type="dxa"/>
            <w:vAlign w:val="bottom"/>
          </w:tcPr>
          <w:p w14:paraId="2A7CE4B0" w14:textId="77777777" w:rsidR="008C2BF6" w:rsidRPr="00B02BA3" w:rsidRDefault="008C2BF6" w:rsidP="008C2BF6">
            <w:pPr>
              <w:pStyle w:val="CellRowSpacer"/>
              <w:rPr>
                <w:sz w:val="18"/>
              </w:rPr>
            </w:pPr>
          </w:p>
        </w:tc>
        <w:tc>
          <w:tcPr>
            <w:tcW w:w="1132" w:type="dxa"/>
          </w:tcPr>
          <w:p w14:paraId="145DF25B" w14:textId="77777777" w:rsidR="008C2BF6" w:rsidRPr="00B02BA3" w:rsidRDefault="008C2BF6" w:rsidP="008C2BF6">
            <w:pPr>
              <w:pStyle w:val="SmCellBody"/>
              <w:jc w:val="right"/>
            </w:pPr>
            <w:r w:rsidRPr="00B02BA3">
              <w:t>135</w:t>
            </w:r>
            <w:r>
              <w:t>.0</w:t>
            </w:r>
          </w:p>
        </w:tc>
        <w:tc>
          <w:tcPr>
            <w:tcW w:w="282" w:type="dxa"/>
            <w:vAlign w:val="bottom"/>
          </w:tcPr>
          <w:p w14:paraId="73274C4C" w14:textId="77777777" w:rsidR="008C2BF6" w:rsidRPr="00B02BA3" w:rsidRDefault="008C2BF6" w:rsidP="008C2BF6">
            <w:pPr>
              <w:pStyle w:val="CellRowSpacer"/>
              <w:rPr>
                <w:sz w:val="18"/>
              </w:rPr>
            </w:pPr>
          </w:p>
        </w:tc>
        <w:tc>
          <w:tcPr>
            <w:tcW w:w="1152" w:type="dxa"/>
          </w:tcPr>
          <w:p w14:paraId="45A6E523" w14:textId="77777777" w:rsidR="008C2BF6" w:rsidRPr="00B02BA3" w:rsidRDefault="008C2BF6" w:rsidP="008C2BF6">
            <w:pPr>
              <w:pStyle w:val="SmCellBody"/>
              <w:jc w:val="right"/>
            </w:pPr>
            <w:r>
              <w:t>134.3</w:t>
            </w:r>
          </w:p>
        </w:tc>
        <w:tc>
          <w:tcPr>
            <w:tcW w:w="236" w:type="dxa"/>
            <w:vAlign w:val="bottom"/>
          </w:tcPr>
          <w:p w14:paraId="2EB14E5A" w14:textId="77777777" w:rsidR="008C2BF6" w:rsidRPr="00B02BA3" w:rsidRDefault="008C2BF6" w:rsidP="008C2BF6">
            <w:pPr>
              <w:pStyle w:val="CellRowSpacer"/>
              <w:rPr>
                <w:sz w:val="18"/>
              </w:rPr>
            </w:pPr>
          </w:p>
        </w:tc>
      </w:tr>
      <w:tr w:rsidR="008C2BF6" w:rsidRPr="00B02BA3" w14:paraId="44B19BEE" w14:textId="77777777" w:rsidTr="008C2BF6">
        <w:tc>
          <w:tcPr>
            <w:tcW w:w="3156" w:type="dxa"/>
            <w:vAlign w:val="bottom"/>
          </w:tcPr>
          <w:p w14:paraId="1AE19C5F"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استثمارات حقوق الملكية</w:t>
            </w:r>
            <w:r w:rsidRPr="003D0326">
              <w:rPr>
                <w:sz w:val="14"/>
                <w:szCs w:val="16"/>
              </w:rPr>
              <w:tab/>
            </w:r>
          </w:p>
        </w:tc>
        <w:tc>
          <w:tcPr>
            <w:tcW w:w="282" w:type="dxa"/>
            <w:vAlign w:val="bottom"/>
          </w:tcPr>
          <w:p w14:paraId="5C38A859" w14:textId="77777777" w:rsidR="008C2BF6" w:rsidRPr="00B02BA3" w:rsidRDefault="008C2BF6" w:rsidP="008C2BF6">
            <w:pPr>
              <w:pStyle w:val="CellRowSpacer"/>
              <w:rPr>
                <w:sz w:val="18"/>
              </w:rPr>
            </w:pPr>
          </w:p>
        </w:tc>
        <w:tc>
          <w:tcPr>
            <w:tcW w:w="1132" w:type="dxa"/>
            <w:vAlign w:val="bottom"/>
          </w:tcPr>
          <w:p w14:paraId="049F553F" w14:textId="77777777" w:rsidR="008C2BF6" w:rsidRPr="00B02BA3" w:rsidRDefault="008C2BF6" w:rsidP="008C2BF6">
            <w:pPr>
              <w:pStyle w:val="SmCellBody"/>
              <w:jc w:val="right"/>
            </w:pPr>
            <w:r w:rsidRPr="00B02BA3">
              <w:t>33</w:t>
            </w:r>
            <w:r>
              <w:t>.</w:t>
            </w:r>
            <w:r w:rsidRPr="00B02BA3">
              <w:t>3</w:t>
            </w:r>
          </w:p>
        </w:tc>
        <w:tc>
          <w:tcPr>
            <w:tcW w:w="282" w:type="dxa"/>
            <w:vAlign w:val="bottom"/>
          </w:tcPr>
          <w:p w14:paraId="6F960F7A" w14:textId="77777777" w:rsidR="008C2BF6" w:rsidRPr="00B02BA3" w:rsidRDefault="008C2BF6" w:rsidP="008C2BF6">
            <w:pPr>
              <w:pStyle w:val="CellRowSpacer"/>
              <w:rPr>
                <w:sz w:val="18"/>
              </w:rPr>
            </w:pPr>
          </w:p>
        </w:tc>
        <w:tc>
          <w:tcPr>
            <w:tcW w:w="1132" w:type="dxa"/>
            <w:vAlign w:val="bottom"/>
          </w:tcPr>
          <w:p w14:paraId="6ADCA0FF" w14:textId="77777777" w:rsidR="008C2BF6" w:rsidRPr="00B02BA3" w:rsidRDefault="008C2BF6" w:rsidP="008C2BF6">
            <w:pPr>
              <w:pStyle w:val="SmCellBody"/>
              <w:jc w:val="right"/>
            </w:pPr>
            <w:r w:rsidRPr="00B02BA3">
              <w:t>25</w:t>
            </w:r>
            <w:r>
              <w:t>.</w:t>
            </w:r>
            <w:r w:rsidRPr="00B02BA3">
              <w:t>5</w:t>
            </w:r>
          </w:p>
        </w:tc>
        <w:tc>
          <w:tcPr>
            <w:tcW w:w="282" w:type="dxa"/>
            <w:vAlign w:val="bottom"/>
          </w:tcPr>
          <w:p w14:paraId="2D194336" w14:textId="77777777" w:rsidR="008C2BF6" w:rsidRPr="00B02BA3" w:rsidRDefault="008C2BF6" w:rsidP="008C2BF6">
            <w:pPr>
              <w:pStyle w:val="CellRowSpacer"/>
              <w:rPr>
                <w:sz w:val="18"/>
              </w:rPr>
            </w:pPr>
          </w:p>
        </w:tc>
        <w:tc>
          <w:tcPr>
            <w:tcW w:w="1132" w:type="dxa"/>
          </w:tcPr>
          <w:p w14:paraId="3D3429BC" w14:textId="77777777" w:rsidR="008C2BF6" w:rsidRPr="00B02BA3" w:rsidRDefault="008C2BF6" w:rsidP="008C2BF6">
            <w:pPr>
              <w:pStyle w:val="SmCellBody"/>
              <w:jc w:val="right"/>
            </w:pPr>
            <w:r w:rsidRPr="00B02BA3">
              <w:t>24</w:t>
            </w:r>
            <w:r>
              <w:t>.</w:t>
            </w:r>
            <w:r w:rsidRPr="00B02BA3">
              <w:t>2</w:t>
            </w:r>
          </w:p>
        </w:tc>
        <w:tc>
          <w:tcPr>
            <w:tcW w:w="282" w:type="dxa"/>
            <w:vAlign w:val="bottom"/>
          </w:tcPr>
          <w:p w14:paraId="1531F734" w14:textId="77777777" w:rsidR="008C2BF6" w:rsidRPr="00B02BA3" w:rsidRDefault="008C2BF6" w:rsidP="008C2BF6">
            <w:pPr>
              <w:pStyle w:val="CellRowSpacer"/>
              <w:rPr>
                <w:sz w:val="18"/>
              </w:rPr>
            </w:pPr>
          </w:p>
        </w:tc>
        <w:tc>
          <w:tcPr>
            <w:tcW w:w="1152" w:type="dxa"/>
          </w:tcPr>
          <w:p w14:paraId="38E53A91" w14:textId="77777777" w:rsidR="008C2BF6" w:rsidRPr="00B02BA3" w:rsidRDefault="008C2BF6" w:rsidP="008C2BF6">
            <w:pPr>
              <w:pStyle w:val="SmCellBody"/>
              <w:jc w:val="right"/>
            </w:pPr>
            <w:r>
              <w:t>25.0</w:t>
            </w:r>
          </w:p>
        </w:tc>
        <w:tc>
          <w:tcPr>
            <w:tcW w:w="236" w:type="dxa"/>
            <w:vAlign w:val="bottom"/>
          </w:tcPr>
          <w:p w14:paraId="4D049AC0" w14:textId="77777777" w:rsidR="008C2BF6" w:rsidRPr="00B02BA3" w:rsidRDefault="008C2BF6" w:rsidP="008C2BF6">
            <w:pPr>
              <w:pStyle w:val="CellRowSpacer"/>
              <w:rPr>
                <w:sz w:val="18"/>
              </w:rPr>
            </w:pPr>
          </w:p>
        </w:tc>
      </w:tr>
      <w:tr w:rsidR="008C2BF6" w:rsidRPr="00B02BA3" w14:paraId="11F12EF6" w14:textId="77777777" w:rsidTr="008C2BF6">
        <w:tc>
          <w:tcPr>
            <w:tcW w:w="3156" w:type="dxa"/>
            <w:vAlign w:val="bottom"/>
          </w:tcPr>
          <w:p w14:paraId="6CB7CDAE"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lastRenderedPageBreak/>
              <w:t>الأصول المالية والتكلفة المطفأة</w:t>
            </w:r>
            <w:r w:rsidRPr="003D0326">
              <w:rPr>
                <w:sz w:val="14"/>
                <w:szCs w:val="16"/>
              </w:rPr>
              <w:tab/>
            </w:r>
          </w:p>
        </w:tc>
        <w:tc>
          <w:tcPr>
            <w:tcW w:w="282" w:type="dxa"/>
            <w:vAlign w:val="bottom"/>
          </w:tcPr>
          <w:p w14:paraId="625A6C58" w14:textId="77777777" w:rsidR="008C2BF6" w:rsidRPr="00B02BA3" w:rsidRDefault="008C2BF6" w:rsidP="008C2BF6">
            <w:pPr>
              <w:pStyle w:val="CellRowSpacer"/>
              <w:rPr>
                <w:sz w:val="18"/>
              </w:rPr>
            </w:pPr>
          </w:p>
        </w:tc>
        <w:tc>
          <w:tcPr>
            <w:tcW w:w="1132" w:type="dxa"/>
            <w:vAlign w:val="bottom"/>
          </w:tcPr>
          <w:p w14:paraId="41FB479B" w14:textId="77777777" w:rsidR="008C2BF6" w:rsidRPr="00B02BA3" w:rsidRDefault="008C2BF6" w:rsidP="008C2BF6">
            <w:pPr>
              <w:pStyle w:val="SmCellBody"/>
              <w:jc w:val="right"/>
            </w:pPr>
            <w:r w:rsidRPr="00B02BA3">
              <w:t>146</w:t>
            </w:r>
            <w:r>
              <w:t>.1</w:t>
            </w:r>
          </w:p>
        </w:tc>
        <w:tc>
          <w:tcPr>
            <w:tcW w:w="282" w:type="dxa"/>
            <w:vAlign w:val="bottom"/>
          </w:tcPr>
          <w:p w14:paraId="5FF6E4C4" w14:textId="77777777" w:rsidR="008C2BF6" w:rsidRPr="00B02BA3" w:rsidRDefault="008C2BF6" w:rsidP="008C2BF6">
            <w:pPr>
              <w:pStyle w:val="CellRowSpacer"/>
              <w:rPr>
                <w:sz w:val="18"/>
              </w:rPr>
            </w:pPr>
          </w:p>
        </w:tc>
        <w:tc>
          <w:tcPr>
            <w:tcW w:w="1132" w:type="dxa"/>
            <w:vAlign w:val="bottom"/>
          </w:tcPr>
          <w:p w14:paraId="1DB31CC8" w14:textId="77777777" w:rsidR="008C2BF6" w:rsidRPr="00B02BA3" w:rsidRDefault="008C2BF6" w:rsidP="008C2BF6">
            <w:pPr>
              <w:pStyle w:val="SmCellBody"/>
              <w:jc w:val="right"/>
            </w:pPr>
            <w:r w:rsidRPr="00B02BA3">
              <w:t>138</w:t>
            </w:r>
            <w:r>
              <w:t>.</w:t>
            </w:r>
            <w:r w:rsidRPr="00B02BA3">
              <w:t>8</w:t>
            </w:r>
          </w:p>
        </w:tc>
        <w:tc>
          <w:tcPr>
            <w:tcW w:w="282" w:type="dxa"/>
            <w:vAlign w:val="bottom"/>
          </w:tcPr>
          <w:p w14:paraId="7B63D582" w14:textId="77777777" w:rsidR="008C2BF6" w:rsidRPr="00B02BA3" w:rsidRDefault="008C2BF6" w:rsidP="008C2BF6">
            <w:pPr>
              <w:pStyle w:val="CellRowSpacer"/>
              <w:rPr>
                <w:sz w:val="18"/>
              </w:rPr>
            </w:pPr>
          </w:p>
        </w:tc>
        <w:tc>
          <w:tcPr>
            <w:tcW w:w="1132" w:type="dxa"/>
          </w:tcPr>
          <w:p w14:paraId="4002C68D" w14:textId="77777777" w:rsidR="008C2BF6" w:rsidRPr="00B02BA3" w:rsidRDefault="008C2BF6" w:rsidP="008C2BF6">
            <w:pPr>
              <w:pStyle w:val="SmCellBody"/>
              <w:jc w:val="right"/>
            </w:pPr>
            <w:r w:rsidRPr="00B02BA3">
              <w:t>130</w:t>
            </w:r>
            <w:r>
              <w:t>.</w:t>
            </w:r>
            <w:r w:rsidRPr="00B02BA3">
              <w:t>9</w:t>
            </w:r>
          </w:p>
        </w:tc>
        <w:tc>
          <w:tcPr>
            <w:tcW w:w="282" w:type="dxa"/>
            <w:vAlign w:val="bottom"/>
          </w:tcPr>
          <w:p w14:paraId="4587DF79" w14:textId="77777777" w:rsidR="008C2BF6" w:rsidRPr="00B02BA3" w:rsidRDefault="008C2BF6" w:rsidP="008C2BF6">
            <w:pPr>
              <w:pStyle w:val="CellRowSpacer"/>
              <w:rPr>
                <w:sz w:val="18"/>
              </w:rPr>
            </w:pPr>
          </w:p>
        </w:tc>
        <w:tc>
          <w:tcPr>
            <w:tcW w:w="1152" w:type="dxa"/>
          </w:tcPr>
          <w:p w14:paraId="0894ED0B" w14:textId="77777777" w:rsidR="008C2BF6" w:rsidRPr="00B02BA3" w:rsidRDefault="008C2BF6" w:rsidP="008C2BF6">
            <w:pPr>
              <w:pStyle w:val="SmCellBody"/>
              <w:jc w:val="right"/>
            </w:pPr>
            <w:r>
              <w:t>119.0</w:t>
            </w:r>
          </w:p>
        </w:tc>
        <w:tc>
          <w:tcPr>
            <w:tcW w:w="236" w:type="dxa"/>
            <w:vAlign w:val="bottom"/>
          </w:tcPr>
          <w:p w14:paraId="5456686E" w14:textId="77777777" w:rsidR="008C2BF6" w:rsidRPr="00B02BA3" w:rsidRDefault="008C2BF6" w:rsidP="008C2BF6">
            <w:pPr>
              <w:pStyle w:val="CellRowSpacer"/>
              <w:rPr>
                <w:sz w:val="18"/>
              </w:rPr>
            </w:pPr>
          </w:p>
        </w:tc>
      </w:tr>
      <w:tr w:rsidR="008C2BF6" w:rsidRPr="00B02BA3" w14:paraId="1424523C" w14:textId="77777777" w:rsidTr="008C2BF6">
        <w:tc>
          <w:tcPr>
            <w:tcW w:w="3156" w:type="dxa"/>
            <w:vAlign w:val="bottom"/>
          </w:tcPr>
          <w:p w14:paraId="6CA35587"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المشتقات</w:t>
            </w:r>
            <w:r w:rsidRPr="003D0326">
              <w:rPr>
                <w:sz w:val="14"/>
                <w:szCs w:val="16"/>
              </w:rPr>
              <w:tab/>
            </w:r>
          </w:p>
        </w:tc>
        <w:tc>
          <w:tcPr>
            <w:tcW w:w="282" w:type="dxa"/>
            <w:vAlign w:val="bottom"/>
          </w:tcPr>
          <w:p w14:paraId="511504CB" w14:textId="77777777" w:rsidR="008C2BF6" w:rsidRPr="00B02BA3" w:rsidRDefault="008C2BF6" w:rsidP="008C2BF6">
            <w:pPr>
              <w:pStyle w:val="CellRowSpacer"/>
              <w:rPr>
                <w:sz w:val="18"/>
              </w:rPr>
            </w:pPr>
          </w:p>
        </w:tc>
        <w:tc>
          <w:tcPr>
            <w:tcW w:w="1132" w:type="dxa"/>
            <w:vAlign w:val="bottom"/>
          </w:tcPr>
          <w:p w14:paraId="2E65B730" w14:textId="77777777" w:rsidR="008C2BF6" w:rsidRPr="00B02BA3" w:rsidRDefault="008C2BF6" w:rsidP="008C2BF6">
            <w:pPr>
              <w:pStyle w:val="SmCellBody"/>
              <w:jc w:val="right"/>
            </w:pPr>
            <w:r w:rsidRPr="00B02BA3">
              <w:t>1</w:t>
            </w:r>
            <w:r>
              <w:t>.3</w:t>
            </w:r>
          </w:p>
        </w:tc>
        <w:tc>
          <w:tcPr>
            <w:tcW w:w="282" w:type="dxa"/>
            <w:vAlign w:val="bottom"/>
          </w:tcPr>
          <w:p w14:paraId="0F31854E" w14:textId="77777777" w:rsidR="008C2BF6" w:rsidRPr="00B02BA3" w:rsidRDefault="008C2BF6" w:rsidP="008C2BF6">
            <w:pPr>
              <w:pStyle w:val="CellRowSpacer"/>
              <w:rPr>
                <w:sz w:val="18"/>
              </w:rPr>
            </w:pPr>
          </w:p>
        </w:tc>
        <w:tc>
          <w:tcPr>
            <w:tcW w:w="1132" w:type="dxa"/>
            <w:vAlign w:val="bottom"/>
          </w:tcPr>
          <w:p w14:paraId="79D3C525" w14:textId="77777777" w:rsidR="008C2BF6" w:rsidRPr="00B02BA3" w:rsidRDefault="008C2BF6" w:rsidP="008C2BF6">
            <w:pPr>
              <w:pStyle w:val="SmCellBody"/>
              <w:jc w:val="right"/>
            </w:pPr>
            <w:r w:rsidRPr="00B02BA3">
              <w:t>5</w:t>
            </w:r>
            <w:r>
              <w:t>.3</w:t>
            </w:r>
          </w:p>
        </w:tc>
        <w:tc>
          <w:tcPr>
            <w:tcW w:w="282" w:type="dxa"/>
            <w:vAlign w:val="bottom"/>
          </w:tcPr>
          <w:p w14:paraId="4C3F050A" w14:textId="77777777" w:rsidR="008C2BF6" w:rsidRPr="00B02BA3" w:rsidRDefault="008C2BF6" w:rsidP="008C2BF6">
            <w:pPr>
              <w:pStyle w:val="CellRowSpacer"/>
              <w:rPr>
                <w:sz w:val="18"/>
              </w:rPr>
            </w:pPr>
          </w:p>
        </w:tc>
        <w:tc>
          <w:tcPr>
            <w:tcW w:w="1132" w:type="dxa"/>
          </w:tcPr>
          <w:p w14:paraId="28B1405A" w14:textId="77777777" w:rsidR="008C2BF6" w:rsidRPr="00B02BA3" w:rsidRDefault="008C2BF6" w:rsidP="008C2BF6">
            <w:pPr>
              <w:pStyle w:val="SmCellBody"/>
              <w:jc w:val="right"/>
            </w:pPr>
            <w:r>
              <w:t>0.7</w:t>
            </w:r>
          </w:p>
        </w:tc>
        <w:tc>
          <w:tcPr>
            <w:tcW w:w="282" w:type="dxa"/>
            <w:vAlign w:val="bottom"/>
          </w:tcPr>
          <w:p w14:paraId="32FE8FDE" w14:textId="77777777" w:rsidR="008C2BF6" w:rsidRPr="00B02BA3" w:rsidRDefault="008C2BF6" w:rsidP="008C2BF6">
            <w:pPr>
              <w:pStyle w:val="CellRowSpacer"/>
              <w:rPr>
                <w:sz w:val="18"/>
              </w:rPr>
            </w:pPr>
          </w:p>
        </w:tc>
        <w:tc>
          <w:tcPr>
            <w:tcW w:w="1152" w:type="dxa"/>
          </w:tcPr>
          <w:p w14:paraId="6AE202F3" w14:textId="77777777" w:rsidR="008C2BF6" w:rsidRPr="00B02BA3" w:rsidRDefault="008C2BF6" w:rsidP="008C2BF6">
            <w:pPr>
              <w:pStyle w:val="SmCellBody"/>
              <w:jc w:val="right"/>
            </w:pPr>
            <w:r>
              <w:t>0.4</w:t>
            </w:r>
          </w:p>
        </w:tc>
        <w:tc>
          <w:tcPr>
            <w:tcW w:w="236" w:type="dxa"/>
            <w:vAlign w:val="bottom"/>
          </w:tcPr>
          <w:p w14:paraId="7B98132B" w14:textId="77777777" w:rsidR="008C2BF6" w:rsidRPr="00B02BA3" w:rsidRDefault="008C2BF6" w:rsidP="008C2BF6">
            <w:pPr>
              <w:pStyle w:val="CellRowSpacer"/>
              <w:rPr>
                <w:sz w:val="18"/>
              </w:rPr>
            </w:pPr>
          </w:p>
        </w:tc>
      </w:tr>
      <w:tr w:rsidR="008C2BF6" w:rsidRPr="00B02BA3" w14:paraId="309534DC" w14:textId="77777777" w:rsidTr="008C2BF6">
        <w:tc>
          <w:tcPr>
            <w:tcW w:w="3156" w:type="dxa"/>
            <w:vAlign w:val="bottom"/>
          </w:tcPr>
          <w:p w14:paraId="507373C7"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أصول الضريبة المؤجلة</w:t>
            </w:r>
            <w:r w:rsidRPr="003D0326">
              <w:rPr>
                <w:sz w:val="14"/>
                <w:szCs w:val="16"/>
              </w:rPr>
              <w:tab/>
            </w:r>
          </w:p>
        </w:tc>
        <w:tc>
          <w:tcPr>
            <w:tcW w:w="282" w:type="dxa"/>
            <w:vAlign w:val="bottom"/>
          </w:tcPr>
          <w:p w14:paraId="782D8B08" w14:textId="77777777" w:rsidR="008C2BF6" w:rsidRPr="00B02BA3" w:rsidRDefault="008C2BF6" w:rsidP="008C2BF6">
            <w:pPr>
              <w:pStyle w:val="CellRowSpacer"/>
              <w:rPr>
                <w:sz w:val="18"/>
              </w:rPr>
            </w:pPr>
          </w:p>
        </w:tc>
        <w:tc>
          <w:tcPr>
            <w:tcW w:w="1132" w:type="dxa"/>
            <w:vAlign w:val="bottom"/>
          </w:tcPr>
          <w:p w14:paraId="063BA7C6" w14:textId="77777777" w:rsidR="008C2BF6" w:rsidRPr="00B02BA3" w:rsidRDefault="008C2BF6" w:rsidP="008C2BF6">
            <w:pPr>
              <w:pStyle w:val="SmCellBody"/>
              <w:jc w:val="right"/>
            </w:pPr>
            <w:r w:rsidRPr="00B02BA3">
              <w:t>2</w:t>
            </w:r>
            <w:r>
              <w:t>.7</w:t>
            </w:r>
          </w:p>
        </w:tc>
        <w:tc>
          <w:tcPr>
            <w:tcW w:w="282" w:type="dxa"/>
            <w:vAlign w:val="bottom"/>
          </w:tcPr>
          <w:p w14:paraId="399FFFC4" w14:textId="77777777" w:rsidR="008C2BF6" w:rsidRPr="00B02BA3" w:rsidRDefault="008C2BF6" w:rsidP="008C2BF6">
            <w:pPr>
              <w:pStyle w:val="CellRowSpacer"/>
              <w:rPr>
                <w:sz w:val="18"/>
              </w:rPr>
            </w:pPr>
          </w:p>
        </w:tc>
        <w:tc>
          <w:tcPr>
            <w:tcW w:w="1132" w:type="dxa"/>
            <w:vAlign w:val="bottom"/>
          </w:tcPr>
          <w:p w14:paraId="4A23DBD1" w14:textId="77777777" w:rsidR="008C2BF6" w:rsidRPr="00B02BA3" w:rsidRDefault="008C2BF6" w:rsidP="008C2BF6">
            <w:pPr>
              <w:pStyle w:val="SmCellBody"/>
              <w:jc w:val="right"/>
            </w:pPr>
            <w:r w:rsidRPr="00B02BA3">
              <w:t>4</w:t>
            </w:r>
            <w:r>
              <w:t>.5</w:t>
            </w:r>
          </w:p>
        </w:tc>
        <w:tc>
          <w:tcPr>
            <w:tcW w:w="282" w:type="dxa"/>
            <w:vAlign w:val="bottom"/>
          </w:tcPr>
          <w:p w14:paraId="5CB4C40E" w14:textId="77777777" w:rsidR="008C2BF6" w:rsidRPr="00B02BA3" w:rsidRDefault="008C2BF6" w:rsidP="008C2BF6">
            <w:pPr>
              <w:pStyle w:val="CellRowSpacer"/>
              <w:rPr>
                <w:sz w:val="18"/>
              </w:rPr>
            </w:pPr>
          </w:p>
        </w:tc>
        <w:tc>
          <w:tcPr>
            <w:tcW w:w="1132" w:type="dxa"/>
          </w:tcPr>
          <w:p w14:paraId="1DD232D7" w14:textId="77777777" w:rsidR="008C2BF6" w:rsidRPr="00B02BA3" w:rsidRDefault="008C2BF6" w:rsidP="008C2BF6">
            <w:pPr>
              <w:pStyle w:val="SmCellBody"/>
              <w:jc w:val="right"/>
            </w:pPr>
            <w:r w:rsidRPr="00B02BA3">
              <w:t>6</w:t>
            </w:r>
            <w:r>
              <w:t>.6</w:t>
            </w:r>
          </w:p>
        </w:tc>
        <w:tc>
          <w:tcPr>
            <w:tcW w:w="282" w:type="dxa"/>
            <w:vAlign w:val="bottom"/>
          </w:tcPr>
          <w:p w14:paraId="23F52F35" w14:textId="77777777" w:rsidR="008C2BF6" w:rsidRPr="00B02BA3" w:rsidRDefault="008C2BF6" w:rsidP="008C2BF6">
            <w:pPr>
              <w:pStyle w:val="CellRowSpacer"/>
              <w:rPr>
                <w:sz w:val="18"/>
              </w:rPr>
            </w:pPr>
          </w:p>
        </w:tc>
        <w:tc>
          <w:tcPr>
            <w:tcW w:w="1152" w:type="dxa"/>
          </w:tcPr>
          <w:p w14:paraId="1020DA93" w14:textId="77777777" w:rsidR="008C2BF6" w:rsidRPr="00B02BA3" w:rsidRDefault="008C2BF6" w:rsidP="008C2BF6">
            <w:pPr>
              <w:pStyle w:val="SmCellBody"/>
              <w:jc w:val="right"/>
            </w:pPr>
            <w:r>
              <w:t>7.5</w:t>
            </w:r>
          </w:p>
        </w:tc>
        <w:tc>
          <w:tcPr>
            <w:tcW w:w="236" w:type="dxa"/>
            <w:vAlign w:val="bottom"/>
          </w:tcPr>
          <w:p w14:paraId="576DF678" w14:textId="77777777" w:rsidR="008C2BF6" w:rsidRPr="00B02BA3" w:rsidRDefault="008C2BF6" w:rsidP="008C2BF6">
            <w:pPr>
              <w:pStyle w:val="CellRowSpacer"/>
              <w:rPr>
                <w:sz w:val="18"/>
              </w:rPr>
            </w:pPr>
          </w:p>
        </w:tc>
      </w:tr>
      <w:tr w:rsidR="008C2BF6" w:rsidRPr="00B02BA3" w14:paraId="17D81E05" w14:textId="77777777" w:rsidTr="008C2BF6">
        <w:tc>
          <w:tcPr>
            <w:tcW w:w="3156" w:type="dxa"/>
            <w:vAlign w:val="bottom"/>
          </w:tcPr>
          <w:p w14:paraId="67199889"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الودائع الثابتة والهامش</w:t>
            </w:r>
          </w:p>
        </w:tc>
        <w:tc>
          <w:tcPr>
            <w:tcW w:w="282" w:type="dxa"/>
            <w:vAlign w:val="bottom"/>
          </w:tcPr>
          <w:p w14:paraId="5BFDBDF3" w14:textId="77777777" w:rsidR="008C2BF6" w:rsidRPr="00B02BA3" w:rsidRDefault="008C2BF6" w:rsidP="008C2BF6">
            <w:pPr>
              <w:pStyle w:val="CellRowSpacer"/>
              <w:rPr>
                <w:sz w:val="18"/>
              </w:rPr>
            </w:pPr>
          </w:p>
        </w:tc>
        <w:tc>
          <w:tcPr>
            <w:tcW w:w="1132" w:type="dxa"/>
            <w:vAlign w:val="bottom"/>
          </w:tcPr>
          <w:p w14:paraId="306CE89F" w14:textId="77777777" w:rsidR="008C2BF6" w:rsidRPr="00B02BA3" w:rsidRDefault="008C2BF6" w:rsidP="008C2BF6">
            <w:pPr>
              <w:pStyle w:val="SmCellBody"/>
              <w:jc w:val="right"/>
            </w:pPr>
            <w:r w:rsidRPr="00B02BA3">
              <w:t>—</w:t>
            </w:r>
          </w:p>
        </w:tc>
        <w:tc>
          <w:tcPr>
            <w:tcW w:w="282" w:type="dxa"/>
            <w:vAlign w:val="bottom"/>
          </w:tcPr>
          <w:p w14:paraId="5D24F154" w14:textId="77777777" w:rsidR="008C2BF6" w:rsidRPr="00B02BA3" w:rsidRDefault="008C2BF6" w:rsidP="008C2BF6">
            <w:pPr>
              <w:pStyle w:val="CellRowSpacer"/>
              <w:rPr>
                <w:sz w:val="18"/>
              </w:rPr>
            </w:pPr>
          </w:p>
        </w:tc>
        <w:tc>
          <w:tcPr>
            <w:tcW w:w="1132" w:type="dxa"/>
            <w:vAlign w:val="bottom"/>
          </w:tcPr>
          <w:p w14:paraId="6D4B0DFC" w14:textId="77777777" w:rsidR="008C2BF6" w:rsidRPr="00B02BA3" w:rsidRDefault="008C2BF6" w:rsidP="008C2BF6">
            <w:pPr>
              <w:pStyle w:val="SmCellBody"/>
              <w:jc w:val="right"/>
            </w:pPr>
            <w:r w:rsidRPr="00B02BA3">
              <w:t>—</w:t>
            </w:r>
          </w:p>
        </w:tc>
        <w:tc>
          <w:tcPr>
            <w:tcW w:w="282" w:type="dxa"/>
            <w:vAlign w:val="bottom"/>
          </w:tcPr>
          <w:p w14:paraId="73648104" w14:textId="77777777" w:rsidR="008C2BF6" w:rsidRPr="00B02BA3" w:rsidRDefault="008C2BF6" w:rsidP="008C2BF6">
            <w:pPr>
              <w:pStyle w:val="CellRowSpacer"/>
              <w:rPr>
                <w:sz w:val="18"/>
              </w:rPr>
            </w:pPr>
          </w:p>
        </w:tc>
        <w:tc>
          <w:tcPr>
            <w:tcW w:w="1132" w:type="dxa"/>
            <w:vAlign w:val="bottom"/>
          </w:tcPr>
          <w:p w14:paraId="71B67C0C" w14:textId="77777777" w:rsidR="008C2BF6" w:rsidRPr="00B02BA3" w:rsidRDefault="008C2BF6" w:rsidP="008C2BF6">
            <w:pPr>
              <w:pStyle w:val="SmCellBody"/>
              <w:jc w:val="right"/>
            </w:pPr>
            <w:r w:rsidRPr="00B02BA3">
              <w:t>—</w:t>
            </w:r>
          </w:p>
        </w:tc>
        <w:tc>
          <w:tcPr>
            <w:tcW w:w="282" w:type="dxa"/>
            <w:vAlign w:val="bottom"/>
          </w:tcPr>
          <w:p w14:paraId="00C1D379" w14:textId="77777777" w:rsidR="008C2BF6" w:rsidRPr="00B02BA3" w:rsidRDefault="008C2BF6" w:rsidP="008C2BF6">
            <w:pPr>
              <w:pStyle w:val="CellRowSpacer"/>
              <w:rPr>
                <w:sz w:val="18"/>
              </w:rPr>
            </w:pPr>
          </w:p>
        </w:tc>
        <w:tc>
          <w:tcPr>
            <w:tcW w:w="1152" w:type="dxa"/>
            <w:vAlign w:val="bottom"/>
          </w:tcPr>
          <w:p w14:paraId="26DA66DB" w14:textId="77777777" w:rsidR="008C2BF6" w:rsidRPr="00B02BA3" w:rsidDel="0084216B" w:rsidRDefault="008C2BF6" w:rsidP="008C2BF6">
            <w:pPr>
              <w:pStyle w:val="SmCellBody"/>
              <w:jc w:val="right"/>
            </w:pPr>
            <w:r>
              <w:t>7.7</w:t>
            </w:r>
          </w:p>
        </w:tc>
        <w:tc>
          <w:tcPr>
            <w:tcW w:w="236" w:type="dxa"/>
            <w:vAlign w:val="bottom"/>
          </w:tcPr>
          <w:p w14:paraId="23A8A53F" w14:textId="77777777" w:rsidR="008C2BF6" w:rsidRPr="00B02BA3" w:rsidRDefault="008C2BF6" w:rsidP="008C2BF6">
            <w:pPr>
              <w:pStyle w:val="CellRowSpacer"/>
              <w:rPr>
                <w:sz w:val="18"/>
              </w:rPr>
            </w:pPr>
          </w:p>
        </w:tc>
      </w:tr>
      <w:tr w:rsidR="00406380" w:rsidRPr="00B02BA3" w14:paraId="14C583EA" w14:textId="77777777" w:rsidTr="008C2BF6">
        <w:tc>
          <w:tcPr>
            <w:tcW w:w="3156" w:type="dxa"/>
            <w:vAlign w:val="bottom"/>
          </w:tcPr>
          <w:p w14:paraId="59046385" w14:textId="77777777" w:rsidR="00406380" w:rsidRPr="003D0326" w:rsidRDefault="00406380" w:rsidP="00406380">
            <w:pPr>
              <w:pStyle w:val="SmCellBody"/>
              <w:tabs>
                <w:tab w:val="right" w:leader="dot" w:pos="3163"/>
              </w:tabs>
              <w:bidi/>
              <w:ind w:left="407"/>
              <w:rPr>
                <w:sz w:val="14"/>
                <w:szCs w:val="16"/>
              </w:rPr>
            </w:pPr>
            <w:r w:rsidRPr="003D0326">
              <w:rPr>
                <w:rFonts w:hint="cs"/>
                <w:sz w:val="14"/>
                <w:szCs w:val="16"/>
                <w:rtl/>
              </w:rPr>
              <w:t>الأصول المالية بالقيمة العادلة من خلال الدخل الشامل</w:t>
            </w:r>
            <w:r w:rsidRPr="003D0326">
              <w:rPr>
                <w:sz w:val="14"/>
                <w:szCs w:val="16"/>
              </w:rPr>
              <w:tab/>
            </w:r>
          </w:p>
        </w:tc>
        <w:tc>
          <w:tcPr>
            <w:tcW w:w="282" w:type="dxa"/>
            <w:vAlign w:val="bottom"/>
          </w:tcPr>
          <w:p w14:paraId="186AC245" w14:textId="77777777" w:rsidR="00406380" w:rsidRPr="00B02BA3" w:rsidRDefault="00406380" w:rsidP="00406380">
            <w:pPr>
              <w:pStyle w:val="CellRowSpacer"/>
              <w:rPr>
                <w:sz w:val="18"/>
              </w:rPr>
            </w:pPr>
          </w:p>
        </w:tc>
        <w:tc>
          <w:tcPr>
            <w:tcW w:w="1132" w:type="dxa"/>
            <w:tcBorders>
              <w:bottom w:val="single" w:sz="4" w:space="0" w:color="auto"/>
            </w:tcBorders>
            <w:vAlign w:val="bottom"/>
          </w:tcPr>
          <w:p w14:paraId="52AB7DDF" w14:textId="77777777" w:rsidR="00406380" w:rsidRPr="00B02BA3" w:rsidRDefault="00406380" w:rsidP="00406380">
            <w:pPr>
              <w:pStyle w:val="SmCellBody"/>
              <w:jc w:val="right"/>
            </w:pPr>
            <w:r w:rsidRPr="00B02BA3">
              <w:t>—</w:t>
            </w:r>
          </w:p>
        </w:tc>
        <w:tc>
          <w:tcPr>
            <w:tcW w:w="282" w:type="dxa"/>
            <w:vAlign w:val="bottom"/>
          </w:tcPr>
          <w:p w14:paraId="1808C5AE" w14:textId="77777777" w:rsidR="00406380" w:rsidRPr="00B02BA3" w:rsidRDefault="00406380" w:rsidP="00406380">
            <w:pPr>
              <w:pStyle w:val="CellRowSpacer"/>
              <w:rPr>
                <w:sz w:val="18"/>
              </w:rPr>
            </w:pPr>
          </w:p>
        </w:tc>
        <w:tc>
          <w:tcPr>
            <w:tcW w:w="1132" w:type="dxa"/>
            <w:tcBorders>
              <w:bottom w:val="single" w:sz="4" w:space="0" w:color="auto"/>
            </w:tcBorders>
            <w:vAlign w:val="bottom"/>
          </w:tcPr>
          <w:p w14:paraId="23946CBE" w14:textId="77777777" w:rsidR="00406380" w:rsidRPr="00B02BA3" w:rsidRDefault="00406380" w:rsidP="00406380">
            <w:pPr>
              <w:pStyle w:val="SmCellBody"/>
              <w:jc w:val="right"/>
            </w:pPr>
            <w:r w:rsidRPr="00B02BA3">
              <w:t>—</w:t>
            </w:r>
          </w:p>
        </w:tc>
        <w:tc>
          <w:tcPr>
            <w:tcW w:w="282" w:type="dxa"/>
            <w:vAlign w:val="bottom"/>
          </w:tcPr>
          <w:p w14:paraId="101C8846" w14:textId="77777777" w:rsidR="00406380" w:rsidRPr="00B02BA3" w:rsidRDefault="00406380" w:rsidP="00406380">
            <w:pPr>
              <w:pStyle w:val="CellRowSpacer"/>
              <w:rPr>
                <w:sz w:val="18"/>
              </w:rPr>
            </w:pPr>
          </w:p>
        </w:tc>
        <w:tc>
          <w:tcPr>
            <w:tcW w:w="1132" w:type="dxa"/>
            <w:tcBorders>
              <w:bottom w:val="single" w:sz="4" w:space="0" w:color="auto"/>
            </w:tcBorders>
            <w:vAlign w:val="bottom"/>
          </w:tcPr>
          <w:p w14:paraId="31A49157" w14:textId="77777777" w:rsidR="00406380" w:rsidRPr="00B02BA3" w:rsidRDefault="00406380" w:rsidP="00406380">
            <w:pPr>
              <w:pStyle w:val="SmCellBody"/>
              <w:jc w:val="right"/>
            </w:pPr>
            <w:r w:rsidRPr="00B02BA3">
              <w:t>—</w:t>
            </w:r>
          </w:p>
        </w:tc>
        <w:tc>
          <w:tcPr>
            <w:tcW w:w="282" w:type="dxa"/>
            <w:vAlign w:val="bottom"/>
          </w:tcPr>
          <w:p w14:paraId="11687B05" w14:textId="77777777" w:rsidR="00406380" w:rsidRPr="00B02BA3" w:rsidRDefault="00406380" w:rsidP="00406380">
            <w:pPr>
              <w:pStyle w:val="CellRowSpacer"/>
              <w:rPr>
                <w:sz w:val="18"/>
              </w:rPr>
            </w:pPr>
          </w:p>
        </w:tc>
        <w:tc>
          <w:tcPr>
            <w:tcW w:w="1152" w:type="dxa"/>
            <w:tcBorders>
              <w:bottom w:val="single" w:sz="4" w:space="0" w:color="auto"/>
            </w:tcBorders>
            <w:vAlign w:val="bottom"/>
          </w:tcPr>
          <w:p w14:paraId="70441C12" w14:textId="77777777" w:rsidR="00406380" w:rsidRPr="00B02BA3" w:rsidRDefault="00406380" w:rsidP="00406380">
            <w:pPr>
              <w:pStyle w:val="SmCellBody"/>
              <w:jc w:val="right"/>
            </w:pPr>
            <w:r w:rsidRPr="00B02BA3">
              <w:t>—</w:t>
            </w:r>
          </w:p>
        </w:tc>
        <w:tc>
          <w:tcPr>
            <w:tcW w:w="236" w:type="dxa"/>
            <w:vAlign w:val="bottom"/>
          </w:tcPr>
          <w:p w14:paraId="7FF5D3A6" w14:textId="77777777" w:rsidR="00406380" w:rsidRPr="00B02BA3" w:rsidRDefault="00406380" w:rsidP="00406380">
            <w:pPr>
              <w:pStyle w:val="CellRowSpacer"/>
              <w:rPr>
                <w:sz w:val="18"/>
              </w:rPr>
            </w:pPr>
          </w:p>
        </w:tc>
      </w:tr>
      <w:tr w:rsidR="008C2BF6" w:rsidRPr="00B02BA3" w14:paraId="0E738170" w14:textId="77777777" w:rsidTr="008C2BF6">
        <w:tc>
          <w:tcPr>
            <w:tcW w:w="3156" w:type="dxa"/>
            <w:vAlign w:val="bottom"/>
          </w:tcPr>
          <w:p w14:paraId="78625E2E" w14:textId="77777777" w:rsidR="008C2BF6" w:rsidRPr="003D0326" w:rsidRDefault="008C2BF6" w:rsidP="008C2BF6">
            <w:pPr>
              <w:pStyle w:val="SmCellBody"/>
              <w:tabs>
                <w:tab w:val="right" w:leader="dot" w:pos="3163"/>
              </w:tabs>
              <w:bidi/>
              <w:ind w:firstLine="407"/>
              <w:rPr>
                <w:b/>
                <w:bCs/>
                <w:sz w:val="14"/>
                <w:szCs w:val="16"/>
              </w:rPr>
            </w:pPr>
            <w:r w:rsidRPr="003D0326">
              <w:rPr>
                <w:rFonts w:hint="cs"/>
                <w:b/>
                <w:bCs/>
                <w:sz w:val="14"/>
                <w:szCs w:val="16"/>
                <w:rtl/>
              </w:rPr>
              <w:t>إجمالي الأصول غير المتداولة</w:t>
            </w:r>
            <w:r w:rsidRPr="003D0326">
              <w:rPr>
                <w:sz w:val="14"/>
                <w:szCs w:val="16"/>
              </w:rPr>
              <w:tab/>
            </w:r>
          </w:p>
        </w:tc>
        <w:tc>
          <w:tcPr>
            <w:tcW w:w="282" w:type="dxa"/>
            <w:vAlign w:val="bottom"/>
          </w:tcPr>
          <w:p w14:paraId="70C3F10F"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2803D173" w14:textId="77777777" w:rsidR="008C2BF6" w:rsidRPr="00B02BA3" w:rsidRDefault="008C2BF6" w:rsidP="008C2BF6">
            <w:pPr>
              <w:pStyle w:val="SmCellBody"/>
              <w:jc w:val="right"/>
            </w:pPr>
            <w:r w:rsidRPr="00B02BA3">
              <w:t>998</w:t>
            </w:r>
            <w:r>
              <w:t>.</w:t>
            </w:r>
            <w:r w:rsidRPr="00B02BA3">
              <w:t>6</w:t>
            </w:r>
          </w:p>
        </w:tc>
        <w:tc>
          <w:tcPr>
            <w:tcW w:w="282" w:type="dxa"/>
            <w:vAlign w:val="bottom"/>
          </w:tcPr>
          <w:p w14:paraId="3586EC24"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141DDFDF" w14:textId="77777777" w:rsidR="008C2BF6" w:rsidRPr="00B02BA3" w:rsidRDefault="0058323C" w:rsidP="008C2BF6">
            <w:pPr>
              <w:pStyle w:val="SmCellBody"/>
              <w:jc w:val="right"/>
            </w:pPr>
            <w:r>
              <w:t>9</w:t>
            </w:r>
            <w:r w:rsidRPr="00B02BA3">
              <w:t>42</w:t>
            </w:r>
            <w:r w:rsidR="008C2BF6">
              <w:t>.2</w:t>
            </w:r>
          </w:p>
        </w:tc>
        <w:tc>
          <w:tcPr>
            <w:tcW w:w="282" w:type="dxa"/>
            <w:vAlign w:val="bottom"/>
          </w:tcPr>
          <w:p w14:paraId="592229BA" w14:textId="77777777" w:rsidR="008C2BF6" w:rsidRPr="00B02BA3" w:rsidRDefault="008C2BF6" w:rsidP="008C2BF6">
            <w:pPr>
              <w:pStyle w:val="CellRowSpacer"/>
              <w:rPr>
                <w:sz w:val="18"/>
              </w:rPr>
            </w:pPr>
          </w:p>
        </w:tc>
        <w:tc>
          <w:tcPr>
            <w:tcW w:w="1132" w:type="dxa"/>
            <w:tcBorders>
              <w:top w:val="single" w:sz="4" w:space="0" w:color="auto"/>
            </w:tcBorders>
          </w:tcPr>
          <w:p w14:paraId="0EA7BBDC" w14:textId="77777777" w:rsidR="008C2BF6" w:rsidRPr="00B02BA3" w:rsidRDefault="008C2BF6" w:rsidP="008C2BF6">
            <w:pPr>
              <w:pStyle w:val="SmCellBody"/>
              <w:jc w:val="right"/>
            </w:pPr>
            <w:r w:rsidRPr="00B02BA3">
              <w:t>933</w:t>
            </w:r>
            <w:r>
              <w:t>.</w:t>
            </w:r>
            <w:r w:rsidRPr="00B02BA3">
              <w:t>8</w:t>
            </w:r>
          </w:p>
        </w:tc>
        <w:tc>
          <w:tcPr>
            <w:tcW w:w="282" w:type="dxa"/>
            <w:vAlign w:val="bottom"/>
          </w:tcPr>
          <w:p w14:paraId="53DEA0FE" w14:textId="77777777" w:rsidR="008C2BF6" w:rsidRPr="00B02BA3" w:rsidRDefault="008C2BF6" w:rsidP="008C2BF6">
            <w:pPr>
              <w:pStyle w:val="CellRowSpacer"/>
              <w:rPr>
                <w:sz w:val="18"/>
              </w:rPr>
            </w:pPr>
          </w:p>
        </w:tc>
        <w:tc>
          <w:tcPr>
            <w:tcW w:w="1152" w:type="dxa"/>
            <w:tcBorders>
              <w:top w:val="single" w:sz="4" w:space="0" w:color="auto"/>
            </w:tcBorders>
          </w:tcPr>
          <w:p w14:paraId="1ED30159" w14:textId="77777777" w:rsidR="008C2BF6" w:rsidRPr="00B02BA3" w:rsidRDefault="008C2BF6" w:rsidP="008C2BF6">
            <w:pPr>
              <w:pStyle w:val="SmCellBody"/>
              <w:jc w:val="right"/>
            </w:pPr>
            <w:r>
              <w:t>919.8</w:t>
            </w:r>
          </w:p>
        </w:tc>
        <w:tc>
          <w:tcPr>
            <w:tcW w:w="236" w:type="dxa"/>
            <w:vAlign w:val="bottom"/>
          </w:tcPr>
          <w:p w14:paraId="1FE77B57" w14:textId="77777777" w:rsidR="008C2BF6" w:rsidRPr="00B02BA3" w:rsidRDefault="008C2BF6" w:rsidP="008C2BF6">
            <w:pPr>
              <w:pStyle w:val="CellRowSpacer"/>
              <w:rPr>
                <w:sz w:val="18"/>
              </w:rPr>
            </w:pPr>
          </w:p>
        </w:tc>
      </w:tr>
      <w:tr w:rsidR="008C2BF6" w:rsidRPr="00B02BA3" w14:paraId="26C07A3F" w14:textId="77777777" w:rsidTr="008C2BF6">
        <w:tc>
          <w:tcPr>
            <w:tcW w:w="3156" w:type="dxa"/>
            <w:vAlign w:val="bottom"/>
          </w:tcPr>
          <w:p w14:paraId="00396E72"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إجمالي الأصول</w:t>
            </w:r>
          </w:p>
        </w:tc>
        <w:tc>
          <w:tcPr>
            <w:tcW w:w="282" w:type="dxa"/>
            <w:vAlign w:val="bottom"/>
          </w:tcPr>
          <w:p w14:paraId="364ECD34" w14:textId="77777777" w:rsidR="008C2BF6" w:rsidRPr="00B02BA3" w:rsidRDefault="008C2BF6" w:rsidP="008C2BF6">
            <w:pPr>
              <w:pStyle w:val="CellRowSpacer"/>
              <w:rPr>
                <w:sz w:val="18"/>
              </w:rPr>
            </w:pPr>
          </w:p>
        </w:tc>
        <w:tc>
          <w:tcPr>
            <w:tcW w:w="1132" w:type="dxa"/>
            <w:vAlign w:val="bottom"/>
          </w:tcPr>
          <w:p w14:paraId="082309CE" w14:textId="77777777" w:rsidR="008C2BF6" w:rsidRPr="00B02BA3" w:rsidRDefault="008C2BF6" w:rsidP="008C2BF6">
            <w:pPr>
              <w:pStyle w:val="SmCellBody"/>
              <w:jc w:val="right"/>
            </w:pPr>
          </w:p>
        </w:tc>
        <w:tc>
          <w:tcPr>
            <w:tcW w:w="282" w:type="dxa"/>
            <w:vAlign w:val="bottom"/>
          </w:tcPr>
          <w:p w14:paraId="433BD164" w14:textId="77777777" w:rsidR="008C2BF6" w:rsidRPr="00B02BA3" w:rsidRDefault="008C2BF6" w:rsidP="008C2BF6">
            <w:pPr>
              <w:pStyle w:val="CellRowSpacer"/>
              <w:rPr>
                <w:sz w:val="18"/>
              </w:rPr>
            </w:pPr>
          </w:p>
        </w:tc>
        <w:tc>
          <w:tcPr>
            <w:tcW w:w="1132" w:type="dxa"/>
            <w:vAlign w:val="bottom"/>
          </w:tcPr>
          <w:p w14:paraId="68DCD3F3" w14:textId="77777777" w:rsidR="008C2BF6" w:rsidRPr="00B02BA3" w:rsidRDefault="008C2BF6" w:rsidP="008C2BF6">
            <w:pPr>
              <w:pStyle w:val="SmCellBody"/>
              <w:jc w:val="right"/>
            </w:pPr>
          </w:p>
        </w:tc>
        <w:tc>
          <w:tcPr>
            <w:tcW w:w="282" w:type="dxa"/>
            <w:vAlign w:val="bottom"/>
          </w:tcPr>
          <w:p w14:paraId="7ABBFD52" w14:textId="77777777" w:rsidR="008C2BF6" w:rsidRPr="00B02BA3" w:rsidRDefault="008C2BF6" w:rsidP="008C2BF6">
            <w:pPr>
              <w:pStyle w:val="CellRowSpacer"/>
              <w:rPr>
                <w:sz w:val="18"/>
              </w:rPr>
            </w:pPr>
          </w:p>
        </w:tc>
        <w:tc>
          <w:tcPr>
            <w:tcW w:w="1132" w:type="dxa"/>
          </w:tcPr>
          <w:p w14:paraId="18F23026" w14:textId="77777777" w:rsidR="008C2BF6" w:rsidRPr="00B02BA3" w:rsidRDefault="008C2BF6" w:rsidP="008C2BF6">
            <w:pPr>
              <w:pStyle w:val="SmCellBody"/>
              <w:jc w:val="right"/>
            </w:pPr>
          </w:p>
        </w:tc>
        <w:tc>
          <w:tcPr>
            <w:tcW w:w="282" w:type="dxa"/>
            <w:vAlign w:val="bottom"/>
          </w:tcPr>
          <w:p w14:paraId="1E2DD0F0" w14:textId="77777777" w:rsidR="008C2BF6" w:rsidRPr="00B02BA3" w:rsidRDefault="008C2BF6" w:rsidP="008C2BF6">
            <w:pPr>
              <w:pStyle w:val="CellRowSpacer"/>
              <w:rPr>
                <w:sz w:val="18"/>
              </w:rPr>
            </w:pPr>
          </w:p>
        </w:tc>
        <w:tc>
          <w:tcPr>
            <w:tcW w:w="1152" w:type="dxa"/>
          </w:tcPr>
          <w:p w14:paraId="5EB54454" w14:textId="77777777" w:rsidR="008C2BF6" w:rsidRPr="00B02BA3" w:rsidRDefault="008C2BF6" w:rsidP="008C2BF6">
            <w:pPr>
              <w:pStyle w:val="SmCellBody"/>
              <w:jc w:val="right"/>
            </w:pPr>
          </w:p>
        </w:tc>
        <w:tc>
          <w:tcPr>
            <w:tcW w:w="236" w:type="dxa"/>
            <w:vAlign w:val="bottom"/>
          </w:tcPr>
          <w:p w14:paraId="6B0B2CBF" w14:textId="77777777" w:rsidR="008C2BF6" w:rsidRPr="00B02BA3" w:rsidRDefault="008C2BF6" w:rsidP="008C2BF6">
            <w:pPr>
              <w:pStyle w:val="CellRowSpacer"/>
              <w:rPr>
                <w:sz w:val="18"/>
              </w:rPr>
            </w:pPr>
          </w:p>
        </w:tc>
      </w:tr>
      <w:tr w:rsidR="008C2BF6" w:rsidRPr="00B02BA3" w14:paraId="7F348F64" w14:textId="77777777" w:rsidTr="008C2BF6">
        <w:tc>
          <w:tcPr>
            <w:tcW w:w="3156" w:type="dxa"/>
            <w:vAlign w:val="bottom"/>
          </w:tcPr>
          <w:p w14:paraId="411E9B3A"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الأصول المالية بالتكلفة المطفأة</w:t>
            </w:r>
            <w:r w:rsidRPr="003D0326">
              <w:rPr>
                <w:sz w:val="14"/>
                <w:szCs w:val="16"/>
              </w:rPr>
              <w:tab/>
            </w:r>
          </w:p>
        </w:tc>
        <w:tc>
          <w:tcPr>
            <w:tcW w:w="282" w:type="dxa"/>
            <w:vAlign w:val="bottom"/>
          </w:tcPr>
          <w:p w14:paraId="4E35DFD4" w14:textId="77777777" w:rsidR="008C2BF6" w:rsidRPr="00B02BA3" w:rsidRDefault="008C2BF6" w:rsidP="008C2BF6">
            <w:pPr>
              <w:pStyle w:val="CellRowSpacer"/>
              <w:rPr>
                <w:sz w:val="18"/>
              </w:rPr>
            </w:pPr>
          </w:p>
        </w:tc>
        <w:tc>
          <w:tcPr>
            <w:tcW w:w="1132" w:type="dxa"/>
            <w:vAlign w:val="bottom"/>
          </w:tcPr>
          <w:p w14:paraId="03D8A71B" w14:textId="77777777" w:rsidR="008C2BF6" w:rsidRPr="00B02BA3" w:rsidRDefault="008C2BF6" w:rsidP="008C2BF6">
            <w:pPr>
              <w:pStyle w:val="SmCellBody"/>
              <w:jc w:val="right"/>
            </w:pPr>
            <w:r w:rsidRPr="00B02BA3">
              <w:t>6</w:t>
            </w:r>
            <w:r>
              <w:t>.0</w:t>
            </w:r>
          </w:p>
        </w:tc>
        <w:tc>
          <w:tcPr>
            <w:tcW w:w="282" w:type="dxa"/>
            <w:vAlign w:val="bottom"/>
          </w:tcPr>
          <w:p w14:paraId="298F572E" w14:textId="77777777" w:rsidR="008C2BF6" w:rsidRPr="00B02BA3" w:rsidRDefault="008C2BF6" w:rsidP="008C2BF6">
            <w:pPr>
              <w:pStyle w:val="CellRowSpacer"/>
              <w:rPr>
                <w:sz w:val="18"/>
              </w:rPr>
            </w:pPr>
          </w:p>
        </w:tc>
        <w:tc>
          <w:tcPr>
            <w:tcW w:w="1132" w:type="dxa"/>
            <w:vAlign w:val="bottom"/>
          </w:tcPr>
          <w:p w14:paraId="7B10452B" w14:textId="77777777" w:rsidR="008C2BF6" w:rsidRPr="00B02BA3" w:rsidRDefault="008C2BF6" w:rsidP="008C2BF6">
            <w:pPr>
              <w:pStyle w:val="SmCellBody"/>
              <w:jc w:val="right"/>
            </w:pPr>
            <w:r w:rsidRPr="00B02BA3">
              <w:t>6</w:t>
            </w:r>
            <w:r>
              <w:t>.8</w:t>
            </w:r>
          </w:p>
        </w:tc>
        <w:tc>
          <w:tcPr>
            <w:tcW w:w="282" w:type="dxa"/>
            <w:vAlign w:val="bottom"/>
          </w:tcPr>
          <w:p w14:paraId="3A3A6B12" w14:textId="77777777" w:rsidR="008C2BF6" w:rsidRPr="00B02BA3" w:rsidRDefault="008C2BF6" w:rsidP="008C2BF6">
            <w:pPr>
              <w:pStyle w:val="CellRowSpacer"/>
              <w:rPr>
                <w:sz w:val="18"/>
              </w:rPr>
            </w:pPr>
          </w:p>
        </w:tc>
        <w:tc>
          <w:tcPr>
            <w:tcW w:w="1132" w:type="dxa"/>
          </w:tcPr>
          <w:p w14:paraId="6E2A7378" w14:textId="77777777" w:rsidR="008C2BF6" w:rsidRPr="00B02BA3" w:rsidRDefault="008C2BF6" w:rsidP="008C2BF6">
            <w:pPr>
              <w:pStyle w:val="SmCellBody"/>
              <w:jc w:val="right"/>
            </w:pPr>
            <w:r w:rsidRPr="00B02BA3">
              <w:t>7</w:t>
            </w:r>
            <w:r>
              <w:t>.7</w:t>
            </w:r>
          </w:p>
        </w:tc>
        <w:tc>
          <w:tcPr>
            <w:tcW w:w="282" w:type="dxa"/>
            <w:vAlign w:val="bottom"/>
          </w:tcPr>
          <w:p w14:paraId="6D9CABF1" w14:textId="77777777" w:rsidR="008C2BF6" w:rsidRPr="00B02BA3" w:rsidRDefault="008C2BF6" w:rsidP="008C2BF6">
            <w:pPr>
              <w:pStyle w:val="CellRowSpacer"/>
              <w:rPr>
                <w:sz w:val="18"/>
              </w:rPr>
            </w:pPr>
          </w:p>
        </w:tc>
        <w:tc>
          <w:tcPr>
            <w:tcW w:w="1152" w:type="dxa"/>
          </w:tcPr>
          <w:p w14:paraId="2E7D2560" w14:textId="77777777" w:rsidR="008C2BF6" w:rsidRPr="00B02BA3" w:rsidRDefault="008C2BF6" w:rsidP="008C2BF6">
            <w:pPr>
              <w:pStyle w:val="SmCellBody"/>
              <w:jc w:val="right"/>
            </w:pPr>
            <w:r>
              <w:t>13.8</w:t>
            </w:r>
          </w:p>
        </w:tc>
        <w:tc>
          <w:tcPr>
            <w:tcW w:w="236" w:type="dxa"/>
            <w:vAlign w:val="bottom"/>
          </w:tcPr>
          <w:p w14:paraId="120FB236" w14:textId="77777777" w:rsidR="008C2BF6" w:rsidRPr="00B02BA3" w:rsidRDefault="008C2BF6" w:rsidP="008C2BF6">
            <w:pPr>
              <w:pStyle w:val="CellRowSpacer"/>
              <w:rPr>
                <w:sz w:val="18"/>
              </w:rPr>
            </w:pPr>
          </w:p>
        </w:tc>
      </w:tr>
      <w:tr w:rsidR="008C2BF6" w:rsidRPr="00B02BA3" w14:paraId="5E6C8CE7" w14:textId="77777777" w:rsidTr="008C2BF6">
        <w:tc>
          <w:tcPr>
            <w:tcW w:w="3156" w:type="dxa"/>
            <w:vAlign w:val="bottom"/>
          </w:tcPr>
          <w:p w14:paraId="1E6DDE00"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الذمم التجارية المدينة</w:t>
            </w:r>
            <w:r w:rsidRPr="003D0326">
              <w:rPr>
                <w:sz w:val="14"/>
                <w:szCs w:val="16"/>
              </w:rPr>
              <w:tab/>
            </w:r>
          </w:p>
        </w:tc>
        <w:tc>
          <w:tcPr>
            <w:tcW w:w="282" w:type="dxa"/>
            <w:vAlign w:val="bottom"/>
          </w:tcPr>
          <w:p w14:paraId="77EA646A" w14:textId="77777777" w:rsidR="008C2BF6" w:rsidRPr="00B02BA3" w:rsidRDefault="008C2BF6" w:rsidP="008C2BF6">
            <w:pPr>
              <w:pStyle w:val="CellRowSpacer"/>
              <w:rPr>
                <w:sz w:val="18"/>
              </w:rPr>
            </w:pPr>
          </w:p>
        </w:tc>
        <w:tc>
          <w:tcPr>
            <w:tcW w:w="1132" w:type="dxa"/>
            <w:vAlign w:val="bottom"/>
          </w:tcPr>
          <w:p w14:paraId="761B1C1C" w14:textId="77777777" w:rsidR="008C2BF6" w:rsidRPr="00B02BA3" w:rsidRDefault="008C2BF6" w:rsidP="008C2BF6">
            <w:pPr>
              <w:pStyle w:val="SmCellBody"/>
              <w:jc w:val="right"/>
            </w:pPr>
            <w:r w:rsidRPr="00B02BA3">
              <w:t>12</w:t>
            </w:r>
            <w:r>
              <w:t>.5</w:t>
            </w:r>
          </w:p>
        </w:tc>
        <w:tc>
          <w:tcPr>
            <w:tcW w:w="282" w:type="dxa"/>
            <w:vAlign w:val="bottom"/>
          </w:tcPr>
          <w:p w14:paraId="091243B4" w14:textId="77777777" w:rsidR="008C2BF6" w:rsidRPr="00B02BA3" w:rsidRDefault="008C2BF6" w:rsidP="008C2BF6">
            <w:pPr>
              <w:pStyle w:val="CellRowSpacer"/>
              <w:rPr>
                <w:sz w:val="18"/>
              </w:rPr>
            </w:pPr>
          </w:p>
        </w:tc>
        <w:tc>
          <w:tcPr>
            <w:tcW w:w="1132" w:type="dxa"/>
            <w:vAlign w:val="bottom"/>
          </w:tcPr>
          <w:p w14:paraId="1CBC08AA" w14:textId="77777777" w:rsidR="008C2BF6" w:rsidRPr="00B02BA3" w:rsidRDefault="008C2BF6" w:rsidP="008C2BF6">
            <w:pPr>
              <w:pStyle w:val="SmCellBody"/>
              <w:jc w:val="right"/>
            </w:pPr>
            <w:r w:rsidRPr="00B02BA3">
              <w:t>18</w:t>
            </w:r>
            <w:r>
              <w:t>.5</w:t>
            </w:r>
          </w:p>
        </w:tc>
        <w:tc>
          <w:tcPr>
            <w:tcW w:w="282" w:type="dxa"/>
            <w:vAlign w:val="bottom"/>
          </w:tcPr>
          <w:p w14:paraId="74A5250A" w14:textId="77777777" w:rsidR="008C2BF6" w:rsidRPr="00B02BA3" w:rsidRDefault="008C2BF6" w:rsidP="008C2BF6">
            <w:pPr>
              <w:pStyle w:val="CellRowSpacer"/>
              <w:rPr>
                <w:sz w:val="18"/>
              </w:rPr>
            </w:pPr>
          </w:p>
        </w:tc>
        <w:tc>
          <w:tcPr>
            <w:tcW w:w="1132" w:type="dxa"/>
          </w:tcPr>
          <w:p w14:paraId="7E8AF52D" w14:textId="77777777" w:rsidR="008C2BF6" w:rsidRPr="00B02BA3" w:rsidRDefault="008C2BF6" w:rsidP="008C2BF6">
            <w:pPr>
              <w:pStyle w:val="SmCellBody"/>
              <w:jc w:val="right"/>
            </w:pPr>
            <w:r w:rsidRPr="00B02BA3">
              <w:t>12</w:t>
            </w:r>
            <w:r>
              <w:t>.8</w:t>
            </w:r>
          </w:p>
        </w:tc>
        <w:tc>
          <w:tcPr>
            <w:tcW w:w="282" w:type="dxa"/>
            <w:vAlign w:val="bottom"/>
          </w:tcPr>
          <w:p w14:paraId="33ECCBFD" w14:textId="77777777" w:rsidR="008C2BF6" w:rsidRPr="00B02BA3" w:rsidRDefault="008C2BF6" w:rsidP="008C2BF6">
            <w:pPr>
              <w:pStyle w:val="CellRowSpacer"/>
              <w:rPr>
                <w:sz w:val="18"/>
              </w:rPr>
            </w:pPr>
          </w:p>
        </w:tc>
        <w:tc>
          <w:tcPr>
            <w:tcW w:w="1152" w:type="dxa"/>
          </w:tcPr>
          <w:p w14:paraId="1E5A8081" w14:textId="77777777" w:rsidR="008C2BF6" w:rsidRPr="00B02BA3" w:rsidRDefault="008C2BF6" w:rsidP="008C2BF6">
            <w:pPr>
              <w:pStyle w:val="SmCellBody"/>
              <w:tabs>
                <w:tab w:val="center" w:pos="576"/>
                <w:tab w:val="right" w:pos="1152"/>
              </w:tabs>
            </w:pPr>
            <w:r>
              <w:tab/>
            </w:r>
            <w:r>
              <w:tab/>
              <w:t>21.1</w:t>
            </w:r>
          </w:p>
        </w:tc>
        <w:tc>
          <w:tcPr>
            <w:tcW w:w="236" w:type="dxa"/>
            <w:vAlign w:val="bottom"/>
          </w:tcPr>
          <w:p w14:paraId="1100954E" w14:textId="77777777" w:rsidR="008C2BF6" w:rsidRPr="00B02BA3" w:rsidRDefault="008C2BF6" w:rsidP="008C2BF6">
            <w:pPr>
              <w:pStyle w:val="CellRowSpacer"/>
              <w:rPr>
                <w:sz w:val="18"/>
              </w:rPr>
            </w:pPr>
          </w:p>
        </w:tc>
      </w:tr>
      <w:tr w:rsidR="008C2BF6" w:rsidRPr="00B02BA3" w14:paraId="3F182DB8" w14:textId="77777777" w:rsidTr="008C2BF6">
        <w:tc>
          <w:tcPr>
            <w:tcW w:w="3156" w:type="dxa"/>
            <w:vAlign w:val="bottom"/>
          </w:tcPr>
          <w:p w14:paraId="05666345"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المشتقات</w:t>
            </w:r>
            <w:r w:rsidRPr="003D0326">
              <w:rPr>
                <w:sz w:val="14"/>
                <w:szCs w:val="16"/>
              </w:rPr>
              <w:tab/>
            </w:r>
          </w:p>
        </w:tc>
        <w:tc>
          <w:tcPr>
            <w:tcW w:w="282" w:type="dxa"/>
            <w:vAlign w:val="bottom"/>
          </w:tcPr>
          <w:p w14:paraId="43FB1061" w14:textId="77777777" w:rsidR="008C2BF6" w:rsidRPr="00B02BA3" w:rsidRDefault="008C2BF6" w:rsidP="008C2BF6">
            <w:pPr>
              <w:pStyle w:val="CellRowSpacer"/>
              <w:rPr>
                <w:sz w:val="18"/>
              </w:rPr>
            </w:pPr>
          </w:p>
        </w:tc>
        <w:tc>
          <w:tcPr>
            <w:tcW w:w="1132" w:type="dxa"/>
            <w:vAlign w:val="bottom"/>
          </w:tcPr>
          <w:p w14:paraId="11B02991" w14:textId="77777777" w:rsidR="008C2BF6" w:rsidRPr="00B02BA3" w:rsidRDefault="008C2BF6" w:rsidP="008C2BF6">
            <w:pPr>
              <w:pStyle w:val="SmCellBody"/>
              <w:jc w:val="right"/>
            </w:pPr>
            <w:r w:rsidRPr="00B02BA3">
              <w:t>—</w:t>
            </w:r>
          </w:p>
        </w:tc>
        <w:tc>
          <w:tcPr>
            <w:tcW w:w="282" w:type="dxa"/>
            <w:vAlign w:val="bottom"/>
          </w:tcPr>
          <w:p w14:paraId="2E37485D" w14:textId="77777777" w:rsidR="008C2BF6" w:rsidRPr="00B02BA3" w:rsidRDefault="008C2BF6" w:rsidP="008C2BF6">
            <w:pPr>
              <w:pStyle w:val="CellRowSpacer"/>
              <w:rPr>
                <w:sz w:val="18"/>
              </w:rPr>
            </w:pPr>
          </w:p>
        </w:tc>
        <w:tc>
          <w:tcPr>
            <w:tcW w:w="1132" w:type="dxa"/>
            <w:vAlign w:val="bottom"/>
          </w:tcPr>
          <w:p w14:paraId="19DFE377" w14:textId="77777777" w:rsidR="008C2BF6" w:rsidRPr="00B02BA3" w:rsidRDefault="008C2BF6" w:rsidP="008C2BF6">
            <w:pPr>
              <w:pStyle w:val="SmCellBody"/>
              <w:jc w:val="right"/>
            </w:pPr>
            <w:r w:rsidRPr="00B02BA3">
              <w:t>5</w:t>
            </w:r>
            <w:r>
              <w:t>.2</w:t>
            </w:r>
          </w:p>
        </w:tc>
        <w:tc>
          <w:tcPr>
            <w:tcW w:w="282" w:type="dxa"/>
            <w:vAlign w:val="bottom"/>
          </w:tcPr>
          <w:p w14:paraId="3D26113D" w14:textId="77777777" w:rsidR="008C2BF6" w:rsidRPr="00B02BA3" w:rsidRDefault="008C2BF6" w:rsidP="008C2BF6">
            <w:pPr>
              <w:pStyle w:val="CellRowSpacer"/>
              <w:rPr>
                <w:sz w:val="18"/>
              </w:rPr>
            </w:pPr>
          </w:p>
        </w:tc>
        <w:tc>
          <w:tcPr>
            <w:tcW w:w="1132" w:type="dxa"/>
          </w:tcPr>
          <w:p w14:paraId="78703629" w14:textId="77777777" w:rsidR="008C2BF6" w:rsidRPr="00B02BA3" w:rsidRDefault="008C2BF6" w:rsidP="008C2BF6">
            <w:pPr>
              <w:pStyle w:val="SmCellBody"/>
              <w:jc w:val="right"/>
            </w:pPr>
            <w:r w:rsidRPr="00B02BA3">
              <w:t>2</w:t>
            </w:r>
            <w:r>
              <w:t>.6</w:t>
            </w:r>
          </w:p>
        </w:tc>
        <w:tc>
          <w:tcPr>
            <w:tcW w:w="282" w:type="dxa"/>
            <w:vAlign w:val="bottom"/>
          </w:tcPr>
          <w:p w14:paraId="03DABD68" w14:textId="77777777" w:rsidR="008C2BF6" w:rsidRPr="00B02BA3" w:rsidRDefault="008C2BF6" w:rsidP="008C2BF6">
            <w:pPr>
              <w:pStyle w:val="CellRowSpacer"/>
              <w:rPr>
                <w:sz w:val="18"/>
              </w:rPr>
            </w:pPr>
          </w:p>
        </w:tc>
        <w:tc>
          <w:tcPr>
            <w:tcW w:w="1152" w:type="dxa"/>
          </w:tcPr>
          <w:p w14:paraId="79A0F1A8" w14:textId="77777777" w:rsidR="008C2BF6" w:rsidRPr="00B02BA3" w:rsidRDefault="008C2BF6" w:rsidP="008C2BF6">
            <w:pPr>
              <w:pStyle w:val="SmCellBody"/>
              <w:jc w:val="right"/>
            </w:pPr>
            <w:r>
              <w:t>1.2</w:t>
            </w:r>
          </w:p>
        </w:tc>
        <w:tc>
          <w:tcPr>
            <w:tcW w:w="236" w:type="dxa"/>
            <w:vAlign w:val="bottom"/>
          </w:tcPr>
          <w:p w14:paraId="2E63A0AF" w14:textId="77777777" w:rsidR="008C2BF6" w:rsidRPr="00B02BA3" w:rsidRDefault="008C2BF6" w:rsidP="008C2BF6">
            <w:pPr>
              <w:pStyle w:val="CellRowSpacer"/>
              <w:rPr>
                <w:sz w:val="18"/>
              </w:rPr>
            </w:pPr>
          </w:p>
        </w:tc>
      </w:tr>
      <w:tr w:rsidR="008C2BF6" w:rsidRPr="00B02BA3" w14:paraId="614DE15F" w14:textId="77777777" w:rsidTr="008C2BF6">
        <w:tc>
          <w:tcPr>
            <w:tcW w:w="3156" w:type="dxa"/>
            <w:vAlign w:val="bottom"/>
          </w:tcPr>
          <w:p w14:paraId="1D9EC503"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الأصول التعاقدية</w:t>
            </w:r>
            <w:r w:rsidRPr="003D0326">
              <w:rPr>
                <w:sz w:val="14"/>
                <w:szCs w:val="16"/>
              </w:rPr>
              <w:tab/>
            </w:r>
          </w:p>
        </w:tc>
        <w:tc>
          <w:tcPr>
            <w:tcW w:w="282" w:type="dxa"/>
            <w:vAlign w:val="bottom"/>
          </w:tcPr>
          <w:p w14:paraId="6EF8BD68" w14:textId="77777777" w:rsidR="008C2BF6" w:rsidRPr="00B02BA3" w:rsidRDefault="008C2BF6" w:rsidP="008C2BF6">
            <w:pPr>
              <w:pStyle w:val="CellRowSpacer"/>
              <w:rPr>
                <w:sz w:val="18"/>
              </w:rPr>
            </w:pPr>
          </w:p>
        </w:tc>
        <w:tc>
          <w:tcPr>
            <w:tcW w:w="1132" w:type="dxa"/>
            <w:vAlign w:val="bottom"/>
          </w:tcPr>
          <w:p w14:paraId="57873D42" w14:textId="77777777" w:rsidR="008C2BF6" w:rsidRPr="00B02BA3" w:rsidRDefault="008C2BF6" w:rsidP="008C2BF6">
            <w:pPr>
              <w:pStyle w:val="SmCellBody"/>
              <w:jc w:val="right"/>
            </w:pPr>
            <w:r w:rsidRPr="00B02BA3">
              <w:t>4</w:t>
            </w:r>
            <w:r>
              <w:t>.3</w:t>
            </w:r>
          </w:p>
        </w:tc>
        <w:tc>
          <w:tcPr>
            <w:tcW w:w="282" w:type="dxa"/>
            <w:vAlign w:val="bottom"/>
          </w:tcPr>
          <w:p w14:paraId="7A45FE31" w14:textId="77777777" w:rsidR="008C2BF6" w:rsidRPr="00B02BA3" w:rsidRDefault="008C2BF6" w:rsidP="008C2BF6">
            <w:pPr>
              <w:pStyle w:val="CellRowSpacer"/>
              <w:rPr>
                <w:sz w:val="18"/>
              </w:rPr>
            </w:pPr>
          </w:p>
        </w:tc>
        <w:tc>
          <w:tcPr>
            <w:tcW w:w="1132" w:type="dxa"/>
            <w:vAlign w:val="bottom"/>
          </w:tcPr>
          <w:p w14:paraId="6A35893F" w14:textId="77777777" w:rsidR="008C2BF6" w:rsidRPr="00B02BA3" w:rsidRDefault="008C2BF6" w:rsidP="008C2BF6">
            <w:pPr>
              <w:pStyle w:val="SmCellBody"/>
              <w:jc w:val="right"/>
            </w:pPr>
            <w:r w:rsidRPr="00B02BA3">
              <w:t>8</w:t>
            </w:r>
            <w:r>
              <w:t>.3</w:t>
            </w:r>
          </w:p>
        </w:tc>
        <w:tc>
          <w:tcPr>
            <w:tcW w:w="282" w:type="dxa"/>
            <w:vAlign w:val="bottom"/>
          </w:tcPr>
          <w:p w14:paraId="22DF2203" w14:textId="77777777" w:rsidR="008C2BF6" w:rsidRPr="00B02BA3" w:rsidRDefault="008C2BF6" w:rsidP="008C2BF6">
            <w:pPr>
              <w:pStyle w:val="CellRowSpacer"/>
              <w:rPr>
                <w:sz w:val="18"/>
              </w:rPr>
            </w:pPr>
          </w:p>
        </w:tc>
        <w:tc>
          <w:tcPr>
            <w:tcW w:w="1132" w:type="dxa"/>
          </w:tcPr>
          <w:p w14:paraId="652884AF" w14:textId="77777777" w:rsidR="008C2BF6" w:rsidRPr="00B02BA3" w:rsidRDefault="008C2BF6" w:rsidP="008C2BF6">
            <w:pPr>
              <w:pStyle w:val="SmCellBody"/>
              <w:jc w:val="right"/>
            </w:pPr>
            <w:r w:rsidRPr="00B02BA3">
              <w:t>2</w:t>
            </w:r>
            <w:r>
              <w:t>.4</w:t>
            </w:r>
          </w:p>
        </w:tc>
        <w:tc>
          <w:tcPr>
            <w:tcW w:w="282" w:type="dxa"/>
            <w:vAlign w:val="bottom"/>
          </w:tcPr>
          <w:p w14:paraId="5E77253C" w14:textId="77777777" w:rsidR="008C2BF6" w:rsidRPr="00B02BA3" w:rsidRDefault="008C2BF6" w:rsidP="008C2BF6">
            <w:pPr>
              <w:pStyle w:val="CellRowSpacer"/>
              <w:rPr>
                <w:sz w:val="18"/>
              </w:rPr>
            </w:pPr>
          </w:p>
        </w:tc>
        <w:tc>
          <w:tcPr>
            <w:tcW w:w="1152" w:type="dxa"/>
          </w:tcPr>
          <w:p w14:paraId="1BDC4BB6" w14:textId="77777777" w:rsidR="008C2BF6" w:rsidRPr="00B02BA3" w:rsidRDefault="008C2BF6" w:rsidP="008C2BF6">
            <w:pPr>
              <w:pStyle w:val="SmCellBody"/>
              <w:jc w:val="right"/>
            </w:pPr>
            <w:r>
              <w:t>1.9</w:t>
            </w:r>
          </w:p>
        </w:tc>
        <w:tc>
          <w:tcPr>
            <w:tcW w:w="236" w:type="dxa"/>
            <w:vAlign w:val="bottom"/>
          </w:tcPr>
          <w:p w14:paraId="6D514195" w14:textId="77777777" w:rsidR="008C2BF6" w:rsidRPr="00B02BA3" w:rsidRDefault="008C2BF6" w:rsidP="008C2BF6">
            <w:pPr>
              <w:pStyle w:val="CellRowSpacer"/>
              <w:rPr>
                <w:sz w:val="18"/>
              </w:rPr>
            </w:pPr>
          </w:p>
        </w:tc>
      </w:tr>
      <w:tr w:rsidR="008C2BF6" w:rsidRPr="00B02BA3" w14:paraId="2EB97D12" w14:textId="77777777" w:rsidTr="008C2BF6">
        <w:tc>
          <w:tcPr>
            <w:tcW w:w="3156" w:type="dxa"/>
            <w:vAlign w:val="bottom"/>
          </w:tcPr>
          <w:p w14:paraId="03CBD740"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الأصول المالية الأخرى بالتكلفة المطفأة</w:t>
            </w:r>
            <w:r w:rsidRPr="003D0326">
              <w:rPr>
                <w:sz w:val="14"/>
                <w:szCs w:val="16"/>
              </w:rPr>
              <w:tab/>
            </w:r>
          </w:p>
        </w:tc>
        <w:tc>
          <w:tcPr>
            <w:tcW w:w="282" w:type="dxa"/>
            <w:vAlign w:val="bottom"/>
          </w:tcPr>
          <w:p w14:paraId="3E0D6EA5" w14:textId="77777777" w:rsidR="008C2BF6" w:rsidRPr="00B02BA3" w:rsidRDefault="008C2BF6" w:rsidP="008C2BF6">
            <w:pPr>
              <w:pStyle w:val="CellRowSpacer"/>
              <w:rPr>
                <w:sz w:val="18"/>
              </w:rPr>
            </w:pPr>
          </w:p>
        </w:tc>
        <w:tc>
          <w:tcPr>
            <w:tcW w:w="1132" w:type="dxa"/>
            <w:vAlign w:val="bottom"/>
          </w:tcPr>
          <w:p w14:paraId="245A72DB" w14:textId="77777777" w:rsidR="008C2BF6" w:rsidRPr="00B02BA3" w:rsidRDefault="008C2BF6" w:rsidP="008C2BF6">
            <w:pPr>
              <w:pStyle w:val="SmCellBody"/>
              <w:jc w:val="right"/>
            </w:pPr>
            <w:r w:rsidRPr="00B02BA3">
              <w:t>1</w:t>
            </w:r>
            <w:r>
              <w:t>.4</w:t>
            </w:r>
          </w:p>
        </w:tc>
        <w:tc>
          <w:tcPr>
            <w:tcW w:w="282" w:type="dxa"/>
            <w:vAlign w:val="bottom"/>
          </w:tcPr>
          <w:p w14:paraId="3CF4F6E7" w14:textId="77777777" w:rsidR="008C2BF6" w:rsidRPr="00B02BA3" w:rsidRDefault="008C2BF6" w:rsidP="008C2BF6">
            <w:pPr>
              <w:pStyle w:val="CellRowSpacer"/>
              <w:rPr>
                <w:sz w:val="18"/>
              </w:rPr>
            </w:pPr>
          </w:p>
        </w:tc>
        <w:tc>
          <w:tcPr>
            <w:tcW w:w="1132" w:type="dxa"/>
            <w:vAlign w:val="bottom"/>
          </w:tcPr>
          <w:p w14:paraId="1CB0D05D" w14:textId="77777777" w:rsidR="008C2BF6" w:rsidRPr="00B02BA3" w:rsidRDefault="008C2BF6" w:rsidP="008C2BF6">
            <w:pPr>
              <w:pStyle w:val="SmCellBody"/>
              <w:jc w:val="right"/>
            </w:pPr>
            <w:r w:rsidRPr="00B02BA3">
              <w:t>4</w:t>
            </w:r>
            <w:r>
              <w:t>.6</w:t>
            </w:r>
          </w:p>
        </w:tc>
        <w:tc>
          <w:tcPr>
            <w:tcW w:w="282" w:type="dxa"/>
            <w:vAlign w:val="bottom"/>
          </w:tcPr>
          <w:p w14:paraId="46364E76" w14:textId="77777777" w:rsidR="008C2BF6" w:rsidRPr="00B02BA3" w:rsidRDefault="008C2BF6" w:rsidP="008C2BF6">
            <w:pPr>
              <w:pStyle w:val="CellRowSpacer"/>
              <w:rPr>
                <w:sz w:val="18"/>
              </w:rPr>
            </w:pPr>
          </w:p>
        </w:tc>
        <w:tc>
          <w:tcPr>
            <w:tcW w:w="1132" w:type="dxa"/>
            <w:vAlign w:val="bottom"/>
          </w:tcPr>
          <w:p w14:paraId="2C6CD411" w14:textId="77777777" w:rsidR="008C2BF6" w:rsidRPr="00B02BA3" w:rsidRDefault="008C2BF6" w:rsidP="008C2BF6">
            <w:pPr>
              <w:pStyle w:val="SmCellBody"/>
              <w:jc w:val="right"/>
            </w:pPr>
            <w:r w:rsidRPr="00B02BA3">
              <w:t>4</w:t>
            </w:r>
            <w:r>
              <w:t>.1</w:t>
            </w:r>
          </w:p>
        </w:tc>
        <w:tc>
          <w:tcPr>
            <w:tcW w:w="282" w:type="dxa"/>
            <w:vAlign w:val="bottom"/>
          </w:tcPr>
          <w:p w14:paraId="661069CA" w14:textId="77777777" w:rsidR="008C2BF6" w:rsidRPr="00B02BA3" w:rsidRDefault="008C2BF6" w:rsidP="008C2BF6">
            <w:pPr>
              <w:pStyle w:val="CellRowSpacer"/>
              <w:rPr>
                <w:sz w:val="18"/>
              </w:rPr>
            </w:pPr>
          </w:p>
        </w:tc>
        <w:tc>
          <w:tcPr>
            <w:tcW w:w="1152" w:type="dxa"/>
            <w:vAlign w:val="bottom"/>
          </w:tcPr>
          <w:p w14:paraId="1EB74D84" w14:textId="77777777" w:rsidR="008C2BF6" w:rsidRPr="00B02BA3" w:rsidRDefault="008C2BF6" w:rsidP="008C2BF6">
            <w:pPr>
              <w:pStyle w:val="SmCellBody"/>
              <w:jc w:val="right"/>
            </w:pPr>
            <w:r>
              <w:t>3.4</w:t>
            </w:r>
          </w:p>
        </w:tc>
        <w:tc>
          <w:tcPr>
            <w:tcW w:w="236" w:type="dxa"/>
            <w:vAlign w:val="bottom"/>
          </w:tcPr>
          <w:p w14:paraId="79258057" w14:textId="77777777" w:rsidR="008C2BF6" w:rsidRPr="00B02BA3" w:rsidRDefault="008C2BF6" w:rsidP="008C2BF6">
            <w:pPr>
              <w:pStyle w:val="CellRowSpacer"/>
              <w:rPr>
                <w:sz w:val="18"/>
              </w:rPr>
            </w:pPr>
          </w:p>
        </w:tc>
      </w:tr>
      <w:tr w:rsidR="008C2BF6" w:rsidRPr="00B02BA3" w14:paraId="34EAE436" w14:textId="77777777" w:rsidTr="008C2BF6">
        <w:tc>
          <w:tcPr>
            <w:tcW w:w="3156" w:type="dxa"/>
            <w:vAlign w:val="bottom"/>
          </w:tcPr>
          <w:p w14:paraId="1CFFF1EF"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النقد وما يعادله</w:t>
            </w:r>
            <w:r w:rsidRPr="003D0326">
              <w:rPr>
                <w:sz w:val="14"/>
                <w:szCs w:val="16"/>
              </w:rPr>
              <w:tab/>
            </w:r>
          </w:p>
        </w:tc>
        <w:tc>
          <w:tcPr>
            <w:tcW w:w="282" w:type="dxa"/>
            <w:vAlign w:val="bottom"/>
          </w:tcPr>
          <w:p w14:paraId="21F121DC" w14:textId="77777777" w:rsidR="008C2BF6" w:rsidRPr="00B02BA3" w:rsidRDefault="008C2BF6" w:rsidP="008C2BF6">
            <w:pPr>
              <w:pStyle w:val="CellRowSpacer"/>
              <w:rPr>
                <w:sz w:val="18"/>
              </w:rPr>
            </w:pPr>
          </w:p>
        </w:tc>
        <w:tc>
          <w:tcPr>
            <w:tcW w:w="1132" w:type="dxa"/>
            <w:vAlign w:val="bottom"/>
          </w:tcPr>
          <w:p w14:paraId="3AACCC10" w14:textId="77777777" w:rsidR="008C2BF6" w:rsidRPr="00B02BA3" w:rsidRDefault="008C2BF6" w:rsidP="008C2BF6">
            <w:pPr>
              <w:pStyle w:val="SmCellBody"/>
              <w:jc w:val="right"/>
            </w:pPr>
            <w:r w:rsidRPr="00B02BA3">
              <w:t>16</w:t>
            </w:r>
            <w:r>
              <w:t>.8</w:t>
            </w:r>
          </w:p>
        </w:tc>
        <w:tc>
          <w:tcPr>
            <w:tcW w:w="282" w:type="dxa"/>
            <w:vAlign w:val="bottom"/>
          </w:tcPr>
          <w:p w14:paraId="121D652C" w14:textId="77777777" w:rsidR="008C2BF6" w:rsidRPr="00B02BA3" w:rsidRDefault="008C2BF6" w:rsidP="008C2BF6">
            <w:pPr>
              <w:pStyle w:val="CellRowSpacer"/>
              <w:rPr>
                <w:sz w:val="18"/>
              </w:rPr>
            </w:pPr>
          </w:p>
        </w:tc>
        <w:tc>
          <w:tcPr>
            <w:tcW w:w="1132" w:type="dxa"/>
            <w:vAlign w:val="bottom"/>
          </w:tcPr>
          <w:p w14:paraId="0CBEF6EB" w14:textId="77777777" w:rsidR="008C2BF6" w:rsidRPr="00B02BA3" w:rsidRDefault="008C2BF6" w:rsidP="008C2BF6">
            <w:pPr>
              <w:pStyle w:val="SmCellBody"/>
              <w:jc w:val="right"/>
            </w:pPr>
            <w:r w:rsidRPr="00B02BA3">
              <w:t>50</w:t>
            </w:r>
            <w:r>
              <w:t>.4</w:t>
            </w:r>
          </w:p>
        </w:tc>
        <w:tc>
          <w:tcPr>
            <w:tcW w:w="282" w:type="dxa"/>
            <w:vAlign w:val="bottom"/>
          </w:tcPr>
          <w:p w14:paraId="1513561D" w14:textId="77777777" w:rsidR="008C2BF6" w:rsidRPr="00B02BA3" w:rsidRDefault="008C2BF6" w:rsidP="008C2BF6">
            <w:pPr>
              <w:pStyle w:val="CellRowSpacer"/>
              <w:rPr>
                <w:sz w:val="18"/>
              </w:rPr>
            </w:pPr>
          </w:p>
        </w:tc>
        <w:tc>
          <w:tcPr>
            <w:tcW w:w="1132" w:type="dxa"/>
          </w:tcPr>
          <w:p w14:paraId="21DB479E" w14:textId="77777777" w:rsidR="008C2BF6" w:rsidRPr="00B02BA3" w:rsidRDefault="008C2BF6" w:rsidP="008C2BF6">
            <w:pPr>
              <w:pStyle w:val="SmCellBody"/>
              <w:jc w:val="right"/>
            </w:pPr>
            <w:r w:rsidRPr="00B02BA3">
              <w:t>5</w:t>
            </w:r>
            <w:r>
              <w:t>2.0</w:t>
            </w:r>
          </w:p>
        </w:tc>
        <w:tc>
          <w:tcPr>
            <w:tcW w:w="282" w:type="dxa"/>
            <w:vAlign w:val="bottom"/>
          </w:tcPr>
          <w:p w14:paraId="74572AE6" w14:textId="77777777" w:rsidR="008C2BF6" w:rsidRPr="00B02BA3" w:rsidRDefault="008C2BF6" w:rsidP="008C2BF6">
            <w:pPr>
              <w:pStyle w:val="CellRowSpacer"/>
              <w:rPr>
                <w:sz w:val="18"/>
              </w:rPr>
            </w:pPr>
          </w:p>
        </w:tc>
        <w:tc>
          <w:tcPr>
            <w:tcW w:w="1152" w:type="dxa"/>
          </w:tcPr>
          <w:p w14:paraId="4F15A3BA" w14:textId="77777777" w:rsidR="008C2BF6" w:rsidRPr="00B02BA3" w:rsidRDefault="008C2BF6" w:rsidP="008C2BF6">
            <w:pPr>
              <w:pStyle w:val="SmCellBody"/>
              <w:jc w:val="right"/>
            </w:pPr>
            <w:r>
              <w:t>33.3</w:t>
            </w:r>
          </w:p>
        </w:tc>
        <w:tc>
          <w:tcPr>
            <w:tcW w:w="236" w:type="dxa"/>
            <w:vAlign w:val="bottom"/>
          </w:tcPr>
          <w:p w14:paraId="0C36FF40" w14:textId="77777777" w:rsidR="008C2BF6" w:rsidRPr="00B02BA3" w:rsidRDefault="008C2BF6" w:rsidP="008C2BF6">
            <w:pPr>
              <w:pStyle w:val="CellRowSpacer"/>
              <w:rPr>
                <w:sz w:val="18"/>
              </w:rPr>
            </w:pPr>
          </w:p>
        </w:tc>
      </w:tr>
      <w:tr w:rsidR="008C2BF6" w:rsidRPr="00B02BA3" w14:paraId="3BA145F1" w14:textId="77777777" w:rsidTr="008C2BF6">
        <w:tc>
          <w:tcPr>
            <w:tcW w:w="3156" w:type="dxa"/>
            <w:vAlign w:val="bottom"/>
          </w:tcPr>
          <w:p w14:paraId="3241BAAB"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الودائع الثابتة لأجل وودائع الهامش</w:t>
            </w:r>
            <w:r w:rsidRPr="003D0326">
              <w:rPr>
                <w:sz w:val="14"/>
                <w:szCs w:val="16"/>
              </w:rPr>
              <w:tab/>
            </w:r>
          </w:p>
        </w:tc>
        <w:tc>
          <w:tcPr>
            <w:tcW w:w="282" w:type="dxa"/>
            <w:vAlign w:val="bottom"/>
          </w:tcPr>
          <w:p w14:paraId="1EA2FDCD" w14:textId="77777777" w:rsidR="008C2BF6" w:rsidRPr="00B02BA3" w:rsidRDefault="008C2BF6" w:rsidP="008C2BF6">
            <w:pPr>
              <w:pStyle w:val="CellRowSpacer"/>
              <w:rPr>
                <w:sz w:val="18"/>
              </w:rPr>
            </w:pPr>
          </w:p>
        </w:tc>
        <w:tc>
          <w:tcPr>
            <w:tcW w:w="1132" w:type="dxa"/>
            <w:vAlign w:val="bottom"/>
          </w:tcPr>
          <w:p w14:paraId="6DEF667B" w14:textId="77777777" w:rsidR="008C2BF6" w:rsidRPr="00B02BA3" w:rsidRDefault="008C2BF6" w:rsidP="008C2BF6">
            <w:pPr>
              <w:pStyle w:val="SmCellBody"/>
              <w:jc w:val="right"/>
            </w:pPr>
            <w:r w:rsidRPr="00B02BA3">
              <w:t>80</w:t>
            </w:r>
            <w:r>
              <w:t>.9</w:t>
            </w:r>
          </w:p>
        </w:tc>
        <w:tc>
          <w:tcPr>
            <w:tcW w:w="282" w:type="dxa"/>
            <w:vAlign w:val="bottom"/>
          </w:tcPr>
          <w:p w14:paraId="143B61B1" w14:textId="77777777" w:rsidR="008C2BF6" w:rsidRPr="00B02BA3" w:rsidRDefault="008C2BF6" w:rsidP="008C2BF6">
            <w:pPr>
              <w:pStyle w:val="CellRowSpacer"/>
              <w:rPr>
                <w:sz w:val="18"/>
              </w:rPr>
            </w:pPr>
          </w:p>
        </w:tc>
        <w:tc>
          <w:tcPr>
            <w:tcW w:w="1132" w:type="dxa"/>
            <w:vAlign w:val="bottom"/>
          </w:tcPr>
          <w:p w14:paraId="451F7115" w14:textId="77777777" w:rsidR="008C2BF6" w:rsidRPr="00B02BA3" w:rsidRDefault="008C2BF6" w:rsidP="008C2BF6">
            <w:pPr>
              <w:pStyle w:val="SmCellBody"/>
              <w:jc w:val="right"/>
            </w:pPr>
            <w:r w:rsidRPr="00B02BA3">
              <w:t>79</w:t>
            </w:r>
            <w:r>
              <w:t>.3</w:t>
            </w:r>
          </w:p>
        </w:tc>
        <w:tc>
          <w:tcPr>
            <w:tcW w:w="282" w:type="dxa"/>
            <w:vAlign w:val="bottom"/>
          </w:tcPr>
          <w:p w14:paraId="62420BCB" w14:textId="77777777" w:rsidR="008C2BF6" w:rsidRPr="00B02BA3" w:rsidRDefault="008C2BF6" w:rsidP="008C2BF6">
            <w:pPr>
              <w:pStyle w:val="CellRowSpacer"/>
              <w:rPr>
                <w:sz w:val="18"/>
              </w:rPr>
            </w:pPr>
          </w:p>
        </w:tc>
        <w:tc>
          <w:tcPr>
            <w:tcW w:w="1132" w:type="dxa"/>
          </w:tcPr>
          <w:p w14:paraId="1ACB4A6F" w14:textId="77777777" w:rsidR="008C2BF6" w:rsidRPr="00B02BA3" w:rsidRDefault="008C2BF6" w:rsidP="008C2BF6">
            <w:pPr>
              <w:pStyle w:val="SmCellBody"/>
              <w:jc w:val="right"/>
            </w:pPr>
            <w:r w:rsidRPr="00B02BA3">
              <w:t>123</w:t>
            </w:r>
            <w:r>
              <w:t>.8</w:t>
            </w:r>
          </w:p>
        </w:tc>
        <w:tc>
          <w:tcPr>
            <w:tcW w:w="282" w:type="dxa"/>
            <w:vAlign w:val="bottom"/>
          </w:tcPr>
          <w:p w14:paraId="03F33615" w14:textId="77777777" w:rsidR="008C2BF6" w:rsidRPr="00B02BA3" w:rsidRDefault="008C2BF6" w:rsidP="008C2BF6">
            <w:pPr>
              <w:pStyle w:val="CellRowSpacer"/>
              <w:rPr>
                <w:sz w:val="18"/>
              </w:rPr>
            </w:pPr>
          </w:p>
        </w:tc>
        <w:tc>
          <w:tcPr>
            <w:tcW w:w="1152" w:type="dxa"/>
          </w:tcPr>
          <w:p w14:paraId="246E681F" w14:textId="77777777" w:rsidR="008C2BF6" w:rsidRPr="00B02BA3" w:rsidRDefault="008C2BF6" w:rsidP="008C2BF6">
            <w:pPr>
              <w:pStyle w:val="SmCellBody"/>
              <w:jc w:val="right"/>
            </w:pPr>
            <w:r>
              <w:t>102.7</w:t>
            </w:r>
          </w:p>
        </w:tc>
        <w:tc>
          <w:tcPr>
            <w:tcW w:w="236" w:type="dxa"/>
            <w:vAlign w:val="bottom"/>
          </w:tcPr>
          <w:p w14:paraId="3A9D3259" w14:textId="77777777" w:rsidR="008C2BF6" w:rsidRPr="00B02BA3" w:rsidRDefault="008C2BF6" w:rsidP="008C2BF6">
            <w:pPr>
              <w:pStyle w:val="CellRowSpacer"/>
              <w:rPr>
                <w:sz w:val="18"/>
              </w:rPr>
            </w:pPr>
          </w:p>
        </w:tc>
      </w:tr>
      <w:tr w:rsidR="008C2BF6" w:rsidRPr="00B02BA3" w14:paraId="2265AFFC" w14:textId="77777777" w:rsidTr="008C2BF6">
        <w:tc>
          <w:tcPr>
            <w:tcW w:w="3156" w:type="dxa"/>
            <w:vAlign w:val="bottom"/>
          </w:tcPr>
          <w:p w14:paraId="3504FE93"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الأصول المتداولة الأخرى</w:t>
            </w:r>
            <w:r w:rsidRPr="003D0326">
              <w:rPr>
                <w:sz w:val="14"/>
                <w:szCs w:val="16"/>
              </w:rPr>
              <w:tab/>
            </w:r>
          </w:p>
        </w:tc>
        <w:tc>
          <w:tcPr>
            <w:tcW w:w="282" w:type="dxa"/>
            <w:vAlign w:val="bottom"/>
          </w:tcPr>
          <w:p w14:paraId="1BA726F2" w14:textId="77777777" w:rsidR="008C2BF6" w:rsidRPr="00B02BA3" w:rsidRDefault="008C2BF6" w:rsidP="008C2BF6">
            <w:pPr>
              <w:pStyle w:val="CellRowSpacer"/>
              <w:rPr>
                <w:sz w:val="18"/>
              </w:rPr>
            </w:pPr>
          </w:p>
        </w:tc>
        <w:tc>
          <w:tcPr>
            <w:tcW w:w="1132" w:type="dxa"/>
            <w:vAlign w:val="bottom"/>
          </w:tcPr>
          <w:p w14:paraId="768DC7B6" w14:textId="77777777" w:rsidR="008C2BF6" w:rsidRPr="00B02BA3" w:rsidRDefault="008C2BF6" w:rsidP="008C2BF6">
            <w:pPr>
              <w:pStyle w:val="SmCellBody"/>
              <w:jc w:val="right"/>
            </w:pPr>
            <w:r w:rsidRPr="00B02BA3">
              <w:t>8</w:t>
            </w:r>
            <w:r>
              <w:t>.1</w:t>
            </w:r>
          </w:p>
        </w:tc>
        <w:tc>
          <w:tcPr>
            <w:tcW w:w="282" w:type="dxa"/>
            <w:vAlign w:val="bottom"/>
          </w:tcPr>
          <w:p w14:paraId="38337AFE" w14:textId="77777777" w:rsidR="008C2BF6" w:rsidRPr="00B02BA3" w:rsidRDefault="008C2BF6" w:rsidP="008C2BF6">
            <w:pPr>
              <w:pStyle w:val="CellRowSpacer"/>
              <w:rPr>
                <w:sz w:val="18"/>
              </w:rPr>
            </w:pPr>
          </w:p>
        </w:tc>
        <w:tc>
          <w:tcPr>
            <w:tcW w:w="1132" w:type="dxa"/>
            <w:vAlign w:val="bottom"/>
          </w:tcPr>
          <w:p w14:paraId="2A022F14" w14:textId="77777777" w:rsidR="008C2BF6" w:rsidRPr="00B02BA3" w:rsidRDefault="008C2BF6" w:rsidP="008C2BF6">
            <w:pPr>
              <w:pStyle w:val="SmCellBody"/>
              <w:jc w:val="right"/>
            </w:pPr>
            <w:r w:rsidRPr="00B02BA3">
              <w:t>16</w:t>
            </w:r>
            <w:r>
              <w:t>.8</w:t>
            </w:r>
          </w:p>
        </w:tc>
        <w:tc>
          <w:tcPr>
            <w:tcW w:w="282" w:type="dxa"/>
            <w:vAlign w:val="bottom"/>
          </w:tcPr>
          <w:p w14:paraId="30D4CCB6" w14:textId="77777777" w:rsidR="008C2BF6" w:rsidRPr="00B02BA3" w:rsidRDefault="008C2BF6" w:rsidP="008C2BF6">
            <w:pPr>
              <w:pStyle w:val="CellRowSpacer"/>
              <w:rPr>
                <w:sz w:val="18"/>
              </w:rPr>
            </w:pPr>
          </w:p>
        </w:tc>
        <w:tc>
          <w:tcPr>
            <w:tcW w:w="1132" w:type="dxa"/>
          </w:tcPr>
          <w:p w14:paraId="6EBE2FAA" w14:textId="77777777" w:rsidR="008C2BF6" w:rsidRPr="00B02BA3" w:rsidRDefault="008C2BF6" w:rsidP="008C2BF6">
            <w:pPr>
              <w:pStyle w:val="SmCellBody"/>
              <w:jc w:val="right"/>
            </w:pPr>
            <w:r w:rsidRPr="00B02BA3">
              <w:t>16</w:t>
            </w:r>
            <w:r>
              <w:t>.</w:t>
            </w:r>
            <w:r w:rsidR="00B35DB2">
              <w:t>1</w:t>
            </w:r>
          </w:p>
        </w:tc>
        <w:tc>
          <w:tcPr>
            <w:tcW w:w="282" w:type="dxa"/>
            <w:vAlign w:val="bottom"/>
          </w:tcPr>
          <w:p w14:paraId="11378CE3" w14:textId="77777777" w:rsidR="008C2BF6" w:rsidRPr="00B02BA3" w:rsidRDefault="008C2BF6" w:rsidP="008C2BF6">
            <w:pPr>
              <w:pStyle w:val="CellRowSpacer"/>
              <w:rPr>
                <w:sz w:val="18"/>
              </w:rPr>
            </w:pPr>
          </w:p>
        </w:tc>
        <w:tc>
          <w:tcPr>
            <w:tcW w:w="1152" w:type="dxa"/>
          </w:tcPr>
          <w:p w14:paraId="1B24AB52" w14:textId="77777777" w:rsidR="008C2BF6" w:rsidRPr="00B02BA3" w:rsidRDefault="00B35DB2" w:rsidP="008C2BF6">
            <w:pPr>
              <w:pStyle w:val="SmCellBody"/>
              <w:jc w:val="right"/>
            </w:pPr>
            <w:r>
              <w:t>15.7</w:t>
            </w:r>
          </w:p>
        </w:tc>
        <w:tc>
          <w:tcPr>
            <w:tcW w:w="236" w:type="dxa"/>
            <w:vAlign w:val="bottom"/>
          </w:tcPr>
          <w:p w14:paraId="68CD2DDF" w14:textId="77777777" w:rsidR="008C2BF6" w:rsidRPr="00B02BA3" w:rsidRDefault="008C2BF6" w:rsidP="008C2BF6">
            <w:pPr>
              <w:pStyle w:val="CellRowSpacer"/>
              <w:rPr>
                <w:sz w:val="18"/>
              </w:rPr>
            </w:pPr>
          </w:p>
        </w:tc>
      </w:tr>
      <w:tr w:rsidR="008C2BF6" w:rsidRPr="00B02BA3" w14:paraId="100B90B7" w14:textId="77777777" w:rsidTr="008C2BF6">
        <w:tc>
          <w:tcPr>
            <w:tcW w:w="3156" w:type="dxa"/>
            <w:vAlign w:val="bottom"/>
          </w:tcPr>
          <w:p w14:paraId="321D2692"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المخزون</w:t>
            </w:r>
            <w:r w:rsidRPr="003D0326">
              <w:rPr>
                <w:sz w:val="14"/>
                <w:szCs w:val="16"/>
              </w:rPr>
              <w:tab/>
            </w:r>
          </w:p>
        </w:tc>
        <w:tc>
          <w:tcPr>
            <w:tcW w:w="282" w:type="dxa"/>
            <w:vAlign w:val="bottom"/>
          </w:tcPr>
          <w:p w14:paraId="235D8895" w14:textId="77777777" w:rsidR="008C2BF6" w:rsidRPr="00B02BA3" w:rsidRDefault="008C2BF6" w:rsidP="008C2BF6">
            <w:pPr>
              <w:pStyle w:val="CellRowSpacer"/>
              <w:rPr>
                <w:sz w:val="18"/>
              </w:rPr>
            </w:pPr>
          </w:p>
        </w:tc>
        <w:tc>
          <w:tcPr>
            <w:tcW w:w="1132" w:type="dxa"/>
            <w:tcBorders>
              <w:bottom w:val="single" w:sz="4" w:space="0" w:color="auto"/>
            </w:tcBorders>
            <w:vAlign w:val="bottom"/>
          </w:tcPr>
          <w:p w14:paraId="564D71ED" w14:textId="77777777" w:rsidR="008C2BF6" w:rsidRPr="00B02BA3" w:rsidRDefault="008C2BF6" w:rsidP="008C2BF6">
            <w:pPr>
              <w:pStyle w:val="SmCellBody"/>
              <w:jc w:val="right"/>
            </w:pPr>
            <w:r w:rsidRPr="00B02BA3">
              <w:t>14</w:t>
            </w:r>
            <w:r>
              <w:t>.7</w:t>
            </w:r>
          </w:p>
        </w:tc>
        <w:tc>
          <w:tcPr>
            <w:tcW w:w="282" w:type="dxa"/>
            <w:vAlign w:val="bottom"/>
          </w:tcPr>
          <w:p w14:paraId="74187AF8" w14:textId="77777777" w:rsidR="008C2BF6" w:rsidRPr="00B02BA3" w:rsidRDefault="008C2BF6" w:rsidP="008C2BF6">
            <w:pPr>
              <w:pStyle w:val="CellRowSpacer"/>
              <w:rPr>
                <w:sz w:val="18"/>
              </w:rPr>
            </w:pPr>
          </w:p>
        </w:tc>
        <w:tc>
          <w:tcPr>
            <w:tcW w:w="1132" w:type="dxa"/>
            <w:tcBorders>
              <w:bottom w:val="single" w:sz="4" w:space="0" w:color="auto"/>
            </w:tcBorders>
            <w:vAlign w:val="bottom"/>
          </w:tcPr>
          <w:p w14:paraId="6A326F2E" w14:textId="77777777" w:rsidR="008C2BF6" w:rsidRPr="00B02BA3" w:rsidRDefault="008C2BF6" w:rsidP="008C2BF6">
            <w:pPr>
              <w:pStyle w:val="SmCellBody"/>
              <w:jc w:val="right"/>
            </w:pPr>
            <w:r w:rsidRPr="00B02BA3">
              <w:t>12</w:t>
            </w:r>
            <w:r>
              <w:t>.2</w:t>
            </w:r>
          </w:p>
        </w:tc>
        <w:tc>
          <w:tcPr>
            <w:tcW w:w="282" w:type="dxa"/>
            <w:vAlign w:val="bottom"/>
          </w:tcPr>
          <w:p w14:paraId="2BE037EA" w14:textId="77777777" w:rsidR="008C2BF6" w:rsidRPr="00B02BA3" w:rsidRDefault="008C2BF6" w:rsidP="008C2BF6">
            <w:pPr>
              <w:pStyle w:val="CellRowSpacer"/>
              <w:rPr>
                <w:sz w:val="18"/>
              </w:rPr>
            </w:pPr>
          </w:p>
        </w:tc>
        <w:tc>
          <w:tcPr>
            <w:tcW w:w="1132" w:type="dxa"/>
            <w:tcBorders>
              <w:bottom w:val="single" w:sz="4" w:space="0" w:color="auto"/>
            </w:tcBorders>
          </w:tcPr>
          <w:p w14:paraId="53CDDDAE" w14:textId="77777777" w:rsidR="008C2BF6" w:rsidRPr="00B02BA3" w:rsidRDefault="008C2BF6" w:rsidP="008C2BF6">
            <w:pPr>
              <w:pStyle w:val="SmCellBody"/>
              <w:jc w:val="right"/>
            </w:pPr>
            <w:r w:rsidRPr="00B02BA3">
              <w:t>9</w:t>
            </w:r>
            <w:r>
              <w:t>.3</w:t>
            </w:r>
          </w:p>
        </w:tc>
        <w:tc>
          <w:tcPr>
            <w:tcW w:w="282" w:type="dxa"/>
            <w:vAlign w:val="bottom"/>
          </w:tcPr>
          <w:p w14:paraId="1BBE359A" w14:textId="77777777" w:rsidR="008C2BF6" w:rsidRPr="00B02BA3" w:rsidRDefault="008C2BF6" w:rsidP="008C2BF6">
            <w:pPr>
              <w:pStyle w:val="CellRowSpacer"/>
              <w:rPr>
                <w:sz w:val="18"/>
              </w:rPr>
            </w:pPr>
          </w:p>
        </w:tc>
        <w:tc>
          <w:tcPr>
            <w:tcW w:w="1152" w:type="dxa"/>
            <w:tcBorders>
              <w:bottom w:val="single" w:sz="4" w:space="0" w:color="auto"/>
            </w:tcBorders>
          </w:tcPr>
          <w:p w14:paraId="6B1B232B" w14:textId="77777777" w:rsidR="008C2BF6" w:rsidRPr="00B02BA3" w:rsidRDefault="008C2BF6" w:rsidP="008C2BF6">
            <w:pPr>
              <w:pStyle w:val="SmCellBody"/>
              <w:tabs>
                <w:tab w:val="center" w:pos="576"/>
                <w:tab w:val="right" w:pos="1152"/>
              </w:tabs>
            </w:pPr>
            <w:r>
              <w:tab/>
            </w:r>
            <w:r>
              <w:tab/>
              <w:t>8.0</w:t>
            </w:r>
          </w:p>
        </w:tc>
        <w:tc>
          <w:tcPr>
            <w:tcW w:w="236" w:type="dxa"/>
            <w:vAlign w:val="bottom"/>
          </w:tcPr>
          <w:p w14:paraId="0B211ABE" w14:textId="77777777" w:rsidR="008C2BF6" w:rsidRPr="00B02BA3" w:rsidRDefault="008C2BF6" w:rsidP="008C2BF6">
            <w:pPr>
              <w:pStyle w:val="CellRowSpacer"/>
              <w:rPr>
                <w:sz w:val="18"/>
              </w:rPr>
            </w:pPr>
          </w:p>
        </w:tc>
      </w:tr>
      <w:tr w:rsidR="008C2BF6" w:rsidRPr="00B02BA3" w14:paraId="03A638E5" w14:textId="77777777" w:rsidTr="008C2BF6">
        <w:tc>
          <w:tcPr>
            <w:tcW w:w="3156" w:type="dxa"/>
            <w:vAlign w:val="bottom"/>
          </w:tcPr>
          <w:p w14:paraId="26BB7DF8" w14:textId="77777777" w:rsidR="008C2BF6" w:rsidRPr="003D0326" w:rsidRDefault="008C2BF6" w:rsidP="008C2BF6">
            <w:pPr>
              <w:pStyle w:val="SmCellBody"/>
              <w:tabs>
                <w:tab w:val="right" w:leader="dot" w:pos="3163"/>
              </w:tabs>
              <w:bidi/>
              <w:ind w:left="407"/>
              <w:rPr>
                <w:b/>
                <w:bCs/>
                <w:sz w:val="14"/>
                <w:szCs w:val="16"/>
              </w:rPr>
            </w:pPr>
            <w:r w:rsidRPr="003D0326">
              <w:rPr>
                <w:rFonts w:hint="cs"/>
                <w:b/>
                <w:bCs/>
                <w:sz w:val="14"/>
                <w:szCs w:val="16"/>
                <w:rtl/>
              </w:rPr>
              <w:t>إجمالي الأصول المتداولة</w:t>
            </w:r>
            <w:r w:rsidRPr="003D0326">
              <w:rPr>
                <w:sz w:val="14"/>
                <w:szCs w:val="16"/>
              </w:rPr>
              <w:tab/>
            </w:r>
          </w:p>
        </w:tc>
        <w:tc>
          <w:tcPr>
            <w:tcW w:w="282" w:type="dxa"/>
            <w:vAlign w:val="bottom"/>
          </w:tcPr>
          <w:p w14:paraId="01DC637F" w14:textId="77777777" w:rsidR="008C2BF6" w:rsidRPr="00B02BA3" w:rsidRDefault="008C2BF6" w:rsidP="008C2BF6">
            <w:pPr>
              <w:pStyle w:val="CellRowSpacer"/>
              <w:rPr>
                <w:sz w:val="18"/>
              </w:rPr>
            </w:pPr>
          </w:p>
        </w:tc>
        <w:tc>
          <w:tcPr>
            <w:tcW w:w="1132" w:type="dxa"/>
            <w:tcBorders>
              <w:top w:val="single" w:sz="4" w:space="0" w:color="auto"/>
              <w:bottom w:val="single" w:sz="4" w:space="0" w:color="auto"/>
            </w:tcBorders>
            <w:vAlign w:val="bottom"/>
          </w:tcPr>
          <w:p w14:paraId="7EE1AECA" w14:textId="77777777" w:rsidR="008C2BF6" w:rsidRPr="00B02BA3" w:rsidRDefault="008C2BF6" w:rsidP="008C2BF6">
            <w:pPr>
              <w:pStyle w:val="SmCellBody"/>
              <w:jc w:val="right"/>
            </w:pPr>
            <w:r w:rsidRPr="00B02BA3">
              <w:t>144</w:t>
            </w:r>
            <w:r>
              <w:t>.7</w:t>
            </w:r>
          </w:p>
        </w:tc>
        <w:tc>
          <w:tcPr>
            <w:tcW w:w="282" w:type="dxa"/>
            <w:vAlign w:val="bottom"/>
          </w:tcPr>
          <w:p w14:paraId="32FB694E" w14:textId="77777777" w:rsidR="008C2BF6" w:rsidRPr="00B02BA3" w:rsidRDefault="008C2BF6" w:rsidP="008C2BF6">
            <w:pPr>
              <w:pStyle w:val="CellRowSpacer"/>
              <w:rPr>
                <w:sz w:val="18"/>
              </w:rPr>
            </w:pPr>
          </w:p>
        </w:tc>
        <w:tc>
          <w:tcPr>
            <w:tcW w:w="1132" w:type="dxa"/>
            <w:tcBorders>
              <w:top w:val="single" w:sz="4" w:space="0" w:color="auto"/>
              <w:bottom w:val="single" w:sz="4" w:space="0" w:color="auto"/>
            </w:tcBorders>
            <w:vAlign w:val="bottom"/>
          </w:tcPr>
          <w:p w14:paraId="7203B1B8" w14:textId="77777777" w:rsidR="008C2BF6" w:rsidRPr="00B02BA3" w:rsidRDefault="008C2BF6" w:rsidP="008C2BF6">
            <w:pPr>
              <w:pStyle w:val="SmCellBody"/>
              <w:jc w:val="right"/>
            </w:pPr>
            <w:r w:rsidRPr="00B02BA3">
              <w:t>202</w:t>
            </w:r>
            <w:r>
              <w:t>.1</w:t>
            </w:r>
          </w:p>
        </w:tc>
        <w:tc>
          <w:tcPr>
            <w:tcW w:w="282" w:type="dxa"/>
            <w:vAlign w:val="bottom"/>
          </w:tcPr>
          <w:p w14:paraId="12C5DEA0" w14:textId="77777777" w:rsidR="008C2BF6" w:rsidRPr="00B02BA3" w:rsidRDefault="008C2BF6" w:rsidP="008C2BF6">
            <w:pPr>
              <w:pStyle w:val="CellRowSpacer"/>
              <w:rPr>
                <w:sz w:val="18"/>
              </w:rPr>
            </w:pPr>
          </w:p>
        </w:tc>
        <w:tc>
          <w:tcPr>
            <w:tcW w:w="1132" w:type="dxa"/>
            <w:tcBorders>
              <w:top w:val="single" w:sz="4" w:space="0" w:color="auto"/>
              <w:bottom w:val="single" w:sz="4" w:space="0" w:color="auto"/>
            </w:tcBorders>
          </w:tcPr>
          <w:p w14:paraId="4BFA607D" w14:textId="77777777" w:rsidR="008C2BF6" w:rsidRPr="00B02BA3" w:rsidRDefault="008C2BF6" w:rsidP="008C2BF6">
            <w:pPr>
              <w:pStyle w:val="SmCellBody"/>
              <w:jc w:val="right"/>
            </w:pPr>
            <w:r w:rsidRPr="00B02BA3">
              <w:t>230</w:t>
            </w:r>
            <w:r>
              <w:t>.8</w:t>
            </w:r>
          </w:p>
        </w:tc>
        <w:tc>
          <w:tcPr>
            <w:tcW w:w="282" w:type="dxa"/>
            <w:vAlign w:val="bottom"/>
          </w:tcPr>
          <w:p w14:paraId="5F54765F" w14:textId="77777777" w:rsidR="008C2BF6" w:rsidRPr="00B02BA3" w:rsidRDefault="008C2BF6" w:rsidP="008C2BF6">
            <w:pPr>
              <w:pStyle w:val="CellRowSpacer"/>
              <w:rPr>
                <w:sz w:val="18"/>
              </w:rPr>
            </w:pPr>
          </w:p>
        </w:tc>
        <w:tc>
          <w:tcPr>
            <w:tcW w:w="1152" w:type="dxa"/>
            <w:tcBorders>
              <w:top w:val="single" w:sz="4" w:space="0" w:color="auto"/>
              <w:bottom w:val="single" w:sz="4" w:space="0" w:color="auto"/>
            </w:tcBorders>
          </w:tcPr>
          <w:p w14:paraId="464E07FB" w14:textId="77777777" w:rsidR="008C2BF6" w:rsidRPr="00B02BA3" w:rsidRDefault="00B35DB2" w:rsidP="008C2BF6">
            <w:pPr>
              <w:pStyle w:val="SmCellBody"/>
              <w:jc w:val="right"/>
            </w:pPr>
            <w:r>
              <w:t>201.1</w:t>
            </w:r>
          </w:p>
        </w:tc>
        <w:tc>
          <w:tcPr>
            <w:tcW w:w="236" w:type="dxa"/>
            <w:vAlign w:val="bottom"/>
          </w:tcPr>
          <w:p w14:paraId="3A95107C" w14:textId="77777777" w:rsidR="008C2BF6" w:rsidRPr="00B02BA3" w:rsidRDefault="008C2BF6" w:rsidP="008C2BF6">
            <w:pPr>
              <w:pStyle w:val="CellRowSpacer"/>
              <w:rPr>
                <w:sz w:val="18"/>
              </w:rPr>
            </w:pPr>
          </w:p>
        </w:tc>
      </w:tr>
      <w:tr w:rsidR="008C2BF6" w:rsidRPr="00B02BA3" w14:paraId="12B97010" w14:textId="77777777" w:rsidTr="008C2BF6">
        <w:tc>
          <w:tcPr>
            <w:tcW w:w="3156" w:type="dxa"/>
            <w:vAlign w:val="bottom"/>
          </w:tcPr>
          <w:p w14:paraId="1AE1667C"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إجمالي الأصول</w:t>
            </w:r>
            <w:r w:rsidRPr="003D0326">
              <w:rPr>
                <w:sz w:val="14"/>
                <w:szCs w:val="16"/>
              </w:rPr>
              <w:tab/>
            </w:r>
          </w:p>
        </w:tc>
        <w:tc>
          <w:tcPr>
            <w:tcW w:w="282" w:type="dxa"/>
            <w:vAlign w:val="bottom"/>
          </w:tcPr>
          <w:p w14:paraId="54256CDA"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3ACDBDD0" w14:textId="77777777" w:rsidR="008C2BF6" w:rsidRPr="00B02BA3" w:rsidRDefault="008C2BF6" w:rsidP="008C2BF6">
            <w:pPr>
              <w:pStyle w:val="SmCellBody"/>
              <w:jc w:val="right"/>
            </w:pPr>
            <w:r w:rsidRPr="00B02BA3">
              <w:t>1,143</w:t>
            </w:r>
            <w:r>
              <w:t>.3</w:t>
            </w:r>
          </w:p>
        </w:tc>
        <w:tc>
          <w:tcPr>
            <w:tcW w:w="282" w:type="dxa"/>
            <w:vAlign w:val="bottom"/>
          </w:tcPr>
          <w:p w14:paraId="01F7AD82"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15C7F8A5" w14:textId="77777777" w:rsidR="008C2BF6" w:rsidRPr="00B02BA3" w:rsidRDefault="008C2BF6" w:rsidP="008C2BF6">
            <w:pPr>
              <w:pStyle w:val="SmCellBody"/>
              <w:jc w:val="right"/>
            </w:pPr>
            <w:r w:rsidRPr="00B02BA3">
              <w:t>1,144</w:t>
            </w:r>
            <w:r>
              <w:t>.3</w:t>
            </w:r>
          </w:p>
        </w:tc>
        <w:tc>
          <w:tcPr>
            <w:tcW w:w="282" w:type="dxa"/>
            <w:vAlign w:val="bottom"/>
          </w:tcPr>
          <w:p w14:paraId="339A900F" w14:textId="77777777" w:rsidR="008C2BF6" w:rsidRPr="00B02BA3" w:rsidRDefault="008C2BF6" w:rsidP="008C2BF6">
            <w:pPr>
              <w:pStyle w:val="CellRowSpacer"/>
              <w:rPr>
                <w:sz w:val="18"/>
              </w:rPr>
            </w:pPr>
          </w:p>
        </w:tc>
        <w:tc>
          <w:tcPr>
            <w:tcW w:w="1132" w:type="dxa"/>
            <w:tcBorders>
              <w:top w:val="single" w:sz="4" w:space="0" w:color="auto"/>
            </w:tcBorders>
          </w:tcPr>
          <w:p w14:paraId="4B95702E" w14:textId="77777777" w:rsidR="008C2BF6" w:rsidRPr="00B02BA3" w:rsidRDefault="008C2BF6" w:rsidP="008C2BF6">
            <w:pPr>
              <w:pStyle w:val="SmCellBody"/>
              <w:jc w:val="right"/>
            </w:pPr>
            <w:r w:rsidRPr="00B02BA3">
              <w:t>1,164</w:t>
            </w:r>
            <w:r>
              <w:t>.6</w:t>
            </w:r>
          </w:p>
        </w:tc>
        <w:tc>
          <w:tcPr>
            <w:tcW w:w="282" w:type="dxa"/>
            <w:vAlign w:val="bottom"/>
          </w:tcPr>
          <w:p w14:paraId="3EFD81A8" w14:textId="77777777" w:rsidR="008C2BF6" w:rsidRPr="00B02BA3" w:rsidRDefault="008C2BF6" w:rsidP="008C2BF6">
            <w:pPr>
              <w:pStyle w:val="CellRowSpacer"/>
              <w:rPr>
                <w:sz w:val="18"/>
              </w:rPr>
            </w:pPr>
          </w:p>
        </w:tc>
        <w:tc>
          <w:tcPr>
            <w:tcW w:w="1152" w:type="dxa"/>
            <w:tcBorders>
              <w:top w:val="single" w:sz="4" w:space="0" w:color="auto"/>
            </w:tcBorders>
          </w:tcPr>
          <w:p w14:paraId="1E63E7EB" w14:textId="77777777" w:rsidR="008C2BF6" w:rsidRPr="00B02BA3" w:rsidRDefault="008C2BF6" w:rsidP="008C2BF6">
            <w:pPr>
              <w:pStyle w:val="SmCellBody"/>
              <w:jc w:val="right"/>
            </w:pPr>
            <w:r>
              <w:t>1,</w:t>
            </w:r>
            <w:r w:rsidR="00296121">
              <w:t>120</w:t>
            </w:r>
            <w:r>
              <w:t>.</w:t>
            </w:r>
            <w:r w:rsidR="00296121">
              <w:t>9</w:t>
            </w:r>
          </w:p>
        </w:tc>
        <w:tc>
          <w:tcPr>
            <w:tcW w:w="236" w:type="dxa"/>
            <w:vAlign w:val="bottom"/>
          </w:tcPr>
          <w:p w14:paraId="79C4ECB2" w14:textId="77777777" w:rsidR="008C2BF6" w:rsidRPr="00B02BA3" w:rsidRDefault="008C2BF6" w:rsidP="008C2BF6">
            <w:pPr>
              <w:pStyle w:val="CellRowSpacer"/>
              <w:rPr>
                <w:sz w:val="18"/>
              </w:rPr>
            </w:pPr>
          </w:p>
        </w:tc>
      </w:tr>
      <w:tr w:rsidR="008C2BF6" w:rsidRPr="00B02BA3" w14:paraId="6D334883" w14:textId="77777777" w:rsidTr="008C2BF6">
        <w:tc>
          <w:tcPr>
            <w:tcW w:w="3156" w:type="dxa"/>
            <w:vAlign w:val="bottom"/>
          </w:tcPr>
          <w:p w14:paraId="6F0CD1FA"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الملكية والخصوم</w:t>
            </w:r>
          </w:p>
        </w:tc>
        <w:tc>
          <w:tcPr>
            <w:tcW w:w="282" w:type="dxa"/>
            <w:vAlign w:val="bottom"/>
          </w:tcPr>
          <w:p w14:paraId="59E05E8D" w14:textId="77777777" w:rsidR="008C2BF6" w:rsidRPr="00B02BA3" w:rsidRDefault="008C2BF6" w:rsidP="008C2BF6">
            <w:pPr>
              <w:pStyle w:val="CellRowSpacer"/>
              <w:rPr>
                <w:b/>
                <w:bCs/>
                <w:sz w:val="18"/>
              </w:rPr>
            </w:pPr>
          </w:p>
        </w:tc>
        <w:tc>
          <w:tcPr>
            <w:tcW w:w="1132" w:type="dxa"/>
            <w:vAlign w:val="bottom"/>
          </w:tcPr>
          <w:p w14:paraId="0F983572" w14:textId="77777777" w:rsidR="008C2BF6" w:rsidRPr="00B02BA3" w:rsidRDefault="008C2BF6" w:rsidP="008C2BF6">
            <w:pPr>
              <w:pStyle w:val="SmCellBody"/>
              <w:jc w:val="right"/>
              <w:rPr>
                <w:b/>
                <w:bCs/>
              </w:rPr>
            </w:pPr>
          </w:p>
        </w:tc>
        <w:tc>
          <w:tcPr>
            <w:tcW w:w="282" w:type="dxa"/>
            <w:vAlign w:val="bottom"/>
          </w:tcPr>
          <w:p w14:paraId="5D47114E" w14:textId="77777777" w:rsidR="008C2BF6" w:rsidRPr="00B02BA3" w:rsidRDefault="008C2BF6" w:rsidP="008C2BF6">
            <w:pPr>
              <w:pStyle w:val="CellRowSpacer"/>
              <w:rPr>
                <w:b/>
                <w:bCs/>
                <w:sz w:val="18"/>
              </w:rPr>
            </w:pPr>
          </w:p>
        </w:tc>
        <w:tc>
          <w:tcPr>
            <w:tcW w:w="1132" w:type="dxa"/>
            <w:vAlign w:val="bottom"/>
          </w:tcPr>
          <w:p w14:paraId="0A6FD4B3" w14:textId="77777777" w:rsidR="008C2BF6" w:rsidRPr="00B02BA3" w:rsidRDefault="008C2BF6" w:rsidP="008C2BF6">
            <w:pPr>
              <w:pStyle w:val="SmCellBody"/>
              <w:jc w:val="right"/>
              <w:rPr>
                <w:b/>
                <w:bCs/>
              </w:rPr>
            </w:pPr>
          </w:p>
        </w:tc>
        <w:tc>
          <w:tcPr>
            <w:tcW w:w="282" w:type="dxa"/>
            <w:vAlign w:val="bottom"/>
          </w:tcPr>
          <w:p w14:paraId="7F3F9810" w14:textId="77777777" w:rsidR="008C2BF6" w:rsidRPr="00B02BA3" w:rsidRDefault="008C2BF6" w:rsidP="008C2BF6">
            <w:pPr>
              <w:pStyle w:val="CellRowSpacer"/>
              <w:rPr>
                <w:b/>
                <w:bCs/>
                <w:sz w:val="18"/>
              </w:rPr>
            </w:pPr>
          </w:p>
        </w:tc>
        <w:tc>
          <w:tcPr>
            <w:tcW w:w="1132" w:type="dxa"/>
          </w:tcPr>
          <w:p w14:paraId="45B99121" w14:textId="77777777" w:rsidR="008C2BF6" w:rsidRPr="00B02BA3" w:rsidRDefault="008C2BF6" w:rsidP="008C2BF6">
            <w:pPr>
              <w:pStyle w:val="SmCellBody"/>
              <w:jc w:val="right"/>
              <w:rPr>
                <w:b/>
                <w:bCs/>
              </w:rPr>
            </w:pPr>
          </w:p>
        </w:tc>
        <w:tc>
          <w:tcPr>
            <w:tcW w:w="282" w:type="dxa"/>
            <w:vAlign w:val="bottom"/>
          </w:tcPr>
          <w:p w14:paraId="7B016771" w14:textId="77777777" w:rsidR="008C2BF6" w:rsidRPr="00B02BA3" w:rsidRDefault="008C2BF6" w:rsidP="008C2BF6">
            <w:pPr>
              <w:pStyle w:val="CellRowSpacer"/>
              <w:rPr>
                <w:b/>
                <w:bCs/>
                <w:sz w:val="18"/>
              </w:rPr>
            </w:pPr>
          </w:p>
        </w:tc>
        <w:tc>
          <w:tcPr>
            <w:tcW w:w="1152" w:type="dxa"/>
          </w:tcPr>
          <w:p w14:paraId="7FEA4CB0" w14:textId="77777777" w:rsidR="008C2BF6" w:rsidRPr="00B02BA3" w:rsidRDefault="008C2BF6" w:rsidP="008C2BF6">
            <w:pPr>
              <w:pStyle w:val="SmCellBody"/>
              <w:jc w:val="right"/>
              <w:rPr>
                <w:b/>
                <w:bCs/>
              </w:rPr>
            </w:pPr>
          </w:p>
        </w:tc>
        <w:tc>
          <w:tcPr>
            <w:tcW w:w="236" w:type="dxa"/>
            <w:vAlign w:val="bottom"/>
          </w:tcPr>
          <w:p w14:paraId="5A8CF8D7" w14:textId="77777777" w:rsidR="008C2BF6" w:rsidRPr="00B02BA3" w:rsidRDefault="008C2BF6" w:rsidP="008C2BF6">
            <w:pPr>
              <w:pStyle w:val="CellRowSpacer"/>
              <w:rPr>
                <w:b/>
                <w:bCs/>
                <w:sz w:val="18"/>
              </w:rPr>
            </w:pPr>
          </w:p>
        </w:tc>
      </w:tr>
      <w:tr w:rsidR="008C2BF6" w:rsidRPr="00B02BA3" w14:paraId="4078EBB9" w14:textId="77777777" w:rsidTr="008C2BF6">
        <w:tc>
          <w:tcPr>
            <w:tcW w:w="3156" w:type="dxa"/>
            <w:vAlign w:val="bottom"/>
          </w:tcPr>
          <w:p w14:paraId="6371C5D2"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الملكية</w:t>
            </w:r>
          </w:p>
        </w:tc>
        <w:tc>
          <w:tcPr>
            <w:tcW w:w="282" w:type="dxa"/>
            <w:vAlign w:val="bottom"/>
          </w:tcPr>
          <w:p w14:paraId="1EBEE96D" w14:textId="77777777" w:rsidR="008C2BF6" w:rsidRPr="00B02BA3" w:rsidRDefault="008C2BF6" w:rsidP="008C2BF6">
            <w:pPr>
              <w:pStyle w:val="CellRowSpacer"/>
              <w:rPr>
                <w:b/>
                <w:bCs/>
                <w:sz w:val="18"/>
              </w:rPr>
            </w:pPr>
          </w:p>
        </w:tc>
        <w:tc>
          <w:tcPr>
            <w:tcW w:w="1132" w:type="dxa"/>
            <w:vAlign w:val="bottom"/>
          </w:tcPr>
          <w:p w14:paraId="1D0DAFCD" w14:textId="77777777" w:rsidR="008C2BF6" w:rsidRPr="00B02BA3" w:rsidRDefault="008C2BF6" w:rsidP="008C2BF6">
            <w:pPr>
              <w:pStyle w:val="SmCellBody"/>
              <w:jc w:val="right"/>
              <w:rPr>
                <w:b/>
                <w:bCs/>
              </w:rPr>
            </w:pPr>
          </w:p>
        </w:tc>
        <w:tc>
          <w:tcPr>
            <w:tcW w:w="282" w:type="dxa"/>
            <w:vAlign w:val="bottom"/>
          </w:tcPr>
          <w:p w14:paraId="311DFD9A" w14:textId="77777777" w:rsidR="008C2BF6" w:rsidRPr="00B02BA3" w:rsidRDefault="008C2BF6" w:rsidP="008C2BF6">
            <w:pPr>
              <w:pStyle w:val="CellRowSpacer"/>
              <w:rPr>
                <w:b/>
                <w:bCs/>
                <w:sz w:val="18"/>
              </w:rPr>
            </w:pPr>
          </w:p>
        </w:tc>
        <w:tc>
          <w:tcPr>
            <w:tcW w:w="1132" w:type="dxa"/>
            <w:vAlign w:val="bottom"/>
          </w:tcPr>
          <w:p w14:paraId="6696C446" w14:textId="77777777" w:rsidR="008C2BF6" w:rsidRPr="00B02BA3" w:rsidRDefault="008C2BF6" w:rsidP="008C2BF6">
            <w:pPr>
              <w:pStyle w:val="SmCellBody"/>
              <w:jc w:val="right"/>
              <w:rPr>
                <w:b/>
                <w:bCs/>
              </w:rPr>
            </w:pPr>
          </w:p>
        </w:tc>
        <w:tc>
          <w:tcPr>
            <w:tcW w:w="282" w:type="dxa"/>
            <w:vAlign w:val="bottom"/>
          </w:tcPr>
          <w:p w14:paraId="40F4AEA3" w14:textId="77777777" w:rsidR="008C2BF6" w:rsidRPr="00B02BA3" w:rsidRDefault="008C2BF6" w:rsidP="008C2BF6">
            <w:pPr>
              <w:pStyle w:val="CellRowSpacer"/>
              <w:rPr>
                <w:b/>
                <w:bCs/>
                <w:sz w:val="18"/>
              </w:rPr>
            </w:pPr>
          </w:p>
        </w:tc>
        <w:tc>
          <w:tcPr>
            <w:tcW w:w="1132" w:type="dxa"/>
          </w:tcPr>
          <w:p w14:paraId="05DC6AB3" w14:textId="77777777" w:rsidR="008C2BF6" w:rsidRPr="00B02BA3" w:rsidRDefault="008C2BF6" w:rsidP="008C2BF6">
            <w:pPr>
              <w:pStyle w:val="SmCellBody"/>
              <w:jc w:val="right"/>
              <w:rPr>
                <w:b/>
                <w:bCs/>
              </w:rPr>
            </w:pPr>
          </w:p>
        </w:tc>
        <w:tc>
          <w:tcPr>
            <w:tcW w:w="282" w:type="dxa"/>
            <w:vAlign w:val="bottom"/>
          </w:tcPr>
          <w:p w14:paraId="73F61371" w14:textId="77777777" w:rsidR="008C2BF6" w:rsidRPr="00B02BA3" w:rsidRDefault="008C2BF6" w:rsidP="008C2BF6">
            <w:pPr>
              <w:pStyle w:val="CellRowSpacer"/>
              <w:rPr>
                <w:b/>
                <w:bCs/>
                <w:sz w:val="18"/>
              </w:rPr>
            </w:pPr>
          </w:p>
        </w:tc>
        <w:tc>
          <w:tcPr>
            <w:tcW w:w="1152" w:type="dxa"/>
          </w:tcPr>
          <w:p w14:paraId="4254BBA7" w14:textId="77777777" w:rsidR="008C2BF6" w:rsidRPr="00B02BA3" w:rsidRDefault="008C2BF6" w:rsidP="008C2BF6">
            <w:pPr>
              <w:pStyle w:val="SmCellBody"/>
              <w:jc w:val="right"/>
              <w:rPr>
                <w:b/>
                <w:bCs/>
              </w:rPr>
            </w:pPr>
          </w:p>
        </w:tc>
        <w:tc>
          <w:tcPr>
            <w:tcW w:w="236" w:type="dxa"/>
            <w:vAlign w:val="bottom"/>
          </w:tcPr>
          <w:p w14:paraId="47AFDB32" w14:textId="77777777" w:rsidR="008C2BF6" w:rsidRPr="00B02BA3" w:rsidRDefault="008C2BF6" w:rsidP="008C2BF6">
            <w:pPr>
              <w:pStyle w:val="CellRowSpacer"/>
              <w:rPr>
                <w:b/>
                <w:bCs/>
                <w:sz w:val="18"/>
              </w:rPr>
            </w:pPr>
          </w:p>
        </w:tc>
      </w:tr>
      <w:tr w:rsidR="008C2BF6" w:rsidRPr="00B02BA3" w14:paraId="1467FA02" w14:textId="77777777" w:rsidTr="008C2BF6">
        <w:tc>
          <w:tcPr>
            <w:tcW w:w="3156" w:type="dxa"/>
            <w:vAlign w:val="bottom"/>
          </w:tcPr>
          <w:p w14:paraId="79F7FAE2"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رأس المال</w:t>
            </w:r>
            <w:r w:rsidRPr="003D0326">
              <w:rPr>
                <w:sz w:val="14"/>
                <w:szCs w:val="16"/>
              </w:rPr>
              <w:tab/>
            </w:r>
          </w:p>
        </w:tc>
        <w:tc>
          <w:tcPr>
            <w:tcW w:w="282" w:type="dxa"/>
            <w:vAlign w:val="bottom"/>
          </w:tcPr>
          <w:p w14:paraId="3960B8C6" w14:textId="77777777" w:rsidR="008C2BF6" w:rsidRPr="00B02BA3" w:rsidRDefault="008C2BF6" w:rsidP="008C2BF6">
            <w:pPr>
              <w:pStyle w:val="CellRowSpacer"/>
              <w:rPr>
                <w:sz w:val="18"/>
              </w:rPr>
            </w:pPr>
          </w:p>
        </w:tc>
        <w:tc>
          <w:tcPr>
            <w:tcW w:w="1132" w:type="dxa"/>
            <w:vAlign w:val="bottom"/>
          </w:tcPr>
          <w:p w14:paraId="4E9D4365" w14:textId="77777777" w:rsidR="008C2BF6" w:rsidRPr="00B02BA3" w:rsidRDefault="008C2BF6" w:rsidP="008C2BF6">
            <w:pPr>
              <w:pStyle w:val="SmCellBody"/>
              <w:jc w:val="right"/>
            </w:pPr>
            <w:r w:rsidRPr="00B02BA3">
              <w:t>130</w:t>
            </w:r>
            <w:r>
              <w:t>.2</w:t>
            </w:r>
          </w:p>
        </w:tc>
        <w:tc>
          <w:tcPr>
            <w:tcW w:w="282" w:type="dxa"/>
            <w:vAlign w:val="bottom"/>
          </w:tcPr>
          <w:p w14:paraId="022F4DC4" w14:textId="77777777" w:rsidR="008C2BF6" w:rsidRPr="00B02BA3" w:rsidRDefault="008C2BF6" w:rsidP="008C2BF6">
            <w:pPr>
              <w:pStyle w:val="CellRowSpacer"/>
              <w:rPr>
                <w:sz w:val="18"/>
              </w:rPr>
            </w:pPr>
          </w:p>
        </w:tc>
        <w:tc>
          <w:tcPr>
            <w:tcW w:w="1132" w:type="dxa"/>
            <w:vAlign w:val="bottom"/>
          </w:tcPr>
          <w:p w14:paraId="6BC70409" w14:textId="77777777" w:rsidR="008C2BF6" w:rsidRPr="00B02BA3" w:rsidRDefault="008C2BF6" w:rsidP="008C2BF6">
            <w:pPr>
              <w:pStyle w:val="SmCellBody"/>
              <w:jc w:val="right"/>
            </w:pPr>
            <w:r w:rsidRPr="00B02BA3">
              <w:t>130</w:t>
            </w:r>
            <w:r>
              <w:t>.2</w:t>
            </w:r>
          </w:p>
        </w:tc>
        <w:tc>
          <w:tcPr>
            <w:tcW w:w="282" w:type="dxa"/>
            <w:vAlign w:val="bottom"/>
          </w:tcPr>
          <w:p w14:paraId="4CF2B113" w14:textId="77777777" w:rsidR="008C2BF6" w:rsidRPr="00B02BA3" w:rsidRDefault="008C2BF6" w:rsidP="008C2BF6">
            <w:pPr>
              <w:pStyle w:val="CellRowSpacer"/>
              <w:rPr>
                <w:sz w:val="18"/>
              </w:rPr>
            </w:pPr>
          </w:p>
        </w:tc>
        <w:tc>
          <w:tcPr>
            <w:tcW w:w="1132" w:type="dxa"/>
          </w:tcPr>
          <w:p w14:paraId="158014B9" w14:textId="77777777" w:rsidR="008C2BF6" w:rsidRPr="00B02BA3" w:rsidRDefault="008C2BF6" w:rsidP="008C2BF6">
            <w:pPr>
              <w:pStyle w:val="SmCellBody"/>
              <w:jc w:val="right"/>
            </w:pPr>
            <w:r w:rsidRPr="00B02BA3">
              <w:t>130</w:t>
            </w:r>
            <w:r>
              <w:t>.2</w:t>
            </w:r>
          </w:p>
        </w:tc>
        <w:tc>
          <w:tcPr>
            <w:tcW w:w="282" w:type="dxa"/>
            <w:vAlign w:val="bottom"/>
          </w:tcPr>
          <w:p w14:paraId="6DA7C97B" w14:textId="77777777" w:rsidR="008C2BF6" w:rsidRPr="00B02BA3" w:rsidRDefault="008C2BF6" w:rsidP="008C2BF6">
            <w:pPr>
              <w:pStyle w:val="CellRowSpacer"/>
              <w:rPr>
                <w:sz w:val="18"/>
              </w:rPr>
            </w:pPr>
          </w:p>
        </w:tc>
        <w:tc>
          <w:tcPr>
            <w:tcW w:w="1152" w:type="dxa"/>
          </w:tcPr>
          <w:p w14:paraId="58E97070" w14:textId="77777777" w:rsidR="008C2BF6" w:rsidRPr="00B02BA3" w:rsidRDefault="008C2BF6" w:rsidP="008C2BF6">
            <w:pPr>
              <w:pStyle w:val="SmCellBody"/>
              <w:jc w:val="right"/>
            </w:pPr>
            <w:r>
              <w:t>130.2</w:t>
            </w:r>
          </w:p>
        </w:tc>
        <w:tc>
          <w:tcPr>
            <w:tcW w:w="236" w:type="dxa"/>
            <w:vAlign w:val="bottom"/>
          </w:tcPr>
          <w:p w14:paraId="0E8B632A" w14:textId="77777777" w:rsidR="008C2BF6" w:rsidRPr="00B02BA3" w:rsidRDefault="008C2BF6" w:rsidP="008C2BF6">
            <w:pPr>
              <w:pStyle w:val="CellRowSpacer"/>
              <w:rPr>
                <w:sz w:val="18"/>
              </w:rPr>
            </w:pPr>
          </w:p>
        </w:tc>
      </w:tr>
      <w:tr w:rsidR="008C2BF6" w:rsidRPr="00B02BA3" w14:paraId="4D29B234" w14:textId="77777777" w:rsidTr="008C2BF6">
        <w:tc>
          <w:tcPr>
            <w:tcW w:w="3156" w:type="dxa"/>
            <w:vAlign w:val="bottom"/>
          </w:tcPr>
          <w:p w14:paraId="73EED798"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الاحتياطيات القانونية</w:t>
            </w:r>
            <w:r w:rsidRPr="003D0326">
              <w:rPr>
                <w:sz w:val="14"/>
                <w:szCs w:val="16"/>
              </w:rPr>
              <w:tab/>
            </w:r>
          </w:p>
        </w:tc>
        <w:tc>
          <w:tcPr>
            <w:tcW w:w="282" w:type="dxa"/>
            <w:vAlign w:val="bottom"/>
          </w:tcPr>
          <w:p w14:paraId="2CD1DD41" w14:textId="77777777" w:rsidR="008C2BF6" w:rsidRPr="00B02BA3" w:rsidRDefault="008C2BF6" w:rsidP="008C2BF6">
            <w:pPr>
              <w:pStyle w:val="CellRowSpacer"/>
              <w:rPr>
                <w:sz w:val="18"/>
              </w:rPr>
            </w:pPr>
          </w:p>
        </w:tc>
        <w:tc>
          <w:tcPr>
            <w:tcW w:w="1132" w:type="dxa"/>
            <w:vAlign w:val="bottom"/>
          </w:tcPr>
          <w:p w14:paraId="0A21C3FC" w14:textId="77777777" w:rsidR="008C2BF6" w:rsidRPr="00B02BA3" w:rsidRDefault="008C2BF6" w:rsidP="008C2BF6">
            <w:pPr>
              <w:pStyle w:val="SmCellBody"/>
              <w:jc w:val="right"/>
            </w:pPr>
            <w:r w:rsidRPr="00B02BA3">
              <w:t>9</w:t>
            </w:r>
            <w:r>
              <w:t>.2</w:t>
            </w:r>
          </w:p>
        </w:tc>
        <w:tc>
          <w:tcPr>
            <w:tcW w:w="282" w:type="dxa"/>
            <w:vAlign w:val="bottom"/>
          </w:tcPr>
          <w:p w14:paraId="4C6844F5" w14:textId="77777777" w:rsidR="008C2BF6" w:rsidRPr="00B02BA3" w:rsidRDefault="008C2BF6" w:rsidP="008C2BF6">
            <w:pPr>
              <w:pStyle w:val="CellRowSpacer"/>
              <w:rPr>
                <w:sz w:val="18"/>
              </w:rPr>
            </w:pPr>
          </w:p>
        </w:tc>
        <w:tc>
          <w:tcPr>
            <w:tcW w:w="1132" w:type="dxa"/>
            <w:vAlign w:val="bottom"/>
          </w:tcPr>
          <w:p w14:paraId="572A3D80" w14:textId="77777777" w:rsidR="008C2BF6" w:rsidRPr="00B02BA3" w:rsidRDefault="008C2BF6" w:rsidP="008C2BF6">
            <w:pPr>
              <w:pStyle w:val="SmCellBody"/>
              <w:jc w:val="right"/>
            </w:pPr>
            <w:r w:rsidRPr="00B02BA3">
              <w:t>11</w:t>
            </w:r>
            <w:r>
              <w:t>.7</w:t>
            </w:r>
          </w:p>
        </w:tc>
        <w:tc>
          <w:tcPr>
            <w:tcW w:w="282" w:type="dxa"/>
            <w:vAlign w:val="bottom"/>
          </w:tcPr>
          <w:p w14:paraId="0A8630D1" w14:textId="77777777" w:rsidR="008C2BF6" w:rsidRPr="00B02BA3" w:rsidRDefault="008C2BF6" w:rsidP="008C2BF6">
            <w:pPr>
              <w:pStyle w:val="CellRowSpacer"/>
              <w:rPr>
                <w:sz w:val="18"/>
              </w:rPr>
            </w:pPr>
          </w:p>
        </w:tc>
        <w:tc>
          <w:tcPr>
            <w:tcW w:w="1132" w:type="dxa"/>
          </w:tcPr>
          <w:p w14:paraId="590B892E" w14:textId="77777777" w:rsidR="008C2BF6" w:rsidRPr="00B02BA3" w:rsidRDefault="008C2BF6" w:rsidP="008C2BF6">
            <w:pPr>
              <w:pStyle w:val="SmCellBody"/>
              <w:jc w:val="right"/>
            </w:pPr>
            <w:r w:rsidRPr="00B02BA3">
              <w:t>16</w:t>
            </w:r>
            <w:r>
              <w:t>.7</w:t>
            </w:r>
          </w:p>
        </w:tc>
        <w:tc>
          <w:tcPr>
            <w:tcW w:w="282" w:type="dxa"/>
            <w:vAlign w:val="bottom"/>
          </w:tcPr>
          <w:p w14:paraId="2A9A9FF3" w14:textId="77777777" w:rsidR="008C2BF6" w:rsidRPr="00B02BA3" w:rsidRDefault="008C2BF6" w:rsidP="008C2BF6">
            <w:pPr>
              <w:pStyle w:val="CellRowSpacer"/>
              <w:rPr>
                <w:sz w:val="18"/>
              </w:rPr>
            </w:pPr>
          </w:p>
        </w:tc>
        <w:tc>
          <w:tcPr>
            <w:tcW w:w="1152" w:type="dxa"/>
          </w:tcPr>
          <w:p w14:paraId="08F6F8E2" w14:textId="77777777" w:rsidR="008C2BF6" w:rsidRPr="00B02BA3" w:rsidRDefault="00E15223" w:rsidP="008C2BF6">
            <w:pPr>
              <w:pStyle w:val="SmCellBody"/>
              <w:jc w:val="right"/>
            </w:pPr>
            <w:r>
              <w:t>18.1</w:t>
            </w:r>
          </w:p>
        </w:tc>
        <w:tc>
          <w:tcPr>
            <w:tcW w:w="236" w:type="dxa"/>
            <w:vAlign w:val="bottom"/>
          </w:tcPr>
          <w:p w14:paraId="05B6B425" w14:textId="77777777" w:rsidR="008C2BF6" w:rsidRPr="00B02BA3" w:rsidRDefault="008C2BF6" w:rsidP="008C2BF6">
            <w:pPr>
              <w:pStyle w:val="CellRowSpacer"/>
              <w:rPr>
                <w:sz w:val="18"/>
              </w:rPr>
            </w:pPr>
          </w:p>
        </w:tc>
      </w:tr>
      <w:tr w:rsidR="008C2BF6" w:rsidRPr="00B02BA3" w14:paraId="5CCD071A" w14:textId="77777777" w:rsidTr="008C2BF6">
        <w:tc>
          <w:tcPr>
            <w:tcW w:w="3156" w:type="dxa"/>
            <w:vAlign w:val="bottom"/>
          </w:tcPr>
          <w:p w14:paraId="53A648A9"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التغييرات التراكمية بالقيمة العادلة</w:t>
            </w:r>
            <w:r w:rsidRPr="003D0326">
              <w:rPr>
                <w:sz w:val="14"/>
                <w:szCs w:val="16"/>
              </w:rPr>
              <w:tab/>
            </w:r>
          </w:p>
        </w:tc>
        <w:tc>
          <w:tcPr>
            <w:tcW w:w="282" w:type="dxa"/>
            <w:vAlign w:val="bottom"/>
          </w:tcPr>
          <w:p w14:paraId="2D3E5815" w14:textId="77777777" w:rsidR="008C2BF6" w:rsidRPr="00B02BA3" w:rsidRDefault="008C2BF6" w:rsidP="008C2BF6">
            <w:pPr>
              <w:pStyle w:val="CellRowSpacer"/>
              <w:rPr>
                <w:sz w:val="18"/>
              </w:rPr>
            </w:pPr>
          </w:p>
        </w:tc>
        <w:tc>
          <w:tcPr>
            <w:tcW w:w="1132" w:type="dxa"/>
            <w:vAlign w:val="bottom"/>
          </w:tcPr>
          <w:p w14:paraId="4BC5EB8E" w14:textId="77777777" w:rsidR="008C2BF6" w:rsidRPr="00B02BA3" w:rsidRDefault="008C2BF6" w:rsidP="008C2BF6">
            <w:pPr>
              <w:pStyle w:val="SmCellBody"/>
              <w:jc w:val="right"/>
            </w:pPr>
            <w:r w:rsidRPr="00B02BA3">
              <w:t>(4</w:t>
            </w:r>
            <w:r>
              <w:t>.1</w:t>
            </w:r>
          </w:p>
        </w:tc>
        <w:tc>
          <w:tcPr>
            <w:tcW w:w="282" w:type="dxa"/>
            <w:vAlign w:val="bottom"/>
          </w:tcPr>
          <w:p w14:paraId="02EA7CD5" w14:textId="77777777" w:rsidR="008C2BF6" w:rsidRPr="00B02BA3" w:rsidRDefault="008C2BF6" w:rsidP="008C2BF6">
            <w:pPr>
              <w:pStyle w:val="CellRowSpacer"/>
              <w:rPr>
                <w:sz w:val="18"/>
              </w:rPr>
            </w:pPr>
            <w:r w:rsidRPr="00B02BA3">
              <w:rPr>
                <w:sz w:val="18"/>
              </w:rPr>
              <w:t>)</w:t>
            </w:r>
          </w:p>
        </w:tc>
        <w:tc>
          <w:tcPr>
            <w:tcW w:w="1132" w:type="dxa"/>
            <w:vAlign w:val="bottom"/>
          </w:tcPr>
          <w:p w14:paraId="78C3AD79" w14:textId="77777777" w:rsidR="008C2BF6" w:rsidRPr="00B02BA3" w:rsidRDefault="008C2BF6" w:rsidP="008C2BF6">
            <w:pPr>
              <w:pStyle w:val="SmCellBody"/>
              <w:jc w:val="right"/>
            </w:pPr>
            <w:r w:rsidRPr="00B02BA3">
              <w:t>10</w:t>
            </w:r>
            <w:r>
              <w:t>.3</w:t>
            </w:r>
          </w:p>
        </w:tc>
        <w:tc>
          <w:tcPr>
            <w:tcW w:w="282" w:type="dxa"/>
            <w:vAlign w:val="bottom"/>
          </w:tcPr>
          <w:p w14:paraId="05E300B6" w14:textId="77777777" w:rsidR="008C2BF6" w:rsidRPr="00B02BA3" w:rsidRDefault="008C2BF6" w:rsidP="008C2BF6">
            <w:pPr>
              <w:pStyle w:val="CellRowSpacer"/>
              <w:rPr>
                <w:sz w:val="18"/>
              </w:rPr>
            </w:pPr>
          </w:p>
        </w:tc>
        <w:tc>
          <w:tcPr>
            <w:tcW w:w="1132" w:type="dxa"/>
          </w:tcPr>
          <w:p w14:paraId="709EF2FF" w14:textId="77777777" w:rsidR="008C2BF6" w:rsidRPr="00B02BA3" w:rsidRDefault="008C2BF6" w:rsidP="008C2BF6">
            <w:pPr>
              <w:pStyle w:val="SmCellBody"/>
              <w:jc w:val="right"/>
            </w:pPr>
            <w:r w:rsidRPr="00B02BA3">
              <w:t>3</w:t>
            </w:r>
            <w:r>
              <w:t>.2</w:t>
            </w:r>
          </w:p>
        </w:tc>
        <w:tc>
          <w:tcPr>
            <w:tcW w:w="282" w:type="dxa"/>
            <w:vAlign w:val="bottom"/>
          </w:tcPr>
          <w:p w14:paraId="1CDD1946" w14:textId="77777777" w:rsidR="008C2BF6" w:rsidRPr="00B02BA3" w:rsidRDefault="008C2BF6" w:rsidP="008C2BF6">
            <w:pPr>
              <w:pStyle w:val="CellRowSpacer"/>
              <w:rPr>
                <w:sz w:val="18"/>
              </w:rPr>
            </w:pPr>
          </w:p>
        </w:tc>
        <w:tc>
          <w:tcPr>
            <w:tcW w:w="1152" w:type="dxa"/>
          </w:tcPr>
          <w:p w14:paraId="691F56FD" w14:textId="77777777" w:rsidR="008C2BF6" w:rsidRPr="00B02BA3" w:rsidRDefault="008C2BF6" w:rsidP="008C2BF6">
            <w:pPr>
              <w:pStyle w:val="SmCellBody"/>
              <w:jc w:val="right"/>
            </w:pPr>
            <w:r>
              <w:t>1.5</w:t>
            </w:r>
          </w:p>
        </w:tc>
        <w:tc>
          <w:tcPr>
            <w:tcW w:w="236" w:type="dxa"/>
            <w:vAlign w:val="bottom"/>
          </w:tcPr>
          <w:p w14:paraId="72590977" w14:textId="77777777" w:rsidR="008C2BF6" w:rsidRPr="00B02BA3" w:rsidRDefault="008C2BF6" w:rsidP="008C2BF6">
            <w:pPr>
              <w:pStyle w:val="CellRowSpacer"/>
              <w:rPr>
                <w:sz w:val="18"/>
              </w:rPr>
            </w:pPr>
          </w:p>
        </w:tc>
      </w:tr>
      <w:tr w:rsidR="008C2BF6" w:rsidRPr="00B02BA3" w14:paraId="71AD5800" w14:textId="77777777" w:rsidTr="008C2BF6">
        <w:tc>
          <w:tcPr>
            <w:tcW w:w="3156" w:type="dxa"/>
            <w:vAlign w:val="bottom"/>
          </w:tcPr>
          <w:p w14:paraId="40964770"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أرباح محتجزة</w:t>
            </w:r>
            <w:r w:rsidRPr="003D0326">
              <w:rPr>
                <w:sz w:val="14"/>
                <w:szCs w:val="16"/>
              </w:rPr>
              <w:tab/>
            </w:r>
          </w:p>
        </w:tc>
        <w:tc>
          <w:tcPr>
            <w:tcW w:w="282" w:type="dxa"/>
            <w:vAlign w:val="bottom"/>
          </w:tcPr>
          <w:p w14:paraId="603F691B" w14:textId="77777777" w:rsidR="008C2BF6" w:rsidRPr="00B02BA3" w:rsidRDefault="008C2BF6" w:rsidP="008C2BF6">
            <w:pPr>
              <w:pStyle w:val="CellRowSpacer"/>
              <w:rPr>
                <w:sz w:val="18"/>
              </w:rPr>
            </w:pPr>
          </w:p>
        </w:tc>
        <w:tc>
          <w:tcPr>
            <w:tcW w:w="1132" w:type="dxa"/>
            <w:tcBorders>
              <w:bottom w:val="single" w:sz="4" w:space="0" w:color="auto"/>
            </w:tcBorders>
            <w:vAlign w:val="bottom"/>
          </w:tcPr>
          <w:p w14:paraId="7BB00D57" w14:textId="77777777" w:rsidR="008C2BF6" w:rsidRPr="00B02BA3" w:rsidRDefault="008C2BF6" w:rsidP="008C2BF6">
            <w:pPr>
              <w:pStyle w:val="SmCellBody"/>
              <w:jc w:val="right"/>
            </w:pPr>
            <w:r w:rsidRPr="00B02BA3">
              <w:t>247</w:t>
            </w:r>
            <w:r>
              <w:t>.7</w:t>
            </w:r>
          </w:p>
        </w:tc>
        <w:tc>
          <w:tcPr>
            <w:tcW w:w="282" w:type="dxa"/>
            <w:vAlign w:val="bottom"/>
          </w:tcPr>
          <w:p w14:paraId="2BFCCF53" w14:textId="77777777" w:rsidR="008C2BF6" w:rsidRPr="00B02BA3" w:rsidRDefault="008C2BF6" w:rsidP="008C2BF6">
            <w:pPr>
              <w:pStyle w:val="CellRowSpacer"/>
              <w:rPr>
                <w:sz w:val="18"/>
              </w:rPr>
            </w:pPr>
          </w:p>
        </w:tc>
        <w:tc>
          <w:tcPr>
            <w:tcW w:w="1132" w:type="dxa"/>
            <w:tcBorders>
              <w:bottom w:val="single" w:sz="4" w:space="0" w:color="auto"/>
            </w:tcBorders>
            <w:vAlign w:val="bottom"/>
          </w:tcPr>
          <w:p w14:paraId="1CAA5B6D" w14:textId="77777777" w:rsidR="008C2BF6" w:rsidRPr="00B02BA3" w:rsidRDefault="008C2BF6" w:rsidP="008C2BF6">
            <w:pPr>
              <w:pStyle w:val="SmCellBody"/>
              <w:jc w:val="right"/>
            </w:pPr>
            <w:r w:rsidRPr="00B02BA3">
              <w:t>283</w:t>
            </w:r>
            <w:r>
              <w:t>.8</w:t>
            </w:r>
          </w:p>
        </w:tc>
        <w:tc>
          <w:tcPr>
            <w:tcW w:w="282" w:type="dxa"/>
            <w:vAlign w:val="bottom"/>
          </w:tcPr>
          <w:p w14:paraId="4E8227E2" w14:textId="77777777" w:rsidR="008C2BF6" w:rsidRPr="00B02BA3" w:rsidRDefault="008C2BF6" w:rsidP="008C2BF6">
            <w:pPr>
              <w:pStyle w:val="CellRowSpacer"/>
              <w:rPr>
                <w:sz w:val="18"/>
              </w:rPr>
            </w:pPr>
          </w:p>
        </w:tc>
        <w:tc>
          <w:tcPr>
            <w:tcW w:w="1132" w:type="dxa"/>
            <w:tcBorders>
              <w:bottom w:val="single" w:sz="4" w:space="0" w:color="auto"/>
            </w:tcBorders>
          </w:tcPr>
          <w:p w14:paraId="7240E749" w14:textId="77777777" w:rsidR="008C2BF6" w:rsidRPr="00B02BA3" w:rsidRDefault="008C2BF6" w:rsidP="008C2BF6">
            <w:pPr>
              <w:pStyle w:val="SmCellBody"/>
              <w:jc w:val="right"/>
            </w:pPr>
            <w:r w:rsidRPr="00B02BA3">
              <w:t>275</w:t>
            </w:r>
            <w:r>
              <w:t>.8</w:t>
            </w:r>
          </w:p>
        </w:tc>
        <w:tc>
          <w:tcPr>
            <w:tcW w:w="282" w:type="dxa"/>
            <w:vAlign w:val="bottom"/>
          </w:tcPr>
          <w:p w14:paraId="3EF5C1B9" w14:textId="77777777" w:rsidR="008C2BF6" w:rsidRPr="00B02BA3" w:rsidRDefault="008C2BF6" w:rsidP="008C2BF6">
            <w:pPr>
              <w:pStyle w:val="CellRowSpacer"/>
              <w:rPr>
                <w:sz w:val="18"/>
              </w:rPr>
            </w:pPr>
          </w:p>
        </w:tc>
        <w:tc>
          <w:tcPr>
            <w:tcW w:w="1152" w:type="dxa"/>
            <w:tcBorders>
              <w:bottom w:val="single" w:sz="4" w:space="0" w:color="auto"/>
            </w:tcBorders>
          </w:tcPr>
          <w:p w14:paraId="7515A6C1" w14:textId="77777777" w:rsidR="008C2BF6" w:rsidRPr="00B02BA3" w:rsidRDefault="00313A62" w:rsidP="008C2BF6">
            <w:pPr>
              <w:pStyle w:val="SmCellBody"/>
              <w:jc w:val="right"/>
            </w:pPr>
            <w:r>
              <w:t>296.9</w:t>
            </w:r>
          </w:p>
        </w:tc>
        <w:tc>
          <w:tcPr>
            <w:tcW w:w="236" w:type="dxa"/>
            <w:vAlign w:val="bottom"/>
          </w:tcPr>
          <w:p w14:paraId="5AAB1E11" w14:textId="77777777" w:rsidR="008C2BF6" w:rsidRPr="00B02BA3" w:rsidRDefault="008C2BF6" w:rsidP="008C2BF6">
            <w:pPr>
              <w:pStyle w:val="CellRowSpacer"/>
              <w:rPr>
                <w:sz w:val="18"/>
              </w:rPr>
            </w:pPr>
          </w:p>
        </w:tc>
      </w:tr>
      <w:tr w:rsidR="008C2BF6" w:rsidRPr="00B02BA3" w14:paraId="3A6547A5" w14:textId="77777777" w:rsidTr="008C2BF6">
        <w:tc>
          <w:tcPr>
            <w:tcW w:w="3156" w:type="dxa"/>
            <w:vAlign w:val="bottom"/>
          </w:tcPr>
          <w:p w14:paraId="2215F26F" w14:textId="77777777" w:rsidR="008C2BF6" w:rsidRPr="003D0326" w:rsidRDefault="008C2BF6" w:rsidP="008C2BF6">
            <w:pPr>
              <w:pStyle w:val="SmCellBody"/>
              <w:tabs>
                <w:tab w:val="right" w:leader="dot" w:pos="3163"/>
              </w:tabs>
              <w:bidi/>
              <w:ind w:left="407"/>
              <w:rPr>
                <w:b/>
                <w:bCs/>
                <w:sz w:val="14"/>
                <w:szCs w:val="16"/>
              </w:rPr>
            </w:pPr>
            <w:r w:rsidRPr="003D0326">
              <w:rPr>
                <w:rFonts w:hint="cs"/>
                <w:b/>
                <w:bCs/>
                <w:sz w:val="14"/>
                <w:szCs w:val="16"/>
                <w:rtl/>
              </w:rPr>
              <w:t>ملكية ملاك الشركة</w:t>
            </w:r>
            <w:r w:rsidRPr="003D0326">
              <w:rPr>
                <w:sz w:val="14"/>
                <w:szCs w:val="16"/>
              </w:rPr>
              <w:tab/>
            </w:r>
          </w:p>
        </w:tc>
        <w:tc>
          <w:tcPr>
            <w:tcW w:w="282" w:type="dxa"/>
            <w:vAlign w:val="bottom"/>
          </w:tcPr>
          <w:p w14:paraId="3F025EAC"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58F6B7DC" w14:textId="77777777" w:rsidR="008C2BF6" w:rsidRPr="00B02BA3" w:rsidRDefault="008C2BF6" w:rsidP="008C2BF6">
            <w:pPr>
              <w:pStyle w:val="SmCellBody"/>
              <w:jc w:val="right"/>
            </w:pPr>
            <w:r w:rsidRPr="00B02BA3">
              <w:t>383</w:t>
            </w:r>
            <w:r>
              <w:t>.0</w:t>
            </w:r>
          </w:p>
        </w:tc>
        <w:tc>
          <w:tcPr>
            <w:tcW w:w="282" w:type="dxa"/>
            <w:vAlign w:val="bottom"/>
          </w:tcPr>
          <w:p w14:paraId="0BF868CA"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53D8B625" w14:textId="77777777" w:rsidR="008C2BF6" w:rsidRPr="00B02BA3" w:rsidRDefault="008C2BF6" w:rsidP="008C2BF6">
            <w:pPr>
              <w:pStyle w:val="SmCellBody"/>
              <w:jc w:val="right"/>
            </w:pPr>
            <w:r w:rsidRPr="00B02BA3">
              <w:t>436</w:t>
            </w:r>
            <w:r>
              <w:t>.1</w:t>
            </w:r>
          </w:p>
        </w:tc>
        <w:tc>
          <w:tcPr>
            <w:tcW w:w="282" w:type="dxa"/>
            <w:vAlign w:val="bottom"/>
          </w:tcPr>
          <w:p w14:paraId="3BD07C17"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48353F3E" w14:textId="77777777" w:rsidR="008C2BF6" w:rsidRPr="00B02BA3" w:rsidRDefault="008C2BF6" w:rsidP="008C2BF6">
            <w:pPr>
              <w:pStyle w:val="SmCellBody"/>
              <w:jc w:val="right"/>
            </w:pPr>
            <w:r w:rsidRPr="00B02BA3">
              <w:t>425</w:t>
            </w:r>
            <w:r>
              <w:t>.9</w:t>
            </w:r>
          </w:p>
        </w:tc>
        <w:tc>
          <w:tcPr>
            <w:tcW w:w="282" w:type="dxa"/>
            <w:vAlign w:val="bottom"/>
          </w:tcPr>
          <w:p w14:paraId="3DC812E7" w14:textId="77777777" w:rsidR="008C2BF6" w:rsidRPr="00B02BA3" w:rsidRDefault="008C2BF6" w:rsidP="008C2BF6">
            <w:pPr>
              <w:pStyle w:val="CellRowSpacer"/>
              <w:rPr>
                <w:sz w:val="18"/>
              </w:rPr>
            </w:pPr>
          </w:p>
        </w:tc>
        <w:tc>
          <w:tcPr>
            <w:tcW w:w="1152" w:type="dxa"/>
            <w:tcBorders>
              <w:top w:val="single" w:sz="4" w:space="0" w:color="auto"/>
            </w:tcBorders>
            <w:vAlign w:val="bottom"/>
          </w:tcPr>
          <w:p w14:paraId="3F89F88B" w14:textId="77777777" w:rsidR="008C2BF6" w:rsidRPr="00B02BA3" w:rsidRDefault="008C2BF6" w:rsidP="008C2BF6">
            <w:pPr>
              <w:pStyle w:val="SmCellBody"/>
              <w:jc w:val="right"/>
            </w:pPr>
            <w:r>
              <w:t>446.7</w:t>
            </w:r>
          </w:p>
        </w:tc>
        <w:tc>
          <w:tcPr>
            <w:tcW w:w="236" w:type="dxa"/>
            <w:vAlign w:val="bottom"/>
          </w:tcPr>
          <w:p w14:paraId="2B10B10F" w14:textId="77777777" w:rsidR="008C2BF6" w:rsidRPr="00B02BA3" w:rsidRDefault="008C2BF6" w:rsidP="008C2BF6">
            <w:pPr>
              <w:pStyle w:val="CellRowSpacer"/>
              <w:rPr>
                <w:sz w:val="18"/>
              </w:rPr>
            </w:pPr>
          </w:p>
        </w:tc>
      </w:tr>
      <w:tr w:rsidR="008C2BF6" w:rsidRPr="00B02BA3" w14:paraId="613EC794" w14:textId="77777777" w:rsidTr="008C2BF6">
        <w:tc>
          <w:tcPr>
            <w:tcW w:w="3156" w:type="dxa"/>
            <w:vAlign w:val="bottom"/>
          </w:tcPr>
          <w:p w14:paraId="5A7A4B73" w14:textId="77777777" w:rsidR="008C2BF6" w:rsidRPr="003D0326" w:rsidRDefault="008C2BF6" w:rsidP="008C2BF6">
            <w:pPr>
              <w:pStyle w:val="SmCellBody"/>
              <w:tabs>
                <w:tab w:val="right" w:leader="dot" w:pos="3163"/>
              </w:tabs>
              <w:bidi/>
              <w:ind w:left="407"/>
              <w:rPr>
                <w:sz w:val="14"/>
                <w:szCs w:val="16"/>
              </w:rPr>
            </w:pPr>
            <w:r w:rsidRPr="003D0326">
              <w:rPr>
                <w:rFonts w:hint="cs"/>
                <w:sz w:val="14"/>
                <w:szCs w:val="16"/>
                <w:rtl/>
              </w:rPr>
              <w:t>الحصص غير المسيطرة</w:t>
            </w:r>
            <w:r w:rsidRPr="003D0326">
              <w:rPr>
                <w:sz w:val="14"/>
                <w:szCs w:val="16"/>
              </w:rPr>
              <w:tab/>
            </w:r>
          </w:p>
        </w:tc>
        <w:tc>
          <w:tcPr>
            <w:tcW w:w="282" w:type="dxa"/>
            <w:vAlign w:val="bottom"/>
          </w:tcPr>
          <w:p w14:paraId="20AD51B2" w14:textId="77777777" w:rsidR="008C2BF6" w:rsidRPr="00B02BA3" w:rsidRDefault="008C2BF6" w:rsidP="008C2BF6">
            <w:pPr>
              <w:pStyle w:val="CellRowSpacer"/>
              <w:rPr>
                <w:sz w:val="18"/>
              </w:rPr>
            </w:pPr>
          </w:p>
        </w:tc>
        <w:tc>
          <w:tcPr>
            <w:tcW w:w="1132" w:type="dxa"/>
            <w:tcBorders>
              <w:bottom w:val="single" w:sz="4" w:space="0" w:color="auto"/>
            </w:tcBorders>
            <w:vAlign w:val="bottom"/>
          </w:tcPr>
          <w:p w14:paraId="3423E81D" w14:textId="77777777" w:rsidR="008C2BF6" w:rsidRPr="00B02BA3" w:rsidRDefault="008C2BF6" w:rsidP="008C2BF6">
            <w:pPr>
              <w:pStyle w:val="SmCellBody"/>
              <w:jc w:val="right"/>
            </w:pPr>
            <w:r w:rsidRPr="00B02BA3">
              <w:t>16</w:t>
            </w:r>
            <w:r>
              <w:t>.9</w:t>
            </w:r>
          </w:p>
        </w:tc>
        <w:tc>
          <w:tcPr>
            <w:tcW w:w="282" w:type="dxa"/>
            <w:vAlign w:val="bottom"/>
          </w:tcPr>
          <w:p w14:paraId="608C8131" w14:textId="77777777" w:rsidR="008C2BF6" w:rsidRPr="00B02BA3" w:rsidRDefault="008C2BF6" w:rsidP="008C2BF6">
            <w:pPr>
              <w:pStyle w:val="CellRowSpacer"/>
              <w:rPr>
                <w:sz w:val="18"/>
              </w:rPr>
            </w:pPr>
          </w:p>
        </w:tc>
        <w:tc>
          <w:tcPr>
            <w:tcW w:w="1132" w:type="dxa"/>
            <w:tcBorders>
              <w:bottom w:val="single" w:sz="4" w:space="0" w:color="auto"/>
            </w:tcBorders>
            <w:vAlign w:val="bottom"/>
          </w:tcPr>
          <w:p w14:paraId="09451AC8" w14:textId="77777777" w:rsidR="008C2BF6" w:rsidRPr="00B02BA3" w:rsidRDefault="008C2BF6" w:rsidP="008C2BF6">
            <w:pPr>
              <w:pStyle w:val="SmCellBody"/>
              <w:jc w:val="right"/>
            </w:pPr>
            <w:r w:rsidRPr="00B02BA3">
              <w:t>17</w:t>
            </w:r>
            <w:r>
              <w:t>.7</w:t>
            </w:r>
          </w:p>
        </w:tc>
        <w:tc>
          <w:tcPr>
            <w:tcW w:w="282" w:type="dxa"/>
            <w:vAlign w:val="bottom"/>
          </w:tcPr>
          <w:p w14:paraId="3B21264D" w14:textId="77777777" w:rsidR="008C2BF6" w:rsidRPr="00B02BA3" w:rsidRDefault="008C2BF6" w:rsidP="008C2BF6">
            <w:pPr>
              <w:pStyle w:val="CellRowSpacer"/>
              <w:rPr>
                <w:sz w:val="18"/>
              </w:rPr>
            </w:pPr>
          </w:p>
        </w:tc>
        <w:tc>
          <w:tcPr>
            <w:tcW w:w="1132" w:type="dxa"/>
            <w:tcBorders>
              <w:bottom w:val="single" w:sz="4" w:space="0" w:color="auto"/>
            </w:tcBorders>
          </w:tcPr>
          <w:p w14:paraId="01C721EE" w14:textId="77777777" w:rsidR="008C2BF6" w:rsidRPr="00B02BA3" w:rsidRDefault="008C2BF6" w:rsidP="008C2BF6">
            <w:pPr>
              <w:pStyle w:val="SmCellBody"/>
              <w:jc w:val="right"/>
            </w:pPr>
            <w:r w:rsidRPr="00B02BA3">
              <w:t>17</w:t>
            </w:r>
            <w:r>
              <w:t>.9</w:t>
            </w:r>
          </w:p>
        </w:tc>
        <w:tc>
          <w:tcPr>
            <w:tcW w:w="282" w:type="dxa"/>
            <w:vAlign w:val="bottom"/>
          </w:tcPr>
          <w:p w14:paraId="4F6D65A7" w14:textId="77777777" w:rsidR="008C2BF6" w:rsidRPr="00B02BA3" w:rsidRDefault="008C2BF6" w:rsidP="008C2BF6">
            <w:pPr>
              <w:pStyle w:val="CellRowSpacer"/>
              <w:rPr>
                <w:sz w:val="18"/>
              </w:rPr>
            </w:pPr>
          </w:p>
        </w:tc>
        <w:tc>
          <w:tcPr>
            <w:tcW w:w="1152" w:type="dxa"/>
            <w:tcBorders>
              <w:bottom w:val="single" w:sz="4" w:space="0" w:color="auto"/>
            </w:tcBorders>
          </w:tcPr>
          <w:p w14:paraId="32E1885F" w14:textId="77777777" w:rsidR="008C2BF6" w:rsidRPr="00B02BA3" w:rsidRDefault="008C2BF6" w:rsidP="008C2BF6">
            <w:pPr>
              <w:pStyle w:val="SmCellBody"/>
              <w:jc w:val="right"/>
            </w:pPr>
            <w:r>
              <w:t>19.3</w:t>
            </w:r>
          </w:p>
        </w:tc>
        <w:tc>
          <w:tcPr>
            <w:tcW w:w="236" w:type="dxa"/>
            <w:vAlign w:val="bottom"/>
          </w:tcPr>
          <w:p w14:paraId="113960AF" w14:textId="77777777" w:rsidR="008C2BF6" w:rsidRPr="00B02BA3" w:rsidRDefault="008C2BF6" w:rsidP="008C2BF6">
            <w:pPr>
              <w:pStyle w:val="CellRowSpacer"/>
              <w:rPr>
                <w:sz w:val="18"/>
              </w:rPr>
            </w:pPr>
          </w:p>
        </w:tc>
      </w:tr>
      <w:tr w:rsidR="008C2BF6" w:rsidRPr="00B02BA3" w14:paraId="0946FD96" w14:textId="77777777" w:rsidTr="008C2BF6">
        <w:tc>
          <w:tcPr>
            <w:tcW w:w="3156" w:type="dxa"/>
            <w:vAlign w:val="bottom"/>
          </w:tcPr>
          <w:p w14:paraId="407B66D6" w14:textId="77777777" w:rsidR="008C2BF6" w:rsidRPr="003D0326" w:rsidRDefault="008C2BF6" w:rsidP="008C2BF6">
            <w:pPr>
              <w:pStyle w:val="SmCellBody"/>
              <w:tabs>
                <w:tab w:val="right" w:leader="dot" w:pos="3163"/>
              </w:tabs>
              <w:bidi/>
              <w:ind w:left="407"/>
              <w:rPr>
                <w:b/>
                <w:bCs/>
                <w:sz w:val="14"/>
                <w:szCs w:val="16"/>
              </w:rPr>
            </w:pPr>
            <w:r w:rsidRPr="003D0326">
              <w:rPr>
                <w:rFonts w:hint="cs"/>
                <w:b/>
                <w:bCs/>
                <w:sz w:val="14"/>
                <w:szCs w:val="16"/>
                <w:rtl/>
              </w:rPr>
              <w:t>إجمالي الملكية</w:t>
            </w:r>
            <w:r w:rsidRPr="003D0326">
              <w:rPr>
                <w:sz w:val="14"/>
                <w:szCs w:val="16"/>
              </w:rPr>
              <w:tab/>
            </w:r>
          </w:p>
        </w:tc>
        <w:tc>
          <w:tcPr>
            <w:tcW w:w="282" w:type="dxa"/>
            <w:vAlign w:val="bottom"/>
          </w:tcPr>
          <w:p w14:paraId="5924F310"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798D860D" w14:textId="77777777" w:rsidR="008C2BF6" w:rsidRPr="00B02BA3" w:rsidRDefault="008C2BF6" w:rsidP="008C2BF6">
            <w:pPr>
              <w:pStyle w:val="SmCellBody"/>
              <w:jc w:val="right"/>
            </w:pPr>
            <w:r w:rsidRPr="00B02BA3">
              <w:t>399</w:t>
            </w:r>
            <w:r>
              <w:t>.9</w:t>
            </w:r>
          </w:p>
        </w:tc>
        <w:tc>
          <w:tcPr>
            <w:tcW w:w="282" w:type="dxa"/>
            <w:vAlign w:val="bottom"/>
          </w:tcPr>
          <w:p w14:paraId="455C8760"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09C24206" w14:textId="77777777" w:rsidR="008C2BF6" w:rsidRPr="00B02BA3" w:rsidRDefault="008C2BF6" w:rsidP="008C2BF6">
            <w:pPr>
              <w:pStyle w:val="SmCellBody"/>
              <w:jc w:val="right"/>
            </w:pPr>
            <w:r w:rsidRPr="00B02BA3">
              <w:t>453</w:t>
            </w:r>
            <w:r>
              <w:t>.7</w:t>
            </w:r>
          </w:p>
        </w:tc>
        <w:tc>
          <w:tcPr>
            <w:tcW w:w="282" w:type="dxa"/>
            <w:vAlign w:val="bottom"/>
          </w:tcPr>
          <w:p w14:paraId="7C6B92FA" w14:textId="77777777" w:rsidR="008C2BF6" w:rsidRPr="00B02BA3" w:rsidRDefault="008C2BF6" w:rsidP="008C2BF6">
            <w:pPr>
              <w:pStyle w:val="CellRowSpacer"/>
              <w:rPr>
                <w:sz w:val="18"/>
              </w:rPr>
            </w:pPr>
          </w:p>
        </w:tc>
        <w:tc>
          <w:tcPr>
            <w:tcW w:w="1132" w:type="dxa"/>
            <w:tcBorders>
              <w:top w:val="single" w:sz="4" w:space="0" w:color="auto"/>
            </w:tcBorders>
          </w:tcPr>
          <w:p w14:paraId="45F286DE" w14:textId="77777777" w:rsidR="008C2BF6" w:rsidRPr="00B02BA3" w:rsidRDefault="008C2BF6" w:rsidP="008C2BF6">
            <w:pPr>
              <w:pStyle w:val="SmCellBody"/>
              <w:jc w:val="right"/>
            </w:pPr>
            <w:r w:rsidRPr="00B02BA3">
              <w:t>443</w:t>
            </w:r>
            <w:r>
              <w:t>.8</w:t>
            </w:r>
          </w:p>
        </w:tc>
        <w:tc>
          <w:tcPr>
            <w:tcW w:w="282" w:type="dxa"/>
            <w:vAlign w:val="bottom"/>
          </w:tcPr>
          <w:p w14:paraId="042CCAD8" w14:textId="77777777" w:rsidR="008C2BF6" w:rsidRPr="00B02BA3" w:rsidRDefault="008C2BF6" w:rsidP="008C2BF6">
            <w:pPr>
              <w:pStyle w:val="CellRowSpacer"/>
              <w:rPr>
                <w:sz w:val="18"/>
              </w:rPr>
            </w:pPr>
          </w:p>
        </w:tc>
        <w:tc>
          <w:tcPr>
            <w:tcW w:w="1152" w:type="dxa"/>
            <w:tcBorders>
              <w:top w:val="single" w:sz="4" w:space="0" w:color="auto"/>
            </w:tcBorders>
          </w:tcPr>
          <w:p w14:paraId="456E6BED" w14:textId="77777777" w:rsidR="008C2BF6" w:rsidRPr="00B02BA3" w:rsidRDefault="008C2BF6" w:rsidP="008C2BF6">
            <w:pPr>
              <w:pStyle w:val="SmCellBody"/>
              <w:jc w:val="right"/>
            </w:pPr>
            <w:r>
              <w:t>466.1</w:t>
            </w:r>
          </w:p>
        </w:tc>
        <w:tc>
          <w:tcPr>
            <w:tcW w:w="236" w:type="dxa"/>
            <w:vAlign w:val="bottom"/>
          </w:tcPr>
          <w:p w14:paraId="382F4A6D" w14:textId="77777777" w:rsidR="008C2BF6" w:rsidRPr="00B02BA3" w:rsidRDefault="008C2BF6" w:rsidP="008C2BF6">
            <w:pPr>
              <w:pStyle w:val="CellRowSpacer"/>
              <w:rPr>
                <w:sz w:val="18"/>
              </w:rPr>
            </w:pPr>
          </w:p>
        </w:tc>
      </w:tr>
      <w:tr w:rsidR="008C2BF6" w:rsidRPr="00B02BA3" w14:paraId="27060F3F" w14:textId="77777777" w:rsidTr="008C2BF6">
        <w:tc>
          <w:tcPr>
            <w:tcW w:w="3156" w:type="dxa"/>
            <w:vAlign w:val="bottom"/>
          </w:tcPr>
          <w:p w14:paraId="037B09A2"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الخصوم</w:t>
            </w:r>
          </w:p>
        </w:tc>
        <w:tc>
          <w:tcPr>
            <w:tcW w:w="282" w:type="dxa"/>
            <w:vAlign w:val="bottom"/>
          </w:tcPr>
          <w:p w14:paraId="222D50CA" w14:textId="77777777" w:rsidR="008C2BF6" w:rsidRPr="00B02BA3" w:rsidRDefault="008C2BF6" w:rsidP="008C2BF6">
            <w:pPr>
              <w:pStyle w:val="CellRowSpacer"/>
              <w:rPr>
                <w:sz w:val="18"/>
              </w:rPr>
            </w:pPr>
          </w:p>
        </w:tc>
        <w:tc>
          <w:tcPr>
            <w:tcW w:w="1132" w:type="dxa"/>
            <w:vAlign w:val="bottom"/>
          </w:tcPr>
          <w:p w14:paraId="3F810D0E" w14:textId="77777777" w:rsidR="008C2BF6" w:rsidRPr="00B02BA3" w:rsidRDefault="008C2BF6" w:rsidP="008C2BF6">
            <w:pPr>
              <w:pStyle w:val="SmCellBody"/>
              <w:jc w:val="right"/>
            </w:pPr>
          </w:p>
        </w:tc>
        <w:tc>
          <w:tcPr>
            <w:tcW w:w="282" w:type="dxa"/>
            <w:vAlign w:val="bottom"/>
          </w:tcPr>
          <w:p w14:paraId="54DEAA5A" w14:textId="77777777" w:rsidR="008C2BF6" w:rsidRPr="00B02BA3" w:rsidRDefault="008C2BF6" w:rsidP="008C2BF6">
            <w:pPr>
              <w:pStyle w:val="CellRowSpacer"/>
              <w:rPr>
                <w:sz w:val="18"/>
              </w:rPr>
            </w:pPr>
          </w:p>
        </w:tc>
        <w:tc>
          <w:tcPr>
            <w:tcW w:w="1132" w:type="dxa"/>
            <w:vAlign w:val="bottom"/>
          </w:tcPr>
          <w:p w14:paraId="7D3A177B" w14:textId="77777777" w:rsidR="008C2BF6" w:rsidRPr="00B02BA3" w:rsidRDefault="008C2BF6" w:rsidP="008C2BF6">
            <w:pPr>
              <w:pStyle w:val="SmCellBody"/>
              <w:jc w:val="right"/>
            </w:pPr>
          </w:p>
        </w:tc>
        <w:tc>
          <w:tcPr>
            <w:tcW w:w="282" w:type="dxa"/>
            <w:vAlign w:val="bottom"/>
          </w:tcPr>
          <w:p w14:paraId="38A3D341" w14:textId="77777777" w:rsidR="008C2BF6" w:rsidRPr="00B02BA3" w:rsidRDefault="008C2BF6" w:rsidP="008C2BF6">
            <w:pPr>
              <w:pStyle w:val="CellRowSpacer"/>
              <w:rPr>
                <w:sz w:val="18"/>
              </w:rPr>
            </w:pPr>
          </w:p>
        </w:tc>
        <w:tc>
          <w:tcPr>
            <w:tcW w:w="1132" w:type="dxa"/>
          </w:tcPr>
          <w:p w14:paraId="7FEC2AF8" w14:textId="77777777" w:rsidR="008C2BF6" w:rsidRPr="00B02BA3" w:rsidRDefault="008C2BF6" w:rsidP="008C2BF6">
            <w:pPr>
              <w:pStyle w:val="SmCellBody"/>
              <w:jc w:val="right"/>
            </w:pPr>
          </w:p>
        </w:tc>
        <w:tc>
          <w:tcPr>
            <w:tcW w:w="282" w:type="dxa"/>
            <w:vAlign w:val="bottom"/>
          </w:tcPr>
          <w:p w14:paraId="22395B70" w14:textId="77777777" w:rsidR="008C2BF6" w:rsidRPr="00B02BA3" w:rsidRDefault="008C2BF6" w:rsidP="008C2BF6">
            <w:pPr>
              <w:pStyle w:val="CellRowSpacer"/>
              <w:rPr>
                <w:sz w:val="18"/>
              </w:rPr>
            </w:pPr>
          </w:p>
        </w:tc>
        <w:tc>
          <w:tcPr>
            <w:tcW w:w="1152" w:type="dxa"/>
          </w:tcPr>
          <w:p w14:paraId="0D75AE88" w14:textId="77777777" w:rsidR="008C2BF6" w:rsidRPr="00B02BA3" w:rsidRDefault="008C2BF6" w:rsidP="008C2BF6">
            <w:pPr>
              <w:pStyle w:val="SmCellBody"/>
              <w:jc w:val="right"/>
            </w:pPr>
          </w:p>
        </w:tc>
        <w:tc>
          <w:tcPr>
            <w:tcW w:w="236" w:type="dxa"/>
            <w:vAlign w:val="bottom"/>
          </w:tcPr>
          <w:p w14:paraId="76B55EE3" w14:textId="77777777" w:rsidR="008C2BF6" w:rsidRPr="00B02BA3" w:rsidRDefault="008C2BF6" w:rsidP="008C2BF6">
            <w:pPr>
              <w:pStyle w:val="CellRowSpacer"/>
              <w:rPr>
                <w:sz w:val="18"/>
              </w:rPr>
            </w:pPr>
          </w:p>
        </w:tc>
      </w:tr>
      <w:tr w:rsidR="008C2BF6" w:rsidRPr="00B02BA3" w14:paraId="653295F3" w14:textId="77777777" w:rsidTr="008C2BF6">
        <w:tc>
          <w:tcPr>
            <w:tcW w:w="3156" w:type="dxa"/>
            <w:vAlign w:val="bottom"/>
          </w:tcPr>
          <w:p w14:paraId="2E83A334"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الخصوم غير المتداولة</w:t>
            </w:r>
          </w:p>
        </w:tc>
        <w:tc>
          <w:tcPr>
            <w:tcW w:w="282" w:type="dxa"/>
            <w:vAlign w:val="bottom"/>
          </w:tcPr>
          <w:p w14:paraId="0B18C807" w14:textId="77777777" w:rsidR="008C2BF6" w:rsidRPr="00B02BA3" w:rsidRDefault="008C2BF6" w:rsidP="008C2BF6">
            <w:pPr>
              <w:pStyle w:val="CellRowSpacer"/>
              <w:rPr>
                <w:b/>
                <w:bCs/>
                <w:sz w:val="18"/>
              </w:rPr>
            </w:pPr>
          </w:p>
        </w:tc>
        <w:tc>
          <w:tcPr>
            <w:tcW w:w="1132" w:type="dxa"/>
            <w:vAlign w:val="bottom"/>
          </w:tcPr>
          <w:p w14:paraId="50BE689E" w14:textId="77777777" w:rsidR="008C2BF6" w:rsidRPr="00B02BA3" w:rsidRDefault="008C2BF6" w:rsidP="008C2BF6">
            <w:pPr>
              <w:pStyle w:val="SmCellBody"/>
              <w:jc w:val="right"/>
              <w:rPr>
                <w:b/>
                <w:bCs/>
              </w:rPr>
            </w:pPr>
          </w:p>
        </w:tc>
        <w:tc>
          <w:tcPr>
            <w:tcW w:w="282" w:type="dxa"/>
            <w:vAlign w:val="bottom"/>
          </w:tcPr>
          <w:p w14:paraId="33C05874" w14:textId="77777777" w:rsidR="008C2BF6" w:rsidRPr="00B02BA3" w:rsidRDefault="008C2BF6" w:rsidP="008C2BF6">
            <w:pPr>
              <w:pStyle w:val="CellRowSpacer"/>
              <w:rPr>
                <w:b/>
                <w:bCs/>
                <w:sz w:val="18"/>
              </w:rPr>
            </w:pPr>
          </w:p>
        </w:tc>
        <w:tc>
          <w:tcPr>
            <w:tcW w:w="1132" w:type="dxa"/>
            <w:vAlign w:val="bottom"/>
          </w:tcPr>
          <w:p w14:paraId="750E38EC" w14:textId="77777777" w:rsidR="008C2BF6" w:rsidRPr="00B02BA3" w:rsidRDefault="008C2BF6" w:rsidP="008C2BF6">
            <w:pPr>
              <w:pStyle w:val="SmCellBody"/>
              <w:jc w:val="right"/>
              <w:rPr>
                <w:b/>
                <w:bCs/>
              </w:rPr>
            </w:pPr>
          </w:p>
        </w:tc>
        <w:tc>
          <w:tcPr>
            <w:tcW w:w="282" w:type="dxa"/>
            <w:vAlign w:val="bottom"/>
          </w:tcPr>
          <w:p w14:paraId="3DAAAD52" w14:textId="77777777" w:rsidR="008C2BF6" w:rsidRPr="00B02BA3" w:rsidRDefault="008C2BF6" w:rsidP="008C2BF6">
            <w:pPr>
              <w:pStyle w:val="CellRowSpacer"/>
              <w:rPr>
                <w:b/>
                <w:bCs/>
                <w:sz w:val="18"/>
              </w:rPr>
            </w:pPr>
          </w:p>
        </w:tc>
        <w:tc>
          <w:tcPr>
            <w:tcW w:w="1132" w:type="dxa"/>
          </w:tcPr>
          <w:p w14:paraId="57C7F8BB" w14:textId="77777777" w:rsidR="008C2BF6" w:rsidRPr="00B02BA3" w:rsidRDefault="008C2BF6" w:rsidP="008C2BF6">
            <w:pPr>
              <w:pStyle w:val="SmCellBody"/>
              <w:jc w:val="right"/>
              <w:rPr>
                <w:b/>
                <w:bCs/>
              </w:rPr>
            </w:pPr>
          </w:p>
        </w:tc>
        <w:tc>
          <w:tcPr>
            <w:tcW w:w="282" w:type="dxa"/>
            <w:vAlign w:val="bottom"/>
          </w:tcPr>
          <w:p w14:paraId="2D9E04E3" w14:textId="77777777" w:rsidR="008C2BF6" w:rsidRPr="00B02BA3" w:rsidRDefault="008C2BF6" w:rsidP="008C2BF6">
            <w:pPr>
              <w:pStyle w:val="CellRowSpacer"/>
              <w:rPr>
                <w:b/>
                <w:bCs/>
                <w:sz w:val="18"/>
              </w:rPr>
            </w:pPr>
          </w:p>
        </w:tc>
        <w:tc>
          <w:tcPr>
            <w:tcW w:w="1152" w:type="dxa"/>
          </w:tcPr>
          <w:p w14:paraId="222E41F9" w14:textId="77777777" w:rsidR="008C2BF6" w:rsidRPr="00B02BA3" w:rsidRDefault="008C2BF6" w:rsidP="008C2BF6">
            <w:pPr>
              <w:pStyle w:val="SmCellBody"/>
              <w:jc w:val="right"/>
              <w:rPr>
                <w:b/>
                <w:bCs/>
              </w:rPr>
            </w:pPr>
          </w:p>
        </w:tc>
        <w:tc>
          <w:tcPr>
            <w:tcW w:w="236" w:type="dxa"/>
            <w:vAlign w:val="bottom"/>
          </w:tcPr>
          <w:p w14:paraId="63A5A833" w14:textId="77777777" w:rsidR="008C2BF6" w:rsidRPr="00B02BA3" w:rsidRDefault="008C2BF6" w:rsidP="008C2BF6">
            <w:pPr>
              <w:pStyle w:val="CellRowSpacer"/>
              <w:rPr>
                <w:b/>
                <w:bCs/>
                <w:sz w:val="18"/>
              </w:rPr>
            </w:pPr>
          </w:p>
        </w:tc>
      </w:tr>
      <w:tr w:rsidR="008C2BF6" w:rsidRPr="00B02BA3" w14:paraId="7B03D4D1" w14:textId="77777777" w:rsidTr="008C2BF6">
        <w:tc>
          <w:tcPr>
            <w:tcW w:w="3156" w:type="dxa"/>
            <w:vAlign w:val="bottom"/>
          </w:tcPr>
          <w:p w14:paraId="60AF7AEB"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القروض والاقتراض</w:t>
            </w:r>
            <w:r w:rsidRPr="003D0326">
              <w:rPr>
                <w:sz w:val="14"/>
                <w:szCs w:val="16"/>
              </w:rPr>
              <w:tab/>
            </w:r>
          </w:p>
        </w:tc>
        <w:tc>
          <w:tcPr>
            <w:tcW w:w="282" w:type="dxa"/>
            <w:vAlign w:val="bottom"/>
          </w:tcPr>
          <w:p w14:paraId="470B7BF0" w14:textId="77777777" w:rsidR="008C2BF6" w:rsidRPr="00B02BA3" w:rsidRDefault="008C2BF6" w:rsidP="008C2BF6">
            <w:pPr>
              <w:pStyle w:val="CellRowSpacer"/>
              <w:rPr>
                <w:sz w:val="18"/>
              </w:rPr>
            </w:pPr>
          </w:p>
        </w:tc>
        <w:tc>
          <w:tcPr>
            <w:tcW w:w="1132" w:type="dxa"/>
            <w:vAlign w:val="bottom"/>
          </w:tcPr>
          <w:p w14:paraId="1E9E759D" w14:textId="77777777" w:rsidR="008C2BF6" w:rsidRPr="00B02BA3" w:rsidRDefault="008C2BF6" w:rsidP="008C2BF6">
            <w:pPr>
              <w:pStyle w:val="SmCellBody"/>
              <w:jc w:val="right"/>
            </w:pPr>
            <w:r w:rsidRPr="00B02BA3">
              <w:t>553</w:t>
            </w:r>
            <w:r>
              <w:t>.8</w:t>
            </w:r>
          </w:p>
        </w:tc>
        <w:tc>
          <w:tcPr>
            <w:tcW w:w="282" w:type="dxa"/>
            <w:vAlign w:val="bottom"/>
          </w:tcPr>
          <w:p w14:paraId="4012D031" w14:textId="77777777" w:rsidR="008C2BF6" w:rsidRPr="00B02BA3" w:rsidRDefault="008C2BF6" w:rsidP="008C2BF6">
            <w:pPr>
              <w:pStyle w:val="CellRowSpacer"/>
              <w:rPr>
                <w:sz w:val="18"/>
              </w:rPr>
            </w:pPr>
          </w:p>
        </w:tc>
        <w:tc>
          <w:tcPr>
            <w:tcW w:w="1132" w:type="dxa"/>
            <w:vAlign w:val="bottom"/>
          </w:tcPr>
          <w:p w14:paraId="2CC9BE92" w14:textId="77777777" w:rsidR="008C2BF6" w:rsidRPr="00B02BA3" w:rsidRDefault="008C2BF6" w:rsidP="008C2BF6">
            <w:pPr>
              <w:pStyle w:val="SmCellBody"/>
              <w:jc w:val="right"/>
            </w:pPr>
            <w:r w:rsidRPr="00B02BA3">
              <w:t>502</w:t>
            </w:r>
            <w:r>
              <w:t>.1</w:t>
            </w:r>
          </w:p>
        </w:tc>
        <w:tc>
          <w:tcPr>
            <w:tcW w:w="282" w:type="dxa"/>
            <w:vAlign w:val="bottom"/>
          </w:tcPr>
          <w:p w14:paraId="52A0A78D" w14:textId="77777777" w:rsidR="008C2BF6" w:rsidRPr="00B02BA3" w:rsidRDefault="008C2BF6" w:rsidP="008C2BF6">
            <w:pPr>
              <w:pStyle w:val="CellRowSpacer"/>
              <w:rPr>
                <w:sz w:val="18"/>
              </w:rPr>
            </w:pPr>
          </w:p>
        </w:tc>
        <w:tc>
          <w:tcPr>
            <w:tcW w:w="1132" w:type="dxa"/>
          </w:tcPr>
          <w:p w14:paraId="7848B51F" w14:textId="77777777" w:rsidR="008C2BF6" w:rsidRPr="00B02BA3" w:rsidRDefault="008C2BF6" w:rsidP="008C2BF6">
            <w:pPr>
              <w:pStyle w:val="SmCellBody"/>
              <w:jc w:val="right"/>
            </w:pPr>
            <w:r w:rsidRPr="00B02BA3">
              <w:t>435</w:t>
            </w:r>
            <w:r>
              <w:t>.9</w:t>
            </w:r>
          </w:p>
        </w:tc>
        <w:tc>
          <w:tcPr>
            <w:tcW w:w="282" w:type="dxa"/>
            <w:vAlign w:val="bottom"/>
          </w:tcPr>
          <w:p w14:paraId="18594B7E" w14:textId="77777777" w:rsidR="008C2BF6" w:rsidRPr="00B02BA3" w:rsidRDefault="008C2BF6" w:rsidP="008C2BF6">
            <w:pPr>
              <w:pStyle w:val="CellRowSpacer"/>
              <w:rPr>
                <w:sz w:val="18"/>
              </w:rPr>
            </w:pPr>
          </w:p>
        </w:tc>
        <w:tc>
          <w:tcPr>
            <w:tcW w:w="1152" w:type="dxa"/>
          </w:tcPr>
          <w:p w14:paraId="34B1E389" w14:textId="77777777" w:rsidR="008C2BF6" w:rsidRPr="00B02BA3" w:rsidRDefault="008C2BF6" w:rsidP="008C2BF6">
            <w:pPr>
              <w:pStyle w:val="SmCellBody"/>
              <w:jc w:val="right"/>
            </w:pPr>
            <w:r>
              <w:t>412.3</w:t>
            </w:r>
          </w:p>
        </w:tc>
        <w:tc>
          <w:tcPr>
            <w:tcW w:w="236" w:type="dxa"/>
            <w:vAlign w:val="bottom"/>
          </w:tcPr>
          <w:p w14:paraId="2772D28B" w14:textId="77777777" w:rsidR="008C2BF6" w:rsidRPr="00B02BA3" w:rsidRDefault="008C2BF6" w:rsidP="008C2BF6">
            <w:pPr>
              <w:pStyle w:val="CellRowSpacer"/>
              <w:rPr>
                <w:sz w:val="18"/>
              </w:rPr>
            </w:pPr>
          </w:p>
        </w:tc>
      </w:tr>
      <w:tr w:rsidR="008C2BF6" w:rsidRPr="00B02BA3" w14:paraId="4B98698D" w14:textId="77777777" w:rsidTr="008C2BF6">
        <w:tc>
          <w:tcPr>
            <w:tcW w:w="3156" w:type="dxa"/>
            <w:vAlign w:val="bottom"/>
          </w:tcPr>
          <w:p w14:paraId="5D084A37"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منافع الموظفين ومكافأة نهاية الخدمة</w:t>
            </w:r>
            <w:r w:rsidRPr="003D0326">
              <w:rPr>
                <w:sz w:val="14"/>
                <w:szCs w:val="16"/>
              </w:rPr>
              <w:tab/>
            </w:r>
          </w:p>
        </w:tc>
        <w:tc>
          <w:tcPr>
            <w:tcW w:w="282" w:type="dxa"/>
            <w:vAlign w:val="bottom"/>
          </w:tcPr>
          <w:p w14:paraId="2213F63A" w14:textId="77777777" w:rsidR="008C2BF6" w:rsidRPr="00B02BA3" w:rsidRDefault="008C2BF6" w:rsidP="008C2BF6">
            <w:pPr>
              <w:pStyle w:val="CellRowSpacer"/>
              <w:rPr>
                <w:sz w:val="18"/>
              </w:rPr>
            </w:pPr>
          </w:p>
        </w:tc>
        <w:tc>
          <w:tcPr>
            <w:tcW w:w="1132" w:type="dxa"/>
            <w:vAlign w:val="bottom"/>
          </w:tcPr>
          <w:p w14:paraId="72D9C52A" w14:textId="77777777" w:rsidR="008C2BF6" w:rsidRPr="00B02BA3" w:rsidRDefault="008C2BF6" w:rsidP="008C2BF6">
            <w:pPr>
              <w:pStyle w:val="SmCellBody"/>
              <w:jc w:val="right"/>
            </w:pPr>
            <w:r>
              <w:t>0.4</w:t>
            </w:r>
          </w:p>
        </w:tc>
        <w:tc>
          <w:tcPr>
            <w:tcW w:w="282" w:type="dxa"/>
            <w:vAlign w:val="bottom"/>
          </w:tcPr>
          <w:p w14:paraId="276DE202" w14:textId="77777777" w:rsidR="008C2BF6" w:rsidRPr="00B02BA3" w:rsidRDefault="008C2BF6" w:rsidP="008C2BF6">
            <w:pPr>
              <w:pStyle w:val="CellRowSpacer"/>
              <w:rPr>
                <w:sz w:val="18"/>
              </w:rPr>
            </w:pPr>
          </w:p>
        </w:tc>
        <w:tc>
          <w:tcPr>
            <w:tcW w:w="1132" w:type="dxa"/>
            <w:vAlign w:val="bottom"/>
          </w:tcPr>
          <w:p w14:paraId="3D84230B" w14:textId="77777777" w:rsidR="008C2BF6" w:rsidRPr="00B02BA3" w:rsidRDefault="008C2BF6" w:rsidP="008C2BF6">
            <w:pPr>
              <w:pStyle w:val="SmCellBody"/>
              <w:jc w:val="right"/>
            </w:pPr>
            <w:r>
              <w:t>0.6</w:t>
            </w:r>
          </w:p>
        </w:tc>
        <w:tc>
          <w:tcPr>
            <w:tcW w:w="282" w:type="dxa"/>
            <w:vAlign w:val="bottom"/>
          </w:tcPr>
          <w:p w14:paraId="11413F4E" w14:textId="77777777" w:rsidR="008C2BF6" w:rsidRPr="00B02BA3" w:rsidRDefault="008C2BF6" w:rsidP="008C2BF6">
            <w:pPr>
              <w:pStyle w:val="CellRowSpacer"/>
              <w:rPr>
                <w:sz w:val="18"/>
              </w:rPr>
            </w:pPr>
          </w:p>
        </w:tc>
        <w:tc>
          <w:tcPr>
            <w:tcW w:w="1132" w:type="dxa"/>
          </w:tcPr>
          <w:p w14:paraId="0F2652CE" w14:textId="77777777" w:rsidR="008C2BF6" w:rsidRPr="00B02BA3" w:rsidRDefault="008C2BF6" w:rsidP="008C2BF6">
            <w:pPr>
              <w:pStyle w:val="SmCellBody"/>
              <w:jc w:val="right"/>
            </w:pPr>
            <w:r>
              <w:t>0.9</w:t>
            </w:r>
          </w:p>
        </w:tc>
        <w:tc>
          <w:tcPr>
            <w:tcW w:w="282" w:type="dxa"/>
            <w:vAlign w:val="bottom"/>
          </w:tcPr>
          <w:p w14:paraId="4C43568B" w14:textId="77777777" w:rsidR="008C2BF6" w:rsidRPr="00B02BA3" w:rsidRDefault="008C2BF6" w:rsidP="008C2BF6">
            <w:pPr>
              <w:pStyle w:val="CellRowSpacer"/>
              <w:rPr>
                <w:sz w:val="18"/>
              </w:rPr>
            </w:pPr>
          </w:p>
        </w:tc>
        <w:tc>
          <w:tcPr>
            <w:tcW w:w="1152" w:type="dxa"/>
          </w:tcPr>
          <w:p w14:paraId="4E5BE4B1" w14:textId="77777777" w:rsidR="008C2BF6" w:rsidRPr="00B02BA3" w:rsidRDefault="008C2BF6" w:rsidP="008C2BF6">
            <w:pPr>
              <w:pStyle w:val="SmCellBody"/>
              <w:jc w:val="right"/>
            </w:pPr>
            <w:r>
              <w:t>0.9</w:t>
            </w:r>
          </w:p>
        </w:tc>
        <w:tc>
          <w:tcPr>
            <w:tcW w:w="236" w:type="dxa"/>
            <w:vAlign w:val="bottom"/>
          </w:tcPr>
          <w:p w14:paraId="36613E1B" w14:textId="77777777" w:rsidR="008C2BF6" w:rsidRPr="00B02BA3" w:rsidRDefault="008C2BF6" w:rsidP="008C2BF6">
            <w:pPr>
              <w:pStyle w:val="CellRowSpacer"/>
              <w:rPr>
                <w:sz w:val="18"/>
              </w:rPr>
            </w:pPr>
          </w:p>
        </w:tc>
      </w:tr>
      <w:tr w:rsidR="00A8297A" w:rsidRPr="00B02BA3" w14:paraId="0AFB2F47" w14:textId="77777777" w:rsidTr="00A656B1">
        <w:tc>
          <w:tcPr>
            <w:tcW w:w="3156" w:type="dxa"/>
            <w:vAlign w:val="bottom"/>
          </w:tcPr>
          <w:p w14:paraId="31161499" w14:textId="77777777" w:rsidR="00A8297A" w:rsidRPr="003D0326" w:rsidRDefault="00A8297A" w:rsidP="00A8297A">
            <w:pPr>
              <w:pStyle w:val="SmCellBody"/>
              <w:tabs>
                <w:tab w:val="right" w:leader="dot" w:pos="3163"/>
              </w:tabs>
              <w:bidi/>
              <w:ind w:firstLine="407"/>
              <w:rPr>
                <w:sz w:val="14"/>
                <w:szCs w:val="16"/>
              </w:rPr>
            </w:pPr>
            <w:r w:rsidRPr="003D0326">
              <w:rPr>
                <w:rFonts w:hint="cs"/>
                <w:sz w:val="14"/>
                <w:szCs w:val="16"/>
                <w:rtl/>
              </w:rPr>
              <w:t>المشتقات</w:t>
            </w:r>
            <w:r w:rsidRPr="003D0326">
              <w:rPr>
                <w:sz w:val="14"/>
                <w:szCs w:val="16"/>
              </w:rPr>
              <w:tab/>
            </w:r>
          </w:p>
        </w:tc>
        <w:tc>
          <w:tcPr>
            <w:tcW w:w="282" w:type="dxa"/>
            <w:vAlign w:val="bottom"/>
          </w:tcPr>
          <w:p w14:paraId="37210B46" w14:textId="77777777" w:rsidR="00A8297A" w:rsidRPr="00B02BA3" w:rsidRDefault="00A8297A" w:rsidP="00A8297A">
            <w:pPr>
              <w:pStyle w:val="CellRowSpacer"/>
              <w:rPr>
                <w:sz w:val="18"/>
              </w:rPr>
            </w:pPr>
          </w:p>
        </w:tc>
        <w:tc>
          <w:tcPr>
            <w:tcW w:w="1132" w:type="dxa"/>
            <w:vAlign w:val="bottom"/>
          </w:tcPr>
          <w:p w14:paraId="09BA402B" w14:textId="77777777" w:rsidR="00A8297A" w:rsidRPr="00B02BA3" w:rsidRDefault="00A8297A" w:rsidP="00A8297A">
            <w:pPr>
              <w:pStyle w:val="SmCellBody"/>
              <w:jc w:val="right"/>
            </w:pPr>
            <w:r w:rsidRPr="00B02BA3">
              <w:t>2</w:t>
            </w:r>
            <w:r>
              <w:t>.2</w:t>
            </w:r>
          </w:p>
        </w:tc>
        <w:tc>
          <w:tcPr>
            <w:tcW w:w="282" w:type="dxa"/>
            <w:vAlign w:val="bottom"/>
          </w:tcPr>
          <w:p w14:paraId="493C6CE4" w14:textId="77777777" w:rsidR="00A8297A" w:rsidRPr="00B02BA3" w:rsidRDefault="00A8297A" w:rsidP="00A8297A">
            <w:pPr>
              <w:pStyle w:val="CellRowSpacer"/>
              <w:rPr>
                <w:sz w:val="18"/>
              </w:rPr>
            </w:pPr>
          </w:p>
        </w:tc>
        <w:tc>
          <w:tcPr>
            <w:tcW w:w="1132" w:type="dxa"/>
            <w:vAlign w:val="bottom"/>
          </w:tcPr>
          <w:p w14:paraId="2E2A344E" w14:textId="77777777" w:rsidR="00A8297A" w:rsidRPr="00B02BA3" w:rsidRDefault="0084386B" w:rsidP="00A8297A">
            <w:pPr>
              <w:pStyle w:val="SmCellBody"/>
              <w:jc w:val="right"/>
            </w:pPr>
            <w:r>
              <w:t>0.0</w:t>
            </w:r>
          </w:p>
        </w:tc>
        <w:tc>
          <w:tcPr>
            <w:tcW w:w="282" w:type="dxa"/>
            <w:vAlign w:val="bottom"/>
          </w:tcPr>
          <w:p w14:paraId="24256722" w14:textId="77777777" w:rsidR="00A8297A" w:rsidRPr="00B02BA3" w:rsidRDefault="00A8297A" w:rsidP="00A8297A">
            <w:pPr>
              <w:pStyle w:val="CellRowSpacer"/>
              <w:rPr>
                <w:sz w:val="18"/>
              </w:rPr>
            </w:pPr>
          </w:p>
        </w:tc>
        <w:tc>
          <w:tcPr>
            <w:tcW w:w="1132" w:type="dxa"/>
            <w:vAlign w:val="bottom"/>
          </w:tcPr>
          <w:p w14:paraId="49F2522D" w14:textId="77777777" w:rsidR="00A8297A" w:rsidRPr="00B02BA3" w:rsidRDefault="00A8297A" w:rsidP="00A8297A">
            <w:pPr>
              <w:pStyle w:val="SmCellBody"/>
              <w:jc w:val="right"/>
            </w:pPr>
            <w:r w:rsidRPr="00B02BA3">
              <w:t>—</w:t>
            </w:r>
            <w:r w:rsidR="0084386B">
              <w:t>0.0</w:t>
            </w:r>
          </w:p>
        </w:tc>
        <w:tc>
          <w:tcPr>
            <w:tcW w:w="282" w:type="dxa"/>
            <w:vAlign w:val="bottom"/>
          </w:tcPr>
          <w:p w14:paraId="7047657B" w14:textId="77777777" w:rsidR="00A8297A" w:rsidRPr="00B02BA3" w:rsidRDefault="00A8297A" w:rsidP="00A8297A">
            <w:pPr>
              <w:pStyle w:val="CellRowSpacer"/>
              <w:rPr>
                <w:sz w:val="18"/>
              </w:rPr>
            </w:pPr>
          </w:p>
        </w:tc>
        <w:tc>
          <w:tcPr>
            <w:tcW w:w="1152" w:type="dxa"/>
          </w:tcPr>
          <w:p w14:paraId="7E0D176A" w14:textId="77777777" w:rsidR="00A8297A" w:rsidRPr="00B02BA3" w:rsidRDefault="00A8297A" w:rsidP="00A8297A">
            <w:pPr>
              <w:pStyle w:val="SmCellBody"/>
              <w:jc w:val="right"/>
            </w:pPr>
            <w:r>
              <w:t>0.</w:t>
            </w:r>
            <w:r w:rsidR="0084386B">
              <w:t>0</w:t>
            </w:r>
          </w:p>
        </w:tc>
        <w:tc>
          <w:tcPr>
            <w:tcW w:w="236" w:type="dxa"/>
            <w:vAlign w:val="bottom"/>
          </w:tcPr>
          <w:p w14:paraId="574847E6" w14:textId="77777777" w:rsidR="00A8297A" w:rsidRPr="00B02BA3" w:rsidRDefault="00A8297A" w:rsidP="00A8297A">
            <w:pPr>
              <w:pStyle w:val="CellRowSpacer"/>
              <w:rPr>
                <w:sz w:val="18"/>
              </w:rPr>
            </w:pPr>
          </w:p>
        </w:tc>
      </w:tr>
      <w:tr w:rsidR="008C2BF6" w:rsidRPr="00B02BA3" w14:paraId="6F27F543" w14:textId="77777777" w:rsidTr="008C2BF6">
        <w:tc>
          <w:tcPr>
            <w:tcW w:w="3156" w:type="dxa"/>
            <w:vAlign w:val="bottom"/>
          </w:tcPr>
          <w:p w14:paraId="61517FC5"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التزامات الإيجار</w:t>
            </w:r>
            <w:r w:rsidRPr="003D0326">
              <w:rPr>
                <w:sz w:val="14"/>
                <w:szCs w:val="16"/>
              </w:rPr>
              <w:tab/>
            </w:r>
          </w:p>
        </w:tc>
        <w:tc>
          <w:tcPr>
            <w:tcW w:w="282" w:type="dxa"/>
            <w:vAlign w:val="bottom"/>
          </w:tcPr>
          <w:p w14:paraId="0E9FA5A0" w14:textId="77777777" w:rsidR="008C2BF6" w:rsidRPr="00B02BA3" w:rsidRDefault="008C2BF6" w:rsidP="008C2BF6">
            <w:pPr>
              <w:pStyle w:val="CellRowSpacer"/>
              <w:rPr>
                <w:sz w:val="18"/>
              </w:rPr>
            </w:pPr>
          </w:p>
        </w:tc>
        <w:tc>
          <w:tcPr>
            <w:tcW w:w="1132" w:type="dxa"/>
            <w:tcBorders>
              <w:bottom w:val="single" w:sz="4" w:space="0" w:color="auto"/>
            </w:tcBorders>
            <w:vAlign w:val="bottom"/>
          </w:tcPr>
          <w:p w14:paraId="1DA1A4AC" w14:textId="77777777" w:rsidR="008C2BF6" w:rsidRPr="00B02BA3" w:rsidRDefault="008C2BF6" w:rsidP="008C2BF6">
            <w:pPr>
              <w:pStyle w:val="SmCellBody"/>
              <w:jc w:val="right"/>
            </w:pPr>
            <w:r w:rsidRPr="00B02BA3">
              <w:t>24</w:t>
            </w:r>
            <w:r>
              <w:t>.8</w:t>
            </w:r>
          </w:p>
        </w:tc>
        <w:tc>
          <w:tcPr>
            <w:tcW w:w="282" w:type="dxa"/>
            <w:vAlign w:val="bottom"/>
          </w:tcPr>
          <w:p w14:paraId="5D372124" w14:textId="77777777" w:rsidR="008C2BF6" w:rsidRPr="00B02BA3" w:rsidRDefault="008C2BF6" w:rsidP="008C2BF6">
            <w:pPr>
              <w:pStyle w:val="CellRowSpacer"/>
              <w:rPr>
                <w:sz w:val="18"/>
              </w:rPr>
            </w:pPr>
          </w:p>
        </w:tc>
        <w:tc>
          <w:tcPr>
            <w:tcW w:w="1132" w:type="dxa"/>
            <w:tcBorders>
              <w:bottom w:val="single" w:sz="4" w:space="0" w:color="auto"/>
            </w:tcBorders>
            <w:vAlign w:val="bottom"/>
          </w:tcPr>
          <w:p w14:paraId="26FF46EF" w14:textId="77777777" w:rsidR="008C2BF6" w:rsidRPr="00B02BA3" w:rsidRDefault="008C2BF6" w:rsidP="008C2BF6">
            <w:pPr>
              <w:pStyle w:val="SmCellBody"/>
              <w:jc w:val="right"/>
            </w:pPr>
            <w:r w:rsidRPr="00B02BA3">
              <w:t>58</w:t>
            </w:r>
            <w:r>
              <w:t>.8</w:t>
            </w:r>
          </w:p>
        </w:tc>
        <w:tc>
          <w:tcPr>
            <w:tcW w:w="282" w:type="dxa"/>
            <w:vAlign w:val="bottom"/>
          </w:tcPr>
          <w:p w14:paraId="2A510509" w14:textId="77777777" w:rsidR="008C2BF6" w:rsidRPr="00B02BA3" w:rsidRDefault="008C2BF6" w:rsidP="008C2BF6">
            <w:pPr>
              <w:pStyle w:val="CellRowSpacer"/>
              <w:rPr>
                <w:sz w:val="18"/>
              </w:rPr>
            </w:pPr>
          </w:p>
        </w:tc>
        <w:tc>
          <w:tcPr>
            <w:tcW w:w="1132" w:type="dxa"/>
            <w:tcBorders>
              <w:bottom w:val="single" w:sz="4" w:space="0" w:color="auto"/>
            </w:tcBorders>
          </w:tcPr>
          <w:p w14:paraId="013AE551" w14:textId="77777777" w:rsidR="008C2BF6" w:rsidRPr="00B02BA3" w:rsidRDefault="008C2BF6" w:rsidP="008C2BF6">
            <w:pPr>
              <w:pStyle w:val="SmCellBody"/>
              <w:jc w:val="right"/>
            </w:pPr>
            <w:r w:rsidRPr="00B02BA3">
              <w:t>76</w:t>
            </w:r>
            <w:r>
              <w:t>.1</w:t>
            </w:r>
          </w:p>
        </w:tc>
        <w:tc>
          <w:tcPr>
            <w:tcW w:w="282" w:type="dxa"/>
            <w:vAlign w:val="bottom"/>
          </w:tcPr>
          <w:p w14:paraId="4B7C0CFF" w14:textId="77777777" w:rsidR="008C2BF6" w:rsidRPr="00B02BA3" w:rsidRDefault="008C2BF6" w:rsidP="008C2BF6">
            <w:pPr>
              <w:pStyle w:val="CellRowSpacer"/>
              <w:rPr>
                <w:sz w:val="18"/>
              </w:rPr>
            </w:pPr>
          </w:p>
        </w:tc>
        <w:tc>
          <w:tcPr>
            <w:tcW w:w="1152" w:type="dxa"/>
            <w:tcBorders>
              <w:bottom w:val="single" w:sz="4" w:space="0" w:color="auto"/>
            </w:tcBorders>
          </w:tcPr>
          <w:p w14:paraId="710B71CB" w14:textId="77777777" w:rsidR="008C2BF6" w:rsidRPr="00B02BA3" w:rsidRDefault="008C2BF6" w:rsidP="008C2BF6">
            <w:pPr>
              <w:pStyle w:val="SmCellBody"/>
              <w:jc w:val="right"/>
            </w:pPr>
            <w:r>
              <w:t>71.9</w:t>
            </w:r>
          </w:p>
        </w:tc>
        <w:tc>
          <w:tcPr>
            <w:tcW w:w="236" w:type="dxa"/>
            <w:vAlign w:val="bottom"/>
          </w:tcPr>
          <w:p w14:paraId="5F197846" w14:textId="77777777" w:rsidR="008C2BF6" w:rsidRPr="00B02BA3" w:rsidRDefault="008C2BF6" w:rsidP="008C2BF6">
            <w:pPr>
              <w:pStyle w:val="CellRowSpacer"/>
              <w:rPr>
                <w:sz w:val="18"/>
              </w:rPr>
            </w:pPr>
          </w:p>
        </w:tc>
      </w:tr>
      <w:tr w:rsidR="008C2BF6" w:rsidRPr="00B02BA3" w14:paraId="146F8C1F" w14:textId="77777777" w:rsidTr="008C2BF6">
        <w:tc>
          <w:tcPr>
            <w:tcW w:w="3156" w:type="dxa"/>
            <w:vAlign w:val="bottom"/>
          </w:tcPr>
          <w:p w14:paraId="6AF8F164" w14:textId="77777777" w:rsidR="008C2BF6" w:rsidRPr="003D0326" w:rsidRDefault="008C2BF6" w:rsidP="008C2BF6">
            <w:pPr>
              <w:pStyle w:val="SmCellBody"/>
              <w:tabs>
                <w:tab w:val="right" w:leader="dot" w:pos="3163"/>
              </w:tabs>
              <w:bidi/>
              <w:ind w:firstLine="407"/>
              <w:rPr>
                <w:b/>
                <w:bCs/>
                <w:sz w:val="14"/>
                <w:szCs w:val="16"/>
              </w:rPr>
            </w:pPr>
            <w:r w:rsidRPr="003D0326">
              <w:rPr>
                <w:rFonts w:hint="cs"/>
                <w:b/>
                <w:bCs/>
                <w:sz w:val="14"/>
                <w:szCs w:val="16"/>
                <w:rtl/>
              </w:rPr>
              <w:t>إجمالي الخصوم غير المتداولة</w:t>
            </w:r>
            <w:r w:rsidRPr="003D0326">
              <w:rPr>
                <w:sz w:val="14"/>
                <w:szCs w:val="16"/>
              </w:rPr>
              <w:tab/>
            </w:r>
          </w:p>
        </w:tc>
        <w:tc>
          <w:tcPr>
            <w:tcW w:w="282" w:type="dxa"/>
            <w:vAlign w:val="bottom"/>
          </w:tcPr>
          <w:p w14:paraId="6B517273"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2EA09FFD" w14:textId="77777777" w:rsidR="008C2BF6" w:rsidRPr="00B02BA3" w:rsidRDefault="008C2BF6" w:rsidP="008C2BF6">
            <w:pPr>
              <w:pStyle w:val="SmCellBody"/>
              <w:jc w:val="right"/>
            </w:pPr>
            <w:r w:rsidRPr="00B02BA3">
              <w:t>581</w:t>
            </w:r>
            <w:r>
              <w:t>.2</w:t>
            </w:r>
          </w:p>
        </w:tc>
        <w:tc>
          <w:tcPr>
            <w:tcW w:w="282" w:type="dxa"/>
            <w:vAlign w:val="bottom"/>
          </w:tcPr>
          <w:p w14:paraId="63266A46" w14:textId="77777777" w:rsidR="008C2BF6" w:rsidRPr="00B02BA3" w:rsidRDefault="008C2BF6" w:rsidP="008C2BF6">
            <w:pPr>
              <w:pStyle w:val="CellRowSpacer"/>
              <w:rPr>
                <w:sz w:val="18"/>
              </w:rPr>
            </w:pPr>
          </w:p>
        </w:tc>
        <w:tc>
          <w:tcPr>
            <w:tcW w:w="1132" w:type="dxa"/>
            <w:tcBorders>
              <w:top w:val="single" w:sz="4" w:space="0" w:color="auto"/>
            </w:tcBorders>
            <w:vAlign w:val="bottom"/>
          </w:tcPr>
          <w:p w14:paraId="53C7F691" w14:textId="77777777" w:rsidR="008C2BF6" w:rsidRPr="00B02BA3" w:rsidRDefault="008C2BF6" w:rsidP="008C2BF6">
            <w:pPr>
              <w:pStyle w:val="SmCellBody"/>
              <w:jc w:val="right"/>
            </w:pPr>
            <w:r w:rsidRPr="00B02BA3">
              <w:t>561</w:t>
            </w:r>
            <w:r>
              <w:t>.5</w:t>
            </w:r>
          </w:p>
        </w:tc>
        <w:tc>
          <w:tcPr>
            <w:tcW w:w="282" w:type="dxa"/>
            <w:vAlign w:val="bottom"/>
          </w:tcPr>
          <w:p w14:paraId="394AEB2C" w14:textId="77777777" w:rsidR="008C2BF6" w:rsidRPr="00B02BA3" w:rsidRDefault="008C2BF6" w:rsidP="008C2BF6">
            <w:pPr>
              <w:pStyle w:val="CellRowSpacer"/>
              <w:rPr>
                <w:sz w:val="18"/>
              </w:rPr>
            </w:pPr>
          </w:p>
        </w:tc>
        <w:tc>
          <w:tcPr>
            <w:tcW w:w="1132" w:type="dxa"/>
            <w:tcBorders>
              <w:top w:val="single" w:sz="4" w:space="0" w:color="auto"/>
            </w:tcBorders>
          </w:tcPr>
          <w:p w14:paraId="0A2CD04D" w14:textId="77777777" w:rsidR="008C2BF6" w:rsidRPr="00B02BA3" w:rsidRDefault="008C2BF6" w:rsidP="008C2BF6">
            <w:pPr>
              <w:pStyle w:val="SmCellBody"/>
              <w:jc w:val="right"/>
            </w:pPr>
            <w:r w:rsidRPr="00B02BA3">
              <w:t>51</w:t>
            </w:r>
            <w:r>
              <w:t>3.0</w:t>
            </w:r>
          </w:p>
        </w:tc>
        <w:tc>
          <w:tcPr>
            <w:tcW w:w="282" w:type="dxa"/>
            <w:vAlign w:val="bottom"/>
          </w:tcPr>
          <w:p w14:paraId="743FE13A" w14:textId="77777777" w:rsidR="008C2BF6" w:rsidRPr="00B02BA3" w:rsidRDefault="008C2BF6" w:rsidP="008C2BF6">
            <w:pPr>
              <w:pStyle w:val="CellRowSpacer"/>
              <w:rPr>
                <w:sz w:val="18"/>
              </w:rPr>
            </w:pPr>
          </w:p>
        </w:tc>
        <w:tc>
          <w:tcPr>
            <w:tcW w:w="1152" w:type="dxa"/>
            <w:tcBorders>
              <w:top w:val="single" w:sz="4" w:space="0" w:color="auto"/>
            </w:tcBorders>
          </w:tcPr>
          <w:p w14:paraId="51B0644E" w14:textId="77777777" w:rsidR="008C2BF6" w:rsidRPr="00B02BA3" w:rsidRDefault="008C2BF6" w:rsidP="008C2BF6">
            <w:pPr>
              <w:pStyle w:val="SmCellBody"/>
              <w:jc w:val="right"/>
            </w:pPr>
            <w:r>
              <w:t>485.1</w:t>
            </w:r>
          </w:p>
        </w:tc>
        <w:tc>
          <w:tcPr>
            <w:tcW w:w="236" w:type="dxa"/>
            <w:vAlign w:val="bottom"/>
          </w:tcPr>
          <w:p w14:paraId="7704F673" w14:textId="77777777" w:rsidR="008C2BF6" w:rsidRPr="00B02BA3" w:rsidRDefault="008C2BF6" w:rsidP="008C2BF6">
            <w:pPr>
              <w:pStyle w:val="CellRowSpacer"/>
              <w:rPr>
                <w:sz w:val="18"/>
              </w:rPr>
            </w:pPr>
          </w:p>
        </w:tc>
      </w:tr>
      <w:tr w:rsidR="008C2BF6" w:rsidRPr="00B02BA3" w14:paraId="0A850427" w14:textId="77777777" w:rsidTr="008C2BF6">
        <w:tc>
          <w:tcPr>
            <w:tcW w:w="3156" w:type="dxa"/>
            <w:vAlign w:val="bottom"/>
          </w:tcPr>
          <w:p w14:paraId="165F3BEF"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الخصوم المتداولة</w:t>
            </w:r>
          </w:p>
        </w:tc>
        <w:tc>
          <w:tcPr>
            <w:tcW w:w="282" w:type="dxa"/>
            <w:vAlign w:val="bottom"/>
          </w:tcPr>
          <w:p w14:paraId="5E8AFBEA" w14:textId="77777777" w:rsidR="008C2BF6" w:rsidRPr="00B02BA3" w:rsidRDefault="008C2BF6" w:rsidP="008C2BF6">
            <w:pPr>
              <w:pStyle w:val="CellRowSpacer"/>
              <w:rPr>
                <w:b/>
                <w:bCs/>
                <w:sz w:val="18"/>
              </w:rPr>
            </w:pPr>
          </w:p>
        </w:tc>
        <w:tc>
          <w:tcPr>
            <w:tcW w:w="1132" w:type="dxa"/>
            <w:vAlign w:val="bottom"/>
          </w:tcPr>
          <w:p w14:paraId="14EF33C6" w14:textId="77777777" w:rsidR="008C2BF6" w:rsidRPr="00B02BA3" w:rsidRDefault="008C2BF6" w:rsidP="008C2BF6">
            <w:pPr>
              <w:pStyle w:val="SmCellBody"/>
              <w:jc w:val="right"/>
              <w:rPr>
                <w:b/>
                <w:bCs/>
              </w:rPr>
            </w:pPr>
          </w:p>
        </w:tc>
        <w:tc>
          <w:tcPr>
            <w:tcW w:w="282" w:type="dxa"/>
            <w:vAlign w:val="bottom"/>
          </w:tcPr>
          <w:p w14:paraId="37A1FEC2" w14:textId="77777777" w:rsidR="008C2BF6" w:rsidRPr="00B02BA3" w:rsidRDefault="008C2BF6" w:rsidP="008C2BF6">
            <w:pPr>
              <w:pStyle w:val="CellRowSpacer"/>
              <w:rPr>
                <w:b/>
                <w:bCs/>
                <w:sz w:val="18"/>
              </w:rPr>
            </w:pPr>
          </w:p>
        </w:tc>
        <w:tc>
          <w:tcPr>
            <w:tcW w:w="1132" w:type="dxa"/>
            <w:vAlign w:val="bottom"/>
          </w:tcPr>
          <w:p w14:paraId="5CB72B6C" w14:textId="77777777" w:rsidR="008C2BF6" w:rsidRPr="00B02BA3" w:rsidRDefault="008C2BF6" w:rsidP="008C2BF6">
            <w:pPr>
              <w:pStyle w:val="SmCellBody"/>
              <w:jc w:val="right"/>
              <w:rPr>
                <w:b/>
                <w:bCs/>
              </w:rPr>
            </w:pPr>
          </w:p>
        </w:tc>
        <w:tc>
          <w:tcPr>
            <w:tcW w:w="282" w:type="dxa"/>
            <w:vAlign w:val="bottom"/>
          </w:tcPr>
          <w:p w14:paraId="7A09AAFE" w14:textId="77777777" w:rsidR="008C2BF6" w:rsidRPr="00B02BA3" w:rsidRDefault="008C2BF6" w:rsidP="008C2BF6">
            <w:pPr>
              <w:pStyle w:val="CellRowSpacer"/>
              <w:rPr>
                <w:b/>
                <w:bCs/>
                <w:sz w:val="18"/>
              </w:rPr>
            </w:pPr>
          </w:p>
        </w:tc>
        <w:tc>
          <w:tcPr>
            <w:tcW w:w="1132" w:type="dxa"/>
          </w:tcPr>
          <w:p w14:paraId="5FF1CD87" w14:textId="77777777" w:rsidR="008C2BF6" w:rsidRPr="00B02BA3" w:rsidRDefault="008C2BF6" w:rsidP="008C2BF6">
            <w:pPr>
              <w:pStyle w:val="SmCellBody"/>
              <w:jc w:val="right"/>
              <w:rPr>
                <w:b/>
                <w:bCs/>
              </w:rPr>
            </w:pPr>
          </w:p>
        </w:tc>
        <w:tc>
          <w:tcPr>
            <w:tcW w:w="282" w:type="dxa"/>
            <w:vAlign w:val="bottom"/>
          </w:tcPr>
          <w:p w14:paraId="5A66AC9A" w14:textId="77777777" w:rsidR="008C2BF6" w:rsidRPr="00B02BA3" w:rsidRDefault="008C2BF6" w:rsidP="008C2BF6">
            <w:pPr>
              <w:pStyle w:val="CellRowSpacer"/>
              <w:rPr>
                <w:b/>
                <w:bCs/>
                <w:sz w:val="18"/>
              </w:rPr>
            </w:pPr>
          </w:p>
        </w:tc>
        <w:tc>
          <w:tcPr>
            <w:tcW w:w="1152" w:type="dxa"/>
          </w:tcPr>
          <w:p w14:paraId="2FF873C0" w14:textId="77777777" w:rsidR="008C2BF6" w:rsidRPr="00B02BA3" w:rsidRDefault="008C2BF6" w:rsidP="008C2BF6">
            <w:pPr>
              <w:pStyle w:val="SmCellBody"/>
              <w:jc w:val="right"/>
              <w:rPr>
                <w:b/>
                <w:bCs/>
              </w:rPr>
            </w:pPr>
          </w:p>
        </w:tc>
        <w:tc>
          <w:tcPr>
            <w:tcW w:w="236" w:type="dxa"/>
            <w:vAlign w:val="bottom"/>
          </w:tcPr>
          <w:p w14:paraId="697D647D" w14:textId="77777777" w:rsidR="008C2BF6" w:rsidRPr="00B02BA3" w:rsidRDefault="008C2BF6" w:rsidP="008C2BF6">
            <w:pPr>
              <w:pStyle w:val="CellRowSpacer"/>
              <w:rPr>
                <w:b/>
                <w:bCs/>
                <w:sz w:val="18"/>
              </w:rPr>
            </w:pPr>
          </w:p>
        </w:tc>
      </w:tr>
      <w:tr w:rsidR="008C2BF6" w:rsidRPr="00B02BA3" w14:paraId="7FEF62B3" w14:textId="77777777" w:rsidTr="008C2BF6">
        <w:tc>
          <w:tcPr>
            <w:tcW w:w="3156" w:type="dxa"/>
            <w:vAlign w:val="bottom"/>
          </w:tcPr>
          <w:p w14:paraId="2BFCFF7F"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الذمم الدائنة التجارية والذمم الدائنة الأخرى</w:t>
            </w:r>
            <w:r w:rsidRPr="003D0326">
              <w:rPr>
                <w:sz w:val="14"/>
                <w:szCs w:val="16"/>
              </w:rPr>
              <w:tab/>
            </w:r>
          </w:p>
        </w:tc>
        <w:tc>
          <w:tcPr>
            <w:tcW w:w="282" w:type="dxa"/>
            <w:vAlign w:val="bottom"/>
          </w:tcPr>
          <w:p w14:paraId="23E26EE0" w14:textId="77777777" w:rsidR="008C2BF6" w:rsidRPr="00B02BA3" w:rsidRDefault="008C2BF6" w:rsidP="008C2BF6">
            <w:pPr>
              <w:pStyle w:val="CellRowSpacer"/>
              <w:rPr>
                <w:sz w:val="18"/>
              </w:rPr>
            </w:pPr>
          </w:p>
        </w:tc>
        <w:tc>
          <w:tcPr>
            <w:tcW w:w="1132" w:type="dxa"/>
            <w:vAlign w:val="bottom"/>
          </w:tcPr>
          <w:p w14:paraId="40C442A5" w14:textId="77777777" w:rsidR="008C2BF6" w:rsidRPr="00B02BA3" w:rsidRDefault="008C2BF6" w:rsidP="008C2BF6">
            <w:pPr>
              <w:pStyle w:val="SmCellBody"/>
              <w:jc w:val="right"/>
            </w:pPr>
            <w:r w:rsidRPr="00B02BA3">
              <w:t>70</w:t>
            </w:r>
            <w:r>
              <w:t>.5</w:t>
            </w:r>
          </w:p>
        </w:tc>
        <w:tc>
          <w:tcPr>
            <w:tcW w:w="282" w:type="dxa"/>
            <w:vAlign w:val="bottom"/>
          </w:tcPr>
          <w:p w14:paraId="443D816B" w14:textId="77777777" w:rsidR="008C2BF6" w:rsidRPr="00B02BA3" w:rsidRDefault="008C2BF6" w:rsidP="008C2BF6">
            <w:pPr>
              <w:pStyle w:val="CellRowSpacer"/>
              <w:rPr>
                <w:sz w:val="18"/>
              </w:rPr>
            </w:pPr>
          </w:p>
        </w:tc>
        <w:tc>
          <w:tcPr>
            <w:tcW w:w="1132" w:type="dxa"/>
            <w:vAlign w:val="bottom"/>
          </w:tcPr>
          <w:p w14:paraId="069AB8AC" w14:textId="77777777" w:rsidR="008C2BF6" w:rsidRPr="00B02BA3" w:rsidRDefault="008C2BF6" w:rsidP="008C2BF6">
            <w:pPr>
              <w:pStyle w:val="SmCellBody"/>
              <w:jc w:val="right"/>
            </w:pPr>
            <w:r w:rsidRPr="00B02BA3">
              <w:t>35</w:t>
            </w:r>
            <w:r>
              <w:t>.4</w:t>
            </w:r>
          </w:p>
        </w:tc>
        <w:tc>
          <w:tcPr>
            <w:tcW w:w="282" w:type="dxa"/>
            <w:vAlign w:val="bottom"/>
          </w:tcPr>
          <w:p w14:paraId="78AB46F1" w14:textId="77777777" w:rsidR="008C2BF6" w:rsidRPr="00B02BA3" w:rsidRDefault="008C2BF6" w:rsidP="008C2BF6">
            <w:pPr>
              <w:pStyle w:val="CellRowSpacer"/>
              <w:rPr>
                <w:sz w:val="18"/>
              </w:rPr>
            </w:pPr>
          </w:p>
        </w:tc>
        <w:tc>
          <w:tcPr>
            <w:tcW w:w="1132" w:type="dxa"/>
          </w:tcPr>
          <w:p w14:paraId="5DCD8F0C" w14:textId="77777777" w:rsidR="008C2BF6" w:rsidRPr="00B02BA3" w:rsidRDefault="008C2BF6" w:rsidP="008C2BF6">
            <w:pPr>
              <w:pStyle w:val="SmCellBody"/>
              <w:jc w:val="right"/>
            </w:pPr>
            <w:r w:rsidRPr="00B02BA3">
              <w:t>42</w:t>
            </w:r>
            <w:r>
              <w:t>.2</w:t>
            </w:r>
          </w:p>
        </w:tc>
        <w:tc>
          <w:tcPr>
            <w:tcW w:w="282" w:type="dxa"/>
            <w:vAlign w:val="bottom"/>
          </w:tcPr>
          <w:p w14:paraId="31F5B72C" w14:textId="77777777" w:rsidR="008C2BF6" w:rsidRPr="00B02BA3" w:rsidRDefault="008C2BF6" w:rsidP="008C2BF6">
            <w:pPr>
              <w:pStyle w:val="CellRowSpacer"/>
              <w:rPr>
                <w:sz w:val="18"/>
              </w:rPr>
            </w:pPr>
          </w:p>
        </w:tc>
        <w:tc>
          <w:tcPr>
            <w:tcW w:w="1152" w:type="dxa"/>
          </w:tcPr>
          <w:p w14:paraId="3A80D778" w14:textId="77777777" w:rsidR="008C2BF6" w:rsidRPr="00B02BA3" w:rsidRDefault="008C2BF6" w:rsidP="008C2BF6">
            <w:pPr>
              <w:pStyle w:val="SmCellBody"/>
              <w:jc w:val="right"/>
            </w:pPr>
            <w:r>
              <w:t>21.8</w:t>
            </w:r>
          </w:p>
        </w:tc>
        <w:tc>
          <w:tcPr>
            <w:tcW w:w="236" w:type="dxa"/>
            <w:vAlign w:val="bottom"/>
          </w:tcPr>
          <w:p w14:paraId="7BD6F12E" w14:textId="77777777" w:rsidR="008C2BF6" w:rsidRPr="00B02BA3" w:rsidRDefault="008C2BF6" w:rsidP="008C2BF6">
            <w:pPr>
              <w:pStyle w:val="CellRowSpacer"/>
              <w:rPr>
                <w:sz w:val="18"/>
              </w:rPr>
            </w:pPr>
          </w:p>
        </w:tc>
      </w:tr>
      <w:tr w:rsidR="008C2BF6" w:rsidRPr="00B02BA3" w14:paraId="2A900322" w14:textId="77777777" w:rsidTr="008C2BF6">
        <w:tc>
          <w:tcPr>
            <w:tcW w:w="3156" w:type="dxa"/>
            <w:vAlign w:val="bottom"/>
          </w:tcPr>
          <w:p w14:paraId="1DAA69EF"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lastRenderedPageBreak/>
              <w:t>القروض والاقتراض</w:t>
            </w:r>
            <w:r w:rsidRPr="003D0326">
              <w:rPr>
                <w:sz w:val="14"/>
                <w:szCs w:val="16"/>
              </w:rPr>
              <w:tab/>
            </w:r>
          </w:p>
        </w:tc>
        <w:tc>
          <w:tcPr>
            <w:tcW w:w="282" w:type="dxa"/>
            <w:vAlign w:val="bottom"/>
          </w:tcPr>
          <w:p w14:paraId="2DAEC7DF" w14:textId="77777777" w:rsidR="008C2BF6" w:rsidRPr="00B02BA3" w:rsidRDefault="008C2BF6" w:rsidP="008C2BF6">
            <w:pPr>
              <w:pStyle w:val="CellRowSpacer"/>
              <w:rPr>
                <w:sz w:val="18"/>
              </w:rPr>
            </w:pPr>
          </w:p>
        </w:tc>
        <w:tc>
          <w:tcPr>
            <w:tcW w:w="1132" w:type="dxa"/>
            <w:vAlign w:val="bottom"/>
          </w:tcPr>
          <w:p w14:paraId="25368BE2" w14:textId="77777777" w:rsidR="008C2BF6" w:rsidRPr="00B02BA3" w:rsidRDefault="008C2BF6" w:rsidP="008C2BF6">
            <w:pPr>
              <w:pStyle w:val="SmCellBody"/>
              <w:jc w:val="right"/>
            </w:pPr>
            <w:r w:rsidRPr="00B02BA3">
              <w:t>68</w:t>
            </w:r>
            <w:r>
              <w:t>.7</w:t>
            </w:r>
          </w:p>
        </w:tc>
        <w:tc>
          <w:tcPr>
            <w:tcW w:w="282" w:type="dxa"/>
            <w:vAlign w:val="bottom"/>
          </w:tcPr>
          <w:p w14:paraId="38A116B9" w14:textId="77777777" w:rsidR="008C2BF6" w:rsidRPr="00B02BA3" w:rsidRDefault="008C2BF6" w:rsidP="008C2BF6">
            <w:pPr>
              <w:pStyle w:val="CellRowSpacer"/>
              <w:rPr>
                <w:sz w:val="18"/>
              </w:rPr>
            </w:pPr>
          </w:p>
        </w:tc>
        <w:tc>
          <w:tcPr>
            <w:tcW w:w="1132" w:type="dxa"/>
            <w:vAlign w:val="bottom"/>
          </w:tcPr>
          <w:p w14:paraId="16F184D6" w14:textId="77777777" w:rsidR="008C2BF6" w:rsidRPr="00B02BA3" w:rsidRDefault="008C2BF6" w:rsidP="008C2BF6">
            <w:pPr>
              <w:pStyle w:val="SmCellBody"/>
              <w:jc w:val="right"/>
            </w:pPr>
            <w:r w:rsidRPr="00B02BA3">
              <w:t>58</w:t>
            </w:r>
            <w:r>
              <w:t>.3</w:t>
            </w:r>
          </w:p>
        </w:tc>
        <w:tc>
          <w:tcPr>
            <w:tcW w:w="282" w:type="dxa"/>
            <w:vAlign w:val="bottom"/>
          </w:tcPr>
          <w:p w14:paraId="4A81C01C" w14:textId="77777777" w:rsidR="008C2BF6" w:rsidRPr="00B02BA3" w:rsidRDefault="008C2BF6" w:rsidP="008C2BF6">
            <w:pPr>
              <w:pStyle w:val="CellRowSpacer"/>
              <w:rPr>
                <w:sz w:val="18"/>
              </w:rPr>
            </w:pPr>
          </w:p>
        </w:tc>
        <w:tc>
          <w:tcPr>
            <w:tcW w:w="1132" w:type="dxa"/>
          </w:tcPr>
          <w:p w14:paraId="6EB3DF1D" w14:textId="77777777" w:rsidR="008C2BF6" w:rsidRPr="00B02BA3" w:rsidRDefault="008C2BF6" w:rsidP="008C2BF6">
            <w:pPr>
              <w:pStyle w:val="SmCellBody"/>
              <w:jc w:val="right"/>
            </w:pPr>
            <w:r w:rsidRPr="00B02BA3">
              <w:t>68</w:t>
            </w:r>
            <w:r>
              <w:t>.4</w:t>
            </w:r>
          </w:p>
        </w:tc>
        <w:tc>
          <w:tcPr>
            <w:tcW w:w="282" w:type="dxa"/>
            <w:vAlign w:val="bottom"/>
          </w:tcPr>
          <w:p w14:paraId="05835FCA" w14:textId="77777777" w:rsidR="008C2BF6" w:rsidRPr="00B02BA3" w:rsidRDefault="008C2BF6" w:rsidP="008C2BF6">
            <w:pPr>
              <w:pStyle w:val="CellRowSpacer"/>
              <w:rPr>
                <w:sz w:val="18"/>
              </w:rPr>
            </w:pPr>
          </w:p>
        </w:tc>
        <w:tc>
          <w:tcPr>
            <w:tcW w:w="1152" w:type="dxa"/>
          </w:tcPr>
          <w:p w14:paraId="1BFE6C6D" w14:textId="77777777" w:rsidR="008C2BF6" w:rsidRPr="00B02BA3" w:rsidRDefault="008C2BF6" w:rsidP="008C2BF6">
            <w:pPr>
              <w:pStyle w:val="SmCellBody"/>
              <w:jc w:val="right"/>
            </w:pPr>
            <w:r>
              <w:t>53.4</w:t>
            </w:r>
          </w:p>
        </w:tc>
        <w:tc>
          <w:tcPr>
            <w:tcW w:w="236" w:type="dxa"/>
            <w:vAlign w:val="bottom"/>
          </w:tcPr>
          <w:p w14:paraId="0A92533D" w14:textId="77777777" w:rsidR="008C2BF6" w:rsidRPr="00B02BA3" w:rsidRDefault="008C2BF6" w:rsidP="008C2BF6">
            <w:pPr>
              <w:pStyle w:val="CellRowSpacer"/>
              <w:rPr>
                <w:sz w:val="18"/>
              </w:rPr>
            </w:pPr>
          </w:p>
        </w:tc>
      </w:tr>
      <w:tr w:rsidR="008C2BF6" w:rsidRPr="00B02BA3" w14:paraId="31EA5E9D" w14:textId="77777777" w:rsidTr="008C2BF6">
        <w:tc>
          <w:tcPr>
            <w:tcW w:w="3156" w:type="dxa"/>
            <w:vAlign w:val="bottom"/>
          </w:tcPr>
          <w:p w14:paraId="71D4FD20" w14:textId="77777777" w:rsidR="008C2BF6" w:rsidRPr="003D0326" w:rsidRDefault="008C2BF6" w:rsidP="008C2BF6">
            <w:pPr>
              <w:pStyle w:val="SmCellBody"/>
              <w:tabs>
                <w:tab w:val="right" w:leader="dot" w:pos="3163"/>
              </w:tabs>
              <w:bidi/>
              <w:ind w:firstLine="407"/>
              <w:rPr>
                <w:sz w:val="14"/>
                <w:szCs w:val="16"/>
              </w:rPr>
            </w:pPr>
          </w:p>
        </w:tc>
        <w:tc>
          <w:tcPr>
            <w:tcW w:w="282" w:type="dxa"/>
            <w:vAlign w:val="bottom"/>
          </w:tcPr>
          <w:p w14:paraId="12FFA34C" w14:textId="77777777" w:rsidR="008C2BF6" w:rsidRPr="00B02BA3" w:rsidRDefault="008C2BF6" w:rsidP="008C2BF6">
            <w:pPr>
              <w:pStyle w:val="CellRowSpacer"/>
              <w:rPr>
                <w:sz w:val="18"/>
              </w:rPr>
            </w:pPr>
          </w:p>
        </w:tc>
        <w:tc>
          <w:tcPr>
            <w:tcW w:w="1132" w:type="dxa"/>
            <w:vAlign w:val="bottom"/>
          </w:tcPr>
          <w:p w14:paraId="74285906" w14:textId="77777777" w:rsidR="008C2BF6" w:rsidRPr="00B02BA3" w:rsidRDefault="008C2BF6" w:rsidP="008C2BF6">
            <w:pPr>
              <w:pStyle w:val="SmCellBody"/>
              <w:jc w:val="right"/>
            </w:pPr>
            <w:r w:rsidRPr="00B02BA3">
              <w:t>3</w:t>
            </w:r>
            <w:r>
              <w:t>.6</w:t>
            </w:r>
          </w:p>
        </w:tc>
        <w:tc>
          <w:tcPr>
            <w:tcW w:w="282" w:type="dxa"/>
            <w:vAlign w:val="bottom"/>
          </w:tcPr>
          <w:p w14:paraId="4AEC20C8" w14:textId="77777777" w:rsidR="008C2BF6" w:rsidRPr="00B02BA3" w:rsidRDefault="008C2BF6" w:rsidP="008C2BF6">
            <w:pPr>
              <w:pStyle w:val="CellRowSpacer"/>
              <w:rPr>
                <w:sz w:val="18"/>
              </w:rPr>
            </w:pPr>
          </w:p>
        </w:tc>
        <w:tc>
          <w:tcPr>
            <w:tcW w:w="1132" w:type="dxa"/>
            <w:vAlign w:val="bottom"/>
          </w:tcPr>
          <w:p w14:paraId="5FB27E2F" w14:textId="77777777" w:rsidR="008C2BF6" w:rsidRPr="00B02BA3" w:rsidRDefault="008C2BF6" w:rsidP="008C2BF6">
            <w:pPr>
              <w:pStyle w:val="SmCellBody"/>
              <w:jc w:val="right"/>
            </w:pPr>
            <w:r w:rsidRPr="00B02BA3">
              <w:t>—</w:t>
            </w:r>
          </w:p>
        </w:tc>
        <w:tc>
          <w:tcPr>
            <w:tcW w:w="282" w:type="dxa"/>
            <w:vAlign w:val="bottom"/>
          </w:tcPr>
          <w:p w14:paraId="5D9FAFA2" w14:textId="77777777" w:rsidR="008C2BF6" w:rsidRPr="00B02BA3" w:rsidRDefault="008C2BF6" w:rsidP="008C2BF6">
            <w:pPr>
              <w:pStyle w:val="CellRowSpacer"/>
              <w:rPr>
                <w:sz w:val="18"/>
              </w:rPr>
            </w:pPr>
          </w:p>
        </w:tc>
        <w:tc>
          <w:tcPr>
            <w:tcW w:w="1132" w:type="dxa"/>
            <w:vAlign w:val="bottom"/>
          </w:tcPr>
          <w:p w14:paraId="5221BC88" w14:textId="77777777" w:rsidR="008C2BF6" w:rsidRPr="00B02BA3" w:rsidRDefault="008C2BF6" w:rsidP="008C2BF6">
            <w:pPr>
              <w:pStyle w:val="SmCellBody"/>
              <w:jc w:val="right"/>
            </w:pPr>
            <w:r w:rsidRPr="00B02BA3">
              <w:t>—</w:t>
            </w:r>
          </w:p>
        </w:tc>
        <w:tc>
          <w:tcPr>
            <w:tcW w:w="282" w:type="dxa"/>
            <w:vAlign w:val="bottom"/>
          </w:tcPr>
          <w:p w14:paraId="734A8FB6" w14:textId="77777777" w:rsidR="008C2BF6" w:rsidRPr="00B02BA3" w:rsidRDefault="008C2BF6" w:rsidP="008C2BF6">
            <w:pPr>
              <w:pStyle w:val="CellRowSpacer"/>
              <w:rPr>
                <w:sz w:val="18"/>
              </w:rPr>
            </w:pPr>
          </w:p>
        </w:tc>
        <w:tc>
          <w:tcPr>
            <w:tcW w:w="1152" w:type="dxa"/>
            <w:vAlign w:val="bottom"/>
          </w:tcPr>
          <w:p w14:paraId="0E781EF3" w14:textId="77777777" w:rsidR="008C2BF6" w:rsidRPr="00B02BA3" w:rsidRDefault="008C2BF6" w:rsidP="008C2BF6">
            <w:pPr>
              <w:pStyle w:val="SmCellBody"/>
              <w:jc w:val="right"/>
            </w:pPr>
            <w:r w:rsidRPr="00B02BA3">
              <w:t>—</w:t>
            </w:r>
          </w:p>
        </w:tc>
        <w:tc>
          <w:tcPr>
            <w:tcW w:w="236" w:type="dxa"/>
            <w:vAlign w:val="bottom"/>
          </w:tcPr>
          <w:p w14:paraId="3147FE0F" w14:textId="77777777" w:rsidR="008C2BF6" w:rsidRPr="00B02BA3" w:rsidRDefault="008C2BF6" w:rsidP="008C2BF6">
            <w:pPr>
              <w:pStyle w:val="CellRowSpacer"/>
              <w:rPr>
                <w:sz w:val="18"/>
              </w:rPr>
            </w:pPr>
          </w:p>
        </w:tc>
      </w:tr>
      <w:tr w:rsidR="008C2BF6" w:rsidRPr="00B02BA3" w14:paraId="37889E19" w14:textId="77777777" w:rsidTr="008C2BF6">
        <w:tc>
          <w:tcPr>
            <w:tcW w:w="3156" w:type="dxa"/>
            <w:vAlign w:val="bottom"/>
          </w:tcPr>
          <w:p w14:paraId="073C8CB9"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مستحقات ضريبة الدخل</w:t>
            </w:r>
            <w:r w:rsidRPr="003D0326">
              <w:rPr>
                <w:sz w:val="14"/>
                <w:szCs w:val="16"/>
              </w:rPr>
              <w:tab/>
            </w:r>
          </w:p>
        </w:tc>
        <w:tc>
          <w:tcPr>
            <w:tcW w:w="282" w:type="dxa"/>
            <w:vAlign w:val="bottom"/>
          </w:tcPr>
          <w:p w14:paraId="38EF46F6" w14:textId="77777777" w:rsidR="008C2BF6" w:rsidRPr="00B02BA3" w:rsidRDefault="008C2BF6" w:rsidP="008C2BF6">
            <w:pPr>
              <w:pStyle w:val="CellRowSpacer"/>
              <w:rPr>
                <w:sz w:val="18"/>
              </w:rPr>
            </w:pPr>
          </w:p>
        </w:tc>
        <w:tc>
          <w:tcPr>
            <w:tcW w:w="1132" w:type="dxa"/>
            <w:vAlign w:val="bottom"/>
          </w:tcPr>
          <w:p w14:paraId="4E821638" w14:textId="77777777" w:rsidR="008C2BF6" w:rsidRPr="00B02BA3" w:rsidRDefault="008C2BF6" w:rsidP="008C2BF6">
            <w:pPr>
              <w:pStyle w:val="SmCellBody"/>
              <w:jc w:val="right"/>
            </w:pPr>
            <w:r>
              <w:t>0.2</w:t>
            </w:r>
          </w:p>
        </w:tc>
        <w:tc>
          <w:tcPr>
            <w:tcW w:w="282" w:type="dxa"/>
            <w:vAlign w:val="bottom"/>
          </w:tcPr>
          <w:p w14:paraId="6F9B4DCA" w14:textId="77777777" w:rsidR="008C2BF6" w:rsidRPr="00B02BA3" w:rsidRDefault="008C2BF6" w:rsidP="008C2BF6">
            <w:pPr>
              <w:pStyle w:val="CellRowSpacer"/>
              <w:rPr>
                <w:sz w:val="18"/>
              </w:rPr>
            </w:pPr>
          </w:p>
        </w:tc>
        <w:tc>
          <w:tcPr>
            <w:tcW w:w="1132" w:type="dxa"/>
            <w:vAlign w:val="bottom"/>
          </w:tcPr>
          <w:p w14:paraId="34042A5B" w14:textId="77777777" w:rsidR="008C2BF6" w:rsidRPr="00B02BA3" w:rsidRDefault="008C2BF6" w:rsidP="008C2BF6">
            <w:pPr>
              <w:pStyle w:val="SmCellBody"/>
              <w:jc w:val="right"/>
            </w:pPr>
            <w:r>
              <w:t>0.1</w:t>
            </w:r>
          </w:p>
        </w:tc>
        <w:tc>
          <w:tcPr>
            <w:tcW w:w="282" w:type="dxa"/>
            <w:vAlign w:val="bottom"/>
          </w:tcPr>
          <w:p w14:paraId="1ED9B529" w14:textId="77777777" w:rsidR="008C2BF6" w:rsidRPr="00B02BA3" w:rsidRDefault="008C2BF6" w:rsidP="008C2BF6">
            <w:pPr>
              <w:pStyle w:val="CellRowSpacer"/>
              <w:rPr>
                <w:sz w:val="18"/>
              </w:rPr>
            </w:pPr>
          </w:p>
        </w:tc>
        <w:tc>
          <w:tcPr>
            <w:tcW w:w="1132" w:type="dxa"/>
            <w:vAlign w:val="bottom"/>
          </w:tcPr>
          <w:p w14:paraId="2107A00B" w14:textId="77777777" w:rsidR="008C2BF6" w:rsidRPr="00B02BA3" w:rsidRDefault="00076B15" w:rsidP="008C2BF6">
            <w:pPr>
              <w:pStyle w:val="SmCellBody"/>
              <w:tabs>
                <w:tab w:val="left" w:pos="1033"/>
                <w:tab w:val="right" w:pos="1132"/>
              </w:tabs>
              <w:jc w:val="right"/>
            </w:pPr>
            <w:r>
              <w:t>0.0</w:t>
            </w:r>
          </w:p>
        </w:tc>
        <w:tc>
          <w:tcPr>
            <w:tcW w:w="282" w:type="dxa"/>
            <w:vAlign w:val="bottom"/>
          </w:tcPr>
          <w:p w14:paraId="3C9377AD" w14:textId="77777777" w:rsidR="008C2BF6" w:rsidRPr="00B02BA3" w:rsidRDefault="008C2BF6" w:rsidP="008C2BF6">
            <w:pPr>
              <w:pStyle w:val="CellRowSpacer"/>
              <w:rPr>
                <w:sz w:val="18"/>
              </w:rPr>
            </w:pPr>
          </w:p>
        </w:tc>
        <w:tc>
          <w:tcPr>
            <w:tcW w:w="1152" w:type="dxa"/>
          </w:tcPr>
          <w:p w14:paraId="0062EBBD" w14:textId="77777777" w:rsidR="008C2BF6" w:rsidRPr="00B02BA3" w:rsidRDefault="00076B15" w:rsidP="008C2BF6">
            <w:pPr>
              <w:pStyle w:val="SmCellBody"/>
              <w:jc w:val="right"/>
            </w:pPr>
            <w:r>
              <w:t>0.0</w:t>
            </w:r>
          </w:p>
        </w:tc>
        <w:tc>
          <w:tcPr>
            <w:tcW w:w="236" w:type="dxa"/>
            <w:vAlign w:val="bottom"/>
          </w:tcPr>
          <w:p w14:paraId="6DFA5480" w14:textId="77777777" w:rsidR="008C2BF6" w:rsidRPr="00B02BA3" w:rsidRDefault="008C2BF6" w:rsidP="008C2BF6">
            <w:pPr>
              <w:pStyle w:val="CellRowSpacer"/>
              <w:rPr>
                <w:sz w:val="18"/>
              </w:rPr>
            </w:pPr>
          </w:p>
        </w:tc>
      </w:tr>
      <w:tr w:rsidR="008C2BF6" w:rsidRPr="00B02BA3" w14:paraId="3DFC6A72" w14:textId="77777777" w:rsidTr="008C2BF6">
        <w:tc>
          <w:tcPr>
            <w:tcW w:w="3156" w:type="dxa"/>
            <w:vAlign w:val="bottom"/>
          </w:tcPr>
          <w:p w14:paraId="0F260704"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التزامات الإيجار</w:t>
            </w:r>
            <w:r w:rsidRPr="003D0326">
              <w:rPr>
                <w:sz w:val="14"/>
                <w:szCs w:val="16"/>
              </w:rPr>
              <w:tab/>
            </w:r>
          </w:p>
        </w:tc>
        <w:tc>
          <w:tcPr>
            <w:tcW w:w="282" w:type="dxa"/>
            <w:vAlign w:val="bottom"/>
          </w:tcPr>
          <w:p w14:paraId="40E7E770" w14:textId="77777777" w:rsidR="008C2BF6" w:rsidRPr="00B02BA3" w:rsidRDefault="008C2BF6" w:rsidP="008C2BF6">
            <w:pPr>
              <w:pStyle w:val="CellRowSpacer"/>
              <w:rPr>
                <w:sz w:val="18"/>
              </w:rPr>
            </w:pPr>
          </w:p>
        </w:tc>
        <w:tc>
          <w:tcPr>
            <w:tcW w:w="1132" w:type="dxa"/>
            <w:vAlign w:val="bottom"/>
          </w:tcPr>
          <w:p w14:paraId="1BA69C5D" w14:textId="77777777" w:rsidR="008C2BF6" w:rsidRPr="00B02BA3" w:rsidRDefault="008C2BF6" w:rsidP="008C2BF6">
            <w:pPr>
              <w:pStyle w:val="SmCellBody"/>
              <w:jc w:val="right"/>
            </w:pPr>
            <w:r w:rsidRPr="00B02BA3">
              <w:t>17</w:t>
            </w:r>
            <w:r>
              <w:t>.3</w:t>
            </w:r>
          </w:p>
        </w:tc>
        <w:tc>
          <w:tcPr>
            <w:tcW w:w="282" w:type="dxa"/>
            <w:vAlign w:val="bottom"/>
          </w:tcPr>
          <w:p w14:paraId="61C96C1B" w14:textId="77777777" w:rsidR="008C2BF6" w:rsidRPr="00B02BA3" w:rsidRDefault="008C2BF6" w:rsidP="008C2BF6">
            <w:pPr>
              <w:pStyle w:val="CellRowSpacer"/>
              <w:rPr>
                <w:sz w:val="18"/>
              </w:rPr>
            </w:pPr>
          </w:p>
        </w:tc>
        <w:tc>
          <w:tcPr>
            <w:tcW w:w="1132" w:type="dxa"/>
            <w:vAlign w:val="bottom"/>
          </w:tcPr>
          <w:p w14:paraId="07453D3A" w14:textId="77777777" w:rsidR="008C2BF6" w:rsidRPr="00B02BA3" w:rsidRDefault="008C2BF6" w:rsidP="008C2BF6">
            <w:pPr>
              <w:pStyle w:val="SmCellBody"/>
              <w:jc w:val="right"/>
            </w:pPr>
            <w:r w:rsidRPr="00B02BA3">
              <w:t>32</w:t>
            </w:r>
            <w:r>
              <w:t>.3</w:t>
            </w:r>
          </w:p>
        </w:tc>
        <w:tc>
          <w:tcPr>
            <w:tcW w:w="282" w:type="dxa"/>
            <w:vAlign w:val="bottom"/>
          </w:tcPr>
          <w:p w14:paraId="064A7F63" w14:textId="77777777" w:rsidR="008C2BF6" w:rsidRPr="00B02BA3" w:rsidRDefault="008C2BF6" w:rsidP="008C2BF6">
            <w:pPr>
              <w:pStyle w:val="CellRowSpacer"/>
              <w:rPr>
                <w:sz w:val="18"/>
              </w:rPr>
            </w:pPr>
          </w:p>
        </w:tc>
        <w:tc>
          <w:tcPr>
            <w:tcW w:w="1132" w:type="dxa"/>
          </w:tcPr>
          <w:p w14:paraId="7305BDF9" w14:textId="77777777" w:rsidR="008C2BF6" w:rsidRPr="00B02BA3" w:rsidRDefault="008C2BF6" w:rsidP="008C2BF6">
            <w:pPr>
              <w:pStyle w:val="SmCellBody"/>
              <w:jc w:val="right"/>
            </w:pPr>
            <w:r w:rsidRPr="00B02BA3">
              <w:t>84</w:t>
            </w:r>
            <w:r>
              <w:t>.4</w:t>
            </w:r>
          </w:p>
        </w:tc>
        <w:tc>
          <w:tcPr>
            <w:tcW w:w="282" w:type="dxa"/>
            <w:vAlign w:val="bottom"/>
          </w:tcPr>
          <w:p w14:paraId="3E55DE76" w14:textId="77777777" w:rsidR="008C2BF6" w:rsidRPr="00B02BA3" w:rsidRDefault="008C2BF6" w:rsidP="008C2BF6">
            <w:pPr>
              <w:pStyle w:val="CellRowSpacer"/>
              <w:rPr>
                <w:sz w:val="18"/>
              </w:rPr>
            </w:pPr>
          </w:p>
        </w:tc>
        <w:tc>
          <w:tcPr>
            <w:tcW w:w="1152" w:type="dxa"/>
          </w:tcPr>
          <w:p w14:paraId="7F442902" w14:textId="77777777" w:rsidR="008C2BF6" w:rsidRPr="00B02BA3" w:rsidRDefault="00076B15" w:rsidP="008C2BF6">
            <w:pPr>
              <w:pStyle w:val="SmCellBody"/>
              <w:jc w:val="right"/>
            </w:pPr>
            <w:r>
              <w:t>79.1</w:t>
            </w:r>
          </w:p>
        </w:tc>
        <w:tc>
          <w:tcPr>
            <w:tcW w:w="236" w:type="dxa"/>
            <w:vAlign w:val="bottom"/>
          </w:tcPr>
          <w:p w14:paraId="74E63140" w14:textId="77777777" w:rsidR="008C2BF6" w:rsidRPr="00B02BA3" w:rsidRDefault="008C2BF6" w:rsidP="008C2BF6">
            <w:pPr>
              <w:pStyle w:val="CellRowSpacer"/>
              <w:rPr>
                <w:sz w:val="18"/>
              </w:rPr>
            </w:pPr>
          </w:p>
        </w:tc>
      </w:tr>
      <w:tr w:rsidR="008C2BF6" w:rsidRPr="00B02BA3" w14:paraId="347D253E" w14:textId="77777777" w:rsidTr="008C2BF6">
        <w:tc>
          <w:tcPr>
            <w:tcW w:w="3156" w:type="dxa"/>
            <w:vAlign w:val="bottom"/>
          </w:tcPr>
          <w:p w14:paraId="178C7D8B" w14:textId="77777777" w:rsidR="008C2BF6" w:rsidRPr="003D0326" w:rsidRDefault="008C2BF6" w:rsidP="008C2BF6">
            <w:pPr>
              <w:pStyle w:val="SmCellBody"/>
              <w:tabs>
                <w:tab w:val="right" w:leader="dot" w:pos="3163"/>
              </w:tabs>
              <w:bidi/>
              <w:ind w:firstLine="407"/>
              <w:rPr>
                <w:sz w:val="14"/>
                <w:szCs w:val="16"/>
              </w:rPr>
            </w:pPr>
            <w:r w:rsidRPr="003D0326">
              <w:rPr>
                <w:rFonts w:hint="cs"/>
                <w:sz w:val="14"/>
                <w:szCs w:val="16"/>
                <w:rtl/>
              </w:rPr>
              <w:t>الالتزامات التعاقدية</w:t>
            </w:r>
            <w:r w:rsidRPr="003D0326">
              <w:rPr>
                <w:sz w:val="14"/>
                <w:szCs w:val="16"/>
              </w:rPr>
              <w:tab/>
            </w:r>
          </w:p>
        </w:tc>
        <w:tc>
          <w:tcPr>
            <w:tcW w:w="282" w:type="dxa"/>
            <w:vAlign w:val="bottom"/>
          </w:tcPr>
          <w:p w14:paraId="03B90714" w14:textId="77777777" w:rsidR="008C2BF6" w:rsidRPr="00B02BA3" w:rsidRDefault="008C2BF6" w:rsidP="008C2BF6">
            <w:pPr>
              <w:pStyle w:val="CellRowSpacer"/>
              <w:rPr>
                <w:sz w:val="18"/>
              </w:rPr>
            </w:pPr>
          </w:p>
        </w:tc>
        <w:tc>
          <w:tcPr>
            <w:tcW w:w="1132" w:type="dxa"/>
            <w:tcBorders>
              <w:bottom w:val="single" w:sz="4" w:space="0" w:color="auto"/>
            </w:tcBorders>
            <w:vAlign w:val="bottom"/>
          </w:tcPr>
          <w:p w14:paraId="6C514BFA" w14:textId="77777777" w:rsidR="008C2BF6" w:rsidRPr="00B02BA3" w:rsidRDefault="008C2BF6" w:rsidP="008C2BF6">
            <w:pPr>
              <w:pStyle w:val="SmCellBody"/>
              <w:jc w:val="right"/>
            </w:pPr>
            <w:r w:rsidRPr="00B02BA3">
              <w:t>1</w:t>
            </w:r>
            <w:r>
              <w:t>.9</w:t>
            </w:r>
          </w:p>
        </w:tc>
        <w:tc>
          <w:tcPr>
            <w:tcW w:w="282" w:type="dxa"/>
            <w:vAlign w:val="bottom"/>
          </w:tcPr>
          <w:p w14:paraId="05DC9B21" w14:textId="77777777" w:rsidR="008C2BF6" w:rsidRPr="00B02BA3" w:rsidRDefault="008C2BF6" w:rsidP="008C2BF6">
            <w:pPr>
              <w:pStyle w:val="CellRowSpacer"/>
              <w:rPr>
                <w:sz w:val="18"/>
              </w:rPr>
            </w:pPr>
          </w:p>
        </w:tc>
        <w:tc>
          <w:tcPr>
            <w:tcW w:w="1132" w:type="dxa"/>
            <w:tcBorders>
              <w:bottom w:val="single" w:sz="4" w:space="0" w:color="auto"/>
            </w:tcBorders>
            <w:vAlign w:val="bottom"/>
          </w:tcPr>
          <w:p w14:paraId="7B37E447" w14:textId="77777777" w:rsidR="008C2BF6" w:rsidRPr="00B02BA3" w:rsidRDefault="008C2BF6" w:rsidP="008C2BF6">
            <w:pPr>
              <w:pStyle w:val="SmCellBody"/>
              <w:jc w:val="right"/>
            </w:pPr>
            <w:r>
              <w:t>3.0</w:t>
            </w:r>
          </w:p>
        </w:tc>
        <w:tc>
          <w:tcPr>
            <w:tcW w:w="282" w:type="dxa"/>
            <w:vAlign w:val="bottom"/>
          </w:tcPr>
          <w:p w14:paraId="2A3D66D7" w14:textId="77777777" w:rsidR="008C2BF6" w:rsidRPr="00B02BA3" w:rsidRDefault="008C2BF6" w:rsidP="008C2BF6">
            <w:pPr>
              <w:pStyle w:val="CellRowSpacer"/>
              <w:rPr>
                <w:sz w:val="18"/>
              </w:rPr>
            </w:pPr>
          </w:p>
        </w:tc>
        <w:tc>
          <w:tcPr>
            <w:tcW w:w="1132" w:type="dxa"/>
            <w:tcBorders>
              <w:bottom w:val="single" w:sz="4" w:space="0" w:color="auto"/>
            </w:tcBorders>
          </w:tcPr>
          <w:p w14:paraId="109F0114" w14:textId="77777777" w:rsidR="008C2BF6" w:rsidRPr="00B02BA3" w:rsidRDefault="008C2BF6" w:rsidP="008C2BF6">
            <w:pPr>
              <w:pStyle w:val="SmCellBody"/>
              <w:jc w:val="right"/>
            </w:pPr>
            <w:r w:rsidRPr="00B02BA3">
              <w:t>12</w:t>
            </w:r>
            <w:r>
              <w:t>.7</w:t>
            </w:r>
          </w:p>
        </w:tc>
        <w:tc>
          <w:tcPr>
            <w:tcW w:w="282" w:type="dxa"/>
            <w:vAlign w:val="bottom"/>
          </w:tcPr>
          <w:p w14:paraId="3EF90DDE" w14:textId="77777777" w:rsidR="008C2BF6" w:rsidRPr="00B02BA3" w:rsidRDefault="008C2BF6" w:rsidP="008C2BF6">
            <w:pPr>
              <w:pStyle w:val="CellRowSpacer"/>
              <w:rPr>
                <w:sz w:val="18"/>
              </w:rPr>
            </w:pPr>
          </w:p>
        </w:tc>
        <w:tc>
          <w:tcPr>
            <w:tcW w:w="1152" w:type="dxa"/>
            <w:tcBorders>
              <w:bottom w:val="single" w:sz="4" w:space="0" w:color="auto"/>
            </w:tcBorders>
          </w:tcPr>
          <w:p w14:paraId="7395E0ED" w14:textId="77777777" w:rsidR="008C2BF6" w:rsidRPr="00B02BA3" w:rsidRDefault="008C2BF6" w:rsidP="008C2BF6">
            <w:pPr>
              <w:pStyle w:val="SmCellBody"/>
              <w:jc w:val="right"/>
            </w:pPr>
            <w:r>
              <w:t>15.4</w:t>
            </w:r>
          </w:p>
        </w:tc>
        <w:tc>
          <w:tcPr>
            <w:tcW w:w="236" w:type="dxa"/>
            <w:vAlign w:val="bottom"/>
          </w:tcPr>
          <w:p w14:paraId="57E2D7C9" w14:textId="77777777" w:rsidR="008C2BF6" w:rsidRPr="00B02BA3" w:rsidRDefault="008C2BF6" w:rsidP="008C2BF6">
            <w:pPr>
              <w:pStyle w:val="CellRowSpacer"/>
              <w:rPr>
                <w:sz w:val="18"/>
              </w:rPr>
            </w:pPr>
          </w:p>
        </w:tc>
      </w:tr>
      <w:tr w:rsidR="008C2BF6" w:rsidRPr="00B02BA3" w14:paraId="1AD461A6" w14:textId="77777777" w:rsidTr="008C2BF6">
        <w:tc>
          <w:tcPr>
            <w:tcW w:w="3156" w:type="dxa"/>
            <w:vAlign w:val="bottom"/>
          </w:tcPr>
          <w:p w14:paraId="400A9297" w14:textId="77777777" w:rsidR="008C2BF6" w:rsidRPr="003D0326" w:rsidRDefault="008C2BF6" w:rsidP="008C2BF6">
            <w:pPr>
              <w:pStyle w:val="SmCellBody"/>
              <w:tabs>
                <w:tab w:val="right" w:leader="dot" w:pos="3163"/>
              </w:tabs>
              <w:bidi/>
              <w:ind w:firstLine="407"/>
              <w:rPr>
                <w:b/>
                <w:bCs/>
                <w:sz w:val="14"/>
                <w:szCs w:val="16"/>
              </w:rPr>
            </w:pPr>
            <w:r w:rsidRPr="003D0326">
              <w:rPr>
                <w:rFonts w:hint="cs"/>
                <w:b/>
                <w:bCs/>
                <w:sz w:val="14"/>
                <w:szCs w:val="16"/>
                <w:rtl/>
              </w:rPr>
              <w:t>إجمالي الخصوم المتداولة</w:t>
            </w:r>
            <w:r w:rsidRPr="003D0326">
              <w:rPr>
                <w:sz w:val="14"/>
                <w:szCs w:val="16"/>
              </w:rPr>
              <w:tab/>
            </w:r>
          </w:p>
        </w:tc>
        <w:tc>
          <w:tcPr>
            <w:tcW w:w="282" w:type="dxa"/>
            <w:vAlign w:val="bottom"/>
          </w:tcPr>
          <w:p w14:paraId="70A6873D" w14:textId="77777777" w:rsidR="008C2BF6" w:rsidRPr="00B02BA3" w:rsidRDefault="008C2BF6" w:rsidP="008C2BF6">
            <w:pPr>
              <w:pStyle w:val="CellRowSpacer"/>
              <w:rPr>
                <w:sz w:val="18"/>
              </w:rPr>
            </w:pPr>
          </w:p>
        </w:tc>
        <w:tc>
          <w:tcPr>
            <w:tcW w:w="1132" w:type="dxa"/>
            <w:tcBorders>
              <w:top w:val="single" w:sz="4" w:space="0" w:color="auto"/>
              <w:bottom w:val="single" w:sz="4" w:space="0" w:color="auto"/>
            </w:tcBorders>
            <w:vAlign w:val="bottom"/>
          </w:tcPr>
          <w:p w14:paraId="3F9F2DF0" w14:textId="77777777" w:rsidR="008C2BF6" w:rsidRPr="00B02BA3" w:rsidRDefault="008C2BF6" w:rsidP="008C2BF6">
            <w:pPr>
              <w:pStyle w:val="SmCellBody"/>
              <w:jc w:val="right"/>
            </w:pPr>
            <w:r w:rsidRPr="00B02BA3">
              <w:t>162</w:t>
            </w:r>
            <w:r>
              <w:t>.2</w:t>
            </w:r>
          </w:p>
        </w:tc>
        <w:tc>
          <w:tcPr>
            <w:tcW w:w="282" w:type="dxa"/>
            <w:vAlign w:val="bottom"/>
          </w:tcPr>
          <w:p w14:paraId="58B236EA" w14:textId="77777777" w:rsidR="008C2BF6" w:rsidRPr="00B02BA3" w:rsidRDefault="008C2BF6" w:rsidP="008C2BF6">
            <w:pPr>
              <w:pStyle w:val="CellRowSpacer"/>
              <w:rPr>
                <w:sz w:val="18"/>
              </w:rPr>
            </w:pPr>
          </w:p>
        </w:tc>
        <w:tc>
          <w:tcPr>
            <w:tcW w:w="1132" w:type="dxa"/>
            <w:tcBorders>
              <w:top w:val="single" w:sz="4" w:space="0" w:color="auto"/>
              <w:bottom w:val="single" w:sz="4" w:space="0" w:color="auto"/>
            </w:tcBorders>
            <w:vAlign w:val="bottom"/>
          </w:tcPr>
          <w:p w14:paraId="47F189F8" w14:textId="77777777" w:rsidR="008C2BF6" w:rsidRPr="00B02BA3" w:rsidRDefault="008C2BF6" w:rsidP="008C2BF6">
            <w:pPr>
              <w:pStyle w:val="SmCellBody"/>
              <w:jc w:val="right"/>
            </w:pPr>
            <w:r w:rsidRPr="00B02BA3">
              <w:t>129</w:t>
            </w:r>
            <w:r>
              <w:t>.1</w:t>
            </w:r>
          </w:p>
        </w:tc>
        <w:tc>
          <w:tcPr>
            <w:tcW w:w="282" w:type="dxa"/>
            <w:vAlign w:val="bottom"/>
          </w:tcPr>
          <w:p w14:paraId="1846DC91" w14:textId="77777777" w:rsidR="008C2BF6" w:rsidRPr="00B02BA3" w:rsidRDefault="008C2BF6" w:rsidP="008C2BF6">
            <w:pPr>
              <w:pStyle w:val="CellRowSpacer"/>
              <w:rPr>
                <w:sz w:val="18"/>
              </w:rPr>
            </w:pPr>
          </w:p>
        </w:tc>
        <w:tc>
          <w:tcPr>
            <w:tcW w:w="1132" w:type="dxa"/>
            <w:tcBorders>
              <w:top w:val="single" w:sz="4" w:space="0" w:color="auto"/>
              <w:bottom w:val="single" w:sz="4" w:space="0" w:color="auto"/>
            </w:tcBorders>
          </w:tcPr>
          <w:p w14:paraId="7188689C" w14:textId="77777777" w:rsidR="008C2BF6" w:rsidRPr="00B02BA3" w:rsidRDefault="008C2BF6" w:rsidP="008C2BF6">
            <w:pPr>
              <w:pStyle w:val="SmCellBody"/>
              <w:jc w:val="right"/>
            </w:pPr>
            <w:r w:rsidRPr="00B02BA3">
              <w:t>207</w:t>
            </w:r>
            <w:r>
              <w:t>.8</w:t>
            </w:r>
          </w:p>
        </w:tc>
        <w:tc>
          <w:tcPr>
            <w:tcW w:w="282" w:type="dxa"/>
            <w:vAlign w:val="bottom"/>
          </w:tcPr>
          <w:p w14:paraId="192222E2" w14:textId="77777777" w:rsidR="008C2BF6" w:rsidRPr="00B02BA3" w:rsidRDefault="008C2BF6" w:rsidP="008C2BF6">
            <w:pPr>
              <w:pStyle w:val="CellRowSpacer"/>
              <w:rPr>
                <w:sz w:val="18"/>
              </w:rPr>
            </w:pPr>
          </w:p>
        </w:tc>
        <w:tc>
          <w:tcPr>
            <w:tcW w:w="1152" w:type="dxa"/>
            <w:tcBorders>
              <w:top w:val="single" w:sz="4" w:space="0" w:color="auto"/>
              <w:bottom w:val="single" w:sz="4" w:space="0" w:color="auto"/>
            </w:tcBorders>
          </w:tcPr>
          <w:p w14:paraId="4DA0F578" w14:textId="77777777" w:rsidR="008C2BF6" w:rsidRPr="00B02BA3" w:rsidRDefault="00076B15" w:rsidP="008C2BF6">
            <w:pPr>
              <w:pStyle w:val="SmCellBody"/>
              <w:jc w:val="right"/>
            </w:pPr>
            <w:r>
              <w:t>169.7</w:t>
            </w:r>
          </w:p>
        </w:tc>
        <w:tc>
          <w:tcPr>
            <w:tcW w:w="236" w:type="dxa"/>
            <w:vAlign w:val="bottom"/>
          </w:tcPr>
          <w:p w14:paraId="32F5CD5E" w14:textId="77777777" w:rsidR="008C2BF6" w:rsidRPr="00B02BA3" w:rsidRDefault="008C2BF6" w:rsidP="008C2BF6">
            <w:pPr>
              <w:pStyle w:val="CellRowSpacer"/>
              <w:rPr>
                <w:sz w:val="18"/>
              </w:rPr>
            </w:pPr>
          </w:p>
        </w:tc>
      </w:tr>
      <w:tr w:rsidR="008C2BF6" w:rsidRPr="00B02BA3" w14:paraId="199615FB" w14:textId="77777777" w:rsidTr="008C2BF6">
        <w:tc>
          <w:tcPr>
            <w:tcW w:w="3156" w:type="dxa"/>
            <w:vAlign w:val="bottom"/>
          </w:tcPr>
          <w:p w14:paraId="60B2D041"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إجمالي الخصوم</w:t>
            </w:r>
            <w:r w:rsidRPr="003D0326">
              <w:rPr>
                <w:sz w:val="14"/>
                <w:szCs w:val="16"/>
              </w:rPr>
              <w:tab/>
            </w:r>
          </w:p>
        </w:tc>
        <w:tc>
          <w:tcPr>
            <w:tcW w:w="282" w:type="dxa"/>
            <w:vAlign w:val="bottom"/>
          </w:tcPr>
          <w:p w14:paraId="46EC3B3C" w14:textId="77777777" w:rsidR="008C2BF6" w:rsidRPr="00B02BA3" w:rsidRDefault="008C2BF6" w:rsidP="008C2BF6">
            <w:pPr>
              <w:pStyle w:val="CellRowSpacer"/>
              <w:rPr>
                <w:sz w:val="18"/>
              </w:rPr>
            </w:pPr>
          </w:p>
        </w:tc>
        <w:tc>
          <w:tcPr>
            <w:tcW w:w="1132" w:type="dxa"/>
            <w:tcBorders>
              <w:top w:val="single" w:sz="4" w:space="0" w:color="auto"/>
              <w:bottom w:val="single" w:sz="4" w:space="0" w:color="auto"/>
            </w:tcBorders>
            <w:vAlign w:val="bottom"/>
          </w:tcPr>
          <w:p w14:paraId="6FA93CAB" w14:textId="77777777" w:rsidR="008C2BF6" w:rsidRPr="00B02BA3" w:rsidRDefault="008C2BF6" w:rsidP="008C2BF6">
            <w:pPr>
              <w:pStyle w:val="SmCellBody"/>
              <w:jc w:val="right"/>
            </w:pPr>
            <w:r w:rsidRPr="00B02BA3">
              <w:t>743</w:t>
            </w:r>
            <w:r>
              <w:t>.4</w:t>
            </w:r>
          </w:p>
        </w:tc>
        <w:tc>
          <w:tcPr>
            <w:tcW w:w="282" w:type="dxa"/>
            <w:vAlign w:val="bottom"/>
          </w:tcPr>
          <w:p w14:paraId="4A895E16" w14:textId="77777777" w:rsidR="008C2BF6" w:rsidRPr="00B02BA3" w:rsidRDefault="008C2BF6" w:rsidP="008C2BF6">
            <w:pPr>
              <w:pStyle w:val="CellRowSpacer"/>
              <w:rPr>
                <w:sz w:val="18"/>
              </w:rPr>
            </w:pPr>
          </w:p>
        </w:tc>
        <w:tc>
          <w:tcPr>
            <w:tcW w:w="1132" w:type="dxa"/>
            <w:tcBorders>
              <w:top w:val="single" w:sz="4" w:space="0" w:color="auto"/>
              <w:bottom w:val="single" w:sz="4" w:space="0" w:color="auto"/>
            </w:tcBorders>
            <w:vAlign w:val="bottom"/>
          </w:tcPr>
          <w:p w14:paraId="12EB5679" w14:textId="77777777" w:rsidR="008C2BF6" w:rsidRPr="00B02BA3" w:rsidRDefault="008C2BF6" w:rsidP="008C2BF6">
            <w:pPr>
              <w:pStyle w:val="SmCellBody"/>
              <w:jc w:val="right"/>
            </w:pPr>
            <w:r w:rsidRPr="00B02BA3">
              <w:t>690</w:t>
            </w:r>
            <w:r>
              <w:t>.6</w:t>
            </w:r>
          </w:p>
        </w:tc>
        <w:tc>
          <w:tcPr>
            <w:tcW w:w="282" w:type="dxa"/>
            <w:vAlign w:val="bottom"/>
          </w:tcPr>
          <w:p w14:paraId="696129AF" w14:textId="77777777" w:rsidR="008C2BF6" w:rsidRPr="00B02BA3" w:rsidRDefault="008C2BF6" w:rsidP="008C2BF6">
            <w:pPr>
              <w:pStyle w:val="CellRowSpacer"/>
              <w:rPr>
                <w:sz w:val="18"/>
              </w:rPr>
            </w:pPr>
          </w:p>
        </w:tc>
        <w:tc>
          <w:tcPr>
            <w:tcW w:w="1132" w:type="dxa"/>
            <w:tcBorders>
              <w:top w:val="single" w:sz="4" w:space="0" w:color="auto"/>
              <w:bottom w:val="single" w:sz="4" w:space="0" w:color="auto"/>
            </w:tcBorders>
          </w:tcPr>
          <w:p w14:paraId="4F891496" w14:textId="77777777" w:rsidR="008C2BF6" w:rsidRPr="00B02BA3" w:rsidRDefault="008C2BF6" w:rsidP="008C2BF6">
            <w:pPr>
              <w:pStyle w:val="SmCellBody"/>
              <w:jc w:val="right"/>
            </w:pPr>
            <w:r w:rsidRPr="00B02BA3">
              <w:t>720</w:t>
            </w:r>
            <w:r>
              <w:t>.7</w:t>
            </w:r>
          </w:p>
        </w:tc>
        <w:tc>
          <w:tcPr>
            <w:tcW w:w="282" w:type="dxa"/>
            <w:vAlign w:val="bottom"/>
          </w:tcPr>
          <w:p w14:paraId="58E79B8D" w14:textId="77777777" w:rsidR="008C2BF6" w:rsidRPr="00B02BA3" w:rsidRDefault="008C2BF6" w:rsidP="008C2BF6">
            <w:pPr>
              <w:pStyle w:val="CellRowSpacer"/>
              <w:rPr>
                <w:sz w:val="18"/>
              </w:rPr>
            </w:pPr>
          </w:p>
        </w:tc>
        <w:tc>
          <w:tcPr>
            <w:tcW w:w="1152" w:type="dxa"/>
            <w:tcBorders>
              <w:top w:val="single" w:sz="4" w:space="0" w:color="auto"/>
              <w:bottom w:val="single" w:sz="4" w:space="0" w:color="auto"/>
            </w:tcBorders>
          </w:tcPr>
          <w:p w14:paraId="484760FD" w14:textId="77777777" w:rsidR="008C2BF6" w:rsidRPr="00B02BA3" w:rsidRDefault="00076B15" w:rsidP="008C2BF6">
            <w:pPr>
              <w:pStyle w:val="SmCellBody"/>
              <w:jc w:val="right"/>
            </w:pPr>
            <w:r>
              <w:t>654.8</w:t>
            </w:r>
          </w:p>
        </w:tc>
        <w:tc>
          <w:tcPr>
            <w:tcW w:w="236" w:type="dxa"/>
            <w:vAlign w:val="bottom"/>
          </w:tcPr>
          <w:p w14:paraId="7560B1E8" w14:textId="77777777" w:rsidR="008C2BF6" w:rsidRPr="00B02BA3" w:rsidRDefault="008C2BF6" w:rsidP="008C2BF6">
            <w:pPr>
              <w:pStyle w:val="CellRowSpacer"/>
              <w:rPr>
                <w:sz w:val="18"/>
              </w:rPr>
            </w:pPr>
          </w:p>
        </w:tc>
      </w:tr>
      <w:tr w:rsidR="008C2BF6" w:rsidRPr="00B02BA3" w14:paraId="2A68FCD6" w14:textId="77777777" w:rsidTr="008C2BF6">
        <w:tc>
          <w:tcPr>
            <w:tcW w:w="3156" w:type="dxa"/>
            <w:vAlign w:val="bottom"/>
          </w:tcPr>
          <w:p w14:paraId="2DD60C09" w14:textId="77777777" w:rsidR="008C2BF6" w:rsidRPr="003D0326" w:rsidRDefault="008C2BF6" w:rsidP="008C2BF6">
            <w:pPr>
              <w:pStyle w:val="SmCellBody"/>
              <w:tabs>
                <w:tab w:val="right" w:leader="dot" w:pos="3163"/>
              </w:tabs>
              <w:bidi/>
              <w:rPr>
                <w:b/>
                <w:bCs/>
                <w:sz w:val="14"/>
                <w:szCs w:val="16"/>
              </w:rPr>
            </w:pPr>
            <w:r w:rsidRPr="003D0326">
              <w:rPr>
                <w:rFonts w:hint="cs"/>
                <w:b/>
                <w:bCs/>
                <w:sz w:val="14"/>
                <w:szCs w:val="16"/>
                <w:rtl/>
              </w:rPr>
              <w:t>إجمالي الملكية والخصوم</w:t>
            </w:r>
            <w:r w:rsidRPr="003D0326">
              <w:rPr>
                <w:sz w:val="14"/>
                <w:szCs w:val="16"/>
              </w:rPr>
              <w:tab/>
            </w:r>
          </w:p>
        </w:tc>
        <w:tc>
          <w:tcPr>
            <w:tcW w:w="282" w:type="dxa"/>
            <w:vAlign w:val="bottom"/>
          </w:tcPr>
          <w:p w14:paraId="0798848C" w14:textId="77777777" w:rsidR="008C2BF6" w:rsidRPr="00B02BA3" w:rsidRDefault="008C2BF6" w:rsidP="008C2BF6">
            <w:pPr>
              <w:pStyle w:val="CellRowSpacer"/>
              <w:rPr>
                <w:sz w:val="18"/>
              </w:rPr>
            </w:pPr>
          </w:p>
        </w:tc>
        <w:tc>
          <w:tcPr>
            <w:tcW w:w="1132" w:type="dxa"/>
            <w:tcBorders>
              <w:top w:val="single" w:sz="4" w:space="0" w:color="auto"/>
              <w:bottom w:val="double" w:sz="4" w:space="0" w:color="auto"/>
            </w:tcBorders>
            <w:vAlign w:val="bottom"/>
          </w:tcPr>
          <w:p w14:paraId="0121A915" w14:textId="77777777" w:rsidR="008C2BF6" w:rsidRPr="00B02BA3" w:rsidRDefault="008C2BF6" w:rsidP="008C2BF6">
            <w:pPr>
              <w:pStyle w:val="SmCellBody"/>
              <w:jc w:val="right"/>
            </w:pPr>
            <w:r w:rsidRPr="00B02BA3">
              <w:t>1,143</w:t>
            </w:r>
            <w:r>
              <w:t>.3</w:t>
            </w:r>
          </w:p>
        </w:tc>
        <w:tc>
          <w:tcPr>
            <w:tcW w:w="282" w:type="dxa"/>
            <w:vAlign w:val="bottom"/>
          </w:tcPr>
          <w:p w14:paraId="03604347" w14:textId="77777777" w:rsidR="008C2BF6" w:rsidRPr="00B02BA3" w:rsidRDefault="008C2BF6" w:rsidP="008C2BF6">
            <w:pPr>
              <w:pStyle w:val="CellRowSpacer"/>
              <w:rPr>
                <w:sz w:val="18"/>
              </w:rPr>
            </w:pPr>
          </w:p>
        </w:tc>
        <w:tc>
          <w:tcPr>
            <w:tcW w:w="1132" w:type="dxa"/>
            <w:tcBorders>
              <w:top w:val="single" w:sz="4" w:space="0" w:color="auto"/>
              <w:bottom w:val="double" w:sz="4" w:space="0" w:color="auto"/>
            </w:tcBorders>
            <w:vAlign w:val="bottom"/>
          </w:tcPr>
          <w:p w14:paraId="1F01BA8F" w14:textId="77777777" w:rsidR="008C2BF6" w:rsidRPr="00B02BA3" w:rsidRDefault="008C2BF6" w:rsidP="008C2BF6">
            <w:pPr>
              <w:pStyle w:val="SmCellBody"/>
              <w:jc w:val="right"/>
            </w:pPr>
            <w:r w:rsidRPr="00B02BA3">
              <w:t>1,144</w:t>
            </w:r>
            <w:r>
              <w:t>.3</w:t>
            </w:r>
          </w:p>
        </w:tc>
        <w:tc>
          <w:tcPr>
            <w:tcW w:w="282" w:type="dxa"/>
            <w:vAlign w:val="bottom"/>
          </w:tcPr>
          <w:p w14:paraId="205ED507" w14:textId="77777777" w:rsidR="008C2BF6" w:rsidRPr="00B02BA3" w:rsidRDefault="008C2BF6" w:rsidP="008C2BF6">
            <w:pPr>
              <w:pStyle w:val="CellRowSpacer"/>
              <w:rPr>
                <w:sz w:val="18"/>
              </w:rPr>
            </w:pPr>
          </w:p>
        </w:tc>
        <w:tc>
          <w:tcPr>
            <w:tcW w:w="1132" w:type="dxa"/>
            <w:tcBorders>
              <w:top w:val="single" w:sz="4" w:space="0" w:color="auto"/>
              <w:bottom w:val="double" w:sz="4" w:space="0" w:color="auto"/>
            </w:tcBorders>
          </w:tcPr>
          <w:p w14:paraId="711F3642" w14:textId="77777777" w:rsidR="008C2BF6" w:rsidRPr="00B02BA3" w:rsidRDefault="008C2BF6" w:rsidP="008C2BF6">
            <w:pPr>
              <w:pStyle w:val="SmCellBody"/>
              <w:jc w:val="right"/>
            </w:pPr>
            <w:r w:rsidRPr="00B02BA3">
              <w:t>1,164</w:t>
            </w:r>
            <w:r>
              <w:t>.6</w:t>
            </w:r>
          </w:p>
        </w:tc>
        <w:tc>
          <w:tcPr>
            <w:tcW w:w="282" w:type="dxa"/>
            <w:vAlign w:val="bottom"/>
          </w:tcPr>
          <w:p w14:paraId="557179D3" w14:textId="77777777" w:rsidR="008C2BF6" w:rsidRPr="00B02BA3" w:rsidRDefault="008C2BF6" w:rsidP="008C2BF6">
            <w:pPr>
              <w:pStyle w:val="CellRowSpacer"/>
              <w:rPr>
                <w:sz w:val="18"/>
              </w:rPr>
            </w:pPr>
          </w:p>
        </w:tc>
        <w:tc>
          <w:tcPr>
            <w:tcW w:w="1152" w:type="dxa"/>
            <w:tcBorders>
              <w:top w:val="single" w:sz="4" w:space="0" w:color="auto"/>
              <w:bottom w:val="double" w:sz="4" w:space="0" w:color="auto"/>
            </w:tcBorders>
          </w:tcPr>
          <w:p w14:paraId="7D5B6ED6" w14:textId="77777777" w:rsidR="008C2BF6" w:rsidRPr="00B02BA3" w:rsidRDefault="008C2BF6" w:rsidP="008C2BF6">
            <w:pPr>
              <w:pStyle w:val="SmCellBody"/>
              <w:jc w:val="right"/>
            </w:pPr>
            <w:r>
              <w:t>1,</w:t>
            </w:r>
            <w:r w:rsidR="008A6119">
              <w:t>120</w:t>
            </w:r>
            <w:r>
              <w:t>.</w:t>
            </w:r>
            <w:r w:rsidR="008A6119">
              <w:t>9</w:t>
            </w:r>
          </w:p>
        </w:tc>
        <w:tc>
          <w:tcPr>
            <w:tcW w:w="236" w:type="dxa"/>
            <w:vAlign w:val="bottom"/>
          </w:tcPr>
          <w:p w14:paraId="37B80A1E" w14:textId="77777777" w:rsidR="008C2BF6" w:rsidRPr="00B02BA3" w:rsidRDefault="008C2BF6" w:rsidP="008C2BF6">
            <w:pPr>
              <w:pStyle w:val="CellRowSpacer"/>
              <w:rPr>
                <w:sz w:val="18"/>
              </w:rPr>
            </w:pPr>
          </w:p>
        </w:tc>
      </w:tr>
    </w:tbl>
    <w:p w14:paraId="18B872B7" w14:textId="77777777" w:rsidR="00D50A45" w:rsidRDefault="00D50A45" w:rsidP="00D50A45">
      <w:pPr>
        <w:autoSpaceDE w:val="0"/>
        <w:autoSpaceDN w:val="0"/>
        <w:bidi/>
        <w:adjustRightInd w:val="0"/>
        <w:jc w:val="both"/>
        <w:rPr>
          <w:rFonts w:ascii="Traditional Arabic" w:hAnsi="Traditional Arabic" w:cs="Traditional Arabic"/>
          <w:sz w:val="30"/>
          <w:szCs w:val="30"/>
          <w:rtl/>
          <w:lang w:bidi="ar-EG"/>
        </w:rPr>
      </w:pPr>
    </w:p>
    <w:p w14:paraId="77158934" w14:textId="77777777" w:rsidR="007419C2" w:rsidRDefault="007419C2" w:rsidP="007419C2">
      <w:pPr>
        <w:autoSpaceDE w:val="0"/>
        <w:autoSpaceDN w:val="0"/>
        <w:bidi/>
        <w:adjustRightInd w:val="0"/>
        <w:jc w:val="both"/>
        <w:rPr>
          <w:rFonts w:ascii="Traditional Arabic" w:hAnsi="Traditional Arabic" w:cs="Traditional Arabic"/>
          <w:sz w:val="30"/>
          <w:szCs w:val="30"/>
          <w:rtl/>
          <w:lang w:bidi="ar-EG"/>
        </w:rPr>
      </w:pPr>
    </w:p>
    <w:p w14:paraId="103D8EF9" w14:textId="77777777" w:rsidR="002F6059" w:rsidRDefault="002F6059" w:rsidP="002F6059">
      <w:pPr>
        <w:autoSpaceDE w:val="0"/>
        <w:autoSpaceDN w:val="0"/>
        <w:bidi/>
        <w:adjustRightInd w:val="0"/>
        <w:jc w:val="both"/>
        <w:rPr>
          <w:rFonts w:ascii="Traditional Arabic" w:hAnsi="Traditional Arabic" w:cs="Traditional Arabic"/>
          <w:b/>
          <w:bCs/>
          <w:sz w:val="30"/>
          <w:szCs w:val="30"/>
          <w:rtl/>
          <w:lang w:bidi="ar-EG"/>
        </w:rPr>
      </w:pPr>
      <w:r>
        <w:rPr>
          <w:rFonts w:ascii="Traditional Arabic" w:hAnsi="Traditional Arabic" w:cs="Traditional Arabic" w:hint="cs"/>
          <w:b/>
          <w:bCs/>
          <w:sz w:val="30"/>
          <w:szCs w:val="30"/>
          <w:rtl/>
          <w:lang w:bidi="ar-EG"/>
        </w:rPr>
        <w:t>بيان التدفقات النقدية (ر.ع)</w:t>
      </w:r>
    </w:p>
    <w:tbl>
      <w:tblPr>
        <w:bidiVisual/>
        <w:tblW w:w="9048" w:type="dxa"/>
        <w:tblInd w:w="437" w:type="dxa"/>
        <w:tblLayout w:type="fixed"/>
        <w:tblCellMar>
          <w:left w:w="0" w:type="dxa"/>
          <w:right w:w="0" w:type="dxa"/>
        </w:tblCellMar>
        <w:tblLook w:val="0000" w:firstRow="0" w:lastRow="0" w:firstColumn="0" w:lastColumn="0" w:noHBand="0" w:noVBand="0"/>
      </w:tblPr>
      <w:tblGrid>
        <w:gridCol w:w="3141"/>
        <w:gridCol w:w="235"/>
        <w:gridCol w:w="901"/>
        <w:gridCol w:w="235"/>
        <w:gridCol w:w="900"/>
        <w:gridCol w:w="234"/>
        <w:gridCol w:w="900"/>
        <w:gridCol w:w="234"/>
        <w:gridCol w:w="900"/>
        <w:gridCol w:w="234"/>
        <w:gridCol w:w="900"/>
        <w:gridCol w:w="234"/>
      </w:tblGrid>
      <w:tr w:rsidR="008C2BF6" w:rsidRPr="00B02BA3" w14:paraId="2C894588" w14:textId="77777777" w:rsidTr="008C2BF6">
        <w:trPr>
          <w:tblHeader/>
        </w:trPr>
        <w:tc>
          <w:tcPr>
            <w:tcW w:w="3141" w:type="dxa"/>
            <w:vAlign w:val="bottom"/>
          </w:tcPr>
          <w:p w14:paraId="24A29C55" w14:textId="77777777" w:rsidR="008C2BF6" w:rsidRPr="00B02BA3" w:rsidRDefault="008C2BF6" w:rsidP="008C2BF6">
            <w:pPr>
              <w:pStyle w:val="VSmCellHead"/>
              <w:bidi/>
            </w:pPr>
          </w:p>
        </w:tc>
        <w:tc>
          <w:tcPr>
            <w:tcW w:w="235" w:type="dxa"/>
            <w:vAlign w:val="bottom"/>
          </w:tcPr>
          <w:p w14:paraId="0D54335C" w14:textId="77777777" w:rsidR="008C2BF6" w:rsidRPr="00B02BA3" w:rsidRDefault="008C2BF6" w:rsidP="008C2BF6">
            <w:pPr>
              <w:pStyle w:val="CellRowSpacer"/>
              <w:spacing w:after="120"/>
              <w:rPr>
                <w:sz w:val="17"/>
              </w:rPr>
            </w:pPr>
          </w:p>
        </w:tc>
        <w:tc>
          <w:tcPr>
            <w:tcW w:w="3170" w:type="dxa"/>
            <w:gridSpan w:val="5"/>
            <w:tcBorders>
              <w:bottom w:val="single" w:sz="4" w:space="0" w:color="auto"/>
            </w:tcBorders>
            <w:vAlign w:val="bottom"/>
          </w:tcPr>
          <w:p w14:paraId="72431906" w14:textId="77777777" w:rsidR="008C2BF6" w:rsidRPr="00B02BA3" w:rsidRDefault="008C2BF6" w:rsidP="008C2BF6">
            <w:pPr>
              <w:pStyle w:val="VSmCellHead"/>
              <w:jc w:val="center"/>
            </w:pPr>
            <w:r w:rsidRPr="00B02BA3">
              <w:t>Year Ended 31 December</w:t>
            </w:r>
          </w:p>
        </w:tc>
        <w:tc>
          <w:tcPr>
            <w:tcW w:w="234" w:type="dxa"/>
            <w:vAlign w:val="bottom"/>
          </w:tcPr>
          <w:p w14:paraId="1323FBC2" w14:textId="77777777" w:rsidR="008C2BF6" w:rsidRPr="00B02BA3" w:rsidRDefault="008C2BF6" w:rsidP="008C2BF6">
            <w:pPr>
              <w:pStyle w:val="CellRowSpacer"/>
              <w:spacing w:after="120"/>
              <w:jc w:val="center"/>
              <w:rPr>
                <w:sz w:val="17"/>
              </w:rPr>
            </w:pPr>
          </w:p>
        </w:tc>
        <w:tc>
          <w:tcPr>
            <w:tcW w:w="2034" w:type="dxa"/>
            <w:gridSpan w:val="3"/>
            <w:tcBorders>
              <w:bottom w:val="single" w:sz="4" w:space="0" w:color="auto"/>
            </w:tcBorders>
            <w:vAlign w:val="bottom"/>
          </w:tcPr>
          <w:p w14:paraId="667E0FA0" w14:textId="77777777" w:rsidR="008C2BF6" w:rsidRPr="00B02BA3" w:rsidRDefault="008C2BF6" w:rsidP="008C2BF6">
            <w:pPr>
              <w:pStyle w:val="VSmCellHead"/>
              <w:jc w:val="center"/>
            </w:pPr>
            <w:r w:rsidRPr="00B02BA3">
              <w:t>Nine Months Ended 30 September</w:t>
            </w:r>
          </w:p>
        </w:tc>
        <w:tc>
          <w:tcPr>
            <w:tcW w:w="234" w:type="dxa"/>
            <w:vAlign w:val="bottom"/>
          </w:tcPr>
          <w:p w14:paraId="0D2A5847" w14:textId="77777777" w:rsidR="008C2BF6" w:rsidRPr="00B02BA3" w:rsidRDefault="008C2BF6" w:rsidP="008C2BF6">
            <w:pPr>
              <w:pStyle w:val="CellRowSpacer"/>
              <w:spacing w:after="120"/>
              <w:rPr>
                <w:sz w:val="17"/>
              </w:rPr>
            </w:pPr>
          </w:p>
        </w:tc>
      </w:tr>
      <w:tr w:rsidR="008C2BF6" w:rsidRPr="00B02BA3" w14:paraId="562BD05D" w14:textId="77777777" w:rsidTr="008C2BF6">
        <w:tc>
          <w:tcPr>
            <w:tcW w:w="3141" w:type="dxa"/>
            <w:vAlign w:val="bottom"/>
          </w:tcPr>
          <w:p w14:paraId="293D2C8D" w14:textId="77777777" w:rsidR="008C2BF6" w:rsidRPr="00B02BA3" w:rsidRDefault="008C2BF6" w:rsidP="008C2BF6">
            <w:pPr>
              <w:pStyle w:val="VSmCellBody"/>
              <w:tabs>
                <w:tab w:val="right" w:leader="dot" w:pos="3163"/>
              </w:tabs>
              <w:bidi/>
            </w:pPr>
          </w:p>
        </w:tc>
        <w:tc>
          <w:tcPr>
            <w:tcW w:w="235" w:type="dxa"/>
            <w:vAlign w:val="bottom"/>
          </w:tcPr>
          <w:p w14:paraId="2AE2F544" w14:textId="77777777" w:rsidR="008C2BF6" w:rsidRPr="00B02BA3" w:rsidRDefault="008C2BF6" w:rsidP="008C2BF6">
            <w:pPr>
              <w:pStyle w:val="CellRowSpacer"/>
              <w:rPr>
                <w:sz w:val="17"/>
              </w:rPr>
            </w:pPr>
          </w:p>
        </w:tc>
        <w:tc>
          <w:tcPr>
            <w:tcW w:w="901" w:type="dxa"/>
            <w:tcBorders>
              <w:top w:val="single" w:sz="4" w:space="0" w:color="auto"/>
              <w:bottom w:val="single" w:sz="4" w:space="0" w:color="auto"/>
            </w:tcBorders>
            <w:vAlign w:val="bottom"/>
          </w:tcPr>
          <w:p w14:paraId="5FE7F596" w14:textId="77777777" w:rsidR="008C2BF6" w:rsidRPr="00B02BA3" w:rsidRDefault="008C2BF6" w:rsidP="008C2BF6">
            <w:pPr>
              <w:pStyle w:val="VSmCellBody"/>
              <w:jc w:val="right"/>
              <w:rPr>
                <w:b/>
                <w:bCs/>
              </w:rPr>
            </w:pPr>
            <w:r w:rsidRPr="00B02BA3">
              <w:rPr>
                <w:b/>
                <w:bCs/>
              </w:rPr>
              <w:t>2021</w:t>
            </w:r>
          </w:p>
        </w:tc>
        <w:tc>
          <w:tcPr>
            <w:tcW w:w="235" w:type="dxa"/>
            <w:tcBorders>
              <w:top w:val="single" w:sz="4" w:space="0" w:color="auto"/>
            </w:tcBorders>
            <w:vAlign w:val="bottom"/>
          </w:tcPr>
          <w:p w14:paraId="60C56B0F" w14:textId="77777777" w:rsidR="008C2BF6" w:rsidRPr="00B02BA3" w:rsidRDefault="008C2BF6" w:rsidP="008C2BF6">
            <w:pPr>
              <w:pStyle w:val="CellRowSpacer"/>
              <w:rPr>
                <w:b/>
                <w:bCs/>
                <w:sz w:val="17"/>
              </w:rPr>
            </w:pPr>
          </w:p>
        </w:tc>
        <w:tc>
          <w:tcPr>
            <w:tcW w:w="900" w:type="dxa"/>
            <w:tcBorders>
              <w:top w:val="single" w:sz="4" w:space="0" w:color="auto"/>
              <w:bottom w:val="single" w:sz="4" w:space="0" w:color="auto"/>
            </w:tcBorders>
            <w:vAlign w:val="bottom"/>
          </w:tcPr>
          <w:p w14:paraId="10A90A0D" w14:textId="77777777" w:rsidR="008C2BF6" w:rsidRPr="00B02BA3" w:rsidRDefault="008C2BF6" w:rsidP="008C2BF6">
            <w:pPr>
              <w:pStyle w:val="VSmCellBody"/>
              <w:jc w:val="right"/>
              <w:rPr>
                <w:b/>
                <w:bCs/>
              </w:rPr>
            </w:pPr>
            <w:r w:rsidRPr="00B02BA3">
              <w:rPr>
                <w:b/>
                <w:bCs/>
              </w:rPr>
              <w:t>2022</w:t>
            </w:r>
          </w:p>
        </w:tc>
        <w:tc>
          <w:tcPr>
            <w:tcW w:w="234" w:type="dxa"/>
            <w:tcBorders>
              <w:top w:val="single" w:sz="4" w:space="0" w:color="auto"/>
            </w:tcBorders>
            <w:vAlign w:val="bottom"/>
          </w:tcPr>
          <w:p w14:paraId="3FF341E8" w14:textId="77777777" w:rsidR="008C2BF6" w:rsidRPr="00B02BA3" w:rsidRDefault="008C2BF6" w:rsidP="008C2BF6">
            <w:pPr>
              <w:pStyle w:val="CellRowSpacer"/>
              <w:rPr>
                <w:b/>
                <w:bCs/>
                <w:sz w:val="17"/>
              </w:rPr>
            </w:pPr>
          </w:p>
        </w:tc>
        <w:tc>
          <w:tcPr>
            <w:tcW w:w="900" w:type="dxa"/>
            <w:tcBorders>
              <w:top w:val="single" w:sz="4" w:space="0" w:color="auto"/>
              <w:bottom w:val="single" w:sz="4" w:space="0" w:color="auto"/>
            </w:tcBorders>
            <w:vAlign w:val="bottom"/>
          </w:tcPr>
          <w:p w14:paraId="7234290F" w14:textId="77777777" w:rsidR="008C2BF6" w:rsidRPr="00B02BA3" w:rsidRDefault="008C2BF6" w:rsidP="008C2BF6">
            <w:pPr>
              <w:pStyle w:val="VSmCellBody"/>
              <w:jc w:val="right"/>
              <w:rPr>
                <w:b/>
                <w:bCs/>
              </w:rPr>
            </w:pPr>
            <w:r w:rsidRPr="00B02BA3">
              <w:rPr>
                <w:b/>
                <w:bCs/>
              </w:rPr>
              <w:t>2023</w:t>
            </w:r>
          </w:p>
        </w:tc>
        <w:tc>
          <w:tcPr>
            <w:tcW w:w="234" w:type="dxa"/>
            <w:vAlign w:val="bottom"/>
          </w:tcPr>
          <w:p w14:paraId="5618251A" w14:textId="77777777" w:rsidR="008C2BF6" w:rsidRPr="00B02BA3" w:rsidRDefault="008C2BF6" w:rsidP="008C2BF6">
            <w:pPr>
              <w:pStyle w:val="CellRowSpacer"/>
              <w:rPr>
                <w:b/>
                <w:bCs/>
                <w:sz w:val="17"/>
              </w:rPr>
            </w:pPr>
          </w:p>
        </w:tc>
        <w:tc>
          <w:tcPr>
            <w:tcW w:w="900" w:type="dxa"/>
            <w:tcBorders>
              <w:top w:val="single" w:sz="4" w:space="0" w:color="auto"/>
              <w:bottom w:val="single" w:sz="4" w:space="0" w:color="auto"/>
            </w:tcBorders>
            <w:vAlign w:val="bottom"/>
          </w:tcPr>
          <w:p w14:paraId="77542BA3" w14:textId="77777777" w:rsidR="008C2BF6" w:rsidRPr="00B02BA3" w:rsidRDefault="008C2BF6" w:rsidP="008C2BF6">
            <w:pPr>
              <w:pStyle w:val="VSmCellBody"/>
              <w:jc w:val="right"/>
              <w:rPr>
                <w:b/>
                <w:bCs/>
              </w:rPr>
            </w:pPr>
            <w:r w:rsidRPr="00B02BA3">
              <w:rPr>
                <w:b/>
                <w:bCs/>
              </w:rPr>
              <w:t>2023</w:t>
            </w:r>
          </w:p>
        </w:tc>
        <w:tc>
          <w:tcPr>
            <w:tcW w:w="234" w:type="dxa"/>
            <w:tcBorders>
              <w:top w:val="single" w:sz="4" w:space="0" w:color="auto"/>
            </w:tcBorders>
            <w:vAlign w:val="bottom"/>
          </w:tcPr>
          <w:p w14:paraId="731AFA35" w14:textId="77777777" w:rsidR="008C2BF6" w:rsidRPr="00B02BA3" w:rsidRDefault="008C2BF6" w:rsidP="008C2BF6">
            <w:pPr>
              <w:pStyle w:val="CellRowSpacer"/>
              <w:rPr>
                <w:b/>
                <w:bCs/>
                <w:sz w:val="17"/>
              </w:rPr>
            </w:pPr>
          </w:p>
        </w:tc>
        <w:tc>
          <w:tcPr>
            <w:tcW w:w="900" w:type="dxa"/>
            <w:tcBorders>
              <w:top w:val="single" w:sz="4" w:space="0" w:color="auto"/>
              <w:bottom w:val="single" w:sz="4" w:space="0" w:color="auto"/>
            </w:tcBorders>
            <w:vAlign w:val="bottom"/>
          </w:tcPr>
          <w:p w14:paraId="6CFDB5F7" w14:textId="77777777" w:rsidR="008C2BF6" w:rsidRPr="00B02BA3" w:rsidRDefault="008C2BF6" w:rsidP="008C2BF6">
            <w:pPr>
              <w:pStyle w:val="VSmCellBody"/>
              <w:jc w:val="right"/>
              <w:rPr>
                <w:b/>
                <w:bCs/>
              </w:rPr>
            </w:pPr>
            <w:r w:rsidRPr="00B02BA3">
              <w:rPr>
                <w:b/>
                <w:bCs/>
              </w:rPr>
              <w:t>2024</w:t>
            </w:r>
          </w:p>
        </w:tc>
        <w:tc>
          <w:tcPr>
            <w:tcW w:w="234" w:type="dxa"/>
            <w:vAlign w:val="bottom"/>
          </w:tcPr>
          <w:p w14:paraId="5C3AC887" w14:textId="77777777" w:rsidR="008C2BF6" w:rsidRPr="00B02BA3" w:rsidRDefault="008C2BF6" w:rsidP="008C2BF6">
            <w:pPr>
              <w:pStyle w:val="CellRowSpacer"/>
              <w:rPr>
                <w:sz w:val="17"/>
              </w:rPr>
            </w:pPr>
          </w:p>
        </w:tc>
      </w:tr>
      <w:tr w:rsidR="008C2BF6" w:rsidRPr="00B02BA3" w14:paraId="0E07BDE9" w14:textId="77777777" w:rsidTr="008C2BF6">
        <w:tc>
          <w:tcPr>
            <w:tcW w:w="3141" w:type="dxa"/>
            <w:vAlign w:val="bottom"/>
          </w:tcPr>
          <w:p w14:paraId="69E55A25" w14:textId="77777777" w:rsidR="008C2BF6" w:rsidRPr="00B02BA3" w:rsidRDefault="008C2BF6" w:rsidP="008C2BF6">
            <w:pPr>
              <w:pStyle w:val="VSmCellBody"/>
              <w:tabs>
                <w:tab w:val="right" w:leader="dot" w:pos="3163"/>
              </w:tabs>
              <w:bidi/>
              <w:jc w:val="center"/>
              <w:rPr>
                <w:i/>
                <w:iCs/>
              </w:rPr>
            </w:pPr>
          </w:p>
        </w:tc>
        <w:tc>
          <w:tcPr>
            <w:tcW w:w="235" w:type="dxa"/>
            <w:vAlign w:val="bottom"/>
          </w:tcPr>
          <w:p w14:paraId="1EC03FE5" w14:textId="77777777" w:rsidR="008C2BF6" w:rsidRPr="00B02BA3" w:rsidRDefault="008C2BF6" w:rsidP="008C2BF6">
            <w:pPr>
              <w:pStyle w:val="CellRowSpacer"/>
              <w:jc w:val="center"/>
              <w:rPr>
                <w:i/>
                <w:iCs/>
                <w:sz w:val="17"/>
              </w:rPr>
            </w:pPr>
          </w:p>
        </w:tc>
        <w:tc>
          <w:tcPr>
            <w:tcW w:w="5438" w:type="dxa"/>
            <w:gridSpan w:val="9"/>
            <w:vAlign w:val="bottom"/>
          </w:tcPr>
          <w:p w14:paraId="505FF0BC" w14:textId="77777777" w:rsidR="008C2BF6" w:rsidRPr="00B02BA3" w:rsidRDefault="008C2BF6" w:rsidP="008C2BF6">
            <w:pPr>
              <w:pStyle w:val="VSmCellBody"/>
              <w:jc w:val="center"/>
              <w:rPr>
                <w:i/>
                <w:iCs/>
              </w:rPr>
            </w:pPr>
            <w:r w:rsidRPr="00B02BA3">
              <w:rPr>
                <w:i/>
                <w:iCs/>
              </w:rPr>
              <w:t xml:space="preserve">(OMR </w:t>
            </w:r>
            <w:r>
              <w:rPr>
                <w:i/>
                <w:iCs/>
              </w:rPr>
              <w:t>millions</w:t>
            </w:r>
            <w:r w:rsidRPr="00B02BA3">
              <w:rPr>
                <w:i/>
                <w:iCs/>
              </w:rPr>
              <w:t>)</w:t>
            </w:r>
          </w:p>
        </w:tc>
        <w:tc>
          <w:tcPr>
            <w:tcW w:w="234" w:type="dxa"/>
            <w:vAlign w:val="bottom"/>
          </w:tcPr>
          <w:p w14:paraId="0BA32D26" w14:textId="77777777" w:rsidR="008C2BF6" w:rsidRPr="00B02BA3" w:rsidRDefault="008C2BF6" w:rsidP="008C2BF6">
            <w:pPr>
              <w:pStyle w:val="CellRowSpacer"/>
              <w:jc w:val="center"/>
              <w:rPr>
                <w:i/>
                <w:iCs/>
                <w:sz w:val="17"/>
              </w:rPr>
            </w:pPr>
          </w:p>
        </w:tc>
      </w:tr>
      <w:tr w:rsidR="008C2BF6" w:rsidRPr="00B02BA3" w14:paraId="2030702F" w14:textId="77777777" w:rsidTr="008C2BF6">
        <w:tc>
          <w:tcPr>
            <w:tcW w:w="3141" w:type="dxa"/>
            <w:vAlign w:val="bottom"/>
          </w:tcPr>
          <w:p w14:paraId="5A0D4279" w14:textId="77777777" w:rsidR="008C2BF6" w:rsidRPr="00B02BA3" w:rsidRDefault="008C2BF6" w:rsidP="008C2BF6">
            <w:pPr>
              <w:pStyle w:val="VSmCellBody"/>
              <w:tabs>
                <w:tab w:val="right" w:leader="dot" w:pos="3163"/>
              </w:tabs>
              <w:bidi/>
              <w:rPr>
                <w:color w:val="000000"/>
                <w:szCs w:val="17"/>
              </w:rPr>
            </w:pPr>
            <w:r>
              <w:rPr>
                <w:rFonts w:hint="cs"/>
                <w:color w:val="000000"/>
                <w:szCs w:val="17"/>
                <w:rtl/>
              </w:rPr>
              <w:t>صافي النقد الناتج عن الأنشطة التشغيلية</w:t>
            </w:r>
            <w:r w:rsidRPr="00B02BA3">
              <w:rPr>
                <w:szCs w:val="17"/>
              </w:rPr>
              <w:tab/>
            </w:r>
          </w:p>
        </w:tc>
        <w:tc>
          <w:tcPr>
            <w:tcW w:w="235" w:type="dxa"/>
            <w:vAlign w:val="bottom"/>
          </w:tcPr>
          <w:p w14:paraId="49BC09F4" w14:textId="77777777" w:rsidR="008C2BF6" w:rsidRPr="00B02BA3" w:rsidRDefault="008C2BF6" w:rsidP="008C2BF6">
            <w:pPr>
              <w:pStyle w:val="CellRowSpacer"/>
              <w:rPr>
                <w:sz w:val="17"/>
              </w:rPr>
            </w:pPr>
          </w:p>
        </w:tc>
        <w:tc>
          <w:tcPr>
            <w:tcW w:w="901" w:type="dxa"/>
            <w:vAlign w:val="bottom"/>
          </w:tcPr>
          <w:p w14:paraId="4DD6A1FE" w14:textId="77777777" w:rsidR="008C2BF6" w:rsidRPr="00B02BA3" w:rsidRDefault="00D75411" w:rsidP="008C2BF6">
            <w:pPr>
              <w:pStyle w:val="VSmCellBody"/>
              <w:jc w:val="right"/>
            </w:pPr>
            <w:r>
              <w:t>66.8</w:t>
            </w:r>
          </w:p>
        </w:tc>
        <w:tc>
          <w:tcPr>
            <w:tcW w:w="235" w:type="dxa"/>
            <w:vAlign w:val="bottom"/>
          </w:tcPr>
          <w:p w14:paraId="3E116AA2" w14:textId="77777777" w:rsidR="008C2BF6" w:rsidRPr="00B02BA3" w:rsidRDefault="008C2BF6" w:rsidP="008C2BF6">
            <w:pPr>
              <w:pStyle w:val="CellRowSpacer"/>
              <w:rPr>
                <w:sz w:val="17"/>
              </w:rPr>
            </w:pPr>
          </w:p>
        </w:tc>
        <w:tc>
          <w:tcPr>
            <w:tcW w:w="900" w:type="dxa"/>
            <w:vAlign w:val="bottom"/>
          </w:tcPr>
          <w:p w14:paraId="3D34AF21" w14:textId="77777777" w:rsidR="008C2BF6" w:rsidRPr="00B02BA3" w:rsidRDefault="008C2BF6" w:rsidP="008C2BF6">
            <w:pPr>
              <w:pStyle w:val="VSmCellBody"/>
              <w:jc w:val="right"/>
            </w:pPr>
            <w:r w:rsidRPr="00B02BA3">
              <w:t>78</w:t>
            </w:r>
            <w:r>
              <w:t>.1</w:t>
            </w:r>
          </w:p>
        </w:tc>
        <w:tc>
          <w:tcPr>
            <w:tcW w:w="234" w:type="dxa"/>
            <w:vAlign w:val="bottom"/>
          </w:tcPr>
          <w:p w14:paraId="292F5C82" w14:textId="77777777" w:rsidR="008C2BF6" w:rsidRPr="00B02BA3" w:rsidRDefault="008C2BF6" w:rsidP="008C2BF6">
            <w:pPr>
              <w:pStyle w:val="CellRowSpacer"/>
              <w:rPr>
                <w:sz w:val="17"/>
              </w:rPr>
            </w:pPr>
          </w:p>
        </w:tc>
        <w:tc>
          <w:tcPr>
            <w:tcW w:w="900" w:type="dxa"/>
            <w:vAlign w:val="bottom"/>
          </w:tcPr>
          <w:p w14:paraId="18FCA0B3" w14:textId="77777777" w:rsidR="008C2BF6" w:rsidRPr="00B02BA3" w:rsidRDefault="008C2BF6" w:rsidP="008C2BF6">
            <w:pPr>
              <w:pStyle w:val="VSmCellBody"/>
              <w:jc w:val="right"/>
            </w:pPr>
            <w:r w:rsidRPr="00B02BA3">
              <w:t>182</w:t>
            </w:r>
            <w:r>
              <w:t>.5</w:t>
            </w:r>
          </w:p>
        </w:tc>
        <w:tc>
          <w:tcPr>
            <w:tcW w:w="234" w:type="dxa"/>
            <w:vAlign w:val="bottom"/>
          </w:tcPr>
          <w:p w14:paraId="2EADB2B8" w14:textId="77777777" w:rsidR="008C2BF6" w:rsidRPr="00B02BA3" w:rsidRDefault="008C2BF6" w:rsidP="008C2BF6">
            <w:pPr>
              <w:pStyle w:val="CellRowSpacer"/>
              <w:rPr>
                <w:sz w:val="17"/>
              </w:rPr>
            </w:pPr>
          </w:p>
        </w:tc>
        <w:tc>
          <w:tcPr>
            <w:tcW w:w="900" w:type="dxa"/>
            <w:vAlign w:val="bottom"/>
          </w:tcPr>
          <w:p w14:paraId="58ADFF74" w14:textId="77777777" w:rsidR="008C2BF6" w:rsidRPr="00B02BA3" w:rsidRDefault="000A78E8" w:rsidP="008C2BF6">
            <w:pPr>
              <w:pStyle w:val="VSmCellBody"/>
              <w:jc w:val="right"/>
            </w:pPr>
            <w:r>
              <w:t>130.9</w:t>
            </w:r>
          </w:p>
        </w:tc>
        <w:tc>
          <w:tcPr>
            <w:tcW w:w="234" w:type="dxa"/>
            <w:vAlign w:val="bottom"/>
          </w:tcPr>
          <w:p w14:paraId="262DF157" w14:textId="77777777" w:rsidR="008C2BF6" w:rsidRPr="00B02BA3" w:rsidRDefault="008C2BF6" w:rsidP="008C2BF6">
            <w:pPr>
              <w:pStyle w:val="CellRowSpacer"/>
              <w:rPr>
                <w:sz w:val="17"/>
              </w:rPr>
            </w:pPr>
          </w:p>
        </w:tc>
        <w:tc>
          <w:tcPr>
            <w:tcW w:w="900" w:type="dxa"/>
            <w:vAlign w:val="bottom"/>
          </w:tcPr>
          <w:p w14:paraId="4B90552C" w14:textId="77777777" w:rsidR="008C2BF6" w:rsidRPr="00B02BA3" w:rsidRDefault="000A78E8" w:rsidP="008C2BF6">
            <w:pPr>
              <w:pStyle w:val="VSmCellBody"/>
              <w:jc w:val="right"/>
            </w:pPr>
            <w:r>
              <w:t>114.3</w:t>
            </w:r>
          </w:p>
        </w:tc>
        <w:tc>
          <w:tcPr>
            <w:tcW w:w="234" w:type="dxa"/>
            <w:vAlign w:val="bottom"/>
          </w:tcPr>
          <w:p w14:paraId="7B204628" w14:textId="77777777" w:rsidR="008C2BF6" w:rsidRPr="00B02BA3" w:rsidRDefault="008C2BF6" w:rsidP="008C2BF6">
            <w:pPr>
              <w:pStyle w:val="CellRowSpacer"/>
              <w:rPr>
                <w:sz w:val="17"/>
              </w:rPr>
            </w:pPr>
          </w:p>
        </w:tc>
      </w:tr>
      <w:tr w:rsidR="008C2BF6" w:rsidRPr="00B02BA3" w14:paraId="68E7799D" w14:textId="77777777" w:rsidTr="008C2BF6">
        <w:tc>
          <w:tcPr>
            <w:tcW w:w="3141" w:type="dxa"/>
            <w:vAlign w:val="bottom"/>
          </w:tcPr>
          <w:p w14:paraId="7D4C7417" w14:textId="77777777" w:rsidR="008C2BF6" w:rsidRPr="00B02BA3" w:rsidRDefault="008C2BF6" w:rsidP="008C2BF6">
            <w:pPr>
              <w:pStyle w:val="VSmCellBody"/>
              <w:tabs>
                <w:tab w:val="right" w:leader="dot" w:pos="3163"/>
              </w:tabs>
              <w:bidi/>
              <w:rPr>
                <w:szCs w:val="17"/>
              </w:rPr>
            </w:pPr>
            <w:r>
              <w:rPr>
                <w:rFonts w:hint="cs"/>
                <w:szCs w:val="17"/>
                <w:rtl/>
              </w:rPr>
              <w:t>صافي النقد (المستخدم)/ الناتج عن الأنشطة الاستثمارية</w:t>
            </w:r>
            <w:r w:rsidRPr="00B02BA3">
              <w:rPr>
                <w:szCs w:val="17"/>
              </w:rPr>
              <w:tab/>
            </w:r>
          </w:p>
        </w:tc>
        <w:tc>
          <w:tcPr>
            <w:tcW w:w="235" w:type="dxa"/>
            <w:vAlign w:val="bottom"/>
          </w:tcPr>
          <w:p w14:paraId="790E9F52" w14:textId="77777777" w:rsidR="008C2BF6" w:rsidRPr="00B02BA3" w:rsidRDefault="008C2BF6" w:rsidP="008C2BF6">
            <w:pPr>
              <w:pStyle w:val="CellRowSpacer"/>
              <w:rPr>
                <w:sz w:val="17"/>
              </w:rPr>
            </w:pPr>
          </w:p>
        </w:tc>
        <w:tc>
          <w:tcPr>
            <w:tcW w:w="901" w:type="dxa"/>
            <w:vAlign w:val="bottom"/>
          </w:tcPr>
          <w:p w14:paraId="41030E7D" w14:textId="77777777" w:rsidR="008C2BF6" w:rsidRPr="00B02BA3" w:rsidRDefault="008C2BF6" w:rsidP="008C2BF6">
            <w:pPr>
              <w:pStyle w:val="VSmCellBody"/>
              <w:jc w:val="right"/>
            </w:pPr>
            <w:r w:rsidRPr="00B02BA3">
              <w:t>(</w:t>
            </w:r>
            <w:r w:rsidR="00B32BB0">
              <w:t>64.3</w:t>
            </w:r>
            <w:r w:rsidR="00753C17">
              <w:t>)</w:t>
            </w:r>
          </w:p>
        </w:tc>
        <w:tc>
          <w:tcPr>
            <w:tcW w:w="235" w:type="dxa"/>
            <w:vAlign w:val="bottom"/>
          </w:tcPr>
          <w:p w14:paraId="2D4FBB6F" w14:textId="77777777" w:rsidR="008C2BF6" w:rsidRPr="00B02BA3" w:rsidRDefault="008C2BF6" w:rsidP="008C2BF6">
            <w:pPr>
              <w:pStyle w:val="CellRowSpacer"/>
              <w:rPr>
                <w:sz w:val="17"/>
              </w:rPr>
            </w:pPr>
          </w:p>
        </w:tc>
        <w:tc>
          <w:tcPr>
            <w:tcW w:w="900" w:type="dxa"/>
            <w:vAlign w:val="bottom"/>
          </w:tcPr>
          <w:p w14:paraId="66D66BFC" w14:textId="77777777" w:rsidR="008C2BF6" w:rsidRPr="00B02BA3" w:rsidRDefault="000A78E8" w:rsidP="008C2BF6">
            <w:pPr>
              <w:pStyle w:val="VSmCellBody"/>
              <w:jc w:val="right"/>
            </w:pPr>
            <w:r>
              <w:t>46.2</w:t>
            </w:r>
          </w:p>
        </w:tc>
        <w:tc>
          <w:tcPr>
            <w:tcW w:w="234" w:type="dxa"/>
            <w:vAlign w:val="bottom"/>
          </w:tcPr>
          <w:p w14:paraId="4AF99A82" w14:textId="77777777" w:rsidR="008C2BF6" w:rsidRPr="00B02BA3" w:rsidRDefault="008C2BF6" w:rsidP="008C2BF6">
            <w:pPr>
              <w:pStyle w:val="CellRowSpacer"/>
              <w:rPr>
                <w:sz w:val="17"/>
              </w:rPr>
            </w:pPr>
          </w:p>
        </w:tc>
        <w:tc>
          <w:tcPr>
            <w:tcW w:w="900" w:type="dxa"/>
            <w:vAlign w:val="bottom"/>
          </w:tcPr>
          <w:p w14:paraId="64A93FA5" w14:textId="77777777" w:rsidR="008C2BF6" w:rsidRPr="00B02BA3" w:rsidRDefault="008C2BF6" w:rsidP="008C2BF6">
            <w:pPr>
              <w:pStyle w:val="VSmCellBody"/>
              <w:jc w:val="right"/>
            </w:pPr>
            <w:r w:rsidRPr="00B02BA3">
              <w:t>(11</w:t>
            </w:r>
            <w:r>
              <w:t>.4</w:t>
            </w:r>
            <w:r w:rsidR="00753C17">
              <w:t>)</w:t>
            </w:r>
          </w:p>
        </w:tc>
        <w:tc>
          <w:tcPr>
            <w:tcW w:w="234" w:type="dxa"/>
            <w:vAlign w:val="bottom"/>
          </w:tcPr>
          <w:p w14:paraId="4BFB95A7" w14:textId="77777777" w:rsidR="008C2BF6" w:rsidRPr="00B02BA3" w:rsidRDefault="008C2BF6" w:rsidP="008C2BF6">
            <w:pPr>
              <w:pStyle w:val="CellRowSpacer"/>
              <w:rPr>
                <w:sz w:val="17"/>
              </w:rPr>
            </w:pPr>
            <w:r w:rsidRPr="00B02BA3">
              <w:rPr>
                <w:sz w:val="17"/>
              </w:rPr>
              <w:t>)</w:t>
            </w:r>
          </w:p>
        </w:tc>
        <w:tc>
          <w:tcPr>
            <w:tcW w:w="900" w:type="dxa"/>
            <w:vAlign w:val="bottom"/>
          </w:tcPr>
          <w:p w14:paraId="0DA8F30D" w14:textId="77777777" w:rsidR="008C2BF6" w:rsidRPr="00B02BA3" w:rsidRDefault="008C2BF6" w:rsidP="008C2BF6">
            <w:pPr>
              <w:pStyle w:val="VSmCellBody"/>
              <w:jc w:val="right"/>
            </w:pPr>
            <w:r>
              <w:t>(51.4</w:t>
            </w:r>
          </w:p>
        </w:tc>
        <w:tc>
          <w:tcPr>
            <w:tcW w:w="234" w:type="dxa"/>
            <w:vAlign w:val="bottom"/>
          </w:tcPr>
          <w:p w14:paraId="2580E2DC" w14:textId="77777777" w:rsidR="008C2BF6" w:rsidRPr="00B02BA3" w:rsidRDefault="008C2BF6" w:rsidP="008C2BF6">
            <w:pPr>
              <w:pStyle w:val="CellRowSpacer"/>
              <w:rPr>
                <w:sz w:val="17"/>
              </w:rPr>
            </w:pPr>
          </w:p>
        </w:tc>
        <w:tc>
          <w:tcPr>
            <w:tcW w:w="900" w:type="dxa"/>
            <w:vAlign w:val="bottom"/>
          </w:tcPr>
          <w:p w14:paraId="5C8BE10B" w14:textId="77777777" w:rsidR="008C2BF6" w:rsidRPr="00B02BA3" w:rsidRDefault="000A78E8" w:rsidP="008C2BF6">
            <w:pPr>
              <w:pStyle w:val="VSmCellBody"/>
              <w:jc w:val="right"/>
            </w:pPr>
            <w:r>
              <w:t>0.0</w:t>
            </w:r>
          </w:p>
        </w:tc>
        <w:tc>
          <w:tcPr>
            <w:tcW w:w="234" w:type="dxa"/>
            <w:vAlign w:val="bottom"/>
          </w:tcPr>
          <w:p w14:paraId="7D455C00" w14:textId="77777777" w:rsidR="008C2BF6" w:rsidRPr="00B02BA3" w:rsidRDefault="008C2BF6" w:rsidP="008C2BF6">
            <w:pPr>
              <w:pStyle w:val="CellRowSpacer"/>
              <w:rPr>
                <w:sz w:val="17"/>
              </w:rPr>
            </w:pPr>
          </w:p>
        </w:tc>
      </w:tr>
      <w:tr w:rsidR="008C2BF6" w:rsidRPr="00B02BA3" w14:paraId="451E9BC2" w14:textId="77777777" w:rsidTr="008C2BF6">
        <w:tc>
          <w:tcPr>
            <w:tcW w:w="3141" w:type="dxa"/>
            <w:vAlign w:val="bottom"/>
          </w:tcPr>
          <w:p w14:paraId="13316191" w14:textId="77777777" w:rsidR="008C2BF6" w:rsidRPr="00B02BA3" w:rsidRDefault="008C2BF6" w:rsidP="008C2BF6">
            <w:pPr>
              <w:pStyle w:val="VSmCellBody"/>
              <w:tabs>
                <w:tab w:val="right" w:leader="dot" w:pos="3163"/>
              </w:tabs>
              <w:bidi/>
              <w:rPr>
                <w:szCs w:val="17"/>
              </w:rPr>
            </w:pPr>
            <w:r>
              <w:rPr>
                <w:rFonts w:hint="cs"/>
                <w:szCs w:val="17"/>
                <w:rtl/>
              </w:rPr>
              <w:t>صافي النقد المستخدم في الأنشطة المالية</w:t>
            </w:r>
            <w:r w:rsidRPr="00B02BA3">
              <w:rPr>
                <w:szCs w:val="17"/>
              </w:rPr>
              <w:tab/>
            </w:r>
          </w:p>
        </w:tc>
        <w:tc>
          <w:tcPr>
            <w:tcW w:w="235" w:type="dxa"/>
            <w:vAlign w:val="bottom"/>
          </w:tcPr>
          <w:p w14:paraId="6878AFDF" w14:textId="77777777" w:rsidR="008C2BF6" w:rsidRPr="00B02BA3" w:rsidRDefault="008C2BF6" w:rsidP="008C2BF6">
            <w:pPr>
              <w:pStyle w:val="CellRowSpacer"/>
              <w:rPr>
                <w:sz w:val="17"/>
              </w:rPr>
            </w:pPr>
          </w:p>
        </w:tc>
        <w:tc>
          <w:tcPr>
            <w:tcW w:w="901" w:type="dxa"/>
            <w:vAlign w:val="bottom"/>
          </w:tcPr>
          <w:p w14:paraId="78FFE0B0" w14:textId="77777777" w:rsidR="008C2BF6" w:rsidRPr="00B02BA3" w:rsidRDefault="008C2BF6" w:rsidP="008C2BF6">
            <w:pPr>
              <w:pStyle w:val="VSmCellBody"/>
              <w:jc w:val="right"/>
            </w:pPr>
            <w:r w:rsidRPr="00B02BA3">
              <w:t>(</w:t>
            </w:r>
            <w:r w:rsidR="00B32BB0">
              <w:t>89.1</w:t>
            </w:r>
            <w:r w:rsidR="00753C17">
              <w:t>)</w:t>
            </w:r>
          </w:p>
        </w:tc>
        <w:tc>
          <w:tcPr>
            <w:tcW w:w="235" w:type="dxa"/>
            <w:vAlign w:val="bottom"/>
          </w:tcPr>
          <w:p w14:paraId="0B5BC89C" w14:textId="77777777" w:rsidR="008C2BF6" w:rsidRPr="00B02BA3" w:rsidRDefault="008C2BF6" w:rsidP="008C2BF6">
            <w:pPr>
              <w:pStyle w:val="CellRowSpacer"/>
              <w:rPr>
                <w:sz w:val="17"/>
              </w:rPr>
            </w:pPr>
            <w:r w:rsidRPr="00B02BA3">
              <w:rPr>
                <w:sz w:val="17"/>
              </w:rPr>
              <w:t>)</w:t>
            </w:r>
          </w:p>
        </w:tc>
        <w:tc>
          <w:tcPr>
            <w:tcW w:w="900" w:type="dxa"/>
            <w:vAlign w:val="bottom"/>
          </w:tcPr>
          <w:p w14:paraId="5B2BC823" w14:textId="77777777" w:rsidR="008C2BF6" w:rsidRPr="00B02BA3" w:rsidRDefault="008C2BF6" w:rsidP="008C2BF6">
            <w:pPr>
              <w:pStyle w:val="VSmCellBody"/>
              <w:jc w:val="right"/>
            </w:pPr>
            <w:r w:rsidRPr="00B02BA3">
              <w:t>(8</w:t>
            </w:r>
            <w:r>
              <w:t>9.0</w:t>
            </w:r>
          </w:p>
        </w:tc>
        <w:tc>
          <w:tcPr>
            <w:tcW w:w="234" w:type="dxa"/>
            <w:vAlign w:val="bottom"/>
          </w:tcPr>
          <w:p w14:paraId="39A9BAC9" w14:textId="77777777" w:rsidR="008C2BF6" w:rsidRPr="00B02BA3" w:rsidRDefault="008C2BF6" w:rsidP="008C2BF6">
            <w:pPr>
              <w:pStyle w:val="CellRowSpacer"/>
              <w:rPr>
                <w:sz w:val="17"/>
              </w:rPr>
            </w:pPr>
            <w:r w:rsidRPr="00B02BA3">
              <w:rPr>
                <w:sz w:val="17"/>
              </w:rPr>
              <w:t>)</w:t>
            </w:r>
          </w:p>
        </w:tc>
        <w:tc>
          <w:tcPr>
            <w:tcW w:w="900" w:type="dxa"/>
            <w:vAlign w:val="bottom"/>
          </w:tcPr>
          <w:p w14:paraId="3F6F8337" w14:textId="77777777" w:rsidR="008C2BF6" w:rsidRPr="00B02BA3" w:rsidRDefault="008C2BF6" w:rsidP="008C2BF6">
            <w:pPr>
              <w:pStyle w:val="VSmCellBody"/>
              <w:jc w:val="right"/>
            </w:pPr>
            <w:r w:rsidRPr="00B02BA3">
              <w:t>(177</w:t>
            </w:r>
            <w:r>
              <w:t>.6</w:t>
            </w:r>
          </w:p>
        </w:tc>
        <w:tc>
          <w:tcPr>
            <w:tcW w:w="234" w:type="dxa"/>
            <w:vAlign w:val="bottom"/>
          </w:tcPr>
          <w:p w14:paraId="3409B8C9" w14:textId="77777777" w:rsidR="008C2BF6" w:rsidRPr="00B02BA3" w:rsidRDefault="008C2BF6" w:rsidP="008C2BF6">
            <w:pPr>
              <w:pStyle w:val="CellRowSpacer"/>
              <w:rPr>
                <w:sz w:val="17"/>
              </w:rPr>
            </w:pPr>
            <w:r w:rsidRPr="00B02BA3">
              <w:rPr>
                <w:sz w:val="17"/>
              </w:rPr>
              <w:t>)</w:t>
            </w:r>
          </w:p>
        </w:tc>
        <w:tc>
          <w:tcPr>
            <w:tcW w:w="900" w:type="dxa"/>
            <w:vAlign w:val="bottom"/>
          </w:tcPr>
          <w:p w14:paraId="7402CEC2" w14:textId="77777777" w:rsidR="008C2BF6" w:rsidRPr="00B02BA3" w:rsidRDefault="008C2BF6" w:rsidP="008C2BF6">
            <w:pPr>
              <w:pStyle w:val="VSmCellBody"/>
              <w:jc w:val="right"/>
            </w:pPr>
            <w:r>
              <w:t>(</w:t>
            </w:r>
            <w:r w:rsidR="00915716">
              <w:t>105</w:t>
            </w:r>
            <w:r>
              <w:t>.9</w:t>
            </w:r>
          </w:p>
        </w:tc>
        <w:tc>
          <w:tcPr>
            <w:tcW w:w="234" w:type="dxa"/>
            <w:vAlign w:val="bottom"/>
          </w:tcPr>
          <w:p w14:paraId="2AC2DD37" w14:textId="77777777" w:rsidR="008C2BF6" w:rsidRPr="00B02BA3" w:rsidRDefault="00711702" w:rsidP="008C2BF6">
            <w:pPr>
              <w:pStyle w:val="CellRowSpacer"/>
              <w:rPr>
                <w:sz w:val="17"/>
              </w:rPr>
            </w:pPr>
            <w:r>
              <w:rPr>
                <w:sz w:val="17"/>
              </w:rPr>
              <w:t>)</w:t>
            </w:r>
          </w:p>
        </w:tc>
        <w:tc>
          <w:tcPr>
            <w:tcW w:w="900" w:type="dxa"/>
            <w:vAlign w:val="bottom"/>
          </w:tcPr>
          <w:p w14:paraId="10AD60D3" w14:textId="77777777" w:rsidR="008C2BF6" w:rsidRPr="00B02BA3" w:rsidRDefault="00711702" w:rsidP="008C2BF6">
            <w:pPr>
              <w:pStyle w:val="VSmCellBody"/>
              <w:jc w:val="right"/>
            </w:pPr>
            <w:r>
              <w:t>(</w:t>
            </w:r>
            <w:r w:rsidR="00017465">
              <w:t>124</w:t>
            </w:r>
            <w:r w:rsidR="000A78E8">
              <w:t>.7</w:t>
            </w:r>
          </w:p>
        </w:tc>
        <w:tc>
          <w:tcPr>
            <w:tcW w:w="234" w:type="dxa"/>
            <w:vAlign w:val="bottom"/>
          </w:tcPr>
          <w:p w14:paraId="666829F5" w14:textId="77777777" w:rsidR="008C2BF6" w:rsidRPr="00B02BA3" w:rsidRDefault="008C2BF6" w:rsidP="008C2BF6">
            <w:pPr>
              <w:pStyle w:val="CellRowSpacer"/>
              <w:rPr>
                <w:sz w:val="17"/>
              </w:rPr>
            </w:pPr>
          </w:p>
        </w:tc>
      </w:tr>
      <w:tr w:rsidR="008C2BF6" w:rsidRPr="00B02BA3" w14:paraId="72CB5CFD" w14:textId="77777777" w:rsidTr="008C2BF6">
        <w:tc>
          <w:tcPr>
            <w:tcW w:w="3141" w:type="dxa"/>
            <w:vAlign w:val="bottom"/>
          </w:tcPr>
          <w:p w14:paraId="424A2FB4" w14:textId="77777777" w:rsidR="008C2BF6" w:rsidRPr="00B02BA3" w:rsidRDefault="008C2BF6" w:rsidP="008C2BF6">
            <w:pPr>
              <w:pStyle w:val="VSmCellBody"/>
              <w:tabs>
                <w:tab w:val="right" w:leader="dot" w:pos="3163"/>
              </w:tabs>
              <w:bidi/>
              <w:rPr>
                <w:szCs w:val="17"/>
              </w:rPr>
            </w:pPr>
            <w:r>
              <w:rPr>
                <w:rFonts w:hint="cs"/>
                <w:szCs w:val="17"/>
                <w:rtl/>
              </w:rPr>
              <w:t>صافي (انخفاض)/ زيادة النقد والنقد المعادل</w:t>
            </w:r>
            <w:r w:rsidRPr="00B02BA3">
              <w:rPr>
                <w:szCs w:val="17"/>
              </w:rPr>
              <w:tab/>
            </w:r>
          </w:p>
        </w:tc>
        <w:tc>
          <w:tcPr>
            <w:tcW w:w="235" w:type="dxa"/>
            <w:vAlign w:val="bottom"/>
          </w:tcPr>
          <w:p w14:paraId="3314D825" w14:textId="77777777" w:rsidR="008C2BF6" w:rsidRPr="00B02BA3" w:rsidRDefault="008C2BF6" w:rsidP="008C2BF6">
            <w:pPr>
              <w:pStyle w:val="CellRowSpacer"/>
              <w:rPr>
                <w:sz w:val="17"/>
              </w:rPr>
            </w:pPr>
          </w:p>
        </w:tc>
        <w:tc>
          <w:tcPr>
            <w:tcW w:w="901" w:type="dxa"/>
            <w:vAlign w:val="bottom"/>
          </w:tcPr>
          <w:p w14:paraId="41B4CF6B" w14:textId="77777777" w:rsidR="008C2BF6" w:rsidRPr="00B02BA3" w:rsidRDefault="008C2BF6" w:rsidP="008C2BF6">
            <w:pPr>
              <w:pStyle w:val="VSmCellBody"/>
              <w:jc w:val="right"/>
            </w:pPr>
            <w:r w:rsidRPr="00B02BA3">
              <w:t>(83</w:t>
            </w:r>
            <w:r>
              <w:t>.6</w:t>
            </w:r>
            <w:r w:rsidR="00753C17">
              <w:t>)</w:t>
            </w:r>
          </w:p>
        </w:tc>
        <w:tc>
          <w:tcPr>
            <w:tcW w:w="235" w:type="dxa"/>
            <w:vAlign w:val="bottom"/>
          </w:tcPr>
          <w:p w14:paraId="50861CC1" w14:textId="77777777" w:rsidR="008C2BF6" w:rsidRPr="00B02BA3" w:rsidRDefault="008C2BF6" w:rsidP="008C2BF6">
            <w:pPr>
              <w:pStyle w:val="CellRowSpacer"/>
              <w:rPr>
                <w:sz w:val="17"/>
              </w:rPr>
            </w:pPr>
            <w:r w:rsidRPr="00B02BA3">
              <w:rPr>
                <w:sz w:val="17"/>
              </w:rPr>
              <w:t>)</w:t>
            </w:r>
          </w:p>
        </w:tc>
        <w:tc>
          <w:tcPr>
            <w:tcW w:w="900" w:type="dxa"/>
            <w:vAlign w:val="bottom"/>
          </w:tcPr>
          <w:p w14:paraId="4409ECA2" w14:textId="77777777" w:rsidR="008C2BF6" w:rsidRPr="00B02BA3" w:rsidRDefault="008C2BF6" w:rsidP="008C2BF6">
            <w:pPr>
              <w:pStyle w:val="VSmCellBody"/>
              <w:jc w:val="right"/>
            </w:pPr>
            <w:r w:rsidRPr="00B02BA3">
              <w:t>35</w:t>
            </w:r>
            <w:r>
              <w:t>.3</w:t>
            </w:r>
          </w:p>
        </w:tc>
        <w:tc>
          <w:tcPr>
            <w:tcW w:w="234" w:type="dxa"/>
            <w:vAlign w:val="bottom"/>
          </w:tcPr>
          <w:p w14:paraId="4BC7D87F" w14:textId="77777777" w:rsidR="008C2BF6" w:rsidRPr="00B02BA3" w:rsidRDefault="00753C17" w:rsidP="008C2BF6">
            <w:pPr>
              <w:pStyle w:val="CellRowSpacer"/>
              <w:rPr>
                <w:sz w:val="17"/>
              </w:rPr>
            </w:pPr>
            <w:r>
              <w:rPr>
                <w:sz w:val="17"/>
              </w:rPr>
              <w:t>)</w:t>
            </w:r>
          </w:p>
        </w:tc>
        <w:tc>
          <w:tcPr>
            <w:tcW w:w="900" w:type="dxa"/>
            <w:vAlign w:val="bottom"/>
          </w:tcPr>
          <w:p w14:paraId="4CC94B37" w14:textId="77777777" w:rsidR="008C2BF6" w:rsidRPr="00B02BA3" w:rsidRDefault="008C2BF6" w:rsidP="008C2BF6">
            <w:pPr>
              <w:pStyle w:val="VSmCellBody"/>
              <w:jc w:val="right"/>
            </w:pPr>
            <w:r w:rsidRPr="00B02BA3">
              <w:t>(6</w:t>
            </w:r>
            <w:r>
              <w:t>.6</w:t>
            </w:r>
          </w:p>
        </w:tc>
        <w:tc>
          <w:tcPr>
            <w:tcW w:w="234" w:type="dxa"/>
            <w:vAlign w:val="bottom"/>
          </w:tcPr>
          <w:p w14:paraId="615756F8" w14:textId="77777777" w:rsidR="008C2BF6" w:rsidRPr="00B02BA3" w:rsidRDefault="008C2BF6" w:rsidP="008C2BF6">
            <w:pPr>
              <w:pStyle w:val="CellRowSpacer"/>
              <w:rPr>
                <w:sz w:val="17"/>
              </w:rPr>
            </w:pPr>
            <w:r w:rsidRPr="00B02BA3">
              <w:rPr>
                <w:sz w:val="17"/>
              </w:rPr>
              <w:t>)</w:t>
            </w:r>
          </w:p>
        </w:tc>
        <w:tc>
          <w:tcPr>
            <w:tcW w:w="900" w:type="dxa"/>
            <w:vAlign w:val="bottom"/>
          </w:tcPr>
          <w:p w14:paraId="6EB047B3" w14:textId="77777777" w:rsidR="008C2BF6" w:rsidRPr="00B02BA3" w:rsidRDefault="008C2BF6" w:rsidP="008C2BF6">
            <w:pPr>
              <w:pStyle w:val="VSmCellBody"/>
              <w:jc w:val="right"/>
            </w:pPr>
            <w:r>
              <w:t>(26.3</w:t>
            </w:r>
          </w:p>
        </w:tc>
        <w:tc>
          <w:tcPr>
            <w:tcW w:w="234" w:type="dxa"/>
            <w:vAlign w:val="bottom"/>
          </w:tcPr>
          <w:p w14:paraId="7BBB9589" w14:textId="77777777" w:rsidR="008C2BF6" w:rsidRPr="00B02BA3" w:rsidRDefault="008C2BF6" w:rsidP="008C2BF6">
            <w:pPr>
              <w:pStyle w:val="CellRowSpacer"/>
              <w:rPr>
                <w:sz w:val="17"/>
              </w:rPr>
            </w:pPr>
            <w:r>
              <w:rPr>
                <w:sz w:val="17"/>
              </w:rPr>
              <w:t>)</w:t>
            </w:r>
          </w:p>
        </w:tc>
        <w:tc>
          <w:tcPr>
            <w:tcW w:w="900" w:type="dxa"/>
            <w:vAlign w:val="bottom"/>
          </w:tcPr>
          <w:p w14:paraId="66649E2E" w14:textId="77777777" w:rsidR="008C2BF6" w:rsidRPr="00B02BA3" w:rsidRDefault="008C2BF6" w:rsidP="008C2BF6">
            <w:pPr>
              <w:pStyle w:val="VSmCellBody"/>
              <w:jc w:val="right"/>
            </w:pPr>
            <w:r>
              <w:t>(10.4</w:t>
            </w:r>
          </w:p>
        </w:tc>
        <w:tc>
          <w:tcPr>
            <w:tcW w:w="234" w:type="dxa"/>
            <w:vAlign w:val="bottom"/>
          </w:tcPr>
          <w:p w14:paraId="3D153CD4" w14:textId="77777777" w:rsidR="008C2BF6" w:rsidRPr="00B02BA3" w:rsidRDefault="008C2BF6" w:rsidP="008C2BF6">
            <w:pPr>
              <w:pStyle w:val="CellRowSpacer"/>
              <w:rPr>
                <w:sz w:val="17"/>
              </w:rPr>
            </w:pPr>
          </w:p>
        </w:tc>
      </w:tr>
      <w:tr w:rsidR="008C2BF6" w:rsidRPr="00B02BA3" w14:paraId="482F924D" w14:textId="77777777" w:rsidTr="008C2BF6">
        <w:tc>
          <w:tcPr>
            <w:tcW w:w="3141" w:type="dxa"/>
            <w:vAlign w:val="bottom"/>
          </w:tcPr>
          <w:p w14:paraId="7EBB5D27" w14:textId="77777777" w:rsidR="008C2BF6" w:rsidRPr="00B02BA3" w:rsidRDefault="008C2BF6" w:rsidP="008C2BF6">
            <w:pPr>
              <w:pStyle w:val="VSmCellBody"/>
              <w:tabs>
                <w:tab w:val="right" w:leader="dot" w:pos="3163"/>
              </w:tabs>
              <w:bidi/>
              <w:rPr>
                <w:color w:val="000000"/>
                <w:szCs w:val="17"/>
              </w:rPr>
            </w:pPr>
            <w:r>
              <w:rPr>
                <w:rFonts w:hint="cs"/>
                <w:color w:val="000000"/>
                <w:szCs w:val="17"/>
                <w:rtl/>
              </w:rPr>
              <w:t>النقد وما في حكمه في بداية الفترة</w:t>
            </w:r>
            <w:r w:rsidRPr="00B02BA3">
              <w:rPr>
                <w:color w:val="000000"/>
                <w:szCs w:val="17"/>
              </w:rPr>
              <w:tab/>
            </w:r>
          </w:p>
        </w:tc>
        <w:tc>
          <w:tcPr>
            <w:tcW w:w="235" w:type="dxa"/>
            <w:vAlign w:val="bottom"/>
          </w:tcPr>
          <w:p w14:paraId="74F19C1F" w14:textId="77777777" w:rsidR="008C2BF6" w:rsidRPr="00B02BA3" w:rsidRDefault="008C2BF6" w:rsidP="008C2BF6">
            <w:pPr>
              <w:pStyle w:val="CellRowSpacer"/>
              <w:rPr>
                <w:sz w:val="17"/>
              </w:rPr>
            </w:pPr>
          </w:p>
        </w:tc>
        <w:tc>
          <w:tcPr>
            <w:tcW w:w="901" w:type="dxa"/>
            <w:tcBorders>
              <w:bottom w:val="single" w:sz="4" w:space="0" w:color="auto"/>
            </w:tcBorders>
            <w:vAlign w:val="bottom"/>
          </w:tcPr>
          <w:p w14:paraId="73FF544F" w14:textId="77777777" w:rsidR="008C2BF6" w:rsidRPr="00B02BA3" w:rsidRDefault="008C2BF6" w:rsidP="008C2BF6">
            <w:pPr>
              <w:pStyle w:val="VSmCellBody"/>
              <w:jc w:val="right"/>
            </w:pPr>
            <w:r w:rsidRPr="00B02BA3">
              <w:t>98</w:t>
            </w:r>
            <w:r>
              <w:t>.6</w:t>
            </w:r>
          </w:p>
        </w:tc>
        <w:tc>
          <w:tcPr>
            <w:tcW w:w="235" w:type="dxa"/>
            <w:vAlign w:val="bottom"/>
          </w:tcPr>
          <w:p w14:paraId="25524F11" w14:textId="77777777" w:rsidR="008C2BF6" w:rsidRPr="00B02BA3" w:rsidRDefault="008C2BF6" w:rsidP="008C2BF6">
            <w:pPr>
              <w:pStyle w:val="CellRowSpacer"/>
              <w:rPr>
                <w:sz w:val="17"/>
              </w:rPr>
            </w:pPr>
          </w:p>
        </w:tc>
        <w:tc>
          <w:tcPr>
            <w:tcW w:w="900" w:type="dxa"/>
            <w:tcBorders>
              <w:bottom w:val="single" w:sz="4" w:space="0" w:color="auto"/>
            </w:tcBorders>
            <w:vAlign w:val="bottom"/>
          </w:tcPr>
          <w:p w14:paraId="61AFF619" w14:textId="77777777" w:rsidR="008C2BF6" w:rsidRPr="00B02BA3" w:rsidRDefault="008C2BF6" w:rsidP="008C2BF6">
            <w:pPr>
              <w:pStyle w:val="VSmCellBody"/>
              <w:jc w:val="right"/>
            </w:pPr>
            <w:r w:rsidRPr="00B02BA3">
              <w:t>15</w:t>
            </w:r>
            <w:r>
              <w:t>.1</w:t>
            </w:r>
          </w:p>
        </w:tc>
        <w:tc>
          <w:tcPr>
            <w:tcW w:w="234" w:type="dxa"/>
            <w:vAlign w:val="bottom"/>
          </w:tcPr>
          <w:p w14:paraId="3680FC64" w14:textId="77777777" w:rsidR="008C2BF6" w:rsidRPr="00B02BA3" w:rsidRDefault="008C2BF6" w:rsidP="008C2BF6">
            <w:pPr>
              <w:pStyle w:val="CellRowSpacer"/>
              <w:rPr>
                <w:sz w:val="17"/>
              </w:rPr>
            </w:pPr>
          </w:p>
        </w:tc>
        <w:tc>
          <w:tcPr>
            <w:tcW w:w="900" w:type="dxa"/>
            <w:tcBorders>
              <w:bottom w:val="single" w:sz="4" w:space="0" w:color="auto"/>
            </w:tcBorders>
            <w:vAlign w:val="bottom"/>
          </w:tcPr>
          <w:p w14:paraId="0D5F63F8" w14:textId="77777777" w:rsidR="008C2BF6" w:rsidRPr="00B02BA3" w:rsidRDefault="008C2BF6" w:rsidP="008C2BF6">
            <w:pPr>
              <w:pStyle w:val="VSmCellBody"/>
              <w:jc w:val="right"/>
            </w:pPr>
            <w:r w:rsidRPr="00B02BA3">
              <w:t>50</w:t>
            </w:r>
            <w:r>
              <w:t>.3</w:t>
            </w:r>
          </w:p>
        </w:tc>
        <w:tc>
          <w:tcPr>
            <w:tcW w:w="234" w:type="dxa"/>
            <w:vAlign w:val="bottom"/>
          </w:tcPr>
          <w:p w14:paraId="1F8ADA31" w14:textId="77777777" w:rsidR="008C2BF6" w:rsidRPr="00B02BA3" w:rsidRDefault="008C2BF6" w:rsidP="008C2BF6">
            <w:pPr>
              <w:pStyle w:val="CellRowSpacer"/>
              <w:rPr>
                <w:sz w:val="17"/>
              </w:rPr>
            </w:pPr>
          </w:p>
        </w:tc>
        <w:tc>
          <w:tcPr>
            <w:tcW w:w="900" w:type="dxa"/>
            <w:tcBorders>
              <w:bottom w:val="single" w:sz="4" w:space="0" w:color="auto"/>
            </w:tcBorders>
            <w:vAlign w:val="bottom"/>
          </w:tcPr>
          <w:p w14:paraId="2CE14D03" w14:textId="77777777" w:rsidR="008C2BF6" w:rsidRPr="00B02BA3" w:rsidRDefault="008C2BF6" w:rsidP="008C2BF6">
            <w:pPr>
              <w:pStyle w:val="VSmCellBody"/>
              <w:jc w:val="right"/>
            </w:pPr>
            <w:r>
              <w:t>50.3</w:t>
            </w:r>
          </w:p>
        </w:tc>
        <w:tc>
          <w:tcPr>
            <w:tcW w:w="234" w:type="dxa"/>
            <w:vAlign w:val="bottom"/>
          </w:tcPr>
          <w:p w14:paraId="5A54434E" w14:textId="77777777" w:rsidR="008C2BF6" w:rsidRPr="00B02BA3" w:rsidRDefault="008C2BF6" w:rsidP="008C2BF6">
            <w:pPr>
              <w:pStyle w:val="CellRowSpacer"/>
              <w:rPr>
                <w:sz w:val="17"/>
              </w:rPr>
            </w:pPr>
          </w:p>
        </w:tc>
        <w:tc>
          <w:tcPr>
            <w:tcW w:w="900" w:type="dxa"/>
            <w:tcBorders>
              <w:bottom w:val="single" w:sz="4" w:space="0" w:color="auto"/>
            </w:tcBorders>
            <w:vAlign w:val="bottom"/>
          </w:tcPr>
          <w:p w14:paraId="6DA6F1A8" w14:textId="77777777" w:rsidR="008C2BF6" w:rsidRPr="00B02BA3" w:rsidRDefault="008C2BF6" w:rsidP="008C2BF6">
            <w:pPr>
              <w:pStyle w:val="VSmCellBody"/>
              <w:jc w:val="right"/>
            </w:pPr>
            <w:r>
              <w:t>43.8</w:t>
            </w:r>
          </w:p>
        </w:tc>
        <w:tc>
          <w:tcPr>
            <w:tcW w:w="234" w:type="dxa"/>
            <w:vAlign w:val="bottom"/>
          </w:tcPr>
          <w:p w14:paraId="3891B092" w14:textId="77777777" w:rsidR="008C2BF6" w:rsidRPr="00B02BA3" w:rsidRDefault="008C2BF6" w:rsidP="008C2BF6">
            <w:pPr>
              <w:pStyle w:val="CellRowSpacer"/>
              <w:rPr>
                <w:sz w:val="17"/>
              </w:rPr>
            </w:pPr>
          </w:p>
        </w:tc>
      </w:tr>
      <w:tr w:rsidR="008C2BF6" w:rsidRPr="00B02BA3" w14:paraId="1FDD55A8" w14:textId="77777777" w:rsidTr="008C2BF6">
        <w:tc>
          <w:tcPr>
            <w:tcW w:w="3141" w:type="dxa"/>
            <w:vAlign w:val="bottom"/>
          </w:tcPr>
          <w:p w14:paraId="640C75D4" w14:textId="77777777" w:rsidR="008C2BF6" w:rsidRPr="00B02BA3" w:rsidRDefault="008C2BF6" w:rsidP="008C2BF6">
            <w:pPr>
              <w:pStyle w:val="VSmCellBody"/>
              <w:tabs>
                <w:tab w:val="right" w:leader="dot" w:pos="3163"/>
              </w:tabs>
              <w:bidi/>
              <w:rPr>
                <w:b/>
                <w:color w:val="000000"/>
                <w:szCs w:val="17"/>
              </w:rPr>
            </w:pPr>
            <w:r>
              <w:rPr>
                <w:rFonts w:hint="cs"/>
                <w:b/>
                <w:color w:val="000000"/>
                <w:szCs w:val="17"/>
                <w:rtl/>
              </w:rPr>
              <w:t>النقد وما في حكمه بنهاية الفترة</w:t>
            </w:r>
            <w:r w:rsidRPr="00B02BA3">
              <w:rPr>
                <w:bCs/>
                <w:color w:val="000000"/>
                <w:szCs w:val="17"/>
              </w:rPr>
              <w:tab/>
            </w:r>
          </w:p>
        </w:tc>
        <w:tc>
          <w:tcPr>
            <w:tcW w:w="235" w:type="dxa"/>
            <w:vAlign w:val="bottom"/>
          </w:tcPr>
          <w:p w14:paraId="4D112865" w14:textId="77777777" w:rsidR="008C2BF6" w:rsidRPr="00B02BA3" w:rsidRDefault="008C2BF6" w:rsidP="008C2BF6">
            <w:pPr>
              <w:pStyle w:val="CellRowSpacer"/>
              <w:rPr>
                <w:sz w:val="17"/>
              </w:rPr>
            </w:pPr>
          </w:p>
        </w:tc>
        <w:tc>
          <w:tcPr>
            <w:tcW w:w="901" w:type="dxa"/>
            <w:tcBorders>
              <w:top w:val="single" w:sz="4" w:space="0" w:color="auto"/>
              <w:bottom w:val="double" w:sz="4" w:space="0" w:color="auto"/>
            </w:tcBorders>
            <w:vAlign w:val="bottom"/>
          </w:tcPr>
          <w:p w14:paraId="2647977D" w14:textId="77777777" w:rsidR="008C2BF6" w:rsidRPr="00B02BA3" w:rsidRDefault="008C2BF6" w:rsidP="008C2BF6">
            <w:pPr>
              <w:pStyle w:val="VSmCellBody"/>
              <w:jc w:val="right"/>
            </w:pPr>
            <w:r w:rsidRPr="00B02BA3">
              <w:t>15</w:t>
            </w:r>
            <w:r>
              <w:t>.1</w:t>
            </w:r>
          </w:p>
        </w:tc>
        <w:tc>
          <w:tcPr>
            <w:tcW w:w="235" w:type="dxa"/>
            <w:vAlign w:val="bottom"/>
          </w:tcPr>
          <w:p w14:paraId="238B665C" w14:textId="77777777" w:rsidR="008C2BF6" w:rsidRPr="00B02BA3" w:rsidRDefault="008C2BF6" w:rsidP="008C2BF6">
            <w:pPr>
              <w:pStyle w:val="CellRowSpacer"/>
              <w:rPr>
                <w:sz w:val="17"/>
              </w:rPr>
            </w:pPr>
          </w:p>
        </w:tc>
        <w:tc>
          <w:tcPr>
            <w:tcW w:w="900" w:type="dxa"/>
            <w:tcBorders>
              <w:top w:val="single" w:sz="4" w:space="0" w:color="auto"/>
              <w:bottom w:val="double" w:sz="4" w:space="0" w:color="auto"/>
            </w:tcBorders>
            <w:vAlign w:val="bottom"/>
          </w:tcPr>
          <w:p w14:paraId="35E2A9FE" w14:textId="77777777" w:rsidR="008C2BF6" w:rsidRPr="00B02BA3" w:rsidRDefault="008C2BF6" w:rsidP="008C2BF6">
            <w:pPr>
              <w:pStyle w:val="VSmCellBody"/>
              <w:jc w:val="right"/>
            </w:pPr>
            <w:r w:rsidRPr="00B02BA3">
              <w:t>50</w:t>
            </w:r>
            <w:r>
              <w:t>.3</w:t>
            </w:r>
          </w:p>
        </w:tc>
        <w:tc>
          <w:tcPr>
            <w:tcW w:w="234" w:type="dxa"/>
            <w:vAlign w:val="bottom"/>
          </w:tcPr>
          <w:p w14:paraId="53A0558E" w14:textId="77777777" w:rsidR="008C2BF6" w:rsidRPr="00B02BA3" w:rsidRDefault="008C2BF6" w:rsidP="008C2BF6">
            <w:pPr>
              <w:pStyle w:val="CellRowSpacer"/>
              <w:rPr>
                <w:sz w:val="17"/>
              </w:rPr>
            </w:pPr>
          </w:p>
        </w:tc>
        <w:tc>
          <w:tcPr>
            <w:tcW w:w="900" w:type="dxa"/>
            <w:tcBorders>
              <w:top w:val="single" w:sz="4" w:space="0" w:color="auto"/>
              <w:bottom w:val="double" w:sz="4" w:space="0" w:color="auto"/>
            </w:tcBorders>
            <w:vAlign w:val="bottom"/>
          </w:tcPr>
          <w:p w14:paraId="48FF1216" w14:textId="77777777" w:rsidR="008C2BF6" w:rsidRPr="00B02BA3" w:rsidRDefault="008C2BF6" w:rsidP="008C2BF6">
            <w:pPr>
              <w:pStyle w:val="VSmCellBody"/>
              <w:jc w:val="right"/>
            </w:pPr>
            <w:r w:rsidRPr="00B02BA3">
              <w:t>43</w:t>
            </w:r>
            <w:r>
              <w:t>.8</w:t>
            </w:r>
          </w:p>
        </w:tc>
        <w:tc>
          <w:tcPr>
            <w:tcW w:w="234" w:type="dxa"/>
            <w:vAlign w:val="bottom"/>
          </w:tcPr>
          <w:p w14:paraId="7C65A63D" w14:textId="77777777" w:rsidR="008C2BF6" w:rsidRPr="00B02BA3" w:rsidRDefault="008C2BF6" w:rsidP="008C2BF6">
            <w:pPr>
              <w:pStyle w:val="CellRowSpacer"/>
              <w:rPr>
                <w:sz w:val="17"/>
              </w:rPr>
            </w:pPr>
          </w:p>
        </w:tc>
        <w:tc>
          <w:tcPr>
            <w:tcW w:w="900" w:type="dxa"/>
            <w:tcBorders>
              <w:top w:val="single" w:sz="4" w:space="0" w:color="auto"/>
              <w:bottom w:val="double" w:sz="4" w:space="0" w:color="auto"/>
            </w:tcBorders>
            <w:vAlign w:val="bottom"/>
          </w:tcPr>
          <w:p w14:paraId="62A7609A" w14:textId="77777777" w:rsidR="008C2BF6" w:rsidRPr="00B02BA3" w:rsidRDefault="008C2BF6" w:rsidP="008C2BF6">
            <w:pPr>
              <w:pStyle w:val="VSmCellBody"/>
              <w:jc w:val="right"/>
            </w:pPr>
            <w:r>
              <w:t>24.0</w:t>
            </w:r>
          </w:p>
        </w:tc>
        <w:tc>
          <w:tcPr>
            <w:tcW w:w="234" w:type="dxa"/>
            <w:vAlign w:val="bottom"/>
          </w:tcPr>
          <w:p w14:paraId="4A31EA42" w14:textId="77777777" w:rsidR="008C2BF6" w:rsidRPr="00B02BA3" w:rsidRDefault="008C2BF6" w:rsidP="008C2BF6">
            <w:pPr>
              <w:pStyle w:val="CellRowSpacer"/>
              <w:rPr>
                <w:sz w:val="17"/>
              </w:rPr>
            </w:pPr>
          </w:p>
        </w:tc>
        <w:tc>
          <w:tcPr>
            <w:tcW w:w="900" w:type="dxa"/>
            <w:tcBorders>
              <w:top w:val="single" w:sz="4" w:space="0" w:color="auto"/>
              <w:bottom w:val="double" w:sz="4" w:space="0" w:color="auto"/>
            </w:tcBorders>
            <w:vAlign w:val="bottom"/>
          </w:tcPr>
          <w:p w14:paraId="77F4B88B" w14:textId="77777777" w:rsidR="008C2BF6" w:rsidRPr="00B02BA3" w:rsidRDefault="008C2BF6" w:rsidP="008C2BF6">
            <w:pPr>
              <w:pStyle w:val="VSmCellBody"/>
              <w:jc w:val="right"/>
            </w:pPr>
            <w:r>
              <w:t>33.3</w:t>
            </w:r>
          </w:p>
        </w:tc>
        <w:tc>
          <w:tcPr>
            <w:tcW w:w="234" w:type="dxa"/>
            <w:vAlign w:val="bottom"/>
          </w:tcPr>
          <w:p w14:paraId="0258B325" w14:textId="77777777" w:rsidR="008C2BF6" w:rsidRPr="00B02BA3" w:rsidRDefault="008C2BF6" w:rsidP="008C2BF6">
            <w:pPr>
              <w:pStyle w:val="CellRowSpacer"/>
              <w:rPr>
                <w:sz w:val="17"/>
              </w:rPr>
            </w:pPr>
          </w:p>
        </w:tc>
      </w:tr>
    </w:tbl>
    <w:p w14:paraId="092BBEE4" w14:textId="77777777" w:rsidR="008C2BF6" w:rsidRPr="00272B36" w:rsidRDefault="008C2BF6" w:rsidP="008C2BF6">
      <w:pPr>
        <w:autoSpaceDE w:val="0"/>
        <w:autoSpaceDN w:val="0"/>
        <w:bidi/>
        <w:adjustRightInd w:val="0"/>
        <w:jc w:val="both"/>
        <w:rPr>
          <w:rFonts w:ascii="Traditional Arabic" w:hAnsi="Traditional Arabic" w:cs="Traditional Arabic"/>
          <w:sz w:val="30"/>
          <w:szCs w:val="30"/>
          <w:rtl/>
          <w:lang w:bidi="ar-EG"/>
        </w:rPr>
      </w:pPr>
    </w:p>
    <w:p w14:paraId="6E46E56D" w14:textId="77777777" w:rsidR="008C2BF6" w:rsidRDefault="008C2BF6" w:rsidP="008C2BF6">
      <w:pPr>
        <w:autoSpaceDE w:val="0"/>
        <w:autoSpaceDN w:val="0"/>
        <w:bidi/>
        <w:adjustRightInd w:val="0"/>
        <w:jc w:val="both"/>
        <w:rPr>
          <w:rFonts w:ascii="Traditional Arabic" w:hAnsi="Traditional Arabic" w:cs="Traditional Arabic"/>
          <w:sz w:val="30"/>
          <w:szCs w:val="30"/>
          <w:rtl/>
          <w:lang w:bidi="ar-EG"/>
        </w:rPr>
      </w:pPr>
    </w:p>
    <w:p w14:paraId="30DC7412" w14:textId="77777777" w:rsidR="002F6059" w:rsidRDefault="002F6059" w:rsidP="002F6059">
      <w:pPr>
        <w:autoSpaceDE w:val="0"/>
        <w:autoSpaceDN w:val="0"/>
        <w:bidi/>
        <w:adjustRightInd w:val="0"/>
        <w:jc w:val="both"/>
        <w:rPr>
          <w:rFonts w:ascii="Traditional Arabic" w:hAnsi="Traditional Arabic" w:cs="Traditional Arabic"/>
          <w:sz w:val="30"/>
          <w:szCs w:val="30"/>
          <w:rtl/>
          <w:lang w:bidi="ar-EG"/>
        </w:rPr>
      </w:pPr>
    </w:p>
    <w:p w14:paraId="145D988E" w14:textId="77777777" w:rsidR="0002152B" w:rsidRPr="00272B36" w:rsidRDefault="0002152B" w:rsidP="0002152B">
      <w:pPr>
        <w:autoSpaceDE w:val="0"/>
        <w:autoSpaceDN w:val="0"/>
        <w:bidi/>
        <w:adjustRightInd w:val="0"/>
        <w:jc w:val="both"/>
        <w:rPr>
          <w:rFonts w:ascii="Traditional Arabic" w:hAnsi="Traditional Arabic" w:cs="Traditional Arabic"/>
          <w:b/>
          <w:bCs/>
          <w:sz w:val="30"/>
          <w:szCs w:val="30"/>
          <w:rtl/>
          <w:lang w:bidi="ar-EG"/>
        </w:rPr>
      </w:pPr>
      <w:r w:rsidRPr="00272B36">
        <w:rPr>
          <w:rFonts w:ascii="Traditional Arabic" w:hAnsi="Traditional Arabic" w:cs="Traditional Arabic" w:hint="eastAsia"/>
          <w:b/>
          <w:bCs/>
          <w:sz w:val="30"/>
          <w:szCs w:val="30"/>
          <w:rtl/>
          <w:lang w:bidi="ar-EG"/>
        </w:rPr>
        <w:t>البيانات</w:t>
      </w:r>
      <w:r w:rsidRPr="00272B36">
        <w:rPr>
          <w:rFonts w:ascii="Traditional Arabic" w:hAnsi="Traditional Arabic" w:cs="Traditional Arabic"/>
          <w:b/>
          <w:bCs/>
          <w:sz w:val="30"/>
          <w:szCs w:val="30"/>
          <w:rtl/>
          <w:lang w:bidi="ar-EG"/>
        </w:rPr>
        <w:t xml:space="preserve"> </w:t>
      </w:r>
      <w:r w:rsidRPr="00272B36">
        <w:rPr>
          <w:rFonts w:ascii="Traditional Arabic" w:hAnsi="Traditional Arabic" w:cs="Traditional Arabic" w:hint="eastAsia"/>
          <w:b/>
          <w:bCs/>
          <w:sz w:val="30"/>
          <w:szCs w:val="30"/>
          <w:rtl/>
          <w:lang w:bidi="ar-EG"/>
        </w:rPr>
        <w:t>المالية</w:t>
      </w:r>
      <w:r w:rsidRPr="00272B36">
        <w:rPr>
          <w:rFonts w:ascii="Traditional Arabic" w:hAnsi="Traditional Arabic" w:cs="Traditional Arabic"/>
          <w:b/>
          <w:bCs/>
          <w:sz w:val="30"/>
          <w:szCs w:val="30"/>
          <w:rtl/>
          <w:lang w:bidi="ar-EG"/>
        </w:rPr>
        <w:t xml:space="preserve"> </w:t>
      </w:r>
      <w:r w:rsidRPr="00272B36">
        <w:rPr>
          <w:rFonts w:ascii="Traditional Arabic" w:hAnsi="Traditional Arabic" w:cs="Traditional Arabic" w:hint="eastAsia"/>
          <w:b/>
          <w:bCs/>
          <w:sz w:val="30"/>
          <w:szCs w:val="30"/>
          <w:rtl/>
          <w:lang w:bidi="ar-EG"/>
        </w:rPr>
        <w:t>والتشغيلية</w:t>
      </w:r>
      <w:r w:rsidRPr="00272B36">
        <w:rPr>
          <w:rFonts w:ascii="Traditional Arabic" w:hAnsi="Traditional Arabic" w:cs="Traditional Arabic"/>
          <w:b/>
          <w:bCs/>
          <w:sz w:val="30"/>
          <w:szCs w:val="30"/>
          <w:rtl/>
          <w:lang w:bidi="ar-EG"/>
        </w:rPr>
        <w:t xml:space="preserve"> </w:t>
      </w:r>
      <w:r w:rsidRPr="00272B36">
        <w:rPr>
          <w:rFonts w:ascii="Traditional Arabic" w:hAnsi="Traditional Arabic" w:cs="Traditional Arabic" w:hint="eastAsia"/>
          <w:b/>
          <w:bCs/>
          <w:sz w:val="30"/>
          <w:szCs w:val="30"/>
          <w:rtl/>
          <w:lang w:bidi="ar-EG"/>
        </w:rPr>
        <w:t>الأخرى</w:t>
      </w:r>
      <w:r w:rsidRPr="00272B36">
        <w:rPr>
          <w:rFonts w:ascii="Traditional Arabic" w:hAnsi="Traditional Arabic" w:cs="Traditional Arabic"/>
          <w:b/>
          <w:bCs/>
          <w:sz w:val="30"/>
          <w:szCs w:val="30"/>
          <w:rtl/>
          <w:lang w:bidi="ar-EG"/>
        </w:rPr>
        <w:t xml:space="preserve"> (ر.ع)</w:t>
      </w:r>
    </w:p>
    <w:p w14:paraId="65B23409" w14:textId="77777777" w:rsidR="00A64D52" w:rsidRDefault="00B41A6C" w:rsidP="00A64D52">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ت</w:t>
      </w:r>
      <w:r w:rsidR="0002152B">
        <w:rPr>
          <w:rFonts w:ascii="Traditional Arabic" w:hAnsi="Traditional Arabic" w:cs="Traditional Arabic" w:hint="cs"/>
          <w:sz w:val="30"/>
          <w:szCs w:val="30"/>
          <w:rtl/>
          <w:lang w:bidi="ar-EG"/>
        </w:rPr>
        <w:t>وضح الجد</w:t>
      </w:r>
      <w:r>
        <w:rPr>
          <w:rFonts w:ascii="Traditional Arabic" w:hAnsi="Traditional Arabic" w:cs="Traditional Arabic" w:hint="cs"/>
          <w:sz w:val="30"/>
          <w:szCs w:val="30"/>
          <w:rtl/>
          <w:lang w:bidi="ar-EG"/>
        </w:rPr>
        <w:t>ا</w:t>
      </w:r>
      <w:r w:rsidR="0002152B">
        <w:rPr>
          <w:rFonts w:ascii="Traditional Arabic" w:hAnsi="Traditional Arabic" w:cs="Traditional Arabic" w:hint="cs"/>
          <w:sz w:val="30"/>
          <w:szCs w:val="30"/>
          <w:rtl/>
          <w:lang w:bidi="ar-EG"/>
        </w:rPr>
        <w:t>ول التالي</w:t>
      </w:r>
      <w:r>
        <w:rPr>
          <w:rFonts w:ascii="Traditional Arabic" w:hAnsi="Traditional Arabic" w:cs="Traditional Arabic" w:hint="cs"/>
          <w:sz w:val="30"/>
          <w:szCs w:val="30"/>
          <w:rtl/>
          <w:lang w:bidi="ar-EG"/>
        </w:rPr>
        <w:t>ة</w:t>
      </w:r>
      <w:r w:rsidR="0002152B">
        <w:rPr>
          <w:rFonts w:ascii="Traditional Arabic" w:hAnsi="Traditional Arabic" w:cs="Traditional Arabic" w:hint="cs"/>
          <w:sz w:val="30"/>
          <w:szCs w:val="30"/>
          <w:rtl/>
          <w:lang w:bidi="ar-EG"/>
        </w:rPr>
        <w:t xml:space="preserve"> بعض البيانات المالية والتشغيلية</w:t>
      </w:r>
      <w:r w:rsidR="009176BD">
        <w:rPr>
          <w:rFonts w:ascii="Traditional Arabic" w:hAnsi="Traditional Arabic" w:cs="Traditional Arabic" w:hint="cs"/>
          <w:sz w:val="30"/>
          <w:szCs w:val="30"/>
          <w:rtl/>
          <w:lang w:bidi="ar-EG"/>
        </w:rPr>
        <w:t xml:space="preserve"> </w:t>
      </w:r>
      <w:r>
        <w:rPr>
          <w:rFonts w:ascii="Traditional Arabic" w:hAnsi="Traditional Arabic" w:cs="Traditional Arabic" w:hint="cs"/>
          <w:sz w:val="30"/>
          <w:szCs w:val="30"/>
          <w:rtl/>
          <w:lang w:bidi="ar-EG"/>
        </w:rPr>
        <w:t>للشركة للسنوات</w:t>
      </w:r>
      <w:r w:rsidR="009176BD">
        <w:rPr>
          <w:rFonts w:ascii="Traditional Arabic" w:hAnsi="Traditional Arabic" w:cs="Traditional Arabic" w:hint="cs"/>
          <w:sz w:val="30"/>
          <w:szCs w:val="30"/>
          <w:rtl/>
          <w:lang w:bidi="ar-EG"/>
        </w:rPr>
        <w:t xml:space="preserve"> المنتهية </w:t>
      </w:r>
      <w:r>
        <w:rPr>
          <w:rFonts w:ascii="Traditional Arabic" w:hAnsi="Traditional Arabic" w:cs="Traditional Arabic" w:hint="cs"/>
          <w:sz w:val="30"/>
          <w:szCs w:val="30"/>
          <w:rtl/>
          <w:lang w:bidi="ar-EG"/>
        </w:rPr>
        <w:t>في 31 ديسمبر 2021، 2022، 2023، وفترة التسعة أشهر المنتهية في</w:t>
      </w:r>
      <w:r w:rsidR="00176DE5">
        <w:rPr>
          <w:rFonts w:ascii="Traditional Arabic" w:hAnsi="Traditional Arabic" w:cs="Traditional Arabic" w:hint="cs"/>
          <w:sz w:val="30"/>
          <w:szCs w:val="30"/>
          <w:rtl/>
          <w:lang w:bidi="ar-EG"/>
        </w:rPr>
        <w:t xml:space="preserve"> 30 سبتمبر 2023 و2024:</w:t>
      </w:r>
    </w:p>
    <w:tbl>
      <w:tblPr>
        <w:bidiVisual/>
        <w:tblW w:w="9060" w:type="dxa"/>
        <w:tblInd w:w="425" w:type="dxa"/>
        <w:tblLayout w:type="fixed"/>
        <w:tblCellMar>
          <w:left w:w="0" w:type="dxa"/>
          <w:right w:w="0" w:type="dxa"/>
        </w:tblCellMar>
        <w:tblLook w:val="0000" w:firstRow="0" w:lastRow="0" w:firstColumn="0" w:lastColumn="0" w:noHBand="0" w:noVBand="0"/>
      </w:tblPr>
      <w:tblGrid>
        <w:gridCol w:w="11"/>
        <w:gridCol w:w="3132"/>
        <w:gridCol w:w="6"/>
        <w:gridCol w:w="229"/>
        <w:gridCol w:w="6"/>
        <w:gridCol w:w="901"/>
        <w:gridCol w:w="235"/>
        <w:gridCol w:w="901"/>
        <w:gridCol w:w="234"/>
        <w:gridCol w:w="901"/>
        <w:gridCol w:w="234"/>
        <w:gridCol w:w="901"/>
        <w:gridCol w:w="234"/>
        <w:gridCol w:w="901"/>
        <w:gridCol w:w="234"/>
      </w:tblGrid>
      <w:tr w:rsidR="008C2BF6" w:rsidRPr="00B02BA3" w14:paraId="0FB804BF" w14:textId="77777777" w:rsidTr="008C57E0">
        <w:trPr>
          <w:gridBefore w:val="1"/>
          <w:wBefore w:w="11" w:type="dxa"/>
          <w:tblHeader/>
        </w:trPr>
        <w:tc>
          <w:tcPr>
            <w:tcW w:w="3138" w:type="dxa"/>
            <w:gridSpan w:val="2"/>
            <w:vAlign w:val="bottom"/>
          </w:tcPr>
          <w:p w14:paraId="00831CCF" w14:textId="77777777" w:rsidR="008C2BF6" w:rsidRPr="00B02BA3" w:rsidRDefault="008C2BF6" w:rsidP="008C2BF6">
            <w:pPr>
              <w:pStyle w:val="VSmCellHead"/>
              <w:bidi/>
            </w:pPr>
          </w:p>
        </w:tc>
        <w:tc>
          <w:tcPr>
            <w:tcW w:w="235" w:type="dxa"/>
            <w:gridSpan w:val="2"/>
            <w:vAlign w:val="bottom"/>
          </w:tcPr>
          <w:p w14:paraId="40F4D504" w14:textId="77777777" w:rsidR="008C2BF6" w:rsidRPr="00B02BA3" w:rsidRDefault="008C2BF6" w:rsidP="00922116">
            <w:pPr>
              <w:pStyle w:val="CellRowSpacer"/>
              <w:spacing w:after="120"/>
              <w:rPr>
                <w:sz w:val="17"/>
              </w:rPr>
            </w:pPr>
          </w:p>
        </w:tc>
        <w:tc>
          <w:tcPr>
            <w:tcW w:w="3172" w:type="dxa"/>
            <w:gridSpan w:val="5"/>
            <w:vAlign w:val="bottom"/>
          </w:tcPr>
          <w:p w14:paraId="0B9CCD8E" w14:textId="77777777" w:rsidR="008C2BF6" w:rsidRPr="00B02BA3" w:rsidRDefault="008C2BF6" w:rsidP="00922116">
            <w:pPr>
              <w:pStyle w:val="VSmCellHead"/>
              <w:jc w:val="center"/>
            </w:pPr>
            <w:r w:rsidRPr="00B02BA3">
              <w:t>Year Ended 31 December</w:t>
            </w:r>
          </w:p>
        </w:tc>
        <w:tc>
          <w:tcPr>
            <w:tcW w:w="234" w:type="dxa"/>
            <w:vAlign w:val="bottom"/>
          </w:tcPr>
          <w:p w14:paraId="19866A06" w14:textId="77777777" w:rsidR="008C2BF6" w:rsidRPr="00B02BA3" w:rsidRDefault="008C2BF6" w:rsidP="00922116">
            <w:pPr>
              <w:pStyle w:val="CellRowSpacer"/>
              <w:spacing w:after="120"/>
              <w:jc w:val="center"/>
              <w:rPr>
                <w:sz w:val="17"/>
              </w:rPr>
            </w:pPr>
          </w:p>
        </w:tc>
        <w:tc>
          <w:tcPr>
            <w:tcW w:w="2036" w:type="dxa"/>
            <w:gridSpan w:val="3"/>
            <w:vAlign w:val="bottom"/>
          </w:tcPr>
          <w:p w14:paraId="549E2CD0" w14:textId="77777777" w:rsidR="008C2BF6" w:rsidRPr="00B02BA3" w:rsidRDefault="008C2BF6" w:rsidP="00922116">
            <w:pPr>
              <w:pStyle w:val="VSmCellHead"/>
              <w:jc w:val="center"/>
            </w:pPr>
            <w:r w:rsidRPr="00B02BA3">
              <w:t>Nine Months Ended 30 September</w:t>
            </w:r>
          </w:p>
        </w:tc>
        <w:tc>
          <w:tcPr>
            <w:tcW w:w="234" w:type="dxa"/>
            <w:vAlign w:val="bottom"/>
          </w:tcPr>
          <w:p w14:paraId="532A1016" w14:textId="77777777" w:rsidR="008C2BF6" w:rsidRPr="00B02BA3" w:rsidRDefault="008C2BF6" w:rsidP="00922116">
            <w:pPr>
              <w:pStyle w:val="CellRowSpacer"/>
              <w:spacing w:after="120"/>
              <w:rPr>
                <w:sz w:val="17"/>
              </w:rPr>
            </w:pPr>
          </w:p>
        </w:tc>
      </w:tr>
      <w:tr w:rsidR="008C2BF6" w:rsidRPr="00B02BA3" w14:paraId="0373C80C" w14:textId="77777777" w:rsidTr="008C57E0">
        <w:trPr>
          <w:gridBefore w:val="1"/>
          <w:wBefore w:w="11" w:type="dxa"/>
        </w:trPr>
        <w:tc>
          <w:tcPr>
            <w:tcW w:w="3138" w:type="dxa"/>
            <w:gridSpan w:val="2"/>
            <w:vAlign w:val="bottom"/>
          </w:tcPr>
          <w:p w14:paraId="219AC451" w14:textId="77777777" w:rsidR="008C2BF6" w:rsidRPr="00B02BA3" w:rsidRDefault="008C2BF6" w:rsidP="008C2BF6">
            <w:pPr>
              <w:pStyle w:val="VSmCellBody"/>
              <w:tabs>
                <w:tab w:val="right" w:leader="dot" w:pos="3163"/>
              </w:tabs>
              <w:bidi/>
            </w:pPr>
          </w:p>
        </w:tc>
        <w:tc>
          <w:tcPr>
            <w:tcW w:w="235" w:type="dxa"/>
            <w:gridSpan w:val="2"/>
            <w:vAlign w:val="bottom"/>
          </w:tcPr>
          <w:p w14:paraId="496A225B" w14:textId="77777777" w:rsidR="008C2BF6" w:rsidRPr="00B02BA3" w:rsidRDefault="008C2BF6" w:rsidP="00922116">
            <w:pPr>
              <w:pStyle w:val="CellRowSpacer"/>
              <w:rPr>
                <w:sz w:val="17"/>
              </w:rPr>
            </w:pPr>
          </w:p>
        </w:tc>
        <w:tc>
          <w:tcPr>
            <w:tcW w:w="901" w:type="dxa"/>
            <w:vAlign w:val="bottom"/>
          </w:tcPr>
          <w:p w14:paraId="07B4C91D" w14:textId="77777777" w:rsidR="008C2BF6" w:rsidRPr="00B02BA3" w:rsidRDefault="008C2BF6" w:rsidP="00922116">
            <w:pPr>
              <w:pStyle w:val="VSmCellBody"/>
              <w:jc w:val="right"/>
              <w:rPr>
                <w:b/>
                <w:bCs/>
              </w:rPr>
            </w:pPr>
            <w:r w:rsidRPr="00B02BA3">
              <w:rPr>
                <w:b/>
                <w:bCs/>
              </w:rPr>
              <w:t>2021</w:t>
            </w:r>
          </w:p>
        </w:tc>
        <w:tc>
          <w:tcPr>
            <w:tcW w:w="235" w:type="dxa"/>
            <w:vAlign w:val="bottom"/>
          </w:tcPr>
          <w:p w14:paraId="3D941F06" w14:textId="77777777" w:rsidR="008C2BF6" w:rsidRPr="00B02BA3" w:rsidRDefault="008C2BF6" w:rsidP="00922116">
            <w:pPr>
              <w:pStyle w:val="CellRowSpacer"/>
              <w:rPr>
                <w:b/>
                <w:bCs/>
                <w:sz w:val="17"/>
              </w:rPr>
            </w:pPr>
          </w:p>
        </w:tc>
        <w:tc>
          <w:tcPr>
            <w:tcW w:w="901" w:type="dxa"/>
            <w:vAlign w:val="bottom"/>
          </w:tcPr>
          <w:p w14:paraId="7676F993" w14:textId="77777777" w:rsidR="008C2BF6" w:rsidRPr="00B02BA3" w:rsidRDefault="008C2BF6" w:rsidP="00922116">
            <w:pPr>
              <w:pStyle w:val="VSmCellBody"/>
              <w:jc w:val="right"/>
              <w:rPr>
                <w:b/>
                <w:bCs/>
              </w:rPr>
            </w:pPr>
            <w:r w:rsidRPr="00B02BA3">
              <w:rPr>
                <w:b/>
                <w:bCs/>
              </w:rPr>
              <w:t>2022</w:t>
            </w:r>
          </w:p>
        </w:tc>
        <w:tc>
          <w:tcPr>
            <w:tcW w:w="234" w:type="dxa"/>
            <w:vAlign w:val="bottom"/>
          </w:tcPr>
          <w:p w14:paraId="4D5178C8" w14:textId="77777777" w:rsidR="008C2BF6" w:rsidRPr="00B02BA3" w:rsidRDefault="008C2BF6" w:rsidP="00922116">
            <w:pPr>
              <w:pStyle w:val="CellRowSpacer"/>
              <w:rPr>
                <w:b/>
                <w:bCs/>
                <w:sz w:val="17"/>
              </w:rPr>
            </w:pPr>
          </w:p>
        </w:tc>
        <w:tc>
          <w:tcPr>
            <w:tcW w:w="901" w:type="dxa"/>
            <w:vAlign w:val="bottom"/>
          </w:tcPr>
          <w:p w14:paraId="49937E93" w14:textId="77777777" w:rsidR="008C2BF6" w:rsidRPr="00B02BA3" w:rsidRDefault="008C2BF6" w:rsidP="00922116">
            <w:pPr>
              <w:pStyle w:val="VSmCellBody"/>
              <w:jc w:val="right"/>
              <w:rPr>
                <w:b/>
                <w:bCs/>
              </w:rPr>
            </w:pPr>
            <w:r w:rsidRPr="00B02BA3">
              <w:rPr>
                <w:b/>
                <w:bCs/>
              </w:rPr>
              <w:t>2023</w:t>
            </w:r>
          </w:p>
        </w:tc>
        <w:tc>
          <w:tcPr>
            <w:tcW w:w="234" w:type="dxa"/>
            <w:vAlign w:val="bottom"/>
          </w:tcPr>
          <w:p w14:paraId="3A6BB926" w14:textId="77777777" w:rsidR="008C2BF6" w:rsidRPr="00B02BA3" w:rsidRDefault="008C2BF6" w:rsidP="00922116">
            <w:pPr>
              <w:pStyle w:val="CellRowSpacer"/>
              <w:rPr>
                <w:b/>
                <w:bCs/>
                <w:sz w:val="17"/>
              </w:rPr>
            </w:pPr>
          </w:p>
        </w:tc>
        <w:tc>
          <w:tcPr>
            <w:tcW w:w="901" w:type="dxa"/>
            <w:vAlign w:val="bottom"/>
          </w:tcPr>
          <w:p w14:paraId="51AAC849" w14:textId="77777777" w:rsidR="008C2BF6" w:rsidRPr="00B02BA3" w:rsidRDefault="008C2BF6" w:rsidP="00922116">
            <w:pPr>
              <w:pStyle w:val="VSmCellBody"/>
              <w:jc w:val="right"/>
              <w:rPr>
                <w:b/>
                <w:bCs/>
              </w:rPr>
            </w:pPr>
            <w:r w:rsidRPr="00B02BA3">
              <w:rPr>
                <w:b/>
                <w:bCs/>
              </w:rPr>
              <w:t>2023</w:t>
            </w:r>
          </w:p>
        </w:tc>
        <w:tc>
          <w:tcPr>
            <w:tcW w:w="234" w:type="dxa"/>
            <w:vAlign w:val="bottom"/>
          </w:tcPr>
          <w:p w14:paraId="1FD27E6D" w14:textId="77777777" w:rsidR="008C2BF6" w:rsidRPr="00B02BA3" w:rsidRDefault="008C2BF6" w:rsidP="00922116">
            <w:pPr>
              <w:pStyle w:val="CellRowSpacer"/>
              <w:rPr>
                <w:b/>
                <w:bCs/>
                <w:sz w:val="17"/>
              </w:rPr>
            </w:pPr>
          </w:p>
        </w:tc>
        <w:tc>
          <w:tcPr>
            <w:tcW w:w="901" w:type="dxa"/>
            <w:vAlign w:val="bottom"/>
          </w:tcPr>
          <w:p w14:paraId="6948D045" w14:textId="77777777" w:rsidR="008C2BF6" w:rsidRPr="00B02BA3" w:rsidRDefault="008C2BF6" w:rsidP="00922116">
            <w:pPr>
              <w:pStyle w:val="VSmCellBody"/>
              <w:jc w:val="right"/>
              <w:rPr>
                <w:b/>
                <w:bCs/>
              </w:rPr>
            </w:pPr>
            <w:r w:rsidRPr="00B02BA3">
              <w:rPr>
                <w:b/>
                <w:bCs/>
              </w:rPr>
              <w:t>2024</w:t>
            </w:r>
          </w:p>
        </w:tc>
        <w:tc>
          <w:tcPr>
            <w:tcW w:w="234" w:type="dxa"/>
            <w:vAlign w:val="bottom"/>
          </w:tcPr>
          <w:p w14:paraId="296ADB82" w14:textId="77777777" w:rsidR="008C2BF6" w:rsidRPr="00B02BA3" w:rsidRDefault="008C2BF6" w:rsidP="00922116">
            <w:pPr>
              <w:pStyle w:val="CellRowSpacer"/>
              <w:rPr>
                <w:sz w:val="17"/>
              </w:rPr>
            </w:pPr>
          </w:p>
        </w:tc>
      </w:tr>
      <w:tr w:rsidR="008C2BF6" w:rsidRPr="00B02BA3" w14:paraId="3A50957A" w14:textId="77777777" w:rsidTr="008C57E0">
        <w:trPr>
          <w:gridBefore w:val="1"/>
          <w:wBefore w:w="11" w:type="dxa"/>
        </w:trPr>
        <w:tc>
          <w:tcPr>
            <w:tcW w:w="3138" w:type="dxa"/>
            <w:gridSpan w:val="2"/>
            <w:vAlign w:val="bottom"/>
          </w:tcPr>
          <w:p w14:paraId="0BCE2238" w14:textId="77777777" w:rsidR="008C2BF6" w:rsidRPr="00B02BA3" w:rsidRDefault="008C2BF6" w:rsidP="008C2BF6">
            <w:pPr>
              <w:tabs>
                <w:tab w:val="right" w:leader="dot" w:pos="3163"/>
              </w:tabs>
              <w:bidi/>
              <w:spacing w:before="40" w:after="40"/>
              <w:jc w:val="center"/>
              <w:rPr>
                <w:i/>
                <w:iCs/>
                <w:sz w:val="17"/>
              </w:rPr>
            </w:pPr>
          </w:p>
        </w:tc>
        <w:tc>
          <w:tcPr>
            <w:tcW w:w="235" w:type="dxa"/>
            <w:gridSpan w:val="2"/>
            <w:vAlign w:val="bottom"/>
          </w:tcPr>
          <w:p w14:paraId="7E03781C" w14:textId="77777777" w:rsidR="008C2BF6" w:rsidRPr="00B02BA3" w:rsidRDefault="008C2BF6" w:rsidP="00922116">
            <w:pPr>
              <w:spacing w:before="40" w:after="40"/>
              <w:jc w:val="center"/>
              <w:rPr>
                <w:i/>
                <w:iCs/>
                <w:sz w:val="17"/>
              </w:rPr>
            </w:pPr>
          </w:p>
        </w:tc>
        <w:tc>
          <w:tcPr>
            <w:tcW w:w="5442" w:type="dxa"/>
            <w:gridSpan w:val="9"/>
            <w:vAlign w:val="bottom"/>
          </w:tcPr>
          <w:p w14:paraId="6623CC18" w14:textId="77777777" w:rsidR="008C2BF6" w:rsidRPr="00B02BA3" w:rsidRDefault="008C2BF6" w:rsidP="00922116">
            <w:pPr>
              <w:spacing w:before="40" w:after="40"/>
              <w:jc w:val="center"/>
              <w:rPr>
                <w:i/>
                <w:iCs/>
                <w:sz w:val="17"/>
              </w:rPr>
            </w:pPr>
            <w:r w:rsidRPr="00B02BA3">
              <w:rPr>
                <w:i/>
                <w:iCs/>
                <w:sz w:val="17"/>
              </w:rPr>
              <w:t>(</w:t>
            </w:r>
            <w:r>
              <w:rPr>
                <w:i/>
                <w:iCs/>
                <w:sz w:val="17"/>
              </w:rPr>
              <w:t>OMR</w:t>
            </w:r>
            <w:r w:rsidRPr="00B02BA3">
              <w:rPr>
                <w:i/>
                <w:iCs/>
                <w:sz w:val="17"/>
              </w:rPr>
              <w:t xml:space="preserve"> </w:t>
            </w:r>
            <w:r>
              <w:rPr>
                <w:i/>
                <w:iCs/>
                <w:sz w:val="17"/>
              </w:rPr>
              <w:t xml:space="preserve">millions, </w:t>
            </w:r>
            <w:r w:rsidRPr="00E834EF">
              <w:rPr>
                <w:i/>
                <w:color w:val="000000"/>
                <w:sz w:val="17"/>
                <w:szCs w:val="17"/>
              </w:rPr>
              <w:t>except percentages</w:t>
            </w:r>
            <w:r w:rsidRPr="00B02BA3">
              <w:rPr>
                <w:i/>
                <w:iCs/>
                <w:sz w:val="17"/>
              </w:rPr>
              <w:t>)</w:t>
            </w:r>
          </w:p>
        </w:tc>
        <w:tc>
          <w:tcPr>
            <w:tcW w:w="234" w:type="dxa"/>
            <w:vAlign w:val="bottom"/>
          </w:tcPr>
          <w:p w14:paraId="0659B3BA" w14:textId="77777777" w:rsidR="008C2BF6" w:rsidRPr="00B02BA3" w:rsidRDefault="008C2BF6" w:rsidP="00922116">
            <w:pPr>
              <w:spacing w:before="40" w:after="40"/>
              <w:jc w:val="center"/>
              <w:rPr>
                <w:i/>
                <w:iCs/>
                <w:sz w:val="17"/>
              </w:rPr>
            </w:pPr>
          </w:p>
        </w:tc>
      </w:tr>
      <w:tr w:rsidR="008C2BF6" w:rsidRPr="00B02BA3" w14:paraId="10B4230A" w14:textId="77777777" w:rsidTr="008C57E0">
        <w:tc>
          <w:tcPr>
            <w:tcW w:w="3143" w:type="dxa"/>
            <w:gridSpan w:val="2"/>
            <w:vAlign w:val="bottom"/>
          </w:tcPr>
          <w:p w14:paraId="408337EC" w14:textId="77777777" w:rsidR="008C2BF6" w:rsidRPr="00B02BA3" w:rsidRDefault="008C2BF6" w:rsidP="008C2BF6">
            <w:pPr>
              <w:pStyle w:val="VSmCellBody"/>
              <w:tabs>
                <w:tab w:val="right" w:leader="dot" w:pos="3163"/>
              </w:tabs>
              <w:bidi/>
              <w:rPr>
                <w:szCs w:val="17"/>
              </w:rPr>
            </w:pPr>
            <w:r>
              <w:rPr>
                <w:rFonts w:hint="cs"/>
                <w:szCs w:val="17"/>
                <w:rtl/>
              </w:rPr>
              <w:t>إيرادات مكافئ تأجير السفن المجهزة بالمدة</w:t>
            </w:r>
            <w:r w:rsidRPr="007766C5">
              <w:rPr>
                <w:szCs w:val="17"/>
                <w:vertAlign w:val="superscript"/>
              </w:rPr>
              <w:t>(</w:t>
            </w:r>
            <w:r>
              <w:rPr>
                <w:szCs w:val="17"/>
                <w:vertAlign w:val="superscript"/>
              </w:rPr>
              <w:t>1</w:t>
            </w:r>
            <w:r w:rsidRPr="007766C5">
              <w:rPr>
                <w:szCs w:val="17"/>
                <w:vertAlign w:val="superscript"/>
              </w:rPr>
              <w:t>)(</w:t>
            </w:r>
            <w:r>
              <w:rPr>
                <w:szCs w:val="17"/>
                <w:vertAlign w:val="superscript"/>
              </w:rPr>
              <w:t>2</w:t>
            </w:r>
            <w:r w:rsidRPr="007766C5">
              <w:rPr>
                <w:szCs w:val="17"/>
                <w:vertAlign w:val="superscript"/>
              </w:rPr>
              <w:t>)</w:t>
            </w:r>
            <w:r w:rsidRPr="00B02BA3">
              <w:rPr>
                <w:bCs/>
                <w:color w:val="000000"/>
                <w:szCs w:val="17"/>
              </w:rPr>
              <w:tab/>
            </w:r>
          </w:p>
        </w:tc>
        <w:tc>
          <w:tcPr>
            <w:tcW w:w="235" w:type="dxa"/>
            <w:gridSpan w:val="2"/>
            <w:vAlign w:val="bottom"/>
          </w:tcPr>
          <w:p w14:paraId="050520F8" w14:textId="77777777" w:rsidR="008C2BF6" w:rsidRPr="00B02BA3" w:rsidRDefault="008C2BF6" w:rsidP="008C2BF6">
            <w:pPr>
              <w:pStyle w:val="CellRowSpacer"/>
              <w:bidi/>
              <w:rPr>
                <w:sz w:val="17"/>
              </w:rPr>
            </w:pPr>
          </w:p>
        </w:tc>
        <w:tc>
          <w:tcPr>
            <w:tcW w:w="907" w:type="dxa"/>
            <w:gridSpan w:val="2"/>
          </w:tcPr>
          <w:p w14:paraId="30CE8178" w14:textId="77777777" w:rsidR="008C2BF6" w:rsidRPr="00CC0A47" w:rsidRDefault="008C2BF6" w:rsidP="00922116">
            <w:pPr>
              <w:pStyle w:val="VSmCellBody"/>
              <w:jc w:val="right"/>
            </w:pPr>
            <w:r w:rsidRPr="00CC0A47">
              <w:t>181.</w:t>
            </w:r>
            <w:r w:rsidR="008340B5">
              <w:t>1</w:t>
            </w:r>
          </w:p>
        </w:tc>
        <w:tc>
          <w:tcPr>
            <w:tcW w:w="235" w:type="dxa"/>
          </w:tcPr>
          <w:p w14:paraId="7D4994FC" w14:textId="77777777" w:rsidR="008C2BF6" w:rsidRPr="00CC0A47" w:rsidRDefault="008C2BF6" w:rsidP="00922116">
            <w:pPr>
              <w:pStyle w:val="CellRowSpacer"/>
              <w:rPr>
                <w:sz w:val="17"/>
              </w:rPr>
            </w:pPr>
          </w:p>
        </w:tc>
        <w:tc>
          <w:tcPr>
            <w:tcW w:w="901" w:type="dxa"/>
          </w:tcPr>
          <w:p w14:paraId="0AE570D3" w14:textId="77777777" w:rsidR="008C2BF6" w:rsidRPr="00CC0A47" w:rsidRDefault="008340B5" w:rsidP="00922116">
            <w:pPr>
              <w:pStyle w:val="VSmCellBody"/>
              <w:jc w:val="right"/>
            </w:pPr>
            <w:r>
              <w:t>250.1</w:t>
            </w:r>
            <w:r w:rsidR="008C2BF6" w:rsidRPr="00CC0A47" w:rsidDel="008D1EE0">
              <w:t xml:space="preserve"> </w:t>
            </w:r>
          </w:p>
        </w:tc>
        <w:tc>
          <w:tcPr>
            <w:tcW w:w="234" w:type="dxa"/>
          </w:tcPr>
          <w:p w14:paraId="1F260A13" w14:textId="77777777" w:rsidR="008C2BF6" w:rsidRPr="00CC0A47" w:rsidRDefault="008C2BF6" w:rsidP="00922116">
            <w:pPr>
              <w:pStyle w:val="CellRowSpacer"/>
              <w:rPr>
                <w:sz w:val="17"/>
              </w:rPr>
            </w:pPr>
          </w:p>
        </w:tc>
        <w:tc>
          <w:tcPr>
            <w:tcW w:w="901" w:type="dxa"/>
          </w:tcPr>
          <w:p w14:paraId="115D2FF4" w14:textId="77777777" w:rsidR="008C2BF6" w:rsidRPr="00CC0A47" w:rsidRDefault="008340B5" w:rsidP="00922116">
            <w:pPr>
              <w:pStyle w:val="VSmCellBody"/>
              <w:jc w:val="right"/>
            </w:pPr>
            <w:r>
              <w:t>282.0</w:t>
            </w:r>
            <w:r w:rsidR="008C2BF6" w:rsidRPr="00CC0A47" w:rsidDel="008D1EE0">
              <w:t xml:space="preserve"> </w:t>
            </w:r>
          </w:p>
        </w:tc>
        <w:tc>
          <w:tcPr>
            <w:tcW w:w="234" w:type="dxa"/>
            <w:vAlign w:val="bottom"/>
          </w:tcPr>
          <w:p w14:paraId="3F056E32" w14:textId="77777777" w:rsidR="008C2BF6" w:rsidRPr="00CC0A47" w:rsidRDefault="008C2BF6" w:rsidP="00922116">
            <w:pPr>
              <w:pStyle w:val="CellRowSpacer"/>
              <w:rPr>
                <w:sz w:val="17"/>
              </w:rPr>
            </w:pPr>
          </w:p>
        </w:tc>
        <w:tc>
          <w:tcPr>
            <w:tcW w:w="901" w:type="dxa"/>
            <w:vAlign w:val="bottom"/>
          </w:tcPr>
          <w:p w14:paraId="4E6143BD" w14:textId="77777777" w:rsidR="008C2BF6" w:rsidRPr="00CC0A47" w:rsidRDefault="008340B5" w:rsidP="00922116">
            <w:pPr>
              <w:pStyle w:val="VSmCellBody"/>
              <w:jc w:val="right"/>
            </w:pPr>
            <w:r>
              <w:t>212.4</w:t>
            </w:r>
            <w:r w:rsidR="008C2BF6" w:rsidRPr="00CC0A47">
              <w:t xml:space="preserve"> </w:t>
            </w:r>
          </w:p>
        </w:tc>
        <w:tc>
          <w:tcPr>
            <w:tcW w:w="234" w:type="dxa"/>
            <w:vAlign w:val="bottom"/>
          </w:tcPr>
          <w:p w14:paraId="04707FC2" w14:textId="77777777" w:rsidR="008C2BF6" w:rsidRPr="00CC0A47" w:rsidRDefault="008C2BF6" w:rsidP="00922116">
            <w:pPr>
              <w:pStyle w:val="CellRowSpacer"/>
              <w:rPr>
                <w:sz w:val="17"/>
              </w:rPr>
            </w:pPr>
          </w:p>
        </w:tc>
        <w:tc>
          <w:tcPr>
            <w:tcW w:w="901" w:type="dxa"/>
            <w:vAlign w:val="bottom"/>
          </w:tcPr>
          <w:p w14:paraId="6AE1DDA3" w14:textId="77777777" w:rsidR="008C2BF6" w:rsidRPr="00CC0A47" w:rsidRDefault="008340B5" w:rsidP="00922116">
            <w:pPr>
              <w:pStyle w:val="VSmCellBody"/>
              <w:jc w:val="right"/>
            </w:pPr>
            <w:r>
              <w:t>236.1</w:t>
            </w:r>
            <w:r w:rsidR="008C2BF6" w:rsidRPr="00CC0A47">
              <w:t xml:space="preserve"> </w:t>
            </w:r>
          </w:p>
        </w:tc>
        <w:tc>
          <w:tcPr>
            <w:tcW w:w="234" w:type="dxa"/>
            <w:vAlign w:val="bottom"/>
          </w:tcPr>
          <w:p w14:paraId="76009DD6" w14:textId="77777777" w:rsidR="008C2BF6" w:rsidRPr="00B02BA3" w:rsidRDefault="008C2BF6" w:rsidP="00922116">
            <w:pPr>
              <w:pStyle w:val="CellRowSpacer"/>
              <w:rPr>
                <w:sz w:val="17"/>
              </w:rPr>
            </w:pPr>
          </w:p>
        </w:tc>
      </w:tr>
      <w:tr w:rsidR="008C2BF6" w:rsidRPr="00B02BA3" w14:paraId="5009BD30" w14:textId="77777777" w:rsidTr="008C57E0">
        <w:tc>
          <w:tcPr>
            <w:tcW w:w="3143" w:type="dxa"/>
            <w:gridSpan w:val="2"/>
            <w:vAlign w:val="bottom"/>
          </w:tcPr>
          <w:p w14:paraId="69B0F9B1" w14:textId="77777777" w:rsidR="008C2BF6" w:rsidRPr="00B02BA3" w:rsidRDefault="008C2BF6" w:rsidP="008C2BF6">
            <w:pPr>
              <w:pStyle w:val="VSmCellBody"/>
              <w:tabs>
                <w:tab w:val="right" w:leader="dot" w:pos="3163"/>
              </w:tabs>
              <w:bidi/>
              <w:ind w:firstLine="421"/>
              <w:rPr>
                <w:szCs w:val="17"/>
              </w:rPr>
            </w:pPr>
            <w:r>
              <w:rPr>
                <w:rFonts w:hint="cs"/>
                <w:szCs w:val="17"/>
                <w:rtl/>
              </w:rPr>
              <w:lastRenderedPageBreak/>
              <w:t>إيرادات مكافئ تأجير السفن المجهزة بالمدة للنفط الخام</w:t>
            </w:r>
            <w:r w:rsidRPr="007766C5">
              <w:rPr>
                <w:szCs w:val="17"/>
                <w:vertAlign w:val="superscript"/>
              </w:rPr>
              <w:t>(</w:t>
            </w:r>
            <w:r>
              <w:rPr>
                <w:szCs w:val="17"/>
                <w:vertAlign w:val="superscript"/>
              </w:rPr>
              <w:t>1</w:t>
            </w:r>
            <w:r w:rsidRPr="007766C5">
              <w:rPr>
                <w:szCs w:val="17"/>
                <w:vertAlign w:val="superscript"/>
              </w:rPr>
              <w:t>)(</w:t>
            </w:r>
            <w:r>
              <w:rPr>
                <w:szCs w:val="17"/>
                <w:vertAlign w:val="superscript"/>
              </w:rPr>
              <w:t>3</w:t>
            </w:r>
            <w:r w:rsidRPr="007766C5">
              <w:rPr>
                <w:szCs w:val="17"/>
                <w:vertAlign w:val="superscript"/>
              </w:rPr>
              <w:t>)</w:t>
            </w:r>
            <w:r w:rsidRPr="007D2480">
              <w:tab/>
            </w:r>
          </w:p>
        </w:tc>
        <w:tc>
          <w:tcPr>
            <w:tcW w:w="235" w:type="dxa"/>
            <w:gridSpan w:val="2"/>
            <w:vAlign w:val="bottom"/>
          </w:tcPr>
          <w:p w14:paraId="4567EAF2" w14:textId="77777777" w:rsidR="008C2BF6" w:rsidRPr="00B02BA3" w:rsidRDefault="008C2BF6" w:rsidP="008C2BF6">
            <w:pPr>
              <w:pStyle w:val="CellRowSpacer"/>
              <w:bidi/>
              <w:rPr>
                <w:sz w:val="17"/>
              </w:rPr>
            </w:pPr>
          </w:p>
        </w:tc>
        <w:tc>
          <w:tcPr>
            <w:tcW w:w="907" w:type="dxa"/>
            <w:gridSpan w:val="2"/>
          </w:tcPr>
          <w:p w14:paraId="3EAD121E" w14:textId="77777777" w:rsidR="008C2BF6" w:rsidRPr="00CC0A47" w:rsidRDefault="008C2BF6" w:rsidP="00922116">
            <w:pPr>
              <w:pStyle w:val="VSmCellBody"/>
              <w:jc w:val="right"/>
            </w:pPr>
            <w:r w:rsidRPr="0063544A">
              <w:t>39.3</w:t>
            </w:r>
          </w:p>
        </w:tc>
        <w:tc>
          <w:tcPr>
            <w:tcW w:w="235" w:type="dxa"/>
            <w:vAlign w:val="bottom"/>
          </w:tcPr>
          <w:p w14:paraId="109CD853" w14:textId="77777777" w:rsidR="008C2BF6" w:rsidRPr="00CC0A47" w:rsidRDefault="008C2BF6" w:rsidP="00922116">
            <w:pPr>
              <w:pStyle w:val="CellRowSpacer"/>
              <w:rPr>
                <w:sz w:val="17"/>
              </w:rPr>
            </w:pPr>
          </w:p>
        </w:tc>
        <w:tc>
          <w:tcPr>
            <w:tcW w:w="901" w:type="dxa"/>
          </w:tcPr>
          <w:p w14:paraId="6C23B04E" w14:textId="77777777" w:rsidR="008C2BF6" w:rsidRPr="00CC0A47" w:rsidRDefault="008C2BF6" w:rsidP="00922116">
            <w:pPr>
              <w:pStyle w:val="VSmCellBody"/>
              <w:jc w:val="right"/>
            </w:pPr>
            <w:r w:rsidRPr="00CF55A2">
              <w:t>63.6</w:t>
            </w:r>
          </w:p>
        </w:tc>
        <w:tc>
          <w:tcPr>
            <w:tcW w:w="234" w:type="dxa"/>
            <w:vAlign w:val="bottom"/>
          </w:tcPr>
          <w:p w14:paraId="302F9D78" w14:textId="77777777" w:rsidR="008C2BF6" w:rsidRPr="00CC0A47" w:rsidRDefault="008C2BF6" w:rsidP="00922116">
            <w:pPr>
              <w:pStyle w:val="CellRowSpacer"/>
              <w:rPr>
                <w:sz w:val="17"/>
              </w:rPr>
            </w:pPr>
          </w:p>
        </w:tc>
        <w:tc>
          <w:tcPr>
            <w:tcW w:w="901" w:type="dxa"/>
          </w:tcPr>
          <w:p w14:paraId="2DB8C542" w14:textId="77777777" w:rsidR="008C2BF6" w:rsidRPr="00CC0A47" w:rsidRDefault="008C2BF6" w:rsidP="00922116">
            <w:pPr>
              <w:pStyle w:val="VSmCellBody"/>
              <w:jc w:val="right"/>
            </w:pPr>
            <w:r w:rsidRPr="000C1D2D">
              <w:t>93.8</w:t>
            </w:r>
          </w:p>
        </w:tc>
        <w:tc>
          <w:tcPr>
            <w:tcW w:w="234" w:type="dxa"/>
            <w:vAlign w:val="bottom"/>
          </w:tcPr>
          <w:p w14:paraId="24744574" w14:textId="77777777" w:rsidR="008C2BF6" w:rsidRPr="00CC0A47" w:rsidRDefault="008C2BF6" w:rsidP="00922116">
            <w:pPr>
              <w:pStyle w:val="CellRowSpacer"/>
              <w:rPr>
                <w:sz w:val="17"/>
              </w:rPr>
            </w:pPr>
          </w:p>
        </w:tc>
        <w:tc>
          <w:tcPr>
            <w:tcW w:w="901" w:type="dxa"/>
          </w:tcPr>
          <w:p w14:paraId="1B9929C4" w14:textId="77777777" w:rsidR="008C2BF6" w:rsidRPr="00CC0A47" w:rsidRDefault="008C2BF6" w:rsidP="00922116">
            <w:pPr>
              <w:pStyle w:val="VSmCellBody"/>
              <w:jc w:val="right"/>
            </w:pPr>
            <w:r w:rsidRPr="00417994">
              <w:t>71.9</w:t>
            </w:r>
          </w:p>
        </w:tc>
        <w:tc>
          <w:tcPr>
            <w:tcW w:w="234" w:type="dxa"/>
            <w:vAlign w:val="bottom"/>
          </w:tcPr>
          <w:p w14:paraId="5DE407A3" w14:textId="77777777" w:rsidR="008C2BF6" w:rsidRPr="00CC0A47" w:rsidRDefault="008C2BF6" w:rsidP="00922116">
            <w:pPr>
              <w:pStyle w:val="CellRowSpacer"/>
              <w:rPr>
                <w:sz w:val="17"/>
              </w:rPr>
            </w:pPr>
          </w:p>
        </w:tc>
        <w:tc>
          <w:tcPr>
            <w:tcW w:w="901" w:type="dxa"/>
          </w:tcPr>
          <w:p w14:paraId="1005E457" w14:textId="77777777" w:rsidR="008C2BF6" w:rsidRPr="00CC0A47" w:rsidRDefault="008C2BF6" w:rsidP="00922116">
            <w:pPr>
              <w:pStyle w:val="VSmCellBody"/>
              <w:jc w:val="right"/>
            </w:pPr>
            <w:r w:rsidRPr="00DF5CE8">
              <w:t>65.9</w:t>
            </w:r>
          </w:p>
        </w:tc>
        <w:tc>
          <w:tcPr>
            <w:tcW w:w="234" w:type="dxa"/>
            <w:vAlign w:val="bottom"/>
          </w:tcPr>
          <w:p w14:paraId="4D159534" w14:textId="77777777" w:rsidR="008C2BF6" w:rsidRPr="00B02BA3" w:rsidRDefault="008C2BF6" w:rsidP="00922116">
            <w:pPr>
              <w:pStyle w:val="CellRowSpacer"/>
              <w:rPr>
                <w:sz w:val="17"/>
              </w:rPr>
            </w:pPr>
          </w:p>
        </w:tc>
      </w:tr>
      <w:tr w:rsidR="008C2BF6" w:rsidRPr="00B02BA3" w14:paraId="7299CBBB" w14:textId="77777777" w:rsidTr="008C57E0">
        <w:tc>
          <w:tcPr>
            <w:tcW w:w="3143" w:type="dxa"/>
            <w:gridSpan w:val="2"/>
            <w:vAlign w:val="bottom"/>
          </w:tcPr>
          <w:p w14:paraId="20ABB75A" w14:textId="77777777" w:rsidR="008C2BF6" w:rsidRPr="00B02BA3" w:rsidRDefault="008C2BF6" w:rsidP="008C2BF6">
            <w:pPr>
              <w:pStyle w:val="VSmCellBody"/>
              <w:tabs>
                <w:tab w:val="right" w:leader="dot" w:pos="3163"/>
              </w:tabs>
              <w:bidi/>
              <w:ind w:firstLine="421"/>
              <w:rPr>
                <w:szCs w:val="17"/>
              </w:rPr>
            </w:pPr>
            <w:r>
              <w:rPr>
                <w:rFonts w:hint="cs"/>
                <w:szCs w:val="17"/>
                <w:rtl/>
              </w:rPr>
              <w:t>إيرادات مكافئ تأجير السفن المجهزة بالمدة للمنتجات</w:t>
            </w:r>
            <w:r w:rsidRPr="007766C5">
              <w:rPr>
                <w:szCs w:val="17"/>
                <w:vertAlign w:val="superscript"/>
              </w:rPr>
              <w:t>(</w:t>
            </w:r>
            <w:r>
              <w:rPr>
                <w:szCs w:val="17"/>
                <w:vertAlign w:val="superscript"/>
              </w:rPr>
              <w:t>1</w:t>
            </w:r>
            <w:r w:rsidRPr="007766C5">
              <w:rPr>
                <w:szCs w:val="17"/>
                <w:vertAlign w:val="superscript"/>
              </w:rPr>
              <w:t>)(</w:t>
            </w:r>
            <w:r>
              <w:rPr>
                <w:szCs w:val="17"/>
                <w:vertAlign w:val="superscript"/>
              </w:rPr>
              <w:t>4</w:t>
            </w:r>
            <w:r w:rsidRPr="007766C5">
              <w:rPr>
                <w:szCs w:val="17"/>
                <w:vertAlign w:val="superscript"/>
              </w:rPr>
              <w:t>)</w:t>
            </w:r>
            <w:r w:rsidRPr="007D2480">
              <w:tab/>
            </w:r>
          </w:p>
        </w:tc>
        <w:tc>
          <w:tcPr>
            <w:tcW w:w="235" w:type="dxa"/>
            <w:gridSpan w:val="2"/>
            <w:vAlign w:val="bottom"/>
          </w:tcPr>
          <w:p w14:paraId="76A5B429" w14:textId="77777777" w:rsidR="008C2BF6" w:rsidRPr="00B02BA3" w:rsidRDefault="008C2BF6" w:rsidP="008C2BF6">
            <w:pPr>
              <w:pStyle w:val="CellRowSpacer"/>
              <w:bidi/>
              <w:rPr>
                <w:sz w:val="17"/>
              </w:rPr>
            </w:pPr>
          </w:p>
        </w:tc>
        <w:tc>
          <w:tcPr>
            <w:tcW w:w="907" w:type="dxa"/>
            <w:gridSpan w:val="2"/>
          </w:tcPr>
          <w:p w14:paraId="4DFD7923" w14:textId="77777777" w:rsidR="008C2BF6" w:rsidRPr="00CC0A47" w:rsidRDefault="008C2BF6" w:rsidP="00922116">
            <w:pPr>
              <w:pStyle w:val="VSmCellBody"/>
              <w:jc w:val="right"/>
            </w:pPr>
            <w:r w:rsidRPr="0063544A">
              <w:t>28.4</w:t>
            </w:r>
          </w:p>
        </w:tc>
        <w:tc>
          <w:tcPr>
            <w:tcW w:w="235" w:type="dxa"/>
            <w:vAlign w:val="bottom"/>
          </w:tcPr>
          <w:p w14:paraId="101D1174" w14:textId="77777777" w:rsidR="008C2BF6" w:rsidRPr="00CC0A47" w:rsidRDefault="008C2BF6" w:rsidP="00922116">
            <w:pPr>
              <w:pStyle w:val="CellRowSpacer"/>
              <w:rPr>
                <w:sz w:val="17"/>
              </w:rPr>
            </w:pPr>
          </w:p>
        </w:tc>
        <w:tc>
          <w:tcPr>
            <w:tcW w:w="901" w:type="dxa"/>
          </w:tcPr>
          <w:p w14:paraId="46334B88" w14:textId="77777777" w:rsidR="008C2BF6" w:rsidRPr="00CC0A47" w:rsidRDefault="008C2BF6" w:rsidP="00922116">
            <w:pPr>
              <w:pStyle w:val="VSmCellBody"/>
              <w:jc w:val="right"/>
            </w:pPr>
            <w:r w:rsidRPr="00CF55A2">
              <w:t>49.4</w:t>
            </w:r>
          </w:p>
        </w:tc>
        <w:tc>
          <w:tcPr>
            <w:tcW w:w="234" w:type="dxa"/>
            <w:vAlign w:val="bottom"/>
          </w:tcPr>
          <w:p w14:paraId="38E589AE" w14:textId="77777777" w:rsidR="008C2BF6" w:rsidRPr="00CC0A47" w:rsidRDefault="008C2BF6" w:rsidP="00922116">
            <w:pPr>
              <w:pStyle w:val="CellRowSpacer"/>
              <w:rPr>
                <w:sz w:val="17"/>
              </w:rPr>
            </w:pPr>
          </w:p>
        </w:tc>
        <w:tc>
          <w:tcPr>
            <w:tcW w:w="901" w:type="dxa"/>
          </w:tcPr>
          <w:p w14:paraId="58DFB9EB" w14:textId="77777777" w:rsidR="008C2BF6" w:rsidRPr="00CC0A47" w:rsidRDefault="008C2BF6" w:rsidP="00922116">
            <w:pPr>
              <w:pStyle w:val="VSmCellBody"/>
              <w:jc w:val="right"/>
            </w:pPr>
            <w:r w:rsidRPr="000C1D2D">
              <w:t>77.0</w:t>
            </w:r>
          </w:p>
        </w:tc>
        <w:tc>
          <w:tcPr>
            <w:tcW w:w="234" w:type="dxa"/>
            <w:vAlign w:val="bottom"/>
          </w:tcPr>
          <w:p w14:paraId="19EC40D1" w14:textId="77777777" w:rsidR="008C2BF6" w:rsidRPr="00CC0A47" w:rsidRDefault="008C2BF6" w:rsidP="00922116">
            <w:pPr>
              <w:pStyle w:val="CellRowSpacer"/>
              <w:rPr>
                <w:sz w:val="17"/>
              </w:rPr>
            </w:pPr>
          </w:p>
        </w:tc>
        <w:tc>
          <w:tcPr>
            <w:tcW w:w="901" w:type="dxa"/>
          </w:tcPr>
          <w:p w14:paraId="177F609A" w14:textId="77777777" w:rsidR="008C2BF6" w:rsidRPr="00CC0A47" w:rsidRDefault="008C2BF6" w:rsidP="00922116">
            <w:pPr>
              <w:pStyle w:val="VSmCellBody"/>
              <w:jc w:val="right"/>
            </w:pPr>
            <w:r w:rsidRPr="00417994">
              <w:t>55.5</w:t>
            </w:r>
          </w:p>
        </w:tc>
        <w:tc>
          <w:tcPr>
            <w:tcW w:w="234" w:type="dxa"/>
            <w:vAlign w:val="bottom"/>
          </w:tcPr>
          <w:p w14:paraId="0CA9C326" w14:textId="77777777" w:rsidR="008C2BF6" w:rsidRPr="00CC0A47" w:rsidRDefault="008C2BF6" w:rsidP="00922116">
            <w:pPr>
              <w:pStyle w:val="CellRowSpacer"/>
              <w:rPr>
                <w:sz w:val="17"/>
              </w:rPr>
            </w:pPr>
          </w:p>
        </w:tc>
        <w:tc>
          <w:tcPr>
            <w:tcW w:w="901" w:type="dxa"/>
          </w:tcPr>
          <w:p w14:paraId="67B03C0E" w14:textId="77777777" w:rsidR="008C2BF6" w:rsidRPr="00CC0A47" w:rsidRDefault="008C2BF6" w:rsidP="00922116">
            <w:pPr>
              <w:pStyle w:val="VSmCellBody"/>
              <w:jc w:val="right"/>
            </w:pPr>
            <w:r w:rsidRPr="00DF5CE8">
              <w:t>73.6</w:t>
            </w:r>
          </w:p>
        </w:tc>
        <w:tc>
          <w:tcPr>
            <w:tcW w:w="234" w:type="dxa"/>
            <w:vAlign w:val="bottom"/>
          </w:tcPr>
          <w:p w14:paraId="6EFCC837" w14:textId="77777777" w:rsidR="008C2BF6" w:rsidRPr="00B02BA3" w:rsidRDefault="008C2BF6" w:rsidP="00922116">
            <w:pPr>
              <w:pStyle w:val="CellRowSpacer"/>
              <w:rPr>
                <w:sz w:val="17"/>
              </w:rPr>
            </w:pPr>
          </w:p>
        </w:tc>
      </w:tr>
      <w:tr w:rsidR="008C2BF6" w:rsidRPr="00B02BA3" w14:paraId="3A585AA4" w14:textId="77777777" w:rsidTr="008C57E0">
        <w:tc>
          <w:tcPr>
            <w:tcW w:w="3143" w:type="dxa"/>
            <w:gridSpan w:val="2"/>
            <w:vAlign w:val="bottom"/>
          </w:tcPr>
          <w:p w14:paraId="1129B88D" w14:textId="77777777" w:rsidR="008C2BF6" w:rsidRPr="00B02BA3" w:rsidRDefault="008C2BF6" w:rsidP="008C2BF6">
            <w:pPr>
              <w:pStyle w:val="VSmCellBody"/>
              <w:tabs>
                <w:tab w:val="right" w:leader="dot" w:pos="3163"/>
              </w:tabs>
              <w:bidi/>
              <w:ind w:firstLine="421"/>
              <w:rPr>
                <w:szCs w:val="17"/>
              </w:rPr>
            </w:pPr>
            <w:r>
              <w:rPr>
                <w:rFonts w:hint="cs"/>
                <w:szCs w:val="17"/>
                <w:rtl/>
              </w:rPr>
              <w:t xml:space="preserve">إيرادات مكافئ تأجير السفن المجهزة بالمدة للبضائع السائبة الجافة </w:t>
            </w:r>
            <w:r w:rsidRPr="007766C5">
              <w:rPr>
                <w:szCs w:val="17"/>
                <w:vertAlign w:val="superscript"/>
              </w:rPr>
              <w:t>(</w:t>
            </w:r>
            <w:r>
              <w:rPr>
                <w:szCs w:val="17"/>
                <w:vertAlign w:val="superscript"/>
              </w:rPr>
              <w:t>1</w:t>
            </w:r>
            <w:r w:rsidRPr="007766C5">
              <w:rPr>
                <w:szCs w:val="17"/>
                <w:vertAlign w:val="superscript"/>
              </w:rPr>
              <w:t>)(</w:t>
            </w:r>
            <w:r>
              <w:rPr>
                <w:szCs w:val="17"/>
                <w:vertAlign w:val="superscript"/>
              </w:rPr>
              <w:t>5</w:t>
            </w:r>
            <w:r w:rsidRPr="007766C5">
              <w:rPr>
                <w:szCs w:val="17"/>
                <w:vertAlign w:val="superscript"/>
              </w:rPr>
              <w:t>)</w:t>
            </w:r>
            <w:r w:rsidRPr="007D2480">
              <w:tab/>
            </w:r>
          </w:p>
        </w:tc>
        <w:tc>
          <w:tcPr>
            <w:tcW w:w="235" w:type="dxa"/>
            <w:gridSpan w:val="2"/>
            <w:vAlign w:val="bottom"/>
          </w:tcPr>
          <w:p w14:paraId="0899B731" w14:textId="77777777" w:rsidR="008C2BF6" w:rsidRPr="00B02BA3" w:rsidRDefault="008C2BF6" w:rsidP="008C2BF6">
            <w:pPr>
              <w:pStyle w:val="CellRowSpacer"/>
              <w:bidi/>
              <w:rPr>
                <w:sz w:val="17"/>
              </w:rPr>
            </w:pPr>
          </w:p>
        </w:tc>
        <w:tc>
          <w:tcPr>
            <w:tcW w:w="907" w:type="dxa"/>
            <w:gridSpan w:val="2"/>
          </w:tcPr>
          <w:p w14:paraId="0C158E99" w14:textId="77777777" w:rsidR="008C2BF6" w:rsidRPr="00CC0A47" w:rsidRDefault="008C2BF6" w:rsidP="00922116">
            <w:pPr>
              <w:pStyle w:val="VSmCellBody"/>
              <w:jc w:val="right"/>
            </w:pPr>
            <w:r w:rsidRPr="0063544A">
              <w:t>53.8</w:t>
            </w:r>
          </w:p>
        </w:tc>
        <w:tc>
          <w:tcPr>
            <w:tcW w:w="235" w:type="dxa"/>
            <w:vAlign w:val="bottom"/>
          </w:tcPr>
          <w:p w14:paraId="320C351C" w14:textId="77777777" w:rsidR="008C2BF6" w:rsidRPr="00CC0A47" w:rsidRDefault="008C2BF6" w:rsidP="00922116">
            <w:pPr>
              <w:pStyle w:val="CellRowSpacer"/>
              <w:rPr>
                <w:sz w:val="17"/>
              </w:rPr>
            </w:pPr>
          </w:p>
        </w:tc>
        <w:tc>
          <w:tcPr>
            <w:tcW w:w="901" w:type="dxa"/>
          </w:tcPr>
          <w:p w14:paraId="195E4F7C" w14:textId="77777777" w:rsidR="008C2BF6" w:rsidRPr="00CC0A47" w:rsidRDefault="008C2BF6" w:rsidP="00922116">
            <w:pPr>
              <w:pStyle w:val="VSmCellBody"/>
              <w:jc w:val="right"/>
            </w:pPr>
            <w:r w:rsidRPr="00CF55A2">
              <w:t>62.4</w:t>
            </w:r>
          </w:p>
        </w:tc>
        <w:tc>
          <w:tcPr>
            <w:tcW w:w="234" w:type="dxa"/>
            <w:vAlign w:val="bottom"/>
          </w:tcPr>
          <w:p w14:paraId="521C197E" w14:textId="77777777" w:rsidR="008C2BF6" w:rsidRPr="00CC0A47" w:rsidRDefault="008C2BF6" w:rsidP="00922116">
            <w:pPr>
              <w:pStyle w:val="CellRowSpacer"/>
              <w:rPr>
                <w:sz w:val="17"/>
              </w:rPr>
            </w:pPr>
          </w:p>
        </w:tc>
        <w:tc>
          <w:tcPr>
            <w:tcW w:w="901" w:type="dxa"/>
          </w:tcPr>
          <w:p w14:paraId="1B0AE1A0" w14:textId="77777777" w:rsidR="008C2BF6" w:rsidRPr="00CC0A47" w:rsidRDefault="008C2BF6" w:rsidP="00922116">
            <w:pPr>
              <w:pStyle w:val="VSmCellBody"/>
              <w:jc w:val="right"/>
            </w:pPr>
            <w:r w:rsidRPr="000C1D2D">
              <w:t>54.2</w:t>
            </w:r>
          </w:p>
        </w:tc>
        <w:tc>
          <w:tcPr>
            <w:tcW w:w="234" w:type="dxa"/>
            <w:vAlign w:val="bottom"/>
          </w:tcPr>
          <w:p w14:paraId="0B7E6B5B" w14:textId="77777777" w:rsidR="008C2BF6" w:rsidRPr="00CC0A47" w:rsidRDefault="008C2BF6" w:rsidP="00922116">
            <w:pPr>
              <w:pStyle w:val="CellRowSpacer"/>
              <w:rPr>
                <w:sz w:val="17"/>
              </w:rPr>
            </w:pPr>
          </w:p>
        </w:tc>
        <w:tc>
          <w:tcPr>
            <w:tcW w:w="901" w:type="dxa"/>
          </w:tcPr>
          <w:p w14:paraId="0BE92654" w14:textId="77777777" w:rsidR="008C2BF6" w:rsidRPr="00CC0A47" w:rsidRDefault="008C2BF6" w:rsidP="00922116">
            <w:pPr>
              <w:pStyle w:val="VSmCellBody"/>
              <w:jc w:val="right"/>
            </w:pPr>
            <w:r w:rsidRPr="00417994">
              <w:t>40.6</w:t>
            </w:r>
          </w:p>
        </w:tc>
        <w:tc>
          <w:tcPr>
            <w:tcW w:w="234" w:type="dxa"/>
            <w:vAlign w:val="bottom"/>
          </w:tcPr>
          <w:p w14:paraId="0A7014B3" w14:textId="77777777" w:rsidR="008C2BF6" w:rsidRPr="00CC0A47" w:rsidRDefault="008C2BF6" w:rsidP="00922116">
            <w:pPr>
              <w:pStyle w:val="CellRowSpacer"/>
              <w:rPr>
                <w:sz w:val="17"/>
              </w:rPr>
            </w:pPr>
          </w:p>
        </w:tc>
        <w:tc>
          <w:tcPr>
            <w:tcW w:w="901" w:type="dxa"/>
          </w:tcPr>
          <w:p w14:paraId="08D6C2A4" w14:textId="77777777" w:rsidR="008C2BF6" w:rsidRPr="00CC0A47" w:rsidRDefault="008C2BF6" w:rsidP="00922116">
            <w:pPr>
              <w:pStyle w:val="VSmCellBody"/>
              <w:jc w:val="right"/>
            </w:pPr>
            <w:r w:rsidRPr="00DF5CE8">
              <w:t>41.1</w:t>
            </w:r>
          </w:p>
        </w:tc>
        <w:tc>
          <w:tcPr>
            <w:tcW w:w="234" w:type="dxa"/>
            <w:vAlign w:val="bottom"/>
          </w:tcPr>
          <w:p w14:paraId="31F5B61E" w14:textId="77777777" w:rsidR="008C2BF6" w:rsidRPr="00B02BA3" w:rsidRDefault="008C2BF6" w:rsidP="00922116">
            <w:pPr>
              <w:pStyle w:val="CellRowSpacer"/>
              <w:rPr>
                <w:sz w:val="17"/>
              </w:rPr>
            </w:pPr>
          </w:p>
        </w:tc>
      </w:tr>
      <w:tr w:rsidR="008C2BF6" w:rsidRPr="00B02BA3" w14:paraId="7CF09348" w14:textId="77777777" w:rsidTr="008C57E0">
        <w:tc>
          <w:tcPr>
            <w:tcW w:w="3143" w:type="dxa"/>
            <w:gridSpan w:val="2"/>
            <w:vAlign w:val="bottom"/>
          </w:tcPr>
          <w:p w14:paraId="6A9A12D4" w14:textId="77777777" w:rsidR="008C2BF6" w:rsidRPr="00B02BA3" w:rsidRDefault="008C2BF6" w:rsidP="008C2BF6">
            <w:pPr>
              <w:pStyle w:val="VSmCellBody"/>
              <w:tabs>
                <w:tab w:val="right" w:leader="dot" w:pos="3163"/>
              </w:tabs>
              <w:bidi/>
              <w:ind w:firstLine="421"/>
              <w:rPr>
                <w:szCs w:val="17"/>
              </w:rPr>
            </w:pPr>
            <w:r>
              <w:rPr>
                <w:rFonts w:hint="cs"/>
                <w:szCs w:val="17"/>
                <w:rtl/>
              </w:rPr>
              <w:t>إيرادات مكافئ تأجير السفن المجهزة بالمدة للغاز</w:t>
            </w:r>
            <w:r w:rsidRPr="007766C5">
              <w:rPr>
                <w:szCs w:val="17"/>
                <w:vertAlign w:val="superscript"/>
              </w:rPr>
              <w:t>(</w:t>
            </w:r>
            <w:r>
              <w:rPr>
                <w:szCs w:val="17"/>
                <w:vertAlign w:val="superscript"/>
              </w:rPr>
              <w:t>1</w:t>
            </w:r>
            <w:r w:rsidRPr="007766C5">
              <w:rPr>
                <w:szCs w:val="17"/>
                <w:vertAlign w:val="superscript"/>
              </w:rPr>
              <w:t>)(</w:t>
            </w:r>
            <w:r>
              <w:rPr>
                <w:szCs w:val="17"/>
                <w:vertAlign w:val="superscript"/>
              </w:rPr>
              <w:t>6</w:t>
            </w:r>
            <w:r w:rsidRPr="007766C5">
              <w:rPr>
                <w:szCs w:val="17"/>
                <w:vertAlign w:val="superscript"/>
              </w:rPr>
              <w:t>)</w:t>
            </w:r>
            <w:r w:rsidRPr="007D2480">
              <w:tab/>
            </w:r>
          </w:p>
        </w:tc>
        <w:tc>
          <w:tcPr>
            <w:tcW w:w="235" w:type="dxa"/>
            <w:gridSpan w:val="2"/>
            <w:vAlign w:val="bottom"/>
          </w:tcPr>
          <w:p w14:paraId="33D13345" w14:textId="77777777" w:rsidR="008C2BF6" w:rsidRPr="00B02BA3" w:rsidRDefault="008C2BF6" w:rsidP="008C2BF6">
            <w:pPr>
              <w:pStyle w:val="CellRowSpacer"/>
              <w:bidi/>
              <w:rPr>
                <w:sz w:val="17"/>
              </w:rPr>
            </w:pPr>
          </w:p>
        </w:tc>
        <w:tc>
          <w:tcPr>
            <w:tcW w:w="907" w:type="dxa"/>
            <w:gridSpan w:val="2"/>
          </w:tcPr>
          <w:p w14:paraId="7BA8B940" w14:textId="77777777" w:rsidR="008C2BF6" w:rsidRPr="00CC0A47" w:rsidRDefault="008C2BF6" w:rsidP="00922116">
            <w:pPr>
              <w:pStyle w:val="VSmCellBody"/>
              <w:jc w:val="right"/>
            </w:pPr>
            <w:r w:rsidRPr="0063544A">
              <w:t>36.9</w:t>
            </w:r>
          </w:p>
        </w:tc>
        <w:tc>
          <w:tcPr>
            <w:tcW w:w="235" w:type="dxa"/>
            <w:vAlign w:val="bottom"/>
          </w:tcPr>
          <w:p w14:paraId="12D7CEA1" w14:textId="77777777" w:rsidR="008C2BF6" w:rsidRPr="00CC0A47" w:rsidRDefault="008C2BF6" w:rsidP="00922116">
            <w:pPr>
              <w:pStyle w:val="CellRowSpacer"/>
              <w:rPr>
                <w:sz w:val="17"/>
              </w:rPr>
            </w:pPr>
          </w:p>
        </w:tc>
        <w:tc>
          <w:tcPr>
            <w:tcW w:w="901" w:type="dxa"/>
          </w:tcPr>
          <w:p w14:paraId="7C1EAC0F" w14:textId="77777777" w:rsidR="008C2BF6" w:rsidRPr="00CC0A47" w:rsidRDefault="008C2BF6" w:rsidP="00922116">
            <w:pPr>
              <w:pStyle w:val="VSmCellBody"/>
              <w:jc w:val="right"/>
            </w:pPr>
            <w:r w:rsidRPr="00CF55A2">
              <w:t>42.4</w:t>
            </w:r>
          </w:p>
        </w:tc>
        <w:tc>
          <w:tcPr>
            <w:tcW w:w="234" w:type="dxa"/>
            <w:vAlign w:val="bottom"/>
          </w:tcPr>
          <w:p w14:paraId="3FBBB6C8" w14:textId="77777777" w:rsidR="008C2BF6" w:rsidRPr="00CC0A47" w:rsidRDefault="008C2BF6" w:rsidP="00922116">
            <w:pPr>
              <w:pStyle w:val="CellRowSpacer"/>
              <w:rPr>
                <w:sz w:val="17"/>
              </w:rPr>
            </w:pPr>
          </w:p>
        </w:tc>
        <w:tc>
          <w:tcPr>
            <w:tcW w:w="901" w:type="dxa"/>
          </w:tcPr>
          <w:p w14:paraId="1F5FEFE6" w14:textId="77777777" w:rsidR="008C2BF6" w:rsidRPr="00CC0A47" w:rsidRDefault="008C2BF6" w:rsidP="00922116">
            <w:pPr>
              <w:pStyle w:val="VSmCellBody"/>
              <w:jc w:val="right"/>
            </w:pPr>
            <w:r w:rsidRPr="000C1D2D">
              <w:t>51.1</w:t>
            </w:r>
          </w:p>
        </w:tc>
        <w:tc>
          <w:tcPr>
            <w:tcW w:w="234" w:type="dxa"/>
            <w:vAlign w:val="bottom"/>
          </w:tcPr>
          <w:p w14:paraId="3E830AD8" w14:textId="77777777" w:rsidR="008C2BF6" w:rsidRPr="00CC0A47" w:rsidRDefault="008C2BF6" w:rsidP="00922116">
            <w:pPr>
              <w:pStyle w:val="CellRowSpacer"/>
              <w:rPr>
                <w:sz w:val="17"/>
              </w:rPr>
            </w:pPr>
          </w:p>
        </w:tc>
        <w:tc>
          <w:tcPr>
            <w:tcW w:w="901" w:type="dxa"/>
          </w:tcPr>
          <w:p w14:paraId="4443D477" w14:textId="77777777" w:rsidR="008C2BF6" w:rsidRPr="00CC0A47" w:rsidRDefault="008C2BF6" w:rsidP="00922116">
            <w:pPr>
              <w:pStyle w:val="VSmCellBody"/>
              <w:jc w:val="right"/>
            </w:pPr>
            <w:r w:rsidRPr="00417994">
              <w:t>38.2</w:t>
            </w:r>
          </w:p>
        </w:tc>
        <w:tc>
          <w:tcPr>
            <w:tcW w:w="234" w:type="dxa"/>
            <w:vAlign w:val="bottom"/>
          </w:tcPr>
          <w:p w14:paraId="793AA475" w14:textId="77777777" w:rsidR="008C2BF6" w:rsidRPr="00CC0A47" w:rsidRDefault="008C2BF6" w:rsidP="00922116">
            <w:pPr>
              <w:pStyle w:val="CellRowSpacer"/>
              <w:rPr>
                <w:sz w:val="17"/>
              </w:rPr>
            </w:pPr>
          </w:p>
        </w:tc>
        <w:tc>
          <w:tcPr>
            <w:tcW w:w="901" w:type="dxa"/>
          </w:tcPr>
          <w:p w14:paraId="59C4046E" w14:textId="77777777" w:rsidR="008C2BF6" w:rsidRPr="00CC0A47" w:rsidRDefault="008C2BF6" w:rsidP="00922116">
            <w:pPr>
              <w:pStyle w:val="VSmCellBody"/>
              <w:jc w:val="right"/>
            </w:pPr>
            <w:r w:rsidRPr="00DF5CE8">
              <w:t>37.5</w:t>
            </w:r>
          </w:p>
        </w:tc>
        <w:tc>
          <w:tcPr>
            <w:tcW w:w="234" w:type="dxa"/>
            <w:vAlign w:val="bottom"/>
          </w:tcPr>
          <w:p w14:paraId="4FEAC767" w14:textId="77777777" w:rsidR="008C2BF6" w:rsidRPr="00B02BA3" w:rsidRDefault="008C2BF6" w:rsidP="00922116">
            <w:pPr>
              <w:pStyle w:val="CellRowSpacer"/>
              <w:rPr>
                <w:sz w:val="17"/>
              </w:rPr>
            </w:pPr>
          </w:p>
        </w:tc>
      </w:tr>
      <w:tr w:rsidR="008C2BF6" w:rsidRPr="00B02BA3" w14:paraId="1BA29F93" w14:textId="77777777" w:rsidTr="008C57E0">
        <w:tc>
          <w:tcPr>
            <w:tcW w:w="3143" w:type="dxa"/>
            <w:gridSpan w:val="2"/>
            <w:vAlign w:val="bottom"/>
          </w:tcPr>
          <w:p w14:paraId="344F1B55" w14:textId="77777777" w:rsidR="008C2BF6" w:rsidRPr="00B02BA3" w:rsidRDefault="008C2BF6" w:rsidP="008C2BF6">
            <w:pPr>
              <w:pStyle w:val="VSmCellBody"/>
              <w:tabs>
                <w:tab w:val="right" w:leader="dot" w:pos="3163"/>
              </w:tabs>
              <w:bidi/>
              <w:ind w:firstLine="421"/>
              <w:rPr>
                <w:szCs w:val="17"/>
              </w:rPr>
            </w:pPr>
            <w:r>
              <w:rPr>
                <w:rFonts w:hint="cs"/>
                <w:szCs w:val="17"/>
                <w:rtl/>
              </w:rPr>
              <w:t>إيرادات مكافئ تأجير السفن المجهزة بالمدة لل</w:t>
            </w:r>
            <w:r w:rsidR="00607B02">
              <w:rPr>
                <w:rFonts w:hint="cs"/>
                <w:szCs w:val="17"/>
                <w:rtl/>
              </w:rPr>
              <w:t>نقل</w:t>
            </w:r>
            <w:r>
              <w:rPr>
                <w:rFonts w:hint="cs"/>
                <w:szCs w:val="17"/>
                <w:rtl/>
              </w:rPr>
              <w:t xml:space="preserve"> المنتظم</w:t>
            </w:r>
            <w:r w:rsidRPr="007766C5">
              <w:rPr>
                <w:szCs w:val="17"/>
                <w:vertAlign w:val="superscript"/>
              </w:rPr>
              <w:t>(</w:t>
            </w:r>
            <w:r>
              <w:rPr>
                <w:szCs w:val="17"/>
                <w:vertAlign w:val="superscript"/>
              </w:rPr>
              <w:t>1</w:t>
            </w:r>
            <w:r w:rsidRPr="007766C5">
              <w:rPr>
                <w:szCs w:val="17"/>
                <w:vertAlign w:val="superscript"/>
              </w:rPr>
              <w:t>)(</w:t>
            </w:r>
            <w:r>
              <w:rPr>
                <w:szCs w:val="17"/>
                <w:vertAlign w:val="superscript"/>
              </w:rPr>
              <w:t>7</w:t>
            </w:r>
            <w:r w:rsidRPr="007766C5">
              <w:rPr>
                <w:szCs w:val="17"/>
                <w:vertAlign w:val="superscript"/>
              </w:rPr>
              <w:t>)</w:t>
            </w:r>
            <w:r w:rsidRPr="007D2480">
              <w:tab/>
            </w:r>
          </w:p>
        </w:tc>
        <w:tc>
          <w:tcPr>
            <w:tcW w:w="235" w:type="dxa"/>
            <w:gridSpan w:val="2"/>
            <w:vAlign w:val="bottom"/>
          </w:tcPr>
          <w:p w14:paraId="59D84E30" w14:textId="77777777" w:rsidR="008C2BF6" w:rsidRPr="00B02BA3" w:rsidRDefault="008C2BF6" w:rsidP="008C2BF6">
            <w:pPr>
              <w:pStyle w:val="CellRowSpacer"/>
              <w:bidi/>
              <w:rPr>
                <w:sz w:val="17"/>
              </w:rPr>
            </w:pPr>
          </w:p>
        </w:tc>
        <w:tc>
          <w:tcPr>
            <w:tcW w:w="907" w:type="dxa"/>
            <w:gridSpan w:val="2"/>
          </w:tcPr>
          <w:p w14:paraId="5A3C7E1F" w14:textId="77777777" w:rsidR="008C2BF6" w:rsidRPr="00CC0A47" w:rsidRDefault="008C2BF6" w:rsidP="00922116">
            <w:pPr>
              <w:pStyle w:val="VSmCellBody"/>
              <w:jc w:val="right"/>
            </w:pPr>
            <w:r w:rsidRPr="0063544A">
              <w:t>21.3</w:t>
            </w:r>
          </w:p>
        </w:tc>
        <w:tc>
          <w:tcPr>
            <w:tcW w:w="235" w:type="dxa"/>
            <w:vAlign w:val="bottom"/>
          </w:tcPr>
          <w:p w14:paraId="5DBF60AC" w14:textId="77777777" w:rsidR="008C2BF6" w:rsidRPr="00CC0A47" w:rsidRDefault="008C2BF6" w:rsidP="00922116">
            <w:pPr>
              <w:pStyle w:val="CellRowSpacer"/>
              <w:rPr>
                <w:sz w:val="17"/>
              </w:rPr>
            </w:pPr>
          </w:p>
        </w:tc>
        <w:tc>
          <w:tcPr>
            <w:tcW w:w="901" w:type="dxa"/>
          </w:tcPr>
          <w:p w14:paraId="11EC9887" w14:textId="77777777" w:rsidR="008C2BF6" w:rsidRPr="00CC0A47" w:rsidRDefault="008C2BF6" w:rsidP="00922116">
            <w:pPr>
              <w:pStyle w:val="VSmCellBody"/>
              <w:jc w:val="right"/>
            </w:pPr>
            <w:r w:rsidRPr="00CF55A2">
              <w:t>30.8</w:t>
            </w:r>
          </w:p>
        </w:tc>
        <w:tc>
          <w:tcPr>
            <w:tcW w:w="234" w:type="dxa"/>
            <w:vAlign w:val="bottom"/>
          </w:tcPr>
          <w:p w14:paraId="3CA4380D" w14:textId="77777777" w:rsidR="008C2BF6" w:rsidRPr="00CC0A47" w:rsidRDefault="008C2BF6" w:rsidP="00922116">
            <w:pPr>
              <w:pStyle w:val="CellRowSpacer"/>
              <w:rPr>
                <w:sz w:val="17"/>
              </w:rPr>
            </w:pPr>
          </w:p>
        </w:tc>
        <w:tc>
          <w:tcPr>
            <w:tcW w:w="901" w:type="dxa"/>
          </w:tcPr>
          <w:p w14:paraId="03072FBB" w14:textId="77777777" w:rsidR="008C2BF6" w:rsidRPr="00CC0A47" w:rsidRDefault="008C2BF6" w:rsidP="00922116">
            <w:pPr>
              <w:pStyle w:val="VSmCellBody"/>
              <w:jc w:val="right"/>
            </w:pPr>
            <w:r w:rsidRPr="000C1D2D">
              <w:t>4.5</w:t>
            </w:r>
          </w:p>
        </w:tc>
        <w:tc>
          <w:tcPr>
            <w:tcW w:w="234" w:type="dxa"/>
            <w:vAlign w:val="bottom"/>
          </w:tcPr>
          <w:p w14:paraId="45BEC6B7" w14:textId="77777777" w:rsidR="008C2BF6" w:rsidRPr="00CC0A47" w:rsidRDefault="008C2BF6" w:rsidP="00922116">
            <w:pPr>
              <w:pStyle w:val="CellRowSpacer"/>
              <w:rPr>
                <w:sz w:val="17"/>
              </w:rPr>
            </w:pPr>
          </w:p>
        </w:tc>
        <w:tc>
          <w:tcPr>
            <w:tcW w:w="901" w:type="dxa"/>
          </w:tcPr>
          <w:p w14:paraId="42DA33A6" w14:textId="77777777" w:rsidR="008C2BF6" w:rsidRPr="00CC0A47" w:rsidRDefault="008C2BF6" w:rsidP="00922116">
            <w:pPr>
              <w:pStyle w:val="VSmCellBody"/>
              <w:jc w:val="right"/>
            </w:pPr>
            <w:r w:rsidRPr="00417994">
              <w:t>5.2</w:t>
            </w:r>
          </w:p>
        </w:tc>
        <w:tc>
          <w:tcPr>
            <w:tcW w:w="234" w:type="dxa"/>
            <w:vAlign w:val="bottom"/>
          </w:tcPr>
          <w:p w14:paraId="47FC37A1" w14:textId="77777777" w:rsidR="008C2BF6" w:rsidRPr="00CC0A47" w:rsidRDefault="008C2BF6" w:rsidP="00922116">
            <w:pPr>
              <w:pStyle w:val="CellRowSpacer"/>
              <w:rPr>
                <w:sz w:val="17"/>
              </w:rPr>
            </w:pPr>
          </w:p>
        </w:tc>
        <w:tc>
          <w:tcPr>
            <w:tcW w:w="901" w:type="dxa"/>
          </w:tcPr>
          <w:p w14:paraId="31EEEA8A" w14:textId="77777777" w:rsidR="008C2BF6" w:rsidRPr="00CC0A47" w:rsidRDefault="008C2BF6" w:rsidP="00922116">
            <w:pPr>
              <w:pStyle w:val="VSmCellBody"/>
              <w:jc w:val="right"/>
            </w:pPr>
            <w:r w:rsidRPr="00DF5CE8">
              <w:t>16.9</w:t>
            </w:r>
          </w:p>
        </w:tc>
        <w:tc>
          <w:tcPr>
            <w:tcW w:w="234" w:type="dxa"/>
            <w:vAlign w:val="bottom"/>
          </w:tcPr>
          <w:p w14:paraId="35A87BD0" w14:textId="77777777" w:rsidR="008C2BF6" w:rsidRPr="00B02BA3" w:rsidRDefault="008C2BF6" w:rsidP="00922116">
            <w:pPr>
              <w:pStyle w:val="CellRowSpacer"/>
              <w:rPr>
                <w:sz w:val="17"/>
              </w:rPr>
            </w:pPr>
          </w:p>
        </w:tc>
      </w:tr>
      <w:tr w:rsidR="00C72818" w:rsidRPr="00B02BA3" w14:paraId="2D3DB81A" w14:textId="77777777" w:rsidTr="008C57E0">
        <w:tc>
          <w:tcPr>
            <w:tcW w:w="3143" w:type="dxa"/>
            <w:gridSpan w:val="2"/>
          </w:tcPr>
          <w:p w14:paraId="48D0890B" w14:textId="77777777" w:rsidR="00C72818" w:rsidRPr="003832A3" w:rsidRDefault="00C72818" w:rsidP="00C72818">
            <w:pPr>
              <w:pStyle w:val="VSmCellBody"/>
              <w:tabs>
                <w:tab w:val="right" w:leader="dot" w:pos="3163"/>
              </w:tabs>
              <w:bidi/>
              <w:ind w:firstLine="421"/>
              <w:rPr>
                <w:szCs w:val="17"/>
                <w:rtl/>
                <w:lang w:val="en-US"/>
              </w:rPr>
            </w:pPr>
            <w:r w:rsidRPr="003832A3">
              <w:rPr>
                <w:szCs w:val="17"/>
                <w:rtl/>
              </w:rPr>
              <w:t>الإيرادات الأخرى المكافئة من تأجير السفن المجهزة بالمدة</w:t>
            </w:r>
            <w:r w:rsidR="00CE5FA6">
              <w:rPr>
                <w:szCs w:val="17"/>
              </w:rPr>
              <w:t>………………………………</w:t>
            </w:r>
            <w:r>
              <w:rPr>
                <w:szCs w:val="17"/>
                <w:vertAlign w:val="superscript"/>
                <w:lang w:val="en-US"/>
              </w:rPr>
              <w:t>(1)(8)</w:t>
            </w:r>
          </w:p>
        </w:tc>
        <w:tc>
          <w:tcPr>
            <w:tcW w:w="235" w:type="dxa"/>
            <w:gridSpan w:val="2"/>
            <w:vAlign w:val="bottom"/>
          </w:tcPr>
          <w:p w14:paraId="03263F25" w14:textId="77777777" w:rsidR="00C72818" w:rsidRPr="00B02BA3" w:rsidRDefault="00C72818" w:rsidP="00C72818">
            <w:pPr>
              <w:pStyle w:val="CellRowSpacer"/>
              <w:bidi/>
              <w:rPr>
                <w:sz w:val="17"/>
              </w:rPr>
            </w:pPr>
          </w:p>
        </w:tc>
        <w:tc>
          <w:tcPr>
            <w:tcW w:w="907" w:type="dxa"/>
            <w:gridSpan w:val="2"/>
          </w:tcPr>
          <w:p w14:paraId="6D51213E" w14:textId="77777777" w:rsidR="00C72818" w:rsidRPr="0063544A" w:rsidRDefault="00C72818" w:rsidP="003832A3">
            <w:pPr>
              <w:pStyle w:val="VSmCellBody"/>
              <w:bidi/>
            </w:pPr>
            <w:r>
              <w:t>1.4</w:t>
            </w:r>
          </w:p>
        </w:tc>
        <w:tc>
          <w:tcPr>
            <w:tcW w:w="235" w:type="dxa"/>
            <w:vAlign w:val="bottom"/>
          </w:tcPr>
          <w:p w14:paraId="5C752735" w14:textId="77777777" w:rsidR="00C72818" w:rsidRPr="00CC0A47" w:rsidRDefault="00C72818" w:rsidP="003832A3">
            <w:pPr>
              <w:pStyle w:val="CellRowSpacer"/>
              <w:bidi/>
              <w:rPr>
                <w:sz w:val="17"/>
              </w:rPr>
            </w:pPr>
          </w:p>
        </w:tc>
        <w:tc>
          <w:tcPr>
            <w:tcW w:w="901" w:type="dxa"/>
          </w:tcPr>
          <w:p w14:paraId="156E0B60" w14:textId="77777777" w:rsidR="00C72818" w:rsidRPr="00CF55A2" w:rsidRDefault="00CE5FA6" w:rsidP="003832A3">
            <w:pPr>
              <w:pStyle w:val="VSmCellBody"/>
              <w:bidi/>
            </w:pPr>
            <w:r>
              <w:t>1.5</w:t>
            </w:r>
          </w:p>
        </w:tc>
        <w:tc>
          <w:tcPr>
            <w:tcW w:w="234" w:type="dxa"/>
            <w:vAlign w:val="bottom"/>
          </w:tcPr>
          <w:p w14:paraId="39B723AA" w14:textId="77777777" w:rsidR="00C72818" w:rsidRPr="00CC0A47" w:rsidRDefault="00C72818" w:rsidP="003832A3">
            <w:pPr>
              <w:pStyle w:val="CellRowSpacer"/>
              <w:bidi/>
              <w:rPr>
                <w:sz w:val="17"/>
              </w:rPr>
            </w:pPr>
          </w:p>
        </w:tc>
        <w:tc>
          <w:tcPr>
            <w:tcW w:w="901" w:type="dxa"/>
          </w:tcPr>
          <w:p w14:paraId="41DFF6AB" w14:textId="77777777" w:rsidR="00C72818" w:rsidRPr="000C1D2D" w:rsidRDefault="00CE5FA6" w:rsidP="003832A3">
            <w:pPr>
              <w:pStyle w:val="VSmCellBody"/>
              <w:bidi/>
            </w:pPr>
            <w:r>
              <w:t>1.5</w:t>
            </w:r>
          </w:p>
        </w:tc>
        <w:tc>
          <w:tcPr>
            <w:tcW w:w="234" w:type="dxa"/>
            <w:vAlign w:val="bottom"/>
          </w:tcPr>
          <w:p w14:paraId="4806C3A8" w14:textId="77777777" w:rsidR="00C72818" w:rsidRPr="00CC0A47" w:rsidRDefault="00C72818" w:rsidP="003832A3">
            <w:pPr>
              <w:pStyle w:val="CellRowSpacer"/>
              <w:bidi/>
              <w:rPr>
                <w:sz w:val="17"/>
              </w:rPr>
            </w:pPr>
          </w:p>
        </w:tc>
        <w:tc>
          <w:tcPr>
            <w:tcW w:w="901" w:type="dxa"/>
          </w:tcPr>
          <w:p w14:paraId="468CCD16" w14:textId="77777777" w:rsidR="00C72818" w:rsidRPr="00417994" w:rsidRDefault="00CE5FA6" w:rsidP="003832A3">
            <w:pPr>
              <w:pStyle w:val="VSmCellBody"/>
              <w:bidi/>
            </w:pPr>
            <w:r>
              <w:t>1.0</w:t>
            </w:r>
          </w:p>
        </w:tc>
        <w:tc>
          <w:tcPr>
            <w:tcW w:w="234" w:type="dxa"/>
            <w:vAlign w:val="bottom"/>
          </w:tcPr>
          <w:p w14:paraId="22A4A2A8" w14:textId="77777777" w:rsidR="00C72818" w:rsidRPr="00CC0A47" w:rsidRDefault="00C72818" w:rsidP="003832A3">
            <w:pPr>
              <w:pStyle w:val="CellRowSpacer"/>
              <w:bidi/>
              <w:rPr>
                <w:sz w:val="17"/>
              </w:rPr>
            </w:pPr>
          </w:p>
        </w:tc>
        <w:tc>
          <w:tcPr>
            <w:tcW w:w="901" w:type="dxa"/>
          </w:tcPr>
          <w:p w14:paraId="2100BC75" w14:textId="77777777" w:rsidR="00C72818" w:rsidRPr="00DF5CE8" w:rsidRDefault="00CE5FA6" w:rsidP="003832A3">
            <w:pPr>
              <w:pStyle w:val="VSmCellBody"/>
              <w:bidi/>
            </w:pPr>
            <w:r>
              <w:t>1.2</w:t>
            </w:r>
          </w:p>
        </w:tc>
        <w:tc>
          <w:tcPr>
            <w:tcW w:w="234" w:type="dxa"/>
            <w:vAlign w:val="bottom"/>
          </w:tcPr>
          <w:p w14:paraId="344A9B89" w14:textId="77777777" w:rsidR="00C72818" w:rsidRPr="00B02BA3" w:rsidRDefault="00C72818" w:rsidP="00C72818">
            <w:pPr>
              <w:pStyle w:val="CellRowSpacer"/>
              <w:rPr>
                <w:sz w:val="17"/>
              </w:rPr>
            </w:pPr>
          </w:p>
        </w:tc>
      </w:tr>
      <w:tr w:rsidR="00C72818" w:rsidRPr="00B02BA3" w14:paraId="556FD9C0" w14:textId="77777777" w:rsidTr="008C57E0">
        <w:trPr>
          <w:gridBefore w:val="1"/>
          <w:wBefore w:w="11" w:type="dxa"/>
        </w:trPr>
        <w:tc>
          <w:tcPr>
            <w:tcW w:w="3138" w:type="dxa"/>
            <w:gridSpan w:val="2"/>
            <w:vAlign w:val="bottom"/>
          </w:tcPr>
          <w:p w14:paraId="33CC956A" w14:textId="77777777" w:rsidR="00C72818" w:rsidRPr="00B02BA3" w:rsidRDefault="00C72818" w:rsidP="00C72818">
            <w:pPr>
              <w:pStyle w:val="VSmCellBody"/>
              <w:tabs>
                <w:tab w:val="right" w:leader="dot" w:pos="3163"/>
              </w:tabs>
              <w:bidi/>
              <w:rPr>
                <w:szCs w:val="17"/>
              </w:rPr>
            </w:pPr>
            <w:r>
              <w:rPr>
                <w:rFonts w:hint="cs"/>
                <w:szCs w:val="17"/>
                <w:rtl/>
              </w:rPr>
              <w:t>الأرباح قبل حساب الفوائد والضرائب والإهلاك والإطفاء</w:t>
            </w:r>
            <w:r w:rsidRPr="007766C5">
              <w:rPr>
                <w:szCs w:val="17"/>
                <w:vertAlign w:val="superscript"/>
              </w:rPr>
              <w:t>(</w:t>
            </w:r>
            <w:r>
              <w:rPr>
                <w:szCs w:val="17"/>
                <w:vertAlign w:val="superscript"/>
              </w:rPr>
              <w:t>1</w:t>
            </w:r>
            <w:r w:rsidRPr="007766C5">
              <w:rPr>
                <w:szCs w:val="17"/>
                <w:vertAlign w:val="superscript"/>
              </w:rPr>
              <w:t>)(</w:t>
            </w:r>
            <w:r>
              <w:rPr>
                <w:szCs w:val="17"/>
                <w:vertAlign w:val="superscript"/>
              </w:rPr>
              <w:t>2</w:t>
            </w:r>
            <w:r w:rsidRPr="007766C5">
              <w:rPr>
                <w:szCs w:val="17"/>
                <w:vertAlign w:val="superscript"/>
              </w:rPr>
              <w:t>)</w:t>
            </w:r>
            <w:r w:rsidRPr="00B02BA3">
              <w:rPr>
                <w:bCs/>
                <w:color w:val="000000"/>
                <w:szCs w:val="17"/>
              </w:rPr>
              <w:tab/>
            </w:r>
          </w:p>
        </w:tc>
        <w:tc>
          <w:tcPr>
            <w:tcW w:w="235" w:type="dxa"/>
            <w:gridSpan w:val="2"/>
            <w:vAlign w:val="bottom"/>
          </w:tcPr>
          <w:p w14:paraId="4A8CC06D" w14:textId="77777777" w:rsidR="00C72818" w:rsidRPr="00B02BA3" w:rsidRDefault="00C72818" w:rsidP="00C72818">
            <w:pPr>
              <w:pStyle w:val="CellRowSpacer"/>
              <w:rPr>
                <w:sz w:val="17"/>
              </w:rPr>
            </w:pPr>
          </w:p>
        </w:tc>
        <w:tc>
          <w:tcPr>
            <w:tcW w:w="901" w:type="dxa"/>
          </w:tcPr>
          <w:p w14:paraId="14BEE2ED" w14:textId="77777777" w:rsidR="00C72818" w:rsidRPr="00CC0A47" w:rsidRDefault="00C72818" w:rsidP="00C72818">
            <w:pPr>
              <w:pStyle w:val="VSmCellBody"/>
              <w:jc w:val="right"/>
            </w:pPr>
            <w:r w:rsidRPr="00CC0A47">
              <w:t>106.3</w:t>
            </w:r>
          </w:p>
        </w:tc>
        <w:tc>
          <w:tcPr>
            <w:tcW w:w="235" w:type="dxa"/>
            <w:vAlign w:val="bottom"/>
          </w:tcPr>
          <w:p w14:paraId="7A1462F4" w14:textId="77777777" w:rsidR="00C72818" w:rsidRPr="00CC0A47" w:rsidRDefault="00C72818" w:rsidP="00C72818">
            <w:pPr>
              <w:pStyle w:val="CellRowSpacer"/>
              <w:rPr>
                <w:sz w:val="17"/>
              </w:rPr>
            </w:pPr>
          </w:p>
        </w:tc>
        <w:tc>
          <w:tcPr>
            <w:tcW w:w="901" w:type="dxa"/>
          </w:tcPr>
          <w:p w14:paraId="7B252811" w14:textId="77777777" w:rsidR="00C72818" w:rsidRPr="00CC0A47" w:rsidRDefault="00C72818" w:rsidP="00C72818">
            <w:pPr>
              <w:pStyle w:val="VSmCellBody"/>
              <w:jc w:val="right"/>
            </w:pPr>
            <w:r w:rsidRPr="00CC0A47">
              <w:t>153.1</w:t>
            </w:r>
          </w:p>
        </w:tc>
        <w:tc>
          <w:tcPr>
            <w:tcW w:w="234" w:type="dxa"/>
            <w:vAlign w:val="bottom"/>
          </w:tcPr>
          <w:p w14:paraId="5B7F1713" w14:textId="77777777" w:rsidR="00C72818" w:rsidRPr="00CC0A47" w:rsidRDefault="00C72818" w:rsidP="00C72818">
            <w:pPr>
              <w:pStyle w:val="CellRowSpacer"/>
              <w:rPr>
                <w:sz w:val="17"/>
              </w:rPr>
            </w:pPr>
          </w:p>
        </w:tc>
        <w:tc>
          <w:tcPr>
            <w:tcW w:w="901" w:type="dxa"/>
          </w:tcPr>
          <w:p w14:paraId="35A51A55" w14:textId="77777777" w:rsidR="00C72818" w:rsidRPr="00CC0A47" w:rsidRDefault="00C72818" w:rsidP="00C72818">
            <w:pPr>
              <w:pStyle w:val="VSmCellBody"/>
              <w:jc w:val="right"/>
            </w:pPr>
            <w:r w:rsidRPr="00CC0A47">
              <w:t>187.5</w:t>
            </w:r>
          </w:p>
        </w:tc>
        <w:tc>
          <w:tcPr>
            <w:tcW w:w="234" w:type="dxa"/>
            <w:vAlign w:val="bottom"/>
          </w:tcPr>
          <w:p w14:paraId="19EFEDF9" w14:textId="77777777" w:rsidR="00C72818" w:rsidRPr="00CC0A47" w:rsidRDefault="00C72818" w:rsidP="00C72818">
            <w:pPr>
              <w:pStyle w:val="CellRowSpacer"/>
              <w:rPr>
                <w:sz w:val="17"/>
              </w:rPr>
            </w:pPr>
          </w:p>
        </w:tc>
        <w:tc>
          <w:tcPr>
            <w:tcW w:w="901" w:type="dxa"/>
            <w:vAlign w:val="bottom"/>
          </w:tcPr>
          <w:p w14:paraId="24891AB0" w14:textId="77777777" w:rsidR="00C72818" w:rsidRPr="00CC0A47" w:rsidRDefault="00C72818" w:rsidP="00C72818">
            <w:pPr>
              <w:pStyle w:val="VSmCellBody"/>
              <w:jc w:val="right"/>
            </w:pPr>
            <w:r w:rsidRPr="00CC0A47">
              <w:t>124.9</w:t>
            </w:r>
          </w:p>
        </w:tc>
        <w:tc>
          <w:tcPr>
            <w:tcW w:w="234" w:type="dxa"/>
            <w:vAlign w:val="bottom"/>
          </w:tcPr>
          <w:p w14:paraId="3AD19260" w14:textId="77777777" w:rsidR="00C72818" w:rsidRPr="00CC0A47" w:rsidRDefault="00C72818" w:rsidP="00C72818">
            <w:pPr>
              <w:pStyle w:val="CellRowSpacer"/>
              <w:rPr>
                <w:sz w:val="17"/>
              </w:rPr>
            </w:pPr>
          </w:p>
        </w:tc>
        <w:tc>
          <w:tcPr>
            <w:tcW w:w="901" w:type="dxa"/>
            <w:vAlign w:val="bottom"/>
          </w:tcPr>
          <w:p w14:paraId="14E94ECF" w14:textId="77777777" w:rsidR="00C72818" w:rsidRPr="00CC0A47" w:rsidRDefault="00C72818" w:rsidP="00C72818">
            <w:pPr>
              <w:pStyle w:val="VSmCellBody"/>
              <w:jc w:val="right"/>
            </w:pPr>
            <w:r w:rsidRPr="00CC0A47">
              <w:t>163.0</w:t>
            </w:r>
          </w:p>
        </w:tc>
        <w:tc>
          <w:tcPr>
            <w:tcW w:w="234" w:type="dxa"/>
            <w:vAlign w:val="bottom"/>
          </w:tcPr>
          <w:p w14:paraId="55811E2F" w14:textId="77777777" w:rsidR="00C72818" w:rsidRPr="00B02BA3" w:rsidRDefault="00C72818" w:rsidP="00C72818">
            <w:pPr>
              <w:pStyle w:val="CellRowSpacer"/>
              <w:rPr>
                <w:sz w:val="17"/>
              </w:rPr>
            </w:pPr>
          </w:p>
        </w:tc>
      </w:tr>
      <w:tr w:rsidR="00C72818" w:rsidRPr="00B02BA3" w14:paraId="5374E5F0" w14:textId="77777777" w:rsidTr="008C57E0">
        <w:tc>
          <w:tcPr>
            <w:tcW w:w="3143" w:type="dxa"/>
            <w:gridSpan w:val="2"/>
            <w:vAlign w:val="bottom"/>
          </w:tcPr>
          <w:p w14:paraId="3F016B13" w14:textId="77777777" w:rsidR="00C72818" w:rsidRPr="00B02BA3" w:rsidRDefault="00C72818" w:rsidP="00C72818">
            <w:pPr>
              <w:pStyle w:val="VSmCellBody"/>
              <w:tabs>
                <w:tab w:val="right" w:leader="dot" w:pos="3163"/>
              </w:tabs>
              <w:bidi/>
              <w:ind w:firstLine="411"/>
              <w:rPr>
                <w:szCs w:val="17"/>
              </w:rPr>
            </w:pPr>
            <w:r>
              <w:rPr>
                <w:rFonts w:hint="cs"/>
                <w:szCs w:val="17"/>
                <w:rtl/>
              </w:rPr>
              <w:t>الأرباح قبل حساب الفوائد والضرائب والإهلاك والإطفاء ل</w:t>
            </w:r>
            <w:r w:rsidR="00607B02">
              <w:rPr>
                <w:rFonts w:hint="cs"/>
                <w:szCs w:val="17"/>
                <w:rtl/>
              </w:rPr>
              <w:t>نقل</w:t>
            </w:r>
            <w:r>
              <w:rPr>
                <w:rFonts w:hint="cs"/>
                <w:szCs w:val="17"/>
                <w:rtl/>
              </w:rPr>
              <w:t xml:space="preserve"> النفط الخام</w:t>
            </w:r>
            <w:r w:rsidRPr="007766C5">
              <w:rPr>
                <w:szCs w:val="17"/>
                <w:vertAlign w:val="superscript"/>
              </w:rPr>
              <w:t xml:space="preserve"> (</w:t>
            </w:r>
            <w:r>
              <w:rPr>
                <w:szCs w:val="17"/>
                <w:vertAlign w:val="superscript"/>
              </w:rPr>
              <w:t>1</w:t>
            </w:r>
            <w:r w:rsidRPr="007766C5">
              <w:rPr>
                <w:szCs w:val="17"/>
                <w:vertAlign w:val="superscript"/>
              </w:rPr>
              <w:t>)(</w:t>
            </w:r>
            <w:r>
              <w:rPr>
                <w:szCs w:val="17"/>
                <w:vertAlign w:val="superscript"/>
              </w:rPr>
              <w:t>3</w:t>
            </w:r>
            <w:r w:rsidRPr="007766C5">
              <w:rPr>
                <w:szCs w:val="17"/>
                <w:vertAlign w:val="superscript"/>
              </w:rPr>
              <w:t>)</w:t>
            </w:r>
            <w:r w:rsidRPr="007D2480">
              <w:tab/>
            </w:r>
          </w:p>
        </w:tc>
        <w:tc>
          <w:tcPr>
            <w:tcW w:w="235" w:type="dxa"/>
            <w:gridSpan w:val="2"/>
            <w:vAlign w:val="bottom"/>
          </w:tcPr>
          <w:p w14:paraId="347586F4" w14:textId="77777777" w:rsidR="00C72818" w:rsidRPr="00B02BA3" w:rsidRDefault="00C72818" w:rsidP="00C72818">
            <w:pPr>
              <w:pStyle w:val="CellRowSpacer"/>
              <w:bidi/>
              <w:rPr>
                <w:sz w:val="17"/>
              </w:rPr>
            </w:pPr>
          </w:p>
        </w:tc>
        <w:tc>
          <w:tcPr>
            <w:tcW w:w="907" w:type="dxa"/>
            <w:gridSpan w:val="2"/>
          </w:tcPr>
          <w:p w14:paraId="1BC70A52" w14:textId="77777777" w:rsidR="00C72818" w:rsidRPr="00CC0A47" w:rsidDel="009C0EEF" w:rsidRDefault="00C72818" w:rsidP="00C72818">
            <w:pPr>
              <w:pStyle w:val="VSmCellBody"/>
              <w:jc w:val="right"/>
            </w:pPr>
            <w:r w:rsidRPr="00AD0F65">
              <w:t>17.2</w:t>
            </w:r>
          </w:p>
        </w:tc>
        <w:tc>
          <w:tcPr>
            <w:tcW w:w="235" w:type="dxa"/>
            <w:vAlign w:val="bottom"/>
          </w:tcPr>
          <w:p w14:paraId="3DE3B0CC" w14:textId="77777777" w:rsidR="00C72818" w:rsidRPr="00CC0A47" w:rsidRDefault="00C72818" w:rsidP="00C72818">
            <w:pPr>
              <w:pStyle w:val="CellRowSpacer"/>
              <w:rPr>
                <w:sz w:val="17"/>
              </w:rPr>
            </w:pPr>
          </w:p>
        </w:tc>
        <w:tc>
          <w:tcPr>
            <w:tcW w:w="901" w:type="dxa"/>
          </w:tcPr>
          <w:p w14:paraId="6302671C" w14:textId="77777777" w:rsidR="00C72818" w:rsidRPr="00CC0A47" w:rsidDel="009C0EEF" w:rsidRDefault="00C72818" w:rsidP="00C72818">
            <w:pPr>
              <w:pStyle w:val="VSmCellBody"/>
              <w:jc w:val="right"/>
            </w:pPr>
            <w:r w:rsidRPr="00481C6C">
              <w:t>35.8</w:t>
            </w:r>
          </w:p>
        </w:tc>
        <w:tc>
          <w:tcPr>
            <w:tcW w:w="234" w:type="dxa"/>
            <w:vAlign w:val="bottom"/>
          </w:tcPr>
          <w:p w14:paraId="6E3A97AD" w14:textId="77777777" w:rsidR="00C72818" w:rsidRPr="00CC0A47" w:rsidRDefault="00C72818" w:rsidP="00C72818">
            <w:pPr>
              <w:pStyle w:val="CellRowSpacer"/>
              <w:rPr>
                <w:sz w:val="17"/>
              </w:rPr>
            </w:pPr>
          </w:p>
        </w:tc>
        <w:tc>
          <w:tcPr>
            <w:tcW w:w="901" w:type="dxa"/>
          </w:tcPr>
          <w:p w14:paraId="58D9C760" w14:textId="77777777" w:rsidR="00C72818" w:rsidRPr="00CC0A47" w:rsidDel="009C0EEF" w:rsidRDefault="00C72818" w:rsidP="00C72818">
            <w:pPr>
              <w:pStyle w:val="VSmCellBody"/>
              <w:jc w:val="right"/>
            </w:pPr>
            <w:r w:rsidRPr="00B50F79">
              <w:t>93.6</w:t>
            </w:r>
          </w:p>
        </w:tc>
        <w:tc>
          <w:tcPr>
            <w:tcW w:w="234" w:type="dxa"/>
            <w:vAlign w:val="bottom"/>
          </w:tcPr>
          <w:p w14:paraId="35C28DB6" w14:textId="77777777" w:rsidR="00C72818" w:rsidRPr="00CC0A47" w:rsidRDefault="00C72818" w:rsidP="00C72818">
            <w:pPr>
              <w:pStyle w:val="CellRowSpacer"/>
              <w:rPr>
                <w:sz w:val="17"/>
              </w:rPr>
            </w:pPr>
          </w:p>
        </w:tc>
        <w:tc>
          <w:tcPr>
            <w:tcW w:w="901" w:type="dxa"/>
          </w:tcPr>
          <w:p w14:paraId="03C33ECF" w14:textId="77777777" w:rsidR="00C72818" w:rsidRPr="00CC0A47" w:rsidDel="009C0EEF" w:rsidRDefault="00C72818" w:rsidP="00C72818">
            <w:pPr>
              <w:pStyle w:val="VSmCellBody"/>
              <w:jc w:val="right"/>
            </w:pPr>
            <w:r w:rsidRPr="0053034D">
              <w:t>58.7</w:t>
            </w:r>
          </w:p>
        </w:tc>
        <w:tc>
          <w:tcPr>
            <w:tcW w:w="234" w:type="dxa"/>
            <w:vAlign w:val="bottom"/>
          </w:tcPr>
          <w:p w14:paraId="744D4DCF" w14:textId="77777777" w:rsidR="00C72818" w:rsidRPr="00CC0A47" w:rsidRDefault="00C72818" w:rsidP="00C72818">
            <w:pPr>
              <w:pStyle w:val="CellRowSpacer"/>
              <w:rPr>
                <w:sz w:val="17"/>
              </w:rPr>
            </w:pPr>
          </w:p>
        </w:tc>
        <w:tc>
          <w:tcPr>
            <w:tcW w:w="901" w:type="dxa"/>
          </w:tcPr>
          <w:p w14:paraId="54AEEA65" w14:textId="77777777" w:rsidR="00C72818" w:rsidRPr="00CC0A47" w:rsidDel="009C0EEF" w:rsidRDefault="00C72818" w:rsidP="00C72818">
            <w:pPr>
              <w:pStyle w:val="VSmCellBody"/>
              <w:jc w:val="right"/>
            </w:pPr>
            <w:r w:rsidRPr="001A7DFC">
              <w:t>48.4</w:t>
            </w:r>
          </w:p>
        </w:tc>
        <w:tc>
          <w:tcPr>
            <w:tcW w:w="234" w:type="dxa"/>
            <w:vAlign w:val="bottom"/>
          </w:tcPr>
          <w:p w14:paraId="5563099E" w14:textId="77777777" w:rsidR="00C72818" w:rsidRPr="00B02BA3" w:rsidRDefault="00C72818" w:rsidP="00C72818">
            <w:pPr>
              <w:pStyle w:val="CellRowSpacer"/>
              <w:rPr>
                <w:sz w:val="17"/>
              </w:rPr>
            </w:pPr>
          </w:p>
        </w:tc>
      </w:tr>
      <w:tr w:rsidR="00C72818" w:rsidRPr="00B02BA3" w14:paraId="7EDD61E5" w14:textId="77777777" w:rsidTr="008C57E0">
        <w:tc>
          <w:tcPr>
            <w:tcW w:w="3143" w:type="dxa"/>
            <w:gridSpan w:val="2"/>
            <w:vAlign w:val="bottom"/>
          </w:tcPr>
          <w:p w14:paraId="46A60579" w14:textId="77777777" w:rsidR="00C72818" w:rsidRPr="00B02BA3" w:rsidRDefault="00C72818" w:rsidP="00C72818">
            <w:pPr>
              <w:pStyle w:val="VSmCellBody"/>
              <w:tabs>
                <w:tab w:val="right" w:leader="dot" w:pos="3163"/>
              </w:tabs>
              <w:bidi/>
              <w:ind w:firstLine="411"/>
              <w:rPr>
                <w:szCs w:val="17"/>
              </w:rPr>
            </w:pPr>
            <w:r>
              <w:rPr>
                <w:rFonts w:hint="cs"/>
                <w:szCs w:val="17"/>
                <w:rtl/>
              </w:rPr>
              <w:t>الأرباح قبل حساب الفوائد والضرائب والإهلاك والإطفاء ل</w:t>
            </w:r>
            <w:r w:rsidR="00607B02">
              <w:rPr>
                <w:rFonts w:hint="cs"/>
                <w:szCs w:val="17"/>
                <w:rtl/>
              </w:rPr>
              <w:t>نقل</w:t>
            </w:r>
            <w:r>
              <w:rPr>
                <w:rFonts w:hint="cs"/>
                <w:szCs w:val="17"/>
                <w:rtl/>
              </w:rPr>
              <w:t xml:space="preserve"> المنتجات</w:t>
            </w:r>
            <w:r w:rsidRPr="007766C5">
              <w:rPr>
                <w:szCs w:val="17"/>
                <w:vertAlign w:val="superscript"/>
              </w:rPr>
              <w:t xml:space="preserve"> </w:t>
            </w:r>
            <w:r>
              <w:rPr>
                <w:rFonts w:hint="cs"/>
                <w:szCs w:val="17"/>
                <w:vertAlign w:val="superscript"/>
                <w:rtl/>
              </w:rPr>
              <w:t xml:space="preserve"> </w:t>
            </w:r>
            <w:r w:rsidRPr="007766C5">
              <w:rPr>
                <w:szCs w:val="17"/>
                <w:vertAlign w:val="superscript"/>
              </w:rPr>
              <w:t>(</w:t>
            </w:r>
            <w:r>
              <w:rPr>
                <w:szCs w:val="17"/>
                <w:vertAlign w:val="superscript"/>
              </w:rPr>
              <w:t>1</w:t>
            </w:r>
            <w:r w:rsidRPr="007766C5">
              <w:rPr>
                <w:szCs w:val="17"/>
                <w:vertAlign w:val="superscript"/>
              </w:rPr>
              <w:t>)(</w:t>
            </w:r>
            <w:r>
              <w:rPr>
                <w:szCs w:val="17"/>
                <w:vertAlign w:val="superscript"/>
              </w:rPr>
              <w:t>4</w:t>
            </w:r>
            <w:r w:rsidRPr="007766C5">
              <w:rPr>
                <w:szCs w:val="17"/>
                <w:vertAlign w:val="superscript"/>
              </w:rPr>
              <w:t>)</w:t>
            </w:r>
            <w:r w:rsidRPr="007D2480">
              <w:tab/>
            </w:r>
          </w:p>
        </w:tc>
        <w:tc>
          <w:tcPr>
            <w:tcW w:w="235" w:type="dxa"/>
            <w:gridSpan w:val="2"/>
            <w:vAlign w:val="bottom"/>
          </w:tcPr>
          <w:p w14:paraId="6A2CD243" w14:textId="77777777" w:rsidR="00C72818" w:rsidRPr="00B02BA3" w:rsidRDefault="00C72818" w:rsidP="00C72818">
            <w:pPr>
              <w:pStyle w:val="CellRowSpacer"/>
              <w:bidi/>
              <w:rPr>
                <w:sz w:val="17"/>
              </w:rPr>
            </w:pPr>
          </w:p>
        </w:tc>
        <w:tc>
          <w:tcPr>
            <w:tcW w:w="907" w:type="dxa"/>
            <w:gridSpan w:val="2"/>
          </w:tcPr>
          <w:p w14:paraId="548B5657" w14:textId="77777777" w:rsidR="00C72818" w:rsidRPr="00CC0A47" w:rsidDel="009C0EEF" w:rsidRDefault="00C72818" w:rsidP="00C72818">
            <w:pPr>
              <w:pStyle w:val="VSmCellBody"/>
              <w:jc w:val="right"/>
            </w:pPr>
            <w:r w:rsidRPr="00AD0F65">
              <w:t>14.7</w:t>
            </w:r>
          </w:p>
        </w:tc>
        <w:tc>
          <w:tcPr>
            <w:tcW w:w="235" w:type="dxa"/>
            <w:vAlign w:val="bottom"/>
          </w:tcPr>
          <w:p w14:paraId="007C2711" w14:textId="77777777" w:rsidR="00C72818" w:rsidRPr="00CC0A47" w:rsidRDefault="00C72818" w:rsidP="00C72818">
            <w:pPr>
              <w:pStyle w:val="CellRowSpacer"/>
              <w:rPr>
                <w:sz w:val="17"/>
              </w:rPr>
            </w:pPr>
          </w:p>
        </w:tc>
        <w:tc>
          <w:tcPr>
            <w:tcW w:w="901" w:type="dxa"/>
          </w:tcPr>
          <w:p w14:paraId="35F37A63" w14:textId="77777777" w:rsidR="00C72818" w:rsidRPr="00CC0A47" w:rsidDel="009C0EEF" w:rsidRDefault="00C72818" w:rsidP="00C72818">
            <w:pPr>
              <w:pStyle w:val="VSmCellBody"/>
              <w:jc w:val="right"/>
            </w:pPr>
            <w:r w:rsidRPr="00481C6C">
              <w:t>21.7</w:t>
            </w:r>
          </w:p>
        </w:tc>
        <w:tc>
          <w:tcPr>
            <w:tcW w:w="234" w:type="dxa"/>
            <w:vAlign w:val="bottom"/>
          </w:tcPr>
          <w:p w14:paraId="58AAFF2E" w14:textId="77777777" w:rsidR="00C72818" w:rsidRPr="00CC0A47" w:rsidRDefault="00C72818" w:rsidP="00C72818">
            <w:pPr>
              <w:pStyle w:val="CellRowSpacer"/>
              <w:rPr>
                <w:sz w:val="17"/>
              </w:rPr>
            </w:pPr>
          </w:p>
        </w:tc>
        <w:tc>
          <w:tcPr>
            <w:tcW w:w="901" w:type="dxa"/>
          </w:tcPr>
          <w:p w14:paraId="330C7D80" w14:textId="77777777" w:rsidR="00C72818" w:rsidRPr="00CC0A47" w:rsidDel="009C0EEF" w:rsidRDefault="00C72818" w:rsidP="00C72818">
            <w:pPr>
              <w:pStyle w:val="VSmCellBody"/>
              <w:jc w:val="right"/>
            </w:pPr>
            <w:r w:rsidRPr="00B50F79">
              <w:t>58.2</w:t>
            </w:r>
          </w:p>
        </w:tc>
        <w:tc>
          <w:tcPr>
            <w:tcW w:w="234" w:type="dxa"/>
            <w:vAlign w:val="bottom"/>
          </w:tcPr>
          <w:p w14:paraId="01375FA9" w14:textId="77777777" w:rsidR="00C72818" w:rsidRPr="00CC0A47" w:rsidRDefault="00C72818" w:rsidP="00C72818">
            <w:pPr>
              <w:pStyle w:val="CellRowSpacer"/>
              <w:rPr>
                <w:sz w:val="17"/>
              </w:rPr>
            </w:pPr>
          </w:p>
        </w:tc>
        <w:tc>
          <w:tcPr>
            <w:tcW w:w="901" w:type="dxa"/>
          </w:tcPr>
          <w:p w14:paraId="445D86CC" w14:textId="77777777" w:rsidR="00C72818" w:rsidRPr="00CC0A47" w:rsidDel="009C0EEF" w:rsidRDefault="00C72818" w:rsidP="00C72818">
            <w:pPr>
              <w:pStyle w:val="VSmCellBody"/>
              <w:jc w:val="right"/>
            </w:pPr>
            <w:r w:rsidRPr="0053034D">
              <w:t>41.7</w:t>
            </w:r>
          </w:p>
        </w:tc>
        <w:tc>
          <w:tcPr>
            <w:tcW w:w="234" w:type="dxa"/>
            <w:vAlign w:val="bottom"/>
          </w:tcPr>
          <w:p w14:paraId="530926FC" w14:textId="77777777" w:rsidR="00C72818" w:rsidRPr="00CC0A47" w:rsidRDefault="00C72818" w:rsidP="00C72818">
            <w:pPr>
              <w:pStyle w:val="CellRowSpacer"/>
              <w:rPr>
                <w:sz w:val="17"/>
              </w:rPr>
            </w:pPr>
          </w:p>
        </w:tc>
        <w:tc>
          <w:tcPr>
            <w:tcW w:w="901" w:type="dxa"/>
          </w:tcPr>
          <w:p w14:paraId="212985EA" w14:textId="77777777" w:rsidR="00C72818" w:rsidRPr="00CC0A47" w:rsidDel="009C0EEF" w:rsidRDefault="00C72818" w:rsidP="00C72818">
            <w:pPr>
              <w:pStyle w:val="VSmCellBody"/>
              <w:jc w:val="right"/>
            </w:pPr>
            <w:r w:rsidRPr="001A7DFC">
              <w:t>61.1</w:t>
            </w:r>
          </w:p>
        </w:tc>
        <w:tc>
          <w:tcPr>
            <w:tcW w:w="234" w:type="dxa"/>
            <w:vAlign w:val="bottom"/>
          </w:tcPr>
          <w:p w14:paraId="510318DB" w14:textId="77777777" w:rsidR="00C72818" w:rsidRPr="00B02BA3" w:rsidRDefault="00C72818" w:rsidP="00C72818">
            <w:pPr>
              <w:pStyle w:val="CellRowSpacer"/>
              <w:rPr>
                <w:sz w:val="17"/>
              </w:rPr>
            </w:pPr>
          </w:p>
        </w:tc>
      </w:tr>
      <w:tr w:rsidR="00C72818" w:rsidRPr="00B02BA3" w14:paraId="55DDCD6C" w14:textId="77777777" w:rsidTr="008C57E0">
        <w:tc>
          <w:tcPr>
            <w:tcW w:w="3143" w:type="dxa"/>
            <w:gridSpan w:val="2"/>
            <w:vAlign w:val="bottom"/>
          </w:tcPr>
          <w:p w14:paraId="0E019451" w14:textId="77777777" w:rsidR="00C72818" w:rsidRPr="00B02BA3" w:rsidRDefault="00C72818" w:rsidP="00C72818">
            <w:pPr>
              <w:pStyle w:val="VSmCellBody"/>
              <w:tabs>
                <w:tab w:val="right" w:leader="dot" w:pos="3163"/>
              </w:tabs>
              <w:bidi/>
              <w:ind w:firstLine="411"/>
              <w:rPr>
                <w:szCs w:val="17"/>
              </w:rPr>
            </w:pPr>
            <w:r>
              <w:rPr>
                <w:rFonts w:hint="cs"/>
                <w:szCs w:val="17"/>
                <w:rtl/>
              </w:rPr>
              <w:t>الأرباح قبل حساب الفوائد والضرائب والإهلاك والإطفاء ل</w:t>
            </w:r>
            <w:r w:rsidR="00607B02">
              <w:rPr>
                <w:rFonts w:hint="cs"/>
                <w:szCs w:val="17"/>
                <w:rtl/>
              </w:rPr>
              <w:t>نقل</w:t>
            </w:r>
            <w:r>
              <w:rPr>
                <w:rFonts w:hint="cs"/>
                <w:szCs w:val="17"/>
                <w:rtl/>
              </w:rPr>
              <w:t xml:space="preserve"> البضائع السائبة الجافة</w:t>
            </w:r>
            <w:r w:rsidRPr="007766C5">
              <w:rPr>
                <w:szCs w:val="17"/>
                <w:vertAlign w:val="superscript"/>
              </w:rPr>
              <w:t xml:space="preserve"> </w:t>
            </w:r>
            <w:r>
              <w:rPr>
                <w:rFonts w:hint="cs"/>
                <w:szCs w:val="17"/>
                <w:vertAlign w:val="superscript"/>
                <w:rtl/>
              </w:rPr>
              <w:t xml:space="preserve"> </w:t>
            </w:r>
            <w:r w:rsidRPr="007766C5">
              <w:rPr>
                <w:szCs w:val="17"/>
                <w:vertAlign w:val="superscript"/>
              </w:rPr>
              <w:t>(</w:t>
            </w:r>
            <w:r>
              <w:rPr>
                <w:szCs w:val="17"/>
                <w:vertAlign w:val="superscript"/>
              </w:rPr>
              <w:t>1</w:t>
            </w:r>
            <w:r w:rsidRPr="007766C5">
              <w:rPr>
                <w:szCs w:val="17"/>
                <w:vertAlign w:val="superscript"/>
              </w:rPr>
              <w:t>)(</w:t>
            </w:r>
            <w:r>
              <w:rPr>
                <w:szCs w:val="17"/>
                <w:vertAlign w:val="superscript"/>
              </w:rPr>
              <w:t>5</w:t>
            </w:r>
            <w:r w:rsidRPr="007766C5">
              <w:rPr>
                <w:szCs w:val="17"/>
                <w:vertAlign w:val="superscript"/>
              </w:rPr>
              <w:t>)</w:t>
            </w:r>
            <w:r w:rsidRPr="007D2480">
              <w:tab/>
            </w:r>
          </w:p>
        </w:tc>
        <w:tc>
          <w:tcPr>
            <w:tcW w:w="235" w:type="dxa"/>
            <w:gridSpan w:val="2"/>
            <w:vAlign w:val="bottom"/>
          </w:tcPr>
          <w:p w14:paraId="6DA3A04B" w14:textId="77777777" w:rsidR="00C72818" w:rsidRPr="00B02BA3" w:rsidRDefault="00C72818" w:rsidP="00C72818">
            <w:pPr>
              <w:pStyle w:val="CellRowSpacer"/>
              <w:bidi/>
              <w:rPr>
                <w:sz w:val="17"/>
              </w:rPr>
            </w:pPr>
          </w:p>
        </w:tc>
        <w:tc>
          <w:tcPr>
            <w:tcW w:w="907" w:type="dxa"/>
            <w:gridSpan w:val="2"/>
          </w:tcPr>
          <w:p w14:paraId="39495847" w14:textId="77777777" w:rsidR="00C72818" w:rsidRPr="00CC0A47" w:rsidDel="009C0EEF" w:rsidRDefault="00C72818" w:rsidP="00C72818">
            <w:pPr>
              <w:pStyle w:val="VSmCellBody"/>
              <w:jc w:val="right"/>
            </w:pPr>
            <w:r w:rsidRPr="00AD0F65">
              <w:t>40.0</w:t>
            </w:r>
          </w:p>
        </w:tc>
        <w:tc>
          <w:tcPr>
            <w:tcW w:w="235" w:type="dxa"/>
            <w:vAlign w:val="bottom"/>
          </w:tcPr>
          <w:p w14:paraId="4DCC7F86" w14:textId="77777777" w:rsidR="00C72818" w:rsidRPr="00CC0A47" w:rsidRDefault="00C72818" w:rsidP="00C72818">
            <w:pPr>
              <w:pStyle w:val="CellRowSpacer"/>
              <w:rPr>
                <w:sz w:val="17"/>
              </w:rPr>
            </w:pPr>
          </w:p>
        </w:tc>
        <w:tc>
          <w:tcPr>
            <w:tcW w:w="901" w:type="dxa"/>
          </w:tcPr>
          <w:p w14:paraId="39450874" w14:textId="77777777" w:rsidR="00C72818" w:rsidRPr="00CC0A47" w:rsidDel="009C0EEF" w:rsidRDefault="00C72818" w:rsidP="00C72818">
            <w:pPr>
              <w:pStyle w:val="VSmCellBody"/>
              <w:jc w:val="right"/>
            </w:pPr>
            <w:r w:rsidRPr="00481C6C">
              <w:t>42.2</w:t>
            </w:r>
          </w:p>
        </w:tc>
        <w:tc>
          <w:tcPr>
            <w:tcW w:w="234" w:type="dxa"/>
            <w:vAlign w:val="bottom"/>
          </w:tcPr>
          <w:p w14:paraId="28621CA3" w14:textId="77777777" w:rsidR="00C72818" w:rsidRPr="00CC0A47" w:rsidRDefault="00C72818" w:rsidP="00C72818">
            <w:pPr>
              <w:pStyle w:val="CellRowSpacer"/>
              <w:rPr>
                <w:sz w:val="17"/>
              </w:rPr>
            </w:pPr>
          </w:p>
        </w:tc>
        <w:tc>
          <w:tcPr>
            <w:tcW w:w="901" w:type="dxa"/>
          </w:tcPr>
          <w:p w14:paraId="56F17287" w14:textId="77777777" w:rsidR="00C72818" w:rsidRPr="00CC0A47" w:rsidDel="009C0EEF" w:rsidRDefault="00C72818" w:rsidP="00C72818">
            <w:pPr>
              <w:pStyle w:val="VSmCellBody"/>
              <w:jc w:val="right"/>
            </w:pPr>
            <w:r w:rsidRPr="00B50F79">
              <w:t>34.5</w:t>
            </w:r>
          </w:p>
        </w:tc>
        <w:tc>
          <w:tcPr>
            <w:tcW w:w="234" w:type="dxa"/>
            <w:vAlign w:val="bottom"/>
          </w:tcPr>
          <w:p w14:paraId="07C392AB" w14:textId="77777777" w:rsidR="00C72818" w:rsidRPr="00CC0A47" w:rsidRDefault="00C72818" w:rsidP="00C72818">
            <w:pPr>
              <w:pStyle w:val="CellRowSpacer"/>
              <w:rPr>
                <w:sz w:val="17"/>
              </w:rPr>
            </w:pPr>
          </w:p>
        </w:tc>
        <w:tc>
          <w:tcPr>
            <w:tcW w:w="901" w:type="dxa"/>
          </w:tcPr>
          <w:p w14:paraId="74DE53A1" w14:textId="77777777" w:rsidR="00C72818" w:rsidRPr="00CC0A47" w:rsidDel="009C0EEF" w:rsidRDefault="00C72818" w:rsidP="00C72818">
            <w:pPr>
              <w:pStyle w:val="VSmCellBody"/>
              <w:jc w:val="right"/>
            </w:pPr>
            <w:r w:rsidRPr="0053034D">
              <w:t>25.8</w:t>
            </w:r>
          </w:p>
        </w:tc>
        <w:tc>
          <w:tcPr>
            <w:tcW w:w="234" w:type="dxa"/>
            <w:vAlign w:val="bottom"/>
          </w:tcPr>
          <w:p w14:paraId="103B3975" w14:textId="77777777" w:rsidR="00C72818" w:rsidRPr="00CC0A47" w:rsidRDefault="00C72818" w:rsidP="00C72818">
            <w:pPr>
              <w:pStyle w:val="CellRowSpacer"/>
              <w:rPr>
                <w:sz w:val="17"/>
              </w:rPr>
            </w:pPr>
          </w:p>
        </w:tc>
        <w:tc>
          <w:tcPr>
            <w:tcW w:w="901" w:type="dxa"/>
          </w:tcPr>
          <w:p w14:paraId="4B17FB9E" w14:textId="77777777" w:rsidR="00C72818" w:rsidRPr="00CC0A47" w:rsidDel="009C0EEF" w:rsidRDefault="00C72818" w:rsidP="00C72818">
            <w:pPr>
              <w:pStyle w:val="VSmCellBody"/>
              <w:jc w:val="right"/>
            </w:pPr>
            <w:r w:rsidRPr="001A7DFC">
              <w:t>23.0</w:t>
            </w:r>
          </w:p>
        </w:tc>
        <w:tc>
          <w:tcPr>
            <w:tcW w:w="234" w:type="dxa"/>
            <w:vAlign w:val="bottom"/>
          </w:tcPr>
          <w:p w14:paraId="721CCC7D" w14:textId="77777777" w:rsidR="00C72818" w:rsidRPr="00B02BA3" w:rsidRDefault="00C72818" w:rsidP="00C72818">
            <w:pPr>
              <w:pStyle w:val="CellRowSpacer"/>
              <w:rPr>
                <w:sz w:val="17"/>
              </w:rPr>
            </w:pPr>
          </w:p>
        </w:tc>
      </w:tr>
      <w:tr w:rsidR="00C72818" w:rsidRPr="00B02BA3" w14:paraId="2021596F" w14:textId="77777777" w:rsidTr="008C57E0">
        <w:tc>
          <w:tcPr>
            <w:tcW w:w="3143" w:type="dxa"/>
            <w:gridSpan w:val="2"/>
            <w:vAlign w:val="bottom"/>
          </w:tcPr>
          <w:p w14:paraId="391E855F" w14:textId="77777777" w:rsidR="00C72818" w:rsidRPr="00B02BA3" w:rsidRDefault="00C72818" w:rsidP="00C72818">
            <w:pPr>
              <w:pStyle w:val="VSmCellBody"/>
              <w:tabs>
                <w:tab w:val="right" w:leader="dot" w:pos="3163"/>
              </w:tabs>
              <w:bidi/>
              <w:ind w:firstLine="411"/>
              <w:rPr>
                <w:szCs w:val="17"/>
              </w:rPr>
            </w:pPr>
            <w:r>
              <w:rPr>
                <w:rFonts w:hint="cs"/>
                <w:szCs w:val="17"/>
                <w:rtl/>
              </w:rPr>
              <w:t>الأرباح قبل حساب الفوائد والضرائب والإهلاك والإطفاء ل</w:t>
            </w:r>
            <w:r w:rsidR="00607B02">
              <w:rPr>
                <w:rFonts w:hint="cs"/>
                <w:szCs w:val="17"/>
                <w:rtl/>
              </w:rPr>
              <w:t>نقل</w:t>
            </w:r>
            <w:r>
              <w:rPr>
                <w:rFonts w:hint="cs"/>
                <w:szCs w:val="17"/>
                <w:rtl/>
              </w:rPr>
              <w:t xml:space="preserve"> الغاز</w:t>
            </w:r>
            <w:r w:rsidRPr="007766C5">
              <w:rPr>
                <w:szCs w:val="17"/>
                <w:vertAlign w:val="superscript"/>
              </w:rPr>
              <w:t xml:space="preserve"> (</w:t>
            </w:r>
            <w:r>
              <w:rPr>
                <w:szCs w:val="17"/>
                <w:vertAlign w:val="superscript"/>
              </w:rPr>
              <w:t>1</w:t>
            </w:r>
            <w:r w:rsidRPr="007766C5">
              <w:rPr>
                <w:szCs w:val="17"/>
                <w:vertAlign w:val="superscript"/>
              </w:rPr>
              <w:t>)(</w:t>
            </w:r>
            <w:r>
              <w:rPr>
                <w:szCs w:val="17"/>
                <w:vertAlign w:val="superscript"/>
              </w:rPr>
              <w:t>6</w:t>
            </w:r>
            <w:r w:rsidRPr="007766C5">
              <w:rPr>
                <w:szCs w:val="17"/>
                <w:vertAlign w:val="superscript"/>
              </w:rPr>
              <w:t>)</w:t>
            </w:r>
            <w:r w:rsidRPr="007D2480">
              <w:tab/>
            </w:r>
          </w:p>
        </w:tc>
        <w:tc>
          <w:tcPr>
            <w:tcW w:w="235" w:type="dxa"/>
            <w:gridSpan w:val="2"/>
            <w:vAlign w:val="bottom"/>
          </w:tcPr>
          <w:p w14:paraId="62EF5EE2" w14:textId="77777777" w:rsidR="00C72818" w:rsidRPr="00B02BA3" w:rsidRDefault="00C72818" w:rsidP="00C72818">
            <w:pPr>
              <w:pStyle w:val="CellRowSpacer"/>
              <w:bidi/>
              <w:rPr>
                <w:sz w:val="17"/>
              </w:rPr>
            </w:pPr>
          </w:p>
        </w:tc>
        <w:tc>
          <w:tcPr>
            <w:tcW w:w="907" w:type="dxa"/>
            <w:gridSpan w:val="2"/>
          </w:tcPr>
          <w:p w14:paraId="1417E7FC" w14:textId="77777777" w:rsidR="00C72818" w:rsidRPr="00CC0A47" w:rsidDel="009C0EEF" w:rsidRDefault="00C72818" w:rsidP="00C72818">
            <w:pPr>
              <w:pStyle w:val="VSmCellBody"/>
              <w:jc w:val="right"/>
            </w:pPr>
            <w:r w:rsidRPr="00AD0F65">
              <w:t>29.3</w:t>
            </w:r>
          </w:p>
        </w:tc>
        <w:tc>
          <w:tcPr>
            <w:tcW w:w="235" w:type="dxa"/>
            <w:vAlign w:val="bottom"/>
          </w:tcPr>
          <w:p w14:paraId="742B66E4" w14:textId="77777777" w:rsidR="00C72818" w:rsidRPr="00CC0A47" w:rsidRDefault="00C72818" w:rsidP="00C72818">
            <w:pPr>
              <w:pStyle w:val="CellRowSpacer"/>
              <w:rPr>
                <w:sz w:val="17"/>
              </w:rPr>
            </w:pPr>
          </w:p>
        </w:tc>
        <w:tc>
          <w:tcPr>
            <w:tcW w:w="901" w:type="dxa"/>
          </w:tcPr>
          <w:p w14:paraId="40172972" w14:textId="77777777" w:rsidR="00C72818" w:rsidRPr="00CC0A47" w:rsidDel="009C0EEF" w:rsidRDefault="00C72818" w:rsidP="00C72818">
            <w:pPr>
              <w:pStyle w:val="VSmCellBody"/>
              <w:jc w:val="right"/>
            </w:pPr>
            <w:r w:rsidRPr="00481C6C">
              <w:t>33.3</w:t>
            </w:r>
          </w:p>
        </w:tc>
        <w:tc>
          <w:tcPr>
            <w:tcW w:w="234" w:type="dxa"/>
            <w:vAlign w:val="bottom"/>
          </w:tcPr>
          <w:p w14:paraId="539DD48D" w14:textId="77777777" w:rsidR="00C72818" w:rsidRPr="00CC0A47" w:rsidRDefault="00C72818" w:rsidP="00C72818">
            <w:pPr>
              <w:pStyle w:val="CellRowSpacer"/>
              <w:rPr>
                <w:sz w:val="17"/>
              </w:rPr>
            </w:pPr>
          </w:p>
        </w:tc>
        <w:tc>
          <w:tcPr>
            <w:tcW w:w="901" w:type="dxa"/>
          </w:tcPr>
          <w:p w14:paraId="68F012C4" w14:textId="77777777" w:rsidR="00C72818" w:rsidRPr="00CC0A47" w:rsidDel="009C0EEF" w:rsidRDefault="00C72818" w:rsidP="00C72818">
            <w:pPr>
              <w:pStyle w:val="VSmCellBody"/>
              <w:jc w:val="right"/>
            </w:pPr>
            <w:r w:rsidRPr="00B50F79">
              <w:t>40.2</w:t>
            </w:r>
          </w:p>
        </w:tc>
        <w:tc>
          <w:tcPr>
            <w:tcW w:w="234" w:type="dxa"/>
            <w:vAlign w:val="bottom"/>
          </w:tcPr>
          <w:p w14:paraId="5D0CD878" w14:textId="77777777" w:rsidR="00C72818" w:rsidRPr="00CC0A47" w:rsidRDefault="00C72818" w:rsidP="00C72818">
            <w:pPr>
              <w:pStyle w:val="CellRowSpacer"/>
              <w:rPr>
                <w:sz w:val="17"/>
              </w:rPr>
            </w:pPr>
          </w:p>
        </w:tc>
        <w:tc>
          <w:tcPr>
            <w:tcW w:w="901" w:type="dxa"/>
          </w:tcPr>
          <w:p w14:paraId="50D969AE" w14:textId="77777777" w:rsidR="00C72818" w:rsidRPr="00CC0A47" w:rsidDel="009C0EEF" w:rsidRDefault="00C72818" w:rsidP="00C72818">
            <w:pPr>
              <w:pStyle w:val="VSmCellBody"/>
              <w:jc w:val="right"/>
            </w:pPr>
            <w:r w:rsidRPr="0053034D">
              <w:t>30.4</w:t>
            </w:r>
          </w:p>
        </w:tc>
        <w:tc>
          <w:tcPr>
            <w:tcW w:w="234" w:type="dxa"/>
            <w:vAlign w:val="bottom"/>
          </w:tcPr>
          <w:p w14:paraId="3FB81C3E" w14:textId="77777777" w:rsidR="00C72818" w:rsidRPr="00CC0A47" w:rsidRDefault="00C72818" w:rsidP="00C72818">
            <w:pPr>
              <w:pStyle w:val="CellRowSpacer"/>
              <w:rPr>
                <w:sz w:val="17"/>
              </w:rPr>
            </w:pPr>
          </w:p>
        </w:tc>
        <w:tc>
          <w:tcPr>
            <w:tcW w:w="901" w:type="dxa"/>
          </w:tcPr>
          <w:p w14:paraId="15203CCF" w14:textId="77777777" w:rsidR="00C72818" w:rsidRPr="00CC0A47" w:rsidDel="009C0EEF" w:rsidRDefault="00C72818" w:rsidP="00C72818">
            <w:pPr>
              <w:pStyle w:val="VSmCellBody"/>
              <w:jc w:val="right"/>
            </w:pPr>
            <w:r w:rsidRPr="001A7DFC">
              <w:t>28.1</w:t>
            </w:r>
          </w:p>
        </w:tc>
        <w:tc>
          <w:tcPr>
            <w:tcW w:w="234" w:type="dxa"/>
            <w:vAlign w:val="bottom"/>
          </w:tcPr>
          <w:p w14:paraId="10C99337" w14:textId="77777777" w:rsidR="00C72818" w:rsidRPr="00B02BA3" w:rsidRDefault="00C72818" w:rsidP="00C72818">
            <w:pPr>
              <w:pStyle w:val="CellRowSpacer"/>
              <w:rPr>
                <w:sz w:val="17"/>
              </w:rPr>
            </w:pPr>
          </w:p>
        </w:tc>
      </w:tr>
      <w:tr w:rsidR="00C72818" w:rsidRPr="00B02BA3" w14:paraId="3416C761" w14:textId="77777777" w:rsidTr="008C57E0">
        <w:tc>
          <w:tcPr>
            <w:tcW w:w="3143" w:type="dxa"/>
            <w:gridSpan w:val="2"/>
            <w:vAlign w:val="bottom"/>
          </w:tcPr>
          <w:p w14:paraId="3A70B07F" w14:textId="77777777" w:rsidR="00C72818" w:rsidRPr="00B02BA3" w:rsidRDefault="00C72818" w:rsidP="00C72818">
            <w:pPr>
              <w:pStyle w:val="VSmCellBody"/>
              <w:tabs>
                <w:tab w:val="right" w:leader="dot" w:pos="3163"/>
              </w:tabs>
              <w:bidi/>
              <w:ind w:firstLine="411"/>
              <w:rPr>
                <w:szCs w:val="17"/>
              </w:rPr>
            </w:pPr>
            <w:r>
              <w:rPr>
                <w:rFonts w:hint="cs"/>
                <w:szCs w:val="17"/>
                <w:rtl/>
              </w:rPr>
              <w:t>الأرباح قبل حساب الفوائد والضرائب والإهلاك والإطفاء لل</w:t>
            </w:r>
            <w:r w:rsidR="00607B02">
              <w:rPr>
                <w:rFonts w:hint="cs"/>
                <w:szCs w:val="17"/>
                <w:rtl/>
              </w:rPr>
              <w:t>نقل</w:t>
            </w:r>
            <w:r>
              <w:rPr>
                <w:rFonts w:hint="cs"/>
                <w:szCs w:val="17"/>
                <w:rtl/>
              </w:rPr>
              <w:t xml:space="preserve"> المنتظم</w:t>
            </w:r>
            <w:r w:rsidRPr="007766C5">
              <w:rPr>
                <w:szCs w:val="17"/>
                <w:vertAlign w:val="superscript"/>
              </w:rPr>
              <w:t xml:space="preserve"> (</w:t>
            </w:r>
            <w:r>
              <w:rPr>
                <w:szCs w:val="17"/>
                <w:vertAlign w:val="superscript"/>
              </w:rPr>
              <w:t>1</w:t>
            </w:r>
            <w:r w:rsidRPr="007766C5">
              <w:rPr>
                <w:szCs w:val="17"/>
                <w:vertAlign w:val="superscript"/>
              </w:rPr>
              <w:t>)(</w:t>
            </w:r>
            <w:r>
              <w:rPr>
                <w:szCs w:val="17"/>
                <w:vertAlign w:val="superscript"/>
              </w:rPr>
              <w:t>7</w:t>
            </w:r>
            <w:r w:rsidRPr="007766C5">
              <w:rPr>
                <w:szCs w:val="17"/>
                <w:vertAlign w:val="superscript"/>
              </w:rPr>
              <w:t>)</w:t>
            </w:r>
            <w:r w:rsidRPr="007D2480">
              <w:tab/>
            </w:r>
          </w:p>
        </w:tc>
        <w:tc>
          <w:tcPr>
            <w:tcW w:w="235" w:type="dxa"/>
            <w:gridSpan w:val="2"/>
            <w:vAlign w:val="bottom"/>
          </w:tcPr>
          <w:p w14:paraId="102FC252" w14:textId="77777777" w:rsidR="00C72818" w:rsidRPr="00B02BA3" w:rsidRDefault="00C72818" w:rsidP="00C72818">
            <w:pPr>
              <w:pStyle w:val="CellRowSpacer"/>
              <w:bidi/>
              <w:rPr>
                <w:sz w:val="17"/>
              </w:rPr>
            </w:pPr>
          </w:p>
        </w:tc>
        <w:tc>
          <w:tcPr>
            <w:tcW w:w="907" w:type="dxa"/>
            <w:gridSpan w:val="2"/>
          </w:tcPr>
          <w:p w14:paraId="133E7086" w14:textId="77777777" w:rsidR="00C72818" w:rsidRPr="00CC0A47" w:rsidDel="009C0EEF" w:rsidRDefault="00C72818" w:rsidP="00C72818">
            <w:pPr>
              <w:pStyle w:val="VSmCellBody"/>
              <w:jc w:val="right"/>
            </w:pPr>
            <w:r w:rsidRPr="00AD0F65">
              <w:t>13.7</w:t>
            </w:r>
          </w:p>
        </w:tc>
        <w:tc>
          <w:tcPr>
            <w:tcW w:w="235" w:type="dxa"/>
            <w:vAlign w:val="bottom"/>
          </w:tcPr>
          <w:p w14:paraId="5D6F8903" w14:textId="77777777" w:rsidR="00C72818" w:rsidRPr="00CC0A47" w:rsidRDefault="00C72818" w:rsidP="00C72818">
            <w:pPr>
              <w:pStyle w:val="CellRowSpacer"/>
              <w:rPr>
                <w:sz w:val="17"/>
              </w:rPr>
            </w:pPr>
          </w:p>
        </w:tc>
        <w:tc>
          <w:tcPr>
            <w:tcW w:w="901" w:type="dxa"/>
          </w:tcPr>
          <w:p w14:paraId="1AE82B1B" w14:textId="77777777" w:rsidR="00C72818" w:rsidRPr="00CC0A47" w:rsidDel="009C0EEF" w:rsidRDefault="00C72818" w:rsidP="00C72818">
            <w:pPr>
              <w:pStyle w:val="VSmCellBody"/>
              <w:jc w:val="right"/>
            </w:pPr>
            <w:r w:rsidRPr="00481C6C">
              <w:t>30.2</w:t>
            </w:r>
          </w:p>
        </w:tc>
        <w:tc>
          <w:tcPr>
            <w:tcW w:w="234" w:type="dxa"/>
            <w:vAlign w:val="bottom"/>
          </w:tcPr>
          <w:p w14:paraId="57CA7DAE" w14:textId="77777777" w:rsidR="00C72818" w:rsidRPr="00CC0A47" w:rsidRDefault="00C72818" w:rsidP="00C72818">
            <w:pPr>
              <w:pStyle w:val="CellRowSpacer"/>
              <w:rPr>
                <w:sz w:val="17"/>
              </w:rPr>
            </w:pPr>
          </w:p>
        </w:tc>
        <w:tc>
          <w:tcPr>
            <w:tcW w:w="901" w:type="dxa"/>
          </w:tcPr>
          <w:p w14:paraId="0E445202" w14:textId="77777777" w:rsidR="00C72818" w:rsidRPr="00CC0A47" w:rsidDel="009C0EEF" w:rsidRDefault="00C72818" w:rsidP="00C72818">
            <w:pPr>
              <w:pStyle w:val="VSmCellBody"/>
              <w:jc w:val="right"/>
            </w:pPr>
            <w:r w:rsidRPr="00B50F79">
              <w:t>(26.3</w:t>
            </w:r>
            <w:r>
              <w:t>)</w:t>
            </w:r>
          </w:p>
        </w:tc>
        <w:tc>
          <w:tcPr>
            <w:tcW w:w="234" w:type="dxa"/>
            <w:vAlign w:val="bottom"/>
          </w:tcPr>
          <w:p w14:paraId="6E0AC960" w14:textId="77777777" w:rsidR="00C72818" w:rsidRPr="00CC0A47" w:rsidRDefault="00C72818" w:rsidP="00C72818">
            <w:pPr>
              <w:pStyle w:val="CellRowSpacer"/>
              <w:rPr>
                <w:sz w:val="17"/>
              </w:rPr>
            </w:pPr>
          </w:p>
        </w:tc>
        <w:tc>
          <w:tcPr>
            <w:tcW w:w="901" w:type="dxa"/>
          </w:tcPr>
          <w:p w14:paraId="2EDC5FFD" w14:textId="77777777" w:rsidR="00C72818" w:rsidRPr="00CC0A47" w:rsidDel="009C0EEF" w:rsidRDefault="00C72818" w:rsidP="00C72818">
            <w:pPr>
              <w:pStyle w:val="VSmCellBody"/>
              <w:jc w:val="right"/>
            </w:pPr>
            <w:r w:rsidRPr="0053034D">
              <w:t>(23.4</w:t>
            </w:r>
            <w:r>
              <w:t>)</w:t>
            </w:r>
          </w:p>
        </w:tc>
        <w:tc>
          <w:tcPr>
            <w:tcW w:w="234" w:type="dxa"/>
            <w:vAlign w:val="bottom"/>
          </w:tcPr>
          <w:p w14:paraId="575B26FA" w14:textId="77777777" w:rsidR="00C72818" w:rsidRPr="00CC0A47" w:rsidRDefault="00C72818" w:rsidP="00C72818">
            <w:pPr>
              <w:pStyle w:val="CellRowSpacer"/>
              <w:rPr>
                <w:sz w:val="17"/>
              </w:rPr>
            </w:pPr>
          </w:p>
        </w:tc>
        <w:tc>
          <w:tcPr>
            <w:tcW w:w="901" w:type="dxa"/>
          </w:tcPr>
          <w:p w14:paraId="5EF33C41" w14:textId="77777777" w:rsidR="00C72818" w:rsidRPr="00CC0A47" w:rsidDel="009C0EEF" w:rsidRDefault="00C72818" w:rsidP="00C72818">
            <w:pPr>
              <w:pStyle w:val="VSmCellBody"/>
              <w:jc w:val="right"/>
            </w:pPr>
            <w:r w:rsidRPr="001A7DFC">
              <w:t>13.7</w:t>
            </w:r>
          </w:p>
        </w:tc>
        <w:tc>
          <w:tcPr>
            <w:tcW w:w="234" w:type="dxa"/>
            <w:vAlign w:val="bottom"/>
          </w:tcPr>
          <w:p w14:paraId="345B77FC" w14:textId="77777777" w:rsidR="00C72818" w:rsidRPr="00B02BA3" w:rsidRDefault="00C72818" w:rsidP="00C72818">
            <w:pPr>
              <w:pStyle w:val="CellRowSpacer"/>
              <w:rPr>
                <w:sz w:val="17"/>
              </w:rPr>
            </w:pPr>
          </w:p>
        </w:tc>
      </w:tr>
      <w:tr w:rsidR="00AA3D87" w:rsidRPr="00B02BA3" w14:paraId="5349961F" w14:textId="77777777" w:rsidTr="008C57E0">
        <w:tc>
          <w:tcPr>
            <w:tcW w:w="3143" w:type="dxa"/>
            <w:gridSpan w:val="2"/>
            <w:vAlign w:val="bottom"/>
          </w:tcPr>
          <w:p w14:paraId="68EB9CFE" w14:textId="77777777" w:rsidR="00AA3D87" w:rsidRPr="00435C00" w:rsidRDefault="00C04049" w:rsidP="00C72818">
            <w:pPr>
              <w:pStyle w:val="VSmCellBody"/>
              <w:tabs>
                <w:tab w:val="right" w:leader="dot" w:pos="3163"/>
              </w:tabs>
              <w:bidi/>
              <w:ind w:firstLine="411"/>
              <w:rPr>
                <w:szCs w:val="17"/>
              </w:rPr>
            </w:pPr>
            <w:r>
              <w:rPr>
                <w:rFonts w:hint="cs"/>
                <w:szCs w:val="17"/>
                <w:rtl/>
              </w:rPr>
              <w:t xml:space="preserve">الأرباح </w:t>
            </w:r>
            <w:r w:rsidR="00FE24A9">
              <w:rPr>
                <w:rFonts w:hint="cs"/>
                <w:szCs w:val="17"/>
                <w:rtl/>
              </w:rPr>
              <w:t xml:space="preserve">الأخرى من مكافئ تأجير السفن المجهزة بالمدة </w:t>
            </w:r>
            <w:r>
              <w:rPr>
                <w:rFonts w:hint="cs"/>
                <w:szCs w:val="17"/>
                <w:rtl/>
              </w:rPr>
              <w:t>قبل حساب الفوائد والضرائب والإهلاك والإطفاء</w:t>
            </w:r>
            <w:r w:rsidR="00435C00">
              <w:rPr>
                <w:szCs w:val="17"/>
              </w:rPr>
              <w:t>…………………………………..</w:t>
            </w:r>
            <w:r w:rsidR="00435C00">
              <w:rPr>
                <w:szCs w:val="17"/>
                <w:vertAlign w:val="superscript"/>
              </w:rPr>
              <w:t>(1)(8)</w:t>
            </w:r>
          </w:p>
        </w:tc>
        <w:tc>
          <w:tcPr>
            <w:tcW w:w="235" w:type="dxa"/>
            <w:gridSpan w:val="2"/>
            <w:vAlign w:val="bottom"/>
          </w:tcPr>
          <w:p w14:paraId="31F2A46D" w14:textId="77777777" w:rsidR="00AA3D87" w:rsidRPr="00B02BA3" w:rsidRDefault="00AA3D87" w:rsidP="00C72818">
            <w:pPr>
              <w:pStyle w:val="CellRowSpacer"/>
              <w:bidi/>
              <w:rPr>
                <w:sz w:val="17"/>
              </w:rPr>
            </w:pPr>
          </w:p>
        </w:tc>
        <w:tc>
          <w:tcPr>
            <w:tcW w:w="907" w:type="dxa"/>
            <w:gridSpan w:val="2"/>
          </w:tcPr>
          <w:p w14:paraId="449AAF81" w14:textId="77777777" w:rsidR="00AA3D87" w:rsidRPr="00AD0F65" w:rsidRDefault="00A150E0" w:rsidP="00C72818">
            <w:pPr>
              <w:pStyle w:val="VSmCellBody"/>
              <w:jc w:val="right"/>
            </w:pPr>
            <w:r>
              <w:t>(8.8)</w:t>
            </w:r>
          </w:p>
        </w:tc>
        <w:tc>
          <w:tcPr>
            <w:tcW w:w="235" w:type="dxa"/>
            <w:vAlign w:val="bottom"/>
          </w:tcPr>
          <w:p w14:paraId="7D4BD3C2" w14:textId="77777777" w:rsidR="00AA3D87" w:rsidRPr="00CC0A47" w:rsidRDefault="00AA3D87" w:rsidP="00C72818">
            <w:pPr>
              <w:pStyle w:val="CellRowSpacer"/>
              <w:rPr>
                <w:sz w:val="17"/>
              </w:rPr>
            </w:pPr>
          </w:p>
        </w:tc>
        <w:tc>
          <w:tcPr>
            <w:tcW w:w="901" w:type="dxa"/>
          </w:tcPr>
          <w:p w14:paraId="6107A8E5" w14:textId="77777777" w:rsidR="00AA3D87" w:rsidRPr="00481C6C" w:rsidRDefault="00A150E0" w:rsidP="00C72818">
            <w:pPr>
              <w:pStyle w:val="VSmCellBody"/>
              <w:jc w:val="right"/>
            </w:pPr>
            <w:r>
              <w:t>(10.1)</w:t>
            </w:r>
          </w:p>
        </w:tc>
        <w:tc>
          <w:tcPr>
            <w:tcW w:w="234" w:type="dxa"/>
            <w:vAlign w:val="bottom"/>
          </w:tcPr>
          <w:p w14:paraId="7DE736EC" w14:textId="77777777" w:rsidR="00AA3D87" w:rsidRPr="00CC0A47" w:rsidRDefault="00AA3D87" w:rsidP="00C72818">
            <w:pPr>
              <w:pStyle w:val="CellRowSpacer"/>
              <w:rPr>
                <w:sz w:val="17"/>
              </w:rPr>
            </w:pPr>
          </w:p>
        </w:tc>
        <w:tc>
          <w:tcPr>
            <w:tcW w:w="901" w:type="dxa"/>
          </w:tcPr>
          <w:p w14:paraId="2A3304DB" w14:textId="77777777" w:rsidR="00AA3D87" w:rsidRPr="00B50F79" w:rsidRDefault="00A150E0" w:rsidP="00C72818">
            <w:pPr>
              <w:pStyle w:val="VSmCellBody"/>
              <w:jc w:val="right"/>
            </w:pPr>
            <w:r>
              <w:t>(12.8)</w:t>
            </w:r>
          </w:p>
        </w:tc>
        <w:tc>
          <w:tcPr>
            <w:tcW w:w="234" w:type="dxa"/>
            <w:vAlign w:val="bottom"/>
          </w:tcPr>
          <w:p w14:paraId="024E08A0" w14:textId="77777777" w:rsidR="00AA3D87" w:rsidRPr="00CC0A47" w:rsidRDefault="00AA3D87" w:rsidP="00C72818">
            <w:pPr>
              <w:pStyle w:val="CellRowSpacer"/>
              <w:rPr>
                <w:sz w:val="17"/>
              </w:rPr>
            </w:pPr>
          </w:p>
        </w:tc>
        <w:tc>
          <w:tcPr>
            <w:tcW w:w="901" w:type="dxa"/>
          </w:tcPr>
          <w:p w14:paraId="06AD850C" w14:textId="77777777" w:rsidR="00AA3D87" w:rsidRPr="0053034D" w:rsidRDefault="00A150E0" w:rsidP="00C72818">
            <w:pPr>
              <w:pStyle w:val="VSmCellBody"/>
              <w:jc w:val="right"/>
            </w:pPr>
            <w:r>
              <w:t>(8.2)</w:t>
            </w:r>
          </w:p>
        </w:tc>
        <w:tc>
          <w:tcPr>
            <w:tcW w:w="234" w:type="dxa"/>
            <w:vAlign w:val="bottom"/>
          </w:tcPr>
          <w:p w14:paraId="49D5C333" w14:textId="77777777" w:rsidR="00AA3D87" w:rsidRPr="00CC0A47" w:rsidRDefault="00AA3D87" w:rsidP="00C72818">
            <w:pPr>
              <w:pStyle w:val="CellRowSpacer"/>
              <w:rPr>
                <w:sz w:val="17"/>
              </w:rPr>
            </w:pPr>
          </w:p>
        </w:tc>
        <w:tc>
          <w:tcPr>
            <w:tcW w:w="901" w:type="dxa"/>
          </w:tcPr>
          <w:p w14:paraId="28AE61F2" w14:textId="77777777" w:rsidR="00AA3D87" w:rsidRPr="001A7DFC" w:rsidRDefault="00A150E0" w:rsidP="00C72818">
            <w:pPr>
              <w:pStyle w:val="VSmCellBody"/>
              <w:jc w:val="right"/>
            </w:pPr>
            <w:r>
              <w:t>(11.2)</w:t>
            </w:r>
          </w:p>
        </w:tc>
        <w:tc>
          <w:tcPr>
            <w:tcW w:w="234" w:type="dxa"/>
            <w:vAlign w:val="bottom"/>
          </w:tcPr>
          <w:p w14:paraId="44F05715" w14:textId="77777777" w:rsidR="00AA3D87" w:rsidRPr="00B02BA3" w:rsidRDefault="00AA3D87" w:rsidP="00C72818">
            <w:pPr>
              <w:pStyle w:val="CellRowSpacer"/>
              <w:rPr>
                <w:sz w:val="17"/>
              </w:rPr>
            </w:pPr>
          </w:p>
        </w:tc>
      </w:tr>
      <w:tr w:rsidR="00C72818" w:rsidRPr="00B02BA3" w14:paraId="6A2577F9" w14:textId="77777777" w:rsidTr="008C57E0">
        <w:tc>
          <w:tcPr>
            <w:tcW w:w="3143" w:type="dxa"/>
            <w:gridSpan w:val="2"/>
            <w:vAlign w:val="bottom"/>
          </w:tcPr>
          <w:p w14:paraId="491106C4" w14:textId="77777777" w:rsidR="00C72818" w:rsidRPr="00B02BA3" w:rsidRDefault="00C72818" w:rsidP="00C72818">
            <w:pPr>
              <w:pStyle w:val="VSmCellBody"/>
              <w:tabs>
                <w:tab w:val="right" w:leader="dot" w:pos="3163"/>
              </w:tabs>
              <w:bidi/>
              <w:rPr>
                <w:szCs w:val="17"/>
              </w:rPr>
            </w:pPr>
            <w:r>
              <w:rPr>
                <w:rFonts w:hint="cs"/>
                <w:szCs w:val="17"/>
                <w:rtl/>
              </w:rPr>
              <w:t>هامش الأرباح قبل حساب الفوائد والضرائب والإهلاك والإطفاء</w:t>
            </w:r>
            <w:r w:rsidRPr="007766C5">
              <w:rPr>
                <w:szCs w:val="17"/>
                <w:vertAlign w:val="superscript"/>
              </w:rPr>
              <w:t xml:space="preserve"> (</w:t>
            </w:r>
            <w:r>
              <w:rPr>
                <w:szCs w:val="17"/>
                <w:vertAlign w:val="superscript"/>
              </w:rPr>
              <w:t>1</w:t>
            </w:r>
            <w:r w:rsidRPr="007766C5">
              <w:rPr>
                <w:szCs w:val="17"/>
                <w:vertAlign w:val="superscript"/>
              </w:rPr>
              <w:t>)(</w:t>
            </w:r>
            <w:r>
              <w:rPr>
                <w:szCs w:val="17"/>
                <w:vertAlign w:val="superscript"/>
              </w:rPr>
              <w:t>2</w:t>
            </w:r>
            <w:r w:rsidRPr="007766C5">
              <w:rPr>
                <w:szCs w:val="17"/>
                <w:vertAlign w:val="superscript"/>
              </w:rPr>
              <w:t>)</w:t>
            </w:r>
            <w:r w:rsidRPr="00B02BA3">
              <w:rPr>
                <w:bCs/>
                <w:color w:val="000000"/>
                <w:szCs w:val="17"/>
              </w:rPr>
              <w:tab/>
            </w:r>
          </w:p>
        </w:tc>
        <w:tc>
          <w:tcPr>
            <w:tcW w:w="235" w:type="dxa"/>
            <w:gridSpan w:val="2"/>
            <w:vAlign w:val="bottom"/>
          </w:tcPr>
          <w:p w14:paraId="2D3D6F70" w14:textId="77777777" w:rsidR="00C72818" w:rsidRPr="00B02BA3" w:rsidRDefault="00C72818" w:rsidP="00C72818">
            <w:pPr>
              <w:pStyle w:val="CellRowSpacer"/>
              <w:bidi/>
              <w:rPr>
                <w:sz w:val="17"/>
              </w:rPr>
            </w:pPr>
          </w:p>
        </w:tc>
        <w:tc>
          <w:tcPr>
            <w:tcW w:w="907" w:type="dxa"/>
            <w:gridSpan w:val="2"/>
          </w:tcPr>
          <w:p w14:paraId="28E8D42F" w14:textId="77777777" w:rsidR="00C72818" w:rsidRPr="00CC0A47" w:rsidRDefault="00C72818" w:rsidP="00C72818">
            <w:pPr>
              <w:pStyle w:val="VSmCellBody"/>
              <w:jc w:val="right"/>
            </w:pPr>
            <w:r w:rsidRPr="00CC0A47">
              <w:t>58.</w:t>
            </w:r>
            <w:r w:rsidR="00D11DD2">
              <w:t>7</w:t>
            </w:r>
            <w:r>
              <w:t>%</w:t>
            </w:r>
          </w:p>
        </w:tc>
        <w:tc>
          <w:tcPr>
            <w:tcW w:w="235" w:type="dxa"/>
            <w:vAlign w:val="bottom"/>
          </w:tcPr>
          <w:p w14:paraId="0720E745" w14:textId="77777777" w:rsidR="00C72818" w:rsidRPr="00CC0A47" w:rsidRDefault="00C72818" w:rsidP="00C72818">
            <w:pPr>
              <w:pStyle w:val="CellRowSpacer"/>
              <w:rPr>
                <w:sz w:val="17"/>
              </w:rPr>
            </w:pPr>
          </w:p>
        </w:tc>
        <w:tc>
          <w:tcPr>
            <w:tcW w:w="901" w:type="dxa"/>
          </w:tcPr>
          <w:p w14:paraId="1454ED87" w14:textId="77777777" w:rsidR="00C72818" w:rsidRPr="00CC0A47" w:rsidRDefault="00D11DD2" w:rsidP="00C72818">
            <w:pPr>
              <w:pStyle w:val="VSmCellBody"/>
              <w:jc w:val="right"/>
            </w:pPr>
            <w:r>
              <w:t>61.2</w:t>
            </w:r>
            <w:r w:rsidR="00C72818">
              <w:t>%</w:t>
            </w:r>
          </w:p>
        </w:tc>
        <w:tc>
          <w:tcPr>
            <w:tcW w:w="234" w:type="dxa"/>
            <w:vAlign w:val="bottom"/>
          </w:tcPr>
          <w:p w14:paraId="19291502" w14:textId="77777777" w:rsidR="00C72818" w:rsidRPr="00CC0A47" w:rsidRDefault="00C72818" w:rsidP="00C72818">
            <w:pPr>
              <w:pStyle w:val="CellRowSpacer"/>
              <w:rPr>
                <w:sz w:val="17"/>
              </w:rPr>
            </w:pPr>
          </w:p>
        </w:tc>
        <w:tc>
          <w:tcPr>
            <w:tcW w:w="901" w:type="dxa"/>
          </w:tcPr>
          <w:p w14:paraId="5817B3B5" w14:textId="77777777" w:rsidR="00C72818" w:rsidRPr="00CC0A47" w:rsidRDefault="00D11DD2" w:rsidP="00C72818">
            <w:pPr>
              <w:pStyle w:val="VSmCellBody"/>
              <w:jc w:val="right"/>
            </w:pPr>
            <w:r>
              <w:t>66.5</w:t>
            </w:r>
            <w:r w:rsidR="00C72818">
              <w:t>%</w:t>
            </w:r>
          </w:p>
        </w:tc>
        <w:tc>
          <w:tcPr>
            <w:tcW w:w="234" w:type="dxa"/>
            <w:vAlign w:val="bottom"/>
          </w:tcPr>
          <w:p w14:paraId="2056199F" w14:textId="77777777" w:rsidR="00C72818" w:rsidRPr="00CC0A47" w:rsidRDefault="00C72818" w:rsidP="00C72818">
            <w:pPr>
              <w:pStyle w:val="CellRowSpacer"/>
              <w:rPr>
                <w:sz w:val="17"/>
              </w:rPr>
            </w:pPr>
            <w:r>
              <w:rPr>
                <w:sz w:val="17"/>
                <w:szCs w:val="17"/>
              </w:rPr>
              <w:t>%</w:t>
            </w:r>
          </w:p>
        </w:tc>
        <w:tc>
          <w:tcPr>
            <w:tcW w:w="901" w:type="dxa"/>
            <w:vAlign w:val="bottom"/>
          </w:tcPr>
          <w:p w14:paraId="2221ADB3" w14:textId="77777777" w:rsidR="00C72818" w:rsidRPr="00CC0A47" w:rsidRDefault="00D11DD2" w:rsidP="00C72818">
            <w:pPr>
              <w:pStyle w:val="VSmCellBody"/>
              <w:jc w:val="right"/>
            </w:pPr>
            <w:r>
              <w:t>58.8</w:t>
            </w:r>
          </w:p>
        </w:tc>
        <w:tc>
          <w:tcPr>
            <w:tcW w:w="234" w:type="dxa"/>
            <w:vAlign w:val="bottom"/>
          </w:tcPr>
          <w:p w14:paraId="011163B4" w14:textId="77777777" w:rsidR="00C72818" w:rsidRPr="00CC0A47" w:rsidRDefault="00C72818" w:rsidP="00C72818">
            <w:pPr>
              <w:pStyle w:val="CellRowSpacer"/>
              <w:rPr>
                <w:sz w:val="17"/>
              </w:rPr>
            </w:pPr>
            <w:r>
              <w:rPr>
                <w:sz w:val="17"/>
                <w:szCs w:val="17"/>
              </w:rPr>
              <w:t>%</w:t>
            </w:r>
          </w:p>
        </w:tc>
        <w:tc>
          <w:tcPr>
            <w:tcW w:w="901" w:type="dxa"/>
            <w:vAlign w:val="bottom"/>
          </w:tcPr>
          <w:p w14:paraId="132AA24C" w14:textId="77777777" w:rsidR="00C72818" w:rsidRPr="00CC0A47" w:rsidRDefault="00D11DD2" w:rsidP="00C72818">
            <w:pPr>
              <w:pStyle w:val="VSmCellBody"/>
              <w:jc w:val="right"/>
            </w:pPr>
            <w:r>
              <w:t>69.0</w:t>
            </w:r>
          </w:p>
        </w:tc>
        <w:tc>
          <w:tcPr>
            <w:tcW w:w="234" w:type="dxa"/>
            <w:vAlign w:val="bottom"/>
          </w:tcPr>
          <w:p w14:paraId="65A0F009" w14:textId="77777777" w:rsidR="00C72818" w:rsidRPr="00B02BA3" w:rsidRDefault="00C72818" w:rsidP="00C72818">
            <w:pPr>
              <w:pStyle w:val="CellRowSpacer"/>
              <w:rPr>
                <w:sz w:val="17"/>
              </w:rPr>
            </w:pPr>
          </w:p>
        </w:tc>
      </w:tr>
      <w:tr w:rsidR="00C72818" w:rsidRPr="00B02BA3" w14:paraId="190D7A6B" w14:textId="77777777" w:rsidTr="008C57E0">
        <w:trPr>
          <w:gridBefore w:val="1"/>
          <w:wBefore w:w="11" w:type="dxa"/>
        </w:trPr>
        <w:tc>
          <w:tcPr>
            <w:tcW w:w="3138" w:type="dxa"/>
            <w:gridSpan w:val="2"/>
            <w:vAlign w:val="bottom"/>
          </w:tcPr>
          <w:p w14:paraId="3A7886CA" w14:textId="77777777" w:rsidR="00C72818" w:rsidRPr="00B02BA3" w:rsidRDefault="00C72818" w:rsidP="00C72818">
            <w:pPr>
              <w:pStyle w:val="VSmCellBody"/>
              <w:tabs>
                <w:tab w:val="right" w:leader="dot" w:pos="3163"/>
              </w:tabs>
              <w:bidi/>
              <w:rPr>
                <w:szCs w:val="17"/>
              </w:rPr>
            </w:pPr>
            <w:r>
              <w:rPr>
                <w:rFonts w:hint="cs"/>
                <w:szCs w:val="17"/>
                <w:rtl/>
              </w:rPr>
              <w:t>الأرباح المعدلة قبل حساب الفوائد والضرائب والإهلاك والإطفاء</w:t>
            </w:r>
            <w:r w:rsidRPr="007766C5">
              <w:rPr>
                <w:szCs w:val="17"/>
                <w:vertAlign w:val="superscript"/>
              </w:rPr>
              <w:t xml:space="preserve"> (</w:t>
            </w:r>
            <w:r>
              <w:rPr>
                <w:szCs w:val="17"/>
                <w:vertAlign w:val="superscript"/>
              </w:rPr>
              <w:t>1</w:t>
            </w:r>
            <w:r w:rsidRPr="007766C5">
              <w:rPr>
                <w:szCs w:val="17"/>
                <w:vertAlign w:val="superscript"/>
              </w:rPr>
              <w:t>)(</w:t>
            </w:r>
            <w:r>
              <w:rPr>
                <w:szCs w:val="17"/>
                <w:vertAlign w:val="superscript"/>
              </w:rPr>
              <w:t>2</w:t>
            </w:r>
            <w:r w:rsidRPr="007766C5">
              <w:rPr>
                <w:szCs w:val="17"/>
                <w:vertAlign w:val="superscript"/>
              </w:rPr>
              <w:t>)</w:t>
            </w:r>
            <w:r w:rsidRPr="00B02BA3">
              <w:rPr>
                <w:bCs/>
                <w:color w:val="000000"/>
                <w:szCs w:val="17"/>
              </w:rPr>
              <w:tab/>
            </w:r>
          </w:p>
        </w:tc>
        <w:tc>
          <w:tcPr>
            <w:tcW w:w="235" w:type="dxa"/>
            <w:gridSpan w:val="2"/>
            <w:vAlign w:val="bottom"/>
          </w:tcPr>
          <w:p w14:paraId="3CD7CC79" w14:textId="77777777" w:rsidR="00C72818" w:rsidRPr="00B02BA3" w:rsidRDefault="00C72818" w:rsidP="00C72818">
            <w:pPr>
              <w:pStyle w:val="CellRowSpacer"/>
              <w:rPr>
                <w:sz w:val="17"/>
              </w:rPr>
            </w:pPr>
          </w:p>
        </w:tc>
        <w:tc>
          <w:tcPr>
            <w:tcW w:w="901" w:type="dxa"/>
          </w:tcPr>
          <w:p w14:paraId="3DCC16AC" w14:textId="77777777" w:rsidR="00C72818" w:rsidRPr="00CC0A47" w:rsidRDefault="00C72818" w:rsidP="00C72818">
            <w:pPr>
              <w:pStyle w:val="VSmCellBody"/>
              <w:jc w:val="right"/>
            </w:pPr>
            <w:r w:rsidRPr="00CC0A47">
              <w:t>105.3</w:t>
            </w:r>
          </w:p>
        </w:tc>
        <w:tc>
          <w:tcPr>
            <w:tcW w:w="235" w:type="dxa"/>
            <w:vAlign w:val="bottom"/>
          </w:tcPr>
          <w:p w14:paraId="598EA0B8" w14:textId="77777777" w:rsidR="00C72818" w:rsidRPr="00CC0A47" w:rsidRDefault="00C72818" w:rsidP="00C72818">
            <w:pPr>
              <w:pStyle w:val="CellRowSpacer"/>
              <w:rPr>
                <w:sz w:val="17"/>
              </w:rPr>
            </w:pPr>
          </w:p>
        </w:tc>
        <w:tc>
          <w:tcPr>
            <w:tcW w:w="901" w:type="dxa"/>
          </w:tcPr>
          <w:p w14:paraId="4FB8A3AF" w14:textId="77777777" w:rsidR="00C72818" w:rsidRPr="00CC0A47" w:rsidRDefault="00C72818" w:rsidP="00C72818">
            <w:pPr>
              <w:pStyle w:val="VSmCellBody"/>
              <w:jc w:val="right"/>
            </w:pPr>
            <w:r w:rsidRPr="00CC0A47">
              <w:t>158.9</w:t>
            </w:r>
          </w:p>
        </w:tc>
        <w:tc>
          <w:tcPr>
            <w:tcW w:w="234" w:type="dxa"/>
            <w:vAlign w:val="bottom"/>
          </w:tcPr>
          <w:p w14:paraId="796C5F8A" w14:textId="77777777" w:rsidR="00C72818" w:rsidRPr="00CC0A47" w:rsidRDefault="00C72818" w:rsidP="00C72818">
            <w:pPr>
              <w:pStyle w:val="CellRowSpacer"/>
              <w:rPr>
                <w:sz w:val="17"/>
              </w:rPr>
            </w:pPr>
          </w:p>
        </w:tc>
        <w:tc>
          <w:tcPr>
            <w:tcW w:w="901" w:type="dxa"/>
          </w:tcPr>
          <w:p w14:paraId="4D9A31B6" w14:textId="77777777" w:rsidR="00C72818" w:rsidRPr="00CC0A47" w:rsidRDefault="00C72818" w:rsidP="00C72818">
            <w:pPr>
              <w:pStyle w:val="VSmCellBody"/>
              <w:jc w:val="right"/>
            </w:pPr>
            <w:r w:rsidRPr="00CC0A47">
              <w:t>184.0</w:t>
            </w:r>
          </w:p>
        </w:tc>
        <w:tc>
          <w:tcPr>
            <w:tcW w:w="234" w:type="dxa"/>
            <w:vAlign w:val="bottom"/>
          </w:tcPr>
          <w:p w14:paraId="2F71E145" w14:textId="77777777" w:rsidR="00C72818" w:rsidRPr="00CC0A47" w:rsidRDefault="00C72818" w:rsidP="00C72818">
            <w:pPr>
              <w:pStyle w:val="CellRowSpacer"/>
              <w:rPr>
                <w:sz w:val="17"/>
              </w:rPr>
            </w:pPr>
          </w:p>
        </w:tc>
        <w:tc>
          <w:tcPr>
            <w:tcW w:w="901" w:type="dxa"/>
            <w:vAlign w:val="bottom"/>
          </w:tcPr>
          <w:p w14:paraId="3EDBD8DA" w14:textId="77777777" w:rsidR="00C72818" w:rsidRPr="00CC0A47" w:rsidRDefault="0092650B" w:rsidP="00C72818">
            <w:pPr>
              <w:pStyle w:val="VSmCellBody"/>
              <w:jc w:val="right"/>
            </w:pPr>
            <w:r>
              <w:t>139.5</w:t>
            </w:r>
          </w:p>
        </w:tc>
        <w:tc>
          <w:tcPr>
            <w:tcW w:w="234" w:type="dxa"/>
            <w:vAlign w:val="bottom"/>
          </w:tcPr>
          <w:p w14:paraId="131AF34C" w14:textId="77777777" w:rsidR="00C72818" w:rsidRPr="00CC0A47" w:rsidRDefault="00C72818" w:rsidP="00C72818">
            <w:pPr>
              <w:pStyle w:val="CellRowSpacer"/>
              <w:rPr>
                <w:sz w:val="17"/>
              </w:rPr>
            </w:pPr>
          </w:p>
        </w:tc>
        <w:tc>
          <w:tcPr>
            <w:tcW w:w="901" w:type="dxa"/>
            <w:vAlign w:val="bottom"/>
          </w:tcPr>
          <w:p w14:paraId="0BF464C2" w14:textId="77777777" w:rsidR="00C72818" w:rsidRPr="00CC0A47" w:rsidRDefault="00C72818" w:rsidP="00C72818">
            <w:pPr>
              <w:pStyle w:val="VSmCellBody"/>
              <w:jc w:val="right"/>
            </w:pPr>
            <w:r w:rsidRPr="00CC0A47">
              <w:t>162.9</w:t>
            </w:r>
          </w:p>
        </w:tc>
        <w:tc>
          <w:tcPr>
            <w:tcW w:w="234" w:type="dxa"/>
            <w:vAlign w:val="bottom"/>
          </w:tcPr>
          <w:p w14:paraId="39CA1828" w14:textId="77777777" w:rsidR="00C72818" w:rsidRPr="00B02BA3" w:rsidRDefault="00C72818" w:rsidP="00C72818">
            <w:pPr>
              <w:pStyle w:val="CellRowSpacer"/>
              <w:rPr>
                <w:sz w:val="17"/>
              </w:rPr>
            </w:pPr>
          </w:p>
        </w:tc>
      </w:tr>
      <w:tr w:rsidR="00C72818" w:rsidRPr="00B02BA3" w14:paraId="29283251" w14:textId="77777777" w:rsidTr="008C57E0">
        <w:trPr>
          <w:gridBefore w:val="1"/>
          <w:wBefore w:w="11" w:type="dxa"/>
        </w:trPr>
        <w:tc>
          <w:tcPr>
            <w:tcW w:w="3138" w:type="dxa"/>
            <w:gridSpan w:val="2"/>
            <w:vAlign w:val="bottom"/>
          </w:tcPr>
          <w:p w14:paraId="351E2414" w14:textId="77777777" w:rsidR="00C72818" w:rsidRPr="00B02BA3" w:rsidRDefault="00C72818" w:rsidP="00C72818">
            <w:pPr>
              <w:pStyle w:val="VSmCellBody"/>
              <w:tabs>
                <w:tab w:val="right" w:leader="dot" w:pos="3163"/>
              </w:tabs>
              <w:bidi/>
              <w:rPr>
                <w:szCs w:val="17"/>
              </w:rPr>
            </w:pPr>
            <w:r>
              <w:rPr>
                <w:rFonts w:hint="cs"/>
                <w:szCs w:val="17"/>
                <w:rtl/>
              </w:rPr>
              <w:t>هامش الأرباح المعدل قبل حساب الفوائد والضرائب والإهلاك والإطفاء</w:t>
            </w:r>
            <w:r w:rsidRPr="007766C5">
              <w:rPr>
                <w:szCs w:val="17"/>
                <w:vertAlign w:val="superscript"/>
              </w:rPr>
              <w:t xml:space="preserve"> (</w:t>
            </w:r>
            <w:r>
              <w:rPr>
                <w:szCs w:val="17"/>
                <w:vertAlign w:val="superscript"/>
              </w:rPr>
              <w:t>1</w:t>
            </w:r>
            <w:r w:rsidRPr="007766C5">
              <w:rPr>
                <w:szCs w:val="17"/>
                <w:vertAlign w:val="superscript"/>
              </w:rPr>
              <w:t>)(</w:t>
            </w:r>
            <w:r>
              <w:rPr>
                <w:szCs w:val="17"/>
                <w:vertAlign w:val="superscript"/>
              </w:rPr>
              <w:t>2</w:t>
            </w:r>
            <w:r w:rsidRPr="007766C5">
              <w:rPr>
                <w:szCs w:val="17"/>
                <w:vertAlign w:val="superscript"/>
              </w:rPr>
              <w:t>)</w:t>
            </w:r>
            <w:r w:rsidRPr="00B02BA3">
              <w:rPr>
                <w:bCs/>
                <w:color w:val="000000"/>
                <w:szCs w:val="17"/>
              </w:rPr>
              <w:tab/>
            </w:r>
          </w:p>
        </w:tc>
        <w:tc>
          <w:tcPr>
            <w:tcW w:w="235" w:type="dxa"/>
            <w:gridSpan w:val="2"/>
            <w:vAlign w:val="bottom"/>
          </w:tcPr>
          <w:p w14:paraId="605AD87F" w14:textId="77777777" w:rsidR="00C72818" w:rsidRPr="00B02BA3" w:rsidRDefault="00C72818" w:rsidP="00C72818">
            <w:pPr>
              <w:pStyle w:val="CellRowSpacer"/>
              <w:rPr>
                <w:sz w:val="17"/>
              </w:rPr>
            </w:pPr>
          </w:p>
        </w:tc>
        <w:tc>
          <w:tcPr>
            <w:tcW w:w="901" w:type="dxa"/>
          </w:tcPr>
          <w:p w14:paraId="18307A0C" w14:textId="77777777" w:rsidR="00C72818" w:rsidRPr="00CC0A47" w:rsidRDefault="00C72818" w:rsidP="00C72818">
            <w:pPr>
              <w:pStyle w:val="VSmCellBody"/>
              <w:jc w:val="right"/>
            </w:pPr>
            <w:r w:rsidRPr="00CC0A47">
              <w:t>58.</w:t>
            </w:r>
            <w:r w:rsidR="0092650B">
              <w:t>2</w:t>
            </w:r>
            <w:r>
              <w:t>%</w:t>
            </w:r>
          </w:p>
        </w:tc>
        <w:tc>
          <w:tcPr>
            <w:tcW w:w="235" w:type="dxa"/>
            <w:vAlign w:val="bottom"/>
          </w:tcPr>
          <w:p w14:paraId="16C6E625" w14:textId="77777777" w:rsidR="00C72818" w:rsidRPr="00CC0A47" w:rsidRDefault="00C72818" w:rsidP="00C72818">
            <w:pPr>
              <w:pStyle w:val="CellRowSpacer"/>
              <w:rPr>
                <w:sz w:val="17"/>
              </w:rPr>
            </w:pPr>
          </w:p>
        </w:tc>
        <w:tc>
          <w:tcPr>
            <w:tcW w:w="901" w:type="dxa"/>
          </w:tcPr>
          <w:p w14:paraId="6777CD5D" w14:textId="77777777" w:rsidR="00C72818" w:rsidRPr="00CC0A47" w:rsidRDefault="00C72818" w:rsidP="00C72818">
            <w:pPr>
              <w:pStyle w:val="VSmCellBody"/>
              <w:jc w:val="right"/>
            </w:pPr>
            <w:r>
              <w:t>63.</w:t>
            </w:r>
            <w:r w:rsidR="0092650B">
              <w:t>5</w:t>
            </w:r>
            <w:r>
              <w:t>%</w:t>
            </w:r>
          </w:p>
        </w:tc>
        <w:tc>
          <w:tcPr>
            <w:tcW w:w="234" w:type="dxa"/>
            <w:vAlign w:val="bottom"/>
          </w:tcPr>
          <w:p w14:paraId="7A0E6444" w14:textId="77777777" w:rsidR="00C72818" w:rsidRPr="00CC0A47" w:rsidRDefault="00C72818" w:rsidP="00C72818">
            <w:pPr>
              <w:pStyle w:val="CellRowSpacer"/>
              <w:rPr>
                <w:sz w:val="17"/>
              </w:rPr>
            </w:pPr>
          </w:p>
        </w:tc>
        <w:tc>
          <w:tcPr>
            <w:tcW w:w="901" w:type="dxa"/>
          </w:tcPr>
          <w:p w14:paraId="15296BBC" w14:textId="77777777" w:rsidR="00C72818" w:rsidRPr="00CC0A47" w:rsidRDefault="00CB4C20" w:rsidP="00C72818">
            <w:pPr>
              <w:pStyle w:val="VSmCellBody"/>
              <w:jc w:val="right"/>
            </w:pPr>
            <w:r>
              <w:t>65.2</w:t>
            </w:r>
            <w:r w:rsidR="00C72818">
              <w:t>%</w:t>
            </w:r>
          </w:p>
        </w:tc>
        <w:tc>
          <w:tcPr>
            <w:tcW w:w="234" w:type="dxa"/>
            <w:vAlign w:val="bottom"/>
          </w:tcPr>
          <w:p w14:paraId="7116B57B" w14:textId="77777777" w:rsidR="00C72818" w:rsidRPr="00CC0A47" w:rsidRDefault="00C72818" w:rsidP="00C72818">
            <w:pPr>
              <w:pStyle w:val="CellRowSpacer"/>
              <w:rPr>
                <w:sz w:val="17"/>
              </w:rPr>
            </w:pPr>
            <w:r>
              <w:rPr>
                <w:sz w:val="17"/>
                <w:szCs w:val="17"/>
              </w:rPr>
              <w:t>%</w:t>
            </w:r>
          </w:p>
        </w:tc>
        <w:tc>
          <w:tcPr>
            <w:tcW w:w="901" w:type="dxa"/>
            <w:vAlign w:val="bottom"/>
          </w:tcPr>
          <w:p w14:paraId="0F3D13A4" w14:textId="77777777" w:rsidR="00C72818" w:rsidRPr="00CC0A47" w:rsidRDefault="00CB4C20" w:rsidP="00C72818">
            <w:pPr>
              <w:pStyle w:val="VSmCellBody"/>
              <w:jc w:val="right"/>
            </w:pPr>
            <w:r>
              <w:t>65.7</w:t>
            </w:r>
          </w:p>
        </w:tc>
        <w:tc>
          <w:tcPr>
            <w:tcW w:w="234" w:type="dxa"/>
            <w:vAlign w:val="bottom"/>
          </w:tcPr>
          <w:p w14:paraId="35273A0B" w14:textId="77777777" w:rsidR="00C72818" w:rsidRPr="00CC0A47" w:rsidRDefault="00C72818" w:rsidP="00C72818">
            <w:pPr>
              <w:pStyle w:val="CellRowSpacer"/>
              <w:rPr>
                <w:sz w:val="17"/>
              </w:rPr>
            </w:pPr>
            <w:r>
              <w:rPr>
                <w:sz w:val="17"/>
                <w:szCs w:val="17"/>
              </w:rPr>
              <w:t>%</w:t>
            </w:r>
          </w:p>
        </w:tc>
        <w:tc>
          <w:tcPr>
            <w:tcW w:w="901" w:type="dxa"/>
            <w:vAlign w:val="bottom"/>
          </w:tcPr>
          <w:p w14:paraId="3CEA8C11" w14:textId="77777777" w:rsidR="00C72818" w:rsidRPr="00CC0A47" w:rsidRDefault="00CB4C20" w:rsidP="00C72818">
            <w:pPr>
              <w:pStyle w:val="VSmCellBody"/>
              <w:jc w:val="right"/>
            </w:pPr>
            <w:r>
              <w:t>69.0</w:t>
            </w:r>
          </w:p>
        </w:tc>
        <w:tc>
          <w:tcPr>
            <w:tcW w:w="234" w:type="dxa"/>
            <w:vAlign w:val="bottom"/>
          </w:tcPr>
          <w:p w14:paraId="0D0C3A60" w14:textId="77777777" w:rsidR="00C72818" w:rsidRPr="00B02BA3" w:rsidRDefault="00C72818" w:rsidP="00C72818">
            <w:pPr>
              <w:pStyle w:val="CellRowSpacer"/>
              <w:rPr>
                <w:sz w:val="17"/>
              </w:rPr>
            </w:pPr>
          </w:p>
        </w:tc>
      </w:tr>
      <w:tr w:rsidR="00C72818" w:rsidRPr="00B02BA3" w14:paraId="15CC70CE" w14:textId="77777777" w:rsidTr="008C57E0">
        <w:trPr>
          <w:gridBefore w:val="1"/>
          <w:wBefore w:w="11" w:type="dxa"/>
        </w:trPr>
        <w:tc>
          <w:tcPr>
            <w:tcW w:w="3138" w:type="dxa"/>
            <w:gridSpan w:val="2"/>
            <w:vAlign w:val="bottom"/>
          </w:tcPr>
          <w:p w14:paraId="061F252C" w14:textId="77777777" w:rsidR="00C72818" w:rsidRPr="00B02BA3" w:rsidRDefault="00C72818" w:rsidP="00C72818">
            <w:pPr>
              <w:pStyle w:val="VSmCellBody"/>
              <w:tabs>
                <w:tab w:val="right" w:leader="dot" w:pos="3163"/>
              </w:tabs>
              <w:bidi/>
              <w:rPr>
                <w:szCs w:val="17"/>
              </w:rPr>
            </w:pPr>
            <w:r>
              <w:rPr>
                <w:rFonts w:hint="cs"/>
                <w:szCs w:val="17"/>
                <w:rtl/>
              </w:rPr>
              <w:t>هامش التدفقات النقدية</w:t>
            </w:r>
            <w:r w:rsidRPr="007766C5">
              <w:rPr>
                <w:szCs w:val="17"/>
                <w:vertAlign w:val="superscript"/>
              </w:rPr>
              <w:t>(</w:t>
            </w:r>
            <w:r>
              <w:rPr>
                <w:szCs w:val="17"/>
                <w:vertAlign w:val="superscript"/>
              </w:rPr>
              <w:t>1</w:t>
            </w:r>
            <w:r w:rsidRPr="007766C5">
              <w:rPr>
                <w:szCs w:val="17"/>
                <w:vertAlign w:val="superscript"/>
              </w:rPr>
              <w:t>)(</w:t>
            </w:r>
            <w:r w:rsidR="001D367C">
              <w:rPr>
                <w:szCs w:val="17"/>
                <w:vertAlign w:val="superscript"/>
              </w:rPr>
              <w:t>9</w:t>
            </w:r>
            <w:r w:rsidRPr="007766C5">
              <w:rPr>
                <w:szCs w:val="17"/>
                <w:vertAlign w:val="superscript"/>
              </w:rPr>
              <w:t>)</w:t>
            </w:r>
            <w:r w:rsidRPr="00B02BA3">
              <w:rPr>
                <w:bCs/>
                <w:color w:val="000000"/>
                <w:szCs w:val="17"/>
              </w:rPr>
              <w:tab/>
            </w:r>
          </w:p>
        </w:tc>
        <w:tc>
          <w:tcPr>
            <w:tcW w:w="235" w:type="dxa"/>
            <w:gridSpan w:val="2"/>
            <w:vAlign w:val="bottom"/>
          </w:tcPr>
          <w:p w14:paraId="73E1B0FE" w14:textId="77777777" w:rsidR="00C72818" w:rsidRPr="00B02BA3" w:rsidRDefault="00C72818" w:rsidP="00C72818">
            <w:pPr>
              <w:pStyle w:val="CellRowSpacer"/>
              <w:rPr>
                <w:sz w:val="17"/>
              </w:rPr>
            </w:pPr>
          </w:p>
        </w:tc>
        <w:tc>
          <w:tcPr>
            <w:tcW w:w="901" w:type="dxa"/>
          </w:tcPr>
          <w:p w14:paraId="34500054" w14:textId="77777777" w:rsidR="00C72818" w:rsidRPr="00CC0A47" w:rsidRDefault="00A827CF" w:rsidP="00C72818">
            <w:pPr>
              <w:pStyle w:val="VSmCellBody"/>
              <w:jc w:val="right"/>
            </w:pPr>
            <w:r>
              <w:t>37.0</w:t>
            </w:r>
            <w:r w:rsidR="00C72818">
              <w:t>%</w:t>
            </w:r>
          </w:p>
        </w:tc>
        <w:tc>
          <w:tcPr>
            <w:tcW w:w="235" w:type="dxa"/>
            <w:vAlign w:val="bottom"/>
          </w:tcPr>
          <w:p w14:paraId="7C295A53" w14:textId="77777777" w:rsidR="00C72818" w:rsidRPr="00CC0A47" w:rsidRDefault="00C72818" w:rsidP="00C72818">
            <w:pPr>
              <w:pStyle w:val="CellRowSpacer"/>
              <w:rPr>
                <w:sz w:val="17"/>
              </w:rPr>
            </w:pPr>
            <w:r>
              <w:rPr>
                <w:sz w:val="17"/>
                <w:szCs w:val="17"/>
              </w:rPr>
              <w:t>%</w:t>
            </w:r>
          </w:p>
        </w:tc>
        <w:tc>
          <w:tcPr>
            <w:tcW w:w="901" w:type="dxa"/>
          </w:tcPr>
          <w:p w14:paraId="597B0AC0" w14:textId="3051A80C" w:rsidR="00C72818" w:rsidRPr="00CC0A47" w:rsidRDefault="00274ABC" w:rsidP="00C72818">
            <w:pPr>
              <w:pStyle w:val="VSmCellBody"/>
              <w:jc w:val="right"/>
            </w:pPr>
            <w:r>
              <w:t>31.2</w:t>
            </w:r>
          </w:p>
        </w:tc>
        <w:tc>
          <w:tcPr>
            <w:tcW w:w="234" w:type="dxa"/>
            <w:vAlign w:val="bottom"/>
          </w:tcPr>
          <w:p w14:paraId="60585777" w14:textId="77777777" w:rsidR="00C72818" w:rsidRPr="00CC0A47" w:rsidRDefault="00C72818" w:rsidP="00C72818">
            <w:pPr>
              <w:pStyle w:val="CellRowSpacer"/>
              <w:rPr>
                <w:sz w:val="17"/>
              </w:rPr>
            </w:pPr>
            <w:r>
              <w:rPr>
                <w:sz w:val="17"/>
                <w:szCs w:val="17"/>
              </w:rPr>
              <w:t>%</w:t>
            </w:r>
          </w:p>
        </w:tc>
        <w:tc>
          <w:tcPr>
            <w:tcW w:w="901" w:type="dxa"/>
          </w:tcPr>
          <w:p w14:paraId="382069C4" w14:textId="77777777" w:rsidR="00C72818" w:rsidRPr="00CC0A47" w:rsidRDefault="00A827CF" w:rsidP="00C72818">
            <w:pPr>
              <w:pStyle w:val="VSmCellBody"/>
              <w:jc w:val="right"/>
            </w:pPr>
            <w:r>
              <w:t>64.5</w:t>
            </w:r>
          </w:p>
        </w:tc>
        <w:tc>
          <w:tcPr>
            <w:tcW w:w="234" w:type="dxa"/>
            <w:vAlign w:val="bottom"/>
          </w:tcPr>
          <w:p w14:paraId="4E864F81" w14:textId="77777777" w:rsidR="00C72818" w:rsidRPr="00CC0A47" w:rsidRDefault="00C72818" w:rsidP="00C72818">
            <w:pPr>
              <w:pStyle w:val="CellRowSpacer"/>
              <w:rPr>
                <w:sz w:val="17"/>
              </w:rPr>
            </w:pPr>
          </w:p>
        </w:tc>
        <w:tc>
          <w:tcPr>
            <w:tcW w:w="901" w:type="dxa"/>
            <w:vAlign w:val="bottom"/>
          </w:tcPr>
          <w:p w14:paraId="11A4F6C3" w14:textId="77777777" w:rsidR="00C72818" w:rsidRPr="00CC0A47" w:rsidRDefault="00027124" w:rsidP="00C72818">
            <w:pPr>
              <w:pStyle w:val="VSmCellBody"/>
              <w:jc w:val="right"/>
            </w:pPr>
            <w:r>
              <w:t>—</w:t>
            </w:r>
          </w:p>
        </w:tc>
        <w:tc>
          <w:tcPr>
            <w:tcW w:w="234" w:type="dxa"/>
            <w:vAlign w:val="bottom"/>
          </w:tcPr>
          <w:p w14:paraId="009B43BA" w14:textId="77777777" w:rsidR="00C72818" w:rsidRPr="00CC0A47" w:rsidRDefault="00C72818" w:rsidP="00C72818">
            <w:pPr>
              <w:pStyle w:val="CellRowSpacer"/>
              <w:rPr>
                <w:sz w:val="17"/>
              </w:rPr>
            </w:pPr>
            <w:r>
              <w:rPr>
                <w:sz w:val="17"/>
                <w:szCs w:val="17"/>
              </w:rPr>
              <w:t>%</w:t>
            </w:r>
          </w:p>
        </w:tc>
        <w:tc>
          <w:tcPr>
            <w:tcW w:w="901" w:type="dxa"/>
            <w:vAlign w:val="bottom"/>
          </w:tcPr>
          <w:p w14:paraId="5F81E27A" w14:textId="77777777" w:rsidR="00C72818" w:rsidRPr="00CC0A47" w:rsidRDefault="00A827CF" w:rsidP="00C72818">
            <w:pPr>
              <w:pStyle w:val="VSmCellBody"/>
              <w:jc w:val="right"/>
            </w:pPr>
            <w:r>
              <w:t>48.2</w:t>
            </w:r>
          </w:p>
        </w:tc>
        <w:tc>
          <w:tcPr>
            <w:tcW w:w="234" w:type="dxa"/>
            <w:vAlign w:val="bottom"/>
          </w:tcPr>
          <w:p w14:paraId="14DA4D19" w14:textId="77777777" w:rsidR="00C72818" w:rsidRPr="00B02BA3" w:rsidRDefault="00C72818" w:rsidP="00C72818">
            <w:pPr>
              <w:pStyle w:val="CellRowSpacer"/>
              <w:rPr>
                <w:sz w:val="17"/>
              </w:rPr>
            </w:pPr>
          </w:p>
        </w:tc>
      </w:tr>
      <w:tr w:rsidR="00C72818" w:rsidRPr="00B02BA3" w14:paraId="5EA4BF25" w14:textId="77777777" w:rsidTr="008C57E0">
        <w:tc>
          <w:tcPr>
            <w:tcW w:w="3143" w:type="dxa"/>
            <w:gridSpan w:val="2"/>
            <w:vAlign w:val="bottom"/>
          </w:tcPr>
          <w:p w14:paraId="5F105591" w14:textId="77777777" w:rsidR="00C72818" w:rsidRPr="00B02BA3" w:rsidRDefault="00C72818" w:rsidP="00C72818">
            <w:pPr>
              <w:pStyle w:val="VSmCellBody"/>
              <w:tabs>
                <w:tab w:val="right" w:leader="dot" w:pos="3163"/>
              </w:tabs>
              <w:bidi/>
              <w:rPr>
                <w:szCs w:val="17"/>
              </w:rPr>
            </w:pPr>
            <w:bookmarkStart w:id="16" w:name="_Hlk185358574"/>
            <w:r>
              <w:rPr>
                <w:rFonts w:hint="cs"/>
                <w:szCs w:val="17"/>
                <w:rtl/>
              </w:rPr>
              <w:t>صافي الدين (باستثناء عقود الإيجار)</w:t>
            </w:r>
            <w:r w:rsidRPr="007766C5">
              <w:rPr>
                <w:szCs w:val="17"/>
                <w:vertAlign w:val="superscript"/>
              </w:rPr>
              <w:t>(</w:t>
            </w:r>
            <w:r>
              <w:rPr>
                <w:szCs w:val="17"/>
                <w:vertAlign w:val="superscript"/>
              </w:rPr>
              <w:t>1</w:t>
            </w:r>
            <w:r w:rsidRPr="007766C5">
              <w:rPr>
                <w:szCs w:val="17"/>
                <w:vertAlign w:val="superscript"/>
              </w:rPr>
              <w:t>)(</w:t>
            </w:r>
            <w:r w:rsidR="008070DD">
              <w:rPr>
                <w:szCs w:val="17"/>
                <w:vertAlign w:val="superscript"/>
              </w:rPr>
              <w:t>10</w:t>
            </w:r>
            <w:r w:rsidRPr="007766C5">
              <w:rPr>
                <w:szCs w:val="17"/>
                <w:vertAlign w:val="superscript"/>
              </w:rPr>
              <w:t>)</w:t>
            </w:r>
            <w:r w:rsidRPr="00B02BA3">
              <w:rPr>
                <w:bCs/>
                <w:color w:val="000000"/>
                <w:szCs w:val="17"/>
              </w:rPr>
              <w:tab/>
            </w:r>
          </w:p>
        </w:tc>
        <w:tc>
          <w:tcPr>
            <w:tcW w:w="235" w:type="dxa"/>
            <w:gridSpan w:val="2"/>
            <w:vAlign w:val="bottom"/>
          </w:tcPr>
          <w:p w14:paraId="10AF8780" w14:textId="77777777" w:rsidR="00C72818" w:rsidRPr="00B02BA3" w:rsidRDefault="00C72818" w:rsidP="00C72818">
            <w:pPr>
              <w:pStyle w:val="CellRowSpacer"/>
              <w:bidi/>
              <w:rPr>
                <w:sz w:val="17"/>
              </w:rPr>
            </w:pPr>
          </w:p>
        </w:tc>
        <w:tc>
          <w:tcPr>
            <w:tcW w:w="907" w:type="dxa"/>
            <w:gridSpan w:val="2"/>
          </w:tcPr>
          <w:p w14:paraId="38EDFB96" w14:textId="77777777" w:rsidR="00C72818" w:rsidRPr="00CC0A47" w:rsidDel="00CC0A47" w:rsidRDefault="00C72818" w:rsidP="00C72818">
            <w:pPr>
              <w:pStyle w:val="VSmCellBody"/>
              <w:jc w:val="right"/>
            </w:pPr>
            <w:r>
              <w:t>524.8</w:t>
            </w:r>
          </w:p>
        </w:tc>
        <w:tc>
          <w:tcPr>
            <w:tcW w:w="235" w:type="dxa"/>
            <w:vAlign w:val="bottom"/>
          </w:tcPr>
          <w:p w14:paraId="1CD98B47" w14:textId="77777777" w:rsidR="00C72818" w:rsidRDefault="00C72818" w:rsidP="00C72818">
            <w:pPr>
              <w:pStyle w:val="CellRowSpacer"/>
              <w:rPr>
                <w:sz w:val="17"/>
                <w:szCs w:val="17"/>
              </w:rPr>
            </w:pPr>
          </w:p>
        </w:tc>
        <w:tc>
          <w:tcPr>
            <w:tcW w:w="901" w:type="dxa"/>
          </w:tcPr>
          <w:p w14:paraId="60C0D7D7" w14:textId="77777777" w:rsidR="00C72818" w:rsidRPr="00CC0A47" w:rsidDel="00CC0A47" w:rsidRDefault="00C72818" w:rsidP="00C72818">
            <w:pPr>
              <w:pStyle w:val="VSmCellBody"/>
              <w:tabs>
                <w:tab w:val="center" w:pos="450"/>
                <w:tab w:val="right" w:pos="901"/>
              </w:tabs>
            </w:pPr>
            <w:r>
              <w:tab/>
            </w:r>
            <w:r>
              <w:tab/>
              <w:t>430.8</w:t>
            </w:r>
          </w:p>
        </w:tc>
        <w:tc>
          <w:tcPr>
            <w:tcW w:w="234" w:type="dxa"/>
            <w:vAlign w:val="bottom"/>
          </w:tcPr>
          <w:p w14:paraId="61254405" w14:textId="77777777" w:rsidR="00C72818" w:rsidRDefault="00C72818" w:rsidP="00C72818">
            <w:pPr>
              <w:pStyle w:val="CellRowSpacer"/>
              <w:rPr>
                <w:sz w:val="17"/>
                <w:szCs w:val="17"/>
              </w:rPr>
            </w:pPr>
          </w:p>
        </w:tc>
        <w:tc>
          <w:tcPr>
            <w:tcW w:w="901" w:type="dxa"/>
          </w:tcPr>
          <w:p w14:paraId="6DAF69C0" w14:textId="77777777" w:rsidR="00C72818" w:rsidRPr="00CC0A47" w:rsidDel="00CC0A47" w:rsidRDefault="00C72818" w:rsidP="00C72818">
            <w:pPr>
              <w:pStyle w:val="VSmCellBody"/>
              <w:jc w:val="right"/>
            </w:pPr>
            <w:r>
              <w:t>328.6</w:t>
            </w:r>
          </w:p>
        </w:tc>
        <w:tc>
          <w:tcPr>
            <w:tcW w:w="234" w:type="dxa"/>
            <w:vAlign w:val="bottom"/>
          </w:tcPr>
          <w:p w14:paraId="7D78E734" w14:textId="77777777" w:rsidR="00C72818" w:rsidRDefault="00C72818" w:rsidP="00C72818">
            <w:pPr>
              <w:pStyle w:val="CellRowSpacer"/>
              <w:rPr>
                <w:sz w:val="17"/>
                <w:szCs w:val="17"/>
              </w:rPr>
            </w:pPr>
          </w:p>
        </w:tc>
        <w:tc>
          <w:tcPr>
            <w:tcW w:w="901" w:type="dxa"/>
            <w:vAlign w:val="bottom"/>
          </w:tcPr>
          <w:p w14:paraId="224AAADB" w14:textId="77777777" w:rsidR="00C72818" w:rsidRPr="00CC0A47" w:rsidDel="00CC0A47" w:rsidRDefault="00C72818" w:rsidP="00C72818">
            <w:pPr>
              <w:pStyle w:val="VSmCellBody"/>
              <w:jc w:val="right"/>
            </w:pPr>
            <w:r>
              <w:t>—</w:t>
            </w:r>
          </w:p>
        </w:tc>
        <w:tc>
          <w:tcPr>
            <w:tcW w:w="234" w:type="dxa"/>
            <w:vAlign w:val="bottom"/>
          </w:tcPr>
          <w:p w14:paraId="25895BDE" w14:textId="77777777" w:rsidR="00C72818" w:rsidRDefault="00C72818" w:rsidP="00C72818">
            <w:pPr>
              <w:pStyle w:val="CellRowSpacer"/>
              <w:rPr>
                <w:sz w:val="17"/>
                <w:szCs w:val="17"/>
              </w:rPr>
            </w:pPr>
          </w:p>
        </w:tc>
        <w:tc>
          <w:tcPr>
            <w:tcW w:w="901" w:type="dxa"/>
            <w:vAlign w:val="bottom"/>
          </w:tcPr>
          <w:p w14:paraId="219611FE" w14:textId="77777777" w:rsidR="00C72818" w:rsidRPr="00CC0A47" w:rsidDel="00CC0A47" w:rsidRDefault="00C72818" w:rsidP="00C72818">
            <w:pPr>
              <w:pStyle w:val="VSmCellBody"/>
              <w:jc w:val="right"/>
            </w:pPr>
            <w:r>
              <w:t>322.0</w:t>
            </w:r>
          </w:p>
        </w:tc>
        <w:tc>
          <w:tcPr>
            <w:tcW w:w="234" w:type="dxa"/>
            <w:vAlign w:val="bottom"/>
          </w:tcPr>
          <w:p w14:paraId="153CF58C" w14:textId="77777777" w:rsidR="00C72818" w:rsidRDefault="00C72818" w:rsidP="00C72818">
            <w:pPr>
              <w:pStyle w:val="CellRowSpacer"/>
              <w:rPr>
                <w:sz w:val="17"/>
                <w:szCs w:val="17"/>
              </w:rPr>
            </w:pPr>
          </w:p>
        </w:tc>
      </w:tr>
      <w:bookmarkEnd w:id="16"/>
      <w:tr w:rsidR="00C72818" w:rsidRPr="00B02BA3" w14:paraId="43BD1066" w14:textId="77777777" w:rsidTr="008C57E0">
        <w:trPr>
          <w:gridBefore w:val="1"/>
          <w:wBefore w:w="11" w:type="dxa"/>
        </w:trPr>
        <w:tc>
          <w:tcPr>
            <w:tcW w:w="3138" w:type="dxa"/>
            <w:gridSpan w:val="2"/>
            <w:vAlign w:val="bottom"/>
          </w:tcPr>
          <w:p w14:paraId="7145CCA0" w14:textId="77777777" w:rsidR="00C72818" w:rsidRPr="00B02BA3" w:rsidRDefault="00C72818" w:rsidP="00C72818">
            <w:pPr>
              <w:pStyle w:val="VSmCellBody"/>
              <w:tabs>
                <w:tab w:val="right" w:leader="dot" w:pos="3163"/>
              </w:tabs>
              <w:bidi/>
              <w:rPr>
                <w:szCs w:val="17"/>
              </w:rPr>
            </w:pPr>
            <w:r>
              <w:rPr>
                <w:rFonts w:hint="cs"/>
                <w:szCs w:val="17"/>
                <w:rtl/>
              </w:rPr>
              <w:t>صافي الرافعة المالية</w:t>
            </w:r>
            <w:r w:rsidR="00FC3B46">
              <w:rPr>
                <w:rFonts w:hint="cs"/>
                <w:szCs w:val="17"/>
                <w:rtl/>
              </w:rPr>
              <w:t xml:space="preserve"> (باستثناء عقود الإيجا</w:t>
            </w:r>
            <w:r w:rsidR="00854E4A">
              <w:rPr>
                <w:rFonts w:hint="cs"/>
                <w:szCs w:val="17"/>
                <w:rtl/>
              </w:rPr>
              <w:t>ر)</w:t>
            </w:r>
            <w:r w:rsidR="00FC3B46" w:rsidRPr="007766C5">
              <w:rPr>
                <w:szCs w:val="17"/>
                <w:vertAlign w:val="superscript"/>
              </w:rPr>
              <w:t xml:space="preserve"> </w:t>
            </w:r>
            <w:r w:rsidRPr="007766C5">
              <w:rPr>
                <w:szCs w:val="17"/>
                <w:vertAlign w:val="superscript"/>
              </w:rPr>
              <w:t>(</w:t>
            </w:r>
            <w:r>
              <w:rPr>
                <w:szCs w:val="17"/>
                <w:vertAlign w:val="superscript"/>
              </w:rPr>
              <w:t>1</w:t>
            </w:r>
            <w:r w:rsidRPr="007766C5">
              <w:rPr>
                <w:szCs w:val="17"/>
                <w:vertAlign w:val="superscript"/>
              </w:rPr>
              <w:t>)(</w:t>
            </w:r>
            <w:r w:rsidR="00854E4A">
              <w:rPr>
                <w:szCs w:val="17"/>
                <w:vertAlign w:val="superscript"/>
              </w:rPr>
              <w:t>10</w:t>
            </w:r>
            <w:r w:rsidRPr="007766C5">
              <w:rPr>
                <w:szCs w:val="17"/>
                <w:vertAlign w:val="superscript"/>
              </w:rPr>
              <w:t>)</w:t>
            </w:r>
            <w:r w:rsidR="00FC3B46">
              <w:rPr>
                <w:szCs w:val="17"/>
              </w:rPr>
              <w:t xml:space="preserve"> </w:t>
            </w:r>
            <w:r w:rsidRPr="00B02BA3">
              <w:rPr>
                <w:bCs/>
                <w:color w:val="000000"/>
                <w:szCs w:val="17"/>
              </w:rPr>
              <w:tab/>
            </w:r>
          </w:p>
        </w:tc>
        <w:tc>
          <w:tcPr>
            <w:tcW w:w="235" w:type="dxa"/>
            <w:gridSpan w:val="2"/>
            <w:vAlign w:val="bottom"/>
          </w:tcPr>
          <w:p w14:paraId="1DC7FC54" w14:textId="77777777" w:rsidR="00C72818" w:rsidRPr="00B02BA3" w:rsidRDefault="00C72818" w:rsidP="00C72818">
            <w:pPr>
              <w:pStyle w:val="CellRowSpacer"/>
              <w:rPr>
                <w:sz w:val="17"/>
              </w:rPr>
            </w:pPr>
          </w:p>
        </w:tc>
        <w:tc>
          <w:tcPr>
            <w:tcW w:w="901" w:type="dxa"/>
          </w:tcPr>
          <w:p w14:paraId="1C27F311" w14:textId="77777777" w:rsidR="00C72818" w:rsidRPr="00CC0A47" w:rsidRDefault="00C72818" w:rsidP="00C72818">
            <w:pPr>
              <w:pStyle w:val="VSmCellBody"/>
              <w:jc w:val="right"/>
            </w:pPr>
            <w:r>
              <w:t>5.0x</w:t>
            </w:r>
          </w:p>
        </w:tc>
        <w:tc>
          <w:tcPr>
            <w:tcW w:w="235" w:type="dxa"/>
            <w:vAlign w:val="bottom"/>
          </w:tcPr>
          <w:p w14:paraId="43A490C4" w14:textId="77777777" w:rsidR="00C72818" w:rsidRPr="00CC0A47" w:rsidRDefault="00C72818" w:rsidP="00C72818">
            <w:pPr>
              <w:pStyle w:val="CellRowSpacer"/>
              <w:rPr>
                <w:sz w:val="17"/>
              </w:rPr>
            </w:pPr>
            <w:r>
              <w:rPr>
                <w:sz w:val="17"/>
              </w:rPr>
              <w:t>x</w:t>
            </w:r>
          </w:p>
        </w:tc>
        <w:tc>
          <w:tcPr>
            <w:tcW w:w="901" w:type="dxa"/>
          </w:tcPr>
          <w:p w14:paraId="1B5294E2" w14:textId="77777777" w:rsidR="00C72818" w:rsidRPr="00CC0A47" w:rsidRDefault="00C72818" w:rsidP="00C72818">
            <w:pPr>
              <w:pStyle w:val="VSmCellBody"/>
              <w:jc w:val="right"/>
            </w:pPr>
            <w:r>
              <w:t>2.7</w:t>
            </w:r>
          </w:p>
        </w:tc>
        <w:tc>
          <w:tcPr>
            <w:tcW w:w="234" w:type="dxa"/>
            <w:vAlign w:val="bottom"/>
          </w:tcPr>
          <w:p w14:paraId="4A26683C" w14:textId="77777777" w:rsidR="00C72818" w:rsidRPr="00CC0A47" w:rsidRDefault="00C72818" w:rsidP="00C72818">
            <w:pPr>
              <w:pStyle w:val="CellRowSpacer"/>
              <w:rPr>
                <w:sz w:val="17"/>
              </w:rPr>
            </w:pPr>
            <w:r>
              <w:rPr>
                <w:sz w:val="17"/>
              </w:rPr>
              <w:t>x</w:t>
            </w:r>
          </w:p>
        </w:tc>
        <w:tc>
          <w:tcPr>
            <w:tcW w:w="901" w:type="dxa"/>
          </w:tcPr>
          <w:p w14:paraId="3E79A03C" w14:textId="77777777" w:rsidR="00C72818" w:rsidRPr="00CC0A47" w:rsidRDefault="00C72818" w:rsidP="00C72818">
            <w:pPr>
              <w:pStyle w:val="VSmCellBody"/>
              <w:jc w:val="right"/>
            </w:pPr>
            <w:r>
              <w:t>1.8</w:t>
            </w:r>
          </w:p>
        </w:tc>
        <w:tc>
          <w:tcPr>
            <w:tcW w:w="234" w:type="dxa"/>
            <w:vAlign w:val="bottom"/>
          </w:tcPr>
          <w:p w14:paraId="5B0500DA" w14:textId="77777777" w:rsidR="00C72818" w:rsidRPr="00CC0A47" w:rsidRDefault="00C72818" w:rsidP="00C72818">
            <w:pPr>
              <w:pStyle w:val="CellRowSpacer"/>
              <w:rPr>
                <w:sz w:val="17"/>
              </w:rPr>
            </w:pPr>
          </w:p>
        </w:tc>
        <w:tc>
          <w:tcPr>
            <w:tcW w:w="901" w:type="dxa"/>
            <w:vAlign w:val="bottom"/>
          </w:tcPr>
          <w:p w14:paraId="69FE89FA" w14:textId="77777777" w:rsidR="00C72818" w:rsidRPr="00CC0A47" w:rsidRDefault="00C72818" w:rsidP="00C72818">
            <w:pPr>
              <w:pStyle w:val="VSmCellBody"/>
              <w:jc w:val="right"/>
            </w:pPr>
            <w:r>
              <w:t>—</w:t>
            </w:r>
          </w:p>
        </w:tc>
        <w:tc>
          <w:tcPr>
            <w:tcW w:w="234" w:type="dxa"/>
            <w:vAlign w:val="bottom"/>
          </w:tcPr>
          <w:p w14:paraId="65003367" w14:textId="77777777" w:rsidR="00C72818" w:rsidRPr="00CC0A47" w:rsidRDefault="00C72818" w:rsidP="00C72818">
            <w:pPr>
              <w:pStyle w:val="CellRowSpacer"/>
              <w:rPr>
                <w:sz w:val="17"/>
              </w:rPr>
            </w:pPr>
          </w:p>
        </w:tc>
        <w:tc>
          <w:tcPr>
            <w:tcW w:w="901" w:type="dxa"/>
            <w:vAlign w:val="bottom"/>
          </w:tcPr>
          <w:p w14:paraId="53C0F2B9" w14:textId="77777777" w:rsidR="00C72818" w:rsidRPr="00CC0A47" w:rsidRDefault="00C72818" w:rsidP="00C72818">
            <w:pPr>
              <w:pStyle w:val="VSmCellBody"/>
              <w:jc w:val="right"/>
            </w:pPr>
            <w:r>
              <w:t>1.6x</w:t>
            </w:r>
          </w:p>
        </w:tc>
        <w:tc>
          <w:tcPr>
            <w:tcW w:w="234" w:type="dxa"/>
            <w:vAlign w:val="bottom"/>
          </w:tcPr>
          <w:p w14:paraId="2C2C8A29" w14:textId="77777777" w:rsidR="00C72818" w:rsidRPr="00B02BA3" w:rsidRDefault="00C72818" w:rsidP="00C72818">
            <w:pPr>
              <w:pStyle w:val="CellRowSpacer"/>
              <w:rPr>
                <w:sz w:val="17"/>
              </w:rPr>
            </w:pPr>
          </w:p>
        </w:tc>
      </w:tr>
      <w:tr w:rsidR="00482DB7" w:rsidRPr="00B02BA3" w14:paraId="3C60A6A2" w14:textId="77777777" w:rsidTr="008C57E0">
        <w:trPr>
          <w:gridBefore w:val="1"/>
          <w:wBefore w:w="11" w:type="dxa"/>
        </w:trPr>
        <w:tc>
          <w:tcPr>
            <w:tcW w:w="3138" w:type="dxa"/>
            <w:gridSpan w:val="2"/>
            <w:vAlign w:val="bottom"/>
          </w:tcPr>
          <w:p w14:paraId="472AFA29" w14:textId="77777777" w:rsidR="00482DB7" w:rsidRDefault="00482DB7" w:rsidP="00482DB7">
            <w:pPr>
              <w:pStyle w:val="VSmCellBody"/>
              <w:tabs>
                <w:tab w:val="right" w:leader="dot" w:pos="3163"/>
              </w:tabs>
              <w:bidi/>
              <w:rPr>
                <w:szCs w:val="17"/>
                <w:rtl/>
              </w:rPr>
            </w:pPr>
            <w:r>
              <w:rPr>
                <w:rFonts w:hint="cs"/>
                <w:szCs w:val="17"/>
                <w:rtl/>
              </w:rPr>
              <w:t>صافي الدين (</w:t>
            </w:r>
            <w:r w:rsidR="00E01F67">
              <w:rPr>
                <w:rFonts w:hint="cs"/>
                <w:szCs w:val="17"/>
                <w:rtl/>
                <w:lang w:val="en-US"/>
              </w:rPr>
              <w:t>شامل</w:t>
            </w:r>
            <w:r>
              <w:rPr>
                <w:rFonts w:hint="cs"/>
                <w:szCs w:val="17"/>
                <w:rtl/>
              </w:rPr>
              <w:t xml:space="preserve"> عقود الإيجار)</w:t>
            </w:r>
            <w:r w:rsidR="00E01F67" w:rsidRPr="007766C5">
              <w:rPr>
                <w:szCs w:val="17"/>
                <w:vertAlign w:val="superscript"/>
              </w:rPr>
              <w:t xml:space="preserve"> </w:t>
            </w:r>
            <w:r w:rsidRPr="007766C5">
              <w:rPr>
                <w:szCs w:val="17"/>
                <w:vertAlign w:val="superscript"/>
              </w:rPr>
              <w:t>(</w:t>
            </w:r>
            <w:r>
              <w:rPr>
                <w:szCs w:val="17"/>
                <w:vertAlign w:val="superscript"/>
              </w:rPr>
              <w:t>10</w:t>
            </w:r>
            <w:r w:rsidRPr="007766C5">
              <w:rPr>
                <w:szCs w:val="17"/>
                <w:vertAlign w:val="superscript"/>
              </w:rPr>
              <w:t>)</w:t>
            </w:r>
            <w:r w:rsidRPr="00B02BA3">
              <w:rPr>
                <w:bCs/>
                <w:color w:val="000000"/>
                <w:szCs w:val="17"/>
              </w:rPr>
              <w:tab/>
            </w:r>
          </w:p>
        </w:tc>
        <w:tc>
          <w:tcPr>
            <w:tcW w:w="235" w:type="dxa"/>
            <w:gridSpan w:val="2"/>
            <w:vAlign w:val="bottom"/>
          </w:tcPr>
          <w:p w14:paraId="56CBE051" w14:textId="77777777" w:rsidR="00482DB7" w:rsidRPr="00B02BA3" w:rsidRDefault="00482DB7" w:rsidP="00482DB7">
            <w:pPr>
              <w:pStyle w:val="CellRowSpacer"/>
              <w:rPr>
                <w:sz w:val="17"/>
              </w:rPr>
            </w:pPr>
          </w:p>
        </w:tc>
        <w:tc>
          <w:tcPr>
            <w:tcW w:w="901" w:type="dxa"/>
          </w:tcPr>
          <w:p w14:paraId="66697311" w14:textId="77777777" w:rsidR="00482DB7" w:rsidRDefault="00E01F67" w:rsidP="00482DB7">
            <w:pPr>
              <w:pStyle w:val="VSmCellBody"/>
              <w:jc w:val="right"/>
            </w:pPr>
            <w:r>
              <w:t>566.9</w:t>
            </w:r>
          </w:p>
        </w:tc>
        <w:tc>
          <w:tcPr>
            <w:tcW w:w="235" w:type="dxa"/>
            <w:vAlign w:val="bottom"/>
          </w:tcPr>
          <w:p w14:paraId="767045BD" w14:textId="77777777" w:rsidR="00482DB7" w:rsidRDefault="00482DB7" w:rsidP="00482DB7">
            <w:pPr>
              <w:pStyle w:val="CellRowSpacer"/>
              <w:rPr>
                <w:sz w:val="17"/>
              </w:rPr>
            </w:pPr>
          </w:p>
        </w:tc>
        <w:tc>
          <w:tcPr>
            <w:tcW w:w="901" w:type="dxa"/>
          </w:tcPr>
          <w:p w14:paraId="4C305972" w14:textId="77777777" w:rsidR="00482DB7" w:rsidRDefault="00E01F67" w:rsidP="00482DB7">
            <w:pPr>
              <w:pStyle w:val="VSmCellBody"/>
              <w:jc w:val="right"/>
            </w:pPr>
            <w:r>
              <w:t>521.9</w:t>
            </w:r>
          </w:p>
        </w:tc>
        <w:tc>
          <w:tcPr>
            <w:tcW w:w="234" w:type="dxa"/>
            <w:vAlign w:val="bottom"/>
          </w:tcPr>
          <w:p w14:paraId="75E458EE" w14:textId="77777777" w:rsidR="00482DB7" w:rsidRDefault="00482DB7" w:rsidP="00482DB7">
            <w:pPr>
              <w:pStyle w:val="CellRowSpacer"/>
              <w:rPr>
                <w:sz w:val="17"/>
              </w:rPr>
            </w:pPr>
          </w:p>
        </w:tc>
        <w:tc>
          <w:tcPr>
            <w:tcW w:w="901" w:type="dxa"/>
          </w:tcPr>
          <w:p w14:paraId="54349F97" w14:textId="77777777" w:rsidR="00482DB7" w:rsidRDefault="00E01F67" w:rsidP="00482DB7">
            <w:pPr>
              <w:pStyle w:val="VSmCellBody"/>
              <w:jc w:val="right"/>
            </w:pPr>
            <w:r>
              <w:t>489.1</w:t>
            </w:r>
          </w:p>
        </w:tc>
        <w:tc>
          <w:tcPr>
            <w:tcW w:w="234" w:type="dxa"/>
            <w:vAlign w:val="bottom"/>
          </w:tcPr>
          <w:p w14:paraId="01DB4AE3" w14:textId="77777777" w:rsidR="00482DB7" w:rsidRPr="00CC0A47" w:rsidRDefault="00482DB7" w:rsidP="00482DB7">
            <w:pPr>
              <w:pStyle w:val="CellRowSpacer"/>
              <w:rPr>
                <w:sz w:val="17"/>
              </w:rPr>
            </w:pPr>
          </w:p>
        </w:tc>
        <w:tc>
          <w:tcPr>
            <w:tcW w:w="901" w:type="dxa"/>
            <w:vAlign w:val="bottom"/>
          </w:tcPr>
          <w:p w14:paraId="54D49093" w14:textId="77777777" w:rsidR="00482DB7" w:rsidRDefault="00E01F67" w:rsidP="00482DB7">
            <w:pPr>
              <w:pStyle w:val="VSmCellBody"/>
              <w:jc w:val="right"/>
            </w:pPr>
            <w:r>
              <w:t>—</w:t>
            </w:r>
          </w:p>
        </w:tc>
        <w:tc>
          <w:tcPr>
            <w:tcW w:w="234" w:type="dxa"/>
            <w:vAlign w:val="bottom"/>
          </w:tcPr>
          <w:p w14:paraId="79BB3463" w14:textId="77777777" w:rsidR="00482DB7" w:rsidRPr="00CC0A47" w:rsidRDefault="00482DB7" w:rsidP="00482DB7">
            <w:pPr>
              <w:pStyle w:val="CellRowSpacer"/>
              <w:rPr>
                <w:sz w:val="17"/>
              </w:rPr>
            </w:pPr>
          </w:p>
        </w:tc>
        <w:tc>
          <w:tcPr>
            <w:tcW w:w="901" w:type="dxa"/>
            <w:vAlign w:val="bottom"/>
          </w:tcPr>
          <w:p w14:paraId="1DD5BAC5" w14:textId="77777777" w:rsidR="00482DB7" w:rsidRDefault="001F042C" w:rsidP="00482DB7">
            <w:pPr>
              <w:pStyle w:val="VSmCellBody"/>
              <w:jc w:val="right"/>
            </w:pPr>
            <w:r>
              <w:t>473.0</w:t>
            </w:r>
          </w:p>
        </w:tc>
        <w:tc>
          <w:tcPr>
            <w:tcW w:w="234" w:type="dxa"/>
            <w:vAlign w:val="bottom"/>
          </w:tcPr>
          <w:p w14:paraId="2B6AD456" w14:textId="77777777" w:rsidR="00482DB7" w:rsidRPr="00B02BA3" w:rsidRDefault="00482DB7" w:rsidP="00482DB7">
            <w:pPr>
              <w:pStyle w:val="CellRowSpacer"/>
              <w:rPr>
                <w:sz w:val="17"/>
              </w:rPr>
            </w:pPr>
          </w:p>
        </w:tc>
      </w:tr>
      <w:tr w:rsidR="00482DB7" w:rsidRPr="00B02BA3" w14:paraId="12817B64" w14:textId="77777777" w:rsidTr="008C57E0">
        <w:trPr>
          <w:gridBefore w:val="1"/>
          <w:wBefore w:w="11" w:type="dxa"/>
        </w:trPr>
        <w:tc>
          <w:tcPr>
            <w:tcW w:w="3138" w:type="dxa"/>
            <w:gridSpan w:val="2"/>
            <w:vAlign w:val="bottom"/>
          </w:tcPr>
          <w:p w14:paraId="62E561F3" w14:textId="77777777" w:rsidR="00482DB7" w:rsidRDefault="00482DB7" w:rsidP="00482DB7">
            <w:pPr>
              <w:pStyle w:val="VSmCellBody"/>
              <w:tabs>
                <w:tab w:val="right" w:leader="dot" w:pos="3163"/>
              </w:tabs>
              <w:bidi/>
              <w:rPr>
                <w:szCs w:val="17"/>
                <w:rtl/>
              </w:rPr>
            </w:pPr>
            <w:r>
              <w:rPr>
                <w:rFonts w:hint="cs"/>
                <w:szCs w:val="17"/>
                <w:rtl/>
              </w:rPr>
              <w:t>صافي الرافعة المالية (</w:t>
            </w:r>
            <w:r w:rsidR="00E01F67">
              <w:rPr>
                <w:rFonts w:hint="cs"/>
                <w:szCs w:val="17"/>
                <w:rtl/>
              </w:rPr>
              <w:t>شامل</w:t>
            </w:r>
            <w:r>
              <w:rPr>
                <w:rFonts w:hint="cs"/>
                <w:szCs w:val="17"/>
                <w:rtl/>
              </w:rPr>
              <w:t xml:space="preserve"> عقود الإيجار)</w:t>
            </w:r>
            <w:r w:rsidRPr="007766C5">
              <w:rPr>
                <w:szCs w:val="17"/>
                <w:vertAlign w:val="superscript"/>
              </w:rPr>
              <w:t xml:space="preserve"> (</w:t>
            </w:r>
            <w:r>
              <w:rPr>
                <w:szCs w:val="17"/>
                <w:vertAlign w:val="superscript"/>
              </w:rPr>
              <w:t>10</w:t>
            </w:r>
            <w:r w:rsidRPr="007766C5">
              <w:rPr>
                <w:szCs w:val="17"/>
                <w:vertAlign w:val="superscript"/>
              </w:rPr>
              <w:t>)</w:t>
            </w:r>
            <w:r>
              <w:rPr>
                <w:szCs w:val="17"/>
              </w:rPr>
              <w:t xml:space="preserve"> </w:t>
            </w:r>
            <w:r w:rsidRPr="00B02BA3">
              <w:rPr>
                <w:bCs/>
                <w:color w:val="000000"/>
                <w:szCs w:val="17"/>
              </w:rPr>
              <w:tab/>
            </w:r>
          </w:p>
        </w:tc>
        <w:tc>
          <w:tcPr>
            <w:tcW w:w="235" w:type="dxa"/>
            <w:gridSpan w:val="2"/>
            <w:vAlign w:val="bottom"/>
          </w:tcPr>
          <w:p w14:paraId="14EBA3F6" w14:textId="77777777" w:rsidR="00482DB7" w:rsidRPr="00B02BA3" w:rsidRDefault="00482DB7" w:rsidP="00482DB7">
            <w:pPr>
              <w:pStyle w:val="CellRowSpacer"/>
              <w:rPr>
                <w:sz w:val="17"/>
              </w:rPr>
            </w:pPr>
          </w:p>
        </w:tc>
        <w:tc>
          <w:tcPr>
            <w:tcW w:w="901" w:type="dxa"/>
          </w:tcPr>
          <w:p w14:paraId="2EFDD16F" w14:textId="77777777" w:rsidR="00482DB7" w:rsidRDefault="001F042C" w:rsidP="00482DB7">
            <w:pPr>
              <w:pStyle w:val="VSmCellBody"/>
              <w:jc w:val="right"/>
            </w:pPr>
            <w:r>
              <w:t>5.4x</w:t>
            </w:r>
          </w:p>
        </w:tc>
        <w:tc>
          <w:tcPr>
            <w:tcW w:w="235" w:type="dxa"/>
            <w:vAlign w:val="bottom"/>
          </w:tcPr>
          <w:p w14:paraId="5A586A96" w14:textId="77777777" w:rsidR="00482DB7" w:rsidRDefault="00482DB7" w:rsidP="00482DB7">
            <w:pPr>
              <w:pStyle w:val="CellRowSpacer"/>
              <w:rPr>
                <w:sz w:val="17"/>
              </w:rPr>
            </w:pPr>
          </w:p>
        </w:tc>
        <w:tc>
          <w:tcPr>
            <w:tcW w:w="901" w:type="dxa"/>
          </w:tcPr>
          <w:p w14:paraId="0CFDDF7A" w14:textId="77777777" w:rsidR="00482DB7" w:rsidRDefault="001F042C" w:rsidP="00482DB7">
            <w:pPr>
              <w:pStyle w:val="VSmCellBody"/>
              <w:jc w:val="right"/>
            </w:pPr>
            <w:r>
              <w:t>3.3x</w:t>
            </w:r>
          </w:p>
        </w:tc>
        <w:tc>
          <w:tcPr>
            <w:tcW w:w="234" w:type="dxa"/>
            <w:vAlign w:val="bottom"/>
          </w:tcPr>
          <w:p w14:paraId="0272FCC7" w14:textId="77777777" w:rsidR="00482DB7" w:rsidRDefault="00482DB7" w:rsidP="00482DB7">
            <w:pPr>
              <w:pStyle w:val="CellRowSpacer"/>
              <w:rPr>
                <w:sz w:val="17"/>
              </w:rPr>
            </w:pPr>
          </w:p>
        </w:tc>
        <w:tc>
          <w:tcPr>
            <w:tcW w:w="901" w:type="dxa"/>
          </w:tcPr>
          <w:p w14:paraId="10580D47" w14:textId="77777777" w:rsidR="00482DB7" w:rsidRDefault="001F042C" w:rsidP="00482DB7">
            <w:pPr>
              <w:pStyle w:val="VSmCellBody"/>
              <w:jc w:val="right"/>
            </w:pPr>
            <w:r>
              <w:t>2.7x</w:t>
            </w:r>
          </w:p>
        </w:tc>
        <w:tc>
          <w:tcPr>
            <w:tcW w:w="234" w:type="dxa"/>
            <w:vAlign w:val="bottom"/>
          </w:tcPr>
          <w:p w14:paraId="1D020C01" w14:textId="77777777" w:rsidR="00482DB7" w:rsidRPr="00CC0A47" w:rsidRDefault="00482DB7" w:rsidP="00482DB7">
            <w:pPr>
              <w:pStyle w:val="CellRowSpacer"/>
              <w:rPr>
                <w:sz w:val="17"/>
              </w:rPr>
            </w:pPr>
          </w:p>
        </w:tc>
        <w:tc>
          <w:tcPr>
            <w:tcW w:w="901" w:type="dxa"/>
            <w:vAlign w:val="bottom"/>
          </w:tcPr>
          <w:p w14:paraId="7293371C" w14:textId="77777777" w:rsidR="00482DB7" w:rsidRDefault="001F042C" w:rsidP="00482DB7">
            <w:pPr>
              <w:pStyle w:val="VSmCellBody"/>
              <w:jc w:val="right"/>
            </w:pPr>
            <w:r>
              <w:t>—</w:t>
            </w:r>
          </w:p>
        </w:tc>
        <w:tc>
          <w:tcPr>
            <w:tcW w:w="234" w:type="dxa"/>
            <w:vAlign w:val="bottom"/>
          </w:tcPr>
          <w:p w14:paraId="14B62895" w14:textId="77777777" w:rsidR="00482DB7" w:rsidRPr="00CC0A47" w:rsidRDefault="00482DB7" w:rsidP="00482DB7">
            <w:pPr>
              <w:pStyle w:val="CellRowSpacer"/>
              <w:rPr>
                <w:sz w:val="17"/>
              </w:rPr>
            </w:pPr>
          </w:p>
        </w:tc>
        <w:tc>
          <w:tcPr>
            <w:tcW w:w="901" w:type="dxa"/>
            <w:vAlign w:val="bottom"/>
          </w:tcPr>
          <w:p w14:paraId="2B3F95E6" w14:textId="77777777" w:rsidR="00482DB7" w:rsidRDefault="001F042C" w:rsidP="00482DB7">
            <w:pPr>
              <w:pStyle w:val="VSmCellBody"/>
              <w:jc w:val="right"/>
            </w:pPr>
            <w:r>
              <w:t>2.3x</w:t>
            </w:r>
          </w:p>
        </w:tc>
        <w:tc>
          <w:tcPr>
            <w:tcW w:w="234" w:type="dxa"/>
            <w:vAlign w:val="bottom"/>
          </w:tcPr>
          <w:p w14:paraId="4166741E" w14:textId="77777777" w:rsidR="00482DB7" w:rsidRPr="00B02BA3" w:rsidRDefault="00482DB7" w:rsidP="00482DB7">
            <w:pPr>
              <w:pStyle w:val="CellRowSpacer"/>
              <w:rPr>
                <w:sz w:val="17"/>
              </w:rPr>
            </w:pPr>
          </w:p>
        </w:tc>
      </w:tr>
    </w:tbl>
    <w:p w14:paraId="4ACE1E5D" w14:textId="47A8B099" w:rsidR="008C2BF6" w:rsidRDefault="005B24D1" w:rsidP="008C2BF6">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_________</w:t>
      </w:r>
    </w:p>
    <w:p w14:paraId="77A6943C" w14:textId="606FA62E" w:rsidR="00D568A2" w:rsidRPr="00826D63" w:rsidRDefault="005B24D1" w:rsidP="00D568A2">
      <w:pPr>
        <w:autoSpaceDE w:val="0"/>
        <w:autoSpaceDN w:val="0"/>
        <w:bidi/>
        <w:adjustRightInd w:val="0"/>
        <w:jc w:val="both"/>
        <w:rPr>
          <w:rFonts w:ascii="Traditional Arabic" w:hAnsi="Traditional Arabic" w:cs="Traditional Arabic"/>
          <w:sz w:val="24"/>
          <w:lang w:bidi="ar-EG"/>
        </w:rPr>
      </w:pPr>
      <w:r>
        <w:rPr>
          <w:rFonts w:ascii="Traditional Arabic" w:hAnsi="Traditional Arabic" w:cs="Traditional Arabic" w:hint="cs"/>
          <w:sz w:val="24"/>
          <w:rtl/>
          <w:lang w:bidi="ar-EG"/>
        </w:rPr>
        <w:t>م</w:t>
      </w:r>
      <w:r w:rsidR="00D568A2" w:rsidRPr="00826D63">
        <w:rPr>
          <w:rFonts w:ascii="Traditional Arabic" w:hAnsi="Traditional Arabic" w:cs="Traditional Arabic"/>
          <w:sz w:val="24"/>
          <w:rtl/>
          <w:lang w:bidi="ar-EG"/>
        </w:rPr>
        <w:t>لاحظات:</w:t>
      </w:r>
    </w:p>
    <w:p w14:paraId="4C91AFA4" w14:textId="77777777" w:rsidR="00D568A2" w:rsidRPr="00826D63" w:rsidRDefault="00D568A2" w:rsidP="00826D63">
      <w:pPr>
        <w:autoSpaceDE w:val="0"/>
        <w:autoSpaceDN w:val="0"/>
        <w:bidi/>
        <w:adjustRightInd w:val="0"/>
        <w:ind w:left="429" w:hanging="429"/>
        <w:jc w:val="both"/>
        <w:rPr>
          <w:rFonts w:ascii="Traditional Arabic" w:hAnsi="Traditional Arabic" w:cs="Traditional Arabic"/>
          <w:sz w:val="24"/>
          <w:lang w:bidi="ar-EG"/>
        </w:rPr>
      </w:pPr>
      <w:r w:rsidRPr="00826D63">
        <w:rPr>
          <w:rFonts w:ascii="Traditional Arabic" w:hAnsi="Traditional Arabic" w:cs="Traditional Arabic"/>
          <w:sz w:val="24"/>
          <w:rtl/>
          <w:lang w:bidi="ar-EG"/>
        </w:rPr>
        <w:lastRenderedPageBreak/>
        <w:t>(1)</w:t>
      </w:r>
      <w:r w:rsidRPr="00826D63">
        <w:rPr>
          <w:rFonts w:ascii="Traditional Arabic" w:hAnsi="Traditional Arabic" w:cs="Traditional Arabic"/>
          <w:sz w:val="24"/>
          <w:rtl/>
          <w:lang w:bidi="ar-EG"/>
        </w:rPr>
        <w:tab/>
        <w:t xml:space="preserve">لمزيد من المعلومات عن تعريفات جميع المعلومات غير متصلة بالمعايير الدولية لإعداد التقارير المالية والبيانات التشغيلية الأخرى المستخدمة، يرجى الاطلاع على "عرض البيانات المالية وبيانات القطاع والسوق - معلومات غير متصلة بالمعايير الدولية لإعداد التقارير المالية وبعض البيانات المالية والتشغيلية الأخرى ". </w:t>
      </w:r>
    </w:p>
    <w:p w14:paraId="0C0C0B83" w14:textId="77777777" w:rsidR="00D568A2" w:rsidRPr="00826D63" w:rsidRDefault="00D568A2" w:rsidP="00826D63">
      <w:pPr>
        <w:autoSpaceDE w:val="0"/>
        <w:autoSpaceDN w:val="0"/>
        <w:bidi/>
        <w:adjustRightInd w:val="0"/>
        <w:ind w:left="429" w:hanging="429"/>
        <w:jc w:val="both"/>
        <w:rPr>
          <w:rFonts w:ascii="Traditional Arabic" w:hAnsi="Traditional Arabic" w:cs="Traditional Arabic"/>
          <w:sz w:val="24"/>
          <w:rtl/>
          <w:lang w:bidi="ar-EG"/>
        </w:rPr>
      </w:pPr>
      <w:r w:rsidRPr="00826D63">
        <w:rPr>
          <w:rFonts w:ascii="Traditional Arabic" w:hAnsi="Traditional Arabic" w:cs="Traditional Arabic"/>
          <w:sz w:val="24"/>
          <w:rtl/>
          <w:lang w:bidi="ar-EG"/>
        </w:rPr>
        <w:t>(2)</w:t>
      </w:r>
      <w:r w:rsidRPr="00826D63">
        <w:rPr>
          <w:rFonts w:ascii="Traditional Arabic" w:hAnsi="Traditional Arabic" w:cs="Traditional Arabic"/>
          <w:sz w:val="24"/>
          <w:rtl/>
          <w:lang w:bidi="ar-EG"/>
        </w:rPr>
        <w:tab/>
        <w:t xml:space="preserve">يوضح الجدول التالي تسوية إيرادات مكافئ تأجير السفن المجهزة بالمدة والأرباح قبل حساب الفائدة والضريبة والإهلاك والإطفاء، وهامش الأرباح قبل حساب الفائدة والضريبة والإهلاك والإطفاء، والأرباح المعدلة قبل حساب الفائدة والضريبة والإهلاك والإطفاء، وهامش الأرباح المعدلة قبل حساب الفائدة والضريبة والإهلاك والإطفاء </w:t>
      </w:r>
      <w:r w:rsidR="00E3532E" w:rsidRPr="00826D63">
        <w:rPr>
          <w:rFonts w:ascii="Traditional Arabic" w:hAnsi="Traditional Arabic" w:cs="Traditional Arabic" w:hint="eastAsia"/>
          <w:sz w:val="24"/>
          <w:rtl/>
        </w:rPr>
        <w:t>للإيرادات</w:t>
      </w:r>
      <w:r w:rsidR="00E3532E" w:rsidRPr="00826D63">
        <w:rPr>
          <w:rFonts w:ascii="Traditional Arabic" w:hAnsi="Traditional Arabic" w:cs="Traditional Arabic"/>
          <w:sz w:val="24"/>
          <w:rtl/>
          <w:lang w:bidi="ar-EG"/>
        </w:rPr>
        <w:t xml:space="preserve"> </w:t>
      </w:r>
      <w:r w:rsidRPr="00826D63">
        <w:rPr>
          <w:rFonts w:ascii="Traditional Arabic" w:hAnsi="Traditional Arabic" w:cs="Traditional Arabic"/>
          <w:sz w:val="24"/>
          <w:rtl/>
          <w:lang w:bidi="ar-EG"/>
        </w:rPr>
        <w:t>والأرباح الإجمالية للفترات المشار إليها:</w:t>
      </w:r>
    </w:p>
    <w:p w14:paraId="45224767" w14:textId="77777777" w:rsidR="00176DE5" w:rsidRDefault="00176DE5" w:rsidP="00176DE5">
      <w:pPr>
        <w:autoSpaceDE w:val="0"/>
        <w:autoSpaceDN w:val="0"/>
        <w:bidi/>
        <w:adjustRightInd w:val="0"/>
        <w:jc w:val="both"/>
        <w:rPr>
          <w:rFonts w:ascii="Traditional Arabic" w:hAnsi="Traditional Arabic" w:cs="Traditional Arabic"/>
          <w:sz w:val="30"/>
          <w:szCs w:val="30"/>
          <w:rtl/>
          <w:lang w:bidi="ar-EG"/>
        </w:rPr>
      </w:pPr>
    </w:p>
    <w:p w14:paraId="4F1A17B4" w14:textId="77777777" w:rsidR="00176DE5" w:rsidRDefault="00176DE5" w:rsidP="00176DE5">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A07D6C" w:rsidRPr="00E834EF" w14:paraId="13254749" w14:textId="77777777" w:rsidTr="00D925C8">
        <w:trPr>
          <w:tblHeader/>
        </w:trPr>
        <w:tc>
          <w:tcPr>
            <w:tcW w:w="3254" w:type="dxa"/>
          </w:tcPr>
          <w:p w14:paraId="370C33B3" w14:textId="77777777" w:rsidR="00A07D6C" w:rsidRPr="00E834EF" w:rsidRDefault="00A07D6C" w:rsidP="00A07D6C">
            <w:pPr>
              <w:keepNext/>
              <w:bidi/>
              <w:spacing w:before="40" w:after="120"/>
              <w:rPr>
                <w:b/>
                <w:sz w:val="17"/>
                <w:szCs w:val="17"/>
              </w:rPr>
            </w:pPr>
          </w:p>
        </w:tc>
        <w:tc>
          <w:tcPr>
            <w:tcW w:w="242" w:type="dxa"/>
          </w:tcPr>
          <w:p w14:paraId="6A2835AA" w14:textId="77777777" w:rsidR="00A07D6C" w:rsidRPr="00E834EF" w:rsidRDefault="00A07D6C" w:rsidP="00922116">
            <w:pPr>
              <w:spacing w:before="40" w:after="40"/>
              <w:rPr>
                <w:sz w:val="17"/>
                <w:szCs w:val="17"/>
              </w:rPr>
            </w:pPr>
          </w:p>
        </w:tc>
        <w:tc>
          <w:tcPr>
            <w:tcW w:w="3255" w:type="dxa"/>
            <w:gridSpan w:val="6"/>
          </w:tcPr>
          <w:p w14:paraId="239F9A38" w14:textId="77777777" w:rsidR="00A07D6C" w:rsidRPr="00E834EF" w:rsidRDefault="00A07D6C" w:rsidP="00922116">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3CEC198E" w14:textId="77777777" w:rsidR="00A07D6C" w:rsidRPr="00E834EF" w:rsidRDefault="00A07D6C" w:rsidP="00922116">
            <w:pPr>
              <w:spacing w:before="40" w:after="40"/>
              <w:rPr>
                <w:sz w:val="17"/>
                <w:szCs w:val="17"/>
              </w:rPr>
            </w:pPr>
          </w:p>
        </w:tc>
        <w:tc>
          <w:tcPr>
            <w:tcW w:w="2090" w:type="dxa"/>
            <w:gridSpan w:val="3"/>
          </w:tcPr>
          <w:p w14:paraId="489D33CD" w14:textId="77777777" w:rsidR="00A07D6C" w:rsidRPr="00E834EF" w:rsidRDefault="00A07D6C" w:rsidP="00922116">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51D929CC" w14:textId="77777777" w:rsidR="00A07D6C" w:rsidRPr="00E834EF" w:rsidRDefault="00A07D6C" w:rsidP="00922116">
            <w:pPr>
              <w:keepNext/>
              <w:spacing w:before="40" w:after="120"/>
              <w:jc w:val="center"/>
              <w:rPr>
                <w:b/>
                <w:sz w:val="17"/>
                <w:szCs w:val="17"/>
              </w:rPr>
            </w:pPr>
          </w:p>
        </w:tc>
      </w:tr>
      <w:tr w:rsidR="00A07D6C" w:rsidRPr="00E834EF" w14:paraId="61E35058" w14:textId="77777777" w:rsidTr="00D925C8">
        <w:trPr>
          <w:tblHeader/>
        </w:trPr>
        <w:tc>
          <w:tcPr>
            <w:tcW w:w="3254" w:type="dxa"/>
          </w:tcPr>
          <w:p w14:paraId="182C7CA3" w14:textId="77777777" w:rsidR="00A07D6C" w:rsidRPr="00E834EF" w:rsidRDefault="00A07D6C" w:rsidP="00A07D6C">
            <w:pPr>
              <w:keepNext/>
              <w:bidi/>
              <w:spacing w:before="40" w:after="120"/>
              <w:rPr>
                <w:b/>
                <w:sz w:val="17"/>
                <w:szCs w:val="17"/>
              </w:rPr>
            </w:pPr>
          </w:p>
        </w:tc>
        <w:tc>
          <w:tcPr>
            <w:tcW w:w="242" w:type="dxa"/>
          </w:tcPr>
          <w:p w14:paraId="7DB626C5" w14:textId="77777777" w:rsidR="00A07D6C" w:rsidRPr="00E834EF" w:rsidRDefault="00A07D6C" w:rsidP="00922116">
            <w:pPr>
              <w:spacing w:before="40" w:after="40"/>
              <w:rPr>
                <w:sz w:val="17"/>
                <w:szCs w:val="17"/>
              </w:rPr>
            </w:pPr>
          </w:p>
        </w:tc>
        <w:tc>
          <w:tcPr>
            <w:tcW w:w="923" w:type="dxa"/>
            <w:gridSpan w:val="2"/>
          </w:tcPr>
          <w:p w14:paraId="4FFA3E30" w14:textId="77777777" w:rsidR="00A07D6C" w:rsidRPr="00E834EF" w:rsidRDefault="00A07D6C" w:rsidP="00922116">
            <w:pPr>
              <w:keepNext/>
              <w:spacing w:before="40" w:after="120"/>
              <w:jc w:val="right"/>
              <w:rPr>
                <w:b/>
                <w:sz w:val="17"/>
                <w:szCs w:val="17"/>
              </w:rPr>
            </w:pPr>
            <w:r w:rsidRPr="00E834EF">
              <w:rPr>
                <w:b/>
                <w:sz w:val="17"/>
                <w:szCs w:val="17"/>
              </w:rPr>
              <w:t>2021</w:t>
            </w:r>
          </w:p>
        </w:tc>
        <w:tc>
          <w:tcPr>
            <w:tcW w:w="242" w:type="dxa"/>
          </w:tcPr>
          <w:p w14:paraId="4E30A38F" w14:textId="77777777" w:rsidR="00A07D6C" w:rsidRPr="00E834EF" w:rsidRDefault="00A07D6C" w:rsidP="00922116">
            <w:pPr>
              <w:spacing w:before="40" w:after="40"/>
              <w:rPr>
                <w:sz w:val="17"/>
                <w:szCs w:val="17"/>
              </w:rPr>
            </w:pPr>
          </w:p>
        </w:tc>
        <w:tc>
          <w:tcPr>
            <w:tcW w:w="924" w:type="dxa"/>
          </w:tcPr>
          <w:p w14:paraId="3AFF82E9" w14:textId="77777777" w:rsidR="00A07D6C" w:rsidRPr="00E834EF" w:rsidRDefault="00A07D6C" w:rsidP="00922116">
            <w:pPr>
              <w:keepNext/>
              <w:spacing w:before="40" w:after="120"/>
              <w:jc w:val="right"/>
              <w:rPr>
                <w:b/>
                <w:sz w:val="17"/>
                <w:szCs w:val="17"/>
              </w:rPr>
            </w:pPr>
            <w:r w:rsidRPr="00E834EF">
              <w:rPr>
                <w:b/>
                <w:sz w:val="17"/>
                <w:szCs w:val="17"/>
              </w:rPr>
              <w:t>2022</w:t>
            </w:r>
          </w:p>
        </w:tc>
        <w:tc>
          <w:tcPr>
            <w:tcW w:w="242" w:type="dxa"/>
          </w:tcPr>
          <w:p w14:paraId="774DF5F0" w14:textId="77777777" w:rsidR="00A07D6C" w:rsidRPr="00E834EF" w:rsidRDefault="00A07D6C" w:rsidP="00922116">
            <w:pPr>
              <w:spacing w:before="40" w:after="40"/>
              <w:rPr>
                <w:sz w:val="17"/>
                <w:szCs w:val="17"/>
              </w:rPr>
            </w:pPr>
          </w:p>
        </w:tc>
        <w:tc>
          <w:tcPr>
            <w:tcW w:w="924" w:type="dxa"/>
          </w:tcPr>
          <w:p w14:paraId="04E0FB77" w14:textId="77777777" w:rsidR="00A07D6C" w:rsidRPr="00E834EF" w:rsidRDefault="00A07D6C" w:rsidP="00922116">
            <w:pPr>
              <w:keepNext/>
              <w:spacing w:before="40" w:after="120"/>
              <w:jc w:val="right"/>
              <w:rPr>
                <w:b/>
                <w:sz w:val="17"/>
                <w:szCs w:val="17"/>
              </w:rPr>
            </w:pPr>
            <w:r w:rsidRPr="00E834EF">
              <w:rPr>
                <w:b/>
                <w:sz w:val="17"/>
                <w:szCs w:val="17"/>
              </w:rPr>
              <w:t>2023</w:t>
            </w:r>
          </w:p>
        </w:tc>
        <w:tc>
          <w:tcPr>
            <w:tcW w:w="242" w:type="dxa"/>
          </w:tcPr>
          <w:p w14:paraId="461BC0B3" w14:textId="77777777" w:rsidR="00A07D6C" w:rsidRPr="00E834EF" w:rsidRDefault="00A07D6C" w:rsidP="00922116">
            <w:pPr>
              <w:spacing w:before="40" w:after="40"/>
              <w:rPr>
                <w:sz w:val="17"/>
                <w:szCs w:val="17"/>
              </w:rPr>
            </w:pPr>
          </w:p>
        </w:tc>
        <w:tc>
          <w:tcPr>
            <w:tcW w:w="924" w:type="dxa"/>
          </w:tcPr>
          <w:p w14:paraId="31BC5CE8" w14:textId="77777777" w:rsidR="00A07D6C" w:rsidRPr="00E834EF" w:rsidRDefault="00A07D6C" w:rsidP="00922116">
            <w:pPr>
              <w:keepNext/>
              <w:spacing w:before="40" w:after="120"/>
              <w:jc w:val="right"/>
              <w:rPr>
                <w:b/>
                <w:sz w:val="17"/>
                <w:szCs w:val="17"/>
              </w:rPr>
            </w:pPr>
            <w:r w:rsidRPr="00E834EF">
              <w:rPr>
                <w:b/>
                <w:sz w:val="17"/>
                <w:szCs w:val="17"/>
              </w:rPr>
              <w:t>2023</w:t>
            </w:r>
          </w:p>
        </w:tc>
        <w:tc>
          <w:tcPr>
            <w:tcW w:w="227" w:type="dxa"/>
          </w:tcPr>
          <w:p w14:paraId="22450DDE" w14:textId="77777777" w:rsidR="00A07D6C" w:rsidRPr="00E834EF" w:rsidRDefault="00A07D6C" w:rsidP="00922116">
            <w:pPr>
              <w:spacing w:before="40" w:after="40"/>
              <w:rPr>
                <w:sz w:val="17"/>
                <w:szCs w:val="17"/>
              </w:rPr>
            </w:pPr>
          </w:p>
        </w:tc>
        <w:tc>
          <w:tcPr>
            <w:tcW w:w="939" w:type="dxa"/>
          </w:tcPr>
          <w:p w14:paraId="4E31D277" w14:textId="77777777" w:rsidR="00A07D6C" w:rsidRPr="00E834EF" w:rsidRDefault="00A07D6C" w:rsidP="00922116">
            <w:pPr>
              <w:keepNext/>
              <w:spacing w:before="40" w:after="120"/>
              <w:jc w:val="right"/>
              <w:rPr>
                <w:b/>
                <w:sz w:val="17"/>
                <w:szCs w:val="17"/>
              </w:rPr>
            </w:pPr>
            <w:r w:rsidRPr="00E834EF">
              <w:rPr>
                <w:b/>
                <w:sz w:val="17"/>
                <w:szCs w:val="17"/>
              </w:rPr>
              <w:t>2024</w:t>
            </w:r>
          </w:p>
        </w:tc>
        <w:tc>
          <w:tcPr>
            <w:tcW w:w="266" w:type="dxa"/>
          </w:tcPr>
          <w:p w14:paraId="686410BF" w14:textId="77777777" w:rsidR="00A07D6C" w:rsidRPr="00E834EF" w:rsidRDefault="00A07D6C" w:rsidP="00922116">
            <w:pPr>
              <w:keepNext/>
              <w:spacing w:before="40" w:after="120"/>
              <w:jc w:val="right"/>
              <w:rPr>
                <w:b/>
                <w:sz w:val="17"/>
                <w:szCs w:val="17"/>
              </w:rPr>
            </w:pPr>
          </w:p>
        </w:tc>
      </w:tr>
      <w:tr w:rsidR="00A07D6C" w:rsidRPr="00E834EF" w14:paraId="43EC2BD0" w14:textId="77777777" w:rsidTr="00D925C8">
        <w:trPr>
          <w:trHeight w:val="215"/>
          <w:tblHeader/>
        </w:trPr>
        <w:tc>
          <w:tcPr>
            <w:tcW w:w="3254" w:type="dxa"/>
          </w:tcPr>
          <w:p w14:paraId="688E1B74" w14:textId="77777777" w:rsidR="00A07D6C" w:rsidRPr="00E834EF" w:rsidRDefault="00A07D6C" w:rsidP="00A07D6C">
            <w:pPr>
              <w:keepNext/>
              <w:bidi/>
              <w:spacing w:before="40" w:after="120"/>
              <w:jc w:val="center"/>
              <w:rPr>
                <w:i/>
                <w:sz w:val="17"/>
                <w:szCs w:val="17"/>
              </w:rPr>
            </w:pPr>
          </w:p>
        </w:tc>
        <w:tc>
          <w:tcPr>
            <w:tcW w:w="242" w:type="dxa"/>
          </w:tcPr>
          <w:p w14:paraId="2EC02907" w14:textId="77777777" w:rsidR="00A07D6C" w:rsidRPr="00E834EF" w:rsidRDefault="00A07D6C" w:rsidP="00922116">
            <w:pPr>
              <w:keepNext/>
              <w:spacing w:before="40" w:after="120"/>
              <w:jc w:val="center"/>
              <w:rPr>
                <w:i/>
                <w:sz w:val="17"/>
                <w:szCs w:val="17"/>
              </w:rPr>
            </w:pPr>
          </w:p>
        </w:tc>
        <w:tc>
          <w:tcPr>
            <w:tcW w:w="5587" w:type="dxa"/>
            <w:gridSpan w:val="10"/>
          </w:tcPr>
          <w:p w14:paraId="1CF2BD00" w14:textId="77777777" w:rsidR="00A07D6C" w:rsidRPr="00E834EF" w:rsidRDefault="00A07D6C" w:rsidP="00922116">
            <w:pPr>
              <w:keepNext/>
              <w:spacing w:before="40" w:after="120"/>
              <w:jc w:val="center"/>
              <w:rPr>
                <w:i/>
                <w:sz w:val="17"/>
                <w:szCs w:val="17"/>
              </w:rPr>
            </w:pPr>
            <w:r w:rsidRPr="00E834EF">
              <w:rPr>
                <w:i/>
                <w:color w:val="000000"/>
                <w:sz w:val="17"/>
                <w:szCs w:val="17"/>
              </w:rPr>
              <w:t>(</w:t>
            </w:r>
            <w:r>
              <w:rPr>
                <w:i/>
                <w:color w:val="000000"/>
                <w:sz w:val="17"/>
                <w:szCs w:val="17"/>
              </w:rPr>
              <w:t>OMR</w:t>
            </w:r>
            <w:r w:rsidRPr="00E834EF">
              <w:rPr>
                <w:i/>
                <w:color w:val="000000"/>
                <w:sz w:val="17"/>
                <w:szCs w:val="17"/>
              </w:rPr>
              <w:t xml:space="preserve"> </w:t>
            </w:r>
            <w:r>
              <w:rPr>
                <w:i/>
                <w:color w:val="000000"/>
                <w:sz w:val="17"/>
                <w:szCs w:val="17"/>
              </w:rPr>
              <w:t>millions</w:t>
            </w:r>
            <w:r w:rsidRPr="00E834EF">
              <w:rPr>
                <w:i/>
                <w:color w:val="000000"/>
                <w:sz w:val="17"/>
                <w:szCs w:val="17"/>
              </w:rPr>
              <w:t>, except percentages)</w:t>
            </w:r>
          </w:p>
        </w:tc>
        <w:tc>
          <w:tcPr>
            <w:tcW w:w="266" w:type="dxa"/>
          </w:tcPr>
          <w:p w14:paraId="2749591B" w14:textId="77777777" w:rsidR="00A07D6C" w:rsidRPr="00E834EF" w:rsidRDefault="00A07D6C" w:rsidP="00922116">
            <w:pPr>
              <w:keepNext/>
              <w:spacing w:before="40" w:after="120"/>
              <w:jc w:val="center"/>
              <w:rPr>
                <w:i/>
                <w:color w:val="000000"/>
                <w:sz w:val="17"/>
                <w:szCs w:val="17"/>
              </w:rPr>
            </w:pPr>
          </w:p>
        </w:tc>
      </w:tr>
      <w:tr w:rsidR="00A07D6C" w:rsidRPr="00E834EF" w14:paraId="2AB19B13" w14:textId="77777777" w:rsidTr="00D925C8">
        <w:tc>
          <w:tcPr>
            <w:tcW w:w="3254" w:type="dxa"/>
            <w:vAlign w:val="bottom"/>
          </w:tcPr>
          <w:p w14:paraId="56599D95" w14:textId="77777777" w:rsidR="00A07D6C" w:rsidRPr="0054596C" w:rsidRDefault="00A07D6C" w:rsidP="00A07D6C">
            <w:pPr>
              <w:tabs>
                <w:tab w:val="right" w:leader="dot" w:pos="3255"/>
              </w:tabs>
              <w:bidi/>
              <w:spacing w:before="40" w:after="40"/>
              <w:ind w:left="12"/>
              <w:rPr>
                <w:b/>
                <w:bCs/>
                <w:color w:val="000000"/>
                <w:sz w:val="17"/>
                <w:szCs w:val="17"/>
              </w:rPr>
            </w:pPr>
            <w:r>
              <w:rPr>
                <w:rFonts w:hint="cs"/>
                <w:b/>
                <w:bCs/>
                <w:color w:val="000000"/>
                <w:sz w:val="17"/>
                <w:szCs w:val="17"/>
                <w:rtl/>
              </w:rPr>
              <w:t>الإيرادات</w:t>
            </w:r>
            <w:r w:rsidRPr="0054596C">
              <w:rPr>
                <w:sz w:val="17"/>
              </w:rPr>
              <w:tab/>
            </w:r>
          </w:p>
        </w:tc>
        <w:tc>
          <w:tcPr>
            <w:tcW w:w="242" w:type="dxa"/>
            <w:vAlign w:val="bottom"/>
          </w:tcPr>
          <w:p w14:paraId="46FF40DC" w14:textId="77777777" w:rsidR="00A07D6C" w:rsidRPr="00E834EF" w:rsidRDefault="00A07D6C" w:rsidP="00A07D6C">
            <w:pPr>
              <w:spacing w:before="40" w:after="40"/>
              <w:rPr>
                <w:sz w:val="17"/>
                <w:szCs w:val="17"/>
              </w:rPr>
            </w:pPr>
          </w:p>
        </w:tc>
        <w:tc>
          <w:tcPr>
            <w:tcW w:w="913" w:type="dxa"/>
            <w:vAlign w:val="bottom"/>
          </w:tcPr>
          <w:p w14:paraId="496808B2" w14:textId="77777777" w:rsidR="00A07D6C" w:rsidRPr="007766C5" w:rsidRDefault="00D04091" w:rsidP="00A07D6C">
            <w:pPr>
              <w:spacing w:before="40" w:after="40"/>
              <w:jc w:val="right"/>
              <w:rPr>
                <w:color w:val="000000"/>
                <w:sz w:val="17"/>
                <w:szCs w:val="17"/>
              </w:rPr>
            </w:pPr>
            <w:r>
              <w:rPr>
                <w:sz w:val="17"/>
                <w:szCs w:val="17"/>
              </w:rPr>
              <w:t>243.8</w:t>
            </w:r>
          </w:p>
        </w:tc>
        <w:tc>
          <w:tcPr>
            <w:tcW w:w="252" w:type="dxa"/>
            <w:gridSpan w:val="2"/>
            <w:vAlign w:val="bottom"/>
          </w:tcPr>
          <w:p w14:paraId="37226729" w14:textId="77777777" w:rsidR="00A07D6C" w:rsidRPr="007766C5" w:rsidRDefault="00A07D6C" w:rsidP="00A07D6C">
            <w:pPr>
              <w:spacing w:before="40" w:after="40"/>
              <w:rPr>
                <w:color w:val="000000"/>
                <w:sz w:val="17"/>
                <w:szCs w:val="17"/>
              </w:rPr>
            </w:pPr>
          </w:p>
        </w:tc>
        <w:tc>
          <w:tcPr>
            <w:tcW w:w="924" w:type="dxa"/>
            <w:vAlign w:val="bottom"/>
          </w:tcPr>
          <w:p w14:paraId="3DDC6936" w14:textId="77777777" w:rsidR="00A07D6C" w:rsidRPr="007766C5" w:rsidRDefault="00A07D6C" w:rsidP="00A07D6C">
            <w:pPr>
              <w:spacing w:before="40" w:after="40"/>
              <w:jc w:val="right"/>
              <w:rPr>
                <w:color w:val="000000"/>
                <w:sz w:val="17"/>
                <w:szCs w:val="17"/>
              </w:rPr>
            </w:pPr>
            <w:r w:rsidRPr="007766C5">
              <w:rPr>
                <w:sz w:val="17"/>
                <w:szCs w:val="17"/>
              </w:rPr>
              <w:t>348.1</w:t>
            </w:r>
          </w:p>
        </w:tc>
        <w:tc>
          <w:tcPr>
            <w:tcW w:w="242" w:type="dxa"/>
            <w:vAlign w:val="bottom"/>
          </w:tcPr>
          <w:p w14:paraId="4BBD03E0" w14:textId="77777777" w:rsidR="00A07D6C" w:rsidRPr="007766C5" w:rsidRDefault="00A07D6C" w:rsidP="00A07D6C">
            <w:pPr>
              <w:spacing w:before="40" w:after="40"/>
              <w:rPr>
                <w:color w:val="000000"/>
                <w:sz w:val="17"/>
                <w:szCs w:val="17"/>
              </w:rPr>
            </w:pPr>
          </w:p>
        </w:tc>
        <w:tc>
          <w:tcPr>
            <w:tcW w:w="924" w:type="dxa"/>
            <w:vAlign w:val="bottom"/>
          </w:tcPr>
          <w:p w14:paraId="2D4A7840" w14:textId="77777777" w:rsidR="00A07D6C" w:rsidRPr="007766C5" w:rsidRDefault="00A07D6C" w:rsidP="00A07D6C">
            <w:pPr>
              <w:spacing w:before="40" w:after="40"/>
              <w:jc w:val="right"/>
              <w:rPr>
                <w:color w:val="000000"/>
                <w:sz w:val="17"/>
                <w:szCs w:val="17"/>
              </w:rPr>
            </w:pPr>
            <w:r w:rsidRPr="007766C5">
              <w:rPr>
                <w:sz w:val="17"/>
                <w:szCs w:val="17"/>
              </w:rPr>
              <w:t>363.7</w:t>
            </w:r>
          </w:p>
        </w:tc>
        <w:tc>
          <w:tcPr>
            <w:tcW w:w="242" w:type="dxa"/>
            <w:vAlign w:val="bottom"/>
          </w:tcPr>
          <w:p w14:paraId="1CF3FADB" w14:textId="77777777" w:rsidR="00A07D6C" w:rsidRPr="007766C5" w:rsidRDefault="00A07D6C" w:rsidP="00A07D6C">
            <w:pPr>
              <w:spacing w:before="40" w:after="40"/>
              <w:rPr>
                <w:sz w:val="17"/>
                <w:szCs w:val="17"/>
              </w:rPr>
            </w:pPr>
          </w:p>
        </w:tc>
        <w:tc>
          <w:tcPr>
            <w:tcW w:w="924" w:type="dxa"/>
            <w:vAlign w:val="bottom"/>
          </w:tcPr>
          <w:p w14:paraId="56EB6199" w14:textId="77777777" w:rsidR="00A07D6C" w:rsidRPr="007766C5" w:rsidRDefault="00A07D6C" w:rsidP="00A07D6C">
            <w:pPr>
              <w:spacing w:before="40" w:after="40"/>
              <w:jc w:val="right"/>
              <w:rPr>
                <w:sz w:val="17"/>
                <w:szCs w:val="17"/>
              </w:rPr>
            </w:pPr>
            <w:r w:rsidRPr="007766C5">
              <w:rPr>
                <w:sz w:val="17"/>
                <w:szCs w:val="17"/>
              </w:rPr>
              <w:t>274.6</w:t>
            </w:r>
          </w:p>
        </w:tc>
        <w:tc>
          <w:tcPr>
            <w:tcW w:w="227" w:type="dxa"/>
            <w:vAlign w:val="bottom"/>
          </w:tcPr>
          <w:p w14:paraId="1F0C13B5" w14:textId="77777777" w:rsidR="00A07D6C" w:rsidRPr="007766C5" w:rsidRDefault="00A07D6C" w:rsidP="00A07D6C">
            <w:pPr>
              <w:spacing w:before="40" w:after="40"/>
              <w:rPr>
                <w:sz w:val="17"/>
                <w:szCs w:val="17"/>
              </w:rPr>
            </w:pPr>
          </w:p>
        </w:tc>
        <w:tc>
          <w:tcPr>
            <w:tcW w:w="939" w:type="dxa"/>
            <w:vAlign w:val="bottom"/>
          </w:tcPr>
          <w:p w14:paraId="2D5CDA86" w14:textId="77777777" w:rsidR="00A07D6C" w:rsidRPr="007766C5" w:rsidRDefault="00A07D6C" w:rsidP="00A07D6C">
            <w:pPr>
              <w:spacing w:before="40" w:after="40"/>
              <w:jc w:val="right"/>
              <w:rPr>
                <w:sz w:val="17"/>
                <w:szCs w:val="17"/>
              </w:rPr>
            </w:pPr>
            <w:r w:rsidRPr="007766C5">
              <w:rPr>
                <w:sz w:val="17"/>
                <w:szCs w:val="17"/>
              </w:rPr>
              <w:t>274.9</w:t>
            </w:r>
          </w:p>
        </w:tc>
        <w:tc>
          <w:tcPr>
            <w:tcW w:w="266" w:type="dxa"/>
          </w:tcPr>
          <w:p w14:paraId="5E38235D" w14:textId="77777777" w:rsidR="00A07D6C" w:rsidRPr="000D2863" w:rsidRDefault="00A07D6C" w:rsidP="00A07D6C">
            <w:pPr>
              <w:spacing w:before="40" w:after="40"/>
              <w:rPr>
                <w:sz w:val="17"/>
                <w:szCs w:val="17"/>
              </w:rPr>
            </w:pPr>
          </w:p>
        </w:tc>
      </w:tr>
      <w:tr w:rsidR="00A07D6C" w:rsidRPr="00E834EF" w14:paraId="689B69F3" w14:textId="77777777" w:rsidTr="00D925C8">
        <w:tc>
          <w:tcPr>
            <w:tcW w:w="3254" w:type="dxa"/>
          </w:tcPr>
          <w:p w14:paraId="7A96FE24" w14:textId="77777777" w:rsidR="00A07D6C" w:rsidRPr="00155339" w:rsidRDefault="00A07D6C" w:rsidP="00A07D6C">
            <w:pPr>
              <w:tabs>
                <w:tab w:val="right" w:leader="dot" w:pos="3255"/>
              </w:tabs>
              <w:bidi/>
              <w:spacing w:before="40" w:after="40"/>
              <w:ind w:left="357" w:firstLine="64"/>
              <w:rPr>
                <w:color w:val="000000"/>
                <w:sz w:val="17"/>
                <w:szCs w:val="17"/>
              </w:rPr>
            </w:pPr>
            <w:r>
              <w:rPr>
                <w:rFonts w:hint="cs"/>
                <w:sz w:val="17"/>
                <w:szCs w:val="17"/>
                <w:rtl/>
              </w:rPr>
              <w:t>تكلفة تشغيل الرحلة</w:t>
            </w:r>
            <w:r w:rsidRPr="007D2480">
              <w:rPr>
                <w:sz w:val="17"/>
              </w:rPr>
              <w:tab/>
            </w:r>
          </w:p>
        </w:tc>
        <w:tc>
          <w:tcPr>
            <w:tcW w:w="242" w:type="dxa"/>
            <w:vAlign w:val="bottom"/>
          </w:tcPr>
          <w:p w14:paraId="0DA0ADE8" w14:textId="77777777" w:rsidR="00A07D6C" w:rsidRPr="00E834EF" w:rsidRDefault="00A07D6C" w:rsidP="00A07D6C">
            <w:pPr>
              <w:spacing w:before="40" w:after="40"/>
              <w:rPr>
                <w:sz w:val="17"/>
                <w:szCs w:val="17"/>
              </w:rPr>
            </w:pPr>
          </w:p>
        </w:tc>
        <w:tc>
          <w:tcPr>
            <w:tcW w:w="913" w:type="dxa"/>
            <w:vAlign w:val="bottom"/>
          </w:tcPr>
          <w:p w14:paraId="683C5673" w14:textId="77777777" w:rsidR="00A07D6C" w:rsidRPr="007766C5" w:rsidRDefault="00A07D6C" w:rsidP="00A07D6C">
            <w:pPr>
              <w:spacing w:before="40" w:after="40"/>
              <w:jc w:val="right"/>
              <w:rPr>
                <w:color w:val="000000"/>
                <w:sz w:val="17"/>
                <w:szCs w:val="17"/>
              </w:rPr>
            </w:pPr>
            <w:r w:rsidRPr="007766C5">
              <w:rPr>
                <w:sz w:val="17"/>
                <w:szCs w:val="17"/>
              </w:rPr>
              <w:t>(62.7</w:t>
            </w:r>
            <w:r w:rsidR="008D2C3F">
              <w:rPr>
                <w:sz w:val="17"/>
                <w:szCs w:val="17"/>
              </w:rPr>
              <w:t>)</w:t>
            </w:r>
          </w:p>
        </w:tc>
        <w:tc>
          <w:tcPr>
            <w:tcW w:w="252" w:type="dxa"/>
            <w:gridSpan w:val="2"/>
            <w:vAlign w:val="bottom"/>
          </w:tcPr>
          <w:p w14:paraId="6DCD6A51" w14:textId="77777777" w:rsidR="00A07D6C" w:rsidRPr="007766C5" w:rsidRDefault="00A07D6C" w:rsidP="00A07D6C">
            <w:pPr>
              <w:spacing w:before="40" w:after="40"/>
              <w:rPr>
                <w:color w:val="000000"/>
                <w:sz w:val="17"/>
                <w:szCs w:val="17"/>
              </w:rPr>
            </w:pPr>
            <w:r w:rsidRPr="007766C5">
              <w:rPr>
                <w:sz w:val="17"/>
                <w:szCs w:val="17"/>
              </w:rPr>
              <w:t>)</w:t>
            </w:r>
          </w:p>
        </w:tc>
        <w:tc>
          <w:tcPr>
            <w:tcW w:w="924" w:type="dxa"/>
            <w:vAlign w:val="bottom"/>
          </w:tcPr>
          <w:p w14:paraId="7C749EE2" w14:textId="77777777" w:rsidR="00A07D6C" w:rsidRPr="007766C5" w:rsidRDefault="00A07D6C" w:rsidP="00A07D6C">
            <w:pPr>
              <w:spacing w:before="40" w:after="40"/>
              <w:jc w:val="right"/>
              <w:rPr>
                <w:color w:val="000000"/>
                <w:sz w:val="17"/>
                <w:szCs w:val="17"/>
              </w:rPr>
            </w:pPr>
            <w:r w:rsidRPr="007766C5">
              <w:rPr>
                <w:sz w:val="17"/>
                <w:szCs w:val="17"/>
              </w:rPr>
              <w:t>(98.1</w:t>
            </w:r>
          </w:p>
        </w:tc>
        <w:tc>
          <w:tcPr>
            <w:tcW w:w="242" w:type="dxa"/>
            <w:vAlign w:val="bottom"/>
          </w:tcPr>
          <w:p w14:paraId="21002EE0" w14:textId="77777777" w:rsidR="00A07D6C" w:rsidRPr="007766C5" w:rsidRDefault="00A07D6C" w:rsidP="00A07D6C">
            <w:pPr>
              <w:spacing w:before="40" w:after="40"/>
              <w:rPr>
                <w:color w:val="000000"/>
                <w:sz w:val="17"/>
                <w:szCs w:val="17"/>
              </w:rPr>
            </w:pPr>
            <w:r w:rsidRPr="007766C5">
              <w:rPr>
                <w:sz w:val="17"/>
                <w:szCs w:val="17"/>
              </w:rPr>
              <w:t>)</w:t>
            </w:r>
          </w:p>
        </w:tc>
        <w:tc>
          <w:tcPr>
            <w:tcW w:w="924" w:type="dxa"/>
            <w:vAlign w:val="bottom"/>
          </w:tcPr>
          <w:p w14:paraId="1F131B12" w14:textId="77777777" w:rsidR="00A07D6C" w:rsidRPr="007766C5" w:rsidRDefault="00A07D6C" w:rsidP="00A07D6C">
            <w:pPr>
              <w:spacing w:before="40" w:after="40"/>
              <w:jc w:val="right"/>
              <w:rPr>
                <w:color w:val="000000"/>
                <w:sz w:val="17"/>
                <w:szCs w:val="17"/>
              </w:rPr>
            </w:pPr>
            <w:r w:rsidRPr="007766C5">
              <w:rPr>
                <w:sz w:val="17"/>
                <w:szCs w:val="17"/>
              </w:rPr>
              <w:t>(81.7</w:t>
            </w:r>
          </w:p>
        </w:tc>
        <w:tc>
          <w:tcPr>
            <w:tcW w:w="242" w:type="dxa"/>
            <w:vAlign w:val="bottom"/>
          </w:tcPr>
          <w:p w14:paraId="3B025742" w14:textId="77777777" w:rsidR="00A07D6C" w:rsidRPr="007766C5" w:rsidRDefault="00A07D6C" w:rsidP="00A07D6C">
            <w:pPr>
              <w:spacing w:before="40" w:after="40"/>
              <w:rPr>
                <w:sz w:val="17"/>
                <w:szCs w:val="17"/>
              </w:rPr>
            </w:pPr>
            <w:r w:rsidRPr="007766C5">
              <w:rPr>
                <w:sz w:val="17"/>
                <w:szCs w:val="17"/>
              </w:rPr>
              <w:t>)</w:t>
            </w:r>
          </w:p>
        </w:tc>
        <w:tc>
          <w:tcPr>
            <w:tcW w:w="924" w:type="dxa"/>
            <w:vAlign w:val="bottom"/>
          </w:tcPr>
          <w:p w14:paraId="63DA5105" w14:textId="77777777" w:rsidR="00A07D6C" w:rsidRPr="007766C5" w:rsidRDefault="00A07D6C" w:rsidP="00A07D6C">
            <w:pPr>
              <w:spacing w:before="40" w:after="40"/>
              <w:jc w:val="right"/>
              <w:rPr>
                <w:sz w:val="17"/>
                <w:szCs w:val="17"/>
              </w:rPr>
            </w:pPr>
            <w:r w:rsidRPr="007766C5">
              <w:rPr>
                <w:sz w:val="17"/>
                <w:szCs w:val="17"/>
              </w:rPr>
              <w:t>(62.2</w:t>
            </w:r>
          </w:p>
        </w:tc>
        <w:tc>
          <w:tcPr>
            <w:tcW w:w="227" w:type="dxa"/>
            <w:vAlign w:val="bottom"/>
          </w:tcPr>
          <w:p w14:paraId="4963290C" w14:textId="77777777" w:rsidR="00A07D6C" w:rsidRPr="007766C5" w:rsidRDefault="00A07D6C" w:rsidP="00A07D6C">
            <w:pPr>
              <w:spacing w:before="40" w:after="40"/>
              <w:rPr>
                <w:sz w:val="17"/>
                <w:szCs w:val="17"/>
              </w:rPr>
            </w:pPr>
            <w:r w:rsidRPr="007766C5">
              <w:rPr>
                <w:sz w:val="17"/>
                <w:szCs w:val="17"/>
              </w:rPr>
              <w:t>)</w:t>
            </w:r>
          </w:p>
        </w:tc>
        <w:tc>
          <w:tcPr>
            <w:tcW w:w="939" w:type="dxa"/>
            <w:vAlign w:val="bottom"/>
          </w:tcPr>
          <w:p w14:paraId="7C2A9157" w14:textId="77777777" w:rsidR="00A07D6C" w:rsidRPr="007766C5" w:rsidRDefault="00A07D6C" w:rsidP="00A07D6C">
            <w:pPr>
              <w:spacing w:before="40" w:after="40"/>
              <w:jc w:val="right"/>
              <w:rPr>
                <w:sz w:val="17"/>
                <w:szCs w:val="17"/>
              </w:rPr>
            </w:pPr>
            <w:r w:rsidRPr="007766C5">
              <w:rPr>
                <w:sz w:val="17"/>
                <w:szCs w:val="17"/>
              </w:rPr>
              <w:t>(38.8</w:t>
            </w:r>
          </w:p>
        </w:tc>
        <w:tc>
          <w:tcPr>
            <w:tcW w:w="266" w:type="dxa"/>
            <w:vAlign w:val="bottom"/>
          </w:tcPr>
          <w:p w14:paraId="0816AA99" w14:textId="77777777" w:rsidR="00A07D6C" w:rsidRPr="007766C5" w:rsidRDefault="00A07D6C" w:rsidP="00A07D6C">
            <w:pPr>
              <w:spacing w:before="40" w:after="40"/>
              <w:rPr>
                <w:sz w:val="17"/>
                <w:szCs w:val="17"/>
              </w:rPr>
            </w:pPr>
          </w:p>
        </w:tc>
      </w:tr>
      <w:tr w:rsidR="00A07D6C" w:rsidRPr="00E834EF" w14:paraId="231422E0" w14:textId="77777777" w:rsidTr="00D925C8">
        <w:tc>
          <w:tcPr>
            <w:tcW w:w="3254" w:type="dxa"/>
          </w:tcPr>
          <w:p w14:paraId="2D3C7C39" w14:textId="77777777" w:rsidR="00A07D6C" w:rsidRPr="00155339" w:rsidRDefault="00A07D6C" w:rsidP="00A07D6C">
            <w:pPr>
              <w:tabs>
                <w:tab w:val="right" w:leader="dot" w:pos="3255"/>
              </w:tabs>
              <w:bidi/>
              <w:spacing w:before="40" w:after="40"/>
              <w:rPr>
                <w:sz w:val="17"/>
                <w:szCs w:val="17"/>
              </w:rPr>
            </w:pPr>
            <w:r w:rsidRPr="00A07D6C">
              <w:rPr>
                <w:rFonts w:hint="cs"/>
                <w:b/>
                <w:bCs/>
                <w:sz w:val="17"/>
                <w:szCs w:val="17"/>
                <w:u w:val="single"/>
                <w:rtl/>
              </w:rPr>
              <w:t>إيرادات مكافئ تأجير السفن المجهزة بالمدة</w:t>
            </w:r>
            <w:r w:rsidRPr="007D2480">
              <w:rPr>
                <w:sz w:val="17"/>
              </w:rPr>
              <w:tab/>
            </w:r>
          </w:p>
        </w:tc>
        <w:tc>
          <w:tcPr>
            <w:tcW w:w="242" w:type="dxa"/>
            <w:vAlign w:val="bottom"/>
          </w:tcPr>
          <w:p w14:paraId="04767499" w14:textId="77777777" w:rsidR="00A07D6C" w:rsidRPr="00E834EF" w:rsidRDefault="00A07D6C" w:rsidP="00922116">
            <w:pPr>
              <w:spacing w:before="40" w:after="40"/>
              <w:rPr>
                <w:sz w:val="17"/>
                <w:szCs w:val="17"/>
              </w:rPr>
            </w:pPr>
          </w:p>
        </w:tc>
        <w:tc>
          <w:tcPr>
            <w:tcW w:w="913" w:type="dxa"/>
          </w:tcPr>
          <w:p w14:paraId="4F63B58C" w14:textId="77777777" w:rsidR="00A07D6C" w:rsidRPr="007766C5" w:rsidRDefault="00A07D6C" w:rsidP="00922116">
            <w:pPr>
              <w:spacing w:before="40" w:after="40"/>
              <w:jc w:val="right"/>
              <w:rPr>
                <w:b/>
                <w:bCs/>
                <w:color w:val="000000"/>
                <w:sz w:val="17"/>
                <w:szCs w:val="17"/>
              </w:rPr>
            </w:pPr>
            <w:r w:rsidRPr="007766C5">
              <w:rPr>
                <w:b/>
                <w:bCs/>
                <w:sz w:val="17"/>
                <w:szCs w:val="17"/>
              </w:rPr>
              <w:t>181.</w:t>
            </w:r>
            <w:r w:rsidR="00EE291C">
              <w:rPr>
                <w:b/>
                <w:bCs/>
                <w:sz w:val="17"/>
                <w:szCs w:val="17"/>
              </w:rPr>
              <w:t>1</w:t>
            </w:r>
          </w:p>
        </w:tc>
        <w:tc>
          <w:tcPr>
            <w:tcW w:w="252" w:type="dxa"/>
            <w:gridSpan w:val="2"/>
          </w:tcPr>
          <w:p w14:paraId="3F389CE4" w14:textId="77777777" w:rsidR="00A07D6C" w:rsidRPr="007766C5" w:rsidRDefault="00A07D6C" w:rsidP="00922116">
            <w:pPr>
              <w:spacing w:before="40" w:after="40"/>
              <w:rPr>
                <w:b/>
                <w:bCs/>
                <w:color w:val="000000"/>
                <w:sz w:val="17"/>
                <w:szCs w:val="17"/>
              </w:rPr>
            </w:pPr>
          </w:p>
        </w:tc>
        <w:tc>
          <w:tcPr>
            <w:tcW w:w="924" w:type="dxa"/>
          </w:tcPr>
          <w:p w14:paraId="79E7B948" w14:textId="77777777" w:rsidR="00A07D6C" w:rsidRPr="007766C5" w:rsidRDefault="00EE291C" w:rsidP="00922116">
            <w:pPr>
              <w:spacing w:before="40" w:after="40"/>
              <w:jc w:val="right"/>
              <w:rPr>
                <w:b/>
                <w:bCs/>
                <w:color w:val="000000"/>
                <w:sz w:val="17"/>
                <w:szCs w:val="17"/>
              </w:rPr>
            </w:pPr>
            <w:r>
              <w:rPr>
                <w:b/>
                <w:bCs/>
                <w:sz w:val="17"/>
                <w:szCs w:val="17"/>
              </w:rPr>
              <w:t>250.1</w:t>
            </w:r>
          </w:p>
        </w:tc>
        <w:tc>
          <w:tcPr>
            <w:tcW w:w="242" w:type="dxa"/>
          </w:tcPr>
          <w:p w14:paraId="49BBF2EC" w14:textId="77777777" w:rsidR="00A07D6C" w:rsidRPr="007766C5" w:rsidRDefault="00A07D6C" w:rsidP="00922116">
            <w:pPr>
              <w:spacing w:before="40" w:after="40"/>
              <w:rPr>
                <w:b/>
                <w:bCs/>
                <w:color w:val="000000"/>
                <w:sz w:val="17"/>
                <w:szCs w:val="17"/>
              </w:rPr>
            </w:pPr>
          </w:p>
        </w:tc>
        <w:tc>
          <w:tcPr>
            <w:tcW w:w="924" w:type="dxa"/>
          </w:tcPr>
          <w:p w14:paraId="4A6313A3" w14:textId="77777777" w:rsidR="00A07D6C" w:rsidRPr="007766C5" w:rsidRDefault="00EE291C" w:rsidP="00922116">
            <w:pPr>
              <w:spacing w:before="40" w:after="40"/>
              <w:jc w:val="right"/>
              <w:rPr>
                <w:b/>
                <w:bCs/>
                <w:color w:val="000000"/>
                <w:sz w:val="17"/>
                <w:szCs w:val="17"/>
              </w:rPr>
            </w:pPr>
            <w:r>
              <w:rPr>
                <w:b/>
                <w:bCs/>
                <w:sz w:val="17"/>
                <w:szCs w:val="17"/>
              </w:rPr>
              <w:t>282.0</w:t>
            </w:r>
          </w:p>
        </w:tc>
        <w:tc>
          <w:tcPr>
            <w:tcW w:w="242" w:type="dxa"/>
            <w:vAlign w:val="bottom"/>
          </w:tcPr>
          <w:p w14:paraId="55F52E21" w14:textId="77777777" w:rsidR="00A07D6C" w:rsidRPr="007766C5" w:rsidRDefault="00A07D6C" w:rsidP="00922116">
            <w:pPr>
              <w:spacing w:before="40" w:after="40"/>
              <w:rPr>
                <w:b/>
                <w:bCs/>
                <w:sz w:val="17"/>
                <w:szCs w:val="17"/>
              </w:rPr>
            </w:pPr>
          </w:p>
        </w:tc>
        <w:tc>
          <w:tcPr>
            <w:tcW w:w="924" w:type="dxa"/>
            <w:vAlign w:val="bottom"/>
          </w:tcPr>
          <w:p w14:paraId="39F780A1" w14:textId="77777777" w:rsidR="00A07D6C" w:rsidRPr="007766C5" w:rsidRDefault="00EE291C" w:rsidP="00922116">
            <w:pPr>
              <w:spacing w:before="40" w:after="40"/>
              <w:jc w:val="right"/>
              <w:rPr>
                <w:b/>
                <w:bCs/>
                <w:sz w:val="17"/>
                <w:szCs w:val="17"/>
              </w:rPr>
            </w:pPr>
            <w:r>
              <w:rPr>
                <w:b/>
                <w:bCs/>
                <w:sz w:val="17"/>
                <w:szCs w:val="17"/>
              </w:rPr>
              <w:t>212.4</w:t>
            </w:r>
          </w:p>
        </w:tc>
        <w:tc>
          <w:tcPr>
            <w:tcW w:w="227" w:type="dxa"/>
            <w:vAlign w:val="bottom"/>
          </w:tcPr>
          <w:p w14:paraId="670E75C1" w14:textId="77777777" w:rsidR="00A07D6C" w:rsidRPr="007766C5" w:rsidRDefault="00A07D6C" w:rsidP="00922116">
            <w:pPr>
              <w:spacing w:before="40" w:after="40"/>
              <w:rPr>
                <w:b/>
                <w:bCs/>
                <w:sz w:val="17"/>
                <w:szCs w:val="17"/>
              </w:rPr>
            </w:pPr>
          </w:p>
        </w:tc>
        <w:tc>
          <w:tcPr>
            <w:tcW w:w="939" w:type="dxa"/>
            <w:vAlign w:val="bottom"/>
          </w:tcPr>
          <w:p w14:paraId="30C86214" w14:textId="77777777" w:rsidR="00A07D6C" w:rsidRPr="007766C5" w:rsidRDefault="00A07D6C" w:rsidP="00922116">
            <w:pPr>
              <w:spacing w:before="40" w:after="40"/>
              <w:jc w:val="right"/>
              <w:rPr>
                <w:b/>
                <w:bCs/>
                <w:sz w:val="17"/>
                <w:szCs w:val="17"/>
              </w:rPr>
            </w:pPr>
            <w:r w:rsidRPr="007766C5">
              <w:rPr>
                <w:b/>
                <w:bCs/>
                <w:sz w:val="17"/>
                <w:szCs w:val="17"/>
              </w:rPr>
              <w:t>236.</w:t>
            </w:r>
            <w:r w:rsidR="00EE291C">
              <w:rPr>
                <w:b/>
                <w:bCs/>
                <w:sz w:val="17"/>
                <w:szCs w:val="17"/>
              </w:rPr>
              <w:t>1</w:t>
            </w:r>
            <w:r w:rsidR="00EE291C" w:rsidRPr="007766C5">
              <w:rPr>
                <w:b/>
                <w:bCs/>
                <w:sz w:val="17"/>
                <w:szCs w:val="17"/>
              </w:rPr>
              <w:t xml:space="preserve"> </w:t>
            </w:r>
          </w:p>
        </w:tc>
        <w:tc>
          <w:tcPr>
            <w:tcW w:w="266" w:type="dxa"/>
          </w:tcPr>
          <w:p w14:paraId="12676180" w14:textId="77777777" w:rsidR="00A07D6C" w:rsidRPr="000D2863" w:rsidRDefault="00A07D6C" w:rsidP="00922116">
            <w:pPr>
              <w:spacing w:before="40" w:after="40"/>
              <w:rPr>
                <w:b/>
                <w:bCs/>
                <w:sz w:val="17"/>
                <w:szCs w:val="17"/>
              </w:rPr>
            </w:pPr>
          </w:p>
        </w:tc>
      </w:tr>
      <w:tr w:rsidR="00A07D6C" w:rsidRPr="00E834EF" w14:paraId="62C60121" w14:textId="77777777" w:rsidTr="00D925C8">
        <w:tc>
          <w:tcPr>
            <w:tcW w:w="3254" w:type="dxa"/>
          </w:tcPr>
          <w:p w14:paraId="568AA7C4" w14:textId="77777777" w:rsidR="00A07D6C" w:rsidRDefault="00A07D6C" w:rsidP="00A07D6C">
            <w:pPr>
              <w:tabs>
                <w:tab w:val="right" w:leader="dot" w:pos="3255"/>
              </w:tabs>
              <w:bidi/>
              <w:spacing w:before="40" w:after="40"/>
              <w:rPr>
                <w:b/>
                <w:bCs/>
                <w:sz w:val="17"/>
                <w:szCs w:val="17"/>
                <w:u w:val="single"/>
              </w:rPr>
            </w:pPr>
          </w:p>
        </w:tc>
        <w:tc>
          <w:tcPr>
            <w:tcW w:w="242" w:type="dxa"/>
            <w:vAlign w:val="bottom"/>
          </w:tcPr>
          <w:p w14:paraId="2052F37B" w14:textId="77777777" w:rsidR="00A07D6C" w:rsidRPr="00E834EF" w:rsidRDefault="00A07D6C" w:rsidP="00922116">
            <w:pPr>
              <w:spacing w:before="40" w:after="40"/>
              <w:rPr>
                <w:sz w:val="17"/>
                <w:szCs w:val="17"/>
              </w:rPr>
            </w:pPr>
          </w:p>
        </w:tc>
        <w:tc>
          <w:tcPr>
            <w:tcW w:w="913" w:type="dxa"/>
          </w:tcPr>
          <w:p w14:paraId="29537107" w14:textId="77777777" w:rsidR="00A07D6C" w:rsidRPr="007766C5" w:rsidRDefault="00A07D6C" w:rsidP="00922116">
            <w:pPr>
              <w:spacing w:before="40" w:after="40"/>
              <w:jc w:val="right"/>
              <w:rPr>
                <w:b/>
                <w:bCs/>
                <w:sz w:val="17"/>
                <w:szCs w:val="17"/>
              </w:rPr>
            </w:pPr>
          </w:p>
        </w:tc>
        <w:tc>
          <w:tcPr>
            <w:tcW w:w="252" w:type="dxa"/>
            <w:gridSpan w:val="2"/>
          </w:tcPr>
          <w:p w14:paraId="0123EDFE" w14:textId="77777777" w:rsidR="00A07D6C" w:rsidRPr="007766C5" w:rsidRDefault="00A07D6C" w:rsidP="00922116">
            <w:pPr>
              <w:spacing w:before="40" w:after="40"/>
              <w:rPr>
                <w:b/>
                <w:bCs/>
                <w:color w:val="000000"/>
                <w:sz w:val="17"/>
                <w:szCs w:val="17"/>
              </w:rPr>
            </w:pPr>
          </w:p>
        </w:tc>
        <w:tc>
          <w:tcPr>
            <w:tcW w:w="924" w:type="dxa"/>
          </w:tcPr>
          <w:p w14:paraId="5A6DD195" w14:textId="77777777" w:rsidR="00A07D6C" w:rsidRPr="007766C5" w:rsidRDefault="00A07D6C" w:rsidP="00922116">
            <w:pPr>
              <w:spacing w:before="40" w:after="40"/>
              <w:jc w:val="right"/>
              <w:rPr>
                <w:b/>
                <w:bCs/>
                <w:sz w:val="17"/>
                <w:szCs w:val="17"/>
              </w:rPr>
            </w:pPr>
          </w:p>
        </w:tc>
        <w:tc>
          <w:tcPr>
            <w:tcW w:w="242" w:type="dxa"/>
          </w:tcPr>
          <w:p w14:paraId="420E36B1" w14:textId="77777777" w:rsidR="00A07D6C" w:rsidRPr="007766C5" w:rsidRDefault="00A07D6C" w:rsidP="00922116">
            <w:pPr>
              <w:spacing w:before="40" w:after="40"/>
              <w:rPr>
                <w:b/>
                <w:bCs/>
                <w:color w:val="000000"/>
                <w:sz w:val="17"/>
                <w:szCs w:val="17"/>
              </w:rPr>
            </w:pPr>
          </w:p>
        </w:tc>
        <w:tc>
          <w:tcPr>
            <w:tcW w:w="924" w:type="dxa"/>
          </w:tcPr>
          <w:p w14:paraId="36550961" w14:textId="77777777" w:rsidR="00A07D6C" w:rsidRPr="007766C5" w:rsidRDefault="00A07D6C" w:rsidP="00922116">
            <w:pPr>
              <w:spacing w:before="40" w:after="40"/>
              <w:jc w:val="right"/>
              <w:rPr>
                <w:b/>
                <w:bCs/>
                <w:sz w:val="17"/>
                <w:szCs w:val="17"/>
              </w:rPr>
            </w:pPr>
          </w:p>
        </w:tc>
        <w:tc>
          <w:tcPr>
            <w:tcW w:w="242" w:type="dxa"/>
            <w:vAlign w:val="bottom"/>
          </w:tcPr>
          <w:p w14:paraId="7755A959" w14:textId="77777777" w:rsidR="00A07D6C" w:rsidRPr="007766C5" w:rsidRDefault="00A07D6C" w:rsidP="00922116">
            <w:pPr>
              <w:spacing w:before="40" w:after="40"/>
              <w:rPr>
                <w:b/>
                <w:bCs/>
                <w:sz w:val="17"/>
                <w:szCs w:val="17"/>
              </w:rPr>
            </w:pPr>
          </w:p>
        </w:tc>
        <w:tc>
          <w:tcPr>
            <w:tcW w:w="924" w:type="dxa"/>
            <w:vAlign w:val="bottom"/>
          </w:tcPr>
          <w:p w14:paraId="2C4EB6BE" w14:textId="77777777" w:rsidR="00A07D6C" w:rsidRPr="007766C5" w:rsidRDefault="00A07D6C" w:rsidP="00922116">
            <w:pPr>
              <w:spacing w:before="40" w:after="40"/>
              <w:jc w:val="right"/>
              <w:rPr>
                <w:b/>
                <w:bCs/>
                <w:sz w:val="17"/>
                <w:szCs w:val="17"/>
              </w:rPr>
            </w:pPr>
          </w:p>
        </w:tc>
        <w:tc>
          <w:tcPr>
            <w:tcW w:w="227" w:type="dxa"/>
            <w:vAlign w:val="bottom"/>
          </w:tcPr>
          <w:p w14:paraId="62C550CB" w14:textId="77777777" w:rsidR="00A07D6C" w:rsidRPr="007766C5" w:rsidRDefault="00A07D6C" w:rsidP="00922116">
            <w:pPr>
              <w:spacing w:before="40" w:after="40"/>
              <w:rPr>
                <w:b/>
                <w:bCs/>
                <w:sz w:val="17"/>
                <w:szCs w:val="17"/>
              </w:rPr>
            </w:pPr>
          </w:p>
        </w:tc>
        <w:tc>
          <w:tcPr>
            <w:tcW w:w="939" w:type="dxa"/>
            <w:vAlign w:val="bottom"/>
          </w:tcPr>
          <w:p w14:paraId="46B9574F" w14:textId="77777777" w:rsidR="00A07D6C" w:rsidRPr="007766C5" w:rsidRDefault="00A07D6C" w:rsidP="00922116">
            <w:pPr>
              <w:spacing w:before="40" w:after="40"/>
              <w:jc w:val="right"/>
              <w:rPr>
                <w:b/>
                <w:bCs/>
                <w:sz w:val="17"/>
                <w:szCs w:val="17"/>
              </w:rPr>
            </w:pPr>
          </w:p>
        </w:tc>
        <w:tc>
          <w:tcPr>
            <w:tcW w:w="266" w:type="dxa"/>
          </w:tcPr>
          <w:p w14:paraId="4F574A30" w14:textId="77777777" w:rsidR="00A07D6C" w:rsidRPr="000D2863" w:rsidRDefault="00A07D6C" w:rsidP="00922116">
            <w:pPr>
              <w:spacing w:before="40" w:after="40"/>
              <w:rPr>
                <w:b/>
                <w:bCs/>
                <w:sz w:val="17"/>
                <w:szCs w:val="17"/>
              </w:rPr>
            </w:pPr>
          </w:p>
        </w:tc>
      </w:tr>
      <w:tr w:rsidR="00A07D6C" w:rsidRPr="00E834EF" w14:paraId="168B8024" w14:textId="77777777" w:rsidTr="00D925C8">
        <w:tc>
          <w:tcPr>
            <w:tcW w:w="3254" w:type="dxa"/>
            <w:vAlign w:val="bottom"/>
          </w:tcPr>
          <w:p w14:paraId="61264C31" w14:textId="77777777" w:rsidR="00A07D6C" w:rsidRPr="0054596C" w:rsidRDefault="00A07D6C" w:rsidP="00A07D6C">
            <w:pPr>
              <w:tabs>
                <w:tab w:val="right" w:leader="dot" w:pos="3255"/>
              </w:tabs>
              <w:bidi/>
              <w:spacing w:before="40" w:after="40"/>
              <w:ind w:left="12"/>
              <w:rPr>
                <w:b/>
                <w:bCs/>
                <w:color w:val="000000"/>
                <w:sz w:val="17"/>
                <w:szCs w:val="17"/>
              </w:rPr>
            </w:pPr>
            <w:r>
              <w:rPr>
                <w:rFonts w:hint="cs"/>
                <w:b/>
                <w:bCs/>
                <w:color w:val="000000"/>
                <w:sz w:val="17"/>
                <w:szCs w:val="17"/>
                <w:rtl/>
              </w:rPr>
              <w:t>إجمالي الأرباح</w:t>
            </w:r>
            <w:r w:rsidRPr="0054596C">
              <w:rPr>
                <w:sz w:val="17"/>
              </w:rPr>
              <w:tab/>
            </w:r>
          </w:p>
        </w:tc>
        <w:tc>
          <w:tcPr>
            <w:tcW w:w="242" w:type="dxa"/>
            <w:vAlign w:val="bottom"/>
          </w:tcPr>
          <w:p w14:paraId="1545E1A6" w14:textId="77777777" w:rsidR="00A07D6C" w:rsidRPr="00E834EF" w:rsidRDefault="00A07D6C" w:rsidP="00A07D6C">
            <w:pPr>
              <w:spacing w:before="40" w:after="40"/>
              <w:rPr>
                <w:sz w:val="17"/>
                <w:szCs w:val="17"/>
              </w:rPr>
            </w:pPr>
          </w:p>
        </w:tc>
        <w:tc>
          <w:tcPr>
            <w:tcW w:w="913" w:type="dxa"/>
            <w:vAlign w:val="bottom"/>
          </w:tcPr>
          <w:p w14:paraId="34EE5BB9" w14:textId="77777777" w:rsidR="00A07D6C" w:rsidRPr="007766C5" w:rsidRDefault="00A07D6C" w:rsidP="00A07D6C">
            <w:pPr>
              <w:spacing w:before="40" w:after="40"/>
              <w:jc w:val="right"/>
              <w:rPr>
                <w:color w:val="000000"/>
                <w:sz w:val="17"/>
                <w:szCs w:val="17"/>
              </w:rPr>
            </w:pPr>
            <w:r>
              <w:rPr>
                <w:sz w:val="17"/>
                <w:szCs w:val="17"/>
              </w:rPr>
              <w:t>52.8</w:t>
            </w:r>
          </w:p>
        </w:tc>
        <w:tc>
          <w:tcPr>
            <w:tcW w:w="252" w:type="dxa"/>
            <w:gridSpan w:val="2"/>
            <w:vAlign w:val="bottom"/>
          </w:tcPr>
          <w:p w14:paraId="37418773" w14:textId="77777777" w:rsidR="00A07D6C" w:rsidRPr="007766C5" w:rsidRDefault="00A07D6C" w:rsidP="00A07D6C">
            <w:pPr>
              <w:spacing w:before="40" w:after="40"/>
              <w:rPr>
                <w:color w:val="000000"/>
                <w:sz w:val="17"/>
                <w:szCs w:val="17"/>
              </w:rPr>
            </w:pPr>
          </w:p>
        </w:tc>
        <w:tc>
          <w:tcPr>
            <w:tcW w:w="924" w:type="dxa"/>
            <w:vAlign w:val="bottom"/>
          </w:tcPr>
          <w:p w14:paraId="67F605F1" w14:textId="77777777" w:rsidR="00A07D6C" w:rsidRPr="007766C5" w:rsidRDefault="00A07D6C" w:rsidP="00A07D6C">
            <w:pPr>
              <w:spacing w:before="40" w:after="40"/>
              <w:jc w:val="right"/>
              <w:rPr>
                <w:color w:val="000000"/>
                <w:sz w:val="17"/>
                <w:szCs w:val="17"/>
              </w:rPr>
            </w:pPr>
            <w:r w:rsidRPr="007766C5">
              <w:rPr>
                <w:sz w:val="17"/>
                <w:szCs w:val="17"/>
              </w:rPr>
              <w:t>90.0</w:t>
            </w:r>
          </w:p>
        </w:tc>
        <w:tc>
          <w:tcPr>
            <w:tcW w:w="242" w:type="dxa"/>
            <w:vAlign w:val="bottom"/>
          </w:tcPr>
          <w:p w14:paraId="644ECD1C" w14:textId="77777777" w:rsidR="00A07D6C" w:rsidRPr="007766C5" w:rsidRDefault="00A07D6C" w:rsidP="00A07D6C">
            <w:pPr>
              <w:spacing w:before="40" w:after="40"/>
              <w:rPr>
                <w:color w:val="000000"/>
                <w:sz w:val="17"/>
                <w:szCs w:val="17"/>
              </w:rPr>
            </w:pPr>
          </w:p>
        </w:tc>
        <w:tc>
          <w:tcPr>
            <w:tcW w:w="924" w:type="dxa"/>
            <w:vAlign w:val="bottom"/>
          </w:tcPr>
          <w:p w14:paraId="3E1F8DDA" w14:textId="77777777" w:rsidR="00A07D6C" w:rsidRPr="007766C5" w:rsidRDefault="00A07D6C" w:rsidP="00A07D6C">
            <w:pPr>
              <w:spacing w:before="40" w:after="40"/>
              <w:jc w:val="right"/>
              <w:rPr>
                <w:color w:val="000000"/>
                <w:sz w:val="17"/>
                <w:szCs w:val="17"/>
              </w:rPr>
            </w:pPr>
            <w:r w:rsidRPr="007766C5">
              <w:rPr>
                <w:sz w:val="17"/>
                <w:szCs w:val="17"/>
              </w:rPr>
              <w:t>82.8</w:t>
            </w:r>
          </w:p>
        </w:tc>
        <w:tc>
          <w:tcPr>
            <w:tcW w:w="242" w:type="dxa"/>
            <w:vAlign w:val="bottom"/>
          </w:tcPr>
          <w:p w14:paraId="5B91C680" w14:textId="77777777" w:rsidR="00A07D6C" w:rsidRPr="007766C5" w:rsidRDefault="00A07D6C" w:rsidP="00A07D6C">
            <w:pPr>
              <w:spacing w:before="40" w:after="40"/>
              <w:rPr>
                <w:sz w:val="17"/>
                <w:szCs w:val="17"/>
              </w:rPr>
            </w:pPr>
          </w:p>
        </w:tc>
        <w:tc>
          <w:tcPr>
            <w:tcW w:w="924" w:type="dxa"/>
          </w:tcPr>
          <w:p w14:paraId="02790255" w14:textId="77777777" w:rsidR="00A07D6C" w:rsidRPr="007766C5" w:rsidRDefault="00A07D6C" w:rsidP="00A07D6C">
            <w:pPr>
              <w:spacing w:before="40" w:after="40"/>
              <w:jc w:val="right"/>
              <w:rPr>
                <w:sz w:val="17"/>
                <w:szCs w:val="17"/>
              </w:rPr>
            </w:pPr>
            <w:r w:rsidRPr="007766C5">
              <w:rPr>
                <w:sz w:val="17"/>
                <w:szCs w:val="17"/>
              </w:rPr>
              <w:t>67.0</w:t>
            </w:r>
          </w:p>
        </w:tc>
        <w:tc>
          <w:tcPr>
            <w:tcW w:w="227" w:type="dxa"/>
            <w:vAlign w:val="bottom"/>
          </w:tcPr>
          <w:p w14:paraId="775B2495" w14:textId="77777777" w:rsidR="00A07D6C" w:rsidRPr="007766C5" w:rsidRDefault="00A07D6C" w:rsidP="00A07D6C">
            <w:pPr>
              <w:spacing w:before="40" w:after="40"/>
              <w:rPr>
                <w:sz w:val="17"/>
                <w:szCs w:val="17"/>
              </w:rPr>
            </w:pPr>
          </w:p>
        </w:tc>
        <w:tc>
          <w:tcPr>
            <w:tcW w:w="939" w:type="dxa"/>
          </w:tcPr>
          <w:p w14:paraId="7E9760B0" w14:textId="77777777" w:rsidR="00A07D6C" w:rsidRPr="007766C5" w:rsidRDefault="00A07D6C" w:rsidP="00A07D6C">
            <w:pPr>
              <w:spacing w:before="40" w:after="40"/>
              <w:jc w:val="right"/>
              <w:rPr>
                <w:sz w:val="17"/>
                <w:szCs w:val="17"/>
              </w:rPr>
            </w:pPr>
            <w:r w:rsidRPr="007766C5">
              <w:rPr>
                <w:sz w:val="17"/>
                <w:szCs w:val="17"/>
              </w:rPr>
              <w:t>83.2</w:t>
            </w:r>
          </w:p>
        </w:tc>
        <w:tc>
          <w:tcPr>
            <w:tcW w:w="266" w:type="dxa"/>
            <w:vAlign w:val="bottom"/>
          </w:tcPr>
          <w:p w14:paraId="10653AC0" w14:textId="77777777" w:rsidR="00A07D6C" w:rsidRPr="000D2863" w:rsidRDefault="00A07D6C" w:rsidP="00A07D6C">
            <w:pPr>
              <w:spacing w:before="40" w:after="40"/>
              <w:rPr>
                <w:sz w:val="17"/>
                <w:szCs w:val="17"/>
              </w:rPr>
            </w:pPr>
          </w:p>
        </w:tc>
      </w:tr>
      <w:tr w:rsidR="00A07D6C" w:rsidRPr="00E834EF" w14:paraId="0157D886" w14:textId="77777777" w:rsidTr="00D925C8">
        <w:tc>
          <w:tcPr>
            <w:tcW w:w="3254" w:type="dxa"/>
            <w:vAlign w:val="bottom"/>
          </w:tcPr>
          <w:p w14:paraId="00BF94E3" w14:textId="77777777" w:rsidR="00A07D6C" w:rsidRPr="00E754AA" w:rsidRDefault="00A07D6C" w:rsidP="00A07D6C">
            <w:pPr>
              <w:tabs>
                <w:tab w:val="right" w:leader="dot" w:pos="3255"/>
              </w:tabs>
              <w:bidi/>
              <w:spacing w:before="40" w:after="40"/>
              <w:ind w:left="357"/>
              <w:rPr>
                <w:color w:val="000000"/>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50BF7798" w14:textId="77777777" w:rsidR="00A07D6C" w:rsidRPr="00E754AA" w:rsidRDefault="00A07D6C" w:rsidP="00A07D6C">
            <w:pPr>
              <w:spacing w:before="40" w:after="40"/>
              <w:rPr>
                <w:sz w:val="17"/>
                <w:szCs w:val="17"/>
              </w:rPr>
            </w:pPr>
          </w:p>
        </w:tc>
        <w:tc>
          <w:tcPr>
            <w:tcW w:w="913" w:type="dxa"/>
            <w:vAlign w:val="bottom"/>
          </w:tcPr>
          <w:p w14:paraId="5C5BE5B9" w14:textId="77777777" w:rsidR="00A07D6C" w:rsidRPr="00E754AA" w:rsidRDefault="00A07D6C" w:rsidP="00A07D6C">
            <w:pPr>
              <w:spacing w:before="40" w:after="40"/>
              <w:jc w:val="right"/>
              <w:rPr>
                <w:color w:val="000000"/>
                <w:sz w:val="17"/>
                <w:szCs w:val="17"/>
              </w:rPr>
            </w:pPr>
            <w:r w:rsidRPr="00E754AA">
              <w:rPr>
                <w:sz w:val="17"/>
                <w:szCs w:val="17"/>
              </w:rPr>
              <w:t>—</w:t>
            </w:r>
          </w:p>
        </w:tc>
        <w:tc>
          <w:tcPr>
            <w:tcW w:w="252" w:type="dxa"/>
            <w:gridSpan w:val="2"/>
            <w:vAlign w:val="bottom"/>
          </w:tcPr>
          <w:p w14:paraId="4C88D7E7" w14:textId="77777777" w:rsidR="00A07D6C" w:rsidRPr="00E754AA" w:rsidRDefault="00A07D6C" w:rsidP="00A07D6C">
            <w:pPr>
              <w:spacing w:before="40" w:after="40"/>
              <w:rPr>
                <w:color w:val="000000"/>
                <w:sz w:val="17"/>
                <w:szCs w:val="17"/>
              </w:rPr>
            </w:pPr>
          </w:p>
        </w:tc>
        <w:tc>
          <w:tcPr>
            <w:tcW w:w="924" w:type="dxa"/>
            <w:vAlign w:val="bottom"/>
          </w:tcPr>
          <w:p w14:paraId="38CF8FC3" w14:textId="77777777" w:rsidR="00A07D6C" w:rsidRPr="00E754AA" w:rsidRDefault="00A07D6C" w:rsidP="00A07D6C">
            <w:pPr>
              <w:spacing w:before="40" w:after="40"/>
              <w:jc w:val="right"/>
              <w:rPr>
                <w:color w:val="000000"/>
                <w:sz w:val="17"/>
                <w:szCs w:val="17"/>
              </w:rPr>
            </w:pPr>
            <w:r w:rsidRPr="00E754AA">
              <w:rPr>
                <w:sz w:val="17"/>
                <w:szCs w:val="17"/>
              </w:rPr>
              <w:t>(0.7</w:t>
            </w:r>
            <w:r w:rsidR="008D2C3F">
              <w:rPr>
                <w:sz w:val="17"/>
                <w:szCs w:val="17"/>
              </w:rPr>
              <w:t>)</w:t>
            </w:r>
          </w:p>
        </w:tc>
        <w:tc>
          <w:tcPr>
            <w:tcW w:w="242" w:type="dxa"/>
            <w:vAlign w:val="bottom"/>
          </w:tcPr>
          <w:p w14:paraId="0DCAF353" w14:textId="77777777" w:rsidR="00A07D6C" w:rsidRPr="00E754AA" w:rsidRDefault="00A07D6C" w:rsidP="00A07D6C">
            <w:pPr>
              <w:spacing w:before="40" w:after="40"/>
              <w:rPr>
                <w:color w:val="000000"/>
                <w:sz w:val="17"/>
                <w:szCs w:val="17"/>
              </w:rPr>
            </w:pPr>
          </w:p>
        </w:tc>
        <w:tc>
          <w:tcPr>
            <w:tcW w:w="924" w:type="dxa"/>
            <w:vAlign w:val="bottom"/>
          </w:tcPr>
          <w:p w14:paraId="3DE57591" w14:textId="77777777" w:rsidR="00A07D6C" w:rsidRPr="00E754AA" w:rsidRDefault="00A07D6C" w:rsidP="00A07D6C">
            <w:pPr>
              <w:spacing w:before="40" w:after="40"/>
              <w:jc w:val="right"/>
              <w:rPr>
                <w:color w:val="000000"/>
                <w:sz w:val="17"/>
                <w:szCs w:val="17"/>
              </w:rPr>
            </w:pPr>
            <w:r w:rsidRPr="00E754AA">
              <w:rPr>
                <w:sz w:val="17"/>
                <w:szCs w:val="17"/>
              </w:rPr>
              <w:t>18.0</w:t>
            </w:r>
          </w:p>
        </w:tc>
        <w:tc>
          <w:tcPr>
            <w:tcW w:w="242" w:type="dxa"/>
            <w:vAlign w:val="bottom"/>
          </w:tcPr>
          <w:p w14:paraId="26DC2148" w14:textId="77777777" w:rsidR="00A07D6C" w:rsidRPr="00E754AA" w:rsidRDefault="00A07D6C" w:rsidP="00A07D6C">
            <w:pPr>
              <w:spacing w:before="40" w:after="40"/>
              <w:rPr>
                <w:sz w:val="17"/>
                <w:szCs w:val="17"/>
              </w:rPr>
            </w:pPr>
          </w:p>
        </w:tc>
        <w:tc>
          <w:tcPr>
            <w:tcW w:w="924" w:type="dxa"/>
            <w:vAlign w:val="bottom"/>
          </w:tcPr>
          <w:p w14:paraId="65F58652" w14:textId="77777777" w:rsidR="00A07D6C" w:rsidRPr="00E754AA" w:rsidRDefault="00A07D6C" w:rsidP="00A07D6C">
            <w:pPr>
              <w:spacing w:before="40" w:after="40"/>
              <w:jc w:val="right"/>
              <w:rPr>
                <w:sz w:val="17"/>
                <w:szCs w:val="17"/>
              </w:rPr>
            </w:pPr>
            <w:r w:rsidRPr="00E754AA">
              <w:rPr>
                <w:sz w:val="17"/>
                <w:szCs w:val="17"/>
              </w:rPr>
              <w:t>—</w:t>
            </w:r>
          </w:p>
        </w:tc>
        <w:tc>
          <w:tcPr>
            <w:tcW w:w="227" w:type="dxa"/>
            <w:vAlign w:val="bottom"/>
          </w:tcPr>
          <w:p w14:paraId="172ED65A" w14:textId="77777777" w:rsidR="00A07D6C" w:rsidRPr="00E754AA" w:rsidRDefault="00A07D6C" w:rsidP="00A07D6C">
            <w:pPr>
              <w:spacing w:before="40" w:after="40"/>
              <w:rPr>
                <w:sz w:val="17"/>
                <w:szCs w:val="17"/>
              </w:rPr>
            </w:pPr>
          </w:p>
        </w:tc>
        <w:tc>
          <w:tcPr>
            <w:tcW w:w="939" w:type="dxa"/>
            <w:vAlign w:val="bottom"/>
          </w:tcPr>
          <w:p w14:paraId="7AE1F702" w14:textId="77777777" w:rsidR="00A07D6C" w:rsidRPr="00E754AA" w:rsidRDefault="00A07D6C" w:rsidP="00A07D6C">
            <w:pPr>
              <w:spacing w:before="40" w:after="40"/>
              <w:jc w:val="right"/>
              <w:rPr>
                <w:sz w:val="17"/>
                <w:szCs w:val="17"/>
              </w:rPr>
            </w:pPr>
            <w:r w:rsidRPr="00E754AA">
              <w:rPr>
                <w:sz w:val="17"/>
                <w:szCs w:val="17"/>
              </w:rPr>
              <w:t>—</w:t>
            </w:r>
          </w:p>
        </w:tc>
        <w:tc>
          <w:tcPr>
            <w:tcW w:w="266" w:type="dxa"/>
            <w:vAlign w:val="bottom"/>
          </w:tcPr>
          <w:p w14:paraId="49CE1065" w14:textId="77777777" w:rsidR="00A07D6C" w:rsidRPr="000D2863" w:rsidRDefault="00A07D6C" w:rsidP="00A07D6C">
            <w:pPr>
              <w:spacing w:before="40" w:after="40"/>
              <w:rPr>
                <w:sz w:val="17"/>
                <w:szCs w:val="17"/>
              </w:rPr>
            </w:pPr>
          </w:p>
        </w:tc>
      </w:tr>
      <w:tr w:rsidR="00A07D6C" w:rsidRPr="00E834EF" w14:paraId="0DFA1A41" w14:textId="77777777" w:rsidTr="00D925C8">
        <w:tc>
          <w:tcPr>
            <w:tcW w:w="3254" w:type="dxa"/>
            <w:vAlign w:val="center"/>
          </w:tcPr>
          <w:p w14:paraId="221A3A63" w14:textId="77777777" w:rsidR="00A07D6C" w:rsidRPr="00E754AA" w:rsidRDefault="00ED5313" w:rsidP="00A07D6C">
            <w:pPr>
              <w:tabs>
                <w:tab w:val="right" w:leader="dot" w:pos="3255"/>
              </w:tabs>
              <w:bidi/>
              <w:spacing w:before="40" w:after="40"/>
              <w:ind w:left="357"/>
              <w:rPr>
                <w:color w:val="000000"/>
                <w:sz w:val="17"/>
                <w:szCs w:val="17"/>
              </w:rPr>
            </w:pPr>
            <w:r>
              <w:rPr>
                <w:rFonts w:hint="cs"/>
                <w:color w:val="000000"/>
                <w:sz w:val="17"/>
                <w:szCs w:val="17"/>
                <w:rtl/>
              </w:rPr>
              <w:t>ايرادات اخرى</w:t>
            </w:r>
            <w:r w:rsidR="00A07D6C" w:rsidRPr="0054596C">
              <w:rPr>
                <w:sz w:val="17"/>
              </w:rPr>
              <w:tab/>
            </w:r>
          </w:p>
        </w:tc>
        <w:tc>
          <w:tcPr>
            <w:tcW w:w="242" w:type="dxa"/>
            <w:vAlign w:val="bottom"/>
          </w:tcPr>
          <w:p w14:paraId="633EBA29" w14:textId="77777777" w:rsidR="00A07D6C" w:rsidRPr="00E834EF" w:rsidRDefault="00A07D6C" w:rsidP="00A07D6C">
            <w:pPr>
              <w:spacing w:before="40" w:after="40"/>
              <w:rPr>
                <w:sz w:val="17"/>
                <w:szCs w:val="17"/>
              </w:rPr>
            </w:pPr>
          </w:p>
        </w:tc>
        <w:tc>
          <w:tcPr>
            <w:tcW w:w="913" w:type="dxa"/>
            <w:vAlign w:val="bottom"/>
          </w:tcPr>
          <w:p w14:paraId="7878A633" w14:textId="77777777" w:rsidR="00A07D6C" w:rsidRPr="00E754AA" w:rsidRDefault="00A07D6C" w:rsidP="00A07D6C">
            <w:pPr>
              <w:spacing w:before="40" w:after="40"/>
              <w:jc w:val="right"/>
              <w:rPr>
                <w:color w:val="000000"/>
                <w:sz w:val="17"/>
                <w:szCs w:val="17"/>
              </w:rPr>
            </w:pPr>
            <w:r w:rsidRPr="00E754AA">
              <w:rPr>
                <w:sz w:val="17"/>
                <w:szCs w:val="17"/>
              </w:rPr>
              <w:t>—</w:t>
            </w:r>
          </w:p>
        </w:tc>
        <w:tc>
          <w:tcPr>
            <w:tcW w:w="252" w:type="dxa"/>
            <w:gridSpan w:val="2"/>
            <w:vAlign w:val="bottom"/>
          </w:tcPr>
          <w:p w14:paraId="478CD8E1" w14:textId="77777777" w:rsidR="00A07D6C" w:rsidRPr="00E754AA" w:rsidRDefault="00A07D6C" w:rsidP="00A07D6C">
            <w:pPr>
              <w:spacing w:before="40" w:after="40"/>
              <w:rPr>
                <w:color w:val="000000"/>
                <w:sz w:val="17"/>
                <w:szCs w:val="17"/>
              </w:rPr>
            </w:pPr>
          </w:p>
        </w:tc>
        <w:tc>
          <w:tcPr>
            <w:tcW w:w="924" w:type="dxa"/>
            <w:vAlign w:val="bottom"/>
          </w:tcPr>
          <w:p w14:paraId="01690E60" w14:textId="77777777" w:rsidR="00A07D6C" w:rsidRPr="00E754AA" w:rsidRDefault="00A07D6C" w:rsidP="00A07D6C">
            <w:pPr>
              <w:spacing w:before="40" w:after="40"/>
              <w:jc w:val="right"/>
              <w:rPr>
                <w:color w:val="000000"/>
                <w:sz w:val="17"/>
                <w:szCs w:val="17"/>
              </w:rPr>
            </w:pPr>
            <w:r w:rsidRPr="00E754AA">
              <w:rPr>
                <w:sz w:val="17"/>
                <w:szCs w:val="17"/>
              </w:rPr>
              <w:t>0.6</w:t>
            </w:r>
          </w:p>
        </w:tc>
        <w:tc>
          <w:tcPr>
            <w:tcW w:w="242" w:type="dxa"/>
            <w:vAlign w:val="bottom"/>
          </w:tcPr>
          <w:p w14:paraId="36593C29" w14:textId="77777777" w:rsidR="00A07D6C" w:rsidRPr="00E754AA" w:rsidRDefault="00A07D6C" w:rsidP="00A07D6C">
            <w:pPr>
              <w:spacing w:before="40" w:after="40"/>
              <w:rPr>
                <w:color w:val="000000"/>
                <w:sz w:val="17"/>
                <w:szCs w:val="17"/>
              </w:rPr>
            </w:pPr>
          </w:p>
        </w:tc>
        <w:tc>
          <w:tcPr>
            <w:tcW w:w="924" w:type="dxa"/>
            <w:vAlign w:val="bottom"/>
          </w:tcPr>
          <w:p w14:paraId="1865CF15" w14:textId="77777777" w:rsidR="00A07D6C" w:rsidRPr="00E754AA" w:rsidRDefault="00A07D6C" w:rsidP="00A07D6C">
            <w:pPr>
              <w:spacing w:before="40" w:after="40"/>
              <w:jc w:val="right"/>
              <w:rPr>
                <w:color w:val="000000"/>
                <w:sz w:val="17"/>
                <w:szCs w:val="17"/>
              </w:rPr>
            </w:pPr>
            <w:r w:rsidRPr="00E754AA">
              <w:rPr>
                <w:sz w:val="17"/>
                <w:szCs w:val="17"/>
              </w:rPr>
              <w:t>7.5</w:t>
            </w:r>
          </w:p>
        </w:tc>
        <w:tc>
          <w:tcPr>
            <w:tcW w:w="242" w:type="dxa"/>
            <w:vAlign w:val="bottom"/>
          </w:tcPr>
          <w:p w14:paraId="14C623EF" w14:textId="77777777" w:rsidR="00A07D6C" w:rsidRPr="00E754AA" w:rsidRDefault="00A07D6C" w:rsidP="00A07D6C">
            <w:pPr>
              <w:spacing w:before="40" w:after="40"/>
              <w:rPr>
                <w:sz w:val="17"/>
                <w:szCs w:val="17"/>
              </w:rPr>
            </w:pPr>
          </w:p>
        </w:tc>
        <w:tc>
          <w:tcPr>
            <w:tcW w:w="924" w:type="dxa"/>
          </w:tcPr>
          <w:p w14:paraId="105D505C" w14:textId="77777777" w:rsidR="00A07D6C" w:rsidRPr="00E754AA" w:rsidRDefault="00A07D6C" w:rsidP="00A07D6C">
            <w:pPr>
              <w:spacing w:before="40" w:after="40"/>
              <w:jc w:val="right"/>
              <w:rPr>
                <w:sz w:val="17"/>
                <w:szCs w:val="17"/>
              </w:rPr>
            </w:pPr>
            <w:r w:rsidRPr="00E754AA">
              <w:rPr>
                <w:sz w:val="17"/>
                <w:szCs w:val="17"/>
              </w:rPr>
              <w:t>7.4</w:t>
            </w:r>
          </w:p>
        </w:tc>
        <w:tc>
          <w:tcPr>
            <w:tcW w:w="227" w:type="dxa"/>
            <w:vAlign w:val="bottom"/>
          </w:tcPr>
          <w:p w14:paraId="66E0864D" w14:textId="77777777" w:rsidR="00A07D6C" w:rsidRPr="00E754AA" w:rsidRDefault="00A07D6C" w:rsidP="00A07D6C">
            <w:pPr>
              <w:spacing w:before="40" w:after="40"/>
              <w:rPr>
                <w:sz w:val="17"/>
                <w:szCs w:val="17"/>
              </w:rPr>
            </w:pPr>
          </w:p>
        </w:tc>
        <w:tc>
          <w:tcPr>
            <w:tcW w:w="939" w:type="dxa"/>
          </w:tcPr>
          <w:p w14:paraId="4E8D309B" w14:textId="77777777" w:rsidR="00A07D6C" w:rsidRPr="00E754AA" w:rsidRDefault="00A07D6C" w:rsidP="00A07D6C">
            <w:pPr>
              <w:spacing w:before="40" w:after="40"/>
              <w:jc w:val="right"/>
              <w:rPr>
                <w:sz w:val="17"/>
                <w:szCs w:val="17"/>
              </w:rPr>
            </w:pPr>
            <w:r w:rsidRPr="00E754AA">
              <w:rPr>
                <w:sz w:val="17"/>
                <w:szCs w:val="17"/>
              </w:rPr>
              <w:t>0.3</w:t>
            </w:r>
          </w:p>
        </w:tc>
        <w:tc>
          <w:tcPr>
            <w:tcW w:w="266" w:type="dxa"/>
            <w:vAlign w:val="bottom"/>
          </w:tcPr>
          <w:p w14:paraId="198E9516" w14:textId="77777777" w:rsidR="00A07D6C" w:rsidRPr="000D2863" w:rsidRDefault="00A07D6C" w:rsidP="00A07D6C">
            <w:pPr>
              <w:spacing w:before="40" w:after="40"/>
              <w:rPr>
                <w:sz w:val="17"/>
                <w:szCs w:val="17"/>
              </w:rPr>
            </w:pPr>
          </w:p>
        </w:tc>
      </w:tr>
      <w:tr w:rsidR="00A07D6C" w:rsidRPr="00E834EF" w14:paraId="25855BE1" w14:textId="77777777" w:rsidTr="00D925C8">
        <w:tc>
          <w:tcPr>
            <w:tcW w:w="3254" w:type="dxa"/>
            <w:vAlign w:val="center"/>
          </w:tcPr>
          <w:p w14:paraId="4ECDD800" w14:textId="77777777" w:rsidR="00A07D6C" w:rsidRPr="00E754AA" w:rsidRDefault="00A07D6C" w:rsidP="00A07D6C">
            <w:pPr>
              <w:tabs>
                <w:tab w:val="right" w:leader="dot" w:pos="3255"/>
              </w:tabs>
              <w:bidi/>
              <w:spacing w:before="40" w:after="40"/>
              <w:ind w:left="357"/>
              <w:rPr>
                <w:sz w:val="17"/>
                <w:szCs w:val="17"/>
              </w:rPr>
            </w:pPr>
            <w:r>
              <w:rPr>
                <w:rFonts w:hint="cs"/>
                <w:color w:val="000000"/>
                <w:sz w:val="17"/>
                <w:szCs w:val="17"/>
                <w:rtl/>
              </w:rPr>
              <w:t>دخل الأرباح</w:t>
            </w:r>
            <w:r w:rsidRPr="0054596C">
              <w:rPr>
                <w:sz w:val="17"/>
              </w:rPr>
              <w:tab/>
            </w:r>
          </w:p>
        </w:tc>
        <w:tc>
          <w:tcPr>
            <w:tcW w:w="242" w:type="dxa"/>
            <w:vAlign w:val="bottom"/>
          </w:tcPr>
          <w:p w14:paraId="49E44E2B" w14:textId="77777777" w:rsidR="00A07D6C" w:rsidRPr="00E834EF" w:rsidRDefault="00A07D6C" w:rsidP="00A07D6C">
            <w:pPr>
              <w:spacing w:before="40" w:after="40"/>
              <w:rPr>
                <w:sz w:val="17"/>
                <w:szCs w:val="17"/>
              </w:rPr>
            </w:pPr>
          </w:p>
        </w:tc>
        <w:tc>
          <w:tcPr>
            <w:tcW w:w="913" w:type="dxa"/>
            <w:vAlign w:val="bottom"/>
          </w:tcPr>
          <w:p w14:paraId="56979D1D" w14:textId="77777777" w:rsidR="00A07D6C" w:rsidRPr="00E754AA" w:rsidRDefault="00E271D7" w:rsidP="00A07D6C">
            <w:pPr>
              <w:spacing w:before="40" w:after="40"/>
              <w:jc w:val="right"/>
              <w:rPr>
                <w:color w:val="000000"/>
                <w:sz w:val="17"/>
                <w:szCs w:val="17"/>
              </w:rPr>
            </w:pPr>
            <w:r>
              <w:rPr>
                <w:sz w:val="17"/>
                <w:szCs w:val="17"/>
              </w:rPr>
              <w:t>0.3</w:t>
            </w:r>
          </w:p>
        </w:tc>
        <w:tc>
          <w:tcPr>
            <w:tcW w:w="252" w:type="dxa"/>
            <w:gridSpan w:val="2"/>
            <w:vAlign w:val="bottom"/>
          </w:tcPr>
          <w:p w14:paraId="1173450B" w14:textId="77777777" w:rsidR="00A07D6C" w:rsidRPr="00E754AA" w:rsidRDefault="00A07D6C" w:rsidP="00A07D6C">
            <w:pPr>
              <w:spacing w:before="40" w:after="40"/>
              <w:rPr>
                <w:color w:val="000000"/>
                <w:sz w:val="17"/>
                <w:szCs w:val="17"/>
              </w:rPr>
            </w:pPr>
          </w:p>
        </w:tc>
        <w:tc>
          <w:tcPr>
            <w:tcW w:w="924" w:type="dxa"/>
            <w:vAlign w:val="bottom"/>
          </w:tcPr>
          <w:p w14:paraId="0E2C72DE" w14:textId="77777777" w:rsidR="00A07D6C" w:rsidRPr="00E754AA" w:rsidRDefault="00A07D6C" w:rsidP="00A07D6C">
            <w:pPr>
              <w:spacing w:before="40" w:after="40"/>
              <w:jc w:val="right"/>
              <w:rPr>
                <w:color w:val="000000"/>
                <w:sz w:val="17"/>
                <w:szCs w:val="17"/>
              </w:rPr>
            </w:pPr>
            <w:r w:rsidRPr="00E754AA">
              <w:rPr>
                <w:sz w:val="17"/>
                <w:szCs w:val="17"/>
              </w:rPr>
              <w:t>1.0</w:t>
            </w:r>
          </w:p>
        </w:tc>
        <w:tc>
          <w:tcPr>
            <w:tcW w:w="242" w:type="dxa"/>
            <w:vAlign w:val="bottom"/>
          </w:tcPr>
          <w:p w14:paraId="5A3F6725" w14:textId="77777777" w:rsidR="00A07D6C" w:rsidRPr="00E754AA" w:rsidRDefault="00A07D6C" w:rsidP="00A07D6C">
            <w:pPr>
              <w:spacing w:before="40" w:after="40"/>
              <w:rPr>
                <w:color w:val="000000"/>
                <w:sz w:val="17"/>
                <w:szCs w:val="17"/>
              </w:rPr>
            </w:pPr>
          </w:p>
        </w:tc>
        <w:tc>
          <w:tcPr>
            <w:tcW w:w="924" w:type="dxa"/>
            <w:vAlign w:val="bottom"/>
          </w:tcPr>
          <w:p w14:paraId="4D64CEA2" w14:textId="77777777" w:rsidR="00A07D6C" w:rsidRPr="00E754AA" w:rsidRDefault="00A07D6C" w:rsidP="00A07D6C">
            <w:pPr>
              <w:spacing w:before="40" w:after="40"/>
              <w:jc w:val="right"/>
              <w:rPr>
                <w:color w:val="000000"/>
                <w:sz w:val="17"/>
                <w:szCs w:val="17"/>
              </w:rPr>
            </w:pPr>
            <w:r w:rsidRPr="00E754AA">
              <w:rPr>
                <w:sz w:val="17"/>
                <w:szCs w:val="17"/>
              </w:rPr>
              <w:t>0.1</w:t>
            </w:r>
          </w:p>
        </w:tc>
        <w:tc>
          <w:tcPr>
            <w:tcW w:w="242" w:type="dxa"/>
            <w:vAlign w:val="bottom"/>
          </w:tcPr>
          <w:p w14:paraId="2F57EEAD" w14:textId="77777777" w:rsidR="00A07D6C" w:rsidRPr="00E754AA" w:rsidRDefault="00A07D6C" w:rsidP="00A07D6C">
            <w:pPr>
              <w:spacing w:before="40" w:after="40"/>
              <w:rPr>
                <w:sz w:val="17"/>
                <w:szCs w:val="17"/>
              </w:rPr>
            </w:pPr>
          </w:p>
        </w:tc>
        <w:tc>
          <w:tcPr>
            <w:tcW w:w="924" w:type="dxa"/>
            <w:vAlign w:val="bottom"/>
          </w:tcPr>
          <w:p w14:paraId="5B6C23CF" w14:textId="77777777" w:rsidR="00A07D6C" w:rsidRPr="00E754AA" w:rsidRDefault="00A07D6C" w:rsidP="00A07D6C">
            <w:pPr>
              <w:spacing w:before="40" w:after="40"/>
              <w:jc w:val="right"/>
              <w:rPr>
                <w:sz w:val="17"/>
                <w:szCs w:val="17"/>
              </w:rPr>
            </w:pPr>
            <w:r w:rsidRPr="00E754AA">
              <w:rPr>
                <w:sz w:val="17"/>
                <w:szCs w:val="17"/>
              </w:rPr>
              <w:t>0.1</w:t>
            </w:r>
          </w:p>
        </w:tc>
        <w:tc>
          <w:tcPr>
            <w:tcW w:w="227" w:type="dxa"/>
            <w:vAlign w:val="bottom"/>
          </w:tcPr>
          <w:p w14:paraId="5EA6A88B" w14:textId="77777777" w:rsidR="00A07D6C" w:rsidRPr="00E754AA" w:rsidRDefault="00A07D6C" w:rsidP="00A07D6C">
            <w:pPr>
              <w:spacing w:before="40" w:after="40"/>
              <w:rPr>
                <w:sz w:val="17"/>
                <w:szCs w:val="17"/>
              </w:rPr>
            </w:pPr>
          </w:p>
        </w:tc>
        <w:tc>
          <w:tcPr>
            <w:tcW w:w="939" w:type="dxa"/>
            <w:vAlign w:val="bottom"/>
          </w:tcPr>
          <w:p w14:paraId="3A9CCF5D" w14:textId="77777777" w:rsidR="00A07D6C" w:rsidRPr="00E754AA" w:rsidRDefault="00A07D6C" w:rsidP="00A07D6C">
            <w:pPr>
              <w:spacing w:before="40" w:after="40"/>
              <w:jc w:val="right"/>
              <w:rPr>
                <w:sz w:val="17"/>
                <w:szCs w:val="17"/>
              </w:rPr>
            </w:pPr>
            <w:r w:rsidRPr="00E754AA">
              <w:rPr>
                <w:sz w:val="17"/>
                <w:szCs w:val="17"/>
              </w:rPr>
              <w:t>0.1</w:t>
            </w:r>
          </w:p>
        </w:tc>
        <w:tc>
          <w:tcPr>
            <w:tcW w:w="266" w:type="dxa"/>
            <w:vAlign w:val="bottom"/>
          </w:tcPr>
          <w:p w14:paraId="2CCBE7B8" w14:textId="77777777" w:rsidR="00A07D6C" w:rsidRPr="000D2863" w:rsidRDefault="00A07D6C" w:rsidP="00A07D6C">
            <w:pPr>
              <w:spacing w:before="40" w:after="40"/>
              <w:rPr>
                <w:sz w:val="17"/>
                <w:szCs w:val="17"/>
              </w:rPr>
            </w:pPr>
          </w:p>
        </w:tc>
      </w:tr>
      <w:tr w:rsidR="00A07D6C" w:rsidRPr="00E834EF" w14:paraId="0DA9993A" w14:textId="77777777" w:rsidTr="00D925C8">
        <w:tc>
          <w:tcPr>
            <w:tcW w:w="3254" w:type="dxa"/>
            <w:vAlign w:val="bottom"/>
          </w:tcPr>
          <w:p w14:paraId="08229F02" w14:textId="77777777" w:rsidR="00A07D6C" w:rsidRPr="00E754AA" w:rsidRDefault="00A07D6C" w:rsidP="00A07D6C">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333AC228" w14:textId="77777777" w:rsidR="00A07D6C" w:rsidRPr="00E754AA" w:rsidRDefault="00A07D6C" w:rsidP="00A07D6C">
            <w:pPr>
              <w:spacing w:before="40" w:after="40"/>
              <w:rPr>
                <w:sz w:val="17"/>
                <w:szCs w:val="17"/>
              </w:rPr>
            </w:pPr>
          </w:p>
        </w:tc>
        <w:tc>
          <w:tcPr>
            <w:tcW w:w="913" w:type="dxa"/>
            <w:vAlign w:val="bottom"/>
          </w:tcPr>
          <w:p w14:paraId="7037355F" w14:textId="77777777" w:rsidR="00A07D6C" w:rsidRPr="00E754AA" w:rsidRDefault="00A07D6C" w:rsidP="00A07D6C">
            <w:pPr>
              <w:spacing w:before="40" w:after="40"/>
              <w:jc w:val="right"/>
              <w:rPr>
                <w:color w:val="000000"/>
                <w:sz w:val="17"/>
                <w:szCs w:val="17"/>
              </w:rPr>
            </w:pPr>
            <w:r w:rsidRPr="00E754AA">
              <w:rPr>
                <w:sz w:val="17"/>
                <w:szCs w:val="17"/>
              </w:rPr>
              <w:t>0.2</w:t>
            </w:r>
          </w:p>
        </w:tc>
        <w:tc>
          <w:tcPr>
            <w:tcW w:w="252" w:type="dxa"/>
            <w:gridSpan w:val="2"/>
            <w:vAlign w:val="bottom"/>
          </w:tcPr>
          <w:p w14:paraId="11076A3C" w14:textId="77777777" w:rsidR="00A07D6C" w:rsidRPr="00E754AA" w:rsidRDefault="00A07D6C" w:rsidP="00A07D6C">
            <w:pPr>
              <w:spacing w:before="40" w:after="40"/>
              <w:rPr>
                <w:color w:val="000000"/>
                <w:sz w:val="17"/>
                <w:szCs w:val="17"/>
              </w:rPr>
            </w:pPr>
          </w:p>
        </w:tc>
        <w:tc>
          <w:tcPr>
            <w:tcW w:w="924" w:type="dxa"/>
            <w:vAlign w:val="bottom"/>
          </w:tcPr>
          <w:p w14:paraId="648348DA" w14:textId="77777777" w:rsidR="00A07D6C" w:rsidRPr="00E754AA" w:rsidRDefault="00A07D6C" w:rsidP="00A07D6C">
            <w:pPr>
              <w:spacing w:before="40" w:after="40"/>
              <w:jc w:val="right"/>
              <w:rPr>
                <w:color w:val="000000"/>
                <w:sz w:val="17"/>
                <w:szCs w:val="17"/>
              </w:rPr>
            </w:pPr>
            <w:r w:rsidRPr="00E754AA">
              <w:rPr>
                <w:sz w:val="17"/>
                <w:szCs w:val="17"/>
              </w:rPr>
              <w:t>(0.2</w:t>
            </w:r>
            <w:r w:rsidR="008D2C3F">
              <w:rPr>
                <w:sz w:val="17"/>
                <w:szCs w:val="17"/>
              </w:rPr>
              <w:t>)</w:t>
            </w:r>
          </w:p>
        </w:tc>
        <w:tc>
          <w:tcPr>
            <w:tcW w:w="242" w:type="dxa"/>
            <w:vAlign w:val="bottom"/>
          </w:tcPr>
          <w:p w14:paraId="1B8EB0DC" w14:textId="77777777" w:rsidR="00A07D6C" w:rsidRPr="00E754AA" w:rsidRDefault="00A07D6C" w:rsidP="00A07D6C">
            <w:pPr>
              <w:spacing w:before="40" w:after="40"/>
              <w:rPr>
                <w:color w:val="000000"/>
                <w:sz w:val="17"/>
                <w:szCs w:val="17"/>
              </w:rPr>
            </w:pPr>
          </w:p>
        </w:tc>
        <w:tc>
          <w:tcPr>
            <w:tcW w:w="924" w:type="dxa"/>
            <w:vAlign w:val="bottom"/>
          </w:tcPr>
          <w:p w14:paraId="4C239D58" w14:textId="77777777" w:rsidR="00A07D6C" w:rsidRPr="00E754AA" w:rsidRDefault="00A07D6C" w:rsidP="00A07D6C">
            <w:pPr>
              <w:spacing w:before="40" w:after="40"/>
              <w:jc w:val="right"/>
              <w:rPr>
                <w:color w:val="000000"/>
                <w:sz w:val="17"/>
                <w:szCs w:val="17"/>
              </w:rPr>
            </w:pPr>
            <w:r w:rsidRPr="00E754AA">
              <w:rPr>
                <w:sz w:val="17"/>
                <w:szCs w:val="17"/>
              </w:rPr>
              <w:t>0.1</w:t>
            </w:r>
          </w:p>
        </w:tc>
        <w:tc>
          <w:tcPr>
            <w:tcW w:w="242" w:type="dxa"/>
            <w:vAlign w:val="bottom"/>
          </w:tcPr>
          <w:p w14:paraId="0D58265E" w14:textId="77777777" w:rsidR="00A07D6C" w:rsidRPr="00E754AA" w:rsidRDefault="00A07D6C" w:rsidP="00A07D6C">
            <w:pPr>
              <w:spacing w:before="40" w:after="40"/>
              <w:rPr>
                <w:sz w:val="17"/>
                <w:szCs w:val="17"/>
              </w:rPr>
            </w:pPr>
          </w:p>
        </w:tc>
        <w:tc>
          <w:tcPr>
            <w:tcW w:w="924" w:type="dxa"/>
            <w:vAlign w:val="bottom"/>
          </w:tcPr>
          <w:p w14:paraId="09C49F1F" w14:textId="77777777" w:rsidR="00A07D6C" w:rsidRPr="00E754AA" w:rsidRDefault="00A07D6C" w:rsidP="00A07D6C">
            <w:pPr>
              <w:spacing w:before="40" w:after="40"/>
              <w:jc w:val="right"/>
              <w:rPr>
                <w:sz w:val="17"/>
                <w:szCs w:val="17"/>
              </w:rPr>
            </w:pPr>
            <w:r w:rsidRPr="00E754AA">
              <w:rPr>
                <w:sz w:val="17"/>
                <w:szCs w:val="17"/>
              </w:rPr>
              <w:t>0.1</w:t>
            </w:r>
          </w:p>
        </w:tc>
        <w:tc>
          <w:tcPr>
            <w:tcW w:w="227" w:type="dxa"/>
            <w:vAlign w:val="bottom"/>
          </w:tcPr>
          <w:p w14:paraId="571919DD" w14:textId="77777777" w:rsidR="00A07D6C" w:rsidRPr="00E754AA" w:rsidRDefault="006113A2" w:rsidP="00A07D6C">
            <w:pPr>
              <w:spacing w:before="40" w:after="40"/>
              <w:rPr>
                <w:sz w:val="17"/>
                <w:szCs w:val="17"/>
              </w:rPr>
            </w:pPr>
            <w:r>
              <w:rPr>
                <w:sz w:val="17"/>
                <w:szCs w:val="17"/>
              </w:rPr>
              <w:t>)</w:t>
            </w:r>
          </w:p>
        </w:tc>
        <w:tc>
          <w:tcPr>
            <w:tcW w:w="939" w:type="dxa"/>
            <w:vAlign w:val="bottom"/>
          </w:tcPr>
          <w:p w14:paraId="79021690" w14:textId="77777777" w:rsidR="00A07D6C" w:rsidRPr="00E754AA" w:rsidRDefault="00A07D6C" w:rsidP="00A07D6C">
            <w:pPr>
              <w:spacing w:before="40" w:after="40"/>
              <w:jc w:val="right"/>
              <w:rPr>
                <w:sz w:val="17"/>
                <w:szCs w:val="17"/>
              </w:rPr>
            </w:pPr>
            <w:r w:rsidRPr="00E754AA">
              <w:rPr>
                <w:sz w:val="17"/>
                <w:szCs w:val="17"/>
              </w:rPr>
              <w:t>(0.3</w:t>
            </w:r>
          </w:p>
        </w:tc>
        <w:tc>
          <w:tcPr>
            <w:tcW w:w="266" w:type="dxa"/>
            <w:vAlign w:val="bottom"/>
          </w:tcPr>
          <w:p w14:paraId="60288600" w14:textId="77777777" w:rsidR="00A07D6C" w:rsidRPr="000D2863" w:rsidRDefault="00A07D6C" w:rsidP="00A07D6C">
            <w:pPr>
              <w:spacing w:before="40" w:after="40"/>
              <w:rPr>
                <w:sz w:val="17"/>
                <w:szCs w:val="17"/>
              </w:rPr>
            </w:pPr>
          </w:p>
        </w:tc>
      </w:tr>
      <w:tr w:rsidR="00A07D6C" w:rsidRPr="00E834EF" w14:paraId="44285A9C" w14:textId="77777777" w:rsidTr="00D925C8">
        <w:tc>
          <w:tcPr>
            <w:tcW w:w="3254" w:type="dxa"/>
            <w:vAlign w:val="center"/>
          </w:tcPr>
          <w:p w14:paraId="3E67F6C6" w14:textId="77777777" w:rsidR="00A07D6C" w:rsidRPr="00E754AA" w:rsidRDefault="00A07D6C" w:rsidP="00A07D6C">
            <w:pPr>
              <w:tabs>
                <w:tab w:val="right" w:leader="dot" w:pos="3255"/>
              </w:tabs>
              <w:bidi/>
              <w:spacing w:before="40" w:after="40"/>
              <w:ind w:left="357"/>
              <w:rPr>
                <w:sz w:val="17"/>
                <w:szCs w:val="17"/>
              </w:rPr>
            </w:pPr>
            <w:r>
              <w:rPr>
                <w:rFonts w:hint="cs"/>
                <w:color w:val="000000"/>
                <w:sz w:val="17"/>
                <w:szCs w:val="17"/>
                <w:rtl/>
              </w:rPr>
              <w:t>المصروفات التجارية</w:t>
            </w:r>
            <w:r w:rsidRPr="0054596C">
              <w:rPr>
                <w:sz w:val="17"/>
              </w:rPr>
              <w:tab/>
            </w:r>
          </w:p>
        </w:tc>
        <w:tc>
          <w:tcPr>
            <w:tcW w:w="242" w:type="dxa"/>
            <w:vAlign w:val="bottom"/>
          </w:tcPr>
          <w:p w14:paraId="3572E651" w14:textId="77777777" w:rsidR="00A07D6C" w:rsidRPr="00E834EF" w:rsidRDefault="00A07D6C" w:rsidP="00A07D6C">
            <w:pPr>
              <w:spacing w:before="40" w:after="40"/>
              <w:rPr>
                <w:sz w:val="17"/>
                <w:szCs w:val="17"/>
              </w:rPr>
            </w:pPr>
          </w:p>
        </w:tc>
        <w:tc>
          <w:tcPr>
            <w:tcW w:w="913" w:type="dxa"/>
            <w:vAlign w:val="bottom"/>
          </w:tcPr>
          <w:p w14:paraId="13FA89D8" w14:textId="77777777" w:rsidR="00A07D6C" w:rsidRPr="00E754AA" w:rsidRDefault="00A07D6C" w:rsidP="00A07D6C">
            <w:pPr>
              <w:spacing w:before="40" w:after="40"/>
              <w:jc w:val="right"/>
              <w:rPr>
                <w:color w:val="000000"/>
                <w:sz w:val="17"/>
                <w:szCs w:val="17"/>
              </w:rPr>
            </w:pPr>
            <w:r w:rsidRPr="00E754AA">
              <w:rPr>
                <w:sz w:val="17"/>
                <w:szCs w:val="17"/>
              </w:rPr>
              <w:t>(4.9</w:t>
            </w:r>
            <w:r w:rsidR="00CC6F56">
              <w:rPr>
                <w:sz w:val="17"/>
                <w:szCs w:val="17"/>
              </w:rPr>
              <w:t>)</w:t>
            </w:r>
          </w:p>
        </w:tc>
        <w:tc>
          <w:tcPr>
            <w:tcW w:w="252" w:type="dxa"/>
            <w:gridSpan w:val="2"/>
            <w:vAlign w:val="bottom"/>
          </w:tcPr>
          <w:p w14:paraId="0D86E3D6" w14:textId="77777777" w:rsidR="00A07D6C" w:rsidRPr="00E754AA" w:rsidRDefault="00A07D6C" w:rsidP="00A07D6C">
            <w:pPr>
              <w:spacing w:before="40" w:after="40"/>
              <w:rPr>
                <w:color w:val="000000"/>
                <w:sz w:val="17"/>
                <w:szCs w:val="17"/>
              </w:rPr>
            </w:pPr>
            <w:r w:rsidRPr="00E754AA">
              <w:rPr>
                <w:sz w:val="17"/>
                <w:szCs w:val="17"/>
              </w:rPr>
              <w:t>)</w:t>
            </w:r>
          </w:p>
        </w:tc>
        <w:tc>
          <w:tcPr>
            <w:tcW w:w="924" w:type="dxa"/>
            <w:vAlign w:val="bottom"/>
          </w:tcPr>
          <w:p w14:paraId="0ADF3D58" w14:textId="77777777" w:rsidR="00A07D6C" w:rsidRPr="00E754AA" w:rsidRDefault="00A07D6C" w:rsidP="00A07D6C">
            <w:pPr>
              <w:spacing w:before="40" w:after="40"/>
              <w:jc w:val="right"/>
              <w:rPr>
                <w:color w:val="000000"/>
                <w:sz w:val="17"/>
                <w:szCs w:val="17"/>
              </w:rPr>
            </w:pPr>
            <w:r w:rsidRPr="00E754AA">
              <w:rPr>
                <w:sz w:val="17"/>
                <w:szCs w:val="17"/>
              </w:rPr>
              <w:t>(8.0</w:t>
            </w:r>
          </w:p>
        </w:tc>
        <w:tc>
          <w:tcPr>
            <w:tcW w:w="242" w:type="dxa"/>
            <w:vAlign w:val="bottom"/>
          </w:tcPr>
          <w:p w14:paraId="31412014" w14:textId="77777777" w:rsidR="00A07D6C" w:rsidRPr="00E754AA" w:rsidRDefault="00A07D6C" w:rsidP="00A07D6C">
            <w:pPr>
              <w:spacing w:before="40" w:after="40"/>
              <w:rPr>
                <w:color w:val="000000"/>
                <w:sz w:val="17"/>
                <w:szCs w:val="17"/>
              </w:rPr>
            </w:pPr>
            <w:r w:rsidRPr="00E754AA">
              <w:rPr>
                <w:sz w:val="17"/>
                <w:szCs w:val="17"/>
              </w:rPr>
              <w:t>)</w:t>
            </w:r>
          </w:p>
        </w:tc>
        <w:tc>
          <w:tcPr>
            <w:tcW w:w="924" w:type="dxa"/>
            <w:vAlign w:val="bottom"/>
          </w:tcPr>
          <w:p w14:paraId="2A786134" w14:textId="77777777" w:rsidR="00A07D6C" w:rsidRPr="00E754AA" w:rsidRDefault="00A07D6C" w:rsidP="00A07D6C">
            <w:pPr>
              <w:spacing w:before="40" w:after="40"/>
              <w:jc w:val="right"/>
              <w:rPr>
                <w:color w:val="000000"/>
                <w:sz w:val="17"/>
                <w:szCs w:val="17"/>
              </w:rPr>
            </w:pPr>
            <w:r w:rsidRPr="00E754AA">
              <w:rPr>
                <w:sz w:val="17"/>
                <w:szCs w:val="17"/>
              </w:rPr>
              <w:t>(8.1</w:t>
            </w:r>
          </w:p>
        </w:tc>
        <w:tc>
          <w:tcPr>
            <w:tcW w:w="242" w:type="dxa"/>
            <w:vAlign w:val="bottom"/>
          </w:tcPr>
          <w:p w14:paraId="6735DBBC" w14:textId="77777777" w:rsidR="00A07D6C" w:rsidRPr="00E754AA" w:rsidRDefault="00A07D6C" w:rsidP="00A07D6C">
            <w:pPr>
              <w:spacing w:before="40" w:after="40"/>
              <w:rPr>
                <w:sz w:val="17"/>
                <w:szCs w:val="17"/>
              </w:rPr>
            </w:pPr>
            <w:r w:rsidRPr="00E754AA">
              <w:rPr>
                <w:sz w:val="17"/>
                <w:szCs w:val="17"/>
              </w:rPr>
              <w:t>)</w:t>
            </w:r>
          </w:p>
        </w:tc>
        <w:tc>
          <w:tcPr>
            <w:tcW w:w="924" w:type="dxa"/>
            <w:vAlign w:val="bottom"/>
          </w:tcPr>
          <w:p w14:paraId="183B9EF4" w14:textId="77777777" w:rsidR="00A07D6C" w:rsidRPr="00E754AA" w:rsidRDefault="00A07D6C" w:rsidP="00A07D6C">
            <w:pPr>
              <w:spacing w:before="40" w:after="40"/>
              <w:jc w:val="right"/>
              <w:rPr>
                <w:sz w:val="17"/>
                <w:szCs w:val="17"/>
              </w:rPr>
            </w:pPr>
            <w:r w:rsidRPr="00E754AA">
              <w:rPr>
                <w:sz w:val="17"/>
                <w:szCs w:val="17"/>
              </w:rPr>
              <w:t>(6.6</w:t>
            </w:r>
          </w:p>
        </w:tc>
        <w:tc>
          <w:tcPr>
            <w:tcW w:w="227" w:type="dxa"/>
            <w:vAlign w:val="bottom"/>
          </w:tcPr>
          <w:p w14:paraId="424DC072" w14:textId="77777777" w:rsidR="00A07D6C" w:rsidRPr="00E754AA" w:rsidRDefault="00A07D6C" w:rsidP="00A07D6C">
            <w:pPr>
              <w:spacing w:before="40" w:after="40"/>
              <w:rPr>
                <w:sz w:val="17"/>
                <w:szCs w:val="17"/>
              </w:rPr>
            </w:pPr>
            <w:r w:rsidRPr="00E754AA">
              <w:rPr>
                <w:sz w:val="17"/>
                <w:szCs w:val="17"/>
              </w:rPr>
              <w:t>)</w:t>
            </w:r>
          </w:p>
        </w:tc>
        <w:tc>
          <w:tcPr>
            <w:tcW w:w="939" w:type="dxa"/>
            <w:vAlign w:val="bottom"/>
          </w:tcPr>
          <w:p w14:paraId="3BDCAC08" w14:textId="77777777" w:rsidR="00A07D6C" w:rsidRPr="00E754AA" w:rsidRDefault="00A07D6C" w:rsidP="00A07D6C">
            <w:pPr>
              <w:spacing w:before="40" w:after="40"/>
              <w:jc w:val="right"/>
              <w:rPr>
                <w:sz w:val="17"/>
                <w:szCs w:val="17"/>
              </w:rPr>
            </w:pPr>
            <w:r w:rsidRPr="00E754AA">
              <w:rPr>
                <w:sz w:val="17"/>
                <w:szCs w:val="17"/>
              </w:rPr>
              <w:t>(5.4</w:t>
            </w:r>
          </w:p>
        </w:tc>
        <w:tc>
          <w:tcPr>
            <w:tcW w:w="266" w:type="dxa"/>
            <w:vAlign w:val="bottom"/>
          </w:tcPr>
          <w:p w14:paraId="1BC087D9" w14:textId="77777777" w:rsidR="00A07D6C" w:rsidRPr="000D2863" w:rsidRDefault="00A07D6C" w:rsidP="00A07D6C">
            <w:pPr>
              <w:spacing w:before="40" w:after="40"/>
              <w:rPr>
                <w:sz w:val="17"/>
                <w:szCs w:val="17"/>
              </w:rPr>
            </w:pPr>
          </w:p>
        </w:tc>
      </w:tr>
      <w:tr w:rsidR="00A07D6C" w:rsidRPr="00E834EF" w14:paraId="77063C59" w14:textId="77777777" w:rsidTr="00D925C8">
        <w:tc>
          <w:tcPr>
            <w:tcW w:w="3254" w:type="dxa"/>
            <w:vAlign w:val="center"/>
          </w:tcPr>
          <w:p w14:paraId="5B28F726" w14:textId="77777777" w:rsidR="00A07D6C" w:rsidRPr="00E754AA" w:rsidRDefault="00A07D6C" w:rsidP="00A07D6C">
            <w:pPr>
              <w:tabs>
                <w:tab w:val="right" w:leader="dot" w:pos="3255"/>
              </w:tabs>
              <w:bidi/>
              <w:spacing w:before="40" w:after="40"/>
              <w:ind w:left="357"/>
              <w:rPr>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4D9E5CE6" w14:textId="77777777" w:rsidR="00A07D6C" w:rsidRPr="00E834EF" w:rsidRDefault="00A07D6C" w:rsidP="00A07D6C">
            <w:pPr>
              <w:spacing w:before="40" w:after="40"/>
              <w:rPr>
                <w:sz w:val="17"/>
                <w:szCs w:val="17"/>
              </w:rPr>
            </w:pPr>
          </w:p>
        </w:tc>
        <w:tc>
          <w:tcPr>
            <w:tcW w:w="913" w:type="dxa"/>
            <w:vAlign w:val="bottom"/>
          </w:tcPr>
          <w:p w14:paraId="4F5EB334" w14:textId="77777777" w:rsidR="00A07D6C" w:rsidRPr="00E754AA" w:rsidRDefault="00A07D6C" w:rsidP="00A07D6C">
            <w:pPr>
              <w:spacing w:before="40" w:after="40"/>
              <w:jc w:val="right"/>
              <w:rPr>
                <w:color w:val="000000"/>
                <w:sz w:val="17"/>
                <w:szCs w:val="17"/>
              </w:rPr>
            </w:pPr>
            <w:r w:rsidRPr="00E754AA">
              <w:rPr>
                <w:sz w:val="17"/>
                <w:szCs w:val="17"/>
              </w:rPr>
              <w:t>(8.5</w:t>
            </w:r>
            <w:r w:rsidR="008D2C3F">
              <w:rPr>
                <w:sz w:val="17"/>
                <w:szCs w:val="17"/>
              </w:rPr>
              <w:t>)</w:t>
            </w:r>
          </w:p>
        </w:tc>
        <w:tc>
          <w:tcPr>
            <w:tcW w:w="252" w:type="dxa"/>
            <w:gridSpan w:val="2"/>
            <w:vAlign w:val="bottom"/>
          </w:tcPr>
          <w:p w14:paraId="7F0DAEF3" w14:textId="77777777" w:rsidR="00A07D6C" w:rsidRPr="00E754AA" w:rsidRDefault="00A07D6C" w:rsidP="00A07D6C">
            <w:pPr>
              <w:spacing w:before="40" w:after="40"/>
              <w:rPr>
                <w:color w:val="000000"/>
                <w:sz w:val="17"/>
                <w:szCs w:val="17"/>
              </w:rPr>
            </w:pPr>
            <w:r w:rsidRPr="00E754AA">
              <w:rPr>
                <w:sz w:val="17"/>
                <w:szCs w:val="17"/>
              </w:rPr>
              <w:t>)</w:t>
            </w:r>
          </w:p>
        </w:tc>
        <w:tc>
          <w:tcPr>
            <w:tcW w:w="924" w:type="dxa"/>
            <w:vAlign w:val="bottom"/>
          </w:tcPr>
          <w:p w14:paraId="4AFD910B" w14:textId="77777777" w:rsidR="00A07D6C" w:rsidRPr="00E754AA" w:rsidRDefault="00A07D6C" w:rsidP="00A07D6C">
            <w:pPr>
              <w:spacing w:before="40" w:after="40"/>
              <w:jc w:val="right"/>
              <w:rPr>
                <w:color w:val="000000"/>
                <w:sz w:val="17"/>
                <w:szCs w:val="17"/>
              </w:rPr>
            </w:pPr>
            <w:r w:rsidRPr="00E754AA">
              <w:rPr>
                <w:sz w:val="17"/>
                <w:szCs w:val="17"/>
              </w:rPr>
              <w:t>(10.9</w:t>
            </w:r>
          </w:p>
        </w:tc>
        <w:tc>
          <w:tcPr>
            <w:tcW w:w="242" w:type="dxa"/>
            <w:vAlign w:val="bottom"/>
          </w:tcPr>
          <w:p w14:paraId="7CB23B11" w14:textId="77777777" w:rsidR="00A07D6C" w:rsidRPr="00E754AA" w:rsidRDefault="00A07D6C" w:rsidP="00A07D6C">
            <w:pPr>
              <w:spacing w:before="40" w:after="40"/>
              <w:rPr>
                <w:color w:val="000000"/>
                <w:sz w:val="17"/>
                <w:szCs w:val="17"/>
              </w:rPr>
            </w:pPr>
            <w:r w:rsidRPr="00E754AA">
              <w:rPr>
                <w:sz w:val="17"/>
                <w:szCs w:val="17"/>
              </w:rPr>
              <w:t>)</w:t>
            </w:r>
          </w:p>
        </w:tc>
        <w:tc>
          <w:tcPr>
            <w:tcW w:w="924" w:type="dxa"/>
            <w:vAlign w:val="bottom"/>
          </w:tcPr>
          <w:p w14:paraId="5C9106D7" w14:textId="77777777" w:rsidR="00A07D6C" w:rsidRPr="00E754AA" w:rsidRDefault="00A07D6C" w:rsidP="00A07D6C">
            <w:pPr>
              <w:spacing w:before="40" w:after="40"/>
              <w:jc w:val="right"/>
              <w:rPr>
                <w:color w:val="000000"/>
                <w:sz w:val="17"/>
                <w:szCs w:val="17"/>
              </w:rPr>
            </w:pPr>
            <w:r w:rsidRPr="00E754AA">
              <w:rPr>
                <w:sz w:val="17"/>
                <w:szCs w:val="17"/>
              </w:rPr>
              <w:t>(12.6</w:t>
            </w:r>
          </w:p>
        </w:tc>
        <w:tc>
          <w:tcPr>
            <w:tcW w:w="242" w:type="dxa"/>
            <w:vAlign w:val="bottom"/>
          </w:tcPr>
          <w:p w14:paraId="42C05620" w14:textId="77777777" w:rsidR="00A07D6C" w:rsidRPr="00E754AA" w:rsidRDefault="00A07D6C" w:rsidP="00A07D6C">
            <w:pPr>
              <w:spacing w:before="40" w:after="40"/>
              <w:rPr>
                <w:sz w:val="17"/>
                <w:szCs w:val="17"/>
              </w:rPr>
            </w:pPr>
            <w:r w:rsidRPr="00E754AA">
              <w:rPr>
                <w:sz w:val="17"/>
                <w:szCs w:val="17"/>
              </w:rPr>
              <w:t>)</w:t>
            </w:r>
          </w:p>
        </w:tc>
        <w:tc>
          <w:tcPr>
            <w:tcW w:w="924" w:type="dxa"/>
            <w:vAlign w:val="bottom"/>
          </w:tcPr>
          <w:p w14:paraId="67B4D24E" w14:textId="77777777" w:rsidR="00A07D6C" w:rsidRPr="00E754AA" w:rsidRDefault="00A07D6C" w:rsidP="00A07D6C">
            <w:pPr>
              <w:spacing w:before="40" w:after="40"/>
              <w:jc w:val="right"/>
              <w:rPr>
                <w:sz w:val="17"/>
                <w:szCs w:val="17"/>
              </w:rPr>
            </w:pPr>
            <w:r w:rsidRPr="00E754AA">
              <w:rPr>
                <w:sz w:val="17"/>
                <w:szCs w:val="17"/>
              </w:rPr>
              <w:t>(7.8</w:t>
            </w:r>
          </w:p>
        </w:tc>
        <w:tc>
          <w:tcPr>
            <w:tcW w:w="227" w:type="dxa"/>
            <w:vAlign w:val="bottom"/>
          </w:tcPr>
          <w:p w14:paraId="1EF4DB85" w14:textId="77777777" w:rsidR="00A07D6C" w:rsidRPr="00E754AA" w:rsidRDefault="00A07D6C" w:rsidP="00A07D6C">
            <w:pPr>
              <w:spacing w:before="40" w:after="40"/>
              <w:rPr>
                <w:sz w:val="17"/>
                <w:szCs w:val="17"/>
              </w:rPr>
            </w:pPr>
            <w:r w:rsidRPr="00E754AA">
              <w:rPr>
                <w:sz w:val="17"/>
                <w:szCs w:val="17"/>
              </w:rPr>
              <w:t>)</w:t>
            </w:r>
          </w:p>
        </w:tc>
        <w:tc>
          <w:tcPr>
            <w:tcW w:w="939" w:type="dxa"/>
            <w:vAlign w:val="bottom"/>
          </w:tcPr>
          <w:p w14:paraId="32964759" w14:textId="77777777" w:rsidR="00A07D6C" w:rsidRPr="00E754AA" w:rsidRDefault="00A07D6C" w:rsidP="00A07D6C">
            <w:pPr>
              <w:spacing w:before="40" w:after="40"/>
              <w:jc w:val="right"/>
              <w:rPr>
                <w:sz w:val="17"/>
                <w:szCs w:val="17"/>
              </w:rPr>
            </w:pPr>
            <w:r w:rsidRPr="00E754AA">
              <w:rPr>
                <w:sz w:val="17"/>
                <w:szCs w:val="17"/>
              </w:rPr>
              <w:t>(11.0</w:t>
            </w:r>
          </w:p>
        </w:tc>
        <w:tc>
          <w:tcPr>
            <w:tcW w:w="266" w:type="dxa"/>
            <w:vAlign w:val="bottom"/>
          </w:tcPr>
          <w:p w14:paraId="4A3BE67E" w14:textId="77777777" w:rsidR="00A07D6C" w:rsidRPr="000D2863" w:rsidRDefault="00A07D6C" w:rsidP="00A07D6C">
            <w:pPr>
              <w:spacing w:before="40" w:after="40"/>
              <w:rPr>
                <w:sz w:val="17"/>
                <w:szCs w:val="17"/>
              </w:rPr>
            </w:pPr>
          </w:p>
        </w:tc>
      </w:tr>
      <w:tr w:rsidR="00A07D6C" w:rsidRPr="00E834EF" w14:paraId="5666E0AB" w14:textId="77777777" w:rsidTr="00D925C8">
        <w:tc>
          <w:tcPr>
            <w:tcW w:w="3254" w:type="dxa"/>
            <w:vAlign w:val="center"/>
          </w:tcPr>
          <w:p w14:paraId="45461499" w14:textId="77777777" w:rsidR="00A07D6C" w:rsidRPr="00E754AA" w:rsidRDefault="00A07D6C" w:rsidP="00A07D6C">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2C910B93" w14:textId="77777777" w:rsidR="00A07D6C" w:rsidRPr="00E834EF" w:rsidRDefault="00A07D6C" w:rsidP="00A07D6C">
            <w:pPr>
              <w:spacing w:before="40" w:after="40"/>
              <w:rPr>
                <w:sz w:val="17"/>
                <w:szCs w:val="17"/>
              </w:rPr>
            </w:pPr>
          </w:p>
        </w:tc>
        <w:tc>
          <w:tcPr>
            <w:tcW w:w="913" w:type="dxa"/>
            <w:vAlign w:val="bottom"/>
          </w:tcPr>
          <w:p w14:paraId="5375BFA6" w14:textId="77777777" w:rsidR="00A07D6C" w:rsidRPr="00E754AA" w:rsidRDefault="00A07D6C" w:rsidP="00A07D6C">
            <w:pPr>
              <w:spacing w:before="40" w:after="40"/>
              <w:jc w:val="right"/>
              <w:rPr>
                <w:color w:val="000000"/>
                <w:sz w:val="17"/>
                <w:szCs w:val="17"/>
              </w:rPr>
            </w:pPr>
            <w:r w:rsidRPr="00E754AA">
              <w:rPr>
                <w:sz w:val="17"/>
                <w:szCs w:val="17"/>
              </w:rPr>
              <w:t>—</w:t>
            </w:r>
          </w:p>
        </w:tc>
        <w:tc>
          <w:tcPr>
            <w:tcW w:w="252" w:type="dxa"/>
            <w:gridSpan w:val="2"/>
            <w:vAlign w:val="bottom"/>
          </w:tcPr>
          <w:p w14:paraId="67461473" w14:textId="77777777" w:rsidR="00A07D6C" w:rsidRPr="00E754AA" w:rsidRDefault="00A07D6C" w:rsidP="00A07D6C">
            <w:pPr>
              <w:spacing w:before="40" w:after="40"/>
              <w:rPr>
                <w:color w:val="000000"/>
                <w:sz w:val="17"/>
                <w:szCs w:val="17"/>
              </w:rPr>
            </w:pPr>
          </w:p>
        </w:tc>
        <w:tc>
          <w:tcPr>
            <w:tcW w:w="924" w:type="dxa"/>
            <w:vAlign w:val="bottom"/>
          </w:tcPr>
          <w:p w14:paraId="068B751E" w14:textId="77777777" w:rsidR="00A07D6C" w:rsidRPr="00E754AA" w:rsidRDefault="00A07D6C" w:rsidP="00A07D6C">
            <w:pPr>
              <w:spacing w:before="40" w:after="40"/>
              <w:jc w:val="right"/>
              <w:rPr>
                <w:color w:val="000000"/>
                <w:sz w:val="17"/>
                <w:szCs w:val="17"/>
              </w:rPr>
            </w:pPr>
            <w:r w:rsidRPr="00E754AA">
              <w:rPr>
                <w:sz w:val="17"/>
                <w:szCs w:val="17"/>
              </w:rPr>
              <w:t>—</w:t>
            </w:r>
          </w:p>
        </w:tc>
        <w:tc>
          <w:tcPr>
            <w:tcW w:w="242" w:type="dxa"/>
            <w:vAlign w:val="bottom"/>
          </w:tcPr>
          <w:p w14:paraId="2F18C49C" w14:textId="77777777" w:rsidR="00A07D6C" w:rsidRPr="00E754AA" w:rsidRDefault="00AC031A" w:rsidP="00A07D6C">
            <w:pPr>
              <w:spacing w:before="40" w:after="40"/>
              <w:rPr>
                <w:color w:val="000000"/>
                <w:sz w:val="17"/>
                <w:szCs w:val="17"/>
              </w:rPr>
            </w:pPr>
            <w:r>
              <w:rPr>
                <w:color w:val="000000"/>
                <w:sz w:val="17"/>
                <w:szCs w:val="17"/>
              </w:rPr>
              <w:t>)</w:t>
            </w:r>
          </w:p>
        </w:tc>
        <w:tc>
          <w:tcPr>
            <w:tcW w:w="924" w:type="dxa"/>
            <w:vAlign w:val="bottom"/>
          </w:tcPr>
          <w:p w14:paraId="643B5DCD" w14:textId="77777777" w:rsidR="00A07D6C" w:rsidRPr="00E754AA" w:rsidRDefault="00A07D6C" w:rsidP="00A07D6C">
            <w:pPr>
              <w:spacing w:before="40" w:after="40"/>
              <w:jc w:val="right"/>
              <w:rPr>
                <w:color w:val="000000"/>
                <w:sz w:val="17"/>
                <w:szCs w:val="17"/>
              </w:rPr>
            </w:pPr>
            <w:r w:rsidRPr="00E754AA">
              <w:rPr>
                <w:sz w:val="17"/>
                <w:szCs w:val="17"/>
              </w:rPr>
              <w:t>(22.3</w:t>
            </w:r>
          </w:p>
        </w:tc>
        <w:tc>
          <w:tcPr>
            <w:tcW w:w="242" w:type="dxa"/>
            <w:vAlign w:val="bottom"/>
          </w:tcPr>
          <w:p w14:paraId="548A661A" w14:textId="77777777" w:rsidR="00A07D6C" w:rsidRPr="00E754AA" w:rsidRDefault="00A07D6C" w:rsidP="00A07D6C">
            <w:pPr>
              <w:spacing w:before="40" w:after="40"/>
              <w:rPr>
                <w:sz w:val="17"/>
                <w:szCs w:val="17"/>
              </w:rPr>
            </w:pPr>
            <w:r w:rsidRPr="00E754AA">
              <w:rPr>
                <w:sz w:val="17"/>
                <w:szCs w:val="17"/>
              </w:rPr>
              <w:t>)</w:t>
            </w:r>
          </w:p>
        </w:tc>
        <w:tc>
          <w:tcPr>
            <w:tcW w:w="924" w:type="dxa"/>
            <w:vAlign w:val="bottom"/>
          </w:tcPr>
          <w:p w14:paraId="5C7BCB1C" w14:textId="77777777" w:rsidR="00A07D6C" w:rsidRPr="00E754AA" w:rsidRDefault="00A07D6C" w:rsidP="00A07D6C">
            <w:pPr>
              <w:spacing w:before="40" w:after="40"/>
              <w:jc w:val="right"/>
              <w:rPr>
                <w:sz w:val="17"/>
                <w:szCs w:val="17"/>
              </w:rPr>
            </w:pPr>
            <w:r w:rsidRPr="00E754AA">
              <w:rPr>
                <w:sz w:val="17"/>
                <w:szCs w:val="17"/>
              </w:rPr>
              <w:t>(22.3</w:t>
            </w:r>
          </w:p>
        </w:tc>
        <w:tc>
          <w:tcPr>
            <w:tcW w:w="227" w:type="dxa"/>
            <w:vAlign w:val="bottom"/>
          </w:tcPr>
          <w:p w14:paraId="142BDEF2" w14:textId="77777777" w:rsidR="00A07D6C" w:rsidRPr="00E754AA" w:rsidRDefault="00A07D6C" w:rsidP="00A07D6C">
            <w:pPr>
              <w:spacing w:before="40" w:after="40"/>
              <w:rPr>
                <w:sz w:val="17"/>
                <w:szCs w:val="17"/>
              </w:rPr>
            </w:pPr>
          </w:p>
        </w:tc>
        <w:tc>
          <w:tcPr>
            <w:tcW w:w="939" w:type="dxa"/>
            <w:vAlign w:val="bottom"/>
          </w:tcPr>
          <w:p w14:paraId="7214A15C" w14:textId="77777777" w:rsidR="00A07D6C" w:rsidRPr="00E754AA" w:rsidRDefault="00A07D6C" w:rsidP="00A07D6C">
            <w:pPr>
              <w:spacing w:before="40" w:after="40"/>
              <w:jc w:val="right"/>
              <w:rPr>
                <w:sz w:val="17"/>
                <w:szCs w:val="17"/>
              </w:rPr>
            </w:pPr>
            <w:r w:rsidRPr="00E754AA">
              <w:rPr>
                <w:sz w:val="17"/>
                <w:szCs w:val="17"/>
              </w:rPr>
              <w:t>—</w:t>
            </w:r>
          </w:p>
        </w:tc>
        <w:tc>
          <w:tcPr>
            <w:tcW w:w="266" w:type="dxa"/>
            <w:vAlign w:val="bottom"/>
          </w:tcPr>
          <w:p w14:paraId="1C7F3026" w14:textId="77777777" w:rsidR="00A07D6C" w:rsidRPr="000D2863" w:rsidRDefault="00A07D6C" w:rsidP="00A07D6C">
            <w:pPr>
              <w:spacing w:before="40" w:after="40"/>
              <w:rPr>
                <w:sz w:val="17"/>
                <w:szCs w:val="17"/>
              </w:rPr>
            </w:pPr>
          </w:p>
        </w:tc>
      </w:tr>
      <w:tr w:rsidR="00A07D6C" w:rsidRPr="00E834EF" w14:paraId="364E07D0" w14:textId="77777777" w:rsidTr="00D925C8">
        <w:tc>
          <w:tcPr>
            <w:tcW w:w="3254" w:type="dxa"/>
            <w:vAlign w:val="center"/>
          </w:tcPr>
          <w:p w14:paraId="43C5E92C" w14:textId="77777777" w:rsidR="00A07D6C" w:rsidRPr="00E754AA" w:rsidRDefault="00A07D6C" w:rsidP="00A07D6C">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1A8F09CA" w14:textId="77777777" w:rsidR="00A07D6C" w:rsidRPr="00E834EF" w:rsidRDefault="00A07D6C" w:rsidP="00A07D6C">
            <w:pPr>
              <w:spacing w:before="40" w:after="40"/>
              <w:rPr>
                <w:sz w:val="17"/>
                <w:szCs w:val="17"/>
              </w:rPr>
            </w:pPr>
          </w:p>
        </w:tc>
        <w:tc>
          <w:tcPr>
            <w:tcW w:w="913" w:type="dxa"/>
            <w:vAlign w:val="bottom"/>
          </w:tcPr>
          <w:p w14:paraId="7C7744D3" w14:textId="77777777" w:rsidR="00A07D6C" w:rsidRPr="000D2863" w:rsidRDefault="00A07D6C" w:rsidP="00A07D6C">
            <w:pPr>
              <w:spacing w:before="40" w:after="40"/>
              <w:jc w:val="right"/>
              <w:rPr>
                <w:color w:val="000000"/>
                <w:sz w:val="17"/>
                <w:szCs w:val="17"/>
              </w:rPr>
            </w:pPr>
            <w:r>
              <w:rPr>
                <w:color w:val="000000"/>
                <w:sz w:val="17"/>
                <w:szCs w:val="17"/>
              </w:rPr>
              <w:t>66.7</w:t>
            </w:r>
          </w:p>
        </w:tc>
        <w:tc>
          <w:tcPr>
            <w:tcW w:w="252" w:type="dxa"/>
            <w:gridSpan w:val="2"/>
            <w:vAlign w:val="bottom"/>
          </w:tcPr>
          <w:p w14:paraId="06984692" w14:textId="77777777" w:rsidR="00A07D6C" w:rsidRPr="000D2863" w:rsidRDefault="00A07D6C" w:rsidP="00A07D6C">
            <w:pPr>
              <w:spacing w:before="40" w:after="40"/>
              <w:rPr>
                <w:color w:val="000000"/>
                <w:sz w:val="17"/>
                <w:szCs w:val="17"/>
              </w:rPr>
            </w:pPr>
          </w:p>
        </w:tc>
        <w:tc>
          <w:tcPr>
            <w:tcW w:w="924" w:type="dxa"/>
            <w:vAlign w:val="bottom"/>
          </w:tcPr>
          <w:p w14:paraId="1AD80284" w14:textId="77777777" w:rsidR="00A07D6C" w:rsidRPr="000D2863" w:rsidRDefault="00A07D6C" w:rsidP="00A07D6C">
            <w:pPr>
              <w:spacing w:before="40" w:after="40"/>
              <w:jc w:val="right"/>
              <w:rPr>
                <w:color w:val="000000"/>
                <w:sz w:val="17"/>
                <w:szCs w:val="17"/>
              </w:rPr>
            </w:pPr>
            <w:r>
              <w:rPr>
                <w:color w:val="000000"/>
                <w:sz w:val="17"/>
                <w:szCs w:val="17"/>
              </w:rPr>
              <w:t>81.4</w:t>
            </w:r>
          </w:p>
        </w:tc>
        <w:tc>
          <w:tcPr>
            <w:tcW w:w="242" w:type="dxa"/>
            <w:vAlign w:val="bottom"/>
          </w:tcPr>
          <w:p w14:paraId="6BE5539F" w14:textId="77777777" w:rsidR="00A07D6C" w:rsidRPr="000D2863" w:rsidRDefault="00A07D6C" w:rsidP="00A07D6C">
            <w:pPr>
              <w:spacing w:before="40" w:after="40"/>
              <w:rPr>
                <w:color w:val="000000"/>
                <w:sz w:val="17"/>
                <w:szCs w:val="17"/>
              </w:rPr>
            </w:pPr>
          </w:p>
        </w:tc>
        <w:tc>
          <w:tcPr>
            <w:tcW w:w="924" w:type="dxa"/>
            <w:vAlign w:val="bottom"/>
          </w:tcPr>
          <w:p w14:paraId="57C5FA83" w14:textId="77777777" w:rsidR="00A07D6C" w:rsidRPr="000D2863" w:rsidRDefault="00A07D6C" w:rsidP="00A07D6C">
            <w:pPr>
              <w:spacing w:before="40" w:after="40"/>
              <w:jc w:val="right"/>
              <w:rPr>
                <w:color w:val="000000"/>
                <w:sz w:val="17"/>
                <w:szCs w:val="17"/>
              </w:rPr>
            </w:pPr>
            <w:r>
              <w:rPr>
                <w:color w:val="000000"/>
                <w:sz w:val="17"/>
                <w:szCs w:val="17"/>
              </w:rPr>
              <w:t>121.9</w:t>
            </w:r>
          </w:p>
        </w:tc>
        <w:tc>
          <w:tcPr>
            <w:tcW w:w="242" w:type="dxa"/>
            <w:vAlign w:val="bottom"/>
          </w:tcPr>
          <w:p w14:paraId="61286840" w14:textId="77777777" w:rsidR="00A07D6C" w:rsidRPr="000D2863" w:rsidRDefault="00A07D6C" w:rsidP="00A07D6C">
            <w:pPr>
              <w:spacing w:before="40" w:after="40"/>
              <w:rPr>
                <w:sz w:val="17"/>
                <w:szCs w:val="17"/>
              </w:rPr>
            </w:pPr>
          </w:p>
        </w:tc>
        <w:tc>
          <w:tcPr>
            <w:tcW w:w="924" w:type="dxa"/>
            <w:vAlign w:val="bottom"/>
          </w:tcPr>
          <w:p w14:paraId="66345855" w14:textId="77777777" w:rsidR="00A07D6C" w:rsidRPr="000D2863" w:rsidRDefault="00A07D6C" w:rsidP="00A07D6C">
            <w:pPr>
              <w:spacing w:before="40" w:after="40"/>
              <w:jc w:val="right"/>
              <w:rPr>
                <w:sz w:val="17"/>
                <w:szCs w:val="17"/>
              </w:rPr>
            </w:pPr>
            <w:r>
              <w:rPr>
                <w:sz w:val="17"/>
                <w:szCs w:val="17"/>
              </w:rPr>
              <w:t>86.9</w:t>
            </w:r>
          </w:p>
        </w:tc>
        <w:tc>
          <w:tcPr>
            <w:tcW w:w="227" w:type="dxa"/>
            <w:vAlign w:val="bottom"/>
          </w:tcPr>
          <w:p w14:paraId="012DA31A" w14:textId="77777777" w:rsidR="00A07D6C" w:rsidRPr="000D2863" w:rsidRDefault="00A07D6C" w:rsidP="00A07D6C">
            <w:pPr>
              <w:spacing w:before="40" w:after="40"/>
              <w:rPr>
                <w:sz w:val="17"/>
                <w:szCs w:val="17"/>
              </w:rPr>
            </w:pPr>
          </w:p>
        </w:tc>
        <w:tc>
          <w:tcPr>
            <w:tcW w:w="939" w:type="dxa"/>
          </w:tcPr>
          <w:p w14:paraId="4ED6D757" w14:textId="77777777" w:rsidR="00A07D6C" w:rsidRPr="000D2863" w:rsidRDefault="00A07D6C" w:rsidP="00A07D6C">
            <w:pPr>
              <w:spacing w:before="40" w:after="40"/>
              <w:jc w:val="right"/>
              <w:rPr>
                <w:sz w:val="17"/>
                <w:szCs w:val="17"/>
              </w:rPr>
            </w:pPr>
            <w:r>
              <w:rPr>
                <w:sz w:val="17"/>
                <w:szCs w:val="17"/>
              </w:rPr>
              <w:t>96.1</w:t>
            </w:r>
          </w:p>
        </w:tc>
        <w:tc>
          <w:tcPr>
            <w:tcW w:w="266" w:type="dxa"/>
            <w:vAlign w:val="bottom"/>
          </w:tcPr>
          <w:p w14:paraId="230FF59B" w14:textId="77777777" w:rsidR="00A07D6C" w:rsidRPr="000D2863" w:rsidRDefault="00A07D6C" w:rsidP="00A07D6C">
            <w:pPr>
              <w:spacing w:before="40" w:after="40"/>
              <w:rPr>
                <w:sz w:val="17"/>
                <w:szCs w:val="17"/>
              </w:rPr>
            </w:pPr>
          </w:p>
        </w:tc>
      </w:tr>
      <w:tr w:rsidR="00A07D6C" w:rsidRPr="00E834EF" w14:paraId="15C08218" w14:textId="77777777" w:rsidTr="00D925C8">
        <w:tc>
          <w:tcPr>
            <w:tcW w:w="3254" w:type="dxa"/>
          </w:tcPr>
          <w:p w14:paraId="6A8E7B7F" w14:textId="77777777" w:rsidR="00A07D6C" w:rsidRPr="00155339" w:rsidRDefault="00A07D6C" w:rsidP="00A07D6C">
            <w:pPr>
              <w:tabs>
                <w:tab w:val="right" w:leader="dot" w:pos="3255"/>
              </w:tabs>
              <w:bidi/>
              <w:spacing w:before="40" w:after="40"/>
              <w:rPr>
                <w:sz w:val="17"/>
                <w:szCs w:val="17"/>
              </w:rPr>
            </w:pPr>
            <w:r w:rsidRPr="00A07D6C">
              <w:rPr>
                <w:rFonts w:hint="cs"/>
                <w:b/>
                <w:bCs/>
                <w:sz w:val="17"/>
                <w:szCs w:val="17"/>
                <w:u w:val="single"/>
                <w:rtl/>
              </w:rPr>
              <w:t>الأرباح قبل حساب الفوائد والضرائب والإهلاك والإطفاء</w:t>
            </w:r>
            <w:r w:rsidRPr="00A07D6C">
              <w:rPr>
                <w:b/>
                <w:bCs/>
                <w:sz w:val="17"/>
                <w:szCs w:val="17"/>
                <w:u w:val="single"/>
                <w:vertAlign w:val="superscript"/>
              </w:rPr>
              <w:t xml:space="preserve"> </w:t>
            </w:r>
            <w:r w:rsidRPr="00155339">
              <w:rPr>
                <w:sz w:val="17"/>
                <w:szCs w:val="17"/>
                <w:vertAlign w:val="superscript"/>
              </w:rPr>
              <w:t>(a)</w:t>
            </w:r>
            <w:r w:rsidRPr="007D2480">
              <w:rPr>
                <w:sz w:val="17"/>
              </w:rPr>
              <w:tab/>
            </w:r>
          </w:p>
        </w:tc>
        <w:tc>
          <w:tcPr>
            <w:tcW w:w="242" w:type="dxa"/>
            <w:vAlign w:val="bottom"/>
          </w:tcPr>
          <w:p w14:paraId="7724952B" w14:textId="77777777" w:rsidR="00A07D6C" w:rsidRPr="00E834EF" w:rsidRDefault="00A07D6C" w:rsidP="00922116">
            <w:pPr>
              <w:spacing w:before="40" w:after="40"/>
              <w:rPr>
                <w:sz w:val="17"/>
                <w:szCs w:val="17"/>
              </w:rPr>
            </w:pPr>
          </w:p>
        </w:tc>
        <w:tc>
          <w:tcPr>
            <w:tcW w:w="913" w:type="dxa"/>
          </w:tcPr>
          <w:p w14:paraId="517B9140" w14:textId="77777777" w:rsidR="00A07D6C" w:rsidRPr="007766C5" w:rsidRDefault="00A07D6C" w:rsidP="00922116">
            <w:pPr>
              <w:spacing w:before="40" w:after="40"/>
              <w:jc w:val="right"/>
              <w:rPr>
                <w:b/>
                <w:bCs/>
                <w:color w:val="000000"/>
                <w:sz w:val="17"/>
                <w:szCs w:val="17"/>
              </w:rPr>
            </w:pPr>
            <w:r w:rsidRPr="007766C5">
              <w:rPr>
                <w:b/>
                <w:bCs/>
                <w:sz w:val="17"/>
                <w:szCs w:val="17"/>
              </w:rPr>
              <w:t>106.3</w:t>
            </w:r>
          </w:p>
        </w:tc>
        <w:tc>
          <w:tcPr>
            <w:tcW w:w="252" w:type="dxa"/>
            <w:gridSpan w:val="2"/>
            <w:vAlign w:val="bottom"/>
          </w:tcPr>
          <w:p w14:paraId="0C801D31" w14:textId="77777777" w:rsidR="00A07D6C" w:rsidRPr="007766C5" w:rsidRDefault="00A07D6C" w:rsidP="00922116">
            <w:pPr>
              <w:spacing w:before="40" w:after="40"/>
              <w:rPr>
                <w:b/>
                <w:bCs/>
                <w:color w:val="000000"/>
                <w:sz w:val="17"/>
                <w:szCs w:val="17"/>
              </w:rPr>
            </w:pPr>
          </w:p>
        </w:tc>
        <w:tc>
          <w:tcPr>
            <w:tcW w:w="924" w:type="dxa"/>
          </w:tcPr>
          <w:p w14:paraId="29ECAB95" w14:textId="77777777" w:rsidR="00A07D6C" w:rsidRPr="007766C5" w:rsidRDefault="00A07D6C" w:rsidP="00922116">
            <w:pPr>
              <w:spacing w:before="40" w:after="40"/>
              <w:jc w:val="right"/>
              <w:rPr>
                <w:b/>
                <w:bCs/>
                <w:color w:val="000000"/>
                <w:sz w:val="17"/>
                <w:szCs w:val="17"/>
              </w:rPr>
            </w:pPr>
            <w:r w:rsidRPr="007766C5">
              <w:rPr>
                <w:b/>
                <w:bCs/>
                <w:sz w:val="17"/>
                <w:szCs w:val="17"/>
              </w:rPr>
              <w:t>153.1</w:t>
            </w:r>
          </w:p>
        </w:tc>
        <w:tc>
          <w:tcPr>
            <w:tcW w:w="242" w:type="dxa"/>
            <w:vAlign w:val="bottom"/>
          </w:tcPr>
          <w:p w14:paraId="777F313E" w14:textId="77777777" w:rsidR="00A07D6C" w:rsidRPr="007766C5" w:rsidRDefault="00A07D6C" w:rsidP="00922116">
            <w:pPr>
              <w:spacing w:before="40" w:after="40"/>
              <w:rPr>
                <w:b/>
                <w:bCs/>
                <w:color w:val="000000"/>
                <w:sz w:val="17"/>
                <w:szCs w:val="17"/>
              </w:rPr>
            </w:pPr>
          </w:p>
        </w:tc>
        <w:tc>
          <w:tcPr>
            <w:tcW w:w="924" w:type="dxa"/>
          </w:tcPr>
          <w:p w14:paraId="6591079D" w14:textId="77777777" w:rsidR="00A07D6C" w:rsidRPr="007766C5" w:rsidRDefault="00A07D6C" w:rsidP="00922116">
            <w:pPr>
              <w:spacing w:before="40" w:after="40"/>
              <w:jc w:val="right"/>
              <w:rPr>
                <w:b/>
                <w:bCs/>
                <w:color w:val="000000"/>
                <w:sz w:val="17"/>
                <w:szCs w:val="17"/>
              </w:rPr>
            </w:pPr>
            <w:r w:rsidRPr="007766C5">
              <w:rPr>
                <w:b/>
                <w:bCs/>
                <w:sz w:val="17"/>
                <w:szCs w:val="17"/>
              </w:rPr>
              <w:t>187.5</w:t>
            </w:r>
          </w:p>
        </w:tc>
        <w:tc>
          <w:tcPr>
            <w:tcW w:w="242" w:type="dxa"/>
            <w:vAlign w:val="bottom"/>
          </w:tcPr>
          <w:p w14:paraId="07DE080D" w14:textId="77777777" w:rsidR="00A07D6C" w:rsidRPr="007766C5" w:rsidRDefault="00A07D6C" w:rsidP="00922116">
            <w:pPr>
              <w:spacing w:before="40" w:after="40"/>
              <w:rPr>
                <w:b/>
                <w:bCs/>
                <w:sz w:val="17"/>
                <w:szCs w:val="17"/>
              </w:rPr>
            </w:pPr>
          </w:p>
        </w:tc>
        <w:tc>
          <w:tcPr>
            <w:tcW w:w="924" w:type="dxa"/>
            <w:vAlign w:val="bottom"/>
          </w:tcPr>
          <w:p w14:paraId="6BE7916B" w14:textId="77777777" w:rsidR="00A07D6C" w:rsidRPr="007766C5" w:rsidRDefault="00A07D6C" w:rsidP="00922116">
            <w:pPr>
              <w:spacing w:before="40" w:after="40"/>
              <w:jc w:val="right"/>
              <w:rPr>
                <w:b/>
                <w:bCs/>
                <w:sz w:val="17"/>
                <w:szCs w:val="17"/>
              </w:rPr>
            </w:pPr>
            <w:r w:rsidRPr="007766C5">
              <w:rPr>
                <w:b/>
                <w:bCs/>
                <w:sz w:val="17"/>
                <w:szCs w:val="17"/>
              </w:rPr>
              <w:t>124.9</w:t>
            </w:r>
          </w:p>
        </w:tc>
        <w:tc>
          <w:tcPr>
            <w:tcW w:w="227" w:type="dxa"/>
            <w:vAlign w:val="bottom"/>
          </w:tcPr>
          <w:p w14:paraId="2DC2A6A4" w14:textId="77777777" w:rsidR="00A07D6C" w:rsidRPr="007766C5" w:rsidRDefault="00A07D6C" w:rsidP="00922116">
            <w:pPr>
              <w:spacing w:before="40" w:after="40"/>
              <w:rPr>
                <w:b/>
                <w:bCs/>
                <w:sz w:val="17"/>
                <w:szCs w:val="17"/>
              </w:rPr>
            </w:pPr>
          </w:p>
        </w:tc>
        <w:tc>
          <w:tcPr>
            <w:tcW w:w="939" w:type="dxa"/>
            <w:vAlign w:val="bottom"/>
          </w:tcPr>
          <w:p w14:paraId="1F7FA34B" w14:textId="77777777" w:rsidR="00A07D6C" w:rsidRPr="007766C5" w:rsidRDefault="00A07D6C" w:rsidP="00922116">
            <w:pPr>
              <w:spacing w:before="40" w:after="40"/>
              <w:jc w:val="right"/>
              <w:rPr>
                <w:b/>
                <w:bCs/>
                <w:sz w:val="17"/>
                <w:szCs w:val="17"/>
              </w:rPr>
            </w:pPr>
            <w:r w:rsidRPr="007766C5">
              <w:rPr>
                <w:b/>
                <w:bCs/>
                <w:sz w:val="17"/>
                <w:szCs w:val="17"/>
              </w:rPr>
              <w:t>163.0</w:t>
            </w:r>
          </w:p>
        </w:tc>
        <w:tc>
          <w:tcPr>
            <w:tcW w:w="266" w:type="dxa"/>
            <w:vAlign w:val="bottom"/>
          </w:tcPr>
          <w:p w14:paraId="7EA8332F" w14:textId="77777777" w:rsidR="00A07D6C" w:rsidRPr="000D2863" w:rsidRDefault="00A07D6C" w:rsidP="00922116">
            <w:pPr>
              <w:spacing w:before="40" w:after="40"/>
              <w:rPr>
                <w:b/>
                <w:bCs/>
                <w:sz w:val="17"/>
                <w:szCs w:val="17"/>
              </w:rPr>
            </w:pPr>
          </w:p>
        </w:tc>
      </w:tr>
      <w:tr w:rsidR="00A07D6C" w:rsidRPr="00E834EF" w14:paraId="4185726F" w14:textId="77777777" w:rsidTr="00D925C8">
        <w:tc>
          <w:tcPr>
            <w:tcW w:w="3254" w:type="dxa"/>
          </w:tcPr>
          <w:p w14:paraId="154B9B7A" w14:textId="77777777" w:rsidR="00A07D6C" w:rsidRPr="00155339" w:rsidRDefault="00A07D6C" w:rsidP="00A07D6C">
            <w:pPr>
              <w:tabs>
                <w:tab w:val="right" w:leader="dot" w:pos="3255"/>
              </w:tabs>
              <w:bidi/>
              <w:spacing w:before="40" w:after="40"/>
              <w:rPr>
                <w:sz w:val="17"/>
                <w:szCs w:val="17"/>
              </w:rPr>
            </w:pPr>
            <w:r w:rsidRPr="00A07D6C">
              <w:rPr>
                <w:rFonts w:hint="cs"/>
                <w:b/>
                <w:bCs/>
                <w:i/>
                <w:iCs/>
                <w:sz w:val="17"/>
                <w:szCs w:val="17"/>
                <w:u w:val="single"/>
                <w:rtl/>
              </w:rPr>
              <w:t>إيرادات مكافئ تأجير السفن المجهزة بالمدة</w:t>
            </w:r>
            <w:r w:rsidRPr="00A07D6C">
              <w:rPr>
                <w:b/>
                <w:bCs/>
                <w:i/>
                <w:iCs/>
                <w:sz w:val="17"/>
                <w:szCs w:val="17"/>
                <w:vertAlign w:val="superscript"/>
              </w:rPr>
              <w:t xml:space="preserve"> </w:t>
            </w:r>
            <w:r w:rsidRPr="00155339">
              <w:rPr>
                <w:sz w:val="17"/>
                <w:szCs w:val="17"/>
                <w:vertAlign w:val="superscript"/>
              </w:rPr>
              <w:t>(b)</w:t>
            </w:r>
            <w:r w:rsidRPr="007D2480">
              <w:rPr>
                <w:sz w:val="17"/>
              </w:rPr>
              <w:t xml:space="preserve"> </w:t>
            </w:r>
            <w:r w:rsidRPr="007D2480">
              <w:rPr>
                <w:sz w:val="17"/>
              </w:rPr>
              <w:tab/>
            </w:r>
          </w:p>
        </w:tc>
        <w:tc>
          <w:tcPr>
            <w:tcW w:w="242" w:type="dxa"/>
            <w:vAlign w:val="bottom"/>
          </w:tcPr>
          <w:p w14:paraId="1098591C" w14:textId="77777777" w:rsidR="00A07D6C" w:rsidRPr="00E834EF" w:rsidRDefault="00A07D6C" w:rsidP="00922116">
            <w:pPr>
              <w:spacing w:before="40" w:after="40"/>
              <w:rPr>
                <w:sz w:val="17"/>
                <w:szCs w:val="17"/>
              </w:rPr>
            </w:pPr>
          </w:p>
        </w:tc>
        <w:tc>
          <w:tcPr>
            <w:tcW w:w="913" w:type="dxa"/>
          </w:tcPr>
          <w:p w14:paraId="3F9F4D15" w14:textId="77777777" w:rsidR="00A07D6C" w:rsidRPr="00E754AA" w:rsidRDefault="00A07D6C" w:rsidP="00922116">
            <w:pPr>
              <w:spacing w:before="40" w:after="40"/>
              <w:jc w:val="right"/>
              <w:rPr>
                <w:color w:val="000000"/>
                <w:sz w:val="17"/>
                <w:szCs w:val="17"/>
              </w:rPr>
            </w:pPr>
            <w:r w:rsidRPr="00E754AA">
              <w:rPr>
                <w:sz w:val="17"/>
                <w:szCs w:val="17"/>
              </w:rPr>
              <w:t>181.</w:t>
            </w:r>
            <w:r w:rsidR="00DC6D36">
              <w:rPr>
                <w:sz w:val="17"/>
                <w:szCs w:val="17"/>
              </w:rPr>
              <w:t>1</w:t>
            </w:r>
          </w:p>
        </w:tc>
        <w:tc>
          <w:tcPr>
            <w:tcW w:w="252" w:type="dxa"/>
            <w:gridSpan w:val="2"/>
          </w:tcPr>
          <w:p w14:paraId="5D5CE429" w14:textId="77777777" w:rsidR="00A07D6C" w:rsidRPr="00E754AA" w:rsidRDefault="00A07D6C" w:rsidP="00922116">
            <w:pPr>
              <w:spacing w:before="40" w:after="40"/>
              <w:rPr>
                <w:color w:val="000000"/>
                <w:sz w:val="17"/>
                <w:szCs w:val="17"/>
              </w:rPr>
            </w:pPr>
          </w:p>
        </w:tc>
        <w:tc>
          <w:tcPr>
            <w:tcW w:w="924" w:type="dxa"/>
          </w:tcPr>
          <w:p w14:paraId="4FA9E850" w14:textId="77777777" w:rsidR="00A07D6C" w:rsidRPr="00E754AA" w:rsidRDefault="00DC6D36" w:rsidP="00922116">
            <w:pPr>
              <w:spacing w:before="40" w:after="40"/>
              <w:jc w:val="right"/>
              <w:rPr>
                <w:color w:val="000000"/>
                <w:sz w:val="17"/>
                <w:szCs w:val="17"/>
              </w:rPr>
            </w:pPr>
            <w:r>
              <w:rPr>
                <w:sz w:val="17"/>
                <w:szCs w:val="17"/>
              </w:rPr>
              <w:t>250.1</w:t>
            </w:r>
          </w:p>
        </w:tc>
        <w:tc>
          <w:tcPr>
            <w:tcW w:w="242" w:type="dxa"/>
          </w:tcPr>
          <w:p w14:paraId="444222B9" w14:textId="77777777" w:rsidR="00A07D6C" w:rsidRPr="00E754AA" w:rsidRDefault="00A07D6C" w:rsidP="00922116">
            <w:pPr>
              <w:spacing w:before="40" w:after="40"/>
              <w:rPr>
                <w:color w:val="000000"/>
                <w:sz w:val="17"/>
                <w:szCs w:val="17"/>
              </w:rPr>
            </w:pPr>
          </w:p>
        </w:tc>
        <w:tc>
          <w:tcPr>
            <w:tcW w:w="924" w:type="dxa"/>
          </w:tcPr>
          <w:p w14:paraId="383AEEFF" w14:textId="77777777" w:rsidR="00A07D6C" w:rsidRPr="00E754AA" w:rsidRDefault="00DC6D36" w:rsidP="00922116">
            <w:pPr>
              <w:spacing w:before="40" w:after="40"/>
              <w:jc w:val="right"/>
              <w:rPr>
                <w:color w:val="000000"/>
                <w:sz w:val="17"/>
                <w:szCs w:val="17"/>
              </w:rPr>
            </w:pPr>
            <w:r>
              <w:rPr>
                <w:sz w:val="17"/>
                <w:szCs w:val="17"/>
              </w:rPr>
              <w:t>282.0</w:t>
            </w:r>
          </w:p>
        </w:tc>
        <w:tc>
          <w:tcPr>
            <w:tcW w:w="242" w:type="dxa"/>
            <w:vAlign w:val="bottom"/>
          </w:tcPr>
          <w:p w14:paraId="47EF73AB" w14:textId="77777777" w:rsidR="00A07D6C" w:rsidRPr="00E754AA" w:rsidRDefault="00A07D6C" w:rsidP="00922116">
            <w:pPr>
              <w:spacing w:before="40" w:after="40"/>
              <w:rPr>
                <w:sz w:val="17"/>
                <w:szCs w:val="17"/>
              </w:rPr>
            </w:pPr>
          </w:p>
        </w:tc>
        <w:tc>
          <w:tcPr>
            <w:tcW w:w="924" w:type="dxa"/>
            <w:vAlign w:val="bottom"/>
          </w:tcPr>
          <w:p w14:paraId="48354874" w14:textId="77777777" w:rsidR="00A07D6C" w:rsidRPr="00E754AA" w:rsidRDefault="00DC6D36" w:rsidP="00922116">
            <w:pPr>
              <w:spacing w:before="40" w:after="40"/>
              <w:jc w:val="right"/>
              <w:rPr>
                <w:sz w:val="17"/>
                <w:szCs w:val="17"/>
              </w:rPr>
            </w:pPr>
            <w:r>
              <w:rPr>
                <w:sz w:val="17"/>
                <w:szCs w:val="17"/>
              </w:rPr>
              <w:t>212.4</w:t>
            </w:r>
          </w:p>
        </w:tc>
        <w:tc>
          <w:tcPr>
            <w:tcW w:w="227" w:type="dxa"/>
            <w:vAlign w:val="bottom"/>
          </w:tcPr>
          <w:p w14:paraId="3F29621B" w14:textId="77777777" w:rsidR="00A07D6C" w:rsidRPr="00E754AA" w:rsidRDefault="00A07D6C" w:rsidP="00922116">
            <w:pPr>
              <w:spacing w:before="40" w:after="40"/>
              <w:rPr>
                <w:sz w:val="17"/>
                <w:szCs w:val="17"/>
              </w:rPr>
            </w:pPr>
          </w:p>
        </w:tc>
        <w:tc>
          <w:tcPr>
            <w:tcW w:w="939" w:type="dxa"/>
            <w:vAlign w:val="bottom"/>
          </w:tcPr>
          <w:p w14:paraId="31A58917" w14:textId="77777777" w:rsidR="00A07D6C" w:rsidRPr="00E754AA" w:rsidRDefault="00A07D6C" w:rsidP="00922116">
            <w:pPr>
              <w:spacing w:before="40" w:after="40"/>
              <w:jc w:val="right"/>
              <w:rPr>
                <w:sz w:val="17"/>
                <w:szCs w:val="17"/>
              </w:rPr>
            </w:pPr>
            <w:r w:rsidRPr="00E754AA">
              <w:rPr>
                <w:sz w:val="17"/>
                <w:szCs w:val="17"/>
              </w:rPr>
              <w:t>236.</w:t>
            </w:r>
            <w:r w:rsidR="00DC6D36">
              <w:rPr>
                <w:sz w:val="17"/>
                <w:szCs w:val="17"/>
              </w:rPr>
              <w:t>1</w:t>
            </w:r>
            <w:r w:rsidR="00DC6D36" w:rsidRPr="00E754AA">
              <w:rPr>
                <w:sz w:val="17"/>
                <w:szCs w:val="17"/>
              </w:rPr>
              <w:t xml:space="preserve"> </w:t>
            </w:r>
          </w:p>
        </w:tc>
        <w:tc>
          <w:tcPr>
            <w:tcW w:w="266" w:type="dxa"/>
            <w:vAlign w:val="bottom"/>
          </w:tcPr>
          <w:p w14:paraId="368904AF" w14:textId="77777777" w:rsidR="00A07D6C" w:rsidRPr="000D2863" w:rsidRDefault="00A07D6C" w:rsidP="00922116">
            <w:pPr>
              <w:spacing w:before="40" w:after="40"/>
              <w:rPr>
                <w:sz w:val="17"/>
                <w:szCs w:val="17"/>
              </w:rPr>
            </w:pPr>
          </w:p>
        </w:tc>
      </w:tr>
      <w:tr w:rsidR="00A07D6C" w:rsidRPr="00E834EF" w14:paraId="3C33C85A" w14:textId="77777777" w:rsidTr="00D925C8">
        <w:tc>
          <w:tcPr>
            <w:tcW w:w="3254" w:type="dxa"/>
          </w:tcPr>
          <w:p w14:paraId="3783E364" w14:textId="77777777" w:rsidR="00A07D6C" w:rsidRPr="00155339" w:rsidRDefault="00A07D6C" w:rsidP="00A07D6C">
            <w:pPr>
              <w:tabs>
                <w:tab w:val="right" w:leader="dot" w:pos="3255"/>
              </w:tabs>
              <w:bidi/>
              <w:spacing w:before="40" w:after="40"/>
              <w:rPr>
                <w:sz w:val="17"/>
                <w:szCs w:val="17"/>
              </w:rPr>
            </w:pPr>
            <w:r w:rsidRPr="00A07D6C">
              <w:rPr>
                <w:rFonts w:hint="cs"/>
                <w:b/>
                <w:bCs/>
                <w:sz w:val="17"/>
                <w:szCs w:val="17"/>
                <w:u w:val="single"/>
                <w:rtl/>
              </w:rPr>
              <w:t>هامش الأرباح قبل حساب الفوائد والضرائب والإهلاك والإطفاء</w:t>
            </w:r>
            <w:r>
              <w:rPr>
                <w:sz w:val="17"/>
                <w:szCs w:val="17"/>
              </w:rPr>
              <w:t xml:space="preserve"> </w:t>
            </w:r>
            <w:r w:rsidRPr="00155339">
              <w:rPr>
                <w:sz w:val="17"/>
                <w:szCs w:val="17"/>
                <w:vertAlign w:val="superscript"/>
              </w:rPr>
              <w:t>(</w:t>
            </w:r>
            <w:r w:rsidRPr="00155339">
              <w:rPr>
                <w:b/>
                <w:bCs/>
                <w:sz w:val="17"/>
                <w:szCs w:val="17"/>
                <w:vertAlign w:val="superscript"/>
              </w:rPr>
              <w:t>a</w:t>
            </w:r>
            <w:r w:rsidRPr="00155339">
              <w:rPr>
                <w:sz w:val="17"/>
                <w:szCs w:val="17"/>
                <w:vertAlign w:val="superscript"/>
              </w:rPr>
              <w:t xml:space="preserve"> over </w:t>
            </w:r>
            <w:r w:rsidRPr="00155339">
              <w:rPr>
                <w:b/>
                <w:bCs/>
                <w:sz w:val="17"/>
                <w:szCs w:val="17"/>
                <w:vertAlign w:val="superscript"/>
              </w:rPr>
              <w:t>b</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59B74FB7" w14:textId="77777777" w:rsidR="00A07D6C" w:rsidRPr="00E834EF" w:rsidRDefault="00A07D6C" w:rsidP="00922116">
            <w:pPr>
              <w:spacing w:before="40" w:after="40"/>
              <w:rPr>
                <w:sz w:val="17"/>
                <w:szCs w:val="17"/>
              </w:rPr>
            </w:pPr>
          </w:p>
        </w:tc>
        <w:tc>
          <w:tcPr>
            <w:tcW w:w="913" w:type="dxa"/>
          </w:tcPr>
          <w:p w14:paraId="6879F7E5" w14:textId="77777777" w:rsidR="00A07D6C" w:rsidRPr="00E754AA" w:rsidRDefault="00A07D6C" w:rsidP="00922116">
            <w:pPr>
              <w:spacing w:before="40" w:after="40"/>
              <w:jc w:val="right"/>
              <w:rPr>
                <w:b/>
                <w:bCs/>
                <w:color w:val="000000"/>
                <w:sz w:val="17"/>
                <w:szCs w:val="17"/>
              </w:rPr>
            </w:pPr>
            <w:r w:rsidRPr="00E754AA">
              <w:rPr>
                <w:b/>
                <w:bCs/>
                <w:sz w:val="17"/>
                <w:szCs w:val="17"/>
              </w:rPr>
              <w:t>58.</w:t>
            </w:r>
            <w:r w:rsidR="00157B96">
              <w:rPr>
                <w:b/>
                <w:bCs/>
                <w:sz w:val="17"/>
                <w:szCs w:val="17"/>
              </w:rPr>
              <w:t>7</w:t>
            </w:r>
            <w:r w:rsidR="0030341A">
              <w:rPr>
                <w:b/>
                <w:bCs/>
                <w:sz w:val="17"/>
                <w:szCs w:val="17"/>
              </w:rPr>
              <w:t>%</w:t>
            </w:r>
          </w:p>
        </w:tc>
        <w:tc>
          <w:tcPr>
            <w:tcW w:w="252" w:type="dxa"/>
            <w:gridSpan w:val="2"/>
            <w:vAlign w:val="bottom"/>
          </w:tcPr>
          <w:p w14:paraId="2A27F2EB" w14:textId="77777777" w:rsidR="00A07D6C" w:rsidRPr="00E754AA" w:rsidRDefault="00A07D6C" w:rsidP="00922116">
            <w:pPr>
              <w:spacing w:before="40" w:after="40"/>
              <w:rPr>
                <w:b/>
                <w:bCs/>
                <w:color w:val="000000"/>
                <w:sz w:val="17"/>
                <w:szCs w:val="17"/>
              </w:rPr>
            </w:pPr>
          </w:p>
        </w:tc>
        <w:tc>
          <w:tcPr>
            <w:tcW w:w="924" w:type="dxa"/>
          </w:tcPr>
          <w:p w14:paraId="599EFC55" w14:textId="77777777" w:rsidR="00A07D6C" w:rsidRPr="00E754AA" w:rsidRDefault="00157B96" w:rsidP="00922116">
            <w:pPr>
              <w:spacing w:before="40" w:after="40"/>
              <w:jc w:val="right"/>
              <w:rPr>
                <w:b/>
                <w:bCs/>
                <w:color w:val="000000"/>
                <w:sz w:val="17"/>
                <w:szCs w:val="17"/>
              </w:rPr>
            </w:pPr>
            <w:r>
              <w:rPr>
                <w:b/>
                <w:bCs/>
                <w:sz w:val="17"/>
                <w:szCs w:val="17"/>
              </w:rPr>
              <w:t>61.2</w:t>
            </w:r>
            <w:r w:rsidR="0030341A">
              <w:rPr>
                <w:b/>
                <w:bCs/>
                <w:sz w:val="17"/>
                <w:szCs w:val="17"/>
              </w:rPr>
              <w:t>%</w:t>
            </w:r>
          </w:p>
        </w:tc>
        <w:tc>
          <w:tcPr>
            <w:tcW w:w="242" w:type="dxa"/>
            <w:vAlign w:val="bottom"/>
          </w:tcPr>
          <w:p w14:paraId="43433659" w14:textId="77777777" w:rsidR="00A07D6C" w:rsidRPr="00E754AA" w:rsidRDefault="00A07D6C" w:rsidP="00922116">
            <w:pPr>
              <w:spacing w:before="40" w:after="40"/>
              <w:rPr>
                <w:b/>
                <w:bCs/>
                <w:color w:val="000000"/>
                <w:sz w:val="17"/>
                <w:szCs w:val="17"/>
              </w:rPr>
            </w:pPr>
          </w:p>
        </w:tc>
        <w:tc>
          <w:tcPr>
            <w:tcW w:w="924" w:type="dxa"/>
          </w:tcPr>
          <w:p w14:paraId="0488DCA3" w14:textId="77777777" w:rsidR="00A07D6C" w:rsidRPr="00E754AA" w:rsidRDefault="00157B96" w:rsidP="00922116">
            <w:pPr>
              <w:spacing w:before="40" w:after="40"/>
              <w:jc w:val="right"/>
              <w:rPr>
                <w:b/>
                <w:bCs/>
                <w:color w:val="000000"/>
                <w:sz w:val="17"/>
                <w:szCs w:val="17"/>
              </w:rPr>
            </w:pPr>
            <w:r>
              <w:rPr>
                <w:b/>
                <w:bCs/>
                <w:sz w:val="17"/>
                <w:szCs w:val="17"/>
              </w:rPr>
              <w:t>66.5</w:t>
            </w:r>
            <w:r w:rsidR="00AC031A">
              <w:rPr>
                <w:b/>
                <w:bCs/>
                <w:sz w:val="17"/>
                <w:szCs w:val="17"/>
              </w:rPr>
              <w:t>%</w:t>
            </w:r>
          </w:p>
        </w:tc>
        <w:tc>
          <w:tcPr>
            <w:tcW w:w="242" w:type="dxa"/>
            <w:vAlign w:val="bottom"/>
          </w:tcPr>
          <w:p w14:paraId="118506B3" w14:textId="77777777" w:rsidR="00A07D6C" w:rsidRPr="00E754AA" w:rsidRDefault="00A07D6C" w:rsidP="00922116">
            <w:pPr>
              <w:spacing w:before="40" w:after="40"/>
              <w:rPr>
                <w:b/>
                <w:bCs/>
                <w:sz w:val="17"/>
                <w:szCs w:val="17"/>
              </w:rPr>
            </w:pPr>
            <w:r w:rsidRPr="00E754AA">
              <w:rPr>
                <w:b/>
                <w:bCs/>
                <w:sz w:val="17"/>
                <w:szCs w:val="17"/>
              </w:rPr>
              <w:t>%</w:t>
            </w:r>
          </w:p>
        </w:tc>
        <w:tc>
          <w:tcPr>
            <w:tcW w:w="924" w:type="dxa"/>
            <w:vAlign w:val="bottom"/>
          </w:tcPr>
          <w:p w14:paraId="375EBE52" w14:textId="77777777" w:rsidR="00A07D6C" w:rsidRPr="00E754AA" w:rsidRDefault="00157B96" w:rsidP="00922116">
            <w:pPr>
              <w:spacing w:before="40" w:after="40"/>
              <w:jc w:val="right"/>
              <w:rPr>
                <w:b/>
                <w:bCs/>
                <w:sz w:val="17"/>
                <w:szCs w:val="17"/>
              </w:rPr>
            </w:pPr>
            <w:r>
              <w:rPr>
                <w:b/>
                <w:bCs/>
                <w:sz w:val="17"/>
                <w:szCs w:val="17"/>
              </w:rPr>
              <w:t>58.</w:t>
            </w:r>
            <w:r w:rsidR="00497E5F">
              <w:rPr>
                <w:b/>
                <w:bCs/>
                <w:sz w:val="17"/>
                <w:szCs w:val="17"/>
              </w:rPr>
              <w:t>8</w:t>
            </w:r>
          </w:p>
        </w:tc>
        <w:tc>
          <w:tcPr>
            <w:tcW w:w="227" w:type="dxa"/>
            <w:vAlign w:val="bottom"/>
          </w:tcPr>
          <w:p w14:paraId="48B81998" w14:textId="77777777" w:rsidR="00A07D6C" w:rsidRPr="00E754AA" w:rsidRDefault="00A07D6C" w:rsidP="00922116">
            <w:pPr>
              <w:spacing w:before="40" w:after="40"/>
              <w:rPr>
                <w:b/>
                <w:bCs/>
                <w:sz w:val="17"/>
                <w:szCs w:val="17"/>
              </w:rPr>
            </w:pPr>
            <w:r w:rsidRPr="00E754AA">
              <w:rPr>
                <w:b/>
                <w:bCs/>
                <w:sz w:val="17"/>
                <w:szCs w:val="17"/>
              </w:rPr>
              <w:t>%</w:t>
            </w:r>
          </w:p>
        </w:tc>
        <w:tc>
          <w:tcPr>
            <w:tcW w:w="939" w:type="dxa"/>
            <w:vAlign w:val="bottom"/>
          </w:tcPr>
          <w:p w14:paraId="59BAB2D6" w14:textId="77777777" w:rsidR="00A07D6C" w:rsidRPr="00E754AA" w:rsidRDefault="00497E5F" w:rsidP="00922116">
            <w:pPr>
              <w:spacing w:before="40" w:after="40"/>
              <w:jc w:val="right"/>
              <w:rPr>
                <w:b/>
                <w:bCs/>
                <w:sz w:val="17"/>
                <w:szCs w:val="17"/>
              </w:rPr>
            </w:pPr>
            <w:r>
              <w:rPr>
                <w:b/>
                <w:bCs/>
                <w:sz w:val="17"/>
                <w:szCs w:val="17"/>
              </w:rPr>
              <w:t>69.0</w:t>
            </w:r>
          </w:p>
        </w:tc>
        <w:tc>
          <w:tcPr>
            <w:tcW w:w="266" w:type="dxa"/>
            <w:vAlign w:val="bottom"/>
          </w:tcPr>
          <w:p w14:paraId="6A6B94AE" w14:textId="77777777" w:rsidR="00A07D6C" w:rsidRPr="000D2863" w:rsidRDefault="00A07D6C" w:rsidP="00922116">
            <w:pPr>
              <w:spacing w:before="40" w:after="40"/>
              <w:rPr>
                <w:b/>
                <w:bCs/>
                <w:sz w:val="17"/>
                <w:szCs w:val="17"/>
              </w:rPr>
            </w:pPr>
          </w:p>
        </w:tc>
      </w:tr>
      <w:tr w:rsidR="00A07D6C" w:rsidRPr="00E834EF" w14:paraId="205D3954" w14:textId="77777777" w:rsidTr="00D925C8">
        <w:tc>
          <w:tcPr>
            <w:tcW w:w="3254" w:type="dxa"/>
          </w:tcPr>
          <w:p w14:paraId="299A092D" w14:textId="77777777" w:rsidR="00A07D6C" w:rsidRPr="0054596C" w:rsidRDefault="00A07D6C" w:rsidP="00A07D6C">
            <w:pPr>
              <w:tabs>
                <w:tab w:val="right" w:leader="dot" w:pos="3255"/>
              </w:tabs>
              <w:bidi/>
              <w:spacing w:before="40" w:after="40"/>
              <w:rPr>
                <w:b/>
                <w:bCs/>
                <w:sz w:val="17"/>
                <w:szCs w:val="17"/>
                <w:u w:val="single"/>
              </w:rPr>
            </w:pPr>
          </w:p>
        </w:tc>
        <w:tc>
          <w:tcPr>
            <w:tcW w:w="242" w:type="dxa"/>
            <w:vAlign w:val="bottom"/>
          </w:tcPr>
          <w:p w14:paraId="155ECD14" w14:textId="77777777" w:rsidR="00A07D6C" w:rsidRPr="00E834EF" w:rsidRDefault="00A07D6C" w:rsidP="00922116">
            <w:pPr>
              <w:spacing w:before="40" w:after="40"/>
              <w:rPr>
                <w:sz w:val="17"/>
                <w:szCs w:val="17"/>
              </w:rPr>
            </w:pPr>
          </w:p>
        </w:tc>
        <w:tc>
          <w:tcPr>
            <w:tcW w:w="913" w:type="dxa"/>
          </w:tcPr>
          <w:p w14:paraId="70EE47E9" w14:textId="77777777" w:rsidR="00A07D6C" w:rsidRPr="00E754AA" w:rsidRDefault="00A07D6C" w:rsidP="00922116">
            <w:pPr>
              <w:spacing w:before="40" w:after="40"/>
              <w:jc w:val="right"/>
              <w:rPr>
                <w:b/>
                <w:bCs/>
                <w:sz w:val="17"/>
                <w:szCs w:val="17"/>
              </w:rPr>
            </w:pPr>
          </w:p>
        </w:tc>
        <w:tc>
          <w:tcPr>
            <w:tcW w:w="252" w:type="dxa"/>
            <w:gridSpan w:val="2"/>
            <w:vAlign w:val="bottom"/>
          </w:tcPr>
          <w:p w14:paraId="0049B913" w14:textId="77777777" w:rsidR="00A07D6C" w:rsidRPr="00E754AA" w:rsidRDefault="00A07D6C" w:rsidP="00922116">
            <w:pPr>
              <w:spacing w:before="40" w:after="40"/>
              <w:rPr>
                <w:b/>
                <w:bCs/>
                <w:sz w:val="17"/>
                <w:szCs w:val="17"/>
              </w:rPr>
            </w:pPr>
          </w:p>
        </w:tc>
        <w:tc>
          <w:tcPr>
            <w:tcW w:w="924" w:type="dxa"/>
          </w:tcPr>
          <w:p w14:paraId="274DB218" w14:textId="77777777" w:rsidR="00A07D6C" w:rsidRPr="00E754AA" w:rsidRDefault="00A07D6C" w:rsidP="00922116">
            <w:pPr>
              <w:spacing w:before="40" w:after="40"/>
              <w:jc w:val="right"/>
              <w:rPr>
                <w:b/>
                <w:bCs/>
                <w:sz w:val="17"/>
                <w:szCs w:val="17"/>
              </w:rPr>
            </w:pPr>
          </w:p>
        </w:tc>
        <w:tc>
          <w:tcPr>
            <w:tcW w:w="242" w:type="dxa"/>
            <w:vAlign w:val="bottom"/>
          </w:tcPr>
          <w:p w14:paraId="6AB6124B" w14:textId="77777777" w:rsidR="00A07D6C" w:rsidRPr="00E754AA" w:rsidRDefault="00A07D6C" w:rsidP="00922116">
            <w:pPr>
              <w:spacing w:before="40" w:after="40"/>
              <w:rPr>
                <w:b/>
                <w:bCs/>
                <w:sz w:val="17"/>
                <w:szCs w:val="17"/>
              </w:rPr>
            </w:pPr>
          </w:p>
        </w:tc>
        <w:tc>
          <w:tcPr>
            <w:tcW w:w="924" w:type="dxa"/>
          </w:tcPr>
          <w:p w14:paraId="65E8ABB9" w14:textId="77777777" w:rsidR="00A07D6C" w:rsidRPr="00E754AA" w:rsidRDefault="00A07D6C" w:rsidP="00922116">
            <w:pPr>
              <w:spacing w:before="40" w:after="40"/>
              <w:jc w:val="right"/>
              <w:rPr>
                <w:b/>
                <w:bCs/>
                <w:sz w:val="17"/>
                <w:szCs w:val="17"/>
              </w:rPr>
            </w:pPr>
          </w:p>
        </w:tc>
        <w:tc>
          <w:tcPr>
            <w:tcW w:w="242" w:type="dxa"/>
            <w:vAlign w:val="bottom"/>
          </w:tcPr>
          <w:p w14:paraId="2A10C84D" w14:textId="77777777" w:rsidR="00A07D6C" w:rsidRPr="00E754AA" w:rsidRDefault="00A07D6C" w:rsidP="00922116">
            <w:pPr>
              <w:spacing w:before="40" w:after="40"/>
              <w:rPr>
                <w:b/>
                <w:bCs/>
                <w:sz w:val="17"/>
                <w:szCs w:val="17"/>
              </w:rPr>
            </w:pPr>
          </w:p>
        </w:tc>
        <w:tc>
          <w:tcPr>
            <w:tcW w:w="924" w:type="dxa"/>
            <w:vAlign w:val="bottom"/>
          </w:tcPr>
          <w:p w14:paraId="60E1019F" w14:textId="77777777" w:rsidR="00A07D6C" w:rsidRPr="00E754AA" w:rsidRDefault="00A07D6C" w:rsidP="00922116">
            <w:pPr>
              <w:spacing w:before="40" w:after="40"/>
              <w:jc w:val="right"/>
              <w:rPr>
                <w:b/>
                <w:bCs/>
                <w:sz w:val="17"/>
                <w:szCs w:val="17"/>
              </w:rPr>
            </w:pPr>
          </w:p>
        </w:tc>
        <w:tc>
          <w:tcPr>
            <w:tcW w:w="227" w:type="dxa"/>
            <w:vAlign w:val="bottom"/>
          </w:tcPr>
          <w:p w14:paraId="33080DD3" w14:textId="77777777" w:rsidR="00A07D6C" w:rsidRPr="00E754AA" w:rsidRDefault="00A07D6C" w:rsidP="00922116">
            <w:pPr>
              <w:spacing w:before="40" w:after="40"/>
              <w:rPr>
                <w:b/>
                <w:bCs/>
                <w:sz w:val="17"/>
                <w:szCs w:val="17"/>
              </w:rPr>
            </w:pPr>
          </w:p>
        </w:tc>
        <w:tc>
          <w:tcPr>
            <w:tcW w:w="939" w:type="dxa"/>
            <w:vAlign w:val="bottom"/>
          </w:tcPr>
          <w:p w14:paraId="5707220E" w14:textId="77777777" w:rsidR="00A07D6C" w:rsidRPr="00E754AA" w:rsidRDefault="00A07D6C" w:rsidP="00922116">
            <w:pPr>
              <w:spacing w:before="40" w:after="40"/>
              <w:jc w:val="right"/>
              <w:rPr>
                <w:b/>
                <w:bCs/>
                <w:sz w:val="17"/>
                <w:szCs w:val="17"/>
              </w:rPr>
            </w:pPr>
          </w:p>
        </w:tc>
        <w:tc>
          <w:tcPr>
            <w:tcW w:w="266" w:type="dxa"/>
            <w:vAlign w:val="bottom"/>
          </w:tcPr>
          <w:p w14:paraId="47B25B16" w14:textId="77777777" w:rsidR="00A07D6C" w:rsidRPr="000D2863" w:rsidRDefault="00A07D6C" w:rsidP="00922116">
            <w:pPr>
              <w:spacing w:before="40" w:after="40"/>
              <w:rPr>
                <w:b/>
                <w:bCs/>
                <w:sz w:val="17"/>
                <w:szCs w:val="17"/>
              </w:rPr>
            </w:pPr>
          </w:p>
        </w:tc>
      </w:tr>
      <w:tr w:rsidR="00F16F53" w:rsidRPr="00E834EF" w14:paraId="2FFAA04A" w14:textId="77777777" w:rsidTr="00D925C8">
        <w:tc>
          <w:tcPr>
            <w:tcW w:w="3254" w:type="dxa"/>
          </w:tcPr>
          <w:p w14:paraId="336D194B" w14:textId="77777777" w:rsidR="00F16F53" w:rsidRPr="0054596C" w:rsidRDefault="00F16F53" w:rsidP="00F16F53">
            <w:pPr>
              <w:tabs>
                <w:tab w:val="right" w:leader="dot" w:pos="3255"/>
              </w:tabs>
              <w:bidi/>
              <w:spacing w:before="40" w:after="40"/>
              <w:rPr>
                <w:b/>
                <w:bCs/>
                <w:sz w:val="17"/>
                <w:szCs w:val="17"/>
                <w:u w:val="single"/>
              </w:rPr>
            </w:pPr>
            <w:r w:rsidRPr="000301B1">
              <w:rPr>
                <w:rFonts w:hint="eastAsia"/>
                <w:sz w:val="17"/>
                <w:szCs w:val="17"/>
                <w:u w:val="single"/>
                <w:rtl/>
              </w:rPr>
              <w:t>تصحيح</w:t>
            </w:r>
            <w:r w:rsidRPr="000301B1">
              <w:rPr>
                <w:sz w:val="17"/>
                <w:szCs w:val="17"/>
                <w:u w:val="single"/>
                <w:rtl/>
              </w:rPr>
              <w:t xml:space="preserve"> </w:t>
            </w:r>
            <w:r w:rsidRPr="000301B1">
              <w:rPr>
                <w:rFonts w:hint="eastAsia"/>
                <w:sz w:val="17"/>
                <w:szCs w:val="17"/>
                <w:u w:val="single"/>
                <w:rtl/>
              </w:rPr>
              <w:t>الأخطاء</w:t>
            </w:r>
            <w:r>
              <w:rPr>
                <w:sz w:val="17"/>
                <w:szCs w:val="17"/>
                <w:u w:val="single"/>
              </w:rPr>
              <w:t>…………………………………..</w:t>
            </w:r>
          </w:p>
        </w:tc>
        <w:tc>
          <w:tcPr>
            <w:tcW w:w="242" w:type="dxa"/>
            <w:vAlign w:val="bottom"/>
          </w:tcPr>
          <w:p w14:paraId="7B701A8C" w14:textId="77777777" w:rsidR="00F16F53" w:rsidRPr="00E834EF" w:rsidRDefault="00F16F53" w:rsidP="00F16F53">
            <w:pPr>
              <w:spacing w:before="40" w:after="40"/>
              <w:rPr>
                <w:sz w:val="17"/>
                <w:szCs w:val="17"/>
              </w:rPr>
            </w:pPr>
          </w:p>
        </w:tc>
        <w:tc>
          <w:tcPr>
            <w:tcW w:w="913" w:type="dxa"/>
          </w:tcPr>
          <w:p w14:paraId="16B777EE" w14:textId="77777777" w:rsidR="00F16F53" w:rsidRPr="00E754AA" w:rsidRDefault="00F16F53" w:rsidP="00F16F53">
            <w:pPr>
              <w:spacing w:before="40" w:after="40"/>
              <w:jc w:val="right"/>
              <w:rPr>
                <w:b/>
                <w:bCs/>
                <w:sz w:val="17"/>
                <w:szCs w:val="17"/>
              </w:rPr>
            </w:pPr>
            <w:r w:rsidRPr="000301B1">
              <w:rPr>
                <w:sz w:val="17"/>
                <w:szCs w:val="17"/>
                <w:lang w:val="en-GB"/>
              </w:rPr>
              <w:t>(</w:t>
            </w:r>
            <w:r>
              <w:rPr>
                <w:sz w:val="17"/>
                <w:szCs w:val="17"/>
                <w:lang w:val="en-GB"/>
              </w:rPr>
              <w:t>1.2</w:t>
            </w:r>
            <w:r w:rsidRPr="000301B1">
              <w:rPr>
                <w:sz w:val="17"/>
                <w:szCs w:val="17"/>
                <w:lang w:val="en-GB"/>
              </w:rPr>
              <w:t>)</w:t>
            </w:r>
          </w:p>
        </w:tc>
        <w:tc>
          <w:tcPr>
            <w:tcW w:w="252" w:type="dxa"/>
            <w:gridSpan w:val="2"/>
            <w:vAlign w:val="bottom"/>
          </w:tcPr>
          <w:p w14:paraId="17809DBC" w14:textId="77777777" w:rsidR="00F16F53" w:rsidRPr="00E754AA" w:rsidRDefault="00F16F53" w:rsidP="00F16F53">
            <w:pPr>
              <w:spacing w:before="40" w:after="40"/>
              <w:rPr>
                <w:b/>
                <w:bCs/>
                <w:sz w:val="17"/>
                <w:szCs w:val="17"/>
              </w:rPr>
            </w:pPr>
          </w:p>
        </w:tc>
        <w:tc>
          <w:tcPr>
            <w:tcW w:w="924" w:type="dxa"/>
          </w:tcPr>
          <w:p w14:paraId="3C2FF895" w14:textId="77777777" w:rsidR="00F16F53" w:rsidRPr="00E754AA" w:rsidRDefault="00F16F53" w:rsidP="00F16F53">
            <w:pPr>
              <w:spacing w:before="40" w:after="40"/>
              <w:jc w:val="right"/>
              <w:rPr>
                <w:b/>
                <w:bCs/>
                <w:sz w:val="17"/>
                <w:szCs w:val="17"/>
              </w:rPr>
            </w:pPr>
            <w:r w:rsidRPr="00B26791">
              <w:rPr>
                <w:sz w:val="17"/>
              </w:rPr>
              <w:t>—</w:t>
            </w:r>
          </w:p>
        </w:tc>
        <w:tc>
          <w:tcPr>
            <w:tcW w:w="242" w:type="dxa"/>
          </w:tcPr>
          <w:p w14:paraId="17604A51" w14:textId="77777777" w:rsidR="00F16F53" w:rsidRPr="00E754AA" w:rsidRDefault="00F16F53" w:rsidP="00F16F53">
            <w:pPr>
              <w:spacing w:before="40" w:after="40"/>
              <w:rPr>
                <w:b/>
                <w:bCs/>
                <w:sz w:val="17"/>
                <w:szCs w:val="17"/>
              </w:rPr>
            </w:pPr>
          </w:p>
        </w:tc>
        <w:tc>
          <w:tcPr>
            <w:tcW w:w="924" w:type="dxa"/>
          </w:tcPr>
          <w:p w14:paraId="640FC543" w14:textId="77777777" w:rsidR="00F16F53" w:rsidRPr="00E754AA" w:rsidRDefault="00F16F53" w:rsidP="00F16F53">
            <w:pPr>
              <w:spacing w:before="40" w:after="40"/>
              <w:jc w:val="right"/>
              <w:rPr>
                <w:b/>
                <w:bCs/>
                <w:sz w:val="17"/>
                <w:szCs w:val="17"/>
              </w:rPr>
            </w:pPr>
            <w:r w:rsidRPr="00B26791">
              <w:rPr>
                <w:sz w:val="17"/>
              </w:rPr>
              <w:t>—</w:t>
            </w:r>
          </w:p>
        </w:tc>
        <w:tc>
          <w:tcPr>
            <w:tcW w:w="242" w:type="dxa"/>
          </w:tcPr>
          <w:p w14:paraId="4C0F9240" w14:textId="77777777" w:rsidR="00F16F53" w:rsidRPr="00E754AA" w:rsidRDefault="00F16F53" w:rsidP="00F16F53">
            <w:pPr>
              <w:spacing w:before="40" w:after="40"/>
              <w:rPr>
                <w:b/>
                <w:bCs/>
                <w:sz w:val="17"/>
                <w:szCs w:val="17"/>
              </w:rPr>
            </w:pPr>
          </w:p>
        </w:tc>
        <w:tc>
          <w:tcPr>
            <w:tcW w:w="924" w:type="dxa"/>
            <w:vAlign w:val="bottom"/>
          </w:tcPr>
          <w:p w14:paraId="0C6A8535" w14:textId="77777777" w:rsidR="00F16F53" w:rsidRPr="00E754AA" w:rsidRDefault="007E7F89" w:rsidP="00F16F53">
            <w:pPr>
              <w:spacing w:before="40" w:after="40"/>
              <w:jc w:val="right"/>
              <w:rPr>
                <w:b/>
                <w:bCs/>
                <w:sz w:val="17"/>
                <w:szCs w:val="17"/>
              </w:rPr>
            </w:pPr>
            <w:r w:rsidRPr="00B26791">
              <w:rPr>
                <w:sz w:val="17"/>
              </w:rPr>
              <w:t>—</w:t>
            </w:r>
          </w:p>
        </w:tc>
        <w:tc>
          <w:tcPr>
            <w:tcW w:w="227" w:type="dxa"/>
          </w:tcPr>
          <w:p w14:paraId="6D850191" w14:textId="77777777" w:rsidR="00F16F53" w:rsidRPr="00E754AA" w:rsidRDefault="00F16F53" w:rsidP="00F16F53">
            <w:pPr>
              <w:spacing w:before="40" w:after="40"/>
              <w:rPr>
                <w:b/>
                <w:bCs/>
                <w:sz w:val="17"/>
                <w:szCs w:val="17"/>
              </w:rPr>
            </w:pPr>
          </w:p>
        </w:tc>
        <w:tc>
          <w:tcPr>
            <w:tcW w:w="939" w:type="dxa"/>
          </w:tcPr>
          <w:p w14:paraId="229A042D" w14:textId="77777777" w:rsidR="00F16F53" w:rsidRPr="00E754AA" w:rsidRDefault="00F16F53" w:rsidP="00F16F53">
            <w:pPr>
              <w:spacing w:before="40" w:after="40"/>
              <w:jc w:val="right"/>
              <w:rPr>
                <w:b/>
                <w:bCs/>
                <w:sz w:val="17"/>
                <w:szCs w:val="17"/>
              </w:rPr>
            </w:pPr>
            <w:r w:rsidRPr="00B26791">
              <w:rPr>
                <w:sz w:val="17"/>
              </w:rPr>
              <w:t>—</w:t>
            </w:r>
          </w:p>
        </w:tc>
        <w:tc>
          <w:tcPr>
            <w:tcW w:w="266" w:type="dxa"/>
            <w:vAlign w:val="bottom"/>
          </w:tcPr>
          <w:p w14:paraId="099EE66D" w14:textId="77777777" w:rsidR="00F16F53" w:rsidRPr="000D2863" w:rsidRDefault="00F16F53" w:rsidP="00F16F53">
            <w:pPr>
              <w:spacing w:before="40" w:after="40"/>
              <w:rPr>
                <w:b/>
                <w:bCs/>
                <w:sz w:val="17"/>
                <w:szCs w:val="17"/>
              </w:rPr>
            </w:pPr>
          </w:p>
        </w:tc>
      </w:tr>
      <w:tr w:rsidR="00F16F53" w:rsidRPr="00E834EF" w14:paraId="12DB8295" w14:textId="77777777" w:rsidTr="00D925C8">
        <w:tc>
          <w:tcPr>
            <w:tcW w:w="3254" w:type="dxa"/>
          </w:tcPr>
          <w:p w14:paraId="3CE415AB" w14:textId="77777777" w:rsidR="00F16F53" w:rsidRPr="0054596C" w:rsidRDefault="00F16F53" w:rsidP="00F16F53">
            <w:pPr>
              <w:tabs>
                <w:tab w:val="right" w:leader="dot" w:pos="3255"/>
              </w:tabs>
              <w:bidi/>
              <w:spacing w:before="40" w:after="40"/>
              <w:rPr>
                <w:b/>
                <w:bCs/>
                <w:sz w:val="17"/>
                <w:szCs w:val="17"/>
                <w:u w:val="single"/>
              </w:rPr>
            </w:pPr>
            <w:r w:rsidRPr="000301B1">
              <w:rPr>
                <w:rFonts w:hint="eastAsia"/>
                <w:sz w:val="17"/>
                <w:szCs w:val="17"/>
                <w:u w:val="single"/>
                <w:rtl/>
              </w:rPr>
              <w:t>مكسب</w:t>
            </w:r>
            <w:r w:rsidRPr="000301B1">
              <w:rPr>
                <w:sz w:val="17"/>
                <w:szCs w:val="17"/>
                <w:u w:val="single"/>
                <w:rtl/>
              </w:rPr>
              <w:t xml:space="preserve"> (</w:t>
            </w:r>
            <w:r w:rsidRPr="000301B1">
              <w:rPr>
                <w:rFonts w:hint="eastAsia"/>
                <w:sz w:val="17"/>
                <w:szCs w:val="17"/>
                <w:u w:val="single"/>
                <w:rtl/>
              </w:rPr>
              <w:t>خسارة</w:t>
            </w:r>
            <w:r w:rsidRPr="000301B1">
              <w:rPr>
                <w:sz w:val="17"/>
                <w:szCs w:val="17"/>
                <w:u w:val="single"/>
                <w:rtl/>
              </w:rPr>
              <w:t xml:space="preserve">) </w:t>
            </w:r>
            <w:r w:rsidRPr="000301B1">
              <w:rPr>
                <w:rFonts w:hint="eastAsia"/>
                <w:sz w:val="17"/>
                <w:szCs w:val="17"/>
                <w:u w:val="single"/>
                <w:rtl/>
              </w:rPr>
              <w:t>لمرة</w:t>
            </w:r>
            <w:r w:rsidRPr="000301B1">
              <w:rPr>
                <w:sz w:val="17"/>
                <w:szCs w:val="17"/>
                <w:u w:val="single"/>
                <w:rtl/>
              </w:rPr>
              <w:t xml:space="preserve"> </w:t>
            </w:r>
            <w:r w:rsidRPr="000301B1">
              <w:rPr>
                <w:rFonts w:hint="eastAsia"/>
                <w:sz w:val="17"/>
                <w:szCs w:val="17"/>
                <w:u w:val="single"/>
                <w:rtl/>
              </w:rPr>
              <w:t>واحدة</w:t>
            </w:r>
            <w:r w:rsidRPr="000301B1">
              <w:rPr>
                <w:sz w:val="17"/>
                <w:szCs w:val="17"/>
                <w:u w:val="single"/>
                <w:rtl/>
              </w:rPr>
              <w:t xml:space="preserve"> من بيع الأصو</w:t>
            </w:r>
            <w:r>
              <w:rPr>
                <w:rFonts w:hint="cs"/>
                <w:sz w:val="17"/>
                <w:szCs w:val="17"/>
                <w:u w:val="single"/>
                <w:rtl/>
              </w:rPr>
              <w:t>ل</w:t>
            </w:r>
            <w:r w:rsidRPr="000301B1">
              <w:rPr>
                <w:sz w:val="17"/>
                <w:szCs w:val="17"/>
                <w:u w:val="single"/>
                <w:rtl/>
              </w:rPr>
              <w:t xml:space="preserve"> الثابتة</w:t>
            </w:r>
            <w:r>
              <w:rPr>
                <w:sz w:val="17"/>
                <w:szCs w:val="17"/>
                <w:u w:val="single"/>
              </w:rPr>
              <w:t>……..</w:t>
            </w:r>
          </w:p>
        </w:tc>
        <w:tc>
          <w:tcPr>
            <w:tcW w:w="242" w:type="dxa"/>
            <w:vAlign w:val="bottom"/>
          </w:tcPr>
          <w:p w14:paraId="15201259" w14:textId="77777777" w:rsidR="00F16F53" w:rsidRPr="00E834EF" w:rsidRDefault="00F16F53" w:rsidP="00F16F53">
            <w:pPr>
              <w:spacing w:before="40" w:after="40"/>
              <w:rPr>
                <w:sz w:val="17"/>
                <w:szCs w:val="17"/>
              </w:rPr>
            </w:pPr>
          </w:p>
        </w:tc>
        <w:tc>
          <w:tcPr>
            <w:tcW w:w="913" w:type="dxa"/>
          </w:tcPr>
          <w:p w14:paraId="0A6C8FEA" w14:textId="77777777" w:rsidR="00F16F53" w:rsidRPr="00E754AA" w:rsidRDefault="00F16F53" w:rsidP="00F16F53">
            <w:pPr>
              <w:spacing w:before="40" w:after="40"/>
              <w:jc w:val="right"/>
              <w:rPr>
                <w:b/>
                <w:bCs/>
                <w:sz w:val="17"/>
                <w:szCs w:val="17"/>
              </w:rPr>
            </w:pPr>
            <w:r w:rsidRPr="00B26791">
              <w:rPr>
                <w:sz w:val="17"/>
              </w:rPr>
              <w:t>—</w:t>
            </w:r>
          </w:p>
        </w:tc>
        <w:tc>
          <w:tcPr>
            <w:tcW w:w="252" w:type="dxa"/>
            <w:gridSpan w:val="2"/>
            <w:vAlign w:val="bottom"/>
          </w:tcPr>
          <w:p w14:paraId="01D9C49A" w14:textId="77777777" w:rsidR="00F16F53" w:rsidRPr="00E754AA" w:rsidRDefault="00F16F53" w:rsidP="00F16F53">
            <w:pPr>
              <w:spacing w:before="40" w:after="40"/>
              <w:rPr>
                <w:b/>
                <w:bCs/>
                <w:sz w:val="17"/>
                <w:szCs w:val="17"/>
              </w:rPr>
            </w:pPr>
          </w:p>
        </w:tc>
        <w:tc>
          <w:tcPr>
            <w:tcW w:w="924" w:type="dxa"/>
          </w:tcPr>
          <w:p w14:paraId="1A57EB17" w14:textId="77777777" w:rsidR="00F16F53" w:rsidRPr="00E754AA" w:rsidRDefault="00F16F53" w:rsidP="00F16F53">
            <w:pPr>
              <w:spacing w:before="40" w:after="40"/>
              <w:jc w:val="right"/>
              <w:rPr>
                <w:b/>
                <w:bCs/>
                <w:sz w:val="17"/>
                <w:szCs w:val="17"/>
              </w:rPr>
            </w:pPr>
            <w:r>
              <w:rPr>
                <w:sz w:val="17"/>
                <w:szCs w:val="17"/>
              </w:rPr>
              <w:t>0.7</w:t>
            </w:r>
          </w:p>
        </w:tc>
        <w:tc>
          <w:tcPr>
            <w:tcW w:w="242" w:type="dxa"/>
            <w:vAlign w:val="bottom"/>
          </w:tcPr>
          <w:p w14:paraId="39E28C1A" w14:textId="77777777" w:rsidR="00F16F53" w:rsidRPr="00E754AA" w:rsidRDefault="00F16F53" w:rsidP="00F16F53">
            <w:pPr>
              <w:spacing w:before="40" w:after="40"/>
              <w:rPr>
                <w:b/>
                <w:bCs/>
                <w:sz w:val="17"/>
                <w:szCs w:val="17"/>
              </w:rPr>
            </w:pPr>
          </w:p>
        </w:tc>
        <w:tc>
          <w:tcPr>
            <w:tcW w:w="924" w:type="dxa"/>
          </w:tcPr>
          <w:p w14:paraId="43259B82" w14:textId="77777777" w:rsidR="00F16F53" w:rsidRPr="00E754AA" w:rsidRDefault="00F16F53" w:rsidP="00F16F53">
            <w:pPr>
              <w:spacing w:before="40" w:after="40"/>
              <w:jc w:val="right"/>
              <w:rPr>
                <w:b/>
                <w:bCs/>
                <w:sz w:val="17"/>
                <w:szCs w:val="17"/>
              </w:rPr>
            </w:pPr>
            <w:r w:rsidRPr="000301B1">
              <w:rPr>
                <w:sz w:val="17"/>
                <w:szCs w:val="17"/>
              </w:rPr>
              <w:t>(</w:t>
            </w:r>
            <w:r>
              <w:rPr>
                <w:sz w:val="17"/>
                <w:szCs w:val="17"/>
              </w:rPr>
              <w:t>18.0</w:t>
            </w:r>
            <w:r w:rsidRPr="000301B1">
              <w:rPr>
                <w:sz w:val="17"/>
                <w:szCs w:val="17"/>
              </w:rPr>
              <w:t>)</w:t>
            </w:r>
          </w:p>
        </w:tc>
        <w:tc>
          <w:tcPr>
            <w:tcW w:w="242" w:type="dxa"/>
            <w:vAlign w:val="bottom"/>
          </w:tcPr>
          <w:p w14:paraId="14CBB0CE" w14:textId="77777777" w:rsidR="00F16F53" w:rsidRPr="00E754AA" w:rsidRDefault="00F16F53" w:rsidP="00F16F53">
            <w:pPr>
              <w:spacing w:before="40" w:after="40"/>
              <w:rPr>
                <w:b/>
                <w:bCs/>
                <w:sz w:val="17"/>
                <w:szCs w:val="17"/>
              </w:rPr>
            </w:pPr>
          </w:p>
        </w:tc>
        <w:tc>
          <w:tcPr>
            <w:tcW w:w="924" w:type="dxa"/>
            <w:vAlign w:val="bottom"/>
          </w:tcPr>
          <w:p w14:paraId="654A9BDC" w14:textId="77777777" w:rsidR="00F16F53" w:rsidRPr="00D925C8" w:rsidRDefault="00936E9B" w:rsidP="00F16F53">
            <w:pPr>
              <w:spacing w:before="40" w:after="40"/>
              <w:jc w:val="right"/>
              <w:rPr>
                <w:b/>
                <w:bCs/>
                <w:sz w:val="17"/>
                <w:szCs w:val="17"/>
                <w:lang w:val="en-GB"/>
              </w:rPr>
            </w:pPr>
            <w:r>
              <w:rPr>
                <w:sz w:val="17"/>
                <w:szCs w:val="17"/>
                <w:lang w:val="en-GB"/>
              </w:rPr>
              <w:t>(0.0)</w:t>
            </w:r>
          </w:p>
        </w:tc>
        <w:tc>
          <w:tcPr>
            <w:tcW w:w="227" w:type="dxa"/>
            <w:vAlign w:val="bottom"/>
          </w:tcPr>
          <w:p w14:paraId="7A4A3CA2" w14:textId="77777777" w:rsidR="00F16F53" w:rsidRPr="00E754AA" w:rsidRDefault="00F16F53" w:rsidP="00F16F53">
            <w:pPr>
              <w:spacing w:before="40" w:after="40"/>
              <w:rPr>
                <w:b/>
                <w:bCs/>
                <w:sz w:val="17"/>
                <w:szCs w:val="17"/>
              </w:rPr>
            </w:pPr>
          </w:p>
        </w:tc>
        <w:tc>
          <w:tcPr>
            <w:tcW w:w="939" w:type="dxa"/>
            <w:vAlign w:val="bottom"/>
          </w:tcPr>
          <w:p w14:paraId="0D04FA68" w14:textId="77777777" w:rsidR="00F16F53" w:rsidRPr="00E754AA" w:rsidRDefault="00F16F53" w:rsidP="00F16F53">
            <w:pPr>
              <w:spacing w:before="40" w:after="40"/>
              <w:jc w:val="right"/>
              <w:rPr>
                <w:b/>
                <w:bCs/>
                <w:sz w:val="17"/>
                <w:szCs w:val="17"/>
              </w:rPr>
            </w:pPr>
            <w:r w:rsidRPr="000301B1">
              <w:rPr>
                <w:sz w:val="17"/>
                <w:szCs w:val="17"/>
              </w:rPr>
              <w:t>(0.0)</w:t>
            </w:r>
          </w:p>
        </w:tc>
        <w:tc>
          <w:tcPr>
            <w:tcW w:w="266" w:type="dxa"/>
            <w:vAlign w:val="bottom"/>
          </w:tcPr>
          <w:p w14:paraId="13071C75" w14:textId="77777777" w:rsidR="00F16F53" w:rsidRPr="000D2863" w:rsidRDefault="00F16F53" w:rsidP="00F16F53">
            <w:pPr>
              <w:spacing w:before="40" w:after="40"/>
              <w:rPr>
                <w:b/>
                <w:bCs/>
                <w:sz w:val="17"/>
                <w:szCs w:val="17"/>
              </w:rPr>
            </w:pPr>
          </w:p>
        </w:tc>
      </w:tr>
      <w:tr w:rsidR="00F16F53" w:rsidRPr="00E834EF" w14:paraId="189F4A93" w14:textId="77777777" w:rsidTr="00D925C8">
        <w:tc>
          <w:tcPr>
            <w:tcW w:w="3254" w:type="dxa"/>
          </w:tcPr>
          <w:p w14:paraId="0A2D4BF3" w14:textId="77777777" w:rsidR="00F16F53" w:rsidRPr="00D925C8" w:rsidRDefault="00F16F53" w:rsidP="00F16F53">
            <w:pPr>
              <w:tabs>
                <w:tab w:val="right" w:leader="dot" w:pos="3255"/>
              </w:tabs>
              <w:bidi/>
              <w:spacing w:before="40" w:after="40"/>
              <w:rPr>
                <w:b/>
                <w:bCs/>
                <w:sz w:val="17"/>
                <w:szCs w:val="17"/>
                <w:u w:val="single"/>
                <w:vertAlign w:val="superscript"/>
              </w:rPr>
            </w:pPr>
            <w:r w:rsidRPr="000301B1">
              <w:rPr>
                <w:rFonts w:hint="eastAsia"/>
                <w:sz w:val="17"/>
                <w:szCs w:val="17"/>
                <w:u w:val="single"/>
                <w:rtl/>
              </w:rPr>
              <w:t>تعديلات</w:t>
            </w:r>
            <w:r w:rsidRPr="000301B1">
              <w:rPr>
                <w:sz w:val="17"/>
                <w:szCs w:val="17"/>
                <w:u w:val="single"/>
                <w:rtl/>
              </w:rPr>
              <w:t xml:space="preserve"> </w:t>
            </w:r>
            <w:r w:rsidR="00ED5313">
              <w:rPr>
                <w:rFonts w:hint="cs"/>
                <w:sz w:val="17"/>
                <w:szCs w:val="17"/>
                <w:u w:val="single"/>
                <w:rtl/>
              </w:rPr>
              <w:t>الايرادات الاخرى</w:t>
            </w:r>
            <w:r>
              <w:rPr>
                <w:sz w:val="17"/>
                <w:szCs w:val="17"/>
                <w:u w:val="single"/>
              </w:rPr>
              <w:t>…………………………</w:t>
            </w:r>
            <w:r w:rsidR="006A62C7">
              <w:rPr>
                <w:sz w:val="17"/>
                <w:szCs w:val="17"/>
                <w:u w:val="single"/>
                <w:vertAlign w:val="superscript"/>
              </w:rPr>
              <w:t>2</w:t>
            </w:r>
          </w:p>
        </w:tc>
        <w:tc>
          <w:tcPr>
            <w:tcW w:w="242" w:type="dxa"/>
            <w:vAlign w:val="bottom"/>
          </w:tcPr>
          <w:p w14:paraId="06C75723" w14:textId="77777777" w:rsidR="00F16F53" w:rsidRPr="00E834EF" w:rsidRDefault="00F16F53" w:rsidP="00F16F53">
            <w:pPr>
              <w:spacing w:before="40" w:after="40"/>
              <w:rPr>
                <w:sz w:val="17"/>
                <w:szCs w:val="17"/>
              </w:rPr>
            </w:pPr>
          </w:p>
        </w:tc>
        <w:tc>
          <w:tcPr>
            <w:tcW w:w="913" w:type="dxa"/>
          </w:tcPr>
          <w:p w14:paraId="2866937C" w14:textId="77777777" w:rsidR="00F16F53" w:rsidRPr="00E754AA" w:rsidRDefault="00F16F53" w:rsidP="00F16F53">
            <w:pPr>
              <w:spacing w:before="40" w:after="40"/>
              <w:jc w:val="right"/>
              <w:rPr>
                <w:b/>
                <w:bCs/>
                <w:sz w:val="17"/>
                <w:szCs w:val="17"/>
              </w:rPr>
            </w:pPr>
            <w:r w:rsidRPr="000301B1">
              <w:rPr>
                <w:sz w:val="17"/>
                <w:szCs w:val="17"/>
              </w:rPr>
              <w:t>0.</w:t>
            </w:r>
            <w:r>
              <w:rPr>
                <w:sz w:val="17"/>
                <w:szCs w:val="17"/>
              </w:rPr>
              <w:t>3</w:t>
            </w:r>
          </w:p>
        </w:tc>
        <w:tc>
          <w:tcPr>
            <w:tcW w:w="252" w:type="dxa"/>
            <w:gridSpan w:val="2"/>
            <w:vAlign w:val="bottom"/>
          </w:tcPr>
          <w:p w14:paraId="0234D79D" w14:textId="77777777" w:rsidR="00F16F53" w:rsidRPr="00E754AA" w:rsidRDefault="00F16F53" w:rsidP="00F16F53">
            <w:pPr>
              <w:spacing w:before="40" w:after="40"/>
              <w:rPr>
                <w:b/>
                <w:bCs/>
                <w:sz w:val="17"/>
                <w:szCs w:val="17"/>
              </w:rPr>
            </w:pPr>
          </w:p>
        </w:tc>
        <w:tc>
          <w:tcPr>
            <w:tcW w:w="924" w:type="dxa"/>
          </w:tcPr>
          <w:p w14:paraId="4040542A" w14:textId="77777777" w:rsidR="00F16F53" w:rsidRPr="00E754AA" w:rsidRDefault="00F16F53" w:rsidP="00F16F53">
            <w:pPr>
              <w:spacing w:before="40" w:after="40"/>
              <w:jc w:val="right"/>
              <w:rPr>
                <w:b/>
                <w:bCs/>
                <w:sz w:val="17"/>
                <w:szCs w:val="17"/>
              </w:rPr>
            </w:pPr>
            <w:r w:rsidRPr="000301B1">
              <w:rPr>
                <w:sz w:val="17"/>
                <w:szCs w:val="17"/>
              </w:rPr>
              <w:t>(</w:t>
            </w:r>
            <w:r>
              <w:rPr>
                <w:sz w:val="17"/>
                <w:szCs w:val="17"/>
              </w:rPr>
              <w:t>0.6</w:t>
            </w:r>
            <w:r w:rsidRPr="000301B1">
              <w:rPr>
                <w:sz w:val="17"/>
                <w:szCs w:val="17"/>
              </w:rPr>
              <w:t>)</w:t>
            </w:r>
          </w:p>
        </w:tc>
        <w:tc>
          <w:tcPr>
            <w:tcW w:w="242" w:type="dxa"/>
            <w:vAlign w:val="bottom"/>
          </w:tcPr>
          <w:p w14:paraId="7EE99697" w14:textId="77777777" w:rsidR="00F16F53" w:rsidRPr="00E754AA" w:rsidRDefault="00F16F53" w:rsidP="00F16F53">
            <w:pPr>
              <w:spacing w:before="40" w:after="40"/>
              <w:rPr>
                <w:b/>
                <w:bCs/>
                <w:sz w:val="17"/>
                <w:szCs w:val="17"/>
              </w:rPr>
            </w:pPr>
          </w:p>
        </w:tc>
        <w:tc>
          <w:tcPr>
            <w:tcW w:w="924" w:type="dxa"/>
          </w:tcPr>
          <w:p w14:paraId="62430CB3" w14:textId="77777777" w:rsidR="00F16F53" w:rsidRPr="00E754AA" w:rsidRDefault="00F16F53" w:rsidP="00F16F53">
            <w:pPr>
              <w:spacing w:before="40" w:after="40"/>
              <w:jc w:val="right"/>
              <w:rPr>
                <w:b/>
                <w:bCs/>
                <w:sz w:val="17"/>
                <w:szCs w:val="17"/>
              </w:rPr>
            </w:pPr>
            <w:r w:rsidRPr="000301B1">
              <w:rPr>
                <w:sz w:val="17"/>
                <w:szCs w:val="17"/>
              </w:rPr>
              <w:t>(</w:t>
            </w:r>
            <w:r>
              <w:rPr>
                <w:sz w:val="17"/>
                <w:szCs w:val="17"/>
              </w:rPr>
              <w:t>7.5</w:t>
            </w:r>
            <w:r w:rsidRPr="000301B1">
              <w:rPr>
                <w:sz w:val="17"/>
                <w:szCs w:val="17"/>
              </w:rPr>
              <w:t>)</w:t>
            </w:r>
          </w:p>
        </w:tc>
        <w:tc>
          <w:tcPr>
            <w:tcW w:w="242" w:type="dxa"/>
            <w:vAlign w:val="bottom"/>
          </w:tcPr>
          <w:p w14:paraId="414B13F5" w14:textId="77777777" w:rsidR="00F16F53" w:rsidRPr="00E754AA" w:rsidRDefault="00F16F53" w:rsidP="00F16F53">
            <w:pPr>
              <w:spacing w:before="40" w:after="40"/>
              <w:rPr>
                <w:b/>
                <w:bCs/>
                <w:sz w:val="17"/>
                <w:szCs w:val="17"/>
              </w:rPr>
            </w:pPr>
          </w:p>
        </w:tc>
        <w:tc>
          <w:tcPr>
            <w:tcW w:w="924" w:type="dxa"/>
            <w:vAlign w:val="bottom"/>
          </w:tcPr>
          <w:p w14:paraId="78496B2D" w14:textId="77777777" w:rsidR="00F16F53" w:rsidRPr="00E754AA" w:rsidRDefault="00936E9B" w:rsidP="00F16F53">
            <w:pPr>
              <w:spacing w:before="40" w:after="40"/>
              <w:jc w:val="right"/>
              <w:rPr>
                <w:b/>
                <w:bCs/>
                <w:sz w:val="17"/>
                <w:szCs w:val="17"/>
              </w:rPr>
            </w:pPr>
            <w:r>
              <w:rPr>
                <w:sz w:val="17"/>
                <w:szCs w:val="17"/>
              </w:rPr>
              <w:t>(7.4)</w:t>
            </w:r>
          </w:p>
        </w:tc>
        <w:tc>
          <w:tcPr>
            <w:tcW w:w="227" w:type="dxa"/>
            <w:vAlign w:val="bottom"/>
          </w:tcPr>
          <w:p w14:paraId="33A1A0FF" w14:textId="77777777" w:rsidR="00F16F53" w:rsidRPr="00E754AA" w:rsidRDefault="00F16F53" w:rsidP="00F16F53">
            <w:pPr>
              <w:spacing w:before="40" w:after="40"/>
              <w:rPr>
                <w:b/>
                <w:bCs/>
                <w:sz w:val="17"/>
                <w:szCs w:val="17"/>
              </w:rPr>
            </w:pPr>
          </w:p>
        </w:tc>
        <w:tc>
          <w:tcPr>
            <w:tcW w:w="939" w:type="dxa"/>
            <w:vAlign w:val="bottom"/>
          </w:tcPr>
          <w:p w14:paraId="5AAA3605" w14:textId="77777777" w:rsidR="00F16F53" w:rsidRPr="00E754AA" w:rsidRDefault="00F16F53" w:rsidP="00F16F53">
            <w:pPr>
              <w:spacing w:before="40" w:after="40"/>
              <w:jc w:val="right"/>
              <w:rPr>
                <w:b/>
                <w:bCs/>
                <w:sz w:val="17"/>
                <w:szCs w:val="17"/>
              </w:rPr>
            </w:pPr>
            <w:r w:rsidRPr="000301B1">
              <w:rPr>
                <w:sz w:val="17"/>
                <w:szCs w:val="17"/>
              </w:rPr>
              <w:t>(0.</w:t>
            </w:r>
            <w:r>
              <w:rPr>
                <w:sz w:val="17"/>
                <w:szCs w:val="17"/>
              </w:rPr>
              <w:t>3</w:t>
            </w:r>
            <w:r w:rsidRPr="000301B1">
              <w:rPr>
                <w:sz w:val="17"/>
                <w:szCs w:val="17"/>
              </w:rPr>
              <w:t>)</w:t>
            </w:r>
          </w:p>
        </w:tc>
        <w:tc>
          <w:tcPr>
            <w:tcW w:w="266" w:type="dxa"/>
            <w:vAlign w:val="bottom"/>
          </w:tcPr>
          <w:p w14:paraId="4EE7406C" w14:textId="77777777" w:rsidR="00F16F53" w:rsidRPr="000D2863" w:rsidRDefault="00F16F53" w:rsidP="00F16F53">
            <w:pPr>
              <w:spacing w:before="40" w:after="40"/>
              <w:rPr>
                <w:b/>
                <w:bCs/>
                <w:sz w:val="17"/>
                <w:szCs w:val="17"/>
              </w:rPr>
            </w:pPr>
          </w:p>
        </w:tc>
      </w:tr>
      <w:tr w:rsidR="00F16F53" w:rsidRPr="00E834EF" w14:paraId="39F0E5BB" w14:textId="77777777" w:rsidTr="00D925C8">
        <w:tc>
          <w:tcPr>
            <w:tcW w:w="3254" w:type="dxa"/>
          </w:tcPr>
          <w:p w14:paraId="31FCACFD" w14:textId="77777777" w:rsidR="00F16F53" w:rsidRPr="0054596C" w:rsidRDefault="00F16F53" w:rsidP="00F16F53">
            <w:pPr>
              <w:tabs>
                <w:tab w:val="right" w:leader="dot" w:pos="3255"/>
              </w:tabs>
              <w:bidi/>
              <w:spacing w:before="40" w:after="40"/>
              <w:rPr>
                <w:b/>
                <w:bCs/>
                <w:sz w:val="17"/>
                <w:szCs w:val="17"/>
                <w:u w:val="single"/>
              </w:rPr>
            </w:pPr>
            <w:r w:rsidRPr="000301B1">
              <w:rPr>
                <w:rFonts w:hint="eastAsia"/>
                <w:sz w:val="17"/>
                <w:szCs w:val="17"/>
                <w:u w:val="single"/>
                <w:rtl/>
              </w:rPr>
              <w:t>دخل</w:t>
            </w:r>
            <w:r w:rsidRPr="000301B1">
              <w:rPr>
                <w:sz w:val="17"/>
                <w:szCs w:val="17"/>
                <w:u w:val="single"/>
                <w:rtl/>
              </w:rPr>
              <w:t xml:space="preserve"> </w:t>
            </w:r>
            <w:r w:rsidRPr="000301B1">
              <w:rPr>
                <w:rFonts w:hint="eastAsia"/>
                <w:sz w:val="17"/>
                <w:szCs w:val="17"/>
                <w:u w:val="single"/>
                <w:rtl/>
              </w:rPr>
              <w:t>الارباح</w:t>
            </w:r>
            <w:r>
              <w:rPr>
                <w:sz w:val="17"/>
                <w:szCs w:val="17"/>
                <w:u w:val="single"/>
              </w:rPr>
              <w:t>……………………………………..</w:t>
            </w:r>
          </w:p>
        </w:tc>
        <w:tc>
          <w:tcPr>
            <w:tcW w:w="242" w:type="dxa"/>
            <w:vAlign w:val="bottom"/>
          </w:tcPr>
          <w:p w14:paraId="4585399B" w14:textId="77777777" w:rsidR="00F16F53" w:rsidRPr="00E834EF" w:rsidRDefault="00F16F53" w:rsidP="00F16F53">
            <w:pPr>
              <w:spacing w:before="40" w:after="40"/>
              <w:rPr>
                <w:sz w:val="17"/>
                <w:szCs w:val="17"/>
              </w:rPr>
            </w:pPr>
          </w:p>
        </w:tc>
        <w:tc>
          <w:tcPr>
            <w:tcW w:w="913" w:type="dxa"/>
          </w:tcPr>
          <w:p w14:paraId="22FFC507" w14:textId="77777777" w:rsidR="00F16F53" w:rsidRPr="00E754AA" w:rsidRDefault="00F16F53" w:rsidP="00F16F53">
            <w:pPr>
              <w:spacing w:before="40" w:after="40"/>
              <w:jc w:val="right"/>
              <w:rPr>
                <w:b/>
                <w:bCs/>
                <w:sz w:val="17"/>
                <w:szCs w:val="17"/>
              </w:rPr>
            </w:pPr>
            <w:r w:rsidRPr="00B26791">
              <w:rPr>
                <w:sz w:val="17"/>
              </w:rPr>
              <w:t>—</w:t>
            </w:r>
          </w:p>
        </w:tc>
        <w:tc>
          <w:tcPr>
            <w:tcW w:w="252" w:type="dxa"/>
            <w:gridSpan w:val="2"/>
            <w:vAlign w:val="bottom"/>
          </w:tcPr>
          <w:p w14:paraId="49366F97" w14:textId="77777777" w:rsidR="00F16F53" w:rsidRPr="00E754AA" w:rsidRDefault="00F16F53" w:rsidP="00F16F53">
            <w:pPr>
              <w:spacing w:before="40" w:after="40"/>
              <w:rPr>
                <w:b/>
                <w:bCs/>
                <w:sz w:val="17"/>
                <w:szCs w:val="17"/>
              </w:rPr>
            </w:pPr>
          </w:p>
        </w:tc>
        <w:tc>
          <w:tcPr>
            <w:tcW w:w="924" w:type="dxa"/>
          </w:tcPr>
          <w:p w14:paraId="4863C9B9" w14:textId="77777777" w:rsidR="00F16F53" w:rsidRPr="00E754AA" w:rsidRDefault="00F16F53" w:rsidP="00F16F53">
            <w:pPr>
              <w:spacing w:before="40" w:after="40"/>
              <w:jc w:val="right"/>
              <w:rPr>
                <w:b/>
                <w:bCs/>
                <w:sz w:val="17"/>
                <w:szCs w:val="17"/>
              </w:rPr>
            </w:pPr>
            <w:r w:rsidRPr="000301B1">
              <w:rPr>
                <w:sz w:val="17"/>
                <w:szCs w:val="17"/>
              </w:rPr>
              <w:t>(</w:t>
            </w:r>
            <w:r>
              <w:rPr>
                <w:sz w:val="17"/>
                <w:szCs w:val="17"/>
              </w:rPr>
              <w:t>1.0</w:t>
            </w:r>
            <w:r w:rsidRPr="000301B1">
              <w:rPr>
                <w:sz w:val="17"/>
                <w:szCs w:val="17"/>
              </w:rPr>
              <w:t>)</w:t>
            </w:r>
          </w:p>
        </w:tc>
        <w:tc>
          <w:tcPr>
            <w:tcW w:w="242" w:type="dxa"/>
            <w:vAlign w:val="bottom"/>
          </w:tcPr>
          <w:p w14:paraId="373E9E31" w14:textId="77777777" w:rsidR="00F16F53" w:rsidRPr="00E754AA" w:rsidRDefault="00F16F53" w:rsidP="00F16F53">
            <w:pPr>
              <w:spacing w:before="40" w:after="40"/>
              <w:rPr>
                <w:b/>
                <w:bCs/>
                <w:sz w:val="17"/>
                <w:szCs w:val="17"/>
              </w:rPr>
            </w:pPr>
          </w:p>
        </w:tc>
        <w:tc>
          <w:tcPr>
            <w:tcW w:w="924" w:type="dxa"/>
          </w:tcPr>
          <w:p w14:paraId="78478B6C" w14:textId="77777777" w:rsidR="00F16F53" w:rsidRPr="00E754AA" w:rsidRDefault="00F16F53" w:rsidP="00F16F53">
            <w:pPr>
              <w:spacing w:before="40" w:after="40"/>
              <w:jc w:val="right"/>
              <w:rPr>
                <w:b/>
                <w:bCs/>
                <w:sz w:val="17"/>
                <w:szCs w:val="17"/>
              </w:rPr>
            </w:pPr>
            <w:r w:rsidRPr="000301B1">
              <w:rPr>
                <w:sz w:val="17"/>
                <w:szCs w:val="17"/>
              </w:rPr>
              <w:t>(0.</w:t>
            </w:r>
            <w:r w:rsidR="000A245C">
              <w:rPr>
                <w:sz w:val="17"/>
                <w:szCs w:val="17"/>
              </w:rPr>
              <w:t>1</w:t>
            </w:r>
            <w:r w:rsidRPr="000301B1">
              <w:rPr>
                <w:sz w:val="17"/>
                <w:szCs w:val="17"/>
              </w:rPr>
              <w:t>)</w:t>
            </w:r>
          </w:p>
        </w:tc>
        <w:tc>
          <w:tcPr>
            <w:tcW w:w="242" w:type="dxa"/>
            <w:vAlign w:val="bottom"/>
          </w:tcPr>
          <w:p w14:paraId="6BBCB554" w14:textId="77777777" w:rsidR="00F16F53" w:rsidRPr="00E754AA" w:rsidRDefault="00F16F53" w:rsidP="00F16F53">
            <w:pPr>
              <w:spacing w:before="40" w:after="40"/>
              <w:rPr>
                <w:b/>
                <w:bCs/>
                <w:sz w:val="17"/>
                <w:szCs w:val="17"/>
              </w:rPr>
            </w:pPr>
          </w:p>
        </w:tc>
        <w:tc>
          <w:tcPr>
            <w:tcW w:w="924" w:type="dxa"/>
            <w:vAlign w:val="bottom"/>
          </w:tcPr>
          <w:p w14:paraId="41854489" w14:textId="77777777" w:rsidR="00F16F53" w:rsidRPr="00E754AA" w:rsidRDefault="00936E9B" w:rsidP="00F16F53">
            <w:pPr>
              <w:spacing w:before="40" w:after="40"/>
              <w:jc w:val="right"/>
              <w:rPr>
                <w:b/>
                <w:bCs/>
                <w:sz w:val="17"/>
                <w:szCs w:val="17"/>
              </w:rPr>
            </w:pPr>
            <w:r>
              <w:rPr>
                <w:sz w:val="17"/>
                <w:szCs w:val="17"/>
              </w:rPr>
              <w:t>(0.1)</w:t>
            </w:r>
          </w:p>
        </w:tc>
        <w:tc>
          <w:tcPr>
            <w:tcW w:w="227" w:type="dxa"/>
            <w:vAlign w:val="bottom"/>
          </w:tcPr>
          <w:p w14:paraId="30A320B3" w14:textId="77777777" w:rsidR="00F16F53" w:rsidRPr="00E754AA" w:rsidRDefault="00F16F53" w:rsidP="00F16F53">
            <w:pPr>
              <w:spacing w:before="40" w:after="40"/>
              <w:rPr>
                <w:b/>
                <w:bCs/>
                <w:sz w:val="17"/>
                <w:szCs w:val="17"/>
              </w:rPr>
            </w:pPr>
          </w:p>
        </w:tc>
        <w:tc>
          <w:tcPr>
            <w:tcW w:w="939" w:type="dxa"/>
            <w:vAlign w:val="bottom"/>
          </w:tcPr>
          <w:p w14:paraId="7D2A4033" w14:textId="77777777" w:rsidR="00F16F53" w:rsidRPr="00E754AA" w:rsidRDefault="00F16F53" w:rsidP="00F16F53">
            <w:pPr>
              <w:spacing w:before="40" w:after="40"/>
              <w:jc w:val="right"/>
              <w:rPr>
                <w:b/>
                <w:bCs/>
                <w:sz w:val="17"/>
                <w:szCs w:val="17"/>
              </w:rPr>
            </w:pPr>
            <w:r w:rsidRPr="000301B1">
              <w:rPr>
                <w:sz w:val="17"/>
                <w:szCs w:val="17"/>
              </w:rPr>
              <w:t>(0.</w:t>
            </w:r>
            <w:r>
              <w:rPr>
                <w:sz w:val="17"/>
                <w:szCs w:val="17"/>
              </w:rPr>
              <w:t>1</w:t>
            </w:r>
            <w:r w:rsidRPr="000301B1">
              <w:rPr>
                <w:sz w:val="17"/>
                <w:szCs w:val="17"/>
              </w:rPr>
              <w:t>)</w:t>
            </w:r>
          </w:p>
        </w:tc>
        <w:tc>
          <w:tcPr>
            <w:tcW w:w="266" w:type="dxa"/>
            <w:vAlign w:val="bottom"/>
          </w:tcPr>
          <w:p w14:paraId="58EDE82D" w14:textId="77777777" w:rsidR="00F16F53" w:rsidRPr="000D2863" w:rsidRDefault="00F16F53" w:rsidP="00F16F53">
            <w:pPr>
              <w:spacing w:before="40" w:after="40"/>
              <w:rPr>
                <w:b/>
                <w:bCs/>
                <w:sz w:val="17"/>
                <w:szCs w:val="17"/>
              </w:rPr>
            </w:pPr>
          </w:p>
        </w:tc>
      </w:tr>
      <w:tr w:rsidR="00F16F53" w:rsidRPr="00E834EF" w14:paraId="6C43C8AF" w14:textId="77777777" w:rsidTr="00D925C8">
        <w:tc>
          <w:tcPr>
            <w:tcW w:w="3254" w:type="dxa"/>
          </w:tcPr>
          <w:p w14:paraId="69AA1989" w14:textId="77777777" w:rsidR="00F16F53" w:rsidRPr="0054596C" w:rsidRDefault="00F16F53" w:rsidP="00F16F53">
            <w:pPr>
              <w:tabs>
                <w:tab w:val="right" w:leader="dot" w:pos="3255"/>
              </w:tabs>
              <w:bidi/>
              <w:spacing w:before="40" w:after="40"/>
              <w:rPr>
                <w:b/>
                <w:bCs/>
                <w:sz w:val="17"/>
                <w:szCs w:val="17"/>
                <w:u w:val="single"/>
              </w:rPr>
            </w:pPr>
            <w:r w:rsidRPr="00A76D52">
              <w:rPr>
                <w:rFonts w:hint="cs"/>
                <w:sz w:val="17"/>
                <w:szCs w:val="17"/>
                <w:rtl/>
              </w:rPr>
              <w:t>إلغاء الخسارة على الأصول المالية والتعاقدية</w:t>
            </w:r>
            <w:r>
              <w:rPr>
                <w:sz w:val="17"/>
                <w:szCs w:val="17"/>
              </w:rPr>
              <w:t>……………</w:t>
            </w:r>
          </w:p>
        </w:tc>
        <w:tc>
          <w:tcPr>
            <w:tcW w:w="242" w:type="dxa"/>
            <w:vAlign w:val="bottom"/>
          </w:tcPr>
          <w:p w14:paraId="3DA29E79" w14:textId="77777777" w:rsidR="00F16F53" w:rsidRPr="00E834EF" w:rsidRDefault="00F16F53" w:rsidP="00F16F53">
            <w:pPr>
              <w:spacing w:before="40" w:after="40"/>
              <w:rPr>
                <w:sz w:val="17"/>
                <w:szCs w:val="17"/>
              </w:rPr>
            </w:pPr>
          </w:p>
        </w:tc>
        <w:tc>
          <w:tcPr>
            <w:tcW w:w="913" w:type="dxa"/>
          </w:tcPr>
          <w:p w14:paraId="22A64B8B" w14:textId="77777777" w:rsidR="00F16F53" w:rsidRPr="00E754AA" w:rsidRDefault="00F16F53" w:rsidP="00F16F53">
            <w:pPr>
              <w:spacing w:before="40" w:after="40"/>
              <w:jc w:val="right"/>
              <w:rPr>
                <w:b/>
                <w:bCs/>
                <w:sz w:val="17"/>
                <w:szCs w:val="17"/>
              </w:rPr>
            </w:pPr>
            <w:r w:rsidRPr="000301B1">
              <w:rPr>
                <w:sz w:val="17"/>
                <w:szCs w:val="17"/>
              </w:rPr>
              <w:t>0.</w:t>
            </w:r>
            <w:r>
              <w:rPr>
                <w:sz w:val="17"/>
                <w:szCs w:val="17"/>
              </w:rPr>
              <w:t>2</w:t>
            </w:r>
          </w:p>
        </w:tc>
        <w:tc>
          <w:tcPr>
            <w:tcW w:w="252" w:type="dxa"/>
            <w:gridSpan w:val="2"/>
            <w:vAlign w:val="bottom"/>
          </w:tcPr>
          <w:p w14:paraId="60ACE730" w14:textId="77777777" w:rsidR="00F16F53" w:rsidRPr="00E754AA" w:rsidRDefault="00F16F53" w:rsidP="00F16F53">
            <w:pPr>
              <w:spacing w:before="40" w:after="40"/>
              <w:rPr>
                <w:b/>
                <w:bCs/>
                <w:sz w:val="17"/>
                <w:szCs w:val="17"/>
              </w:rPr>
            </w:pPr>
          </w:p>
        </w:tc>
        <w:tc>
          <w:tcPr>
            <w:tcW w:w="924" w:type="dxa"/>
          </w:tcPr>
          <w:p w14:paraId="642E1884" w14:textId="77777777" w:rsidR="00F16F53" w:rsidRPr="00E754AA" w:rsidRDefault="00F16F53" w:rsidP="00F16F53">
            <w:pPr>
              <w:spacing w:before="40" w:after="40"/>
              <w:jc w:val="right"/>
              <w:rPr>
                <w:b/>
                <w:bCs/>
                <w:sz w:val="17"/>
                <w:szCs w:val="17"/>
              </w:rPr>
            </w:pPr>
            <w:r w:rsidRPr="000301B1">
              <w:rPr>
                <w:sz w:val="17"/>
                <w:szCs w:val="17"/>
              </w:rPr>
              <w:t>0.</w:t>
            </w:r>
            <w:r>
              <w:rPr>
                <w:sz w:val="17"/>
                <w:szCs w:val="17"/>
              </w:rPr>
              <w:t>2</w:t>
            </w:r>
          </w:p>
        </w:tc>
        <w:tc>
          <w:tcPr>
            <w:tcW w:w="242" w:type="dxa"/>
            <w:vAlign w:val="bottom"/>
          </w:tcPr>
          <w:p w14:paraId="576F785D" w14:textId="77777777" w:rsidR="00F16F53" w:rsidRPr="00E754AA" w:rsidRDefault="00F16F53" w:rsidP="00F16F53">
            <w:pPr>
              <w:spacing w:before="40" w:after="40"/>
              <w:rPr>
                <w:b/>
                <w:bCs/>
                <w:sz w:val="17"/>
                <w:szCs w:val="17"/>
              </w:rPr>
            </w:pPr>
          </w:p>
        </w:tc>
        <w:tc>
          <w:tcPr>
            <w:tcW w:w="924" w:type="dxa"/>
          </w:tcPr>
          <w:p w14:paraId="6A695DA7" w14:textId="77777777" w:rsidR="00F16F53" w:rsidRPr="00E754AA" w:rsidRDefault="00F16F53" w:rsidP="00F16F53">
            <w:pPr>
              <w:spacing w:before="40" w:after="40"/>
              <w:jc w:val="right"/>
              <w:rPr>
                <w:b/>
                <w:bCs/>
                <w:sz w:val="17"/>
                <w:szCs w:val="17"/>
              </w:rPr>
            </w:pPr>
            <w:r w:rsidRPr="000301B1">
              <w:rPr>
                <w:sz w:val="17"/>
                <w:szCs w:val="17"/>
              </w:rPr>
              <w:t>(0.</w:t>
            </w:r>
            <w:r>
              <w:rPr>
                <w:sz w:val="17"/>
                <w:szCs w:val="17"/>
              </w:rPr>
              <w:t>1</w:t>
            </w:r>
            <w:r w:rsidRPr="000301B1">
              <w:rPr>
                <w:sz w:val="17"/>
                <w:szCs w:val="17"/>
              </w:rPr>
              <w:t>)</w:t>
            </w:r>
          </w:p>
        </w:tc>
        <w:tc>
          <w:tcPr>
            <w:tcW w:w="242" w:type="dxa"/>
            <w:vAlign w:val="bottom"/>
          </w:tcPr>
          <w:p w14:paraId="673AAFA6" w14:textId="77777777" w:rsidR="00F16F53" w:rsidRPr="00E754AA" w:rsidRDefault="00F16F53" w:rsidP="00F16F53">
            <w:pPr>
              <w:spacing w:before="40" w:after="40"/>
              <w:rPr>
                <w:b/>
                <w:bCs/>
                <w:sz w:val="17"/>
                <w:szCs w:val="17"/>
              </w:rPr>
            </w:pPr>
          </w:p>
        </w:tc>
        <w:tc>
          <w:tcPr>
            <w:tcW w:w="924" w:type="dxa"/>
            <w:vAlign w:val="bottom"/>
          </w:tcPr>
          <w:p w14:paraId="5171674B" w14:textId="77777777" w:rsidR="00F16F53" w:rsidRPr="00E754AA" w:rsidRDefault="000A245C" w:rsidP="00F16F53">
            <w:pPr>
              <w:spacing w:before="40" w:after="40"/>
              <w:jc w:val="right"/>
              <w:rPr>
                <w:b/>
                <w:bCs/>
                <w:sz w:val="17"/>
                <w:szCs w:val="17"/>
              </w:rPr>
            </w:pPr>
            <w:r>
              <w:rPr>
                <w:sz w:val="17"/>
                <w:szCs w:val="17"/>
              </w:rPr>
              <w:t>(0.1)</w:t>
            </w:r>
          </w:p>
        </w:tc>
        <w:tc>
          <w:tcPr>
            <w:tcW w:w="227" w:type="dxa"/>
            <w:vAlign w:val="bottom"/>
          </w:tcPr>
          <w:p w14:paraId="069488FB" w14:textId="77777777" w:rsidR="00F16F53" w:rsidRPr="00E754AA" w:rsidRDefault="00F16F53" w:rsidP="00F16F53">
            <w:pPr>
              <w:spacing w:before="40" w:after="40"/>
              <w:rPr>
                <w:b/>
                <w:bCs/>
                <w:sz w:val="17"/>
                <w:szCs w:val="17"/>
              </w:rPr>
            </w:pPr>
          </w:p>
        </w:tc>
        <w:tc>
          <w:tcPr>
            <w:tcW w:w="939" w:type="dxa"/>
            <w:vAlign w:val="bottom"/>
          </w:tcPr>
          <w:p w14:paraId="0B57CBC5" w14:textId="77777777" w:rsidR="00F16F53" w:rsidRPr="00E754AA" w:rsidRDefault="00F16F53" w:rsidP="00F16F53">
            <w:pPr>
              <w:spacing w:before="40" w:after="40"/>
              <w:jc w:val="right"/>
              <w:rPr>
                <w:b/>
                <w:bCs/>
                <w:sz w:val="17"/>
                <w:szCs w:val="17"/>
              </w:rPr>
            </w:pPr>
            <w:r w:rsidRPr="000301B1">
              <w:rPr>
                <w:sz w:val="17"/>
                <w:szCs w:val="17"/>
              </w:rPr>
              <w:t>0.</w:t>
            </w:r>
            <w:r>
              <w:rPr>
                <w:sz w:val="17"/>
                <w:szCs w:val="17"/>
              </w:rPr>
              <w:t>3</w:t>
            </w:r>
          </w:p>
        </w:tc>
        <w:tc>
          <w:tcPr>
            <w:tcW w:w="266" w:type="dxa"/>
            <w:vAlign w:val="bottom"/>
          </w:tcPr>
          <w:p w14:paraId="4230FC17" w14:textId="77777777" w:rsidR="00F16F53" w:rsidRPr="000D2863" w:rsidRDefault="00F16F53" w:rsidP="00F16F53">
            <w:pPr>
              <w:spacing w:before="40" w:after="40"/>
              <w:rPr>
                <w:b/>
                <w:bCs/>
                <w:sz w:val="17"/>
                <w:szCs w:val="17"/>
              </w:rPr>
            </w:pPr>
          </w:p>
        </w:tc>
      </w:tr>
      <w:tr w:rsidR="00F16F53" w:rsidRPr="00E834EF" w14:paraId="6825E285" w14:textId="77777777" w:rsidTr="00D925C8">
        <w:tc>
          <w:tcPr>
            <w:tcW w:w="3254" w:type="dxa"/>
          </w:tcPr>
          <w:p w14:paraId="7F76C29A" w14:textId="77777777" w:rsidR="00F16F53" w:rsidRPr="0054596C" w:rsidRDefault="00F16F53" w:rsidP="00F16F53">
            <w:pPr>
              <w:tabs>
                <w:tab w:val="right" w:leader="dot" w:pos="3255"/>
              </w:tabs>
              <w:bidi/>
              <w:spacing w:before="40" w:after="40"/>
              <w:rPr>
                <w:b/>
                <w:bCs/>
                <w:sz w:val="17"/>
                <w:szCs w:val="17"/>
                <w:u w:val="single"/>
              </w:rPr>
            </w:pPr>
            <w:r w:rsidRPr="00A76D52">
              <w:rPr>
                <w:rFonts w:hint="cs"/>
                <w:sz w:val="17"/>
                <w:szCs w:val="17"/>
                <w:rtl/>
              </w:rPr>
              <w:t>إلغاء الخسارة على الأصول الحاضعة لحقوق الاستخدام</w:t>
            </w:r>
            <w:r>
              <w:rPr>
                <w:sz w:val="17"/>
                <w:szCs w:val="17"/>
              </w:rPr>
              <w:t>…...</w:t>
            </w:r>
          </w:p>
        </w:tc>
        <w:tc>
          <w:tcPr>
            <w:tcW w:w="242" w:type="dxa"/>
            <w:vAlign w:val="bottom"/>
          </w:tcPr>
          <w:p w14:paraId="0A1496D8" w14:textId="77777777" w:rsidR="00F16F53" w:rsidRPr="00E834EF" w:rsidRDefault="00F16F53" w:rsidP="00F16F53">
            <w:pPr>
              <w:spacing w:before="40" w:after="40"/>
              <w:rPr>
                <w:sz w:val="17"/>
                <w:szCs w:val="17"/>
              </w:rPr>
            </w:pPr>
          </w:p>
        </w:tc>
        <w:tc>
          <w:tcPr>
            <w:tcW w:w="913" w:type="dxa"/>
          </w:tcPr>
          <w:p w14:paraId="52EB8A8C" w14:textId="77777777" w:rsidR="00F16F53" w:rsidRPr="00E754AA" w:rsidRDefault="00F16F53" w:rsidP="00F16F53">
            <w:pPr>
              <w:spacing w:before="40" w:after="40"/>
              <w:jc w:val="right"/>
              <w:rPr>
                <w:b/>
                <w:bCs/>
                <w:sz w:val="17"/>
                <w:szCs w:val="17"/>
              </w:rPr>
            </w:pPr>
            <w:r w:rsidRPr="00B26791">
              <w:rPr>
                <w:sz w:val="17"/>
              </w:rPr>
              <w:t>—</w:t>
            </w:r>
          </w:p>
        </w:tc>
        <w:tc>
          <w:tcPr>
            <w:tcW w:w="252" w:type="dxa"/>
            <w:gridSpan w:val="2"/>
            <w:vAlign w:val="bottom"/>
          </w:tcPr>
          <w:p w14:paraId="312F11E6" w14:textId="77777777" w:rsidR="00F16F53" w:rsidRPr="00E754AA" w:rsidRDefault="00F16F53" w:rsidP="00F16F53">
            <w:pPr>
              <w:spacing w:before="40" w:after="40"/>
              <w:rPr>
                <w:b/>
                <w:bCs/>
                <w:sz w:val="17"/>
                <w:szCs w:val="17"/>
              </w:rPr>
            </w:pPr>
          </w:p>
        </w:tc>
        <w:tc>
          <w:tcPr>
            <w:tcW w:w="924" w:type="dxa"/>
          </w:tcPr>
          <w:p w14:paraId="75CE73C0" w14:textId="77777777" w:rsidR="00F16F53" w:rsidRPr="00E754AA" w:rsidRDefault="00F16F53" w:rsidP="00F16F53">
            <w:pPr>
              <w:spacing w:before="40" w:after="40"/>
              <w:jc w:val="right"/>
              <w:rPr>
                <w:b/>
                <w:bCs/>
                <w:sz w:val="17"/>
                <w:szCs w:val="17"/>
              </w:rPr>
            </w:pPr>
            <w:r w:rsidRPr="00B26791">
              <w:rPr>
                <w:sz w:val="17"/>
              </w:rPr>
              <w:t>—</w:t>
            </w:r>
          </w:p>
        </w:tc>
        <w:tc>
          <w:tcPr>
            <w:tcW w:w="242" w:type="dxa"/>
            <w:vAlign w:val="bottom"/>
          </w:tcPr>
          <w:p w14:paraId="0C3B8CBB" w14:textId="77777777" w:rsidR="00F16F53" w:rsidRPr="00E754AA" w:rsidRDefault="00F16F53" w:rsidP="00F16F53">
            <w:pPr>
              <w:spacing w:before="40" w:after="40"/>
              <w:rPr>
                <w:b/>
                <w:bCs/>
                <w:sz w:val="17"/>
                <w:szCs w:val="17"/>
              </w:rPr>
            </w:pPr>
          </w:p>
        </w:tc>
        <w:tc>
          <w:tcPr>
            <w:tcW w:w="924" w:type="dxa"/>
          </w:tcPr>
          <w:p w14:paraId="63929EB3" w14:textId="77777777" w:rsidR="00F16F53" w:rsidRPr="00E754AA" w:rsidRDefault="00F16F53" w:rsidP="00F16F53">
            <w:pPr>
              <w:spacing w:before="40" w:after="40"/>
              <w:jc w:val="right"/>
              <w:rPr>
                <w:b/>
                <w:bCs/>
                <w:sz w:val="17"/>
                <w:szCs w:val="17"/>
              </w:rPr>
            </w:pPr>
            <w:r>
              <w:rPr>
                <w:sz w:val="17"/>
                <w:szCs w:val="17"/>
              </w:rPr>
              <w:t>22.3</w:t>
            </w:r>
          </w:p>
        </w:tc>
        <w:tc>
          <w:tcPr>
            <w:tcW w:w="242" w:type="dxa"/>
            <w:vAlign w:val="bottom"/>
          </w:tcPr>
          <w:p w14:paraId="0ADF1EC9" w14:textId="77777777" w:rsidR="00F16F53" w:rsidRPr="00E754AA" w:rsidRDefault="00F16F53" w:rsidP="00F16F53">
            <w:pPr>
              <w:spacing w:before="40" w:after="40"/>
              <w:rPr>
                <w:b/>
                <w:bCs/>
                <w:sz w:val="17"/>
                <w:szCs w:val="17"/>
              </w:rPr>
            </w:pPr>
          </w:p>
        </w:tc>
        <w:tc>
          <w:tcPr>
            <w:tcW w:w="924" w:type="dxa"/>
            <w:vAlign w:val="bottom"/>
          </w:tcPr>
          <w:p w14:paraId="2CACABC2" w14:textId="77777777" w:rsidR="00F16F53" w:rsidRPr="00E754AA" w:rsidRDefault="00B30766" w:rsidP="00F16F53">
            <w:pPr>
              <w:spacing w:before="40" w:after="40"/>
              <w:jc w:val="right"/>
              <w:rPr>
                <w:b/>
                <w:bCs/>
                <w:sz w:val="17"/>
                <w:szCs w:val="17"/>
              </w:rPr>
            </w:pPr>
            <w:r>
              <w:rPr>
                <w:sz w:val="17"/>
                <w:szCs w:val="17"/>
              </w:rPr>
              <w:t>22.3</w:t>
            </w:r>
          </w:p>
        </w:tc>
        <w:tc>
          <w:tcPr>
            <w:tcW w:w="227" w:type="dxa"/>
            <w:vAlign w:val="bottom"/>
          </w:tcPr>
          <w:p w14:paraId="774607CA" w14:textId="77777777" w:rsidR="00F16F53" w:rsidRPr="00E754AA" w:rsidRDefault="00F16F53" w:rsidP="00F16F53">
            <w:pPr>
              <w:spacing w:before="40" w:after="40"/>
              <w:rPr>
                <w:b/>
                <w:bCs/>
                <w:sz w:val="17"/>
                <w:szCs w:val="17"/>
              </w:rPr>
            </w:pPr>
          </w:p>
        </w:tc>
        <w:tc>
          <w:tcPr>
            <w:tcW w:w="939" w:type="dxa"/>
            <w:vAlign w:val="bottom"/>
          </w:tcPr>
          <w:p w14:paraId="54A5DA2D" w14:textId="77777777" w:rsidR="00F16F53" w:rsidRPr="00E754AA" w:rsidRDefault="00F16F53" w:rsidP="00F16F53">
            <w:pPr>
              <w:spacing w:before="40" w:after="40"/>
              <w:jc w:val="right"/>
              <w:rPr>
                <w:b/>
                <w:bCs/>
                <w:sz w:val="17"/>
                <w:szCs w:val="17"/>
              </w:rPr>
            </w:pPr>
            <w:r w:rsidRPr="00B26791">
              <w:rPr>
                <w:sz w:val="17"/>
              </w:rPr>
              <w:t>—</w:t>
            </w:r>
          </w:p>
        </w:tc>
        <w:tc>
          <w:tcPr>
            <w:tcW w:w="266" w:type="dxa"/>
            <w:vAlign w:val="bottom"/>
          </w:tcPr>
          <w:p w14:paraId="79AFCBAF" w14:textId="77777777" w:rsidR="00F16F53" w:rsidRPr="000D2863" w:rsidRDefault="00F16F53" w:rsidP="00F16F53">
            <w:pPr>
              <w:spacing w:before="40" w:after="40"/>
              <w:rPr>
                <w:b/>
                <w:bCs/>
                <w:sz w:val="17"/>
                <w:szCs w:val="17"/>
              </w:rPr>
            </w:pPr>
          </w:p>
        </w:tc>
      </w:tr>
      <w:tr w:rsidR="00F16F53" w:rsidRPr="00E834EF" w14:paraId="10991A24" w14:textId="77777777" w:rsidTr="00D925C8">
        <w:tc>
          <w:tcPr>
            <w:tcW w:w="3254" w:type="dxa"/>
          </w:tcPr>
          <w:p w14:paraId="10700287" w14:textId="77777777" w:rsidR="00F16F53" w:rsidRPr="0054596C" w:rsidRDefault="00F16F53" w:rsidP="00F16F53">
            <w:pPr>
              <w:tabs>
                <w:tab w:val="right" w:leader="dot" w:pos="3255"/>
              </w:tabs>
              <w:bidi/>
              <w:spacing w:before="40" w:after="40"/>
              <w:rPr>
                <w:b/>
                <w:bCs/>
                <w:sz w:val="17"/>
                <w:szCs w:val="17"/>
                <w:u w:val="single"/>
              </w:rPr>
            </w:pPr>
            <w:r w:rsidRPr="000301B1">
              <w:rPr>
                <w:rFonts w:hint="eastAsia"/>
                <w:sz w:val="17"/>
                <w:szCs w:val="17"/>
                <w:u w:val="single"/>
                <w:rtl/>
              </w:rPr>
              <w:t>التغييرات</w:t>
            </w:r>
            <w:r w:rsidRPr="000301B1">
              <w:rPr>
                <w:sz w:val="17"/>
                <w:szCs w:val="17"/>
                <w:u w:val="single"/>
                <w:rtl/>
              </w:rPr>
              <w:t xml:space="preserve"> </w:t>
            </w:r>
            <w:r w:rsidRPr="000301B1">
              <w:rPr>
                <w:rFonts w:hint="eastAsia"/>
                <w:sz w:val="17"/>
                <w:szCs w:val="17"/>
                <w:u w:val="single"/>
                <w:rtl/>
              </w:rPr>
              <w:t>في</w:t>
            </w:r>
            <w:r w:rsidRPr="000301B1">
              <w:rPr>
                <w:sz w:val="17"/>
                <w:szCs w:val="17"/>
                <w:u w:val="single"/>
                <w:rtl/>
              </w:rPr>
              <w:t xml:space="preserve"> </w:t>
            </w:r>
            <w:r w:rsidRPr="000301B1">
              <w:rPr>
                <w:rFonts w:hint="eastAsia"/>
                <w:sz w:val="17"/>
                <w:szCs w:val="17"/>
                <w:u w:val="single"/>
                <w:rtl/>
              </w:rPr>
              <w:t>سياسة</w:t>
            </w:r>
            <w:r w:rsidRPr="000301B1">
              <w:rPr>
                <w:sz w:val="17"/>
                <w:szCs w:val="17"/>
                <w:u w:val="single"/>
                <w:rtl/>
              </w:rPr>
              <w:t xml:space="preserve"> </w:t>
            </w:r>
            <w:r w:rsidRPr="000301B1">
              <w:rPr>
                <w:rFonts w:hint="eastAsia"/>
                <w:sz w:val="17"/>
                <w:szCs w:val="17"/>
                <w:u w:val="single"/>
                <w:rtl/>
              </w:rPr>
              <w:t>رأس</w:t>
            </w:r>
            <w:r w:rsidRPr="000301B1">
              <w:rPr>
                <w:sz w:val="17"/>
                <w:szCs w:val="17"/>
                <w:u w:val="single"/>
                <w:rtl/>
              </w:rPr>
              <w:t xml:space="preserve"> </w:t>
            </w:r>
            <w:r w:rsidRPr="000301B1">
              <w:rPr>
                <w:rFonts w:hint="eastAsia"/>
                <w:sz w:val="17"/>
                <w:szCs w:val="17"/>
                <w:u w:val="single"/>
                <w:rtl/>
              </w:rPr>
              <w:t>المال</w:t>
            </w:r>
            <w:r>
              <w:rPr>
                <w:sz w:val="17"/>
                <w:szCs w:val="17"/>
                <w:u w:val="single"/>
              </w:rPr>
              <w:t>………………………</w:t>
            </w:r>
          </w:p>
        </w:tc>
        <w:tc>
          <w:tcPr>
            <w:tcW w:w="242" w:type="dxa"/>
            <w:vAlign w:val="bottom"/>
          </w:tcPr>
          <w:p w14:paraId="341DB256" w14:textId="77777777" w:rsidR="00F16F53" w:rsidRPr="00E834EF" w:rsidRDefault="00F16F53" w:rsidP="00F16F53">
            <w:pPr>
              <w:spacing w:before="40" w:after="40"/>
              <w:rPr>
                <w:sz w:val="17"/>
                <w:szCs w:val="17"/>
              </w:rPr>
            </w:pPr>
          </w:p>
        </w:tc>
        <w:tc>
          <w:tcPr>
            <w:tcW w:w="913" w:type="dxa"/>
          </w:tcPr>
          <w:p w14:paraId="724F570B" w14:textId="77777777" w:rsidR="00F16F53" w:rsidRPr="00E754AA" w:rsidRDefault="00F16F53" w:rsidP="00F16F53">
            <w:pPr>
              <w:spacing w:before="40" w:after="40"/>
              <w:jc w:val="right"/>
              <w:rPr>
                <w:b/>
                <w:bCs/>
                <w:sz w:val="17"/>
                <w:szCs w:val="17"/>
              </w:rPr>
            </w:pPr>
            <w:r w:rsidRPr="00B26791">
              <w:rPr>
                <w:sz w:val="17"/>
              </w:rPr>
              <w:t>—</w:t>
            </w:r>
          </w:p>
        </w:tc>
        <w:tc>
          <w:tcPr>
            <w:tcW w:w="252" w:type="dxa"/>
            <w:gridSpan w:val="2"/>
            <w:vAlign w:val="bottom"/>
          </w:tcPr>
          <w:p w14:paraId="68CB3DF9" w14:textId="77777777" w:rsidR="00F16F53" w:rsidRPr="00E754AA" w:rsidRDefault="00F16F53" w:rsidP="00F16F53">
            <w:pPr>
              <w:spacing w:before="40" w:after="40"/>
              <w:rPr>
                <w:b/>
                <w:bCs/>
                <w:sz w:val="17"/>
                <w:szCs w:val="17"/>
              </w:rPr>
            </w:pPr>
          </w:p>
        </w:tc>
        <w:tc>
          <w:tcPr>
            <w:tcW w:w="924" w:type="dxa"/>
          </w:tcPr>
          <w:p w14:paraId="581578C2" w14:textId="77777777" w:rsidR="00F16F53" w:rsidRPr="00E754AA" w:rsidRDefault="00F16F53" w:rsidP="00F16F53">
            <w:pPr>
              <w:spacing w:before="40" w:after="40"/>
              <w:jc w:val="right"/>
              <w:rPr>
                <w:b/>
                <w:bCs/>
                <w:sz w:val="17"/>
                <w:szCs w:val="17"/>
              </w:rPr>
            </w:pPr>
            <w:r>
              <w:rPr>
                <w:sz w:val="17"/>
                <w:szCs w:val="17"/>
              </w:rPr>
              <w:t>6.4</w:t>
            </w:r>
          </w:p>
        </w:tc>
        <w:tc>
          <w:tcPr>
            <w:tcW w:w="242" w:type="dxa"/>
            <w:vAlign w:val="bottom"/>
          </w:tcPr>
          <w:p w14:paraId="4AC69B9E" w14:textId="77777777" w:rsidR="00F16F53" w:rsidRPr="00E754AA" w:rsidRDefault="00F16F53" w:rsidP="00F16F53">
            <w:pPr>
              <w:spacing w:before="40" w:after="40"/>
              <w:rPr>
                <w:b/>
                <w:bCs/>
                <w:sz w:val="17"/>
                <w:szCs w:val="17"/>
              </w:rPr>
            </w:pPr>
          </w:p>
        </w:tc>
        <w:tc>
          <w:tcPr>
            <w:tcW w:w="924" w:type="dxa"/>
          </w:tcPr>
          <w:p w14:paraId="404CE0E1" w14:textId="77777777" w:rsidR="00F16F53" w:rsidRPr="00E754AA" w:rsidRDefault="00F16F53" w:rsidP="00F16F53">
            <w:pPr>
              <w:spacing w:before="40" w:after="40"/>
              <w:jc w:val="right"/>
              <w:rPr>
                <w:b/>
                <w:bCs/>
                <w:sz w:val="17"/>
                <w:szCs w:val="17"/>
              </w:rPr>
            </w:pPr>
            <w:r w:rsidRPr="00B26791">
              <w:rPr>
                <w:sz w:val="17"/>
              </w:rPr>
              <w:t>—</w:t>
            </w:r>
          </w:p>
        </w:tc>
        <w:tc>
          <w:tcPr>
            <w:tcW w:w="242" w:type="dxa"/>
            <w:vAlign w:val="bottom"/>
          </w:tcPr>
          <w:p w14:paraId="605BE177" w14:textId="77777777" w:rsidR="00F16F53" w:rsidRPr="00E754AA" w:rsidRDefault="00F16F53" w:rsidP="00F16F53">
            <w:pPr>
              <w:spacing w:before="40" w:after="40"/>
              <w:rPr>
                <w:b/>
                <w:bCs/>
                <w:sz w:val="17"/>
                <w:szCs w:val="17"/>
              </w:rPr>
            </w:pPr>
          </w:p>
        </w:tc>
        <w:tc>
          <w:tcPr>
            <w:tcW w:w="924" w:type="dxa"/>
            <w:vAlign w:val="bottom"/>
          </w:tcPr>
          <w:p w14:paraId="3FE5883E" w14:textId="77777777" w:rsidR="00F16F53" w:rsidRPr="00E754AA" w:rsidRDefault="00B30766" w:rsidP="00F16F53">
            <w:pPr>
              <w:spacing w:before="40" w:after="40"/>
              <w:jc w:val="right"/>
              <w:rPr>
                <w:b/>
                <w:bCs/>
                <w:sz w:val="17"/>
                <w:szCs w:val="17"/>
              </w:rPr>
            </w:pPr>
            <w:r w:rsidRPr="00B26791">
              <w:rPr>
                <w:sz w:val="17"/>
              </w:rPr>
              <w:t>—</w:t>
            </w:r>
          </w:p>
        </w:tc>
        <w:tc>
          <w:tcPr>
            <w:tcW w:w="227" w:type="dxa"/>
            <w:vAlign w:val="bottom"/>
          </w:tcPr>
          <w:p w14:paraId="63A88F95" w14:textId="77777777" w:rsidR="00F16F53" w:rsidRPr="00E754AA" w:rsidRDefault="00F16F53" w:rsidP="00F16F53">
            <w:pPr>
              <w:spacing w:before="40" w:after="40"/>
              <w:rPr>
                <w:b/>
                <w:bCs/>
                <w:sz w:val="17"/>
                <w:szCs w:val="17"/>
              </w:rPr>
            </w:pPr>
          </w:p>
        </w:tc>
        <w:tc>
          <w:tcPr>
            <w:tcW w:w="939" w:type="dxa"/>
            <w:vAlign w:val="bottom"/>
          </w:tcPr>
          <w:p w14:paraId="549937E5" w14:textId="77777777" w:rsidR="00F16F53" w:rsidRPr="00E754AA" w:rsidRDefault="00F16F53" w:rsidP="00F16F53">
            <w:pPr>
              <w:spacing w:before="40" w:after="40"/>
              <w:jc w:val="right"/>
              <w:rPr>
                <w:b/>
                <w:bCs/>
                <w:sz w:val="17"/>
                <w:szCs w:val="17"/>
              </w:rPr>
            </w:pPr>
            <w:r w:rsidRPr="00B26791">
              <w:rPr>
                <w:sz w:val="17"/>
              </w:rPr>
              <w:t>—</w:t>
            </w:r>
          </w:p>
        </w:tc>
        <w:tc>
          <w:tcPr>
            <w:tcW w:w="266" w:type="dxa"/>
            <w:vAlign w:val="bottom"/>
          </w:tcPr>
          <w:p w14:paraId="15023432" w14:textId="77777777" w:rsidR="00F16F53" w:rsidRPr="000D2863" w:rsidRDefault="00F16F53" w:rsidP="00F16F53">
            <w:pPr>
              <w:spacing w:before="40" w:after="40"/>
              <w:rPr>
                <w:b/>
                <w:bCs/>
                <w:sz w:val="17"/>
                <w:szCs w:val="17"/>
              </w:rPr>
            </w:pPr>
          </w:p>
        </w:tc>
      </w:tr>
      <w:tr w:rsidR="00F16F53" w:rsidRPr="00E834EF" w14:paraId="2A2194DD" w14:textId="77777777" w:rsidTr="00D925C8">
        <w:tc>
          <w:tcPr>
            <w:tcW w:w="3254" w:type="dxa"/>
          </w:tcPr>
          <w:p w14:paraId="5C8C7E7D" w14:textId="77777777" w:rsidR="00F16F53" w:rsidRPr="0054596C" w:rsidRDefault="00F16F53" w:rsidP="00F16F53">
            <w:pPr>
              <w:tabs>
                <w:tab w:val="right" w:leader="dot" w:pos="3255"/>
              </w:tabs>
              <w:bidi/>
              <w:spacing w:before="40" w:after="40"/>
              <w:rPr>
                <w:b/>
                <w:bCs/>
                <w:sz w:val="17"/>
                <w:szCs w:val="17"/>
                <w:u w:val="single"/>
              </w:rPr>
            </w:pPr>
            <w:r w:rsidRPr="000301B1">
              <w:rPr>
                <w:rFonts w:hint="eastAsia"/>
                <w:sz w:val="17"/>
                <w:szCs w:val="17"/>
                <w:u w:val="single"/>
                <w:rtl/>
              </w:rPr>
              <w:t>السفر</w:t>
            </w:r>
            <w:r>
              <w:rPr>
                <w:sz w:val="17"/>
                <w:szCs w:val="17"/>
                <w:u w:val="single"/>
              </w:rPr>
              <w:t>……………………………………………</w:t>
            </w:r>
          </w:p>
        </w:tc>
        <w:tc>
          <w:tcPr>
            <w:tcW w:w="242" w:type="dxa"/>
            <w:vAlign w:val="bottom"/>
          </w:tcPr>
          <w:p w14:paraId="14DD7015" w14:textId="77777777" w:rsidR="00F16F53" w:rsidRPr="00E834EF" w:rsidRDefault="00F16F53" w:rsidP="00F16F53">
            <w:pPr>
              <w:spacing w:before="40" w:after="40"/>
              <w:rPr>
                <w:sz w:val="17"/>
                <w:szCs w:val="17"/>
              </w:rPr>
            </w:pPr>
          </w:p>
        </w:tc>
        <w:tc>
          <w:tcPr>
            <w:tcW w:w="913" w:type="dxa"/>
          </w:tcPr>
          <w:p w14:paraId="0E2193F9" w14:textId="77777777" w:rsidR="00F16F53" w:rsidRPr="00E754AA" w:rsidRDefault="00F16F53" w:rsidP="00F16F53">
            <w:pPr>
              <w:spacing w:before="40" w:after="40"/>
              <w:jc w:val="right"/>
              <w:rPr>
                <w:b/>
                <w:bCs/>
                <w:sz w:val="17"/>
                <w:szCs w:val="17"/>
              </w:rPr>
            </w:pPr>
            <w:r w:rsidRPr="000301B1">
              <w:rPr>
                <w:sz w:val="17"/>
                <w:szCs w:val="17"/>
              </w:rPr>
              <w:t>(0.</w:t>
            </w:r>
            <w:r>
              <w:rPr>
                <w:sz w:val="17"/>
                <w:szCs w:val="17"/>
              </w:rPr>
              <w:t>3</w:t>
            </w:r>
            <w:r w:rsidRPr="000301B1">
              <w:rPr>
                <w:sz w:val="17"/>
                <w:szCs w:val="17"/>
              </w:rPr>
              <w:t>)</w:t>
            </w:r>
          </w:p>
        </w:tc>
        <w:tc>
          <w:tcPr>
            <w:tcW w:w="252" w:type="dxa"/>
            <w:gridSpan w:val="2"/>
            <w:vAlign w:val="bottom"/>
          </w:tcPr>
          <w:p w14:paraId="39366FBB" w14:textId="77777777" w:rsidR="00F16F53" w:rsidRPr="00E754AA" w:rsidRDefault="00F16F53" w:rsidP="00F16F53">
            <w:pPr>
              <w:spacing w:before="40" w:after="40"/>
              <w:rPr>
                <w:b/>
                <w:bCs/>
                <w:sz w:val="17"/>
                <w:szCs w:val="17"/>
              </w:rPr>
            </w:pPr>
          </w:p>
        </w:tc>
        <w:tc>
          <w:tcPr>
            <w:tcW w:w="924" w:type="dxa"/>
          </w:tcPr>
          <w:p w14:paraId="78691C37" w14:textId="77777777" w:rsidR="00F16F53" w:rsidRPr="00E754AA" w:rsidRDefault="00F16F53" w:rsidP="00F16F53">
            <w:pPr>
              <w:spacing w:before="40" w:after="40"/>
              <w:jc w:val="right"/>
              <w:rPr>
                <w:b/>
                <w:bCs/>
                <w:sz w:val="17"/>
                <w:szCs w:val="17"/>
              </w:rPr>
            </w:pPr>
            <w:r w:rsidRPr="00B26791">
              <w:rPr>
                <w:sz w:val="17"/>
              </w:rPr>
              <w:t>—</w:t>
            </w:r>
          </w:p>
        </w:tc>
        <w:tc>
          <w:tcPr>
            <w:tcW w:w="242" w:type="dxa"/>
            <w:vAlign w:val="bottom"/>
          </w:tcPr>
          <w:p w14:paraId="736C6E87" w14:textId="77777777" w:rsidR="00F16F53" w:rsidRPr="00E754AA" w:rsidRDefault="00F16F53" w:rsidP="00F16F53">
            <w:pPr>
              <w:spacing w:before="40" w:after="40"/>
              <w:rPr>
                <w:b/>
                <w:bCs/>
                <w:sz w:val="17"/>
                <w:szCs w:val="17"/>
              </w:rPr>
            </w:pPr>
          </w:p>
        </w:tc>
        <w:tc>
          <w:tcPr>
            <w:tcW w:w="924" w:type="dxa"/>
          </w:tcPr>
          <w:p w14:paraId="21D91752" w14:textId="77777777" w:rsidR="00F16F53" w:rsidRPr="00E754AA" w:rsidRDefault="00F16F53" w:rsidP="00F16F53">
            <w:pPr>
              <w:spacing w:before="40" w:after="40"/>
              <w:jc w:val="right"/>
              <w:rPr>
                <w:b/>
                <w:bCs/>
                <w:sz w:val="17"/>
                <w:szCs w:val="17"/>
              </w:rPr>
            </w:pPr>
            <w:r w:rsidRPr="00B26791">
              <w:rPr>
                <w:sz w:val="17"/>
              </w:rPr>
              <w:t>—</w:t>
            </w:r>
          </w:p>
        </w:tc>
        <w:tc>
          <w:tcPr>
            <w:tcW w:w="242" w:type="dxa"/>
            <w:vAlign w:val="bottom"/>
          </w:tcPr>
          <w:p w14:paraId="20607C62" w14:textId="77777777" w:rsidR="00F16F53" w:rsidRPr="00E754AA" w:rsidRDefault="00F16F53" w:rsidP="00F16F53">
            <w:pPr>
              <w:spacing w:before="40" w:after="40"/>
              <w:rPr>
                <w:b/>
                <w:bCs/>
                <w:sz w:val="17"/>
                <w:szCs w:val="17"/>
              </w:rPr>
            </w:pPr>
          </w:p>
        </w:tc>
        <w:tc>
          <w:tcPr>
            <w:tcW w:w="924" w:type="dxa"/>
            <w:vAlign w:val="bottom"/>
          </w:tcPr>
          <w:p w14:paraId="30907C0B" w14:textId="77777777" w:rsidR="00F16F53" w:rsidRPr="00E754AA" w:rsidRDefault="00B30766" w:rsidP="00F16F53">
            <w:pPr>
              <w:spacing w:before="40" w:after="40"/>
              <w:jc w:val="right"/>
              <w:rPr>
                <w:b/>
                <w:bCs/>
                <w:sz w:val="17"/>
                <w:szCs w:val="17"/>
              </w:rPr>
            </w:pPr>
            <w:r w:rsidRPr="00B26791">
              <w:rPr>
                <w:sz w:val="17"/>
              </w:rPr>
              <w:t>—</w:t>
            </w:r>
          </w:p>
        </w:tc>
        <w:tc>
          <w:tcPr>
            <w:tcW w:w="227" w:type="dxa"/>
            <w:vAlign w:val="bottom"/>
          </w:tcPr>
          <w:p w14:paraId="31F36D91" w14:textId="77777777" w:rsidR="00F16F53" w:rsidRPr="00E754AA" w:rsidRDefault="00F16F53" w:rsidP="00F16F53">
            <w:pPr>
              <w:spacing w:before="40" w:after="40"/>
              <w:rPr>
                <w:b/>
                <w:bCs/>
                <w:sz w:val="17"/>
                <w:szCs w:val="17"/>
              </w:rPr>
            </w:pPr>
          </w:p>
        </w:tc>
        <w:tc>
          <w:tcPr>
            <w:tcW w:w="939" w:type="dxa"/>
            <w:vAlign w:val="bottom"/>
          </w:tcPr>
          <w:p w14:paraId="62BF16A9" w14:textId="77777777" w:rsidR="00F16F53" w:rsidRPr="00E754AA" w:rsidRDefault="00F16F53" w:rsidP="00F16F53">
            <w:pPr>
              <w:spacing w:before="40" w:after="40"/>
              <w:jc w:val="right"/>
              <w:rPr>
                <w:b/>
                <w:bCs/>
                <w:sz w:val="17"/>
                <w:szCs w:val="17"/>
              </w:rPr>
            </w:pPr>
            <w:r w:rsidRPr="00B26791">
              <w:rPr>
                <w:sz w:val="17"/>
              </w:rPr>
              <w:t>—</w:t>
            </w:r>
          </w:p>
        </w:tc>
        <w:tc>
          <w:tcPr>
            <w:tcW w:w="266" w:type="dxa"/>
            <w:vAlign w:val="bottom"/>
          </w:tcPr>
          <w:p w14:paraId="57D53A11" w14:textId="77777777" w:rsidR="00F16F53" w:rsidRPr="000D2863" w:rsidRDefault="00F16F53" w:rsidP="00F16F53">
            <w:pPr>
              <w:spacing w:before="40" w:after="40"/>
              <w:rPr>
                <w:b/>
                <w:bCs/>
                <w:sz w:val="17"/>
                <w:szCs w:val="17"/>
              </w:rPr>
            </w:pPr>
          </w:p>
        </w:tc>
      </w:tr>
      <w:tr w:rsidR="00A07D6C" w:rsidRPr="00E834EF" w14:paraId="52C1D5BC" w14:textId="77777777" w:rsidTr="00D925C8">
        <w:tc>
          <w:tcPr>
            <w:tcW w:w="3254" w:type="dxa"/>
          </w:tcPr>
          <w:p w14:paraId="6558B155" w14:textId="77777777" w:rsidR="00A07D6C" w:rsidRPr="00155339" w:rsidRDefault="00FF1CEF" w:rsidP="00A07D6C">
            <w:pPr>
              <w:tabs>
                <w:tab w:val="right" w:leader="dot" w:pos="3255"/>
              </w:tabs>
              <w:bidi/>
              <w:spacing w:before="40" w:after="40"/>
              <w:ind w:left="357"/>
              <w:rPr>
                <w:sz w:val="17"/>
                <w:szCs w:val="17"/>
              </w:rPr>
            </w:pPr>
            <w:r>
              <w:rPr>
                <w:rFonts w:hint="cs"/>
                <w:sz w:val="17"/>
                <w:szCs w:val="17"/>
                <w:rtl/>
              </w:rPr>
              <w:t xml:space="preserve">اجمالي </w:t>
            </w:r>
            <w:r w:rsidR="00A07D6C">
              <w:rPr>
                <w:rFonts w:hint="cs"/>
                <w:sz w:val="17"/>
                <w:szCs w:val="17"/>
                <w:rtl/>
              </w:rPr>
              <w:t>تعديلات</w:t>
            </w:r>
            <w:r w:rsidR="00A07D6C" w:rsidRPr="007D2480">
              <w:rPr>
                <w:sz w:val="17"/>
              </w:rPr>
              <w:tab/>
            </w:r>
          </w:p>
        </w:tc>
        <w:tc>
          <w:tcPr>
            <w:tcW w:w="242" w:type="dxa"/>
            <w:vAlign w:val="bottom"/>
          </w:tcPr>
          <w:p w14:paraId="1697FBEC" w14:textId="77777777" w:rsidR="00A07D6C" w:rsidRPr="00E834EF" w:rsidRDefault="00A07D6C" w:rsidP="00922116">
            <w:pPr>
              <w:spacing w:before="40" w:after="40"/>
              <w:rPr>
                <w:sz w:val="17"/>
                <w:szCs w:val="17"/>
              </w:rPr>
            </w:pPr>
          </w:p>
        </w:tc>
        <w:tc>
          <w:tcPr>
            <w:tcW w:w="913" w:type="dxa"/>
            <w:vAlign w:val="center"/>
          </w:tcPr>
          <w:p w14:paraId="5FA851BE" w14:textId="77777777" w:rsidR="00A07D6C" w:rsidRPr="000D2863" w:rsidRDefault="00A07D6C" w:rsidP="00922116">
            <w:pPr>
              <w:spacing w:before="40" w:after="40"/>
              <w:jc w:val="right"/>
              <w:rPr>
                <w:color w:val="000000"/>
                <w:sz w:val="17"/>
                <w:szCs w:val="17"/>
              </w:rPr>
            </w:pPr>
            <w:r>
              <w:rPr>
                <w:sz w:val="17"/>
              </w:rPr>
              <w:t>(1.0</w:t>
            </w:r>
            <w:r w:rsidR="0030341A">
              <w:rPr>
                <w:sz w:val="17"/>
              </w:rPr>
              <w:t>)</w:t>
            </w:r>
          </w:p>
        </w:tc>
        <w:tc>
          <w:tcPr>
            <w:tcW w:w="252" w:type="dxa"/>
            <w:gridSpan w:val="2"/>
            <w:vAlign w:val="bottom"/>
          </w:tcPr>
          <w:p w14:paraId="5754CB07" w14:textId="77777777" w:rsidR="00A07D6C" w:rsidRPr="000D2863" w:rsidRDefault="00A07D6C" w:rsidP="00922116">
            <w:pPr>
              <w:spacing w:before="40" w:after="40"/>
              <w:rPr>
                <w:color w:val="000000"/>
                <w:sz w:val="17"/>
                <w:szCs w:val="17"/>
              </w:rPr>
            </w:pPr>
          </w:p>
        </w:tc>
        <w:tc>
          <w:tcPr>
            <w:tcW w:w="924" w:type="dxa"/>
            <w:vAlign w:val="center"/>
          </w:tcPr>
          <w:p w14:paraId="6AFD9FAF" w14:textId="77777777" w:rsidR="00A07D6C" w:rsidRPr="000D2863" w:rsidRDefault="00A07D6C" w:rsidP="00922116">
            <w:pPr>
              <w:spacing w:before="40" w:after="40"/>
              <w:jc w:val="right"/>
              <w:rPr>
                <w:color w:val="000000"/>
                <w:sz w:val="17"/>
                <w:szCs w:val="17"/>
              </w:rPr>
            </w:pPr>
            <w:r>
              <w:rPr>
                <w:sz w:val="17"/>
              </w:rPr>
              <w:t>5.8</w:t>
            </w:r>
          </w:p>
        </w:tc>
        <w:tc>
          <w:tcPr>
            <w:tcW w:w="242" w:type="dxa"/>
            <w:vAlign w:val="bottom"/>
          </w:tcPr>
          <w:p w14:paraId="1EE3FC1B" w14:textId="77777777" w:rsidR="00A07D6C" w:rsidRPr="000D2863" w:rsidRDefault="00A07D6C" w:rsidP="00922116">
            <w:pPr>
              <w:spacing w:before="40" w:after="40"/>
              <w:rPr>
                <w:color w:val="000000"/>
                <w:sz w:val="17"/>
                <w:szCs w:val="17"/>
              </w:rPr>
            </w:pPr>
          </w:p>
        </w:tc>
        <w:tc>
          <w:tcPr>
            <w:tcW w:w="924" w:type="dxa"/>
            <w:vAlign w:val="center"/>
          </w:tcPr>
          <w:p w14:paraId="2B4B5148" w14:textId="77777777" w:rsidR="00A07D6C" w:rsidRPr="000D2863" w:rsidRDefault="00A07D6C" w:rsidP="00922116">
            <w:pPr>
              <w:spacing w:before="40" w:after="40"/>
              <w:jc w:val="right"/>
              <w:rPr>
                <w:color w:val="000000"/>
                <w:sz w:val="17"/>
                <w:szCs w:val="17"/>
              </w:rPr>
            </w:pPr>
            <w:r>
              <w:rPr>
                <w:sz w:val="17"/>
              </w:rPr>
              <w:t>(3.4</w:t>
            </w:r>
            <w:r w:rsidR="0077647A">
              <w:rPr>
                <w:sz w:val="17"/>
              </w:rPr>
              <w:t>)</w:t>
            </w:r>
          </w:p>
        </w:tc>
        <w:tc>
          <w:tcPr>
            <w:tcW w:w="242" w:type="dxa"/>
            <w:vAlign w:val="bottom"/>
          </w:tcPr>
          <w:p w14:paraId="0379F6D9" w14:textId="77777777" w:rsidR="00A07D6C" w:rsidRPr="000D2863" w:rsidRDefault="00A07D6C" w:rsidP="00922116">
            <w:pPr>
              <w:spacing w:before="40" w:after="40"/>
              <w:rPr>
                <w:sz w:val="17"/>
                <w:szCs w:val="17"/>
              </w:rPr>
            </w:pPr>
          </w:p>
        </w:tc>
        <w:tc>
          <w:tcPr>
            <w:tcW w:w="924" w:type="dxa"/>
          </w:tcPr>
          <w:p w14:paraId="78FFA571" w14:textId="77777777" w:rsidR="00A07D6C" w:rsidRPr="000D2863" w:rsidRDefault="00A07D6C" w:rsidP="00922116">
            <w:pPr>
              <w:spacing w:before="40" w:after="40"/>
              <w:jc w:val="right"/>
              <w:rPr>
                <w:sz w:val="17"/>
                <w:szCs w:val="17"/>
              </w:rPr>
            </w:pPr>
            <w:r>
              <w:rPr>
                <w:sz w:val="17"/>
              </w:rPr>
              <w:t>14.6</w:t>
            </w:r>
          </w:p>
        </w:tc>
        <w:tc>
          <w:tcPr>
            <w:tcW w:w="227" w:type="dxa"/>
            <w:vAlign w:val="bottom"/>
          </w:tcPr>
          <w:p w14:paraId="027ACC40" w14:textId="77777777" w:rsidR="00A07D6C" w:rsidRPr="000D2863" w:rsidRDefault="00A07D6C" w:rsidP="00922116">
            <w:pPr>
              <w:spacing w:before="40" w:after="40"/>
              <w:rPr>
                <w:sz w:val="17"/>
                <w:szCs w:val="17"/>
              </w:rPr>
            </w:pPr>
          </w:p>
        </w:tc>
        <w:tc>
          <w:tcPr>
            <w:tcW w:w="939" w:type="dxa"/>
          </w:tcPr>
          <w:p w14:paraId="3BFA71D1" w14:textId="77777777" w:rsidR="00A07D6C" w:rsidRPr="000D2863" w:rsidRDefault="00A07D6C" w:rsidP="00922116">
            <w:pPr>
              <w:tabs>
                <w:tab w:val="center" w:pos="469"/>
                <w:tab w:val="right" w:pos="939"/>
              </w:tabs>
              <w:spacing w:before="40" w:after="40"/>
              <w:rPr>
                <w:sz w:val="17"/>
                <w:szCs w:val="17"/>
              </w:rPr>
            </w:pPr>
            <w:r>
              <w:rPr>
                <w:sz w:val="17"/>
              </w:rPr>
              <w:tab/>
            </w:r>
            <w:r>
              <w:rPr>
                <w:sz w:val="17"/>
              </w:rPr>
              <w:tab/>
              <w:t>(0.1</w:t>
            </w:r>
            <w:r w:rsidR="007806E1">
              <w:rPr>
                <w:sz w:val="17"/>
              </w:rPr>
              <w:t>)</w:t>
            </w:r>
          </w:p>
        </w:tc>
        <w:tc>
          <w:tcPr>
            <w:tcW w:w="266" w:type="dxa"/>
            <w:vAlign w:val="bottom"/>
          </w:tcPr>
          <w:p w14:paraId="11ED2C1B" w14:textId="77777777" w:rsidR="00A07D6C" w:rsidRPr="000D2863" w:rsidRDefault="00A07D6C" w:rsidP="00922116">
            <w:pPr>
              <w:spacing w:before="40" w:after="40"/>
              <w:rPr>
                <w:sz w:val="17"/>
                <w:szCs w:val="17"/>
              </w:rPr>
            </w:pPr>
          </w:p>
        </w:tc>
      </w:tr>
      <w:tr w:rsidR="00A07D6C" w:rsidRPr="00E834EF" w14:paraId="6F31A874" w14:textId="77777777" w:rsidTr="00D925C8">
        <w:tc>
          <w:tcPr>
            <w:tcW w:w="3254" w:type="dxa"/>
          </w:tcPr>
          <w:p w14:paraId="71316389" w14:textId="77777777" w:rsidR="00A07D6C" w:rsidRPr="0054596C" w:rsidRDefault="00A07D6C" w:rsidP="00A07D6C">
            <w:pPr>
              <w:tabs>
                <w:tab w:val="right" w:leader="dot" w:pos="3255"/>
              </w:tabs>
              <w:bidi/>
              <w:spacing w:before="40" w:after="40"/>
              <w:ind w:left="12"/>
              <w:rPr>
                <w:b/>
                <w:bCs/>
                <w:sz w:val="17"/>
                <w:szCs w:val="17"/>
                <w:u w:val="single"/>
              </w:rPr>
            </w:pPr>
            <w:r w:rsidRPr="00A07D6C">
              <w:rPr>
                <w:rFonts w:hint="cs"/>
                <w:b/>
                <w:bCs/>
                <w:sz w:val="17"/>
                <w:szCs w:val="17"/>
                <w:u w:val="single"/>
                <w:rtl/>
              </w:rPr>
              <w:t>الأرباح</w:t>
            </w:r>
            <w:r>
              <w:rPr>
                <w:rFonts w:hint="cs"/>
                <w:b/>
                <w:bCs/>
                <w:sz w:val="17"/>
                <w:szCs w:val="17"/>
                <w:u w:val="single"/>
                <w:rtl/>
              </w:rPr>
              <w:t xml:space="preserve"> المعدلة</w:t>
            </w:r>
            <w:r w:rsidRPr="00A07D6C">
              <w:rPr>
                <w:rFonts w:hint="cs"/>
                <w:b/>
                <w:bCs/>
                <w:sz w:val="17"/>
                <w:szCs w:val="17"/>
                <w:u w:val="single"/>
                <w:rtl/>
              </w:rPr>
              <w:t xml:space="preserve"> قبل حساب الفوائد والضرائب والإهلاك والإطفاء</w:t>
            </w:r>
            <w:r w:rsidRPr="00A07D6C">
              <w:rPr>
                <w:b/>
                <w:bCs/>
                <w:sz w:val="17"/>
                <w:szCs w:val="17"/>
                <w:u w:val="single"/>
              </w:rPr>
              <w:t xml:space="preserve"> </w:t>
            </w:r>
            <w:r w:rsidRPr="00155339">
              <w:rPr>
                <w:sz w:val="17"/>
                <w:szCs w:val="17"/>
                <w:vertAlign w:val="superscript"/>
              </w:rPr>
              <w:t>(</w:t>
            </w:r>
            <w:r>
              <w:rPr>
                <w:sz w:val="17"/>
                <w:szCs w:val="17"/>
                <w:vertAlign w:val="superscript"/>
              </w:rPr>
              <w:t>c</w:t>
            </w:r>
            <w:r w:rsidRPr="00155339">
              <w:rPr>
                <w:sz w:val="17"/>
                <w:szCs w:val="17"/>
                <w:vertAlign w:val="superscript"/>
              </w:rPr>
              <w:t>)</w:t>
            </w:r>
            <w:r w:rsidRPr="0054596C">
              <w:rPr>
                <w:sz w:val="17"/>
                <w:szCs w:val="17"/>
              </w:rPr>
              <w:tab/>
            </w:r>
          </w:p>
        </w:tc>
        <w:tc>
          <w:tcPr>
            <w:tcW w:w="242" w:type="dxa"/>
            <w:vAlign w:val="bottom"/>
          </w:tcPr>
          <w:p w14:paraId="0EC48199" w14:textId="77777777" w:rsidR="00A07D6C" w:rsidRPr="00E834EF" w:rsidRDefault="00A07D6C" w:rsidP="00922116">
            <w:pPr>
              <w:spacing w:before="40" w:after="40"/>
              <w:rPr>
                <w:sz w:val="17"/>
                <w:szCs w:val="17"/>
              </w:rPr>
            </w:pPr>
          </w:p>
        </w:tc>
        <w:tc>
          <w:tcPr>
            <w:tcW w:w="913" w:type="dxa"/>
          </w:tcPr>
          <w:p w14:paraId="23AC83C1" w14:textId="77777777" w:rsidR="00A07D6C" w:rsidRPr="00D4755F" w:rsidRDefault="00A07D6C" w:rsidP="00922116">
            <w:pPr>
              <w:spacing w:before="40" w:after="40"/>
              <w:jc w:val="right"/>
              <w:rPr>
                <w:b/>
                <w:bCs/>
                <w:color w:val="000000"/>
                <w:sz w:val="17"/>
                <w:szCs w:val="17"/>
              </w:rPr>
            </w:pPr>
            <w:r w:rsidRPr="00D4755F">
              <w:rPr>
                <w:b/>
                <w:bCs/>
                <w:sz w:val="17"/>
                <w:szCs w:val="17"/>
              </w:rPr>
              <w:t>105.3</w:t>
            </w:r>
          </w:p>
        </w:tc>
        <w:tc>
          <w:tcPr>
            <w:tcW w:w="252" w:type="dxa"/>
            <w:gridSpan w:val="2"/>
            <w:vAlign w:val="bottom"/>
          </w:tcPr>
          <w:p w14:paraId="2C474D4B" w14:textId="77777777" w:rsidR="00A07D6C" w:rsidRPr="00D4755F" w:rsidRDefault="00A07D6C" w:rsidP="00922116">
            <w:pPr>
              <w:spacing w:before="40" w:after="40"/>
              <w:rPr>
                <w:b/>
                <w:bCs/>
                <w:color w:val="000000"/>
                <w:sz w:val="17"/>
                <w:szCs w:val="17"/>
              </w:rPr>
            </w:pPr>
          </w:p>
        </w:tc>
        <w:tc>
          <w:tcPr>
            <w:tcW w:w="924" w:type="dxa"/>
          </w:tcPr>
          <w:p w14:paraId="466D0957" w14:textId="77777777" w:rsidR="00A07D6C" w:rsidRPr="00D4755F" w:rsidRDefault="00A07D6C" w:rsidP="00922116">
            <w:pPr>
              <w:spacing w:before="40" w:after="40"/>
              <w:jc w:val="right"/>
              <w:rPr>
                <w:b/>
                <w:bCs/>
                <w:color w:val="000000"/>
                <w:sz w:val="17"/>
                <w:szCs w:val="17"/>
              </w:rPr>
            </w:pPr>
            <w:r w:rsidRPr="00D4755F">
              <w:rPr>
                <w:b/>
                <w:bCs/>
                <w:sz w:val="17"/>
                <w:szCs w:val="17"/>
              </w:rPr>
              <w:t>158.9</w:t>
            </w:r>
          </w:p>
        </w:tc>
        <w:tc>
          <w:tcPr>
            <w:tcW w:w="242" w:type="dxa"/>
            <w:vAlign w:val="bottom"/>
          </w:tcPr>
          <w:p w14:paraId="600C394D" w14:textId="77777777" w:rsidR="00A07D6C" w:rsidRPr="00D4755F" w:rsidRDefault="00A07D6C" w:rsidP="00922116">
            <w:pPr>
              <w:spacing w:before="40" w:after="40"/>
              <w:rPr>
                <w:b/>
                <w:bCs/>
                <w:color w:val="000000"/>
                <w:sz w:val="17"/>
                <w:szCs w:val="17"/>
              </w:rPr>
            </w:pPr>
          </w:p>
        </w:tc>
        <w:tc>
          <w:tcPr>
            <w:tcW w:w="924" w:type="dxa"/>
          </w:tcPr>
          <w:p w14:paraId="4FFF31FD" w14:textId="77777777" w:rsidR="00A07D6C" w:rsidRPr="00D4755F" w:rsidRDefault="00A07D6C" w:rsidP="00922116">
            <w:pPr>
              <w:spacing w:before="40" w:after="40"/>
              <w:jc w:val="right"/>
              <w:rPr>
                <w:b/>
                <w:bCs/>
                <w:color w:val="000000"/>
                <w:sz w:val="17"/>
                <w:szCs w:val="17"/>
              </w:rPr>
            </w:pPr>
            <w:r w:rsidRPr="00D4755F">
              <w:rPr>
                <w:b/>
                <w:bCs/>
                <w:sz w:val="17"/>
                <w:szCs w:val="17"/>
              </w:rPr>
              <w:t>184.0</w:t>
            </w:r>
          </w:p>
        </w:tc>
        <w:tc>
          <w:tcPr>
            <w:tcW w:w="242" w:type="dxa"/>
            <w:vAlign w:val="bottom"/>
          </w:tcPr>
          <w:p w14:paraId="0C2D89C9" w14:textId="77777777" w:rsidR="00A07D6C" w:rsidRPr="00D4755F" w:rsidRDefault="00A07D6C" w:rsidP="00922116">
            <w:pPr>
              <w:spacing w:before="40" w:after="40"/>
              <w:rPr>
                <w:b/>
                <w:bCs/>
                <w:sz w:val="17"/>
                <w:szCs w:val="17"/>
              </w:rPr>
            </w:pPr>
          </w:p>
        </w:tc>
        <w:tc>
          <w:tcPr>
            <w:tcW w:w="924" w:type="dxa"/>
            <w:vAlign w:val="bottom"/>
          </w:tcPr>
          <w:p w14:paraId="4A0B9373" w14:textId="77777777" w:rsidR="00A07D6C" w:rsidRPr="00D4755F" w:rsidRDefault="00A95628" w:rsidP="00922116">
            <w:pPr>
              <w:spacing w:before="40" w:after="40"/>
              <w:jc w:val="right"/>
              <w:rPr>
                <w:b/>
                <w:bCs/>
                <w:sz w:val="17"/>
                <w:szCs w:val="17"/>
              </w:rPr>
            </w:pPr>
            <w:r>
              <w:rPr>
                <w:b/>
                <w:bCs/>
                <w:sz w:val="17"/>
                <w:szCs w:val="17"/>
              </w:rPr>
              <w:t>139.5</w:t>
            </w:r>
          </w:p>
        </w:tc>
        <w:tc>
          <w:tcPr>
            <w:tcW w:w="227" w:type="dxa"/>
            <w:vAlign w:val="bottom"/>
          </w:tcPr>
          <w:p w14:paraId="39247BCB" w14:textId="77777777" w:rsidR="00A07D6C" w:rsidRPr="00D4755F" w:rsidRDefault="00A07D6C" w:rsidP="00922116">
            <w:pPr>
              <w:spacing w:before="40" w:after="40"/>
              <w:rPr>
                <w:b/>
                <w:bCs/>
                <w:sz w:val="17"/>
                <w:szCs w:val="17"/>
              </w:rPr>
            </w:pPr>
          </w:p>
        </w:tc>
        <w:tc>
          <w:tcPr>
            <w:tcW w:w="939" w:type="dxa"/>
            <w:vAlign w:val="bottom"/>
          </w:tcPr>
          <w:p w14:paraId="47ADEC7E" w14:textId="77777777" w:rsidR="00A07D6C" w:rsidRPr="00D4755F" w:rsidRDefault="00A07D6C" w:rsidP="00922116">
            <w:pPr>
              <w:spacing w:before="40" w:after="40"/>
              <w:jc w:val="right"/>
              <w:rPr>
                <w:b/>
                <w:bCs/>
                <w:sz w:val="17"/>
                <w:szCs w:val="17"/>
              </w:rPr>
            </w:pPr>
            <w:r w:rsidRPr="00D4755F">
              <w:rPr>
                <w:b/>
                <w:bCs/>
                <w:sz w:val="17"/>
                <w:szCs w:val="17"/>
              </w:rPr>
              <w:t>162.9</w:t>
            </w:r>
          </w:p>
        </w:tc>
        <w:tc>
          <w:tcPr>
            <w:tcW w:w="266" w:type="dxa"/>
          </w:tcPr>
          <w:p w14:paraId="76567E21" w14:textId="77777777" w:rsidR="00A07D6C" w:rsidRPr="000D2863" w:rsidRDefault="00A07D6C" w:rsidP="00922116">
            <w:pPr>
              <w:spacing w:before="40" w:after="40"/>
              <w:rPr>
                <w:b/>
                <w:bCs/>
                <w:sz w:val="17"/>
                <w:szCs w:val="17"/>
              </w:rPr>
            </w:pPr>
          </w:p>
        </w:tc>
      </w:tr>
      <w:tr w:rsidR="00A07D6C" w:rsidRPr="00E834EF" w14:paraId="7F493AD1" w14:textId="77777777" w:rsidTr="00D925C8">
        <w:tc>
          <w:tcPr>
            <w:tcW w:w="3254" w:type="dxa"/>
          </w:tcPr>
          <w:p w14:paraId="5F185CB4" w14:textId="77777777" w:rsidR="00A07D6C" w:rsidRDefault="00A07D6C" w:rsidP="00A07D6C">
            <w:pPr>
              <w:tabs>
                <w:tab w:val="right" w:leader="dot" w:pos="3255"/>
              </w:tabs>
              <w:bidi/>
              <w:spacing w:before="40" w:after="40"/>
              <w:ind w:left="12"/>
              <w:rPr>
                <w:b/>
                <w:bCs/>
                <w:i/>
                <w:iCs/>
                <w:sz w:val="17"/>
                <w:szCs w:val="17"/>
              </w:rPr>
            </w:pPr>
          </w:p>
        </w:tc>
        <w:tc>
          <w:tcPr>
            <w:tcW w:w="242" w:type="dxa"/>
            <w:vAlign w:val="bottom"/>
          </w:tcPr>
          <w:p w14:paraId="44A95B41" w14:textId="77777777" w:rsidR="00A07D6C" w:rsidRPr="00E834EF" w:rsidRDefault="00A07D6C" w:rsidP="00922116">
            <w:pPr>
              <w:spacing w:before="40" w:after="40"/>
              <w:rPr>
                <w:sz w:val="17"/>
                <w:szCs w:val="17"/>
              </w:rPr>
            </w:pPr>
          </w:p>
        </w:tc>
        <w:tc>
          <w:tcPr>
            <w:tcW w:w="913" w:type="dxa"/>
          </w:tcPr>
          <w:p w14:paraId="301E9BBD" w14:textId="77777777" w:rsidR="00A07D6C" w:rsidRPr="00E754AA" w:rsidRDefault="00A07D6C" w:rsidP="00922116">
            <w:pPr>
              <w:spacing w:before="40" w:after="40"/>
              <w:jc w:val="right"/>
              <w:rPr>
                <w:sz w:val="17"/>
                <w:szCs w:val="17"/>
              </w:rPr>
            </w:pPr>
          </w:p>
        </w:tc>
        <w:tc>
          <w:tcPr>
            <w:tcW w:w="252" w:type="dxa"/>
            <w:gridSpan w:val="2"/>
          </w:tcPr>
          <w:p w14:paraId="2149744F" w14:textId="77777777" w:rsidR="00A07D6C" w:rsidRPr="000D2863" w:rsidRDefault="00A07D6C" w:rsidP="00922116">
            <w:pPr>
              <w:spacing w:before="40" w:after="40"/>
              <w:rPr>
                <w:b/>
                <w:bCs/>
                <w:color w:val="000000"/>
                <w:sz w:val="17"/>
                <w:szCs w:val="17"/>
              </w:rPr>
            </w:pPr>
          </w:p>
        </w:tc>
        <w:tc>
          <w:tcPr>
            <w:tcW w:w="924" w:type="dxa"/>
          </w:tcPr>
          <w:p w14:paraId="19FFBB97" w14:textId="77777777" w:rsidR="00A07D6C" w:rsidRPr="00E754AA" w:rsidRDefault="00A07D6C" w:rsidP="00922116">
            <w:pPr>
              <w:spacing w:before="40" w:after="40"/>
              <w:jc w:val="right"/>
              <w:rPr>
                <w:sz w:val="17"/>
                <w:szCs w:val="17"/>
              </w:rPr>
            </w:pPr>
          </w:p>
        </w:tc>
        <w:tc>
          <w:tcPr>
            <w:tcW w:w="242" w:type="dxa"/>
          </w:tcPr>
          <w:p w14:paraId="02CC4EE0" w14:textId="77777777" w:rsidR="00A07D6C" w:rsidRPr="000D2863" w:rsidRDefault="00A07D6C" w:rsidP="00922116">
            <w:pPr>
              <w:spacing w:before="40" w:after="40"/>
              <w:rPr>
                <w:b/>
                <w:bCs/>
                <w:color w:val="000000"/>
                <w:sz w:val="17"/>
                <w:szCs w:val="17"/>
              </w:rPr>
            </w:pPr>
          </w:p>
        </w:tc>
        <w:tc>
          <w:tcPr>
            <w:tcW w:w="924" w:type="dxa"/>
          </w:tcPr>
          <w:p w14:paraId="72FA91A2" w14:textId="77777777" w:rsidR="00A07D6C" w:rsidRPr="00E754AA" w:rsidRDefault="00A07D6C" w:rsidP="00922116">
            <w:pPr>
              <w:spacing w:before="40" w:after="40"/>
              <w:jc w:val="right"/>
              <w:rPr>
                <w:sz w:val="17"/>
                <w:szCs w:val="17"/>
              </w:rPr>
            </w:pPr>
          </w:p>
        </w:tc>
        <w:tc>
          <w:tcPr>
            <w:tcW w:w="242" w:type="dxa"/>
            <w:vAlign w:val="bottom"/>
          </w:tcPr>
          <w:p w14:paraId="11B1DEC8" w14:textId="77777777" w:rsidR="00A07D6C" w:rsidRPr="000D2863" w:rsidRDefault="00A07D6C" w:rsidP="00922116">
            <w:pPr>
              <w:spacing w:before="40" w:after="40"/>
              <w:rPr>
                <w:b/>
                <w:bCs/>
                <w:sz w:val="17"/>
                <w:szCs w:val="17"/>
              </w:rPr>
            </w:pPr>
          </w:p>
        </w:tc>
        <w:tc>
          <w:tcPr>
            <w:tcW w:w="924" w:type="dxa"/>
            <w:vAlign w:val="bottom"/>
          </w:tcPr>
          <w:p w14:paraId="6FBC4A7D" w14:textId="77777777" w:rsidR="00A07D6C" w:rsidRPr="00E754AA" w:rsidRDefault="00A07D6C" w:rsidP="00922116">
            <w:pPr>
              <w:spacing w:before="40" w:after="40"/>
              <w:jc w:val="right"/>
              <w:rPr>
                <w:sz w:val="17"/>
                <w:szCs w:val="17"/>
              </w:rPr>
            </w:pPr>
          </w:p>
        </w:tc>
        <w:tc>
          <w:tcPr>
            <w:tcW w:w="227" w:type="dxa"/>
            <w:vAlign w:val="bottom"/>
          </w:tcPr>
          <w:p w14:paraId="25828137" w14:textId="77777777" w:rsidR="00A07D6C" w:rsidRPr="000D2863" w:rsidRDefault="00A07D6C" w:rsidP="00922116">
            <w:pPr>
              <w:spacing w:before="40" w:after="40"/>
              <w:rPr>
                <w:b/>
                <w:bCs/>
                <w:sz w:val="17"/>
                <w:szCs w:val="17"/>
              </w:rPr>
            </w:pPr>
          </w:p>
        </w:tc>
        <w:tc>
          <w:tcPr>
            <w:tcW w:w="939" w:type="dxa"/>
            <w:vAlign w:val="bottom"/>
          </w:tcPr>
          <w:p w14:paraId="1AA3F2B9" w14:textId="77777777" w:rsidR="00A07D6C" w:rsidRPr="00E754AA" w:rsidRDefault="00A07D6C" w:rsidP="00922116">
            <w:pPr>
              <w:spacing w:before="40" w:after="40"/>
              <w:jc w:val="right"/>
              <w:rPr>
                <w:sz w:val="17"/>
                <w:szCs w:val="17"/>
              </w:rPr>
            </w:pPr>
          </w:p>
        </w:tc>
        <w:tc>
          <w:tcPr>
            <w:tcW w:w="266" w:type="dxa"/>
            <w:vAlign w:val="bottom"/>
          </w:tcPr>
          <w:p w14:paraId="1EA37196" w14:textId="77777777" w:rsidR="00A07D6C" w:rsidRPr="000D2863" w:rsidRDefault="00A07D6C" w:rsidP="00922116">
            <w:pPr>
              <w:spacing w:before="40" w:after="40"/>
              <w:rPr>
                <w:b/>
                <w:bCs/>
                <w:sz w:val="17"/>
                <w:szCs w:val="17"/>
              </w:rPr>
            </w:pPr>
          </w:p>
        </w:tc>
      </w:tr>
      <w:tr w:rsidR="00A07D6C" w:rsidRPr="00E834EF" w14:paraId="2ED4725D" w14:textId="77777777" w:rsidTr="00D925C8">
        <w:tc>
          <w:tcPr>
            <w:tcW w:w="3254" w:type="dxa"/>
          </w:tcPr>
          <w:p w14:paraId="37624E06" w14:textId="77777777" w:rsidR="00A07D6C" w:rsidRDefault="00A07D6C" w:rsidP="00A07D6C">
            <w:pPr>
              <w:tabs>
                <w:tab w:val="right" w:leader="dot" w:pos="3255"/>
              </w:tabs>
              <w:bidi/>
              <w:spacing w:before="40" w:after="40"/>
              <w:ind w:left="12"/>
              <w:rPr>
                <w:b/>
                <w:bCs/>
                <w:sz w:val="17"/>
                <w:szCs w:val="17"/>
                <w:u w:val="single"/>
              </w:rPr>
            </w:pPr>
            <w:r w:rsidRPr="00A07D6C">
              <w:rPr>
                <w:rFonts w:hint="cs"/>
                <w:b/>
                <w:bCs/>
                <w:i/>
                <w:iCs/>
                <w:sz w:val="17"/>
                <w:szCs w:val="17"/>
                <w:u w:val="single"/>
                <w:rtl/>
              </w:rPr>
              <w:lastRenderedPageBreak/>
              <w:t>إيرادات مكافئ تأجير السفن المجهزة بالمد</w:t>
            </w:r>
            <w:r>
              <w:rPr>
                <w:rFonts w:hint="cs"/>
                <w:b/>
                <w:bCs/>
                <w:i/>
                <w:iCs/>
                <w:sz w:val="17"/>
                <w:szCs w:val="17"/>
                <w:u w:val="single"/>
                <w:rtl/>
              </w:rPr>
              <w:t>ة</w:t>
            </w:r>
            <w:r w:rsidRPr="00155339">
              <w:rPr>
                <w:sz w:val="17"/>
                <w:szCs w:val="17"/>
                <w:vertAlign w:val="superscript"/>
              </w:rPr>
              <w:t xml:space="preserve"> (b)</w:t>
            </w:r>
            <w:r w:rsidRPr="007D2480">
              <w:rPr>
                <w:sz w:val="17"/>
              </w:rPr>
              <w:t xml:space="preserve"> </w:t>
            </w:r>
            <w:r w:rsidRPr="007D2480">
              <w:rPr>
                <w:sz w:val="17"/>
              </w:rPr>
              <w:tab/>
            </w:r>
          </w:p>
        </w:tc>
        <w:tc>
          <w:tcPr>
            <w:tcW w:w="242" w:type="dxa"/>
            <w:vAlign w:val="bottom"/>
          </w:tcPr>
          <w:p w14:paraId="51581DCF" w14:textId="77777777" w:rsidR="00A07D6C" w:rsidRPr="00E834EF" w:rsidRDefault="00A07D6C" w:rsidP="00922116">
            <w:pPr>
              <w:spacing w:before="40" w:after="40"/>
              <w:rPr>
                <w:sz w:val="17"/>
                <w:szCs w:val="17"/>
              </w:rPr>
            </w:pPr>
          </w:p>
        </w:tc>
        <w:tc>
          <w:tcPr>
            <w:tcW w:w="913" w:type="dxa"/>
          </w:tcPr>
          <w:p w14:paraId="3C7C820A" w14:textId="77777777" w:rsidR="00A07D6C" w:rsidRPr="000D2863" w:rsidRDefault="00A07D6C" w:rsidP="00922116">
            <w:pPr>
              <w:spacing w:before="40" w:after="40"/>
              <w:jc w:val="right"/>
              <w:rPr>
                <w:b/>
                <w:bCs/>
                <w:color w:val="000000"/>
                <w:sz w:val="17"/>
                <w:szCs w:val="17"/>
              </w:rPr>
            </w:pPr>
            <w:r w:rsidRPr="00E754AA">
              <w:rPr>
                <w:sz w:val="17"/>
                <w:szCs w:val="17"/>
              </w:rPr>
              <w:t>181.</w:t>
            </w:r>
            <w:r w:rsidR="00D546EE">
              <w:rPr>
                <w:sz w:val="17"/>
                <w:szCs w:val="17"/>
              </w:rPr>
              <w:t>1</w:t>
            </w:r>
          </w:p>
        </w:tc>
        <w:tc>
          <w:tcPr>
            <w:tcW w:w="252" w:type="dxa"/>
            <w:gridSpan w:val="2"/>
          </w:tcPr>
          <w:p w14:paraId="0F958C6F" w14:textId="77777777" w:rsidR="00A07D6C" w:rsidRPr="000D2863" w:rsidRDefault="00A07D6C" w:rsidP="00922116">
            <w:pPr>
              <w:spacing w:before="40" w:after="40"/>
              <w:rPr>
                <w:b/>
                <w:bCs/>
                <w:color w:val="000000"/>
                <w:sz w:val="17"/>
                <w:szCs w:val="17"/>
              </w:rPr>
            </w:pPr>
          </w:p>
        </w:tc>
        <w:tc>
          <w:tcPr>
            <w:tcW w:w="924" w:type="dxa"/>
          </w:tcPr>
          <w:p w14:paraId="773926C8" w14:textId="77777777" w:rsidR="00A07D6C" w:rsidRPr="000D2863" w:rsidRDefault="00D546EE" w:rsidP="00922116">
            <w:pPr>
              <w:spacing w:before="40" w:after="40"/>
              <w:jc w:val="right"/>
              <w:rPr>
                <w:b/>
                <w:bCs/>
                <w:color w:val="000000"/>
                <w:sz w:val="17"/>
                <w:szCs w:val="17"/>
              </w:rPr>
            </w:pPr>
            <w:r>
              <w:rPr>
                <w:sz w:val="17"/>
                <w:szCs w:val="17"/>
              </w:rPr>
              <w:t>250.1</w:t>
            </w:r>
            <w:r w:rsidR="00A07D6C" w:rsidRPr="00E754AA" w:rsidDel="008D1EE0">
              <w:rPr>
                <w:sz w:val="17"/>
                <w:szCs w:val="17"/>
              </w:rPr>
              <w:t xml:space="preserve"> </w:t>
            </w:r>
          </w:p>
        </w:tc>
        <w:tc>
          <w:tcPr>
            <w:tcW w:w="242" w:type="dxa"/>
          </w:tcPr>
          <w:p w14:paraId="6691CA27" w14:textId="77777777" w:rsidR="00A07D6C" w:rsidRPr="000D2863" w:rsidRDefault="00A07D6C" w:rsidP="00922116">
            <w:pPr>
              <w:spacing w:before="40" w:after="40"/>
              <w:rPr>
                <w:b/>
                <w:bCs/>
                <w:color w:val="000000"/>
                <w:sz w:val="17"/>
                <w:szCs w:val="17"/>
              </w:rPr>
            </w:pPr>
          </w:p>
        </w:tc>
        <w:tc>
          <w:tcPr>
            <w:tcW w:w="924" w:type="dxa"/>
          </w:tcPr>
          <w:p w14:paraId="020531FB" w14:textId="77777777" w:rsidR="00A07D6C" w:rsidRPr="000D2863" w:rsidRDefault="00D546EE" w:rsidP="00922116">
            <w:pPr>
              <w:spacing w:before="40" w:after="40"/>
              <w:jc w:val="right"/>
              <w:rPr>
                <w:b/>
                <w:bCs/>
                <w:color w:val="000000"/>
                <w:sz w:val="17"/>
                <w:szCs w:val="17"/>
              </w:rPr>
            </w:pPr>
            <w:r>
              <w:rPr>
                <w:sz w:val="17"/>
                <w:szCs w:val="17"/>
              </w:rPr>
              <w:t>282.0</w:t>
            </w:r>
            <w:r w:rsidR="00A07D6C" w:rsidRPr="00E754AA" w:rsidDel="008D1EE0">
              <w:rPr>
                <w:sz w:val="17"/>
                <w:szCs w:val="17"/>
              </w:rPr>
              <w:t xml:space="preserve"> </w:t>
            </w:r>
          </w:p>
        </w:tc>
        <w:tc>
          <w:tcPr>
            <w:tcW w:w="242" w:type="dxa"/>
            <w:vAlign w:val="bottom"/>
          </w:tcPr>
          <w:p w14:paraId="1C5B2EAC" w14:textId="77777777" w:rsidR="00A07D6C" w:rsidRPr="000D2863" w:rsidRDefault="00A07D6C" w:rsidP="00922116">
            <w:pPr>
              <w:spacing w:before="40" w:after="40"/>
              <w:rPr>
                <w:b/>
                <w:bCs/>
                <w:sz w:val="17"/>
                <w:szCs w:val="17"/>
              </w:rPr>
            </w:pPr>
          </w:p>
        </w:tc>
        <w:tc>
          <w:tcPr>
            <w:tcW w:w="924" w:type="dxa"/>
            <w:vAlign w:val="bottom"/>
          </w:tcPr>
          <w:p w14:paraId="711A30B6" w14:textId="77777777" w:rsidR="00A07D6C" w:rsidRPr="000D2863" w:rsidRDefault="00D546EE" w:rsidP="00922116">
            <w:pPr>
              <w:spacing w:before="40" w:after="40"/>
              <w:jc w:val="right"/>
              <w:rPr>
                <w:b/>
                <w:bCs/>
                <w:sz w:val="17"/>
                <w:szCs w:val="17"/>
              </w:rPr>
            </w:pPr>
            <w:r>
              <w:rPr>
                <w:sz w:val="17"/>
                <w:szCs w:val="17"/>
              </w:rPr>
              <w:t>212.4</w:t>
            </w:r>
            <w:r w:rsidR="00A07D6C" w:rsidRPr="00E754AA">
              <w:rPr>
                <w:sz w:val="17"/>
                <w:szCs w:val="17"/>
              </w:rPr>
              <w:t xml:space="preserve"> </w:t>
            </w:r>
          </w:p>
        </w:tc>
        <w:tc>
          <w:tcPr>
            <w:tcW w:w="227" w:type="dxa"/>
            <w:vAlign w:val="bottom"/>
          </w:tcPr>
          <w:p w14:paraId="14CB97C0" w14:textId="77777777" w:rsidR="00A07D6C" w:rsidRPr="000D2863" w:rsidRDefault="00A07D6C" w:rsidP="00922116">
            <w:pPr>
              <w:spacing w:before="40" w:after="40"/>
              <w:rPr>
                <w:b/>
                <w:bCs/>
                <w:sz w:val="17"/>
                <w:szCs w:val="17"/>
              </w:rPr>
            </w:pPr>
          </w:p>
        </w:tc>
        <w:tc>
          <w:tcPr>
            <w:tcW w:w="939" w:type="dxa"/>
            <w:vAlign w:val="bottom"/>
          </w:tcPr>
          <w:p w14:paraId="61896E4D" w14:textId="77777777" w:rsidR="00A07D6C" w:rsidRPr="00833A10" w:rsidRDefault="00A07D6C" w:rsidP="00922116">
            <w:pPr>
              <w:spacing w:before="40" w:after="40"/>
              <w:jc w:val="right"/>
              <w:rPr>
                <w:b/>
                <w:bCs/>
                <w:sz w:val="17"/>
                <w:szCs w:val="17"/>
              </w:rPr>
            </w:pPr>
            <w:r w:rsidRPr="00E754AA">
              <w:rPr>
                <w:sz w:val="17"/>
                <w:szCs w:val="17"/>
              </w:rPr>
              <w:t>236.</w:t>
            </w:r>
            <w:r w:rsidR="00D546EE">
              <w:rPr>
                <w:sz w:val="17"/>
                <w:szCs w:val="17"/>
              </w:rPr>
              <w:t>1</w:t>
            </w:r>
            <w:r w:rsidR="00D546EE" w:rsidRPr="00E754AA">
              <w:rPr>
                <w:sz w:val="17"/>
                <w:szCs w:val="17"/>
              </w:rPr>
              <w:t xml:space="preserve"> </w:t>
            </w:r>
          </w:p>
        </w:tc>
        <w:tc>
          <w:tcPr>
            <w:tcW w:w="266" w:type="dxa"/>
            <w:vAlign w:val="bottom"/>
          </w:tcPr>
          <w:p w14:paraId="705959BC" w14:textId="77777777" w:rsidR="00A07D6C" w:rsidRPr="000D2863" w:rsidRDefault="00A07D6C" w:rsidP="00922116">
            <w:pPr>
              <w:spacing w:before="40" w:after="40"/>
              <w:rPr>
                <w:b/>
                <w:bCs/>
                <w:sz w:val="17"/>
                <w:szCs w:val="17"/>
              </w:rPr>
            </w:pPr>
          </w:p>
        </w:tc>
      </w:tr>
      <w:tr w:rsidR="00A07D6C" w:rsidRPr="00E834EF" w14:paraId="7B195B19" w14:textId="77777777" w:rsidTr="00D925C8">
        <w:tc>
          <w:tcPr>
            <w:tcW w:w="3254" w:type="dxa"/>
          </w:tcPr>
          <w:p w14:paraId="2734375F" w14:textId="77777777" w:rsidR="00A07D6C" w:rsidRDefault="00A07D6C" w:rsidP="00A07D6C">
            <w:pPr>
              <w:tabs>
                <w:tab w:val="right" w:leader="dot" w:pos="3255"/>
              </w:tabs>
              <w:bidi/>
              <w:spacing w:before="40" w:after="40"/>
              <w:ind w:left="12"/>
              <w:rPr>
                <w:b/>
                <w:bCs/>
                <w:sz w:val="17"/>
                <w:szCs w:val="17"/>
                <w:u w:val="single"/>
              </w:rPr>
            </w:pPr>
            <w:r w:rsidRPr="00A07D6C">
              <w:rPr>
                <w:rFonts w:hint="cs"/>
                <w:b/>
                <w:bCs/>
                <w:sz w:val="17"/>
                <w:szCs w:val="17"/>
                <w:u w:val="single"/>
                <w:rtl/>
              </w:rPr>
              <w:t>هامش الأرباح</w:t>
            </w:r>
            <w:r>
              <w:rPr>
                <w:rFonts w:hint="cs"/>
                <w:b/>
                <w:bCs/>
                <w:sz w:val="17"/>
                <w:szCs w:val="17"/>
                <w:u w:val="single"/>
                <w:rtl/>
              </w:rPr>
              <w:t xml:space="preserve"> المعدلة</w:t>
            </w:r>
            <w:r w:rsidRPr="00A07D6C">
              <w:rPr>
                <w:rFonts w:hint="cs"/>
                <w:b/>
                <w:bCs/>
                <w:sz w:val="17"/>
                <w:szCs w:val="17"/>
                <w:u w:val="single"/>
                <w:rtl/>
              </w:rPr>
              <w:t xml:space="preserve"> قبل حساب الفوائد والضرائب والإهلاك والإطفاء</w:t>
            </w:r>
            <w:r>
              <w:rPr>
                <w:sz w:val="17"/>
                <w:szCs w:val="17"/>
              </w:rPr>
              <w:t xml:space="preserve"> </w:t>
            </w:r>
            <w:r w:rsidRPr="00155339">
              <w:rPr>
                <w:sz w:val="17"/>
                <w:szCs w:val="17"/>
                <w:vertAlign w:val="superscript"/>
              </w:rPr>
              <w:t>(</w:t>
            </w:r>
            <w:r>
              <w:rPr>
                <w:b/>
                <w:bCs/>
                <w:sz w:val="17"/>
                <w:szCs w:val="17"/>
                <w:vertAlign w:val="superscript"/>
              </w:rPr>
              <w:t>c</w:t>
            </w:r>
            <w:r w:rsidRPr="00155339">
              <w:rPr>
                <w:sz w:val="17"/>
                <w:szCs w:val="17"/>
                <w:vertAlign w:val="superscript"/>
              </w:rPr>
              <w:t xml:space="preserve"> over </w:t>
            </w:r>
            <w:r w:rsidRPr="00155339">
              <w:rPr>
                <w:b/>
                <w:bCs/>
                <w:sz w:val="17"/>
                <w:szCs w:val="17"/>
                <w:vertAlign w:val="superscript"/>
              </w:rPr>
              <w:t>b</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193D0C55" w14:textId="77777777" w:rsidR="00A07D6C" w:rsidRPr="00E834EF" w:rsidRDefault="00A07D6C" w:rsidP="00922116">
            <w:pPr>
              <w:spacing w:before="40" w:after="40"/>
              <w:rPr>
                <w:sz w:val="17"/>
                <w:szCs w:val="17"/>
              </w:rPr>
            </w:pPr>
          </w:p>
        </w:tc>
        <w:tc>
          <w:tcPr>
            <w:tcW w:w="913" w:type="dxa"/>
          </w:tcPr>
          <w:p w14:paraId="560EE408" w14:textId="77777777" w:rsidR="00A07D6C" w:rsidRPr="00E754AA" w:rsidRDefault="00A07D6C" w:rsidP="00922116">
            <w:pPr>
              <w:spacing w:before="40" w:after="40"/>
              <w:jc w:val="right"/>
              <w:rPr>
                <w:b/>
                <w:bCs/>
                <w:color w:val="000000"/>
                <w:sz w:val="17"/>
                <w:szCs w:val="17"/>
              </w:rPr>
            </w:pPr>
            <w:r w:rsidRPr="00E754AA">
              <w:rPr>
                <w:b/>
                <w:bCs/>
                <w:sz w:val="17"/>
                <w:szCs w:val="17"/>
              </w:rPr>
              <w:t>58.</w:t>
            </w:r>
            <w:r w:rsidR="00D1029B">
              <w:rPr>
                <w:b/>
                <w:bCs/>
                <w:sz w:val="17"/>
                <w:szCs w:val="17"/>
              </w:rPr>
              <w:t>2</w:t>
            </w:r>
            <w:r w:rsidR="007806E1">
              <w:rPr>
                <w:b/>
                <w:bCs/>
                <w:sz w:val="17"/>
                <w:szCs w:val="17"/>
              </w:rPr>
              <w:t>%</w:t>
            </w:r>
          </w:p>
        </w:tc>
        <w:tc>
          <w:tcPr>
            <w:tcW w:w="252" w:type="dxa"/>
            <w:gridSpan w:val="2"/>
            <w:vAlign w:val="bottom"/>
          </w:tcPr>
          <w:p w14:paraId="144EE7DE" w14:textId="77777777" w:rsidR="00A07D6C" w:rsidRPr="00E754AA" w:rsidRDefault="00A07D6C" w:rsidP="00922116">
            <w:pPr>
              <w:spacing w:before="40" w:after="40"/>
              <w:rPr>
                <w:b/>
                <w:bCs/>
                <w:color w:val="000000"/>
                <w:sz w:val="17"/>
                <w:szCs w:val="17"/>
              </w:rPr>
            </w:pPr>
          </w:p>
        </w:tc>
        <w:tc>
          <w:tcPr>
            <w:tcW w:w="924" w:type="dxa"/>
          </w:tcPr>
          <w:p w14:paraId="3221E4C6" w14:textId="77777777" w:rsidR="00A07D6C" w:rsidRPr="00E754AA" w:rsidRDefault="00A07D6C" w:rsidP="00922116">
            <w:pPr>
              <w:spacing w:before="40" w:after="40"/>
              <w:jc w:val="right"/>
              <w:rPr>
                <w:b/>
                <w:bCs/>
                <w:color w:val="000000"/>
                <w:sz w:val="17"/>
                <w:szCs w:val="17"/>
              </w:rPr>
            </w:pPr>
            <w:r w:rsidRPr="00E754AA">
              <w:rPr>
                <w:b/>
                <w:bCs/>
                <w:sz w:val="17"/>
                <w:szCs w:val="17"/>
              </w:rPr>
              <w:t>63.</w:t>
            </w:r>
            <w:r w:rsidR="00D1029B">
              <w:rPr>
                <w:b/>
                <w:bCs/>
                <w:sz w:val="17"/>
                <w:szCs w:val="17"/>
              </w:rPr>
              <w:t>5</w:t>
            </w:r>
            <w:r w:rsidR="007806E1">
              <w:rPr>
                <w:b/>
                <w:bCs/>
                <w:sz w:val="17"/>
                <w:szCs w:val="17"/>
              </w:rPr>
              <w:t>%</w:t>
            </w:r>
          </w:p>
        </w:tc>
        <w:tc>
          <w:tcPr>
            <w:tcW w:w="242" w:type="dxa"/>
            <w:vAlign w:val="bottom"/>
          </w:tcPr>
          <w:p w14:paraId="59525173" w14:textId="77777777" w:rsidR="00A07D6C" w:rsidRPr="00E754AA" w:rsidRDefault="00A07D6C" w:rsidP="00922116">
            <w:pPr>
              <w:spacing w:before="40" w:after="40"/>
              <w:rPr>
                <w:b/>
                <w:bCs/>
                <w:color w:val="000000"/>
                <w:sz w:val="17"/>
                <w:szCs w:val="17"/>
              </w:rPr>
            </w:pPr>
          </w:p>
        </w:tc>
        <w:tc>
          <w:tcPr>
            <w:tcW w:w="924" w:type="dxa"/>
          </w:tcPr>
          <w:p w14:paraId="460B9A98" w14:textId="77777777" w:rsidR="00A07D6C" w:rsidRPr="00E754AA" w:rsidRDefault="00D1029B" w:rsidP="00922116">
            <w:pPr>
              <w:spacing w:before="40" w:after="40"/>
              <w:jc w:val="right"/>
              <w:rPr>
                <w:b/>
                <w:bCs/>
                <w:color w:val="000000"/>
                <w:sz w:val="17"/>
                <w:szCs w:val="17"/>
              </w:rPr>
            </w:pPr>
            <w:r>
              <w:rPr>
                <w:b/>
                <w:bCs/>
                <w:sz w:val="17"/>
                <w:szCs w:val="17"/>
              </w:rPr>
              <w:t>65.2</w:t>
            </w:r>
            <w:r w:rsidR="00295FD1">
              <w:rPr>
                <w:b/>
                <w:bCs/>
                <w:sz w:val="17"/>
                <w:szCs w:val="17"/>
              </w:rPr>
              <w:t>%</w:t>
            </w:r>
          </w:p>
        </w:tc>
        <w:tc>
          <w:tcPr>
            <w:tcW w:w="242" w:type="dxa"/>
            <w:vAlign w:val="bottom"/>
          </w:tcPr>
          <w:p w14:paraId="46368FB0" w14:textId="77777777" w:rsidR="00A07D6C" w:rsidRPr="00E754AA" w:rsidRDefault="00A07D6C" w:rsidP="00922116">
            <w:pPr>
              <w:spacing w:before="40" w:after="40"/>
              <w:rPr>
                <w:b/>
                <w:bCs/>
                <w:sz w:val="17"/>
                <w:szCs w:val="17"/>
              </w:rPr>
            </w:pPr>
            <w:r w:rsidRPr="00E754AA">
              <w:rPr>
                <w:b/>
                <w:bCs/>
                <w:sz w:val="17"/>
                <w:szCs w:val="17"/>
              </w:rPr>
              <w:t>%</w:t>
            </w:r>
          </w:p>
        </w:tc>
        <w:tc>
          <w:tcPr>
            <w:tcW w:w="924" w:type="dxa"/>
            <w:vAlign w:val="bottom"/>
          </w:tcPr>
          <w:p w14:paraId="36331DF1" w14:textId="77777777" w:rsidR="00A07D6C" w:rsidRPr="00E754AA" w:rsidRDefault="00D1029B" w:rsidP="00922116">
            <w:pPr>
              <w:spacing w:before="40" w:after="40"/>
              <w:jc w:val="right"/>
              <w:rPr>
                <w:b/>
                <w:bCs/>
                <w:sz w:val="17"/>
                <w:szCs w:val="17"/>
              </w:rPr>
            </w:pPr>
            <w:r>
              <w:rPr>
                <w:b/>
                <w:bCs/>
                <w:sz w:val="17"/>
                <w:szCs w:val="17"/>
              </w:rPr>
              <w:t>65.7</w:t>
            </w:r>
          </w:p>
        </w:tc>
        <w:tc>
          <w:tcPr>
            <w:tcW w:w="227" w:type="dxa"/>
            <w:vAlign w:val="bottom"/>
          </w:tcPr>
          <w:p w14:paraId="62107992" w14:textId="77777777" w:rsidR="00A07D6C" w:rsidRPr="00E754AA" w:rsidRDefault="00A07D6C" w:rsidP="00922116">
            <w:pPr>
              <w:spacing w:before="40" w:after="40"/>
              <w:rPr>
                <w:b/>
                <w:bCs/>
                <w:sz w:val="17"/>
                <w:szCs w:val="17"/>
              </w:rPr>
            </w:pPr>
            <w:r w:rsidRPr="00E754AA">
              <w:rPr>
                <w:b/>
                <w:bCs/>
                <w:sz w:val="17"/>
                <w:szCs w:val="17"/>
              </w:rPr>
              <w:t>%</w:t>
            </w:r>
          </w:p>
        </w:tc>
        <w:tc>
          <w:tcPr>
            <w:tcW w:w="939" w:type="dxa"/>
            <w:vAlign w:val="bottom"/>
          </w:tcPr>
          <w:p w14:paraId="2D14B9C5" w14:textId="77777777" w:rsidR="00A07D6C" w:rsidRPr="00E754AA" w:rsidRDefault="00D1029B" w:rsidP="00922116">
            <w:pPr>
              <w:spacing w:before="40" w:after="40"/>
              <w:jc w:val="right"/>
              <w:rPr>
                <w:b/>
                <w:bCs/>
                <w:sz w:val="17"/>
                <w:szCs w:val="17"/>
              </w:rPr>
            </w:pPr>
            <w:r>
              <w:rPr>
                <w:b/>
                <w:bCs/>
                <w:sz w:val="17"/>
                <w:szCs w:val="17"/>
              </w:rPr>
              <w:t>69.0</w:t>
            </w:r>
          </w:p>
        </w:tc>
        <w:tc>
          <w:tcPr>
            <w:tcW w:w="266" w:type="dxa"/>
            <w:vAlign w:val="bottom"/>
          </w:tcPr>
          <w:p w14:paraId="0F278B58" w14:textId="77777777" w:rsidR="00A07D6C" w:rsidRPr="000D2863" w:rsidRDefault="00A07D6C" w:rsidP="00922116">
            <w:pPr>
              <w:spacing w:before="40" w:after="40"/>
              <w:rPr>
                <w:b/>
                <w:bCs/>
                <w:sz w:val="17"/>
                <w:szCs w:val="17"/>
              </w:rPr>
            </w:pPr>
          </w:p>
        </w:tc>
      </w:tr>
    </w:tbl>
    <w:p w14:paraId="16C8CDC3" w14:textId="77777777" w:rsidR="00A07D6C" w:rsidRDefault="006A62C7" w:rsidP="00A07D6C">
      <w:pPr>
        <w:autoSpaceDE w:val="0"/>
        <w:autoSpaceDN w:val="0"/>
        <w:bidi/>
        <w:adjustRightInd w:val="0"/>
        <w:jc w:val="both"/>
        <w:rPr>
          <w:rFonts w:ascii="Traditional Arabic" w:hAnsi="Traditional Arabic" w:cs="Traditional Arabic"/>
          <w:sz w:val="30"/>
          <w:szCs w:val="30"/>
          <w:lang w:bidi="ar-EG"/>
        </w:rPr>
      </w:pPr>
      <w:r>
        <w:rPr>
          <w:rFonts w:ascii="Traditional Arabic" w:hAnsi="Traditional Arabic" w:cs="Traditional Arabic"/>
          <w:sz w:val="30"/>
          <w:szCs w:val="30"/>
          <w:lang w:bidi="ar-EG"/>
        </w:rPr>
        <w:t>_________</w:t>
      </w:r>
    </w:p>
    <w:p w14:paraId="308A7919" w14:textId="77777777" w:rsidR="006A62C7" w:rsidRDefault="006A62C7" w:rsidP="006A62C7">
      <w:pPr>
        <w:autoSpaceDE w:val="0"/>
        <w:autoSpaceDN w:val="0"/>
        <w:bidi/>
        <w:adjustRightInd w:val="0"/>
        <w:jc w:val="both"/>
        <w:rPr>
          <w:rFonts w:ascii="Traditional Arabic" w:hAnsi="Traditional Arabic" w:cs="Traditional Arabic"/>
          <w:szCs w:val="20"/>
          <w:rtl/>
          <w:lang w:bidi="ar-EG"/>
        </w:rPr>
      </w:pPr>
      <w:r>
        <w:rPr>
          <w:rFonts w:ascii="Traditional Arabic" w:hAnsi="Traditional Arabic" w:cs="Traditional Arabic"/>
          <w:sz w:val="30"/>
          <w:szCs w:val="30"/>
          <w:vertAlign w:val="superscript"/>
          <w:lang w:bidi="ar-EG"/>
        </w:rPr>
        <w:t xml:space="preserve">(2) </w:t>
      </w:r>
      <w:r w:rsidR="00E716A7">
        <w:rPr>
          <w:rFonts w:ascii="Traditional Arabic" w:hAnsi="Traditional Arabic" w:cs="Traditional Arabic" w:hint="cs"/>
          <w:sz w:val="30"/>
          <w:szCs w:val="30"/>
          <w:vertAlign w:val="superscript"/>
          <w:rtl/>
          <w:lang w:bidi="ar-EG"/>
        </w:rPr>
        <w:t xml:space="preserve"> </w:t>
      </w:r>
      <w:r w:rsidR="00E716A7" w:rsidRPr="00D925C8">
        <w:rPr>
          <w:rFonts w:ascii="Traditional Arabic" w:hAnsi="Traditional Arabic" w:cs="Traditional Arabic" w:hint="eastAsia"/>
          <w:szCs w:val="20"/>
          <w:rtl/>
          <w:lang w:bidi="ar-EG"/>
        </w:rPr>
        <w:t>تتضمن</w:t>
      </w:r>
      <w:r w:rsidR="00E716A7">
        <w:rPr>
          <w:rFonts w:ascii="Traditional Arabic" w:hAnsi="Traditional Arabic" w:cs="Traditional Arabic" w:hint="cs"/>
          <w:sz w:val="30"/>
          <w:szCs w:val="30"/>
          <w:rtl/>
          <w:lang w:bidi="ar-EG"/>
        </w:rPr>
        <w:t xml:space="preserve"> </w:t>
      </w:r>
      <w:r w:rsidR="00E716A7">
        <w:rPr>
          <w:rFonts w:ascii="Traditional Arabic" w:hAnsi="Traditional Arabic" w:cs="Traditional Arabic" w:hint="cs"/>
          <w:szCs w:val="20"/>
          <w:rtl/>
          <w:lang w:bidi="ar-EG"/>
        </w:rPr>
        <w:t>ال</w:t>
      </w:r>
      <w:r w:rsidR="00C37301" w:rsidRPr="00D925C8">
        <w:rPr>
          <w:rFonts w:ascii="Traditional Arabic" w:hAnsi="Traditional Arabic" w:cs="Traditional Arabic"/>
          <w:szCs w:val="20"/>
          <w:rtl/>
          <w:lang w:bidi="ar-EG"/>
        </w:rPr>
        <w:t xml:space="preserve">تعديلات </w:t>
      </w:r>
      <w:r w:rsidR="008D70E0">
        <w:rPr>
          <w:rFonts w:ascii="Traditional Arabic" w:hAnsi="Traditional Arabic" w:cs="Traditional Arabic" w:hint="cs"/>
          <w:szCs w:val="20"/>
          <w:rtl/>
          <w:lang w:bidi="ar-EG"/>
        </w:rPr>
        <w:t xml:space="preserve">على الايرادات الاخرى </w:t>
      </w:r>
      <w:r w:rsidR="00C37301" w:rsidRPr="00D925C8">
        <w:rPr>
          <w:rFonts w:ascii="Traditional Arabic" w:hAnsi="Traditional Arabic" w:cs="Traditional Arabic"/>
          <w:szCs w:val="20"/>
          <w:rtl/>
          <w:lang w:bidi="ar-EG"/>
        </w:rPr>
        <w:t>استرداد الديون المشطوبة سابقًا، والدخل من بيع الأصول الثابتة، ومطالبات التأمين، ودخل إيجار المباني والتعديلات الأخرى</w:t>
      </w:r>
    </w:p>
    <w:p w14:paraId="4B5483F5" w14:textId="77777777" w:rsidR="00C37301" w:rsidRPr="00D925C8" w:rsidRDefault="00C37301" w:rsidP="00C37301">
      <w:pPr>
        <w:autoSpaceDE w:val="0"/>
        <w:autoSpaceDN w:val="0"/>
        <w:bidi/>
        <w:adjustRightInd w:val="0"/>
        <w:jc w:val="both"/>
        <w:rPr>
          <w:rFonts w:ascii="Traditional Arabic" w:hAnsi="Traditional Arabic" w:cs="Traditional Arabic"/>
          <w:sz w:val="30"/>
          <w:szCs w:val="30"/>
          <w:rtl/>
          <w:lang w:val="en-GB" w:bidi="ar-EG"/>
        </w:rPr>
      </w:pPr>
    </w:p>
    <w:p w14:paraId="0457199C" w14:textId="77777777" w:rsidR="00A07D6C" w:rsidRDefault="00D568A2" w:rsidP="00A07D6C">
      <w:pPr>
        <w:autoSpaceDE w:val="0"/>
        <w:autoSpaceDN w:val="0"/>
        <w:bidi/>
        <w:adjustRightInd w:val="0"/>
        <w:jc w:val="both"/>
        <w:rPr>
          <w:rFonts w:ascii="Traditional Arabic" w:hAnsi="Traditional Arabic" w:cs="Traditional Arabic"/>
          <w:sz w:val="30"/>
          <w:szCs w:val="30"/>
          <w:rtl/>
          <w:lang w:bidi="ar-EG"/>
        </w:rPr>
      </w:pPr>
      <w:r w:rsidRPr="00D568A2">
        <w:rPr>
          <w:rFonts w:ascii="Traditional Arabic" w:hAnsi="Traditional Arabic" w:cs="Traditional Arabic"/>
          <w:sz w:val="30"/>
          <w:szCs w:val="30"/>
          <w:rtl/>
          <w:lang w:bidi="ar-EG"/>
        </w:rPr>
        <w:t>(3)</w:t>
      </w:r>
      <w:r w:rsidRPr="00D568A2">
        <w:rPr>
          <w:rFonts w:ascii="Traditional Arabic" w:hAnsi="Traditional Arabic" w:cs="Traditional Arabic"/>
          <w:sz w:val="30"/>
          <w:szCs w:val="30"/>
          <w:rtl/>
          <w:lang w:bidi="ar-EG"/>
        </w:rPr>
        <w:tab/>
        <w:t xml:space="preserve">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لقطاع </w:t>
      </w:r>
      <w:r w:rsidR="00607B02">
        <w:rPr>
          <w:rFonts w:ascii="Traditional Arabic" w:hAnsi="Traditional Arabic" w:cs="Traditional Arabic"/>
          <w:sz w:val="30"/>
          <w:szCs w:val="30"/>
          <w:rtl/>
          <w:lang w:bidi="ar-EG"/>
        </w:rPr>
        <w:t>نقل</w:t>
      </w:r>
      <w:r w:rsidRPr="00D568A2">
        <w:rPr>
          <w:rFonts w:ascii="Traditional Arabic" w:hAnsi="Traditional Arabic" w:cs="Traditional Arabic"/>
          <w:sz w:val="30"/>
          <w:szCs w:val="30"/>
          <w:rtl/>
          <w:lang w:bidi="ar-EG"/>
        </w:rPr>
        <w:t xml:space="preserve"> النفط الخام للفترات المشار إليها:</w:t>
      </w:r>
    </w:p>
    <w:p w14:paraId="1C7E33B7" w14:textId="77777777" w:rsidR="00D568A2" w:rsidRDefault="00D568A2" w:rsidP="00D568A2">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2A4B5D" w:rsidRPr="00E834EF" w14:paraId="1F9E85AF" w14:textId="77777777" w:rsidTr="00272B36">
        <w:trPr>
          <w:tblHeader/>
        </w:trPr>
        <w:tc>
          <w:tcPr>
            <w:tcW w:w="3254" w:type="dxa"/>
          </w:tcPr>
          <w:p w14:paraId="3092B63E" w14:textId="77777777" w:rsidR="002A4B5D" w:rsidRPr="00E834EF" w:rsidRDefault="002A4B5D" w:rsidP="002A4B5D">
            <w:pPr>
              <w:keepNext/>
              <w:bidi/>
              <w:spacing w:before="40" w:after="120"/>
              <w:rPr>
                <w:b/>
                <w:sz w:val="17"/>
                <w:szCs w:val="17"/>
              </w:rPr>
            </w:pPr>
          </w:p>
        </w:tc>
        <w:tc>
          <w:tcPr>
            <w:tcW w:w="242" w:type="dxa"/>
          </w:tcPr>
          <w:p w14:paraId="07663C4C" w14:textId="77777777" w:rsidR="002A4B5D" w:rsidRPr="00E834EF" w:rsidRDefault="002A4B5D" w:rsidP="00922116">
            <w:pPr>
              <w:spacing w:before="40" w:after="40"/>
              <w:rPr>
                <w:sz w:val="17"/>
                <w:szCs w:val="17"/>
              </w:rPr>
            </w:pPr>
          </w:p>
        </w:tc>
        <w:tc>
          <w:tcPr>
            <w:tcW w:w="3255" w:type="dxa"/>
            <w:gridSpan w:val="6"/>
            <w:tcBorders>
              <w:bottom w:val="single" w:sz="4" w:space="0" w:color="auto"/>
            </w:tcBorders>
          </w:tcPr>
          <w:p w14:paraId="7823E5EE" w14:textId="77777777" w:rsidR="002A4B5D" w:rsidRPr="00E834EF" w:rsidRDefault="002A4B5D" w:rsidP="00922116">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1438CFC1" w14:textId="77777777" w:rsidR="002A4B5D" w:rsidRPr="00E834EF" w:rsidRDefault="002A4B5D" w:rsidP="00922116">
            <w:pPr>
              <w:spacing w:before="40" w:after="40"/>
              <w:rPr>
                <w:sz w:val="17"/>
                <w:szCs w:val="17"/>
              </w:rPr>
            </w:pPr>
          </w:p>
        </w:tc>
        <w:tc>
          <w:tcPr>
            <w:tcW w:w="2090" w:type="dxa"/>
            <w:gridSpan w:val="3"/>
            <w:tcBorders>
              <w:bottom w:val="single" w:sz="4" w:space="0" w:color="auto"/>
            </w:tcBorders>
          </w:tcPr>
          <w:p w14:paraId="6286CEFE" w14:textId="77777777" w:rsidR="002A4B5D" w:rsidRPr="00E834EF" w:rsidRDefault="002A4B5D" w:rsidP="00922116">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68BFC2BC" w14:textId="77777777" w:rsidR="002A4B5D" w:rsidRPr="00E834EF" w:rsidRDefault="002A4B5D" w:rsidP="00922116">
            <w:pPr>
              <w:keepNext/>
              <w:spacing w:before="40" w:after="120"/>
              <w:jc w:val="center"/>
              <w:rPr>
                <w:b/>
                <w:sz w:val="17"/>
                <w:szCs w:val="17"/>
              </w:rPr>
            </w:pPr>
          </w:p>
        </w:tc>
      </w:tr>
      <w:tr w:rsidR="002A4B5D" w:rsidRPr="00E834EF" w14:paraId="27BBD9AF" w14:textId="77777777" w:rsidTr="00272B36">
        <w:trPr>
          <w:tblHeader/>
        </w:trPr>
        <w:tc>
          <w:tcPr>
            <w:tcW w:w="3254" w:type="dxa"/>
          </w:tcPr>
          <w:p w14:paraId="1F7B46D2" w14:textId="77777777" w:rsidR="002A4B5D" w:rsidRPr="00E834EF" w:rsidRDefault="002A4B5D" w:rsidP="002A4B5D">
            <w:pPr>
              <w:keepNext/>
              <w:bidi/>
              <w:spacing w:before="40" w:after="120"/>
              <w:rPr>
                <w:b/>
                <w:sz w:val="17"/>
                <w:szCs w:val="17"/>
              </w:rPr>
            </w:pPr>
          </w:p>
        </w:tc>
        <w:tc>
          <w:tcPr>
            <w:tcW w:w="242" w:type="dxa"/>
          </w:tcPr>
          <w:p w14:paraId="57589B43" w14:textId="77777777" w:rsidR="002A4B5D" w:rsidRPr="00E834EF" w:rsidRDefault="002A4B5D" w:rsidP="00922116">
            <w:pPr>
              <w:spacing w:before="40" w:after="40"/>
              <w:rPr>
                <w:sz w:val="17"/>
                <w:szCs w:val="17"/>
              </w:rPr>
            </w:pPr>
          </w:p>
        </w:tc>
        <w:tc>
          <w:tcPr>
            <w:tcW w:w="923" w:type="dxa"/>
            <w:gridSpan w:val="2"/>
            <w:tcBorders>
              <w:top w:val="single" w:sz="4" w:space="0" w:color="auto"/>
              <w:bottom w:val="single" w:sz="4" w:space="0" w:color="auto"/>
            </w:tcBorders>
          </w:tcPr>
          <w:p w14:paraId="7D494349" w14:textId="77777777" w:rsidR="002A4B5D" w:rsidRPr="00E834EF" w:rsidRDefault="002A4B5D" w:rsidP="00922116">
            <w:pPr>
              <w:keepNext/>
              <w:spacing w:before="40" w:after="120"/>
              <w:jc w:val="right"/>
              <w:rPr>
                <w:b/>
                <w:sz w:val="17"/>
                <w:szCs w:val="17"/>
              </w:rPr>
            </w:pPr>
            <w:r w:rsidRPr="00E834EF">
              <w:rPr>
                <w:b/>
                <w:sz w:val="17"/>
                <w:szCs w:val="17"/>
              </w:rPr>
              <w:t>2021</w:t>
            </w:r>
          </w:p>
        </w:tc>
        <w:tc>
          <w:tcPr>
            <w:tcW w:w="242" w:type="dxa"/>
          </w:tcPr>
          <w:p w14:paraId="7EA74193" w14:textId="77777777" w:rsidR="002A4B5D" w:rsidRPr="00E834EF" w:rsidRDefault="002A4B5D" w:rsidP="00922116">
            <w:pPr>
              <w:spacing w:before="40" w:after="40"/>
              <w:rPr>
                <w:sz w:val="17"/>
                <w:szCs w:val="17"/>
              </w:rPr>
            </w:pPr>
          </w:p>
        </w:tc>
        <w:tc>
          <w:tcPr>
            <w:tcW w:w="924" w:type="dxa"/>
            <w:tcBorders>
              <w:top w:val="single" w:sz="4" w:space="0" w:color="auto"/>
              <w:bottom w:val="single" w:sz="4" w:space="0" w:color="auto"/>
            </w:tcBorders>
          </w:tcPr>
          <w:p w14:paraId="718BA08E" w14:textId="77777777" w:rsidR="002A4B5D" w:rsidRPr="00E834EF" w:rsidRDefault="002A4B5D" w:rsidP="00922116">
            <w:pPr>
              <w:keepNext/>
              <w:spacing w:before="40" w:after="120"/>
              <w:jc w:val="right"/>
              <w:rPr>
                <w:b/>
                <w:sz w:val="17"/>
                <w:szCs w:val="17"/>
              </w:rPr>
            </w:pPr>
            <w:r w:rsidRPr="00E834EF">
              <w:rPr>
                <w:b/>
                <w:sz w:val="17"/>
                <w:szCs w:val="17"/>
              </w:rPr>
              <w:t>2022</w:t>
            </w:r>
          </w:p>
        </w:tc>
        <w:tc>
          <w:tcPr>
            <w:tcW w:w="242" w:type="dxa"/>
          </w:tcPr>
          <w:p w14:paraId="149B670B" w14:textId="77777777" w:rsidR="002A4B5D" w:rsidRPr="00E834EF" w:rsidRDefault="002A4B5D" w:rsidP="00922116">
            <w:pPr>
              <w:spacing w:before="40" w:after="40"/>
              <w:rPr>
                <w:sz w:val="17"/>
                <w:szCs w:val="17"/>
              </w:rPr>
            </w:pPr>
          </w:p>
        </w:tc>
        <w:tc>
          <w:tcPr>
            <w:tcW w:w="924" w:type="dxa"/>
            <w:tcBorders>
              <w:top w:val="single" w:sz="4" w:space="0" w:color="auto"/>
              <w:bottom w:val="single" w:sz="4" w:space="0" w:color="auto"/>
            </w:tcBorders>
          </w:tcPr>
          <w:p w14:paraId="28CCC36D" w14:textId="77777777" w:rsidR="002A4B5D" w:rsidRPr="00E834EF" w:rsidRDefault="002A4B5D" w:rsidP="00922116">
            <w:pPr>
              <w:keepNext/>
              <w:spacing w:before="40" w:after="120"/>
              <w:jc w:val="right"/>
              <w:rPr>
                <w:b/>
                <w:sz w:val="17"/>
                <w:szCs w:val="17"/>
              </w:rPr>
            </w:pPr>
            <w:r w:rsidRPr="00E834EF">
              <w:rPr>
                <w:b/>
                <w:sz w:val="17"/>
                <w:szCs w:val="17"/>
              </w:rPr>
              <w:t>2023</w:t>
            </w:r>
          </w:p>
        </w:tc>
        <w:tc>
          <w:tcPr>
            <w:tcW w:w="242" w:type="dxa"/>
          </w:tcPr>
          <w:p w14:paraId="5271E970" w14:textId="77777777" w:rsidR="002A4B5D" w:rsidRPr="00E834EF" w:rsidRDefault="002A4B5D" w:rsidP="00922116">
            <w:pPr>
              <w:spacing w:before="40" w:after="40"/>
              <w:rPr>
                <w:sz w:val="17"/>
                <w:szCs w:val="17"/>
              </w:rPr>
            </w:pPr>
          </w:p>
        </w:tc>
        <w:tc>
          <w:tcPr>
            <w:tcW w:w="924" w:type="dxa"/>
            <w:tcBorders>
              <w:top w:val="single" w:sz="4" w:space="0" w:color="auto"/>
              <w:bottom w:val="single" w:sz="4" w:space="0" w:color="auto"/>
            </w:tcBorders>
          </w:tcPr>
          <w:p w14:paraId="77155A68" w14:textId="77777777" w:rsidR="002A4B5D" w:rsidRPr="00E834EF" w:rsidRDefault="002A4B5D" w:rsidP="00922116">
            <w:pPr>
              <w:keepNext/>
              <w:spacing w:before="40" w:after="120"/>
              <w:jc w:val="right"/>
              <w:rPr>
                <w:b/>
                <w:sz w:val="17"/>
                <w:szCs w:val="17"/>
              </w:rPr>
            </w:pPr>
            <w:r w:rsidRPr="00E834EF">
              <w:rPr>
                <w:b/>
                <w:sz w:val="17"/>
                <w:szCs w:val="17"/>
              </w:rPr>
              <w:t>2023</w:t>
            </w:r>
          </w:p>
        </w:tc>
        <w:tc>
          <w:tcPr>
            <w:tcW w:w="227" w:type="dxa"/>
          </w:tcPr>
          <w:p w14:paraId="093A3721" w14:textId="77777777" w:rsidR="002A4B5D" w:rsidRPr="00E834EF" w:rsidRDefault="002A4B5D" w:rsidP="00922116">
            <w:pPr>
              <w:spacing w:before="40" w:after="40"/>
              <w:rPr>
                <w:sz w:val="17"/>
                <w:szCs w:val="17"/>
              </w:rPr>
            </w:pPr>
          </w:p>
        </w:tc>
        <w:tc>
          <w:tcPr>
            <w:tcW w:w="939" w:type="dxa"/>
            <w:tcBorders>
              <w:top w:val="single" w:sz="4" w:space="0" w:color="auto"/>
              <w:bottom w:val="single" w:sz="4" w:space="0" w:color="auto"/>
            </w:tcBorders>
          </w:tcPr>
          <w:p w14:paraId="19619D78" w14:textId="77777777" w:rsidR="002A4B5D" w:rsidRPr="00E834EF" w:rsidRDefault="002A4B5D" w:rsidP="00922116">
            <w:pPr>
              <w:keepNext/>
              <w:spacing w:before="40" w:after="120"/>
              <w:jc w:val="right"/>
              <w:rPr>
                <w:b/>
                <w:sz w:val="17"/>
                <w:szCs w:val="17"/>
              </w:rPr>
            </w:pPr>
            <w:r w:rsidRPr="00E834EF">
              <w:rPr>
                <w:b/>
                <w:sz w:val="17"/>
                <w:szCs w:val="17"/>
              </w:rPr>
              <w:t>2024</w:t>
            </w:r>
          </w:p>
        </w:tc>
        <w:tc>
          <w:tcPr>
            <w:tcW w:w="266" w:type="dxa"/>
          </w:tcPr>
          <w:p w14:paraId="50E2CC13" w14:textId="77777777" w:rsidR="002A4B5D" w:rsidRPr="00E834EF" w:rsidRDefault="002A4B5D" w:rsidP="00922116">
            <w:pPr>
              <w:keepNext/>
              <w:spacing w:before="40" w:after="120"/>
              <w:jc w:val="right"/>
              <w:rPr>
                <w:b/>
                <w:sz w:val="17"/>
                <w:szCs w:val="17"/>
              </w:rPr>
            </w:pPr>
          </w:p>
        </w:tc>
      </w:tr>
      <w:tr w:rsidR="002A4B5D" w:rsidRPr="00E834EF" w14:paraId="0DCA7523" w14:textId="77777777" w:rsidTr="00272B36">
        <w:trPr>
          <w:trHeight w:val="215"/>
          <w:tblHeader/>
        </w:trPr>
        <w:tc>
          <w:tcPr>
            <w:tcW w:w="3254" w:type="dxa"/>
          </w:tcPr>
          <w:p w14:paraId="6C9ACDD0" w14:textId="77777777" w:rsidR="002A4B5D" w:rsidRPr="00E834EF" w:rsidRDefault="002A4B5D" w:rsidP="002A4B5D">
            <w:pPr>
              <w:keepNext/>
              <w:bidi/>
              <w:spacing w:before="40" w:after="120"/>
              <w:jc w:val="center"/>
              <w:rPr>
                <w:i/>
                <w:sz w:val="17"/>
                <w:szCs w:val="17"/>
              </w:rPr>
            </w:pPr>
          </w:p>
        </w:tc>
        <w:tc>
          <w:tcPr>
            <w:tcW w:w="242" w:type="dxa"/>
          </w:tcPr>
          <w:p w14:paraId="09D68A18" w14:textId="77777777" w:rsidR="002A4B5D" w:rsidRPr="00E834EF" w:rsidRDefault="002A4B5D" w:rsidP="00922116">
            <w:pPr>
              <w:keepNext/>
              <w:spacing w:before="40" w:after="120"/>
              <w:jc w:val="center"/>
              <w:rPr>
                <w:i/>
                <w:sz w:val="17"/>
                <w:szCs w:val="17"/>
              </w:rPr>
            </w:pPr>
          </w:p>
        </w:tc>
        <w:tc>
          <w:tcPr>
            <w:tcW w:w="5587" w:type="dxa"/>
            <w:gridSpan w:val="10"/>
          </w:tcPr>
          <w:p w14:paraId="067C72FE" w14:textId="77777777" w:rsidR="002A4B5D" w:rsidRPr="00E834EF" w:rsidRDefault="002A4B5D" w:rsidP="00922116">
            <w:pPr>
              <w:keepNext/>
              <w:spacing w:before="40" w:after="120"/>
              <w:jc w:val="center"/>
              <w:rPr>
                <w:i/>
                <w:sz w:val="17"/>
                <w:szCs w:val="17"/>
              </w:rPr>
            </w:pPr>
            <w:r w:rsidRPr="00E834EF">
              <w:rPr>
                <w:i/>
                <w:color w:val="000000"/>
                <w:sz w:val="17"/>
                <w:szCs w:val="17"/>
              </w:rPr>
              <w:t>(</w:t>
            </w:r>
            <w:r>
              <w:rPr>
                <w:i/>
                <w:color w:val="000000"/>
                <w:sz w:val="17"/>
                <w:szCs w:val="17"/>
              </w:rPr>
              <w:t>OMR</w:t>
            </w:r>
            <w:r w:rsidRPr="00E834EF">
              <w:rPr>
                <w:i/>
                <w:color w:val="000000"/>
                <w:sz w:val="17"/>
                <w:szCs w:val="17"/>
              </w:rPr>
              <w:t xml:space="preserve"> </w:t>
            </w:r>
            <w:r>
              <w:rPr>
                <w:i/>
                <w:color w:val="000000"/>
                <w:sz w:val="17"/>
                <w:szCs w:val="17"/>
              </w:rPr>
              <w:t>millions</w:t>
            </w:r>
            <w:r w:rsidRPr="00E834EF">
              <w:rPr>
                <w:i/>
                <w:color w:val="000000"/>
                <w:sz w:val="17"/>
                <w:szCs w:val="17"/>
              </w:rPr>
              <w:t>)</w:t>
            </w:r>
          </w:p>
        </w:tc>
        <w:tc>
          <w:tcPr>
            <w:tcW w:w="266" w:type="dxa"/>
          </w:tcPr>
          <w:p w14:paraId="6F543D8E" w14:textId="77777777" w:rsidR="002A4B5D" w:rsidRPr="00E834EF" w:rsidRDefault="002A4B5D" w:rsidP="00922116">
            <w:pPr>
              <w:keepNext/>
              <w:spacing w:before="40" w:after="120"/>
              <w:jc w:val="center"/>
              <w:rPr>
                <w:i/>
                <w:color w:val="000000"/>
                <w:sz w:val="17"/>
                <w:szCs w:val="17"/>
              </w:rPr>
            </w:pPr>
          </w:p>
        </w:tc>
      </w:tr>
      <w:tr w:rsidR="002A4B5D" w:rsidRPr="00E834EF" w14:paraId="422773CE" w14:textId="77777777" w:rsidTr="00272B36">
        <w:tc>
          <w:tcPr>
            <w:tcW w:w="3254" w:type="dxa"/>
            <w:vAlign w:val="bottom"/>
          </w:tcPr>
          <w:p w14:paraId="2AFC7FA1" w14:textId="77777777" w:rsidR="002A4B5D" w:rsidRPr="0054596C" w:rsidRDefault="002A4B5D" w:rsidP="002A4B5D">
            <w:pPr>
              <w:tabs>
                <w:tab w:val="right" w:leader="dot" w:pos="3255"/>
              </w:tabs>
              <w:bidi/>
              <w:spacing w:before="40" w:after="40"/>
              <w:ind w:left="12"/>
              <w:rPr>
                <w:b/>
                <w:bCs/>
                <w:color w:val="000000"/>
                <w:sz w:val="17"/>
                <w:szCs w:val="17"/>
              </w:rPr>
            </w:pPr>
            <w:r>
              <w:rPr>
                <w:rFonts w:hint="cs"/>
                <w:b/>
                <w:bCs/>
                <w:color w:val="000000"/>
                <w:sz w:val="17"/>
                <w:szCs w:val="17"/>
                <w:rtl/>
              </w:rPr>
              <w:t xml:space="preserve">إيرادات </w:t>
            </w:r>
            <w:r w:rsidR="00607B02">
              <w:rPr>
                <w:rFonts w:hint="cs"/>
                <w:b/>
                <w:bCs/>
                <w:color w:val="000000"/>
                <w:sz w:val="17"/>
                <w:szCs w:val="17"/>
                <w:rtl/>
              </w:rPr>
              <w:t>نقل</w:t>
            </w:r>
            <w:r>
              <w:rPr>
                <w:rFonts w:hint="cs"/>
                <w:b/>
                <w:bCs/>
                <w:color w:val="000000"/>
                <w:sz w:val="17"/>
                <w:szCs w:val="17"/>
                <w:rtl/>
              </w:rPr>
              <w:t xml:space="preserve"> النفط الخام</w:t>
            </w:r>
            <w:r w:rsidRPr="0054596C">
              <w:rPr>
                <w:sz w:val="17"/>
              </w:rPr>
              <w:tab/>
            </w:r>
          </w:p>
        </w:tc>
        <w:tc>
          <w:tcPr>
            <w:tcW w:w="242" w:type="dxa"/>
            <w:vAlign w:val="bottom"/>
          </w:tcPr>
          <w:p w14:paraId="33B91B01" w14:textId="77777777" w:rsidR="002A4B5D" w:rsidRPr="00E834EF" w:rsidRDefault="002A4B5D" w:rsidP="00922116">
            <w:pPr>
              <w:spacing w:before="40" w:after="40"/>
              <w:rPr>
                <w:sz w:val="17"/>
                <w:szCs w:val="17"/>
              </w:rPr>
            </w:pPr>
          </w:p>
        </w:tc>
        <w:tc>
          <w:tcPr>
            <w:tcW w:w="913" w:type="dxa"/>
            <w:vAlign w:val="bottom"/>
          </w:tcPr>
          <w:p w14:paraId="5F4DD532" w14:textId="77777777" w:rsidR="002A4B5D" w:rsidRPr="00DB3F11" w:rsidRDefault="002A4B5D" w:rsidP="00922116">
            <w:pPr>
              <w:spacing w:before="40" w:after="40"/>
              <w:jc w:val="right"/>
              <w:rPr>
                <w:color w:val="000000"/>
                <w:sz w:val="16"/>
                <w:szCs w:val="16"/>
              </w:rPr>
            </w:pPr>
            <w:r w:rsidRPr="00DB3F11">
              <w:rPr>
                <w:sz w:val="16"/>
                <w:szCs w:val="16"/>
              </w:rPr>
              <w:t>75.0</w:t>
            </w:r>
          </w:p>
        </w:tc>
        <w:tc>
          <w:tcPr>
            <w:tcW w:w="252" w:type="dxa"/>
            <w:gridSpan w:val="2"/>
            <w:vAlign w:val="bottom"/>
          </w:tcPr>
          <w:p w14:paraId="47F8C537" w14:textId="77777777" w:rsidR="002A4B5D" w:rsidRPr="00DB3F11" w:rsidRDefault="002A4B5D" w:rsidP="00922116">
            <w:pPr>
              <w:spacing w:before="40" w:after="40"/>
              <w:rPr>
                <w:color w:val="000000"/>
                <w:sz w:val="16"/>
                <w:szCs w:val="16"/>
              </w:rPr>
            </w:pPr>
          </w:p>
        </w:tc>
        <w:tc>
          <w:tcPr>
            <w:tcW w:w="924" w:type="dxa"/>
            <w:vAlign w:val="bottom"/>
          </w:tcPr>
          <w:p w14:paraId="2DB2B7F5" w14:textId="77777777" w:rsidR="002A4B5D" w:rsidRPr="00DB3F11" w:rsidRDefault="002A4B5D" w:rsidP="00922116">
            <w:pPr>
              <w:spacing w:before="40" w:after="40"/>
              <w:jc w:val="right"/>
              <w:rPr>
                <w:color w:val="000000"/>
                <w:sz w:val="16"/>
                <w:szCs w:val="16"/>
              </w:rPr>
            </w:pPr>
            <w:r>
              <w:rPr>
                <w:sz w:val="16"/>
                <w:szCs w:val="16"/>
              </w:rPr>
              <w:t>116.7</w:t>
            </w:r>
          </w:p>
        </w:tc>
        <w:tc>
          <w:tcPr>
            <w:tcW w:w="242" w:type="dxa"/>
            <w:vAlign w:val="bottom"/>
          </w:tcPr>
          <w:p w14:paraId="3C47F7D6" w14:textId="77777777" w:rsidR="002A4B5D" w:rsidRPr="00DB3F11" w:rsidRDefault="002A4B5D" w:rsidP="00922116">
            <w:pPr>
              <w:spacing w:before="40" w:after="40"/>
              <w:rPr>
                <w:color w:val="000000"/>
                <w:sz w:val="16"/>
                <w:szCs w:val="16"/>
              </w:rPr>
            </w:pPr>
          </w:p>
        </w:tc>
        <w:tc>
          <w:tcPr>
            <w:tcW w:w="924" w:type="dxa"/>
            <w:vAlign w:val="bottom"/>
          </w:tcPr>
          <w:p w14:paraId="2FFBB1AC" w14:textId="77777777" w:rsidR="002A4B5D" w:rsidRPr="00DB3F11" w:rsidRDefault="002A4B5D" w:rsidP="00922116">
            <w:pPr>
              <w:spacing w:before="40" w:after="40"/>
              <w:jc w:val="right"/>
              <w:rPr>
                <w:color w:val="000000"/>
                <w:sz w:val="16"/>
                <w:szCs w:val="16"/>
              </w:rPr>
            </w:pPr>
            <w:r>
              <w:rPr>
                <w:sz w:val="16"/>
                <w:szCs w:val="16"/>
              </w:rPr>
              <w:t>118.6</w:t>
            </w:r>
          </w:p>
        </w:tc>
        <w:tc>
          <w:tcPr>
            <w:tcW w:w="242" w:type="dxa"/>
            <w:vAlign w:val="bottom"/>
          </w:tcPr>
          <w:p w14:paraId="65DBE0A9" w14:textId="77777777" w:rsidR="002A4B5D" w:rsidRPr="00DB3F11" w:rsidRDefault="002A4B5D" w:rsidP="00922116">
            <w:pPr>
              <w:spacing w:before="40" w:after="40"/>
              <w:rPr>
                <w:sz w:val="16"/>
                <w:szCs w:val="16"/>
              </w:rPr>
            </w:pPr>
          </w:p>
        </w:tc>
        <w:tc>
          <w:tcPr>
            <w:tcW w:w="924" w:type="dxa"/>
            <w:vAlign w:val="bottom"/>
          </w:tcPr>
          <w:p w14:paraId="3F4690AE" w14:textId="77777777" w:rsidR="002A4B5D" w:rsidRPr="00DB3F11" w:rsidRDefault="002A4B5D" w:rsidP="00922116">
            <w:pPr>
              <w:spacing w:before="40" w:after="40"/>
              <w:jc w:val="right"/>
              <w:rPr>
                <w:sz w:val="16"/>
                <w:szCs w:val="16"/>
              </w:rPr>
            </w:pPr>
            <w:r>
              <w:rPr>
                <w:sz w:val="16"/>
                <w:szCs w:val="16"/>
              </w:rPr>
              <w:t>91.1</w:t>
            </w:r>
          </w:p>
        </w:tc>
        <w:tc>
          <w:tcPr>
            <w:tcW w:w="227" w:type="dxa"/>
            <w:vAlign w:val="bottom"/>
          </w:tcPr>
          <w:p w14:paraId="11294286" w14:textId="77777777" w:rsidR="002A4B5D" w:rsidRPr="00DB3F11" w:rsidRDefault="002A4B5D" w:rsidP="00922116">
            <w:pPr>
              <w:spacing w:before="40" w:after="40"/>
              <w:rPr>
                <w:sz w:val="16"/>
                <w:szCs w:val="16"/>
              </w:rPr>
            </w:pPr>
          </w:p>
        </w:tc>
        <w:tc>
          <w:tcPr>
            <w:tcW w:w="939" w:type="dxa"/>
            <w:vAlign w:val="bottom"/>
          </w:tcPr>
          <w:p w14:paraId="76E9C3F3" w14:textId="77777777" w:rsidR="002A4B5D" w:rsidRPr="00DB3F11" w:rsidRDefault="002A4B5D" w:rsidP="00922116">
            <w:pPr>
              <w:spacing w:before="40" w:after="40"/>
              <w:jc w:val="right"/>
              <w:rPr>
                <w:sz w:val="16"/>
                <w:szCs w:val="16"/>
              </w:rPr>
            </w:pPr>
            <w:r>
              <w:rPr>
                <w:sz w:val="16"/>
                <w:szCs w:val="16"/>
              </w:rPr>
              <w:t>74.4</w:t>
            </w:r>
          </w:p>
        </w:tc>
        <w:tc>
          <w:tcPr>
            <w:tcW w:w="266" w:type="dxa"/>
            <w:vAlign w:val="bottom"/>
          </w:tcPr>
          <w:p w14:paraId="010F471A" w14:textId="77777777" w:rsidR="002A4B5D" w:rsidRPr="000D2863" w:rsidRDefault="002A4B5D" w:rsidP="00922116">
            <w:pPr>
              <w:spacing w:before="40" w:after="40"/>
              <w:rPr>
                <w:sz w:val="17"/>
                <w:szCs w:val="17"/>
              </w:rPr>
            </w:pPr>
          </w:p>
        </w:tc>
      </w:tr>
      <w:tr w:rsidR="002A4B5D" w:rsidRPr="00E834EF" w14:paraId="10B5F17B" w14:textId="77777777" w:rsidTr="00272B36">
        <w:tc>
          <w:tcPr>
            <w:tcW w:w="3254" w:type="dxa"/>
          </w:tcPr>
          <w:p w14:paraId="7E928AFD" w14:textId="77777777" w:rsidR="002A4B5D" w:rsidRPr="00155339" w:rsidRDefault="002A4B5D" w:rsidP="002A4B5D">
            <w:pPr>
              <w:tabs>
                <w:tab w:val="right" w:leader="dot" w:pos="3255"/>
              </w:tabs>
              <w:bidi/>
              <w:spacing w:before="40" w:after="40"/>
              <w:ind w:left="357" w:firstLine="64"/>
              <w:rPr>
                <w:color w:val="000000"/>
                <w:sz w:val="17"/>
                <w:szCs w:val="17"/>
              </w:rPr>
            </w:pPr>
            <w:r>
              <w:rPr>
                <w:rFonts w:hint="cs"/>
                <w:sz w:val="17"/>
                <w:szCs w:val="17"/>
                <w:rtl/>
              </w:rPr>
              <w:t>تكلفة تشغيل الرحلة</w:t>
            </w:r>
            <w:r w:rsidRPr="007D2480">
              <w:rPr>
                <w:sz w:val="17"/>
              </w:rPr>
              <w:tab/>
            </w:r>
          </w:p>
        </w:tc>
        <w:tc>
          <w:tcPr>
            <w:tcW w:w="242" w:type="dxa"/>
            <w:vAlign w:val="bottom"/>
          </w:tcPr>
          <w:p w14:paraId="56EAF974" w14:textId="77777777" w:rsidR="002A4B5D" w:rsidRPr="00E834EF" w:rsidRDefault="002A4B5D" w:rsidP="00922116">
            <w:pPr>
              <w:spacing w:before="40" w:after="40"/>
              <w:rPr>
                <w:sz w:val="17"/>
                <w:szCs w:val="17"/>
              </w:rPr>
            </w:pPr>
          </w:p>
        </w:tc>
        <w:tc>
          <w:tcPr>
            <w:tcW w:w="913" w:type="dxa"/>
            <w:tcBorders>
              <w:bottom w:val="single" w:sz="4" w:space="0" w:color="auto"/>
            </w:tcBorders>
            <w:vAlign w:val="bottom"/>
          </w:tcPr>
          <w:p w14:paraId="0F70C690" w14:textId="77777777" w:rsidR="002A4B5D" w:rsidRPr="00DB3F11" w:rsidRDefault="002A4B5D" w:rsidP="00922116">
            <w:pPr>
              <w:spacing w:before="40" w:after="40"/>
              <w:jc w:val="right"/>
              <w:rPr>
                <w:color w:val="000000"/>
                <w:sz w:val="16"/>
                <w:szCs w:val="16"/>
              </w:rPr>
            </w:pPr>
            <w:r w:rsidRPr="00DB3F11">
              <w:rPr>
                <w:sz w:val="16"/>
                <w:szCs w:val="16"/>
              </w:rPr>
              <w:t>(35.7</w:t>
            </w:r>
          </w:p>
        </w:tc>
        <w:tc>
          <w:tcPr>
            <w:tcW w:w="252" w:type="dxa"/>
            <w:gridSpan w:val="2"/>
            <w:vAlign w:val="bottom"/>
          </w:tcPr>
          <w:p w14:paraId="747E399B" w14:textId="77777777" w:rsidR="002A4B5D" w:rsidRPr="00DB3F11" w:rsidRDefault="002A4B5D" w:rsidP="00922116">
            <w:pPr>
              <w:spacing w:before="40" w:after="40"/>
              <w:rPr>
                <w:color w:val="000000"/>
                <w:sz w:val="16"/>
                <w:szCs w:val="16"/>
              </w:rPr>
            </w:pPr>
            <w:r w:rsidRPr="00DB3F11">
              <w:rPr>
                <w:color w:val="000000"/>
                <w:sz w:val="16"/>
                <w:szCs w:val="16"/>
              </w:rPr>
              <w:t>)</w:t>
            </w:r>
          </w:p>
        </w:tc>
        <w:tc>
          <w:tcPr>
            <w:tcW w:w="924" w:type="dxa"/>
            <w:tcBorders>
              <w:bottom w:val="single" w:sz="4" w:space="0" w:color="auto"/>
            </w:tcBorders>
            <w:vAlign w:val="bottom"/>
          </w:tcPr>
          <w:p w14:paraId="2974F176" w14:textId="77777777" w:rsidR="002A4B5D" w:rsidRPr="00DB3F11" w:rsidRDefault="002A4B5D" w:rsidP="00922116">
            <w:pPr>
              <w:spacing w:before="40" w:after="40"/>
              <w:jc w:val="right"/>
              <w:rPr>
                <w:color w:val="000000"/>
                <w:sz w:val="16"/>
                <w:szCs w:val="16"/>
              </w:rPr>
            </w:pPr>
            <w:r>
              <w:rPr>
                <w:sz w:val="16"/>
                <w:szCs w:val="16"/>
              </w:rPr>
              <w:t>(53.1</w:t>
            </w:r>
          </w:p>
        </w:tc>
        <w:tc>
          <w:tcPr>
            <w:tcW w:w="242" w:type="dxa"/>
            <w:vAlign w:val="bottom"/>
          </w:tcPr>
          <w:p w14:paraId="066002FA" w14:textId="77777777" w:rsidR="002A4B5D" w:rsidRPr="00DB3F11" w:rsidRDefault="002A4B5D" w:rsidP="00922116">
            <w:pPr>
              <w:spacing w:before="40" w:after="40"/>
              <w:rPr>
                <w:color w:val="000000"/>
                <w:sz w:val="16"/>
                <w:szCs w:val="16"/>
              </w:rPr>
            </w:pPr>
            <w:r>
              <w:rPr>
                <w:color w:val="000000"/>
                <w:sz w:val="16"/>
                <w:szCs w:val="16"/>
              </w:rPr>
              <w:t>)</w:t>
            </w:r>
          </w:p>
        </w:tc>
        <w:tc>
          <w:tcPr>
            <w:tcW w:w="924" w:type="dxa"/>
            <w:tcBorders>
              <w:bottom w:val="single" w:sz="4" w:space="0" w:color="auto"/>
            </w:tcBorders>
            <w:vAlign w:val="bottom"/>
          </w:tcPr>
          <w:p w14:paraId="2C5EF2C2" w14:textId="77777777" w:rsidR="002A4B5D" w:rsidRPr="00DB3F11" w:rsidRDefault="002A4B5D" w:rsidP="00922116">
            <w:pPr>
              <w:spacing w:before="40" w:after="40"/>
              <w:jc w:val="right"/>
              <w:rPr>
                <w:color w:val="000000"/>
                <w:sz w:val="16"/>
                <w:szCs w:val="16"/>
              </w:rPr>
            </w:pPr>
            <w:r>
              <w:rPr>
                <w:sz w:val="16"/>
                <w:szCs w:val="16"/>
              </w:rPr>
              <w:t>(24.8</w:t>
            </w:r>
          </w:p>
        </w:tc>
        <w:tc>
          <w:tcPr>
            <w:tcW w:w="242" w:type="dxa"/>
            <w:vAlign w:val="bottom"/>
          </w:tcPr>
          <w:p w14:paraId="5193D052" w14:textId="77777777" w:rsidR="002A4B5D" w:rsidRPr="00DB3F11" w:rsidRDefault="002A4B5D" w:rsidP="00922116">
            <w:pPr>
              <w:spacing w:before="40" w:after="40"/>
              <w:rPr>
                <w:sz w:val="16"/>
                <w:szCs w:val="16"/>
              </w:rPr>
            </w:pPr>
            <w:r>
              <w:rPr>
                <w:sz w:val="16"/>
                <w:szCs w:val="16"/>
              </w:rPr>
              <w:t>)</w:t>
            </w:r>
          </w:p>
        </w:tc>
        <w:tc>
          <w:tcPr>
            <w:tcW w:w="924" w:type="dxa"/>
            <w:tcBorders>
              <w:bottom w:val="single" w:sz="4" w:space="0" w:color="auto"/>
            </w:tcBorders>
            <w:vAlign w:val="bottom"/>
          </w:tcPr>
          <w:p w14:paraId="2EABBD72" w14:textId="77777777" w:rsidR="002A4B5D" w:rsidRPr="00DB3F11" w:rsidRDefault="002A4B5D" w:rsidP="00922116">
            <w:pPr>
              <w:spacing w:before="40" w:after="40"/>
              <w:jc w:val="right"/>
              <w:rPr>
                <w:sz w:val="16"/>
                <w:szCs w:val="16"/>
              </w:rPr>
            </w:pPr>
            <w:r>
              <w:rPr>
                <w:sz w:val="16"/>
                <w:szCs w:val="16"/>
              </w:rPr>
              <w:t>(19.2</w:t>
            </w:r>
          </w:p>
        </w:tc>
        <w:tc>
          <w:tcPr>
            <w:tcW w:w="227" w:type="dxa"/>
            <w:vAlign w:val="bottom"/>
          </w:tcPr>
          <w:p w14:paraId="0D8F8839" w14:textId="77777777" w:rsidR="002A4B5D" w:rsidRPr="00DB3F11" w:rsidRDefault="002A4B5D" w:rsidP="00922116">
            <w:pPr>
              <w:spacing w:before="40" w:after="40"/>
              <w:rPr>
                <w:sz w:val="16"/>
                <w:szCs w:val="16"/>
              </w:rPr>
            </w:pPr>
            <w:r>
              <w:rPr>
                <w:sz w:val="16"/>
                <w:szCs w:val="16"/>
              </w:rPr>
              <w:t>)</w:t>
            </w:r>
          </w:p>
        </w:tc>
        <w:tc>
          <w:tcPr>
            <w:tcW w:w="939" w:type="dxa"/>
            <w:tcBorders>
              <w:bottom w:val="single" w:sz="4" w:space="0" w:color="auto"/>
            </w:tcBorders>
            <w:vAlign w:val="bottom"/>
          </w:tcPr>
          <w:p w14:paraId="5669A2F6" w14:textId="77777777" w:rsidR="002A4B5D" w:rsidRPr="00DB3F11" w:rsidRDefault="002A4B5D" w:rsidP="00922116">
            <w:pPr>
              <w:spacing w:before="40" w:after="40"/>
              <w:jc w:val="right"/>
              <w:rPr>
                <w:sz w:val="16"/>
                <w:szCs w:val="16"/>
              </w:rPr>
            </w:pPr>
            <w:r>
              <w:rPr>
                <w:sz w:val="16"/>
                <w:szCs w:val="16"/>
              </w:rPr>
              <w:t>(8.4</w:t>
            </w:r>
          </w:p>
        </w:tc>
        <w:tc>
          <w:tcPr>
            <w:tcW w:w="266" w:type="dxa"/>
            <w:vAlign w:val="bottom"/>
          </w:tcPr>
          <w:p w14:paraId="2D9D904F" w14:textId="77777777" w:rsidR="002A4B5D" w:rsidRPr="007766C5" w:rsidRDefault="002A4B5D" w:rsidP="00922116">
            <w:pPr>
              <w:spacing w:before="40" w:after="40"/>
              <w:rPr>
                <w:sz w:val="17"/>
                <w:szCs w:val="17"/>
              </w:rPr>
            </w:pPr>
          </w:p>
        </w:tc>
      </w:tr>
      <w:tr w:rsidR="002A4B5D" w:rsidRPr="00E834EF" w14:paraId="6C1986D9" w14:textId="77777777" w:rsidTr="00272B36">
        <w:tc>
          <w:tcPr>
            <w:tcW w:w="3254" w:type="dxa"/>
          </w:tcPr>
          <w:p w14:paraId="2EFDB9CD" w14:textId="77777777" w:rsidR="002A4B5D" w:rsidRPr="00155339" w:rsidRDefault="002A4B5D" w:rsidP="002A4B5D">
            <w:pPr>
              <w:tabs>
                <w:tab w:val="right" w:leader="dot" w:pos="3255"/>
              </w:tabs>
              <w:bidi/>
              <w:spacing w:before="40" w:after="40"/>
              <w:rPr>
                <w:sz w:val="17"/>
                <w:szCs w:val="17"/>
              </w:rPr>
            </w:pPr>
            <w:r w:rsidRPr="002A4B5D">
              <w:rPr>
                <w:rFonts w:hint="cs"/>
                <w:b/>
                <w:bCs/>
                <w:sz w:val="17"/>
                <w:szCs w:val="17"/>
                <w:u w:val="single"/>
                <w:rtl/>
              </w:rPr>
              <w:t>إيرادات مكافئ تأجير السفن المجهزة بالمدة للنفط الخام</w:t>
            </w:r>
            <w:r w:rsidRPr="007D2480">
              <w:rPr>
                <w:sz w:val="17"/>
              </w:rPr>
              <w:tab/>
            </w:r>
          </w:p>
        </w:tc>
        <w:tc>
          <w:tcPr>
            <w:tcW w:w="242" w:type="dxa"/>
            <w:vAlign w:val="bottom"/>
          </w:tcPr>
          <w:p w14:paraId="56CDB733" w14:textId="77777777" w:rsidR="002A4B5D" w:rsidRPr="00E834EF" w:rsidRDefault="002A4B5D" w:rsidP="00922116">
            <w:pPr>
              <w:spacing w:before="40" w:after="40"/>
              <w:rPr>
                <w:sz w:val="17"/>
                <w:szCs w:val="17"/>
              </w:rPr>
            </w:pPr>
          </w:p>
        </w:tc>
        <w:tc>
          <w:tcPr>
            <w:tcW w:w="913" w:type="dxa"/>
            <w:tcBorders>
              <w:top w:val="single" w:sz="4" w:space="0" w:color="auto"/>
            </w:tcBorders>
          </w:tcPr>
          <w:p w14:paraId="2CFA158A" w14:textId="77777777" w:rsidR="002A4B5D" w:rsidRPr="00DB3F11" w:rsidRDefault="002A4B5D" w:rsidP="00922116">
            <w:pPr>
              <w:spacing w:before="40" w:after="40"/>
              <w:jc w:val="right"/>
              <w:rPr>
                <w:b/>
                <w:bCs/>
                <w:color w:val="000000"/>
                <w:sz w:val="16"/>
                <w:szCs w:val="16"/>
              </w:rPr>
            </w:pPr>
            <w:r w:rsidRPr="00DB3F11">
              <w:rPr>
                <w:sz w:val="16"/>
                <w:szCs w:val="16"/>
              </w:rPr>
              <w:t>39.3</w:t>
            </w:r>
          </w:p>
        </w:tc>
        <w:tc>
          <w:tcPr>
            <w:tcW w:w="252" w:type="dxa"/>
            <w:gridSpan w:val="2"/>
            <w:vAlign w:val="bottom"/>
          </w:tcPr>
          <w:p w14:paraId="11192C32" w14:textId="77777777" w:rsidR="002A4B5D" w:rsidRPr="00DB3F11" w:rsidRDefault="002A4B5D" w:rsidP="00922116">
            <w:pPr>
              <w:spacing w:before="40" w:after="40"/>
              <w:rPr>
                <w:b/>
                <w:bCs/>
                <w:color w:val="000000"/>
                <w:sz w:val="16"/>
                <w:szCs w:val="16"/>
              </w:rPr>
            </w:pPr>
          </w:p>
        </w:tc>
        <w:tc>
          <w:tcPr>
            <w:tcW w:w="924" w:type="dxa"/>
            <w:tcBorders>
              <w:top w:val="single" w:sz="4" w:space="0" w:color="auto"/>
            </w:tcBorders>
          </w:tcPr>
          <w:p w14:paraId="0DC14492" w14:textId="77777777" w:rsidR="002A4B5D" w:rsidRPr="00DB3F11" w:rsidRDefault="002A4B5D" w:rsidP="00922116">
            <w:pPr>
              <w:spacing w:before="40" w:after="40"/>
              <w:jc w:val="right"/>
              <w:rPr>
                <w:b/>
                <w:bCs/>
                <w:color w:val="000000"/>
                <w:sz w:val="16"/>
                <w:szCs w:val="16"/>
              </w:rPr>
            </w:pPr>
            <w:r w:rsidRPr="00DB3F11">
              <w:rPr>
                <w:sz w:val="16"/>
                <w:szCs w:val="16"/>
              </w:rPr>
              <w:t>63.6</w:t>
            </w:r>
          </w:p>
        </w:tc>
        <w:tc>
          <w:tcPr>
            <w:tcW w:w="242" w:type="dxa"/>
            <w:vAlign w:val="bottom"/>
          </w:tcPr>
          <w:p w14:paraId="4A7056AD" w14:textId="77777777" w:rsidR="002A4B5D" w:rsidRPr="00DB3F11" w:rsidRDefault="002A4B5D" w:rsidP="00922116">
            <w:pPr>
              <w:spacing w:before="40" w:after="40"/>
              <w:rPr>
                <w:b/>
                <w:bCs/>
                <w:color w:val="000000"/>
                <w:sz w:val="16"/>
                <w:szCs w:val="16"/>
              </w:rPr>
            </w:pPr>
          </w:p>
        </w:tc>
        <w:tc>
          <w:tcPr>
            <w:tcW w:w="924" w:type="dxa"/>
            <w:tcBorders>
              <w:top w:val="single" w:sz="4" w:space="0" w:color="auto"/>
            </w:tcBorders>
          </w:tcPr>
          <w:p w14:paraId="52BA092E" w14:textId="77777777" w:rsidR="002A4B5D" w:rsidRPr="00DB3F11" w:rsidRDefault="002A4B5D" w:rsidP="00922116">
            <w:pPr>
              <w:spacing w:before="40" w:after="40"/>
              <w:jc w:val="right"/>
              <w:rPr>
                <w:b/>
                <w:bCs/>
                <w:color w:val="000000"/>
                <w:sz w:val="16"/>
                <w:szCs w:val="16"/>
              </w:rPr>
            </w:pPr>
            <w:r w:rsidRPr="00DB3F11">
              <w:rPr>
                <w:sz w:val="16"/>
                <w:szCs w:val="16"/>
              </w:rPr>
              <w:t>93.8</w:t>
            </w:r>
          </w:p>
        </w:tc>
        <w:tc>
          <w:tcPr>
            <w:tcW w:w="242" w:type="dxa"/>
            <w:vAlign w:val="bottom"/>
          </w:tcPr>
          <w:p w14:paraId="45FF1DDA" w14:textId="77777777" w:rsidR="002A4B5D" w:rsidRPr="00DB3F11" w:rsidRDefault="002A4B5D" w:rsidP="00922116">
            <w:pPr>
              <w:spacing w:before="40" w:after="40"/>
              <w:rPr>
                <w:b/>
                <w:bCs/>
                <w:sz w:val="16"/>
                <w:szCs w:val="16"/>
              </w:rPr>
            </w:pPr>
          </w:p>
        </w:tc>
        <w:tc>
          <w:tcPr>
            <w:tcW w:w="924" w:type="dxa"/>
            <w:tcBorders>
              <w:top w:val="single" w:sz="4" w:space="0" w:color="auto"/>
            </w:tcBorders>
          </w:tcPr>
          <w:p w14:paraId="6728FC80" w14:textId="77777777" w:rsidR="002A4B5D" w:rsidRPr="00DB3F11" w:rsidRDefault="002A4B5D" w:rsidP="00922116">
            <w:pPr>
              <w:spacing w:before="40" w:after="40"/>
              <w:jc w:val="right"/>
              <w:rPr>
                <w:b/>
                <w:bCs/>
                <w:sz w:val="16"/>
                <w:szCs w:val="16"/>
              </w:rPr>
            </w:pPr>
            <w:r w:rsidRPr="00DB3F11">
              <w:rPr>
                <w:sz w:val="16"/>
                <w:szCs w:val="16"/>
              </w:rPr>
              <w:t>71.9</w:t>
            </w:r>
          </w:p>
        </w:tc>
        <w:tc>
          <w:tcPr>
            <w:tcW w:w="227" w:type="dxa"/>
            <w:vAlign w:val="bottom"/>
          </w:tcPr>
          <w:p w14:paraId="2A6B9F35" w14:textId="77777777" w:rsidR="002A4B5D" w:rsidRPr="00DB3F11" w:rsidRDefault="002A4B5D" w:rsidP="00922116">
            <w:pPr>
              <w:spacing w:before="40" w:after="40"/>
              <w:rPr>
                <w:b/>
                <w:bCs/>
                <w:sz w:val="16"/>
                <w:szCs w:val="16"/>
              </w:rPr>
            </w:pPr>
          </w:p>
        </w:tc>
        <w:tc>
          <w:tcPr>
            <w:tcW w:w="939" w:type="dxa"/>
            <w:tcBorders>
              <w:top w:val="single" w:sz="4" w:space="0" w:color="auto"/>
            </w:tcBorders>
          </w:tcPr>
          <w:p w14:paraId="7DC76C86" w14:textId="77777777" w:rsidR="002A4B5D" w:rsidRPr="00DB3F11" w:rsidRDefault="002A4B5D" w:rsidP="00922116">
            <w:pPr>
              <w:spacing w:before="40" w:after="40"/>
              <w:jc w:val="right"/>
              <w:rPr>
                <w:b/>
                <w:bCs/>
                <w:sz w:val="16"/>
                <w:szCs w:val="16"/>
              </w:rPr>
            </w:pPr>
            <w:r w:rsidRPr="00DB3F11">
              <w:rPr>
                <w:sz w:val="16"/>
                <w:szCs w:val="16"/>
              </w:rPr>
              <w:t>65.9</w:t>
            </w:r>
          </w:p>
        </w:tc>
        <w:tc>
          <w:tcPr>
            <w:tcW w:w="266" w:type="dxa"/>
            <w:vAlign w:val="bottom"/>
          </w:tcPr>
          <w:p w14:paraId="669B3A54" w14:textId="77777777" w:rsidR="002A4B5D" w:rsidRPr="000D2863" w:rsidRDefault="002A4B5D" w:rsidP="00922116">
            <w:pPr>
              <w:spacing w:before="40" w:after="40"/>
              <w:rPr>
                <w:b/>
                <w:bCs/>
                <w:sz w:val="17"/>
                <w:szCs w:val="17"/>
              </w:rPr>
            </w:pPr>
          </w:p>
        </w:tc>
      </w:tr>
      <w:tr w:rsidR="002A4B5D" w:rsidRPr="00E834EF" w14:paraId="3D1A2229" w14:textId="77777777" w:rsidTr="00272B36">
        <w:tc>
          <w:tcPr>
            <w:tcW w:w="3254" w:type="dxa"/>
          </w:tcPr>
          <w:p w14:paraId="2A5726F9" w14:textId="77777777" w:rsidR="002A4B5D" w:rsidRDefault="002A4B5D" w:rsidP="002A4B5D">
            <w:pPr>
              <w:tabs>
                <w:tab w:val="right" w:leader="dot" w:pos="3255"/>
              </w:tabs>
              <w:bidi/>
              <w:spacing w:before="40" w:after="40"/>
              <w:rPr>
                <w:b/>
                <w:bCs/>
                <w:sz w:val="17"/>
                <w:szCs w:val="17"/>
                <w:u w:val="single"/>
              </w:rPr>
            </w:pPr>
          </w:p>
        </w:tc>
        <w:tc>
          <w:tcPr>
            <w:tcW w:w="242" w:type="dxa"/>
            <w:vAlign w:val="bottom"/>
          </w:tcPr>
          <w:p w14:paraId="6C7EE6E9" w14:textId="77777777" w:rsidR="002A4B5D" w:rsidRPr="00E834EF" w:rsidRDefault="002A4B5D" w:rsidP="00922116">
            <w:pPr>
              <w:spacing w:before="40" w:after="40"/>
              <w:rPr>
                <w:sz w:val="17"/>
                <w:szCs w:val="17"/>
              </w:rPr>
            </w:pPr>
          </w:p>
        </w:tc>
        <w:tc>
          <w:tcPr>
            <w:tcW w:w="913" w:type="dxa"/>
            <w:vAlign w:val="bottom"/>
          </w:tcPr>
          <w:p w14:paraId="5B6D6B49" w14:textId="77777777" w:rsidR="002A4B5D" w:rsidRPr="00DB3F11" w:rsidRDefault="002A4B5D" w:rsidP="00922116">
            <w:pPr>
              <w:spacing w:before="40" w:after="40"/>
              <w:jc w:val="right"/>
              <w:rPr>
                <w:b/>
                <w:bCs/>
                <w:sz w:val="16"/>
                <w:szCs w:val="16"/>
              </w:rPr>
            </w:pPr>
          </w:p>
        </w:tc>
        <w:tc>
          <w:tcPr>
            <w:tcW w:w="252" w:type="dxa"/>
            <w:gridSpan w:val="2"/>
            <w:vAlign w:val="bottom"/>
          </w:tcPr>
          <w:p w14:paraId="0FB9A611" w14:textId="77777777" w:rsidR="002A4B5D" w:rsidRPr="00DB3F11" w:rsidRDefault="002A4B5D" w:rsidP="00922116">
            <w:pPr>
              <w:spacing w:before="40" w:after="40"/>
              <w:rPr>
                <w:b/>
                <w:bCs/>
                <w:color w:val="000000"/>
                <w:sz w:val="16"/>
                <w:szCs w:val="16"/>
              </w:rPr>
            </w:pPr>
          </w:p>
        </w:tc>
        <w:tc>
          <w:tcPr>
            <w:tcW w:w="924" w:type="dxa"/>
            <w:vAlign w:val="bottom"/>
          </w:tcPr>
          <w:p w14:paraId="602485C8" w14:textId="77777777" w:rsidR="002A4B5D" w:rsidRPr="00DB3F11" w:rsidRDefault="002A4B5D" w:rsidP="00922116">
            <w:pPr>
              <w:spacing w:before="40" w:after="40"/>
              <w:jc w:val="right"/>
              <w:rPr>
                <w:b/>
                <w:bCs/>
                <w:sz w:val="16"/>
                <w:szCs w:val="16"/>
              </w:rPr>
            </w:pPr>
          </w:p>
        </w:tc>
        <w:tc>
          <w:tcPr>
            <w:tcW w:w="242" w:type="dxa"/>
            <w:vAlign w:val="bottom"/>
          </w:tcPr>
          <w:p w14:paraId="742D3EEB" w14:textId="77777777" w:rsidR="002A4B5D" w:rsidRPr="00DB3F11" w:rsidRDefault="002A4B5D" w:rsidP="00922116">
            <w:pPr>
              <w:spacing w:before="40" w:after="40"/>
              <w:rPr>
                <w:b/>
                <w:bCs/>
                <w:color w:val="000000"/>
                <w:sz w:val="16"/>
                <w:szCs w:val="16"/>
              </w:rPr>
            </w:pPr>
          </w:p>
        </w:tc>
        <w:tc>
          <w:tcPr>
            <w:tcW w:w="924" w:type="dxa"/>
            <w:vAlign w:val="bottom"/>
          </w:tcPr>
          <w:p w14:paraId="06D3A17B" w14:textId="77777777" w:rsidR="002A4B5D" w:rsidRPr="00DB3F11" w:rsidRDefault="002A4B5D" w:rsidP="00922116">
            <w:pPr>
              <w:spacing w:before="40" w:after="40"/>
              <w:jc w:val="right"/>
              <w:rPr>
                <w:b/>
                <w:bCs/>
                <w:sz w:val="16"/>
                <w:szCs w:val="16"/>
              </w:rPr>
            </w:pPr>
          </w:p>
        </w:tc>
        <w:tc>
          <w:tcPr>
            <w:tcW w:w="242" w:type="dxa"/>
            <w:vAlign w:val="bottom"/>
          </w:tcPr>
          <w:p w14:paraId="7FE69291" w14:textId="77777777" w:rsidR="002A4B5D" w:rsidRPr="00DB3F11" w:rsidRDefault="002A4B5D" w:rsidP="00922116">
            <w:pPr>
              <w:spacing w:before="40" w:after="40"/>
              <w:rPr>
                <w:b/>
                <w:bCs/>
                <w:sz w:val="16"/>
                <w:szCs w:val="16"/>
              </w:rPr>
            </w:pPr>
          </w:p>
        </w:tc>
        <w:tc>
          <w:tcPr>
            <w:tcW w:w="924" w:type="dxa"/>
            <w:vAlign w:val="bottom"/>
          </w:tcPr>
          <w:p w14:paraId="4B91CF4B" w14:textId="77777777" w:rsidR="002A4B5D" w:rsidRPr="00DB3F11" w:rsidRDefault="002A4B5D" w:rsidP="00922116">
            <w:pPr>
              <w:spacing w:before="40" w:after="40"/>
              <w:jc w:val="right"/>
              <w:rPr>
                <w:b/>
                <w:bCs/>
                <w:sz w:val="16"/>
                <w:szCs w:val="16"/>
              </w:rPr>
            </w:pPr>
          </w:p>
        </w:tc>
        <w:tc>
          <w:tcPr>
            <w:tcW w:w="227" w:type="dxa"/>
            <w:vAlign w:val="bottom"/>
          </w:tcPr>
          <w:p w14:paraId="33CA4B96" w14:textId="77777777" w:rsidR="002A4B5D" w:rsidRPr="00DB3F11" w:rsidRDefault="002A4B5D" w:rsidP="00922116">
            <w:pPr>
              <w:spacing w:before="40" w:after="40"/>
              <w:rPr>
                <w:b/>
                <w:bCs/>
                <w:sz w:val="16"/>
                <w:szCs w:val="16"/>
              </w:rPr>
            </w:pPr>
          </w:p>
        </w:tc>
        <w:tc>
          <w:tcPr>
            <w:tcW w:w="939" w:type="dxa"/>
            <w:vAlign w:val="bottom"/>
          </w:tcPr>
          <w:p w14:paraId="72C27D13" w14:textId="77777777" w:rsidR="002A4B5D" w:rsidRPr="00DB3F11" w:rsidRDefault="002A4B5D" w:rsidP="00922116">
            <w:pPr>
              <w:spacing w:before="40" w:after="40"/>
              <w:jc w:val="right"/>
              <w:rPr>
                <w:b/>
                <w:bCs/>
                <w:sz w:val="16"/>
                <w:szCs w:val="16"/>
              </w:rPr>
            </w:pPr>
          </w:p>
        </w:tc>
        <w:tc>
          <w:tcPr>
            <w:tcW w:w="266" w:type="dxa"/>
            <w:vAlign w:val="bottom"/>
          </w:tcPr>
          <w:p w14:paraId="2A453BF6" w14:textId="77777777" w:rsidR="002A4B5D" w:rsidRPr="000D2863" w:rsidRDefault="002A4B5D" w:rsidP="00922116">
            <w:pPr>
              <w:spacing w:before="40" w:after="40"/>
              <w:rPr>
                <w:b/>
                <w:bCs/>
                <w:sz w:val="17"/>
                <w:szCs w:val="17"/>
              </w:rPr>
            </w:pPr>
          </w:p>
        </w:tc>
      </w:tr>
      <w:tr w:rsidR="002A4B5D" w:rsidRPr="00E834EF" w14:paraId="43071140" w14:textId="77777777" w:rsidTr="00272B36">
        <w:tc>
          <w:tcPr>
            <w:tcW w:w="3254" w:type="dxa"/>
            <w:vAlign w:val="bottom"/>
          </w:tcPr>
          <w:p w14:paraId="2E9D57E9" w14:textId="77777777" w:rsidR="002A4B5D" w:rsidRPr="0054596C" w:rsidRDefault="002A4B5D" w:rsidP="002A4B5D">
            <w:pPr>
              <w:tabs>
                <w:tab w:val="right" w:leader="dot" w:pos="3255"/>
              </w:tabs>
              <w:bidi/>
              <w:spacing w:before="40" w:after="40"/>
              <w:ind w:left="12"/>
              <w:rPr>
                <w:b/>
                <w:bCs/>
                <w:color w:val="000000"/>
                <w:sz w:val="17"/>
                <w:szCs w:val="17"/>
              </w:rPr>
            </w:pPr>
            <w:r>
              <w:rPr>
                <w:rFonts w:hint="cs"/>
                <w:b/>
                <w:bCs/>
                <w:color w:val="000000"/>
                <w:sz w:val="17"/>
                <w:szCs w:val="17"/>
                <w:rtl/>
              </w:rPr>
              <w:t xml:space="preserve">إجمالي أرباح </w:t>
            </w:r>
            <w:r w:rsidR="00607B02">
              <w:rPr>
                <w:rFonts w:hint="cs"/>
                <w:b/>
                <w:bCs/>
                <w:color w:val="000000"/>
                <w:sz w:val="17"/>
                <w:szCs w:val="17"/>
                <w:rtl/>
              </w:rPr>
              <w:t>نقل</w:t>
            </w:r>
            <w:r>
              <w:rPr>
                <w:rFonts w:hint="cs"/>
                <w:b/>
                <w:bCs/>
                <w:color w:val="000000"/>
                <w:sz w:val="17"/>
                <w:szCs w:val="17"/>
                <w:rtl/>
              </w:rPr>
              <w:t xml:space="preserve"> النفط الخام</w:t>
            </w:r>
            <w:r w:rsidRPr="0054596C">
              <w:rPr>
                <w:sz w:val="17"/>
              </w:rPr>
              <w:tab/>
            </w:r>
          </w:p>
        </w:tc>
        <w:tc>
          <w:tcPr>
            <w:tcW w:w="242" w:type="dxa"/>
            <w:vAlign w:val="bottom"/>
          </w:tcPr>
          <w:p w14:paraId="65425764" w14:textId="77777777" w:rsidR="002A4B5D" w:rsidRPr="00E834EF" w:rsidRDefault="002A4B5D" w:rsidP="00922116">
            <w:pPr>
              <w:spacing w:before="40" w:after="40"/>
              <w:rPr>
                <w:sz w:val="17"/>
                <w:szCs w:val="17"/>
              </w:rPr>
            </w:pPr>
          </w:p>
        </w:tc>
        <w:tc>
          <w:tcPr>
            <w:tcW w:w="913" w:type="dxa"/>
            <w:vAlign w:val="bottom"/>
          </w:tcPr>
          <w:p w14:paraId="3D1F77B0" w14:textId="77777777" w:rsidR="002A4B5D" w:rsidRPr="00DB3F11" w:rsidRDefault="002A4B5D" w:rsidP="00922116">
            <w:pPr>
              <w:spacing w:before="40" w:after="40"/>
              <w:jc w:val="right"/>
              <w:rPr>
                <w:color w:val="000000"/>
                <w:sz w:val="16"/>
                <w:szCs w:val="16"/>
              </w:rPr>
            </w:pPr>
            <w:r w:rsidRPr="00DB3F11">
              <w:rPr>
                <w:sz w:val="16"/>
                <w:szCs w:val="16"/>
              </w:rPr>
              <w:t>(14.7</w:t>
            </w:r>
            <w:r w:rsidR="003C0CB1">
              <w:rPr>
                <w:sz w:val="16"/>
                <w:szCs w:val="16"/>
              </w:rPr>
              <w:t>)</w:t>
            </w:r>
          </w:p>
        </w:tc>
        <w:tc>
          <w:tcPr>
            <w:tcW w:w="252" w:type="dxa"/>
            <w:gridSpan w:val="2"/>
            <w:vAlign w:val="bottom"/>
          </w:tcPr>
          <w:p w14:paraId="7B3F650A" w14:textId="77777777" w:rsidR="002A4B5D" w:rsidRPr="00DB3F11" w:rsidRDefault="002A4B5D" w:rsidP="00922116">
            <w:pPr>
              <w:spacing w:before="40" w:after="40"/>
              <w:rPr>
                <w:color w:val="000000"/>
                <w:sz w:val="16"/>
                <w:szCs w:val="16"/>
              </w:rPr>
            </w:pPr>
          </w:p>
        </w:tc>
        <w:tc>
          <w:tcPr>
            <w:tcW w:w="924" w:type="dxa"/>
            <w:vAlign w:val="bottom"/>
          </w:tcPr>
          <w:p w14:paraId="4A14231F" w14:textId="77777777" w:rsidR="002A4B5D" w:rsidRPr="00DB3F11" w:rsidRDefault="002A4B5D" w:rsidP="00922116">
            <w:pPr>
              <w:spacing w:before="40" w:after="40"/>
              <w:jc w:val="right"/>
              <w:rPr>
                <w:color w:val="000000"/>
                <w:sz w:val="16"/>
                <w:szCs w:val="16"/>
              </w:rPr>
            </w:pPr>
            <w:r>
              <w:rPr>
                <w:sz w:val="16"/>
                <w:szCs w:val="16"/>
              </w:rPr>
              <w:t>3.7</w:t>
            </w:r>
          </w:p>
        </w:tc>
        <w:tc>
          <w:tcPr>
            <w:tcW w:w="242" w:type="dxa"/>
            <w:vAlign w:val="bottom"/>
          </w:tcPr>
          <w:p w14:paraId="01944B16" w14:textId="77777777" w:rsidR="002A4B5D" w:rsidRPr="00DB3F11" w:rsidRDefault="002A4B5D" w:rsidP="00922116">
            <w:pPr>
              <w:spacing w:before="40" w:after="40"/>
              <w:rPr>
                <w:color w:val="000000"/>
                <w:sz w:val="16"/>
                <w:szCs w:val="16"/>
              </w:rPr>
            </w:pPr>
          </w:p>
        </w:tc>
        <w:tc>
          <w:tcPr>
            <w:tcW w:w="924" w:type="dxa"/>
            <w:vAlign w:val="bottom"/>
          </w:tcPr>
          <w:p w14:paraId="311130E8" w14:textId="77777777" w:rsidR="002A4B5D" w:rsidRPr="00DB3F11" w:rsidRDefault="002A4B5D" w:rsidP="00922116">
            <w:pPr>
              <w:spacing w:before="40" w:after="40"/>
              <w:jc w:val="right"/>
              <w:rPr>
                <w:color w:val="000000"/>
                <w:sz w:val="16"/>
                <w:szCs w:val="16"/>
              </w:rPr>
            </w:pPr>
            <w:r>
              <w:rPr>
                <w:sz w:val="16"/>
                <w:szCs w:val="16"/>
              </w:rPr>
              <w:t>38.5</w:t>
            </w:r>
          </w:p>
        </w:tc>
        <w:tc>
          <w:tcPr>
            <w:tcW w:w="242" w:type="dxa"/>
            <w:vAlign w:val="bottom"/>
          </w:tcPr>
          <w:p w14:paraId="7B8E0AAC" w14:textId="77777777" w:rsidR="002A4B5D" w:rsidRPr="00DB3F11" w:rsidRDefault="002A4B5D" w:rsidP="00922116">
            <w:pPr>
              <w:spacing w:before="40" w:after="40"/>
              <w:rPr>
                <w:sz w:val="16"/>
                <w:szCs w:val="16"/>
              </w:rPr>
            </w:pPr>
          </w:p>
        </w:tc>
        <w:tc>
          <w:tcPr>
            <w:tcW w:w="924" w:type="dxa"/>
            <w:vAlign w:val="bottom"/>
          </w:tcPr>
          <w:p w14:paraId="133C5E63" w14:textId="77777777" w:rsidR="002A4B5D" w:rsidRPr="00DB3F11" w:rsidRDefault="002A4B5D" w:rsidP="00922116">
            <w:pPr>
              <w:spacing w:before="40" w:after="40"/>
              <w:jc w:val="right"/>
              <w:rPr>
                <w:sz w:val="16"/>
                <w:szCs w:val="16"/>
              </w:rPr>
            </w:pPr>
            <w:r>
              <w:rPr>
                <w:sz w:val="16"/>
                <w:szCs w:val="16"/>
              </w:rPr>
              <w:t>30.8</w:t>
            </w:r>
          </w:p>
        </w:tc>
        <w:tc>
          <w:tcPr>
            <w:tcW w:w="227" w:type="dxa"/>
            <w:vAlign w:val="bottom"/>
          </w:tcPr>
          <w:p w14:paraId="0DFDBB6F" w14:textId="77777777" w:rsidR="002A4B5D" w:rsidRPr="00DB3F11" w:rsidRDefault="002A4B5D" w:rsidP="00922116">
            <w:pPr>
              <w:spacing w:before="40" w:after="40"/>
              <w:rPr>
                <w:sz w:val="16"/>
                <w:szCs w:val="16"/>
              </w:rPr>
            </w:pPr>
          </w:p>
        </w:tc>
        <w:tc>
          <w:tcPr>
            <w:tcW w:w="939" w:type="dxa"/>
            <w:vAlign w:val="bottom"/>
          </w:tcPr>
          <w:p w14:paraId="5A0C3F07" w14:textId="77777777" w:rsidR="002A4B5D" w:rsidRPr="00DB3F11" w:rsidRDefault="002A4B5D" w:rsidP="00922116">
            <w:pPr>
              <w:spacing w:before="40" w:after="40"/>
              <w:jc w:val="right"/>
              <w:rPr>
                <w:sz w:val="16"/>
                <w:szCs w:val="16"/>
              </w:rPr>
            </w:pPr>
            <w:r>
              <w:rPr>
                <w:sz w:val="16"/>
                <w:szCs w:val="16"/>
              </w:rPr>
              <w:t>23.2</w:t>
            </w:r>
          </w:p>
        </w:tc>
        <w:tc>
          <w:tcPr>
            <w:tcW w:w="266" w:type="dxa"/>
            <w:vAlign w:val="bottom"/>
          </w:tcPr>
          <w:p w14:paraId="22DAE81B" w14:textId="77777777" w:rsidR="002A4B5D" w:rsidRPr="000D2863" w:rsidRDefault="002A4B5D" w:rsidP="00922116">
            <w:pPr>
              <w:spacing w:before="40" w:after="40"/>
              <w:rPr>
                <w:sz w:val="17"/>
                <w:szCs w:val="17"/>
              </w:rPr>
            </w:pPr>
          </w:p>
        </w:tc>
      </w:tr>
      <w:tr w:rsidR="002A4B5D" w:rsidRPr="00E834EF" w14:paraId="5DB21C76" w14:textId="77777777" w:rsidTr="00272B36">
        <w:tc>
          <w:tcPr>
            <w:tcW w:w="3254" w:type="dxa"/>
            <w:vAlign w:val="bottom"/>
          </w:tcPr>
          <w:p w14:paraId="012D9BFF" w14:textId="77777777" w:rsidR="002A4B5D" w:rsidRPr="00E754AA" w:rsidRDefault="00290E80" w:rsidP="002A4B5D">
            <w:pPr>
              <w:tabs>
                <w:tab w:val="right" w:leader="dot" w:pos="3255"/>
              </w:tabs>
              <w:bidi/>
              <w:spacing w:before="40" w:after="40"/>
              <w:ind w:left="357"/>
              <w:rPr>
                <w:color w:val="000000"/>
                <w:sz w:val="17"/>
                <w:szCs w:val="17"/>
              </w:rPr>
            </w:pPr>
            <w:r>
              <w:rPr>
                <w:rFonts w:hint="cs"/>
                <w:sz w:val="17"/>
                <w:szCs w:val="17"/>
                <w:rtl/>
              </w:rPr>
              <w:t>الأرباح/ (الخسارة) على بيع الممتلكات والسفن والمعدات</w:t>
            </w:r>
            <w:r w:rsidR="002A4B5D" w:rsidRPr="00E754AA">
              <w:rPr>
                <w:sz w:val="17"/>
                <w:szCs w:val="17"/>
              </w:rPr>
              <w:tab/>
            </w:r>
          </w:p>
        </w:tc>
        <w:tc>
          <w:tcPr>
            <w:tcW w:w="242" w:type="dxa"/>
            <w:vAlign w:val="bottom"/>
          </w:tcPr>
          <w:p w14:paraId="4DC62DA6" w14:textId="77777777" w:rsidR="002A4B5D" w:rsidRPr="00E754AA" w:rsidRDefault="002A4B5D" w:rsidP="00922116">
            <w:pPr>
              <w:spacing w:before="40" w:after="40"/>
              <w:rPr>
                <w:sz w:val="17"/>
                <w:szCs w:val="17"/>
              </w:rPr>
            </w:pPr>
          </w:p>
        </w:tc>
        <w:tc>
          <w:tcPr>
            <w:tcW w:w="913" w:type="dxa"/>
            <w:vAlign w:val="bottom"/>
          </w:tcPr>
          <w:p w14:paraId="46D212FF" w14:textId="77777777" w:rsidR="002A4B5D" w:rsidRPr="00DB3F11" w:rsidRDefault="002A4B5D" w:rsidP="00922116">
            <w:pPr>
              <w:spacing w:before="40" w:after="40"/>
              <w:jc w:val="right"/>
              <w:rPr>
                <w:color w:val="000000"/>
                <w:sz w:val="16"/>
                <w:szCs w:val="16"/>
              </w:rPr>
            </w:pPr>
            <w:r>
              <w:rPr>
                <w:sz w:val="17"/>
                <w:szCs w:val="17"/>
              </w:rPr>
              <w:t>—</w:t>
            </w:r>
          </w:p>
        </w:tc>
        <w:tc>
          <w:tcPr>
            <w:tcW w:w="252" w:type="dxa"/>
            <w:gridSpan w:val="2"/>
            <w:vAlign w:val="bottom"/>
          </w:tcPr>
          <w:p w14:paraId="042F8FD7" w14:textId="77777777" w:rsidR="002A4B5D" w:rsidRPr="00DB3F11" w:rsidRDefault="002A4B5D" w:rsidP="00922116">
            <w:pPr>
              <w:spacing w:before="40" w:after="40"/>
              <w:rPr>
                <w:color w:val="000000"/>
                <w:sz w:val="16"/>
                <w:szCs w:val="16"/>
              </w:rPr>
            </w:pPr>
          </w:p>
        </w:tc>
        <w:tc>
          <w:tcPr>
            <w:tcW w:w="924" w:type="dxa"/>
            <w:vAlign w:val="bottom"/>
          </w:tcPr>
          <w:p w14:paraId="2FADDE5C" w14:textId="77777777" w:rsidR="002A4B5D" w:rsidRPr="00DB3F11" w:rsidRDefault="002A4B5D" w:rsidP="00922116">
            <w:pPr>
              <w:spacing w:before="40" w:after="40"/>
              <w:jc w:val="right"/>
              <w:rPr>
                <w:color w:val="000000"/>
                <w:sz w:val="16"/>
                <w:szCs w:val="16"/>
              </w:rPr>
            </w:pPr>
            <w:r w:rsidRPr="00DB3F11">
              <w:rPr>
                <w:sz w:val="16"/>
                <w:szCs w:val="16"/>
              </w:rPr>
              <w:t>—</w:t>
            </w:r>
          </w:p>
        </w:tc>
        <w:tc>
          <w:tcPr>
            <w:tcW w:w="242" w:type="dxa"/>
            <w:vAlign w:val="bottom"/>
          </w:tcPr>
          <w:p w14:paraId="3C382C30" w14:textId="77777777" w:rsidR="002A4B5D" w:rsidRPr="00DB3F11" w:rsidRDefault="002A4B5D" w:rsidP="00922116">
            <w:pPr>
              <w:spacing w:before="40" w:after="40"/>
              <w:rPr>
                <w:color w:val="000000"/>
                <w:sz w:val="16"/>
                <w:szCs w:val="16"/>
              </w:rPr>
            </w:pPr>
          </w:p>
        </w:tc>
        <w:tc>
          <w:tcPr>
            <w:tcW w:w="924" w:type="dxa"/>
            <w:vAlign w:val="bottom"/>
          </w:tcPr>
          <w:p w14:paraId="52041330" w14:textId="77777777" w:rsidR="002A4B5D" w:rsidRPr="00DB3F11" w:rsidRDefault="002A4B5D" w:rsidP="00922116">
            <w:pPr>
              <w:spacing w:before="40" w:after="40"/>
              <w:jc w:val="right"/>
              <w:rPr>
                <w:color w:val="000000"/>
                <w:sz w:val="16"/>
                <w:szCs w:val="16"/>
              </w:rPr>
            </w:pPr>
            <w:r w:rsidRPr="00DB3F11">
              <w:rPr>
                <w:sz w:val="16"/>
                <w:szCs w:val="16"/>
              </w:rPr>
              <w:t>—</w:t>
            </w:r>
          </w:p>
        </w:tc>
        <w:tc>
          <w:tcPr>
            <w:tcW w:w="242" w:type="dxa"/>
            <w:vAlign w:val="bottom"/>
          </w:tcPr>
          <w:p w14:paraId="01610BE8" w14:textId="77777777" w:rsidR="002A4B5D" w:rsidRPr="00DB3F11" w:rsidRDefault="002A4B5D" w:rsidP="00922116">
            <w:pPr>
              <w:spacing w:before="40" w:after="40"/>
              <w:rPr>
                <w:sz w:val="16"/>
                <w:szCs w:val="16"/>
              </w:rPr>
            </w:pPr>
          </w:p>
        </w:tc>
        <w:tc>
          <w:tcPr>
            <w:tcW w:w="924" w:type="dxa"/>
            <w:vAlign w:val="bottom"/>
          </w:tcPr>
          <w:p w14:paraId="0312733D" w14:textId="77777777" w:rsidR="002A4B5D" w:rsidRPr="00DB3F11" w:rsidRDefault="002A4B5D" w:rsidP="00922116">
            <w:pPr>
              <w:spacing w:before="40" w:after="40"/>
              <w:jc w:val="right"/>
              <w:rPr>
                <w:sz w:val="16"/>
                <w:szCs w:val="16"/>
              </w:rPr>
            </w:pPr>
            <w:r w:rsidRPr="00DB3F11">
              <w:rPr>
                <w:sz w:val="16"/>
                <w:szCs w:val="16"/>
              </w:rPr>
              <w:t>—</w:t>
            </w:r>
          </w:p>
        </w:tc>
        <w:tc>
          <w:tcPr>
            <w:tcW w:w="227" w:type="dxa"/>
            <w:vAlign w:val="bottom"/>
          </w:tcPr>
          <w:p w14:paraId="75DBA83A" w14:textId="77777777" w:rsidR="002A4B5D" w:rsidRPr="00DB3F11" w:rsidRDefault="002A4B5D" w:rsidP="00922116">
            <w:pPr>
              <w:spacing w:before="40" w:after="40"/>
              <w:rPr>
                <w:sz w:val="16"/>
                <w:szCs w:val="16"/>
              </w:rPr>
            </w:pPr>
          </w:p>
        </w:tc>
        <w:tc>
          <w:tcPr>
            <w:tcW w:w="939" w:type="dxa"/>
            <w:vAlign w:val="bottom"/>
          </w:tcPr>
          <w:p w14:paraId="06D19FD6" w14:textId="77777777" w:rsidR="002A4B5D" w:rsidRPr="00DB3F11" w:rsidRDefault="002A4B5D" w:rsidP="00922116">
            <w:pPr>
              <w:spacing w:before="40" w:after="40"/>
              <w:jc w:val="right"/>
              <w:rPr>
                <w:sz w:val="16"/>
                <w:szCs w:val="16"/>
              </w:rPr>
            </w:pPr>
            <w:r w:rsidRPr="00DB3F11">
              <w:rPr>
                <w:sz w:val="16"/>
                <w:szCs w:val="16"/>
              </w:rPr>
              <w:t>—</w:t>
            </w:r>
          </w:p>
        </w:tc>
        <w:tc>
          <w:tcPr>
            <w:tcW w:w="266" w:type="dxa"/>
            <w:vAlign w:val="bottom"/>
          </w:tcPr>
          <w:p w14:paraId="32ED891E" w14:textId="77777777" w:rsidR="002A4B5D" w:rsidRPr="000D2863" w:rsidRDefault="002A4B5D" w:rsidP="00922116">
            <w:pPr>
              <w:spacing w:before="40" w:after="40"/>
              <w:rPr>
                <w:sz w:val="17"/>
                <w:szCs w:val="17"/>
              </w:rPr>
            </w:pPr>
          </w:p>
        </w:tc>
      </w:tr>
      <w:tr w:rsidR="002A4B5D" w:rsidRPr="00E834EF" w14:paraId="587B4496" w14:textId="77777777" w:rsidTr="00272B36">
        <w:tc>
          <w:tcPr>
            <w:tcW w:w="3254" w:type="dxa"/>
            <w:vAlign w:val="center"/>
          </w:tcPr>
          <w:p w14:paraId="14FACF89" w14:textId="36472F18" w:rsidR="002A4B5D" w:rsidRPr="00E754AA" w:rsidRDefault="008D70E0" w:rsidP="002A4B5D">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C550DC">
              <w:rPr>
                <w:color w:val="000000"/>
                <w:sz w:val="17"/>
                <w:szCs w:val="17"/>
                <w:vertAlign w:val="superscript"/>
              </w:rPr>
              <w:t>(1)</w:t>
            </w:r>
            <w:r w:rsidR="002A4B5D" w:rsidRPr="0054596C">
              <w:rPr>
                <w:sz w:val="17"/>
              </w:rPr>
              <w:tab/>
            </w:r>
          </w:p>
        </w:tc>
        <w:tc>
          <w:tcPr>
            <w:tcW w:w="242" w:type="dxa"/>
            <w:vAlign w:val="bottom"/>
          </w:tcPr>
          <w:p w14:paraId="74F86720" w14:textId="77777777" w:rsidR="002A4B5D" w:rsidRPr="00E834EF" w:rsidRDefault="002A4B5D" w:rsidP="00922116">
            <w:pPr>
              <w:spacing w:before="40" w:after="40"/>
              <w:rPr>
                <w:sz w:val="17"/>
                <w:szCs w:val="17"/>
              </w:rPr>
            </w:pPr>
          </w:p>
        </w:tc>
        <w:tc>
          <w:tcPr>
            <w:tcW w:w="913" w:type="dxa"/>
          </w:tcPr>
          <w:p w14:paraId="789924D7" w14:textId="77777777" w:rsidR="002A4B5D" w:rsidRPr="00DB3F11" w:rsidRDefault="002A4B5D" w:rsidP="00922116">
            <w:pPr>
              <w:spacing w:before="40" w:after="40"/>
              <w:jc w:val="right"/>
              <w:rPr>
                <w:color w:val="000000"/>
                <w:sz w:val="16"/>
                <w:szCs w:val="16"/>
              </w:rPr>
            </w:pPr>
            <w:r w:rsidRPr="002458B0">
              <w:rPr>
                <w:sz w:val="17"/>
                <w:szCs w:val="17"/>
              </w:rPr>
              <w:t>—</w:t>
            </w:r>
          </w:p>
        </w:tc>
        <w:tc>
          <w:tcPr>
            <w:tcW w:w="252" w:type="dxa"/>
            <w:gridSpan w:val="2"/>
            <w:vAlign w:val="bottom"/>
          </w:tcPr>
          <w:p w14:paraId="262753CD" w14:textId="77777777" w:rsidR="002A4B5D" w:rsidRPr="00DB3F11" w:rsidRDefault="002A4B5D" w:rsidP="00922116">
            <w:pPr>
              <w:spacing w:before="40" w:after="40"/>
              <w:rPr>
                <w:color w:val="000000"/>
                <w:sz w:val="16"/>
                <w:szCs w:val="16"/>
              </w:rPr>
            </w:pPr>
          </w:p>
        </w:tc>
        <w:tc>
          <w:tcPr>
            <w:tcW w:w="924" w:type="dxa"/>
            <w:vAlign w:val="bottom"/>
          </w:tcPr>
          <w:p w14:paraId="4DC6B783" w14:textId="77777777" w:rsidR="002A4B5D" w:rsidRPr="00DB3F11" w:rsidRDefault="002A4B5D" w:rsidP="00922116">
            <w:pPr>
              <w:spacing w:before="40" w:after="40"/>
              <w:jc w:val="right"/>
              <w:rPr>
                <w:color w:val="000000"/>
                <w:sz w:val="16"/>
                <w:szCs w:val="16"/>
              </w:rPr>
            </w:pPr>
            <w:r>
              <w:rPr>
                <w:sz w:val="16"/>
                <w:szCs w:val="16"/>
              </w:rPr>
              <w:t>0.4</w:t>
            </w:r>
          </w:p>
        </w:tc>
        <w:tc>
          <w:tcPr>
            <w:tcW w:w="242" w:type="dxa"/>
            <w:vAlign w:val="bottom"/>
          </w:tcPr>
          <w:p w14:paraId="5B7B06D6" w14:textId="77777777" w:rsidR="002A4B5D" w:rsidRPr="00DB3F11" w:rsidRDefault="002A4B5D" w:rsidP="00922116">
            <w:pPr>
              <w:spacing w:before="40" w:after="40"/>
              <w:rPr>
                <w:color w:val="000000"/>
                <w:sz w:val="16"/>
                <w:szCs w:val="16"/>
              </w:rPr>
            </w:pPr>
          </w:p>
        </w:tc>
        <w:tc>
          <w:tcPr>
            <w:tcW w:w="924" w:type="dxa"/>
            <w:vAlign w:val="bottom"/>
          </w:tcPr>
          <w:p w14:paraId="19C22F50" w14:textId="77777777" w:rsidR="002A4B5D" w:rsidRPr="00DB3F11" w:rsidRDefault="002A4B5D" w:rsidP="00922116">
            <w:pPr>
              <w:spacing w:before="40" w:after="40"/>
              <w:jc w:val="right"/>
              <w:rPr>
                <w:color w:val="000000"/>
                <w:sz w:val="16"/>
                <w:szCs w:val="16"/>
              </w:rPr>
            </w:pPr>
            <w:r>
              <w:rPr>
                <w:sz w:val="16"/>
                <w:szCs w:val="16"/>
              </w:rPr>
              <w:t>21.5</w:t>
            </w:r>
          </w:p>
        </w:tc>
        <w:tc>
          <w:tcPr>
            <w:tcW w:w="242" w:type="dxa"/>
            <w:vAlign w:val="bottom"/>
          </w:tcPr>
          <w:p w14:paraId="499DD54C" w14:textId="77777777" w:rsidR="002A4B5D" w:rsidRPr="00DB3F11" w:rsidRDefault="002A4B5D" w:rsidP="00922116">
            <w:pPr>
              <w:spacing w:before="40" w:after="40"/>
              <w:rPr>
                <w:sz w:val="16"/>
                <w:szCs w:val="16"/>
              </w:rPr>
            </w:pPr>
          </w:p>
        </w:tc>
        <w:tc>
          <w:tcPr>
            <w:tcW w:w="924" w:type="dxa"/>
            <w:vAlign w:val="bottom"/>
          </w:tcPr>
          <w:p w14:paraId="470C9828" w14:textId="77777777" w:rsidR="002A4B5D" w:rsidRPr="00DB3F11" w:rsidRDefault="002A4B5D" w:rsidP="00922116">
            <w:pPr>
              <w:spacing w:before="40" w:after="40"/>
              <w:jc w:val="right"/>
              <w:rPr>
                <w:sz w:val="16"/>
                <w:szCs w:val="16"/>
              </w:rPr>
            </w:pPr>
            <w:r>
              <w:rPr>
                <w:sz w:val="16"/>
                <w:szCs w:val="16"/>
              </w:rPr>
              <w:t>3.4</w:t>
            </w:r>
          </w:p>
        </w:tc>
        <w:tc>
          <w:tcPr>
            <w:tcW w:w="227" w:type="dxa"/>
            <w:vAlign w:val="bottom"/>
          </w:tcPr>
          <w:p w14:paraId="4935FE50" w14:textId="77777777" w:rsidR="002A4B5D" w:rsidRPr="00DB3F11" w:rsidRDefault="002A4B5D" w:rsidP="00922116">
            <w:pPr>
              <w:spacing w:before="40" w:after="40"/>
              <w:rPr>
                <w:sz w:val="16"/>
                <w:szCs w:val="16"/>
              </w:rPr>
            </w:pPr>
          </w:p>
        </w:tc>
        <w:tc>
          <w:tcPr>
            <w:tcW w:w="939" w:type="dxa"/>
            <w:vAlign w:val="bottom"/>
          </w:tcPr>
          <w:p w14:paraId="376A1D5A" w14:textId="77777777" w:rsidR="002A4B5D" w:rsidRPr="00DB3F11" w:rsidRDefault="002A4B5D" w:rsidP="00922116">
            <w:pPr>
              <w:spacing w:before="40" w:after="40"/>
              <w:jc w:val="right"/>
              <w:rPr>
                <w:sz w:val="16"/>
                <w:szCs w:val="16"/>
              </w:rPr>
            </w:pPr>
            <w:r w:rsidRPr="00DB3F11">
              <w:rPr>
                <w:sz w:val="16"/>
                <w:szCs w:val="16"/>
              </w:rPr>
              <w:t>—</w:t>
            </w:r>
          </w:p>
        </w:tc>
        <w:tc>
          <w:tcPr>
            <w:tcW w:w="266" w:type="dxa"/>
            <w:vAlign w:val="bottom"/>
          </w:tcPr>
          <w:p w14:paraId="7CF4DACF" w14:textId="77777777" w:rsidR="002A4B5D" w:rsidRPr="000D2863" w:rsidRDefault="002A4B5D" w:rsidP="00922116">
            <w:pPr>
              <w:spacing w:before="40" w:after="40"/>
              <w:rPr>
                <w:sz w:val="17"/>
                <w:szCs w:val="17"/>
              </w:rPr>
            </w:pPr>
          </w:p>
        </w:tc>
      </w:tr>
      <w:tr w:rsidR="002A4B5D" w:rsidRPr="00E834EF" w14:paraId="5372CA91" w14:textId="77777777" w:rsidTr="00272B36">
        <w:tc>
          <w:tcPr>
            <w:tcW w:w="3254" w:type="dxa"/>
            <w:vAlign w:val="center"/>
          </w:tcPr>
          <w:p w14:paraId="0C032568" w14:textId="77777777" w:rsidR="002A4B5D" w:rsidRPr="00E754AA" w:rsidRDefault="00290E80" w:rsidP="002A4B5D">
            <w:pPr>
              <w:tabs>
                <w:tab w:val="right" w:leader="dot" w:pos="3255"/>
              </w:tabs>
              <w:bidi/>
              <w:spacing w:before="40" w:after="40"/>
              <w:ind w:left="357"/>
              <w:rPr>
                <w:sz w:val="17"/>
                <w:szCs w:val="17"/>
              </w:rPr>
            </w:pPr>
            <w:r>
              <w:rPr>
                <w:rFonts w:hint="cs"/>
                <w:color w:val="000000"/>
                <w:sz w:val="17"/>
                <w:szCs w:val="17"/>
                <w:rtl/>
              </w:rPr>
              <w:t>دخل الأرباح</w:t>
            </w:r>
            <w:r w:rsidR="002A4B5D" w:rsidRPr="0054596C">
              <w:rPr>
                <w:sz w:val="17"/>
              </w:rPr>
              <w:tab/>
            </w:r>
          </w:p>
        </w:tc>
        <w:tc>
          <w:tcPr>
            <w:tcW w:w="242" w:type="dxa"/>
            <w:vAlign w:val="bottom"/>
          </w:tcPr>
          <w:p w14:paraId="6FBEC45F" w14:textId="77777777" w:rsidR="002A4B5D" w:rsidRPr="00E834EF" w:rsidRDefault="002A4B5D" w:rsidP="00922116">
            <w:pPr>
              <w:spacing w:before="40" w:after="40"/>
              <w:rPr>
                <w:sz w:val="17"/>
                <w:szCs w:val="17"/>
              </w:rPr>
            </w:pPr>
          </w:p>
        </w:tc>
        <w:tc>
          <w:tcPr>
            <w:tcW w:w="913" w:type="dxa"/>
          </w:tcPr>
          <w:p w14:paraId="04805632" w14:textId="77777777" w:rsidR="002A4B5D" w:rsidRPr="00DB3F11" w:rsidRDefault="002A4B5D" w:rsidP="00922116">
            <w:pPr>
              <w:spacing w:before="40" w:after="40"/>
              <w:jc w:val="right"/>
              <w:rPr>
                <w:color w:val="000000"/>
                <w:sz w:val="16"/>
                <w:szCs w:val="16"/>
              </w:rPr>
            </w:pPr>
            <w:r w:rsidRPr="002458B0">
              <w:rPr>
                <w:sz w:val="17"/>
                <w:szCs w:val="17"/>
              </w:rPr>
              <w:t>—</w:t>
            </w:r>
          </w:p>
        </w:tc>
        <w:tc>
          <w:tcPr>
            <w:tcW w:w="252" w:type="dxa"/>
            <w:gridSpan w:val="2"/>
            <w:vAlign w:val="bottom"/>
          </w:tcPr>
          <w:p w14:paraId="4A775C02" w14:textId="77777777" w:rsidR="002A4B5D" w:rsidRPr="00DB3F11" w:rsidRDefault="002A4B5D" w:rsidP="00922116">
            <w:pPr>
              <w:spacing w:before="40" w:after="40"/>
              <w:rPr>
                <w:color w:val="000000"/>
                <w:sz w:val="16"/>
                <w:szCs w:val="16"/>
              </w:rPr>
            </w:pPr>
          </w:p>
        </w:tc>
        <w:tc>
          <w:tcPr>
            <w:tcW w:w="924" w:type="dxa"/>
            <w:vAlign w:val="bottom"/>
          </w:tcPr>
          <w:p w14:paraId="60119A22" w14:textId="77777777" w:rsidR="002A4B5D" w:rsidRPr="00DB3F11" w:rsidRDefault="002A4B5D" w:rsidP="00922116">
            <w:pPr>
              <w:spacing w:before="40" w:after="40"/>
              <w:jc w:val="right"/>
              <w:rPr>
                <w:color w:val="000000"/>
                <w:sz w:val="16"/>
                <w:szCs w:val="16"/>
              </w:rPr>
            </w:pPr>
            <w:r w:rsidRPr="00DB3F11">
              <w:rPr>
                <w:sz w:val="16"/>
                <w:szCs w:val="16"/>
              </w:rPr>
              <w:t>—</w:t>
            </w:r>
          </w:p>
        </w:tc>
        <w:tc>
          <w:tcPr>
            <w:tcW w:w="242" w:type="dxa"/>
            <w:vAlign w:val="bottom"/>
          </w:tcPr>
          <w:p w14:paraId="1E52E94A" w14:textId="77777777" w:rsidR="002A4B5D" w:rsidRPr="00DB3F11" w:rsidRDefault="002A4B5D" w:rsidP="00922116">
            <w:pPr>
              <w:spacing w:before="40" w:after="40"/>
              <w:rPr>
                <w:color w:val="000000"/>
                <w:sz w:val="16"/>
                <w:szCs w:val="16"/>
              </w:rPr>
            </w:pPr>
          </w:p>
        </w:tc>
        <w:tc>
          <w:tcPr>
            <w:tcW w:w="924" w:type="dxa"/>
            <w:vAlign w:val="bottom"/>
          </w:tcPr>
          <w:p w14:paraId="6DCC74AD" w14:textId="77777777" w:rsidR="002A4B5D" w:rsidRPr="00DB3F11" w:rsidRDefault="002A4B5D" w:rsidP="00922116">
            <w:pPr>
              <w:spacing w:before="40" w:after="40"/>
              <w:jc w:val="right"/>
              <w:rPr>
                <w:color w:val="000000"/>
                <w:sz w:val="16"/>
                <w:szCs w:val="16"/>
              </w:rPr>
            </w:pPr>
            <w:r w:rsidRPr="00DB3F11">
              <w:rPr>
                <w:sz w:val="16"/>
                <w:szCs w:val="16"/>
              </w:rPr>
              <w:t>—</w:t>
            </w:r>
          </w:p>
        </w:tc>
        <w:tc>
          <w:tcPr>
            <w:tcW w:w="242" w:type="dxa"/>
            <w:vAlign w:val="bottom"/>
          </w:tcPr>
          <w:p w14:paraId="57A504E9" w14:textId="77777777" w:rsidR="002A4B5D" w:rsidRPr="00DB3F11" w:rsidRDefault="002A4B5D" w:rsidP="00922116">
            <w:pPr>
              <w:spacing w:before="40" w:after="40"/>
              <w:rPr>
                <w:sz w:val="16"/>
                <w:szCs w:val="16"/>
              </w:rPr>
            </w:pPr>
          </w:p>
        </w:tc>
        <w:tc>
          <w:tcPr>
            <w:tcW w:w="924" w:type="dxa"/>
            <w:vAlign w:val="bottom"/>
          </w:tcPr>
          <w:p w14:paraId="70BA466B" w14:textId="77777777" w:rsidR="002A4B5D" w:rsidRPr="00DB3F11" w:rsidRDefault="002A4B5D" w:rsidP="00922116">
            <w:pPr>
              <w:spacing w:before="40" w:after="40"/>
              <w:jc w:val="right"/>
              <w:rPr>
                <w:sz w:val="16"/>
                <w:szCs w:val="16"/>
              </w:rPr>
            </w:pPr>
            <w:r w:rsidRPr="00DB3F11">
              <w:rPr>
                <w:sz w:val="16"/>
                <w:szCs w:val="16"/>
              </w:rPr>
              <w:t>—</w:t>
            </w:r>
          </w:p>
        </w:tc>
        <w:tc>
          <w:tcPr>
            <w:tcW w:w="227" w:type="dxa"/>
            <w:vAlign w:val="bottom"/>
          </w:tcPr>
          <w:p w14:paraId="352C66AA" w14:textId="77777777" w:rsidR="002A4B5D" w:rsidRPr="00DB3F11" w:rsidRDefault="002A4B5D" w:rsidP="00922116">
            <w:pPr>
              <w:spacing w:before="40" w:after="40"/>
              <w:rPr>
                <w:sz w:val="16"/>
                <w:szCs w:val="16"/>
              </w:rPr>
            </w:pPr>
          </w:p>
        </w:tc>
        <w:tc>
          <w:tcPr>
            <w:tcW w:w="939" w:type="dxa"/>
            <w:vAlign w:val="bottom"/>
          </w:tcPr>
          <w:p w14:paraId="036B61E7" w14:textId="77777777" w:rsidR="002A4B5D" w:rsidRPr="00DB3F11" w:rsidRDefault="002A4B5D" w:rsidP="00922116">
            <w:pPr>
              <w:spacing w:before="40" w:after="40"/>
              <w:jc w:val="right"/>
              <w:rPr>
                <w:sz w:val="16"/>
                <w:szCs w:val="16"/>
              </w:rPr>
            </w:pPr>
            <w:r w:rsidRPr="00DB3F11">
              <w:rPr>
                <w:sz w:val="16"/>
                <w:szCs w:val="16"/>
              </w:rPr>
              <w:t>—</w:t>
            </w:r>
          </w:p>
        </w:tc>
        <w:tc>
          <w:tcPr>
            <w:tcW w:w="266" w:type="dxa"/>
            <w:vAlign w:val="bottom"/>
          </w:tcPr>
          <w:p w14:paraId="49977BBC" w14:textId="77777777" w:rsidR="002A4B5D" w:rsidRPr="000D2863" w:rsidRDefault="002A4B5D" w:rsidP="00922116">
            <w:pPr>
              <w:spacing w:before="40" w:after="40"/>
              <w:rPr>
                <w:sz w:val="17"/>
                <w:szCs w:val="17"/>
              </w:rPr>
            </w:pPr>
          </w:p>
        </w:tc>
      </w:tr>
      <w:tr w:rsidR="002A4B5D" w:rsidRPr="00E834EF" w14:paraId="6FD181C0" w14:textId="77777777" w:rsidTr="00272B36">
        <w:tc>
          <w:tcPr>
            <w:tcW w:w="3254" w:type="dxa"/>
            <w:vAlign w:val="bottom"/>
          </w:tcPr>
          <w:p w14:paraId="75D1EC66" w14:textId="77777777" w:rsidR="002A4B5D" w:rsidRPr="00E754AA" w:rsidRDefault="00375E4B" w:rsidP="002A4B5D">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002A4B5D" w:rsidRPr="00E754AA">
              <w:rPr>
                <w:sz w:val="17"/>
                <w:szCs w:val="17"/>
              </w:rPr>
              <w:tab/>
            </w:r>
          </w:p>
        </w:tc>
        <w:tc>
          <w:tcPr>
            <w:tcW w:w="242" w:type="dxa"/>
            <w:vAlign w:val="bottom"/>
          </w:tcPr>
          <w:p w14:paraId="1166E916" w14:textId="77777777" w:rsidR="002A4B5D" w:rsidRPr="00E754AA" w:rsidRDefault="002A4B5D" w:rsidP="00922116">
            <w:pPr>
              <w:spacing w:before="40" w:after="40"/>
              <w:rPr>
                <w:sz w:val="17"/>
                <w:szCs w:val="17"/>
              </w:rPr>
            </w:pPr>
          </w:p>
        </w:tc>
        <w:tc>
          <w:tcPr>
            <w:tcW w:w="913" w:type="dxa"/>
            <w:vAlign w:val="bottom"/>
          </w:tcPr>
          <w:p w14:paraId="3408B75A" w14:textId="77777777" w:rsidR="002A4B5D" w:rsidRPr="00DB3F11" w:rsidRDefault="002A4B5D" w:rsidP="00922116">
            <w:pPr>
              <w:spacing w:before="40" w:after="40"/>
              <w:jc w:val="right"/>
              <w:rPr>
                <w:color w:val="000000"/>
                <w:sz w:val="16"/>
                <w:szCs w:val="16"/>
              </w:rPr>
            </w:pPr>
            <w:r>
              <w:rPr>
                <w:sz w:val="16"/>
                <w:szCs w:val="16"/>
              </w:rPr>
              <w:t>(0.1</w:t>
            </w:r>
            <w:r w:rsidR="003C0CB1">
              <w:rPr>
                <w:sz w:val="16"/>
                <w:szCs w:val="16"/>
              </w:rPr>
              <w:t>)</w:t>
            </w:r>
          </w:p>
        </w:tc>
        <w:tc>
          <w:tcPr>
            <w:tcW w:w="252" w:type="dxa"/>
            <w:gridSpan w:val="2"/>
            <w:vAlign w:val="bottom"/>
          </w:tcPr>
          <w:p w14:paraId="4D6EC0AD" w14:textId="77777777" w:rsidR="002A4B5D" w:rsidRPr="00DB3F11" w:rsidRDefault="002A4B5D" w:rsidP="00922116">
            <w:pPr>
              <w:spacing w:before="40" w:after="40"/>
              <w:rPr>
                <w:color w:val="000000"/>
                <w:sz w:val="16"/>
                <w:szCs w:val="16"/>
              </w:rPr>
            </w:pPr>
            <w:r>
              <w:rPr>
                <w:color w:val="000000"/>
                <w:sz w:val="16"/>
                <w:szCs w:val="16"/>
              </w:rPr>
              <w:t>)</w:t>
            </w:r>
          </w:p>
        </w:tc>
        <w:tc>
          <w:tcPr>
            <w:tcW w:w="924" w:type="dxa"/>
            <w:vAlign w:val="bottom"/>
          </w:tcPr>
          <w:p w14:paraId="2CE2838B" w14:textId="77777777" w:rsidR="002A4B5D" w:rsidRPr="00DB3F11" w:rsidRDefault="002A4B5D" w:rsidP="00922116">
            <w:pPr>
              <w:spacing w:before="40" w:after="40"/>
              <w:jc w:val="right"/>
              <w:rPr>
                <w:color w:val="000000"/>
                <w:sz w:val="16"/>
                <w:szCs w:val="16"/>
              </w:rPr>
            </w:pPr>
            <w:r>
              <w:rPr>
                <w:sz w:val="16"/>
                <w:szCs w:val="16"/>
              </w:rPr>
              <w:t>(0.2</w:t>
            </w:r>
          </w:p>
        </w:tc>
        <w:tc>
          <w:tcPr>
            <w:tcW w:w="242" w:type="dxa"/>
            <w:vAlign w:val="bottom"/>
          </w:tcPr>
          <w:p w14:paraId="08DD250B" w14:textId="77777777" w:rsidR="002A4B5D" w:rsidRPr="00DB3F11" w:rsidRDefault="002A4B5D" w:rsidP="00922116">
            <w:pPr>
              <w:spacing w:before="40" w:after="40"/>
              <w:rPr>
                <w:color w:val="000000"/>
                <w:sz w:val="16"/>
                <w:szCs w:val="16"/>
              </w:rPr>
            </w:pPr>
            <w:r>
              <w:rPr>
                <w:color w:val="000000"/>
                <w:sz w:val="16"/>
                <w:szCs w:val="16"/>
              </w:rPr>
              <w:t>)</w:t>
            </w:r>
          </w:p>
        </w:tc>
        <w:tc>
          <w:tcPr>
            <w:tcW w:w="924" w:type="dxa"/>
            <w:vAlign w:val="bottom"/>
          </w:tcPr>
          <w:p w14:paraId="26E2DDA8" w14:textId="77777777" w:rsidR="002A4B5D" w:rsidRPr="00DB3F11" w:rsidRDefault="002A4B5D" w:rsidP="00922116">
            <w:pPr>
              <w:spacing w:before="40" w:after="40"/>
              <w:jc w:val="right"/>
              <w:rPr>
                <w:color w:val="000000"/>
                <w:sz w:val="16"/>
                <w:szCs w:val="16"/>
              </w:rPr>
            </w:pPr>
            <w:r>
              <w:rPr>
                <w:sz w:val="16"/>
                <w:szCs w:val="16"/>
              </w:rPr>
              <w:t>0.2</w:t>
            </w:r>
          </w:p>
        </w:tc>
        <w:tc>
          <w:tcPr>
            <w:tcW w:w="242" w:type="dxa"/>
            <w:vAlign w:val="bottom"/>
          </w:tcPr>
          <w:p w14:paraId="685E3485" w14:textId="77777777" w:rsidR="002A4B5D" w:rsidRPr="00DB3F11" w:rsidRDefault="002A4B5D" w:rsidP="00922116">
            <w:pPr>
              <w:spacing w:before="40" w:after="40"/>
              <w:rPr>
                <w:sz w:val="16"/>
                <w:szCs w:val="16"/>
              </w:rPr>
            </w:pPr>
          </w:p>
        </w:tc>
        <w:tc>
          <w:tcPr>
            <w:tcW w:w="924" w:type="dxa"/>
            <w:vAlign w:val="bottom"/>
          </w:tcPr>
          <w:p w14:paraId="0111BEE4" w14:textId="77777777" w:rsidR="002A4B5D" w:rsidRPr="00DB3F11" w:rsidRDefault="002A4B5D" w:rsidP="00922116">
            <w:pPr>
              <w:spacing w:before="40" w:after="40"/>
              <w:jc w:val="right"/>
              <w:rPr>
                <w:sz w:val="16"/>
                <w:szCs w:val="16"/>
              </w:rPr>
            </w:pPr>
            <w:r w:rsidRPr="00DB3F11">
              <w:rPr>
                <w:sz w:val="16"/>
                <w:szCs w:val="16"/>
              </w:rPr>
              <w:t>—</w:t>
            </w:r>
          </w:p>
        </w:tc>
        <w:tc>
          <w:tcPr>
            <w:tcW w:w="227" w:type="dxa"/>
            <w:vAlign w:val="bottom"/>
          </w:tcPr>
          <w:p w14:paraId="20D4EBE0" w14:textId="77777777" w:rsidR="002A4B5D" w:rsidRPr="00DB3F11" w:rsidRDefault="00FC3BA4" w:rsidP="00922116">
            <w:pPr>
              <w:spacing w:before="40" w:after="40"/>
              <w:rPr>
                <w:sz w:val="16"/>
                <w:szCs w:val="16"/>
              </w:rPr>
            </w:pPr>
            <w:r>
              <w:rPr>
                <w:sz w:val="16"/>
                <w:szCs w:val="16"/>
              </w:rPr>
              <w:t>)</w:t>
            </w:r>
          </w:p>
        </w:tc>
        <w:tc>
          <w:tcPr>
            <w:tcW w:w="939" w:type="dxa"/>
            <w:vAlign w:val="bottom"/>
          </w:tcPr>
          <w:p w14:paraId="2369A8F3" w14:textId="77777777" w:rsidR="002A4B5D" w:rsidRPr="00DB3F11" w:rsidRDefault="002A4B5D" w:rsidP="00922116">
            <w:pPr>
              <w:spacing w:before="40" w:after="40"/>
              <w:jc w:val="right"/>
              <w:rPr>
                <w:sz w:val="16"/>
                <w:szCs w:val="16"/>
              </w:rPr>
            </w:pPr>
            <w:r>
              <w:rPr>
                <w:sz w:val="16"/>
                <w:szCs w:val="16"/>
              </w:rPr>
              <w:t>(0.1</w:t>
            </w:r>
          </w:p>
        </w:tc>
        <w:tc>
          <w:tcPr>
            <w:tcW w:w="266" w:type="dxa"/>
            <w:vAlign w:val="bottom"/>
          </w:tcPr>
          <w:p w14:paraId="27833694" w14:textId="77777777" w:rsidR="002A4B5D" w:rsidRPr="000D2863" w:rsidRDefault="002A4B5D" w:rsidP="00922116">
            <w:pPr>
              <w:spacing w:before="40" w:after="40"/>
              <w:rPr>
                <w:sz w:val="17"/>
                <w:szCs w:val="17"/>
              </w:rPr>
            </w:pPr>
          </w:p>
        </w:tc>
      </w:tr>
      <w:tr w:rsidR="002A4B5D" w:rsidRPr="00E834EF" w14:paraId="380C6D56" w14:textId="77777777" w:rsidTr="00272B36">
        <w:tc>
          <w:tcPr>
            <w:tcW w:w="3254" w:type="dxa"/>
            <w:vAlign w:val="center"/>
          </w:tcPr>
          <w:p w14:paraId="536B8ADD" w14:textId="77777777" w:rsidR="002A4B5D" w:rsidRPr="00E754AA" w:rsidRDefault="00375E4B" w:rsidP="002A4B5D">
            <w:pPr>
              <w:tabs>
                <w:tab w:val="right" w:leader="dot" w:pos="3255"/>
              </w:tabs>
              <w:bidi/>
              <w:spacing w:before="40" w:after="40"/>
              <w:ind w:left="357"/>
              <w:rPr>
                <w:sz w:val="17"/>
                <w:szCs w:val="17"/>
              </w:rPr>
            </w:pPr>
            <w:r>
              <w:rPr>
                <w:rFonts w:hint="cs"/>
                <w:color w:val="000000"/>
                <w:sz w:val="17"/>
                <w:szCs w:val="17"/>
                <w:rtl/>
              </w:rPr>
              <w:t>المصروفات التجارية</w:t>
            </w:r>
            <w:r w:rsidR="002A4B5D" w:rsidRPr="0054596C">
              <w:rPr>
                <w:sz w:val="17"/>
              </w:rPr>
              <w:tab/>
            </w:r>
          </w:p>
        </w:tc>
        <w:tc>
          <w:tcPr>
            <w:tcW w:w="242" w:type="dxa"/>
            <w:vAlign w:val="bottom"/>
          </w:tcPr>
          <w:p w14:paraId="5FBB15ED" w14:textId="77777777" w:rsidR="002A4B5D" w:rsidRPr="00E834EF" w:rsidRDefault="002A4B5D" w:rsidP="00922116">
            <w:pPr>
              <w:spacing w:before="40" w:after="40"/>
              <w:rPr>
                <w:sz w:val="17"/>
                <w:szCs w:val="17"/>
              </w:rPr>
            </w:pPr>
          </w:p>
        </w:tc>
        <w:tc>
          <w:tcPr>
            <w:tcW w:w="913" w:type="dxa"/>
            <w:vAlign w:val="bottom"/>
          </w:tcPr>
          <w:p w14:paraId="2745168A" w14:textId="77777777" w:rsidR="002A4B5D" w:rsidRPr="00DB3F11" w:rsidRDefault="002A4B5D" w:rsidP="00922116">
            <w:pPr>
              <w:spacing w:before="40" w:after="40"/>
              <w:jc w:val="right"/>
              <w:rPr>
                <w:color w:val="000000"/>
                <w:sz w:val="16"/>
                <w:szCs w:val="16"/>
              </w:rPr>
            </w:pPr>
            <w:r>
              <w:rPr>
                <w:sz w:val="16"/>
                <w:szCs w:val="16"/>
              </w:rPr>
              <w:t>(1.7</w:t>
            </w:r>
            <w:r w:rsidR="003C0CB1">
              <w:rPr>
                <w:sz w:val="16"/>
                <w:szCs w:val="16"/>
              </w:rPr>
              <w:t>)</w:t>
            </w:r>
          </w:p>
        </w:tc>
        <w:tc>
          <w:tcPr>
            <w:tcW w:w="252" w:type="dxa"/>
            <w:gridSpan w:val="2"/>
            <w:vAlign w:val="bottom"/>
          </w:tcPr>
          <w:p w14:paraId="207E8620" w14:textId="77777777" w:rsidR="002A4B5D" w:rsidRPr="00DB3F11" w:rsidRDefault="002A4B5D" w:rsidP="00922116">
            <w:pPr>
              <w:spacing w:before="40" w:after="40"/>
              <w:rPr>
                <w:color w:val="000000"/>
                <w:sz w:val="16"/>
                <w:szCs w:val="16"/>
              </w:rPr>
            </w:pPr>
            <w:r>
              <w:rPr>
                <w:color w:val="000000"/>
                <w:sz w:val="16"/>
                <w:szCs w:val="16"/>
              </w:rPr>
              <w:t>)</w:t>
            </w:r>
          </w:p>
        </w:tc>
        <w:tc>
          <w:tcPr>
            <w:tcW w:w="924" w:type="dxa"/>
            <w:vAlign w:val="bottom"/>
          </w:tcPr>
          <w:p w14:paraId="30EC32DF" w14:textId="77777777" w:rsidR="002A4B5D" w:rsidRPr="00DB3F11" w:rsidRDefault="002A4B5D" w:rsidP="00922116">
            <w:pPr>
              <w:spacing w:before="40" w:after="40"/>
              <w:jc w:val="right"/>
              <w:rPr>
                <w:color w:val="000000"/>
                <w:sz w:val="16"/>
                <w:szCs w:val="16"/>
              </w:rPr>
            </w:pPr>
            <w:r>
              <w:rPr>
                <w:sz w:val="16"/>
                <w:szCs w:val="16"/>
              </w:rPr>
              <w:t>(3.4</w:t>
            </w:r>
          </w:p>
        </w:tc>
        <w:tc>
          <w:tcPr>
            <w:tcW w:w="242" w:type="dxa"/>
            <w:vAlign w:val="bottom"/>
          </w:tcPr>
          <w:p w14:paraId="70686628" w14:textId="77777777" w:rsidR="002A4B5D" w:rsidRPr="00DB3F11" w:rsidRDefault="002A4B5D" w:rsidP="00922116">
            <w:pPr>
              <w:spacing w:before="40" w:after="40"/>
              <w:rPr>
                <w:color w:val="000000"/>
                <w:sz w:val="16"/>
                <w:szCs w:val="16"/>
              </w:rPr>
            </w:pPr>
            <w:r>
              <w:rPr>
                <w:color w:val="000000"/>
                <w:sz w:val="16"/>
                <w:szCs w:val="16"/>
              </w:rPr>
              <w:t>)</w:t>
            </w:r>
          </w:p>
        </w:tc>
        <w:tc>
          <w:tcPr>
            <w:tcW w:w="924" w:type="dxa"/>
            <w:vAlign w:val="bottom"/>
          </w:tcPr>
          <w:p w14:paraId="702401DE" w14:textId="77777777" w:rsidR="002A4B5D" w:rsidRPr="00DB3F11" w:rsidRDefault="002A4B5D" w:rsidP="00922116">
            <w:pPr>
              <w:spacing w:before="40" w:after="40"/>
              <w:jc w:val="right"/>
              <w:rPr>
                <w:color w:val="000000"/>
                <w:sz w:val="16"/>
                <w:szCs w:val="16"/>
              </w:rPr>
            </w:pPr>
            <w:r>
              <w:rPr>
                <w:sz w:val="16"/>
                <w:szCs w:val="16"/>
              </w:rPr>
              <w:t>(3.1</w:t>
            </w:r>
          </w:p>
        </w:tc>
        <w:tc>
          <w:tcPr>
            <w:tcW w:w="242" w:type="dxa"/>
            <w:vAlign w:val="bottom"/>
          </w:tcPr>
          <w:p w14:paraId="30688CDF" w14:textId="77777777" w:rsidR="002A4B5D" w:rsidRPr="00DB3F11" w:rsidRDefault="002A4B5D" w:rsidP="00922116">
            <w:pPr>
              <w:spacing w:before="40" w:after="40"/>
              <w:rPr>
                <w:sz w:val="16"/>
                <w:szCs w:val="16"/>
              </w:rPr>
            </w:pPr>
            <w:r>
              <w:rPr>
                <w:sz w:val="16"/>
                <w:szCs w:val="16"/>
              </w:rPr>
              <w:t>)</w:t>
            </w:r>
          </w:p>
        </w:tc>
        <w:tc>
          <w:tcPr>
            <w:tcW w:w="924" w:type="dxa"/>
            <w:vAlign w:val="bottom"/>
          </w:tcPr>
          <w:p w14:paraId="35F11E27" w14:textId="77777777" w:rsidR="002A4B5D" w:rsidRPr="00DB3F11" w:rsidRDefault="002A4B5D" w:rsidP="00922116">
            <w:pPr>
              <w:spacing w:before="40" w:after="40"/>
              <w:jc w:val="right"/>
              <w:rPr>
                <w:sz w:val="16"/>
                <w:szCs w:val="16"/>
              </w:rPr>
            </w:pPr>
            <w:r>
              <w:rPr>
                <w:sz w:val="16"/>
                <w:szCs w:val="16"/>
              </w:rPr>
              <w:t>(2.5</w:t>
            </w:r>
          </w:p>
        </w:tc>
        <w:tc>
          <w:tcPr>
            <w:tcW w:w="227" w:type="dxa"/>
            <w:vAlign w:val="bottom"/>
          </w:tcPr>
          <w:p w14:paraId="7E1EA185" w14:textId="77777777" w:rsidR="002A4B5D" w:rsidRPr="00DB3F11" w:rsidRDefault="002A4B5D" w:rsidP="00922116">
            <w:pPr>
              <w:spacing w:before="40" w:after="40"/>
              <w:rPr>
                <w:sz w:val="16"/>
                <w:szCs w:val="16"/>
              </w:rPr>
            </w:pPr>
            <w:r>
              <w:rPr>
                <w:sz w:val="16"/>
                <w:szCs w:val="16"/>
              </w:rPr>
              <w:t>)</w:t>
            </w:r>
          </w:p>
        </w:tc>
        <w:tc>
          <w:tcPr>
            <w:tcW w:w="939" w:type="dxa"/>
            <w:vAlign w:val="bottom"/>
          </w:tcPr>
          <w:p w14:paraId="782765F9" w14:textId="77777777" w:rsidR="002A4B5D" w:rsidRPr="00DB3F11" w:rsidRDefault="002A4B5D" w:rsidP="00922116">
            <w:pPr>
              <w:spacing w:before="40" w:after="40"/>
              <w:jc w:val="right"/>
              <w:rPr>
                <w:sz w:val="16"/>
                <w:szCs w:val="16"/>
              </w:rPr>
            </w:pPr>
            <w:r>
              <w:rPr>
                <w:sz w:val="16"/>
                <w:szCs w:val="16"/>
              </w:rPr>
              <w:t>(1.5</w:t>
            </w:r>
          </w:p>
        </w:tc>
        <w:tc>
          <w:tcPr>
            <w:tcW w:w="266" w:type="dxa"/>
            <w:vAlign w:val="bottom"/>
          </w:tcPr>
          <w:p w14:paraId="1A7FE8A3" w14:textId="77777777" w:rsidR="002A4B5D" w:rsidRPr="000D2863" w:rsidRDefault="002A4B5D" w:rsidP="00922116">
            <w:pPr>
              <w:spacing w:before="40" w:after="40"/>
              <w:rPr>
                <w:sz w:val="17"/>
                <w:szCs w:val="17"/>
              </w:rPr>
            </w:pPr>
          </w:p>
        </w:tc>
      </w:tr>
      <w:tr w:rsidR="002A4B5D" w:rsidRPr="00E834EF" w14:paraId="0132B034" w14:textId="77777777" w:rsidTr="00272B36">
        <w:tc>
          <w:tcPr>
            <w:tcW w:w="3254" w:type="dxa"/>
            <w:vAlign w:val="center"/>
          </w:tcPr>
          <w:p w14:paraId="4FCB57F4" w14:textId="77777777" w:rsidR="002A4B5D" w:rsidRPr="00E754AA" w:rsidRDefault="00375E4B" w:rsidP="002A4B5D">
            <w:pPr>
              <w:tabs>
                <w:tab w:val="right" w:leader="dot" w:pos="3255"/>
              </w:tabs>
              <w:bidi/>
              <w:spacing w:before="40" w:after="40"/>
              <w:ind w:left="357"/>
              <w:rPr>
                <w:sz w:val="17"/>
                <w:szCs w:val="17"/>
              </w:rPr>
            </w:pPr>
            <w:r>
              <w:rPr>
                <w:rFonts w:hint="cs"/>
                <w:color w:val="000000"/>
                <w:sz w:val="17"/>
                <w:szCs w:val="17"/>
                <w:rtl/>
              </w:rPr>
              <w:t>المصروفات العامة والإدارية</w:t>
            </w:r>
            <w:r w:rsidR="002A4B5D" w:rsidRPr="0054596C">
              <w:rPr>
                <w:sz w:val="17"/>
              </w:rPr>
              <w:tab/>
            </w:r>
          </w:p>
        </w:tc>
        <w:tc>
          <w:tcPr>
            <w:tcW w:w="242" w:type="dxa"/>
            <w:vAlign w:val="bottom"/>
          </w:tcPr>
          <w:p w14:paraId="46FA1211" w14:textId="77777777" w:rsidR="002A4B5D" w:rsidRPr="00E834EF" w:rsidRDefault="002A4B5D" w:rsidP="00922116">
            <w:pPr>
              <w:spacing w:before="40" w:after="40"/>
              <w:rPr>
                <w:sz w:val="17"/>
                <w:szCs w:val="17"/>
              </w:rPr>
            </w:pPr>
          </w:p>
        </w:tc>
        <w:tc>
          <w:tcPr>
            <w:tcW w:w="913" w:type="dxa"/>
            <w:vAlign w:val="bottom"/>
          </w:tcPr>
          <w:p w14:paraId="0293FBA2" w14:textId="77777777" w:rsidR="002A4B5D" w:rsidRPr="00DB3F11" w:rsidRDefault="002A4B5D" w:rsidP="00922116">
            <w:pPr>
              <w:spacing w:before="40" w:after="40"/>
              <w:jc w:val="right"/>
              <w:rPr>
                <w:color w:val="000000"/>
                <w:sz w:val="16"/>
                <w:szCs w:val="16"/>
              </w:rPr>
            </w:pPr>
            <w:r w:rsidRPr="00DB3F11">
              <w:rPr>
                <w:sz w:val="16"/>
                <w:szCs w:val="16"/>
              </w:rPr>
              <w:t>—</w:t>
            </w:r>
          </w:p>
        </w:tc>
        <w:tc>
          <w:tcPr>
            <w:tcW w:w="252" w:type="dxa"/>
            <w:gridSpan w:val="2"/>
            <w:vAlign w:val="bottom"/>
          </w:tcPr>
          <w:p w14:paraId="02292715" w14:textId="77777777" w:rsidR="002A4B5D" w:rsidRPr="00DB3F11" w:rsidRDefault="002A4B5D" w:rsidP="00922116">
            <w:pPr>
              <w:spacing w:before="40" w:after="40"/>
              <w:rPr>
                <w:color w:val="000000"/>
                <w:sz w:val="16"/>
                <w:szCs w:val="16"/>
              </w:rPr>
            </w:pPr>
          </w:p>
        </w:tc>
        <w:tc>
          <w:tcPr>
            <w:tcW w:w="924" w:type="dxa"/>
            <w:vAlign w:val="bottom"/>
          </w:tcPr>
          <w:p w14:paraId="7FCD1111" w14:textId="77777777" w:rsidR="002A4B5D" w:rsidRPr="00DB3F11" w:rsidRDefault="002A4B5D" w:rsidP="00922116">
            <w:pPr>
              <w:spacing w:before="40" w:after="40"/>
              <w:jc w:val="right"/>
              <w:rPr>
                <w:color w:val="000000"/>
                <w:sz w:val="16"/>
                <w:szCs w:val="16"/>
              </w:rPr>
            </w:pPr>
            <w:r w:rsidRPr="00DB3F11">
              <w:rPr>
                <w:sz w:val="16"/>
                <w:szCs w:val="16"/>
              </w:rPr>
              <w:t>—</w:t>
            </w:r>
          </w:p>
        </w:tc>
        <w:tc>
          <w:tcPr>
            <w:tcW w:w="242" w:type="dxa"/>
            <w:vAlign w:val="bottom"/>
          </w:tcPr>
          <w:p w14:paraId="7914B21A" w14:textId="77777777" w:rsidR="002A4B5D" w:rsidRPr="00DB3F11" w:rsidRDefault="002A4B5D" w:rsidP="00922116">
            <w:pPr>
              <w:spacing w:before="40" w:after="40"/>
              <w:rPr>
                <w:color w:val="000000"/>
                <w:sz w:val="16"/>
                <w:szCs w:val="16"/>
              </w:rPr>
            </w:pPr>
          </w:p>
        </w:tc>
        <w:tc>
          <w:tcPr>
            <w:tcW w:w="924" w:type="dxa"/>
            <w:vAlign w:val="bottom"/>
          </w:tcPr>
          <w:p w14:paraId="2A018E9A" w14:textId="77777777" w:rsidR="002A4B5D" w:rsidRPr="00DB3F11" w:rsidRDefault="002A4B5D" w:rsidP="00922116">
            <w:pPr>
              <w:spacing w:before="40" w:after="40"/>
              <w:jc w:val="right"/>
              <w:rPr>
                <w:color w:val="000000"/>
                <w:sz w:val="16"/>
                <w:szCs w:val="16"/>
              </w:rPr>
            </w:pPr>
            <w:r w:rsidRPr="00DB3F11">
              <w:rPr>
                <w:sz w:val="16"/>
                <w:szCs w:val="16"/>
              </w:rPr>
              <w:t>—</w:t>
            </w:r>
          </w:p>
        </w:tc>
        <w:tc>
          <w:tcPr>
            <w:tcW w:w="242" w:type="dxa"/>
            <w:vAlign w:val="bottom"/>
          </w:tcPr>
          <w:p w14:paraId="18C866DD" w14:textId="77777777" w:rsidR="002A4B5D" w:rsidRPr="00DB3F11" w:rsidRDefault="002A4B5D" w:rsidP="00922116">
            <w:pPr>
              <w:spacing w:before="40" w:after="40"/>
              <w:rPr>
                <w:sz w:val="16"/>
                <w:szCs w:val="16"/>
              </w:rPr>
            </w:pPr>
          </w:p>
        </w:tc>
        <w:tc>
          <w:tcPr>
            <w:tcW w:w="924" w:type="dxa"/>
            <w:vAlign w:val="bottom"/>
          </w:tcPr>
          <w:p w14:paraId="5B1EF99C" w14:textId="77777777" w:rsidR="002A4B5D" w:rsidRPr="00DB3F11" w:rsidRDefault="002A4B5D" w:rsidP="00922116">
            <w:pPr>
              <w:spacing w:before="40" w:after="40"/>
              <w:jc w:val="right"/>
              <w:rPr>
                <w:sz w:val="16"/>
                <w:szCs w:val="16"/>
              </w:rPr>
            </w:pPr>
            <w:r w:rsidRPr="00DB3F11">
              <w:rPr>
                <w:sz w:val="16"/>
                <w:szCs w:val="16"/>
              </w:rPr>
              <w:t>—</w:t>
            </w:r>
          </w:p>
        </w:tc>
        <w:tc>
          <w:tcPr>
            <w:tcW w:w="227" w:type="dxa"/>
            <w:vAlign w:val="bottom"/>
          </w:tcPr>
          <w:p w14:paraId="4E5AC0E5" w14:textId="77777777" w:rsidR="002A4B5D" w:rsidRPr="00DB3F11" w:rsidRDefault="002A4B5D" w:rsidP="00922116">
            <w:pPr>
              <w:spacing w:before="40" w:after="40"/>
              <w:rPr>
                <w:sz w:val="16"/>
                <w:szCs w:val="16"/>
              </w:rPr>
            </w:pPr>
          </w:p>
        </w:tc>
        <w:tc>
          <w:tcPr>
            <w:tcW w:w="939" w:type="dxa"/>
            <w:vAlign w:val="bottom"/>
          </w:tcPr>
          <w:p w14:paraId="0AA6E843" w14:textId="77777777" w:rsidR="002A4B5D" w:rsidRPr="00DB3F11" w:rsidRDefault="002A4B5D" w:rsidP="00922116">
            <w:pPr>
              <w:spacing w:before="40" w:after="40"/>
              <w:jc w:val="right"/>
              <w:rPr>
                <w:sz w:val="16"/>
                <w:szCs w:val="16"/>
              </w:rPr>
            </w:pPr>
            <w:r w:rsidRPr="00DB3F11">
              <w:rPr>
                <w:sz w:val="16"/>
                <w:szCs w:val="16"/>
              </w:rPr>
              <w:t>—</w:t>
            </w:r>
          </w:p>
        </w:tc>
        <w:tc>
          <w:tcPr>
            <w:tcW w:w="266" w:type="dxa"/>
            <w:vAlign w:val="bottom"/>
          </w:tcPr>
          <w:p w14:paraId="4029085D" w14:textId="77777777" w:rsidR="002A4B5D" w:rsidRPr="000D2863" w:rsidRDefault="002A4B5D" w:rsidP="00922116">
            <w:pPr>
              <w:spacing w:before="40" w:after="40"/>
              <w:rPr>
                <w:sz w:val="17"/>
                <w:szCs w:val="17"/>
              </w:rPr>
            </w:pPr>
          </w:p>
        </w:tc>
      </w:tr>
      <w:tr w:rsidR="002A4B5D" w:rsidRPr="00E834EF" w14:paraId="6553379C" w14:textId="77777777" w:rsidTr="00272B36">
        <w:tc>
          <w:tcPr>
            <w:tcW w:w="3254" w:type="dxa"/>
            <w:vAlign w:val="center"/>
          </w:tcPr>
          <w:p w14:paraId="109E7B42" w14:textId="77777777" w:rsidR="002A4B5D" w:rsidRPr="00E754AA" w:rsidRDefault="009A7BEE" w:rsidP="002A4B5D">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002A4B5D" w:rsidRPr="0054596C">
              <w:rPr>
                <w:sz w:val="17"/>
              </w:rPr>
              <w:tab/>
            </w:r>
          </w:p>
        </w:tc>
        <w:tc>
          <w:tcPr>
            <w:tcW w:w="242" w:type="dxa"/>
            <w:vAlign w:val="bottom"/>
          </w:tcPr>
          <w:p w14:paraId="2AEB4794" w14:textId="77777777" w:rsidR="002A4B5D" w:rsidRPr="00E834EF" w:rsidRDefault="002A4B5D" w:rsidP="00922116">
            <w:pPr>
              <w:spacing w:before="40" w:after="40"/>
              <w:rPr>
                <w:sz w:val="17"/>
                <w:szCs w:val="17"/>
              </w:rPr>
            </w:pPr>
          </w:p>
        </w:tc>
        <w:tc>
          <w:tcPr>
            <w:tcW w:w="913" w:type="dxa"/>
            <w:vAlign w:val="bottom"/>
          </w:tcPr>
          <w:p w14:paraId="1F25CB60" w14:textId="77777777" w:rsidR="002A4B5D" w:rsidRPr="00DB3F11" w:rsidRDefault="002A4B5D" w:rsidP="00922116">
            <w:pPr>
              <w:spacing w:before="40" w:after="40"/>
              <w:jc w:val="right"/>
              <w:rPr>
                <w:color w:val="000000"/>
                <w:sz w:val="16"/>
                <w:szCs w:val="16"/>
              </w:rPr>
            </w:pPr>
            <w:r>
              <w:rPr>
                <w:sz w:val="17"/>
                <w:szCs w:val="17"/>
              </w:rPr>
              <w:t>—</w:t>
            </w:r>
          </w:p>
        </w:tc>
        <w:tc>
          <w:tcPr>
            <w:tcW w:w="252" w:type="dxa"/>
            <w:gridSpan w:val="2"/>
            <w:vAlign w:val="bottom"/>
          </w:tcPr>
          <w:p w14:paraId="07F7F277" w14:textId="77777777" w:rsidR="002A4B5D" w:rsidRPr="00DB3F11" w:rsidRDefault="002A4B5D" w:rsidP="00922116">
            <w:pPr>
              <w:spacing w:before="40" w:after="40"/>
              <w:rPr>
                <w:color w:val="000000"/>
                <w:sz w:val="16"/>
                <w:szCs w:val="16"/>
              </w:rPr>
            </w:pPr>
          </w:p>
        </w:tc>
        <w:tc>
          <w:tcPr>
            <w:tcW w:w="924" w:type="dxa"/>
            <w:vAlign w:val="bottom"/>
          </w:tcPr>
          <w:p w14:paraId="4E1D6D20" w14:textId="77777777" w:rsidR="002A4B5D" w:rsidRPr="00DB3F11" w:rsidRDefault="002A4B5D" w:rsidP="00922116">
            <w:pPr>
              <w:spacing w:before="40" w:after="40"/>
              <w:jc w:val="right"/>
              <w:rPr>
                <w:color w:val="000000"/>
                <w:sz w:val="16"/>
                <w:szCs w:val="16"/>
              </w:rPr>
            </w:pPr>
            <w:r w:rsidRPr="00DB3F11">
              <w:rPr>
                <w:sz w:val="16"/>
                <w:szCs w:val="16"/>
              </w:rPr>
              <w:t>—</w:t>
            </w:r>
          </w:p>
        </w:tc>
        <w:tc>
          <w:tcPr>
            <w:tcW w:w="242" w:type="dxa"/>
            <w:vAlign w:val="bottom"/>
          </w:tcPr>
          <w:p w14:paraId="59F0350F" w14:textId="77777777" w:rsidR="002A4B5D" w:rsidRPr="00DB3F11" w:rsidRDefault="002A4B5D" w:rsidP="00922116">
            <w:pPr>
              <w:spacing w:before="40" w:after="40"/>
              <w:rPr>
                <w:color w:val="000000"/>
                <w:sz w:val="16"/>
                <w:szCs w:val="16"/>
              </w:rPr>
            </w:pPr>
          </w:p>
        </w:tc>
        <w:tc>
          <w:tcPr>
            <w:tcW w:w="924" w:type="dxa"/>
            <w:vAlign w:val="bottom"/>
          </w:tcPr>
          <w:p w14:paraId="6F306D18" w14:textId="77777777" w:rsidR="002A4B5D" w:rsidRPr="00DB3F11" w:rsidRDefault="002A4B5D" w:rsidP="00922116">
            <w:pPr>
              <w:spacing w:before="40" w:after="40"/>
              <w:jc w:val="right"/>
              <w:rPr>
                <w:color w:val="000000"/>
                <w:sz w:val="16"/>
                <w:szCs w:val="16"/>
              </w:rPr>
            </w:pPr>
            <w:r w:rsidRPr="00DB3F11">
              <w:rPr>
                <w:sz w:val="16"/>
                <w:szCs w:val="16"/>
              </w:rPr>
              <w:t>—</w:t>
            </w:r>
          </w:p>
        </w:tc>
        <w:tc>
          <w:tcPr>
            <w:tcW w:w="242" w:type="dxa"/>
            <w:vAlign w:val="bottom"/>
          </w:tcPr>
          <w:p w14:paraId="2FD61A18" w14:textId="77777777" w:rsidR="002A4B5D" w:rsidRPr="00DB3F11" w:rsidRDefault="002A4B5D" w:rsidP="00922116">
            <w:pPr>
              <w:spacing w:before="40" w:after="40"/>
              <w:rPr>
                <w:sz w:val="16"/>
                <w:szCs w:val="16"/>
              </w:rPr>
            </w:pPr>
          </w:p>
        </w:tc>
        <w:tc>
          <w:tcPr>
            <w:tcW w:w="924" w:type="dxa"/>
            <w:vAlign w:val="bottom"/>
          </w:tcPr>
          <w:p w14:paraId="43B3E59B" w14:textId="77777777" w:rsidR="002A4B5D" w:rsidRPr="00DB3F11" w:rsidRDefault="002A4B5D" w:rsidP="00922116">
            <w:pPr>
              <w:spacing w:before="40" w:after="40"/>
              <w:jc w:val="right"/>
              <w:rPr>
                <w:sz w:val="16"/>
                <w:szCs w:val="16"/>
              </w:rPr>
            </w:pPr>
            <w:r w:rsidRPr="00DB3F11">
              <w:rPr>
                <w:sz w:val="16"/>
                <w:szCs w:val="16"/>
              </w:rPr>
              <w:t>—</w:t>
            </w:r>
          </w:p>
        </w:tc>
        <w:tc>
          <w:tcPr>
            <w:tcW w:w="227" w:type="dxa"/>
            <w:vAlign w:val="bottom"/>
          </w:tcPr>
          <w:p w14:paraId="677C51CF" w14:textId="77777777" w:rsidR="002A4B5D" w:rsidRPr="00DB3F11" w:rsidRDefault="002A4B5D" w:rsidP="00922116">
            <w:pPr>
              <w:spacing w:before="40" w:after="40"/>
              <w:rPr>
                <w:sz w:val="16"/>
                <w:szCs w:val="16"/>
              </w:rPr>
            </w:pPr>
          </w:p>
        </w:tc>
        <w:tc>
          <w:tcPr>
            <w:tcW w:w="939" w:type="dxa"/>
            <w:vAlign w:val="bottom"/>
          </w:tcPr>
          <w:p w14:paraId="275B5E9F" w14:textId="77777777" w:rsidR="002A4B5D" w:rsidRPr="00DB3F11" w:rsidRDefault="002A4B5D" w:rsidP="00922116">
            <w:pPr>
              <w:spacing w:before="40" w:after="40"/>
              <w:jc w:val="right"/>
              <w:rPr>
                <w:sz w:val="16"/>
                <w:szCs w:val="16"/>
              </w:rPr>
            </w:pPr>
            <w:r w:rsidRPr="00DB3F11">
              <w:rPr>
                <w:sz w:val="16"/>
                <w:szCs w:val="16"/>
              </w:rPr>
              <w:t>—</w:t>
            </w:r>
          </w:p>
        </w:tc>
        <w:tc>
          <w:tcPr>
            <w:tcW w:w="266" w:type="dxa"/>
            <w:vAlign w:val="bottom"/>
          </w:tcPr>
          <w:p w14:paraId="7749CD3B" w14:textId="77777777" w:rsidR="002A4B5D" w:rsidRPr="000D2863" w:rsidRDefault="002A4B5D" w:rsidP="00922116">
            <w:pPr>
              <w:spacing w:before="40" w:after="40"/>
              <w:rPr>
                <w:sz w:val="17"/>
                <w:szCs w:val="17"/>
              </w:rPr>
            </w:pPr>
          </w:p>
        </w:tc>
      </w:tr>
      <w:tr w:rsidR="002A4B5D" w:rsidRPr="00E834EF" w14:paraId="4AB50103" w14:textId="77777777" w:rsidTr="00272B36">
        <w:tc>
          <w:tcPr>
            <w:tcW w:w="3254" w:type="dxa"/>
            <w:vAlign w:val="center"/>
          </w:tcPr>
          <w:p w14:paraId="44893A28" w14:textId="77777777" w:rsidR="002A4B5D" w:rsidRPr="00E754AA" w:rsidRDefault="009A7BEE" w:rsidP="002A4B5D">
            <w:pPr>
              <w:tabs>
                <w:tab w:val="right" w:leader="dot" w:pos="3255"/>
              </w:tabs>
              <w:bidi/>
              <w:spacing w:before="40" w:after="40"/>
              <w:ind w:left="357"/>
              <w:rPr>
                <w:color w:val="000000"/>
                <w:sz w:val="17"/>
                <w:szCs w:val="17"/>
              </w:rPr>
            </w:pPr>
            <w:r>
              <w:rPr>
                <w:rFonts w:hint="cs"/>
                <w:color w:val="000000"/>
                <w:sz w:val="17"/>
                <w:szCs w:val="17"/>
                <w:rtl/>
              </w:rPr>
              <w:t>الإهلاك</w:t>
            </w:r>
            <w:r w:rsidR="002A4B5D" w:rsidRPr="0054596C">
              <w:rPr>
                <w:sz w:val="17"/>
              </w:rPr>
              <w:tab/>
            </w:r>
          </w:p>
        </w:tc>
        <w:tc>
          <w:tcPr>
            <w:tcW w:w="242" w:type="dxa"/>
            <w:vAlign w:val="bottom"/>
          </w:tcPr>
          <w:p w14:paraId="5F88EC3E" w14:textId="77777777" w:rsidR="002A4B5D" w:rsidRPr="00E834EF" w:rsidRDefault="002A4B5D" w:rsidP="00922116">
            <w:pPr>
              <w:spacing w:before="40" w:after="40"/>
              <w:rPr>
                <w:sz w:val="17"/>
                <w:szCs w:val="17"/>
              </w:rPr>
            </w:pPr>
          </w:p>
        </w:tc>
        <w:tc>
          <w:tcPr>
            <w:tcW w:w="913" w:type="dxa"/>
            <w:tcBorders>
              <w:bottom w:val="single" w:sz="4" w:space="0" w:color="auto"/>
            </w:tcBorders>
            <w:vAlign w:val="bottom"/>
          </w:tcPr>
          <w:p w14:paraId="22DBECF4" w14:textId="77777777" w:rsidR="002A4B5D" w:rsidRPr="00DB3F11" w:rsidRDefault="002A4B5D" w:rsidP="00922116">
            <w:pPr>
              <w:spacing w:before="40" w:after="40"/>
              <w:jc w:val="right"/>
              <w:rPr>
                <w:color w:val="000000"/>
                <w:sz w:val="16"/>
                <w:szCs w:val="16"/>
              </w:rPr>
            </w:pPr>
            <w:r w:rsidRPr="00DB3F11">
              <w:rPr>
                <w:sz w:val="16"/>
                <w:szCs w:val="16"/>
              </w:rPr>
              <w:t>33.7</w:t>
            </w:r>
          </w:p>
        </w:tc>
        <w:tc>
          <w:tcPr>
            <w:tcW w:w="252" w:type="dxa"/>
            <w:gridSpan w:val="2"/>
            <w:vAlign w:val="bottom"/>
          </w:tcPr>
          <w:p w14:paraId="6A1E0BBA" w14:textId="77777777" w:rsidR="002A4B5D" w:rsidRPr="00DB3F11" w:rsidRDefault="002A4B5D" w:rsidP="00922116">
            <w:pPr>
              <w:spacing w:before="40" w:after="40"/>
              <w:rPr>
                <w:color w:val="000000"/>
                <w:sz w:val="16"/>
                <w:szCs w:val="16"/>
              </w:rPr>
            </w:pPr>
          </w:p>
        </w:tc>
        <w:tc>
          <w:tcPr>
            <w:tcW w:w="924" w:type="dxa"/>
            <w:tcBorders>
              <w:bottom w:val="single" w:sz="4" w:space="0" w:color="auto"/>
            </w:tcBorders>
            <w:vAlign w:val="bottom"/>
          </w:tcPr>
          <w:p w14:paraId="1DB4DC87" w14:textId="77777777" w:rsidR="002A4B5D" w:rsidRPr="00DB3F11" w:rsidRDefault="002A4B5D" w:rsidP="00922116">
            <w:pPr>
              <w:spacing w:before="40" w:after="40"/>
              <w:jc w:val="right"/>
              <w:rPr>
                <w:color w:val="000000"/>
                <w:sz w:val="16"/>
                <w:szCs w:val="16"/>
              </w:rPr>
            </w:pPr>
            <w:r>
              <w:rPr>
                <w:sz w:val="16"/>
                <w:szCs w:val="16"/>
              </w:rPr>
              <w:t>(36.0</w:t>
            </w:r>
            <w:r w:rsidR="00FC3BA4">
              <w:rPr>
                <w:sz w:val="16"/>
                <w:szCs w:val="16"/>
              </w:rPr>
              <w:t>)</w:t>
            </w:r>
          </w:p>
        </w:tc>
        <w:tc>
          <w:tcPr>
            <w:tcW w:w="242" w:type="dxa"/>
            <w:vAlign w:val="bottom"/>
          </w:tcPr>
          <w:p w14:paraId="3E7CE77B" w14:textId="77777777" w:rsidR="002A4B5D" w:rsidRPr="00DB3F11" w:rsidRDefault="002A4B5D" w:rsidP="00922116">
            <w:pPr>
              <w:spacing w:before="40" w:after="40"/>
              <w:rPr>
                <w:color w:val="000000"/>
                <w:sz w:val="16"/>
                <w:szCs w:val="16"/>
              </w:rPr>
            </w:pPr>
            <w:r>
              <w:rPr>
                <w:color w:val="000000"/>
                <w:sz w:val="16"/>
                <w:szCs w:val="16"/>
              </w:rPr>
              <w:t>)</w:t>
            </w:r>
          </w:p>
        </w:tc>
        <w:tc>
          <w:tcPr>
            <w:tcW w:w="924" w:type="dxa"/>
            <w:tcBorders>
              <w:bottom w:val="single" w:sz="4" w:space="0" w:color="auto"/>
            </w:tcBorders>
            <w:vAlign w:val="bottom"/>
          </w:tcPr>
          <w:p w14:paraId="58C93B9D" w14:textId="77777777" w:rsidR="002A4B5D" w:rsidRPr="00DB3F11" w:rsidRDefault="002A4B5D" w:rsidP="00922116">
            <w:pPr>
              <w:spacing w:before="40" w:after="40"/>
              <w:jc w:val="right"/>
              <w:rPr>
                <w:color w:val="000000"/>
                <w:sz w:val="16"/>
                <w:szCs w:val="16"/>
              </w:rPr>
            </w:pPr>
            <w:r>
              <w:rPr>
                <w:sz w:val="16"/>
                <w:szCs w:val="16"/>
              </w:rPr>
              <w:t>(36.5</w:t>
            </w:r>
          </w:p>
        </w:tc>
        <w:tc>
          <w:tcPr>
            <w:tcW w:w="242" w:type="dxa"/>
            <w:vAlign w:val="bottom"/>
          </w:tcPr>
          <w:p w14:paraId="3B00DF63" w14:textId="77777777" w:rsidR="002A4B5D" w:rsidRPr="00DB3F11" w:rsidRDefault="002A4B5D" w:rsidP="00922116">
            <w:pPr>
              <w:spacing w:before="40" w:after="40"/>
              <w:rPr>
                <w:sz w:val="16"/>
                <w:szCs w:val="16"/>
              </w:rPr>
            </w:pPr>
            <w:r>
              <w:rPr>
                <w:sz w:val="16"/>
                <w:szCs w:val="16"/>
              </w:rPr>
              <w:t>)</w:t>
            </w:r>
          </w:p>
        </w:tc>
        <w:tc>
          <w:tcPr>
            <w:tcW w:w="924" w:type="dxa"/>
            <w:tcBorders>
              <w:bottom w:val="single" w:sz="4" w:space="0" w:color="auto"/>
            </w:tcBorders>
            <w:vAlign w:val="bottom"/>
          </w:tcPr>
          <w:p w14:paraId="2B869B47" w14:textId="77777777" w:rsidR="002A4B5D" w:rsidRPr="00DB3F11" w:rsidRDefault="002A4B5D" w:rsidP="00922116">
            <w:pPr>
              <w:spacing w:before="40" w:after="40"/>
              <w:jc w:val="right"/>
              <w:rPr>
                <w:sz w:val="16"/>
                <w:szCs w:val="16"/>
              </w:rPr>
            </w:pPr>
            <w:r>
              <w:rPr>
                <w:sz w:val="16"/>
                <w:szCs w:val="16"/>
              </w:rPr>
              <w:t>(27.0</w:t>
            </w:r>
          </w:p>
        </w:tc>
        <w:tc>
          <w:tcPr>
            <w:tcW w:w="227" w:type="dxa"/>
            <w:vAlign w:val="bottom"/>
          </w:tcPr>
          <w:p w14:paraId="65FFC31D" w14:textId="77777777" w:rsidR="002A4B5D" w:rsidRPr="00DB3F11" w:rsidRDefault="002A4B5D" w:rsidP="00922116">
            <w:pPr>
              <w:spacing w:before="40" w:after="40"/>
              <w:rPr>
                <w:sz w:val="16"/>
                <w:szCs w:val="16"/>
              </w:rPr>
            </w:pPr>
            <w:r>
              <w:rPr>
                <w:sz w:val="16"/>
                <w:szCs w:val="16"/>
              </w:rPr>
              <w:t>)</w:t>
            </w:r>
          </w:p>
        </w:tc>
        <w:tc>
          <w:tcPr>
            <w:tcW w:w="939" w:type="dxa"/>
            <w:tcBorders>
              <w:bottom w:val="single" w:sz="4" w:space="0" w:color="auto"/>
            </w:tcBorders>
            <w:vAlign w:val="bottom"/>
          </w:tcPr>
          <w:p w14:paraId="1FED24F3" w14:textId="77777777" w:rsidR="002A4B5D" w:rsidRPr="00DB3F11" w:rsidRDefault="002A4B5D" w:rsidP="00922116">
            <w:pPr>
              <w:spacing w:before="40" w:after="40"/>
              <w:jc w:val="right"/>
              <w:rPr>
                <w:sz w:val="16"/>
                <w:szCs w:val="16"/>
              </w:rPr>
            </w:pPr>
            <w:r>
              <w:rPr>
                <w:sz w:val="16"/>
                <w:szCs w:val="16"/>
              </w:rPr>
              <w:t>(26.8</w:t>
            </w:r>
          </w:p>
        </w:tc>
        <w:tc>
          <w:tcPr>
            <w:tcW w:w="266" w:type="dxa"/>
            <w:vAlign w:val="bottom"/>
          </w:tcPr>
          <w:p w14:paraId="67AF49F4" w14:textId="77777777" w:rsidR="002A4B5D" w:rsidRPr="000D2863" w:rsidRDefault="002A4B5D" w:rsidP="00922116">
            <w:pPr>
              <w:spacing w:before="40" w:after="40"/>
              <w:rPr>
                <w:sz w:val="17"/>
                <w:szCs w:val="17"/>
              </w:rPr>
            </w:pPr>
          </w:p>
        </w:tc>
      </w:tr>
      <w:tr w:rsidR="002A4B5D" w:rsidRPr="00E834EF" w14:paraId="1E1F68DC" w14:textId="77777777" w:rsidTr="00272B36">
        <w:tc>
          <w:tcPr>
            <w:tcW w:w="3254" w:type="dxa"/>
          </w:tcPr>
          <w:p w14:paraId="1CF4B518" w14:textId="77777777" w:rsidR="002A4B5D" w:rsidRPr="00155339" w:rsidRDefault="00A07D6C" w:rsidP="002A4B5D">
            <w:pPr>
              <w:tabs>
                <w:tab w:val="right" w:leader="dot" w:pos="3255"/>
              </w:tabs>
              <w:bidi/>
              <w:spacing w:before="40" w:after="40"/>
              <w:rPr>
                <w:sz w:val="17"/>
                <w:szCs w:val="17"/>
              </w:rPr>
            </w:pPr>
            <w:r w:rsidRPr="00272B36">
              <w:rPr>
                <w:rFonts w:hint="eastAsia"/>
                <w:b/>
                <w:bCs/>
                <w:szCs w:val="17"/>
                <w:rtl/>
              </w:rPr>
              <w:t>الأرباح</w:t>
            </w:r>
            <w:r w:rsidRPr="00272B36">
              <w:rPr>
                <w:b/>
                <w:bCs/>
                <w:szCs w:val="17"/>
                <w:rtl/>
              </w:rPr>
              <w:t xml:space="preserve"> </w:t>
            </w:r>
            <w:r w:rsidRPr="00272B36">
              <w:rPr>
                <w:rFonts w:hint="eastAsia"/>
                <w:b/>
                <w:bCs/>
                <w:szCs w:val="17"/>
                <w:rtl/>
              </w:rPr>
              <w:t>قبل</w:t>
            </w:r>
            <w:r w:rsidRPr="00272B36">
              <w:rPr>
                <w:b/>
                <w:bCs/>
                <w:szCs w:val="17"/>
                <w:rtl/>
              </w:rPr>
              <w:t xml:space="preserve"> </w:t>
            </w:r>
            <w:r w:rsidRPr="00272B36">
              <w:rPr>
                <w:rFonts w:hint="eastAsia"/>
                <w:b/>
                <w:bCs/>
                <w:szCs w:val="17"/>
                <w:rtl/>
              </w:rPr>
              <w:t>حساب</w:t>
            </w:r>
            <w:r w:rsidRPr="00272B36">
              <w:rPr>
                <w:b/>
                <w:bCs/>
                <w:szCs w:val="17"/>
                <w:rtl/>
              </w:rPr>
              <w:t xml:space="preserve"> </w:t>
            </w:r>
            <w:r w:rsidRPr="00272B36">
              <w:rPr>
                <w:rFonts w:hint="eastAsia"/>
                <w:b/>
                <w:bCs/>
                <w:szCs w:val="17"/>
                <w:rtl/>
              </w:rPr>
              <w:t>الفوائد</w:t>
            </w:r>
            <w:r w:rsidRPr="00272B36">
              <w:rPr>
                <w:b/>
                <w:bCs/>
                <w:szCs w:val="17"/>
                <w:rtl/>
              </w:rPr>
              <w:t xml:space="preserve"> </w:t>
            </w:r>
            <w:r w:rsidRPr="00272B36">
              <w:rPr>
                <w:rFonts w:hint="eastAsia"/>
                <w:b/>
                <w:bCs/>
                <w:szCs w:val="17"/>
                <w:rtl/>
              </w:rPr>
              <w:t>والضرائب</w:t>
            </w:r>
            <w:r w:rsidRPr="00272B36">
              <w:rPr>
                <w:b/>
                <w:bCs/>
                <w:szCs w:val="17"/>
                <w:rtl/>
              </w:rPr>
              <w:t xml:space="preserve"> </w:t>
            </w:r>
            <w:r w:rsidRPr="00272B36">
              <w:rPr>
                <w:rFonts w:hint="eastAsia"/>
                <w:b/>
                <w:bCs/>
                <w:szCs w:val="17"/>
                <w:rtl/>
              </w:rPr>
              <w:t>والإهلاك</w:t>
            </w:r>
            <w:r w:rsidRPr="00272B36">
              <w:rPr>
                <w:b/>
                <w:bCs/>
                <w:szCs w:val="17"/>
                <w:rtl/>
              </w:rPr>
              <w:t xml:space="preserve"> </w:t>
            </w:r>
            <w:r w:rsidRPr="00272B36">
              <w:rPr>
                <w:rFonts w:hint="eastAsia"/>
                <w:b/>
                <w:bCs/>
                <w:szCs w:val="17"/>
                <w:rtl/>
              </w:rPr>
              <w:t>والإطفاء</w:t>
            </w:r>
            <w:r w:rsidRPr="00272B36">
              <w:rPr>
                <w:b/>
                <w:bCs/>
                <w:szCs w:val="17"/>
                <w:rtl/>
              </w:rPr>
              <w:t xml:space="preserve"> </w:t>
            </w:r>
            <w:r w:rsidRPr="00272B36">
              <w:rPr>
                <w:rFonts w:hint="eastAsia"/>
                <w:b/>
                <w:bCs/>
                <w:szCs w:val="17"/>
                <w:rtl/>
              </w:rPr>
              <w:t>ل</w:t>
            </w:r>
            <w:r w:rsidR="00607B02">
              <w:rPr>
                <w:rFonts w:hint="eastAsia"/>
                <w:b/>
                <w:bCs/>
                <w:szCs w:val="17"/>
                <w:rtl/>
              </w:rPr>
              <w:t>نقل</w:t>
            </w:r>
            <w:r w:rsidRPr="00272B36">
              <w:rPr>
                <w:b/>
                <w:bCs/>
                <w:szCs w:val="17"/>
                <w:rtl/>
              </w:rPr>
              <w:t xml:space="preserve"> </w:t>
            </w:r>
            <w:r w:rsidRPr="00272B36">
              <w:rPr>
                <w:rFonts w:hint="eastAsia"/>
                <w:b/>
                <w:bCs/>
                <w:szCs w:val="17"/>
                <w:rtl/>
              </w:rPr>
              <w:t>النفط</w:t>
            </w:r>
            <w:r w:rsidRPr="00272B36">
              <w:rPr>
                <w:b/>
                <w:bCs/>
                <w:szCs w:val="17"/>
                <w:rtl/>
              </w:rPr>
              <w:t xml:space="preserve"> </w:t>
            </w:r>
            <w:r w:rsidRPr="00272B36">
              <w:rPr>
                <w:rFonts w:hint="eastAsia"/>
                <w:b/>
                <w:bCs/>
                <w:szCs w:val="17"/>
                <w:rtl/>
              </w:rPr>
              <w:t>الخام</w:t>
            </w:r>
            <w:r w:rsidR="002A4B5D" w:rsidRPr="007D2480">
              <w:rPr>
                <w:sz w:val="17"/>
              </w:rPr>
              <w:tab/>
            </w:r>
          </w:p>
        </w:tc>
        <w:tc>
          <w:tcPr>
            <w:tcW w:w="242" w:type="dxa"/>
            <w:vAlign w:val="bottom"/>
          </w:tcPr>
          <w:p w14:paraId="72D42DDC" w14:textId="77777777" w:rsidR="002A4B5D" w:rsidRPr="00E834EF" w:rsidRDefault="002A4B5D" w:rsidP="00922116">
            <w:pPr>
              <w:spacing w:before="40" w:after="40"/>
              <w:rPr>
                <w:sz w:val="17"/>
                <w:szCs w:val="17"/>
              </w:rPr>
            </w:pPr>
          </w:p>
        </w:tc>
        <w:tc>
          <w:tcPr>
            <w:tcW w:w="913" w:type="dxa"/>
            <w:tcBorders>
              <w:top w:val="single" w:sz="4" w:space="0" w:color="auto"/>
            </w:tcBorders>
            <w:vAlign w:val="bottom"/>
          </w:tcPr>
          <w:p w14:paraId="50F05073" w14:textId="77777777" w:rsidR="002A4B5D" w:rsidRPr="00DB3F11" w:rsidRDefault="002A4B5D" w:rsidP="00922116">
            <w:pPr>
              <w:spacing w:before="40" w:after="40"/>
              <w:jc w:val="right"/>
              <w:rPr>
                <w:b/>
                <w:bCs/>
                <w:color w:val="000000"/>
                <w:sz w:val="16"/>
                <w:szCs w:val="16"/>
              </w:rPr>
            </w:pPr>
            <w:r w:rsidRPr="00DB3F11">
              <w:rPr>
                <w:sz w:val="16"/>
                <w:szCs w:val="16"/>
              </w:rPr>
              <w:t>17.2</w:t>
            </w:r>
          </w:p>
        </w:tc>
        <w:tc>
          <w:tcPr>
            <w:tcW w:w="252" w:type="dxa"/>
            <w:gridSpan w:val="2"/>
            <w:vAlign w:val="bottom"/>
          </w:tcPr>
          <w:p w14:paraId="2E4B2B9D" w14:textId="77777777" w:rsidR="002A4B5D" w:rsidRPr="00DB3F11" w:rsidRDefault="002A4B5D" w:rsidP="00922116">
            <w:pPr>
              <w:spacing w:before="40" w:after="40"/>
              <w:rPr>
                <w:b/>
                <w:bCs/>
                <w:color w:val="000000"/>
                <w:sz w:val="16"/>
                <w:szCs w:val="16"/>
              </w:rPr>
            </w:pPr>
          </w:p>
        </w:tc>
        <w:tc>
          <w:tcPr>
            <w:tcW w:w="924" w:type="dxa"/>
            <w:tcBorders>
              <w:top w:val="single" w:sz="4" w:space="0" w:color="auto"/>
            </w:tcBorders>
            <w:vAlign w:val="bottom"/>
          </w:tcPr>
          <w:p w14:paraId="14D4E5BA" w14:textId="77777777" w:rsidR="002A4B5D" w:rsidRPr="00DB3F11" w:rsidRDefault="002A4B5D" w:rsidP="00922116">
            <w:pPr>
              <w:spacing w:before="40" w:after="40"/>
              <w:jc w:val="right"/>
              <w:rPr>
                <w:b/>
                <w:bCs/>
                <w:color w:val="000000"/>
                <w:sz w:val="16"/>
                <w:szCs w:val="16"/>
              </w:rPr>
            </w:pPr>
            <w:r w:rsidRPr="00DB3F11">
              <w:rPr>
                <w:sz w:val="16"/>
                <w:szCs w:val="16"/>
              </w:rPr>
              <w:t>35.8</w:t>
            </w:r>
          </w:p>
        </w:tc>
        <w:tc>
          <w:tcPr>
            <w:tcW w:w="242" w:type="dxa"/>
            <w:vAlign w:val="bottom"/>
          </w:tcPr>
          <w:p w14:paraId="467DD32E" w14:textId="77777777" w:rsidR="002A4B5D" w:rsidRPr="00DB3F11" w:rsidRDefault="002A4B5D" w:rsidP="00922116">
            <w:pPr>
              <w:spacing w:before="40" w:after="40"/>
              <w:rPr>
                <w:b/>
                <w:bCs/>
                <w:color w:val="000000"/>
                <w:sz w:val="16"/>
                <w:szCs w:val="16"/>
              </w:rPr>
            </w:pPr>
          </w:p>
        </w:tc>
        <w:tc>
          <w:tcPr>
            <w:tcW w:w="924" w:type="dxa"/>
            <w:tcBorders>
              <w:top w:val="single" w:sz="4" w:space="0" w:color="auto"/>
            </w:tcBorders>
            <w:vAlign w:val="bottom"/>
          </w:tcPr>
          <w:p w14:paraId="641B77E8" w14:textId="77777777" w:rsidR="002A4B5D" w:rsidRPr="00DB3F11" w:rsidRDefault="002A4B5D" w:rsidP="00922116">
            <w:pPr>
              <w:spacing w:before="40" w:after="40"/>
              <w:jc w:val="right"/>
              <w:rPr>
                <w:b/>
                <w:bCs/>
                <w:color w:val="000000"/>
                <w:sz w:val="16"/>
                <w:szCs w:val="16"/>
              </w:rPr>
            </w:pPr>
            <w:r w:rsidRPr="00DB3F11">
              <w:rPr>
                <w:sz w:val="16"/>
                <w:szCs w:val="16"/>
              </w:rPr>
              <w:t>93.6</w:t>
            </w:r>
          </w:p>
        </w:tc>
        <w:tc>
          <w:tcPr>
            <w:tcW w:w="242" w:type="dxa"/>
            <w:vAlign w:val="bottom"/>
          </w:tcPr>
          <w:p w14:paraId="0CD3E437" w14:textId="77777777" w:rsidR="002A4B5D" w:rsidRPr="00DB3F11" w:rsidRDefault="002A4B5D" w:rsidP="00922116">
            <w:pPr>
              <w:spacing w:before="40" w:after="40"/>
              <w:rPr>
                <w:b/>
                <w:bCs/>
                <w:sz w:val="16"/>
                <w:szCs w:val="16"/>
              </w:rPr>
            </w:pPr>
          </w:p>
        </w:tc>
        <w:tc>
          <w:tcPr>
            <w:tcW w:w="924" w:type="dxa"/>
            <w:tcBorders>
              <w:top w:val="single" w:sz="4" w:space="0" w:color="auto"/>
            </w:tcBorders>
            <w:vAlign w:val="bottom"/>
          </w:tcPr>
          <w:p w14:paraId="37E6B8CB" w14:textId="77777777" w:rsidR="002A4B5D" w:rsidRPr="00DB3F11" w:rsidRDefault="002A4B5D" w:rsidP="00922116">
            <w:pPr>
              <w:spacing w:before="40" w:after="40"/>
              <w:jc w:val="right"/>
              <w:rPr>
                <w:b/>
                <w:bCs/>
                <w:sz w:val="16"/>
                <w:szCs w:val="16"/>
              </w:rPr>
            </w:pPr>
            <w:r w:rsidRPr="00DB3F11">
              <w:rPr>
                <w:sz w:val="16"/>
                <w:szCs w:val="16"/>
              </w:rPr>
              <w:t>58.7</w:t>
            </w:r>
          </w:p>
        </w:tc>
        <w:tc>
          <w:tcPr>
            <w:tcW w:w="227" w:type="dxa"/>
            <w:vAlign w:val="bottom"/>
          </w:tcPr>
          <w:p w14:paraId="294C2109" w14:textId="77777777" w:rsidR="002A4B5D" w:rsidRPr="00DB3F11" w:rsidRDefault="002A4B5D" w:rsidP="00922116">
            <w:pPr>
              <w:spacing w:before="40" w:after="40"/>
              <w:rPr>
                <w:b/>
                <w:bCs/>
                <w:sz w:val="16"/>
                <w:szCs w:val="16"/>
              </w:rPr>
            </w:pPr>
          </w:p>
        </w:tc>
        <w:tc>
          <w:tcPr>
            <w:tcW w:w="939" w:type="dxa"/>
            <w:tcBorders>
              <w:top w:val="single" w:sz="4" w:space="0" w:color="auto"/>
            </w:tcBorders>
            <w:vAlign w:val="bottom"/>
          </w:tcPr>
          <w:p w14:paraId="689C0F36" w14:textId="77777777" w:rsidR="002A4B5D" w:rsidRPr="00DB3F11" w:rsidRDefault="002A4B5D" w:rsidP="00922116">
            <w:pPr>
              <w:spacing w:before="40" w:after="40"/>
              <w:jc w:val="right"/>
              <w:rPr>
                <w:b/>
                <w:bCs/>
                <w:sz w:val="16"/>
                <w:szCs w:val="16"/>
              </w:rPr>
            </w:pPr>
            <w:r w:rsidRPr="00DB3F11">
              <w:rPr>
                <w:sz w:val="16"/>
                <w:szCs w:val="16"/>
              </w:rPr>
              <w:t>48.4</w:t>
            </w:r>
          </w:p>
        </w:tc>
        <w:tc>
          <w:tcPr>
            <w:tcW w:w="266" w:type="dxa"/>
            <w:vAlign w:val="bottom"/>
          </w:tcPr>
          <w:p w14:paraId="46008C9E" w14:textId="77777777" w:rsidR="002A4B5D" w:rsidRPr="000D2863" w:rsidRDefault="002A4B5D" w:rsidP="00922116">
            <w:pPr>
              <w:spacing w:before="40" w:after="40"/>
              <w:rPr>
                <w:b/>
                <w:bCs/>
                <w:sz w:val="17"/>
                <w:szCs w:val="17"/>
              </w:rPr>
            </w:pPr>
          </w:p>
        </w:tc>
      </w:tr>
    </w:tbl>
    <w:p w14:paraId="63E67346" w14:textId="77777777" w:rsidR="002A4B5D" w:rsidRDefault="00C550DC" w:rsidP="002A4B5D">
      <w:pPr>
        <w:autoSpaceDE w:val="0"/>
        <w:autoSpaceDN w:val="0"/>
        <w:bidi/>
        <w:adjustRightInd w:val="0"/>
        <w:jc w:val="both"/>
        <w:rPr>
          <w:rFonts w:ascii="Traditional Arabic" w:hAnsi="Traditional Arabic" w:cs="Traditional Arabic"/>
          <w:sz w:val="30"/>
          <w:szCs w:val="30"/>
          <w:lang w:bidi="ar-EG"/>
        </w:rPr>
      </w:pPr>
      <w:r>
        <w:rPr>
          <w:rFonts w:ascii="Traditional Arabic" w:hAnsi="Traditional Arabic" w:cs="Traditional Arabic"/>
          <w:sz w:val="30"/>
          <w:szCs w:val="30"/>
          <w:lang w:bidi="ar-EG"/>
        </w:rPr>
        <w:t>_______</w:t>
      </w:r>
    </w:p>
    <w:p w14:paraId="1AE1302E" w14:textId="77777777" w:rsidR="00C550DC" w:rsidRPr="00DA0B2B" w:rsidRDefault="00CB37E2" w:rsidP="00C550DC">
      <w:pPr>
        <w:autoSpaceDE w:val="0"/>
        <w:autoSpaceDN w:val="0"/>
        <w:bidi/>
        <w:adjustRightInd w:val="0"/>
        <w:jc w:val="both"/>
        <w:rPr>
          <w:rFonts w:ascii="Traditional Arabic" w:hAnsi="Traditional Arabic" w:cs="Traditional Arabic"/>
          <w:sz w:val="24"/>
          <w:rtl/>
        </w:rPr>
      </w:pPr>
      <w:r w:rsidRPr="00DA0B2B">
        <w:rPr>
          <w:rFonts w:ascii="Traditional Arabic" w:hAnsi="Traditional Arabic" w:cs="Traditional Arabic" w:hint="cs"/>
          <w:sz w:val="24"/>
          <w:rtl/>
        </w:rPr>
        <w:t>ملاحظة:</w:t>
      </w:r>
    </w:p>
    <w:p w14:paraId="4C020FD4" w14:textId="77777777" w:rsidR="00CB37E2" w:rsidRPr="00DA0B2B" w:rsidRDefault="008918F1" w:rsidP="00DA0B2B">
      <w:pPr>
        <w:pStyle w:val="ListParagraph"/>
        <w:numPr>
          <w:ilvl w:val="0"/>
          <w:numId w:val="75"/>
        </w:numPr>
        <w:autoSpaceDE w:val="0"/>
        <w:autoSpaceDN w:val="0"/>
        <w:bidi/>
        <w:adjustRightInd w:val="0"/>
        <w:ind w:left="429" w:hanging="425"/>
        <w:jc w:val="both"/>
        <w:rPr>
          <w:rFonts w:ascii="Traditional Arabic" w:hAnsi="Traditional Arabic" w:cs="Traditional Arabic"/>
          <w:sz w:val="24"/>
          <w:rtl/>
        </w:rPr>
      </w:pPr>
      <w:r w:rsidRPr="00DA0B2B">
        <w:rPr>
          <w:rFonts w:ascii="Traditional Arabic" w:hAnsi="Traditional Arabic" w:cs="Traditional Arabic"/>
          <w:sz w:val="24"/>
          <w:rtl/>
        </w:rPr>
        <w:t xml:space="preserve">تشمل الإيرادات الأخرى لقطاع </w:t>
      </w:r>
      <w:r w:rsidRPr="00DA0B2B">
        <w:rPr>
          <w:rFonts w:ascii="Traditional Arabic" w:hAnsi="Traditional Arabic" w:cs="Traditional Arabic" w:hint="cs"/>
          <w:sz w:val="24"/>
          <w:rtl/>
        </w:rPr>
        <w:t>نقل</w:t>
      </w:r>
      <w:r w:rsidRPr="00DA0B2B">
        <w:rPr>
          <w:rFonts w:ascii="Traditional Arabic" w:hAnsi="Traditional Arabic" w:cs="Traditional Arabic"/>
          <w:sz w:val="24"/>
          <w:rtl/>
        </w:rPr>
        <w:t xml:space="preserve"> النفط الخام الربح/(الخسارة) من بيع الممتلكات والسفن والمعدات</w:t>
      </w:r>
    </w:p>
    <w:p w14:paraId="36068322" w14:textId="77777777" w:rsidR="002A4B5D" w:rsidRPr="00240371" w:rsidRDefault="002A4B5D" w:rsidP="00240371">
      <w:pPr>
        <w:autoSpaceDE w:val="0"/>
        <w:autoSpaceDN w:val="0"/>
        <w:bidi/>
        <w:adjustRightInd w:val="0"/>
        <w:ind w:left="360"/>
        <w:jc w:val="both"/>
        <w:rPr>
          <w:rFonts w:ascii="Traditional Arabic" w:hAnsi="Traditional Arabic" w:cs="Traditional Arabic"/>
          <w:sz w:val="30"/>
          <w:szCs w:val="30"/>
          <w:rtl/>
        </w:rPr>
      </w:pPr>
    </w:p>
    <w:p w14:paraId="32E18692" w14:textId="77777777" w:rsidR="00D568A2" w:rsidRDefault="00D568A2" w:rsidP="00D568A2">
      <w:pPr>
        <w:autoSpaceDE w:val="0"/>
        <w:autoSpaceDN w:val="0"/>
        <w:bidi/>
        <w:adjustRightInd w:val="0"/>
        <w:jc w:val="both"/>
        <w:rPr>
          <w:rFonts w:ascii="Traditional Arabic" w:hAnsi="Traditional Arabic" w:cs="Traditional Arabic"/>
          <w:sz w:val="30"/>
          <w:szCs w:val="30"/>
          <w:rtl/>
          <w:lang w:bidi="ar-EG"/>
        </w:rPr>
      </w:pPr>
      <w:r w:rsidRPr="00D568A2">
        <w:rPr>
          <w:rFonts w:ascii="Traditional Arabic" w:hAnsi="Traditional Arabic" w:cs="Traditional Arabic"/>
          <w:sz w:val="30"/>
          <w:szCs w:val="30"/>
          <w:rtl/>
          <w:lang w:bidi="ar-EG"/>
        </w:rPr>
        <w:t>(4)</w:t>
      </w:r>
      <w:r w:rsidRPr="00D568A2">
        <w:rPr>
          <w:rFonts w:ascii="Traditional Arabic" w:hAnsi="Traditional Arabic" w:cs="Traditional Arabic"/>
          <w:sz w:val="30"/>
          <w:szCs w:val="30"/>
          <w:rtl/>
          <w:lang w:bidi="ar-EG"/>
        </w:rPr>
        <w:tab/>
        <w:t xml:space="preserve">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لقطاع </w:t>
      </w:r>
      <w:r w:rsidR="00607B02">
        <w:rPr>
          <w:rFonts w:ascii="Traditional Arabic" w:hAnsi="Traditional Arabic" w:cs="Traditional Arabic"/>
          <w:sz w:val="30"/>
          <w:szCs w:val="30"/>
          <w:rtl/>
          <w:lang w:bidi="ar-EG"/>
        </w:rPr>
        <w:t>نقل</w:t>
      </w:r>
      <w:r w:rsidRPr="00D568A2">
        <w:rPr>
          <w:rFonts w:ascii="Traditional Arabic" w:hAnsi="Traditional Arabic" w:cs="Traditional Arabic"/>
          <w:sz w:val="30"/>
          <w:szCs w:val="30"/>
          <w:rtl/>
          <w:lang w:bidi="ar-EG"/>
        </w:rPr>
        <w:t xml:space="preserve"> المنتجات للفترات المشار إليها:</w:t>
      </w:r>
    </w:p>
    <w:p w14:paraId="10F45301" w14:textId="77777777" w:rsidR="00D568A2" w:rsidRDefault="00D568A2" w:rsidP="00D568A2">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AD68F9" w:rsidRPr="00E834EF" w14:paraId="05F8F952" w14:textId="77777777" w:rsidTr="00AD68F9">
        <w:trPr>
          <w:tblHeader/>
        </w:trPr>
        <w:tc>
          <w:tcPr>
            <w:tcW w:w="3254" w:type="dxa"/>
          </w:tcPr>
          <w:p w14:paraId="0820F72D" w14:textId="77777777" w:rsidR="00AD68F9" w:rsidRPr="00E834EF" w:rsidRDefault="00AD68F9" w:rsidP="00AD68F9">
            <w:pPr>
              <w:keepNext/>
              <w:bidi/>
              <w:spacing w:before="40" w:after="120"/>
              <w:rPr>
                <w:b/>
                <w:sz w:val="17"/>
                <w:szCs w:val="17"/>
              </w:rPr>
            </w:pPr>
          </w:p>
        </w:tc>
        <w:tc>
          <w:tcPr>
            <w:tcW w:w="242" w:type="dxa"/>
          </w:tcPr>
          <w:p w14:paraId="73B73A75" w14:textId="77777777" w:rsidR="00AD68F9" w:rsidRPr="00E834EF" w:rsidRDefault="00AD68F9" w:rsidP="00AD68F9">
            <w:pPr>
              <w:spacing w:before="40" w:after="40"/>
              <w:rPr>
                <w:sz w:val="17"/>
                <w:szCs w:val="17"/>
              </w:rPr>
            </w:pPr>
          </w:p>
        </w:tc>
        <w:tc>
          <w:tcPr>
            <w:tcW w:w="3255" w:type="dxa"/>
            <w:gridSpan w:val="6"/>
            <w:tcBorders>
              <w:bottom w:val="single" w:sz="4" w:space="0" w:color="auto"/>
            </w:tcBorders>
          </w:tcPr>
          <w:p w14:paraId="574A94C9" w14:textId="77777777" w:rsidR="00AD68F9" w:rsidRPr="00E834EF" w:rsidRDefault="00AD68F9" w:rsidP="00AD68F9">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633ACDA4" w14:textId="77777777" w:rsidR="00AD68F9" w:rsidRPr="00E834EF" w:rsidRDefault="00AD68F9" w:rsidP="00AD68F9">
            <w:pPr>
              <w:spacing w:before="40" w:after="40"/>
              <w:rPr>
                <w:sz w:val="17"/>
                <w:szCs w:val="17"/>
              </w:rPr>
            </w:pPr>
          </w:p>
        </w:tc>
        <w:tc>
          <w:tcPr>
            <w:tcW w:w="2090" w:type="dxa"/>
            <w:gridSpan w:val="3"/>
            <w:tcBorders>
              <w:bottom w:val="single" w:sz="4" w:space="0" w:color="auto"/>
            </w:tcBorders>
          </w:tcPr>
          <w:p w14:paraId="61EFF89F" w14:textId="77777777" w:rsidR="00AD68F9" w:rsidRPr="00E834EF" w:rsidRDefault="00AD68F9" w:rsidP="00AD68F9">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4E21E91E" w14:textId="77777777" w:rsidR="00AD68F9" w:rsidRPr="00E834EF" w:rsidRDefault="00AD68F9" w:rsidP="00AD68F9">
            <w:pPr>
              <w:keepNext/>
              <w:spacing w:before="40" w:after="120"/>
              <w:jc w:val="center"/>
              <w:rPr>
                <w:b/>
                <w:sz w:val="17"/>
                <w:szCs w:val="17"/>
              </w:rPr>
            </w:pPr>
          </w:p>
        </w:tc>
      </w:tr>
      <w:tr w:rsidR="00AD68F9" w:rsidRPr="00E834EF" w14:paraId="263DF5C0" w14:textId="77777777" w:rsidTr="00AD68F9">
        <w:trPr>
          <w:tblHeader/>
        </w:trPr>
        <w:tc>
          <w:tcPr>
            <w:tcW w:w="3254" w:type="dxa"/>
          </w:tcPr>
          <w:p w14:paraId="3B8174F6" w14:textId="77777777" w:rsidR="00AD68F9" w:rsidRPr="00E834EF" w:rsidRDefault="00AD68F9" w:rsidP="00AD68F9">
            <w:pPr>
              <w:keepNext/>
              <w:bidi/>
              <w:spacing w:before="40" w:after="120"/>
              <w:rPr>
                <w:b/>
                <w:sz w:val="17"/>
                <w:szCs w:val="17"/>
              </w:rPr>
            </w:pPr>
          </w:p>
        </w:tc>
        <w:tc>
          <w:tcPr>
            <w:tcW w:w="242" w:type="dxa"/>
          </w:tcPr>
          <w:p w14:paraId="7070E7B7" w14:textId="77777777" w:rsidR="00AD68F9" w:rsidRPr="00E834EF" w:rsidRDefault="00AD68F9" w:rsidP="00AD68F9">
            <w:pPr>
              <w:spacing w:before="40" w:after="40"/>
              <w:rPr>
                <w:sz w:val="17"/>
                <w:szCs w:val="17"/>
              </w:rPr>
            </w:pPr>
          </w:p>
        </w:tc>
        <w:tc>
          <w:tcPr>
            <w:tcW w:w="923" w:type="dxa"/>
            <w:gridSpan w:val="2"/>
            <w:tcBorders>
              <w:top w:val="single" w:sz="4" w:space="0" w:color="auto"/>
              <w:bottom w:val="single" w:sz="4" w:space="0" w:color="auto"/>
            </w:tcBorders>
          </w:tcPr>
          <w:p w14:paraId="36765C54" w14:textId="77777777" w:rsidR="00AD68F9" w:rsidRPr="00E834EF" w:rsidRDefault="00AD68F9" w:rsidP="00AD68F9">
            <w:pPr>
              <w:keepNext/>
              <w:spacing w:before="40" w:after="120"/>
              <w:jc w:val="right"/>
              <w:rPr>
                <w:b/>
                <w:sz w:val="17"/>
                <w:szCs w:val="17"/>
              </w:rPr>
            </w:pPr>
            <w:r w:rsidRPr="00E834EF">
              <w:rPr>
                <w:b/>
                <w:sz w:val="17"/>
                <w:szCs w:val="17"/>
              </w:rPr>
              <w:t>2021</w:t>
            </w:r>
          </w:p>
        </w:tc>
        <w:tc>
          <w:tcPr>
            <w:tcW w:w="242" w:type="dxa"/>
          </w:tcPr>
          <w:p w14:paraId="75C0DE4D"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031D1D5F" w14:textId="77777777" w:rsidR="00AD68F9" w:rsidRPr="00E834EF" w:rsidRDefault="00AD68F9" w:rsidP="00AD68F9">
            <w:pPr>
              <w:keepNext/>
              <w:spacing w:before="40" w:after="120"/>
              <w:jc w:val="right"/>
              <w:rPr>
                <w:b/>
                <w:sz w:val="17"/>
                <w:szCs w:val="17"/>
              </w:rPr>
            </w:pPr>
            <w:r w:rsidRPr="00E834EF">
              <w:rPr>
                <w:b/>
                <w:sz w:val="17"/>
                <w:szCs w:val="17"/>
              </w:rPr>
              <w:t>2022</w:t>
            </w:r>
          </w:p>
        </w:tc>
        <w:tc>
          <w:tcPr>
            <w:tcW w:w="242" w:type="dxa"/>
          </w:tcPr>
          <w:p w14:paraId="0EFC807C"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07D9C6A8" w14:textId="77777777" w:rsidR="00AD68F9" w:rsidRPr="00E834EF" w:rsidRDefault="00AD68F9" w:rsidP="00AD68F9">
            <w:pPr>
              <w:keepNext/>
              <w:spacing w:before="40" w:after="120"/>
              <w:jc w:val="right"/>
              <w:rPr>
                <w:b/>
                <w:sz w:val="17"/>
                <w:szCs w:val="17"/>
              </w:rPr>
            </w:pPr>
            <w:r w:rsidRPr="00E834EF">
              <w:rPr>
                <w:b/>
                <w:sz w:val="17"/>
                <w:szCs w:val="17"/>
              </w:rPr>
              <w:t>2023</w:t>
            </w:r>
          </w:p>
        </w:tc>
        <w:tc>
          <w:tcPr>
            <w:tcW w:w="242" w:type="dxa"/>
          </w:tcPr>
          <w:p w14:paraId="48A6C896"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416A0D1E" w14:textId="77777777" w:rsidR="00AD68F9" w:rsidRPr="00E834EF" w:rsidRDefault="00AD68F9" w:rsidP="00AD68F9">
            <w:pPr>
              <w:keepNext/>
              <w:spacing w:before="40" w:after="120"/>
              <w:jc w:val="right"/>
              <w:rPr>
                <w:b/>
                <w:sz w:val="17"/>
                <w:szCs w:val="17"/>
              </w:rPr>
            </w:pPr>
            <w:r w:rsidRPr="00E834EF">
              <w:rPr>
                <w:b/>
                <w:sz w:val="17"/>
                <w:szCs w:val="17"/>
              </w:rPr>
              <w:t>2023</w:t>
            </w:r>
          </w:p>
        </w:tc>
        <w:tc>
          <w:tcPr>
            <w:tcW w:w="227" w:type="dxa"/>
          </w:tcPr>
          <w:p w14:paraId="1C85FD96" w14:textId="77777777" w:rsidR="00AD68F9" w:rsidRPr="00E834EF" w:rsidRDefault="00AD68F9" w:rsidP="00AD68F9">
            <w:pPr>
              <w:spacing w:before="40" w:after="40"/>
              <w:rPr>
                <w:sz w:val="17"/>
                <w:szCs w:val="17"/>
              </w:rPr>
            </w:pPr>
          </w:p>
        </w:tc>
        <w:tc>
          <w:tcPr>
            <w:tcW w:w="939" w:type="dxa"/>
            <w:tcBorders>
              <w:top w:val="single" w:sz="4" w:space="0" w:color="auto"/>
              <w:bottom w:val="single" w:sz="4" w:space="0" w:color="auto"/>
            </w:tcBorders>
          </w:tcPr>
          <w:p w14:paraId="5B5E141F" w14:textId="77777777" w:rsidR="00AD68F9" w:rsidRPr="00E834EF" w:rsidRDefault="00AD68F9" w:rsidP="00AD68F9">
            <w:pPr>
              <w:keepNext/>
              <w:spacing w:before="40" w:after="120"/>
              <w:jc w:val="right"/>
              <w:rPr>
                <w:b/>
                <w:sz w:val="17"/>
                <w:szCs w:val="17"/>
              </w:rPr>
            </w:pPr>
            <w:r w:rsidRPr="00E834EF">
              <w:rPr>
                <w:b/>
                <w:sz w:val="17"/>
                <w:szCs w:val="17"/>
              </w:rPr>
              <w:t>2024</w:t>
            </w:r>
          </w:p>
        </w:tc>
        <w:tc>
          <w:tcPr>
            <w:tcW w:w="266" w:type="dxa"/>
          </w:tcPr>
          <w:p w14:paraId="4336BEAE" w14:textId="77777777" w:rsidR="00AD68F9" w:rsidRPr="00E834EF" w:rsidRDefault="00AD68F9" w:rsidP="00AD68F9">
            <w:pPr>
              <w:keepNext/>
              <w:spacing w:before="40" w:after="120"/>
              <w:jc w:val="right"/>
              <w:rPr>
                <w:b/>
                <w:sz w:val="17"/>
                <w:szCs w:val="17"/>
              </w:rPr>
            </w:pPr>
          </w:p>
        </w:tc>
      </w:tr>
      <w:tr w:rsidR="00AD68F9" w:rsidRPr="00E834EF" w14:paraId="716AECAB" w14:textId="77777777" w:rsidTr="00AD68F9">
        <w:trPr>
          <w:trHeight w:val="215"/>
          <w:tblHeader/>
        </w:trPr>
        <w:tc>
          <w:tcPr>
            <w:tcW w:w="3254" w:type="dxa"/>
          </w:tcPr>
          <w:p w14:paraId="320986BD" w14:textId="77777777" w:rsidR="00AD68F9" w:rsidRPr="00E834EF" w:rsidRDefault="00AD68F9" w:rsidP="00AD68F9">
            <w:pPr>
              <w:keepNext/>
              <w:bidi/>
              <w:spacing w:before="40" w:after="120"/>
              <w:jc w:val="center"/>
              <w:rPr>
                <w:i/>
                <w:sz w:val="17"/>
                <w:szCs w:val="17"/>
              </w:rPr>
            </w:pPr>
          </w:p>
        </w:tc>
        <w:tc>
          <w:tcPr>
            <w:tcW w:w="242" w:type="dxa"/>
          </w:tcPr>
          <w:p w14:paraId="3282DF25" w14:textId="77777777" w:rsidR="00AD68F9" w:rsidRPr="00E834EF" w:rsidRDefault="00AD68F9" w:rsidP="00AD68F9">
            <w:pPr>
              <w:keepNext/>
              <w:spacing w:before="40" w:after="120"/>
              <w:jc w:val="center"/>
              <w:rPr>
                <w:i/>
                <w:sz w:val="17"/>
                <w:szCs w:val="17"/>
              </w:rPr>
            </w:pPr>
          </w:p>
        </w:tc>
        <w:tc>
          <w:tcPr>
            <w:tcW w:w="5587" w:type="dxa"/>
            <w:gridSpan w:val="10"/>
          </w:tcPr>
          <w:p w14:paraId="61B76A27" w14:textId="77777777" w:rsidR="00AD68F9" w:rsidRPr="00E834EF" w:rsidRDefault="00AD68F9" w:rsidP="00AD68F9">
            <w:pPr>
              <w:keepNext/>
              <w:spacing w:before="40" w:after="120"/>
              <w:jc w:val="center"/>
              <w:rPr>
                <w:i/>
                <w:sz w:val="17"/>
                <w:szCs w:val="17"/>
              </w:rPr>
            </w:pPr>
            <w:r w:rsidRPr="00E834EF">
              <w:rPr>
                <w:i/>
                <w:color w:val="000000"/>
                <w:sz w:val="17"/>
                <w:szCs w:val="17"/>
              </w:rPr>
              <w:t>(</w:t>
            </w:r>
            <w:r>
              <w:rPr>
                <w:i/>
                <w:color w:val="000000"/>
                <w:sz w:val="17"/>
                <w:szCs w:val="17"/>
              </w:rPr>
              <w:t>OMR</w:t>
            </w:r>
            <w:r w:rsidRPr="00E834EF">
              <w:rPr>
                <w:i/>
                <w:color w:val="000000"/>
                <w:sz w:val="17"/>
                <w:szCs w:val="17"/>
              </w:rPr>
              <w:t xml:space="preserve"> </w:t>
            </w:r>
            <w:r>
              <w:rPr>
                <w:i/>
                <w:color w:val="000000"/>
                <w:sz w:val="17"/>
                <w:szCs w:val="17"/>
              </w:rPr>
              <w:t>millions</w:t>
            </w:r>
            <w:r w:rsidRPr="00E834EF">
              <w:rPr>
                <w:i/>
                <w:color w:val="000000"/>
                <w:sz w:val="17"/>
                <w:szCs w:val="17"/>
              </w:rPr>
              <w:t>)</w:t>
            </w:r>
          </w:p>
        </w:tc>
        <w:tc>
          <w:tcPr>
            <w:tcW w:w="266" w:type="dxa"/>
          </w:tcPr>
          <w:p w14:paraId="54704098" w14:textId="77777777" w:rsidR="00AD68F9" w:rsidRPr="00E834EF" w:rsidRDefault="00AD68F9" w:rsidP="00AD68F9">
            <w:pPr>
              <w:keepNext/>
              <w:spacing w:before="40" w:after="120"/>
              <w:jc w:val="center"/>
              <w:rPr>
                <w:i/>
                <w:color w:val="000000"/>
                <w:sz w:val="17"/>
                <w:szCs w:val="17"/>
              </w:rPr>
            </w:pPr>
          </w:p>
        </w:tc>
      </w:tr>
      <w:tr w:rsidR="00AD68F9" w:rsidRPr="00E834EF" w14:paraId="6A456873" w14:textId="77777777" w:rsidTr="00AD68F9">
        <w:tc>
          <w:tcPr>
            <w:tcW w:w="3254" w:type="dxa"/>
            <w:vAlign w:val="bottom"/>
          </w:tcPr>
          <w:p w14:paraId="2E065A14" w14:textId="77777777" w:rsidR="00AD68F9" w:rsidRDefault="00AD68F9" w:rsidP="00AD68F9">
            <w:pPr>
              <w:tabs>
                <w:tab w:val="right" w:leader="dot" w:pos="3255"/>
              </w:tabs>
              <w:bidi/>
              <w:spacing w:before="40" w:after="40"/>
              <w:ind w:left="12"/>
              <w:rPr>
                <w:b/>
                <w:bCs/>
                <w:color w:val="000000"/>
                <w:sz w:val="17"/>
                <w:szCs w:val="17"/>
              </w:rPr>
            </w:pPr>
            <w:r>
              <w:rPr>
                <w:rFonts w:hint="cs"/>
                <w:b/>
                <w:bCs/>
                <w:color w:val="000000"/>
                <w:sz w:val="17"/>
                <w:szCs w:val="17"/>
                <w:rtl/>
              </w:rPr>
              <w:t xml:space="preserve">إيرادات </w:t>
            </w:r>
            <w:r w:rsidR="00607B02">
              <w:rPr>
                <w:rFonts w:hint="cs"/>
                <w:b/>
                <w:bCs/>
                <w:color w:val="000000"/>
                <w:sz w:val="17"/>
                <w:szCs w:val="17"/>
                <w:rtl/>
              </w:rPr>
              <w:t>نقل</w:t>
            </w:r>
            <w:r>
              <w:rPr>
                <w:rFonts w:hint="cs"/>
                <w:b/>
                <w:bCs/>
                <w:color w:val="000000"/>
                <w:sz w:val="17"/>
                <w:szCs w:val="17"/>
                <w:rtl/>
              </w:rPr>
              <w:t xml:space="preserve"> المنتجات</w:t>
            </w:r>
            <w:r w:rsidRPr="0054596C">
              <w:rPr>
                <w:sz w:val="17"/>
              </w:rPr>
              <w:tab/>
            </w:r>
          </w:p>
        </w:tc>
        <w:tc>
          <w:tcPr>
            <w:tcW w:w="242" w:type="dxa"/>
            <w:vAlign w:val="bottom"/>
          </w:tcPr>
          <w:p w14:paraId="44BA71C7" w14:textId="77777777" w:rsidR="00AD68F9" w:rsidRPr="00E834EF" w:rsidRDefault="00AD68F9" w:rsidP="00AD68F9">
            <w:pPr>
              <w:spacing w:before="40" w:after="40"/>
              <w:rPr>
                <w:sz w:val="17"/>
                <w:szCs w:val="17"/>
              </w:rPr>
            </w:pPr>
          </w:p>
        </w:tc>
        <w:tc>
          <w:tcPr>
            <w:tcW w:w="913" w:type="dxa"/>
            <w:vAlign w:val="bottom"/>
          </w:tcPr>
          <w:p w14:paraId="3FABC831" w14:textId="77777777" w:rsidR="00AD68F9" w:rsidRPr="000A73F0" w:rsidRDefault="00AD68F9" w:rsidP="00AD68F9">
            <w:pPr>
              <w:spacing w:before="40" w:after="40"/>
              <w:jc w:val="right"/>
              <w:rPr>
                <w:color w:val="000000"/>
                <w:sz w:val="17"/>
                <w:szCs w:val="17"/>
              </w:rPr>
            </w:pPr>
            <w:r>
              <w:rPr>
                <w:sz w:val="17"/>
                <w:szCs w:val="17"/>
              </w:rPr>
              <w:t>30.2</w:t>
            </w:r>
          </w:p>
        </w:tc>
        <w:tc>
          <w:tcPr>
            <w:tcW w:w="252" w:type="dxa"/>
            <w:gridSpan w:val="2"/>
            <w:vAlign w:val="bottom"/>
          </w:tcPr>
          <w:p w14:paraId="3C2BE508" w14:textId="77777777" w:rsidR="00AD68F9" w:rsidRPr="007766C5" w:rsidRDefault="00AD68F9" w:rsidP="00AD68F9">
            <w:pPr>
              <w:spacing w:before="40" w:after="40"/>
              <w:rPr>
                <w:color w:val="000000"/>
                <w:sz w:val="17"/>
                <w:szCs w:val="17"/>
              </w:rPr>
            </w:pPr>
          </w:p>
        </w:tc>
        <w:tc>
          <w:tcPr>
            <w:tcW w:w="924" w:type="dxa"/>
            <w:vAlign w:val="bottom"/>
          </w:tcPr>
          <w:p w14:paraId="7AFE2697" w14:textId="77777777" w:rsidR="00AD68F9" w:rsidRPr="007766C5" w:rsidRDefault="00AD68F9" w:rsidP="00AD68F9">
            <w:pPr>
              <w:spacing w:before="40" w:after="40"/>
              <w:jc w:val="right"/>
              <w:rPr>
                <w:color w:val="000000"/>
                <w:sz w:val="17"/>
                <w:szCs w:val="17"/>
              </w:rPr>
            </w:pPr>
            <w:r>
              <w:rPr>
                <w:sz w:val="17"/>
                <w:szCs w:val="17"/>
              </w:rPr>
              <w:t>57.7</w:t>
            </w:r>
          </w:p>
        </w:tc>
        <w:tc>
          <w:tcPr>
            <w:tcW w:w="242" w:type="dxa"/>
            <w:vAlign w:val="bottom"/>
          </w:tcPr>
          <w:p w14:paraId="031B6206" w14:textId="77777777" w:rsidR="00AD68F9" w:rsidRPr="007766C5" w:rsidRDefault="00AD68F9" w:rsidP="00AD68F9">
            <w:pPr>
              <w:spacing w:before="40" w:after="40"/>
              <w:rPr>
                <w:color w:val="000000"/>
                <w:sz w:val="17"/>
                <w:szCs w:val="17"/>
              </w:rPr>
            </w:pPr>
          </w:p>
        </w:tc>
        <w:tc>
          <w:tcPr>
            <w:tcW w:w="924" w:type="dxa"/>
            <w:vAlign w:val="bottom"/>
          </w:tcPr>
          <w:p w14:paraId="4C8C3AB3" w14:textId="77777777" w:rsidR="00AD68F9" w:rsidRPr="007766C5" w:rsidRDefault="00AD68F9" w:rsidP="00AD68F9">
            <w:pPr>
              <w:spacing w:before="40" w:after="40"/>
              <w:jc w:val="right"/>
              <w:rPr>
                <w:color w:val="000000"/>
                <w:sz w:val="17"/>
                <w:szCs w:val="17"/>
              </w:rPr>
            </w:pPr>
            <w:r>
              <w:rPr>
                <w:sz w:val="17"/>
                <w:szCs w:val="17"/>
              </w:rPr>
              <w:t>83.0</w:t>
            </w:r>
          </w:p>
        </w:tc>
        <w:tc>
          <w:tcPr>
            <w:tcW w:w="242" w:type="dxa"/>
            <w:vAlign w:val="bottom"/>
          </w:tcPr>
          <w:p w14:paraId="3AB4B98D" w14:textId="77777777" w:rsidR="00AD68F9" w:rsidRPr="007766C5" w:rsidRDefault="00AD68F9" w:rsidP="00AD68F9">
            <w:pPr>
              <w:spacing w:before="40" w:after="40"/>
              <w:rPr>
                <w:sz w:val="17"/>
                <w:szCs w:val="17"/>
              </w:rPr>
            </w:pPr>
          </w:p>
        </w:tc>
        <w:tc>
          <w:tcPr>
            <w:tcW w:w="924" w:type="dxa"/>
            <w:vAlign w:val="bottom"/>
          </w:tcPr>
          <w:p w14:paraId="423F1C81" w14:textId="77777777" w:rsidR="00AD68F9" w:rsidRPr="007766C5" w:rsidRDefault="00AD68F9" w:rsidP="00AD68F9">
            <w:pPr>
              <w:spacing w:before="40" w:after="40"/>
              <w:jc w:val="right"/>
              <w:rPr>
                <w:sz w:val="17"/>
                <w:szCs w:val="17"/>
              </w:rPr>
            </w:pPr>
            <w:r>
              <w:rPr>
                <w:sz w:val="17"/>
                <w:szCs w:val="17"/>
              </w:rPr>
              <w:t>61.1</w:t>
            </w:r>
          </w:p>
        </w:tc>
        <w:tc>
          <w:tcPr>
            <w:tcW w:w="227" w:type="dxa"/>
            <w:vAlign w:val="bottom"/>
          </w:tcPr>
          <w:p w14:paraId="0A35693E" w14:textId="77777777" w:rsidR="00AD68F9" w:rsidRPr="007766C5" w:rsidRDefault="00AD68F9" w:rsidP="00AD68F9">
            <w:pPr>
              <w:spacing w:before="40" w:after="40"/>
              <w:rPr>
                <w:sz w:val="17"/>
                <w:szCs w:val="17"/>
              </w:rPr>
            </w:pPr>
          </w:p>
        </w:tc>
        <w:tc>
          <w:tcPr>
            <w:tcW w:w="939" w:type="dxa"/>
            <w:vAlign w:val="bottom"/>
          </w:tcPr>
          <w:p w14:paraId="3E1323F9" w14:textId="77777777" w:rsidR="00AD68F9" w:rsidRPr="007766C5" w:rsidRDefault="00AD68F9" w:rsidP="00AD68F9">
            <w:pPr>
              <w:spacing w:before="40" w:after="40"/>
              <w:jc w:val="right"/>
              <w:rPr>
                <w:sz w:val="17"/>
                <w:szCs w:val="17"/>
              </w:rPr>
            </w:pPr>
            <w:r>
              <w:rPr>
                <w:sz w:val="17"/>
                <w:szCs w:val="17"/>
              </w:rPr>
              <w:t>74.2</w:t>
            </w:r>
          </w:p>
        </w:tc>
        <w:tc>
          <w:tcPr>
            <w:tcW w:w="266" w:type="dxa"/>
          </w:tcPr>
          <w:p w14:paraId="7F57E6FD" w14:textId="77777777" w:rsidR="00AD68F9" w:rsidRPr="000D2863" w:rsidRDefault="00AD68F9" w:rsidP="00AD68F9">
            <w:pPr>
              <w:spacing w:before="40" w:after="40"/>
              <w:rPr>
                <w:sz w:val="17"/>
                <w:szCs w:val="17"/>
              </w:rPr>
            </w:pPr>
          </w:p>
        </w:tc>
      </w:tr>
      <w:tr w:rsidR="00AD68F9" w:rsidRPr="00E834EF" w14:paraId="33F6D1DD" w14:textId="77777777" w:rsidTr="00AD68F9">
        <w:tc>
          <w:tcPr>
            <w:tcW w:w="3254" w:type="dxa"/>
          </w:tcPr>
          <w:p w14:paraId="03C4FD64" w14:textId="77777777" w:rsidR="00AD68F9" w:rsidRDefault="00AD68F9" w:rsidP="00AD68F9">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3739913D" w14:textId="77777777" w:rsidR="00AD68F9" w:rsidRPr="00E834EF" w:rsidRDefault="00F10540" w:rsidP="00AD68F9">
            <w:pPr>
              <w:spacing w:before="40" w:after="40"/>
              <w:rPr>
                <w:sz w:val="17"/>
                <w:szCs w:val="17"/>
              </w:rPr>
            </w:pPr>
            <w:r>
              <w:rPr>
                <w:sz w:val="17"/>
                <w:szCs w:val="17"/>
              </w:rPr>
              <w:t>)</w:t>
            </w:r>
          </w:p>
        </w:tc>
        <w:tc>
          <w:tcPr>
            <w:tcW w:w="913" w:type="dxa"/>
            <w:tcBorders>
              <w:bottom w:val="single" w:sz="4" w:space="0" w:color="auto"/>
            </w:tcBorders>
            <w:vAlign w:val="bottom"/>
          </w:tcPr>
          <w:p w14:paraId="36859592" w14:textId="77777777" w:rsidR="00AD68F9" w:rsidRPr="000A73F0" w:rsidRDefault="00AD68F9" w:rsidP="00AD68F9">
            <w:pPr>
              <w:spacing w:before="40" w:after="40"/>
              <w:jc w:val="right"/>
              <w:rPr>
                <w:color w:val="000000"/>
                <w:sz w:val="17"/>
                <w:szCs w:val="17"/>
              </w:rPr>
            </w:pPr>
            <w:r>
              <w:rPr>
                <w:sz w:val="17"/>
                <w:szCs w:val="17"/>
              </w:rPr>
              <w:t>(1.8</w:t>
            </w:r>
          </w:p>
        </w:tc>
        <w:tc>
          <w:tcPr>
            <w:tcW w:w="252" w:type="dxa"/>
            <w:gridSpan w:val="2"/>
            <w:vAlign w:val="bottom"/>
          </w:tcPr>
          <w:p w14:paraId="3DC7D5A9" w14:textId="77777777" w:rsidR="00AD68F9" w:rsidRPr="007766C5" w:rsidRDefault="00AD68F9" w:rsidP="00AD68F9">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365C8325" w14:textId="77777777" w:rsidR="00AD68F9" w:rsidRPr="007766C5" w:rsidRDefault="00AD68F9" w:rsidP="00AD68F9">
            <w:pPr>
              <w:spacing w:before="40" w:after="40"/>
              <w:jc w:val="right"/>
              <w:rPr>
                <w:color w:val="000000"/>
                <w:sz w:val="17"/>
                <w:szCs w:val="17"/>
              </w:rPr>
            </w:pPr>
            <w:r>
              <w:rPr>
                <w:sz w:val="17"/>
                <w:szCs w:val="17"/>
              </w:rPr>
              <w:t>(8.3</w:t>
            </w:r>
          </w:p>
        </w:tc>
        <w:tc>
          <w:tcPr>
            <w:tcW w:w="242" w:type="dxa"/>
            <w:vAlign w:val="bottom"/>
          </w:tcPr>
          <w:p w14:paraId="161FF89D" w14:textId="77777777" w:rsidR="00AD68F9" w:rsidRPr="007766C5" w:rsidRDefault="00AD68F9" w:rsidP="00AD68F9">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63914E2A" w14:textId="77777777" w:rsidR="00AD68F9" w:rsidRPr="007766C5" w:rsidRDefault="00AD68F9" w:rsidP="00AD68F9">
            <w:pPr>
              <w:spacing w:before="40" w:after="40"/>
              <w:jc w:val="right"/>
              <w:rPr>
                <w:color w:val="000000"/>
                <w:sz w:val="17"/>
                <w:szCs w:val="17"/>
              </w:rPr>
            </w:pPr>
            <w:r>
              <w:rPr>
                <w:sz w:val="17"/>
                <w:szCs w:val="17"/>
              </w:rPr>
              <w:t>(6.0</w:t>
            </w:r>
          </w:p>
        </w:tc>
        <w:tc>
          <w:tcPr>
            <w:tcW w:w="242" w:type="dxa"/>
            <w:vAlign w:val="bottom"/>
          </w:tcPr>
          <w:p w14:paraId="587084C3" w14:textId="77777777" w:rsidR="00AD68F9" w:rsidRPr="007766C5" w:rsidRDefault="00AD68F9" w:rsidP="00AD68F9">
            <w:pPr>
              <w:spacing w:before="40" w:after="40"/>
              <w:rPr>
                <w:sz w:val="17"/>
                <w:szCs w:val="17"/>
              </w:rPr>
            </w:pPr>
            <w:r>
              <w:rPr>
                <w:sz w:val="17"/>
                <w:szCs w:val="17"/>
              </w:rPr>
              <w:t>)</w:t>
            </w:r>
          </w:p>
        </w:tc>
        <w:tc>
          <w:tcPr>
            <w:tcW w:w="924" w:type="dxa"/>
            <w:tcBorders>
              <w:bottom w:val="single" w:sz="4" w:space="0" w:color="auto"/>
            </w:tcBorders>
            <w:vAlign w:val="bottom"/>
          </w:tcPr>
          <w:p w14:paraId="6FA20F11" w14:textId="77777777" w:rsidR="00AD68F9" w:rsidRPr="007766C5" w:rsidRDefault="00AD68F9" w:rsidP="00AD68F9">
            <w:pPr>
              <w:spacing w:before="40" w:after="40"/>
              <w:jc w:val="right"/>
              <w:rPr>
                <w:sz w:val="17"/>
                <w:szCs w:val="17"/>
              </w:rPr>
            </w:pPr>
            <w:r>
              <w:rPr>
                <w:sz w:val="17"/>
                <w:szCs w:val="17"/>
              </w:rPr>
              <w:t>(5.7</w:t>
            </w:r>
          </w:p>
        </w:tc>
        <w:tc>
          <w:tcPr>
            <w:tcW w:w="227" w:type="dxa"/>
            <w:vAlign w:val="bottom"/>
          </w:tcPr>
          <w:p w14:paraId="37290466" w14:textId="77777777" w:rsidR="00AD68F9" w:rsidRPr="007766C5" w:rsidRDefault="00AD68F9" w:rsidP="00AD68F9">
            <w:pPr>
              <w:spacing w:before="40" w:after="40"/>
              <w:rPr>
                <w:sz w:val="17"/>
                <w:szCs w:val="17"/>
              </w:rPr>
            </w:pPr>
            <w:r>
              <w:rPr>
                <w:sz w:val="17"/>
                <w:szCs w:val="17"/>
              </w:rPr>
              <w:t>)</w:t>
            </w:r>
          </w:p>
        </w:tc>
        <w:tc>
          <w:tcPr>
            <w:tcW w:w="939" w:type="dxa"/>
            <w:tcBorders>
              <w:bottom w:val="single" w:sz="4" w:space="0" w:color="auto"/>
            </w:tcBorders>
            <w:vAlign w:val="bottom"/>
          </w:tcPr>
          <w:p w14:paraId="3B9A9565" w14:textId="77777777" w:rsidR="00AD68F9" w:rsidRPr="007766C5" w:rsidRDefault="00AD68F9" w:rsidP="00AD68F9">
            <w:pPr>
              <w:spacing w:before="40" w:after="40"/>
              <w:jc w:val="right"/>
              <w:rPr>
                <w:sz w:val="17"/>
                <w:szCs w:val="17"/>
              </w:rPr>
            </w:pPr>
            <w:r>
              <w:rPr>
                <w:sz w:val="17"/>
                <w:szCs w:val="17"/>
              </w:rPr>
              <w:t>(0.7</w:t>
            </w:r>
          </w:p>
        </w:tc>
        <w:tc>
          <w:tcPr>
            <w:tcW w:w="266" w:type="dxa"/>
            <w:vAlign w:val="bottom"/>
          </w:tcPr>
          <w:p w14:paraId="34622373" w14:textId="77777777" w:rsidR="00AD68F9" w:rsidRPr="007766C5" w:rsidRDefault="00AD68F9" w:rsidP="00AD68F9">
            <w:pPr>
              <w:spacing w:before="40" w:after="40"/>
              <w:rPr>
                <w:sz w:val="17"/>
                <w:szCs w:val="17"/>
              </w:rPr>
            </w:pPr>
          </w:p>
        </w:tc>
      </w:tr>
      <w:tr w:rsidR="00AD68F9" w:rsidRPr="00E834EF" w14:paraId="0F724C57" w14:textId="77777777" w:rsidTr="00AD68F9">
        <w:tc>
          <w:tcPr>
            <w:tcW w:w="3254" w:type="dxa"/>
          </w:tcPr>
          <w:p w14:paraId="1EDDD205" w14:textId="77777777" w:rsidR="00AD68F9" w:rsidRDefault="00AD68F9" w:rsidP="00AD68F9">
            <w:pPr>
              <w:tabs>
                <w:tab w:val="right" w:leader="dot" w:pos="3255"/>
              </w:tabs>
              <w:bidi/>
              <w:spacing w:before="40" w:after="40"/>
              <w:rPr>
                <w:b/>
                <w:bCs/>
                <w:sz w:val="17"/>
                <w:szCs w:val="17"/>
                <w:u w:val="single"/>
              </w:rPr>
            </w:pPr>
            <w:r w:rsidRPr="002A4B5D">
              <w:rPr>
                <w:rFonts w:hint="cs"/>
                <w:b/>
                <w:bCs/>
                <w:sz w:val="17"/>
                <w:szCs w:val="17"/>
                <w:u w:val="single"/>
                <w:rtl/>
              </w:rPr>
              <w:t xml:space="preserve">إيرادات مكافئ تأجير السفن المجهزة بالمدة </w:t>
            </w:r>
            <w:r>
              <w:rPr>
                <w:rFonts w:hint="cs"/>
                <w:b/>
                <w:bCs/>
                <w:sz w:val="17"/>
                <w:szCs w:val="17"/>
                <w:u w:val="single"/>
                <w:rtl/>
              </w:rPr>
              <w:t>للمنتجات</w:t>
            </w:r>
            <w:r w:rsidRPr="007D2480">
              <w:rPr>
                <w:sz w:val="17"/>
              </w:rPr>
              <w:tab/>
            </w:r>
          </w:p>
        </w:tc>
        <w:tc>
          <w:tcPr>
            <w:tcW w:w="242" w:type="dxa"/>
            <w:vAlign w:val="bottom"/>
          </w:tcPr>
          <w:p w14:paraId="3ECECF46" w14:textId="77777777" w:rsidR="00AD68F9" w:rsidRPr="00E834EF" w:rsidRDefault="00AD68F9" w:rsidP="00AD68F9">
            <w:pPr>
              <w:spacing w:before="40" w:after="40"/>
              <w:rPr>
                <w:sz w:val="17"/>
                <w:szCs w:val="17"/>
              </w:rPr>
            </w:pPr>
          </w:p>
        </w:tc>
        <w:tc>
          <w:tcPr>
            <w:tcW w:w="913" w:type="dxa"/>
            <w:tcBorders>
              <w:top w:val="single" w:sz="4" w:space="0" w:color="auto"/>
            </w:tcBorders>
          </w:tcPr>
          <w:p w14:paraId="1EF298E2" w14:textId="77777777" w:rsidR="00AD68F9" w:rsidRPr="002163D4" w:rsidRDefault="00AD68F9" w:rsidP="00AD68F9">
            <w:pPr>
              <w:spacing w:before="40" w:after="40"/>
              <w:jc w:val="right"/>
              <w:rPr>
                <w:b/>
                <w:bCs/>
                <w:color w:val="000000"/>
                <w:sz w:val="16"/>
                <w:szCs w:val="16"/>
              </w:rPr>
            </w:pPr>
            <w:r w:rsidRPr="002163D4">
              <w:rPr>
                <w:sz w:val="16"/>
                <w:szCs w:val="16"/>
              </w:rPr>
              <w:t>28.4</w:t>
            </w:r>
          </w:p>
        </w:tc>
        <w:tc>
          <w:tcPr>
            <w:tcW w:w="252" w:type="dxa"/>
            <w:gridSpan w:val="2"/>
            <w:vAlign w:val="bottom"/>
          </w:tcPr>
          <w:p w14:paraId="5BDFD185"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3475B6BB" w14:textId="77777777" w:rsidR="00AD68F9" w:rsidRPr="002163D4" w:rsidRDefault="00AD68F9" w:rsidP="00AD68F9">
            <w:pPr>
              <w:spacing w:before="40" w:after="40"/>
              <w:jc w:val="right"/>
              <w:rPr>
                <w:b/>
                <w:bCs/>
                <w:color w:val="000000"/>
                <w:sz w:val="16"/>
                <w:szCs w:val="16"/>
              </w:rPr>
            </w:pPr>
            <w:r w:rsidRPr="002163D4">
              <w:rPr>
                <w:sz w:val="16"/>
                <w:szCs w:val="16"/>
              </w:rPr>
              <w:t>49.4</w:t>
            </w:r>
          </w:p>
        </w:tc>
        <w:tc>
          <w:tcPr>
            <w:tcW w:w="242" w:type="dxa"/>
            <w:vAlign w:val="bottom"/>
          </w:tcPr>
          <w:p w14:paraId="22EFEE7D"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699D00FB" w14:textId="77777777" w:rsidR="00AD68F9" w:rsidRPr="002163D4" w:rsidRDefault="00AD68F9" w:rsidP="00AD68F9">
            <w:pPr>
              <w:spacing w:before="40" w:after="40"/>
              <w:jc w:val="right"/>
              <w:rPr>
                <w:b/>
                <w:bCs/>
                <w:color w:val="000000"/>
                <w:sz w:val="16"/>
                <w:szCs w:val="16"/>
              </w:rPr>
            </w:pPr>
            <w:r w:rsidRPr="002163D4">
              <w:rPr>
                <w:sz w:val="16"/>
                <w:szCs w:val="16"/>
              </w:rPr>
              <w:t>77.0</w:t>
            </w:r>
          </w:p>
        </w:tc>
        <w:tc>
          <w:tcPr>
            <w:tcW w:w="242" w:type="dxa"/>
            <w:vAlign w:val="bottom"/>
          </w:tcPr>
          <w:p w14:paraId="473B99A4" w14:textId="77777777" w:rsidR="00AD68F9" w:rsidRPr="002163D4" w:rsidRDefault="00AD68F9" w:rsidP="00AD68F9">
            <w:pPr>
              <w:spacing w:before="40" w:after="40"/>
              <w:rPr>
                <w:b/>
                <w:bCs/>
                <w:sz w:val="16"/>
                <w:szCs w:val="16"/>
              </w:rPr>
            </w:pPr>
          </w:p>
        </w:tc>
        <w:tc>
          <w:tcPr>
            <w:tcW w:w="924" w:type="dxa"/>
            <w:tcBorders>
              <w:top w:val="single" w:sz="4" w:space="0" w:color="auto"/>
            </w:tcBorders>
          </w:tcPr>
          <w:p w14:paraId="5481F71A" w14:textId="77777777" w:rsidR="00AD68F9" w:rsidRPr="002163D4" w:rsidRDefault="00AD68F9" w:rsidP="00AD68F9">
            <w:pPr>
              <w:spacing w:before="40" w:after="40"/>
              <w:jc w:val="right"/>
              <w:rPr>
                <w:b/>
                <w:bCs/>
                <w:sz w:val="16"/>
                <w:szCs w:val="16"/>
              </w:rPr>
            </w:pPr>
            <w:r w:rsidRPr="002163D4">
              <w:rPr>
                <w:sz w:val="16"/>
                <w:szCs w:val="16"/>
              </w:rPr>
              <w:t>55.5</w:t>
            </w:r>
          </w:p>
        </w:tc>
        <w:tc>
          <w:tcPr>
            <w:tcW w:w="227" w:type="dxa"/>
            <w:vAlign w:val="bottom"/>
          </w:tcPr>
          <w:p w14:paraId="18F18813" w14:textId="77777777" w:rsidR="00AD68F9" w:rsidRPr="002163D4" w:rsidRDefault="00AD68F9" w:rsidP="00AD68F9">
            <w:pPr>
              <w:spacing w:before="40" w:after="40"/>
              <w:rPr>
                <w:b/>
                <w:bCs/>
                <w:sz w:val="16"/>
                <w:szCs w:val="16"/>
              </w:rPr>
            </w:pPr>
          </w:p>
        </w:tc>
        <w:tc>
          <w:tcPr>
            <w:tcW w:w="939" w:type="dxa"/>
            <w:tcBorders>
              <w:top w:val="single" w:sz="4" w:space="0" w:color="auto"/>
            </w:tcBorders>
          </w:tcPr>
          <w:p w14:paraId="04FDFC66" w14:textId="77777777" w:rsidR="00AD68F9" w:rsidRPr="002163D4" w:rsidRDefault="00AD68F9" w:rsidP="00AD68F9">
            <w:pPr>
              <w:spacing w:before="40" w:after="40"/>
              <w:jc w:val="right"/>
              <w:rPr>
                <w:b/>
                <w:bCs/>
                <w:sz w:val="16"/>
                <w:szCs w:val="16"/>
              </w:rPr>
            </w:pPr>
            <w:r w:rsidRPr="002163D4">
              <w:rPr>
                <w:sz w:val="16"/>
                <w:szCs w:val="16"/>
              </w:rPr>
              <w:t>73.6</w:t>
            </w:r>
          </w:p>
        </w:tc>
        <w:tc>
          <w:tcPr>
            <w:tcW w:w="266" w:type="dxa"/>
          </w:tcPr>
          <w:p w14:paraId="1EC89113" w14:textId="77777777" w:rsidR="00AD68F9" w:rsidRPr="002163D4" w:rsidRDefault="00AD68F9" w:rsidP="00AD68F9">
            <w:pPr>
              <w:spacing w:before="40" w:after="40"/>
              <w:rPr>
                <w:b/>
                <w:bCs/>
                <w:sz w:val="16"/>
                <w:szCs w:val="16"/>
              </w:rPr>
            </w:pPr>
          </w:p>
        </w:tc>
      </w:tr>
      <w:tr w:rsidR="00AD68F9" w:rsidRPr="00E834EF" w14:paraId="205F6D8E" w14:textId="77777777" w:rsidTr="00AD68F9">
        <w:tc>
          <w:tcPr>
            <w:tcW w:w="3254" w:type="dxa"/>
          </w:tcPr>
          <w:p w14:paraId="2EE74F31" w14:textId="77777777" w:rsidR="00AD68F9" w:rsidRDefault="00AD68F9" w:rsidP="00AD68F9">
            <w:pPr>
              <w:tabs>
                <w:tab w:val="right" w:leader="dot" w:pos="3255"/>
              </w:tabs>
              <w:bidi/>
              <w:spacing w:before="40" w:after="40"/>
              <w:rPr>
                <w:b/>
                <w:bCs/>
                <w:sz w:val="17"/>
                <w:szCs w:val="17"/>
                <w:u w:val="single"/>
              </w:rPr>
            </w:pPr>
          </w:p>
        </w:tc>
        <w:tc>
          <w:tcPr>
            <w:tcW w:w="242" w:type="dxa"/>
            <w:vAlign w:val="bottom"/>
          </w:tcPr>
          <w:p w14:paraId="7AD5DD5E" w14:textId="77777777" w:rsidR="00AD68F9" w:rsidRPr="00E834EF" w:rsidRDefault="00AD68F9" w:rsidP="00AD68F9">
            <w:pPr>
              <w:spacing w:before="40" w:after="40"/>
              <w:rPr>
                <w:sz w:val="17"/>
                <w:szCs w:val="17"/>
              </w:rPr>
            </w:pPr>
          </w:p>
        </w:tc>
        <w:tc>
          <w:tcPr>
            <w:tcW w:w="913" w:type="dxa"/>
            <w:vAlign w:val="bottom"/>
          </w:tcPr>
          <w:p w14:paraId="799A65CB" w14:textId="77777777" w:rsidR="00AD68F9" w:rsidRPr="007766C5" w:rsidRDefault="00AD68F9" w:rsidP="00AD68F9">
            <w:pPr>
              <w:spacing w:before="40" w:after="40"/>
              <w:jc w:val="right"/>
              <w:rPr>
                <w:b/>
                <w:bCs/>
                <w:sz w:val="17"/>
                <w:szCs w:val="17"/>
              </w:rPr>
            </w:pPr>
          </w:p>
        </w:tc>
        <w:tc>
          <w:tcPr>
            <w:tcW w:w="252" w:type="dxa"/>
            <w:gridSpan w:val="2"/>
            <w:vAlign w:val="bottom"/>
          </w:tcPr>
          <w:p w14:paraId="33400652" w14:textId="77777777" w:rsidR="00AD68F9" w:rsidRPr="007766C5" w:rsidRDefault="00AD68F9" w:rsidP="00AD68F9">
            <w:pPr>
              <w:spacing w:before="40" w:after="40"/>
              <w:rPr>
                <w:b/>
                <w:bCs/>
                <w:color w:val="000000"/>
                <w:sz w:val="17"/>
                <w:szCs w:val="17"/>
              </w:rPr>
            </w:pPr>
          </w:p>
        </w:tc>
        <w:tc>
          <w:tcPr>
            <w:tcW w:w="924" w:type="dxa"/>
            <w:vAlign w:val="bottom"/>
          </w:tcPr>
          <w:p w14:paraId="3A3F4F15" w14:textId="77777777" w:rsidR="00AD68F9" w:rsidRPr="007766C5" w:rsidRDefault="00AD68F9" w:rsidP="00AD68F9">
            <w:pPr>
              <w:spacing w:before="40" w:after="40"/>
              <w:jc w:val="right"/>
              <w:rPr>
                <w:b/>
                <w:bCs/>
                <w:sz w:val="17"/>
                <w:szCs w:val="17"/>
              </w:rPr>
            </w:pPr>
          </w:p>
        </w:tc>
        <w:tc>
          <w:tcPr>
            <w:tcW w:w="242" w:type="dxa"/>
            <w:vAlign w:val="bottom"/>
          </w:tcPr>
          <w:p w14:paraId="29C9A38F" w14:textId="77777777" w:rsidR="00AD68F9" w:rsidRPr="007766C5" w:rsidRDefault="00AD68F9" w:rsidP="00AD68F9">
            <w:pPr>
              <w:spacing w:before="40" w:after="40"/>
              <w:rPr>
                <w:b/>
                <w:bCs/>
                <w:color w:val="000000"/>
                <w:sz w:val="17"/>
                <w:szCs w:val="17"/>
              </w:rPr>
            </w:pPr>
          </w:p>
        </w:tc>
        <w:tc>
          <w:tcPr>
            <w:tcW w:w="924" w:type="dxa"/>
            <w:vAlign w:val="bottom"/>
          </w:tcPr>
          <w:p w14:paraId="37947101" w14:textId="77777777" w:rsidR="00AD68F9" w:rsidRPr="007766C5" w:rsidRDefault="00AD68F9" w:rsidP="00AD68F9">
            <w:pPr>
              <w:spacing w:before="40" w:after="40"/>
              <w:jc w:val="right"/>
              <w:rPr>
                <w:b/>
                <w:bCs/>
                <w:sz w:val="17"/>
                <w:szCs w:val="17"/>
              </w:rPr>
            </w:pPr>
          </w:p>
        </w:tc>
        <w:tc>
          <w:tcPr>
            <w:tcW w:w="242" w:type="dxa"/>
            <w:vAlign w:val="bottom"/>
          </w:tcPr>
          <w:p w14:paraId="54BFF4DA" w14:textId="77777777" w:rsidR="00AD68F9" w:rsidRPr="007766C5" w:rsidRDefault="00AD68F9" w:rsidP="00AD68F9">
            <w:pPr>
              <w:spacing w:before="40" w:after="40"/>
              <w:rPr>
                <w:b/>
                <w:bCs/>
                <w:sz w:val="17"/>
                <w:szCs w:val="17"/>
              </w:rPr>
            </w:pPr>
          </w:p>
        </w:tc>
        <w:tc>
          <w:tcPr>
            <w:tcW w:w="924" w:type="dxa"/>
            <w:vAlign w:val="bottom"/>
          </w:tcPr>
          <w:p w14:paraId="63211F97" w14:textId="77777777" w:rsidR="00AD68F9" w:rsidRPr="007766C5" w:rsidRDefault="00AD68F9" w:rsidP="00AD68F9">
            <w:pPr>
              <w:spacing w:before="40" w:after="40"/>
              <w:jc w:val="right"/>
              <w:rPr>
                <w:b/>
                <w:bCs/>
                <w:sz w:val="17"/>
                <w:szCs w:val="17"/>
              </w:rPr>
            </w:pPr>
          </w:p>
        </w:tc>
        <w:tc>
          <w:tcPr>
            <w:tcW w:w="227" w:type="dxa"/>
            <w:vAlign w:val="bottom"/>
          </w:tcPr>
          <w:p w14:paraId="08C5E03D" w14:textId="77777777" w:rsidR="00AD68F9" w:rsidRPr="007766C5" w:rsidRDefault="00AD68F9" w:rsidP="00AD68F9">
            <w:pPr>
              <w:spacing w:before="40" w:after="40"/>
              <w:rPr>
                <w:b/>
                <w:bCs/>
                <w:sz w:val="17"/>
                <w:szCs w:val="17"/>
              </w:rPr>
            </w:pPr>
          </w:p>
        </w:tc>
        <w:tc>
          <w:tcPr>
            <w:tcW w:w="939" w:type="dxa"/>
            <w:vAlign w:val="bottom"/>
          </w:tcPr>
          <w:p w14:paraId="2A384BB8" w14:textId="77777777" w:rsidR="00AD68F9" w:rsidRPr="007766C5" w:rsidRDefault="00AD68F9" w:rsidP="00AD68F9">
            <w:pPr>
              <w:spacing w:before="40" w:after="40"/>
              <w:jc w:val="right"/>
              <w:rPr>
                <w:b/>
                <w:bCs/>
                <w:sz w:val="17"/>
                <w:szCs w:val="17"/>
              </w:rPr>
            </w:pPr>
          </w:p>
        </w:tc>
        <w:tc>
          <w:tcPr>
            <w:tcW w:w="266" w:type="dxa"/>
          </w:tcPr>
          <w:p w14:paraId="4CBD973A" w14:textId="77777777" w:rsidR="00AD68F9" w:rsidRPr="000D2863" w:rsidRDefault="00AD68F9" w:rsidP="00AD68F9">
            <w:pPr>
              <w:spacing w:before="40" w:after="40"/>
              <w:rPr>
                <w:b/>
                <w:bCs/>
                <w:sz w:val="17"/>
                <w:szCs w:val="17"/>
              </w:rPr>
            </w:pPr>
          </w:p>
        </w:tc>
      </w:tr>
      <w:tr w:rsidR="00AD68F9" w:rsidRPr="00E834EF" w14:paraId="3A115E79" w14:textId="77777777" w:rsidTr="00AD6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bottom"/>
          </w:tcPr>
          <w:p w14:paraId="07FAA021" w14:textId="77777777" w:rsidR="00AD68F9" w:rsidRDefault="00AD68F9" w:rsidP="00AD68F9">
            <w:pPr>
              <w:tabs>
                <w:tab w:val="right" w:leader="dot" w:pos="3255"/>
              </w:tabs>
              <w:bidi/>
              <w:spacing w:before="40" w:after="40"/>
              <w:ind w:left="12"/>
              <w:rPr>
                <w:b/>
                <w:bCs/>
                <w:color w:val="000000"/>
                <w:sz w:val="17"/>
                <w:szCs w:val="17"/>
              </w:rPr>
            </w:pPr>
            <w:r>
              <w:rPr>
                <w:rFonts w:hint="cs"/>
                <w:b/>
                <w:bCs/>
                <w:color w:val="000000"/>
                <w:sz w:val="17"/>
                <w:szCs w:val="17"/>
                <w:rtl/>
              </w:rPr>
              <w:t xml:space="preserve">إجمالي أرباح </w:t>
            </w:r>
            <w:r w:rsidR="00607B02">
              <w:rPr>
                <w:rFonts w:hint="cs"/>
                <w:b/>
                <w:bCs/>
                <w:color w:val="000000"/>
                <w:sz w:val="17"/>
                <w:szCs w:val="17"/>
                <w:rtl/>
              </w:rPr>
              <w:t>نقل</w:t>
            </w:r>
            <w:r>
              <w:rPr>
                <w:rFonts w:hint="cs"/>
                <w:b/>
                <w:bCs/>
                <w:color w:val="000000"/>
                <w:sz w:val="17"/>
                <w:szCs w:val="17"/>
                <w:rtl/>
              </w:rPr>
              <w:t xml:space="preserve"> للمنتجات</w:t>
            </w:r>
            <w:r w:rsidRPr="0054596C">
              <w:rPr>
                <w:sz w:val="17"/>
              </w:rPr>
              <w:tab/>
            </w:r>
          </w:p>
        </w:tc>
        <w:tc>
          <w:tcPr>
            <w:tcW w:w="242" w:type="dxa"/>
            <w:tcBorders>
              <w:top w:val="nil"/>
              <w:left w:val="nil"/>
              <w:bottom w:val="nil"/>
              <w:right w:val="nil"/>
            </w:tcBorders>
            <w:vAlign w:val="bottom"/>
          </w:tcPr>
          <w:p w14:paraId="34DDC6AA" w14:textId="77777777" w:rsidR="00AD68F9" w:rsidRPr="00E834EF" w:rsidRDefault="00AD68F9" w:rsidP="00AD68F9">
            <w:pPr>
              <w:spacing w:before="40" w:after="40"/>
              <w:rPr>
                <w:sz w:val="17"/>
                <w:szCs w:val="17"/>
              </w:rPr>
            </w:pPr>
          </w:p>
        </w:tc>
        <w:tc>
          <w:tcPr>
            <w:tcW w:w="913" w:type="dxa"/>
            <w:tcBorders>
              <w:top w:val="nil"/>
              <w:left w:val="nil"/>
              <w:bottom w:val="nil"/>
              <w:right w:val="nil"/>
            </w:tcBorders>
            <w:vAlign w:val="bottom"/>
          </w:tcPr>
          <w:p w14:paraId="3B1B35D5" w14:textId="77777777" w:rsidR="00AD68F9" w:rsidRPr="007766C5" w:rsidRDefault="00AD68F9" w:rsidP="00AD68F9">
            <w:pPr>
              <w:spacing w:before="40" w:after="40"/>
              <w:jc w:val="right"/>
              <w:rPr>
                <w:color w:val="000000"/>
                <w:sz w:val="17"/>
                <w:szCs w:val="17"/>
              </w:rPr>
            </w:pPr>
            <w:r>
              <w:rPr>
                <w:sz w:val="17"/>
                <w:szCs w:val="17"/>
              </w:rPr>
              <w:t>8.1</w:t>
            </w:r>
          </w:p>
        </w:tc>
        <w:tc>
          <w:tcPr>
            <w:tcW w:w="252" w:type="dxa"/>
            <w:gridSpan w:val="2"/>
            <w:tcBorders>
              <w:top w:val="nil"/>
              <w:left w:val="nil"/>
              <w:bottom w:val="nil"/>
              <w:right w:val="nil"/>
            </w:tcBorders>
            <w:vAlign w:val="bottom"/>
          </w:tcPr>
          <w:p w14:paraId="1DED108F" w14:textId="77777777" w:rsidR="00AD68F9" w:rsidRPr="007766C5"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2AA1122C" w14:textId="77777777" w:rsidR="00AD68F9" w:rsidRPr="007766C5" w:rsidRDefault="00AD68F9" w:rsidP="00AD68F9">
            <w:pPr>
              <w:spacing w:before="40" w:after="40"/>
              <w:jc w:val="right"/>
              <w:rPr>
                <w:color w:val="000000"/>
                <w:sz w:val="17"/>
                <w:szCs w:val="17"/>
              </w:rPr>
            </w:pPr>
            <w:r>
              <w:rPr>
                <w:sz w:val="17"/>
                <w:szCs w:val="17"/>
              </w:rPr>
              <w:t>15.5</w:t>
            </w:r>
          </w:p>
        </w:tc>
        <w:tc>
          <w:tcPr>
            <w:tcW w:w="242" w:type="dxa"/>
            <w:tcBorders>
              <w:top w:val="nil"/>
              <w:left w:val="nil"/>
              <w:bottom w:val="nil"/>
              <w:right w:val="nil"/>
            </w:tcBorders>
            <w:vAlign w:val="bottom"/>
          </w:tcPr>
          <w:p w14:paraId="0042DBC2" w14:textId="77777777" w:rsidR="00AD68F9" w:rsidRPr="007766C5"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1FF556AE" w14:textId="77777777" w:rsidR="00AD68F9" w:rsidRPr="007766C5" w:rsidRDefault="00AD68F9" w:rsidP="00AD68F9">
            <w:pPr>
              <w:spacing w:before="40" w:after="40"/>
              <w:jc w:val="right"/>
              <w:rPr>
                <w:color w:val="000000"/>
                <w:sz w:val="17"/>
                <w:szCs w:val="17"/>
              </w:rPr>
            </w:pPr>
            <w:r>
              <w:rPr>
                <w:sz w:val="17"/>
                <w:szCs w:val="17"/>
              </w:rPr>
              <w:t>17.4</w:t>
            </w:r>
          </w:p>
        </w:tc>
        <w:tc>
          <w:tcPr>
            <w:tcW w:w="242" w:type="dxa"/>
            <w:tcBorders>
              <w:top w:val="nil"/>
              <w:left w:val="nil"/>
              <w:bottom w:val="nil"/>
              <w:right w:val="nil"/>
            </w:tcBorders>
            <w:vAlign w:val="bottom"/>
          </w:tcPr>
          <w:p w14:paraId="220B0357" w14:textId="77777777" w:rsidR="00AD68F9" w:rsidRPr="007766C5" w:rsidRDefault="00AD68F9" w:rsidP="00AD68F9">
            <w:pPr>
              <w:spacing w:before="40" w:after="40"/>
              <w:rPr>
                <w:sz w:val="17"/>
                <w:szCs w:val="17"/>
              </w:rPr>
            </w:pPr>
          </w:p>
        </w:tc>
        <w:tc>
          <w:tcPr>
            <w:tcW w:w="924" w:type="dxa"/>
            <w:tcBorders>
              <w:top w:val="nil"/>
              <w:left w:val="nil"/>
              <w:bottom w:val="nil"/>
              <w:right w:val="nil"/>
            </w:tcBorders>
            <w:vAlign w:val="bottom"/>
          </w:tcPr>
          <w:p w14:paraId="1B8BF653" w14:textId="77777777" w:rsidR="00AD68F9" w:rsidRPr="007766C5" w:rsidRDefault="00AD68F9" w:rsidP="00AD68F9">
            <w:pPr>
              <w:spacing w:before="40" w:after="40"/>
              <w:jc w:val="right"/>
              <w:rPr>
                <w:sz w:val="17"/>
                <w:szCs w:val="17"/>
              </w:rPr>
            </w:pPr>
            <w:r>
              <w:rPr>
                <w:sz w:val="17"/>
                <w:szCs w:val="17"/>
              </w:rPr>
              <w:t>12.5</w:t>
            </w:r>
          </w:p>
        </w:tc>
        <w:tc>
          <w:tcPr>
            <w:tcW w:w="227" w:type="dxa"/>
            <w:tcBorders>
              <w:top w:val="nil"/>
              <w:left w:val="nil"/>
              <w:bottom w:val="nil"/>
              <w:right w:val="nil"/>
            </w:tcBorders>
            <w:vAlign w:val="bottom"/>
          </w:tcPr>
          <w:p w14:paraId="6375A032" w14:textId="77777777" w:rsidR="00AD68F9" w:rsidRPr="007766C5" w:rsidRDefault="00AD68F9" w:rsidP="00AD68F9">
            <w:pPr>
              <w:spacing w:before="40" w:after="40"/>
              <w:rPr>
                <w:sz w:val="17"/>
                <w:szCs w:val="17"/>
              </w:rPr>
            </w:pPr>
          </w:p>
        </w:tc>
        <w:tc>
          <w:tcPr>
            <w:tcW w:w="939" w:type="dxa"/>
            <w:tcBorders>
              <w:top w:val="nil"/>
              <w:left w:val="nil"/>
              <w:bottom w:val="nil"/>
              <w:right w:val="nil"/>
            </w:tcBorders>
            <w:vAlign w:val="bottom"/>
          </w:tcPr>
          <w:p w14:paraId="328F9A65" w14:textId="77777777" w:rsidR="00AD68F9" w:rsidRPr="007766C5" w:rsidRDefault="00AD68F9" w:rsidP="00AD68F9">
            <w:pPr>
              <w:spacing w:before="40" w:after="40"/>
              <w:jc w:val="right"/>
              <w:rPr>
                <w:sz w:val="17"/>
                <w:szCs w:val="17"/>
              </w:rPr>
            </w:pPr>
            <w:r>
              <w:rPr>
                <w:sz w:val="17"/>
                <w:szCs w:val="17"/>
              </w:rPr>
              <w:t>19.7</w:t>
            </w:r>
          </w:p>
        </w:tc>
        <w:tc>
          <w:tcPr>
            <w:tcW w:w="266" w:type="dxa"/>
            <w:tcBorders>
              <w:top w:val="nil"/>
              <w:left w:val="nil"/>
              <w:bottom w:val="nil"/>
              <w:right w:val="nil"/>
            </w:tcBorders>
            <w:vAlign w:val="bottom"/>
          </w:tcPr>
          <w:p w14:paraId="4A22F4AD" w14:textId="77777777" w:rsidR="00AD68F9" w:rsidRPr="000D2863" w:rsidRDefault="00AD68F9" w:rsidP="00AD68F9">
            <w:pPr>
              <w:spacing w:before="40" w:after="40"/>
              <w:rPr>
                <w:sz w:val="17"/>
                <w:szCs w:val="17"/>
              </w:rPr>
            </w:pPr>
          </w:p>
        </w:tc>
      </w:tr>
      <w:tr w:rsidR="00AD68F9" w:rsidRPr="00E834EF" w14:paraId="15F52571" w14:textId="77777777" w:rsidTr="00AD68F9">
        <w:tc>
          <w:tcPr>
            <w:tcW w:w="3254" w:type="dxa"/>
            <w:vAlign w:val="bottom"/>
          </w:tcPr>
          <w:p w14:paraId="476228B0" w14:textId="77777777" w:rsidR="00AD68F9" w:rsidRPr="00E754AA" w:rsidRDefault="00AD68F9" w:rsidP="00AD68F9">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1BBFD4E3" w14:textId="77777777" w:rsidR="00AD68F9" w:rsidRPr="00E754AA" w:rsidRDefault="00AD68F9" w:rsidP="00AD68F9">
            <w:pPr>
              <w:spacing w:before="40" w:after="40"/>
              <w:rPr>
                <w:sz w:val="17"/>
                <w:szCs w:val="17"/>
              </w:rPr>
            </w:pPr>
          </w:p>
        </w:tc>
        <w:tc>
          <w:tcPr>
            <w:tcW w:w="913" w:type="dxa"/>
            <w:vAlign w:val="bottom"/>
          </w:tcPr>
          <w:p w14:paraId="2956BFFD"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0010173E" w14:textId="77777777" w:rsidR="00AD68F9" w:rsidRPr="00E754AA" w:rsidRDefault="00AD68F9" w:rsidP="00AD68F9">
            <w:pPr>
              <w:spacing w:before="40" w:after="40"/>
              <w:rPr>
                <w:color w:val="000000"/>
                <w:sz w:val="17"/>
                <w:szCs w:val="17"/>
              </w:rPr>
            </w:pPr>
          </w:p>
        </w:tc>
        <w:tc>
          <w:tcPr>
            <w:tcW w:w="924" w:type="dxa"/>
            <w:vAlign w:val="bottom"/>
          </w:tcPr>
          <w:p w14:paraId="04586032"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4D6F1A42" w14:textId="77777777" w:rsidR="00AD68F9" w:rsidRPr="00E754AA" w:rsidRDefault="00AD68F9" w:rsidP="00AD68F9">
            <w:pPr>
              <w:spacing w:before="40" w:after="40"/>
              <w:rPr>
                <w:color w:val="000000"/>
                <w:sz w:val="17"/>
                <w:szCs w:val="17"/>
              </w:rPr>
            </w:pPr>
          </w:p>
        </w:tc>
        <w:tc>
          <w:tcPr>
            <w:tcW w:w="924" w:type="dxa"/>
            <w:vAlign w:val="bottom"/>
          </w:tcPr>
          <w:p w14:paraId="3A4F3109"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0B18EC7B" w14:textId="77777777" w:rsidR="00AD68F9" w:rsidRPr="00E754AA" w:rsidRDefault="00AD68F9" w:rsidP="00AD68F9">
            <w:pPr>
              <w:spacing w:before="40" w:after="40"/>
              <w:rPr>
                <w:sz w:val="17"/>
                <w:szCs w:val="17"/>
              </w:rPr>
            </w:pPr>
          </w:p>
        </w:tc>
        <w:tc>
          <w:tcPr>
            <w:tcW w:w="924" w:type="dxa"/>
            <w:vAlign w:val="bottom"/>
          </w:tcPr>
          <w:p w14:paraId="5634E5BA"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465DEF81" w14:textId="77777777" w:rsidR="00AD68F9" w:rsidRPr="00E754AA" w:rsidRDefault="00AD68F9" w:rsidP="00AD68F9">
            <w:pPr>
              <w:spacing w:before="40" w:after="40"/>
              <w:rPr>
                <w:sz w:val="17"/>
                <w:szCs w:val="17"/>
              </w:rPr>
            </w:pPr>
          </w:p>
        </w:tc>
        <w:tc>
          <w:tcPr>
            <w:tcW w:w="939" w:type="dxa"/>
            <w:vAlign w:val="bottom"/>
          </w:tcPr>
          <w:p w14:paraId="1CBA0706"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27AC3EE2" w14:textId="77777777" w:rsidR="00AD68F9" w:rsidRPr="000D2863" w:rsidRDefault="00AD68F9" w:rsidP="00AD68F9">
            <w:pPr>
              <w:spacing w:before="40" w:after="40"/>
              <w:rPr>
                <w:sz w:val="17"/>
                <w:szCs w:val="17"/>
              </w:rPr>
            </w:pPr>
          </w:p>
        </w:tc>
      </w:tr>
      <w:tr w:rsidR="00AD68F9" w:rsidRPr="00E834EF" w14:paraId="4D54209F" w14:textId="77777777" w:rsidTr="00AD6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center"/>
          </w:tcPr>
          <w:p w14:paraId="78AA2282" w14:textId="77777777" w:rsidR="00AD68F9" w:rsidRPr="00E754AA" w:rsidRDefault="008D70E0" w:rsidP="00AD68F9">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AD68F9" w:rsidRPr="0054596C">
              <w:rPr>
                <w:sz w:val="17"/>
              </w:rPr>
              <w:tab/>
            </w:r>
          </w:p>
        </w:tc>
        <w:tc>
          <w:tcPr>
            <w:tcW w:w="242" w:type="dxa"/>
            <w:tcBorders>
              <w:top w:val="nil"/>
              <w:left w:val="nil"/>
              <w:bottom w:val="nil"/>
              <w:right w:val="nil"/>
            </w:tcBorders>
            <w:vAlign w:val="bottom"/>
          </w:tcPr>
          <w:p w14:paraId="31FAD9DA" w14:textId="77777777" w:rsidR="00AD68F9" w:rsidRPr="00E834EF" w:rsidRDefault="00AD68F9" w:rsidP="00AD68F9">
            <w:pPr>
              <w:spacing w:before="40" w:after="40"/>
              <w:rPr>
                <w:sz w:val="17"/>
                <w:szCs w:val="17"/>
              </w:rPr>
            </w:pPr>
          </w:p>
        </w:tc>
        <w:tc>
          <w:tcPr>
            <w:tcW w:w="913" w:type="dxa"/>
            <w:tcBorders>
              <w:top w:val="nil"/>
              <w:left w:val="nil"/>
              <w:bottom w:val="nil"/>
              <w:right w:val="nil"/>
            </w:tcBorders>
            <w:vAlign w:val="bottom"/>
          </w:tcPr>
          <w:p w14:paraId="7F844726"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tcBorders>
              <w:top w:val="nil"/>
              <w:left w:val="nil"/>
              <w:bottom w:val="nil"/>
              <w:right w:val="nil"/>
            </w:tcBorders>
            <w:vAlign w:val="bottom"/>
          </w:tcPr>
          <w:p w14:paraId="10AA7D89" w14:textId="77777777" w:rsidR="00AD68F9" w:rsidRPr="00E754AA"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779EA6A4"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tcBorders>
              <w:top w:val="nil"/>
              <w:left w:val="nil"/>
              <w:bottom w:val="nil"/>
              <w:right w:val="nil"/>
            </w:tcBorders>
            <w:vAlign w:val="bottom"/>
          </w:tcPr>
          <w:p w14:paraId="1C6BD26C" w14:textId="77777777" w:rsidR="00AD68F9" w:rsidRPr="00E754AA"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6F7441FD" w14:textId="77777777" w:rsidR="00AD68F9" w:rsidRPr="00E754AA" w:rsidRDefault="00AD68F9" w:rsidP="00AD68F9">
            <w:pPr>
              <w:spacing w:before="40" w:after="40"/>
              <w:jc w:val="right"/>
              <w:rPr>
                <w:color w:val="000000"/>
                <w:sz w:val="17"/>
                <w:szCs w:val="17"/>
              </w:rPr>
            </w:pPr>
            <w:r>
              <w:rPr>
                <w:sz w:val="17"/>
                <w:szCs w:val="17"/>
              </w:rPr>
              <w:t>2.8</w:t>
            </w:r>
          </w:p>
        </w:tc>
        <w:tc>
          <w:tcPr>
            <w:tcW w:w="242" w:type="dxa"/>
            <w:tcBorders>
              <w:top w:val="nil"/>
              <w:left w:val="nil"/>
              <w:bottom w:val="nil"/>
              <w:right w:val="nil"/>
            </w:tcBorders>
            <w:vAlign w:val="bottom"/>
          </w:tcPr>
          <w:p w14:paraId="5A146F0F" w14:textId="77777777" w:rsidR="00AD68F9" w:rsidRPr="00E754AA" w:rsidRDefault="00AD68F9" w:rsidP="00AD68F9">
            <w:pPr>
              <w:spacing w:before="40" w:after="40"/>
              <w:rPr>
                <w:sz w:val="17"/>
                <w:szCs w:val="17"/>
              </w:rPr>
            </w:pPr>
          </w:p>
        </w:tc>
        <w:tc>
          <w:tcPr>
            <w:tcW w:w="924" w:type="dxa"/>
            <w:tcBorders>
              <w:top w:val="nil"/>
              <w:left w:val="nil"/>
              <w:bottom w:val="nil"/>
              <w:right w:val="nil"/>
            </w:tcBorders>
            <w:vAlign w:val="bottom"/>
          </w:tcPr>
          <w:p w14:paraId="5CF57EDE" w14:textId="77777777" w:rsidR="00AD68F9" w:rsidRPr="00E754AA" w:rsidRDefault="00AD68F9" w:rsidP="00AD68F9">
            <w:pPr>
              <w:spacing w:before="40" w:after="40"/>
              <w:jc w:val="right"/>
              <w:rPr>
                <w:sz w:val="17"/>
                <w:szCs w:val="17"/>
              </w:rPr>
            </w:pPr>
            <w:r>
              <w:rPr>
                <w:sz w:val="17"/>
                <w:szCs w:val="17"/>
              </w:rPr>
              <w:t>2.8</w:t>
            </w:r>
          </w:p>
        </w:tc>
        <w:tc>
          <w:tcPr>
            <w:tcW w:w="227" w:type="dxa"/>
            <w:tcBorders>
              <w:top w:val="nil"/>
              <w:left w:val="nil"/>
              <w:bottom w:val="nil"/>
              <w:right w:val="nil"/>
            </w:tcBorders>
            <w:vAlign w:val="bottom"/>
          </w:tcPr>
          <w:p w14:paraId="5111047B" w14:textId="77777777" w:rsidR="00AD68F9" w:rsidRPr="00E754AA" w:rsidRDefault="00AD68F9" w:rsidP="00AD68F9">
            <w:pPr>
              <w:spacing w:before="40" w:after="40"/>
              <w:rPr>
                <w:sz w:val="17"/>
                <w:szCs w:val="17"/>
              </w:rPr>
            </w:pPr>
          </w:p>
        </w:tc>
        <w:tc>
          <w:tcPr>
            <w:tcW w:w="939" w:type="dxa"/>
            <w:tcBorders>
              <w:top w:val="nil"/>
              <w:left w:val="nil"/>
              <w:bottom w:val="nil"/>
              <w:right w:val="nil"/>
            </w:tcBorders>
            <w:vAlign w:val="bottom"/>
          </w:tcPr>
          <w:p w14:paraId="14E5C9DD" w14:textId="77777777" w:rsidR="00AD68F9" w:rsidRPr="00E754AA" w:rsidRDefault="00AD68F9" w:rsidP="00AD68F9">
            <w:pPr>
              <w:spacing w:before="40" w:after="40"/>
              <w:jc w:val="right"/>
              <w:rPr>
                <w:sz w:val="17"/>
                <w:szCs w:val="17"/>
              </w:rPr>
            </w:pPr>
            <w:r w:rsidRPr="00DB3F11">
              <w:rPr>
                <w:sz w:val="16"/>
                <w:szCs w:val="16"/>
              </w:rPr>
              <w:t>—</w:t>
            </w:r>
          </w:p>
        </w:tc>
        <w:tc>
          <w:tcPr>
            <w:tcW w:w="266" w:type="dxa"/>
            <w:tcBorders>
              <w:top w:val="nil"/>
              <w:left w:val="nil"/>
              <w:bottom w:val="nil"/>
              <w:right w:val="nil"/>
            </w:tcBorders>
            <w:vAlign w:val="bottom"/>
          </w:tcPr>
          <w:p w14:paraId="4E7DDB55" w14:textId="77777777" w:rsidR="00AD68F9" w:rsidRPr="000D2863" w:rsidRDefault="00AD68F9" w:rsidP="00AD68F9">
            <w:pPr>
              <w:spacing w:before="40" w:after="40"/>
              <w:rPr>
                <w:sz w:val="17"/>
                <w:szCs w:val="17"/>
              </w:rPr>
            </w:pPr>
          </w:p>
        </w:tc>
      </w:tr>
      <w:tr w:rsidR="00AD68F9" w:rsidRPr="00E834EF" w14:paraId="0767CEE5" w14:textId="77777777" w:rsidTr="00AD68F9">
        <w:tc>
          <w:tcPr>
            <w:tcW w:w="3254" w:type="dxa"/>
            <w:vAlign w:val="center"/>
          </w:tcPr>
          <w:p w14:paraId="2F745E50"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1E52E1C8" w14:textId="77777777" w:rsidR="00AD68F9" w:rsidRPr="00E834EF" w:rsidRDefault="00AD68F9" w:rsidP="00AD68F9">
            <w:pPr>
              <w:spacing w:before="40" w:after="40"/>
              <w:rPr>
                <w:sz w:val="17"/>
                <w:szCs w:val="17"/>
              </w:rPr>
            </w:pPr>
          </w:p>
        </w:tc>
        <w:tc>
          <w:tcPr>
            <w:tcW w:w="913" w:type="dxa"/>
            <w:vAlign w:val="bottom"/>
          </w:tcPr>
          <w:p w14:paraId="6CAC6A67"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2D7AECD4" w14:textId="77777777" w:rsidR="00AD68F9" w:rsidRPr="00E754AA" w:rsidRDefault="00AD68F9" w:rsidP="00AD68F9">
            <w:pPr>
              <w:spacing w:before="40" w:after="40"/>
              <w:rPr>
                <w:color w:val="000000"/>
                <w:sz w:val="17"/>
                <w:szCs w:val="17"/>
              </w:rPr>
            </w:pPr>
          </w:p>
        </w:tc>
        <w:tc>
          <w:tcPr>
            <w:tcW w:w="924" w:type="dxa"/>
            <w:vAlign w:val="bottom"/>
          </w:tcPr>
          <w:p w14:paraId="5FDC3AC9"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1EC80C96" w14:textId="77777777" w:rsidR="00AD68F9" w:rsidRPr="00E754AA" w:rsidRDefault="00AD68F9" w:rsidP="00AD68F9">
            <w:pPr>
              <w:spacing w:before="40" w:after="40"/>
              <w:rPr>
                <w:color w:val="000000"/>
                <w:sz w:val="17"/>
                <w:szCs w:val="17"/>
              </w:rPr>
            </w:pPr>
          </w:p>
        </w:tc>
        <w:tc>
          <w:tcPr>
            <w:tcW w:w="924" w:type="dxa"/>
            <w:vAlign w:val="bottom"/>
          </w:tcPr>
          <w:p w14:paraId="7B97889E"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7F610317" w14:textId="77777777" w:rsidR="00AD68F9" w:rsidRPr="00E754AA" w:rsidRDefault="00AD68F9" w:rsidP="00AD68F9">
            <w:pPr>
              <w:spacing w:before="40" w:after="40"/>
              <w:rPr>
                <w:sz w:val="17"/>
                <w:szCs w:val="17"/>
              </w:rPr>
            </w:pPr>
          </w:p>
        </w:tc>
        <w:tc>
          <w:tcPr>
            <w:tcW w:w="924" w:type="dxa"/>
            <w:vAlign w:val="bottom"/>
          </w:tcPr>
          <w:p w14:paraId="47C0868F"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3FF709DF" w14:textId="77777777" w:rsidR="00AD68F9" w:rsidRPr="00E754AA" w:rsidRDefault="00AD68F9" w:rsidP="00AD68F9">
            <w:pPr>
              <w:spacing w:before="40" w:after="40"/>
              <w:rPr>
                <w:sz w:val="17"/>
                <w:szCs w:val="17"/>
              </w:rPr>
            </w:pPr>
          </w:p>
        </w:tc>
        <w:tc>
          <w:tcPr>
            <w:tcW w:w="939" w:type="dxa"/>
            <w:vAlign w:val="bottom"/>
          </w:tcPr>
          <w:p w14:paraId="03427566"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279E852D" w14:textId="77777777" w:rsidR="00AD68F9" w:rsidRPr="000D2863" w:rsidRDefault="00AD68F9" w:rsidP="00AD68F9">
            <w:pPr>
              <w:spacing w:before="40" w:after="40"/>
              <w:rPr>
                <w:sz w:val="17"/>
                <w:szCs w:val="17"/>
              </w:rPr>
            </w:pPr>
          </w:p>
        </w:tc>
      </w:tr>
      <w:tr w:rsidR="00AD68F9" w:rsidRPr="00E834EF" w14:paraId="186766FB" w14:textId="77777777" w:rsidTr="00AD68F9">
        <w:tc>
          <w:tcPr>
            <w:tcW w:w="3254" w:type="dxa"/>
            <w:vAlign w:val="bottom"/>
          </w:tcPr>
          <w:p w14:paraId="3478CC82" w14:textId="77777777" w:rsidR="00AD68F9" w:rsidRPr="00E754AA" w:rsidRDefault="00AD68F9" w:rsidP="00AD68F9">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194A5C3D" w14:textId="77777777" w:rsidR="00AD68F9" w:rsidRPr="00E754AA" w:rsidRDefault="00AD68F9" w:rsidP="00AD68F9">
            <w:pPr>
              <w:spacing w:before="40" w:after="40"/>
              <w:rPr>
                <w:sz w:val="17"/>
                <w:szCs w:val="17"/>
              </w:rPr>
            </w:pPr>
          </w:p>
        </w:tc>
        <w:tc>
          <w:tcPr>
            <w:tcW w:w="913" w:type="dxa"/>
            <w:vAlign w:val="bottom"/>
          </w:tcPr>
          <w:p w14:paraId="54C14ECD"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16F8E29F" w14:textId="77777777" w:rsidR="00AD68F9" w:rsidRPr="00E754AA" w:rsidRDefault="00AD68F9" w:rsidP="00AD68F9">
            <w:pPr>
              <w:spacing w:before="40" w:after="40"/>
              <w:rPr>
                <w:color w:val="000000"/>
                <w:sz w:val="17"/>
                <w:szCs w:val="17"/>
              </w:rPr>
            </w:pPr>
          </w:p>
        </w:tc>
        <w:tc>
          <w:tcPr>
            <w:tcW w:w="924" w:type="dxa"/>
            <w:vAlign w:val="bottom"/>
          </w:tcPr>
          <w:p w14:paraId="651AA090"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498E93FF" w14:textId="77777777" w:rsidR="00AD68F9" w:rsidRPr="00E754AA" w:rsidRDefault="00AD68F9" w:rsidP="00AD68F9">
            <w:pPr>
              <w:spacing w:before="40" w:after="40"/>
              <w:rPr>
                <w:color w:val="000000"/>
                <w:sz w:val="17"/>
                <w:szCs w:val="17"/>
              </w:rPr>
            </w:pPr>
          </w:p>
        </w:tc>
        <w:tc>
          <w:tcPr>
            <w:tcW w:w="924" w:type="dxa"/>
            <w:vAlign w:val="bottom"/>
          </w:tcPr>
          <w:p w14:paraId="7DD075C0"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414237F8" w14:textId="77777777" w:rsidR="00AD68F9" w:rsidRPr="00E754AA" w:rsidRDefault="00AD68F9" w:rsidP="00AD68F9">
            <w:pPr>
              <w:spacing w:before="40" w:after="40"/>
              <w:rPr>
                <w:sz w:val="17"/>
                <w:szCs w:val="17"/>
              </w:rPr>
            </w:pPr>
          </w:p>
        </w:tc>
        <w:tc>
          <w:tcPr>
            <w:tcW w:w="924" w:type="dxa"/>
            <w:vAlign w:val="bottom"/>
          </w:tcPr>
          <w:p w14:paraId="2469EA41" w14:textId="77777777" w:rsidR="00AD68F9" w:rsidRPr="00E754AA" w:rsidRDefault="00AD68F9" w:rsidP="00AD68F9">
            <w:pPr>
              <w:spacing w:before="40" w:after="40"/>
              <w:jc w:val="right"/>
              <w:rPr>
                <w:sz w:val="17"/>
                <w:szCs w:val="17"/>
              </w:rPr>
            </w:pPr>
            <w:r>
              <w:rPr>
                <w:sz w:val="17"/>
                <w:szCs w:val="17"/>
              </w:rPr>
              <w:t>0.4</w:t>
            </w:r>
          </w:p>
        </w:tc>
        <w:tc>
          <w:tcPr>
            <w:tcW w:w="227" w:type="dxa"/>
            <w:vAlign w:val="bottom"/>
          </w:tcPr>
          <w:p w14:paraId="0E4C8C31" w14:textId="77777777" w:rsidR="00AD68F9" w:rsidRPr="00E754AA" w:rsidRDefault="00B56FD4" w:rsidP="00AD68F9">
            <w:pPr>
              <w:spacing w:before="40" w:after="40"/>
              <w:rPr>
                <w:sz w:val="17"/>
                <w:szCs w:val="17"/>
              </w:rPr>
            </w:pPr>
            <w:r>
              <w:rPr>
                <w:sz w:val="17"/>
                <w:szCs w:val="17"/>
              </w:rPr>
              <w:t>)</w:t>
            </w:r>
          </w:p>
        </w:tc>
        <w:tc>
          <w:tcPr>
            <w:tcW w:w="939" w:type="dxa"/>
            <w:vAlign w:val="bottom"/>
          </w:tcPr>
          <w:p w14:paraId="29AAFFB4" w14:textId="77777777" w:rsidR="00AD68F9" w:rsidRPr="00E754AA" w:rsidRDefault="00AD68F9" w:rsidP="00AD68F9">
            <w:pPr>
              <w:spacing w:before="40" w:after="40"/>
              <w:jc w:val="right"/>
              <w:rPr>
                <w:sz w:val="17"/>
                <w:szCs w:val="17"/>
              </w:rPr>
            </w:pPr>
            <w:r>
              <w:rPr>
                <w:sz w:val="17"/>
                <w:szCs w:val="17"/>
              </w:rPr>
              <w:t>(0.1</w:t>
            </w:r>
          </w:p>
        </w:tc>
        <w:tc>
          <w:tcPr>
            <w:tcW w:w="266" w:type="dxa"/>
            <w:vAlign w:val="bottom"/>
          </w:tcPr>
          <w:p w14:paraId="2020764F" w14:textId="77777777" w:rsidR="00AD68F9" w:rsidRPr="000D2863" w:rsidRDefault="00AD68F9" w:rsidP="00AD68F9">
            <w:pPr>
              <w:spacing w:before="40" w:after="40"/>
              <w:rPr>
                <w:sz w:val="17"/>
                <w:szCs w:val="17"/>
              </w:rPr>
            </w:pPr>
          </w:p>
        </w:tc>
      </w:tr>
      <w:tr w:rsidR="00AD68F9" w:rsidRPr="00E834EF" w14:paraId="764D00FC" w14:textId="77777777" w:rsidTr="00AD68F9">
        <w:tc>
          <w:tcPr>
            <w:tcW w:w="3254" w:type="dxa"/>
            <w:vAlign w:val="center"/>
          </w:tcPr>
          <w:p w14:paraId="51E65A17"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0D1AF2F5" w14:textId="77777777" w:rsidR="00AD68F9" w:rsidRPr="00E834EF" w:rsidRDefault="00B56FD4" w:rsidP="00AD68F9">
            <w:pPr>
              <w:spacing w:before="40" w:after="40"/>
              <w:rPr>
                <w:sz w:val="17"/>
                <w:szCs w:val="17"/>
              </w:rPr>
            </w:pPr>
            <w:r>
              <w:rPr>
                <w:sz w:val="17"/>
                <w:szCs w:val="17"/>
              </w:rPr>
              <w:t>)</w:t>
            </w:r>
          </w:p>
        </w:tc>
        <w:tc>
          <w:tcPr>
            <w:tcW w:w="913" w:type="dxa"/>
            <w:vAlign w:val="bottom"/>
          </w:tcPr>
          <w:p w14:paraId="5DE7693C" w14:textId="77777777" w:rsidR="00AD68F9" w:rsidRPr="00E754AA" w:rsidRDefault="00AD68F9" w:rsidP="00AD68F9">
            <w:pPr>
              <w:spacing w:before="40" w:after="40"/>
              <w:jc w:val="right"/>
              <w:rPr>
                <w:color w:val="000000"/>
                <w:sz w:val="17"/>
                <w:szCs w:val="17"/>
              </w:rPr>
            </w:pPr>
            <w:r>
              <w:rPr>
                <w:sz w:val="17"/>
                <w:szCs w:val="17"/>
              </w:rPr>
              <w:t>(0.3</w:t>
            </w:r>
          </w:p>
        </w:tc>
        <w:tc>
          <w:tcPr>
            <w:tcW w:w="252" w:type="dxa"/>
            <w:gridSpan w:val="2"/>
            <w:vAlign w:val="bottom"/>
          </w:tcPr>
          <w:p w14:paraId="11BD0089" w14:textId="77777777" w:rsidR="00AD68F9" w:rsidRPr="00E754AA" w:rsidRDefault="00AD68F9" w:rsidP="00AD68F9">
            <w:pPr>
              <w:spacing w:before="40" w:after="40"/>
              <w:rPr>
                <w:color w:val="000000"/>
                <w:sz w:val="17"/>
                <w:szCs w:val="17"/>
              </w:rPr>
            </w:pPr>
            <w:r>
              <w:rPr>
                <w:color w:val="000000"/>
                <w:sz w:val="17"/>
                <w:szCs w:val="17"/>
              </w:rPr>
              <w:t>)</w:t>
            </w:r>
          </w:p>
        </w:tc>
        <w:tc>
          <w:tcPr>
            <w:tcW w:w="924" w:type="dxa"/>
            <w:vAlign w:val="bottom"/>
          </w:tcPr>
          <w:p w14:paraId="1ACA442A" w14:textId="77777777" w:rsidR="00AD68F9" w:rsidRPr="00E754AA" w:rsidRDefault="00AD68F9" w:rsidP="00AD68F9">
            <w:pPr>
              <w:spacing w:before="40" w:after="40"/>
              <w:jc w:val="right"/>
              <w:rPr>
                <w:color w:val="000000"/>
                <w:sz w:val="17"/>
                <w:szCs w:val="17"/>
              </w:rPr>
            </w:pPr>
            <w:r>
              <w:rPr>
                <w:sz w:val="17"/>
                <w:szCs w:val="17"/>
              </w:rPr>
              <w:t>(1.2</w:t>
            </w:r>
          </w:p>
        </w:tc>
        <w:tc>
          <w:tcPr>
            <w:tcW w:w="242" w:type="dxa"/>
            <w:vAlign w:val="bottom"/>
          </w:tcPr>
          <w:p w14:paraId="5CA5C22B" w14:textId="77777777" w:rsidR="00AD68F9" w:rsidRPr="00E754AA" w:rsidRDefault="00AD68F9" w:rsidP="00AD68F9">
            <w:pPr>
              <w:spacing w:before="40" w:after="40"/>
              <w:rPr>
                <w:color w:val="000000"/>
                <w:sz w:val="17"/>
                <w:szCs w:val="17"/>
              </w:rPr>
            </w:pPr>
            <w:r>
              <w:rPr>
                <w:color w:val="000000"/>
                <w:sz w:val="17"/>
                <w:szCs w:val="17"/>
              </w:rPr>
              <w:t>)</w:t>
            </w:r>
          </w:p>
        </w:tc>
        <w:tc>
          <w:tcPr>
            <w:tcW w:w="924" w:type="dxa"/>
            <w:vAlign w:val="bottom"/>
          </w:tcPr>
          <w:p w14:paraId="5E16CD53" w14:textId="77777777" w:rsidR="00AD68F9" w:rsidRPr="00E754AA" w:rsidRDefault="00AD68F9" w:rsidP="00AD68F9">
            <w:pPr>
              <w:spacing w:before="40" w:after="40"/>
              <w:jc w:val="right"/>
              <w:rPr>
                <w:color w:val="000000"/>
                <w:sz w:val="17"/>
                <w:szCs w:val="17"/>
              </w:rPr>
            </w:pPr>
            <w:r>
              <w:rPr>
                <w:sz w:val="17"/>
                <w:szCs w:val="17"/>
              </w:rPr>
              <w:t>(1.6</w:t>
            </w:r>
          </w:p>
        </w:tc>
        <w:tc>
          <w:tcPr>
            <w:tcW w:w="242" w:type="dxa"/>
            <w:vAlign w:val="bottom"/>
          </w:tcPr>
          <w:p w14:paraId="2BCFE3F6" w14:textId="77777777" w:rsidR="00AD68F9" w:rsidRPr="00E754AA" w:rsidRDefault="00AD68F9" w:rsidP="00AD68F9">
            <w:pPr>
              <w:spacing w:before="40" w:after="40"/>
              <w:rPr>
                <w:sz w:val="17"/>
                <w:szCs w:val="17"/>
              </w:rPr>
            </w:pPr>
            <w:r>
              <w:rPr>
                <w:sz w:val="17"/>
                <w:szCs w:val="17"/>
              </w:rPr>
              <w:t>)</w:t>
            </w:r>
          </w:p>
        </w:tc>
        <w:tc>
          <w:tcPr>
            <w:tcW w:w="924" w:type="dxa"/>
            <w:vAlign w:val="bottom"/>
          </w:tcPr>
          <w:p w14:paraId="6169230A" w14:textId="77777777" w:rsidR="00AD68F9" w:rsidRPr="00E754AA" w:rsidRDefault="00AD68F9" w:rsidP="00AD68F9">
            <w:pPr>
              <w:spacing w:before="40" w:after="40"/>
              <w:jc w:val="right"/>
              <w:rPr>
                <w:sz w:val="17"/>
                <w:szCs w:val="17"/>
              </w:rPr>
            </w:pPr>
            <w:r>
              <w:rPr>
                <w:sz w:val="17"/>
                <w:szCs w:val="17"/>
              </w:rPr>
              <w:t>(1.2</w:t>
            </w:r>
          </w:p>
        </w:tc>
        <w:tc>
          <w:tcPr>
            <w:tcW w:w="227" w:type="dxa"/>
            <w:vAlign w:val="bottom"/>
          </w:tcPr>
          <w:p w14:paraId="19722C33" w14:textId="77777777" w:rsidR="00AD68F9" w:rsidRPr="00E754AA" w:rsidRDefault="00AD68F9" w:rsidP="00AD68F9">
            <w:pPr>
              <w:spacing w:before="40" w:after="40"/>
              <w:rPr>
                <w:sz w:val="17"/>
                <w:szCs w:val="17"/>
              </w:rPr>
            </w:pPr>
            <w:r>
              <w:rPr>
                <w:sz w:val="17"/>
                <w:szCs w:val="17"/>
              </w:rPr>
              <w:t>)</w:t>
            </w:r>
          </w:p>
        </w:tc>
        <w:tc>
          <w:tcPr>
            <w:tcW w:w="939" w:type="dxa"/>
            <w:vAlign w:val="bottom"/>
          </w:tcPr>
          <w:p w14:paraId="4C1653C7" w14:textId="77777777" w:rsidR="00AD68F9" w:rsidRPr="00E754AA" w:rsidRDefault="00AD68F9" w:rsidP="00AD68F9">
            <w:pPr>
              <w:spacing w:before="40" w:after="40"/>
              <w:jc w:val="right"/>
              <w:rPr>
                <w:sz w:val="17"/>
                <w:szCs w:val="17"/>
              </w:rPr>
            </w:pPr>
            <w:r>
              <w:rPr>
                <w:sz w:val="17"/>
                <w:szCs w:val="17"/>
              </w:rPr>
              <w:t>(0.8</w:t>
            </w:r>
          </w:p>
        </w:tc>
        <w:tc>
          <w:tcPr>
            <w:tcW w:w="266" w:type="dxa"/>
            <w:vAlign w:val="bottom"/>
          </w:tcPr>
          <w:p w14:paraId="0F98DC6D" w14:textId="77777777" w:rsidR="00AD68F9" w:rsidRPr="000D2863" w:rsidRDefault="00AD68F9" w:rsidP="00AD68F9">
            <w:pPr>
              <w:spacing w:before="40" w:after="40"/>
              <w:rPr>
                <w:sz w:val="17"/>
                <w:szCs w:val="17"/>
              </w:rPr>
            </w:pPr>
          </w:p>
        </w:tc>
      </w:tr>
      <w:tr w:rsidR="00AD68F9" w:rsidRPr="00E834EF" w14:paraId="590FEA7A" w14:textId="77777777" w:rsidTr="00AD68F9">
        <w:tc>
          <w:tcPr>
            <w:tcW w:w="3254" w:type="dxa"/>
            <w:vAlign w:val="center"/>
          </w:tcPr>
          <w:p w14:paraId="032BB704"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3F18C47C" w14:textId="77777777" w:rsidR="00AD68F9" w:rsidRPr="00E834EF" w:rsidRDefault="00AD68F9" w:rsidP="00AD68F9">
            <w:pPr>
              <w:spacing w:before="40" w:after="40"/>
              <w:rPr>
                <w:sz w:val="17"/>
                <w:szCs w:val="17"/>
              </w:rPr>
            </w:pPr>
          </w:p>
        </w:tc>
        <w:tc>
          <w:tcPr>
            <w:tcW w:w="913" w:type="dxa"/>
            <w:vAlign w:val="bottom"/>
          </w:tcPr>
          <w:p w14:paraId="34368D16"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2BCF4CC6" w14:textId="77777777" w:rsidR="00AD68F9" w:rsidRPr="00E754AA" w:rsidRDefault="00AD68F9" w:rsidP="00AD68F9">
            <w:pPr>
              <w:spacing w:before="40" w:after="40"/>
              <w:rPr>
                <w:color w:val="000000"/>
                <w:sz w:val="17"/>
                <w:szCs w:val="17"/>
              </w:rPr>
            </w:pPr>
          </w:p>
        </w:tc>
        <w:tc>
          <w:tcPr>
            <w:tcW w:w="924" w:type="dxa"/>
            <w:vAlign w:val="bottom"/>
          </w:tcPr>
          <w:p w14:paraId="4AC12238"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6E4A9376" w14:textId="77777777" w:rsidR="00AD68F9" w:rsidRPr="00E754AA" w:rsidRDefault="00AD68F9" w:rsidP="00AD68F9">
            <w:pPr>
              <w:spacing w:before="40" w:after="40"/>
              <w:rPr>
                <w:color w:val="000000"/>
                <w:sz w:val="17"/>
                <w:szCs w:val="17"/>
              </w:rPr>
            </w:pPr>
          </w:p>
        </w:tc>
        <w:tc>
          <w:tcPr>
            <w:tcW w:w="924" w:type="dxa"/>
            <w:vAlign w:val="bottom"/>
          </w:tcPr>
          <w:p w14:paraId="3E07FCE5"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537DADBD" w14:textId="77777777" w:rsidR="00AD68F9" w:rsidRPr="00E754AA" w:rsidRDefault="00AD68F9" w:rsidP="00AD68F9">
            <w:pPr>
              <w:spacing w:before="40" w:after="40"/>
              <w:rPr>
                <w:sz w:val="17"/>
                <w:szCs w:val="17"/>
              </w:rPr>
            </w:pPr>
          </w:p>
        </w:tc>
        <w:tc>
          <w:tcPr>
            <w:tcW w:w="924" w:type="dxa"/>
            <w:vAlign w:val="bottom"/>
          </w:tcPr>
          <w:p w14:paraId="177F0F9E"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0086DFB8" w14:textId="77777777" w:rsidR="00AD68F9" w:rsidRPr="00E754AA" w:rsidRDefault="00AD68F9" w:rsidP="00AD68F9">
            <w:pPr>
              <w:spacing w:before="40" w:after="40"/>
              <w:rPr>
                <w:sz w:val="17"/>
                <w:szCs w:val="17"/>
              </w:rPr>
            </w:pPr>
          </w:p>
        </w:tc>
        <w:tc>
          <w:tcPr>
            <w:tcW w:w="939" w:type="dxa"/>
            <w:vAlign w:val="bottom"/>
          </w:tcPr>
          <w:p w14:paraId="5141359D"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4DB2A279" w14:textId="77777777" w:rsidR="00AD68F9" w:rsidRPr="000D2863" w:rsidRDefault="00AD68F9" w:rsidP="00AD68F9">
            <w:pPr>
              <w:spacing w:before="40" w:after="40"/>
              <w:rPr>
                <w:sz w:val="17"/>
                <w:szCs w:val="17"/>
              </w:rPr>
            </w:pPr>
          </w:p>
        </w:tc>
      </w:tr>
      <w:tr w:rsidR="00AD68F9" w:rsidRPr="00E834EF" w14:paraId="7AD82056" w14:textId="77777777" w:rsidTr="00AD68F9">
        <w:tc>
          <w:tcPr>
            <w:tcW w:w="3254" w:type="dxa"/>
            <w:vAlign w:val="center"/>
          </w:tcPr>
          <w:p w14:paraId="52A32116"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57392FDE" w14:textId="77777777" w:rsidR="00AD68F9" w:rsidRPr="00E834EF" w:rsidRDefault="00AD68F9" w:rsidP="00AD68F9">
            <w:pPr>
              <w:spacing w:before="40" w:after="40"/>
              <w:rPr>
                <w:sz w:val="17"/>
                <w:szCs w:val="17"/>
              </w:rPr>
            </w:pPr>
          </w:p>
        </w:tc>
        <w:tc>
          <w:tcPr>
            <w:tcW w:w="913" w:type="dxa"/>
            <w:vAlign w:val="bottom"/>
          </w:tcPr>
          <w:p w14:paraId="47EE408C"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1A2F2017" w14:textId="77777777" w:rsidR="00AD68F9" w:rsidRPr="00E754AA" w:rsidRDefault="00AD68F9" w:rsidP="00AD68F9">
            <w:pPr>
              <w:spacing w:before="40" w:after="40"/>
              <w:rPr>
                <w:color w:val="000000"/>
                <w:sz w:val="17"/>
                <w:szCs w:val="17"/>
              </w:rPr>
            </w:pPr>
          </w:p>
        </w:tc>
        <w:tc>
          <w:tcPr>
            <w:tcW w:w="924" w:type="dxa"/>
            <w:vAlign w:val="bottom"/>
          </w:tcPr>
          <w:p w14:paraId="1CEED50B"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116FD3CD" w14:textId="77777777" w:rsidR="00AD68F9" w:rsidRPr="00E754AA" w:rsidRDefault="00AD68F9" w:rsidP="00AD68F9">
            <w:pPr>
              <w:spacing w:before="40" w:after="40"/>
              <w:rPr>
                <w:color w:val="000000"/>
                <w:sz w:val="17"/>
                <w:szCs w:val="17"/>
              </w:rPr>
            </w:pPr>
          </w:p>
        </w:tc>
        <w:tc>
          <w:tcPr>
            <w:tcW w:w="924" w:type="dxa"/>
            <w:vAlign w:val="bottom"/>
          </w:tcPr>
          <w:p w14:paraId="0A1D19EC"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197819ED" w14:textId="77777777" w:rsidR="00AD68F9" w:rsidRPr="00E754AA" w:rsidRDefault="00AD68F9" w:rsidP="00AD68F9">
            <w:pPr>
              <w:spacing w:before="40" w:after="40"/>
              <w:rPr>
                <w:sz w:val="17"/>
                <w:szCs w:val="17"/>
              </w:rPr>
            </w:pPr>
          </w:p>
        </w:tc>
        <w:tc>
          <w:tcPr>
            <w:tcW w:w="924" w:type="dxa"/>
            <w:vAlign w:val="bottom"/>
          </w:tcPr>
          <w:p w14:paraId="2F874C80"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748E9533" w14:textId="77777777" w:rsidR="00AD68F9" w:rsidRPr="00E754AA" w:rsidRDefault="00AD68F9" w:rsidP="00AD68F9">
            <w:pPr>
              <w:spacing w:before="40" w:after="40"/>
              <w:rPr>
                <w:sz w:val="17"/>
                <w:szCs w:val="17"/>
              </w:rPr>
            </w:pPr>
          </w:p>
        </w:tc>
        <w:tc>
          <w:tcPr>
            <w:tcW w:w="939" w:type="dxa"/>
            <w:vAlign w:val="bottom"/>
          </w:tcPr>
          <w:p w14:paraId="1CFEC967"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75814244" w14:textId="77777777" w:rsidR="00AD68F9" w:rsidRPr="000D2863" w:rsidRDefault="00AD68F9" w:rsidP="00AD68F9">
            <w:pPr>
              <w:spacing w:before="40" w:after="40"/>
              <w:rPr>
                <w:sz w:val="17"/>
                <w:szCs w:val="17"/>
              </w:rPr>
            </w:pPr>
          </w:p>
        </w:tc>
      </w:tr>
      <w:tr w:rsidR="00AD68F9" w:rsidRPr="00E834EF" w14:paraId="587A0B7F" w14:textId="77777777" w:rsidTr="00AD68F9">
        <w:tc>
          <w:tcPr>
            <w:tcW w:w="3254" w:type="dxa"/>
            <w:vAlign w:val="center"/>
          </w:tcPr>
          <w:p w14:paraId="505D8A56" w14:textId="77777777" w:rsidR="00AD68F9" w:rsidRDefault="00AD68F9" w:rsidP="00AD68F9">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2F90F244" w14:textId="77777777" w:rsidR="00AD68F9" w:rsidRPr="00E834EF" w:rsidRDefault="00AD68F9" w:rsidP="00AD68F9">
            <w:pPr>
              <w:spacing w:before="40" w:after="40"/>
              <w:rPr>
                <w:sz w:val="17"/>
                <w:szCs w:val="17"/>
              </w:rPr>
            </w:pPr>
          </w:p>
        </w:tc>
        <w:tc>
          <w:tcPr>
            <w:tcW w:w="913" w:type="dxa"/>
            <w:tcBorders>
              <w:bottom w:val="single" w:sz="4" w:space="0" w:color="auto"/>
            </w:tcBorders>
            <w:vAlign w:val="bottom"/>
          </w:tcPr>
          <w:p w14:paraId="66AAD931" w14:textId="77777777" w:rsidR="00AD68F9" w:rsidRPr="000D2863" w:rsidRDefault="00AD68F9" w:rsidP="00AD68F9">
            <w:pPr>
              <w:spacing w:before="40" w:after="40"/>
              <w:jc w:val="right"/>
              <w:rPr>
                <w:color w:val="000000"/>
                <w:sz w:val="17"/>
                <w:szCs w:val="17"/>
              </w:rPr>
            </w:pPr>
            <w:r>
              <w:rPr>
                <w:sz w:val="17"/>
                <w:szCs w:val="17"/>
              </w:rPr>
              <w:t>6.9</w:t>
            </w:r>
          </w:p>
        </w:tc>
        <w:tc>
          <w:tcPr>
            <w:tcW w:w="252" w:type="dxa"/>
            <w:gridSpan w:val="2"/>
            <w:vAlign w:val="bottom"/>
          </w:tcPr>
          <w:p w14:paraId="435B195F" w14:textId="77777777" w:rsidR="00AD68F9" w:rsidRPr="000D2863" w:rsidRDefault="00AD68F9" w:rsidP="00AD68F9">
            <w:pPr>
              <w:spacing w:before="40" w:after="40"/>
              <w:rPr>
                <w:color w:val="000000"/>
                <w:sz w:val="17"/>
                <w:szCs w:val="17"/>
              </w:rPr>
            </w:pPr>
          </w:p>
        </w:tc>
        <w:tc>
          <w:tcPr>
            <w:tcW w:w="924" w:type="dxa"/>
            <w:tcBorders>
              <w:bottom w:val="single" w:sz="4" w:space="0" w:color="auto"/>
            </w:tcBorders>
            <w:vAlign w:val="bottom"/>
          </w:tcPr>
          <w:p w14:paraId="18E932EC" w14:textId="77777777" w:rsidR="00AD68F9" w:rsidRPr="000D2863" w:rsidRDefault="00AD68F9" w:rsidP="00AD68F9">
            <w:pPr>
              <w:spacing w:before="40" w:after="40"/>
              <w:jc w:val="right"/>
              <w:rPr>
                <w:color w:val="000000"/>
                <w:sz w:val="17"/>
                <w:szCs w:val="17"/>
              </w:rPr>
            </w:pPr>
            <w:r>
              <w:rPr>
                <w:sz w:val="17"/>
                <w:szCs w:val="17"/>
              </w:rPr>
              <w:t>7.3</w:t>
            </w:r>
          </w:p>
        </w:tc>
        <w:tc>
          <w:tcPr>
            <w:tcW w:w="242" w:type="dxa"/>
            <w:vAlign w:val="bottom"/>
          </w:tcPr>
          <w:p w14:paraId="4553404E" w14:textId="77777777" w:rsidR="00AD68F9" w:rsidRPr="000D2863" w:rsidRDefault="00AD68F9" w:rsidP="00AD68F9">
            <w:pPr>
              <w:spacing w:before="40" w:after="40"/>
              <w:rPr>
                <w:color w:val="000000"/>
                <w:sz w:val="17"/>
                <w:szCs w:val="17"/>
              </w:rPr>
            </w:pPr>
          </w:p>
        </w:tc>
        <w:tc>
          <w:tcPr>
            <w:tcW w:w="924" w:type="dxa"/>
            <w:tcBorders>
              <w:bottom w:val="single" w:sz="4" w:space="0" w:color="auto"/>
            </w:tcBorders>
            <w:vAlign w:val="bottom"/>
          </w:tcPr>
          <w:p w14:paraId="25D6CF7F" w14:textId="77777777" w:rsidR="00AD68F9" w:rsidRPr="000D2863" w:rsidRDefault="00AD68F9" w:rsidP="00AD68F9">
            <w:pPr>
              <w:spacing w:before="40" w:after="40"/>
              <w:jc w:val="right"/>
              <w:rPr>
                <w:color w:val="000000"/>
                <w:sz w:val="17"/>
                <w:szCs w:val="17"/>
              </w:rPr>
            </w:pPr>
            <w:r>
              <w:rPr>
                <w:sz w:val="17"/>
                <w:szCs w:val="17"/>
              </w:rPr>
              <w:t>39.6</w:t>
            </w:r>
          </w:p>
        </w:tc>
        <w:tc>
          <w:tcPr>
            <w:tcW w:w="242" w:type="dxa"/>
            <w:vAlign w:val="bottom"/>
          </w:tcPr>
          <w:p w14:paraId="3CE308D6" w14:textId="77777777" w:rsidR="00AD68F9" w:rsidRPr="000D2863" w:rsidRDefault="00AD68F9" w:rsidP="00AD68F9">
            <w:pPr>
              <w:spacing w:before="40" w:after="40"/>
              <w:rPr>
                <w:sz w:val="17"/>
                <w:szCs w:val="17"/>
              </w:rPr>
            </w:pPr>
          </w:p>
        </w:tc>
        <w:tc>
          <w:tcPr>
            <w:tcW w:w="924" w:type="dxa"/>
            <w:tcBorders>
              <w:bottom w:val="single" w:sz="4" w:space="0" w:color="auto"/>
            </w:tcBorders>
            <w:vAlign w:val="bottom"/>
          </w:tcPr>
          <w:p w14:paraId="6CD6E171" w14:textId="77777777" w:rsidR="00AD68F9" w:rsidRPr="000D2863" w:rsidRDefault="00AD68F9" w:rsidP="00AD68F9">
            <w:pPr>
              <w:spacing w:before="40" w:after="40"/>
              <w:jc w:val="right"/>
              <w:rPr>
                <w:sz w:val="17"/>
                <w:szCs w:val="17"/>
              </w:rPr>
            </w:pPr>
            <w:r>
              <w:rPr>
                <w:sz w:val="17"/>
                <w:szCs w:val="17"/>
              </w:rPr>
              <w:t>27.2</w:t>
            </w:r>
          </w:p>
        </w:tc>
        <w:tc>
          <w:tcPr>
            <w:tcW w:w="227" w:type="dxa"/>
            <w:vAlign w:val="bottom"/>
          </w:tcPr>
          <w:p w14:paraId="0A9394E1" w14:textId="77777777" w:rsidR="00AD68F9" w:rsidRPr="000D2863" w:rsidRDefault="00AD68F9" w:rsidP="00AD68F9">
            <w:pPr>
              <w:spacing w:before="40" w:after="40"/>
              <w:rPr>
                <w:sz w:val="17"/>
                <w:szCs w:val="17"/>
              </w:rPr>
            </w:pPr>
          </w:p>
        </w:tc>
        <w:tc>
          <w:tcPr>
            <w:tcW w:w="939" w:type="dxa"/>
            <w:tcBorders>
              <w:bottom w:val="single" w:sz="4" w:space="0" w:color="auto"/>
            </w:tcBorders>
            <w:vAlign w:val="bottom"/>
          </w:tcPr>
          <w:p w14:paraId="5AC333B5" w14:textId="77777777" w:rsidR="00AD68F9" w:rsidRPr="000D2863" w:rsidRDefault="00AD68F9" w:rsidP="00AD68F9">
            <w:pPr>
              <w:spacing w:before="40" w:after="40"/>
              <w:jc w:val="right"/>
              <w:rPr>
                <w:sz w:val="17"/>
                <w:szCs w:val="17"/>
              </w:rPr>
            </w:pPr>
            <w:r>
              <w:rPr>
                <w:sz w:val="17"/>
                <w:szCs w:val="17"/>
              </w:rPr>
              <w:t>42.4</w:t>
            </w:r>
          </w:p>
        </w:tc>
        <w:tc>
          <w:tcPr>
            <w:tcW w:w="266" w:type="dxa"/>
            <w:vAlign w:val="bottom"/>
          </w:tcPr>
          <w:p w14:paraId="0DA39AE5" w14:textId="77777777" w:rsidR="00AD68F9" w:rsidRPr="000D2863" w:rsidRDefault="00AD68F9" w:rsidP="00AD68F9">
            <w:pPr>
              <w:spacing w:before="40" w:after="40"/>
              <w:rPr>
                <w:sz w:val="17"/>
                <w:szCs w:val="17"/>
              </w:rPr>
            </w:pPr>
          </w:p>
        </w:tc>
      </w:tr>
      <w:tr w:rsidR="00AD68F9" w:rsidRPr="00E834EF" w14:paraId="340792B3" w14:textId="77777777" w:rsidTr="00AD68F9">
        <w:tc>
          <w:tcPr>
            <w:tcW w:w="3254" w:type="dxa"/>
          </w:tcPr>
          <w:p w14:paraId="5D17EBD7" w14:textId="77777777" w:rsidR="00AD68F9" w:rsidRDefault="00AD68F9" w:rsidP="00AD68F9">
            <w:pPr>
              <w:tabs>
                <w:tab w:val="right" w:leader="dot" w:pos="3255"/>
              </w:tabs>
              <w:bidi/>
              <w:spacing w:before="40" w:after="40"/>
              <w:rPr>
                <w:b/>
                <w:bCs/>
                <w:sz w:val="17"/>
                <w:szCs w:val="17"/>
                <w:u w:val="single"/>
              </w:rPr>
            </w:pPr>
            <w:r w:rsidRPr="00272B36">
              <w:rPr>
                <w:rFonts w:hint="eastAsia"/>
                <w:b/>
                <w:bCs/>
                <w:szCs w:val="17"/>
                <w:rtl/>
              </w:rPr>
              <w:t>الأرباح</w:t>
            </w:r>
            <w:r w:rsidRPr="00272B36">
              <w:rPr>
                <w:b/>
                <w:bCs/>
                <w:szCs w:val="17"/>
                <w:rtl/>
              </w:rPr>
              <w:t xml:space="preserve"> </w:t>
            </w:r>
            <w:r w:rsidRPr="00272B36">
              <w:rPr>
                <w:rFonts w:hint="eastAsia"/>
                <w:b/>
                <w:bCs/>
                <w:szCs w:val="17"/>
                <w:rtl/>
              </w:rPr>
              <w:t>قبل</w:t>
            </w:r>
            <w:r w:rsidRPr="00272B36">
              <w:rPr>
                <w:b/>
                <w:bCs/>
                <w:szCs w:val="17"/>
                <w:rtl/>
              </w:rPr>
              <w:t xml:space="preserve"> </w:t>
            </w:r>
            <w:r w:rsidRPr="00272B36">
              <w:rPr>
                <w:rFonts w:hint="eastAsia"/>
                <w:b/>
                <w:bCs/>
                <w:szCs w:val="17"/>
                <w:rtl/>
              </w:rPr>
              <w:t>حساب</w:t>
            </w:r>
            <w:r w:rsidRPr="00272B36">
              <w:rPr>
                <w:b/>
                <w:bCs/>
                <w:szCs w:val="17"/>
                <w:rtl/>
              </w:rPr>
              <w:t xml:space="preserve"> </w:t>
            </w:r>
            <w:r w:rsidRPr="00272B36">
              <w:rPr>
                <w:rFonts w:hint="eastAsia"/>
                <w:b/>
                <w:bCs/>
                <w:szCs w:val="17"/>
                <w:rtl/>
              </w:rPr>
              <w:t>الفوائد</w:t>
            </w:r>
            <w:r w:rsidRPr="00272B36">
              <w:rPr>
                <w:b/>
                <w:bCs/>
                <w:szCs w:val="17"/>
                <w:rtl/>
              </w:rPr>
              <w:t xml:space="preserve"> </w:t>
            </w:r>
            <w:r w:rsidRPr="00272B36">
              <w:rPr>
                <w:rFonts w:hint="eastAsia"/>
                <w:b/>
                <w:bCs/>
                <w:szCs w:val="17"/>
                <w:rtl/>
              </w:rPr>
              <w:t>والضرائب</w:t>
            </w:r>
            <w:r w:rsidRPr="00272B36">
              <w:rPr>
                <w:b/>
                <w:bCs/>
                <w:szCs w:val="17"/>
                <w:rtl/>
              </w:rPr>
              <w:t xml:space="preserve"> </w:t>
            </w:r>
            <w:r w:rsidRPr="00272B36">
              <w:rPr>
                <w:rFonts w:hint="eastAsia"/>
                <w:b/>
                <w:bCs/>
                <w:szCs w:val="17"/>
                <w:rtl/>
              </w:rPr>
              <w:t>والإهلاك</w:t>
            </w:r>
            <w:r w:rsidRPr="00272B36">
              <w:rPr>
                <w:b/>
                <w:bCs/>
                <w:szCs w:val="17"/>
                <w:rtl/>
              </w:rPr>
              <w:t xml:space="preserve"> </w:t>
            </w:r>
            <w:r w:rsidRPr="00272B36">
              <w:rPr>
                <w:rFonts w:hint="eastAsia"/>
                <w:b/>
                <w:bCs/>
                <w:szCs w:val="17"/>
                <w:rtl/>
              </w:rPr>
              <w:t>والإطفاء</w:t>
            </w:r>
            <w:r w:rsidRPr="00272B36">
              <w:rPr>
                <w:b/>
                <w:bCs/>
                <w:szCs w:val="17"/>
                <w:rtl/>
              </w:rPr>
              <w:t xml:space="preserve"> </w:t>
            </w:r>
            <w:r w:rsidRPr="00272B36">
              <w:rPr>
                <w:rFonts w:hint="eastAsia"/>
                <w:b/>
                <w:bCs/>
                <w:szCs w:val="17"/>
                <w:rtl/>
              </w:rPr>
              <w:t>ل</w:t>
            </w:r>
            <w:r w:rsidR="00607B02">
              <w:rPr>
                <w:rFonts w:hint="eastAsia"/>
                <w:b/>
                <w:bCs/>
                <w:szCs w:val="17"/>
                <w:rtl/>
              </w:rPr>
              <w:t>نقل</w:t>
            </w:r>
            <w:r w:rsidRPr="00272B36">
              <w:rPr>
                <w:b/>
                <w:bCs/>
                <w:szCs w:val="17"/>
                <w:rtl/>
              </w:rPr>
              <w:t xml:space="preserve"> </w:t>
            </w:r>
            <w:r w:rsidRPr="00272B36">
              <w:rPr>
                <w:rFonts w:hint="eastAsia"/>
                <w:b/>
                <w:bCs/>
                <w:szCs w:val="17"/>
                <w:rtl/>
              </w:rPr>
              <w:t>ا</w:t>
            </w:r>
            <w:r>
              <w:rPr>
                <w:rFonts w:hint="cs"/>
                <w:b/>
                <w:bCs/>
                <w:szCs w:val="17"/>
                <w:rtl/>
              </w:rPr>
              <w:t>لمنتجات</w:t>
            </w:r>
            <w:r w:rsidRPr="007D2480">
              <w:rPr>
                <w:sz w:val="17"/>
              </w:rPr>
              <w:tab/>
            </w:r>
          </w:p>
        </w:tc>
        <w:tc>
          <w:tcPr>
            <w:tcW w:w="242" w:type="dxa"/>
            <w:vAlign w:val="bottom"/>
          </w:tcPr>
          <w:p w14:paraId="79BF75BD" w14:textId="77777777" w:rsidR="00AD68F9" w:rsidRPr="00E834EF" w:rsidRDefault="00AD68F9" w:rsidP="00AD68F9">
            <w:pPr>
              <w:spacing w:before="40" w:after="40"/>
              <w:rPr>
                <w:sz w:val="17"/>
                <w:szCs w:val="17"/>
              </w:rPr>
            </w:pPr>
          </w:p>
        </w:tc>
        <w:tc>
          <w:tcPr>
            <w:tcW w:w="913" w:type="dxa"/>
            <w:tcBorders>
              <w:top w:val="single" w:sz="4" w:space="0" w:color="auto"/>
            </w:tcBorders>
          </w:tcPr>
          <w:p w14:paraId="4114BD4F" w14:textId="77777777" w:rsidR="00AD68F9" w:rsidRPr="002163D4" w:rsidRDefault="00AD68F9" w:rsidP="00AD68F9">
            <w:pPr>
              <w:spacing w:before="40" w:after="40"/>
              <w:jc w:val="right"/>
              <w:rPr>
                <w:b/>
                <w:bCs/>
                <w:color w:val="000000"/>
                <w:sz w:val="16"/>
                <w:szCs w:val="16"/>
              </w:rPr>
            </w:pPr>
            <w:r w:rsidRPr="002163D4">
              <w:rPr>
                <w:sz w:val="16"/>
                <w:szCs w:val="16"/>
              </w:rPr>
              <w:t>14.7</w:t>
            </w:r>
          </w:p>
        </w:tc>
        <w:tc>
          <w:tcPr>
            <w:tcW w:w="252" w:type="dxa"/>
            <w:gridSpan w:val="2"/>
            <w:vAlign w:val="bottom"/>
          </w:tcPr>
          <w:p w14:paraId="53AF5E08"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09B74D0C" w14:textId="77777777" w:rsidR="00AD68F9" w:rsidRPr="002163D4" w:rsidRDefault="00AD68F9" w:rsidP="00AD68F9">
            <w:pPr>
              <w:spacing w:before="40" w:after="40"/>
              <w:jc w:val="right"/>
              <w:rPr>
                <w:b/>
                <w:bCs/>
                <w:color w:val="000000"/>
                <w:sz w:val="16"/>
                <w:szCs w:val="16"/>
              </w:rPr>
            </w:pPr>
            <w:r w:rsidRPr="002163D4">
              <w:rPr>
                <w:sz w:val="16"/>
                <w:szCs w:val="16"/>
              </w:rPr>
              <w:t>21.7</w:t>
            </w:r>
          </w:p>
        </w:tc>
        <w:tc>
          <w:tcPr>
            <w:tcW w:w="242" w:type="dxa"/>
            <w:vAlign w:val="bottom"/>
          </w:tcPr>
          <w:p w14:paraId="58138DAA"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012E9777" w14:textId="77777777" w:rsidR="00AD68F9" w:rsidRPr="002163D4" w:rsidRDefault="00AD68F9" w:rsidP="00AD68F9">
            <w:pPr>
              <w:spacing w:before="40" w:after="40"/>
              <w:jc w:val="right"/>
              <w:rPr>
                <w:b/>
                <w:bCs/>
                <w:color w:val="000000"/>
                <w:sz w:val="16"/>
                <w:szCs w:val="16"/>
              </w:rPr>
            </w:pPr>
            <w:r w:rsidRPr="002163D4">
              <w:rPr>
                <w:sz w:val="16"/>
                <w:szCs w:val="16"/>
              </w:rPr>
              <w:t>58.2</w:t>
            </w:r>
          </w:p>
        </w:tc>
        <w:tc>
          <w:tcPr>
            <w:tcW w:w="242" w:type="dxa"/>
            <w:vAlign w:val="bottom"/>
          </w:tcPr>
          <w:p w14:paraId="73756880" w14:textId="77777777" w:rsidR="00AD68F9" w:rsidRPr="002163D4" w:rsidRDefault="00AD68F9" w:rsidP="00AD68F9">
            <w:pPr>
              <w:spacing w:before="40" w:after="40"/>
              <w:rPr>
                <w:b/>
                <w:bCs/>
                <w:sz w:val="16"/>
                <w:szCs w:val="16"/>
              </w:rPr>
            </w:pPr>
          </w:p>
        </w:tc>
        <w:tc>
          <w:tcPr>
            <w:tcW w:w="924" w:type="dxa"/>
            <w:tcBorders>
              <w:top w:val="single" w:sz="4" w:space="0" w:color="auto"/>
            </w:tcBorders>
          </w:tcPr>
          <w:p w14:paraId="7A36E026" w14:textId="77777777" w:rsidR="00AD68F9" w:rsidRPr="002163D4" w:rsidRDefault="00AD68F9" w:rsidP="00AD68F9">
            <w:pPr>
              <w:spacing w:before="40" w:after="40"/>
              <w:jc w:val="right"/>
              <w:rPr>
                <w:b/>
                <w:bCs/>
                <w:sz w:val="16"/>
                <w:szCs w:val="16"/>
              </w:rPr>
            </w:pPr>
            <w:r w:rsidRPr="002163D4">
              <w:rPr>
                <w:sz w:val="16"/>
                <w:szCs w:val="16"/>
              </w:rPr>
              <w:t>41.7</w:t>
            </w:r>
          </w:p>
        </w:tc>
        <w:tc>
          <w:tcPr>
            <w:tcW w:w="227" w:type="dxa"/>
            <w:vAlign w:val="bottom"/>
          </w:tcPr>
          <w:p w14:paraId="2641FB88" w14:textId="77777777" w:rsidR="00AD68F9" w:rsidRPr="002163D4" w:rsidRDefault="00AD68F9" w:rsidP="00AD68F9">
            <w:pPr>
              <w:spacing w:before="40" w:after="40"/>
              <w:rPr>
                <w:b/>
                <w:bCs/>
                <w:sz w:val="16"/>
                <w:szCs w:val="16"/>
              </w:rPr>
            </w:pPr>
          </w:p>
        </w:tc>
        <w:tc>
          <w:tcPr>
            <w:tcW w:w="939" w:type="dxa"/>
            <w:tcBorders>
              <w:top w:val="single" w:sz="4" w:space="0" w:color="auto"/>
            </w:tcBorders>
          </w:tcPr>
          <w:p w14:paraId="4C5B4F45" w14:textId="77777777" w:rsidR="00AD68F9" w:rsidRPr="002163D4" w:rsidRDefault="00AD68F9" w:rsidP="00AD68F9">
            <w:pPr>
              <w:spacing w:before="40" w:after="40"/>
              <w:jc w:val="right"/>
              <w:rPr>
                <w:b/>
                <w:bCs/>
                <w:sz w:val="16"/>
                <w:szCs w:val="16"/>
              </w:rPr>
            </w:pPr>
            <w:r w:rsidRPr="002163D4">
              <w:rPr>
                <w:sz w:val="16"/>
                <w:szCs w:val="16"/>
              </w:rPr>
              <w:t>61.1</w:t>
            </w:r>
          </w:p>
        </w:tc>
        <w:tc>
          <w:tcPr>
            <w:tcW w:w="266" w:type="dxa"/>
            <w:vAlign w:val="bottom"/>
          </w:tcPr>
          <w:p w14:paraId="65FCF31D" w14:textId="77777777" w:rsidR="00AD68F9" w:rsidRPr="000D2863" w:rsidRDefault="00AD68F9" w:rsidP="00AD68F9">
            <w:pPr>
              <w:spacing w:before="40" w:after="40"/>
              <w:rPr>
                <w:b/>
                <w:bCs/>
                <w:sz w:val="17"/>
                <w:szCs w:val="17"/>
              </w:rPr>
            </w:pPr>
          </w:p>
        </w:tc>
      </w:tr>
    </w:tbl>
    <w:p w14:paraId="2193BDD6" w14:textId="77777777" w:rsidR="00CA7FFB" w:rsidRDefault="00CA7FFB" w:rsidP="00CA7FFB">
      <w:pPr>
        <w:autoSpaceDE w:val="0"/>
        <w:autoSpaceDN w:val="0"/>
        <w:bidi/>
        <w:adjustRightInd w:val="0"/>
        <w:jc w:val="both"/>
        <w:rPr>
          <w:rFonts w:ascii="Traditional Arabic" w:hAnsi="Traditional Arabic" w:cs="Traditional Arabic"/>
          <w:sz w:val="30"/>
          <w:szCs w:val="30"/>
          <w:rtl/>
          <w:lang w:bidi="ar-EG"/>
        </w:rPr>
      </w:pPr>
    </w:p>
    <w:p w14:paraId="3BE6884B" w14:textId="77777777" w:rsidR="00D568A2" w:rsidRDefault="00D568A2" w:rsidP="00D568A2">
      <w:pPr>
        <w:autoSpaceDE w:val="0"/>
        <w:autoSpaceDN w:val="0"/>
        <w:bidi/>
        <w:adjustRightInd w:val="0"/>
        <w:jc w:val="both"/>
        <w:rPr>
          <w:rFonts w:ascii="Traditional Arabic" w:hAnsi="Traditional Arabic" w:cs="Traditional Arabic"/>
          <w:sz w:val="30"/>
          <w:szCs w:val="30"/>
          <w:rtl/>
          <w:lang w:bidi="ar-EG"/>
        </w:rPr>
      </w:pPr>
      <w:r w:rsidRPr="00D568A2">
        <w:rPr>
          <w:rFonts w:ascii="Traditional Arabic" w:hAnsi="Traditional Arabic" w:cs="Traditional Arabic"/>
          <w:sz w:val="30"/>
          <w:szCs w:val="30"/>
          <w:rtl/>
          <w:lang w:bidi="ar-EG"/>
        </w:rPr>
        <w:t>(5)</w:t>
      </w:r>
      <w:r w:rsidRPr="00D568A2">
        <w:rPr>
          <w:rFonts w:ascii="Traditional Arabic" w:hAnsi="Traditional Arabic" w:cs="Traditional Arabic"/>
          <w:sz w:val="30"/>
          <w:szCs w:val="30"/>
          <w:rtl/>
          <w:lang w:bidi="ar-EG"/>
        </w:rPr>
        <w:tab/>
        <w:t xml:space="preserve">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لقطاع </w:t>
      </w:r>
      <w:r w:rsidR="00607B02">
        <w:rPr>
          <w:rFonts w:ascii="Traditional Arabic" w:hAnsi="Traditional Arabic" w:cs="Traditional Arabic"/>
          <w:sz w:val="30"/>
          <w:szCs w:val="30"/>
          <w:rtl/>
          <w:lang w:bidi="ar-EG"/>
        </w:rPr>
        <w:t>نقل</w:t>
      </w:r>
      <w:r w:rsidRPr="00D568A2">
        <w:rPr>
          <w:rFonts w:ascii="Traditional Arabic" w:hAnsi="Traditional Arabic" w:cs="Traditional Arabic"/>
          <w:sz w:val="30"/>
          <w:szCs w:val="30"/>
          <w:rtl/>
          <w:lang w:bidi="ar-EG"/>
        </w:rPr>
        <w:t xml:space="preserve"> البضائع السائبة الجافة للفترات المشار إليها:</w:t>
      </w:r>
    </w:p>
    <w:p w14:paraId="16077F03" w14:textId="77777777" w:rsidR="00D568A2" w:rsidRDefault="00D568A2" w:rsidP="00D568A2">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AD68F9" w:rsidRPr="00E834EF" w14:paraId="42020791" w14:textId="77777777" w:rsidTr="00272B36">
        <w:trPr>
          <w:tblHeader/>
        </w:trPr>
        <w:tc>
          <w:tcPr>
            <w:tcW w:w="3254" w:type="dxa"/>
          </w:tcPr>
          <w:p w14:paraId="38A060CB" w14:textId="77777777" w:rsidR="00AD68F9" w:rsidRPr="00E834EF" w:rsidRDefault="00AD68F9" w:rsidP="00AD68F9">
            <w:pPr>
              <w:keepNext/>
              <w:bidi/>
              <w:spacing w:before="40" w:after="120"/>
              <w:rPr>
                <w:b/>
                <w:sz w:val="17"/>
                <w:szCs w:val="17"/>
              </w:rPr>
            </w:pPr>
          </w:p>
        </w:tc>
        <w:tc>
          <w:tcPr>
            <w:tcW w:w="242" w:type="dxa"/>
          </w:tcPr>
          <w:p w14:paraId="7BAE2941" w14:textId="77777777" w:rsidR="00AD68F9" w:rsidRPr="00E834EF" w:rsidRDefault="00AD68F9" w:rsidP="00AD68F9">
            <w:pPr>
              <w:spacing w:before="40" w:after="40"/>
              <w:rPr>
                <w:sz w:val="17"/>
                <w:szCs w:val="17"/>
              </w:rPr>
            </w:pPr>
          </w:p>
        </w:tc>
        <w:tc>
          <w:tcPr>
            <w:tcW w:w="3255" w:type="dxa"/>
            <w:gridSpan w:val="6"/>
            <w:tcBorders>
              <w:bottom w:val="single" w:sz="4" w:space="0" w:color="auto"/>
            </w:tcBorders>
          </w:tcPr>
          <w:p w14:paraId="637196D3" w14:textId="77777777" w:rsidR="00AD68F9" w:rsidRPr="00E834EF" w:rsidRDefault="00AD68F9" w:rsidP="00AD68F9">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17B4125E" w14:textId="77777777" w:rsidR="00AD68F9" w:rsidRPr="00E834EF" w:rsidRDefault="00AD68F9" w:rsidP="00AD68F9">
            <w:pPr>
              <w:spacing w:before="40" w:after="40"/>
              <w:rPr>
                <w:sz w:val="17"/>
                <w:szCs w:val="17"/>
              </w:rPr>
            </w:pPr>
          </w:p>
        </w:tc>
        <w:tc>
          <w:tcPr>
            <w:tcW w:w="2090" w:type="dxa"/>
            <w:gridSpan w:val="3"/>
            <w:tcBorders>
              <w:bottom w:val="single" w:sz="4" w:space="0" w:color="auto"/>
            </w:tcBorders>
          </w:tcPr>
          <w:p w14:paraId="72316155" w14:textId="77777777" w:rsidR="00AD68F9" w:rsidRPr="00E834EF" w:rsidRDefault="00AD68F9" w:rsidP="00AD68F9">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6B6FFB21" w14:textId="77777777" w:rsidR="00AD68F9" w:rsidRPr="00E834EF" w:rsidRDefault="00AD68F9" w:rsidP="00AD68F9">
            <w:pPr>
              <w:keepNext/>
              <w:spacing w:before="40" w:after="120"/>
              <w:jc w:val="center"/>
              <w:rPr>
                <w:b/>
                <w:sz w:val="17"/>
                <w:szCs w:val="17"/>
              </w:rPr>
            </w:pPr>
          </w:p>
        </w:tc>
      </w:tr>
      <w:tr w:rsidR="00AD68F9" w:rsidRPr="00E834EF" w14:paraId="28F2946E" w14:textId="77777777" w:rsidTr="00272B36">
        <w:trPr>
          <w:tblHeader/>
        </w:trPr>
        <w:tc>
          <w:tcPr>
            <w:tcW w:w="3254" w:type="dxa"/>
          </w:tcPr>
          <w:p w14:paraId="62E912C6" w14:textId="77777777" w:rsidR="00AD68F9" w:rsidRPr="00E834EF" w:rsidRDefault="00AD68F9" w:rsidP="00AD68F9">
            <w:pPr>
              <w:keepNext/>
              <w:bidi/>
              <w:spacing w:before="40" w:after="120"/>
              <w:rPr>
                <w:b/>
                <w:sz w:val="17"/>
                <w:szCs w:val="17"/>
              </w:rPr>
            </w:pPr>
          </w:p>
        </w:tc>
        <w:tc>
          <w:tcPr>
            <w:tcW w:w="242" w:type="dxa"/>
          </w:tcPr>
          <w:p w14:paraId="2282329D" w14:textId="77777777" w:rsidR="00AD68F9" w:rsidRPr="00E834EF" w:rsidRDefault="00AD68F9" w:rsidP="00AD68F9">
            <w:pPr>
              <w:spacing w:before="40" w:after="40"/>
              <w:rPr>
                <w:sz w:val="17"/>
                <w:szCs w:val="17"/>
              </w:rPr>
            </w:pPr>
          </w:p>
        </w:tc>
        <w:tc>
          <w:tcPr>
            <w:tcW w:w="923" w:type="dxa"/>
            <w:gridSpan w:val="2"/>
            <w:tcBorders>
              <w:top w:val="single" w:sz="4" w:space="0" w:color="auto"/>
              <w:bottom w:val="single" w:sz="4" w:space="0" w:color="auto"/>
            </w:tcBorders>
          </w:tcPr>
          <w:p w14:paraId="77DC6E19" w14:textId="77777777" w:rsidR="00AD68F9" w:rsidRPr="00E834EF" w:rsidRDefault="00AD68F9" w:rsidP="00AD68F9">
            <w:pPr>
              <w:keepNext/>
              <w:spacing w:before="40" w:after="120"/>
              <w:jc w:val="right"/>
              <w:rPr>
                <w:b/>
                <w:sz w:val="17"/>
                <w:szCs w:val="17"/>
              </w:rPr>
            </w:pPr>
            <w:r w:rsidRPr="00E834EF">
              <w:rPr>
                <w:b/>
                <w:sz w:val="17"/>
                <w:szCs w:val="17"/>
              </w:rPr>
              <w:t>2021</w:t>
            </w:r>
          </w:p>
        </w:tc>
        <w:tc>
          <w:tcPr>
            <w:tcW w:w="242" w:type="dxa"/>
          </w:tcPr>
          <w:p w14:paraId="5E78B6B5"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580620E2" w14:textId="77777777" w:rsidR="00AD68F9" w:rsidRPr="00E834EF" w:rsidRDefault="00AD68F9" w:rsidP="00AD68F9">
            <w:pPr>
              <w:keepNext/>
              <w:spacing w:before="40" w:after="120"/>
              <w:jc w:val="right"/>
              <w:rPr>
                <w:b/>
                <w:sz w:val="17"/>
                <w:szCs w:val="17"/>
              </w:rPr>
            </w:pPr>
            <w:r w:rsidRPr="00E834EF">
              <w:rPr>
                <w:b/>
                <w:sz w:val="17"/>
                <w:szCs w:val="17"/>
              </w:rPr>
              <w:t>2022</w:t>
            </w:r>
          </w:p>
        </w:tc>
        <w:tc>
          <w:tcPr>
            <w:tcW w:w="242" w:type="dxa"/>
          </w:tcPr>
          <w:p w14:paraId="7E2863DA"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6E8B95A8" w14:textId="77777777" w:rsidR="00AD68F9" w:rsidRPr="00E834EF" w:rsidRDefault="00AD68F9" w:rsidP="00AD68F9">
            <w:pPr>
              <w:keepNext/>
              <w:spacing w:before="40" w:after="120"/>
              <w:jc w:val="right"/>
              <w:rPr>
                <w:b/>
                <w:sz w:val="17"/>
                <w:szCs w:val="17"/>
              </w:rPr>
            </w:pPr>
            <w:r w:rsidRPr="00E834EF">
              <w:rPr>
                <w:b/>
                <w:sz w:val="17"/>
                <w:szCs w:val="17"/>
              </w:rPr>
              <w:t>2023</w:t>
            </w:r>
          </w:p>
        </w:tc>
        <w:tc>
          <w:tcPr>
            <w:tcW w:w="242" w:type="dxa"/>
          </w:tcPr>
          <w:p w14:paraId="7BF94AC9"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25B6EB7F" w14:textId="77777777" w:rsidR="00AD68F9" w:rsidRPr="00E834EF" w:rsidRDefault="00AD68F9" w:rsidP="00AD68F9">
            <w:pPr>
              <w:keepNext/>
              <w:spacing w:before="40" w:after="120"/>
              <w:jc w:val="right"/>
              <w:rPr>
                <w:b/>
                <w:sz w:val="17"/>
                <w:szCs w:val="17"/>
              </w:rPr>
            </w:pPr>
            <w:r w:rsidRPr="00E834EF">
              <w:rPr>
                <w:b/>
                <w:sz w:val="17"/>
                <w:szCs w:val="17"/>
              </w:rPr>
              <w:t>2023</w:t>
            </w:r>
          </w:p>
        </w:tc>
        <w:tc>
          <w:tcPr>
            <w:tcW w:w="227" w:type="dxa"/>
          </w:tcPr>
          <w:p w14:paraId="75751EF5" w14:textId="77777777" w:rsidR="00AD68F9" w:rsidRPr="00E834EF" w:rsidRDefault="00AD68F9" w:rsidP="00AD68F9">
            <w:pPr>
              <w:spacing w:before="40" w:after="40"/>
              <w:rPr>
                <w:sz w:val="17"/>
                <w:szCs w:val="17"/>
              </w:rPr>
            </w:pPr>
          </w:p>
        </w:tc>
        <w:tc>
          <w:tcPr>
            <w:tcW w:w="939" w:type="dxa"/>
            <w:tcBorders>
              <w:top w:val="single" w:sz="4" w:space="0" w:color="auto"/>
              <w:bottom w:val="single" w:sz="4" w:space="0" w:color="auto"/>
            </w:tcBorders>
          </w:tcPr>
          <w:p w14:paraId="29318335" w14:textId="77777777" w:rsidR="00AD68F9" w:rsidRPr="00E834EF" w:rsidRDefault="00AD68F9" w:rsidP="00AD68F9">
            <w:pPr>
              <w:keepNext/>
              <w:spacing w:before="40" w:after="120"/>
              <w:jc w:val="right"/>
              <w:rPr>
                <w:b/>
                <w:sz w:val="17"/>
                <w:szCs w:val="17"/>
              </w:rPr>
            </w:pPr>
            <w:r w:rsidRPr="00E834EF">
              <w:rPr>
                <w:b/>
                <w:sz w:val="17"/>
                <w:szCs w:val="17"/>
              </w:rPr>
              <w:t>2024</w:t>
            </w:r>
          </w:p>
        </w:tc>
        <w:tc>
          <w:tcPr>
            <w:tcW w:w="266" w:type="dxa"/>
          </w:tcPr>
          <w:p w14:paraId="6B8358CD" w14:textId="77777777" w:rsidR="00AD68F9" w:rsidRPr="00E834EF" w:rsidRDefault="00AD68F9" w:rsidP="00AD68F9">
            <w:pPr>
              <w:keepNext/>
              <w:spacing w:before="40" w:after="120"/>
              <w:jc w:val="right"/>
              <w:rPr>
                <w:b/>
                <w:sz w:val="17"/>
                <w:szCs w:val="17"/>
              </w:rPr>
            </w:pPr>
          </w:p>
        </w:tc>
      </w:tr>
      <w:tr w:rsidR="00AD68F9" w:rsidRPr="00E834EF" w14:paraId="4D976BE7" w14:textId="77777777" w:rsidTr="00272B36">
        <w:trPr>
          <w:trHeight w:val="215"/>
          <w:tblHeader/>
        </w:trPr>
        <w:tc>
          <w:tcPr>
            <w:tcW w:w="3254" w:type="dxa"/>
          </w:tcPr>
          <w:p w14:paraId="7D34FF6C" w14:textId="77777777" w:rsidR="00AD68F9" w:rsidRPr="00E834EF" w:rsidRDefault="00AD68F9" w:rsidP="00AD68F9">
            <w:pPr>
              <w:keepNext/>
              <w:bidi/>
              <w:spacing w:before="40" w:after="120"/>
              <w:jc w:val="center"/>
              <w:rPr>
                <w:i/>
                <w:sz w:val="17"/>
                <w:szCs w:val="17"/>
              </w:rPr>
            </w:pPr>
          </w:p>
        </w:tc>
        <w:tc>
          <w:tcPr>
            <w:tcW w:w="242" w:type="dxa"/>
          </w:tcPr>
          <w:p w14:paraId="7537CCAA" w14:textId="77777777" w:rsidR="00AD68F9" w:rsidRPr="00E834EF" w:rsidRDefault="00AD68F9" w:rsidP="00AD68F9">
            <w:pPr>
              <w:keepNext/>
              <w:spacing w:before="40" w:after="120"/>
              <w:jc w:val="center"/>
              <w:rPr>
                <w:i/>
                <w:sz w:val="17"/>
                <w:szCs w:val="17"/>
              </w:rPr>
            </w:pPr>
          </w:p>
        </w:tc>
        <w:tc>
          <w:tcPr>
            <w:tcW w:w="5587" w:type="dxa"/>
            <w:gridSpan w:val="10"/>
          </w:tcPr>
          <w:p w14:paraId="78B38E77" w14:textId="77777777" w:rsidR="00AD68F9" w:rsidRPr="00E834EF" w:rsidRDefault="00AD68F9" w:rsidP="00AD68F9">
            <w:pPr>
              <w:keepNext/>
              <w:spacing w:before="40" w:after="120"/>
              <w:jc w:val="center"/>
              <w:rPr>
                <w:i/>
                <w:sz w:val="17"/>
                <w:szCs w:val="17"/>
              </w:rPr>
            </w:pPr>
            <w:r w:rsidRPr="00E834EF">
              <w:rPr>
                <w:i/>
                <w:color w:val="000000"/>
                <w:sz w:val="17"/>
                <w:szCs w:val="17"/>
              </w:rPr>
              <w:t>(</w:t>
            </w:r>
            <w:r>
              <w:rPr>
                <w:i/>
                <w:color w:val="000000"/>
                <w:sz w:val="17"/>
                <w:szCs w:val="17"/>
              </w:rPr>
              <w:t>OMR</w:t>
            </w:r>
            <w:r w:rsidRPr="00E834EF">
              <w:rPr>
                <w:i/>
                <w:color w:val="000000"/>
                <w:sz w:val="17"/>
                <w:szCs w:val="17"/>
              </w:rPr>
              <w:t xml:space="preserve"> </w:t>
            </w:r>
            <w:r>
              <w:rPr>
                <w:i/>
                <w:color w:val="000000"/>
                <w:sz w:val="17"/>
                <w:szCs w:val="17"/>
              </w:rPr>
              <w:t>millions</w:t>
            </w:r>
            <w:r w:rsidRPr="00E834EF">
              <w:rPr>
                <w:i/>
                <w:color w:val="000000"/>
                <w:sz w:val="17"/>
                <w:szCs w:val="17"/>
              </w:rPr>
              <w:t>)</w:t>
            </w:r>
          </w:p>
        </w:tc>
        <w:tc>
          <w:tcPr>
            <w:tcW w:w="266" w:type="dxa"/>
          </w:tcPr>
          <w:p w14:paraId="1B6D5D0D" w14:textId="77777777" w:rsidR="00AD68F9" w:rsidRPr="00E834EF" w:rsidRDefault="00AD68F9" w:rsidP="00AD68F9">
            <w:pPr>
              <w:keepNext/>
              <w:spacing w:before="40" w:after="120"/>
              <w:jc w:val="center"/>
              <w:rPr>
                <w:i/>
                <w:color w:val="000000"/>
                <w:sz w:val="17"/>
                <w:szCs w:val="17"/>
              </w:rPr>
            </w:pPr>
          </w:p>
        </w:tc>
      </w:tr>
      <w:tr w:rsidR="00AD68F9" w:rsidRPr="00E834EF" w14:paraId="70D3CEE5" w14:textId="77777777" w:rsidTr="00272B36">
        <w:tc>
          <w:tcPr>
            <w:tcW w:w="3254" w:type="dxa"/>
            <w:vAlign w:val="bottom"/>
          </w:tcPr>
          <w:p w14:paraId="45134EE4" w14:textId="77777777" w:rsidR="00AD68F9" w:rsidRDefault="00AD68F9" w:rsidP="00AD68F9">
            <w:pPr>
              <w:tabs>
                <w:tab w:val="right" w:leader="dot" w:pos="3255"/>
              </w:tabs>
              <w:bidi/>
              <w:spacing w:before="40" w:after="40"/>
              <w:ind w:left="12"/>
              <w:rPr>
                <w:b/>
                <w:bCs/>
                <w:color w:val="000000"/>
                <w:sz w:val="17"/>
                <w:szCs w:val="17"/>
              </w:rPr>
            </w:pPr>
            <w:r>
              <w:rPr>
                <w:rFonts w:hint="cs"/>
                <w:b/>
                <w:bCs/>
                <w:color w:val="000000"/>
                <w:sz w:val="17"/>
                <w:szCs w:val="17"/>
                <w:rtl/>
              </w:rPr>
              <w:t xml:space="preserve">إيرادات </w:t>
            </w:r>
            <w:r w:rsidR="00607B02">
              <w:rPr>
                <w:rFonts w:hint="cs"/>
                <w:b/>
                <w:bCs/>
                <w:color w:val="000000"/>
                <w:sz w:val="17"/>
                <w:szCs w:val="17"/>
                <w:rtl/>
              </w:rPr>
              <w:t>نقل</w:t>
            </w:r>
            <w:r>
              <w:rPr>
                <w:rFonts w:hint="cs"/>
                <w:b/>
                <w:bCs/>
                <w:color w:val="000000"/>
                <w:sz w:val="17"/>
                <w:szCs w:val="17"/>
                <w:rtl/>
              </w:rPr>
              <w:t xml:space="preserve"> البضائع السائبة الجافة</w:t>
            </w:r>
            <w:r w:rsidRPr="0054596C">
              <w:rPr>
                <w:sz w:val="17"/>
              </w:rPr>
              <w:tab/>
            </w:r>
          </w:p>
        </w:tc>
        <w:tc>
          <w:tcPr>
            <w:tcW w:w="242" w:type="dxa"/>
            <w:vAlign w:val="bottom"/>
          </w:tcPr>
          <w:p w14:paraId="10C64FBB" w14:textId="77777777" w:rsidR="00AD68F9" w:rsidRPr="00E834EF" w:rsidRDefault="00AD68F9" w:rsidP="00AD68F9">
            <w:pPr>
              <w:spacing w:before="40" w:after="40"/>
              <w:rPr>
                <w:sz w:val="17"/>
                <w:szCs w:val="17"/>
              </w:rPr>
            </w:pPr>
          </w:p>
        </w:tc>
        <w:tc>
          <w:tcPr>
            <w:tcW w:w="913" w:type="dxa"/>
            <w:vAlign w:val="bottom"/>
          </w:tcPr>
          <w:p w14:paraId="22ED76AD" w14:textId="77777777" w:rsidR="00AD68F9" w:rsidRPr="000A73F0" w:rsidRDefault="00AD68F9" w:rsidP="00AD68F9">
            <w:pPr>
              <w:spacing w:before="40" w:after="40"/>
              <w:jc w:val="right"/>
              <w:rPr>
                <w:color w:val="000000"/>
                <w:sz w:val="17"/>
                <w:szCs w:val="17"/>
              </w:rPr>
            </w:pPr>
            <w:r>
              <w:rPr>
                <w:sz w:val="17"/>
                <w:szCs w:val="17"/>
              </w:rPr>
              <w:t>57.7</w:t>
            </w:r>
          </w:p>
        </w:tc>
        <w:tc>
          <w:tcPr>
            <w:tcW w:w="252" w:type="dxa"/>
            <w:gridSpan w:val="2"/>
            <w:vAlign w:val="bottom"/>
          </w:tcPr>
          <w:p w14:paraId="0AEE981A" w14:textId="77777777" w:rsidR="00AD68F9" w:rsidRPr="007766C5" w:rsidRDefault="00AD68F9" w:rsidP="00AD68F9">
            <w:pPr>
              <w:spacing w:before="40" w:after="40"/>
              <w:rPr>
                <w:color w:val="000000"/>
                <w:sz w:val="17"/>
                <w:szCs w:val="17"/>
              </w:rPr>
            </w:pPr>
          </w:p>
        </w:tc>
        <w:tc>
          <w:tcPr>
            <w:tcW w:w="924" w:type="dxa"/>
            <w:vAlign w:val="bottom"/>
          </w:tcPr>
          <w:p w14:paraId="7E4DDB55" w14:textId="77777777" w:rsidR="00AD68F9" w:rsidRPr="007766C5" w:rsidRDefault="00AD68F9" w:rsidP="00AD68F9">
            <w:pPr>
              <w:spacing w:before="40" w:after="40"/>
              <w:jc w:val="right"/>
              <w:rPr>
                <w:color w:val="000000"/>
                <w:sz w:val="17"/>
                <w:szCs w:val="17"/>
              </w:rPr>
            </w:pPr>
            <w:r>
              <w:rPr>
                <w:sz w:val="17"/>
                <w:szCs w:val="17"/>
              </w:rPr>
              <w:t>70.9</w:t>
            </w:r>
          </w:p>
        </w:tc>
        <w:tc>
          <w:tcPr>
            <w:tcW w:w="242" w:type="dxa"/>
            <w:vAlign w:val="bottom"/>
          </w:tcPr>
          <w:p w14:paraId="0BE44D6F" w14:textId="77777777" w:rsidR="00AD68F9" w:rsidRPr="007766C5" w:rsidRDefault="00AD68F9" w:rsidP="00AD68F9">
            <w:pPr>
              <w:spacing w:before="40" w:after="40"/>
              <w:rPr>
                <w:color w:val="000000"/>
                <w:sz w:val="17"/>
                <w:szCs w:val="17"/>
              </w:rPr>
            </w:pPr>
          </w:p>
        </w:tc>
        <w:tc>
          <w:tcPr>
            <w:tcW w:w="924" w:type="dxa"/>
            <w:vAlign w:val="bottom"/>
          </w:tcPr>
          <w:p w14:paraId="507B510C" w14:textId="77777777" w:rsidR="00AD68F9" w:rsidRPr="007766C5" w:rsidRDefault="00AD68F9" w:rsidP="00AD68F9">
            <w:pPr>
              <w:spacing w:before="40" w:after="40"/>
              <w:jc w:val="right"/>
              <w:rPr>
                <w:color w:val="000000"/>
                <w:sz w:val="17"/>
                <w:szCs w:val="17"/>
              </w:rPr>
            </w:pPr>
            <w:r>
              <w:rPr>
                <w:sz w:val="17"/>
                <w:szCs w:val="17"/>
              </w:rPr>
              <w:t>64.8</w:t>
            </w:r>
          </w:p>
        </w:tc>
        <w:tc>
          <w:tcPr>
            <w:tcW w:w="242" w:type="dxa"/>
            <w:vAlign w:val="bottom"/>
          </w:tcPr>
          <w:p w14:paraId="25E11C44" w14:textId="77777777" w:rsidR="00AD68F9" w:rsidRPr="007766C5" w:rsidRDefault="00AD68F9" w:rsidP="00AD68F9">
            <w:pPr>
              <w:spacing w:before="40" w:after="40"/>
              <w:rPr>
                <w:sz w:val="17"/>
                <w:szCs w:val="17"/>
              </w:rPr>
            </w:pPr>
          </w:p>
        </w:tc>
        <w:tc>
          <w:tcPr>
            <w:tcW w:w="924" w:type="dxa"/>
            <w:vAlign w:val="bottom"/>
          </w:tcPr>
          <w:p w14:paraId="48062D8D" w14:textId="77777777" w:rsidR="00AD68F9" w:rsidRPr="007766C5" w:rsidRDefault="00AD68F9" w:rsidP="00AD68F9">
            <w:pPr>
              <w:spacing w:before="40" w:after="40"/>
              <w:jc w:val="right"/>
              <w:rPr>
                <w:sz w:val="17"/>
                <w:szCs w:val="17"/>
              </w:rPr>
            </w:pPr>
            <w:r>
              <w:rPr>
                <w:sz w:val="17"/>
                <w:szCs w:val="17"/>
              </w:rPr>
              <w:t>49.9</w:t>
            </w:r>
          </w:p>
        </w:tc>
        <w:tc>
          <w:tcPr>
            <w:tcW w:w="227" w:type="dxa"/>
            <w:vAlign w:val="bottom"/>
          </w:tcPr>
          <w:p w14:paraId="300E53B0" w14:textId="77777777" w:rsidR="00AD68F9" w:rsidRPr="007766C5" w:rsidRDefault="00AD68F9" w:rsidP="00AD68F9">
            <w:pPr>
              <w:spacing w:before="40" w:after="40"/>
              <w:rPr>
                <w:sz w:val="17"/>
                <w:szCs w:val="17"/>
              </w:rPr>
            </w:pPr>
          </w:p>
        </w:tc>
        <w:tc>
          <w:tcPr>
            <w:tcW w:w="939" w:type="dxa"/>
            <w:vAlign w:val="bottom"/>
          </w:tcPr>
          <w:p w14:paraId="30AD5C22" w14:textId="77777777" w:rsidR="00AD68F9" w:rsidRPr="007766C5" w:rsidRDefault="00AD68F9" w:rsidP="00AD68F9">
            <w:pPr>
              <w:spacing w:before="40" w:after="40"/>
              <w:jc w:val="right"/>
              <w:rPr>
                <w:sz w:val="17"/>
                <w:szCs w:val="17"/>
              </w:rPr>
            </w:pPr>
            <w:r>
              <w:rPr>
                <w:sz w:val="17"/>
                <w:szCs w:val="17"/>
              </w:rPr>
              <w:t>44.9</w:t>
            </w:r>
          </w:p>
        </w:tc>
        <w:tc>
          <w:tcPr>
            <w:tcW w:w="266" w:type="dxa"/>
          </w:tcPr>
          <w:p w14:paraId="05B44BFD" w14:textId="77777777" w:rsidR="00AD68F9" w:rsidRPr="000D2863" w:rsidRDefault="00AD68F9" w:rsidP="00AD68F9">
            <w:pPr>
              <w:spacing w:before="40" w:after="40"/>
              <w:rPr>
                <w:sz w:val="17"/>
                <w:szCs w:val="17"/>
              </w:rPr>
            </w:pPr>
          </w:p>
        </w:tc>
      </w:tr>
      <w:tr w:rsidR="00AD68F9" w:rsidRPr="00E834EF" w14:paraId="3B1202B6" w14:textId="77777777" w:rsidTr="00272B36">
        <w:tc>
          <w:tcPr>
            <w:tcW w:w="3254" w:type="dxa"/>
          </w:tcPr>
          <w:p w14:paraId="08B52AEB" w14:textId="77777777" w:rsidR="00AD68F9" w:rsidRDefault="00AD68F9" w:rsidP="00AD68F9">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293C3970" w14:textId="77777777" w:rsidR="00AD68F9" w:rsidRPr="00E834EF" w:rsidRDefault="00AD68F9" w:rsidP="00AD68F9">
            <w:pPr>
              <w:spacing w:before="40" w:after="40"/>
              <w:rPr>
                <w:sz w:val="17"/>
                <w:szCs w:val="17"/>
              </w:rPr>
            </w:pPr>
          </w:p>
        </w:tc>
        <w:tc>
          <w:tcPr>
            <w:tcW w:w="913" w:type="dxa"/>
            <w:tcBorders>
              <w:bottom w:val="single" w:sz="4" w:space="0" w:color="auto"/>
            </w:tcBorders>
            <w:vAlign w:val="bottom"/>
          </w:tcPr>
          <w:p w14:paraId="06743CC8" w14:textId="77777777" w:rsidR="00AD68F9" w:rsidRPr="000A73F0" w:rsidRDefault="00AD68F9" w:rsidP="00AD68F9">
            <w:pPr>
              <w:spacing w:before="40" w:after="40"/>
              <w:jc w:val="right"/>
              <w:rPr>
                <w:color w:val="000000"/>
                <w:sz w:val="17"/>
                <w:szCs w:val="17"/>
              </w:rPr>
            </w:pPr>
            <w:r>
              <w:rPr>
                <w:sz w:val="17"/>
                <w:szCs w:val="17"/>
              </w:rPr>
              <w:t>(3.9</w:t>
            </w:r>
            <w:r w:rsidR="00803F4F">
              <w:rPr>
                <w:sz w:val="17"/>
                <w:szCs w:val="17"/>
              </w:rPr>
              <w:t>)</w:t>
            </w:r>
          </w:p>
        </w:tc>
        <w:tc>
          <w:tcPr>
            <w:tcW w:w="252" w:type="dxa"/>
            <w:gridSpan w:val="2"/>
            <w:vAlign w:val="bottom"/>
          </w:tcPr>
          <w:p w14:paraId="344C75E3" w14:textId="77777777" w:rsidR="00AD68F9" w:rsidRPr="007766C5" w:rsidRDefault="00AD68F9" w:rsidP="00AD68F9">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745345E6" w14:textId="77777777" w:rsidR="00AD68F9" w:rsidRPr="007766C5" w:rsidRDefault="00AD68F9" w:rsidP="00AD68F9">
            <w:pPr>
              <w:spacing w:before="40" w:after="40"/>
              <w:jc w:val="right"/>
              <w:rPr>
                <w:color w:val="000000"/>
                <w:sz w:val="17"/>
                <w:szCs w:val="17"/>
              </w:rPr>
            </w:pPr>
            <w:r>
              <w:rPr>
                <w:sz w:val="17"/>
                <w:szCs w:val="17"/>
              </w:rPr>
              <w:t>(8.5</w:t>
            </w:r>
          </w:p>
        </w:tc>
        <w:tc>
          <w:tcPr>
            <w:tcW w:w="242" w:type="dxa"/>
            <w:vAlign w:val="bottom"/>
          </w:tcPr>
          <w:p w14:paraId="39AD90DA" w14:textId="77777777" w:rsidR="00AD68F9" w:rsidRPr="007766C5" w:rsidRDefault="00AD68F9" w:rsidP="00AD68F9">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529ABE41" w14:textId="77777777" w:rsidR="00AD68F9" w:rsidRPr="007766C5" w:rsidRDefault="00AD68F9" w:rsidP="00AD68F9">
            <w:pPr>
              <w:spacing w:before="40" w:after="40"/>
              <w:jc w:val="right"/>
              <w:rPr>
                <w:color w:val="000000"/>
                <w:sz w:val="17"/>
                <w:szCs w:val="17"/>
              </w:rPr>
            </w:pPr>
            <w:r>
              <w:rPr>
                <w:sz w:val="17"/>
                <w:szCs w:val="17"/>
              </w:rPr>
              <w:t>(10.6</w:t>
            </w:r>
          </w:p>
        </w:tc>
        <w:tc>
          <w:tcPr>
            <w:tcW w:w="242" w:type="dxa"/>
            <w:vAlign w:val="bottom"/>
          </w:tcPr>
          <w:p w14:paraId="1581B342" w14:textId="77777777" w:rsidR="00AD68F9" w:rsidRPr="007766C5" w:rsidRDefault="00AD68F9" w:rsidP="00AD68F9">
            <w:pPr>
              <w:spacing w:before="40" w:after="40"/>
              <w:rPr>
                <w:sz w:val="17"/>
                <w:szCs w:val="17"/>
              </w:rPr>
            </w:pPr>
            <w:r>
              <w:rPr>
                <w:sz w:val="17"/>
                <w:szCs w:val="17"/>
              </w:rPr>
              <w:t>)</w:t>
            </w:r>
          </w:p>
        </w:tc>
        <w:tc>
          <w:tcPr>
            <w:tcW w:w="924" w:type="dxa"/>
            <w:tcBorders>
              <w:bottom w:val="single" w:sz="4" w:space="0" w:color="auto"/>
            </w:tcBorders>
            <w:vAlign w:val="bottom"/>
          </w:tcPr>
          <w:p w14:paraId="2BC6B72E" w14:textId="77777777" w:rsidR="00AD68F9" w:rsidRPr="007766C5" w:rsidRDefault="00AD68F9" w:rsidP="00AD68F9">
            <w:pPr>
              <w:spacing w:before="40" w:after="40"/>
              <w:jc w:val="right"/>
              <w:rPr>
                <w:sz w:val="17"/>
                <w:szCs w:val="17"/>
              </w:rPr>
            </w:pPr>
            <w:r>
              <w:rPr>
                <w:sz w:val="17"/>
                <w:szCs w:val="17"/>
              </w:rPr>
              <w:t>(9.3</w:t>
            </w:r>
          </w:p>
        </w:tc>
        <w:tc>
          <w:tcPr>
            <w:tcW w:w="227" w:type="dxa"/>
            <w:vAlign w:val="bottom"/>
          </w:tcPr>
          <w:p w14:paraId="016E2F24" w14:textId="77777777" w:rsidR="00AD68F9" w:rsidRPr="007766C5" w:rsidRDefault="00AD68F9" w:rsidP="00AD68F9">
            <w:pPr>
              <w:spacing w:before="40" w:after="40"/>
              <w:rPr>
                <w:sz w:val="17"/>
                <w:szCs w:val="17"/>
              </w:rPr>
            </w:pPr>
            <w:r>
              <w:rPr>
                <w:sz w:val="17"/>
                <w:szCs w:val="17"/>
              </w:rPr>
              <w:t>)</w:t>
            </w:r>
          </w:p>
        </w:tc>
        <w:tc>
          <w:tcPr>
            <w:tcW w:w="939" w:type="dxa"/>
            <w:tcBorders>
              <w:bottom w:val="single" w:sz="4" w:space="0" w:color="auto"/>
            </w:tcBorders>
            <w:vAlign w:val="bottom"/>
          </w:tcPr>
          <w:p w14:paraId="7B1319DE" w14:textId="77777777" w:rsidR="00AD68F9" w:rsidRPr="007766C5" w:rsidRDefault="00AD68F9" w:rsidP="00AD68F9">
            <w:pPr>
              <w:spacing w:before="40" w:after="40"/>
              <w:jc w:val="right"/>
              <w:rPr>
                <w:sz w:val="17"/>
                <w:szCs w:val="17"/>
              </w:rPr>
            </w:pPr>
            <w:r>
              <w:rPr>
                <w:sz w:val="17"/>
                <w:szCs w:val="17"/>
              </w:rPr>
              <w:t>(3.9</w:t>
            </w:r>
          </w:p>
        </w:tc>
        <w:tc>
          <w:tcPr>
            <w:tcW w:w="266" w:type="dxa"/>
            <w:vAlign w:val="bottom"/>
          </w:tcPr>
          <w:p w14:paraId="26D456C8" w14:textId="77777777" w:rsidR="00AD68F9" w:rsidRPr="007766C5" w:rsidRDefault="00AD68F9" w:rsidP="00AD68F9">
            <w:pPr>
              <w:spacing w:before="40" w:after="40"/>
              <w:rPr>
                <w:sz w:val="17"/>
                <w:szCs w:val="17"/>
              </w:rPr>
            </w:pPr>
          </w:p>
        </w:tc>
      </w:tr>
      <w:tr w:rsidR="00AD68F9" w:rsidRPr="00E834EF" w14:paraId="147A7A47" w14:textId="77777777" w:rsidTr="00272B36">
        <w:tc>
          <w:tcPr>
            <w:tcW w:w="3254" w:type="dxa"/>
          </w:tcPr>
          <w:p w14:paraId="3CFEC19B" w14:textId="77777777" w:rsidR="00AD68F9" w:rsidRDefault="00AD68F9" w:rsidP="00AD68F9">
            <w:pPr>
              <w:tabs>
                <w:tab w:val="right" w:leader="dot" w:pos="3255"/>
              </w:tabs>
              <w:bidi/>
              <w:spacing w:before="40" w:after="40"/>
              <w:rPr>
                <w:b/>
                <w:bCs/>
                <w:sz w:val="17"/>
                <w:szCs w:val="17"/>
                <w:u w:val="single"/>
              </w:rPr>
            </w:pPr>
            <w:r w:rsidRPr="002A4B5D">
              <w:rPr>
                <w:rFonts w:hint="cs"/>
                <w:b/>
                <w:bCs/>
                <w:sz w:val="17"/>
                <w:szCs w:val="17"/>
                <w:u w:val="single"/>
                <w:rtl/>
              </w:rPr>
              <w:t xml:space="preserve">إيرادات مكافئ تأجير السفن المجهزة بالمدة </w:t>
            </w:r>
            <w:r>
              <w:rPr>
                <w:rFonts w:hint="cs"/>
                <w:b/>
                <w:bCs/>
                <w:sz w:val="17"/>
                <w:szCs w:val="17"/>
                <w:u w:val="single"/>
                <w:rtl/>
              </w:rPr>
              <w:t>ل</w:t>
            </w:r>
            <w:r w:rsidR="00607B02">
              <w:rPr>
                <w:rFonts w:hint="cs"/>
                <w:b/>
                <w:bCs/>
                <w:sz w:val="17"/>
                <w:szCs w:val="17"/>
                <w:u w:val="single"/>
                <w:rtl/>
              </w:rPr>
              <w:t>نقل</w:t>
            </w:r>
            <w:r>
              <w:rPr>
                <w:rFonts w:hint="cs"/>
                <w:b/>
                <w:bCs/>
                <w:sz w:val="17"/>
                <w:szCs w:val="17"/>
                <w:u w:val="single"/>
                <w:rtl/>
              </w:rPr>
              <w:t xml:space="preserve"> البضائع السائبة الجافة</w:t>
            </w:r>
            <w:r w:rsidRPr="007D2480">
              <w:rPr>
                <w:sz w:val="17"/>
              </w:rPr>
              <w:tab/>
            </w:r>
          </w:p>
        </w:tc>
        <w:tc>
          <w:tcPr>
            <w:tcW w:w="242" w:type="dxa"/>
            <w:vAlign w:val="bottom"/>
          </w:tcPr>
          <w:p w14:paraId="145627B6" w14:textId="77777777" w:rsidR="00AD68F9" w:rsidRPr="00E834EF" w:rsidRDefault="00AD68F9" w:rsidP="00AD68F9">
            <w:pPr>
              <w:spacing w:before="40" w:after="40"/>
              <w:rPr>
                <w:sz w:val="17"/>
                <w:szCs w:val="17"/>
              </w:rPr>
            </w:pPr>
          </w:p>
        </w:tc>
        <w:tc>
          <w:tcPr>
            <w:tcW w:w="913" w:type="dxa"/>
            <w:tcBorders>
              <w:top w:val="single" w:sz="4" w:space="0" w:color="auto"/>
            </w:tcBorders>
          </w:tcPr>
          <w:p w14:paraId="483E20C5" w14:textId="77777777" w:rsidR="00AD68F9" w:rsidRPr="002163D4" w:rsidRDefault="00AD68F9" w:rsidP="00AD68F9">
            <w:pPr>
              <w:spacing w:before="40" w:after="40"/>
              <w:jc w:val="right"/>
              <w:rPr>
                <w:b/>
                <w:bCs/>
                <w:color w:val="000000"/>
                <w:sz w:val="16"/>
                <w:szCs w:val="16"/>
              </w:rPr>
            </w:pPr>
            <w:r w:rsidRPr="002163D4">
              <w:rPr>
                <w:sz w:val="16"/>
                <w:szCs w:val="16"/>
              </w:rPr>
              <w:t>53.8</w:t>
            </w:r>
          </w:p>
        </w:tc>
        <w:tc>
          <w:tcPr>
            <w:tcW w:w="252" w:type="dxa"/>
            <w:gridSpan w:val="2"/>
            <w:vAlign w:val="bottom"/>
          </w:tcPr>
          <w:p w14:paraId="127C137D"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3D0467CB" w14:textId="77777777" w:rsidR="00AD68F9" w:rsidRPr="002163D4" w:rsidRDefault="00AD68F9" w:rsidP="00AD68F9">
            <w:pPr>
              <w:spacing w:before="40" w:after="40"/>
              <w:jc w:val="right"/>
              <w:rPr>
                <w:b/>
                <w:bCs/>
                <w:color w:val="000000"/>
                <w:sz w:val="16"/>
                <w:szCs w:val="16"/>
              </w:rPr>
            </w:pPr>
            <w:r w:rsidRPr="002163D4">
              <w:rPr>
                <w:sz w:val="16"/>
                <w:szCs w:val="16"/>
              </w:rPr>
              <w:t>62.4</w:t>
            </w:r>
          </w:p>
        </w:tc>
        <w:tc>
          <w:tcPr>
            <w:tcW w:w="242" w:type="dxa"/>
            <w:vAlign w:val="bottom"/>
          </w:tcPr>
          <w:p w14:paraId="6D0EB83A"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68BE6EF8" w14:textId="77777777" w:rsidR="00AD68F9" w:rsidRPr="002163D4" w:rsidRDefault="00AD68F9" w:rsidP="00AD68F9">
            <w:pPr>
              <w:spacing w:before="40" w:after="40"/>
              <w:jc w:val="right"/>
              <w:rPr>
                <w:b/>
                <w:bCs/>
                <w:color w:val="000000"/>
                <w:sz w:val="16"/>
                <w:szCs w:val="16"/>
              </w:rPr>
            </w:pPr>
            <w:r w:rsidRPr="002163D4">
              <w:rPr>
                <w:sz w:val="16"/>
                <w:szCs w:val="16"/>
              </w:rPr>
              <w:t>54.2</w:t>
            </w:r>
          </w:p>
        </w:tc>
        <w:tc>
          <w:tcPr>
            <w:tcW w:w="242" w:type="dxa"/>
            <w:vAlign w:val="bottom"/>
          </w:tcPr>
          <w:p w14:paraId="6CB4217E" w14:textId="77777777" w:rsidR="00AD68F9" w:rsidRPr="002163D4" w:rsidRDefault="00AD68F9" w:rsidP="00AD68F9">
            <w:pPr>
              <w:spacing w:before="40" w:after="40"/>
              <w:rPr>
                <w:b/>
                <w:bCs/>
                <w:sz w:val="16"/>
                <w:szCs w:val="16"/>
              </w:rPr>
            </w:pPr>
          </w:p>
        </w:tc>
        <w:tc>
          <w:tcPr>
            <w:tcW w:w="924" w:type="dxa"/>
            <w:tcBorders>
              <w:top w:val="single" w:sz="4" w:space="0" w:color="auto"/>
            </w:tcBorders>
          </w:tcPr>
          <w:p w14:paraId="5575D336" w14:textId="77777777" w:rsidR="00AD68F9" w:rsidRPr="002163D4" w:rsidRDefault="00AD68F9" w:rsidP="00AD68F9">
            <w:pPr>
              <w:spacing w:before="40" w:after="40"/>
              <w:jc w:val="right"/>
              <w:rPr>
                <w:b/>
                <w:bCs/>
                <w:sz w:val="16"/>
                <w:szCs w:val="16"/>
              </w:rPr>
            </w:pPr>
            <w:r w:rsidRPr="002163D4">
              <w:rPr>
                <w:sz w:val="16"/>
                <w:szCs w:val="16"/>
              </w:rPr>
              <w:t>40.6</w:t>
            </w:r>
          </w:p>
        </w:tc>
        <w:tc>
          <w:tcPr>
            <w:tcW w:w="227" w:type="dxa"/>
            <w:vAlign w:val="bottom"/>
          </w:tcPr>
          <w:p w14:paraId="2434A2F3" w14:textId="77777777" w:rsidR="00AD68F9" w:rsidRPr="002163D4" w:rsidRDefault="00AD68F9" w:rsidP="00AD68F9">
            <w:pPr>
              <w:spacing w:before="40" w:after="40"/>
              <w:rPr>
                <w:b/>
                <w:bCs/>
                <w:sz w:val="16"/>
                <w:szCs w:val="16"/>
              </w:rPr>
            </w:pPr>
          </w:p>
        </w:tc>
        <w:tc>
          <w:tcPr>
            <w:tcW w:w="939" w:type="dxa"/>
            <w:tcBorders>
              <w:top w:val="single" w:sz="4" w:space="0" w:color="auto"/>
            </w:tcBorders>
          </w:tcPr>
          <w:p w14:paraId="125C0013" w14:textId="77777777" w:rsidR="00AD68F9" w:rsidRPr="002163D4" w:rsidRDefault="00AD68F9" w:rsidP="00AD68F9">
            <w:pPr>
              <w:spacing w:before="40" w:after="40"/>
              <w:jc w:val="right"/>
              <w:rPr>
                <w:b/>
                <w:bCs/>
                <w:sz w:val="16"/>
                <w:szCs w:val="16"/>
              </w:rPr>
            </w:pPr>
            <w:r w:rsidRPr="002163D4">
              <w:rPr>
                <w:sz w:val="16"/>
                <w:szCs w:val="16"/>
              </w:rPr>
              <w:t>41.1</w:t>
            </w:r>
          </w:p>
        </w:tc>
        <w:tc>
          <w:tcPr>
            <w:tcW w:w="266" w:type="dxa"/>
          </w:tcPr>
          <w:p w14:paraId="6E7B8A6D" w14:textId="77777777" w:rsidR="00AD68F9" w:rsidRPr="000D2863" w:rsidRDefault="00AD68F9" w:rsidP="00AD68F9">
            <w:pPr>
              <w:spacing w:before="40" w:after="40"/>
              <w:rPr>
                <w:b/>
                <w:bCs/>
                <w:sz w:val="17"/>
                <w:szCs w:val="17"/>
              </w:rPr>
            </w:pPr>
          </w:p>
        </w:tc>
      </w:tr>
      <w:tr w:rsidR="00AD68F9" w:rsidRPr="00E834EF" w14:paraId="77F1A8AF" w14:textId="77777777" w:rsidTr="00272B36">
        <w:tc>
          <w:tcPr>
            <w:tcW w:w="3254" w:type="dxa"/>
          </w:tcPr>
          <w:p w14:paraId="39B1A0E1" w14:textId="77777777" w:rsidR="00AD68F9" w:rsidRDefault="00AD68F9" w:rsidP="00AD68F9">
            <w:pPr>
              <w:tabs>
                <w:tab w:val="right" w:leader="dot" w:pos="3255"/>
              </w:tabs>
              <w:bidi/>
              <w:spacing w:before="40" w:after="40"/>
              <w:rPr>
                <w:b/>
                <w:bCs/>
                <w:sz w:val="17"/>
                <w:szCs w:val="17"/>
                <w:u w:val="single"/>
              </w:rPr>
            </w:pPr>
          </w:p>
        </w:tc>
        <w:tc>
          <w:tcPr>
            <w:tcW w:w="242" w:type="dxa"/>
            <w:vAlign w:val="bottom"/>
          </w:tcPr>
          <w:p w14:paraId="6E759C38" w14:textId="77777777" w:rsidR="00AD68F9" w:rsidRPr="00E834EF" w:rsidRDefault="00AD68F9" w:rsidP="00AD68F9">
            <w:pPr>
              <w:spacing w:before="40" w:after="40"/>
              <w:rPr>
                <w:sz w:val="17"/>
                <w:szCs w:val="17"/>
              </w:rPr>
            </w:pPr>
          </w:p>
        </w:tc>
        <w:tc>
          <w:tcPr>
            <w:tcW w:w="913" w:type="dxa"/>
            <w:vAlign w:val="bottom"/>
          </w:tcPr>
          <w:p w14:paraId="30F7114C" w14:textId="77777777" w:rsidR="00AD68F9" w:rsidRPr="007766C5" w:rsidRDefault="00AD68F9" w:rsidP="00AD68F9">
            <w:pPr>
              <w:spacing w:before="40" w:after="40"/>
              <w:jc w:val="right"/>
              <w:rPr>
                <w:b/>
                <w:bCs/>
                <w:sz w:val="17"/>
                <w:szCs w:val="17"/>
              </w:rPr>
            </w:pPr>
          </w:p>
        </w:tc>
        <w:tc>
          <w:tcPr>
            <w:tcW w:w="252" w:type="dxa"/>
            <w:gridSpan w:val="2"/>
            <w:vAlign w:val="bottom"/>
          </w:tcPr>
          <w:p w14:paraId="115F5B51" w14:textId="77777777" w:rsidR="00AD68F9" w:rsidRPr="007766C5" w:rsidRDefault="00AD68F9" w:rsidP="00AD68F9">
            <w:pPr>
              <w:spacing w:before="40" w:after="40"/>
              <w:rPr>
                <w:b/>
                <w:bCs/>
                <w:color w:val="000000"/>
                <w:sz w:val="17"/>
                <w:szCs w:val="17"/>
              </w:rPr>
            </w:pPr>
          </w:p>
        </w:tc>
        <w:tc>
          <w:tcPr>
            <w:tcW w:w="924" w:type="dxa"/>
            <w:vAlign w:val="bottom"/>
          </w:tcPr>
          <w:p w14:paraId="123EE993" w14:textId="77777777" w:rsidR="00AD68F9" w:rsidRPr="007766C5" w:rsidRDefault="00AD68F9" w:rsidP="00AD68F9">
            <w:pPr>
              <w:spacing w:before="40" w:after="40"/>
              <w:jc w:val="right"/>
              <w:rPr>
                <w:b/>
                <w:bCs/>
                <w:sz w:val="17"/>
                <w:szCs w:val="17"/>
              </w:rPr>
            </w:pPr>
          </w:p>
        </w:tc>
        <w:tc>
          <w:tcPr>
            <w:tcW w:w="242" w:type="dxa"/>
            <w:vAlign w:val="bottom"/>
          </w:tcPr>
          <w:p w14:paraId="12937A42" w14:textId="77777777" w:rsidR="00AD68F9" w:rsidRPr="007766C5" w:rsidRDefault="00AD68F9" w:rsidP="00AD68F9">
            <w:pPr>
              <w:spacing w:before="40" w:after="40"/>
              <w:rPr>
                <w:b/>
                <w:bCs/>
                <w:color w:val="000000"/>
                <w:sz w:val="17"/>
                <w:szCs w:val="17"/>
              </w:rPr>
            </w:pPr>
          </w:p>
        </w:tc>
        <w:tc>
          <w:tcPr>
            <w:tcW w:w="924" w:type="dxa"/>
            <w:vAlign w:val="bottom"/>
          </w:tcPr>
          <w:p w14:paraId="3EC5DEE3" w14:textId="77777777" w:rsidR="00AD68F9" w:rsidRPr="007766C5" w:rsidRDefault="00AD68F9" w:rsidP="00AD68F9">
            <w:pPr>
              <w:spacing w:before="40" w:after="40"/>
              <w:jc w:val="right"/>
              <w:rPr>
                <w:b/>
                <w:bCs/>
                <w:sz w:val="17"/>
                <w:szCs w:val="17"/>
              </w:rPr>
            </w:pPr>
          </w:p>
        </w:tc>
        <w:tc>
          <w:tcPr>
            <w:tcW w:w="242" w:type="dxa"/>
            <w:vAlign w:val="bottom"/>
          </w:tcPr>
          <w:p w14:paraId="48048B0C" w14:textId="77777777" w:rsidR="00AD68F9" w:rsidRPr="007766C5" w:rsidRDefault="00AD68F9" w:rsidP="00AD68F9">
            <w:pPr>
              <w:spacing w:before="40" w:after="40"/>
              <w:rPr>
                <w:b/>
                <w:bCs/>
                <w:sz w:val="17"/>
                <w:szCs w:val="17"/>
              </w:rPr>
            </w:pPr>
          </w:p>
        </w:tc>
        <w:tc>
          <w:tcPr>
            <w:tcW w:w="924" w:type="dxa"/>
            <w:vAlign w:val="bottom"/>
          </w:tcPr>
          <w:p w14:paraId="71572A5E" w14:textId="77777777" w:rsidR="00AD68F9" w:rsidRPr="007766C5" w:rsidRDefault="00AD68F9" w:rsidP="00AD68F9">
            <w:pPr>
              <w:spacing w:before="40" w:after="40"/>
              <w:jc w:val="right"/>
              <w:rPr>
                <w:b/>
                <w:bCs/>
                <w:sz w:val="17"/>
                <w:szCs w:val="17"/>
              </w:rPr>
            </w:pPr>
          </w:p>
        </w:tc>
        <w:tc>
          <w:tcPr>
            <w:tcW w:w="227" w:type="dxa"/>
            <w:vAlign w:val="bottom"/>
          </w:tcPr>
          <w:p w14:paraId="38013E47" w14:textId="77777777" w:rsidR="00AD68F9" w:rsidRPr="007766C5" w:rsidRDefault="00AD68F9" w:rsidP="00AD68F9">
            <w:pPr>
              <w:spacing w:before="40" w:after="40"/>
              <w:rPr>
                <w:b/>
                <w:bCs/>
                <w:sz w:val="17"/>
                <w:szCs w:val="17"/>
              </w:rPr>
            </w:pPr>
          </w:p>
        </w:tc>
        <w:tc>
          <w:tcPr>
            <w:tcW w:w="939" w:type="dxa"/>
            <w:vAlign w:val="bottom"/>
          </w:tcPr>
          <w:p w14:paraId="22BEF373" w14:textId="77777777" w:rsidR="00AD68F9" w:rsidRPr="007766C5" w:rsidRDefault="00AD68F9" w:rsidP="00AD68F9">
            <w:pPr>
              <w:spacing w:before="40" w:after="40"/>
              <w:jc w:val="right"/>
              <w:rPr>
                <w:b/>
                <w:bCs/>
                <w:sz w:val="17"/>
                <w:szCs w:val="17"/>
              </w:rPr>
            </w:pPr>
          </w:p>
        </w:tc>
        <w:tc>
          <w:tcPr>
            <w:tcW w:w="266" w:type="dxa"/>
          </w:tcPr>
          <w:p w14:paraId="128E4B76" w14:textId="77777777" w:rsidR="00AD68F9" w:rsidRPr="000D2863" w:rsidRDefault="00AD68F9" w:rsidP="00AD68F9">
            <w:pPr>
              <w:spacing w:before="40" w:after="40"/>
              <w:rPr>
                <w:b/>
                <w:bCs/>
                <w:sz w:val="17"/>
                <w:szCs w:val="17"/>
              </w:rPr>
            </w:pPr>
          </w:p>
        </w:tc>
      </w:tr>
      <w:tr w:rsidR="00AD68F9" w:rsidRPr="00E834EF" w14:paraId="7BBD915D" w14:textId="77777777" w:rsidTr="00272B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bottom"/>
          </w:tcPr>
          <w:p w14:paraId="0CE131F8" w14:textId="77777777" w:rsidR="00AD68F9" w:rsidRDefault="00AD68F9" w:rsidP="00AD68F9">
            <w:pPr>
              <w:tabs>
                <w:tab w:val="right" w:leader="dot" w:pos="3255"/>
              </w:tabs>
              <w:bidi/>
              <w:spacing w:before="40" w:after="40"/>
              <w:ind w:left="12"/>
              <w:rPr>
                <w:b/>
                <w:bCs/>
                <w:color w:val="000000"/>
                <w:sz w:val="17"/>
                <w:szCs w:val="17"/>
              </w:rPr>
            </w:pPr>
            <w:r>
              <w:rPr>
                <w:rFonts w:hint="cs"/>
                <w:b/>
                <w:bCs/>
                <w:color w:val="000000"/>
                <w:sz w:val="17"/>
                <w:szCs w:val="17"/>
                <w:rtl/>
              </w:rPr>
              <w:t xml:space="preserve">إجمالي أرباح </w:t>
            </w:r>
            <w:r w:rsidR="00607B02">
              <w:rPr>
                <w:rFonts w:hint="cs"/>
                <w:b/>
                <w:bCs/>
                <w:color w:val="000000"/>
                <w:sz w:val="17"/>
                <w:szCs w:val="17"/>
                <w:rtl/>
              </w:rPr>
              <w:t>نقل</w:t>
            </w:r>
            <w:r>
              <w:rPr>
                <w:rFonts w:hint="cs"/>
                <w:b/>
                <w:bCs/>
                <w:color w:val="000000"/>
                <w:sz w:val="17"/>
                <w:szCs w:val="17"/>
                <w:rtl/>
              </w:rPr>
              <w:t xml:space="preserve"> البضائع السائبة الجافة</w:t>
            </w:r>
            <w:r w:rsidRPr="0054596C">
              <w:rPr>
                <w:sz w:val="17"/>
              </w:rPr>
              <w:tab/>
            </w:r>
          </w:p>
        </w:tc>
        <w:tc>
          <w:tcPr>
            <w:tcW w:w="242" w:type="dxa"/>
            <w:tcBorders>
              <w:top w:val="nil"/>
              <w:left w:val="nil"/>
              <w:bottom w:val="nil"/>
              <w:right w:val="nil"/>
            </w:tcBorders>
            <w:vAlign w:val="bottom"/>
          </w:tcPr>
          <w:p w14:paraId="3646BC41" w14:textId="77777777" w:rsidR="00AD68F9" w:rsidRPr="00E834EF" w:rsidRDefault="00AD68F9" w:rsidP="00AD68F9">
            <w:pPr>
              <w:spacing w:before="40" w:after="40"/>
              <w:rPr>
                <w:sz w:val="17"/>
                <w:szCs w:val="17"/>
              </w:rPr>
            </w:pPr>
          </w:p>
        </w:tc>
        <w:tc>
          <w:tcPr>
            <w:tcW w:w="913" w:type="dxa"/>
            <w:tcBorders>
              <w:top w:val="nil"/>
              <w:left w:val="nil"/>
              <w:bottom w:val="nil"/>
              <w:right w:val="nil"/>
            </w:tcBorders>
            <w:vAlign w:val="bottom"/>
          </w:tcPr>
          <w:p w14:paraId="52B0D630" w14:textId="2D8BA810" w:rsidR="00AD68F9" w:rsidRPr="007766C5" w:rsidRDefault="00AD68F9" w:rsidP="00AD68F9">
            <w:pPr>
              <w:spacing w:before="40" w:after="40"/>
              <w:jc w:val="right"/>
              <w:rPr>
                <w:color w:val="000000"/>
                <w:sz w:val="17"/>
                <w:szCs w:val="17"/>
              </w:rPr>
            </w:pPr>
            <w:r>
              <w:rPr>
                <w:sz w:val="17"/>
                <w:szCs w:val="17"/>
              </w:rPr>
              <w:t>34.</w:t>
            </w:r>
            <w:r w:rsidR="009833C1">
              <w:rPr>
                <w:sz w:val="17"/>
                <w:szCs w:val="17"/>
              </w:rPr>
              <w:t>5</w:t>
            </w:r>
          </w:p>
        </w:tc>
        <w:tc>
          <w:tcPr>
            <w:tcW w:w="252" w:type="dxa"/>
            <w:gridSpan w:val="2"/>
            <w:tcBorders>
              <w:top w:val="nil"/>
              <w:left w:val="nil"/>
              <w:bottom w:val="nil"/>
              <w:right w:val="nil"/>
            </w:tcBorders>
            <w:vAlign w:val="bottom"/>
          </w:tcPr>
          <w:p w14:paraId="6515E1B4" w14:textId="77777777" w:rsidR="00AD68F9" w:rsidRPr="007766C5"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1380904F" w14:textId="77777777" w:rsidR="00AD68F9" w:rsidRPr="007766C5" w:rsidRDefault="00AD68F9" w:rsidP="00AD68F9">
            <w:pPr>
              <w:spacing w:before="40" w:after="40"/>
              <w:jc w:val="right"/>
              <w:rPr>
                <w:color w:val="000000"/>
                <w:sz w:val="17"/>
                <w:szCs w:val="17"/>
              </w:rPr>
            </w:pPr>
            <w:r>
              <w:rPr>
                <w:sz w:val="17"/>
                <w:szCs w:val="17"/>
              </w:rPr>
              <w:t>35.4</w:t>
            </w:r>
          </w:p>
        </w:tc>
        <w:tc>
          <w:tcPr>
            <w:tcW w:w="242" w:type="dxa"/>
            <w:tcBorders>
              <w:top w:val="nil"/>
              <w:left w:val="nil"/>
              <w:bottom w:val="nil"/>
              <w:right w:val="nil"/>
            </w:tcBorders>
            <w:vAlign w:val="bottom"/>
          </w:tcPr>
          <w:p w14:paraId="462CD8FA" w14:textId="77777777" w:rsidR="00AD68F9" w:rsidRPr="007766C5"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418CC417" w14:textId="61BB366B" w:rsidR="00AD68F9" w:rsidRPr="007766C5" w:rsidRDefault="00AD68F9" w:rsidP="00AD68F9">
            <w:pPr>
              <w:spacing w:before="40" w:after="40"/>
              <w:jc w:val="right"/>
              <w:rPr>
                <w:color w:val="000000"/>
                <w:sz w:val="17"/>
                <w:szCs w:val="17"/>
              </w:rPr>
            </w:pPr>
            <w:r>
              <w:rPr>
                <w:sz w:val="17"/>
                <w:szCs w:val="17"/>
              </w:rPr>
              <w:t>27.</w:t>
            </w:r>
            <w:r w:rsidR="00E024A7">
              <w:rPr>
                <w:sz w:val="17"/>
                <w:szCs w:val="17"/>
              </w:rPr>
              <w:t>3</w:t>
            </w:r>
          </w:p>
        </w:tc>
        <w:tc>
          <w:tcPr>
            <w:tcW w:w="242" w:type="dxa"/>
            <w:tcBorders>
              <w:top w:val="nil"/>
              <w:left w:val="nil"/>
              <w:bottom w:val="nil"/>
              <w:right w:val="nil"/>
            </w:tcBorders>
            <w:vAlign w:val="bottom"/>
          </w:tcPr>
          <w:p w14:paraId="504B74F4" w14:textId="77777777" w:rsidR="00AD68F9" w:rsidRPr="007766C5" w:rsidRDefault="00AD68F9" w:rsidP="00AD68F9">
            <w:pPr>
              <w:spacing w:before="40" w:after="40"/>
              <w:rPr>
                <w:sz w:val="17"/>
                <w:szCs w:val="17"/>
              </w:rPr>
            </w:pPr>
          </w:p>
        </w:tc>
        <w:tc>
          <w:tcPr>
            <w:tcW w:w="924" w:type="dxa"/>
            <w:tcBorders>
              <w:top w:val="nil"/>
              <w:left w:val="nil"/>
              <w:bottom w:val="nil"/>
              <w:right w:val="nil"/>
            </w:tcBorders>
            <w:vAlign w:val="bottom"/>
          </w:tcPr>
          <w:p w14:paraId="79D2A33B" w14:textId="66238115" w:rsidR="00AD68F9" w:rsidRPr="007766C5" w:rsidRDefault="00AD68F9" w:rsidP="00AD68F9">
            <w:pPr>
              <w:spacing w:before="40" w:after="40"/>
              <w:jc w:val="right"/>
              <w:rPr>
                <w:sz w:val="17"/>
                <w:szCs w:val="17"/>
              </w:rPr>
            </w:pPr>
            <w:r>
              <w:rPr>
                <w:sz w:val="17"/>
                <w:szCs w:val="17"/>
              </w:rPr>
              <w:t>20.</w:t>
            </w:r>
            <w:r w:rsidR="00A97775">
              <w:rPr>
                <w:sz w:val="17"/>
                <w:szCs w:val="17"/>
              </w:rPr>
              <w:t>4</w:t>
            </w:r>
          </w:p>
        </w:tc>
        <w:tc>
          <w:tcPr>
            <w:tcW w:w="227" w:type="dxa"/>
            <w:tcBorders>
              <w:top w:val="nil"/>
              <w:left w:val="nil"/>
              <w:bottom w:val="nil"/>
              <w:right w:val="nil"/>
            </w:tcBorders>
            <w:vAlign w:val="bottom"/>
          </w:tcPr>
          <w:p w14:paraId="20CD1289" w14:textId="77777777" w:rsidR="00AD68F9" w:rsidRPr="007766C5" w:rsidRDefault="00AD68F9" w:rsidP="00AD68F9">
            <w:pPr>
              <w:spacing w:before="40" w:after="40"/>
              <w:rPr>
                <w:sz w:val="17"/>
                <w:szCs w:val="17"/>
              </w:rPr>
            </w:pPr>
          </w:p>
        </w:tc>
        <w:tc>
          <w:tcPr>
            <w:tcW w:w="939" w:type="dxa"/>
            <w:tcBorders>
              <w:top w:val="nil"/>
              <w:left w:val="nil"/>
              <w:bottom w:val="nil"/>
              <w:right w:val="nil"/>
            </w:tcBorders>
            <w:vAlign w:val="bottom"/>
          </w:tcPr>
          <w:p w14:paraId="764CCE3C" w14:textId="77777777" w:rsidR="00AD68F9" w:rsidRPr="007766C5" w:rsidRDefault="00AD68F9" w:rsidP="00AD68F9">
            <w:pPr>
              <w:spacing w:before="40" w:after="40"/>
              <w:jc w:val="right"/>
              <w:rPr>
                <w:sz w:val="17"/>
                <w:szCs w:val="17"/>
              </w:rPr>
            </w:pPr>
            <w:r>
              <w:rPr>
                <w:sz w:val="17"/>
                <w:szCs w:val="17"/>
              </w:rPr>
              <w:t>17.2</w:t>
            </w:r>
          </w:p>
        </w:tc>
        <w:tc>
          <w:tcPr>
            <w:tcW w:w="266" w:type="dxa"/>
            <w:tcBorders>
              <w:top w:val="nil"/>
              <w:left w:val="nil"/>
              <w:bottom w:val="nil"/>
              <w:right w:val="nil"/>
            </w:tcBorders>
            <w:vAlign w:val="bottom"/>
          </w:tcPr>
          <w:p w14:paraId="7B90C409" w14:textId="77777777" w:rsidR="00AD68F9" w:rsidRPr="000D2863" w:rsidRDefault="00AD68F9" w:rsidP="00AD68F9">
            <w:pPr>
              <w:spacing w:before="40" w:after="40"/>
              <w:rPr>
                <w:sz w:val="17"/>
                <w:szCs w:val="17"/>
              </w:rPr>
            </w:pPr>
          </w:p>
        </w:tc>
      </w:tr>
      <w:tr w:rsidR="00AD68F9" w:rsidRPr="00E834EF" w14:paraId="1B3E86AA" w14:textId="77777777" w:rsidTr="00272B36">
        <w:tc>
          <w:tcPr>
            <w:tcW w:w="3254" w:type="dxa"/>
            <w:vAlign w:val="bottom"/>
          </w:tcPr>
          <w:p w14:paraId="327EA5FB" w14:textId="77777777" w:rsidR="00AD68F9" w:rsidRPr="00E754AA" w:rsidRDefault="00AD68F9" w:rsidP="00AD68F9">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3FB25823" w14:textId="77777777" w:rsidR="00AD68F9" w:rsidRPr="00E754AA" w:rsidRDefault="00AD68F9" w:rsidP="00AD68F9">
            <w:pPr>
              <w:spacing w:before="40" w:after="40"/>
              <w:rPr>
                <w:sz w:val="17"/>
                <w:szCs w:val="17"/>
              </w:rPr>
            </w:pPr>
          </w:p>
        </w:tc>
        <w:tc>
          <w:tcPr>
            <w:tcW w:w="913" w:type="dxa"/>
            <w:vAlign w:val="bottom"/>
          </w:tcPr>
          <w:p w14:paraId="37EC1B45"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77DEF6C3" w14:textId="77777777" w:rsidR="00AD68F9" w:rsidRPr="00E754AA" w:rsidRDefault="00AD68F9" w:rsidP="00AD68F9">
            <w:pPr>
              <w:spacing w:before="40" w:after="40"/>
              <w:rPr>
                <w:color w:val="000000"/>
                <w:sz w:val="17"/>
                <w:szCs w:val="17"/>
              </w:rPr>
            </w:pPr>
          </w:p>
        </w:tc>
        <w:tc>
          <w:tcPr>
            <w:tcW w:w="924" w:type="dxa"/>
            <w:vAlign w:val="bottom"/>
          </w:tcPr>
          <w:p w14:paraId="3FAD88BB"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7F634B5E" w14:textId="77777777" w:rsidR="00AD68F9" w:rsidRPr="00E754AA" w:rsidRDefault="00AD68F9" w:rsidP="00AD68F9">
            <w:pPr>
              <w:spacing w:before="40" w:after="40"/>
              <w:rPr>
                <w:color w:val="000000"/>
                <w:sz w:val="17"/>
                <w:szCs w:val="17"/>
              </w:rPr>
            </w:pPr>
          </w:p>
        </w:tc>
        <w:tc>
          <w:tcPr>
            <w:tcW w:w="924" w:type="dxa"/>
            <w:vAlign w:val="bottom"/>
          </w:tcPr>
          <w:p w14:paraId="1F4F4265"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3EB2F03D" w14:textId="77777777" w:rsidR="00AD68F9" w:rsidRPr="00E754AA" w:rsidRDefault="00AD68F9" w:rsidP="00AD68F9">
            <w:pPr>
              <w:spacing w:before="40" w:after="40"/>
              <w:rPr>
                <w:sz w:val="17"/>
                <w:szCs w:val="17"/>
              </w:rPr>
            </w:pPr>
          </w:p>
        </w:tc>
        <w:tc>
          <w:tcPr>
            <w:tcW w:w="924" w:type="dxa"/>
            <w:vAlign w:val="bottom"/>
          </w:tcPr>
          <w:p w14:paraId="71B71BF0"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18B7C6D8" w14:textId="77777777" w:rsidR="00AD68F9" w:rsidRPr="00E754AA" w:rsidRDefault="00AD68F9" w:rsidP="00AD68F9">
            <w:pPr>
              <w:spacing w:before="40" w:after="40"/>
              <w:rPr>
                <w:sz w:val="17"/>
                <w:szCs w:val="17"/>
              </w:rPr>
            </w:pPr>
          </w:p>
        </w:tc>
        <w:tc>
          <w:tcPr>
            <w:tcW w:w="939" w:type="dxa"/>
            <w:vAlign w:val="bottom"/>
          </w:tcPr>
          <w:p w14:paraId="5D53FB4C"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79DC809A" w14:textId="77777777" w:rsidR="00AD68F9" w:rsidRPr="000D2863" w:rsidRDefault="00AD68F9" w:rsidP="00AD68F9">
            <w:pPr>
              <w:spacing w:before="40" w:after="40"/>
              <w:rPr>
                <w:sz w:val="17"/>
                <w:szCs w:val="17"/>
              </w:rPr>
            </w:pPr>
          </w:p>
        </w:tc>
      </w:tr>
      <w:tr w:rsidR="00AD68F9" w:rsidRPr="00E834EF" w14:paraId="171F7986" w14:textId="77777777" w:rsidTr="00272B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center"/>
          </w:tcPr>
          <w:p w14:paraId="48C0DED4" w14:textId="77777777" w:rsidR="00AD68F9" w:rsidRPr="00E754AA" w:rsidRDefault="008D70E0" w:rsidP="00AD68F9">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AD68F9" w:rsidRPr="0054596C">
              <w:rPr>
                <w:sz w:val="17"/>
              </w:rPr>
              <w:tab/>
            </w:r>
          </w:p>
        </w:tc>
        <w:tc>
          <w:tcPr>
            <w:tcW w:w="242" w:type="dxa"/>
            <w:tcBorders>
              <w:top w:val="nil"/>
              <w:left w:val="nil"/>
              <w:bottom w:val="nil"/>
              <w:right w:val="nil"/>
            </w:tcBorders>
            <w:vAlign w:val="bottom"/>
          </w:tcPr>
          <w:p w14:paraId="2A315843" w14:textId="77777777" w:rsidR="00AD68F9" w:rsidRPr="00E834EF" w:rsidRDefault="00AD68F9" w:rsidP="00AD68F9">
            <w:pPr>
              <w:spacing w:before="40" w:after="40"/>
              <w:rPr>
                <w:sz w:val="17"/>
                <w:szCs w:val="17"/>
              </w:rPr>
            </w:pPr>
          </w:p>
        </w:tc>
        <w:tc>
          <w:tcPr>
            <w:tcW w:w="913" w:type="dxa"/>
            <w:tcBorders>
              <w:top w:val="nil"/>
              <w:left w:val="nil"/>
              <w:bottom w:val="nil"/>
              <w:right w:val="nil"/>
            </w:tcBorders>
            <w:vAlign w:val="bottom"/>
          </w:tcPr>
          <w:p w14:paraId="4213D5BC"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tcBorders>
              <w:top w:val="nil"/>
              <w:left w:val="nil"/>
              <w:bottom w:val="nil"/>
              <w:right w:val="nil"/>
            </w:tcBorders>
            <w:vAlign w:val="bottom"/>
          </w:tcPr>
          <w:p w14:paraId="0DFB6D82" w14:textId="77777777" w:rsidR="00AD68F9" w:rsidRPr="00E754AA"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01A4D066"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tcBorders>
              <w:top w:val="nil"/>
              <w:left w:val="nil"/>
              <w:bottom w:val="nil"/>
              <w:right w:val="nil"/>
            </w:tcBorders>
            <w:vAlign w:val="bottom"/>
          </w:tcPr>
          <w:p w14:paraId="2ADB8710" w14:textId="77777777" w:rsidR="00AD68F9" w:rsidRPr="00E754AA"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42D93885"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tcBorders>
              <w:top w:val="nil"/>
              <w:left w:val="nil"/>
              <w:bottom w:val="nil"/>
              <w:right w:val="nil"/>
            </w:tcBorders>
            <w:vAlign w:val="bottom"/>
          </w:tcPr>
          <w:p w14:paraId="225A2524" w14:textId="77777777" w:rsidR="00AD68F9" w:rsidRPr="00E754AA" w:rsidRDefault="00AD68F9" w:rsidP="00AD68F9">
            <w:pPr>
              <w:spacing w:before="40" w:after="40"/>
              <w:rPr>
                <w:sz w:val="17"/>
                <w:szCs w:val="17"/>
              </w:rPr>
            </w:pPr>
          </w:p>
        </w:tc>
        <w:tc>
          <w:tcPr>
            <w:tcW w:w="924" w:type="dxa"/>
            <w:tcBorders>
              <w:top w:val="nil"/>
              <w:left w:val="nil"/>
              <w:bottom w:val="nil"/>
              <w:right w:val="nil"/>
            </w:tcBorders>
            <w:vAlign w:val="bottom"/>
          </w:tcPr>
          <w:p w14:paraId="774F9790" w14:textId="77777777" w:rsidR="00AD68F9" w:rsidRPr="00E754AA" w:rsidRDefault="00AD68F9" w:rsidP="00AD68F9">
            <w:pPr>
              <w:spacing w:before="40" w:after="40"/>
              <w:jc w:val="right"/>
              <w:rPr>
                <w:sz w:val="17"/>
                <w:szCs w:val="17"/>
              </w:rPr>
            </w:pPr>
            <w:r w:rsidRPr="00DB3F11">
              <w:rPr>
                <w:sz w:val="16"/>
                <w:szCs w:val="16"/>
              </w:rPr>
              <w:t>—</w:t>
            </w:r>
          </w:p>
        </w:tc>
        <w:tc>
          <w:tcPr>
            <w:tcW w:w="227" w:type="dxa"/>
            <w:tcBorders>
              <w:top w:val="nil"/>
              <w:left w:val="nil"/>
              <w:bottom w:val="nil"/>
              <w:right w:val="nil"/>
            </w:tcBorders>
            <w:vAlign w:val="bottom"/>
          </w:tcPr>
          <w:p w14:paraId="43766613" w14:textId="77777777" w:rsidR="00AD68F9" w:rsidRPr="00E754AA" w:rsidRDefault="00AD68F9" w:rsidP="00AD68F9">
            <w:pPr>
              <w:spacing w:before="40" w:after="40"/>
              <w:rPr>
                <w:sz w:val="17"/>
                <w:szCs w:val="17"/>
              </w:rPr>
            </w:pPr>
          </w:p>
        </w:tc>
        <w:tc>
          <w:tcPr>
            <w:tcW w:w="939" w:type="dxa"/>
            <w:tcBorders>
              <w:top w:val="nil"/>
              <w:left w:val="nil"/>
              <w:bottom w:val="nil"/>
              <w:right w:val="nil"/>
            </w:tcBorders>
            <w:vAlign w:val="bottom"/>
          </w:tcPr>
          <w:p w14:paraId="3036BCFF" w14:textId="77777777" w:rsidR="00AD68F9" w:rsidRPr="00E754AA" w:rsidRDefault="00AD68F9" w:rsidP="00AD68F9">
            <w:pPr>
              <w:spacing w:before="40" w:after="40"/>
              <w:jc w:val="right"/>
              <w:rPr>
                <w:sz w:val="17"/>
                <w:szCs w:val="17"/>
              </w:rPr>
            </w:pPr>
            <w:r w:rsidRPr="00DB3F11">
              <w:rPr>
                <w:sz w:val="16"/>
                <w:szCs w:val="16"/>
              </w:rPr>
              <w:t>—</w:t>
            </w:r>
          </w:p>
        </w:tc>
        <w:tc>
          <w:tcPr>
            <w:tcW w:w="266" w:type="dxa"/>
            <w:tcBorders>
              <w:top w:val="nil"/>
              <w:left w:val="nil"/>
              <w:bottom w:val="nil"/>
              <w:right w:val="nil"/>
            </w:tcBorders>
            <w:vAlign w:val="bottom"/>
          </w:tcPr>
          <w:p w14:paraId="3EFD5129" w14:textId="77777777" w:rsidR="00AD68F9" w:rsidRPr="000D2863" w:rsidRDefault="00AD68F9" w:rsidP="00AD68F9">
            <w:pPr>
              <w:spacing w:before="40" w:after="40"/>
              <w:rPr>
                <w:sz w:val="17"/>
                <w:szCs w:val="17"/>
              </w:rPr>
            </w:pPr>
          </w:p>
        </w:tc>
      </w:tr>
      <w:tr w:rsidR="00AD68F9" w:rsidRPr="00E834EF" w14:paraId="1DB66B05" w14:textId="77777777" w:rsidTr="00272B36">
        <w:tc>
          <w:tcPr>
            <w:tcW w:w="3254" w:type="dxa"/>
            <w:vAlign w:val="center"/>
          </w:tcPr>
          <w:p w14:paraId="2D85C52D"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7FEA0B5D" w14:textId="77777777" w:rsidR="00AD68F9" w:rsidRPr="00E834EF" w:rsidRDefault="00AD68F9" w:rsidP="00AD68F9">
            <w:pPr>
              <w:spacing w:before="40" w:after="40"/>
              <w:rPr>
                <w:sz w:val="17"/>
                <w:szCs w:val="17"/>
              </w:rPr>
            </w:pPr>
          </w:p>
        </w:tc>
        <w:tc>
          <w:tcPr>
            <w:tcW w:w="913" w:type="dxa"/>
            <w:vAlign w:val="bottom"/>
          </w:tcPr>
          <w:p w14:paraId="50C2DB95"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5E6EB313" w14:textId="77777777" w:rsidR="00AD68F9" w:rsidRPr="00E754AA" w:rsidRDefault="00AD68F9" w:rsidP="00AD68F9">
            <w:pPr>
              <w:spacing w:before="40" w:after="40"/>
              <w:rPr>
                <w:color w:val="000000"/>
                <w:sz w:val="17"/>
                <w:szCs w:val="17"/>
              </w:rPr>
            </w:pPr>
          </w:p>
        </w:tc>
        <w:tc>
          <w:tcPr>
            <w:tcW w:w="924" w:type="dxa"/>
            <w:vAlign w:val="bottom"/>
          </w:tcPr>
          <w:p w14:paraId="57D8D8D6"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35036A07" w14:textId="77777777" w:rsidR="00AD68F9" w:rsidRPr="00E754AA" w:rsidRDefault="00AD68F9" w:rsidP="00AD68F9">
            <w:pPr>
              <w:spacing w:before="40" w:after="40"/>
              <w:rPr>
                <w:color w:val="000000"/>
                <w:sz w:val="17"/>
                <w:szCs w:val="17"/>
              </w:rPr>
            </w:pPr>
          </w:p>
        </w:tc>
        <w:tc>
          <w:tcPr>
            <w:tcW w:w="924" w:type="dxa"/>
            <w:vAlign w:val="bottom"/>
          </w:tcPr>
          <w:p w14:paraId="5F0751AD"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36D55076" w14:textId="77777777" w:rsidR="00AD68F9" w:rsidRPr="00E754AA" w:rsidRDefault="00AD68F9" w:rsidP="00AD68F9">
            <w:pPr>
              <w:spacing w:before="40" w:after="40"/>
              <w:rPr>
                <w:sz w:val="17"/>
                <w:szCs w:val="17"/>
              </w:rPr>
            </w:pPr>
          </w:p>
        </w:tc>
        <w:tc>
          <w:tcPr>
            <w:tcW w:w="924" w:type="dxa"/>
            <w:vAlign w:val="bottom"/>
          </w:tcPr>
          <w:p w14:paraId="307C86F3"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3451E814" w14:textId="77777777" w:rsidR="00AD68F9" w:rsidRPr="00E754AA" w:rsidRDefault="00AD68F9" w:rsidP="00AD68F9">
            <w:pPr>
              <w:spacing w:before="40" w:after="40"/>
              <w:rPr>
                <w:sz w:val="17"/>
                <w:szCs w:val="17"/>
              </w:rPr>
            </w:pPr>
          </w:p>
        </w:tc>
        <w:tc>
          <w:tcPr>
            <w:tcW w:w="939" w:type="dxa"/>
            <w:vAlign w:val="bottom"/>
          </w:tcPr>
          <w:p w14:paraId="45410BE6"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6B725F14" w14:textId="77777777" w:rsidR="00AD68F9" w:rsidRPr="000D2863" w:rsidRDefault="00AD68F9" w:rsidP="00AD68F9">
            <w:pPr>
              <w:spacing w:before="40" w:after="40"/>
              <w:rPr>
                <w:sz w:val="17"/>
                <w:szCs w:val="17"/>
              </w:rPr>
            </w:pPr>
          </w:p>
        </w:tc>
      </w:tr>
      <w:tr w:rsidR="00AD68F9" w:rsidRPr="00E834EF" w14:paraId="5D7B9F73" w14:textId="77777777" w:rsidTr="00272B36">
        <w:tc>
          <w:tcPr>
            <w:tcW w:w="3254" w:type="dxa"/>
            <w:vAlign w:val="bottom"/>
          </w:tcPr>
          <w:p w14:paraId="7A344FE4" w14:textId="77777777" w:rsidR="00AD68F9" w:rsidRPr="00E754AA" w:rsidRDefault="00AD68F9" w:rsidP="00AD68F9">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43E9DD0E" w14:textId="77777777" w:rsidR="00AD68F9" w:rsidRPr="00E754AA" w:rsidRDefault="00AD68F9" w:rsidP="00AD68F9">
            <w:pPr>
              <w:spacing w:before="40" w:after="40"/>
              <w:rPr>
                <w:sz w:val="17"/>
                <w:szCs w:val="17"/>
              </w:rPr>
            </w:pPr>
          </w:p>
        </w:tc>
        <w:tc>
          <w:tcPr>
            <w:tcW w:w="913" w:type="dxa"/>
            <w:vAlign w:val="bottom"/>
          </w:tcPr>
          <w:p w14:paraId="7DD24C68"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07CA2852" w14:textId="77777777" w:rsidR="00AD68F9" w:rsidRPr="00E754AA" w:rsidRDefault="00AD68F9" w:rsidP="00AD68F9">
            <w:pPr>
              <w:spacing w:before="40" w:after="40"/>
              <w:rPr>
                <w:color w:val="000000"/>
                <w:sz w:val="17"/>
                <w:szCs w:val="17"/>
              </w:rPr>
            </w:pPr>
          </w:p>
        </w:tc>
        <w:tc>
          <w:tcPr>
            <w:tcW w:w="924" w:type="dxa"/>
            <w:vAlign w:val="bottom"/>
          </w:tcPr>
          <w:p w14:paraId="7179930D"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600B3B94" w14:textId="77777777" w:rsidR="00AD68F9" w:rsidRPr="00E754AA" w:rsidRDefault="00AD68F9" w:rsidP="00AD68F9">
            <w:pPr>
              <w:spacing w:before="40" w:after="40"/>
              <w:rPr>
                <w:color w:val="000000"/>
                <w:sz w:val="17"/>
                <w:szCs w:val="17"/>
              </w:rPr>
            </w:pPr>
          </w:p>
        </w:tc>
        <w:tc>
          <w:tcPr>
            <w:tcW w:w="924" w:type="dxa"/>
            <w:vAlign w:val="bottom"/>
          </w:tcPr>
          <w:p w14:paraId="29F97F4C"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63955AFA" w14:textId="77777777" w:rsidR="00AD68F9" w:rsidRPr="00E754AA" w:rsidRDefault="00AD68F9" w:rsidP="00AD68F9">
            <w:pPr>
              <w:spacing w:before="40" w:after="40"/>
              <w:rPr>
                <w:sz w:val="17"/>
                <w:szCs w:val="17"/>
              </w:rPr>
            </w:pPr>
          </w:p>
        </w:tc>
        <w:tc>
          <w:tcPr>
            <w:tcW w:w="924" w:type="dxa"/>
            <w:vAlign w:val="bottom"/>
          </w:tcPr>
          <w:p w14:paraId="73D016E3"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110AFC27" w14:textId="77777777" w:rsidR="00AD68F9" w:rsidRPr="00E754AA" w:rsidRDefault="00AD68F9" w:rsidP="00AD68F9">
            <w:pPr>
              <w:spacing w:before="40" w:after="40"/>
              <w:rPr>
                <w:sz w:val="17"/>
                <w:szCs w:val="17"/>
              </w:rPr>
            </w:pPr>
          </w:p>
        </w:tc>
        <w:tc>
          <w:tcPr>
            <w:tcW w:w="939" w:type="dxa"/>
            <w:vAlign w:val="bottom"/>
          </w:tcPr>
          <w:p w14:paraId="6D78170B"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3318E7A6" w14:textId="77777777" w:rsidR="00AD68F9" w:rsidRPr="000D2863" w:rsidRDefault="00AD68F9" w:rsidP="00AD68F9">
            <w:pPr>
              <w:spacing w:before="40" w:after="40"/>
              <w:rPr>
                <w:sz w:val="17"/>
                <w:szCs w:val="17"/>
              </w:rPr>
            </w:pPr>
          </w:p>
        </w:tc>
      </w:tr>
      <w:tr w:rsidR="00AD68F9" w:rsidRPr="00E834EF" w14:paraId="04AF85E2" w14:textId="77777777" w:rsidTr="00272B36">
        <w:tc>
          <w:tcPr>
            <w:tcW w:w="3254" w:type="dxa"/>
            <w:vAlign w:val="center"/>
          </w:tcPr>
          <w:p w14:paraId="6AA0D7F1"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3789183C" w14:textId="77777777" w:rsidR="00AD68F9" w:rsidRPr="00E834EF" w:rsidRDefault="00AD68F9" w:rsidP="00AD68F9">
            <w:pPr>
              <w:spacing w:before="40" w:after="40"/>
              <w:rPr>
                <w:sz w:val="17"/>
                <w:szCs w:val="17"/>
              </w:rPr>
            </w:pPr>
          </w:p>
        </w:tc>
        <w:tc>
          <w:tcPr>
            <w:tcW w:w="913" w:type="dxa"/>
            <w:vAlign w:val="bottom"/>
          </w:tcPr>
          <w:p w14:paraId="21738DEA" w14:textId="77777777" w:rsidR="00AD68F9" w:rsidRPr="00E754AA" w:rsidRDefault="00AD68F9" w:rsidP="00AD68F9">
            <w:pPr>
              <w:spacing w:before="40" w:after="40"/>
              <w:jc w:val="right"/>
              <w:rPr>
                <w:color w:val="000000"/>
                <w:sz w:val="17"/>
                <w:szCs w:val="17"/>
              </w:rPr>
            </w:pPr>
            <w:r>
              <w:rPr>
                <w:sz w:val="17"/>
                <w:szCs w:val="17"/>
              </w:rPr>
              <w:t>(1.0</w:t>
            </w:r>
            <w:r w:rsidR="00803F4F">
              <w:rPr>
                <w:sz w:val="17"/>
                <w:szCs w:val="17"/>
              </w:rPr>
              <w:t>)</w:t>
            </w:r>
          </w:p>
        </w:tc>
        <w:tc>
          <w:tcPr>
            <w:tcW w:w="252" w:type="dxa"/>
            <w:gridSpan w:val="2"/>
            <w:vAlign w:val="bottom"/>
          </w:tcPr>
          <w:p w14:paraId="691814DC" w14:textId="77777777" w:rsidR="00AD68F9" w:rsidRPr="00E754AA" w:rsidRDefault="00AD68F9" w:rsidP="00AD68F9">
            <w:pPr>
              <w:spacing w:before="40" w:after="40"/>
              <w:rPr>
                <w:color w:val="000000"/>
                <w:sz w:val="17"/>
                <w:szCs w:val="17"/>
              </w:rPr>
            </w:pPr>
            <w:r>
              <w:rPr>
                <w:color w:val="000000"/>
                <w:sz w:val="17"/>
                <w:szCs w:val="17"/>
              </w:rPr>
              <w:t>)</w:t>
            </w:r>
          </w:p>
        </w:tc>
        <w:tc>
          <w:tcPr>
            <w:tcW w:w="924" w:type="dxa"/>
            <w:vAlign w:val="bottom"/>
          </w:tcPr>
          <w:p w14:paraId="5BE5275E" w14:textId="77777777" w:rsidR="00AD68F9" w:rsidRPr="00E754AA" w:rsidRDefault="00AD68F9" w:rsidP="00AD68F9">
            <w:pPr>
              <w:spacing w:before="40" w:after="40"/>
              <w:jc w:val="right"/>
              <w:rPr>
                <w:color w:val="000000"/>
                <w:sz w:val="17"/>
                <w:szCs w:val="17"/>
              </w:rPr>
            </w:pPr>
            <w:r>
              <w:rPr>
                <w:sz w:val="17"/>
                <w:szCs w:val="17"/>
              </w:rPr>
              <w:t>(1.6</w:t>
            </w:r>
          </w:p>
        </w:tc>
        <w:tc>
          <w:tcPr>
            <w:tcW w:w="242" w:type="dxa"/>
            <w:vAlign w:val="bottom"/>
          </w:tcPr>
          <w:p w14:paraId="01242D20" w14:textId="77777777" w:rsidR="00AD68F9" w:rsidRPr="00E754AA" w:rsidRDefault="00AD68F9" w:rsidP="00AD68F9">
            <w:pPr>
              <w:spacing w:before="40" w:after="40"/>
              <w:rPr>
                <w:color w:val="000000"/>
                <w:sz w:val="17"/>
                <w:szCs w:val="17"/>
              </w:rPr>
            </w:pPr>
            <w:r>
              <w:rPr>
                <w:color w:val="000000"/>
                <w:sz w:val="17"/>
                <w:szCs w:val="17"/>
              </w:rPr>
              <w:t>)</w:t>
            </w:r>
          </w:p>
        </w:tc>
        <w:tc>
          <w:tcPr>
            <w:tcW w:w="924" w:type="dxa"/>
            <w:vAlign w:val="bottom"/>
          </w:tcPr>
          <w:p w14:paraId="63E3CE49" w14:textId="77777777" w:rsidR="00AD68F9" w:rsidRPr="00E754AA" w:rsidRDefault="00AD68F9" w:rsidP="00AD68F9">
            <w:pPr>
              <w:spacing w:before="40" w:after="40"/>
              <w:jc w:val="right"/>
              <w:rPr>
                <w:color w:val="000000"/>
                <w:sz w:val="17"/>
                <w:szCs w:val="17"/>
              </w:rPr>
            </w:pPr>
            <w:r>
              <w:rPr>
                <w:sz w:val="17"/>
                <w:szCs w:val="17"/>
              </w:rPr>
              <w:t>(1.4</w:t>
            </w:r>
          </w:p>
        </w:tc>
        <w:tc>
          <w:tcPr>
            <w:tcW w:w="242" w:type="dxa"/>
            <w:vAlign w:val="bottom"/>
          </w:tcPr>
          <w:p w14:paraId="356DA010" w14:textId="77777777" w:rsidR="00AD68F9" w:rsidRPr="00E754AA" w:rsidRDefault="00AD68F9" w:rsidP="00AD68F9">
            <w:pPr>
              <w:spacing w:before="40" w:after="40"/>
              <w:rPr>
                <w:sz w:val="17"/>
                <w:szCs w:val="17"/>
              </w:rPr>
            </w:pPr>
            <w:r>
              <w:rPr>
                <w:sz w:val="17"/>
                <w:szCs w:val="17"/>
              </w:rPr>
              <w:t>)</w:t>
            </w:r>
          </w:p>
        </w:tc>
        <w:tc>
          <w:tcPr>
            <w:tcW w:w="924" w:type="dxa"/>
            <w:vAlign w:val="bottom"/>
          </w:tcPr>
          <w:p w14:paraId="49A24713" w14:textId="77777777" w:rsidR="00AD68F9" w:rsidRPr="00E754AA" w:rsidRDefault="00AD68F9" w:rsidP="00AD68F9">
            <w:pPr>
              <w:spacing w:before="40" w:after="40"/>
              <w:jc w:val="right"/>
              <w:rPr>
                <w:sz w:val="17"/>
                <w:szCs w:val="17"/>
              </w:rPr>
            </w:pPr>
            <w:r>
              <w:rPr>
                <w:sz w:val="17"/>
                <w:szCs w:val="17"/>
              </w:rPr>
              <w:t>(1.1</w:t>
            </w:r>
          </w:p>
        </w:tc>
        <w:tc>
          <w:tcPr>
            <w:tcW w:w="227" w:type="dxa"/>
            <w:vAlign w:val="bottom"/>
          </w:tcPr>
          <w:p w14:paraId="718D85C2" w14:textId="77777777" w:rsidR="00AD68F9" w:rsidRPr="00E754AA" w:rsidRDefault="00AD68F9" w:rsidP="00AD68F9">
            <w:pPr>
              <w:spacing w:before="40" w:after="40"/>
              <w:rPr>
                <w:sz w:val="17"/>
                <w:szCs w:val="17"/>
              </w:rPr>
            </w:pPr>
            <w:r>
              <w:rPr>
                <w:sz w:val="17"/>
                <w:szCs w:val="17"/>
              </w:rPr>
              <w:t>)</w:t>
            </w:r>
          </w:p>
        </w:tc>
        <w:tc>
          <w:tcPr>
            <w:tcW w:w="939" w:type="dxa"/>
            <w:vAlign w:val="bottom"/>
          </w:tcPr>
          <w:p w14:paraId="5D5145DB" w14:textId="77777777" w:rsidR="00AD68F9" w:rsidRPr="00E754AA" w:rsidRDefault="00AD68F9" w:rsidP="00AD68F9">
            <w:pPr>
              <w:spacing w:before="40" w:after="40"/>
              <w:jc w:val="right"/>
              <w:rPr>
                <w:sz w:val="17"/>
                <w:szCs w:val="17"/>
              </w:rPr>
            </w:pPr>
            <w:r>
              <w:rPr>
                <w:sz w:val="17"/>
                <w:szCs w:val="17"/>
              </w:rPr>
              <w:t>(1.1</w:t>
            </w:r>
          </w:p>
        </w:tc>
        <w:tc>
          <w:tcPr>
            <w:tcW w:w="266" w:type="dxa"/>
            <w:vAlign w:val="bottom"/>
          </w:tcPr>
          <w:p w14:paraId="11F1CF6F" w14:textId="77777777" w:rsidR="00AD68F9" w:rsidRPr="000D2863" w:rsidRDefault="00AD68F9" w:rsidP="00AD68F9">
            <w:pPr>
              <w:spacing w:before="40" w:after="40"/>
              <w:rPr>
                <w:sz w:val="17"/>
                <w:szCs w:val="17"/>
              </w:rPr>
            </w:pPr>
          </w:p>
        </w:tc>
      </w:tr>
      <w:tr w:rsidR="00AD68F9" w:rsidRPr="00E834EF" w14:paraId="4FB51B64" w14:textId="77777777" w:rsidTr="00272B36">
        <w:tc>
          <w:tcPr>
            <w:tcW w:w="3254" w:type="dxa"/>
            <w:vAlign w:val="center"/>
          </w:tcPr>
          <w:p w14:paraId="5CAFD730"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60DF2D18" w14:textId="77777777" w:rsidR="00AD68F9" w:rsidRPr="00E834EF" w:rsidRDefault="00AD68F9" w:rsidP="00AD68F9">
            <w:pPr>
              <w:spacing w:before="40" w:after="40"/>
              <w:rPr>
                <w:sz w:val="17"/>
                <w:szCs w:val="17"/>
              </w:rPr>
            </w:pPr>
          </w:p>
        </w:tc>
        <w:tc>
          <w:tcPr>
            <w:tcW w:w="913" w:type="dxa"/>
            <w:vAlign w:val="bottom"/>
          </w:tcPr>
          <w:p w14:paraId="6CD1D7B2"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494CA9AC" w14:textId="77777777" w:rsidR="00AD68F9" w:rsidRPr="00E754AA" w:rsidRDefault="00AD68F9" w:rsidP="00AD68F9">
            <w:pPr>
              <w:spacing w:before="40" w:after="40"/>
              <w:rPr>
                <w:color w:val="000000"/>
                <w:sz w:val="17"/>
                <w:szCs w:val="17"/>
              </w:rPr>
            </w:pPr>
          </w:p>
        </w:tc>
        <w:tc>
          <w:tcPr>
            <w:tcW w:w="924" w:type="dxa"/>
            <w:vAlign w:val="bottom"/>
          </w:tcPr>
          <w:p w14:paraId="1D15F571"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6E75AE3D" w14:textId="77777777" w:rsidR="00AD68F9" w:rsidRPr="00E754AA" w:rsidRDefault="00AD68F9" w:rsidP="00AD68F9">
            <w:pPr>
              <w:spacing w:before="40" w:after="40"/>
              <w:rPr>
                <w:color w:val="000000"/>
                <w:sz w:val="17"/>
                <w:szCs w:val="17"/>
              </w:rPr>
            </w:pPr>
          </w:p>
        </w:tc>
        <w:tc>
          <w:tcPr>
            <w:tcW w:w="924" w:type="dxa"/>
            <w:vAlign w:val="bottom"/>
          </w:tcPr>
          <w:p w14:paraId="33AA5139"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27FAC350" w14:textId="77777777" w:rsidR="00AD68F9" w:rsidRPr="00E754AA" w:rsidRDefault="00AD68F9" w:rsidP="00AD68F9">
            <w:pPr>
              <w:spacing w:before="40" w:after="40"/>
              <w:rPr>
                <w:sz w:val="17"/>
                <w:szCs w:val="17"/>
              </w:rPr>
            </w:pPr>
          </w:p>
        </w:tc>
        <w:tc>
          <w:tcPr>
            <w:tcW w:w="924" w:type="dxa"/>
            <w:vAlign w:val="bottom"/>
          </w:tcPr>
          <w:p w14:paraId="5A23921A"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21A8D892" w14:textId="77777777" w:rsidR="00AD68F9" w:rsidRPr="00E754AA" w:rsidRDefault="00AD68F9" w:rsidP="00AD68F9">
            <w:pPr>
              <w:spacing w:before="40" w:after="40"/>
              <w:rPr>
                <w:sz w:val="17"/>
                <w:szCs w:val="17"/>
              </w:rPr>
            </w:pPr>
          </w:p>
        </w:tc>
        <w:tc>
          <w:tcPr>
            <w:tcW w:w="939" w:type="dxa"/>
            <w:vAlign w:val="bottom"/>
          </w:tcPr>
          <w:p w14:paraId="65892CCF"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5A88DDE2" w14:textId="77777777" w:rsidR="00AD68F9" w:rsidRPr="000D2863" w:rsidRDefault="00AD68F9" w:rsidP="00AD68F9">
            <w:pPr>
              <w:spacing w:before="40" w:after="40"/>
              <w:rPr>
                <w:sz w:val="17"/>
                <w:szCs w:val="17"/>
              </w:rPr>
            </w:pPr>
          </w:p>
        </w:tc>
      </w:tr>
      <w:tr w:rsidR="00AD68F9" w:rsidRPr="00E834EF" w14:paraId="6CB19FAC" w14:textId="77777777" w:rsidTr="00272B36">
        <w:tc>
          <w:tcPr>
            <w:tcW w:w="3254" w:type="dxa"/>
            <w:vAlign w:val="center"/>
          </w:tcPr>
          <w:p w14:paraId="71E8A191"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lastRenderedPageBreak/>
              <w:t>خسارة انخفاض القيمة على حق استخدام الأصول</w:t>
            </w:r>
            <w:r w:rsidRPr="0054596C">
              <w:rPr>
                <w:sz w:val="17"/>
              </w:rPr>
              <w:tab/>
            </w:r>
          </w:p>
        </w:tc>
        <w:tc>
          <w:tcPr>
            <w:tcW w:w="242" w:type="dxa"/>
            <w:vAlign w:val="bottom"/>
          </w:tcPr>
          <w:p w14:paraId="048B3A81" w14:textId="77777777" w:rsidR="00AD68F9" w:rsidRPr="00E834EF" w:rsidRDefault="00AD68F9" w:rsidP="00AD68F9">
            <w:pPr>
              <w:spacing w:before="40" w:after="40"/>
              <w:rPr>
                <w:sz w:val="17"/>
                <w:szCs w:val="17"/>
              </w:rPr>
            </w:pPr>
          </w:p>
        </w:tc>
        <w:tc>
          <w:tcPr>
            <w:tcW w:w="913" w:type="dxa"/>
            <w:vAlign w:val="bottom"/>
          </w:tcPr>
          <w:p w14:paraId="6C502008"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58E9C373" w14:textId="77777777" w:rsidR="00AD68F9" w:rsidRPr="00E754AA" w:rsidRDefault="00AD68F9" w:rsidP="00AD68F9">
            <w:pPr>
              <w:spacing w:before="40" w:after="40"/>
              <w:rPr>
                <w:color w:val="000000"/>
                <w:sz w:val="17"/>
                <w:szCs w:val="17"/>
              </w:rPr>
            </w:pPr>
          </w:p>
        </w:tc>
        <w:tc>
          <w:tcPr>
            <w:tcW w:w="924" w:type="dxa"/>
            <w:vAlign w:val="bottom"/>
          </w:tcPr>
          <w:p w14:paraId="1AFBE606"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4CB44673" w14:textId="77777777" w:rsidR="00AD68F9" w:rsidRPr="00E754AA" w:rsidRDefault="00AD68F9" w:rsidP="00AD68F9">
            <w:pPr>
              <w:spacing w:before="40" w:after="40"/>
              <w:rPr>
                <w:color w:val="000000"/>
                <w:sz w:val="17"/>
                <w:szCs w:val="17"/>
              </w:rPr>
            </w:pPr>
          </w:p>
        </w:tc>
        <w:tc>
          <w:tcPr>
            <w:tcW w:w="924" w:type="dxa"/>
            <w:vAlign w:val="bottom"/>
          </w:tcPr>
          <w:p w14:paraId="3AFF948D"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79F2B8D7" w14:textId="77777777" w:rsidR="00AD68F9" w:rsidRPr="00E754AA" w:rsidRDefault="00AD68F9" w:rsidP="00AD68F9">
            <w:pPr>
              <w:spacing w:before="40" w:after="40"/>
              <w:rPr>
                <w:sz w:val="17"/>
                <w:szCs w:val="17"/>
              </w:rPr>
            </w:pPr>
          </w:p>
        </w:tc>
        <w:tc>
          <w:tcPr>
            <w:tcW w:w="924" w:type="dxa"/>
            <w:vAlign w:val="bottom"/>
          </w:tcPr>
          <w:p w14:paraId="6FAA0537"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68970B96" w14:textId="77777777" w:rsidR="00AD68F9" w:rsidRPr="00E754AA" w:rsidRDefault="00AD68F9" w:rsidP="00AD68F9">
            <w:pPr>
              <w:spacing w:before="40" w:after="40"/>
              <w:rPr>
                <w:sz w:val="17"/>
                <w:szCs w:val="17"/>
              </w:rPr>
            </w:pPr>
          </w:p>
        </w:tc>
        <w:tc>
          <w:tcPr>
            <w:tcW w:w="939" w:type="dxa"/>
            <w:vAlign w:val="bottom"/>
          </w:tcPr>
          <w:p w14:paraId="05A45608"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0C8530E6" w14:textId="77777777" w:rsidR="00AD68F9" w:rsidRPr="000D2863" w:rsidRDefault="00AD68F9" w:rsidP="00AD68F9">
            <w:pPr>
              <w:spacing w:before="40" w:after="40"/>
              <w:rPr>
                <w:sz w:val="17"/>
                <w:szCs w:val="17"/>
              </w:rPr>
            </w:pPr>
          </w:p>
        </w:tc>
      </w:tr>
      <w:tr w:rsidR="00AD68F9" w:rsidRPr="00E834EF" w14:paraId="51DFA2DA" w14:textId="77777777" w:rsidTr="00272B36">
        <w:tc>
          <w:tcPr>
            <w:tcW w:w="3254" w:type="dxa"/>
            <w:vAlign w:val="center"/>
          </w:tcPr>
          <w:p w14:paraId="75478B8F" w14:textId="77777777" w:rsidR="00AD68F9" w:rsidRDefault="00AD68F9" w:rsidP="00AD68F9">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54C1D360" w14:textId="77777777" w:rsidR="00AD68F9" w:rsidRPr="00E834EF" w:rsidRDefault="00AD68F9" w:rsidP="00AD68F9">
            <w:pPr>
              <w:spacing w:before="40" w:after="40"/>
              <w:rPr>
                <w:sz w:val="17"/>
                <w:szCs w:val="17"/>
              </w:rPr>
            </w:pPr>
          </w:p>
        </w:tc>
        <w:tc>
          <w:tcPr>
            <w:tcW w:w="913" w:type="dxa"/>
            <w:tcBorders>
              <w:bottom w:val="single" w:sz="4" w:space="0" w:color="auto"/>
            </w:tcBorders>
            <w:vAlign w:val="bottom"/>
          </w:tcPr>
          <w:p w14:paraId="2AD6EF68" w14:textId="77777777" w:rsidR="00AD68F9" w:rsidRPr="000D2863" w:rsidRDefault="00AD68F9" w:rsidP="00AD68F9">
            <w:pPr>
              <w:spacing w:before="40" w:after="40"/>
              <w:jc w:val="right"/>
              <w:rPr>
                <w:color w:val="000000"/>
                <w:sz w:val="17"/>
                <w:szCs w:val="17"/>
              </w:rPr>
            </w:pPr>
            <w:r>
              <w:rPr>
                <w:sz w:val="17"/>
                <w:szCs w:val="17"/>
              </w:rPr>
              <w:t>6.5</w:t>
            </w:r>
          </w:p>
        </w:tc>
        <w:tc>
          <w:tcPr>
            <w:tcW w:w="252" w:type="dxa"/>
            <w:gridSpan w:val="2"/>
            <w:vAlign w:val="bottom"/>
          </w:tcPr>
          <w:p w14:paraId="12AB20FB" w14:textId="77777777" w:rsidR="00AD68F9" w:rsidRPr="000D2863" w:rsidRDefault="00AD68F9" w:rsidP="00AD68F9">
            <w:pPr>
              <w:spacing w:before="40" w:after="40"/>
              <w:rPr>
                <w:color w:val="000000"/>
                <w:sz w:val="17"/>
                <w:szCs w:val="17"/>
              </w:rPr>
            </w:pPr>
          </w:p>
        </w:tc>
        <w:tc>
          <w:tcPr>
            <w:tcW w:w="924" w:type="dxa"/>
            <w:tcBorders>
              <w:bottom w:val="single" w:sz="4" w:space="0" w:color="auto"/>
            </w:tcBorders>
            <w:vAlign w:val="bottom"/>
          </w:tcPr>
          <w:p w14:paraId="4A1CF980" w14:textId="77777777" w:rsidR="00AD68F9" w:rsidRPr="000D2863" w:rsidRDefault="00AD68F9" w:rsidP="00AD68F9">
            <w:pPr>
              <w:spacing w:before="40" w:after="40"/>
              <w:jc w:val="right"/>
              <w:rPr>
                <w:color w:val="000000"/>
                <w:sz w:val="17"/>
                <w:szCs w:val="17"/>
              </w:rPr>
            </w:pPr>
            <w:r>
              <w:rPr>
                <w:sz w:val="17"/>
                <w:szCs w:val="17"/>
              </w:rPr>
              <w:t>8.3</w:t>
            </w:r>
          </w:p>
        </w:tc>
        <w:tc>
          <w:tcPr>
            <w:tcW w:w="242" w:type="dxa"/>
            <w:vAlign w:val="bottom"/>
          </w:tcPr>
          <w:p w14:paraId="549C85CE" w14:textId="77777777" w:rsidR="00AD68F9" w:rsidRPr="000D2863" w:rsidRDefault="00AD68F9" w:rsidP="00AD68F9">
            <w:pPr>
              <w:spacing w:before="40" w:after="40"/>
              <w:rPr>
                <w:color w:val="000000"/>
                <w:sz w:val="17"/>
                <w:szCs w:val="17"/>
              </w:rPr>
            </w:pPr>
          </w:p>
        </w:tc>
        <w:tc>
          <w:tcPr>
            <w:tcW w:w="924" w:type="dxa"/>
            <w:tcBorders>
              <w:bottom w:val="single" w:sz="4" w:space="0" w:color="auto"/>
            </w:tcBorders>
            <w:vAlign w:val="bottom"/>
          </w:tcPr>
          <w:p w14:paraId="13C615AB" w14:textId="77777777" w:rsidR="00AD68F9" w:rsidRPr="000D2863" w:rsidRDefault="00AD68F9" w:rsidP="00AD68F9">
            <w:pPr>
              <w:spacing w:before="40" w:after="40"/>
              <w:jc w:val="right"/>
              <w:rPr>
                <w:color w:val="000000"/>
                <w:sz w:val="17"/>
                <w:szCs w:val="17"/>
              </w:rPr>
            </w:pPr>
            <w:r>
              <w:rPr>
                <w:sz w:val="17"/>
                <w:szCs w:val="17"/>
              </w:rPr>
              <w:t>8.7</w:t>
            </w:r>
          </w:p>
        </w:tc>
        <w:tc>
          <w:tcPr>
            <w:tcW w:w="242" w:type="dxa"/>
            <w:vAlign w:val="bottom"/>
          </w:tcPr>
          <w:p w14:paraId="3139EED4" w14:textId="77777777" w:rsidR="00AD68F9" w:rsidRPr="000D2863" w:rsidRDefault="00AD68F9" w:rsidP="00AD68F9">
            <w:pPr>
              <w:spacing w:before="40" w:after="40"/>
              <w:rPr>
                <w:sz w:val="17"/>
                <w:szCs w:val="17"/>
              </w:rPr>
            </w:pPr>
          </w:p>
        </w:tc>
        <w:tc>
          <w:tcPr>
            <w:tcW w:w="924" w:type="dxa"/>
            <w:tcBorders>
              <w:bottom w:val="single" w:sz="4" w:space="0" w:color="auto"/>
            </w:tcBorders>
            <w:vAlign w:val="bottom"/>
          </w:tcPr>
          <w:p w14:paraId="168C0D37" w14:textId="77777777" w:rsidR="00AD68F9" w:rsidRPr="000D2863" w:rsidRDefault="00AD68F9" w:rsidP="00AD68F9">
            <w:pPr>
              <w:spacing w:before="40" w:after="40"/>
              <w:jc w:val="right"/>
              <w:rPr>
                <w:sz w:val="17"/>
                <w:szCs w:val="17"/>
              </w:rPr>
            </w:pPr>
            <w:r>
              <w:rPr>
                <w:sz w:val="17"/>
                <w:szCs w:val="17"/>
              </w:rPr>
              <w:t>6.4</w:t>
            </w:r>
          </w:p>
        </w:tc>
        <w:tc>
          <w:tcPr>
            <w:tcW w:w="227" w:type="dxa"/>
            <w:vAlign w:val="bottom"/>
          </w:tcPr>
          <w:p w14:paraId="15E3B46D" w14:textId="77777777" w:rsidR="00AD68F9" w:rsidRPr="000D2863" w:rsidRDefault="00AD68F9" w:rsidP="00AD68F9">
            <w:pPr>
              <w:spacing w:before="40" w:after="40"/>
              <w:rPr>
                <w:sz w:val="17"/>
                <w:szCs w:val="17"/>
              </w:rPr>
            </w:pPr>
          </w:p>
        </w:tc>
        <w:tc>
          <w:tcPr>
            <w:tcW w:w="939" w:type="dxa"/>
            <w:tcBorders>
              <w:bottom w:val="single" w:sz="4" w:space="0" w:color="auto"/>
            </w:tcBorders>
            <w:vAlign w:val="bottom"/>
          </w:tcPr>
          <w:p w14:paraId="5B8D6AF9" w14:textId="7B1BF724" w:rsidR="00AD68F9" w:rsidRPr="000D2863" w:rsidRDefault="00AD68F9" w:rsidP="00AD68F9">
            <w:pPr>
              <w:spacing w:before="40" w:after="40"/>
              <w:jc w:val="right"/>
              <w:rPr>
                <w:sz w:val="17"/>
                <w:szCs w:val="17"/>
              </w:rPr>
            </w:pPr>
            <w:r>
              <w:rPr>
                <w:sz w:val="17"/>
                <w:szCs w:val="17"/>
              </w:rPr>
              <w:t>6.</w:t>
            </w:r>
            <w:r w:rsidR="008C78AD">
              <w:rPr>
                <w:sz w:val="17"/>
                <w:szCs w:val="17"/>
              </w:rPr>
              <w:t>9</w:t>
            </w:r>
          </w:p>
        </w:tc>
        <w:tc>
          <w:tcPr>
            <w:tcW w:w="266" w:type="dxa"/>
            <w:vAlign w:val="bottom"/>
          </w:tcPr>
          <w:p w14:paraId="5B4DC732" w14:textId="77777777" w:rsidR="00AD68F9" w:rsidRPr="000D2863" w:rsidRDefault="00AD68F9" w:rsidP="00AD68F9">
            <w:pPr>
              <w:spacing w:before="40" w:after="40"/>
              <w:rPr>
                <w:sz w:val="17"/>
                <w:szCs w:val="17"/>
              </w:rPr>
            </w:pPr>
          </w:p>
        </w:tc>
      </w:tr>
      <w:tr w:rsidR="00AD68F9" w:rsidRPr="00E834EF" w14:paraId="67380C7A" w14:textId="77777777" w:rsidTr="00272B36">
        <w:tc>
          <w:tcPr>
            <w:tcW w:w="3254" w:type="dxa"/>
          </w:tcPr>
          <w:p w14:paraId="0B776F4C" w14:textId="77777777" w:rsidR="00AD68F9" w:rsidRDefault="00AD68F9" w:rsidP="00AD68F9">
            <w:pPr>
              <w:tabs>
                <w:tab w:val="right" w:leader="dot" w:pos="3255"/>
              </w:tabs>
              <w:bidi/>
              <w:spacing w:before="40" w:after="40"/>
              <w:rPr>
                <w:b/>
                <w:bCs/>
                <w:sz w:val="17"/>
                <w:szCs w:val="17"/>
                <w:u w:val="single"/>
              </w:rPr>
            </w:pPr>
            <w:r w:rsidRPr="00272B36">
              <w:rPr>
                <w:rFonts w:hint="eastAsia"/>
                <w:b/>
                <w:bCs/>
                <w:szCs w:val="17"/>
                <w:rtl/>
              </w:rPr>
              <w:t>الأرباح</w:t>
            </w:r>
            <w:r w:rsidRPr="00272B36">
              <w:rPr>
                <w:b/>
                <w:bCs/>
                <w:szCs w:val="17"/>
                <w:rtl/>
              </w:rPr>
              <w:t xml:space="preserve"> قبل حساب الفوائد والضرائب والإهلاك والإطفاء ل</w:t>
            </w:r>
            <w:r w:rsidR="00607B02">
              <w:rPr>
                <w:b/>
                <w:bCs/>
                <w:szCs w:val="17"/>
                <w:rtl/>
              </w:rPr>
              <w:t>نقل</w:t>
            </w:r>
            <w:r w:rsidRPr="00272B36">
              <w:rPr>
                <w:b/>
                <w:bCs/>
                <w:szCs w:val="17"/>
                <w:rtl/>
              </w:rPr>
              <w:t xml:space="preserve"> </w:t>
            </w:r>
            <w:r>
              <w:rPr>
                <w:rFonts w:hint="cs"/>
                <w:b/>
                <w:bCs/>
                <w:szCs w:val="17"/>
                <w:rtl/>
              </w:rPr>
              <w:t>البضائع السائبة الجافة</w:t>
            </w:r>
            <w:r w:rsidRPr="007D2480">
              <w:rPr>
                <w:sz w:val="17"/>
              </w:rPr>
              <w:tab/>
            </w:r>
          </w:p>
        </w:tc>
        <w:tc>
          <w:tcPr>
            <w:tcW w:w="242" w:type="dxa"/>
            <w:vAlign w:val="bottom"/>
          </w:tcPr>
          <w:p w14:paraId="7FF571E0" w14:textId="77777777" w:rsidR="00AD68F9" w:rsidRPr="00E834EF" w:rsidRDefault="00AD68F9" w:rsidP="00AD68F9">
            <w:pPr>
              <w:spacing w:before="40" w:after="40"/>
              <w:rPr>
                <w:sz w:val="17"/>
                <w:szCs w:val="17"/>
              </w:rPr>
            </w:pPr>
          </w:p>
        </w:tc>
        <w:tc>
          <w:tcPr>
            <w:tcW w:w="913" w:type="dxa"/>
            <w:tcBorders>
              <w:top w:val="single" w:sz="4" w:space="0" w:color="auto"/>
            </w:tcBorders>
          </w:tcPr>
          <w:p w14:paraId="061E9238" w14:textId="77777777" w:rsidR="00AD68F9" w:rsidRPr="002163D4" w:rsidRDefault="00AD68F9" w:rsidP="00AD68F9">
            <w:pPr>
              <w:spacing w:before="40" w:after="40"/>
              <w:jc w:val="right"/>
              <w:rPr>
                <w:b/>
                <w:bCs/>
                <w:color w:val="000000"/>
                <w:sz w:val="16"/>
                <w:szCs w:val="16"/>
              </w:rPr>
            </w:pPr>
            <w:r w:rsidRPr="002163D4">
              <w:rPr>
                <w:sz w:val="16"/>
                <w:szCs w:val="16"/>
              </w:rPr>
              <w:t>40.0</w:t>
            </w:r>
          </w:p>
        </w:tc>
        <w:tc>
          <w:tcPr>
            <w:tcW w:w="252" w:type="dxa"/>
            <w:gridSpan w:val="2"/>
            <w:vAlign w:val="bottom"/>
          </w:tcPr>
          <w:p w14:paraId="5DDC1AED"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6001D2DB" w14:textId="77777777" w:rsidR="00AD68F9" w:rsidRPr="002163D4" w:rsidRDefault="00AD68F9" w:rsidP="00AD68F9">
            <w:pPr>
              <w:spacing w:before="40" w:after="40"/>
              <w:jc w:val="right"/>
              <w:rPr>
                <w:b/>
                <w:bCs/>
                <w:color w:val="000000"/>
                <w:sz w:val="16"/>
                <w:szCs w:val="16"/>
              </w:rPr>
            </w:pPr>
            <w:r w:rsidRPr="002163D4">
              <w:rPr>
                <w:sz w:val="16"/>
                <w:szCs w:val="16"/>
              </w:rPr>
              <w:t>42.2</w:t>
            </w:r>
          </w:p>
        </w:tc>
        <w:tc>
          <w:tcPr>
            <w:tcW w:w="242" w:type="dxa"/>
            <w:vAlign w:val="bottom"/>
          </w:tcPr>
          <w:p w14:paraId="410316D1"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2E8F220C" w14:textId="77777777" w:rsidR="00AD68F9" w:rsidRPr="002163D4" w:rsidRDefault="00AD68F9" w:rsidP="00AD68F9">
            <w:pPr>
              <w:spacing w:before="40" w:after="40"/>
              <w:jc w:val="right"/>
              <w:rPr>
                <w:b/>
                <w:bCs/>
                <w:color w:val="000000"/>
                <w:sz w:val="16"/>
                <w:szCs w:val="16"/>
              </w:rPr>
            </w:pPr>
            <w:r w:rsidRPr="002163D4">
              <w:rPr>
                <w:sz w:val="16"/>
                <w:szCs w:val="16"/>
              </w:rPr>
              <w:t>34.5</w:t>
            </w:r>
          </w:p>
        </w:tc>
        <w:tc>
          <w:tcPr>
            <w:tcW w:w="242" w:type="dxa"/>
            <w:vAlign w:val="bottom"/>
          </w:tcPr>
          <w:p w14:paraId="441A0332" w14:textId="77777777" w:rsidR="00AD68F9" w:rsidRPr="002163D4" w:rsidRDefault="00AD68F9" w:rsidP="00AD68F9">
            <w:pPr>
              <w:spacing w:before="40" w:after="40"/>
              <w:rPr>
                <w:b/>
                <w:bCs/>
                <w:sz w:val="16"/>
                <w:szCs w:val="16"/>
              </w:rPr>
            </w:pPr>
          </w:p>
        </w:tc>
        <w:tc>
          <w:tcPr>
            <w:tcW w:w="924" w:type="dxa"/>
            <w:tcBorders>
              <w:top w:val="single" w:sz="4" w:space="0" w:color="auto"/>
            </w:tcBorders>
          </w:tcPr>
          <w:p w14:paraId="34F97107" w14:textId="77777777" w:rsidR="00AD68F9" w:rsidRPr="002163D4" w:rsidRDefault="00AD68F9" w:rsidP="00AD68F9">
            <w:pPr>
              <w:spacing w:before="40" w:after="40"/>
              <w:jc w:val="right"/>
              <w:rPr>
                <w:b/>
                <w:bCs/>
                <w:sz w:val="16"/>
                <w:szCs w:val="16"/>
              </w:rPr>
            </w:pPr>
            <w:r w:rsidRPr="002163D4">
              <w:rPr>
                <w:sz w:val="16"/>
                <w:szCs w:val="16"/>
              </w:rPr>
              <w:t>25.8</w:t>
            </w:r>
          </w:p>
        </w:tc>
        <w:tc>
          <w:tcPr>
            <w:tcW w:w="227" w:type="dxa"/>
            <w:vAlign w:val="bottom"/>
          </w:tcPr>
          <w:p w14:paraId="6071E78B" w14:textId="77777777" w:rsidR="00AD68F9" w:rsidRPr="002163D4" w:rsidRDefault="00AD68F9" w:rsidP="00AD68F9">
            <w:pPr>
              <w:spacing w:before="40" w:after="40"/>
              <w:rPr>
                <w:b/>
                <w:bCs/>
                <w:sz w:val="16"/>
                <w:szCs w:val="16"/>
              </w:rPr>
            </w:pPr>
          </w:p>
        </w:tc>
        <w:tc>
          <w:tcPr>
            <w:tcW w:w="939" w:type="dxa"/>
            <w:tcBorders>
              <w:top w:val="single" w:sz="4" w:space="0" w:color="auto"/>
            </w:tcBorders>
          </w:tcPr>
          <w:p w14:paraId="0CCC9CB6" w14:textId="77777777" w:rsidR="00AD68F9" w:rsidRPr="002163D4" w:rsidRDefault="00AD68F9" w:rsidP="00AD68F9">
            <w:pPr>
              <w:spacing w:before="40" w:after="40"/>
              <w:jc w:val="right"/>
              <w:rPr>
                <w:b/>
                <w:bCs/>
                <w:sz w:val="16"/>
                <w:szCs w:val="16"/>
              </w:rPr>
            </w:pPr>
            <w:r w:rsidRPr="002163D4">
              <w:rPr>
                <w:sz w:val="16"/>
                <w:szCs w:val="16"/>
              </w:rPr>
              <w:t>23.0</w:t>
            </w:r>
          </w:p>
        </w:tc>
        <w:tc>
          <w:tcPr>
            <w:tcW w:w="266" w:type="dxa"/>
            <w:vAlign w:val="bottom"/>
          </w:tcPr>
          <w:p w14:paraId="20A4A419" w14:textId="77777777" w:rsidR="00AD68F9" w:rsidRPr="000D2863" w:rsidRDefault="00AD68F9" w:rsidP="00AD68F9">
            <w:pPr>
              <w:spacing w:before="40" w:after="40"/>
              <w:rPr>
                <w:b/>
                <w:bCs/>
                <w:sz w:val="17"/>
                <w:szCs w:val="17"/>
              </w:rPr>
            </w:pPr>
          </w:p>
        </w:tc>
      </w:tr>
    </w:tbl>
    <w:p w14:paraId="6C438367" w14:textId="77777777" w:rsidR="00A07D6C" w:rsidRDefault="00A07D6C" w:rsidP="00A07D6C">
      <w:pPr>
        <w:autoSpaceDE w:val="0"/>
        <w:autoSpaceDN w:val="0"/>
        <w:bidi/>
        <w:adjustRightInd w:val="0"/>
        <w:jc w:val="both"/>
        <w:rPr>
          <w:rFonts w:ascii="Traditional Arabic" w:hAnsi="Traditional Arabic" w:cs="Traditional Arabic"/>
          <w:sz w:val="30"/>
          <w:szCs w:val="30"/>
          <w:rtl/>
          <w:lang w:bidi="ar-EG"/>
        </w:rPr>
      </w:pPr>
    </w:p>
    <w:p w14:paraId="7514F383" w14:textId="77777777" w:rsidR="00D568A2" w:rsidRDefault="00D568A2" w:rsidP="00D568A2">
      <w:pPr>
        <w:autoSpaceDE w:val="0"/>
        <w:autoSpaceDN w:val="0"/>
        <w:bidi/>
        <w:adjustRightInd w:val="0"/>
        <w:jc w:val="both"/>
        <w:rPr>
          <w:rFonts w:ascii="Traditional Arabic" w:hAnsi="Traditional Arabic" w:cs="Traditional Arabic"/>
          <w:sz w:val="30"/>
          <w:szCs w:val="30"/>
          <w:rtl/>
          <w:lang w:bidi="ar-EG"/>
        </w:rPr>
      </w:pPr>
      <w:r w:rsidRPr="00D568A2">
        <w:rPr>
          <w:rFonts w:ascii="Traditional Arabic" w:hAnsi="Traditional Arabic" w:cs="Traditional Arabic"/>
          <w:sz w:val="30"/>
          <w:szCs w:val="30"/>
          <w:rtl/>
          <w:lang w:bidi="ar-EG"/>
        </w:rPr>
        <w:t>(6)</w:t>
      </w:r>
      <w:r w:rsidRPr="00D568A2">
        <w:rPr>
          <w:rFonts w:ascii="Traditional Arabic" w:hAnsi="Traditional Arabic" w:cs="Traditional Arabic"/>
          <w:sz w:val="30"/>
          <w:szCs w:val="30"/>
          <w:rtl/>
          <w:lang w:bidi="ar-EG"/>
        </w:rPr>
        <w:tab/>
        <w:t xml:space="preserve">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لقطاع </w:t>
      </w:r>
      <w:r w:rsidR="00607B02">
        <w:rPr>
          <w:rFonts w:ascii="Traditional Arabic" w:hAnsi="Traditional Arabic" w:cs="Traditional Arabic"/>
          <w:sz w:val="30"/>
          <w:szCs w:val="30"/>
          <w:rtl/>
          <w:lang w:bidi="ar-EG"/>
        </w:rPr>
        <w:t>نقل</w:t>
      </w:r>
      <w:r w:rsidRPr="00D568A2">
        <w:rPr>
          <w:rFonts w:ascii="Traditional Arabic" w:hAnsi="Traditional Arabic" w:cs="Traditional Arabic"/>
          <w:sz w:val="30"/>
          <w:szCs w:val="30"/>
          <w:rtl/>
          <w:lang w:bidi="ar-EG"/>
        </w:rPr>
        <w:t xml:space="preserve"> الغاز للفترات المشار إليها:</w:t>
      </w:r>
    </w:p>
    <w:p w14:paraId="3FCED469" w14:textId="77777777" w:rsidR="00D568A2" w:rsidRDefault="00D568A2" w:rsidP="00D568A2">
      <w:pPr>
        <w:autoSpaceDE w:val="0"/>
        <w:autoSpaceDN w:val="0"/>
        <w:bidi/>
        <w:adjustRightInd w:val="0"/>
        <w:jc w:val="both"/>
        <w:rPr>
          <w:rFonts w:ascii="Traditional Arabic" w:hAnsi="Traditional Arabic" w:cs="Traditional Arabic"/>
          <w:sz w:val="30"/>
          <w:szCs w:val="30"/>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AD68F9" w:rsidRPr="00E834EF" w14:paraId="1FF17EBD" w14:textId="77777777" w:rsidTr="00AD68F9">
        <w:trPr>
          <w:tblHeader/>
        </w:trPr>
        <w:tc>
          <w:tcPr>
            <w:tcW w:w="3254" w:type="dxa"/>
          </w:tcPr>
          <w:p w14:paraId="7CB7A8AB" w14:textId="77777777" w:rsidR="00AD68F9" w:rsidRPr="00E834EF" w:rsidRDefault="00AD68F9" w:rsidP="00AD68F9">
            <w:pPr>
              <w:keepNext/>
              <w:bidi/>
              <w:spacing w:before="40" w:after="120"/>
              <w:rPr>
                <w:b/>
                <w:sz w:val="17"/>
                <w:szCs w:val="17"/>
              </w:rPr>
            </w:pPr>
          </w:p>
        </w:tc>
        <w:tc>
          <w:tcPr>
            <w:tcW w:w="242" w:type="dxa"/>
          </w:tcPr>
          <w:p w14:paraId="2CCE90DF" w14:textId="77777777" w:rsidR="00AD68F9" w:rsidRPr="00E834EF" w:rsidRDefault="00AD68F9" w:rsidP="00AD68F9">
            <w:pPr>
              <w:spacing w:before="40" w:after="40"/>
              <w:rPr>
                <w:sz w:val="17"/>
                <w:szCs w:val="17"/>
              </w:rPr>
            </w:pPr>
          </w:p>
        </w:tc>
        <w:tc>
          <w:tcPr>
            <w:tcW w:w="3255" w:type="dxa"/>
            <w:gridSpan w:val="6"/>
            <w:tcBorders>
              <w:bottom w:val="single" w:sz="4" w:space="0" w:color="auto"/>
            </w:tcBorders>
          </w:tcPr>
          <w:p w14:paraId="0B989275" w14:textId="77777777" w:rsidR="00AD68F9" w:rsidRPr="00E834EF" w:rsidRDefault="00AD68F9" w:rsidP="00AD68F9">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77374501" w14:textId="77777777" w:rsidR="00AD68F9" w:rsidRPr="00E834EF" w:rsidRDefault="00AD68F9" w:rsidP="00AD68F9">
            <w:pPr>
              <w:spacing w:before="40" w:after="40"/>
              <w:rPr>
                <w:sz w:val="17"/>
                <w:szCs w:val="17"/>
              </w:rPr>
            </w:pPr>
          </w:p>
        </w:tc>
        <w:tc>
          <w:tcPr>
            <w:tcW w:w="2090" w:type="dxa"/>
            <w:gridSpan w:val="3"/>
            <w:tcBorders>
              <w:bottom w:val="single" w:sz="4" w:space="0" w:color="auto"/>
            </w:tcBorders>
          </w:tcPr>
          <w:p w14:paraId="1E5F218A" w14:textId="77777777" w:rsidR="00AD68F9" w:rsidRPr="00E834EF" w:rsidRDefault="00AD68F9" w:rsidP="00AD68F9">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42966D72" w14:textId="77777777" w:rsidR="00AD68F9" w:rsidRPr="00E834EF" w:rsidRDefault="00AD68F9" w:rsidP="00AD68F9">
            <w:pPr>
              <w:keepNext/>
              <w:spacing w:before="40" w:after="120"/>
              <w:jc w:val="center"/>
              <w:rPr>
                <w:b/>
                <w:sz w:val="17"/>
                <w:szCs w:val="17"/>
              </w:rPr>
            </w:pPr>
          </w:p>
        </w:tc>
      </w:tr>
      <w:tr w:rsidR="00AD68F9" w:rsidRPr="00E834EF" w14:paraId="298C4A75" w14:textId="77777777" w:rsidTr="00AD68F9">
        <w:trPr>
          <w:tblHeader/>
        </w:trPr>
        <w:tc>
          <w:tcPr>
            <w:tcW w:w="3254" w:type="dxa"/>
          </w:tcPr>
          <w:p w14:paraId="0E97E7B6" w14:textId="77777777" w:rsidR="00AD68F9" w:rsidRPr="00E834EF" w:rsidRDefault="00AD68F9" w:rsidP="00AD68F9">
            <w:pPr>
              <w:keepNext/>
              <w:bidi/>
              <w:spacing w:before="40" w:after="120"/>
              <w:rPr>
                <w:b/>
                <w:sz w:val="17"/>
                <w:szCs w:val="17"/>
              </w:rPr>
            </w:pPr>
          </w:p>
        </w:tc>
        <w:tc>
          <w:tcPr>
            <w:tcW w:w="242" w:type="dxa"/>
          </w:tcPr>
          <w:p w14:paraId="74A0FCCB" w14:textId="77777777" w:rsidR="00AD68F9" w:rsidRPr="00E834EF" w:rsidRDefault="00AD68F9" w:rsidP="00AD68F9">
            <w:pPr>
              <w:spacing w:before="40" w:after="40"/>
              <w:rPr>
                <w:sz w:val="17"/>
                <w:szCs w:val="17"/>
              </w:rPr>
            </w:pPr>
          </w:p>
        </w:tc>
        <w:tc>
          <w:tcPr>
            <w:tcW w:w="923" w:type="dxa"/>
            <w:gridSpan w:val="2"/>
            <w:tcBorders>
              <w:top w:val="single" w:sz="4" w:space="0" w:color="auto"/>
              <w:bottom w:val="single" w:sz="4" w:space="0" w:color="auto"/>
            </w:tcBorders>
          </w:tcPr>
          <w:p w14:paraId="5F0EE31E" w14:textId="77777777" w:rsidR="00AD68F9" w:rsidRPr="00E834EF" w:rsidRDefault="00AD68F9" w:rsidP="00AD68F9">
            <w:pPr>
              <w:keepNext/>
              <w:spacing w:before="40" w:after="120"/>
              <w:jc w:val="right"/>
              <w:rPr>
                <w:b/>
                <w:sz w:val="17"/>
                <w:szCs w:val="17"/>
              </w:rPr>
            </w:pPr>
            <w:r w:rsidRPr="00E834EF">
              <w:rPr>
                <w:b/>
                <w:sz w:val="17"/>
                <w:szCs w:val="17"/>
              </w:rPr>
              <w:t>2021</w:t>
            </w:r>
          </w:p>
        </w:tc>
        <w:tc>
          <w:tcPr>
            <w:tcW w:w="242" w:type="dxa"/>
          </w:tcPr>
          <w:p w14:paraId="592BDAFA"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027C83F0" w14:textId="77777777" w:rsidR="00AD68F9" w:rsidRPr="00E834EF" w:rsidRDefault="00AD68F9" w:rsidP="00AD68F9">
            <w:pPr>
              <w:keepNext/>
              <w:spacing w:before="40" w:after="120"/>
              <w:jc w:val="right"/>
              <w:rPr>
                <w:b/>
                <w:sz w:val="17"/>
                <w:szCs w:val="17"/>
              </w:rPr>
            </w:pPr>
            <w:r w:rsidRPr="00E834EF">
              <w:rPr>
                <w:b/>
                <w:sz w:val="17"/>
                <w:szCs w:val="17"/>
              </w:rPr>
              <w:t>2022</w:t>
            </w:r>
          </w:p>
        </w:tc>
        <w:tc>
          <w:tcPr>
            <w:tcW w:w="242" w:type="dxa"/>
          </w:tcPr>
          <w:p w14:paraId="7DDE3CDD"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51D1F0B5" w14:textId="77777777" w:rsidR="00AD68F9" w:rsidRPr="00E834EF" w:rsidRDefault="00AD68F9" w:rsidP="00AD68F9">
            <w:pPr>
              <w:keepNext/>
              <w:spacing w:before="40" w:after="120"/>
              <w:jc w:val="right"/>
              <w:rPr>
                <w:b/>
                <w:sz w:val="17"/>
                <w:szCs w:val="17"/>
              </w:rPr>
            </w:pPr>
            <w:r w:rsidRPr="00E834EF">
              <w:rPr>
                <w:b/>
                <w:sz w:val="17"/>
                <w:szCs w:val="17"/>
              </w:rPr>
              <w:t>2023</w:t>
            </w:r>
          </w:p>
        </w:tc>
        <w:tc>
          <w:tcPr>
            <w:tcW w:w="242" w:type="dxa"/>
          </w:tcPr>
          <w:p w14:paraId="7E0C3B6C"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36509F1D" w14:textId="77777777" w:rsidR="00AD68F9" w:rsidRPr="00E834EF" w:rsidRDefault="00AD68F9" w:rsidP="00AD68F9">
            <w:pPr>
              <w:keepNext/>
              <w:spacing w:before="40" w:after="120"/>
              <w:jc w:val="right"/>
              <w:rPr>
                <w:b/>
                <w:sz w:val="17"/>
                <w:szCs w:val="17"/>
              </w:rPr>
            </w:pPr>
            <w:r w:rsidRPr="00E834EF">
              <w:rPr>
                <w:b/>
                <w:sz w:val="17"/>
                <w:szCs w:val="17"/>
              </w:rPr>
              <w:t>2023</w:t>
            </w:r>
          </w:p>
        </w:tc>
        <w:tc>
          <w:tcPr>
            <w:tcW w:w="227" w:type="dxa"/>
          </w:tcPr>
          <w:p w14:paraId="4DF4DF32" w14:textId="77777777" w:rsidR="00AD68F9" w:rsidRPr="00E834EF" w:rsidRDefault="00AD68F9" w:rsidP="00AD68F9">
            <w:pPr>
              <w:spacing w:before="40" w:after="40"/>
              <w:rPr>
                <w:sz w:val="17"/>
                <w:szCs w:val="17"/>
              </w:rPr>
            </w:pPr>
          </w:p>
        </w:tc>
        <w:tc>
          <w:tcPr>
            <w:tcW w:w="939" w:type="dxa"/>
            <w:tcBorders>
              <w:top w:val="single" w:sz="4" w:space="0" w:color="auto"/>
              <w:bottom w:val="single" w:sz="4" w:space="0" w:color="auto"/>
            </w:tcBorders>
          </w:tcPr>
          <w:p w14:paraId="46235BD4" w14:textId="77777777" w:rsidR="00AD68F9" w:rsidRPr="00E834EF" w:rsidRDefault="00AD68F9" w:rsidP="00AD68F9">
            <w:pPr>
              <w:keepNext/>
              <w:spacing w:before="40" w:after="120"/>
              <w:jc w:val="right"/>
              <w:rPr>
                <w:b/>
                <w:sz w:val="17"/>
                <w:szCs w:val="17"/>
              </w:rPr>
            </w:pPr>
            <w:r w:rsidRPr="00E834EF">
              <w:rPr>
                <w:b/>
                <w:sz w:val="17"/>
                <w:szCs w:val="17"/>
              </w:rPr>
              <w:t>2024</w:t>
            </w:r>
          </w:p>
        </w:tc>
        <w:tc>
          <w:tcPr>
            <w:tcW w:w="266" w:type="dxa"/>
          </w:tcPr>
          <w:p w14:paraId="5586A59D" w14:textId="77777777" w:rsidR="00AD68F9" w:rsidRPr="00E834EF" w:rsidRDefault="00AD68F9" w:rsidP="00AD68F9">
            <w:pPr>
              <w:keepNext/>
              <w:spacing w:before="40" w:after="120"/>
              <w:jc w:val="right"/>
              <w:rPr>
                <w:b/>
                <w:sz w:val="17"/>
                <w:szCs w:val="17"/>
              </w:rPr>
            </w:pPr>
          </w:p>
        </w:tc>
      </w:tr>
      <w:tr w:rsidR="00AD68F9" w:rsidRPr="00E834EF" w14:paraId="671861A4" w14:textId="77777777" w:rsidTr="00AD68F9">
        <w:trPr>
          <w:trHeight w:val="215"/>
          <w:tblHeader/>
        </w:trPr>
        <w:tc>
          <w:tcPr>
            <w:tcW w:w="3254" w:type="dxa"/>
          </w:tcPr>
          <w:p w14:paraId="06113CDB" w14:textId="77777777" w:rsidR="00AD68F9" w:rsidRPr="00E834EF" w:rsidRDefault="00AD68F9" w:rsidP="00AD68F9">
            <w:pPr>
              <w:keepNext/>
              <w:bidi/>
              <w:spacing w:before="40" w:after="120"/>
              <w:jc w:val="center"/>
              <w:rPr>
                <w:i/>
                <w:sz w:val="17"/>
                <w:szCs w:val="17"/>
              </w:rPr>
            </w:pPr>
          </w:p>
        </w:tc>
        <w:tc>
          <w:tcPr>
            <w:tcW w:w="242" w:type="dxa"/>
          </w:tcPr>
          <w:p w14:paraId="5E584292" w14:textId="77777777" w:rsidR="00AD68F9" w:rsidRPr="00E834EF" w:rsidRDefault="00AD68F9" w:rsidP="00AD68F9">
            <w:pPr>
              <w:keepNext/>
              <w:spacing w:before="40" w:after="120"/>
              <w:jc w:val="center"/>
              <w:rPr>
                <w:i/>
                <w:sz w:val="17"/>
                <w:szCs w:val="17"/>
              </w:rPr>
            </w:pPr>
          </w:p>
        </w:tc>
        <w:tc>
          <w:tcPr>
            <w:tcW w:w="5587" w:type="dxa"/>
            <w:gridSpan w:val="10"/>
          </w:tcPr>
          <w:p w14:paraId="7AFED0E6" w14:textId="77777777" w:rsidR="00AD68F9" w:rsidRPr="00E834EF" w:rsidRDefault="00AD68F9" w:rsidP="00AD68F9">
            <w:pPr>
              <w:keepNext/>
              <w:spacing w:before="40" w:after="120"/>
              <w:jc w:val="center"/>
              <w:rPr>
                <w:i/>
                <w:sz w:val="17"/>
                <w:szCs w:val="17"/>
              </w:rPr>
            </w:pPr>
            <w:r w:rsidRPr="00E834EF">
              <w:rPr>
                <w:i/>
                <w:color w:val="000000"/>
                <w:sz w:val="17"/>
                <w:szCs w:val="17"/>
              </w:rPr>
              <w:t>(</w:t>
            </w:r>
            <w:r>
              <w:rPr>
                <w:i/>
                <w:color w:val="000000"/>
                <w:sz w:val="17"/>
                <w:szCs w:val="17"/>
              </w:rPr>
              <w:t>OMR</w:t>
            </w:r>
            <w:r w:rsidRPr="00E834EF">
              <w:rPr>
                <w:i/>
                <w:color w:val="000000"/>
                <w:sz w:val="17"/>
                <w:szCs w:val="17"/>
              </w:rPr>
              <w:t xml:space="preserve"> </w:t>
            </w:r>
            <w:r>
              <w:rPr>
                <w:i/>
                <w:color w:val="000000"/>
                <w:sz w:val="17"/>
                <w:szCs w:val="17"/>
              </w:rPr>
              <w:t>millions</w:t>
            </w:r>
            <w:r w:rsidRPr="00E834EF">
              <w:rPr>
                <w:i/>
                <w:color w:val="000000"/>
                <w:sz w:val="17"/>
                <w:szCs w:val="17"/>
              </w:rPr>
              <w:t>)</w:t>
            </w:r>
          </w:p>
        </w:tc>
        <w:tc>
          <w:tcPr>
            <w:tcW w:w="266" w:type="dxa"/>
          </w:tcPr>
          <w:p w14:paraId="1CA0FD0B" w14:textId="77777777" w:rsidR="00AD68F9" w:rsidRPr="00E834EF" w:rsidRDefault="00AD68F9" w:rsidP="00AD68F9">
            <w:pPr>
              <w:keepNext/>
              <w:spacing w:before="40" w:after="120"/>
              <w:jc w:val="center"/>
              <w:rPr>
                <w:i/>
                <w:color w:val="000000"/>
                <w:sz w:val="17"/>
                <w:szCs w:val="17"/>
              </w:rPr>
            </w:pPr>
          </w:p>
        </w:tc>
      </w:tr>
      <w:tr w:rsidR="00AD68F9" w:rsidRPr="00E834EF" w14:paraId="5E7E8BDC" w14:textId="77777777" w:rsidTr="00AD68F9">
        <w:tc>
          <w:tcPr>
            <w:tcW w:w="3254" w:type="dxa"/>
            <w:vAlign w:val="bottom"/>
          </w:tcPr>
          <w:p w14:paraId="2D66B7D5" w14:textId="77777777" w:rsidR="00AD68F9" w:rsidRDefault="00AD68F9" w:rsidP="00AD68F9">
            <w:pPr>
              <w:tabs>
                <w:tab w:val="right" w:leader="dot" w:pos="3255"/>
              </w:tabs>
              <w:bidi/>
              <w:spacing w:before="40" w:after="40"/>
              <w:ind w:left="12"/>
              <w:rPr>
                <w:b/>
                <w:bCs/>
                <w:color w:val="000000"/>
                <w:sz w:val="17"/>
                <w:szCs w:val="17"/>
              </w:rPr>
            </w:pPr>
            <w:r>
              <w:rPr>
                <w:rFonts w:hint="cs"/>
                <w:b/>
                <w:bCs/>
                <w:color w:val="000000"/>
                <w:sz w:val="17"/>
                <w:szCs w:val="17"/>
                <w:rtl/>
              </w:rPr>
              <w:t xml:space="preserve">إيرادات </w:t>
            </w:r>
            <w:r w:rsidR="00607B02">
              <w:rPr>
                <w:rFonts w:hint="cs"/>
                <w:b/>
                <w:bCs/>
                <w:color w:val="000000"/>
                <w:sz w:val="17"/>
                <w:szCs w:val="17"/>
                <w:rtl/>
              </w:rPr>
              <w:t>نقل</w:t>
            </w:r>
            <w:r>
              <w:rPr>
                <w:rFonts w:hint="cs"/>
                <w:b/>
                <w:bCs/>
                <w:color w:val="000000"/>
                <w:sz w:val="17"/>
                <w:szCs w:val="17"/>
                <w:rtl/>
              </w:rPr>
              <w:t xml:space="preserve"> الغاز</w:t>
            </w:r>
            <w:r w:rsidRPr="0054596C">
              <w:rPr>
                <w:sz w:val="17"/>
              </w:rPr>
              <w:tab/>
            </w:r>
          </w:p>
        </w:tc>
        <w:tc>
          <w:tcPr>
            <w:tcW w:w="242" w:type="dxa"/>
            <w:vAlign w:val="bottom"/>
          </w:tcPr>
          <w:p w14:paraId="58A72564" w14:textId="77777777" w:rsidR="00AD68F9" w:rsidRPr="00E834EF" w:rsidRDefault="00AD68F9" w:rsidP="00AD68F9">
            <w:pPr>
              <w:spacing w:before="40" w:after="40"/>
              <w:rPr>
                <w:sz w:val="17"/>
                <w:szCs w:val="17"/>
              </w:rPr>
            </w:pPr>
          </w:p>
        </w:tc>
        <w:tc>
          <w:tcPr>
            <w:tcW w:w="913" w:type="dxa"/>
            <w:vAlign w:val="bottom"/>
          </w:tcPr>
          <w:p w14:paraId="1F526451" w14:textId="77777777" w:rsidR="00AD68F9" w:rsidRPr="000A73F0" w:rsidRDefault="00AD68F9" w:rsidP="00AD68F9">
            <w:pPr>
              <w:spacing w:before="40" w:after="40"/>
              <w:jc w:val="right"/>
              <w:rPr>
                <w:color w:val="000000"/>
                <w:sz w:val="17"/>
                <w:szCs w:val="17"/>
              </w:rPr>
            </w:pPr>
            <w:r>
              <w:rPr>
                <w:sz w:val="17"/>
                <w:szCs w:val="17"/>
              </w:rPr>
              <w:t>38.2</w:t>
            </w:r>
          </w:p>
        </w:tc>
        <w:tc>
          <w:tcPr>
            <w:tcW w:w="252" w:type="dxa"/>
            <w:gridSpan w:val="2"/>
            <w:vAlign w:val="bottom"/>
          </w:tcPr>
          <w:p w14:paraId="36DF3BFC" w14:textId="77777777" w:rsidR="00AD68F9" w:rsidRPr="007766C5" w:rsidRDefault="00AD68F9" w:rsidP="00AD68F9">
            <w:pPr>
              <w:spacing w:before="40" w:after="40"/>
              <w:rPr>
                <w:color w:val="000000"/>
                <w:sz w:val="17"/>
                <w:szCs w:val="17"/>
              </w:rPr>
            </w:pPr>
          </w:p>
        </w:tc>
        <w:tc>
          <w:tcPr>
            <w:tcW w:w="924" w:type="dxa"/>
            <w:vAlign w:val="bottom"/>
          </w:tcPr>
          <w:p w14:paraId="2D0D141B" w14:textId="77777777" w:rsidR="00AD68F9" w:rsidRPr="007766C5" w:rsidRDefault="00AD68F9" w:rsidP="00AD68F9">
            <w:pPr>
              <w:spacing w:before="40" w:after="40"/>
              <w:jc w:val="right"/>
              <w:rPr>
                <w:color w:val="000000"/>
                <w:sz w:val="17"/>
                <w:szCs w:val="17"/>
              </w:rPr>
            </w:pPr>
            <w:r>
              <w:rPr>
                <w:sz w:val="17"/>
                <w:szCs w:val="17"/>
              </w:rPr>
              <w:t>44.0</w:t>
            </w:r>
          </w:p>
        </w:tc>
        <w:tc>
          <w:tcPr>
            <w:tcW w:w="242" w:type="dxa"/>
            <w:vAlign w:val="bottom"/>
          </w:tcPr>
          <w:p w14:paraId="69C91650" w14:textId="77777777" w:rsidR="00AD68F9" w:rsidRPr="007766C5" w:rsidRDefault="00AD68F9" w:rsidP="00AD68F9">
            <w:pPr>
              <w:spacing w:before="40" w:after="40"/>
              <w:rPr>
                <w:color w:val="000000"/>
                <w:sz w:val="17"/>
                <w:szCs w:val="17"/>
              </w:rPr>
            </w:pPr>
          </w:p>
        </w:tc>
        <w:tc>
          <w:tcPr>
            <w:tcW w:w="924" w:type="dxa"/>
            <w:vAlign w:val="bottom"/>
          </w:tcPr>
          <w:p w14:paraId="6269F857" w14:textId="77777777" w:rsidR="00AD68F9" w:rsidRPr="007766C5" w:rsidRDefault="00AD68F9" w:rsidP="00AD68F9">
            <w:pPr>
              <w:spacing w:before="40" w:after="40"/>
              <w:jc w:val="right"/>
              <w:rPr>
                <w:color w:val="000000"/>
                <w:sz w:val="17"/>
                <w:szCs w:val="17"/>
              </w:rPr>
            </w:pPr>
            <w:r>
              <w:rPr>
                <w:sz w:val="17"/>
                <w:szCs w:val="17"/>
              </w:rPr>
              <w:t>51.6</w:t>
            </w:r>
          </w:p>
        </w:tc>
        <w:tc>
          <w:tcPr>
            <w:tcW w:w="242" w:type="dxa"/>
            <w:vAlign w:val="bottom"/>
          </w:tcPr>
          <w:p w14:paraId="1669166C" w14:textId="77777777" w:rsidR="00AD68F9" w:rsidRPr="007766C5" w:rsidRDefault="00AD68F9" w:rsidP="00AD68F9">
            <w:pPr>
              <w:spacing w:before="40" w:after="40"/>
              <w:rPr>
                <w:sz w:val="17"/>
                <w:szCs w:val="17"/>
              </w:rPr>
            </w:pPr>
          </w:p>
        </w:tc>
        <w:tc>
          <w:tcPr>
            <w:tcW w:w="924" w:type="dxa"/>
            <w:vAlign w:val="bottom"/>
          </w:tcPr>
          <w:p w14:paraId="588DE787" w14:textId="77777777" w:rsidR="00AD68F9" w:rsidRPr="007766C5" w:rsidRDefault="00AD68F9" w:rsidP="00AD68F9">
            <w:pPr>
              <w:spacing w:before="40" w:after="40"/>
              <w:jc w:val="right"/>
              <w:rPr>
                <w:sz w:val="17"/>
                <w:szCs w:val="17"/>
              </w:rPr>
            </w:pPr>
            <w:r>
              <w:rPr>
                <w:sz w:val="17"/>
                <w:szCs w:val="17"/>
              </w:rPr>
              <w:t>38.6</w:t>
            </w:r>
          </w:p>
        </w:tc>
        <w:tc>
          <w:tcPr>
            <w:tcW w:w="227" w:type="dxa"/>
            <w:vAlign w:val="bottom"/>
          </w:tcPr>
          <w:p w14:paraId="56F80C05" w14:textId="77777777" w:rsidR="00AD68F9" w:rsidRPr="007766C5" w:rsidRDefault="00AD68F9" w:rsidP="00AD68F9">
            <w:pPr>
              <w:spacing w:before="40" w:after="40"/>
              <w:rPr>
                <w:sz w:val="17"/>
                <w:szCs w:val="17"/>
              </w:rPr>
            </w:pPr>
          </w:p>
        </w:tc>
        <w:tc>
          <w:tcPr>
            <w:tcW w:w="939" w:type="dxa"/>
            <w:vAlign w:val="bottom"/>
          </w:tcPr>
          <w:p w14:paraId="04F1FDD4" w14:textId="77777777" w:rsidR="00AD68F9" w:rsidRPr="007766C5" w:rsidRDefault="00AD68F9" w:rsidP="00AD68F9">
            <w:pPr>
              <w:spacing w:before="40" w:after="40"/>
              <w:jc w:val="right"/>
              <w:rPr>
                <w:sz w:val="17"/>
                <w:szCs w:val="17"/>
              </w:rPr>
            </w:pPr>
            <w:r>
              <w:rPr>
                <w:sz w:val="17"/>
                <w:szCs w:val="17"/>
              </w:rPr>
              <w:t>37.5</w:t>
            </w:r>
          </w:p>
        </w:tc>
        <w:tc>
          <w:tcPr>
            <w:tcW w:w="266" w:type="dxa"/>
          </w:tcPr>
          <w:p w14:paraId="52A3519B" w14:textId="77777777" w:rsidR="00AD68F9" w:rsidRPr="000D2863" w:rsidRDefault="00AD68F9" w:rsidP="00AD68F9">
            <w:pPr>
              <w:spacing w:before="40" w:after="40"/>
              <w:rPr>
                <w:sz w:val="17"/>
                <w:szCs w:val="17"/>
              </w:rPr>
            </w:pPr>
          </w:p>
        </w:tc>
      </w:tr>
      <w:tr w:rsidR="00AD68F9" w:rsidRPr="00E834EF" w14:paraId="0B9F4D03" w14:textId="77777777" w:rsidTr="00AD68F9">
        <w:tc>
          <w:tcPr>
            <w:tcW w:w="3254" w:type="dxa"/>
          </w:tcPr>
          <w:p w14:paraId="37C86DFC" w14:textId="77777777" w:rsidR="00AD68F9" w:rsidRDefault="00AD68F9" w:rsidP="00AD68F9">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1F302814" w14:textId="77777777" w:rsidR="00AD68F9" w:rsidRPr="00E834EF" w:rsidRDefault="00AD68F9" w:rsidP="00AD68F9">
            <w:pPr>
              <w:spacing w:before="40" w:after="40"/>
              <w:rPr>
                <w:sz w:val="17"/>
                <w:szCs w:val="17"/>
              </w:rPr>
            </w:pPr>
          </w:p>
        </w:tc>
        <w:tc>
          <w:tcPr>
            <w:tcW w:w="913" w:type="dxa"/>
            <w:tcBorders>
              <w:bottom w:val="single" w:sz="4" w:space="0" w:color="auto"/>
            </w:tcBorders>
            <w:vAlign w:val="bottom"/>
          </w:tcPr>
          <w:p w14:paraId="157E3E57" w14:textId="77777777" w:rsidR="00AD68F9" w:rsidRPr="000A73F0" w:rsidRDefault="00AD68F9" w:rsidP="00AD68F9">
            <w:pPr>
              <w:spacing w:before="40" w:after="40"/>
              <w:jc w:val="right"/>
              <w:rPr>
                <w:color w:val="000000"/>
                <w:sz w:val="17"/>
                <w:szCs w:val="17"/>
              </w:rPr>
            </w:pPr>
            <w:r>
              <w:rPr>
                <w:sz w:val="17"/>
                <w:szCs w:val="17"/>
              </w:rPr>
              <w:t>(1.4</w:t>
            </w:r>
            <w:r w:rsidR="001D6812">
              <w:rPr>
                <w:sz w:val="17"/>
                <w:szCs w:val="17"/>
              </w:rPr>
              <w:t>)</w:t>
            </w:r>
          </w:p>
        </w:tc>
        <w:tc>
          <w:tcPr>
            <w:tcW w:w="252" w:type="dxa"/>
            <w:gridSpan w:val="2"/>
            <w:vAlign w:val="bottom"/>
          </w:tcPr>
          <w:p w14:paraId="272A567D" w14:textId="77777777" w:rsidR="00AD68F9" w:rsidRPr="007766C5" w:rsidRDefault="00AD68F9" w:rsidP="00AD68F9">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1E44CCCF" w14:textId="77777777" w:rsidR="00AD68F9" w:rsidRPr="007766C5" w:rsidRDefault="00AD68F9" w:rsidP="00AD68F9">
            <w:pPr>
              <w:spacing w:before="40" w:after="40"/>
              <w:jc w:val="right"/>
              <w:rPr>
                <w:color w:val="000000"/>
                <w:sz w:val="17"/>
                <w:szCs w:val="17"/>
              </w:rPr>
            </w:pPr>
            <w:r>
              <w:rPr>
                <w:sz w:val="17"/>
                <w:szCs w:val="17"/>
              </w:rPr>
              <w:t>(1.6</w:t>
            </w:r>
          </w:p>
        </w:tc>
        <w:tc>
          <w:tcPr>
            <w:tcW w:w="242" w:type="dxa"/>
            <w:vAlign w:val="bottom"/>
          </w:tcPr>
          <w:p w14:paraId="5071DB0B" w14:textId="77777777" w:rsidR="00AD68F9" w:rsidRPr="007766C5" w:rsidRDefault="00AD68F9" w:rsidP="00AD68F9">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3AED1787" w14:textId="77777777" w:rsidR="00AD68F9" w:rsidRPr="007766C5" w:rsidRDefault="00AD68F9" w:rsidP="00AD68F9">
            <w:pPr>
              <w:spacing w:before="40" w:after="40"/>
              <w:jc w:val="right"/>
              <w:rPr>
                <w:color w:val="000000"/>
                <w:sz w:val="17"/>
                <w:szCs w:val="17"/>
              </w:rPr>
            </w:pPr>
            <w:r>
              <w:rPr>
                <w:sz w:val="17"/>
                <w:szCs w:val="17"/>
              </w:rPr>
              <w:t>(0.5</w:t>
            </w:r>
          </w:p>
        </w:tc>
        <w:tc>
          <w:tcPr>
            <w:tcW w:w="242" w:type="dxa"/>
            <w:vAlign w:val="bottom"/>
          </w:tcPr>
          <w:p w14:paraId="34AC6A6A" w14:textId="77777777" w:rsidR="00AD68F9" w:rsidRPr="007766C5" w:rsidRDefault="00AD68F9" w:rsidP="00AD68F9">
            <w:pPr>
              <w:spacing w:before="40" w:after="40"/>
              <w:rPr>
                <w:sz w:val="17"/>
                <w:szCs w:val="17"/>
              </w:rPr>
            </w:pPr>
            <w:r>
              <w:rPr>
                <w:sz w:val="17"/>
                <w:szCs w:val="17"/>
              </w:rPr>
              <w:t>)</w:t>
            </w:r>
          </w:p>
        </w:tc>
        <w:tc>
          <w:tcPr>
            <w:tcW w:w="924" w:type="dxa"/>
            <w:tcBorders>
              <w:bottom w:val="single" w:sz="4" w:space="0" w:color="auto"/>
            </w:tcBorders>
            <w:vAlign w:val="bottom"/>
          </w:tcPr>
          <w:p w14:paraId="557B2C37" w14:textId="77777777" w:rsidR="00AD68F9" w:rsidRPr="007766C5" w:rsidRDefault="00AD68F9" w:rsidP="00AD68F9">
            <w:pPr>
              <w:spacing w:before="40" w:after="40"/>
              <w:jc w:val="right"/>
              <w:rPr>
                <w:sz w:val="17"/>
                <w:szCs w:val="17"/>
              </w:rPr>
            </w:pPr>
            <w:r>
              <w:rPr>
                <w:sz w:val="17"/>
                <w:szCs w:val="17"/>
              </w:rPr>
              <w:t>(0.4</w:t>
            </w:r>
          </w:p>
        </w:tc>
        <w:tc>
          <w:tcPr>
            <w:tcW w:w="227" w:type="dxa"/>
            <w:vAlign w:val="bottom"/>
          </w:tcPr>
          <w:p w14:paraId="715C0D4C" w14:textId="77777777" w:rsidR="00AD68F9" w:rsidRPr="007766C5" w:rsidRDefault="00AD68F9" w:rsidP="00AD68F9">
            <w:pPr>
              <w:spacing w:before="40" w:after="40"/>
              <w:rPr>
                <w:sz w:val="17"/>
                <w:szCs w:val="17"/>
              </w:rPr>
            </w:pPr>
          </w:p>
        </w:tc>
        <w:tc>
          <w:tcPr>
            <w:tcW w:w="939" w:type="dxa"/>
            <w:tcBorders>
              <w:bottom w:val="single" w:sz="4" w:space="0" w:color="auto"/>
            </w:tcBorders>
            <w:vAlign w:val="bottom"/>
          </w:tcPr>
          <w:p w14:paraId="73771C36" w14:textId="77777777" w:rsidR="00AD68F9" w:rsidRPr="007766C5" w:rsidRDefault="00AD68F9" w:rsidP="00AD68F9">
            <w:pPr>
              <w:spacing w:before="40" w:after="40"/>
              <w:jc w:val="right"/>
              <w:rPr>
                <w:sz w:val="17"/>
                <w:szCs w:val="17"/>
              </w:rPr>
            </w:pPr>
            <w:r w:rsidRPr="00DB3F11">
              <w:rPr>
                <w:sz w:val="16"/>
                <w:szCs w:val="16"/>
              </w:rPr>
              <w:t>—</w:t>
            </w:r>
          </w:p>
        </w:tc>
        <w:tc>
          <w:tcPr>
            <w:tcW w:w="266" w:type="dxa"/>
            <w:vAlign w:val="bottom"/>
          </w:tcPr>
          <w:p w14:paraId="3B822A58" w14:textId="77777777" w:rsidR="00AD68F9" w:rsidRPr="007766C5" w:rsidRDefault="00AD68F9" w:rsidP="00AD68F9">
            <w:pPr>
              <w:spacing w:before="40" w:after="40"/>
              <w:rPr>
                <w:sz w:val="17"/>
                <w:szCs w:val="17"/>
              </w:rPr>
            </w:pPr>
          </w:p>
        </w:tc>
      </w:tr>
      <w:tr w:rsidR="00AD68F9" w:rsidRPr="00E834EF" w14:paraId="5889FAB4" w14:textId="77777777" w:rsidTr="00AD68F9">
        <w:tc>
          <w:tcPr>
            <w:tcW w:w="3254" w:type="dxa"/>
          </w:tcPr>
          <w:p w14:paraId="795A13CC" w14:textId="77777777" w:rsidR="00AD68F9" w:rsidRDefault="00AD68F9" w:rsidP="00AD68F9">
            <w:pPr>
              <w:tabs>
                <w:tab w:val="right" w:leader="dot" w:pos="3255"/>
              </w:tabs>
              <w:bidi/>
              <w:spacing w:before="40" w:after="40"/>
              <w:rPr>
                <w:b/>
                <w:bCs/>
                <w:sz w:val="17"/>
                <w:szCs w:val="17"/>
                <w:u w:val="single"/>
              </w:rPr>
            </w:pPr>
            <w:r w:rsidRPr="002A4B5D">
              <w:rPr>
                <w:rFonts w:hint="cs"/>
                <w:b/>
                <w:bCs/>
                <w:sz w:val="17"/>
                <w:szCs w:val="17"/>
                <w:u w:val="single"/>
                <w:rtl/>
              </w:rPr>
              <w:t xml:space="preserve">إيرادات مكافئ تأجير السفن المجهزة بالمدة </w:t>
            </w:r>
            <w:r>
              <w:rPr>
                <w:rFonts w:hint="cs"/>
                <w:b/>
                <w:bCs/>
                <w:sz w:val="17"/>
                <w:szCs w:val="17"/>
                <w:u w:val="single"/>
                <w:rtl/>
              </w:rPr>
              <w:t>ل</w:t>
            </w:r>
            <w:r w:rsidR="00607B02">
              <w:rPr>
                <w:rFonts w:hint="cs"/>
                <w:b/>
                <w:bCs/>
                <w:sz w:val="17"/>
                <w:szCs w:val="17"/>
                <w:u w:val="single"/>
                <w:rtl/>
              </w:rPr>
              <w:t>نقل</w:t>
            </w:r>
            <w:r>
              <w:rPr>
                <w:rFonts w:hint="cs"/>
                <w:b/>
                <w:bCs/>
                <w:sz w:val="17"/>
                <w:szCs w:val="17"/>
                <w:u w:val="single"/>
                <w:rtl/>
              </w:rPr>
              <w:t xml:space="preserve"> الغاز</w:t>
            </w:r>
            <w:r w:rsidRPr="007D2480">
              <w:rPr>
                <w:sz w:val="17"/>
              </w:rPr>
              <w:tab/>
            </w:r>
          </w:p>
        </w:tc>
        <w:tc>
          <w:tcPr>
            <w:tcW w:w="242" w:type="dxa"/>
            <w:vAlign w:val="bottom"/>
          </w:tcPr>
          <w:p w14:paraId="0FB683A8" w14:textId="77777777" w:rsidR="00AD68F9" w:rsidRPr="00E834EF" w:rsidRDefault="00AD68F9" w:rsidP="00AD68F9">
            <w:pPr>
              <w:spacing w:before="40" w:after="40"/>
              <w:rPr>
                <w:sz w:val="17"/>
                <w:szCs w:val="17"/>
              </w:rPr>
            </w:pPr>
          </w:p>
        </w:tc>
        <w:tc>
          <w:tcPr>
            <w:tcW w:w="913" w:type="dxa"/>
            <w:tcBorders>
              <w:top w:val="single" w:sz="4" w:space="0" w:color="auto"/>
            </w:tcBorders>
          </w:tcPr>
          <w:p w14:paraId="67E571F6" w14:textId="77777777" w:rsidR="00AD68F9" w:rsidRPr="002163D4" w:rsidRDefault="00AD68F9" w:rsidP="00AD68F9">
            <w:pPr>
              <w:spacing w:before="40" w:after="40"/>
              <w:jc w:val="right"/>
              <w:rPr>
                <w:b/>
                <w:bCs/>
                <w:color w:val="000000"/>
                <w:sz w:val="16"/>
                <w:szCs w:val="16"/>
              </w:rPr>
            </w:pPr>
            <w:r w:rsidRPr="002163D4">
              <w:rPr>
                <w:sz w:val="16"/>
                <w:szCs w:val="16"/>
              </w:rPr>
              <w:t>36.9</w:t>
            </w:r>
          </w:p>
        </w:tc>
        <w:tc>
          <w:tcPr>
            <w:tcW w:w="252" w:type="dxa"/>
            <w:gridSpan w:val="2"/>
            <w:vAlign w:val="bottom"/>
          </w:tcPr>
          <w:p w14:paraId="6851D177"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25DDC009" w14:textId="77777777" w:rsidR="00AD68F9" w:rsidRPr="002163D4" w:rsidRDefault="00AD68F9" w:rsidP="00AD68F9">
            <w:pPr>
              <w:spacing w:before="40" w:after="40"/>
              <w:jc w:val="right"/>
              <w:rPr>
                <w:b/>
                <w:bCs/>
                <w:color w:val="000000"/>
                <w:sz w:val="16"/>
                <w:szCs w:val="16"/>
              </w:rPr>
            </w:pPr>
            <w:r w:rsidRPr="002163D4">
              <w:rPr>
                <w:sz w:val="16"/>
                <w:szCs w:val="16"/>
              </w:rPr>
              <w:t>42.4</w:t>
            </w:r>
          </w:p>
        </w:tc>
        <w:tc>
          <w:tcPr>
            <w:tcW w:w="242" w:type="dxa"/>
            <w:vAlign w:val="bottom"/>
          </w:tcPr>
          <w:p w14:paraId="471CF222"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3C81EC87" w14:textId="77777777" w:rsidR="00AD68F9" w:rsidRPr="002163D4" w:rsidRDefault="00AD68F9" w:rsidP="00AD68F9">
            <w:pPr>
              <w:spacing w:before="40" w:after="40"/>
              <w:jc w:val="right"/>
              <w:rPr>
                <w:b/>
                <w:bCs/>
                <w:color w:val="000000"/>
                <w:sz w:val="16"/>
                <w:szCs w:val="16"/>
              </w:rPr>
            </w:pPr>
            <w:r w:rsidRPr="002163D4">
              <w:rPr>
                <w:sz w:val="16"/>
                <w:szCs w:val="16"/>
              </w:rPr>
              <w:t>51.1</w:t>
            </w:r>
          </w:p>
        </w:tc>
        <w:tc>
          <w:tcPr>
            <w:tcW w:w="242" w:type="dxa"/>
            <w:vAlign w:val="bottom"/>
          </w:tcPr>
          <w:p w14:paraId="5F5BB947" w14:textId="77777777" w:rsidR="00AD68F9" w:rsidRPr="002163D4" w:rsidRDefault="00AD68F9" w:rsidP="00AD68F9">
            <w:pPr>
              <w:spacing w:before="40" w:after="40"/>
              <w:rPr>
                <w:b/>
                <w:bCs/>
                <w:sz w:val="16"/>
                <w:szCs w:val="16"/>
              </w:rPr>
            </w:pPr>
          </w:p>
        </w:tc>
        <w:tc>
          <w:tcPr>
            <w:tcW w:w="924" w:type="dxa"/>
            <w:tcBorders>
              <w:top w:val="single" w:sz="4" w:space="0" w:color="auto"/>
            </w:tcBorders>
          </w:tcPr>
          <w:p w14:paraId="5CDFC882" w14:textId="77777777" w:rsidR="00AD68F9" w:rsidRPr="002163D4" w:rsidRDefault="00AD68F9" w:rsidP="00AD68F9">
            <w:pPr>
              <w:spacing w:before="40" w:after="40"/>
              <w:jc w:val="right"/>
              <w:rPr>
                <w:b/>
                <w:bCs/>
                <w:sz w:val="16"/>
                <w:szCs w:val="16"/>
              </w:rPr>
            </w:pPr>
            <w:r w:rsidRPr="002163D4">
              <w:rPr>
                <w:sz w:val="16"/>
                <w:szCs w:val="16"/>
              </w:rPr>
              <w:t>38.2</w:t>
            </w:r>
          </w:p>
        </w:tc>
        <w:tc>
          <w:tcPr>
            <w:tcW w:w="227" w:type="dxa"/>
            <w:vAlign w:val="bottom"/>
          </w:tcPr>
          <w:p w14:paraId="101C1CC3" w14:textId="77777777" w:rsidR="00AD68F9" w:rsidRPr="002163D4" w:rsidRDefault="00AD68F9" w:rsidP="00AD68F9">
            <w:pPr>
              <w:spacing w:before="40" w:after="40"/>
              <w:rPr>
                <w:b/>
                <w:bCs/>
                <w:sz w:val="16"/>
                <w:szCs w:val="16"/>
              </w:rPr>
            </w:pPr>
          </w:p>
        </w:tc>
        <w:tc>
          <w:tcPr>
            <w:tcW w:w="939" w:type="dxa"/>
            <w:tcBorders>
              <w:top w:val="single" w:sz="4" w:space="0" w:color="auto"/>
            </w:tcBorders>
          </w:tcPr>
          <w:p w14:paraId="21883025" w14:textId="77777777" w:rsidR="00AD68F9" w:rsidRPr="002163D4" w:rsidRDefault="00AD68F9" w:rsidP="00AD68F9">
            <w:pPr>
              <w:spacing w:before="40" w:after="40"/>
              <w:jc w:val="right"/>
              <w:rPr>
                <w:b/>
                <w:bCs/>
                <w:sz w:val="16"/>
                <w:szCs w:val="16"/>
              </w:rPr>
            </w:pPr>
            <w:r w:rsidRPr="002163D4">
              <w:rPr>
                <w:sz w:val="16"/>
                <w:szCs w:val="16"/>
              </w:rPr>
              <w:t>37.5</w:t>
            </w:r>
          </w:p>
        </w:tc>
        <w:tc>
          <w:tcPr>
            <w:tcW w:w="266" w:type="dxa"/>
          </w:tcPr>
          <w:p w14:paraId="00ABC3FA" w14:textId="77777777" w:rsidR="00AD68F9" w:rsidRPr="000D2863" w:rsidRDefault="00AD68F9" w:rsidP="00AD68F9">
            <w:pPr>
              <w:spacing w:before="40" w:after="40"/>
              <w:rPr>
                <w:b/>
                <w:bCs/>
                <w:sz w:val="17"/>
                <w:szCs w:val="17"/>
              </w:rPr>
            </w:pPr>
          </w:p>
        </w:tc>
      </w:tr>
      <w:tr w:rsidR="00AD68F9" w:rsidRPr="00E834EF" w14:paraId="58FD9D15" w14:textId="77777777" w:rsidTr="00AD68F9">
        <w:tc>
          <w:tcPr>
            <w:tcW w:w="3254" w:type="dxa"/>
          </w:tcPr>
          <w:p w14:paraId="40639DAA" w14:textId="77777777" w:rsidR="00AD68F9" w:rsidRDefault="00AD68F9" w:rsidP="00AD68F9">
            <w:pPr>
              <w:tabs>
                <w:tab w:val="right" w:leader="dot" w:pos="3255"/>
              </w:tabs>
              <w:bidi/>
              <w:spacing w:before="40" w:after="40"/>
              <w:rPr>
                <w:b/>
                <w:bCs/>
                <w:sz w:val="17"/>
                <w:szCs w:val="17"/>
                <w:u w:val="single"/>
              </w:rPr>
            </w:pPr>
          </w:p>
        </w:tc>
        <w:tc>
          <w:tcPr>
            <w:tcW w:w="242" w:type="dxa"/>
            <w:vAlign w:val="bottom"/>
          </w:tcPr>
          <w:p w14:paraId="48A452A2" w14:textId="77777777" w:rsidR="00AD68F9" w:rsidRPr="00E834EF" w:rsidRDefault="00AD68F9" w:rsidP="00AD68F9">
            <w:pPr>
              <w:spacing w:before="40" w:after="40"/>
              <w:rPr>
                <w:sz w:val="17"/>
                <w:szCs w:val="17"/>
              </w:rPr>
            </w:pPr>
          </w:p>
        </w:tc>
        <w:tc>
          <w:tcPr>
            <w:tcW w:w="913" w:type="dxa"/>
            <w:vAlign w:val="bottom"/>
          </w:tcPr>
          <w:p w14:paraId="6302DC74" w14:textId="77777777" w:rsidR="00AD68F9" w:rsidRPr="007766C5" w:rsidRDefault="00AD68F9" w:rsidP="00AD68F9">
            <w:pPr>
              <w:spacing w:before="40" w:after="40"/>
              <w:jc w:val="right"/>
              <w:rPr>
                <w:b/>
                <w:bCs/>
                <w:sz w:val="17"/>
                <w:szCs w:val="17"/>
              </w:rPr>
            </w:pPr>
          </w:p>
        </w:tc>
        <w:tc>
          <w:tcPr>
            <w:tcW w:w="252" w:type="dxa"/>
            <w:gridSpan w:val="2"/>
            <w:vAlign w:val="bottom"/>
          </w:tcPr>
          <w:p w14:paraId="7FD0328A" w14:textId="77777777" w:rsidR="00AD68F9" w:rsidRPr="007766C5" w:rsidRDefault="00AD68F9" w:rsidP="00AD68F9">
            <w:pPr>
              <w:spacing w:before="40" w:after="40"/>
              <w:rPr>
                <w:b/>
                <w:bCs/>
                <w:color w:val="000000"/>
                <w:sz w:val="17"/>
                <w:szCs w:val="17"/>
              </w:rPr>
            </w:pPr>
          </w:p>
        </w:tc>
        <w:tc>
          <w:tcPr>
            <w:tcW w:w="924" w:type="dxa"/>
            <w:vAlign w:val="bottom"/>
          </w:tcPr>
          <w:p w14:paraId="712FE79E" w14:textId="77777777" w:rsidR="00AD68F9" w:rsidRPr="007766C5" w:rsidRDefault="00AD68F9" w:rsidP="00AD68F9">
            <w:pPr>
              <w:spacing w:before="40" w:after="40"/>
              <w:jc w:val="right"/>
              <w:rPr>
                <w:b/>
                <w:bCs/>
                <w:sz w:val="17"/>
                <w:szCs w:val="17"/>
              </w:rPr>
            </w:pPr>
          </w:p>
        </w:tc>
        <w:tc>
          <w:tcPr>
            <w:tcW w:w="242" w:type="dxa"/>
            <w:vAlign w:val="bottom"/>
          </w:tcPr>
          <w:p w14:paraId="55D5929B" w14:textId="77777777" w:rsidR="00AD68F9" w:rsidRPr="007766C5" w:rsidRDefault="00AD68F9" w:rsidP="00AD68F9">
            <w:pPr>
              <w:spacing w:before="40" w:after="40"/>
              <w:rPr>
                <w:b/>
                <w:bCs/>
                <w:color w:val="000000"/>
                <w:sz w:val="17"/>
                <w:szCs w:val="17"/>
              </w:rPr>
            </w:pPr>
          </w:p>
        </w:tc>
        <w:tc>
          <w:tcPr>
            <w:tcW w:w="924" w:type="dxa"/>
            <w:vAlign w:val="bottom"/>
          </w:tcPr>
          <w:p w14:paraId="7D662809" w14:textId="77777777" w:rsidR="00AD68F9" w:rsidRPr="007766C5" w:rsidRDefault="00AD68F9" w:rsidP="00AD68F9">
            <w:pPr>
              <w:spacing w:before="40" w:after="40"/>
              <w:jc w:val="right"/>
              <w:rPr>
                <w:b/>
                <w:bCs/>
                <w:sz w:val="17"/>
                <w:szCs w:val="17"/>
              </w:rPr>
            </w:pPr>
          </w:p>
        </w:tc>
        <w:tc>
          <w:tcPr>
            <w:tcW w:w="242" w:type="dxa"/>
            <w:vAlign w:val="bottom"/>
          </w:tcPr>
          <w:p w14:paraId="531AD868" w14:textId="77777777" w:rsidR="00AD68F9" w:rsidRPr="007766C5" w:rsidRDefault="00AD68F9" w:rsidP="00AD68F9">
            <w:pPr>
              <w:spacing w:before="40" w:after="40"/>
              <w:rPr>
                <w:b/>
                <w:bCs/>
                <w:sz w:val="17"/>
                <w:szCs w:val="17"/>
              </w:rPr>
            </w:pPr>
          </w:p>
        </w:tc>
        <w:tc>
          <w:tcPr>
            <w:tcW w:w="924" w:type="dxa"/>
            <w:vAlign w:val="bottom"/>
          </w:tcPr>
          <w:p w14:paraId="47ECE06D" w14:textId="77777777" w:rsidR="00AD68F9" w:rsidRPr="007766C5" w:rsidRDefault="00AD68F9" w:rsidP="00AD68F9">
            <w:pPr>
              <w:spacing w:before="40" w:after="40"/>
              <w:jc w:val="right"/>
              <w:rPr>
                <w:b/>
                <w:bCs/>
                <w:sz w:val="17"/>
                <w:szCs w:val="17"/>
              </w:rPr>
            </w:pPr>
          </w:p>
        </w:tc>
        <w:tc>
          <w:tcPr>
            <w:tcW w:w="227" w:type="dxa"/>
            <w:vAlign w:val="bottom"/>
          </w:tcPr>
          <w:p w14:paraId="656A9CD9" w14:textId="77777777" w:rsidR="00AD68F9" w:rsidRPr="007766C5" w:rsidRDefault="00AD68F9" w:rsidP="00AD68F9">
            <w:pPr>
              <w:spacing w:before="40" w:after="40"/>
              <w:rPr>
                <w:b/>
                <w:bCs/>
                <w:sz w:val="17"/>
                <w:szCs w:val="17"/>
              </w:rPr>
            </w:pPr>
          </w:p>
        </w:tc>
        <w:tc>
          <w:tcPr>
            <w:tcW w:w="939" w:type="dxa"/>
            <w:vAlign w:val="bottom"/>
          </w:tcPr>
          <w:p w14:paraId="46101636" w14:textId="77777777" w:rsidR="00AD68F9" w:rsidRPr="007766C5" w:rsidRDefault="00AD68F9" w:rsidP="00AD68F9">
            <w:pPr>
              <w:spacing w:before="40" w:after="40"/>
              <w:jc w:val="right"/>
              <w:rPr>
                <w:b/>
                <w:bCs/>
                <w:sz w:val="17"/>
                <w:szCs w:val="17"/>
              </w:rPr>
            </w:pPr>
          </w:p>
        </w:tc>
        <w:tc>
          <w:tcPr>
            <w:tcW w:w="266" w:type="dxa"/>
          </w:tcPr>
          <w:p w14:paraId="7230E63D" w14:textId="77777777" w:rsidR="00AD68F9" w:rsidRPr="000D2863" w:rsidRDefault="00AD68F9" w:rsidP="00AD68F9">
            <w:pPr>
              <w:spacing w:before="40" w:after="40"/>
              <w:rPr>
                <w:b/>
                <w:bCs/>
                <w:sz w:val="17"/>
                <w:szCs w:val="17"/>
              </w:rPr>
            </w:pPr>
          </w:p>
        </w:tc>
      </w:tr>
      <w:tr w:rsidR="00AD68F9" w:rsidRPr="00E834EF" w14:paraId="7C6B762E" w14:textId="77777777" w:rsidTr="00AD6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bottom"/>
          </w:tcPr>
          <w:p w14:paraId="14801043" w14:textId="77777777" w:rsidR="00AD68F9" w:rsidRDefault="00AD68F9" w:rsidP="00AD68F9">
            <w:pPr>
              <w:tabs>
                <w:tab w:val="right" w:leader="dot" w:pos="3255"/>
              </w:tabs>
              <w:bidi/>
              <w:spacing w:before="40" w:after="40"/>
              <w:ind w:left="12"/>
              <w:rPr>
                <w:b/>
                <w:bCs/>
                <w:color w:val="000000"/>
                <w:sz w:val="17"/>
                <w:szCs w:val="17"/>
              </w:rPr>
            </w:pPr>
            <w:r>
              <w:rPr>
                <w:rFonts w:hint="cs"/>
                <w:b/>
                <w:bCs/>
                <w:color w:val="000000"/>
                <w:sz w:val="17"/>
                <w:szCs w:val="17"/>
                <w:rtl/>
              </w:rPr>
              <w:t xml:space="preserve">إجمالي أرباح </w:t>
            </w:r>
            <w:r w:rsidR="00607B02">
              <w:rPr>
                <w:rFonts w:hint="cs"/>
                <w:b/>
                <w:bCs/>
                <w:color w:val="000000"/>
                <w:sz w:val="17"/>
                <w:szCs w:val="17"/>
                <w:rtl/>
              </w:rPr>
              <w:t>نقل</w:t>
            </w:r>
            <w:r>
              <w:rPr>
                <w:rFonts w:hint="cs"/>
                <w:b/>
                <w:bCs/>
                <w:color w:val="000000"/>
                <w:sz w:val="17"/>
                <w:szCs w:val="17"/>
                <w:rtl/>
              </w:rPr>
              <w:t xml:space="preserve"> الغاز</w:t>
            </w:r>
            <w:r w:rsidRPr="0054596C">
              <w:rPr>
                <w:sz w:val="17"/>
              </w:rPr>
              <w:tab/>
            </w:r>
          </w:p>
        </w:tc>
        <w:tc>
          <w:tcPr>
            <w:tcW w:w="242" w:type="dxa"/>
            <w:tcBorders>
              <w:top w:val="nil"/>
              <w:left w:val="nil"/>
              <w:bottom w:val="nil"/>
              <w:right w:val="nil"/>
            </w:tcBorders>
            <w:vAlign w:val="bottom"/>
          </w:tcPr>
          <w:p w14:paraId="0FFCA7D2" w14:textId="77777777" w:rsidR="00AD68F9" w:rsidRPr="00E834EF" w:rsidRDefault="00AD68F9" w:rsidP="00AD68F9">
            <w:pPr>
              <w:spacing w:before="40" w:after="40"/>
              <w:rPr>
                <w:sz w:val="17"/>
                <w:szCs w:val="17"/>
              </w:rPr>
            </w:pPr>
          </w:p>
        </w:tc>
        <w:tc>
          <w:tcPr>
            <w:tcW w:w="913" w:type="dxa"/>
            <w:tcBorders>
              <w:top w:val="nil"/>
              <w:left w:val="nil"/>
              <w:bottom w:val="nil"/>
              <w:right w:val="nil"/>
            </w:tcBorders>
            <w:vAlign w:val="bottom"/>
          </w:tcPr>
          <w:p w14:paraId="6ABECFB8" w14:textId="77777777" w:rsidR="00AD68F9" w:rsidRPr="007766C5" w:rsidRDefault="00AD68F9" w:rsidP="00AD68F9">
            <w:pPr>
              <w:spacing w:before="40" w:after="40"/>
              <w:jc w:val="right"/>
              <w:rPr>
                <w:color w:val="000000"/>
                <w:sz w:val="17"/>
                <w:szCs w:val="17"/>
              </w:rPr>
            </w:pPr>
            <w:r>
              <w:rPr>
                <w:sz w:val="17"/>
                <w:szCs w:val="17"/>
              </w:rPr>
              <w:t>17.4</w:t>
            </w:r>
          </w:p>
        </w:tc>
        <w:tc>
          <w:tcPr>
            <w:tcW w:w="252" w:type="dxa"/>
            <w:gridSpan w:val="2"/>
            <w:tcBorders>
              <w:top w:val="nil"/>
              <w:left w:val="nil"/>
              <w:bottom w:val="nil"/>
              <w:right w:val="nil"/>
            </w:tcBorders>
            <w:vAlign w:val="bottom"/>
          </w:tcPr>
          <w:p w14:paraId="3533BB08" w14:textId="77777777" w:rsidR="00AD68F9" w:rsidRPr="007766C5"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1C9AFF0B" w14:textId="77777777" w:rsidR="00AD68F9" w:rsidRPr="007766C5" w:rsidRDefault="00AD68F9" w:rsidP="00AD68F9">
            <w:pPr>
              <w:spacing w:before="40" w:after="40"/>
              <w:jc w:val="right"/>
              <w:rPr>
                <w:color w:val="000000"/>
                <w:sz w:val="17"/>
                <w:szCs w:val="17"/>
              </w:rPr>
            </w:pPr>
            <w:r>
              <w:rPr>
                <w:sz w:val="17"/>
                <w:szCs w:val="17"/>
              </w:rPr>
              <w:t>21.2</w:t>
            </w:r>
          </w:p>
        </w:tc>
        <w:tc>
          <w:tcPr>
            <w:tcW w:w="242" w:type="dxa"/>
            <w:tcBorders>
              <w:top w:val="nil"/>
              <w:left w:val="nil"/>
              <w:bottom w:val="nil"/>
              <w:right w:val="nil"/>
            </w:tcBorders>
            <w:vAlign w:val="bottom"/>
          </w:tcPr>
          <w:p w14:paraId="01371A5F" w14:textId="77777777" w:rsidR="00AD68F9" w:rsidRPr="007766C5"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39FB6C07" w14:textId="77777777" w:rsidR="00AD68F9" w:rsidRPr="007766C5" w:rsidRDefault="00AD68F9" w:rsidP="00AD68F9">
            <w:pPr>
              <w:spacing w:before="40" w:after="40"/>
              <w:jc w:val="right"/>
              <w:rPr>
                <w:color w:val="000000"/>
                <w:sz w:val="17"/>
                <w:szCs w:val="17"/>
              </w:rPr>
            </w:pPr>
            <w:r>
              <w:rPr>
                <w:sz w:val="17"/>
                <w:szCs w:val="17"/>
              </w:rPr>
              <w:t>26.8</w:t>
            </w:r>
          </w:p>
        </w:tc>
        <w:tc>
          <w:tcPr>
            <w:tcW w:w="242" w:type="dxa"/>
            <w:tcBorders>
              <w:top w:val="nil"/>
              <w:left w:val="nil"/>
              <w:bottom w:val="nil"/>
              <w:right w:val="nil"/>
            </w:tcBorders>
            <w:vAlign w:val="bottom"/>
          </w:tcPr>
          <w:p w14:paraId="7D6C2740" w14:textId="77777777" w:rsidR="00AD68F9" w:rsidRPr="007766C5" w:rsidRDefault="00AD68F9" w:rsidP="00AD68F9">
            <w:pPr>
              <w:spacing w:before="40" w:after="40"/>
              <w:rPr>
                <w:sz w:val="17"/>
                <w:szCs w:val="17"/>
              </w:rPr>
            </w:pPr>
          </w:p>
        </w:tc>
        <w:tc>
          <w:tcPr>
            <w:tcW w:w="924" w:type="dxa"/>
            <w:tcBorders>
              <w:top w:val="nil"/>
              <w:left w:val="nil"/>
              <w:bottom w:val="nil"/>
              <w:right w:val="nil"/>
            </w:tcBorders>
            <w:vAlign w:val="bottom"/>
          </w:tcPr>
          <w:p w14:paraId="392ABE55" w14:textId="77777777" w:rsidR="00AD68F9" w:rsidRPr="007766C5" w:rsidRDefault="00AD68F9" w:rsidP="00AD68F9">
            <w:pPr>
              <w:spacing w:before="40" w:after="40"/>
              <w:jc w:val="right"/>
              <w:rPr>
                <w:sz w:val="17"/>
                <w:szCs w:val="17"/>
              </w:rPr>
            </w:pPr>
            <w:r>
              <w:rPr>
                <w:sz w:val="17"/>
                <w:szCs w:val="17"/>
              </w:rPr>
              <w:t>20.1</w:t>
            </w:r>
          </w:p>
        </w:tc>
        <w:tc>
          <w:tcPr>
            <w:tcW w:w="227" w:type="dxa"/>
            <w:tcBorders>
              <w:top w:val="nil"/>
              <w:left w:val="nil"/>
              <w:bottom w:val="nil"/>
              <w:right w:val="nil"/>
            </w:tcBorders>
            <w:vAlign w:val="bottom"/>
          </w:tcPr>
          <w:p w14:paraId="37D494ED" w14:textId="77777777" w:rsidR="00AD68F9" w:rsidRPr="007766C5" w:rsidRDefault="00AD68F9" w:rsidP="00AD68F9">
            <w:pPr>
              <w:spacing w:before="40" w:after="40"/>
              <w:rPr>
                <w:sz w:val="17"/>
                <w:szCs w:val="17"/>
              </w:rPr>
            </w:pPr>
          </w:p>
        </w:tc>
        <w:tc>
          <w:tcPr>
            <w:tcW w:w="939" w:type="dxa"/>
            <w:tcBorders>
              <w:top w:val="nil"/>
              <w:left w:val="nil"/>
              <w:bottom w:val="nil"/>
              <w:right w:val="nil"/>
            </w:tcBorders>
            <w:vAlign w:val="bottom"/>
          </w:tcPr>
          <w:p w14:paraId="71621DF6" w14:textId="77777777" w:rsidR="00AD68F9" w:rsidRPr="007766C5" w:rsidRDefault="00AD68F9" w:rsidP="00AD68F9">
            <w:pPr>
              <w:spacing w:before="40" w:after="40"/>
              <w:jc w:val="right"/>
              <w:rPr>
                <w:sz w:val="17"/>
                <w:szCs w:val="17"/>
              </w:rPr>
            </w:pPr>
            <w:r>
              <w:rPr>
                <w:sz w:val="17"/>
                <w:szCs w:val="17"/>
              </w:rPr>
              <w:t>18.7</w:t>
            </w:r>
          </w:p>
        </w:tc>
        <w:tc>
          <w:tcPr>
            <w:tcW w:w="266" w:type="dxa"/>
            <w:tcBorders>
              <w:top w:val="nil"/>
              <w:left w:val="nil"/>
              <w:bottom w:val="nil"/>
              <w:right w:val="nil"/>
            </w:tcBorders>
            <w:vAlign w:val="bottom"/>
          </w:tcPr>
          <w:p w14:paraId="5C246CB6" w14:textId="77777777" w:rsidR="00AD68F9" w:rsidRPr="000D2863" w:rsidRDefault="00AD68F9" w:rsidP="00AD68F9">
            <w:pPr>
              <w:spacing w:before="40" w:after="40"/>
              <w:rPr>
                <w:sz w:val="17"/>
                <w:szCs w:val="17"/>
              </w:rPr>
            </w:pPr>
          </w:p>
        </w:tc>
      </w:tr>
      <w:tr w:rsidR="00AD68F9" w:rsidRPr="00E834EF" w14:paraId="38B484FA" w14:textId="77777777" w:rsidTr="00AD68F9">
        <w:tc>
          <w:tcPr>
            <w:tcW w:w="3254" w:type="dxa"/>
            <w:vAlign w:val="bottom"/>
          </w:tcPr>
          <w:p w14:paraId="41A1AA69" w14:textId="77777777" w:rsidR="00AD68F9" w:rsidRPr="00E754AA" w:rsidRDefault="00AD68F9" w:rsidP="00AD68F9">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721366F7" w14:textId="77777777" w:rsidR="00AD68F9" w:rsidRPr="00E754AA" w:rsidRDefault="00AD68F9" w:rsidP="00AD68F9">
            <w:pPr>
              <w:spacing w:before="40" w:after="40"/>
              <w:rPr>
                <w:sz w:val="17"/>
                <w:szCs w:val="17"/>
              </w:rPr>
            </w:pPr>
          </w:p>
        </w:tc>
        <w:tc>
          <w:tcPr>
            <w:tcW w:w="913" w:type="dxa"/>
            <w:vAlign w:val="bottom"/>
          </w:tcPr>
          <w:p w14:paraId="6D62165A"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67006803" w14:textId="77777777" w:rsidR="00AD68F9" w:rsidRPr="00E754AA" w:rsidRDefault="00AD68F9" w:rsidP="00AD68F9">
            <w:pPr>
              <w:spacing w:before="40" w:after="40"/>
              <w:rPr>
                <w:color w:val="000000"/>
                <w:sz w:val="17"/>
                <w:szCs w:val="17"/>
              </w:rPr>
            </w:pPr>
          </w:p>
        </w:tc>
        <w:tc>
          <w:tcPr>
            <w:tcW w:w="924" w:type="dxa"/>
            <w:vAlign w:val="bottom"/>
          </w:tcPr>
          <w:p w14:paraId="15A33BE5"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323D7CE2" w14:textId="77777777" w:rsidR="00AD68F9" w:rsidRPr="00E754AA" w:rsidRDefault="00AD68F9" w:rsidP="00AD68F9">
            <w:pPr>
              <w:spacing w:before="40" w:after="40"/>
              <w:rPr>
                <w:color w:val="000000"/>
                <w:sz w:val="17"/>
                <w:szCs w:val="17"/>
              </w:rPr>
            </w:pPr>
          </w:p>
        </w:tc>
        <w:tc>
          <w:tcPr>
            <w:tcW w:w="924" w:type="dxa"/>
            <w:vAlign w:val="bottom"/>
          </w:tcPr>
          <w:p w14:paraId="7BECC8E2"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45E37DB0" w14:textId="77777777" w:rsidR="00AD68F9" w:rsidRPr="00E754AA" w:rsidRDefault="00AD68F9" w:rsidP="00AD68F9">
            <w:pPr>
              <w:spacing w:before="40" w:after="40"/>
              <w:rPr>
                <w:sz w:val="17"/>
                <w:szCs w:val="17"/>
              </w:rPr>
            </w:pPr>
          </w:p>
        </w:tc>
        <w:tc>
          <w:tcPr>
            <w:tcW w:w="924" w:type="dxa"/>
            <w:vAlign w:val="bottom"/>
          </w:tcPr>
          <w:p w14:paraId="43599EE1"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603104B0" w14:textId="77777777" w:rsidR="00AD68F9" w:rsidRPr="00E754AA" w:rsidRDefault="00AD68F9" w:rsidP="00AD68F9">
            <w:pPr>
              <w:spacing w:before="40" w:after="40"/>
              <w:rPr>
                <w:sz w:val="17"/>
                <w:szCs w:val="17"/>
              </w:rPr>
            </w:pPr>
          </w:p>
        </w:tc>
        <w:tc>
          <w:tcPr>
            <w:tcW w:w="939" w:type="dxa"/>
            <w:vAlign w:val="bottom"/>
          </w:tcPr>
          <w:p w14:paraId="538DC3CE"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009D96F2" w14:textId="77777777" w:rsidR="00AD68F9" w:rsidRPr="000D2863" w:rsidRDefault="00AD68F9" w:rsidP="00AD68F9">
            <w:pPr>
              <w:spacing w:before="40" w:after="40"/>
              <w:rPr>
                <w:sz w:val="17"/>
                <w:szCs w:val="17"/>
              </w:rPr>
            </w:pPr>
          </w:p>
        </w:tc>
      </w:tr>
      <w:tr w:rsidR="00AD68F9" w:rsidRPr="00E834EF" w14:paraId="40232CFB" w14:textId="77777777" w:rsidTr="00AD6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center"/>
          </w:tcPr>
          <w:p w14:paraId="005E341B" w14:textId="77777777" w:rsidR="00AD68F9" w:rsidRPr="00E754AA" w:rsidRDefault="008D70E0" w:rsidP="00AD68F9">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AD68F9" w:rsidRPr="0054596C">
              <w:rPr>
                <w:sz w:val="17"/>
              </w:rPr>
              <w:tab/>
            </w:r>
          </w:p>
        </w:tc>
        <w:tc>
          <w:tcPr>
            <w:tcW w:w="242" w:type="dxa"/>
            <w:tcBorders>
              <w:top w:val="nil"/>
              <w:left w:val="nil"/>
              <w:bottom w:val="nil"/>
              <w:right w:val="nil"/>
            </w:tcBorders>
            <w:vAlign w:val="bottom"/>
          </w:tcPr>
          <w:p w14:paraId="3901A11D" w14:textId="77777777" w:rsidR="00AD68F9" w:rsidRPr="00E834EF" w:rsidRDefault="00AD68F9" w:rsidP="00AD68F9">
            <w:pPr>
              <w:spacing w:before="40" w:after="40"/>
              <w:rPr>
                <w:sz w:val="17"/>
                <w:szCs w:val="17"/>
              </w:rPr>
            </w:pPr>
          </w:p>
        </w:tc>
        <w:tc>
          <w:tcPr>
            <w:tcW w:w="913" w:type="dxa"/>
            <w:tcBorders>
              <w:top w:val="nil"/>
              <w:left w:val="nil"/>
              <w:bottom w:val="nil"/>
              <w:right w:val="nil"/>
            </w:tcBorders>
            <w:vAlign w:val="bottom"/>
          </w:tcPr>
          <w:p w14:paraId="0E8E9CF2"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tcBorders>
              <w:top w:val="nil"/>
              <w:left w:val="nil"/>
              <w:bottom w:val="nil"/>
              <w:right w:val="nil"/>
            </w:tcBorders>
            <w:vAlign w:val="bottom"/>
          </w:tcPr>
          <w:p w14:paraId="1027B5C0" w14:textId="77777777" w:rsidR="00AD68F9" w:rsidRPr="00E754AA"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5E744550"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tcBorders>
              <w:top w:val="nil"/>
              <w:left w:val="nil"/>
              <w:bottom w:val="nil"/>
              <w:right w:val="nil"/>
            </w:tcBorders>
            <w:vAlign w:val="bottom"/>
          </w:tcPr>
          <w:p w14:paraId="2D94019A" w14:textId="77777777" w:rsidR="00AD68F9" w:rsidRPr="00E754AA"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220E4E3C" w14:textId="77777777" w:rsidR="00AD68F9" w:rsidRPr="00E754AA" w:rsidRDefault="00AD68F9" w:rsidP="00AD68F9">
            <w:pPr>
              <w:spacing w:before="40" w:after="40"/>
              <w:jc w:val="right"/>
              <w:rPr>
                <w:color w:val="000000"/>
                <w:sz w:val="17"/>
                <w:szCs w:val="17"/>
              </w:rPr>
            </w:pPr>
            <w:r>
              <w:rPr>
                <w:sz w:val="17"/>
                <w:szCs w:val="17"/>
              </w:rPr>
              <w:t>1.1</w:t>
            </w:r>
          </w:p>
        </w:tc>
        <w:tc>
          <w:tcPr>
            <w:tcW w:w="242" w:type="dxa"/>
            <w:tcBorders>
              <w:top w:val="nil"/>
              <w:left w:val="nil"/>
              <w:bottom w:val="nil"/>
              <w:right w:val="nil"/>
            </w:tcBorders>
            <w:vAlign w:val="bottom"/>
          </w:tcPr>
          <w:p w14:paraId="19DC0CBF" w14:textId="77777777" w:rsidR="00AD68F9" w:rsidRPr="00E754AA" w:rsidRDefault="00AD68F9" w:rsidP="00AD68F9">
            <w:pPr>
              <w:spacing w:before="40" w:after="40"/>
              <w:rPr>
                <w:sz w:val="17"/>
                <w:szCs w:val="17"/>
              </w:rPr>
            </w:pPr>
          </w:p>
        </w:tc>
        <w:tc>
          <w:tcPr>
            <w:tcW w:w="924" w:type="dxa"/>
            <w:tcBorders>
              <w:top w:val="nil"/>
              <w:left w:val="nil"/>
              <w:bottom w:val="nil"/>
              <w:right w:val="nil"/>
            </w:tcBorders>
            <w:vAlign w:val="bottom"/>
          </w:tcPr>
          <w:p w14:paraId="29E1B0AA" w14:textId="77777777" w:rsidR="00AD68F9" w:rsidRPr="00E754AA" w:rsidRDefault="00AD68F9" w:rsidP="00AD68F9">
            <w:pPr>
              <w:spacing w:before="40" w:after="40"/>
              <w:jc w:val="right"/>
              <w:rPr>
                <w:sz w:val="17"/>
                <w:szCs w:val="17"/>
              </w:rPr>
            </w:pPr>
            <w:r>
              <w:rPr>
                <w:sz w:val="17"/>
                <w:szCs w:val="17"/>
              </w:rPr>
              <w:t>1.1</w:t>
            </w:r>
          </w:p>
        </w:tc>
        <w:tc>
          <w:tcPr>
            <w:tcW w:w="227" w:type="dxa"/>
            <w:tcBorders>
              <w:top w:val="nil"/>
              <w:left w:val="nil"/>
              <w:bottom w:val="nil"/>
              <w:right w:val="nil"/>
            </w:tcBorders>
            <w:vAlign w:val="bottom"/>
          </w:tcPr>
          <w:p w14:paraId="524322DA" w14:textId="77777777" w:rsidR="00AD68F9" w:rsidRPr="00E754AA" w:rsidRDefault="00AD68F9" w:rsidP="00AD68F9">
            <w:pPr>
              <w:spacing w:before="40" w:after="40"/>
              <w:rPr>
                <w:sz w:val="17"/>
                <w:szCs w:val="17"/>
              </w:rPr>
            </w:pPr>
          </w:p>
        </w:tc>
        <w:tc>
          <w:tcPr>
            <w:tcW w:w="939" w:type="dxa"/>
            <w:tcBorders>
              <w:top w:val="nil"/>
              <w:left w:val="nil"/>
              <w:bottom w:val="nil"/>
              <w:right w:val="nil"/>
            </w:tcBorders>
            <w:vAlign w:val="bottom"/>
          </w:tcPr>
          <w:p w14:paraId="749CEEC4" w14:textId="77777777" w:rsidR="00AD68F9" w:rsidRPr="00E754AA" w:rsidRDefault="00AD68F9" w:rsidP="00AD68F9">
            <w:pPr>
              <w:spacing w:before="40" w:after="40"/>
              <w:jc w:val="right"/>
              <w:rPr>
                <w:sz w:val="17"/>
                <w:szCs w:val="17"/>
              </w:rPr>
            </w:pPr>
            <w:r w:rsidRPr="00DB3F11">
              <w:rPr>
                <w:sz w:val="16"/>
                <w:szCs w:val="16"/>
              </w:rPr>
              <w:t>—</w:t>
            </w:r>
          </w:p>
        </w:tc>
        <w:tc>
          <w:tcPr>
            <w:tcW w:w="266" w:type="dxa"/>
            <w:tcBorders>
              <w:top w:val="nil"/>
              <w:left w:val="nil"/>
              <w:bottom w:val="nil"/>
              <w:right w:val="nil"/>
            </w:tcBorders>
            <w:vAlign w:val="bottom"/>
          </w:tcPr>
          <w:p w14:paraId="4380D2C8" w14:textId="77777777" w:rsidR="00AD68F9" w:rsidRPr="000D2863" w:rsidRDefault="00AD68F9" w:rsidP="00AD68F9">
            <w:pPr>
              <w:spacing w:before="40" w:after="40"/>
              <w:rPr>
                <w:sz w:val="17"/>
                <w:szCs w:val="17"/>
              </w:rPr>
            </w:pPr>
          </w:p>
        </w:tc>
      </w:tr>
      <w:tr w:rsidR="00AD68F9" w:rsidRPr="00E834EF" w14:paraId="6AC83B55" w14:textId="77777777" w:rsidTr="00AD68F9">
        <w:tc>
          <w:tcPr>
            <w:tcW w:w="3254" w:type="dxa"/>
            <w:vAlign w:val="center"/>
          </w:tcPr>
          <w:p w14:paraId="2081695C"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1FB3AF89" w14:textId="77777777" w:rsidR="00AD68F9" w:rsidRPr="00E834EF" w:rsidRDefault="00AD68F9" w:rsidP="00AD68F9">
            <w:pPr>
              <w:spacing w:before="40" w:after="40"/>
              <w:rPr>
                <w:sz w:val="17"/>
                <w:szCs w:val="17"/>
              </w:rPr>
            </w:pPr>
          </w:p>
        </w:tc>
        <w:tc>
          <w:tcPr>
            <w:tcW w:w="913" w:type="dxa"/>
            <w:vAlign w:val="bottom"/>
          </w:tcPr>
          <w:p w14:paraId="4B61EEB0"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070EC090" w14:textId="77777777" w:rsidR="00AD68F9" w:rsidRPr="00E754AA" w:rsidRDefault="00AD68F9" w:rsidP="00AD68F9">
            <w:pPr>
              <w:spacing w:before="40" w:after="40"/>
              <w:rPr>
                <w:color w:val="000000"/>
                <w:sz w:val="17"/>
                <w:szCs w:val="17"/>
              </w:rPr>
            </w:pPr>
          </w:p>
        </w:tc>
        <w:tc>
          <w:tcPr>
            <w:tcW w:w="924" w:type="dxa"/>
            <w:vAlign w:val="bottom"/>
          </w:tcPr>
          <w:p w14:paraId="5BFE19FF"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3E3822A1" w14:textId="77777777" w:rsidR="00AD68F9" w:rsidRPr="00E754AA" w:rsidRDefault="00AD68F9" w:rsidP="00AD68F9">
            <w:pPr>
              <w:spacing w:before="40" w:after="40"/>
              <w:rPr>
                <w:color w:val="000000"/>
                <w:sz w:val="17"/>
                <w:szCs w:val="17"/>
              </w:rPr>
            </w:pPr>
          </w:p>
        </w:tc>
        <w:tc>
          <w:tcPr>
            <w:tcW w:w="924" w:type="dxa"/>
            <w:vAlign w:val="bottom"/>
          </w:tcPr>
          <w:p w14:paraId="0A954FE9"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1D2753D2" w14:textId="77777777" w:rsidR="00AD68F9" w:rsidRPr="00E754AA" w:rsidRDefault="00AD68F9" w:rsidP="00AD68F9">
            <w:pPr>
              <w:spacing w:before="40" w:after="40"/>
              <w:rPr>
                <w:sz w:val="17"/>
                <w:szCs w:val="17"/>
              </w:rPr>
            </w:pPr>
          </w:p>
        </w:tc>
        <w:tc>
          <w:tcPr>
            <w:tcW w:w="924" w:type="dxa"/>
            <w:vAlign w:val="bottom"/>
          </w:tcPr>
          <w:p w14:paraId="08C75F48"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639F0547" w14:textId="77777777" w:rsidR="00AD68F9" w:rsidRPr="00E754AA" w:rsidRDefault="00AD68F9" w:rsidP="00AD68F9">
            <w:pPr>
              <w:spacing w:before="40" w:after="40"/>
              <w:rPr>
                <w:sz w:val="17"/>
                <w:szCs w:val="17"/>
              </w:rPr>
            </w:pPr>
          </w:p>
        </w:tc>
        <w:tc>
          <w:tcPr>
            <w:tcW w:w="939" w:type="dxa"/>
            <w:vAlign w:val="bottom"/>
          </w:tcPr>
          <w:p w14:paraId="669A5081"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490F4B4A" w14:textId="77777777" w:rsidR="00AD68F9" w:rsidRPr="000D2863" w:rsidRDefault="00AD68F9" w:rsidP="00AD68F9">
            <w:pPr>
              <w:spacing w:before="40" w:after="40"/>
              <w:rPr>
                <w:sz w:val="17"/>
                <w:szCs w:val="17"/>
              </w:rPr>
            </w:pPr>
          </w:p>
        </w:tc>
      </w:tr>
      <w:tr w:rsidR="00AD68F9" w:rsidRPr="00E834EF" w14:paraId="738CF4A6" w14:textId="77777777" w:rsidTr="00AD68F9">
        <w:tc>
          <w:tcPr>
            <w:tcW w:w="3254" w:type="dxa"/>
            <w:vAlign w:val="bottom"/>
          </w:tcPr>
          <w:p w14:paraId="1E9929D6" w14:textId="77777777" w:rsidR="00AD68F9" w:rsidRPr="00E754AA" w:rsidRDefault="00AD68F9" w:rsidP="00AD68F9">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74E6B741" w14:textId="77777777" w:rsidR="00AD68F9" w:rsidRPr="00E754AA" w:rsidRDefault="00AD68F9" w:rsidP="00AD68F9">
            <w:pPr>
              <w:spacing w:before="40" w:after="40"/>
              <w:rPr>
                <w:sz w:val="17"/>
                <w:szCs w:val="17"/>
              </w:rPr>
            </w:pPr>
          </w:p>
        </w:tc>
        <w:tc>
          <w:tcPr>
            <w:tcW w:w="913" w:type="dxa"/>
            <w:vAlign w:val="bottom"/>
          </w:tcPr>
          <w:p w14:paraId="52112183"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763F83D1" w14:textId="77777777" w:rsidR="00AD68F9" w:rsidRPr="00E754AA" w:rsidRDefault="00AD68F9" w:rsidP="00AD68F9">
            <w:pPr>
              <w:spacing w:before="40" w:after="40"/>
              <w:rPr>
                <w:color w:val="000000"/>
                <w:sz w:val="17"/>
                <w:szCs w:val="17"/>
              </w:rPr>
            </w:pPr>
          </w:p>
        </w:tc>
        <w:tc>
          <w:tcPr>
            <w:tcW w:w="924" w:type="dxa"/>
            <w:vAlign w:val="bottom"/>
          </w:tcPr>
          <w:p w14:paraId="7DB0D1F9"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037430C7" w14:textId="77777777" w:rsidR="00AD68F9" w:rsidRPr="00E754AA" w:rsidRDefault="00AD68F9" w:rsidP="00AD68F9">
            <w:pPr>
              <w:spacing w:before="40" w:after="40"/>
              <w:rPr>
                <w:color w:val="000000"/>
                <w:sz w:val="17"/>
                <w:szCs w:val="17"/>
              </w:rPr>
            </w:pPr>
          </w:p>
        </w:tc>
        <w:tc>
          <w:tcPr>
            <w:tcW w:w="924" w:type="dxa"/>
            <w:vAlign w:val="bottom"/>
          </w:tcPr>
          <w:p w14:paraId="1B7FE463"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1469763F" w14:textId="77777777" w:rsidR="00AD68F9" w:rsidRPr="00E754AA" w:rsidRDefault="00AD68F9" w:rsidP="00AD68F9">
            <w:pPr>
              <w:spacing w:before="40" w:after="40"/>
              <w:rPr>
                <w:sz w:val="17"/>
                <w:szCs w:val="17"/>
              </w:rPr>
            </w:pPr>
          </w:p>
        </w:tc>
        <w:tc>
          <w:tcPr>
            <w:tcW w:w="924" w:type="dxa"/>
            <w:vAlign w:val="bottom"/>
          </w:tcPr>
          <w:p w14:paraId="2CE9FEEB"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27E54168" w14:textId="77777777" w:rsidR="00AD68F9" w:rsidRPr="00E754AA" w:rsidRDefault="00AD68F9" w:rsidP="00AD68F9">
            <w:pPr>
              <w:spacing w:before="40" w:after="40"/>
              <w:rPr>
                <w:sz w:val="17"/>
                <w:szCs w:val="17"/>
              </w:rPr>
            </w:pPr>
          </w:p>
        </w:tc>
        <w:tc>
          <w:tcPr>
            <w:tcW w:w="939" w:type="dxa"/>
            <w:vAlign w:val="bottom"/>
          </w:tcPr>
          <w:p w14:paraId="210B09ED"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3F888617" w14:textId="77777777" w:rsidR="00AD68F9" w:rsidRPr="000D2863" w:rsidRDefault="00AD68F9" w:rsidP="00AD68F9">
            <w:pPr>
              <w:spacing w:before="40" w:after="40"/>
              <w:rPr>
                <w:sz w:val="17"/>
                <w:szCs w:val="17"/>
              </w:rPr>
            </w:pPr>
          </w:p>
        </w:tc>
      </w:tr>
      <w:tr w:rsidR="00AD68F9" w:rsidRPr="00E834EF" w14:paraId="008B6131" w14:textId="77777777" w:rsidTr="00AD68F9">
        <w:tc>
          <w:tcPr>
            <w:tcW w:w="3254" w:type="dxa"/>
            <w:vAlign w:val="center"/>
          </w:tcPr>
          <w:p w14:paraId="01926B69"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692F4C38" w14:textId="77777777" w:rsidR="00AD68F9" w:rsidRPr="00E834EF" w:rsidRDefault="001D6812" w:rsidP="00AD68F9">
            <w:pPr>
              <w:spacing w:before="40" w:after="40"/>
              <w:rPr>
                <w:sz w:val="17"/>
                <w:szCs w:val="17"/>
              </w:rPr>
            </w:pPr>
            <w:r>
              <w:rPr>
                <w:sz w:val="17"/>
                <w:szCs w:val="17"/>
              </w:rPr>
              <w:t>)</w:t>
            </w:r>
          </w:p>
        </w:tc>
        <w:tc>
          <w:tcPr>
            <w:tcW w:w="913" w:type="dxa"/>
            <w:vAlign w:val="bottom"/>
          </w:tcPr>
          <w:p w14:paraId="568BFF92" w14:textId="77777777" w:rsidR="00AD68F9" w:rsidRPr="00E754AA" w:rsidRDefault="00AD68F9" w:rsidP="00AD68F9">
            <w:pPr>
              <w:spacing w:before="40" w:after="40"/>
              <w:jc w:val="right"/>
              <w:rPr>
                <w:color w:val="000000"/>
                <w:sz w:val="17"/>
                <w:szCs w:val="17"/>
              </w:rPr>
            </w:pPr>
            <w:r>
              <w:rPr>
                <w:sz w:val="17"/>
                <w:szCs w:val="17"/>
              </w:rPr>
              <w:t>(0.1</w:t>
            </w:r>
          </w:p>
        </w:tc>
        <w:tc>
          <w:tcPr>
            <w:tcW w:w="252" w:type="dxa"/>
            <w:gridSpan w:val="2"/>
            <w:vAlign w:val="bottom"/>
          </w:tcPr>
          <w:p w14:paraId="53D879AD" w14:textId="77777777" w:rsidR="00AD68F9" w:rsidRPr="00E754AA" w:rsidRDefault="00AD68F9" w:rsidP="00AD68F9">
            <w:pPr>
              <w:spacing w:before="40" w:after="40"/>
              <w:rPr>
                <w:color w:val="000000"/>
                <w:sz w:val="17"/>
                <w:szCs w:val="17"/>
              </w:rPr>
            </w:pPr>
            <w:r>
              <w:rPr>
                <w:color w:val="000000"/>
                <w:sz w:val="17"/>
                <w:szCs w:val="17"/>
              </w:rPr>
              <w:t>)</w:t>
            </w:r>
          </w:p>
        </w:tc>
        <w:tc>
          <w:tcPr>
            <w:tcW w:w="924" w:type="dxa"/>
            <w:vAlign w:val="bottom"/>
          </w:tcPr>
          <w:p w14:paraId="32C0C26E" w14:textId="77777777" w:rsidR="00AD68F9" w:rsidRPr="00E754AA" w:rsidRDefault="00AD68F9" w:rsidP="00AD68F9">
            <w:pPr>
              <w:spacing w:before="40" w:after="40"/>
              <w:jc w:val="right"/>
              <w:rPr>
                <w:color w:val="000000"/>
                <w:sz w:val="17"/>
                <w:szCs w:val="17"/>
              </w:rPr>
            </w:pPr>
            <w:r>
              <w:rPr>
                <w:sz w:val="17"/>
                <w:szCs w:val="17"/>
              </w:rPr>
              <w:t>(0.2</w:t>
            </w:r>
          </w:p>
        </w:tc>
        <w:tc>
          <w:tcPr>
            <w:tcW w:w="242" w:type="dxa"/>
            <w:vAlign w:val="bottom"/>
          </w:tcPr>
          <w:p w14:paraId="27EFD4F9" w14:textId="77777777" w:rsidR="00AD68F9" w:rsidRPr="00E754AA" w:rsidRDefault="00AD68F9" w:rsidP="00AD68F9">
            <w:pPr>
              <w:spacing w:before="40" w:after="40"/>
              <w:rPr>
                <w:color w:val="000000"/>
                <w:sz w:val="17"/>
                <w:szCs w:val="17"/>
              </w:rPr>
            </w:pPr>
            <w:r>
              <w:rPr>
                <w:color w:val="000000"/>
                <w:sz w:val="17"/>
                <w:szCs w:val="17"/>
              </w:rPr>
              <w:t>)</w:t>
            </w:r>
          </w:p>
        </w:tc>
        <w:tc>
          <w:tcPr>
            <w:tcW w:w="924" w:type="dxa"/>
            <w:vAlign w:val="bottom"/>
          </w:tcPr>
          <w:p w14:paraId="36CA1439" w14:textId="77777777" w:rsidR="00AD68F9" w:rsidRPr="00E754AA" w:rsidRDefault="00AD68F9" w:rsidP="00AD68F9">
            <w:pPr>
              <w:spacing w:before="40" w:after="40"/>
              <w:jc w:val="right"/>
              <w:rPr>
                <w:color w:val="000000"/>
                <w:sz w:val="17"/>
                <w:szCs w:val="17"/>
              </w:rPr>
            </w:pPr>
            <w:r>
              <w:rPr>
                <w:sz w:val="17"/>
                <w:szCs w:val="17"/>
              </w:rPr>
              <w:t>(0.2</w:t>
            </w:r>
          </w:p>
        </w:tc>
        <w:tc>
          <w:tcPr>
            <w:tcW w:w="242" w:type="dxa"/>
            <w:vAlign w:val="bottom"/>
          </w:tcPr>
          <w:p w14:paraId="0176984A" w14:textId="77777777" w:rsidR="00AD68F9" w:rsidRPr="00E754AA" w:rsidRDefault="00AD68F9" w:rsidP="00AD68F9">
            <w:pPr>
              <w:spacing w:before="40" w:after="40"/>
              <w:rPr>
                <w:sz w:val="17"/>
                <w:szCs w:val="17"/>
              </w:rPr>
            </w:pPr>
            <w:r>
              <w:rPr>
                <w:sz w:val="17"/>
                <w:szCs w:val="17"/>
              </w:rPr>
              <w:t>)</w:t>
            </w:r>
          </w:p>
        </w:tc>
        <w:tc>
          <w:tcPr>
            <w:tcW w:w="924" w:type="dxa"/>
            <w:vAlign w:val="bottom"/>
          </w:tcPr>
          <w:p w14:paraId="3DBD1098" w14:textId="77777777" w:rsidR="00AD68F9" w:rsidRPr="00E754AA" w:rsidRDefault="00AD68F9" w:rsidP="00AD68F9">
            <w:pPr>
              <w:spacing w:before="40" w:after="40"/>
              <w:jc w:val="right"/>
              <w:rPr>
                <w:sz w:val="17"/>
                <w:szCs w:val="17"/>
              </w:rPr>
            </w:pPr>
            <w:r>
              <w:rPr>
                <w:sz w:val="17"/>
                <w:szCs w:val="17"/>
              </w:rPr>
              <w:t>(0.1</w:t>
            </w:r>
          </w:p>
        </w:tc>
        <w:tc>
          <w:tcPr>
            <w:tcW w:w="227" w:type="dxa"/>
            <w:vAlign w:val="bottom"/>
          </w:tcPr>
          <w:p w14:paraId="19327C87" w14:textId="77777777" w:rsidR="00AD68F9" w:rsidRPr="00E754AA" w:rsidRDefault="00AD68F9" w:rsidP="00AD68F9">
            <w:pPr>
              <w:spacing w:before="40" w:after="40"/>
              <w:rPr>
                <w:sz w:val="17"/>
                <w:szCs w:val="17"/>
              </w:rPr>
            </w:pPr>
            <w:r>
              <w:rPr>
                <w:sz w:val="17"/>
                <w:szCs w:val="17"/>
              </w:rPr>
              <w:t>)</w:t>
            </w:r>
          </w:p>
        </w:tc>
        <w:tc>
          <w:tcPr>
            <w:tcW w:w="939" w:type="dxa"/>
            <w:vAlign w:val="bottom"/>
          </w:tcPr>
          <w:p w14:paraId="40DFF5CC" w14:textId="77777777" w:rsidR="00AD68F9" w:rsidRPr="00E754AA" w:rsidRDefault="00AD68F9" w:rsidP="00AD68F9">
            <w:pPr>
              <w:spacing w:before="40" w:after="40"/>
              <w:jc w:val="right"/>
              <w:rPr>
                <w:sz w:val="17"/>
                <w:szCs w:val="17"/>
              </w:rPr>
            </w:pPr>
            <w:r>
              <w:rPr>
                <w:sz w:val="17"/>
                <w:szCs w:val="17"/>
              </w:rPr>
              <w:t>(0.1</w:t>
            </w:r>
          </w:p>
        </w:tc>
        <w:tc>
          <w:tcPr>
            <w:tcW w:w="266" w:type="dxa"/>
            <w:vAlign w:val="bottom"/>
          </w:tcPr>
          <w:p w14:paraId="6AE57A22" w14:textId="77777777" w:rsidR="00AD68F9" w:rsidRPr="000D2863" w:rsidRDefault="00AD68F9" w:rsidP="00AD68F9">
            <w:pPr>
              <w:spacing w:before="40" w:after="40"/>
              <w:rPr>
                <w:sz w:val="17"/>
                <w:szCs w:val="17"/>
              </w:rPr>
            </w:pPr>
          </w:p>
        </w:tc>
      </w:tr>
      <w:tr w:rsidR="00AD68F9" w:rsidRPr="00E834EF" w14:paraId="3D746ABA" w14:textId="77777777" w:rsidTr="00AD68F9">
        <w:tc>
          <w:tcPr>
            <w:tcW w:w="3254" w:type="dxa"/>
            <w:vAlign w:val="center"/>
          </w:tcPr>
          <w:p w14:paraId="7E1C4B92"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1E8C17C7" w14:textId="77777777" w:rsidR="00AD68F9" w:rsidRPr="00E834EF" w:rsidRDefault="00AD68F9" w:rsidP="00AD68F9">
            <w:pPr>
              <w:spacing w:before="40" w:after="40"/>
              <w:rPr>
                <w:sz w:val="17"/>
                <w:szCs w:val="17"/>
              </w:rPr>
            </w:pPr>
          </w:p>
        </w:tc>
        <w:tc>
          <w:tcPr>
            <w:tcW w:w="913" w:type="dxa"/>
            <w:vAlign w:val="bottom"/>
          </w:tcPr>
          <w:p w14:paraId="7F78F658"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5E8F91FE" w14:textId="77777777" w:rsidR="00AD68F9" w:rsidRPr="00E754AA" w:rsidRDefault="00AD68F9" w:rsidP="00AD68F9">
            <w:pPr>
              <w:spacing w:before="40" w:after="40"/>
              <w:rPr>
                <w:color w:val="000000"/>
                <w:sz w:val="17"/>
                <w:szCs w:val="17"/>
              </w:rPr>
            </w:pPr>
          </w:p>
        </w:tc>
        <w:tc>
          <w:tcPr>
            <w:tcW w:w="924" w:type="dxa"/>
            <w:vAlign w:val="bottom"/>
          </w:tcPr>
          <w:p w14:paraId="44E09936"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77628195" w14:textId="77777777" w:rsidR="00AD68F9" w:rsidRPr="00E754AA" w:rsidRDefault="00AD68F9" w:rsidP="00AD68F9">
            <w:pPr>
              <w:spacing w:before="40" w:after="40"/>
              <w:rPr>
                <w:color w:val="000000"/>
                <w:sz w:val="17"/>
                <w:szCs w:val="17"/>
              </w:rPr>
            </w:pPr>
          </w:p>
        </w:tc>
        <w:tc>
          <w:tcPr>
            <w:tcW w:w="924" w:type="dxa"/>
            <w:vAlign w:val="bottom"/>
          </w:tcPr>
          <w:p w14:paraId="19123096"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69DE9CEB" w14:textId="77777777" w:rsidR="00AD68F9" w:rsidRPr="00E754AA" w:rsidRDefault="00AD68F9" w:rsidP="00AD68F9">
            <w:pPr>
              <w:spacing w:before="40" w:after="40"/>
              <w:rPr>
                <w:sz w:val="17"/>
                <w:szCs w:val="17"/>
              </w:rPr>
            </w:pPr>
          </w:p>
        </w:tc>
        <w:tc>
          <w:tcPr>
            <w:tcW w:w="924" w:type="dxa"/>
            <w:vAlign w:val="bottom"/>
          </w:tcPr>
          <w:p w14:paraId="1C36C694"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7C6CE21F" w14:textId="77777777" w:rsidR="00AD68F9" w:rsidRPr="00E754AA" w:rsidRDefault="00AD68F9" w:rsidP="00AD68F9">
            <w:pPr>
              <w:spacing w:before="40" w:after="40"/>
              <w:rPr>
                <w:sz w:val="17"/>
                <w:szCs w:val="17"/>
              </w:rPr>
            </w:pPr>
          </w:p>
        </w:tc>
        <w:tc>
          <w:tcPr>
            <w:tcW w:w="939" w:type="dxa"/>
            <w:vAlign w:val="bottom"/>
          </w:tcPr>
          <w:p w14:paraId="782BAE9A"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3ED64727" w14:textId="77777777" w:rsidR="00AD68F9" w:rsidRPr="000D2863" w:rsidRDefault="00AD68F9" w:rsidP="00AD68F9">
            <w:pPr>
              <w:spacing w:before="40" w:after="40"/>
              <w:rPr>
                <w:sz w:val="17"/>
                <w:szCs w:val="17"/>
              </w:rPr>
            </w:pPr>
          </w:p>
        </w:tc>
      </w:tr>
      <w:tr w:rsidR="00AD68F9" w:rsidRPr="00E834EF" w14:paraId="5A885490" w14:textId="77777777" w:rsidTr="00AD68F9">
        <w:tc>
          <w:tcPr>
            <w:tcW w:w="3254" w:type="dxa"/>
            <w:vAlign w:val="center"/>
          </w:tcPr>
          <w:p w14:paraId="362F26F4"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49F6401F" w14:textId="77777777" w:rsidR="00AD68F9" w:rsidRPr="00E834EF" w:rsidRDefault="00AD68F9" w:rsidP="00AD68F9">
            <w:pPr>
              <w:spacing w:before="40" w:after="40"/>
              <w:rPr>
                <w:sz w:val="17"/>
                <w:szCs w:val="17"/>
              </w:rPr>
            </w:pPr>
          </w:p>
        </w:tc>
        <w:tc>
          <w:tcPr>
            <w:tcW w:w="913" w:type="dxa"/>
            <w:vAlign w:val="bottom"/>
          </w:tcPr>
          <w:p w14:paraId="0706CB2B"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2AACE54C" w14:textId="77777777" w:rsidR="00AD68F9" w:rsidRPr="00E754AA" w:rsidRDefault="00AD68F9" w:rsidP="00AD68F9">
            <w:pPr>
              <w:spacing w:before="40" w:after="40"/>
              <w:rPr>
                <w:color w:val="000000"/>
                <w:sz w:val="17"/>
                <w:szCs w:val="17"/>
              </w:rPr>
            </w:pPr>
          </w:p>
        </w:tc>
        <w:tc>
          <w:tcPr>
            <w:tcW w:w="924" w:type="dxa"/>
            <w:vAlign w:val="bottom"/>
          </w:tcPr>
          <w:p w14:paraId="45E562AF"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0C07B7C2" w14:textId="77777777" w:rsidR="00AD68F9" w:rsidRPr="00E754AA" w:rsidRDefault="00AD68F9" w:rsidP="00AD68F9">
            <w:pPr>
              <w:spacing w:before="40" w:after="40"/>
              <w:rPr>
                <w:color w:val="000000"/>
                <w:sz w:val="17"/>
                <w:szCs w:val="17"/>
              </w:rPr>
            </w:pPr>
          </w:p>
        </w:tc>
        <w:tc>
          <w:tcPr>
            <w:tcW w:w="924" w:type="dxa"/>
            <w:vAlign w:val="bottom"/>
          </w:tcPr>
          <w:p w14:paraId="1F213B56"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58EE0C03" w14:textId="77777777" w:rsidR="00AD68F9" w:rsidRPr="00E754AA" w:rsidRDefault="00AD68F9" w:rsidP="00AD68F9">
            <w:pPr>
              <w:spacing w:before="40" w:after="40"/>
              <w:rPr>
                <w:sz w:val="17"/>
                <w:szCs w:val="17"/>
              </w:rPr>
            </w:pPr>
          </w:p>
        </w:tc>
        <w:tc>
          <w:tcPr>
            <w:tcW w:w="924" w:type="dxa"/>
            <w:vAlign w:val="bottom"/>
          </w:tcPr>
          <w:p w14:paraId="3F4FAAA7"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6E52A128" w14:textId="77777777" w:rsidR="00AD68F9" w:rsidRPr="00E754AA" w:rsidRDefault="00AD68F9" w:rsidP="00AD68F9">
            <w:pPr>
              <w:spacing w:before="40" w:after="40"/>
              <w:rPr>
                <w:sz w:val="17"/>
                <w:szCs w:val="17"/>
              </w:rPr>
            </w:pPr>
          </w:p>
        </w:tc>
        <w:tc>
          <w:tcPr>
            <w:tcW w:w="939" w:type="dxa"/>
            <w:vAlign w:val="bottom"/>
          </w:tcPr>
          <w:p w14:paraId="72FD6939"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7EBAACE9" w14:textId="77777777" w:rsidR="00AD68F9" w:rsidRPr="000D2863" w:rsidRDefault="00AD68F9" w:rsidP="00AD68F9">
            <w:pPr>
              <w:spacing w:before="40" w:after="40"/>
              <w:rPr>
                <w:sz w:val="17"/>
                <w:szCs w:val="17"/>
              </w:rPr>
            </w:pPr>
          </w:p>
        </w:tc>
      </w:tr>
      <w:tr w:rsidR="00AD68F9" w:rsidRPr="00E834EF" w14:paraId="78588024" w14:textId="77777777" w:rsidTr="00AD68F9">
        <w:tc>
          <w:tcPr>
            <w:tcW w:w="3254" w:type="dxa"/>
            <w:vAlign w:val="center"/>
          </w:tcPr>
          <w:p w14:paraId="3B210423" w14:textId="77777777" w:rsidR="00AD68F9" w:rsidRDefault="00AD68F9" w:rsidP="00AD68F9">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7CA874CC" w14:textId="77777777" w:rsidR="00AD68F9" w:rsidRPr="00E834EF" w:rsidRDefault="00AD68F9" w:rsidP="00AD68F9">
            <w:pPr>
              <w:spacing w:before="40" w:after="40"/>
              <w:rPr>
                <w:sz w:val="17"/>
                <w:szCs w:val="17"/>
              </w:rPr>
            </w:pPr>
          </w:p>
        </w:tc>
        <w:tc>
          <w:tcPr>
            <w:tcW w:w="913" w:type="dxa"/>
            <w:tcBorders>
              <w:bottom w:val="single" w:sz="4" w:space="0" w:color="auto"/>
            </w:tcBorders>
            <w:vAlign w:val="bottom"/>
          </w:tcPr>
          <w:p w14:paraId="6595BE41" w14:textId="77777777" w:rsidR="00AD68F9" w:rsidRPr="000D2863" w:rsidRDefault="00AD68F9" w:rsidP="00AD68F9">
            <w:pPr>
              <w:spacing w:before="40" w:after="40"/>
              <w:jc w:val="right"/>
              <w:rPr>
                <w:color w:val="000000"/>
                <w:sz w:val="17"/>
                <w:szCs w:val="17"/>
              </w:rPr>
            </w:pPr>
            <w:r>
              <w:rPr>
                <w:sz w:val="17"/>
                <w:szCs w:val="17"/>
              </w:rPr>
              <w:t>12.1</w:t>
            </w:r>
          </w:p>
        </w:tc>
        <w:tc>
          <w:tcPr>
            <w:tcW w:w="252" w:type="dxa"/>
            <w:gridSpan w:val="2"/>
            <w:vAlign w:val="bottom"/>
          </w:tcPr>
          <w:p w14:paraId="3CB09F1A" w14:textId="77777777" w:rsidR="00AD68F9" w:rsidRPr="000D2863" w:rsidRDefault="00AD68F9" w:rsidP="00AD68F9">
            <w:pPr>
              <w:spacing w:before="40" w:after="40"/>
              <w:rPr>
                <w:color w:val="000000"/>
                <w:sz w:val="17"/>
                <w:szCs w:val="17"/>
              </w:rPr>
            </w:pPr>
          </w:p>
        </w:tc>
        <w:tc>
          <w:tcPr>
            <w:tcW w:w="924" w:type="dxa"/>
            <w:tcBorders>
              <w:bottom w:val="single" w:sz="4" w:space="0" w:color="auto"/>
            </w:tcBorders>
            <w:vAlign w:val="bottom"/>
          </w:tcPr>
          <w:p w14:paraId="5ED479F7" w14:textId="77777777" w:rsidR="00AD68F9" w:rsidRPr="000D2863" w:rsidRDefault="00AD68F9" w:rsidP="00AD68F9">
            <w:pPr>
              <w:spacing w:before="40" w:after="40"/>
              <w:jc w:val="right"/>
              <w:rPr>
                <w:color w:val="000000"/>
                <w:sz w:val="17"/>
                <w:szCs w:val="17"/>
              </w:rPr>
            </w:pPr>
            <w:r>
              <w:rPr>
                <w:sz w:val="17"/>
                <w:szCs w:val="17"/>
              </w:rPr>
              <w:t>12.3</w:t>
            </w:r>
          </w:p>
        </w:tc>
        <w:tc>
          <w:tcPr>
            <w:tcW w:w="242" w:type="dxa"/>
            <w:vAlign w:val="bottom"/>
          </w:tcPr>
          <w:p w14:paraId="1857EA8D" w14:textId="77777777" w:rsidR="00AD68F9" w:rsidRPr="000D2863" w:rsidRDefault="00AD68F9" w:rsidP="00AD68F9">
            <w:pPr>
              <w:spacing w:before="40" w:after="40"/>
              <w:rPr>
                <w:color w:val="000000"/>
                <w:sz w:val="17"/>
                <w:szCs w:val="17"/>
              </w:rPr>
            </w:pPr>
          </w:p>
        </w:tc>
        <w:tc>
          <w:tcPr>
            <w:tcW w:w="924" w:type="dxa"/>
            <w:tcBorders>
              <w:bottom w:val="single" w:sz="4" w:space="0" w:color="auto"/>
            </w:tcBorders>
            <w:vAlign w:val="bottom"/>
          </w:tcPr>
          <w:p w14:paraId="7FCDD353" w14:textId="77777777" w:rsidR="00AD68F9" w:rsidRPr="000D2863" w:rsidRDefault="00AD68F9" w:rsidP="00AD68F9">
            <w:pPr>
              <w:spacing w:before="40" w:after="40"/>
              <w:jc w:val="right"/>
              <w:rPr>
                <w:color w:val="000000"/>
                <w:sz w:val="17"/>
                <w:szCs w:val="17"/>
              </w:rPr>
            </w:pPr>
            <w:r>
              <w:rPr>
                <w:sz w:val="17"/>
                <w:szCs w:val="17"/>
              </w:rPr>
              <w:t>12.6</w:t>
            </w:r>
          </w:p>
        </w:tc>
        <w:tc>
          <w:tcPr>
            <w:tcW w:w="242" w:type="dxa"/>
            <w:vAlign w:val="bottom"/>
          </w:tcPr>
          <w:p w14:paraId="16310886" w14:textId="77777777" w:rsidR="00AD68F9" w:rsidRPr="000D2863" w:rsidRDefault="00AD68F9" w:rsidP="00AD68F9">
            <w:pPr>
              <w:spacing w:before="40" w:after="40"/>
              <w:rPr>
                <w:sz w:val="17"/>
                <w:szCs w:val="17"/>
              </w:rPr>
            </w:pPr>
          </w:p>
        </w:tc>
        <w:tc>
          <w:tcPr>
            <w:tcW w:w="924" w:type="dxa"/>
            <w:tcBorders>
              <w:bottom w:val="single" w:sz="4" w:space="0" w:color="auto"/>
            </w:tcBorders>
            <w:vAlign w:val="bottom"/>
          </w:tcPr>
          <w:p w14:paraId="7220A969" w14:textId="77777777" w:rsidR="00AD68F9" w:rsidRPr="000D2863" w:rsidRDefault="00AD68F9" w:rsidP="00AD68F9">
            <w:pPr>
              <w:spacing w:before="40" w:after="40"/>
              <w:jc w:val="right"/>
              <w:rPr>
                <w:sz w:val="17"/>
                <w:szCs w:val="17"/>
              </w:rPr>
            </w:pPr>
            <w:r>
              <w:rPr>
                <w:sz w:val="17"/>
                <w:szCs w:val="17"/>
              </w:rPr>
              <w:t>9.3</w:t>
            </w:r>
          </w:p>
        </w:tc>
        <w:tc>
          <w:tcPr>
            <w:tcW w:w="227" w:type="dxa"/>
            <w:vAlign w:val="bottom"/>
          </w:tcPr>
          <w:p w14:paraId="6A100BD7" w14:textId="77777777" w:rsidR="00AD68F9" w:rsidRPr="000D2863" w:rsidRDefault="00AD68F9" w:rsidP="00AD68F9">
            <w:pPr>
              <w:spacing w:before="40" w:after="40"/>
              <w:rPr>
                <w:sz w:val="17"/>
                <w:szCs w:val="17"/>
              </w:rPr>
            </w:pPr>
          </w:p>
        </w:tc>
        <w:tc>
          <w:tcPr>
            <w:tcW w:w="939" w:type="dxa"/>
            <w:tcBorders>
              <w:bottom w:val="single" w:sz="4" w:space="0" w:color="auto"/>
            </w:tcBorders>
            <w:vAlign w:val="bottom"/>
          </w:tcPr>
          <w:p w14:paraId="04A32A20" w14:textId="77777777" w:rsidR="00AD68F9" w:rsidRPr="000D2863" w:rsidRDefault="00AD68F9" w:rsidP="00AD68F9">
            <w:pPr>
              <w:spacing w:before="40" w:after="40"/>
              <w:jc w:val="right"/>
              <w:rPr>
                <w:sz w:val="17"/>
                <w:szCs w:val="17"/>
              </w:rPr>
            </w:pPr>
            <w:r>
              <w:rPr>
                <w:sz w:val="17"/>
                <w:szCs w:val="17"/>
              </w:rPr>
              <w:t>9.5</w:t>
            </w:r>
          </w:p>
        </w:tc>
        <w:tc>
          <w:tcPr>
            <w:tcW w:w="266" w:type="dxa"/>
            <w:vAlign w:val="bottom"/>
          </w:tcPr>
          <w:p w14:paraId="0293BA23" w14:textId="77777777" w:rsidR="00AD68F9" w:rsidRPr="000D2863" w:rsidRDefault="00AD68F9" w:rsidP="00AD68F9">
            <w:pPr>
              <w:spacing w:before="40" w:after="40"/>
              <w:rPr>
                <w:sz w:val="17"/>
                <w:szCs w:val="17"/>
              </w:rPr>
            </w:pPr>
          </w:p>
        </w:tc>
      </w:tr>
      <w:tr w:rsidR="00AD68F9" w:rsidRPr="00E834EF" w14:paraId="1CE2BCDA" w14:textId="77777777" w:rsidTr="00AD68F9">
        <w:tc>
          <w:tcPr>
            <w:tcW w:w="3254" w:type="dxa"/>
          </w:tcPr>
          <w:p w14:paraId="7638E475" w14:textId="77777777" w:rsidR="00AD68F9" w:rsidRDefault="00AD68F9" w:rsidP="00AD68F9">
            <w:pPr>
              <w:tabs>
                <w:tab w:val="right" w:leader="dot" w:pos="3255"/>
              </w:tabs>
              <w:bidi/>
              <w:spacing w:before="40" w:after="40"/>
              <w:rPr>
                <w:b/>
                <w:bCs/>
                <w:sz w:val="17"/>
                <w:szCs w:val="17"/>
                <w:u w:val="single"/>
              </w:rPr>
            </w:pPr>
            <w:r w:rsidRPr="00272B36">
              <w:rPr>
                <w:rFonts w:hint="eastAsia"/>
                <w:b/>
                <w:bCs/>
                <w:szCs w:val="17"/>
                <w:rtl/>
              </w:rPr>
              <w:t>الأرباح</w:t>
            </w:r>
            <w:r w:rsidRPr="00272B36">
              <w:rPr>
                <w:b/>
                <w:bCs/>
                <w:szCs w:val="17"/>
                <w:rtl/>
              </w:rPr>
              <w:t xml:space="preserve"> قبل حساب الفوائد والضرائب والإهلاك والإطفاء ل</w:t>
            </w:r>
            <w:r w:rsidR="00607B02">
              <w:rPr>
                <w:b/>
                <w:bCs/>
                <w:szCs w:val="17"/>
                <w:rtl/>
              </w:rPr>
              <w:t>نقل</w:t>
            </w:r>
            <w:r w:rsidRPr="00272B36">
              <w:rPr>
                <w:b/>
                <w:bCs/>
                <w:szCs w:val="17"/>
                <w:rtl/>
              </w:rPr>
              <w:t xml:space="preserve"> </w:t>
            </w:r>
            <w:r>
              <w:rPr>
                <w:rFonts w:hint="cs"/>
                <w:b/>
                <w:bCs/>
                <w:szCs w:val="17"/>
                <w:rtl/>
              </w:rPr>
              <w:t>الغاز</w:t>
            </w:r>
            <w:r w:rsidRPr="007D2480">
              <w:rPr>
                <w:sz w:val="17"/>
              </w:rPr>
              <w:tab/>
            </w:r>
          </w:p>
        </w:tc>
        <w:tc>
          <w:tcPr>
            <w:tcW w:w="242" w:type="dxa"/>
            <w:vAlign w:val="bottom"/>
          </w:tcPr>
          <w:p w14:paraId="7FA14553" w14:textId="77777777" w:rsidR="00AD68F9" w:rsidRPr="00E834EF" w:rsidRDefault="00AD68F9" w:rsidP="00AD68F9">
            <w:pPr>
              <w:spacing w:before="40" w:after="40"/>
              <w:rPr>
                <w:sz w:val="17"/>
                <w:szCs w:val="17"/>
              </w:rPr>
            </w:pPr>
          </w:p>
        </w:tc>
        <w:tc>
          <w:tcPr>
            <w:tcW w:w="913" w:type="dxa"/>
            <w:tcBorders>
              <w:top w:val="single" w:sz="4" w:space="0" w:color="auto"/>
            </w:tcBorders>
          </w:tcPr>
          <w:p w14:paraId="68ED85D9" w14:textId="7AE50B39" w:rsidR="00AD68F9" w:rsidRPr="002163D4" w:rsidRDefault="00AD68F9" w:rsidP="00AD68F9">
            <w:pPr>
              <w:spacing w:before="40" w:after="40"/>
              <w:jc w:val="right"/>
              <w:rPr>
                <w:b/>
                <w:bCs/>
                <w:color w:val="000000"/>
                <w:sz w:val="16"/>
                <w:szCs w:val="16"/>
              </w:rPr>
            </w:pPr>
            <w:r w:rsidRPr="002163D4">
              <w:rPr>
                <w:sz w:val="16"/>
                <w:szCs w:val="16"/>
              </w:rPr>
              <w:t>29.</w:t>
            </w:r>
            <w:r w:rsidR="00712D13">
              <w:rPr>
                <w:sz w:val="16"/>
                <w:szCs w:val="16"/>
              </w:rPr>
              <w:t>4</w:t>
            </w:r>
          </w:p>
        </w:tc>
        <w:tc>
          <w:tcPr>
            <w:tcW w:w="252" w:type="dxa"/>
            <w:gridSpan w:val="2"/>
            <w:vAlign w:val="bottom"/>
          </w:tcPr>
          <w:p w14:paraId="7B34CA0B"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3337FDA2" w14:textId="77777777" w:rsidR="00AD68F9" w:rsidRPr="002163D4" w:rsidRDefault="00AD68F9" w:rsidP="00AD68F9">
            <w:pPr>
              <w:spacing w:before="40" w:after="40"/>
              <w:jc w:val="right"/>
              <w:rPr>
                <w:b/>
                <w:bCs/>
                <w:color w:val="000000"/>
                <w:sz w:val="16"/>
                <w:szCs w:val="16"/>
              </w:rPr>
            </w:pPr>
            <w:r w:rsidRPr="002163D4">
              <w:rPr>
                <w:sz w:val="16"/>
                <w:szCs w:val="16"/>
              </w:rPr>
              <w:t>33.3</w:t>
            </w:r>
          </w:p>
        </w:tc>
        <w:tc>
          <w:tcPr>
            <w:tcW w:w="242" w:type="dxa"/>
            <w:vAlign w:val="bottom"/>
          </w:tcPr>
          <w:p w14:paraId="060A1096"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4B2B1113" w14:textId="77777777" w:rsidR="00AD68F9" w:rsidRPr="002163D4" w:rsidRDefault="00AD68F9" w:rsidP="00AD68F9">
            <w:pPr>
              <w:spacing w:before="40" w:after="40"/>
              <w:jc w:val="right"/>
              <w:rPr>
                <w:b/>
                <w:bCs/>
                <w:color w:val="000000"/>
                <w:sz w:val="16"/>
                <w:szCs w:val="16"/>
              </w:rPr>
            </w:pPr>
            <w:r w:rsidRPr="002163D4">
              <w:rPr>
                <w:sz w:val="16"/>
                <w:szCs w:val="16"/>
              </w:rPr>
              <w:t>40.2</w:t>
            </w:r>
          </w:p>
        </w:tc>
        <w:tc>
          <w:tcPr>
            <w:tcW w:w="242" w:type="dxa"/>
            <w:vAlign w:val="bottom"/>
          </w:tcPr>
          <w:p w14:paraId="4E3AE3C9" w14:textId="77777777" w:rsidR="00AD68F9" w:rsidRPr="002163D4" w:rsidRDefault="00AD68F9" w:rsidP="00AD68F9">
            <w:pPr>
              <w:spacing w:before="40" w:after="40"/>
              <w:rPr>
                <w:b/>
                <w:bCs/>
                <w:sz w:val="16"/>
                <w:szCs w:val="16"/>
              </w:rPr>
            </w:pPr>
          </w:p>
        </w:tc>
        <w:tc>
          <w:tcPr>
            <w:tcW w:w="924" w:type="dxa"/>
            <w:tcBorders>
              <w:top w:val="single" w:sz="4" w:space="0" w:color="auto"/>
            </w:tcBorders>
          </w:tcPr>
          <w:p w14:paraId="444186B6" w14:textId="77777777" w:rsidR="00AD68F9" w:rsidRPr="002163D4" w:rsidRDefault="00AD68F9" w:rsidP="00AD68F9">
            <w:pPr>
              <w:spacing w:before="40" w:after="40"/>
              <w:jc w:val="right"/>
              <w:rPr>
                <w:b/>
                <w:bCs/>
                <w:sz w:val="16"/>
                <w:szCs w:val="16"/>
              </w:rPr>
            </w:pPr>
            <w:r w:rsidRPr="002163D4">
              <w:rPr>
                <w:sz w:val="16"/>
                <w:szCs w:val="16"/>
              </w:rPr>
              <w:t>30.4</w:t>
            </w:r>
          </w:p>
        </w:tc>
        <w:tc>
          <w:tcPr>
            <w:tcW w:w="227" w:type="dxa"/>
            <w:vAlign w:val="bottom"/>
          </w:tcPr>
          <w:p w14:paraId="20D9D527" w14:textId="77777777" w:rsidR="00AD68F9" w:rsidRPr="002163D4" w:rsidRDefault="00AD68F9" w:rsidP="00AD68F9">
            <w:pPr>
              <w:spacing w:before="40" w:after="40"/>
              <w:rPr>
                <w:b/>
                <w:bCs/>
                <w:sz w:val="16"/>
                <w:szCs w:val="16"/>
              </w:rPr>
            </w:pPr>
          </w:p>
        </w:tc>
        <w:tc>
          <w:tcPr>
            <w:tcW w:w="939" w:type="dxa"/>
            <w:tcBorders>
              <w:top w:val="single" w:sz="4" w:space="0" w:color="auto"/>
            </w:tcBorders>
          </w:tcPr>
          <w:p w14:paraId="5FD2F542" w14:textId="77777777" w:rsidR="00AD68F9" w:rsidRPr="002163D4" w:rsidRDefault="00AD68F9" w:rsidP="00AD68F9">
            <w:pPr>
              <w:spacing w:before="40" w:after="40"/>
              <w:jc w:val="right"/>
              <w:rPr>
                <w:b/>
                <w:bCs/>
                <w:sz w:val="16"/>
                <w:szCs w:val="16"/>
              </w:rPr>
            </w:pPr>
            <w:r w:rsidRPr="002163D4">
              <w:rPr>
                <w:sz w:val="16"/>
                <w:szCs w:val="16"/>
              </w:rPr>
              <w:t>28.1</w:t>
            </w:r>
          </w:p>
        </w:tc>
        <w:tc>
          <w:tcPr>
            <w:tcW w:w="266" w:type="dxa"/>
            <w:vAlign w:val="bottom"/>
          </w:tcPr>
          <w:p w14:paraId="3B17D8BE" w14:textId="77777777" w:rsidR="00AD68F9" w:rsidRPr="000D2863" w:rsidRDefault="00AD68F9" w:rsidP="00AD68F9">
            <w:pPr>
              <w:spacing w:before="40" w:after="40"/>
              <w:rPr>
                <w:b/>
                <w:bCs/>
                <w:sz w:val="17"/>
                <w:szCs w:val="17"/>
              </w:rPr>
            </w:pPr>
          </w:p>
        </w:tc>
      </w:tr>
    </w:tbl>
    <w:p w14:paraId="4173CA24" w14:textId="77777777" w:rsidR="00AD68F9" w:rsidRDefault="00AD68F9" w:rsidP="00AD68F9">
      <w:pPr>
        <w:autoSpaceDE w:val="0"/>
        <w:autoSpaceDN w:val="0"/>
        <w:bidi/>
        <w:adjustRightInd w:val="0"/>
        <w:jc w:val="both"/>
        <w:rPr>
          <w:rFonts w:ascii="Traditional Arabic" w:hAnsi="Traditional Arabic" w:cs="Traditional Arabic"/>
          <w:sz w:val="30"/>
          <w:szCs w:val="30"/>
          <w:rtl/>
          <w:lang w:bidi="ar-EG"/>
        </w:rPr>
      </w:pPr>
    </w:p>
    <w:p w14:paraId="121EA3D8" w14:textId="77777777" w:rsidR="00D568A2" w:rsidRDefault="00D568A2" w:rsidP="00D568A2">
      <w:pPr>
        <w:autoSpaceDE w:val="0"/>
        <w:autoSpaceDN w:val="0"/>
        <w:bidi/>
        <w:adjustRightInd w:val="0"/>
        <w:jc w:val="both"/>
        <w:rPr>
          <w:rFonts w:ascii="Traditional Arabic" w:hAnsi="Traditional Arabic" w:cs="Traditional Arabic"/>
          <w:sz w:val="30"/>
          <w:szCs w:val="30"/>
          <w:rtl/>
          <w:lang w:bidi="ar-EG"/>
        </w:rPr>
      </w:pPr>
      <w:r w:rsidRPr="00D568A2">
        <w:rPr>
          <w:rFonts w:ascii="Traditional Arabic" w:hAnsi="Traditional Arabic" w:cs="Traditional Arabic"/>
          <w:sz w:val="30"/>
          <w:szCs w:val="30"/>
          <w:rtl/>
          <w:lang w:bidi="ar-EG"/>
        </w:rPr>
        <w:t>(7)</w:t>
      </w:r>
      <w:r w:rsidRPr="00D568A2">
        <w:rPr>
          <w:rFonts w:ascii="Traditional Arabic" w:hAnsi="Traditional Arabic" w:cs="Traditional Arabic"/>
          <w:sz w:val="30"/>
          <w:szCs w:val="30"/>
          <w:rtl/>
          <w:lang w:bidi="ar-EG"/>
        </w:rPr>
        <w:tab/>
        <w:t>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لقطاع ال</w:t>
      </w:r>
      <w:r w:rsidR="00607B02">
        <w:rPr>
          <w:rFonts w:ascii="Traditional Arabic" w:hAnsi="Traditional Arabic" w:cs="Traditional Arabic"/>
          <w:sz w:val="30"/>
          <w:szCs w:val="30"/>
          <w:rtl/>
          <w:lang w:bidi="ar-EG"/>
        </w:rPr>
        <w:t>نقل</w:t>
      </w:r>
      <w:r w:rsidRPr="00D568A2">
        <w:rPr>
          <w:rFonts w:ascii="Traditional Arabic" w:hAnsi="Traditional Arabic" w:cs="Traditional Arabic"/>
          <w:sz w:val="30"/>
          <w:szCs w:val="30"/>
          <w:rtl/>
          <w:lang w:bidi="ar-EG"/>
        </w:rPr>
        <w:t xml:space="preserve"> المنتظم للفترات المشار إليها:</w:t>
      </w:r>
    </w:p>
    <w:p w14:paraId="3C804400" w14:textId="77777777" w:rsidR="00AD68F9" w:rsidRDefault="00AD68F9" w:rsidP="00AD68F9">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AD68F9" w:rsidRPr="00E834EF" w14:paraId="47EE4268" w14:textId="77777777" w:rsidTr="00AD68F9">
        <w:trPr>
          <w:tblHeader/>
        </w:trPr>
        <w:tc>
          <w:tcPr>
            <w:tcW w:w="3254" w:type="dxa"/>
          </w:tcPr>
          <w:p w14:paraId="1FBD8620" w14:textId="77777777" w:rsidR="00AD68F9" w:rsidRPr="00E834EF" w:rsidRDefault="00AD68F9" w:rsidP="00AD68F9">
            <w:pPr>
              <w:keepNext/>
              <w:bidi/>
              <w:spacing w:before="40" w:after="120"/>
              <w:rPr>
                <w:b/>
                <w:sz w:val="17"/>
                <w:szCs w:val="17"/>
              </w:rPr>
            </w:pPr>
          </w:p>
        </w:tc>
        <w:tc>
          <w:tcPr>
            <w:tcW w:w="242" w:type="dxa"/>
          </w:tcPr>
          <w:p w14:paraId="44CF3019" w14:textId="77777777" w:rsidR="00AD68F9" w:rsidRPr="00E834EF" w:rsidRDefault="00AD68F9" w:rsidP="00AD68F9">
            <w:pPr>
              <w:spacing w:before="40" w:after="40"/>
              <w:rPr>
                <w:sz w:val="17"/>
                <w:szCs w:val="17"/>
              </w:rPr>
            </w:pPr>
          </w:p>
        </w:tc>
        <w:tc>
          <w:tcPr>
            <w:tcW w:w="3255" w:type="dxa"/>
            <w:gridSpan w:val="6"/>
            <w:tcBorders>
              <w:bottom w:val="single" w:sz="4" w:space="0" w:color="auto"/>
            </w:tcBorders>
          </w:tcPr>
          <w:p w14:paraId="5B750AF1" w14:textId="77777777" w:rsidR="00AD68F9" w:rsidRPr="00E834EF" w:rsidRDefault="00AD68F9" w:rsidP="00AD68F9">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3431B3EA" w14:textId="77777777" w:rsidR="00AD68F9" w:rsidRPr="00E834EF" w:rsidRDefault="00AD68F9" w:rsidP="00AD68F9">
            <w:pPr>
              <w:spacing w:before="40" w:after="40"/>
              <w:rPr>
                <w:sz w:val="17"/>
                <w:szCs w:val="17"/>
              </w:rPr>
            </w:pPr>
          </w:p>
        </w:tc>
        <w:tc>
          <w:tcPr>
            <w:tcW w:w="2090" w:type="dxa"/>
            <w:gridSpan w:val="3"/>
            <w:tcBorders>
              <w:bottom w:val="single" w:sz="4" w:space="0" w:color="auto"/>
            </w:tcBorders>
          </w:tcPr>
          <w:p w14:paraId="71CFF537" w14:textId="77777777" w:rsidR="00AD68F9" w:rsidRPr="00E834EF" w:rsidRDefault="00AD68F9" w:rsidP="00AD68F9">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51FF3DAF" w14:textId="77777777" w:rsidR="00AD68F9" w:rsidRPr="00E834EF" w:rsidRDefault="00AD68F9" w:rsidP="00AD68F9">
            <w:pPr>
              <w:keepNext/>
              <w:spacing w:before="40" w:after="120"/>
              <w:jc w:val="center"/>
              <w:rPr>
                <w:b/>
                <w:sz w:val="17"/>
                <w:szCs w:val="17"/>
              </w:rPr>
            </w:pPr>
          </w:p>
        </w:tc>
      </w:tr>
      <w:tr w:rsidR="00AD68F9" w:rsidRPr="00E834EF" w14:paraId="48DBAA28" w14:textId="77777777" w:rsidTr="00AD68F9">
        <w:trPr>
          <w:tblHeader/>
        </w:trPr>
        <w:tc>
          <w:tcPr>
            <w:tcW w:w="3254" w:type="dxa"/>
          </w:tcPr>
          <w:p w14:paraId="1A7675D6" w14:textId="77777777" w:rsidR="00AD68F9" w:rsidRPr="00E834EF" w:rsidRDefault="00AD68F9" w:rsidP="00AD68F9">
            <w:pPr>
              <w:keepNext/>
              <w:bidi/>
              <w:spacing w:before="40" w:after="120"/>
              <w:rPr>
                <w:b/>
                <w:sz w:val="17"/>
                <w:szCs w:val="17"/>
              </w:rPr>
            </w:pPr>
          </w:p>
        </w:tc>
        <w:tc>
          <w:tcPr>
            <w:tcW w:w="242" w:type="dxa"/>
          </w:tcPr>
          <w:p w14:paraId="4D93555A" w14:textId="77777777" w:rsidR="00AD68F9" w:rsidRPr="00E834EF" w:rsidRDefault="00AD68F9" w:rsidP="00AD68F9">
            <w:pPr>
              <w:spacing w:before="40" w:after="40"/>
              <w:rPr>
                <w:sz w:val="17"/>
                <w:szCs w:val="17"/>
              </w:rPr>
            </w:pPr>
          </w:p>
        </w:tc>
        <w:tc>
          <w:tcPr>
            <w:tcW w:w="923" w:type="dxa"/>
            <w:gridSpan w:val="2"/>
            <w:tcBorders>
              <w:top w:val="single" w:sz="4" w:space="0" w:color="auto"/>
              <w:bottom w:val="single" w:sz="4" w:space="0" w:color="auto"/>
            </w:tcBorders>
          </w:tcPr>
          <w:p w14:paraId="283E49E5" w14:textId="77777777" w:rsidR="00AD68F9" w:rsidRPr="00E834EF" w:rsidRDefault="00AD68F9" w:rsidP="00AD68F9">
            <w:pPr>
              <w:keepNext/>
              <w:spacing w:before="40" w:after="120"/>
              <w:jc w:val="right"/>
              <w:rPr>
                <w:b/>
                <w:sz w:val="17"/>
                <w:szCs w:val="17"/>
              </w:rPr>
            </w:pPr>
            <w:r w:rsidRPr="00E834EF">
              <w:rPr>
                <w:b/>
                <w:sz w:val="17"/>
                <w:szCs w:val="17"/>
              </w:rPr>
              <w:t>2021</w:t>
            </w:r>
          </w:p>
        </w:tc>
        <w:tc>
          <w:tcPr>
            <w:tcW w:w="242" w:type="dxa"/>
          </w:tcPr>
          <w:p w14:paraId="78A594C1"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0348A3A8" w14:textId="77777777" w:rsidR="00AD68F9" w:rsidRPr="00E834EF" w:rsidRDefault="00AD68F9" w:rsidP="00AD68F9">
            <w:pPr>
              <w:keepNext/>
              <w:spacing w:before="40" w:after="120"/>
              <w:jc w:val="right"/>
              <w:rPr>
                <w:b/>
                <w:sz w:val="17"/>
                <w:szCs w:val="17"/>
              </w:rPr>
            </w:pPr>
            <w:r w:rsidRPr="00E834EF">
              <w:rPr>
                <w:b/>
                <w:sz w:val="17"/>
                <w:szCs w:val="17"/>
              </w:rPr>
              <w:t>2022</w:t>
            </w:r>
          </w:p>
        </w:tc>
        <w:tc>
          <w:tcPr>
            <w:tcW w:w="242" w:type="dxa"/>
          </w:tcPr>
          <w:p w14:paraId="14BB1B1B"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690BA1B1" w14:textId="77777777" w:rsidR="00AD68F9" w:rsidRPr="00E834EF" w:rsidRDefault="00AD68F9" w:rsidP="00AD68F9">
            <w:pPr>
              <w:keepNext/>
              <w:spacing w:before="40" w:after="120"/>
              <w:jc w:val="right"/>
              <w:rPr>
                <w:b/>
                <w:sz w:val="17"/>
                <w:szCs w:val="17"/>
              </w:rPr>
            </w:pPr>
            <w:r w:rsidRPr="00E834EF">
              <w:rPr>
                <w:b/>
                <w:sz w:val="17"/>
                <w:szCs w:val="17"/>
              </w:rPr>
              <w:t>2023</w:t>
            </w:r>
          </w:p>
        </w:tc>
        <w:tc>
          <w:tcPr>
            <w:tcW w:w="242" w:type="dxa"/>
          </w:tcPr>
          <w:p w14:paraId="7E46EDB2" w14:textId="77777777" w:rsidR="00AD68F9" w:rsidRPr="00E834EF" w:rsidRDefault="00AD68F9" w:rsidP="00AD68F9">
            <w:pPr>
              <w:spacing w:before="40" w:after="40"/>
              <w:rPr>
                <w:sz w:val="17"/>
                <w:szCs w:val="17"/>
              </w:rPr>
            </w:pPr>
          </w:p>
        </w:tc>
        <w:tc>
          <w:tcPr>
            <w:tcW w:w="924" w:type="dxa"/>
            <w:tcBorders>
              <w:top w:val="single" w:sz="4" w:space="0" w:color="auto"/>
              <w:bottom w:val="single" w:sz="4" w:space="0" w:color="auto"/>
            </w:tcBorders>
          </w:tcPr>
          <w:p w14:paraId="0219C32C" w14:textId="77777777" w:rsidR="00AD68F9" w:rsidRPr="00E834EF" w:rsidRDefault="00AD68F9" w:rsidP="00AD68F9">
            <w:pPr>
              <w:keepNext/>
              <w:spacing w:before="40" w:after="120"/>
              <w:jc w:val="right"/>
              <w:rPr>
                <w:b/>
                <w:sz w:val="17"/>
                <w:szCs w:val="17"/>
              </w:rPr>
            </w:pPr>
            <w:r w:rsidRPr="00E834EF">
              <w:rPr>
                <w:b/>
                <w:sz w:val="17"/>
                <w:szCs w:val="17"/>
              </w:rPr>
              <w:t>2023</w:t>
            </w:r>
          </w:p>
        </w:tc>
        <w:tc>
          <w:tcPr>
            <w:tcW w:w="227" w:type="dxa"/>
          </w:tcPr>
          <w:p w14:paraId="31612C0D" w14:textId="77777777" w:rsidR="00AD68F9" w:rsidRPr="00E834EF" w:rsidRDefault="00AD68F9" w:rsidP="00AD68F9">
            <w:pPr>
              <w:spacing w:before="40" w:after="40"/>
              <w:rPr>
                <w:sz w:val="17"/>
                <w:szCs w:val="17"/>
              </w:rPr>
            </w:pPr>
          </w:p>
        </w:tc>
        <w:tc>
          <w:tcPr>
            <w:tcW w:w="939" w:type="dxa"/>
            <w:tcBorders>
              <w:top w:val="single" w:sz="4" w:space="0" w:color="auto"/>
              <w:bottom w:val="single" w:sz="4" w:space="0" w:color="auto"/>
            </w:tcBorders>
          </w:tcPr>
          <w:p w14:paraId="77E3C9FC" w14:textId="77777777" w:rsidR="00AD68F9" w:rsidRPr="00E834EF" w:rsidRDefault="00AD68F9" w:rsidP="00AD68F9">
            <w:pPr>
              <w:keepNext/>
              <w:spacing w:before="40" w:after="120"/>
              <w:jc w:val="right"/>
              <w:rPr>
                <w:b/>
                <w:sz w:val="17"/>
                <w:szCs w:val="17"/>
              </w:rPr>
            </w:pPr>
            <w:r w:rsidRPr="00E834EF">
              <w:rPr>
                <w:b/>
                <w:sz w:val="17"/>
                <w:szCs w:val="17"/>
              </w:rPr>
              <w:t>2024</w:t>
            </w:r>
          </w:p>
        </w:tc>
        <w:tc>
          <w:tcPr>
            <w:tcW w:w="266" w:type="dxa"/>
          </w:tcPr>
          <w:p w14:paraId="78C8C287" w14:textId="77777777" w:rsidR="00AD68F9" w:rsidRPr="00E834EF" w:rsidRDefault="00AD68F9" w:rsidP="00AD68F9">
            <w:pPr>
              <w:keepNext/>
              <w:spacing w:before="40" w:after="120"/>
              <w:jc w:val="right"/>
              <w:rPr>
                <w:b/>
                <w:sz w:val="17"/>
                <w:szCs w:val="17"/>
              </w:rPr>
            </w:pPr>
          </w:p>
        </w:tc>
      </w:tr>
      <w:tr w:rsidR="00AD68F9" w:rsidRPr="00E834EF" w14:paraId="05340D6B" w14:textId="77777777" w:rsidTr="00AD68F9">
        <w:trPr>
          <w:trHeight w:val="215"/>
          <w:tblHeader/>
        </w:trPr>
        <w:tc>
          <w:tcPr>
            <w:tcW w:w="3254" w:type="dxa"/>
          </w:tcPr>
          <w:p w14:paraId="2E1B96C6" w14:textId="77777777" w:rsidR="00AD68F9" w:rsidRPr="00E834EF" w:rsidRDefault="00AD68F9" w:rsidP="00AD68F9">
            <w:pPr>
              <w:keepNext/>
              <w:bidi/>
              <w:spacing w:before="40" w:after="120"/>
              <w:jc w:val="center"/>
              <w:rPr>
                <w:i/>
                <w:sz w:val="17"/>
                <w:szCs w:val="17"/>
              </w:rPr>
            </w:pPr>
          </w:p>
        </w:tc>
        <w:tc>
          <w:tcPr>
            <w:tcW w:w="242" w:type="dxa"/>
          </w:tcPr>
          <w:p w14:paraId="73740663" w14:textId="77777777" w:rsidR="00AD68F9" w:rsidRPr="00E834EF" w:rsidRDefault="00AD68F9" w:rsidP="00AD68F9">
            <w:pPr>
              <w:keepNext/>
              <w:spacing w:before="40" w:after="120"/>
              <w:jc w:val="center"/>
              <w:rPr>
                <w:i/>
                <w:sz w:val="17"/>
                <w:szCs w:val="17"/>
              </w:rPr>
            </w:pPr>
          </w:p>
        </w:tc>
        <w:tc>
          <w:tcPr>
            <w:tcW w:w="5587" w:type="dxa"/>
            <w:gridSpan w:val="10"/>
          </w:tcPr>
          <w:p w14:paraId="452609B6" w14:textId="77777777" w:rsidR="00AD68F9" w:rsidRPr="00E834EF" w:rsidRDefault="00AD68F9" w:rsidP="00AD68F9">
            <w:pPr>
              <w:keepNext/>
              <w:spacing w:before="40" w:after="120"/>
              <w:jc w:val="center"/>
              <w:rPr>
                <w:i/>
                <w:sz w:val="17"/>
                <w:szCs w:val="17"/>
              </w:rPr>
            </w:pPr>
            <w:r w:rsidRPr="00E834EF">
              <w:rPr>
                <w:i/>
                <w:color w:val="000000"/>
                <w:sz w:val="17"/>
                <w:szCs w:val="17"/>
              </w:rPr>
              <w:t>(</w:t>
            </w:r>
            <w:r>
              <w:rPr>
                <w:i/>
                <w:color w:val="000000"/>
                <w:sz w:val="17"/>
                <w:szCs w:val="17"/>
              </w:rPr>
              <w:t>OMR</w:t>
            </w:r>
            <w:r w:rsidRPr="00E834EF">
              <w:rPr>
                <w:i/>
                <w:color w:val="000000"/>
                <w:sz w:val="17"/>
                <w:szCs w:val="17"/>
              </w:rPr>
              <w:t xml:space="preserve"> </w:t>
            </w:r>
            <w:r>
              <w:rPr>
                <w:i/>
                <w:color w:val="000000"/>
                <w:sz w:val="17"/>
                <w:szCs w:val="17"/>
              </w:rPr>
              <w:t>millions</w:t>
            </w:r>
            <w:r w:rsidRPr="00E834EF">
              <w:rPr>
                <w:i/>
                <w:color w:val="000000"/>
                <w:sz w:val="17"/>
                <w:szCs w:val="17"/>
              </w:rPr>
              <w:t>)</w:t>
            </w:r>
          </w:p>
        </w:tc>
        <w:tc>
          <w:tcPr>
            <w:tcW w:w="266" w:type="dxa"/>
          </w:tcPr>
          <w:p w14:paraId="5F4F6DCC" w14:textId="77777777" w:rsidR="00AD68F9" w:rsidRPr="00E834EF" w:rsidRDefault="00AD68F9" w:rsidP="00AD68F9">
            <w:pPr>
              <w:keepNext/>
              <w:spacing w:before="40" w:after="120"/>
              <w:jc w:val="center"/>
              <w:rPr>
                <w:i/>
                <w:color w:val="000000"/>
                <w:sz w:val="17"/>
                <w:szCs w:val="17"/>
              </w:rPr>
            </w:pPr>
          </w:p>
        </w:tc>
      </w:tr>
      <w:tr w:rsidR="00AD68F9" w:rsidRPr="00E834EF" w14:paraId="1FC9FE35" w14:textId="77777777" w:rsidTr="00AD68F9">
        <w:tc>
          <w:tcPr>
            <w:tcW w:w="3254" w:type="dxa"/>
            <w:vAlign w:val="bottom"/>
          </w:tcPr>
          <w:p w14:paraId="38F38156" w14:textId="77777777" w:rsidR="00AD68F9" w:rsidRDefault="00AD68F9" w:rsidP="00AD68F9">
            <w:pPr>
              <w:tabs>
                <w:tab w:val="right" w:leader="dot" w:pos="3255"/>
              </w:tabs>
              <w:bidi/>
              <w:spacing w:before="40" w:after="40"/>
              <w:ind w:left="12"/>
              <w:rPr>
                <w:b/>
                <w:bCs/>
                <w:color w:val="000000"/>
                <w:sz w:val="17"/>
                <w:szCs w:val="17"/>
              </w:rPr>
            </w:pPr>
            <w:r>
              <w:rPr>
                <w:rFonts w:hint="cs"/>
                <w:b/>
                <w:bCs/>
                <w:color w:val="000000"/>
                <w:sz w:val="17"/>
                <w:szCs w:val="17"/>
                <w:rtl/>
              </w:rPr>
              <w:t>إيرادات ال</w:t>
            </w:r>
            <w:r w:rsidR="00607B02">
              <w:rPr>
                <w:rFonts w:hint="cs"/>
                <w:b/>
                <w:bCs/>
                <w:color w:val="000000"/>
                <w:sz w:val="17"/>
                <w:szCs w:val="17"/>
                <w:rtl/>
              </w:rPr>
              <w:t>نقل</w:t>
            </w:r>
            <w:r>
              <w:rPr>
                <w:rFonts w:hint="cs"/>
                <w:b/>
                <w:bCs/>
                <w:color w:val="000000"/>
                <w:sz w:val="17"/>
                <w:szCs w:val="17"/>
                <w:rtl/>
              </w:rPr>
              <w:t xml:space="preserve"> المنتظم</w:t>
            </w:r>
            <w:r w:rsidRPr="0054596C">
              <w:rPr>
                <w:sz w:val="17"/>
              </w:rPr>
              <w:tab/>
            </w:r>
          </w:p>
        </w:tc>
        <w:tc>
          <w:tcPr>
            <w:tcW w:w="242" w:type="dxa"/>
            <w:vAlign w:val="bottom"/>
          </w:tcPr>
          <w:p w14:paraId="70B5944F" w14:textId="77777777" w:rsidR="00AD68F9" w:rsidRPr="00E834EF" w:rsidRDefault="00AD68F9" w:rsidP="00AD68F9">
            <w:pPr>
              <w:spacing w:before="40" w:after="40"/>
              <w:rPr>
                <w:sz w:val="17"/>
                <w:szCs w:val="17"/>
              </w:rPr>
            </w:pPr>
          </w:p>
        </w:tc>
        <w:tc>
          <w:tcPr>
            <w:tcW w:w="913" w:type="dxa"/>
            <w:vAlign w:val="bottom"/>
          </w:tcPr>
          <w:p w14:paraId="01079343" w14:textId="77777777" w:rsidR="00AD68F9" w:rsidRPr="000A73F0" w:rsidRDefault="00AD68F9" w:rsidP="00AD68F9">
            <w:pPr>
              <w:spacing w:before="40" w:after="40"/>
              <w:jc w:val="right"/>
              <w:rPr>
                <w:color w:val="000000"/>
                <w:sz w:val="17"/>
                <w:szCs w:val="17"/>
              </w:rPr>
            </w:pPr>
            <w:r>
              <w:rPr>
                <w:sz w:val="17"/>
                <w:szCs w:val="17"/>
              </w:rPr>
              <w:t>41.1</w:t>
            </w:r>
          </w:p>
        </w:tc>
        <w:tc>
          <w:tcPr>
            <w:tcW w:w="252" w:type="dxa"/>
            <w:gridSpan w:val="2"/>
            <w:vAlign w:val="bottom"/>
          </w:tcPr>
          <w:p w14:paraId="1AA92EDC" w14:textId="77777777" w:rsidR="00AD68F9" w:rsidRPr="007766C5" w:rsidRDefault="00AD68F9" w:rsidP="00AD68F9">
            <w:pPr>
              <w:spacing w:before="40" w:after="40"/>
              <w:rPr>
                <w:color w:val="000000"/>
                <w:sz w:val="17"/>
                <w:szCs w:val="17"/>
              </w:rPr>
            </w:pPr>
          </w:p>
        </w:tc>
        <w:tc>
          <w:tcPr>
            <w:tcW w:w="924" w:type="dxa"/>
            <w:vAlign w:val="bottom"/>
          </w:tcPr>
          <w:p w14:paraId="67776644" w14:textId="77777777" w:rsidR="00AD68F9" w:rsidRPr="007766C5" w:rsidRDefault="00AD68F9" w:rsidP="00AD68F9">
            <w:pPr>
              <w:spacing w:before="40" w:after="40"/>
              <w:jc w:val="right"/>
              <w:rPr>
                <w:color w:val="000000"/>
                <w:sz w:val="17"/>
                <w:szCs w:val="17"/>
              </w:rPr>
            </w:pPr>
            <w:r>
              <w:rPr>
                <w:sz w:val="17"/>
                <w:szCs w:val="17"/>
              </w:rPr>
              <w:t>57.3</w:t>
            </w:r>
          </w:p>
        </w:tc>
        <w:tc>
          <w:tcPr>
            <w:tcW w:w="242" w:type="dxa"/>
            <w:vAlign w:val="bottom"/>
          </w:tcPr>
          <w:p w14:paraId="6A9B3AD2" w14:textId="77777777" w:rsidR="00AD68F9" w:rsidRPr="007766C5" w:rsidRDefault="00AD68F9" w:rsidP="00AD68F9">
            <w:pPr>
              <w:spacing w:before="40" w:after="40"/>
              <w:rPr>
                <w:color w:val="000000"/>
                <w:sz w:val="17"/>
                <w:szCs w:val="17"/>
              </w:rPr>
            </w:pPr>
          </w:p>
        </w:tc>
        <w:tc>
          <w:tcPr>
            <w:tcW w:w="924" w:type="dxa"/>
            <w:vAlign w:val="bottom"/>
          </w:tcPr>
          <w:p w14:paraId="602C730A" w14:textId="77777777" w:rsidR="00AD68F9" w:rsidRPr="007766C5" w:rsidRDefault="00AD68F9" w:rsidP="00AD68F9">
            <w:pPr>
              <w:spacing w:before="40" w:after="40"/>
              <w:jc w:val="right"/>
              <w:rPr>
                <w:color w:val="000000"/>
                <w:sz w:val="17"/>
                <w:szCs w:val="17"/>
              </w:rPr>
            </w:pPr>
            <w:r>
              <w:rPr>
                <w:sz w:val="17"/>
                <w:szCs w:val="17"/>
              </w:rPr>
              <w:t>44.2</w:t>
            </w:r>
          </w:p>
        </w:tc>
        <w:tc>
          <w:tcPr>
            <w:tcW w:w="242" w:type="dxa"/>
            <w:vAlign w:val="bottom"/>
          </w:tcPr>
          <w:p w14:paraId="24461DED" w14:textId="77777777" w:rsidR="00AD68F9" w:rsidRPr="007766C5" w:rsidRDefault="00AD68F9" w:rsidP="00AD68F9">
            <w:pPr>
              <w:spacing w:before="40" w:after="40"/>
              <w:rPr>
                <w:sz w:val="17"/>
                <w:szCs w:val="17"/>
              </w:rPr>
            </w:pPr>
          </w:p>
        </w:tc>
        <w:tc>
          <w:tcPr>
            <w:tcW w:w="924" w:type="dxa"/>
            <w:vAlign w:val="bottom"/>
          </w:tcPr>
          <w:p w14:paraId="30F6D807" w14:textId="77777777" w:rsidR="00AD68F9" w:rsidRPr="007766C5" w:rsidRDefault="00AD68F9" w:rsidP="00AD68F9">
            <w:pPr>
              <w:spacing w:before="40" w:after="40"/>
              <w:jc w:val="right"/>
              <w:rPr>
                <w:sz w:val="17"/>
                <w:szCs w:val="17"/>
              </w:rPr>
            </w:pPr>
            <w:r>
              <w:rPr>
                <w:sz w:val="17"/>
                <w:szCs w:val="17"/>
              </w:rPr>
              <w:t>32.8</w:t>
            </w:r>
          </w:p>
        </w:tc>
        <w:tc>
          <w:tcPr>
            <w:tcW w:w="227" w:type="dxa"/>
            <w:vAlign w:val="bottom"/>
          </w:tcPr>
          <w:p w14:paraId="08CA5099" w14:textId="77777777" w:rsidR="00AD68F9" w:rsidRPr="007766C5" w:rsidRDefault="00AD68F9" w:rsidP="00AD68F9">
            <w:pPr>
              <w:spacing w:before="40" w:after="40"/>
              <w:rPr>
                <w:sz w:val="17"/>
                <w:szCs w:val="17"/>
              </w:rPr>
            </w:pPr>
          </w:p>
        </w:tc>
        <w:tc>
          <w:tcPr>
            <w:tcW w:w="939" w:type="dxa"/>
            <w:vAlign w:val="bottom"/>
          </w:tcPr>
          <w:p w14:paraId="5482BF12" w14:textId="77777777" w:rsidR="00AD68F9" w:rsidRPr="007766C5" w:rsidRDefault="00AD68F9" w:rsidP="00AD68F9">
            <w:pPr>
              <w:spacing w:before="40" w:after="40"/>
              <w:jc w:val="right"/>
              <w:rPr>
                <w:sz w:val="17"/>
                <w:szCs w:val="17"/>
              </w:rPr>
            </w:pPr>
            <w:r>
              <w:rPr>
                <w:sz w:val="17"/>
                <w:szCs w:val="17"/>
              </w:rPr>
              <w:t>42.7</w:t>
            </w:r>
          </w:p>
        </w:tc>
        <w:tc>
          <w:tcPr>
            <w:tcW w:w="266" w:type="dxa"/>
          </w:tcPr>
          <w:p w14:paraId="36E8E5F0" w14:textId="77777777" w:rsidR="00AD68F9" w:rsidRPr="000D2863" w:rsidRDefault="00AD68F9" w:rsidP="00AD68F9">
            <w:pPr>
              <w:spacing w:before="40" w:after="40"/>
              <w:rPr>
                <w:sz w:val="17"/>
                <w:szCs w:val="17"/>
              </w:rPr>
            </w:pPr>
          </w:p>
        </w:tc>
      </w:tr>
      <w:tr w:rsidR="00AD68F9" w:rsidRPr="00E834EF" w14:paraId="5D7FCB1E" w14:textId="77777777" w:rsidTr="00AD68F9">
        <w:tc>
          <w:tcPr>
            <w:tcW w:w="3254" w:type="dxa"/>
          </w:tcPr>
          <w:p w14:paraId="2329FED0" w14:textId="77777777" w:rsidR="00AD68F9" w:rsidRDefault="00AD68F9" w:rsidP="00AD68F9">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1D2136F3" w14:textId="77777777" w:rsidR="00AD68F9" w:rsidRPr="00E834EF" w:rsidRDefault="00AD68F9" w:rsidP="00AD68F9">
            <w:pPr>
              <w:spacing w:before="40" w:after="40"/>
              <w:rPr>
                <w:sz w:val="17"/>
                <w:szCs w:val="17"/>
              </w:rPr>
            </w:pPr>
          </w:p>
        </w:tc>
        <w:tc>
          <w:tcPr>
            <w:tcW w:w="913" w:type="dxa"/>
            <w:tcBorders>
              <w:bottom w:val="single" w:sz="4" w:space="0" w:color="auto"/>
            </w:tcBorders>
            <w:vAlign w:val="bottom"/>
          </w:tcPr>
          <w:p w14:paraId="1E45C366" w14:textId="77777777" w:rsidR="00AD68F9" w:rsidRPr="000A73F0" w:rsidRDefault="00AD68F9" w:rsidP="00AD68F9">
            <w:pPr>
              <w:spacing w:before="40" w:after="40"/>
              <w:jc w:val="right"/>
              <w:rPr>
                <w:color w:val="000000"/>
                <w:sz w:val="17"/>
                <w:szCs w:val="17"/>
              </w:rPr>
            </w:pPr>
            <w:r>
              <w:rPr>
                <w:sz w:val="17"/>
                <w:szCs w:val="17"/>
              </w:rPr>
              <w:t>(19.8</w:t>
            </w:r>
            <w:r w:rsidR="00691785">
              <w:rPr>
                <w:sz w:val="17"/>
                <w:szCs w:val="17"/>
              </w:rPr>
              <w:t>)</w:t>
            </w:r>
          </w:p>
        </w:tc>
        <w:tc>
          <w:tcPr>
            <w:tcW w:w="252" w:type="dxa"/>
            <w:gridSpan w:val="2"/>
            <w:vAlign w:val="bottom"/>
          </w:tcPr>
          <w:p w14:paraId="7565DF97" w14:textId="77777777" w:rsidR="00AD68F9" w:rsidRPr="007766C5" w:rsidRDefault="00AD68F9" w:rsidP="00AD68F9">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603FA541" w14:textId="77777777" w:rsidR="00AD68F9" w:rsidRPr="007766C5" w:rsidRDefault="00AD68F9" w:rsidP="00AD68F9">
            <w:pPr>
              <w:spacing w:before="40" w:after="40"/>
              <w:jc w:val="right"/>
              <w:rPr>
                <w:color w:val="000000"/>
                <w:sz w:val="17"/>
                <w:szCs w:val="17"/>
              </w:rPr>
            </w:pPr>
            <w:r>
              <w:rPr>
                <w:sz w:val="17"/>
                <w:szCs w:val="17"/>
              </w:rPr>
              <w:t>(26.5</w:t>
            </w:r>
          </w:p>
        </w:tc>
        <w:tc>
          <w:tcPr>
            <w:tcW w:w="242" w:type="dxa"/>
            <w:vAlign w:val="bottom"/>
          </w:tcPr>
          <w:p w14:paraId="04B3A321" w14:textId="77777777" w:rsidR="00AD68F9" w:rsidRPr="007766C5" w:rsidRDefault="00AD68F9" w:rsidP="00AD68F9">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7A85EDC5" w14:textId="77777777" w:rsidR="00AD68F9" w:rsidRPr="007766C5" w:rsidRDefault="00AD68F9" w:rsidP="00AD68F9">
            <w:pPr>
              <w:spacing w:before="40" w:after="40"/>
              <w:jc w:val="right"/>
              <w:rPr>
                <w:color w:val="000000"/>
                <w:sz w:val="17"/>
                <w:szCs w:val="17"/>
              </w:rPr>
            </w:pPr>
            <w:r>
              <w:rPr>
                <w:sz w:val="17"/>
                <w:szCs w:val="17"/>
              </w:rPr>
              <w:t>(39.8</w:t>
            </w:r>
          </w:p>
        </w:tc>
        <w:tc>
          <w:tcPr>
            <w:tcW w:w="242" w:type="dxa"/>
            <w:vAlign w:val="bottom"/>
          </w:tcPr>
          <w:p w14:paraId="7EFF9506" w14:textId="77777777" w:rsidR="00AD68F9" w:rsidRPr="007766C5" w:rsidRDefault="00AD68F9" w:rsidP="00AD68F9">
            <w:pPr>
              <w:spacing w:before="40" w:after="40"/>
              <w:rPr>
                <w:sz w:val="17"/>
                <w:szCs w:val="17"/>
              </w:rPr>
            </w:pPr>
            <w:r>
              <w:rPr>
                <w:sz w:val="17"/>
                <w:szCs w:val="17"/>
              </w:rPr>
              <w:t>)</w:t>
            </w:r>
          </w:p>
        </w:tc>
        <w:tc>
          <w:tcPr>
            <w:tcW w:w="924" w:type="dxa"/>
            <w:tcBorders>
              <w:bottom w:val="single" w:sz="4" w:space="0" w:color="auto"/>
            </w:tcBorders>
            <w:vAlign w:val="bottom"/>
          </w:tcPr>
          <w:p w14:paraId="2E050E21" w14:textId="77777777" w:rsidR="00AD68F9" w:rsidRPr="007766C5" w:rsidRDefault="00AD68F9" w:rsidP="00AD68F9">
            <w:pPr>
              <w:spacing w:before="40" w:after="40"/>
              <w:jc w:val="right"/>
              <w:rPr>
                <w:sz w:val="17"/>
                <w:szCs w:val="17"/>
              </w:rPr>
            </w:pPr>
            <w:r>
              <w:rPr>
                <w:sz w:val="17"/>
                <w:szCs w:val="17"/>
              </w:rPr>
              <w:t>(27.7</w:t>
            </w:r>
          </w:p>
        </w:tc>
        <w:tc>
          <w:tcPr>
            <w:tcW w:w="227" w:type="dxa"/>
            <w:vAlign w:val="bottom"/>
          </w:tcPr>
          <w:p w14:paraId="12FBC0B6" w14:textId="77777777" w:rsidR="00AD68F9" w:rsidRPr="007766C5" w:rsidRDefault="00AD68F9" w:rsidP="00AD68F9">
            <w:pPr>
              <w:spacing w:before="40" w:after="40"/>
              <w:rPr>
                <w:sz w:val="17"/>
                <w:szCs w:val="17"/>
              </w:rPr>
            </w:pPr>
            <w:r>
              <w:rPr>
                <w:sz w:val="17"/>
                <w:szCs w:val="17"/>
              </w:rPr>
              <w:t>)</w:t>
            </w:r>
          </w:p>
        </w:tc>
        <w:tc>
          <w:tcPr>
            <w:tcW w:w="939" w:type="dxa"/>
            <w:tcBorders>
              <w:bottom w:val="single" w:sz="4" w:space="0" w:color="auto"/>
            </w:tcBorders>
            <w:vAlign w:val="bottom"/>
          </w:tcPr>
          <w:p w14:paraId="5F1CCCD9" w14:textId="77777777" w:rsidR="00AD68F9" w:rsidRPr="007766C5" w:rsidRDefault="00AD68F9" w:rsidP="00AD68F9">
            <w:pPr>
              <w:spacing w:before="40" w:after="40"/>
              <w:jc w:val="right"/>
              <w:rPr>
                <w:sz w:val="17"/>
                <w:szCs w:val="17"/>
              </w:rPr>
            </w:pPr>
            <w:r>
              <w:rPr>
                <w:sz w:val="17"/>
                <w:szCs w:val="17"/>
              </w:rPr>
              <w:t>(25.8</w:t>
            </w:r>
          </w:p>
        </w:tc>
        <w:tc>
          <w:tcPr>
            <w:tcW w:w="266" w:type="dxa"/>
            <w:vAlign w:val="bottom"/>
          </w:tcPr>
          <w:p w14:paraId="6EEB8CA7" w14:textId="77777777" w:rsidR="00AD68F9" w:rsidRPr="007766C5" w:rsidRDefault="00AD68F9" w:rsidP="00AD68F9">
            <w:pPr>
              <w:spacing w:before="40" w:after="40"/>
              <w:rPr>
                <w:sz w:val="17"/>
                <w:szCs w:val="17"/>
              </w:rPr>
            </w:pPr>
          </w:p>
        </w:tc>
      </w:tr>
      <w:tr w:rsidR="00AD68F9" w:rsidRPr="00E834EF" w14:paraId="3E60BC6A" w14:textId="77777777" w:rsidTr="00AD68F9">
        <w:tc>
          <w:tcPr>
            <w:tcW w:w="3254" w:type="dxa"/>
          </w:tcPr>
          <w:p w14:paraId="0AA01FD5" w14:textId="77777777" w:rsidR="00AD68F9" w:rsidRDefault="00AD68F9" w:rsidP="00AD68F9">
            <w:pPr>
              <w:tabs>
                <w:tab w:val="right" w:leader="dot" w:pos="3255"/>
              </w:tabs>
              <w:bidi/>
              <w:spacing w:before="40" w:after="40"/>
              <w:rPr>
                <w:b/>
                <w:bCs/>
                <w:sz w:val="17"/>
                <w:szCs w:val="17"/>
                <w:u w:val="single"/>
              </w:rPr>
            </w:pPr>
            <w:r w:rsidRPr="002A4B5D">
              <w:rPr>
                <w:rFonts w:hint="cs"/>
                <w:b/>
                <w:bCs/>
                <w:sz w:val="17"/>
                <w:szCs w:val="17"/>
                <w:u w:val="single"/>
                <w:rtl/>
              </w:rPr>
              <w:t xml:space="preserve">إيرادات مكافئ تأجير السفن المجهزة بالمدة </w:t>
            </w:r>
            <w:r>
              <w:rPr>
                <w:rFonts w:hint="cs"/>
                <w:b/>
                <w:bCs/>
                <w:sz w:val="17"/>
                <w:szCs w:val="17"/>
                <w:u w:val="single"/>
                <w:rtl/>
              </w:rPr>
              <w:t>لل</w:t>
            </w:r>
            <w:r w:rsidR="00607B02">
              <w:rPr>
                <w:rFonts w:hint="cs"/>
                <w:b/>
                <w:bCs/>
                <w:sz w:val="17"/>
                <w:szCs w:val="17"/>
                <w:u w:val="single"/>
                <w:rtl/>
              </w:rPr>
              <w:t>نقل</w:t>
            </w:r>
            <w:r>
              <w:rPr>
                <w:rFonts w:hint="cs"/>
                <w:b/>
                <w:bCs/>
                <w:sz w:val="17"/>
                <w:szCs w:val="17"/>
                <w:u w:val="single"/>
                <w:rtl/>
              </w:rPr>
              <w:t xml:space="preserve"> المنتظم</w:t>
            </w:r>
            <w:r w:rsidRPr="007D2480">
              <w:rPr>
                <w:sz w:val="17"/>
              </w:rPr>
              <w:tab/>
            </w:r>
          </w:p>
        </w:tc>
        <w:tc>
          <w:tcPr>
            <w:tcW w:w="242" w:type="dxa"/>
            <w:vAlign w:val="bottom"/>
          </w:tcPr>
          <w:p w14:paraId="3BF1F15E" w14:textId="77777777" w:rsidR="00AD68F9" w:rsidRPr="00E834EF" w:rsidRDefault="00AD68F9" w:rsidP="00AD68F9">
            <w:pPr>
              <w:spacing w:before="40" w:after="40"/>
              <w:rPr>
                <w:sz w:val="17"/>
                <w:szCs w:val="17"/>
              </w:rPr>
            </w:pPr>
          </w:p>
        </w:tc>
        <w:tc>
          <w:tcPr>
            <w:tcW w:w="913" w:type="dxa"/>
            <w:tcBorders>
              <w:top w:val="single" w:sz="4" w:space="0" w:color="auto"/>
            </w:tcBorders>
          </w:tcPr>
          <w:p w14:paraId="4BC56576" w14:textId="77777777" w:rsidR="00AD68F9" w:rsidRPr="002163D4" w:rsidRDefault="00AD68F9" w:rsidP="00AD68F9">
            <w:pPr>
              <w:spacing w:before="40" w:after="40"/>
              <w:jc w:val="right"/>
              <w:rPr>
                <w:b/>
                <w:bCs/>
                <w:color w:val="000000"/>
                <w:sz w:val="16"/>
                <w:szCs w:val="16"/>
              </w:rPr>
            </w:pPr>
            <w:r w:rsidRPr="002163D4">
              <w:rPr>
                <w:sz w:val="16"/>
                <w:szCs w:val="16"/>
              </w:rPr>
              <w:t>21.3</w:t>
            </w:r>
          </w:p>
        </w:tc>
        <w:tc>
          <w:tcPr>
            <w:tcW w:w="252" w:type="dxa"/>
            <w:gridSpan w:val="2"/>
            <w:vAlign w:val="bottom"/>
          </w:tcPr>
          <w:p w14:paraId="6ED23030"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108F96DA" w14:textId="77777777" w:rsidR="00AD68F9" w:rsidRPr="002163D4" w:rsidRDefault="00AD68F9" w:rsidP="00AD68F9">
            <w:pPr>
              <w:spacing w:before="40" w:after="40"/>
              <w:jc w:val="right"/>
              <w:rPr>
                <w:b/>
                <w:bCs/>
                <w:color w:val="000000"/>
                <w:sz w:val="16"/>
                <w:szCs w:val="16"/>
              </w:rPr>
            </w:pPr>
            <w:r w:rsidRPr="002163D4">
              <w:rPr>
                <w:sz w:val="16"/>
                <w:szCs w:val="16"/>
              </w:rPr>
              <w:t>30.8</w:t>
            </w:r>
          </w:p>
        </w:tc>
        <w:tc>
          <w:tcPr>
            <w:tcW w:w="242" w:type="dxa"/>
            <w:vAlign w:val="bottom"/>
          </w:tcPr>
          <w:p w14:paraId="6F9AF4F2"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tcPr>
          <w:p w14:paraId="26B3DA42" w14:textId="77777777" w:rsidR="00AD68F9" w:rsidRPr="002163D4" w:rsidRDefault="00AD68F9" w:rsidP="00AD68F9">
            <w:pPr>
              <w:spacing w:before="40" w:after="40"/>
              <w:jc w:val="right"/>
              <w:rPr>
                <w:b/>
                <w:bCs/>
                <w:color w:val="000000"/>
                <w:sz w:val="16"/>
                <w:szCs w:val="16"/>
              </w:rPr>
            </w:pPr>
            <w:r w:rsidRPr="002163D4">
              <w:rPr>
                <w:sz w:val="16"/>
                <w:szCs w:val="16"/>
              </w:rPr>
              <w:t>4.5</w:t>
            </w:r>
          </w:p>
        </w:tc>
        <w:tc>
          <w:tcPr>
            <w:tcW w:w="242" w:type="dxa"/>
            <w:vAlign w:val="bottom"/>
          </w:tcPr>
          <w:p w14:paraId="5CC8D0A5" w14:textId="77777777" w:rsidR="00AD68F9" w:rsidRPr="002163D4" w:rsidRDefault="00AD68F9" w:rsidP="00AD68F9">
            <w:pPr>
              <w:spacing w:before="40" w:after="40"/>
              <w:rPr>
                <w:b/>
                <w:bCs/>
                <w:sz w:val="16"/>
                <w:szCs w:val="16"/>
              </w:rPr>
            </w:pPr>
          </w:p>
        </w:tc>
        <w:tc>
          <w:tcPr>
            <w:tcW w:w="924" w:type="dxa"/>
            <w:tcBorders>
              <w:top w:val="single" w:sz="4" w:space="0" w:color="auto"/>
            </w:tcBorders>
          </w:tcPr>
          <w:p w14:paraId="1EF92C66" w14:textId="77777777" w:rsidR="00AD68F9" w:rsidRPr="002163D4" w:rsidRDefault="00AD68F9" w:rsidP="00AD68F9">
            <w:pPr>
              <w:spacing w:before="40" w:after="40"/>
              <w:jc w:val="right"/>
              <w:rPr>
                <w:b/>
                <w:bCs/>
                <w:sz w:val="16"/>
                <w:szCs w:val="16"/>
              </w:rPr>
            </w:pPr>
            <w:r w:rsidRPr="002163D4">
              <w:rPr>
                <w:sz w:val="16"/>
                <w:szCs w:val="16"/>
              </w:rPr>
              <w:t>5.2</w:t>
            </w:r>
          </w:p>
        </w:tc>
        <w:tc>
          <w:tcPr>
            <w:tcW w:w="227" w:type="dxa"/>
            <w:vAlign w:val="bottom"/>
          </w:tcPr>
          <w:p w14:paraId="58291274" w14:textId="77777777" w:rsidR="00AD68F9" w:rsidRPr="002163D4" w:rsidRDefault="00AD68F9" w:rsidP="00AD68F9">
            <w:pPr>
              <w:spacing w:before="40" w:after="40"/>
              <w:rPr>
                <w:b/>
                <w:bCs/>
                <w:sz w:val="16"/>
                <w:szCs w:val="16"/>
              </w:rPr>
            </w:pPr>
          </w:p>
        </w:tc>
        <w:tc>
          <w:tcPr>
            <w:tcW w:w="939" w:type="dxa"/>
            <w:tcBorders>
              <w:top w:val="single" w:sz="4" w:space="0" w:color="auto"/>
            </w:tcBorders>
          </w:tcPr>
          <w:p w14:paraId="3AB5DE55" w14:textId="77777777" w:rsidR="00AD68F9" w:rsidRPr="002163D4" w:rsidRDefault="00AD68F9" w:rsidP="00AD68F9">
            <w:pPr>
              <w:spacing w:before="40" w:after="40"/>
              <w:jc w:val="right"/>
              <w:rPr>
                <w:b/>
                <w:bCs/>
                <w:sz w:val="16"/>
                <w:szCs w:val="16"/>
              </w:rPr>
            </w:pPr>
            <w:r w:rsidRPr="002163D4">
              <w:rPr>
                <w:sz w:val="16"/>
                <w:szCs w:val="16"/>
              </w:rPr>
              <w:t>16.9</w:t>
            </w:r>
          </w:p>
        </w:tc>
        <w:tc>
          <w:tcPr>
            <w:tcW w:w="266" w:type="dxa"/>
          </w:tcPr>
          <w:p w14:paraId="6E1F35D2" w14:textId="77777777" w:rsidR="00AD68F9" w:rsidRPr="000D2863" w:rsidRDefault="00AD68F9" w:rsidP="00AD68F9">
            <w:pPr>
              <w:spacing w:before="40" w:after="40"/>
              <w:rPr>
                <w:b/>
                <w:bCs/>
                <w:sz w:val="17"/>
                <w:szCs w:val="17"/>
              </w:rPr>
            </w:pPr>
          </w:p>
        </w:tc>
      </w:tr>
      <w:tr w:rsidR="00AD68F9" w:rsidRPr="00E834EF" w14:paraId="32B1FFE7" w14:textId="77777777" w:rsidTr="00AD68F9">
        <w:tc>
          <w:tcPr>
            <w:tcW w:w="3254" w:type="dxa"/>
          </w:tcPr>
          <w:p w14:paraId="2029038E" w14:textId="77777777" w:rsidR="00AD68F9" w:rsidRDefault="00AD68F9" w:rsidP="00AD68F9">
            <w:pPr>
              <w:tabs>
                <w:tab w:val="right" w:leader="dot" w:pos="3255"/>
              </w:tabs>
              <w:bidi/>
              <w:spacing w:before="40" w:after="40"/>
              <w:rPr>
                <w:b/>
                <w:bCs/>
                <w:sz w:val="17"/>
                <w:szCs w:val="17"/>
                <w:u w:val="single"/>
              </w:rPr>
            </w:pPr>
          </w:p>
        </w:tc>
        <w:tc>
          <w:tcPr>
            <w:tcW w:w="242" w:type="dxa"/>
            <w:vAlign w:val="bottom"/>
          </w:tcPr>
          <w:p w14:paraId="607A1847" w14:textId="77777777" w:rsidR="00AD68F9" w:rsidRPr="00E834EF" w:rsidRDefault="00AD68F9" w:rsidP="00AD68F9">
            <w:pPr>
              <w:spacing w:before="40" w:after="40"/>
              <w:rPr>
                <w:sz w:val="17"/>
                <w:szCs w:val="17"/>
              </w:rPr>
            </w:pPr>
          </w:p>
        </w:tc>
        <w:tc>
          <w:tcPr>
            <w:tcW w:w="913" w:type="dxa"/>
            <w:vAlign w:val="bottom"/>
          </w:tcPr>
          <w:p w14:paraId="470256C0" w14:textId="77777777" w:rsidR="00AD68F9" w:rsidRPr="007766C5" w:rsidRDefault="00AD68F9" w:rsidP="00AD68F9">
            <w:pPr>
              <w:spacing w:before="40" w:after="40"/>
              <w:jc w:val="right"/>
              <w:rPr>
                <w:b/>
                <w:bCs/>
                <w:sz w:val="17"/>
                <w:szCs w:val="17"/>
              </w:rPr>
            </w:pPr>
          </w:p>
        </w:tc>
        <w:tc>
          <w:tcPr>
            <w:tcW w:w="252" w:type="dxa"/>
            <w:gridSpan w:val="2"/>
            <w:vAlign w:val="bottom"/>
          </w:tcPr>
          <w:p w14:paraId="3FC6E05D" w14:textId="77777777" w:rsidR="00AD68F9" w:rsidRPr="007766C5" w:rsidRDefault="00AD68F9" w:rsidP="00AD68F9">
            <w:pPr>
              <w:spacing w:before="40" w:after="40"/>
              <w:rPr>
                <w:b/>
                <w:bCs/>
                <w:color w:val="000000"/>
                <w:sz w:val="17"/>
                <w:szCs w:val="17"/>
              </w:rPr>
            </w:pPr>
          </w:p>
        </w:tc>
        <w:tc>
          <w:tcPr>
            <w:tcW w:w="924" w:type="dxa"/>
            <w:vAlign w:val="bottom"/>
          </w:tcPr>
          <w:p w14:paraId="4B9A16BE" w14:textId="77777777" w:rsidR="00AD68F9" w:rsidRPr="007766C5" w:rsidRDefault="00AD68F9" w:rsidP="00AD68F9">
            <w:pPr>
              <w:spacing w:before="40" w:after="40"/>
              <w:jc w:val="right"/>
              <w:rPr>
                <w:b/>
                <w:bCs/>
                <w:sz w:val="17"/>
                <w:szCs w:val="17"/>
              </w:rPr>
            </w:pPr>
          </w:p>
        </w:tc>
        <w:tc>
          <w:tcPr>
            <w:tcW w:w="242" w:type="dxa"/>
            <w:vAlign w:val="bottom"/>
          </w:tcPr>
          <w:p w14:paraId="71675162" w14:textId="77777777" w:rsidR="00AD68F9" w:rsidRPr="007766C5" w:rsidRDefault="00AD68F9" w:rsidP="00AD68F9">
            <w:pPr>
              <w:spacing w:before="40" w:after="40"/>
              <w:rPr>
                <w:b/>
                <w:bCs/>
                <w:color w:val="000000"/>
                <w:sz w:val="17"/>
                <w:szCs w:val="17"/>
              </w:rPr>
            </w:pPr>
          </w:p>
        </w:tc>
        <w:tc>
          <w:tcPr>
            <w:tcW w:w="924" w:type="dxa"/>
            <w:vAlign w:val="bottom"/>
          </w:tcPr>
          <w:p w14:paraId="23AA1F0E" w14:textId="77777777" w:rsidR="00AD68F9" w:rsidRPr="007766C5" w:rsidRDefault="00AD68F9" w:rsidP="00AD68F9">
            <w:pPr>
              <w:spacing w:before="40" w:after="40"/>
              <w:jc w:val="right"/>
              <w:rPr>
                <w:b/>
                <w:bCs/>
                <w:sz w:val="17"/>
                <w:szCs w:val="17"/>
              </w:rPr>
            </w:pPr>
          </w:p>
        </w:tc>
        <w:tc>
          <w:tcPr>
            <w:tcW w:w="242" w:type="dxa"/>
            <w:vAlign w:val="bottom"/>
          </w:tcPr>
          <w:p w14:paraId="507618B4" w14:textId="77777777" w:rsidR="00AD68F9" w:rsidRPr="007766C5" w:rsidRDefault="00AD68F9" w:rsidP="00AD68F9">
            <w:pPr>
              <w:spacing w:before="40" w:after="40"/>
              <w:rPr>
                <w:b/>
                <w:bCs/>
                <w:sz w:val="17"/>
                <w:szCs w:val="17"/>
              </w:rPr>
            </w:pPr>
          </w:p>
        </w:tc>
        <w:tc>
          <w:tcPr>
            <w:tcW w:w="924" w:type="dxa"/>
            <w:vAlign w:val="bottom"/>
          </w:tcPr>
          <w:p w14:paraId="5D9E8935" w14:textId="77777777" w:rsidR="00AD68F9" w:rsidRPr="007766C5" w:rsidRDefault="00AD68F9" w:rsidP="00AD68F9">
            <w:pPr>
              <w:spacing w:before="40" w:after="40"/>
              <w:jc w:val="right"/>
              <w:rPr>
                <w:b/>
                <w:bCs/>
                <w:sz w:val="17"/>
                <w:szCs w:val="17"/>
              </w:rPr>
            </w:pPr>
          </w:p>
        </w:tc>
        <w:tc>
          <w:tcPr>
            <w:tcW w:w="227" w:type="dxa"/>
            <w:vAlign w:val="bottom"/>
          </w:tcPr>
          <w:p w14:paraId="26028B99" w14:textId="77777777" w:rsidR="00AD68F9" w:rsidRPr="007766C5" w:rsidRDefault="00AD68F9" w:rsidP="00AD68F9">
            <w:pPr>
              <w:spacing w:before="40" w:after="40"/>
              <w:rPr>
                <w:b/>
                <w:bCs/>
                <w:sz w:val="17"/>
                <w:szCs w:val="17"/>
              </w:rPr>
            </w:pPr>
          </w:p>
        </w:tc>
        <w:tc>
          <w:tcPr>
            <w:tcW w:w="939" w:type="dxa"/>
            <w:vAlign w:val="bottom"/>
          </w:tcPr>
          <w:p w14:paraId="4AB24226" w14:textId="77777777" w:rsidR="00AD68F9" w:rsidRPr="007766C5" w:rsidRDefault="00AD68F9" w:rsidP="00AD68F9">
            <w:pPr>
              <w:spacing w:before="40" w:after="40"/>
              <w:jc w:val="right"/>
              <w:rPr>
                <w:b/>
                <w:bCs/>
                <w:sz w:val="17"/>
                <w:szCs w:val="17"/>
              </w:rPr>
            </w:pPr>
          </w:p>
        </w:tc>
        <w:tc>
          <w:tcPr>
            <w:tcW w:w="266" w:type="dxa"/>
          </w:tcPr>
          <w:p w14:paraId="33A09647" w14:textId="77777777" w:rsidR="00AD68F9" w:rsidRPr="000D2863" w:rsidRDefault="00AD68F9" w:rsidP="00AD68F9">
            <w:pPr>
              <w:spacing w:before="40" w:after="40"/>
              <w:rPr>
                <w:b/>
                <w:bCs/>
                <w:sz w:val="17"/>
                <w:szCs w:val="17"/>
              </w:rPr>
            </w:pPr>
          </w:p>
        </w:tc>
      </w:tr>
      <w:tr w:rsidR="00AD68F9" w:rsidRPr="00E834EF" w14:paraId="4AB1B263" w14:textId="77777777" w:rsidTr="00AD6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bottom"/>
          </w:tcPr>
          <w:p w14:paraId="71B32026" w14:textId="77777777" w:rsidR="00AD68F9" w:rsidRDefault="00AD68F9" w:rsidP="00AD68F9">
            <w:pPr>
              <w:tabs>
                <w:tab w:val="right" w:leader="dot" w:pos="3255"/>
              </w:tabs>
              <w:bidi/>
              <w:spacing w:before="40" w:after="40"/>
              <w:ind w:left="12"/>
              <w:rPr>
                <w:b/>
                <w:bCs/>
                <w:color w:val="000000"/>
                <w:sz w:val="17"/>
                <w:szCs w:val="17"/>
              </w:rPr>
            </w:pPr>
            <w:r>
              <w:rPr>
                <w:rFonts w:hint="cs"/>
                <w:b/>
                <w:bCs/>
                <w:color w:val="000000"/>
                <w:sz w:val="17"/>
                <w:szCs w:val="17"/>
                <w:rtl/>
              </w:rPr>
              <w:t>إجمالي أرباح ال</w:t>
            </w:r>
            <w:r w:rsidR="00607B02">
              <w:rPr>
                <w:rFonts w:hint="cs"/>
                <w:b/>
                <w:bCs/>
                <w:color w:val="000000"/>
                <w:sz w:val="17"/>
                <w:szCs w:val="17"/>
                <w:rtl/>
              </w:rPr>
              <w:t>نقل</w:t>
            </w:r>
            <w:r>
              <w:rPr>
                <w:rFonts w:hint="cs"/>
                <w:b/>
                <w:bCs/>
                <w:color w:val="000000"/>
                <w:sz w:val="17"/>
                <w:szCs w:val="17"/>
                <w:rtl/>
              </w:rPr>
              <w:t xml:space="preserve"> المنتظم</w:t>
            </w:r>
            <w:r w:rsidRPr="0054596C">
              <w:rPr>
                <w:sz w:val="17"/>
              </w:rPr>
              <w:tab/>
            </w:r>
          </w:p>
        </w:tc>
        <w:tc>
          <w:tcPr>
            <w:tcW w:w="242" w:type="dxa"/>
            <w:tcBorders>
              <w:top w:val="nil"/>
              <w:left w:val="nil"/>
              <w:bottom w:val="nil"/>
              <w:right w:val="nil"/>
            </w:tcBorders>
            <w:vAlign w:val="bottom"/>
          </w:tcPr>
          <w:p w14:paraId="7FE54CD5" w14:textId="77777777" w:rsidR="00AD68F9" w:rsidRPr="00E834EF" w:rsidRDefault="00AD68F9" w:rsidP="00AD68F9">
            <w:pPr>
              <w:spacing w:before="40" w:after="40"/>
              <w:rPr>
                <w:sz w:val="17"/>
                <w:szCs w:val="17"/>
              </w:rPr>
            </w:pPr>
          </w:p>
        </w:tc>
        <w:tc>
          <w:tcPr>
            <w:tcW w:w="913" w:type="dxa"/>
            <w:tcBorders>
              <w:top w:val="nil"/>
              <w:left w:val="nil"/>
              <w:bottom w:val="nil"/>
              <w:right w:val="nil"/>
            </w:tcBorders>
            <w:vAlign w:val="bottom"/>
          </w:tcPr>
          <w:p w14:paraId="1AC19179" w14:textId="77777777" w:rsidR="00AD68F9" w:rsidRPr="007766C5" w:rsidRDefault="00AD68F9" w:rsidP="00AD68F9">
            <w:pPr>
              <w:spacing w:before="40" w:after="40"/>
              <w:jc w:val="right"/>
              <w:rPr>
                <w:color w:val="000000"/>
                <w:sz w:val="17"/>
                <w:szCs w:val="17"/>
              </w:rPr>
            </w:pPr>
            <w:r>
              <w:rPr>
                <w:sz w:val="17"/>
                <w:szCs w:val="17"/>
              </w:rPr>
              <w:t>6.6</w:t>
            </w:r>
          </w:p>
        </w:tc>
        <w:tc>
          <w:tcPr>
            <w:tcW w:w="252" w:type="dxa"/>
            <w:gridSpan w:val="2"/>
            <w:tcBorders>
              <w:top w:val="nil"/>
              <w:left w:val="nil"/>
              <w:bottom w:val="nil"/>
              <w:right w:val="nil"/>
            </w:tcBorders>
            <w:vAlign w:val="bottom"/>
          </w:tcPr>
          <w:p w14:paraId="0EF69FCF" w14:textId="77777777" w:rsidR="00AD68F9" w:rsidRPr="007766C5"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265D7B4D" w14:textId="77777777" w:rsidR="00AD68F9" w:rsidRPr="007766C5" w:rsidRDefault="00AD68F9" w:rsidP="00AD68F9">
            <w:pPr>
              <w:spacing w:before="40" w:after="40"/>
              <w:jc w:val="right"/>
              <w:rPr>
                <w:color w:val="000000"/>
                <w:sz w:val="17"/>
                <w:szCs w:val="17"/>
              </w:rPr>
            </w:pPr>
            <w:r>
              <w:rPr>
                <w:sz w:val="17"/>
                <w:szCs w:val="17"/>
              </w:rPr>
              <w:t>13.1</w:t>
            </w:r>
          </w:p>
        </w:tc>
        <w:tc>
          <w:tcPr>
            <w:tcW w:w="242" w:type="dxa"/>
            <w:tcBorders>
              <w:top w:val="nil"/>
              <w:left w:val="nil"/>
              <w:bottom w:val="nil"/>
              <w:right w:val="nil"/>
            </w:tcBorders>
            <w:vAlign w:val="bottom"/>
          </w:tcPr>
          <w:p w14:paraId="6B500E2A" w14:textId="77777777" w:rsidR="00AD68F9" w:rsidRPr="007766C5" w:rsidRDefault="00087B1E" w:rsidP="00AD68F9">
            <w:pPr>
              <w:spacing w:before="40" w:after="40"/>
              <w:rPr>
                <w:color w:val="000000"/>
                <w:sz w:val="17"/>
                <w:szCs w:val="17"/>
              </w:rPr>
            </w:pPr>
            <w:r>
              <w:rPr>
                <w:color w:val="000000"/>
                <w:sz w:val="17"/>
                <w:szCs w:val="17"/>
              </w:rPr>
              <w:t>)</w:t>
            </w:r>
          </w:p>
        </w:tc>
        <w:tc>
          <w:tcPr>
            <w:tcW w:w="924" w:type="dxa"/>
            <w:tcBorders>
              <w:top w:val="nil"/>
              <w:left w:val="nil"/>
              <w:bottom w:val="nil"/>
              <w:right w:val="nil"/>
            </w:tcBorders>
            <w:vAlign w:val="bottom"/>
          </w:tcPr>
          <w:p w14:paraId="793C4F40" w14:textId="77777777" w:rsidR="00AD68F9" w:rsidRPr="007766C5" w:rsidRDefault="00AD68F9" w:rsidP="00AD68F9">
            <w:pPr>
              <w:spacing w:before="40" w:after="40"/>
              <w:jc w:val="right"/>
              <w:rPr>
                <w:color w:val="000000"/>
                <w:sz w:val="17"/>
                <w:szCs w:val="17"/>
              </w:rPr>
            </w:pPr>
            <w:r>
              <w:rPr>
                <w:sz w:val="17"/>
                <w:szCs w:val="17"/>
              </w:rPr>
              <w:t>(28.1</w:t>
            </w:r>
          </w:p>
        </w:tc>
        <w:tc>
          <w:tcPr>
            <w:tcW w:w="242" w:type="dxa"/>
            <w:tcBorders>
              <w:top w:val="nil"/>
              <w:left w:val="nil"/>
              <w:bottom w:val="nil"/>
              <w:right w:val="nil"/>
            </w:tcBorders>
            <w:vAlign w:val="bottom"/>
          </w:tcPr>
          <w:p w14:paraId="19B93CF8" w14:textId="77777777" w:rsidR="00AD68F9" w:rsidRPr="007766C5" w:rsidRDefault="00AD68F9" w:rsidP="00AD68F9">
            <w:pPr>
              <w:spacing w:before="40" w:after="40"/>
              <w:rPr>
                <w:sz w:val="17"/>
                <w:szCs w:val="17"/>
              </w:rPr>
            </w:pPr>
            <w:r>
              <w:rPr>
                <w:sz w:val="17"/>
                <w:szCs w:val="17"/>
              </w:rPr>
              <w:t>)</w:t>
            </w:r>
          </w:p>
        </w:tc>
        <w:tc>
          <w:tcPr>
            <w:tcW w:w="924" w:type="dxa"/>
            <w:tcBorders>
              <w:top w:val="nil"/>
              <w:left w:val="nil"/>
              <w:bottom w:val="nil"/>
              <w:right w:val="nil"/>
            </w:tcBorders>
            <w:vAlign w:val="bottom"/>
          </w:tcPr>
          <w:p w14:paraId="7264AD2A" w14:textId="77777777" w:rsidR="00AD68F9" w:rsidRPr="007766C5" w:rsidRDefault="00AD68F9" w:rsidP="00AD68F9">
            <w:pPr>
              <w:spacing w:before="40" w:after="40"/>
              <w:jc w:val="right"/>
              <w:rPr>
                <w:sz w:val="17"/>
                <w:szCs w:val="17"/>
              </w:rPr>
            </w:pPr>
            <w:r>
              <w:rPr>
                <w:sz w:val="17"/>
                <w:szCs w:val="17"/>
              </w:rPr>
              <w:t>(17.5</w:t>
            </w:r>
          </w:p>
        </w:tc>
        <w:tc>
          <w:tcPr>
            <w:tcW w:w="227" w:type="dxa"/>
            <w:tcBorders>
              <w:top w:val="nil"/>
              <w:left w:val="nil"/>
              <w:bottom w:val="nil"/>
              <w:right w:val="nil"/>
            </w:tcBorders>
            <w:vAlign w:val="bottom"/>
          </w:tcPr>
          <w:p w14:paraId="1B541181" w14:textId="77777777" w:rsidR="00AD68F9" w:rsidRPr="007766C5" w:rsidRDefault="00AD68F9" w:rsidP="00AD68F9">
            <w:pPr>
              <w:spacing w:before="40" w:after="40"/>
              <w:rPr>
                <w:sz w:val="17"/>
                <w:szCs w:val="17"/>
              </w:rPr>
            </w:pPr>
          </w:p>
        </w:tc>
        <w:tc>
          <w:tcPr>
            <w:tcW w:w="939" w:type="dxa"/>
            <w:tcBorders>
              <w:top w:val="nil"/>
              <w:left w:val="nil"/>
              <w:bottom w:val="nil"/>
              <w:right w:val="nil"/>
            </w:tcBorders>
            <w:vAlign w:val="bottom"/>
          </w:tcPr>
          <w:p w14:paraId="0330556A" w14:textId="77777777" w:rsidR="00AD68F9" w:rsidRPr="007766C5" w:rsidRDefault="00AD68F9" w:rsidP="00AD68F9">
            <w:pPr>
              <w:spacing w:before="40" w:after="40"/>
              <w:jc w:val="right"/>
              <w:rPr>
                <w:sz w:val="17"/>
                <w:szCs w:val="17"/>
              </w:rPr>
            </w:pPr>
            <w:r>
              <w:rPr>
                <w:sz w:val="17"/>
                <w:szCs w:val="17"/>
              </w:rPr>
              <w:t>3.4</w:t>
            </w:r>
          </w:p>
        </w:tc>
        <w:tc>
          <w:tcPr>
            <w:tcW w:w="266" w:type="dxa"/>
            <w:tcBorders>
              <w:top w:val="nil"/>
              <w:left w:val="nil"/>
              <w:bottom w:val="nil"/>
              <w:right w:val="nil"/>
            </w:tcBorders>
            <w:vAlign w:val="bottom"/>
          </w:tcPr>
          <w:p w14:paraId="704964EC" w14:textId="77777777" w:rsidR="00AD68F9" w:rsidRPr="000D2863" w:rsidRDefault="00AD68F9" w:rsidP="00AD68F9">
            <w:pPr>
              <w:spacing w:before="40" w:after="40"/>
              <w:rPr>
                <w:sz w:val="17"/>
                <w:szCs w:val="17"/>
              </w:rPr>
            </w:pPr>
          </w:p>
        </w:tc>
      </w:tr>
      <w:tr w:rsidR="00AD68F9" w:rsidRPr="00E834EF" w14:paraId="31D25B83" w14:textId="77777777" w:rsidTr="00AD68F9">
        <w:tc>
          <w:tcPr>
            <w:tcW w:w="3254" w:type="dxa"/>
            <w:vAlign w:val="bottom"/>
          </w:tcPr>
          <w:p w14:paraId="1E156C17" w14:textId="77777777" w:rsidR="00AD68F9" w:rsidRPr="00E754AA" w:rsidRDefault="00AD68F9" w:rsidP="00AD68F9">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36E065F4" w14:textId="77777777" w:rsidR="00AD68F9" w:rsidRPr="00E754AA" w:rsidRDefault="00AD68F9" w:rsidP="00AD68F9">
            <w:pPr>
              <w:spacing w:before="40" w:after="40"/>
              <w:rPr>
                <w:sz w:val="17"/>
                <w:szCs w:val="17"/>
              </w:rPr>
            </w:pPr>
          </w:p>
        </w:tc>
        <w:tc>
          <w:tcPr>
            <w:tcW w:w="913" w:type="dxa"/>
            <w:vAlign w:val="bottom"/>
          </w:tcPr>
          <w:p w14:paraId="59B412F0"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6C475E19" w14:textId="77777777" w:rsidR="00AD68F9" w:rsidRPr="00E754AA" w:rsidRDefault="00AD68F9" w:rsidP="00AD68F9">
            <w:pPr>
              <w:spacing w:before="40" w:after="40"/>
              <w:rPr>
                <w:color w:val="000000"/>
                <w:sz w:val="17"/>
                <w:szCs w:val="17"/>
              </w:rPr>
            </w:pPr>
          </w:p>
        </w:tc>
        <w:tc>
          <w:tcPr>
            <w:tcW w:w="924" w:type="dxa"/>
            <w:vAlign w:val="bottom"/>
          </w:tcPr>
          <w:p w14:paraId="08F1C7EB"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3E8F25F6" w14:textId="77777777" w:rsidR="00AD68F9" w:rsidRPr="00E754AA" w:rsidRDefault="00AD68F9" w:rsidP="00AD68F9">
            <w:pPr>
              <w:spacing w:before="40" w:after="40"/>
              <w:rPr>
                <w:color w:val="000000"/>
                <w:sz w:val="17"/>
                <w:szCs w:val="17"/>
              </w:rPr>
            </w:pPr>
          </w:p>
        </w:tc>
        <w:tc>
          <w:tcPr>
            <w:tcW w:w="924" w:type="dxa"/>
            <w:vAlign w:val="bottom"/>
          </w:tcPr>
          <w:p w14:paraId="14B032ED"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469E586F" w14:textId="77777777" w:rsidR="00AD68F9" w:rsidRPr="00E754AA" w:rsidRDefault="00AD68F9" w:rsidP="00AD68F9">
            <w:pPr>
              <w:spacing w:before="40" w:after="40"/>
              <w:rPr>
                <w:sz w:val="17"/>
                <w:szCs w:val="17"/>
              </w:rPr>
            </w:pPr>
          </w:p>
        </w:tc>
        <w:tc>
          <w:tcPr>
            <w:tcW w:w="924" w:type="dxa"/>
            <w:vAlign w:val="bottom"/>
          </w:tcPr>
          <w:p w14:paraId="43B365DA"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545739A1" w14:textId="77777777" w:rsidR="00AD68F9" w:rsidRPr="00E754AA" w:rsidRDefault="00AD68F9" w:rsidP="00AD68F9">
            <w:pPr>
              <w:spacing w:before="40" w:after="40"/>
              <w:rPr>
                <w:sz w:val="17"/>
                <w:szCs w:val="17"/>
              </w:rPr>
            </w:pPr>
          </w:p>
        </w:tc>
        <w:tc>
          <w:tcPr>
            <w:tcW w:w="939" w:type="dxa"/>
            <w:vAlign w:val="bottom"/>
          </w:tcPr>
          <w:p w14:paraId="314AC2BC"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1C1D79B2" w14:textId="77777777" w:rsidR="00AD68F9" w:rsidRPr="000D2863" w:rsidRDefault="00AD68F9" w:rsidP="00AD68F9">
            <w:pPr>
              <w:spacing w:before="40" w:after="40"/>
              <w:rPr>
                <w:sz w:val="17"/>
                <w:szCs w:val="17"/>
              </w:rPr>
            </w:pPr>
          </w:p>
        </w:tc>
      </w:tr>
      <w:tr w:rsidR="00AD68F9" w:rsidRPr="00E834EF" w14:paraId="3E1DDBE9" w14:textId="77777777" w:rsidTr="00AD6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center"/>
          </w:tcPr>
          <w:p w14:paraId="6E0D6CC1" w14:textId="77777777" w:rsidR="00AD68F9" w:rsidRPr="00E754AA" w:rsidRDefault="008D70E0" w:rsidP="00AD68F9">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AD68F9" w:rsidRPr="0054596C">
              <w:rPr>
                <w:sz w:val="17"/>
              </w:rPr>
              <w:tab/>
            </w:r>
          </w:p>
        </w:tc>
        <w:tc>
          <w:tcPr>
            <w:tcW w:w="242" w:type="dxa"/>
            <w:tcBorders>
              <w:top w:val="nil"/>
              <w:left w:val="nil"/>
              <w:bottom w:val="nil"/>
              <w:right w:val="nil"/>
            </w:tcBorders>
            <w:vAlign w:val="bottom"/>
          </w:tcPr>
          <w:p w14:paraId="141222D9" w14:textId="77777777" w:rsidR="00AD68F9" w:rsidRPr="00E834EF" w:rsidRDefault="00AD68F9" w:rsidP="00AD68F9">
            <w:pPr>
              <w:spacing w:before="40" w:after="40"/>
              <w:rPr>
                <w:sz w:val="17"/>
                <w:szCs w:val="17"/>
              </w:rPr>
            </w:pPr>
          </w:p>
        </w:tc>
        <w:tc>
          <w:tcPr>
            <w:tcW w:w="913" w:type="dxa"/>
            <w:tcBorders>
              <w:top w:val="nil"/>
              <w:left w:val="nil"/>
              <w:bottom w:val="nil"/>
              <w:right w:val="nil"/>
            </w:tcBorders>
            <w:vAlign w:val="bottom"/>
          </w:tcPr>
          <w:p w14:paraId="16CFA6B1"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tcBorders>
              <w:top w:val="nil"/>
              <w:left w:val="nil"/>
              <w:bottom w:val="nil"/>
              <w:right w:val="nil"/>
            </w:tcBorders>
            <w:vAlign w:val="bottom"/>
          </w:tcPr>
          <w:p w14:paraId="373A8F32" w14:textId="77777777" w:rsidR="00AD68F9" w:rsidRPr="00E754AA"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5C944229"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tcBorders>
              <w:top w:val="nil"/>
              <w:left w:val="nil"/>
              <w:bottom w:val="nil"/>
              <w:right w:val="nil"/>
            </w:tcBorders>
            <w:vAlign w:val="bottom"/>
          </w:tcPr>
          <w:p w14:paraId="3EBB064C" w14:textId="77777777" w:rsidR="00AD68F9" w:rsidRPr="00E754AA" w:rsidRDefault="00AD68F9" w:rsidP="00AD68F9">
            <w:pPr>
              <w:spacing w:before="40" w:after="40"/>
              <w:rPr>
                <w:color w:val="000000"/>
                <w:sz w:val="17"/>
                <w:szCs w:val="17"/>
              </w:rPr>
            </w:pPr>
          </w:p>
        </w:tc>
        <w:tc>
          <w:tcPr>
            <w:tcW w:w="924" w:type="dxa"/>
            <w:tcBorders>
              <w:top w:val="nil"/>
              <w:left w:val="nil"/>
              <w:bottom w:val="nil"/>
              <w:right w:val="nil"/>
            </w:tcBorders>
            <w:vAlign w:val="bottom"/>
          </w:tcPr>
          <w:p w14:paraId="27ED5E90"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tcBorders>
              <w:top w:val="nil"/>
              <w:left w:val="nil"/>
              <w:bottom w:val="nil"/>
              <w:right w:val="nil"/>
            </w:tcBorders>
            <w:vAlign w:val="bottom"/>
          </w:tcPr>
          <w:p w14:paraId="585182B1" w14:textId="77777777" w:rsidR="00AD68F9" w:rsidRPr="00E754AA" w:rsidRDefault="00AD68F9" w:rsidP="00AD68F9">
            <w:pPr>
              <w:spacing w:before="40" w:after="40"/>
              <w:rPr>
                <w:sz w:val="17"/>
                <w:szCs w:val="17"/>
              </w:rPr>
            </w:pPr>
          </w:p>
        </w:tc>
        <w:tc>
          <w:tcPr>
            <w:tcW w:w="924" w:type="dxa"/>
            <w:tcBorders>
              <w:top w:val="nil"/>
              <w:left w:val="nil"/>
              <w:bottom w:val="nil"/>
              <w:right w:val="nil"/>
            </w:tcBorders>
            <w:vAlign w:val="bottom"/>
          </w:tcPr>
          <w:p w14:paraId="4A0FABF9" w14:textId="77777777" w:rsidR="00AD68F9" w:rsidRPr="00E754AA" w:rsidRDefault="00AD68F9" w:rsidP="00AD68F9">
            <w:pPr>
              <w:spacing w:before="40" w:after="40"/>
              <w:jc w:val="right"/>
              <w:rPr>
                <w:sz w:val="17"/>
                <w:szCs w:val="17"/>
              </w:rPr>
            </w:pPr>
            <w:r w:rsidRPr="00DB3F11">
              <w:rPr>
                <w:sz w:val="16"/>
                <w:szCs w:val="16"/>
              </w:rPr>
              <w:t>—</w:t>
            </w:r>
          </w:p>
        </w:tc>
        <w:tc>
          <w:tcPr>
            <w:tcW w:w="227" w:type="dxa"/>
            <w:tcBorders>
              <w:top w:val="nil"/>
              <w:left w:val="nil"/>
              <w:bottom w:val="nil"/>
              <w:right w:val="nil"/>
            </w:tcBorders>
            <w:vAlign w:val="bottom"/>
          </w:tcPr>
          <w:p w14:paraId="564549F8" w14:textId="77777777" w:rsidR="00AD68F9" w:rsidRPr="00E754AA" w:rsidRDefault="00AD68F9" w:rsidP="00AD68F9">
            <w:pPr>
              <w:spacing w:before="40" w:after="40"/>
              <w:rPr>
                <w:sz w:val="17"/>
                <w:szCs w:val="17"/>
              </w:rPr>
            </w:pPr>
          </w:p>
        </w:tc>
        <w:tc>
          <w:tcPr>
            <w:tcW w:w="939" w:type="dxa"/>
            <w:tcBorders>
              <w:top w:val="nil"/>
              <w:left w:val="nil"/>
              <w:bottom w:val="nil"/>
              <w:right w:val="nil"/>
            </w:tcBorders>
            <w:vAlign w:val="bottom"/>
          </w:tcPr>
          <w:p w14:paraId="3B33991E" w14:textId="77777777" w:rsidR="00AD68F9" w:rsidRPr="00E754AA" w:rsidRDefault="00AD68F9" w:rsidP="00AD68F9">
            <w:pPr>
              <w:spacing w:before="40" w:after="40"/>
              <w:jc w:val="right"/>
              <w:rPr>
                <w:sz w:val="17"/>
                <w:szCs w:val="17"/>
              </w:rPr>
            </w:pPr>
            <w:r w:rsidRPr="00DB3F11">
              <w:rPr>
                <w:sz w:val="16"/>
                <w:szCs w:val="16"/>
              </w:rPr>
              <w:t>—</w:t>
            </w:r>
          </w:p>
        </w:tc>
        <w:tc>
          <w:tcPr>
            <w:tcW w:w="266" w:type="dxa"/>
            <w:tcBorders>
              <w:top w:val="nil"/>
              <w:left w:val="nil"/>
              <w:bottom w:val="nil"/>
              <w:right w:val="nil"/>
            </w:tcBorders>
            <w:vAlign w:val="bottom"/>
          </w:tcPr>
          <w:p w14:paraId="4585EE90" w14:textId="77777777" w:rsidR="00AD68F9" w:rsidRPr="000D2863" w:rsidRDefault="00AD68F9" w:rsidP="00AD68F9">
            <w:pPr>
              <w:spacing w:before="40" w:after="40"/>
              <w:rPr>
                <w:sz w:val="17"/>
                <w:szCs w:val="17"/>
              </w:rPr>
            </w:pPr>
          </w:p>
        </w:tc>
      </w:tr>
      <w:tr w:rsidR="00AD68F9" w:rsidRPr="00E834EF" w14:paraId="188BD018" w14:textId="77777777" w:rsidTr="00AD68F9">
        <w:tc>
          <w:tcPr>
            <w:tcW w:w="3254" w:type="dxa"/>
            <w:vAlign w:val="center"/>
          </w:tcPr>
          <w:p w14:paraId="1A8A4C11"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4694FA86" w14:textId="77777777" w:rsidR="00AD68F9" w:rsidRPr="00E834EF" w:rsidRDefault="00AD68F9" w:rsidP="00AD68F9">
            <w:pPr>
              <w:spacing w:before="40" w:after="40"/>
              <w:rPr>
                <w:sz w:val="17"/>
                <w:szCs w:val="17"/>
              </w:rPr>
            </w:pPr>
          </w:p>
        </w:tc>
        <w:tc>
          <w:tcPr>
            <w:tcW w:w="913" w:type="dxa"/>
            <w:vAlign w:val="bottom"/>
          </w:tcPr>
          <w:p w14:paraId="5C5BB20E"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44CAB8F3" w14:textId="77777777" w:rsidR="00AD68F9" w:rsidRPr="00E754AA" w:rsidRDefault="00AD68F9" w:rsidP="00AD68F9">
            <w:pPr>
              <w:spacing w:before="40" w:after="40"/>
              <w:rPr>
                <w:color w:val="000000"/>
                <w:sz w:val="17"/>
                <w:szCs w:val="17"/>
              </w:rPr>
            </w:pPr>
          </w:p>
        </w:tc>
        <w:tc>
          <w:tcPr>
            <w:tcW w:w="924" w:type="dxa"/>
            <w:vAlign w:val="bottom"/>
          </w:tcPr>
          <w:p w14:paraId="30261167"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3F766F10" w14:textId="77777777" w:rsidR="00AD68F9" w:rsidRPr="00E754AA" w:rsidRDefault="00AD68F9" w:rsidP="00AD68F9">
            <w:pPr>
              <w:spacing w:before="40" w:after="40"/>
              <w:rPr>
                <w:color w:val="000000"/>
                <w:sz w:val="17"/>
                <w:szCs w:val="17"/>
              </w:rPr>
            </w:pPr>
          </w:p>
        </w:tc>
        <w:tc>
          <w:tcPr>
            <w:tcW w:w="924" w:type="dxa"/>
            <w:vAlign w:val="bottom"/>
          </w:tcPr>
          <w:p w14:paraId="3D8FA010"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49FC6B31" w14:textId="77777777" w:rsidR="00AD68F9" w:rsidRPr="00E754AA" w:rsidRDefault="00AD68F9" w:rsidP="00AD68F9">
            <w:pPr>
              <w:spacing w:before="40" w:after="40"/>
              <w:rPr>
                <w:sz w:val="17"/>
                <w:szCs w:val="17"/>
              </w:rPr>
            </w:pPr>
          </w:p>
        </w:tc>
        <w:tc>
          <w:tcPr>
            <w:tcW w:w="924" w:type="dxa"/>
            <w:vAlign w:val="bottom"/>
          </w:tcPr>
          <w:p w14:paraId="73A9076C"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368EA528" w14:textId="77777777" w:rsidR="00AD68F9" w:rsidRPr="00E754AA" w:rsidRDefault="00AD68F9" w:rsidP="00AD68F9">
            <w:pPr>
              <w:spacing w:before="40" w:after="40"/>
              <w:rPr>
                <w:sz w:val="17"/>
                <w:szCs w:val="17"/>
              </w:rPr>
            </w:pPr>
          </w:p>
        </w:tc>
        <w:tc>
          <w:tcPr>
            <w:tcW w:w="939" w:type="dxa"/>
            <w:vAlign w:val="bottom"/>
          </w:tcPr>
          <w:p w14:paraId="1962D12A"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7EFF05BB" w14:textId="77777777" w:rsidR="00AD68F9" w:rsidRPr="000D2863" w:rsidRDefault="00AD68F9" w:rsidP="00AD68F9">
            <w:pPr>
              <w:spacing w:before="40" w:after="40"/>
              <w:rPr>
                <w:sz w:val="17"/>
                <w:szCs w:val="17"/>
              </w:rPr>
            </w:pPr>
          </w:p>
        </w:tc>
      </w:tr>
      <w:tr w:rsidR="00AD68F9" w:rsidRPr="00E834EF" w14:paraId="0190248B" w14:textId="77777777" w:rsidTr="00AD68F9">
        <w:tc>
          <w:tcPr>
            <w:tcW w:w="3254" w:type="dxa"/>
            <w:vAlign w:val="bottom"/>
          </w:tcPr>
          <w:p w14:paraId="46BAF79E" w14:textId="77777777" w:rsidR="00AD68F9" w:rsidRPr="00E754AA" w:rsidRDefault="00AD68F9" w:rsidP="00AD68F9">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0DBA4C82" w14:textId="77777777" w:rsidR="00AD68F9" w:rsidRPr="00E754AA" w:rsidRDefault="00AD68F9" w:rsidP="00AD68F9">
            <w:pPr>
              <w:spacing w:before="40" w:after="40"/>
              <w:rPr>
                <w:sz w:val="17"/>
                <w:szCs w:val="17"/>
              </w:rPr>
            </w:pPr>
          </w:p>
        </w:tc>
        <w:tc>
          <w:tcPr>
            <w:tcW w:w="913" w:type="dxa"/>
            <w:vAlign w:val="bottom"/>
          </w:tcPr>
          <w:p w14:paraId="3F15BE1D"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402B42CA" w14:textId="77777777" w:rsidR="00AD68F9" w:rsidRPr="00E754AA" w:rsidRDefault="00AD68F9" w:rsidP="00AD68F9">
            <w:pPr>
              <w:spacing w:before="40" w:after="40"/>
              <w:rPr>
                <w:color w:val="000000"/>
                <w:sz w:val="17"/>
                <w:szCs w:val="17"/>
              </w:rPr>
            </w:pPr>
          </w:p>
        </w:tc>
        <w:tc>
          <w:tcPr>
            <w:tcW w:w="924" w:type="dxa"/>
            <w:vAlign w:val="bottom"/>
          </w:tcPr>
          <w:p w14:paraId="56AE1A92"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703E2F0C" w14:textId="77777777" w:rsidR="00AD68F9" w:rsidRPr="00E754AA" w:rsidRDefault="00AD68F9" w:rsidP="00AD68F9">
            <w:pPr>
              <w:spacing w:before="40" w:after="40"/>
              <w:rPr>
                <w:color w:val="000000"/>
                <w:sz w:val="17"/>
                <w:szCs w:val="17"/>
              </w:rPr>
            </w:pPr>
          </w:p>
        </w:tc>
        <w:tc>
          <w:tcPr>
            <w:tcW w:w="924" w:type="dxa"/>
            <w:vAlign w:val="bottom"/>
          </w:tcPr>
          <w:p w14:paraId="1C9FE1AA" w14:textId="77777777" w:rsidR="00AD68F9" w:rsidRPr="00E754AA" w:rsidRDefault="00AD68F9" w:rsidP="00AD68F9">
            <w:pPr>
              <w:spacing w:before="40" w:after="40"/>
              <w:jc w:val="right"/>
              <w:rPr>
                <w:color w:val="000000"/>
                <w:sz w:val="17"/>
                <w:szCs w:val="17"/>
              </w:rPr>
            </w:pPr>
            <w:r>
              <w:rPr>
                <w:sz w:val="17"/>
                <w:szCs w:val="17"/>
              </w:rPr>
              <w:t>0.1</w:t>
            </w:r>
          </w:p>
        </w:tc>
        <w:tc>
          <w:tcPr>
            <w:tcW w:w="242" w:type="dxa"/>
            <w:vAlign w:val="bottom"/>
          </w:tcPr>
          <w:p w14:paraId="3CA0E570" w14:textId="77777777" w:rsidR="00AD68F9" w:rsidRPr="00E754AA" w:rsidRDefault="00087B1E" w:rsidP="00AD68F9">
            <w:pPr>
              <w:spacing w:before="40" w:after="40"/>
              <w:rPr>
                <w:sz w:val="17"/>
                <w:szCs w:val="17"/>
              </w:rPr>
            </w:pPr>
            <w:r>
              <w:rPr>
                <w:sz w:val="17"/>
                <w:szCs w:val="17"/>
              </w:rPr>
              <w:t>)</w:t>
            </w:r>
          </w:p>
        </w:tc>
        <w:tc>
          <w:tcPr>
            <w:tcW w:w="924" w:type="dxa"/>
            <w:vAlign w:val="bottom"/>
          </w:tcPr>
          <w:p w14:paraId="038ED9C0" w14:textId="77777777" w:rsidR="00AD68F9" w:rsidRPr="00E754AA" w:rsidRDefault="00AD68F9" w:rsidP="00AD68F9">
            <w:pPr>
              <w:spacing w:before="40" w:after="40"/>
              <w:jc w:val="right"/>
              <w:rPr>
                <w:sz w:val="17"/>
                <w:szCs w:val="17"/>
              </w:rPr>
            </w:pPr>
            <w:r>
              <w:rPr>
                <w:sz w:val="17"/>
                <w:szCs w:val="17"/>
              </w:rPr>
              <w:t>(0.3</w:t>
            </w:r>
          </w:p>
        </w:tc>
        <w:tc>
          <w:tcPr>
            <w:tcW w:w="227" w:type="dxa"/>
            <w:vAlign w:val="bottom"/>
          </w:tcPr>
          <w:p w14:paraId="1A4448FC" w14:textId="77777777" w:rsidR="00AD68F9" w:rsidRPr="00E754AA" w:rsidRDefault="00AD68F9" w:rsidP="00AD68F9">
            <w:pPr>
              <w:spacing w:before="40" w:after="40"/>
              <w:rPr>
                <w:sz w:val="17"/>
                <w:szCs w:val="17"/>
              </w:rPr>
            </w:pPr>
          </w:p>
        </w:tc>
        <w:tc>
          <w:tcPr>
            <w:tcW w:w="939" w:type="dxa"/>
            <w:vAlign w:val="bottom"/>
          </w:tcPr>
          <w:p w14:paraId="48B0A1CB" w14:textId="77777777" w:rsidR="00AD68F9" w:rsidRPr="00E754AA" w:rsidRDefault="00AD68F9" w:rsidP="00AD68F9">
            <w:pPr>
              <w:spacing w:before="40" w:after="40"/>
              <w:jc w:val="right"/>
              <w:rPr>
                <w:sz w:val="17"/>
                <w:szCs w:val="17"/>
              </w:rPr>
            </w:pPr>
            <w:r>
              <w:rPr>
                <w:sz w:val="17"/>
                <w:szCs w:val="17"/>
              </w:rPr>
              <w:t>0.1</w:t>
            </w:r>
          </w:p>
        </w:tc>
        <w:tc>
          <w:tcPr>
            <w:tcW w:w="266" w:type="dxa"/>
            <w:vAlign w:val="bottom"/>
          </w:tcPr>
          <w:p w14:paraId="3B3BD611" w14:textId="77777777" w:rsidR="00AD68F9" w:rsidRPr="000D2863" w:rsidRDefault="00AD68F9" w:rsidP="00AD68F9">
            <w:pPr>
              <w:spacing w:before="40" w:after="40"/>
              <w:rPr>
                <w:sz w:val="17"/>
                <w:szCs w:val="17"/>
              </w:rPr>
            </w:pPr>
          </w:p>
        </w:tc>
      </w:tr>
      <w:tr w:rsidR="00AD68F9" w:rsidRPr="00E834EF" w14:paraId="0AECAE28" w14:textId="77777777" w:rsidTr="00AD68F9">
        <w:tc>
          <w:tcPr>
            <w:tcW w:w="3254" w:type="dxa"/>
            <w:vAlign w:val="center"/>
          </w:tcPr>
          <w:p w14:paraId="11D69E39"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7180AD3F" w14:textId="77777777" w:rsidR="00AD68F9" w:rsidRPr="00E834EF" w:rsidRDefault="00AD68F9" w:rsidP="00AD68F9">
            <w:pPr>
              <w:spacing w:before="40" w:after="40"/>
              <w:rPr>
                <w:sz w:val="17"/>
                <w:szCs w:val="17"/>
              </w:rPr>
            </w:pPr>
          </w:p>
        </w:tc>
        <w:tc>
          <w:tcPr>
            <w:tcW w:w="913" w:type="dxa"/>
            <w:vAlign w:val="bottom"/>
          </w:tcPr>
          <w:p w14:paraId="70834C99"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781E71CE" w14:textId="77777777" w:rsidR="00AD68F9" w:rsidRPr="00E754AA" w:rsidRDefault="00AD68F9" w:rsidP="00AD68F9">
            <w:pPr>
              <w:spacing w:before="40" w:after="40"/>
              <w:rPr>
                <w:color w:val="000000"/>
                <w:sz w:val="17"/>
                <w:szCs w:val="17"/>
              </w:rPr>
            </w:pPr>
          </w:p>
        </w:tc>
        <w:tc>
          <w:tcPr>
            <w:tcW w:w="924" w:type="dxa"/>
            <w:vAlign w:val="bottom"/>
          </w:tcPr>
          <w:p w14:paraId="4300DF27"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137DA3A0" w14:textId="77777777" w:rsidR="00AD68F9" w:rsidRPr="00E754AA" w:rsidRDefault="00AD68F9" w:rsidP="00AD68F9">
            <w:pPr>
              <w:spacing w:before="40" w:after="40"/>
              <w:rPr>
                <w:color w:val="000000"/>
                <w:sz w:val="17"/>
                <w:szCs w:val="17"/>
              </w:rPr>
            </w:pPr>
          </w:p>
        </w:tc>
        <w:tc>
          <w:tcPr>
            <w:tcW w:w="924" w:type="dxa"/>
            <w:vAlign w:val="bottom"/>
          </w:tcPr>
          <w:p w14:paraId="55FAFD67"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18D82ED0" w14:textId="77777777" w:rsidR="00AD68F9" w:rsidRPr="00E754AA" w:rsidRDefault="00AD68F9" w:rsidP="00AD68F9">
            <w:pPr>
              <w:spacing w:before="40" w:after="40"/>
              <w:rPr>
                <w:sz w:val="17"/>
                <w:szCs w:val="17"/>
              </w:rPr>
            </w:pPr>
          </w:p>
        </w:tc>
        <w:tc>
          <w:tcPr>
            <w:tcW w:w="924" w:type="dxa"/>
            <w:vAlign w:val="bottom"/>
          </w:tcPr>
          <w:p w14:paraId="3888A599" w14:textId="77777777" w:rsidR="00AD68F9" w:rsidRPr="00E754AA" w:rsidRDefault="00AD68F9" w:rsidP="00AD68F9">
            <w:pPr>
              <w:spacing w:before="40" w:after="40"/>
              <w:jc w:val="right"/>
              <w:rPr>
                <w:sz w:val="17"/>
                <w:szCs w:val="17"/>
              </w:rPr>
            </w:pPr>
            <w:r w:rsidRPr="00DB3F11">
              <w:rPr>
                <w:sz w:val="16"/>
                <w:szCs w:val="16"/>
              </w:rPr>
              <w:t>—</w:t>
            </w:r>
          </w:p>
        </w:tc>
        <w:tc>
          <w:tcPr>
            <w:tcW w:w="227" w:type="dxa"/>
            <w:vAlign w:val="bottom"/>
          </w:tcPr>
          <w:p w14:paraId="6D45B5B9" w14:textId="77777777" w:rsidR="00AD68F9" w:rsidRPr="00E754AA" w:rsidRDefault="00AD68F9" w:rsidP="00AD68F9">
            <w:pPr>
              <w:spacing w:before="40" w:after="40"/>
              <w:rPr>
                <w:sz w:val="17"/>
                <w:szCs w:val="17"/>
              </w:rPr>
            </w:pPr>
          </w:p>
        </w:tc>
        <w:tc>
          <w:tcPr>
            <w:tcW w:w="939" w:type="dxa"/>
            <w:vAlign w:val="bottom"/>
          </w:tcPr>
          <w:p w14:paraId="26595D90"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4D6731C2" w14:textId="77777777" w:rsidR="00AD68F9" w:rsidRPr="000D2863" w:rsidRDefault="00AD68F9" w:rsidP="00AD68F9">
            <w:pPr>
              <w:spacing w:before="40" w:after="40"/>
              <w:rPr>
                <w:sz w:val="17"/>
                <w:szCs w:val="17"/>
              </w:rPr>
            </w:pPr>
          </w:p>
        </w:tc>
      </w:tr>
      <w:tr w:rsidR="00AD68F9" w:rsidRPr="00E834EF" w14:paraId="700D531D" w14:textId="77777777" w:rsidTr="00AD68F9">
        <w:tc>
          <w:tcPr>
            <w:tcW w:w="3254" w:type="dxa"/>
            <w:vAlign w:val="center"/>
          </w:tcPr>
          <w:p w14:paraId="34E1DD5E"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57F638C3" w14:textId="77777777" w:rsidR="00AD68F9" w:rsidRPr="00E834EF" w:rsidRDefault="00AD68F9" w:rsidP="00AD68F9">
            <w:pPr>
              <w:spacing w:before="40" w:after="40"/>
              <w:rPr>
                <w:sz w:val="17"/>
                <w:szCs w:val="17"/>
              </w:rPr>
            </w:pPr>
          </w:p>
        </w:tc>
        <w:tc>
          <w:tcPr>
            <w:tcW w:w="913" w:type="dxa"/>
            <w:vAlign w:val="bottom"/>
          </w:tcPr>
          <w:p w14:paraId="1BEC73F9" w14:textId="77777777" w:rsidR="00AD68F9" w:rsidRPr="00E754AA" w:rsidRDefault="00AD68F9" w:rsidP="00AD68F9">
            <w:pPr>
              <w:spacing w:before="40" w:after="40"/>
              <w:jc w:val="right"/>
              <w:rPr>
                <w:color w:val="000000"/>
                <w:sz w:val="17"/>
                <w:szCs w:val="17"/>
              </w:rPr>
            </w:pPr>
            <w:r>
              <w:rPr>
                <w:sz w:val="17"/>
                <w:szCs w:val="17"/>
              </w:rPr>
              <w:t>(0.1</w:t>
            </w:r>
            <w:r w:rsidR="00691785">
              <w:rPr>
                <w:sz w:val="17"/>
                <w:szCs w:val="17"/>
              </w:rPr>
              <w:t>)</w:t>
            </w:r>
          </w:p>
        </w:tc>
        <w:tc>
          <w:tcPr>
            <w:tcW w:w="252" w:type="dxa"/>
            <w:gridSpan w:val="2"/>
            <w:vAlign w:val="bottom"/>
          </w:tcPr>
          <w:p w14:paraId="5929D6D8" w14:textId="77777777" w:rsidR="00AD68F9" w:rsidRPr="00E754AA" w:rsidRDefault="00AD68F9" w:rsidP="00AD68F9">
            <w:pPr>
              <w:spacing w:before="40" w:after="40"/>
              <w:rPr>
                <w:color w:val="000000"/>
                <w:sz w:val="17"/>
                <w:szCs w:val="17"/>
              </w:rPr>
            </w:pPr>
            <w:r>
              <w:rPr>
                <w:color w:val="000000"/>
                <w:sz w:val="17"/>
                <w:szCs w:val="17"/>
              </w:rPr>
              <w:t>)</w:t>
            </w:r>
          </w:p>
        </w:tc>
        <w:tc>
          <w:tcPr>
            <w:tcW w:w="924" w:type="dxa"/>
            <w:vAlign w:val="bottom"/>
          </w:tcPr>
          <w:p w14:paraId="35240FEF" w14:textId="77777777" w:rsidR="00AD68F9" w:rsidRPr="00E754AA" w:rsidRDefault="00AD68F9" w:rsidP="00AD68F9">
            <w:pPr>
              <w:spacing w:before="40" w:after="40"/>
              <w:jc w:val="right"/>
              <w:rPr>
                <w:color w:val="000000"/>
                <w:sz w:val="17"/>
                <w:szCs w:val="17"/>
              </w:rPr>
            </w:pPr>
            <w:r>
              <w:rPr>
                <w:sz w:val="17"/>
                <w:szCs w:val="17"/>
              </w:rPr>
              <w:t>(0.1</w:t>
            </w:r>
          </w:p>
        </w:tc>
        <w:tc>
          <w:tcPr>
            <w:tcW w:w="242" w:type="dxa"/>
            <w:vAlign w:val="bottom"/>
          </w:tcPr>
          <w:p w14:paraId="43841A24" w14:textId="77777777" w:rsidR="00AD68F9" w:rsidRPr="00E754AA" w:rsidRDefault="00AD68F9" w:rsidP="00AD68F9">
            <w:pPr>
              <w:spacing w:before="40" w:after="40"/>
              <w:rPr>
                <w:color w:val="000000"/>
                <w:sz w:val="17"/>
                <w:szCs w:val="17"/>
              </w:rPr>
            </w:pPr>
            <w:r>
              <w:rPr>
                <w:color w:val="000000"/>
                <w:sz w:val="17"/>
                <w:szCs w:val="17"/>
              </w:rPr>
              <w:t>)</w:t>
            </w:r>
          </w:p>
        </w:tc>
        <w:tc>
          <w:tcPr>
            <w:tcW w:w="924" w:type="dxa"/>
            <w:vAlign w:val="bottom"/>
          </w:tcPr>
          <w:p w14:paraId="3DEBBA82" w14:textId="77777777" w:rsidR="00AD68F9" w:rsidRPr="00E754AA" w:rsidRDefault="00AD68F9" w:rsidP="00AD68F9">
            <w:pPr>
              <w:spacing w:before="40" w:after="40"/>
              <w:jc w:val="right"/>
              <w:rPr>
                <w:color w:val="000000"/>
                <w:sz w:val="17"/>
                <w:szCs w:val="17"/>
              </w:rPr>
            </w:pPr>
            <w:r>
              <w:rPr>
                <w:sz w:val="17"/>
                <w:szCs w:val="17"/>
              </w:rPr>
              <w:t>(0.1</w:t>
            </w:r>
          </w:p>
        </w:tc>
        <w:tc>
          <w:tcPr>
            <w:tcW w:w="242" w:type="dxa"/>
            <w:vAlign w:val="bottom"/>
          </w:tcPr>
          <w:p w14:paraId="175EE87E" w14:textId="77777777" w:rsidR="00AD68F9" w:rsidRPr="002163D4" w:rsidRDefault="00AD68F9" w:rsidP="00AD68F9">
            <w:pPr>
              <w:spacing w:before="40" w:after="40"/>
              <w:rPr>
                <w:sz w:val="16"/>
                <w:szCs w:val="16"/>
              </w:rPr>
            </w:pPr>
            <w:r>
              <w:rPr>
                <w:sz w:val="16"/>
                <w:szCs w:val="16"/>
              </w:rPr>
              <w:t>)</w:t>
            </w:r>
          </w:p>
        </w:tc>
        <w:tc>
          <w:tcPr>
            <w:tcW w:w="924" w:type="dxa"/>
            <w:vAlign w:val="bottom"/>
          </w:tcPr>
          <w:p w14:paraId="2F09E664" w14:textId="77777777" w:rsidR="00AD68F9" w:rsidRPr="00E754AA" w:rsidRDefault="00AD68F9" w:rsidP="00AD68F9">
            <w:pPr>
              <w:spacing w:before="40" w:after="40"/>
              <w:jc w:val="right"/>
              <w:rPr>
                <w:sz w:val="17"/>
                <w:szCs w:val="17"/>
              </w:rPr>
            </w:pPr>
            <w:r>
              <w:rPr>
                <w:sz w:val="17"/>
                <w:szCs w:val="17"/>
              </w:rPr>
              <w:t>(0.1</w:t>
            </w:r>
          </w:p>
        </w:tc>
        <w:tc>
          <w:tcPr>
            <w:tcW w:w="227" w:type="dxa"/>
            <w:vAlign w:val="bottom"/>
          </w:tcPr>
          <w:p w14:paraId="29D86225" w14:textId="77777777" w:rsidR="00AD68F9" w:rsidRPr="00E754AA" w:rsidRDefault="00AD68F9" w:rsidP="00AD68F9">
            <w:pPr>
              <w:spacing w:before="40" w:after="40"/>
              <w:rPr>
                <w:sz w:val="17"/>
                <w:szCs w:val="17"/>
              </w:rPr>
            </w:pPr>
            <w:r>
              <w:rPr>
                <w:sz w:val="17"/>
                <w:szCs w:val="17"/>
              </w:rPr>
              <w:t>)</w:t>
            </w:r>
          </w:p>
        </w:tc>
        <w:tc>
          <w:tcPr>
            <w:tcW w:w="939" w:type="dxa"/>
            <w:vAlign w:val="bottom"/>
          </w:tcPr>
          <w:p w14:paraId="6D39FAC8" w14:textId="77777777" w:rsidR="00AD68F9" w:rsidRPr="00E754AA" w:rsidRDefault="00AD68F9" w:rsidP="00AD68F9">
            <w:pPr>
              <w:spacing w:before="40" w:after="40"/>
              <w:jc w:val="right"/>
              <w:rPr>
                <w:sz w:val="17"/>
                <w:szCs w:val="17"/>
              </w:rPr>
            </w:pPr>
            <w:r>
              <w:rPr>
                <w:sz w:val="17"/>
                <w:szCs w:val="17"/>
              </w:rPr>
              <w:t>(0.1</w:t>
            </w:r>
          </w:p>
        </w:tc>
        <w:tc>
          <w:tcPr>
            <w:tcW w:w="266" w:type="dxa"/>
            <w:vAlign w:val="bottom"/>
          </w:tcPr>
          <w:p w14:paraId="6456C696" w14:textId="77777777" w:rsidR="00AD68F9" w:rsidRPr="000D2863" w:rsidRDefault="00AD68F9" w:rsidP="00AD68F9">
            <w:pPr>
              <w:spacing w:before="40" w:after="40"/>
              <w:rPr>
                <w:sz w:val="17"/>
                <w:szCs w:val="17"/>
              </w:rPr>
            </w:pPr>
          </w:p>
        </w:tc>
      </w:tr>
      <w:tr w:rsidR="00AD68F9" w:rsidRPr="00E834EF" w14:paraId="163E1193" w14:textId="77777777" w:rsidTr="00AD68F9">
        <w:tc>
          <w:tcPr>
            <w:tcW w:w="3254" w:type="dxa"/>
            <w:vAlign w:val="center"/>
          </w:tcPr>
          <w:p w14:paraId="4A3A6B95" w14:textId="77777777" w:rsidR="00AD68F9" w:rsidRPr="00E754AA" w:rsidRDefault="00AD68F9" w:rsidP="00AD68F9">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3E3E0A45" w14:textId="77777777" w:rsidR="00AD68F9" w:rsidRPr="00E834EF" w:rsidRDefault="00AD68F9" w:rsidP="00AD68F9">
            <w:pPr>
              <w:spacing w:before="40" w:after="40"/>
              <w:rPr>
                <w:sz w:val="17"/>
                <w:szCs w:val="17"/>
              </w:rPr>
            </w:pPr>
          </w:p>
        </w:tc>
        <w:tc>
          <w:tcPr>
            <w:tcW w:w="913" w:type="dxa"/>
            <w:vAlign w:val="bottom"/>
          </w:tcPr>
          <w:p w14:paraId="6D1CDC6B" w14:textId="77777777" w:rsidR="00AD68F9" w:rsidRPr="00E754AA" w:rsidRDefault="00AD68F9" w:rsidP="00AD68F9">
            <w:pPr>
              <w:spacing w:before="40" w:after="40"/>
              <w:jc w:val="right"/>
              <w:rPr>
                <w:color w:val="000000"/>
                <w:sz w:val="17"/>
                <w:szCs w:val="17"/>
              </w:rPr>
            </w:pPr>
            <w:r w:rsidRPr="00DB3F11">
              <w:rPr>
                <w:sz w:val="16"/>
                <w:szCs w:val="16"/>
              </w:rPr>
              <w:t>—</w:t>
            </w:r>
          </w:p>
        </w:tc>
        <w:tc>
          <w:tcPr>
            <w:tcW w:w="252" w:type="dxa"/>
            <w:gridSpan w:val="2"/>
            <w:vAlign w:val="bottom"/>
          </w:tcPr>
          <w:p w14:paraId="0740EF88" w14:textId="77777777" w:rsidR="00AD68F9" w:rsidRPr="00E754AA" w:rsidRDefault="00AD68F9" w:rsidP="00AD68F9">
            <w:pPr>
              <w:spacing w:before="40" w:after="40"/>
              <w:rPr>
                <w:color w:val="000000"/>
                <w:sz w:val="17"/>
                <w:szCs w:val="17"/>
              </w:rPr>
            </w:pPr>
          </w:p>
        </w:tc>
        <w:tc>
          <w:tcPr>
            <w:tcW w:w="924" w:type="dxa"/>
            <w:vAlign w:val="bottom"/>
          </w:tcPr>
          <w:p w14:paraId="6131F538" w14:textId="77777777" w:rsidR="00AD68F9" w:rsidRPr="00E754AA" w:rsidRDefault="00AD68F9" w:rsidP="00AD68F9">
            <w:pPr>
              <w:spacing w:before="40" w:after="40"/>
              <w:jc w:val="right"/>
              <w:rPr>
                <w:color w:val="000000"/>
                <w:sz w:val="17"/>
                <w:szCs w:val="17"/>
              </w:rPr>
            </w:pPr>
            <w:r w:rsidRPr="00DB3F11">
              <w:rPr>
                <w:sz w:val="16"/>
                <w:szCs w:val="16"/>
              </w:rPr>
              <w:t>—</w:t>
            </w:r>
          </w:p>
        </w:tc>
        <w:tc>
          <w:tcPr>
            <w:tcW w:w="242" w:type="dxa"/>
            <w:vAlign w:val="bottom"/>
          </w:tcPr>
          <w:p w14:paraId="549943C1" w14:textId="77777777" w:rsidR="00AD68F9" w:rsidRPr="00E754AA" w:rsidRDefault="00AD68F9" w:rsidP="00AD68F9">
            <w:pPr>
              <w:spacing w:before="40" w:after="40"/>
              <w:rPr>
                <w:color w:val="000000"/>
                <w:sz w:val="17"/>
                <w:szCs w:val="17"/>
              </w:rPr>
            </w:pPr>
          </w:p>
        </w:tc>
        <w:tc>
          <w:tcPr>
            <w:tcW w:w="924" w:type="dxa"/>
            <w:vAlign w:val="bottom"/>
          </w:tcPr>
          <w:p w14:paraId="16C917DC" w14:textId="77777777" w:rsidR="00AD68F9" w:rsidRPr="00E754AA" w:rsidRDefault="00AD68F9" w:rsidP="00AD68F9">
            <w:pPr>
              <w:spacing w:before="40" w:after="40"/>
              <w:jc w:val="right"/>
              <w:rPr>
                <w:color w:val="000000"/>
                <w:sz w:val="17"/>
                <w:szCs w:val="17"/>
              </w:rPr>
            </w:pPr>
            <w:r>
              <w:rPr>
                <w:sz w:val="17"/>
                <w:szCs w:val="17"/>
              </w:rPr>
              <w:t>(22.3</w:t>
            </w:r>
          </w:p>
        </w:tc>
        <w:tc>
          <w:tcPr>
            <w:tcW w:w="242" w:type="dxa"/>
            <w:vAlign w:val="bottom"/>
          </w:tcPr>
          <w:p w14:paraId="3BA5171B" w14:textId="77777777" w:rsidR="00AD68F9" w:rsidRPr="002163D4" w:rsidRDefault="00AD68F9" w:rsidP="00AD68F9">
            <w:pPr>
              <w:spacing w:before="40" w:after="40"/>
              <w:rPr>
                <w:sz w:val="16"/>
                <w:szCs w:val="16"/>
              </w:rPr>
            </w:pPr>
            <w:r>
              <w:rPr>
                <w:sz w:val="16"/>
                <w:szCs w:val="16"/>
              </w:rPr>
              <w:t>)</w:t>
            </w:r>
          </w:p>
        </w:tc>
        <w:tc>
          <w:tcPr>
            <w:tcW w:w="924" w:type="dxa"/>
            <w:vAlign w:val="bottom"/>
          </w:tcPr>
          <w:p w14:paraId="47744BE3" w14:textId="77777777" w:rsidR="00AD68F9" w:rsidRPr="00E754AA" w:rsidRDefault="00AD68F9" w:rsidP="00AD68F9">
            <w:pPr>
              <w:spacing w:before="40" w:after="40"/>
              <w:jc w:val="right"/>
              <w:rPr>
                <w:sz w:val="17"/>
                <w:szCs w:val="17"/>
              </w:rPr>
            </w:pPr>
            <w:r>
              <w:rPr>
                <w:sz w:val="17"/>
                <w:szCs w:val="17"/>
              </w:rPr>
              <w:t>(22.3</w:t>
            </w:r>
          </w:p>
        </w:tc>
        <w:tc>
          <w:tcPr>
            <w:tcW w:w="227" w:type="dxa"/>
            <w:vAlign w:val="bottom"/>
          </w:tcPr>
          <w:p w14:paraId="53901E94" w14:textId="77777777" w:rsidR="00AD68F9" w:rsidRPr="00E754AA" w:rsidRDefault="00AD68F9" w:rsidP="00AD68F9">
            <w:pPr>
              <w:spacing w:before="40" w:after="40"/>
              <w:rPr>
                <w:sz w:val="17"/>
                <w:szCs w:val="17"/>
              </w:rPr>
            </w:pPr>
          </w:p>
        </w:tc>
        <w:tc>
          <w:tcPr>
            <w:tcW w:w="939" w:type="dxa"/>
            <w:vAlign w:val="bottom"/>
          </w:tcPr>
          <w:p w14:paraId="5AF1E8CF" w14:textId="77777777" w:rsidR="00AD68F9" w:rsidRPr="00E754AA" w:rsidRDefault="00AD68F9" w:rsidP="00AD68F9">
            <w:pPr>
              <w:spacing w:before="40" w:after="40"/>
              <w:jc w:val="right"/>
              <w:rPr>
                <w:sz w:val="17"/>
                <w:szCs w:val="17"/>
              </w:rPr>
            </w:pPr>
            <w:r w:rsidRPr="00DB3F11">
              <w:rPr>
                <w:sz w:val="16"/>
                <w:szCs w:val="16"/>
              </w:rPr>
              <w:t>—</w:t>
            </w:r>
          </w:p>
        </w:tc>
        <w:tc>
          <w:tcPr>
            <w:tcW w:w="266" w:type="dxa"/>
            <w:vAlign w:val="bottom"/>
          </w:tcPr>
          <w:p w14:paraId="0D7D2D43" w14:textId="77777777" w:rsidR="00AD68F9" w:rsidRPr="000D2863" w:rsidRDefault="00AD68F9" w:rsidP="00AD68F9">
            <w:pPr>
              <w:spacing w:before="40" w:after="40"/>
              <w:rPr>
                <w:sz w:val="17"/>
                <w:szCs w:val="17"/>
              </w:rPr>
            </w:pPr>
          </w:p>
        </w:tc>
      </w:tr>
      <w:tr w:rsidR="00AD68F9" w:rsidRPr="00E834EF" w14:paraId="1FADCFDC" w14:textId="77777777" w:rsidTr="00AD68F9">
        <w:tc>
          <w:tcPr>
            <w:tcW w:w="3254" w:type="dxa"/>
            <w:vAlign w:val="center"/>
          </w:tcPr>
          <w:p w14:paraId="6634EAA6" w14:textId="77777777" w:rsidR="00AD68F9" w:rsidRDefault="00AD68F9" w:rsidP="00AD68F9">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171ACFA1" w14:textId="77777777" w:rsidR="00AD68F9" w:rsidRPr="00E834EF" w:rsidRDefault="00AD68F9" w:rsidP="00AD68F9">
            <w:pPr>
              <w:spacing w:before="40" w:after="40"/>
              <w:rPr>
                <w:sz w:val="17"/>
                <w:szCs w:val="17"/>
              </w:rPr>
            </w:pPr>
          </w:p>
        </w:tc>
        <w:tc>
          <w:tcPr>
            <w:tcW w:w="913" w:type="dxa"/>
            <w:tcBorders>
              <w:bottom w:val="single" w:sz="4" w:space="0" w:color="auto"/>
            </w:tcBorders>
            <w:vAlign w:val="bottom"/>
          </w:tcPr>
          <w:p w14:paraId="7A9C077C" w14:textId="77777777" w:rsidR="00AD68F9" w:rsidRPr="000D2863" w:rsidRDefault="00AD68F9" w:rsidP="00AD68F9">
            <w:pPr>
              <w:spacing w:before="40" w:after="40"/>
              <w:jc w:val="right"/>
              <w:rPr>
                <w:color w:val="000000"/>
                <w:sz w:val="17"/>
                <w:szCs w:val="17"/>
              </w:rPr>
            </w:pPr>
            <w:r>
              <w:rPr>
                <w:sz w:val="17"/>
                <w:szCs w:val="17"/>
              </w:rPr>
              <w:t>7.2</w:t>
            </w:r>
          </w:p>
        </w:tc>
        <w:tc>
          <w:tcPr>
            <w:tcW w:w="252" w:type="dxa"/>
            <w:gridSpan w:val="2"/>
            <w:vAlign w:val="bottom"/>
          </w:tcPr>
          <w:p w14:paraId="4ED8227F" w14:textId="77777777" w:rsidR="00AD68F9" w:rsidRPr="000D2863" w:rsidRDefault="00AD68F9" w:rsidP="00AD68F9">
            <w:pPr>
              <w:spacing w:before="40" w:after="40"/>
              <w:rPr>
                <w:color w:val="000000"/>
                <w:sz w:val="17"/>
                <w:szCs w:val="17"/>
              </w:rPr>
            </w:pPr>
          </w:p>
        </w:tc>
        <w:tc>
          <w:tcPr>
            <w:tcW w:w="924" w:type="dxa"/>
            <w:tcBorders>
              <w:bottom w:val="single" w:sz="4" w:space="0" w:color="auto"/>
            </w:tcBorders>
            <w:vAlign w:val="bottom"/>
          </w:tcPr>
          <w:p w14:paraId="54B0451E" w14:textId="77777777" w:rsidR="00AD68F9" w:rsidRPr="000D2863" w:rsidRDefault="00AD68F9" w:rsidP="00AD68F9">
            <w:pPr>
              <w:spacing w:before="40" w:after="40"/>
              <w:jc w:val="right"/>
              <w:rPr>
                <w:color w:val="000000"/>
                <w:sz w:val="17"/>
                <w:szCs w:val="17"/>
              </w:rPr>
            </w:pPr>
            <w:r>
              <w:rPr>
                <w:sz w:val="17"/>
                <w:szCs w:val="17"/>
              </w:rPr>
              <w:t>17.3</w:t>
            </w:r>
          </w:p>
        </w:tc>
        <w:tc>
          <w:tcPr>
            <w:tcW w:w="242" w:type="dxa"/>
            <w:vAlign w:val="bottom"/>
          </w:tcPr>
          <w:p w14:paraId="095867B8" w14:textId="77777777" w:rsidR="00AD68F9" w:rsidRPr="000D2863" w:rsidRDefault="00AD68F9" w:rsidP="00AD68F9">
            <w:pPr>
              <w:spacing w:before="40" w:after="40"/>
              <w:rPr>
                <w:color w:val="000000"/>
                <w:sz w:val="17"/>
                <w:szCs w:val="17"/>
              </w:rPr>
            </w:pPr>
          </w:p>
        </w:tc>
        <w:tc>
          <w:tcPr>
            <w:tcW w:w="924" w:type="dxa"/>
            <w:tcBorders>
              <w:bottom w:val="single" w:sz="4" w:space="0" w:color="auto"/>
            </w:tcBorders>
            <w:vAlign w:val="bottom"/>
          </w:tcPr>
          <w:p w14:paraId="1F8FACD3" w14:textId="77777777" w:rsidR="00AD68F9" w:rsidRPr="000D2863" w:rsidRDefault="00AD68F9" w:rsidP="00AD68F9">
            <w:pPr>
              <w:spacing w:before="40" w:after="40"/>
              <w:jc w:val="right"/>
              <w:rPr>
                <w:color w:val="000000"/>
                <w:sz w:val="17"/>
                <w:szCs w:val="17"/>
              </w:rPr>
            </w:pPr>
            <w:r>
              <w:rPr>
                <w:sz w:val="17"/>
                <w:szCs w:val="17"/>
              </w:rPr>
              <w:t>24.2</w:t>
            </w:r>
          </w:p>
        </w:tc>
        <w:tc>
          <w:tcPr>
            <w:tcW w:w="242" w:type="dxa"/>
            <w:vAlign w:val="bottom"/>
          </w:tcPr>
          <w:p w14:paraId="65E5F038" w14:textId="77777777" w:rsidR="00AD68F9" w:rsidRPr="002163D4" w:rsidRDefault="00AD68F9" w:rsidP="00AD68F9">
            <w:pPr>
              <w:spacing w:before="40" w:after="40"/>
              <w:rPr>
                <w:sz w:val="16"/>
                <w:szCs w:val="16"/>
              </w:rPr>
            </w:pPr>
          </w:p>
        </w:tc>
        <w:tc>
          <w:tcPr>
            <w:tcW w:w="924" w:type="dxa"/>
            <w:tcBorders>
              <w:bottom w:val="single" w:sz="4" w:space="0" w:color="auto"/>
            </w:tcBorders>
            <w:vAlign w:val="bottom"/>
          </w:tcPr>
          <w:p w14:paraId="413D7ED1" w14:textId="77777777" w:rsidR="00AD68F9" w:rsidRPr="000D2863" w:rsidRDefault="00AD68F9" w:rsidP="00AD68F9">
            <w:pPr>
              <w:spacing w:before="40" w:after="40"/>
              <w:jc w:val="right"/>
              <w:rPr>
                <w:sz w:val="17"/>
                <w:szCs w:val="17"/>
              </w:rPr>
            </w:pPr>
            <w:r>
              <w:rPr>
                <w:sz w:val="17"/>
                <w:szCs w:val="17"/>
              </w:rPr>
              <w:t>16.8</w:t>
            </w:r>
          </w:p>
        </w:tc>
        <w:tc>
          <w:tcPr>
            <w:tcW w:w="227" w:type="dxa"/>
            <w:vAlign w:val="bottom"/>
          </w:tcPr>
          <w:p w14:paraId="6F36F608" w14:textId="77777777" w:rsidR="00AD68F9" w:rsidRPr="000D2863" w:rsidRDefault="00AD68F9" w:rsidP="00AD68F9">
            <w:pPr>
              <w:spacing w:before="40" w:after="40"/>
              <w:rPr>
                <w:sz w:val="17"/>
                <w:szCs w:val="17"/>
              </w:rPr>
            </w:pPr>
          </w:p>
        </w:tc>
        <w:tc>
          <w:tcPr>
            <w:tcW w:w="939" w:type="dxa"/>
            <w:tcBorders>
              <w:bottom w:val="single" w:sz="4" w:space="0" w:color="auto"/>
            </w:tcBorders>
            <w:vAlign w:val="bottom"/>
          </w:tcPr>
          <w:p w14:paraId="2A899681" w14:textId="77777777" w:rsidR="00AD68F9" w:rsidRPr="000D2863" w:rsidRDefault="00AD68F9" w:rsidP="00AD68F9">
            <w:pPr>
              <w:spacing w:before="40" w:after="40"/>
              <w:jc w:val="right"/>
              <w:rPr>
                <w:sz w:val="17"/>
                <w:szCs w:val="17"/>
              </w:rPr>
            </w:pPr>
            <w:r>
              <w:rPr>
                <w:sz w:val="17"/>
                <w:szCs w:val="17"/>
              </w:rPr>
              <w:t>10.3</w:t>
            </w:r>
          </w:p>
        </w:tc>
        <w:tc>
          <w:tcPr>
            <w:tcW w:w="266" w:type="dxa"/>
            <w:vAlign w:val="bottom"/>
          </w:tcPr>
          <w:p w14:paraId="7B5FA79B" w14:textId="77777777" w:rsidR="00AD68F9" w:rsidRPr="000D2863" w:rsidRDefault="00AD68F9" w:rsidP="00AD68F9">
            <w:pPr>
              <w:spacing w:before="40" w:after="40"/>
              <w:rPr>
                <w:sz w:val="17"/>
                <w:szCs w:val="17"/>
              </w:rPr>
            </w:pPr>
          </w:p>
        </w:tc>
      </w:tr>
      <w:tr w:rsidR="00AD68F9" w:rsidRPr="00E834EF" w14:paraId="0322F3DE" w14:textId="77777777" w:rsidTr="00AD68F9">
        <w:tc>
          <w:tcPr>
            <w:tcW w:w="3254" w:type="dxa"/>
          </w:tcPr>
          <w:p w14:paraId="6A0BE9C9" w14:textId="77777777" w:rsidR="00AD68F9" w:rsidRDefault="00AD68F9" w:rsidP="00AD68F9">
            <w:pPr>
              <w:tabs>
                <w:tab w:val="right" w:leader="dot" w:pos="3255"/>
              </w:tabs>
              <w:bidi/>
              <w:spacing w:before="40" w:after="40"/>
              <w:rPr>
                <w:b/>
                <w:bCs/>
                <w:sz w:val="17"/>
                <w:szCs w:val="17"/>
                <w:u w:val="single"/>
              </w:rPr>
            </w:pPr>
            <w:r w:rsidRPr="00272B36">
              <w:rPr>
                <w:rFonts w:hint="eastAsia"/>
                <w:b/>
                <w:bCs/>
                <w:szCs w:val="17"/>
                <w:rtl/>
              </w:rPr>
              <w:t>الأرباح</w:t>
            </w:r>
            <w:r w:rsidRPr="00272B36">
              <w:rPr>
                <w:b/>
                <w:bCs/>
                <w:szCs w:val="17"/>
                <w:rtl/>
              </w:rPr>
              <w:t xml:space="preserve"> قبل حساب الفوائد والضرائب والإهلاك والإطفاء </w:t>
            </w:r>
            <w:r>
              <w:rPr>
                <w:rFonts w:hint="cs"/>
                <w:b/>
                <w:bCs/>
                <w:szCs w:val="17"/>
                <w:rtl/>
              </w:rPr>
              <w:t>لل</w:t>
            </w:r>
            <w:r w:rsidR="00607B02">
              <w:rPr>
                <w:rFonts w:hint="cs"/>
                <w:b/>
                <w:bCs/>
                <w:szCs w:val="17"/>
                <w:rtl/>
              </w:rPr>
              <w:t>نقل</w:t>
            </w:r>
            <w:r>
              <w:rPr>
                <w:rFonts w:hint="cs"/>
                <w:b/>
                <w:bCs/>
                <w:szCs w:val="17"/>
                <w:rtl/>
              </w:rPr>
              <w:t xml:space="preserve"> المنتظم</w:t>
            </w:r>
            <w:r w:rsidRPr="007D2480">
              <w:rPr>
                <w:sz w:val="17"/>
              </w:rPr>
              <w:tab/>
            </w:r>
          </w:p>
        </w:tc>
        <w:tc>
          <w:tcPr>
            <w:tcW w:w="242" w:type="dxa"/>
            <w:vAlign w:val="bottom"/>
          </w:tcPr>
          <w:p w14:paraId="6614AD11" w14:textId="77777777" w:rsidR="00AD68F9" w:rsidRPr="00E834EF" w:rsidRDefault="00AD68F9" w:rsidP="00AD68F9">
            <w:pPr>
              <w:spacing w:before="40" w:after="40"/>
              <w:rPr>
                <w:sz w:val="17"/>
                <w:szCs w:val="17"/>
              </w:rPr>
            </w:pPr>
          </w:p>
        </w:tc>
        <w:tc>
          <w:tcPr>
            <w:tcW w:w="913" w:type="dxa"/>
            <w:tcBorders>
              <w:top w:val="single" w:sz="4" w:space="0" w:color="auto"/>
            </w:tcBorders>
            <w:vAlign w:val="bottom"/>
          </w:tcPr>
          <w:p w14:paraId="42405857" w14:textId="77777777" w:rsidR="00AD68F9" w:rsidRPr="002163D4" w:rsidRDefault="00AD68F9" w:rsidP="00AD68F9">
            <w:pPr>
              <w:spacing w:before="40" w:after="40"/>
              <w:jc w:val="right"/>
              <w:rPr>
                <w:b/>
                <w:bCs/>
                <w:color w:val="000000"/>
                <w:sz w:val="16"/>
                <w:szCs w:val="16"/>
              </w:rPr>
            </w:pPr>
            <w:r w:rsidRPr="002163D4">
              <w:rPr>
                <w:sz w:val="16"/>
                <w:szCs w:val="16"/>
              </w:rPr>
              <w:t>13.7</w:t>
            </w:r>
          </w:p>
        </w:tc>
        <w:tc>
          <w:tcPr>
            <w:tcW w:w="252" w:type="dxa"/>
            <w:gridSpan w:val="2"/>
            <w:vAlign w:val="bottom"/>
          </w:tcPr>
          <w:p w14:paraId="3989E26A" w14:textId="77777777" w:rsidR="00AD68F9" w:rsidRPr="002163D4" w:rsidRDefault="00AD68F9" w:rsidP="00AD68F9">
            <w:pPr>
              <w:spacing w:before="40" w:after="40"/>
              <w:rPr>
                <w:b/>
                <w:bCs/>
                <w:color w:val="000000"/>
                <w:sz w:val="16"/>
                <w:szCs w:val="16"/>
              </w:rPr>
            </w:pPr>
          </w:p>
        </w:tc>
        <w:tc>
          <w:tcPr>
            <w:tcW w:w="924" w:type="dxa"/>
            <w:tcBorders>
              <w:top w:val="single" w:sz="4" w:space="0" w:color="auto"/>
            </w:tcBorders>
            <w:vAlign w:val="bottom"/>
          </w:tcPr>
          <w:p w14:paraId="79BFCA0E" w14:textId="77777777" w:rsidR="00AD68F9" w:rsidRPr="002163D4" w:rsidRDefault="00AD68F9" w:rsidP="00AD68F9">
            <w:pPr>
              <w:spacing w:before="40" w:after="40"/>
              <w:jc w:val="right"/>
              <w:rPr>
                <w:b/>
                <w:bCs/>
                <w:color w:val="000000"/>
                <w:sz w:val="16"/>
                <w:szCs w:val="16"/>
              </w:rPr>
            </w:pPr>
            <w:r w:rsidRPr="002163D4">
              <w:rPr>
                <w:sz w:val="16"/>
                <w:szCs w:val="16"/>
              </w:rPr>
              <w:t>30.2</w:t>
            </w:r>
          </w:p>
        </w:tc>
        <w:tc>
          <w:tcPr>
            <w:tcW w:w="242" w:type="dxa"/>
            <w:vAlign w:val="bottom"/>
          </w:tcPr>
          <w:p w14:paraId="4DB77B36" w14:textId="77777777" w:rsidR="00AD68F9" w:rsidRPr="002163D4" w:rsidRDefault="00087B1E" w:rsidP="00AD68F9">
            <w:pPr>
              <w:spacing w:before="40" w:after="40"/>
              <w:rPr>
                <w:b/>
                <w:bCs/>
                <w:color w:val="000000"/>
                <w:sz w:val="16"/>
                <w:szCs w:val="16"/>
              </w:rPr>
            </w:pPr>
            <w:r>
              <w:rPr>
                <w:b/>
                <w:bCs/>
                <w:color w:val="000000"/>
                <w:sz w:val="16"/>
                <w:szCs w:val="16"/>
              </w:rPr>
              <w:t>)</w:t>
            </w:r>
          </w:p>
        </w:tc>
        <w:tc>
          <w:tcPr>
            <w:tcW w:w="924" w:type="dxa"/>
            <w:tcBorders>
              <w:top w:val="single" w:sz="4" w:space="0" w:color="auto"/>
            </w:tcBorders>
            <w:vAlign w:val="bottom"/>
          </w:tcPr>
          <w:p w14:paraId="12FEB7D6" w14:textId="77777777" w:rsidR="00AD68F9" w:rsidRPr="002163D4" w:rsidRDefault="00AD68F9" w:rsidP="00AD68F9">
            <w:pPr>
              <w:spacing w:before="40" w:after="40"/>
              <w:jc w:val="right"/>
              <w:rPr>
                <w:b/>
                <w:bCs/>
                <w:color w:val="000000"/>
                <w:sz w:val="16"/>
                <w:szCs w:val="16"/>
              </w:rPr>
            </w:pPr>
            <w:r w:rsidRPr="002163D4">
              <w:rPr>
                <w:sz w:val="16"/>
                <w:szCs w:val="16"/>
              </w:rPr>
              <w:t>(26.3</w:t>
            </w:r>
          </w:p>
        </w:tc>
        <w:tc>
          <w:tcPr>
            <w:tcW w:w="242" w:type="dxa"/>
            <w:vAlign w:val="bottom"/>
          </w:tcPr>
          <w:p w14:paraId="50DF51D3" w14:textId="77777777" w:rsidR="00AD68F9" w:rsidRPr="002163D4" w:rsidRDefault="00AD68F9" w:rsidP="00AD68F9">
            <w:pPr>
              <w:spacing w:before="40" w:after="40"/>
              <w:rPr>
                <w:b/>
                <w:bCs/>
                <w:sz w:val="16"/>
                <w:szCs w:val="16"/>
              </w:rPr>
            </w:pPr>
            <w:r w:rsidRPr="002163D4">
              <w:rPr>
                <w:sz w:val="16"/>
                <w:szCs w:val="16"/>
              </w:rPr>
              <w:t>)</w:t>
            </w:r>
          </w:p>
        </w:tc>
        <w:tc>
          <w:tcPr>
            <w:tcW w:w="924" w:type="dxa"/>
            <w:tcBorders>
              <w:top w:val="single" w:sz="4" w:space="0" w:color="auto"/>
            </w:tcBorders>
            <w:vAlign w:val="bottom"/>
          </w:tcPr>
          <w:p w14:paraId="2252F7A0" w14:textId="77777777" w:rsidR="00AD68F9" w:rsidRPr="002163D4" w:rsidRDefault="00AD68F9" w:rsidP="00AD68F9">
            <w:pPr>
              <w:spacing w:before="40" w:after="40"/>
              <w:jc w:val="right"/>
              <w:rPr>
                <w:b/>
                <w:bCs/>
                <w:sz w:val="16"/>
                <w:szCs w:val="16"/>
              </w:rPr>
            </w:pPr>
            <w:r w:rsidRPr="002163D4">
              <w:rPr>
                <w:sz w:val="16"/>
                <w:szCs w:val="16"/>
              </w:rPr>
              <w:t>(23.4</w:t>
            </w:r>
          </w:p>
        </w:tc>
        <w:tc>
          <w:tcPr>
            <w:tcW w:w="227" w:type="dxa"/>
            <w:vAlign w:val="bottom"/>
          </w:tcPr>
          <w:p w14:paraId="63F28526" w14:textId="77777777" w:rsidR="00AD68F9" w:rsidRPr="002163D4" w:rsidRDefault="00AD68F9" w:rsidP="00AD68F9">
            <w:pPr>
              <w:spacing w:before="40" w:after="40"/>
              <w:rPr>
                <w:b/>
                <w:bCs/>
                <w:sz w:val="16"/>
                <w:szCs w:val="16"/>
              </w:rPr>
            </w:pPr>
          </w:p>
        </w:tc>
        <w:tc>
          <w:tcPr>
            <w:tcW w:w="939" w:type="dxa"/>
            <w:tcBorders>
              <w:top w:val="single" w:sz="4" w:space="0" w:color="auto"/>
            </w:tcBorders>
            <w:vAlign w:val="bottom"/>
          </w:tcPr>
          <w:p w14:paraId="69EADC57" w14:textId="77777777" w:rsidR="00AD68F9" w:rsidRPr="002163D4" w:rsidRDefault="00AD68F9" w:rsidP="00AD68F9">
            <w:pPr>
              <w:spacing w:before="40" w:after="40"/>
              <w:jc w:val="right"/>
              <w:rPr>
                <w:b/>
                <w:bCs/>
                <w:sz w:val="16"/>
                <w:szCs w:val="16"/>
              </w:rPr>
            </w:pPr>
            <w:r w:rsidRPr="002163D4">
              <w:rPr>
                <w:sz w:val="16"/>
                <w:szCs w:val="16"/>
              </w:rPr>
              <w:t>13.7</w:t>
            </w:r>
          </w:p>
        </w:tc>
        <w:tc>
          <w:tcPr>
            <w:tcW w:w="266" w:type="dxa"/>
            <w:vAlign w:val="bottom"/>
          </w:tcPr>
          <w:p w14:paraId="7213F821" w14:textId="77777777" w:rsidR="00AD68F9" w:rsidRPr="000D2863" w:rsidRDefault="00AD68F9" w:rsidP="00AD68F9">
            <w:pPr>
              <w:spacing w:before="40" w:after="40"/>
              <w:rPr>
                <w:b/>
                <w:bCs/>
                <w:sz w:val="17"/>
                <w:szCs w:val="17"/>
              </w:rPr>
            </w:pPr>
          </w:p>
        </w:tc>
      </w:tr>
    </w:tbl>
    <w:p w14:paraId="6EF23216" w14:textId="77777777" w:rsidR="00AD68F9" w:rsidRDefault="00AD68F9" w:rsidP="00AD68F9">
      <w:pPr>
        <w:autoSpaceDE w:val="0"/>
        <w:autoSpaceDN w:val="0"/>
        <w:bidi/>
        <w:adjustRightInd w:val="0"/>
        <w:jc w:val="both"/>
        <w:rPr>
          <w:rFonts w:ascii="Traditional Arabic" w:hAnsi="Traditional Arabic" w:cs="Traditional Arabic"/>
          <w:sz w:val="30"/>
          <w:szCs w:val="30"/>
          <w:rtl/>
          <w:lang w:bidi="ar-EG"/>
        </w:rPr>
      </w:pPr>
    </w:p>
    <w:p w14:paraId="5C7856CD" w14:textId="77777777" w:rsidR="00930C67" w:rsidRDefault="00930C67" w:rsidP="00930C67">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 xml:space="preserve">(8)  </w:t>
      </w:r>
      <w:r w:rsidR="000466E7" w:rsidRPr="00D568A2">
        <w:rPr>
          <w:rFonts w:ascii="Traditional Arabic" w:hAnsi="Traditional Arabic" w:cs="Traditional Arabic"/>
          <w:sz w:val="30"/>
          <w:szCs w:val="30"/>
          <w:rtl/>
          <w:lang w:bidi="ar-EG"/>
        </w:rPr>
        <w:t>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w:t>
      </w:r>
      <w:r w:rsidR="000466E7">
        <w:rPr>
          <w:rFonts w:ascii="Traditional Arabic" w:hAnsi="Traditional Arabic" w:cs="Traditional Arabic" w:hint="cs"/>
          <w:sz w:val="30"/>
          <w:szCs w:val="30"/>
          <w:rtl/>
          <w:lang w:bidi="ar-EG"/>
        </w:rPr>
        <w:t>ل</w:t>
      </w:r>
      <w:r w:rsidR="000466E7" w:rsidRPr="00D568A2">
        <w:rPr>
          <w:rFonts w:ascii="Traditional Arabic" w:hAnsi="Traditional Arabic" w:cs="Traditional Arabic"/>
          <w:sz w:val="30"/>
          <w:szCs w:val="30"/>
          <w:rtl/>
          <w:lang w:bidi="ar-EG"/>
        </w:rPr>
        <w:t xml:space="preserve">قطاع </w:t>
      </w:r>
      <w:r w:rsidR="000466E7">
        <w:rPr>
          <w:rFonts w:ascii="Traditional Arabic" w:hAnsi="Traditional Arabic" w:cs="Traditional Arabic" w:hint="cs"/>
          <w:sz w:val="30"/>
          <w:szCs w:val="30"/>
          <w:rtl/>
          <w:lang w:bidi="ar-EG"/>
        </w:rPr>
        <w:t>الآخر</w:t>
      </w:r>
      <w:r w:rsidR="000466E7" w:rsidRPr="00D568A2">
        <w:rPr>
          <w:rFonts w:ascii="Traditional Arabic" w:hAnsi="Traditional Arabic" w:cs="Traditional Arabic"/>
          <w:sz w:val="30"/>
          <w:szCs w:val="30"/>
          <w:rtl/>
          <w:lang w:bidi="ar-EG"/>
        </w:rPr>
        <w:t xml:space="preserve"> للفترات المشار إليها:</w:t>
      </w:r>
    </w:p>
    <w:p w14:paraId="0FA6DB1B" w14:textId="77777777" w:rsidR="0041071C" w:rsidRDefault="0041071C" w:rsidP="0041071C">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41071C" w:rsidRPr="00E834EF" w14:paraId="4DBEF8B6" w14:textId="77777777" w:rsidTr="008D70E0">
        <w:trPr>
          <w:tblHeader/>
        </w:trPr>
        <w:tc>
          <w:tcPr>
            <w:tcW w:w="3254" w:type="dxa"/>
          </w:tcPr>
          <w:p w14:paraId="0F304C1D" w14:textId="77777777" w:rsidR="0041071C" w:rsidRPr="00E834EF" w:rsidRDefault="0041071C" w:rsidP="00C64EDB">
            <w:pPr>
              <w:keepNext/>
              <w:bidi/>
              <w:spacing w:before="40" w:after="120"/>
              <w:rPr>
                <w:b/>
                <w:sz w:val="17"/>
                <w:szCs w:val="17"/>
              </w:rPr>
            </w:pPr>
          </w:p>
        </w:tc>
        <w:tc>
          <w:tcPr>
            <w:tcW w:w="242" w:type="dxa"/>
          </w:tcPr>
          <w:p w14:paraId="4AE4BBF1" w14:textId="77777777" w:rsidR="0041071C" w:rsidRPr="00E834EF" w:rsidRDefault="0041071C" w:rsidP="00C64EDB">
            <w:pPr>
              <w:spacing w:before="40" w:after="40"/>
              <w:rPr>
                <w:sz w:val="17"/>
                <w:szCs w:val="17"/>
              </w:rPr>
            </w:pPr>
          </w:p>
        </w:tc>
        <w:tc>
          <w:tcPr>
            <w:tcW w:w="3255" w:type="dxa"/>
            <w:gridSpan w:val="6"/>
          </w:tcPr>
          <w:p w14:paraId="440AEA5C" w14:textId="77777777" w:rsidR="0041071C" w:rsidRPr="00E834EF" w:rsidRDefault="0041071C" w:rsidP="00C64EDB">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71CDB525" w14:textId="77777777" w:rsidR="0041071C" w:rsidRPr="00E834EF" w:rsidRDefault="0041071C" w:rsidP="00C64EDB">
            <w:pPr>
              <w:spacing w:before="40" w:after="40"/>
              <w:rPr>
                <w:sz w:val="17"/>
                <w:szCs w:val="17"/>
              </w:rPr>
            </w:pPr>
          </w:p>
        </w:tc>
        <w:tc>
          <w:tcPr>
            <w:tcW w:w="2090" w:type="dxa"/>
            <w:gridSpan w:val="3"/>
          </w:tcPr>
          <w:p w14:paraId="7BAB3197" w14:textId="77777777" w:rsidR="0041071C" w:rsidRPr="00E834EF" w:rsidRDefault="0041071C" w:rsidP="00C64EDB">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719A7672" w14:textId="77777777" w:rsidR="0041071C" w:rsidRPr="00E834EF" w:rsidRDefault="0041071C" w:rsidP="00C64EDB">
            <w:pPr>
              <w:keepNext/>
              <w:spacing w:before="40" w:after="120"/>
              <w:jc w:val="center"/>
              <w:rPr>
                <w:b/>
                <w:sz w:val="17"/>
                <w:szCs w:val="17"/>
              </w:rPr>
            </w:pPr>
          </w:p>
        </w:tc>
      </w:tr>
      <w:tr w:rsidR="0041071C" w:rsidRPr="00E834EF" w14:paraId="403F7ED0" w14:textId="77777777" w:rsidTr="008D70E0">
        <w:trPr>
          <w:tblHeader/>
        </w:trPr>
        <w:tc>
          <w:tcPr>
            <w:tcW w:w="3254" w:type="dxa"/>
          </w:tcPr>
          <w:p w14:paraId="32583D5A" w14:textId="77777777" w:rsidR="0041071C" w:rsidRPr="00E834EF" w:rsidRDefault="0041071C" w:rsidP="00C64EDB">
            <w:pPr>
              <w:keepNext/>
              <w:bidi/>
              <w:spacing w:before="40" w:after="120"/>
              <w:rPr>
                <w:b/>
                <w:sz w:val="17"/>
                <w:szCs w:val="17"/>
              </w:rPr>
            </w:pPr>
          </w:p>
        </w:tc>
        <w:tc>
          <w:tcPr>
            <w:tcW w:w="242" w:type="dxa"/>
          </w:tcPr>
          <w:p w14:paraId="7E367A5C" w14:textId="77777777" w:rsidR="0041071C" w:rsidRPr="00E834EF" w:rsidRDefault="0041071C" w:rsidP="00C64EDB">
            <w:pPr>
              <w:spacing w:before="40" w:after="40"/>
              <w:rPr>
                <w:sz w:val="17"/>
                <w:szCs w:val="17"/>
              </w:rPr>
            </w:pPr>
          </w:p>
        </w:tc>
        <w:tc>
          <w:tcPr>
            <w:tcW w:w="923" w:type="dxa"/>
            <w:gridSpan w:val="2"/>
          </w:tcPr>
          <w:p w14:paraId="0B01255E" w14:textId="77777777" w:rsidR="0041071C" w:rsidRPr="00E834EF" w:rsidRDefault="0041071C" w:rsidP="00C64EDB">
            <w:pPr>
              <w:keepNext/>
              <w:spacing w:before="40" w:after="120"/>
              <w:jc w:val="right"/>
              <w:rPr>
                <w:b/>
                <w:sz w:val="17"/>
                <w:szCs w:val="17"/>
              </w:rPr>
            </w:pPr>
            <w:r w:rsidRPr="00E834EF">
              <w:rPr>
                <w:b/>
                <w:sz w:val="17"/>
                <w:szCs w:val="17"/>
              </w:rPr>
              <w:t>2021</w:t>
            </w:r>
          </w:p>
        </w:tc>
        <w:tc>
          <w:tcPr>
            <w:tcW w:w="242" w:type="dxa"/>
          </w:tcPr>
          <w:p w14:paraId="46034A0F" w14:textId="77777777" w:rsidR="0041071C" w:rsidRPr="00E834EF" w:rsidRDefault="0041071C" w:rsidP="00C64EDB">
            <w:pPr>
              <w:spacing w:before="40" w:after="40"/>
              <w:rPr>
                <w:sz w:val="17"/>
                <w:szCs w:val="17"/>
              </w:rPr>
            </w:pPr>
          </w:p>
        </w:tc>
        <w:tc>
          <w:tcPr>
            <w:tcW w:w="924" w:type="dxa"/>
          </w:tcPr>
          <w:p w14:paraId="073D0329" w14:textId="77777777" w:rsidR="0041071C" w:rsidRPr="00E834EF" w:rsidRDefault="0041071C" w:rsidP="00C64EDB">
            <w:pPr>
              <w:keepNext/>
              <w:spacing w:before="40" w:after="120"/>
              <w:jc w:val="right"/>
              <w:rPr>
                <w:b/>
                <w:sz w:val="17"/>
                <w:szCs w:val="17"/>
              </w:rPr>
            </w:pPr>
            <w:r w:rsidRPr="00E834EF">
              <w:rPr>
                <w:b/>
                <w:sz w:val="17"/>
                <w:szCs w:val="17"/>
              </w:rPr>
              <w:t>2022</w:t>
            </w:r>
          </w:p>
        </w:tc>
        <w:tc>
          <w:tcPr>
            <w:tcW w:w="242" w:type="dxa"/>
          </w:tcPr>
          <w:p w14:paraId="4AAEE9FA" w14:textId="77777777" w:rsidR="0041071C" w:rsidRPr="00E834EF" w:rsidRDefault="0041071C" w:rsidP="00C64EDB">
            <w:pPr>
              <w:spacing w:before="40" w:after="40"/>
              <w:rPr>
                <w:sz w:val="17"/>
                <w:szCs w:val="17"/>
              </w:rPr>
            </w:pPr>
          </w:p>
        </w:tc>
        <w:tc>
          <w:tcPr>
            <w:tcW w:w="924" w:type="dxa"/>
          </w:tcPr>
          <w:p w14:paraId="3352EA7F" w14:textId="77777777" w:rsidR="0041071C" w:rsidRPr="00E834EF" w:rsidRDefault="0041071C" w:rsidP="00C64EDB">
            <w:pPr>
              <w:keepNext/>
              <w:spacing w:before="40" w:after="120"/>
              <w:jc w:val="right"/>
              <w:rPr>
                <w:b/>
                <w:sz w:val="17"/>
                <w:szCs w:val="17"/>
              </w:rPr>
            </w:pPr>
            <w:r w:rsidRPr="00E834EF">
              <w:rPr>
                <w:b/>
                <w:sz w:val="17"/>
                <w:szCs w:val="17"/>
              </w:rPr>
              <w:t>2023</w:t>
            </w:r>
          </w:p>
        </w:tc>
        <w:tc>
          <w:tcPr>
            <w:tcW w:w="242" w:type="dxa"/>
          </w:tcPr>
          <w:p w14:paraId="0EFAD957" w14:textId="77777777" w:rsidR="0041071C" w:rsidRPr="00E834EF" w:rsidRDefault="0041071C" w:rsidP="00C64EDB">
            <w:pPr>
              <w:spacing w:before="40" w:after="40"/>
              <w:rPr>
                <w:sz w:val="17"/>
                <w:szCs w:val="17"/>
              </w:rPr>
            </w:pPr>
          </w:p>
        </w:tc>
        <w:tc>
          <w:tcPr>
            <w:tcW w:w="924" w:type="dxa"/>
          </w:tcPr>
          <w:p w14:paraId="487091DB" w14:textId="77777777" w:rsidR="0041071C" w:rsidRPr="00E834EF" w:rsidRDefault="0041071C" w:rsidP="00C64EDB">
            <w:pPr>
              <w:keepNext/>
              <w:spacing w:before="40" w:after="120"/>
              <w:jc w:val="right"/>
              <w:rPr>
                <w:b/>
                <w:sz w:val="17"/>
                <w:szCs w:val="17"/>
              </w:rPr>
            </w:pPr>
            <w:r w:rsidRPr="00E834EF">
              <w:rPr>
                <w:b/>
                <w:sz w:val="17"/>
                <w:szCs w:val="17"/>
              </w:rPr>
              <w:t>2023</w:t>
            </w:r>
          </w:p>
        </w:tc>
        <w:tc>
          <w:tcPr>
            <w:tcW w:w="227" w:type="dxa"/>
          </w:tcPr>
          <w:p w14:paraId="219861B1" w14:textId="77777777" w:rsidR="0041071C" w:rsidRPr="00E834EF" w:rsidRDefault="0041071C" w:rsidP="00C64EDB">
            <w:pPr>
              <w:spacing w:before="40" w:after="40"/>
              <w:rPr>
                <w:sz w:val="17"/>
                <w:szCs w:val="17"/>
              </w:rPr>
            </w:pPr>
          </w:p>
        </w:tc>
        <w:tc>
          <w:tcPr>
            <w:tcW w:w="939" w:type="dxa"/>
          </w:tcPr>
          <w:p w14:paraId="6DE882B0" w14:textId="77777777" w:rsidR="0041071C" w:rsidRPr="00E834EF" w:rsidRDefault="0041071C" w:rsidP="00C64EDB">
            <w:pPr>
              <w:keepNext/>
              <w:spacing w:before="40" w:after="120"/>
              <w:jc w:val="right"/>
              <w:rPr>
                <w:b/>
                <w:sz w:val="17"/>
                <w:szCs w:val="17"/>
              </w:rPr>
            </w:pPr>
            <w:r w:rsidRPr="00E834EF">
              <w:rPr>
                <w:b/>
                <w:sz w:val="17"/>
                <w:szCs w:val="17"/>
              </w:rPr>
              <w:t>2024</w:t>
            </w:r>
          </w:p>
        </w:tc>
        <w:tc>
          <w:tcPr>
            <w:tcW w:w="266" w:type="dxa"/>
          </w:tcPr>
          <w:p w14:paraId="0BEA8D68" w14:textId="77777777" w:rsidR="0041071C" w:rsidRPr="00E834EF" w:rsidRDefault="0041071C" w:rsidP="00C64EDB">
            <w:pPr>
              <w:keepNext/>
              <w:spacing w:before="40" w:after="120"/>
              <w:jc w:val="right"/>
              <w:rPr>
                <w:b/>
                <w:sz w:val="17"/>
                <w:szCs w:val="17"/>
              </w:rPr>
            </w:pPr>
          </w:p>
        </w:tc>
      </w:tr>
      <w:tr w:rsidR="0041071C" w:rsidRPr="00E834EF" w14:paraId="444BFE69" w14:textId="77777777" w:rsidTr="008D70E0">
        <w:trPr>
          <w:trHeight w:val="215"/>
          <w:tblHeader/>
        </w:trPr>
        <w:tc>
          <w:tcPr>
            <w:tcW w:w="3254" w:type="dxa"/>
          </w:tcPr>
          <w:p w14:paraId="5EF0B599" w14:textId="77777777" w:rsidR="0041071C" w:rsidRPr="00E834EF" w:rsidRDefault="0041071C" w:rsidP="00C64EDB">
            <w:pPr>
              <w:keepNext/>
              <w:bidi/>
              <w:spacing w:before="40" w:after="120"/>
              <w:jc w:val="center"/>
              <w:rPr>
                <w:i/>
                <w:sz w:val="17"/>
                <w:szCs w:val="17"/>
              </w:rPr>
            </w:pPr>
          </w:p>
        </w:tc>
        <w:tc>
          <w:tcPr>
            <w:tcW w:w="242" w:type="dxa"/>
          </w:tcPr>
          <w:p w14:paraId="537385B9" w14:textId="77777777" w:rsidR="0041071C" w:rsidRPr="00E834EF" w:rsidRDefault="0041071C" w:rsidP="00C64EDB">
            <w:pPr>
              <w:keepNext/>
              <w:spacing w:before="40" w:after="120"/>
              <w:jc w:val="center"/>
              <w:rPr>
                <w:i/>
                <w:sz w:val="17"/>
                <w:szCs w:val="17"/>
              </w:rPr>
            </w:pPr>
          </w:p>
        </w:tc>
        <w:tc>
          <w:tcPr>
            <w:tcW w:w="5587" w:type="dxa"/>
            <w:gridSpan w:val="10"/>
          </w:tcPr>
          <w:p w14:paraId="11DDED91" w14:textId="77777777" w:rsidR="0041071C" w:rsidRPr="00E834EF" w:rsidRDefault="0041071C" w:rsidP="00C64EDB">
            <w:pPr>
              <w:keepNext/>
              <w:spacing w:before="40" w:after="120"/>
              <w:jc w:val="center"/>
              <w:rPr>
                <w:i/>
                <w:sz w:val="17"/>
                <w:szCs w:val="17"/>
              </w:rPr>
            </w:pPr>
            <w:r w:rsidRPr="00E834EF">
              <w:rPr>
                <w:i/>
                <w:color w:val="000000"/>
                <w:sz w:val="17"/>
                <w:szCs w:val="17"/>
              </w:rPr>
              <w:t>(</w:t>
            </w:r>
            <w:r>
              <w:rPr>
                <w:i/>
                <w:color w:val="000000"/>
                <w:sz w:val="17"/>
                <w:szCs w:val="17"/>
              </w:rPr>
              <w:t>OMR</w:t>
            </w:r>
            <w:r w:rsidRPr="00E834EF">
              <w:rPr>
                <w:i/>
                <w:color w:val="000000"/>
                <w:sz w:val="17"/>
                <w:szCs w:val="17"/>
              </w:rPr>
              <w:t xml:space="preserve"> </w:t>
            </w:r>
            <w:r>
              <w:rPr>
                <w:i/>
                <w:color w:val="000000"/>
                <w:sz w:val="17"/>
                <w:szCs w:val="17"/>
              </w:rPr>
              <w:t>millions</w:t>
            </w:r>
            <w:r w:rsidRPr="00E834EF">
              <w:rPr>
                <w:i/>
                <w:color w:val="000000"/>
                <w:sz w:val="17"/>
                <w:szCs w:val="17"/>
              </w:rPr>
              <w:t>)</w:t>
            </w:r>
          </w:p>
        </w:tc>
        <w:tc>
          <w:tcPr>
            <w:tcW w:w="266" w:type="dxa"/>
          </w:tcPr>
          <w:p w14:paraId="09EF819C" w14:textId="77777777" w:rsidR="0041071C" w:rsidRPr="00E834EF" w:rsidRDefault="0041071C" w:rsidP="00C64EDB">
            <w:pPr>
              <w:keepNext/>
              <w:spacing w:before="40" w:after="120"/>
              <w:jc w:val="center"/>
              <w:rPr>
                <w:i/>
                <w:color w:val="000000"/>
                <w:sz w:val="17"/>
                <w:szCs w:val="17"/>
              </w:rPr>
            </w:pPr>
          </w:p>
        </w:tc>
      </w:tr>
      <w:tr w:rsidR="0041071C" w:rsidRPr="00E834EF" w14:paraId="1E8BA5E2" w14:textId="77777777" w:rsidTr="008D70E0">
        <w:tc>
          <w:tcPr>
            <w:tcW w:w="3254" w:type="dxa"/>
            <w:vAlign w:val="bottom"/>
          </w:tcPr>
          <w:p w14:paraId="326BD996" w14:textId="77777777" w:rsidR="0041071C" w:rsidRDefault="0041071C" w:rsidP="00C64EDB">
            <w:pPr>
              <w:tabs>
                <w:tab w:val="right" w:leader="dot" w:pos="3255"/>
              </w:tabs>
              <w:bidi/>
              <w:spacing w:before="40" w:after="40"/>
              <w:ind w:left="12"/>
              <w:rPr>
                <w:b/>
                <w:bCs/>
                <w:color w:val="000000"/>
                <w:sz w:val="17"/>
                <w:szCs w:val="17"/>
              </w:rPr>
            </w:pPr>
            <w:r>
              <w:rPr>
                <w:rFonts w:hint="cs"/>
                <w:b/>
                <w:bCs/>
                <w:color w:val="000000"/>
                <w:sz w:val="17"/>
                <w:szCs w:val="17"/>
                <w:rtl/>
              </w:rPr>
              <w:t>إيرادات أخرى</w:t>
            </w:r>
            <w:r w:rsidRPr="0054596C">
              <w:rPr>
                <w:sz w:val="17"/>
              </w:rPr>
              <w:tab/>
            </w:r>
          </w:p>
        </w:tc>
        <w:tc>
          <w:tcPr>
            <w:tcW w:w="242" w:type="dxa"/>
            <w:vAlign w:val="bottom"/>
          </w:tcPr>
          <w:p w14:paraId="6E87285B" w14:textId="77777777" w:rsidR="0041071C" w:rsidRPr="00E834EF" w:rsidRDefault="0041071C" w:rsidP="00C64EDB">
            <w:pPr>
              <w:spacing w:before="40" w:after="40"/>
              <w:rPr>
                <w:sz w:val="17"/>
                <w:szCs w:val="17"/>
              </w:rPr>
            </w:pPr>
          </w:p>
        </w:tc>
        <w:tc>
          <w:tcPr>
            <w:tcW w:w="913" w:type="dxa"/>
            <w:vAlign w:val="bottom"/>
          </w:tcPr>
          <w:p w14:paraId="5224153B" w14:textId="77777777" w:rsidR="0041071C" w:rsidRPr="000A73F0" w:rsidRDefault="008E1681" w:rsidP="00C64EDB">
            <w:pPr>
              <w:spacing w:before="40" w:after="40"/>
              <w:jc w:val="right"/>
              <w:rPr>
                <w:color w:val="000000"/>
                <w:sz w:val="17"/>
                <w:szCs w:val="17"/>
              </w:rPr>
            </w:pPr>
            <w:r>
              <w:rPr>
                <w:color w:val="000000"/>
                <w:sz w:val="17"/>
                <w:szCs w:val="17"/>
              </w:rPr>
              <w:t>1.5</w:t>
            </w:r>
          </w:p>
        </w:tc>
        <w:tc>
          <w:tcPr>
            <w:tcW w:w="252" w:type="dxa"/>
            <w:gridSpan w:val="2"/>
            <w:vAlign w:val="bottom"/>
          </w:tcPr>
          <w:p w14:paraId="4D4F611C" w14:textId="77777777" w:rsidR="0041071C" w:rsidRPr="007766C5" w:rsidRDefault="0041071C" w:rsidP="00C64EDB">
            <w:pPr>
              <w:spacing w:before="40" w:after="40"/>
              <w:rPr>
                <w:color w:val="000000"/>
                <w:sz w:val="17"/>
                <w:szCs w:val="17"/>
              </w:rPr>
            </w:pPr>
          </w:p>
        </w:tc>
        <w:tc>
          <w:tcPr>
            <w:tcW w:w="924" w:type="dxa"/>
            <w:vAlign w:val="bottom"/>
          </w:tcPr>
          <w:p w14:paraId="794D3F7E" w14:textId="3FEC802B" w:rsidR="0041071C" w:rsidRPr="007766C5" w:rsidRDefault="008E1681" w:rsidP="00C64EDB">
            <w:pPr>
              <w:spacing w:before="40" w:after="40"/>
              <w:jc w:val="right"/>
              <w:rPr>
                <w:color w:val="000000"/>
                <w:sz w:val="17"/>
                <w:szCs w:val="17"/>
              </w:rPr>
            </w:pPr>
            <w:r>
              <w:rPr>
                <w:color w:val="000000"/>
                <w:sz w:val="17"/>
                <w:szCs w:val="17"/>
              </w:rPr>
              <w:t>1.</w:t>
            </w:r>
            <w:r w:rsidR="000A765C">
              <w:rPr>
                <w:color w:val="000000"/>
                <w:sz w:val="17"/>
                <w:szCs w:val="17"/>
              </w:rPr>
              <w:t>6</w:t>
            </w:r>
          </w:p>
        </w:tc>
        <w:tc>
          <w:tcPr>
            <w:tcW w:w="242" w:type="dxa"/>
            <w:vAlign w:val="bottom"/>
          </w:tcPr>
          <w:p w14:paraId="2389BA30" w14:textId="77777777" w:rsidR="0041071C" w:rsidRPr="007766C5" w:rsidRDefault="0041071C" w:rsidP="00C64EDB">
            <w:pPr>
              <w:spacing w:before="40" w:after="40"/>
              <w:rPr>
                <w:color w:val="000000"/>
                <w:sz w:val="17"/>
                <w:szCs w:val="17"/>
              </w:rPr>
            </w:pPr>
          </w:p>
        </w:tc>
        <w:tc>
          <w:tcPr>
            <w:tcW w:w="924" w:type="dxa"/>
            <w:vAlign w:val="bottom"/>
          </w:tcPr>
          <w:p w14:paraId="75B88F30" w14:textId="77777777" w:rsidR="0041071C" w:rsidRPr="007766C5" w:rsidRDefault="008E1681" w:rsidP="00C64EDB">
            <w:pPr>
              <w:spacing w:before="40" w:after="40"/>
              <w:jc w:val="right"/>
              <w:rPr>
                <w:color w:val="000000"/>
                <w:sz w:val="17"/>
                <w:szCs w:val="17"/>
              </w:rPr>
            </w:pPr>
            <w:r>
              <w:rPr>
                <w:color w:val="000000"/>
                <w:sz w:val="17"/>
                <w:szCs w:val="17"/>
              </w:rPr>
              <w:t>1.5</w:t>
            </w:r>
          </w:p>
        </w:tc>
        <w:tc>
          <w:tcPr>
            <w:tcW w:w="242" w:type="dxa"/>
            <w:vAlign w:val="bottom"/>
          </w:tcPr>
          <w:p w14:paraId="445A16C7" w14:textId="77777777" w:rsidR="0041071C" w:rsidRPr="007766C5" w:rsidRDefault="0041071C" w:rsidP="00C64EDB">
            <w:pPr>
              <w:spacing w:before="40" w:after="40"/>
              <w:rPr>
                <w:sz w:val="17"/>
                <w:szCs w:val="17"/>
              </w:rPr>
            </w:pPr>
          </w:p>
        </w:tc>
        <w:tc>
          <w:tcPr>
            <w:tcW w:w="924" w:type="dxa"/>
            <w:vAlign w:val="bottom"/>
          </w:tcPr>
          <w:p w14:paraId="4F28B153" w14:textId="77777777" w:rsidR="0041071C" w:rsidRPr="007766C5" w:rsidRDefault="008E1681" w:rsidP="00C64EDB">
            <w:pPr>
              <w:spacing w:before="40" w:after="40"/>
              <w:jc w:val="right"/>
              <w:rPr>
                <w:sz w:val="17"/>
                <w:szCs w:val="17"/>
              </w:rPr>
            </w:pPr>
            <w:r>
              <w:rPr>
                <w:sz w:val="17"/>
                <w:szCs w:val="17"/>
              </w:rPr>
              <w:t>1.1</w:t>
            </w:r>
          </w:p>
        </w:tc>
        <w:tc>
          <w:tcPr>
            <w:tcW w:w="227" w:type="dxa"/>
            <w:vAlign w:val="bottom"/>
          </w:tcPr>
          <w:p w14:paraId="67279F9B" w14:textId="77777777" w:rsidR="0041071C" w:rsidRPr="007766C5" w:rsidRDefault="0041071C" w:rsidP="00C64EDB">
            <w:pPr>
              <w:spacing w:before="40" w:after="40"/>
              <w:rPr>
                <w:sz w:val="17"/>
                <w:szCs w:val="17"/>
              </w:rPr>
            </w:pPr>
          </w:p>
        </w:tc>
        <w:tc>
          <w:tcPr>
            <w:tcW w:w="939" w:type="dxa"/>
            <w:vAlign w:val="bottom"/>
          </w:tcPr>
          <w:p w14:paraId="7622F112" w14:textId="77777777" w:rsidR="0041071C" w:rsidRPr="007766C5" w:rsidRDefault="008E1681" w:rsidP="00C64EDB">
            <w:pPr>
              <w:spacing w:before="40" w:after="40"/>
              <w:jc w:val="right"/>
              <w:rPr>
                <w:sz w:val="17"/>
                <w:szCs w:val="17"/>
              </w:rPr>
            </w:pPr>
            <w:r>
              <w:rPr>
                <w:sz w:val="17"/>
                <w:szCs w:val="17"/>
              </w:rPr>
              <w:t>1.2</w:t>
            </w:r>
          </w:p>
        </w:tc>
        <w:tc>
          <w:tcPr>
            <w:tcW w:w="266" w:type="dxa"/>
          </w:tcPr>
          <w:p w14:paraId="358731BB" w14:textId="77777777" w:rsidR="0041071C" w:rsidRPr="000D2863" w:rsidRDefault="0041071C" w:rsidP="00C64EDB">
            <w:pPr>
              <w:spacing w:before="40" w:after="40"/>
              <w:rPr>
                <w:sz w:val="17"/>
                <w:szCs w:val="17"/>
              </w:rPr>
            </w:pPr>
          </w:p>
        </w:tc>
      </w:tr>
      <w:tr w:rsidR="0041071C" w:rsidRPr="00E834EF" w14:paraId="42177722" w14:textId="77777777" w:rsidTr="008D70E0">
        <w:tc>
          <w:tcPr>
            <w:tcW w:w="3254" w:type="dxa"/>
          </w:tcPr>
          <w:p w14:paraId="6E67857F" w14:textId="77777777" w:rsidR="0041071C" w:rsidRDefault="0041071C" w:rsidP="00C64EDB">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14795466" w14:textId="77777777" w:rsidR="0041071C" w:rsidRPr="00E834EF" w:rsidRDefault="0041071C" w:rsidP="00C64EDB">
            <w:pPr>
              <w:spacing w:before="40" w:after="40"/>
              <w:rPr>
                <w:sz w:val="17"/>
                <w:szCs w:val="17"/>
              </w:rPr>
            </w:pPr>
          </w:p>
        </w:tc>
        <w:tc>
          <w:tcPr>
            <w:tcW w:w="913" w:type="dxa"/>
            <w:vAlign w:val="bottom"/>
          </w:tcPr>
          <w:p w14:paraId="0DA778E4" w14:textId="77777777" w:rsidR="0041071C" w:rsidRPr="000A73F0" w:rsidRDefault="008E1681" w:rsidP="00C64EDB">
            <w:pPr>
              <w:spacing w:before="40" w:after="40"/>
              <w:jc w:val="right"/>
              <w:rPr>
                <w:color w:val="000000"/>
                <w:sz w:val="17"/>
                <w:szCs w:val="17"/>
              </w:rPr>
            </w:pPr>
            <w:r>
              <w:rPr>
                <w:color w:val="000000"/>
                <w:sz w:val="17"/>
                <w:szCs w:val="17"/>
              </w:rPr>
              <w:t>(0.1)</w:t>
            </w:r>
          </w:p>
        </w:tc>
        <w:tc>
          <w:tcPr>
            <w:tcW w:w="252" w:type="dxa"/>
            <w:gridSpan w:val="2"/>
            <w:vAlign w:val="bottom"/>
          </w:tcPr>
          <w:p w14:paraId="6CD58044" w14:textId="77777777" w:rsidR="0041071C" w:rsidRPr="007766C5" w:rsidRDefault="0041071C" w:rsidP="00C64EDB">
            <w:pPr>
              <w:spacing w:before="40" w:after="40"/>
              <w:rPr>
                <w:color w:val="000000"/>
                <w:sz w:val="17"/>
                <w:szCs w:val="17"/>
              </w:rPr>
            </w:pPr>
          </w:p>
        </w:tc>
        <w:tc>
          <w:tcPr>
            <w:tcW w:w="924" w:type="dxa"/>
            <w:vAlign w:val="bottom"/>
          </w:tcPr>
          <w:p w14:paraId="55A6AECE" w14:textId="6EFDD233" w:rsidR="0041071C" w:rsidRPr="007766C5" w:rsidRDefault="008E1681" w:rsidP="00C64EDB">
            <w:pPr>
              <w:spacing w:before="40" w:after="40"/>
              <w:jc w:val="right"/>
              <w:rPr>
                <w:color w:val="000000"/>
                <w:sz w:val="17"/>
                <w:szCs w:val="17"/>
              </w:rPr>
            </w:pPr>
            <w:r>
              <w:rPr>
                <w:color w:val="000000"/>
                <w:sz w:val="17"/>
                <w:szCs w:val="17"/>
              </w:rPr>
              <w:t>(0.</w:t>
            </w:r>
            <w:r w:rsidR="000B6542">
              <w:rPr>
                <w:color w:val="000000"/>
                <w:sz w:val="17"/>
                <w:szCs w:val="17"/>
              </w:rPr>
              <w:t>1</w:t>
            </w:r>
            <w:r>
              <w:rPr>
                <w:color w:val="000000"/>
                <w:sz w:val="17"/>
                <w:szCs w:val="17"/>
              </w:rPr>
              <w:t>)</w:t>
            </w:r>
          </w:p>
        </w:tc>
        <w:tc>
          <w:tcPr>
            <w:tcW w:w="242" w:type="dxa"/>
            <w:vAlign w:val="bottom"/>
          </w:tcPr>
          <w:p w14:paraId="768D09A5" w14:textId="77777777" w:rsidR="0041071C" w:rsidRPr="007766C5" w:rsidRDefault="0041071C" w:rsidP="00C64EDB">
            <w:pPr>
              <w:spacing w:before="40" w:after="40"/>
              <w:rPr>
                <w:color w:val="000000"/>
                <w:sz w:val="17"/>
                <w:szCs w:val="17"/>
              </w:rPr>
            </w:pPr>
          </w:p>
        </w:tc>
        <w:tc>
          <w:tcPr>
            <w:tcW w:w="924" w:type="dxa"/>
            <w:vAlign w:val="bottom"/>
          </w:tcPr>
          <w:p w14:paraId="1BB805F7" w14:textId="77777777" w:rsidR="0041071C" w:rsidRPr="007766C5" w:rsidRDefault="008E1681" w:rsidP="00C64EDB">
            <w:pPr>
              <w:spacing w:before="40" w:after="40"/>
              <w:jc w:val="right"/>
              <w:rPr>
                <w:color w:val="000000"/>
                <w:sz w:val="17"/>
                <w:szCs w:val="17"/>
              </w:rPr>
            </w:pPr>
            <w:r>
              <w:rPr>
                <w:color w:val="000000"/>
                <w:sz w:val="17"/>
                <w:szCs w:val="17"/>
              </w:rPr>
              <w:t>(0.0)</w:t>
            </w:r>
          </w:p>
        </w:tc>
        <w:tc>
          <w:tcPr>
            <w:tcW w:w="242" w:type="dxa"/>
            <w:vAlign w:val="bottom"/>
          </w:tcPr>
          <w:p w14:paraId="7DC9947E" w14:textId="77777777" w:rsidR="0041071C" w:rsidRPr="007766C5" w:rsidRDefault="0041071C" w:rsidP="00C64EDB">
            <w:pPr>
              <w:spacing w:before="40" w:after="40"/>
              <w:rPr>
                <w:sz w:val="17"/>
                <w:szCs w:val="17"/>
              </w:rPr>
            </w:pPr>
          </w:p>
        </w:tc>
        <w:tc>
          <w:tcPr>
            <w:tcW w:w="924" w:type="dxa"/>
            <w:vAlign w:val="bottom"/>
          </w:tcPr>
          <w:p w14:paraId="395295B8" w14:textId="77777777" w:rsidR="0041071C" w:rsidRPr="007766C5" w:rsidRDefault="008E1681" w:rsidP="00C64EDB">
            <w:pPr>
              <w:spacing w:before="40" w:after="40"/>
              <w:jc w:val="right"/>
              <w:rPr>
                <w:sz w:val="17"/>
                <w:szCs w:val="17"/>
              </w:rPr>
            </w:pPr>
            <w:r>
              <w:rPr>
                <w:sz w:val="17"/>
                <w:szCs w:val="17"/>
              </w:rPr>
              <w:t>(0.1)</w:t>
            </w:r>
          </w:p>
        </w:tc>
        <w:tc>
          <w:tcPr>
            <w:tcW w:w="227" w:type="dxa"/>
            <w:vAlign w:val="bottom"/>
          </w:tcPr>
          <w:p w14:paraId="304675B5" w14:textId="77777777" w:rsidR="0041071C" w:rsidRPr="007766C5" w:rsidRDefault="0041071C" w:rsidP="00C64EDB">
            <w:pPr>
              <w:spacing w:before="40" w:after="40"/>
              <w:rPr>
                <w:sz w:val="17"/>
                <w:szCs w:val="17"/>
              </w:rPr>
            </w:pPr>
          </w:p>
        </w:tc>
        <w:tc>
          <w:tcPr>
            <w:tcW w:w="939" w:type="dxa"/>
            <w:vAlign w:val="bottom"/>
          </w:tcPr>
          <w:p w14:paraId="1A1E6DA2" w14:textId="77777777" w:rsidR="0041071C" w:rsidRPr="007766C5" w:rsidRDefault="008E1681" w:rsidP="00C64EDB">
            <w:pPr>
              <w:spacing w:before="40" w:after="40"/>
              <w:jc w:val="right"/>
              <w:rPr>
                <w:sz w:val="17"/>
                <w:szCs w:val="17"/>
              </w:rPr>
            </w:pPr>
            <w:r>
              <w:rPr>
                <w:sz w:val="17"/>
                <w:szCs w:val="17"/>
              </w:rPr>
              <w:t>(0.0)</w:t>
            </w:r>
          </w:p>
        </w:tc>
        <w:tc>
          <w:tcPr>
            <w:tcW w:w="266" w:type="dxa"/>
            <w:vAlign w:val="bottom"/>
          </w:tcPr>
          <w:p w14:paraId="1C60A144" w14:textId="77777777" w:rsidR="0041071C" w:rsidRPr="007766C5" w:rsidRDefault="0041071C" w:rsidP="00C64EDB">
            <w:pPr>
              <w:spacing w:before="40" w:after="40"/>
              <w:rPr>
                <w:sz w:val="17"/>
                <w:szCs w:val="17"/>
              </w:rPr>
            </w:pPr>
          </w:p>
        </w:tc>
      </w:tr>
      <w:tr w:rsidR="0041071C" w:rsidRPr="00E834EF" w14:paraId="7BE79D3E" w14:textId="77777777" w:rsidTr="008D70E0">
        <w:tc>
          <w:tcPr>
            <w:tcW w:w="3254" w:type="dxa"/>
          </w:tcPr>
          <w:p w14:paraId="19422D7E" w14:textId="77777777" w:rsidR="0041071C" w:rsidRDefault="0041071C" w:rsidP="00C64EDB">
            <w:pPr>
              <w:tabs>
                <w:tab w:val="right" w:leader="dot" w:pos="3255"/>
              </w:tabs>
              <w:bidi/>
              <w:spacing w:before="40" w:after="40"/>
              <w:rPr>
                <w:b/>
                <w:bCs/>
                <w:sz w:val="17"/>
                <w:szCs w:val="17"/>
                <w:u w:val="single"/>
              </w:rPr>
            </w:pPr>
            <w:r w:rsidRPr="002A4B5D">
              <w:rPr>
                <w:rFonts w:hint="cs"/>
                <w:b/>
                <w:bCs/>
                <w:sz w:val="17"/>
                <w:szCs w:val="17"/>
                <w:u w:val="single"/>
                <w:rtl/>
              </w:rPr>
              <w:t xml:space="preserve">إيرادات </w:t>
            </w:r>
            <w:r w:rsidR="00BB4B3E">
              <w:rPr>
                <w:rFonts w:hint="cs"/>
                <w:b/>
                <w:bCs/>
                <w:sz w:val="17"/>
                <w:szCs w:val="17"/>
                <w:u w:val="single"/>
                <w:rtl/>
              </w:rPr>
              <w:t>أخرى م</w:t>
            </w:r>
            <w:r w:rsidR="0082033F">
              <w:rPr>
                <w:rFonts w:hint="cs"/>
                <w:b/>
                <w:bCs/>
                <w:sz w:val="17"/>
                <w:szCs w:val="17"/>
                <w:u w:val="single"/>
                <w:rtl/>
              </w:rPr>
              <w:t xml:space="preserve">ن </w:t>
            </w:r>
            <w:r w:rsidRPr="002A4B5D">
              <w:rPr>
                <w:rFonts w:hint="cs"/>
                <w:b/>
                <w:bCs/>
                <w:sz w:val="17"/>
                <w:szCs w:val="17"/>
                <w:u w:val="single"/>
                <w:rtl/>
              </w:rPr>
              <w:t>مكافئ تأجير السفن المجهزة بالمدة</w:t>
            </w:r>
            <w:r w:rsidRPr="007D2480">
              <w:rPr>
                <w:sz w:val="17"/>
              </w:rPr>
              <w:tab/>
            </w:r>
          </w:p>
        </w:tc>
        <w:tc>
          <w:tcPr>
            <w:tcW w:w="242" w:type="dxa"/>
            <w:vAlign w:val="bottom"/>
          </w:tcPr>
          <w:p w14:paraId="1AD801F5" w14:textId="77777777" w:rsidR="0041071C" w:rsidRPr="00E834EF" w:rsidRDefault="0041071C" w:rsidP="00C64EDB">
            <w:pPr>
              <w:spacing w:before="40" w:after="40"/>
              <w:rPr>
                <w:sz w:val="17"/>
                <w:szCs w:val="17"/>
              </w:rPr>
            </w:pPr>
          </w:p>
        </w:tc>
        <w:tc>
          <w:tcPr>
            <w:tcW w:w="913" w:type="dxa"/>
          </w:tcPr>
          <w:p w14:paraId="6BCFDCE8" w14:textId="77777777" w:rsidR="0041071C" w:rsidRPr="003832A3" w:rsidRDefault="003924F8" w:rsidP="003832A3">
            <w:pPr>
              <w:bidi/>
              <w:spacing w:before="40" w:after="40"/>
              <w:rPr>
                <w:color w:val="000000"/>
                <w:sz w:val="16"/>
                <w:szCs w:val="16"/>
              </w:rPr>
            </w:pPr>
            <w:r>
              <w:rPr>
                <w:color w:val="000000"/>
                <w:sz w:val="16"/>
                <w:szCs w:val="16"/>
                <w:lang w:val="en-GB"/>
              </w:rPr>
              <w:t>1.4</w:t>
            </w:r>
          </w:p>
        </w:tc>
        <w:tc>
          <w:tcPr>
            <w:tcW w:w="252" w:type="dxa"/>
            <w:gridSpan w:val="2"/>
            <w:vAlign w:val="bottom"/>
          </w:tcPr>
          <w:p w14:paraId="205AA65F" w14:textId="77777777" w:rsidR="0041071C" w:rsidRPr="003832A3" w:rsidRDefault="0041071C" w:rsidP="003832A3">
            <w:pPr>
              <w:bidi/>
              <w:spacing w:before="40" w:after="40"/>
              <w:rPr>
                <w:color w:val="000000"/>
                <w:sz w:val="16"/>
                <w:szCs w:val="16"/>
              </w:rPr>
            </w:pPr>
          </w:p>
        </w:tc>
        <w:tc>
          <w:tcPr>
            <w:tcW w:w="924" w:type="dxa"/>
          </w:tcPr>
          <w:p w14:paraId="50AD482D" w14:textId="77777777" w:rsidR="0041071C" w:rsidRPr="003832A3" w:rsidRDefault="003924F8" w:rsidP="003832A3">
            <w:pPr>
              <w:bidi/>
              <w:spacing w:before="40" w:after="40"/>
              <w:rPr>
                <w:color w:val="000000"/>
                <w:sz w:val="16"/>
                <w:szCs w:val="16"/>
              </w:rPr>
            </w:pPr>
            <w:r>
              <w:rPr>
                <w:color w:val="000000"/>
                <w:sz w:val="16"/>
                <w:szCs w:val="16"/>
              </w:rPr>
              <w:t>1.5</w:t>
            </w:r>
          </w:p>
        </w:tc>
        <w:tc>
          <w:tcPr>
            <w:tcW w:w="242" w:type="dxa"/>
            <w:vAlign w:val="bottom"/>
          </w:tcPr>
          <w:p w14:paraId="22B6D2FF" w14:textId="77777777" w:rsidR="0041071C" w:rsidRPr="003832A3" w:rsidRDefault="0041071C" w:rsidP="003832A3">
            <w:pPr>
              <w:bidi/>
              <w:spacing w:before="40" w:after="40"/>
              <w:rPr>
                <w:color w:val="000000"/>
                <w:sz w:val="16"/>
                <w:szCs w:val="16"/>
              </w:rPr>
            </w:pPr>
          </w:p>
        </w:tc>
        <w:tc>
          <w:tcPr>
            <w:tcW w:w="924" w:type="dxa"/>
          </w:tcPr>
          <w:p w14:paraId="5AC942A6" w14:textId="77777777" w:rsidR="0041071C" w:rsidRPr="003832A3" w:rsidRDefault="003924F8" w:rsidP="003832A3">
            <w:pPr>
              <w:bidi/>
              <w:spacing w:before="40" w:after="40"/>
              <w:rPr>
                <w:color w:val="000000"/>
                <w:sz w:val="16"/>
                <w:szCs w:val="16"/>
              </w:rPr>
            </w:pPr>
            <w:r>
              <w:rPr>
                <w:color w:val="000000"/>
                <w:sz w:val="16"/>
                <w:szCs w:val="16"/>
              </w:rPr>
              <w:t>1.5</w:t>
            </w:r>
          </w:p>
        </w:tc>
        <w:tc>
          <w:tcPr>
            <w:tcW w:w="242" w:type="dxa"/>
            <w:vAlign w:val="bottom"/>
          </w:tcPr>
          <w:p w14:paraId="760EB51D" w14:textId="77777777" w:rsidR="0041071C" w:rsidRPr="003832A3" w:rsidRDefault="0041071C" w:rsidP="003832A3">
            <w:pPr>
              <w:bidi/>
              <w:spacing w:before="40" w:after="40"/>
              <w:rPr>
                <w:sz w:val="16"/>
                <w:szCs w:val="16"/>
              </w:rPr>
            </w:pPr>
          </w:p>
        </w:tc>
        <w:tc>
          <w:tcPr>
            <w:tcW w:w="924" w:type="dxa"/>
          </w:tcPr>
          <w:p w14:paraId="2D471F6F" w14:textId="77777777" w:rsidR="0041071C" w:rsidRPr="003832A3" w:rsidRDefault="003924F8" w:rsidP="003832A3">
            <w:pPr>
              <w:bidi/>
              <w:spacing w:before="40" w:after="40"/>
              <w:rPr>
                <w:sz w:val="16"/>
                <w:szCs w:val="16"/>
              </w:rPr>
            </w:pPr>
            <w:r>
              <w:rPr>
                <w:sz w:val="16"/>
                <w:szCs w:val="16"/>
              </w:rPr>
              <w:t>1.0</w:t>
            </w:r>
          </w:p>
        </w:tc>
        <w:tc>
          <w:tcPr>
            <w:tcW w:w="227" w:type="dxa"/>
            <w:vAlign w:val="bottom"/>
          </w:tcPr>
          <w:p w14:paraId="1C8DAF95" w14:textId="77777777" w:rsidR="0041071C" w:rsidRPr="003832A3" w:rsidRDefault="0041071C" w:rsidP="003832A3">
            <w:pPr>
              <w:bidi/>
              <w:spacing w:before="40" w:after="40"/>
              <w:rPr>
                <w:sz w:val="16"/>
                <w:szCs w:val="16"/>
              </w:rPr>
            </w:pPr>
          </w:p>
        </w:tc>
        <w:tc>
          <w:tcPr>
            <w:tcW w:w="939" w:type="dxa"/>
          </w:tcPr>
          <w:p w14:paraId="02959AD5" w14:textId="77777777" w:rsidR="0041071C" w:rsidRPr="003832A3" w:rsidRDefault="003924F8" w:rsidP="003832A3">
            <w:pPr>
              <w:bidi/>
              <w:spacing w:before="40" w:after="40"/>
              <w:rPr>
                <w:sz w:val="16"/>
                <w:szCs w:val="16"/>
              </w:rPr>
            </w:pPr>
            <w:r>
              <w:rPr>
                <w:sz w:val="16"/>
                <w:szCs w:val="16"/>
              </w:rPr>
              <w:t>1.2</w:t>
            </w:r>
          </w:p>
        </w:tc>
        <w:tc>
          <w:tcPr>
            <w:tcW w:w="266" w:type="dxa"/>
          </w:tcPr>
          <w:p w14:paraId="40619D98" w14:textId="77777777" w:rsidR="0041071C" w:rsidRPr="000D2863" w:rsidRDefault="0041071C" w:rsidP="00C64EDB">
            <w:pPr>
              <w:spacing w:before="40" w:after="40"/>
              <w:rPr>
                <w:b/>
                <w:bCs/>
                <w:sz w:val="17"/>
                <w:szCs w:val="17"/>
              </w:rPr>
            </w:pPr>
          </w:p>
        </w:tc>
      </w:tr>
      <w:tr w:rsidR="0041071C" w:rsidRPr="00E834EF" w14:paraId="4D33C7F1" w14:textId="77777777" w:rsidTr="008D70E0">
        <w:tc>
          <w:tcPr>
            <w:tcW w:w="3254" w:type="dxa"/>
          </w:tcPr>
          <w:p w14:paraId="7F88603C" w14:textId="77777777" w:rsidR="0041071C" w:rsidRDefault="0041071C" w:rsidP="00C64EDB">
            <w:pPr>
              <w:tabs>
                <w:tab w:val="right" w:leader="dot" w:pos="3255"/>
              </w:tabs>
              <w:bidi/>
              <w:spacing w:before="40" w:after="40"/>
              <w:rPr>
                <w:b/>
                <w:bCs/>
                <w:sz w:val="17"/>
                <w:szCs w:val="17"/>
                <w:u w:val="single"/>
              </w:rPr>
            </w:pPr>
          </w:p>
        </w:tc>
        <w:tc>
          <w:tcPr>
            <w:tcW w:w="242" w:type="dxa"/>
            <w:vAlign w:val="bottom"/>
          </w:tcPr>
          <w:p w14:paraId="2DE0E2CC" w14:textId="77777777" w:rsidR="0041071C" w:rsidRPr="00E834EF" w:rsidRDefault="0041071C" w:rsidP="00C64EDB">
            <w:pPr>
              <w:spacing w:before="40" w:after="40"/>
              <w:rPr>
                <w:sz w:val="17"/>
                <w:szCs w:val="17"/>
              </w:rPr>
            </w:pPr>
          </w:p>
        </w:tc>
        <w:tc>
          <w:tcPr>
            <w:tcW w:w="913" w:type="dxa"/>
            <w:vAlign w:val="bottom"/>
          </w:tcPr>
          <w:p w14:paraId="27696F79" w14:textId="77777777" w:rsidR="0041071C" w:rsidRPr="007766C5" w:rsidRDefault="0041071C" w:rsidP="00C64EDB">
            <w:pPr>
              <w:spacing w:before="40" w:after="40"/>
              <w:jc w:val="right"/>
              <w:rPr>
                <w:b/>
                <w:bCs/>
                <w:sz w:val="17"/>
                <w:szCs w:val="17"/>
              </w:rPr>
            </w:pPr>
          </w:p>
        </w:tc>
        <w:tc>
          <w:tcPr>
            <w:tcW w:w="252" w:type="dxa"/>
            <w:gridSpan w:val="2"/>
            <w:vAlign w:val="bottom"/>
          </w:tcPr>
          <w:p w14:paraId="12E633C0" w14:textId="77777777" w:rsidR="0041071C" w:rsidRPr="007766C5" w:rsidRDefault="0041071C" w:rsidP="00C64EDB">
            <w:pPr>
              <w:spacing w:before="40" w:after="40"/>
              <w:rPr>
                <w:b/>
                <w:bCs/>
                <w:color w:val="000000"/>
                <w:sz w:val="17"/>
                <w:szCs w:val="17"/>
              </w:rPr>
            </w:pPr>
          </w:p>
        </w:tc>
        <w:tc>
          <w:tcPr>
            <w:tcW w:w="924" w:type="dxa"/>
            <w:vAlign w:val="bottom"/>
          </w:tcPr>
          <w:p w14:paraId="245C0878" w14:textId="77777777" w:rsidR="0041071C" w:rsidRPr="007766C5" w:rsidRDefault="0041071C" w:rsidP="00C64EDB">
            <w:pPr>
              <w:spacing w:before="40" w:after="40"/>
              <w:jc w:val="right"/>
              <w:rPr>
                <w:b/>
                <w:bCs/>
                <w:sz w:val="17"/>
                <w:szCs w:val="17"/>
              </w:rPr>
            </w:pPr>
          </w:p>
        </w:tc>
        <w:tc>
          <w:tcPr>
            <w:tcW w:w="242" w:type="dxa"/>
            <w:vAlign w:val="bottom"/>
          </w:tcPr>
          <w:p w14:paraId="79BDB483" w14:textId="77777777" w:rsidR="0041071C" w:rsidRPr="007766C5" w:rsidRDefault="0041071C" w:rsidP="00C64EDB">
            <w:pPr>
              <w:spacing w:before="40" w:after="40"/>
              <w:rPr>
                <w:b/>
                <w:bCs/>
                <w:color w:val="000000"/>
                <w:sz w:val="17"/>
                <w:szCs w:val="17"/>
              </w:rPr>
            </w:pPr>
          </w:p>
        </w:tc>
        <w:tc>
          <w:tcPr>
            <w:tcW w:w="924" w:type="dxa"/>
            <w:vAlign w:val="bottom"/>
          </w:tcPr>
          <w:p w14:paraId="7DC30C62" w14:textId="77777777" w:rsidR="0041071C" w:rsidRPr="007766C5" w:rsidRDefault="0041071C" w:rsidP="00C64EDB">
            <w:pPr>
              <w:spacing w:before="40" w:after="40"/>
              <w:jc w:val="right"/>
              <w:rPr>
                <w:b/>
                <w:bCs/>
                <w:sz w:val="17"/>
                <w:szCs w:val="17"/>
              </w:rPr>
            </w:pPr>
          </w:p>
        </w:tc>
        <w:tc>
          <w:tcPr>
            <w:tcW w:w="242" w:type="dxa"/>
            <w:vAlign w:val="bottom"/>
          </w:tcPr>
          <w:p w14:paraId="3EBF031D" w14:textId="77777777" w:rsidR="0041071C" w:rsidRPr="007766C5" w:rsidRDefault="0041071C" w:rsidP="00C64EDB">
            <w:pPr>
              <w:spacing w:before="40" w:after="40"/>
              <w:rPr>
                <w:b/>
                <w:bCs/>
                <w:sz w:val="17"/>
                <w:szCs w:val="17"/>
              </w:rPr>
            </w:pPr>
          </w:p>
        </w:tc>
        <w:tc>
          <w:tcPr>
            <w:tcW w:w="924" w:type="dxa"/>
            <w:vAlign w:val="bottom"/>
          </w:tcPr>
          <w:p w14:paraId="40E73E96" w14:textId="77777777" w:rsidR="0041071C" w:rsidRPr="007766C5" w:rsidRDefault="0041071C" w:rsidP="00C64EDB">
            <w:pPr>
              <w:spacing w:before="40" w:after="40"/>
              <w:jc w:val="right"/>
              <w:rPr>
                <w:b/>
                <w:bCs/>
                <w:sz w:val="17"/>
                <w:szCs w:val="17"/>
              </w:rPr>
            </w:pPr>
          </w:p>
        </w:tc>
        <w:tc>
          <w:tcPr>
            <w:tcW w:w="227" w:type="dxa"/>
            <w:vAlign w:val="bottom"/>
          </w:tcPr>
          <w:p w14:paraId="0258CC2D" w14:textId="77777777" w:rsidR="0041071C" w:rsidRPr="007766C5" w:rsidRDefault="0041071C" w:rsidP="00C64EDB">
            <w:pPr>
              <w:spacing w:before="40" w:after="40"/>
              <w:rPr>
                <w:b/>
                <w:bCs/>
                <w:sz w:val="17"/>
                <w:szCs w:val="17"/>
              </w:rPr>
            </w:pPr>
          </w:p>
        </w:tc>
        <w:tc>
          <w:tcPr>
            <w:tcW w:w="939" w:type="dxa"/>
            <w:vAlign w:val="bottom"/>
          </w:tcPr>
          <w:p w14:paraId="239D78FF" w14:textId="77777777" w:rsidR="0041071C" w:rsidRPr="007766C5" w:rsidRDefault="0041071C" w:rsidP="00C64EDB">
            <w:pPr>
              <w:spacing w:before="40" w:after="40"/>
              <w:jc w:val="right"/>
              <w:rPr>
                <w:b/>
                <w:bCs/>
                <w:sz w:val="17"/>
                <w:szCs w:val="17"/>
              </w:rPr>
            </w:pPr>
          </w:p>
        </w:tc>
        <w:tc>
          <w:tcPr>
            <w:tcW w:w="266" w:type="dxa"/>
          </w:tcPr>
          <w:p w14:paraId="6B378D47" w14:textId="77777777" w:rsidR="0041071C" w:rsidRPr="000D2863" w:rsidRDefault="0041071C" w:rsidP="00C64EDB">
            <w:pPr>
              <w:spacing w:before="40" w:after="40"/>
              <w:rPr>
                <w:b/>
                <w:bCs/>
                <w:sz w:val="17"/>
                <w:szCs w:val="17"/>
              </w:rPr>
            </w:pPr>
          </w:p>
        </w:tc>
      </w:tr>
      <w:tr w:rsidR="0041071C" w:rsidRPr="00E834EF" w14:paraId="229A992E" w14:textId="77777777" w:rsidTr="008D70E0">
        <w:tc>
          <w:tcPr>
            <w:tcW w:w="3254" w:type="dxa"/>
            <w:vAlign w:val="bottom"/>
          </w:tcPr>
          <w:p w14:paraId="568A38CC" w14:textId="77777777" w:rsidR="0041071C" w:rsidRDefault="0041071C" w:rsidP="00C64EDB">
            <w:pPr>
              <w:tabs>
                <w:tab w:val="right" w:leader="dot" w:pos="3255"/>
              </w:tabs>
              <w:bidi/>
              <w:spacing w:before="40" w:after="40"/>
              <w:ind w:left="12"/>
              <w:rPr>
                <w:b/>
                <w:bCs/>
                <w:color w:val="000000"/>
                <w:sz w:val="17"/>
                <w:szCs w:val="17"/>
              </w:rPr>
            </w:pPr>
            <w:r>
              <w:rPr>
                <w:rFonts w:hint="cs"/>
                <w:b/>
                <w:bCs/>
                <w:color w:val="000000"/>
                <w:sz w:val="17"/>
                <w:szCs w:val="17"/>
                <w:rtl/>
              </w:rPr>
              <w:t xml:space="preserve">إجمالي </w:t>
            </w:r>
            <w:r w:rsidR="0082033F">
              <w:rPr>
                <w:rFonts w:hint="cs"/>
                <w:b/>
                <w:bCs/>
                <w:color w:val="000000"/>
                <w:sz w:val="17"/>
                <w:szCs w:val="17"/>
                <w:rtl/>
              </w:rPr>
              <w:t>ال</w:t>
            </w:r>
            <w:r>
              <w:rPr>
                <w:rFonts w:hint="cs"/>
                <w:b/>
                <w:bCs/>
                <w:color w:val="000000"/>
                <w:sz w:val="17"/>
                <w:szCs w:val="17"/>
                <w:rtl/>
              </w:rPr>
              <w:t>أرباح</w:t>
            </w:r>
            <w:r w:rsidRPr="0054596C">
              <w:rPr>
                <w:sz w:val="17"/>
              </w:rPr>
              <w:tab/>
            </w:r>
          </w:p>
        </w:tc>
        <w:tc>
          <w:tcPr>
            <w:tcW w:w="242" w:type="dxa"/>
            <w:vAlign w:val="bottom"/>
          </w:tcPr>
          <w:p w14:paraId="0FB1D88F" w14:textId="77777777" w:rsidR="0041071C" w:rsidRPr="00E834EF" w:rsidRDefault="0041071C" w:rsidP="00C64EDB">
            <w:pPr>
              <w:spacing w:before="40" w:after="40"/>
              <w:rPr>
                <w:sz w:val="17"/>
                <w:szCs w:val="17"/>
              </w:rPr>
            </w:pPr>
          </w:p>
        </w:tc>
        <w:tc>
          <w:tcPr>
            <w:tcW w:w="913" w:type="dxa"/>
            <w:vAlign w:val="bottom"/>
          </w:tcPr>
          <w:p w14:paraId="34CD8F63" w14:textId="77777777" w:rsidR="0041071C" w:rsidRPr="007766C5" w:rsidRDefault="008E1681" w:rsidP="00C64EDB">
            <w:pPr>
              <w:spacing w:before="40" w:after="40"/>
              <w:jc w:val="right"/>
              <w:rPr>
                <w:color w:val="000000"/>
                <w:sz w:val="17"/>
                <w:szCs w:val="17"/>
              </w:rPr>
            </w:pPr>
            <w:r>
              <w:rPr>
                <w:color w:val="000000"/>
                <w:sz w:val="17"/>
                <w:szCs w:val="17"/>
              </w:rPr>
              <w:t>0.9</w:t>
            </w:r>
          </w:p>
        </w:tc>
        <w:tc>
          <w:tcPr>
            <w:tcW w:w="252" w:type="dxa"/>
            <w:gridSpan w:val="2"/>
            <w:vAlign w:val="bottom"/>
          </w:tcPr>
          <w:p w14:paraId="4D028D99" w14:textId="77777777" w:rsidR="0041071C" w:rsidRPr="007766C5" w:rsidRDefault="0041071C" w:rsidP="00C64EDB">
            <w:pPr>
              <w:spacing w:before="40" w:after="40"/>
              <w:rPr>
                <w:color w:val="000000"/>
                <w:sz w:val="17"/>
                <w:szCs w:val="17"/>
              </w:rPr>
            </w:pPr>
          </w:p>
        </w:tc>
        <w:tc>
          <w:tcPr>
            <w:tcW w:w="924" w:type="dxa"/>
            <w:vAlign w:val="bottom"/>
          </w:tcPr>
          <w:p w14:paraId="75FF0F1B" w14:textId="77777777" w:rsidR="0041071C" w:rsidRPr="007766C5" w:rsidRDefault="00636A46" w:rsidP="00C64EDB">
            <w:pPr>
              <w:spacing w:before="40" w:after="40"/>
              <w:jc w:val="right"/>
              <w:rPr>
                <w:color w:val="000000"/>
                <w:sz w:val="17"/>
                <w:szCs w:val="17"/>
              </w:rPr>
            </w:pPr>
            <w:r>
              <w:rPr>
                <w:color w:val="000000"/>
                <w:sz w:val="17"/>
                <w:szCs w:val="17"/>
              </w:rPr>
              <w:t>1.0</w:t>
            </w:r>
          </w:p>
        </w:tc>
        <w:tc>
          <w:tcPr>
            <w:tcW w:w="242" w:type="dxa"/>
            <w:vAlign w:val="bottom"/>
          </w:tcPr>
          <w:p w14:paraId="54F3678F" w14:textId="77777777" w:rsidR="0041071C" w:rsidRPr="007766C5" w:rsidRDefault="0041071C" w:rsidP="00C64EDB">
            <w:pPr>
              <w:spacing w:before="40" w:after="40"/>
              <w:rPr>
                <w:color w:val="000000"/>
                <w:sz w:val="17"/>
                <w:szCs w:val="17"/>
              </w:rPr>
            </w:pPr>
          </w:p>
        </w:tc>
        <w:tc>
          <w:tcPr>
            <w:tcW w:w="924" w:type="dxa"/>
            <w:vAlign w:val="bottom"/>
          </w:tcPr>
          <w:p w14:paraId="18D8B065" w14:textId="77777777" w:rsidR="0041071C" w:rsidRPr="007766C5" w:rsidRDefault="00636A46" w:rsidP="00C64EDB">
            <w:pPr>
              <w:spacing w:before="40" w:after="40"/>
              <w:jc w:val="right"/>
              <w:rPr>
                <w:color w:val="000000"/>
                <w:sz w:val="17"/>
                <w:szCs w:val="17"/>
              </w:rPr>
            </w:pPr>
            <w:r>
              <w:rPr>
                <w:color w:val="000000"/>
                <w:sz w:val="17"/>
                <w:szCs w:val="17"/>
              </w:rPr>
              <w:t>1.0</w:t>
            </w:r>
          </w:p>
        </w:tc>
        <w:tc>
          <w:tcPr>
            <w:tcW w:w="242" w:type="dxa"/>
            <w:vAlign w:val="bottom"/>
          </w:tcPr>
          <w:p w14:paraId="4BF3C531" w14:textId="77777777" w:rsidR="0041071C" w:rsidRPr="007766C5" w:rsidRDefault="0041071C" w:rsidP="00C64EDB">
            <w:pPr>
              <w:spacing w:before="40" w:after="40"/>
              <w:rPr>
                <w:sz w:val="17"/>
                <w:szCs w:val="17"/>
              </w:rPr>
            </w:pPr>
          </w:p>
        </w:tc>
        <w:tc>
          <w:tcPr>
            <w:tcW w:w="924" w:type="dxa"/>
            <w:vAlign w:val="bottom"/>
          </w:tcPr>
          <w:p w14:paraId="61E0D2F9" w14:textId="77777777" w:rsidR="0041071C" w:rsidRPr="007766C5" w:rsidRDefault="00636A46" w:rsidP="00C64EDB">
            <w:pPr>
              <w:spacing w:before="40" w:after="40"/>
              <w:jc w:val="right"/>
              <w:rPr>
                <w:sz w:val="17"/>
                <w:szCs w:val="17"/>
              </w:rPr>
            </w:pPr>
            <w:r>
              <w:rPr>
                <w:sz w:val="17"/>
                <w:szCs w:val="17"/>
              </w:rPr>
              <w:t>0.7</w:t>
            </w:r>
          </w:p>
        </w:tc>
        <w:tc>
          <w:tcPr>
            <w:tcW w:w="227" w:type="dxa"/>
            <w:vAlign w:val="bottom"/>
          </w:tcPr>
          <w:p w14:paraId="090A8310" w14:textId="77777777" w:rsidR="0041071C" w:rsidRPr="007766C5" w:rsidRDefault="0041071C" w:rsidP="00C64EDB">
            <w:pPr>
              <w:spacing w:before="40" w:after="40"/>
              <w:rPr>
                <w:sz w:val="17"/>
                <w:szCs w:val="17"/>
              </w:rPr>
            </w:pPr>
          </w:p>
        </w:tc>
        <w:tc>
          <w:tcPr>
            <w:tcW w:w="939" w:type="dxa"/>
            <w:vAlign w:val="bottom"/>
          </w:tcPr>
          <w:p w14:paraId="73529FCD" w14:textId="77777777" w:rsidR="0041071C" w:rsidRPr="007766C5" w:rsidRDefault="00636A46" w:rsidP="00C64EDB">
            <w:pPr>
              <w:spacing w:before="40" w:after="40"/>
              <w:jc w:val="right"/>
              <w:rPr>
                <w:sz w:val="17"/>
                <w:szCs w:val="17"/>
              </w:rPr>
            </w:pPr>
            <w:r>
              <w:rPr>
                <w:sz w:val="17"/>
                <w:szCs w:val="17"/>
              </w:rPr>
              <w:t>1.2</w:t>
            </w:r>
          </w:p>
        </w:tc>
        <w:tc>
          <w:tcPr>
            <w:tcW w:w="266" w:type="dxa"/>
            <w:vAlign w:val="bottom"/>
          </w:tcPr>
          <w:p w14:paraId="43C97502" w14:textId="77777777" w:rsidR="0041071C" w:rsidRPr="000D2863" w:rsidRDefault="0041071C" w:rsidP="00C64EDB">
            <w:pPr>
              <w:spacing w:before="40" w:after="40"/>
              <w:rPr>
                <w:sz w:val="17"/>
                <w:szCs w:val="17"/>
              </w:rPr>
            </w:pPr>
          </w:p>
        </w:tc>
      </w:tr>
      <w:tr w:rsidR="0041071C" w:rsidRPr="00E834EF" w14:paraId="572ECF92" w14:textId="77777777" w:rsidTr="008D70E0">
        <w:tc>
          <w:tcPr>
            <w:tcW w:w="3254" w:type="dxa"/>
            <w:vAlign w:val="bottom"/>
          </w:tcPr>
          <w:p w14:paraId="1FF3502E" w14:textId="77777777" w:rsidR="0041071C" w:rsidRPr="00E754AA" w:rsidRDefault="0041071C" w:rsidP="00C64EDB">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5457BFB7" w14:textId="77777777" w:rsidR="0041071C" w:rsidRPr="00E754AA" w:rsidRDefault="0041071C" w:rsidP="00C64EDB">
            <w:pPr>
              <w:spacing w:before="40" w:after="40"/>
              <w:rPr>
                <w:sz w:val="17"/>
                <w:szCs w:val="17"/>
              </w:rPr>
            </w:pPr>
          </w:p>
        </w:tc>
        <w:tc>
          <w:tcPr>
            <w:tcW w:w="913" w:type="dxa"/>
            <w:vAlign w:val="bottom"/>
          </w:tcPr>
          <w:p w14:paraId="4562A280" w14:textId="77777777" w:rsidR="0041071C" w:rsidRPr="00E754AA" w:rsidRDefault="00771BAE" w:rsidP="00C64EDB">
            <w:pPr>
              <w:spacing w:before="40" w:after="40"/>
              <w:jc w:val="right"/>
              <w:rPr>
                <w:color w:val="000000"/>
                <w:sz w:val="17"/>
                <w:szCs w:val="17"/>
              </w:rPr>
            </w:pPr>
            <w:r w:rsidRPr="00DB3F11">
              <w:rPr>
                <w:sz w:val="16"/>
                <w:szCs w:val="16"/>
              </w:rPr>
              <w:t>—</w:t>
            </w:r>
          </w:p>
        </w:tc>
        <w:tc>
          <w:tcPr>
            <w:tcW w:w="252" w:type="dxa"/>
            <w:gridSpan w:val="2"/>
            <w:vAlign w:val="bottom"/>
          </w:tcPr>
          <w:p w14:paraId="7400EC3A" w14:textId="77777777" w:rsidR="0041071C" w:rsidRPr="00E754AA" w:rsidRDefault="0041071C" w:rsidP="00C64EDB">
            <w:pPr>
              <w:spacing w:before="40" w:after="40"/>
              <w:rPr>
                <w:color w:val="000000"/>
                <w:sz w:val="17"/>
                <w:szCs w:val="17"/>
              </w:rPr>
            </w:pPr>
          </w:p>
        </w:tc>
        <w:tc>
          <w:tcPr>
            <w:tcW w:w="924" w:type="dxa"/>
            <w:vAlign w:val="bottom"/>
          </w:tcPr>
          <w:p w14:paraId="62736434" w14:textId="77777777" w:rsidR="0041071C" w:rsidRPr="00E754AA" w:rsidRDefault="00771BAE" w:rsidP="00C64EDB">
            <w:pPr>
              <w:spacing w:before="40" w:after="40"/>
              <w:jc w:val="right"/>
              <w:rPr>
                <w:color w:val="000000"/>
                <w:sz w:val="17"/>
                <w:szCs w:val="17"/>
              </w:rPr>
            </w:pPr>
            <w:r w:rsidRPr="00DB3F11">
              <w:rPr>
                <w:sz w:val="16"/>
                <w:szCs w:val="16"/>
              </w:rPr>
              <w:t>—</w:t>
            </w:r>
          </w:p>
        </w:tc>
        <w:tc>
          <w:tcPr>
            <w:tcW w:w="242" w:type="dxa"/>
            <w:vAlign w:val="bottom"/>
          </w:tcPr>
          <w:p w14:paraId="7FD817E5" w14:textId="77777777" w:rsidR="0041071C" w:rsidRPr="00E754AA" w:rsidRDefault="0041071C" w:rsidP="00C64EDB">
            <w:pPr>
              <w:spacing w:before="40" w:after="40"/>
              <w:rPr>
                <w:color w:val="000000"/>
                <w:sz w:val="17"/>
                <w:szCs w:val="17"/>
              </w:rPr>
            </w:pPr>
          </w:p>
        </w:tc>
        <w:tc>
          <w:tcPr>
            <w:tcW w:w="924" w:type="dxa"/>
            <w:vAlign w:val="bottom"/>
          </w:tcPr>
          <w:p w14:paraId="2019B9CF" w14:textId="77777777" w:rsidR="0041071C" w:rsidRPr="00E754AA" w:rsidRDefault="00771BAE" w:rsidP="00C64EDB">
            <w:pPr>
              <w:spacing w:before="40" w:after="40"/>
              <w:jc w:val="right"/>
              <w:rPr>
                <w:color w:val="000000"/>
                <w:sz w:val="17"/>
                <w:szCs w:val="17"/>
              </w:rPr>
            </w:pPr>
            <w:r w:rsidRPr="00DB3F11">
              <w:rPr>
                <w:sz w:val="16"/>
                <w:szCs w:val="16"/>
              </w:rPr>
              <w:t>—</w:t>
            </w:r>
          </w:p>
        </w:tc>
        <w:tc>
          <w:tcPr>
            <w:tcW w:w="242" w:type="dxa"/>
            <w:vAlign w:val="bottom"/>
          </w:tcPr>
          <w:p w14:paraId="15F9F95E" w14:textId="77777777" w:rsidR="0041071C" w:rsidRPr="00E754AA" w:rsidRDefault="0041071C" w:rsidP="00C64EDB">
            <w:pPr>
              <w:spacing w:before="40" w:after="40"/>
              <w:rPr>
                <w:sz w:val="17"/>
                <w:szCs w:val="17"/>
              </w:rPr>
            </w:pPr>
          </w:p>
        </w:tc>
        <w:tc>
          <w:tcPr>
            <w:tcW w:w="924" w:type="dxa"/>
            <w:vAlign w:val="bottom"/>
          </w:tcPr>
          <w:p w14:paraId="31E04359" w14:textId="77777777" w:rsidR="0041071C" w:rsidRPr="00E754AA" w:rsidRDefault="00771BAE" w:rsidP="00C64EDB">
            <w:pPr>
              <w:spacing w:before="40" w:after="40"/>
              <w:jc w:val="right"/>
              <w:rPr>
                <w:sz w:val="17"/>
                <w:szCs w:val="17"/>
              </w:rPr>
            </w:pPr>
            <w:r w:rsidRPr="00DB3F11">
              <w:rPr>
                <w:sz w:val="16"/>
                <w:szCs w:val="16"/>
              </w:rPr>
              <w:t>—</w:t>
            </w:r>
          </w:p>
        </w:tc>
        <w:tc>
          <w:tcPr>
            <w:tcW w:w="227" w:type="dxa"/>
            <w:vAlign w:val="bottom"/>
          </w:tcPr>
          <w:p w14:paraId="038469A7" w14:textId="77777777" w:rsidR="0041071C" w:rsidRPr="00E754AA" w:rsidRDefault="0041071C" w:rsidP="00C64EDB">
            <w:pPr>
              <w:spacing w:before="40" w:after="40"/>
              <w:rPr>
                <w:sz w:val="17"/>
                <w:szCs w:val="17"/>
              </w:rPr>
            </w:pPr>
          </w:p>
        </w:tc>
        <w:tc>
          <w:tcPr>
            <w:tcW w:w="939" w:type="dxa"/>
            <w:vAlign w:val="bottom"/>
          </w:tcPr>
          <w:p w14:paraId="09D5E79D" w14:textId="77777777" w:rsidR="0041071C" w:rsidRPr="00E754AA" w:rsidRDefault="00771BAE" w:rsidP="00C64EDB">
            <w:pPr>
              <w:spacing w:before="40" w:after="40"/>
              <w:jc w:val="right"/>
              <w:rPr>
                <w:sz w:val="17"/>
                <w:szCs w:val="17"/>
              </w:rPr>
            </w:pPr>
            <w:r w:rsidRPr="00DB3F11">
              <w:rPr>
                <w:sz w:val="16"/>
                <w:szCs w:val="16"/>
              </w:rPr>
              <w:t>—</w:t>
            </w:r>
          </w:p>
        </w:tc>
        <w:tc>
          <w:tcPr>
            <w:tcW w:w="266" w:type="dxa"/>
            <w:vAlign w:val="bottom"/>
          </w:tcPr>
          <w:p w14:paraId="6E23317F" w14:textId="77777777" w:rsidR="0041071C" w:rsidRPr="000D2863" w:rsidRDefault="0041071C" w:rsidP="00C64EDB">
            <w:pPr>
              <w:spacing w:before="40" w:after="40"/>
              <w:rPr>
                <w:sz w:val="17"/>
                <w:szCs w:val="17"/>
              </w:rPr>
            </w:pPr>
          </w:p>
        </w:tc>
      </w:tr>
      <w:tr w:rsidR="0041071C" w:rsidRPr="00E834EF" w14:paraId="5EF98474" w14:textId="77777777" w:rsidTr="008D70E0">
        <w:tc>
          <w:tcPr>
            <w:tcW w:w="3254" w:type="dxa"/>
            <w:vAlign w:val="center"/>
          </w:tcPr>
          <w:p w14:paraId="39DDE663" w14:textId="77777777" w:rsidR="0041071C" w:rsidRPr="00E754AA" w:rsidRDefault="008D70E0" w:rsidP="00C64EDB">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41071C" w:rsidRPr="0054596C">
              <w:rPr>
                <w:sz w:val="17"/>
              </w:rPr>
              <w:tab/>
            </w:r>
          </w:p>
        </w:tc>
        <w:tc>
          <w:tcPr>
            <w:tcW w:w="242" w:type="dxa"/>
            <w:vAlign w:val="bottom"/>
          </w:tcPr>
          <w:p w14:paraId="10DC2F59" w14:textId="77777777" w:rsidR="0041071C" w:rsidRPr="00E834EF" w:rsidRDefault="0041071C" w:rsidP="00C64EDB">
            <w:pPr>
              <w:spacing w:before="40" w:after="40"/>
              <w:rPr>
                <w:sz w:val="17"/>
                <w:szCs w:val="17"/>
              </w:rPr>
            </w:pPr>
          </w:p>
        </w:tc>
        <w:tc>
          <w:tcPr>
            <w:tcW w:w="913" w:type="dxa"/>
            <w:vAlign w:val="bottom"/>
          </w:tcPr>
          <w:p w14:paraId="6A111277" w14:textId="77777777" w:rsidR="0041071C" w:rsidRPr="00E754AA" w:rsidRDefault="00771BAE" w:rsidP="00C64EDB">
            <w:pPr>
              <w:spacing w:before="40" w:after="40"/>
              <w:jc w:val="right"/>
              <w:rPr>
                <w:color w:val="000000"/>
                <w:sz w:val="17"/>
                <w:szCs w:val="17"/>
              </w:rPr>
            </w:pPr>
            <w:r>
              <w:rPr>
                <w:color w:val="000000"/>
                <w:sz w:val="17"/>
                <w:szCs w:val="17"/>
              </w:rPr>
              <w:t>0.1</w:t>
            </w:r>
          </w:p>
        </w:tc>
        <w:tc>
          <w:tcPr>
            <w:tcW w:w="252" w:type="dxa"/>
            <w:gridSpan w:val="2"/>
            <w:vAlign w:val="bottom"/>
          </w:tcPr>
          <w:p w14:paraId="2BFE54B8" w14:textId="77777777" w:rsidR="0041071C" w:rsidRPr="00E754AA" w:rsidRDefault="0041071C" w:rsidP="00C64EDB">
            <w:pPr>
              <w:spacing w:before="40" w:after="40"/>
              <w:rPr>
                <w:color w:val="000000"/>
                <w:sz w:val="17"/>
                <w:szCs w:val="17"/>
              </w:rPr>
            </w:pPr>
          </w:p>
        </w:tc>
        <w:tc>
          <w:tcPr>
            <w:tcW w:w="924" w:type="dxa"/>
            <w:vAlign w:val="bottom"/>
          </w:tcPr>
          <w:p w14:paraId="5704E97D" w14:textId="77777777" w:rsidR="0041071C" w:rsidRPr="00E754AA" w:rsidRDefault="00771BAE" w:rsidP="00C64EDB">
            <w:pPr>
              <w:spacing w:before="40" w:after="40"/>
              <w:jc w:val="right"/>
              <w:rPr>
                <w:color w:val="000000"/>
                <w:sz w:val="17"/>
                <w:szCs w:val="17"/>
              </w:rPr>
            </w:pPr>
            <w:r>
              <w:rPr>
                <w:color w:val="000000"/>
                <w:sz w:val="17"/>
                <w:szCs w:val="17"/>
              </w:rPr>
              <w:t>0.1</w:t>
            </w:r>
          </w:p>
        </w:tc>
        <w:tc>
          <w:tcPr>
            <w:tcW w:w="242" w:type="dxa"/>
            <w:vAlign w:val="bottom"/>
          </w:tcPr>
          <w:p w14:paraId="727E47A9" w14:textId="77777777" w:rsidR="0041071C" w:rsidRPr="00E754AA" w:rsidRDefault="0041071C" w:rsidP="00C64EDB">
            <w:pPr>
              <w:spacing w:before="40" w:after="40"/>
              <w:rPr>
                <w:color w:val="000000"/>
                <w:sz w:val="17"/>
                <w:szCs w:val="17"/>
              </w:rPr>
            </w:pPr>
          </w:p>
        </w:tc>
        <w:tc>
          <w:tcPr>
            <w:tcW w:w="924" w:type="dxa"/>
            <w:vAlign w:val="bottom"/>
          </w:tcPr>
          <w:p w14:paraId="719003C5" w14:textId="77777777" w:rsidR="0041071C" w:rsidRPr="00E754AA" w:rsidRDefault="00771BAE" w:rsidP="00C64EDB">
            <w:pPr>
              <w:spacing w:before="40" w:after="40"/>
              <w:jc w:val="right"/>
              <w:rPr>
                <w:color w:val="000000"/>
                <w:sz w:val="17"/>
                <w:szCs w:val="17"/>
              </w:rPr>
            </w:pPr>
            <w:r>
              <w:rPr>
                <w:color w:val="000000"/>
                <w:sz w:val="17"/>
                <w:szCs w:val="17"/>
              </w:rPr>
              <w:t>0.1</w:t>
            </w:r>
          </w:p>
        </w:tc>
        <w:tc>
          <w:tcPr>
            <w:tcW w:w="242" w:type="dxa"/>
            <w:vAlign w:val="bottom"/>
          </w:tcPr>
          <w:p w14:paraId="3CED93A1" w14:textId="77777777" w:rsidR="0041071C" w:rsidRPr="00E754AA" w:rsidRDefault="0041071C" w:rsidP="00C64EDB">
            <w:pPr>
              <w:spacing w:before="40" w:after="40"/>
              <w:rPr>
                <w:sz w:val="17"/>
                <w:szCs w:val="17"/>
              </w:rPr>
            </w:pPr>
          </w:p>
        </w:tc>
        <w:tc>
          <w:tcPr>
            <w:tcW w:w="924" w:type="dxa"/>
            <w:vAlign w:val="bottom"/>
          </w:tcPr>
          <w:p w14:paraId="01455318" w14:textId="77777777" w:rsidR="0041071C" w:rsidRPr="00E754AA" w:rsidRDefault="00771BAE" w:rsidP="00C64EDB">
            <w:pPr>
              <w:spacing w:before="40" w:after="40"/>
              <w:jc w:val="right"/>
              <w:rPr>
                <w:sz w:val="17"/>
                <w:szCs w:val="17"/>
              </w:rPr>
            </w:pPr>
            <w:r>
              <w:rPr>
                <w:sz w:val="17"/>
                <w:szCs w:val="17"/>
              </w:rPr>
              <w:t>0.1</w:t>
            </w:r>
          </w:p>
        </w:tc>
        <w:tc>
          <w:tcPr>
            <w:tcW w:w="227" w:type="dxa"/>
            <w:vAlign w:val="bottom"/>
          </w:tcPr>
          <w:p w14:paraId="5B917DC2" w14:textId="77777777" w:rsidR="0041071C" w:rsidRPr="00E754AA" w:rsidRDefault="0041071C" w:rsidP="00C64EDB">
            <w:pPr>
              <w:spacing w:before="40" w:after="40"/>
              <w:rPr>
                <w:sz w:val="17"/>
                <w:szCs w:val="17"/>
              </w:rPr>
            </w:pPr>
          </w:p>
        </w:tc>
        <w:tc>
          <w:tcPr>
            <w:tcW w:w="939" w:type="dxa"/>
            <w:vAlign w:val="bottom"/>
          </w:tcPr>
          <w:p w14:paraId="77926499" w14:textId="77777777" w:rsidR="0041071C" w:rsidRPr="00E754AA" w:rsidRDefault="00771BAE" w:rsidP="00C64EDB">
            <w:pPr>
              <w:spacing w:before="40" w:after="40"/>
              <w:jc w:val="right"/>
              <w:rPr>
                <w:sz w:val="17"/>
                <w:szCs w:val="17"/>
              </w:rPr>
            </w:pPr>
            <w:r>
              <w:rPr>
                <w:sz w:val="17"/>
                <w:szCs w:val="17"/>
              </w:rPr>
              <w:t>0.3</w:t>
            </w:r>
          </w:p>
        </w:tc>
        <w:tc>
          <w:tcPr>
            <w:tcW w:w="266" w:type="dxa"/>
            <w:vAlign w:val="bottom"/>
          </w:tcPr>
          <w:p w14:paraId="462A472E" w14:textId="77777777" w:rsidR="0041071C" w:rsidRPr="000D2863" w:rsidRDefault="0041071C" w:rsidP="00C64EDB">
            <w:pPr>
              <w:spacing w:before="40" w:after="40"/>
              <w:rPr>
                <w:sz w:val="17"/>
                <w:szCs w:val="17"/>
              </w:rPr>
            </w:pPr>
          </w:p>
        </w:tc>
      </w:tr>
      <w:tr w:rsidR="0041071C" w:rsidRPr="00E834EF" w14:paraId="13EB418D" w14:textId="77777777" w:rsidTr="008D70E0">
        <w:tc>
          <w:tcPr>
            <w:tcW w:w="3254" w:type="dxa"/>
            <w:vAlign w:val="center"/>
          </w:tcPr>
          <w:p w14:paraId="255B40B1" w14:textId="77777777" w:rsidR="0041071C" w:rsidRPr="00E754AA" w:rsidRDefault="0041071C" w:rsidP="00C64EDB">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38CD8504" w14:textId="77777777" w:rsidR="0041071C" w:rsidRPr="00E834EF" w:rsidRDefault="0041071C" w:rsidP="00C64EDB">
            <w:pPr>
              <w:spacing w:before="40" w:after="40"/>
              <w:rPr>
                <w:sz w:val="17"/>
                <w:szCs w:val="17"/>
              </w:rPr>
            </w:pPr>
          </w:p>
        </w:tc>
        <w:tc>
          <w:tcPr>
            <w:tcW w:w="913" w:type="dxa"/>
            <w:vAlign w:val="bottom"/>
          </w:tcPr>
          <w:p w14:paraId="3F74C591" w14:textId="77777777" w:rsidR="0041071C" w:rsidRPr="00E754AA" w:rsidRDefault="002A2B1F" w:rsidP="00C64EDB">
            <w:pPr>
              <w:spacing w:before="40" w:after="40"/>
              <w:jc w:val="right"/>
              <w:rPr>
                <w:color w:val="000000"/>
                <w:sz w:val="17"/>
                <w:szCs w:val="17"/>
              </w:rPr>
            </w:pPr>
            <w:r w:rsidRPr="00DB3F11">
              <w:rPr>
                <w:sz w:val="16"/>
                <w:szCs w:val="16"/>
              </w:rPr>
              <w:t>—</w:t>
            </w:r>
          </w:p>
        </w:tc>
        <w:tc>
          <w:tcPr>
            <w:tcW w:w="252" w:type="dxa"/>
            <w:gridSpan w:val="2"/>
            <w:vAlign w:val="bottom"/>
          </w:tcPr>
          <w:p w14:paraId="7DCC20B7" w14:textId="77777777" w:rsidR="0041071C" w:rsidRPr="00E754AA" w:rsidRDefault="0041071C" w:rsidP="00C64EDB">
            <w:pPr>
              <w:spacing w:before="40" w:after="40"/>
              <w:rPr>
                <w:color w:val="000000"/>
                <w:sz w:val="17"/>
                <w:szCs w:val="17"/>
              </w:rPr>
            </w:pPr>
          </w:p>
        </w:tc>
        <w:tc>
          <w:tcPr>
            <w:tcW w:w="924" w:type="dxa"/>
            <w:vAlign w:val="bottom"/>
          </w:tcPr>
          <w:p w14:paraId="1B1012E8" w14:textId="77777777" w:rsidR="0041071C" w:rsidRPr="00E754AA" w:rsidRDefault="002A2B1F" w:rsidP="00C64EDB">
            <w:pPr>
              <w:spacing w:before="40" w:after="40"/>
              <w:jc w:val="right"/>
              <w:rPr>
                <w:color w:val="000000"/>
                <w:sz w:val="17"/>
                <w:szCs w:val="17"/>
              </w:rPr>
            </w:pPr>
            <w:r>
              <w:rPr>
                <w:color w:val="000000"/>
                <w:sz w:val="17"/>
                <w:szCs w:val="17"/>
              </w:rPr>
              <w:t>1.0</w:t>
            </w:r>
          </w:p>
        </w:tc>
        <w:tc>
          <w:tcPr>
            <w:tcW w:w="242" w:type="dxa"/>
            <w:vAlign w:val="bottom"/>
          </w:tcPr>
          <w:p w14:paraId="52B1FCA9" w14:textId="77777777" w:rsidR="0041071C" w:rsidRPr="00E754AA" w:rsidRDefault="0041071C" w:rsidP="00C64EDB">
            <w:pPr>
              <w:spacing w:before="40" w:after="40"/>
              <w:rPr>
                <w:color w:val="000000"/>
                <w:sz w:val="17"/>
                <w:szCs w:val="17"/>
              </w:rPr>
            </w:pPr>
          </w:p>
        </w:tc>
        <w:tc>
          <w:tcPr>
            <w:tcW w:w="924" w:type="dxa"/>
            <w:vAlign w:val="bottom"/>
          </w:tcPr>
          <w:p w14:paraId="1136C9F2" w14:textId="77777777" w:rsidR="0041071C" w:rsidRPr="00E754AA" w:rsidRDefault="002A2B1F" w:rsidP="00C64EDB">
            <w:pPr>
              <w:spacing w:before="40" w:after="40"/>
              <w:jc w:val="right"/>
              <w:rPr>
                <w:color w:val="000000"/>
                <w:sz w:val="17"/>
                <w:szCs w:val="17"/>
              </w:rPr>
            </w:pPr>
            <w:r>
              <w:rPr>
                <w:color w:val="000000"/>
                <w:sz w:val="17"/>
                <w:szCs w:val="17"/>
              </w:rPr>
              <w:t>0.1</w:t>
            </w:r>
          </w:p>
        </w:tc>
        <w:tc>
          <w:tcPr>
            <w:tcW w:w="242" w:type="dxa"/>
            <w:vAlign w:val="bottom"/>
          </w:tcPr>
          <w:p w14:paraId="7DEE07A0" w14:textId="77777777" w:rsidR="0041071C" w:rsidRPr="00E754AA" w:rsidRDefault="0041071C" w:rsidP="00C64EDB">
            <w:pPr>
              <w:spacing w:before="40" w:after="40"/>
              <w:rPr>
                <w:sz w:val="17"/>
                <w:szCs w:val="17"/>
              </w:rPr>
            </w:pPr>
          </w:p>
        </w:tc>
        <w:tc>
          <w:tcPr>
            <w:tcW w:w="924" w:type="dxa"/>
            <w:vAlign w:val="bottom"/>
          </w:tcPr>
          <w:p w14:paraId="2FA7869A" w14:textId="77777777" w:rsidR="0041071C" w:rsidRPr="00E754AA" w:rsidRDefault="002A2B1F" w:rsidP="00C64EDB">
            <w:pPr>
              <w:spacing w:before="40" w:after="40"/>
              <w:jc w:val="right"/>
              <w:rPr>
                <w:sz w:val="17"/>
                <w:szCs w:val="17"/>
              </w:rPr>
            </w:pPr>
            <w:r>
              <w:rPr>
                <w:sz w:val="17"/>
                <w:szCs w:val="17"/>
              </w:rPr>
              <w:t>0.1</w:t>
            </w:r>
          </w:p>
        </w:tc>
        <w:tc>
          <w:tcPr>
            <w:tcW w:w="227" w:type="dxa"/>
            <w:vAlign w:val="bottom"/>
          </w:tcPr>
          <w:p w14:paraId="48E396FD" w14:textId="77777777" w:rsidR="0041071C" w:rsidRPr="00E754AA" w:rsidRDefault="0041071C" w:rsidP="00C64EDB">
            <w:pPr>
              <w:spacing w:before="40" w:after="40"/>
              <w:rPr>
                <w:sz w:val="17"/>
                <w:szCs w:val="17"/>
              </w:rPr>
            </w:pPr>
          </w:p>
        </w:tc>
        <w:tc>
          <w:tcPr>
            <w:tcW w:w="939" w:type="dxa"/>
            <w:vAlign w:val="bottom"/>
          </w:tcPr>
          <w:p w14:paraId="5E2447F7" w14:textId="77777777" w:rsidR="0041071C" w:rsidRPr="00E754AA" w:rsidRDefault="002A2B1F" w:rsidP="00C64EDB">
            <w:pPr>
              <w:spacing w:before="40" w:after="40"/>
              <w:jc w:val="right"/>
              <w:rPr>
                <w:sz w:val="17"/>
                <w:szCs w:val="17"/>
              </w:rPr>
            </w:pPr>
            <w:r>
              <w:rPr>
                <w:sz w:val="17"/>
                <w:szCs w:val="17"/>
              </w:rPr>
              <w:t>0.1</w:t>
            </w:r>
          </w:p>
        </w:tc>
        <w:tc>
          <w:tcPr>
            <w:tcW w:w="266" w:type="dxa"/>
            <w:vAlign w:val="bottom"/>
          </w:tcPr>
          <w:p w14:paraId="30E9C9B0" w14:textId="77777777" w:rsidR="0041071C" w:rsidRPr="000D2863" w:rsidRDefault="0041071C" w:rsidP="00C64EDB">
            <w:pPr>
              <w:spacing w:before="40" w:after="40"/>
              <w:rPr>
                <w:sz w:val="17"/>
                <w:szCs w:val="17"/>
              </w:rPr>
            </w:pPr>
          </w:p>
        </w:tc>
      </w:tr>
      <w:tr w:rsidR="0041071C" w:rsidRPr="00E834EF" w14:paraId="436CB2F3" w14:textId="77777777" w:rsidTr="008D70E0">
        <w:tc>
          <w:tcPr>
            <w:tcW w:w="3254" w:type="dxa"/>
            <w:vAlign w:val="bottom"/>
          </w:tcPr>
          <w:p w14:paraId="433E852E" w14:textId="77777777" w:rsidR="0041071C" w:rsidRPr="00E754AA" w:rsidRDefault="0041071C" w:rsidP="00C64EDB">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50881013" w14:textId="77777777" w:rsidR="0041071C" w:rsidRPr="00E754AA" w:rsidRDefault="0041071C" w:rsidP="00C64EDB">
            <w:pPr>
              <w:spacing w:before="40" w:after="40"/>
              <w:rPr>
                <w:sz w:val="17"/>
                <w:szCs w:val="17"/>
              </w:rPr>
            </w:pPr>
          </w:p>
        </w:tc>
        <w:tc>
          <w:tcPr>
            <w:tcW w:w="913" w:type="dxa"/>
            <w:vAlign w:val="bottom"/>
          </w:tcPr>
          <w:p w14:paraId="0EDD84FE" w14:textId="77777777" w:rsidR="0041071C" w:rsidRPr="00E754AA" w:rsidRDefault="002A2B1F" w:rsidP="00C64EDB">
            <w:pPr>
              <w:spacing w:before="40" w:after="40"/>
              <w:jc w:val="right"/>
              <w:rPr>
                <w:color w:val="000000"/>
                <w:sz w:val="17"/>
                <w:szCs w:val="17"/>
              </w:rPr>
            </w:pPr>
            <w:r>
              <w:rPr>
                <w:color w:val="000000"/>
                <w:sz w:val="17"/>
                <w:szCs w:val="17"/>
              </w:rPr>
              <w:t>(0.0)</w:t>
            </w:r>
          </w:p>
        </w:tc>
        <w:tc>
          <w:tcPr>
            <w:tcW w:w="252" w:type="dxa"/>
            <w:gridSpan w:val="2"/>
            <w:vAlign w:val="bottom"/>
          </w:tcPr>
          <w:p w14:paraId="6343C0D0" w14:textId="77777777" w:rsidR="0041071C" w:rsidRPr="00E754AA" w:rsidRDefault="0041071C" w:rsidP="00C64EDB">
            <w:pPr>
              <w:spacing w:before="40" w:after="40"/>
              <w:rPr>
                <w:color w:val="000000"/>
                <w:sz w:val="17"/>
                <w:szCs w:val="17"/>
              </w:rPr>
            </w:pPr>
          </w:p>
        </w:tc>
        <w:tc>
          <w:tcPr>
            <w:tcW w:w="924" w:type="dxa"/>
            <w:vAlign w:val="bottom"/>
          </w:tcPr>
          <w:p w14:paraId="3948E2C6" w14:textId="77777777" w:rsidR="0041071C" w:rsidRPr="00E754AA" w:rsidRDefault="002A2B1F" w:rsidP="00C64EDB">
            <w:pPr>
              <w:spacing w:before="40" w:after="40"/>
              <w:jc w:val="right"/>
              <w:rPr>
                <w:color w:val="000000"/>
                <w:sz w:val="17"/>
                <w:szCs w:val="17"/>
              </w:rPr>
            </w:pPr>
            <w:r>
              <w:rPr>
                <w:color w:val="000000"/>
                <w:sz w:val="17"/>
                <w:szCs w:val="17"/>
              </w:rPr>
              <w:t>(0.1)</w:t>
            </w:r>
          </w:p>
        </w:tc>
        <w:tc>
          <w:tcPr>
            <w:tcW w:w="242" w:type="dxa"/>
            <w:vAlign w:val="bottom"/>
          </w:tcPr>
          <w:p w14:paraId="3C309F65" w14:textId="77777777" w:rsidR="0041071C" w:rsidRPr="00E754AA" w:rsidRDefault="0041071C" w:rsidP="00C64EDB">
            <w:pPr>
              <w:spacing w:before="40" w:after="40"/>
              <w:rPr>
                <w:color w:val="000000"/>
                <w:sz w:val="17"/>
                <w:szCs w:val="17"/>
              </w:rPr>
            </w:pPr>
          </w:p>
        </w:tc>
        <w:tc>
          <w:tcPr>
            <w:tcW w:w="924" w:type="dxa"/>
            <w:vAlign w:val="bottom"/>
          </w:tcPr>
          <w:p w14:paraId="305FBAE3" w14:textId="77777777" w:rsidR="0041071C" w:rsidRPr="00E754AA" w:rsidRDefault="002A2B1F" w:rsidP="00C64EDB">
            <w:pPr>
              <w:spacing w:before="40" w:after="40"/>
              <w:jc w:val="right"/>
              <w:rPr>
                <w:color w:val="000000"/>
                <w:sz w:val="17"/>
                <w:szCs w:val="17"/>
              </w:rPr>
            </w:pPr>
            <w:r>
              <w:rPr>
                <w:color w:val="000000"/>
                <w:sz w:val="17"/>
                <w:szCs w:val="17"/>
              </w:rPr>
              <w:t>(0.1)</w:t>
            </w:r>
          </w:p>
        </w:tc>
        <w:tc>
          <w:tcPr>
            <w:tcW w:w="242" w:type="dxa"/>
            <w:vAlign w:val="bottom"/>
          </w:tcPr>
          <w:p w14:paraId="63915E18" w14:textId="77777777" w:rsidR="0041071C" w:rsidRPr="00E754AA" w:rsidRDefault="0041071C" w:rsidP="00C64EDB">
            <w:pPr>
              <w:spacing w:before="40" w:after="40"/>
              <w:rPr>
                <w:sz w:val="17"/>
                <w:szCs w:val="17"/>
              </w:rPr>
            </w:pPr>
          </w:p>
        </w:tc>
        <w:tc>
          <w:tcPr>
            <w:tcW w:w="924" w:type="dxa"/>
            <w:vAlign w:val="bottom"/>
          </w:tcPr>
          <w:p w14:paraId="5AD3B16F" w14:textId="77777777" w:rsidR="0041071C" w:rsidRPr="00E754AA" w:rsidRDefault="002A2B1F" w:rsidP="00C64EDB">
            <w:pPr>
              <w:spacing w:before="40" w:after="40"/>
              <w:jc w:val="right"/>
              <w:rPr>
                <w:sz w:val="17"/>
                <w:szCs w:val="17"/>
              </w:rPr>
            </w:pPr>
            <w:r>
              <w:rPr>
                <w:sz w:val="17"/>
                <w:szCs w:val="17"/>
              </w:rPr>
              <w:t>(0.0)</w:t>
            </w:r>
          </w:p>
        </w:tc>
        <w:tc>
          <w:tcPr>
            <w:tcW w:w="227" w:type="dxa"/>
            <w:vAlign w:val="bottom"/>
          </w:tcPr>
          <w:p w14:paraId="064ACCB0" w14:textId="77777777" w:rsidR="0041071C" w:rsidRPr="00E754AA" w:rsidRDefault="0041071C" w:rsidP="00C64EDB">
            <w:pPr>
              <w:spacing w:before="40" w:after="40"/>
              <w:rPr>
                <w:sz w:val="17"/>
                <w:szCs w:val="17"/>
              </w:rPr>
            </w:pPr>
          </w:p>
        </w:tc>
        <w:tc>
          <w:tcPr>
            <w:tcW w:w="939" w:type="dxa"/>
            <w:vAlign w:val="bottom"/>
          </w:tcPr>
          <w:p w14:paraId="7E9B3BD9" w14:textId="77777777" w:rsidR="0041071C" w:rsidRPr="00E754AA" w:rsidRDefault="002A2B1F" w:rsidP="00C64EDB">
            <w:pPr>
              <w:spacing w:before="40" w:after="40"/>
              <w:jc w:val="right"/>
              <w:rPr>
                <w:sz w:val="17"/>
                <w:szCs w:val="17"/>
              </w:rPr>
            </w:pPr>
            <w:r>
              <w:rPr>
                <w:sz w:val="17"/>
                <w:szCs w:val="17"/>
              </w:rPr>
              <w:t>(0.2)</w:t>
            </w:r>
          </w:p>
        </w:tc>
        <w:tc>
          <w:tcPr>
            <w:tcW w:w="266" w:type="dxa"/>
            <w:vAlign w:val="bottom"/>
          </w:tcPr>
          <w:p w14:paraId="2453F1B7" w14:textId="77777777" w:rsidR="0041071C" w:rsidRPr="000D2863" w:rsidRDefault="0041071C" w:rsidP="00C64EDB">
            <w:pPr>
              <w:spacing w:before="40" w:after="40"/>
              <w:rPr>
                <w:sz w:val="17"/>
                <w:szCs w:val="17"/>
              </w:rPr>
            </w:pPr>
          </w:p>
        </w:tc>
      </w:tr>
      <w:tr w:rsidR="00570400" w:rsidRPr="00E834EF" w14:paraId="76E69FFC" w14:textId="77777777" w:rsidTr="008D70E0">
        <w:tc>
          <w:tcPr>
            <w:tcW w:w="3254" w:type="dxa"/>
            <w:vAlign w:val="center"/>
          </w:tcPr>
          <w:p w14:paraId="3C19FA55" w14:textId="77777777" w:rsidR="00570400" w:rsidRPr="00E754AA" w:rsidRDefault="00570400" w:rsidP="00570400">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4BA5517D" w14:textId="77777777" w:rsidR="00570400" w:rsidRPr="003832A3" w:rsidRDefault="00570400" w:rsidP="00570400">
            <w:pPr>
              <w:spacing w:before="40" w:after="40"/>
              <w:rPr>
                <w:sz w:val="17"/>
                <w:szCs w:val="17"/>
                <w:lang w:val="en-GB"/>
              </w:rPr>
            </w:pPr>
          </w:p>
        </w:tc>
        <w:tc>
          <w:tcPr>
            <w:tcW w:w="913" w:type="dxa"/>
            <w:vAlign w:val="bottom"/>
          </w:tcPr>
          <w:p w14:paraId="2034149C" w14:textId="77777777" w:rsidR="00570400" w:rsidRPr="00E754AA" w:rsidRDefault="00570400" w:rsidP="008C57E0">
            <w:pPr>
              <w:spacing w:before="40" w:after="40"/>
              <w:jc w:val="right"/>
              <w:rPr>
                <w:color w:val="000000"/>
                <w:sz w:val="17"/>
                <w:szCs w:val="17"/>
              </w:rPr>
            </w:pPr>
            <w:r>
              <w:rPr>
                <w:color w:val="000000"/>
                <w:sz w:val="17"/>
                <w:szCs w:val="17"/>
              </w:rPr>
              <w:t>(1.7)</w:t>
            </w:r>
          </w:p>
        </w:tc>
        <w:tc>
          <w:tcPr>
            <w:tcW w:w="252" w:type="dxa"/>
            <w:gridSpan w:val="2"/>
            <w:vAlign w:val="bottom"/>
          </w:tcPr>
          <w:p w14:paraId="0907633E" w14:textId="77777777" w:rsidR="00570400" w:rsidRPr="00E754AA" w:rsidRDefault="00570400" w:rsidP="00570400">
            <w:pPr>
              <w:spacing w:before="40" w:after="40"/>
              <w:rPr>
                <w:color w:val="000000"/>
                <w:sz w:val="17"/>
                <w:szCs w:val="17"/>
              </w:rPr>
            </w:pPr>
          </w:p>
        </w:tc>
        <w:tc>
          <w:tcPr>
            <w:tcW w:w="924" w:type="dxa"/>
            <w:vAlign w:val="bottom"/>
          </w:tcPr>
          <w:p w14:paraId="7B76E855" w14:textId="77777777" w:rsidR="00570400" w:rsidRPr="00E754AA" w:rsidRDefault="00570400" w:rsidP="00570400">
            <w:pPr>
              <w:spacing w:before="40" w:after="40"/>
              <w:jc w:val="right"/>
              <w:rPr>
                <w:color w:val="000000"/>
                <w:sz w:val="17"/>
                <w:szCs w:val="17"/>
              </w:rPr>
            </w:pPr>
            <w:r>
              <w:rPr>
                <w:color w:val="000000"/>
                <w:sz w:val="17"/>
                <w:szCs w:val="17"/>
              </w:rPr>
              <w:t>(1.7)</w:t>
            </w:r>
          </w:p>
        </w:tc>
        <w:tc>
          <w:tcPr>
            <w:tcW w:w="242" w:type="dxa"/>
            <w:vAlign w:val="bottom"/>
          </w:tcPr>
          <w:p w14:paraId="1BBC0888" w14:textId="77777777" w:rsidR="00570400" w:rsidRPr="00E754AA" w:rsidRDefault="00570400" w:rsidP="00570400">
            <w:pPr>
              <w:spacing w:before="40" w:after="40"/>
              <w:rPr>
                <w:color w:val="000000"/>
                <w:sz w:val="17"/>
                <w:szCs w:val="17"/>
              </w:rPr>
            </w:pPr>
          </w:p>
        </w:tc>
        <w:tc>
          <w:tcPr>
            <w:tcW w:w="924" w:type="dxa"/>
            <w:vAlign w:val="bottom"/>
          </w:tcPr>
          <w:p w14:paraId="17A0026E" w14:textId="77777777" w:rsidR="00570400" w:rsidRPr="00E754AA" w:rsidRDefault="00570400" w:rsidP="00570400">
            <w:pPr>
              <w:spacing w:before="40" w:after="40"/>
              <w:jc w:val="right"/>
              <w:rPr>
                <w:color w:val="000000"/>
                <w:sz w:val="17"/>
                <w:szCs w:val="17"/>
              </w:rPr>
            </w:pPr>
            <w:r>
              <w:rPr>
                <w:color w:val="000000"/>
                <w:sz w:val="17"/>
                <w:szCs w:val="17"/>
              </w:rPr>
              <w:t>(1.8)</w:t>
            </w:r>
          </w:p>
        </w:tc>
        <w:tc>
          <w:tcPr>
            <w:tcW w:w="242" w:type="dxa"/>
            <w:vAlign w:val="bottom"/>
          </w:tcPr>
          <w:p w14:paraId="7089F233" w14:textId="77777777" w:rsidR="00570400" w:rsidRPr="00E754AA" w:rsidRDefault="00570400" w:rsidP="00570400">
            <w:pPr>
              <w:spacing w:before="40" w:after="40"/>
              <w:rPr>
                <w:sz w:val="17"/>
                <w:szCs w:val="17"/>
              </w:rPr>
            </w:pPr>
          </w:p>
        </w:tc>
        <w:tc>
          <w:tcPr>
            <w:tcW w:w="924" w:type="dxa"/>
            <w:vAlign w:val="bottom"/>
          </w:tcPr>
          <w:p w14:paraId="771D903A" w14:textId="77777777" w:rsidR="00570400" w:rsidRPr="00E754AA" w:rsidRDefault="00570400" w:rsidP="00570400">
            <w:pPr>
              <w:spacing w:before="40" w:after="40"/>
              <w:jc w:val="right"/>
              <w:rPr>
                <w:sz w:val="17"/>
                <w:szCs w:val="17"/>
              </w:rPr>
            </w:pPr>
            <w:r>
              <w:rPr>
                <w:color w:val="000000"/>
                <w:sz w:val="17"/>
                <w:szCs w:val="17"/>
              </w:rPr>
              <w:t>(1.7)</w:t>
            </w:r>
          </w:p>
        </w:tc>
        <w:tc>
          <w:tcPr>
            <w:tcW w:w="227" w:type="dxa"/>
            <w:vAlign w:val="bottom"/>
          </w:tcPr>
          <w:p w14:paraId="4432EB18" w14:textId="77777777" w:rsidR="00570400" w:rsidRPr="00E754AA" w:rsidRDefault="00570400" w:rsidP="00570400">
            <w:pPr>
              <w:spacing w:before="40" w:after="40"/>
              <w:rPr>
                <w:sz w:val="17"/>
                <w:szCs w:val="17"/>
              </w:rPr>
            </w:pPr>
          </w:p>
        </w:tc>
        <w:tc>
          <w:tcPr>
            <w:tcW w:w="939" w:type="dxa"/>
            <w:vAlign w:val="bottom"/>
          </w:tcPr>
          <w:p w14:paraId="7071D274" w14:textId="77777777" w:rsidR="00570400" w:rsidRPr="00E754AA" w:rsidRDefault="00570400" w:rsidP="00570400">
            <w:pPr>
              <w:spacing w:before="40" w:after="40"/>
              <w:jc w:val="right"/>
              <w:rPr>
                <w:sz w:val="17"/>
                <w:szCs w:val="17"/>
              </w:rPr>
            </w:pPr>
            <w:r>
              <w:rPr>
                <w:color w:val="000000"/>
                <w:sz w:val="17"/>
                <w:szCs w:val="17"/>
              </w:rPr>
              <w:t>(1.8)</w:t>
            </w:r>
          </w:p>
        </w:tc>
        <w:tc>
          <w:tcPr>
            <w:tcW w:w="266" w:type="dxa"/>
            <w:vAlign w:val="bottom"/>
          </w:tcPr>
          <w:p w14:paraId="59A3AB11" w14:textId="77777777" w:rsidR="00570400" w:rsidRPr="000D2863" w:rsidRDefault="00570400" w:rsidP="00570400">
            <w:pPr>
              <w:spacing w:before="40" w:after="40"/>
              <w:rPr>
                <w:sz w:val="17"/>
                <w:szCs w:val="17"/>
              </w:rPr>
            </w:pPr>
          </w:p>
        </w:tc>
      </w:tr>
      <w:tr w:rsidR="00570400" w:rsidRPr="00E834EF" w14:paraId="24F23F4A" w14:textId="77777777" w:rsidTr="008D70E0">
        <w:tc>
          <w:tcPr>
            <w:tcW w:w="3254" w:type="dxa"/>
            <w:vAlign w:val="center"/>
          </w:tcPr>
          <w:p w14:paraId="08948D92" w14:textId="77777777" w:rsidR="00570400" w:rsidRPr="00E754AA" w:rsidRDefault="00570400" w:rsidP="00570400">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4607D9CE" w14:textId="77777777" w:rsidR="00570400" w:rsidRPr="00E834EF" w:rsidRDefault="00570400" w:rsidP="00570400">
            <w:pPr>
              <w:spacing w:before="40" w:after="40"/>
              <w:rPr>
                <w:sz w:val="17"/>
                <w:szCs w:val="17"/>
              </w:rPr>
            </w:pPr>
          </w:p>
        </w:tc>
        <w:tc>
          <w:tcPr>
            <w:tcW w:w="913" w:type="dxa"/>
            <w:vAlign w:val="bottom"/>
          </w:tcPr>
          <w:p w14:paraId="363B7D6B" w14:textId="77777777" w:rsidR="00570400" w:rsidRPr="00E754AA" w:rsidRDefault="00570400" w:rsidP="00570400">
            <w:pPr>
              <w:spacing w:before="40" w:after="40"/>
              <w:jc w:val="right"/>
              <w:rPr>
                <w:color w:val="000000"/>
                <w:sz w:val="17"/>
                <w:szCs w:val="17"/>
              </w:rPr>
            </w:pPr>
            <w:r>
              <w:rPr>
                <w:color w:val="000000"/>
                <w:sz w:val="17"/>
                <w:szCs w:val="17"/>
              </w:rPr>
              <w:t>(8.3)</w:t>
            </w:r>
          </w:p>
        </w:tc>
        <w:tc>
          <w:tcPr>
            <w:tcW w:w="252" w:type="dxa"/>
            <w:gridSpan w:val="2"/>
            <w:vAlign w:val="bottom"/>
          </w:tcPr>
          <w:p w14:paraId="23473396" w14:textId="77777777" w:rsidR="00570400" w:rsidRPr="00E754AA" w:rsidRDefault="00570400" w:rsidP="00570400">
            <w:pPr>
              <w:spacing w:before="40" w:after="40"/>
              <w:rPr>
                <w:color w:val="000000"/>
                <w:sz w:val="17"/>
                <w:szCs w:val="17"/>
              </w:rPr>
            </w:pPr>
          </w:p>
        </w:tc>
        <w:tc>
          <w:tcPr>
            <w:tcW w:w="924" w:type="dxa"/>
            <w:vAlign w:val="bottom"/>
          </w:tcPr>
          <w:p w14:paraId="7D92C06E" w14:textId="77777777" w:rsidR="00570400" w:rsidRPr="00E754AA" w:rsidRDefault="00570400" w:rsidP="00570400">
            <w:pPr>
              <w:spacing w:before="40" w:after="40"/>
              <w:jc w:val="right"/>
              <w:rPr>
                <w:color w:val="000000"/>
                <w:sz w:val="17"/>
                <w:szCs w:val="17"/>
              </w:rPr>
            </w:pPr>
            <w:r>
              <w:rPr>
                <w:color w:val="000000"/>
                <w:sz w:val="17"/>
                <w:szCs w:val="17"/>
              </w:rPr>
              <w:t>(10.6)</w:t>
            </w:r>
          </w:p>
        </w:tc>
        <w:tc>
          <w:tcPr>
            <w:tcW w:w="242" w:type="dxa"/>
            <w:vAlign w:val="bottom"/>
          </w:tcPr>
          <w:p w14:paraId="01ED2BFC" w14:textId="77777777" w:rsidR="00570400" w:rsidRPr="00E754AA" w:rsidRDefault="00570400" w:rsidP="00570400">
            <w:pPr>
              <w:spacing w:before="40" w:after="40"/>
              <w:rPr>
                <w:color w:val="000000"/>
                <w:sz w:val="17"/>
                <w:szCs w:val="17"/>
              </w:rPr>
            </w:pPr>
          </w:p>
        </w:tc>
        <w:tc>
          <w:tcPr>
            <w:tcW w:w="924" w:type="dxa"/>
            <w:vAlign w:val="bottom"/>
          </w:tcPr>
          <w:p w14:paraId="02BD04F1" w14:textId="77777777" w:rsidR="00570400" w:rsidRPr="00E754AA" w:rsidRDefault="00570400" w:rsidP="00570400">
            <w:pPr>
              <w:spacing w:before="40" w:after="40"/>
              <w:jc w:val="right"/>
              <w:rPr>
                <w:color w:val="000000"/>
                <w:sz w:val="17"/>
                <w:szCs w:val="17"/>
              </w:rPr>
            </w:pPr>
            <w:r>
              <w:rPr>
                <w:color w:val="000000"/>
                <w:sz w:val="17"/>
                <w:szCs w:val="17"/>
              </w:rPr>
              <w:t>(12.4)</w:t>
            </w:r>
          </w:p>
        </w:tc>
        <w:tc>
          <w:tcPr>
            <w:tcW w:w="242" w:type="dxa"/>
            <w:vAlign w:val="bottom"/>
          </w:tcPr>
          <w:p w14:paraId="28735358" w14:textId="77777777" w:rsidR="00570400" w:rsidRPr="00E754AA" w:rsidRDefault="00570400" w:rsidP="00570400">
            <w:pPr>
              <w:spacing w:before="40" w:after="40"/>
              <w:rPr>
                <w:sz w:val="17"/>
                <w:szCs w:val="17"/>
              </w:rPr>
            </w:pPr>
          </w:p>
        </w:tc>
        <w:tc>
          <w:tcPr>
            <w:tcW w:w="924" w:type="dxa"/>
            <w:vAlign w:val="bottom"/>
          </w:tcPr>
          <w:p w14:paraId="6B510D82" w14:textId="77777777" w:rsidR="00570400" w:rsidRPr="00E754AA" w:rsidRDefault="00570400" w:rsidP="00570400">
            <w:pPr>
              <w:spacing w:before="40" w:after="40"/>
              <w:jc w:val="right"/>
              <w:rPr>
                <w:sz w:val="17"/>
                <w:szCs w:val="17"/>
              </w:rPr>
            </w:pPr>
            <w:r>
              <w:rPr>
                <w:sz w:val="17"/>
                <w:szCs w:val="17"/>
              </w:rPr>
              <w:t>(7.7)</w:t>
            </w:r>
          </w:p>
        </w:tc>
        <w:tc>
          <w:tcPr>
            <w:tcW w:w="227" w:type="dxa"/>
            <w:vAlign w:val="bottom"/>
          </w:tcPr>
          <w:p w14:paraId="1F8035C8" w14:textId="77777777" w:rsidR="00570400" w:rsidRPr="00E754AA" w:rsidRDefault="00570400" w:rsidP="00570400">
            <w:pPr>
              <w:spacing w:before="40" w:after="40"/>
              <w:rPr>
                <w:sz w:val="17"/>
                <w:szCs w:val="17"/>
              </w:rPr>
            </w:pPr>
          </w:p>
        </w:tc>
        <w:tc>
          <w:tcPr>
            <w:tcW w:w="939" w:type="dxa"/>
            <w:vAlign w:val="bottom"/>
          </w:tcPr>
          <w:p w14:paraId="149BEF62" w14:textId="77777777" w:rsidR="00570400" w:rsidRPr="00E754AA" w:rsidRDefault="00570400" w:rsidP="00570400">
            <w:pPr>
              <w:spacing w:before="40" w:after="40"/>
              <w:jc w:val="right"/>
              <w:rPr>
                <w:sz w:val="17"/>
                <w:szCs w:val="17"/>
              </w:rPr>
            </w:pPr>
            <w:r>
              <w:rPr>
                <w:sz w:val="17"/>
                <w:szCs w:val="17"/>
              </w:rPr>
              <w:t>(10.9)</w:t>
            </w:r>
          </w:p>
        </w:tc>
        <w:tc>
          <w:tcPr>
            <w:tcW w:w="266" w:type="dxa"/>
            <w:vAlign w:val="bottom"/>
          </w:tcPr>
          <w:p w14:paraId="3D3B3F25" w14:textId="77777777" w:rsidR="00570400" w:rsidRPr="000D2863" w:rsidRDefault="00570400" w:rsidP="00570400">
            <w:pPr>
              <w:spacing w:before="40" w:after="40"/>
              <w:rPr>
                <w:sz w:val="17"/>
                <w:szCs w:val="17"/>
              </w:rPr>
            </w:pPr>
          </w:p>
        </w:tc>
      </w:tr>
      <w:tr w:rsidR="00570400" w:rsidRPr="00E834EF" w14:paraId="072B980D" w14:textId="77777777" w:rsidTr="008D70E0">
        <w:tc>
          <w:tcPr>
            <w:tcW w:w="3254" w:type="dxa"/>
            <w:vAlign w:val="center"/>
          </w:tcPr>
          <w:p w14:paraId="7C72D358" w14:textId="77777777" w:rsidR="00570400" w:rsidRPr="00E754AA" w:rsidRDefault="00570400" w:rsidP="00570400">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5C22D286" w14:textId="77777777" w:rsidR="00570400" w:rsidRPr="00E834EF" w:rsidRDefault="00570400" w:rsidP="00570400">
            <w:pPr>
              <w:spacing w:before="40" w:after="40"/>
              <w:rPr>
                <w:sz w:val="17"/>
                <w:szCs w:val="17"/>
              </w:rPr>
            </w:pPr>
          </w:p>
        </w:tc>
        <w:tc>
          <w:tcPr>
            <w:tcW w:w="913" w:type="dxa"/>
            <w:vAlign w:val="bottom"/>
          </w:tcPr>
          <w:p w14:paraId="3EF34CC0" w14:textId="77777777" w:rsidR="00570400" w:rsidRPr="00E754AA" w:rsidRDefault="00570400" w:rsidP="00570400">
            <w:pPr>
              <w:spacing w:before="40" w:after="40"/>
              <w:jc w:val="right"/>
              <w:rPr>
                <w:color w:val="000000"/>
                <w:sz w:val="17"/>
                <w:szCs w:val="17"/>
              </w:rPr>
            </w:pPr>
            <w:r w:rsidRPr="00DB3F11">
              <w:rPr>
                <w:sz w:val="16"/>
                <w:szCs w:val="16"/>
              </w:rPr>
              <w:t>—</w:t>
            </w:r>
          </w:p>
        </w:tc>
        <w:tc>
          <w:tcPr>
            <w:tcW w:w="252" w:type="dxa"/>
            <w:gridSpan w:val="2"/>
            <w:vAlign w:val="bottom"/>
          </w:tcPr>
          <w:p w14:paraId="16D43513" w14:textId="77777777" w:rsidR="00570400" w:rsidRPr="00E754AA" w:rsidRDefault="00570400" w:rsidP="00570400">
            <w:pPr>
              <w:spacing w:before="40" w:after="40"/>
              <w:rPr>
                <w:color w:val="000000"/>
                <w:sz w:val="17"/>
                <w:szCs w:val="17"/>
              </w:rPr>
            </w:pPr>
          </w:p>
        </w:tc>
        <w:tc>
          <w:tcPr>
            <w:tcW w:w="924" w:type="dxa"/>
            <w:vAlign w:val="bottom"/>
          </w:tcPr>
          <w:p w14:paraId="6604CCC7" w14:textId="77777777" w:rsidR="00570400" w:rsidRPr="00E754AA" w:rsidRDefault="00570400" w:rsidP="00570400">
            <w:pPr>
              <w:spacing w:before="40" w:after="40"/>
              <w:jc w:val="right"/>
              <w:rPr>
                <w:color w:val="000000"/>
                <w:sz w:val="17"/>
                <w:szCs w:val="17"/>
              </w:rPr>
            </w:pPr>
            <w:r w:rsidRPr="00DB3F11">
              <w:rPr>
                <w:sz w:val="16"/>
                <w:szCs w:val="16"/>
              </w:rPr>
              <w:t>—</w:t>
            </w:r>
          </w:p>
        </w:tc>
        <w:tc>
          <w:tcPr>
            <w:tcW w:w="242" w:type="dxa"/>
            <w:vAlign w:val="bottom"/>
          </w:tcPr>
          <w:p w14:paraId="6130D4F1" w14:textId="77777777" w:rsidR="00570400" w:rsidRPr="00E754AA" w:rsidRDefault="00570400" w:rsidP="00570400">
            <w:pPr>
              <w:spacing w:before="40" w:after="40"/>
              <w:rPr>
                <w:color w:val="000000"/>
                <w:sz w:val="17"/>
                <w:szCs w:val="17"/>
              </w:rPr>
            </w:pPr>
          </w:p>
        </w:tc>
        <w:tc>
          <w:tcPr>
            <w:tcW w:w="924" w:type="dxa"/>
            <w:vAlign w:val="bottom"/>
          </w:tcPr>
          <w:p w14:paraId="29661BE9" w14:textId="77777777" w:rsidR="00570400" w:rsidRPr="00E754AA" w:rsidRDefault="00570400" w:rsidP="00570400">
            <w:pPr>
              <w:spacing w:before="40" w:after="40"/>
              <w:jc w:val="right"/>
              <w:rPr>
                <w:color w:val="000000"/>
                <w:sz w:val="17"/>
                <w:szCs w:val="17"/>
              </w:rPr>
            </w:pPr>
            <w:r w:rsidRPr="00DB3F11">
              <w:rPr>
                <w:sz w:val="16"/>
                <w:szCs w:val="16"/>
              </w:rPr>
              <w:t>—</w:t>
            </w:r>
          </w:p>
        </w:tc>
        <w:tc>
          <w:tcPr>
            <w:tcW w:w="242" w:type="dxa"/>
            <w:vAlign w:val="bottom"/>
          </w:tcPr>
          <w:p w14:paraId="4D4984DF" w14:textId="77777777" w:rsidR="00570400" w:rsidRPr="00E754AA" w:rsidRDefault="00570400" w:rsidP="00570400">
            <w:pPr>
              <w:spacing w:before="40" w:after="40"/>
              <w:rPr>
                <w:sz w:val="17"/>
                <w:szCs w:val="17"/>
              </w:rPr>
            </w:pPr>
          </w:p>
        </w:tc>
        <w:tc>
          <w:tcPr>
            <w:tcW w:w="924" w:type="dxa"/>
            <w:vAlign w:val="bottom"/>
          </w:tcPr>
          <w:p w14:paraId="187B46F1" w14:textId="77777777" w:rsidR="00570400" w:rsidRPr="00E754AA" w:rsidRDefault="00570400" w:rsidP="00570400">
            <w:pPr>
              <w:spacing w:before="40" w:after="40"/>
              <w:jc w:val="right"/>
              <w:rPr>
                <w:sz w:val="17"/>
                <w:szCs w:val="17"/>
              </w:rPr>
            </w:pPr>
            <w:r w:rsidRPr="00DB3F11">
              <w:rPr>
                <w:sz w:val="16"/>
                <w:szCs w:val="16"/>
              </w:rPr>
              <w:t>—</w:t>
            </w:r>
          </w:p>
        </w:tc>
        <w:tc>
          <w:tcPr>
            <w:tcW w:w="227" w:type="dxa"/>
            <w:vAlign w:val="bottom"/>
          </w:tcPr>
          <w:p w14:paraId="4C5D3C8E" w14:textId="77777777" w:rsidR="00570400" w:rsidRPr="00E754AA" w:rsidRDefault="00570400" w:rsidP="00570400">
            <w:pPr>
              <w:spacing w:before="40" w:after="40"/>
              <w:rPr>
                <w:sz w:val="17"/>
                <w:szCs w:val="17"/>
              </w:rPr>
            </w:pPr>
          </w:p>
        </w:tc>
        <w:tc>
          <w:tcPr>
            <w:tcW w:w="939" w:type="dxa"/>
            <w:vAlign w:val="bottom"/>
          </w:tcPr>
          <w:p w14:paraId="2FE8E57C" w14:textId="77777777" w:rsidR="00570400" w:rsidRPr="00E754AA" w:rsidRDefault="00570400" w:rsidP="00570400">
            <w:pPr>
              <w:spacing w:before="40" w:after="40"/>
              <w:jc w:val="right"/>
              <w:rPr>
                <w:sz w:val="17"/>
                <w:szCs w:val="17"/>
              </w:rPr>
            </w:pPr>
            <w:r w:rsidRPr="00DB3F11">
              <w:rPr>
                <w:sz w:val="16"/>
                <w:szCs w:val="16"/>
              </w:rPr>
              <w:t>—</w:t>
            </w:r>
          </w:p>
        </w:tc>
        <w:tc>
          <w:tcPr>
            <w:tcW w:w="266" w:type="dxa"/>
            <w:vAlign w:val="bottom"/>
          </w:tcPr>
          <w:p w14:paraId="14B88DFB" w14:textId="77777777" w:rsidR="00570400" w:rsidRPr="000D2863" w:rsidRDefault="00570400" w:rsidP="00570400">
            <w:pPr>
              <w:spacing w:before="40" w:after="40"/>
              <w:rPr>
                <w:sz w:val="17"/>
                <w:szCs w:val="17"/>
              </w:rPr>
            </w:pPr>
          </w:p>
        </w:tc>
      </w:tr>
      <w:tr w:rsidR="00570400" w:rsidRPr="00E834EF" w14:paraId="354DBCEC" w14:textId="77777777" w:rsidTr="008D70E0">
        <w:tc>
          <w:tcPr>
            <w:tcW w:w="3254" w:type="dxa"/>
            <w:vAlign w:val="center"/>
          </w:tcPr>
          <w:p w14:paraId="2E74D13D" w14:textId="77777777" w:rsidR="00570400" w:rsidRDefault="00570400" w:rsidP="00570400">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528BD292" w14:textId="77777777" w:rsidR="00570400" w:rsidRPr="00E834EF" w:rsidRDefault="00570400" w:rsidP="00570400">
            <w:pPr>
              <w:spacing w:before="40" w:after="40"/>
              <w:rPr>
                <w:sz w:val="17"/>
                <w:szCs w:val="17"/>
              </w:rPr>
            </w:pPr>
          </w:p>
        </w:tc>
        <w:tc>
          <w:tcPr>
            <w:tcW w:w="913" w:type="dxa"/>
            <w:vAlign w:val="bottom"/>
          </w:tcPr>
          <w:p w14:paraId="591A1AD5" w14:textId="77777777" w:rsidR="00570400" w:rsidRPr="000D2863" w:rsidRDefault="00570400" w:rsidP="00570400">
            <w:pPr>
              <w:spacing w:before="40" w:after="40"/>
              <w:jc w:val="right"/>
              <w:rPr>
                <w:color w:val="000000"/>
                <w:sz w:val="17"/>
                <w:szCs w:val="17"/>
              </w:rPr>
            </w:pPr>
            <w:r>
              <w:rPr>
                <w:color w:val="000000"/>
                <w:sz w:val="17"/>
                <w:szCs w:val="17"/>
              </w:rPr>
              <w:t>0.3</w:t>
            </w:r>
          </w:p>
        </w:tc>
        <w:tc>
          <w:tcPr>
            <w:tcW w:w="252" w:type="dxa"/>
            <w:gridSpan w:val="2"/>
            <w:vAlign w:val="bottom"/>
          </w:tcPr>
          <w:p w14:paraId="59843784" w14:textId="77777777" w:rsidR="00570400" w:rsidRPr="000D2863" w:rsidRDefault="00570400" w:rsidP="00570400">
            <w:pPr>
              <w:spacing w:before="40" w:after="40"/>
              <w:rPr>
                <w:color w:val="000000"/>
                <w:sz w:val="17"/>
                <w:szCs w:val="17"/>
              </w:rPr>
            </w:pPr>
          </w:p>
        </w:tc>
        <w:tc>
          <w:tcPr>
            <w:tcW w:w="924" w:type="dxa"/>
            <w:vAlign w:val="bottom"/>
          </w:tcPr>
          <w:p w14:paraId="4052B080" w14:textId="77777777" w:rsidR="00570400" w:rsidRPr="000D2863" w:rsidRDefault="00570400" w:rsidP="00570400">
            <w:pPr>
              <w:spacing w:before="40" w:after="40"/>
              <w:jc w:val="right"/>
              <w:rPr>
                <w:color w:val="000000"/>
                <w:sz w:val="17"/>
                <w:szCs w:val="17"/>
              </w:rPr>
            </w:pPr>
            <w:r>
              <w:rPr>
                <w:color w:val="000000"/>
                <w:sz w:val="17"/>
                <w:szCs w:val="17"/>
              </w:rPr>
              <w:t>0.3</w:t>
            </w:r>
          </w:p>
        </w:tc>
        <w:tc>
          <w:tcPr>
            <w:tcW w:w="242" w:type="dxa"/>
            <w:vAlign w:val="bottom"/>
          </w:tcPr>
          <w:p w14:paraId="3F49E768" w14:textId="77777777" w:rsidR="00570400" w:rsidRPr="000D2863" w:rsidRDefault="00570400" w:rsidP="00570400">
            <w:pPr>
              <w:spacing w:before="40" w:after="40"/>
              <w:rPr>
                <w:color w:val="000000"/>
                <w:sz w:val="17"/>
                <w:szCs w:val="17"/>
              </w:rPr>
            </w:pPr>
          </w:p>
        </w:tc>
        <w:tc>
          <w:tcPr>
            <w:tcW w:w="924" w:type="dxa"/>
            <w:vAlign w:val="bottom"/>
          </w:tcPr>
          <w:p w14:paraId="113F5082" w14:textId="77777777" w:rsidR="00570400" w:rsidRPr="000D2863" w:rsidRDefault="00570400" w:rsidP="00570400">
            <w:pPr>
              <w:spacing w:before="40" w:after="40"/>
              <w:jc w:val="right"/>
              <w:rPr>
                <w:color w:val="000000"/>
                <w:sz w:val="17"/>
                <w:szCs w:val="17"/>
              </w:rPr>
            </w:pPr>
            <w:r>
              <w:rPr>
                <w:color w:val="000000"/>
                <w:sz w:val="17"/>
                <w:szCs w:val="17"/>
              </w:rPr>
              <w:t>0.2</w:t>
            </w:r>
          </w:p>
        </w:tc>
        <w:tc>
          <w:tcPr>
            <w:tcW w:w="242" w:type="dxa"/>
            <w:vAlign w:val="bottom"/>
          </w:tcPr>
          <w:p w14:paraId="450048E4" w14:textId="77777777" w:rsidR="00570400" w:rsidRPr="000D2863" w:rsidRDefault="00570400" w:rsidP="00570400">
            <w:pPr>
              <w:spacing w:before="40" w:after="40"/>
              <w:rPr>
                <w:sz w:val="17"/>
                <w:szCs w:val="17"/>
              </w:rPr>
            </w:pPr>
          </w:p>
        </w:tc>
        <w:tc>
          <w:tcPr>
            <w:tcW w:w="924" w:type="dxa"/>
            <w:vAlign w:val="bottom"/>
          </w:tcPr>
          <w:p w14:paraId="36F93F7A" w14:textId="77777777" w:rsidR="00570400" w:rsidRPr="000D2863" w:rsidRDefault="00570400" w:rsidP="00570400">
            <w:pPr>
              <w:spacing w:before="40" w:after="40"/>
              <w:jc w:val="right"/>
              <w:rPr>
                <w:sz w:val="17"/>
                <w:szCs w:val="17"/>
              </w:rPr>
            </w:pPr>
            <w:r>
              <w:rPr>
                <w:sz w:val="17"/>
                <w:szCs w:val="17"/>
              </w:rPr>
              <w:t>0.2</w:t>
            </w:r>
          </w:p>
        </w:tc>
        <w:tc>
          <w:tcPr>
            <w:tcW w:w="227" w:type="dxa"/>
            <w:vAlign w:val="bottom"/>
          </w:tcPr>
          <w:p w14:paraId="1304ED56" w14:textId="77777777" w:rsidR="00570400" w:rsidRPr="000D2863" w:rsidRDefault="00570400" w:rsidP="00570400">
            <w:pPr>
              <w:spacing w:before="40" w:after="40"/>
              <w:rPr>
                <w:sz w:val="17"/>
                <w:szCs w:val="17"/>
              </w:rPr>
            </w:pPr>
          </w:p>
        </w:tc>
        <w:tc>
          <w:tcPr>
            <w:tcW w:w="939" w:type="dxa"/>
            <w:vAlign w:val="bottom"/>
          </w:tcPr>
          <w:p w14:paraId="3F11B0B1" w14:textId="77777777" w:rsidR="00570400" w:rsidRPr="000D2863" w:rsidRDefault="00570400" w:rsidP="00570400">
            <w:pPr>
              <w:spacing w:before="40" w:after="40"/>
              <w:jc w:val="right"/>
              <w:rPr>
                <w:sz w:val="17"/>
                <w:szCs w:val="17"/>
              </w:rPr>
            </w:pPr>
            <w:r>
              <w:rPr>
                <w:sz w:val="17"/>
                <w:szCs w:val="17"/>
              </w:rPr>
              <w:t>0.2</w:t>
            </w:r>
          </w:p>
        </w:tc>
        <w:tc>
          <w:tcPr>
            <w:tcW w:w="266" w:type="dxa"/>
            <w:vAlign w:val="bottom"/>
          </w:tcPr>
          <w:p w14:paraId="24B455D6" w14:textId="77777777" w:rsidR="00570400" w:rsidRPr="000D2863" w:rsidRDefault="00570400" w:rsidP="00570400">
            <w:pPr>
              <w:spacing w:before="40" w:after="40"/>
              <w:rPr>
                <w:sz w:val="17"/>
                <w:szCs w:val="17"/>
              </w:rPr>
            </w:pPr>
          </w:p>
        </w:tc>
      </w:tr>
      <w:tr w:rsidR="00570400" w:rsidRPr="00E834EF" w14:paraId="6097046A" w14:textId="77777777" w:rsidTr="008D70E0">
        <w:tc>
          <w:tcPr>
            <w:tcW w:w="3254" w:type="dxa"/>
          </w:tcPr>
          <w:p w14:paraId="02557CD5" w14:textId="77777777" w:rsidR="00570400" w:rsidRDefault="00570400" w:rsidP="00570400">
            <w:pPr>
              <w:tabs>
                <w:tab w:val="right" w:leader="dot" w:pos="3255"/>
              </w:tabs>
              <w:bidi/>
              <w:spacing w:before="40" w:after="40"/>
              <w:rPr>
                <w:b/>
                <w:bCs/>
                <w:sz w:val="17"/>
                <w:szCs w:val="17"/>
                <w:u w:val="single"/>
              </w:rPr>
            </w:pPr>
            <w:r w:rsidRPr="00272B36">
              <w:rPr>
                <w:rFonts w:hint="eastAsia"/>
                <w:b/>
                <w:bCs/>
                <w:szCs w:val="17"/>
                <w:rtl/>
              </w:rPr>
              <w:lastRenderedPageBreak/>
              <w:t>الأرباح</w:t>
            </w:r>
            <w:r w:rsidRPr="00272B36">
              <w:rPr>
                <w:b/>
                <w:bCs/>
                <w:szCs w:val="17"/>
                <w:rtl/>
              </w:rPr>
              <w:t xml:space="preserve"> قبل حساب الفوائد والضرائب والإهلاك والإطفاء </w:t>
            </w:r>
            <w:r w:rsidRPr="007D2480">
              <w:rPr>
                <w:sz w:val="17"/>
              </w:rPr>
              <w:tab/>
            </w:r>
          </w:p>
        </w:tc>
        <w:tc>
          <w:tcPr>
            <w:tcW w:w="242" w:type="dxa"/>
            <w:vAlign w:val="bottom"/>
          </w:tcPr>
          <w:p w14:paraId="24A2BBB7" w14:textId="77777777" w:rsidR="00570400" w:rsidRPr="00E834EF" w:rsidRDefault="00570400" w:rsidP="00570400">
            <w:pPr>
              <w:spacing w:before="40" w:after="40"/>
              <w:rPr>
                <w:sz w:val="17"/>
                <w:szCs w:val="17"/>
              </w:rPr>
            </w:pPr>
          </w:p>
        </w:tc>
        <w:tc>
          <w:tcPr>
            <w:tcW w:w="913" w:type="dxa"/>
          </w:tcPr>
          <w:p w14:paraId="12082823" w14:textId="1A75F3E7" w:rsidR="00570400" w:rsidRPr="002163D4" w:rsidRDefault="00570400" w:rsidP="00570400">
            <w:pPr>
              <w:spacing w:before="40" w:after="40"/>
              <w:jc w:val="right"/>
              <w:rPr>
                <w:b/>
                <w:bCs/>
                <w:color w:val="000000"/>
                <w:sz w:val="16"/>
                <w:szCs w:val="16"/>
              </w:rPr>
            </w:pPr>
            <w:r>
              <w:rPr>
                <w:sz w:val="16"/>
                <w:szCs w:val="16"/>
              </w:rPr>
              <w:t>(8.</w:t>
            </w:r>
            <w:r w:rsidR="0063661E">
              <w:rPr>
                <w:sz w:val="16"/>
                <w:szCs w:val="16"/>
              </w:rPr>
              <w:t>7</w:t>
            </w:r>
            <w:r>
              <w:rPr>
                <w:sz w:val="16"/>
                <w:szCs w:val="16"/>
              </w:rPr>
              <w:t>)</w:t>
            </w:r>
          </w:p>
        </w:tc>
        <w:tc>
          <w:tcPr>
            <w:tcW w:w="252" w:type="dxa"/>
            <w:gridSpan w:val="2"/>
            <w:vAlign w:val="bottom"/>
          </w:tcPr>
          <w:p w14:paraId="5DF88A39" w14:textId="77777777" w:rsidR="00570400" w:rsidRPr="002163D4" w:rsidRDefault="00570400" w:rsidP="00570400">
            <w:pPr>
              <w:spacing w:before="40" w:after="40"/>
              <w:rPr>
                <w:b/>
                <w:bCs/>
                <w:color w:val="000000"/>
                <w:sz w:val="16"/>
                <w:szCs w:val="16"/>
              </w:rPr>
            </w:pPr>
          </w:p>
        </w:tc>
        <w:tc>
          <w:tcPr>
            <w:tcW w:w="924" w:type="dxa"/>
          </w:tcPr>
          <w:p w14:paraId="22DB9FCD" w14:textId="77777777" w:rsidR="00570400" w:rsidRPr="002163D4" w:rsidRDefault="00570400" w:rsidP="00570400">
            <w:pPr>
              <w:spacing w:before="40" w:after="40"/>
              <w:jc w:val="right"/>
              <w:rPr>
                <w:b/>
                <w:bCs/>
                <w:color w:val="000000"/>
                <w:sz w:val="16"/>
                <w:szCs w:val="16"/>
              </w:rPr>
            </w:pPr>
            <w:r>
              <w:rPr>
                <w:sz w:val="16"/>
                <w:szCs w:val="16"/>
              </w:rPr>
              <w:t>(10.1)</w:t>
            </w:r>
          </w:p>
        </w:tc>
        <w:tc>
          <w:tcPr>
            <w:tcW w:w="242" w:type="dxa"/>
            <w:vAlign w:val="bottom"/>
          </w:tcPr>
          <w:p w14:paraId="5E8E2EF2" w14:textId="77777777" w:rsidR="00570400" w:rsidRPr="002163D4" w:rsidRDefault="00570400" w:rsidP="00570400">
            <w:pPr>
              <w:spacing w:before="40" w:after="40"/>
              <w:rPr>
                <w:b/>
                <w:bCs/>
                <w:color w:val="000000"/>
                <w:sz w:val="16"/>
                <w:szCs w:val="16"/>
              </w:rPr>
            </w:pPr>
          </w:p>
        </w:tc>
        <w:tc>
          <w:tcPr>
            <w:tcW w:w="924" w:type="dxa"/>
          </w:tcPr>
          <w:p w14:paraId="0FABF1F4" w14:textId="77777777" w:rsidR="00570400" w:rsidRPr="002163D4" w:rsidRDefault="00570400" w:rsidP="00570400">
            <w:pPr>
              <w:spacing w:before="40" w:after="40"/>
              <w:jc w:val="right"/>
              <w:rPr>
                <w:b/>
                <w:bCs/>
                <w:color w:val="000000"/>
                <w:sz w:val="16"/>
                <w:szCs w:val="16"/>
              </w:rPr>
            </w:pPr>
            <w:r>
              <w:rPr>
                <w:sz w:val="16"/>
                <w:szCs w:val="16"/>
              </w:rPr>
              <w:t>(12.8)</w:t>
            </w:r>
          </w:p>
        </w:tc>
        <w:tc>
          <w:tcPr>
            <w:tcW w:w="242" w:type="dxa"/>
            <w:vAlign w:val="bottom"/>
          </w:tcPr>
          <w:p w14:paraId="526DD0AA" w14:textId="77777777" w:rsidR="00570400" w:rsidRPr="002163D4" w:rsidRDefault="00570400" w:rsidP="00570400">
            <w:pPr>
              <w:spacing w:before="40" w:after="40"/>
              <w:rPr>
                <w:b/>
                <w:bCs/>
                <w:sz w:val="16"/>
                <w:szCs w:val="16"/>
              </w:rPr>
            </w:pPr>
          </w:p>
        </w:tc>
        <w:tc>
          <w:tcPr>
            <w:tcW w:w="924" w:type="dxa"/>
          </w:tcPr>
          <w:p w14:paraId="59EAFE58" w14:textId="77777777" w:rsidR="00570400" w:rsidRPr="002163D4" w:rsidRDefault="00570400" w:rsidP="00570400">
            <w:pPr>
              <w:spacing w:before="40" w:after="40"/>
              <w:jc w:val="right"/>
              <w:rPr>
                <w:b/>
                <w:bCs/>
                <w:sz w:val="16"/>
                <w:szCs w:val="16"/>
              </w:rPr>
            </w:pPr>
            <w:r>
              <w:rPr>
                <w:sz w:val="16"/>
                <w:szCs w:val="16"/>
              </w:rPr>
              <w:t>(8.2)</w:t>
            </w:r>
          </w:p>
        </w:tc>
        <w:tc>
          <w:tcPr>
            <w:tcW w:w="227" w:type="dxa"/>
            <w:vAlign w:val="bottom"/>
          </w:tcPr>
          <w:p w14:paraId="272C6816" w14:textId="77777777" w:rsidR="00570400" w:rsidRPr="002163D4" w:rsidRDefault="00570400" w:rsidP="00570400">
            <w:pPr>
              <w:spacing w:before="40" w:after="40"/>
              <w:rPr>
                <w:b/>
                <w:bCs/>
                <w:sz w:val="16"/>
                <w:szCs w:val="16"/>
              </w:rPr>
            </w:pPr>
          </w:p>
        </w:tc>
        <w:tc>
          <w:tcPr>
            <w:tcW w:w="939" w:type="dxa"/>
          </w:tcPr>
          <w:p w14:paraId="6DA1DFF8" w14:textId="77777777" w:rsidR="00570400" w:rsidRPr="002163D4" w:rsidRDefault="00570400" w:rsidP="00570400">
            <w:pPr>
              <w:spacing w:before="40" w:after="40"/>
              <w:jc w:val="right"/>
              <w:rPr>
                <w:b/>
                <w:bCs/>
                <w:sz w:val="16"/>
                <w:szCs w:val="16"/>
              </w:rPr>
            </w:pPr>
            <w:r>
              <w:rPr>
                <w:sz w:val="16"/>
                <w:szCs w:val="16"/>
              </w:rPr>
              <w:t>(11.2)</w:t>
            </w:r>
          </w:p>
        </w:tc>
        <w:tc>
          <w:tcPr>
            <w:tcW w:w="266" w:type="dxa"/>
            <w:vAlign w:val="bottom"/>
          </w:tcPr>
          <w:p w14:paraId="761A0DF9" w14:textId="77777777" w:rsidR="00570400" w:rsidRPr="000D2863" w:rsidRDefault="00570400" w:rsidP="00570400">
            <w:pPr>
              <w:spacing w:before="40" w:after="40"/>
              <w:rPr>
                <w:b/>
                <w:bCs/>
                <w:sz w:val="17"/>
                <w:szCs w:val="17"/>
              </w:rPr>
            </w:pPr>
          </w:p>
        </w:tc>
      </w:tr>
    </w:tbl>
    <w:p w14:paraId="1C913332" w14:textId="77777777" w:rsidR="0041071C" w:rsidRDefault="0041071C" w:rsidP="0041071C">
      <w:pPr>
        <w:autoSpaceDE w:val="0"/>
        <w:autoSpaceDN w:val="0"/>
        <w:bidi/>
        <w:adjustRightInd w:val="0"/>
        <w:jc w:val="both"/>
        <w:rPr>
          <w:rFonts w:ascii="Traditional Arabic" w:hAnsi="Traditional Arabic" w:cs="Traditional Arabic"/>
          <w:sz w:val="30"/>
          <w:szCs w:val="30"/>
          <w:lang w:bidi="ar-EG"/>
        </w:rPr>
      </w:pPr>
    </w:p>
    <w:p w14:paraId="0965D318" w14:textId="77777777" w:rsidR="00930C67" w:rsidRDefault="00930C67" w:rsidP="00930C67">
      <w:pPr>
        <w:autoSpaceDE w:val="0"/>
        <w:autoSpaceDN w:val="0"/>
        <w:bidi/>
        <w:adjustRightInd w:val="0"/>
        <w:jc w:val="both"/>
        <w:rPr>
          <w:rFonts w:ascii="Traditional Arabic" w:hAnsi="Traditional Arabic" w:cs="Traditional Arabic"/>
          <w:sz w:val="30"/>
          <w:szCs w:val="30"/>
          <w:rtl/>
        </w:rPr>
      </w:pPr>
    </w:p>
    <w:p w14:paraId="225FEF9A" w14:textId="77777777" w:rsidR="00D568A2" w:rsidRDefault="00D568A2" w:rsidP="00D568A2">
      <w:pPr>
        <w:autoSpaceDE w:val="0"/>
        <w:autoSpaceDN w:val="0"/>
        <w:bidi/>
        <w:adjustRightInd w:val="0"/>
        <w:jc w:val="both"/>
        <w:rPr>
          <w:rFonts w:ascii="Traditional Arabic" w:hAnsi="Traditional Arabic" w:cs="Traditional Arabic"/>
          <w:sz w:val="30"/>
          <w:szCs w:val="30"/>
          <w:lang w:bidi="ar-EG"/>
        </w:rPr>
      </w:pPr>
      <w:r w:rsidRPr="00D568A2">
        <w:rPr>
          <w:rFonts w:ascii="Traditional Arabic" w:hAnsi="Traditional Arabic" w:cs="Traditional Arabic"/>
          <w:sz w:val="30"/>
          <w:szCs w:val="30"/>
          <w:rtl/>
          <w:lang w:bidi="ar-EG"/>
        </w:rPr>
        <w:t>(</w:t>
      </w:r>
      <w:r w:rsidR="00930C67">
        <w:rPr>
          <w:rFonts w:ascii="Traditional Arabic" w:hAnsi="Traditional Arabic" w:cs="Traditional Arabic" w:hint="cs"/>
          <w:sz w:val="30"/>
          <w:szCs w:val="30"/>
          <w:rtl/>
        </w:rPr>
        <w:t>9</w:t>
      </w:r>
      <w:r w:rsidRPr="00D568A2">
        <w:rPr>
          <w:rFonts w:ascii="Traditional Arabic" w:hAnsi="Traditional Arabic" w:cs="Traditional Arabic"/>
          <w:sz w:val="30"/>
          <w:szCs w:val="30"/>
          <w:rtl/>
          <w:lang w:bidi="ar-EG"/>
        </w:rPr>
        <w:t>)</w:t>
      </w:r>
      <w:r w:rsidRPr="00D568A2">
        <w:rPr>
          <w:rFonts w:ascii="Traditional Arabic" w:hAnsi="Traditional Arabic" w:cs="Traditional Arabic"/>
          <w:sz w:val="30"/>
          <w:szCs w:val="30"/>
          <w:rtl/>
          <w:lang w:bidi="ar-EG"/>
        </w:rPr>
        <w:tab/>
        <w:t>يوضح الجدول التالي تسوية لهامش التدفق النقدي مع صافي النقد المتولد من الأرباح التشغيلية (بالإشارة إلى إيرادات مكافئ تأجير السفن المجهزة بالمدة حسب تسويتها في الجدول في الملاحظة 2 أعلاه) للفترات المشار إليها:</w:t>
      </w: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0028EE" w:rsidRPr="00E834EF" w14:paraId="4FEB2233" w14:textId="77777777" w:rsidTr="00272B36">
        <w:trPr>
          <w:tblHeader/>
        </w:trPr>
        <w:tc>
          <w:tcPr>
            <w:tcW w:w="3254" w:type="dxa"/>
          </w:tcPr>
          <w:p w14:paraId="55779D0B" w14:textId="77777777" w:rsidR="000028EE" w:rsidRPr="00E834EF" w:rsidRDefault="000028EE" w:rsidP="000028EE">
            <w:pPr>
              <w:keepNext/>
              <w:bidi/>
              <w:spacing w:before="40" w:after="120"/>
              <w:rPr>
                <w:b/>
                <w:sz w:val="17"/>
                <w:szCs w:val="17"/>
              </w:rPr>
            </w:pPr>
          </w:p>
        </w:tc>
        <w:tc>
          <w:tcPr>
            <w:tcW w:w="242" w:type="dxa"/>
          </w:tcPr>
          <w:p w14:paraId="68D08E61" w14:textId="77777777" w:rsidR="000028EE" w:rsidRPr="00E834EF" w:rsidRDefault="000028EE" w:rsidP="00922116">
            <w:pPr>
              <w:spacing w:before="40" w:after="40"/>
              <w:rPr>
                <w:sz w:val="17"/>
                <w:szCs w:val="17"/>
              </w:rPr>
            </w:pPr>
          </w:p>
        </w:tc>
        <w:tc>
          <w:tcPr>
            <w:tcW w:w="3255" w:type="dxa"/>
            <w:gridSpan w:val="6"/>
            <w:tcBorders>
              <w:bottom w:val="single" w:sz="4" w:space="0" w:color="auto"/>
            </w:tcBorders>
          </w:tcPr>
          <w:p w14:paraId="23F301D9" w14:textId="77777777" w:rsidR="000028EE" w:rsidRPr="00E834EF" w:rsidRDefault="000028EE" w:rsidP="00922116">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3C9A96CF" w14:textId="77777777" w:rsidR="000028EE" w:rsidRPr="00E834EF" w:rsidRDefault="000028EE" w:rsidP="00922116">
            <w:pPr>
              <w:spacing w:before="40" w:after="40"/>
              <w:rPr>
                <w:sz w:val="17"/>
                <w:szCs w:val="17"/>
              </w:rPr>
            </w:pPr>
          </w:p>
        </w:tc>
        <w:tc>
          <w:tcPr>
            <w:tcW w:w="2090" w:type="dxa"/>
            <w:gridSpan w:val="3"/>
            <w:tcBorders>
              <w:bottom w:val="single" w:sz="4" w:space="0" w:color="auto"/>
            </w:tcBorders>
          </w:tcPr>
          <w:p w14:paraId="119846CA" w14:textId="77777777" w:rsidR="000028EE" w:rsidRPr="00E834EF" w:rsidRDefault="000028EE" w:rsidP="00922116">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19E060B8" w14:textId="77777777" w:rsidR="000028EE" w:rsidRPr="00E834EF" w:rsidRDefault="000028EE" w:rsidP="00922116">
            <w:pPr>
              <w:keepNext/>
              <w:spacing w:before="40" w:after="120"/>
              <w:jc w:val="center"/>
              <w:rPr>
                <w:b/>
                <w:sz w:val="17"/>
                <w:szCs w:val="17"/>
              </w:rPr>
            </w:pPr>
          </w:p>
        </w:tc>
      </w:tr>
      <w:tr w:rsidR="000028EE" w:rsidRPr="00E834EF" w14:paraId="2CBCD57F" w14:textId="77777777" w:rsidTr="00272B36">
        <w:trPr>
          <w:tblHeader/>
        </w:trPr>
        <w:tc>
          <w:tcPr>
            <w:tcW w:w="3254" w:type="dxa"/>
          </w:tcPr>
          <w:p w14:paraId="0A8BD094" w14:textId="77777777" w:rsidR="000028EE" w:rsidRPr="00E834EF" w:rsidRDefault="000028EE" w:rsidP="000028EE">
            <w:pPr>
              <w:keepNext/>
              <w:bidi/>
              <w:spacing w:before="40" w:after="120"/>
              <w:rPr>
                <w:b/>
                <w:sz w:val="17"/>
                <w:szCs w:val="17"/>
              </w:rPr>
            </w:pPr>
          </w:p>
        </w:tc>
        <w:tc>
          <w:tcPr>
            <w:tcW w:w="242" w:type="dxa"/>
          </w:tcPr>
          <w:p w14:paraId="30CD6D45" w14:textId="77777777" w:rsidR="000028EE" w:rsidRPr="00E834EF" w:rsidRDefault="000028EE" w:rsidP="00922116">
            <w:pPr>
              <w:spacing w:before="40" w:after="40"/>
              <w:rPr>
                <w:sz w:val="17"/>
                <w:szCs w:val="17"/>
              </w:rPr>
            </w:pPr>
          </w:p>
        </w:tc>
        <w:tc>
          <w:tcPr>
            <w:tcW w:w="923" w:type="dxa"/>
            <w:gridSpan w:val="2"/>
            <w:tcBorders>
              <w:top w:val="single" w:sz="4" w:space="0" w:color="auto"/>
              <w:bottom w:val="single" w:sz="4" w:space="0" w:color="auto"/>
            </w:tcBorders>
          </w:tcPr>
          <w:p w14:paraId="53E5D00C" w14:textId="77777777" w:rsidR="000028EE" w:rsidRPr="00E834EF" w:rsidRDefault="000028EE" w:rsidP="00922116">
            <w:pPr>
              <w:keepNext/>
              <w:spacing w:before="40" w:after="120"/>
              <w:jc w:val="right"/>
              <w:rPr>
                <w:b/>
                <w:sz w:val="17"/>
                <w:szCs w:val="17"/>
              </w:rPr>
            </w:pPr>
            <w:r w:rsidRPr="00E834EF">
              <w:rPr>
                <w:b/>
                <w:sz w:val="17"/>
                <w:szCs w:val="17"/>
              </w:rPr>
              <w:t>2021</w:t>
            </w:r>
          </w:p>
        </w:tc>
        <w:tc>
          <w:tcPr>
            <w:tcW w:w="242" w:type="dxa"/>
          </w:tcPr>
          <w:p w14:paraId="326B5059" w14:textId="77777777" w:rsidR="000028EE" w:rsidRPr="00E834EF" w:rsidRDefault="000028EE" w:rsidP="00922116">
            <w:pPr>
              <w:spacing w:before="40" w:after="40"/>
              <w:rPr>
                <w:sz w:val="17"/>
                <w:szCs w:val="17"/>
              </w:rPr>
            </w:pPr>
          </w:p>
        </w:tc>
        <w:tc>
          <w:tcPr>
            <w:tcW w:w="924" w:type="dxa"/>
            <w:tcBorders>
              <w:top w:val="single" w:sz="4" w:space="0" w:color="auto"/>
              <w:bottom w:val="single" w:sz="4" w:space="0" w:color="auto"/>
            </w:tcBorders>
          </w:tcPr>
          <w:p w14:paraId="59F64710" w14:textId="77777777" w:rsidR="000028EE" w:rsidRPr="00E834EF" w:rsidRDefault="000028EE" w:rsidP="00922116">
            <w:pPr>
              <w:keepNext/>
              <w:spacing w:before="40" w:after="120"/>
              <w:jc w:val="right"/>
              <w:rPr>
                <w:b/>
                <w:sz w:val="17"/>
                <w:szCs w:val="17"/>
              </w:rPr>
            </w:pPr>
            <w:r w:rsidRPr="00E834EF">
              <w:rPr>
                <w:b/>
                <w:sz w:val="17"/>
                <w:szCs w:val="17"/>
              </w:rPr>
              <w:t>2022</w:t>
            </w:r>
          </w:p>
        </w:tc>
        <w:tc>
          <w:tcPr>
            <w:tcW w:w="242" w:type="dxa"/>
          </w:tcPr>
          <w:p w14:paraId="58111DC2" w14:textId="77777777" w:rsidR="000028EE" w:rsidRPr="00E834EF" w:rsidRDefault="000028EE" w:rsidP="00922116">
            <w:pPr>
              <w:spacing w:before="40" w:after="40"/>
              <w:rPr>
                <w:sz w:val="17"/>
                <w:szCs w:val="17"/>
              </w:rPr>
            </w:pPr>
          </w:p>
        </w:tc>
        <w:tc>
          <w:tcPr>
            <w:tcW w:w="924" w:type="dxa"/>
            <w:tcBorders>
              <w:top w:val="single" w:sz="4" w:space="0" w:color="auto"/>
              <w:bottom w:val="single" w:sz="4" w:space="0" w:color="auto"/>
            </w:tcBorders>
          </w:tcPr>
          <w:p w14:paraId="23AF795D" w14:textId="77777777" w:rsidR="000028EE" w:rsidRPr="00E834EF" w:rsidRDefault="000028EE" w:rsidP="00922116">
            <w:pPr>
              <w:keepNext/>
              <w:spacing w:before="40" w:after="120"/>
              <w:jc w:val="right"/>
              <w:rPr>
                <w:b/>
                <w:sz w:val="17"/>
                <w:szCs w:val="17"/>
              </w:rPr>
            </w:pPr>
            <w:r w:rsidRPr="00E834EF">
              <w:rPr>
                <w:b/>
                <w:sz w:val="17"/>
                <w:szCs w:val="17"/>
              </w:rPr>
              <w:t>2023</w:t>
            </w:r>
          </w:p>
        </w:tc>
        <w:tc>
          <w:tcPr>
            <w:tcW w:w="242" w:type="dxa"/>
          </w:tcPr>
          <w:p w14:paraId="1DCFAF1E" w14:textId="77777777" w:rsidR="000028EE" w:rsidRPr="00E834EF" w:rsidRDefault="000028EE" w:rsidP="00922116">
            <w:pPr>
              <w:spacing w:before="40" w:after="40"/>
              <w:rPr>
                <w:sz w:val="17"/>
                <w:szCs w:val="17"/>
              </w:rPr>
            </w:pPr>
          </w:p>
        </w:tc>
        <w:tc>
          <w:tcPr>
            <w:tcW w:w="924" w:type="dxa"/>
            <w:tcBorders>
              <w:top w:val="single" w:sz="4" w:space="0" w:color="auto"/>
              <w:bottom w:val="single" w:sz="4" w:space="0" w:color="auto"/>
            </w:tcBorders>
          </w:tcPr>
          <w:p w14:paraId="437DCC91" w14:textId="77777777" w:rsidR="000028EE" w:rsidRPr="00E834EF" w:rsidRDefault="000028EE" w:rsidP="00922116">
            <w:pPr>
              <w:keepNext/>
              <w:spacing w:before="40" w:after="120"/>
              <w:jc w:val="right"/>
              <w:rPr>
                <w:b/>
                <w:sz w:val="17"/>
                <w:szCs w:val="17"/>
              </w:rPr>
            </w:pPr>
            <w:r w:rsidRPr="00E834EF">
              <w:rPr>
                <w:b/>
                <w:sz w:val="17"/>
                <w:szCs w:val="17"/>
              </w:rPr>
              <w:t>2023</w:t>
            </w:r>
          </w:p>
        </w:tc>
        <w:tc>
          <w:tcPr>
            <w:tcW w:w="227" w:type="dxa"/>
          </w:tcPr>
          <w:p w14:paraId="4C1DB922" w14:textId="77777777" w:rsidR="000028EE" w:rsidRPr="00E834EF" w:rsidRDefault="000028EE" w:rsidP="00922116">
            <w:pPr>
              <w:spacing w:before="40" w:after="40"/>
              <w:rPr>
                <w:sz w:val="17"/>
                <w:szCs w:val="17"/>
              </w:rPr>
            </w:pPr>
          </w:p>
        </w:tc>
        <w:tc>
          <w:tcPr>
            <w:tcW w:w="939" w:type="dxa"/>
            <w:tcBorders>
              <w:top w:val="single" w:sz="4" w:space="0" w:color="auto"/>
              <w:bottom w:val="single" w:sz="4" w:space="0" w:color="auto"/>
            </w:tcBorders>
          </w:tcPr>
          <w:p w14:paraId="2B541AC1" w14:textId="77777777" w:rsidR="000028EE" w:rsidRPr="00E834EF" w:rsidRDefault="000028EE" w:rsidP="00922116">
            <w:pPr>
              <w:keepNext/>
              <w:spacing w:before="40" w:after="120"/>
              <w:jc w:val="right"/>
              <w:rPr>
                <w:b/>
                <w:sz w:val="17"/>
                <w:szCs w:val="17"/>
              </w:rPr>
            </w:pPr>
            <w:r w:rsidRPr="00E834EF">
              <w:rPr>
                <w:b/>
                <w:sz w:val="17"/>
                <w:szCs w:val="17"/>
              </w:rPr>
              <w:t>2024</w:t>
            </w:r>
          </w:p>
        </w:tc>
        <w:tc>
          <w:tcPr>
            <w:tcW w:w="266" w:type="dxa"/>
          </w:tcPr>
          <w:p w14:paraId="549329F1" w14:textId="77777777" w:rsidR="000028EE" w:rsidRPr="00E834EF" w:rsidRDefault="000028EE" w:rsidP="00922116">
            <w:pPr>
              <w:keepNext/>
              <w:spacing w:before="40" w:after="120"/>
              <w:jc w:val="right"/>
              <w:rPr>
                <w:b/>
                <w:sz w:val="17"/>
                <w:szCs w:val="17"/>
              </w:rPr>
            </w:pPr>
          </w:p>
        </w:tc>
      </w:tr>
      <w:tr w:rsidR="000028EE" w:rsidRPr="00E834EF" w14:paraId="25456231" w14:textId="77777777" w:rsidTr="00272B36">
        <w:trPr>
          <w:trHeight w:val="215"/>
          <w:tblHeader/>
        </w:trPr>
        <w:tc>
          <w:tcPr>
            <w:tcW w:w="3254" w:type="dxa"/>
          </w:tcPr>
          <w:p w14:paraId="635745E5" w14:textId="77777777" w:rsidR="000028EE" w:rsidRPr="00E834EF" w:rsidRDefault="000028EE" w:rsidP="000028EE">
            <w:pPr>
              <w:keepNext/>
              <w:bidi/>
              <w:spacing w:before="40" w:after="120"/>
              <w:jc w:val="center"/>
              <w:rPr>
                <w:i/>
                <w:sz w:val="17"/>
                <w:szCs w:val="17"/>
              </w:rPr>
            </w:pPr>
          </w:p>
        </w:tc>
        <w:tc>
          <w:tcPr>
            <w:tcW w:w="242" w:type="dxa"/>
          </w:tcPr>
          <w:p w14:paraId="26215D73" w14:textId="77777777" w:rsidR="000028EE" w:rsidRPr="00E834EF" w:rsidRDefault="000028EE" w:rsidP="00922116">
            <w:pPr>
              <w:keepNext/>
              <w:spacing w:before="40" w:after="120"/>
              <w:jc w:val="center"/>
              <w:rPr>
                <w:i/>
                <w:sz w:val="17"/>
                <w:szCs w:val="17"/>
              </w:rPr>
            </w:pPr>
          </w:p>
        </w:tc>
        <w:tc>
          <w:tcPr>
            <w:tcW w:w="5587" w:type="dxa"/>
            <w:gridSpan w:val="10"/>
          </w:tcPr>
          <w:p w14:paraId="690AD6E6" w14:textId="77777777" w:rsidR="000028EE" w:rsidRPr="00E834EF" w:rsidRDefault="000028EE" w:rsidP="00922116">
            <w:pPr>
              <w:keepNext/>
              <w:spacing w:before="40" w:after="120"/>
              <w:jc w:val="center"/>
              <w:rPr>
                <w:i/>
                <w:sz w:val="17"/>
                <w:szCs w:val="17"/>
              </w:rPr>
            </w:pPr>
            <w:r w:rsidRPr="00E834EF">
              <w:rPr>
                <w:i/>
                <w:color w:val="000000"/>
                <w:sz w:val="17"/>
                <w:szCs w:val="17"/>
              </w:rPr>
              <w:t>(</w:t>
            </w:r>
            <w:r>
              <w:rPr>
                <w:i/>
                <w:color w:val="000000"/>
                <w:sz w:val="17"/>
                <w:szCs w:val="17"/>
              </w:rPr>
              <w:t>OMR</w:t>
            </w:r>
            <w:r w:rsidRPr="00E834EF">
              <w:rPr>
                <w:i/>
                <w:color w:val="000000"/>
                <w:sz w:val="17"/>
                <w:szCs w:val="17"/>
              </w:rPr>
              <w:t xml:space="preserve"> </w:t>
            </w:r>
            <w:r>
              <w:rPr>
                <w:i/>
                <w:color w:val="000000"/>
                <w:sz w:val="17"/>
                <w:szCs w:val="17"/>
              </w:rPr>
              <w:t>millions</w:t>
            </w:r>
            <w:r w:rsidRPr="00E834EF">
              <w:rPr>
                <w:i/>
                <w:color w:val="000000"/>
                <w:sz w:val="17"/>
                <w:szCs w:val="17"/>
              </w:rPr>
              <w:t>, except percentages)</w:t>
            </w:r>
          </w:p>
        </w:tc>
        <w:tc>
          <w:tcPr>
            <w:tcW w:w="266" w:type="dxa"/>
            <w:vAlign w:val="bottom"/>
          </w:tcPr>
          <w:p w14:paraId="5FE31264" w14:textId="77777777" w:rsidR="000028EE" w:rsidRPr="00E834EF" w:rsidRDefault="000028EE" w:rsidP="00922116">
            <w:pPr>
              <w:keepNext/>
              <w:spacing w:before="40" w:after="120"/>
              <w:rPr>
                <w:i/>
                <w:color w:val="000000"/>
                <w:sz w:val="17"/>
                <w:szCs w:val="17"/>
              </w:rPr>
            </w:pPr>
          </w:p>
        </w:tc>
      </w:tr>
      <w:tr w:rsidR="000028EE" w:rsidRPr="00E834EF" w14:paraId="1BD9A323" w14:textId="77777777" w:rsidTr="00272B36">
        <w:tc>
          <w:tcPr>
            <w:tcW w:w="3254" w:type="dxa"/>
            <w:vAlign w:val="bottom"/>
          </w:tcPr>
          <w:p w14:paraId="71D4BFCC" w14:textId="77777777" w:rsidR="000028EE" w:rsidRPr="0054596C" w:rsidRDefault="00E1530D" w:rsidP="000028EE">
            <w:pPr>
              <w:tabs>
                <w:tab w:val="right" w:leader="dot" w:pos="3255"/>
              </w:tabs>
              <w:bidi/>
              <w:spacing w:before="40" w:after="40"/>
              <w:ind w:left="12"/>
              <w:rPr>
                <w:b/>
                <w:bCs/>
                <w:color w:val="000000"/>
                <w:sz w:val="17"/>
                <w:szCs w:val="17"/>
              </w:rPr>
            </w:pPr>
            <w:r>
              <w:rPr>
                <w:rFonts w:hint="cs"/>
                <w:color w:val="000000"/>
                <w:sz w:val="17"/>
                <w:szCs w:val="17"/>
                <w:rtl/>
              </w:rPr>
              <w:t xml:space="preserve">تدفق </w:t>
            </w:r>
            <w:r w:rsidR="000028EE">
              <w:rPr>
                <w:rFonts w:hint="cs"/>
                <w:color w:val="000000"/>
                <w:sz w:val="17"/>
                <w:szCs w:val="17"/>
                <w:rtl/>
              </w:rPr>
              <w:t xml:space="preserve">النقد </w:t>
            </w:r>
            <w:r w:rsidR="00210290">
              <w:rPr>
                <w:rFonts w:hint="cs"/>
                <w:color w:val="000000"/>
                <w:sz w:val="17"/>
                <w:szCs w:val="17"/>
                <w:rtl/>
              </w:rPr>
              <w:t>التش</w:t>
            </w:r>
            <w:r w:rsidR="000973AF">
              <w:rPr>
                <w:rFonts w:hint="cs"/>
                <w:color w:val="000000"/>
                <w:sz w:val="17"/>
                <w:szCs w:val="17"/>
                <w:rtl/>
              </w:rPr>
              <w:t>غيلي</w:t>
            </w:r>
            <w:r w:rsidR="000028EE" w:rsidRPr="00D4755F">
              <w:rPr>
                <w:color w:val="000000"/>
                <w:sz w:val="17"/>
                <w:szCs w:val="17"/>
                <w:vertAlign w:val="superscript"/>
              </w:rPr>
              <w:t>(a)</w:t>
            </w:r>
            <w:r w:rsidR="000028EE" w:rsidRPr="0054596C">
              <w:rPr>
                <w:sz w:val="17"/>
              </w:rPr>
              <w:tab/>
            </w:r>
          </w:p>
        </w:tc>
        <w:tc>
          <w:tcPr>
            <w:tcW w:w="242" w:type="dxa"/>
            <w:vAlign w:val="bottom"/>
          </w:tcPr>
          <w:p w14:paraId="09CEF8B0" w14:textId="77777777" w:rsidR="000028EE" w:rsidRPr="00E834EF" w:rsidRDefault="000028EE" w:rsidP="00922116">
            <w:pPr>
              <w:spacing w:before="40" w:after="40"/>
              <w:rPr>
                <w:sz w:val="17"/>
                <w:szCs w:val="17"/>
              </w:rPr>
            </w:pPr>
          </w:p>
        </w:tc>
        <w:tc>
          <w:tcPr>
            <w:tcW w:w="913" w:type="dxa"/>
            <w:vAlign w:val="bottom"/>
          </w:tcPr>
          <w:p w14:paraId="642729EA" w14:textId="77777777" w:rsidR="000028EE" w:rsidRPr="00D4755F" w:rsidRDefault="004709B3" w:rsidP="00922116">
            <w:pPr>
              <w:spacing w:before="40" w:after="40"/>
              <w:jc w:val="right"/>
              <w:rPr>
                <w:color w:val="000000"/>
                <w:sz w:val="17"/>
                <w:szCs w:val="17"/>
              </w:rPr>
            </w:pPr>
            <w:r>
              <w:rPr>
                <w:sz w:val="17"/>
                <w:szCs w:val="17"/>
              </w:rPr>
              <w:t>67.0</w:t>
            </w:r>
          </w:p>
        </w:tc>
        <w:tc>
          <w:tcPr>
            <w:tcW w:w="252" w:type="dxa"/>
            <w:gridSpan w:val="2"/>
            <w:vAlign w:val="bottom"/>
          </w:tcPr>
          <w:p w14:paraId="4D7FD5C4" w14:textId="77777777" w:rsidR="000028EE" w:rsidRPr="00D4755F" w:rsidRDefault="000028EE" w:rsidP="00922116">
            <w:pPr>
              <w:spacing w:before="40" w:after="40"/>
              <w:rPr>
                <w:color w:val="000000"/>
                <w:sz w:val="17"/>
                <w:szCs w:val="17"/>
              </w:rPr>
            </w:pPr>
          </w:p>
        </w:tc>
        <w:tc>
          <w:tcPr>
            <w:tcW w:w="924" w:type="dxa"/>
            <w:vAlign w:val="bottom"/>
          </w:tcPr>
          <w:p w14:paraId="3C389F4A" w14:textId="3A1AA4AF" w:rsidR="000028EE" w:rsidRPr="00D4755F" w:rsidRDefault="002026C1" w:rsidP="00922116">
            <w:pPr>
              <w:spacing w:before="40" w:after="40"/>
              <w:jc w:val="right"/>
              <w:rPr>
                <w:color w:val="000000"/>
                <w:sz w:val="17"/>
                <w:szCs w:val="17"/>
              </w:rPr>
            </w:pPr>
            <w:r>
              <w:rPr>
                <w:sz w:val="17"/>
                <w:szCs w:val="17"/>
              </w:rPr>
              <w:t>78.1</w:t>
            </w:r>
          </w:p>
        </w:tc>
        <w:tc>
          <w:tcPr>
            <w:tcW w:w="242" w:type="dxa"/>
            <w:vAlign w:val="bottom"/>
          </w:tcPr>
          <w:p w14:paraId="6343A09D" w14:textId="77777777" w:rsidR="000028EE" w:rsidRPr="00D4755F" w:rsidRDefault="000028EE" w:rsidP="00922116">
            <w:pPr>
              <w:spacing w:before="40" w:after="40"/>
              <w:rPr>
                <w:color w:val="000000"/>
                <w:sz w:val="17"/>
                <w:szCs w:val="17"/>
              </w:rPr>
            </w:pPr>
          </w:p>
        </w:tc>
        <w:tc>
          <w:tcPr>
            <w:tcW w:w="924" w:type="dxa"/>
            <w:vAlign w:val="bottom"/>
          </w:tcPr>
          <w:p w14:paraId="347592DC" w14:textId="77777777" w:rsidR="000028EE" w:rsidRPr="00D4755F" w:rsidRDefault="000028EE" w:rsidP="00922116">
            <w:pPr>
              <w:spacing w:before="40" w:after="40"/>
              <w:jc w:val="right"/>
              <w:rPr>
                <w:color w:val="000000"/>
                <w:sz w:val="17"/>
                <w:szCs w:val="17"/>
              </w:rPr>
            </w:pPr>
            <w:r w:rsidRPr="00D4755F">
              <w:rPr>
                <w:sz w:val="17"/>
                <w:szCs w:val="17"/>
              </w:rPr>
              <w:t>182.</w:t>
            </w:r>
            <w:r w:rsidR="004709B3">
              <w:rPr>
                <w:sz w:val="17"/>
                <w:szCs w:val="17"/>
              </w:rPr>
              <w:t>0</w:t>
            </w:r>
          </w:p>
        </w:tc>
        <w:tc>
          <w:tcPr>
            <w:tcW w:w="242" w:type="dxa"/>
            <w:vAlign w:val="bottom"/>
          </w:tcPr>
          <w:p w14:paraId="1D8FC403" w14:textId="77777777" w:rsidR="000028EE" w:rsidRPr="00D4755F" w:rsidRDefault="000028EE" w:rsidP="00922116">
            <w:pPr>
              <w:spacing w:before="40" w:after="40"/>
              <w:rPr>
                <w:sz w:val="17"/>
                <w:szCs w:val="17"/>
              </w:rPr>
            </w:pPr>
          </w:p>
        </w:tc>
        <w:tc>
          <w:tcPr>
            <w:tcW w:w="924" w:type="dxa"/>
            <w:vAlign w:val="bottom"/>
          </w:tcPr>
          <w:p w14:paraId="2F5F6282" w14:textId="77777777" w:rsidR="000028EE" w:rsidRPr="00D4755F" w:rsidRDefault="004709B3" w:rsidP="00922116">
            <w:pPr>
              <w:spacing w:before="40" w:after="40"/>
              <w:jc w:val="right"/>
              <w:rPr>
                <w:sz w:val="17"/>
                <w:szCs w:val="17"/>
              </w:rPr>
            </w:pPr>
            <w:r w:rsidRPr="002B3282">
              <w:rPr>
                <w:sz w:val="17"/>
                <w:szCs w:val="17"/>
              </w:rPr>
              <w:t>—</w:t>
            </w:r>
          </w:p>
        </w:tc>
        <w:tc>
          <w:tcPr>
            <w:tcW w:w="227" w:type="dxa"/>
            <w:vAlign w:val="bottom"/>
          </w:tcPr>
          <w:p w14:paraId="7952F0A3" w14:textId="77777777" w:rsidR="000028EE" w:rsidRPr="00D4755F" w:rsidRDefault="000028EE" w:rsidP="00922116">
            <w:pPr>
              <w:spacing w:before="40" w:after="40"/>
              <w:rPr>
                <w:sz w:val="17"/>
                <w:szCs w:val="17"/>
              </w:rPr>
            </w:pPr>
          </w:p>
        </w:tc>
        <w:tc>
          <w:tcPr>
            <w:tcW w:w="939" w:type="dxa"/>
            <w:vAlign w:val="bottom"/>
          </w:tcPr>
          <w:p w14:paraId="7DE68E21" w14:textId="77777777" w:rsidR="000028EE" w:rsidRPr="00D4755F" w:rsidRDefault="002937F3" w:rsidP="00922116">
            <w:pPr>
              <w:spacing w:before="40" w:after="40"/>
              <w:jc w:val="right"/>
              <w:rPr>
                <w:sz w:val="17"/>
                <w:szCs w:val="17"/>
              </w:rPr>
            </w:pPr>
            <w:r>
              <w:rPr>
                <w:sz w:val="17"/>
                <w:szCs w:val="17"/>
              </w:rPr>
              <w:t>113</w:t>
            </w:r>
            <w:r w:rsidR="004709B3">
              <w:rPr>
                <w:sz w:val="17"/>
                <w:szCs w:val="17"/>
              </w:rPr>
              <w:t>.7</w:t>
            </w:r>
          </w:p>
        </w:tc>
        <w:tc>
          <w:tcPr>
            <w:tcW w:w="266" w:type="dxa"/>
            <w:vAlign w:val="bottom"/>
          </w:tcPr>
          <w:p w14:paraId="10E77E01" w14:textId="77777777" w:rsidR="000028EE" w:rsidRPr="000D2863" w:rsidRDefault="000028EE" w:rsidP="00922116">
            <w:pPr>
              <w:spacing w:before="40" w:after="40"/>
              <w:rPr>
                <w:sz w:val="17"/>
                <w:szCs w:val="17"/>
              </w:rPr>
            </w:pPr>
          </w:p>
        </w:tc>
      </w:tr>
      <w:tr w:rsidR="000028EE" w:rsidRPr="00E834EF" w14:paraId="607731A6" w14:textId="77777777" w:rsidTr="00272B36">
        <w:tc>
          <w:tcPr>
            <w:tcW w:w="3254" w:type="dxa"/>
          </w:tcPr>
          <w:p w14:paraId="07544717" w14:textId="77777777" w:rsidR="000028EE" w:rsidRPr="00155339" w:rsidRDefault="000028EE" w:rsidP="000028EE">
            <w:pPr>
              <w:tabs>
                <w:tab w:val="right" w:leader="dot" w:pos="3255"/>
              </w:tabs>
              <w:bidi/>
              <w:spacing w:before="40" w:after="40"/>
              <w:rPr>
                <w:sz w:val="17"/>
                <w:szCs w:val="17"/>
              </w:rPr>
            </w:pPr>
            <w:r w:rsidRPr="000028EE">
              <w:rPr>
                <w:rFonts w:hint="cs"/>
                <w:b/>
                <w:bCs/>
                <w:i/>
                <w:iCs/>
                <w:sz w:val="17"/>
                <w:szCs w:val="17"/>
                <w:u w:val="single"/>
                <w:rtl/>
              </w:rPr>
              <w:t xml:space="preserve">إيرادات مكافئ تأجير السفن المجهزة بالمدة </w:t>
            </w:r>
            <w:r w:rsidRPr="00155339">
              <w:rPr>
                <w:sz w:val="17"/>
                <w:szCs w:val="17"/>
                <w:vertAlign w:val="superscript"/>
              </w:rPr>
              <w:t>(b)</w:t>
            </w:r>
            <w:r w:rsidRPr="007D2480">
              <w:rPr>
                <w:sz w:val="17"/>
              </w:rPr>
              <w:t xml:space="preserve"> </w:t>
            </w:r>
            <w:r w:rsidRPr="007D2480">
              <w:rPr>
                <w:sz w:val="17"/>
              </w:rPr>
              <w:tab/>
            </w:r>
          </w:p>
        </w:tc>
        <w:tc>
          <w:tcPr>
            <w:tcW w:w="242" w:type="dxa"/>
            <w:vAlign w:val="bottom"/>
          </w:tcPr>
          <w:p w14:paraId="4737FADF" w14:textId="77777777" w:rsidR="000028EE" w:rsidRPr="00E834EF" w:rsidRDefault="000028EE" w:rsidP="00922116">
            <w:pPr>
              <w:spacing w:before="40" w:after="40"/>
              <w:rPr>
                <w:sz w:val="17"/>
                <w:szCs w:val="17"/>
              </w:rPr>
            </w:pPr>
          </w:p>
        </w:tc>
        <w:tc>
          <w:tcPr>
            <w:tcW w:w="913" w:type="dxa"/>
            <w:tcBorders>
              <w:bottom w:val="single" w:sz="4" w:space="0" w:color="auto"/>
            </w:tcBorders>
          </w:tcPr>
          <w:p w14:paraId="49A01BB9" w14:textId="77777777" w:rsidR="000028EE" w:rsidRPr="00D4755F" w:rsidRDefault="000028EE" w:rsidP="00922116">
            <w:pPr>
              <w:spacing w:before="40" w:after="40"/>
              <w:jc w:val="right"/>
              <w:rPr>
                <w:color w:val="000000"/>
                <w:sz w:val="17"/>
                <w:szCs w:val="17"/>
              </w:rPr>
            </w:pPr>
            <w:r w:rsidRPr="00D4755F">
              <w:rPr>
                <w:sz w:val="17"/>
                <w:szCs w:val="17"/>
              </w:rPr>
              <w:t>181.</w:t>
            </w:r>
            <w:r w:rsidR="004709B3">
              <w:rPr>
                <w:sz w:val="17"/>
                <w:szCs w:val="17"/>
              </w:rPr>
              <w:t>1</w:t>
            </w:r>
          </w:p>
        </w:tc>
        <w:tc>
          <w:tcPr>
            <w:tcW w:w="252" w:type="dxa"/>
            <w:gridSpan w:val="2"/>
          </w:tcPr>
          <w:p w14:paraId="1E545277" w14:textId="77777777" w:rsidR="000028EE" w:rsidRPr="00D4755F" w:rsidRDefault="000028EE" w:rsidP="00922116">
            <w:pPr>
              <w:spacing w:before="40" w:after="40"/>
              <w:rPr>
                <w:color w:val="000000"/>
                <w:sz w:val="17"/>
                <w:szCs w:val="17"/>
              </w:rPr>
            </w:pPr>
          </w:p>
        </w:tc>
        <w:tc>
          <w:tcPr>
            <w:tcW w:w="924" w:type="dxa"/>
            <w:tcBorders>
              <w:bottom w:val="single" w:sz="4" w:space="0" w:color="auto"/>
            </w:tcBorders>
          </w:tcPr>
          <w:p w14:paraId="23EC52EF" w14:textId="77777777" w:rsidR="000028EE" w:rsidRPr="00D4755F" w:rsidRDefault="002C0E32" w:rsidP="00922116">
            <w:pPr>
              <w:spacing w:before="40" w:after="40"/>
              <w:jc w:val="right"/>
              <w:rPr>
                <w:color w:val="000000"/>
                <w:sz w:val="17"/>
                <w:szCs w:val="17"/>
              </w:rPr>
            </w:pPr>
            <w:r>
              <w:rPr>
                <w:sz w:val="17"/>
                <w:szCs w:val="17"/>
              </w:rPr>
              <w:t>250.1</w:t>
            </w:r>
            <w:r w:rsidR="000028EE" w:rsidRPr="00D4755F" w:rsidDel="008D1EE0">
              <w:rPr>
                <w:sz w:val="17"/>
                <w:szCs w:val="17"/>
              </w:rPr>
              <w:t xml:space="preserve"> </w:t>
            </w:r>
          </w:p>
        </w:tc>
        <w:tc>
          <w:tcPr>
            <w:tcW w:w="242" w:type="dxa"/>
          </w:tcPr>
          <w:p w14:paraId="3C365B0A" w14:textId="77777777" w:rsidR="000028EE" w:rsidRPr="00D4755F" w:rsidRDefault="000028EE" w:rsidP="00922116">
            <w:pPr>
              <w:spacing w:before="40" w:after="40"/>
              <w:rPr>
                <w:color w:val="000000"/>
                <w:sz w:val="17"/>
                <w:szCs w:val="17"/>
              </w:rPr>
            </w:pPr>
          </w:p>
        </w:tc>
        <w:tc>
          <w:tcPr>
            <w:tcW w:w="924" w:type="dxa"/>
            <w:tcBorders>
              <w:bottom w:val="single" w:sz="4" w:space="0" w:color="auto"/>
            </w:tcBorders>
          </w:tcPr>
          <w:p w14:paraId="0C4F5BAA" w14:textId="77777777" w:rsidR="000028EE" w:rsidRPr="00D4755F" w:rsidRDefault="002C0E32" w:rsidP="00922116">
            <w:pPr>
              <w:spacing w:before="40" w:after="40"/>
              <w:jc w:val="right"/>
              <w:rPr>
                <w:color w:val="000000"/>
                <w:sz w:val="17"/>
                <w:szCs w:val="17"/>
              </w:rPr>
            </w:pPr>
            <w:r>
              <w:rPr>
                <w:sz w:val="17"/>
                <w:szCs w:val="17"/>
              </w:rPr>
              <w:t>282.0</w:t>
            </w:r>
          </w:p>
        </w:tc>
        <w:tc>
          <w:tcPr>
            <w:tcW w:w="242" w:type="dxa"/>
            <w:vAlign w:val="bottom"/>
          </w:tcPr>
          <w:p w14:paraId="5B7C31BE" w14:textId="77777777" w:rsidR="000028EE" w:rsidRPr="00D4755F" w:rsidRDefault="000028EE" w:rsidP="00922116">
            <w:pPr>
              <w:spacing w:before="40" w:after="40"/>
              <w:rPr>
                <w:sz w:val="17"/>
                <w:szCs w:val="17"/>
              </w:rPr>
            </w:pPr>
          </w:p>
        </w:tc>
        <w:tc>
          <w:tcPr>
            <w:tcW w:w="924" w:type="dxa"/>
            <w:tcBorders>
              <w:bottom w:val="single" w:sz="4" w:space="0" w:color="auto"/>
            </w:tcBorders>
            <w:vAlign w:val="bottom"/>
          </w:tcPr>
          <w:p w14:paraId="468D2D93" w14:textId="77777777" w:rsidR="000028EE" w:rsidRPr="00D4755F" w:rsidRDefault="002C0E32" w:rsidP="00922116">
            <w:pPr>
              <w:spacing w:before="40" w:after="40"/>
              <w:jc w:val="right"/>
              <w:rPr>
                <w:sz w:val="17"/>
                <w:szCs w:val="17"/>
              </w:rPr>
            </w:pPr>
            <w:r w:rsidRPr="002B3282">
              <w:rPr>
                <w:sz w:val="17"/>
                <w:szCs w:val="17"/>
              </w:rPr>
              <w:t>—</w:t>
            </w:r>
          </w:p>
        </w:tc>
        <w:tc>
          <w:tcPr>
            <w:tcW w:w="227" w:type="dxa"/>
            <w:vAlign w:val="bottom"/>
          </w:tcPr>
          <w:p w14:paraId="311A3B4B" w14:textId="77777777" w:rsidR="000028EE" w:rsidRPr="00D4755F" w:rsidRDefault="000028EE" w:rsidP="00922116">
            <w:pPr>
              <w:spacing w:before="40" w:after="40"/>
              <w:rPr>
                <w:sz w:val="17"/>
                <w:szCs w:val="17"/>
              </w:rPr>
            </w:pPr>
          </w:p>
        </w:tc>
        <w:tc>
          <w:tcPr>
            <w:tcW w:w="939" w:type="dxa"/>
            <w:tcBorders>
              <w:bottom w:val="single" w:sz="4" w:space="0" w:color="auto"/>
            </w:tcBorders>
            <w:vAlign w:val="bottom"/>
          </w:tcPr>
          <w:p w14:paraId="56616C62" w14:textId="77777777" w:rsidR="000028EE" w:rsidRPr="00D4755F" w:rsidRDefault="000028EE" w:rsidP="00922116">
            <w:pPr>
              <w:spacing w:before="40" w:after="40"/>
              <w:jc w:val="right"/>
              <w:rPr>
                <w:sz w:val="17"/>
                <w:szCs w:val="17"/>
              </w:rPr>
            </w:pPr>
            <w:r w:rsidRPr="00D4755F">
              <w:rPr>
                <w:sz w:val="17"/>
                <w:szCs w:val="17"/>
              </w:rPr>
              <w:t>236.</w:t>
            </w:r>
            <w:r w:rsidR="002C0E32">
              <w:rPr>
                <w:sz w:val="17"/>
                <w:szCs w:val="17"/>
              </w:rPr>
              <w:t>1</w:t>
            </w:r>
            <w:r w:rsidR="002C0E32" w:rsidRPr="00D4755F">
              <w:rPr>
                <w:sz w:val="17"/>
                <w:szCs w:val="17"/>
              </w:rPr>
              <w:t xml:space="preserve"> </w:t>
            </w:r>
          </w:p>
        </w:tc>
        <w:tc>
          <w:tcPr>
            <w:tcW w:w="266" w:type="dxa"/>
            <w:vAlign w:val="bottom"/>
          </w:tcPr>
          <w:p w14:paraId="7287D805" w14:textId="77777777" w:rsidR="000028EE" w:rsidRPr="000D2863" w:rsidRDefault="000028EE" w:rsidP="00922116">
            <w:pPr>
              <w:spacing w:before="40" w:after="40"/>
              <w:rPr>
                <w:sz w:val="17"/>
                <w:szCs w:val="17"/>
              </w:rPr>
            </w:pPr>
          </w:p>
        </w:tc>
      </w:tr>
      <w:tr w:rsidR="000028EE" w:rsidRPr="00E834EF" w14:paraId="291286DC" w14:textId="77777777" w:rsidTr="00272B36">
        <w:tc>
          <w:tcPr>
            <w:tcW w:w="3254" w:type="dxa"/>
          </w:tcPr>
          <w:p w14:paraId="57B894A1" w14:textId="77777777" w:rsidR="000028EE" w:rsidRPr="00155339" w:rsidRDefault="000028EE" w:rsidP="000028EE">
            <w:pPr>
              <w:tabs>
                <w:tab w:val="right" w:leader="dot" w:pos="3255"/>
              </w:tabs>
              <w:bidi/>
              <w:spacing w:before="40" w:after="40"/>
              <w:rPr>
                <w:sz w:val="17"/>
                <w:szCs w:val="17"/>
              </w:rPr>
            </w:pPr>
            <w:r>
              <w:rPr>
                <w:rFonts w:hint="cs"/>
                <w:b/>
                <w:bCs/>
                <w:sz w:val="17"/>
                <w:szCs w:val="17"/>
                <w:u w:val="single"/>
                <w:rtl/>
              </w:rPr>
              <w:t>هامش التدفقات النقدية</w:t>
            </w:r>
            <w:r>
              <w:rPr>
                <w:sz w:val="17"/>
                <w:szCs w:val="17"/>
              </w:rPr>
              <w:t xml:space="preserve"> </w:t>
            </w:r>
            <w:r w:rsidRPr="00155339">
              <w:rPr>
                <w:sz w:val="17"/>
                <w:szCs w:val="17"/>
                <w:vertAlign w:val="superscript"/>
              </w:rPr>
              <w:t>(</w:t>
            </w:r>
            <w:r w:rsidRPr="00155339">
              <w:rPr>
                <w:b/>
                <w:bCs/>
                <w:sz w:val="17"/>
                <w:szCs w:val="17"/>
                <w:vertAlign w:val="superscript"/>
              </w:rPr>
              <w:t>a</w:t>
            </w:r>
            <w:r w:rsidRPr="00155339">
              <w:rPr>
                <w:sz w:val="17"/>
                <w:szCs w:val="17"/>
                <w:vertAlign w:val="superscript"/>
              </w:rPr>
              <w:t xml:space="preserve"> over </w:t>
            </w:r>
            <w:r w:rsidRPr="00155339">
              <w:rPr>
                <w:b/>
                <w:bCs/>
                <w:sz w:val="17"/>
                <w:szCs w:val="17"/>
                <w:vertAlign w:val="superscript"/>
              </w:rPr>
              <w:t>b</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5F2AD0D5" w14:textId="77777777" w:rsidR="000028EE" w:rsidRPr="00E834EF" w:rsidRDefault="000028EE" w:rsidP="00922116">
            <w:pPr>
              <w:spacing w:before="40" w:after="40"/>
              <w:rPr>
                <w:sz w:val="17"/>
                <w:szCs w:val="17"/>
              </w:rPr>
            </w:pPr>
          </w:p>
        </w:tc>
        <w:tc>
          <w:tcPr>
            <w:tcW w:w="913" w:type="dxa"/>
            <w:tcBorders>
              <w:top w:val="single" w:sz="4" w:space="0" w:color="auto"/>
              <w:bottom w:val="double" w:sz="4" w:space="0" w:color="auto"/>
            </w:tcBorders>
          </w:tcPr>
          <w:p w14:paraId="089A6E3F" w14:textId="77777777" w:rsidR="000028EE" w:rsidRPr="00D4755F" w:rsidRDefault="002C0E32" w:rsidP="00922116">
            <w:pPr>
              <w:spacing w:before="40" w:after="40"/>
              <w:jc w:val="right"/>
              <w:rPr>
                <w:b/>
                <w:bCs/>
                <w:color w:val="000000"/>
                <w:sz w:val="17"/>
                <w:szCs w:val="17"/>
              </w:rPr>
            </w:pPr>
            <w:r>
              <w:rPr>
                <w:b/>
                <w:bCs/>
                <w:sz w:val="17"/>
                <w:szCs w:val="17"/>
              </w:rPr>
              <w:t>37.0</w:t>
            </w:r>
            <w:r w:rsidR="00087B1E">
              <w:rPr>
                <w:b/>
                <w:bCs/>
                <w:sz w:val="17"/>
                <w:szCs w:val="17"/>
              </w:rPr>
              <w:t>%</w:t>
            </w:r>
          </w:p>
        </w:tc>
        <w:tc>
          <w:tcPr>
            <w:tcW w:w="252" w:type="dxa"/>
            <w:gridSpan w:val="2"/>
            <w:vAlign w:val="bottom"/>
          </w:tcPr>
          <w:p w14:paraId="27842BD3" w14:textId="77777777" w:rsidR="000028EE" w:rsidRPr="00D4755F" w:rsidRDefault="000028EE" w:rsidP="00922116">
            <w:pPr>
              <w:spacing w:before="40" w:after="40"/>
              <w:rPr>
                <w:b/>
                <w:bCs/>
                <w:color w:val="000000"/>
                <w:sz w:val="17"/>
                <w:szCs w:val="17"/>
              </w:rPr>
            </w:pPr>
            <w:r w:rsidRPr="00D4755F">
              <w:rPr>
                <w:b/>
                <w:bCs/>
                <w:sz w:val="17"/>
                <w:szCs w:val="17"/>
              </w:rPr>
              <w:t>%</w:t>
            </w:r>
          </w:p>
        </w:tc>
        <w:tc>
          <w:tcPr>
            <w:tcW w:w="924" w:type="dxa"/>
            <w:tcBorders>
              <w:top w:val="single" w:sz="4" w:space="0" w:color="auto"/>
              <w:bottom w:val="double" w:sz="4" w:space="0" w:color="auto"/>
            </w:tcBorders>
          </w:tcPr>
          <w:p w14:paraId="1491F554" w14:textId="2B2C9728" w:rsidR="000028EE" w:rsidRPr="00D4755F" w:rsidRDefault="00544F64" w:rsidP="00922116">
            <w:pPr>
              <w:spacing w:before="40" w:after="40"/>
              <w:jc w:val="right"/>
              <w:rPr>
                <w:b/>
                <w:bCs/>
                <w:color w:val="000000"/>
                <w:sz w:val="17"/>
                <w:szCs w:val="17"/>
              </w:rPr>
            </w:pPr>
            <w:r>
              <w:rPr>
                <w:b/>
                <w:bCs/>
                <w:sz w:val="17"/>
                <w:szCs w:val="17"/>
              </w:rPr>
              <w:t>31.2</w:t>
            </w:r>
          </w:p>
        </w:tc>
        <w:tc>
          <w:tcPr>
            <w:tcW w:w="242" w:type="dxa"/>
            <w:vAlign w:val="bottom"/>
          </w:tcPr>
          <w:p w14:paraId="3E7D496B" w14:textId="77777777" w:rsidR="000028EE" w:rsidRPr="00D4755F" w:rsidRDefault="000028EE" w:rsidP="00922116">
            <w:pPr>
              <w:spacing w:before="40" w:after="40"/>
              <w:rPr>
                <w:b/>
                <w:bCs/>
                <w:color w:val="000000"/>
                <w:sz w:val="17"/>
                <w:szCs w:val="17"/>
              </w:rPr>
            </w:pPr>
            <w:r w:rsidRPr="00D4755F">
              <w:rPr>
                <w:b/>
                <w:bCs/>
                <w:sz w:val="17"/>
                <w:szCs w:val="17"/>
              </w:rPr>
              <w:t>%</w:t>
            </w:r>
          </w:p>
        </w:tc>
        <w:tc>
          <w:tcPr>
            <w:tcW w:w="924" w:type="dxa"/>
            <w:tcBorders>
              <w:top w:val="single" w:sz="4" w:space="0" w:color="auto"/>
              <w:bottom w:val="double" w:sz="4" w:space="0" w:color="auto"/>
            </w:tcBorders>
          </w:tcPr>
          <w:p w14:paraId="677666A9" w14:textId="77777777" w:rsidR="000028EE" w:rsidRPr="00D4755F" w:rsidRDefault="002C0E32" w:rsidP="00922116">
            <w:pPr>
              <w:spacing w:before="40" w:after="40"/>
              <w:jc w:val="right"/>
              <w:rPr>
                <w:b/>
                <w:bCs/>
                <w:color w:val="000000"/>
                <w:sz w:val="17"/>
                <w:szCs w:val="17"/>
              </w:rPr>
            </w:pPr>
            <w:r>
              <w:rPr>
                <w:b/>
                <w:bCs/>
                <w:sz w:val="17"/>
                <w:szCs w:val="17"/>
              </w:rPr>
              <w:t>64.5</w:t>
            </w:r>
          </w:p>
        </w:tc>
        <w:tc>
          <w:tcPr>
            <w:tcW w:w="242" w:type="dxa"/>
            <w:vAlign w:val="bottom"/>
          </w:tcPr>
          <w:p w14:paraId="444D449A" w14:textId="77777777" w:rsidR="000028EE" w:rsidRPr="00D4755F" w:rsidRDefault="000028EE" w:rsidP="00922116">
            <w:pPr>
              <w:spacing w:before="40" w:after="40"/>
              <w:rPr>
                <w:b/>
                <w:bCs/>
                <w:sz w:val="17"/>
                <w:szCs w:val="17"/>
              </w:rPr>
            </w:pPr>
          </w:p>
        </w:tc>
        <w:tc>
          <w:tcPr>
            <w:tcW w:w="924" w:type="dxa"/>
            <w:tcBorders>
              <w:top w:val="single" w:sz="4" w:space="0" w:color="auto"/>
              <w:bottom w:val="double" w:sz="4" w:space="0" w:color="auto"/>
            </w:tcBorders>
            <w:vAlign w:val="bottom"/>
          </w:tcPr>
          <w:p w14:paraId="634D8E4D" w14:textId="77777777" w:rsidR="000028EE" w:rsidRPr="00D4755F" w:rsidRDefault="002C0E32" w:rsidP="00922116">
            <w:pPr>
              <w:spacing w:before="40" w:after="40"/>
              <w:jc w:val="right"/>
              <w:rPr>
                <w:b/>
                <w:bCs/>
                <w:sz w:val="17"/>
                <w:szCs w:val="17"/>
              </w:rPr>
            </w:pPr>
            <w:r w:rsidRPr="002B3282">
              <w:rPr>
                <w:sz w:val="17"/>
                <w:szCs w:val="17"/>
              </w:rPr>
              <w:t>—</w:t>
            </w:r>
          </w:p>
        </w:tc>
        <w:tc>
          <w:tcPr>
            <w:tcW w:w="227" w:type="dxa"/>
            <w:vAlign w:val="bottom"/>
          </w:tcPr>
          <w:p w14:paraId="31590F51" w14:textId="77777777" w:rsidR="000028EE" w:rsidRPr="00D4755F" w:rsidRDefault="000028EE" w:rsidP="00922116">
            <w:pPr>
              <w:spacing w:before="40" w:after="40"/>
              <w:rPr>
                <w:b/>
                <w:bCs/>
                <w:sz w:val="17"/>
                <w:szCs w:val="17"/>
              </w:rPr>
            </w:pPr>
            <w:r w:rsidRPr="00D4755F">
              <w:rPr>
                <w:b/>
                <w:bCs/>
                <w:sz w:val="17"/>
                <w:szCs w:val="17"/>
              </w:rPr>
              <w:t>%</w:t>
            </w:r>
          </w:p>
        </w:tc>
        <w:tc>
          <w:tcPr>
            <w:tcW w:w="939" w:type="dxa"/>
            <w:tcBorders>
              <w:top w:val="single" w:sz="4" w:space="0" w:color="auto"/>
              <w:bottom w:val="double" w:sz="4" w:space="0" w:color="auto"/>
            </w:tcBorders>
            <w:vAlign w:val="bottom"/>
          </w:tcPr>
          <w:p w14:paraId="40AD6D1E" w14:textId="77777777" w:rsidR="000028EE" w:rsidRPr="00D4755F" w:rsidRDefault="002937F3" w:rsidP="00922116">
            <w:pPr>
              <w:spacing w:before="40" w:after="40"/>
              <w:jc w:val="right"/>
              <w:rPr>
                <w:b/>
                <w:bCs/>
                <w:sz w:val="17"/>
                <w:szCs w:val="17"/>
              </w:rPr>
            </w:pPr>
            <w:r>
              <w:rPr>
                <w:b/>
                <w:bCs/>
                <w:sz w:val="17"/>
                <w:szCs w:val="17"/>
              </w:rPr>
              <w:t>48.2</w:t>
            </w:r>
          </w:p>
        </w:tc>
        <w:tc>
          <w:tcPr>
            <w:tcW w:w="266" w:type="dxa"/>
            <w:vAlign w:val="bottom"/>
          </w:tcPr>
          <w:p w14:paraId="583FF7CE" w14:textId="77777777" w:rsidR="000028EE" w:rsidRPr="000D2863" w:rsidRDefault="000028EE" w:rsidP="00922116">
            <w:pPr>
              <w:spacing w:before="40" w:after="40"/>
              <w:rPr>
                <w:b/>
                <w:bCs/>
                <w:sz w:val="17"/>
                <w:szCs w:val="17"/>
              </w:rPr>
            </w:pPr>
          </w:p>
        </w:tc>
      </w:tr>
    </w:tbl>
    <w:p w14:paraId="46CC6469" w14:textId="77777777" w:rsidR="000028EE" w:rsidRDefault="000028EE" w:rsidP="000028EE">
      <w:pPr>
        <w:autoSpaceDE w:val="0"/>
        <w:autoSpaceDN w:val="0"/>
        <w:bidi/>
        <w:adjustRightInd w:val="0"/>
        <w:jc w:val="both"/>
        <w:rPr>
          <w:rFonts w:ascii="Traditional Arabic" w:hAnsi="Traditional Arabic" w:cs="Traditional Arabic"/>
          <w:sz w:val="30"/>
          <w:szCs w:val="30"/>
          <w:rtl/>
          <w:lang w:bidi="ar-EG"/>
        </w:rPr>
      </w:pPr>
    </w:p>
    <w:p w14:paraId="2A34FCB8" w14:textId="77777777" w:rsidR="00D568A2" w:rsidRDefault="00D568A2" w:rsidP="00D568A2">
      <w:pPr>
        <w:autoSpaceDE w:val="0"/>
        <w:autoSpaceDN w:val="0"/>
        <w:bidi/>
        <w:adjustRightInd w:val="0"/>
        <w:jc w:val="both"/>
        <w:rPr>
          <w:rFonts w:ascii="Traditional Arabic" w:hAnsi="Traditional Arabic" w:cs="Traditional Arabic"/>
          <w:sz w:val="30"/>
          <w:szCs w:val="30"/>
          <w:rtl/>
          <w:lang w:bidi="ar-EG"/>
        </w:rPr>
      </w:pPr>
      <w:r w:rsidRPr="00D568A2">
        <w:rPr>
          <w:rFonts w:ascii="Traditional Arabic" w:hAnsi="Traditional Arabic" w:cs="Traditional Arabic"/>
          <w:sz w:val="30"/>
          <w:szCs w:val="30"/>
          <w:rtl/>
          <w:lang w:bidi="ar-EG"/>
        </w:rPr>
        <w:t>(</w:t>
      </w:r>
      <w:r w:rsidR="00947885">
        <w:rPr>
          <w:rFonts w:ascii="Traditional Arabic" w:hAnsi="Traditional Arabic" w:cs="Traditional Arabic" w:hint="cs"/>
          <w:sz w:val="30"/>
          <w:szCs w:val="30"/>
          <w:rtl/>
        </w:rPr>
        <w:t>10</w:t>
      </w:r>
      <w:r w:rsidRPr="00D568A2">
        <w:rPr>
          <w:rFonts w:ascii="Traditional Arabic" w:hAnsi="Traditional Arabic" w:cs="Traditional Arabic"/>
          <w:sz w:val="30"/>
          <w:szCs w:val="30"/>
          <w:rtl/>
          <w:lang w:bidi="ar-EG"/>
        </w:rPr>
        <w:t>)</w:t>
      </w:r>
      <w:r w:rsidRPr="00D568A2">
        <w:rPr>
          <w:rFonts w:ascii="Traditional Arabic" w:hAnsi="Traditional Arabic" w:cs="Traditional Arabic"/>
          <w:sz w:val="30"/>
          <w:szCs w:val="30"/>
          <w:rtl/>
          <w:lang w:bidi="ar-EG"/>
        </w:rPr>
        <w:tab/>
        <w:t>يوضح الجدول التالي تسوية صافي الدين (باستثناء عقود الإيجار) وصافي الرافعة المالية للبنود ذات الصلة في بيان المركز المالي الموحد في البيانات المالية (بالإشارة إلى الأرباح المعدلة قبل حساب الفوائد والضرائب والإهلاك والإطفاء حسب تسويتها في الجدول في الملاحظة 2 أعلاه) للفترات المشار إليها:</w:t>
      </w:r>
    </w:p>
    <w:p w14:paraId="4DCFD9E3" w14:textId="77777777" w:rsidR="00D568A2" w:rsidRDefault="00D568A2" w:rsidP="00D568A2">
      <w:pPr>
        <w:autoSpaceDE w:val="0"/>
        <w:autoSpaceDN w:val="0"/>
        <w:bidi/>
        <w:adjustRightInd w:val="0"/>
        <w:jc w:val="both"/>
        <w:rPr>
          <w:rFonts w:ascii="Traditional Arabic" w:hAnsi="Traditional Arabic" w:cs="Traditional Arabic"/>
          <w:sz w:val="30"/>
          <w:szCs w:val="30"/>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CF0700" w:rsidRPr="00E834EF" w14:paraId="4612F55E" w14:textId="77777777" w:rsidTr="00272B36">
        <w:trPr>
          <w:tblHeader/>
        </w:trPr>
        <w:tc>
          <w:tcPr>
            <w:tcW w:w="3254" w:type="dxa"/>
          </w:tcPr>
          <w:p w14:paraId="39E6B866" w14:textId="77777777" w:rsidR="00CF0700" w:rsidRPr="00E834EF" w:rsidRDefault="00CF0700" w:rsidP="00CF0700">
            <w:pPr>
              <w:keepNext/>
              <w:bidi/>
              <w:spacing w:before="40" w:after="120"/>
              <w:rPr>
                <w:b/>
                <w:sz w:val="17"/>
                <w:szCs w:val="17"/>
              </w:rPr>
            </w:pPr>
          </w:p>
        </w:tc>
        <w:tc>
          <w:tcPr>
            <w:tcW w:w="242" w:type="dxa"/>
          </w:tcPr>
          <w:p w14:paraId="633D0036" w14:textId="77777777" w:rsidR="00CF0700" w:rsidRPr="00E834EF" w:rsidRDefault="00CF0700" w:rsidP="00922116">
            <w:pPr>
              <w:spacing w:before="40" w:after="40"/>
              <w:rPr>
                <w:sz w:val="17"/>
                <w:szCs w:val="17"/>
              </w:rPr>
            </w:pPr>
          </w:p>
        </w:tc>
        <w:tc>
          <w:tcPr>
            <w:tcW w:w="3255" w:type="dxa"/>
            <w:gridSpan w:val="6"/>
            <w:tcBorders>
              <w:bottom w:val="single" w:sz="4" w:space="0" w:color="auto"/>
            </w:tcBorders>
          </w:tcPr>
          <w:p w14:paraId="363E0BAF" w14:textId="77777777" w:rsidR="00CF0700" w:rsidRPr="00E834EF" w:rsidRDefault="00CF0700" w:rsidP="00922116">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0552F9EA" w14:textId="77777777" w:rsidR="00CF0700" w:rsidRPr="00E834EF" w:rsidRDefault="00CF0700" w:rsidP="00922116">
            <w:pPr>
              <w:spacing w:before="40" w:after="40"/>
              <w:rPr>
                <w:sz w:val="17"/>
                <w:szCs w:val="17"/>
              </w:rPr>
            </w:pPr>
          </w:p>
        </w:tc>
        <w:tc>
          <w:tcPr>
            <w:tcW w:w="2090" w:type="dxa"/>
            <w:gridSpan w:val="3"/>
            <w:tcBorders>
              <w:bottom w:val="single" w:sz="4" w:space="0" w:color="auto"/>
            </w:tcBorders>
          </w:tcPr>
          <w:p w14:paraId="5B4A4878" w14:textId="77777777" w:rsidR="00CF0700" w:rsidRPr="00E834EF" w:rsidRDefault="00CF0700" w:rsidP="00922116">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4BCB01DA" w14:textId="77777777" w:rsidR="00CF0700" w:rsidRPr="00E834EF" w:rsidRDefault="00CF0700" w:rsidP="00922116">
            <w:pPr>
              <w:keepNext/>
              <w:spacing w:before="40" w:after="120"/>
              <w:jc w:val="center"/>
              <w:rPr>
                <w:b/>
                <w:sz w:val="17"/>
                <w:szCs w:val="17"/>
              </w:rPr>
            </w:pPr>
          </w:p>
        </w:tc>
      </w:tr>
      <w:tr w:rsidR="00CF0700" w:rsidRPr="00E834EF" w14:paraId="4F98780D" w14:textId="77777777" w:rsidTr="00272B36">
        <w:trPr>
          <w:tblHeader/>
        </w:trPr>
        <w:tc>
          <w:tcPr>
            <w:tcW w:w="3254" w:type="dxa"/>
          </w:tcPr>
          <w:p w14:paraId="605BE393" w14:textId="77777777" w:rsidR="00CF0700" w:rsidRPr="00E834EF" w:rsidRDefault="00CF0700" w:rsidP="00CF0700">
            <w:pPr>
              <w:keepNext/>
              <w:bidi/>
              <w:spacing w:before="40" w:after="120"/>
              <w:rPr>
                <w:b/>
                <w:sz w:val="17"/>
                <w:szCs w:val="17"/>
              </w:rPr>
            </w:pPr>
          </w:p>
        </w:tc>
        <w:tc>
          <w:tcPr>
            <w:tcW w:w="242" w:type="dxa"/>
          </w:tcPr>
          <w:p w14:paraId="403662BB" w14:textId="77777777" w:rsidR="00CF0700" w:rsidRPr="00E834EF" w:rsidRDefault="00CF0700" w:rsidP="00922116">
            <w:pPr>
              <w:spacing w:before="40" w:after="40"/>
              <w:rPr>
                <w:sz w:val="17"/>
                <w:szCs w:val="17"/>
              </w:rPr>
            </w:pPr>
          </w:p>
        </w:tc>
        <w:tc>
          <w:tcPr>
            <w:tcW w:w="923" w:type="dxa"/>
            <w:gridSpan w:val="2"/>
            <w:tcBorders>
              <w:top w:val="single" w:sz="4" w:space="0" w:color="auto"/>
              <w:bottom w:val="single" w:sz="4" w:space="0" w:color="auto"/>
            </w:tcBorders>
          </w:tcPr>
          <w:p w14:paraId="01768218" w14:textId="77777777" w:rsidR="00CF0700" w:rsidRPr="00E834EF" w:rsidRDefault="00CF0700" w:rsidP="00922116">
            <w:pPr>
              <w:keepNext/>
              <w:spacing w:before="40" w:after="120"/>
              <w:jc w:val="right"/>
              <w:rPr>
                <w:b/>
                <w:sz w:val="17"/>
                <w:szCs w:val="17"/>
              </w:rPr>
            </w:pPr>
            <w:r w:rsidRPr="00E834EF">
              <w:rPr>
                <w:b/>
                <w:sz w:val="17"/>
                <w:szCs w:val="17"/>
              </w:rPr>
              <w:t>2021</w:t>
            </w:r>
          </w:p>
        </w:tc>
        <w:tc>
          <w:tcPr>
            <w:tcW w:w="242" w:type="dxa"/>
          </w:tcPr>
          <w:p w14:paraId="3A69843F" w14:textId="77777777" w:rsidR="00CF0700" w:rsidRPr="00E834EF" w:rsidRDefault="00CF0700" w:rsidP="00922116">
            <w:pPr>
              <w:spacing w:before="40" w:after="40"/>
              <w:rPr>
                <w:sz w:val="17"/>
                <w:szCs w:val="17"/>
              </w:rPr>
            </w:pPr>
          </w:p>
        </w:tc>
        <w:tc>
          <w:tcPr>
            <w:tcW w:w="924" w:type="dxa"/>
            <w:tcBorders>
              <w:top w:val="single" w:sz="4" w:space="0" w:color="auto"/>
              <w:bottom w:val="single" w:sz="4" w:space="0" w:color="auto"/>
            </w:tcBorders>
          </w:tcPr>
          <w:p w14:paraId="7D034132" w14:textId="77777777" w:rsidR="00CF0700" w:rsidRPr="00E834EF" w:rsidRDefault="00CF0700" w:rsidP="00922116">
            <w:pPr>
              <w:keepNext/>
              <w:spacing w:before="40" w:after="120"/>
              <w:jc w:val="right"/>
              <w:rPr>
                <w:b/>
                <w:sz w:val="17"/>
                <w:szCs w:val="17"/>
              </w:rPr>
            </w:pPr>
            <w:r w:rsidRPr="00E834EF">
              <w:rPr>
                <w:b/>
                <w:sz w:val="17"/>
                <w:szCs w:val="17"/>
              </w:rPr>
              <w:t>2022</w:t>
            </w:r>
          </w:p>
        </w:tc>
        <w:tc>
          <w:tcPr>
            <w:tcW w:w="242" w:type="dxa"/>
          </w:tcPr>
          <w:p w14:paraId="00E91E71" w14:textId="77777777" w:rsidR="00CF0700" w:rsidRPr="00E834EF" w:rsidRDefault="00CF0700" w:rsidP="00922116">
            <w:pPr>
              <w:spacing w:before="40" w:after="40"/>
              <w:rPr>
                <w:sz w:val="17"/>
                <w:szCs w:val="17"/>
              </w:rPr>
            </w:pPr>
          </w:p>
        </w:tc>
        <w:tc>
          <w:tcPr>
            <w:tcW w:w="924" w:type="dxa"/>
            <w:tcBorders>
              <w:top w:val="single" w:sz="4" w:space="0" w:color="auto"/>
              <w:bottom w:val="single" w:sz="4" w:space="0" w:color="auto"/>
            </w:tcBorders>
          </w:tcPr>
          <w:p w14:paraId="0A419186" w14:textId="77777777" w:rsidR="00CF0700" w:rsidRPr="00E834EF" w:rsidRDefault="00CF0700" w:rsidP="00922116">
            <w:pPr>
              <w:keepNext/>
              <w:spacing w:before="40" w:after="120"/>
              <w:jc w:val="right"/>
              <w:rPr>
                <w:b/>
                <w:sz w:val="17"/>
                <w:szCs w:val="17"/>
              </w:rPr>
            </w:pPr>
            <w:r w:rsidRPr="00E834EF">
              <w:rPr>
                <w:b/>
                <w:sz w:val="17"/>
                <w:szCs w:val="17"/>
              </w:rPr>
              <w:t>2023</w:t>
            </w:r>
          </w:p>
        </w:tc>
        <w:tc>
          <w:tcPr>
            <w:tcW w:w="242" w:type="dxa"/>
          </w:tcPr>
          <w:p w14:paraId="10786533" w14:textId="77777777" w:rsidR="00CF0700" w:rsidRPr="00E834EF" w:rsidRDefault="00CF0700" w:rsidP="00922116">
            <w:pPr>
              <w:spacing w:before="40" w:after="40"/>
              <w:rPr>
                <w:sz w:val="17"/>
                <w:szCs w:val="17"/>
              </w:rPr>
            </w:pPr>
          </w:p>
        </w:tc>
        <w:tc>
          <w:tcPr>
            <w:tcW w:w="924" w:type="dxa"/>
            <w:tcBorders>
              <w:top w:val="single" w:sz="4" w:space="0" w:color="auto"/>
              <w:bottom w:val="single" w:sz="4" w:space="0" w:color="auto"/>
            </w:tcBorders>
          </w:tcPr>
          <w:p w14:paraId="75CF183F" w14:textId="77777777" w:rsidR="00CF0700" w:rsidRPr="00E834EF" w:rsidRDefault="00CF0700" w:rsidP="00922116">
            <w:pPr>
              <w:keepNext/>
              <w:spacing w:before="40" w:after="120"/>
              <w:jc w:val="right"/>
              <w:rPr>
                <w:b/>
                <w:sz w:val="17"/>
                <w:szCs w:val="17"/>
              </w:rPr>
            </w:pPr>
            <w:r w:rsidRPr="00E834EF">
              <w:rPr>
                <w:b/>
                <w:sz w:val="17"/>
                <w:szCs w:val="17"/>
              </w:rPr>
              <w:t>2023</w:t>
            </w:r>
          </w:p>
        </w:tc>
        <w:tc>
          <w:tcPr>
            <w:tcW w:w="227" w:type="dxa"/>
          </w:tcPr>
          <w:p w14:paraId="24E232B8" w14:textId="77777777" w:rsidR="00CF0700" w:rsidRPr="00E834EF" w:rsidRDefault="00CF0700" w:rsidP="00922116">
            <w:pPr>
              <w:spacing w:before="40" w:after="40"/>
              <w:rPr>
                <w:sz w:val="17"/>
                <w:szCs w:val="17"/>
              </w:rPr>
            </w:pPr>
          </w:p>
        </w:tc>
        <w:tc>
          <w:tcPr>
            <w:tcW w:w="939" w:type="dxa"/>
            <w:tcBorders>
              <w:top w:val="single" w:sz="4" w:space="0" w:color="auto"/>
              <w:bottom w:val="single" w:sz="4" w:space="0" w:color="auto"/>
            </w:tcBorders>
          </w:tcPr>
          <w:p w14:paraId="14C08873" w14:textId="77777777" w:rsidR="00CF0700" w:rsidRPr="00E834EF" w:rsidRDefault="00CF0700" w:rsidP="00922116">
            <w:pPr>
              <w:keepNext/>
              <w:spacing w:before="40" w:after="120"/>
              <w:jc w:val="right"/>
              <w:rPr>
                <w:b/>
                <w:sz w:val="17"/>
                <w:szCs w:val="17"/>
              </w:rPr>
            </w:pPr>
            <w:r w:rsidRPr="00E834EF">
              <w:rPr>
                <w:b/>
                <w:sz w:val="17"/>
                <w:szCs w:val="17"/>
              </w:rPr>
              <w:t>2024</w:t>
            </w:r>
          </w:p>
        </w:tc>
        <w:tc>
          <w:tcPr>
            <w:tcW w:w="266" w:type="dxa"/>
          </w:tcPr>
          <w:p w14:paraId="393F61D2" w14:textId="77777777" w:rsidR="00CF0700" w:rsidRPr="00E834EF" w:rsidRDefault="00CF0700" w:rsidP="00922116">
            <w:pPr>
              <w:keepNext/>
              <w:spacing w:before="40" w:after="120"/>
              <w:jc w:val="right"/>
              <w:rPr>
                <w:b/>
                <w:sz w:val="17"/>
                <w:szCs w:val="17"/>
              </w:rPr>
            </w:pPr>
          </w:p>
        </w:tc>
      </w:tr>
      <w:tr w:rsidR="00CF0700" w:rsidRPr="00E834EF" w14:paraId="251A3360" w14:textId="77777777" w:rsidTr="00272B36">
        <w:trPr>
          <w:trHeight w:val="215"/>
          <w:tblHeader/>
        </w:trPr>
        <w:tc>
          <w:tcPr>
            <w:tcW w:w="3254" w:type="dxa"/>
          </w:tcPr>
          <w:p w14:paraId="27425E7F" w14:textId="77777777" w:rsidR="00CF0700" w:rsidRPr="00E834EF" w:rsidRDefault="00CF0700" w:rsidP="00CF0700">
            <w:pPr>
              <w:keepNext/>
              <w:bidi/>
              <w:spacing w:before="40" w:after="120"/>
              <w:jc w:val="center"/>
              <w:rPr>
                <w:i/>
                <w:sz w:val="17"/>
                <w:szCs w:val="17"/>
              </w:rPr>
            </w:pPr>
          </w:p>
        </w:tc>
        <w:tc>
          <w:tcPr>
            <w:tcW w:w="242" w:type="dxa"/>
          </w:tcPr>
          <w:p w14:paraId="382FE476" w14:textId="77777777" w:rsidR="00CF0700" w:rsidRPr="00E834EF" w:rsidRDefault="00CF0700" w:rsidP="00922116">
            <w:pPr>
              <w:keepNext/>
              <w:spacing w:before="40" w:after="120"/>
              <w:jc w:val="center"/>
              <w:rPr>
                <w:i/>
                <w:sz w:val="17"/>
                <w:szCs w:val="17"/>
              </w:rPr>
            </w:pPr>
          </w:p>
        </w:tc>
        <w:tc>
          <w:tcPr>
            <w:tcW w:w="5587" w:type="dxa"/>
            <w:gridSpan w:val="10"/>
          </w:tcPr>
          <w:p w14:paraId="205C50CB" w14:textId="77777777" w:rsidR="00CF0700" w:rsidRPr="00E834EF" w:rsidRDefault="00CF0700" w:rsidP="00922116">
            <w:pPr>
              <w:keepNext/>
              <w:spacing w:before="40" w:after="120"/>
              <w:jc w:val="center"/>
              <w:rPr>
                <w:i/>
                <w:sz w:val="17"/>
                <w:szCs w:val="17"/>
              </w:rPr>
            </w:pPr>
            <w:r w:rsidRPr="00E834EF">
              <w:rPr>
                <w:i/>
                <w:color w:val="000000"/>
                <w:sz w:val="17"/>
                <w:szCs w:val="17"/>
              </w:rPr>
              <w:t>(</w:t>
            </w:r>
            <w:r>
              <w:rPr>
                <w:i/>
                <w:color w:val="000000"/>
                <w:sz w:val="17"/>
                <w:szCs w:val="17"/>
              </w:rPr>
              <w:t>OMR</w:t>
            </w:r>
            <w:r w:rsidRPr="00E834EF">
              <w:rPr>
                <w:i/>
                <w:color w:val="000000"/>
                <w:sz w:val="17"/>
                <w:szCs w:val="17"/>
              </w:rPr>
              <w:t xml:space="preserve"> </w:t>
            </w:r>
            <w:r>
              <w:rPr>
                <w:i/>
                <w:color w:val="000000"/>
                <w:sz w:val="17"/>
                <w:szCs w:val="17"/>
              </w:rPr>
              <w:t>millions</w:t>
            </w:r>
            <w:r w:rsidRPr="00E834EF">
              <w:rPr>
                <w:i/>
                <w:color w:val="000000"/>
                <w:sz w:val="17"/>
                <w:szCs w:val="17"/>
              </w:rPr>
              <w:t>, except percentages)</w:t>
            </w:r>
          </w:p>
        </w:tc>
        <w:tc>
          <w:tcPr>
            <w:tcW w:w="266" w:type="dxa"/>
            <w:vAlign w:val="bottom"/>
          </w:tcPr>
          <w:p w14:paraId="109451FE" w14:textId="77777777" w:rsidR="00CF0700" w:rsidRPr="00E834EF" w:rsidRDefault="00CF0700" w:rsidP="00922116">
            <w:pPr>
              <w:keepNext/>
              <w:spacing w:before="40" w:after="120"/>
              <w:rPr>
                <w:i/>
                <w:color w:val="000000"/>
                <w:sz w:val="17"/>
                <w:szCs w:val="17"/>
              </w:rPr>
            </w:pPr>
          </w:p>
        </w:tc>
      </w:tr>
      <w:tr w:rsidR="00CF0700" w:rsidRPr="00E834EF" w14:paraId="38B968D0" w14:textId="77777777" w:rsidTr="00272B36">
        <w:tc>
          <w:tcPr>
            <w:tcW w:w="3254" w:type="dxa"/>
            <w:vAlign w:val="bottom"/>
          </w:tcPr>
          <w:p w14:paraId="7931A2E4" w14:textId="77777777" w:rsidR="00CF0700" w:rsidRPr="00E754AA" w:rsidRDefault="00CF0700" w:rsidP="00CF0700">
            <w:pPr>
              <w:tabs>
                <w:tab w:val="right" w:leader="dot" w:pos="3255"/>
              </w:tabs>
              <w:bidi/>
              <w:spacing w:before="40" w:after="40"/>
              <w:ind w:left="357"/>
              <w:rPr>
                <w:color w:val="000000"/>
                <w:sz w:val="17"/>
                <w:szCs w:val="17"/>
              </w:rPr>
            </w:pPr>
            <w:r>
              <w:rPr>
                <w:rFonts w:hint="cs"/>
                <w:sz w:val="17"/>
                <w:szCs w:val="17"/>
                <w:rtl/>
              </w:rPr>
              <w:t xml:space="preserve">القروض والاقتراض </w:t>
            </w:r>
            <w:r>
              <w:rPr>
                <w:sz w:val="17"/>
                <w:szCs w:val="17"/>
                <w:rtl/>
              </w:rPr>
              <w:t>–</w:t>
            </w:r>
            <w:r>
              <w:rPr>
                <w:rFonts w:hint="cs"/>
                <w:sz w:val="17"/>
                <w:szCs w:val="17"/>
                <w:rtl/>
              </w:rPr>
              <w:t xml:space="preserve"> غير متداول</w:t>
            </w:r>
            <w:r w:rsidRPr="00E754AA">
              <w:rPr>
                <w:sz w:val="17"/>
                <w:szCs w:val="17"/>
              </w:rPr>
              <w:tab/>
            </w:r>
          </w:p>
        </w:tc>
        <w:tc>
          <w:tcPr>
            <w:tcW w:w="242" w:type="dxa"/>
            <w:vAlign w:val="bottom"/>
          </w:tcPr>
          <w:p w14:paraId="00430DCD" w14:textId="77777777" w:rsidR="00CF0700" w:rsidRPr="00E754AA" w:rsidRDefault="00CF0700" w:rsidP="00922116">
            <w:pPr>
              <w:spacing w:before="40" w:after="40"/>
              <w:rPr>
                <w:sz w:val="17"/>
                <w:szCs w:val="17"/>
              </w:rPr>
            </w:pPr>
          </w:p>
        </w:tc>
        <w:tc>
          <w:tcPr>
            <w:tcW w:w="913" w:type="dxa"/>
            <w:vAlign w:val="bottom"/>
          </w:tcPr>
          <w:p w14:paraId="27752673" w14:textId="77777777" w:rsidR="00CF0700" w:rsidRPr="00F62937" w:rsidRDefault="00CF0700" w:rsidP="00922116">
            <w:pPr>
              <w:spacing w:before="40" w:after="40"/>
              <w:jc w:val="right"/>
              <w:rPr>
                <w:color w:val="000000"/>
                <w:sz w:val="16"/>
                <w:szCs w:val="16"/>
              </w:rPr>
            </w:pPr>
            <w:r w:rsidRPr="00F62937">
              <w:rPr>
                <w:sz w:val="16"/>
                <w:szCs w:val="16"/>
              </w:rPr>
              <w:t>553.8</w:t>
            </w:r>
          </w:p>
        </w:tc>
        <w:tc>
          <w:tcPr>
            <w:tcW w:w="252" w:type="dxa"/>
            <w:gridSpan w:val="2"/>
            <w:vAlign w:val="bottom"/>
          </w:tcPr>
          <w:p w14:paraId="5450CD5D" w14:textId="77777777" w:rsidR="00CF0700" w:rsidRPr="00F62937" w:rsidRDefault="00CF0700" w:rsidP="00922116">
            <w:pPr>
              <w:spacing w:before="40" w:after="40"/>
              <w:rPr>
                <w:color w:val="000000"/>
                <w:sz w:val="16"/>
                <w:szCs w:val="16"/>
              </w:rPr>
            </w:pPr>
          </w:p>
        </w:tc>
        <w:tc>
          <w:tcPr>
            <w:tcW w:w="924" w:type="dxa"/>
            <w:vAlign w:val="bottom"/>
          </w:tcPr>
          <w:p w14:paraId="3AE34ADE" w14:textId="77777777" w:rsidR="00CF0700" w:rsidRPr="00F62937" w:rsidRDefault="00CF0700" w:rsidP="00922116">
            <w:pPr>
              <w:spacing w:before="40" w:after="40"/>
              <w:jc w:val="right"/>
              <w:rPr>
                <w:color w:val="000000"/>
                <w:sz w:val="16"/>
                <w:szCs w:val="16"/>
              </w:rPr>
            </w:pPr>
            <w:r w:rsidRPr="00F62937">
              <w:rPr>
                <w:sz w:val="16"/>
                <w:szCs w:val="16"/>
              </w:rPr>
              <w:t>502.1</w:t>
            </w:r>
          </w:p>
        </w:tc>
        <w:tc>
          <w:tcPr>
            <w:tcW w:w="242" w:type="dxa"/>
            <w:vAlign w:val="bottom"/>
          </w:tcPr>
          <w:p w14:paraId="3CBBF792" w14:textId="77777777" w:rsidR="00CF0700" w:rsidRPr="00F62937" w:rsidRDefault="00CF0700" w:rsidP="00922116">
            <w:pPr>
              <w:spacing w:before="40" w:after="40"/>
              <w:rPr>
                <w:color w:val="000000"/>
                <w:sz w:val="16"/>
                <w:szCs w:val="16"/>
              </w:rPr>
            </w:pPr>
          </w:p>
        </w:tc>
        <w:tc>
          <w:tcPr>
            <w:tcW w:w="924" w:type="dxa"/>
            <w:vAlign w:val="bottom"/>
          </w:tcPr>
          <w:p w14:paraId="12157C7A" w14:textId="77777777" w:rsidR="00CF0700" w:rsidRPr="00F62937" w:rsidRDefault="00CF0700" w:rsidP="00922116">
            <w:pPr>
              <w:spacing w:before="40" w:after="40"/>
              <w:jc w:val="right"/>
              <w:rPr>
                <w:color w:val="000000"/>
                <w:sz w:val="16"/>
                <w:szCs w:val="16"/>
              </w:rPr>
            </w:pPr>
            <w:r w:rsidRPr="00F62937">
              <w:rPr>
                <w:sz w:val="16"/>
                <w:szCs w:val="16"/>
              </w:rPr>
              <w:t>435.9</w:t>
            </w:r>
          </w:p>
        </w:tc>
        <w:tc>
          <w:tcPr>
            <w:tcW w:w="242" w:type="dxa"/>
            <w:vAlign w:val="bottom"/>
          </w:tcPr>
          <w:p w14:paraId="5D54FF07" w14:textId="77777777" w:rsidR="00CF0700" w:rsidRPr="00F62937" w:rsidRDefault="00CF0700" w:rsidP="00922116">
            <w:pPr>
              <w:spacing w:before="40" w:after="40"/>
              <w:rPr>
                <w:sz w:val="16"/>
                <w:szCs w:val="16"/>
              </w:rPr>
            </w:pPr>
          </w:p>
        </w:tc>
        <w:tc>
          <w:tcPr>
            <w:tcW w:w="924" w:type="dxa"/>
            <w:vAlign w:val="bottom"/>
          </w:tcPr>
          <w:p w14:paraId="20C89DEA" w14:textId="77777777" w:rsidR="00CF0700" w:rsidRPr="00F62937" w:rsidRDefault="00CF0700" w:rsidP="00922116">
            <w:pPr>
              <w:spacing w:before="40" w:after="40"/>
              <w:jc w:val="right"/>
              <w:rPr>
                <w:sz w:val="16"/>
                <w:szCs w:val="16"/>
              </w:rPr>
            </w:pPr>
            <w:r w:rsidRPr="002B3282">
              <w:rPr>
                <w:sz w:val="17"/>
                <w:szCs w:val="17"/>
              </w:rPr>
              <w:t>—</w:t>
            </w:r>
          </w:p>
        </w:tc>
        <w:tc>
          <w:tcPr>
            <w:tcW w:w="227" w:type="dxa"/>
            <w:vAlign w:val="bottom"/>
          </w:tcPr>
          <w:p w14:paraId="4B5EE2D6" w14:textId="77777777" w:rsidR="00CF0700" w:rsidRPr="00E754AA" w:rsidRDefault="00CF0700" w:rsidP="00922116">
            <w:pPr>
              <w:spacing w:before="40" w:after="40"/>
              <w:rPr>
                <w:sz w:val="17"/>
                <w:szCs w:val="17"/>
              </w:rPr>
            </w:pPr>
          </w:p>
        </w:tc>
        <w:tc>
          <w:tcPr>
            <w:tcW w:w="939" w:type="dxa"/>
            <w:vAlign w:val="bottom"/>
          </w:tcPr>
          <w:p w14:paraId="12311ADD" w14:textId="77777777" w:rsidR="00CF0700" w:rsidRPr="00E754AA" w:rsidRDefault="00CF0700" w:rsidP="00922116">
            <w:pPr>
              <w:spacing w:before="40" w:after="40"/>
              <w:jc w:val="right"/>
              <w:rPr>
                <w:sz w:val="17"/>
                <w:szCs w:val="17"/>
              </w:rPr>
            </w:pPr>
            <w:r w:rsidRPr="00F62937">
              <w:rPr>
                <w:sz w:val="16"/>
                <w:szCs w:val="16"/>
              </w:rPr>
              <w:t>412.3</w:t>
            </w:r>
          </w:p>
        </w:tc>
        <w:tc>
          <w:tcPr>
            <w:tcW w:w="266" w:type="dxa"/>
            <w:vAlign w:val="bottom"/>
          </w:tcPr>
          <w:p w14:paraId="00E05214" w14:textId="77777777" w:rsidR="00CF0700" w:rsidRPr="000D2863" w:rsidRDefault="00CF0700" w:rsidP="00922116">
            <w:pPr>
              <w:spacing w:before="40" w:after="40"/>
              <w:rPr>
                <w:sz w:val="17"/>
                <w:szCs w:val="17"/>
              </w:rPr>
            </w:pPr>
          </w:p>
        </w:tc>
      </w:tr>
      <w:tr w:rsidR="00CF0700" w:rsidRPr="00E834EF" w14:paraId="17B1A0DF" w14:textId="77777777" w:rsidTr="00272B36">
        <w:tc>
          <w:tcPr>
            <w:tcW w:w="3254" w:type="dxa"/>
            <w:vAlign w:val="center"/>
          </w:tcPr>
          <w:p w14:paraId="3BF6B919" w14:textId="77777777" w:rsidR="00CF0700" w:rsidRPr="00E754AA" w:rsidRDefault="00CF0700" w:rsidP="00CF0700">
            <w:pPr>
              <w:tabs>
                <w:tab w:val="right" w:leader="dot" w:pos="3255"/>
              </w:tabs>
              <w:bidi/>
              <w:spacing w:before="40" w:after="40"/>
              <w:ind w:left="357"/>
              <w:rPr>
                <w:color w:val="000000"/>
                <w:sz w:val="17"/>
                <w:szCs w:val="17"/>
              </w:rPr>
            </w:pPr>
            <w:r>
              <w:rPr>
                <w:rFonts w:hint="cs"/>
                <w:sz w:val="17"/>
                <w:szCs w:val="17"/>
                <w:rtl/>
              </w:rPr>
              <w:t>القروض والاقتراض - متداول</w:t>
            </w:r>
            <w:r w:rsidRPr="0054596C">
              <w:rPr>
                <w:sz w:val="17"/>
              </w:rPr>
              <w:tab/>
            </w:r>
          </w:p>
        </w:tc>
        <w:tc>
          <w:tcPr>
            <w:tcW w:w="242" w:type="dxa"/>
            <w:vAlign w:val="bottom"/>
          </w:tcPr>
          <w:p w14:paraId="0327C89B" w14:textId="77777777" w:rsidR="00CF0700" w:rsidRPr="00E834EF" w:rsidRDefault="00CF0700" w:rsidP="00922116">
            <w:pPr>
              <w:spacing w:before="40" w:after="40"/>
              <w:rPr>
                <w:sz w:val="17"/>
                <w:szCs w:val="17"/>
              </w:rPr>
            </w:pPr>
          </w:p>
        </w:tc>
        <w:tc>
          <w:tcPr>
            <w:tcW w:w="913" w:type="dxa"/>
            <w:vAlign w:val="bottom"/>
          </w:tcPr>
          <w:p w14:paraId="28479197" w14:textId="77777777" w:rsidR="00CF0700" w:rsidRPr="00307BE3" w:rsidRDefault="00CF0700" w:rsidP="00922116">
            <w:pPr>
              <w:spacing w:before="40" w:after="40"/>
              <w:jc w:val="right"/>
              <w:rPr>
                <w:color w:val="000000"/>
                <w:sz w:val="16"/>
                <w:szCs w:val="16"/>
              </w:rPr>
            </w:pPr>
            <w:r w:rsidRPr="00307BE3">
              <w:rPr>
                <w:sz w:val="16"/>
                <w:szCs w:val="16"/>
              </w:rPr>
              <w:t>68.7</w:t>
            </w:r>
          </w:p>
        </w:tc>
        <w:tc>
          <w:tcPr>
            <w:tcW w:w="252" w:type="dxa"/>
            <w:gridSpan w:val="2"/>
            <w:vAlign w:val="bottom"/>
          </w:tcPr>
          <w:p w14:paraId="5CA918EF" w14:textId="77777777" w:rsidR="00CF0700" w:rsidRPr="00307BE3" w:rsidRDefault="00CF0700" w:rsidP="00922116">
            <w:pPr>
              <w:spacing w:before="40" w:after="40"/>
              <w:rPr>
                <w:color w:val="000000"/>
                <w:sz w:val="16"/>
                <w:szCs w:val="16"/>
              </w:rPr>
            </w:pPr>
          </w:p>
        </w:tc>
        <w:tc>
          <w:tcPr>
            <w:tcW w:w="924" w:type="dxa"/>
            <w:vAlign w:val="bottom"/>
          </w:tcPr>
          <w:p w14:paraId="5E2E79D1" w14:textId="77777777" w:rsidR="00CF0700" w:rsidRPr="00307BE3" w:rsidRDefault="00CF0700" w:rsidP="00922116">
            <w:pPr>
              <w:spacing w:before="40" w:after="40"/>
              <w:jc w:val="right"/>
              <w:rPr>
                <w:color w:val="000000"/>
                <w:sz w:val="16"/>
                <w:szCs w:val="16"/>
              </w:rPr>
            </w:pPr>
            <w:r w:rsidRPr="00307BE3">
              <w:rPr>
                <w:sz w:val="16"/>
                <w:szCs w:val="16"/>
              </w:rPr>
              <w:t>58.3</w:t>
            </w:r>
          </w:p>
        </w:tc>
        <w:tc>
          <w:tcPr>
            <w:tcW w:w="242" w:type="dxa"/>
            <w:vAlign w:val="bottom"/>
          </w:tcPr>
          <w:p w14:paraId="38041D78" w14:textId="77777777" w:rsidR="00CF0700" w:rsidRPr="00307BE3" w:rsidRDefault="00CF0700" w:rsidP="00922116">
            <w:pPr>
              <w:spacing w:before="40" w:after="40"/>
              <w:rPr>
                <w:color w:val="000000"/>
                <w:sz w:val="16"/>
                <w:szCs w:val="16"/>
              </w:rPr>
            </w:pPr>
          </w:p>
        </w:tc>
        <w:tc>
          <w:tcPr>
            <w:tcW w:w="924" w:type="dxa"/>
            <w:vAlign w:val="bottom"/>
          </w:tcPr>
          <w:p w14:paraId="10EB5692" w14:textId="77777777" w:rsidR="00CF0700" w:rsidRPr="00307BE3" w:rsidRDefault="00CF0700" w:rsidP="00922116">
            <w:pPr>
              <w:spacing w:before="40" w:after="40"/>
              <w:jc w:val="right"/>
              <w:rPr>
                <w:color w:val="000000"/>
                <w:sz w:val="16"/>
                <w:szCs w:val="16"/>
              </w:rPr>
            </w:pPr>
            <w:r w:rsidRPr="00307BE3">
              <w:rPr>
                <w:sz w:val="16"/>
                <w:szCs w:val="16"/>
              </w:rPr>
              <w:t>68.4</w:t>
            </w:r>
          </w:p>
        </w:tc>
        <w:tc>
          <w:tcPr>
            <w:tcW w:w="242" w:type="dxa"/>
            <w:vAlign w:val="bottom"/>
          </w:tcPr>
          <w:p w14:paraId="2F64C794" w14:textId="77777777" w:rsidR="00CF0700" w:rsidRPr="00307BE3" w:rsidRDefault="00CF0700" w:rsidP="00922116">
            <w:pPr>
              <w:spacing w:before="40" w:after="40"/>
              <w:rPr>
                <w:sz w:val="16"/>
                <w:szCs w:val="16"/>
              </w:rPr>
            </w:pPr>
          </w:p>
        </w:tc>
        <w:tc>
          <w:tcPr>
            <w:tcW w:w="924" w:type="dxa"/>
            <w:vAlign w:val="bottom"/>
          </w:tcPr>
          <w:p w14:paraId="48493682" w14:textId="77777777" w:rsidR="00CF0700" w:rsidRPr="00307BE3" w:rsidRDefault="00CF0700" w:rsidP="00922116">
            <w:pPr>
              <w:spacing w:before="40" w:after="40"/>
              <w:jc w:val="right"/>
              <w:rPr>
                <w:sz w:val="16"/>
                <w:szCs w:val="16"/>
              </w:rPr>
            </w:pPr>
            <w:r w:rsidRPr="002B3282">
              <w:rPr>
                <w:sz w:val="17"/>
                <w:szCs w:val="17"/>
              </w:rPr>
              <w:t>—</w:t>
            </w:r>
          </w:p>
        </w:tc>
        <w:tc>
          <w:tcPr>
            <w:tcW w:w="227" w:type="dxa"/>
            <w:vAlign w:val="bottom"/>
          </w:tcPr>
          <w:p w14:paraId="3BBCE67A" w14:textId="77777777" w:rsidR="00CF0700" w:rsidRPr="00E754AA" w:rsidRDefault="00CF0700" w:rsidP="00922116">
            <w:pPr>
              <w:spacing w:before="40" w:after="40"/>
              <w:rPr>
                <w:sz w:val="17"/>
                <w:szCs w:val="17"/>
              </w:rPr>
            </w:pPr>
          </w:p>
        </w:tc>
        <w:tc>
          <w:tcPr>
            <w:tcW w:w="939" w:type="dxa"/>
            <w:vAlign w:val="bottom"/>
          </w:tcPr>
          <w:p w14:paraId="58E2BA93" w14:textId="77777777" w:rsidR="00CF0700" w:rsidRPr="00E754AA" w:rsidRDefault="00CF0700" w:rsidP="00922116">
            <w:pPr>
              <w:spacing w:before="40" w:after="40"/>
              <w:jc w:val="right"/>
              <w:rPr>
                <w:sz w:val="17"/>
                <w:szCs w:val="17"/>
              </w:rPr>
            </w:pPr>
            <w:r w:rsidRPr="00307BE3">
              <w:rPr>
                <w:sz w:val="16"/>
                <w:szCs w:val="16"/>
              </w:rPr>
              <w:t>53.4</w:t>
            </w:r>
          </w:p>
        </w:tc>
        <w:tc>
          <w:tcPr>
            <w:tcW w:w="266" w:type="dxa"/>
            <w:vAlign w:val="bottom"/>
          </w:tcPr>
          <w:p w14:paraId="0D1C7498" w14:textId="77777777" w:rsidR="00CF0700" w:rsidRPr="000D2863" w:rsidRDefault="00CF0700" w:rsidP="00922116">
            <w:pPr>
              <w:spacing w:before="40" w:after="40"/>
              <w:rPr>
                <w:sz w:val="17"/>
                <w:szCs w:val="17"/>
              </w:rPr>
            </w:pPr>
          </w:p>
        </w:tc>
      </w:tr>
      <w:tr w:rsidR="00CF0700" w:rsidRPr="00E834EF" w14:paraId="4730EEB2" w14:textId="77777777" w:rsidTr="00272B36">
        <w:tc>
          <w:tcPr>
            <w:tcW w:w="3254" w:type="dxa"/>
            <w:vAlign w:val="center"/>
          </w:tcPr>
          <w:p w14:paraId="14754097" w14:textId="77777777" w:rsidR="00CF0700" w:rsidRPr="00E754AA" w:rsidRDefault="00CF0700" w:rsidP="00CF0700">
            <w:pPr>
              <w:tabs>
                <w:tab w:val="right" w:leader="dot" w:pos="3255"/>
              </w:tabs>
              <w:bidi/>
              <w:spacing w:before="40" w:after="40"/>
              <w:ind w:left="357"/>
              <w:rPr>
                <w:sz w:val="17"/>
                <w:szCs w:val="17"/>
              </w:rPr>
            </w:pPr>
            <w:r>
              <w:rPr>
                <w:rFonts w:hint="cs"/>
                <w:sz w:val="17"/>
                <w:szCs w:val="17"/>
                <w:rtl/>
              </w:rPr>
              <w:t>النقد وما في حكمه</w:t>
            </w:r>
            <w:r w:rsidRPr="0054596C">
              <w:rPr>
                <w:sz w:val="17"/>
              </w:rPr>
              <w:tab/>
            </w:r>
          </w:p>
        </w:tc>
        <w:tc>
          <w:tcPr>
            <w:tcW w:w="242" w:type="dxa"/>
            <w:vAlign w:val="bottom"/>
          </w:tcPr>
          <w:p w14:paraId="713B8F75" w14:textId="77777777" w:rsidR="00CF0700" w:rsidRPr="00E834EF" w:rsidRDefault="00647107" w:rsidP="00922116">
            <w:pPr>
              <w:spacing w:before="40" w:after="40"/>
              <w:rPr>
                <w:sz w:val="17"/>
                <w:szCs w:val="17"/>
              </w:rPr>
            </w:pPr>
            <w:r>
              <w:rPr>
                <w:sz w:val="17"/>
                <w:szCs w:val="17"/>
              </w:rPr>
              <w:t>)</w:t>
            </w:r>
          </w:p>
        </w:tc>
        <w:tc>
          <w:tcPr>
            <w:tcW w:w="913" w:type="dxa"/>
            <w:vAlign w:val="bottom"/>
          </w:tcPr>
          <w:p w14:paraId="14FB7AF6" w14:textId="77777777" w:rsidR="00CF0700" w:rsidRPr="00E754AA" w:rsidRDefault="00CF0700" w:rsidP="00922116">
            <w:pPr>
              <w:spacing w:before="40" w:after="40"/>
              <w:jc w:val="right"/>
              <w:rPr>
                <w:color w:val="000000"/>
                <w:sz w:val="17"/>
                <w:szCs w:val="17"/>
              </w:rPr>
            </w:pPr>
            <w:r>
              <w:rPr>
                <w:sz w:val="17"/>
                <w:szCs w:val="17"/>
              </w:rPr>
              <w:t>(16.8</w:t>
            </w:r>
          </w:p>
        </w:tc>
        <w:tc>
          <w:tcPr>
            <w:tcW w:w="252" w:type="dxa"/>
            <w:gridSpan w:val="2"/>
            <w:vAlign w:val="bottom"/>
          </w:tcPr>
          <w:p w14:paraId="0EA8E1CC" w14:textId="77777777" w:rsidR="00CF0700" w:rsidRPr="00E754AA" w:rsidRDefault="00CF0700" w:rsidP="00922116">
            <w:pPr>
              <w:spacing w:before="40" w:after="40"/>
              <w:rPr>
                <w:color w:val="000000"/>
                <w:sz w:val="17"/>
                <w:szCs w:val="17"/>
              </w:rPr>
            </w:pPr>
            <w:r>
              <w:rPr>
                <w:color w:val="000000"/>
                <w:sz w:val="17"/>
                <w:szCs w:val="17"/>
              </w:rPr>
              <w:t>)</w:t>
            </w:r>
          </w:p>
        </w:tc>
        <w:tc>
          <w:tcPr>
            <w:tcW w:w="924" w:type="dxa"/>
            <w:vAlign w:val="bottom"/>
          </w:tcPr>
          <w:p w14:paraId="7FEB0BF3" w14:textId="77777777" w:rsidR="00CF0700" w:rsidRPr="00E754AA" w:rsidRDefault="00CF0700" w:rsidP="00922116">
            <w:pPr>
              <w:spacing w:before="40" w:after="40"/>
              <w:jc w:val="right"/>
              <w:rPr>
                <w:color w:val="000000"/>
                <w:sz w:val="17"/>
                <w:szCs w:val="17"/>
              </w:rPr>
            </w:pPr>
            <w:r>
              <w:rPr>
                <w:sz w:val="17"/>
                <w:szCs w:val="17"/>
              </w:rPr>
              <w:t>(50.4</w:t>
            </w:r>
          </w:p>
        </w:tc>
        <w:tc>
          <w:tcPr>
            <w:tcW w:w="242" w:type="dxa"/>
            <w:vAlign w:val="bottom"/>
          </w:tcPr>
          <w:p w14:paraId="773655FF" w14:textId="77777777" w:rsidR="00CF0700" w:rsidRPr="00E754AA" w:rsidRDefault="00CF0700" w:rsidP="00922116">
            <w:pPr>
              <w:spacing w:before="40" w:after="40"/>
              <w:rPr>
                <w:color w:val="000000"/>
                <w:sz w:val="17"/>
                <w:szCs w:val="17"/>
              </w:rPr>
            </w:pPr>
            <w:r>
              <w:rPr>
                <w:color w:val="000000"/>
                <w:sz w:val="17"/>
                <w:szCs w:val="17"/>
              </w:rPr>
              <w:t>)</w:t>
            </w:r>
          </w:p>
        </w:tc>
        <w:tc>
          <w:tcPr>
            <w:tcW w:w="924" w:type="dxa"/>
            <w:vAlign w:val="bottom"/>
          </w:tcPr>
          <w:p w14:paraId="7A8E070D" w14:textId="77777777" w:rsidR="00CF0700" w:rsidRPr="00E754AA" w:rsidRDefault="00CF0700" w:rsidP="00922116">
            <w:pPr>
              <w:spacing w:before="40" w:after="40"/>
              <w:jc w:val="right"/>
              <w:rPr>
                <w:color w:val="000000"/>
                <w:sz w:val="17"/>
                <w:szCs w:val="17"/>
              </w:rPr>
            </w:pPr>
            <w:r>
              <w:rPr>
                <w:sz w:val="17"/>
                <w:szCs w:val="17"/>
              </w:rPr>
              <w:t>(52.0</w:t>
            </w:r>
          </w:p>
        </w:tc>
        <w:tc>
          <w:tcPr>
            <w:tcW w:w="242" w:type="dxa"/>
            <w:vAlign w:val="bottom"/>
          </w:tcPr>
          <w:p w14:paraId="35B181D2" w14:textId="77777777" w:rsidR="00CF0700" w:rsidRPr="00E754AA" w:rsidRDefault="00CF0700" w:rsidP="00922116">
            <w:pPr>
              <w:spacing w:before="40" w:after="40"/>
              <w:rPr>
                <w:sz w:val="17"/>
                <w:szCs w:val="17"/>
              </w:rPr>
            </w:pPr>
          </w:p>
        </w:tc>
        <w:tc>
          <w:tcPr>
            <w:tcW w:w="924" w:type="dxa"/>
            <w:vAlign w:val="bottom"/>
          </w:tcPr>
          <w:p w14:paraId="75CE381E" w14:textId="77777777" w:rsidR="00CF0700" w:rsidRPr="00E754AA" w:rsidRDefault="00CF0700" w:rsidP="00922116">
            <w:pPr>
              <w:spacing w:before="40" w:after="40"/>
              <w:jc w:val="right"/>
              <w:rPr>
                <w:sz w:val="17"/>
                <w:szCs w:val="17"/>
              </w:rPr>
            </w:pPr>
            <w:r w:rsidRPr="002B3282">
              <w:rPr>
                <w:sz w:val="17"/>
                <w:szCs w:val="17"/>
              </w:rPr>
              <w:t>—</w:t>
            </w:r>
          </w:p>
        </w:tc>
        <w:tc>
          <w:tcPr>
            <w:tcW w:w="227" w:type="dxa"/>
            <w:vAlign w:val="bottom"/>
          </w:tcPr>
          <w:p w14:paraId="034BC725" w14:textId="77777777" w:rsidR="00CF0700" w:rsidRPr="00E754AA" w:rsidRDefault="00EF7285" w:rsidP="00922116">
            <w:pPr>
              <w:spacing w:before="40" w:after="40"/>
              <w:rPr>
                <w:sz w:val="17"/>
                <w:szCs w:val="17"/>
              </w:rPr>
            </w:pPr>
            <w:r>
              <w:rPr>
                <w:sz w:val="17"/>
                <w:szCs w:val="17"/>
              </w:rPr>
              <w:t>)</w:t>
            </w:r>
          </w:p>
        </w:tc>
        <w:tc>
          <w:tcPr>
            <w:tcW w:w="939" w:type="dxa"/>
            <w:vAlign w:val="bottom"/>
          </w:tcPr>
          <w:p w14:paraId="0D238DD1" w14:textId="77777777" w:rsidR="00CF0700" w:rsidRPr="00E754AA" w:rsidRDefault="00CF0700" w:rsidP="00922116">
            <w:pPr>
              <w:spacing w:before="40" w:after="40"/>
              <w:jc w:val="right"/>
              <w:rPr>
                <w:sz w:val="17"/>
                <w:szCs w:val="17"/>
              </w:rPr>
            </w:pPr>
            <w:r>
              <w:rPr>
                <w:sz w:val="17"/>
                <w:szCs w:val="17"/>
              </w:rPr>
              <w:t>(33.3</w:t>
            </w:r>
          </w:p>
        </w:tc>
        <w:tc>
          <w:tcPr>
            <w:tcW w:w="266" w:type="dxa"/>
            <w:vAlign w:val="bottom"/>
          </w:tcPr>
          <w:p w14:paraId="28044752" w14:textId="77777777" w:rsidR="00CF0700" w:rsidRPr="000D2863" w:rsidRDefault="00CF0700" w:rsidP="00922116">
            <w:pPr>
              <w:spacing w:before="40" w:after="40"/>
              <w:rPr>
                <w:sz w:val="17"/>
                <w:szCs w:val="17"/>
              </w:rPr>
            </w:pPr>
          </w:p>
        </w:tc>
      </w:tr>
      <w:tr w:rsidR="00CF0700" w:rsidRPr="00E834EF" w14:paraId="6F5FEA1E" w14:textId="77777777" w:rsidTr="008C57E0">
        <w:tc>
          <w:tcPr>
            <w:tcW w:w="3254" w:type="dxa"/>
            <w:vAlign w:val="bottom"/>
          </w:tcPr>
          <w:p w14:paraId="3B41EC0F" w14:textId="77777777" w:rsidR="00CF0700" w:rsidRDefault="00140DFC" w:rsidP="00CF0700">
            <w:pPr>
              <w:tabs>
                <w:tab w:val="right" w:leader="dot" w:pos="3255"/>
              </w:tabs>
              <w:bidi/>
              <w:spacing w:before="40" w:after="40"/>
              <w:ind w:left="357"/>
              <w:rPr>
                <w:sz w:val="17"/>
                <w:szCs w:val="17"/>
              </w:rPr>
            </w:pPr>
            <w:r>
              <w:rPr>
                <w:rFonts w:hint="cs"/>
                <w:sz w:val="17"/>
                <w:szCs w:val="17"/>
                <w:rtl/>
              </w:rPr>
              <w:t xml:space="preserve">الودائع الثابتة والهامش </w:t>
            </w:r>
            <w:r>
              <w:rPr>
                <w:sz w:val="17"/>
                <w:szCs w:val="17"/>
                <w:rtl/>
              </w:rPr>
              <w:t>–</w:t>
            </w:r>
            <w:r>
              <w:rPr>
                <w:rFonts w:hint="cs"/>
                <w:sz w:val="17"/>
                <w:szCs w:val="17"/>
                <w:rtl/>
              </w:rPr>
              <w:t xml:space="preserve"> غير متداول</w:t>
            </w:r>
            <w:r w:rsidR="00CF0700" w:rsidRPr="00E754AA">
              <w:rPr>
                <w:sz w:val="17"/>
                <w:szCs w:val="17"/>
              </w:rPr>
              <w:tab/>
            </w:r>
          </w:p>
        </w:tc>
        <w:tc>
          <w:tcPr>
            <w:tcW w:w="242" w:type="dxa"/>
            <w:vAlign w:val="bottom"/>
          </w:tcPr>
          <w:p w14:paraId="6B09BEE2" w14:textId="77777777" w:rsidR="00CF0700" w:rsidRPr="00E834EF" w:rsidRDefault="00CF0700" w:rsidP="00922116">
            <w:pPr>
              <w:spacing w:before="40" w:after="40"/>
              <w:rPr>
                <w:sz w:val="17"/>
                <w:szCs w:val="17"/>
              </w:rPr>
            </w:pPr>
          </w:p>
        </w:tc>
        <w:tc>
          <w:tcPr>
            <w:tcW w:w="913" w:type="dxa"/>
            <w:vAlign w:val="bottom"/>
          </w:tcPr>
          <w:p w14:paraId="6FECD038" w14:textId="77777777" w:rsidR="00CF0700" w:rsidRDefault="00CF0700" w:rsidP="00922116">
            <w:pPr>
              <w:spacing w:before="40" w:after="40"/>
              <w:jc w:val="right"/>
              <w:rPr>
                <w:sz w:val="17"/>
                <w:szCs w:val="17"/>
              </w:rPr>
            </w:pPr>
            <w:r w:rsidRPr="002B3282">
              <w:rPr>
                <w:sz w:val="17"/>
                <w:szCs w:val="17"/>
              </w:rPr>
              <w:t>—</w:t>
            </w:r>
          </w:p>
        </w:tc>
        <w:tc>
          <w:tcPr>
            <w:tcW w:w="252" w:type="dxa"/>
            <w:gridSpan w:val="2"/>
            <w:vAlign w:val="bottom"/>
          </w:tcPr>
          <w:p w14:paraId="6AFCF8BD" w14:textId="77777777" w:rsidR="00CF0700" w:rsidRDefault="00CF0700" w:rsidP="00922116">
            <w:pPr>
              <w:spacing w:before="40" w:after="40"/>
              <w:rPr>
                <w:color w:val="000000"/>
                <w:sz w:val="17"/>
                <w:szCs w:val="17"/>
              </w:rPr>
            </w:pPr>
          </w:p>
        </w:tc>
        <w:tc>
          <w:tcPr>
            <w:tcW w:w="924" w:type="dxa"/>
            <w:vAlign w:val="bottom"/>
          </w:tcPr>
          <w:p w14:paraId="05DF695E" w14:textId="77777777" w:rsidR="00CF0700" w:rsidRDefault="00CF0700" w:rsidP="00922116">
            <w:pPr>
              <w:spacing w:before="40" w:after="40"/>
              <w:jc w:val="right"/>
              <w:rPr>
                <w:sz w:val="17"/>
                <w:szCs w:val="17"/>
              </w:rPr>
            </w:pPr>
            <w:r w:rsidRPr="002B3282">
              <w:rPr>
                <w:sz w:val="17"/>
                <w:szCs w:val="17"/>
              </w:rPr>
              <w:t>—</w:t>
            </w:r>
          </w:p>
        </w:tc>
        <w:tc>
          <w:tcPr>
            <w:tcW w:w="242" w:type="dxa"/>
            <w:vAlign w:val="bottom"/>
          </w:tcPr>
          <w:p w14:paraId="66D9F49E" w14:textId="77777777" w:rsidR="00CF0700" w:rsidRDefault="00CF0700" w:rsidP="00922116">
            <w:pPr>
              <w:spacing w:before="40" w:after="40"/>
              <w:rPr>
                <w:color w:val="000000"/>
                <w:sz w:val="17"/>
                <w:szCs w:val="17"/>
              </w:rPr>
            </w:pPr>
          </w:p>
        </w:tc>
        <w:tc>
          <w:tcPr>
            <w:tcW w:w="924" w:type="dxa"/>
            <w:vAlign w:val="bottom"/>
          </w:tcPr>
          <w:p w14:paraId="528A3773" w14:textId="77777777" w:rsidR="00CF0700" w:rsidRDefault="00CF0700" w:rsidP="00922116">
            <w:pPr>
              <w:spacing w:before="40" w:after="40"/>
              <w:jc w:val="right"/>
              <w:rPr>
                <w:sz w:val="17"/>
                <w:szCs w:val="17"/>
              </w:rPr>
            </w:pPr>
            <w:r w:rsidRPr="002B3282">
              <w:rPr>
                <w:sz w:val="17"/>
                <w:szCs w:val="17"/>
              </w:rPr>
              <w:t>—</w:t>
            </w:r>
          </w:p>
        </w:tc>
        <w:tc>
          <w:tcPr>
            <w:tcW w:w="242" w:type="dxa"/>
            <w:vAlign w:val="bottom"/>
          </w:tcPr>
          <w:p w14:paraId="1B7E1FC1" w14:textId="77777777" w:rsidR="00CF0700" w:rsidRDefault="00CF0700" w:rsidP="00922116">
            <w:pPr>
              <w:spacing w:before="40" w:after="40"/>
              <w:rPr>
                <w:color w:val="000000"/>
                <w:sz w:val="17"/>
                <w:szCs w:val="17"/>
              </w:rPr>
            </w:pPr>
          </w:p>
        </w:tc>
        <w:tc>
          <w:tcPr>
            <w:tcW w:w="924" w:type="dxa"/>
            <w:vAlign w:val="bottom"/>
          </w:tcPr>
          <w:p w14:paraId="5094F4F2" w14:textId="77777777" w:rsidR="00CF0700" w:rsidRPr="002B3282" w:rsidRDefault="00CF0700" w:rsidP="00922116">
            <w:pPr>
              <w:spacing w:before="40" w:after="40"/>
              <w:jc w:val="right"/>
              <w:rPr>
                <w:sz w:val="17"/>
                <w:szCs w:val="17"/>
              </w:rPr>
            </w:pPr>
            <w:r w:rsidRPr="002B3282">
              <w:rPr>
                <w:sz w:val="17"/>
                <w:szCs w:val="17"/>
              </w:rPr>
              <w:t>—</w:t>
            </w:r>
          </w:p>
        </w:tc>
        <w:tc>
          <w:tcPr>
            <w:tcW w:w="227" w:type="dxa"/>
            <w:vAlign w:val="bottom"/>
          </w:tcPr>
          <w:p w14:paraId="7D85CCD7" w14:textId="77777777" w:rsidR="00CF0700" w:rsidRPr="00E754AA" w:rsidRDefault="00EF7285" w:rsidP="00922116">
            <w:pPr>
              <w:spacing w:before="40" w:after="40"/>
              <w:rPr>
                <w:sz w:val="17"/>
                <w:szCs w:val="17"/>
              </w:rPr>
            </w:pPr>
            <w:r>
              <w:rPr>
                <w:sz w:val="17"/>
                <w:szCs w:val="17"/>
              </w:rPr>
              <w:t>)</w:t>
            </w:r>
          </w:p>
        </w:tc>
        <w:tc>
          <w:tcPr>
            <w:tcW w:w="939" w:type="dxa"/>
            <w:vAlign w:val="bottom"/>
          </w:tcPr>
          <w:p w14:paraId="111047A6" w14:textId="77777777" w:rsidR="00CF0700" w:rsidRDefault="00CF0700" w:rsidP="00922116">
            <w:pPr>
              <w:spacing w:before="40" w:after="40"/>
              <w:jc w:val="right"/>
              <w:rPr>
                <w:sz w:val="17"/>
                <w:szCs w:val="17"/>
              </w:rPr>
            </w:pPr>
            <w:r>
              <w:rPr>
                <w:sz w:val="17"/>
                <w:szCs w:val="17"/>
              </w:rPr>
              <w:t>(7.7</w:t>
            </w:r>
          </w:p>
        </w:tc>
        <w:tc>
          <w:tcPr>
            <w:tcW w:w="266" w:type="dxa"/>
            <w:vAlign w:val="bottom"/>
          </w:tcPr>
          <w:p w14:paraId="38996261" w14:textId="77777777" w:rsidR="00CF0700" w:rsidRDefault="00CF0700" w:rsidP="00922116">
            <w:pPr>
              <w:spacing w:before="40" w:after="40"/>
              <w:rPr>
                <w:color w:val="000000"/>
                <w:sz w:val="17"/>
                <w:szCs w:val="17"/>
              </w:rPr>
            </w:pPr>
          </w:p>
        </w:tc>
      </w:tr>
      <w:tr w:rsidR="00CF0700" w:rsidRPr="00E834EF" w14:paraId="696AF13C" w14:textId="77777777" w:rsidTr="008C57E0">
        <w:tc>
          <w:tcPr>
            <w:tcW w:w="3254" w:type="dxa"/>
            <w:vAlign w:val="bottom"/>
          </w:tcPr>
          <w:p w14:paraId="4DA57AA8" w14:textId="77777777" w:rsidR="00CF0700" w:rsidRPr="00E754AA" w:rsidRDefault="00140DFC" w:rsidP="00CF0700">
            <w:pPr>
              <w:tabs>
                <w:tab w:val="right" w:leader="dot" w:pos="3255"/>
              </w:tabs>
              <w:bidi/>
              <w:spacing w:before="40" w:after="40"/>
              <w:ind w:left="357"/>
              <w:rPr>
                <w:sz w:val="17"/>
                <w:szCs w:val="17"/>
              </w:rPr>
            </w:pPr>
            <w:r>
              <w:rPr>
                <w:rFonts w:hint="cs"/>
                <w:sz w:val="17"/>
                <w:szCs w:val="17"/>
                <w:rtl/>
              </w:rPr>
              <w:t>الودائع الثابتة والهامش - متداول</w:t>
            </w:r>
            <w:r w:rsidR="00CF0700" w:rsidRPr="00E754AA">
              <w:rPr>
                <w:sz w:val="17"/>
                <w:szCs w:val="17"/>
              </w:rPr>
              <w:tab/>
            </w:r>
          </w:p>
        </w:tc>
        <w:tc>
          <w:tcPr>
            <w:tcW w:w="242" w:type="dxa"/>
            <w:tcBorders>
              <w:bottom w:val="single" w:sz="4" w:space="0" w:color="auto"/>
            </w:tcBorders>
            <w:vAlign w:val="bottom"/>
          </w:tcPr>
          <w:p w14:paraId="605F5F50" w14:textId="77777777" w:rsidR="00CF0700" w:rsidRPr="00E754AA" w:rsidRDefault="00CF0700" w:rsidP="00922116">
            <w:pPr>
              <w:spacing w:before="40" w:after="40"/>
              <w:rPr>
                <w:sz w:val="17"/>
                <w:szCs w:val="17"/>
              </w:rPr>
            </w:pPr>
          </w:p>
        </w:tc>
        <w:tc>
          <w:tcPr>
            <w:tcW w:w="913" w:type="dxa"/>
            <w:tcBorders>
              <w:bottom w:val="single" w:sz="4" w:space="0" w:color="auto"/>
            </w:tcBorders>
            <w:vAlign w:val="bottom"/>
          </w:tcPr>
          <w:p w14:paraId="45D86990" w14:textId="77777777" w:rsidR="00CF0700" w:rsidRPr="00E754AA" w:rsidRDefault="00CF0700" w:rsidP="00922116">
            <w:pPr>
              <w:spacing w:before="40" w:after="40"/>
              <w:jc w:val="right"/>
              <w:rPr>
                <w:color w:val="000000"/>
                <w:sz w:val="17"/>
                <w:szCs w:val="17"/>
              </w:rPr>
            </w:pPr>
            <w:r>
              <w:rPr>
                <w:sz w:val="17"/>
                <w:szCs w:val="17"/>
              </w:rPr>
              <w:t>(80.9</w:t>
            </w:r>
            <w:r w:rsidR="00647107">
              <w:rPr>
                <w:sz w:val="17"/>
                <w:szCs w:val="17"/>
              </w:rPr>
              <w:t>)</w:t>
            </w:r>
          </w:p>
        </w:tc>
        <w:tc>
          <w:tcPr>
            <w:tcW w:w="252" w:type="dxa"/>
            <w:gridSpan w:val="2"/>
            <w:tcBorders>
              <w:bottom w:val="single" w:sz="4" w:space="0" w:color="auto"/>
            </w:tcBorders>
            <w:vAlign w:val="bottom"/>
          </w:tcPr>
          <w:p w14:paraId="1A568990" w14:textId="77777777" w:rsidR="00CF0700" w:rsidRPr="00E754AA" w:rsidRDefault="00CF0700" w:rsidP="00922116">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04E82166" w14:textId="77777777" w:rsidR="00CF0700" w:rsidRPr="00E754AA" w:rsidRDefault="00CF0700" w:rsidP="00922116">
            <w:pPr>
              <w:spacing w:before="40" w:after="40"/>
              <w:jc w:val="right"/>
              <w:rPr>
                <w:color w:val="000000"/>
                <w:sz w:val="17"/>
                <w:szCs w:val="17"/>
              </w:rPr>
            </w:pPr>
            <w:r>
              <w:rPr>
                <w:sz w:val="17"/>
                <w:szCs w:val="17"/>
              </w:rPr>
              <w:t>(79.3</w:t>
            </w:r>
          </w:p>
        </w:tc>
        <w:tc>
          <w:tcPr>
            <w:tcW w:w="242" w:type="dxa"/>
            <w:tcBorders>
              <w:bottom w:val="single" w:sz="4" w:space="0" w:color="auto"/>
            </w:tcBorders>
            <w:vAlign w:val="bottom"/>
          </w:tcPr>
          <w:p w14:paraId="5855EF7D" w14:textId="77777777" w:rsidR="00CF0700" w:rsidRPr="00E754AA" w:rsidRDefault="00CF0700" w:rsidP="00922116">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73D17968" w14:textId="77777777" w:rsidR="00CF0700" w:rsidRPr="00E754AA" w:rsidRDefault="00CF0700" w:rsidP="00922116">
            <w:pPr>
              <w:spacing w:before="40" w:after="40"/>
              <w:jc w:val="right"/>
              <w:rPr>
                <w:color w:val="000000"/>
                <w:sz w:val="17"/>
                <w:szCs w:val="17"/>
              </w:rPr>
            </w:pPr>
            <w:r>
              <w:rPr>
                <w:sz w:val="17"/>
                <w:szCs w:val="17"/>
              </w:rPr>
              <w:t>(123.8</w:t>
            </w:r>
          </w:p>
        </w:tc>
        <w:tc>
          <w:tcPr>
            <w:tcW w:w="242" w:type="dxa"/>
            <w:tcBorders>
              <w:bottom w:val="single" w:sz="4" w:space="0" w:color="auto"/>
            </w:tcBorders>
            <w:vAlign w:val="bottom"/>
          </w:tcPr>
          <w:p w14:paraId="462B734E" w14:textId="77777777" w:rsidR="00CF0700" w:rsidRPr="00E754AA" w:rsidRDefault="00CF0700" w:rsidP="00922116">
            <w:pPr>
              <w:spacing w:before="40" w:after="40"/>
              <w:rPr>
                <w:sz w:val="17"/>
                <w:szCs w:val="17"/>
              </w:rPr>
            </w:pPr>
          </w:p>
        </w:tc>
        <w:tc>
          <w:tcPr>
            <w:tcW w:w="924" w:type="dxa"/>
            <w:tcBorders>
              <w:bottom w:val="single" w:sz="4" w:space="0" w:color="auto"/>
            </w:tcBorders>
            <w:vAlign w:val="bottom"/>
          </w:tcPr>
          <w:p w14:paraId="0BF3602A" w14:textId="77777777" w:rsidR="00CF0700" w:rsidRPr="00E754AA" w:rsidRDefault="00CF0700" w:rsidP="00922116">
            <w:pPr>
              <w:spacing w:before="40" w:after="40"/>
              <w:jc w:val="right"/>
              <w:rPr>
                <w:sz w:val="17"/>
                <w:szCs w:val="17"/>
              </w:rPr>
            </w:pPr>
            <w:r w:rsidRPr="002B3282">
              <w:rPr>
                <w:sz w:val="17"/>
                <w:szCs w:val="17"/>
              </w:rPr>
              <w:t>—</w:t>
            </w:r>
          </w:p>
        </w:tc>
        <w:tc>
          <w:tcPr>
            <w:tcW w:w="227" w:type="dxa"/>
            <w:tcBorders>
              <w:bottom w:val="single" w:sz="4" w:space="0" w:color="auto"/>
            </w:tcBorders>
            <w:vAlign w:val="bottom"/>
          </w:tcPr>
          <w:p w14:paraId="12BCE328" w14:textId="77777777" w:rsidR="00CF0700" w:rsidRPr="00E754AA" w:rsidRDefault="00EF7285" w:rsidP="00922116">
            <w:pPr>
              <w:spacing w:before="40" w:after="40"/>
              <w:rPr>
                <w:sz w:val="17"/>
                <w:szCs w:val="17"/>
              </w:rPr>
            </w:pPr>
            <w:r>
              <w:rPr>
                <w:sz w:val="17"/>
                <w:szCs w:val="17"/>
              </w:rPr>
              <w:t>)</w:t>
            </w:r>
          </w:p>
        </w:tc>
        <w:tc>
          <w:tcPr>
            <w:tcW w:w="939" w:type="dxa"/>
            <w:tcBorders>
              <w:bottom w:val="single" w:sz="4" w:space="0" w:color="auto"/>
            </w:tcBorders>
            <w:vAlign w:val="bottom"/>
          </w:tcPr>
          <w:p w14:paraId="73633C56" w14:textId="77777777" w:rsidR="00CF0700" w:rsidRPr="00E754AA" w:rsidRDefault="00CF0700" w:rsidP="00922116">
            <w:pPr>
              <w:spacing w:before="40" w:after="40"/>
              <w:jc w:val="right"/>
              <w:rPr>
                <w:sz w:val="17"/>
                <w:szCs w:val="17"/>
              </w:rPr>
            </w:pPr>
            <w:r>
              <w:rPr>
                <w:sz w:val="17"/>
                <w:szCs w:val="17"/>
              </w:rPr>
              <w:t>(102.7</w:t>
            </w:r>
          </w:p>
        </w:tc>
        <w:tc>
          <w:tcPr>
            <w:tcW w:w="266" w:type="dxa"/>
            <w:vAlign w:val="bottom"/>
          </w:tcPr>
          <w:p w14:paraId="410EA208" w14:textId="77777777" w:rsidR="00CF0700" w:rsidRPr="000D2863" w:rsidRDefault="00CF0700" w:rsidP="00922116">
            <w:pPr>
              <w:spacing w:before="40" w:after="40"/>
              <w:rPr>
                <w:sz w:val="17"/>
                <w:szCs w:val="17"/>
              </w:rPr>
            </w:pPr>
          </w:p>
        </w:tc>
      </w:tr>
      <w:tr w:rsidR="00CF0700" w:rsidRPr="00E834EF" w14:paraId="76E23170" w14:textId="77777777" w:rsidTr="008C57E0">
        <w:tc>
          <w:tcPr>
            <w:tcW w:w="3254" w:type="dxa"/>
          </w:tcPr>
          <w:p w14:paraId="46B56CF4" w14:textId="77777777" w:rsidR="00CF0700" w:rsidRPr="00155339" w:rsidRDefault="00140DFC" w:rsidP="00CF0700">
            <w:pPr>
              <w:tabs>
                <w:tab w:val="right" w:leader="dot" w:pos="3255"/>
              </w:tabs>
              <w:bidi/>
              <w:spacing w:before="40" w:after="40"/>
              <w:rPr>
                <w:sz w:val="17"/>
                <w:szCs w:val="17"/>
              </w:rPr>
            </w:pPr>
            <w:r>
              <w:rPr>
                <w:rFonts w:hint="cs"/>
                <w:b/>
                <w:bCs/>
                <w:sz w:val="17"/>
                <w:szCs w:val="17"/>
                <w:u w:val="single"/>
                <w:rtl/>
              </w:rPr>
              <w:t>صافي الدين (باستثناء عقود الإيجار)</w:t>
            </w:r>
            <w:r w:rsidR="00CF0700" w:rsidRPr="00155339">
              <w:rPr>
                <w:sz w:val="17"/>
                <w:szCs w:val="17"/>
                <w:vertAlign w:val="superscript"/>
              </w:rPr>
              <w:t>(a)</w:t>
            </w:r>
            <w:r w:rsidR="00CF0700" w:rsidRPr="007D2480">
              <w:rPr>
                <w:sz w:val="17"/>
              </w:rPr>
              <w:tab/>
            </w:r>
          </w:p>
        </w:tc>
        <w:tc>
          <w:tcPr>
            <w:tcW w:w="242" w:type="dxa"/>
            <w:tcBorders>
              <w:top w:val="single" w:sz="4" w:space="0" w:color="auto"/>
            </w:tcBorders>
            <w:vAlign w:val="bottom"/>
          </w:tcPr>
          <w:p w14:paraId="3921A488" w14:textId="77777777" w:rsidR="00CF0700" w:rsidRPr="00E834EF" w:rsidRDefault="00CF0700" w:rsidP="00922116">
            <w:pPr>
              <w:spacing w:before="40" w:after="40"/>
              <w:rPr>
                <w:sz w:val="17"/>
                <w:szCs w:val="17"/>
              </w:rPr>
            </w:pPr>
          </w:p>
        </w:tc>
        <w:tc>
          <w:tcPr>
            <w:tcW w:w="913" w:type="dxa"/>
            <w:tcBorders>
              <w:top w:val="single" w:sz="4" w:space="0" w:color="auto"/>
            </w:tcBorders>
            <w:vAlign w:val="bottom"/>
          </w:tcPr>
          <w:p w14:paraId="5AB1D1B7" w14:textId="77777777" w:rsidR="00CF0700" w:rsidRPr="00A77870" w:rsidRDefault="00CF0700" w:rsidP="00922116">
            <w:pPr>
              <w:spacing w:before="40" w:after="40"/>
              <w:jc w:val="right"/>
              <w:rPr>
                <w:b/>
                <w:bCs/>
                <w:color w:val="000000"/>
                <w:sz w:val="16"/>
                <w:szCs w:val="16"/>
              </w:rPr>
            </w:pPr>
            <w:r w:rsidRPr="003832A3">
              <w:rPr>
                <w:b/>
                <w:bCs/>
                <w:sz w:val="16"/>
                <w:szCs w:val="16"/>
              </w:rPr>
              <w:t>524.8</w:t>
            </w:r>
          </w:p>
        </w:tc>
        <w:tc>
          <w:tcPr>
            <w:tcW w:w="252" w:type="dxa"/>
            <w:gridSpan w:val="2"/>
            <w:tcBorders>
              <w:top w:val="single" w:sz="4" w:space="0" w:color="auto"/>
            </w:tcBorders>
            <w:vAlign w:val="bottom"/>
          </w:tcPr>
          <w:p w14:paraId="72C7514A" w14:textId="77777777" w:rsidR="00CF0700" w:rsidRPr="00A77870" w:rsidRDefault="00CF0700" w:rsidP="00922116">
            <w:pPr>
              <w:spacing w:before="40" w:after="40"/>
              <w:jc w:val="right"/>
              <w:rPr>
                <w:b/>
                <w:bCs/>
                <w:color w:val="000000"/>
                <w:sz w:val="16"/>
                <w:szCs w:val="16"/>
              </w:rPr>
            </w:pPr>
          </w:p>
        </w:tc>
        <w:tc>
          <w:tcPr>
            <w:tcW w:w="924" w:type="dxa"/>
            <w:tcBorders>
              <w:top w:val="single" w:sz="4" w:space="0" w:color="auto"/>
            </w:tcBorders>
            <w:vAlign w:val="bottom"/>
          </w:tcPr>
          <w:p w14:paraId="63866EBB" w14:textId="77777777" w:rsidR="00CF0700" w:rsidRPr="00A77870" w:rsidRDefault="00CF0700" w:rsidP="00922116">
            <w:pPr>
              <w:spacing w:before="40" w:after="40"/>
              <w:jc w:val="right"/>
              <w:rPr>
                <w:b/>
                <w:bCs/>
                <w:color w:val="000000"/>
                <w:sz w:val="16"/>
                <w:szCs w:val="16"/>
              </w:rPr>
            </w:pPr>
            <w:r w:rsidRPr="003832A3">
              <w:rPr>
                <w:b/>
                <w:bCs/>
                <w:sz w:val="16"/>
                <w:szCs w:val="16"/>
              </w:rPr>
              <w:t>430.8</w:t>
            </w:r>
          </w:p>
        </w:tc>
        <w:tc>
          <w:tcPr>
            <w:tcW w:w="242" w:type="dxa"/>
            <w:tcBorders>
              <w:top w:val="single" w:sz="4" w:space="0" w:color="auto"/>
            </w:tcBorders>
            <w:vAlign w:val="bottom"/>
          </w:tcPr>
          <w:p w14:paraId="3752D6AC" w14:textId="77777777" w:rsidR="00CF0700" w:rsidRPr="00A77870" w:rsidRDefault="00CF0700" w:rsidP="00922116">
            <w:pPr>
              <w:spacing w:before="40" w:after="40"/>
              <w:jc w:val="right"/>
              <w:rPr>
                <w:b/>
                <w:bCs/>
                <w:color w:val="000000"/>
                <w:sz w:val="16"/>
                <w:szCs w:val="16"/>
              </w:rPr>
            </w:pPr>
          </w:p>
        </w:tc>
        <w:tc>
          <w:tcPr>
            <w:tcW w:w="924" w:type="dxa"/>
            <w:tcBorders>
              <w:top w:val="single" w:sz="4" w:space="0" w:color="auto"/>
            </w:tcBorders>
            <w:vAlign w:val="bottom"/>
          </w:tcPr>
          <w:p w14:paraId="00025D0E" w14:textId="77777777" w:rsidR="00CF0700" w:rsidRPr="00A77870" w:rsidRDefault="00CF0700" w:rsidP="00922116">
            <w:pPr>
              <w:spacing w:before="40" w:after="40"/>
              <w:jc w:val="right"/>
              <w:rPr>
                <w:b/>
                <w:bCs/>
                <w:color w:val="000000"/>
                <w:sz w:val="16"/>
                <w:szCs w:val="16"/>
              </w:rPr>
            </w:pPr>
            <w:r w:rsidRPr="003832A3">
              <w:rPr>
                <w:b/>
                <w:bCs/>
                <w:sz w:val="16"/>
                <w:szCs w:val="16"/>
              </w:rPr>
              <w:t>328.6</w:t>
            </w:r>
          </w:p>
        </w:tc>
        <w:tc>
          <w:tcPr>
            <w:tcW w:w="242" w:type="dxa"/>
            <w:tcBorders>
              <w:top w:val="single" w:sz="4" w:space="0" w:color="auto"/>
            </w:tcBorders>
            <w:vAlign w:val="bottom"/>
          </w:tcPr>
          <w:p w14:paraId="75B88A05" w14:textId="77777777" w:rsidR="00CF0700" w:rsidRPr="00A77870" w:rsidRDefault="00CF0700" w:rsidP="00922116">
            <w:pPr>
              <w:spacing w:before="40" w:after="40"/>
              <w:jc w:val="right"/>
              <w:rPr>
                <w:b/>
                <w:bCs/>
                <w:sz w:val="16"/>
                <w:szCs w:val="16"/>
              </w:rPr>
            </w:pPr>
          </w:p>
        </w:tc>
        <w:tc>
          <w:tcPr>
            <w:tcW w:w="924" w:type="dxa"/>
            <w:tcBorders>
              <w:top w:val="single" w:sz="4" w:space="0" w:color="auto"/>
            </w:tcBorders>
            <w:vAlign w:val="bottom"/>
          </w:tcPr>
          <w:p w14:paraId="4393DAE7" w14:textId="77777777" w:rsidR="00CF0700" w:rsidRPr="00A77870" w:rsidRDefault="00CF0700" w:rsidP="00922116">
            <w:pPr>
              <w:spacing w:before="40" w:after="40"/>
              <w:jc w:val="right"/>
              <w:rPr>
                <w:b/>
                <w:bCs/>
                <w:sz w:val="16"/>
                <w:szCs w:val="16"/>
              </w:rPr>
            </w:pPr>
            <w:r w:rsidRPr="003832A3">
              <w:rPr>
                <w:b/>
                <w:bCs/>
                <w:sz w:val="16"/>
                <w:szCs w:val="16"/>
              </w:rPr>
              <w:t>—</w:t>
            </w:r>
          </w:p>
        </w:tc>
        <w:tc>
          <w:tcPr>
            <w:tcW w:w="227" w:type="dxa"/>
            <w:tcBorders>
              <w:top w:val="single" w:sz="4" w:space="0" w:color="auto"/>
            </w:tcBorders>
            <w:vAlign w:val="bottom"/>
          </w:tcPr>
          <w:p w14:paraId="1A41A5B7" w14:textId="77777777" w:rsidR="00CF0700" w:rsidRPr="00A77870" w:rsidRDefault="00CF0700" w:rsidP="00922116">
            <w:pPr>
              <w:spacing w:before="40" w:after="40"/>
              <w:jc w:val="right"/>
              <w:rPr>
                <w:b/>
                <w:bCs/>
                <w:sz w:val="16"/>
                <w:szCs w:val="16"/>
              </w:rPr>
            </w:pPr>
          </w:p>
        </w:tc>
        <w:tc>
          <w:tcPr>
            <w:tcW w:w="939" w:type="dxa"/>
            <w:tcBorders>
              <w:top w:val="single" w:sz="4" w:space="0" w:color="auto"/>
            </w:tcBorders>
            <w:vAlign w:val="bottom"/>
          </w:tcPr>
          <w:p w14:paraId="637F1021" w14:textId="77777777" w:rsidR="00CF0700" w:rsidRPr="00A77870" w:rsidRDefault="00CF0700" w:rsidP="00922116">
            <w:pPr>
              <w:spacing w:before="40" w:after="40"/>
              <w:jc w:val="right"/>
              <w:rPr>
                <w:b/>
                <w:bCs/>
                <w:sz w:val="16"/>
                <w:szCs w:val="16"/>
              </w:rPr>
            </w:pPr>
            <w:r w:rsidRPr="003832A3">
              <w:rPr>
                <w:b/>
                <w:bCs/>
                <w:sz w:val="16"/>
                <w:szCs w:val="16"/>
              </w:rPr>
              <w:t>322.0</w:t>
            </w:r>
          </w:p>
        </w:tc>
        <w:tc>
          <w:tcPr>
            <w:tcW w:w="266" w:type="dxa"/>
            <w:vAlign w:val="bottom"/>
          </w:tcPr>
          <w:p w14:paraId="1C9ABA1A" w14:textId="77777777" w:rsidR="00CF0700" w:rsidRPr="000D2863" w:rsidRDefault="00CF0700" w:rsidP="00922116">
            <w:pPr>
              <w:spacing w:before="40" w:after="40"/>
              <w:rPr>
                <w:b/>
                <w:bCs/>
                <w:sz w:val="17"/>
                <w:szCs w:val="17"/>
              </w:rPr>
            </w:pPr>
          </w:p>
        </w:tc>
      </w:tr>
      <w:tr w:rsidR="00CE451D" w:rsidRPr="00E834EF" w14:paraId="4B0CE3B5" w14:textId="77777777" w:rsidTr="008C57E0">
        <w:tc>
          <w:tcPr>
            <w:tcW w:w="3254" w:type="dxa"/>
          </w:tcPr>
          <w:p w14:paraId="5E8F8627" w14:textId="77777777" w:rsidR="00CE451D" w:rsidRDefault="00CE451D" w:rsidP="00CE451D">
            <w:pPr>
              <w:tabs>
                <w:tab w:val="right" w:leader="dot" w:pos="3255"/>
              </w:tabs>
              <w:bidi/>
              <w:spacing w:before="40" w:after="40"/>
              <w:rPr>
                <w:b/>
                <w:bCs/>
                <w:sz w:val="17"/>
                <w:szCs w:val="17"/>
                <w:u w:val="single"/>
                <w:rtl/>
              </w:rPr>
            </w:pPr>
            <w:r>
              <w:rPr>
                <w:rFonts w:hint="cs"/>
                <w:b/>
                <w:bCs/>
                <w:sz w:val="17"/>
                <w:szCs w:val="17"/>
                <w:u w:val="single"/>
                <w:rtl/>
              </w:rPr>
              <w:t>صافي الدين (شامل عقود الإيجار)</w:t>
            </w:r>
            <w:r w:rsidRPr="00155339">
              <w:rPr>
                <w:sz w:val="17"/>
                <w:szCs w:val="17"/>
                <w:vertAlign w:val="superscript"/>
              </w:rPr>
              <w:t>(</w:t>
            </w:r>
            <w:r>
              <w:rPr>
                <w:b/>
                <w:bCs/>
                <w:sz w:val="17"/>
                <w:szCs w:val="17"/>
                <w:vertAlign w:val="superscript"/>
              </w:rPr>
              <w:t>b</w:t>
            </w:r>
            <w:r w:rsidRPr="00155339">
              <w:rPr>
                <w:sz w:val="17"/>
                <w:szCs w:val="17"/>
                <w:vertAlign w:val="superscript"/>
              </w:rPr>
              <w:t>)</w:t>
            </w:r>
            <w:r w:rsidRPr="007D2480">
              <w:rPr>
                <w:sz w:val="17"/>
              </w:rPr>
              <w:tab/>
            </w:r>
          </w:p>
        </w:tc>
        <w:tc>
          <w:tcPr>
            <w:tcW w:w="242" w:type="dxa"/>
            <w:vAlign w:val="bottom"/>
          </w:tcPr>
          <w:p w14:paraId="431A78BC" w14:textId="77777777" w:rsidR="00CE451D" w:rsidRPr="00E834EF" w:rsidRDefault="00CE451D" w:rsidP="00CE451D">
            <w:pPr>
              <w:spacing w:before="40" w:after="40"/>
              <w:rPr>
                <w:sz w:val="17"/>
                <w:szCs w:val="17"/>
              </w:rPr>
            </w:pPr>
          </w:p>
        </w:tc>
        <w:tc>
          <w:tcPr>
            <w:tcW w:w="913" w:type="dxa"/>
            <w:tcBorders>
              <w:bottom w:val="single" w:sz="4" w:space="0" w:color="auto"/>
            </w:tcBorders>
          </w:tcPr>
          <w:p w14:paraId="699693B8" w14:textId="77777777" w:rsidR="00CE451D" w:rsidRPr="00F62937" w:rsidRDefault="00CA050A" w:rsidP="00CE451D">
            <w:pPr>
              <w:spacing w:before="40" w:after="40"/>
              <w:jc w:val="right"/>
              <w:rPr>
                <w:sz w:val="16"/>
                <w:szCs w:val="16"/>
              </w:rPr>
            </w:pPr>
            <w:r>
              <w:rPr>
                <w:b/>
                <w:bCs/>
                <w:sz w:val="16"/>
                <w:szCs w:val="16"/>
              </w:rPr>
              <w:t>566.9</w:t>
            </w:r>
          </w:p>
        </w:tc>
        <w:tc>
          <w:tcPr>
            <w:tcW w:w="252" w:type="dxa"/>
            <w:gridSpan w:val="2"/>
            <w:tcBorders>
              <w:bottom w:val="single" w:sz="4" w:space="0" w:color="auto"/>
            </w:tcBorders>
          </w:tcPr>
          <w:p w14:paraId="50ADE85D" w14:textId="77777777" w:rsidR="00CE451D" w:rsidRPr="00F62937" w:rsidRDefault="00CE451D" w:rsidP="00CE451D">
            <w:pPr>
              <w:spacing w:before="40" w:after="40"/>
              <w:jc w:val="right"/>
              <w:rPr>
                <w:b/>
                <w:bCs/>
                <w:color w:val="000000"/>
                <w:sz w:val="16"/>
                <w:szCs w:val="16"/>
              </w:rPr>
            </w:pPr>
          </w:p>
        </w:tc>
        <w:tc>
          <w:tcPr>
            <w:tcW w:w="924" w:type="dxa"/>
            <w:tcBorders>
              <w:bottom w:val="single" w:sz="4" w:space="0" w:color="auto"/>
            </w:tcBorders>
          </w:tcPr>
          <w:p w14:paraId="3AB80E8E" w14:textId="77777777" w:rsidR="00CE451D" w:rsidRPr="00F62937" w:rsidRDefault="00CA050A" w:rsidP="00CE451D">
            <w:pPr>
              <w:spacing w:before="40" w:after="40"/>
              <w:jc w:val="right"/>
              <w:rPr>
                <w:sz w:val="16"/>
                <w:szCs w:val="16"/>
              </w:rPr>
            </w:pPr>
            <w:r>
              <w:rPr>
                <w:b/>
                <w:bCs/>
                <w:sz w:val="16"/>
                <w:szCs w:val="16"/>
              </w:rPr>
              <w:t>521.9</w:t>
            </w:r>
          </w:p>
        </w:tc>
        <w:tc>
          <w:tcPr>
            <w:tcW w:w="242" w:type="dxa"/>
            <w:tcBorders>
              <w:bottom w:val="single" w:sz="4" w:space="0" w:color="auto"/>
            </w:tcBorders>
          </w:tcPr>
          <w:p w14:paraId="42131E19" w14:textId="77777777" w:rsidR="00CE451D" w:rsidRPr="00F62937" w:rsidRDefault="00CE451D" w:rsidP="00CE451D">
            <w:pPr>
              <w:spacing w:before="40" w:after="40"/>
              <w:jc w:val="right"/>
              <w:rPr>
                <w:b/>
                <w:bCs/>
                <w:color w:val="000000"/>
                <w:sz w:val="16"/>
                <w:szCs w:val="16"/>
              </w:rPr>
            </w:pPr>
          </w:p>
        </w:tc>
        <w:tc>
          <w:tcPr>
            <w:tcW w:w="924" w:type="dxa"/>
            <w:tcBorders>
              <w:bottom w:val="single" w:sz="4" w:space="0" w:color="auto"/>
            </w:tcBorders>
          </w:tcPr>
          <w:p w14:paraId="72768DFB" w14:textId="77777777" w:rsidR="00CE451D" w:rsidRPr="00F62937" w:rsidRDefault="00CA050A" w:rsidP="00CE451D">
            <w:pPr>
              <w:spacing w:before="40" w:after="40"/>
              <w:jc w:val="right"/>
              <w:rPr>
                <w:sz w:val="16"/>
                <w:szCs w:val="16"/>
              </w:rPr>
            </w:pPr>
            <w:r>
              <w:rPr>
                <w:b/>
                <w:bCs/>
                <w:sz w:val="16"/>
                <w:szCs w:val="16"/>
              </w:rPr>
              <w:t>489.1</w:t>
            </w:r>
          </w:p>
        </w:tc>
        <w:tc>
          <w:tcPr>
            <w:tcW w:w="242" w:type="dxa"/>
            <w:tcBorders>
              <w:bottom w:val="single" w:sz="4" w:space="0" w:color="auto"/>
            </w:tcBorders>
          </w:tcPr>
          <w:p w14:paraId="4931BB69" w14:textId="77777777" w:rsidR="00CE451D" w:rsidRPr="00F62937" w:rsidRDefault="00CE451D" w:rsidP="00CE451D">
            <w:pPr>
              <w:spacing w:before="40" w:after="40"/>
              <w:jc w:val="right"/>
              <w:rPr>
                <w:b/>
                <w:bCs/>
                <w:sz w:val="16"/>
                <w:szCs w:val="16"/>
              </w:rPr>
            </w:pPr>
          </w:p>
        </w:tc>
        <w:tc>
          <w:tcPr>
            <w:tcW w:w="924" w:type="dxa"/>
            <w:tcBorders>
              <w:bottom w:val="single" w:sz="4" w:space="0" w:color="auto"/>
            </w:tcBorders>
          </w:tcPr>
          <w:p w14:paraId="13EF9446" w14:textId="77777777" w:rsidR="00CE451D" w:rsidRPr="00F62937" w:rsidRDefault="00CE451D" w:rsidP="00CE451D">
            <w:pPr>
              <w:spacing w:before="40" w:after="40"/>
              <w:jc w:val="right"/>
              <w:rPr>
                <w:sz w:val="16"/>
                <w:szCs w:val="16"/>
              </w:rPr>
            </w:pPr>
            <w:r w:rsidRPr="003262D1">
              <w:rPr>
                <w:b/>
                <w:bCs/>
                <w:sz w:val="16"/>
                <w:szCs w:val="16"/>
              </w:rPr>
              <w:t>—</w:t>
            </w:r>
          </w:p>
        </w:tc>
        <w:tc>
          <w:tcPr>
            <w:tcW w:w="227" w:type="dxa"/>
            <w:tcBorders>
              <w:bottom w:val="single" w:sz="4" w:space="0" w:color="auto"/>
            </w:tcBorders>
          </w:tcPr>
          <w:p w14:paraId="6917EED6" w14:textId="77777777" w:rsidR="00CE451D" w:rsidRPr="00F62937" w:rsidRDefault="00CE451D" w:rsidP="00CE451D">
            <w:pPr>
              <w:spacing w:before="40" w:after="40"/>
              <w:jc w:val="right"/>
              <w:rPr>
                <w:b/>
                <w:bCs/>
                <w:sz w:val="16"/>
                <w:szCs w:val="16"/>
              </w:rPr>
            </w:pPr>
          </w:p>
        </w:tc>
        <w:tc>
          <w:tcPr>
            <w:tcW w:w="939" w:type="dxa"/>
            <w:tcBorders>
              <w:bottom w:val="single" w:sz="4" w:space="0" w:color="auto"/>
            </w:tcBorders>
          </w:tcPr>
          <w:p w14:paraId="5632646D" w14:textId="77777777" w:rsidR="00CE451D" w:rsidRPr="00F62937" w:rsidRDefault="00CA050A" w:rsidP="00CE451D">
            <w:pPr>
              <w:spacing w:before="40" w:after="40"/>
              <w:jc w:val="right"/>
              <w:rPr>
                <w:sz w:val="16"/>
                <w:szCs w:val="16"/>
              </w:rPr>
            </w:pPr>
            <w:r>
              <w:rPr>
                <w:b/>
                <w:bCs/>
                <w:sz w:val="16"/>
                <w:szCs w:val="16"/>
              </w:rPr>
              <w:t>473.0</w:t>
            </w:r>
          </w:p>
        </w:tc>
        <w:tc>
          <w:tcPr>
            <w:tcW w:w="266" w:type="dxa"/>
            <w:vAlign w:val="bottom"/>
          </w:tcPr>
          <w:p w14:paraId="66439DE2" w14:textId="77777777" w:rsidR="00CE451D" w:rsidRPr="000D2863" w:rsidRDefault="00CE451D" w:rsidP="00CE451D">
            <w:pPr>
              <w:spacing w:before="40" w:after="40"/>
              <w:rPr>
                <w:b/>
                <w:bCs/>
                <w:sz w:val="17"/>
                <w:szCs w:val="17"/>
              </w:rPr>
            </w:pPr>
          </w:p>
        </w:tc>
      </w:tr>
      <w:tr w:rsidR="00231F09" w:rsidRPr="00E834EF" w14:paraId="5FDF7F41" w14:textId="77777777" w:rsidTr="008C57E0">
        <w:tc>
          <w:tcPr>
            <w:tcW w:w="3254" w:type="dxa"/>
          </w:tcPr>
          <w:p w14:paraId="48887337" w14:textId="77777777" w:rsidR="00231F09" w:rsidRPr="00155339" w:rsidRDefault="00231F09" w:rsidP="00231F09">
            <w:pPr>
              <w:tabs>
                <w:tab w:val="right" w:leader="dot" w:pos="3255"/>
              </w:tabs>
              <w:bidi/>
              <w:spacing w:before="40" w:after="40"/>
              <w:rPr>
                <w:sz w:val="17"/>
                <w:szCs w:val="17"/>
              </w:rPr>
            </w:pPr>
            <w:r>
              <w:rPr>
                <w:rFonts w:hint="cs"/>
                <w:b/>
                <w:bCs/>
                <w:i/>
                <w:iCs/>
                <w:sz w:val="17"/>
                <w:szCs w:val="17"/>
                <w:rtl/>
              </w:rPr>
              <w:t>الأرباح المعدلة قبل حساب الفوائد والضرائب والإهلاك والإطفاء</w:t>
            </w:r>
            <w:r w:rsidRPr="00155339">
              <w:rPr>
                <w:sz w:val="17"/>
                <w:szCs w:val="17"/>
                <w:vertAlign w:val="superscript"/>
              </w:rPr>
              <w:t>(</w:t>
            </w:r>
            <w:r w:rsidR="00CE451D">
              <w:rPr>
                <w:sz w:val="17"/>
                <w:szCs w:val="17"/>
                <w:vertAlign w:val="superscript"/>
              </w:rPr>
              <w:t>c</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35B8E45D" w14:textId="77777777" w:rsidR="00231F09" w:rsidRPr="00E834EF" w:rsidRDefault="00231F09" w:rsidP="00231F09">
            <w:pPr>
              <w:spacing w:before="40" w:after="40"/>
              <w:rPr>
                <w:sz w:val="17"/>
                <w:szCs w:val="17"/>
              </w:rPr>
            </w:pPr>
          </w:p>
        </w:tc>
        <w:tc>
          <w:tcPr>
            <w:tcW w:w="913" w:type="dxa"/>
            <w:tcBorders>
              <w:top w:val="single" w:sz="4" w:space="0" w:color="auto"/>
              <w:bottom w:val="single" w:sz="4" w:space="0" w:color="auto"/>
            </w:tcBorders>
          </w:tcPr>
          <w:p w14:paraId="111DA665" w14:textId="77777777" w:rsidR="00231F09" w:rsidRPr="00E754AA" w:rsidRDefault="00231F09" w:rsidP="00231F09">
            <w:pPr>
              <w:spacing w:before="40" w:after="40"/>
              <w:jc w:val="right"/>
              <w:rPr>
                <w:color w:val="000000"/>
                <w:sz w:val="17"/>
                <w:szCs w:val="17"/>
              </w:rPr>
            </w:pPr>
            <w:r w:rsidRPr="00D4755F">
              <w:rPr>
                <w:b/>
                <w:bCs/>
                <w:sz w:val="17"/>
                <w:szCs w:val="17"/>
              </w:rPr>
              <w:t>105.3</w:t>
            </w:r>
          </w:p>
        </w:tc>
        <w:tc>
          <w:tcPr>
            <w:tcW w:w="252" w:type="dxa"/>
            <w:gridSpan w:val="2"/>
            <w:tcBorders>
              <w:top w:val="single" w:sz="4" w:space="0" w:color="auto"/>
            </w:tcBorders>
            <w:vAlign w:val="bottom"/>
          </w:tcPr>
          <w:p w14:paraId="398525AB" w14:textId="77777777" w:rsidR="00231F09" w:rsidRPr="00E754AA" w:rsidRDefault="00231F09" w:rsidP="00231F09">
            <w:pPr>
              <w:spacing w:before="40" w:after="40"/>
              <w:rPr>
                <w:color w:val="000000"/>
                <w:sz w:val="17"/>
                <w:szCs w:val="17"/>
              </w:rPr>
            </w:pPr>
          </w:p>
        </w:tc>
        <w:tc>
          <w:tcPr>
            <w:tcW w:w="924" w:type="dxa"/>
            <w:tcBorders>
              <w:top w:val="single" w:sz="4" w:space="0" w:color="auto"/>
              <w:bottom w:val="single" w:sz="4" w:space="0" w:color="auto"/>
            </w:tcBorders>
          </w:tcPr>
          <w:p w14:paraId="4402D4B5" w14:textId="77777777" w:rsidR="00231F09" w:rsidRPr="00E754AA" w:rsidRDefault="00231F09" w:rsidP="00231F09">
            <w:pPr>
              <w:spacing w:before="40" w:after="40"/>
              <w:jc w:val="right"/>
              <w:rPr>
                <w:color w:val="000000"/>
                <w:sz w:val="17"/>
                <w:szCs w:val="17"/>
              </w:rPr>
            </w:pPr>
            <w:r w:rsidRPr="00D4755F">
              <w:rPr>
                <w:b/>
                <w:bCs/>
                <w:sz w:val="17"/>
                <w:szCs w:val="17"/>
              </w:rPr>
              <w:t>158.9</w:t>
            </w:r>
          </w:p>
        </w:tc>
        <w:tc>
          <w:tcPr>
            <w:tcW w:w="242" w:type="dxa"/>
            <w:tcBorders>
              <w:top w:val="single" w:sz="4" w:space="0" w:color="auto"/>
            </w:tcBorders>
            <w:vAlign w:val="bottom"/>
          </w:tcPr>
          <w:p w14:paraId="3BA6F773" w14:textId="77777777" w:rsidR="00231F09" w:rsidRPr="00E754AA" w:rsidRDefault="00231F09" w:rsidP="00231F09">
            <w:pPr>
              <w:spacing w:before="40" w:after="40"/>
              <w:rPr>
                <w:color w:val="000000"/>
                <w:sz w:val="17"/>
                <w:szCs w:val="17"/>
              </w:rPr>
            </w:pPr>
          </w:p>
        </w:tc>
        <w:tc>
          <w:tcPr>
            <w:tcW w:w="924" w:type="dxa"/>
            <w:tcBorders>
              <w:top w:val="single" w:sz="4" w:space="0" w:color="auto"/>
              <w:bottom w:val="single" w:sz="4" w:space="0" w:color="auto"/>
            </w:tcBorders>
          </w:tcPr>
          <w:p w14:paraId="0F6FCC80" w14:textId="77777777" w:rsidR="00231F09" w:rsidRPr="00E754AA" w:rsidRDefault="00231F09" w:rsidP="00231F09">
            <w:pPr>
              <w:spacing w:before="40" w:after="40"/>
              <w:jc w:val="right"/>
              <w:rPr>
                <w:color w:val="000000"/>
                <w:sz w:val="17"/>
                <w:szCs w:val="17"/>
              </w:rPr>
            </w:pPr>
            <w:r w:rsidRPr="00D4755F">
              <w:rPr>
                <w:b/>
                <w:bCs/>
                <w:sz w:val="17"/>
                <w:szCs w:val="17"/>
              </w:rPr>
              <w:t>184.0</w:t>
            </w:r>
          </w:p>
        </w:tc>
        <w:tc>
          <w:tcPr>
            <w:tcW w:w="242" w:type="dxa"/>
            <w:tcBorders>
              <w:top w:val="single" w:sz="4" w:space="0" w:color="auto"/>
            </w:tcBorders>
            <w:vAlign w:val="bottom"/>
          </w:tcPr>
          <w:p w14:paraId="4F04F62F" w14:textId="77777777" w:rsidR="00231F09" w:rsidRPr="00E754AA" w:rsidRDefault="00231F09" w:rsidP="00231F09">
            <w:pPr>
              <w:spacing w:before="40" w:after="40"/>
              <w:rPr>
                <w:sz w:val="17"/>
                <w:szCs w:val="17"/>
              </w:rPr>
            </w:pPr>
          </w:p>
        </w:tc>
        <w:tc>
          <w:tcPr>
            <w:tcW w:w="924" w:type="dxa"/>
            <w:tcBorders>
              <w:top w:val="single" w:sz="4" w:space="0" w:color="auto"/>
              <w:bottom w:val="single" w:sz="4" w:space="0" w:color="auto"/>
            </w:tcBorders>
            <w:vAlign w:val="bottom"/>
          </w:tcPr>
          <w:p w14:paraId="0C653EF2" w14:textId="77777777" w:rsidR="00231F09" w:rsidRPr="00E754AA" w:rsidRDefault="00CE451D" w:rsidP="00231F09">
            <w:pPr>
              <w:spacing w:before="40" w:after="40"/>
              <w:jc w:val="right"/>
              <w:rPr>
                <w:sz w:val="17"/>
                <w:szCs w:val="17"/>
              </w:rPr>
            </w:pPr>
            <w:r w:rsidRPr="003262D1">
              <w:rPr>
                <w:b/>
                <w:bCs/>
                <w:sz w:val="16"/>
                <w:szCs w:val="16"/>
              </w:rPr>
              <w:t>—</w:t>
            </w:r>
          </w:p>
        </w:tc>
        <w:tc>
          <w:tcPr>
            <w:tcW w:w="227" w:type="dxa"/>
            <w:tcBorders>
              <w:top w:val="single" w:sz="4" w:space="0" w:color="auto"/>
            </w:tcBorders>
            <w:vAlign w:val="bottom"/>
          </w:tcPr>
          <w:p w14:paraId="232C8389" w14:textId="77777777" w:rsidR="00231F09" w:rsidRPr="00E754AA" w:rsidRDefault="00231F09" w:rsidP="00231F09">
            <w:pPr>
              <w:spacing w:before="40" w:after="40"/>
              <w:rPr>
                <w:sz w:val="17"/>
                <w:szCs w:val="17"/>
              </w:rPr>
            </w:pPr>
          </w:p>
        </w:tc>
        <w:tc>
          <w:tcPr>
            <w:tcW w:w="939" w:type="dxa"/>
            <w:tcBorders>
              <w:top w:val="single" w:sz="4" w:space="0" w:color="auto"/>
              <w:bottom w:val="single" w:sz="4" w:space="0" w:color="auto"/>
            </w:tcBorders>
            <w:vAlign w:val="bottom"/>
          </w:tcPr>
          <w:p w14:paraId="7DBEEC64" w14:textId="77777777" w:rsidR="00231F09" w:rsidRPr="00E754AA" w:rsidRDefault="00231F09" w:rsidP="00231F09">
            <w:pPr>
              <w:spacing w:before="40" w:after="40"/>
              <w:jc w:val="right"/>
              <w:rPr>
                <w:sz w:val="17"/>
                <w:szCs w:val="17"/>
              </w:rPr>
            </w:pPr>
            <w:r w:rsidRPr="00D4755F">
              <w:rPr>
                <w:b/>
                <w:bCs/>
                <w:sz w:val="17"/>
                <w:szCs w:val="17"/>
              </w:rPr>
              <w:t>162.9</w:t>
            </w:r>
          </w:p>
        </w:tc>
        <w:tc>
          <w:tcPr>
            <w:tcW w:w="266" w:type="dxa"/>
            <w:vAlign w:val="bottom"/>
          </w:tcPr>
          <w:p w14:paraId="207FBF6D" w14:textId="77777777" w:rsidR="00231F09" w:rsidRPr="000D2863" w:rsidRDefault="00231F09" w:rsidP="00231F09">
            <w:pPr>
              <w:spacing w:before="40" w:after="40"/>
              <w:rPr>
                <w:sz w:val="17"/>
                <w:szCs w:val="17"/>
              </w:rPr>
            </w:pPr>
          </w:p>
        </w:tc>
      </w:tr>
      <w:tr w:rsidR="00231F09" w:rsidRPr="00E834EF" w14:paraId="464C3F91" w14:textId="77777777" w:rsidTr="008C57E0">
        <w:tc>
          <w:tcPr>
            <w:tcW w:w="3254" w:type="dxa"/>
          </w:tcPr>
          <w:p w14:paraId="1C21C578" w14:textId="77777777" w:rsidR="00231F09" w:rsidRPr="00155339" w:rsidRDefault="00231F09" w:rsidP="00231F09">
            <w:pPr>
              <w:tabs>
                <w:tab w:val="right" w:leader="dot" w:pos="3255"/>
              </w:tabs>
              <w:bidi/>
              <w:spacing w:before="40" w:after="40"/>
              <w:rPr>
                <w:sz w:val="17"/>
                <w:szCs w:val="17"/>
              </w:rPr>
            </w:pPr>
            <w:r>
              <w:rPr>
                <w:rFonts w:hint="cs"/>
                <w:b/>
                <w:bCs/>
                <w:sz w:val="17"/>
                <w:szCs w:val="17"/>
                <w:u w:val="single"/>
                <w:rtl/>
              </w:rPr>
              <w:t>صافي الرافعة المالية</w:t>
            </w:r>
            <w:r w:rsidR="00CE451D">
              <w:rPr>
                <w:rFonts w:hint="cs"/>
                <w:b/>
                <w:bCs/>
                <w:sz w:val="17"/>
                <w:szCs w:val="17"/>
                <w:u w:val="single"/>
                <w:rtl/>
              </w:rPr>
              <w:t>(باستثناء عقود الإيجار)</w:t>
            </w:r>
            <w:r>
              <w:rPr>
                <w:sz w:val="17"/>
                <w:szCs w:val="17"/>
              </w:rPr>
              <w:t xml:space="preserve"> </w:t>
            </w:r>
            <w:r w:rsidRPr="00155339">
              <w:rPr>
                <w:sz w:val="17"/>
                <w:szCs w:val="17"/>
                <w:vertAlign w:val="superscript"/>
              </w:rPr>
              <w:t>(</w:t>
            </w:r>
            <w:r w:rsidRPr="00155339">
              <w:rPr>
                <w:b/>
                <w:bCs/>
                <w:sz w:val="17"/>
                <w:szCs w:val="17"/>
                <w:vertAlign w:val="superscript"/>
              </w:rPr>
              <w:t>a</w:t>
            </w:r>
            <w:r w:rsidRPr="00155339">
              <w:rPr>
                <w:sz w:val="17"/>
                <w:szCs w:val="17"/>
                <w:vertAlign w:val="superscript"/>
              </w:rPr>
              <w:t xml:space="preserve"> over </w:t>
            </w:r>
            <w:r w:rsidR="00CE451D">
              <w:rPr>
                <w:b/>
                <w:bCs/>
                <w:sz w:val="17"/>
                <w:szCs w:val="17"/>
                <w:vertAlign w:val="superscript"/>
                <w:lang w:val="en-GB"/>
              </w:rPr>
              <w:t>c</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56A152CD" w14:textId="77777777" w:rsidR="00231F09" w:rsidRPr="003832A3" w:rsidRDefault="00231F09" w:rsidP="00231F09">
            <w:pPr>
              <w:spacing w:before="40" w:after="40"/>
              <w:rPr>
                <w:b/>
                <w:bCs/>
                <w:sz w:val="17"/>
                <w:szCs w:val="17"/>
              </w:rPr>
            </w:pPr>
          </w:p>
        </w:tc>
        <w:tc>
          <w:tcPr>
            <w:tcW w:w="913" w:type="dxa"/>
            <w:tcBorders>
              <w:top w:val="single" w:sz="4" w:space="0" w:color="auto"/>
              <w:bottom w:val="single" w:sz="4" w:space="0" w:color="auto"/>
            </w:tcBorders>
          </w:tcPr>
          <w:p w14:paraId="05F263E2" w14:textId="77777777" w:rsidR="00231F09" w:rsidRPr="000D3706" w:rsidRDefault="00231F09" w:rsidP="00231F09">
            <w:pPr>
              <w:spacing w:before="40" w:after="40"/>
              <w:jc w:val="right"/>
              <w:rPr>
                <w:b/>
                <w:bCs/>
                <w:color w:val="000000"/>
                <w:sz w:val="17"/>
                <w:szCs w:val="17"/>
              </w:rPr>
            </w:pPr>
            <w:r w:rsidRPr="003832A3">
              <w:rPr>
                <w:b/>
                <w:bCs/>
                <w:sz w:val="17"/>
                <w:szCs w:val="17"/>
              </w:rPr>
              <w:t>5.0x</w:t>
            </w:r>
          </w:p>
        </w:tc>
        <w:tc>
          <w:tcPr>
            <w:tcW w:w="252" w:type="dxa"/>
            <w:gridSpan w:val="2"/>
            <w:vAlign w:val="bottom"/>
          </w:tcPr>
          <w:p w14:paraId="3EEE8DAC" w14:textId="77777777" w:rsidR="00231F09" w:rsidRPr="000D3706" w:rsidRDefault="00231F09" w:rsidP="00231F09">
            <w:pPr>
              <w:spacing w:before="40" w:after="40"/>
              <w:rPr>
                <w:b/>
                <w:bCs/>
                <w:color w:val="000000"/>
                <w:sz w:val="17"/>
                <w:szCs w:val="17"/>
              </w:rPr>
            </w:pPr>
            <w:r w:rsidRPr="000D3706">
              <w:rPr>
                <w:b/>
                <w:bCs/>
                <w:sz w:val="17"/>
                <w:szCs w:val="17"/>
              </w:rPr>
              <w:t>x</w:t>
            </w:r>
          </w:p>
        </w:tc>
        <w:tc>
          <w:tcPr>
            <w:tcW w:w="924" w:type="dxa"/>
            <w:tcBorders>
              <w:top w:val="single" w:sz="4" w:space="0" w:color="auto"/>
              <w:bottom w:val="single" w:sz="4" w:space="0" w:color="auto"/>
            </w:tcBorders>
          </w:tcPr>
          <w:p w14:paraId="60BDDEA4" w14:textId="77777777" w:rsidR="00231F09" w:rsidRPr="000D3706" w:rsidRDefault="00231F09" w:rsidP="00231F09">
            <w:pPr>
              <w:spacing w:before="40" w:after="40"/>
              <w:jc w:val="right"/>
              <w:rPr>
                <w:b/>
                <w:bCs/>
                <w:color w:val="000000"/>
                <w:sz w:val="17"/>
                <w:szCs w:val="17"/>
              </w:rPr>
            </w:pPr>
            <w:r w:rsidRPr="003832A3">
              <w:rPr>
                <w:b/>
                <w:bCs/>
                <w:sz w:val="17"/>
                <w:szCs w:val="17"/>
              </w:rPr>
              <w:t>2.7</w:t>
            </w:r>
          </w:p>
        </w:tc>
        <w:tc>
          <w:tcPr>
            <w:tcW w:w="242" w:type="dxa"/>
            <w:vAlign w:val="bottom"/>
          </w:tcPr>
          <w:p w14:paraId="6F132DA4" w14:textId="77777777" w:rsidR="00231F09" w:rsidRPr="000D3706" w:rsidRDefault="00231F09" w:rsidP="00231F09">
            <w:pPr>
              <w:spacing w:before="40" w:after="40"/>
              <w:rPr>
                <w:b/>
                <w:bCs/>
                <w:color w:val="000000"/>
                <w:sz w:val="17"/>
                <w:szCs w:val="17"/>
              </w:rPr>
            </w:pPr>
            <w:r w:rsidRPr="000D3706">
              <w:rPr>
                <w:b/>
                <w:bCs/>
                <w:sz w:val="17"/>
                <w:szCs w:val="17"/>
              </w:rPr>
              <w:t>x</w:t>
            </w:r>
          </w:p>
        </w:tc>
        <w:tc>
          <w:tcPr>
            <w:tcW w:w="924" w:type="dxa"/>
            <w:tcBorders>
              <w:top w:val="single" w:sz="4" w:space="0" w:color="auto"/>
              <w:bottom w:val="single" w:sz="4" w:space="0" w:color="auto"/>
            </w:tcBorders>
          </w:tcPr>
          <w:p w14:paraId="4DCAD447" w14:textId="77777777" w:rsidR="00231F09" w:rsidRPr="000D3706" w:rsidRDefault="00231F09" w:rsidP="00231F09">
            <w:pPr>
              <w:spacing w:before="40" w:after="40"/>
              <w:jc w:val="right"/>
              <w:rPr>
                <w:b/>
                <w:bCs/>
                <w:color w:val="000000"/>
                <w:sz w:val="17"/>
                <w:szCs w:val="17"/>
              </w:rPr>
            </w:pPr>
            <w:r w:rsidRPr="003832A3">
              <w:rPr>
                <w:b/>
                <w:bCs/>
                <w:sz w:val="17"/>
                <w:szCs w:val="17"/>
              </w:rPr>
              <w:t>1.8</w:t>
            </w:r>
          </w:p>
        </w:tc>
        <w:tc>
          <w:tcPr>
            <w:tcW w:w="242" w:type="dxa"/>
            <w:vAlign w:val="bottom"/>
          </w:tcPr>
          <w:p w14:paraId="793E909D" w14:textId="77777777" w:rsidR="00231F09" w:rsidRPr="000D3706" w:rsidRDefault="00231F09" w:rsidP="00231F09">
            <w:pPr>
              <w:spacing w:before="40" w:after="40"/>
              <w:rPr>
                <w:b/>
                <w:bCs/>
                <w:sz w:val="17"/>
                <w:szCs w:val="17"/>
              </w:rPr>
            </w:pPr>
          </w:p>
        </w:tc>
        <w:tc>
          <w:tcPr>
            <w:tcW w:w="924" w:type="dxa"/>
            <w:tcBorders>
              <w:top w:val="single" w:sz="4" w:space="0" w:color="auto"/>
              <w:bottom w:val="single" w:sz="4" w:space="0" w:color="auto"/>
            </w:tcBorders>
          </w:tcPr>
          <w:p w14:paraId="703EDBA8" w14:textId="77777777" w:rsidR="00231F09" w:rsidRPr="000D3706" w:rsidRDefault="00231F09" w:rsidP="00231F09">
            <w:pPr>
              <w:spacing w:before="40" w:after="40"/>
              <w:jc w:val="right"/>
              <w:rPr>
                <w:b/>
                <w:bCs/>
                <w:sz w:val="17"/>
                <w:szCs w:val="17"/>
              </w:rPr>
            </w:pPr>
            <w:r w:rsidRPr="003832A3">
              <w:rPr>
                <w:b/>
                <w:bCs/>
                <w:sz w:val="17"/>
                <w:szCs w:val="17"/>
              </w:rPr>
              <w:t>—</w:t>
            </w:r>
          </w:p>
        </w:tc>
        <w:tc>
          <w:tcPr>
            <w:tcW w:w="227" w:type="dxa"/>
            <w:vAlign w:val="bottom"/>
          </w:tcPr>
          <w:p w14:paraId="367DA95A" w14:textId="77777777" w:rsidR="00231F09" w:rsidRPr="000D3706" w:rsidRDefault="00231F09" w:rsidP="00231F09">
            <w:pPr>
              <w:spacing w:before="40" w:after="40"/>
              <w:rPr>
                <w:b/>
                <w:bCs/>
                <w:sz w:val="17"/>
                <w:szCs w:val="17"/>
              </w:rPr>
            </w:pPr>
          </w:p>
        </w:tc>
        <w:tc>
          <w:tcPr>
            <w:tcW w:w="939" w:type="dxa"/>
            <w:tcBorders>
              <w:top w:val="single" w:sz="4" w:space="0" w:color="auto"/>
              <w:bottom w:val="single" w:sz="4" w:space="0" w:color="auto"/>
            </w:tcBorders>
          </w:tcPr>
          <w:p w14:paraId="0DD6BC23" w14:textId="77777777" w:rsidR="00231F09" w:rsidRPr="000D3706" w:rsidRDefault="00231F09" w:rsidP="00231F09">
            <w:pPr>
              <w:spacing w:before="40" w:after="40"/>
              <w:jc w:val="right"/>
              <w:rPr>
                <w:b/>
                <w:bCs/>
                <w:sz w:val="17"/>
                <w:szCs w:val="17"/>
              </w:rPr>
            </w:pPr>
            <w:r w:rsidRPr="003832A3">
              <w:rPr>
                <w:b/>
                <w:bCs/>
                <w:sz w:val="17"/>
                <w:szCs w:val="17"/>
              </w:rPr>
              <w:t>1.6x</w:t>
            </w:r>
          </w:p>
        </w:tc>
        <w:tc>
          <w:tcPr>
            <w:tcW w:w="266" w:type="dxa"/>
            <w:vAlign w:val="bottom"/>
          </w:tcPr>
          <w:p w14:paraId="01FC4769" w14:textId="77777777" w:rsidR="00231F09" w:rsidRPr="000D2863" w:rsidRDefault="00231F09" w:rsidP="00231F09">
            <w:pPr>
              <w:spacing w:before="40" w:after="40"/>
              <w:rPr>
                <w:b/>
                <w:bCs/>
                <w:sz w:val="17"/>
                <w:szCs w:val="17"/>
              </w:rPr>
            </w:pPr>
          </w:p>
        </w:tc>
      </w:tr>
      <w:tr w:rsidR="005A27DA" w:rsidRPr="00E834EF" w14:paraId="6B28A5BC" w14:textId="77777777" w:rsidTr="00272B36">
        <w:tc>
          <w:tcPr>
            <w:tcW w:w="3254" w:type="dxa"/>
          </w:tcPr>
          <w:p w14:paraId="762F6EE6" w14:textId="77777777" w:rsidR="005A27DA" w:rsidRDefault="005A27DA" w:rsidP="005A27DA">
            <w:pPr>
              <w:tabs>
                <w:tab w:val="right" w:leader="dot" w:pos="3255"/>
              </w:tabs>
              <w:bidi/>
              <w:spacing w:before="40" w:after="40"/>
              <w:rPr>
                <w:b/>
                <w:bCs/>
                <w:sz w:val="17"/>
                <w:szCs w:val="17"/>
                <w:u w:val="single"/>
                <w:rtl/>
              </w:rPr>
            </w:pPr>
            <w:r>
              <w:rPr>
                <w:rFonts w:hint="cs"/>
                <w:b/>
                <w:bCs/>
                <w:sz w:val="17"/>
                <w:szCs w:val="17"/>
                <w:u w:val="single"/>
                <w:rtl/>
              </w:rPr>
              <w:t>صافي الرافعة المالية(شامل عقود الإيجار)</w:t>
            </w:r>
            <w:r>
              <w:rPr>
                <w:sz w:val="17"/>
                <w:szCs w:val="17"/>
              </w:rPr>
              <w:t xml:space="preserve"> </w:t>
            </w:r>
            <w:r w:rsidRPr="00155339">
              <w:rPr>
                <w:sz w:val="17"/>
                <w:szCs w:val="17"/>
                <w:vertAlign w:val="superscript"/>
              </w:rPr>
              <w:t>(</w:t>
            </w:r>
            <w:r w:rsidR="0060684E">
              <w:rPr>
                <w:b/>
                <w:bCs/>
                <w:sz w:val="17"/>
                <w:szCs w:val="17"/>
                <w:vertAlign w:val="superscript"/>
              </w:rPr>
              <w:t>b</w:t>
            </w:r>
            <w:r w:rsidRPr="00155339">
              <w:rPr>
                <w:sz w:val="17"/>
                <w:szCs w:val="17"/>
                <w:vertAlign w:val="superscript"/>
              </w:rPr>
              <w:t xml:space="preserve"> over </w:t>
            </w:r>
            <w:r>
              <w:rPr>
                <w:b/>
                <w:bCs/>
                <w:sz w:val="17"/>
                <w:szCs w:val="17"/>
                <w:vertAlign w:val="superscript"/>
                <w:lang w:val="en-GB"/>
              </w:rPr>
              <w:t>c</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14BE5A81" w14:textId="77777777" w:rsidR="005A27DA" w:rsidRPr="005A27DA" w:rsidRDefault="005A27DA" w:rsidP="005A27DA">
            <w:pPr>
              <w:spacing w:before="40" w:after="40"/>
              <w:rPr>
                <w:b/>
                <w:bCs/>
                <w:sz w:val="17"/>
                <w:szCs w:val="17"/>
              </w:rPr>
            </w:pPr>
          </w:p>
        </w:tc>
        <w:tc>
          <w:tcPr>
            <w:tcW w:w="913" w:type="dxa"/>
            <w:tcBorders>
              <w:top w:val="single" w:sz="4" w:space="0" w:color="auto"/>
            </w:tcBorders>
          </w:tcPr>
          <w:p w14:paraId="65A2BE88" w14:textId="77777777" w:rsidR="005A27DA" w:rsidRPr="003832A3" w:rsidRDefault="005A27DA" w:rsidP="005A27DA">
            <w:pPr>
              <w:spacing w:before="40" w:after="40"/>
              <w:jc w:val="right"/>
              <w:rPr>
                <w:b/>
                <w:bCs/>
                <w:sz w:val="17"/>
                <w:szCs w:val="17"/>
                <w:lang w:val="en-GB"/>
              </w:rPr>
            </w:pPr>
            <w:r>
              <w:rPr>
                <w:b/>
                <w:bCs/>
                <w:sz w:val="17"/>
                <w:szCs w:val="17"/>
                <w:lang w:val="en-GB"/>
              </w:rPr>
              <w:t>5.4x</w:t>
            </w:r>
          </w:p>
        </w:tc>
        <w:tc>
          <w:tcPr>
            <w:tcW w:w="252" w:type="dxa"/>
            <w:gridSpan w:val="2"/>
            <w:vAlign w:val="bottom"/>
          </w:tcPr>
          <w:p w14:paraId="2F746609" w14:textId="77777777" w:rsidR="005A27DA" w:rsidRPr="000D3706" w:rsidRDefault="005A27DA" w:rsidP="005A27DA">
            <w:pPr>
              <w:spacing w:before="40" w:after="40"/>
              <w:rPr>
                <w:b/>
                <w:bCs/>
                <w:sz w:val="17"/>
                <w:szCs w:val="17"/>
              </w:rPr>
            </w:pPr>
          </w:p>
        </w:tc>
        <w:tc>
          <w:tcPr>
            <w:tcW w:w="924" w:type="dxa"/>
            <w:tcBorders>
              <w:top w:val="single" w:sz="4" w:space="0" w:color="auto"/>
            </w:tcBorders>
          </w:tcPr>
          <w:p w14:paraId="1F7B4010" w14:textId="77777777" w:rsidR="005A27DA" w:rsidRPr="005A27DA" w:rsidRDefault="005A27DA" w:rsidP="005A27DA">
            <w:pPr>
              <w:spacing w:before="40" w:after="40"/>
              <w:jc w:val="right"/>
              <w:rPr>
                <w:b/>
                <w:bCs/>
                <w:sz w:val="17"/>
                <w:szCs w:val="17"/>
              </w:rPr>
            </w:pPr>
            <w:r>
              <w:rPr>
                <w:b/>
                <w:bCs/>
                <w:sz w:val="17"/>
                <w:szCs w:val="17"/>
              </w:rPr>
              <w:t>3.3x</w:t>
            </w:r>
          </w:p>
        </w:tc>
        <w:tc>
          <w:tcPr>
            <w:tcW w:w="242" w:type="dxa"/>
            <w:vAlign w:val="bottom"/>
          </w:tcPr>
          <w:p w14:paraId="565562A7" w14:textId="77777777" w:rsidR="005A27DA" w:rsidRPr="000D3706" w:rsidRDefault="005A27DA" w:rsidP="005A27DA">
            <w:pPr>
              <w:spacing w:before="40" w:after="40"/>
              <w:rPr>
                <w:b/>
                <w:bCs/>
                <w:sz w:val="17"/>
                <w:szCs w:val="17"/>
              </w:rPr>
            </w:pPr>
          </w:p>
        </w:tc>
        <w:tc>
          <w:tcPr>
            <w:tcW w:w="924" w:type="dxa"/>
            <w:tcBorders>
              <w:top w:val="single" w:sz="4" w:space="0" w:color="auto"/>
            </w:tcBorders>
          </w:tcPr>
          <w:p w14:paraId="24B68D64" w14:textId="77777777" w:rsidR="005A27DA" w:rsidRPr="005A27DA" w:rsidRDefault="005A27DA" w:rsidP="005A27DA">
            <w:pPr>
              <w:spacing w:before="40" w:after="40"/>
              <w:jc w:val="right"/>
              <w:rPr>
                <w:b/>
                <w:bCs/>
                <w:sz w:val="17"/>
                <w:szCs w:val="17"/>
              </w:rPr>
            </w:pPr>
            <w:r>
              <w:rPr>
                <w:b/>
                <w:bCs/>
                <w:sz w:val="17"/>
                <w:szCs w:val="17"/>
              </w:rPr>
              <w:t>2.7x</w:t>
            </w:r>
          </w:p>
        </w:tc>
        <w:tc>
          <w:tcPr>
            <w:tcW w:w="242" w:type="dxa"/>
            <w:vAlign w:val="bottom"/>
          </w:tcPr>
          <w:p w14:paraId="0A5AFE50" w14:textId="77777777" w:rsidR="005A27DA" w:rsidRPr="000D3706" w:rsidRDefault="005A27DA" w:rsidP="005A27DA">
            <w:pPr>
              <w:spacing w:before="40" w:after="40"/>
              <w:rPr>
                <w:b/>
                <w:bCs/>
                <w:sz w:val="17"/>
                <w:szCs w:val="17"/>
              </w:rPr>
            </w:pPr>
          </w:p>
        </w:tc>
        <w:tc>
          <w:tcPr>
            <w:tcW w:w="924" w:type="dxa"/>
            <w:tcBorders>
              <w:top w:val="single" w:sz="4" w:space="0" w:color="auto"/>
            </w:tcBorders>
          </w:tcPr>
          <w:p w14:paraId="5FDAF364" w14:textId="77777777" w:rsidR="005A27DA" w:rsidRPr="005A27DA" w:rsidRDefault="005A27DA" w:rsidP="005A27DA">
            <w:pPr>
              <w:spacing w:before="40" w:after="40"/>
              <w:jc w:val="right"/>
              <w:rPr>
                <w:b/>
                <w:bCs/>
                <w:sz w:val="17"/>
                <w:szCs w:val="17"/>
              </w:rPr>
            </w:pPr>
            <w:r w:rsidRPr="00E81B8F">
              <w:rPr>
                <w:b/>
                <w:bCs/>
                <w:sz w:val="17"/>
                <w:szCs w:val="17"/>
              </w:rPr>
              <w:t>—</w:t>
            </w:r>
          </w:p>
        </w:tc>
        <w:tc>
          <w:tcPr>
            <w:tcW w:w="227" w:type="dxa"/>
            <w:vAlign w:val="bottom"/>
          </w:tcPr>
          <w:p w14:paraId="6DB8233C" w14:textId="77777777" w:rsidR="005A27DA" w:rsidRPr="000D3706" w:rsidRDefault="005A27DA" w:rsidP="005A27DA">
            <w:pPr>
              <w:spacing w:before="40" w:after="40"/>
              <w:rPr>
                <w:b/>
                <w:bCs/>
                <w:sz w:val="17"/>
                <w:szCs w:val="17"/>
              </w:rPr>
            </w:pPr>
          </w:p>
        </w:tc>
        <w:tc>
          <w:tcPr>
            <w:tcW w:w="939" w:type="dxa"/>
            <w:tcBorders>
              <w:top w:val="single" w:sz="4" w:space="0" w:color="auto"/>
            </w:tcBorders>
          </w:tcPr>
          <w:p w14:paraId="4C2CA1D1" w14:textId="77777777" w:rsidR="005A27DA" w:rsidRPr="005A27DA" w:rsidRDefault="005A27DA" w:rsidP="005A27DA">
            <w:pPr>
              <w:spacing w:before="40" w:after="40"/>
              <w:jc w:val="right"/>
              <w:rPr>
                <w:b/>
                <w:bCs/>
                <w:sz w:val="17"/>
                <w:szCs w:val="17"/>
              </w:rPr>
            </w:pPr>
            <w:r>
              <w:rPr>
                <w:b/>
                <w:bCs/>
                <w:sz w:val="17"/>
                <w:szCs w:val="17"/>
              </w:rPr>
              <w:t>2.3x</w:t>
            </w:r>
          </w:p>
        </w:tc>
        <w:tc>
          <w:tcPr>
            <w:tcW w:w="266" w:type="dxa"/>
            <w:vAlign w:val="bottom"/>
          </w:tcPr>
          <w:p w14:paraId="6748B3DA" w14:textId="77777777" w:rsidR="005A27DA" w:rsidRPr="000D2863" w:rsidRDefault="005A27DA" w:rsidP="005A27DA">
            <w:pPr>
              <w:spacing w:before="40" w:after="40"/>
              <w:rPr>
                <w:b/>
                <w:bCs/>
                <w:sz w:val="17"/>
                <w:szCs w:val="17"/>
              </w:rPr>
            </w:pPr>
          </w:p>
        </w:tc>
      </w:tr>
    </w:tbl>
    <w:p w14:paraId="116AFA96" w14:textId="77777777" w:rsidR="00CF0700" w:rsidRDefault="00CF0700" w:rsidP="00CF0700">
      <w:pPr>
        <w:autoSpaceDE w:val="0"/>
        <w:autoSpaceDN w:val="0"/>
        <w:bidi/>
        <w:adjustRightInd w:val="0"/>
        <w:jc w:val="both"/>
        <w:rPr>
          <w:rFonts w:ascii="Traditional Arabic" w:hAnsi="Traditional Arabic" w:cs="Traditional Arabic"/>
          <w:sz w:val="30"/>
          <w:szCs w:val="30"/>
          <w:rtl/>
          <w:lang w:bidi="ar-EG"/>
        </w:rPr>
      </w:pPr>
    </w:p>
    <w:p w14:paraId="501C0583" w14:textId="77777777" w:rsidR="00A91602" w:rsidRDefault="00A91602" w:rsidP="00A26A98">
      <w:pPr>
        <w:autoSpaceDE w:val="0"/>
        <w:autoSpaceDN w:val="0"/>
        <w:bidi/>
        <w:adjustRightInd w:val="0"/>
        <w:jc w:val="both"/>
        <w:rPr>
          <w:rFonts w:ascii="Traditional Arabic" w:hAnsi="Traditional Arabic" w:cs="Traditional Arabic"/>
          <w:b/>
          <w:bCs/>
          <w:sz w:val="30"/>
          <w:szCs w:val="30"/>
          <w:vertAlign w:val="superscript"/>
          <w:rtl/>
          <w:lang w:bidi="ar-EG"/>
        </w:rPr>
      </w:pPr>
      <w:r w:rsidRPr="00E63A87">
        <w:rPr>
          <w:rFonts w:ascii="Traditional Arabic" w:hAnsi="Traditional Arabic" w:cs="Traditional Arabic" w:hint="cs"/>
          <w:b/>
          <w:bCs/>
          <w:sz w:val="30"/>
          <w:szCs w:val="30"/>
          <w:rtl/>
          <w:lang w:bidi="ar-EG"/>
        </w:rPr>
        <w:t>بيان الربح والخسارة والدخل الشامل الآخر</w:t>
      </w:r>
      <w:r w:rsidR="00006159" w:rsidRPr="00E63A87">
        <w:rPr>
          <w:rFonts w:ascii="Traditional Arabic" w:hAnsi="Traditional Arabic" w:cs="Traditional Arabic" w:hint="cs"/>
          <w:b/>
          <w:bCs/>
          <w:sz w:val="30"/>
          <w:szCs w:val="30"/>
          <w:rtl/>
          <w:lang w:bidi="ar-EG"/>
        </w:rPr>
        <w:t xml:space="preserve"> الموحد</w:t>
      </w:r>
      <w:r w:rsidRPr="00E63A87">
        <w:rPr>
          <w:rFonts w:ascii="Traditional Arabic" w:hAnsi="Traditional Arabic" w:cs="Traditional Arabic" w:hint="cs"/>
          <w:b/>
          <w:bCs/>
          <w:sz w:val="30"/>
          <w:szCs w:val="30"/>
          <w:rtl/>
          <w:lang w:bidi="ar-EG"/>
        </w:rPr>
        <w:t xml:space="preserve"> (دولار أمريكي)</w:t>
      </w:r>
      <w:r w:rsidR="00762410" w:rsidRPr="00E63A87">
        <w:rPr>
          <w:rFonts w:ascii="Traditional Arabic" w:hAnsi="Traditional Arabic" w:cs="Traditional Arabic" w:hint="cs"/>
          <w:b/>
          <w:bCs/>
          <w:sz w:val="30"/>
          <w:szCs w:val="30"/>
          <w:vertAlign w:val="superscript"/>
          <w:rtl/>
          <w:lang w:bidi="ar-EG"/>
        </w:rPr>
        <w:t>(1)</w:t>
      </w:r>
    </w:p>
    <w:tbl>
      <w:tblPr>
        <w:bidiVisual/>
        <w:tblW w:w="9048" w:type="dxa"/>
        <w:tblInd w:w="437" w:type="dxa"/>
        <w:tblLayout w:type="fixed"/>
        <w:tblCellMar>
          <w:left w:w="0" w:type="dxa"/>
          <w:right w:w="0" w:type="dxa"/>
        </w:tblCellMar>
        <w:tblLook w:val="0020" w:firstRow="1" w:lastRow="0" w:firstColumn="0" w:lastColumn="0" w:noHBand="0" w:noVBand="0"/>
      </w:tblPr>
      <w:tblGrid>
        <w:gridCol w:w="3139"/>
        <w:gridCol w:w="237"/>
        <w:gridCol w:w="901"/>
        <w:gridCol w:w="235"/>
        <w:gridCol w:w="900"/>
        <w:gridCol w:w="234"/>
        <w:gridCol w:w="900"/>
        <w:gridCol w:w="234"/>
        <w:gridCol w:w="900"/>
        <w:gridCol w:w="234"/>
        <w:gridCol w:w="900"/>
        <w:gridCol w:w="234"/>
      </w:tblGrid>
      <w:tr w:rsidR="00BB7340" w:rsidRPr="00B02BA3" w14:paraId="76C1B122" w14:textId="77777777" w:rsidTr="00272B36">
        <w:trPr>
          <w:tblHeader/>
        </w:trPr>
        <w:tc>
          <w:tcPr>
            <w:tcW w:w="3141" w:type="dxa"/>
            <w:vAlign w:val="bottom"/>
          </w:tcPr>
          <w:p w14:paraId="5E0C5532" w14:textId="77777777" w:rsidR="00BB7340" w:rsidRPr="00BB7340" w:rsidRDefault="00BB7340" w:rsidP="00BB7340">
            <w:pPr>
              <w:keepNext/>
              <w:bidi/>
              <w:spacing w:before="40" w:after="120"/>
              <w:rPr>
                <w:b/>
                <w:sz w:val="12"/>
                <w:szCs w:val="18"/>
              </w:rPr>
            </w:pPr>
          </w:p>
        </w:tc>
        <w:tc>
          <w:tcPr>
            <w:tcW w:w="235" w:type="dxa"/>
            <w:vAlign w:val="bottom"/>
          </w:tcPr>
          <w:p w14:paraId="1A2D3A81" w14:textId="77777777" w:rsidR="00BB7340" w:rsidRPr="00B02BA3" w:rsidRDefault="00BB7340" w:rsidP="00BB7340">
            <w:pPr>
              <w:spacing w:before="40" w:after="120"/>
              <w:rPr>
                <w:sz w:val="17"/>
              </w:rPr>
            </w:pPr>
          </w:p>
        </w:tc>
        <w:tc>
          <w:tcPr>
            <w:tcW w:w="3170" w:type="dxa"/>
            <w:gridSpan w:val="5"/>
            <w:tcBorders>
              <w:bottom w:val="single" w:sz="4" w:space="0" w:color="auto"/>
            </w:tcBorders>
            <w:vAlign w:val="bottom"/>
          </w:tcPr>
          <w:p w14:paraId="542A2A73" w14:textId="77777777" w:rsidR="00BB7340" w:rsidRPr="00B02BA3" w:rsidRDefault="00BB7340" w:rsidP="00BB7340">
            <w:pPr>
              <w:keepNext/>
              <w:spacing w:before="40" w:after="120"/>
              <w:jc w:val="center"/>
              <w:rPr>
                <w:b/>
                <w:sz w:val="17"/>
              </w:rPr>
            </w:pPr>
            <w:r w:rsidRPr="00B02BA3">
              <w:rPr>
                <w:b/>
                <w:sz w:val="17"/>
              </w:rPr>
              <w:t>Year Ended 31 December</w:t>
            </w:r>
          </w:p>
        </w:tc>
        <w:tc>
          <w:tcPr>
            <w:tcW w:w="234" w:type="dxa"/>
            <w:vAlign w:val="bottom"/>
          </w:tcPr>
          <w:p w14:paraId="70AB5178" w14:textId="77777777" w:rsidR="00BB7340" w:rsidRPr="00B02BA3" w:rsidRDefault="00BB7340" w:rsidP="00BB7340">
            <w:pPr>
              <w:spacing w:before="40" w:after="120"/>
              <w:jc w:val="center"/>
              <w:rPr>
                <w:sz w:val="17"/>
              </w:rPr>
            </w:pPr>
          </w:p>
        </w:tc>
        <w:tc>
          <w:tcPr>
            <w:tcW w:w="2034" w:type="dxa"/>
            <w:gridSpan w:val="3"/>
            <w:tcBorders>
              <w:bottom w:val="single" w:sz="4" w:space="0" w:color="auto"/>
            </w:tcBorders>
            <w:vAlign w:val="bottom"/>
          </w:tcPr>
          <w:p w14:paraId="776164AC" w14:textId="77777777" w:rsidR="00BB7340" w:rsidRPr="00B02BA3" w:rsidRDefault="00BB7340" w:rsidP="00BB7340">
            <w:pPr>
              <w:keepNext/>
              <w:spacing w:before="40" w:after="120"/>
              <w:jc w:val="center"/>
              <w:rPr>
                <w:b/>
                <w:sz w:val="17"/>
              </w:rPr>
            </w:pPr>
            <w:r w:rsidRPr="00B02BA3">
              <w:rPr>
                <w:b/>
                <w:sz w:val="17"/>
              </w:rPr>
              <w:t>Nine Months Ended 30 September</w:t>
            </w:r>
          </w:p>
        </w:tc>
        <w:tc>
          <w:tcPr>
            <w:tcW w:w="234" w:type="dxa"/>
            <w:vAlign w:val="bottom"/>
          </w:tcPr>
          <w:p w14:paraId="6E6012E4" w14:textId="77777777" w:rsidR="00BB7340" w:rsidRPr="00B02BA3" w:rsidRDefault="00BB7340" w:rsidP="00BB7340">
            <w:pPr>
              <w:spacing w:before="40" w:after="120"/>
              <w:rPr>
                <w:sz w:val="17"/>
              </w:rPr>
            </w:pPr>
          </w:p>
        </w:tc>
      </w:tr>
      <w:tr w:rsidR="00BB7340" w:rsidRPr="00B02BA3" w14:paraId="0F635267" w14:textId="77777777" w:rsidTr="00272B36">
        <w:tc>
          <w:tcPr>
            <w:tcW w:w="3141" w:type="dxa"/>
            <w:vAlign w:val="bottom"/>
          </w:tcPr>
          <w:p w14:paraId="7FB54C60" w14:textId="77777777" w:rsidR="00BB7340" w:rsidRPr="00BB7340" w:rsidRDefault="00BB7340" w:rsidP="00BB7340">
            <w:pPr>
              <w:tabs>
                <w:tab w:val="right" w:leader="dot" w:pos="3163"/>
              </w:tabs>
              <w:bidi/>
              <w:spacing w:before="40" w:after="40"/>
              <w:rPr>
                <w:sz w:val="12"/>
                <w:szCs w:val="18"/>
              </w:rPr>
            </w:pPr>
          </w:p>
        </w:tc>
        <w:tc>
          <w:tcPr>
            <w:tcW w:w="235" w:type="dxa"/>
            <w:vAlign w:val="bottom"/>
          </w:tcPr>
          <w:p w14:paraId="693FF5C9" w14:textId="77777777" w:rsidR="00BB7340" w:rsidRPr="00B02BA3" w:rsidRDefault="00BB7340" w:rsidP="00BB7340">
            <w:pPr>
              <w:spacing w:before="40" w:after="40"/>
              <w:rPr>
                <w:sz w:val="17"/>
              </w:rPr>
            </w:pPr>
          </w:p>
        </w:tc>
        <w:tc>
          <w:tcPr>
            <w:tcW w:w="901" w:type="dxa"/>
            <w:tcBorders>
              <w:top w:val="single" w:sz="4" w:space="0" w:color="auto"/>
              <w:bottom w:val="single" w:sz="4" w:space="0" w:color="auto"/>
            </w:tcBorders>
            <w:vAlign w:val="bottom"/>
          </w:tcPr>
          <w:p w14:paraId="55C5040C" w14:textId="77777777" w:rsidR="00BB7340" w:rsidRPr="00B02BA3" w:rsidRDefault="00BB7340" w:rsidP="00BB7340">
            <w:pPr>
              <w:spacing w:before="40" w:after="40"/>
              <w:jc w:val="right"/>
              <w:rPr>
                <w:b/>
                <w:bCs/>
                <w:sz w:val="17"/>
              </w:rPr>
            </w:pPr>
            <w:r w:rsidRPr="00B02BA3">
              <w:rPr>
                <w:b/>
                <w:bCs/>
                <w:sz w:val="17"/>
              </w:rPr>
              <w:t>2021</w:t>
            </w:r>
          </w:p>
        </w:tc>
        <w:tc>
          <w:tcPr>
            <w:tcW w:w="235" w:type="dxa"/>
            <w:tcBorders>
              <w:top w:val="single" w:sz="4" w:space="0" w:color="auto"/>
            </w:tcBorders>
            <w:vAlign w:val="bottom"/>
          </w:tcPr>
          <w:p w14:paraId="02392D02" w14:textId="77777777" w:rsidR="00BB7340" w:rsidRPr="00B02BA3" w:rsidRDefault="00BB7340" w:rsidP="00BB7340">
            <w:pPr>
              <w:spacing w:before="40" w:after="40"/>
              <w:rPr>
                <w:b/>
                <w:bCs/>
                <w:sz w:val="17"/>
              </w:rPr>
            </w:pPr>
          </w:p>
        </w:tc>
        <w:tc>
          <w:tcPr>
            <w:tcW w:w="900" w:type="dxa"/>
            <w:tcBorders>
              <w:top w:val="single" w:sz="4" w:space="0" w:color="auto"/>
              <w:bottom w:val="single" w:sz="4" w:space="0" w:color="auto"/>
            </w:tcBorders>
            <w:vAlign w:val="bottom"/>
          </w:tcPr>
          <w:p w14:paraId="668067BD" w14:textId="77777777" w:rsidR="00BB7340" w:rsidRPr="00B02BA3" w:rsidRDefault="00BB7340" w:rsidP="00BB7340">
            <w:pPr>
              <w:spacing w:before="40" w:after="40"/>
              <w:jc w:val="right"/>
              <w:rPr>
                <w:b/>
                <w:bCs/>
                <w:sz w:val="17"/>
              </w:rPr>
            </w:pPr>
            <w:r w:rsidRPr="00B02BA3">
              <w:rPr>
                <w:b/>
                <w:bCs/>
                <w:sz w:val="17"/>
              </w:rPr>
              <w:t>2022</w:t>
            </w:r>
          </w:p>
        </w:tc>
        <w:tc>
          <w:tcPr>
            <w:tcW w:w="234" w:type="dxa"/>
            <w:tcBorders>
              <w:top w:val="single" w:sz="4" w:space="0" w:color="auto"/>
            </w:tcBorders>
            <w:vAlign w:val="bottom"/>
          </w:tcPr>
          <w:p w14:paraId="67189879" w14:textId="77777777" w:rsidR="00BB7340" w:rsidRPr="00B02BA3" w:rsidRDefault="00BB7340" w:rsidP="00BB7340">
            <w:pPr>
              <w:spacing w:before="40" w:after="40"/>
              <w:rPr>
                <w:b/>
                <w:bCs/>
                <w:sz w:val="17"/>
              </w:rPr>
            </w:pPr>
          </w:p>
        </w:tc>
        <w:tc>
          <w:tcPr>
            <w:tcW w:w="900" w:type="dxa"/>
            <w:tcBorders>
              <w:top w:val="single" w:sz="4" w:space="0" w:color="auto"/>
              <w:bottom w:val="single" w:sz="4" w:space="0" w:color="auto"/>
            </w:tcBorders>
            <w:vAlign w:val="bottom"/>
          </w:tcPr>
          <w:p w14:paraId="359E507F" w14:textId="77777777" w:rsidR="00BB7340" w:rsidRPr="00B02BA3" w:rsidRDefault="00BB7340" w:rsidP="00BB7340">
            <w:pPr>
              <w:spacing w:before="40" w:after="40"/>
              <w:jc w:val="right"/>
              <w:rPr>
                <w:b/>
                <w:bCs/>
                <w:sz w:val="17"/>
              </w:rPr>
            </w:pPr>
            <w:r w:rsidRPr="00B02BA3">
              <w:rPr>
                <w:b/>
                <w:bCs/>
                <w:sz w:val="17"/>
              </w:rPr>
              <w:t>2023</w:t>
            </w:r>
          </w:p>
        </w:tc>
        <w:tc>
          <w:tcPr>
            <w:tcW w:w="234" w:type="dxa"/>
            <w:vAlign w:val="bottom"/>
          </w:tcPr>
          <w:p w14:paraId="1582D941" w14:textId="77777777" w:rsidR="00BB7340" w:rsidRPr="00B02BA3" w:rsidRDefault="00BB7340" w:rsidP="00BB7340">
            <w:pPr>
              <w:spacing w:before="40" w:after="40"/>
              <w:rPr>
                <w:b/>
                <w:bCs/>
                <w:sz w:val="17"/>
              </w:rPr>
            </w:pPr>
          </w:p>
        </w:tc>
        <w:tc>
          <w:tcPr>
            <w:tcW w:w="900" w:type="dxa"/>
            <w:tcBorders>
              <w:top w:val="single" w:sz="4" w:space="0" w:color="auto"/>
              <w:bottom w:val="single" w:sz="4" w:space="0" w:color="auto"/>
            </w:tcBorders>
            <w:vAlign w:val="bottom"/>
          </w:tcPr>
          <w:p w14:paraId="57D5402B" w14:textId="77777777" w:rsidR="00BB7340" w:rsidRPr="00B02BA3" w:rsidRDefault="00BB7340" w:rsidP="00BB7340">
            <w:pPr>
              <w:spacing w:before="40" w:after="40"/>
              <w:jc w:val="right"/>
              <w:rPr>
                <w:b/>
                <w:bCs/>
                <w:sz w:val="17"/>
              </w:rPr>
            </w:pPr>
            <w:r w:rsidRPr="00B02BA3">
              <w:rPr>
                <w:b/>
                <w:bCs/>
                <w:sz w:val="17"/>
              </w:rPr>
              <w:t>2023</w:t>
            </w:r>
          </w:p>
        </w:tc>
        <w:tc>
          <w:tcPr>
            <w:tcW w:w="234" w:type="dxa"/>
            <w:tcBorders>
              <w:top w:val="single" w:sz="4" w:space="0" w:color="auto"/>
            </w:tcBorders>
            <w:vAlign w:val="bottom"/>
          </w:tcPr>
          <w:p w14:paraId="2B0B9C3F" w14:textId="77777777" w:rsidR="00BB7340" w:rsidRPr="00B02BA3" w:rsidRDefault="00BB7340" w:rsidP="00BB7340">
            <w:pPr>
              <w:spacing w:before="40" w:after="40"/>
              <w:rPr>
                <w:b/>
                <w:bCs/>
                <w:sz w:val="17"/>
              </w:rPr>
            </w:pPr>
          </w:p>
        </w:tc>
        <w:tc>
          <w:tcPr>
            <w:tcW w:w="900" w:type="dxa"/>
            <w:tcBorders>
              <w:top w:val="single" w:sz="4" w:space="0" w:color="auto"/>
              <w:bottom w:val="single" w:sz="4" w:space="0" w:color="auto"/>
            </w:tcBorders>
            <w:vAlign w:val="bottom"/>
          </w:tcPr>
          <w:p w14:paraId="7775E291" w14:textId="77777777" w:rsidR="00BB7340" w:rsidRPr="00B02BA3" w:rsidRDefault="00BB7340" w:rsidP="00BB7340">
            <w:pPr>
              <w:spacing w:before="40" w:after="40"/>
              <w:jc w:val="right"/>
              <w:rPr>
                <w:b/>
                <w:bCs/>
                <w:sz w:val="17"/>
              </w:rPr>
            </w:pPr>
            <w:r w:rsidRPr="00B02BA3">
              <w:rPr>
                <w:b/>
                <w:bCs/>
                <w:sz w:val="17"/>
              </w:rPr>
              <w:t>2024</w:t>
            </w:r>
          </w:p>
        </w:tc>
        <w:tc>
          <w:tcPr>
            <w:tcW w:w="234" w:type="dxa"/>
            <w:vAlign w:val="bottom"/>
          </w:tcPr>
          <w:p w14:paraId="0081D209" w14:textId="77777777" w:rsidR="00BB7340" w:rsidRPr="00B02BA3" w:rsidRDefault="00BB7340" w:rsidP="00BB7340">
            <w:pPr>
              <w:spacing w:before="40" w:after="40"/>
              <w:rPr>
                <w:sz w:val="17"/>
              </w:rPr>
            </w:pPr>
          </w:p>
        </w:tc>
      </w:tr>
      <w:tr w:rsidR="00BB7340" w:rsidRPr="00B02BA3" w14:paraId="7D5A155D" w14:textId="77777777" w:rsidTr="00272B36">
        <w:tc>
          <w:tcPr>
            <w:tcW w:w="3141" w:type="dxa"/>
            <w:vAlign w:val="bottom"/>
          </w:tcPr>
          <w:p w14:paraId="705CF68F" w14:textId="77777777" w:rsidR="00BB7340" w:rsidRPr="00BB7340" w:rsidRDefault="00BB7340" w:rsidP="00BB7340">
            <w:pPr>
              <w:tabs>
                <w:tab w:val="right" w:leader="dot" w:pos="3163"/>
              </w:tabs>
              <w:bidi/>
              <w:spacing w:before="40" w:after="40"/>
              <w:jc w:val="center"/>
              <w:rPr>
                <w:i/>
                <w:iCs/>
                <w:sz w:val="12"/>
                <w:szCs w:val="18"/>
              </w:rPr>
            </w:pPr>
          </w:p>
        </w:tc>
        <w:tc>
          <w:tcPr>
            <w:tcW w:w="235" w:type="dxa"/>
            <w:vAlign w:val="bottom"/>
          </w:tcPr>
          <w:p w14:paraId="396BB9AF" w14:textId="77777777" w:rsidR="00BB7340" w:rsidRPr="00B02BA3" w:rsidRDefault="00BB7340" w:rsidP="00BB7340">
            <w:pPr>
              <w:spacing w:before="40" w:after="40"/>
              <w:jc w:val="center"/>
              <w:rPr>
                <w:i/>
                <w:iCs/>
                <w:sz w:val="17"/>
              </w:rPr>
            </w:pPr>
          </w:p>
        </w:tc>
        <w:tc>
          <w:tcPr>
            <w:tcW w:w="5438" w:type="dxa"/>
            <w:gridSpan w:val="9"/>
            <w:vAlign w:val="bottom"/>
          </w:tcPr>
          <w:p w14:paraId="74BF35D4" w14:textId="77777777" w:rsidR="00BB7340" w:rsidRPr="00B02BA3" w:rsidRDefault="00BB7340" w:rsidP="00BB7340">
            <w:pPr>
              <w:spacing w:before="40" w:after="40"/>
              <w:jc w:val="center"/>
              <w:rPr>
                <w:i/>
                <w:iCs/>
                <w:sz w:val="17"/>
              </w:rPr>
            </w:pPr>
            <w:r w:rsidRPr="00B02BA3">
              <w:rPr>
                <w:i/>
                <w:iCs/>
                <w:sz w:val="17"/>
              </w:rPr>
              <w:t xml:space="preserve">(U.S.$ </w:t>
            </w:r>
            <w:r>
              <w:rPr>
                <w:i/>
                <w:iCs/>
                <w:sz w:val="17"/>
              </w:rPr>
              <w:t>millions</w:t>
            </w:r>
            <w:r w:rsidRPr="00B02BA3">
              <w:rPr>
                <w:i/>
                <w:iCs/>
                <w:sz w:val="17"/>
              </w:rPr>
              <w:t>)</w:t>
            </w:r>
          </w:p>
        </w:tc>
        <w:tc>
          <w:tcPr>
            <w:tcW w:w="234" w:type="dxa"/>
            <w:vAlign w:val="bottom"/>
          </w:tcPr>
          <w:p w14:paraId="6680FC40" w14:textId="77777777" w:rsidR="00BB7340" w:rsidRPr="00B02BA3" w:rsidRDefault="00BB7340" w:rsidP="00BB7340">
            <w:pPr>
              <w:spacing w:before="40" w:after="40"/>
              <w:jc w:val="center"/>
              <w:rPr>
                <w:i/>
                <w:iCs/>
                <w:sz w:val="17"/>
              </w:rPr>
            </w:pPr>
          </w:p>
        </w:tc>
      </w:tr>
      <w:tr w:rsidR="00E136D9" w:rsidRPr="00B02BA3" w14:paraId="1B1E39AE" w14:textId="77777777" w:rsidTr="00272B36">
        <w:tc>
          <w:tcPr>
            <w:tcW w:w="3141" w:type="dxa"/>
            <w:vAlign w:val="bottom"/>
          </w:tcPr>
          <w:p w14:paraId="03F28321" w14:textId="77777777" w:rsidR="00E136D9" w:rsidRPr="00BB7340" w:rsidRDefault="00E136D9" w:rsidP="00E136D9">
            <w:pPr>
              <w:tabs>
                <w:tab w:val="right" w:leader="dot" w:pos="3163"/>
              </w:tabs>
              <w:bidi/>
              <w:spacing w:before="40" w:after="40"/>
              <w:ind w:left="407"/>
              <w:rPr>
                <w:sz w:val="12"/>
                <w:szCs w:val="18"/>
              </w:rPr>
            </w:pPr>
            <w:r w:rsidRPr="00BB7340">
              <w:rPr>
                <w:rFonts w:hint="cs"/>
                <w:sz w:val="12"/>
                <w:szCs w:val="18"/>
                <w:rtl/>
              </w:rPr>
              <w:t>الإيرادات من العقود مع العملاء</w:t>
            </w:r>
            <w:r w:rsidRPr="00BB7340">
              <w:rPr>
                <w:sz w:val="12"/>
                <w:szCs w:val="18"/>
              </w:rPr>
              <w:tab/>
            </w:r>
          </w:p>
        </w:tc>
        <w:tc>
          <w:tcPr>
            <w:tcW w:w="235" w:type="dxa"/>
            <w:vAlign w:val="bottom"/>
          </w:tcPr>
          <w:p w14:paraId="099D43A9" w14:textId="77777777" w:rsidR="00E136D9" w:rsidRPr="00B02BA3" w:rsidRDefault="00E136D9" w:rsidP="00E136D9">
            <w:pPr>
              <w:spacing w:before="40" w:after="40"/>
              <w:rPr>
                <w:sz w:val="17"/>
              </w:rPr>
            </w:pPr>
          </w:p>
        </w:tc>
        <w:tc>
          <w:tcPr>
            <w:tcW w:w="901" w:type="dxa"/>
            <w:vAlign w:val="bottom"/>
          </w:tcPr>
          <w:p w14:paraId="7139667C" w14:textId="77777777" w:rsidR="00E136D9" w:rsidRPr="00B02BA3" w:rsidRDefault="00E136D9" w:rsidP="00E136D9">
            <w:pPr>
              <w:spacing w:before="40" w:after="40"/>
              <w:jc w:val="right"/>
              <w:rPr>
                <w:sz w:val="17"/>
              </w:rPr>
            </w:pPr>
            <w:r>
              <w:rPr>
                <w:sz w:val="17"/>
              </w:rPr>
              <w:t>485.4</w:t>
            </w:r>
          </w:p>
        </w:tc>
        <w:tc>
          <w:tcPr>
            <w:tcW w:w="235" w:type="dxa"/>
            <w:vAlign w:val="bottom"/>
          </w:tcPr>
          <w:p w14:paraId="421D96D0" w14:textId="77777777" w:rsidR="00E136D9" w:rsidRPr="00B02BA3" w:rsidRDefault="00E136D9" w:rsidP="00E136D9">
            <w:pPr>
              <w:spacing w:before="40" w:after="40"/>
              <w:rPr>
                <w:sz w:val="17"/>
              </w:rPr>
            </w:pPr>
          </w:p>
        </w:tc>
        <w:tc>
          <w:tcPr>
            <w:tcW w:w="900" w:type="dxa"/>
            <w:vAlign w:val="bottom"/>
          </w:tcPr>
          <w:p w14:paraId="042F7578" w14:textId="77777777" w:rsidR="00E136D9" w:rsidRPr="00B02BA3" w:rsidRDefault="00E136D9" w:rsidP="00E136D9">
            <w:pPr>
              <w:spacing w:before="40" w:after="40"/>
              <w:jc w:val="right"/>
              <w:rPr>
                <w:sz w:val="17"/>
              </w:rPr>
            </w:pPr>
            <w:r w:rsidRPr="00B02BA3">
              <w:rPr>
                <w:sz w:val="17"/>
              </w:rPr>
              <w:t>69</w:t>
            </w:r>
            <w:r>
              <w:rPr>
                <w:sz w:val="17"/>
              </w:rPr>
              <w:t>2.0</w:t>
            </w:r>
          </w:p>
        </w:tc>
        <w:tc>
          <w:tcPr>
            <w:tcW w:w="234" w:type="dxa"/>
            <w:vAlign w:val="bottom"/>
          </w:tcPr>
          <w:p w14:paraId="2BBA3025" w14:textId="77777777" w:rsidR="00E136D9" w:rsidRPr="00B02BA3" w:rsidRDefault="00E136D9" w:rsidP="00E136D9">
            <w:pPr>
              <w:spacing w:before="40" w:after="40"/>
              <w:rPr>
                <w:sz w:val="17"/>
              </w:rPr>
            </w:pPr>
          </w:p>
        </w:tc>
        <w:tc>
          <w:tcPr>
            <w:tcW w:w="900" w:type="dxa"/>
            <w:vAlign w:val="bottom"/>
          </w:tcPr>
          <w:p w14:paraId="20D5D415" w14:textId="77777777" w:rsidR="00E136D9" w:rsidRPr="00B02BA3" w:rsidRDefault="00E136D9" w:rsidP="00E136D9">
            <w:pPr>
              <w:spacing w:before="40" w:after="40"/>
              <w:jc w:val="right"/>
              <w:rPr>
                <w:sz w:val="17"/>
              </w:rPr>
            </w:pPr>
            <w:r w:rsidRPr="00B02BA3">
              <w:rPr>
                <w:sz w:val="17"/>
              </w:rPr>
              <w:t>563</w:t>
            </w:r>
            <w:r>
              <w:rPr>
                <w:sz w:val="17"/>
              </w:rPr>
              <w:t>.7</w:t>
            </w:r>
          </w:p>
        </w:tc>
        <w:tc>
          <w:tcPr>
            <w:tcW w:w="234" w:type="dxa"/>
            <w:vAlign w:val="bottom"/>
          </w:tcPr>
          <w:p w14:paraId="4635FEE6" w14:textId="77777777" w:rsidR="00E136D9" w:rsidRPr="00B02BA3" w:rsidRDefault="00E136D9" w:rsidP="00E136D9">
            <w:pPr>
              <w:spacing w:before="40" w:after="40"/>
              <w:rPr>
                <w:sz w:val="17"/>
              </w:rPr>
            </w:pPr>
          </w:p>
        </w:tc>
        <w:tc>
          <w:tcPr>
            <w:tcW w:w="900" w:type="dxa"/>
            <w:vAlign w:val="bottom"/>
          </w:tcPr>
          <w:p w14:paraId="20808C28" w14:textId="77777777" w:rsidR="00E136D9" w:rsidRPr="00B02BA3" w:rsidRDefault="00E136D9" w:rsidP="00E136D9">
            <w:pPr>
              <w:spacing w:before="40" w:after="40"/>
              <w:jc w:val="right"/>
              <w:rPr>
                <w:sz w:val="17"/>
              </w:rPr>
            </w:pPr>
            <w:r>
              <w:rPr>
                <w:sz w:val="17"/>
              </w:rPr>
              <w:t>291.5</w:t>
            </w:r>
          </w:p>
        </w:tc>
        <w:tc>
          <w:tcPr>
            <w:tcW w:w="234" w:type="dxa"/>
            <w:vAlign w:val="bottom"/>
          </w:tcPr>
          <w:p w14:paraId="7E8DA2C2" w14:textId="77777777" w:rsidR="00E136D9" w:rsidRPr="00B02BA3" w:rsidRDefault="00E136D9" w:rsidP="00E136D9">
            <w:pPr>
              <w:spacing w:before="40" w:after="40"/>
              <w:rPr>
                <w:sz w:val="17"/>
              </w:rPr>
            </w:pPr>
          </w:p>
        </w:tc>
        <w:tc>
          <w:tcPr>
            <w:tcW w:w="900" w:type="dxa"/>
            <w:vAlign w:val="bottom"/>
          </w:tcPr>
          <w:p w14:paraId="1AA9F094" w14:textId="77777777" w:rsidR="00E136D9" w:rsidRPr="00B02BA3" w:rsidRDefault="00E136D9" w:rsidP="00E136D9">
            <w:pPr>
              <w:spacing w:before="40" w:after="40"/>
              <w:jc w:val="right"/>
              <w:rPr>
                <w:sz w:val="17"/>
              </w:rPr>
            </w:pPr>
            <w:r>
              <w:rPr>
                <w:sz w:val="17"/>
              </w:rPr>
              <w:t>211.1</w:t>
            </w:r>
          </w:p>
        </w:tc>
        <w:tc>
          <w:tcPr>
            <w:tcW w:w="234" w:type="dxa"/>
            <w:vAlign w:val="bottom"/>
          </w:tcPr>
          <w:p w14:paraId="047F1A3D" w14:textId="77777777" w:rsidR="00E136D9" w:rsidRPr="00B02BA3" w:rsidRDefault="00E136D9" w:rsidP="00E136D9">
            <w:pPr>
              <w:spacing w:before="40" w:after="40"/>
              <w:rPr>
                <w:sz w:val="17"/>
              </w:rPr>
            </w:pPr>
          </w:p>
        </w:tc>
      </w:tr>
      <w:tr w:rsidR="003A4024" w:rsidRPr="00B02BA3" w14:paraId="66A64A29" w14:textId="77777777" w:rsidTr="00272B36">
        <w:tc>
          <w:tcPr>
            <w:tcW w:w="3141" w:type="dxa"/>
            <w:vAlign w:val="bottom"/>
          </w:tcPr>
          <w:p w14:paraId="71977F6E" w14:textId="77777777" w:rsidR="003A4024" w:rsidRPr="00BB7340" w:rsidRDefault="003A4024" w:rsidP="003A4024">
            <w:pPr>
              <w:tabs>
                <w:tab w:val="right" w:leader="dot" w:pos="3163"/>
              </w:tabs>
              <w:bidi/>
              <w:spacing w:before="40" w:after="40"/>
              <w:ind w:left="407"/>
              <w:rPr>
                <w:sz w:val="12"/>
                <w:szCs w:val="18"/>
              </w:rPr>
            </w:pPr>
            <w:r w:rsidRPr="00BB7340">
              <w:rPr>
                <w:rFonts w:hint="cs"/>
                <w:sz w:val="12"/>
                <w:szCs w:val="18"/>
                <w:rtl/>
              </w:rPr>
              <w:t>الدخل من الإجارة التشغيلية</w:t>
            </w:r>
            <w:r w:rsidRPr="00BB7340">
              <w:rPr>
                <w:sz w:val="12"/>
                <w:szCs w:val="18"/>
              </w:rPr>
              <w:tab/>
            </w:r>
          </w:p>
        </w:tc>
        <w:tc>
          <w:tcPr>
            <w:tcW w:w="235" w:type="dxa"/>
            <w:vAlign w:val="bottom"/>
          </w:tcPr>
          <w:p w14:paraId="5C009A24" w14:textId="77777777" w:rsidR="003A4024" w:rsidRPr="00B02BA3" w:rsidRDefault="003A4024" w:rsidP="003A4024">
            <w:pPr>
              <w:spacing w:before="40" w:after="40"/>
              <w:rPr>
                <w:sz w:val="17"/>
              </w:rPr>
            </w:pPr>
          </w:p>
        </w:tc>
        <w:tc>
          <w:tcPr>
            <w:tcW w:w="901" w:type="dxa"/>
            <w:vAlign w:val="bottom"/>
          </w:tcPr>
          <w:p w14:paraId="1E264899" w14:textId="77777777" w:rsidR="003A4024" w:rsidRPr="00B02BA3" w:rsidRDefault="003A4024" w:rsidP="003A4024">
            <w:pPr>
              <w:spacing w:before="40" w:after="40"/>
              <w:jc w:val="right"/>
              <w:rPr>
                <w:sz w:val="17"/>
              </w:rPr>
            </w:pPr>
            <w:r>
              <w:rPr>
                <w:sz w:val="17"/>
              </w:rPr>
              <w:t>99.7</w:t>
            </w:r>
          </w:p>
        </w:tc>
        <w:tc>
          <w:tcPr>
            <w:tcW w:w="235" w:type="dxa"/>
            <w:vAlign w:val="bottom"/>
          </w:tcPr>
          <w:p w14:paraId="3DBBD02D" w14:textId="77777777" w:rsidR="003A4024" w:rsidRPr="00B02BA3" w:rsidRDefault="003A4024" w:rsidP="003A4024">
            <w:pPr>
              <w:spacing w:before="40" w:after="40"/>
              <w:rPr>
                <w:sz w:val="17"/>
              </w:rPr>
            </w:pPr>
          </w:p>
        </w:tc>
        <w:tc>
          <w:tcPr>
            <w:tcW w:w="900" w:type="dxa"/>
            <w:vAlign w:val="bottom"/>
          </w:tcPr>
          <w:p w14:paraId="692E29D5" w14:textId="77777777" w:rsidR="003A4024" w:rsidRPr="00B02BA3" w:rsidRDefault="003A4024" w:rsidP="003A4024">
            <w:pPr>
              <w:spacing w:before="40" w:after="40"/>
              <w:jc w:val="right"/>
              <w:rPr>
                <w:sz w:val="17"/>
              </w:rPr>
            </w:pPr>
            <w:r w:rsidRPr="00B02BA3">
              <w:rPr>
                <w:sz w:val="17"/>
              </w:rPr>
              <w:t>16</w:t>
            </w:r>
            <w:r>
              <w:rPr>
                <w:sz w:val="17"/>
              </w:rPr>
              <w:t>6.0</w:t>
            </w:r>
          </w:p>
        </w:tc>
        <w:tc>
          <w:tcPr>
            <w:tcW w:w="234" w:type="dxa"/>
            <w:vAlign w:val="bottom"/>
          </w:tcPr>
          <w:p w14:paraId="2B07C844" w14:textId="77777777" w:rsidR="003A4024" w:rsidRPr="00B02BA3" w:rsidRDefault="003A4024" w:rsidP="003A4024">
            <w:pPr>
              <w:spacing w:before="40" w:after="40"/>
              <w:rPr>
                <w:sz w:val="17"/>
              </w:rPr>
            </w:pPr>
          </w:p>
        </w:tc>
        <w:tc>
          <w:tcPr>
            <w:tcW w:w="900" w:type="dxa"/>
            <w:vAlign w:val="bottom"/>
          </w:tcPr>
          <w:p w14:paraId="649AA427" w14:textId="77777777" w:rsidR="003A4024" w:rsidRPr="00B02BA3" w:rsidRDefault="003A4024" w:rsidP="003A4024">
            <w:pPr>
              <w:spacing w:before="40" w:after="40"/>
              <w:jc w:val="right"/>
              <w:rPr>
                <w:sz w:val="17"/>
              </w:rPr>
            </w:pPr>
            <w:r w:rsidRPr="00B02BA3">
              <w:rPr>
                <w:sz w:val="17"/>
              </w:rPr>
              <w:t>33</w:t>
            </w:r>
            <w:r>
              <w:rPr>
                <w:sz w:val="17"/>
              </w:rPr>
              <w:t>7.0</w:t>
            </w:r>
          </w:p>
        </w:tc>
        <w:tc>
          <w:tcPr>
            <w:tcW w:w="234" w:type="dxa"/>
            <w:vAlign w:val="bottom"/>
          </w:tcPr>
          <w:p w14:paraId="1B986900" w14:textId="77777777" w:rsidR="003A4024" w:rsidRPr="00B02BA3" w:rsidRDefault="003A4024" w:rsidP="003A4024">
            <w:pPr>
              <w:spacing w:before="40" w:after="40"/>
              <w:rPr>
                <w:sz w:val="17"/>
              </w:rPr>
            </w:pPr>
          </w:p>
        </w:tc>
        <w:tc>
          <w:tcPr>
            <w:tcW w:w="900" w:type="dxa"/>
            <w:vAlign w:val="bottom"/>
          </w:tcPr>
          <w:p w14:paraId="4100F001" w14:textId="77777777" w:rsidR="003A4024" w:rsidRPr="00B02BA3" w:rsidRDefault="003A4024" w:rsidP="003A4024">
            <w:pPr>
              <w:spacing w:before="40" w:after="40"/>
              <w:jc w:val="right"/>
              <w:rPr>
                <w:sz w:val="17"/>
              </w:rPr>
            </w:pPr>
            <w:r>
              <w:rPr>
                <w:sz w:val="17"/>
              </w:rPr>
              <w:t>388.6</w:t>
            </w:r>
          </w:p>
        </w:tc>
        <w:tc>
          <w:tcPr>
            <w:tcW w:w="234" w:type="dxa"/>
            <w:vAlign w:val="bottom"/>
          </w:tcPr>
          <w:p w14:paraId="5C042962" w14:textId="77777777" w:rsidR="003A4024" w:rsidRPr="00B02BA3" w:rsidRDefault="003A4024" w:rsidP="003A4024">
            <w:pPr>
              <w:spacing w:before="40" w:after="40"/>
              <w:rPr>
                <w:sz w:val="17"/>
              </w:rPr>
            </w:pPr>
          </w:p>
        </w:tc>
        <w:tc>
          <w:tcPr>
            <w:tcW w:w="900" w:type="dxa"/>
            <w:vAlign w:val="bottom"/>
          </w:tcPr>
          <w:p w14:paraId="26B47855" w14:textId="77777777" w:rsidR="003A4024" w:rsidRPr="00B02BA3" w:rsidRDefault="003A4024" w:rsidP="003A4024">
            <w:pPr>
              <w:spacing w:before="40" w:after="40"/>
              <w:jc w:val="right"/>
              <w:rPr>
                <w:sz w:val="17"/>
              </w:rPr>
            </w:pPr>
            <w:r>
              <w:rPr>
                <w:sz w:val="17"/>
              </w:rPr>
              <w:t>471.2</w:t>
            </w:r>
          </w:p>
        </w:tc>
        <w:tc>
          <w:tcPr>
            <w:tcW w:w="234" w:type="dxa"/>
            <w:vAlign w:val="bottom"/>
          </w:tcPr>
          <w:p w14:paraId="747925A6" w14:textId="77777777" w:rsidR="003A4024" w:rsidRPr="00B02BA3" w:rsidRDefault="003A4024" w:rsidP="003A4024">
            <w:pPr>
              <w:spacing w:before="40" w:after="40"/>
              <w:rPr>
                <w:sz w:val="17"/>
              </w:rPr>
            </w:pPr>
          </w:p>
        </w:tc>
      </w:tr>
      <w:tr w:rsidR="00DE358E" w:rsidRPr="00B02BA3" w14:paraId="6C99D01C" w14:textId="77777777" w:rsidTr="00272B36">
        <w:tc>
          <w:tcPr>
            <w:tcW w:w="3141" w:type="dxa"/>
            <w:vAlign w:val="bottom"/>
          </w:tcPr>
          <w:p w14:paraId="147806A6" w14:textId="77777777" w:rsidR="00DE358E" w:rsidRPr="00BB7340" w:rsidRDefault="00DE358E" w:rsidP="00DE358E">
            <w:pPr>
              <w:tabs>
                <w:tab w:val="right" w:leader="dot" w:pos="3163"/>
              </w:tabs>
              <w:bidi/>
              <w:spacing w:before="40" w:after="40"/>
              <w:ind w:left="407"/>
              <w:rPr>
                <w:sz w:val="12"/>
                <w:szCs w:val="18"/>
              </w:rPr>
            </w:pPr>
            <w:r w:rsidRPr="00BB7340">
              <w:rPr>
                <w:rFonts w:hint="cs"/>
                <w:sz w:val="12"/>
                <w:szCs w:val="18"/>
                <w:rtl/>
              </w:rPr>
              <w:t>الدخل من الإجارة التمويلية</w:t>
            </w:r>
            <w:r w:rsidRPr="00BB7340">
              <w:rPr>
                <w:sz w:val="12"/>
                <w:szCs w:val="18"/>
              </w:rPr>
              <w:tab/>
            </w:r>
          </w:p>
        </w:tc>
        <w:tc>
          <w:tcPr>
            <w:tcW w:w="235" w:type="dxa"/>
            <w:vAlign w:val="bottom"/>
          </w:tcPr>
          <w:p w14:paraId="5BA3DC87" w14:textId="77777777" w:rsidR="00DE358E" w:rsidRPr="00B02BA3" w:rsidRDefault="00DE358E" w:rsidP="00DE358E">
            <w:pPr>
              <w:spacing w:before="40" w:after="40"/>
              <w:rPr>
                <w:sz w:val="17"/>
              </w:rPr>
            </w:pPr>
          </w:p>
        </w:tc>
        <w:tc>
          <w:tcPr>
            <w:tcW w:w="901" w:type="dxa"/>
            <w:vAlign w:val="bottom"/>
          </w:tcPr>
          <w:p w14:paraId="38501929" w14:textId="77777777" w:rsidR="00DE358E" w:rsidRPr="00B02BA3" w:rsidRDefault="00DE358E" w:rsidP="00DE358E">
            <w:pPr>
              <w:spacing w:before="40" w:after="40"/>
              <w:jc w:val="right"/>
              <w:rPr>
                <w:sz w:val="17"/>
              </w:rPr>
            </w:pPr>
            <w:r w:rsidRPr="00B02BA3">
              <w:rPr>
                <w:sz w:val="17"/>
              </w:rPr>
              <w:t>48</w:t>
            </w:r>
            <w:r>
              <w:rPr>
                <w:sz w:val="17"/>
              </w:rPr>
              <w:t>.2</w:t>
            </w:r>
          </w:p>
        </w:tc>
        <w:tc>
          <w:tcPr>
            <w:tcW w:w="235" w:type="dxa"/>
            <w:vAlign w:val="bottom"/>
          </w:tcPr>
          <w:p w14:paraId="73E205DE" w14:textId="77777777" w:rsidR="00DE358E" w:rsidRPr="00B02BA3" w:rsidRDefault="00DE358E" w:rsidP="00DE358E">
            <w:pPr>
              <w:spacing w:before="40" w:after="40"/>
              <w:rPr>
                <w:sz w:val="17"/>
              </w:rPr>
            </w:pPr>
          </w:p>
        </w:tc>
        <w:tc>
          <w:tcPr>
            <w:tcW w:w="900" w:type="dxa"/>
            <w:vAlign w:val="bottom"/>
          </w:tcPr>
          <w:p w14:paraId="41081CE5" w14:textId="77777777" w:rsidR="00DE358E" w:rsidRPr="00B02BA3" w:rsidRDefault="00DE358E" w:rsidP="00DE358E">
            <w:pPr>
              <w:spacing w:before="40" w:after="40"/>
              <w:jc w:val="right"/>
              <w:rPr>
                <w:sz w:val="17"/>
              </w:rPr>
            </w:pPr>
            <w:r w:rsidRPr="00B02BA3">
              <w:rPr>
                <w:sz w:val="17"/>
              </w:rPr>
              <w:t>46</w:t>
            </w:r>
            <w:r>
              <w:rPr>
                <w:sz w:val="17"/>
              </w:rPr>
              <w:t>.2</w:t>
            </w:r>
          </w:p>
        </w:tc>
        <w:tc>
          <w:tcPr>
            <w:tcW w:w="234" w:type="dxa"/>
            <w:vAlign w:val="bottom"/>
          </w:tcPr>
          <w:p w14:paraId="6F4951C8" w14:textId="77777777" w:rsidR="00DE358E" w:rsidRPr="00B02BA3" w:rsidRDefault="00DE358E" w:rsidP="00DE358E">
            <w:pPr>
              <w:spacing w:before="40" w:after="40"/>
              <w:rPr>
                <w:sz w:val="17"/>
              </w:rPr>
            </w:pPr>
          </w:p>
        </w:tc>
        <w:tc>
          <w:tcPr>
            <w:tcW w:w="900" w:type="dxa"/>
            <w:vAlign w:val="bottom"/>
          </w:tcPr>
          <w:p w14:paraId="6AD368A1" w14:textId="77777777" w:rsidR="00DE358E" w:rsidRPr="00B02BA3" w:rsidRDefault="00DE358E" w:rsidP="00DE358E">
            <w:pPr>
              <w:spacing w:before="40" w:after="40"/>
              <w:jc w:val="right"/>
              <w:rPr>
                <w:sz w:val="17"/>
              </w:rPr>
            </w:pPr>
            <w:r w:rsidRPr="00B02BA3">
              <w:rPr>
                <w:sz w:val="17"/>
              </w:rPr>
              <w:t>44</w:t>
            </w:r>
            <w:r>
              <w:rPr>
                <w:sz w:val="17"/>
              </w:rPr>
              <w:t>.0</w:t>
            </w:r>
          </w:p>
        </w:tc>
        <w:tc>
          <w:tcPr>
            <w:tcW w:w="234" w:type="dxa"/>
            <w:vAlign w:val="bottom"/>
          </w:tcPr>
          <w:p w14:paraId="4B61D5CF" w14:textId="77777777" w:rsidR="00DE358E" w:rsidRPr="00B02BA3" w:rsidRDefault="00DE358E" w:rsidP="00DE358E">
            <w:pPr>
              <w:spacing w:before="40" w:after="40"/>
              <w:rPr>
                <w:sz w:val="17"/>
              </w:rPr>
            </w:pPr>
          </w:p>
        </w:tc>
        <w:tc>
          <w:tcPr>
            <w:tcW w:w="900" w:type="dxa"/>
          </w:tcPr>
          <w:p w14:paraId="035440A4" w14:textId="77777777" w:rsidR="00DE358E" w:rsidRPr="00B02BA3" w:rsidRDefault="00DE358E" w:rsidP="00DE358E">
            <w:pPr>
              <w:spacing w:before="40" w:after="40"/>
              <w:jc w:val="right"/>
              <w:rPr>
                <w:sz w:val="17"/>
              </w:rPr>
            </w:pPr>
            <w:r>
              <w:rPr>
                <w:sz w:val="17"/>
              </w:rPr>
              <w:t>33.2</w:t>
            </w:r>
          </w:p>
        </w:tc>
        <w:tc>
          <w:tcPr>
            <w:tcW w:w="234" w:type="dxa"/>
            <w:vAlign w:val="bottom"/>
          </w:tcPr>
          <w:p w14:paraId="52409045" w14:textId="77777777" w:rsidR="00DE358E" w:rsidRPr="00B02BA3" w:rsidRDefault="00DE358E" w:rsidP="00DE358E">
            <w:pPr>
              <w:spacing w:before="40" w:after="40"/>
              <w:rPr>
                <w:sz w:val="17"/>
              </w:rPr>
            </w:pPr>
          </w:p>
        </w:tc>
        <w:tc>
          <w:tcPr>
            <w:tcW w:w="900" w:type="dxa"/>
            <w:vAlign w:val="bottom"/>
          </w:tcPr>
          <w:p w14:paraId="11EB85DB" w14:textId="77777777" w:rsidR="00DE358E" w:rsidRPr="00B02BA3" w:rsidRDefault="00DE358E" w:rsidP="00DE358E">
            <w:pPr>
              <w:spacing w:before="40" w:after="40"/>
              <w:jc w:val="right"/>
              <w:rPr>
                <w:sz w:val="17"/>
              </w:rPr>
            </w:pPr>
            <w:r>
              <w:rPr>
                <w:sz w:val="17"/>
              </w:rPr>
              <w:t>31.6</w:t>
            </w:r>
          </w:p>
        </w:tc>
        <w:tc>
          <w:tcPr>
            <w:tcW w:w="234" w:type="dxa"/>
            <w:vAlign w:val="bottom"/>
          </w:tcPr>
          <w:p w14:paraId="137AE46C" w14:textId="77777777" w:rsidR="00DE358E" w:rsidRPr="00B02BA3" w:rsidRDefault="00DE358E" w:rsidP="00DE358E">
            <w:pPr>
              <w:spacing w:before="40" w:after="40"/>
              <w:rPr>
                <w:sz w:val="17"/>
              </w:rPr>
            </w:pPr>
          </w:p>
        </w:tc>
      </w:tr>
      <w:tr w:rsidR="00093AD0" w:rsidRPr="00B02BA3" w14:paraId="6C11DF85" w14:textId="77777777" w:rsidTr="00272B36">
        <w:tc>
          <w:tcPr>
            <w:tcW w:w="3141" w:type="dxa"/>
            <w:vAlign w:val="bottom"/>
          </w:tcPr>
          <w:p w14:paraId="63D1A9F2" w14:textId="77777777" w:rsidR="00093AD0" w:rsidRPr="00BB7340" w:rsidRDefault="00093AD0" w:rsidP="00093AD0">
            <w:pPr>
              <w:tabs>
                <w:tab w:val="right" w:leader="dot" w:pos="3163"/>
              </w:tabs>
              <w:bidi/>
              <w:spacing w:before="40" w:after="40"/>
              <w:rPr>
                <w:b/>
                <w:bCs/>
                <w:sz w:val="12"/>
                <w:szCs w:val="18"/>
              </w:rPr>
            </w:pPr>
            <w:r w:rsidRPr="00BB7340">
              <w:rPr>
                <w:rFonts w:hint="cs"/>
                <w:b/>
                <w:bCs/>
                <w:sz w:val="12"/>
                <w:szCs w:val="18"/>
                <w:rtl/>
              </w:rPr>
              <w:t>الإيرادات</w:t>
            </w:r>
            <w:r w:rsidRPr="00BB7340">
              <w:rPr>
                <w:sz w:val="12"/>
                <w:szCs w:val="18"/>
              </w:rPr>
              <w:tab/>
            </w:r>
          </w:p>
        </w:tc>
        <w:tc>
          <w:tcPr>
            <w:tcW w:w="235" w:type="dxa"/>
            <w:vAlign w:val="bottom"/>
          </w:tcPr>
          <w:p w14:paraId="7D7198C7" w14:textId="77777777" w:rsidR="00093AD0" w:rsidRPr="00B02BA3" w:rsidRDefault="00093AD0" w:rsidP="00093AD0">
            <w:pPr>
              <w:spacing w:before="40" w:after="40"/>
              <w:rPr>
                <w:b/>
                <w:bCs/>
                <w:sz w:val="17"/>
              </w:rPr>
            </w:pPr>
          </w:p>
        </w:tc>
        <w:tc>
          <w:tcPr>
            <w:tcW w:w="901" w:type="dxa"/>
            <w:tcBorders>
              <w:top w:val="single" w:sz="4" w:space="0" w:color="auto"/>
            </w:tcBorders>
            <w:vAlign w:val="bottom"/>
          </w:tcPr>
          <w:p w14:paraId="09FF11C4" w14:textId="77777777" w:rsidR="00093AD0" w:rsidRPr="00B02BA3" w:rsidRDefault="00093AD0" w:rsidP="00093AD0">
            <w:pPr>
              <w:spacing w:before="40" w:after="40"/>
              <w:jc w:val="right"/>
              <w:rPr>
                <w:sz w:val="17"/>
              </w:rPr>
            </w:pPr>
            <w:r w:rsidRPr="00B02BA3">
              <w:rPr>
                <w:sz w:val="17"/>
              </w:rPr>
              <w:t>633</w:t>
            </w:r>
            <w:r>
              <w:rPr>
                <w:sz w:val="17"/>
              </w:rPr>
              <w:t>.3</w:t>
            </w:r>
          </w:p>
        </w:tc>
        <w:tc>
          <w:tcPr>
            <w:tcW w:w="235" w:type="dxa"/>
            <w:vAlign w:val="bottom"/>
          </w:tcPr>
          <w:p w14:paraId="19594F44" w14:textId="77777777" w:rsidR="00093AD0" w:rsidRPr="00B02BA3" w:rsidRDefault="00093AD0" w:rsidP="00093AD0">
            <w:pPr>
              <w:spacing w:before="40" w:after="40"/>
              <w:rPr>
                <w:sz w:val="17"/>
              </w:rPr>
            </w:pPr>
          </w:p>
        </w:tc>
        <w:tc>
          <w:tcPr>
            <w:tcW w:w="900" w:type="dxa"/>
            <w:tcBorders>
              <w:top w:val="single" w:sz="4" w:space="0" w:color="auto"/>
            </w:tcBorders>
            <w:vAlign w:val="bottom"/>
          </w:tcPr>
          <w:p w14:paraId="1242ACFC" w14:textId="77777777" w:rsidR="00093AD0" w:rsidRPr="00B02BA3" w:rsidRDefault="00093AD0" w:rsidP="00093AD0">
            <w:pPr>
              <w:spacing w:before="40" w:after="40"/>
              <w:jc w:val="right"/>
              <w:rPr>
                <w:sz w:val="17"/>
              </w:rPr>
            </w:pPr>
            <w:r w:rsidRPr="00B02BA3">
              <w:rPr>
                <w:sz w:val="17"/>
              </w:rPr>
              <w:t>90</w:t>
            </w:r>
            <w:r>
              <w:rPr>
                <w:sz w:val="17"/>
              </w:rPr>
              <w:t>4.2</w:t>
            </w:r>
          </w:p>
        </w:tc>
        <w:tc>
          <w:tcPr>
            <w:tcW w:w="234" w:type="dxa"/>
            <w:vAlign w:val="bottom"/>
          </w:tcPr>
          <w:p w14:paraId="22F30BC0" w14:textId="77777777" w:rsidR="00093AD0" w:rsidRPr="00B02BA3" w:rsidRDefault="00093AD0" w:rsidP="00093AD0">
            <w:pPr>
              <w:spacing w:before="40" w:after="40"/>
              <w:rPr>
                <w:sz w:val="17"/>
              </w:rPr>
            </w:pPr>
          </w:p>
        </w:tc>
        <w:tc>
          <w:tcPr>
            <w:tcW w:w="900" w:type="dxa"/>
            <w:tcBorders>
              <w:top w:val="single" w:sz="4" w:space="0" w:color="auto"/>
            </w:tcBorders>
            <w:vAlign w:val="bottom"/>
          </w:tcPr>
          <w:p w14:paraId="6116942C" w14:textId="77777777" w:rsidR="00093AD0" w:rsidRPr="00B02BA3" w:rsidRDefault="00093AD0" w:rsidP="00093AD0">
            <w:pPr>
              <w:spacing w:before="40" w:after="40"/>
              <w:jc w:val="right"/>
              <w:rPr>
                <w:sz w:val="17"/>
              </w:rPr>
            </w:pPr>
            <w:r w:rsidRPr="00B02BA3">
              <w:rPr>
                <w:sz w:val="17"/>
              </w:rPr>
              <w:t>944</w:t>
            </w:r>
            <w:r>
              <w:rPr>
                <w:sz w:val="17"/>
              </w:rPr>
              <w:t>.7</w:t>
            </w:r>
          </w:p>
        </w:tc>
        <w:tc>
          <w:tcPr>
            <w:tcW w:w="234" w:type="dxa"/>
            <w:vAlign w:val="bottom"/>
          </w:tcPr>
          <w:p w14:paraId="3A3F4A81" w14:textId="77777777" w:rsidR="00093AD0" w:rsidRPr="00B02BA3" w:rsidRDefault="00093AD0" w:rsidP="00093AD0">
            <w:pPr>
              <w:spacing w:before="40" w:after="40"/>
              <w:rPr>
                <w:sz w:val="17"/>
              </w:rPr>
            </w:pPr>
          </w:p>
        </w:tc>
        <w:tc>
          <w:tcPr>
            <w:tcW w:w="900" w:type="dxa"/>
            <w:tcBorders>
              <w:top w:val="single" w:sz="4" w:space="0" w:color="auto"/>
            </w:tcBorders>
            <w:vAlign w:val="bottom"/>
          </w:tcPr>
          <w:p w14:paraId="291A0DA2" w14:textId="77777777" w:rsidR="00093AD0" w:rsidRPr="00B02BA3" w:rsidRDefault="00093AD0" w:rsidP="00093AD0">
            <w:pPr>
              <w:spacing w:before="40" w:after="40"/>
              <w:jc w:val="right"/>
              <w:rPr>
                <w:sz w:val="17"/>
              </w:rPr>
            </w:pPr>
            <w:r>
              <w:rPr>
                <w:sz w:val="17"/>
              </w:rPr>
              <w:t>713.3</w:t>
            </w:r>
          </w:p>
        </w:tc>
        <w:tc>
          <w:tcPr>
            <w:tcW w:w="234" w:type="dxa"/>
            <w:vAlign w:val="bottom"/>
          </w:tcPr>
          <w:p w14:paraId="6789C05D" w14:textId="77777777" w:rsidR="00093AD0" w:rsidRPr="00B02BA3" w:rsidRDefault="00093AD0" w:rsidP="00093AD0">
            <w:pPr>
              <w:spacing w:before="40" w:after="40"/>
              <w:rPr>
                <w:sz w:val="17"/>
              </w:rPr>
            </w:pPr>
          </w:p>
        </w:tc>
        <w:tc>
          <w:tcPr>
            <w:tcW w:w="900" w:type="dxa"/>
            <w:tcBorders>
              <w:top w:val="single" w:sz="4" w:space="0" w:color="auto"/>
            </w:tcBorders>
            <w:vAlign w:val="bottom"/>
          </w:tcPr>
          <w:p w14:paraId="2AA598B0" w14:textId="77777777" w:rsidR="00093AD0" w:rsidRPr="00B02BA3" w:rsidRDefault="00093AD0" w:rsidP="00093AD0">
            <w:pPr>
              <w:spacing w:before="40" w:after="40"/>
              <w:jc w:val="right"/>
              <w:rPr>
                <w:sz w:val="17"/>
              </w:rPr>
            </w:pPr>
            <w:r>
              <w:rPr>
                <w:sz w:val="17"/>
              </w:rPr>
              <w:t>713.9</w:t>
            </w:r>
          </w:p>
        </w:tc>
        <w:tc>
          <w:tcPr>
            <w:tcW w:w="234" w:type="dxa"/>
            <w:vAlign w:val="bottom"/>
          </w:tcPr>
          <w:p w14:paraId="2DDF56CE" w14:textId="77777777" w:rsidR="00093AD0" w:rsidRPr="00B02BA3" w:rsidRDefault="00093AD0" w:rsidP="00093AD0">
            <w:pPr>
              <w:spacing w:before="40" w:after="40"/>
              <w:rPr>
                <w:b/>
                <w:bCs/>
                <w:sz w:val="17"/>
              </w:rPr>
            </w:pPr>
          </w:p>
        </w:tc>
      </w:tr>
      <w:tr w:rsidR="00E66EF9" w:rsidRPr="00B02BA3" w14:paraId="29A5A636" w14:textId="77777777" w:rsidTr="00272B36">
        <w:tc>
          <w:tcPr>
            <w:tcW w:w="3141" w:type="dxa"/>
            <w:vAlign w:val="bottom"/>
          </w:tcPr>
          <w:p w14:paraId="04B8E47C" w14:textId="77777777" w:rsidR="00E66EF9" w:rsidRPr="00BB7340" w:rsidRDefault="00E66EF9" w:rsidP="00E66EF9">
            <w:pPr>
              <w:tabs>
                <w:tab w:val="right" w:leader="dot" w:pos="3163"/>
              </w:tabs>
              <w:bidi/>
              <w:spacing w:before="40" w:after="40"/>
              <w:ind w:left="407"/>
              <w:rPr>
                <w:sz w:val="12"/>
                <w:szCs w:val="18"/>
              </w:rPr>
            </w:pPr>
            <w:r w:rsidRPr="00BB7340">
              <w:rPr>
                <w:rFonts w:hint="cs"/>
                <w:sz w:val="12"/>
                <w:szCs w:val="18"/>
                <w:rtl/>
              </w:rPr>
              <w:t>تكاليف تشغيل الرحلة</w:t>
            </w:r>
            <w:r w:rsidRPr="00BB7340">
              <w:rPr>
                <w:sz w:val="12"/>
                <w:szCs w:val="18"/>
              </w:rPr>
              <w:tab/>
            </w:r>
          </w:p>
        </w:tc>
        <w:tc>
          <w:tcPr>
            <w:tcW w:w="235" w:type="dxa"/>
            <w:vAlign w:val="bottom"/>
          </w:tcPr>
          <w:p w14:paraId="44222391" w14:textId="77777777" w:rsidR="00E66EF9" w:rsidRPr="00B02BA3" w:rsidRDefault="00E66EF9" w:rsidP="00E66EF9">
            <w:pPr>
              <w:spacing w:before="40" w:after="40"/>
              <w:rPr>
                <w:sz w:val="17"/>
              </w:rPr>
            </w:pPr>
          </w:p>
        </w:tc>
        <w:tc>
          <w:tcPr>
            <w:tcW w:w="901" w:type="dxa"/>
            <w:vAlign w:val="bottom"/>
          </w:tcPr>
          <w:p w14:paraId="6CBB4631" w14:textId="77777777" w:rsidR="00E66EF9" w:rsidRPr="00B02BA3" w:rsidRDefault="00E66EF9" w:rsidP="00E66EF9">
            <w:pPr>
              <w:spacing w:before="40" w:after="40"/>
              <w:jc w:val="right"/>
              <w:rPr>
                <w:sz w:val="17"/>
              </w:rPr>
            </w:pPr>
            <w:r w:rsidRPr="00B02BA3">
              <w:rPr>
                <w:sz w:val="17"/>
              </w:rPr>
              <w:t>(16</w:t>
            </w:r>
            <w:r>
              <w:rPr>
                <w:sz w:val="17"/>
              </w:rPr>
              <w:t>3.0)</w:t>
            </w:r>
          </w:p>
        </w:tc>
        <w:tc>
          <w:tcPr>
            <w:tcW w:w="235" w:type="dxa"/>
            <w:vAlign w:val="bottom"/>
          </w:tcPr>
          <w:p w14:paraId="6780C1CE" w14:textId="77777777" w:rsidR="00E66EF9" w:rsidRPr="00B02BA3" w:rsidRDefault="00E66EF9" w:rsidP="00E66EF9">
            <w:pPr>
              <w:spacing w:before="40" w:after="40"/>
              <w:rPr>
                <w:sz w:val="17"/>
              </w:rPr>
            </w:pPr>
            <w:r w:rsidRPr="00B02BA3">
              <w:rPr>
                <w:sz w:val="17"/>
              </w:rPr>
              <w:t>)</w:t>
            </w:r>
          </w:p>
        </w:tc>
        <w:tc>
          <w:tcPr>
            <w:tcW w:w="900" w:type="dxa"/>
            <w:vAlign w:val="bottom"/>
          </w:tcPr>
          <w:p w14:paraId="5197ED5A" w14:textId="77777777" w:rsidR="00E66EF9" w:rsidRPr="00B02BA3" w:rsidRDefault="00E66EF9" w:rsidP="00E66EF9">
            <w:pPr>
              <w:spacing w:before="40" w:after="40"/>
              <w:jc w:val="right"/>
              <w:rPr>
                <w:sz w:val="17"/>
              </w:rPr>
            </w:pPr>
            <w:r w:rsidRPr="00B02BA3">
              <w:rPr>
                <w:sz w:val="17"/>
              </w:rPr>
              <w:t>(254</w:t>
            </w:r>
            <w:r>
              <w:rPr>
                <w:sz w:val="17"/>
              </w:rPr>
              <w:t>.7</w:t>
            </w:r>
          </w:p>
        </w:tc>
        <w:tc>
          <w:tcPr>
            <w:tcW w:w="234" w:type="dxa"/>
            <w:vAlign w:val="bottom"/>
          </w:tcPr>
          <w:p w14:paraId="4C7976A7" w14:textId="77777777" w:rsidR="00E66EF9" w:rsidRPr="00B02BA3" w:rsidRDefault="00E66EF9" w:rsidP="00E66EF9">
            <w:pPr>
              <w:spacing w:before="40" w:after="40"/>
              <w:rPr>
                <w:sz w:val="17"/>
              </w:rPr>
            </w:pPr>
            <w:r w:rsidRPr="00B02BA3">
              <w:rPr>
                <w:sz w:val="17"/>
              </w:rPr>
              <w:t>)</w:t>
            </w:r>
          </w:p>
        </w:tc>
        <w:tc>
          <w:tcPr>
            <w:tcW w:w="900" w:type="dxa"/>
            <w:vAlign w:val="bottom"/>
          </w:tcPr>
          <w:p w14:paraId="6AC9C027" w14:textId="77777777" w:rsidR="00E66EF9" w:rsidRPr="00B02BA3" w:rsidRDefault="00E66EF9" w:rsidP="00E66EF9">
            <w:pPr>
              <w:spacing w:before="40" w:after="40"/>
              <w:jc w:val="right"/>
              <w:rPr>
                <w:sz w:val="17"/>
              </w:rPr>
            </w:pPr>
            <w:r w:rsidRPr="00B02BA3">
              <w:rPr>
                <w:sz w:val="17"/>
              </w:rPr>
              <w:t>(212</w:t>
            </w:r>
            <w:r>
              <w:rPr>
                <w:sz w:val="17"/>
              </w:rPr>
              <w:t>.2</w:t>
            </w:r>
          </w:p>
        </w:tc>
        <w:tc>
          <w:tcPr>
            <w:tcW w:w="234" w:type="dxa"/>
            <w:vAlign w:val="bottom"/>
          </w:tcPr>
          <w:p w14:paraId="58DD900D" w14:textId="77777777" w:rsidR="00E66EF9" w:rsidRPr="00B02BA3" w:rsidRDefault="00E66EF9" w:rsidP="00E66EF9">
            <w:pPr>
              <w:spacing w:before="40" w:after="40"/>
              <w:rPr>
                <w:sz w:val="17"/>
              </w:rPr>
            </w:pPr>
            <w:r w:rsidRPr="00B02BA3">
              <w:rPr>
                <w:sz w:val="17"/>
              </w:rPr>
              <w:t>)</w:t>
            </w:r>
          </w:p>
        </w:tc>
        <w:tc>
          <w:tcPr>
            <w:tcW w:w="900" w:type="dxa"/>
            <w:vAlign w:val="bottom"/>
          </w:tcPr>
          <w:p w14:paraId="46EC348A" w14:textId="77777777" w:rsidR="00E66EF9" w:rsidRPr="00B02BA3" w:rsidRDefault="00E66EF9" w:rsidP="00E66EF9">
            <w:pPr>
              <w:spacing w:before="40" w:after="40"/>
              <w:jc w:val="right"/>
              <w:rPr>
                <w:sz w:val="17"/>
              </w:rPr>
            </w:pPr>
            <w:r>
              <w:rPr>
                <w:sz w:val="17"/>
              </w:rPr>
              <w:t>(161.</w:t>
            </w:r>
            <w:r w:rsidR="00666DC4">
              <w:rPr>
                <w:sz w:val="17"/>
              </w:rPr>
              <w:t>6</w:t>
            </w:r>
          </w:p>
        </w:tc>
        <w:tc>
          <w:tcPr>
            <w:tcW w:w="234" w:type="dxa"/>
            <w:vAlign w:val="bottom"/>
          </w:tcPr>
          <w:p w14:paraId="6EA86899" w14:textId="77777777" w:rsidR="00E66EF9" w:rsidRPr="00B02BA3" w:rsidRDefault="00E66EF9" w:rsidP="00E66EF9">
            <w:pPr>
              <w:spacing w:before="40" w:after="40"/>
              <w:rPr>
                <w:sz w:val="17"/>
              </w:rPr>
            </w:pPr>
            <w:r>
              <w:rPr>
                <w:sz w:val="17"/>
              </w:rPr>
              <w:t>)</w:t>
            </w:r>
          </w:p>
        </w:tc>
        <w:tc>
          <w:tcPr>
            <w:tcW w:w="900" w:type="dxa"/>
            <w:vAlign w:val="bottom"/>
          </w:tcPr>
          <w:p w14:paraId="4DC1A6F3" w14:textId="77777777" w:rsidR="00E66EF9" w:rsidRPr="00B02BA3" w:rsidRDefault="00E66EF9" w:rsidP="00E66EF9">
            <w:pPr>
              <w:spacing w:before="40" w:after="40"/>
              <w:jc w:val="right"/>
              <w:rPr>
                <w:sz w:val="17"/>
              </w:rPr>
            </w:pPr>
            <w:r>
              <w:rPr>
                <w:sz w:val="17"/>
              </w:rPr>
              <w:t>(100.7</w:t>
            </w:r>
          </w:p>
        </w:tc>
        <w:tc>
          <w:tcPr>
            <w:tcW w:w="234" w:type="dxa"/>
            <w:vAlign w:val="bottom"/>
          </w:tcPr>
          <w:p w14:paraId="192E8B60" w14:textId="77777777" w:rsidR="00E66EF9" w:rsidRPr="00B02BA3" w:rsidRDefault="00E66EF9" w:rsidP="00E66EF9">
            <w:pPr>
              <w:spacing w:before="40" w:after="40"/>
              <w:rPr>
                <w:sz w:val="17"/>
              </w:rPr>
            </w:pPr>
          </w:p>
        </w:tc>
      </w:tr>
      <w:tr w:rsidR="00BB7340" w:rsidRPr="00B02BA3" w14:paraId="4B79E460" w14:textId="77777777" w:rsidTr="00272B36">
        <w:tc>
          <w:tcPr>
            <w:tcW w:w="3141" w:type="dxa"/>
            <w:vAlign w:val="bottom"/>
          </w:tcPr>
          <w:p w14:paraId="52E63245" w14:textId="77777777" w:rsidR="00BB7340" w:rsidRPr="00BB7340" w:rsidRDefault="00BB7340" w:rsidP="00BB7340">
            <w:pPr>
              <w:tabs>
                <w:tab w:val="right" w:leader="dot" w:pos="3163"/>
              </w:tabs>
              <w:bidi/>
              <w:spacing w:before="40" w:after="40"/>
              <w:ind w:left="407"/>
              <w:rPr>
                <w:sz w:val="12"/>
                <w:szCs w:val="18"/>
              </w:rPr>
            </w:pPr>
            <w:r w:rsidRPr="00BB7340">
              <w:rPr>
                <w:rFonts w:hint="cs"/>
                <w:sz w:val="12"/>
                <w:szCs w:val="18"/>
                <w:rtl/>
              </w:rPr>
              <w:t>مصروفات استئجار السفينة لمدة قصيرة</w:t>
            </w:r>
            <w:r w:rsidRPr="00BB7340">
              <w:rPr>
                <w:sz w:val="12"/>
                <w:szCs w:val="18"/>
              </w:rPr>
              <w:tab/>
            </w:r>
          </w:p>
        </w:tc>
        <w:tc>
          <w:tcPr>
            <w:tcW w:w="235" w:type="dxa"/>
            <w:vAlign w:val="bottom"/>
          </w:tcPr>
          <w:p w14:paraId="642353EF" w14:textId="77777777" w:rsidR="00BB7340" w:rsidRPr="00B02BA3" w:rsidRDefault="00BB7340" w:rsidP="00BB7340">
            <w:pPr>
              <w:spacing w:before="40" w:after="40"/>
              <w:rPr>
                <w:sz w:val="17"/>
              </w:rPr>
            </w:pPr>
          </w:p>
        </w:tc>
        <w:tc>
          <w:tcPr>
            <w:tcW w:w="901" w:type="dxa"/>
            <w:vAlign w:val="bottom"/>
          </w:tcPr>
          <w:p w14:paraId="3A57F3FB" w14:textId="77777777" w:rsidR="00BB7340" w:rsidRPr="00B02BA3" w:rsidRDefault="00BB7340" w:rsidP="00BB7340">
            <w:pPr>
              <w:spacing w:before="40" w:after="40"/>
              <w:jc w:val="right"/>
              <w:rPr>
                <w:sz w:val="17"/>
              </w:rPr>
            </w:pPr>
            <w:r w:rsidRPr="00B02BA3">
              <w:rPr>
                <w:sz w:val="17"/>
              </w:rPr>
              <w:t>(33</w:t>
            </w:r>
            <w:r>
              <w:rPr>
                <w:sz w:val="17"/>
              </w:rPr>
              <w:t>.8</w:t>
            </w:r>
            <w:r w:rsidR="0013331C">
              <w:rPr>
                <w:sz w:val="17"/>
              </w:rPr>
              <w:t>)</w:t>
            </w:r>
          </w:p>
        </w:tc>
        <w:tc>
          <w:tcPr>
            <w:tcW w:w="235" w:type="dxa"/>
            <w:vAlign w:val="bottom"/>
          </w:tcPr>
          <w:p w14:paraId="5B37BD32" w14:textId="77777777" w:rsidR="00BB7340" w:rsidRPr="00B02BA3" w:rsidRDefault="00BB7340" w:rsidP="00BB7340">
            <w:pPr>
              <w:spacing w:before="40" w:after="40"/>
              <w:rPr>
                <w:sz w:val="17"/>
              </w:rPr>
            </w:pPr>
            <w:r w:rsidRPr="00B02BA3">
              <w:rPr>
                <w:sz w:val="17"/>
              </w:rPr>
              <w:t>)</w:t>
            </w:r>
          </w:p>
        </w:tc>
        <w:tc>
          <w:tcPr>
            <w:tcW w:w="900" w:type="dxa"/>
            <w:vAlign w:val="bottom"/>
          </w:tcPr>
          <w:p w14:paraId="04621F47" w14:textId="77777777" w:rsidR="00BB7340" w:rsidRPr="00B02BA3" w:rsidRDefault="00BB7340" w:rsidP="00BB7340">
            <w:pPr>
              <w:spacing w:before="40" w:after="40"/>
              <w:jc w:val="right"/>
              <w:rPr>
                <w:sz w:val="17"/>
              </w:rPr>
            </w:pPr>
            <w:r w:rsidRPr="00B02BA3">
              <w:rPr>
                <w:sz w:val="17"/>
              </w:rPr>
              <w:t>(57</w:t>
            </w:r>
            <w:r>
              <w:rPr>
                <w:sz w:val="17"/>
              </w:rPr>
              <w:t>.3</w:t>
            </w:r>
          </w:p>
        </w:tc>
        <w:tc>
          <w:tcPr>
            <w:tcW w:w="234" w:type="dxa"/>
            <w:vAlign w:val="bottom"/>
          </w:tcPr>
          <w:p w14:paraId="4356A0CA" w14:textId="77777777" w:rsidR="00BB7340" w:rsidRPr="00B02BA3" w:rsidRDefault="00BB7340" w:rsidP="00BB7340">
            <w:pPr>
              <w:spacing w:before="40" w:after="40"/>
              <w:rPr>
                <w:sz w:val="17"/>
              </w:rPr>
            </w:pPr>
            <w:r w:rsidRPr="00B02BA3">
              <w:rPr>
                <w:sz w:val="17"/>
              </w:rPr>
              <w:t>)</w:t>
            </w:r>
          </w:p>
        </w:tc>
        <w:tc>
          <w:tcPr>
            <w:tcW w:w="900" w:type="dxa"/>
            <w:vAlign w:val="bottom"/>
          </w:tcPr>
          <w:p w14:paraId="6D632F7C" w14:textId="77777777" w:rsidR="00BB7340" w:rsidRPr="00B02BA3" w:rsidRDefault="00BB7340" w:rsidP="00BB7340">
            <w:pPr>
              <w:spacing w:before="40" w:after="40"/>
              <w:jc w:val="right"/>
              <w:rPr>
                <w:sz w:val="17"/>
              </w:rPr>
            </w:pPr>
            <w:r w:rsidRPr="00B02BA3">
              <w:rPr>
                <w:sz w:val="17"/>
              </w:rPr>
              <w:t>(74</w:t>
            </w:r>
            <w:r>
              <w:rPr>
                <w:sz w:val="17"/>
              </w:rPr>
              <w:t>.4</w:t>
            </w:r>
          </w:p>
        </w:tc>
        <w:tc>
          <w:tcPr>
            <w:tcW w:w="234" w:type="dxa"/>
            <w:vAlign w:val="bottom"/>
          </w:tcPr>
          <w:p w14:paraId="11219A8A" w14:textId="77777777" w:rsidR="00BB7340" w:rsidRPr="00B02BA3" w:rsidRDefault="00BB7340" w:rsidP="00BB7340">
            <w:pPr>
              <w:spacing w:before="40" w:after="40"/>
              <w:rPr>
                <w:sz w:val="17"/>
              </w:rPr>
            </w:pPr>
            <w:r w:rsidRPr="00B02BA3">
              <w:rPr>
                <w:sz w:val="17"/>
              </w:rPr>
              <w:t>)</w:t>
            </w:r>
          </w:p>
        </w:tc>
        <w:tc>
          <w:tcPr>
            <w:tcW w:w="900" w:type="dxa"/>
            <w:vAlign w:val="bottom"/>
          </w:tcPr>
          <w:p w14:paraId="51326896" w14:textId="77777777" w:rsidR="00BB7340" w:rsidRPr="00B02BA3" w:rsidRDefault="00BB7340" w:rsidP="00BB7340">
            <w:pPr>
              <w:spacing w:before="40" w:after="40"/>
              <w:jc w:val="right"/>
              <w:rPr>
                <w:sz w:val="17"/>
              </w:rPr>
            </w:pPr>
            <w:r>
              <w:rPr>
                <w:sz w:val="17"/>
              </w:rPr>
              <w:t>(58.3</w:t>
            </w:r>
          </w:p>
        </w:tc>
        <w:tc>
          <w:tcPr>
            <w:tcW w:w="234" w:type="dxa"/>
            <w:vAlign w:val="bottom"/>
          </w:tcPr>
          <w:p w14:paraId="15E33523" w14:textId="77777777" w:rsidR="00BB7340" w:rsidRPr="00B02BA3" w:rsidRDefault="00BB7340" w:rsidP="00BB7340">
            <w:pPr>
              <w:spacing w:before="40" w:after="40"/>
              <w:rPr>
                <w:sz w:val="17"/>
              </w:rPr>
            </w:pPr>
            <w:r>
              <w:rPr>
                <w:sz w:val="17"/>
              </w:rPr>
              <w:t>)</w:t>
            </w:r>
          </w:p>
        </w:tc>
        <w:tc>
          <w:tcPr>
            <w:tcW w:w="900" w:type="dxa"/>
            <w:vAlign w:val="bottom"/>
          </w:tcPr>
          <w:p w14:paraId="487A2FBE" w14:textId="77777777" w:rsidR="00BB7340" w:rsidRPr="00B02BA3" w:rsidRDefault="00BB7340" w:rsidP="00BB7340">
            <w:pPr>
              <w:spacing w:before="40" w:after="40"/>
              <w:jc w:val="right"/>
              <w:rPr>
                <w:sz w:val="17"/>
              </w:rPr>
            </w:pPr>
            <w:r>
              <w:rPr>
                <w:sz w:val="17"/>
              </w:rPr>
              <w:t>(48.2</w:t>
            </w:r>
          </w:p>
        </w:tc>
        <w:tc>
          <w:tcPr>
            <w:tcW w:w="234" w:type="dxa"/>
            <w:vAlign w:val="bottom"/>
          </w:tcPr>
          <w:p w14:paraId="1286766D" w14:textId="77777777" w:rsidR="00BB7340" w:rsidRPr="00B02BA3" w:rsidRDefault="00BB7340" w:rsidP="00BB7340">
            <w:pPr>
              <w:spacing w:before="40" w:after="40"/>
              <w:rPr>
                <w:sz w:val="17"/>
              </w:rPr>
            </w:pPr>
          </w:p>
        </w:tc>
      </w:tr>
      <w:tr w:rsidR="006266EC" w:rsidRPr="00B02BA3" w14:paraId="0961066A" w14:textId="77777777" w:rsidTr="00272B36">
        <w:tc>
          <w:tcPr>
            <w:tcW w:w="3141" w:type="dxa"/>
            <w:vAlign w:val="bottom"/>
          </w:tcPr>
          <w:p w14:paraId="1E3B1A3B" w14:textId="77777777" w:rsidR="006266EC" w:rsidRPr="00BB7340" w:rsidRDefault="006266EC" w:rsidP="006266EC">
            <w:pPr>
              <w:tabs>
                <w:tab w:val="right" w:leader="dot" w:pos="3163"/>
              </w:tabs>
              <w:bidi/>
              <w:spacing w:before="40" w:after="40"/>
              <w:ind w:left="407"/>
              <w:rPr>
                <w:sz w:val="12"/>
                <w:szCs w:val="18"/>
              </w:rPr>
            </w:pPr>
            <w:r w:rsidRPr="00BB7340">
              <w:rPr>
                <w:rFonts w:hint="cs"/>
                <w:sz w:val="12"/>
                <w:szCs w:val="18"/>
                <w:rtl/>
              </w:rPr>
              <w:t>تكاليف تشغيل السفينة</w:t>
            </w:r>
            <w:r w:rsidRPr="00BB7340">
              <w:rPr>
                <w:sz w:val="12"/>
                <w:szCs w:val="18"/>
              </w:rPr>
              <w:tab/>
            </w:r>
          </w:p>
        </w:tc>
        <w:tc>
          <w:tcPr>
            <w:tcW w:w="235" w:type="dxa"/>
            <w:vAlign w:val="bottom"/>
          </w:tcPr>
          <w:p w14:paraId="5C6A1DBA" w14:textId="77777777" w:rsidR="006266EC" w:rsidRPr="00B02BA3" w:rsidRDefault="006266EC" w:rsidP="006266EC">
            <w:pPr>
              <w:spacing w:before="40" w:after="40"/>
              <w:rPr>
                <w:sz w:val="17"/>
              </w:rPr>
            </w:pPr>
          </w:p>
        </w:tc>
        <w:tc>
          <w:tcPr>
            <w:tcW w:w="901" w:type="dxa"/>
            <w:tcBorders>
              <w:bottom w:val="single" w:sz="4" w:space="0" w:color="auto"/>
            </w:tcBorders>
            <w:vAlign w:val="bottom"/>
          </w:tcPr>
          <w:p w14:paraId="6E034FAB" w14:textId="77777777" w:rsidR="006266EC" w:rsidRPr="00B02BA3" w:rsidRDefault="006266EC" w:rsidP="006266EC">
            <w:pPr>
              <w:spacing w:before="40" w:after="40"/>
              <w:jc w:val="right"/>
              <w:rPr>
                <w:sz w:val="17"/>
              </w:rPr>
            </w:pPr>
            <w:r w:rsidRPr="00B02BA3">
              <w:rPr>
                <w:sz w:val="17"/>
              </w:rPr>
              <w:t>(299</w:t>
            </w:r>
            <w:r>
              <w:rPr>
                <w:sz w:val="17"/>
              </w:rPr>
              <w:t>.4)</w:t>
            </w:r>
          </w:p>
        </w:tc>
        <w:tc>
          <w:tcPr>
            <w:tcW w:w="235" w:type="dxa"/>
            <w:vAlign w:val="bottom"/>
          </w:tcPr>
          <w:p w14:paraId="101450EE" w14:textId="77777777" w:rsidR="006266EC" w:rsidRPr="00B02BA3" w:rsidRDefault="006266EC" w:rsidP="006266EC">
            <w:pPr>
              <w:spacing w:before="40" w:after="40"/>
              <w:rPr>
                <w:sz w:val="17"/>
              </w:rPr>
            </w:pPr>
            <w:r w:rsidRPr="00B02BA3">
              <w:rPr>
                <w:sz w:val="17"/>
              </w:rPr>
              <w:t>)</w:t>
            </w:r>
          </w:p>
        </w:tc>
        <w:tc>
          <w:tcPr>
            <w:tcW w:w="900" w:type="dxa"/>
            <w:tcBorders>
              <w:bottom w:val="single" w:sz="4" w:space="0" w:color="auto"/>
            </w:tcBorders>
            <w:vAlign w:val="bottom"/>
          </w:tcPr>
          <w:p w14:paraId="76716D09" w14:textId="77777777" w:rsidR="006266EC" w:rsidRPr="00B02BA3" w:rsidRDefault="006266EC" w:rsidP="006266EC">
            <w:pPr>
              <w:spacing w:before="40" w:after="40"/>
              <w:jc w:val="right"/>
              <w:rPr>
                <w:sz w:val="17"/>
              </w:rPr>
            </w:pPr>
            <w:r w:rsidRPr="00B02BA3">
              <w:rPr>
                <w:sz w:val="17"/>
              </w:rPr>
              <w:t>(358</w:t>
            </w:r>
            <w:r>
              <w:rPr>
                <w:sz w:val="17"/>
              </w:rPr>
              <w:t>.5</w:t>
            </w:r>
          </w:p>
        </w:tc>
        <w:tc>
          <w:tcPr>
            <w:tcW w:w="234" w:type="dxa"/>
            <w:vAlign w:val="bottom"/>
          </w:tcPr>
          <w:p w14:paraId="7870E368" w14:textId="77777777" w:rsidR="006266EC" w:rsidRPr="00B02BA3" w:rsidRDefault="006266EC" w:rsidP="006266EC">
            <w:pPr>
              <w:spacing w:before="40" w:after="40"/>
              <w:rPr>
                <w:sz w:val="17"/>
              </w:rPr>
            </w:pPr>
            <w:r w:rsidRPr="00B02BA3">
              <w:rPr>
                <w:sz w:val="17"/>
              </w:rPr>
              <w:t>)</w:t>
            </w:r>
          </w:p>
        </w:tc>
        <w:tc>
          <w:tcPr>
            <w:tcW w:w="900" w:type="dxa"/>
            <w:tcBorders>
              <w:bottom w:val="single" w:sz="4" w:space="0" w:color="auto"/>
            </w:tcBorders>
            <w:vAlign w:val="bottom"/>
          </w:tcPr>
          <w:p w14:paraId="1DD117C7" w14:textId="77777777" w:rsidR="006266EC" w:rsidRPr="00B02BA3" w:rsidRDefault="006266EC" w:rsidP="006266EC">
            <w:pPr>
              <w:spacing w:before="40" w:after="40"/>
              <w:jc w:val="right"/>
              <w:rPr>
                <w:sz w:val="17"/>
              </w:rPr>
            </w:pPr>
            <w:r w:rsidRPr="00B02BA3">
              <w:rPr>
                <w:sz w:val="17"/>
              </w:rPr>
              <w:t>(</w:t>
            </w:r>
            <w:r>
              <w:rPr>
                <w:sz w:val="17"/>
              </w:rPr>
              <w:t>443.0</w:t>
            </w:r>
          </w:p>
        </w:tc>
        <w:tc>
          <w:tcPr>
            <w:tcW w:w="234" w:type="dxa"/>
            <w:vAlign w:val="bottom"/>
          </w:tcPr>
          <w:p w14:paraId="7989DEAB" w14:textId="77777777" w:rsidR="006266EC" w:rsidRPr="00B02BA3" w:rsidRDefault="006266EC" w:rsidP="006266EC">
            <w:pPr>
              <w:spacing w:before="40" w:after="40"/>
              <w:rPr>
                <w:sz w:val="17"/>
              </w:rPr>
            </w:pPr>
            <w:r w:rsidRPr="00B02BA3">
              <w:rPr>
                <w:sz w:val="17"/>
              </w:rPr>
              <w:t>)</w:t>
            </w:r>
          </w:p>
        </w:tc>
        <w:tc>
          <w:tcPr>
            <w:tcW w:w="900" w:type="dxa"/>
            <w:tcBorders>
              <w:bottom w:val="single" w:sz="4" w:space="0" w:color="auto"/>
            </w:tcBorders>
            <w:vAlign w:val="bottom"/>
          </w:tcPr>
          <w:p w14:paraId="39303ADC" w14:textId="77777777" w:rsidR="006266EC" w:rsidRPr="00B02BA3" w:rsidRDefault="006266EC" w:rsidP="006266EC">
            <w:pPr>
              <w:spacing w:before="40" w:after="40"/>
              <w:jc w:val="right"/>
              <w:rPr>
                <w:sz w:val="17"/>
              </w:rPr>
            </w:pPr>
            <w:r>
              <w:rPr>
                <w:sz w:val="17"/>
              </w:rPr>
              <w:t>(319.4</w:t>
            </w:r>
          </w:p>
        </w:tc>
        <w:tc>
          <w:tcPr>
            <w:tcW w:w="234" w:type="dxa"/>
            <w:vAlign w:val="bottom"/>
          </w:tcPr>
          <w:p w14:paraId="0A4EE3C4" w14:textId="77777777" w:rsidR="006266EC" w:rsidRPr="00B02BA3" w:rsidRDefault="006266EC" w:rsidP="006266EC">
            <w:pPr>
              <w:spacing w:before="40" w:after="40"/>
              <w:rPr>
                <w:sz w:val="17"/>
              </w:rPr>
            </w:pPr>
            <w:r>
              <w:rPr>
                <w:sz w:val="17"/>
              </w:rPr>
              <w:t>)</w:t>
            </w:r>
          </w:p>
        </w:tc>
        <w:tc>
          <w:tcPr>
            <w:tcW w:w="900" w:type="dxa"/>
            <w:tcBorders>
              <w:bottom w:val="single" w:sz="4" w:space="0" w:color="auto"/>
            </w:tcBorders>
            <w:vAlign w:val="bottom"/>
          </w:tcPr>
          <w:p w14:paraId="0F848184" w14:textId="77777777" w:rsidR="006266EC" w:rsidRPr="00B02BA3" w:rsidRDefault="006266EC" w:rsidP="006266EC">
            <w:pPr>
              <w:spacing w:before="40" w:after="40"/>
              <w:jc w:val="right"/>
              <w:rPr>
                <w:sz w:val="17"/>
              </w:rPr>
            </w:pPr>
            <w:r>
              <w:rPr>
                <w:sz w:val="17"/>
              </w:rPr>
              <w:t>(349.0</w:t>
            </w:r>
          </w:p>
        </w:tc>
        <w:tc>
          <w:tcPr>
            <w:tcW w:w="234" w:type="dxa"/>
            <w:vAlign w:val="bottom"/>
          </w:tcPr>
          <w:p w14:paraId="696957FA" w14:textId="77777777" w:rsidR="006266EC" w:rsidRPr="00B02BA3" w:rsidRDefault="006266EC" w:rsidP="006266EC">
            <w:pPr>
              <w:spacing w:before="40" w:after="40"/>
              <w:rPr>
                <w:sz w:val="17"/>
              </w:rPr>
            </w:pPr>
          </w:p>
        </w:tc>
      </w:tr>
      <w:tr w:rsidR="0062144A" w:rsidRPr="00B02BA3" w14:paraId="7956F774" w14:textId="77777777" w:rsidTr="00272B36">
        <w:tc>
          <w:tcPr>
            <w:tcW w:w="3141" w:type="dxa"/>
            <w:vAlign w:val="bottom"/>
          </w:tcPr>
          <w:p w14:paraId="6A3FB5E5" w14:textId="77777777" w:rsidR="0062144A" w:rsidRPr="00BB7340" w:rsidRDefault="0062144A" w:rsidP="0062144A">
            <w:pPr>
              <w:tabs>
                <w:tab w:val="right" w:leader="dot" w:pos="3163"/>
              </w:tabs>
              <w:bidi/>
              <w:spacing w:before="40" w:after="40"/>
              <w:rPr>
                <w:b/>
                <w:bCs/>
                <w:sz w:val="12"/>
                <w:szCs w:val="18"/>
              </w:rPr>
            </w:pPr>
            <w:r w:rsidRPr="00BB7340">
              <w:rPr>
                <w:rFonts w:hint="cs"/>
                <w:b/>
                <w:bCs/>
                <w:sz w:val="12"/>
                <w:szCs w:val="18"/>
                <w:rtl/>
              </w:rPr>
              <w:t>إجمالي الأرباح</w:t>
            </w:r>
            <w:r w:rsidRPr="00BB7340">
              <w:rPr>
                <w:sz w:val="12"/>
                <w:szCs w:val="18"/>
              </w:rPr>
              <w:tab/>
            </w:r>
          </w:p>
        </w:tc>
        <w:tc>
          <w:tcPr>
            <w:tcW w:w="235" w:type="dxa"/>
            <w:vAlign w:val="bottom"/>
          </w:tcPr>
          <w:p w14:paraId="29320489" w14:textId="77777777" w:rsidR="0062144A" w:rsidRPr="00B02BA3" w:rsidRDefault="0062144A" w:rsidP="0062144A">
            <w:pPr>
              <w:spacing w:before="40" w:after="40"/>
              <w:rPr>
                <w:b/>
                <w:bCs/>
                <w:sz w:val="17"/>
              </w:rPr>
            </w:pPr>
          </w:p>
        </w:tc>
        <w:tc>
          <w:tcPr>
            <w:tcW w:w="901" w:type="dxa"/>
            <w:tcBorders>
              <w:top w:val="single" w:sz="4" w:space="0" w:color="auto"/>
            </w:tcBorders>
            <w:vAlign w:val="bottom"/>
          </w:tcPr>
          <w:p w14:paraId="7EE4B649" w14:textId="77777777" w:rsidR="0062144A" w:rsidRPr="00B02BA3" w:rsidRDefault="0062144A" w:rsidP="0062144A">
            <w:pPr>
              <w:spacing w:before="40" w:after="40"/>
              <w:jc w:val="right"/>
              <w:rPr>
                <w:sz w:val="17"/>
              </w:rPr>
            </w:pPr>
            <w:r w:rsidRPr="00B02BA3">
              <w:rPr>
                <w:sz w:val="17"/>
              </w:rPr>
              <w:t>137</w:t>
            </w:r>
            <w:r>
              <w:rPr>
                <w:sz w:val="17"/>
              </w:rPr>
              <w:t>.1</w:t>
            </w:r>
          </w:p>
        </w:tc>
        <w:tc>
          <w:tcPr>
            <w:tcW w:w="235" w:type="dxa"/>
            <w:vAlign w:val="bottom"/>
          </w:tcPr>
          <w:p w14:paraId="27320967" w14:textId="77777777" w:rsidR="0062144A" w:rsidRPr="00B02BA3" w:rsidRDefault="0062144A" w:rsidP="0062144A">
            <w:pPr>
              <w:spacing w:before="40" w:after="40"/>
              <w:rPr>
                <w:sz w:val="17"/>
              </w:rPr>
            </w:pPr>
          </w:p>
        </w:tc>
        <w:tc>
          <w:tcPr>
            <w:tcW w:w="900" w:type="dxa"/>
            <w:tcBorders>
              <w:top w:val="single" w:sz="4" w:space="0" w:color="auto"/>
            </w:tcBorders>
            <w:vAlign w:val="bottom"/>
          </w:tcPr>
          <w:p w14:paraId="459F8A10" w14:textId="77777777" w:rsidR="0062144A" w:rsidRPr="00B02BA3" w:rsidRDefault="0062144A" w:rsidP="0062144A">
            <w:pPr>
              <w:spacing w:before="40" w:after="40"/>
              <w:jc w:val="right"/>
              <w:rPr>
                <w:sz w:val="17"/>
              </w:rPr>
            </w:pPr>
            <w:r w:rsidRPr="00B02BA3">
              <w:rPr>
                <w:sz w:val="17"/>
              </w:rPr>
              <w:t>233</w:t>
            </w:r>
            <w:r>
              <w:rPr>
                <w:sz w:val="17"/>
              </w:rPr>
              <w:t>.6</w:t>
            </w:r>
          </w:p>
        </w:tc>
        <w:tc>
          <w:tcPr>
            <w:tcW w:w="234" w:type="dxa"/>
            <w:vAlign w:val="bottom"/>
          </w:tcPr>
          <w:p w14:paraId="148052E5" w14:textId="77777777" w:rsidR="0062144A" w:rsidRPr="00B02BA3" w:rsidRDefault="0062144A" w:rsidP="0062144A">
            <w:pPr>
              <w:spacing w:before="40" w:after="40"/>
              <w:rPr>
                <w:sz w:val="17"/>
              </w:rPr>
            </w:pPr>
          </w:p>
        </w:tc>
        <w:tc>
          <w:tcPr>
            <w:tcW w:w="900" w:type="dxa"/>
            <w:tcBorders>
              <w:top w:val="single" w:sz="4" w:space="0" w:color="auto"/>
            </w:tcBorders>
            <w:vAlign w:val="bottom"/>
          </w:tcPr>
          <w:p w14:paraId="19F8CED2" w14:textId="77777777" w:rsidR="0062144A" w:rsidRPr="00B02BA3" w:rsidRDefault="0062144A" w:rsidP="0062144A">
            <w:pPr>
              <w:spacing w:before="40" w:after="40"/>
              <w:jc w:val="right"/>
              <w:rPr>
                <w:sz w:val="17"/>
              </w:rPr>
            </w:pPr>
            <w:r w:rsidRPr="00B02BA3">
              <w:rPr>
                <w:sz w:val="17"/>
              </w:rPr>
              <w:t>21</w:t>
            </w:r>
            <w:r>
              <w:rPr>
                <w:sz w:val="17"/>
              </w:rPr>
              <w:t>5.1</w:t>
            </w:r>
          </w:p>
        </w:tc>
        <w:tc>
          <w:tcPr>
            <w:tcW w:w="234" w:type="dxa"/>
            <w:vAlign w:val="bottom"/>
          </w:tcPr>
          <w:p w14:paraId="79230788" w14:textId="77777777" w:rsidR="0062144A" w:rsidRPr="00B02BA3" w:rsidRDefault="0062144A" w:rsidP="0062144A">
            <w:pPr>
              <w:spacing w:before="40" w:after="40"/>
              <w:rPr>
                <w:sz w:val="17"/>
              </w:rPr>
            </w:pPr>
          </w:p>
        </w:tc>
        <w:tc>
          <w:tcPr>
            <w:tcW w:w="900" w:type="dxa"/>
            <w:tcBorders>
              <w:top w:val="single" w:sz="4" w:space="0" w:color="auto"/>
            </w:tcBorders>
          </w:tcPr>
          <w:p w14:paraId="4FE4E3EB" w14:textId="77777777" w:rsidR="0062144A" w:rsidRPr="00B02BA3" w:rsidRDefault="005D0373" w:rsidP="0062144A">
            <w:pPr>
              <w:spacing w:before="40" w:after="40"/>
              <w:jc w:val="right"/>
              <w:rPr>
                <w:sz w:val="17"/>
              </w:rPr>
            </w:pPr>
            <w:r>
              <w:rPr>
                <w:sz w:val="17"/>
              </w:rPr>
              <w:t>173</w:t>
            </w:r>
            <w:r w:rsidR="0062144A">
              <w:rPr>
                <w:sz w:val="17"/>
              </w:rPr>
              <w:t>.</w:t>
            </w:r>
            <w:r>
              <w:rPr>
                <w:sz w:val="17"/>
              </w:rPr>
              <w:t>9</w:t>
            </w:r>
          </w:p>
        </w:tc>
        <w:tc>
          <w:tcPr>
            <w:tcW w:w="234" w:type="dxa"/>
            <w:vAlign w:val="bottom"/>
          </w:tcPr>
          <w:p w14:paraId="1B087D6C" w14:textId="77777777" w:rsidR="0062144A" w:rsidRPr="00B02BA3" w:rsidRDefault="0062144A" w:rsidP="0062144A">
            <w:pPr>
              <w:spacing w:before="40" w:after="40"/>
              <w:rPr>
                <w:sz w:val="17"/>
              </w:rPr>
            </w:pPr>
          </w:p>
        </w:tc>
        <w:tc>
          <w:tcPr>
            <w:tcW w:w="900" w:type="dxa"/>
            <w:tcBorders>
              <w:top w:val="single" w:sz="4" w:space="0" w:color="auto"/>
            </w:tcBorders>
          </w:tcPr>
          <w:p w14:paraId="2FC063EA" w14:textId="77777777" w:rsidR="0062144A" w:rsidRPr="00B02BA3" w:rsidRDefault="0062144A" w:rsidP="0062144A">
            <w:pPr>
              <w:spacing w:before="40" w:after="40"/>
              <w:jc w:val="right"/>
              <w:rPr>
                <w:sz w:val="17"/>
              </w:rPr>
            </w:pPr>
            <w:r>
              <w:rPr>
                <w:sz w:val="17"/>
              </w:rPr>
              <w:t>216.1</w:t>
            </w:r>
          </w:p>
        </w:tc>
        <w:tc>
          <w:tcPr>
            <w:tcW w:w="234" w:type="dxa"/>
            <w:vAlign w:val="bottom"/>
          </w:tcPr>
          <w:p w14:paraId="02C5CD05" w14:textId="77777777" w:rsidR="0062144A" w:rsidRPr="00B02BA3" w:rsidRDefault="0062144A" w:rsidP="0062144A">
            <w:pPr>
              <w:spacing w:before="40" w:after="40"/>
              <w:rPr>
                <w:b/>
                <w:bCs/>
                <w:sz w:val="17"/>
              </w:rPr>
            </w:pPr>
          </w:p>
        </w:tc>
      </w:tr>
      <w:tr w:rsidR="00BB7340" w:rsidRPr="00B02BA3" w14:paraId="57D9D317" w14:textId="77777777" w:rsidTr="00272B36">
        <w:tc>
          <w:tcPr>
            <w:tcW w:w="3141" w:type="dxa"/>
            <w:vAlign w:val="bottom"/>
          </w:tcPr>
          <w:p w14:paraId="186017A7" w14:textId="77777777" w:rsidR="00BB7340" w:rsidRPr="00BB7340" w:rsidRDefault="008D70E0" w:rsidP="00BB7340">
            <w:pPr>
              <w:tabs>
                <w:tab w:val="right" w:leader="dot" w:pos="3163"/>
              </w:tabs>
              <w:bidi/>
              <w:spacing w:before="40" w:after="40"/>
              <w:ind w:left="407"/>
              <w:rPr>
                <w:sz w:val="12"/>
                <w:szCs w:val="18"/>
              </w:rPr>
            </w:pPr>
            <w:r>
              <w:rPr>
                <w:rFonts w:hint="cs"/>
                <w:sz w:val="12"/>
                <w:szCs w:val="18"/>
                <w:rtl/>
              </w:rPr>
              <w:t>الايرادات الاخرى</w:t>
            </w:r>
            <w:r w:rsidR="00BB7340" w:rsidRPr="00BB7340">
              <w:rPr>
                <w:sz w:val="12"/>
                <w:szCs w:val="18"/>
              </w:rPr>
              <w:tab/>
            </w:r>
          </w:p>
        </w:tc>
        <w:tc>
          <w:tcPr>
            <w:tcW w:w="235" w:type="dxa"/>
            <w:vAlign w:val="bottom"/>
          </w:tcPr>
          <w:p w14:paraId="39782B79" w14:textId="77777777" w:rsidR="00BB7340" w:rsidRPr="00B02BA3" w:rsidRDefault="00BB7340" w:rsidP="00BB7340">
            <w:pPr>
              <w:spacing w:before="40" w:after="40"/>
              <w:rPr>
                <w:sz w:val="17"/>
              </w:rPr>
            </w:pPr>
          </w:p>
        </w:tc>
        <w:tc>
          <w:tcPr>
            <w:tcW w:w="901" w:type="dxa"/>
            <w:vAlign w:val="bottom"/>
          </w:tcPr>
          <w:p w14:paraId="52289793" w14:textId="77777777" w:rsidR="00BB7340" w:rsidRPr="00B02BA3" w:rsidRDefault="00BB7340" w:rsidP="00BB7340">
            <w:pPr>
              <w:spacing w:before="40" w:after="40"/>
              <w:jc w:val="right"/>
              <w:rPr>
                <w:sz w:val="17"/>
              </w:rPr>
            </w:pPr>
            <w:r>
              <w:rPr>
                <w:sz w:val="17"/>
              </w:rPr>
              <w:t>0.8</w:t>
            </w:r>
          </w:p>
        </w:tc>
        <w:tc>
          <w:tcPr>
            <w:tcW w:w="235" w:type="dxa"/>
            <w:vAlign w:val="bottom"/>
          </w:tcPr>
          <w:p w14:paraId="7A4BBB57" w14:textId="77777777" w:rsidR="00BB7340" w:rsidRPr="00B02BA3" w:rsidRDefault="00BB7340" w:rsidP="00BB7340">
            <w:pPr>
              <w:spacing w:before="40" w:after="40"/>
              <w:rPr>
                <w:sz w:val="17"/>
              </w:rPr>
            </w:pPr>
          </w:p>
        </w:tc>
        <w:tc>
          <w:tcPr>
            <w:tcW w:w="900" w:type="dxa"/>
            <w:vAlign w:val="bottom"/>
          </w:tcPr>
          <w:p w14:paraId="465EE9BF" w14:textId="77777777" w:rsidR="00BB7340" w:rsidRPr="00B02BA3" w:rsidRDefault="00BB7340" w:rsidP="00BB7340">
            <w:pPr>
              <w:spacing w:before="40" w:after="40"/>
              <w:jc w:val="right"/>
              <w:rPr>
                <w:sz w:val="17"/>
              </w:rPr>
            </w:pPr>
            <w:r w:rsidRPr="00B02BA3">
              <w:rPr>
                <w:sz w:val="17"/>
              </w:rPr>
              <w:t>1</w:t>
            </w:r>
            <w:r>
              <w:rPr>
                <w:sz w:val="17"/>
              </w:rPr>
              <w:t>.5</w:t>
            </w:r>
          </w:p>
        </w:tc>
        <w:tc>
          <w:tcPr>
            <w:tcW w:w="234" w:type="dxa"/>
            <w:vAlign w:val="bottom"/>
          </w:tcPr>
          <w:p w14:paraId="423A2904" w14:textId="77777777" w:rsidR="00BB7340" w:rsidRPr="00B02BA3" w:rsidRDefault="00BB7340" w:rsidP="00BB7340">
            <w:pPr>
              <w:spacing w:before="40" w:after="40"/>
              <w:rPr>
                <w:sz w:val="17"/>
              </w:rPr>
            </w:pPr>
          </w:p>
        </w:tc>
        <w:tc>
          <w:tcPr>
            <w:tcW w:w="900" w:type="dxa"/>
            <w:vAlign w:val="bottom"/>
          </w:tcPr>
          <w:p w14:paraId="4C44561E" w14:textId="68AF9B3E" w:rsidR="00BB7340" w:rsidRPr="00B02BA3" w:rsidRDefault="00BB7340" w:rsidP="00BB7340">
            <w:pPr>
              <w:spacing w:before="40" w:after="40"/>
              <w:jc w:val="right"/>
              <w:rPr>
                <w:sz w:val="17"/>
              </w:rPr>
            </w:pPr>
            <w:r w:rsidRPr="00B02BA3">
              <w:rPr>
                <w:sz w:val="17"/>
              </w:rPr>
              <w:t>19</w:t>
            </w:r>
            <w:r>
              <w:rPr>
                <w:sz w:val="17"/>
              </w:rPr>
              <w:t>.</w:t>
            </w:r>
            <w:r w:rsidR="00472892">
              <w:rPr>
                <w:sz w:val="17"/>
              </w:rPr>
              <w:t>5</w:t>
            </w:r>
          </w:p>
        </w:tc>
        <w:tc>
          <w:tcPr>
            <w:tcW w:w="234" w:type="dxa"/>
            <w:vAlign w:val="bottom"/>
          </w:tcPr>
          <w:p w14:paraId="74A8AAAA" w14:textId="77777777" w:rsidR="00BB7340" w:rsidRPr="00B02BA3" w:rsidRDefault="00BB7340" w:rsidP="00BB7340">
            <w:pPr>
              <w:spacing w:before="40" w:after="40"/>
              <w:rPr>
                <w:sz w:val="17"/>
              </w:rPr>
            </w:pPr>
          </w:p>
        </w:tc>
        <w:tc>
          <w:tcPr>
            <w:tcW w:w="900" w:type="dxa"/>
          </w:tcPr>
          <w:p w14:paraId="05A83FEF" w14:textId="77777777" w:rsidR="00BB7340" w:rsidRPr="00B02BA3" w:rsidRDefault="00BB7340" w:rsidP="00BB7340">
            <w:pPr>
              <w:spacing w:before="40" w:after="40"/>
              <w:jc w:val="right"/>
              <w:rPr>
                <w:sz w:val="17"/>
              </w:rPr>
            </w:pPr>
            <w:r>
              <w:rPr>
                <w:sz w:val="17"/>
              </w:rPr>
              <w:t>19.2</w:t>
            </w:r>
          </w:p>
        </w:tc>
        <w:tc>
          <w:tcPr>
            <w:tcW w:w="234" w:type="dxa"/>
            <w:vAlign w:val="bottom"/>
          </w:tcPr>
          <w:p w14:paraId="22A97730" w14:textId="77777777" w:rsidR="00BB7340" w:rsidRPr="00B02BA3" w:rsidRDefault="00BB7340" w:rsidP="00BB7340">
            <w:pPr>
              <w:spacing w:before="40" w:after="40"/>
              <w:rPr>
                <w:sz w:val="17"/>
              </w:rPr>
            </w:pPr>
          </w:p>
        </w:tc>
        <w:tc>
          <w:tcPr>
            <w:tcW w:w="900" w:type="dxa"/>
          </w:tcPr>
          <w:p w14:paraId="5A4E2B3A" w14:textId="77777777" w:rsidR="00BB7340" w:rsidRPr="00B02BA3" w:rsidRDefault="00BB7340" w:rsidP="00BB7340">
            <w:pPr>
              <w:spacing w:before="40" w:after="40"/>
              <w:jc w:val="right"/>
              <w:rPr>
                <w:sz w:val="17"/>
              </w:rPr>
            </w:pPr>
            <w:r>
              <w:rPr>
                <w:sz w:val="17"/>
              </w:rPr>
              <w:t>0.8</w:t>
            </w:r>
          </w:p>
        </w:tc>
        <w:tc>
          <w:tcPr>
            <w:tcW w:w="234" w:type="dxa"/>
            <w:vAlign w:val="bottom"/>
          </w:tcPr>
          <w:p w14:paraId="03DD3228" w14:textId="77777777" w:rsidR="00BB7340" w:rsidRPr="00B02BA3" w:rsidRDefault="00BB7340" w:rsidP="00BB7340">
            <w:pPr>
              <w:spacing w:before="40" w:after="40"/>
              <w:rPr>
                <w:sz w:val="17"/>
              </w:rPr>
            </w:pPr>
          </w:p>
        </w:tc>
      </w:tr>
      <w:tr w:rsidR="00BB7340" w:rsidRPr="00B02BA3" w14:paraId="3AB1831E" w14:textId="77777777" w:rsidTr="00272B36">
        <w:tc>
          <w:tcPr>
            <w:tcW w:w="3141" w:type="dxa"/>
            <w:vAlign w:val="bottom"/>
          </w:tcPr>
          <w:p w14:paraId="5A83F9C9" w14:textId="77777777" w:rsidR="00BB7340" w:rsidRPr="00BB7340" w:rsidRDefault="00BB7340" w:rsidP="00BB7340">
            <w:pPr>
              <w:tabs>
                <w:tab w:val="right" w:leader="dot" w:pos="3163"/>
              </w:tabs>
              <w:bidi/>
              <w:spacing w:before="40" w:after="40"/>
              <w:ind w:left="407"/>
              <w:rPr>
                <w:sz w:val="12"/>
                <w:szCs w:val="18"/>
              </w:rPr>
            </w:pPr>
            <w:r w:rsidRPr="00BB7340">
              <w:rPr>
                <w:rFonts w:hint="cs"/>
                <w:sz w:val="12"/>
                <w:szCs w:val="18"/>
                <w:rtl/>
              </w:rPr>
              <w:t>دخل توزيعات الأرباح</w:t>
            </w:r>
            <w:r w:rsidRPr="00BB7340">
              <w:rPr>
                <w:sz w:val="12"/>
                <w:szCs w:val="18"/>
              </w:rPr>
              <w:tab/>
            </w:r>
          </w:p>
        </w:tc>
        <w:tc>
          <w:tcPr>
            <w:tcW w:w="235" w:type="dxa"/>
            <w:vAlign w:val="bottom"/>
          </w:tcPr>
          <w:p w14:paraId="14128B75" w14:textId="77777777" w:rsidR="00BB7340" w:rsidRPr="00B02BA3" w:rsidRDefault="00BB7340" w:rsidP="00BB7340">
            <w:pPr>
              <w:spacing w:before="40" w:after="40"/>
              <w:rPr>
                <w:sz w:val="17"/>
              </w:rPr>
            </w:pPr>
          </w:p>
        </w:tc>
        <w:tc>
          <w:tcPr>
            <w:tcW w:w="901" w:type="dxa"/>
            <w:vAlign w:val="bottom"/>
          </w:tcPr>
          <w:p w14:paraId="267CCF83" w14:textId="77777777" w:rsidR="00BB7340" w:rsidRPr="00B02BA3" w:rsidRDefault="00BB7340" w:rsidP="00BB7340">
            <w:pPr>
              <w:spacing w:before="40" w:after="40"/>
              <w:jc w:val="right"/>
              <w:rPr>
                <w:sz w:val="17"/>
              </w:rPr>
            </w:pPr>
            <w:r w:rsidRPr="00B02BA3">
              <w:rPr>
                <w:sz w:val="17"/>
              </w:rPr>
              <w:t>—</w:t>
            </w:r>
          </w:p>
        </w:tc>
        <w:tc>
          <w:tcPr>
            <w:tcW w:w="235" w:type="dxa"/>
            <w:vAlign w:val="bottom"/>
          </w:tcPr>
          <w:p w14:paraId="1D319D6C" w14:textId="77777777" w:rsidR="00BB7340" w:rsidRPr="00B02BA3" w:rsidRDefault="00BB7340" w:rsidP="00BB7340">
            <w:pPr>
              <w:spacing w:before="40" w:after="40"/>
              <w:rPr>
                <w:sz w:val="17"/>
              </w:rPr>
            </w:pPr>
          </w:p>
        </w:tc>
        <w:tc>
          <w:tcPr>
            <w:tcW w:w="900" w:type="dxa"/>
            <w:vAlign w:val="bottom"/>
          </w:tcPr>
          <w:p w14:paraId="137100FE" w14:textId="77777777" w:rsidR="00BB7340" w:rsidRPr="00B02BA3" w:rsidRDefault="00BB7340" w:rsidP="00BB7340">
            <w:pPr>
              <w:spacing w:before="40" w:after="40"/>
              <w:jc w:val="right"/>
              <w:rPr>
                <w:sz w:val="17"/>
              </w:rPr>
            </w:pPr>
            <w:r w:rsidRPr="00B02BA3">
              <w:rPr>
                <w:sz w:val="17"/>
              </w:rPr>
              <w:t>2</w:t>
            </w:r>
            <w:r>
              <w:rPr>
                <w:sz w:val="17"/>
              </w:rPr>
              <w:t>.5</w:t>
            </w:r>
          </w:p>
        </w:tc>
        <w:tc>
          <w:tcPr>
            <w:tcW w:w="234" w:type="dxa"/>
            <w:vAlign w:val="bottom"/>
          </w:tcPr>
          <w:p w14:paraId="713FD20F" w14:textId="77777777" w:rsidR="00BB7340" w:rsidRPr="00B02BA3" w:rsidRDefault="00BB7340" w:rsidP="00BB7340">
            <w:pPr>
              <w:spacing w:before="40" w:after="40"/>
              <w:rPr>
                <w:sz w:val="17"/>
              </w:rPr>
            </w:pPr>
          </w:p>
        </w:tc>
        <w:tc>
          <w:tcPr>
            <w:tcW w:w="900" w:type="dxa"/>
            <w:vAlign w:val="bottom"/>
          </w:tcPr>
          <w:p w14:paraId="386A75B9" w14:textId="77777777" w:rsidR="00BB7340" w:rsidRPr="00B02BA3" w:rsidRDefault="00BB7340" w:rsidP="00BB7340">
            <w:pPr>
              <w:spacing w:before="40" w:after="40"/>
              <w:jc w:val="right"/>
              <w:rPr>
                <w:sz w:val="17"/>
              </w:rPr>
            </w:pPr>
            <w:r>
              <w:rPr>
                <w:sz w:val="17"/>
              </w:rPr>
              <w:t>0.4</w:t>
            </w:r>
          </w:p>
        </w:tc>
        <w:tc>
          <w:tcPr>
            <w:tcW w:w="234" w:type="dxa"/>
            <w:vAlign w:val="bottom"/>
          </w:tcPr>
          <w:p w14:paraId="6732FFD0" w14:textId="77777777" w:rsidR="00BB7340" w:rsidRPr="00B02BA3" w:rsidRDefault="00BB7340" w:rsidP="00BB7340">
            <w:pPr>
              <w:spacing w:before="40" w:after="40"/>
              <w:rPr>
                <w:sz w:val="17"/>
              </w:rPr>
            </w:pPr>
          </w:p>
        </w:tc>
        <w:tc>
          <w:tcPr>
            <w:tcW w:w="900" w:type="dxa"/>
            <w:vAlign w:val="bottom"/>
          </w:tcPr>
          <w:p w14:paraId="2A8CC4F3" w14:textId="77777777" w:rsidR="00BB7340" w:rsidRPr="00B02BA3" w:rsidRDefault="00BB7340" w:rsidP="00BB7340">
            <w:pPr>
              <w:spacing w:before="40" w:after="40"/>
              <w:jc w:val="right"/>
              <w:rPr>
                <w:sz w:val="17"/>
              </w:rPr>
            </w:pPr>
            <w:r>
              <w:rPr>
                <w:sz w:val="17"/>
              </w:rPr>
              <w:t>0.4</w:t>
            </w:r>
          </w:p>
        </w:tc>
        <w:tc>
          <w:tcPr>
            <w:tcW w:w="234" w:type="dxa"/>
            <w:vAlign w:val="bottom"/>
          </w:tcPr>
          <w:p w14:paraId="756C77D0" w14:textId="77777777" w:rsidR="00BB7340" w:rsidRPr="00B02BA3" w:rsidRDefault="00BB7340" w:rsidP="00BB7340">
            <w:pPr>
              <w:spacing w:before="40" w:after="40"/>
              <w:rPr>
                <w:sz w:val="17"/>
              </w:rPr>
            </w:pPr>
          </w:p>
        </w:tc>
        <w:tc>
          <w:tcPr>
            <w:tcW w:w="900" w:type="dxa"/>
            <w:vAlign w:val="bottom"/>
          </w:tcPr>
          <w:p w14:paraId="5D3D6916" w14:textId="77777777" w:rsidR="00BB7340" w:rsidRPr="00B02BA3" w:rsidRDefault="00BB7340" w:rsidP="00BB7340">
            <w:pPr>
              <w:spacing w:before="40" w:after="40"/>
              <w:jc w:val="right"/>
              <w:rPr>
                <w:sz w:val="17"/>
              </w:rPr>
            </w:pPr>
            <w:r>
              <w:rPr>
                <w:sz w:val="17"/>
              </w:rPr>
              <w:t>0.3</w:t>
            </w:r>
          </w:p>
        </w:tc>
        <w:tc>
          <w:tcPr>
            <w:tcW w:w="234" w:type="dxa"/>
            <w:vAlign w:val="bottom"/>
          </w:tcPr>
          <w:p w14:paraId="17F55B05" w14:textId="77777777" w:rsidR="00BB7340" w:rsidRPr="00B02BA3" w:rsidRDefault="00BB7340" w:rsidP="00BB7340">
            <w:pPr>
              <w:spacing w:before="40" w:after="40"/>
              <w:rPr>
                <w:sz w:val="17"/>
              </w:rPr>
            </w:pPr>
          </w:p>
        </w:tc>
      </w:tr>
      <w:tr w:rsidR="00BB7340" w:rsidRPr="00B02BA3" w14:paraId="12042F14" w14:textId="77777777" w:rsidTr="00240371">
        <w:tc>
          <w:tcPr>
            <w:tcW w:w="3141" w:type="dxa"/>
            <w:vAlign w:val="bottom"/>
          </w:tcPr>
          <w:p w14:paraId="46FFE77F" w14:textId="77777777" w:rsidR="00BB7340" w:rsidRPr="00BB7340" w:rsidRDefault="00BB7340" w:rsidP="00BB7340">
            <w:pPr>
              <w:tabs>
                <w:tab w:val="right" w:leader="dot" w:pos="3163"/>
              </w:tabs>
              <w:bidi/>
              <w:spacing w:before="40" w:after="40"/>
              <w:ind w:left="407"/>
              <w:rPr>
                <w:sz w:val="12"/>
                <w:szCs w:val="18"/>
              </w:rPr>
            </w:pPr>
            <w:r w:rsidRPr="00BB7340">
              <w:rPr>
                <w:rFonts w:hint="cs"/>
                <w:sz w:val="12"/>
                <w:szCs w:val="18"/>
                <w:rtl/>
              </w:rPr>
              <w:t>المصروفات التجارية</w:t>
            </w:r>
            <w:r w:rsidRPr="00BB7340">
              <w:rPr>
                <w:sz w:val="12"/>
                <w:szCs w:val="18"/>
              </w:rPr>
              <w:tab/>
            </w:r>
          </w:p>
        </w:tc>
        <w:tc>
          <w:tcPr>
            <w:tcW w:w="237" w:type="dxa"/>
            <w:vAlign w:val="bottom"/>
          </w:tcPr>
          <w:p w14:paraId="6260C58E" w14:textId="77777777" w:rsidR="00BB7340" w:rsidRPr="00B02BA3" w:rsidRDefault="0013331C" w:rsidP="00BB7340">
            <w:pPr>
              <w:spacing w:before="40" w:after="40"/>
              <w:rPr>
                <w:sz w:val="17"/>
              </w:rPr>
            </w:pPr>
            <w:r>
              <w:rPr>
                <w:sz w:val="17"/>
              </w:rPr>
              <w:t>)</w:t>
            </w:r>
          </w:p>
        </w:tc>
        <w:tc>
          <w:tcPr>
            <w:tcW w:w="899" w:type="dxa"/>
            <w:vAlign w:val="bottom"/>
          </w:tcPr>
          <w:p w14:paraId="3587D14C" w14:textId="33E37ED4" w:rsidR="00BB7340" w:rsidRPr="00B02BA3" w:rsidRDefault="00BB7340" w:rsidP="00BB7340">
            <w:pPr>
              <w:spacing w:before="40" w:after="40"/>
              <w:jc w:val="right"/>
              <w:rPr>
                <w:sz w:val="17"/>
              </w:rPr>
            </w:pPr>
            <w:r w:rsidRPr="00B02BA3">
              <w:rPr>
                <w:sz w:val="17"/>
              </w:rPr>
              <w:t>(12</w:t>
            </w:r>
            <w:r>
              <w:rPr>
                <w:sz w:val="17"/>
              </w:rPr>
              <w:t>.</w:t>
            </w:r>
            <w:r w:rsidR="00AB1DA3">
              <w:rPr>
                <w:sz w:val="17"/>
              </w:rPr>
              <w:t>7</w:t>
            </w:r>
          </w:p>
        </w:tc>
        <w:tc>
          <w:tcPr>
            <w:tcW w:w="235" w:type="dxa"/>
            <w:vAlign w:val="bottom"/>
          </w:tcPr>
          <w:p w14:paraId="36751BFD" w14:textId="77777777" w:rsidR="00BB7340" w:rsidRPr="00B02BA3" w:rsidRDefault="00BB7340" w:rsidP="00BB7340">
            <w:pPr>
              <w:spacing w:before="40" w:after="40"/>
              <w:rPr>
                <w:sz w:val="17"/>
              </w:rPr>
            </w:pPr>
            <w:r w:rsidRPr="00B02BA3">
              <w:rPr>
                <w:sz w:val="17"/>
              </w:rPr>
              <w:t>)</w:t>
            </w:r>
          </w:p>
        </w:tc>
        <w:tc>
          <w:tcPr>
            <w:tcW w:w="900" w:type="dxa"/>
            <w:vAlign w:val="bottom"/>
          </w:tcPr>
          <w:p w14:paraId="45BF8869" w14:textId="77777777" w:rsidR="00BB7340" w:rsidRPr="00B02BA3" w:rsidRDefault="00BB7340" w:rsidP="00BB7340">
            <w:pPr>
              <w:spacing w:before="40" w:after="40"/>
              <w:jc w:val="right"/>
              <w:rPr>
                <w:sz w:val="17"/>
              </w:rPr>
            </w:pPr>
            <w:r w:rsidRPr="00B02BA3">
              <w:rPr>
                <w:sz w:val="17"/>
              </w:rPr>
              <w:t>(20</w:t>
            </w:r>
            <w:r>
              <w:rPr>
                <w:sz w:val="17"/>
              </w:rPr>
              <w:t>.8</w:t>
            </w:r>
          </w:p>
        </w:tc>
        <w:tc>
          <w:tcPr>
            <w:tcW w:w="234" w:type="dxa"/>
            <w:vAlign w:val="bottom"/>
          </w:tcPr>
          <w:p w14:paraId="5FE0F344" w14:textId="77777777" w:rsidR="00BB7340" w:rsidRPr="00B02BA3" w:rsidRDefault="00BB7340" w:rsidP="00BB7340">
            <w:pPr>
              <w:spacing w:before="40" w:after="40"/>
              <w:rPr>
                <w:sz w:val="17"/>
              </w:rPr>
            </w:pPr>
            <w:r w:rsidRPr="00B02BA3">
              <w:rPr>
                <w:sz w:val="17"/>
              </w:rPr>
              <w:t>)</w:t>
            </w:r>
          </w:p>
        </w:tc>
        <w:tc>
          <w:tcPr>
            <w:tcW w:w="900" w:type="dxa"/>
            <w:vAlign w:val="bottom"/>
          </w:tcPr>
          <w:p w14:paraId="53E170B6" w14:textId="77777777" w:rsidR="00BB7340" w:rsidRPr="00B02BA3" w:rsidRDefault="00BB7340" w:rsidP="00BB7340">
            <w:pPr>
              <w:spacing w:before="40" w:after="40"/>
              <w:jc w:val="right"/>
              <w:rPr>
                <w:sz w:val="17"/>
              </w:rPr>
            </w:pPr>
            <w:r w:rsidRPr="00B02BA3">
              <w:rPr>
                <w:sz w:val="17"/>
              </w:rPr>
              <w:t>(21</w:t>
            </w:r>
            <w:r>
              <w:rPr>
                <w:sz w:val="17"/>
              </w:rPr>
              <w:t>.0</w:t>
            </w:r>
          </w:p>
        </w:tc>
        <w:tc>
          <w:tcPr>
            <w:tcW w:w="234" w:type="dxa"/>
            <w:vAlign w:val="bottom"/>
          </w:tcPr>
          <w:p w14:paraId="0AADDD5F" w14:textId="77777777" w:rsidR="00BB7340" w:rsidRPr="00B02BA3" w:rsidRDefault="00BB7340" w:rsidP="00BB7340">
            <w:pPr>
              <w:spacing w:before="40" w:after="40"/>
              <w:rPr>
                <w:sz w:val="17"/>
              </w:rPr>
            </w:pPr>
            <w:r w:rsidRPr="00B02BA3">
              <w:rPr>
                <w:sz w:val="17"/>
              </w:rPr>
              <w:t>)</w:t>
            </w:r>
          </w:p>
        </w:tc>
        <w:tc>
          <w:tcPr>
            <w:tcW w:w="900" w:type="dxa"/>
            <w:vAlign w:val="bottom"/>
          </w:tcPr>
          <w:p w14:paraId="4B124487" w14:textId="77777777" w:rsidR="00BB7340" w:rsidRPr="00B02BA3" w:rsidRDefault="00BB7340" w:rsidP="00BB7340">
            <w:pPr>
              <w:spacing w:before="40" w:after="40"/>
              <w:jc w:val="right"/>
              <w:rPr>
                <w:sz w:val="17"/>
              </w:rPr>
            </w:pPr>
            <w:r>
              <w:rPr>
                <w:sz w:val="17"/>
              </w:rPr>
              <w:t>(17.1</w:t>
            </w:r>
          </w:p>
        </w:tc>
        <w:tc>
          <w:tcPr>
            <w:tcW w:w="234" w:type="dxa"/>
            <w:vAlign w:val="bottom"/>
          </w:tcPr>
          <w:p w14:paraId="16DBBFAB" w14:textId="77777777" w:rsidR="00BB7340" w:rsidRPr="00B02BA3" w:rsidRDefault="00BB7340" w:rsidP="00BB7340">
            <w:pPr>
              <w:spacing w:before="40" w:after="40"/>
              <w:rPr>
                <w:sz w:val="17"/>
              </w:rPr>
            </w:pPr>
            <w:r>
              <w:rPr>
                <w:sz w:val="17"/>
              </w:rPr>
              <w:t>)</w:t>
            </w:r>
          </w:p>
        </w:tc>
        <w:tc>
          <w:tcPr>
            <w:tcW w:w="900" w:type="dxa"/>
            <w:vAlign w:val="bottom"/>
          </w:tcPr>
          <w:p w14:paraId="0754C7AF" w14:textId="77777777" w:rsidR="00BB7340" w:rsidRPr="00B02BA3" w:rsidRDefault="00BB7340" w:rsidP="00BB7340">
            <w:pPr>
              <w:spacing w:before="40" w:after="40"/>
              <w:jc w:val="right"/>
              <w:rPr>
                <w:sz w:val="17"/>
              </w:rPr>
            </w:pPr>
            <w:r>
              <w:rPr>
                <w:sz w:val="17"/>
              </w:rPr>
              <w:t>(14.0</w:t>
            </w:r>
          </w:p>
        </w:tc>
        <w:tc>
          <w:tcPr>
            <w:tcW w:w="234" w:type="dxa"/>
            <w:vAlign w:val="bottom"/>
          </w:tcPr>
          <w:p w14:paraId="5A7D3FC4" w14:textId="77777777" w:rsidR="00BB7340" w:rsidRPr="00B02BA3" w:rsidRDefault="00BB7340" w:rsidP="00BB7340">
            <w:pPr>
              <w:spacing w:before="40" w:after="40"/>
              <w:rPr>
                <w:sz w:val="17"/>
              </w:rPr>
            </w:pPr>
          </w:p>
        </w:tc>
      </w:tr>
      <w:tr w:rsidR="00BB7340" w:rsidRPr="00B02BA3" w14:paraId="5E046EE5" w14:textId="77777777" w:rsidTr="00272B36">
        <w:tc>
          <w:tcPr>
            <w:tcW w:w="3141" w:type="dxa"/>
            <w:vAlign w:val="bottom"/>
          </w:tcPr>
          <w:p w14:paraId="458EC2D2" w14:textId="77777777" w:rsidR="00BB7340" w:rsidRPr="00BB7340" w:rsidRDefault="00BB7340" w:rsidP="00BB7340">
            <w:pPr>
              <w:tabs>
                <w:tab w:val="right" w:leader="dot" w:pos="3163"/>
              </w:tabs>
              <w:bidi/>
              <w:spacing w:before="40" w:after="40"/>
              <w:ind w:left="407"/>
              <w:rPr>
                <w:sz w:val="12"/>
                <w:szCs w:val="18"/>
              </w:rPr>
            </w:pPr>
            <w:r w:rsidRPr="00BB7340">
              <w:rPr>
                <w:rFonts w:hint="cs"/>
                <w:sz w:val="12"/>
                <w:szCs w:val="18"/>
                <w:rtl/>
              </w:rPr>
              <w:t>مصروفات عامة وإدارية</w:t>
            </w:r>
            <w:r w:rsidRPr="00BB7340">
              <w:rPr>
                <w:sz w:val="12"/>
                <w:szCs w:val="18"/>
              </w:rPr>
              <w:tab/>
            </w:r>
          </w:p>
        </w:tc>
        <w:tc>
          <w:tcPr>
            <w:tcW w:w="235" w:type="dxa"/>
            <w:vAlign w:val="bottom"/>
          </w:tcPr>
          <w:p w14:paraId="10D4C0BE" w14:textId="77777777" w:rsidR="00BB7340" w:rsidRPr="00B02BA3" w:rsidRDefault="0013331C" w:rsidP="00BB7340">
            <w:pPr>
              <w:spacing w:before="40" w:after="40"/>
              <w:rPr>
                <w:sz w:val="17"/>
              </w:rPr>
            </w:pPr>
            <w:r>
              <w:rPr>
                <w:sz w:val="17"/>
              </w:rPr>
              <w:t>)</w:t>
            </w:r>
          </w:p>
        </w:tc>
        <w:tc>
          <w:tcPr>
            <w:tcW w:w="901" w:type="dxa"/>
            <w:vAlign w:val="bottom"/>
          </w:tcPr>
          <w:p w14:paraId="4CF2F351" w14:textId="77777777" w:rsidR="00BB7340" w:rsidRPr="00B02BA3" w:rsidRDefault="00BB7340" w:rsidP="00BB7340">
            <w:pPr>
              <w:spacing w:before="40" w:after="40"/>
              <w:jc w:val="right"/>
              <w:rPr>
                <w:sz w:val="17"/>
              </w:rPr>
            </w:pPr>
            <w:r w:rsidRPr="00B02BA3">
              <w:rPr>
                <w:sz w:val="17"/>
              </w:rPr>
              <w:t>(22</w:t>
            </w:r>
            <w:r>
              <w:rPr>
                <w:sz w:val="17"/>
              </w:rPr>
              <w:t>.0</w:t>
            </w:r>
          </w:p>
        </w:tc>
        <w:tc>
          <w:tcPr>
            <w:tcW w:w="235" w:type="dxa"/>
            <w:vAlign w:val="bottom"/>
          </w:tcPr>
          <w:p w14:paraId="1F6D5068" w14:textId="77777777" w:rsidR="00BB7340" w:rsidRPr="00B02BA3" w:rsidRDefault="00BB7340" w:rsidP="00BB7340">
            <w:pPr>
              <w:spacing w:before="40" w:after="40"/>
              <w:rPr>
                <w:sz w:val="17"/>
              </w:rPr>
            </w:pPr>
            <w:r w:rsidRPr="00B02BA3">
              <w:rPr>
                <w:sz w:val="17"/>
              </w:rPr>
              <w:t>)</w:t>
            </w:r>
          </w:p>
        </w:tc>
        <w:tc>
          <w:tcPr>
            <w:tcW w:w="900" w:type="dxa"/>
            <w:vAlign w:val="bottom"/>
          </w:tcPr>
          <w:p w14:paraId="3FB2616D" w14:textId="77777777" w:rsidR="00BB7340" w:rsidRPr="00B02BA3" w:rsidRDefault="00BB7340" w:rsidP="00BB7340">
            <w:pPr>
              <w:spacing w:before="40" w:after="40"/>
              <w:jc w:val="right"/>
              <w:rPr>
                <w:sz w:val="17"/>
              </w:rPr>
            </w:pPr>
            <w:r w:rsidRPr="00B02BA3">
              <w:rPr>
                <w:sz w:val="17"/>
              </w:rPr>
              <w:t>(28</w:t>
            </w:r>
            <w:r>
              <w:rPr>
                <w:sz w:val="17"/>
              </w:rPr>
              <w:t>.2</w:t>
            </w:r>
          </w:p>
        </w:tc>
        <w:tc>
          <w:tcPr>
            <w:tcW w:w="234" w:type="dxa"/>
            <w:vAlign w:val="bottom"/>
          </w:tcPr>
          <w:p w14:paraId="39505C8D" w14:textId="77777777" w:rsidR="00BB7340" w:rsidRPr="00B02BA3" w:rsidRDefault="00BB7340" w:rsidP="00BB7340">
            <w:pPr>
              <w:spacing w:before="40" w:after="40"/>
              <w:rPr>
                <w:sz w:val="17"/>
              </w:rPr>
            </w:pPr>
            <w:r w:rsidRPr="00B02BA3">
              <w:rPr>
                <w:sz w:val="17"/>
              </w:rPr>
              <w:t>)</w:t>
            </w:r>
          </w:p>
        </w:tc>
        <w:tc>
          <w:tcPr>
            <w:tcW w:w="900" w:type="dxa"/>
            <w:vAlign w:val="bottom"/>
          </w:tcPr>
          <w:p w14:paraId="5AFB71C6" w14:textId="77777777" w:rsidR="00BB7340" w:rsidRPr="00B02BA3" w:rsidRDefault="00BB7340" w:rsidP="00BB7340">
            <w:pPr>
              <w:spacing w:before="40" w:after="40"/>
              <w:jc w:val="right"/>
              <w:rPr>
                <w:sz w:val="17"/>
              </w:rPr>
            </w:pPr>
            <w:r w:rsidRPr="00B02BA3">
              <w:rPr>
                <w:sz w:val="17"/>
              </w:rPr>
              <w:t>(32</w:t>
            </w:r>
            <w:r>
              <w:rPr>
                <w:sz w:val="17"/>
              </w:rPr>
              <w:t>.7</w:t>
            </w:r>
          </w:p>
        </w:tc>
        <w:tc>
          <w:tcPr>
            <w:tcW w:w="234" w:type="dxa"/>
            <w:vAlign w:val="bottom"/>
          </w:tcPr>
          <w:p w14:paraId="7B48AFFD" w14:textId="77777777" w:rsidR="00BB7340" w:rsidRPr="00B02BA3" w:rsidRDefault="00BB7340" w:rsidP="00BB7340">
            <w:pPr>
              <w:spacing w:before="40" w:after="40"/>
              <w:rPr>
                <w:sz w:val="17"/>
              </w:rPr>
            </w:pPr>
            <w:r w:rsidRPr="00B02BA3">
              <w:rPr>
                <w:sz w:val="17"/>
              </w:rPr>
              <w:t>)</w:t>
            </w:r>
          </w:p>
        </w:tc>
        <w:tc>
          <w:tcPr>
            <w:tcW w:w="900" w:type="dxa"/>
            <w:vAlign w:val="bottom"/>
          </w:tcPr>
          <w:p w14:paraId="2E946ECD" w14:textId="77777777" w:rsidR="00BB7340" w:rsidRPr="00B02BA3" w:rsidRDefault="00BB7340" w:rsidP="00BB7340">
            <w:pPr>
              <w:spacing w:before="40" w:after="40"/>
              <w:jc w:val="right"/>
              <w:rPr>
                <w:sz w:val="17"/>
              </w:rPr>
            </w:pPr>
            <w:r>
              <w:rPr>
                <w:sz w:val="17"/>
              </w:rPr>
              <w:t>(20.3</w:t>
            </w:r>
          </w:p>
        </w:tc>
        <w:tc>
          <w:tcPr>
            <w:tcW w:w="234" w:type="dxa"/>
            <w:vAlign w:val="bottom"/>
          </w:tcPr>
          <w:p w14:paraId="0F6B8BE9" w14:textId="77777777" w:rsidR="00BB7340" w:rsidRPr="00B02BA3" w:rsidRDefault="00BB7340" w:rsidP="00BB7340">
            <w:pPr>
              <w:spacing w:before="40" w:after="40"/>
              <w:rPr>
                <w:sz w:val="17"/>
              </w:rPr>
            </w:pPr>
            <w:r>
              <w:rPr>
                <w:sz w:val="17"/>
              </w:rPr>
              <w:t>)</w:t>
            </w:r>
          </w:p>
        </w:tc>
        <w:tc>
          <w:tcPr>
            <w:tcW w:w="900" w:type="dxa"/>
            <w:vAlign w:val="bottom"/>
          </w:tcPr>
          <w:p w14:paraId="2BE33087" w14:textId="77777777" w:rsidR="00BB7340" w:rsidRPr="00B02BA3" w:rsidRDefault="00BB7340" w:rsidP="00BB7340">
            <w:pPr>
              <w:spacing w:before="40" w:after="40"/>
              <w:jc w:val="right"/>
              <w:rPr>
                <w:sz w:val="17"/>
              </w:rPr>
            </w:pPr>
            <w:r>
              <w:rPr>
                <w:sz w:val="17"/>
              </w:rPr>
              <w:t>(28.7</w:t>
            </w:r>
          </w:p>
        </w:tc>
        <w:tc>
          <w:tcPr>
            <w:tcW w:w="234" w:type="dxa"/>
            <w:vAlign w:val="bottom"/>
          </w:tcPr>
          <w:p w14:paraId="45C97E70" w14:textId="77777777" w:rsidR="00BB7340" w:rsidRPr="00B02BA3" w:rsidRDefault="00BB7340" w:rsidP="00BB7340">
            <w:pPr>
              <w:spacing w:before="40" w:after="40"/>
              <w:rPr>
                <w:sz w:val="17"/>
              </w:rPr>
            </w:pPr>
          </w:p>
        </w:tc>
      </w:tr>
      <w:tr w:rsidR="00BB7340" w:rsidRPr="00B02BA3" w14:paraId="325492F0" w14:textId="77777777" w:rsidTr="00272B36">
        <w:tc>
          <w:tcPr>
            <w:tcW w:w="3141" w:type="dxa"/>
            <w:vAlign w:val="bottom"/>
          </w:tcPr>
          <w:p w14:paraId="6B1F29B8" w14:textId="77777777" w:rsidR="00BB7340" w:rsidRPr="00BB7340" w:rsidRDefault="00BB7340" w:rsidP="00BB7340">
            <w:pPr>
              <w:tabs>
                <w:tab w:val="right" w:leader="dot" w:pos="3163"/>
              </w:tabs>
              <w:bidi/>
              <w:spacing w:before="40" w:after="40"/>
              <w:ind w:left="407"/>
              <w:rPr>
                <w:sz w:val="12"/>
                <w:szCs w:val="18"/>
              </w:rPr>
            </w:pPr>
            <w:r w:rsidRPr="00BB7340">
              <w:rPr>
                <w:rFonts w:hint="cs"/>
                <w:sz w:val="12"/>
                <w:szCs w:val="18"/>
                <w:rtl/>
              </w:rPr>
              <w:t>إلغاء انخفاض القيمة/ (الخسائر) على الأصول المالية والتعاقدية</w:t>
            </w:r>
            <w:r w:rsidRPr="00BB7340">
              <w:rPr>
                <w:sz w:val="12"/>
                <w:szCs w:val="18"/>
              </w:rPr>
              <w:tab/>
            </w:r>
          </w:p>
        </w:tc>
        <w:tc>
          <w:tcPr>
            <w:tcW w:w="235" w:type="dxa"/>
            <w:vAlign w:val="bottom"/>
          </w:tcPr>
          <w:p w14:paraId="25907294" w14:textId="77777777" w:rsidR="00BB7340" w:rsidRPr="00B02BA3" w:rsidRDefault="003F6B8A" w:rsidP="00BB7340">
            <w:pPr>
              <w:spacing w:before="40" w:after="40"/>
              <w:rPr>
                <w:sz w:val="17"/>
              </w:rPr>
            </w:pPr>
            <w:r>
              <w:rPr>
                <w:sz w:val="17"/>
              </w:rPr>
              <w:t>)</w:t>
            </w:r>
          </w:p>
        </w:tc>
        <w:tc>
          <w:tcPr>
            <w:tcW w:w="901" w:type="dxa"/>
            <w:vAlign w:val="bottom"/>
          </w:tcPr>
          <w:p w14:paraId="31885FA0" w14:textId="77777777" w:rsidR="00BB7340" w:rsidRPr="00B02BA3" w:rsidRDefault="003F6B8A" w:rsidP="00BB7340">
            <w:pPr>
              <w:spacing w:before="40" w:after="40"/>
              <w:jc w:val="right"/>
              <w:rPr>
                <w:sz w:val="17"/>
              </w:rPr>
            </w:pPr>
            <w:r>
              <w:rPr>
                <w:sz w:val="17"/>
              </w:rPr>
              <w:t>(</w:t>
            </w:r>
            <w:r w:rsidR="00BB7340">
              <w:rPr>
                <w:sz w:val="17"/>
              </w:rPr>
              <w:t>0.6</w:t>
            </w:r>
          </w:p>
        </w:tc>
        <w:tc>
          <w:tcPr>
            <w:tcW w:w="235" w:type="dxa"/>
            <w:vAlign w:val="bottom"/>
          </w:tcPr>
          <w:p w14:paraId="57C93804" w14:textId="77777777" w:rsidR="00BB7340" w:rsidRPr="00B02BA3" w:rsidRDefault="00BB7340" w:rsidP="00BB7340">
            <w:pPr>
              <w:spacing w:before="40" w:after="40"/>
              <w:rPr>
                <w:sz w:val="17"/>
              </w:rPr>
            </w:pPr>
          </w:p>
        </w:tc>
        <w:tc>
          <w:tcPr>
            <w:tcW w:w="900" w:type="dxa"/>
            <w:vAlign w:val="bottom"/>
          </w:tcPr>
          <w:p w14:paraId="5D76E8D0" w14:textId="77777777" w:rsidR="00BB7340" w:rsidRPr="00BC44E5" w:rsidRDefault="00BB7340" w:rsidP="00BB7340">
            <w:pPr>
              <w:spacing w:before="40" w:after="40"/>
              <w:jc w:val="right"/>
              <w:rPr>
                <w:sz w:val="17"/>
                <w:szCs w:val="17"/>
              </w:rPr>
            </w:pPr>
            <w:r w:rsidRPr="00BC44E5">
              <w:rPr>
                <w:sz w:val="17"/>
                <w:szCs w:val="17"/>
              </w:rPr>
              <w:t>(0.6</w:t>
            </w:r>
            <w:r w:rsidR="00EF3768" w:rsidRPr="00BC44E5">
              <w:rPr>
                <w:rFonts w:hint="cs"/>
                <w:sz w:val="17"/>
                <w:szCs w:val="17"/>
                <w:rtl/>
              </w:rPr>
              <w:t>(</w:t>
            </w:r>
          </w:p>
        </w:tc>
        <w:tc>
          <w:tcPr>
            <w:tcW w:w="234" w:type="dxa"/>
            <w:vAlign w:val="bottom"/>
          </w:tcPr>
          <w:p w14:paraId="35CE5AF7" w14:textId="77777777" w:rsidR="00BB7340" w:rsidRPr="00B02BA3" w:rsidRDefault="00BB7340" w:rsidP="00BB7340">
            <w:pPr>
              <w:spacing w:before="40" w:after="40"/>
              <w:rPr>
                <w:sz w:val="17"/>
              </w:rPr>
            </w:pPr>
          </w:p>
        </w:tc>
        <w:tc>
          <w:tcPr>
            <w:tcW w:w="900" w:type="dxa"/>
            <w:vAlign w:val="bottom"/>
          </w:tcPr>
          <w:p w14:paraId="488482AE" w14:textId="77777777" w:rsidR="00BB7340" w:rsidRPr="00B02BA3" w:rsidRDefault="00BB7340" w:rsidP="00BB7340">
            <w:pPr>
              <w:spacing w:before="40" w:after="40"/>
              <w:jc w:val="right"/>
              <w:rPr>
                <w:sz w:val="17"/>
              </w:rPr>
            </w:pPr>
            <w:r>
              <w:rPr>
                <w:sz w:val="17"/>
              </w:rPr>
              <w:t>0.3</w:t>
            </w:r>
          </w:p>
        </w:tc>
        <w:tc>
          <w:tcPr>
            <w:tcW w:w="234" w:type="dxa"/>
            <w:vAlign w:val="bottom"/>
          </w:tcPr>
          <w:p w14:paraId="1E963BF5" w14:textId="77777777" w:rsidR="00BB7340" w:rsidRPr="00B02BA3" w:rsidRDefault="00BB7340" w:rsidP="00BB7340">
            <w:pPr>
              <w:spacing w:before="40" w:after="40"/>
              <w:rPr>
                <w:sz w:val="17"/>
              </w:rPr>
            </w:pPr>
          </w:p>
        </w:tc>
        <w:tc>
          <w:tcPr>
            <w:tcW w:w="900" w:type="dxa"/>
            <w:vAlign w:val="bottom"/>
          </w:tcPr>
          <w:p w14:paraId="0486EB51" w14:textId="77777777" w:rsidR="00BB7340" w:rsidRPr="00B02BA3" w:rsidRDefault="00BB7340" w:rsidP="00BB7340">
            <w:pPr>
              <w:spacing w:before="40" w:after="40"/>
              <w:jc w:val="right"/>
              <w:rPr>
                <w:sz w:val="17"/>
              </w:rPr>
            </w:pPr>
            <w:r>
              <w:rPr>
                <w:sz w:val="17"/>
              </w:rPr>
              <w:t>0.3</w:t>
            </w:r>
          </w:p>
        </w:tc>
        <w:tc>
          <w:tcPr>
            <w:tcW w:w="234" w:type="dxa"/>
            <w:vAlign w:val="bottom"/>
          </w:tcPr>
          <w:p w14:paraId="46FE3693" w14:textId="77777777" w:rsidR="00BB7340" w:rsidRPr="00B02BA3" w:rsidRDefault="008808E3" w:rsidP="00BB7340">
            <w:pPr>
              <w:spacing w:before="40" w:after="40"/>
              <w:rPr>
                <w:sz w:val="17"/>
              </w:rPr>
            </w:pPr>
            <w:r>
              <w:rPr>
                <w:rFonts w:hint="cs"/>
                <w:sz w:val="17"/>
                <w:rtl/>
              </w:rPr>
              <w:t>(</w:t>
            </w:r>
          </w:p>
        </w:tc>
        <w:tc>
          <w:tcPr>
            <w:tcW w:w="900" w:type="dxa"/>
            <w:vAlign w:val="bottom"/>
          </w:tcPr>
          <w:p w14:paraId="21808F6E" w14:textId="77777777" w:rsidR="00BB7340" w:rsidRPr="00B02BA3" w:rsidRDefault="00BB7340" w:rsidP="00BB7340">
            <w:pPr>
              <w:spacing w:before="40" w:after="40"/>
              <w:jc w:val="right"/>
              <w:rPr>
                <w:sz w:val="17"/>
              </w:rPr>
            </w:pPr>
            <w:r>
              <w:rPr>
                <w:sz w:val="17"/>
              </w:rPr>
              <w:t>(0.7</w:t>
            </w:r>
          </w:p>
        </w:tc>
        <w:tc>
          <w:tcPr>
            <w:tcW w:w="234" w:type="dxa"/>
            <w:vAlign w:val="bottom"/>
          </w:tcPr>
          <w:p w14:paraId="5C0B2342" w14:textId="77777777" w:rsidR="00BB7340" w:rsidRPr="00B02BA3" w:rsidRDefault="00BB7340" w:rsidP="00BB7340">
            <w:pPr>
              <w:spacing w:before="40" w:after="40"/>
              <w:rPr>
                <w:sz w:val="17"/>
              </w:rPr>
            </w:pPr>
          </w:p>
        </w:tc>
      </w:tr>
      <w:tr w:rsidR="00BB7340" w:rsidRPr="00B02BA3" w14:paraId="12CB8991" w14:textId="77777777" w:rsidTr="00272B36">
        <w:tc>
          <w:tcPr>
            <w:tcW w:w="3141" w:type="dxa"/>
            <w:vAlign w:val="bottom"/>
          </w:tcPr>
          <w:p w14:paraId="7195D39B" w14:textId="77777777" w:rsidR="00BB7340" w:rsidRPr="00BB7340" w:rsidRDefault="00BB7340" w:rsidP="00BB7340">
            <w:pPr>
              <w:tabs>
                <w:tab w:val="right" w:leader="dot" w:pos="3163"/>
              </w:tabs>
              <w:bidi/>
              <w:spacing w:before="40" w:after="40"/>
              <w:ind w:left="407"/>
              <w:rPr>
                <w:sz w:val="12"/>
                <w:szCs w:val="18"/>
              </w:rPr>
            </w:pPr>
            <w:r w:rsidRPr="00BB7340">
              <w:rPr>
                <w:rFonts w:hint="cs"/>
                <w:sz w:val="12"/>
                <w:szCs w:val="18"/>
                <w:rtl/>
              </w:rPr>
              <w:t>خسائر انخفاض القيمة على حق استخدام الأصول</w:t>
            </w:r>
            <w:r w:rsidRPr="00BB7340">
              <w:rPr>
                <w:sz w:val="12"/>
                <w:szCs w:val="18"/>
              </w:rPr>
              <w:tab/>
            </w:r>
          </w:p>
        </w:tc>
        <w:tc>
          <w:tcPr>
            <w:tcW w:w="235" w:type="dxa"/>
            <w:vAlign w:val="bottom"/>
          </w:tcPr>
          <w:p w14:paraId="1BE3DA05" w14:textId="77777777" w:rsidR="00BB7340" w:rsidRPr="00B02BA3" w:rsidRDefault="00BB7340" w:rsidP="00BB7340">
            <w:pPr>
              <w:spacing w:before="40" w:after="40"/>
              <w:rPr>
                <w:sz w:val="17"/>
              </w:rPr>
            </w:pPr>
          </w:p>
        </w:tc>
        <w:tc>
          <w:tcPr>
            <w:tcW w:w="901" w:type="dxa"/>
            <w:vAlign w:val="bottom"/>
          </w:tcPr>
          <w:p w14:paraId="0F2FBD46" w14:textId="77777777" w:rsidR="00BB7340" w:rsidRPr="00B02BA3" w:rsidRDefault="00BB7340" w:rsidP="00BB7340">
            <w:pPr>
              <w:spacing w:before="40" w:after="40"/>
              <w:jc w:val="right"/>
              <w:rPr>
                <w:sz w:val="17"/>
              </w:rPr>
            </w:pPr>
            <w:r w:rsidRPr="00B02BA3">
              <w:rPr>
                <w:sz w:val="17"/>
              </w:rPr>
              <w:t>—</w:t>
            </w:r>
          </w:p>
        </w:tc>
        <w:tc>
          <w:tcPr>
            <w:tcW w:w="235" w:type="dxa"/>
            <w:vAlign w:val="bottom"/>
          </w:tcPr>
          <w:p w14:paraId="357CD689" w14:textId="77777777" w:rsidR="00BB7340" w:rsidRPr="00B02BA3" w:rsidRDefault="00BB7340" w:rsidP="00BB7340">
            <w:pPr>
              <w:spacing w:before="40" w:after="40"/>
              <w:rPr>
                <w:sz w:val="17"/>
              </w:rPr>
            </w:pPr>
          </w:p>
        </w:tc>
        <w:tc>
          <w:tcPr>
            <w:tcW w:w="900" w:type="dxa"/>
            <w:vAlign w:val="bottom"/>
          </w:tcPr>
          <w:p w14:paraId="113F10C7" w14:textId="77777777" w:rsidR="00BB7340" w:rsidRPr="00B02BA3" w:rsidRDefault="00BB7340" w:rsidP="00BB7340">
            <w:pPr>
              <w:spacing w:before="40" w:after="40"/>
              <w:jc w:val="right"/>
              <w:rPr>
                <w:sz w:val="17"/>
              </w:rPr>
            </w:pPr>
            <w:r w:rsidRPr="00B02BA3">
              <w:rPr>
                <w:sz w:val="17"/>
              </w:rPr>
              <w:t>—</w:t>
            </w:r>
          </w:p>
        </w:tc>
        <w:tc>
          <w:tcPr>
            <w:tcW w:w="234" w:type="dxa"/>
            <w:vAlign w:val="bottom"/>
          </w:tcPr>
          <w:p w14:paraId="3B734EF3" w14:textId="77777777" w:rsidR="00BB7340" w:rsidRPr="00BC44E5" w:rsidRDefault="00BC44E5" w:rsidP="00BB7340">
            <w:pPr>
              <w:spacing w:before="40" w:after="40"/>
              <w:rPr>
                <w:sz w:val="17"/>
                <w:szCs w:val="17"/>
              </w:rPr>
            </w:pPr>
            <w:r w:rsidRPr="00BC44E5">
              <w:rPr>
                <w:rFonts w:hint="cs"/>
                <w:sz w:val="17"/>
                <w:szCs w:val="17"/>
                <w:rtl/>
              </w:rPr>
              <w:t>(</w:t>
            </w:r>
          </w:p>
        </w:tc>
        <w:tc>
          <w:tcPr>
            <w:tcW w:w="900" w:type="dxa"/>
            <w:vAlign w:val="bottom"/>
          </w:tcPr>
          <w:p w14:paraId="51A8A402" w14:textId="77777777" w:rsidR="00BB7340" w:rsidRPr="00B02BA3" w:rsidRDefault="00BB7340" w:rsidP="00BB7340">
            <w:pPr>
              <w:spacing w:before="40" w:after="40"/>
              <w:jc w:val="right"/>
              <w:rPr>
                <w:sz w:val="17"/>
              </w:rPr>
            </w:pPr>
            <w:r w:rsidRPr="00B02BA3">
              <w:rPr>
                <w:sz w:val="17"/>
              </w:rPr>
              <w:t>(58</w:t>
            </w:r>
            <w:r>
              <w:rPr>
                <w:sz w:val="17"/>
              </w:rPr>
              <w:t>.0</w:t>
            </w:r>
          </w:p>
        </w:tc>
        <w:tc>
          <w:tcPr>
            <w:tcW w:w="234" w:type="dxa"/>
            <w:vAlign w:val="bottom"/>
          </w:tcPr>
          <w:p w14:paraId="4DA8B180" w14:textId="77777777" w:rsidR="00BB7340" w:rsidRPr="00B02BA3" w:rsidRDefault="00BB7340" w:rsidP="00BB7340">
            <w:pPr>
              <w:spacing w:before="40" w:after="40"/>
              <w:rPr>
                <w:sz w:val="17"/>
              </w:rPr>
            </w:pPr>
            <w:r w:rsidRPr="00B02BA3">
              <w:rPr>
                <w:sz w:val="17"/>
              </w:rPr>
              <w:t>)</w:t>
            </w:r>
          </w:p>
        </w:tc>
        <w:tc>
          <w:tcPr>
            <w:tcW w:w="900" w:type="dxa"/>
            <w:vAlign w:val="bottom"/>
          </w:tcPr>
          <w:p w14:paraId="5BAE4DFF" w14:textId="77777777" w:rsidR="00BB7340" w:rsidRPr="00B02BA3" w:rsidRDefault="00BB7340" w:rsidP="00BB7340">
            <w:pPr>
              <w:spacing w:before="40" w:after="40"/>
              <w:jc w:val="right"/>
              <w:rPr>
                <w:sz w:val="17"/>
              </w:rPr>
            </w:pPr>
            <w:r>
              <w:rPr>
                <w:sz w:val="17"/>
              </w:rPr>
              <w:t>(58.0</w:t>
            </w:r>
          </w:p>
        </w:tc>
        <w:tc>
          <w:tcPr>
            <w:tcW w:w="234" w:type="dxa"/>
            <w:vAlign w:val="bottom"/>
          </w:tcPr>
          <w:p w14:paraId="48F308F3" w14:textId="77777777" w:rsidR="00BB7340" w:rsidRPr="00B02BA3" w:rsidRDefault="00BB7340" w:rsidP="00BB7340">
            <w:pPr>
              <w:spacing w:before="40" w:after="40"/>
              <w:rPr>
                <w:sz w:val="17"/>
              </w:rPr>
            </w:pPr>
          </w:p>
        </w:tc>
        <w:tc>
          <w:tcPr>
            <w:tcW w:w="900" w:type="dxa"/>
            <w:vAlign w:val="bottom"/>
          </w:tcPr>
          <w:p w14:paraId="2EAB3FE6" w14:textId="77777777" w:rsidR="00BB7340" w:rsidRPr="00B02BA3" w:rsidRDefault="00BB7340" w:rsidP="00BB7340">
            <w:pPr>
              <w:spacing w:before="40" w:after="40"/>
              <w:jc w:val="right"/>
              <w:rPr>
                <w:sz w:val="17"/>
              </w:rPr>
            </w:pPr>
            <w:r w:rsidRPr="00B02BA3">
              <w:rPr>
                <w:sz w:val="17"/>
              </w:rPr>
              <w:t>—</w:t>
            </w:r>
          </w:p>
        </w:tc>
        <w:tc>
          <w:tcPr>
            <w:tcW w:w="234" w:type="dxa"/>
            <w:vAlign w:val="bottom"/>
          </w:tcPr>
          <w:p w14:paraId="7ABF2A6D" w14:textId="77777777" w:rsidR="00BB7340" w:rsidRPr="00B02BA3" w:rsidRDefault="00BB7340" w:rsidP="00BB7340">
            <w:pPr>
              <w:spacing w:before="40" w:after="40"/>
              <w:rPr>
                <w:sz w:val="17"/>
              </w:rPr>
            </w:pPr>
          </w:p>
        </w:tc>
      </w:tr>
      <w:tr w:rsidR="00341E76" w:rsidRPr="00B02BA3" w14:paraId="7D8B5169" w14:textId="77777777" w:rsidTr="00272B36">
        <w:tc>
          <w:tcPr>
            <w:tcW w:w="3141" w:type="dxa"/>
            <w:vAlign w:val="bottom"/>
          </w:tcPr>
          <w:p w14:paraId="25693DCB" w14:textId="77777777" w:rsidR="00341E76" w:rsidRPr="00BB7340" w:rsidRDefault="00341E76" w:rsidP="00341E76">
            <w:pPr>
              <w:tabs>
                <w:tab w:val="right" w:leader="dot" w:pos="3163"/>
              </w:tabs>
              <w:bidi/>
              <w:spacing w:before="40" w:after="40"/>
              <w:ind w:left="407"/>
              <w:rPr>
                <w:sz w:val="12"/>
                <w:szCs w:val="18"/>
              </w:rPr>
            </w:pPr>
            <w:r w:rsidRPr="00BB7340">
              <w:rPr>
                <w:rFonts w:hint="cs"/>
                <w:sz w:val="12"/>
                <w:szCs w:val="18"/>
                <w:rtl/>
              </w:rPr>
              <w:t>الربح/ (الخسارة) على بيع الممتلكات والسفن والمعدات</w:t>
            </w:r>
            <w:r w:rsidRPr="00BB7340">
              <w:rPr>
                <w:sz w:val="12"/>
                <w:szCs w:val="18"/>
              </w:rPr>
              <w:tab/>
            </w:r>
          </w:p>
        </w:tc>
        <w:tc>
          <w:tcPr>
            <w:tcW w:w="235" w:type="dxa"/>
            <w:vAlign w:val="bottom"/>
          </w:tcPr>
          <w:p w14:paraId="51745E7A" w14:textId="77777777" w:rsidR="00341E76" w:rsidRPr="00B02BA3" w:rsidRDefault="00341E76" w:rsidP="00341E76">
            <w:pPr>
              <w:spacing w:before="40" w:after="40"/>
              <w:rPr>
                <w:sz w:val="17"/>
              </w:rPr>
            </w:pPr>
          </w:p>
        </w:tc>
        <w:tc>
          <w:tcPr>
            <w:tcW w:w="901" w:type="dxa"/>
            <w:tcBorders>
              <w:bottom w:val="single" w:sz="4" w:space="0" w:color="auto"/>
            </w:tcBorders>
            <w:vAlign w:val="bottom"/>
          </w:tcPr>
          <w:p w14:paraId="78593DF7" w14:textId="77777777" w:rsidR="00341E76" w:rsidRPr="00B02BA3" w:rsidRDefault="00341E76" w:rsidP="00341E76">
            <w:pPr>
              <w:spacing w:before="40" w:after="40"/>
              <w:jc w:val="right"/>
              <w:rPr>
                <w:sz w:val="17"/>
              </w:rPr>
            </w:pPr>
            <w:r w:rsidRPr="00B02BA3">
              <w:rPr>
                <w:sz w:val="17"/>
              </w:rPr>
              <w:t>—</w:t>
            </w:r>
          </w:p>
        </w:tc>
        <w:tc>
          <w:tcPr>
            <w:tcW w:w="235" w:type="dxa"/>
            <w:vAlign w:val="bottom"/>
          </w:tcPr>
          <w:p w14:paraId="12AB3028" w14:textId="77777777" w:rsidR="00341E76" w:rsidRPr="00B02BA3" w:rsidRDefault="00341E76" w:rsidP="00341E76">
            <w:pPr>
              <w:spacing w:before="40" w:after="40"/>
              <w:rPr>
                <w:sz w:val="17"/>
              </w:rPr>
            </w:pPr>
          </w:p>
        </w:tc>
        <w:tc>
          <w:tcPr>
            <w:tcW w:w="900" w:type="dxa"/>
            <w:tcBorders>
              <w:bottom w:val="single" w:sz="4" w:space="0" w:color="auto"/>
            </w:tcBorders>
            <w:vAlign w:val="bottom"/>
          </w:tcPr>
          <w:p w14:paraId="4C633916" w14:textId="77777777" w:rsidR="00341E76" w:rsidRPr="00BC44E5" w:rsidRDefault="00341E76" w:rsidP="00341E76">
            <w:pPr>
              <w:spacing w:before="40" w:after="40"/>
              <w:jc w:val="right"/>
              <w:rPr>
                <w:sz w:val="17"/>
                <w:szCs w:val="17"/>
              </w:rPr>
            </w:pPr>
            <w:r w:rsidRPr="00BC44E5">
              <w:rPr>
                <w:sz w:val="17"/>
                <w:szCs w:val="17"/>
              </w:rPr>
              <w:t>(1.9</w:t>
            </w:r>
            <w:r w:rsidRPr="00BC44E5">
              <w:rPr>
                <w:rFonts w:hint="cs"/>
                <w:sz w:val="17"/>
                <w:szCs w:val="17"/>
                <w:rtl/>
              </w:rPr>
              <w:t>(</w:t>
            </w:r>
          </w:p>
        </w:tc>
        <w:tc>
          <w:tcPr>
            <w:tcW w:w="234" w:type="dxa"/>
            <w:vAlign w:val="bottom"/>
          </w:tcPr>
          <w:p w14:paraId="1591D092" w14:textId="77777777" w:rsidR="00341E76" w:rsidRPr="00B02BA3" w:rsidRDefault="00341E76" w:rsidP="00341E76">
            <w:pPr>
              <w:spacing w:before="40" w:after="40"/>
              <w:rPr>
                <w:sz w:val="17"/>
              </w:rPr>
            </w:pPr>
          </w:p>
        </w:tc>
        <w:tc>
          <w:tcPr>
            <w:tcW w:w="900" w:type="dxa"/>
            <w:tcBorders>
              <w:bottom w:val="single" w:sz="4" w:space="0" w:color="auto"/>
            </w:tcBorders>
            <w:vAlign w:val="bottom"/>
          </w:tcPr>
          <w:p w14:paraId="15FB20C5" w14:textId="77777777" w:rsidR="00341E76" w:rsidRPr="00B02BA3" w:rsidRDefault="00341E76" w:rsidP="00341E76">
            <w:pPr>
              <w:spacing w:before="40" w:after="40"/>
              <w:jc w:val="right"/>
              <w:rPr>
                <w:sz w:val="17"/>
              </w:rPr>
            </w:pPr>
            <w:r w:rsidRPr="00B02BA3">
              <w:rPr>
                <w:sz w:val="17"/>
              </w:rPr>
              <w:t>46</w:t>
            </w:r>
            <w:r>
              <w:rPr>
                <w:sz w:val="17"/>
              </w:rPr>
              <w:t>.9</w:t>
            </w:r>
          </w:p>
        </w:tc>
        <w:tc>
          <w:tcPr>
            <w:tcW w:w="234" w:type="dxa"/>
            <w:vAlign w:val="bottom"/>
          </w:tcPr>
          <w:p w14:paraId="5E24F417" w14:textId="77777777" w:rsidR="00341E76" w:rsidRPr="00B02BA3" w:rsidRDefault="00341E76" w:rsidP="00341E76">
            <w:pPr>
              <w:spacing w:before="40" w:after="40"/>
              <w:rPr>
                <w:sz w:val="17"/>
              </w:rPr>
            </w:pPr>
          </w:p>
        </w:tc>
        <w:tc>
          <w:tcPr>
            <w:tcW w:w="900" w:type="dxa"/>
            <w:tcBorders>
              <w:bottom w:val="single" w:sz="4" w:space="0" w:color="auto"/>
            </w:tcBorders>
            <w:vAlign w:val="bottom"/>
          </w:tcPr>
          <w:p w14:paraId="4AB4FDFB" w14:textId="77777777" w:rsidR="00341E76" w:rsidRPr="00B02BA3" w:rsidRDefault="00341E76" w:rsidP="00341E76">
            <w:pPr>
              <w:spacing w:before="40" w:after="40"/>
              <w:jc w:val="right"/>
              <w:rPr>
                <w:sz w:val="17"/>
              </w:rPr>
            </w:pPr>
            <w:r w:rsidRPr="00B02BA3">
              <w:rPr>
                <w:sz w:val="17"/>
              </w:rPr>
              <w:t>—</w:t>
            </w:r>
          </w:p>
        </w:tc>
        <w:tc>
          <w:tcPr>
            <w:tcW w:w="234" w:type="dxa"/>
            <w:vAlign w:val="bottom"/>
          </w:tcPr>
          <w:p w14:paraId="1C80680B" w14:textId="77777777" w:rsidR="00341E76" w:rsidRPr="00B02BA3" w:rsidRDefault="00341E76" w:rsidP="00341E76">
            <w:pPr>
              <w:spacing w:before="40" w:after="40"/>
              <w:rPr>
                <w:sz w:val="17"/>
              </w:rPr>
            </w:pPr>
          </w:p>
        </w:tc>
        <w:tc>
          <w:tcPr>
            <w:tcW w:w="900" w:type="dxa"/>
            <w:tcBorders>
              <w:bottom w:val="single" w:sz="4" w:space="0" w:color="auto"/>
            </w:tcBorders>
            <w:vAlign w:val="bottom"/>
          </w:tcPr>
          <w:p w14:paraId="05242A04" w14:textId="77777777" w:rsidR="00341E76" w:rsidRPr="00B02BA3" w:rsidRDefault="00341E76" w:rsidP="00341E76">
            <w:pPr>
              <w:spacing w:before="40" w:after="40"/>
              <w:jc w:val="right"/>
              <w:rPr>
                <w:sz w:val="17"/>
              </w:rPr>
            </w:pPr>
            <w:r w:rsidRPr="00B02BA3">
              <w:rPr>
                <w:sz w:val="17"/>
              </w:rPr>
              <w:t>—</w:t>
            </w:r>
          </w:p>
        </w:tc>
        <w:tc>
          <w:tcPr>
            <w:tcW w:w="234" w:type="dxa"/>
            <w:vAlign w:val="bottom"/>
          </w:tcPr>
          <w:p w14:paraId="576CA1E2" w14:textId="77777777" w:rsidR="00341E76" w:rsidRPr="00B02BA3" w:rsidRDefault="00341E76" w:rsidP="00341E76">
            <w:pPr>
              <w:spacing w:before="40" w:after="40"/>
              <w:rPr>
                <w:sz w:val="17"/>
              </w:rPr>
            </w:pPr>
          </w:p>
        </w:tc>
      </w:tr>
      <w:tr w:rsidR="00FE3C32" w:rsidRPr="00B02BA3" w14:paraId="4504EA97" w14:textId="77777777" w:rsidTr="00272B36">
        <w:tc>
          <w:tcPr>
            <w:tcW w:w="3141" w:type="dxa"/>
            <w:vAlign w:val="bottom"/>
          </w:tcPr>
          <w:p w14:paraId="64BF2214" w14:textId="77777777" w:rsidR="00FE3C32" w:rsidRPr="00BB7340" w:rsidRDefault="00FE3C32" w:rsidP="00FE3C32">
            <w:pPr>
              <w:tabs>
                <w:tab w:val="right" w:leader="dot" w:pos="3163"/>
              </w:tabs>
              <w:bidi/>
              <w:spacing w:before="40" w:after="40"/>
              <w:rPr>
                <w:b/>
                <w:bCs/>
                <w:sz w:val="12"/>
                <w:szCs w:val="18"/>
              </w:rPr>
            </w:pPr>
            <w:r w:rsidRPr="00BB7340">
              <w:rPr>
                <w:rFonts w:hint="cs"/>
                <w:b/>
                <w:bCs/>
                <w:sz w:val="12"/>
                <w:szCs w:val="18"/>
                <w:rtl/>
              </w:rPr>
              <w:t>الأرباح التشغيلية</w:t>
            </w:r>
            <w:r w:rsidRPr="00BB7340">
              <w:rPr>
                <w:sz w:val="12"/>
                <w:szCs w:val="18"/>
              </w:rPr>
              <w:tab/>
            </w:r>
          </w:p>
        </w:tc>
        <w:tc>
          <w:tcPr>
            <w:tcW w:w="235" w:type="dxa"/>
            <w:vAlign w:val="bottom"/>
          </w:tcPr>
          <w:p w14:paraId="138B39B4" w14:textId="77777777" w:rsidR="00FE3C32" w:rsidRPr="00B02BA3" w:rsidRDefault="00FE3C32" w:rsidP="00FE3C32">
            <w:pPr>
              <w:spacing w:before="40" w:after="40"/>
              <w:rPr>
                <w:b/>
                <w:bCs/>
                <w:sz w:val="17"/>
              </w:rPr>
            </w:pPr>
          </w:p>
        </w:tc>
        <w:tc>
          <w:tcPr>
            <w:tcW w:w="901" w:type="dxa"/>
            <w:tcBorders>
              <w:top w:val="single" w:sz="4" w:space="0" w:color="auto"/>
            </w:tcBorders>
            <w:vAlign w:val="bottom"/>
          </w:tcPr>
          <w:p w14:paraId="5F315919" w14:textId="77777777" w:rsidR="00FE3C32" w:rsidRPr="00B02BA3" w:rsidRDefault="00FE3C32" w:rsidP="00FE3C32">
            <w:pPr>
              <w:spacing w:before="40" w:after="40"/>
              <w:jc w:val="right"/>
              <w:rPr>
                <w:sz w:val="17"/>
              </w:rPr>
            </w:pPr>
            <w:r w:rsidRPr="00B02BA3">
              <w:rPr>
                <w:sz w:val="17"/>
              </w:rPr>
              <w:t>102</w:t>
            </w:r>
            <w:r>
              <w:rPr>
                <w:sz w:val="17"/>
              </w:rPr>
              <w:t>.7</w:t>
            </w:r>
          </w:p>
        </w:tc>
        <w:tc>
          <w:tcPr>
            <w:tcW w:w="235" w:type="dxa"/>
            <w:vAlign w:val="bottom"/>
          </w:tcPr>
          <w:p w14:paraId="03340275" w14:textId="77777777" w:rsidR="00FE3C32" w:rsidRPr="00B02BA3" w:rsidRDefault="00FE3C32" w:rsidP="00FE3C32">
            <w:pPr>
              <w:spacing w:before="40" w:after="40"/>
              <w:rPr>
                <w:sz w:val="17"/>
              </w:rPr>
            </w:pPr>
          </w:p>
        </w:tc>
        <w:tc>
          <w:tcPr>
            <w:tcW w:w="900" w:type="dxa"/>
            <w:tcBorders>
              <w:top w:val="single" w:sz="4" w:space="0" w:color="auto"/>
            </w:tcBorders>
            <w:vAlign w:val="bottom"/>
          </w:tcPr>
          <w:p w14:paraId="7D4EE4F8" w14:textId="77777777" w:rsidR="00FE3C32" w:rsidRPr="00B02BA3" w:rsidRDefault="00FE3C32" w:rsidP="00FE3C32">
            <w:pPr>
              <w:spacing w:before="40" w:after="40"/>
              <w:jc w:val="right"/>
              <w:rPr>
                <w:sz w:val="17"/>
              </w:rPr>
            </w:pPr>
            <w:r w:rsidRPr="00B02BA3">
              <w:rPr>
                <w:sz w:val="17"/>
              </w:rPr>
              <w:t>186</w:t>
            </w:r>
            <w:r>
              <w:rPr>
                <w:sz w:val="17"/>
              </w:rPr>
              <w:t>.1</w:t>
            </w:r>
          </w:p>
        </w:tc>
        <w:tc>
          <w:tcPr>
            <w:tcW w:w="234" w:type="dxa"/>
            <w:vAlign w:val="bottom"/>
          </w:tcPr>
          <w:p w14:paraId="56B2ED37" w14:textId="77777777" w:rsidR="00FE3C32" w:rsidRPr="00B02BA3" w:rsidRDefault="00FE3C32" w:rsidP="00FE3C32">
            <w:pPr>
              <w:spacing w:before="40" w:after="40"/>
              <w:rPr>
                <w:sz w:val="17"/>
              </w:rPr>
            </w:pPr>
          </w:p>
        </w:tc>
        <w:tc>
          <w:tcPr>
            <w:tcW w:w="900" w:type="dxa"/>
            <w:tcBorders>
              <w:top w:val="single" w:sz="4" w:space="0" w:color="auto"/>
            </w:tcBorders>
            <w:vAlign w:val="bottom"/>
          </w:tcPr>
          <w:p w14:paraId="29432FC6" w14:textId="77777777" w:rsidR="00FE3C32" w:rsidRPr="00B02BA3" w:rsidRDefault="00FE3C32" w:rsidP="00FE3C32">
            <w:pPr>
              <w:spacing w:before="40" w:after="40"/>
              <w:jc w:val="right"/>
              <w:rPr>
                <w:sz w:val="17"/>
              </w:rPr>
            </w:pPr>
            <w:r w:rsidRPr="00B02BA3">
              <w:rPr>
                <w:sz w:val="17"/>
              </w:rPr>
              <w:t>170</w:t>
            </w:r>
            <w:r>
              <w:rPr>
                <w:sz w:val="17"/>
              </w:rPr>
              <w:t>.3</w:t>
            </w:r>
          </w:p>
        </w:tc>
        <w:tc>
          <w:tcPr>
            <w:tcW w:w="234" w:type="dxa"/>
            <w:vAlign w:val="bottom"/>
          </w:tcPr>
          <w:p w14:paraId="118C7BC6" w14:textId="77777777" w:rsidR="00FE3C32" w:rsidRPr="00B02BA3" w:rsidRDefault="00FE3C32" w:rsidP="00FE3C32">
            <w:pPr>
              <w:spacing w:before="40" w:after="40"/>
              <w:rPr>
                <w:sz w:val="17"/>
              </w:rPr>
            </w:pPr>
          </w:p>
        </w:tc>
        <w:tc>
          <w:tcPr>
            <w:tcW w:w="900" w:type="dxa"/>
            <w:tcBorders>
              <w:top w:val="single" w:sz="4" w:space="0" w:color="auto"/>
            </w:tcBorders>
            <w:vAlign w:val="bottom"/>
          </w:tcPr>
          <w:p w14:paraId="55752149" w14:textId="77777777" w:rsidR="00FE3C32" w:rsidRPr="00B02BA3" w:rsidRDefault="00FE3C32" w:rsidP="00FE3C32">
            <w:pPr>
              <w:spacing w:before="40" w:after="40"/>
              <w:jc w:val="right"/>
              <w:rPr>
                <w:sz w:val="17"/>
              </w:rPr>
            </w:pPr>
            <w:r>
              <w:rPr>
                <w:sz w:val="17"/>
              </w:rPr>
              <w:t>98.</w:t>
            </w:r>
            <w:r w:rsidR="00BB41D2">
              <w:rPr>
                <w:sz w:val="17"/>
              </w:rPr>
              <w:t>6</w:t>
            </w:r>
          </w:p>
        </w:tc>
        <w:tc>
          <w:tcPr>
            <w:tcW w:w="234" w:type="dxa"/>
            <w:vAlign w:val="bottom"/>
          </w:tcPr>
          <w:p w14:paraId="098ADCDE" w14:textId="77777777" w:rsidR="00FE3C32" w:rsidRPr="00B02BA3" w:rsidRDefault="00FE3C32" w:rsidP="00FE3C32">
            <w:pPr>
              <w:spacing w:before="40" w:after="40"/>
              <w:rPr>
                <w:sz w:val="17"/>
              </w:rPr>
            </w:pPr>
          </w:p>
        </w:tc>
        <w:tc>
          <w:tcPr>
            <w:tcW w:w="900" w:type="dxa"/>
            <w:tcBorders>
              <w:top w:val="single" w:sz="4" w:space="0" w:color="auto"/>
            </w:tcBorders>
            <w:vAlign w:val="bottom"/>
          </w:tcPr>
          <w:p w14:paraId="2F47E0FB" w14:textId="77777777" w:rsidR="00FE3C32" w:rsidRPr="00B02BA3" w:rsidRDefault="00FE3C32" w:rsidP="00FE3C32">
            <w:pPr>
              <w:spacing w:before="40" w:after="40"/>
              <w:jc w:val="right"/>
              <w:rPr>
                <w:sz w:val="17"/>
              </w:rPr>
            </w:pPr>
            <w:r>
              <w:rPr>
                <w:sz w:val="17"/>
              </w:rPr>
              <w:t>173.8</w:t>
            </w:r>
          </w:p>
        </w:tc>
        <w:tc>
          <w:tcPr>
            <w:tcW w:w="234" w:type="dxa"/>
            <w:vAlign w:val="bottom"/>
          </w:tcPr>
          <w:p w14:paraId="738EB6BA" w14:textId="77777777" w:rsidR="00FE3C32" w:rsidRPr="00B02BA3" w:rsidRDefault="00FE3C32" w:rsidP="00FE3C32">
            <w:pPr>
              <w:spacing w:before="40" w:after="40"/>
              <w:rPr>
                <w:b/>
                <w:bCs/>
                <w:sz w:val="17"/>
              </w:rPr>
            </w:pPr>
          </w:p>
        </w:tc>
      </w:tr>
      <w:tr w:rsidR="00BB7340" w:rsidRPr="00B02BA3" w14:paraId="16200788" w14:textId="77777777" w:rsidTr="00272B36">
        <w:tc>
          <w:tcPr>
            <w:tcW w:w="3141" w:type="dxa"/>
            <w:vAlign w:val="bottom"/>
          </w:tcPr>
          <w:p w14:paraId="68A887C8" w14:textId="77777777" w:rsidR="00BB7340" w:rsidRPr="00BB7340" w:rsidRDefault="00BB7340" w:rsidP="00BB7340">
            <w:pPr>
              <w:tabs>
                <w:tab w:val="right" w:leader="dot" w:pos="3163"/>
              </w:tabs>
              <w:bidi/>
              <w:spacing w:before="40" w:after="40"/>
              <w:ind w:firstLine="407"/>
              <w:rPr>
                <w:sz w:val="12"/>
                <w:szCs w:val="18"/>
              </w:rPr>
            </w:pPr>
            <w:r w:rsidRPr="00BB7340">
              <w:rPr>
                <w:rFonts w:hint="cs"/>
                <w:sz w:val="12"/>
                <w:szCs w:val="18"/>
                <w:rtl/>
              </w:rPr>
              <w:t>تكاليف التمويل</w:t>
            </w:r>
            <w:r w:rsidRPr="00BB7340">
              <w:rPr>
                <w:sz w:val="12"/>
                <w:szCs w:val="18"/>
              </w:rPr>
              <w:tab/>
            </w:r>
          </w:p>
        </w:tc>
        <w:tc>
          <w:tcPr>
            <w:tcW w:w="235" w:type="dxa"/>
            <w:vAlign w:val="bottom"/>
          </w:tcPr>
          <w:p w14:paraId="246DF733" w14:textId="77777777" w:rsidR="00BB7340" w:rsidRPr="00B02BA3" w:rsidRDefault="00BB7340" w:rsidP="00BB7340">
            <w:pPr>
              <w:spacing w:before="40" w:after="40"/>
              <w:rPr>
                <w:sz w:val="17"/>
              </w:rPr>
            </w:pPr>
          </w:p>
        </w:tc>
        <w:tc>
          <w:tcPr>
            <w:tcW w:w="901" w:type="dxa"/>
            <w:vAlign w:val="bottom"/>
          </w:tcPr>
          <w:p w14:paraId="29B11674" w14:textId="77777777" w:rsidR="00BB7340" w:rsidRPr="00B02BA3" w:rsidRDefault="00BB7340" w:rsidP="00BB7340">
            <w:pPr>
              <w:spacing w:before="40" w:after="40"/>
              <w:jc w:val="right"/>
              <w:rPr>
                <w:sz w:val="17"/>
              </w:rPr>
            </w:pPr>
            <w:r w:rsidRPr="00B02BA3">
              <w:rPr>
                <w:sz w:val="17"/>
              </w:rPr>
              <w:t>(6</w:t>
            </w:r>
            <w:r>
              <w:rPr>
                <w:sz w:val="17"/>
              </w:rPr>
              <w:t>6.0</w:t>
            </w:r>
            <w:r w:rsidR="0013331C">
              <w:rPr>
                <w:sz w:val="17"/>
              </w:rPr>
              <w:t>)</w:t>
            </w:r>
          </w:p>
        </w:tc>
        <w:tc>
          <w:tcPr>
            <w:tcW w:w="235" w:type="dxa"/>
            <w:vAlign w:val="bottom"/>
          </w:tcPr>
          <w:p w14:paraId="09B71917" w14:textId="77777777" w:rsidR="00BB7340" w:rsidRPr="00B02BA3" w:rsidRDefault="00BB7340" w:rsidP="00BB7340">
            <w:pPr>
              <w:spacing w:before="40" w:after="40"/>
              <w:rPr>
                <w:sz w:val="17"/>
              </w:rPr>
            </w:pPr>
            <w:r w:rsidRPr="00B02BA3">
              <w:rPr>
                <w:sz w:val="17"/>
              </w:rPr>
              <w:t>)</w:t>
            </w:r>
          </w:p>
        </w:tc>
        <w:tc>
          <w:tcPr>
            <w:tcW w:w="900" w:type="dxa"/>
            <w:vAlign w:val="bottom"/>
          </w:tcPr>
          <w:p w14:paraId="504A3CA1" w14:textId="77777777" w:rsidR="00BB7340" w:rsidRPr="00B02BA3" w:rsidRDefault="00BB7340" w:rsidP="00BB7340">
            <w:pPr>
              <w:spacing w:before="40" w:after="40"/>
              <w:jc w:val="right"/>
              <w:rPr>
                <w:sz w:val="17"/>
              </w:rPr>
            </w:pPr>
            <w:r w:rsidRPr="00B02BA3">
              <w:rPr>
                <w:sz w:val="17"/>
              </w:rPr>
              <w:t>(6</w:t>
            </w:r>
            <w:r>
              <w:rPr>
                <w:sz w:val="17"/>
              </w:rPr>
              <w:t>7.0</w:t>
            </w:r>
          </w:p>
        </w:tc>
        <w:tc>
          <w:tcPr>
            <w:tcW w:w="234" w:type="dxa"/>
            <w:vAlign w:val="bottom"/>
          </w:tcPr>
          <w:p w14:paraId="4B04CBF2" w14:textId="77777777" w:rsidR="00BB7340" w:rsidRPr="00B02BA3" w:rsidRDefault="00BB7340" w:rsidP="00BB7340">
            <w:pPr>
              <w:spacing w:before="40" w:after="40"/>
              <w:rPr>
                <w:sz w:val="17"/>
              </w:rPr>
            </w:pPr>
            <w:r w:rsidRPr="00B02BA3">
              <w:rPr>
                <w:sz w:val="17"/>
              </w:rPr>
              <w:t>)</w:t>
            </w:r>
          </w:p>
        </w:tc>
        <w:tc>
          <w:tcPr>
            <w:tcW w:w="900" w:type="dxa"/>
            <w:vAlign w:val="bottom"/>
          </w:tcPr>
          <w:p w14:paraId="1210EC7E" w14:textId="77777777" w:rsidR="00BB7340" w:rsidRPr="00B02BA3" w:rsidRDefault="00BB7340" w:rsidP="00BB7340">
            <w:pPr>
              <w:spacing w:before="40" w:after="40"/>
              <w:jc w:val="right"/>
              <w:rPr>
                <w:sz w:val="17"/>
              </w:rPr>
            </w:pPr>
            <w:r w:rsidRPr="00B02BA3">
              <w:rPr>
                <w:sz w:val="17"/>
              </w:rPr>
              <w:t>(110</w:t>
            </w:r>
            <w:r>
              <w:rPr>
                <w:sz w:val="17"/>
              </w:rPr>
              <w:t>.0</w:t>
            </w:r>
          </w:p>
        </w:tc>
        <w:tc>
          <w:tcPr>
            <w:tcW w:w="234" w:type="dxa"/>
            <w:vAlign w:val="bottom"/>
          </w:tcPr>
          <w:p w14:paraId="2E4D4EA1" w14:textId="77777777" w:rsidR="00BB7340" w:rsidRPr="00B02BA3" w:rsidRDefault="00BB7340" w:rsidP="00BB7340">
            <w:pPr>
              <w:spacing w:before="40" w:after="40"/>
              <w:rPr>
                <w:sz w:val="17"/>
              </w:rPr>
            </w:pPr>
            <w:r w:rsidRPr="00B02BA3">
              <w:rPr>
                <w:sz w:val="17"/>
              </w:rPr>
              <w:t>)</w:t>
            </w:r>
          </w:p>
        </w:tc>
        <w:tc>
          <w:tcPr>
            <w:tcW w:w="900" w:type="dxa"/>
            <w:vAlign w:val="bottom"/>
          </w:tcPr>
          <w:p w14:paraId="66CE3A72" w14:textId="77777777" w:rsidR="00BB7340" w:rsidRPr="00B02BA3" w:rsidRDefault="00BB7340" w:rsidP="00BB7340">
            <w:pPr>
              <w:spacing w:before="40" w:after="40"/>
              <w:jc w:val="right"/>
              <w:rPr>
                <w:sz w:val="17"/>
              </w:rPr>
            </w:pPr>
            <w:r>
              <w:rPr>
                <w:sz w:val="17"/>
              </w:rPr>
              <w:t>(81.8</w:t>
            </w:r>
          </w:p>
        </w:tc>
        <w:tc>
          <w:tcPr>
            <w:tcW w:w="234" w:type="dxa"/>
            <w:vAlign w:val="bottom"/>
          </w:tcPr>
          <w:p w14:paraId="10A51DF4" w14:textId="77777777" w:rsidR="00BB7340" w:rsidRPr="00B02BA3" w:rsidRDefault="00BB7340" w:rsidP="00BB7340">
            <w:pPr>
              <w:spacing w:before="40" w:after="40"/>
              <w:rPr>
                <w:sz w:val="17"/>
              </w:rPr>
            </w:pPr>
            <w:r>
              <w:rPr>
                <w:sz w:val="17"/>
              </w:rPr>
              <w:t>)</w:t>
            </w:r>
          </w:p>
        </w:tc>
        <w:tc>
          <w:tcPr>
            <w:tcW w:w="900" w:type="dxa"/>
            <w:vAlign w:val="bottom"/>
          </w:tcPr>
          <w:p w14:paraId="297ADAC1" w14:textId="77777777" w:rsidR="00BB7340" w:rsidRPr="00B02BA3" w:rsidRDefault="00BB7340" w:rsidP="00BB7340">
            <w:pPr>
              <w:spacing w:before="40" w:after="40"/>
              <w:jc w:val="right"/>
              <w:rPr>
                <w:sz w:val="17"/>
              </w:rPr>
            </w:pPr>
            <w:r>
              <w:rPr>
                <w:sz w:val="17"/>
              </w:rPr>
              <w:t>(77.7</w:t>
            </w:r>
          </w:p>
        </w:tc>
        <w:tc>
          <w:tcPr>
            <w:tcW w:w="234" w:type="dxa"/>
            <w:vAlign w:val="bottom"/>
          </w:tcPr>
          <w:p w14:paraId="6926F208" w14:textId="77777777" w:rsidR="00BB7340" w:rsidRPr="00B02BA3" w:rsidRDefault="00BB7340" w:rsidP="00BB7340">
            <w:pPr>
              <w:spacing w:before="40" w:after="40"/>
              <w:rPr>
                <w:sz w:val="17"/>
              </w:rPr>
            </w:pPr>
          </w:p>
        </w:tc>
      </w:tr>
      <w:tr w:rsidR="00695A65" w:rsidRPr="00B02BA3" w14:paraId="597CBEFB" w14:textId="77777777" w:rsidTr="00272B36">
        <w:tc>
          <w:tcPr>
            <w:tcW w:w="3141" w:type="dxa"/>
            <w:vAlign w:val="bottom"/>
          </w:tcPr>
          <w:p w14:paraId="65CDB216" w14:textId="77777777" w:rsidR="00695A65" w:rsidRPr="00BB7340" w:rsidRDefault="00695A65" w:rsidP="00695A65">
            <w:pPr>
              <w:tabs>
                <w:tab w:val="right" w:leader="dot" w:pos="3163"/>
              </w:tabs>
              <w:bidi/>
              <w:spacing w:before="40" w:after="40"/>
              <w:ind w:firstLine="407"/>
              <w:rPr>
                <w:sz w:val="12"/>
                <w:szCs w:val="18"/>
              </w:rPr>
            </w:pPr>
            <w:r w:rsidRPr="00BB7340">
              <w:rPr>
                <w:rFonts w:hint="cs"/>
                <w:sz w:val="12"/>
                <w:szCs w:val="18"/>
                <w:rtl/>
              </w:rPr>
              <w:t>الدخل التمويلي</w:t>
            </w:r>
            <w:r w:rsidRPr="00BB7340">
              <w:rPr>
                <w:sz w:val="12"/>
                <w:szCs w:val="18"/>
              </w:rPr>
              <w:tab/>
            </w:r>
          </w:p>
        </w:tc>
        <w:tc>
          <w:tcPr>
            <w:tcW w:w="235" w:type="dxa"/>
            <w:vAlign w:val="bottom"/>
          </w:tcPr>
          <w:p w14:paraId="1F35F359" w14:textId="77777777" w:rsidR="00695A65" w:rsidRPr="00B02BA3" w:rsidRDefault="00695A65" w:rsidP="00695A65">
            <w:pPr>
              <w:spacing w:before="40" w:after="40"/>
              <w:rPr>
                <w:sz w:val="17"/>
              </w:rPr>
            </w:pPr>
          </w:p>
        </w:tc>
        <w:tc>
          <w:tcPr>
            <w:tcW w:w="901" w:type="dxa"/>
            <w:vAlign w:val="bottom"/>
          </w:tcPr>
          <w:p w14:paraId="73C572BF" w14:textId="77777777" w:rsidR="00695A65" w:rsidRPr="00B02BA3" w:rsidRDefault="00695A65" w:rsidP="00695A65">
            <w:pPr>
              <w:spacing w:before="40" w:after="40"/>
              <w:jc w:val="right"/>
              <w:rPr>
                <w:sz w:val="17"/>
              </w:rPr>
            </w:pPr>
            <w:r w:rsidRPr="00B02BA3">
              <w:rPr>
                <w:sz w:val="17"/>
              </w:rPr>
              <w:t>9</w:t>
            </w:r>
            <w:r>
              <w:rPr>
                <w:sz w:val="17"/>
              </w:rPr>
              <w:t>.8</w:t>
            </w:r>
          </w:p>
        </w:tc>
        <w:tc>
          <w:tcPr>
            <w:tcW w:w="235" w:type="dxa"/>
            <w:vAlign w:val="bottom"/>
          </w:tcPr>
          <w:p w14:paraId="78D00C49" w14:textId="77777777" w:rsidR="00695A65" w:rsidRPr="00B02BA3" w:rsidRDefault="00695A65" w:rsidP="00695A65">
            <w:pPr>
              <w:spacing w:before="40" w:after="40"/>
              <w:rPr>
                <w:sz w:val="17"/>
              </w:rPr>
            </w:pPr>
          </w:p>
        </w:tc>
        <w:tc>
          <w:tcPr>
            <w:tcW w:w="900" w:type="dxa"/>
            <w:vAlign w:val="bottom"/>
          </w:tcPr>
          <w:p w14:paraId="607432F2" w14:textId="77777777" w:rsidR="00695A65" w:rsidRPr="00B02BA3" w:rsidRDefault="00695A65" w:rsidP="00695A65">
            <w:pPr>
              <w:spacing w:before="40" w:after="40"/>
              <w:jc w:val="right"/>
              <w:rPr>
                <w:sz w:val="17"/>
              </w:rPr>
            </w:pPr>
            <w:r w:rsidRPr="00B02BA3">
              <w:rPr>
                <w:sz w:val="17"/>
              </w:rPr>
              <w:t>5</w:t>
            </w:r>
            <w:r>
              <w:rPr>
                <w:sz w:val="17"/>
              </w:rPr>
              <w:t>.2</w:t>
            </w:r>
          </w:p>
        </w:tc>
        <w:tc>
          <w:tcPr>
            <w:tcW w:w="234" w:type="dxa"/>
            <w:vAlign w:val="bottom"/>
          </w:tcPr>
          <w:p w14:paraId="64D35371" w14:textId="77777777" w:rsidR="00695A65" w:rsidRPr="00B02BA3" w:rsidRDefault="00695A65" w:rsidP="00695A65">
            <w:pPr>
              <w:spacing w:before="40" w:after="40"/>
              <w:rPr>
                <w:sz w:val="17"/>
              </w:rPr>
            </w:pPr>
          </w:p>
        </w:tc>
        <w:tc>
          <w:tcPr>
            <w:tcW w:w="900" w:type="dxa"/>
            <w:vAlign w:val="bottom"/>
          </w:tcPr>
          <w:p w14:paraId="1A34F49D" w14:textId="77777777" w:rsidR="00695A65" w:rsidRPr="00B02BA3" w:rsidRDefault="00695A65" w:rsidP="00695A65">
            <w:pPr>
              <w:spacing w:before="40" w:after="40"/>
              <w:jc w:val="right"/>
              <w:rPr>
                <w:sz w:val="17"/>
              </w:rPr>
            </w:pPr>
            <w:r w:rsidRPr="00B02BA3">
              <w:rPr>
                <w:sz w:val="17"/>
              </w:rPr>
              <w:t>34</w:t>
            </w:r>
            <w:r>
              <w:rPr>
                <w:sz w:val="17"/>
              </w:rPr>
              <w:t>.0</w:t>
            </w:r>
          </w:p>
        </w:tc>
        <w:tc>
          <w:tcPr>
            <w:tcW w:w="234" w:type="dxa"/>
            <w:vAlign w:val="bottom"/>
          </w:tcPr>
          <w:p w14:paraId="7C98E759" w14:textId="77777777" w:rsidR="00695A65" w:rsidRPr="00B02BA3" w:rsidRDefault="00695A65" w:rsidP="00695A65">
            <w:pPr>
              <w:spacing w:before="40" w:after="40"/>
              <w:rPr>
                <w:sz w:val="17"/>
              </w:rPr>
            </w:pPr>
          </w:p>
        </w:tc>
        <w:tc>
          <w:tcPr>
            <w:tcW w:w="900" w:type="dxa"/>
            <w:vAlign w:val="bottom"/>
          </w:tcPr>
          <w:p w14:paraId="10F04A01" w14:textId="77777777" w:rsidR="00695A65" w:rsidRPr="00B02BA3" w:rsidRDefault="00695A65" w:rsidP="00695A65">
            <w:pPr>
              <w:spacing w:before="40" w:after="40"/>
              <w:jc w:val="right"/>
              <w:rPr>
                <w:sz w:val="17"/>
              </w:rPr>
            </w:pPr>
            <w:r>
              <w:rPr>
                <w:sz w:val="17"/>
              </w:rPr>
              <w:t>28.7</w:t>
            </w:r>
          </w:p>
        </w:tc>
        <w:tc>
          <w:tcPr>
            <w:tcW w:w="234" w:type="dxa"/>
            <w:vAlign w:val="bottom"/>
          </w:tcPr>
          <w:p w14:paraId="6D53C7D3" w14:textId="77777777" w:rsidR="00695A65" w:rsidRPr="00B02BA3" w:rsidRDefault="00695A65" w:rsidP="00695A65">
            <w:pPr>
              <w:spacing w:before="40" w:after="40"/>
              <w:rPr>
                <w:sz w:val="17"/>
              </w:rPr>
            </w:pPr>
          </w:p>
        </w:tc>
        <w:tc>
          <w:tcPr>
            <w:tcW w:w="900" w:type="dxa"/>
            <w:vAlign w:val="bottom"/>
          </w:tcPr>
          <w:p w14:paraId="4225E416" w14:textId="77777777" w:rsidR="00695A65" w:rsidRPr="00B02BA3" w:rsidRDefault="00695A65" w:rsidP="00695A65">
            <w:pPr>
              <w:spacing w:before="40" w:after="40"/>
              <w:jc w:val="right"/>
              <w:rPr>
                <w:sz w:val="17"/>
              </w:rPr>
            </w:pPr>
            <w:r>
              <w:rPr>
                <w:sz w:val="17"/>
              </w:rPr>
              <w:t>18.6</w:t>
            </w:r>
          </w:p>
        </w:tc>
        <w:tc>
          <w:tcPr>
            <w:tcW w:w="234" w:type="dxa"/>
            <w:vAlign w:val="bottom"/>
          </w:tcPr>
          <w:p w14:paraId="42ABF257" w14:textId="77777777" w:rsidR="00695A65" w:rsidRPr="00B02BA3" w:rsidRDefault="00695A65" w:rsidP="00695A65">
            <w:pPr>
              <w:spacing w:before="40" w:after="40"/>
              <w:rPr>
                <w:sz w:val="17"/>
              </w:rPr>
            </w:pPr>
          </w:p>
        </w:tc>
      </w:tr>
      <w:tr w:rsidR="00BB7340" w:rsidRPr="00B02BA3" w14:paraId="44297B5A" w14:textId="77777777" w:rsidTr="00272B36">
        <w:tc>
          <w:tcPr>
            <w:tcW w:w="3141" w:type="dxa"/>
            <w:vAlign w:val="bottom"/>
          </w:tcPr>
          <w:p w14:paraId="21B7990C" w14:textId="77777777" w:rsidR="00BB7340" w:rsidRPr="00BB7340" w:rsidRDefault="00BB7340" w:rsidP="00BB7340">
            <w:pPr>
              <w:tabs>
                <w:tab w:val="right" w:leader="dot" w:pos="3163"/>
              </w:tabs>
              <w:bidi/>
              <w:spacing w:before="40" w:after="40"/>
              <w:ind w:left="407"/>
              <w:rPr>
                <w:sz w:val="12"/>
                <w:szCs w:val="18"/>
              </w:rPr>
            </w:pPr>
            <w:r w:rsidRPr="00BB7340">
              <w:rPr>
                <w:sz w:val="12"/>
                <w:szCs w:val="18"/>
                <w:rtl/>
              </w:rPr>
              <w:t>حصة نتائج الاستثمارات المحسوبة على أساس حقوق الملكية</w:t>
            </w:r>
            <w:r w:rsidRPr="00BB7340">
              <w:rPr>
                <w:sz w:val="12"/>
                <w:szCs w:val="18"/>
              </w:rPr>
              <w:tab/>
            </w:r>
          </w:p>
        </w:tc>
        <w:tc>
          <w:tcPr>
            <w:tcW w:w="235" w:type="dxa"/>
            <w:vAlign w:val="bottom"/>
          </w:tcPr>
          <w:p w14:paraId="1B77307C" w14:textId="77777777" w:rsidR="00BB7340" w:rsidRPr="00B02BA3" w:rsidRDefault="00BB7340" w:rsidP="00BB7340">
            <w:pPr>
              <w:spacing w:before="40" w:after="40"/>
              <w:rPr>
                <w:sz w:val="17"/>
              </w:rPr>
            </w:pPr>
          </w:p>
        </w:tc>
        <w:tc>
          <w:tcPr>
            <w:tcW w:w="901" w:type="dxa"/>
            <w:tcBorders>
              <w:bottom w:val="single" w:sz="4" w:space="0" w:color="auto"/>
            </w:tcBorders>
            <w:vAlign w:val="bottom"/>
          </w:tcPr>
          <w:p w14:paraId="468BD7B1" w14:textId="398554AC" w:rsidR="00BB7340" w:rsidRPr="00B02BA3" w:rsidRDefault="00BB7340" w:rsidP="00BB7340">
            <w:pPr>
              <w:spacing w:before="40" w:after="40"/>
              <w:jc w:val="right"/>
              <w:rPr>
                <w:sz w:val="17"/>
              </w:rPr>
            </w:pPr>
            <w:r w:rsidRPr="00B02BA3">
              <w:rPr>
                <w:sz w:val="17"/>
              </w:rPr>
              <w:t>8</w:t>
            </w:r>
            <w:r>
              <w:rPr>
                <w:sz w:val="17"/>
              </w:rPr>
              <w:t>.</w:t>
            </w:r>
            <w:r w:rsidR="008E7078">
              <w:rPr>
                <w:sz w:val="17"/>
              </w:rPr>
              <w:t>6</w:t>
            </w:r>
          </w:p>
        </w:tc>
        <w:tc>
          <w:tcPr>
            <w:tcW w:w="235" w:type="dxa"/>
            <w:vAlign w:val="bottom"/>
          </w:tcPr>
          <w:p w14:paraId="7DDE888C" w14:textId="77777777" w:rsidR="00BB7340" w:rsidRPr="00B02BA3" w:rsidRDefault="00BB7340" w:rsidP="00BB7340">
            <w:pPr>
              <w:spacing w:before="40" w:after="40"/>
              <w:rPr>
                <w:sz w:val="17"/>
              </w:rPr>
            </w:pPr>
          </w:p>
        </w:tc>
        <w:tc>
          <w:tcPr>
            <w:tcW w:w="900" w:type="dxa"/>
            <w:tcBorders>
              <w:bottom w:val="single" w:sz="4" w:space="0" w:color="auto"/>
            </w:tcBorders>
            <w:vAlign w:val="bottom"/>
          </w:tcPr>
          <w:p w14:paraId="5D296E99" w14:textId="77777777" w:rsidR="00BB7340" w:rsidRPr="00BC44E5" w:rsidRDefault="00BB7340" w:rsidP="00BB7340">
            <w:pPr>
              <w:spacing w:before="40" w:after="40"/>
              <w:jc w:val="right"/>
              <w:rPr>
                <w:sz w:val="17"/>
                <w:szCs w:val="17"/>
              </w:rPr>
            </w:pPr>
            <w:r w:rsidRPr="00B02BA3">
              <w:rPr>
                <w:sz w:val="17"/>
              </w:rPr>
              <w:t>(17</w:t>
            </w:r>
            <w:r>
              <w:rPr>
                <w:sz w:val="17"/>
              </w:rPr>
              <w:t>.6</w:t>
            </w:r>
            <w:r w:rsidR="00E714F7">
              <w:rPr>
                <w:rFonts w:hint="cs"/>
                <w:sz w:val="17"/>
                <w:szCs w:val="17"/>
                <w:rtl/>
              </w:rPr>
              <w:t>(</w:t>
            </w:r>
          </w:p>
        </w:tc>
        <w:tc>
          <w:tcPr>
            <w:tcW w:w="234" w:type="dxa"/>
            <w:vAlign w:val="bottom"/>
          </w:tcPr>
          <w:p w14:paraId="1984DAA5" w14:textId="77777777" w:rsidR="00BB7340" w:rsidRPr="00B02BA3" w:rsidRDefault="00BB7340" w:rsidP="00BB7340">
            <w:pPr>
              <w:spacing w:before="40" w:after="40"/>
              <w:rPr>
                <w:sz w:val="17"/>
              </w:rPr>
            </w:pPr>
          </w:p>
        </w:tc>
        <w:tc>
          <w:tcPr>
            <w:tcW w:w="900" w:type="dxa"/>
            <w:tcBorders>
              <w:bottom w:val="single" w:sz="4" w:space="0" w:color="auto"/>
            </w:tcBorders>
            <w:vAlign w:val="bottom"/>
          </w:tcPr>
          <w:p w14:paraId="18C4B779" w14:textId="77777777" w:rsidR="00BB7340" w:rsidRPr="00B02BA3" w:rsidRDefault="00BB7340" w:rsidP="00BB7340">
            <w:pPr>
              <w:spacing w:before="40" w:after="40"/>
              <w:jc w:val="right"/>
              <w:rPr>
                <w:sz w:val="17"/>
              </w:rPr>
            </w:pPr>
            <w:r w:rsidRPr="00B02BA3">
              <w:rPr>
                <w:sz w:val="17"/>
              </w:rPr>
              <w:t>2</w:t>
            </w:r>
            <w:r>
              <w:rPr>
                <w:sz w:val="17"/>
              </w:rPr>
              <w:t>.6</w:t>
            </w:r>
          </w:p>
        </w:tc>
        <w:tc>
          <w:tcPr>
            <w:tcW w:w="234" w:type="dxa"/>
            <w:vAlign w:val="bottom"/>
          </w:tcPr>
          <w:p w14:paraId="4DBF5407" w14:textId="77777777" w:rsidR="00BB7340" w:rsidRPr="00B02BA3" w:rsidRDefault="00BB7340" w:rsidP="00BB7340">
            <w:pPr>
              <w:spacing w:before="40" w:after="40"/>
              <w:rPr>
                <w:sz w:val="17"/>
              </w:rPr>
            </w:pPr>
          </w:p>
        </w:tc>
        <w:tc>
          <w:tcPr>
            <w:tcW w:w="900" w:type="dxa"/>
            <w:tcBorders>
              <w:bottom w:val="single" w:sz="4" w:space="0" w:color="auto"/>
            </w:tcBorders>
            <w:vAlign w:val="bottom"/>
          </w:tcPr>
          <w:p w14:paraId="40077DCA" w14:textId="77777777" w:rsidR="00BB7340" w:rsidRPr="00B02BA3" w:rsidRDefault="00BB7340" w:rsidP="00BB7340">
            <w:pPr>
              <w:spacing w:before="40" w:after="40"/>
              <w:jc w:val="right"/>
              <w:rPr>
                <w:sz w:val="17"/>
              </w:rPr>
            </w:pPr>
            <w:r>
              <w:rPr>
                <w:sz w:val="17"/>
              </w:rPr>
              <w:t>1.5</w:t>
            </w:r>
          </w:p>
        </w:tc>
        <w:tc>
          <w:tcPr>
            <w:tcW w:w="234" w:type="dxa"/>
            <w:vAlign w:val="bottom"/>
          </w:tcPr>
          <w:p w14:paraId="7A7181C6" w14:textId="77777777" w:rsidR="00BB7340" w:rsidRPr="00B02BA3" w:rsidRDefault="00BB7340" w:rsidP="00BB7340">
            <w:pPr>
              <w:spacing w:before="40" w:after="40"/>
              <w:rPr>
                <w:sz w:val="17"/>
              </w:rPr>
            </w:pPr>
          </w:p>
        </w:tc>
        <w:tc>
          <w:tcPr>
            <w:tcW w:w="900" w:type="dxa"/>
            <w:tcBorders>
              <w:bottom w:val="single" w:sz="4" w:space="0" w:color="auto"/>
            </w:tcBorders>
            <w:vAlign w:val="bottom"/>
          </w:tcPr>
          <w:p w14:paraId="6F8C8F80" w14:textId="77777777" w:rsidR="00BB7340" w:rsidRPr="00B02BA3" w:rsidRDefault="00BB7340" w:rsidP="00BB7340">
            <w:pPr>
              <w:spacing w:before="40" w:after="40"/>
              <w:jc w:val="right"/>
              <w:rPr>
                <w:sz w:val="17"/>
              </w:rPr>
            </w:pPr>
            <w:r>
              <w:rPr>
                <w:sz w:val="17"/>
              </w:rPr>
              <w:t>2.</w:t>
            </w:r>
            <w:r w:rsidR="00F57C46">
              <w:rPr>
                <w:sz w:val="17"/>
              </w:rPr>
              <w:t>4</w:t>
            </w:r>
          </w:p>
        </w:tc>
        <w:tc>
          <w:tcPr>
            <w:tcW w:w="234" w:type="dxa"/>
            <w:vAlign w:val="bottom"/>
          </w:tcPr>
          <w:p w14:paraId="7E6A0407" w14:textId="77777777" w:rsidR="00BB7340" w:rsidRPr="00B02BA3" w:rsidRDefault="00BB7340" w:rsidP="00BB7340">
            <w:pPr>
              <w:spacing w:before="40" w:after="40"/>
              <w:rPr>
                <w:sz w:val="17"/>
              </w:rPr>
            </w:pPr>
          </w:p>
        </w:tc>
      </w:tr>
      <w:tr w:rsidR="00607495" w:rsidRPr="00B02BA3" w14:paraId="2D346120" w14:textId="77777777" w:rsidTr="00272B36">
        <w:tc>
          <w:tcPr>
            <w:tcW w:w="3141" w:type="dxa"/>
            <w:vAlign w:val="bottom"/>
          </w:tcPr>
          <w:p w14:paraId="066DFA73" w14:textId="77777777" w:rsidR="00607495" w:rsidRPr="00BB7340" w:rsidRDefault="00607495" w:rsidP="00607495">
            <w:pPr>
              <w:tabs>
                <w:tab w:val="right" w:leader="dot" w:pos="3163"/>
              </w:tabs>
              <w:bidi/>
              <w:spacing w:before="40" w:after="40"/>
              <w:rPr>
                <w:b/>
                <w:bCs/>
                <w:sz w:val="12"/>
                <w:szCs w:val="18"/>
              </w:rPr>
            </w:pPr>
            <w:r w:rsidRPr="00BB7340">
              <w:rPr>
                <w:rFonts w:hint="cs"/>
                <w:b/>
                <w:bCs/>
                <w:sz w:val="12"/>
                <w:szCs w:val="18"/>
                <w:rtl/>
              </w:rPr>
              <w:t>الأرباح قبل حساب الضرائب</w:t>
            </w:r>
            <w:r w:rsidRPr="00BB7340">
              <w:rPr>
                <w:sz w:val="12"/>
                <w:szCs w:val="18"/>
              </w:rPr>
              <w:tab/>
            </w:r>
          </w:p>
        </w:tc>
        <w:tc>
          <w:tcPr>
            <w:tcW w:w="235" w:type="dxa"/>
            <w:vAlign w:val="bottom"/>
          </w:tcPr>
          <w:p w14:paraId="442DBD95" w14:textId="77777777" w:rsidR="00607495" w:rsidRPr="00B02BA3" w:rsidRDefault="00607495" w:rsidP="00607495">
            <w:pPr>
              <w:spacing w:before="40" w:after="40"/>
              <w:rPr>
                <w:b/>
                <w:bCs/>
                <w:sz w:val="17"/>
              </w:rPr>
            </w:pPr>
          </w:p>
        </w:tc>
        <w:tc>
          <w:tcPr>
            <w:tcW w:w="901" w:type="dxa"/>
            <w:tcBorders>
              <w:top w:val="single" w:sz="4" w:space="0" w:color="auto"/>
            </w:tcBorders>
            <w:vAlign w:val="bottom"/>
          </w:tcPr>
          <w:p w14:paraId="29CED2A0" w14:textId="77777777" w:rsidR="00607495" w:rsidRPr="00B02BA3" w:rsidRDefault="0042794E" w:rsidP="00607495">
            <w:pPr>
              <w:spacing w:before="40" w:after="40"/>
              <w:jc w:val="right"/>
              <w:rPr>
                <w:sz w:val="17"/>
              </w:rPr>
            </w:pPr>
            <w:r>
              <w:rPr>
                <w:sz w:val="17"/>
              </w:rPr>
              <w:t>55.0</w:t>
            </w:r>
          </w:p>
        </w:tc>
        <w:tc>
          <w:tcPr>
            <w:tcW w:w="235" w:type="dxa"/>
            <w:vAlign w:val="bottom"/>
          </w:tcPr>
          <w:p w14:paraId="7E730143" w14:textId="77777777" w:rsidR="00607495" w:rsidRPr="00B02BA3" w:rsidRDefault="00607495" w:rsidP="00607495">
            <w:pPr>
              <w:spacing w:before="40" w:after="40"/>
              <w:rPr>
                <w:sz w:val="17"/>
              </w:rPr>
            </w:pPr>
          </w:p>
        </w:tc>
        <w:tc>
          <w:tcPr>
            <w:tcW w:w="900" w:type="dxa"/>
            <w:tcBorders>
              <w:top w:val="single" w:sz="4" w:space="0" w:color="auto"/>
            </w:tcBorders>
            <w:vAlign w:val="bottom"/>
          </w:tcPr>
          <w:p w14:paraId="1D046FF0" w14:textId="77777777" w:rsidR="00607495" w:rsidRPr="00B02BA3" w:rsidRDefault="0042794E" w:rsidP="00607495">
            <w:pPr>
              <w:spacing w:before="40" w:after="40"/>
              <w:jc w:val="right"/>
              <w:rPr>
                <w:sz w:val="17"/>
              </w:rPr>
            </w:pPr>
            <w:r>
              <w:rPr>
                <w:sz w:val="17"/>
              </w:rPr>
              <w:t>106.7</w:t>
            </w:r>
          </w:p>
        </w:tc>
        <w:tc>
          <w:tcPr>
            <w:tcW w:w="234" w:type="dxa"/>
            <w:vAlign w:val="bottom"/>
          </w:tcPr>
          <w:p w14:paraId="4E4702C2" w14:textId="77777777" w:rsidR="00607495" w:rsidRPr="00B02BA3" w:rsidRDefault="00607495" w:rsidP="00607495">
            <w:pPr>
              <w:spacing w:before="40" w:after="40"/>
              <w:rPr>
                <w:sz w:val="17"/>
              </w:rPr>
            </w:pPr>
          </w:p>
        </w:tc>
        <w:tc>
          <w:tcPr>
            <w:tcW w:w="900" w:type="dxa"/>
            <w:tcBorders>
              <w:top w:val="single" w:sz="4" w:space="0" w:color="auto"/>
            </w:tcBorders>
            <w:vAlign w:val="bottom"/>
          </w:tcPr>
          <w:p w14:paraId="1541ABA3" w14:textId="77777777" w:rsidR="00607495" w:rsidRPr="00B02BA3" w:rsidRDefault="0042794E" w:rsidP="00607495">
            <w:pPr>
              <w:spacing w:before="40" w:after="40"/>
              <w:jc w:val="right"/>
              <w:rPr>
                <w:sz w:val="17"/>
              </w:rPr>
            </w:pPr>
            <w:r>
              <w:rPr>
                <w:sz w:val="17"/>
              </w:rPr>
              <w:t>396.9</w:t>
            </w:r>
          </w:p>
        </w:tc>
        <w:tc>
          <w:tcPr>
            <w:tcW w:w="234" w:type="dxa"/>
            <w:vAlign w:val="bottom"/>
          </w:tcPr>
          <w:p w14:paraId="136259EB" w14:textId="77777777" w:rsidR="00607495" w:rsidRPr="00B02BA3" w:rsidRDefault="00607495" w:rsidP="00607495">
            <w:pPr>
              <w:spacing w:before="40" w:after="40"/>
              <w:rPr>
                <w:sz w:val="17"/>
              </w:rPr>
            </w:pPr>
          </w:p>
        </w:tc>
        <w:tc>
          <w:tcPr>
            <w:tcW w:w="900" w:type="dxa"/>
            <w:tcBorders>
              <w:top w:val="single" w:sz="4" w:space="0" w:color="auto"/>
            </w:tcBorders>
            <w:vAlign w:val="bottom"/>
          </w:tcPr>
          <w:p w14:paraId="3F204DB5" w14:textId="77777777" w:rsidR="00607495" w:rsidRPr="00B02BA3" w:rsidRDefault="0042794E" w:rsidP="00607495">
            <w:pPr>
              <w:spacing w:before="40" w:after="40"/>
              <w:jc w:val="right"/>
              <w:rPr>
                <w:sz w:val="17"/>
              </w:rPr>
            </w:pPr>
            <w:r>
              <w:rPr>
                <w:sz w:val="17"/>
              </w:rPr>
              <w:t>46.9</w:t>
            </w:r>
          </w:p>
        </w:tc>
        <w:tc>
          <w:tcPr>
            <w:tcW w:w="234" w:type="dxa"/>
            <w:vAlign w:val="bottom"/>
          </w:tcPr>
          <w:p w14:paraId="55520194" w14:textId="77777777" w:rsidR="00607495" w:rsidRPr="00B02BA3" w:rsidRDefault="00607495" w:rsidP="00607495">
            <w:pPr>
              <w:spacing w:before="40" w:after="40"/>
              <w:rPr>
                <w:sz w:val="17"/>
              </w:rPr>
            </w:pPr>
          </w:p>
        </w:tc>
        <w:tc>
          <w:tcPr>
            <w:tcW w:w="900" w:type="dxa"/>
            <w:tcBorders>
              <w:top w:val="single" w:sz="4" w:space="0" w:color="auto"/>
            </w:tcBorders>
            <w:vAlign w:val="bottom"/>
          </w:tcPr>
          <w:p w14:paraId="46136906" w14:textId="77777777" w:rsidR="00607495" w:rsidRPr="00B02BA3" w:rsidRDefault="00607495" w:rsidP="00607495">
            <w:pPr>
              <w:spacing w:before="40" w:after="40"/>
              <w:jc w:val="right"/>
              <w:rPr>
                <w:sz w:val="17"/>
              </w:rPr>
            </w:pPr>
            <w:r>
              <w:rPr>
                <w:sz w:val="17"/>
              </w:rPr>
              <w:t>117.2</w:t>
            </w:r>
          </w:p>
        </w:tc>
        <w:tc>
          <w:tcPr>
            <w:tcW w:w="234" w:type="dxa"/>
            <w:vAlign w:val="bottom"/>
          </w:tcPr>
          <w:p w14:paraId="71B0F859" w14:textId="77777777" w:rsidR="00607495" w:rsidRPr="00B02BA3" w:rsidRDefault="00607495" w:rsidP="00607495">
            <w:pPr>
              <w:spacing w:before="40" w:after="40"/>
              <w:rPr>
                <w:b/>
                <w:bCs/>
                <w:sz w:val="17"/>
              </w:rPr>
            </w:pPr>
          </w:p>
        </w:tc>
      </w:tr>
      <w:tr w:rsidR="00BB7340" w:rsidRPr="00B02BA3" w14:paraId="5A8C5CD1" w14:textId="77777777" w:rsidTr="00272B36">
        <w:tc>
          <w:tcPr>
            <w:tcW w:w="3141" w:type="dxa"/>
            <w:vAlign w:val="bottom"/>
          </w:tcPr>
          <w:p w14:paraId="4D7EC697" w14:textId="77777777" w:rsidR="00BB7340" w:rsidRPr="00BB7340" w:rsidRDefault="00BB7340" w:rsidP="00BB7340">
            <w:pPr>
              <w:tabs>
                <w:tab w:val="right" w:leader="dot" w:pos="3163"/>
              </w:tabs>
              <w:bidi/>
              <w:spacing w:before="40" w:after="40"/>
              <w:ind w:firstLine="407"/>
              <w:rPr>
                <w:sz w:val="12"/>
                <w:szCs w:val="18"/>
              </w:rPr>
            </w:pPr>
            <w:r w:rsidRPr="00BB7340">
              <w:rPr>
                <w:rFonts w:hint="cs"/>
                <w:sz w:val="12"/>
                <w:szCs w:val="18"/>
                <w:rtl/>
              </w:rPr>
              <w:t>ضريبة الدخل</w:t>
            </w:r>
            <w:r w:rsidRPr="00BB7340">
              <w:rPr>
                <w:sz w:val="12"/>
                <w:szCs w:val="18"/>
              </w:rPr>
              <w:tab/>
            </w:r>
          </w:p>
        </w:tc>
        <w:tc>
          <w:tcPr>
            <w:tcW w:w="235" w:type="dxa"/>
            <w:vAlign w:val="bottom"/>
          </w:tcPr>
          <w:p w14:paraId="13957104" w14:textId="77777777" w:rsidR="00BB7340" w:rsidRPr="00B02BA3" w:rsidRDefault="00BB7340" w:rsidP="00BB7340">
            <w:pPr>
              <w:spacing w:before="40" w:after="40"/>
              <w:rPr>
                <w:sz w:val="17"/>
              </w:rPr>
            </w:pPr>
          </w:p>
        </w:tc>
        <w:tc>
          <w:tcPr>
            <w:tcW w:w="901" w:type="dxa"/>
            <w:tcBorders>
              <w:bottom w:val="single" w:sz="4" w:space="0" w:color="auto"/>
            </w:tcBorders>
            <w:vAlign w:val="bottom"/>
          </w:tcPr>
          <w:p w14:paraId="671D57FB" w14:textId="77777777" w:rsidR="00BB7340" w:rsidRPr="00B02BA3" w:rsidRDefault="00BB7340" w:rsidP="00BB7340">
            <w:pPr>
              <w:spacing w:before="40" w:after="40"/>
              <w:jc w:val="right"/>
              <w:rPr>
                <w:sz w:val="17"/>
              </w:rPr>
            </w:pPr>
            <w:r w:rsidRPr="00B02BA3">
              <w:rPr>
                <w:sz w:val="17"/>
              </w:rPr>
              <w:t>(1</w:t>
            </w:r>
            <w:r>
              <w:rPr>
                <w:sz w:val="17"/>
              </w:rPr>
              <w:t>.1</w:t>
            </w:r>
            <w:r w:rsidR="0013331C">
              <w:rPr>
                <w:sz w:val="17"/>
              </w:rPr>
              <w:t>)</w:t>
            </w:r>
          </w:p>
        </w:tc>
        <w:tc>
          <w:tcPr>
            <w:tcW w:w="235" w:type="dxa"/>
            <w:vAlign w:val="bottom"/>
          </w:tcPr>
          <w:p w14:paraId="6BC5147E" w14:textId="77777777" w:rsidR="00BB7340" w:rsidRPr="00B02BA3" w:rsidRDefault="00BB7340" w:rsidP="00BB7340">
            <w:pPr>
              <w:spacing w:before="40" w:after="40"/>
              <w:rPr>
                <w:sz w:val="17"/>
              </w:rPr>
            </w:pPr>
          </w:p>
        </w:tc>
        <w:tc>
          <w:tcPr>
            <w:tcW w:w="900" w:type="dxa"/>
            <w:tcBorders>
              <w:bottom w:val="single" w:sz="4" w:space="0" w:color="auto"/>
            </w:tcBorders>
            <w:vAlign w:val="bottom"/>
          </w:tcPr>
          <w:p w14:paraId="02B01D96" w14:textId="77777777" w:rsidR="00BB7340" w:rsidRPr="00B02BA3" w:rsidRDefault="00BB7340" w:rsidP="00BB7340">
            <w:pPr>
              <w:spacing w:before="40" w:after="40"/>
              <w:jc w:val="right"/>
              <w:rPr>
                <w:sz w:val="17"/>
              </w:rPr>
            </w:pPr>
            <w:r w:rsidRPr="00B02BA3">
              <w:rPr>
                <w:sz w:val="17"/>
              </w:rPr>
              <w:t>4</w:t>
            </w:r>
            <w:r>
              <w:rPr>
                <w:sz w:val="17"/>
              </w:rPr>
              <w:t>.4</w:t>
            </w:r>
          </w:p>
        </w:tc>
        <w:tc>
          <w:tcPr>
            <w:tcW w:w="234" w:type="dxa"/>
            <w:vAlign w:val="bottom"/>
          </w:tcPr>
          <w:p w14:paraId="396BC80D" w14:textId="77777777" w:rsidR="00BB7340" w:rsidRPr="00B02BA3" w:rsidRDefault="00BB7340" w:rsidP="00BB7340">
            <w:pPr>
              <w:spacing w:before="40" w:after="40"/>
              <w:rPr>
                <w:sz w:val="17"/>
              </w:rPr>
            </w:pPr>
          </w:p>
        </w:tc>
        <w:tc>
          <w:tcPr>
            <w:tcW w:w="900" w:type="dxa"/>
            <w:tcBorders>
              <w:bottom w:val="single" w:sz="4" w:space="0" w:color="auto"/>
            </w:tcBorders>
            <w:vAlign w:val="bottom"/>
          </w:tcPr>
          <w:p w14:paraId="76E67C47" w14:textId="77777777" w:rsidR="00BB7340" w:rsidRPr="00B02BA3" w:rsidRDefault="00BB7340" w:rsidP="00BB7340">
            <w:pPr>
              <w:spacing w:before="40" w:after="40"/>
              <w:jc w:val="right"/>
              <w:rPr>
                <w:sz w:val="17"/>
              </w:rPr>
            </w:pPr>
            <w:r w:rsidRPr="00B02BA3">
              <w:rPr>
                <w:sz w:val="17"/>
              </w:rPr>
              <w:t>5</w:t>
            </w:r>
            <w:r>
              <w:rPr>
                <w:sz w:val="17"/>
              </w:rPr>
              <w:t>.7</w:t>
            </w:r>
          </w:p>
        </w:tc>
        <w:tc>
          <w:tcPr>
            <w:tcW w:w="234" w:type="dxa"/>
            <w:vAlign w:val="bottom"/>
          </w:tcPr>
          <w:p w14:paraId="033AB3AC" w14:textId="77777777" w:rsidR="00BB7340" w:rsidRPr="00B02BA3" w:rsidRDefault="00BB7340" w:rsidP="00BB7340">
            <w:pPr>
              <w:spacing w:before="40" w:after="40"/>
              <w:rPr>
                <w:sz w:val="17"/>
              </w:rPr>
            </w:pPr>
          </w:p>
        </w:tc>
        <w:tc>
          <w:tcPr>
            <w:tcW w:w="900" w:type="dxa"/>
            <w:tcBorders>
              <w:bottom w:val="single" w:sz="4" w:space="0" w:color="auto"/>
            </w:tcBorders>
            <w:vAlign w:val="bottom"/>
          </w:tcPr>
          <w:p w14:paraId="7E0B74F8" w14:textId="77777777" w:rsidR="00BB7340" w:rsidRPr="00B02BA3" w:rsidRDefault="00BB7340" w:rsidP="00BB7340">
            <w:pPr>
              <w:spacing w:before="40" w:after="40"/>
              <w:jc w:val="right"/>
              <w:rPr>
                <w:sz w:val="17"/>
              </w:rPr>
            </w:pPr>
            <w:r>
              <w:rPr>
                <w:sz w:val="17"/>
              </w:rPr>
              <w:t>0.2</w:t>
            </w:r>
          </w:p>
        </w:tc>
        <w:tc>
          <w:tcPr>
            <w:tcW w:w="234" w:type="dxa"/>
            <w:vAlign w:val="bottom"/>
          </w:tcPr>
          <w:p w14:paraId="189343BC" w14:textId="77777777" w:rsidR="00BB7340" w:rsidRPr="00B02BA3" w:rsidRDefault="00BB7340" w:rsidP="00BB7340">
            <w:pPr>
              <w:spacing w:before="40" w:after="40"/>
              <w:rPr>
                <w:sz w:val="17"/>
              </w:rPr>
            </w:pPr>
          </w:p>
        </w:tc>
        <w:tc>
          <w:tcPr>
            <w:tcW w:w="900" w:type="dxa"/>
            <w:tcBorders>
              <w:bottom w:val="single" w:sz="4" w:space="0" w:color="auto"/>
            </w:tcBorders>
          </w:tcPr>
          <w:p w14:paraId="649A5498" w14:textId="77777777" w:rsidR="00BB7340" w:rsidRPr="00B02BA3" w:rsidRDefault="00BB7340" w:rsidP="00BB7340">
            <w:pPr>
              <w:spacing w:before="40" w:after="40"/>
              <w:jc w:val="right"/>
              <w:rPr>
                <w:sz w:val="17"/>
              </w:rPr>
            </w:pPr>
            <w:r>
              <w:rPr>
                <w:sz w:val="17"/>
              </w:rPr>
              <w:t>2.1</w:t>
            </w:r>
          </w:p>
        </w:tc>
        <w:tc>
          <w:tcPr>
            <w:tcW w:w="234" w:type="dxa"/>
            <w:vAlign w:val="bottom"/>
          </w:tcPr>
          <w:p w14:paraId="0FAC2822" w14:textId="77777777" w:rsidR="00BB7340" w:rsidRPr="00B02BA3" w:rsidRDefault="00BB7340" w:rsidP="00BB7340">
            <w:pPr>
              <w:spacing w:before="40" w:after="40"/>
              <w:rPr>
                <w:sz w:val="17"/>
              </w:rPr>
            </w:pPr>
          </w:p>
        </w:tc>
      </w:tr>
      <w:tr w:rsidR="00D0356B" w:rsidRPr="00B02BA3" w14:paraId="29A909DC" w14:textId="77777777" w:rsidTr="00272B36">
        <w:tc>
          <w:tcPr>
            <w:tcW w:w="3141" w:type="dxa"/>
            <w:vAlign w:val="bottom"/>
          </w:tcPr>
          <w:p w14:paraId="55D1AE2B" w14:textId="77777777" w:rsidR="00D0356B" w:rsidRPr="00BB7340" w:rsidRDefault="00D0356B" w:rsidP="00D0356B">
            <w:pPr>
              <w:tabs>
                <w:tab w:val="right" w:leader="dot" w:pos="3163"/>
              </w:tabs>
              <w:bidi/>
              <w:spacing w:before="40" w:after="40"/>
              <w:rPr>
                <w:b/>
                <w:bCs/>
                <w:sz w:val="12"/>
                <w:szCs w:val="18"/>
              </w:rPr>
            </w:pPr>
            <w:r w:rsidRPr="00BB7340">
              <w:rPr>
                <w:rFonts w:hint="cs"/>
                <w:b/>
                <w:bCs/>
                <w:sz w:val="12"/>
                <w:szCs w:val="18"/>
                <w:rtl/>
              </w:rPr>
              <w:t>الأرباح عن الفترة</w:t>
            </w:r>
            <w:r w:rsidRPr="00BB7340">
              <w:rPr>
                <w:sz w:val="12"/>
                <w:szCs w:val="18"/>
              </w:rPr>
              <w:tab/>
            </w:r>
          </w:p>
        </w:tc>
        <w:tc>
          <w:tcPr>
            <w:tcW w:w="235" w:type="dxa"/>
            <w:vAlign w:val="bottom"/>
          </w:tcPr>
          <w:p w14:paraId="68138534" w14:textId="77777777" w:rsidR="00D0356B" w:rsidRPr="00B02BA3" w:rsidRDefault="00D0356B" w:rsidP="00D0356B">
            <w:pPr>
              <w:spacing w:before="40" w:after="40"/>
              <w:rPr>
                <w:b/>
                <w:bCs/>
                <w:sz w:val="17"/>
              </w:rPr>
            </w:pPr>
          </w:p>
        </w:tc>
        <w:tc>
          <w:tcPr>
            <w:tcW w:w="901" w:type="dxa"/>
            <w:tcBorders>
              <w:top w:val="single" w:sz="4" w:space="0" w:color="auto"/>
              <w:bottom w:val="single" w:sz="4" w:space="0" w:color="auto"/>
            </w:tcBorders>
            <w:vAlign w:val="bottom"/>
          </w:tcPr>
          <w:p w14:paraId="4FEA1712" w14:textId="4B0E132A" w:rsidR="00D0356B" w:rsidRPr="00B02BA3" w:rsidRDefault="0042794E" w:rsidP="00D0356B">
            <w:pPr>
              <w:spacing w:before="40" w:after="40"/>
              <w:jc w:val="right"/>
              <w:rPr>
                <w:sz w:val="17"/>
              </w:rPr>
            </w:pPr>
            <w:r>
              <w:rPr>
                <w:sz w:val="17"/>
              </w:rPr>
              <w:t>53.</w:t>
            </w:r>
            <w:r w:rsidR="00B64E60">
              <w:rPr>
                <w:sz w:val="17"/>
              </w:rPr>
              <w:t>8</w:t>
            </w:r>
          </w:p>
        </w:tc>
        <w:tc>
          <w:tcPr>
            <w:tcW w:w="235" w:type="dxa"/>
            <w:vAlign w:val="bottom"/>
          </w:tcPr>
          <w:p w14:paraId="6283FF0E" w14:textId="77777777" w:rsidR="00D0356B" w:rsidRPr="00B02BA3" w:rsidRDefault="00D0356B" w:rsidP="00D0356B">
            <w:pPr>
              <w:spacing w:before="40" w:after="40"/>
              <w:rPr>
                <w:sz w:val="17"/>
              </w:rPr>
            </w:pPr>
          </w:p>
        </w:tc>
        <w:tc>
          <w:tcPr>
            <w:tcW w:w="900" w:type="dxa"/>
            <w:tcBorders>
              <w:top w:val="single" w:sz="4" w:space="0" w:color="auto"/>
              <w:bottom w:val="single" w:sz="4" w:space="0" w:color="auto"/>
            </w:tcBorders>
            <w:vAlign w:val="bottom"/>
          </w:tcPr>
          <w:p w14:paraId="7CDC9D0A" w14:textId="77777777" w:rsidR="00D0356B" w:rsidRPr="00B02BA3" w:rsidRDefault="0042794E" w:rsidP="00D0356B">
            <w:pPr>
              <w:spacing w:before="40" w:after="40"/>
              <w:jc w:val="right"/>
              <w:rPr>
                <w:sz w:val="17"/>
              </w:rPr>
            </w:pPr>
            <w:r>
              <w:rPr>
                <w:sz w:val="17"/>
              </w:rPr>
              <w:t>111.1</w:t>
            </w:r>
          </w:p>
        </w:tc>
        <w:tc>
          <w:tcPr>
            <w:tcW w:w="234" w:type="dxa"/>
            <w:vAlign w:val="bottom"/>
          </w:tcPr>
          <w:p w14:paraId="36818A7C" w14:textId="77777777" w:rsidR="00D0356B" w:rsidRPr="00B02BA3" w:rsidRDefault="00D0356B" w:rsidP="00D0356B">
            <w:pPr>
              <w:spacing w:before="40" w:after="40"/>
              <w:rPr>
                <w:sz w:val="17"/>
              </w:rPr>
            </w:pPr>
          </w:p>
        </w:tc>
        <w:tc>
          <w:tcPr>
            <w:tcW w:w="900" w:type="dxa"/>
            <w:tcBorders>
              <w:top w:val="single" w:sz="4" w:space="0" w:color="auto"/>
              <w:bottom w:val="single" w:sz="4" w:space="0" w:color="auto"/>
            </w:tcBorders>
            <w:vAlign w:val="bottom"/>
          </w:tcPr>
          <w:p w14:paraId="22AA88A5" w14:textId="77777777" w:rsidR="00D0356B" w:rsidRPr="00B02BA3" w:rsidRDefault="0042794E" w:rsidP="00D0356B">
            <w:pPr>
              <w:spacing w:before="40" w:after="40"/>
              <w:jc w:val="right"/>
              <w:rPr>
                <w:sz w:val="17"/>
              </w:rPr>
            </w:pPr>
            <w:r>
              <w:rPr>
                <w:sz w:val="17"/>
              </w:rPr>
              <w:t>102.6</w:t>
            </w:r>
          </w:p>
        </w:tc>
        <w:tc>
          <w:tcPr>
            <w:tcW w:w="234" w:type="dxa"/>
            <w:vAlign w:val="bottom"/>
          </w:tcPr>
          <w:p w14:paraId="0348F45E" w14:textId="77777777" w:rsidR="00D0356B" w:rsidRPr="00B02BA3" w:rsidRDefault="00D0356B" w:rsidP="00D0356B">
            <w:pPr>
              <w:spacing w:before="40" w:after="40"/>
              <w:rPr>
                <w:sz w:val="17"/>
              </w:rPr>
            </w:pPr>
          </w:p>
        </w:tc>
        <w:tc>
          <w:tcPr>
            <w:tcW w:w="900" w:type="dxa"/>
            <w:tcBorders>
              <w:top w:val="single" w:sz="4" w:space="0" w:color="auto"/>
              <w:bottom w:val="single" w:sz="4" w:space="0" w:color="auto"/>
            </w:tcBorders>
            <w:vAlign w:val="bottom"/>
          </w:tcPr>
          <w:p w14:paraId="20D36622" w14:textId="76021370" w:rsidR="00D0356B" w:rsidRPr="00B02BA3" w:rsidRDefault="00D0356B" w:rsidP="00D0356B">
            <w:pPr>
              <w:spacing w:before="40" w:after="40"/>
              <w:jc w:val="right"/>
              <w:rPr>
                <w:sz w:val="17"/>
              </w:rPr>
            </w:pPr>
            <w:r>
              <w:rPr>
                <w:sz w:val="17"/>
              </w:rPr>
              <w:t>47.</w:t>
            </w:r>
            <w:r w:rsidR="00C915BC">
              <w:rPr>
                <w:sz w:val="17"/>
              </w:rPr>
              <w:t>3</w:t>
            </w:r>
          </w:p>
        </w:tc>
        <w:tc>
          <w:tcPr>
            <w:tcW w:w="234" w:type="dxa"/>
            <w:vAlign w:val="bottom"/>
          </w:tcPr>
          <w:p w14:paraId="6901F1BB" w14:textId="77777777" w:rsidR="00D0356B" w:rsidRPr="00B02BA3" w:rsidRDefault="00D0356B" w:rsidP="00D0356B">
            <w:pPr>
              <w:spacing w:before="40" w:after="40"/>
              <w:rPr>
                <w:sz w:val="17"/>
              </w:rPr>
            </w:pPr>
          </w:p>
        </w:tc>
        <w:tc>
          <w:tcPr>
            <w:tcW w:w="900" w:type="dxa"/>
            <w:tcBorders>
              <w:top w:val="single" w:sz="4" w:space="0" w:color="auto"/>
              <w:bottom w:val="single" w:sz="4" w:space="0" w:color="auto"/>
            </w:tcBorders>
          </w:tcPr>
          <w:p w14:paraId="0AA37970" w14:textId="77777777" w:rsidR="00D0356B" w:rsidRPr="00B02BA3" w:rsidRDefault="00D0356B" w:rsidP="00D0356B">
            <w:pPr>
              <w:spacing w:before="40" w:after="40"/>
              <w:jc w:val="right"/>
              <w:rPr>
                <w:sz w:val="17"/>
              </w:rPr>
            </w:pPr>
            <w:r>
              <w:rPr>
                <w:sz w:val="17"/>
              </w:rPr>
              <w:t>119.2</w:t>
            </w:r>
          </w:p>
        </w:tc>
        <w:tc>
          <w:tcPr>
            <w:tcW w:w="234" w:type="dxa"/>
            <w:vAlign w:val="bottom"/>
          </w:tcPr>
          <w:p w14:paraId="3C7683BF" w14:textId="77777777" w:rsidR="00D0356B" w:rsidRPr="00B02BA3" w:rsidRDefault="00D0356B" w:rsidP="00D0356B">
            <w:pPr>
              <w:spacing w:before="40" w:after="40"/>
              <w:rPr>
                <w:b/>
                <w:bCs/>
                <w:sz w:val="17"/>
              </w:rPr>
            </w:pPr>
          </w:p>
        </w:tc>
      </w:tr>
      <w:tr w:rsidR="00BB7340" w:rsidRPr="00B02BA3" w14:paraId="5560F07A" w14:textId="77777777" w:rsidTr="00272B36">
        <w:tc>
          <w:tcPr>
            <w:tcW w:w="3141" w:type="dxa"/>
            <w:vAlign w:val="bottom"/>
          </w:tcPr>
          <w:p w14:paraId="54EBFDBC" w14:textId="77777777" w:rsidR="00BB7340" w:rsidRPr="00BB7340" w:rsidRDefault="00BB7340" w:rsidP="00BB7340">
            <w:pPr>
              <w:tabs>
                <w:tab w:val="right" w:leader="dot" w:pos="3163"/>
              </w:tabs>
              <w:bidi/>
              <w:spacing w:before="40" w:after="40"/>
              <w:rPr>
                <w:sz w:val="12"/>
                <w:szCs w:val="18"/>
              </w:rPr>
            </w:pPr>
            <w:r w:rsidRPr="00BB7340">
              <w:rPr>
                <w:rFonts w:hint="cs"/>
                <w:sz w:val="12"/>
                <w:szCs w:val="18"/>
                <w:rtl/>
              </w:rPr>
              <w:t>الدخل الشامل الآخر عن الفترة، بعد حساب الضريبة</w:t>
            </w:r>
            <w:r w:rsidRPr="00BB7340">
              <w:rPr>
                <w:sz w:val="12"/>
                <w:szCs w:val="18"/>
              </w:rPr>
              <w:tab/>
            </w:r>
          </w:p>
        </w:tc>
        <w:tc>
          <w:tcPr>
            <w:tcW w:w="235" w:type="dxa"/>
            <w:vAlign w:val="bottom"/>
          </w:tcPr>
          <w:p w14:paraId="7C71F3B4" w14:textId="77777777" w:rsidR="00BB7340" w:rsidRPr="00B02BA3" w:rsidRDefault="00BB7340" w:rsidP="00BB7340">
            <w:pPr>
              <w:spacing w:before="40" w:after="40"/>
              <w:rPr>
                <w:sz w:val="17"/>
              </w:rPr>
            </w:pPr>
          </w:p>
        </w:tc>
        <w:tc>
          <w:tcPr>
            <w:tcW w:w="901" w:type="dxa"/>
            <w:tcBorders>
              <w:top w:val="single" w:sz="4" w:space="0" w:color="auto"/>
              <w:bottom w:val="single" w:sz="4" w:space="0" w:color="auto"/>
            </w:tcBorders>
            <w:vAlign w:val="bottom"/>
          </w:tcPr>
          <w:p w14:paraId="3A9F3B80" w14:textId="77777777" w:rsidR="00BB7340" w:rsidRPr="00B02BA3" w:rsidRDefault="00BB7340" w:rsidP="00BB7340">
            <w:pPr>
              <w:spacing w:before="40" w:after="40"/>
              <w:jc w:val="right"/>
              <w:rPr>
                <w:sz w:val="17"/>
              </w:rPr>
            </w:pPr>
            <w:r w:rsidRPr="00B02BA3">
              <w:rPr>
                <w:sz w:val="17"/>
              </w:rPr>
              <w:t>22</w:t>
            </w:r>
            <w:r>
              <w:rPr>
                <w:sz w:val="17"/>
              </w:rPr>
              <w:t>.1</w:t>
            </w:r>
          </w:p>
        </w:tc>
        <w:tc>
          <w:tcPr>
            <w:tcW w:w="235" w:type="dxa"/>
            <w:vAlign w:val="bottom"/>
          </w:tcPr>
          <w:p w14:paraId="09BA61C3" w14:textId="77777777" w:rsidR="00BB7340" w:rsidRPr="00B02BA3" w:rsidRDefault="00BB7340" w:rsidP="00BB7340">
            <w:pPr>
              <w:spacing w:before="40" w:after="40"/>
              <w:rPr>
                <w:sz w:val="17"/>
              </w:rPr>
            </w:pPr>
          </w:p>
        </w:tc>
        <w:tc>
          <w:tcPr>
            <w:tcW w:w="900" w:type="dxa"/>
            <w:tcBorders>
              <w:top w:val="single" w:sz="4" w:space="0" w:color="auto"/>
              <w:bottom w:val="single" w:sz="4" w:space="0" w:color="auto"/>
            </w:tcBorders>
            <w:vAlign w:val="bottom"/>
          </w:tcPr>
          <w:p w14:paraId="4E453B86" w14:textId="77777777" w:rsidR="00BB7340" w:rsidRPr="00B02BA3" w:rsidRDefault="00BB7340" w:rsidP="00BB7340">
            <w:pPr>
              <w:spacing w:before="40" w:after="40"/>
              <w:jc w:val="right"/>
              <w:rPr>
                <w:sz w:val="17"/>
              </w:rPr>
            </w:pPr>
            <w:r w:rsidRPr="00B02BA3">
              <w:rPr>
                <w:sz w:val="17"/>
              </w:rPr>
              <w:t>38</w:t>
            </w:r>
            <w:r>
              <w:rPr>
                <w:sz w:val="17"/>
              </w:rPr>
              <w:t>.9</w:t>
            </w:r>
          </w:p>
        </w:tc>
        <w:tc>
          <w:tcPr>
            <w:tcW w:w="234" w:type="dxa"/>
            <w:vAlign w:val="bottom"/>
          </w:tcPr>
          <w:p w14:paraId="51095AAC" w14:textId="77777777" w:rsidR="00BB7340" w:rsidRPr="00B02BA3" w:rsidRDefault="008808E3" w:rsidP="00BB7340">
            <w:pPr>
              <w:spacing w:before="40" w:after="40"/>
              <w:rPr>
                <w:sz w:val="17"/>
              </w:rPr>
            </w:pPr>
            <w:r>
              <w:rPr>
                <w:rFonts w:hint="cs"/>
                <w:sz w:val="17"/>
                <w:rtl/>
              </w:rPr>
              <w:t>(</w:t>
            </w:r>
          </w:p>
        </w:tc>
        <w:tc>
          <w:tcPr>
            <w:tcW w:w="900" w:type="dxa"/>
            <w:tcBorders>
              <w:top w:val="single" w:sz="4" w:space="0" w:color="auto"/>
              <w:bottom w:val="single" w:sz="4" w:space="0" w:color="auto"/>
            </w:tcBorders>
            <w:vAlign w:val="bottom"/>
          </w:tcPr>
          <w:p w14:paraId="6EE84DE6" w14:textId="77777777" w:rsidR="00BB7340" w:rsidRPr="00B02BA3" w:rsidRDefault="00BB7340" w:rsidP="00BB7340">
            <w:pPr>
              <w:spacing w:before="40" w:after="40"/>
              <w:jc w:val="right"/>
              <w:rPr>
                <w:sz w:val="17"/>
              </w:rPr>
            </w:pPr>
            <w:r w:rsidRPr="00B02BA3">
              <w:rPr>
                <w:sz w:val="17"/>
              </w:rPr>
              <w:t>(18</w:t>
            </w:r>
            <w:r>
              <w:rPr>
                <w:sz w:val="17"/>
              </w:rPr>
              <w:t>.7</w:t>
            </w:r>
          </w:p>
        </w:tc>
        <w:tc>
          <w:tcPr>
            <w:tcW w:w="234" w:type="dxa"/>
            <w:vAlign w:val="bottom"/>
          </w:tcPr>
          <w:p w14:paraId="61017374" w14:textId="77777777" w:rsidR="00BB7340" w:rsidRPr="00B02BA3" w:rsidRDefault="00BB7340" w:rsidP="00BB7340">
            <w:pPr>
              <w:spacing w:before="40" w:after="40"/>
              <w:rPr>
                <w:sz w:val="17"/>
              </w:rPr>
            </w:pPr>
            <w:r w:rsidRPr="00B02BA3">
              <w:rPr>
                <w:sz w:val="17"/>
              </w:rPr>
              <w:t>)</w:t>
            </w:r>
          </w:p>
        </w:tc>
        <w:tc>
          <w:tcPr>
            <w:tcW w:w="900" w:type="dxa"/>
            <w:tcBorders>
              <w:top w:val="single" w:sz="4" w:space="0" w:color="auto"/>
              <w:bottom w:val="single" w:sz="4" w:space="0" w:color="auto"/>
            </w:tcBorders>
            <w:vAlign w:val="bottom"/>
          </w:tcPr>
          <w:p w14:paraId="0FB70F92" w14:textId="77777777" w:rsidR="00BB7340" w:rsidRPr="00B02BA3" w:rsidRDefault="00BB7340" w:rsidP="00BB7340">
            <w:pPr>
              <w:spacing w:before="40" w:after="40"/>
              <w:jc w:val="right"/>
              <w:rPr>
                <w:sz w:val="17"/>
              </w:rPr>
            </w:pPr>
            <w:r>
              <w:rPr>
                <w:sz w:val="17"/>
              </w:rPr>
              <w:t>(13.7</w:t>
            </w:r>
          </w:p>
        </w:tc>
        <w:tc>
          <w:tcPr>
            <w:tcW w:w="234" w:type="dxa"/>
            <w:vAlign w:val="bottom"/>
          </w:tcPr>
          <w:p w14:paraId="7CDD1320" w14:textId="77777777" w:rsidR="00BB7340" w:rsidRPr="00B02BA3" w:rsidRDefault="00BB7340" w:rsidP="00BB7340">
            <w:pPr>
              <w:spacing w:before="40" w:after="40"/>
              <w:rPr>
                <w:sz w:val="17"/>
              </w:rPr>
            </w:pPr>
            <w:r>
              <w:rPr>
                <w:sz w:val="17"/>
              </w:rPr>
              <w:t>)</w:t>
            </w:r>
          </w:p>
        </w:tc>
        <w:tc>
          <w:tcPr>
            <w:tcW w:w="900" w:type="dxa"/>
            <w:tcBorders>
              <w:top w:val="single" w:sz="4" w:space="0" w:color="auto"/>
              <w:bottom w:val="single" w:sz="4" w:space="0" w:color="auto"/>
            </w:tcBorders>
            <w:vAlign w:val="bottom"/>
          </w:tcPr>
          <w:p w14:paraId="4833B094" w14:textId="77777777" w:rsidR="00BB7340" w:rsidRPr="00B02BA3" w:rsidRDefault="00BB7340" w:rsidP="00BB7340">
            <w:pPr>
              <w:spacing w:before="40" w:after="40"/>
              <w:jc w:val="right"/>
              <w:rPr>
                <w:sz w:val="17"/>
              </w:rPr>
            </w:pPr>
            <w:r>
              <w:rPr>
                <w:sz w:val="17"/>
              </w:rPr>
              <w:t>(4.</w:t>
            </w:r>
            <w:r w:rsidR="002C6F16">
              <w:rPr>
                <w:sz w:val="17"/>
              </w:rPr>
              <w:t>5</w:t>
            </w:r>
          </w:p>
        </w:tc>
        <w:tc>
          <w:tcPr>
            <w:tcW w:w="234" w:type="dxa"/>
            <w:vAlign w:val="bottom"/>
          </w:tcPr>
          <w:p w14:paraId="020A04A5" w14:textId="77777777" w:rsidR="00BB7340" w:rsidRPr="00B02BA3" w:rsidRDefault="00BB7340" w:rsidP="00BB7340">
            <w:pPr>
              <w:spacing w:before="40" w:after="40"/>
              <w:rPr>
                <w:sz w:val="17"/>
              </w:rPr>
            </w:pPr>
          </w:p>
        </w:tc>
      </w:tr>
      <w:tr w:rsidR="00BB7340" w:rsidRPr="00B02BA3" w14:paraId="4F9619C7" w14:textId="77777777" w:rsidTr="00272B36">
        <w:tc>
          <w:tcPr>
            <w:tcW w:w="3141" w:type="dxa"/>
            <w:vAlign w:val="bottom"/>
          </w:tcPr>
          <w:p w14:paraId="02F65D8E" w14:textId="77777777" w:rsidR="00BB7340" w:rsidRPr="00BB7340" w:rsidRDefault="00BB7340" w:rsidP="00BB7340">
            <w:pPr>
              <w:tabs>
                <w:tab w:val="right" w:leader="dot" w:pos="3163"/>
              </w:tabs>
              <w:bidi/>
              <w:spacing w:before="40" w:after="40"/>
              <w:rPr>
                <w:b/>
                <w:bCs/>
                <w:sz w:val="12"/>
                <w:szCs w:val="18"/>
              </w:rPr>
            </w:pPr>
            <w:r w:rsidRPr="00BB7340">
              <w:rPr>
                <w:rFonts w:hint="cs"/>
                <w:b/>
                <w:bCs/>
                <w:sz w:val="12"/>
                <w:szCs w:val="18"/>
                <w:rtl/>
              </w:rPr>
              <w:t>إجمالي الدخل الشامل عن الفترة</w:t>
            </w:r>
          </w:p>
        </w:tc>
        <w:tc>
          <w:tcPr>
            <w:tcW w:w="235" w:type="dxa"/>
            <w:vAlign w:val="bottom"/>
          </w:tcPr>
          <w:p w14:paraId="406FC3EA" w14:textId="77777777" w:rsidR="00BB7340" w:rsidRPr="00B02BA3" w:rsidRDefault="00BB7340" w:rsidP="00BB7340">
            <w:pPr>
              <w:spacing w:before="40" w:after="40"/>
              <w:rPr>
                <w:b/>
                <w:bCs/>
                <w:sz w:val="17"/>
              </w:rPr>
            </w:pPr>
          </w:p>
        </w:tc>
        <w:tc>
          <w:tcPr>
            <w:tcW w:w="901" w:type="dxa"/>
            <w:tcBorders>
              <w:top w:val="single" w:sz="4" w:space="0" w:color="auto"/>
              <w:bottom w:val="single" w:sz="4" w:space="0" w:color="auto"/>
            </w:tcBorders>
            <w:vAlign w:val="bottom"/>
          </w:tcPr>
          <w:p w14:paraId="1ABBABBF" w14:textId="48B0A014" w:rsidR="00BB7340" w:rsidRPr="00B02BA3" w:rsidRDefault="00BB7340" w:rsidP="00BB7340">
            <w:pPr>
              <w:spacing w:before="40" w:after="40"/>
              <w:jc w:val="right"/>
              <w:rPr>
                <w:sz w:val="17"/>
              </w:rPr>
            </w:pPr>
            <w:r w:rsidRPr="00B02BA3">
              <w:rPr>
                <w:sz w:val="17"/>
              </w:rPr>
              <w:t>7</w:t>
            </w:r>
            <w:r>
              <w:rPr>
                <w:sz w:val="17"/>
              </w:rPr>
              <w:t>6.</w:t>
            </w:r>
            <w:r w:rsidR="00D04DF3">
              <w:rPr>
                <w:sz w:val="17"/>
              </w:rPr>
              <w:t>1</w:t>
            </w:r>
          </w:p>
        </w:tc>
        <w:tc>
          <w:tcPr>
            <w:tcW w:w="235" w:type="dxa"/>
            <w:vAlign w:val="bottom"/>
          </w:tcPr>
          <w:p w14:paraId="2CB890A9" w14:textId="77777777" w:rsidR="00BB7340" w:rsidRPr="00B02BA3" w:rsidRDefault="00BB7340" w:rsidP="00BB7340">
            <w:pPr>
              <w:spacing w:before="40" w:after="40"/>
              <w:rPr>
                <w:sz w:val="17"/>
              </w:rPr>
            </w:pPr>
          </w:p>
        </w:tc>
        <w:tc>
          <w:tcPr>
            <w:tcW w:w="900" w:type="dxa"/>
            <w:tcBorders>
              <w:top w:val="single" w:sz="4" w:space="0" w:color="auto"/>
              <w:bottom w:val="single" w:sz="4" w:space="0" w:color="auto"/>
            </w:tcBorders>
            <w:vAlign w:val="bottom"/>
          </w:tcPr>
          <w:p w14:paraId="3F9267CE" w14:textId="77777777" w:rsidR="00BB7340" w:rsidRPr="00B02BA3" w:rsidRDefault="00BB7340" w:rsidP="00BB7340">
            <w:pPr>
              <w:spacing w:before="40" w:after="40"/>
              <w:jc w:val="right"/>
              <w:rPr>
                <w:sz w:val="17"/>
              </w:rPr>
            </w:pPr>
            <w:r w:rsidRPr="00B02BA3">
              <w:rPr>
                <w:sz w:val="17"/>
              </w:rPr>
              <w:t>150</w:t>
            </w:r>
            <w:r>
              <w:rPr>
                <w:sz w:val="17"/>
              </w:rPr>
              <w:t>.0</w:t>
            </w:r>
          </w:p>
        </w:tc>
        <w:tc>
          <w:tcPr>
            <w:tcW w:w="234" w:type="dxa"/>
            <w:vAlign w:val="bottom"/>
          </w:tcPr>
          <w:p w14:paraId="6EA51D74" w14:textId="77777777" w:rsidR="00BB7340" w:rsidRPr="00B02BA3" w:rsidRDefault="00BB7340" w:rsidP="00BB7340">
            <w:pPr>
              <w:spacing w:before="40" w:after="40"/>
              <w:rPr>
                <w:sz w:val="17"/>
              </w:rPr>
            </w:pPr>
          </w:p>
        </w:tc>
        <w:tc>
          <w:tcPr>
            <w:tcW w:w="900" w:type="dxa"/>
            <w:tcBorders>
              <w:top w:val="single" w:sz="4" w:space="0" w:color="auto"/>
              <w:bottom w:val="single" w:sz="4" w:space="0" w:color="auto"/>
            </w:tcBorders>
            <w:vAlign w:val="bottom"/>
          </w:tcPr>
          <w:p w14:paraId="4F67E041" w14:textId="257CB3F6" w:rsidR="00BB7340" w:rsidRPr="00B02BA3" w:rsidRDefault="00000DF2" w:rsidP="00BB7340">
            <w:pPr>
              <w:spacing w:before="40" w:after="40"/>
              <w:jc w:val="right"/>
              <w:rPr>
                <w:sz w:val="17"/>
              </w:rPr>
            </w:pPr>
            <w:r>
              <w:rPr>
                <w:sz w:val="17"/>
              </w:rPr>
              <w:t>84.0</w:t>
            </w:r>
          </w:p>
        </w:tc>
        <w:tc>
          <w:tcPr>
            <w:tcW w:w="234" w:type="dxa"/>
            <w:vAlign w:val="bottom"/>
          </w:tcPr>
          <w:p w14:paraId="5F12F3DB" w14:textId="77777777" w:rsidR="00BB7340" w:rsidRPr="00B02BA3" w:rsidRDefault="00BB7340" w:rsidP="00BB7340">
            <w:pPr>
              <w:spacing w:before="40" w:after="40"/>
              <w:rPr>
                <w:sz w:val="17"/>
              </w:rPr>
            </w:pPr>
          </w:p>
        </w:tc>
        <w:tc>
          <w:tcPr>
            <w:tcW w:w="900" w:type="dxa"/>
            <w:tcBorders>
              <w:top w:val="single" w:sz="4" w:space="0" w:color="auto"/>
              <w:bottom w:val="single" w:sz="4" w:space="0" w:color="auto"/>
            </w:tcBorders>
          </w:tcPr>
          <w:p w14:paraId="7521F504" w14:textId="3C10B045" w:rsidR="00BB7340" w:rsidRPr="00B02BA3" w:rsidRDefault="00583BF1" w:rsidP="00BB7340">
            <w:pPr>
              <w:spacing w:before="40" w:after="40"/>
              <w:jc w:val="right"/>
              <w:rPr>
                <w:sz w:val="17"/>
              </w:rPr>
            </w:pPr>
            <w:r>
              <w:rPr>
                <w:sz w:val="17"/>
              </w:rPr>
              <w:t>35</w:t>
            </w:r>
            <w:r w:rsidR="00BB7340">
              <w:rPr>
                <w:sz w:val="17"/>
              </w:rPr>
              <w:t>.</w:t>
            </w:r>
            <w:r w:rsidR="00F109A8">
              <w:rPr>
                <w:sz w:val="17"/>
              </w:rPr>
              <w:t>5</w:t>
            </w:r>
          </w:p>
        </w:tc>
        <w:tc>
          <w:tcPr>
            <w:tcW w:w="234" w:type="dxa"/>
            <w:vAlign w:val="bottom"/>
          </w:tcPr>
          <w:p w14:paraId="32C1A034" w14:textId="77777777" w:rsidR="00BB7340" w:rsidRPr="00B02BA3" w:rsidRDefault="00BB7340" w:rsidP="00BB7340">
            <w:pPr>
              <w:spacing w:before="40" w:after="40"/>
              <w:rPr>
                <w:sz w:val="17"/>
              </w:rPr>
            </w:pPr>
          </w:p>
        </w:tc>
        <w:tc>
          <w:tcPr>
            <w:tcW w:w="900" w:type="dxa"/>
            <w:tcBorders>
              <w:top w:val="single" w:sz="4" w:space="0" w:color="auto"/>
              <w:bottom w:val="single" w:sz="4" w:space="0" w:color="auto"/>
            </w:tcBorders>
          </w:tcPr>
          <w:p w14:paraId="492BA735" w14:textId="77777777" w:rsidR="00BB7340" w:rsidRPr="00B02BA3" w:rsidRDefault="00BB7340" w:rsidP="00BB7340">
            <w:pPr>
              <w:spacing w:before="40" w:after="40"/>
              <w:jc w:val="right"/>
              <w:rPr>
                <w:sz w:val="17"/>
              </w:rPr>
            </w:pPr>
            <w:r>
              <w:rPr>
                <w:sz w:val="17"/>
              </w:rPr>
              <w:t>114.7</w:t>
            </w:r>
          </w:p>
        </w:tc>
        <w:tc>
          <w:tcPr>
            <w:tcW w:w="234" w:type="dxa"/>
            <w:vAlign w:val="bottom"/>
          </w:tcPr>
          <w:p w14:paraId="2ABA7E90" w14:textId="77777777" w:rsidR="00BB7340" w:rsidRPr="00B02BA3" w:rsidRDefault="00BB7340" w:rsidP="00BB7340">
            <w:pPr>
              <w:spacing w:before="40" w:after="40"/>
              <w:rPr>
                <w:sz w:val="17"/>
              </w:rPr>
            </w:pPr>
          </w:p>
        </w:tc>
      </w:tr>
      <w:tr w:rsidR="00BB7340" w:rsidRPr="00B02BA3" w14:paraId="4E14E601" w14:textId="77777777" w:rsidTr="00272B36">
        <w:tc>
          <w:tcPr>
            <w:tcW w:w="3141" w:type="dxa"/>
            <w:vAlign w:val="bottom"/>
          </w:tcPr>
          <w:p w14:paraId="4C67BB5D" w14:textId="77777777" w:rsidR="00BB7340" w:rsidRPr="00BB7340" w:rsidRDefault="00BB7340" w:rsidP="00BB7340">
            <w:pPr>
              <w:tabs>
                <w:tab w:val="right" w:leader="dot" w:pos="3163"/>
              </w:tabs>
              <w:bidi/>
              <w:spacing w:before="40" w:after="40"/>
              <w:rPr>
                <w:b/>
                <w:bCs/>
                <w:sz w:val="12"/>
                <w:szCs w:val="18"/>
              </w:rPr>
            </w:pPr>
            <w:r w:rsidRPr="00BB7340">
              <w:rPr>
                <w:rFonts w:hint="cs"/>
                <w:b/>
                <w:bCs/>
                <w:sz w:val="12"/>
                <w:szCs w:val="18"/>
                <w:rtl/>
              </w:rPr>
              <w:t>الأرباح المنسوبة إلى:</w:t>
            </w:r>
          </w:p>
        </w:tc>
        <w:tc>
          <w:tcPr>
            <w:tcW w:w="235" w:type="dxa"/>
            <w:vAlign w:val="bottom"/>
          </w:tcPr>
          <w:p w14:paraId="428BB0FB" w14:textId="77777777" w:rsidR="00BB7340" w:rsidRPr="00B02BA3" w:rsidRDefault="00BB7340" w:rsidP="00BB7340">
            <w:pPr>
              <w:spacing w:before="40" w:after="40"/>
              <w:rPr>
                <w:sz w:val="17"/>
              </w:rPr>
            </w:pPr>
          </w:p>
        </w:tc>
        <w:tc>
          <w:tcPr>
            <w:tcW w:w="901" w:type="dxa"/>
            <w:tcBorders>
              <w:top w:val="single" w:sz="4" w:space="0" w:color="auto"/>
            </w:tcBorders>
            <w:vAlign w:val="bottom"/>
          </w:tcPr>
          <w:p w14:paraId="041170FE" w14:textId="77777777" w:rsidR="00BB7340" w:rsidRPr="00B02BA3" w:rsidRDefault="00BB7340" w:rsidP="00BB7340">
            <w:pPr>
              <w:spacing w:before="40" w:after="40"/>
              <w:jc w:val="right"/>
              <w:rPr>
                <w:sz w:val="17"/>
              </w:rPr>
            </w:pPr>
          </w:p>
        </w:tc>
        <w:tc>
          <w:tcPr>
            <w:tcW w:w="235" w:type="dxa"/>
            <w:vAlign w:val="bottom"/>
          </w:tcPr>
          <w:p w14:paraId="2C2871A7" w14:textId="77777777" w:rsidR="00BB7340" w:rsidRPr="00B02BA3" w:rsidRDefault="00BB7340" w:rsidP="00BB7340">
            <w:pPr>
              <w:spacing w:before="40" w:after="40"/>
              <w:rPr>
                <w:sz w:val="17"/>
              </w:rPr>
            </w:pPr>
          </w:p>
        </w:tc>
        <w:tc>
          <w:tcPr>
            <w:tcW w:w="900" w:type="dxa"/>
            <w:tcBorders>
              <w:top w:val="single" w:sz="4" w:space="0" w:color="auto"/>
            </w:tcBorders>
            <w:vAlign w:val="bottom"/>
          </w:tcPr>
          <w:p w14:paraId="269CE20B" w14:textId="77777777" w:rsidR="00BB7340" w:rsidRPr="00B02BA3" w:rsidRDefault="00BB7340" w:rsidP="00BB7340">
            <w:pPr>
              <w:spacing w:before="40" w:after="40"/>
              <w:jc w:val="right"/>
              <w:rPr>
                <w:sz w:val="17"/>
              </w:rPr>
            </w:pPr>
          </w:p>
        </w:tc>
        <w:tc>
          <w:tcPr>
            <w:tcW w:w="234" w:type="dxa"/>
            <w:vAlign w:val="bottom"/>
          </w:tcPr>
          <w:p w14:paraId="6B9899AF" w14:textId="77777777" w:rsidR="00BB7340" w:rsidRPr="00B02BA3" w:rsidRDefault="00BB7340" w:rsidP="00BB7340">
            <w:pPr>
              <w:spacing w:before="40" w:after="40"/>
              <w:rPr>
                <w:sz w:val="17"/>
              </w:rPr>
            </w:pPr>
          </w:p>
        </w:tc>
        <w:tc>
          <w:tcPr>
            <w:tcW w:w="900" w:type="dxa"/>
            <w:tcBorders>
              <w:top w:val="single" w:sz="4" w:space="0" w:color="auto"/>
            </w:tcBorders>
            <w:vAlign w:val="bottom"/>
          </w:tcPr>
          <w:p w14:paraId="584CB8AC" w14:textId="77777777" w:rsidR="00BB7340" w:rsidRPr="00B02BA3" w:rsidRDefault="00BB7340" w:rsidP="00BB7340">
            <w:pPr>
              <w:spacing w:before="40" w:after="40"/>
              <w:jc w:val="right"/>
              <w:rPr>
                <w:sz w:val="17"/>
              </w:rPr>
            </w:pPr>
          </w:p>
        </w:tc>
        <w:tc>
          <w:tcPr>
            <w:tcW w:w="234" w:type="dxa"/>
            <w:vAlign w:val="bottom"/>
          </w:tcPr>
          <w:p w14:paraId="1255801E" w14:textId="77777777" w:rsidR="00BB7340" w:rsidRPr="00B02BA3" w:rsidRDefault="00BB7340" w:rsidP="00BB7340">
            <w:pPr>
              <w:spacing w:before="40" w:after="40"/>
              <w:rPr>
                <w:sz w:val="17"/>
              </w:rPr>
            </w:pPr>
          </w:p>
        </w:tc>
        <w:tc>
          <w:tcPr>
            <w:tcW w:w="900" w:type="dxa"/>
            <w:tcBorders>
              <w:top w:val="single" w:sz="4" w:space="0" w:color="auto"/>
            </w:tcBorders>
          </w:tcPr>
          <w:p w14:paraId="7520CC5F" w14:textId="77777777" w:rsidR="00BB7340" w:rsidRPr="00B02BA3" w:rsidRDefault="00BB7340" w:rsidP="00BB7340">
            <w:pPr>
              <w:spacing w:before="40" w:after="40"/>
              <w:jc w:val="right"/>
              <w:rPr>
                <w:sz w:val="17"/>
              </w:rPr>
            </w:pPr>
          </w:p>
        </w:tc>
        <w:tc>
          <w:tcPr>
            <w:tcW w:w="234" w:type="dxa"/>
            <w:vAlign w:val="bottom"/>
          </w:tcPr>
          <w:p w14:paraId="064D51AD" w14:textId="77777777" w:rsidR="00BB7340" w:rsidRPr="00B02BA3" w:rsidRDefault="00BB7340" w:rsidP="00BB7340">
            <w:pPr>
              <w:spacing w:before="40" w:after="40"/>
              <w:rPr>
                <w:sz w:val="17"/>
              </w:rPr>
            </w:pPr>
          </w:p>
        </w:tc>
        <w:tc>
          <w:tcPr>
            <w:tcW w:w="900" w:type="dxa"/>
            <w:tcBorders>
              <w:top w:val="single" w:sz="4" w:space="0" w:color="auto"/>
            </w:tcBorders>
          </w:tcPr>
          <w:p w14:paraId="5F430262" w14:textId="77777777" w:rsidR="00BB7340" w:rsidRPr="00B02BA3" w:rsidRDefault="00BB7340" w:rsidP="00BB7340">
            <w:pPr>
              <w:spacing w:before="40" w:after="40"/>
              <w:jc w:val="right"/>
              <w:rPr>
                <w:sz w:val="17"/>
              </w:rPr>
            </w:pPr>
          </w:p>
        </w:tc>
        <w:tc>
          <w:tcPr>
            <w:tcW w:w="234" w:type="dxa"/>
            <w:vAlign w:val="bottom"/>
          </w:tcPr>
          <w:p w14:paraId="28BF4DB5" w14:textId="77777777" w:rsidR="00BB7340" w:rsidRPr="00B02BA3" w:rsidRDefault="00BB7340" w:rsidP="00BB7340">
            <w:pPr>
              <w:spacing w:before="40" w:after="40"/>
              <w:rPr>
                <w:sz w:val="17"/>
              </w:rPr>
            </w:pPr>
          </w:p>
        </w:tc>
      </w:tr>
      <w:tr w:rsidR="00BB7340" w:rsidRPr="00B02BA3" w14:paraId="3B4F1602" w14:textId="77777777" w:rsidTr="00272B36">
        <w:tc>
          <w:tcPr>
            <w:tcW w:w="3141" w:type="dxa"/>
            <w:vAlign w:val="bottom"/>
          </w:tcPr>
          <w:p w14:paraId="12C8989F" w14:textId="77777777" w:rsidR="00BB7340" w:rsidRPr="00BB7340" w:rsidRDefault="00BB7340" w:rsidP="00BB7340">
            <w:pPr>
              <w:tabs>
                <w:tab w:val="right" w:leader="dot" w:pos="3163"/>
              </w:tabs>
              <w:bidi/>
              <w:spacing w:before="40" w:after="40"/>
              <w:rPr>
                <w:sz w:val="12"/>
                <w:szCs w:val="18"/>
              </w:rPr>
            </w:pPr>
            <w:r w:rsidRPr="00BB7340">
              <w:rPr>
                <w:rFonts w:hint="cs"/>
                <w:sz w:val="12"/>
                <w:szCs w:val="18"/>
                <w:rtl/>
              </w:rPr>
              <w:t>ملاك الشركة</w:t>
            </w:r>
            <w:r w:rsidRPr="00BB7340">
              <w:rPr>
                <w:sz w:val="12"/>
                <w:szCs w:val="18"/>
              </w:rPr>
              <w:tab/>
            </w:r>
          </w:p>
        </w:tc>
        <w:tc>
          <w:tcPr>
            <w:tcW w:w="235" w:type="dxa"/>
            <w:vAlign w:val="bottom"/>
          </w:tcPr>
          <w:p w14:paraId="3493C096" w14:textId="77777777" w:rsidR="00BB7340" w:rsidRPr="00B02BA3" w:rsidRDefault="00BB7340" w:rsidP="00BB7340">
            <w:pPr>
              <w:spacing w:before="40" w:after="40"/>
              <w:rPr>
                <w:sz w:val="17"/>
              </w:rPr>
            </w:pPr>
          </w:p>
        </w:tc>
        <w:tc>
          <w:tcPr>
            <w:tcW w:w="901" w:type="dxa"/>
            <w:vAlign w:val="bottom"/>
          </w:tcPr>
          <w:p w14:paraId="23501682" w14:textId="77777777" w:rsidR="00BB7340" w:rsidRPr="00B02BA3" w:rsidRDefault="00BB7340" w:rsidP="00BB7340">
            <w:pPr>
              <w:spacing w:before="40" w:after="40"/>
              <w:jc w:val="right"/>
              <w:rPr>
                <w:sz w:val="17"/>
              </w:rPr>
            </w:pPr>
            <w:r w:rsidRPr="00B02BA3">
              <w:rPr>
                <w:sz w:val="17"/>
              </w:rPr>
              <w:t>42</w:t>
            </w:r>
            <w:r>
              <w:rPr>
                <w:sz w:val="17"/>
              </w:rPr>
              <w:t>.7</w:t>
            </w:r>
          </w:p>
        </w:tc>
        <w:tc>
          <w:tcPr>
            <w:tcW w:w="235" w:type="dxa"/>
            <w:vAlign w:val="bottom"/>
          </w:tcPr>
          <w:p w14:paraId="527C2ECD" w14:textId="77777777" w:rsidR="00BB7340" w:rsidRPr="00B02BA3" w:rsidRDefault="00BB7340" w:rsidP="00BB7340">
            <w:pPr>
              <w:spacing w:before="40" w:after="40"/>
              <w:rPr>
                <w:sz w:val="17"/>
              </w:rPr>
            </w:pPr>
          </w:p>
        </w:tc>
        <w:tc>
          <w:tcPr>
            <w:tcW w:w="900" w:type="dxa"/>
            <w:vAlign w:val="bottom"/>
          </w:tcPr>
          <w:p w14:paraId="011C4372" w14:textId="77777777" w:rsidR="00BB7340" w:rsidRPr="00B02BA3" w:rsidRDefault="00BB7340" w:rsidP="00BB7340">
            <w:pPr>
              <w:spacing w:before="40" w:after="40"/>
              <w:jc w:val="right"/>
              <w:rPr>
                <w:sz w:val="17"/>
              </w:rPr>
            </w:pPr>
            <w:r w:rsidRPr="00B02BA3">
              <w:rPr>
                <w:sz w:val="17"/>
              </w:rPr>
              <w:t>100</w:t>
            </w:r>
            <w:r>
              <w:rPr>
                <w:sz w:val="17"/>
              </w:rPr>
              <w:t>.2</w:t>
            </w:r>
          </w:p>
        </w:tc>
        <w:tc>
          <w:tcPr>
            <w:tcW w:w="234" w:type="dxa"/>
            <w:vAlign w:val="bottom"/>
          </w:tcPr>
          <w:p w14:paraId="34541F24" w14:textId="77777777" w:rsidR="00BB7340" w:rsidRPr="00B02BA3" w:rsidRDefault="00BB7340" w:rsidP="00BB7340">
            <w:pPr>
              <w:spacing w:before="40" w:after="40"/>
              <w:rPr>
                <w:sz w:val="17"/>
              </w:rPr>
            </w:pPr>
          </w:p>
        </w:tc>
        <w:tc>
          <w:tcPr>
            <w:tcW w:w="900" w:type="dxa"/>
            <w:vAlign w:val="bottom"/>
          </w:tcPr>
          <w:p w14:paraId="1A3B80CC" w14:textId="77777777" w:rsidR="00BB7340" w:rsidRPr="00B02BA3" w:rsidRDefault="00BB7340" w:rsidP="00BB7340">
            <w:pPr>
              <w:spacing w:before="40" w:after="40"/>
              <w:jc w:val="right"/>
              <w:rPr>
                <w:sz w:val="17"/>
              </w:rPr>
            </w:pPr>
            <w:r w:rsidRPr="00B02BA3">
              <w:rPr>
                <w:sz w:val="17"/>
              </w:rPr>
              <w:t>90</w:t>
            </w:r>
            <w:r>
              <w:rPr>
                <w:sz w:val="17"/>
              </w:rPr>
              <w:t>.8</w:t>
            </w:r>
          </w:p>
        </w:tc>
        <w:tc>
          <w:tcPr>
            <w:tcW w:w="234" w:type="dxa"/>
            <w:vAlign w:val="bottom"/>
          </w:tcPr>
          <w:p w14:paraId="77C8D37B" w14:textId="77777777" w:rsidR="00BB7340" w:rsidRPr="00B02BA3" w:rsidRDefault="00BB7340" w:rsidP="00BB7340">
            <w:pPr>
              <w:spacing w:before="40" w:after="40"/>
              <w:rPr>
                <w:sz w:val="17"/>
              </w:rPr>
            </w:pPr>
          </w:p>
        </w:tc>
        <w:tc>
          <w:tcPr>
            <w:tcW w:w="900" w:type="dxa"/>
          </w:tcPr>
          <w:p w14:paraId="6E66152C" w14:textId="77777777" w:rsidR="00BB7340" w:rsidRPr="00B02BA3" w:rsidRDefault="00BB7340" w:rsidP="00BB7340">
            <w:pPr>
              <w:spacing w:before="40" w:after="40"/>
              <w:jc w:val="right"/>
              <w:rPr>
                <w:sz w:val="17"/>
              </w:rPr>
            </w:pPr>
            <w:r>
              <w:rPr>
                <w:sz w:val="17"/>
              </w:rPr>
              <w:t>38.5</w:t>
            </w:r>
          </w:p>
        </w:tc>
        <w:tc>
          <w:tcPr>
            <w:tcW w:w="234" w:type="dxa"/>
            <w:vAlign w:val="bottom"/>
          </w:tcPr>
          <w:p w14:paraId="5D472867" w14:textId="77777777" w:rsidR="00BB7340" w:rsidRPr="00B02BA3" w:rsidRDefault="00BB7340" w:rsidP="00BB7340">
            <w:pPr>
              <w:spacing w:before="40" w:after="40"/>
              <w:rPr>
                <w:sz w:val="17"/>
              </w:rPr>
            </w:pPr>
          </w:p>
        </w:tc>
        <w:tc>
          <w:tcPr>
            <w:tcW w:w="900" w:type="dxa"/>
          </w:tcPr>
          <w:p w14:paraId="0DE5D528" w14:textId="77777777" w:rsidR="00BB7340" w:rsidRPr="00B02BA3" w:rsidRDefault="00BB7340" w:rsidP="00BB7340">
            <w:pPr>
              <w:spacing w:before="40" w:after="40"/>
              <w:jc w:val="right"/>
              <w:rPr>
                <w:sz w:val="17"/>
              </w:rPr>
            </w:pPr>
            <w:r>
              <w:rPr>
                <w:sz w:val="17"/>
              </w:rPr>
              <w:t>110.</w:t>
            </w:r>
            <w:r w:rsidR="00AA560C">
              <w:rPr>
                <w:sz w:val="17"/>
              </w:rPr>
              <w:t>4</w:t>
            </w:r>
          </w:p>
        </w:tc>
        <w:tc>
          <w:tcPr>
            <w:tcW w:w="234" w:type="dxa"/>
            <w:vAlign w:val="bottom"/>
          </w:tcPr>
          <w:p w14:paraId="452F1BEC" w14:textId="77777777" w:rsidR="00BB7340" w:rsidRPr="00B02BA3" w:rsidRDefault="00BB7340" w:rsidP="00BB7340">
            <w:pPr>
              <w:spacing w:before="40" w:after="40"/>
              <w:rPr>
                <w:sz w:val="17"/>
              </w:rPr>
            </w:pPr>
          </w:p>
        </w:tc>
      </w:tr>
      <w:tr w:rsidR="00BB7340" w:rsidRPr="00B02BA3" w14:paraId="6B4CD093" w14:textId="77777777" w:rsidTr="00272B36">
        <w:tc>
          <w:tcPr>
            <w:tcW w:w="3141" w:type="dxa"/>
            <w:vAlign w:val="bottom"/>
          </w:tcPr>
          <w:p w14:paraId="640C2C6E" w14:textId="77777777" w:rsidR="00BB7340" w:rsidRPr="00BB7340" w:rsidRDefault="00BB7340" w:rsidP="00BB7340">
            <w:pPr>
              <w:tabs>
                <w:tab w:val="right" w:leader="dot" w:pos="3163"/>
              </w:tabs>
              <w:bidi/>
              <w:spacing w:before="40" w:after="40"/>
              <w:rPr>
                <w:sz w:val="12"/>
                <w:szCs w:val="18"/>
              </w:rPr>
            </w:pPr>
            <w:r w:rsidRPr="00BB7340">
              <w:rPr>
                <w:rFonts w:hint="cs"/>
                <w:sz w:val="12"/>
                <w:szCs w:val="18"/>
                <w:rtl/>
              </w:rPr>
              <w:t>الحصص غير المسيطرة</w:t>
            </w:r>
            <w:r w:rsidRPr="00BB7340">
              <w:rPr>
                <w:sz w:val="12"/>
                <w:szCs w:val="18"/>
              </w:rPr>
              <w:tab/>
            </w:r>
          </w:p>
        </w:tc>
        <w:tc>
          <w:tcPr>
            <w:tcW w:w="235" w:type="dxa"/>
            <w:vAlign w:val="bottom"/>
          </w:tcPr>
          <w:p w14:paraId="421172C5" w14:textId="77777777" w:rsidR="00BB7340" w:rsidRPr="00B02BA3" w:rsidRDefault="00BB7340" w:rsidP="00BB7340">
            <w:pPr>
              <w:spacing w:before="40" w:after="40"/>
              <w:rPr>
                <w:sz w:val="17"/>
              </w:rPr>
            </w:pPr>
          </w:p>
        </w:tc>
        <w:tc>
          <w:tcPr>
            <w:tcW w:w="901" w:type="dxa"/>
            <w:vAlign w:val="bottom"/>
          </w:tcPr>
          <w:p w14:paraId="326CBE3E" w14:textId="77777777" w:rsidR="00BB7340" w:rsidRPr="00B02BA3" w:rsidRDefault="00BB7340" w:rsidP="00BB7340">
            <w:pPr>
              <w:spacing w:before="40" w:after="40"/>
              <w:jc w:val="right"/>
              <w:rPr>
                <w:sz w:val="17"/>
              </w:rPr>
            </w:pPr>
            <w:r w:rsidRPr="00B02BA3">
              <w:rPr>
                <w:sz w:val="17"/>
              </w:rPr>
              <w:t>11</w:t>
            </w:r>
            <w:r>
              <w:rPr>
                <w:sz w:val="17"/>
              </w:rPr>
              <w:t>.1</w:t>
            </w:r>
          </w:p>
        </w:tc>
        <w:tc>
          <w:tcPr>
            <w:tcW w:w="235" w:type="dxa"/>
            <w:vAlign w:val="bottom"/>
          </w:tcPr>
          <w:p w14:paraId="10CB1FBA" w14:textId="77777777" w:rsidR="00BB7340" w:rsidRPr="00B02BA3" w:rsidRDefault="00BB7340" w:rsidP="00BB7340">
            <w:pPr>
              <w:spacing w:before="40" w:after="40"/>
              <w:rPr>
                <w:sz w:val="17"/>
              </w:rPr>
            </w:pPr>
          </w:p>
        </w:tc>
        <w:tc>
          <w:tcPr>
            <w:tcW w:w="900" w:type="dxa"/>
            <w:vAlign w:val="bottom"/>
          </w:tcPr>
          <w:p w14:paraId="5B8CD5D2" w14:textId="77777777" w:rsidR="00BB7340" w:rsidRPr="00B02BA3" w:rsidRDefault="00BB7340" w:rsidP="00BB7340">
            <w:pPr>
              <w:spacing w:before="40" w:after="40"/>
              <w:jc w:val="right"/>
              <w:rPr>
                <w:sz w:val="17"/>
              </w:rPr>
            </w:pPr>
            <w:r w:rsidRPr="00B02BA3">
              <w:rPr>
                <w:sz w:val="17"/>
              </w:rPr>
              <w:t>10</w:t>
            </w:r>
            <w:r>
              <w:rPr>
                <w:sz w:val="17"/>
              </w:rPr>
              <w:t>.9</w:t>
            </w:r>
          </w:p>
        </w:tc>
        <w:tc>
          <w:tcPr>
            <w:tcW w:w="234" w:type="dxa"/>
            <w:vAlign w:val="bottom"/>
          </w:tcPr>
          <w:p w14:paraId="44F3BC6B" w14:textId="77777777" w:rsidR="00BB7340" w:rsidRPr="00B02BA3" w:rsidRDefault="00BB7340" w:rsidP="00BB7340">
            <w:pPr>
              <w:spacing w:before="40" w:after="40"/>
              <w:rPr>
                <w:sz w:val="17"/>
              </w:rPr>
            </w:pPr>
          </w:p>
        </w:tc>
        <w:tc>
          <w:tcPr>
            <w:tcW w:w="900" w:type="dxa"/>
            <w:vAlign w:val="bottom"/>
          </w:tcPr>
          <w:p w14:paraId="55903A9F" w14:textId="77777777" w:rsidR="00BB7340" w:rsidRPr="00B02BA3" w:rsidRDefault="00BB7340" w:rsidP="00BB7340">
            <w:pPr>
              <w:spacing w:before="40" w:after="40"/>
              <w:jc w:val="right"/>
              <w:rPr>
                <w:sz w:val="17"/>
              </w:rPr>
            </w:pPr>
            <w:r w:rsidRPr="00B02BA3">
              <w:rPr>
                <w:sz w:val="17"/>
              </w:rPr>
              <w:t>11</w:t>
            </w:r>
            <w:r>
              <w:rPr>
                <w:sz w:val="17"/>
              </w:rPr>
              <w:t>.7</w:t>
            </w:r>
          </w:p>
        </w:tc>
        <w:tc>
          <w:tcPr>
            <w:tcW w:w="234" w:type="dxa"/>
            <w:vAlign w:val="bottom"/>
          </w:tcPr>
          <w:p w14:paraId="1925D93B" w14:textId="77777777" w:rsidR="00BB7340" w:rsidRPr="00B02BA3" w:rsidRDefault="00BB7340" w:rsidP="00BB7340">
            <w:pPr>
              <w:spacing w:before="40" w:after="40"/>
              <w:rPr>
                <w:sz w:val="17"/>
              </w:rPr>
            </w:pPr>
          </w:p>
        </w:tc>
        <w:tc>
          <w:tcPr>
            <w:tcW w:w="900" w:type="dxa"/>
          </w:tcPr>
          <w:p w14:paraId="5C0B5C63" w14:textId="77777777" w:rsidR="00BB7340" w:rsidRPr="00B02BA3" w:rsidRDefault="00BB7340" w:rsidP="00BB7340">
            <w:pPr>
              <w:spacing w:before="40" w:after="40"/>
              <w:jc w:val="right"/>
              <w:rPr>
                <w:sz w:val="17"/>
              </w:rPr>
            </w:pPr>
            <w:r>
              <w:rPr>
                <w:sz w:val="17"/>
              </w:rPr>
              <w:t>8.8</w:t>
            </w:r>
          </w:p>
        </w:tc>
        <w:tc>
          <w:tcPr>
            <w:tcW w:w="234" w:type="dxa"/>
            <w:vAlign w:val="bottom"/>
          </w:tcPr>
          <w:p w14:paraId="3AE42565" w14:textId="77777777" w:rsidR="00BB7340" w:rsidRPr="00B02BA3" w:rsidRDefault="00BB7340" w:rsidP="00BB7340">
            <w:pPr>
              <w:spacing w:before="40" w:after="40"/>
              <w:rPr>
                <w:sz w:val="17"/>
              </w:rPr>
            </w:pPr>
          </w:p>
        </w:tc>
        <w:tc>
          <w:tcPr>
            <w:tcW w:w="900" w:type="dxa"/>
          </w:tcPr>
          <w:p w14:paraId="5D7B6EF4" w14:textId="77777777" w:rsidR="00BB7340" w:rsidRPr="00B02BA3" w:rsidRDefault="00BB7340" w:rsidP="00BB7340">
            <w:pPr>
              <w:spacing w:before="40" w:after="40"/>
              <w:jc w:val="right"/>
              <w:rPr>
                <w:sz w:val="17"/>
              </w:rPr>
            </w:pPr>
            <w:r>
              <w:rPr>
                <w:sz w:val="17"/>
              </w:rPr>
              <w:t>8.8</w:t>
            </w:r>
          </w:p>
        </w:tc>
        <w:tc>
          <w:tcPr>
            <w:tcW w:w="234" w:type="dxa"/>
            <w:vAlign w:val="bottom"/>
          </w:tcPr>
          <w:p w14:paraId="635C699E" w14:textId="77777777" w:rsidR="00BB7340" w:rsidRPr="00B02BA3" w:rsidRDefault="00BB7340" w:rsidP="00BB7340">
            <w:pPr>
              <w:spacing w:before="40" w:after="40"/>
              <w:rPr>
                <w:sz w:val="17"/>
              </w:rPr>
            </w:pPr>
          </w:p>
        </w:tc>
      </w:tr>
      <w:tr w:rsidR="00BB7340" w:rsidRPr="00B02BA3" w14:paraId="52CE21D6" w14:textId="77777777" w:rsidTr="00272B36">
        <w:tc>
          <w:tcPr>
            <w:tcW w:w="3141" w:type="dxa"/>
            <w:vAlign w:val="bottom"/>
          </w:tcPr>
          <w:p w14:paraId="7CEA931B" w14:textId="77777777" w:rsidR="00BB7340" w:rsidRPr="00BB7340" w:rsidRDefault="00BB7340" w:rsidP="00BB7340">
            <w:pPr>
              <w:tabs>
                <w:tab w:val="right" w:leader="dot" w:pos="3163"/>
              </w:tabs>
              <w:bidi/>
              <w:spacing w:before="40" w:after="40"/>
              <w:rPr>
                <w:b/>
                <w:bCs/>
                <w:sz w:val="12"/>
                <w:szCs w:val="18"/>
              </w:rPr>
            </w:pPr>
            <w:r w:rsidRPr="00BB7340">
              <w:rPr>
                <w:rFonts w:hint="cs"/>
                <w:b/>
                <w:bCs/>
                <w:sz w:val="12"/>
                <w:szCs w:val="18"/>
                <w:rtl/>
              </w:rPr>
              <w:t>إجمالي الدخل الشامل المنسوب إلى:</w:t>
            </w:r>
          </w:p>
        </w:tc>
        <w:tc>
          <w:tcPr>
            <w:tcW w:w="235" w:type="dxa"/>
            <w:vAlign w:val="bottom"/>
          </w:tcPr>
          <w:p w14:paraId="4E1A6ED0" w14:textId="77777777" w:rsidR="00BB7340" w:rsidRPr="00B02BA3" w:rsidRDefault="00BB7340" w:rsidP="00BB7340">
            <w:pPr>
              <w:spacing w:before="40" w:after="40"/>
              <w:rPr>
                <w:b/>
                <w:bCs/>
                <w:sz w:val="17"/>
              </w:rPr>
            </w:pPr>
          </w:p>
        </w:tc>
        <w:tc>
          <w:tcPr>
            <w:tcW w:w="901" w:type="dxa"/>
            <w:vAlign w:val="bottom"/>
          </w:tcPr>
          <w:p w14:paraId="671A1314" w14:textId="77777777" w:rsidR="00BB7340" w:rsidRPr="00B02BA3" w:rsidRDefault="00BB7340" w:rsidP="00BB7340">
            <w:pPr>
              <w:spacing w:before="40" w:after="40"/>
              <w:jc w:val="right"/>
              <w:rPr>
                <w:sz w:val="17"/>
              </w:rPr>
            </w:pPr>
          </w:p>
        </w:tc>
        <w:tc>
          <w:tcPr>
            <w:tcW w:w="235" w:type="dxa"/>
            <w:vAlign w:val="bottom"/>
          </w:tcPr>
          <w:p w14:paraId="6E5AC738" w14:textId="77777777" w:rsidR="00BB7340" w:rsidRPr="00B02BA3" w:rsidRDefault="00BB7340" w:rsidP="00BB7340">
            <w:pPr>
              <w:spacing w:before="40" w:after="40"/>
              <w:rPr>
                <w:sz w:val="17"/>
              </w:rPr>
            </w:pPr>
          </w:p>
        </w:tc>
        <w:tc>
          <w:tcPr>
            <w:tcW w:w="900" w:type="dxa"/>
            <w:vAlign w:val="bottom"/>
          </w:tcPr>
          <w:p w14:paraId="2B99B132" w14:textId="77777777" w:rsidR="00BB7340" w:rsidRPr="00B02BA3" w:rsidRDefault="00BB7340" w:rsidP="00BB7340">
            <w:pPr>
              <w:spacing w:before="40" w:after="40"/>
              <w:jc w:val="right"/>
              <w:rPr>
                <w:sz w:val="17"/>
              </w:rPr>
            </w:pPr>
          </w:p>
        </w:tc>
        <w:tc>
          <w:tcPr>
            <w:tcW w:w="234" w:type="dxa"/>
            <w:vAlign w:val="bottom"/>
          </w:tcPr>
          <w:p w14:paraId="422F9CC3" w14:textId="77777777" w:rsidR="00BB7340" w:rsidRPr="00B02BA3" w:rsidRDefault="00BB7340" w:rsidP="00BB7340">
            <w:pPr>
              <w:spacing w:before="40" w:after="40"/>
              <w:rPr>
                <w:sz w:val="17"/>
              </w:rPr>
            </w:pPr>
          </w:p>
        </w:tc>
        <w:tc>
          <w:tcPr>
            <w:tcW w:w="900" w:type="dxa"/>
            <w:vAlign w:val="bottom"/>
          </w:tcPr>
          <w:p w14:paraId="379DB743" w14:textId="77777777" w:rsidR="00BB7340" w:rsidRPr="00B02BA3" w:rsidRDefault="00BB7340" w:rsidP="00BB7340">
            <w:pPr>
              <w:spacing w:before="40" w:after="40"/>
              <w:jc w:val="right"/>
              <w:rPr>
                <w:sz w:val="17"/>
              </w:rPr>
            </w:pPr>
          </w:p>
        </w:tc>
        <w:tc>
          <w:tcPr>
            <w:tcW w:w="234" w:type="dxa"/>
            <w:vAlign w:val="bottom"/>
          </w:tcPr>
          <w:p w14:paraId="388C57B0" w14:textId="77777777" w:rsidR="00BB7340" w:rsidRPr="00B02BA3" w:rsidRDefault="00BB7340" w:rsidP="00BB7340">
            <w:pPr>
              <w:spacing w:before="40" w:after="40"/>
              <w:rPr>
                <w:sz w:val="17"/>
              </w:rPr>
            </w:pPr>
          </w:p>
        </w:tc>
        <w:tc>
          <w:tcPr>
            <w:tcW w:w="900" w:type="dxa"/>
            <w:vAlign w:val="bottom"/>
          </w:tcPr>
          <w:p w14:paraId="7B0CC650" w14:textId="77777777" w:rsidR="00BB7340" w:rsidRPr="00B02BA3" w:rsidRDefault="00BB7340" w:rsidP="00BB7340">
            <w:pPr>
              <w:spacing w:before="40" w:after="40"/>
              <w:jc w:val="right"/>
              <w:rPr>
                <w:sz w:val="17"/>
              </w:rPr>
            </w:pPr>
          </w:p>
        </w:tc>
        <w:tc>
          <w:tcPr>
            <w:tcW w:w="234" w:type="dxa"/>
            <w:vAlign w:val="bottom"/>
          </w:tcPr>
          <w:p w14:paraId="3420E0ED" w14:textId="77777777" w:rsidR="00BB7340" w:rsidRPr="00B02BA3" w:rsidRDefault="00BB7340" w:rsidP="00BB7340">
            <w:pPr>
              <w:spacing w:before="40" w:after="40"/>
              <w:rPr>
                <w:sz w:val="17"/>
              </w:rPr>
            </w:pPr>
          </w:p>
        </w:tc>
        <w:tc>
          <w:tcPr>
            <w:tcW w:w="900" w:type="dxa"/>
            <w:vAlign w:val="bottom"/>
          </w:tcPr>
          <w:p w14:paraId="6C61B34B" w14:textId="77777777" w:rsidR="00BB7340" w:rsidRPr="00B02BA3" w:rsidRDefault="00BB7340" w:rsidP="00BB7340">
            <w:pPr>
              <w:spacing w:before="40" w:after="40"/>
              <w:jc w:val="right"/>
              <w:rPr>
                <w:sz w:val="17"/>
              </w:rPr>
            </w:pPr>
          </w:p>
        </w:tc>
        <w:tc>
          <w:tcPr>
            <w:tcW w:w="234" w:type="dxa"/>
            <w:vAlign w:val="bottom"/>
          </w:tcPr>
          <w:p w14:paraId="7B284438" w14:textId="77777777" w:rsidR="00BB7340" w:rsidRPr="00B02BA3" w:rsidRDefault="00BB7340" w:rsidP="00BB7340">
            <w:pPr>
              <w:spacing w:before="40" w:after="40"/>
              <w:rPr>
                <w:b/>
                <w:bCs/>
                <w:sz w:val="17"/>
              </w:rPr>
            </w:pPr>
          </w:p>
        </w:tc>
      </w:tr>
      <w:tr w:rsidR="003C3E51" w:rsidRPr="00B02BA3" w14:paraId="7C524059" w14:textId="77777777" w:rsidTr="00272B36">
        <w:tc>
          <w:tcPr>
            <w:tcW w:w="3141" w:type="dxa"/>
            <w:vAlign w:val="bottom"/>
          </w:tcPr>
          <w:p w14:paraId="48F4F492" w14:textId="77777777" w:rsidR="003C3E51" w:rsidRPr="00BB7340" w:rsidRDefault="003C3E51" w:rsidP="003C3E51">
            <w:pPr>
              <w:tabs>
                <w:tab w:val="right" w:leader="dot" w:pos="3163"/>
              </w:tabs>
              <w:bidi/>
              <w:spacing w:before="40" w:after="40"/>
              <w:rPr>
                <w:sz w:val="12"/>
                <w:szCs w:val="18"/>
              </w:rPr>
            </w:pPr>
            <w:r w:rsidRPr="00BB7340">
              <w:rPr>
                <w:rFonts w:hint="cs"/>
                <w:sz w:val="12"/>
                <w:szCs w:val="18"/>
                <w:rtl/>
              </w:rPr>
              <w:t>ملاك الشركة</w:t>
            </w:r>
            <w:r w:rsidRPr="00BB7340">
              <w:rPr>
                <w:sz w:val="12"/>
                <w:szCs w:val="18"/>
              </w:rPr>
              <w:tab/>
            </w:r>
          </w:p>
        </w:tc>
        <w:tc>
          <w:tcPr>
            <w:tcW w:w="235" w:type="dxa"/>
            <w:vAlign w:val="bottom"/>
          </w:tcPr>
          <w:p w14:paraId="7857591B" w14:textId="77777777" w:rsidR="003C3E51" w:rsidRPr="00B02BA3" w:rsidRDefault="003C3E51" w:rsidP="003C3E51">
            <w:pPr>
              <w:spacing w:before="40" w:after="40"/>
              <w:rPr>
                <w:sz w:val="17"/>
              </w:rPr>
            </w:pPr>
          </w:p>
        </w:tc>
        <w:tc>
          <w:tcPr>
            <w:tcW w:w="901" w:type="dxa"/>
            <w:vAlign w:val="bottom"/>
          </w:tcPr>
          <w:p w14:paraId="4A02595E" w14:textId="77777777" w:rsidR="003C3E51" w:rsidRPr="00B02BA3" w:rsidRDefault="003C3E51" w:rsidP="003C3E51">
            <w:pPr>
              <w:spacing w:before="40" w:after="40"/>
              <w:jc w:val="right"/>
              <w:rPr>
                <w:sz w:val="17"/>
              </w:rPr>
            </w:pPr>
            <w:r w:rsidRPr="00B02BA3">
              <w:rPr>
                <w:sz w:val="17"/>
              </w:rPr>
              <w:t>63</w:t>
            </w:r>
            <w:r>
              <w:rPr>
                <w:sz w:val="17"/>
              </w:rPr>
              <w:t>.8</w:t>
            </w:r>
          </w:p>
        </w:tc>
        <w:tc>
          <w:tcPr>
            <w:tcW w:w="235" w:type="dxa"/>
            <w:vAlign w:val="bottom"/>
          </w:tcPr>
          <w:p w14:paraId="572B4F07" w14:textId="77777777" w:rsidR="003C3E51" w:rsidRPr="00B02BA3" w:rsidRDefault="003C3E51" w:rsidP="003C3E51">
            <w:pPr>
              <w:spacing w:before="40" w:after="40"/>
              <w:rPr>
                <w:sz w:val="17"/>
              </w:rPr>
            </w:pPr>
          </w:p>
        </w:tc>
        <w:tc>
          <w:tcPr>
            <w:tcW w:w="900" w:type="dxa"/>
            <w:vAlign w:val="bottom"/>
          </w:tcPr>
          <w:p w14:paraId="33839E41" w14:textId="77777777" w:rsidR="003C3E51" w:rsidRPr="00B02BA3" w:rsidRDefault="003C3E51" w:rsidP="003C3E51">
            <w:pPr>
              <w:spacing w:before="40" w:after="40"/>
              <w:jc w:val="right"/>
              <w:rPr>
                <w:sz w:val="17"/>
              </w:rPr>
            </w:pPr>
            <w:r w:rsidRPr="00B02BA3">
              <w:rPr>
                <w:sz w:val="17"/>
              </w:rPr>
              <w:t>137</w:t>
            </w:r>
            <w:r>
              <w:rPr>
                <w:sz w:val="17"/>
              </w:rPr>
              <w:t>.8</w:t>
            </w:r>
          </w:p>
        </w:tc>
        <w:tc>
          <w:tcPr>
            <w:tcW w:w="234" w:type="dxa"/>
            <w:vAlign w:val="bottom"/>
          </w:tcPr>
          <w:p w14:paraId="5B5AEDDE" w14:textId="77777777" w:rsidR="003C3E51" w:rsidRPr="00B02BA3" w:rsidRDefault="003C3E51" w:rsidP="003C3E51">
            <w:pPr>
              <w:spacing w:before="40" w:after="40"/>
              <w:rPr>
                <w:sz w:val="17"/>
              </w:rPr>
            </w:pPr>
          </w:p>
        </w:tc>
        <w:tc>
          <w:tcPr>
            <w:tcW w:w="900" w:type="dxa"/>
            <w:vAlign w:val="bottom"/>
          </w:tcPr>
          <w:p w14:paraId="4A6437B6" w14:textId="77777777" w:rsidR="003C3E51" w:rsidRPr="00B02BA3" w:rsidRDefault="003C3E51" w:rsidP="003C3E51">
            <w:pPr>
              <w:spacing w:before="40" w:after="40"/>
              <w:jc w:val="right"/>
              <w:rPr>
                <w:sz w:val="17"/>
              </w:rPr>
            </w:pPr>
            <w:r w:rsidRPr="00B02BA3">
              <w:rPr>
                <w:sz w:val="17"/>
              </w:rPr>
              <w:t>72</w:t>
            </w:r>
            <w:r>
              <w:rPr>
                <w:sz w:val="17"/>
              </w:rPr>
              <w:t>.3</w:t>
            </w:r>
          </w:p>
        </w:tc>
        <w:tc>
          <w:tcPr>
            <w:tcW w:w="234" w:type="dxa"/>
            <w:vAlign w:val="bottom"/>
          </w:tcPr>
          <w:p w14:paraId="01BA27B3" w14:textId="77777777" w:rsidR="003C3E51" w:rsidRPr="00B02BA3" w:rsidRDefault="003C3E51" w:rsidP="003C3E51">
            <w:pPr>
              <w:spacing w:before="40" w:after="40"/>
              <w:rPr>
                <w:sz w:val="17"/>
              </w:rPr>
            </w:pPr>
          </w:p>
        </w:tc>
        <w:tc>
          <w:tcPr>
            <w:tcW w:w="900" w:type="dxa"/>
          </w:tcPr>
          <w:p w14:paraId="5D91A4B0" w14:textId="77777777" w:rsidR="003C3E51" w:rsidRPr="00B02BA3" w:rsidRDefault="003C3E51" w:rsidP="003C3E51">
            <w:pPr>
              <w:spacing w:before="40" w:after="40"/>
              <w:jc w:val="right"/>
              <w:rPr>
                <w:sz w:val="17"/>
              </w:rPr>
            </w:pPr>
            <w:r>
              <w:rPr>
                <w:sz w:val="17"/>
              </w:rPr>
              <w:t>24.8</w:t>
            </w:r>
          </w:p>
        </w:tc>
        <w:tc>
          <w:tcPr>
            <w:tcW w:w="234" w:type="dxa"/>
            <w:vAlign w:val="bottom"/>
          </w:tcPr>
          <w:p w14:paraId="3767E9A7" w14:textId="77777777" w:rsidR="003C3E51" w:rsidRPr="00B02BA3" w:rsidRDefault="003C3E51" w:rsidP="003C3E51">
            <w:pPr>
              <w:spacing w:before="40" w:after="40"/>
              <w:rPr>
                <w:sz w:val="17"/>
              </w:rPr>
            </w:pPr>
          </w:p>
        </w:tc>
        <w:tc>
          <w:tcPr>
            <w:tcW w:w="900" w:type="dxa"/>
          </w:tcPr>
          <w:p w14:paraId="287B83DC" w14:textId="77777777" w:rsidR="003C3E51" w:rsidRPr="00B02BA3" w:rsidRDefault="003C3E51" w:rsidP="003C3E51">
            <w:pPr>
              <w:spacing w:before="40" w:after="40"/>
              <w:jc w:val="right"/>
              <w:rPr>
                <w:sz w:val="17"/>
              </w:rPr>
            </w:pPr>
            <w:r>
              <w:rPr>
                <w:sz w:val="17"/>
              </w:rPr>
              <w:t>106.1</w:t>
            </w:r>
          </w:p>
        </w:tc>
        <w:tc>
          <w:tcPr>
            <w:tcW w:w="234" w:type="dxa"/>
            <w:vAlign w:val="bottom"/>
          </w:tcPr>
          <w:p w14:paraId="257E60BF" w14:textId="77777777" w:rsidR="003C3E51" w:rsidRPr="00B02BA3" w:rsidRDefault="003C3E51" w:rsidP="003C3E51">
            <w:pPr>
              <w:spacing w:before="40" w:after="40"/>
              <w:rPr>
                <w:sz w:val="17"/>
              </w:rPr>
            </w:pPr>
          </w:p>
        </w:tc>
      </w:tr>
      <w:tr w:rsidR="003C3E51" w:rsidRPr="00B02BA3" w14:paraId="516FDCDF" w14:textId="77777777" w:rsidTr="00272B36">
        <w:tc>
          <w:tcPr>
            <w:tcW w:w="3141" w:type="dxa"/>
            <w:vAlign w:val="bottom"/>
          </w:tcPr>
          <w:p w14:paraId="7A7B82AD" w14:textId="77777777" w:rsidR="003C3E51" w:rsidRPr="00BB7340" w:rsidRDefault="003C3E51" w:rsidP="003C3E51">
            <w:pPr>
              <w:tabs>
                <w:tab w:val="right" w:leader="dot" w:pos="3163"/>
              </w:tabs>
              <w:bidi/>
              <w:spacing w:before="40" w:after="40"/>
              <w:rPr>
                <w:sz w:val="12"/>
                <w:szCs w:val="18"/>
              </w:rPr>
            </w:pPr>
            <w:r w:rsidRPr="00BB7340">
              <w:rPr>
                <w:rFonts w:hint="cs"/>
                <w:sz w:val="12"/>
                <w:szCs w:val="18"/>
                <w:rtl/>
              </w:rPr>
              <w:t>الحصص غير المسيطرة</w:t>
            </w:r>
            <w:r w:rsidRPr="00BB7340">
              <w:rPr>
                <w:sz w:val="12"/>
                <w:szCs w:val="18"/>
              </w:rPr>
              <w:tab/>
            </w:r>
          </w:p>
        </w:tc>
        <w:tc>
          <w:tcPr>
            <w:tcW w:w="235" w:type="dxa"/>
            <w:vAlign w:val="bottom"/>
          </w:tcPr>
          <w:p w14:paraId="6F5119DC" w14:textId="77777777" w:rsidR="003C3E51" w:rsidRPr="00B02BA3" w:rsidRDefault="003C3E51" w:rsidP="003C3E51">
            <w:pPr>
              <w:spacing w:before="40" w:after="40"/>
              <w:rPr>
                <w:sz w:val="17"/>
              </w:rPr>
            </w:pPr>
          </w:p>
        </w:tc>
        <w:tc>
          <w:tcPr>
            <w:tcW w:w="901" w:type="dxa"/>
            <w:vAlign w:val="bottom"/>
          </w:tcPr>
          <w:p w14:paraId="155A063C" w14:textId="77777777" w:rsidR="003C3E51" w:rsidRPr="00B02BA3" w:rsidRDefault="003C3E51" w:rsidP="003C3E51">
            <w:pPr>
              <w:spacing w:before="40" w:after="40"/>
              <w:jc w:val="right"/>
              <w:rPr>
                <w:sz w:val="17"/>
              </w:rPr>
            </w:pPr>
            <w:r w:rsidRPr="00B02BA3">
              <w:rPr>
                <w:sz w:val="17"/>
              </w:rPr>
              <w:t>12</w:t>
            </w:r>
            <w:r>
              <w:rPr>
                <w:sz w:val="17"/>
              </w:rPr>
              <w:t>.3</w:t>
            </w:r>
          </w:p>
        </w:tc>
        <w:tc>
          <w:tcPr>
            <w:tcW w:w="235" w:type="dxa"/>
            <w:vAlign w:val="bottom"/>
          </w:tcPr>
          <w:p w14:paraId="39ADE245" w14:textId="77777777" w:rsidR="003C3E51" w:rsidRPr="00B02BA3" w:rsidRDefault="003C3E51" w:rsidP="003C3E51">
            <w:pPr>
              <w:spacing w:before="40" w:after="40"/>
              <w:rPr>
                <w:sz w:val="17"/>
              </w:rPr>
            </w:pPr>
          </w:p>
        </w:tc>
        <w:tc>
          <w:tcPr>
            <w:tcW w:w="900" w:type="dxa"/>
            <w:vAlign w:val="bottom"/>
          </w:tcPr>
          <w:p w14:paraId="5ECE4CED" w14:textId="77777777" w:rsidR="003C3E51" w:rsidRPr="00B02BA3" w:rsidRDefault="003C3E51" w:rsidP="003C3E51">
            <w:pPr>
              <w:spacing w:before="40" w:after="40"/>
              <w:jc w:val="right"/>
              <w:rPr>
                <w:sz w:val="17"/>
              </w:rPr>
            </w:pPr>
            <w:r w:rsidRPr="00B02BA3">
              <w:rPr>
                <w:sz w:val="17"/>
              </w:rPr>
              <w:t>12</w:t>
            </w:r>
            <w:r>
              <w:rPr>
                <w:sz w:val="17"/>
              </w:rPr>
              <w:t>.3</w:t>
            </w:r>
          </w:p>
        </w:tc>
        <w:tc>
          <w:tcPr>
            <w:tcW w:w="234" w:type="dxa"/>
            <w:vAlign w:val="bottom"/>
          </w:tcPr>
          <w:p w14:paraId="2B6A1476" w14:textId="77777777" w:rsidR="003C3E51" w:rsidRPr="00B02BA3" w:rsidRDefault="003C3E51" w:rsidP="003C3E51">
            <w:pPr>
              <w:spacing w:before="40" w:after="40"/>
              <w:rPr>
                <w:sz w:val="17"/>
              </w:rPr>
            </w:pPr>
          </w:p>
        </w:tc>
        <w:tc>
          <w:tcPr>
            <w:tcW w:w="900" w:type="dxa"/>
            <w:vAlign w:val="bottom"/>
          </w:tcPr>
          <w:p w14:paraId="1F9FD015" w14:textId="77777777" w:rsidR="003C3E51" w:rsidRPr="00B02BA3" w:rsidRDefault="003C3E51" w:rsidP="003C3E51">
            <w:pPr>
              <w:spacing w:before="40" w:after="40"/>
              <w:jc w:val="right"/>
              <w:rPr>
                <w:sz w:val="17"/>
              </w:rPr>
            </w:pPr>
            <w:r w:rsidRPr="00B02BA3">
              <w:rPr>
                <w:sz w:val="17"/>
              </w:rPr>
              <w:t>11</w:t>
            </w:r>
            <w:r>
              <w:rPr>
                <w:sz w:val="17"/>
              </w:rPr>
              <w:t>.5</w:t>
            </w:r>
          </w:p>
        </w:tc>
        <w:tc>
          <w:tcPr>
            <w:tcW w:w="234" w:type="dxa"/>
            <w:vAlign w:val="bottom"/>
          </w:tcPr>
          <w:p w14:paraId="50FE679B" w14:textId="77777777" w:rsidR="003C3E51" w:rsidRPr="00B02BA3" w:rsidRDefault="003C3E51" w:rsidP="003C3E51">
            <w:pPr>
              <w:spacing w:before="40" w:after="40"/>
              <w:rPr>
                <w:sz w:val="17"/>
              </w:rPr>
            </w:pPr>
          </w:p>
        </w:tc>
        <w:tc>
          <w:tcPr>
            <w:tcW w:w="900" w:type="dxa"/>
            <w:vAlign w:val="bottom"/>
          </w:tcPr>
          <w:p w14:paraId="4AD98511" w14:textId="77777777" w:rsidR="003C3E51" w:rsidRPr="00B02BA3" w:rsidRDefault="003C3E51" w:rsidP="003C3E51">
            <w:pPr>
              <w:spacing w:before="40" w:after="40"/>
              <w:jc w:val="right"/>
              <w:rPr>
                <w:sz w:val="17"/>
              </w:rPr>
            </w:pPr>
            <w:r>
              <w:rPr>
                <w:sz w:val="17"/>
              </w:rPr>
              <w:t>8.8</w:t>
            </w:r>
          </w:p>
        </w:tc>
        <w:tc>
          <w:tcPr>
            <w:tcW w:w="234" w:type="dxa"/>
            <w:vAlign w:val="bottom"/>
          </w:tcPr>
          <w:p w14:paraId="15D2BC43" w14:textId="77777777" w:rsidR="003C3E51" w:rsidRPr="00B02BA3" w:rsidRDefault="003C3E51" w:rsidP="003C3E51">
            <w:pPr>
              <w:spacing w:before="40" w:after="40"/>
              <w:rPr>
                <w:sz w:val="17"/>
              </w:rPr>
            </w:pPr>
          </w:p>
        </w:tc>
        <w:tc>
          <w:tcPr>
            <w:tcW w:w="900" w:type="dxa"/>
            <w:vAlign w:val="bottom"/>
          </w:tcPr>
          <w:p w14:paraId="508D1D12" w14:textId="77777777" w:rsidR="003C3E51" w:rsidRPr="00B02BA3" w:rsidRDefault="003C3E51" w:rsidP="003C3E51">
            <w:pPr>
              <w:spacing w:before="40" w:after="40"/>
              <w:jc w:val="right"/>
              <w:rPr>
                <w:sz w:val="17"/>
              </w:rPr>
            </w:pPr>
            <w:r>
              <w:rPr>
                <w:sz w:val="17"/>
              </w:rPr>
              <w:t>8.6</w:t>
            </w:r>
          </w:p>
        </w:tc>
        <w:tc>
          <w:tcPr>
            <w:tcW w:w="234" w:type="dxa"/>
            <w:vAlign w:val="bottom"/>
          </w:tcPr>
          <w:p w14:paraId="50A1275C" w14:textId="77777777" w:rsidR="003C3E51" w:rsidRPr="00B02BA3" w:rsidRDefault="003C3E51" w:rsidP="003C3E51">
            <w:pPr>
              <w:spacing w:before="40" w:after="40"/>
              <w:rPr>
                <w:sz w:val="17"/>
              </w:rPr>
            </w:pPr>
          </w:p>
        </w:tc>
      </w:tr>
    </w:tbl>
    <w:p w14:paraId="4B7938CB" w14:textId="77777777" w:rsidR="00C25A93" w:rsidRDefault="00C25A93" w:rsidP="00C25A93">
      <w:pPr>
        <w:autoSpaceDE w:val="0"/>
        <w:autoSpaceDN w:val="0"/>
        <w:bidi/>
        <w:adjustRightInd w:val="0"/>
        <w:jc w:val="both"/>
        <w:rPr>
          <w:rFonts w:ascii="Traditional Arabic" w:hAnsi="Traditional Arabic" w:cs="Traditional Arabic"/>
          <w:b/>
          <w:bCs/>
          <w:sz w:val="30"/>
          <w:szCs w:val="30"/>
          <w:vertAlign w:val="superscript"/>
          <w:rtl/>
          <w:lang w:bidi="ar-EG"/>
        </w:rPr>
      </w:pPr>
    </w:p>
    <w:p w14:paraId="04849F2A" w14:textId="77777777" w:rsidR="00006159" w:rsidRPr="00985281" w:rsidRDefault="00006159" w:rsidP="00006159">
      <w:pPr>
        <w:autoSpaceDE w:val="0"/>
        <w:autoSpaceDN w:val="0"/>
        <w:bidi/>
        <w:adjustRightInd w:val="0"/>
        <w:jc w:val="both"/>
        <w:rPr>
          <w:rFonts w:ascii="Traditional Arabic" w:hAnsi="Traditional Arabic" w:cs="Traditional Arabic"/>
          <w:b/>
          <w:bCs/>
          <w:sz w:val="30"/>
          <w:szCs w:val="30"/>
          <w:vertAlign w:val="superscript"/>
          <w:rtl/>
          <w:lang w:bidi="ar-EG"/>
        </w:rPr>
      </w:pPr>
    </w:p>
    <w:p w14:paraId="6EDAB272" w14:textId="77777777" w:rsidR="00A64D52" w:rsidRDefault="00A64D52" w:rsidP="00A64D52">
      <w:pPr>
        <w:autoSpaceDE w:val="0"/>
        <w:autoSpaceDN w:val="0"/>
        <w:bidi/>
        <w:adjustRightInd w:val="0"/>
        <w:jc w:val="both"/>
        <w:rPr>
          <w:rFonts w:ascii="Traditional Arabic" w:hAnsi="Traditional Arabic" w:cs="Traditional Arabic"/>
          <w:sz w:val="30"/>
          <w:szCs w:val="30"/>
          <w:rtl/>
          <w:lang w:bidi="ar-EG"/>
        </w:rPr>
      </w:pPr>
    </w:p>
    <w:p w14:paraId="56FCB55A" w14:textId="77777777" w:rsidR="00A64D52" w:rsidRDefault="008F0796" w:rsidP="00A64D52">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 xml:space="preserve">___________ </w:t>
      </w:r>
    </w:p>
    <w:p w14:paraId="37C613F0" w14:textId="77777777" w:rsidR="008F0796" w:rsidRDefault="008F0796" w:rsidP="008F0796">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lastRenderedPageBreak/>
        <w:t>ملاحظة:</w:t>
      </w:r>
    </w:p>
    <w:p w14:paraId="44F7BAA6" w14:textId="77777777" w:rsidR="008F0796" w:rsidRPr="00985281" w:rsidRDefault="008F0796" w:rsidP="00922116">
      <w:pPr>
        <w:pStyle w:val="ListParagraph"/>
        <w:numPr>
          <w:ilvl w:val="0"/>
          <w:numId w:val="48"/>
        </w:numPr>
        <w:autoSpaceDE w:val="0"/>
        <w:autoSpaceDN w:val="0"/>
        <w:bidi/>
        <w:adjustRightInd w:val="0"/>
        <w:jc w:val="both"/>
        <w:rPr>
          <w:rFonts w:ascii="Traditional Arabic" w:hAnsi="Traditional Arabic" w:cs="Traditional Arabic"/>
          <w:sz w:val="24"/>
          <w:lang w:bidi="ar-EG"/>
        </w:rPr>
      </w:pPr>
      <w:r w:rsidRPr="00985281">
        <w:rPr>
          <w:rFonts w:ascii="Traditional Arabic" w:hAnsi="Traditional Arabic" w:cs="Traditional Arabic" w:hint="eastAsia"/>
          <w:sz w:val="24"/>
          <w:rtl/>
          <w:lang w:bidi="ar-EG"/>
        </w:rPr>
        <w:t>تم</w:t>
      </w:r>
      <w:r w:rsidRPr="00985281">
        <w:rPr>
          <w:rFonts w:ascii="Traditional Arabic" w:hAnsi="Traditional Arabic" w:cs="Traditional Arabic"/>
          <w:sz w:val="24"/>
          <w:rtl/>
          <w:lang w:bidi="ar-EG"/>
        </w:rPr>
        <w:t xml:space="preserve"> تحويل المبالغ بين الريال العماني والدولار الأمريكي بسعر صرف قدره 1.00 دولار أمريكي = 0.385 ريال عماني.</w:t>
      </w:r>
    </w:p>
    <w:p w14:paraId="6EC051B0" w14:textId="77777777" w:rsidR="00A64D52" w:rsidRDefault="00A64D52" w:rsidP="00A64D52">
      <w:pPr>
        <w:autoSpaceDE w:val="0"/>
        <w:autoSpaceDN w:val="0"/>
        <w:bidi/>
        <w:adjustRightInd w:val="0"/>
        <w:jc w:val="both"/>
        <w:rPr>
          <w:rFonts w:ascii="Traditional Arabic" w:hAnsi="Traditional Arabic" w:cs="Traditional Arabic"/>
          <w:sz w:val="30"/>
          <w:szCs w:val="30"/>
          <w:rtl/>
          <w:lang w:bidi="ar-EG"/>
        </w:rPr>
      </w:pPr>
    </w:p>
    <w:p w14:paraId="630AAF8B" w14:textId="77777777" w:rsidR="008F0796" w:rsidRPr="00985281" w:rsidRDefault="008F0796" w:rsidP="008F0796">
      <w:pPr>
        <w:autoSpaceDE w:val="0"/>
        <w:autoSpaceDN w:val="0"/>
        <w:bidi/>
        <w:adjustRightInd w:val="0"/>
        <w:jc w:val="both"/>
        <w:rPr>
          <w:rFonts w:ascii="Traditional Arabic" w:hAnsi="Traditional Arabic" w:cs="Traditional Arabic"/>
          <w:b/>
          <w:bCs/>
          <w:sz w:val="30"/>
          <w:szCs w:val="30"/>
          <w:vertAlign w:val="superscript"/>
          <w:rtl/>
          <w:lang w:bidi="ar-EG"/>
        </w:rPr>
      </w:pPr>
      <w:r>
        <w:rPr>
          <w:rFonts w:ascii="Traditional Arabic" w:hAnsi="Traditional Arabic" w:cs="Traditional Arabic" w:hint="cs"/>
          <w:b/>
          <w:bCs/>
          <w:sz w:val="30"/>
          <w:szCs w:val="30"/>
          <w:rtl/>
          <w:lang w:bidi="ar-EG"/>
        </w:rPr>
        <w:t>بيان المركز المالي الموحد (دولار أمريكي)</w:t>
      </w:r>
      <w:r w:rsidR="00716721">
        <w:rPr>
          <w:rFonts w:ascii="Traditional Arabic" w:hAnsi="Traditional Arabic" w:cs="Traditional Arabic" w:hint="cs"/>
          <w:b/>
          <w:bCs/>
          <w:sz w:val="30"/>
          <w:szCs w:val="30"/>
          <w:vertAlign w:val="superscript"/>
          <w:rtl/>
          <w:lang w:bidi="ar-EG"/>
        </w:rPr>
        <w:t>(1)</w:t>
      </w:r>
    </w:p>
    <w:tbl>
      <w:tblPr>
        <w:bidiVisual/>
        <w:tblW w:w="9048" w:type="dxa"/>
        <w:tblInd w:w="437" w:type="dxa"/>
        <w:tblLayout w:type="fixed"/>
        <w:tblCellMar>
          <w:left w:w="0" w:type="dxa"/>
          <w:right w:w="0" w:type="dxa"/>
        </w:tblCellMar>
        <w:tblLook w:val="0000" w:firstRow="0" w:lastRow="0" w:firstColumn="0" w:lastColumn="0" w:noHBand="0" w:noVBand="0"/>
      </w:tblPr>
      <w:tblGrid>
        <w:gridCol w:w="3156"/>
        <w:gridCol w:w="282"/>
        <w:gridCol w:w="1132"/>
        <w:gridCol w:w="282"/>
        <w:gridCol w:w="1132"/>
        <w:gridCol w:w="282"/>
        <w:gridCol w:w="1132"/>
        <w:gridCol w:w="282"/>
        <w:gridCol w:w="1132"/>
        <w:gridCol w:w="236"/>
      </w:tblGrid>
      <w:tr w:rsidR="00AC2AA1" w:rsidRPr="00B02BA3" w14:paraId="53F14CBB" w14:textId="77777777" w:rsidTr="00AC2AA1">
        <w:trPr>
          <w:tblHeader/>
        </w:trPr>
        <w:tc>
          <w:tcPr>
            <w:tcW w:w="3156" w:type="dxa"/>
            <w:vAlign w:val="bottom"/>
          </w:tcPr>
          <w:p w14:paraId="2BFD42D6" w14:textId="77777777" w:rsidR="00AC2AA1" w:rsidRPr="00B02BA3" w:rsidRDefault="00AC2AA1" w:rsidP="00283F9E">
            <w:pPr>
              <w:keepNext/>
              <w:bidi/>
              <w:spacing w:before="40" w:after="120"/>
              <w:rPr>
                <w:b/>
                <w:sz w:val="18"/>
              </w:rPr>
            </w:pPr>
          </w:p>
        </w:tc>
        <w:tc>
          <w:tcPr>
            <w:tcW w:w="282" w:type="dxa"/>
            <w:vAlign w:val="bottom"/>
          </w:tcPr>
          <w:p w14:paraId="2DF9CF54" w14:textId="77777777" w:rsidR="00AC2AA1" w:rsidRPr="00B02BA3" w:rsidRDefault="00AC2AA1" w:rsidP="00283F9E">
            <w:pPr>
              <w:spacing w:before="40" w:after="120"/>
              <w:rPr>
                <w:sz w:val="18"/>
              </w:rPr>
            </w:pPr>
          </w:p>
        </w:tc>
        <w:tc>
          <w:tcPr>
            <w:tcW w:w="3960" w:type="dxa"/>
            <w:gridSpan w:val="5"/>
            <w:tcBorders>
              <w:bottom w:val="single" w:sz="4" w:space="0" w:color="auto"/>
            </w:tcBorders>
            <w:vAlign w:val="bottom"/>
          </w:tcPr>
          <w:p w14:paraId="63939D35" w14:textId="77777777" w:rsidR="00AC2AA1" w:rsidRPr="00B02BA3" w:rsidRDefault="00AC2AA1" w:rsidP="00283F9E">
            <w:pPr>
              <w:keepNext/>
              <w:spacing w:before="40" w:after="120"/>
              <w:jc w:val="center"/>
              <w:rPr>
                <w:b/>
                <w:sz w:val="18"/>
              </w:rPr>
            </w:pPr>
            <w:r w:rsidRPr="00B02BA3">
              <w:rPr>
                <w:b/>
                <w:sz w:val="18"/>
              </w:rPr>
              <w:t>As at Ended 31 December</w:t>
            </w:r>
          </w:p>
        </w:tc>
        <w:tc>
          <w:tcPr>
            <w:tcW w:w="282" w:type="dxa"/>
            <w:vAlign w:val="bottom"/>
          </w:tcPr>
          <w:p w14:paraId="3102F656" w14:textId="77777777" w:rsidR="00AC2AA1" w:rsidRPr="00B02BA3" w:rsidRDefault="00AC2AA1" w:rsidP="00283F9E">
            <w:pPr>
              <w:spacing w:before="40" w:after="120"/>
              <w:jc w:val="center"/>
              <w:rPr>
                <w:sz w:val="18"/>
              </w:rPr>
            </w:pPr>
          </w:p>
        </w:tc>
        <w:tc>
          <w:tcPr>
            <w:tcW w:w="1132" w:type="dxa"/>
            <w:vMerge w:val="restart"/>
            <w:vAlign w:val="bottom"/>
          </w:tcPr>
          <w:p w14:paraId="59B1134A" w14:textId="77777777" w:rsidR="00AC2AA1" w:rsidRPr="00B02BA3" w:rsidRDefault="00AC2AA1" w:rsidP="00283F9E">
            <w:pPr>
              <w:keepNext/>
              <w:spacing w:before="40" w:after="120"/>
              <w:jc w:val="center"/>
              <w:rPr>
                <w:b/>
                <w:sz w:val="18"/>
              </w:rPr>
            </w:pPr>
            <w:r w:rsidRPr="00B02BA3">
              <w:rPr>
                <w:b/>
                <w:sz w:val="18"/>
              </w:rPr>
              <w:t>As at 30 September 2024</w:t>
            </w:r>
          </w:p>
        </w:tc>
        <w:tc>
          <w:tcPr>
            <w:tcW w:w="236" w:type="dxa"/>
            <w:vAlign w:val="bottom"/>
          </w:tcPr>
          <w:p w14:paraId="793DD3BF" w14:textId="77777777" w:rsidR="00AC2AA1" w:rsidRPr="00B02BA3" w:rsidRDefault="00AC2AA1" w:rsidP="00283F9E">
            <w:pPr>
              <w:spacing w:before="40" w:after="120"/>
              <w:rPr>
                <w:sz w:val="18"/>
              </w:rPr>
            </w:pPr>
          </w:p>
        </w:tc>
      </w:tr>
      <w:tr w:rsidR="00AC2AA1" w:rsidRPr="00B02BA3" w14:paraId="1A57B133" w14:textId="77777777" w:rsidTr="00AC2AA1">
        <w:tc>
          <w:tcPr>
            <w:tcW w:w="3156" w:type="dxa"/>
            <w:vAlign w:val="bottom"/>
          </w:tcPr>
          <w:p w14:paraId="6B1995FF" w14:textId="77777777" w:rsidR="00AC2AA1" w:rsidRPr="00B02BA3" w:rsidRDefault="00AC2AA1" w:rsidP="00283F9E">
            <w:pPr>
              <w:tabs>
                <w:tab w:val="right" w:leader="dot" w:pos="3163"/>
              </w:tabs>
              <w:bidi/>
              <w:spacing w:before="40" w:after="40"/>
              <w:rPr>
                <w:sz w:val="18"/>
              </w:rPr>
            </w:pPr>
          </w:p>
        </w:tc>
        <w:tc>
          <w:tcPr>
            <w:tcW w:w="282" w:type="dxa"/>
            <w:vAlign w:val="bottom"/>
          </w:tcPr>
          <w:p w14:paraId="4F9C3F56" w14:textId="77777777" w:rsidR="00AC2AA1" w:rsidRPr="00B02BA3" w:rsidRDefault="00AC2AA1" w:rsidP="00283F9E">
            <w:pPr>
              <w:spacing w:before="40" w:after="40"/>
              <w:rPr>
                <w:sz w:val="18"/>
              </w:rPr>
            </w:pPr>
          </w:p>
        </w:tc>
        <w:tc>
          <w:tcPr>
            <w:tcW w:w="1132" w:type="dxa"/>
            <w:tcBorders>
              <w:top w:val="single" w:sz="4" w:space="0" w:color="auto"/>
              <w:bottom w:val="single" w:sz="4" w:space="0" w:color="auto"/>
            </w:tcBorders>
            <w:vAlign w:val="bottom"/>
          </w:tcPr>
          <w:p w14:paraId="3836AF11" w14:textId="77777777" w:rsidR="00AC2AA1" w:rsidRPr="00B02BA3" w:rsidRDefault="00AC2AA1" w:rsidP="00283F9E">
            <w:pPr>
              <w:spacing w:before="40" w:after="40"/>
              <w:jc w:val="right"/>
              <w:rPr>
                <w:b/>
                <w:bCs/>
                <w:sz w:val="18"/>
              </w:rPr>
            </w:pPr>
            <w:r w:rsidRPr="00B02BA3">
              <w:rPr>
                <w:b/>
                <w:bCs/>
                <w:sz w:val="18"/>
              </w:rPr>
              <w:t>2021</w:t>
            </w:r>
          </w:p>
        </w:tc>
        <w:tc>
          <w:tcPr>
            <w:tcW w:w="282" w:type="dxa"/>
            <w:tcBorders>
              <w:top w:val="single" w:sz="4" w:space="0" w:color="auto"/>
            </w:tcBorders>
            <w:vAlign w:val="bottom"/>
          </w:tcPr>
          <w:p w14:paraId="24E6FD70" w14:textId="77777777" w:rsidR="00AC2AA1" w:rsidRPr="00B02BA3" w:rsidRDefault="00AC2AA1" w:rsidP="00283F9E">
            <w:pPr>
              <w:spacing w:before="40" w:after="40"/>
              <w:rPr>
                <w:b/>
                <w:bCs/>
                <w:sz w:val="18"/>
              </w:rPr>
            </w:pPr>
          </w:p>
        </w:tc>
        <w:tc>
          <w:tcPr>
            <w:tcW w:w="1132" w:type="dxa"/>
            <w:tcBorders>
              <w:top w:val="single" w:sz="4" w:space="0" w:color="auto"/>
              <w:bottom w:val="single" w:sz="4" w:space="0" w:color="auto"/>
            </w:tcBorders>
            <w:vAlign w:val="bottom"/>
          </w:tcPr>
          <w:p w14:paraId="4C95787F" w14:textId="77777777" w:rsidR="00AC2AA1" w:rsidRPr="00B02BA3" w:rsidRDefault="00AC2AA1" w:rsidP="00283F9E">
            <w:pPr>
              <w:spacing w:before="40" w:after="40"/>
              <w:jc w:val="right"/>
              <w:rPr>
                <w:b/>
                <w:bCs/>
                <w:sz w:val="18"/>
              </w:rPr>
            </w:pPr>
            <w:r w:rsidRPr="00B02BA3">
              <w:rPr>
                <w:b/>
                <w:bCs/>
                <w:sz w:val="18"/>
              </w:rPr>
              <w:t>2022</w:t>
            </w:r>
          </w:p>
        </w:tc>
        <w:tc>
          <w:tcPr>
            <w:tcW w:w="282" w:type="dxa"/>
            <w:tcBorders>
              <w:top w:val="single" w:sz="4" w:space="0" w:color="auto"/>
            </w:tcBorders>
            <w:vAlign w:val="bottom"/>
          </w:tcPr>
          <w:p w14:paraId="1D3C6C91" w14:textId="77777777" w:rsidR="00AC2AA1" w:rsidRPr="00B02BA3" w:rsidRDefault="00AC2AA1" w:rsidP="00283F9E">
            <w:pPr>
              <w:spacing w:before="40" w:after="40"/>
              <w:rPr>
                <w:b/>
                <w:bCs/>
                <w:sz w:val="18"/>
              </w:rPr>
            </w:pPr>
          </w:p>
        </w:tc>
        <w:tc>
          <w:tcPr>
            <w:tcW w:w="1132" w:type="dxa"/>
            <w:tcBorders>
              <w:top w:val="single" w:sz="4" w:space="0" w:color="auto"/>
              <w:bottom w:val="single" w:sz="4" w:space="0" w:color="auto"/>
            </w:tcBorders>
            <w:vAlign w:val="bottom"/>
          </w:tcPr>
          <w:p w14:paraId="321DB4A5" w14:textId="77777777" w:rsidR="00AC2AA1" w:rsidRPr="00B02BA3" w:rsidRDefault="00AC2AA1" w:rsidP="00283F9E">
            <w:pPr>
              <w:spacing w:before="40" w:after="40"/>
              <w:jc w:val="right"/>
              <w:rPr>
                <w:b/>
                <w:bCs/>
                <w:sz w:val="18"/>
              </w:rPr>
            </w:pPr>
            <w:r w:rsidRPr="00B02BA3">
              <w:rPr>
                <w:b/>
                <w:bCs/>
                <w:sz w:val="18"/>
              </w:rPr>
              <w:t>2023</w:t>
            </w:r>
          </w:p>
        </w:tc>
        <w:tc>
          <w:tcPr>
            <w:tcW w:w="282" w:type="dxa"/>
            <w:vAlign w:val="bottom"/>
          </w:tcPr>
          <w:p w14:paraId="38A7D9BC" w14:textId="77777777" w:rsidR="00AC2AA1" w:rsidRPr="00B02BA3" w:rsidRDefault="00AC2AA1" w:rsidP="00283F9E">
            <w:pPr>
              <w:spacing w:before="40" w:after="40"/>
              <w:rPr>
                <w:b/>
                <w:bCs/>
                <w:sz w:val="18"/>
              </w:rPr>
            </w:pPr>
          </w:p>
        </w:tc>
        <w:tc>
          <w:tcPr>
            <w:tcW w:w="1132" w:type="dxa"/>
            <w:vMerge/>
            <w:tcBorders>
              <w:bottom w:val="single" w:sz="4" w:space="0" w:color="auto"/>
            </w:tcBorders>
            <w:vAlign w:val="bottom"/>
          </w:tcPr>
          <w:p w14:paraId="1A58D931" w14:textId="77777777" w:rsidR="00AC2AA1" w:rsidRPr="00B02BA3" w:rsidRDefault="00AC2AA1" w:rsidP="00283F9E">
            <w:pPr>
              <w:spacing w:before="40" w:after="40"/>
              <w:jc w:val="right"/>
              <w:rPr>
                <w:b/>
                <w:bCs/>
                <w:sz w:val="18"/>
              </w:rPr>
            </w:pPr>
          </w:p>
        </w:tc>
        <w:tc>
          <w:tcPr>
            <w:tcW w:w="236" w:type="dxa"/>
            <w:vAlign w:val="bottom"/>
          </w:tcPr>
          <w:p w14:paraId="5D90E2BF" w14:textId="77777777" w:rsidR="00AC2AA1" w:rsidRPr="00B02BA3" w:rsidRDefault="00AC2AA1" w:rsidP="00283F9E">
            <w:pPr>
              <w:spacing w:before="40" w:after="40"/>
              <w:rPr>
                <w:sz w:val="18"/>
              </w:rPr>
            </w:pPr>
          </w:p>
        </w:tc>
      </w:tr>
      <w:tr w:rsidR="00AC2AA1" w:rsidRPr="00B02BA3" w14:paraId="7BC26459" w14:textId="77777777" w:rsidTr="00AC2AA1">
        <w:tc>
          <w:tcPr>
            <w:tcW w:w="3156" w:type="dxa"/>
            <w:vAlign w:val="bottom"/>
          </w:tcPr>
          <w:p w14:paraId="3135B603" w14:textId="77777777" w:rsidR="00AC2AA1" w:rsidRPr="00B02BA3" w:rsidRDefault="00AC2AA1" w:rsidP="00283F9E">
            <w:pPr>
              <w:tabs>
                <w:tab w:val="right" w:leader="dot" w:pos="3163"/>
              </w:tabs>
              <w:bidi/>
              <w:spacing w:before="40" w:after="40"/>
              <w:rPr>
                <w:sz w:val="18"/>
              </w:rPr>
            </w:pPr>
          </w:p>
        </w:tc>
        <w:tc>
          <w:tcPr>
            <w:tcW w:w="282" w:type="dxa"/>
            <w:vAlign w:val="bottom"/>
          </w:tcPr>
          <w:p w14:paraId="74946BAD" w14:textId="77777777" w:rsidR="00AC2AA1" w:rsidRPr="00B02BA3" w:rsidRDefault="00AC2AA1" w:rsidP="00283F9E">
            <w:pPr>
              <w:spacing w:before="40" w:after="40"/>
              <w:rPr>
                <w:sz w:val="18"/>
              </w:rPr>
            </w:pPr>
          </w:p>
        </w:tc>
        <w:tc>
          <w:tcPr>
            <w:tcW w:w="5374" w:type="dxa"/>
            <w:gridSpan w:val="7"/>
            <w:vAlign w:val="bottom"/>
          </w:tcPr>
          <w:p w14:paraId="7CF3BCD6" w14:textId="77777777" w:rsidR="00AC2AA1" w:rsidRPr="00B02BA3" w:rsidRDefault="00AC2AA1" w:rsidP="00283F9E">
            <w:pPr>
              <w:spacing w:before="40" w:after="40"/>
              <w:jc w:val="center"/>
              <w:rPr>
                <w:sz w:val="18"/>
              </w:rPr>
            </w:pPr>
            <w:r w:rsidRPr="00B02BA3">
              <w:rPr>
                <w:i/>
                <w:iCs/>
                <w:sz w:val="18"/>
              </w:rPr>
              <w:t xml:space="preserve">(U.S.$ </w:t>
            </w:r>
            <w:r>
              <w:rPr>
                <w:i/>
                <w:iCs/>
                <w:sz w:val="18"/>
              </w:rPr>
              <w:t>millions</w:t>
            </w:r>
            <w:r w:rsidRPr="00B02BA3">
              <w:rPr>
                <w:i/>
                <w:iCs/>
                <w:sz w:val="18"/>
              </w:rPr>
              <w:t>)</w:t>
            </w:r>
          </w:p>
        </w:tc>
        <w:tc>
          <w:tcPr>
            <w:tcW w:w="236" w:type="dxa"/>
            <w:vAlign w:val="bottom"/>
          </w:tcPr>
          <w:p w14:paraId="2DA05AA6" w14:textId="77777777" w:rsidR="00AC2AA1" w:rsidRPr="00B02BA3" w:rsidRDefault="00AC2AA1" w:rsidP="00283F9E">
            <w:pPr>
              <w:spacing w:before="40" w:after="40"/>
              <w:rPr>
                <w:sz w:val="18"/>
              </w:rPr>
            </w:pPr>
          </w:p>
        </w:tc>
      </w:tr>
      <w:tr w:rsidR="00AC2AA1" w:rsidRPr="00B02BA3" w14:paraId="42F0A9A7" w14:textId="77777777" w:rsidTr="00AC2AA1">
        <w:tc>
          <w:tcPr>
            <w:tcW w:w="3156" w:type="dxa"/>
            <w:vAlign w:val="bottom"/>
          </w:tcPr>
          <w:p w14:paraId="6B90A690" w14:textId="77777777" w:rsidR="00AC2AA1" w:rsidRPr="00B02BA3" w:rsidRDefault="00AC2AA1" w:rsidP="00283F9E">
            <w:pPr>
              <w:tabs>
                <w:tab w:val="right" w:leader="dot" w:pos="3163"/>
              </w:tabs>
              <w:bidi/>
              <w:spacing w:before="40" w:after="40"/>
              <w:rPr>
                <w:b/>
                <w:bCs/>
                <w:sz w:val="18"/>
              </w:rPr>
            </w:pPr>
            <w:r w:rsidRPr="003D0326">
              <w:rPr>
                <w:rFonts w:hint="cs"/>
                <w:b/>
                <w:bCs/>
                <w:sz w:val="14"/>
                <w:szCs w:val="16"/>
                <w:rtl/>
              </w:rPr>
              <w:t>الأصول</w:t>
            </w:r>
          </w:p>
        </w:tc>
        <w:tc>
          <w:tcPr>
            <w:tcW w:w="282" w:type="dxa"/>
            <w:vAlign w:val="bottom"/>
          </w:tcPr>
          <w:p w14:paraId="2752C273" w14:textId="77777777" w:rsidR="00AC2AA1" w:rsidRPr="00B02BA3" w:rsidRDefault="00AC2AA1" w:rsidP="00283F9E">
            <w:pPr>
              <w:spacing w:before="40" w:after="40"/>
              <w:rPr>
                <w:sz w:val="18"/>
              </w:rPr>
            </w:pPr>
          </w:p>
        </w:tc>
        <w:tc>
          <w:tcPr>
            <w:tcW w:w="1132" w:type="dxa"/>
            <w:vAlign w:val="bottom"/>
          </w:tcPr>
          <w:p w14:paraId="2CFA6B0E" w14:textId="77777777" w:rsidR="00AC2AA1" w:rsidRPr="00B02BA3" w:rsidRDefault="00AC2AA1" w:rsidP="00283F9E">
            <w:pPr>
              <w:spacing w:before="40" w:after="40"/>
              <w:jc w:val="right"/>
              <w:rPr>
                <w:sz w:val="18"/>
              </w:rPr>
            </w:pPr>
          </w:p>
        </w:tc>
        <w:tc>
          <w:tcPr>
            <w:tcW w:w="282" w:type="dxa"/>
            <w:vAlign w:val="bottom"/>
          </w:tcPr>
          <w:p w14:paraId="1DE9B12F" w14:textId="77777777" w:rsidR="00AC2AA1" w:rsidRPr="00B02BA3" w:rsidRDefault="00AC2AA1" w:rsidP="00283F9E">
            <w:pPr>
              <w:spacing w:before="40" w:after="40"/>
              <w:rPr>
                <w:sz w:val="18"/>
              </w:rPr>
            </w:pPr>
          </w:p>
        </w:tc>
        <w:tc>
          <w:tcPr>
            <w:tcW w:w="1132" w:type="dxa"/>
            <w:vAlign w:val="bottom"/>
          </w:tcPr>
          <w:p w14:paraId="293F1B49" w14:textId="77777777" w:rsidR="00AC2AA1" w:rsidRPr="00B02BA3" w:rsidRDefault="00AC2AA1" w:rsidP="00283F9E">
            <w:pPr>
              <w:spacing w:before="40" w:after="40"/>
              <w:jc w:val="right"/>
              <w:rPr>
                <w:sz w:val="18"/>
              </w:rPr>
            </w:pPr>
          </w:p>
        </w:tc>
        <w:tc>
          <w:tcPr>
            <w:tcW w:w="282" w:type="dxa"/>
            <w:vAlign w:val="bottom"/>
          </w:tcPr>
          <w:p w14:paraId="750696BC" w14:textId="77777777" w:rsidR="00AC2AA1" w:rsidRPr="00B02BA3" w:rsidRDefault="00AC2AA1" w:rsidP="00283F9E">
            <w:pPr>
              <w:spacing w:before="40" w:after="40"/>
              <w:rPr>
                <w:sz w:val="18"/>
              </w:rPr>
            </w:pPr>
          </w:p>
        </w:tc>
        <w:tc>
          <w:tcPr>
            <w:tcW w:w="1132" w:type="dxa"/>
          </w:tcPr>
          <w:p w14:paraId="18D1949F" w14:textId="77777777" w:rsidR="00AC2AA1" w:rsidRPr="00B02BA3" w:rsidRDefault="00AC2AA1" w:rsidP="00283F9E">
            <w:pPr>
              <w:spacing w:before="40" w:after="40"/>
              <w:jc w:val="right"/>
              <w:rPr>
                <w:sz w:val="18"/>
              </w:rPr>
            </w:pPr>
          </w:p>
        </w:tc>
        <w:tc>
          <w:tcPr>
            <w:tcW w:w="282" w:type="dxa"/>
            <w:vAlign w:val="bottom"/>
          </w:tcPr>
          <w:p w14:paraId="3B3F6803" w14:textId="77777777" w:rsidR="00AC2AA1" w:rsidRPr="00B02BA3" w:rsidRDefault="00AC2AA1" w:rsidP="00283F9E">
            <w:pPr>
              <w:spacing w:before="40" w:after="40"/>
              <w:rPr>
                <w:sz w:val="18"/>
              </w:rPr>
            </w:pPr>
          </w:p>
        </w:tc>
        <w:tc>
          <w:tcPr>
            <w:tcW w:w="1132" w:type="dxa"/>
            <w:vAlign w:val="bottom"/>
          </w:tcPr>
          <w:p w14:paraId="0A86032D" w14:textId="77777777" w:rsidR="00AC2AA1" w:rsidRPr="00B02BA3" w:rsidRDefault="00AC2AA1" w:rsidP="00283F9E">
            <w:pPr>
              <w:spacing w:before="40" w:after="40"/>
              <w:jc w:val="right"/>
              <w:rPr>
                <w:sz w:val="18"/>
              </w:rPr>
            </w:pPr>
          </w:p>
        </w:tc>
        <w:tc>
          <w:tcPr>
            <w:tcW w:w="236" w:type="dxa"/>
            <w:vAlign w:val="bottom"/>
          </w:tcPr>
          <w:p w14:paraId="52347EC8" w14:textId="77777777" w:rsidR="00AC2AA1" w:rsidRPr="00B02BA3" w:rsidRDefault="00AC2AA1" w:rsidP="00283F9E">
            <w:pPr>
              <w:spacing w:before="40" w:after="40"/>
              <w:rPr>
                <w:sz w:val="18"/>
              </w:rPr>
            </w:pPr>
          </w:p>
        </w:tc>
      </w:tr>
      <w:tr w:rsidR="00AC2AA1" w:rsidRPr="00B02BA3" w14:paraId="7D9B0548" w14:textId="77777777" w:rsidTr="00AC2AA1">
        <w:tc>
          <w:tcPr>
            <w:tcW w:w="3156" w:type="dxa"/>
            <w:vAlign w:val="bottom"/>
          </w:tcPr>
          <w:p w14:paraId="25A95432" w14:textId="77777777" w:rsidR="00AC2AA1" w:rsidRPr="00B02BA3" w:rsidRDefault="00AC2AA1" w:rsidP="00283F9E">
            <w:pPr>
              <w:tabs>
                <w:tab w:val="right" w:leader="dot" w:pos="3163"/>
              </w:tabs>
              <w:bidi/>
              <w:spacing w:before="40" w:after="40"/>
              <w:rPr>
                <w:b/>
                <w:bCs/>
                <w:sz w:val="18"/>
              </w:rPr>
            </w:pPr>
            <w:r w:rsidRPr="003D0326">
              <w:rPr>
                <w:rFonts w:hint="cs"/>
                <w:b/>
                <w:bCs/>
                <w:sz w:val="14"/>
                <w:szCs w:val="16"/>
                <w:rtl/>
              </w:rPr>
              <w:t>أصول غير متداولة</w:t>
            </w:r>
          </w:p>
        </w:tc>
        <w:tc>
          <w:tcPr>
            <w:tcW w:w="282" w:type="dxa"/>
            <w:vAlign w:val="bottom"/>
          </w:tcPr>
          <w:p w14:paraId="6C0FC48C" w14:textId="77777777" w:rsidR="00AC2AA1" w:rsidRPr="00B02BA3" w:rsidRDefault="00AC2AA1" w:rsidP="00283F9E">
            <w:pPr>
              <w:spacing w:before="40" w:after="40"/>
              <w:rPr>
                <w:sz w:val="18"/>
              </w:rPr>
            </w:pPr>
          </w:p>
        </w:tc>
        <w:tc>
          <w:tcPr>
            <w:tcW w:w="1132" w:type="dxa"/>
            <w:vAlign w:val="bottom"/>
          </w:tcPr>
          <w:p w14:paraId="33F42C84" w14:textId="77777777" w:rsidR="00AC2AA1" w:rsidRPr="00B02BA3" w:rsidRDefault="00AC2AA1" w:rsidP="00283F9E">
            <w:pPr>
              <w:spacing w:before="40" w:after="40"/>
              <w:jc w:val="right"/>
              <w:rPr>
                <w:sz w:val="18"/>
              </w:rPr>
            </w:pPr>
          </w:p>
        </w:tc>
        <w:tc>
          <w:tcPr>
            <w:tcW w:w="282" w:type="dxa"/>
            <w:vAlign w:val="bottom"/>
          </w:tcPr>
          <w:p w14:paraId="395C8EF5" w14:textId="77777777" w:rsidR="00AC2AA1" w:rsidRPr="00B02BA3" w:rsidRDefault="00AC2AA1" w:rsidP="00283F9E">
            <w:pPr>
              <w:spacing w:before="40" w:after="40"/>
              <w:rPr>
                <w:sz w:val="18"/>
              </w:rPr>
            </w:pPr>
          </w:p>
        </w:tc>
        <w:tc>
          <w:tcPr>
            <w:tcW w:w="1132" w:type="dxa"/>
            <w:vAlign w:val="bottom"/>
          </w:tcPr>
          <w:p w14:paraId="2EE52007" w14:textId="77777777" w:rsidR="00AC2AA1" w:rsidRPr="00B02BA3" w:rsidRDefault="00AC2AA1" w:rsidP="00283F9E">
            <w:pPr>
              <w:spacing w:before="40" w:after="40"/>
              <w:jc w:val="right"/>
              <w:rPr>
                <w:sz w:val="18"/>
              </w:rPr>
            </w:pPr>
          </w:p>
        </w:tc>
        <w:tc>
          <w:tcPr>
            <w:tcW w:w="282" w:type="dxa"/>
            <w:vAlign w:val="bottom"/>
          </w:tcPr>
          <w:p w14:paraId="270A69E9" w14:textId="77777777" w:rsidR="00AC2AA1" w:rsidRPr="00B02BA3" w:rsidRDefault="00AC2AA1" w:rsidP="00283F9E">
            <w:pPr>
              <w:spacing w:before="40" w:after="40"/>
              <w:rPr>
                <w:sz w:val="18"/>
              </w:rPr>
            </w:pPr>
          </w:p>
        </w:tc>
        <w:tc>
          <w:tcPr>
            <w:tcW w:w="1132" w:type="dxa"/>
          </w:tcPr>
          <w:p w14:paraId="558DE06B" w14:textId="77777777" w:rsidR="00AC2AA1" w:rsidRPr="00B02BA3" w:rsidRDefault="00AC2AA1" w:rsidP="00283F9E">
            <w:pPr>
              <w:spacing w:before="40" w:after="40"/>
              <w:jc w:val="right"/>
              <w:rPr>
                <w:sz w:val="18"/>
              </w:rPr>
            </w:pPr>
          </w:p>
        </w:tc>
        <w:tc>
          <w:tcPr>
            <w:tcW w:w="282" w:type="dxa"/>
            <w:vAlign w:val="bottom"/>
          </w:tcPr>
          <w:p w14:paraId="3EE73B5E" w14:textId="77777777" w:rsidR="00AC2AA1" w:rsidRPr="00B02BA3" w:rsidRDefault="00AC2AA1" w:rsidP="00283F9E">
            <w:pPr>
              <w:spacing w:before="40" w:after="40"/>
              <w:rPr>
                <w:sz w:val="18"/>
              </w:rPr>
            </w:pPr>
          </w:p>
        </w:tc>
        <w:tc>
          <w:tcPr>
            <w:tcW w:w="1132" w:type="dxa"/>
            <w:vAlign w:val="bottom"/>
          </w:tcPr>
          <w:p w14:paraId="47DD5E76" w14:textId="77777777" w:rsidR="00AC2AA1" w:rsidRPr="00B02BA3" w:rsidRDefault="00AC2AA1" w:rsidP="00283F9E">
            <w:pPr>
              <w:spacing w:before="40" w:after="40"/>
              <w:jc w:val="right"/>
              <w:rPr>
                <w:sz w:val="18"/>
              </w:rPr>
            </w:pPr>
          </w:p>
        </w:tc>
        <w:tc>
          <w:tcPr>
            <w:tcW w:w="236" w:type="dxa"/>
            <w:vAlign w:val="bottom"/>
          </w:tcPr>
          <w:p w14:paraId="127DC27E" w14:textId="77777777" w:rsidR="00AC2AA1" w:rsidRPr="00B02BA3" w:rsidRDefault="00AC2AA1" w:rsidP="00283F9E">
            <w:pPr>
              <w:spacing w:before="40" w:after="40"/>
              <w:rPr>
                <w:sz w:val="18"/>
              </w:rPr>
            </w:pPr>
          </w:p>
        </w:tc>
      </w:tr>
      <w:tr w:rsidR="004543D0" w:rsidRPr="00B02BA3" w14:paraId="775114E0" w14:textId="77777777" w:rsidTr="00AC2AA1">
        <w:tc>
          <w:tcPr>
            <w:tcW w:w="3156" w:type="dxa"/>
            <w:vAlign w:val="bottom"/>
          </w:tcPr>
          <w:p w14:paraId="3F268D1F" w14:textId="77777777" w:rsidR="004543D0" w:rsidRPr="00B02BA3" w:rsidRDefault="004543D0" w:rsidP="004543D0">
            <w:pPr>
              <w:tabs>
                <w:tab w:val="right" w:leader="dot" w:pos="3163"/>
              </w:tabs>
              <w:bidi/>
              <w:spacing w:before="40" w:after="40"/>
              <w:ind w:firstLine="407"/>
              <w:rPr>
                <w:sz w:val="18"/>
              </w:rPr>
            </w:pPr>
            <w:r w:rsidRPr="003D0326">
              <w:rPr>
                <w:rFonts w:hint="cs"/>
                <w:sz w:val="14"/>
                <w:szCs w:val="16"/>
                <w:rtl/>
              </w:rPr>
              <w:t>الممتلكات والسفن والمعدات</w:t>
            </w:r>
            <w:r w:rsidRPr="003D0326">
              <w:rPr>
                <w:sz w:val="14"/>
                <w:szCs w:val="16"/>
              </w:rPr>
              <w:tab/>
            </w:r>
          </w:p>
        </w:tc>
        <w:tc>
          <w:tcPr>
            <w:tcW w:w="282" w:type="dxa"/>
            <w:vAlign w:val="bottom"/>
          </w:tcPr>
          <w:p w14:paraId="4500C2BE" w14:textId="77777777" w:rsidR="004543D0" w:rsidRPr="00B02BA3" w:rsidRDefault="004543D0" w:rsidP="004543D0">
            <w:pPr>
              <w:spacing w:before="40" w:after="40"/>
              <w:rPr>
                <w:sz w:val="18"/>
              </w:rPr>
            </w:pPr>
          </w:p>
        </w:tc>
        <w:tc>
          <w:tcPr>
            <w:tcW w:w="1132" w:type="dxa"/>
            <w:vAlign w:val="bottom"/>
          </w:tcPr>
          <w:p w14:paraId="493BBCC1" w14:textId="77777777" w:rsidR="004543D0" w:rsidRPr="00B02BA3" w:rsidRDefault="004543D0" w:rsidP="004543D0">
            <w:pPr>
              <w:spacing w:before="40" w:after="40"/>
              <w:jc w:val="right"/>
              <w:rPr>
                <w:sz w:val="18"/>
              </w:rPr>
            </w:pPr>
            <w:r w:rsidRPr="00B02BA3">
              <w:rPr>
                <w:sz w:val="18"/>
              </w:rPr>
              <w:t>2,01</w:t>
            </w:r>
            <w:r>
              <w:rPr>
                <w:sz w:val="18"/>
              </w:rPr>
              <w:t>2.5</w:t>
            </w:r>
          </w:p>
        </w:tc>
        <w:tc>
          <w:tcPr>
            <w:tcW w:w="282" w:type="dxa"/>
            <w:vAlign w:val="bottom"/>
          </w:tcPr>
          <w:p w14:paraId="13C507C4" w14:textId="77777777" w:rsidR="004543D0" w:rsidRPr="00B02BA3" w:rsidRDefault="004543D0" w:rsidP="004543D0">
            <w:pPr>
              <w:spacing w:before="40" w:after="40"/>
              <w:rPr>
                <w:sz w:val="18"/>
              </w:rPr>
            </w:pPr>
          </w:p>
        </w:tc>
        <w:tc>
          <w:tcPr>
            <w:tcW w:w="1132" w:type="dxa"/>
            <w:vAlign w:val="bottom"/>
          </w:tcPr>
          <w:p w14:paraId="08C7A0E8" w14:textId="77777777" w:rsidR="004543D0" w:rsidRPr="00B02BA3" w:rsidRDefault="004543D0" w:rsidP="004543D0">
            <w:pPr>
              <w:spacing w:before="40" w:after="40"/>
              <w:jc w:val="right"/>
              <w:rPr>
                <w:sz w:val="18"/>
              </w:rPr>
            </w:pPr>
            <w:r w:rsidRPr="00B02BA3">
              <w:rPr>
                <w:sz w:val="18"/>
              </w:rPr>
              <w:t>1,76</w:t>
            </w:r>
            <w:r>
              <w:rPr>
                <w:sz w:val="18"/>
              </w:rPr>
              <w:t>5.2</w:t>
            </w:r>
          </w:p>
        </w:tc>
        <w:tc>
          <w:tcPr>
            <w:tcW w:w="282" w:type="dxa"/>
            <w:vAlign w:val="bottom"/>
          </w:tcPr>
          <w:p w14:paraId="6D748852" w14:textId="77777777" w:rsidR="004543D0" w:rsidRPr="00B02BA3" w:rsidRDefault="004543D0" w:rsidP="004543D0">
            <w:pPr>
              <w:spacing w:before="40" w:after="40"/>
              <w:rPr>
                <w:sz w:val="18"/>
              </w:rPr>
            </w:pPr>
          </w:p>
        </w:tc>
        <w:tc>
          <w:tcPr>
            <w:tcW w:w="1132" w:type="dxa"/>
          </w:tcPr>
          <w:p w14:paraId="2A9E99CB" w14:textId="77777777" w:rsidR="004543D0" w:rsidRPr="00B02BA3" w:rsidRDefault="004543D0" w:rsidP="004543D0">
            <w:pPr>
              <w:spacing w:before="40" w:after="40"/>
              <w:jc w:val="right"/>
              <w:rPr>
                <w:sz w:val="18"/>
              </w:rPr>
            </w:pPr>
            <w:r w:rsidRPr="00B02BA3">
              <w:rPr>
                <w:sz w:val="18"/>
              </w:rPr>
              <w:t>1,652</w:t>
            </w:r>
            <w:r>
              <w:rPr>
                <w:sz w:val="18"/>
              </w:rPr>
              <w:t>.6</w:t>
            </w:r>
          </w:p>
        </w:tc>
        <w:tc>
          <w:tcPr>
            <w:tcW w:w="282" w:type="dxa"/>
            <w:vAlign w:val="bottom"/>
          </w:tcPr>
          <w:p w14:paraId="217EB8B8" w14:textId="77777777" w:rsidR="004543D0" w:rsidRPr="00B02BA3" w:rsidRDefault="004543D0" w:rsidP="004543D0">
            <w:pPr>
              <w:spacing w:before="40" w:after="40"/>
              <w:rPr>
                <w:sz w:val="18"/>
              </w:rPr>
            </w:pPr>
          </w:p>
        </w:tc>
        <w:tc>
          <w:tcPr>
            <w:tcW w:w="1132" w:type="dxa"/>
            <w:vAlign w:val="bottom"/>
          </w:tcPr>
          <w:p w14:paraId="1581389F" w14:textId="77777777" w:rsidR="004543D0" w:rsidRPr="00B02BA3" w:rsidRDefault="004543D0" w:rsidP="004543D0">
            <w:pPr>
              <w:spacing w:before="40" w:after="40"/>
              <w:jc w:val="right"/>
              <w:rPr>
                <w:sz w:val="18"/>
              </w:rPr>
            </w:pPr>
            <w:r>
              <w:rPr>
                <w:sz w:val="18"/>
              </w:rPr>
              <w:t>1,625.3</w:t>
            </w:r>
          </w:p>
        </w:tc>
        <w:tc>
          <w:tcPr>
            <w:tcW w:w="236" w:type="dxa"/>
            <w:vAlign w:val="bottom"/>
          </w:tcPr>
          <w:p w14:paraId="1965F412" w14:textId="77777777" w:rsidR="004543D0" w:rsidRPr="00B02BA3" w:rsidRDefault="004543D0" w:rsidP="004543D0">
            <w:pPr>
              <w:spacing w:before="40" w:after="40"/>
              <w:rPr>
                <w:sz w:val="18"/>
              </w:rPr>
            </w:pPr>
          </w:p>
        </w:tc>
      </w:tr>
      <w:tr w:rsidR="00B46D67" w:rsidRPr="00B02BA3" w14:paraId="5E359630" w14:textId="77777777" w:rsidTr="00AC2AA1">
        <w:tc>
          <w:tcPr>
            <w:tcW w:w="3156" w:type="dxa"/>
            <w:vAlign w:val="bottom"/>
          </w:tcPr>
          <w:p w14:paraId="7C9ADA5F" w14:textId="77777777" w:rsidR="00B46D67" w:rsidRPr="003D0326" w:rsidRDefault="00DB413F" w:rsidP="004543D0">
            <w:pPr>
              <w:tabs>
                <w:tab w:val="right" w:leader="dot" w:pos="3163"/>
              </w:tabs>
              <w:bidi/>
              <w:spacing w:before="40" w:after="40"/>
              <w:ind w:firstLine="407"/>
              <w:rPr>
                <w:sz w:val="14"/>
                <w:szCs w:val="16"/>
                <w:rtl/>
              </w:rPr>
            </w:pPr>
            <w:r>
              <w:rPr>
                <w:rFonts w:hint="cs"/>
                <w:sz w:val="14"/>
                <w:szCs w:val="16"/>
                <w:rtl/>
              </w:rPr>
              <w:t>الأصول غير الملموسة</w:t>
            </w:r>
          </w:p>
        </w:tc>
        <w:tc>
          <w:tcPr>
            <w:tcW w:w="282" w:type="dxa"/>
            <w:vAlign w:val="bottom"/>
          </w:tcPr>
          <w:p w14:paraId="5BB8583C" w14:textId="77777777" w:rsidR="00B46D67" w:rsidRPr="00B02BA3" w:rsidRDefault="00B46D67" w:rsidP="004543D0">
            <w:pPr>
              <w:spacing w:before="40" w:after="40"/>
              <w:rPr>
                <w:sz w:val="18"/>
              </w:rPr>
            </w:pPr>
          </w:p>
        </w:tc>
        <w:tc>
          <w:tcPr>
            <w:tcW w:w="1132" w:type="dxa"/>
            <w:vAlign w:val="bottom"/>
          </w:tcPr>
          <w:p w14:paraId="4A1DDB06" w14:textId="77777777" w:rsidR="00B46D67" w:rsidRPr="00B02BA3" w:rsidRDefault="00DB413F" w:rsidP="004543D0">
            <w:pPr>
              <w:spacing w:before="40" w:after="40"/>
              <w:jc w:val="right"/>
              <w:rPr>
                <w:sz w:val="18"/>
              </w:rPr>
            </w:pPr>
            <w:r w:rsidRPr="00B02BA3">
              <w:rPr>
                <w:sz w:val="18"/>
              </w:rPr>
              <w:t>—</w:t>
            </w:r>
          </w:p>
        </w:tc>
        <w:tc>
          <w:tcPr>
            <w:tcW w:w="282" w:type="dxa"/>
            <w:vAlign w:val="bottom"/>
          </w:tcPr>
          <w:p w14:paraId="76685E3A" w14:textId="77777777" w:rsidR="00B46D67" w:rsidRPr="00B02BA3" w:rsidRDefault="00B46D67" w:rsidP="004543D0">
            <w:pPr>
              <w:spacing w:before="40" w:after="40"/>
              <w:rPr>
                <w:sz w:val="18"/>
              </w:rPr>
            </w:pPr>
          </w:p>
        </w:tc>
        <w:tc>
          <w:tcPr>
            <w:tcW w:w="1132" w:type="dxa"/>
            <w:vAlign w:val="bottom"/>
          </w:tcPr>
          <w:p w14:paraId="1CF3CA3D" w14:textId="77777777" w:rsidR="00B46D67" w:rsidRPr="00B02BA3" w:rsidRDefault="00DB413F" w:rsidP="004543D0">
            <w:pPr>
              <w:spacing w:before="40" w:after="40"/>
              <w:jc w:val="right"/>
              <w:rPr>
                <w:sz w:val="18"/>
              </w:rPr>
            </w:pPr>
            <w:r w:rsidRPr="00B02BA3">
              <w:rPr>
                <w:sz w:val="18"/>
              </w:rPr>
              <w:t>—</w:t>
            </w:r>
          </w:p>
        </w:tc>
        <w:tc>
          <w:tcPr>
            <w:tcW w:w="282" w:type="dxa"/>
            <w:vAlign w:val="bottom"/>
          </w:tcPr>
          <w:p w14:paraId="4FA240AE" w14:textId="77777777" w:rsidR="00B46D67" w:rsidRPr="00B02BA3" w:rsidRDefault="00B46D67" w:rsidP="004543D0">
            <w:pPr>
              <w:spacing w:before="40" w:after="40"/>
              <w:rPr>
                <w:sz w:val="18"/>
              </w:rPr>
            </w:pPr>
          </w:p>
        </w:tc>
        <w:tc>
          <w:tcPr>
            <w:tcW w:w="1132" w:type="dxa"/>
          </w:tcPr>
          <w:p w14:paraId="1E9827BB" w14:textId="77777777" w:rsidR="00B46D67" w:rsidRPr="00B02BA3" w:rsidRDefault="00DB413F" w:rsidP="004543D0">
            <w:pPr>
              <w:spacing w:before="40" w:after="40"/>
              <w:jc w:val="right"/>
              <w:rPr>
                <w:sz w:val="18"/>
              </w:rPr>
            </w:pPr>
            <w:r w:rsidRPr="00B02BA3">
              <w:rPr>
                <w:sz w:val="18"/>
              </w:rPr>
              <w:t>—</w:t>
            </w:r>
          </w:p>
        </w:tc>
        <w:tc>
          <w:tcPr>
            <w:tcW w:w="282" w:type="dxa"/>
            <w:vAlign w:val="bottom"/>
          </w:tcPr>
          <w:p w14:paraId="4E390693" w14:textId="77777777" w:rsidR="00B46D67" w:rsidRPr="00B02BA3" w:rsidRDefault="00B46D67" w:rsidP="004543D0">
            <w:pPr>
              <w:spacing w:before="40" w:after="40"/>
              <w:rPr>
                <w:sz w:val="18"/>
              </w:rPr>
            </w:pPr>
          </w:p>
        </w:tc>
        <w:tc>
          <w:tcPr>
            <w:tcW w:w="1132" w:type="dxa"/>
            <w:vAlign w:val="bottom"/>
          </w:tcPr>
          <w:p w14:paraId="7CBE26D7" w14:textId="674720FA" w:rsidR="00B46D67" w:rsidRPr="008C57E0" w:rsidRDefault="00DB413F" w:rsidP="004543D0">
            <w:pPr>
              <w:spacing w:before="40" w:after="40"/>
              <w:jc w:val="right"/>
              <w:rPr>
                <w:sz w:val="18"/>
                <w:lang w:val="en-GB"/>
              </w:rPr>
            </w:pPr>
            <w:r>
              <w:rPr>
                <w:sz w:val="18"/>
                <w:lang w:val="en-GB"/>
              </w:rPr>
              <w:t>0.</w:t>
            </w:r>
            <w:r w:rsidR="00FA2031">
              <w:rPr>
                <w:sz w:val="18"/>
                <w:lang w:val="en-GB"/>
              </w:rPr>
              <w:t>5</w:t>
            </w:r>
          </w:p>
        </w:tc>
        <w:tc>
          <w:tcPr>
            <w:tcW w:w="236" w:type="dxa"/>
            <w:vAlign w:val="bottom"/>
          </w:tcPr>
          <w:p w14:paraId="25E50676" w14:textId="77777777" w:rsidR="00B46D67" w:rsidRPr="00B02BA3" w:rsidRDefault="00B46D67" w:rsidP="004543D0">
            <w:pPr>
              <w:spacing w:before="40" w:after="40"/>
              <w:rPr>
                <w:sz w:val="18"/>
              </w:rPr>
            </w:pPr>
          </w:p>
        </w:tc>
      </w:tr>
      <w:tr w:rsidR="00402737" w:rsidRPr="00B02BA3" w14:paraId="3BADD29F" w14:textId="77777777" w:rsidTr="00AC2AA1">
        <w:tc>
          <w:tcPr>
            <w:tcW w:w="3156" w:type="dxa"/>
            <w:vAlign w:val="bottom"/>
          </w:tcPr>
          <w:p w14:paraId="48CF878E" w14:textId="77777777" w:rsidR="00402737" w:rsidRPr="00B02BA3" w:rsidRDefault="00402737" w:rsidP="00402737">
            <w:pPr>
              <w:tabs>
                <w:tab w:val="right" w:leader="dot" w:pos="3163"/>
              </w:tabs>
              <w:bidi/>
              <w:spacing w:before="40" w:after="40"/>
              <w:ind w:firstLine="407"/>
              <w:rPr>
                <w:sz w:val="18"/>
              </w:rPr>
            </w:pPr>
            <w:r w:rsidRPr="003D0326">
              <w:rPr>
                <w:rFonts w:hint="cs"/>
                <w:sz w:val="14"/>
                <w:szCs w:val="16"/>
                <w:rtl/>
              </w:rPr>
              <w:t>حق استخدام الأصول</w:t>
            </w:r>
            <w:r w:rsidRPr="003D0326">
              <w:rPr>
                <w:sz w:val="14"/>
                <w:szCs w:val="16"/>
              </w:rPr>
              <w:tab/>
            </w:r>
          </w:p>
        </w:tc>
        <w:tc>
          <w:tcPr>
            <w:tcW w:w="282" w:type="dxa"/>
            <w:vAlign w:val="bottom"/>
          </w:tcPr>
          <w:p w14:paraId="5C901D70" w14:textId="77777777" w:rsidR="00402737" w:rsidRPr="00B02BA3" w:rsidRDefault="00402737" w:rsidP="00402737">
            <w:pPr>
              <w:spacing w:before="40" w:after="40"/>
              <w:rPr>
                <w:sz w:val="18"/>
              </w:rPr>
            </w:pPr>
          </w:p>
        </w:tc>
        <w:tc>
          <w:tcPr>
            <w:tcW w:w="1132" w:type="dxa"/>
            <w:vAlign w:val="bottom"/>
          </w:tcPr>
          <w:p w14:paraId="1FC63D23" w14:textId="77777777" w:rsidR="00402737" w:rsidRPr="00B02BA3" w:rsidRDefault="00402737" w:rsidP="00402737">
            <w:pPr>
              <w:spacing w:before="40" w:after="40"/>
              <w:jc w:val="right"/>
              <w:rPr>
                <w:sz w:val="18"/>
              </w:rPr>
            </w:pPr>
            <w:r w:rsidRPr="00B02BA3">
              <w:rPr>
                <w:sz w:val="18"/>
              </w:rPr>
              <w:t>105</w:t>
            </w:r>
            <w:r>
              <w:rPr>
                <w:sz w:val="18"/>
              </w:rPr>
              <w:t>.1</w:t>
            </w:r>
          </w:p>
        </w:tc>
        <w:tc>
          <w:tcPr>
            <w:tcW w:w="282" w:type="dxa"/>
            <w:vAlign w:val="bottom"/>
          </w:tcPr>
          <w:p w14:paraId="13242D54" w14:textId="77777777" w:rsidR="00402737" w:rsidRPr="00B02BA3" w:rsidRDefault="00402737" w:rsidP="00402737">
            <w:pPr>
              <w:spacing w:before="40" w:after="40"/>
              <w:rPr>
                <w:sz w:val="18"/>
              </w:rPr>
            </w:pPr>
          </w:p>
        </w:tc>
        <w:tc>
          <w:tcPr>
            <w:tcW w:w="1132" w:type="dxa"/>
            <w:vAlign w:val="bottom"/>
          </w:tcPr>
          <w:p w14:paraId="6DEB992C" w14:textId="77777777" w:rsidR="00402737" w:rsidRPr="00B02BA3" w:rsidRDefault="00402737" w:rsidP="00402737">
            <w:pPr>
              <w:spacing w:before="40" w:after="40"/>
              <w:jc w:val="right"/>
              <w:rPr>
                <w:sz w:val="18"/>
              </w:rPr>
            </w:pPr>
            <w:r w:rsidRPr="00B02BA3">
              <w:rPr>
                <w:sz w:val="18"/>
              </w:rPr>
              <w:t>229</w:t>
            </w:r>
            <w:r>
              <w:rPr>
                <w:sz w:val="18"/>
              </w:rPr>
              <w:t>.6</w:t>
            </w:r>
          </w:p>
        </w:tc>
        <w:tc>
          <w:tcPr>
            <w:tcW w:w="282" w:type="dxa"/>
            <w:vAlign w:val="bottom"/>
          </w:tcPr>
          <w:p w14:paraId="02602CE4" w14:textId="77777777" w:rsidR="00402737" w:rsidRPr="00B02BA3" w:rsidRDefault="00402737" w:rsidP="00402737">
            <w:pPr>
              <w:spacing w:before="40" w:after="40"/>
              <w:rPr>
                <w:sz w:val="18"/>
              </w:rPr>
            </w:pPr>
          </w:p>
        </w:tc>
        <w:tc>
          <w:tcPr>
            <w:tcW w:w="1132" w:type="dxa"/>
          </w:tcPr>
          <w:p w14:paraId="3EA6DCB4" w14:textId="77777777" w:rsidR="00402737" w:rsidRPr="00B02BA3" w:rsidRDefault="00402737" w:rsidP="00402737">
            <w:pPr>
              <w:spacing w:before="40" w:after="40"/>
              <w:jc w:val="right"/>
              <w:rPr>
                <w:sz w:val="18"/>
              </w:rPr>
            </w:pPr>
            <w:r w:rsidRPr="00B02BA3">
              <w:rPr>
                <w:sz w:val="18"/>
              </w:rPr>
              <w:t>350</w:t>
            </w:r>
            <w:r>
              <w:rPr>
                <w:sz w:val="18"/>
              </w:rPr>
              <w:t>.8</w:t>
            </w:r>
          </w:p>
        </w:tc>
        <w:tc>
          <w:tcPr>
            <w:tcW w:w="282" w:type="dxa"/>
            <w:vAlign w:val="bottom"/>
          </w:tcPr>
          <w:p w14:paraId="226DAFE0" w14:textId="77777777" w:rsidR="00402737" w:rsidRPr="00B02BA3" w:rsidRDefault="00402737" w:rsidP="00402737">
            <w:pPr>
              <w:spacing w:before="40" w:after="40"/>
              <w:rPr>
                <w:sz w:val="18"/>
              </w:rPr>
            </w:pPr>
          </w:p>
        </w:tc>
        <w:tc>
          <w:tcPr>
            <w:tcW w:w="1132" w:type="dxa"/>
          </w:tcPr>
          <w:p w14:paraId="6500DD9E" w14:textId="77777777" w:rsidR="00402737" w:rsidRPr="00B02BA3" w:rsidRDefault="00402737" w:rsidP="00402737">
            <w:pPr>
              <w:spacing w:before="40" w:after="40"/>
              <w:jc w:val="right"/>
              <w:rPr>
                <w:sz w:val="18"/>
              </w:rPr>
            </w:pPr>
            <w:r>
              <w:rPr>
                <w:sz w:val="18"/>
              </w:rPr>
              <w:t>348.9</w:t>
            </w:r>
          </w:p>
        </w:tc>
        <w:tc>
          <w:tcPr>
            <w:tcW w:w="236" w:type="dxa"/>
            <w:vAlign w:val="bottom"/>
          </w:tcPr>
          <w:p w14:paraId="6D42EDE8" w14:textId="77777777" w:rsidR="00402737" w:rsidRPr="00B02BA3" w:rsidRDefault="00402737" w:rsidP="00402737">
            <w:pPr>
              <w:spacing w:before="40" w:after="40"/>
              <w:rPr>
                <w:sz w:val="18"/>
              </w:rPr>
            </w:pPr>
          </w:p>
        </w:tc>
      </w:tr>
      <w:tr w:rsidR="00AC2AA1" w:rsidRPr="00B02BA3" w14:paraId="37E9473F" w14:textId="77777777" w:rsidTr="00AC2AA1">
        <w:tc>
          <w:tcPr>
            <w:tcW w:w="3156" w:type="dxa"/>
            <w:vAlign w:val="bottom"/>
          </w:tcPr>
          <w:p w14:paraId="1675E2A0" w14:textId="77777777" w:rsidR="00AC2AA1" w:rsidRPr="00B02BA3" w:rsidRDefault="00AC2AA1" w:rsidP="00283F9E">
            <w:pPr>
              <w:tabs>
                <w:tab w:val="right" w:leader="dot" w:pos="3163"/>
              </w:tabs>
              <w:bidi/>
              <w:spacing w:before="40" w:after="40"/>
              <w:ind w:firstLine="407"/>
              <w:rPr>
                <w:sz w:val="18"/>
              </w:rPr>
            </w:pPr>
            <w:r w:rsidRPr="003D0326">
              <w:rPr>
                <w:rFonts w:hint="cs"/>
                <w:sz w:val="14"/>
                <w:szCs w:val="16"/>
                <w:rtl/>
              </w:rPr>
              <w:t>استثمارات حقوق الملكية</w:t>
            </w:r>
            <w:r w:rsidRPr="003D0326">
              <w:rPr>
                <w:sz w:val="14"/>
                <w:szCs w:val="16"/>
              </w:rPr>
              <w:tab/>
            </w:r>
          </w:p>
        </w:tc>
        <w:tc>
          <w:tcPr>
            <w:tcW w:w="282" w:type="dxa"/>
            <w:vAlign w:val="bottom"/>
          </w:tcPr>
          <w:p w14:paraId="4383C4D4" w14:textId="77777777" w:rsidR="00AC2AA1" w:rsidRPr="00B02BA3" w:rsidRDefault="00AC2AA1" w:rsidP="00283F9E">
            <w:pPr>
              <w:spacing w:before="40" w:after="40"/>
              <w:rPr>
                <w:sz w:val="18"/>
              </w:rPr>
            </w:pPr>
          </w:p>
        </w:tc>
        <w:tc>
          <w:tcPr>
            <w:tcW w:w="1132" w:type="dxa"/>
            <w:vAlign w:val="bottom"/>
          </w:tcPr>
          <w:p w14:paraId="3122D567" w14:textId="77777777" w:rsidR="00AC2AA1" w:rsidRPr="00B02BA3" w:rsidRDefault="00AC2AA1" w:rsidP="00283F9E">
            <w:pPr>
              <w:spacing w:before="40" w:after="40"/>
              <w:jc w:val="right"/>
              <w:rPr>
                <w:sz w:val="18"/>
              </w:rPr>
            </w:pPr>
            <w:r w:rsidRPr="00B02BA3">
              <w:rPr>
                <w:sz w:val="18"/>
              </w:rPr>
              <w:t>86</w:t>
            </w:r>
            <w:r>
              <w:rPr>
                <w:sz w:val="18"/>
              </w:rPr>
              <w:t>.5</w:t>
            </w:r>
          </w:p>
        </w:tc>
        <w:tc>
          <w:tcPr>
            <w:tcW w:w="282" w:type="dxa"/>
            <w:vAlign w:val="bottom"/>
          </w:tcPr>
          <w:p w14:paraId="2061A8D6" w14:textId="77777777" w:rsidR="00AC2AA1" w:rsidRPr="00B02BA3" w:rsidRDefault="00AC2AA1" w:rsidP="00283F9E">
            <w:pPr>
              <w:spacing w:before="40" w:after="40"/>
              <w:rPr>
                <w:sz w:val="18"/>
              </w:rPr>
            </w:pPr>
          </w:p>
        </w:tc>
        <w:tc>
          <w:tcPr>
            <w:tcW w:w="1132" w:type="dxa"/>
            <w:vAlign w:val="bottom"/>
          </w:tcPr>
          <w:p w14:paraId="5D96DA1B" w14:textId="77777777" w:rsidR="00AC2AA1" w:rsidRPr="00B02BA3" w:rsidRDefault="00AC2AA1" w:rsidP="00283F9E">
            <w:pPr>
              <w:spacing w:before="40" w:after="40"/>
              <w:jc w:val="right"/>
              <w:rPr>
                <w:sz w:val="18"/>
              </w:rPr>
            </w:pPr>
            <w:r w:rsidRPr="00B02BA3">
              <w:rPr>
                <w:sz w:val="18"/>
              </w:rPr>
              <w:t>66</w:t>
            </w:r>
            <w:r>
              <w:rPr>
                <w:sz w:val="18"/>
              </w:rPr>
              <w:t>.3</w:t>
            </w:r>
          </w:p>
        </w:tc>
        <w:tc>
          <w:tcPr>
            <w:tcW w:w="282" w:type="dxa"/>
            <w:vAlign w:val="bottom"/>
          </w:tcPr>
          <w:p w14:paraId="7F3A18C5" w14:textId="77777777" w:rsidR="00AC2AA1" w:rsidRPr="00B02BA3" w:rsidRDefault="00AC2AA1" w:rsidP="00283F9E">
            <w:pPr>
              <w:spacing w:before="40" w:after="40"/>
              <w:rPr>
                <w:sz w:val="18"/>
              </w:rPr>
            </w:pPr>
          </w:p>
        </w:tc>
        <w:tc>
          <w:tcPr>
            <w:tcW w:w="1132" w:type="dxa"/>
          </w:tcPr>
          <w:p w14:paraId="72D52B09" w14:textId="77777777" w:rsidR="00AC2AA1" w:rsidRPr="00B02BA3" w:rsidRDefault="00AC2AA1" w:rsidP="00283F9E">
            <w:pPr>
              <w:spacing w:before="40" w:after="40"/>
              <w:jc w:val="right"/>
              <w:rPr>
                <w:sz w:val="18"/>
              </w:rPr>
            </w:pPr>
            <w:r w:rsidRPr="00B02BA3">
              <w:rPr>
                <w:sz w:val="18"/>
              </w:rPr>
              <w:t>62</w:t>
            </w:r>
            <w:r>
              <w:rPr>
                <w:sz w:val="18"/>
              </w:rPr>
              <w:t>.9</w:t>
            </w:r>
          </w:p>
        </w:tc>
        <w:tc>
          <w:tcPr>
            <w:tcW w:w="282" w:type="dxa"/>
            <w:vAlign w:val="bottom"/>
          </w:tcPr>
          <w:p w14:paraId="76E0E0A4" w14:textId="77777777" w:rsidR="00AC2AA1" w:rsidRPr="00B02BA3" w:rsidRDefault="00AC2AA1" w:rsidP="00283F9E">
            <w:pPr>
              <w:spacing w:before="40" w:after="40"/>
              <w:rPr>
                <w:sz w:val="18"/>
              </w:rPr>
            </w:pPr>
          </w:p>
        </w:tc>
        <w:tc>
          <w:tcPr>
            <w:tcW w:w="1132" w:type="dxa"/>
          </w:tcPr>
          <w:p w14:paraId="2C16F4D5" w14:textId="77777777" w:rsidR="00AC2AA1" w:rsidRPr="00B02BA3" w:rsidRDefault="00AC2AA1" w:rsidP="00283F9E">
            <w:pPr>
              <w:spacing w:before="40" w:after="40"/>
              <w:jc w:val="right"/>
              <w:rPr>
                <w:sz w:val="18"/>
              </w:rPr>
            </w:pPr>
            <w:r>
              <w:rPr>
                <w:sz w:val="18"/>
              </w:rPr>
              <w:t>64.9</w:t>
            </w:r>
          </w:p>
        </w:tc>
        <w:tc>
          <w:tcPr>
            <w:tcW w:w="236" w:type="dxa"/>
            <w:vAlign w:val="bottom"/>
          </w:tcPr>
          <w:p w14:paraId="07BB4F99" w14:textId="77777777" w:rsidR="00AC2AA1" w:rsidRPr="00B02BA3" w:rsidRDefault="00AC2AA1" w:rsidP="00283F9E">
            <w:pPr>
              <w:spacing w:before="40" w:after="40"/>
              <w:rPr>
                <w:sz w:val="18"/>
              </w:rPr>
            </w:pPr>
          </w:p>
        </w:tc>
      </w:tr>
      <w:tr w:rsidR="00307EB3" w:rsidRPr="00B02BA3" w14:paraId="349E1544" w14:textId="77777777" w:rsidTr="00AC2AA1">
        <w:tc>
          <w:tcPr>
            <w:tcW w:w="3156" w:type="dxa"/>
            <w:vAlign w:val="bottom"/>
          </w:tcPr>
          <w:p w14:paraId="0B5F0B3D" w14:textId="77777777" w:rsidR="00307EB3" w:rsidRPr="00B02BA3" w:rsidRDefault="00307EB3" w:rsidP="00307EB3">
            <w:pPr>
              <w:tabs>
                <w:tab w:val="right" w:leader="dot" w:pos="3163"/>
              </w:tabs>
              <w:bidi/>
              <w:spacing w:before="40" w:after="40"/>
              <w:ind w:firstLine="407"/>
              <w:rPr>
                <w:sz w:val="18"/>
              </w:rPr>
            </w:pPr>
            <w:r w:rsidRPr="003D0326">
              <w:rPr>
                <w:rFonts w:hint="cs"/>
                <w:sz w:val="14"/>
                <w:szCs w:val="16"/>
                <w:rtl/>
              </w:rPr>
              <w:t>الأصول المالية والتكلفة المطفأة</w:t>
            </w:r>
            <w:r w:rsidRPr="003D0326">
              <w:rPr>
                <w:sz w:val="14"/>
                <w:szCs w:val="16"/>
              </w:rPr>
              <w:tab/>
            </w:r>
          </w:p>
        </w:tc>
        <w:tc>
          <w:tcPr>
            <w:tcW w:w="282" w:type="dxa"/>
            <w:vAlign w:val="bottom"/>
          </w:tcPr>
          <w:p w14:paraId="583EE459" w14:textId="77777777" w:rsidR="00307EB3" w:rsidRPr="00B02BA3" w:rsidRDefault="00307EB3" w:rsidP="00307EB3">
            <w:pPr>
              <w:spacing w:before="40" w:after="40"/>
              <w:rPr>
                <w:sz w:val="18"/>
              </w:rPr>
            </w:pPr>
          </w:p>
        </w:tc>
        <w:tc>
          <w:tcPr>
            <w:tcW w:w="1132" w:type="dxa"/>
            <w:vAlign w:val="bottom"/>
          </w:tcPr>
          <w:p w14:paraId="7FCB0537" w14:textId="77777777" w:rsidR="00307EB3" w:rsidRPr="00B02BA3" w:rsidRDefault="00307EB3" w:rsidP="00307EB3">
            <w:pPr>
              <w:spacing w:before="40" w:after="40"/>
              <w:jc w:val="right"/>
              <w:rPr>
                <w:sz w:val="18"/>
              </w:rPr>
            </w:pPr>
            <w:r w:rsidRPr="00B02BA3">
              <w:rPr>
                <w:sz w:val="18"/>
              </w:rPr>
              <w:t>379</w:t>
            </w:r>
            <w:r>
              <w:rPr>
                <w:sz w:val="18"/>
              </w:rPr>
              <w:t>.4</w:t>
            </w:r>
          </w:p>
        </w:tc>
        <w:tc>
          <w:tcPr>
            <w:tcW w:w="282" w:type="dxa"/>
            <w:vAlign w:val="bottom"/>
          </w:tcPr>
          <w:p w14:paraId="2A941BD9" w14:textId="77777777" w:rsidR="00307EB3" w:rsidRPr="00B02BA3" w:rsidRDefault="00307EB3" w:rsidP="00307EB3">
            <w:pPr>
              <w:spacing w:before="40" w:after="40"/>
              <w:rPr>
                <w:sz w:val="18"/>
              </w:rPr>
            </w:pPr>
          </w:p>
        </w:tc>
        <w:tc>
          <w:tcPr>
            <w:tcW w:w="1132" w:type="dxa"/>
            <w:vAlign w:val="bottom"/>
          </w:tcPr>
          <w:p w14:paraId="0EFD19E5" w14:textId="77777777" w:rsidR="00307EB3" w:rsidRPr="00B02BA3" w:rsidRDefault="00307EB3" w:rsidP="00307EB3">
            <w:pPr>
              <w:spacing w:before="40" w:after="40"/>
              <w:jc w:val="right"/>
              <w:rPr>
                <w:sz w:val="18"/>
              </w:rPr>
            </w:pPr>
            <w:r w:rsidRPr="00B02BA3">
              <w:rPr>
                <w:sz w:val="18"/>
              </w:rPr>
              <w:t>360</w:t>
            </w:r>
            <w:r>
              <w:rPr>
                <w:sz w:val="18"/>
              </w:rPr>
              <w:t>.6</w:t>
            </w:r>
          </w:p>
        </w:tc>
        <w:tc>
          <w:tcPr>
            <w:tcW w:w="282" w:type="dxa"/>
            <w:vAlign w:val="bottom"/>
          </w:tcPr>
          <w:p w14:paraId="1ED7134D" w14:textId="77777777" w:rsidR="00307EB3" w:rsidRPr="00B02BA3" w:rsidRDefault="00307EB3" w:rsidP="00307EB3">
            <w:pPr>
              <w:spacing w:before="40" w:after="40"/>
              <w:rPr>
                <w:sz w:val="18"/>
              </w:rPr>
            </w:pPr>
          </w:p>
        </w:tc>
        <w:tc>
          <w:tcPr>
            <w:tcW w:w="1132" w:type="dxa"/>
          </w:tcPr>
          <w:p w14:paraId="3C0C31C9" w14:textId="77777777" w:rsidR="00307EB3" w:rsidRPr="00B02BA3" w:rsidRDefault="00307EB3" w:rsidP="00307EB3">
            <w:pPr>
              <w:spacing w:before="40" w:after="40"/>
              <w:jc w:val="right"/>
              <w:rPr>
                <w:sz w:val="18"/>
              </w:rPr>
            </w:pPr>
            <w:r>
              <w:rPr>
                <w:sz w:val="18"/>
              </w:rPr>
              <w:t>340.0</w:t>
            </w:r>
          </w:p>
        </w:tc>
        <w:tc>
          <w:tcPr>
            <w:tcW w:w="282" w:type="dxa"/>
            <w:vAlign w:val="bottom"/>
          </w:tcPr>
          <w:p w14:paraId="3ADECA6E" w14:textId="77777777" w:rsidR="00307EB3" w:rsidRPr="00B02BA3" w:rsidRDefault="00307EB3" w:rsidP="00307EB3">
            <w:pPr>
              <w:spacing w:before="40" w:after="40"/>
              <w:rPr>
                <w:sz w:val="18"/>
              </w:rPr>
            </w:pPr>
          </w:p>
        </w:tc>
        <w:tc>
          <w:tcPr>
            <w:tcW w:w="1132" w:type="dxa"/>
          </w:tcPr>
          <w:p w14:paraId="1008B2B5" w14:textId="77777777" w:rsidR="00307EB3" w:rsidRPr="00B02BA3" w:rsidRDefault="00307EB3" w:rsidP="00307EB3">
            <w:pPr>
              <w:spacing w:before="40" w:after="40"/>
              <w:jc w:val="right"/>
              <w:rPr>
                <w:sz w:val="18"/>
              </w:rPr>
            </w:pPr>
            <w:r>
              <w:rPr>
                <w:sz w:val="18"/>
              </w:rPr>
              <w:t>309.0</w:t>
            </w:r>
          </w:p>
        </w:tc>
        <w:tc>
          <w:tcPr>
            <w:tcW w:w="236" w:type="dxa"/>
            <w:vAlign w:val="bottom"/>
          </w:tcPr>
          <w:p w14:paraId="38BC8DF0" w14:textId="77777777" w:rsidR="00307EB3" w:rsidRPr="00B02BA3" w:rsidRDefault="00307EB3" w:rsidP="00307EB3">
            <w:pPr>
              <w:spacing w:before="40" w:after="40"/>
              <w:rPr>
                <w:sz w:val="18"/>
              </w:rPr>
            </w:pPr>
          </w:p>
        </w:tc>
      </w:tr>
      <w:tr w:rsidR="00AC2AA1" w:rsidRPr="00B02BA3" w14:paraId="212180F4" w14:textId="77777777" w:rsidTr="00AC2AA1">
        <w:tc>
          <w:tcPr>
            <w:tcW w:w="3156" w:type="dxa"/>
            <w:vAlign w:val="bottom"/>
          </w:tcPr>
          <w:p w14:paraId="2FA2ACD1" w14:textId="77777777" w:rsidR="00AC2AA1" w:rsidRPr="00B02BA3" w:rsidRDefault="00AC2AA1" w:rsidP="00283F9E">
            <w:pPr>
              <w:tabs>
                <w:tab w:val="right" w:leader="dot" w:pos="3163"/>
              </w:tabs>
              <w:bidi/>
              <w:spacing w:before="40" w:after="40"/>
              <w:ind w:firstLine="407"/>
              <w:rPr>
                <w:sz w:val="18"/>
              </w:rPr>
            </w:pPr>
            <w:r w:rsidRPr="003D0326">
              <w:rPr>
                <w:rFonts w:hint="cs"/>
                <w:sz w:val="14"/>
                <w:szCs w:val="16"/>
                <w:rtl/>
              </w:rPr>
              <w:t>المشتقات</w:t>
            </w:r>
            <w:r w:rsidRPr="003D0326">
              <w:rPr>
                <w:sz w:val="14"/>
                <w:szCs w:val="16"/>
              </w:rPr>
              <w:tab/>
            </w:r>
          </w:p>
        </w:tc>
        <w:tc>
          <w:tcPr>
            <w:tcW w:w="282" w:type="dxa"/>
            <w:vAlign w:val="bottom"/>
          </w:tcPr>
          <w:p w14:paraId="0ECCA2F9" w14:textId="77777777" w:rsidR="00AC2AA1" w:rsidRPr="00B02BA3" w:rsidRDefault="00AC2AA1" w:rsidP="00283F9E">
            <w:pPr>
              <w:spacing w:before="40" w:after="40"/>
              <w:rPr>
                <w:sz w:val="18"/>
              </w:rPr>
            </w:pPr>
          </w:p>
        </w:tc>
        <w:tc>
          <w:tcPr>
            <w:tcW w:w="1132" w:type="dxa"/>
            <w:vAlign w:val="bottom"/>
          </w:tcPr>
          <w:p w14:paraId="5B94E427" w14:textId="77777777" w:rsidR="00AC2AA1" w:rsidRPr="00B02BA3" w:rsidRDefault="00AC2AA1" w:rsidP="00283F9E">
            <w:pPr>
              <w:spacing w:before="40" w:after="40"/>
              <w:jc w:val="right"/>
              <w:rPr>
                <w:sz w:val="18"/>
              </w:rPr>
            </w:pPr>
            <w:r w:rsidRPr="00B02BA3">
              <w:rPr>
                <w:sz w:val="18"/>
              </w:rPr>
              <w:t>3</w:t>
            </w:r>
            <w:r>
              <w:rPr>
                <w:sz w:val="18"/>
              </w:rPr>
              <w:t>.3</w:t>
            </w:r>
          </w:p>
        </w:tc>
        <w:tc>
          <w:tcPr>
            <w:tcW w:w="282" w:type="dxa"/>
            <w:vAlign w:val="bottom"/>
          </w:tcPr>
          <w:p w14:paraId="7A0180C2" w14:textId="77777777" w:rsidR="00AC2AA1" w:rsidRPr="00B02BA3" w:rsidRDefault="00AC2AA1" w:rsidP="00283F9E">
            <w:pPr>
              <w:spacing w:before="40" w:after="40"/>
              <w:rPr>
                <w:sz w:val="18"/>
              </w:rPr>
            </w:pPr>
          </w:p>
        </w:tc>
        <w:tc>
          <w:tcPr>
            <w:tcW w:w="1132" w:type="dxa"/>
            <w:vAlign w:val="bottom"/>
          </w:tcPr>
          <w:p w14:paraId="26B59574" w14:textId="77777777" w:rsidR="00AC2AA1" w:rsidRPr="00B02BA3" w:rsidRDefault="00AC2AA1" w:rsidP="00283F9E">
            <w:pPr>
              <w:spacing w:before="40" w:after="40"/>
              <w:jc w:val="right"/>
              <w:rPr>
                <w:sz w:val="18"/>
              </w:rPr>
            </w:pPr>
            <w:r w:rsidRPr="00B02BA3">
              <w:rPr>
                <w:sz w:val="18"/>
              </w:rPr>
              <w:t>13</w:t>
            </w:r>
            <w:r>
              <w:rPr>
                <w:sz w:val="18"/>
              </w:rPr>
              <w:t>.9</w:t>
            </w:r>
          </w:p>
        </w:tc>
        <w:tc>
          <w:tcPr>
            <w:tcW w:w="282" w:type="dxa"/>
            <w:vAlign w:val="bottom"/>
          </w:tcPr>
          <w:p w14:paraId="1F334A1A" w14:textId="77777777" w:rsidR="00AC2AA1" w:rsidRPr="00B02BA3" w:rsidRDefault="00AC2AA1" w:rsidP="00283F9E">
            <w:pPr>
              <w:spacing w:before="40" w:after="40"/>
              <w:rPr>
                <w:sz w:val="18"/>
              </w:rPr>
            </w:pPr>
          </w:p>
        </w:tc>
        <w:tc>
          <w:tcPr>
            <w:tcW w:w="1132" w:type="dxa"/>
          </w:tcPr>
          <w:p w14:paraId="0DAE7B73" w14:textId="77777777" w:rsidR="00AC2AA1" w:rsidRPr="00B02BA3" w:rsidRDefault="00AC2AA1" w:rsidP="00283F9E">
            <w:pPr>
              <w:spacing w:before="40" w:after="40"/>
              <w:jc w:val="right"/>
              <w:rPr>
                <w:sz w:val="18"/>
              </w:rPr>
            </w:pPr>
            <w:r w:rsidRPr="00B02BA3">
              <w:rPr>
                <w:sz w:val="18"/>
              </w:rPr>
              <w:t>1</w:t>
            </w:r>
            <w:r>
              <w:rPr>
                <w:sz w:val="18"/>
              </w:rPr>
              <w:t>.9</w:t>
            </w:r>
          </w:p>
        </w:tc>
        <w:tc>
          <w:tcPr>
            <w:tcW w:w="282" w:type="dxa"/>
            <w:vAlign w:val="bottom"/>
          </w:tcPr>
          <w:p w14:paraId="79C2A07F" w14:textId="77777777" w:rsidR="00AC2AA1" w:rsidRPr="00B02BA3" w:rsidRDefault="00AC2AA1" w:rsidP="00283F9E">
            <w:pPr>
              <w:spacing w:before="40" w:after="40"/>
              <w:rPr>
                <w:sz w:val="18"/>
              </w:rPr>
            </w:pPr>
          </w:p>
        </w:tc>
        <w:tc>
          <w:tcPr>
            <w:tcW w:w="1132" w:type="dxa"/>
          </w:tcPr>
          <w:p w14:paraId="3A943168" w14:textId="77777777" w:rsidR="00AC2AA1" w:rsidRPr="00B02BA3" w:rsidRDefault="00AC2AA1" w:rsidP="00283F9E">
            <w:pPr>
              <w:spacing w:before="40" w:after="40"/>
              <w:jc w:val="right"/>
              <w:rPr>
                <w:sz w:val="18"/>
              </w:rPr>
            </w:pPr>
            <w:r>
              <w:rPr>
                <w:sz w:val="18"/>
              </w:rPr>
              <w:t>0.9</w:t>
            </w:r>
          </w:p>
        </w:tc>
        <w:tc>
          <w:tcPr>
            <w:tcW w:w="236" w:type="dxa"/>
            <w:vAlign w:val="bottom"/>
          </w:tcPr>
          <w:p w14:paraId="623833A1" w14:textId="77777777" w:rsidR="00AC2AA1" w:rsidRPr="00B02BA3" w:rsidRDefault="00AC2AA1" w:rsidP="00283F9E">
            <w:pPr>
              <w:spacing w:before="40" w:after="40"/>
              <w:rPr>
                <w:sz w:val="18"/>
              </w:rPr>
            </w:pPr>
          </w:p>
        </w:tc>
      </w:tr>
      <w:tr w:rsidR="00AC2AA1" w:rsidRPr="00B02BA3" w14:paraId="41EAA9E8" w14:textId="77777777" w:rsidTr="00AC2AA1">
        <w:tc>
          <w:tcPr>
            <w:tcW w:w="3156" w:type="dxa"/>
            <w:vAlign w:val="bottom"/>
          </w:tcPr>
          <w:p w14:paraId="1D5CE5D6" w14:textId="77777777" w:rsidR="00AC2AA1" w:rsidRPr="00B02BA3" w:rsidRDefault="00AC2AA1" w:rsidP="00283F9E">
            <w:pPr>
              <w:tabs>
                <w:tab w:val="right" w:leader="dot" w:pos="3163"/>
              </w:tabs>
              <w:bidi/>
              <w:spacing w:before="40" w:after="40"/>
              <w:ind w:firstLine="407"/>
              <w:rPr>
                <w:sz w:val="18"/>
              </w:rPr>
            </w:pPr>
            <w:r w:rsidRPr="003D0326">
              <w:rPr>
                <w:rFonts w:hint="cs"/>
                <w:sz w:val="14"/>
                <w:szCs w:val="16"/>
                <w:rtl/>
              </w:rPr>
              <w:t>أصول الضريبة المؤجلة</w:t>
            </w:r>
            <w:r w:rsidRPr="003D0326">
              <w:rPr>
                <w:sz w:val="14"/>
                <w:szCs w:val="16"/>
              </w:rPr>
              <w:tab/>
            </w:r>
          </w:p>
        </w:tc>
        <w:tc>
          <w:tcPr>
            <w:tcW w:w="282" w:type="dxa"/>
            <w:vAlign w:val="bottom"/>
          </w:tcPr>
          <w:p w14:paraId="0FEA0A60" w14:textId="77777777" w:rsidR="00AC2AA1" w:rsidRPr="00B02BA3" w:rsidRDefault="00AC2AA1" w:rsidP="00283F9E">
            <w:pPr>
              <w:spacing w:before="40" w:after="40"/>
              <w:rPr>
                <w:sz w:val="18"/>
              </w:rPr>
            </w:pPr>
          </w:p>
        </w:tc>
        <w:tc>
          <w:tcPr>
            <w:tcW w:w="1132" w:type="dxa"/>
            <w:vAlign w:val="bottom"/>
          </w:tcPr>
          <w:p w14:paraId="209CD13B" w14:textId="77777777" w:rsidR="00AC2AA1" w:rsidRPr="00B02BA3" w:rsidRDefault="00AC2AA1" w:rsidP="00283F9E">
            <w:pPr>
              <w:spacing w:before="40" w:after="40"/>
              <w:jc w:val="right"/>
              <w:rPr>
                <w:sz w:val="18"/>
              </w:rPr>
            </w:pPr>
            <w:r>
              <w:rPr>
                <w:sz w:val="18"/>
              </w:rPr>
              <w:t>7.0</w:t>
            </w:r>
          </w:p>
        </w:tc>
        <w:tc>
          <w:tcPr>
            <w:tcW w:w="282" w:type="dxa"/>
            <w:vAlign w:val="bottom"/>
          </w:tcPr>
          <w:p w14:paraId="3B137B6E" w14:textId="77777777" w:rsidR="00AC2AA1" w:rsidRPr="00B02BA3" w:rsidRDefault="00AC2AA1" w:rsidP="00283F9E">
            <w:pPr>
              <w:spacing w:before="40" w:after="40"/>
              <w:rPr>
                <w:sz w:val="18"/>
              </w:rPr>
            </w:pPr>
          </w:p>
        </w:tc>
        <w:tc>
          <w:tcPr>
            <w:tcW w:w="1132" w:type="dxa"/>
            <w:vAlign w:val="bottom"/>
          </w:tcPr>
          <w:p w14:paraId="7573113C" w14:textId="77777777" w:rsidR="00AC2AA1" w:rsidRPr="00B02BA3" w:rsidRDefault="00AC2AA1" w:rsidP="00283F9E">
            <w:pPr>
              <w:spacing w:before="40" w:after="40"/>
              <w:jc w:val="right"/>
              <w:rPr>
                <w:sz w:val="18"/>
              </w:rPr>
            </w:pPr>
            <w:r w:rsidRPr="00B02BA3">
              <w:rPr>
                <w:sz w:val="18"/>
              </w:rPr>
              <w:t>11</w:t>
            </w:r>
            <w:r>
              <w:rPr>
                <w:sz w:val="18"/>
              </w:rPr>
              <w:t>.6</w:t>
            </w:r>
          </w:p>
        </w:tc>
        <w:tc>
          <w:tcPr>
            <w:tcW w:w="282" w:type="dxa"/>
            <w:vAlign w:val="bottom"/>
          </w:tcPr>
          <w:p w14:paraId="5A6928AD" w14:textId="77777777" w:rsidR="00AC2AA1" w:rsidRPr="00B02BA3" w:rsidRDefault="00AC2AA1" w:rsidP="00283F9E">
            <w:pPr>
              <w:spacing w:before="40" w:after="40"/>
              <w:rPr>
                <w:sz w:val="18"/>
              </w:rPr>
            </w:pPr>
          </w:p>
        </w:tc>
        <w:tc>
          <w:tcPr>
            <w:tcW w:w="1132" w:type="dxa"/>
          </w:tcPr>
          <w:p w14:paraId="0F4A54AF" w14:textId="77777777" w:rsidR="00AC2AA1" w:rsidRPr="00B02BA3" w:rsidRDefault="00AC2AA1" w:rsidP="00283F9E">
            <w:pPr>
              <w:spacing w:before="40" w:after="40"/>
              <w:jc w:val="right"/>
              <w:rPr>
                <w:sz w:val="18"/>
              </w:rPr>
            </w:pPr>
            <w:r w:rsidRPr="00B02BA3">
              <w:rPr>
                <w:sz w:val="18"/>
              </w:rPr>
              <w:t>17</w:t>
            </w:r>
            <w:r>
              <w:rPr>
                <w:sz w:val="18"/>
              </w:rPr>
              <w:t>.2</w:t>
            </w:r>
          </w:p>
        </w:tc>
        <w:tc>
          <w:tcPr>
            <w:tcW w:w="282" w:type="dxa"/>
            <w:vAlign w:val="bottom"/>
          </w:tcPr>
          <w:p w14:paraId="319F7D44" w14:textId="77777777" w:rsidR="00AC2AA1" w:rsidRPr="00B02BA3" w:rsidRDefault="00AC2AA1" w:rsidP="00283F9E">
            <w:pPr>
              <w:spacing w:before="40" w:after="40"/>
              <w:rPr>
                <w:sz w:val="18"/>
              </w:rPr>
            </w:pPr>
          </w:p>
        </w:tc>
        <w:tc>
          <w:tcPr>
            <w:tcW w:w="1132" w:type="dxa"/>
          </w:tcPr>
          <w:p w14:paraId="4E955C50" w14:textId="77777777" w:rsidR="00AC2AA1" w:rsidRPr="00B02BA3" w:rsidRDefault="00AC2AA1" w:rsidP="00283F9E">
            <w:pPr>
              <w:spacing w:before="40" w:after="40"/>
              <w:jc w:val="right"/>
              <w:rPr>
                <w:sz w:val="18"/>
              </w:rPr>
            </w:pPr>
            <w:r>
              <w:rPr>
                <w:sz w:val="18"/>
              </w:rPr>
              <w:t>19.4</w:t>
            </w:r>
          </w:p>
        </w:tc>
        <w:tc>
          <w:tcPr>
            <w:tcW w:w="236" w:type="dxa"/>
            <w:vAlign w:val="bottom"/>
          </w:tcPr>
          <w:p w14:paraId="53035542" w14:textId="77777777" w:rsidR="00AC2AA1" w:rsidRPr="00B02BA3" w:rsidRDefault="00AC2AA1" w:rsidP="00283F9E">
            <w:pPr>
              <w:spacing w:before="40" w:after="40"/>
              <w:rPr>
                <w:sz w:val="18"/>
              </w:rPr>
            </w:pPr>
          </w:p>
        </w:tc>
      </w:tr>
      <w:tr w:rsidR="00EA1B29" w:rsidRPr="00B02BA3" w14:paraId="17F38747" w14:textId="77777777" w:rsidTr="00AC2AA1">
        <w:tc>
          <w:tcPr>
            <w:tcW w:w="3156" w:type="dxa"/>
            <w:vAlign w:val="bottom"/>
          </w:tcPr>
          <w:p w14:paraId="6284F675" w14:textId="77777777" w:rsidR="00EA1B29" w:rsidRPr="003D0326" w:rsidRDefault="0060780E" w:rsidP="00283F9E">
            <w:pPr>
              <w:tabs>
                <w:tab w:val="right" w:leader="dot" w:pos="3163"/>
              </w:tabs>
              <w:bidi/>
              <w:spacing w:before="40" w:after="40"/>
              <w:ind w:firstLine="407"/>
              <w:rPr>
                <w:sz w:val="14"/>
                <w:szCs w:val="16"/>
                <w:rtl/>
              </w:rPr>
            </w:pPr>
            <w:r w:rsidRPr="003D0326">
              <w:rPr>
                <w:rFonts w:hint="cs"/>
                <w:sz w:val="14"/>
                <w:szCs w:val="16"/>
                <w:rtl/>
              </w:rPr>
              <w:t>الودائع الثابتة والهامش</w:t>
            </w:r>
            <w:r>
              <w:rPr>
                <w:sz w:val="14"/>
                <w:szCs w:val="16"/>
              </w:rPr>
              <w:t>……………………………..</w:t>
            </w:r>
          </w:p>
        </w:tc>
        <w:tc>
          <w:tcPr>
            <w:tcW w:w="282" w:type="dxa"/>
            <w:vAlign w:val="bottom"/>
          </w:tcPr>
          <w:p w14:paraId="21EFC3CB" w14:textId="77777777" w:rsidR="00EA1B29" w:rsidRPr="00B02BA3" w:rsidRDefault="00EA1B29" w:rsidP="00283F9E">
            <w:pPr>
              <w:spacing w:before="40" w:after="40"/>
              <w:rPr>
                <w:sz w:val="18"/>
              </w:rPr>
            </w:pPr>
          </w:p>
        </w:tc>
        <w:tc>
          <w:tcPr>
            <w:tcW w:w="1132" w:type="dxa"/>
            <w:vAlign w:val="bottom"/>
          </w:tcPr>
          <w:p w14:paraId="0636FBB2" w14:textId="77777777" w:rsidR="00EA1B29" w:rsidRDefault="00E20EB8" w:rsidP="00283F9E">
            <w:pPr>
              <w:spacing w:before="40" w:after="40"/>
              <w:jc w:val="right"/>
              <w:rPr>
                <w:sz w:val="18"/>
              </w:rPr>
            </w:pPr>
            <w:r w:rsidRPr="00B02BA3">
              <w:rPr>
                <w:sz w:val="18"/>
              </w:rPr>
              <w:t>—</w:t>
            </w:r>
          </w:p>
        </w:tc>
        <w:tc>
          <w:tcPr>
            <w:tcW w:w="282" w:type="dxa"/>
            <w:vAlign w:val="bottom"/>
          </w:tcPr>
          <w:p w14:paraId="066290F1" w14:textId="77777777" w:rsidR="00EA1B29" w:rsidRPr="00B02BA3" w:rsidRDefault="00EA1B29" w:rsidP="00283F9E">
            <w:pPr>
              <w:spacing w:before="40" w:after="40"/>
              <w:rPr>
                <w:sz w:val="18"/>
              </w:rPr>
            </w:pPr>
          </w:p>
        </w:tc>
        <w:tc>
          <w:tcPr>
            <w:tcW w:w="1132" w:type="dxa"/>
            <w:vAlign w:val="bottom"/>
          </w:tcPr>
          <w:p w14:paraId="0E5F26A6" w14:textId="77777777" w:rsidR="00EA1B29" w:rsidRPr="00B02BA3" w:rsidRDefault="00E20EB8" w:rsidP="00283F9E">
            <w:pPr>
              <w:spacing w:before="40" w:after="40"/>
              <w:jc w:val="right"/>
              <w:rPr>
                <w:sz w:val="18"/>
              </w:rPr>
            </w:pPr>
            <w:r w:rsidRPr="00B02BA3">
              <w:rPr>
                <w:sz w:val="18"/>
              </w:rPr>
              <w:t>—</w:t>
            </w:r>
          </w:p>
        </w:tc>
        <w:tc>
          <w:tcPr>
            <w:tcW w:w="282" w:type="dxa"/>
            <w:vAlign w:val="bottom"/>
          </w:tcPr>
          <w:p w14:paraId="735A7183" w14:textId="77777777" w:rsidR="00EA1B29" w:rsidRPr="00B02BA3" w:rsidRDefault="00EA1B29" w:rsidP="00283F9E">
            <w:pPr>
              <w:spacing w:before="40" w:after="40"/>
              <w:rPr>
                <w:sz w:val="18"/>
              </w:rPr>
            </w:pPr>
          </w:p>
        </w:tc>
        <w:tc>
          <w:tcPr>
            <w:tcW w:w="1132" w:type="dxa"/>
          </w:tcPr>
          <w:p w14:paraId="6FC1AC2B" w14:textId="77777777" w:rsidR="00EA1B29" w:rsidRPr="00B02BA3" w:rsidRDefault="00E20EB8" w:rsidP="00283F9E">
            <w:pPr>
              <w:spacing w:before="40" w:after="40"/>
              <w:jc w:val="right"/>
              <w:rPr>
                <w:sz w:val="18"/>
              </w:rPr>
            </w:pPr>
            <w:r w:rsidRPr="00B02BA3">
              <w:rPr>
                <w:sz w:val="18"/>
              </w:rPr>
              <w:t>—</w:t>
            </w:r>
          </w:p>
        </w:tc>
        <w:tc>
          <w:tcPr>
            <w:tcW w:w="282" w:type="dxa"/>
            <w:vAlign w:val="bottom"/>
          </w:tcPr>
          <w:p w14:paraId="73F6D7F1" w14:textId="77777777" w:rsidR="00EA1B29" w:rsidRPr="00B02BA3" w:rsidRDefault="00EA1B29" w:rsidP="00283F9E">
            <w:pPr>
              <w:spacing w:before="40" w:after="40"/>
              <w:rPr>
                <w:sz w:val="18"/>
              </w:rPr>
            </w:pPr>
          </w:p>
        </w:tc>
        <w:tc>
          <w:tcPr>
            <w:tcW w:w="1132" w:type="dxa"/>
          </w:tcPr>
          <w:p w14:paraId="5FC72F29" w14:textId="77777777" w:rsidR="00EA1B29" w:rsidRDefault="00FC38A3" w:rsidP="00283F9E">
            <w:pPr>
              <w:spacing w:before="40" w:after="40"/>
              <w:jc w:val="right"/>
              <w:rPr>
                <w:sz w:val="18"/>
              </w:rPr>
            </w:pPr>
            <w:r>
              <w:rPr>
                <w:sz w:val="18"/>
              </w:rPr>
              <w:t>20.0</w:t>
            </w:r>
          </w:p>
        </w:tc>
        <w:tc>
          <w:tcPr>
            <w:tcW w:w="236" w:type="dxa"/>
            <w:vAlign w:val="bottom"/>
          </w:tcPr>
          <w:p w14:paraId="77692669" w14:textId="77777777" w:rsidR="00EA1B29" w:rsidRPr="00B02BA3" w:rsidRDefault="00EA1B29" w:rsidP="00283F9E">
            <w:pPr>
              <w:spacing w:before="40" w:after="40"/>
              <w:rPr>
                <w:sz w:val="18"/>
              </w:rPr>
            </w:pPr>
          </w:p>
        </w:tc>
      </w:tr>
      <w:tr w:rsidR="005861A7" w:rsidRPr="00B02BA3" w14:paraId="603957CB" w14:textId="77777777" w:rsidTr="00AC2AA1">
        <w:tc>
          <w:tcPr>
            <w:tcW w:w="3156" w:type="dxa"/>
            <w:vAlign w:val="bottom"/>
          </w:tcPr>
          <w:p w14:paraId="74996F74" w14:textId="77777777" w:rsidR="005861A7" w:rsidRPr="00B02BA3" w:rsidRDefault="005861A7" w:rsidP="005861A7">
            <w:pPr>
              <w:tabs>
                <w:tab w:val="right" w:leader="dot" w:pos="3163"/>
              </w:tabs>
              <w:bidi/>
              <w:spacing w:before="40" w:after="40"/>
              <w:ind w:left="407"/>
              <w:rPr>
                <w:sz w:val="18"/>
              </w:rPr>
            </w:pPr>
            <w:r w:rsidRPr="003D0326">
              <w:rPr>
                <w:rFonts w:hint="cs"/>
                <w:sz w:val="14"/>
                <w:szCs w:val="16"/>
                <w:rtl/>
              </w:rPr>
              <w:t>الأصول المالية بالقيمة العادلة من خلال الدخل الشامل</w:t>
            </w:r>
            <w:r w:rsidRPr="003D0326">
              <w:rPr>
                <w:sz w:val="14"/>
                <w:szCs w:val="16"/>
              </w:rPr>
              <w:tab/>
            </w:r>
          </w:p>
        </w:tc>
        <w:tc>
          <w:tcPr>
            <w:tcW w:w="282" w:type="dxa"/>
            <w:vAlign w:val="bottom"/>
          </w:tcPr>
          <w:p w14:paraId="3D55ABFA" w14:textId="77777777" w:rsidR="005861A7" w:rsidRPr="00B02BA3" w:rsidRDefault="005861A7" w:rsidP="005861A7">
            <w:pPr>
              <w:spacing w:before="40" w:after="40"/>
              <w:rPr>
                <w:sz w:val="18"/>
              </w:rPr>
            </w:pPr>
          </w:p>
        </w:tc>
        <w:tc>
          <w:tcPr>
            <w:tcW w:w="1132" w:type="dxa"/>
            <w:tcBorders>
              <w:bottom w:val="single" w:sz="4" w:space="0" w:color="auto"/>
            </w:tcBorders>
            <w:vAlign w:val="bottom"/>
          </w:tcPr>
          <w:p w14:paraId="1AB372F5" w14:textId="77777777" w:rsidR="005861A7" w:rsidRPr="00B02BA3" w:rsidRDefault="005861A7" w:rsidP="005861A7">
            <w:pPr>
              <w:spacing w:before="40" w:after="40"/>
              <w:jc w:val="right"/>
              <w:rPr>
                <w:sz w:val="18"/>
              </w:rPr>
            </w:pPr>
            <w:r w:rsidRPr="00B02BA3">
              <w:rPr>
                <w:sz w:val="18"/>
              </w:rPr>
              <w:t>—</w:t>
            </w:r>
          </w:p>
        </w:tc>
        <w:tc>
          <w:tcPr>
            <w:tcW w:w="282" w:type="dxa"/>
            <w:vAlign w:val="bottom"/>
          </w:tcPr>
          <w:p w14:paraId="714DF260" w14:textId="77777777" w:rsidR="005861A7" w:rsidRPr="00B02BA3" w:rsidRDefault="005861A7" w:rsidP="005861A7">
            <w:pPr>
              <w:spacing w:before="40" w:after="40"/>
              <w:rPr>
                <w:sz w:val="18"/>
              </w:rPr>
            </w:pPr>
          </w:p>
        </w:tc>
        <w:tc>
          <w:tcPr>
            <w:tcW w:w="1132" w:type="dxa"/>
            <w:tcBorders>
              <w:bottom w:val="single" w:sz="4" w:space="0" w:color="auto"/>
            </w:tcBorders>
            <w:vAlign w:val="bottom"/>
          </w:tcPr>
          <w:p w14:paraId="565830C1" w14:textId="77777777" w:rsidR="005861A7" w:rsidRPr="00B02BA3" w:rsidRDefault="005861A7" w:rsidP="005861A7">
            <w:pPr>
              <w:spacing w:before="40" w:after="40"/>
              <w:jc w:val="right"/>
              <w:rPr>
                <w:sz w:val="18"/>
              </w:rPr>
            </w:pPr>
            <w:r w:rsidRPr="00B02BA3">
              <w:rPr>
                <w:sz w:val="18"/>
              </w:rPr>
              <w:t>—</w:t>
            </w:r>
          </w:p>
        </w:tc>
        <w:tc>
          <w:tcPr>
            <w:tcW w:w="282" w:type="dxa"/>
            <w:vAlign w:val="bottom"/>
          </w:tcPr>
          <w:p w14:paraId="10533AE7" w14:textId="77777777" w:rsidR="005861A7" w:rsidRPr="00B02BA3" w:rsidRDefault="005861A7" w:rsidP="005861A7">
            <w:pPr>
              <w:spacing w:before="40" w:after="40"/>
              <w:rPr>
                <w:sz w:val="18"/>
              </w:rPr>
            </w:pPr>
          </w:p>
        </w:tc>
        <w:tc>
          <w:tcPr>
            <w:tcW w:w="1132" w:type="dxa"/>
            <w:tcBorders>
              <w:bottom w:val="single" w:sz="4" w:space="0" w:color="auto"/>
            </w:tcBorders>
            <w:vAlign w:val="bottom"/>
          </w:tcPr>
          <w:p w14:paraId="64075AC6" w14:textId="77777777" w:rsidR="005861A7" w:rsidRPr="00B02BA3" w:rsidRDefault="005861A7" w:rsidP="005861A7">
            <w:pPr>
              <w:spacing w:before="40" w:after="40"/>
              <w:jc w:val="right"/>
              <w:rPr>
                <w:sz w:val="18"/>
              </w:rPr>
            </w:pPr>
            <w:r w:rsidRPr="00B02BA3">
              <w:rPr>
                <w:sz w:val="18"/>
              </w:rPr>
              <w:t>—</w:t>
            </w:r>
          </w:p>
        </w:tc>
        <w:tc>
          <w:tcPr>
            <w:tcW w:w="282" w:type="dxa"/>
            <w:vAlign w:val="bottom"/>
          </w:tcPr>
          <w:p w14:paraId="09325A3D" w14:textId="77777777" w:rsidR="005861A7" w:rsidRPr="00B02BA3" w:rsidRDefault="005861A7" w:rsidP="005861A7">
            <w:pPr>
              <w:spacing w:before="40" w:after="40"/>
              <w:rPr>
                <w:sz w:val="18"/>
              </w:rPr>
            </w:pPr>
          </w:p>
        </w:tc>
        <w:tc>
          <w:tcPr>
            <w:tcW w:w="1132" w:type="dxa"/>
            <w:tcBorders>
              <w:bottom w:val="single" w:sz="4" w:space="0" w:color="auto"/>
            </w:tcBorders>
            <w:vAlign w:val="bottom"/>
          </w:tcPr>
          <w:p w14:paraId="6BBC96BF" w14:textId="77777777" w:rsidR="005861A7" w:rsidRPr="00B02BA3" w:rsidRDefault="00E20EB8" w:rsidP="005861A7">
            <w:pPr>
              <w:spacing w:before="40" w:after="40"/>
              <w:jc w:val="right"/>
              <w:rPr>
                <w:sz w:val="18"/>
              </w:rPr>
            </w:pPr>
            <w:r w:rsidRPr="00B02BA3">
              <w:rPr>
                <w:sz w:val="18"/>
              </w:rPr>
              <w:t>—</w:t>
            </w:r>
          </w:p>
        </w:tc>
        <w:tc>
          <w:tcPr>
            <w:tcW w:w="236" w:type="dxa"/>
            <w:vAlign w:val="bottom"/>
          </w:tcPr>
          <w:p w14:paraId="3CF00D41" w14:textId="77777777" w:rsidR="005861A7" w:rsidRPr="00B02BA3" w:rsidRDefault="005861A7" w:rsidP="005861A7">
            <w:pPr>
              <w:spacing w:before="40" w:after="40"/>
              <w:rPr>
                <w:sz w:val="18"/>
              </w:rPr>
            </w:pPr>
          </w:p>
        </w:tc>
      </w:tr>
      <w:tr w:rsidR="003638F0" w:rsidRPr="00B02BA3" w14:paraId="44FBFA90" w14:textId="77777777" w:rsidTr="00AC2AA1">
        <w:tc>
          <w:tcPr>
            <w:tcW w:w="3156" w:type="dxa"/>
            <w:vAlign w:val="bottom"/>
          </w:tcPr>
          <w:p w14:paraId="12E9F724" w14:textId="77777777" w:rsidR="003638F0" w:rsidRPr="00B02BA3" w:rsidRDefault="003638F0" w:rsidP="003638F0">
            <w:pPr>
              <w:tabs>
                <w:tab w:val="right" w:leader="dot" w:pos="3163"/>
              </w:tabs>
              <w:bidi/>
              <w:spacing w:before="40" w:after="40"/>
              <w:ind w:firstLine="407"/>
              <w:rPr>
                <w:b/>
                <w:bCs/>
                <w:sz w:val="18"/>
              </w:rPr>
            </w:pPr>
            <w:r w:rsidRPr="003D0326">
              <w:rPr>
                <w:rFonts w:hint="cs"/>
                <w:b/>
                <w:bCs/>
                <w:sz w:val="14"/>
                <w:szCs w:val="16"/>
                <w:rtl/>
              </w:rPr>
              <w:t>إجمالي الأصول غير المتداولة</w:t>
            </w:r>
            <w:r w:rsidRPr="003D0326">
              <w:rPr>
                <w:sz w:val="14"/>
                <w:szCs w:val="16"/>
              </w:rPr>
              <w:tab/>
            </w:r>
          </w:p>
        </w:tc>
        <w:tc>
          <w:tcPr>
            <w:tcW w:w="282" w:type="dxa"/>
            <w:vAlign w:val="bottom"/>
          </w:tcPr>
          <w:p w14:paraId="34BAE53D" w14:textId="77777777" w:rsidR="003638F0" w:rsidRPr="00B02BA3" w:rsidRDefault="003638F0" w:rsidP="003638F0">
            <w:pPr>
              <w:spacing w:before="40" w:after="40"/>
              <w:rPr>
                <w:sz w:val="18"/>
              </w:rPr>
            </w:pPr>
          </w:p>
        </w:tc>
        <w:tc>
          <w:tcPr>
            <w:tcW w:w="1132" w:type="dxa"/>
            <w:tcBorders>
              <w:top w:val="single" w:sz="4" w:space="0" w:color="auto"/>
            </w:tcBorders>
            <w:vAlign w:val="bottom"/>
          </w:tcPr>
          <w:p w14:paraId="00F921BE" w14:textId="77777777" w:rsidR="003638F0" w:rsidRPr="00B02BA3" w:rsidRDefault="003638F0" w:rsidP="003638F0">
            <w:pPr>
              <w:spacing w:before="40" w:after="40"/>
              <w:jc w:val="right"/>
              <w:rPr>
                <w:sz w:val="18"/>
              </w:rPr>
            </w:pPr>
            <w:r w:rsidRPr="00B02BA3">
              <w:rPr>
                <w:sz w:val="18"/>
              </w:rPr>
              <w:t>2,59</w:t>
            </w:r>
            <w:r>
              <w:rPr>
                <w:sz w:val="18"/>
              </w:rPr>
              <w:t>3.8</w:t>
            </w:r>
          </w:p>
        </w:tc>
        <w:tc>
          <w:tcPr>
            <w:tcW w:w="282" w:type="dxa"/>
            <w:vAlign w:val="bottom"/>
          </w:tcPr>
          <w:p w14:paraId="70901B8F" w14:textId="77777777" w:rsidR="003638F0" w:rsidRPr="00B02BA3" w:rsidRDefault="003638F0" w:rsidP="003638F0">
            <w:pPr>
              <w:spacing w:before="40" w:after="40"/>
              <w:rPr>
                <w:sz w:val="18"/>
              </w:rPr>
            </w:pPr>
          </w:p>
        </w:tc>
        <w:tc>
          <w:tcPr>
            <w:tcW w:w="1132" w:type="dxa"/>
            <w:tcBorders>
              <w:top w:val="single" w:sz="4" w:space="0" w:color="auto"/>
            </w:tcBorders>
            <w:vAlign w:val="bottom"/>
          </w:tcPr>
          <w:p w14:paraId="637E3D3A" w14:textId="77777777" w:rsidR="003638F0" w:rsidRPr="00B02BA3" w:rsidRDefault="003638F0" w:rsidP="003638F0">
            <w:pPr>
              <w:spacing w:before="40" w:after="40"/>
              <w:jc w:val="right"/>
              <w:rPr>
                <w:sz w:val="18"/>
              </w:rPr>
            </w:pPr>
            <w:r w:rsidRPr="00B02BA3">
              <w:rPr>
                <w:sz w:val="18"/>
              </w:rPr>
              <w:t>2,</w:t>
            </w:r>
            <w:r>
              <w:rPr>
                <w:sz w:val="18"/>
              </w:rPr>
              <w:t>447.2</w:t>
            </w:r>
          </w:p>
        </w:tc>
        <w:tc>
          <w:tcPr>
            <w:tcW w:w="282" w:type="dxa"/>
            <w:vAlign w:val="bottom"/>
          </w:tcPr>
          <w:p w14:paraId="7CFFBE3F" w14:textId="77777777" w:rsidR="003638F0" w:rsidRPr="00B02BA3" w:rsidRDefault="003638F0" w:rsidP="003638F0">
            <w:pPr>
              <w:spacing w:before="40" w:after="40"/>
              <w:rPr>
                <w:sz w:val="18"/>
              </w:rPr>
            </w:pPr>
          </w:p>
        </w:tc>
        <w:tc>
          <w:tcPr>
            <w:tcW w:w="1132" w:type="dxa"/>
            <w:tcBorders>
              <w:top w:val="single" w:sz="4" w:space="0" w:color="auto"/>
            </w:tcBorders>
          </w:tcPr>
          <w:p w14:paraId="7A327177" w14:textId="77777777" w:rsidR="003638F0" w:rsidRPr="00B02BA3" w:rsidRDefault="003638F0" w:rsidP="003638F0">
            <w:pPr>
              <w:spacing w:before="40" w:after="40"/>
              <w:jc w:val="right"/>
              <w:rPr>
                <w:sz w:val="18"/>
              </w:rPr>
            </w:pPr>
            <w:r w:rsidRPr="00B02BA3">
              <w:rPr>
                <w:sz w:val="18"/>
              </w:rPr>
              <w:t>2,425</w:t>
            </w:r>
            <w:r>
              <w:rPr>
                <w:sz w:val="18"/>
              </w:rPr>
              <w:t>.5</w:t>
            </w:r>
          </w:p>
        </w:tc>
        <w:tc>
          <w:tcPr>
            <w:tcW w:w="282" w:type="dxa"/>
            <w:vAlign w:val="bottom"/>
          </w:tcPr>
          <w:p w14:paraId="7C37E8B9" w14:textId="77777777" w:rsidR="003638F0" w:rsidRPr="00B02BA3" w:rsidRDefault="003638F0" w:rsidP="003638F0">
            <w:pPr>
              <w:spacing w:before="40" w:after="40"/>
              <w:rPr>
                <w:sz w:val="18"/>
              </w:rPr>
            </w:pPr>
          </w:p>
        </w:tc>
        <w:tc>
          <w:tcPr>
            <w:tcW w:w="1132" w:type="dxa"/>
            <w:tcBorders>
              <w:top w:val="single" w:sz="4" w:space="0" w:color="auto"/>
            </w:tcBorders>
          </w:tcPr>
          <w:p w14:paraId="07E80336" w14:textId="77777777" w:rsidR="003638F0" w:rsidRPr="00B02BA3" w:rsidRDefault="003638F0" w:rsidP="003638F0">
            <w:pPr>
              <w:spacing w:before="40" w:after="40"/>
              <w:jc w:val="right"/>
              <w:rPr>
                <w:sz w:val="18"/>
              </w:rPr>
            </w:pPr>
            <w:r>
              <w:rPr>
                <w:sz w:val="18"/>
              </w:rPr>
              <w:t>2,389.0</w:t>
            </w:r>
          </w:p>
        </w:tc>
        <w:tc>
          <w:tcPr>
            <w:tcW w:w="236" w:type="dxa"/>
            <w:vAlign w:val="bottom"/>
          </w:tcPr>
          <w:p w14:paraId="6ACFE7C9" w14:textId="77777777" w:rsidR="003638F0" w:rsidRPr="00B02BA3" w:rsidRDefault="003638F0" w:rsidP="003638F0">
            <w:pPr>
              <w:spacing w:before="40" w:after="40"/>
              <w:rPr>
                <w:sz w:val="18"/>
              </w:rPr>
            </w:pPr>
          </w:p>
        </w:tc>
      </w:tr>
      <w:tr w:rsidR="00AC2AA1" w:rsidRPr="00B02BA3" w14:paraId="23415091" w14:textId="77777777" w:rsidTr="00AC2AA1">
        <w:tc>
          <w:tcPr>
            <w:tcW w:w="3156" w:type="dxa"/>
            <w:vAlign w:val="bottom"/>
          </w:tcPr>
          <w:p w14:paraId="11C83990" w14:textId="77777777" w:rsidR="00AC2AA1" w:rsidRPr="00B02BA3" w:rsidRDefault="00AC2AA1" w:rsidP="00283F9E">
            <w:pPr>
              <w:tabs>
                <w:tab w:val="right" w:leader="dot" w:pos="3163"/>
              </w:tabs>
              <w:bidi/>
              <w:spacing w:before="40" w:after="40"/>
              <w:rPr>
                <w:b/>
                <w:bCs/>
                <w:sz w:val="18"/>
              </w:rPr>
            </w:pPr>
            <w:r w:rsidRPr="003D0326">
              <w:rPr>
                <w:rFonts w:hint="cs"/>
                <w:b/>
                <w:bCs/>
                <w:sz w:val="14"/>
                <w:szCs w:val="16"/>
                <w:rtl/>
              </w:rPr>
              <w:t>إجمالي الأصول</w:t>
            </w:r>
          </w:p>
        </w:tc>
        <w:tc>
          <w:tcPr>
            <w:tcW w:w="282" w:type="dxa"/>
            <w:vAlign w:val="bottom"/>
          </w:tcPr>
          <w:p w14:paraId="4954F538" w14:textId="77777777" w:rsidR="00AC2AA1" w:rsidRPr="00B02BA3" w:rsidRDefault="00AC2AA1" w:rsidP="00283F9E">
            <w:pPr>
              <w:spacing w:before="40" w:after="40"/>
              <w:rPr>
                <w:sz w:val="18"/>
              </w:rPr>
            </w:pPr>
          </w:p>
        </w:tc>
        <w:tc>
          <w:tcPr>
            <w:tcW w:w="1132" w:type="dxa"/>
            <w:vAlign w:val="bottom"/>
          </w:tcPr>
          <w:p w14:paraId="5B50501D" w14:textId="77777777" w:rsidR="00AC2AA1" w:rsidRPr="00B02BA3" w:rsidRDefault="00AC2AA1" w:rsidP="00283F9E">
            <w:pPr>
              <w:spacing w:before="40" w:after="40"/>
              <w:jc w:val="right"/>
              <w:rPr>
                <w:sz w:val="18"/>
              </w:rPr>
            </w:pPr>
          </w:p>
        </w:tc>
        <w:tc>
          <w:tcPr>
            <w:tcW w:w="282" w:type="dxa"/>
            <w:vAlign w:val="bottom"/>
          </w:tcPr>
          <w:p w14:paraId="331E6285" w14:textId="77777777" w:rsidR="00AC2AA1" w:rsidRPr="00B02BA3" w:rsidRDefault="00AC2AA1" w:rsidP="00283F9E">
            <w:pPr>
              <w:spacing w:before="40" w:after="40"/>
              <w:rPr>
                <w:sz w:val="18"/>
              </w:rPr>
            </w:pPr>
          </w:p>
        </w:tc>
        <w:tc>
          <w:tcPr>
            <w:tcW w:w="1132" w:type="dxa"/>
            <w:vAlign w:val="bottom"/>
          </w:tcPr>
          <w:p w14:paraId="2FB65711" w14:textId="77777777" w:rsidR="00AC2AA1" w:rsidRPr="00B02BA3" w:rsidRDefault="00AC2AA1" w:rsidP="00283F9E">
            <w:pPr>
              <w:spacing w:before="40" w:after="40"/>
              <w:jc w:val="right"/>
              <w:rPr>
                <w:sz w:val="18"/>
              </w:rPr>
            </w:pPr>
          </w:p>
        </w:tc>
        <w:tc>
          <w:tcPr>
            <w:tcW w:w="282" w:type="dxa"/>
            <w:vAlign w:val="bottom"/>
          </w:tcPr>
          <w:p w14:paraId="0136FD59" w14:textId="77777777" w:rsidR="00AC2AA1" w:rsidRPr="00B02BA3" w:rsidRDefault="00AC2AA1" w:rsidP="00283F9E">
            <w:pPr>
              <w:spacing w:before="40" w:after="40"/>
              <w:rPr>
                <w:sz w:val="18"/>
              </w:rPr>
            </w:pPr>
          </w:p>
        </w:tc>
        <w:tc>
          <w:tcPr>
            <w:tcW w:w="1132" w:type="dxa"/>
          </w:tcPr>
          <w:p w14:paraId="35A1EE76" w14:textId="77777777" w:rsidR="00AC2AA1" w:rsidRPr="00B02BA3" w:rsidRDefault="00AC2AA1" w:rsidP="00283F9E">
            <w:pPr>
              <w:spacing w:before="40" w:after="40"/>
              <w:jc w:val="right"/>
              <w:rPr>
                <w:sz w:val="18"/>
              </w:rPr>
            </w:pPr>
          </w:p>
        </w:tc>
        <w:tc>
          <w:tcPr>
            <w:tcW w:w="282" w:type="dxa"/>
            <w:vAlign w:val="bottom"/>
          </w:tcPr>
          <w:p w14:paraId="20460860" w14:textId="77777777" w:rsidR="00AC2AA1" w:rsidRPr="00B02BA3" w:rsidRDefault="00AC2AA1" w:rsidP="00283F9E">
            <w:pPr>
              <w:spacing w:before="40" w:after="40"/>
              <w:rPr>
                <w:sz w:val="18"/>
              </w:rPr>
            </w:pPr>
          </w:p>
        </w:tc>
        <w:tc>
          <w:tcPr>
            <w:tcW w:w="1132" w:type="dxa"/>
          </w:tcPr>
          <w:p w14:paraId="39BC1235" w14:textId="77777777" w:rsidR="00AC2AA1" w:rsidRPr="00B02BA3" w:rsidRDefault="00AC2AA1" w:rsidP="00283F9E">
            <w:pPr>
              <w:spacing w:before="40" w:after="40"/>
              <w:jc w:val="right"/>
              <w:rPr>
                <w:sz w:val="18"/>
              </w:rPr>
            </w:pPr>
          </w:p>
        </w:tc>
        <w:tc>
          <w:tcPr>
            <w:tcW w:w="236" w:type="dxa"/>
            <w:vAlign w:val="bottom"/>
          </w:tcPr>
          <w:p w14:paraId="7F135218" w14:textId="77777777" w:rsidR="00AC2AA1" w:rsidRPr="00B02BA3" w:rsidRDefault="00AC2AA1" w:rsidP="00283F9E">
            <w:pPr>
              <w:spacing w:before="40" w:after="40"/>
              <w:rPr>
                <w:sz w:val="18"/>
              </w:rPr>
            </w:pPr>
          </w:p>
        </w:tc>
      </w:tr>
      <w:tr w:rsidR="00A83EF4" w:rsidRPr="00B02BA3" w14:paraId="2B1798B0" w14:textId="77777777" w:rsidTr="00AC2AA1">
        <w:tc>
          <w:tcPr>
            <w:tcW w:w="3156" w:type="dxa"/>
            <w:vAlign w:val="bottom"/>
          </w:tcPr>
          <w:p w14:paraId="1BBC893E" w14:textId="77777777" w:rsidR="00A83EF4" w:rsidRPr="00B02BA3" w:rsidRDefault="00A83EF4" w:rsidP="00A83EF4">
            <w:pPr>
              <w:tabs>
                <w:tab w:val="right" w:leader="dot" w:pos="3163"/>
              </w:tabs>
              <w:bidi/>
              <w:spacing w:before="40" w:after="40"/>
              <w:ind w:left="407"/>
              <w:rPr>
                <w:sz w:val="18"/>
              </w:rPr>
            </w:pPr>
            <w:r w:rsidRPr="003D0326">
              <w:rPr>
                <w:rFonts w:hint="cs"/>
                <w:sz w:val="14"/>
                <w:szCs w:val="16"/>
                <w:rtl/>
              </w:rPr>
              <w:t>الأصول المالية بالتكلفة المطفأة</w:t>
            </w:r>
            <w:r w:rsidRPr="003D0326">
              <w:rPr>
                <w:sz w:val="14"/>
                <w:szCs w:val="16"/>
              </w:rPr>
              <w:tab/>
            </w:r>
          </w:p>
        </w:tc>
        <w:tc>
          <w:tcPr>
            <w:tcW w:w="282" w:type="dxa"/>
            <w:vAlign w:val="bottom"/>
          </w:tcPr>
          <w:p w14:paraId="2AE9DCB4" w14:textId="77777777" w:rsidR="00A83EF4" w:rsidRPr="00B02BA3" w:rsidRDefault="00A83EF4" w:rsidP="00A83EF4">
            <w:pPr>
              <w:spacing w:before="40" w:after="40"/>
              <w:rPr>
                <w:sz w:val="18"/>
              </w:rPr>
            </w:pPr>
          </w:p>
        </w:tc>
        <w:tc>
          <w:tcPr>
            <w:tcW w:w="1132" w:type="dxa"/>
            <w:vAlign w:val="bottom"/>
          </w:tcPr>
          <w:p w14:paraId="68C49C50" w14:textId="77777777" w:rsidR="00A83EF4" w:rsidRPr="00B02BA3" w:rsidRDefault="00A83EF4" w:rsidP="00A83EF4">
            <w:pPr>
              <w:spacing w:before="40" w:after="40"/>
              <w:jc w:val="right"/>
              <w:rPr>
                <w:sz w:val="18"/>
              </w:rPr>
            </w:pPr>
            <w:r>
              <w:rPr>
                <w:sz w:val="18"/>
              </w:rPr>
              <w:t>15.6</w:t>
            </w:r>
          </w:p>
        </w:tc>
        <w:tc>
          <w:tcPr>
            <w:tcW w:w="282" w:type="dxa"/>
            <w:vAlign w:val="bottom"/>
          </w:tcPr>
          <w:p w14:paraId="59AD885F" w14:textId="77777777" w:rsidR="00A83EF4" w:rsidRPr="00B02BA3" w:rsidRDefault="00A83EF4" w:rsidP="00A83EF4">
            <w:pPr>
              <w:spacing w:before="40" w:after="40"/>
              <w:rPr>
                <w:sz w:val="18"/>
              </w:rPr>
            </w:pPr>
          </w:p>
        </w:tc>
        <w:tc>
          <w:tcPr>
            <w:tcW w:w="1132" w:type="dxa"/>
            <w:vAlign w:val="bottom"/>
          </w:tcPr>
          <w:p w14:paraId="71558025" w14:textId="77777777" w:rsidR="00A83EF4" w:rsidRPr="00B02BA3" w:rsidRDefault="00A83EF4" w:rsidP="00A83EF4">
            <w:pPr>
              <w:spacing w:before="40" w:after="40"/>
              <w:jc w:val="right"/>
              <w:rPr>
                <w:sz w:val="18"/>
              </w:rPr>
            </w:pPr>
            <w:r w:rsidRPr="00B02BA3">
              <w:rPr>
                <w:sz w:val="18"/>
              </w:rPr>
              <w:t>17</w:t>
            </w:r>
            <w:r>
              <w:rPr>
                <w:sz w:val="18"/>
              </w:rPr>
              <w:t>.8</w:t>
            </w:r>
          </w:p>
        </w:tc>
        <w:tc>
          <w:tcPr>
            <w:tcW w:w="282" w:type="dxa"/>
            <w:vAlign w:val="bottom"/>
          </w:tcPr>
          <w:p w14:paraId="78221143" w14:textId="77777777" w:rsidR="00A83EF4" w:rsidRPr="00B02BA3" w:rsidRDefault="00A83EF4" w:rsidP="00A83EF4">
            <w:pPr>
              <w:spacing w:before="40" w:after="40"/>
              <w:rPr>
                <w:sz w:val="18"/>
              </w:rPr>
            </w:pPr>
          </w:p>
        </w:tc>
        <w:tc>
          <w:tcPr>
            <w:tcW w:w="1132" w:type="dxa"/>
          </w:tcPr>
          <w:p w14:paraId="4DFD2110" w14:textId="77777777" w:rsidR="00A83EF4" w:rsidRPr="00B02BA3" w:rsidRDefault="00A83EF4" w:rsidP="00A83EF4">
            <w:pPr>
              <w:spacing w:before="40" w:after="40"/>
              <w:jc w:val="right"/>
              <w:rPr>
                <w:sz w:val="18"/>
              </w:rPr>
            </w:pPr>
            <w:r>
              <w:rPr>
                <w:sz w:val="18"/>
              </w:rPr>
              <w:t>20.0</w:t>
            </w:r>
          </w:p>
        </w:tc>
        <w:tc>
          <w:tcPr>
            <w:tcW w:w="282" w:type="dxa"/>
            <w:vAlign w:val="bottom"/>
          </w:tcPr>
          <w:p w14:paraId="02EA480B" w14:textId="77777777" w:rsidR="00A83EF4" w:rsidRPr="00B02BA3" w:rsidRDefault="00A83EF4" w:rsidP="00A83EF4">
            <w:pPr>
              <w:spacing w:before="40" w:after="40"/>
              <w:rPr>
                <w:sz w:val="18"/>
              </w:rPr>
            </w:pPr>
          </w:p>
        </w:tc>
        <w:tc>
          <w:tcPr>
            <w:tcW w:w="1132" w:type="dxa"/>
          </w:tcPr>
          <w:p w14:paraId="70DA90AE" w14:textId="77777777" w:rsidR="00A83EF4" w:rsidRPr="00B02BA3" w:rsidRDefault="007D0CC7" w:rsidP="00A83EF4">
            <w:pPr>
              <w:spacing w:before="40" w:after="40"/>
              <w:jc w:val="right"/>
              <w:rPr>
                <w:sz w:val="18"/>
              </w:rPr>
            </w:pPr>
            <w:r>
              <w:rPr>
                <w:sz w:val="18"/>
              </w:rPr>
              <w:t>35.8</w:t>
            </w:r>
          </w:p>
        </w:tc>
        <w:tc>
          <w:tcPr>
            <w:tcW w:w="236" w:type="dxa"/>
            <w:vAlign w:val="bottom"/>
          </w:tcPr>
          <w:p w14:paraId="0BED5662" w14:textId="77777777" w:rsidR="00A83EF4" w:rsidRPr="00B02BA3" w:rsidRDefault="00A83EF4" w:rsidP="00A83EF4">
            <w:pPr>
              <w:spacing w:before="40" w:after="40"/>
              <w:rPr>
                <w:sz w:val="18"/>
              </w:rPr>
            </w:pPr>
          </w:p>
        </w:tc>
      </w:tr>
      <w:tr w:rsidR="00AC2AA1" w:rsidRPr="00B02BA3" w14:paraId="6F2E20E3" w14:textId="77777777" w:rsidTr="00AC2AA1">
        <w:tc>
          <w:tcPr>
            <w:tcW w:w="3156" w:type="dxa"/>
            <w:vAlign w:val="bottom"/>
          </w:tcPr>
          <w:p w14:paraId="43495C6C" w14:textId="77777777" w:rsidR="00AC2AA1" w:rsidRPr="00B02BA3" w:rsidRDefault="00AC2AA1" w:rsidP="00283F9E">
            <w:pPr>
              <w:tabs>
                <w:tab w:val="right" w:leader="dot" w:pos="3163"/>
              </w:tabs>
              <w:bidi/>
              <w:spacing w:before="40" w:after="40"/>
              <w:ind w:left="407"/>
              <w:rPr>
                <w:sz w:val="18"/>
              </w:rPr>
            </w:pPr>
            <w:r w:rsidRPr="003D0326">
              <w:rPr>
                <w:rFonts w:hint="cs"/>
                <w:sz w:val="14"/>
                <w:szCs w:val="16"/>
                <w:rtl/>
              </w:rPr>
              <w:t>الذمم التجارية المدينة</w:t>
            </w:r>
            <w:r w:rsidRPr="003D0326">
              <w:rPr>
                <w:sz w:val="14"/>
                <w:szCs w:val="16"/>
              </w:rPr>
              <w:tab/>
            </w:r>
          </w:p>
        </w:tc>
        <w:tc>
          <w:tcPr>
            <w:tcW w:w="282" w:type="dxa"/>
            <w:vAlign w:val="bottom"/>
          </w:tcPr>
          <w:p w14:paraId="706B75D2" w14:textId="77777777" w:rsidR="00AC2AA1" w:rsidRPr="00B02BA3" w:rsidRDefault="00AC2AA1" w:rsidP="00283F9E">
            <w:pPr>
              <w:spacing w:before="40" w:after="40"/>
              <w:rPr>
                <w:sz w:val="18"/>
              </w:rPr>
            </w:pPr>
          </w:p>
        </w:tc>
        <w:tc>
          <w:tcPr>
            <w:tcW w:w="1132" w:type="dxa"/>
            <w:vAlign w:val="bottom"/>
          </w:tcPr>
          <w:p w14:paraId="6593EA47" w14:textId="77777777" w:rsidR="00AC2AA1" w:rsidRPr="00B02BA3" w:rsidRDefault="00AC2AA1" w:rsidP="00283F9E">
            <w:pPr>
              <w:spacing w:before="40" w:after="40"/>
              <w:jc w:val="right"/>
              <w:rPr>
                <w:sz w:val="18"/>
              </w:rPr>
            </w:pPr>
            <w:r w:rsidRPr="00B02BA3">
              <w:rPr>
                <w:sz w:val="18"/>
              </w:rPr>
              <w:t>32</w:t>
            </w:r>
            <w:r>
              <w:rPr>
                <w:sz w:val="18"/>
              </w:rPr>
              <w:t>.5</w:t>
            </w:r>
          </w:p>
        </w:tc>
        <w:tc>
          <w:tcPr>
            <w:tcW w:w="282" w:type="dxa"/>
            <w:vAlign w:val="bottom"/>
          </w:tcPr>
          <w:p w14:paraId="768FA2B2" w14:textId="77777777" w:rsidR="00AC2AA1" w:rsidRPr="00B02BA3" w:rsidRDefault="00AC2AA1" w:rsidP="00283F9E">
            <w:pPr>
              <w:spacing w:before="40" w:after="40"/>
              <w:rPr>
                <w:sz w:val="18"/>
              </w:rPr>
            </w:pPr>
          </w:p>
        </w:tc>
        <w:tc>
          <w:tcPr>
            <w:tcW w:w="1132" w:type="dxa"/>
            <w:vAlign w:val="bottom"/>
          </w:tcPr>
          <w:p w14:paraId="7F617EFF" w14:textId="77777777" w:rsidR="00AC2AA1" w:rsidRPr="00B02BA3" w:rsidRDefault="00AC2AA1" w:rsidP="00283F9E">
            <w:pPr>
              <w:spacing w:before="40" w:after="40"/>
              <w:jc w:val="right"/>
              <w:rPr>
                <w:sz w:val="18"/>
              </w:rPr>
            </w:pPr>
            <w:r w:rsidRPr="00B02BA3">
              <w:rPr>
                <w:sz w:val="18"/>
              </w:rPr>
              <w:t>48</w:t>
            </w:r>
            <w:r>
              <w:rPr>
                <w:sz w:val="18"/>
              </w:rPr>
              <w:t>.1</w:t>
            </w:r>
          </w:p>
        </w:tc>
        <w:tc>
          <w:tcPr>
            <w:tcW w:w="282" w:type="dxa"/>
            <w:vAlign w:val="bottom"/>
          </w:tcPr>
          <w:p w14:paraId="5A51F20C" w14:textId="77777777" w:rsidR="00AC2AA1" w:rsidRPr="00B02BA3" w:rsidRDefault="00AC2AA1" w:rsidP="00283F9E">
            <w:pPr>
              <w:spacing w:before="40" w:after="40"/>
              <w:rPr>
                <w:sz w:val="18"/>
              </w:rPr>
            </w:pPr>
          </w:p>
        </w:tc>
        <w:tc>
          <w:tcPr>
            <w:tcW w:w="1132" w:type="dxa"/>
          </w:tcPr>
          <w:p w14:paraId="14BFA87A" w14:textId="77777777" w:rsidR="00AC2AA1" w:rsidRPr="00B02BA3" w:rsidRDefault="00AC2AA1" w:rsidP="00283F9E">
            <w:pPr>
              <w:spacing w:before="40" w:after="40"/>
              <w:jc w:val="right"/>
              <w:rPr>
                <w:sz w:val="18"/>
              </w:rPr>
            </w:pPr>
            <w:r w:rsidRPr="00B02BA3">
              <w:rPr>
                <w:sz w:val="18"/>
              </w:rPr>
              <w:t>33</w:t>
            </w:r>
            <w:r>
              <w:rPr>
                <w:sz w:val="18"/>
              </w:rPr>
              <w:t>.2</w:t>
            </w:r>
          </w:p>
        </w:tc>
        <w:tc>
          <w:tcPr>
            <w:tcW w:w="282" w:type="dxa"/>
            <w:vAlign w:val="bottom"/>
          </w:tcPr>
          <w:p w14:paraId="17AF1C4D" w14:textId="77777777" w:rsidR="00AC2AA1" w:rsidRPr="00B02BA3" w:rsidRDefault="00AC2AA1" w:rsidP="00283F9E">
            <w:pPr>
              <w:spacing w:before="40" w:after="40"/>
              <w:rPr>
                <w:sz w:val="18"/>
              </w:rPr>
            </w:pPr>
          </w:p>
        </w:tc>
        <w:tc>
          <w:tcPr>
            <w:tcW w:w="1132" w:type="dxa"/>
          </w:tcPr>
          <w:p w14:paraId="33DD707E" w14:textId="77777777" w:rsidR="00AC2AA1" w:rsidRPr="00B02BA3" w:rsidRDefault="00AC2AA1" w:rsidP="00283F9E">
            <w:pPr>
              <w:spacing w:before="40" w:after="40"/>
              <w:jc w:val="right"/>
              <w:rPr>
                <w:sz w:val="18"/>
              </w:rPr>
            </w:pPr>
            <w:r>
              <w:rPr>
                <w:sz w:val="18"/>
              </w:rPr>
              <w:t>54.8</w:t>
            </w:r>
          </w:p>
        </w:tc>
        <w:tc>
          <w:tcPr>
            <w:tcW w:w="236" w:type="dxa"/>
            <w:vAlign w:val="bottom"/>
          </w:tcPr>
          <w:p w14:paraId="5131664B" w14:textId="77777777" w:rsidR="00AC2AA1" w:rsidRPr="00B02BA3" w:rsidRDefault="00AC2AA1" w:rsidP="00283F9E">
            <w:pPr>
              <w:spacing w:before="40" w:after="40"/>
              <w:rPr>
                <w:sz w:val="18"/>
              </w:rPr>
            </w:pPr>
          </w:p>
        </w:tc>
      </w:tr>
      <w:tr w:rsidR="00AC2AA1" w:rsidRPr="00B02BA3" w14:paraId="1E8810E4" w14:textId="77777777" w:rsidTr="00AC2AA1">
        <w:tc>
          <w:tcPr>
            <w:tcW w:w="3156" w:type="dxa"/>
            <w:vAlign w:val="bottom"/>
          </w:tcPr>
          <w:p w14:paraId="57B095E8" w14:textId="77777777" w:rsidR="00AC2AA1" w:rsidRPr="00B02BA3" w:rsidRDefault="00AC2AA1" w:rsidP="00283F9E">
            <w:pPr>
              <w:tabs>
                <w:tab w:val="right" w:leader="dot" w:pos="3163"/>
              </w:tabs>
              <w:bidi/>
              <w:spacing w:before="40" w:after="40"/>
              <w:ind w:left="407"/>
              <w:rPr>
                <w:sz w:val="18"/>
              </w:rPr>
            </w:pPr>
            <w:r w:rsidRPr="003D0326">
              <w:rPr>
                <w:rFonts w:hint="cs"/>
                <w:sz w:val="14"/>
                <w:szCs w:val="16"/>
                <w:rtl/>
              </w:rPr>
              <w:t>المشتقات</w:t>
            </w:r>
            <w:r w:rsidRPr="003D0326">
              <w:rPr>
                <w:sz w:val="14"/>
                <w:szCs w:val="16"/>
              </w:rPr>
              <w:tab/>
            </w:r>
          </w:p>
        </w:tc>
        <w:tc>
          <w:tcPr>
            <w:tcW w:w="282" w:type="dxa"/>
            <w:vAlign w:val="bottom"/>
          </w:tcPr>
          <w:p w14:paraId="2C73BF6C" w14:textId="77777777" w:rsidR="00AC2AA1" w:rsidRPr="00B02BA3" w:rsidRDefault="00AC2AA1" w:rsidP="00283F9E">
            <w:pPr>
              <w:spacing w:before="40" w:after="40"/>
              <w:rPr>
                <w:sz w:val="18"/>
              </w:rPr>
            </w:pPr>
          </w:p>
        </w:tc>
        <w:tc>
          <w:tcPr>
            <w:tcW w:w="1132" w:type="dxa"/>
            <w:vAlign w:val="bottom"/>
          </w:tcPr>
          <w:p w14:paraId="6F83596A" w14:textId="77777777" w:rsidR="00AC2AA1" w:rsidRPr="00B02BA3" w:rsidRDefault="00AC2AA1" w:rsidP="00283F9E">
            <w:pPr>
              <w:spacing w:before="40" w:after="40"/>
              <w:jc w:val="right"/>
              <w:rPr>
                <w:sz w:val="18"/>
              </w:rPr>
            </w:pPr>
            <w:r w:rsidRPr="00B02BA3">
              <w:rPr>
                <w:sz w:val="18"/>
              </w:rPr>
              <w:t>—</w:t>
            </w:r>
          </w:p>
        </w:tc>
        <w:tc>
          <w:tcPr>
            <w:tcW w:w="282" w:type="dxa"/>
            <w:vAlign w:val="bottom"/>
          </w:tcPr>
          <w:p w14:paraId="1D0A26C7" w14:textId="77777777" w:rsidR="00AC2AA1" w:rsidRPr="00B02BA3" w:rsidRDefault="00AC2AA1" w:rsidP="00283F9E">
            <w:pPr>
              <w:spacing w:before="40" w:after="40"/>
              <w:rPr>
                <w:sz w:val="18"/>
              </w:rPr>
            </w:pPr>
          </w:p>
        </w:tc>
        <w:tc>
          <w:tcPr>
            <w:tcW w:w="1132" w:type="dxa"/>
            <w:vAlign w:val="bottom"/>
          </w:tcPr>
          <w:p w14:paraId="297E7018" w14:textId="77777777" w:rsidR="00AC2AA1" w:rsidRPr="00B02BA3" w:rsidRDefault="00AC2AA1" w:rsidP="00283F9E">
            <w:pPr>
              <w:spacing w:before="40" w:after="40"/>
              <w:jc w:val="right"/>
              <w:rPr>
                <w:sz w:val="18"/>
              </w:rPr>
            </w:pPr>
            <w:r w:rsidRPr="00B02BA3">
              <w:rPr>
                <w:sz w:val="18"/>
              </w:rPr>
              <w:t>13</w:t>
            </w:r>
            <w:r>
              <w:rPr>
                <w:sz w:val="18"/>
              </w:rPr>
              <w:t>.5</w:t>
            </w:r>
          </w:p>
        </w:tc>
        <w:tc>
          <w:tcPr>
            <w:tcW w:w="282" w:type="dxa"/>
            <w:vAlign w:val="bottom"/>
          </w:tcPr>
          <w:p w14:paraId="729F0D5A" w14:textId="77777777" w:rsidR="00AC2AA1" w:rsidRPr="00B02BA3" w:rsidRDefault="00AC2AA1" w:rsidP="00283F9E">
            <w:pPr>
              <w:spacing w:before="40" w:after="40"/>
              <w:rPr>
                <w:sz w:val="18"/>
              </w:rPr>
            </w:pPr>
          </w:p>
        </w:tc>
        <w:tc>
          <w:tcPr>
            <w:tcW w:w="1132" w:type="dxa"/>
          </w:tcPr>
          <w:p w14:paraId="5AD01E38" w14:textId="77777777" w:rsidR="00AC2AA1" w:rsidRPr="00B02BA3" w:rsidRDefault="00AC2AA1" w:rsidP="00283F9E">
            <w:pPr>
              <w:spacing w:before="40" w:after="40"/>
              <w:jc w:val="right"/>
              <w:rPr>
                <w:sz w:val="18"/>
              </w:rPr>
            </w:pPr>
            <w:r w:rsidRPr="00B02BA3">
              <w:rPr>
                <w:sz w:val="18"/>
              </w:rPr>
              <w:t>6</w:t>
            </w:r>
            <w:r>
              <w:rPr>
                <w:sz w:val="18"/>
              </w:rPr>
              <w:t>.7</w:t>
            </w:r>
          </w:p>
        </w:tc>
        <w:tc>
          <w:tcPr>
            <w:tcW w:w="282" w:type="dxa"/>
            <w:vAlign w:val="bottom"/>
          </w:tcPr>
          <w:p w14:paraId="7D24332A" w14:textId="77777777" w:rsidR="00AC2AA1" w:rsidRPr="00B02BA3" w:rsidRDefault="00AC2AA1" w:rsidP="00283F9E">
            <w:pPr>
              <w:spacing w:before="40" w:after="40"/>
              <w:rPr>
                <w:sz w:val="18"/>
              </w:rPr>
            </w:pPr>
          </w:p>
        </w:tc>
        <w:tc>
          <w:tcPr>
            <w:tcW w:w="1132" w:type="dxa"/>
          </w:tcPr>
          <w:p w14:paraId="70CBD6E1" w14:textId="77777777" w:rsidR="00AC2AA1" w:rsidRPr="00B02BA3" w:rsidRDefault="00AC2AA1" w:rsidP="00283F9E">
            <w:pPr>
              <w:spacing w:before="40" w:after="40"/>
              <w:jc w:val="right"/>
              <w:rPr>
                <w:sz w:val="18"/>
              </w:rPr>
            </w:pPr>
            <w:r>
              <w:rPr>
                <w:sz w:val="18"/>
              </w:rPr>
              <w:t>3.1</w:t>
            </w:r>
          </w:p>
        </w:tc>
        <w:tc>
          <w:tcPr>
            <w:tcW w:w="236" w:type="dxa"/>
            <w:vAlign w:val="bottom"/>
          </w:tcPr>
          <w:p w14:paraId="56FF630F" w14:textId="77777777" w:rsidR="00AC2AA1" w:rsidRPr="00B02BA3" w:rsidRDefault="00AC2AA1" w:rsidP="00283F9E">
            <w:pPr>
              <w:spacing w:before="40" w:after="40"/>
              <w:rPr>
                <w:sz w:val="18"/>
              </w:rPr>
            </w:pPr>
          </w:p>
        </w:tc>
      </w:tr>
      <w:tr w:rsidR="00AC2AA1" w:rsidRPr="00B02BA3" w14:paraId="37B69696" w14:textId="77777777" w:rsidTr="00AC2AA1">
        <w:tc>
          <w:tcPr>
            <w:tcW w:w="3156" w:type="dxa"/>
            <w:vAlign w:val="bottom"/>
          </w:tcPr>
          <w:p w14:paraId="64FCB785" w14:textId="77777777" w:rsidR="00AC2AA1" w:rsidRPr="00B02BA3" w:rsidRDefault="00AC2AA1" w:rsidP="00283F9E">
            <w:pPr>
              <w:tabs>
                <w:tab w:val="right" w:leader="dot" w:pos="3163"/>
              </w:tabs>
              <w:bidi/>
              <w:spacing w:before="40" w:after="40"/>
              <w:ind w:left="407"/>
              <w:rPr>
                <w:sz w:val="18"/>
              </w:rPr>
            </w:pPr>
            <w:r w:rsidRPr="003D0326">
              <w:rPr>
                <w:rFonts w:hint="cs"/>
                <w:sz w:val="14"/>
                <w:szCs w:val="16"/>
                <w:rtl/>
              </w:rPr>
              <w:t>الأصول التعاقدية</w:t>
            </w:r>
            <w:r w:rsidRPr="003D0326">
              <w:rPr>
                <w:sz w:val="14"/>
                <w:szCs w:val="16"/>
              </w:rPr>
              <w:tab/>
            </w:r>
          </w:p>
        </w:tc>
        <w:tc>
          <w:tcPr>
            <w:tcW w:w="282" w:type="dxa"/>
            <w:vAlign w:val="bottom"/>
          </w:tcPr>
          <w:p w14:paraId="4E19481A" w14:textId="77777777" w:rsidR="00AC2AA1" w:rsidRPr="00B02BA3" w:rsidRDefault="00AC2AA1" w:rsidP="00283F9E">
            <w:pPr>
              <w:spacing w:before="40" w:after="40"/>
              <w:rPr>
                <w:sz w:val="18"/>
              </w:rPr>
            </w:pPr>
          </w:p>
        </w:tc>
        <w:tc>
          <w:tcPr>
            <w:tcW w:w="1132" w:type="dxa"/>
            <w:vAlign w:val="bottom"/>
          </w:tcPr>
          <w:p w14:paraId="3AEFDEAB" w14:textId="77777777" w:rsidR="00AC2AA1" w:rsidRPr="00B02BA3" w:rsidRDefault="00AC2AA1" w:rsidP="00283F9E">
            <w:pPr>
              <w:spacing w:before="40" w:after="40"/>
              <w:jc w:val="right"/>
              <w:rPr>
                <w:sz w:val="18"/>
              </w:rPr>
            </w:pPr>
            <w:r w:rsidRPr="00B02BA3">
              <w:rPr>
                <w:sz w:val="18"/>
              </w:rPr>
              <w:t>11</w:t>
            </w:r>
            <w:r>
              <w:rPr>
                <w:sz w:val="18"/>
              </w:rPr>
              <w:t>.1</w:t>
            </w:r>
          </w:p>
        </w:tc>
        <w:tc>
          <w:tcPr>
            <w:tcW w:w="282" w:type="dxa"/>
            <w:vAlign w:val="bottom"/>
          </w:tcPr>
          <w:p w14:paraId="1F3E1C11" w14:textId="77777777" w:rsidR="00AC2AA1" w:rsidRPr="00B02BA3" w:rsidRDefault="00AC2AA1" w:rsidP="00283F9E">
            <w:pPr>
              <w:spacing w:before="40" w:after="40"/>
              <w:rPr>
                <w:sz w:val="18"/>
              </w:rPr>
            </w:pPr>
          </w:p>
        </w:tc>
        <w:tc>
          <w:tcPr>
            <w:tcW w:w="1132" w:type="dxa"/>
            <w:vAlign w:val="bottom"/>
          </w:tcPr>
          <w:p w14:paraId="2CC778C4" w14:textId="77777777" w:rsidR="00AC2AA1" w:rsidRPr="00B02BA3" w:rsidRDefault="00AC2AA1" w:rsidP="00283F9E">
            <w:pPr>
              <w:spacing w:before="40" w:after="40"/>
              <w:jc w:val="right"/>
              <w:rPr>
                <w:sz w:val="18"/>
              </w:rPr>
            </w:pPr>
            <w:r w:rsidRPr="00B02BA3">
              <w:rPr>
                <w:sz w:val="18"/>
              </w:rPr>
              <w:t>21</w:t>
            </w:r>
            <w:r>
              <w:rPr>
                <w:sz w:val="18"/>
              </w:rPr>
              <w:t>.7</w:t>
            </w:r>
          </w:p>
        </w:tc>
        <w:tc>
          <w:tcPr>
            <w:tcW w:w="282" w:type="dxa"/>
            <w:vAlign w:val="bottom"/>
          </w:tcPr>
          <w:p w14:paraId="7B70C0B4" w14:textId="77777777" w:rsidR="00AC2AA1" w:rsidRPr="00B02BA3" w:rsidRDefault="00AC2AA1" w:rsidP="00283F9E">
            <w:pPr>
              <w:spacing w:before="40" w:after="40"/>
              <w:rPr>
                <w:sz w:val="18"/>
              </w:rPr>
            </w:pPr>
          </w:p>
        </w:tc>
        <w:tc>
          <w:tcPr>
            <w:tcW w:w="1132" w:type="dxa"/>
          </w:tcPr>
          <w:p w14:paraId="2F9DC0DD" w14:textId="77777777" w:rsidR="00AC2AA1" w:rsidRPr="00B02BA3" w:rsidRDefault="00AC2AA1" w:rsidP="00283F9E">
            <w:pPr>
              <w:spacing w:before="40" w:after="40"/>
              <w:jc w:val="right"/>
              <w:rPr>
                <w:sz w:val="18"/>
              </w:rPr>
            </w:pPr>
            <w:r w:rsidRPr="00B02BA3">
              <w:rPr>
                <w:sz w:val="18"/>
              </w:rPr>
              <w:t>6</w:t>
            </w:r>
            <w:r>
              <w:rPr>
                <w:sz w:val="18"/>
              </w:rPr>
              <w:t>.2</w:t>
            </w:r>
          </w:p>
        </w:tc>
        <w:tc>
          <w:tcPr>
            <w:tcW w:w="282" w:type="dxa"/>
            <w:vAlign w:val="bottom"/>
          </w:tcPr>
          <w:p w14:paraId="51FCA158" w14:textId="77777777" w:rsidR="00AC2AA1" w:rsidRPr="00B02BA3" w:rsidRDefault="00AC2AA1" w:rsidP="00283F9E">
            <w:pPr>
              <w:spacing w:before="40" w:after="40"/>
              <w:rPr>
                <w:sz w:val="18"/>
              </w:rPr>
            </w:pPr>
          </w:p>
        </w:tc>
        <w:tc>
          <w:tcPr>
            <w:tcW w:w="1132" w:type="dxa"/>
          </w:tcPr>
          <w:p w14:paraId="63C69C9C" w14:textId="77777777" w:rsidR="00AC2AA1" w:rsidRPr="00B02BA3" w:rsidRDefault="00AC2AA1" w:rsidP="00283F9E">
            <w:pPr>
              <w:spacing w:before="40" w:after="40"/>
              <w:jc w:val="right"/>
              <w:rPr>
                <w:sz w:val="18"/>
              </w:rPr>
            </w:pPr>
            <w:r>
              <w:rPr>
                <w:sz w:val="18"/>
              </w:rPr>
              <w:t>4.8</w:t>
            </w:r>
          </w:p>
        </w:tc>
        <w:tc>
          <w:tcPr>
            <w:tcW w:w="236" w:type="dxa"/>
            <w:vAlign w:val="bottom"/>
          </w:tcPr>
          <w:p w14:paraId="5572FF3C" w14:textId="77777777" w:rsidR="00AC2AA1" w:rsidRPr="00B02BA3" w:rsidRDefault="00AC2AA1" w:rsidP="00283F9E">
            <w:pPr>
              <w:spacing w:before="40" w:after="40"/>
              <w:rPr>
                <w:sz w:val="18"/>
              </w:rPr>
            </w:pPr>
          </w:p>
        </w:tc>
      </w:tr>
      <w:tr w:rsidR="00AC2AA1" w:rsidRPr="00B02BA3" w14:paraId="39D13933" w14:textId="77777777" w:rsidTr="00AC2AA1">
        <w:tc>
          <w:tcPr>
            <w:tcW w:w="3156" w:type="dxa"/>
            <w:vAlign w:val="bottom"/>
          </w:tcPr>
          <w:p w14:paraId="72BBC0A5" w14:textId="77777777" w:rsidR="00AC2AA1" w:rsidRPr="00B02BA3" w:rsidRDefault="00AC2AA1" w:rsidP="00283F9E">
            <w:pPr>
              <w:tabs>
                <w:tab w:val="right" w:leader="dot" w:pos="3163"/>
              </w:tabs>
              <w:bidi/>
              <w:spacing w:before="40" w:after="40"/>
              <w:ind w:left="407"/>
              <w:rPr>
                <w:sz w:val="18"/>
              </w:rPr>
            </w:pPr>
            <w:r w:rsidRPr="003D0326">
              <w:rPr>
                <w:rFonts w:hint="cs"/>
                <w:sz w:val="14"/>
                <w:szCs w:val="16"/>
                <w:rtl/>
              </w:rPr>
              <w:t>الأصول المالية الأخرى بالتكلفة المطفأة</w:t>
            </w:r>
            <w:r w:rsidRPr="003D0326">
              <w:rPr>
                <w:sz w:val="14"/>
                <w:szCs w:val="16"/>
              </w:rPr>
              <w:tab/>
            </w:r>
          </w:p>
        </w:tc>
        <w:tc>
          <w:tcPr>
            <w:tcW w:w="282" w:type="dxa"/>
            <w:vAlign w:val="bottom"/>
          </w:tcPr>
          <w:p w14:paraId="27DA7713" w14:textId="77777777" w:rsidR="00AC2AA1" w:rsidRPr="00B02BA3" w:rsidRDefault="00AC2AA1" w:rsidP="00283F9E">
            <w:pPr>
              <w:spacing w:before="40" w:after="40"/>
              <w:rPr>
                <w:sz w:val="18"/>
              </w:rPr>
            </w:pPr>
          </w:p>
        </w:tc>
        <w:tc>
          <w:tcPr>
            <w:tcW w:w="1132" w:type="dxa"/>
            <w:vAlign w:val="bottom"/>
          </w:tcPr>
          <w:p w14:paraId="0316D492" w14:textId="77777777" w:rsidR="00AC2AA1" w:rsidRPr="00B02BA3" w:rsidRDefault="00AC2AA1" w:rsidP="00283F9E">
            <w:pPr>
              <w:spacing w:before="40" w:after="40"/>
              <w:jc w:val="right"/>
              <w:rPr>
                <w:sz w:val="18"/>
              </w:rPr>
            </w:pPr>
            <w:r w:rsidRPr="00B02BA3">
              <w:rPr>
                <w:sz w:val="18"/>
              </w:rPr>
              <w:t>3</w:t>
            </w:r>
            <w:r>
              <w:rPr>
                <w:sz w:val="18"/>
              </w:rPr>
              <w:t>.6</w:t>
            </w:r>
          </w:p>
        </w:tc>
        <w:tc>
          <w:tcPr>
            <w:tcW w:w="282" w:type="dxa"/>
            <w:vAlign w:val="bottom"/>
          </w:tcPr>
          <w:p w14:paraId="1DE58F27" w14:textId="77777777" w:rsidR="00AC2AA1" w:rsidRPr="00B02BA3" w:rsidRDefault="00AC2AA1" w:rsidP="00283F9E">
            <w:pPr>
              <w:spacing w:before="40" w:after="40"/>
              <w:rPr>
                <w:sz w:val="18"/>
              </w:rPr>
            </w:pPr>
          </w:p>
        </w:tc>
        <w:tc>
          <w:tcPr>
            <w:tcW w:w="1132" w:type="dxa"/>
            <w:vAlign w:val="bottom"/>
          </w:tcPr>
          <w:p w14:paraId="0AB181CC" w14:textId="77777777" w:rsidR="00AC2AA1" w:rsidRPr="00B02BA3" w:rsidRDefault="00AC2AA1" w:rsidP="00283F9E">
            <w:pPr>
              <w:spacing w:before="40" w:after="40"/>
              <w:jc w:val="right"/>
              <w:rPr>
                <w:sz w:val="18"/>
              </w:rPr>
            </w:pPr>
            <w:r w:rsidRPr="00B02BA3">
              <w:rPr>
                <w:sz w:val="18"/>
              </w:rPr>
              <w:t>1</w:t>
            </w:r>
            <w:r>
              <w:rPr>
                <w:sz w:val="18"/>
              </w:rPr>
              <w:t>2.0</w:t>
            </w:r>
          </w:p>
        </w:tc>
        <w:tc>
          <w:tcPr>
            <w:tcW w:w="282" w:type="dxa"/>
            <w:vAlign w:val="bottom"/>
          </w:tcPr>
          <w:p w14:paraId="56CD232F" w14:textId="77777777" w:rsidR="00AC2AA1" w:rsidRPr="00B02BA3" w:rsidRDefault="00AC2AA1" w:rsidP="00283F9E">
            <w:pPr>
              <w:spacing w:before="40" w:after="40"/>
              <w:rPr>
                <w:sz w:val="18"/>
              </w:rPr>
            </w:pPr>
          </w:p>
        </w:tc>
        <w:tc>
          <w:tcPr>
            <w:tcW w:w="1132" w:type="dxa"/>
            <w:vAlign w:val="bottom"/>
          </w:tcPr>
          <w:p w14:paraId="16CBA522" w14:textId="77777777" w:rsidR="00AC2AA1" w:rsidRPr="00B02BA3" w:rsidRDefault="00AC2AA1" w:rsidP="00283F9E">
            <w:pPr>
              <w:spacing w:before="40" w:after="40"/>
              <w:jc w:val="right"/>
              <w:rPr>
                <w:sz w:val="18"/>
              </w:rPr>
            </w:pPr>
            <w:r w:rsidRPr="00B02BA3">
              <w:rPr>
                <w:sz w:val="18"/>
              </w:rPr>
              <w:t>10</w:t>
            </w:r>
            <w:r>
              <w:rPr>
                <w:sz w:val="18"/>
              </w:rPr>
              <w:t>.7</w:t>
            </w:r>
          </w:p>
        </w:tc>
        <w:tc>
          <w:tcPr>
            <w:tcW w:w="282" w:type="dxa"/>
            <w:vAlign w:val="bottom"/>
          </w:tcPr>
          <w:p w14:paraId="1D8AC1C6" w14:textId="77777777" w:rsidR="00AC2AA1" w:rsidRPr="00B02BA3" w:rsidRDefault="00AC2AA1" w:rsidP="00283F9E">
            <w:pPr>
              <w:spacing w:before="40" w:after="40"/>
              <w:rPr>
                <w:sz w:val="18"/>
              </w:rPr>
            </w:pPr>
          </w:p>
        </w:tc>
        <w:tc>
          <w:tcPr>
            <w:tcW w:w="1132" w:type="dxa"/>
            <w:vAlign w:val="bottom"/>
          </w:tcPr>
          <w:p w14:paraId="6F389A26" w14:textId="77777777" w:rsidR="00AC2AA1" w:rsidRPr="00B02BA3" w:rsidRDefault="00AC2AA1" w:rsidP="00283F9E">
            <w:pPr>
              <w:spacing w:before="40" w:after="40"/>
              <w:jc w:val="right"/>
              <w:rPr>
                <w:sz w:val="18"/>
              </w:rPr>
            </w:pPr>
            <w:r>
              <w:rPr>
                <w:sz w:val="18"/>
              </w:rPr>
              <w:t>8.8</w:t>
            </w:r>
          </w:p>
        </w:tc>
        <w:tc>
          <w:tcPr>
            <w:tcW w:w="236" w:type="dxa"/>
            <w:vAlign w:val="bottom"/>
          </w:tcPr>
          <w:p w14:paraId="697EA01C" w14:textId="77777777" w:rsidR="00AC2AA1" w:rsidRPr="00B02BA3" w:rsidRDefault="00AC2AA1" w:rsidP="00283F9E">
            <w:pPr>
              <w:spacing w:before="40" w:after="40"/>
              <w:rPr>
                <w:sz w:val="18"/>
              </w:rPr>
            </w:pPr>
          </w:p>
        </w:tc>
      </w:tr>
      <w:tr w:rsidR="00AC2AA1" w:rsidRPr="00B02BA3" w14:paraId="7944F7FD" w14:textId="77777777" w:rsidTr="00AC2AA1">
        <w:tc>
          <w:tcPr>
            <w:tcW w:w="3156" w:type="dxa"/>
            <w:vAlign w:val="bottom"/>
          </w:tcPr>
          <w:p w14:paraId="2A8C2A01" w14:textId="77777777" w:rsidR="00AC2AA1" w:rsidRPr="00B02BA3" w:rsidRDefault="00AC2AA1" w:rsidP="00283F9E">
            <w:pPr>
              <w:tabs>
                <w:tab w:val="right" w:leader="dot" w:pos="3163"/>
              </w:tabs>
              <w:bidi/>
              <w:spacing w:before="40" w:after="40"/>
              <w:ind w:left="407"/>
              <w:rPr>
                <w:sz w:val="18"/>
              </w:rPr>
            </w:pPr>
            <w:r w:rsidRPr="003D0326">
              <w:rPr>
                <w:rFonts w:hint="cs"/>
                <w:sz w:val="14"/>
                <w:szCs w:val="16"/>
                <w:rtl/>
              </w:rPr>
              <w:t>النقد وما يعادله</w:t>
            </w:r>
            <w:r w:rsidRPr="003D0326">
              <w:rPr>
                <w:sz w:val="14"/>
                <w:szCs w:val="16"/>
              </w:rPr>
              <w:tab/>
            </w:r>
          </w:p>
        </w:tc>
        <w:tc>
          <w:tcPr>
            <w:tcW w:w="282" w:type="dxa"/>
            <w:vAlign w:val="bottom"/>
          </w:tcPr>
          <w:p w14:paraId="5E341EFC" w14:textId="77777777" w:rsidR="00AC2AA1" w:rsidRPr="00B02BA3" w:rsidRDefault="00AC2AA1" w:rsidP="00283F9E">
            <w:pPr>
              <w:spacing w:before="40" w:after="40"/>
              <w:rPr>
                <w:sz w:val="18"/>
              </w:rPr>
            </w:pPr>
          </w:p>
        </w:tc>
        <w:tc>
          <w:tcPr>
            <w:tcW w:w="1132" w:type="dxa"/>
            <w:vAlign w:val="bottom"/>
          </w:tcPr>
          <w:p w14:paraId="10959359" w14:textId="77777777" w:rsidR="00AC2AA1" w:rsidRPr="00B02BA3" w:rsidRDefault="00AC2AA1" w:rsidP="00283F9E">
            <w:pPr>
              <w:spacing w:before="40" w:after="40"/>
              <w:jc w:val="right"/>
              <w:rPr>
                <w:sz w:val="18"/>
              </w:rPr>
            </w:pPr>
            <w:r w:rsidRPr="00B02BA3">
              <w:rPr>
                <w:sz w:val="18"/>
              </w:rPr>
              <w:t>43</w:t>
            </w:r>
            <w:r>
              <w:rPr>
                <w:sz w:val="18"/>
              </w:rPr>
              <w:t>.7</w:t>
            </w:r>
          </w:p>
        </w:tc>
        <w:tc>
          <w:tcPr>
            <w:tcW w:w="282" w:type="dxa"/>
            <w:vAlign w:val="bottom"/>
          </w:tcPr>
          <w:p w14:paraId="55428317" w14:textId="77777777" w:rsidR="00AC2AA1" w:rsidRPr="00B02BA3" w:rsidRDefault="00AC2AA1" w:rsidP="00283F9E">
            <w:pPr>
              <w:spacing w:before="40" w:after="40"/>
              <w:rPr>
                <w:sz w:val="18"/>
              </w:rPr>
            </w:pPr>
          </w:p>
        </w:tc>
        <w:tc>
          <w:tcPr>
            <w:tcW w:w="1132" w:type="dxa"/>
            <w:vAlign w:val="bottom"/>
          </w:tcPr>
          <w:p w14:paraId="73ABE750" w14:textId="77777777" w:rsidR="00AC2AA1" w:rsidRPr="00B02BA3" w:rsidRDefault="00AC2AA1" w:rsidP="00283F9E">
            <w:pPr>
              <w:spacing w:before="40" w:after="40"/>
              <w:jc w:val="right"/>
              <w:rPr>
                <w:sz w:val="18"/>
              </w:rPr>
            </w:pPr>
            <w:r w:rsidRPr="00B02BA3">
              <w:rPr>
                <w:sz w:val="18"/>
              </w:rPr>
              <w:t>130</w:t>
            </w:r>
            <w:r>
              <w:rPr>
                <w:sz w:val="18"/>
              </w:rPr>
              <w:t>.8</w:t>
            </w:r>
          </w:p>
        </w:tc>
        <w:tc>
          <w:tcPr>
            <w:tcW w:w="282" w:type="dxa"/>
            <w:vAlign w:val="bottom"/>
          </w:tcPr>
          <w:p w14:paraId="24D5DFBA" w14:textId="77777777" w:rsidR="00AC2AA1" w:rsidRPr="00B02BA3" w:rsidRDefault="00AC2AA1" w:rsidP="00283F9E">
            <w:pPr>
              <w:spacing w:before="40" w:after="40"/>
              <w:rPr>
                <w:sz w:val="18"/>
              </w:rPr>
            </w:pPr>
          </w:p>
        </w:tc>
        <w:tc>
          <w:tcPr>
            <w:tcW w:w="1132" w:type="dxa"/>
          </w:tcPr>
          <w:p w14:paraId="3BF49932" w14:textId="77777777" w:rsidR="00AC2AA1" w:rsidRPr="00B02BA3" w:rsidRDefault="00AC2AA1" w:rsidP="00283F9E">
            <w:pPr>
              <w:spacing w:before="40" w:after="40"/>
              <w:jc w:val="right"/>
              <w:rPr>
                <w:sz w:val="18"/>
              </w:rPr>
            </w:pPr>
            <w:r w:rsidRPr="00B02BA3">
              <w:rPr>
                <w:sz w:val="18"/>
              </w:rPr>
              <w:t>13</w:t>
            </w:r>
            <w:r>
              <w:rPr>
                <w:sz w:val="18"/>
              </w:rPr>
              <w:t>5.1</w:t>
            </w:r>
          </w:p>
        </w:tc>
        <w:tc>
          <w:tcPr>
            <w:tcW w:w="282" w:type="dxa"/>
            <w:vAlign w:val="bottom"/>
          </w:tcPr>
          <w:p w14:paraId="31A5D69A" w14:textId="77777777" w:rsidR="00AC2AA1" w:rsidRPr="00B02BA3" w:rsidRDefault="00AC2AA1" w:rsidP="00283F9E">
            <w:pPr>
              <w:spacing w:before="40" w:after="40"/>
              <w:rPr>
                <w:sz w:val="18"/>
              </w:rPr>
            </w:pPr>
          </w:p>
        </w:tc>
        <w:tc>
          <w:tcPr>
            <w:tcW w:w="1132" w:type="dxa"/>
          </w:tcPr>
          <w:p w14:paraId="422697B4" w14:textId="77777777" w:rsidR="00AC2AA1" w:rsidRPr="00B02BA3" w:rsidRDefault="00AC2AA1" w:rsidP="00283F9E">
            <w:pPr>
              <w:spacing w:before="40" w:after="40"/>
              <w:jc w:val="right"/>
              <w:rPr>
                <w:sz w:val="18"/>
              </w:rPr>
            </w:pPr>
            <w:r>
              <w:rPr>
                <w:sz w:val="18"/>
              </w:rPr>
              <w:t>86.6</w:t>
            </w:r>
          </w:p>
        </w:tc>
        <w:tc>
          <w:tcPr>
            <w:tcW w:w="236" w:type="dxa"/>
            <w:vAlign w:val="bottom"/>
          </w:tcPr>
          <w:p w14:paraId="5D96B259" w14:textId="77777777" w:rsidR="00AC2AA1" w:rsidRPr="00B02BA3" w:rsidRDefault="00AC2AA1" w:rsidP="00283F9E">
            <w:pPr>
              <w:spacing w:before="40" w:after="40"/>
              <w:rPr>
                <w:sz w:val="18"/>
              </w:rPr>
            </w:pPr>
          </w:p>
        </w:tc>
      </w:tr>
      <w:tr w:rsidR="00AC2AA1" w:rsidRPr="00B02BA3" w14:paraId="58CE621B" w14:textId="77777777" w:rsidTr="00AC2AA1">
        <w:tc>
          <w:tcPr>
            <w:tcW w:w="3156" w:type="dxa"/>
            <w:vAlign w:val="bottom"/>
          </w:tcPr>
          <w:p w14:paraId="65EAA82F" w14:textId="77777777" w:rsidR="00AC2AA1" w:rsidRPr="00B02BA3" w:rsidRDefault="00AC2AA1" w:rsidP="00283F9E">
            <w:pPr>
              <w:tabs>
                <w:tab w:val="right" w:leader="dot" w:pos="3163"/>
              </w:tabs>
              <w:bidi/>
              <w:spacing w:before="40" w:after="40"/>
              <w:ind w:left="407"/>
              <w:rPr>
                <w:sz w:val="18"/>
              </w:rPr>
            </w:pPr>
            <w:r w:rsidRPr="003D0326">
              <w:rPr>
                <w:rFonts w:hint="cs"/>
                <w:sz w:val="14"/>
                <w:szCs w:val="16"/>
                <w:rtl/>
              </w:rPr>
              <w:t>الودائع الثابتة لأجل وودائع الهامش</w:t>
            </w:r>
            <w:r w:rsidRPr="003D0326">
              <w:rPr>
                <w:sz w:val="14"/>
                <w:szCs w:val="16"/>
              </w:rPr>
              <w:tab/>
            </w:r>
          </w:p>
        </w:tc>
        <w:tc>
          <w:tcPr>
            <w:tcW w:w="282" w:type="dxa"/>
            <w:vAlign w:val="bottom"/>
          </w:tcPr>
          <w:p w14:paraId="7642F5E7" w14:textId="77777777" w:rsidR="00AC2AA1" w:rsidRPr="00B02BA3" w:rsidRDefault="00AC2AA1" w:rsidP="00283F9E">
            <w:pPr>
              <w:spacing w:before="40" w:after="40"/>
              <w:rPr>
                <w:sz w:val="18"/>
              </w:rPr>
            </w:pPr>
          </w:p>
        </w:tc>
        <w:tc>
          <w:tcPr>
            <w:tcW w:w="1132" w:type="dxa"/>
            <w:vAlign w:val="bottom"/>
          </w:tcPr>
          <w:p w14:paraId="01E08F2A" w14:textId="77777777" w:rsidR="00AC2AA1" w:rsidRPr="00B02BA3" w:rsidRDefault="00AC2AA1" w:rsidP="00283F9E">
            <w:pPr>
              <w:spacing w:before="40" w:after="40"/>
              <w:jc w:val="right"/>
              <w:rPr>
                <w:sz w:val="18"/>
              </w:rPr>
            </w:pPr>
            <w:r w:rsidRPr="00B02BA3">
              <w:rPr>
                <w:sz w:val="18"/>
              </w:rPr>
              <w:t>210</w:t>
            </w:r>
            <w:r>
              <w:rPr>
                <w:sz w:val="18"/>
              </w:rPr>
              <w:t>.1</w:t>
            </w:r>
          </w:p>
        </w:tc>
        <w:tc>
          <w:tcPr>
            <w:tcW w:w="282" w:type="dxa"/>
            <w:vAlign w:val="bottom"/>
          </w:tcPr>
          <w:p w14:paraId="1EE0F5A2" w14:textId="77777777" w:rsidR="00AC2AA1" w:rsidRPr="00B02BA3" w:rsidRDefault="00AC2AA1" w:rsidP="00283F9E">
            <w:pPr>
              <w:spacing w:before="40" w:after="40"/>
              <w:rPr>
                <w:sz w:val="18"/>
              </w:rPr>
            </w:pPr>
          </w:p>
        </w:tc>
        <w:tc>
          <w:tcPr>
            <w:tcW w:w="1132" w:type="dxa"/>
            <w:vAlign w:val="bottom"/>
          </w:tcPr>
          <w:p w14:paraId="373C043F" w14:textId="77777777" w:rsidR="00AC2AA1" w:rsidRPr="00B02BA3" w:rsidRDefault="00AC2AA1" w:rsidP="00283F9E">
            <w:pPr>
              <w:spacing w:before="40" w:after="40"/>
              <w:jc w:val="right"/>
              <w:rPr>
                <w:sz w:val="18"/>
              </w:rPr>
            </w:pPr>
            <w:r w:rsidRPr="00B02BA3">
              <w:rPr>
                <w:sz w:val="18"/>
              </w:rPr>
              <w:t>205</w:t>
            </w:r>
            <w:r>
              <w:rPr>
                <w:sz w:val="18"/>
              </w:rPr>
              <w:t>.9</w:t>
            </w:r>
          </w:p>
        </w:tc>
        <w:tc>
          <w:tcPr>
            <w:tcW w:w="282" w:type="dxa"/>
            <w:vAlign w:val="bottom"/>
          </w:tcPr>
          <w:p w14:paraId="147BBECE" w14:textId="77777777" w:rsidR="00AC2AA1" w:rsidRPr="00B02BA3" w:rsidRDefault="00AC2AA1" w:rsidP="00283F9E">
            <w:pPr>
              <w:spacing w:before="40" w:after="40"/>
              <w:rPr>
                <w:sz w:val="18"/>
              </w:rPr>
            </w:pPr>
          </w:p>
        </w:tc>
        <w:tc>
          <w:tcPr>
            <w:tcW w:w="1132" w:type="dxa"/>
          </w:tcPr>
          <w:p w14:paraId="6A53971C" w14:textId="77777777" w:rsidR="00AC2AA1" w:rsidRPr="00B02BA3" w:rsidRDefault="00AC2AA1" w:rsidP="00283F9E">
            <w:pPr>
              <w:spacing w:before="40" w:after="40"/>
              <w:jc w:val="right"/>
              <w:rPr>
                <w:sz w:val="18"/>
              </w:rPr>
            </w:pPr>
            <w:r w:rsidRPr="00B02BA3">
              <w:rPr>
                <w:sz w:val="18"/>
              </w:rPr>
              <w:t>321</w:t>
            </w:r>
            <w:r>
              <w:rPr>
                <w:sz w:val="18"/>
              </w:rPr>
              <w:t>.6</w:t>
            </w:r>
          </w:p>
        </w:tc>
        <w:tc>
          <w:tcPr>
            <w:tcW w:w="282" w:type="dxa"/>
            <w:vAlign w:val="bottom"/>
          </w:tcPr>
          <w:p w14:paraId="23D908CE" w14:textId="77777777" w:rsidR="00AC2AA1" w:rsidRPr="00B02BA3" w:rsidRDefault="00AC2AA1" w:rsidP="00283F9E">
            <w:pPr>
              <w:spacing w:before="40" w:after="40"/>
              <w:rPr>
                <w:sz w:val="18"/>
              </w:rPr>
            </w:pPr>
          </w:p>
        </w:tc>
        <w:tc>
          <w:tcPr>
            <w:tcW w:w="1132" w:type="dxa"/>
          </w:tcPr>
          <w:p w14:paraId="5833956F" w14:textId="77777777" w:rsidR="00AC2AA1" w:rsidRPr="00B02BA3" w:rsidRDefault="00AC2AA1" w:rsidP="00283F9E">
            <w:pPr>
              <w:spacing w:before="40" w:after="40"/>
              <w:jc w:val="right"/>
              <w:rPr>
                <w:sz w:val="18"/>
              </w:rPr>
            </w:pPr>
            <w:r>
              <w:rPr>
                <w:sz w:val="18"/>
              </w:rPr>
              <w:t>266.7</w:t>
            </w:r>
          </w:p>
        </w:tc>
        <w:tc>
          <w:tcPr>
            <w:tcW w:w="236" w:type="dxa"/>
            <w:vAlign w:val="bottom"/>
          </w:tcPr>
          <w:p w14:paraId="4DF8B1EB" w14:textId="77777777" w:rsidR="00AC2AA1" w:rsidRPr="00B02BA3" w:rsidRDefault="00AC2AA1" w:rsidP="00283F9E">
            <w:pPr>
              <w:spacing w:before="40" w:after="40"/>
              <w:rPr>
                <w:sz w:val="18"/>
              </w:rPr>
            </w:pPr>
          </w:p>
        </w:tc>
      </w:tr>
      <w:tr w:rsidR="00AC2AA1" w:rsidRPr="00B02BA3" w14:paraId="090FE8CE" w14:textId="77777777" w:rsidTr="00AC2AA1">
        <w:tc>
          <w:tcPr>
            <w:tcW w:w="3156" w:type="dxa"/>
            <w:vAlign w:val="bottom"/>
          </w:tcPr>
          <w:p w14:paraId="00968891" w14:textId="77777777" w:rsidR="00AC2AA1" w:rsidRPr="00B02BA3" w:rsidRDefault="00AC2AA1" w:rsidP="00283F9E">
            <w:pPr>
              <w:tabs>
                <w:tab w:val="right" w:leader="dot" w:pos="3163"/>
              </w:tabs>
              <w:bidi/>
              <w:spacing w:before="40" w:after="40"/>
              <w:ind w:left="407"/>
              <w:rPr>
                <w:sz w:val="18"/>
              </w:rPr>
            </w:pPr>
            <w:r w:rsidRPr="003D0326">
              <w:rPr>
                <w:rFonts w:hint="cs"/>
                <w:sz w:val="14"/>
                <w:szCs w:val="16"/>
                <w:rtl/>
              </w:rPr>
              <w:t>الأصول المتداولة الأخرى</w:t>
            </w:r>
            <w:r w:rsidRPr="003D0326">
              <w:rPr>
                <w:sz w:val="14"/>
                <w:szCs w:val="16"/>
              </w:rPr>
              <w:tab/>
            </w:r>
          </w:p>
        </w:tc>
        <w:tc>
          <w:tcPr>
            <w:tcW w:w="282" w:type="dxa"/>
            <w:vAlign w:val="bottom"/>
          </w:tcPr>
          <w:p w14:paraId="2A01E597" w14:textId="77777777" w:rsidR="00AC2AA1" w:rsidRPr="00B02BA3" w:rsidRDefault="00AC2AA1" w:rsidP="00283F9E">
            <w:pPr>
              <w:spacing w:before="40" w:after="40"/>
              <w:rPr>
                <w:sz w:val="18"/>
              </w:rPr>
            </w:pPr>
          </w:p>
        </w:tc>
        <w:tc>
          <w:tcPr>
            <w:tcW w:w="1132" w:type="dxa"/>
            <w:vAlign w:val="bottom"/>
          </w:tcPr>
          <w:p w14:paraId="25D18D34" w14:textId="77777777" w:rsidR="00AC2AA1" w:rsidRPr="00B02BA3" w:rsidRDefault="00AC2AA1" w:rsidP="00283F9E">
            <w:pPr>
              <w:spacing w:before="40" w:after="40"/>
              <w:jc w:val="right"/>
              <w:rPr>
                <w:sz w:val="18"/>
              </w:rPr>
            </w:pPr>
            <w:r w:rsidRPr="00B02BA3">
              <w:rPr>
                <w:sz w:val="18"/>
              </w:rPr>
              <w:t>21</w:t>
            </w:r>
            <w:r>
              <w:rPr>
                <w:sz w:val="18"/>
              </w:rPr>
              <w:t>.1</w:t>
            </w:r>
          </w:p>
        </w:tc>
        <w:tc>
          <w:tcPr>
            <w:tcW w:w="282" w:type="dxa"/>
            <w:vAlign w:val="bottom"/>
          </w:tcPr>
          <w:p w14:paraId="7322BD78" w14:textId="77777777" w:rsidR="00AC2AA1" w:rsidRPr="00B02BA3" w:rsidRDefault="00AC2AA1" w:rsidP="00283F9E">
            <w:pPr>
              <w:spacing w:before="40" w:after="40"/>
              <w:rPr>
                <w:sz w:val="18"/>
              </w:rPr>
            </w:pPr>
          </w:p>
        </w:tc>
        <w:tc>
          <w:tcPr>
            <w:tcW w:w="1132" w:type="dxa"/>
            <w:vAlign w:val="bottom"/>
          </w:tcPr>
          <w:p w14:paraId="16CBA848" w14:textId="77777777" w:rsidR="00AC2AA1" w:rsidRPr="00B02BA3" w:rsidRDefault="00AC2AA1" w:rsidP="00283F9E">
            <w:pPr>
              <w:spacing w:before="40" w:after="40"/>
              <w:jc w:val="right"/>
              <w:rPr>
                <w:sz w:val="18"/>
              </w:rPr>
            </w:pPr>
            <w:r w:rsidRPr="00B02BA3">
              <w:rPr>
                <w:sz w:val="18"/>
              </w:rPr>
              <w:t>43</w:t>
            </w:r>
            <w:r>
              <w:rPr>
                <w:sz w:val="18"/>
              </w:rPr>
              <w:t>.6</w:t>
            </w:r>
          </w:p>
        </w:tc>
        <w:tc>
          <w:tcPr>
            <w:tcW w:w="282" w:type="dxa"/>
            <w:vAlign w:val="bottom"/>
          </w:tcPr>
          <w:p w14:paraId="1E03A1CF" w14:textId="77777777" w:rsidR="00AC2AA1" w:rsidRPr="00B02BA3" w:rsidRDefault="00AC2AA1" w:rsidP="00283F9E">
            <w:pPr>
              <w:spacing w:before="40" w:after="40"/>
              <w:rPr>
                <w:sz w:val="18"/>
              </w:rPr>
            </w:pPr>
          </w:p>
        </w:tc>
        <w:tc>
          <w:tcPr>
            <w:tcW w:w="1132" w:type="dxa"/>
          </w:tcPr>
          <w:p w14:paraId="0C6338E6" w14:textId="77777777" w:rsidR="00AC2AA1" w:rsidRPr="00B02BA3" w:rsidRDefault="00AC2AA1" w:rsidP="00283F9E">
            <w:pPr>
              <w:spacing w:before="40" w:after="40"/>
              <w:jc w:val="right"/>
              <w:rPr>
                <w:sz w:val="18"/>
              </w:rPr>
            </w:pPr>
            <w:r w:rsidRPr="00B02BA3">
              <w:rPr>
                <w:sz w:val="18"/>
              </w:rPr>
              <w:t>41</w:t>
            </w:r>
            <w:r>
              <w:rPr>
                <w:sz w:val="18"/>
              </w:rPr>
              <w:t>.9</w:t>
            </w:r>
          </w:p>
        </w:tc>
        <w:tc>
          <w:tcPr>
            <w:tcW w:w="282" w:type="dxa"/>
            <w:vAlign w:val="bottom"/>
          </w:tcPr>
          <w:p w14:paraId="558A99F5" w14:textId="77777777" w:rsidR="00AC2AA1" w:rsidRPr="00B02BA3" w:rsidRDefault="00AC2AA1" w:rsidP="00283F9E">
            <w:pPr>
              <w:spacing w:before="40" w:after="40"/>
              <w:rPr>
                <w:sz w:val="18"/>
              </w:rPr>
            </w:pPr>
          </w:p>
        </w:tc>
        <w:tc>
          <w:tcPr>
            <w:tcW w:w="1132" w:type="dxa"/>
          </w:tcPr>
          <w:p w14:paraId="41413401" w14:textId="77777777" w:rsidR="00AC2AA1" w:rsidRPr="00B02BA3" w:rsidRDefault="00AC2AA1" w:rsidP="00283F9E">
            <w:pPr>
              <w:spacing w:before="40" w:after="40"/>
              <w:jc w:val="right"/>
              <w:rPr>
                <w:sz w:val="18"/>
              </w:rPr>
            </w:pPr>
            <w:r>
              <w:rPr>
                <w:sz w:val="18"/>
              </w:rPr>
              <w:t>46.8</w:t>
            </w:r>
          </w:p>
        </w:tc>
        <w:tc>
          <w:tcPr>
            <w:tcW w:w="236" w:type="dxa"/>
            <w:vAlign w:val="bottom"/>
          </w:tcPr>
          <w:p w14:paraId="7D74E8B2" w14:textId="77777777" w:rsidR="00AC2AA1" w:rsidRPr="00B02BA3" w:rsidRDefault="00AC2AA1" w:rsidP="00283F9E">
            <w:pPr>
              <w:spacing w:before="40" w:after="40"/>
              <w:rPr>
                <w:sz w:val="18"/>
              </w:rPr>
            </w:pPr>
          </w:p>
        </w:tc>
      </w:tr>
      <w:tr w:rsidR="00AC2AA1" w:rsidRPr="00B02BA3" w14:paraId="1C121F5F" w14:textId="77777777" w:rsidTr="00AC2AA1">
        <w:tc>
          <w:tcPr>
            <w:tcW w:w="3156" w:type="dxa"/>
            <w:vAlign w:val="bottom"/>
          </w:tcPr>
          <w:p w14:paraId="4262EF4B" w14:textId="77777777" w:rsidR="00AC2AA1" w:rsidRPr="00B02BA3" w:rsidRDefault="00AC2AA1" w:rsidP="00283F9E">
            <w:pPr>
              <w:tabs>
                <w:tab w:val="right" w:leader="dot" w:pos="3163"/>
              </w:tabs>
              <w:bidi/>
              <w:spacing w:before="40" w:after="40"/>
              <w:ind w:left="407"/>
              <w:rPr>
                <w:sz w:val="18"/>
              </w:rPr>
            </w:pPr>
            <w:r w:rsidRPr="003D0326">
              <w:rPr>
                <w:rFonts w:hint="cs"/>
                <w:sz w:val="14"/>
                <w:szCs w:val="16"/>
                <w:rtl/>
              </w:rPr>
              <w:t>المخزون</w:t>
            </w:r>
            <w:r w:rsidRPr="003D0326">
              <w:rPr>
                <w:sz w:val="14"/>
                <w:szCs w:val="16"/>
              </w:rPr>
              <w:tab/>
            </w:r>
          </w:p>
        </w:tc>
        <w:tc>
          <w:tcPr>
            <w:tcW w:w="282" w:type="dxa"/>
            <w:vAlign w:val="bottom"/>
          </w:tcPr>
          <w:p w14:paraId="6882DC85" w14:textId="77777777" w:rsidR="00AC2AA1" w:rsidRPr="00B02BA3" w:rsidRDefault="00AC2AA1" w:rsidP="00283F9E">
            <w:pPr>
              <w:spacing w:before="40" w:after="40"/>
              <w:rPr>
                <w:sz w:val="18"/>
              </w:rPr>
            </w:pPr>
          </w:p>
        </w:tc>
        <w:tc>
          <w:tcPr>
            <w:tcW w:w="1132" w:type="dxa"/>
            <w:tcBorders>
              <w:bottom w:val="single" w:sz="4" w:space="0" w:color="auto"/>
            </w:tcBorders>
            <w:vAlign w:val="bottom"/>
          </w:tcPr>
          <w:p w14:paraId="7F52D712" w14:textId="77777777" w:rsidR="00AC2AA1" w:rsidRPr="00B02BA3" w:rsidRDefault="00AC2AA1" w:rsidP="00283F9E">
            <w:pPr>
              <w:spacing w:before="40" w:after="40"/>
              <w:jc w:val="right"/>
              <w:rPr>
                <w:sz w:val="18"/>
              </w:rPr>
            </w:pPr>
            <w:r w:rsidRPr="00B02BA3">
              <w:rPr>
                <w:sz w:val="18"/>
              </w:rPr>
              <w:t>38</w:t>
            </w:r>
            <w:r>
              <w:rPr>
                <w:sz w:val="18"/>
              </w:rPr>
              <w:t>.2</w:t>
            </w:r>
          </w:p>
        </w:tc>
        <w:tc>
          <w:tcPr>
            <w:tcW w:w="282" w:type="dxa"/>
            <w:vAlign w:val="bottom"/>
          </w:tcPr>
          <w:p w14:paraId="2811B7F0" w14:textId="77777777" w:rsidR="00AC2AA1" w:rsidRPr="00B02BA3" w:rsidRDefault="00AC2AA1" w:rsidP="00283F9E">
            <w:pPr>
              <w:spacing w:before="40" w:after="40"/>
              <w:rPr>
                <w:sz w:val="18"/>
              </w:rPr>
            </w:pPr>
          </w:p>
        </w:tc>
        <w:tc>
          <w:tcPr>
            <w:tcW w:w="1132" w:type="dxa"/>
            <w:tcBorders>
              <w:bottom w:val="single" w:sz="4" w:space="0" w:color="auto"/>
            </w:tcBorders>
            <w:vAlign w:val="bottom"/>
          </w:tcPr>
          <w:p w14:paraId="4ACA4954" w14:textId="77777777" w:rsidR="00AC2AA1" w:rsidRPr="00B02BA3" w:rsidRDefault="00AC2AA1" w:rsidP="00283F9E">
            <w:pPr>
              <w:spacing w:before="40" w:after="40"/>
              <w:jc w:val="right"/>
              <w:rPr>
                <w:sz w:val="18"/>
              </w:rPr>
            </w:pPr>
            <w:r w:rsidRPr="00B02BA3">
              <w:rPr>
                <w:sz w:val="18"/>
              </w:rPr>
              <w:t>31</w:t>
            </w:r>
            <w:r>
              <w:rPr>
                <w:sz w:val="18"/>
              </w:rPr>
              <w:t>.7</w:t>
            </w:r>
          </w:p>
        </w:tc>
        <w:tc>
          <w:tcPr>
            <w:tcW w:w="282" w:type="dxa"/>
            <w:vAlign w:val="bottom"/>
          </w:tcPr>
          <w:p w14:paraId="4D6BFEDF" w14:textId="77777777" w:rsidR="00AC2AA1" w:rsidRPr="00B02BA3" w:rsidRDefault="00AC2AA1" w:rsidP="00283F9E">
            <w:pPr>
              <w:spacing w:before="40" w:after="40"/>
              <w:rPr>
                <w:sz w:val="18"/>
              </w:rPr>
            </w:pPr>
          </w:p>
        </w:tc>
        <w:tc>
          <w:tcPr>
            <w:tcW w:w="1132" w:type="dxa"/>
            <w:tcBorders>
              <w:bottom w:val="single" w:sz="4" w:space="0" w:color="auto"/>
            </w:tcBorders>
          </w:tcPr>
          <w:p w14:paraId="431D854E" w14:textId="77777777" w:rsidR="00AC2AA1" w:rsidRPr="00B02BA3" w:rsidRDefault="00AC2AA1" w:rsidP="00283F9E">
            <w:pPr>
              <w:spacing w:before="40" w:after="40"/>
              <w:jc w:val="right"/>
              <w:rPr>
                <w:sz w:val="18"/>
              </w:rPr>
            </w:pPr>
            <w:r w:rsidRPr="00B02BA3">
              <w:rPr>
                <w:sz w:val="18"/>
              </w:rPr>
              <w:t>24</w:t>
            </w:r>
            <w:r>
              <w:rPr>
                <w:sz w:val="18"/>
              </w:rPr>
              <w:t>.2</w:t>
            </w:r>
          </w:p>
        </w:tc>
        <w:tc>
          <w:tcPr>
            <w:tcW w:w="282" w:type="dxa"/>
            <w:vAlign w:val="bottom"/>
          </w:tcPr>
          <w:p w14:paraId="5E8FE870" w14:textId="77777777" w:rsidR="00AC2AA1" w:rsidRPr="00B02BA3" w:rsidRDefault="00AC2AA1" w:rsidP="00283F9E">
            <w:pPr>
              <w:spacing w:before="40" w:after="40"/>
              <w:rPr>
                <w:sz w:val="18"/>
              </w:rPr>
            </w:pPr>
          </w:p>
        </w:tc>
        <w:tc>
          <w:tcPr>
            <w:tcW w:w="1132" w:type="dxa"/>
            <w:tcBorders>
              <w:bottom w:val="single" w:sz="4" w:space="0" w:color="auto"/>
            </w:tcBorders>
          </w:tcPr>
          <w:p w14:paraId="51D4E821" w14:textId="77777777" w:rsidR="00AC2AA1" w:rsidRPr="00B02BA3" w:rsidRDefault="00AC2AA1" w:rsidP="00283F9E">
            <w:pPr>
              <w:spacing w:before="40" w:after="40"/>
              <w:jc w:val="right"/>
              <w:rPr>
                <w:sz w:val="18"/>
              </w:rPr>
            </w:pPr>
            <w:r>
              <w:rPr>
                <w:sz w:val="18"/>
              </w:rPr>
              <w:t>20.9</w:t>
            </w:r>
          </w:p>
        </w:tc>
        <w:tc>
          <w:tcPr>
            <w:tcW w:w="236" w:type="dxa"/>
            <w:vAlign w:val="bottom"/>
          </w:tcPr>
          <w:p w14:paraId="6FDA12DA" w14:textId="77777777" w:rsidR="00AC2AA1" w:rsidRPr="00B02BA3" w:rsidRDefault="00AC2AA1" w:rsidP="00283F9E">
            <w:pPr>
              <w:spacing w:before="40" w:after="40"/>
              <w:rPr>
                <w:sz w:val="18"/>
              </w:rPr>
            </w:pPr>
          </w:p>
        </w:tc>
      </w:tr>
      <w:tr w:rsidR="006122F4" w:rsidRPr="00B02BA3" w14:paraId="7AA366E6" w14:textId="77777777" w:rsidTr="00AC2AA1">
        <w:tc>
          <w:tcPr>
            <w:tcW w:w="3156" w:type="dxa"/>
            <w:vAlign w:val="bottom"/>
          </w:tcPr>
          <w:p w14:paraId="7E4A41D2" w14:textId="77777777" w:rsidR="006122F4" w:rsidRPr="00B02BA3" w:rsidRDefault="006122F4" w:rsidP="006122F4">
            <w:pPr>
              <w:tabs>
                <w:tab w:val="right" w:leader="dot" w:pos="3163"/>
              </w:tabs>
              <w:bidi/>
              <w:spacing w:before="40" w:after="40"/>
              <w:ind w:left="407"/>
              <w:rPr>
                <w:b/>
                <w:bCs/>
                <w:sz w:val="18"/>
              </w:rPr>
            </w:pPr>
            <w:r w:rsidRPr="003D0326">
              <w:rPr>
                <w:rFonts w:hint="cs"/>
                <w:b/>
                <w:bCs/>
                <w:sz w:val="14"/>
                <w:szCs w:val="16"/>
                <w:rtl/>
              </w:rPr>
              <w:t>إجمالي الأصول المتداولة</w:t>
            </w:r>
            <w:r w:rsidRPr="003D0326">
              <w:rPr>
                <w:sz w:val="14"/>
                <w:szCs w:val="16"/>
              </w:rPr>
              <w:tab/>
            </w:r>
          </w:p>
        </w:tc>
        <w:tc>
          <w:tcPr>
            <w:tcW w:w="282" w:type="dxa"/>
            <w:vAlign w:val="bottom"/>
          </w:tcPr>
          <w:p w14:paraId="01CC0BFB" w14:textId="77777777" w:rsidR="006122F4" w:rsidRPr="00B02BA3" w:rsidRDefault="006122F4" w:rsidP="006122F4">
            <w:pPr>
              <w:spacing w:before="40" w:after="40"/>
              <w:rPr>
                <w:sz w:val="18"/>
              </w:rPr>
            </w:pPr>
          </w:p>
        </w:tc>
        <w:tc>
          <w:tcPr>
            <w:tcW w:w="1132" w:type="dxa"/>
            <w:tcBorders>
              <w:top w:val="single" w:sz="4" w:space="0" w:color="auto"/>
              <w:bottom w:val="single" w:sz="4" w:space="0" w:color="auto"/>
            </w:tcBorders>
            <w:vAlign w:val="bottom"/>
          </w:tcPr>
          <w:p w14:paraId="0BF444E0" w14:textId="77777777" w:rsidR="006122F4" w:rsidRPr="00B02BA3" w:rsidRDefault="006122F4" w:rsidP="006122F4">
            <w:pPr>
              <w:spacing w:before="40" w:after="40"/>
              <w:jc w:val="right"/>
              <w:rPr>
                <w:sz w:val="18"/>
              </w:rPr>
            </w:pPr>
            <w:r w:rsidRPr="00B02BA3">
              <w:rPr>
                <w:sz w:val="18"/>
              </w:rPr>
              <w:t>375</w:t>
            </w:r>
            <w:r>
              <w:rPr>
                <w:sz w:val="18"/>
              </w:rPr>
              <w:t>.8</w:t>
            </w:r>
          </w:p>
        </w:tc>
        <w:tc>
          <w:tcPr>
            <w:tcW w:w="282" w:type="dxa"/>
            <w:vAlign w:val="bottom"/>
          </w:tcPr>
          <w:p w14:paraId="3502EAB1" w14:textId="77777777" w:rsidR="006122F4" w:rsidRPr="00B02BA3" w:rsidRDefault="006122F4" w:rsidP="006122F4">
            <w:pPr>
              <w:spacing w:before="40" w:after="40"/>
              <w:rPr>
                <w:sz w:val="18"/>
              </w:rPr>
            </w:pPr>
          </w:p>
        </w:tc>
        <w:tc>
          <w:tcPr>
            <w:tcW w:w="1132" w:type="dxa"/>
            <w:tcBorders>
              <w:top w:val="single" w:sz="4" w:space="0" w:color="auto"/>
              <w:bottom w:val="single" w:sz="4" w:space="0" w:color="auto"/>
            </w:tcBorders>
            <w:vAlign w:val="bottom"/>
          </w:tcPr>
          <w:p w14:paraId="4BF2644E" w14:textId="77777777" w:rsidR="006122F4" w:rsidRPr="00B02BA3" w:rsidRDefault="006122F4" w:rsidP="006122F4">
            <w:pPr>
              <w:spacing w:before="40" w:after="40"/>
              <w:jc w:val="right"/>
              <w:rPr>
                <w:sz w:val="18"/>
              </w:rPr>
            </w:pPr>
            <w:r>
              <w:rPr>
                <w:sz w:val="18"/>
              </w:rPr>
              <w:t>525.0</w:t>
            </w:r>
          </w:p>
        </w:tc>
        <w:tc>
          <w:tcPr>
            <w:tcW w:w="282" w:type="dxa"/>
            <w:vAlign w:val="bottom"/>
          </w:tcPr>
          <w:p w14:paraId="2CFED107" w14:textId="77777777" w:rsidR="006122F4" w:rsidRPr="00B02BA3" w:rsidRDefault="006122F4" w:rsidP="006122F4">
            <w:pPr>
              <w:spacing w:before="40" w:after="40"/>
              <w:rPr>
                <w:sz w:val="18"/>
              </w:rPr>
            </w:pPr>
          </w:p>
        </w:tc>
        <w:tc>
          <w:tcPr>
            <w:tcW w:w="1132" w:type="dxa"/>
            <w:tcBorders>
              <w:top w:val="single" w:sz="4" w:space="0" w:color="auto"/>
              <w:bottom w:val="single" w:sz="4" w:space="0" w:color="auto"/>
            </w:tcBorders>
          </w:tcPr>
          <w:p w14:paraId="46A5BCAE" w14:textId="77777777" w:rsidR="006122F4" w:rsidRPr="00B02BA3" w:rsidRDefault="006122F4" w:rsidP="006122F4">
            <w:pPr>
              <w:spacing w:before="40" w:after="40"/>
              <w:jc w:val="right"/>
              <w:rPr>
                <w:sz w:val="18"/>
              </w:rPr>
            </w:pPr>
            <w:r w:rsidRPr="00B02BA3">
              <w:rPr>
                <w:sz w:val="18"/>
              </w:rPr>
              <w:t>599</w:t>
            </w:r>
            <w:r>
              <w:rPr>
                <w:sz w:val="18"/>
              </w:rPr>
              <w:t>.4</w:t>
            </w:r>
          </w:p>
        </w:tc>
        <w:tc>
          <w:tcPr>
            <w:tcW w:w="282" w:type="dxa"/>
            <w:vAlign w:val="bottom"/>
          </w:tcPr>
          <w:p w14:paraId="5F442F75" w14:textId="77777777" w:rsidR="006122F4" w:rsidRPr="00B02BA3" w:rsidRDefault="006122F4" w:rsidP="006122F4">
            <w:pPr>
              <w:spacing w:before="40" w:after="40"/>
              <w:rPr>
                <w:sz w:val="18"/>
              </w:rPr>
            </w:pPr>
          </w:p>
        </w:tc>
        <w:tc>
          <w:tcPr>
            <w:tcW w:w="1132" w:type="dxa"/>
            <w:tcBorders>
              <w:top w:val="single" w:sz="4" w:space="0" w:color="auto"/>
              <w:bottom w:val="single" w:sz="4" w:space="0" w:color="auto"/>
            </w:tcBorders>
          </w:tcPr>
          <w:p w14:paraId="55DD89F2" w14:textId="77777777" w:rsidR="006122F4" w:rsidRPr="00B02BA3" w:rsidRDefault="00145255" w:rsidP="006122F4">
            <w:pPr>
              <w:spacing w:before="40" w:after="40"/>
              <w:jc w:val="right"/>
              <w:rPr>
                <w:sz w:val="18"/>
              </w:rPr>
            </w:pPr>
            <w:r>
              <w:rPr>
                <w:sz w:val="18"/>
              </w:rPr>
              <w:t>522.3</w:t>
            </w:r>
          </w:p>
        </w:tc>
        <w:tc>
          <w:tcPr>
            <w:tcW w:w="236" w:type="dxa"/>
            <w:vAlign w:val="bottom"/>
          </w:tcPr>
          <w:p w14:paraId="2F01FF14" w14:textId="77777777" w:rsidR="006122F4" w:rsidRPr="00B02BA3" w:rsidRDefault="006122F4" w:rsidP="006122F4">
            <w:pPr>
              <w:spacing w:before="40" w:after="40"/>
              <w:rPr>
                <w:sz w:val="18"/>
              </w:rPr>
            </w:pPr>
          </w:p>
        </w:tc>
      </w:tr>
      <w:tr w:rsidR="00452968" w:rsidRPr="00B02BA3" w14:paraId="31E09C17" w14:textId="77777777" w:rsidTr="00AC2AA1">
        <w:tc>
          <w:tcPr>
            <w:tcW w:w="3156" w:type="dxa"/>
            <w:vAlign w:val="bottom"/>
          </w:tcPr>
          <w:p w14:paraId="69AF6E14" w14:textId="77777777" w:rsidR="00452968" w:rsidRPr="00B02BA3" w:rsidRDefault="00452968" w:rsidP="00452968">
            <w:pPr>
              <w:tabs>
                <w:tab w:val="right" w:leader="dot" w:pos="3163"/>
              </w:tabs>
              <w:bidi/>
              <w:spacing w:before="40" w:after="40"/>
              <w:rPr>
                <w:b/>
                <w:bCs/>
                <w:sz w:val="18"/>
              </w:rPr>
            </w:pPr>
            <w:r w:rsidRPr="003D0326">
              <w:rPr>
                <w:rFonts w:hint="cs"/>
                <w:b/>
                <w:bCs/>
                <w:sz w:val="14"/>
                <w:szCs w:val="16"/>
                <w:rtl/>
              </w:rPr>
              <w:t>إجمالي الأصول</w:t>
            </w:r>
            <w:r w:rsidRPr="003D0326">
              <w:rPr>
                <w:sz w:val="14"/>
                <w:szCs w:val="16"/>
              </w:rPr>
              <w:tab/>
            </w:r>
          </w:p>
        </w:tc>
        <w:tc>
          <w:tcPr>
            <w:tcW w:w="282" w:type="dxa"/>
            <w:vAlign w:val="bottom"/>
          </w:tcPr>
          <w:p w14:paraId="0A1EDE18" w14:textId="77777777" w:rsidR="00452968" w:rsidRPr="00B02BA3" w:rsidRDefault="00452968" w:rsidP="00452968">
            <w:pPr>
              <w:spacing w:before="40" w:after="40"/>
              <w:rPr>
                <w:sz w:val="18"/>
              </w:rPr>
            </w:pPr>
          </w:p>
        </w:tc>
        <w:tc>
          <w:tcPr>
            <w:tcW w:w="1132" w:type="dxa"/>
            <w:tcBorders>
              <w:top w:val="single" w:sz="4" w:space="0" w:color="auto"/>
            </w:tcBorders>
            <w:vAlign w:val="bottom"/>
          </w:tcPr>
          <w:p w14:paraId="5D3AF69D" w14:textId="77777777" w:rsidR="00452968" w:rsidRPr="00B02BA3" w:rsidRDefault="00452968" w:rsidP="00452968">
            <w:pPr>
              <w:spacing w:before="40" w:after="40"/>
              <w:jc w:val="right"/>
              <w:rPr>
                <w:sz w:val="18"/>
              </w:rPr>
            </w:pPr>
            <w:r w:rsidRPr="00B02BA3">
              <w:rPr>
                <w:sz w:val="18"/>
              </w:rPr>
              <w:t>2,</w:t>
            </w:r>
            <w:r>
              <w:rPr>
                <w:sz w:val="18"/>
              </w:rPr>
              <w:t>969.6</w:t>
            </w:r>
          </w:p>
        </w:tc>
        <w:tc>
          <w:tcPr>
            <w:tcW w:w="282" w:type="dxa"/>
            <w:vAlign w:val="bottom"/>
          </w:tcPr>
          <w:p w14:paraId="3A13D235" w14:textId="77777777" w:rsidR="00452968" w:rsidRPr="00B02BA3" w:rsidRDefault="00452968" w:rsidP="00452968">
            <w:pPr>
              <w:spacing w:before="40" w:after="40"/>
              <w:rPr>
                <w:sz w:val="18"/>
              </w:rPr>
            </w:pPr>
          </w:p>
        </w:tc>
        <w:tc>
          <w:tcPr>
            <w:tcW w:w="1132" w:type="dxa"/>
            <w:tcBorders>
              <w:top w:val="single" w:sz="4" w:space="0" w:color="auto"/>
            </w:tcBorders>
            <w:vAlign w:val="bottom"/>
          </w:tcPr>
          <w:p w14:paraId="257407AF" w14:textId="77777777" w:rsidR="00452968" w:rsidRPr="00B02BA3" w:rsidRDefault="00452968" w:rsidP="00452968">
            <w:pPr>
              <w:spacing w:before="40" w:after="40"/>
              <w:jc w:val="right"/>
              <w:rPr>
                <w:sz w:val="18"/>
              </w:rPr>
            </w:pPr>
            <w:r w:rsidRPr="00B02BA3">
              <w:rPr>
                <w:sz w:val="18"/>
              </w:rPr>
              <w:t>2,972</w:t>
            </w:r>
            <w:r>
              <w:rPr>
                <w:sz w:val="18"/>
              </w:rPr>
              <w:t>.2</w:t>
            </w:r>
          </w:p>
        </w:tc>
        <w:tc>
          <w:tcPr>
            <w:tcW w:w="282" w:type="dxa"/>
            <w:vAlign w:val="bottom"/>
          </w:tcPr>
          <w:p w14:paraId="6F57828A" w14:textId="77777777" w:rsidR="00452968" w:rsidRPr="00B02BA3" w:rsidRDefault="00452968" w:rsidP="00452968">
            <w:pPr>
              <w:spacing w:before="40" w:after="40"/>
              <w:rPr>
                <w:sz w:val="18"/>
              </w:rPr>
            </w:pPr>
          </w:p>
        </w:tc>
        <w:tc>
          <w:tcPr>
            <w:tcW w:w="1132" w:type="dxa"/>
            <w:tcBorders>
              <w:top w:val="single" w:sz="4" w:space="0" w:color="auto"/>
            </w:tcBorders>
          </w:tcPr>
          <w:p w14:paraId="0B37CA4B" w14:textId="77777777" w:rsidR="00452968" w:rsidRPr="00B02BA3" w:rsidRDefault="00452968" w:rsidP="00452968">
            <w:pPr>
              <w:spacing w:before="40" w:after="40"/>
              <w:jc w:val="right"/>
              <w:rPr>
                <w:sz w:val="18"/>
              </w:rPr>
            </w:pPr>
            <w:r w:rsidRPr="00B02BA3">
              <w:rPr>
                <w:sz w:val="18"/>
              </w:rPr>
              <w:t>3,024</w:t>
            </w:r>
            <w:r>
              <w:rPr>
                <w:sz w:val="18"/>
              </w:rPr>
              <w:t>.9</w:t>
            </w:r>
          </w:p>
        </w:tc>
        <w:tc>
          <w:tcPr>
            <w:tcW w:w="282" w:type="dxa"/>
            <w:vAlign w:val="bottom"/>
          </w:tcPr>
          <w:p w14:paraId="765850EC" w14:textId="77777777" w:rsidR="00452968" w:rsidRPr="00B02BA3" w:rsidRDefault="00452968" w:rsidP="00452968">
            <w:pPr>
              <w:spacing w:before="40" w:after="40"/>
              <w:rPr>
                <w:sz w:val="18"/>
              </w:rPr>
            </w:pPr>
          </w:p>
        </w:tc>
        <w:tc>
          <w:tcPr>
            <w:tcW w:w="1132" w:type="dxa"/>
            <w:tcBorders>
              <w:top w:val="single" w:sz="4" w:space="0" w:color="auto"/>
            </w:tcBorders>
          </w:tcPr>
          <w:p w14:paraId="352557FC" w14:textId="77777777" w:rsidR="00452968" w:rsidRPr="00B02BA3" w:rsidRDefault="00452968" w:rsidP="00452968">
            <w:pPr>
              <w:spacing w:before="40" w:after="40"/>
              <w:jc w:val="right"/>
              <w:rPr>
                <w:sz w:val="18"/>
              </w:rPr>
            </w:pPr>
            <w:r>
              <w:rPr>
                <w:sz w:val="18"/>
              </w:rPr>
              <w:t>2,</w:t>
            </w:r>
            <w:r w:rsidR="0098213D">
              <w:rPr>
                <w:sz w:val="18"/>
              </w:rPr>
              <w:t>911</w:t>
            </w:r>
            <w:r>
              <w:rPr>
                <w:sz w:val="18"/>
              </w:rPr>
              <w:t>.4</w:t>
            </w:r>
          </w:p>
        </w:tc>
        <w:tc>
          <w:tcPr>
            <w:tcW w:w="236" w:type="dxa"/>
            <w:vAlign w:val="bottom"/>
          </w:tcPr>
          <w:p w14:paraId="74AD27E6" w14:textId="77777777" w:rsidR="00452968" w:rsidRPr="00B02BA3" w:rsidRDefault="00452968" w:rsidP="00452968">
            <w:pPr>
              <w:spacing w:before="40" w:after="40"/>
              <w:rPr>
                <w:sz w:val="18"/>
              </w:rPr>
            </w:pPr>
          </w:p>
        </w:tc>
      </w:tr>
      <w:tr w:rsidR="00AC2AA1" w:rsidRPr="00B02BA3" w14:paraId="566A1C5E" w14:textId="77777777" w:rsidTr="00AC2AA1">
        <w:tc>
          <w:tcPr>
            <w:tcW w:w="3156" w:type="dxa"/>
            <w:vAlign w:val="bottom"/>
          </w:tcPr>
          <w:p w14:paraId="10D0E9D0" w14:textId="77777777" w:rsidR="00AC2AA1" w:rsidRPr="00B02BA3" w:rsidRDefault="00AC2AA1" w:rsidP="00283F9E">
            <w:pPr>
              <w:tabs>
                <w:tab w:val="right" w:leader="dot" w:pos="3163"/>
              </w:tabs>
              <w:bidi/>
              <w:spacing w:before="40" w:after="40"/>
              <w:rPr>
                <w:b/>
                <w:bCs/>
                <w:sz w:val="18"/>
              </w:rPr>
            </w:pPr>
            <w:r w:rsidRPr="003D0326">
              <w:rPr>
                <w:rFonts w:hint="cs"/>
                <w:b/>
                <w:bCs/>
                <w:sz w:val="14"/>
                <w:szCs w:val="16"/>
                <w:rtl/>
              </w:rPr>
              <w:t>الملكية والخصوم</w:t>
            </w:r>
          </w:p>
        </w:tc>
        <w:tc>
          <w:tcPr>
            <w:tcW w:w="282" w:type="dxa"/>
            <w:vAlign w:val="bottom"/>
          </w:tcPr>
          <w:p w14:paraId="39A680AB" w14:textId="77777777" w:rsidR="00AC2AA1" w:rsidRPr="00B02BA3" w:rsidRDefault="00AC2AA1" w:rsidP="00283F9E">
            <w:pPr>
              <w:spacing w:before="40" w:after="40"/>
              <w:rPr>
                <w:b/>
                <w:bCs/>
                <w:sz w:val="18"/>
              </w:rPr>
            </w:pPr>
          </w:p>
        </w:tc>
        <w:tc>
          <w:tcPr>
            <w:tcW w:w="1132" w:type="dxa"/>
            <w:vAlign w:val="bottom"/>
          </w:tcPr>
          <w:p w14:paraId="43A2EB20" w14:textId="77777777" w:rsidR="00AC2AA1" w:rsidRPr="00B02BA3" w:rsidRDefault="00AC2AA1" w:rsidP="00283F9E">
            <w:pPr>
              <w:spacing w:before="40" w:after="40"/>
              <w:jc w:val="right"/>
              <w:rPr>
                <w:b/>
                <w:bCs/>
                <w:sz w:val="18"/>
              </w:rPr>
            </w:pPr>
          </w:p>
        </w:tc>
        <w:tc>
          <w:tcPr>
            <w:tcW w:w="282" w:type="dxa"/>
            <w:vAlign w:val="bottom"/>
          </w:tcPr>
          <w:p w14:paraId="5C22FDA5" w14:textId="77777777" w:rsidR="00AC2AA1" w:rsidRPr="00B02BA3" w:rsidRDefault="00AC2AA1" w:rsidP="00283F9E">
            <w:pPr>
              <w:spacing w:before="40" w:after="40"/>
              <w:rPr>
                <w:b/>
                <w:bCs/>
                <w:sz w:val="18"/>
              </w:rPr>
            </w:pPr>
          </w:p>
        </w:tc>
        <w:tc>
          <w:tcPr>
            <w:tcW w:w="1132" w:type="dxa"/>
            <w:vAlign w:val="bottom"/>
          </w:tcPr>
          <w:p w14:paraId="456986AC" w14:textId="77777777" w:rsidR="00AC2AA1" w:rsidRPr="00B02BA3" w:rsidRDefault="00AC2AA1" w:rsidP="00283F9E">
            <w:pPr>
              <w:spacing w:before="40" w:after="40"/>
              <w:jc w:val="right"/>
              <w:rPr>
                <w:b/>
                <w:bCs/>
                <w:sz w:val="18"/>
              </w:rPr>
            </w:pPr>
          </w:p>
        </w:tc>
        <w:tc>
          <w:tcPr>
            <w:tcW w:w="282" w:type="dxa"/>
            <w:vAlign w:val="bottom"/>
          </w:tcPr>
          <w:p w14:paraId="7C604541" w14:textId="77777777" w:rsidR="00AC2AA1" w:rsidRPr="00B02BA3" w:rsidRDefault="00AC2AA1" w:rsidP="00283F9E">
            <w:pPr>
              <w:spacing w:before="40" w:after="40"/>
              <w:rPr>
                <w:b/>
                <w:bCs/>
                <w:sz w:val="18"/>
              </w:rPr>
            </w:pPr>
          </w:p>
        </w:tc>
        <w:tc>
          <w:tcPr>
            <w:tcW w:w="1132" w:type="dxa"/>
          </w:tcPr>
          <w:p w14:paraId="144DC77A" w14:textId="77777777" w:rsidR="00AC2AA1" w:rsidRPr="00B02BA3" w:rsidRDefault="00AC2AA1" w:rsidP="00283F9E">
            <w:pPr>
              <w:spacing w:before="40" w:after="40"/>
              <w:jc w:val="right"/>
              <w:rPr>
                <w:b/>
                <w:bCs/>
                <w:sz w:val="18"/>
              </w:rPr>
            </w:pPr>
          </w:p>
        </w:tc>
        <w:tc>
          <w:tcPr>
            <w:tcW w:w="282" w:type="dxa"/>
            <w:vAlign w:val="bottom"/>
          </w:tcPr>
          <w:p w14:paraId="06EA465A" w14:textId="77777777" w:rsidR="00AC2AA1" w:rsidRPr="00B02BA3" w:rsidRDefault="00AC2AA1" w:rsidP="00283F9E">
            <w:pPr>
              <w:spacing w:before="40" w:after="40"/>
              <w:rPr>
                <w:b/>
                <w:bCs/>
                <w:sz w:val="18"/>
              </w:rPr>
            </w:pPr>
          </w:p>
        </w:tc>
        <w:tc>
          <w:tcPr>
            <w:tcW w:w="1132" w:type="dxa"/>
          </w:tcPr>
          <w:p w14:paraId="6499928E" w14:textId="77777777" w:rsidR="00AC2AA1" w:rsidRPr="00B02BA3" w:rsidRDefault="00AC2AA1" w:rsidP="00283F9E">
            <w:pPr>
              <w:spacing w:before="40" w:after="40"/>
              <w:jc w:val="right"/>
              <w:rPr>
                <w:b/>
                <w:bCs/>
                <w:sz w:val="18"/>
              </w:rPr>
            </w:pPr>
          </w:p>
        </w:tc>
        <w:tc>
          <w:tcPr>
            <w:tcW w:w="236" w:type="dxa"/>
            <w:vAlign w:val="bottom"/>
          </w:tcPr>
          <w:p w14:paraId="729843B3" w14:textId="77777777" w:rsidR="00AC2AA1" w:rsidRPr="00B02BA3" w:rsidRDefault="00AC2AA1" w:rsidP="00283F9E">
            <w:pPr>
              <w:spacing w:before="40" w:after="40"/>
              <w:rPr>
                <w:b/>
                <w:bCs/>
                <w:sz w:val="18"/>
              </w:rPr>
            </w:pPr>
          </w:p>
        </w:tc>
      </w:tr>
      <w:tr w:rsidR="00AC2AA1" w:rsidRPr="00B02BA3" w14:paraId="3E33074A" w14:textId="77777777" w:rsidTr="00AC2AA1">
        <w:tc>
          <w:tcPr>
            <w:tcW w:w="3156" w:type="dxa"/>
            <w:vAlign w:val="bottom"/>
          </w:tcPr>
          <w:p w14:paraId="3FCF232E" w14:textId="77777777" w:rsidR="00AC2AA1" w:rsidRPr="00B02BA3" w:rsidRDefault="00AC2AA1" w:rsidP="00283F9E">
            <w:pPr>
              <w:tabs>
                <w:tab w:val="right" w:leader="dot" w:pos="3163"/>
              </w:tabs>
              <w:bidi/>
              <w:spacing w:before="40" w:after="40"/>
              <w:rPr>
                <w:b/>
                <w:bCs/>
                <w:sz w:val="18"/>
              </w:rPr>
            </w:pPr>
            <w:r w:rsidRPr="003D0326">
              <w:rPr>
                <w:rFonts w:hint="cs"/>
                <w:b/>
                <w:bCs/>
                <w:sz w:val="14"/>
                <w:szCs w:val="16"/>
                <w:rtl/>
              </w:rPr>
              <w:t>الملكية</w:t>
            </w:r>
          </w:p>
        </w:tc>
        <w:tc>
          <w:tcPr>
            <w:tcW w:w="282" w:type="dxa"/>
            <w:vAlign w:val="bottom"/>
          </w:tcPr>
          <w:p w14:paraId="08857E2C" w14:textId="77777777" w:rsidR="00AC2AA1" w:rsidRPr="00B02BA3" w:rsidRDefault="00AC2AA1" w:rsidP="00283F9E">
            <w:pPr>
              <w:spacing w:before="40" w:after="40"/>
              <w:rPr>
                <w:b/>
                <w:bCs/>
                <w:sz w:val="18"/>
              </w:rPr>
            </w:pPr>
          </w:p>
        </w:tc>
        <w:tc>
          <w:tcPr>
            <w:tcW w:w="1132" w:type="dxa"/>
            <w:vAlign w:val="bottom"/>
          </w:tcPr>
          <w:p w14:paraId="04460507" w14:textId="77777777" w:rsidR="00AC2AA1" w:rsidRPr="00B02BA3" w:rsidRDefault="00AC2AA1" w:rsidP="00283F9E">
            <w:pPr>
              <w:spacing w:before="40" w:after="40"/>
              <w:jc w:val="right"/>
              <w:rPr>
                <w:b/>
                <w:bCs/>
                <w:sz w:val="18"/>
              </w:rPr>
            </w:pPr>
          </w:p>
        </w:tc>
        <w:tc>
          <w:tcPr>
            <w:tcW w:w="282" w:type="dxa"/>
            <w:vAlign w:val="bottom"/>
          </w:tcPr>
          <w:p w14:paraId="0D3B8303" w14:textId="77777777" w:rsidR="00AC2AA1" w:rsidRPr="00B02BA3" w:rsidRDefault="00AC2AA1" w:rsidP="00283F9E">
            <w:pPr>
              <w:spacing w:before="40" w:after="40"/>
              <w:rPr>
                <w:b/>
                <w:bCs/>
                <w:sz w:val="18"/>
              </w:rPr>
            </w:pPr>
          </w:p>
        </w:tc>
        <w:tc>
          <w:tcPr>
            <w:tcW w:w="1132" w:type="dxa"/>
            <w:vAlign w:val="bottom"/>
          </w:tcPr>
          <w:p w14:paraId="3F1DB6AC" w14:textId="77777777" w:rsidR="00AC2AA1" w:rsidRPr="00B02BA3" w:rsidRDefault="00AC2AA1" w:rsidP="00283F9E">
            <w:pPr>
              <w:spacing w:before="40" w:after="40"/>
              <w:jc w:val="right"/>
              <w:rPr>
                <w:b/>
                <w:bCs/>
                <w:sz w:val="18"/>
              </w:rPr>
            </w:pPr>
          </w:p>
        </w:tc>
        <w:tc>
          <w:tcPr>
            <w:tcW w:w="282" w:type="dxa"/>
            <w:vAlign w:val="bottom"/>
          </w:tcPr>
          <w:p w14:paraId="71F5C13E" w14:textId="77777777" w:rsidR="00AC2AA1" w:rsidRPr="00B02BA3" w:rsidRDefault="00AC2AA1" w:rsidP="00283F9E">
            <w:pPr>
              <w:spacing w:before="40" w:after="40"/>
              <w:rPr>
                <w:b/>
                <w:bCs/>
                <w:sz w:val="18"/>
              </w:rPr>
            </w:pPr>
          </w:p>
        </w:tc>
        <w:tc>
          <w:tcPr>
            <w:tcW w:w="1132" w:type="dxa"/>
          </w:tcPr>
          <w:p w14:paraId="7C0362C7" w14:textId="77777777" w:rsidR="00AC2AA1" w:rsidRPr="00B02BA3" w:rsidRDefault="00AC2AA1" w:rsidP="00283F9E">
            <w:pPr>
              <w:spacing w:before="40" w:after="40"/>
              <w:jc w:val="right"/>
              <w:rPr>
                <w:b/>
                <w:bCs/>
                <w:sz w:val="18"/>
              </w:rPr>
            </w:pPr>
          </w:p>
        </w:tc>
        <w:tc>
          <w:tcPr>
            <w:tcW w:w="282" w:type="dxa"/>
            <w:vAlign w:val="bottom"/>
          </w:tcPr>
          <w:p w14:paraId="28F164DB" w14:textId="77777777" w:rsidR="00AC2AA1" w:rsidRPr="00B02BA3" w:rsidRDefault="00AC2AA1" w:rsidP="00283F9E">
            <w:pPr>
              <w:spacing w:before="40" w:after="40"/>
              <w:rPr>
                <w:b/>
                <w:bCs/>
                <w:sz w:val="18"/>
              </w:rPr>
            </w:pPr>
          </w:p>
        </w:tc>
        <w:tc>
          <w:tcPr>
            <w:tcW w:w="1132" w:type="dxa"/>
          </w:tcPr>
          <w:p w14:paraId="4FB6E313" w14:textId="77777777" w:rsidR="00AC2AA1" w:rsidRPr="00B02BA3" w:rsidRDefault="00AC2AA1" w:rsidP="00283F9E">
            <w:pPr>
              <w:spacing w:before="40" w:after="40"/>
              <w:jc w:val="right"/>
              <w:rPr>
                <w:b/>
                <w:bCs/>
                <w:sz w:val="18"/>
              </w:rPr>
            </w:pPr>
          </w:p>
        </w:tc>
        <w:tc>
          <w:tcPr>
            <w:tcW w:w="236" w:type="dxa"/>
            <w:vAlign w:val="bottom"/>
          </w:tcPr>
          <w:p w14:paraId="36322E9D" w14:textId="77777777" w:rsidR="00AC2AA1" w:rsidRPr="00B02BA3" w:rsidRDefault="00AC2AA1" w:rsidP="00283F9E">
            <w:pPr>
              <w:spacing w:before="40" w:after="40"/>
              <w:rPr>
                <w:b/>
                <w:bCs/>
                <w:sz w:val="18"/>
              </w:rPr>
            </w:pPr>
          </w:p>
        </w:tc>
      </w:tr>
      <w:tr w:rsidR="00BE3945" w:rsidRPr="00B02BA3" w14:paraId="49E16F7A" w14:textId="77777777" w:rsidTr="00AC2AA1">
        <w:tc>
          <w:tcPr>
            <w:tcW w:w="3156" w:type="dxa"/>
            <w:vAlign w:val="bottom"/>
          </w:tcPr>
          <w:p w14:paraId="46AB7BF2" w14:textId="77777777" w:rsidR="00BE3945" w:rsidRPr="00B02BA3" w:rsidRDefault="00BE3945" w:rsidP="00BE3945">
            <w:pPr>
              <w:tabs>
                <w:tab w:val="right" w:leader="dot" w:pos="3163"/>
              </w:tabs>
              <w:bidi/>
              <w:spacing w:before="40" w:after="40"/>
              <w:ind w:left="407"/>
              <w:rPr>
                <w:sz w:val="18"/>
              </w:rPr>
            </w:pPr>
            <w:r w:rsidRPr="003D0326">
              <w:rPr>
                <w:rFonts w:hint="cs"/>
                <w:sz w:val="14"/>
                <w:szCs w:val="16"/>
                <w:rtl/>
              </w:rPr>
              <w:t>رأس المال</w:t>
            </w:r>
            <w:r w:rsidRPr="003D0326">
              <w:rPr>
                <w:sz w:val="14"/>
                <w:szCs w:val="16"/>
              </w:rPr>
              <w:tab/>
            </w:r>
          </w:p>
        </w:tc>
        <w:tc>
          <w:tcPr>
            <w:tcW w:w="282" w:type="dxa"/>
            <w:vAlign w:val="bottom"/>
          </w:tcPr>
          <w:p w14:paraId="3BBED97E" w14:textId="77777777" w:rsidR="00BE3945" w:rsidRPr="00B02BA3" w:rsidRDefault="00BE3945" w:rsidP="00BE3945">
            <w:pPr>
              <w:spacing w:before="40" w:after="40"/>
              <w:rPr>
                <w:sz w:val="18"/>
              </w:rPr>
            </w:pPr>
          </w:p>
        </w:tc>
        <w:tc>
          <w:tcPr>
            <w:tcW w:w="1132" w:type="dxa"/>
            <w:vAlign w:val="bottom"/>
          </w:tcPr>
          <w:p w14:paraId="23AA83CD" w14:textId="77777777" w:rsidR="00BE3945" w:rsidRPr="00B02BA3" w:rsidRDefault="00BE3945" w:rsidP="00BE3945">
            <w:pPr>
              <w:spacing w:before="40" w:after="40"/>
              <w:jc w:val="right"/>
              <w:rPr>
                <w:sz w:val="18"/>
              </w:rPr>
            </w:pPr>
            <w:r w:rsidRPr="00B02BA3">
              <w:rPr>
                <w:sz w:val="18"/>
              </w:rPr>
              <w:t>338</w:t>
            </w:r>
            <w:r>
              <w:rPr>
                <w:sz w:val="18"/>
              </w:rPr>
              <w:t>.2</w:t>
            </w:r>
          </w:p>
        </w:tc>
        <w:tc>
          <w:tcPr>
            <w:tcW w:w="282" w:type="dxa"/>
            <w:vAlign w:val="bottom"/>
          </w:tcPr>
          <w:p w14:paraId="5F8F1ED2" w14:textId="77777777" w:rsidR="00BE3945" w:rsidRPr="00B02BA3" w:rsidRDefault="00BE3945" w:rsidP="00BE3945">
            <w:pPr>
              <w:spacing w:before="40" w:after="40"/>
              <w:rPr>
                <w:sz w:val="18"/>
              </w:rPr>
            </w:pPr>
          </w:p>
        </w:tc>
        <w:tc>
          <w:tcPr>
            <w:tcW w:w="1132" w:type="dxa"/>
            <w:vAlign w:val="bottom"/>
          </w:tcPr>
          <w:p w14:paraId="109E45D8" w14:textId="77777777" w:rsidR="00BE3945" w:rsidRPr="00B02BA3" w:rsidRDefault="00BE3945" w:rsidP="00BE3945">
            <w:pPr>
              <w:spacing w:before="40" w:after="40"/>
              <w:jc w:val="right"/>
              <w:rPr>
                <w:sz w:val="18"/>
              </w:rPr>
            </w:pPr>
            <w:r w:rsidRPr="00B02BA3">
              <w:rPr>
                <w:sz w:val="18"/>
              </w:rPr>
              <w:t>338</w:t>
            </w:r>
            <w:r>
              <w:rPr>
                <w:sz w:val="18"/>
              </w:rPr>
              <w:t>.2</w:t>
            </w:r>
          </w:p>
        </w:tc>
        <w:tc>
          <w:tcPr>
            <w:tcW w:w="282" w:type="dxa"/>
            <w:vAlign w:val="bottom"/>
          </w:tcPr>
          <w:p w14:paraId="22EA23FF" w14:textId="77777777" w:rsidR="00BE3945" w:rsidRPr="00B02BA3" w:rsidRDefault="00BE3945" w:rsidP="00BE3945">
            <w:pPr>
              <w:spacing w:before="40" w:after="40"/>
              <w:rPr>
                <w:sz w:val="18"/>
              </w:rPr>
            </w:pPr>
          </w:p>
        </w:tc>
        <w:tc>
          <w:tcPr>
            <w:tcW w:w="1132" w:type="dxa"/>
          </w:tcPr>
          <w:p w14:paraId="0B73ADC7" w14:textId="77777777" w:rsidR="00BE3945" w:rsidRPr="00B02BA3" w:rsidRDefault="00BE3945" w:rsidP="00BE3945">
            <w:pPr>
              <w:spacing w:before="40" w:after="40"/>
              <w:jc w:val="right"/>
              <w:rPr>
                <w:sz w:val="18"/>
              </w:rPr>
            </w:pPr>
            <w:r w:rsidRPr="00B02BA3">
              <w:rPr>
                <w:sz w:val="18"/>
              </w:rPr>
              <w:t>338</w:t>
            </w:r>
            <w:r>
              <w:rPr>
                <w:sz w:val="18"/>
              </w:rPr>
              <w:t>.2</w:t>
            </w:r>
          </w:p>
        </w:tc>
        <w:tc>
          <w:tcPr>
            <w:tcW w:w="282" w:type="dxa"/>
            <w:vAlign w:val="bottom"/>
          </w:tcPr>
          <w:p w14:paraId="6FDE7159" w14:textId="77777777" w:rsidR="00BE3945" w:rsidRPr="00B02BA3" w:rsidRDefault="00BE3945" w:rsidP="00BE3945">
            <w:pPr>
              <w:spacing w:before="40" w:after="40"/>
              <w:rPr>
                <w:sz w:val="18"/>
              </w:rPr>
            </w:pPr>
          </w:p>
        </w:tc>
        <w:tc>
          <w:tcPr>
            <w:tcW w:w="1132" w:type="dxa"/>
          </w:tcPr>
          <w:p w14:paraId="43AF5D2A" w14:textId="77777777" w:rsidR="00BE3945" w:rsidRPr="00B02BA3" w:rsidRDefault="00BE3945" w:rsidP="00BE3945">
            <w:pPr>
              <w:spacing w:before="40" w:after="40"/>
              <w:jc w:val="right"/>
              <w:rPr>
                <w:sz w:val="18"/>
              </w:rPr>
            </w:pPr>
            <w:r>
              <w:rPr>
                <w:sz w:val="18"/>
              </w:rPr>
              <w:t>338.2</w:t>
            </w:r>
          </w:p>
        </w:tc>
        <w:tc>
          <w:tcPr>
            <w:tcW w:w="236" w:type="dxa"/>
            <w:vAlign w:val="bottom"/>
          </w:tcPr>
          <w:p w14:paraId="3995FB96" w14:textId="77777777" w:rsidR="00BE3945" w:rsidRPr="00B02BA3" w:rsidRDefault="00BE3945" w:rsidP="00BE3945">
            <w:pPr>
              <w:spacing w:before="40" w:after="40"/>
              <w:rPr>
                <w:sz w:val="18"/>
              </w:rPr>
            </w:pPr>
          </w:p>
        </w:tc>
      </w:tr>
      <w:tr w:rsidR="00D13567" w:rsidRPr="00B02BA3" w14:paraId="5F5B608F" w14:textId="77777777" w:rsidTr="00AC2AA1">
        <w:tc>
          <w:tcPr>
            <w:tcW w:w="3156" w:type="dxa"/>
            <w:vAlign w:val="bottom"/>
          </w:tcPr>
          <w:p w14:paraId="687E67D2" w14:textId="77777777" w:rsidR="00D13567" w:rsidRPr="00B02BA3" w:rsidRDefault="00D13567" w:rsidP="00D13567">
            <w:pPr>
              <w:tabs>
                <w:tab w:val="right" w:leader="dot" w:pos="3163"/>
              </w:tabs>
              <w:bidi/>
              <w:spacing w:before="40" w:after="40"/>
              <w:ind w:left="407"/>
              <w:rPr>
                <w:sz w:val="18"/>
              </w:rPr>
            </w:pPr>
            <w:r w:rsidRPr="003D0326">
              <w:rPr>
                <w:rFonts w:hint="cs"/>
                <w:sz w:val="14"/>
                <w:szCs w:val="16"/>
                <w:rtl/>
              </w:rPr>
              <w:t>الاحتياطيات القانونية</w:t>
            </w:r>
            <w:r w:rsidRPr="003D0326">
              <w:rPr>
                <w:sz w:val="14"/>
                <w:szCs w:val="16"/>
              </w:rPr>
              <w:tab/>
            </w:r>
          </w:p>
        </w:tc>
        <w:tc>
          <w:tcPr>
            <w:tcW w:w="282" w:type="dxa"/>
            <w:vAlign w:val="bottom"/>
          </w:tcPr>
          <w:p w14:paraId="5461CE96" w14:textId="77777777" w:rsidR="00D13567" w:rsidRPr="00B02BA3" w:rsidRDefault="00D13567" w:rsidP="00D13567">
            <w:pPr>
              <w:spacing w:before="40" w:after="40"/>
              <w:rPr>
                <w:sz w:val="18"/>
              </w:rPr>
            </w:pPr>
          </w:p>
        </w:tc>
        <w:tc>
          <w:tcPr>
            <w:tcW w:w="1132" w:type="dxa"/>
            <w:vAlign w:val="bottom"/>
          </w:tcPr>
          <w:p w14:paraId="473F2E87" w14:textId="77777777" w:rsidR="00D13567" w:rsidRPr="00B02BA3" w:rsidRDefault="00D13567" w:rsidP="00D13567">
            <w:pPr>
              <w:spacing w:before="40" w:after="40"/>
              <w:jc w:val="right"/>
              <w:rPr>
                <w:sz w:val="18"/>
              </w:rPr>
            </w:pPr>
            <w:r w:rsidRPr="00B02BA3">
              <w:rPr>
                <w:sz w:val="18"/>
              </w:rPr>
              <w:t>2</w:t>
            </w:r>
            <w:r>
              <w:rPr>
                <w:sz w:val="18"/>
              </w:rPr>
              <w:t>4.0</w:t>
            </w:r>
          </w:p>
        </w:tc>
        <w:tc>
          <w:tcPr>
            <w:tcW w:w="282" w:type="dxa"/>
            <w:vAlign w:val="bottom"/>
          </w:tcPr>
          <w:p w14:paraId="5DE8C94F" w14:textId="77777777" w:rsidR="00D13567" w:rsidRPr="00B02BA3" w:rsidRDefault="00D13567" w:rsidP="00D13567">
            <w:pPr>
              <w:spacing w:before="40" w:after="40"/>
              <w:rPr>
                <w:sz w:val="18"/>
              </w:rPr>
            </w:pPr>
          </w:p>
        </w:tc>
        <w:tc>
          <w:tcPr>
            <w:tcW w:w="1132" w:type="dxa"/>
            <w:vAlign w:val="bottom"/>
          </w:tcPr>
          <w:p w14:paraId="467FB47D" w14:textId="77777777" w:rsidR="00D13567" w:rsidRPr="00B02BA3" w:rsidRDefault="00D13567" w:rsidP="00D13567">
            <w:pPr>
              <w:spacing w:before="40" w:after="40"/>
              <w:jc w:val="right"/>
              <w:rPr>
                <w:sz w:val="18"/>
              </w:rPr>
            </w:pPr>
            <w:r w:rsidRPr="00B02BA3">
              <w:rPr>
                <w:sz w:val="18"/>
              </w:rPr>
              <w:t>30</w:t>
            </w:r>
            <w:r>
              <w:rPr>
                <w:sz w:val="18"/>
              </w:rPr>
              <w:t>.4</w:t>
            </w:r>
          </w:p>
        </w:tc>
        <w:tc>
          <w:tcPr>
            <w:tcW w:w="282" w:type="dxa"/>
            <w:vAlign w:val="bottom"/>
          </w:tcPr>
          <w:p w14:paraId="2C3C029E" w14:textId="77777777" w:rsidR="00D13567" w:rsidRPr="00B02BA3" w:rsidRDefault="00D13567" w:rsidP="00D13567">
            <w:pPr>
              <w:spacing w:before="40" w:after="40"/>
              <w:rPr>
                <w:sz w:val="18"/>
              </w:rPr>
            </w:pPr>
          </w:p>
        </w:tc>
        <w:tc>
          <w:tcPr>
            <w:tcW w:w="1132" w:type="dxa"/>
          </w:tcPr>
          <w:p w14:paraId="153D2DC2" w14:textId="77777777" w:rsidR="00D13567" w:rsidRPr="00B02BA3" w:rsidRDefault="00D13567" w:rsidP="00D13567">
            <w:pPr>
              <w:spacing w:before="40" w:after="40"/>
              <w:jc w:val="right"/>
              <w:rPr>
                <w:sz w:val="18"/>
              </w:rPr>
            </w:pPr>
            <w:r w:rsidRPr="00B02BA3">
              <w:rPr>
                <w:sz w:val="18"/>
              </w:rPr>
              <w:t>43</w:t>
            </w:r>
            <w:r>
              <w:rPr>
                <w:sz w:val="18"/>
              </w:rPr>
              <w:t>.3</w:t>
            </w:r>
          </w:p>
        </w:tc>
        <w:tc>
          <w:tcPr>
            <w:tcW w:w="282" w:type="dxa"/>
            <w:vAlign w:val="bottom"/>
          </w:tcPr>
          <w:p w14:paraId="67113474" w14:textId="77777777" w:rsidR="00D13567" w:rsidRPr="00B02BA3" w:rsidRDefault="00D13567" w:rsidP="00D13567">
            <w:pPr>
              <w:spacing w:before="40" w:after="40"/>
              <w:rPr>
                <w:sz w:val="18"/>
              </w:rPr>
            </w:pPr>
          </w:p>
        </w:tc>
        <w:tc>
          <w:tcPr>
            <w:tcW w:w="1132" w:type="dxa"/>
          </w:tcPr>
          <w:p w14:paraId="1A164333" w14:textId="77777777" w:rsidR="00D13567" w:rsidRPr="00B02BA3" w:rsidRDefault="00093532" w:rsidP="00D13567">
            <w:pPr>
              <w:spacing w:before="40" w:after="40"/>
              <w:jc w:val="right"/>
              <w:rPr>
                <w:sz w:val="18"/>
              </w:rPr>
            </w:pPr>
            <w:r>
              <w:rPr>
                <w:sz w:val="18"/>
              </w:rPr>
              <w:t>47.0</w:t>
            </w:r>
          </w:p>
        </w:tc>
        <w:tc>
          <w:tcPr>
            <w:tcW w:w="236" w:type="dxa"/>
            <w:vAlign w:val="bottom"/>
          </w:tcPr>
          <w:p w14:paraId="631CB512" w14:textId="77777777" w:rsidR="00D13567" w:rsidRPr="00B02BA3" w:rsidRDefault="00D13567" w:rsidP="00D13567">
            <w:pPr>
              <w:spacing w:before="40" w:after="40"/>
              <w:rPr>
                <w:sz w:val="18"/>
              </w:rPr>
            </w:pPr>
          </w:p>
        </w:tc>
      </w:tr>
      <w:tr w:rsidR="00AC2AA1" w:rsidRPr="00B02BA3" w14:paraId="2A9E3655" w14:textId="77777777" w:rsidTr="00AC2AA1">
        <w:tc>
          <w:tcPr>
            <w:tcW w:w="3156" w:type="dxa"/>
            <w:vAlign w:val="bottom"/>
          </w:tcPr>
          <w:p w14:paraId="4F9432CD" w14:textId="77777777" w:rsidR="00AC2AA1" w:rsidRPr="00B02BA3" w:rsidRDefault="00AC2AA1" w:rsidP="00283F9E">
            <w:pPr>
              <w:tabs>
                <w:tab w:val="right" w:leader="dot" w:pos="3163"/>
              </w:tabs>
              <w:bidi/>
              <w:spacing w:before="40" w:after="40"/>
              <w:ind w:left="407"/>
              <w:rPr>
                <w:sz w:val="18"/>
              </w:rPr>
            </w:pPr>
            <w:r w:rsidRPr="003D0326">
              <w:rPr>
                <w:rFonts w:hint="cs"/>
                <w:sz w:val="14"/>
                <w:szCs w:val="16"/>
                <w:rtl/>
              </w:rPr>
              <w:t>التغييرات التراكمية بالقيمة العادلة</w:t>
            </w:r>
            <w:r w:rsidRPr="003D0326">
              <w:rPr>
                <w:sz w:val="14"/>
                <w:szCs w:val="16"/>
              </w:rPr>
              <w:tab/>
            </w:r>
          </w:p>
        </w:tc>
        <w:tc>
          <w:tcPr>
            <w:tcW w:w="282" w:type="dxa"/>
            <w:vAlign w:val="bottom"/>
          </w:tcPr>
          <w:p w14:paraId="036DCF0C" w14:textId="77777777" w:rsidR="00AC2AA1" w:rsidRPr="00B02BA3" w:rsidRDefault="008808E3" w:rsidP="00283F9E">
            <w:pPr>
              <w:spacing w:before="40" w:after="40"/>
              <w:rPr>
                <w:sz w:val="18"/>
              </w:rPr>
            </w:pPr>
            <w:r>
              <w:rPr>
                <w:rFonts w:hint="cs"/>
                <w:sz w:val="18"/>
                <w:rtl/>
              </w:rPr>
              <w:t>(</w:t>
            </w:r>
          </w:p>
        </w:tc>
        <w:tc>
          <w:tcPr>
            <w:tcW w:w="1132" w:type="dxa"/>
            <w:vAlign w:val="bottom"/>
          </w:tcPr>
          <w:p w14:paraId="26ACBA68" w14:textId="77777777" w:rsidR="00AC2AA1" w:rsidRPr="00B02BA3" w:rsidRDefault="00AC2AA1" w:rsidP="00283F9E">
            <w:pPr>
              <w:spacing w:before="40" w:after="40"/>
              <w:jc w:val="right"/>
              <w:rPr>
                <w:sz w:val="18"/>
              </w:rPr>
            </w:pPr>
            <w:r w:rsidRPr="00B02BA3">
              <w:rPr>
                <w:sz w:val="18"/>
              </w:rPr>
              <w:t>(10</w:t>
            </w:r>
            <w:r>
              <w:rPr>
                <w:sz w:val="18"/>
              </w:rPr>
              <w:t>.7</w:t>
            </w:r>
          </w:p>
        </w:tc>
        <w:tc>
          <w:tcPr>
            <w:tcW w:w="282" w:type="dxa"/>
            <w:vAlign w:val="bottom"/>
          </w:tcPr>
          <w:p w14:paraId="4B77E05A" w14:textId="77777777" w:rsidR="00AC2AA1" w:rsidRPr="00B02BA3" w:rsidRDefault="00AC2AA1" w:rsidP="00283F9E">
            <w:pPr>
              <w:spacing w:before="40" w:after="40"/>
              <w:rPr>
                <w:sz w:val="18"/>
              </w:rPr>
            </w:pPr>
          </w:p>
        </w:tc>
        <w:tc>
          <w:tcPr>
            <w:tcW w:w="1132" w:type="dxa"/>
            <w:vAlign w:val="bottom"/>
          </w:tcPr>
          <w:p w14:paraId="50E6BBDB" w14:textId="77777777" w:rsidR="00AC2AA1" w:rsidRPr="00B02BA3" w:rsidRDefault="00AC2AA1" w:rsidP="00283F9E">
            <w:pPr>
              <w:spacing w:before="40" w:after="40"/>
              <w:jc w:val="right"/>
              <w:rPr>
                <w:sz w:val="18"/>
              </w:rPr>
            </w:pPr>
            <w:r w:rsidRPr="00B02BA3">
              <w:rPr>
                <w:sz w:val="18"/>
              </w:rPr>
              <w:t>26</w:t>
            </w:r>
            <w:r>
              <w:rPr>
                <w:sz w:val="18"/>
              </w:rPr>
              <w:t>.8</w:t>
            </w:r>
          </w:p>
        </w:tc>
        <w:tc>
          <w:tcPr>
            <w:tcW w:w="282" w:type="dxa"/>
            <w:vAlign w:val="bottom"/>
          </w:tcPr>
          <w:p w14:paraId="3EC18E42" w14:textId="77777777" w:rsidR="00AC2AA1" w:rsidRPr="00B02BA3" w:rsidRDefault="00AC2AA1" w:rsidP="00283F9E">
            <w:pPr>
              <w:spacing w:before="40" w:after="40"/>
              <w:rPr>
                <w:sz w:val="18"/>
              </w:rPr>
            </w:pPr>
          </w:p>
        </w:tc>
        <w:tc>
          <w:tcPr>
            <w:tcW w:w="1132" w:type="dxa"/>
          </w:tcPr>
          <w:p w14:paraId="227B61AE" w14:textId="77777777" w:rsidR="00AC2AA1" w:rsidRPr="00B02BA3" w:rsidRDefault="00AC2AA1" w:rsidP="00283F9E">
            <w:pPr>
              <w:spacing w:before="40" w:after="40"/>
              <w:jc w:val="right"/>
              <w:rPr>
                <w:sz w:val="18"/>
              </w:rPr>
            </w:pPr>
            <w:r w:rsidRPr="00B02BA3">
              <w:rPr>
                <w:sz w:val="18"/>
              </w:rPr>
              <w:t>8</w:t>
            </w:r>
            <w:r>
              <w:rPr>
                <w:sz w:val="18"/>
              </w:rPr>
              <w:t>.3</w:t>
            </w:r>
          </w:p>
        </w:tc>
        <w:tc>
          <w:tcPr>
            <w:tcW w:w="282" w:type="dxa"/>
            <w:vAlign w:val="bottom"/>
          </w:tcPr>
          <w:p w14:paraId="725F12AB" w14:textId="77777777" w:rsidR="00AC2AA1" w:rsidRPr="00B02BA3" w:rsidRDefault="00AC2AA1" w:rsidP="00283F9E">
            <w:pPr>
              <w:spacing w:before="40" w:after="40"/>
              <w:rPr>
                <w:sz w:val="18"/>
              </w:rPr>
            </w:pPr>
          </w:p>
        </w:tc>
        <w:tc>
          <w:tcPr>
            <w:tcW w:w="1132" w:type="dxa"/>
          </w:tcPr>
          <w:p w14:paraId="445C2EBF" w14:textId="77777777" w:rsidR="00AC2AA1" w:rsidRPr="00B02BA3" w:rsidRDefault="00AC2AA1" w:rsidP="00283F9E">
            <w:pPr>
              <w:spacing w:before="40" w:after="40"/>
              <w:jc w:val="right"/>
              <w:rPr>
                <w:sz w:val="18"/>
              </w:rPr>
            </w:pPr>
            <w:r>
              <w:rPr>
                <w:sz w:val="18"/>
              </w:rPr>
              <w:t>3.9</w:t>
            </w:r>
          </w:p>
        </w:tc>
        <w:tc>
          <w:tcPr>
            <w:tcW w:w="236" w:type="dxa"/>
            <w:vAlign w:val="bottom"/>
          </w:tcPr>
          <w:p w14:paraId="1F7A1C59" w14:textId="77777777" w:rsidR="00AC2AA1" w:rsidRPr="00B02BA3" w:rsidRDefault="00AC2AA1" w:rsidP="00283F9E">
            <w:pPr>
              <w:spacing w:before="40" w:after="40"/>
              <w:rPr>
                <w:sz w:val="18"/>
              </w:rPr>
            </w:pPr>
          </w:p>
        </w:tc>
      </w:tr>
      <w:tr w:rsidR="001D666B" w:rsidRPr="00B02BA3" w14:paraId="70F7007D" w14:textId="77777777" w:rsidTr="00AC2AA1">
        <w:tc>
          <w:tcPr>
            <w:tcW w:w="3156" w:type="dxa"/>
            <w:vAlign w:val="bottom"/>
          </w:tcPr>
          <w:p w14:paraId="129736F8" w14:textId="77777777" w:rsidR="001D666B" w:rsidRPr="00B02BA3" w:rsidRDefault="001D666B" w:rsidP="001D666B">
            <w:pPr>
              <w:tabs>
                <w:tab w:val="right" w:leader="dot" w:pos="3163"/>
              </w:tabs>
              <w:bidi/>
              <w:spacing w:before="40" w:after="40"/>
              <w:ind w:left="407"/>
              <w:rPr>
                <w:sz w:val="18"/>
              </w:rPr>
            </w:pPr>
            <w:r w:rsidRPr="003D0326">
              <w:rPr>
                <w:rFonts w:hint="cs"/>
                <w:sz w:val="14"/>
                <w:szCs w:val="16"/>
                <w:rtl/>
              </w:rPr>
              <w:t>أرباح محتجزة</w:t>
            </w:r>
            <w:r w:rsidRPr="003D0326">
              <w:rPr>
                <w:sz w:val="14"/>
                <w:szCs w:val="16"/>
              </w:rPr>
              <w:tab/>
            </w:r>
          </w:p>
        </w:tc>
        <w:tc>
          <w:tcPr>
            <w:tcW w:w="282" w:type="dxa"/>
            <w:vAlign w:val="bottom"/>
          </w:tcPr>
          <w:p w14:paraId="4E2484A3" w14:textId="77777777" w:rsidR="001D666B" w:rsidRPr="00B02BA3" w:rsidRDefault="001D666B" w:rsidP="001D666B">
            <w:pPr>
              <w:spacing w:before="40" w:after="40"/>
              <w:rPr>
                <w:sz w:val="18"/>
              </w:rPr>
            </w:pPr>
          </w:p>
        </w:tc>
        <w:tc>
          <w:tcPr>
            <w:tcW w:w="1132" w:type="dxa"/>
            <w:tcBorders>
              <w:bottom w:val="single" w:sz="4" w:space="0" w:color="auto"/>
            </w:tcBorders>
            <w:vAlign w:val="bottom"/>
          </w:tcPr>
          <w:p w14:paraId="6A01320F" w14:textId="77777777" w:rsidR="001D666B" w:rsidRPr="00B02BA3" w:rsidRDefault="001D666B" w:rsidP="001D666B">
            <w:pPr>
              <w:spacing w:before="40" w:after="40"/>
              <w:jc w:val="right"/>
              <w:rPr>
                <w:sz w:val="18"/>
              </w:rPr>
            </w:pPr>
            <w:r w:rsidRPr="00B02BA3">
              <w:rPr>
                <w:sz w:val="18"/>
              </w:rPr>
              <w:t>643</w:t>
            </w:r>
            <w:r>
              <w:rPr>
                <w:sz w:val="18"/>
              </w:rPr>
              <w:t>.4</w:t>
            </w:r>
          </w:p>
        </w:tc>
        <w:tc>
          <w:tcPr>
            <w:tcW w:w="282" w:type="dxa"/>
            <w:vAlign w:val="bottom"/>
          </w:tcPr>
          <w:p w14:paraId="4AEA6947" w14:textId="77777777" w:rsidR="001D666B" w:rsidRPr="00B02BA3" w:rsidRDefault="001D666B" w:rsidP="001D666B">
            <w:pPr>
              <w:spacing w:before="40" w:after="40"/>
              <w:rPr>
                <w:sz w:val="18"/>
              </w:rPr>
            </w:pPr>
          </w:p>
        </w:tc>
        <w:tc>
          <w:tcPr>
            <w:tcW w:w="1132" w:type="dxa"/>
            <w:tcBorders>
              <w:bottom w:val="single" w:sz="4" w:space="0" w:color="auto"/>
            </w:tcBorders>
            <w:vAlign w:val="bottom"/>
          </w:tcPr>
          <w:p w14:paraId="1DD59DFD" w14:textId="77777777" w:rsidR="001D666B" w:rsidRPr="00B02BA3" w:rsidRDefault="001D666B" w:rsidP="001D666B">
            <w:pPr>
              <w:spacing w:before="40" w:after="40"/>
              <w:jc w:val="right"/>
              <w:rPr>
                <w:sz w:val="18"/>
              </w:rPr>
            </w:pPr>
            <w:r w:rsidRPr="00B02BA3">
              <w:rPr>
                <w:sz w:val="18"/>
              </w:rPr>
              <w:t>73</w:t>
            </w:r>
            <w:r>
              <w:rPr>
                <w:sz w:val="18"/>
              </w:rPr>
              <w:t>7.2</w:t>
            </w:r>
          </w:p>
        </w:tc>
        <w:tc>
          <w:tcPr>
            <w:tcW w:w="282" w:type="dxa"/>
            <w:vAlign w:val="bottom"/>
          </w:tcPr>
          <w:p w14:paraId="271ABA8B" w14:textId="77777777" w:rsidR="001D666B" w:rsidRPr="00B02BA3" w:rsidRDefault="001D666B" w:rsidP="001D666B">
            <w:pPr>
              <w:spacing w:before="40" w:after="40"/>
              <w:rPr>
                <w:sz w:val="18"/>
              </w:rPr>
            </w:pPr>
          </w:p>
        </w:tc>
        <w:tc>
          <w:tcPr>
            <w:tcW w:w="1132" w:type="dxa"/>
            <w:tcBorders>
              <w:bottom w:val="single" w:sz="4" w:space="0" w:color="auto"/>
            </w:tcBorders>
          </w:tcPr>
          <w:p w14:paraId="477332D9" w14:textId="77777777" w:rsidR="001D666B" w:rsidRPr="00B02BA3" w:rsidRDefault="001D666B" w:rsidP="001D666B">
            <w:pPr>
              <w:spacing w:before="40" w:after="40"/>
              <w:jc w:val="right"/>
              <w:rPr>
                <w:sz w:val="18"/>
              </w:rPr>
            </w:pPr>
            <w:r w:rsidRPr="00B02BA3">
              <w:rPr>
                <w:sz w:val="18"/>
              </w:rPr>
              <w:t>716</w:t>
            </w:r>
            <w:r>
              <w:rPr>
                <w:sz w:val="18"/>
              </w:rPr>
              <w:t>.4</w:t>
            </w:r>
          </w:p>
        </w:tc>
        <w:tc>
          <w:tcPr>
            <w:tcW w:w="282" w:type="dxa"/>
            <w:vAlign w:val="bottom"/>
          </w:tcPr>
          <w:p w14:paraId="29728C32" w14:textId="77777777" w:rsidR="001D666B" w:rsidRPr="00B02BA3" w:rsidRDefault="001D666B" w:rsidP="001D666B">
            <w:pPr>
              <w:spacing w:before="40" w:after="40"/>
              <w:rPr>
                <w:sz w:val="18"/>
              </w:rPr>
            </w:pPr>
          </w:p>
        </w:tc>
        <w:tc>
          <w:tcPr>
            <w:tcW w:w="1132" w:type="dxa"/>
            <w:tcBorders>
              <w:bottom w:val="single" w:sz="4" w:space="0" w:color="auto"/>
            </w:tcBorders>
          </w:tcPr>
          <w:p w14:paraId="2A791A14" w14:textId="77777777" w:rsidR="001D666B" w:rsidRPr="00B02BA3" w:rsidRDefault="001209A5" w:rsidP="001D666B">
            <w:pPr>
              <w:spacing w:before="40" w:after="40"/>
              <w:jc w:val="right"/>
              <w:rPr>
                <w:sz w:val="18"/>
              </w:rPr>
            </w:pPr>
            <w:r>
              <w:rPr>
                <w:sz w:val="18"/>
              </w:rPr>
              <w:t>771.2</w:t>
            </w:r>
          </w:p>
        </w:tc>
        <w:tc>
          <w:tcPr>
            <w:tcW w:w="236" w:type="dxa"/>
            <w:vAlign w:val="bottom"/>
          </w:tcPr>
          <w:p w14:paraId="02EA48C9" w14:textId="77777777" w:rsidR="001D666B" w:rsidRPr="00B02BA3" w:rsidRDefault="001D666B" w:rsidP="001D666B">
            <w:pPr>
              <w:spacing w:before="40" w:after="40"/>
              <w:rPr>
                <w:sz w:val="18"/>
              </w:rPr>
            </w:pPr>
          </w:p>
        </w:tc>
      </w:tr>
      <w:tr w:rsidR="004E1D4A" w:rsidRPr="00B02BA3" w14:paraId="7238AAD0" w14:textId="77777777" w:rsidTr="00AC2AA1">
        <w:tc>
          <w:tcPr>
            <w:tcW w:w="3156" w:type="dxa"/>
            <w:vAlign w:val="bottom"/>
          </w:tcPr>
          <w:p w14:paraId="4EDAA177" w14:textId="77777777" w:rsidR="004E1D4A" w:rsidRPr="00B02BA3" w:rsidRDefault="004E1D4A" w:rsidP="004E1D4A">
            <w:pPr>
              <w:tabs>
                <w:tab w:val="right" w:leader="dot" w:pos="3163"/>
              </w:tabs>
              <w:bidi/>
              <w:spacing w:before="40" w:after="40"/>
              <w:ind w:left="407"/>
              <w:rPr>
                <w:b/>
                <w:bCs/>
                <w:sz w:val="18"/>
              </w:rPr>
            </w:pPr>
            <w:r w:rsidRPr="003D0326">
              <w:rPr>
                <w:rFonts w:hint="cs"/>
                <w:b/>
                <w:bCs/>
                <w:sz w:val="14"/>
                <w:szCs w:val="16"/>
                <w:rtl/>
              </w:rPr>
              <w:t>ملكية ملاك الشركة</w:t>
            </w:r>
            <w:r w:rsidRPr="003D0326">
              <w:rPr>
                <w:sz w:val="14"/>
                <w:szCs w:val="16"/>
              </w:rPr>
              <w:tab/>
            </w:r>
          </w:p>
        </w:tc>
        <w:tc>
          <w:tcPr>
            <w:tcW w:w="282" w:type="dxa"/>
            <w:vAlign w:val="bottom"/>
          </w:tcPr>
          <w:p w14:paraId="34712BEC" w14:textId="77777777" w:rsidR="004E1D4A" w:rsidRPr="00B02BA3" w:rsidRDefault="004E1D4A" w:rsidP="004E1D4A">
            <w:pPr>
              <w:spacing w:before="40" w:after="40"/>
              <w:rPr>
                <w:sz w:val="18"/>
              </w:rPr>
            </w:pPr>
          </w:p>
        </w:tc>
        <w:tc>
          <w:tcPr>
            <w:tcW w:w="1132" w:type="dxa"/>
            <w:tcBorders>
              <w:top w:val="single" w:sz="4" w:space="0" w:color="auto"/>
            </w:tcBorders>
            <w:vAlign w:val="bottom"/>
          </w:tcPr>
          <w:p w14:paraId="74AEC077" w14:textId="77777777" w:rsidR="004E1D4A" w:rsidRPr="00B02BA3" w:rsidRDefault="004E1D4A" w:rsidP="004E1D4A">
            <w:pPr>
              <w:spacing w:before="40" w:after="40"/>
              <w:jc w:val="right"/>
              <w:rPr>
                <w:sz w:val="18"/>
              </w:rPr>
            </w:pPr>
            <w:r w:rsidRPr="00B02BA3">
              <w:rPr>
                <w:sz w:val="18"/>
              </w:rPr>
              <w:t>994</w:t>
            </w:r>
            <w:r>
              <w:rPr>
                <w:sz w:val="18"/>
              </w:rPr>
              <w:t>.8</w:t>
            </w:r>
          </w:p>
        </w:tc>
        <w:tc>
          <w:tcPr>
            <w:tcW w:w="282" w:type="dxa"/>
            <w:vAlign w:val="bottom"/>
          </w:tcPr>
          <w:p w14:paraId="6F1A9D39" w14:textId="77777777" w:rsidR="004E1D4A" w:rsidRPr="00B02BA3" w:rsidRDefault="004E1D4A" w:rsidP="004E1D4A">
            <w:pPr>
              <w:spacing w:before="40" w:after="40"/>
              <w:rPr>
                <w:sz w:val="18"/>
              </w:rPr>
            </w:pPr>
          </w:p>
        </w:tc>
        <w:tc>
          <w:tcPr>
            <w:tcW w:w="1132" w:type="dxa"/>
            <w:tcBorders>
              <w:top w:val="single" w:sz="4" w:space="0" w:color="auto"/>
            </w:tcBorders>
            <w:vAlign w:val="bottom"/>
          </w:tcPr>
          <w:p w14:paraId="6B0E879E" w14:textId="77777777" w:rsidR="004E1D4A" w:rsidRPr="00B02BA3" w:rsidRDefault="004E1D4A" w:rsidP="004E1D4A">
            <w:pPr>
              <w:spacing w:before="40" w:after="40"/>
              <w:jc w:val="right"/>
              <w:rPr>
                <w:sz w:val="18"/>
              </w:rPr>
            </w:pPr>
            <w:r w:rsidRPr="00B02BA3">
              <w:rPr>
                <w:sz w:val="18"/>
              </w:rPr>
              <w:t>1,132</w:t>
            </w:r>
            <w:r>
              <w:rPr>
                <w:sz w:val="18"/>
              </w:rPr>
              <w:t>.6</w:t>
            </w:r>
          </w:p>
        </w:tc>
        <w:tc>
          <w:tcPr>
            <w:tcW w:w="282" w:type="dxa"/>
            <w:vAlign w:val="bottom"/>
          </w:tcPr>
          <w:p w14:paraId="2775B89A" w14:textId="77777777" w:rsidR="004E1D4A" w:rsidRPr="00B02BA3" w:rsidRDefault="004E1D4A" w:rsidP="004E1D4A">
            <w:pPr>
              <w:spacing w:before="40" w:after="40"/>
              <w:rPr>
                <w:sz w:val="18"/>
              </w:rPr>
            </w:pPr>
          </w:p>
        </w:tc>
        <w:tc>
          <w:tcPr>
            <w:tcW w:w="1132" w:type="dxa"/>
            <w:tcBorders>
              <w:top w:val="single" w:sz="4" w:space="0" w:color="auto"/>
            </w:tcBorders>
            <w:vAlign w:val="bottom"/>
          </w:tcPr>
          <w:p w14:paraId="6A37BDB1" w14:textId="77777777" w:rsidR="004E1D4A" w:rsidRPr="00B02BA3" w:rsidRDefault="004E1D4A" w:rsidP="004E1D4A">
            <w:pPr>
              <w:spacing w:before="40" w:after="40"/>
              <w:jc w:val="right"/>
              <w:rPr>
                <w:sz w:val="18"/>
              </w:rPr>
            </w:pPr>
            <w:r w:rsidRPr="00B02BA3">
              <w:rPr>
                <w:sz w:val="18"/>
              </w:rPr>
              <w:t> 1,10</w:t>
            </w:r>
            <w:r>
              <w:rPr>
                <w:sz w:val="18"/>
              </w:rPr>
              <w:t>6.2</w:t>
            </w:r>
          </w:p>
        </w:tc>
        <w:tc>
          <w:tcPr>
            <w:tcW w:w="282" w:type="dxa"/>
            <w:vAlign w:val="bottom"/>
          </w:tcPr>
          <w:p w14:paraId="77750FA8" w14:textId="77777777" w:rsidR="004E1D4A" w:rsidRPr="00B02BA3" w:rsidRDefault="004E1D4A" w:rsidP="004E1D4A">
            <w:pPr>
              <w:spacing w:before="40" w:after="40"/>
              <w:rPr>
                <w:sz w:val="18"/>
              </w:rPr>
            </w:pPr>
          </w:p>
        </w:tc>
        <w:tc>
          <w:tcPr>
            <w:tcW w:w="1132" w:type="dxa"/>
            <w:tcBorders>
              <w:top w:val="single" w:sz="4" w:space="0" w:color="auto"/>
            </w:tcBorders>
            <w:vAlign w:val="bottom"/>
          </w:tcPr>
          <w:p w14:paraId="60E6907F" w14:textId="77777777" w:rsidR="004E1D4A" w:rsidRPr="00B02BA3" w:rsidRDefault="004E1D4A" w:rsidP="004E1D4A">
            <w:pPr>
              <w:spacing w:before="40" w:after="40"/>
              <w:jc w:val="right"/>
              <w:rPr>
                <w:sz w:val="18"/>
              </w:rPr>
            </w:pPr>
            <w:r>
              <w:rPr>
                <w:sz w:val="18"/>
              </w:rPr>
              <w:t>1,160.4</w:t>
            </w:r>
          </w:p>
        </w:tc>
        <w:tc>
          <w:tcPr>
            <w:tcW w:w="236" w:type="dxa"/>
            <w:vAlign w:val="bottom"/>
          </w:tcPr>
          <w:p w14:paraId="08424AB5" w14:textId="77777777" w:rsidR="004E1D4A" w:rsidRPr="00B02BA3" w:rsidRDefault="004E1D4A" w:rsidP="004E1D4A">
            <w:pPr>
              <w:spacing w:before="40" w:after="40"/>
              <w:rPr>
                <w:sz w:val="18"/>
              </w:rPr>
            </w:pPr>
          </w:p>
        </w:tc>
      </w:tr>
      <w:tr w:rsidR="00AC2AA1" w:rsidRPr="00B02BA3" w14:paraId="2AA3B6D3" w14:textId="77777777" w:rsidTr="00AC2AA1">
        <w:tc>
          <w:tcPr>
            <w:tcW w:w="3156" w:type="dxa"/>
            <w:vAlign w:val="bottom"/>
          </w:tcPr>
          <w:p w14:paraId="02FDDC16" w14:textId="77777777" w:rsidR="00AC2AA1" w:rsidRPr="00B02BA3" w:rsidRDefault="00AC2AA1" w:rsidP="00283F9E">
            <w:pPr>
              <w:tabs>
                <w:tab w:val="right" w:leader="dot" w:pos="3163"/>
              </w:tabs>
              <w:bidi/>
              <w:spacing w:before="40" w:after="40"/>
              <w:ind w:left="407"/>
              <w:rPr>
                <w:sz w:val="18"/>
              </w:rPr>
            </w:pPr>
            <w:r w:rsidRPr="003D0326">
              <w:rPr>
                <w:rFonts w:hint="cs"/>
                <w:sz w:val="14"/>
                <w:szCs w:val="16"/>
                <w:rtl/>
              </w:rPr>
              <w:t>الحصص غير المسيطرة</w:t>
            </w:r>
            <w:r w:rsidRPr="003D0326">
              <w:rPr>
                <w:sz w:val="14"/>
                <w:szCs w:val="16"/>
              </w:rPr>
              <w:tab/>
            </w:r>
          </w:p>
        </w:tc>
        <w:tc>
          <w:tcPr>
            <w:tcW w:w="282" w:type="dxa"/>
            <w:vAlign w:val="bottom"/>
          </w:tcPr>
          <w:p w14:paraId="5FF0E878" w14:textId="77777777" w:rsidR="00AC2AA1" w:rsidRPr="00B02BA3" w:rsidRDefault="00AC2AA1" w:rsidP="00283F9E">
            <w:pPr>
              <w:spacing w:before="40" w:after="40"/>
              <w:rPr>
                <w:sz w:val="18"/>
              </w:rPr>
            </w:pPr>
          </w:p>
        </w:tc>
        <w:tc>
          <w:tcPr>
            <w:tcW w:w="1132" w:type="dxa"/>
            <w:tcBorders>
              <w:bottom w:val="single" w:sz="4" w:space="0" w:color="auto"/>
            </w:tcBorders>
            <w:vAlign w:val="bottom"/>
          </w:tcPr>
          <w:p w14:paraId="38133171" w14:textId="77777777" w:rsidR="00AC2AA1" w:rsidRPr="00B02BA3" w:rsidRDefault="00AC2AA1" w:rsidP="00283F9E">
            <w:pPr>
              <w:spacing w:before="40" w:after="40"/>
              <w:jc w:val="right"/>
              <w:rPr>
                <w:sz w:val="18"/>
              </w:rPr>
            </w:pPr>
            <w:r w:rsidRPr="00B02BA3">
              <w:rPr>
                <w:sz w:val="18"/>
              </w:rPr>
              <w:t>4</w:t>
            </w:r>
            <w:r>
              <w:rPr>
                <w:sz w:val="18"/>
              </w:rPr>
              <w:t>4.0</w:t>
            </w:r>
          </w:p>
        </w:tc>
        <w:tc>
          <w:tcPr>
            <w:tcW w:w="282" w:type="dxa"/>
            <w:vAlign w:val="bottom"/>
          </w:tcPr>
          <w:p w14:paraId="535C9178" w14:textId="77777777" w:rsidR="00AC2AA1" w:rsidRPr="00B02BA3" w:rsidRDefault="00AC2AA1" w:rsidP="00283F9E">
            <w:pPr>
              <w:spacing w:before="40" w:after="40"/>
              <w:rPr>
                <w:sz w:val="18"/>
              </w:rPr>
            </w:pPr>
          </w:p>
        </w:tc>
        <w:tc>
          <w:tcPr>
            <w:tcW w:w="1132" w:type="dxa"/>
            <w:tcBorders>
              <w:bottom w:val="single" w:sz="4" w:space="0" w:color="auto"/>
            </w:tcBorders>
            <w:vAlign w:val="bottom"/>
          </w:tcPr>
          <w:p w14:paraId="21458522" w14:textId="77777777" w:rsidR="00AC2AA1" w:rsidRPr="00B02BA3" w:rsidRDefault="00AC2AA1" w:rsidP="00283F9E">
            <w:pPr>
              <w:spacing w:before="40" w:after="40"/>
              <w:jc w:val="right"/>
              <w:rPr>
                <w:sz w:val="18"/>
              </w:rPr>
            </w:pPr>
            <w:r w:rsidRPr="00B02BA3">
              <w:rPr>
                <w:sz w:val="18"/>
              </w:rPr>
              <w:t>45</w:t>
            </w:r>
            <w:r>
              <w:rPr>
                <w:sz w:val="18"/>
              </w:rPr>
              <w:t>.9</w:t>
            </w:r>
          </w:p>
        </w:tc>
        <w:tc>
          <w:tcPr>
            <w:tcW w:w="282" w:type="dxa"/>
            <w:vAlign w:val="bottom"/>
          </w:tcPr>
          <w:p w14:paraId="03112958" w14:textId="77777777" w:rsidR="00AC2AA1" w:rsidRPr="00B02BA3" w:rsidRDefault="00AC2AA1" w:rsidP="00283F9E">
            <w:pPr>
              <w:spacing w:before="40" w:after="40"/>
              <w:rPr>
                <w:sz w:val="18"/>
              </w:rPr>
            </w:pPr>
          </w:p>
        </w:tc>
        <w:tc>
          <w:tcPr>
            <w:tcW w:w="1132" w:type="dxa"/>
            <w:tcBorders>
              <w:bottom w:val="single" w:sz="4" w:space="0" w:color="auto"/>
            </w:tcBorders>
          </w:tcPr>
          <w:p w14:paraId="446BCD17" w14:textId="77777777" w:rsidR="00AC2AA1" w:rsidRPr="00B02BA3" w:rsidRDefault="00AC2AA1" w:rsidP="00283F9E">
            <w:pPr>
              <w:spacing w:before="40" w:after="40"/>
              <w:jc w:val="right"/>
              <w:rPr>
                <w:sz w:val="18"/>
              </w:rPr>
            </w:pPr>
            <w:r w:rsidRPr="00B02BA3">
              <w:rPr>
                <w:sz w:val="18"/>
              </w:rPr>
              <w:t>46</w:t>
            </w:r>
            <w:r>
              <w:rPr>
                <w:sz w:val="18"/>
              </w:rPr>
              <w:t>.6</w:t>
            </w:r>
          </w:p>
        </w:tc>
        <w:tc>
          <w:tcPr>
            <w:tcW w:w="282" w:type="dxa"/>
            <w:vAlign w:val="bottom"/>
          </w:tcPr>
          <w:p w14:paraId="76A7C711" w14:textId="77777777" w:rsidR="00AC2AA1" w:rsidRPr="00B02BA3" w:rsidRDefault="00AC2AA1" w:rsidP="00283F9E">
            <w:pPr>
              <w:spacing w:before="40" w:after="40"/>
              <w:rPr>
                <w:sz w:val="18"/>
              </w:rPr>
            </w:pPr>
          </w:p>
        </w:tc>
        <w:tc>
          <w:tcPr>
            <w:tcW w:w="1132" w:type="dxa"/>
            <w:tcBorders>
              <w:bottom w:val="single" w:sz="4" w:space="0" w:color="auto"/>
            </w:tcBorders>
          </w:tcPr>
          <w:p w14:paraId="1D8CD49C" w14:textId="77777777" w:rsidR="00AC2AA1" w:rsidRPr="00B02BA3" w:rsidRDefault="00AC2AA1" w:rsidP="00283F9E">
            <w:pPr>
              <w:spacing w:before="40" w:after="40"/>
              <w:jc w:val="right"/>
              <w:rPr>
                <w:sz w:val="18"/>
              </w:rPr>
            </w:pPr>
            <w:r>
              <w:rPr>
                <w:sz w:val="18"/>
              </w:rPr>
              <w:t>50.3</w:t>
            </w:r>
          </w:p>
        </w:tc>
        <w:tc>
          <w:tcPr>
            <w:tcW w:w="236" w:type="dxa"/>
            <w:vAlign w:val="bottom"/>
          </w:tcPr>
          <w:p w14:paraId="3EC51AD8" w14:textId="77777777" w:rsidR="00AC2AA1" w:rsidRPr="00B02BA3" w:rsidRDefault="00AC2AA1" w:rsidP="00283F9E">
            <w:pPr>
              <w:spacing w:before="40" w:after="40"/>
              <w:rPr>
                <w:sz w:val="18"/>
              </w:rPr>
            </w:pPr>
          </w:p>
        </w:tc>
      </w:tr>
      <w:tr w:rsidR="00A86506" w:rsidRPr="00B02BA3" w14:paraId="56052C66" w14:textId="77777777" w:rsidTr="00AC2AA1">
        <w:tc>
          <w:tcPr>
            <w:tcW w:w="3156" w:type="dxa"/>
            <w:vAlign w:val="bottom"/>
          </w:tcPr>
          <w:p w14:paraId="65A974C6" w14:textId="77777777" w:rsidR="00A86506" w:rsidRPr="00B02BA3" w:rsidRDefault="00A86506" w:rsidP="00A86506">
            <w:pPr>
              <w:tabs>
                <w:tab w:val="right" w:leader="dot" w:pos="3163"/>
              </w:tabs>
              <w:bidi/>
              <w:spacing w:before="40" w:after="40"/>
              <w:ind w:left="407"/>
              <w:rPr>
                <w:b/>
                <w:bCs/>
                <w:sz w:val="18"/>
              </w:rPr>
            </w:pPr>
            <w:r w:rsidRPr="003D0326">
              <w:rPr>
                <w:rFonts w:hint="cs"/>
                <w:b/>
                <w:bCs/>
                <w:sz w:val="14"/>
                <w:szCs w:val="16"/>
                <w:rtl/>
              </w:rPr>
              <w:t>إجمالي الملكية</w:t>
            </w:r>
            <w:r w:rsidRPr="003D0326">
              <w:rPr>
                <w:sz w:val="14"/>
                <w:szCs w:val="16"/>
              </w:rPr>
              <w:tab/>
            </w:r>
          </w:p>
        </w:tc>
        <w:tc>
          <w:tcPr>
            <w:tcW w:w="282" w:type="dxa"/>
            <w:vAlign w:val="bottom"/>
          </w:tcPr>
          <w:p w14:paraId="30F1ABA5" w14:textId="77777777" w:rsidR="00A86506" w:rsidRPr="00B02BA3" w:rsidRDefault="00A86506" w:rsidP="00A86506">
            <w:pPr>
              <w:spacing w:before="40" w:after="40"/>
              <w:rPr>
                <w:sz w:val="18"/>
              </w:rPr>
            </w:pPr>
          </w:p>
        </w:tc>
        <w:tc>
          <w:tcPr>
            <w:tcW w:w="1132" w:type="dxa"/>
            <w:tcBorders>
              <w:top w:val="single" w:sz="4" w:space="0" w:color="auto"/>
            </w:tcBorders>
            <w:vAlign w:val="bottom"/>
          </w:tcPr>
          <w:p w14:paraId="42529901" w14:textId="77777777" w:rsidR="00A86506" w:rsidRPr="00B02BA3" w:rsidRDefault="00A86506" w:rsidP="00A86506">
            <w:pPr>
              <w:spacing w:before="40" w:after="40"/>
              <w:jc w:val="right"/>
              <w:rPr>
                <w:sz w:val="18"/>
              </w:rPr>
            </w:pPr>
            <w:r w:rsidRPr="00B02BA3">
              <w:rPr>
                <w:sz w:val="18"/>
              </w:rPr>
              <w:t>1,038</w:t>
            </w:r>
            <w:r>
              <w:rPr>
                <w:sz w:val="18"/>
              </w:rPr>
              <w:t>.8</w:t>
            </w:r>
          </w:p>
        </w:tc>
        <w:tc>
          <w:tcPr>
            <w:tcW w:w="282" w:type="dxa"/>
            <w:vAlign w:val="bottom"/>
          </w:tcPr>
          <w:p w14:paraId="75C4A0D0" w14:textId="77777777" w:rsidR="00A86506" w:rsidRPr="00B02BA3" w:rsidRDefault="00A86506" w:rsidP="00A86506">
            <w:pPr>
              <w:spacing w:before="40" w:after="40"/>
              <w:rPr>
                <w:sz w:val="18"/>
              </w:rPr>
            </w:pPr>
          </w:p>
        </w:tc>
        <w:tc>
          <w:tcPr>
            <w:tcW w:w="1132" w:type="dxa"/>
            <w:tcBorders>
              <w:top w:val="single" w:sz="4" w:space="0" w:color="auto"/>
            </w:tcBorders>
            <w:vAlign w:val="bottom"/>
          </w:tcPr>
          <w:p w14:paraId="135A4985" w14:textId="77777777" w:rsidR="00A86506" w:rsidRPr="00B02BA3" w:rsidRDefault="00A86506" w:rsidP="00A86506">
            <w:pPr>
              <w:spacing w:before="40" w:after="40"/>
              <w:jc w:val="right"/>
              <w:rPr>
                <w:sz w:val="18"/>
              </w:rPr>
            </w:pPr>
            <w:r w:rsidRPr="00B02BA3">
              <w:rPr>
                <w:sz w:val="18"/>
              </w:rPr>
              <w:t>1,178</w:t>
            </w:r>
            <w:r>
              <w:rPr>
                <w:sz w:val="18"/>
              </w:rPr>
              <w:t>.5</w:t>
            </w:r>
          </w:p>
        </w:tc>
        <w:tc>
          <w:tcPr>
            <w:tcW w:w="282" w:type="dxa"/>
            <w:vAlign w:val="bottom"/>
          </w:tcPr>
          <w:p w14:paraId="09C333D5" w14:textId="77777777" w:rsidR="00A86506" w:rsidRPr="00B02BA3" w:rsidRDefault="00A86506" w:rsidP="00A86506">
            <w:pPr>
              <w:spacing w:before="40" w:after="40"/>
              <w:rPr>
                <w:sz w:val="18"/>
              </w:rPr>
            </w:pPr>
          </w:p>
        </w:tc>
        <w:tc>
          <w:tcPr>
            <w:tcW w:w="1132" w:type="dxa"/>
            <w:tcBorders>
              <w:top w:val="single" w:sz="4" w:space="0" w:color="auto"/>
            </w:tcBorders>
          </w:tcPr>
          <w:p w14:paraId="20A834EB" w14:textId="77777777" w:rsidR="00A86506" w:rsidRPr="00B02BA3" w:rsidRDefault="00A86506" w:rsidP="00A86506">
            <w:pPr>
              <w:spacing w:before="40" w:after="40"/>
              <w:jc w:val="right"/>
              <w:rPr>
                <w:sz w:val="18"/>
              </w:rPr>
            </w:pPr>
            <w:r w:rsidRPr="00B02BA3">
              <w:rPr>
                <w:sz w:val="18"/>
              </w:rPr>
              <w:t>1,152</w:t>
            </w:r>
            <w:r>
              <w:rPr>
                <w:sz w:val="18"/>
              </w:rPr>
              <w:t>.8</w:t>
            </w:r>
          </w:p>
        </w:tc>
        <w:tc>
          <w:tcPr>
            <w:tcW w:w="282" w:type="dxa"/>
            <w:vAlign w:val="bottom"/>
          </w:tcPr>
          <w:p w14:paraId="7002DA3C" w14:textId="77777777" w:rsidR="00A86506" w:rsidRPr="00B02BA3" w:rsidRDefault="00A86506" w:rsidP="00A86506">
            <w:pPr>
              <w:spacing w:before="40" w:after="40"/>
              <w:rPr>
                <w:sz w:val="18"/>
              </w:rPr>
            </w:pPr>
          </w:p>
        </w:tc>
        <w:tc>
          <w:tcPr>
            <w:tcW w:w="1132" w:type="dxa"/>
            <w:tcBorders>
              <w:top w:val="single" w:sz="4" w:space="0" w:color="auto"/>
            </w:tcBorders>
          </w:tcPr>
          <w:p w14:paraId="387B18D9" w14:textId="77777777" w:rsidR="00A86506" w:rsidRPr="00B02BA3" w:rsidRDefault="00A86506" w:rsidP="00A86506">
            <w:pPr>
              <w:spacing w:before="40" w:after="40"/>
              <w:jc w:val="right"/>
              <w:rPr>
                <w:sz w:val="18"/>
              </w:rPr>
            </w:pPr>
            <w:r>
              <w:rPr>
                <w:sz w:val="18"/>
              </w:rPr>
              <w:t>1,210.6</w:t>
            </w:r>
          </w:p>
        </w:tc>
        <w:tc>
          <w:tcPr>
            <w:tcW w:w="236" w:type="dxa"/>
            <w:vAlign w:val="bottom"/>
          </w:tcPr>
          <w:p w14:paraId="657509C8" w14:textId="77777777" w:rsidR="00A86506" w:rsidRPr="00B02BA3" w:rsidRDefault="00A86506" w:rsidP="00A86506">
            <w:pPr>
              <w:spacing w:before="40" w:after="40"/>
              <w:rPr>
                <w:sz w:val="18"/>
              </w:rPr>
            </w:pPr>
          </w:p>
        </w:tc>
      </w:tr>
      <w:tr w:rsidR="00AC2AA1" w:rsidRPr="00B02BA3" w14:paraId="2347F519" w14:textId="77777777" w:rsidTr="00AC2AA1">
        <w:tc>
          <w:tcPr>
            <w:tcW w:w="3156" w:type="dxa"/>
            <w:vAlign w:val="bottom"/>
          </w:tcPr>
          <w:p w14:paraId="1F8530BB" w14:textId="77777777" w:rsidR="00AC2AA1" w:rsidRPr="00B02BA3" w:rsidRDefault="00AC2AA1" w:rsidP="00283F9E">
            <w:pPr>
              <w:tabs>
                <w:tab w:val="right" w:leader="dot" w:pos="3163"/>
              </w:tabs>
              <w:bidi/>
              <w:spacing w:before="40" w:after="40"/>
              <w:rPr>
                <w:b/>
                <w:bCs/>
                <w:sz w:val="18"/>
              </w:rPr>
            </w:pPr>
            <w:r w:rsidRPr="003D0326">
              <w:rPr>
                <w:rFonts w:hint="cs"/>
                <w:b/>
                <w:bCs/>
                <w:sz w:val="14"/>
                <w:szCs w:val="16"/>
                <w:rtl/>
              </w:rPr>
              <w:t>الخصوم</w:t>
            </w:r>
          </w:p>
        </w:tc>
        <w:tc>
          <w:tcPr>
            <w:tcW w:w="282" w:type="dxa"/>
            <w:vAlign w:val="bottom"/>
          </w:tcPr>
          <w:p w14:paraId="53AB2A15" w14:textId="77777777" w:rsidR="00AC2AA1" w:rsidRPr="00B02BA3" w:rsidRDefault="00AC2AA1" w:rsidP="00283F9E">
            <w:pPr>
              <w:spacing w:before="40" w:after="40"/>
              <w:rPr>
                <w:sz w:val="18"/>
              </w:rPr>
            </w:pPr>
          </w:p>
        </w:tc>
        <w:tc>
          <w:tcPr>
            <w:tcW w:w="1132" w:type="dxa"/>
            <w:vAlign w:val="bottom"/>
          </w:tcPr>
          <w:p w14:paraId="687A51A6" w14:textId="77777777" w:rsidR="00AC2AA1" w:rsidRPr="00B02BA3" w:rsidRDefault="00AC2AA1" w:rsidP="00283F9E">
            <w:pPr>
              <w:spacing w:before="40" w:after="40"/>
              <w:jc w:val="right"/>
              <w:rPr>
                <w:sz w:val="18"/>
              </w:rPr>
            </w:pPr>
          </w:p>
        </w:tc>
        <w:tc>
          <w:tcPr>
            <w:tcW w:w="282" w:type="dxa"/>
            <w:vAlign w:val="bottom"/>
          </w:tcPr>
          <w:p w14:paraId="379B4E55" w14:textId="77777777" w:rsidR="00AC2AA1" w:rsidRPr="00B02BA3" w:rsidRDefault="00AC2AA1" w:rsidP="00283F9E">
            <w:pPr>
              <w:spacing w:before="40" w:after="40"/>
              <w:rPr>
                <w:sz w:val="18"/>
              </w:rPr>
            </w:pPr>
          </w:p>
        </w:tc>
        <w:tc>
          <w:tcPr>
            <w:tcW w:w="1132" w:type="dxa"/>
            <w:vAlign w:val="bottom"/>
          </w:tcPr>
          <w:p w14:paraId="5C18E479" w14:textId="77777777" w:rsidR="00AC2AA1" w:rsidRPr="00B02BA3" w:rsidRDefault="00AC2AA1" w:rsidP="00283F9E">
            <w:pPr>
              <w:spacing w:before="40" w:after="40"/>
              <w:jc w:val="right"/>
              <w:rPr>
                <w:sz w:val="18"/>
              </w:rPr>
            </w:pPr>
          </w:p>
        </w:tc>
        <w:tc>
          <w:tcPr>
            <w:tcW w:w="282" w:type="dxa"/>
            <w:vAlign w:val="bottom"/>
          </w:tcPr>
          <w:p w14:paraId="4201EEBE" w14:textId="77777777" w:rsidR="00AC2AA1" w:rsidRPr="00B02BA3" w:rsidRDefault="00AC2AA1" w:rsidP="00283F9E">
            <w:pPr>
              <w:spacing w:before="40" w:after="40"/>
              <w:rPr>
                <w:sz w:val="18"/>
              </w:rPr>
            </w:pPr>
          </w:p>
        </w:tc>
        <w:tc>
          <w:tcPr>
            <w:tcW w:w="1132" w:type="dxa"/>
          </w:tcPr>
          <w:p w14:paraId="5F30C15E" w14:textId="77777777" w:rsidR="00AC2AA1" w:rsidRPr="00B02BA3" w:rsidRDefault="00AC2AA1" w:rsidP="00283F9E">
            <w:pPr>
              <w:spacing w:before="40" w:after="40"/>
              <w:jc w:val="right"/>
              <w:rPr>
                <w:sz w:val="18"/>
              </w:rPr>
            </w:pPr>
          </w:p>
        </w:tc>
        <w:tc>
          <w:tcPr>
            <w:tcW w:w="282" w:type="dxa"/>
            <w:vAlign w:val="bottom"/>
          </w:tcPr>
          <w:p w14:paraId="6C7724E3" w14:textId="77777777" w:rsidR="00AC2AA1" w:rsidRPr="00B02BA3" w:rsidRDefault="00AC2AA1" w:rsidP="00283F9E">
            <w:pPr>
              <w:spacing w:before="40" w:after="40"/>
              <w:rPr>
                <w:sz w:val="18"/>
              </w:rPr>
            </w:pPr>
          </w:p>
        </w:tc>
        <w:tc>
          <w:tcPr>
            <w:tcW w:w="1132" w:type="dxa"/>
          </w:tcPr>
          <w:p w14:paraId="31CF0E54" w14:textId="77777777" w:rsidR="00AC2AA1" w:rsidRPr="00B02BA3" w:rsidRDefault="00AC2AA1" w:rsidP="00283F9E">
            <w:pPr>
              <w:spacing w:before="40" w:after="40"/>
              <w:jc w:val="right"/>
              <w:rPr>
                <w:sz w:val="18"/>
              </w:rPr>
            </w:pPr>
          </w:p>
        </w:tc>
        <w:tc>
          <w:tcPr>
            <w:tcW w:w="236" w:type="dxa"/>
            <w:vAlign w:val="bottom"/>
          </w:tcPr>
          <w:p w14:paraId="6F657BB6" w14:textId="77777777" w:rsidR="00AC2AA1" w:rsidRPr="00B02BA3" w:rsidRDefault="00AC2AA1" w:rsidP="00283F9E">
            <w:pPr>
              <w:spacing w:before="40" w:after="40"/>
              <w:rPr>
                <w:sz w:val="18"/>
              </w:rPr>
            </w:pPr>
          </w:p>
        </w:tc>
      </w:tr>
      <w:tr w:rsidR="00AC2AA1" w:rsidRPr="00B02BA3" w14:paraId="2F2C025D" w14:textId="77777777" w:rsidTr="00AC2AA1">
        <w:tc>
          <w:tcPr>
            <w:tcW w:w="3156" w:type="dxa"/>
            <w:vAlign w:val="bottom"/>
          </w:tcPr>
          <w:p w14:paraId="1A927CDA" w14:textId="77777777" w:rsidR="00AC2AA1" w:rsidRPr="00B02BA3" w:rsidRDefault="00AC2AA1" w:rsidP="00283F9E">
            <w:pPr>
              <w:tabs>
                <w:tab w:val="right" w:leader="dot" w:pos="3163"/>
              </w:tabs>
              <w:bidi/>
              <w:spacing w:before="40" w:after="40"/>
              <w:rPr>
                <w:b/>
                <w:bCs/>
                <w:sz w:val="18"/>
              </w:rPr>
            </w:pPr>
            <w:r w:rsidRPr="003D0326">
              <w:rPr>
                <w:rFonts w:hint="cs"/>
                <w:b/>
                <w:bCs/>
                <w:sz w:val="14"/>
                <w:szCs w:val="16"/>
                <w:rtl/>
              </w:rPr>
              <w:lastRenderedPageBreak/>
              <w:t>الخصوم غير المتداولة</w:t>
            </w:r>
          </w:p>
        </w:tc>
        <w:tc>
          <w:tcPr>
            <w:tcW w:w="282" w:type="dxa"/>
            <w:vAlign w:val="bottom"/>
          </w:tcPr>
          <w:p w14:paraId="00CC7697" w14:textId="77777777" w:rsidR="00AC2AA1" w:rsidRPr="00B02BA3" w:rsidRDefault="00AC2AA1" w:rsidP="00283F9E">
            <w:pPr>
              <w:spacing w:before="40" w:after="40"/>
              <w:rPr>
                <w:b/>
                <w:bCs/>
                <w:sz w:val="18"/>
              </w:rPr>
            </w:pPr>
          </w:p>
        </w:tc>
        <w:tc>
          <w:tcPr>
            <w:tcW w:w="1132" w:type="dxa"/>
            <w:vAlign w:val="bottom"/>
          </w:tcPr>
          <w:p w14:paraId="3EEE2598" w14:textId="77777777" w:rsidR="00AC2AA1" w:rsidRPr="00B02BA3" w:rsidRDefault="00AC2AA1" w:rsidP="00283F9E">
            <w:pPr>
              <w:spacing w:before="40" w:after="40"/>
              <w:jc w:val="right"/>
              <w:rPr>
                <w:b/>
                <w:bCs/>
                <w:sz w:val="18"/>
              </w:rPr>
            </w:pPr>
          </w:p>
        </w:tc>
        <w:tc>
          <w:tcPr>
            <w:tcW w:w="282" w:type="dxa"/>
            <w:vAlign w:val="bottom"/>
          </w:tcPr>
          <w:p w14:paraId="51250E89" w14:textId="77777777" w:rsidR="00AC2AA1" w:rsidRPr="00B02BA3" w:rsidRDefault="00AC2AA1" w:rsidP="00283F9E">
            <w:pPr>
              <w:spacing w:before="40" w:after="40"/>
              <w:rPr>
                <w:b/>
                <w:bCs/>
                <w:sz w:val="18"/>
              </w:rPr>
            </w:pPr>
          </w:p>
        </w:tc>
        <w:tc>
          <w:tcPr>
            <w:tcW w:w="1132" w:type="dxa"/>
            <w:vAlign w:val="bottom"/>
          </w:tcPr>
          <w:p w14:paraId="15AB8CAB" w14:textId="77777777" w:rsidR="00AC2AA1" w:rsidRPr="00B02BA3" w:rsidRDefault="00AC2AA1" w:rsidP="00283F9E">
            <w:pPr>
              <w:spacing w:before="40" w:after="40"/>
              <w:jc w:val="right"/>
              <w:rPr>
                <w:b/>
                <w:bCs/>
                <w:sz w:val="18"/>
              </w:rPr>
            </w:pPr>
          </w:p>
        </w:tc>
        <w:tc>
          <w:tcPr>
            <w:tcW w:w="282" w:type="dxa"/>
            <w:vAlign w:val="bottom"/>
          </w:tcPr>
          <w:p w14:paraId="71402900" w14:textId="77777777" w:rsidR="00AC2AA1" w:rsidRPr="00B02BA3" w:rsidRDefault="00AC2AA1" w:rsidP="00283F9E">
            <w:pPr>
              <w:spacing w:before="40" w:after="40"/>
              <w:rPr>
                <w:b/>
                <w:bCs/>
                <w:sz w:val="18"/>
              </w:rPr>
            </w:pPr>
          </w:p>
        </w:tc>
        <w:tc>
          <w:tcPr>
            <w:tcW w:w="1132" w:type="dxa"/>
          </w:tcPr>
          <w:p w14:paraId="4571DDA2" w14:textId="77777777" w:rsidR="00AC2AA1" w:rsidRPr="00B02BA3" w:rsidRDefault="00AC2AA1" w:rsidP="00283F9E">
            <w:pPr>
              <w:spacing w:before="40" w:after="40"/>
              <w:jc w:val="right"/>
              <w:rPr>
                <w:b/>
                <w:bCs/>
                <w:sz w:val="18"/>
              </w:rPr>
            </w:pPr>
          </w:p>
        </w:tc>
        <w:tc>
          <w:tcPr>
            <w:tcW w:w="282" w:type="dxa"/>
            <w:vAlign w:val="bottom"/>
          </w:tcPr>
          <w:p w14:paraId="3C507AC6" w14:textId="77777777" w:rsidR="00AC2AA1" w:rsidRPr="00B02BA3" w:rsidRDefault="00AC2AA1" w:rsidP="00283F9E">
            <w:pPr>
              <w:spacing w:before="40" w:after="40"/>
              <w:rPr>
                <w:b/>
                <w:bCs/>
                <w:sz w:val="18"/>
              </w:rPr>
            </w:pPr>
          </w:p>
        </w:tc>
        <w:tc>
          <w:tcPr>
            <w:tcW w:w="1132" w:type="dxa"/>
          </w:tcPr>
          <w:p w14:paraId="7682DF7C" w14:textId="77777777" w:rsidR="00AC2AA1" w:rsidRPr="00B02BA3" w:rsidRDefault="00AC2AA1" w:rsidP="00283F9E">
            <w:pPr>
              <w:spacing w:before="40" w:after="40"/>
              <w:jc w:val="right"/>
              <w:rPr>
                <w:b/>
                <w:bCs/>
                <w:sz w:val="18"/>
              </w:rPr>
            </w:pPr>
          </w:p>
        </w:tc>
        <w:tc>
          <w:tcPr>
            <w:tcW w:w="236" w:type="dxa"/>
            <w:vAlign w:val="bottom"/>
          </w:tcPr>
          <w:p w14:paraId="15C484EC" w14:textId="77777777" w:rsidR="00AC2AA1" w:rsidRPr="00B02BA3" w:rsidRDefault="00AC2AA1" w:rsidP="00283F9E">
            <w:pPr>
              <w:spacing w:before="40" w:after="40"/>
              <w:rPr>
                <w:b/>
                <w:bCs/>
                <w:sz w:val="18"/>
              </w:rPr>
            </w:pPr>
          </w:p>
        </w:tc>
      </w:tr>
      <w:tr w:rsidR="008D085D" w:rsidRPr="00B02BA3" w14:paraId="40C3BE1A" w14:textId="77777777" w:rsidTr="00AC2AA1">
        <w:tc>
          <w:tcPr>
            <w:tcW w:w="3156" w:type="dxa"/>
            <w:vAlign w:val="bottom"/>
          </w:tcPr>
          <w:p w14:paraId="46637F34" w14:textId="77777777" w:rsidR="008D085D" w:rsidRPr="00B02BA3" w:rsidRDefault="008D085D" w:rsidP="008D085D">
            <w:pPr>
              <w:tabs>
                <w:tab w:val="right" w:leader="dot" w:pos="3163"/>
              </w:tabs>
              <w:bidi/>
              <w:spacing w:before="40" w:after="40"/>
              <w:ind w:firstLine="407"/>
              <w:rPr>
                <w:sz w:val="18"/>
              </w:rPr>
            </w:pPr>
            <w:r w:rsidRPr="003D0326">
              <w:rPr>
                <w:rFonts w:hint="cs"/>
                <w:sz w:val="14"/>
                <w:szCs w:val="16"/>
                <w:rtl/>
              </w:rPr>
              <w:t>القروض والاقتراض</w:t>
            </w:r>
            <w:r w:rsidRPr="003D0326">
              <w:rPr>
                <w:sz w:val="14"/>
                <w:szCs w:val="16"/>
              </w:rPr>
              <w:tab/>
            </w:r>
          </w:p>
        </w:tc>
        <w:tc>
          <w:tcPr>
            <w:tcW w:w="282" w:type="dxa"/>
            <w:vAlign w:val="bottom"/>
          </w:tcPr>
          <w:p w14:paraId="7213CA6D" w14:textId="77777777" w:rsidR="008D085D" w:rsidRPr="00B02BA3" w:rsidRDefault="008D085D" w:rsidP="008D085D">
            <w:pPr>
              <w:spacing w:before="40" w:after="40"/>
              <w:rPr>
                <w:sz w:val="18"/>
              </w:rPr>
            </w:pPr>
          </w:p>
        </w:tc>
        <w:tc>
          <w:tcPr>
            <w:tcW w:w="1132" w:type="dxa"/>
            <w:vAlign w:val="bottom"/>
          </w:tcPr>
          <w:p w14:paraId="7C499DF2" w14:textId="77777777" w:rsidR="008D085D" w:rsidRPr="00B02BA3" w:rsidRDefault="008D085D" w:rsidP="008D085D">
            <w:pPr>
              <w:spacing w:before="40" w:after="40"/>
              <w:jc w:val="right"/>
              <w:rPr>
                <w:sz w:val="18"/>
              </w:rPr>
            </w:pPr>
            <w:r w:rsidRPr="00B02BA3">
              <w:rPr>
                <w:sz w:val="18"/>
              </w:rPr>
              <w:t>1,43</w:t>
            </w:r>
            <w:r>
              <w:rPr>
                <w:sz w:val="18"/>
              </w:rPr>
              <w:t>8.5</w:t>
            </w:r>
          </w:p>
        </w:tc>
        <w:tc>
          <w:tcPr>
            <w:tcW w:w="282" w:type="dxa"/>
            <w:vAlign w:val="bottom"/>
          </w:tcPr>
          <w:p w14:paraId="2F3D51EA" w14:textId="77777777" w:rsidR="008D085D" w:rsidRPr="00B02BA3" w:rsidRDefault="008D085D" w:rsidP="008D085D">
            <w:pPr>
              <w:spacing w:before="40" w:after="40"/>
              <w:rPr>
                <w:sz w:val="18"/>
              </w:rPr>
            </w:pPr>
          </w:p>
        </w:tc>
        <w:tc>
          <w:tcPr>
            <w:tcW w:w="1132" w:type="dxa"/>
            <w:vAlign w:val="bottom"/>
          </w:tcPr>
          <w:p w14:paraId="5E7C415E" w14:textId="77777777" w:rsidR="008D085D" w:rsidRPr="00B02BA3" w:rsidRDefault="008D085D" w:rsidP="008D085D">
            <w:pPr>
              <w:spacing w:before="40" w:after="40"/>
              <w:jc w:val="right"/>
              <w:rPr>
                <w:sz w:val="18"/>
              </w:rPr>
            </w:pPr>
            <w:r w:rsidRPr="00B02BA3">
              <w:rPr>
                <w:sz w:val="18"/>
              </w:rPr>
              <w:t>1,304</w:t>
            </w:r>
            <w:r>
              <w:rPr>
                <w:sz w:val="18"/>
              </w:rPr>
              <w:t>.2</w:t>
            </w:r>
          </w:p>
        </w:tc>
        <w:tc>
          <w:tcPr>
            <w:tcW w:w="282" w:type="dxa"/>
            <w:vAlign w:val="bottom"/>
          </w:tcPr>
          <w:p w14:paraId="5FE4984D" w14:textId="77777777" w:rsidR="008D085D" w:rsidRPr="00B02BA3" w:rsidRDefault="008D085D" w:rsidP="008D085D">
            <w:pPr>
              <w:spacing w:before="40" w:after="40"/>
              <w:rPr>
                <w:sz w:val="18"/>
              </w:rPr>
            </w:pPr>
          </w:p>
        </w:tc>
        <w:tc>
          <w:tcPr>
            <w:tcW w:w="1132" w:type="dxa"/>
          </w:tcPr>
          <w:p w14:paraId="5FB3A40D" w14:textId="77777777" w:rsidR="008D085D" w:rsidRPr="00B02BA3" w:rsidRDefault="008D085D" w:rsidP="008D085D">
            <w:pPr>
              <w:spacing w:before="40" w:after="40"/>
              <w:jc w:val="right"/>
              <w:rPr>
                <w:sz w:val="18"/>
              </w:rPr>
            </w:pPr>
            <w:r w:rsidRPr="00B02BA3">
              <w:rPr>
                <w:sz w:val="18"/>
              </w:rPr>
              <w:t>1,13</w:t>
            </w:r>
            <w:r>
              <w:rPr>
                <w:sz w:val="18"/>
              </w:rPr>
              <w:t>2.3</w:t>
            </w:r>
          </w:p>
        </w:tc>
        <w:tc>
          <w:tcPr>
            <w:tcW w:w="282" w:type="dxa"/>
            <w:vAlign w:val="bottom"/>
          </w:tcPr>
          <w:p w14:paraId="09A97E03" w14:textId="77777777" w:rsidR="008D085D" w:rsidRPr="00B02BA3" w:rsidRDefault="008D085D" w:rsidP="008D085D">
            <w:pPr>
              <w:spacing w:before="40" w:after="40"/>
              <w:rPr>
                <w:sz w:val="18"/>
              </w:rPr>
            </w:pPr>
          </w:p>
        </w:tc>
        <w:tc>
          <w:tcPr>
            <w:tcW w:w="1132" w:type="dxa"/>
          </w:tcPr>
          <w:p w14:paraId="4653F329" w14:textId="77777777" w:rsidR="008D085D" w:rsidRPr="00B02BA3" w:rsidRDefault="008D085D" w:rsidP="008D085D">
            <w:pPr>
              <w:spacing w:before="40" w:after="40"/>
              <w:jc w:val="right"/>
              <w:rPr>
                <w:sz w:val="18"/>
              </w:rPr>
            </w:pPr>
            <w:r>
              <w:rPr>
                <w:sz w:val="18"/>
              </w:rPr>
              <w:t>1,071.0</w:t>
            </w:r>
          </w:p>
        </w:tc>
        <w:tc>
          <w:tcPr>
            <w:tcW w:w="236" w:type="dxa"/>
            <w:vAlign w:val="bottom"/>
          </w:tcPr>
          <w:p w14:paraId="1DA43CF8" w14:textId="77777777" w:rsidR="008D085D" w:rsidRPr="00B02BA3" w:rsidRDefault="008D085D" w:rsidP="008D085D">
            <w:pPr>
              <w:spacing w:before="40" w:after="40"/>
              <w:rPr>
                <w:sz w:val="18"/>
              </w:rPr>
            </w:pPr>
          </w:p>
        </w:tc>
      </w:tr>
      <w:tr w:rsidR="00AC2AA1" w:rsidRPr="00B02BA3" w14:paraId="1F689463" w14:textId="77777777" w:rsidTr="00AC2AA1">
        <w:tc>
          <w:tcPr>
            <w:tcW w:w="3156" w:type="dxa"/>
            <w:vAlign w:val="bottom"/>
          </w:tcPr>
          <w:p w14:paraId="3060B447" w14:textId="77777777" w:rsidR="00AC2AA1" w:rsidRPr="00B02BA3" w:rsidRDefault="00AC2AA1" w:rsidP="00283F9E">
            <w:pPr>
              <w:tabs>
                <w:tab w:val="right" w:leader="dot" w:pos="3163"/>
              </w:tabs>
              <w:bidi/>
              <w:spacing w:before="40" w:after="40"/>
              <w:ind w:firstLine="407"/>
              <w:rPr>
                <w:sz w:val="18"/>
              </w:rPr>
            </w:pPr>
            <w:r w:rsidRPr="003D0326">
              <w:rPr>
                <w:rFonts w:hint="cs"/>
                <w:sz w:val="14"/>
                <w:szCs w:val="16"/>
                <w:rtl/>
              </w:rPr>
              <w:t>منافع الموظفين ومكافأة نهاية الخدمة</w:t>
            </w:r>
            <w:r w:rsidRPr="003D0326">
              <w:rPr>
                <w:sz w:val="14"/>
                <w:szCs w:val="16"/>
              </w:rPr>
              <w:tab/>
            </w:r>
          </w:p>
        </w:tc>
        <w:tc>
          <w:tcPr>
            <w:tcW w:w="282" w:type="dxa"/>
            <w:vAlign w:val="bottom"/>
          </w:tcPr>
          <w:p w14:paraId="08F0D08D" w14:textId="77777777" w:rsidR="00AC2AA1" w:rsidRPr="00B02BA3" w:rsidRDefault="00AC2AA1" w:rsidP="00283F9E">
            <w:pPr>
              <w:spacing w:before="40" w:after="40"/>
              <w:rPr>
                <w:sz w:val="18"/>
              </w:rPr>
            </w:pPr>
          </w:p>
        </w:tc>
        <w:tc>
          <w:tcPr>
            <w:tcW w:w="1132" w:type="dxa"/>
            <w:vAlign w:val="bottom"/>
          </w:tcPr>
          <w:p w14:paraId="197D7303" w14:textId="77777777" w:rsidR="00AC2AA1" w:rsidRPr="00B02BA3" w:rsidRDefault="00AC2AA1" w:rsidP="00283F9E">
            <w:pPr>
              <w:spacing w:before="40" w:after="40"/>
              <w:jc w:val="right"/>
              <w:rPr>
                <w:sz w:val="18"/>
              </w:rPr>
            </w:pPr>
            <w:r w:rsidRPr="00B02BA3">
              <w:rPr>
                <w:sz w:val="18"/>
              </w:rPr>
              <w:t>1</w:t>
            </w:r>
            <w:r>
              <w:rPr>
                <w:sz w:val="18"/>
              </w:rPr>
              <w:t>.1</w:t>
            </w:r>
          </w:p>
        </w:tc>
        <w:tc>
          <w:tcPr>
            <w:tcW w:w="282" w:type="dxa"/>
            <w:vAlign w:val="bottom"/>
          </w:tcPr>
          <w:p w14:paraId="7CB1FFFF" w14:textId="77777777" w:rsidR="00AC2AA1" w:rsidRPr="00B02BA3" w:rsidRDefault="00AC2AA1" w:rsidP="00283F9E">
            <w:pPr>
              <w:spacing w:before="40" w:after="40"/>
              <w:rPr>
                <w:sz w:val="18"/>
              </w:rPr>
            </w:pPr>
          </w:p>
        </w:tc>
        <w:tc>
          <w:tcPr>
            <w:tcW w:w="1132" w:type="dxa"/>
            <w:vAlign w:val="bottom"/>
          </w:tcPr>
          <w:p w14:paraId="53B6C588" w14:textId="77777777" w:rsidR="00AC2AA1" w:rsidRPr="00B02BA3" w:rsidRDefault="00AC2AA1" w:rsidP="00283F9E">
            <w:pPr>
              <w:spacing w:before="40" w:after="40"/>
              <w:jc w:val="right"/>
              <w:rPr>
                <w:sz w:val="18"/>
              </w:rPr>
            </w:pPr>
            <w:r w:rsidRPr="00B02BA3">
              <w:rPr>
                <w:sz w:val="18"/>
              </w:rPr>
              <w:t>1</w:t>
            </w:r>
            <w:r>
              <w:rPr>
                <w:sz w:val="18"/>
              </w:rPr>
              <w:t>.5</w:t>
            </w:r>
          </w:p>
        </w:tc>
        <w:tc>
          <w:tcPr>
            <w:tcW w:w="282" w:type="dxa"/>
            <w:vAlign w:val="bottom"/>
          </w:tcPr>
          <w:p w14:paraId="25C4E1D4" w14:textId="77777777" w:rsidR="00AC2AA1" w:rsidRPr="00B02BA3" w:rsidRDefault="00AC2AA1" w:rsidP="00283F9E">
            <w:pPr>
              <w:spacing w:before="40" w:after="40"/>
              <w:rPr>
                <w:sz w:val="18"/>
              </w:rPr>
            </w:pPr>
          </w:p>
        </w:tc>
        <w:tc>
          <w:tcPr>
            <w:tcW w:w="1132" w:type="dxa"/>
          </w:tcPr>
          <w:p w14:paraId="0D183951" w14:textId="77777777" w:rsidR="00AC2AA1" w:rsidRPr="00B02BA3" w:rsidRDefault="00AC2AA1" w:rsidP="00283F9E">
            <w:pPr>
              <w:spacing w:before="40" w:after="40"/>
              <w:jc w:val="right"/>
              <w:rPr>
                <w:sz w:val="18"/>
              </w:rPr>
            </w:pPr>
            <w:r w:rsidRPr="00B02BA3">
              <w:rPr>
                <w:sz w:val="18"/>
              </w:rPr>
              <w:t>2</w:t>
            </w:r>
            <w:r>
              <w:rPr>
                <w:sz w:val="18"/>
              </w:rPr>
              <w:t>.3</w:t>
            </w:r>
          </w:p>
        </w:tc>
        <w:tc>
          <w:tcPr>
            <w:tcW w:w="282" w:type="dxa"/>
            <w:vAlign w:val="bottom"/>
          </w:tcPr>
          <w:p w14:paraId="755B8DD9" w14:textId="77777777" w:rsidR="00AC2AA1" w:rsidRPr="00B02BA3" w:rsidRDefault="00AC2AA1" w:rsidP="00283F9E">
            <w:pPr>
              <w:spacing w:before="40" w:after="40"/>
              <w:rPr>
                <w:sz w:val="18"/>
              </w:rPr>
            </w:pPr>
          </w:p>
        </w:tc>
        <w:tc>
          <w:tcPr>
            <w:tcW w:w="1132" w:type="dxa"/>
          </w:tcPr>
          <w:p w14:paraId="545DAB3A" w14:textId="77777777" w:rsidR="00AC2AA1" w:rsidRPr="00B02BA3" w:rsidRDefault="00AC2AA1" w:rsidP="00283F9E">
            <w:pPr>
              <w:spacing w:before="40" w:after="40"/>
              <w:jc w:val="right"/>
              <w:rPr>
                <w:sz w:val="18"/>
              </w:rPr>
            </w:pPr>
            <w:r>
              <w:rPr>
                <w:sz w:val="18"/>
              </w:rPr>
              <w:t>2.2</w:t>
            </w:r>
          </w:p>
        </w:tc>
        <w:tc>
          <w:tcPr>
            <w:tcW w:w="236" w:type="dxa"/>
            <w:vAlign w:val="bottom"/>
          </w:tcPr>
          <w:p w14:paraId="287EB167" w14:textId="77777777" w:rsidR="00AC2AA1" w:rsidRPr="00B02BA3" w:rsidRDefault="00AC2AA1" w:rsidP="00283F9E">
            <w:pPr>
              <w:spacing w:before="40" w:after="40"/>
              <w:rPr>
                <w:sz w:val="18"/>
              </w:rPr>
            </w:pPr>
          </w:p>
        </w:tc>
      </w:tr>
      <w:tr w:rsidR="00E84BE1" w:rsidRPr="00B02BA3" w14:paraId="779C1FF4" w14:textId="77777777" w:rsidTr="00B934CE">
        <w:tc>
          <w:tcPr>
            <w:tcW w:w="3156" w:type="dxa"/>
            <w:vAlign w:val="bottom"/>
          </w:tcPr>
          <w:p w14:paraId="0A1156E3" w14:textId="77777777" w:rsidR="00E84BE1" w:rsidRPr="00B02BA3" w:rsidRDefault="00E84BE1" w:rsidP="00E84BE1">
            <w:pPr>
              <w:tabs>
                <w:tab w:val="right" w:leader="dot" w:pos="3163"/>
              </w:tabs>
              <w:bidi/>
              <w:spacing w:before="40" w:after="40"/>
              <w:ind w:firstLine="407"/>
              <w:rPr>
                <w:sz w:val="18"/>
              </w:rPr>
            </w:pPr>
            <w:r w:rsidRPr="003D0326">
              <w:rPr>
                <w:rFonts w:hint="cs"/>
                <w:sz w:val="14"/>
                <w:szCs w:val="16"/>
                <w:rtl/>
              </w:rPr>
              <w:t>المشتقات</w:t>
            </w:r>
            <w:r w:rsidRPr="003D0326">
              <w:rPr>
                <w:sz w:val="14"/>
                <w:szCs w:val="16"/>
              </w:rPr>
              <w:tab/>
            </w:r>
          </w:p>
        </w:tc>
        <w:tc>
          <w:tcPr>
            <w:tcW w:w="282" w:type="dxa"/>
            <w:vAlign w:val="bottom"/>
          </w:tcPr>
          <w:p w14:paraId="563EE96D" w14:textId="77777777" w:rsidR="00E84BE1" w:rsidRPr="00B02BA3" w:rsidRDefault="00E84BE1" w:rsidP="00E84BE1">
            <w:pPr>
              <w:spacing w:before="40" w:after="40"/>
              <w:rPr>
                <w:sz w:val="18"/>
              </w:rPr>
            </w:pPr>
          </w:p>
        </w:tc>
        <w:tc>
          <w:tcPr>
            <w:tcW w:w="1132" w:type="dxa"/>
            <w:vAlign w:val="bottom"/>
          </w:tcPr>
          <w:p w14:paraId="468DE5D2" w14:textId="77777777" w:rsidR="00E84BE1" w:rsidRPr="00B02BA3" w:rsidRDefault="00E84BE1" w:rsidP="00E84BE1">
            <w:pPr>
              <w:spacing w:before="40" w:after="40"/>
              <w:jc w:val="right"/>
              <w:rPr>
                <w:sz w:val="18"/>
              </w:rPr>
            </w:pPr>
            <w:r w:rsidRPr="00B02BA3">
              <w:rPr>
                <w:sz w:val="18"/>
              </w:rPr>
              <w:t>5</w:t>
            </w:r>
            <w:r>
              <w:rPr>
                <w:sz w:val="18"/>
              </w:rPr>
              <w:t>.6</w:t>
            </w:r>
          </w:p>
        </w:tc>
        <w:tc>
          <w:tcPr>
            <w:tcW w:w="282" w:type="dxa"/>
            <w:vAlign w:val="bottom"/>
          </w:tcPr>
          <w:p w14:paraId="4CB6805B" w14:textId="77777777" w:rsidR="00E84BE1" w:rsidRPr="00B02BA3" w:rsidRDefault="00E84BE1" w:rsidP="00E84BE1">
            <w:pPr>
              <w:spacing w:before="40" w:after="40"/>
              <w:rPr>
                <w:sz w:val="18"/>
              </w:rPr>
            </w:pPr>
          </w:p>
        </w:tc>
        <w:tc>
          <w:tcPr>
            <w:tcW w:w="1132" w:type="dxa"/>
            <w:vAlign w:val="bottom"/>
          </w:tcPr>
          <w:p w14:paraId="1066FF73" w14:textId="77777777" w:rsidR="00E84BE1" w:rsidRPr="00B02BA3" w:rsidRDefault="00E84BE1" w:rsidP="00E84BE1">
            <w:pPr>
              <w:spacing w:before="40" w:after="40"/>
              <w:jc w:val="right"/>
              <w:rPr>
                <w:sz w:val="18"/>
              </w:rPr>
            </w:pPr>
            <w:r w:rsidRPr="00B02BA3">
              <w:rPr>
                <w:sz w:val="18"/>
              </w:rPr>
              <w:t>—</w:t>
            </w:r>
          </w:p>
        </w:tc>
        <w:tc>
          <w:tcPr>
            <w:tcW w:w="282" w:type="dxa"/>
            <w:vAlign w:val="bottom"/>
          </w:tcPr>
          <w:p w14:paraId="5A6290D4" w14:textId="77777777" w:rsidR="00E84BE1" w:rsidRPr="00B02BA3" w:rsidRDefault="00E84BE1" w:rsidP="00E84BE1">
            <w:pPr>
              <w:spacing w:before="40" w:after="40"/>
              <w:rPr>
                <w:sz w:val="18"/>
              </w:rPr>
            </w:pPr>
          </w:p>
        </w:tc>
        <w:tc>
          <w:tcPr>
            <w:tcW w:w="1132" w:type="dxa"/>
            <w:vAlign w:val="bottom"/>
          </w:tcPr>
          <w:p w14:paraId="125AFBBF" w14:textId="77777777" w:rsidR="00E84BE1" w:rsidRPr="00B02BA3" w:rsidRDefault="00E84BE1" w:rsidP="00E84BE1">
            <w:pPr>
              <w:tabs>
                <w:tab w:val="center" w:pos="566"/>
                <w:tab w:val="right" w:pos="1132"/>
              </w:tabs>
              <w:spacing w:before="40" w:after="40"/>
              <w:rPr>
                <w:sz w:val="18"/>
              </w:rPr>
            </w:pPr>
            <w:r w:rsidRPr="00B02BA3">
              <w:rPr>
                <w:sz w:val="18"/>
              </w:rPr>
              <w:t>—</w:t>
            </w:r>
          </w:p>
        </w:tc>
        <w:tc>
          <w:tcPr>
            <w:tcW w:w="282" w:type="dxa"/>
            <w:vAlign w:val="bottom"/>
          </w:tcPr>
          <w:p w14:paraId="477882FC" w14:textId="77777777" w:rsidR="00E84BE1" w:rsidRPr="00B02BA3" w:rsidRDefault="00E84BE1" w:rsidP="00E84BE1">
            <w:pPr>
              <w:spacing w:before="40" w:after="40"/>
              <w:rPr>
                <w:sz w:val="18"/>
              </w:rPr>
            </w:pPr>
          </w:p>
        </w:tc>
        <w:tc>
          <w:tcPr>
            <w:tcW w:w="1132" w:type="dxa"/>
          </w:tcPr>
          <w:p w14:paraId="7545EB04" w14:textId="77777777" w:rsidR="00E84BE1" w:rsidRPr="00B02BA3" w:rsidRDefault="00E84BE1" w:rsidP="00E84BE1">
            <w:pPr>
              <w:spacing w:before="40" w:after="40"/>
              <w:jc w:val="right"/>
              <w:rPr>
                <w:sz w:val="18"/>
              </w:rPr>
            </w:pPr>
            <w:r>
              <w:rPr>
                <w:sz w:val="18"/>
              </w:rPr>
              <w:t>0.1</w:t>
            </w:r>
          </w:p>
        </w:tc>
        <w:tc>
          <w:tcPr>
            <w:tcW w:w="236" w:type="dxa"/>
            <w:vAlign w:val="bottom"/>
          </w:tcPr>
          <w:p w14:paraId="1655E0C2" w14:textId="77777777" w:rsidR="00E84BE1" w:rsidRPr="00B02BA3" w:rsidRDefault="00E84BE1" w:rsidP="00E84BE1">
            <w:pPr>
              <w:spacing w:before="40" w:after="40"/>
              <w:rPr>
                <w:sz w:val="18"/>
              </w:rPr>
            </w:pPr>
          </w:p>
        </w:tc>
      </w:tr>
      <w:tr w:rsidR="00AC2AA1" w:rsidRPr="00B02BA3" w14:paraId="05934281" w14:textId="77777777" w:rsidTr="00AC2AA1">
        <w:tc>
          <w:tcPr>
            <w:tcW w:w="3156" w:type="dxa"/>
            <w:vAlign w:val="bottom"/>
          </w:tcPr>
          <w:p w14:paraId="3B82DDA9" w14:textId="77777777" w:rsidR="00AC2AA1" w:rsidRPr="00B02BA3" w:rsidRDefault="00AC2AA1" w:rsidP="00283F9E">
            <w:pPr>
              <w:tabs>
                <w:tab w:val="right" w:leader="dot" w:pos="3163"/>
              </w:tabs>
              <w:bidi/>
              <w:spacing w:before="40" w:after="40"/>
              <w:ind w:firstLine="407"/>
              <w:rPr>
                <w:sz w:val="18"/>
              </w:rPr>
            </w:pPr>
            <w:r w:rsidRPr="003D0326">
              <w:rPr>
                <w:rFonts w:hint="cs"/>
                <w:sz w:val="14"/>
                <w:szCs w:val="16"/>
                <w:rtl/>
              </w:rPr>
              <w:t>التزامات الإيجار</w:t>
            </w:r>
            <w:r w:rsidRPr="003D0326">
              <w:rPr>
                <w:sz w:val="14"/>
                <w:szCs w:val="16"/>
              </w:rPr>
              <w:tab/>
            </w:r>
          </w:p>
        </w:tc>
        <w:tc>
          <w:tcPr>
            <w:tcW w:w="282" w:type="dxa"/>
            <w:vAlign w:val="bottom"/>
          </w:tcPr>
          <w:p w14:paraId="267E665A" w14:textId="77777777" w:rsidR="00AC2AA1" w:rsidRPr="00B02BA3" w:rsidRDefault="00AC2AA1" w:rsidP="00283F9E">
            <w:pPr>
              <w:spacing w:before="40" w:after="40"/>
              <w:rPr>
                <w:sz w:val="18"/>
              </w:rPr>
            </w:pPr>
          </w:p>
        </w:tc>
        <w:tc>
          <w:tcPr>
            <w:tcW w:w="1132" w:type="dxa"/>
            <w:tcBorders>
              <w:bottom w:val="single" w:sz="4" w:space="0" w:color="auto"/>
            </w:tcBorders>
            <w:vAlign w:val="bottom"/>
          </w:tcPr>
          <w:p w14:paraId="5A2948E2" w14:textId="77777777" w:rsidR="00AC2AA1" w:rsidRPr="00B02BA3" w:rsidRDefault="00AC2AA1" w:rsidP="00283F9E">
            <w:pPr>
              <w:spacing w:before="40" w:after="40"/>
              <w:jc w:val="right"/>
              <w:rPr>
                <w:sz w:val="18"/>
              </w:rPr>
            </w:pPr>
            <w:r w:rsidRPr="00B02BA3">
              <w:rPr>
                <w:sz w:val="18"/>
              </w:rPr>
              <w:t>64</w:t>
            </w:r>
            <w:r>
              <w:rPr>
                <w:sz w:val="18"/>
              </w:rPr>
              <w:t>.4</w:t>
            </w:r>
          </w:p>
        </w:tc>
        <w:tc>
          <w:tcPr>
            <w:tcW w:w="282" w:type="dxa"/>
            <w:vAlign w:val="bottom"/>
          </w:tcPr>
          <w:p w14:paraId="7CDDFD29" w14:textId="77777777" w:rsidR="00AC2AA1" w:rsidRPr="00B02BA3" w:rsidRDefault="00AC2AA1" w:rsidP="00283F9E">
            <w:pPr>
              <w:spacing w:before="40" w:after="40"/>
              <w:rPr>
                <w:sz w:val="18"/>
              </w:rPr>
            </w:pPr>
          </w:p>
        </w:tc>
        <w:tc>
          <w:tcPr>
            <w:tcW w:w="1132" w:type="dxa"/>
            <w:tcBorders>
              <w:bottom w:val="single" w:sz="4" w:space="0" w:color="auto"/>
            </w:tcBorders>
            <w:vAlign w:val="bottom"/>
          </w:tcPr>
          <w:p w14:paraId="6B45FFC9" w14:textId="77777777" w:rsidR="00AC2AA1" w:rsidRPr="00B02BA3" w:rsidRDefault="00AC2AA1" w:rsidP="00283F9E">
            <w:pPr>
              <w:spacing w:before="40" w:after="40"/>
              <w:jc w:val="right"/>
              <w:rPr>
                <w:sz w:val="18"/>
              </w:rPr>
            </w:pPr>
            <w:r w:rsidRPr="00B02BA3">
              <w:rPr>
                <w:sz w:val="18"/>
              </w:rPr>
              <w:t>152</w:t>
            </w:r>
            <w:r>
              <w:rPr>
                <w:sz w:val="18"/>
              </w:rPr>
              <w:t>.7</w:t>
            </w:r>
          </w:p>
        </w:tc>
        <w:tc>
          <w:tcPr>
            <w:tcW w:w="282" w:type="dxa"/>
            <w:vAlign w:val="bottom"/>
          </w:tcPr>
          <w:p w14:paraId="77729F74" w14:textId="77777777" w:rsidR="00AC2AA1" w:rsidRPr="00B02BA3" w:rsidRDefault="00AC2AA1" w:rsidP="00283F9E">
            <w:pPr>
              <w:spacing w:before="40" w:after="40"/>
              <w:rPr>
                <w:sz w:val="18"/>
              </w:rPr>
            </w:pPr>
          </w:p>
        </w:tc>
        <w:tc>
          <w:tcPr>
            <w:tcW w:w="1132" w:type="dxa"/>
            <w:tcBorders>
              <w:bottom w:val="single" w:sz="4" w:space="0" w:color="auto"/>
            </w:tcBorders>
          </w:tcPr>
          <w:p w14:paraId="035C1277" w14:textId="77777777" w:rsidR="00AC2AA1" w:rsidRPr="00B02BA3" w:rsidRDefault="00AC2AA1" w:rsidP="00283F9E">
            <w:pPr>
              <w:spacing w:before="40" w:after="40"/>
              <w:jc w:val="right"/>
              <w:rPr>
                <w:sz w:val="18"/>
              </w:rPr>
            </w:pPr>
            <w:r w:rsidRPr="00B02BA3">
              <w:rPr>
                <w:sz w:val="18"/>
              </w:rPr>
              <w:t>197</w:t>
            </w:r>
            <w:r>
              <w:rPr>
                <w:sz w:val="18"/>
              </w:rPr>
              <w:t>.8</w:t>
            </w:r>
          </w:p>
        </w:tc>
        <w:tc>
          <w:tcPr>
            <w:tcW w:w="282" w:type="dxa"/>
            <w:vAlign w:val="bottom"/>
          </w:tcPr>
          <w:p w14:paraId="7E3D134D" w14:textId="77777777" w:rsidR="00AC2AA1" w:rsidRPr="00B02BA3" w:rsidRDefault="00AC2AA1" w:rsidP="00283F9E">
            <w:pPr>
              <w:spacing w:before="40" w:after="40"/>
              <w:rPr>
                <w:sz w:val="18"/>
              </w:rPr>
            </w:pPr>
          </w:p>
        </w:tc>
        <w:tc>
          <w:tcPr>
            <w:tcW w:w="1132" w:type="dxa"/>
            <w:tcBorders>
              <w:bottom w:val="single" w:sz="4" w:space="0" w:color="auto"/>
            </w:tcBorders>
          </w:tcPr>
          <w:p w14:paraId="081A7A65" w14:textId="77777777" w:rsidR="00AC2AA1" w:rsidRPr="00B02BA3" w:rsidRDefault="00AC2AA1" w:rsidP="00283F9E">
            <w:pPr>
              <w:spacing w:before="40" w:after="40"/>
              <w:jc w:val="right"/>
              <w:rPr>
                <w:sz w:val="18"/>
              </w:rPr>
            </w:pPr>
            <w:r>
              <w:rPr>
                <w:sz w:val="18"/>
              </w:rPr>
              <w:t>186.7</w:t>
            </w:r>
          </w:p>
        </w:tc>
        <w:tc>
          <w:tcPr>
            <w:tcW w:w="236" w:type="dxa"/>
            <w:vAlign w:val="bottom"/>
          </w:tcPr>
          <w:p w14:paraId="7AD62D42" w14:textId="77777777" w:rsidR="00AC2AA1" w:rsidRPr="00B02BA3" w:rsidRDefault="00AC2AA1" w:rsidP="00283F9E">
            <w:pPr>
              <w:spacing w:before="40" w:after="40"/>
              <w:rPr>
                <w:sz w:val="18"/>
              </w:rPr>
            </w:pPr>
          </w:p>
        </w:tc>
      </w:tr>
      <w:tr w:rsidR="009E64FF" w:rsidRPr="00B02BA3" w14:paraId="260CE001" w14:textId="77777777" w:rsidTr="00AC2AA1">
        <w:tc>
          <w:tcPr>
            <w:tcW w:w="3156" w:type="dxa"/>
            <w:vAlign w:val="bottom"/>
          </w:tcPr>
          <w:p w14:paraId="7D6AF659" w14:textId="77777777" w:rsidR="009E64FF" w:rsidRPr="00B02BA3" w:rsidRDefault="009E64FF" w:rsidP="009E64FF">
            <w:pPr>
              <w:tabs>
                <w:tab w:val="right" w:leader="dot" w:pos="3163"/>
              </w:tabs>
              <w:bidi/>
              <w:spacing w:before="40" w:after="40"/>
              <w:ind w:firstLine="407"/>
              <w:rPr>
                <w:b/>
                <w:bCs/>
                <w:sz w:val="18"/>
              </w:rPr>
            </w:pPr>
            <w:r w:rsidRPr="003D0326">
              <w:rPr>
                <w:rFonts w:hint="cs"/>
                <w:b/>
                <w:bCs/>
                <w:sz w:val="14"/>
                <w:szCs w:val="16"/>
                <w:rtl/>
              </w:rPr>
              <w:t>إجمالي الخصوم غير المتداولة</w:t>
            </w:r>
            <w:r w:rsidRPr="003D0326">
              <w:rPr>
                <w:sz w:val="14"/>
                <w:szCs w:val="16"/>
              </w:rPr>
              <w:tab/>
            </w:r>
          </w:p>
        </w:tc>
        <w:tc>
          <w:tcPr>
            <w:tcW w:w="282" w:type="dxa"/>
            <w:vAlign w:val="bottom"/>
          </w:tcPr>
          <w:p w14:paraId="0B79A9F9" w14:textId="77777777" w:rsidR="009E64FF" w:rsidRPr="00B02BA3" w:rsidRDefault="009E64FF" w:rsidP="009E64FF">
            <w:pPr>
              <w:spacing w:before="40" w:after="40"/>
              <w:rPr>
                <w:sz w:val="18"/>
              </w:rPr>
            </w:pPr>
          </w:p>
        </w:tc>
        <w:tc>
          <w:tcPr>
            <w:tcW w:w="1132" w:type="dxa"/>
            <w:tcBorders>
              <w:top w:val="single" w:sz="4" w:space="0" w:color="auto"/>
            </w:tcBorders>
            <w:vAlign w:val="bottom"/>
          </w:tcPr>
          <w:p w14:paraId="557A6FD3" w14:textId="77777777" w:rsidR="009E64FF" w:rsidRPr="00B02BA3" w:rsidRDefault="009E64FF" w:rsidP="009E64FF">
            <w:pPr>
              <w:spacing w:before="40" w:after="40"/>
              <w:jc w:val="right"/>
              <w:rPr>
                <w:sz w:val="18"/>
              </w:rPr>
            </w:pPr>
            <w:r w:rsidRPr="00B02BA3">
              <w:rPr>
                <w:sz w:val="18"/>
              </w:rPr>
              <w:t>1,509</w:t>
            </w:r>
            <w:r>
              <w:rPr>
                <w:sz w:val="18"/>
              </w:rPr>
              <w:t>.5</w:t>
            </w:r>
          </w:p>
        </w:tc>
        <w:tc>
          <w:tcPr>
            <w:tcW w:w="282" w:type="dxa"/>
            <w:vAlign w:val="bottom"/>
          </w:tcPr>
          <w:p w14:paraId="5520DE99" w14:textId="77777777" w:rsidR="009E64FF" w:rsidRPr="00B02BA3" w:rsidRDefault="009E64FF" w:rsidP="009E64FF">
            <w:pPr>
              <w:spacing w:before="40" w:after="40"/>
              <w:rPr>
                <w:sz w:val="18"/>
              </w:rPr>
            </w:pPr>
          </w:p>
        </w:tc>
        <w:tc>
          <w:tcPr>
            <w:tcW w:w="1132" w:type="dxa"/>
            <w:tcBorders>
              <w:top w:val="single" w:sz="4" w:space="0" w:color="auto"/>
            </w:tcBorders>
            <w:vAlign w:val="bottom"/>
          </w:tcPr>
          <w:p w14:paraId="69087177" w14:textId="77777777" w:rsidR="009E64FF" w:rsidRPr="00B02BA3" w:rsidRDefault="009E64FF" w:rsidP="009E64FF">
            <w:pPr>
              <w:spacing w:before="40" w:after="40"/>
              <w:jc w:val="right"/>
              <w:rPr>
                <w:sz w:val="18"/>
              </w:rPr>
            </w:pPr>
            <w:r w:rsidRPr="00B02BA3">
              <w:rPr>
                <w:sz w:val="18"/>
              </w:rPr>
              <w:t>1,458</w:t>
            </w:r>
            <w:r>
              <w:rPr>
                <w:sz w:val="18"/>
              </w:rPr>
              <w:t>.4</w:t>
            </w:r>
          </w:p>
        </w:tc>
        <w:tc>
          <w:tcPr>
            <w:tcW w:w="282" w:type="dxa"/>
            <w:vAlign w:val="bottom"/>
          </w:tcPr>
          <w:p w14:paraId="03F5D2ED" w14:textId="77777777" w:rsidR="009E64FF" w:rsidRPr="00B02BA3" w:rsidRDefault="009E64FF" w:rsidP="009E64FF">
            <w:pPr>
              <w:spacing w:before="40" w:after="40"/>
              <w:rPr>
                <w:sz w:val="18"/>
              </w:rPr>
            </w:pPr>
          </w:p>
        </w:tc>
        <w:tc>
          <w:tcPr>
            <w:tcW w:w="1132" w:type="dxa"/>
            <w:tcBorders>
              <w:top w:val="single" w:sz="4" w:space="0" w:color="auto"/>
            </w:tcBorders>
          </w:tcPr>
          <w:p w14:paraId="08A988C5" w14:textId="77777777" w:rsidR="009E64FF" w:rsidRPr="00B02BA3" w:rsidRDefault="009E64FF" w:rsidP="009E64FF">
            <w:pPr>
              <w:spacing w:before="40" w:after="40"/>
              <w:jc w:val="right"/>
              <w:rPr>
                <w:sz w:val="18"/>
              </w:rPr>
            </w:pPr>
            <w:r w:rsidRPr="00B02BA3">
              <w:rPr>
                <w:sz w:val="18"/>
              </w:rPr>
              <w:t>1,33</w:t>
            </w:r>
            <w:r>
              <w:rPr>
                <w:sz w:val="18"/>
              </w:rPr>
              <w:t>2.4</w:t>
            </w:r>
          </w:p>
        </w:tc>
        <w:tc>
          <w:tcPr>
            <w:tcW w:w="282" w:type="dxa"/>
            <w:vAlign w:val="bottom"/>
          </w:tcPr>
          <w:p w14:paraId="6AF0A9A8" w14:textId="77777777" w:rsidR="009E64FF" w:rsidRPr="00B02BA3" w:rsidRDefault="009E64FF" w:rsidP="009E64FF">
            <w:pPr>
              <w:spacing w:before="40" w:after="40"/>
              <w:rPr>
                <w:sz w:val="18"/>
              </w:rPr>
            </w:pPr>
          </w:p>
        </w:tc>
        <w:tc>
          <w:tcPr>
            <w:tcW w:w="1132" w:type="dxa"/>
            <w:tcBorders>
              <w:top w:val="single" w:sz="4" w:space="0" w:color="auto"/>
            </w:tcBorders>
          </w:tcPr>
          <w:p w14:paraId="2DA985CC" w14:textId="77777777" w:rsidR="009E64FF" w:rsidRPr="00B02BA3" w:rsidRDefault="009E64FF" w:rsidP="009E64FF">
            <w:pPr>
              <w:spacing w:before="40" w:after="40"/>
              <w:jc w:val="right"/>
              <w:rPr>
                <w:sz w:val="18"/>
              </w:rPr>
            </w:pPr>
            <w:r>
              <w:rPr>
                <w:sz w:val="18"/>
              </w:rPr>
              <w:t>1,260.0</w:t>
            </w:r>
          </w:p>
        </w:tc>
        <w:tc>
          <w:tcPr>
            <w:tcW w:w="236" w:type="dxa"/>
            <w:vAlign w:val="bottom"/>
          </w:tcPr>
          <w:p w14:paraId="5B7EAF03" w14:textId="77777777" w:rsidR="009E64FF" w:rsidRPr="00B02BA3" w:rsidRDefault="009E64FF" w:rsidP="009E64FF">
            <w:pPr>
              <w:spacing w:before="40" w:after="40"/>
              <w:rPr>
                <w:sz w:val="18"/>
              </w:rPr>
            </w:pPr>
          </w:p>
        </w:tc>
      </w:tr>
      <w:tr w:rsidR="00AC2AA1" w:rsidRPr="00B02BA3" w14:paraId="17951AC1" w14:textId="77777777" w:rsidTr="00AC2AA1">
        <w:tc>
          <w:tcPr>
            <w:tcW w:w="3156" w:type="dxa"/>
            <w:vAlign w:val="bottom"/>
          </w:tcPr>
          <w:p w14:paraId="56FA5F01" w14:textId="77777777" w:rsidR="00AC2AA1" w:rsidRPr="00B02BA3" w:rsidRDefault="00AC2AA1" w:rsidP="00283F9E">
            <w:pPr>
              <w:tabs>
                <w:tab w:val="right" w:leader="dot" w:pos="3163"/>
              </w:tabs>
              <w:bidi/>
              <w:spacing w:before="40" w:after="40"/>
              <w:rPr>
                <w:b/>
                <w:bCs/>
                <w:sz w:val="18"/>
              </w:rPr>
            </w:pPr>
            <w:r w:rsidRPr="003D0326">
              <w:rPr>
                <w:rFonts w:hint="cs"/>
                <w:b/>
                <w:bCs/>
                <w:sz w:val="14"/>
                <w:szCs w:val="16"/>
                <w:rtl/>
              </w:rPr>
              <w:t>الخصوم المتداولة</w:t>
            </w:r>
          </w:p>
        </w:tc>
        <w:tc>
          <w:tcPr>
            <w:tcW w:w="282" w:type="dxa"/>
            <w:vAlign w:val="bottom"/>
          </w:tcPr>
          <w:p w14:paraId="5E1B7EA1" w14:textId="77777777" w:rsidR="00AC2AA1" w:rsidRPr="00B02BA3" w:rsidRDefault="00AC2AA1" w:rsidP="00283F9E">
            <w:pPr>
              <w:spacing w:before="40" w:after="40"/>
              <w:rPr>
                <w:b/>
                <w:bCs/>
                <w:sz w:val="18"/>
              </w:rPr>
            </w:pPr>
          </w:p>
        </w:tc>
        <w:tc>
          <w:tcPr>
            <w:tcW w:w="1132" w:type="dxa"/>
            <w:vAlign w:val="bottom"/>
          </w:tcPr>
          <w:p w14:paraId="5FD5DB73" w14:textId="77777777" w:rsidR="00AC2AA1" w:rsidRPr="00B02BA3" w:rsidRDefault="00AC2AA1" w:rsidP="00283F9E">
            <w:pPr>
              <w:spacing w:before="40" w:after="40"/>
              <w:jc w:val="right"/>
              <w:rPr>
                <w:b/>
                <w:bCs/>
                <w:sz w:val="18"/>
              </w:rPr>
            </w:pPr>
          </w:p>
        </w:tc>
        <w:tc>
          <w:tcPr>
            <w:tcW w:w="282" w:type="dxa"/>
            <w:vAlign w:val="bottom"/>
          </w:tcPr>
          <w:p w14:paraId="2A50B960" w14:textId="77777777" w:rsidR="00AC2AA1" w:rsidRPr="00B02BA3" w:rsidRDefault="00AC2AA1" w:rsidP="00283F9E">
            <w:pPr>
              <w:spacing w:before="40" w:after="40"/>
              <w:rPr>
                <w:b/>
                <w:bCs/>
                <w:sz w:val="18"/>
              </w:rPr>
            </w:pPr>
          </w:p>
        </w:tc>
        <w:tc>
          <w:tcPr>
            <w:tcW w:w="1132" w:type="dxa"/>
            <w:vAlign w:val="bottom"/>
          </w:tcPr>
          <w:p w14:paraId="75E44F3E" w14:textId="77777777" w:rsidR="00AC2AA1" w:rsidRPr="00B02BA3" w:rsidRDefault="00AC2AA1" w:rsidP="00283F9E">
            <w:pPr>
              <w:spacing w:before="40" w:after="40"/>
              <w:jc w:val="right"/>
              <w:rPr>
                <w:b/>
                <w:bCs/>
                <w:sz w:val="18"/>
              </w:rPr>
            </w:pPr>
          </w:p>
        </w:tc>
        <w:tc>
          <w:tcPr>
            <w:tcW w:w="282" w:type="dxa"/>
            <w:vAlign w:val="bottom"/>
          </w:tcPr>
          <w:p w14:paraId="52C106A4" w14:textId="77777777" w:rsidR="00AC2AA1" w:rsidRPr="00B02BA3" w:rsidRDefault="00AC2AA1" w:rsidP="00283F9E">
            <w:pPr>
              <w:spacing w:before="40" w:after="40"/>
              <w:rPr>
                <w:b/>
                <w:bCs/>
                <w:sz w:val="18"/>
              </w:rPr>
            </w:pPr>
          </w:p>
        </w:tc>
        <w:tc>
          <w:tcPr>
            <w:tcW w:w="1132" w:type="dxa"/>
          </w:tcPr>
          <w:p w14:paraId="5228AB00" w14:textId="77777777" w:rsidR="00AC2AA1" w:rsidRPr="00B02BA3" w:rsidRDefault="00AC2AA1" w:rsidP="00283F9E">
            <w:pPr>
              <w:spacing w:before="40" w:after="40"/>
              <w:jc w:val="right"/>
              <w:rPr>
                <w:b/>
                <w:bCs/>
                <w:sz w:val="18"/>
              </w:rPr>
            </w:pPr>
          </w:p>
        </w:tc>
        <w:tc>
          <w:tcPr>
            <w:tcW w:w="282" w:type="dxa"/>
            <w:vAlign w:val="bottom"/>
          </w:tcPr>
          <w:p w14:paraId="7D350EA4" w14:textId="77777777" w:rsidR="00AC2AA1" w:rsidRPr="00B02BA3" w:rsidRDefault="00AC2AA1" w:rsidP="00283F9E">
            <w:pPr>
              <w:spacing w:before="40" w:after="40"/>
              <w:rPr>
                <w:b/>
                <w:bCs/>
                <w:sz w:val="18"/>
              </w:rPr>
            </w:pPr>
          </w:p>
        </w:tc>
        <w:tc>
          <w:tcPr>
            <w:tcW w:w="1132" w:type="dxa"/>
          </w:tcPr>
          <w:p w14:paraId="777F9C24" w14:textId="77777777" w:rsidR="00AC2AA1" w:rsidRPr="00B02BA3" w:rsidRDefault="00AC2AA1" w:rsidP="00283F9E">
            <w:pPr>
              <w:spacing w:before="40" w:after="40"/>
              <w:jc w:val="right"/>
              <w:rPr>
                <w:b/>
                <w:bCs/>
                <w:sz w:val="18"/>
              </w:rPr>
            </w:pPr>
          </w:p>
        </w:tc>
        <w:tc>
          <w:tcPr>
            <w:tcW w:w="236" w:type="dxa"/>
            <w:vAlign w:val="bottom"/>
          </w:tcPr>
          <w:p w14:paraId="759606F0" w14:textId="77777777" w:rsidR="00AC2AA1" w:rsidRPr="00B02BA3" w:rsidRDefault="00AC2AA1" w:rsidP="00283F9E">
            <w:pPr>
              <w:spacing w:before="40" w:after="40"/>
              <w:rPr>
                <w:b/>
                <w:bCs/>
                <w:sz w:val="18"/>
              </w:rPr>
            </w:pPr>
          </w:p>
        </w:tc>
      </w:tr>
      <w:tr w:rsidR="00AC2AA1" w:rsidRPr="00B02BA3" w14:paraId="61DDE80C" w14:textId="77777777" w:rsidTr="00AC2AA1">
        <w:tc>
          <w:tcPr>
            <w:tcW w:w="3156" w:type="dxa"/>
            <w:vAlign w:val="bottom"/>
          </w:tcPr>
          <w:p w14:paraId="4E301170" w14:textId="77777777" w:rsidR="00AC2AA1" w:rsidRPr="00B02BA3" w:rsidRDefault="00AC2AA1" w:rsidP="00283F9E">
            <w:pPr>
              <w:tabs>
                <w:tab w:val="right" w:leader="dot" w:pos="3163"/>
              </w:tabs>
              <w:bidi/>
              <w:spacing w:before="40" w:after="40"/>
              <w:ind w:firstLine="407"/>
              <w:rPr>
                <w:sz w:val="18"/>
              </w:rPr>
            </w:pPr>
            <w:r w:rsidRPr="003D0326">
              <w:rPr>
                <w:rFonts w:hint="cs"/>
                <w:sz w:val="14"/>
                <w:szCs w:val="16"/>
                <w:rtl/>
              </w:rPr>
              <w:t>الذمم الدائنة التجارية والذمم الدائنة الأخرى</w:t>
            </w:r>
            <w:r w:rsidRPr="003D0326">
              <w:rPr>
                <w:sz w:val="14"/>
                <w:szCs w:val="16"/>
              </w:rPr>
              <w:tab/>
            </w:r>
          </w:p>
        </w:tc>
        <w:tc>
          <w:tcPr>
            <w:tcW w:w="282" w:type="dxa"/>
            <w:vAlign w:val="bottom"/>
          </w:tcPr>
          <w:p w14:paraId="2519DFCA" w14:textId="77777777" w:rsidR="00AC2AA1" w:rsidRPr="00B02BA3" w:rsidRDefault="00AC2AA1" w:rsidP="00283F9E">
            <w:pPr>
              <w:spacing w:before="40" w:after="40"/>
              <w:rPr>
                <w:sz w:val="18"/>
              </w:rPr>
            </w:pPr>
          </w:p>
        </w:tc>
        <w:tc>
          <w:tcPr>
            <w:tcW w:w="1132" w:type="dxa"/>
            <w:vAlign w:val="bottom"/>
          </w:tcPr>
          <w:p w14:paraId="6CAB03A6" w14:textId="77777777" w:rsidR="00AC2AA1" w:rsidRPr="00B02BA3" w:rsidRDefault="00AC2AA1" w:rsidP="00283F9E">
            <w:pPr>
              <w:spacing w:before="40" w:after="40"/>
              <w:jc w:val="right"/>
              <w:rPr>
                <w:sz w:val="18"/>
              </w:rPr>
            </w:pPr>
            <w:r w:rsidRPr="00B02BA3">
              <w:rPr>
                <w:sz w:val="18"/>
              </w:rPr>
              <w:t>183</w:t>
            </w:r>
            <w:r>
              <w:rPr>
                <w:sz w:val="18"/>
              </w:rPr>
              <w:t>.2</w:t>
            </w:r>
          </w:p>
        </w:tc>
        <w:tc>
          <w:tcPr>
            <w:tcW w:w="282" w:type="dxa"/>
            <w:vAlign w:val="bottom"/>
          </w:tcPr>
          <w:p w14:paraId="77B7EB24" w14:textId="77777777" w:rsidR="00AC2AA1" w:rsidRPr="00B02BA3" w:rsidRDefault="00AC2AA1" w:rsidP="00283F9E">
            <w:pPr>
              <w:spacing w:before="40" w:after="40"/>
              <w:rPr>
                <w:sz w:val="18"/>
              </w:rPr>
            </w:pPr>
          </w:p>
        </w:tc>
        <w:tc>
          <w:tcPr>
            <w:tcW w:w="1132" w:type="dxa"/>
            <w:vAlign w:val="bottom"/>
          </w:tcPr>
          <w:p w14:paraId="65C4BD63" w14:textId="77777777" w:rsidR="00AC2AA1" w:rsidRPr="00B02BA3" w:rsidRDefault="00AC2AA1" w:rsidP="00283F9E">
            <w:pPr>
              <w:spacing w:before="40" w:after="40"/>
              <w:jc w:val="right"/>
              <w:rPr>
                <w:sz w:val="18"/>
              </w:rPr>
            </w:pPr>
            <w:r w:rsidRPr="00B02BA3">
              <w:rPr>
                <w:sz w:val="18"/>
              </w:rPr>
              <w:t>91</w:t>
            </w:r>
            <w:r>
              <w:rPr>
                <w:sz w:val="18"/>
              </w:rPr>
              <w:t>.9</w:t>
            </w:r>
          </w:p>
        </w:tc>
        <w:tc>
          <w:tcPr>
            <w:tcW w:w="282" w:type="dxa"/>
            <w:vAlign w:val="bottom"/>
          </w:tcPr>
          <w:p w14:paraId="47A25BCD" w14:textId="77777777" w:rsidR="00AC2AA1" w:rsidRPr="00B02BA3" w:rsidRDefault="00AC2AA1" w:rsidP="00283F9E">
            <w:pPr>
              <w:spacing w:before="40" w:after="40"/>
              <w:rPr>
                <w:sz w:val="18"/>
              </w:rPr>
            </w:pPr>
          </w:p>
        </w:tc>
        <w:tc>
          <w:tcPr>
            <w:tcW w:w="1132" w:type="dxa"/>
          </w:tcPr>
          <w:p w14:paraId="3AA8A356" w14:textId="77777777" w:rsidR="00AC2AA1" w:rsidRPr="00B02BA3" w:rsidRDefault="00AC2AA1" w:rsidP="00283F9E">
            <w:pPr>
              <w:spacing w:before="40" w:after="40"/>
              <w:jc w:val="right"/>
              <w:rPr>
                <w:sz w:val="18"/>
              </w:rPr>
            </w:pPr>
            <w:r w:rsidRPr="00B02BA3">
              <w:rPr>
                <w:sz w:val="18"/>
              </w:rPr>
              <w:t>109</w:t>
            </w:r>
            <w:r>
              <w:rPr>
                <w:sz w:val="18"/>
              </w:rPr>
              <w:t>.6</w:t>
            </w:r>
          </w:p>
        </w:tc>
        <w:tc>
          <w:tcPr>
            <w:tcW w:w="282" w:type="dxa"/>
            <w:vAlign w:val="bottom"/>
          </w:tcPr>
          <w:p w14:paraId="728EE83D" w14:textId="77777777" w:rsidR="00AC2AA1" w:rsidRPr="00B02BA3" w:rsidRDefault="00AC2AA1" w:rsidP="00283F9E">
            <w:pPr>
              <w:spacing w:before="40" w:after="40"/>
              <w:rPr>
                <w:sz w:val="18"/>
              </w:rPr>
            </w:pPr>
          </w:p>
        </w:tc>
        <w:tc>
          <w:tcPr>
            <w:tcW w:w="1132" w:type="dxa"/>
          </w:tcPr>
          <w:p w14:paraId="6F706FBB" w14:textId="77777777" w:rsidR="00AC2AA1" w:rsidRPr="00B02BA3" w:rsidRDefault="00AC2AA1" w:rsidP="00283F9E">
            <w:pPr>
              <w:spacing w:before="40" w:after="40"/>
              <w:jc w:val="right"/>
              <w:rPr>
                <w:sz w:val="18"/>
              </w:rPr>
            </w:pPr>
            <w:r>
              <w:rPr>
                <w:sz w:val="18"/>
              </w:rPr>
              <w:t>56.6</w:t>
            </w:r>
          </w:p>
        </w:tc>
        <w:tc>
          <w:tcPr>
            <w:tcW w:w="236" w:type="dxa"/>
            <w:vAlign w:val="bottom"/>
          </w:tcPr>
          <w:p w14:paraId="477B57A3" w14:textId="77777777" w:rsidR="00AC2AA1" w:rsidRPr="00B02BA3" w:rsidRDefault="00AC2AA1" w:rsidP="00283F9E">
            <w:pPr>
              <w:spacing w:before="40" w:after="40"/>
              <w:rPr>
                <w:sz w:val="18"/>
              </w:rPr>
            </w:pPr>
          </w:p>
        </w:tc>
      </w:tr>
      <w:tr w:rsidR="00366F0D" w:rsidRPr="00B02BA3" w14:paraId="15F89892" w14:textId="77777777" w:rsidTr="00AC2AA1">
        <w:tc>
          <w:tcPr>
            <w:tcW w:w="3156" w:type="dxa"/>
            <w:vAlign w:val="bottom"/>
          </w:tcPr>
          <w:p w14:paraId="191BFA6A" w14:textId="77777777" w:rsidR="00366F0D" w:rsidRPr="00B02BA3" w:rsidRDefault="00366F0D" w:rsidP="00366F0D">
            <w:pPr>
              <w:tabs>
                <w:tab w:val="right" w:leader="dot" w:pos="3163"/>
              </w:tabs>
              <w:bidi/>
              <w:spacing w:before="40" w:after="40"/>
              <w:ind w:firstLine="407"/>
              <w:rPr>
                <w:sz w:val="18"/>
              </w:rPr>
            </w:pPr>
            <w:r w:rsidRPr="003D0326">
              <w:rPr>
                <w:rFonts w:hint="cs"/>
                <w:sz w:val="14"/>
                <w:szCs w:val="16"/>
                <w:rtl/>
              </w:rPr>
              <w:t>القروض والاقتراض</w:t>
            </w:r>
            <w:r w:rsidRPr="003D0326">
              <w:rPr>
                <w:sz w:val="14"/>
                <w:szCs w:val="16"/>
              </w:rPr>
              <w:tab/>
            </w:r>
          </w:p>
        </w:tc>
        <w:tc>
          <w:tcPr>
            <w:tcW w:w="282" w:type="dxa"/>
            <w:vAlign w:val="bottom"/>
          </w:tcPr>
          <w:p w14:paraId="6162771E" w14:textId="77777777" w:rsidR="00366F0D" w:rsidRPr="00B02BA3" w:rsidRDefault="00366F0D" w:rsidP="00366F0D">
            <w:pPr>
              <w:spacing w:before="40" w:after="40"/>
              <w:rPr>
                <w:sz w:val="18"/>
              </w:rPr>
            </w:pPr>
          </w:p>
        </w:tc>
        <w:tc>
          <w:tcPr>
            <w:tcW w:w="1132" w:type="dxa"/>
            <w:vAlign w:val="bottom"/>
          </w:tcPr>
          <w:p w14:paraId="1980A619" w14:textId="77777777" w:rsidR="00366F0D" w:rsidRPr="00B02BA3" w:rsidRDefault="00366F0D" w:rsidP="00366F0D">
            <w:pPr>
              <w:spacing w:before="40" w:after="40"/>
              <w:jc w:val="right"/>
              <w:rPr>
                <w:sz w:val="18"/>
              </w:rPr>
            </w:pPr>
            <w:r w:rsidRPr="00B02BA3">
              <w:rPr>
                <w:sz w:val="18"/>
              </w:rPr>
              <w:t>178</w:t>
            </w:r>
            <w:r>
              <w:rPr>
                <w:sz w:val="18"/>
              </w:rPr>
              <w:t>.5</w:t>
            </w:r>
          </w:p>
        </w:tc>
        <w:tc>
          <w:tcPr>
            <w:tcW w:w="282" w:type="dxa"/>
            <w:vAlign w:val="bottom"/>
          </w:tcPr>
          <w:p w14:paraId="7770CBA5" w14:textId="77777777" w:rsidR="00366F0D" w:rsidRPr="00B02BA3" w:rsidRDefault="00366F0D" w:rsidP="00366F0D">
            <w:pPr>
              <w:spacing w:before="40" w:after="40"/>
              <w:rPr>
                <w:sz w:val="18"/>
              </w:rPr>
            </w:pPr>
          </w:p>
        </w:tc>
        <w:tc>
          <w:tcPr>
            <w:tcW w:w="1132" w:type="dxa"/>
            <w:vAlign w:val="bottom"/>
          </w:tcPr>
          <w:p w14:paraId="3D416C7B" w14:textId="77777777" w:rsidR="00366F0D" w:rsidRPr="00B02BA3" w:rsidRDefault="00366F0D" w:rsidP="00366F0D">
            <w:pPr>
              <w:spacing w:before="40" w:after="40"/>
              <w:jc w:val="right"/>
              <w:rPr>
                <w:sz w:val="18"/>
              </w:rPr>
            </w:pPr>
            <w:r w:rsidRPr="00B02BA3">
              <w:rPr>
                <w:sz w:val="18"/>
              </w:rPr>
              <w:t>151</w:t>
            </w:r>
            <w:r>
              <w:rPr>
                <w:sz w:val="18"/>
              </w:rPr>
              <w:t>.</w:t>
            </w:r>
            <w:r w:rsidRPr="00B02BA3">
              <w:rPr>
                <w:sz w:val="18"/>
              </w:rPr>
              <w:t>5</w:t>
            </w:r>
          </w:p>
        </w:tc>
        <w:tc>
          <w:tcPr>
            <w:tcW w:w="282" w:type="dxa"/>
            <w:vAlign w:val="bottom"/>
          </w:tcPr>
          <w:p w14:paraId="11EB881F" w14:textId="77777777" w:rsidR="00366F0D" w:rsidRPr="00B02BA3" w:rsidRDefault="00366F0D" w:rsidP="00366F0D">
            <w:pPr>
              <w:spacing w:before="40" w:after="40"/>
              <w:rPr>
                <w:sz w:val="18"/>
              </w:rPr>
            </w:pPr>
          </w:p>
        </w:tc>
        <w:tc>
          <w:tcPr>
            <w:tcW w:w="1132" w:type="dxa"/>
          </w:tcPr>
          <w:p w14:paraId="13D1D426" w14:textId="77777777" w:rsidR="00366F0D" w:rsidRPr="00B02BA3" w:rsidRDefault="00366F0D" w:rsidP="00366F0D">
            <w:pPr>
              <w:spacing w:before="40" w:after="40"/>
              <w:jc w:val="right"/>
              <w:rPr>
                <w:sz w:val="18"/>
              </w:rPr>
            </w:pPr>
            <w:r w:rsidRPr="00B02BA3">
              <w:rPr>
                <w:sz w:val="18"/>
              </w:rPr>
              <w:t>177</w:t>
            </w:r>
            <w:r>
              <w:rPr>
                <w:sz w:val="18"/>
              </w:rPr>
              <w:t>.7</w:t>
            </w:r>
          </w:p>
        </w:tc>
        <w:tc>
          <w:tcPr>
            <w:tcW w:w="282" w:type="dxa"/>
            <w:vAlign w:val="bottom"/>
          </w:tcPr>
          <w:p w14:paraId="73C462D5" w14:textId="77777777" w:rsidR="00366F0D" w:rsidRPr="00B02BA3" w:rsidRDefault="00366F0D" w:rsidP="00366F0D">
            <w:pPr>
              <w:spacing w:before="40" w:after="40"/>
              <w:rPr>
                <w:sz w:val="18"/>
              </w:rPr>
            </w:pPr>
          </w:p>
        </w:tc>
        <w:tc>
          <w:tcPr>
            <w:tcW w:w="1132" w:type="dxa"/>
          </w:tcPr>
          <w:p w14:paraId="50108BF3" w14:textId="77777777" w:rsidR="00366F0D" w:rsidRPr="00B02BA3" w:rsidRDefault="00366F0D" w:rsidP="00366F0D">
            <w:pPr>
              <w:spacing w:before="40" w:after="40"/>
              <w:jc w:val="right"/>
              <w:rPr>
                <w:sz w:val="18"/>
              </w:rPr>
            </w:pPr>
            <w:r>
              <w:rPr>
                <w:sz w:val="18"/>
              </w:rPr>
              <w:t>138.8</w:t>
            </w:r>
          </w:p>
        </w:tc>
        <w:tc>
          <w:tcPr>
            <w:tcW w:w="236" w:type="dxa"/>
            <w:vAlign w:val="bottom"/>
          </w:tcPr>
          <w:p w14:paraId="25D5CBCF" w14:textId="77777777" w:rsidR="00366F0D" w:rsidRPr="00B02BA3" w:rsidRDefault="00366F0D" w:rsidP="00366F0D">
            <w:pPr>
              <w:spacing w:before="40" w:after="40"/>
              <w:rPr>
                <w:sz w:val="18"/>
              </w:rPr>
            </w:pPr>
          </w:p>
        </w:tc>
      </w:tr>
      <w:tr w:rsidR="00AC2AA1" w:rsidRPr="00B02BA3" w14:paraId="7A0958A2" w14:textId="77777777" w:rsidTr="00AC2AA1">
        <w:tc>
          <w:tcPr>
            <w:tcW w:w="3156" w:type="dxa"/>
            <w:vAlign w:val="bottom"/>
          </w:tcPr>
          <w:p w14:paraId="7D01E0BE" w14:textId="77777777" w:rsidR="00AC2AA1" w:rsidRDefault="00AC2AA1" w:rsidP="00283F9E">
            <w:pPr>
              <w:tabs>
                <w:tab w:val="right" w:leader="dot" w:pos="3163"/>
              </w:tabs>
              <w:bidi/>
              <w:spacing w:before="40" w:after="40"/>
              <w:ind w:firstLine="407"/>
              <w:rPr>
                <w:sz w:val="18"/>
              </w:rPr>
            </w:pPr>
          </w:p>
        </w:tc>
        <w:tc>
          <w:tcPr>
            <w:tcW w:w="282" w:type="dxa"/>
            <w:vAlign w:val="bottom"/>
          </w:tcPr>
          <w:p w14:paraId="4C17D2B5" w14:textId="77777777" w:rsidR="00AC2AA1" w:rsidRPr="00B02BA3" w:rsidRDefault="00AC2AA1" w:rsidP="00283F9E">
            <w:pPr>
              <w:spacing w:before="40" w:after="40"/>
              <w:rPr>
                <w:sz w:val="18"/>
              </w:rPr>
            </w:pPr>
          </w:p>
        </w:tc>
        <w:tc>
          <w:tcPr>
            <w:tcW w:w="1132" w:type="dxa"/>
            <w:vAlign w:val="bottom"/>
          </w:tcPr>
          <w:p w14:paraId="48FB42FE" w14:textId="77777777" w:rsidR="00AC2AA1" w:rsidRPr="00B02BA3" w:rsidRDefault="00AC2AA1" w:rsidP="00283F9E">
            <w:pPr>
              <w:spacing w:before="40" w:after="40"/>
              <w:jc w:val="right"/>
              <w:rPr>
                <w:sz w:val="18"/>
              </w:rPr>
            </w:pPr>
            <w:r w:rsidRPr="00B02BA3">
              <w:rPr>
                <w:sz w:val="18"/>
              </w:rPr>
              <w:t>9</w:t>
            </w:r>
            <w:r>
              <w:rPr>
                <w:sz w:val="18"/>
              </w:rPr>
              <w:t>.3</w:t>
            </w:r>
          </w:p>
        </w:tc>
        <w:tc>
          <w:tcPr>
            <w:tcW w:w="282" w:type="dxa"/>
            <w:vAlign w:val="bottom"/>
          </w:tcPr>
          <w:p w14:paraId="6A45F0EC" w14:textId="77777777" w:rsidR="00AC2AA1" w:rsidRPr="00B02BA3" w:rsidRDefault="00AC2AA1" w:rsidP="00283F9E">
            <w:pPr>
              <w:spacing w:before="40" w:after="40"/>
              <w:rPr>
                <w:sz w:val="18"/>
              </w:rPr>
            </w:pPr>
          </w:p>
        </w:tc>
        <w:tc>
          <w:tcPr>
            <w:tcW w:w="1132" w:type="dxa"/>
            <w:vAlign w:val="bottom"/>
          </w:tcPr>
          <w:p w14:paraId="18388818" w14:textId="77777777" w:rsidR="00AC2AA1" w:rsidRPr="00B02BA3" w:rsidRDefault="00AC2AA1" w:rsidP="00283F9E">
            <w:pPr>
              <w:spacing w:before="40" w:after="40"/>
              <w:jc w:val="right"/>
              <w:rPr>
                <w:sz w:val="18"/>
              </w:rPr>
            </w:pPr>
            <w:r w:rsidRPr="00B02BA3">
              <w:rPr>
                <w:sz w:val="18"/>
              </w:rPr>
              <w:t>—</w:t>
            </w:r>
          </w:p>
        </w:tc>
        <w:tc>
          <w:tcPr>
            <w:tcW w:w="282" w:type="dxa"/>
            <w:vAlign w:val="bottom"/>
          </w:tcPr>
          <w:p w14:paraId="4BC9CBF2" w14:textId="77777777" w:rsidR="00AC2AA1" w:rsidRPr="00B02BA3" w:rsidRDefault="00AC2AA1" w:rsidP="00283F9E">
            <w:pPr>
              <w:spacing w:before="40" w:after="40"/>
              <w:rPr>
                <w:sz w:val="18"/>
              </w:rPr>
            </w:pPr>
          </w:p>
        </w:tc>
        <w:tc>
          <w:tcPr>
            <w:tcW w:w="1132" w:type="dxa"/>
          </w:tcPr>
          <w:p w14:paraId="17A1EAD8" w14:textId="77777777" w:rsidR="00AC2AA1" w:rsidRPr="00B02BA3" w:rsidRDefault="00AC2AA1" w:rsidP="00283F9E">
            <w:pPr>
              <w:spacing w:before="40" w:after="40"/>
              <w:jc w:val="right"/>
              <w:rPr>
                <w:sz w:val="18"/>
              </w:rPr>
            </w:pPr>
            <w:r w:rsidRPr="00B02BA3">
              <w:rPr>
                <w:sz w:val="18"/>
              </w:rPr>
              <w:t>—</w:t>
            </w:r>
          </w:p>
        </w:tc>
        <w:tc>
          <w:tcPr>
            <w:tcW w:w="282" w:type="dxa"/>
            <w:vAlign w:val="bottom"/>
          </w:tcPr>
          <w:p w14:paraId="39BB1179" w14:textId="77777777" w:rsidR="00AC2AA1" w:rsidRPr="00B02BA3" w:rsidRDefault="00AC2AA1" w:rsidP="00283F9E">
            <w:pPr>
              <w:spacing w:before="40" w:after="40"/>
              <w:rPr>
                <w:sz w:val="18"/>
              </w:rPr>
            </w:pPr>
          </w:p>
        </w:tc>
        <w:tc>
          <w:tcPr>
            <w:tcW w:w="1132" w:type="dxa"/>
          </w:tcPr>
          <w:p w14:paraId="589A20DA" w14:textId="77777777" w:rsidR="00AC2AA1" w:rsidRPr="00B02BA3" w:rsidRDefault="00AC2AA1" w:rsidP="00283F9E">
            <w:pPr>
              <w:spacing w:before="40" w:after="40"/>
              <w:jc w:val="right"/>
              <w:rPr>
                <w:sz w:val="18"/>
              </w:rPr>
            </w:pPr>
            <w:r w:rsidRPr="00B02BA3">
              <w:rPr>
                <w:sz w:val="18"/>
              </w:rPr>
              <w:t>—</w:t>
            </w:r>
          </w:p>
        </w:tc>
        <w:tc>
          <w:tcPr>
            <w:tcW w:w="236" w:type="dxa"/>
            <w:vAlign w:val="bottom"/>
          </w:tcPr>
          <w:p w14:paraId="2BEB397E" w14:textId="77777777" w:rsidR="00AC2AA1" w:rsidRPr="00B02BA3" w:rsidRDefault="00AC2AA1" w:rsidP="00283F9E">
            <w:pPr>
              <w:spacing w:before="40" w:after="40"/>
              <w:rPr>
                <w:sz w:val="18"/>
              </w:rPr>
            </w:pPr>
          </w:p>
        </w:tc>
      </w:tr>
      <w:tr w:rsidR="00AC2AA1" w:rsidRPr="00B02BA3" w14:paraId="3B5C4E5C" w14:textId="77777777" w:rsidTr="00AC2AA1">
        <w:tc>
          <w:tcPr>
            <w:tcW w:w="3156" w:type="dxa"/>
            <w:vAlign w:val="bottom"/>
          </w:tcPr>
          <w:p w14:paraId="539A3217" w14:textId="77777777" w:rsidR="00AC2AA1" w:rsidRPr="00B02BA3" w:rsidRDefault="00AC2AA1" w:rsidP="00283F9E">
            <w:pPr>
              <w:tabs>
                <w:tab w:val="right" w:leader="dot" w:pos="3163"/>
              </w:tabs>
              <w:bidi/>
              <w:spacing w:before="40" w:after="40"/>
              <w:ind w:firstLine="407"/>
              <w:rPr>
                <w:sz w:val="18"/>
              </w:rPr>
            </w:pPr>
            <w:r w:rsidRPr="003D0326">
              <w:rPr>
                <w:rFonts w:hint="cs"/>
                <w:sz w:val="14"/>
                <w:szCs w:val="16"/>
                <w:rtl/>
              </w:rPr>
              <w:t>مستحقات ضريبة الدخل</w:t>
            </w:r>
            <w:r w:rsidRPr="003D0326">
              <w:rPr>
                <w:sz w:val="14"/>
                <w:szCs w:val="16"/>
              </w:rPr>
              <w:tab/>
            </w:r>
          </w:p>
        </w:tc>
        <w:tc>
          <w:tcPr>
            <w:tcW w:w="282" w:type="dxa"/>
            <w:vAlign w:val="bottom"/>
          </w:tcPr>
          <w:p w14:paraId="5D808448" w14:textId="77777777" w:rsidR="00AC2AA1" w:rsidRPr="00B02BA3" w:rsidRDefault="00AC2AA1" w:rsidP="00283F9E">
            <w:pPr>
              <w:spacing w:before="40" w:after="40"/>
              <w:rPr>
                <w:sz w:val="18"/>
              </w:rPr>
            </w:pPr>
          </w:p>
        </w:tc>
        <w:tc>
          <w:tcPr>
            <w:tcW w:w="1132" w:type="dxa"/>
            <w:vAlign w:val="bottom"/>
          </w:tcPr>
          <w:p w14:paraId="265F9586" w14:textId="77777777" w:rsidR="00AC2AA1" w:rsidRPr="00B02BA3" w:rsidRDefault="00AC2AA1" w:rsidP="00283F9E">
            <w:pPr>
              <w:spacing w:before="40" w:after="40"/>
              <w:jc w:val="right"/>
              <w:rPr>
                <w:sz w:val="18"/>
              </w:rPr>
            </w:pPr>
            <w:r>
              <w:rPr>
                <w:sz w:val="18"/>
              </w:rPr>
              <w:t>0.5</w:t>
            </w:r>
          </w:p>
        </w:tc>
        <w:tc>
          <w:tcPr>
            <w:tcW w:w="282" w:type="dxa"/>
            <w:vAlign w:val="bottom"/>
          </w:tcPr>
          <w:p w14:paraId="3BF80794" w14:textId="77777777" w:rsidR="00AC2AA1" w:rsidRPr="00B02BA3" w:rsidRDefault="00AC2AA1" w:rsidP="00283F9E">
            <w:pPr>
              <w:spacing w:before="40" w:after="40"/>
              <w:rPr>
                <w:sz w:val="18"/>
              </w:rPr>
            </w:pPr>
          </w:p>
        </w:tc>
        <w:tc>
          <w:tcPr>
            <w:tcW w:w="1132" w:type="dxa"/>
            <w:vAlign w:val="bottom"/>
          </w:tcPr>
          <w:p w14:paraId="354780B3" w14:textId="77777777" w:rsidR="00AC2AA1" w:rsidRPr="00B02BA3" w:rsidRDefault="00AC2AA1" w:rsidP="00283F9E">
            <w:pPr>
              <w:spacing w:before="40" w:after="40"/>
              <w:jc w:val="right"/>
              <w:rPr>
                <w:sz w:val="18"/>
              </w:rPr>
            </w:pPr>
            <w:r>
              <w:rPr>
                <w:sz w:val="18"/>
              </w:rPr>
              <w:t>0.2</w:t>
            </w:r>
          </w:p>
        </w:tc>
        <w:tc>
          <w:tcPr>
            <w:tcW w:w="282" w:type="dxa"/>
            <w:vAlign w:val="bottom"/>
          </w:tcPr>
          <w:p w14:paraId="132114E4" w14:textId="77777777" w:rsidR="00AC2AA1" w:rsidRPr="00B02BA3" w:rsidRDefault="00AC2AA1" w:rsidP="00283F9E">
            <w:pPr>
              <w:spacing w:before="40" w:after="40"/>
              <w:rPr>
                <w:sz w:val="18"/>
              </w:rPr>
            </w:pPr>
          </w:p>
        </w:tc>
        <w:tc>
          <w:tcPr>
            <w:tcW w:w="1132" w:type="dxa"/>
          </w:tcPr>
          <w:p w14:paraId="772B3BB4" w14:textId="77777777" w:rsidR="00AC2AA1" w:rsidRPr="00B02BA3" w:rsidRDefault="00AC2AA1" w:rsidP="00283F9E">
            <w:pPr>
              <w:spacing w:before="40" w:after="40"/>
              <w:jc w:val="right"/>
              <w:rPr>
                <w:sz w:val="18"/>
              </w:rPr>
            </w:pPr>
            <w:r w:rsidRPr="00B02BA3">
              <w:t>—</w:t>
            </w:r>
          </w:p>
        </w:tc>
        <w:tc>
          <w:tcPr>
            <w:tcW w:w="282" w:type="dxa"/>
            <w:vAlign w:val="bottom"/>
          </w:tcPr>
          <w:p w14:paraId="509E502A" w14:textId="77777777" w:rsidR="00AC2AA1" w:rsidRPr="00B02BA3" w:rsidRDefault="00AC2AA1" w:rsidP="00283F9E">
            <w:pPr>
              <w:spacing w:before="40" w:after="40"/>
              <w:rPr>
                <w:sz w:val="18"/>
              </w:rPr>
            </w:pPr>
          </w:p>
        </w:tc>
        <w:tc>
          <w:tcPr>
            <w:tcW w:w="1132" w:type="dxa"/>
          </w:tcPr>
          <w:p w14:paraId="64764B20" w14:textId="2EC915D3" w:rsidR="00AC2AA1" w:rsidRPr="00B02BA3" w:rsidRDefault="00AC2AA1" w:rsidP="00283F9E">
            <w:pPr>
              <w:spacing w:before="40" w:after="40"/>
              <w:jc w:val="right"/>
              <w:rPr>
                <w:sz w:val="18"/>
              </w:rPr>
            </w:pPr>
            <w:r>
              <w:rPr>
                <w:sz w:val="18"/>
              </w:rPr>
              <w:t>0.</w:t>
            </w:r>
            <w:r w:rsidR="006C4FA0">
              <w:rPr>
                <w:sz w:val="18"/>
              </w:rPr>
              <w:t>0</w:t>
            </w:r>
          </w:p>
        </w:tc>
        <w:tc>
          <w:tcPr>
            <w:tcW w:w="236" w:type="dxa"/>
            <w:vAlign w:val="bottom"/>
          </w:tcPr>
          <w:p w14:paraId="292CEBBC" w14:textId="77777777" w:rsidR="00AC2AA1" w:rsidRPr="00B02BA3" w:rsidRDefault="00AC2AA1" w:rsidP="00283F9E">
            <w:pPr>
              <w:spacing w:before="40" w:after="40"/>
              <w:rPr>
                <w:sz w:val="18"/>
              </w:rPr>
            </w:pPr>
          </w:p>
        </w:tc>
      </w:tr>
      <w:tr w:rsidR="00AC2AA1" w:rsidRPr="00B02BA3" w14:paraId="263E4A09" w14:textId="77777777" w:rsidTr="00AC2AA1">
        <w:tc>
          <w:tcPr>
            <w:tcW w:w="3156" w:type="dxa"/>
            <w:vAlign w:val="bottom"/>
          </w:tcPr>
          <w:p w14:paraId="5F36E8B3" w14:textId="77777777" w:rsidR="00AC2AA1" w:rsidRPr="00B02BA3" w:rsidRDefault="00AC2AA1" w:rsidP="00283F9E">
            <w:pPr>
              <w:tabs>
                <w:tab w:val="right" w:leader="dot" w:pos="3163"/>
              </w:tabs>
              <w:bidi/>
              <w:spacing w:before="40" w:after="40"/>
              <w:ind w:firstLine="407"/>
              <w:rPr>
                <w:sz w:val="18"/>
              </w:rPr>
            </w:pPr>
            <w:r w:rsidRPr="003D0326">
              <w:rPr>
                <w:rFonts w:hint="cs"/>
                <w:sz w:val="14"/>
                <w:szCs w:val="16"/>
                <w:rtl/>
              </w:rPr>
              <w:t>التزامات الإيجار</w:t>
            </w:r>
            <w:r w:rsidRPr="003D0326">
              <w:rPr>
                <w:sz w:val="14"/>
                <w:szCs w:val="16"/>
              </w:rPr>
              <w:tab/>
            </w:r>
          </w:p>
        </w:tc>
        <w:tc>
          <w:tcPr>
            <w:tcW w:w="282" w:type="dxa"/>
            <w:vAlign w:val="bottom"/>
          </w:tcPr>
          <w:p w14:paraId="588A0D97" w14:textId="77777777" w:rsidR="00AC2AA1" w:rsidRPr="00B02BA3" w:rsidRDefault="00AC2AA1" w:rsidP="00283F9E">
            <w:pPr>
              <w:spacing w:before="40" w:after="40"/>
              <w:rPr>
                <w:sz w:val="18"/>
              </w:rPr>
            </w:pPr>
          </w:p>
        </w:tc>
        <w:tc>
          <w:tcPr>
            <w:tcW w:w="1132" w:type="dxa"/>
            <w:vAlign w:val="bottom"/>
          </w:tcPr>
          <w:p w14:paraId="43384FA5" w14:textId="77777777" w:rsidR="00AC2AA1" w:rsidRPr="00B02BA3" w:rsidRDefault="00AC2AA1" w:rsidP="00283F9E">
            <w:pPr>
              <w:spacing w:before="40" w:after="40"/>
              <w:jc w:val="right"/>
              <w:rPr>
                <w:sz w:val="18"/>
              </w:rPr>
            </w:pPr>
            <w:r w:rsidRPr="00B02BA3">
              <w:rPr>
                <w:sz w:val="18"/>
              </w:rPr>
              <w:t>44</w:t>
            </w:r>
            <w:r>
              <w:rPr>
                <w:sz w:val="18"/>
              </w:rPr>
              <w:t>.9</w:t>
            </w:r>
          </w:p>
        </w:tc>
        <w:tc>
          <w:tcPr>
            <w:tcW w:w="282" w:type="dxa"/>
            <w:vAlign w:val="bottom"/>
          </w:tcPr>
          <w:p w14:paraId="62543518" w14:textId="77777777" w:rsidR="00AC2AA1" w:rsidRPr="00B02BA3" w:rsidRDefault="00AC2AA1" w:rsidP="00283F9E">
            <w:pPr>
              <w:spacing w:before="40" w:after="40"/>
              <w:rPr>
                <w:sz w:val="18"/>
              </w:rPr>
            </w:pPr>
          </w:p>
        </w:tc>
        <w:tc>
          <w:tcPr>
            <w:tcW w:w="1132" w:type="dxa"/>
            <w:vAlign w:val="bottom"/>
          </w:tcPr>
          <w:p w14:paraId="5385D6D9" w14:textId="77777777" w:rsidR="00AC2AA1" w:rsidRPr="00B02BA3" w:rsidRDefault="00AC2AA1" w:rsidP="00283F9E">
            <w:pPr>
              <w:spacing w:before="40" w:after="40"/>
              <w:jc w:val="right"/>
              <w:rPr>
                <w:sz w:val="18"/>
              </w:rPr>
            </w:pPr>
            <w:r w:rsidRPr="00B02BA3">
              <w:rPr>
                <w:sz w:val="18"/>
              </w:rPr>
              <w:t>83</w:t>
            </w:r>
            <w:r>
              <w:rPr>
                <w:sz w:val="18"/>
              </w:rPr>
              <w:t>.9</w:t>
            </w:r>
          </w:p>
        </w:tc>
        <w:tc>
          <w:tcPr>
            <w:tcW w:w="282" w:type="dxa"/>
            <w:vAlign w:val="bottom"/>
          </w:tcPr>
          <w:p w14:paraId="509029B5" w14:textId="77777777" w:rsidR="00AC2AA1" w:rsidRPr="00B02BA3" w:rsidRDefault="00AC2AA1" w:rsidP="00283F9E">
            <w:pPr>
              <w:spacing w:before="40" w:after="40"/>
              <w:rPr>
                <w:sz w:val="18"/>
              </w:rPr>
            </w:pPr>
          </w:p>
        </w:tc>
        <w:tc>
          <w:tcPr>
            <w:tcW w:w="1132" w:type="dxa"/>
          </w:tcPr>
          <w:p w14:paraId="459CEDA7" w14:textId="77777777" w:rsidR="00AC2AA1" w:rsidRPr="00B02BA3" w:rsidRDefault="00AC2AA1" w:rsidP="00283F9E">
            <w:pPr>
              <w:spacing w:before="40" w:after="40"/>
              <w:jc w:val="right"/>
              <w:rPr>
                <w:sz w:val="18"/>
              </w:rPr>
            </w:pPr>
            <w:r w:rsidRPr="00B02BA3">
              <w:rPr>
                <w:sz w:val="18"/>
              </w:rPr>
              <w:t>219</w:t>
            </w:r>
            <w:r>
              <w:rPr>
                <w:sz w:val="18"/>
              </w:rPr>
              <w:t>.3</w:t>
            </w:r>
          </w:p>
        </w:tc>
        <w:tc>
          <w:tcPr>
            <w:tcW w:w="282" w:type="dxa"/>
            <w:vAlign w:val="bottom"/>
          </w:tcPr>
          <w:p w14:paraId="305604E6" w14:textId="77777777" w:rsidR="00AC2AA1" w:rsidRPr="00B02BA3" w:rsidRDefault="00AC2AA1" w:rsidP="00283F9E">
            <w:pPr>
              <w:spacing w:before="40" w:after="40"/>
              <w:rPr>
                <w:sz w:val="18"/>
              </w:rPr>
            </w:pPr>
          </w:p>
        </w:tc>
        <w:tc>
          <w:tcPr>
            <w:tcW w:w="1132" w:type="dxa"/>
          </w:tcPr>
          <w:p w14:paraId="6F06AE3D" w14:textId="77777777" w:rsidR="00AC2AA1" w:rsidRPr="00B02BA3" w:rsidRDefault="00A67AED" w:rsidP="00283F9E">
            <w:pPr>
              <w:spacing w:before="40" w:after="40"/>
              <w:jc w:val="right"/>
              <w:rPr>
                <w:sz w:val="18"/>
              </w:rPr>
            </w:pPr>
            <w:r>
              <w:rPr>
                <w:sz w:val="18"/>
              </w:rPr>
              <w:t>205.5</w:t>
            </w:r>
          </w:p>
        </w:tc>
        <w:tc>
          <w:tcPr>
            <w:tcW w:w="236" w:type="dxa"/>
            <w:vAlign w:val="bottom"/>
          </w:tcPr>
          <w:p w14:paraId="6E574D53" w14:textId="77777777" w:rsidR="00AC2AA1" w:rsidRPr="00B02BA3" w:rsidRDefault="00AC2AA1" w:rsidP="00283F9E">
            <w:pPr>
              <w:spacing w:before="40" w:after="40"/>
              <w:rPr>
                <w:sz w:val="18"/>
              </w:rPr>
            </w:pPr>
          </w:p>
        </w:tc>
      </w:tr>
      <w:tr w:rsidR="00AC2AA1" w:rsidRPr="00B02BA3" w14:paraId="4097B133" w14:textId="77777777" w:rsidTr="00AC2AA1">
        <w:tc>
          <w:tcPr>
            <w:tcW w:w="3156" w:type="dxa"/>
            <w:vAlign w:val="bottom"/>
          </w:tcPr>
          <w:p w14:paraId="3EAB0FDD" w14:textId="77777777" w:rsidR="00AC2AA1" w:rsidRPr="00B02BA3" w:rsidRDefault="00AC2AA1" w:rsidP="00283F9E">
            <w:pPr>
              <w:tabs>
                <w:tab w:val="right" w:leader="dot" w:pos="3163"/>
              </w:tabs>
              <w:bidi/>
              <w:spacing w:before="40" w:after="40"/>
              <w:ind w:firstLine="407"/>
              <w:rPr>
                <w:sz w:val="18"/>
              </w:rPr>
            </w:pPr>
            <w:r w:rsidRPr="003D0326">
              <w:rPr>
                <w:rFonts w:hint="cs"/>
                <w:sz w:val="14"/>
                <w:szCs w:val="16"/>
                <w:rtl/>
              </w:rPr>
              <w:t>الالتزامات التعاقدية</w:t>
            </w:r>
            <w:r w:rsidRPr="003D0326">
              <w:rPr>
                <w:sz w:val="14"/>
                <w:szCs w:val="16"/>
              </w:rPr>
              <w:tab/>
            </w:r>
          </w:p>
        </w:tc>
        <w:tc>
          <w:tcPr>
            <w:tcW w:w="282" w:type="dxa"/>
            <w:vAlign w:val="bottom"/>
          </w:tcPr>
          <w:p w14:paraId="438C6DE6" w14:textId="77777777" w:rsidR="00AC2AA1" w:rsidRPr="00B02BA3" w:rsidRDefault="00AC2AA1" w:rsidP="00283F9E">
            <w:pPr>
              <w:spacing w:before="40" w:after="40"/>
              <w:rPr>
                <w:sz w:val="18"/>
              </w:rPr>
            </w:pPr>
          </w:p>
        </w:tc>
        <w:tc>
          <w:tcPr>
            <w:tcW w:w="1132" w:type="dxa"/>
            <w:tcBorders>
              <w:bottom w:val="single" w:sz="4" w:space="0" w:color="auto"/>
            </w:tcBorders>
            <w:vAlign w:val="bottom"/>
          </w:tcPr>
          <w:p w14:paraId="7D60D782" w14:textId="77777777" w:rsidR="00AC2AA1" w:rsidRPr="00B02BA3" w:rsidRDefault="00AC2AA1" w:rsidP="00283F9E">
            <w:pPr>
              <w:spacing w:before="40" w:after="40"/>
              <w:jc w:val="right"/>
              <w:rPr>
                <w:sz w:val="18"/>
              </w:rPr>
            </w:pPr>
            <w:r w:rsidRPr="00B02BA3">
              <w:rPr>
                <w:sz w:val="18"/>
              </w:rPr>
              <w:t>4</w:t>
            </w:r>
            <w:r>
              <w:rPr>
                <w:sz w:val="18"/>
              </w:rPr>
              <w:t>.9</w:t>
            </w:r>
          </w:p>
        </w:tc>
        <w:tc>
          <w:tcPr>
            <w:tcW w:w="282" w:type="dxa"/>
            <w:vAlign w:val="bottom"/>
          </w:tcPr>
          <w:p w14:paraId="073896F5" w14:textId="77777777" w:rsidR="00AC2AA1" w:rsidRPr="00B02BA3" w:rsidRDefault="00AC2AA1" w:rsidP="00283F9E">
            <w:pPr>
              <w:spacing w:before="40" w:after="40"/>
              <w:rPr>
                <w:sz w:val="18"/>
              </w:rPr>
            </w:pPr>
          </w:p>
        </w:tc>
        <w:tc>
          <w:tcPr>
            <w:tcW w:w="1132" w:type="dxa"/>
            <w:tcBorders>
              <w:bottom w:val="single" w:sz="4" w:space="0" w:color="auto"/>
            </w:tcBorders>
            <w:vAlign w:val="bottom"/>
          </w:tcPr>
          <w:p w14:paraId="2103EAE1" w14:textId="77777777" w:rsidR="00AC2AA1" w:rsidRPr="00B02BA3" w:rsidRDefault="00AC2AA1" w:rsidP="00283F9E">
            <w:pPr>
              <w:spacing w:before="40" w:after="40"/>
              <w:jc w:val="right"/>
              <w:rPr>
                <w:sz w:val="18"/>
              </w:rPr>
            </w:pPr>
            <w:r w:rsidRPr="00B02BA3">
              <w:rPr>
                <w:sz w:val="18"/>
              </w:rPr>
              <w:t>7</w:t>
            </w:r>
            <w:r>
              <w:rPr>
                <w:sz w:val="18"/>
              </w:rPr>
              <w:t>.7</w:t>
            </w:r>
          </w:p>
        </w:tc>
        <w:tc>
          <w:tcPr>
            <w:tcW w:w="282" w:type="dxa"/>
            <w:vAlign w:val="bottom"/>
          </w:tcPr>
          <w:p w14:paraId="2E568438" w14:textId="77777777" w:rsidR="00AC2AA1" w:rsidRPr="00B02BA3" w:rsidRDefault="00AC2AA1" w:rsidP="00283F9E">
            <w:pPr>
              <w:spacing w:before="40" w:after="40"/>
              <w:rPr>
                <w:sz w:val="18"/>
              </w:rPr>
            </w:pPr>
          </w:p>
        </w:tc>
        <w:tc>
          <w:tcPr>
            <w:tcW w:w="1132" w:type="dxa"/>
            <w:tcBorders>
              <w:bottom w:val="single" w:sz="4" w:space="0" w:color="auto"/>
            </w:tcBorders>
          </w:tcPr>
          <w:p w14:paraId="481B20F3" w14:textId="77777777" w:rsidR="00AC2AA1" w:rsidRPr="00B02BA3" w:rsidRDefault="00AC2AA1" w:rsidP="00283F9E">
            <w:pPr>
              <w:spacing w:before="40" w:after="40"/>
              <w:jc w:val="right"/>
              <w:rPr>
                <w:sz w:val="18"/>
              </w:rPr>
            </w:pPr>
            <w:r w:rsidRPr="00B02BA3">
              <w:rPr>
                <w:sz w:val="18"/>
              </w:rPr>
              <w:t>33</w:t>
            </w:r>
            <w:r>
              <w:rPr>
                <w:sz w:val="18"/>
              </w:rPr>
              <w:t>.0</w:t>
            </w:r>
          </w:p>
        </w:tc>
        <w:tc>
          <w:tcPr>
            <w:tcW w:w="282" w:type="dxa"/>
            <w:vAlign w:val="bottom"/>
          </w:tcPr>
          <w:p w14:paraId="53CBE47D" w14:textId="77777777" w:rsidR="00AC2AA1" w:rsidRPr="00B02BA3" w:rsidRDefault="00AC2AA1" w:rsidP="00283F9E">
            <w:pPr>
              <w:spacing w:before="40" w:after="40"/>
              <w:rPr>
                <w:sz w:val="18"/>
              </w:rPr>
            </w:pPr>
          </w:p>
        </w:tc>
        <w:tc>
          <w:tcPr>
            <w:tcW w:w="1132" w:type="dxa"/>
            <w:tcBorders>
              <w:bottom w:val="single" w:sz="4" w:space="0" w:color="auto"/>
            </w:tcBorders>
          </w:tcPr>
          <w:p w14:paraId="500983EC" w14:textId="77777777" w:rsidR="00AC2AA1" w:rsidRPr="00B02BA3" w:rsidRDefault="00AC2AA1" w:rsidP="00283F9E">
            <w:pPr>
              <w:spacing w:before="40" w:after="40"/>
              <w:jc w:val="right"/>
              <w:rPr>
                <w:sz w:val="18"/>
              </w:rPr>
            </w:pPr>
            <w:r>
              <w:rPr>
                <w:sz w:val="18"/>
              </w:rPr>
              <w:t>39.9</w:t>
            </w:r>
          </w:p>
        </w:tc>
        <w:tc>
          <w:tcPr>
            <w:tcW w:w="236" w:type="dxa"/>
            <w:vAlign w:val="bottom"/>
          </w:tcPr>
          <w:p w14:paraId="1816DFE2" w14:textId="77777777" w:rsidR="00AC2AA1" w:rsidRPr="00B02BA3" w:rsidRDefault="00AC2AA1" w:rsidP="00283F9E">
            <w:pPr>
              <w:spacing w:before="40" w:after="40"/>
              <w:rPr>
                <w:sz w:val="18"/>
              </w:rPr>
            </w:pPr>
          </w:p>
        </w:tc>
      </w:tr>
      <w:tr w:rsidR="00B9719E" w:rsidRPr="00B02BA3" w14:paraId="6A86EA62" w14:textId="77777777" w:rsidTr="00AC2AA1">
        <w:tc>
          <w:tcPr>
            <w:tcW w:w="3156" w:type="dxa"/>
            <w:vAlign w:val="bottom"/>
          </w:tcPr>
          <w:p w14:paraId="1675D20A" w14:textId="77777777" w:rsidR="00B9719E" w:rsidRPr="00B02BA3" w:rsidRDefault="00B9719E" w:rsidP="00B9719E">
            <w:pPr>
              <w:tabs>
                <w:tab w:val="right" w:leader="dot" w:pos="3163"/>
              </w:tabs>
              <w:bidi/>
              <w:spacing w:before="40" w:after="40"/>
              <w:ind w:firstLine="407"/>
              <w:rPr>
                <w:b/>
                <w:bCs/>
                <w:sz w:val="18"/>
              </w:rPr>
            </w:pPr>
            <w:r w:rsidRPr="003D0326">
              <w:rPr>
                <w:rFonts w:hint="cs"/>
                <w:b/>
                <w:bCs/>
                <w:sz w:val="14"/>
                <w:szCs w:val="16"/>
                <w:rtl/>
              </w:rPr>
              <w:t>إجمالي الخصوم المتداولة</w:t>
            </w:r>
            <w:r w:rsidRPr="003D0326">
              <w:rPr>
                <w:sz w:val="14"/>
                <w:szCs w:val="16"/>
              </w:rPr>
              <w:tab/>
            </w:r>
          </w:p>
        </w:tc>
        <w:tc>
          <w:tcPr>
            <w:tcW w:w="282" w:type="dxa"/>
            <w:vAlign w:val="bottom"/>
          </w:tcPr>
          <w:p w14:paraId="41077B4F" w14:textId="77777777" w:rsidR="00B9719E" w:rsidRPr="00B02BA3" w:rsidRDefault="00B9719E" w:rsidP="00B9719E">
            <w:pPr>
              <w:spacing w:before="40" w:after="40"/>
              <w:rPr>
                <w:sz w:val="18"/>
              </w:rPr>
            </w:pPr>
          </w:p>
        </w:tc>
        <w:tc>
          <w:tcPr>
            <w:tcW w:w="1132" w:type="dxa"/>
            <w:tcBorders>
              <w:top w:val="single" w:sz="4" w:space="0" w:color="auto"/>
              <w:bottom w:val="single" w:sz="4" w:space="0" w:color="auto"/>
            </w:tcBorders>
            <w:vAlign w:val="bottom"/>
          </w:tcPr>
          <w:p w14:paraId="57126FF2" w14:textId="77777777" w:rsidR="00B9719E" w:rsidRPr="00B02BA3" w:rsidRDefault="00B9719E" w:rsidP="00B9719E">
            <w:pPr>
              <w:spacing w:before="40" w:after="40"/>
              <w:jc w:val="right"/>
              <w:rPr>
                <w:sz w:val="18"/>
              </w:rPr>
            </w:pPr>
            <w:r w:rsidRPr="00B02BA3">
              <w:rPr>
                <w:sz w:val="18"/>
              </w:rPr>
              <w:t>421</w:t>
            </w:r>
            <w:r>
              <w:rPr>
                <w:sz w:val="18"/>
              </w:rPr>
              <w:t>.3</w:t>
            </w:r>
          </w:p>
        </w:tc>
        <w:tc>
          <w:tcPr>
            <w:tcW w:w="282" w:type="dxa"/>
            <w:vAlign w:val="bottom"/>
          </w:tcPr>
          <w:p w14:paraId="795D867B" w14:textId="77777777" w:rsidR="00B9719E" w:rsidRPr="00B02BA3" w:rsidRDefault="00B9719E" w:rsidP="00B9719E">
            <w:pPr>
              <w:spacing w:before="40" w:after="40"/>
              <w:rPr>
                <w:sz w:val="18"/>
              </w:rPr>
            </w:pPr>
          </w:p>
        </w:tc>
        <w:tc>
          <w:tcPr>
            <w:tcW w:w="1132" w:type="dxa"/>
            <w:tcBorders>
              <w:top w:val="single" w:sz="4" w:space="0" w:color="auto"/>
              <w:bottom w:val="single" w:sz="4" w:space="0" w:color="auto"/>
            </w:tcBorders>
            <w:vAlign w:val="bottom"/>
          </w:tcPr>
          <w:p w14:paraId="13FD0849" w14:textId="77777777" w:rsidR="00B9719E" w:rsidRPr="00B02BA3" w:rsidRDefault="00B9719E" w:rsidP="00B9719E">
            <w:pPr>
              <w:spacing w:before="40" w:after="40"/>
              <w:jc w:val="right"/>
              <w:rPr>
                <w:sz w:val="18"/>
              </w:rPr>
            </w:pPr>
            <w:r w:rsidRPr="00B02BA3">
              <w:rPr>
                <w:sz w:val="18"/>
              </w:rPr>
              <w:t>335</w:t>
            </w:r>
            <w:r>
              <w:rPr>
                <w:sz w:val="18"/>
              </w:rPr>
              <w:t>.2</w:t>
            </w:r>
          </w:p>
        </w:tc>
        <w:tc>
          <w:tcPr>
            <w:tcW w:w="282" w:type="dxa"/>
            <w:vAlign w:val="bottom"/>
          </w:tcPr>
          <w:p w14:paraId="6D3385B3" w14:textId="77777777" w:rsidR="00B9719E" w:rsidRPr="00B02BA3" w:rsidRDefault="00B9719E" w:rsidP="00B9719E">
            <w:pPr>
              <w:spacing w:before="40" w:after="40"/>
              <w:rPr>
                <w:sz w:val="18"/>
              </w:rPr>
            </w:pPr>
          </w:p>
        </w:tc>
        <w:tc>
          <w:tcPr>
            <w:tcW w:w="1132" w:type="dxa"/>
            <w:tcBorders>
              <w:top w:val="single" w:sz="4" w:space="0" w:color="auto"/>
              <w:bottom w:val="single" w:sz="4" w:space="0" w:color="auto"/>
            </w:tcBorders>
          </w:tcPr>
          <w:p w14:paraId="6C9D122B" w14:textId="77777777" w:rsidR="00B9719E" w:rsidRPr="00B02BA3" w:rsidRDefault="00B9719E" w:rsidP="00B9719E">
            <w:pPr>
              <w:spacing w:before="40" w:after="40"/>
              <w:jc w:val="right"/>
              <w:rPr>
                <w:sz w:val="18"/>
              </w:rPr>
            </w:pPr>
            <w:r w:rsidRPr="00B02BA3">
              <w:rPr>
                <w:sz w:val="18"/>
              </w:rPr>
              <w:t>539</w:t>
            </w:r>
            <w:r>
              <w:rPr>
                <w:sz w:val="18"/>
              </w:rPr>
              <w:t>.6</w:t>
            </w:r>
          </w:p>
        </w:tc>
        <w:tc>
          <w:tcPr>
            <w:tcW w:w="282" w:type="dxa"/>
            <w:vAlign w:val="bottom"/>
          </w:tcPr>
          <w:p w14:paraId="60CEFC6C" w14:textId="77777777" w:rsidR="00B9719E" w:rsidRPr="00B02BA3" w:rsidRDefault="00B9719E" w:rsidP="00B9719E">
            <w:pPr>
              <w:spacing w:before="40" w:after="40"/>
              <w:rPr>
                <w:sz w:val="18"/>
              </w:rPr>
            </w:pPr>
          </w:p>
        </w:tc>
        <w:tc>
          <w:tcPr>
            <w:tcW w:w="1132" w:type="dxa"/>
            <w:tcBorders>
              <w:top w:val="single" w:sz="4" w:space="0" w:color="auto"/>
              <w:bottom w:val="single" w:sz="4" w:space="0" w:color="auto"/>
            </w:tcBorders>
          </w:tcPr>
          <w:p w14:paraId="7FB69E5C" w14:textId="77777777" w:rsidR="00B9719E" w:rsidRPr="00B02BA3" w:rsidRDefault="00A67AED" w:rsidP="00B9719E">
            <w:pPr>
              <w:spacing w:before="40" w:after="40"/>
              <w:jc w:val="right"/>
              <w:rPr>
                <w:sz w:val="18"/>
              </w:rPr>
            </w:pPr>
            <w:r>
              <w:rPr>
                <w:sz w:val="18"/>
              </w:rPr>
              <w:t>440</w:t>
            </w:r>
            <w:r w:rsidR="00B9719E">
              <w:rPr>
                <w:sz w:val="18"/>
              </w:rPr>
              <w:t>.8</w:t>
            </w:r>
          </w:p>
        </w:tc>
        <w:tc>
          <w:tcPr>
            <w:tcW w:w="236" w:type="dxa"/>
            <w:vAlign w:val="bottom"/>
          </w:tcPr>
          <w:p w14:paraId="1BE63B8A" w14:textId="77777777" w:rsidR="00B9719E" w:rsidRPr="00B02BA3" w:rsidRDefault="00B9719E" w:rsidP="00B9719E">
            <w:pPr>
              <w:spacing w:before="40" w:after="40"/>
              <w:rPr>
                <w:sz w:val="18"/>
              </w:rPr>
            </w:pPr>
          </w:p>
        </w:tc>
      </w:tr>
      <w:tr w:rsidR="00B30C5E" w:rsidRPr="00B02BA3" w14:paraId="72B0D331" w14:textId="77777777" w:rsidTr="00AC2AA1">
        <w:tc>
          <w:tcPr>
            <w:tcW w:w="3156" w:type="dxa"/>
            <w:vAlign w:val="bottom"/>
          </w:tcPr>
          <w:p w14:paraId="54DA95DB" w14:textId="77777777" w:rsidR="00B30C5E" w:rsidRPr="00B02BA3" w:rsidRDefault="00B30C5E" w:rsidP="00B30C5E">
            <w:pPr>
              <w:tabs>
                <w:tab w:val="right" w:leader="dot" w:pos="3163"/>
              </w:tabs>
              <w:bidi/>
              <w:spacing w:before="40" w:after="40"/>
              <w:rPr>
                <w:b/>
                <w:bCs/>
                <w:sz w:val="18"/>
              </w:rPr>
            </w:pPr>
            <w:r w:rsidRPr="003D0326">
              <w:rPr>
                <w:rFonts w:hint="cs"/>
                <w:b/>
                <w:bCs/>
                <w:sz w:val="14"/>
                <w:szCs w:val="16"/>
                <w:rtl/>
              </w:rPr>
              <w:t>إجمالي الخصوم</w:t>
            </w:r>
            <w:r w:rsidRPr="003D0326">
              <w:rPr>
                <w:sz w:val="14"/>
                <w:szCs w:val="16"/>
              </w:rPr>
              <w:tab/>
            </w:r>
          </w:p>
        </w:tc>
        <w:tc>
          <w:tcPr>
            <w:tcW w:w="282" w:type="dxa"/>
            <w:vAlign w:val="bottom"/>
          </w:tcPr>
          <w:p w14:paraId="60B3CDBF" w14:textId="77777777" w:rsidR="00B30C5E" w:rsidRPr="00B02BA3" w:rsidRDefault="00B30C5E" w:rsidP="00B30C5E">
            <w:pPr>
              <w:spacing w:before="40" w:after="40"/>
              <w:rPr>
                <w:sz w:val="18"/>
              </w:rPr>
            </w:pPr>
          </w:p>
        </w:tc>
        <w:tc>
          <w:tcPr>
            <w:tcW w:w="1132" w:type="dxa"/>
            <w:tcBorders>
              <w:top w:val="single" w:sz="4" w:space="0" w:color="auto"/>
              <w:bottom w:val="single" w:sz="4" w:space="0" w:color="auto"/>
            </w:tcBorders>
            <w:vAlign w:val="bottom"/>
          </w:tcPr>
          <w:p w14:paraId="6CE8F465" w14:textId="77777777" w:rsidR="00B30C5E" w:rsidRPr="00B02BA3" w:rsidRDefault="00B30C5E" w:rsidP="00B30C5E">
            <w:pPr>
              <w:spacing w:before="40" w:after="40"/>
              <w:jc w:val="right"/>
              <w:rPr>
                <w:sz w:val="18"/>
              </w:rPr>
            </w:pPr>
            <w:r w:rsidRPr="00B02BA3">
              <w:rPr>
                <w:sz w:val="18"/>
              </w:rPr>
              <w:t>1,930</w:t>
            </w:r>
            <w:r>
              <w:rPr>
                <w:sz w:val="18"/>
              </w:rPr>
              <w:t>.8</w:t>
            </w:r>
          </w:p>
        </w:tc>
        <w:tc>
          <w:tcPr>
            <w:tcW w:w="282" w:type="dxa"/>
            <w:vAlign w:val="bottom"/>
          </w:tcPr>
          <w:p w14:paraId="3FF4C8FE" w14:textId="77777777" w:rsidR="00B30C5E" w:rsidRPr="00B02BA3" w:rsidRDefault="00B30C5E" w:rsidP="00B30C5E">
            <w:pPr>
              <w:spacing w:before="40" w:after="40"/>
              <w:rPr>
                <w:sz w:val="18"/>
              </w:rPr>
            </w:pPr>
          </w:p>
        </w:tc>
        <w:tc>
          <w:tcPr>
            <w:tcW w:w="1132" w:type="dxa"/>
            <w:tcBorders>
              <w:top w:val="single" w:sz="4" w:space="0" w:color="auto"/>
              <w:bottom w:val="single" w:sz="4" w:space="0" w:color="auto"/>
            </w:tcBorders>
            <w:vAlign w:val="bottom"/>
          </w:tcPr>
          <w:p w14:paraId="2CCF8D52" w14:textId="77777777" w:rsidR="00B30C5E" w:rsidRPr="00B02BA3" w:rsidRDefault="00B30C5E" w:rsidP="00B30C5E">
            <w:pPr>
              <w:spacing w:before="40" w:after="40"/>
              <w:jc w:val="right"/>
              <w:rPr>
                <w:sz w:val="18"/>
              </w:rPr>
            </w:pPr>
            <w:r w:rsidRPr="00B02BA3">
              <w:rPr>
                <w:sz w:val="18"/>
              </w:rPr>
              <w:t>1,793</w:t>
            </w:r>
            <w:r>
              <w:rPr>
                <w:sz w:val="18"/>
              </w:rPr>
              <w:t>.7</w:t>
            </w:r>
          </w:p>
        </w:tc>
        <w:tc>
          <w:tcPr>
            <w:tcW w:w="282" w:type="dxa"/>
            <w:vAlign w:val="bottom"/>
          </w:tcPr>
          <w:p w14:paraId="316D3C7C" w14:textId="77777777" w:rsidR="00B30C5E" w:rsidRPr="00B02BA3" w:rsidRDefault="00B30C5E" w:rsidP="00B30C5E">
            <w:pPr>
              <w:spacing w:before="40" w:after="40"/>
              <w:rPr>
                <w:sz w:val="18"/>
              </w:rPr>
            </w:pPr>
          </w:p>
        </w:tc>
        <w:tc>
          <w:tcPr>
            <w:tcW w:w="1132" w:type="dxa"/>
            <w:tcBorders>
              <w:top w:val="single" w:sz="4" w:space="0" w:color="auto"/>
              <w:bottom w:val="single" w:sz="4" w:space="0" w:color="auto"/>
            </w:tcBorders>
          </w:tcPr>
          <w:p w14:paraId="46B635A4" w14:textId="77777777" w:rsidR="00B30C5E" w:rsidRPr="00B02BA3" w:rsidRDefault="00B30C5E" w:rsidP="00B30C5E">
            <w:pPr>
              <w:spacing w:before="40" w:after="40"/>
              <w:jc w:val="right"/>
              <w:rPr>
                <w:sz w:val="18"/>
              </w:rPr>
            </w:pPr>
            <w:r w:rsidRPr="00B02BA3">
              <w:rPr>
                <w:sz w:val="18"/>
              </w:rPr>
              <w:t>1,87</w:t>
            </w:r>
            <w:r>
              <w:rPr>
                <w:sz w:val="18"/>
              </w:rPr>
              <w:t>2.1</w:t>
            </w:r>
          </w:p>
        </w:tc>
        <w:tc>
          <w:tcPr>
            <w:tcW w:w="282" w:type="dxa"/>
            <w:vAlign w:val="bottom"/>
          </w:tcPr>
          <w:p w14:paraId="5734B130" w14:textId="77777777" w:rsidR="00B30C5E" w:rsidRPr="00B02BA3" w:rsidRDefault="00B30C5E" w:rsidP="00B30C5E">
            <w:pPr>
              <w:spacing w:before="40" w:after="40"/>
              <w:rPr>
                <w:sz w:val="18"/>
              </w:rPr>
            </w:pPr>
          </w:p>
        </w:tc>
        <w:tc>
          <w:tcPr>
            <w:tcW w:w="1132" w:type="dxa"/>
            <w:tcBorders>
              <w:top w:val="single" w:sz="4" w:space="0" w:color="auto"/>
              <w:bottom w:val="single" w:sz="4" w:space="0" w:color="auto"/>
            </w:tcBorders>
          </w:tcPr>
          <w:p w14:paraId="1B7E6BC3" w14:textId="77777777" w:rsidR="00B30C5E" w:rsidRPr="00B02BA3" w:rsidRDefault="00B30C5E" w:rsidP="00B30C5E">
            <w:pPr>
              <w:spacing w:before="40" w:after="40"/>
              <w:jc w:val="right"/>
              <w:rPr>
                <w:sz w:val="18"/>
              </w:rPr>
            </w:pPr>
            <w:r>
              <w:rPr>
                <w:sz w:val="18"/>
              </w:rPr>
              <w:t>1,</w:t>
            </w:r>
            <w:r w:rsidR="00A67AED">
              <w:rPr>
                <w:sz w:val="18"/>
              </w:rPr>
              <w:t>700.8</w:t>
            </w:r>
          </w:p>
        </w:tc>
        <w:tc>
          <w:tcPr>
            <w:tcW w:w="236" w:type="dxa"/>
            <w:vAlign w:val="bottom"/>
          </w:tcPr>
          <w:p w14:paraId="5BF8CBD7" w14:textId="77777777" w:rsidR="00B30C5E" w:rsidRPr="00B02BA3" w:rsidRDefault="00B30C5E" w:rsidP="00B30C5E">
            <w:pPr>
              <w:spacing w:before="40" w:after="40"/>
              <w:rPr>
                <w:sz w:val="18"/>
              </w:rPr>
            </w:pPr>
          </w:p>
        </w:tc>
      </w:tr>
      <w:tr w:rsidR="00B30C5E" w:rsidRPr="00B02BA3" w14:paraId="62A2C381" w14:textId="77777777" w:rsidTr="00AC2AA1">
        <w:tc>
          <w:tcPr>
            <w:tcW w:w="3156" w:type="dxa"/>
            <w:vAlign w:val="bottom"/>
          </w:tcPr>
          <w:p w14:paraId="04A2E1B6" w14:textId="77777777" w:rsidR="00B30C5E" w:rsidRPr="00B02BA3" w:rsidRDefault="00B30C5E" w:rsidP="00B30C5E">
            <w:pPr>
              <w:tabs>
                <w:tab w:val="right" w:leader="dot" w:pos="3163"/>
              </w:tabs>
              <w:bidi/>
              <w:spacing w:before="40" w:after="40"/>
              <w:rPr>
                <w:b/>
                <w:bCs/>
                <w:sz w:val="18"/>
              </w:rPr>
            </w:pPr>
            <w:r w:rsidRPr="003D0326">
              <w:rPr>
                <w:rFonts w:hint="cs"/>
                <w:b/>
                <w:bCs/>
                <w:sz w:val="14"/>
                <w:szCs w:val="16"/>
                <w:rtl/>
              </w:rPr>
              <w:t>إجمالي الملكية والخصوم</w:t>
            </w:r>
            <w:r w:rsidRPr="003D0326">
              <w:rPr>
                <w:sz w:val="14"/>
                <w:szCs w:val="16"/>
              </w:rPr>
              <w:tab/>
            </w:r>
          </w:p>
        </w:tc>
        <w:tc>
          <w:tcPr>
            <w:tcW w:w="282" w:type="dxa"/>
            <w:vAlign w:val="bottom"/>
          </w:tcPr>
          <w:p w14:paraId="77B9AD99" w14:textId="77777777" w:rsidR="00B30C5E" w:rsidRPr="00B02BA3" w:rsidRDefault="00B30C5E" w:rsidP="00B30C5E">
            <w:pPr>
              <w:spacing w:before="40" w:after="40"/>
              <w:rPr>
                <w:sz w:val="18"/>
              </w:rPr>
            </w:pPr>
          </w:p>
        </w:tc>
        <w:tc>
          <w:tcPr>
            <w:tcW w:w="1132" w:type="dxa"/>
            <w:tcBorders>
              <w:top w:val="single" w:sz="4" w:space="0" w:color="auto"/>
              <w:bottom w:val="double" w:sz="4" w:space="0" w:color="auto"/>
            </w:tcBorders>
            <w:vAlign w:val="bottom"/>
          </w:tcPr>
          <w:p w14:paraId="2945C669" w14:textId="77777777" w:rsidR="00B30C5E" w:rsidRPr="00B02BA3" w:rsidRDefault="00B30C5E" w:rsidP="00B30C5E">
            <w:pPr>
              <w:spacing w:before="40" w:after="40"/>
              <w:jc w:val="right"/>
              <w:rPr>
                <w:sz w:val="18"/>
              </w:rPr>
            </w:pPr>
            <w:r w:rsidRPr="00B02BA3">
              <w:rPr>
                <w:sz w:val="18"/>
              </w:rPr>
              <w:t>2,96</w:t>
            </w:r>
            <w:r>
              <w:rPr>
                <w:sz w:val="18"/>
              </w:rPr>
              <w:t>9.6</w:t>
            </w:r>
          </w:p>
        </w:tc>
        <w:tc>
          <w:tcPr>
            <w:tcW w:w="282" w:type="dxa"/>
            <w:vAlign w:val="bottom"/>
          </w:tcPr>
          <w:p w14:paraId="74D97F7C" w14:textId="77777777" w:rsidR="00B30C5E" w:rsidRPr="00B02BA3" w:rsidRDefault="00B30C5E" w:rsidP="00B30C5E">
            <w:pPr>
              <w:spacing w:before="40" w:after="40"/>
              <w:rPr>
                <w:sz w:val="18"/>
              </w:rPr>
            </w:pPr>
          </w:p>
        </w:tc>
        <w:tc>
          <w:tcPr>
            <w:tcW w:w="1132" w:type="dxa"/>
            <w:tcBorders>
              <w:top w:val="single" w:sz="4" w:space="0" w:color="auto"/>
              <w:bottom w:val="double" w:sz="4" w:space="0" w:color="auto"/>
            </w:tcBorders>
            <w:vAlign w:val="bottom"/>
          </w:tcPr>
          <w:p w14:paraId="56FCB3FA" w14:textId="77777777" w:rsidR="00B30C5E" w:rsidRPr="00B02BA3" w:rsidRDefault="00B30C5E" w:rsidP="00B30C5E">
            <w:pPr>
              <w:spacing w:before="40" w:after="40"/>
              <w:jc w:val="right"/>
              <w:rPr>
                <w:sz w:val="18"/>
              </w:rPr>
            </w:pPr>
            <w:r w:rsidRPr="00B02BA3">
              <w:rPr>
                <w:sz w:val="18"/>
              </w:rPr>
              <w:t>2,972</w:t>
            </w:r>
            <w:r>
              <w:rPr>
                <w:sz w:val="18"/>
              </w:rPr>
              <w:t>.2</w:t>
            </w:r>
          </w:p>
        </w:tc>
        <w:tc>
          <w:tcPr>
            <w:tcW w:w="282" w:type="dxa"/>
            <w:vAlign w:val="bottom"/>
          </w:tcPr>
          <w:p w14:paraId="37916872" w14:textId="77777777" w:rsidR="00B30C5E" w:rsidRPr="00B02BA3" w:rsidRDefault="00B30C5E" w:rsidP="00B30C5E">
            <w:pPr>
              <w:spacing w:before="40" w:after="40"/>
              <w:rPr>
                <w:sz w:val="18"/>
              </w:rPr>
            </w:pPr>
          </w:p>
        </w:tc>
        <w:tc>
          <w:tcPr>
            <w:tcW w:w="1132" w:type="dxa"/>
            <w:tcBorders>
              <w:top w:val="single" w:sz="4" w:space="0" w:color="auto"/>
              <w:bottom w:val="double" w:sz="4" w:space="0" w:color="auto"/>
            </w:tcBorders>
          </w:tcPr>
          <w:p w14:paraId="6060A319" w14:textId="77777777" w:rsidR="00B30C5E" w:rsidRPr="00B02BA3" w:rsidRDefault="00B30C5E" w:rsidP="00B30C5E">
            <w:pPr>
              <w:spacing w:before="40" w:after="40"/>
              <w:jc w:val="right"/>
              <w:rPr>
                <w:sz w:val="18"/>
              </w:rPr>
            </w:pPr>
            <w:r w:rsidRPr="00B02BA3">
              <w:rPr>
                <w:sz w:val="18"/>
              </w:rPr>
              <w:t>3,024</w:t>
            </w:r>
            <w:r>
              <w:rPr>
                <w:sz w:val="18"/>
              </w:rPr>
              <w:t>.9</w:t>
            </w:r>
          </w:p>
        </w:tc>
        <w:tc>
          <w:tcPr>
            <w:tcW w:w="282" w:type="dxa"/>
            <w:vAlign w:val="bottom"/>
          </w:tcPr>
          <w:p w14:paraId="765DCD12" w14:textId="77777777" w:rsidR="00B30C5E" w:rsidRPr="00B02BA3" w:rsidRDefault="00B30C5E" w:rsidP="00B30C5E">
            <w:pPr>
              <w:spacing w:before="40" w:after="40"/>
              <w:rPr>
                <w:sz w:val="18"/>
              </w:rPr>
            </w:pPr>
          </w:p>
        </w:tc>
        <w:tc>
          <w:tcPr>
            <w:tcW w:w="1132" w:type="dxa"/>
            <w:tcBorders>
              <w:top w:val="single" w:sz="4" w:space="0" w:color="auto"/>
              <w:bottom w:val="double" w:sz="4" w:space="0" w:color="auto"/>
            </w:tcBorders>
          </w:tcPr>
          <w:p w14:paraId="07912753" w14:textId="77777777" w:rsidR="00B30C5E" w:rsidRPr="00B02BA3" w:rsidRDefault="00B30C5E" w:rsidP="00B30C5E">
            <w:pPr>
              <w:spacing w:before="40" w:after="40"/>
              <w:jc w:val="right"/>
              <w:rPr>
                <w:sz w:val="18"/>
              </w:rPr>
            </w:pPr>
            <w:r>
              <w:rPr>
                <w:sz w:val="18"/>
              </w:rPr>
              <w:t>2,</w:t>
            </w:r>
            <w:r w:rsidR="00A67AED">
              <w:rPr>
                <w:sz w:val="18"/>
              </w:rPr>
              <w:t>911</w:t>
            </w:r>
            <w:r>
              <w:rPr>
                <w:sz w:val="18"/>
              </w:rPr>
              <w:t>.4</w:t>
            </w:r>
          </w:p>
        </w:tc>
        <w:tc>
          <w:tcPr>
            <w:tcW w:w="236" w:type="dxa"/>
            <w:vAlign w:val="bottom"/>
          </w:tcPr>
          <w:p w14:paraId="669E5153" w14:textId="77777777" w:rsidR="00B30C5E" w:rsidRPr="00B02BA3" w:rsidRDefault="00B30C5E" w:rsidP="00B30C5E">
            <w:pPr>
              <w:spacing w:before="40" w:after="40"/>
              <w:rPr>
                <w:sz w:val="18"/>
              </w:rPr>
            </w:pPr>
          </w:p>
        </w:tc>
      </w:tr>
    </w:tbl>
    <w:p w14:paraId="19330A5A" w14:textId="77777777" w:rsidR="00716721" w:rsidRDefault="00716721" w:rsidP="00716721">
      <w:pPr>
        <w:autoSpaceDE w:val="0"/>
        <w:autoSpaceDN w:val="0"/>
        <w:bidi/>
        <w:adjustRightInd w:val="0"/>
        <w:jc w:val="both"/>
        <w:rPr>
          <w:rFonts w:ascii="Traditional Arabic" w:hAnsi="Traditional Arabic" w:cs="Traditional Arabic"/>
          <w:sz w:val="30"/>
          <w:szCs w:val="30"/>
          <w:rtl/>
          <w:lang w:bidi="ar-EG"/>
        </w:rPr>
      </w:pPr>
    </w:p>
    <w:p w14:paraId="5620D40B" w14:textId="77777777" w:rsidR="00A64D52" w:rsidRDefault="00940F69" w:rsidP="00A64D52">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 xml:space="preserve">_______________ </w:t>
      </w:r>
    </w:p>
    <w:p w14:paraId="4473906C" w14:textId="77777777" w:rsidR="00940F69" w:rsidRDefault="00940F69" w:rsidP="00940F69">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ملاحظة:</w:t>
      </w:r>
    </w:p>
    <w:p w14:paraId="207864B1" w14:textId="77777777" w:rsidR="00940F69" w:rsidRPr="00985281" w:rsidRDefault="00940F69" w:rsidP="00922116">
      <w:pPr>
        <w:pStyle w:val="ListParagraph"/>
        <w:numPr>
          <w:ilvl w:val="0"/>
          <w:numId w:val="49"/>
        </w:numPr>
        <w:autoSpaceDE w:val="0"/>
        <w:autoSpaceDN w:val="0"/>
        <w:bidi/>
        <w:adjustRightInd w:val="0"/>
        <w:jc w:val="both"/>
        <w:rPr>
          <w:rFonts w:ascii="Traditional Arabic" w:hAnsi="Traditional Arabic" w:cs="Traditional Arabic"/>
          <w:sz w:val="24"/>
          <w:rtl/>
          <w:lang w:bidi="ar-EG"/>
        </w:rPr>
      </w:pPr>
      <w:r w:rsidRPr="00985281">
        <w:rPr>
          <w:rFonts w:ascii="Traditional Arabic" w:hAnsi="Traditional Arabic" w:cs="Traditional Arabic" w:hint="eastAsia"/>
          <w:sz w:val="24"/>
          <w:rtl/>
          <w:lang w:bidi="ar-EG"/>
        </w:rPr>
        <w:t>تم</w:t>
      </w:r>
      <w:r w:rsidRPr="00985281">
        <w:rPr>
          <w:rFonts w:ascii="Traditional Arabic" w:hAnsi="Traditional Arabic" w:cs="Traditional Arabic"/>
          <w:sz w:val="24"/>
          <w:rtl/>
          <w:lang w:bidi="ar-EG"/>
        </w:rPr>
        <w:t xml:space="preserve"> تحويل المبالغ بين الريال العماني والدولار الأمريكي بسعر صرف قدره 1.00 دولار أمريكي = 0.385 ريال عماني.</w:t>
      </w:r>
    </w:p>
    <w:p w14:paraId="45BB8B87" w14:textId="77777777" w:rsidR="00A64D52" w:rsidRDefault="00A64D52" w:rsidP="00A64D52">
      <w:pPr>
        <w:autoSpaceDE w:val="0"/>
        <w:autoSpaceDN w:val="0"/>
        <w:bidi/>
        <w:adjustRightInd w:val="0"/>
        <w:jc w:val="both"/>
        <w:rPr>
          <w:rFonts w:ascii="Traditional Arabic" w:hAnsi="Traditional Arabic" w:cs="Traditional Arabic"/>
          <w:sz w:val="30"/>
          <w:szCs w:val="30"/>
          <w:rtl/>
          <w:lang w:bidi="ar-EG"/>
        </w:rPr>
      </w:pPr>
    </w:p>
    <w:p w14:paraId="46E4A0D8" w14:textId="77777777" w:rsidR="0009458B" w:rsidRPr="00985281" w:rsidRDefault="0009458B" w:rsidP="0009458B">
      <w:pPr>
        <w:autoSpaceDE w:val="0"/>
        <w:autoSpaceDN w:val="0"/>
        <w:bidi/>
        <w:adjustRightInd w:val="0"/>
        <w:jc w:val="both"/>
        <w:rPr>
          <w:rFonts w:ascii="Traditional Arabic" w:hAnsi="Traditional Arabic" w:cs="Traditional Arabic"/>
          <w:sz w:val="30"/>
          <w:szCs w:val="30"/>
          <w:vertAlign w:val="superscript"/>
          <w:rtl/>
          <w:lang w:bidi="ar-EG"/>
        </w:rPr>
      </w:pPr>
      <w:r>
        <w:rPr>
          <w:rFonts w:ascii="Traditional Arabic" w:hAnsi="Traditional Arabic" w:cs="Traditional Arabic" w:hint="cs"/>
          <w:sz w:val="30"/>
          <w:szCs w:val="30"/>
          <w:rtl/>
          <w:lang w:bidi="ar-EG"/>
        </w:rPr>
        <w:t>بيان التدفقات النقدية الموحدة (دولار أمريكي)</w:t>
      </w:r>
      <w:r>
        <w:rPr>
          <w:rFonts w:ascii="Traditional Arabic" w:hAnsi="Traditional Arabic" w:cs="Traditional Arabic" w:hint="cs"/>
          <w:sz w:val="30"/>
          <w:szCs w:val="30"/>
          <w:vertAlign w:val="superscript"/>
          <w:rtl/>
          <w:lang w:bidi="ar-EG"/>
        </w:rPr>
        <w:t>(1)</w:t>
      </w:r>
    </w:p>
    <w:tbl>
      <w:tblPr>
        <w:bidiVisual/>
        <w:tblW w:w="9048" w:type="dxa"/>
        <w:tblInd w:w="437" w:type="dxa"/>
        <w:tblLayout w:type="fixed"/>
        <w:tblCellMar>
          <w:left w:w="0" w:type="dxa"/>
          <w:right w:w="0" w:type="dxa"/>
        </w:tblCellMar>
        <w:tblLook w:val="0000" w:firstRow="0" w:lastRow="0" w:firstColumn="0" w:lastColumn="0" w:noHBand="0" w:noVBand="0"/>
      </w:tblPr>
      <w:tblGrid>
        <w:gridCol w:w="3141"/>
        <w:gridCol w:w="235"/>
        <w:gridCol w:w="901"/>
        <w:gridCol w:w="235"/>
        <w:gridCol w:w="900"/>
        <w:gridCol w:w="231"/>
        <w:gridCol w:w="903"/>
        <w:gridCol w:w="234"/>
        <w:gridCol w:w="900"/>
        <w:gridCol w:w="234"/>
        <w:gridCol w:w="900"/>
        <w:gridCol w:w="234"/>
      </w:tblGrid>
      <w:tr w:rsidR="00AC2AA1" w:rsidRPr="00B02BA3" w14:paraId="145D60F1" w14:textId="77777777" w:rsidTr="00AC2AA1">
        <w:trPr>
          <w:tblHeader/>
        </w:trPr>
        <w:tc>
          <w:tcPr>
            <w:tcW w:w="3141" w:type="dxa"/>
            <w:vAlign w:val="bottom"/>
          </w:tcPr>
          <w:p w14:paraId="4BFB6066" w14:textId="77777777" w:rsidR="00AC2AA1" w:rsidRPr="00B02BA3" w:rsidRDefault="00AC2AA1" w:rsidP="00AC2AA1">
            <w:pPr>
              <w:keepNext/>
              <w:bidi/>
              <w:spacing w:before="40" w:after="120"/>
              <w:rPr>
                <w:b/>
                <w:sz w:val="17"/>
              </w:rPr>
            </w:pPr>
          </w:p>
        </w:tc>
        <w:tc>
          <w:tcPr>
            <w:tcW w:w="235" w:type="dxa"/>
            <w:vAlign w:val="bottom"/>
          </w:tcPr>
          <w:p w14:paraId="05AE1268" w14:textId="77777777" w:rsidR="00AC2AA1" w:rsidRPr="00B02BA3" w:rsidRDefault="00AC2AA1" w:rsidP="00922116">
            <w:pPr>
              <w:spacing w:before="40" w:after="120"/>
              <w:rPr>
                <w:sz w:val="17"/>
              </w:rPr>
            </w:pPr>
          </w:p>
        </w:tc>
        <w:tc>
          <w:tcPr>
            <w:tcW w:w="3170" w:type="dxa"/>
            <w:gridSpan w:val="5"/>
            <w:tcBorders>
              <w:bottom w:val="single" w:sz="4" w:space="0" w:color="auto"/>
            </w:tcBorders>
            <w:vAlign w:val="bottom"/>
          </w:tcPr>
          <w:p w14:paraId="0204E219" w14:textId="77777777" w:rsidR="00AC2AA1" w:rsidRPr="00B02BA3" w:rsidRDefault="00AC2AA1" w:rsidP="00922116">
            <w:pPr>
              <w:keepNext/>
              <w:spacing w:before="40" w:after="120"/>
              <w:jc w:val="center"/>
              <w:rPr>
                <w:b/>
                <w:sz w:val="17"/>
              </w:rPr>
            </w:pPr>
            <w:r w:rsidRPr="00B02BA3">
              <w:rPr>
                <w:b/>
                <w:sz w:val="17"/>
              </w:rPr>
              <w:t>Year Ended 31 December</w:t>
            </w:r>
          </w:p>
        </w:tc>
        <w:tc>
          <w:tcPr>
            <w:tcW w:w="234" w:type="dxa"/>
            <w:vAlign w:val="bottom"/>
          </w:tcPr>
          <w:p w14:paraId="1062830C" w14:textId="77777777" w:rsidR="00AC2AA1" w:rsidRPr="00B02BA3" w:rsidRDefault="00AC2AA1" w:rsidP="00922116">
            <w:pPr>
              <w:spacing w:before="40" w:after="120"/>
              <w:jc w:val="center"/>
              <w:rPr>
                <w:sz w:val="17"/>
              </w:rPr>
            </w:pPr>
          </w:p>
        </w:tc>
        <w:tc>
          <w:tcPr>
            <w:tcW w:w="2034" w:type="dxa"/>
            <w:gridSpan w:val="3"/>
            <w:tcBorders>
              <w:bottom w:val="single" w:sz="4" w:space="0" w:color="auto"/>
            </w:tcBorders>
            <w:vAlign w:val="bottom"/>
          </w:tcPr>
          <w:p w14:paraId="2E4A0C0D" w14:textId="77777777" w:rsidR="00AC2AA1" w:rsidRPr="00B02BA3" w:rsidRDefault="00AC2AA1" w:rsidP="00922116">
            <w:pPr>
              <w:keepNext/>
              <w:spacing w:before="40" w:after="120"/>
              <w:jc w:val="center"/>
              <w:rPr>
                <w:b/>
                <w:sz w:val="17"/>
              </w:rPr>
            </w:pPr>
            <w:r w:rsidRPr="00B02BA3">
              <w:rPr>
                <w:b/>
                <w:sz w:val="17"/>
              </w:rPr>
              <w:t>Nine Months Ended 30 September</w:t>
            </w:r>
          </w:p>
        </w:tc>
        <w:tc>
          <w:tcPr>
            <w:tcW w:w="234" w:type="dxa"/>
            <w:vAlign w:val="bottom"/>
          </w:tcPr>
          <w:p w14:paraId="69BD0B0A" w14:textId="77777777" w:rsidR="00AC2AA1" w:rsidRPr="00B02BA3" w:rsidRDefault="00AC2AA1" w:rsidP="00922116">
            <w:pPr>
              <w:spacing w:before="40" w:after="120"/>
              <w:rPr>
                <w:sz w:val="17"/>
              </w:rPr>
            </w:pPr>
          </w:p>
        </w:tc>
      </w:tr>
      <w:tr w:rsidR="00AC2AA1" w:rsidRPr="00B02BA3" w14:paraId="0A5DE98C" w14:textId="77777777" w:rsidTr="008C22F9">
        <w:tc>
          <w:tcPr>
            <w:tcW w:w="3141" w:type="dxa"/>
            <w:vAlign w:val="bottom"/>
          </w:tcPr>
          <w:p w14:paraId="5D5CBD03" w14:textId="77777777" w:rsidR="00AC2AA1" w:rsidRPr="00B02BA3" w:rsidRDefault="00AC2AA1" w:rsidP="00AC2AA1">
            <w:pPr>
              <w:tabs>
                <w:tab w:val="right" w:leader="dot" w:pos="3163"/>
              </w:tabs>
              <w:bidi/>
              <w:spacing w:before="40" w:after="40"/>
              <w:rPr>
                <w:sz w:val="17"/>
              </w:rPr>
            </w:pPr>
          </w:p>
        </w:tc>
        <w:tc>
          <w:tcPr>
            <w:tcW w:w="235" w:type="dxa"/>
            <w:vAlign w:val="bottom"/>
          </w:tcPr>
          <w:p w14:paraId="49CC1686" w14:textId="77777777" w:rsidR="00AC2AA1" w:rsidRPr="00B02BA3" w:rsidRDefault="00AC2AA1" w:rsidP="00922116">
            <w:pPr>
              <w:spacing w:before="40" w:after="40"/>
              <w:rPr>
                <w:sz w:val="17"/>
              </w:rPr>
            </w:pPr>
          </w:p>
        </w:tc>
        <w:tc>
          <w:tcPr>
            <w:tcW w:w="901" w:type="dxa"/>
            <w:tcBorders>
              <w:top w:val="single" w:sz="4" w:space="0" w:color="auto"/>
              <w:bottom w:val="single" w:sz="4" w:space="0" w:color="auto"/>
            </w:tcBorders>
            <w:vAlign w:val="bottom"/>
          </w:tcPr>
          <w:p w14:paraId="3588E4E1" w14:textId="77777777" w:rsidR="00AC2AA1" w:rsidRPr="00B02BA3" w:rsidRDefault="00AC2AA1" w:rsidP="00922116">
            <w:pPr>
              <w:spacing w:before="40" w:after="40"/>
              <w:jc w:val="right"/>
              <w:rPr>
                <w:b/>
                <w:bCs/>
                <w:sz w:val="17"/>
              </w:rPr>
            </w:pPr>
            <w:r w:rsidRPr="00B02BA3">
              <w:rPr>
                <w:b/>
                <w:bCs/>
                <w:sz w:val="17"/>
              </w:rPr>
              <w:t>2021</w:t>
            </w:r>
          </w:p>
        </w:tc>
        <w:tc>
          <w:tcPr>
            <w:tcW w:w="235" w:type="dxa"/>
            <w:tcBorders>
              <w:top w:val="single" w:sz="4" w:space="0" w:color="auto"/>
            </w:tcBorders>
            <w:vAlign w:val="bottom"/>
          </w:tcPr>
          <w:p w14:paraId="5FC1492E" w14:textId="77777777" w:rsidR="00AC2AA1" w:rsidRPr="00B02BA3" w:rsidRDefault="00AC2AA1" w:rsidP="00922116">
            <w:pPr>
              <w:spacing w:before="40" w:after="40"/>
              <w:rPr>
                <w:b/>
                <w:bCs/>
                <w:sz w:val="17"/>
              </w:rPr>
            </w:pPr>
          </w:p>
        </w:tc>
        <w:tc>
          <w:tcPr>
            <w:tcW w:w="900" w:type="dxa"/>
            <w:tcBorders>
              <w:top w:val="single" w:sz="4" w:space="0" w:color="auto"/>
              <w:bottom w:val="single" w:sz="4" w:space="0" w:color="auto"/>
            </w:tcBorders>
            <w:vAlign w:val="bottom"/>
          </w:tcPr>
          <w:p w14:paraId="15214174" w14:textId="77777777" w:rsidR="00AC2AA1" w:rsidRPr="00B02BA3" w:rsidRDefault="00AC2AA1" w:rsidP="00922116">
            <w:pPr>
              <w:spacing w:before="40" w:after="40"/>
              <w:jc w:val="right"/>
              <w:rPr>
                <w:b/>
                <w:bCs/>
                <w:sz w:val="17"/>
              </w:rPr>
            </w:pPr>
            <w:r w:rsidRPr="00B02BA3">
              <w:rPr>
                <w:b/>
                <w:bCs/>
                <w:sz w:val="17"/>
              </w:rPr>
              <w:t>2022</w:t>
            </w:r>
          </w:p>
        </w:tc>
        <w:tc>
          <w:tcPr>
            <w:tcW w:w="231" w:type="dxa"/>
            <w:tcBorders>
              <w:top w:val="single" w:sz="4" w:space="0" w:color="auto"/>
            </w:tcBorders>
            <w:vAlign w:val="bottom"/>
          </w:tcPr>
          <w:p w14:paraId="37D8CD84" w14:textId="77777777" w:rsidR="00AC2AA1" w:rsidRPr="00B02BA3" w:rsidRDefault="00AC2AA1" w:rsidP="00922116">
            <w:pPr>
              <w:spacing w:before="40" w:after="40"/>
              <w:rPr>
                <w:b/>
                <w:bCs/>
                <w:sz w:val="17"/>
              </w:rPr>
            </w:pPr>
          </w:p>
        </w:tc>
        <w:tc>
          <w:tcPr>
            <w:tcW w:w="903" w:type="dxa"/>
            <w:tcBorders>
              <w:top w:val="single" w:sz="4" w:space="0" w:color="auto"/>
              <w:bottom w:val="single" w:sz="4" w:space="0" w:color="auto"/>
            </w:tcBorders>
            <w:vAlign w:val="bottom"/>
          </w:tcPr>
          <w:p w14:paraId="13511AA5" w14:textId="77777777" w:rsidR="00AC2AA1" w:rsidRPr="00B02BA3" w:rsidRDefault="00AC2AA1" w:rsidP="00922116">
            <w:pPr>
              <w:spacing w:before="40" w:after="40"/>
              <w:jc w:val="right"/>
              <w:rPr>
                <w:b/>
                <w:bCs/>
                <w:sz w:val="17"/>
              </w:rPr>
            </w:pPr>
            <w:r w:rsidRPr="00B02BA3">
              <w:rPr>
                <w:b/>
                <w:bCs/>
                <w:sz w:val="17"/>
              </w:rPr>
              <w:t>2023</w:t>
            </w:r>
          </w:p>
        </w:tc>
        <w:tc>
          <w:tcPr>
            <w:tcW w:w="234" w:type="dxa"/>
            <w:vAlign w:val="bottom"/>
          </w:tcPr>
          <w:p w14:paraId="2977EFAE" w14:textId="77777777" w:rsidR="00AC2AA1" w:rsidRPr="00B02BA3" w:rsidRDefault="00AC2AA1" w:rsidP="00922116">
            <w:pPr>
              <w:spacing w:before="40" w:after="40"/>
              <w:rPr>
                <w:b/>
                <w:bCs/>
                <w:sz w:val="17"/>
              </w:rPr>
            </w:pPr>
          </w:p>
        </w:tc>
        <w:tc>
          <w:tcPr>
            <w:tcW w:w="900" w:type="dxa"/>
            <w:tcBorders>
              <w:top w:val="single" w:sz="4" w:space="0" w:color="auto"/>
              <w:bottom w:val="single" w:sz="4" w:space="0" w:color="auto"/>
            </w:tcBorders>
            <w:vAlign w:val="bottom"/>
          </w:tcPr>
          <w:p w14:paraId="7932A17A" w14:textId="77777777" w:rsidR="00AC2AA1" w:rsidRPr="00B02BA3" w:rsidRDefault="00AC2AA1" w:rsidP="00922116">
            <w:pPr>
              <w:spacing w:before="40" w:after="40"/>
              <w:jc w:val="right"/>
              <w:rPr>
                <w:b/>
                <w:bCs/>
                <w:sz w:val="17"/>
              </w:rPr>
            </w:pPr>
            <w:r w:rsidRPr="00B02BA3">
              <w:rPr>
                <w:b/>
                <w:bCs/>
                <w:sz w:val="17"/>
              </w:rPr>
              <w:t>2023</w:t>
            </w:r>
          </w:p>
        </w:tc>
        <w:tc>
          <w:tcPr>
            <w:tcW w:w="234" w:type="dxa"/>
            <w:tcBorders>
              <w:top w:val="single" w:sz="4" w:space="0" w:color="auto"/>
            </w:tcBorders>
            <w:vAlign w:val="bottom"/>
          </w:tcPr>
          <w:p w14:paraId="2669B929" w14:textId="77777777" w:rsidR="00AC2AA1" w:rsidRPr="00B02BA3" w:rsidRDefault="00AC2AA1" w:rsidP="00922116">
            <w:pPr>
              <w:spacing w:before="40" w:after="40"/>
              <w:rPr>
                <w:b/>
                <w:bCs/>
                <w:sz w:val="17"/>
              </w:rPr>
            </w:pPr>
          </w:p>
        </w:tc>
        <w:tc>
          <w:tcPr>
            <w:tcW w:w="900" w:type="dxa"/>
            <w:tcBorders>
              <w:top w:val="single" w:sz="4" w:space="0" w:color="auto"/>
              <w:bottom w:val="single" w:sz="4" w:space="0" w:color="auto"/>
            </w:tcBorders>
            <w:vAlign w:val="bottom"/>
          </w:tcPr>
          <w:p w14:paraId="40F12CD7" w14:textId="77777777" w:rsidR="00AC2AA1" w:rsidRPr="00B02BA3" w:rsidRDefault="00AC2AA1" w:rsidP="00922116">
            <w:pPr>
              <w:spacing w:before="40" w:after="40"/>
              <w:jc w:val="right"/>
              <w:rPr>
                <w:b/>
                <w:bCs/>
                <w:sz w:val="17"/>
              </w:rPr>
            </w:pPr>
            <w:r w:rsidRPr="00B02BA3">
              <w:rPr>
                <w:b/>
                <w:bCs/>
                <w:sz w:val="17"/>
              </w:rPr>
              <w:t>2024</w:t>
            </w:r>
          </w:p>
        </w:tc>
        <w:tc>
          <w:tcPr>
            <w:tcW w:w="234" w:type="dxa"/>
            <w:vAlign w:val="bottom"/>
          </w:tcPr>
          <w:p w14:paraId="7F5210DD" w14:textId="77777777" w:rsidR="00AC2AA1" w:rsidRPr="00B02BA3" w:rsidRDefault="00AC2AA1" w:rsidP="00922116">
            <w:pPr>
              <w:spacing w:before="40" w:after="40"/>
              <w:rPr>
                <w:sz w:val="17"/>
              </w:rPr>
            </w:pPr>
          </w:p>
        </w:tc>
      </w:tr>
      <w:tr w:rsidR="00AC2AA1" w:rsidRPr="00B02BA3" w14:paraId="23AF226C" w14:textId="77777777" w:rsidTr="00AC2AA1">
        <w:tc>
          <w:tcPr>
            <w:tcW w:w="3141" w:type="dxa"/>
            <w:vAlign w:val="bottom"/>
          </w:tcPr>
          <w:p w14:paraId="4FD54BB1" w14:textId="77777777" w:rsidR="00AC2AA1" w:rsidRPr="00B02BA3" w:rsidRDefault="00AC2AA1" w:rsidP="00AC2AA1">
            <w:pPr>
              <w:tabs>
                <w:tab w:val="right" w:leader="dot" w:pos="3163"/>
              </w:tabs>
              <w:bidi/>
              <w:spacing w:before="40" w:after="40"/>
              <w:jc w:val="center"/>
              <w:rPr>
                <w:i/>
                <w:iCs/>
                <w:sz w:val="17"/>
              </w:rPr>
            </w:pPr>
            <w:bookmarkStart w:id="17" w:name="_Hlk185351804"/>
          </w:p>
        </w:tc>
        <w:tc>
          <w:tcPr>
            <w:tcW w:w="235" w:type="dxa"/>
            <w:vAlign w:val="bottom"/>
          </w:tcPr>
          <w:p w14:paraId="44C5A91B" w14:textId="77777777" w:rsidR="00AC2AA1" w:rsidRPr="00B02BA3" w:rsidRDefault="00AC2AA1" w:rsidP="00922116">
            <w:pPr>
              <w:spacing w:before="40" w:after="40"/>
              <w:jc w:val="center"/>
              <w:rPr>
                <w:i/>
                <w:iCs/>
                <w:sz w:val="17"/>
              </w:rPr>
            </w:pPr>
          </w:p>
        </w:tc>
        <w:tc>
          <w:tcPr>
            <w:tcW w:w="5438" w:type="dxa"/>
            <w:gridSpan w:val="9"/>
            <w:vAlign w:val="bottom"/>
          </w:tcPr>
          <w:p w14:paraId="6DF5488C" w14:textId="77777777" w:rsidR="00AC2AA1" w:rsidRPr="00B02BA3" w:rsidRDefault="00AC2AA1" w:rsidP="00922116">
            <w:pPr>
              <w:spacing w:before="40" w:after="40"/>
              <w:jc w:val="center"/>
              <w:rPr>
                <w:i/>
                <w:iCs/>
                <w:sz w:val="17"/>
              </w:rPr>
            </w:pPr>
            <w:r w:rsidRPr="00B02BA3">
              <w:rPr>
                <w:i/>
                <w:iCs/>
                <w:sz w:val="17"/>
              </w:rPr>
              <w:t xml:space="preserve">(U.S.$ </w:t>
            </w:r>
            <w:r>
              <w:rPr>
                <w:i/>
                <w:iCs/>
                <w:sz w:val="17"/>
              </w:rPr>
              <w:t>millions</w:t>
            </w:r>
            <w:r w:rsidRPr="00B02BA3">
              <w:rPr>
                <w:i/>
                <w:iCs/>
                <w:sz w:val="17"/>
              </w:rPr>
              <w:t>)</w:t>
            </w:r>
          </w:p>
        </w:tc>
        <w:tc>
          <w:tcPr>
            <w:tcW w:w="234" w:type="dxa"/>
            <w:vAlign w:val="bottom"/>
          </w:tcPr>
          <w:p w14:paraId="75ED1798" w14:textId="77777777" w:rsidR="00AC2AA1" w:rsidRPr="00B02BA3" w:rsidRDefault="00AC2AA1" w:rsidP="00922116">
            <w:pPr>
              <w:spacing w:before="40" w:after="40"/>
              <w:jc w:val="center"/>
              <w:rPr>
                <w:i/>
                <w:iCs/>
                <w:sz w:val="17"/>
              </w:rPr>
            </w:pPr>
          </w:p>
        </w:tc>
      </w:tr>
      <w:bookmarkEnd w:id="17"/>
      <w:tr w:rsidR="009957F7" w:rsidRPr="00B02BA3" w14:paraId="6BF859F3" w14:textId="77777777" w:rsidTr="008C22F9">
        <w:tc>
          <w:tcPr>
            <w:tcW w:w="3141" w:type="dxa"/>
            <w:vAlign w:val="bottom"/>
          </w:tcPr>
          <w:p w14:paraId="10C85AFC" w14:textId="77777777" w:rsidR="009957F7" w:rsidRPr="00B02BA3" w:rsidRDefault="009957F7" w:rsidP="009957F7">
            <w:pPr>
              <w:tabs>
                <w:tab w:val="right" w:leader="dot" w:pos="3163"/>
              </w:tabs>
              <w:bidi/>
              <w:spacing w:before="40" w:after="40"/>
              <w:rPr>
                <w:sz w:val="17"/>
                <w:szCs w:val="17"/>
              </w:rPr>
            </w:pPr>
            <w:r>
              <w:rPr>
                <w:rFonts w:hint="cs"/>
                <w:color w:val="000000"/>
                <w:szCs w:val="17"/>
                <w:rtl/>
              </w:rPr>
              <w:t>صافي النقد الناتج عن الأنشطة التشغيلية</w:t>
            </w:r>
            <w:r w:rsidRPr="00B02BA3">
              <w:rPr>
                <w:szCs w:val="17"/>
              </w:rPr>
              <w:tab/>
            </w:r>
          </w:p>
        </w:tc>
        <w:tc>
          <w:tcPr>
            <w:tcW w:w="235" w:type="dxa"/>
            <w:vAlign w:val="bottom"/>
          </w:tcPr>
          <w:p w14:paraId="71572F8A" w14:textId="77777777" w:rsidR="009957F7" w:rsidRPr="00CD61C9" w:rsidRDefault="009957F7" w:rsidP="009957F7">
            <w:pPr>
              <w:spacing w:before="40" w:after="40"/>
              <w:rPr>
                <w:sz w:val="17"/>
                <w:szCs w:val="17"/>
              </w:rPr>
            </w:pPr>
          </w:p>
        </w:tc>
        <w:tc>
          <w:tcPr>
            <w:tcW w:w="901" w:type="dxa"/>
            <w:vAlign w:val="bottom"/>
          </w:tcPr>
          <w:p w14:paraId="38C7B19A" w14:textId="735714EB" w:rsidR="009957F7" w:rsidRPr="00CD61C9" w:rsidRDefault="009957F7" w:rsidP="009957F7">
            <w:pPr>
              <w:spacing w:before="40" w:after="40"/>
              <w:jc w:val="right"/>
              <w:rPr>
                <w:sz w:val="17"/>
                <w:szCs w:val="17"/>
              </w:rPr>
            </w:pPr>
            <w:r w:rsidRPr="00B02BA3">
              <w:rPr>
                <w:sz w:val="17"/>
              </w:rPr>
              <w:t>173</w:t>
            </w:r>
            <w:r>
              <w:rPr>
                <w:sz w:val="17"/>
              </w:rPr>
              <w:t>.</w:t>
            </w:r>
            <w:r w:rsidR="00714622">
              <w:rPr>
                <w:sz w:val="17"/>
              </w:rPr>
              <w:t>6</w:t>
            </w:r>
          </w:p>
        </w:tc>
        <w:tc>
          <w:tcPr>
            <w:tcW w:w="235" w:type="dxa"/>
            <w:vAlign w:val="bottom"/>
          </w:tcPr>
          <w:p w14:paraId="5FF52D25" w14:textId="77777777" w:rsidR="009957F7" w:rsidRPr="00B02BA3" w:rsidRDefault="009957F7" w:rsidP="009957F7">
            <w:pPr>
              <w:spacing w:before="40" w:after="40"/>
              <w:rPr>
                <w:sz w:val="17"/>
              </w:rPr>
            </w:pPr>
          </w:p>
        </w:tc>
        <w:tc>
          <w:tcPr>
            <w:tcW w:w="900" w:type="dxa"/>
            <w:vAlign w:val="bottom"/>
          </w:tcPr>
          <w:p w14:paraId="5BD1DA3A" w14:textId="6ECA7055" w:rsidR="009957F7" w:rsidRPr="00B02BA3" w:rsidRDefault="00AE0735" w:rsidP="009957F7">
            <w:pPr>
              <w:spacing w:before="40" w:after="40"/>
              <w:jc w:val="right"/>
              <w:rPr>
                <w:sz w:val="17"/>
              </w:rPr>
            </w:pPr>
            <w:r>
              <w:rPr>
                <w:sz w:val="17"/>
              </w:rPr>
              <w:t>202.</w:t>
            </w:r>
            <w:r w:rsidR="00A13508">
              <w:rPr>
                <w:sz w:val="17"/>
              </w:rPr>
              <w:t>7</w:t>
            </w:r>
          </w:p>
        </w:tc>
        <w:tc>
          <w:tcPr>
            <w:tcW w:w="231" w:type="dxa"/>
            <w:vAlign w:val="bottom"/>
          </w:tcPr>
          <w:p w14:paraId="1CADD198" w14:textId="77777777" w:rsidR="009957F7" w:rsidRPr="00B02BA3" w:rsidRDefault="009957F7" w:rsidP="009957F7">
            <w:pPr>
              <w:spacing w:before="40" w:after="40"/>
              <w:rPr>
                <w:sz w:val="17"/>
              </w:rPr>
            </w:pPr>
          </w:p>
        </w:tc>
        <w:tc>
          <w:tcPr>
            <w:tcW w:w="903" w:type="dxa"/>
            <w:vAlign w:val="bottom"/>
          </w:tcPr>
          <w:p w14:paraId="534E649F" w14:textId="67445B8C" w:rsidR="009957F7" w:rsidRPr="00B02BA3" w:rsidRDefault="00BB5877" w:rsidP="009957F7">
            <w:pPr>
              <w:spacing w:before="40" w:after="40"/>
              <w:jc w:val="right"/>
              <w:rPr>
                <w:sz w:val="17"/>
              </w:rPr>
            </w:pPr>
            <w:r>
              <w:rPr>
                <w:sz w:val="17"/>
              </w:rPr>
              <w:t>47</w:t>
            </w:r>
            <w:r w:rsidR="00D24B47">
              <w:rPr>
                <w:sz w:val="17"/>
              </w:rPr>
              <w:t>3.9</w:t>
            </w:r>
          </w:p>
        </w:tc>
        <w:tc>
          <w:tcPr>
            <w:tcW w:w="234" w:type="dxa"/>
            <w:vAlign w:val="bottom"/>
          </w:tcPr>
          <w:p w14:paraId="01770EA4" w14:textId="77777777" w:rsidR="009957F7" w:rsidRPr="00B02BA3" w:rsidRDefault="009957F7" w:rsidP="009957F7">
            <w:pPr>
              <w:spacing w:before="40" w:after="40"/>
              <w:rPr>
                <w:sz w:val="17"/>
              </w:rPr>
            </w:pPr>
          </w:p>
        </w:tc>
        <w:tc>
          <w:tcPr>
            <w:tcW w:w="900" w:type="dxa"/>
            <w:vAlign w:val="bottom"/>
          </w:tcPr>
          <w:p w14:paraId="4F796C1D" w14:textId="77777777" w:rsidR="009957F7" w:rsidRPr="00B02BA3" w:rsidRDefault="00BB5877" w:rsidP="009957F7">
            <w:pPr>
              <w:spacing w:before="40" w:after="40"/>
              <w:jc w:val="right"/>
              <w:rPr>
                <w:sz w:val="17"/>
              </w:rPr>
            </w:pPr>
            <w:r>
              <w:rPr>
                <w:sz w:val="17"/>
              </w:rPr>
              <w:t>340.0</w:t>
            </w:r>
          </w:p>
        </w:tc>
        <w:tc>
          <w:tcPr>
            <w:tcW w:w="234" w:type="dxa"/>
            <w:vAlign w:val="bottom"/>
          </w:tcPr>
          <w:p w14:paraId="003579C5" w14:textId="77777777" w:rsidR="009957F7" w:rsidRPr="00B02BA3" w:rsidRDefault="009957F7" w:rsidP="009957F7">
            <w:pPr>
              <w:spacing w:before="40" w:after="40"/>
              <w:rPr>
                <w:sz w:val="17"/>
              </w:rPr>
            </w:pPr>
          </w:p>
        </w:tc>
        <w:tc>
          <w:tcPr>
            <w:tcW w:w="900" w:type="dxa"/>
            <w:vAlign w:val="bottom"/>
          </w:tcPr>
          <w:p w14:paraId="1E8D225B" w14:textId="77777777" w:rsidR="009957F7" w:rsidRPr="00B02BA3" w:rsidRDefault="00BB5877" w:rsidP="009957F7">
            <w:pPr>
              <w:spacing w:before="40" w:after="40"/>
              <w:jc w:val="right"/>
              <w:rPr>
                <w:sz w:val="17"/>
              </w:rPr>
            </w:pPr>
            <w:r>
              <w:rPr>
                <w:sz w:val="17"/>
              </w:rPr>
              <w:t>296.9</w:t>
            </w:r>
          </w:p>
        </w:tc>
        <w:tc>
          <w:tcPr>
            <w:tcW w:w="234" w:type="dxa"/>
            <w:vAlign w:val="bottom"/>
          </w:tcPr>
          <w:p w14:paraId="276BC1D9" w14:textId="77777777" w:rsidR="009957F7" w:rsidRPr="00B02BA3" w:rsidRDefault="009957F7" w:rsidP="009957F7">
            <w:pPr>
              <w:spacing w:before="40" w:after="40"/>
              <w:rPr>
                <w:sz w:val="17"/>
              </w:rPr>
            </w:pPr>
          </w:p>
        </w:tc>
      </w:tr>
      <w:tr w:rsidR="009957F7" w:rsidRPr="00B02BA3" w14:paraId="0DA23E33" w14:textId="77777777" w:rsidTr="008C22F9">
        <w:tc>
          <w:tcPr>
            <w:tcW w:w="3141" w:type="dxa"/>
            <w:vAlign w:val="bottom"/>
          </w:tcPr>
          <w:p w14:paraId="319FC15B" w14:textId="77777777" w:rsidR="009957F7" w:rsidRPr="00B02BA3" w:rsidRDefault="009957F7" w:rsidP="009957F7">
            <w:pPr>
              <w:tabs>
                <w:tab w:val="right" w:leader="dot" w:pos="3163"/>
              </w:tabs>
              <w:bidi/>
              <w:spacing w:before="40" w:after="40"/>
              <w:rPr>
                <w:sz w:val="17"/>
                <w:szCs w:val="17"/>
              </w:rPr>
            </w:pPr>
            <w:r>
              <w:rPr>
                <w:rFonts w:hint="cs"/>
                <w:szCs w:val="17"/>
                <w:rtl/>
              </w:rPr>
              <w:t>صافي النقد (المستخدم)/ الناتج عن الأنشطة الاستثمارية</w:t>
            </w:r>
            <w:r w:rsidRPr="00B02BA3">
              <w:rPr>
                <w:szCs w:val="17"/>
              </w:rPr>
              <w:tab/>
            </w:r>
          </w:p>
        </w:tc>
        <w:tc>
          <w:tcPr>
            <w:tcW w:w="235" w:type="dxa"/>
            <w:vAlign w:val="bottom"/>
          </w:tcPr>
          <w:p w14:paraId="58C9801F" w14:textId="77777777" w:rsidR="009957F7" w:rsidRPr="00CD61C9" w:rsidRDefault="009957F7" w:rsidP="009957F7">
            <w:pPr>
              <w:spacing w:before="40" w:after="40"/>
              <w:rPr>
                <w:sz w:val="17"/>
                <w:szCs w:val="17"/>
              </w:rPr>
            </w:pPr>
          </w:p>
        </w:tc>
        <w:tc>
          <w:tcPr>
            <w:tcW w:w="901" w:type="dxa"/>
            <w:vAlign w:val="bottom"/>
          </w:tcPr>
          <w:p w14:paraId="45450AB7" w14:textId="77777777" w:rsidR="009957F7" w:rsidRPr="00CD61C9" w:rsidRDefault="009957F7" w:rsidP="009957F7">
            <w:pPr>
              <w:spacing w:before="40" w:after="40"/>
              <w:jc w:val="right"/>
              <w:rPr>
                <w:sz w:val="17"/>
                <w:szCs w:val="17"/>
              </w:rPr>
            </w:pPr>
            <w:r w:rsidRPr="00B02BA3">
              <w:rPr>
                <w:sz w:val="17"/>
              </w:rPr>
              <w:t>(159</w:t>
            </w:r>
            <w:r>
              <w:rPr>
                <w:sz w:val="17"/>
              </w:rPr>
              <w:t>.2)</w:t>
            </w:r>
          </w:p>
        </w:tc>
        <w:tc>
          <w:tcPr>
            <w:tcW w:w="235" w:type="dxa"/>
            <w:vAlign w:val="bottom"/>
          </w:tcPr>
          <w:p w14:paraId="04B8E613" w14:textId="77777777" w:rsidR="009957F7" w:rsidRPr="00B02BA3" w:rsidRDefault="009957F7" w:rsidP="009957F7">
            <w:pPr>
              <w:spacing w:before="40" w:after="40"/>
              <w:rPr>
                <w:sz w:val="17"/>
              </w:rPr>
            </w:pPr>
          </w:p>
        </w:tc>
        <w:tc>
          <w:tcPr>
            <w:tcW w:w="900" w:type="dxa"/>
            <w:vAlign w:val="bottom"/>
          </w:tcPr>
          <w:p w14:paraId="445F2757" w14:textId="77777777" w:rsidR="009957F7" w:rsidRPr="00B02BA3" w:rsidRDefault="00BB5877" w:rsidP="009957F7">
            <w:pPr>
              <w:spacing w:before="40" w:after="40"/>
              <w:jc w:val="right"/>
              <w:rPr>
                <w:sz w:val="17"/>
              </w:rPr>
            </w:pPr>
            <w:r>
              <w:rPr>
                <w:sz w:val="17"/>
              </w:rPr>
              <w:t>120.0</w:t>
            </w:r>
          </w:p>
        </w:tc>
        <w:tc>
          <w:tcPr>
            <w:tcW w:w="231" w:type="dxa"/>
            <w:vAlign w:val="bottom"/>
          </w:tcPr>
          <w:p w14:paraId="1175168A" w14:textId="77777777" w:rsidR="009957F7" w:rsidRPr="008C22F9" w:rsidRDefault="009957F7" w:rsidP="009957F7">
            <w:pPr>
              <w:spacing w:before="40" w:after="40"/>
              <w:rPr>
                <w:sz w:val="17"/>
                <w:szCs w:val="17"/>
              </w:rPr>
            </w:pPr>
            <w:r w:rsidRPr="008C22F9">
              <w:rPr>
                <w:rFonts w:hint="cs"/>
                <w:sz w:val="17"/>
                <w:szCs w:val="17"/>
                <w:rtl/>
              </w:rPr>
              <w:t>(</w:t>
            </w:r>
          </w:p>
        </w:tc>
        <w:tc>
          <w:tcPr>
            <w:tcW w:w="903" w:type="dxa"/>
            <w:vAlign w:val="bottom"/>
          </w:tcPr>
          <w:p w14:paraId="53EE6F1E" w14:textId="77777777" w:rsidR="009957F7" w:rsidRPr="008C22F9" w:rsidRDefault="009957F7" w:rsidP="009957F7">
            <w:pPr>
              <w:spacing w:before="40" w:after="40"/>
              <w:jc w:val="right"/>
              <w:rPr>
                <w:sz w:val="17"/>
                <w:szCs w:val="17"/>
              </w:rPr>
            </w:pPr>
            <w:r w:rsidRPr="008C22F9">
              <w:rPr>
                <w:sz w:val="17"/>
                <w:szCs w:val="17"/>
              </w:rPr>
              <w:t>(29.6</w:t>
            </w:r>
          </w:p>
        </w:tc>
        <w:tc>
          <w:tcPr>
            <w:tcW w:w="234" w:type="dxa"/>
            <w:vAlign w:val="bottom"/>
          </w:tcPr>
          <w:p w14:paraId="7D29BA92" w14:textId="77777777" w:rsidR="009957F7" w:rsidRPr="00B02BA3" w:rsidRDefault="009957F7" w:rsidP="009957F7">
            <w:pPr>
              <w:spacing w:before="40" w:after="40"/>
              <w:rPr>
                <w:sz w:val="17"/>
              </w:rPr>
            </w:pPr>
            <w:r w:rsidRPr="00B02BA3">
              <w:rPr>
                <w:sz w:val="17"/>
              </w:rPr>
              <w:t>)</w:t>
            </w:r>
          </w:p>
        </w:tc>
        <w:tc>
          <w:tcPr>
            <w:tcW w:w="900" w:type="dxa"/>
            <w:vAlign w:val="bottom"/>
          </w:tcPr>
          <w:p w14:paraId="44E769BA" w14:textId="77777777" w:rsidR="009957F7" w:rsidRPr="00B02BA3" w:rsidRDefault="009957F7" w:rsidP="009957F7">
            <w:pPr>
              <w:spacing w:before="40" w:after="40"/>
              <w:jc w:val="right"/>
              <w:rPr>
                <w:sz w:val="17"/>
              </w:rPr>
            </w:pPr>
            <w:r>
              <w:rPr>
                <w:sz w:val="17"/>
              </w:rPr>
              <w:t>(133.5</w:t>
            </w:r>
          </w:p>
        </w:tc>
        <w:tc>
          <w:tcPr>
            <w:tcW w:w="234" w:type="dxa"/>
            <w:vAlign w:val="bottom"/>
          </w:tcPr>
          <w:p w14:paraId="7CCFD39E" w14:textId="77777777" w:rsidR="009957F7" w:rsidRPr="00B02BA3" w:rsidRDefault="009957F7" w:rsidP="009957F7">
            <w:pPr>
              <w:spacing w:before="40" w:after="40"/>
              <w:rPr>
                <w:sz w:val="17"/>
              </w:rPr>
            </w:pPr>
          </w:p>
        </w:tc>
        <w:tc>
          <w:tcPr>
            <w:tcW w:w="900" w:type="dxa"/>
            <w:vAlign w:val="bottom"/>
          </w:tcPr>
          <w:p w14:paraId="4BF64670" w14:textId="77777777" w:rsidR="009957F7" w:rsidRPr="00B02BA3" w:rsidRDefault="009957F7" w:rsidP="009957F7">
            <w:pPr>
              <w:spacing w:before="40" w:after="40"/>
              <w:jc w:val="right"/>
              <w:rPr>
                <w:sz w:val="17"/>
              </w:rPr>
            </w:pPr>
            <w:r>
              <w:rPr>
                <w:sz w:val="17"/>
              </w:rPr>
              <w:t>0.</w:t>
            </w:r>
            <w:r w:rsidR="00BB5877">
              <w:rPr>
                <w:sz w:val="17"/>
              </w:rPr>
              <w:t>0</w:t>
            </w:r>
          </w:p>
        </w:tc>
        <w:tc>
          <w:tcPr>
            <w:tcW w:w="234" w:type="dxa"/>
            <w:vAlign w:val="bottom"/>
          </w:tcPr>
          <w:p w14:paraId="41F92236" w14:textId="77777777" w:rsidR="009957F7" w:rsidRPr="00B02BA3" w:rsidRDefault="009957F7" w:rsidP="009957F7">
            <w:pPr>
              <w:spacing w:before="40" w:after="40"/>
              <w:rPr>
                <w:sz w:val="17"/>
              </w:rPr>
            </w:pPr>
          </w:p>
        </w:tc>
      </w:tr>
      <w:tr w:rsidR="00D37FFE" w:rsidRPr="00B02BA3" w14:paraId="0E8C4F74" w14:textId="77777777" w:rsidTr="008C22F9">
        <w:tc>
          <w:tcPr>
            <w:tcW w:w="3141" w:type="dxa"/>
            <w:vAlign w:val="bottom"/>
          </w:tcPr>
          <w:p w14:paraId="2438D012" w14:textId="77777777" w:rsidR="00D37FFE" w:rsidRPr="00B02BA3" w:rsidRDefault="00D37FFE" w:rsidP="00D37FFE">
            <w:pPr>
              <w:tabs>
                <w:tab w:val="right" w:leader="dot" w:pos="3163"/>
              </w:tabs>
              <w:bidi/>
              <w:spacing w:before="40" w:after="40"/>
              <w:rPr>
                <w:sz w:val="17"/>
                <w:szCs w:val="17"/>
              </w:rPr>
            </w:pPr>
            <w:r>
              <w:rPr>
                <w:rFonts w:hint="cs"/>
                <w:szCs w:val="17"/>
                <w:rtl/>
              </w:rPr>
              <w:t>صافي النقد المستخدم في الأنشطة المالية</w:t>
            </w:r>
            <w:r w:rsidRPr="00B02BA3">
              <w:rPr>
                <w:szCs w:val="17"/>
              </w:rPr>
              <w:tab/>
            </w:r>
          </w:p>
        </w:tc>
        <w:tc>
          <w:tcPr>
            <w:tcW w:w="235" w:type="dxa"/>
            <w:vAlign w:val="bottom"/>
          </w:tcPr>
          <w:p w14:paraId="3292F617" w14:textId="77777777" w:rsidR="00D37FFE" w:rsidRPr="00CD61C9" w:rsidRDefault="00D37FFE" w:rsidP="00D37FFE">
            <w:pPr>
              <w:spacing w:before="40" w:after="40"/>
              <w:rPr>
                <w:sz w:val="17"/>
                <w:szCs w:val="17"/>
              </w:rPr>
            </w:pPr>
          </w:p>
        </w:tc>
        <w:tc>
          <w:tcPr>
            <w:tcW w:w="901" w:type="dxa"/>
            <w:vAlign w:val="bottom"/>
          </w:tcPr>
          <w:p w14:paraId="4AF7A8FF" w14:textId="77777777" w:rsidR="00D37FFE" w:rsidRPr="00CD61C9" w:rsidRDefault="00D37FFE" w:rsidP="00D37FFE">
            <w:pPr>
              <w:spacing w:before="40" w:after="40"/>
              <w:jc w:val="right"/>
              <w:rPr>
                <w:sz w:val="17"/>
                <w:szCs w:val="17"/>
              </w:rPr>
            </w:pPr>
            <w:r w:rsidRPr="00CD61C9">
              <w:rPr>
                <w:sz w:val="17"/>
                <w:szCs w:val="17"/>
              </w:rPr>
              <w:t>(231.4</w:t>
            </w:r>
            <w:r w:rsidRPr="00CD61C9">
              <w:rPr>
                <w:rFonts w:hint="cs"/>
                <w:sz w:val="17"/>
                <w:szCs w:val="17"/>
                <w:rtl/>
              </w:rPr>
              <w:t>(</w:t>
            </w:r>
          </w:p>
        </w:tc>
        <w:tc>
          <w:tcPr>
            <w:tcW w:w="235" w:type="dxa"/>
            <w:vAlign w:val="bottom"/>
          </w:tcPr>
          <w:p w14:paraId="1A1B13E8" w14:textId="77777777" w:rsidR="00D37FFE" w:rsidRPr="00B02BA3" w:rsidRDefault="00D37FFE" w:rsidP="00D37FFE">
            <w:pPr>
              <w:spacing w:before="40" w:after="40"/>
              <w:rPr>
                <w:sz w:val="17"/>
              </w:rPr>
            </w:pPr>
            <w:r w:rsidRPr="00B02BA3">
              <w:rPr>
                <w:sz w:val="17"/>
              </w:rPr>
              <w:t>)</w:t>
            </w:r>
          </w:p>
        </w:tc>
        <w:tc>
          <w:tcPr>
            <w:tcW w:w="900" w:type="dxa"/>
            <w:vAlign w:val="bottom"/>
          </w:tcPr>
          <w:p w14:paraId="1BD779E2" w14:textId="77777777" w:rsidR="00D37FFE" w:rsidRPr="00B02BA3" w:rsidRDefault="00D37FFE" w:rsidP="00D37FFE">
            <w:pPr>
              <w:spacing w:before="40" w:after="40"/>
              <w:jc w:val="right"/>
              <w:rPr>
                <w:sz w:val="17"/>
              </w:rPr>
            </w:pPr>
            <w:r w:rsidRPr="00B02BA3">
              <w:rPr>
                <w:sz w:val="17"/>
              </w:rPr>
              <w:t>(</w:t>
            </w:r>
            <w:r w:rsidR="00183CB4">
              <w:rPr>
                <w:sz w:val="17"/>
              </w:rPr>
              <w:t>231.2</w:t>
            </w:r>
          </w:p>
        </w:tc>
        <w:tc>
          <w:tcPr>
            <w:tcW w:w="231" w:type="dxa"/>
            <w:vAlign w:val="bottom"/>
          </w:tcPr>
          <w:p w14:paraId="346B9B55" w14:textId="77777777" w:rsidR="00D37FFE" w:rsidRPr="008C22F9" w:rsidRDefault="00D37FFE" w:rsidP="00D37FFE">
            <w:pPr>
              <w:spacing w:before="40" w:after="40"/>
              <w:rPr>
                <w:sz w:val="17"/>
                <w:szCs w:val="17"/>
              </w:rPr>
            </w:pPr>
            <w:r w:rsidRPr="008C22F9">
              <w:rPr>
                <w:sz w:val="17"/>
                <w:szCs w:val="17"/>
              </w:rPr>
              <w:t>)</w:t>
            </w:r>
          </w:p>
        </w:tc>
        <w:tc>
          <w:tcPr>
            <w:tcW w:w="903" w:type="dxa"/>
            <w:vAlign w:val="bottom"/>
          </w:tcPr>
          <w:p w14:paraId="1F32E99E" w14:textId="77777777" w:rsidR="00D37FFE" w:rsidRPr="008C22F9" w:rsidRDefault="00D37FFE" w:rsidP="00D37FFE">
            <w:pPr>
              <w:spacing w:before="40" w:after="40"/>
              <w:jc w:val="right"/>
              <w:rPr>
                <w:sz w:val="17"/>
                <w:szCs w:val="17"/>
              </w:rPr>
            </w:pPr>
            <w:r w:rsidRPr="00B02BA3">
              <w:rPr>
                <w:sz w:val="17"/>
              </w:rPr>
              <w:t>(461</w:t>
            </w:r>
            <w:r>
              <w:rPr>
                <w:sz w:val="17"/>
              </w:rPr>
              <w:t>.</w:t>
            </w:r>
            <w:r w:rsidR="00183CB4">
              <w:rPr>
                <w:sz w:val="17"/>
              </w:rPr>
              <w:t>3</w:t>
            </w:r>
          </w:p>
        </w:tc>
        <w:tc>
          <w:tcPr>
            <w:tcW w:w="234" w:type="dxa"/>
            <w:vAlign w:val="bottom"/>
          </w:tcPr>
          <w:p w14:paraId="7F390ECA" w14:textId="77777777" w:rsidR="00D37FFE" w:rsidRPr="00B02BA3" w:rsidRDefault="00D37FFE" w:rsidP="00D37FFE">
            <w:pPr>
              <w:spacing w:before="40" w:after="40"/>
              <w:rPr>
                <w:sz w:val="17"/>
              </w:rPr>
            </w:pPr>
            <w:r w:rsidRPr="00B02BA3">
              <w:rPr>
                <w:sz w:val="17"/>
              </w:rPr>
              <w:t>)</w:t>
            </w:r>
          </w:p>
        </w:tc>
        <w:tc>
          <w:tcPr>
            <w:tcW w:w="900" w:type="dxa"/>
            <w:vAlign w:val="bottom"/>
          </w:tcPr>
          <w:p w14:paraId="4AF944A8" w14:textId="77777777" w:rsidR="00D37FFE" w:rsidRPr="00B02BA3" w:rsidRDefault="00D37FFE" w:rsidP="00D37FFE">
            <w:pPr>
              <w:spacing w:before="40" w:after="40"/>
              <w:jc w:val="right"/>
              <w:rPr>
                <w:sz w:val="17"/>
              </w:rPr>
            </w:pPr>
            <w:r>
              <w:rPr>
                <w:sz w:val="17"/>
              </w:rPr>
              <w:t>(</w:t>
            </w:r>
            <w:r w:rsidR="00183CB4">
              <w:rPr>
                <w:sz w:val="17"/>
              </w:rPr>
              <w:t>275.1</w:t>
            </w:r>
          </w:p>
        </w:tc>
        <w:tc>
          <w:tcPr>
            <w:tcW w:w="234" w:type="dxa"/>
            <w:vAlign w:val="bottom"/>
          </w:tcPr>
          <w:p w14:paraId="57CBC2D0" w14:textId="77777777" w:rsidR="00D37FFE" w:rsidRPr="00B02BA3" w:rsidRDefault="00D37FFE" w:rsidP="00D37FFE">
            <w:pPr>
              <w:spacing w:before="40" w:after="40"/>
              <w:rPr>
                <w:sz w:val="17"/>
              </w:rPr>
            </w:pPr>
            <w:r>
              <w:rPr>
                <w:sz w:val="17"/>
              </w:rPr>
              <w:t>)</w:t>
            </w:r>
          </w:p>
        </w:tc>
        <w:tc>
          <w:tcPr>
            <w:tcW w:w="900" w:type="dxa"/>
            <w:vAlign w:val="bottom"/>
          </w:tcPr>
          <w:p w14:paraId="3EFD80FA" w14:textId="77777777" w:rsidR="00D37FFE" w:rsidRPr="00B02BA3" w:rsidRDefault="00D37FFE" w:rsidP="00D37FFE">
            <w:pPr>
              <w:spacing w:before="40" w:after="40"/>
              <w:jc w:val="right"/>
              <w:rPr>
                <w:sz w:val="17"/>
              </w:rPr>
            </w:pPr>
            <w:r>
              <w:rPr>
                <w:sz w:val="17"/>
              </w:rPr>
              <w:t>(</w:t>
            </w:r>
            <w:r w:rsidR="00183CB4">
              <w:rPr>
                <w:sz w:val="17"/>
              </w:rPr>
              <w:t>323.9</w:t>
            </w:r>
          </w:p>
        </w:tc>
        <w:tc>
          <w:tcPr>
            <w:tcW w:w="234" w:type="dxa"/>
            <w:vAlign w:val="bottom"/>
          </w:tcPr>
          <w:p w14:paraId="1E49C160" w14:textId="77777777" w:rsidR="00D37FFE" w:rsidRPr="00B02BA3" w:rsidRDefault="00D37FFE" w:rsidP="00D37FFE">
            <w:pPr>
              <w:spacing w:before="40" w:after="40"/>
              <w:rPr>
                <w:sz w:val="17"/>
              </w:rPr>
            </w:pPr>
          </w:p>
        </w:tc>
      </w:tr>
      <w:tr w:rsidR="00E8367C" w:rsidRPr="00B02BA3" w14:paraId="340B21F4" w14:textId="77777777" w:rsidTr="008C22F9">
        <w:tc>
          <w:tcPr>
            <w:tcW w:w="3141" w:type="dxa"/>
            <w:vAlign w:val="bottom"/>
          </w:tcPr>
          <w:p w14:paraId="37D0C4DF" w14:textId="77777777" w:rsidR="00E8367C" w:rsidRPr="00B02BA3" w:rsidRDefault="00E8367C" w:rsidP="00E8367C">
            <w:pPr>
              <w:tabs>
                <w:tab w:val="right" w:leader="dot" w:pos="3163"/>
              </w:tabs>
              <w:bidi/>
              <w:spacing w:before="40" w:after="40"/>
              <w:rPr>
                <w:sz w:val="17"/>
                <w:szCs w:val="17"/>
              </w:rPr>
            </w:pPr>
            <w:r>
              <w:rPr>
                <w:rFonts w:hint="cs"/>
                <w:szCs w:val="17"/>
                <w:rtl/>
              </w:rPr>
              <w:t>صافي (انخفاض)/ زيادة النقد والنقد المعادل</w:t>
            </w:r>
            <w:r w:rsidRPr="00B02BA3">
              <w:rPr>
                <w:szCs w:val="17"/>
              </w:rPr>
              <w:tab/>
            </w:r>
          </w:p>
        </w:tc>
        <w:tc>
          <w:tcPr>
            <w:tcW w:w="235" w:type="dxa"/>
            <w:vAlign w:val="bottom"/>
          </w:tcPr>
          <w:p w14:paraId="5F1D6D89" w14:textId="77777777" w:rsidR="00E8367C" w:rsidRPr="00CD61C9" w:rsidRDefault="00E8367C" w:rsidP="00E8367C">
            <w:pPr>
              <w:spacing w:before="40" w:after="40"/>
              <w:rPr>
                <w:sz w:val="17"/>
                <w:szCs w:val="17"/>
              </w:rPr>
            </w:pPr>
            <w:r w:rsidRPr="00CD61C9">
              <w:rPr>
                <w:rFonts w:hint="cs"/>
                <w:sz w:val="17"/>
                <w:szCs w:val="17"/>
                <w:rtl/>
              </w:rPr>
              <w:t>(</w:t>
            </w:r>
          </w:p>
        </w:tc>
        <w:tc>
          <w:tcPr>
            <w:tcW w:w="901" w:type="dxa"/>
            <w:vAlign w:val="bottom"/>
          </w:tcPr>
          <w:p w14:paraId="07000866" w14:textId="77777777" w:rsidR="00E8367C" w:rsidRPr="00CD61C9" w:rsidRDefault="00E8367C" w:rsidP="00E8367C">
            <w:pPr>
              <w:spacing w:before="40" w:after="40"/>
              <w:jc w:val="right"/>
              <w:rPr>
                <w:sz w:val="17"/>
                <w:szCs w:val="17"/>
              </w:rPr>
            </w:pPr>
            <w:r w:rsidRPr="00B02BA3">
              <w:rPr>
                <w:sz w:val="17"/>
              </w:rPr>
              <w:t>(217</w:t>
            </w:r>
            <w:r>
              <w:rPr>
                <w:sz w:val="17"/>
              </w:rPr>
              <w:t>.</w:t>
            </w:r>
            <w:r w:rsidR="00183CB4">
              <w:rPr>
                <w:sz w:val="17"/>
              </w:rPr>
              <w:t>1</w:t>
            </w:r>
          </w:p>
        </w:tc>
        <w:tc>
          <w:tcPr>
            <w:tcW w:w="235" w:type="dxa"/>
            <w:vAlign w:val="bottom"/>
          </w:tcPr>
          <w:p w14:paraId="274EEC8D" w14:textId="77777777" w:rsidR="00E8367C" w:rsidRPr="00B02BA3" w:rsidRDefault="00E8367C" w:rsidP="00E8367C">
            <w:pPr>
              <w:spacing w:before="40" w:after="40"/>
              <w:rPr>
                <w:sz w:val="17"/>
              </w:rPr>
            </w:pPr>
          </w:p>
        </w:tc>
        <w:tc>
          <w:tcPr>
            <w:tcW w:w="900" w:type="dxa"/>
            <w:vAlign w:val="bottom"/>
          </w:tcPr>
          <w:p w14:paraId="19D5993E" w14:textId="77777777" w:rsidR="00E8367C" w:rsidRPr="00B02BA3" w:rsidRDefault="00E8367C" w:rsidP="00E8367C">
            <w:pPr>
              <w:spacing w:before="40" w:after="40"/>
              <w:jc w:val="right"/>
              <w:rPr>
                <w:sz w:val="17"/>
              </w:rPr>
            </w:pPr>
            <w:r w:rsidRPr="00B02BA3">
              <w:rPr>
                <w:sz w:val="17"/>
              </w:rPr>
              <w:t>91</w:t>
            </w:r>
            <w:r>
              <w:rPr>
                <w:sz w:val="17"/>
              </w:rPr>
              <w:t>.</w:t>
            </w:r>
            <w:r w:rsidR="00183CB4">
              <w:rPr>
                <w:sz w:val="17"/>
              </w:rPr>
              <w:t>7</w:t>
            </w:r>
          </w:p>
        </w:tc>
        <w:tc>
          <w:tcPr>
            <w:tcW w:w="231" w:type="dxa"/>
            <w:vAlign w:val="bottom"/>
          </w:tcPr>
          <w:p w14:paraId="3264A5F5" w14:textId="77777777" w:rsidR="00E8367C" w:rsidRPr="008C22F9" w:rsidRDefault="00E8367C" w:rsidP="00E8367C">
            <w:pPr>
              <w:spacing w:before="40" w:after="40"/>
              <w:rPr>
                <w:sz w:val="17"/>
                <w:szCs w:val="17"/>
              </w:rPr>
            </w:pPr>
            <w:r w:rsidRPr="008C22F9">
              <w:rPr>
                <w:rFonts w:hint="cs"/>
                <w:sz w:val="17"/>
                <w:szCs w:val="17"/>
                <w:rtl/>
              </w:rPr>
              <w:t>(</w:t>
            </w:r>
          </w:p>
        </w:tc>
        <w:tc>
          <w:tcPr>
            <w:tcW w:w="903" w:type="dxa"/>
            <w:vAlign w:val="bottom"/>
          </w:tcPr>
          <w:p w14:paraId="5A3F77F3" w14:textId="77777777" w:rsidR="00E8367C" w:rsidRPr="008C22F9" w:rsidRDefault="00E8367C" w:rsidP="00E8367C">
            <w:pPr>
              <w:spacing w:before="40" w:after="40"/>
              <w:jc w:val="right"/>
              <w:rPr>
                <w:sz w:val="17"/>
                <w:szCs w:val="17"/>
              </w:rPr>
            </w:pPr>
            <w:r w:rsidRPr="008C22F9">
              <w:rPr>
                <w:sz w:val="17"/>
                <w:szCs w:val="17"/>
              </w:rPr>
              <w:t>(17.1</w:t>
            </w:r>
          </w:p>
        </w:tc>
        <w:tc>
          <w:tcPr>
            <w:tcW w:w="234" w:type="dxa"/>
            <w:vAlign w:val="bottom"/>
          </w:tcPr>
          <w:p w14:paraId="4FE99E36" w14:textId="77777777" w:rsidR="00E8367C" w:rsidRPr="00B02BA3" w:rsidRDefault="00E8367C" w:rsidP="00E8367C">
            <w:pPr>
              <w:spacing w:before="40" w:after="40"/>
              <w:rPr>
                <w:sz w:val="17"/>
              </w:rPr>
            </w:pPr>
            <w:r w:rsidRPr="00B02BA3">
              <w:rPr>
                <w:sz w:val="17"/>
              </w:rPr>
              <w:t>)</w:t>
            </w:r>
          </w:p>
        </w:tc>
        <w:tc>
          <w:tcPr>
            <w:tcW w:w="900" w:type="dxa"/>
            <w:vAlign w:val="bottom"/>
          </w:tcPr>
          <w:p w14:paraId="50675DE6" w14:textId="77777777" w:rsidR="00E8367C" w:rsidRPr="00B02BA3" w:rsidRDefault="00E8367C" w:rsidP="00E8367C">
            <w:pPr>
              <w:spacing w:before="40" w:after="40"/>
              <w:jc w:val="right"/>
              <w:rPr>
                <w:sz w:val="17"/>
              </w:rPr>
            </w:pPr>
            <w:r>
              <w:rPr>
                <w:sz w:val="17"/>
              </w:rPr>
              <w:t>(68.</w:t>
            </w:r>
            <w:r w:rsidR="0014315C">
              <w:rPr>
                <w:sz w:val="17"/>
              </w:rPr>
              <w:t>3</w:t>
            </w:r>
          </w:p>
        </w:tc>
        <w:tc>
          <w:tcPr>
            <w:tcW w:w="234" w:type="dxa"/>
            <w:vAlign w:val="bottom"/>
          </w:tcPr>
          <w:p w14:paraId="288A2A0E" w14:textId="77777777" w:rsidR="00E8367C" w:rsidRPr="00B02BA3" w:rsidRDefault="00E8367C" w:rsidP="00E8367C">
            <w:pPr>
              <w:spacing w:before="40" w:after="40"/>
              <w:rPr>
                <w:sz w:val="17"/>
              </w:rPr>
            </w:pPr>
            <w:r>
              <w:rPr>
                <w:sz w:val="17"/>
              </w:rPr>
              <w:t>)</w:t>
            </w:r>
          </w:p>
        </w:tc>
        <w:tc>
          <w:tcPr>
            <w:tcW w:w="900" w:type="dxa"/>
            <w:vAlign w:val="bottom"/>
          </w:tcPr>
          <w:p w14:paraId="577C2B55" w14:textId="77777777" w:rsidR="00E8367C" w:rsidRPr="00B02BA3" w:rsidRDefault="00E8367C" w:rsidP="00E8367C">
            <w:pPr>
              <w:spacing w:before="40" w:after="40"/>
              <w:jc w:val="right"/>
              <w:rPr>
                <w:sz w:val="17"/>
              </w:rPr>
            </w:pPr>
            <w:r>
              <w:rPr>
                <w:sz w:val="17"/>
              </w:rPr>
              <w:t>(27.</w:t>
            </w:r>
            <w:r w:rsidR="0014315C">
              <w:rPr>
                <w:sz w:val="17"/>
              </w:rPr>
              <w:t>0</w:t>
            </w:r>
          </w:p>
        </w:tc>
        <w:tc>
          <w:tcPr>
            <w:tcW w:w="234" w:type="dxa"/>
            <w:vAlign w:val="bottom"/>
          </w:tcPr>
          <w:p w14:paraId="51974A53" w14:textId="77777777" w:rsidR="00E8367C" w:rsidRPr="00B02BA3" w:rsidRDefault="00E8367C" w:rsidP="00E8367C">
            <w:pPr>
              <w:spacing w:before="40" w:after="40"/>
              <w:rPr>
                <w:sz w:val="17"/>
              </w:rPr>
            </w:pPr>
          </w:p>
        </w:tc>
      </w:tr>
      <w:tr w:rsidR="00AC2AA1" w:rsidRPr="00B02BA3" w14:paraId="1DCD76DF" w14:textId="77777777" w:rsidTr="008C22F9">
        <w:tc>
          <w:tcPr>
            <w:tcW w:w="3141" w:type="dxa"/>
            <w:vAlign w:val="bottom"/>
          </w:tcPr>
          <w:p w14:paraId="2A225247" w14:textId="77777777" w:rsidR="00AC2AA1" w:rsidRPr="00B02BA3" w:rsidRDefault="00AC2AA1" w:rsidP="00AC2AA1">
            <w:pPr>
              <w:tabs>
                <w:tab w:val="right" w:leader="dot" w:pos="3163"/>
              </w:tabs>
              <w:bidi/>
              <w:spacing w:before="40" w:after="40"/>
              <w:rPr>
                <w:sz w:val="17"/>
                <w:szCs w:val="17"/>
              </w:rPr>
            </w:pPr>
            <w:r>
              <w:rPr>
                <w:rFonts w:hint="cs"/>
                <w:color w:val="000000"/>
                <w:szCs w:val="17"/>
                <w:rtl/>
              </w:rPr>
              <w:t>النقد وما في حكمه في بداية الفترة</w:t>
            </w:r>
            <w:r w:rsidRPr="00B02BA3">
              <w:rPr>
                <w:color w:val="000000"/>
                <w:szCs w:val="17"/>
              </w:rPr>
              <w:tab/>
            </w:r>
          </w:p>
        </w:tc>
        <w:tc>
          <w:tcPr>
            <w:tcW w:w="235" w:type="dxa"/>
            <w:vAlign w:val="bottom"/>
          </w:tcPr>
          <w:p w14:paraId="01BB2FF5" w14:textId="77777777" w:rsidR="00AC2AA1" w:rsidRPr="00CD61C9" w:rsidRDefault="00AC2AA1" w:rsidP="00AC2AA1">
            <w:pPr>
              <w:spacing w:before="40" w:after="40"/>
              <w:rPr>
                <w:sz w:val="17"/>
                <w:szCs w:val="17"/>
              </w:rPr>
            </w:pPr>
          </w:p>
        </w:tc>
        <w:tc>
          <w:tcPr>
            <w:tcW w:w="901" w:type="dxa"/>
            <w:tcBorders>
              <w:bottom w:val="single" w:sz="4" w:space="0" w:color="auto"/>
            </w:tcBorders>
            <w:vAlign w:val="bottom"/>
          </w:tcPr>
          <w:p w14:paraId="052B8C65" w14:textId="77777777" w:rsidR="00AC2AA1" w:rsidRPr="00CD61C9" w:rsidRDefault="00AC2AA1" w:rsidP="00AC2AA1">
            <w:pPr>
              <w:spacing w:before="40" w:after="40"/>
              <w:jc w:val="right"/>
              <w:rPr>
                <w:sz w:val="17"/>
                <w:szCs w:val="17"/>
              </w:rPr>
            </w:pPr>
            <w:r w:rsidRPr="00CD61C9">
              <w:rPr>
                <w:sz w:val="17"/>
                <w:szCs w:val="17"/>
              </w:rPr>
              <w:t>256.</w:t>
            </w:r>
            <w:r w:rsidR="00342F23">
              <w:rPr>
                <w:sz w:val="17"/>
                <w:szCs w:val="17"/>
              </w:rPr>
              <w:t>1</w:t>
            </w:r>
          </w:p>
        </w:tc>
        <w:tc>
          <w:tcPr>
            <w:tcW w:w="235" w:type="dxa"/>
            <w:vAlign w:val="bottom"/>
          </w:tcPr>
          <w:p w14:paraId="72B5AF9F" w14:textId="77777777" w:rsidR="00AC2AA1" w:rsidRPr="00B02BA3" w:rsidRDefault="00AC2AA1" w:rsidP="00AC2AA1">
            <w:pPr>
              <w:spacing w:before="40" w:after="40"/>
              <w:rPr>
                <w:sz w:val="17"/>
              </w:rPr>
            </w:pPr>
          </w:p>
        </w:tc>
        <w:tc>
          <w:tcPr>
            <w:tcW w:w="900" w:type="dxa"/>
            <w:tcBorders>
              <w:bottom w:val="single" w:sz="4" w:space="0" w:color="auto"/>
            </w:tcBorders>
            <w:vAlign w:val="bottom"/>
          </w:tcPr>
          <w:p w14:paraId="3F1F48AF" w14:textId="77777777" w:rsidR="00AC2AA1" w:rsidRPr="00B02BA3" w:rsidRDefault="00AC2AA1" w:rsidP="00AC2AA1">
            <w:pPr>
              <w:spacing w:before="40" w:after="40"/>
              <w:jc w:val="right"/>
              <w:rPr>
                <w:sz w:val="17"/>
              </w:rPr>
            </w:pPr>
            <w:r w:rsidRPr="00B02BA3">
              <w:rPr>
                <w:sz w:val="17"/>
              </w:rPr>
              <w:t>39</w:t>
            </w:r>
            <w:r>
              <w:rPr>
                <w:sz w:val="17"/>
              </w:rPr>
              <w:t>.2</w:t>
            </w:r>
          </w:p>
        </w:tc>
        <w:tc>
          <w:tcPr>
            <w:tcW w:w="231" w:type="dxa"/>
            <w:vAlign w:val="bottom"/>
          </w:tcPr>
          <w:p w14:paraId="2E343BB7" w14:textId="77777777" w:rsidR="00AC2AA1" w:rsidRPr="008C22F9" w:rsidRDefault="00AC2AA1" w:rsidP="00AC2AA1">
            <w:pPr>
              <w:spacing w:before="40" w:after="40"/>
              <w:rPr>
                <w:sz w:val="17"/>
                <w:szCs w:val="17"/>
              </w:rPr>
            </w:pPr>
          </w:p>
        </w:tc>
        <w:tc>
          <w:tcPr>
            <w:tcW w:w="903" w:type="dxa"/>
            <w:tcBorders>
              <w:bottom w:val="single" w:sz="4" w:space="0" w:color="auto"/>
            </w:tcBorders>
            <w:vAlign w:val="bottom"/>
          </w:tcPr>
          <w:p w14:paraId="24E3A2AA" w14:textId="77777777" w:rsidR="00AC2AA1" w:rsidRPr="008C22F9" w:rsidRDefault="00AC2AA1" w:rsidP="00AC2AA1">
            <w:pPr>
              <w:spacing w:before="40" w:after="40"/>
              <w:jc w:val="right"/>
              <w:rPr>
                <w:sz w:val="17"/>
                <w:szCs w:val="17"/>
              </w:rPr>
            </w:pPr>
            <w:r w:rsidRPr="008C22F9">
              <w:rPr>
                <w:sz w:val="17"/>
                <w:szCs w:val="17"/>
              </w:rPr>
              <w:t>130.</w:t>
            </w:r>
            <w:r w:rsidR="00342F23">
              <w:rPr>
                <w:sz w:val="17"/>
                <w:szCs w:val="17"/>
              </w:rPr>
              <w:t>6</w:t>
            </w:r>
          </w:p>
        </w:tc>
        <w:tc>
          <w:tcPr>
            <w:tcW w:w="234" w:type="dxa"/>
            <w:vAlign w:val="bottom"/>
          </w:tcPr>
          <w:p w14:paraId="4BE41CAA" w14:textId="77777777" w:rsidR="00AC2AA1" w:rsidRPr="00B02BA3" w:rsidRDefault="00AC2AA1" w:rsidP="00AC2AA1">
            <w:pPr>
              <w:spacing w:before="40" w:after="40"/>
              <w:rPr>
                <w:sz w:val="17"/>
              </w:rPr>
            </w:pPr>
          </w:p>
        </w:tc>
        <w:tc>
          <w:tcPr>
            <w:tcW w:w="900" w:type="dxa"/>
            <w:tcBorders>
              <w:bottom w:val="single" w:sz="4" w:space="0" w:color="auto"/>
            </w:tcBorders>
            <w:vAlign w:val="bottom"/>
          </w:tcPr>
          <w:p w14:paraId="092C757C" w14:textId="77777777" w:rsidR="00AC2AA1" w:rsidRPr="00B02BA3" w:rsidRDefault="00AC2AA1" w:rsidP="00AC2AA1">
            <w:pPr>
              <w:spacing w:before="40" w:after="40"/>
              <w:jc w:val="right"/>
              <w:rPr>
                <w:sz w:val="17"/>
              </w:rPr>
            </w:pPr>
            <w:r>
              <w:rPr>
                <w:sz w:val="17"/>
              </w:rPr>
              <w:t>130.</w:t>
            </w:r>
            <w:r w:rsidR="00342F23">
              <w:rPr>
                <w:sz w:val="17"/>
              </w:rPr>
              <w:t>6</w:t>
            </w:r>
          </w:p>
        </w:tc>
        <w:tc>
          <w:tcPr>
            <w:tcW w:w="234" w:type="dxa"/>
            <w:vAlign w:val="bottom"/>
          </w:tcPr>
          <w:p w14:paraId="09A3D3B7" w14:textId="77777777" w:rsidR="00AC2AA1" w:rsidRPr="00B02BA3" w:rsidRDefault="00AC2AA1" w:rsidP="00AC2AA1">
            <w:pPr>
              <w:spacing w:before="40" w:after="40"/>
              <w:rPr>
                <w:sz w:val="17"/>
              </w:rPr>
            </w:pPr>
          </w:p>
        </w:tc>
        <w:tc>
          <w:tcPr>
            <w:tcW w:w="900" w:type="dxa"/>
            <w:tcBorders>
              <w:bottom w:val="single" w:sz="4" w:space="0" w:color="auto"/>
            </w:tcBorders>
            <w:vAlign w:val="bottom"/>
          </w:tcPr>
          <w:p w14:paraId="6CFDD9C3" w14:textId="77777777" w:rsidR="00AC2AA1" w:rsidRPr="00B02BA3" w:rsidRDefault="00AC2AA1" w:rsidP="00AC2AA1">
            <w:pPr>
              <w:spacing w:before="40" w:after="40"/>
              <w:jc w:val="right"/>
              <w:rPr>
                <w:sz w:val="17"/>
              </w:rPr>
            </w:pPr>
            <w:r>
              <w:rPr>
                <w:sz w:val="17"/>
              </w:rPr>
              <w:t>113.</w:t>
            </w:r>
            <w:r w:rsidR="00342F23">
              <w:rPr>
                <w:sz w:val="17"/>
              </w:rPr>
              <w:t>8</w:t>
            </w:r>
          </w:p>
        </w:tc>
        <w:tc>
          <w:tcPr>
            <w:tcW w:w="234" w:type="dxa"/>
            <w:vAlign w:val="bottom"/>
          </w:tcPr>
          <w:p w14:paraId="6197F637" w14:textId="77777777" w:rsidR="00AC2AA1" w:rsidRPr="00B02BA3" w:rsidRDefault="00AC2AA1" w:rsidP="00AC2AA1">
            <w:pPr>
              <w:spacing w:before="40" w:after="40"/>
              <w:rPr>
                <w:sz w:val="17"/>
              </w:rPr>
            </w:pPr>
          </w:p>
        </w:tc>
      </w:tr>
      <w:tr w:rsidR="00C756AD" w:rsidRPr="00B02BA3" w14:paraId="10E5D65E" w14:textId="77777777" w:rsidTr="008C22F9">
        <w:tc>
          <w:tcPr>
            <w:tcW w:w="3141" w:type="dxa"/>
            <w:vAlign w:val="bottom"/>
          </w:tcPr>
          <w:p w14:paraId="6E560926" w14:textId="77777777" w:rsidR="00C756AD" w:rsidRPr="00B02BA3" w:rsidRDefault="00C756AD" w:rsidP="00C756AD">
            <w:pPr>
              <w:tabs>
                <w:tab w:val="right" w:leader="dot" w:pos="3163"/>
              </w:tabs>
              <w:bidi/>
              <w:spacing w:before="40" w:after="40"/>
              <w:rPr>
                <w:sz w:val="17"/>
                <w:szCs w:val="17"/>
              </w:rPr>
            </w:pPr>
            <w:r>
              <w:rPr>
                <w:rFonts w:hint="cs"/>
                <w:b/>
                <w:color w:val="000000"/>
                <w:szCs w:val="17"/>
                <w:rtl/>
              </w:rPr>
              <w:t>النقد وما في حكمه بنهاية الفترة</w:t>
            </w:r>
            <w:r w:rsidRPr="00B02BA3">
              <w:rPr>
                <w:bCs/>
                <w:color w:val="000000"/>
                <w:szCs w:val="17"/>
              </w:rPr>
              <w:tab/>
            </w:r>
          </w:p>
        </w:tc>
        <w:tc>
          <w:tcPr>
            <w:tcW w:w="235" w:type="dxa"/>
            <w:vAlign w:val="bottom"/>
          </w:tcPr>
          <w:p w14:paraId="75A9E339" w14:textId="77777777" w:rsidR="00C756AD" w:rsidRPr="00B02BA3" w:rsidRDefault="00C756AD" w:rsidP="00C756AD">
            <w:pPr>
              <w:spacing w:before="40" w:after="40"/>
              <w:rPr>
                <w:sz w:val="17"/>
              </w:rPr>
            </w:pPr>
          </w:p>
        </w:tc>
        <w:tc>
          <w:tcPr>
            <w:tcW w:w="901" w:type="dxa"/>
            <w:tcBorders>
              <w:top w:val="single" w:sz="4" w:space="0" w:color="auto"/>
              <w:bottom w:val="double" w:sz="4" w:space="0" w:color="auto"/>
            </w:tcBorders>
            <w:vAlign w:val="bottom"/>
          </w:tcPr>
          <w:p w14:paraId="117EFB9E" w14:textId="77777777" w:rsidR="00C756AD" w:rsidRPr="00B02BA3" w:rsidRDefault="00C756AD" w:rsidP="00C756AD">
            <w:pPr>
              <w:spacing w:before="40" w:after="40"/>
              <w:jc w:val="right"/>
              <w:rPr>
                <w:sz w:val="17"/>
              </w:rPr>
            </w:pPr>
            <w:r w:rsidRPr="00B02BA3">
              <w:rPr>
                <w:sz w:val="17"/>
              </w:rPr>
              <w:t>39</w:t>
            </w:r>
            <w:r>
              <w:rPr>
                <w:sz w:val="17"/>
              </w:rPr>
              <w:t>.2</w:t>
            </w:r>
          </w:p>
        </w:tc>
        <w:tc>
          <w:tcPr>
            <w:tcW w:w="235" w:type="dxa"/>
            <w:vAlign w:val="bottom"/>
          </w:tcPr>
          <w:p w14:paraId="4F87A441" w14:textId="77777777" w:rsidR="00C756AD" w:rsidRPr="00B02BA3" w:rsidRDefault="00C756AD" w:rsidP="00C756AD">
            <w:pPr>
              <w:spacing w:before="40" w:after="40"/>
              <w:rPr>
                <w:sz w:val="17"/>
              </w:rPr>
            </w:pPr>
          </w:p>
        </w:tc>
        <w:tc>
          <w:tcPr>
            <w:tcW w:w="900" w:type="dxa"/>
            <w:tcBorders>
              <w:top w:val="single" w:sz="4" w:space="0" w:color="auto"/>
              <w:bottom w:val="double" w:sz="4" w:space="0" w:color="auto"/>
            </w:tcBorders>
            <w:vAlign w:val="bottom"/>
          </w:tcPr>
          <w:p w14:paraId="21B532DF" w14:textId="77777777" w:rsidR="00C756AD" w:rsidRPr="00B02BA3" w:rsidRDefault="00C756AD" w:rsidP="00C756AD">
            <w:pPr>
              <w:spacing w:before="40" w:after="40"/>
              <w:jc w:val="right"/>
              <w:rPr>
                <w:sz w:val="17"/>
              </w:rPr>
            </w:pPr>
            <w:r w:rsidRPr="00B02BA3">
              <w:rPr>
                <w:sz w:val="17"/>
              </w:rPr>
              <w:t>130</w:t>
            </w:r>
            <w:r>
              <w:rPr>
                <w:sz w:val="17"/>
              </w:rPr>
              <w:t>.</w:t>
            </w:r>
            <w:r w:rsidR="00342F23">
              <w:rPr>
                <w:sz w:val="17"/>
              </w:rPr>
              <w:t>6</w:t>
            </w:r>
          </w:p>
        </w:tc>
        <w:tc>
          <w:tcPr>
            <w:tcW w:w="231" w:type="dxa"/>
            <w:vAlign w:val="bottom"/>
          </w:tcPr>
          <w:p w14:paraId="3F6D6602" w14:textId="77777777" w:rsidR="00C756AD" w:rsidRPr="00B02BA3" w:rsidRDefault="00C756AD" w:rsidP="00C756AD">
            <w:pPr>
              <w:spacing w:before="40" w:after="40"/>
              <w:rPr>
                <w:sz w:val="17"/>
              </w:rPr>
            </w:pPr>
          </w:p>
        </w:tc>
        <w:tc>
          <w:tcPr>
            <w:tcW w:w="903" w:type="dxa"/>
            <w:tcBorders>
              <w:top w:val="single" w:sz="4" w:space="0" w:color="auto"/>
              <w:bottom w:val="double" w:sz="4" w:space="0" w:color="auto"/>
            </w:tcBorders>
            <w:vAlign w:val="bottom"/>
          </w:tcPr>
          <w:p w14:paraId="62EF4220" w14:textId="77777777" w:rsidR="00C756AD" w:rsidRPr="00B02BA3" w:rsidRDefault="00C756AD" w:rsidP="00C756AD">
            <w:pPr>
              <w:spacing w:before="40" w:after="40"/>
              <w:jc w:val="right"/>
              <w:rPr>
                <w:sz w:val="17"/>
              </w:rPr>
            </w:pPr>
            <w:r w:rsidRPr="00B02BA3">
              <w:rPr>
                <w:sz w:val="17"/>
              </w:rPr>
              <w:t>113</w:t>
            </w:r>
            <w:r>
              <w:rPr>
                <w:sz w:val="17"/>
              </w:rPr>
              <w:t>.</w:t>
            </w:r>
            <w:r w:rsidR="00342F23">
              <w:rPr>
                <w:sz w:val="17"/>
              </w:rPr>
              <w:t>8</w:t>
            </w:r>
          </w:p>
        </w:tc>
        <w:tc>
          <w:tcPr>
            <w:tcW w:w="234" w:type="dxa"/>
            <w:vAlign w:val="bottom"/>
          </w:tcPr>
          <w:p w14:paraId="0FC8B8F1" w14:textId="77777777" w:rsidR="00C756AD" w:rsidRPr="00B02BA3" w:rsidRDefault="00C756AD" w:rsidP="00C756AD">
            <w:pPr>
              <w:spacing w:before="40" w:after="40"/>
              <w:rPr>
                <w:sz w:val="17"/>
              </w:rPr>
            </w:pPr>
          </w:p>
        </w:tc>
        <w:tc>
          <w:tcPr>
            <w:tcW w:w="900" w:type="dxa"/>
            <w:tcBorders>
              <w:top w:val="single" w:sz="4" w:space="0" w:color="auto"/>
              <w:bottom w:val="double" w:sz="4" w:space="0" w:color="auto"/>
            </w:tcBorders>
            <w:vAlign w:val="bottom"/>
          </w:tcPr>
          <w:p w14:paraId="226BBDEF" w14:textId="77777777" w:rsidR="00C756AD" w:rsidRPr="00B02BA3" w:rsidRDefault="00C756AD" w:rsidP="00C756AD">
            <w:pPr>
              <w:spacing w:before="40" w:after="40"/>
              <w:jc w:val="right"/>
              <w:rPr>
                <w:sz w:val="17"/>
              </w:rPr>
            </w:pPr>
            <w:r>
              <w:rPr>
                <w:sz w:val="17"/>
              </w:rPr>
              <w:t>62.3</w:t>
            </w:r>
          </w:p>
        </w:tc>
        <w:tc>
          <w:tcPr>
            <w:tcW w:w="234" w:type="dxa"/>
            <w:vAlign w:val="bottom"/>
          </w:tcPr>
          <w:p w14:paraId="1A623F23" w14:textId="77777777" w:rsidR="00C756AD" w:rsidRPr="00B02BA3" w:rsidRDefault="00C756AD" w:rsidP="00C756AD">
            <w:pPr>
              <w:spacing w:before="40" w:after="40"/>
              <w:rPr>
                <w:sz w:val="17"/>
              </w:rPr>
            </w:pPr>
          </w:p>
        </w:tc>
        <w:tc>
          <w:tcPr>
            <w:tcW w:w="900" w:type="dxa"/>
            <w:tcBorders>
              <w:top w:val="single" w:sz="4" w:space="0" w:color="auto"/>
              <w:bottom w:val="double" w:sz="4" w:space="0" w:color="auto"/>
            </w:tcBorders>
            <w:vAlign w:val="bottom"/>
          </w:tcPr>
          <w:p w14:paraId="461CD5DD" w14:textId="77777777" w:rsidR="00C756AD" w:rsidRPr="00B02BA3" w:rsidRDefault="00C756AD" w:rsidP="00C756AD">
            <w:pPr>
              <w:spacing w:before="40" w:after="40"/>
              <w:jc w:val="right"/>
              <w:rPr>
                <w:sz w:val="17"/>
              </w:rPr>
            </w:pPr>
            <w:r>
              <w:rPr>
                <w:sz w:val="17"/>
              </w:rPr>
              <w:t>86.</w:t>
            </w:r>
            <w:r w:rsidR="00342F23">
              <w:rPr>
                <w:sz w:val="17"/>
              </w:rPr>
              <w:t>5</w:t>
            </w:r>
          </w:p>
        </w:tc>
        <w:tc>
          <w:tcPr>
            <w:tcW w:w="234" w:type="dxa"/>
            <w:vAlign w:val="bottom"/>
          </w:tcPr>
          <w:p w14:paraId="5B45694F" w14:textId="77777777" w:rsidR="00C756AD" w:rsidRPr="00B02BA3" w:rsidRDefault="00C756AD" w:rsidP="00C756AD">
            <w:pPr>
              <w:spacing w:before="40" w:after="40"/>
              <w:rPr>
                <w:sz w:val="17"/>
              </w:rPr>
            </w:pPr>
          </w:p>
        </w:tc>
      </w:tr>
    </w:tbl>
    <w:p w14:paraId="5C5D7F61" w14:textId="77777777" w:rsidR="0009458B" w:rsidRDefault="0009458B" w:rsidP="0009458B">
      <w:pPr>
        <w:autoSpaceDE w:val="0"/>
        <w:autoSpaceDN w:val="0"/>
        <w:bidi/>
        <w:adjustRightInd w:val="0"/>
        <w:jc w:val="both"/>
        <w:rPr>
          <w:rFonts w:ascii="Traditional Arabic" w:hAnsi="Traditional Arabic" w:cs="Traditional Arabic"/>
          <w:sz w:val="30"/>
          <w:szCs w:val="30"/>
          <w:rtl/>
          <w:lang w:bidi="ar-EG"/>
        </w:rPr>
      </w:pPr>
    </w:p>
    <w:p w14:paraId="09ECA507" w14:textId="77777777" w:rsidR="00A64D52" w:rsidRDefault="0009458B" w:rsidP="00A64D52">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 xml:space="preserve">______________ </w:t>
      </w:r>
    </w:p>
    <w:p w14:paraId="5683A986" w14:textId="77777777" w:rsidR="0009458B" w:rsidRDefault="0009458B" w:rsidP="0009458B">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ملاحظات:</w:t>
      </w:r>
    </w:p>
    <w:p w14:paraId="140B6B6D" w14:textId="77777777" w:rsidR="0009458B" w:rsidRDefault="0009458B" w:rsidP="00922116">
      <w:pPr>
        <w:pStyle w:val="ListParagraph"/>
        <w:numPr>
          <w:ilvl w:val="0"/>
          <w:numId w:val="50"/>
        </w:numPr>
        <w:autoSpaceDE w:val="0"/>
        <w:autoSpaceDN w:val="0"/>
        <w:bidi/>
        <w:adjustRightInd w:val="0"/>
        <w:jc w:val="both"/>
        <w:rPr>
          <w:rFonts w:ascii="Traditional Arabic" w:hAnsi="Traditional Arabic" w:cs="Traditional Arabic"/>
          <w:sz w:val="24"/>
          <w:lang w:bidi="ar-EG"/>
        </w:rPr>
      </w:pPr>
      <w:r w:rsidRPr="00985281">
        <w:rPr>
          <w:rFonts w:ascii="Traditional Arabic" w:hAnsi="Traditional Arabic" w:cs="Traditional Arabic" w:hint="eastAsia"/>
          <w:sz w:val="24"/>
          <w:rtl/>
          <w:lang w:bidi="ar-EG"/>
        </w:rPr>
        <w:lastRenderedPageBreak/>
        <w:t>تم</w:t>
      </w:r>
      <w:r w:rsidRPr="00985281">
        <w:rPr>
          <w:rFonts w:ascii="Traditional Arabic" w:hAnsi="Traditional Arabic" w:cs="Traditional Arabic"/>
          <w:sz w:val="24"/>
          <w:rtl/>
          <w:lang w:bidi="ar-EG"/>
        </w:rPr>
        <w:t xml:space="preserve"> تضمين البيانات الكاملة للتدفقات النقدية للفترات المشار إليها في البيانات المالية الموحدة. يرجى الاطلاع على "الفصل السادس والعشرين - البيانات المالية التاريخية".</w:t>
      </w:r>
    </w:p>
    <w:p w14:paraId="1524DDBC" w14:textId="77777777" w:rsidR="0009458B" w:rsidRPr="00985281" w:rsidRDefault="0009458B" w:rsidP="00922116">
      <w:pPr>
        <w:pStyle w:val="ListParagraph"/>
        <w:numPr>
          <w:ilvl w:val="0"/>
          <w:numId w:val="50"/>
        </w:numPr>
        <w:autoSpaceDE w:val="0"/>
        <w:autoSpaceDN w:val="0"/>
        <w:bidi/>
        <w:adjustRightInd w:val="0"/>
        <w:jc w:val="both"/>
        <w:rPr>
          <w:rFonts w:ascii="Traditional Arabic" w:hAnsi="Traditional Arabic" w:cs="Traditional Arabic"/>
          <w:sz w:val="24"/>
          <w:rtl/>
          <w:lang w:bidi="ar-EG"/>
        </w:rPr>
      </w:pPr>
      <w:r>
        <w:rPr>
          <w:rFonts w:ascii="Traditional Arabic" w:hAnsi="Traditional Arabic" w:cs="Traditional Arabic" w:hint="cs"/>
          <w:sz w:val="24"/>
          <w:rtl/>
          <w:lang w:bidi="ar-EG"/>
        </w:rPr>
        <w:t xml:space="preserve">تم </w:t>
      </w:r>
      <w:r w:rsidRPr="0009458B">
        <w:rPr>
          <w:rFonts w:ascii="Traditional Arabic" w:hAnsi="Traditional Arabic" w:cs="Traditional Arabic"/>
          <w:sz w:val="24"/>
          <w:rtl/>
          <w:lang w:bidi="ar-EG"/>
        </w:rPr>
        <w:t>تحويل المبالغ بين الريال العماني والدولار الأمريكي بسعر صرف قدره 1.00 دولار أمريكي = 0.385 ريال عماني.</w:t>
      </w:r>
    </w:p>
    <w:p w14:paraId="425B446C" w14:textId="77777777" w:rsidR="00A64D52" w:rsidRDefault="00A64D52" w:rsidP="00A64D52">
      <w:pPr>
        <w:autoSpaceDE w:val="0"/>
        <w:autoSpaceDN w:val="0"/>
        <w:bidi/>
        <w:adjustRightInd w:val="0"/>
        <w:jc w:val="both"/>
        <w:rPr>
          <w:rFonts w:ascii="Traditional Arabic" w:hAnsi="Traditional Arabic" w:cs="Traditional Arabic"/>
          <w:sz w:val="30"/>
          <w:szCs w:val="30"/>
          <w:rtl/>
          <w:lang w:bidi="ar-EG"/>
        </w:rPr>
      </w:pPr>
    </w:p>
    <w:p w14:paraId="425CB5E1" w14:textId="77777777" w:rsidR="002308B8" w:rsidRPr="00BB0054" w:rsidRDefault="002308B8" w:rsidP="002308B8">
      <w:pPr>
        <w:autoSpaceDE w:val="0"/>
        <w:autoSpaceDN w:val="0"/>
        <w:bidi/>
        <w:adjustRightInd w:val="0"/>
        <w:jc w:val="both"/>
        <w:rPr>
          <w:rFonts w:ascii="Traditional Arabic" w:hAnsi="Traditional Arabic" w:cs="Traditional Arabic"/>
          <w:b/>
          <w:bCs/>
          <w:sz w:val="30"/>
          <w:szCs w:val="30"/>
          <w:vertAlign w:val="superscript"/>
          <w:rtl/>
          <w:lang w:bidi="ar-EG"/>
        </w:rPr>
      </w:pPr>
      <w:r w:rsidRPr="00BB0054">
        <w:rPr>
          <w:rFonts w:ascii="Traditional Arabic" w:hAnsi="Traditional Arabic" w:cs="Traditional Arabic" w:hint="cs"/>
          <w:b/>
          <w:bCs/>
          <w:sz w:val="30"/>
          <w:szCs w:val="30"/>
          <w:rtl/>
          <w:lang w:bidi="ar-EG"/>
        </w:rPr>
        <w:t>البيانات المالية والتشغيلية الأخرى (دولار أمريكي)</w:t>
      </w:r>
      <w:r w:rsidR="005868D5" w:rsidRPr="00BB0054">
        <w:rPr>
          <w:rFonts w:ascii="Traditional Arabic" w:hAnsi="Traditional Arabic" w:cs="Traditional Arabic" w:hint="cs"/>
          <w:b/>
          <w:bCs/>
          <w:sz w:val="30"/>
          <w:szCs w:val="30"/>
          <w:vertAlign w:val="superscript"/>
          <w:rtl/>
          <w:lang w:bidi="ar-EG"/>
        </w:rPr>
        <w:t>(1)</w:t>
      </w:r>
    </w:p>
    <w:p w14:paraId="79BA5FFC" w14:textId="77777777" w:rsidR="005868D5" w:rsidRDefault="005868D5" w:rsidP="005868D5">
      <w:pPr>
        <w:autoSpaceDE w:val="0"/>
        <w:autoSpaceDN w:val="0"/>
        <w:bidi/>
        <w:adjustRightInd w:val="0"/>
        <w:jc w:val="both"/>
        <w:rPr>
          <w:rFonts w:ascii="Traditional Arabic" w:hAnsi="Traditional Arabic" w:cs="Traditional Arabic"/>
          <w:sz w:val="30"/>
          <w:szCs w:val="30"/>
          <w:rtl/>
          <w:lang w:bidi="ar-EG"/>
        </w:rPr>
      </w:pPr>
    </w:p>
    <w:p w14:paraId="7E015249" w14:textId="77777777" w:rsidR="005868D5" w:rsidRDefault="005868D5" w:rsidP="005868D5">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توضح الجداول التالية بعض البيانات المالية والتشغيلية للشركة للسنوات المنتهية في 31 ديسمبر 2021، 2022، 2023، وفترة التسعة أشهر المنتهية في 30 سبتمبر 2023 و2024:</w:t>
      </w:r>
    </w:p>
    <w:tbl>
      <w:tblPr>
        <w:bidiVisual/>
        <w:tblW w:w="9066" w:type="dxa"/>
        <w:tblInd w:w="425" w:type="dxa"/>
        <w:tblLayout w:type="fixed"/>
        <w:tblCellMar>
          <w:left w:w="0" w:type="dxa"/>
          <w:right w:w="0" w:type="dxa"/>
        </w:tblCellMar>
        <w:tblLook w:val="0000" w:firstRow="0" w:lastRow="0" w:firstColumn="0" w:lastColumn="0" w:noHBand="0" w:noVBand="0"/>
      </w:tblPr>
      <w:tblGrid>
        <w:gridCol w:w="10"/>
        <w:gridCol w:w="3127"/>
        <w:gridCol w:w="8"/>
        <w:gridCol w:w="235"/>
        <w:gridCol w:w="668"/>
        <w:gridCol w:w="235"/>
        <w:gridCol w:w="8"/>
        <w:gridCol w:w="235"/>
        <w:gridCol w:w="658"/>
        <w:gridCol w:w="234"/>
        <w:gridCol w:w="9"/>
        <w:gridCol w:w="234"/>
        <w:gridCol w:w="658"/>
        <w:gridCol w:w="234"/>
        <w:gridCol w:w="9"/>
        <w:gridCol w:w="234"/>
        <w:gridCol w:w="658"/>
        <w:gridCol w:w="234"/>
        <w:gridCol w:w="9"/>
        <w:gridCol w:w="234"/>
        <w:gridCol w:w="658"/>
        <w:gridCol w:w="234"/>
        <w:gridCol w:w="9"/>
        <w:gridCol w:w="234"/>
      </w:tblGrid>
      <w:tr w:rsidR="00821D72" w:rsidRPr="00B02BA3" w14:paraId="1FC94460" w14:textId="77777777" w:rsidTr="00821D72">
        <w:trPr>
          <w:gridBefore w:val="1"/>
          <w:wBefore w:w="10" w:type="dxa"/>
          <w:tblHeader/>
        </w:trPr>
        <w:tc>
          <w:tcPr>
            <w:tcW w:w="3135" w:type="dxa"/>
            <w:gridSpan w:val="2"/>
            <w:vAlign w:val="center"/>
          </w:tcPr>
          <w:p w14:paraId="13BEB195" w14:textId="77777777" w:rsidR="00821D72" w:rsidRPr="00B02BA3" w:rsidRDefault="00821D72" w:rsidP="00821D72">
            <w:pPr>
              <w:keepNext/>
              <w:bidi/>
              <w:spacing w:before="40" w:after="120"/>
              <w:rPr>
                <w:b/>
                <w:sz w:val="17"/>
              </w:rPr>
            </w:pPr>
          </w:p>
        </w:tc>
        <w:tc>
          <w:tcPr>
            <w:tcW w:w="235" w:type="dxa"/>
            <w:vAlign w:val="center"/>
          </w:tcPr>
          <w:p w14:paraId="15AF6CBC" w14:textId="77777777" w:rsidR="00821D72" w:rsidRPr="00B02BA3" w:rsidRDefault="00821D72" w:rsidP="00821D72">
            <w:pPr>
              <w:bidi/>
              <w:spacing w:before="40" w:after="120"/>
              <w:jc w:val="center"/>
              <w:rPr>
                <w:sz w:val="17"/>
              </w:rPr>
            </w:pPr>
          </w:p>
        </w:tc>
        <w:tc>
          <w:tcPr>
            <w:tcW w:w="3182" w:type="dxa"/>
            <w:gridSpan w:val="11"/>
            <w:tcBorders>
              <w:bottom w:val="single" w:sz="4" w:space="0" w:color="auto"/>
            </w:tcBorders>
            <w:vAlign w:val="center"/>
          </w:tcPr>
          <w:p w14:paraId="05EB2657" w14:textId="77777777" w:rsidR="00821D72" w:rsidRPr="00B02BA3" w:rsidRDefault="00821D72" w:rsidP="00821D72">
            <w:pPr>
              <w:keepNext/>
              <w:bidi/>
              <w:spacing w:before="40" w:after="120"/>
              <w:jc w:val="right"/>
              <w:rPr>
                <w:b/>
                <w:sz w:val="17"/>
              </w:rPr>
            </w:pPr>
            <w:r w:rsidRPr="00B02BA3">
              <w:rPr>
                <w:b/>
                <w:sz w:val="17"/>
              </w:rPr>
              <w:t>Year Ended 31 December</w:t>
            </w:r>
          </w:p>
        </w:tc>
        <w:tc>
          <w:tcPr>
            <w:tcW w:w="234" w:type="dxa"/>
            <w:vAlign w:val="center"/>
          </w:tcPr>
          <w:p w14:paraId="292A9A5E" w14:textId="77777777" w:rsidR="00821D72" w:rsidRPr="00B02BA3" w:rsidRDefault="00821D72" w:rsidP="00821D72">
            <w:pPr>
              <w:bidi/>
              <w:spacing w:before="40" w:after="120"/>
              <w:jc w:val="center"/>
              <w:rPr>
                <w:sz w:val="17"/>
              </w:rPr>
            </w:pPr>
          </w:p>
        </w:tc>
        <w:tc>
          <w:tcPr>
            <w:tcW w:w="2036" w:type="dxa"/>
            <w:gridSpan w:val="7"/>
            <w:tcBorders>
              <w:bottom w:val="single" w:sz="4" w:space="0" w:color="auto"/>
            </w:tcBorders>
            <w:vAlign w:val="center"/>
          </w:tcPr>
          <w:p w14:paraId="6270DBEB" w14:textId="77777777" w:rsidR="00821D72" w:rsidRPr="00B02BA3" w:rsidRDefault="00821D72" w:rsidP="00821D72">
            <w:pPr>
              <w:keepNext/>
              <w:bidi/>
              <w:spacing w:before="40" w:after="120"/>
              <w:jc w:val="center"/>
              <w:rPr>
                <w:b/>
                <w:sz w:val="17"/>
              </w:rPr>
            </w:pPr>
            <w:r w:rsidRPr="00B02BA3">
              <w:rPr>
                <w:b/>
                <w:sz w:val="17"/>
              </w:rPr>
              <w:t>Nine Months Ended 30 September</w:t>
            </w:r>
          </w:p>
        </w:tc>
        <w:tc>
          <w:tcPr>
            <w:tcW w:w="234" w:type="dxa"/>
            <w:vAlign w:val="center"/>
          </w:tcPr>
          <w:p w14:paraId="1EB1A30F" w14:textId="77777777" w:rsidR="00821D72" w:rsidRPr="00B02BA3" w:rsidRDefault="00821D72" w:rsidP="00821D72">
            <w:pPr>
              <w:bidi/>
              <w:spacing w:before="40" w:after="120"/>
              <w:jc w:val="center"/>
              <w:rPr>
                <w:sz w:val="17"/>
              </w:rPr>
            </w:pPr>
          </w:p>
        </w:tc>
      </w:tr>
      <w:tr w:rsidR="00821D72" w:rsidRPr="00B02BA3" w14:paraId="3B6E58C6" w14:textId="77777777" w:rsidTr="00821D72">
        <w:trPr>
          <w:gridBefore w:val="1"/>
          <w:wBefore w:w="10" w:type="dxa"/>
        </w:trPr>
        <w:tc>
          <w:tcPr>
            <w:tcW w:w="3135" w:type="dxa"/>
            <w:gridSpan w:val="2"/>
            <w:vAlign w:val="center"/>
          </w:tcPr>
          <w:p w14:paraId="0750ED1F" w14:textId="77777777" w:rsidR="00821D72" w:rsidRPr="00B02BA3" w:rsidRDefault="00821D72" w:rsidP="00821D72">
            <w:pPr>
              <w:tabs>
                <w:tab w:val="right" w:leader="dot" w:pos="3163"/>
              </w:tabs>
              <w:bidi/>
              <w:spacing w:before="40" w:after="40"/>
              <w:rPr>
                <w:sz w:val="17"/>
              </w:rPr>
            </w:pPr>
          </w:p>
        </w:tc>
        <w:tc>
          <w:tcPr>
            <w:tcW w:w="235" w:type="dxa"/>
            <w:vAlign w:val="center"/>
          </w:tcPr>
          <w:p w14:paraId="46A5745C" w14:textId="77777777" w:rsidR="00821D72" w:rsidRPr="00B02BA3" w:rsidRDefault="00821D72" w:rsidP="00821D72">
            <w:pPr>
              <w:bidi/>
              <w:spacing w:before="40" w:after="40"/>
              <w:jc w:val="center"/>
              <w:rPr>
                <w:sz w:val="17"/>
              </w:rPr>
            </w:pPr>
          </w:p>
        </w:tc>
        <w:tc>
          <w:tcPr>
            <w:tcW w:w="911" w:type="dxa"/>
            <w:gridSpan w:val="3"/>
            <w:tcBorders>
              <w:top w:val="single" w:sz="4" w:space="0" w:color="auto"/>
              <w:bottom w:val="single" w:sz="4" w:space="0" w:color="auto"/>
            </w:tcBorders>
            <w:vAlign w:val="center"/>
          </w:tcPr>
          <w:p w14:paraId="546DCCCE" w14:textId="77777777" w:rsidR="00821D72" w:rsidRPr="00B02BA3" w:rsidRDefault="00821D72" w:rsidP="00821D72">
            <w:pPr>
              <w:bidi/>
              <w:spacing w:before="40" w:after="40"/>
              <w:jc w:val="right"/>
              <w:rPr>
                <w:b/>
                <w:bCs/>
                <w:sz w:val="17"/>
              </w:rPr>
            </w:pPr>
            <w:r w:rsidRPr="00B02BA3">
              <w:rPr>
                <w:b/>
                <w:bCs/>
                <w:sz w:val="17"/>
              </w:rPr>
              <w:t>2021</w:t>
            </w:r>
          </w:p>
        </w:tc>
        <w:tc>
          <w:tcPr>
            <w:tcW w:w="235" w:type="dxa"/>
            <w:tcBorders>
              <w:top w:val="single" w:sz="4" w:space="0" w:color="auto"/>
            </w:tcBorders>
            <w:vAlign w:val="center"/>
          </w:tcPr>
          <w:p w14:paraId="1356DD72" w14:textId="77777777" w:rsidR="00821D72" w:rsidRPr="00B02BA3" w:rsidRDefault="00821D72" w:rsidP="00821D72">
            <w:pPr>
              <w:bidi/>
              <w:spacing w:before="40" w:after="40"/>
              <w:jc w:val="right"/>
              <w:rPr>
                <w:b/>
                <w:bCs/>
                <w:sz w:val="17"/>
              </w:rPr>
            </w:pPr>
          </w:p>
        </w:tc>
        <w:tc>
          <w:tcPr>
            <w:tcW w:w="901" w:type="dxa"/>
            <w:gridSpan w:val="3"/>
            <w:tcBorders>
              <w:top w:val="single" w:sz="4" w:space="0" w:color="auto"/>
              <w:bottom w:val="single" w:sz="4" w:space="0" w:color="auto"/>
            </w:tcBorders>
            <w:vAlign w:val="center"/>
          </w:tcPr>
          <w:p w14:paraId="067A1364" w14:textId="77777777" w:rsidR="00821D72" w:rsidRPr="00B02BA3" w:rsidRDefault="00821D72" w:rsidP="00821D72">
            <w:pPr>
              <w:bidi/>
              <w:spacing w:before="40" w:after="40"/>
              <w:jc w:val="right"/>
              <w:rPr>
                <w:b/>
                <w:bCs/>
                <w:sz w:val="17"/>
              </w:rPr>
            </w:pPr>
            <w:r w:rsidRPr="00B02BA3">
              <w:rPr>
                <w:b/>
                <w:bCs/>
                <w:sz w:val="17"/>
              </w:rPr>
              <w:t>2022</w:t>
            </w:r>
          </w:p>
        </w:tc>
        <w:tc>
          <w:tcPr>
            <w:tcW w:w="234" w:type="dxa"/>
            <w:tcBorders>
              <w:top w:val="single" w:sz="4" w:space="0" w:color="auto"/>
            </w:tcBorders>
            <w:vAlign w:val="center"/>
          </w:tcPr>
          <w:p w14:paraId="1446A6EB" w14:textId="77777777" w:rsidR="00821D72" w:rsidRPr="00B02BA3" w:rsidRDefault="00821D72" w:rsidP="00821D72">
            <w:pPr>
              <w:bidi/>
              <w:spacing w:before="40" w:after="40"/>
              <w:jc w:val="right"/>
              <w:rPr>
                <w:b/>
                <w:bCs/>
                <w:sz w:val="17"/>
              </w:rPr>
            </w:pPr>
          </w:p>
        </w:tc>
        <w:tc>
          <w:tcPr>
            <w:tcW w:w="901" w:type="dxa"/>
            <w:gridSpan w:val="3"/>
            <w:tcBorders>
              <w:top w:val="single" w:sz="4" w:space="0" w:color="auto"/>
              <w:bottom w:val="single" w:sz="4" w:space="0" w:color="auto"/>
            </w:tcBorders>
            <w:vAlign w:val="center"/>
          </w:tcPr>
          <w:p w14:paraId="757E32B3" w14:textId="77777777" w:rsidR="00821D72" w:rsidRPr="00B02BA3" w:rsidRDefault="00821D72" w:rsidP="00821D72">
            <w:pPr>
              <w:bidi/>
              <w:spacing w:before="40" w:after="40"/>
              <w:jc w:val="right"/>
              <w:rPr>
                <w:b/>
                <w:bCs/>
                <w:sz w:val="17"/>
              </w:rPr>
            </w:pPr>
            <w:r w:rsidRPr="00B02BA3">
              <w:rPr>
                <w:b/>
                <w:bCs/>
                <w:sz w:val="17"/>
              </w:rPr>
              <w:t>2023</w:t>
            </w:r>
          </w:p>
        </w:tc>
        <w:tc>
          <w:tcPr>
            <w:tcW w:w="234" w:type="dxa"/>
            <w:vAlign w:val="center"/>
          </w:tcPr>
          <w:p w14:paraId="056BF91D" w14:textId="77777777" w:rsidR="00821D72" w:rsidRPr="00B02BA3" w:rsidRDefault="00821D72" w:rsidP="00821D72">
            <w:pPr>
              <w:bidi/>
              <w:spacing w:before="40" w:after="40"/>
              <w:jc w:val="center"/>
              <w:rPr>
                <w:b/>
                <w:bCs/>
                <w:sz w:val="17"/>
              </w:rPr>
            </w:pPr>
          </w:p>
        </w:tc>
        <w:tc>
          <w:tcPr>
            <w:tcW w:w="901" w:type="dxa"/>
            <w:gridSpan w:val="3"/>
            <w:tcBorders>
              <w:top w:val="single" w:sz="4" w:space="0" w:color="auto"/>
              <w:bottom w:val="single" w:sz="4" w:space="0" w:color="auto"/>
            </w:tcBorders>
            <w:vAlign w:val="center"/>
          </w:tcPr>
          <w:p w14:paraId="1A407939" w14:textId="77777777" w:rsidR="00821D72" w:rsidRPr="00B02BA3" w:rsidRDefault="00821D72" w:rsidP="00821D72">
            <w:pPr>
              <w:bidi/>
              <w:spacing w:before="40" w:after="40"/>
              <w:jc w:val="center"/>
              <w:rPr>
                <w:b/>
                <w:bCs/>
                <w:sz w:val="17"/>
              </w:rPr>
            </w:pPr>
            <w:r w:rsidRPr="00B02BA3">
              <w:rPr>
                <w:b/>
                <w:bCs/>
                <w:sz w:val="17"/>
              </w:rPr>
              <w:t>2023</w:t>
            </w:r>
          </w:p>
        </w:tc>
        <w:tc>
          <w:tcPr>
            <w:tcW w:w="234" w:type="dxa"/>
            <w:tcBorders>
              <w:top w:val="single" w:sz="4" w:space="0" w:color="auto"/>
            </w:tcBorders>
            <w:vAlign w:val="center"/>
          </w:tcPr>
          <w:p w14:paraId="36772F36" w14:textId="77777777" w:rsidR="00821D72" w:rsidRPr="00B02BA3" w:rsidRDefault="00821D72" w:rsidP="00821D72">
            <w:pPr>
              <w:bidi/>
              <w:spacing w:before="40" w:after="40"/>
              <w:jc w:val="center"/>
              <w:rPr>
                <w:b/>
                <w:bCs/>
                <w:sz w:val="17"/>
              </w:rPr>
            </w:pPr>
          </w:p>
        </w:tc>
        <w:tc>
          <w:tcPr>
            <w:tcW w:w="901" w:type="dxa"/>
            <w:gridSpan w:val="3"/>
            <w:tcBorders>
              <w:top w:val="single" w:sz="4" w:space="0" w:color="auto"/>
              <w:bottom w:val="single" w:sz="4" w:space="0" w:color="auto"/>
            </w:tcBorders>
            <w:vAlign w:val="center"/>
          </w:tcPr>
          <w:p w14:paraId="155B0A9A" w14:textId="77777777" w:rsidR="00821D72" w:rsidRPr="00B02BA3" w:rsidRDefault="00821D72" w:rsidP="00821D72">
            <w:pPr>
              <w:bidi/>
              <w:spacing w:before="40" w:after="40"/>
              <w:jc w:val="center"/>
              <w:rPr>
                <w:b/>
                <w:bCs/>
                <w:sz w:val="17"/>
              </w:rPr>
            </w:pPr>
            <w:r w:rsidRPr="00B02BA3">
              <w:rPr>
                <w:b/>
                <w:bCs/>
                <w:sz w:val="17"/>
              </w:rPr>
              <w:t>2024</w:t>
            </w:r>
          </w:p>
        </w:tc>
        <w:tc>
          <w:tcPr>
            <w:tcW w:w="234" w:type="dxa"/>
            <w:vAlign w:val="center"/>
          </w:tcPr>
          <w:p w14:paraId="60B28392" w14:textId="77777777" w:rsidR="00821D72" w:rsidRPr="00B02BA3" w:rsidRDefault="00821D72" w:rsidP="00821D72">
            <w:pPr>
              <w:bidi/>
              <w:spacing w:before="40" w:after="40"/>
              <w:jc w:val="center"/>
              <w:rPr>
                <w:sz w:val="17"/>
              </w:rPr>
            </w:pPr>
          </w:p>
        </w:tc>
      </w:tr>
      <w:tr w:rsidR="00821D72" w:rsidRPr="00B02BA3" w14:paraId="334D09B3" w14:textId="77777777" w:rsidTr="00821D72">
        <w:trPr>
          <w:gridBefore w:val="1"/>
          <w:wBefore w:w="10" w:type="dxa"/>
        </w:trPr>
        <w:tc>
          <w:tcPr>
            <w:tcW w:w="3135" w:type="dxa"/>
            <w:gridSpan w:val="2"/>
            <w:vAlign w:val="center"/>
          </w:tcPr>
          <w:p w14:paraId="13506A84" w14:textId="77777777" w:rsidR="00821D72" w:rsidRPr="00B02BA3" w:rsidRDefault="00821D72" w:rsidP="00821D72">
            <w:pPr>
              <w:tabs>
                <w:tab w:val="right" w:leader="dot" w:pos="3163"/>
              </w:tabs>
              <w:bidi/>
              <w:spacing w:before="40" w:after="40"/>
              <w:rPr>
                <w:i/>
                <w:iCs/>
                <w:sz w:val="17"/>
              </w:rPr>
            </w:pPr>
          </w:p>
        </w:tc>
        <w:tc>
          <w:tcPr>
            <w:tcW w:w="235" w:type="dxa"/>
            <w:vAlign w:val="center"/>
          </w:tcPr>
          <w:p w14:paraId="0F13017A" w14:textId="77777777" w:rsidR="00821D72" w:rsidRPr="00B02BA3" w:rsidRDefault="00821D72" w:rsidP="00821D72">
            <w:pPr>
              <w:bidi/>
              <w:spacing w:before="40" w:after="40"/>
              <w:jc w:val="center"/>
              <w:rPr>
                <w:i/>
                <w:iCs/>
                <w:sz w:val="17"/>
              </w:rPr>
            </w:pPr>
          </w:p>
        </w:tc>
        <w:tc>
          <w:tcPr>
            <w:tcW w:w="5452" w:type="dxa"/>
            <w:gridSpan w:val="19"/>
            <w:vAlign w:val="center"/>
          </w:tcPr>
          <w:p w14:paraId="672C6FA6" w14:textId="77777777" w:rsidR="00821D72" w:rsidRPr="00B02BA3" w:rsidRDefault="00821D72" w:rsidP="00821D72">
            <w:pPr>
              <w:bidi/>
              <w:spacing w:before="40" w:after="40"/>
              <w:jc w:val="right"/>
              <w:rPr>
                <w:i/>
                <w:iCs/>
                <w:sz w:val="17"/>
              </w:rPr>
            </w:pPr>
            <w:r w:rsidRPr="00B02BA3">
              <w:rPr>
                <w:i/>
                <w:iCs/>
                <w:sz w:val="17"/>
              </w:rPr>
              <w:t xml:space="preserve">(U.S.$ </w:t>
            </w:r>
            <w:r>
              <w:rPr>
                <w:i/>
                <w:iCs/>
                <w:sz w:val="17"/>
              </w:rPr>
              <w:t>millions,</w:t>
            </w:r>
            <w:r w:rsidRPr="00E834EF">
              <w:rPr>
                <w:i/>
                <w:color w:val="000000"/>
                <w:sz w:val="17"/>
                <w:szCs w:val="17"/>
              </w:rPr>
              <w:t xml:space="preserve"> except percentages</w:t>
            </w:r>
            <w:r w:rsidRPr="00B02BA3">
              <w:rPr>
                <w:i/>
                <w:iCs/>
                <w:sz w:val="17"/>
              </w:rPr>
              <w:t>)</w:t>
            </w:r>
          </w:p>
        </w:tc>
        <w:tc>
          <w:tcPr>
            <w:tcW w:w="234" w:type="dxa"/>
            <w:vAlign w:val="center"/>
          </w:tcPr>
          <w:p w14:paraId="2EC41457" w14:textId="77777777" w:rsidR="00821D72" w:rsidRPr="00B02BA3" w:rsidRDefault="00821D72" w:rsidP="00821D72">
            <w:pPr>
              <w:bidi/>
              <w:spacing w:before="40" w:after="40"/>
              <w:jc w:val="center"/>
              <w:rPr>
                <w:i/>
                <w:iCs/>
                <w:sz w:val="17"/>
              </w:rPr>
            </w:pPr>
          </w:p>
        </w:tc>
      </w:tr>
      <w:tr w:rsidR="00821D72" w:rsidRPr="00B02BA3" w14:paraId="70643E63" w14:textId="77777777" w:rsidTr="00821D72">
        <w:trPr>
          <w:gridBefore w:val="1"/>
          <w:wBefore w:w="10" w:type="dxa"/>
        </w:trPr>
        <w:tc>
          <w:tcPr>
            <w:tcW w:w="3135" w:type="dxa"/>
            <w:gridSpan w:val="2"/>
            <w:vAlign w:val="center"/>
          </w:tcPr>
          <w:p w14:paraId="2D79E56E" w14:textId="77777777" w:rsidR="00821D72" w:rsidRPr="009C0EEF" w:rsidRDefault="00821D72" w:rsidP="00821D72">
            <w:pPr>
              <w:tabs>
                <w:tab w:val="right" w:leader="dot" w:pos="3163"/>
              </w:tabs>
              <w:bidi/>
              <w:spacing w:before="40" w:after="40"/>
              <w:rPr>
                <w:sz w:val="17"/>
                <w:szCs w:val="17"/>
              </w:rPr>
            </w:pPr>
            <w:r>
              <w:rPr>
                <w:rFonts w:hint="cs"/>
                <w:szCs w:val="17"/>
                <w:rtl/>
              </w:rPr>
              <w:t>إيرادات مكافئ تأجير السفن المجهزة بالمدة</w:t>
            </w:r>
            <w:r w:rsidRPr="007766C5">
              <w:rPr>
                <w:szCs w:val="17"/>
                <w:vertAlign w:val="superscript"/>
              </w:rPr>
              <w:t>(</w:t>
            </w:r>
            <w:r>
              <w:rPr>
                <w:szCs w:val="17"/>
                <w:vertAlign w:val="superscript"/>
              </w:rPr>
              <w:t>1</w:t>
            </w:r>
            <w:r w:rsidRPr="007766C5">
              <w:rPr>
                <w:szCs w:val="17"/>
                <w:vertAlign w:val="superscript"/>
              </w:rPr>
              <w:t>)(</w:t>
            </w:r>
            <w:r>
              <w:rPr>
                <w:szCs w:val="17"/>
                <w:vertAlign w:val="superscript"/>
              </w:rPr>
              <w:t>2</w:t>
            </w:r>
            <w:r w:rsidRPr="007766C5">
              <w:rPr>
                <w:szCs w:val="17"/>
                <w:vertAlign w:val="superscript"/>
              </w:rPr>
              <w:t>)</w:t>
            </w:r>
          </w:p>
        </w:tc>
        <w:tc>
          <w:tcPr>
            <w:tcW w:w="235" w:type="dxa"/>
            <w:vAlign w:val="center"/>
          </w:tcPr>
          <w:p w14:paraId="386378CA" w14:textId="77777777" w:rsidR="00821D72" w:rsidRPr="009C0EEF" w:rsidRDefault="00821D72" w:rsidP="00821D72">
            <w:pPr>
              <w:bidi/>
              <w:spacing w:before="40" w:after="40"/>
              <w:jc w:val="center"/>
              <w:rPr>
                <w:sz w:val="17"/>
                <w:szCs w:val="17"/>
              </w:rPr>
            </w:pPr>
          </w:p>
        </w:tc>
        <w:tc>
          <w:tcPr>
            <w:tcW w:w="911" w:type="dxa"/>
            <w:gridSpan w:val="3"/>
            <w:vAlign w:val="center"/>
          </w:tcPr>
          <w:p w14:paraId="5B1DB054" w14:textId="77777777" w:rsidR="00821D72" w:rsidRPr="007A3BB2" w:rsidDel="009C0EEF" w:rsidRDefault="00821D72" w:rsidP="008C22F9">
            <w:pPr>
              <w:bidi/>
              <w:spacing w:before="40" w:after="40"/>
              <w:rPr>
                <w:sz w:val="16"/>
                <w:szCs w:val="16"/>
              </w:rPr>
            </w:pPr>
            <w:r w:rsidRPr="007A3BB2">
              <w:rPr>
                <w:sz w:val="16"/>
                <w:szCs w:val="16"/>
              </w:rPr>
              <w:t>470.3</w:t>
            </w:r>
          </w:p>
        </w:tc>
        <w:tc>
          <w:tcPr>
            <w:tcW w:w="235" w:type="dxa"/>
            <w:vAlign w:val="center"/>
          </w:tcPr>
          <w:p w14:paraId="1D026348" w14:textId="77777777" w:rsidR="00821D72" w:rsidRPr="007A3BB2" w:rsidRDefault="00821D72" w:rsidP="008C22F9">
            <w:pPr>
              <w:bidi/>
              <w:spacing w:before="40" w:after="40"/>
              <w:rPr>
                <w:sz w:val="16"/>
                <w:szCs w:val="16"/>
              </w:rPr>
            </w:pPr>
          </w:p>
        </w:tc>
        <w:tc>
          <w:tcPr>
            <w:tcW w:w="901" w:type="dxa"/>
            <w:gridSpan w:val="3"/>
            <w:vAlign w:val="center"/>
          </w:tcPr>
          <w:p w14:paraId="7FA76FAF" w14:textId="77777777" w:rsidR="00821D72" w:rsidRPr="007A3BB2" w:rsidDel="009C0EEF" w:rsidRDefault="00821D72" w:rsidP="008C22F9">
            <w:pPr>
              <w:bidi/>
              <w:spacing w:before="40" w:after="40"/>
              <w:rPr>
                <w:sz w:val="16"/>
                <w:szCs w:val="16"/>
              </w:rPr>
            </w:pPr>
            <w:r w:rsidRPr="007A3BB2">
              <w:rPr>
                <w:sz w:val="16"/>
                <w:szCs w:val="16"/>
              </w:rPr>
              <w:t>649.5</w:t>
            </w:r>
          </w:p>
        </w:tc>
        <w:tc>
          <w:tcPr>
            <w:tcW w:w="234" w:type="dxa"/>
            <w:vAlign w:val="center"/>
          </w:tcPr>
          <w:p w14:paraId="5574850F" w14:textId="77777777" w:rsidR="00821D72" w:rsidRPr="007A3BB2" w:rsidRDefault="00821D72" w:rsidP="008C22F9">
            <w:pPr>
              <w:bidi/>
              <w:spacing w:before="40" w:after="40"/>
              <w:rPr>
                <w:sz w:val="16"/>
                <w:szCs w:val="16"/>
              </w:rPr>
            </w:pPr>
          </w:p>
        </w:tc>
        <w:tc>
          <w:tcPr>
            <w:tcW w:w="901" w:type="dxa"/>
            <w:gridSpan w:val="3"/>
            <w:vAlign w:val="center"/>
          </w:tcPr>
          <w:p w14:paraId="72216D48" w14:textId="77777777" w:rsidR="00821D72" w:rsidRPr="007A3BB2" w:rsidDel="009C0EEF" w:rsidRDefault="00821D72" w:rsidP="008C22F9">
            <w:pPr>
              <w:bidi/>
              <w:spacing w:before="40" w:after="40"/>
              <w:rPr>
                <w:sz w:val="16"/>
                <w:szCs w:val="16"/>
              </w:rPr>
            </w:pPr>
            <w:r w:rsidRPr="007A3BB2">
              <w:rPr>
                <w:sz w:val="16"/>
                <w:szCs w:val="16"/>
              </w:rPr>
              <w:t>732.5</w:t>
            </w:r>
          </w:p>
        </w:tc>
        <w:tc>
          <w:tcPr>
            <w:tcW w:w="234" w:type="dxa"/>
            <w:vAlign w:val="center"/>
          </w:tcPr>
          <w:p w14:paraId="076A6563" w14:textId="77777777" w:rsidR="00821D72" w:rsidRPr="007A3BB2" w:rsidRDefault="00821D72" w:rsidP="008C22F9">
            <w:pPr>
              <w:bidi/>
              <w:spacing w:before="40" w:after="40"/>
              <w:rPr>
                <w:sz w:val="16"/>
                <w:szCs w:val="16"/>
              </w:rPr>
            </w:pPr>
          </w:p>
        </w:tc>
        <w:tc>
          <w:tcPr>
            <w:tcW w:w="901" w:type="dxa"/>
            <w:gridSpan w:val="3"/>
            <w:vAlign w:val="center"/>
          </w:tcPr>
          <w:p w14:paraId="17C02EC1" w14:textId="77777777" w:rsidR="00821D72" w:rsidRPr="007A3BB2" w:rsidDel="009C0EEF" w:rsidRDefault="00821D72" w:rsidP="008C22F9">
            <w:pPr>
              <w:bidi/>
              <w:spacing w:before="40" w:after="40"/>
              <w:rPr>
                <w:sz w:val="16"/>
                <w:szCs w:val="16"/>
              </w:rPr>
            </w:pPr>
            <w:r w:rsidRPr="007A3BB2">
              <w:rPr>
                <w:sz w:val="16"/>
                <w:szCs w:val="16"/>
              </w:rPr>
              <w:t>551.6</w:t>
            </w:r>
          </w:p>
        </w:tc>
        <w:tc>
          <w:tcPr>
            <w:tcW w:w="234" w:type="dxa"/>
            <w:vAlign w:val="center"/>
          </w:tcPr>
          <w:p w14:paraId="42CE66E6" w14:textId="77777777" w:rsidR="00821D72" w:rsidRPr="007A3BB2" w:rsidRDefault="00821D72" w:rsidP="008C22F9">
            <w:pPr>
              <w:bidi/>
              <w:spacing w:before="40" w:after="40"/>
              <w:rPr>
                <w:sz w:val="16"/>
                <w:szCs w:val="16"/>
              </w:rPr>
            </w:pPr>
          </w:p>
        </w:tc>
        <w:tc>
          <w:tcPr>
            <w:tcW w:w="901" w:type="dxa"/>
            <w:gridSpan w:val="3"/>
            <w:vAlign w:val="center"/>
          </w:tcPr>
          <w:p w14:paraId="034E55A8" w14:textId="77777777" w:rsidR="00821D72" w:rsidRPr="007A3BB2" w:rsidDel="009C0EEF" w:rsidRDefault="00821D72" w:rsidP="008C22F9">
            <w:pPr>
              <w:bidi/>
              <w:spacing w:before="40" w:after="40"/>
              <w:rPr>
                <w:sz w:val="16"/>
                <w:szCs w:val="16"/>
              </w:rPr>
            </w:pPr>
            <w:r w:rsidRPr="007A3BB2">
              <w:rPr>
                <w:sz w:val="16"/>
                <w:szCs w:val="16"/>
              </w:rPr>
              <w:t>613.3</w:t>
            </w:r>
          </w:p>
        </w:tc>
        <w:tc>
          <w:tcPr>
            <w:tcW w:w="234" w:type="dxa"/>
            <w:vAlign w:val="center"/>
          </w:tcPr>
          <w:p w14:paraId="6F38C82C" w14:textId="77777777" w:rsidR="00821D72" w:rsidRPr="009C0EEF" w:rsidRDefault="00821D72" w:rsidP="00821D72">
            <w:pPr>
              <w:bidi/>
              <w:spacing w:before="40" w:after="40"/>
              <w:jc w:val="center"/>
              <w:rPr>
                <w:sz w:val="17"/>
                <w:szCs w:val="17"/>
              </w:rPr>
            </w:pPr>
          </w:p>
        </w:tc>
      </w:tr>
      <w:tr w:rsidR="00821D72" w:rsidRPr="00B02BA3" w14:paraId="0C49CD30" w14:textId="77777777" w:rsidTr="00821D72">
        <w:trPr>
          <w:gridAfter w:val="2"/>
          <w:wAfter w:w="243" w:type="dxa"/>
        </w:trPr>
        <w:tc>
          <w:tcPr>
            <w:tcW w:w="3137" w:type="dxa"/>
            <w:gridSpan w:val="2"/>
            <w:vAlign w:val="center"/>
          </w:tcPr>
          <w:p w14:paraId="50BA5D37" w14:textId="77777777" w:rsidR="00821D72" w:rsidRDefault="00821D72" w:rsidP="00821D72">
            <w:pPr>
              <w:pStyle w:val="VSmCellBody"/>
              <w:tabs>
                <w:tab w:val="right" w:leader="dot" w:pos="3163"/>
              </w:tabs>
              <w:bidi/>
              <w:ind w:firstLine="421"/>
              <w:rPr>
                <w:szCs w:val="17"/>
              </w:rPr>
            </w:pPr>
            <w:r>
              <w:rPr>
                <w:rFonts w:hint="cs"/>
                <w:szCs w:val="17"/>
                <w:rtl/>
              </w:rPr>
              <w:t>إيرادات مكافئ تأجير السفن المجهزة بالمدة للنفط الخام</w:t>
            </w:r>
            <w:r w:rsidRPr="007766C5">
              <w:rPr>
                <w:szCs w:val="17"/>
                <w:vertAlign w:val="superscript"/>
              </w:rPr>
              <w:t>(</w:t>
            </w:r>
            <w:r>
              <w:rPr>
                <w:szCs w:val="17"/>
                <w:vertAlign w:val="superscript"/>
              </w:rPr>
              <w:t>1</w:t>
            </w:r>
            <w:r w:rsidRPr="007766C5">
              <w:rPr>
                <w:szCs w:val="17"/>
                <w:vertAlign w:val="superscript"/>
              </w:rPr>
              <w:t>)(</w:t>
            </w:r>
            <w:r>
              <w:rPr>
                <w:szCs w:val="17"/>
                <w:vertAlign w:val="superscript"/>
              </w:rPr>
              <w:t>3</w:t>
            </w:r>
            <w:r w:rsidRPr="007766C5">
              <w:rPr>
                <w:szCs w:val="17"/>
                <w:vertAlign w:val="superscript"/>
              </w:rPr>
              <w:t>)</w:t>
            </w:r>
          </w:p>
        </w:tc>
        <w:tc>
          <w:tcPr>
            <w:tcW w:w="911" w:type="dxa"/>
            <w:gridSpan w:val="3"/>
            <w:vAlign w:val="center"/>
          </w:tcPr>
          <w:p w14:paraId="1896ED8F" w14:textId="77777777" w:rsidR="00821D72" w:rsidRPr="007A3BB2" w:rsidRDefault="00821D72" w:rsidP="008C22F9">
            <w:pPr>
              <w:pStyle w:val="VSmCellBody"/>
              <w:bidi/>
              <w:jc w:val="center"/>
              <w:rPr>
                <w:sz w:val="16"/>
                <w:szCs w:val="16"/>
              </w:rPr>
            </w:pPr>
            <w:r w:rsidRPr="007A3BB2">
              <w:rPr>
                <w:color w:val="000000"/>
                <w:sz w:val="16"/>
                <w:szCs w:val="16"/>
              </w:rPr>
              <w:t>102.1</w:t>
            </w:r>
          </w:p>
        </w:tc>
        <w:tc>
          <w:tcPr>
            <w:tcW w:w="235" w:type="dxa"/>
            <w:vAlign w:val="center"/>
          </w:tcPr>
          <w:p w14:paraId="712453F9" w14:textId="77777777" w:rsidR="00821D72" w:rsidRPr="007A3BB2" w:rsidRDefault="00821D72" w:rsidP="008C22F9">
            <w:pPr>
              <w:pStyle w:val="CellRowSpacer"/>
              <w:bidi/>
              <w:jc w:val="center"/>
              <w:rPr>
                <w:sz w:val="16"/>
                <w:szCs w:val="16"/>
              </w:rPr>
            </w:pPr>
          </w:p>
        </w:tc>
        <w:tc>
          <w:tcPr>
            <w:tcW w:w="901" w:type="dxa"/>
            <w:gridSpan w:val="3"/>
            <w:vAlign w:val="center"/>
          </w:tcPr>
          <w:p w14:paraId="19B66D2C" w14:textId="77777777" w:rsidR="00821D72" w:rsidRPr="007A3BB2" w:rsidRDefault="00821D72" w:rsidP="008C22F9">
            <w:pPr>
              <w:pStyle w:val="VSmCellBody"/>
              <w:bidi/>
              <w:jc w:val="center"/>
              <w:rPr>
                <w:sz w:val="16"/>
                <w:szCs w:val="16"/>
              </w:rPr>
            </w:pPr>
            <w:r w:rsidRPr="007A3BB2">
              <w:rPr>
                <w:color w:val="000000"/>
                <w:sz w:val="16"/>
                <w:szCs w:val="16"/>
              </w:rPr>
              <w:t>165.3</w:t>
            </w:r>
          </w:p>
        </w:tc>
        <w:tc>
          <w:tcPr>
            <w:tcW w:w="234" w:type="dxa"/>
            <w:vAlign w:val="center"/>
          </w:tcPr>
          <w:p w14:paraId="0686F240" w14:textId="77777777" w:rsidR="00821D72" w:rsidRPr="007A3BB2" w:rsidRDefault="00821D72" w:rsidP="008C22F9">
            <w:pPr>
              <w:pStyle w:val="CellRowSpacer"/>
              <w:bidi/>
              <w:jc w:val="center"/>
              <w:rPr>
                <w:sz w:val="16"/>
                <w:szCs w:val="16"/>
              </w:rPr>
            </w:pPr>
          </w:p>
        </w:tc>
        <w:tc>
          <w:tcPr>
            <w:tcW w:w="901" w:type="dxa"/>
            <w:gridSpan w:val="3"/>
            <w:vAlign w:val="center"/>
          </w:tcPr>
          <w:p w14:paraId="02083CBF" w14:textId="77777777" w:rsidR="00821D72" w:rsidRPr="007A3BB2" w:rsidRDefault="00821D72" w:rsidP="008C22F9">
            <w:pPr>
              <w:pStyle w:val="VSmCellBody"/>
              <w:bidi/>
              <w:jc w:val="center"/>
              <w:rPr>
                <w:sz w:val="16"/>
                <w:szCs w:val="16"/>
              </w:rPr>
            </w:pPr>
            <w:r w:rsidRPr="007A3BB2">
              <w:rPr>
                <w:color w:val="000000"/>
                <w:sz w:val="16"/>
                <w:szCs w:val="16"/>
              </w:rPr>
              <w:t>243.7</w:t>
            </w:r>
          </w:p>
        </w:tc>
        <w:tc>
          <w:tcPr>
            <w:tcW w:w="234" w:type="dxa"/>
            <w:vAlign w:val="center"/>
          </w:tcPr>
          <w:p w14:paraId="110F2768" w14:textId="77777777" w:rsidR="00821D72" w:rsidRPr="007A3BB2" w:rsidRDefault="00821D72" w:rsidP="008C22F9">
            <w:pPr>
              <w:pStyle w:val="CellRowSpacer"/>
              <w:bidi/>
              <w:jc w:val="center"/>
              <w:rPr>
                <w:sz w:val="16"/>
                <w:szCs w:val="16"/>
              </w:rPr>
            </w:pPr>
          </w:p>
        </w:tc>
        <w:tc>
          <w:tcPr>
            <w:tcW w:w="901" w:type="dxa"/>
            <w:gridSpan w:val="3"/>
            <w:vAlign w:val="center"/>
          </w:tcPr>
          <w:p w14:paraId="0D678738" w14:textId="77777777" w:rsidR="00821D72" w:rsidRPr="007A3BB2" w:rsidRDefault="00821D72" w:rsidP="008C22F9">
            <w:pPr>
              <w:pStyle w:val="VSmCellBody"/>
              <w:bidi/>
              <w:jc w:val="center"/>
              <w:rPr>
                <w:sz w:val="16"/>
                <w:szCs w:val="16"/>
              </w:rPr>
            </w:pPr>
            <w:r w:rsidRPr="007A3BB2">
              <w:rPr>
                <w:color w:val="000000"/>
                <w:sz w:val="16"/>
                <w:szCs w:val="16"/>
              </w:rPr>
              <w:t>186.8</w:t>
            </w:r>
          </w:p>
        </w:tc>
        <w:tc>
          <w:tcPr>
            <w:tcW w:w="234" w:type="dxa"/>
            <w:vAlign w:val="center"/>
          </w:tcPr>
          <w:p w14:paraId="57BB2FEE" w14:textId="77777777" w:rsidR="00821D72" w:rsidRPr="007A3BB2" w:rsidRDefault="00821D72" w:rsidP="008C22F9">
            <w:pPr>
              <w:pStyle w:val="CellRowSpacer"/>
              <w:bidi/>
              <w:jc w:val="center"/>
              <w:rPr>
                <w:sz w:val="16"/>
                <w:szCs w:val="16"/>
              </w:rPr>
            </w:pPr>
          </w:p>
        </w:tc>
        <w:tc>
          <w:tcPr>
            <w:tcW w:w="901" w:type="dxa"/>
            <w:gridSpan w:val="3"/>
            <w:vAlign w:val="center"/>
          </w:tcPr>
          <w:p w14:paraId="432AAD54" w14:textId="77777777" w:rsidR="00821D72" w:rsidRPr="007A3BB2" w:rsidRDefault="00821D72" w:rsidP="008C22F9">
            <w:pPr>
              <w:pStyle w:val="VSmCellBody"/>
              <w:bidi/>
              <w:jc w:val="center"/>
              <w:rPr>
                <w:sz w:val="16"/>
                <w:szCs w:val="16"/>
              </w:rPr>
            </w:pPr>
            <w:r w:rsidRPr="007A3BB2">
              <w:rPr>
                <w:color w:val="000000"/>
                <w:sz w:val="16"/>
                <w:szCs w:val="16"/>
              </w:rPr>
              <w:t>171.2</w:t>
            </w:r>
          </w:p>
        </w:tc>
        <w:tc>
          <w:tcPr>
            <w:tcW w:w="234" w:type="dxa"/>
            <w:vAlign w:val="center"/>
          </w:tcPr>
          <w:p w14:paraId="5748509F" w14:textId="77777777" w:rsidR="00821D72" w:rsidRPr="00B02BA3" w:rsidRDefault="00821D72" w:rsidP="00821D72">
            <w:pPr>
              <w:pStyle w:val="CellRowSpacer"/>
              <w:bidi/>
              <w:jc w:val="center"/>
              <w:rPr>
                <w:sz w:val="17"/>
              </w:rPr>
            </w:pPr>
          </w:p>
        </w:tc>
      </w:tr>
      <w:tr w:rsidR="00821D72" w:rsidRPr="00B02BA3" w14:paraId="6A6B81D1" w14:textId="77777777" w:rsidTr="00821D72">
        <w:trPr>
          <w:gridAfter w:val="2"/>
          <w:wAfter w:w="243" w:type="dxa"/>
        </w:trPr>
        <w:tc>
          <w:tcPr>
            <w:tcW w:w="3137" w:type="dxa"/>
            <w:gridSpan w:val="2"/>
            <w:vAlign w:val="center"/>
          </w:tcPr>
          <w:p w14:paraId="065173B9" w14:textId="77777777" w:rsidR="00821D72" w:rsidRDefault="00821D72" w:rsidP="00821D72">
            <w:pPr>
              <w:pStyle w:val="VSmCellBody"/>
              <w:tabs>
                <w:tab w:val="right" w:leader="dot" w:pos="3163"/>
              </w:tabs>
              <w:bidi/>
              <w:ind w:firstLine="421"/>
              <w:rPr>
                <w:szCs w:val="17"/>
              </w:rPr>
            </w:pPr>
            <w:r>
              <w:rPr>
                <w:rFonts w:hint="cs"/>
                <w:szCs w:val="17"/>
                <w:rtl/>
              </w:rPr>
              <w:t>إيرادات مكافئ تأجير السفن المجهزة بالمدة للمنتجات</w:t>
            </w:r>
            <w:r w:rsidRPr="007766C5">
              <w:rPr>
                <w:szCs w:val="17"/>
                <w:vertAlign w:val="superscript"/>
              </w:rPr>
              <w:t>(</w:t>
            </w:r>
            <w:r>
              <w:rPr>
                <w:szCs w:val="17"/>
                <w:vertAlign w:val="superscript"/>
              </w:rPr>
              <w:t>1</w:t>
            </w:r>
            <w:r w:rsidRPr="007766C5">
              <w:rPr>
                <w:szCs w:val="17"/>
                <w:vertAlign w:val="superscript"/>
              </w:rPr>
              <w:t>)(</w:t>
            </w:r>
            <w:r>
              <w:rPr>
                <w:szCs w:val="17"/>
                <w:vertAlign w:val="superscript"/>
              </w:rPr>
              <w:t>4</w:t>
            </w:r>
            <w:r w:rsidRPr="007766C5">
              <w:rPr>
                <w:szCs w:val="17"/>
                <w:vertAlign w:val="superscript"/>
              </w:rPr>
              <w:t>)</w:t>
            </w:r>
          </w:p>
        </w:tc>
        <w:tc>
          <w:tcPr>
            <w:tcW w:w="911" w:type="dxa"/>
            <w:gridSpan w:val="3"/>
            <w:vAlign w:val="center"/>
          </w:tcPr>
          <w:p w14:paraId="7DD1260B" w14:textId="77777777" w:rsidR="00821D72" w:rsidRPr="007A3BB2" w:rsidRDefault="00821D72" w:rsidP="008C22F9">
            <w:pPr>
              <w:pStyle w:val="VSmCellBody"/>
              <w:bidi/>
              <w:jc w:val="center"/>
              <w:rPr>
                <w:sz w:val="16"/>
                <w:szCs w:val="16"/>
              </w:rPr>
            </w:pPr>
            <w:r w:rsidRPr="007A3BB2">
              <w:rPr>
                <w:color w:val="000000"/>
                <w:sz w:val="16"/>
                <w:szCs w:val="16"/>
              </w:rPr>
              <w:t>73.8</w:t>
            </w:r>
          </w:p>
        </w:tc>
        <w:tc>
          <w:tcPr>
            <w:tcW w:w="235" w:type="dxa"/>
            <w:vAlign w:val="center"/>
          </w:tcPr>
          <w:p w14:paraId="5BAD69C8" w14:textId="77777777" w:rsidR="00821D72" w:rsidRPr="007A3BB2" w:rsidRDefault="00821D72" w:rsidP="008C22F9">
            <w:pPr>
              <w:pStyle w:val="CellRowSpacer"/>
              <w:bidi/>
              <w:jc w:val="center"/>
              <w:rPr>
                <w:sz w:val="16"/>
                <w:szCs w:val="16"/>
              </w:rPr>
            </w:pPr>
          </w:p>
        </w:tc>
        <w:tc>
          <w:tcPr>
            <w:tcW w:w="901" w:type="dxa"/>
            <w:gridSpan w:val="3"/>
            <w:vAlign w:val="center"/>
          </w:tcPr>
          <w:p w14:paraId="26C00C2D" w14:textId="77777777" w:rsidR="00821D72" w:rsidRPr="007A3BB2" w:rsidRDefault="00821D72" w:rsidP="008C22F9">
            <w:pPr>
              <w:pStyle w:val="VSmCellBody"/>
              <w:bidi/>
              <w:jc w:val="center"/>
              <w:rPr>
                <w:sz w:val="16"/>
                <w:szCs w:val="16"/>
              </w:rPr>
            </w:pPr>
            <w:r w:rsidRPr="007A3BB2">
              <w:rPr>
                <w:color w:val="000000"/>
                <w:sz w:val="16"/>
                <w:szCs w:val="16"/>
              </w:rPr>
              <w:t>128.3</w:t>
            </w:r>
          </w:p>
        </w:tc>
        <w:tc>
          <w:tcPr>
            <w:tcW w:w="234" w:type="dxa"/>
            <w:vAlign w:val="center"/>
          </w:tcPr>
          <w:p w14:paraId="309FF11E" w14:textId="77777777" w:rsidR="00821D72" w:rsidRPr="007A3BB2" w:rsidRDefault="00821D72" w:rsidP="008C22F9">
            <w:pPr>
              <w:pStyle w:val="CellRowSpacer"/>
              <w:bidi/>
              <w:jc w:val="center"/>
              <w:rPr>
                <w:sz w:val="16"/>
                <w:szCs w:val="16"/>
              </w:rPr>
            </w:pPr>
          </w:p>
        </w:tc>
        <w:tc>
          <w:tcPr>
            <w:tcW w:w="901" w:type="dxa"/>
            <w:gridSpan w:val="3"/>
            <w:vAlign w:val="center"/>
          </w:tcPr>
          <w:p w14:paraId="02F1CC6A" w14:textId="77777777" w:rsidR="00821D72" w:rsidRPr="007A3BB2" w:rsidRDefault="00821D72" w:rsidP="008C22F9">
            <w:pPr>
              <w:pStyle w:val="VSmCellBody"/>
              <w:bidi/>
              <w:jc w:val="center"/>
              <w:rPr>
                <w:sz w:val="16"/>
                <w:szCs w:val="16"/>
              </w:rPr>
            </w:pPr>
            <w:r w:rsidRPr="007A3BB2">
              <w:rPr>
                <w:color w:val="000000"/>
                <w:sz w:val="16"/>
                <w:szCs w:val="16"/>
              </w:rPr>
              <w:t>199.9</w:t>
            </w:r>
          </w:p>
        </w:tc>
        <w:tc>
          <w:tcPr>
            <w:tcW w:w="234" w:type="dxa"/>
            <w:vAlign w:val="center"/>
          </w:tcPr>
          <w:p w14:paraId="113BC10C" w14:textId="77777777" w:rsidR="00821D72" w:rsidRPr="007A3BB2" w:rsidRDefault="00821D72" w:rsidP="008C22F9">
            <w:pPr>
              <w:pStyle w:val="CellRowSpacer"/>
              <w:bidi/>
              <w:jc w:val="center"/>
              <w:rPr>
                <w:sz w:val="16"/>
                <w:szCs w:val="16"/>
              </w:rPr>
            </w:pPr>
          </w:p>
        </w:tc>
        <w:tc>
          <w:tcPr>
            <w:tcW w:w="901" w:type="dxa"/>
            <w:gridSpan w:val="3"/>
            <w:vAlign w:val="center"/>
          </w:tcPr>
          <w:p w14:paraId="3C69A83A" w14:textId="77777777" w:rsidR="00821D72" w:rsidRPr="007A3BB2" w:rsidRDefault="00821D72" w:rsidP="008C22F9">
            <w:pPr>
              <w:pStyle w:val="VSmCellBody"/>
              <w:bidi/>
              <w:jc w:val="center"/>
              <w:rPr>
                <w:sz w:val="16"/>
                <w:szCs w:val="16"/>
              </w:rPr>
            </w:pPr>
            <w:r w:rsidRPr="007A3BB2">
              <w:rPr>
                <w:color w:val="000000"/>
                <w:sz w:val="16"/>
                <w:szCs w:val="16"/>
              </w:rPr>
              <w:t>144.1</w:t>
            </w:r>
          </w:p>
        </w:tc>
        <w:tc>
          <w:tcPr>
            <w:tcW w:w="234" w:type="dxa"/>
            <w:vAlign w:val="center"/>
          </w:tcPr>
          <w:p w14:paraId="3C6792C3" w14:textId="77777777" w:rsidR="00821D72" w:rsidRPr="007A3BB2" w:rsidRDefault="00821D72" w:rsidP="008C22F9">
            <w:pPr>
              <w:pStyle w:val="CellRowSpacer"/>
              <w:bidi/>
              <w:jc w:val="center"/>
              <w:rPr>
                <w:sz w:val="16"/>
                <w:szCs w:val="16"/>
              </w:rPr>
            </w:pPr>
          </w:p>
        </w:tc>
        <w:tc>
          <w:tcPr>
            <w:tcW w:w="901" w:type="dxa"/>
            <w:gridSpan w:val="3"/>
            <w:vAlign w:val="center"/>
          </w:tcPr>
          <w:p w14:paraId="6C760693" w14:textId="77777777" w:rsidR="00821D72" w:rsidRPr="007A3BB2" w:rsidRDefault="00821D72" w:rsidP="008C22F9">
            <w:pPr>
              <w:pStyle w:val="VSmCellBody"/>
              <w:bidi/>
              <w:jc w:val="center"/>
              <w:rPr>
                <w:sz w:val="16"/>
                <w:szCs w:val="16"/>
              </w:rPr>
            </w:pPr>
            <w:r w:rsidRPr="007A3BB2">
              <w:rPr>
                <w:color w:val="000000"/>
                <w:sz w:val="16"/>
                <w:szCs w:val="16"/>
              </w:rPr>
              <w:t>191.0</w:t>
            </w:r>
          </w:p>
        </w:tc>
        <w:tc>
          <w:tcPr>
            <w:tcW w:w="234" w:type="dxa"/>
            <w:vAlign w:val="center"/>
          </w:tcPr>
          <w:p w14:paraId="06E7170A" w14:textId="77777777" w:rsidR="00821D72" w:rsidRPr="00B02BA3" w:rsidRDefault="00821D72" w:rsidP="00821D72">
            <w:pPr>
              <w:pStyle w:val="CellRowSpacer"/>
              <w:bidi/>
              <w:jc w:val="center"/>
              <w:rPr>
                <w:sz w:val="17"/>
              </w:rPr>
            </w:pPr>
          </w:p>
        </w:tc>
      </w:tr>
      <w:tr w:rsidR="00821D72" w:rsidRPr="00B02BA3" w14:paraId="6F2FD50E" w14:textId="77777777" w:rsidTr="00821D72">
        <w:trPr>
          <w:gridAfter w:val="2"/>
          <w:wAfter w:w="243" w:type="dxa"/>
        </w:trPr>
        <w:tc>
          <w:tcPr>
            <w:tcW w:w="3137" w:type="dxa"/>
            <w:gridSpan w:val="2"/>
            <w:vAlign w:val="center"/>
          </w:tcPr>
          <w:p w14:paraId="39602F0E" w14:textId="77777777" w:rsidR="00821D72" w:rsidRDefault="00821D72" w:rsidP="00821D72">
            <w:pPr>
              <w:pStyle w:val="VSmCellBody"/>
              <w:tabs>
                <w:tab w:val="right" w:leader="dot" w:pos="3163"/>
              </w:tabs>
              <w:bidi/>
              <w:ind w:firstLine="421"/>
              <w:rPr>
                <w:szCs w:val="17"/>
              </w:rPr>
            </w:pPr>
            <w:r>
              <w:rPr>
                <w:rFonts w:hint="cs"/>
                <w:szCs w:val="17"/>
                <w:rtl/>
              </w:rPr>
              <w:t xml:space="preserve">إيرادات مكافئ تأجير السفن المجهزة بالمدة للبضائع السائبة الجافة </w:t>
            </w:r>
            <w:r w:rsidRPr="007766C5">
              <w:rPr>
                <w:szCs w:val="17"/>
                <w:vertAlign w:val="superscript"/>
              </w:rPr>
              <w:t>(</w:t>
            </w:r>
            <w:r>
              <w:rPr>
                <w:szCs w:val="17"/>
                <w:vertAlign w:val="superscript"/>
              </w:rPr>
              <w:t>1</w:t>
            </w:r>
            <w:r w:rsidRPr="007766C5">
              <w:rPr>
                <w:szCs w:val="17"/>
                <w:vertAlign w:val="superscript"/>
              </w:rPr>
              <w:t>)(</w:t>
            </w:r>
            <w:r>
              <w:rPr>
                <w:szCs w:val="17"/>
                <w:vertAlign w:val="superscript"/>
              </w:rPr>
              <w:t>5</w:t>
            </w:r>
            <w:r w:rsidRPr="007766C5">
              <w:rPr>
                <w:szCs w:val="17"/>
                <w:vertAlign w:val="superscript"/>
              </w:rPr>
              <w:t>)</w:t>
            </w:r>
          </w:p>
        </w:tc>
        <w:tc>
          <w:tcPr>
            <w:tcW w:w="911" w:type="dxa"/>
            <w:gridSpan w:val="3"/>
            <w:vAlign w:val="center"/>
          </w:tcPr>
          <w:p w14:paraId="39F9F6CA" w14:textId="77777777" w:rsidR="00821D72" w:rsidRPr="007A3BB2" w:rsidRDefault="00821D72" w:rsidP="008C22F9">
            <w:pPr>
              <w:pStyle w:val="VSmCellBody"/>
              <w:bidi/>
              <w:jc w:val="center"/>
              <w:rPr>
                <w:sz w:val="16"/>
                <w:szCs w:val="16"/>
              </w:rPr>
            </w:pPr>
            <w:r w:rsidRPr="007A3BB2">
              <w:rPr>
                <w:color w:val="000000"/>
                <w:sz w:val="16"/>
                <w:szCs w:val="16"/>
              </w:rPr>
              <w:t>139.6</w:t>
            </w:r>
          </w:p>
        </w:tc>
        <w:tc>
          <w:tcPr>
            <w:tcW w:w="235" w:type="dxa"/>
            <w:vAlign w:val="center"/>
          </w:tcPr>
          <w:p w14:paraId="457D80E5" w14:textId="77777777" w:rsidR="00821D72" w:rsidRPr="007A3BB2" w:rsidRDefault="00821D72" w:rsidP="008C22F9">
            <w:pPr>
              <w:pStyle w:val="CellRowSpacer"/>
              <w:bidi/>
              <w:jc w:val="center"/>
              <w:rPr>
                <w:sz w:val="16"/>
                <w:szCs w:val="16"/>
              </w:rPr>
            </w:pPr>
          </w:p>
        </w:tc>
        <w:tc>
          <w:tcPr>
            <w:tcW w:w="901" w:type="dxa"/>
            <w:gridSpan w:val="3"/>
            <w:vAlign w:val="center"/>
          </w:tcPr>
          <w:p w14:paraId="7AC69F0A" w14:textId="77777777" w:rsidR="00821D72" w:rsidRPr="007A3BB2" w:rsidRDefault="00821D72" w:rsidP="008C22F9">
            <w:pPr>
              <w:pStyle w:val="VSmCellBody"/>
              <w:bidi/>
              <w:jc w:val="center"/>
              <w:rPr>
                <w:sz w:val="16"/>
                <w:szCs w:val="16"/>
              </w:rPr>
            </w:pPr>
            <w:r w:rsidRPr="007A3BB2">
              <w:rPr>
                <w:color w:val="000000"/>
                <w:sz w:val="16"/>
                <w:szCs w:val="16"/>
              </w:rPr>
              <w:t>162.1</w:t>
            </w:r>
          </w:p>
        </w:tc>
        <w:tc>
          <w:tcPr>
            <w:tcW w:w="234" w:type="dxa"/>
            <w:vAlign w:val="center"/>
          </w:tcPr>
          <w:p w14:paraId="30D03846" w14:textId="77777777" w:rsidR="00821D72" w:rsidRPr="007A3BB2" w:rsidRDefault="00821D72" w:rsidP="008C22F9">
            <w:pPr>
              <w:pStyle w:val="CellRowSpacer"/>
              <w:bidi/>
              <w:jc w:val="center"/>
              <w:rPr>
                <w:sz w:val="16"/>
                <w:szCs w:val="16"/>
              </w:rPr>
            </w:pPr>
          </w:p>
        </w:tc>
        <w:tc>
          <w:tcPr>
            <w:tcW w:w="901" w:type="dxa"/>
            <w:gridSpan w:val="3"/>
            <w:vAlign w:val="center"/>
          </w:tcPr>
          <w:p w14:paraId="3F0B8FCD" w14:textId="77777777" w:rsidR="00821D72" w:rsidRPr="007A3BB2" w:rsidRDefault="00821D72" w:rsidP="008C22F9">
            <w:pPr>
              <w:pStyle w:val="VSmCellBody"/>
              <w:bidi/>
              <w:jc w:val="center"/>
              <w:rPr>
                <w:sz w:val="16"/>
                <w:szCs w:val="16"/>
              </w:rPr>
            </w:pPr>
            <w:r w:rsidRPr="007A3BB2">
              <w:rPr>
                <w:color w:val="000000"/>
                <w:sz w:val="16"/>
                <w:szCs w:val="16"/>
              </w:rPr>
              <w:t>140.7</w:t>
            </w:r>
          </w:p>
        </w:tc>
        <w:tc>
          <w:tcPr>
            <w:tcW w:w="234" w:type="dxa"/>
            <w:vAlign w:val="center"/>
          </w:tcPr>
          <w:p w14:paraId="3998720E" w14:textId="77777777" w:rsidR="00821D72" w:rsidRPr="007A3BB2" w:rsidRDefault="00821D72" w:rsidP="008C22F9">
            <w:pPr>
              <w:pStyle w:val="CellRowSpacer"/>
              <w:bidi/>
              <w:jc w:val="center"/>
              <w:rPr>
                <w:sz w:val="16"/>
                <w:szCs w:val="16"/>
              </w:rPr>
            </w:pPr>
          </w:p>
        </w:tc>
        <w:tc>
          <w:tcPr>
            <w:tcW w:w="901" w:type="dxa"/>
            <w:gridSpan w:val="3"/>
            <w:vAlign w:val="center"/>
          </w:tcPr>
          <w:p w14:paraId="285C60F9" w14:textId="77777777" w:rsidR="00821D72" w:rsidRPr="007A3BB2" w:rsidRDefault="00821D72" w:rsidP="008C22F9">
            <w:pPr>
              <w:pStyle w:val="VSmCellBody"/>
              <w:bidi/>
              <w:jc w:val="center"/>
              <w:rPr>
                <w:sz w:val="16"/>
                <w:szCs w:val="16"/>
              </w:rPr>
            </w:pPr>
            <w:r w:rsidRPr="007A3BB2">
              <w:rPr>
                <w:color w:val="000000"/>
                <w:sz w:val="16"/>
                <w:szCs w:val="16"/>
              </w:rPr>
              <w:t>105.5</w:t>
            </w:r>
          </w:p>
        </w:tc>
        <w:tc>
          <w:tcPr>
            <w:tcW w:w="234" w:type="dxa"/>
            <w:vAlign w:val="center"/>
          </w:tcPr>
          <w:p w14:paraId="7B00FAC8" w14:textId="77777777" w:rsidR="00821D72" w:rsidRPr="007A3BB2" w:rsidRDefault="00821D72" w:rsidP="008C22F9">
            <w:pPr>
              <w:pStyle w:val="CellRowSpacer"/>
              <w:bidi/>
              <w:jc w:val="center"/>
              <w:rPr>
                <w:sz w:val="16"/>
                <w:szCs w:val="16"/>
              </w:rPr>
            </w:pPr>
          </w:p>
        </w:tc>
        <w:tc>
          <w:tcPr>
            <w:tcW w:w="901" w:type="dxa"/>
            <w:gridSpan w:val="3"/>
            <w:vAlign w:val="center"/>
          </w:tcPr>
          <w:p w14:paraId="6FA1D20D" w14:textId="77777777" w:rsidR="00821D72" w:rsidRPr="007A3BB2" w:rsidRDefault="00821D72" w:rsidP="008C22F9">
            <w:pPr>
              <w:pStyle w:val="VSmCellBody"/>
              <w:bidi/>
              <w:jc w:val="center"/>
              <w:rPr>
                <w:sz w:val="16"/>
                <w:szCs w:val="16"/>
              </w:rPr>
            </w:pPr>
            <w:r w:rsidRPr="007A3BB2">
              <w:rPr>
                <w:color w:val="000000"/>
                <w:sz w:val="16"/>
                <w:szCs w:val="16"/>
              </w:rPr>
              <w:t>106.6</w:t>
            </w:r>
          </w:p>
        </w:tc>
        <w:tc>
          <w:tcPr>
            <w:tcW w:w="234" w:type="dxa"/>
            <w:vAlign w:val="center"/>
          </w:tcPr>
          <w:p w14:paraId="2E041F41" w14:textId="77777777" w:rsidR="00821D72" w:rsidRPr="00B02BA3" w:rsidRDefault="00821D72" w:rsidP="00821D72">
            <w:pPr>
              <w:pStyle w:val="CellRowSpacer"/>
              <w:bidi/>
              <w:jc w:val="center"/>
              <w:rPr>
                <w:sz w:val="17"/>
              </w:rPr>
            </w:pPr>
          </w:p>
        </w:tc>
      </w:tr>
      <w:tr w:rsidR="00821D72" w:rsidRPr="00B02BA3" w14:paraId="5D6F88EE" w14:textId="77777777" w:rsidTr="00821D72">
        <w:trPr>
          <w:gridAfter w:val="2"/>
          <w:wAfter w:w="243" w:type="dxa"/>
        </w:trPr>
        <w:tc>
          <w:tcPr>
            <w:tcW w:w="3137" w:type="dxa"/>
            <w:gridSpan w:val="2"/>
            <w:vAlign w:val="center"/>
          </w:tcPr>
          <w:p w14:paraId="190D6F20" w14:textId="77777777" w:rsidR="00821D72" w:rsidRDefault="00821D72" w:rsidP="00821D72">
            <w:pPr>
              <w:pStyle w:val="VSmCellBody"/>
              <w:tabs>
                <w:tab w:val="right" w:leader="dot" w:pos="3163"/>
              </w:tabs>
              <w:bidi/>
              <w:ind w:firstLine="421"/>
              <w:rPr>
                <w:szCs w:val="17"/>
              </w:rPr>
            </w:pPr>
            <w:r>
              <w:rPr>
                <w:rFonts w:hint="cs"/>
                <w:szCs w:val="17"/>
                <w:rtl/>
              </w:rPr>
              <w:t>إيرادات مكافئ تأجير السفن المجهزة بالمدة للغاز</w:t>
            </w:r>
            <w:r w:rsidRPr="007766C5">
              <w:rPr>
                <w:szCs w:val="17"/>
                <w:vertAlign w:val="superscript"/>
              </w:rPr>
              <w:t>(</w:t>
            </w:r>
            <w:r>
              <w:rPr>
                <w:szCs w:val="17"/>
                <w:vertAlign w:val="superscript"/>
              </w:rPr>
              <w:t>1</w:t>
            </w:r>
            <w:r w:rsidRPr="007766C5">
              <w:rPr>
                <w:szCs w:val="17"/>
                <w:vertAlign w:val="superscript"/>
              </w:rPr>
              <w:t>)(</w:t>
            </w:r>
            <w:r>
              <w:rPr>
                <w:szCs w:val="17"/>
                <w:vertAlign w:val="superscript"/>
              </w:rPr>
              <w:t>6</w:t>
            </w:r>
            <w:r w:rsidRPr="007766C5">
              <w:rPr>
                <w:szCs w:val="17"/>
                <w:vertAlign w:val="superscript"/>
              </w:rPr>
              <w:t>)</w:t>
            </w:r>
          </w:p>
        </w:tc>
        <w:tc>
          <w:tcPr>
            <w:tcW w:w="911" w:type="dxa"/>
            <w:gridSpan w:val="3"/>
            <w:vAlign w:val="center"/>
          </w:tcPr>
          <w:p w14:paraId="336CEDFA" w14:textId="77777777" w:rsidR="00821D72" w:rsidRPr="007A3BB2" w:rsidRDefault="00821D72" w:rsidP="008C22F9">
            <w:pPr>
              <w:pStyle w:val="VSmCellBody"/>
              <w:bidi/>
              <w:jc w:val="center"/>
              <w:rPr>
                <w:sz w:val="16"/>
                <w:szCs w:val="16"/>
              </w:rPr>
            </w:pPr>
            <w:r w:rsidRPr="007A3BB2">
              <w:rPr>
                <w:color w:val="000000"/>
                <w:sz w:val="16"/>
                <w:szCs w:val="16"/>
              </w:rPr>
              <w:t>95.8</w:t>
            </w:r>
          </w:p>
        </w:tc>
        <w:tc>
          <w:tcPr>
            <w:tcW w:w="235" w:type="dxa"/>
            <w:vAlign w:val="center"/>
          </w:tcPr>
          <w:p w14:paraId="74F25101" w14:textId="77777777" w:rsidR="00821D72" w:rsidRPr="007A3BB2" w:rsidRDefault="00821D72" w:rsidP="008C22F9">
            <w:pPr>
              <w:pStyle w:val="CellRowSpacer"/>
              <w:bidi/>
              <w:jc w:val="center"/>
              <w:rPr>
                <w:sz w:val="16"/>
                <w:szCs w:val="16"/>
              </w:rPr>
            </w:pPr>
          </w:p>
        </w:tc>
        <w:tc>
          <w:tcPr>
            <w:tcW w:w="901" w:type="dxa"/>
            <w:gridSpan w:val="3"/>
            <w:vAlign w:val="center"/>
          </w:tcPr>
          <w:p w14:paraId="0F1A949E" w14:textId="77777777" w:rsidR="00821D72" w:rsidRPr="007A3BB2" w:rsidRDefault="00821D72" w:rsidP="008C22F9">
            <w:pPr>
              <w:pStyle w:val="VSmCellBody"/>
              <w:bidi/>
              <w:jc w:val="center"/>
              <w:rPr>
                <w:sz w:val="16"/>
                <w:szCs w:val="16"/>
              </w:rPr>
            </w:pPr>
            <w:r w:rsidRPr="007A3BB2">
              <w:rPr>
                <w:color w:val="000000"/>
                <w:sz w:val="16"/>
                <w:szCs w:val="16"/>
              </w:rPr>
              <w:t>110.1</w:t>
            </w:r>
          </w:p>
        </w:tc>
        <w:tc>
          <w:tcPr>
            <w:tcW w:w="234" w:type="dxa"/>
            <w:vAlign w:val="center"/>
          </w:tcPr>
          <w:p w14:paraId="09C4319E" w14:textId="77777777" w:rsidR="00821D72" w:rsidRPr="007A3BB2" w:rsidRDefault="00821D72" w:rsidP="008C22F9">
            <w:pPr>
              <w:pStyle w:val="CellRowSpacer"/>
              <w:bidi/>
              <w:jc w:val="center"/>
              <w:rPr>
                <w:sz w:val="16"/>
                <w:szCs w:val="16"/>
              </w:rPr>
            </w:pPr>
          </w:p>
        </w:tc>
        <w:tc>
          <w:tcPr>
            <w:tcW w:w="901" w:type="dxa"/>
            <w:gridSpan w:val="3"/>
            <w:vAlign w:val="center"/>
          </w:tcPr>
          <w:p w14:paraId="46B02110" w14:textId="77777777" w:rsidR="00821D72" w:rsidRPr="007A3BB2" w:rsidRDefault="00821D72" w:rsidP="008C22F9">
            <w:pPr>
              <w:pStyle w:val="VSmCellBody"/>
              <w:bidi/>
              <w:jc w:val="center"/>
              <w:rPr>
                <w:sz w:val="16"/>
                <w:szCs w:val="16"/>
              </w:rPr>
            </w:pPr>
            <w:r w:rsidRPr="007A3BB2">
              <w:rPr>
                <w:color w:val="000000"/>
                <w:sz w:val="16"/>
                <w:szCs w:val="16"/>
              </w:rPr>
              <w:t>132.7</w:t>
            </w:r>
          </w:p>
        </w:tc>
        <w:tc>
          <w:tcPr>
            <w:tcW w:w="234" w:type="dxa"/>
            <w:vAlign w:val="center"/>
          </w:tcPr>
          <w:p w14:paraId="6DF13229" w14:textId="77777777" w:rsidR="00821D72" w:rsidRPr="007A3BB2" w:rsidRDefault="00821D72" w:rsidP="008C22F9">
            <w:pPr>
              <w:pStyle w:val="CellRowSpacer"/>
              <w:bidi/>
              <w:jc w:val="center"/>
              <w:rPr>
                <w:sz w:val="16"/>
                <w:szCs w:val="16"/>
              </w:rPr>
            </w:pPr>
          </w:p>
        </w:tc>
        <w:tc>
          <w:tcPr>
            <w:tcW w:w="901" w:type="dxa"/>
            <w:gridSpan w:val="3"/>
            <w:vAlign w:val="center"/>
          </w:tcPr>
          <w:p w14:paraId="591E3672" w14:textId="77777777" w:rsidR="00821D72" w:rsidRPr="007A3BB2" w:rsidRDefault="00821D72" w:rsidP="008C22F9">
            <w:pPr>
              <w:pStyle w:val="VSmCellBody"/>
              <w:bidi/>
              <w:jc w:val="center"/>
              <w:rPr>
                <w:sz w:val="16"/>
                <w:szCs w:val="16"/>
              </w:rPr>
            </w:pPr>
            <w:r w:rsidRPr="007A3BB2">
              <w:rPr>
                <w:color w:val="000000"/>
                <w:sz w:val="16"/>
                <w:szCs w:val="16"/>
              </w:rPr>
              <w:t>99.2</w:t>
            </w:r>
          </w:p>
        </w:tc>
        <w:tc>
          <w:tcPr>
            <w:tcW w:w="234" w:type="dxa"/>
            <w:vAlign w:val="center"/>
          </w:tcPr>
          <w:p w14:paraId="771B8E73" w14:textId="77777777" w:rsidR="00821D72" w:rsidRPr="007A3BB2" w:rsidRDefault="00821D72" w:rsidP="008C22F9">
            <w:pPr>
              <w:pStyle w:val="CellRowSpacer"/>
              <w:bidi/>
              <w:jc w:val="center"/>
              <w:rPr>
                <w:sz w:val="16"/>
                <w:szCs w:val="16"/>
              </w:rPr>
            </w:pPr>
          </w:p>
        </w:tc>
        <w:tc>
          <w:tcPr>
            <w:tcW w:w="901" w:type="dxa"/>
            <w:gridSpan w:val="3"/>
            <w:vAlign w:val="center"/>
          </w:tcPr>
          <w:p w14:paraId="7734C636" w14:textId="77777777" w:rsidR="00821D72" w:rsidRPr="007A3BB2" w:rsidRDefault="00821D72" w:rsidP="008C22F9">
            <w:pPr>
              <w:pStyle w:val="VSmCellBody"/>
              <w:bidi/>
              <w:jc w:val="center"/>
              <w:rPr>
                <w:sz w:val="16"/>
                <w:szCs w:val="16"/>
              </w:rPr>
            </w:pPr>
            <w:r w:rsidRPr="007A3BB2">
              <w:rPr>
                <w:color w:val="000000"/>
                <w:sz w:val="16"/>
                <w:szCs w:val="16"/>
              </w:rPr>
              <w:t>97.5</w:t>
            </w:r>
          </w:p>
        </w:tc>
        <w:tc>
          <w:tcPr>
            <w:tcW w:w="234" w:type="dxa"/>
            <w:vAlign w:val="center"/>
          </w:tcPr>
          <w:p w14:paraId="3EA5104F" w14:textId="77777777" w:rsidR="00821D72" w:rsidRPr="00B02BA3" w:rsidRDefault="00821D72" w:rsidP="00821D72">
            <w:pPr>
              <w:pStyle w:val="CellRowSpacer"/>
              <w:bidi/>
              <w:jc w:val="center"/>
              <w:rPr>
                <w:sz w:val="17"/>
              </w:rPr>
            </w:pPr>
          </w:p>
        </w:tc>
      </w:tr>
      <w:tr w:rsidR="00821D72" w:rsidRPr="00B02BA3" w14:paraId="5E4818C8" w14:textId="77777777" w:rsidTr="00821D72">
        <w:trPr>
          <w:gridAfter w:val="2"/>
          <w:wAfter w:w="243" w:type="dxa"/>
        </w:trPr>
        <w:tc>
          <w:tcPr>
            <w:tcW w:w="3137" w:type="dxa"/>
            <w:gridSpan w:val="2"/>
            <w:vAlign w:val="center"/>
          </w:tcPr>
          <w:p w14:paraId="1AE4F153" w14:textId="77777777" w:rsidR="00821D72" w:rsidRDefault="00821D72" w:rsidP="00821D72">
            <w:pPr>
              <w:pStyle w:val="VSmCellBody"/>
              <w:tabs>
                <w:tab w:val="right" w:leader="dot" w:pos="3163"/>
              </w:tabs>
              <w:bidi/>
              <w:ind w:firstLine="421"/>
              <w:rPr>
                <w:szCs w:val="17"/>
              </w:rPr>
            </w:pPr>
            <w:r>
              <w:rPr>
                <w:rFonts w:hint="cs"/>
                <w:szCs w:val="17"/>
                <w:rtl/>
              </w:rPr>
              <w:t>إيرادات مكافئ تأجير السفن المجهزة بالمدة لل</w:t>
            </w:r>
            <w:r w:rsidR="00607B02">
              <w:rPr>
                <w:rFonts w:hint="cs"/>
                <w:szCs w:val="17"/>
                <w:rtl/>
              </w:rPr>
              <w:t>نقل</w:t>
            </w:r>
            <w:r>
              <w:rPr>
                <w:rFonts w:hint="cs"/>
                <w:szCs w:val="17"/>
                <w:rtl/>
              </w:rPr>
              <w:t xml:space="preserve"> المنتظم</w:t>
            </w:r>
            <w:r w:rsidRPr="007766C5">
              <w:rPr>
                <w:szCs w:val="17"/>
                <w:vertAlign w:val="superscript"/>
              </w:rPr>
              <w:t>(</w:t>
            </w:r>
            <w:r>
              <w:rPr>
                <w:szCs w:val="17"/>
                <w:vertAlign w:val="superscript"/>
              </w:rPr>
              <w:t>1</w:t>
            </w:r>
            <w:r w:rsidRPr="007766C5">
              <w:rPr>
                <w:szCs w:val="17"/>
                <w:vertAlign w:val="superscript"/>
              </w:rPr>
              <w:t>)(</w:t>
            </w:r>
            <w:r>
              <w:rPr>
                <w:szCs w:val="17"/>
                <w:vertAlign w:val="superscript"/>
              </w:rPr>
              <w:t>7</w:t>
            </w:r>
            <w:r w:rsidRPr="007766C5">
              <w:rPr>
                <w:szCs w:val="17"/>
                <w:vertAlign w:val="superscript"/>
              </w:rPr>
              <w:t>)</w:t>
            </w:r>
          </w:p>
        </w:tc>
        <w:tc>
          <w:tcPr>
            <w:tcW w:w="911" w:type="dxa"/>
            <w:gridSpan w:val="3"/>
            <w:vAlign w:val="center"/>
          </w:tcPr>
          <w:p w14:paraId="5C0AAEFA" w14:textId="77777777" w:rsidR="00821D72" w:rsidRPr="007A3BB2" w:rsidRDefault="00821D72" w:rsidP="008C22F9">
            <w:pPr>
              <w:pStyle w:val="VSmCellBody"/>
              <w:bidi/>
              <w:jc w:val="center"/>
              <w:rPr>
                <w:sz w:val="16"/>
                <w:szCs w:val="16"/>
              </w:rPr>
            </w:pPr>
            <w:r w:rsidRPr="007A3BB2">
              <w:rPr>
                <w:color w:val="000000"/>
                <w:sz w:val="16"/>
                <w:szCs w:val="16"/>
              </w:rPr>
              <w:t>55.3</w:t>
            </w:r>
          </w:p>
        </w:tc>
        <w:tc>
          <w:tcPr>
            <w:tcW w:w="235" w:type="dxa"/>
            <w:vAlign w:val="center"/>
          </w:tcPr>
          <w:p w14:paraId="20E7A502" w14:textId="77777777" w:rsidR="00821D72" w:rsidRPr="007A3BB2" w:rsidRDefault="00821D72" w:rsidP="008C22F9">
            <w:pPr>
              <w:pStyle w:val="CellRowSpacer"/>
              <w:bidi/>
              <w:jc w:val="center"/>
              <w:rPr>
                <w:sz w:val="16"/>
                <w:szCs w:val="16"/>
              </w:rPr>
            </w:pPr>
          </w:p>
        </w:tc>
        <w:tc>
          <w:tcPr>
            <w:tcW w:w="901" w:type="dxa"/>
            <w:gridSpan w:val="3"/>
            <w:vAlign w:val="center"/>
          </w:tcPr>
          <w:p w14:paraId="71B1FEB0" w14:textId="77777777" w:rsidR="00821D72" w:rsidRPr="007A3BB2" w:rsidRDefault="00821D72" w:rsidP="008C22F9">
            <w:pPr>
              <w:pStyle w:val="VSmCellBody"/>
              <w:bidi/>
              <w:jc w:val="center"/>
              <w:rPr>
                <w:sz w:val="16"/>
                <w:szCs w:val="16"/>
              </w:rPr>
            </w:pPr>
            <w:r w:rsidRPr="007A3BB2">
              <w:rPr>
                <w:color w:val="000000"/>
                <w:sz w:val="16"/>
                <w:szCs w:val="16"/>
              </w:rPr>
              <w:t>79.9</w:t>
            </w:r>
          </w:p>
        </w:tc>
        <w:tc>
          <w:tcPr>
            <w:tcW w:w="234" w:type="dxa"/>
            <w:vAlign w:val="center"/>
          </w:tcPr>
          <w:p w14:paraId="54849248" w14:textId="77777777" w:rsidR="00821D72" w:rsidRPr="007A3BB2" w:rsidRDefault="00821D72" w:rsidP="008C22F9">
            <w:pPr>
              <w:pStyle w:val="CellRowSpacer"/>
              <w:bidi/>
              <w:jc w:val="center"/>
              <w:rPr>
                <w:sz w:val="16"/>
                <w:szCs w:val="16"/>
              </w:rPr>
            </w:pPr>
          </w:p>
        </w:tc>
        <w:tc>
          <w:tcPr>
            <w:tcW w:w="901" w:type="dxa"/>
            <w:gridSpan w:val="3"/>
            <w:vAlign w:val="center"/>
          </w:tcPr>
          <w:p w14:paraId="7CECC72B" w14:textId="77777777" w:rsidR="00821D72" w:rsidRPr="007A3BB2" w:rsidRDefault="00821D72" w:rsidP="008C22F9">
            <w:pPr>
              <w:pStyle w:val="VSmCellBody"/>
              <w:bidi/>
              <w:jc w:val="center"/>
              <w:rPr>
                <w:sz w:val="16"/>
                <w:szCs w:val="16"/>
              </w:rPr>
            </w:pPr>
            <w:r w:rsidRPr="007A3BB2">
              <w:rPr>
                <w:color w:val="000000"/>
                <w:sz w:val="16"/>
                <w:szCs w:val="16"/>
              </w:rPr>
              <w:t>11.7</w:t>
            </w:r>
          </w:p>
        </w:tc>
        <w:tc>
          <w:tcPr>
            <w:tcW w:w="234" w:type="dxa"/>
            <w:vAlign w:val="center"/>
          </w:tcPr>
          <w:p w14:paraId="22A1B5DB" w14:textId="77777777" w:rsidR="00821D72" w:rsidRPr="007A3BB2" w:rsidRDefault="00821D72" w:rsidP="008C22F9">
            <w:pPr>
              <w:pStyle w:val="CellRowSpacer"/>
              <w:bidi/>
              <w:jc w:val="center"/>
              <w:rPr>
                <w:sz w:val="16"/>
                <w:szCs w:val="16"/>
              </w:rPr>
            </w:pPr>
          </w:p>
        </w:tc>
        <w:tc>
          <w:tcPr>
            <w:tcW w:w="901" w:type="dxa"/>
            <w:gridSpan w:val="3"/>
            <w:vAlign w:val="center"/>
          </w:tcPr>
          <w:p w14:paraId="30CA6881" w14:textId="77777777" w:rsidR="00821D72" w:rsidRPr="007A3BB2" w:rsidRDefault="00821D72" w:rsidP="008C22F9">
            <w:pPr>
              <w:pStyle w:val="VSmCellBody"/>
              <w:bidi/>
              <w:jc w:val="center"/>
              <w:rPr>
                <w:sz w:val="16"/>
                <w:szCs w:val="16"/>
              </w:rPr>
            </w:pPr>
            <w:r w:rsidRPr="007A3BB2">
              <w:rPr>
                <w:color w:val="000000"/>
                <w:sz w:val="16"/>
                <w:szCs w:val="16"/>
              </w:rPr>
              <w:t>13.5</w:t>
            </w:r>
          </w:p>
        </w:tc>
        <w:tc>
          <w:tcPr>
            <w:tcW w:w="234" w:type="dxa"/>
            <w:vAlign w:val="center"/>
          </w:tcPr>
          <w:p w14:paraId="6017DD73" w14:textId="77777777" w:rsidR="00821D72" w:rsidRPr="007A3BB2" w:rsidRDefault="00821D72" w:rsidP="008C22F9">
            <w:pPr>
              <w:pStyle w:val="CellRowSpacer"/>
              <w:bidi/>
              <w:jc w:val="center"/>
              <w:rPr>
                <w:sz w:val="16"/>
                <w:szCs w:val="16"/>
              </w:rPr>
            </w:pPr>
          </w:p>
        </w:tc>
        <w:tc>
          <w:tcPr>
            <w:tcW w:w="901" w:type="dxa"/>
            <w:gridSpan w:val="3"/>
            <w:vAlign w:val="center"/>
          </w:tcPr>
          <w:p w14:paraId="0E9774A6" w14:textId="77777777" w:rsidR="00821D72" w:rsidRPr="007A3BB2" w:rsidRDefault="00821D72" w:rsidP="008C22F9">
            <w:pPr>
              <w:pStyle w:val="VSmCellBody"/>
              <w:bidi/>
              <w:jc w:val="center"/>
              <w:rPr>
                <w:sz w:val="16"/>
                <w:szCs w:val="16"/>
              </w:rPr>
            </w:pPr>
            <w:r w:rsidRPr="007A3BB2">
              <w:rPr>
                <w:color w:val="000000"/>
                <w:sz w:val="16"/>
                <w:szCs w:val="16"/>
              </w:rPr>
              <w:t>43.8</w:t>
            </w:r>
          </w:p>
        </w:tc>
        <w:tc>
          <w:tcPr>
            <w:tcW w:w="234" w:type="dxa"/>
            <w:vAlign w:val="center"/>
          </w:tcPr>
          <w:p w14:paraId="6362BF0C" w14:textId="77777777" w:rsidR="00821D72" w:rsidRPr="00B02BA3" w:rsidRDefault="00821D72" w:rsidP="00821D72">
            <w:pPr>
              <w:pStyle w:val="CellRowSpacer"/>
              <w:bidi/>
              <w:jc w:val="center"/>
              <w:rPr>
                <w:sz w:val="17"/>
              </w:rPr>
            </w:pPr>
          </w:p>
        </w:tc>
      </w:tr>
      <w:tr w:rsidR="002717E1" w:rsidRPr="00B02BA3" w14:paraId="5FC01F4E" w14:textId="77777777" w:rsidTr="008C57E0">
        <w:trPr>
          <w:gridAfter w:val="2"/>
          <w:wAfter w:w="243" w:type="dxa"/>
        </w:trPr>
        <w:tc>
          <w:tcPr>
            <w:tcW w:w="3137" w:type="dxa"/>
            <w:gridSpan w:val="2"/>
          </w:tcPr>
          <w:p w14:paraId="0EEBA04D" w14:textId="77777777" w:rsidR="002717E1" w:rsidRPr="002717E1" w:rsidRDefault="002717E1" w:rsidP="002717E1">
            <w:pPr>
              <w:pStyle w:val="VSmCellBody"/>
              <w:tabs>
                <w:tab w:val="right" w:leader="dot" w:pos="3163"/>
              </w:tabs>
              <w:bidi/>
              <w:ind w:firstLine="421"/>
              <w:rPr>
                <w:szCs w:val="17"/>
                <w:rtl/>
              </w:rPr>
            </w:pPr>
            <w:r w:rsidRPr="003832A3">
              <w:rPr>
                <w:szCs w:val="17"/>
                <w:rtl/>
              </w:rPr>
              <w:t>الإيرادات الأخرى المكافئة من تأجير السفن المجهزة بالمدة</w:t>
            </w:r>
            <w:r>
              <w:rPr>
                <w:szCs w:val="17"/>
                <w:vertAlign w:val="superscript"/>
              </w:rPr>
              <w:t>(2)(9)</w:t>
            </w:r>
          </w:p>
        </w:tc>
        <w:tc>
          <w:tcPr>
            <w:tcW w:w="911" w:type="dxa"/>
            <w:gridSpan w:val="3"/>
            <w:vAlign w:val="center"/>
          </w:tcPr>
          <w:p w14:paraId="0071762E" w14:textId="77777777" w:rsidR="002717E1" w:rsidRPr="007A3BB2" w:rsidRDefault="002717E1" w:rsidP="002717E1">
            <w:pPr>
              <w:pStyle w:val="VSmCellBody"/>
              <w:bidi/>
              <w:jc w:val="center"/>
              <w:rPr>
                <w:color w:val="000000"/>
                <w:sz w:val="16"/>
                <w:szCs w:val="16"/>
              </w:rPr>
            </w:pPr>
            <w:r>
              <w:rPr>
                <w:color w:val="000000"/>
                <w:sz w:val="16"/>
                <w:szCs w:val="16"/>
              </w:rPr>
              <w:t>3.7</w:t>
            </w:r>
          </w:p>
        </w:tc>
        <w:tc>
          <w:tcPr>
            <w:tcW w:w="235" w:type="dxa"/>
            <w:vAlign w:val="center"/>
          </w:tcPr>
          <w:p w14:paraId="1BCF6BC6" w14:textId="77777777" w:rsidR="002717E1" w:rsidRPr="007A3BB2" w:rsidRDefault="002717E1" w:rsidP="002717E1">
            <w:pPr>
              <w:pStyle w:val="CellRowSpacer"/>
              <w:bidi/>
              <w:jc w:val="center"/>
              <w:rPr>
                <w:sz w:val="16"/>
                <w:szCs w:val="16"/>
              </w:rPr>
            </w:pPr>
          </w:p>
        </w:tc>
        <w:tc>
          <w:tcPr>
            <w:tcW w:w="901" w:type="dxa"/>
            <w:gridSpan w:val="3"/>
            <w:vAlign w:val="center"/>
          </w:tcPr>
          <w:p w14:paraId="7F665315" w14:textId="77777777" w:rsidR="002717E1" w:rsidRPr="007A3BB2" w:rsidRDefault="002717E1" w:rsidP="002717E1">
            <w:pPr>
              <w:pStyle w:val="VSmCellBody"/>
              <w:bidi/>
              <w:jc w:val="center"/>
              <w:rPr>
                <w:color w:val="000000"/>
                <w:sz w:val="16"/>
                <w:szCs w:val="16"/>
              </w:rPr>
            </w:pPr>
            <w:r>
              <w:rPr>
                <w:color w:val="000000"/>
                <w:sz w:val="16"/>
                <w:szCs w:val="16"/>
              </w:rPr>
              <w:t>3.8</w:t>
            </w:r>
          </w:p>
        </w:tc>
        <w:tc>
          <w:tcPr>
            <w:tcW w:w="234" w:type="dxa"/>
            <w:vAlign w:val="center"/>
          </w:tcPr>
          <w:p w14:paraId="138E5544" w14:textId="77777777" w:rsidR="002717E1" w:rsidRPr="007A3BB2" w:rsidRDefault="002717E1" w:rsidP="002717E1">
            <w:pPr>
              <w:pStyle w:val="CellRowSpacer"/>
              <w:bidi/>
              <w:jc w:val="center"/>
              <w:rPr>
                <w:sz w:val="16"/>
                <w:szCs w:val="16"/>
              </w:rPr>
            </w:pPr>
          </w:p>
        </w:tc>
        <w:tc>
          <w:tcPr>
            <w:tcW w:w="901" w:type="dxa"/>
            <w:gridSpan w:val="3"/>
            <w:vAlign w:val="center"/>
          </w:tcPr>
          <w:p w14:paraId="5669BA8A" w14:textId="77777777" w:rsidR="002717E1" w:rsidRPr="007A3BB2" w:rsidRDefault="002717E1" w:rsidP="002717E1">
            <w:pPr>
              <w:pStyle w:val="VSmCellBody"/>
              <w:bidi/>
              <w:jc w:val="center"/>
              <w:rPr>
                <w:color w:val="000000"/>
                <w:sz w:val="16"/>
                <w:szCs w:val="16"/>
              </w:rPr>
            </w:pPr>
            <w:r>
              <w:rPr>
                <w:color w:val="000000"/>
                <w:sz w:val="16"/>
                <w:szCs w:val="16"/>
              </w:rPr>
              <w:t>3.8</w:t>
            </w:r>
          </w:p>
        </w:tc>
        <w:tc>
          <w:tcPr>
            <w:tcW w:w="234" w:type="dxa"/>
            <w:vAlign w:val="center"/>
          </w:tcPr>
          <w:p w14:paraId="312619C0" w14:textId="77777777" w:rsidR="002717E1" w:rsidRPr="007A3BB2" w:rsidRDefault="002717E1" w:rsidP="002717E1">
            <w:pPr>
              <w:pStyle w:val="CellRowSpacer"/>
              <w:bidi/>
              <w:jc w:val="center"/>
              <w:rPr>
                <w:sz w:val="16"/>
                <w:szCs w:val="16"/>
              </w:rPr>
            </w:pPr>
          </w:p>
        </w:tc>
        <w:tc>
          <w:tcPr>
            <w:tcW w:w="901" w:type="dxa"/>
            <w:gridSpan w:val="3"/>
            <w:vAlign w:val="center"/>
          </w:tcPr>
          <w:p w14:paraId="1DB69785" w14:textId="77777777" w:rsidR="002717E1" w:rsidRPr="007A3BB2" w:rsidRDefault="002717E1" w:rsidP="002717E1">
            <w:pPr>
              <w:pStyle w:val="VSmCellBody"/>
              <w:bidi/>
              <w:jc w:val="center"/>
              <w:rPr>
                <w:color w:val="000000"/>
                <w:sz w:val="16"/>
                <w:szCs w:val="16"/>
              </w:rPr>
            </w:pPr>
            <w:r>
              <w:rPr>
                <w:color w:val="000000"/>
                <w:sz w:val="16"/>
                <w:szCs w:val="16"/>
              </w:rPr>
              <w:t>2.7</w:t>
            </w:r>
          </w:p>
        </w:tc>
        <w:tc>
          <w:tcPr>
            <w:tcW w:w="234" w:type="dxa"/>
            <w:vAlign w:val="center"/>
          </w:tcPr>
          <w:p w14:paraId="00DF88B6" w14:textId="77777777" w:rsidR="002717E1" w:rsidRPr="007A3BB2" w:rsidRDefault="002717E1" w:rsidP="002717E1">
            <w:pPr>
              <w:pStyle w:val="CellRowSpacer"/>
              <w:bidi/>
              <w:jc w:val="center"/>
              <w:rPr>
                <w:sz w:val="16"/>
                <w:szCs w:val="16"/>
              </w:rPr>
            </w:pPr>
          </w:p>
        </w:tc>
        <w:tc>
          <w:tcPr>
            <w:tcW w:w="901" w:type="dxa"/>
            <w:gridSpan w:val="3"/>
            <w:vAlign w:val="center"/>
          </w:tcPr>
          <w:p w14:paraId="1A8C54DC" w14:textId="77777777" w:rsidR="002717E1" w:rsidRPr="007A3BB2" w:rsidRDefault="002717E1" w:rsidP="002717E1">
            <w:pPr>
              <w:pStyle w:val="VSmCellBody"/>
              <w:bidi/>
              <w:jc w:val="center"/>
              <w:rPr>
                <w:color w:val="000000"/>
                <w:sz w:val="16"/>
                <w:szCs w:val="16"/>
              </w:rPr>
            </w:pPr>
            <w:r>
              <w:rPr>
                <w:color w:val="000000"/>
                <w:sz w:val="16"/>
                <w:szCs w:val="16"/>
              </w:rPr>
              <w:t>3.1</w:t>
            </w:r>
          </w:p>
        </w:tc>
        <w:tc>
          <w:tcPr>
            <w:tcW w:w="234" w:type="dxa"/>
            <w:vAlign w:val="center"/>
          </w:tcPr>
          <w:p w14:paraId="14A02BE1" w14:textId="77777777" w:rsidR="002717E1" w:rsidRPr="00B02BA3" w:rsidRDefault="002717E1" w:rsidP="002717E1">
            <w:pPr>
              <w:pStyle w:val="CellRowSpacer"/>
              <w:bidi/>
              <w:jc w:val="center"/>
              <w:rPr>
                <w:sz w:val="17"/>
              </w:rPr>
            </w:pPr>
          </w:p>
        </w:tc>
      </w:tr>
      <w:tr w:rsidR="002717E1" w:rsidRPr="00B02BA3" w14:paraId="7287C2BA" w14:textId="77777777" w:rsidTr="00821D72">
        <w:trPr>
          <w:gridBefore w:val="1"/>
          <w:wBefore w:w="10" w:type="dxa"/>
        </w:trPr>
        <w:tc>
          <w:tcPr>
            <w:tcW w:w="3135" w:type="dxa"/>
            <w:gridSpan w:val="2"/>
            <w:vAlign w:val="center"/>
          </w:tcPr>
          <w:p w14:paraId="687DDD3F" w14:textId="77777777" w:rsidR="002717E1" w:rsidRPr="009C0EEF" w:rsidRDefault="002717E1" w:rsidP="002717E1">
            <w:pPr>
              <w:tabs>
                <w:tab w:val="right" w:leader="dot" w:pos="3163"/>
              </w:tabs>
              <w:bidi/>
              <w:spacing w:before="40" w:after="40"/>
              <w:rPr>
                <w:sz w:val="17"/>
                <w:szCs w:val="17"/>
              </w:rPr>
            </w:pPr>
            <w:r>
              <w:rPr>
                <w:rFonts w:hint="cs"/>
                <w:szCs w:val="17"/>
                <w:rtl/>
              </w:rPr>
              <w:t>الأرباح قبل حساب الفوائد والضرائب والإهلاك والإطفاء</w:t>
            </w:r>
            <w:r w:rsidRPr="007766C5">
              <w:rPr>
                <w:szCs w:val="17"/>
                <w:vertAlign w:val="superscript"/>
              </w:rPr>
              <w:t>(</w:t>
            </w:r>
            <w:r>
              <w:rPr>
                <w:szCs w:val="17"/>
                <w:vertAlign w:val="superscript"/>
              </w:rPr>
              <w:t>1</w:t>
            </w:r>
            <w:r w:rsidRPr="007766C5">
              <w:rPr>
                <w:szCs w:val="17"/>
                <w:vertAlign w:val="superscript"/>
              </w:rPr>
              <w:t>)(</w:t>
            </w:r>
            <w:r>
              <w:rPr>
                <w:szCs w:val="17"/>
                <w:vertAlign w:val="superscript"/>
              </w:rPr>
              <w:t>2</w:t>
            </w:r>
            <w:r w:rsidRPr="007766C5">
              <w:rPr>
                <w:szCs w:val="17"/>
                <w:vertAlign w:val="superscript"/>
              </w:rPr>
              <w:t>)</w:t>
            </w:r>
          </w:p>
        </w:tc>
        <w:tc>
          <w:tcPr>
            <w:tcW w:w="235" w:type="dxa"/>
            <w:vAlign w:val="center"/>
          </w:tcPr>
          <w:p w14:paraId="3F9D9D3E" w14:textId="77777777" w:rsidR="002717E1" w:rsidRPr="009C0EEF" w:rsidRDefault="002717E1" w:rsidP="002717E1">
            <w:pPr>
              <w:bidi/>
              <w:spacing w:before="40" w:after="40"/>
              <w:jc w:val="center"/>
              <w:rPr>
                <w:sz w:val="17"/>
                <w:szCs w:val="17"/>
              </w:rPr>
            </w:pPr>
          </w:p>
        </w:tc>
        <w:tc>
          <w:tcPr>
            <w:tcW w:w="911" w:type="dxa"/>
            <w:gridSpan w:val="3"/>
            <w:vAlign w:val="center"/>
          </w:tcPr>
          <w:p w14:paraId="1CA627D2" w14:textId="77777777" w:rsidR="002717E1" w:rsidRPr="007A3BB2" w:rsidRDefault="002717E1" w:rsidP="002717E1">
            <w:pPr>
              <w:bidi/>
              <w:spacing w:before="40" w:after="40"/>
              <w:rPr>
                <w:sz w:val="16"/>
                <w:szCs w:val="16"/>
              </w:rPr>
            </w:pPr>
            <w:r w:rsidRPr="007A3BB2">
              <w:rPr>
                <w:sz w:val="16"/>
                <w:szCs w:val="16"/>
              </w:rPr>
              <w:t>276.0</w:t>
            </w:r>
          </w:p>
        </w:tc>
        <w:tc>
          <w:tcPr>
            <w:tcW w:w="235" w:type="dxa"/>
            <w:vAlign w:val="center"/>
          </w:tcPr>
          <w:p w14:paraId="2D526407" w14:textId="77777777" w:rsidR="002717E1" w:rsidRPr="007A3BB2" w:rsidRDefault="002717E1" w:rsidP="002717E1">
            <w:pPr>
              <w:bidi/>
              <w:spacing w:before="40" w:after="40"/>
              <w:jc w:val="center"/>
              <w:rPr>
                <w:sz w:val="16"/>
                <w:szCs w:val="16"/>
              </w:rPr>
            </w:pPr>
          </w:p>
        </w:tc>
        <w:tc>
          <w:tcPr>
            <w:tcW w:w="901" w:type="dxa"/>
            <w:gridSpan w:val="3"/>
            <w:vAlign w:val="center"/>
          </w:tcPr>
          <w:p w14:paraId="4CD437FC" w14:textId="77777777" w:rsidR="002717E1" w:rsidRPr="007A3BB2" w:rsidRDefault="002717E1" w:rsidP="002717E1">
            <w:pPr>
              <w:bidi/>
              <w:spacing w:before="40" w:after="40"/>
              <w:rPr>
                <w:sz w:val="16"/>
                <w:szCs w:val="16"/>
              </w:rPr>
            </w:pPr>
            <w:r w:rsidRPr="007A3BB2">
              <w:rPr>
                <w:sz w:val="16"/>
                <w:szCs w:val="16"/>
              </w:rPr>
              <w:t>397.6</w:t>
            </w:r>
          </w:p>
        </w:tc>
        <w:tc>
          <w:tcPr>
            <w:tcW w:w="234" w:type="dxa"/>
            <w:vAlign w:val="center"/>
          </w:tcPr>
          <w:p w14:paraId="0474976A" w14:textId="77777777" w:rsidR="002717E1" w:rsidRPr="007A3BB2" w:rsidRDefault="002717E1" w:rsidP="002717E1">
            <w:pPr>
              <w:bidi/>
              <w:spacing w:before="40" w:after="40"/>
              <w:rPr>
                <w:sz w:val="16"/>
                <w:szCs w:val="16"/>
              </w:rPr>
            </w:pPr>
          </w:p>
        </w:tc>
        <w:tc>
          <w:tcPr>
            <w:tcW w:w="901" w:type="dxa"/>
            <w:gridSpan w:val="3"/>
            <w:vAlign w:val="center"/>
          </w:tcPr>
          <w:p w14:paraId="07E18152" w14:textId="77777777" w:rsidR="002717E1" w:rsidRPr="007A3BB2" w:rsidRDefault="002717E1" w:rsidP="002717E1">
            <w:pPr>
              <w:bidi/>
              <w:spacing w:before="40" w:after="40"/>
              <w:rPr>
                <w:sz w:val="16"/>
                <w:szCs w:val="16"/>
              </w:rPr>
            </w:pPr>
            <w:r w:rsidRPr="007A3BB2">
              <w:rPr>
                <w:sz w:val="16"/>
                <w:szCs w:val="16"/>
              </w:rPr>
              <w:t>486.9</w:t>
            </w:r>
          </w:p>
        </w:tc>
        <w:tc>
          <w:tcPr>
            <w:tcW w:w="234" w:type="dxa"/>
            <w:vAlign w:val="center"/>
          </w:tcPr>
          <w:p w14:paraId="712AE906" w14:textId="77777777" w:rsidR="002717E1" w:rsidRPr="007A3BB2" w:rsidRDefault="002717E1" w:rsidP="002717E1">
            <w:pPr>
              <w:bidi/>
              <w:spacing w:before="40" w:after="40"/>
              <w:rPr>
                <w:sz w:val="16"/>
                <w:szCs w:val="16"/>
              </w:rPr>
            </w:pPr>
          </w:p>
        </w:tc>
        <w:tc>
          <w:tcPr>
            <w:tcW w:w="901" w:type="dxa"/>
            <w:gridSpan w:val="3"/>
            <w:vAlign w:val="center"/>
          </w:tcPr>
          <w:p w14:paraId="163A7AE7" w14:textId="77777777" w:rsidR="002717E1" w:rsidRPr="007A3BB2" w:rsidRDefault="002717E1" w:rsidP="002717E1">
            <w:pPr>
              <w:bidi/>
              <w:spacing w:before="40" w:after="40"/>
              <w:rPr>
                <w:sz w:val="16"/>
                <w:szCs w:val="16"/>
              </w:rPr>
            </w:pPr>
            <w:r w:rsidRPr="007A3BB2">
              <w:rPr>
                <w:sz w:val="16"/>
                <w:szCs w:val="16"/>
              </w:rPr>
              <w:t>324.4</w:t>
            </w:r>
          </w:p>
        </w:tc>
        <w:tc>
          <w:tcPr>
            <w:tcW w:w="234" w:type="dxa"/>
            <w:vAlign w:val="center"/>
          </w:tcPr>
          <w:p w14:paraId="5C899CCC" w14:textId="77777777" w:rsidR="002717E1" w:rsidRPr="007A3BB2" w:rsidRDefault="002717E1" w:rsidP="002717E1">
            <w:pPr>
              <w:bidi/>
              <w:spacing w:before="40" w:after="40"/>
              <w:rPr>
                <w:sz w:val="16"/>
                <w:szCs w:val="16"/>
              </w:rPr>
            </w:pPr>
          </w:p>
        </w:tc>
        <w:tc>
          <w:tcPr>
            <w:tcW w:w="901" w:type="dxa"/>
            <w:gridSpan w:val="3"/>
            <w:vAlign w:val="center"/>
          </w:tcPr>
          <w:p w14:paraId="265136BF" w14:textId="77777777" w:rsidR="002717E1" w:rsidRPr="007A3BB2" w:rsidRDefault="002717E1" w:rsidP="002717E1">
            <w:pPr>
              <w:bidi/>
              <w:spacing w:before="40" w:after="40"/>
              <w:rPr>
                <w:sz w:val="16"/>
                <w:szCs w:val="16"/>
              </w:rPr>
            </w:pPr>
            <w:r w:rsidRPr="007A3BB2">
              <w:rPr>
                <w:sz w:val="16"/>
                <w:szCs w:val="16"/>
              </w:rPr>
              <w:t>423.</w:t>
            </w:r>
            <w:r w:rsidR="00034A7A">
              <w:rPr>
                <w:sz w:val="16"/>
                <w:szCs w:val="16"/>
              </w:rPr>
              <w:t>3</w:t>
            </w:r>
          </w:p>
        </w:tc>
        <w:tc>
          <w:tcPr>
            <w:tcW w:w="234" w:type="dxa"/>
            <w:vAlign w:val="center"/>
          </w:tcPr>
          <w:p w14:paraId="14AE01CD" w14:textId="77777777" w:rsidR="002717E1" w:rsidRPr="009C0EEF" w:rsidRDefault="002717E1" w:rsidP="002717E1">
            <w:pPr>
              <w:bidi/>
              <w:spacing w:before="40" w:after="40"/>
              <w:jc w:val="center"/>
              <w:rPr>
                <w:sz w:val="17"/>
                <w:szCs w:val="17"/>
              </w:rPr>
            </w:pPr>
          </w:p>
        </w:tc>
      </w:tr>
      <w:tr w:rsidR="002717E1" w:rsidRPr="00B02BA3" w14:paraId="03C403D5" w14:textId="77777777" w:rsidTr="00821D72">
        <w:trPr>
          <w:gridAfter w:val="2"/>
          <w:wAfter w:w="243" w:type="dxa"/>
        </w:trPr>
        <w:tc>
          <w:tcPr>
            <w:tcW w:w="3137" w:type="dxa"/>
            <w:gridSpan w:val="2"/>
            <w:vAlign w:val="center"/>
          </w:tcPr>
          <w:p w14:paraId="5D464EAF" w14:textId="77777777" w:rsidR="002717E1" w:rsidRDefault="002717E1" w:rsidP="002717E1">
            <w:pPr>
              <w:pStyle w:val="VSmCellBody"/>
              <w:tabs>
                <w:tab w:val="right" w:leader="dot" w:pos="3163"/>
              </w:tabs>
              <w:bidi/>
              <w:ind w:firstLine="411"/>
              <w:rPr>
                <w:szCs w:val="17"/>
              </w:rPr>
            </w:pPr>
            <w:r>
              <w:rPr>
                <w:rFonts w:hint="cs"/>
                <w:szCs w:val="17"/>
                <w:rtl/>
              </w:rPr>
              <w:t>الأرباح قبل حساب الفوائد والضرائب والإهلاك والإطفاء ل</w:t>
            </w:r>
            <w:r w:rsidR="00607B02">
              <w:rPr>
                <w:rFonts w:hint="cs"/>
                <w:szCs w:val="17"/>
                <w:rtl/>
              </w:rPr>
              <w:t>نقل</w:t>
            </w:r>
            <w:r>
              <w:rPr>
                <w:rFonts w:hint="cs"/>
                <w:szCs w:val="17"/>
                <w:rtl/>
              </w:rPr>
              <w:t xml:space="preserve"> النفط الخام</w:t>
            </w:r>
            <w:r w:rsidRPr="007766C5">
              <w:rPr>
                <w:szCs w:val="17"/>
                <w:vertAlign w:val="superscript"/>
              </w:rPr>
              <w:t xml:space="preserve"> (</w:t>
            </w:r>
            <w:r>
              <w:rPr>
                <w:szCs w:val="17"/>
                <w:vertAlign w:val="superscript"/>
              </w:rPr>
              <w:t>1</w:t>
            </w:r>
            <w:r w:rsidRPr="007766C5">
              <w:rPr>
                <w:szCs w:val="17"/>
                <w:vertAlign w:val="superscript"/>
              </w:rPr>
              <w:t>)(</w:t>
            </w:r>
            <w:r>
              <w:rPr>
                <w:szCs w:val="17"/>
                <w:vertAlign w:val="superscript"/>
              </w:rPr>
              <w:t>3</w:t>
            </w:r>
            <w:r w:rsidRPr="007766C5">
              <w:rPr>
                <w:szCs w:val="17"/>
                <w:vertAlign w:val="superscript"/>
              </w:rPr>
              <w:t>)</w:t>
            </w:r>
          </w:p>
        </w:tc>
        <w:tc>
          <w:tcPr>
            <w:tcW w:w="911" w:type="dxa"/>
            <w:gridSpan w:val="3"/>
            <w:vAlign w:val="center"/>
          </w:tcPr>
          <w:p w14:paraId="6D4565D0" w14:textId="77777777" w:rsidR="002717E1" w:rsidRPr="007A3BB2" w:rsidDel="009C0EEF" w:rsidRDefault="002717E1" w:rsidP="002717E1">
            <w:pPr>
              <w:pStyle w:val="VSmCellBody"/>
              <w:bidi/>
              <w:jc w:val="center"/>
              <w:rPr>
                <w:sz w:val="16"/>
                <w:szCs w:val="16"/>
              </w:rPr>
            </w:pPr>
            <w:r w:rsidRPr="007A3BB2">
              <w:rPr>
                <w:color w:val="000000"/>
                <w:sz w:val="16"/>
                <w:szCs w:val="16"/>
              </w:rPr>
              <w:t>44.6</w:t>
            </w:r>
          </w:p>
        </w:tc>
        <w:tc>
          <w:tcPr>
            <w:tcW w:w="235" w:type="dxa"/>
            <w:vAlign w:val="center"/>
          </w:tcPr>
          <w:p w14:paraId="1A5FDF64" w14:textId="77777777" w:rsidR="002717E1" w:rsidRPr="007A3BB2" w:rsidRDefault="002717E1" w:rsidP="002717E1">
            <w:pPr>
              <w:pStyle w:val="CellRowSpacer"/>
              <w:bidi/>
              <w:jc w:val="center"/>
              <w:rPr>
                <w:sz w:val="16"/>
                <w:szCs w:val="16"/>
              </w:rPr>
            </w:pPr>
          </w:p>
        </w:tc>
        <w:tc>
          <w:tcPr>
            <w:tcW w:w="901" w:type="dxa"/>
            <w:gridSpan w:val="3"/>
            <w:vAlign w:val="center"/>
          </w:tcPr>
          <w:p w14:paraId="6B09B87F" w14:textId="77777777" w:rsidR="002717E1" w:rsidRPr="007A3BB2" w:rsidDel="009C0EEF" w:rsidRDefault="002717E1" w:rsidP="002717E1">
            <w:pPr>
              <w:pStyle w:val="VSmCellBody"/>
              <w:bidi/>
              <w:jc w:val="center"/>
              <w:rPr>
                <w:sz w:val="16"/>
                <w:szCs w:val="16"/>
              </w:rPr>
            </w:pPr>
            <w:r w:rsidRPr="007A3BB2">
              <w:rPr>
                <w:color w:val="000000"/>
                <w:sz w:val="16"/>
                <w:szCs w:val="16"/>
              </w:rPr>
              <w:t>93.0</w:t>
            </w:r>
          </w:p>
        </w:tc>
        <w:tc>
          <w:tcPr>
            <w:tcW w:w="234" w:type="dxa"/>
            <w:vAlign w:val="center"/>
          </w:tcPr>
          <w:p w14:paraId="6EF7D0AD" w14:textId="77777777" w:rsidR="002717E1" w:rsidRPr="007A3BB2" w:rsidRDefault="002717E1" w:rsidP="002717E1">
            <w:pPr>
              <w:pStyle w:val="CellRowSpacer"/>
              <w:bidi/>
              <w:jc w:val="center"/>
              <w:rPr>
                <w:sz w:val="16"/>
                <w:szCs w:val="16"/>
              </w:rPr>
            </w:pPr>
          </w:p>
        </w:tc>
        <w:tc>
          <w:tcPr>
            <w:tcW w:w="901" w:type="dxa"/>
            <w:gridSpan w:val="3"/>
            <w:vAlign w:val="center"/>
          </w:tcPr>
          <w:p w14:paraId="340D7675" w14:textId="77777777" w:rsidR="002717E1" w:rsidRPr="007A3BB2" w:rsidDel="009C0EEF" w:rsidRDefault="002717E1" w:rsidP="002717E1">
            <w:pPr>
              <w:pStyle w:val="VSmCellBody"/>
              <w:bidi/>
              <w:jc w:val="center"/>
              <w:rPr>
                <w:sz w:val="16"/>
                <w:szCs w:val="16"/>
              </w:rPr>
            </w:pPr>
            <w:r w:rsidRPr="007A3BB2">
              <w:rPr>
                <w:color w:val="000000"/>
                <w:sz w:val="16"/>
                <w:szCs w:val="16"/>
              </w:rPr>
              <w:t>243.1</w:t>
            </w:r>
          </w:p>
        </w:tc>
        <w:tc>
          <w:tcPr>
            <w:tcW w:w="234" w:type="dxa"/>
            <w:vAlign w:val="center"/>
          </w:tcPr>
          <w:p w14:paraId="038638DB" w14:textId="77777777" w:rsidR="002717E1" w:rsidRPr="007A3BB2" w:rsidRDefault="002717E1" w:rsidP="002717E1">
            <w:pPr>
              <w:pStyle w:val="CellRowSpacer"/>
              <w:bidi/>
              <w:jc w:val="center"/>
              <w:rPr>
                <w:sz w:val="16"/>
                <w:szCs w:val="16"/>
              </w:rPr>
            </w:pPr>
          </w:p>
        </w:tc>
        <w:tc>
          <w:tcPr>
            <w:tcW w:w="901" w:type="dxa"/>
            <w:gridSpan w:val="3"/>
            <w:vAlign w:val="center"/>
          </w:tcPr>
          <w:p w14:paraId="4F3FCE93" w14:textId="77777777" w:rsidR="002717E1" w:rsidRPr="007A3BB2" w:rsidDel="009C0EEF" w:rsidRDefault="002717E1" w:rsidP="002717E1">
            <w:pPr>
              <w:pStyle w:val="VSmCellBody"/>
              <w:bidi/>
              <w:jc w:val="center"/>
              <w:rPr>
                <w:sz w:val="16"/>
                <w:szCs w:val="16"/>
              </w:rPr>
            </w:pPr>
            <w:r w:rsidRPr="007A3BB2">
              <w:rPr>
                <w:color w:val="000000"/>
                <w:sz w:val="16"/>
                <w:szCs w:val="16"/>
              </w:rPr>
              <w:t>152.5</w:t>
            </w:r>
          </w:p>
        </w:tc>
        <w:tc>
          <w:tcPr>
            <w:tcW w:w="234" w:type="dxa"/>
            <w:vAlign w:val="center"/>
          </w:tcPr>
          <w:p w14:paraId="5DE4ACE6" w14:textId="77777777" w:rsidR="002717E1" w:rsidRPr="007A3BB2" w:rsidRDefault="002717E1" w:rsidP="002717E1">
            <w:pPr>
              <w:pStyle w:val="CellRowSpacer"/>
              <w:bidi/>
              <w:jc w:val="center"/>
              <w:rPr>
                <w:sz w:val="16"/>
                <w:szCs w:val="16"/>
              </w:rPr>
            </w:pPr>
          </w:p>
        </w:tc>
        <w:tc>
          <w:tcPr>
            <w:tcW w:w="901" w:type="dxa"/>
            <w:gridSpan w:val="3"/>
            <w:vAlign w:val="center"/>
          </w:tcPr>
          <w:p w14:paraId="28C9E90B" w14:textId="77777777" w:rsidR="002717E1" w:rsidRPr="007A3BB2" w:rsidDel="009C0EEF" w:rsidRDefault="002717E1" w:rsidP="002717E1">
            <w:pPr>
              <w:pStyle w:val="VSmCellBody"/>
              <w:bidi/>
              <w:jc w:val="center"/>
              <w:rPr>
                <w:sz w:val="16"/>
                <w:szCs w:val="16"/>
              </w:rPr>
            </w:pPr>
            <w:r w:rsidRPr="007A3BB2">
              <w:rPr>
                <w:color w:val="000000"/>
                <w:sz w:val="16"/>
                <w:szCs w:val="16"/>
              </w:rPr>
              <w:t>125.6</w:t>
            </w:r>
          </w:p>
        </w:tc>
        <w:tc>
          <w:tcPr>
            <w:tcW w:w="234" w:type="dxa"/>
            <w:vAlign w:val="center"/>
          </w:tcPr>
          <w:p w14:paraId="64FE1DA4" w14:textId="77777777" w:rsidR="002717E1" w:rsidRPr="00B02BA3" w:rsidRDefault="002717E1" w:rsidP="002717E1">
            <w:pPr>
              <w:pStyle w:val="CellRowSpacer"/>
              <w:bidi/>
              <w:jc w:val="center"/>
              <w:rPr>
                <w:sz w:val="17"/>
              </w:rPr>
            </w:pPr>
          </w:p>
        </w:tc>
      </w:tr>
      <w:tr w:rsidR="002717E1" w:rsidRPr="00B02BA3" w14:paraId="35E471B6" w14:textId="77777777" w:rsidTr="00821D72">
        <w:trPr>
          <w:gridAfter w:val="2"/>
          <w:wAfter w:w="243" w:type="dxa"/>
        </w:trPr>
        <w:tc>
          <w:tcPr>
            <w:tcW w:w="3137" w:type="dxa"/>
            <w:gridSpan w:val="2"/>
            <w:vAlign w:val="center"/>
          </w:tcPr>
          <w:p w14:paraId="11D3C166" w14:textId="77777777" w:rsidR="002717E1" w:rsidRDefault="002717E1" w:rsidP="002717E1">
            <w:pPr>
              <w:pStyle w:val="VSmCellBody"/>
              <w:tabs>
                <w:tab w:val="right" w:leader="dot" w:pos="3163"/>
              </w:tabs>
              <w:bidi/>
              <w:ind w:firstLine="411"/>
              <w:rPr>
                <w:szCs w:val="17"/>
              </w:rPr>
            </w:pPr>
            <w:r>
              <w:rPr>
                <w:rFonts w:hint="cs"/>
                <w:szCs w:val="17"/>
                <w:rtl/>
              </w:rPr>
              <w:t>الأرباح قبل حساب الفوائد والضرائب والإهلاك والإطفاء ل</w:t>
            </w:r>
            <w:r w:rsidR="00607B02">
              <w:rPr>
                <w:rFonts w:hint="cs"/>
                <w:szCs w:val="17"/>
                <w:rtl/>
              </w:rPr>
              <w:t>نقل</w:t>
            </w:r>
            <w:r>
              <w:rPr>
                <w:rFonts w:hint="cs"/>
                <w:szCs w:val="17"/>
                <w:rtl/>
              </w:rPr>
              <w:t xml:space="preserve"> المنتجات</w:t>
            </w:r>
            <w:r w:rsidRPr="007766C5">
              <w:rPr>
                <w:szCs w:val="17"/>
                <w:vertAlign w:val="superscript"/>
              </w:rPr>
              <w:t xml:space="preserve"> </w:t>
            </w:r>
            <w:r>
              <w:rPr>
                <w:rFonts w:hint="cs"/>
                <w:szCs w:val="17"/>
                <w:vertAlign w:val="superscript"/>
                <w:rtl/>
              </w:rPr>
              <w:t xml:space="preserve"> </w:t>
            </w:r>
            <w:r w:rsidRPr="007766C5">
              <w:rPr>
                <w:szCs w:val="17"/>
                <w:vertAlign w:val="superscript"/>
              </w:rPr>
              <w:t>(</w:t>
            </w:r>
            <w:r>
              <w:rPr>
                <w:szCs w:val="17"/>
                <w:vertAlign w:val="superscript"/>
              </w:rPr>
              <w:t>1</w:t>
            </w:r>
            <w:r w:rsidRPr="007766C5">
              <w:rPr>
                <w:szCs w:val="17"/>
                <w:vertAlign w:val="superscript"/>
              </w:rPr>
              <w:t>)(</w:t>
            </w:r>
            <w:r>
              <w:rPr>
                <w:szCs w:val="17"/>
                <w:vertAlign w:val="superscript"/>
              </w:rPr>
              <w:t>4</w:t>
            </w:r>
            <w:r w:rsidRPr="007766C5">
              <w:rPr>
                <w:szCs w:val="17"/>
                <w:vertAlign w:val="superscript"/>
              </w:rPr>
              <w:t>)</w:t>
            </w:r>
          </w:p>
        </w:tc>
        <w:tc>
          <w:tcPr>
            <w:tcW w:w="911" w:type="dxa"/>
            <w:gridSpan w:val="3"/>
            <w:vAlign w:val="center"/>
          </w:tcPr>
          <w:p w14:paraId="03AF1051" w14:textId="77777777" w:rsidR="002717E1" w:rsidRPr="007A3BB2" w:rsidDel="009C0EEF" w:rsidRDefault="002717E1" w:rsidP="002717E1">
            <w:pPr>
              <w:pStyle w:val="VSmCellBody"/>
              <w:bidi/>
              <w:jc w:val="center"/>
              <w:rPr>
                <w:sz w:val="16"/>
                <w:szCs w:val="16"/>
              </w:rPr>
            </w:pPr>
            <w:r w:rsidRPr="007A3BB2">
              <w:rPr>
                <w:color w:val="000000"/>
                <w:sz w:val="16"/>
                <w:szCs w:val="16"/>
              </w:rPr>
              <w:t>38.3</w:t>
            </w:r>
          </w:p>
        </w:tc>
        <w:tc>
          <w:tcPr>
            <w:tcW w:w="235" w:type="dxa"/>
            <w:vAlign w:val="center"/>
          </w:tcPr>
          <w:p w14:paraId="6E11B7FC" w14:textId="77777777" w:rsidR="002717E1" w:rsidRPr="007A3BB2" w:rsidRDefault="002717E1" w:rsidP="002717E1">
            <w:pPr>
              <w:pStyle w:val="CellRowSpacer"/>
              <w:bidi/>
              <w:jc w:val="center"/>
              <w:rPr>
                <w:sz w:val="16"/>
                <w:szCs w:val="16"/>
              </w:rPr>
            </w:pPr>
          </w:p>
        </w:tc>
        <w:tc>
          <w:tcPr>
            <w:tcW w:w="901" w:type="dxa"/>
            <w:gridSpan w:val="3"/>
            <w:vAlign w:val="center"/>
          </w:tcPr>
          <w:p w14:paraId="38CC201B" w14:textId="77777777" w:rsidR="002717E1" w:rsidRPr="007A3BB2" w:rsidDel="009C0EEF" w:rsidRDefault="002717E1" w:rsidP="002717E1">
            <w:pPr>
              <w:pStyle w:val="VSmCellBody"/>
              <w:bidi/>
              <w:jc w:val="center"/>
              <w:rPr>
                <w:sz w:val="16"/>
                <w:szCs w:val="16"/>
              </w:rPr>
            </w:pPr>
            <w:r w:rsidRPr="007A3BB2">
              <w:rPr>
                <w:color w:val="000000"/>
                <w:sz w:val="16"/>
                <w:szCs w:val="16"/>
              </w:rPr>
              <w:t>56.3</w:t>
            </w:r>
          </w:p>
        </w:tc>
        <w:tc>
          <w:tcPr>
            <w:tcW w:w="234" w:type="dxa"/>
            <w:vAlign w:val="center"/>
          </w:tcPr>
          <w:p w14:paraId="09F87278" w14:textId="77777777" w:rsidR="002717E1" w:rsidRPr="007A3BB2" w:rsidRDefault="002717E1" w:rsidP="002717E1">
            <w:pPr>
              <w:pStyle w:val="CellRowSpacer"/>
              <w:bidi/>
              <w:jc w:val="center"/>
              <w:rPr>
                <w:sz w:val="16"/>
                <w:szCs w:val="16"/>
              </w:rPr>
            </w:pPr>
          </w:p>
        </w:tc>
        <w:tc>
          <w:tcPr>
            <w:tcW w:w="901" w:type="dxa"/>
            <w:gridSpan w:val="3"/>
            <w:vAlign w:val="center"/>
          </w:tcPr>
          <w:p w14:paraId="1B4C2416" w14:textId="77777777" w:rsidR="002717E1" w:rsidRPr="007A3BB2" w:rsidDel="009C0EEF" w:rsidRDefault="002717E1" w:rsidP="002717E1">
            <w:pPr>
              <w:pStyle w:val="VSmCellBody"/>
              <w:bidi/>
              <w:jc w:val="center"/>
              <w:rPr>
                <w:sz w:val="16"/>
                <w:szCs w:val="16"/>
              </w:rPr>
            </w:pPr>
            <w:r w:rsidRPr="007A3BB2">
              <w:rPr>
                <w:color w:val="000000"/>
                <w:sz w:val="16"/>
                <w:szCs w:val="16"/>
              </w:rPr>
              <w:t>151.2</w:t>
            </w:r>
          </w:p>
        </w:tc>
        <w:tc>
          <w:tcPr>
            <w:tcW w:w="234" w:type="dxa"/>
            <w:vAlign w:val="center"/>
          </w:tcPr>
          <w:p w14:paraId="53112633" w14:textId="77777777" w:rsidR="002717E1" w:rsidRPr="007A3BB2" w:rsidRDefault="002717E1" w:rsidP="002717E1">
            <w:pPr>
              <w:pStyle w:val="CellRowSpacer"/>
              <w:bidi/>
              <w:jc w:val="center"/>
              <w:rPr>
                <w:sz w:val="16"/>
                <w:szCs w:val="16"/>
              </w:rPr>
            </w:pPr>
          </w:p>
        </w:tc>
        <w:tc>
          <w:tcPr>
            <w:tcW w:w="901" w:type="dxa"/>
            <w:gridSpan w:val="3"/>
            <w:vAlign w:val="center"/>
          </w:tcPr>
          <w:p w14:paraId="53F353EF" w14:textId="77777777" w:rsidR="002717E1" w:rsidRPr="007A3BB2" w:rsidDel="009C0EEF" w:rsidRDefault="002717E1" w:rsidP="002717E1">
            <w:pPr>
              <w:pStyle w:val="VSmCellBody"/>
              <w:bidi/>
              <w:jc w:val="center"/>
              <w:rPr>
                <w:sz w:val="16"/>
                <w:szCs w:val="16"/>
              </w:rPr>
            </w:pPr>
            <w:r w:rsidRPr="007A3BB2">
              <w:rPr>
                <w:color w:val="000000"/>
                <w:sz w:val="16"/>
                <w:szCs w:val="16"/>
              </w:rPr>
              <w:t>108.2</w:t>
            </w:r>
          </w:p>
        </w:tc>
        <w:tc>
          <w:tcPr>
            <w:tcW w:w="234" w:type="dxa"/>
            <w:vAlign w:val="center"/>
          </w:tcPr>
          <w:p w14:paraId="38E7D6C2" w14:textId="77777777" w:rsidR="002717E1" w:rsidRPr="007A3BB2" w:rsidRDefault="002717E1" w:rsidP="002717E1">
            <w:pPr>
              <w:pStyle w:val="CellRowSpacer"/>
              <w:bidi/>
              <w:jc w:val="center"/>
              <w:rPr>
                <w:sz w:val="16"/>
                <w:szCs w:val="16"/>
              </w:rPr>
            </w:pPr>
          </w:p>
        </w:tc>
        <w:tc>
          <w:tcPr>
            <w:tcW w:w="901" w:type="dxa"/>
            <w:gridSpan w:val="3"/>
            <w:vAlign w:val="center"/>
          </w:tcPr>
          <w:p w14:paraId="3126AFA3" w14:textId="77777777" w:rsidR="002717E1" w:rsidRPr="007A3BB2" w:rsidDel="009C0EEF" w:rsidRDefault="002717E1" w:rsidP="002717E1">
            <w:pPr>
              <w:pStyle w:val="VSmCellBody"/>
              <w:bidi/>
              <w:jc w:val="center"/>
              <w:rPr>
                <w:sz w:val="16"/>
                <w:szCs w:val="16"/>
              </w:rPr>
            </w:pPr>
            <w:r w:rsidRPr="007A3BB2">
              <w:rPr>
                <w:color w:val="000000"/>
                <w:sz w:val="16"/>
                <w:szCs w:val="16"/>
              </w:rPr>
              <w:t>158.8</w:t>
            </w:r>
          </w:p>
        </w:tc>
        <w:tc>
          <w:tcPr>
            <w:tcW w:w="234" w:type="dxa"/>
            <w:vAlign w:val="center"/>
          </w:tcPr>
          <w:p w14:paraId="342CCDEB" w14:textId="77777777" w:rsidR="002717E1" w:rsidRPr="00B02BA3" w:rsidRDefault="002717E1" w:rsidP="002717E1">
            <w:pPr>
              <w:pStyle w:val="CellRowSpacer"/>
              <w:bidi/>
              <w:jc w:val="center"/>
              <w:rPr>
                <w:sz w:val="17"/>
              </w:rPr>
            </w:pPr>
          </w:p>
        </w:tc>
      </w:tr>
      <w:tr w:rsidR="002717E1" w:rsidRPr="00B02BA3" w14:paraId="68502DC6" w14:textId="77777777" w:rsidTr="00821D72">
        <w:trPr>
          <w:gridAfter w:val="2"/>
          <w:wAfter w:w="243" w:type="dxa"/>
        </w:trPr>
        <w:tc>
          <w:tcPr>
            <w:tcW w:w="3137" w:type="dxa"/>
            <w:gridSpan w:val="2"/>
            <w:vAlign w:val="center"/>
          </w:tcPr>
          <w:p w14:paraId="17EB1595" w14:textId="77777777" w:rsidR="002717E1" w:rsidRDefault="002717E1" w:rsidP="002717E1">
            <w:pPr>
              <w:pStyle w:val="VSmCellBody"/>
              <w:tabs>
                <w:tab w:val="right" w:leader="dot" w:pos="3163"/>
              </w:tabs>
              <w:bidi/>
              <w:ind w:firstLine="411"/>
              <w:rPr>
                <w:szCs w:val="17"/>
              </w:rPr>
            </w:pPr>
            <w:r>
              <w:rPr>
                <w:rFonts w:hint="cs"/>
                <w:szCs w:val="17"/>
                <w:rtl/>
              </w:rPr>
              <w:t>الأرباح قبل حساب الفوائد والضرائب والإهلاك والإطفاء ل</w:t>
            </w:r>
            <w:r w:rsidR="00607B02">
              <w:rPr>
                <w:rFonts w:hint="cs"/>
                <w:szCs w:val="17"/>
                <w:rtl/>
              </w:rPr>
              <w:t>نقل</w:t>
            </w:r>
            <w:r>
              <w:rPr>
                <w:rFonts w:hint="cs"/>
                <w:szCs w:val="17"/>
                <w:rtl/>
              </w:rPr>
              <w:t xml:space="preserve"> البضائع السائبة الجافة</w:t>
            </w:r>
            <w:r w:rsidRPr="007766C5">
              <w:rPr>
                <w:szCs w:val="17"/>
                <w:vertAlign w:val="superscript"/>
              </w:rPr>
              <w:t xml:space="preserve"> </w:t>
            </w:r>
            <w:r>
              <w:rPr>
                <w:rFonts w:hint="cs"/>
                <w:szCs w:val="17"/>
                <w:vertAlign w:val="superscript"/>
                <w:rtl/>
              </w:rPr>
              <w:t xml:space="preserve"> </w:t>
            </w:r>
            <w:r w:rsidRPr="007766C5">
              <w:rPr>
                <w:szCs w:val="17"/>
                <w:vertAlign w:val="superscript"/>
              </w:rPr>
              <w:t>(</w:t>
            </w:r>
            <w:r>
              <w:rPr>
                <w:szCs w:val="17"/>
                <w:vertAlign w:val="superscript"/>
              </w:rPr>
              <w:t>1</w:t>
            </w:r>
            <w:r w:rsidRPr="007766C5">
              <w:rPr>
                <w:szCs w:val="17"/>
                <w:vertAlign w:val="superscript"/>
              </w:rPr>
              <w:t>)(</w:t>
            </w:r>
            <w:r>
              <w:rPr>
                <w:szCs w:val="17"/>
                <w:vertAlign w:val="superscript"/>
              </w:rPr>
              <w:t>5</w:t>
            </w:r>
            <w:r w:rsidRPr="007766C5">
              <w:rPr>
                <w:szCs w:val="17"/>
                <w:vertAlign w:val="superscript"/>
              </w:rPr>
              <w:t>)</w:t>
            </w:r>
          </w:p>
        </w:tc>
        <w:tc>
          <w:tcPr>
            <w:tcW w:w="911" w:type="dxa"/>
            <w:gridSpan w:val="3"/>
            <w:vAlign w:val="center"/>
          </w:tcPr>
          <w:p w14:paraId="30A7AD07" w14:textId="77777777" w:rsidR="002717E1" w:rsidRPr="007A3BB2" w:rsidDel="009C0EEF" w:rsidRDefault="002717E1" w:rsidP="002717E1">
            <w:pPr>
              <w:pStyle w:val="VSmCellBody"/>
              <w:bidi/>
              <w:jc w:val="center"/>
              <w:rPr>
                <w:sz w:val="16"/>
                <w:szCs w:val="16"/>
              </w:rPr>
            </w:pPr>
            <w:r w:rsidRPr="007A3BB2">
              <w:rPr>
                <w:color w:val="000000"/>
                <w:sz w:val="16"/>
                <w:szCs w:val="16"/>
              </w:rPr>
              <w:t>104.0</w:t>
            </w:r>
          </w:p>
        </w:tc>
        <w:tc>
          <w:tcPr>
            <w:tcW w:w="235" w:type="dxa"/>
            <w:vAlign w:val="center"/>
          </w:tcPr>
          <w:p w14:paraId="2BA5AC5A" w14:textId="77777777" w:rsidR="002717E1" w:rsidRPr="007A3BB2" w:rsidRDefault="002717E1" w:rsidP="002717E1">
            <w:pPr>
              <w:pStyle w:val="CellRowSpacer"/>
              <w:bidi/>
              <w:jc w:val="center"/>
              <w:rPr>
                <w:sz w:val="16"/>
                <w:szCs w:val="16"/>
              </w:rPr>
            </w:pPr>
          </w:p>
        </w:tc>
        <w:tc>
          <w:tcPr>
            <w:tcW w:w="901" w:type="dxa"/>
            <w:gridSpan w:val="3"/>
            <w:vAlign w:val="center"/>
          </w:tcPr>
          <w:p w14:paraId="0DD1C520" w14:textId="77777777" w:rsidR="002717E1" w:rsidRPr="007A3BB2" w:rsidDel="009C0EEF" w:rsidRDefault="002717E1" w:rsidP="002717E1">
            <w:pPr>
              <w:pStyle w:val="VSmCellBody"/>
              <w:bidi/>
              <w:jc w:val="center"/>
              <w:rPr>
                <w:sz w:val="16"/>
                <w:szCs w:val="16"/>
              </w:rPr>
            </w:pPr>
            <w:r w:rsidRPr="007A3BB2">
              <w:rPr>
                <w:color w:val="000000"/>
                <w:sz w:val="16"/>
                <w:szCs w:val="16"/>
              </w:rPr>
              <w:t>109.5</w:t>
            </w:r>
          </w:p>
        </w:tc>
        <w:tc>
          <w:tcPr>
            <w:tcW w:w="234" w:type="dxa"/>
            <w:vAlign w:val="center"/>
          </w:tcPr>
          <w:p w14:paraId="43841A97" w14:textId="77777777" w:rsidR="002717E1" w:rsidRPr="007A3BB2" w:rsidRDefault="002717E1" w:rsidP="002717E1">
            <w:pPr>
              <w:pStyle w:val="CellRowSpacer"/>
              <w:bidi/>
              <w:jc w:val="center"/>
              <w:rPr>
                <w:sz w:val="16"/>
                <w:szCs w:val="16"/>
              </w:rPr>
            </w:pPr>
          </w:p>
        </w:tc>
        <w:tc>
          <w:tcPr>
            <w:tcW w:w="901" w:type="dxa"/>
            <w:gridSpan w:val="3"/>
            <w:vAlign w:val="center"/>
          </w:tcPr>
          <w:p w14:paraId="3DFCF503" w14:textId="77777777" w:rsidR="002717E1" w:rsidRPr="007A3BB2" w:rsidDel="009C0EEF" w:rsidRDefault="002717E1" w:rsidP="002717E1">
            <w:pPr>
              <w:pStyle w:val="VSmCellBody"/>
              <w:bidi/>
              <w:jc w:val="center"/>
              <w:rPr>
                <w:sz w:val="16"/>
                <w:szCs w:val="16"/>
              </w:rPr>
            </w:pPr>
            <w:r w:rsidRPr="007A3BB2">
              <w:rPr>
                <w:color w:val="000000"/>
                <w:sz w:val="16"/>
                <w:szCs w:val="16"/>
              </w:rPr>
              <w:t>89.7</w:t>
            </w:r>
          </w:p>
        </w:tc>
        <w:tc>
          <w:tcPr>
            <w:tcW w:w="234" w:type="dxa"/>
            <w:vAlign w:val="center"/>
          </w:tcPr>
          <w:p w14:paraId="2C504BFB" w14:textId="77777777" w:rsidR="002717E1" w:rsidRPr="007A3BB2" w:rsidRDefault="002717E1" w:rsidP="002717E1">
            <w:pPr>
              <w:pStyle w:val="CellRowSpacer"/>
              <w:bidi/>
              <w:jc w:val="center"/>
              <w:rPr>
                <w:sz w:val="16"/>
                <w:szCs w:val="16"/>
              </w:rPr>
            </w:pPr>
          </w:p>
        </w:tc>
        <w:tc>
          <w:tcPr>
            <w:tcW w:w="901" w:type="dxa"/>
            <w:gridSpan w:val="3"/>
            <w:vAlign w:val="center"/>
          </w:tcPr>
          <w:p w14:paraId="1F7FB87F" w14:textId="77777777" w:rsidR="002717E1" w:rsidRPr="007A3BB2" w:rsidDel="009C0EEF" w:rsidRDefault="002717E1" w:rsidP="002717E1">
            <w:pPr>
              <w:pStyle w:val="VSmCellBody"/>
              <w:bidi/>
              <w:jc w:val="center"/>
              <w:rPr>
                <w:sz w:val="16"/>
                <w:szCs w:val="16"/>
              </w:rPr>
            </w:pPr>
            <w:r w:rsidRPr="007A3BB2">
              <w:rPr>
                <w:color w:val="000000"/>
                <w:sz w:val="16"/>
                <w:szCs w:val="16"/>
              </w:rPr>
              <w:t>66.9</w:t>
            </w:r>
          </w:p>
        </w:tc>
        <w:tc>
          <w:tcPr>
            <w:tcW w:w="234" w:type="dxa"/>
            <w:vAlign w:val="center"/>
          </w:tcPr>
          <w:p w14:paraId="01D5B197" w14:textId="77777777" w:rsidR="002717E1" w:rsidRPr="007A3BB2" w:rsidRDefault="002717E1" w:rsidP="002717E1">
            <w:pPr>
              <w:pStyle w:val="CellRowSpacer"/>
              <w:bidi/>
              <w:jc w:val="center"/>
              <w:rPr>
                <w:sz w:val="16"/>
                <w:szCs w:val="16"/>
              </w:rPr>
            </w:pPr>
          </w:p>
        </w:tc>
        <w:tc>
          <w:tcPr>
            <w:tcW w:w="901" w:type="dxa"/>
            <w:gridSpan w:val="3"/>
            <w:vAlign w:val="center"/>
          </w:tcPr>
          <w:p w14:paraId="7E0A8BF9" w14:textId="77777777" w:rsidR="002717E1" w:rsidRPr="007A3BB2" w:rsidDel="009C0EEF" w:rsidRDefault="002717E1" w:rsidP="002717E1">
            <w:pPr>
              <w:pStyle w:val="VSmCellBody"/>
              <w:bidi/>
              <w:jc w:val="center"/>
              <w:rPr>
                <w:sz w:val="16"/>
                <w:szCs w:val="16"/>
              </w:rPr>
            </w:pPr>
            <w:r w:rsidRPr="007A3BB2">
              <w:rPr>
                <w:color w:val="000000"/>
                <w:sz w:val="16"/>
                <w:szCs w:val="16"/>
              </w:rPr>
              <w:t>59.7</w:t>
            </w:r>
          </w:p>
        </w:tc>
        <w:tc>
          <w:tcPr>
            <w:tcW w:w="234" w:type="dxa"/>
            <w:vAlign w:val="center"/>
          </w:tcPr>
          <w:p w14:paraId="75A8D068" w14:textId="77777777" w:rsidR="002717E1" w:rsidRPr="00B02BA3" w:rsidRDefault="002717E1" w:rsidP="002717E1">
            <w:pPr>
              <w:pStyle w:val="CellRowSpacer"/>
              <w:bidi/>
              <w:jc w:val="center"/>
              <w:rPr>
                <w:sz w:val="17"/>
              </w:rPr>
            </w:pPr>
          </w:p>
        </w:tc>
      </w:tr>
      <w:tr w:rsidR="002717E1" w:rsidRPr="00B02BA3" w14:paraId="07E41550" w14:textId="77777777" w:rsidTr="00821D72">
        <w:trPr>
          <w:gridAfter w:val="2"/>
          <w:wAfter w:w="243" w:type="dxa"/>
        </w:trPr>
        <w:tc>
          <w:tcPr>
            <w:tcW w:w="3137" w:type="dxa"/>
            <w:gridSpan w:val="2"/>
            <w:vAlign w:val="center"/>
          </w:tcPr>
          <w:p w14:paraId="66F8F8D7" w14:textId="77777777" w:rsidR="002717E1" w:rsidRDefault="002717E1" w:rsidP="002717E1">
            <w:pPr>
              <w:pStyle w:val="VSmCellBody"/>
              <w:tabs>
                <w:tab w:val="right" w:leader="dot" w:pos="3163"/>
              </w:tabs>
              <w:bidi/>
              <w:ind w:firstLine="411"/>
              <w:rPr>
                <w:szCs w:val="17"/>
              </w:rPr>
            </w:pPr>
            <w:r>
              <w:rPr>
                <w:rFonts w:hint="cs"/>
                <w:szCs w:val="17"/>
                <w:rtl/>
              </w:rPr>
              <w:t>الأرباح قبل حساب الفوائد والضرائب والإهلاك والإطفاء ل</w:t>
            </w:r>
            <w:r w:rsidR="00607B02">
              <w:rPr>
                <w:rFonts w:hint="cs"/>
                <w:szCs w:val="17"/>
                <w:rtl/>
              </w:rPr>
              <w:t>نقل</w:t>
            </w:r>
            <w:r>
              <w:rPr>
                <w:rFonts w:hint="cs"/>
                <w:szCs w:val="17"/>
                <w:rtl/>
              </w:rPr>
              <w:t xml:space="preserve"> الغاز</w:t>
            </w:r>
            <w:r w:rsidRPr="007766C5">
              <w:rPr>
                <w:szCs w:val="17"/>
                <w:vertAlign w:val="superscript"/>
              </w:rPr>
              <w:t xml:space="preserve"> (</w:t>
            </w:r>
            <w:r>
              <w:rPr>
                <w:szCs w:val="17"/>
                <w:vertAlign w:val="superscript"/>
              </w:rPr>
              <w:t>1</w:t>
            </w:r>
            <w:r w:rsidRPr="007766C5">
              <w:rPr>
                <w:szCs w:val="17"/>
                <w:vertAlign w:val="superscript"/>
              </w:rPr>
              <w:t>)(</w:t>
            </w:r>
            <w:r>
              <w:rPr>
                <w:szCs w:val="17"/>
                <w:vertAlign w:val="superscript"/>
              </w:rPr>
              <w:t>6</w:t>
            </w:r>
            <w:r w:rsidRPr="007766C5">
              <w:rPr>
                <w:szCs w:val="17"/>
                <w:vertAlign w:val="superscript"/>
              </w:rPr>
              <w:t>)</w:t>
            </w:r>
          </w:p>
        </w:tc>
        <w:tc>
          <w:tcPr>
            <w:tcW w:w="911" w:type="dxa"/>
            <w:gridSpan w:val="3"/>
            <w:vAlign w:val="center"/>
          </w:tcPr>
          <w:p w14:paraId="786F503B" w14:textId="77777777" w:rsidR="002717E1" w:rsidRPr="007A3BB2" w:rsidDel="009C0EEF" w:rsidRDefault="002717E1" w:rsidP="002717E1">
            <w:pPr>
              <w:pStyle w:val="VSmCellBody"/>
              <w:bidi/>
              <w:jc w:val="center"/>
              <w:rPr>
                <w:sz w:val="16"/>
                <w:szCs w:val="16"/>
              </w:rPr>
            </w:pPr>
            <w:r w:rsidRPr="007A3BB2">
              <w:rPr>
                <w:color w:val="000000"/>
                <w:sz w:val="16"/>
                <w:szCs w:val="16"/>
              </w:rPr>
              <w:t>76.2</w:t>
            </w:r>
          </w:p>
        </w:tc>
        <w:tc>
          <w:tcPr>
            <w:tcW w:w="235" w:type="dxa"/>
            <w:vAlign w:val="center"/>
          </w:tcPr>
          <w:p w14:paraId="6165D880" w14:textId="77777777" w:rsidR="002717E1" w:rsidRPr="007A3BB2" w:rsidRDefault="002717E1" w:rsidP="002717E1">
            <w:pPr>
              <w:pStyle w:val="CellRowSpacer"/>
              <w:bidi/>
              <w:jc w:val="center"/>
              <w:rPr>
                <w:sz w:val="16"/>
                <w:szCs w:val="16"/>
              </w:rPr>
            </w:pPr>
          </w:p>
        </w:tc>
        <w:tc>
          <w:tcPr>
            <w:tcW w:w="901" w:type="dxa"/>
            <w:gridSpan w:val="3"/>
            <w:vAlign w:val="center"/>
          </w:tcPr>
          <w:p w14:paraId="1B2F8417" w14:textId="77777777" w:rsidR="002717E1" w:rsidRPr="007A3BB2" w:rsidDel="009C0EEF" w:rsidRDefault="002717E1" w:rsidP="002717E1">
            <w:pPr>
              <w:pStyle w:val="VSmCellBody"/>
              <w:bidi/>
              <w:jc w:val="center"/>
              <w:rPr>
                <w:sz w:val="16"/>
                <w:szCs w:val="16"/>
              </w:rPr>
            </w:pPr>
            <w:r w:rsidRPr="007A3BB2">
              <w:rPr>
                <w:color w:val="000000"/>
                <w:sz w:val="16"/>
                <w:szCs w:val="16"/>
              </w:rPr>
              <w:t>86.5</w:t>
            </w:r>
          </w:p>
        </w:tc>
        <w:tc>
          <w:tcPr>
            <w:tcW w:w="234" w:type="dxa"/>
            <w:vAlign w:val="center"/>
          </w:tcPr>
          <w:p w14:paraId="08EB14D1" w14:textId="77777777" w:rsidR="002717E1" w:rsidRPr="007A3BB2" w:rsidRDefault="002717E1" w:rsidP="002717E1">
            <w:pPr>
              <w:pStyle w:val="CellRowSpacer"/>
              <w:bidi/>
              <w:jc w:val="center"/>
              <w:rPr>
                <w:sz w:val="16"/>
                <w:szCs w:val="16"/>
              </w:rPr>
            </w:pPr>
          </w:p>
        </w:tc>
        <w:tc>
          <w:tcPr>
            <w:tcW w:w="901" w:type="dxa"/>
            <w:gridSpan w:val="3"/>
            <w:vAlign w:val="center"/>
          </w:tcPr>
          <w:p w14:paraId="3D8A3AB7" w14:textId="77777777" w:rsidR="002717E1" w:rsidRPr="007A3BB2" w:rsidDel="009C0EEF" w:rsidRDefault="002717E1" w:rsidP="002717E1">
            <w:pPr>
              <w:pStyle w:val="VSmCellBody"/>
              <w:bidi/>
              <w:jc w:val="center"/>
              <w:rPr>
                <w:sz w:val="16"/>
                <w:szCs w:val="16"/>
              </w:rPr>
            </w:pPr>
            <w:r w:rsidRPr="007A3BB2">
              <w:rPr>
                <w:color w:val="000000"/>
                <w:sz w:val="16"/>
                <w:szCs w:val="16"/>
              </w:rPr>
              <w:t>104.4</w:t>
            </w:r>
          </w:p>
        </w:tc>
        <w:tc>
          <w:tcPr>
            <w:tcW w:w="234" w:type="dxa"/>
            <w:vAlign w:val="center"/>
          </w:tcPr>
          <w:p w14:paraId="7AFB5F6F" w14:textId="77777777" w:rsidR="002717E1" w:rsidRPr="007A3BB2" w:rsidRDefault="002717E1" w:rsidP="002717E1">
            <w:pPr>
              <w:pStyle w:val="CellRowSpacer"/>
              <w:bidi/>
              <w:jc w:val="center"/>
              <w:rPr>
                <w:sz w:val="16"/>
                <w:szCs w:val="16"/>
              </w:rPr>
            </w:pPr>
          </w:p>
        </w:tc>
        <w:tc>
          <w:tcPr>
            <w:tcW w:w="901" w:type="dxa"/>
            <w:gridSpan w:val="3"/>
            <w:vAlign w:val="center"/>
          </w:tcPr>
          <w:p w14:paraId="1889272D" w14:textId="77777777" w:rsidR="002717E1" w:rsidRPr="007A3BB2" w:rsidDel="009C0EEF" w:rsidRDefault="002717E1" w:rsidP="002717E1">
            <w:pPr>
              <w:pStyle w:val="VSmCellBody"/>
              <w:bidi/>
              <w:jc w:val="center"/>
              <w:rPr>
                <w:sz w:val="16"/>
                <w:szCs w:val="16"/>
              </w:rPr>
            </w:pPr>
            <w:r w:rsidRPr="007A3BB2">
              <w:rPr>
                <w:color w:val="000000"/>
                <w:sz w:val="16"/>
                <w:szCs w:val="16"/>
              </w:rPr>
              <w:t>78.9</w:t>
            </w:r>
          </w:p>
        </w:tc>
        <w:tc>
          <w:tcPr>
            <w:tcW w:w="234" w:type="dxa"/>
            <w:vAlign w:val="center"/>
          </w:tcPr>
          <w:p w14:paraId="60B0BAF1" w14:textId="77777777" w:rsidR="002717E1" w:rsidRPr="007A3BB2" w:rsidRDefault="002717E1" w:rsidP="002717E1">
            <w:pPr>
              <w:pStyle w:val="CellRowSpacer"/>
              <w:bidi/>
              <w:jc w:val="center"/>
              <w:rPr>
                <w:sz w:val="16"/>
                <w:szCs w:val="16"/>
              </w:rPr>
            </w:pPr>
          </w:p>
        </w:tc>
        <w:tc>
          <w:tcPr>
            <w:tcW w:w="901" w:type="dxa"/>
            <w:gridSpan w:val="3"/>
            <w:vAlign w:val="center"/>
          </w:tcPr>
          <w:p w14:paraId="7700A855" w14:textId="77777777" w:rsidR="002717E1" w:rsidRPr="007A3BB2" w:rsidDel="009C0EEF" w:rsidRDefault="002717E1" w:rsidP="002717E1">
            <w:pPr>
              <w:pStyle w:val="VSmCellBody"/>
              <w:bidi/>
              <w:jc w:val="center"/>
              <w:rPr>
                <w:sz w:val="16"/>
                <w:szCs w:val="16"/>
              </w:rPr>
            </w:pPr>
            <w:r w:rsidRPr="007A3BB2">
              <w:rPr>
                <w:color w:val="000000"/>
                <w:sz w:val="16"/>
                <w:szCs w:val="16"/>
              </w:rPr>
              <w:t>72.9</w:t>
            </w:r>
          </w:p>
        </w:tc>
        <w:tc>
          <w:tcPr>
            <w:tcW w:w="234" w:type="dxa"/>
            <w:vAlign w:val="center"/>
          </w:tcPr>
          <w:p w14:paraId="6F46BD96" w14:textId="77777777" w:rsidR="002717E1" w:rsidRPr="00B02BA3" w:rsidRDefault="002717E1" w:rsidP="002717E1">
            <w:pPr>
              <w:pStyle w:val="CellRowSpacer"/>
              <w:bidi/>
              <w:jc w:val="center"/>
              <w:rPr>
                <w:sz w:val="17"/>
              </w:rPr>
            </w:pPr>
          </w:p>
        </w:tc>
      </w:tr>
      <w:tr w:rsidR="002717E1" w:rsidRPr="00B02BA3" w14:paraId="14F44057" w14:textId="77777777" w:rsidTr="00821D72">
        <w:trPr>
          <w:gridAfter w:val="2"/>
          <w:wAfter w:w="243" w:type="dxa"/>
        </w:trPr>
        <w:tc>
          <w:tcPr>
            <w:tcW w:w="3137" w:type="dxa"/>
            <w:gridSpan w:val="2"/>
            <w:vAlign w:val="center"/>
          </w:tcPr>
          <w:p w14:paraId="54124E3E" w14:textId="77777777" w:rsidR="002717E1" w:rsidRDefault="002717E1" w:rsidP="002717E1">
            <w:pPr>
              <w:pStyle w:val="VSmCellBody"/>
              <w:tabs>
                <w:tab w:val="right" w:leader="dot" w:pos="3163"/>
              </w:tabs>
              <w:bidi/>
              <w:ind w:firstLine="411"/>
              <w:rPr>
                <w:szCs w:val="17"/>
              </w:rPr>
            </w:pPr>
            <w:r>
              <w:rPr>
                <w:rFonts w:hint="cs"/>
                <w:szCs w:val="17"/>
                <w:rtl/>
              </w:rPr>
              <w:t>الأرباح قبل حساب الفوائد والضرائب والإهلاك والإطفاء لل</w:t>
            </w:r>
            <w:r w:rsidR="00607B02">
              <w:rPr>
                <w:rFonts w:hint="cs"/>
                <w:szCs w:val="17"/>
                <w:rtl/>
              </w:rPr>
              <w:t>نقل</w:t>
            </w:r>
            <w:r>
              <w:rPr>
                <w:rFonts w:hint="cs"/>
                <w:szCs w:val="17"/>
                <w:rtl/>
              </w:rPr>
              <w:t xml:space="preserve"> المنتظم</w:t>
            </w:r>
            <w:r w:rsidRPr="007766C5">
              <w:rPr>
                <w:szCs w:val="17"/>
                <w:vertAlign w:val="superscript"/>
              </w:rPr>
              <w:t xml:space="preserve"> (</w:t>
            </w:r>
            <w:r>
              <w:rPr>
                <w:szCs w:val="17"/>
                <w:vertAlign w:val="superscript"/>
              </w:rPr>
              <w:t>1</w:t>
            </w:r>
            <w:r w:rsidRPr="007766C5">
              <w:rPr>
                <w:szCs w:val="17"/>
                <w:vertAlign w:val="superscript"/>
              </w:rPr>
              <w:t>)(</w:t>
            </w:r>
            <w:r>
              <w:rPr>
                <w:szCs w:val="17"/>
                <w:vertAlign w:val="superscript"/>
              </w:rPr>
              <w:t>7</w:t>
            </w:r>
            <w:r w:rsidRPr="007766C5">
              <w:rPr>
                <w:szCs w:val="17"/>
                <w:vertAlign w:val="superscript"/>
              </w:rPr>
              <w:t>)</w:t>
            </w:r>
          </w:p>
        </w:tc>
        <w:tc>
          <w:tcPr>
            <w:tcW w:w="911" w:type="dxa"/>
            <w:gridSpan w:val="3"/>
            <w:vAlign w:val="center"/>
          </w:tcPr>
          <w:p w14:paraId="5D50727E" w14:textId="77777777" w:rsidR="002717E1" w:rsidRPr="007A3BB2" w:rsidDel="009C0EEF" w:rsidRDefault="002717E1" w:rsidP="002717E1">
            <w:pPr>
              <w:pStyle w:val="VSmCellBody"/>
              <w:bidi/>
              <w:jc w:val="center"/>
              <w:rPr>
                <w:sz w:val="16"/>
                <w:szCs w:val="16"/>
              </w:rPr>
            </w:pPr>
            <w:r w:rsidRPr="007A3BB2">
              <w:rPr>
                <w:color w:val="000000"/>
                <w:sz w:val="16"/>
                <w:szCs w:val="16"/>
              </w:rPr>
              <w:t>35.6</w:t>
            </w:r>
          </w:p>
        </w:tc>
        <w:tc>
          <w:tcPr>
            <w:tcW w:w="235" w:type="dxa"/>
            <w:vAlign w:val="center"/>
          </w:tcPr>
          <w:p w14:paraId="72454109" w14:textId="77777777" w:rsidR="002717E1" w:rsidRPr="007A3BB2" w:rsidRDefault="002717E1" w:rsidP="002717E1">
            <w:pPr>
              <w:pStyle w:val="CellRowSpacer"/>
              <w:bidi/>
              <w:jc w:val="center"/>
              <w:rPr>
                <w:sz w:val="16"/>
                <w:szCs w:val="16"/>
              </w:rPr>
            </w:pPr>
          </w:p>
        </w:tc>
        <w:tc>
          <w:tcPr>
            <w:tcW w:w="901" w:type="dxa"/>
            <w:gridSpan w:val="3"/>
            <w:vAlign w:val="center"/>
          </w:tcPr>
          <w:p w14:paraId="65DCDA5F" w14:textId="77777777" w:rsidR="002717E1" w:rsidRPr="007A3BB2" w:rsidDel="009C0EEF" w:rsidRDefault="002717E1" w:rsidP="002717E1">
            <w:pPr>
              <w:pStyle w:val="VSmCellBody"/>
              <w:bidi/>
              <w:jc w:val="center"/>
              <w:rPr>
                <w:sz w:val="16"/>
                <w:szCs w:val="16"/>
              </w:rPr>
            </w:pPr>
            <w:r w:rsidRPr="007A3BB2">
              <w:rPr>
                <w:color w:val="000000"/>
                <w:sz w:val="16"/>
                <w:szCs w:val="16"/>
              </w:rPr>
              <w:t>78.5</w:t>
            </w:r>
          </w:p>
        </w:tc>
        <w:tc>
          <w:tcPr>
            <w:tcW w:w="234" w:type="dxa"/>
            <w:vAlign w:val="center"/>
          </w:tcPr>
          <w:p w14:paraId="64B26220" w14:textId="77777777" w:rsidR="002717E1" w:rsidRPr="007A3BB2" w:rsidRDefault="002717E1" w:rsidP="002717E1">
            <w:pPr>
              <w:pStyle w:val="CellRowSpacer"/>
              <w:bidi/>
              <w:jc w:val="center"/>
              <w:rPr>
                <w:sz w:val="16"/>
                <w:szCs w:val="16"/>
              </w:rPr>
            </w:pPr>
          </w:p>
        </w:tc>
        <w:tc>
          <w:tcPr>
            <w:tcW w:w="901" w:type="dxa"/>
            <w:gridSpan w:val="3"/>
            <w:vAlign w:val="center"/>
          </w:tcPr>
          <w:p w14:paraId="2A6B49E1" w14:textId="77777777" w:rsidR="002717E1" w:rsidRPr="007A3BB2" w:rsidDel="009C0EEF" w:rsidRDefault="002717E1" w:rsidP="002717E1">
            <w:pPr>
              <w:pStyle w:val="VSmCellBody"/>
              <w:bidi/>
              <w:jc w:val="center"/>
              <w:rPr>
                <w:sz w:val="16"/>
                <w:szCs w:val="16"/>
              </w:rPr>
            </w:pPr>
            <w:r>
              <w:rPr>
                <w:color w:val="000000"/>
                <w:sz w:val="16"/>
                <w:szCs w:val="16"/>
              </w:rPr>
              <w:t>(</w:t>
            </w:r>
            <w:r w:rsidRPr="007A3BB2">
              <w:rPr>
                <w:color w:val="000000"/>
                <w:sz w:val="16"/>
                <w:szCs w:val="16"/>
              </w:rPr>
              <w:t>68.3</w:t>
            </w:r>
            <w:r>
              <w:rPr>
                <w:color w:val="000000"/>
                <w:sz w:val="16"/>
                <w:szCs w:val="16"/>
              </w:rPr>
              <w:t>)</w:t>
            </w:r>
          </w:p>
        </w:tc>
        <w:tc>
          <w:tcPr>
            <w:tcW w:w="234" w:type="dxa"/>
            <w:vAlign w:val="center"/>
          </w:tcPr>
          <w:p w14:paraId="70FE17EC" w14:textId="77777777" w:rsidR="002717E1" w:rsidRPr="007A3BB2" w:rsidRDefault="002717E1" w:rsidP="002717E1">
            <w:pPr>
              <w:pStyle w:val="CellRowSpacer"/>
              <w:bidi/>
              <w:jc w:val="center"/>
              <w:rPr>
                <w:sz w:val="16"/>
                <w:szCs w:val="16"/>
              </w:rPr>
            </w:pPr>
          </w:p>
        </w:tc>
        <w:tc>
          <w:tcPr>
            <w:tcW w:w="901" w:type="dxa"/>
            <w:gridSpan w:val="3"/>
            <w:vAlign w:val="center"/>
          </w:tcPr>
          <w:p w14:paraId="5EE8BB1C" w14:textId="77777777" w:rsidR="002717E1" w:rsidRPr="007A3BB2" w:rsidDel="009C0EEF" w:rsidRDefault="002717E1" w:rsidP="002717E1">
            <w:pPr>
              <w:pStyle w:val="VSmCellBody"/>
              <w:bidi/>
              <w:jc w:val="center"/>
              <w:rPr>
                <w:sz w:val="16"/>
                <w:szCs w:val="16"/>
              </w:rPr>
            </w:pPr>
            <w:r>
              <w:rPr>
                <w:color w:val="000000"/>
                <w:sz w:val="16"/>
                <w:szCs w:val="16"/>
              </w:rPr>
              <w:t>(</w:t>
            </w:r>
            <w:r w:rsidRPr="007A3BB2">
              <w:rPr>
                <w:color w:val="000000"/>
                <w:sz w:val="16"/>
                <w:szCs w:val="16"/>
              </w:rPr>
              <w:t>60.8</w:t>
            </w:r>
            <w:r>
              <w:rPr>
                <w:color w:val="000000"/>
                <w:sz w:val="16"/>
                <w:szCs w:val="16"/>
              </w:rPr>
              <w:t>)</w:t>
            </w:r>
          </w:p>
        </w:tc>
        <w:tc>
          <w:tcPr>
            <w:tcW w:w="234" w:type="dxa"/>
            <w:vAlign w:val="center"/>
          </w:tcPr>
          <w:p w14:paraId="215EFD1C" w14:textId="77777777" w:rsidR="002717E1" w:rsidRPr="007A3BB2" w:rsidRDefault="002717E1" w:rsidP="002717E1">
            <w:pPr>
              <w:pStyle w:val="CellRowSpacer"/>
              <w:bidi/>
              <w:jc w:val="center"/>
              <w:rPr>
                <w:sz w:val="16"/>
                <w:szCs w:val="16"/>
              </w:rPr>
            </w:pPr>
          </w:p>
        </w:tc>
        <w:tc>
          <w:tcPr>
            <w:tcW w:w="901" w:type="dxa"/>
            <w:gridSpan w:val="3"/>
            <w:vAlign w:val="center"/>
          </w:tcPr>
          <w:p w14:paraId="5420F024" w14:textId="77777777" w:rsidR="002717E1" w:rsidRPr="007A3BB2" w:rsidDel="009C0EEF" w:rsidRDefault="002717E1" w:rsidP="002717E1">
            <w:pPr>
              <w:pStyle w:val="VSmCellBody"/>
              <w:bidi/>
              <w:jc w:val="center"/>
              <w:rPr>
                <w:sz w:val="16"/>
                <w:szCs w:val="16"/>
              </w:rPr>
            </w:pPr>
            <w:r w:rsidRPr="007A3BB2">
              <w:rPr>
                <w:color w:val="000000"/>
                <w:sz w:val="16"/>
                <w:szCs w:val="16"/>
              </w:rPr>
              <w:t>35.5</w:t>
            </w:r>
          </w:p>
        </w:tc>
        <w:tc>
          <w:tcPr>
            <w:tcW w:w="234" w:type="dxa"/>
            <w:vAlign w:val="center"/>
          </w:tcPr>
          <w:p w14:paraId="0EA96E2C" w14:textId="77777777" w:rsidR="002717E1" w:rsidRPr="00B02BA3" w:rsidRDefault="002717E1" w:rsidP="002717E1">
            <w:pPr>
              <w:pStyle w:val="CellRowSpacer"/>
              <w:bidi/>
              <w:jc w:val="center"/>
              <w:rPr>
                <w:sz w:val="17"/>
              </w:rPr>
            </w:pPr>
          </w:p>
        </w:tc>
      </w:tr>
      <w:tr w:rsidR="00136A92" w:rsidRPr="00B02BA3" w14:paraId="41BE697D" w14:textId="77777777" w:rsidTr="00821D72">
        <w:trPr>
          <w:gridAfter w:val="2"/>
          <w:wAfter w:w="243" w:type="dxa"/>
        </w:trPr>
        <w:tc>
          <w:tcPr>
            <w:tcW w:w="3137" w:type="dxa"/>
            <w:gridSpan w:val="2"/>
            <w:vAlign w:val="center"/>
          </w:tcPr>
          <w:p w14:paraId="7954FF7A" w14:textId="77777777" w:rsidR="00136A92" w:rsidRPr="003832A3" w:rsidRDefault="00136A92" w:rsidP="002717E1">
            <w:pPr>
              <w:pStyle w:val="VSmCellBody"/>
              <w:tabs>
                <w:tab w:val="right" w:leader="dot" w:pos="3163"/>
              </w:tabs>
              <w:bidi/>
              <w:ind w:firstLine="411"/>
              <w:rPr>
                <w:szCs w:val="17"/>
                <w:vertAlign w:val="superscript"/>
                <w:rtl/>
              </w:rPr>
            </w:pPr>
            <w:r>
              <w:rPr>
                <w:rFonts w:hint="cs"/>
                <w:szCs w:val="17"/>
                <w:rtl/>
              </w:rPr>
              <w:t xml:space="preserve">الأرباح </w:t>
            </w:r>
            <w:r>
              <w:rPr>
                <w:rFonts w:hint="cs"/>
                <w:szCs w:val="17"/>
                <w:rtl/>
                <w:lang w:val="en-US"/>
              </w:rPr>
              <w:t xml:space="preserve">الأخرى </w:t>
            </w:r>
            <w:r>
              <w:rPr>
                <w:rFonts w:hint="cs"/>
                <w:szCs w:val="17"/>
                <w:rtl/>
              </w:rPr>
              <w:t>قبل حساب الفوائد والضرائب والإهلاك والإطفاء</w:t>
            </w:r>
            <w:r>
              <w:rPr>
                <w:szCs w:val="17"/>
                <w:vertAlign w:val="superscript"/>
              </w:rPr>
              <w:t>(2)(2)</w:t>
            </w:r>
          </w:p>
        </w:tc>
        <w:tc>
          <w:tcPr>
            <w:tcW w:w="911" w:type="dxa"/>
            <w:gridSpan w:val="3"/>
            <w:vAlign w:val="center"/>
          </w:tcPr>
          <w:p w14:paraId="4CD9DC29" w14:textId="77777777" w:rsidR="00136A92" w:rsidRPr="007A3BB2" w:rsidRDefault="00136A92" w:rsidP="002717E1">
            <w:pPr>
              <w:pStyle w:val="VSmCellBody"/>
              <w:bidi/>
              <w:jc w:val="center"/>
              <w:rPr>
                <w:color w:val="000000"/>
                <w:sz w:val="16"/>
                <w:szCs w:val="16"/>
              </w:rPr>
            </w:pPr>
            <w:r>
              <w:rPr>
                <w:color w:val="000000"/>
                <w:sz w:val="16"/>
                <w:szCs w:val="16"/>
              </w:rPr>
              <w:t>(22.7)</w:t>
            </w:r>
          </w:p>
        </w:tc>
        <w:tc>
          <w:tcPr>
            <w:tcW w:w="235" w:type="dxa"/>
            <w:vAlign w:val="center"/>
          </w:tcPr>
          <w:p w14:paraId="5CE00003" w14:textId="77777777" w:rsidR="00136A92" w:rsidRPr="007A3BB2" w:rsidRDefault="00136A92" w:rsidP="002717E1">
            <w:pPr>
              <w:pStyle w:val="CellRowSpacer"/>
              <w:bidi/>
              <w:jc w:val="center"/>
              <w:rPr>
                <w:sz w:val="16"/>
                <w:szCs w:val="16"/>
              </w:rPr>
            </w:pPr>
          </w:p>
        </w:tc>
        <w:tc>
          <w:tcPr>
            <w:tcW w:w="901" w:type="dxa"/>
            <w:gridSpan w:val="3"/>
            <w:vAlign w:val="center"/>
          </w:tcPr>
          <w:p w14:paraId="186D5B3E" w14:textId="77777777" w:rsidR="00136A92" w:rsidRPr="007A3BB2" w:rsidRDefault="00136A92" w:rsidP="002717E1">
            <w:pPr>
              <w:pStyle w:val="VSmCellBody"/>
              <w:bidi/>
              <w:jc w:val="center"/>
              <w:rPr>
                <w:color w:val="000000"/>
                <w:sz w:val="16"/>
                <w:szCs w:val="16"/>
              </w:rPr>
            </w:pPr>
            <w:r>
              <w:rPr>
                <w:color w:val="000000"/>
                <w:sz w:val="16"/>
                <w:szCs w:val="16"/>
              </w:rPr>
              <w:t>(26.2)</w:t>
            </w:r>
          </w:p>
        </w:tc>
        <w:tc>
          <w:tcPr>
            <w:tcW w:w="234" w:type="dxa"/>
            <w:vAlign w:val="center"/>
          </w:tcPr>
          <w:p w14:paraId="36521F6F" w14:textId="77777777" w:rsidR="00136A92" w:rsidRPr="007A3BB2" w:rsidRDefault="00136A92" w:rsidP="002717E1">
            <w:pPr>
              <w:pStyle w:val="CellRowSpacer"/>
              <w:bidi/>
              <w:jc w:val="center"/>
              <w:rPr>
                <w:sz w:val="16"/>
                <w:szCs w:val="16"/>
              </w:rPr>
            </w:pPr>
          </w:p>
        </w:tc>
        <w:tc>
          <w:tcPr>
            <w:tcW w:w="901" w:type="dxa"/>
            <w:gridSpan w:val="3"/>
            <w:vAlign w:val="center"/>
          </w:tcPr>
          <w:p w14:paraId="078CAADD" w14:textId="77777777" w:rsidR="00136A92" w:rsidRDefault="00136A92" w:rsidP="002717E1">
            <w:pPr>
              <w:pStyle w:val="VSmCellBody"/>
              <w:bidi/>
              <w:jc w:val="center"/>
              <w:rPr>
                <w:color w:val="000000"/>
                <w:sz w:val="16"/>
                <w:szCs w:val="16"/>
              </w:rPr>
            </w:pPr>
            <w:r>
              <w:rPr>
                <w:color w:val="000000"/>
                <w:sz w:val="16"/>
                <w:szCs w:val="16"/>
              </w:rPr>
              <w:t>(33.2)</w:t>
            </w:r>
          </w:p>
        </w:tc>
        <w:tc>
          <w:tcPr>
            <w:tcW w:w="234" w:type="dxa"/>
            <w:vAlign w:val="center"/>
          </w:tcPr>
          <w:p w14:paraId="3A8382FA" w14:textId="77777777" w:rsidR="00136A92" w:rsidRPr="007A3BB2" w:rsidRDefault="00136A92" w:rsidP="002717E1">
            <w:pPr>
              <w:pStyle w:val="CellRowSpacer"/>
              <w:bidi/>
              <w:jc w:val="center"/>
              <w:rPr>
                <w:sz w:val="16"/>
                <w:szCs w:val="16"/>
              </w:rPr>
            </w:pPr>
          </w:p>
        </w:tc>
        <w:tc>
          <w:tcPr>
            <w:tcW w:w="901" w:type="dxa"/>
            <w:gridSpan w:val="3"/>
            <w:vAlign w:val="center"/>
          </w:tcPr>
          <w:p w14:paraId="62448E7B" w14:textId="77777777" w:rsidR="00136A92" w:rsidRDefault="00136A92" w:rsidP="002717E1">
            <w:pPr>
              <w:pStyle w:val="VSmCellBody"/>
              <w:bidi/>
              <w:jc w:val="center"/>
              <w:rPr>
                <w:color w:val="000000"/>
                <w:sz w:val="16"/>
                <w:szCs w:val="16"/>
              </w:rPr>
            </w:pPr>
            <w:r>
              <w:rPr>
                <w:color w:val="000000"/>
                <w:sz w:val="16"/>
                <w:szCs w:val="16"/>
              </w:rPr>
              <w:t>(21.3)</w:t>
            </w:r>
          </w:p>
        </w:tc>
        <w:tc>
          <w:tcPr>
            <w:tcW w:w="234" w:type="dxa"/>
            <w:vAlign w:val="center"/>
          </w:tcPr>
          <w:p w14:paraId="7B1AE078" w14:textId="77777777" w:rsidR="00136A92" w:rsidRPr="007A3BB2" w:rsidRDefault="00136A92" w:rsidP="002717E1">
            <w:pPr>
              <w:pStyle w:val="CellRowSpacer"/>
              <w:bidi/>
              <w:jc w:val="center"/>
              <w:rPr>
                <w:sz w:val="16"/>
                <w:szCs w:val="16"/>
              </w:rPr>
            </w:pPr>
          </w:p>
        </w:tc>
        <w:tc>
          <w:tcPr>
            <w:tcW w:w="901" w:type="dxa"/>
            <w:gridSpan w:val="3"/>
            <w:vAlign w:val="center"/>
          </w:tcPr>
          <w:p w14:paraId="512248FD" w14:textId="77777777" w:rsidR="00136A92" w:rsidRPr="007A3BB2" w:rsidRDefault="00136A92" w:rsidP="002717E1">
            <w:pPr>
              <w:pStyle w:val="VSmCellBody"/>
              <w:bidi/>
              <w:jc w:val="center"/>
              <w:rPr>
                <w:color w:val="000000"/>
                <w:sz w:val="16"/>
                <w:szCs w:val="16"/>
              </w:rPr>
            </w:pPr>
            <w:r>
              <w:rPr>
                <w:color w:val="000000"/>
                <w:sz w:val="16"/>
                <w:szCs w:val="16"/>
              </w:rPr>
              <w:t>(29.2)</w:t>
            </w:r>
          </w:p>
        </w:tc>
        <w:tc>
          <w:tcPr>
            <w:tcW w:w="234" w:type="dxa"/>
            <w:vAlign w:val="center"/>
          </w:tcPr>
          <w:p w14:paraId="2B56F33E" w14:textId="77777777" w:rsidR="00136A92" w:rsidRPr="00B02BA3" w:rsidRDefault="00136A92" w:rsidP="002717E1">
            <w:pPr>
              <w:pStyle w:val="CellRowSpacer"/>
              <w:bidi/>
              <w:jc w:val="center"/>
              <w:rPr>
                <w:sz w:val="17"/>
              </w:rPr>
            </w:pPr>
          </w:p>
        </w:tc>
      </w:tr>
      <w:tr w:rsidR="002717E1" w:rsidRPr="00B02BA3" w14:paraId="65DA4B70" w14:textId="77777777" w:rsidTr="00821D72">
        <w:trPr>
          <w:gridBefore w:val="1"/>
          <w:wBefore w:w="10" w:type="dxa"/>
        </w:trPr>
        <w:tc>
          <w:tcPr>
            <w:tcW w:w="3135" w:type="dxa"/>
            <w:gridSpan w:val="2"/>
            <w:vAlign w:val="center"/>
          </w:tcPr>
          <w:p w14:paraId="40E1C3B1" w14:textId="77777777" w:rsidR="002717E1" w:rsidRPr="009C0EEF" w:rsidRDefault="002717E1" w:rsidP="002717E1">
            <w:pPr>
              <w:tabs>
                <w:tab w:val="right" w:leader="dot" w:pos="3163"/>
              </w:tabs>
              <w:bidi/>
              <w:spacing w:before="40" w:after="40"/>
              <w:rPr>
                <w:sz w:val="17"/>
                <w:szCs w:val="17"/>
              </w:rPr>
            </w:pPr>
            <w:r>
              <w:rPr>
                <w:rFonts w:hint="cs"/>
                <w:szCs w:val="17"/>
                <w:rtl/>
              </w:rPr>
              <w:t>هامش الأرباح قبل حساب الفوائد والضرائب والإهلاك والإطفاء</w:t>
            </w:r>
            <w:r w:rsidRPr="007766C5">
              <w:rPr>
                <w:szCs w:val="17"/>
                <w:vertAlign w:val="superscript"/>
              </w:rPr>
              <w:t xml:space="preserve"> (</w:t>
            </w:r>
            <w:r>
              <w:rPr>
                <w:szCs w:val="17"/>
                <w:vertAlign w:val="superscript"/>
              </w:rPr>
              <w:t>2</w:t>
            </w:r>
            <w:r w:rsidRPr="007766C5">
              <w:rPr>
                <w:szCs w:val="17"/>
                <w:vertAlign w:val="superscript"/>
              </w:rPr>
              <w:t>)</w:t>
            </w:r>
          </w:p>
        </w:tc>
        <w:tc>
          <w:tcPr>
            <w:tcW w:w="235" w:type="dxa"/>
            <w:vAlign w:val="center"/>
          </w:tcPr>
          <w:p w14:paraId="301D2AA1" w14:textId="77777777" w:rsidR="002717E1" w:rsidRPr="009C0EEF" w:rsidRDefault="002717E1" w:rsidP="002717E1">
            <w:pPr>
              <w:bidi/>
              <w:spacing w:before="40" w:after="40"/>
              <w:jc w:val="center"/>
              <w:rPr>
                <w:sz w:val="17"/>
                <w:szCs w:val="17"/>
              </w:rPr>
            </w:pPr>
          </w:p>
        </w:tc>
        <w:tc>
          <w:tcPr>
            <w:tcW w:w="911" w:type="dxa"/>
            <w:gridSpan w:val="3"/>
            <w:vAlign w:val="center"/>
          </w:tcPr>
          <w:p w14:paraId="69F92758" w14:textId="77777777" w:rsidR="002717E1" w:rsidRPr="007A3BB2" w:rsidRDefault="002717E1" w:rsidP="002717E1">
            <w:pPr>
              <w:bidi/>
              <w:spacing w:before="40" w:after="40"/>
              <w:rPr>
                <w:sz w:val="16"/>
                <w:szCs w:val="16"/>
              </w:rPr>
            </w:pPr>
            <w:r w:rsidRPr="007A3BB2">
              <w:rPr>
                <w:sz w:val="16"/>
                <w:szCs w:val="16"/>
              </w:rPr>
              <w:t>58.</w:t>
            </w:r>
            <w:r w:rsidR="00136A92">
              <w:rPr>
                <w:sz w:val="16"/>
                <w:szCs w:val="16"/>
              </w:rPr>
              <w:t>7</w:t>
            </w:r>
            <w:r>
              <w:rPr>
                <w:sz w:val="16"/>
                <w:szCs w:val="16"/>
              </w:rPr>
              <w:t>%</w:t>
            </w:r>
          </w:p>
        </w:tc>
        <w:tc>
          <w:tcPr>
            <w:tcW w:w="235" w:type="dxa"/>
            <w:vAlign w:val="center"/>
          </w:tcPr>
          <w:p w14:paraId="16675867" w14:textId="77777777" w:rsidR="002717E1" w:rsidRPr="007A3BB2" w:rsidRDefault="002717E1" w:rsidP="002717E1">
            <w:pPr>
              <w:bidi/>
              <w:spacing w:before="40" w:after="40"/>
              <w:rPr>
                <w:sz w:val="16"/>
                <w:szCs w:val="16"/>
              </w:rPr>
            </w:pPr>
            <w:r w:rsidRPr="007A3BB2">
              <w:rPr>
                <w:sz w:val="16"/>
                <w:szCs w:val="16"/>
              </w:rPr>
              <w:t>%</w:t>
            </w:r>
          </w:p>
        </w:tc>
        <w:tc>
          <w:tcPr>
            <w:tcW w:w="901" w:type="dxa"/>
            <w:gridSpan w:val="3"/>
            <w:vAlign w:val="center"/>
          </w:tcPr>
          <w:p w14:paraId="15B71D72" w14:textId="77777777" w:rsidR="002717E1" w:rsidRPr="007A3BB2" w:rsidRDefault="00136A92" w:rsidP="002717E1">
            <w:pPr>
              <w:bidi/>
              <w:spacing w:before="40" w:after="40"/>
              <w:rPr>
                <w:sz w:val="16"/>
                <w:szCs w:val="16"/>
              </w:rPr>
            </w:pPr>
            <w:r>
              <w:rPr>
                <w:sz w:val="16"/>
                <w:szCs w:val="16"/>
              </w:rPr>
              <w:t>61.2</w:t>
            </w:r>
          </w:p>
        </w:tc>
        <w:tc>
          <w:tcPr>
            <w:tcW w:w="234" w:type="dxa"/>
            <w:vAlign w:val="center"/>
          </w:tcPr>
          <w:p w14:paraId="2CF15078" w14:textId="77777777" w:rsidR="002717E1" w:rsidRPr="007A3BB2" w:rsidRDefault="002717E1" w:rsidP="002717E1">
            <w:pPr>
              <w:bidi/>
              <w:spacing w:before="40" w:after="40"/>
              <w:rPr>
                <w:sz w:val="16"/>
                <w:szCs w:val="16"/>
              </w:rPr>
            </w:pPr>
            <w:r w:rsidRPr="007A3BB2">
              <w:rPr>
                <w:sz w:val="16"/>
                <w:szCs w:val="16"/>
              </w:rPr>
              <w:t>%</w:t>
            </w:r>
          </w:p>
        </w:tc>
        <w:tc>
          <w:tcPr>
            <w:tcW w:w="901" w:type="dxa"/>
            <w:gridSpan w:val="3"/>
            <w:vAlign w:val="center"/>
          </w:tcPr>
          <w:p w14:paraId="40A8CBF5" w14:textId="77777777" w:rsidR="002717E1" w:rsidRPr="007A3BB2" w:rsidRDefault="00136A92" w:rsidP="002717E1">
            <w:pPr>
              <w:bidi/>
              <w:spacing w:before="40" w:after="40"/>
              <w:rPr>
                <w:sz w:val="16"/>
                <w:szCs w:val="16"/>
              </w:rPr>
            </w:pPr>
            <w:r>
              <w:rPr>
                <w:sz w:val="16"/>
                <w:szCs w:val="16"/>
              </w:rPr>
              <w:t>66.5</w:t>
            </w:r>
          </w:p>
        </w:tc>
        <w:tc>
          <w:tcPr>
            <w:tcW w:w="234" w:type="dxa"/>
            <w:vAlign w:val="center"/>
          </w:tcPr>
          <w:p w14:paraId="26A550F8" w14:textId="77777777" w:rsidR="002717E1" w:rsidRPr="007A3BB2" w:rsidRDefault="002717E1" w:rsidP="002717E1">
            <w:pPr>
              <w:bidi/>
              <w:spacing w:before="40" w:after="40"/>
              <w:rPr>
                <w:sz w:val="16"/>
                <w:szCs w:val="16"/>
              </w:rPr>
            </w:pPr>
            <w:r w:rsidRPr="007A3BB2">
              <w:rPr>
                <w:sz w:val="16"/>
                <w:szCs w:val="16"/>
              </w:rPr>
              <w:t>%</w:t>
            </w:r>
          </w:p>
        </w:tc>
        <w:tc>
          <w:tcPr>
            <w:tcW w:w="901" w:type="dxa"/>
            <w:gridSpan w:val="3"/>
            <w:vAlign w:val="center"/>
          </w:tcPr>
          <w:p w14:paraId="2F200134" w14:textId="77777777" w:rsidR="002717E1" w:rsidRPr="007A3BB2" w:rsidRDefault="00136A92" w:rsidP="002717E1">
            <w:pPr>
              <w:bidi/>
              <w:spacing w:before="40" w:after="40"/>
              <w:rPr>
                <w:sz w:val="16"/>
                <w:szCs w:val="16"/>
              </w:rPr>
            </w:pPr>
            <w:r>
              <w:rPr>
                <w:sz w:val="16"/>
                <w:szCs w:val="16"/>
              </w:rPr>
              <w:t>58.8</w:t>
            </w:r>
          </w:p>
        </w:tc>
        <w:tc>
          <w:tcPr>
            <w:tcW w:w="234" w:type="dxa"/>
            <w:vAlign w:val="center"/>
          </w:tcPr>
          <w:p w14:paraId="79DAE9D3" w14:textId="77777777" w:rsidR="002717E1" w:rsidRPr="007A3BB2" w:rsidRDefault="002717E1" w:rsidP="002717E1">
            <w:pPr>
              <w:bidi/>
              <w:spacing w:before="40" w:after="40"/>
              <w:rPr>
                <w:sz w:val="16"/>
                <w:szCs w:val="16"/>
              </w:rPr>
            </w:pPr>
            <w:r w:rsidRPr="007A3BB2">
              <w:rPr>
                <w:sz w:val="16"/>
                <w:szCs w:val="16"/>
              </w:rPr>
              <w:t>%</w:t>
            </w:r>
          </w:p>
        </w:tc>
        <w:tc>
          <w:tcPr>
            <w:tcW w:w="901" w:type="dxa"/>
            <w:gridSpan w:val="3"/>
            <w:vAlign w:val="center"/>
          </w:tcPr>
          <w:p w14:paraId="5E493DDC" w14:textId="77777777" w:rsidR="002717E1" w:rsidRPr="007A3BB2" w:rsidRDefault="00136A92" w:rsidP="002717E1">
            <w:pPr>
              <w:bidi/>
              <w:spacing w:before="40" w:after="40"/>
              <w:rPr>
                <w:sz w:val="16"/>
                <w:szCs w:val="16"/>
              </w:rPr>
            </w:pPr>
            <w:r>
              <w:rPr>
                <w:sz w:val="16"/>
                <w:szCs w:val="16"/>
              </w:rPr>
              <w:t>69.0</w:t>
            </w:r>
          </w:p>
        </w:tc>
        <w:tc>
          <w:tcPr>
            <w:tcW w:w="234" w:type="dxa"/>
            <w:vAlign w:val="center"/>
          </w:tcPr>
          <w:p w14:paraId="3AD704A7" w14:textId="77777777" w:rsidR="002717E1" w:rsidRPr="009C0EEF" w:rsidRDefault="002717E1" w:rsidP="002717E1">
            <w:pPr>
              <w:bidi/>
              <w:spacing w:before="40" w:after="40"/>
              <w:rPr>
                <w:sz w:val="17"/>
                <w:szCs w:val="17"/>
              </w:rPr>
            </w:pPr>
          </w:p>
        </w:tc>
      </w:tr>
      <w:tr w:rsidR="002717E1" w:rsidRPr="00B02BA3" w14:paraId="5816E707" w14:textId="77777777" w:rsidTr="00821D72">
        <w:trPr>
          <w:gridBefore w:val="1"/>
          <w:wBefore w:w="10" w:type="dxa"/>
        </w:trPr>
        <w:tc>
          <w:tcPr>
            <w:tcW w:w="3135" w:type="dxa"/>
            <w:gridSpan w:val="2"/>
            <w:vAlign w:val="center"/>
          </w:tcPr>
          <w:p w14:paraId="028D008D" w14:textId="77777777" w:rsidR="002717E1" w:rsidRPr="009C0EEF" w:rsidRDefault="002717E1" w:rsidP="002717E1">
            <w:pPr>
              <w:tabs>
                <w:tab w:val="right" w:leader="dot" w:pos="3163"/>
              </w:tabs>
              <w:bidi/>
              <w:spacing w:before="40" w:after="40"/>
              <w:rPr>
                <w:sz w:val="17"/>
                <w:szCs w:val="17"/>
              </w:rPr>
            </w:pPr>
            <w:r>
              <w:rPr>
                <w:rFonts w:hint="cs"/>
                <w:szCs w:val="17"/>
                <w:rtl/>
              </w:rPr>
              <w:lastRenderedPageBreak/>
              <w:t>الأرباح المعدلة قبل حساب الفوائد والضرائب والإهلاك والإطفاء</w:t>
            </w:r>
            <w:r w:rsidRPr="007766C5">
              <w:rPr>
                <w:szCs w:val="17"/>
                <w:vertAlign w:val="superscript"/>
              </w:rPr>
              <w:t xml:space="preserve"> (</w:t>
            </w:r>
            <w:r>
              <w:rPr>
                <w:szCs w:val="17"/>
                <w:vertAlign w:val="superscript"/>
              </w:rPr>
              <w:t>2</w:t>
            </w:r>
            <w:r w:rsidRPr="007766C5">
              <w:rPr>
                <w:szCs w:val="17"/>
                <w:vertAlign w:val="superscript"/>
              </w:rPr>
              <w:t>)</w:t>
            </w:r>
          </w:p>
        </w:tc>
        <w:tc>
          <w:tcPr>
            <w:tcW w:w="235" w:type="dxa"/>
            <w:vAlign w:val="center"/>
          </w:tcPr>
          <w:p w14:paraId="765AD42C" w14:textId="77777777" w:rsidR="002717E1" w:rsidRPr="009C0EEF" w:rsidRDefault="002717E1" w:rsidP="002717E1">
            <w:pPr>
              <w:bidi/>
              <w:spacing w:before="40" w:after="40"/>
              <w:jc w:val="center"/>
              <w:rPr>
                <w:sz w:val="17"/>
                <w:szCs w:val="17"/>
              </w:rPr>
            </w:pPr>
          </w:p>
        </w:tc>
        <w:tc>
          <w:tcPr>
            <w:tcW w:w="911" w:type="dxa"/>
            <w:gridSpan w:val="3"/>
            <w:vAlign w:val="center"/>
          </w:tcPr>
          <w:p w14:paraId="158A899C" w14:textId="77777777" w:rsidR="002717E1" w:rsidRPr="007A3BB2" w:rsidRDefault="002717E1" w:rsidP="002717E1">
            <w:pPr>
              <w:bidi/>
              <w:spacing w:before="40" w:after="40"/>
              <w:rPr>
                <w:sz w:val="16"/>
                <w:szCs w:val="16"/>
              </w:rPr>
            </w:pPr>
            <w:r w:rsidRPr="007A3BB2">
              <w:rPr>
                <w:sz w:val="16"/>
                <w:szCs w:val="16"/>
              </w:rPr>
              <w:t>273.5</w:t>
            </w:r>
          </w:p>
        </w:tc>
        <w:tc>
          <w:tcPr>
            <w:tcW w:w="235" w:type="dxa"/>
            <w:vAlign w:val="center"/>
          </w:tcPr>
          <w:p w14:paraId="7ECDE62E" w14:textId="77777777" w:rsidR="002717E1" w:rsidRPr="007A3BB2" w:rsidRDefault="002717E1" w:rsidP="002717E1">
            <w:pPr>
              <w:bidi/>
              <w:spacing w:before="40" w:after="40"/>
              <w:rPr>
                <w:sz w:val="16"/>
                <w:szCs w:val="16"/>
              </w:rPr>
            </w:pPr>
          </w:p>
        </w:tc>
        <w:tc>
          <w:tcPr>
            <w:tcW w:w="901" w:type="dxa"/>
            <w:gridSpan w:val="3"/>
            <w:vAlign w:val="center"/>
          </w:tcPr>
          <w:p w14:paraId="3C0481F9" w14:textId="77777777" w:rsidR="002717E1" w:rsidRPr="007A3BB2" w:rsidRDefault="002717E1" w:rsidP="002717E1">
            <w:pPr>
              <w:bidi/>
              <w:spacing w:before="40" w:after="40"/>
              <w:rPr>
                <w:sz w:val="16"/>
                <w:szCs w:val="16"/>
              </w:rPr>
            </w:pPr>
            <w:r w:rsidRPr="007A3BB2">
              <w:rPr>
                <w:sz w:val="16"/>
                <w:szCs w:val="16"/>
              </w:rPr>
              <w:t>412.7</w:t>
            </w:r>
          </w:p>
        </w:tc>
        <w:tc>
          <w:tcPr>
            <w:tcW w:w="234" w:type="dxa"/>
            <w:vAlign w:val="center"/>
          </w:tcPr>
          <w:p w14:paraId="13FB12B0" w14:textId="77777777" w:rsidR="002717E1" w:rsidRPr="007A3BB2" w:rsidRDefault="002717E1" w:rsidP="002717E1">
            <w:pPr>
              <w:bidi/>
              <w:spacing w:before="40" w:after="40"/>
              <w:rPr>
                <w:sz w:val="16"/>
                <w:szCs w:val="16"/>
              </w:rPr>
            </w:pPr>
          </w:p>
        </w:tc>
        <w:tc>
          <w:tcPr>
            <w:tcW w:w="901" w:type="dxa"/>
            <w:gridSpan w:val="3"/>
            <w:vAlign w:val="center"/>
          </w:tcPr>
          <w:p w14:paraId="2208ACA0" w14:textId="77777777" w:rsidR="002717E1" w:rsidRPr="007A3BB2" w:rsidRDefault="002717E1" w:rsidP="002717E1">
            <w:pPr>
              <w:bidi/>
              <w:spacing w:before="40" w:after="40"/>
              <w:rPr>
                <w:sz w:val="16"/>
                <w:szCs w:val="16"/>
              </w:rPr>
            </w:pPr>
            <w:r w:rsidRPr="007A3BB2">
              <w:rPr>
                <w:sz w:val="16"/>
                <w:szCs w:val="16"/>
              </w:rPr>
              <w:t>478.0</w:t>
            </w:r>
          </w:p>
        </w:tc>
        <w:tc>
          <w:tcPr>
            <w:tcW w:w="234" w:type="dxa"/>
            <w:vAlign w:val="center"/>
          </w:tcPr>
          <w:p w14:paraId="41D342ED" w14:textId="77777777" w:rsidR="002717E1" w:rsidRPr="007A3BB2" w:rsidRDefault="002717E1" w:rsidP="002717E1">
            <w:pPr>
              <w:bidi/>
              <w:spacing w:before="40" w:after="40"/>
              <w:rPr>
                <w:sz w:val="16"/>
                <w:szCs w:val="16"/>
              </w:rPr>
            </w:pPr>
          </w:p>
        </w:tc>
        <w:tc>
          <w:tcPr>
            <w:tcW w:w="901" w:type="dxa"/>
            <w:gridSpan w:val="3"/>
            <w:vAlign w:val="center"/>
          </w:tcPr>
          <w:p w14:paraId="60BB5EE7" w14:textId="77777777" w:rsidR="002717E1" w:rsidRPr="007A3BB2" w:rsidRDefault="002717E1" w:rsidP="002717E1">
            <w:pPr>
              <w:bidi/>
              <w:spacing w:before="40" w:after="40"/>
              <w:rPr>
                <w:sz w:val="16"/>
                <w:szCs w:val="16"/>
              </w:rPr>
            </w:pPr>
            <w:r w:rsidRPr="007A3BB2">
              <w:rPr>
                <w:sz w:val="16"/>
                <w:szCs w:val="16"/>
              </w:rPr>
              <w:t>362.3</w:t>
            </w:r>
          </w:p>
        </w:tc>
        <w:tc>
          <w:tcPr>
            <w:tcW w:w="234" w:type="dxa"/>
            <w:vAlign w:val="center"/>
          </w:tcPr>
          <w:p w14:paraId="0F34B7D6" w14:textId="77777777" w:rsidR="002717E1" w:rsidRPr="007A3BB2" w:rsidRDefault="002717E1" w:rsidP="002717E1">
            <w:pPr>
              <w:bidi/>
              <w:spacing w:before="40" w:after="40"/>
              <w:rPr>
                <w:sz w:val="16"/>
                <w:szCs w:val="16"/>
              </w:rPr>
            </w:pPr>
          </w:p>
        </w:tc>
        <w:tc>
          <w:tcPr>
            <w:tcW w:w="901" w:type="dxa"/>
            <w:gridSpan w:val="3"/>
            <w:vAlign w:val="center"/>
          </w:tcPr>
          <w:p w14:paraId="747D4024" w14:textId="77777777" w:rsidR="002717E1" w:rsidRPr="007A3BB2" w:rsidRDefault="002717E1" w:rsidP="002717E1">
            <w:pPr>
              <w:bidi/>
              <w:spacing w:before="40" w:after="40"/>
              <w:rPr>
                <w:sz w:val="16"/>
                <w:szCs w:val="16"/>
              </w:rPr>
            </w:pPr>
            <w:r w:rsidRPr="007A3BB2">
              <w:rPr>
                <w:sz w:val="16"/>
                <w:szCs w:val="16"/>
              </w:rPr>
              <w:t>423.0</w:t>
            </w:r>
          </w:p>
        </w:tc>
        <w:tc>
          <w:tcPr>
            <w:tcW w:w="234" w:type="dxa"/>
            <w:vAlign w:val="center"/>
          </w:tcPr>
          <w:p w14:paraId="04129626" w14:textId="77777777" w:rsidR="002717E1" w:rsidRPr="009C0EEF" w:rsidRDefault="002717E1" w:rsidP="002717E1">
            <w:pPr>
              <w:bidi/>
              <w:spacing w:before="40" w:after="40"/>
              <w:rPr>
                <w:sz w:val="17"/>
                <w:szCs w:val="17"/>
              </w:rPr>
            </w:pPr>
          </w:p>
        </w:tc>
      </w:tr>
      <w:tr w:rsidR="002717E1" w:rsidRPr="00B02BA3" w14:paraId="54FD84C4" w14:textId="77777777" w:rsidTr="00821D72">
        <w:trPr>
          <w:gridBefore w:val="1"/>
          <w:wBefore w:w="10" w:type="dxa"/>
        </w:trPr>
        <w:tc>
          <w:tcPr>
            <w:tcW w:w="3135" w:type="dxa"/>
            <w:gridSpan w:val="2"/>
            <w:vAlign w:val="center"/>
          </w:tcPr>
          <w:p w14:paraId="01A9CC5E" w14:textId="77777777" w:rsidR="002717E1" w:rsidRPr="009C0EEF" w:rsidRDefault="002717E1" w:rsidP="002717E1">
            <w:pPr>
              <w:tabs>
                <w:tab w:val="right" w:leader="dot" w:pos="3163"/>
              </w:tabs>
              <w:bidi/>
              <w:spacing w:before="40" w:after="40"/>
              <w:rPr>
                <w:sz w:val="17"/>
                <w:szCs w:val="17"/>
              </w:rPr>
            </w:pPr>
            <w:r>
              <w:rPr>
                <w:rFonts w:hint="cs"/>
                <w:szCs w:val="17"/>
                <w:rtl/>
              </w:rPr>
              <w:t>هامش الأرباح المعدل قبل حساب الفوائد والضرائب والإهلاك والإطفاء</w:t>
            </w:r>
            <w:r w:rsidRPr="007766C5">
              <w:rPr>
                <w:szCs w:val="17"/>
                <w:vertAlign w:val="superscript"/>
              </w:rPr>
              <w:t xml:space="preserve"> (</w:t>
            </w:r>
            <w:r>
              <w:rPr>
                <w:szCs w:val="17"/>
                <w:vertAlign w:val="superscript"/>
              </w:rPr>
              <w:t>2</w:t>
            </w:r>
            <w:r w:rsidRPr="007766C5">
              <w:rPr>
                <w:szCs w:val="17"/>
                <w:vertAlign w:val="superscript"/>
              </w:rPr>
              <w:t>)</w:t>
            </w:r>
          </w:p>
        </w:tc>
        <w:tc>
          <w:tcPr>
            <w:tcW w:w="235" w:type="dxa"/>
            <w:vAlign w:val="center"/>
          </w:tcPr>
          <w:p w14:paraId="6A11D6F0" w14:textId="77777777" w:rsidR="002717E1" w:rsidRPr="009C0EEF" w:rsidRDefault="002717E1" w:rsidP="002717E1">
            <w:pPr>
              <w:bidi/>
              <w:spacing w:before="40" w:after="40"/>
              <w:jc w:val="center"/>
              <w:rPr>
                <w:sz w:val="17"/>
                <w:szCs w:val="17"/>
              </w:rPr>
            </w:pPr>
          </w:p>
        </w:tc>
        <w:tc>
          <w:tcPr>
            <w:tcW w:w="911" w:type="dxa"/>
            <w:gridSpan w:val="3"/>
            <w:vAlign w:val="center"/>
          </w:tcPr>
          <w:p w14:paraId="496F9625" w14:textId="77777777" w:rsidR="002717E1" w:rsidRPr="00CC0A47" w:rsidRDefault="002717E1" w:rsidP="002717E1">
            <w:pPr>
              <w:bidi/>
              <w:spacing w:before="40" w:after="40"/>
              <w:rPr>
                <w:sz w:val="17"/>
                <w:szCs w:val="17"/>
              </w:rPr>
            </w:pPr>
            <w:r>
              <w:rPr>
                <w:sz w:val="17"/>
                <w:szCs w:val="17"/>
              </w:rPr>
              <w:t>58.</w:t>
            </w:r>
            <w:r w:rsidR="00841355">
              <w:rPr>
                <w:sz w:val="17"/>
                <w:szCs w:val="17"/>
              </w:rPr>
              <w:t>2</w:t>
            </w:r>
            <w:r w:rsidR="00D840F5">
              <w:rPr>
                <w:sz w:val="17"/>
                <w:szCs w:val="17"/>
              </w:rPr>
              <w:t>%</w:t>
            </w:r>
          </w:p>
        </w:tc>
        <w:tc>
          <w:tcPr>
            <w:tcW w:w="235" w:type="dxa"/>
            <w:vAlign w:val="center"/>
          </w:tcPr>
          <w:p w14:paraId="58DFF064" w14:textId="77777777" w:rsidR="002717E1" w:rsidRPr="00CC0A47" w:rsidRDefault="002717E1" w:rsidP="002717E1">
            <w:pPr>
              <w:bidi/>
              <w:spacing w:before="40" w:after="40"/>
              <w:rPr>
                <w:sz w:val="17"/>
                <w:szCs w:val="17"/>
              </w:rPr>
            </w:pPr>
            <w:r>
              <w:rPr>
                <w:sz w:val="17"/>
                <w:szCs w:val="17"/>
              </w:rPr>
              <w:t>%</w:t>
            </w:r>
          </w:p>
        </w:tc>
        <w:tc>
          <w:tcPr>
            <w:tcW w:w="901" w:type="dxa"/>
            <w:gridSpan w:val="3"/>
            <w:vAlign w:val="center"/>
          </w:tcPr>
          <w:p w14:paraId="22161C33" w14:textId="77777777" w:rsidR="002717E1" w:rsidRPr="00CC0A47" w:rsidRDefault="002717E1" w:rsidP="002717E1">
            <w:pPr>
              <w:bidi/>
              <w:spacing w:before="40" w:after="40"/>
              <w:rPr>
                <w:sz w:val="17"/>
                <w:szCs w:val="17"/>
              </w:rPr>
            </w:pPr>
            <w:r>
              <w:rPr>
                <w:sz w:val="17"/>
                <w:szCs w:val="17"/>
              </w:rPr>
              <w:t>63.</w:t>
            </w:r>
            <w:r w:rsidR="00841355">
              <w:rPr>
                <w:sz w:val="17"/>
                <w:szCs w:val="17"/>
              </w:rPr>
              <w:t>5</w:t>
            </w:r>
          </w:p>
        </w:tc>
        <w:tc>
          <w:tcPr>
            <w:tcW w:w="234" w:type="dxa"/>
            <w:vAlign w:val="center"/>
          </w:tcPr>
          <w:p w14:paraId="45448B45" w14:textId="77777777" w:rsidR="002717E1" w:rsidRPr="00CC0A47" w:rsidRDefault="002717E1" w:rsidP="002717E1">
            <w:pPr>
              <w:bidi/>
              <w:spacing w:before="40" w:after="40"/>
              <w:rPr>
                <w:sz w:val="17"/>
                <w:szCs w:val="17"/>
              </w:rPr>
            </w:pPr>
            <w:r>
              <w:rPr>
                <w:sz w:val="17"/>
                <w:szCs w:val="17"/>
              </w:rPr>
              <w:t>%</w:t>
            </w:r>
          </w:p>
        </w:tc>
        <w:tc>
          <w:tcPr>
            <w:tcW w:w="901" w:type="dxa"/>
            <w:gridSpan w:val="3"/>
            <w:vAlign w:val="center"/>
          </w:tcPr>
          <w:p w14:paraId="719FBF7D" w14:textId="77777777" w:rsidR="002717E1" w:rsidRPr="00CC0A47" w:rsidRDefault="00841355" w:rsidP="002717E1">
            <w:pPr>
              <w:bidi/>
              <w:spacing w:before="40" w:after="40"/>
              <w:rPr>
                <w:sz w:val="17"/>
                <w:szCs w:val="17"/>
              </w:rPr>
            </w:pPr>
            <w:r>
              <w:rPr>
                <w:sz w:val="17"/>
                <w:szCs w:val="17"/>
              </w:rPr>
              <w:t>65.2</w:t>
            </w:r>
          </w:p>
        </w:tc>
        <w:tc>
          <w:tcPr>
            <w:tcW w:w="234" w:type="dxa"/>
            <w:vAlign w:val="center"/>
          </w:tcPr>
          <w:p w14:paraId="18820E0E" w14:textId="77777777" w:rsidR="002717E1" w:rsidRPr="00CC0A47" w:rsidRDefault="002717E1" w:rsidP="002717E1">
            <w:pPr>
              <w:bidi/>
              <w:spacing w:before="40" w:after="40"/>
              <w:rPr>
                <w:sz w:val="17"/>
                <w:szCs w:val="17"/>
              </w:rPr>
            </w:pPr>
            <w:r>
              <w:rPr>
                <w:sz w:val="17"/>
                <w:szCs w:val="17"/>
              </w:rPr>
              <w:t>%</w:t>
            </w:r>
          </w:p>
        </w:tc>
        <w:tc>
          <w:tcPr>
            <w:tcW w:w="901" w:type="dxa"/>
            <w:gridSpan w:val="3"/>
            <w:vAlign w:val="center"/>
          </w:tcPr>
          <w:p w14:paraId="5061FB70" w14:textId="77777777" w:rsidR="002717E1" w:rsidRPr="00CC0A47" w:rsidRDefault="00841355" w:rsidP="002717E1">
            <w:pPr>
              <w:bidi/>
              <w:spacing w:before="40" w:after="40"/>
              <w:rPr>
                <w:sz w:val="17"/>
                <w:szCs w:val="17"/>
              </w:rPr>
            </w:pPr>
            <w:r>
              <w:rPr>
                <w:sz w:val="17"/>
                <w:szCs w:val="17"/>
              </w:rPr>
              <w:t>65.7</w:t>
            </w:r>
          </w:p>
        </w:tc>
        <w:tc>
          <w:tcPr>
            <w:tcW w:w="234" w:type="dxa"/>
            <w:vAlign w:val="center"/>
          </w:tcPr>
          <w:p w14:paraId="59F7D50C" w14:textId="77777777" w:rsidR="002717E1" w:rsidRPr="00CC0A47" w:rsidRDefault="002717E1" w:rsidP="002717E1">
            <w:pPr>
              <w:bidi/>
              <w:spacing w:before="40" w:after="40"/>
              <w:rPr>
                <w:sz w:val="17"/>
                <w:szCs w:val="17"/>
              </w:rPr>
            </w:pPr>
            <w:r>
              <w:rPr>
                <w:sz w:val="17"/>
                <w:szCs w:val="17"/>
              </w:rPr>
              <w:t>%</w:t>
            </w:r>
          </w:p>
        </w:tc>
        <w:tc>
          <w:tcPr>
            <w:tcW w:w="901" w:type="dxa"/>
            <w:gridSpan w:val="3"/>
            <w:vAlign w:val="center"/>
          </w:tcPr>
          <w:p w14:paraId="13B513A4" w14:textId="77777777" w:rsidR="002717E1" w:rsidRPr="00CC0A47" w:rsidRDefault="00841355" w:rsidP="002717E1">
            <w:pPr>
              <w:bidi/>
              <w:spacing w:before="40" w:after="40"/>
              <w:rPr>
                <w:sz w:val="17"/>
                <w:szCs w:val="17"/>
              </w:rPr>
            </w:pPr>
            <w:r>
              <w:rPr>
                <w:sz w:val="17"/>
                <w:szCs w:val="17"/>
              </w:rPr>
              <w:t>69.0</w:t>
            </w:r>
          </w:p>
        </w:tc>
        <w:tc>
          <w:tcPr>
            <w:tcW w:w="234" w:type="dxa"/>
            <w:vAlign w:val="center"/>
          </w:tcPr>
          <w:p w14:paraId="24BF2BBC" w14:textId="77777777" w:rsidR="002717E1" w:rsidRPr="009C0EEF" w:rsidRDefault="002717E1" w:rsidP="002717E1">
            <w:pPr>
              <w:bidi/>
              <w:spacing w:before="40" w:after="40"/>
              <w:rPr>
                <w:sz w:val="17"/>
                <w:szCs w:val="17"/>
              </w:rPr>
            </w:pPr>
          </w:p>
        </w:tc>
      </w:tr>
      <w:tr w:rsidR="002717E1" w:rsidRPr="00B02BA3" w14:paraId="0DE2FEE9" w14:textId="77777777" w:rsidTr="00821D72">
        <w:trPr>
          <w:gridBefore w:val="1"/>
          <w:wBefore w:w="10" w:type="dxa"/>
        </w:trPr>
        <w:tc>
          <w:tcPr>
            <w:tcW w:w="3135" w:type="dxa"/>
            <w:gridSpan w:val="2"/>
            <w:vAlign w:val="center"/>
          </w:tcPr>
          <w:p w14:paraId="1CDB3942" w14:textId="77777777" w:rsidR="002717E1" w:rsidRPr="009C0EEF" w:rsidRDefault="002717E1" w:rsidP="002717E1">
            <w:pPr>
              <w:tabs>
                <w:tab w:val="right" w:leader="dot" w:pos="3163"/>
              </w:tabs>
              <w:bidi/>
              <w:spacing w:before="40" w:after="40"/>
              <w:rPr>
                <w:sz w:val="17"/>
                <w:szCs w:val="17"/>
              </w:rPr>
            </w:pPr>
            <w:r>
              <w:rPr>
                <w:rFonts w:hint="cs"/>
                <w:szCs w:val="17"/>
                <w:rtl/>
              </w:rPr>
              <w:t>هامش التدفقات النقدية</w:t>
            </w:r>
            <w:r w:rsidR="00F30D0F">
              <w:rPr>
                <w:szCs w:val="17"/>
                <w:vertAlign w:val="superscript"/>
              </w:rPr>
              <w:t>(10)</w:t>
            </w:r>
          </w:p>
        </w:tc>
        <w:tc>
          <w:tcPr>
            <w:tcW w:w="235" w:type="dxa"/>
            <w:vAlign w:val="center"/>
          </w:tcPr>
          <w:p w14:paraId="21305B97" w14:textId="77777777" w:rsidR="002717E1" w:rsidRPr="009C0EEF" w:rsidRDefault="002717E1" w:rsidP="002717E1">
            <w:pPr>
              <w:bidi/>
              <w:spacing w:before="40" w:after="40"/>
              <w:jc w:val="center"/>
              <w:rPr>
                <w:sz w:val="17"/>
                <w:szCs w:val="17"/>
              </w:rPr>
            </w:pPr>
          </w:p>
        </w:tc>
        <w:tc>
          <w:tcPr>
            <w:tcW w:w="911" w:type="dxa"/>
            <w:gridSpan w:val="3"/>
            <w:vAlign w:val="center"/>
          </w:tcPr>
          <w:p w14:paraId="573675B0" w14:textId="77777777" w:rsidR="002717E1" w:rsidRPr="005634E9" w:rsidRDefault="00F803DD" w:rsidP="002717E1">
            <w:pPr>
              <w:bidi/>
              <w:spacing w:before="40" w:after="40"/>
              <w:rPr>
                <w:sz w:val="16"/>
                <w:szCs w:val="16"/>
              </w:rPr>
            </w:pPr>
            <w:r>
              <w:rPr>
                <w:sz w:val="16"/>
                <w:szCs w:val="16"/>
                <w:lang w:val="en-GB"/>
              </w:rPr>
              <w:t>37.0</w:t>
            </w:r>
            <w:r w:rsidR="002717E1">
              <w:rPr>
                <w:sz w:val="16"/>
                <w:szCs w:val="16"/>
              </w:rPr>
              <w:t>%</w:t>
            </w:r>
          </w:p>
        </w:tc>
        <w:tc>
          <w:tcPr>
            <w:tcW w:w="235" w:type="dxa"/>
            <w:vAlign w:val="center"/>
          </w:tcPr>
          <w:p w14:paraId="5F4DC5DD" w14:textId="77777777" w:rsidR="002717E1" w:rsidRPr="005634E9" w:rsidRDefault="002717E1" w:rsidP="002717E1">
            <w:pPr>
              <w:bidi/>
              <w:spacing w:before="40" w:after="40"/>
              <w:rPr>
                <w:sz w:val="16"/>
                <w:szCs w:val="16"/>
              </w:rPr>
            </w:pPr>
            <w:r w:rsidRPr="005634E9">
              <w:rPr>
                <w:sz w:val="16"/>
                <w:szCs w:val="16"/>
              </w:rPr>
              <w:t>%</w:t>
            </w:r>
          </w:p>
        </w:tc>
        <w:tc>
          <w:tcPr>
            <w:tcW w:w="901" w:type="dxa"/>
            <w:gridSpan w:val="3"/>
            <w:vAlign w:val="center"/>
          </w:tcPr>
          <w:p w14:paraId="45ACA2D3" w14:textId="4478EEA3" w:rsidR="002717E1" w:rsidRPr="005634E9" w:rsidRDefault="00AA18B1" w:rsidP="002717E1">
            <w:pPr>
              <w:bidi/>
              <w:spacing w:before="40" w:after="40"/>
              <w:rPr>
                <w:sz w:val="16"/>
                <w:szCs w:val="16"/>
              </w:rPr>
            </w:pPr>
            <w:r>
              <w:rPr>
                <w:sz w:val="16"/>
                <w:szCs w:val="16"/>
              </w:rPr>
              <w:t>31.2</w:t>
            </w:r>
          </w:p>
        </w:tc>
        <w:tc>
          <w:tcPr>
            <w:tcW w:w="234" w:type="dxa"/>
            <w:vAlign w:val="center"/>
          </w:tcPr>
          <w:p w14:paraId="0AEF55F1" w14:textId="77777777" w:rsidR="002717E1" w:rsidRPr="005634E9" w:rsidRDefault="002717E1" w:rsidP="002717E1">
            <w:pPr>
              <w:bidi/>
              <w:spacing w:before="40" w:after="40"/>
              <w:rPr>
                <w:sz w:val="16"/>
                <w:szCs w:val="16"/>
              </w:rPr>
            </w:pPr>
            <w:r w:rsidRPr="005634E9">
              <w:rPr>
                <w:sz w:val="16"/>
                <w:szCs w:val="16"/>
              </w:rPr>
              <w:t>%</w:t>
            </w:r>
          </w:p>
        </w:tc>
        <w:tc>
          <w:tcPr>
            <w:tcW w:w="901" w:type="dxa"/>
            <w:gridSpan w:val="3"/>
            <w:vAlign w:val="center"/>
          </w:tcPr>
          <w:p w14:paraId="1AC0B780" w14:textId="77777777" w:rsidR="002717E1" w:rsidRPr="005634E9" w:rsidRDefault="000F6363" w:rsidP="002717E1">
            <w:pPr>
              <w:bidi/>
              <w:spacing w:before="40" w:after="40"/>
              <w:rPr>
                <w:sz w:val="16"/>
                <w:szCs w:val="16"/>
              </w:rPr>
            </w:pPr>
            <w:r>
              <w:rPr>
                <w:sz w:val="16"/>
                <w:szCs w:val="16"/>
              </w:rPr>
              <w:t>64.5</w:t>
            </w:r>
          </w:p>
        </w:tc>
        <w:tc>
          <w:tcPr>
            <w:tcW w:w="234" w:type="dxa"/>
            <w:vAlign w:val="center"/>
          </w:tcPr>
          <w:p w14:paraId="6E4C5EC6" w14:textId="77777777" w:rsidR="002717E1" w:rsidRPr="005634E9" w:rsidRDefault="002717E1" w:rsidP="002717E1">
            <w:pPr>
              <w:bidi/>
              <w:spacing w:before="40" w:after="40"/>
              <w:rPr>
                <w:sz w:val="16"/>
                <w:szCs w:val="16"/>
              </w:rPr>
            </w:pPr>
          </w:p>
        </w:tc>
        <w:tc>
          <w:tcPr>
            <w:tcW w:w="901" w:type="dxa"/>
            <w:gridSpan w:val="3"/>
            <w:vAlign w:val="center"/>
          </w:tcPr>
          <w:p w14:paraId="02DCB164" w14:textId="77777777" w:rsidR="002717E1" w:rsidRPr="005634E9" w:rsidRDefault="000F6363" w:rsidP="002717E1">
            <w:pPr>
              <w:bidi/>
              <w:spacing w:before="40" w:after="40"/>
              <w:rPr>
                <w:sz w:val="16"/>
                <w:szCs w:val="16"/>
              </w:rPr>
            </w:pPr>
            <w:r>
              <w:t>—</w:t>
            </w:r>
          </w:p>
        </w:tc>
        <w:tc>
          <w:tcPr>
            <w:tcW w:w="234" w:type="dxa"/>
            <w:vAlign w:val="center"/>
          </w:tcPr>
          <w:p w14:paraId="678E0CB0" w14:textId="77777777" w:rsidR="002717E1" w:rsidRPr="005634E9" w:rsidRDefault="002717E1" w:rsidP="002717E1">
            <w:pPr>
              <w:bidi/>
              <w:spacing w:before="40" w:after="40"/>
              <w:rPr>
                <w:sz w:val="16"/>
                <w:szCs w:val="16"/>
              </w:rPr>
            </w:pPr>
            <w:r w:rsidRPr="005634E9">
              <w:rPr>
                <w:sz w:val="16"/>
                <w:szCs w:val="16"/>
              </w:rPr>
              <w:t>%</w:t>
            </w:r>
          </w:p>
        </w:tc>
        <w:tc>
          <w:tcPr>
            <w:tcW w:w="901" w:type="dxa"/>
            <w:gridSpan w:val="3"/>
            <w:vAlign w:val="center"/>
          </w:tcPr>
          <w:p w14:paraId="4F89A118" w14:textId="77777777" w:rsidR="002717E1" w:rsidRPr="00D925C8" w:rsidRDefault="00303C41" w:rsidP="002717E1">
            <w:pPr>
              <w:bidi/>
              <w:spacing w:before="40" w:after="40"/>
              <w:rPr>
                <w:sz w:val="16"/>
                <w:szCs w:val="16"/>
                <w:lang w:val="en-GB"/>
              </w:rPr>
            </w:pPr>
            <w:r>
              <w:rPr>
                <w:sz w:val="16"/>
                <w:szCs w:val="16"/>
                <w:lang w:val="en-GB"/>
              </w:rPr>
              <w:t>48.2</w:t>
            </w:r>
          </w:p>
        </w:tc>
        <w:tc>
          <w:tcPr>
            <w:tcW w:w="234" w:type="dxa"/>
            <w:vAlign w:val="center"/>
          </w:tcPr>
          <w:p w14:paraId="6DF5E870" w14:textId="77777777" w:rsidR="002717E1" w:rsidRPr="005634E9" w:rsidRDefault="002717E1" w:rsidP="002717E1">
            <w:pPr>
              <w:bidi/>
              <w:spacing w:before="40" w:after="40"/>
              <w:rPr>
                <w:sz w:val="16"/>
                <w:szCs w:val="16"/>
              </w:rPr>
            </w:pPr>
          </w:p>
        </w:tc>
      </w:tr>
      <w:tr w:rsidR="002717E1" w:rsidRPr="00B02BA3" w14:paraId="758C7E1A" w14:textId="77777777" w:rsidTr="00821D72">
        <w:trPr>
          <w:gridBefore w:val="1"/>
          <w:wBefore w:w="10" w:type="dxa"/>
        </w:trPr>
        <w:tc>
          <w:tcPr>
            <w:tcW w:w="3135" w:type="dxa"/>
            <w:gridSpan w:val="2"/>
            <w:vAlign w:val="center"/>
          </w:tcPr>
          <w:p w14:paraId="5859EB9D" w14:textId="77777777" w:rsidR="002717E1" w:rsidRPr="00B02BA3" w:rsidRDefault="002717E1" w:rsidP="002717E1">
            <w:pPr>
              <w:pStyle w:val="VSmCellBody"/>
              <w:tabs>
                <w:tab w:val="right" w:leader="dot" w:pos="3163"/>
              </w:tabs>
              <w:bidi/>
              <w:rPr>
                <w:szCs w:val="17"/>
              </w:rPr>
            </w:pPr>
            <w:r>
              <w:rPr>
                <w:rFonts w:hint="cs"/>
                <w:szCs w:val="17"/>
                <w:rtl/>
              </w:rPr>
              <w:t>صافي الدين (باستثناء عقود الإيجار)</w:t>
            </w:r>
            <w:r w:rsidR="00F30D0F">
              <w:rPr>
                <w:szCs w:val="17"/>
                <w:vertAlign w:val="superscript"/>
              </w:rPr>
              <w:t>(11)</w:t>
            </w:r>
          </w:p>
        </w:tc>
        <w:tc>
          <w:tcPr>
            <w:tcW w:w="235" w:type="dxa"/>
            <w:vAlign w:val="center"/>
          </w:tcPr>
          <w:p w14:paraId="0CB0BE01" w14:textId="77777777" w:rsidR="002717E1" w:rsidRPr="00B02BA3" w:rsidRDefault="002717E1" w:rsidP="002717E1">
            <w:pPr>
              <w:pStyle w:val="CellRowSpacer"/>
              <w:bidi/>
              <w:jc w:val="center"/>
              <w:rPr>
                <w:sz w:val="17"/>
              </w:rPr>
            </w:pPr>
          </w:p>
        </w:tc>
        <w:tc>
          <w:tcPr>
            <w:tcW w:w="911" w:type="dxa"/>
            <w:gridSpan w:val="3"/>
            <w:vAlign w:val="center"/>
          </w:tcPr>
          <w:p w14:paraId="7375E947" w14:textId="77777777" w:rsidR="002717E1" w:rsidRPr="00CC0A47" w:rsidDel="00CC0A47" w:rsidRDefault="002717E1" w:rsidP="002717E1">
            <w:pPr>
              <w:pStyle w:val="VSmCellBody"/>
              <w:bidi/>
            </w:pPr>
            <w:r>
              <w:t>1,363.1</w:t>
            </w:r>
          </w:p>
        </w:tc>
        <w:tc>
          <w:tcPr>
            <w:tcW w:w="235" w:type="dxa"/>
            <w:vAlign w:val="center"/>
          </w:tcPr>
          <w:p w14:paraId="0D833C7C" w14:textId="77777777" w:rsidR="002717E1" w:rsidRDefault="002717E1" w:rsidP="002717E1">
            <w:pPr>
              <w:pStyle w:val="CellRowSpacer"/>
              <w:bidi/>
              <w:rPr>
                <w:sz w:val="17"/>
                <w:szCs w:val="17"/>
              </w:rPr>
            </w:pPr>
          </w:p>
        </w:tc>
        <w:tc>
          <w:tcPr>
            <w:tcW w:w="901" w:type="dxa"/>
            <w:gridSpan w:val="3"/>
            <w:vAlign w:val="center"/>
          </w:tcPr>
          <w:p w14:paraId="7EB425E7" w14:textId="77777777" w:rsidR="002717E1" w:rsidRPr="00CC0A47" w:rsidDel="00CC0A47" w:rsidRDefault="002717E1" w:rsidP="002717E1">
            <w:pPr>
              <w:pStyle w:val="VSmCellBody"/>
              <w:bidi/>
            </w:pPr>
            <w:r>
              <w:t>1,118.9</w:t>
            </w:r>
          </w:p>
        </w:tc>
        <w:tc>
          <w:tcPr>
            <w:tcW w:w="234" w:type="dxa"/>
            <w:vAlign w:val="center"/>
          </w:tcPr>
          <w:p w14:paraId="601F0C59" w14:textId="77777777" w:rsidR="002717E1" w:rsidRDefault="002717E1" w:rsidP="002717E1">
            <w:pPr>
              <w:pStyle w:val="CellRowSpacer"/>
              <w:bidi/>
              <w:rPr>
                <w:sz w:val="17"/>
                <w:szCs w:val="17"/>
              </w:rPr>
            </w:pPr>
          </w:p>
        </w:tc>
        <w:tc>
          <w:tcPr>
            <w:tcW w:w="901" w:type="dxa"/>
            <w:gridSpan w:val="3"/>
            <w:vAlign w:val="center"/>
          </w:tcPr>
          <w:p w14:paraId="22298EDF" w14:textId="77777777" w:rsidR="002717E1" w:rsidRPr="00CC0A47" w:rsidDel="00CC0A47" w:rsidRDefault="002717E1" w:rsidP="002717E1">
            <w:pPr>
              <w:pStyle w:val="VSmCellBody"/>
              <w:bidi/>
            </w:pPr>
            <w:r>
              <w:t>853.4</w:t>
            </w:r>
          </w:p>
        </w:tc>
        <w:tc>
          <w:tcPr>
            <w:tcW w:w="234" w:type="dxa"/>
            <w:vAlign w:val="center"/>
          </w:tcPr>
          <w:p w14:paraId="2F5AC100" w14:textId="77777777" w:rsidR="002717E1" w:rsidRDefault="002717E1" w:rsidP="002717E1">
            <w:pPr>
              <w:pStyle w:val="CellRowSpacer"/>
              <w:bidi/>
              <w:rPr>
                <w:sz w:val="17"/>
                <w:szCs w:val="17"/>
              </w:rPr>
            </w:pPr>
          </w:p>
        </w:tc>
        <w:tc>
          <w:tcPr>
            <w:tcW w:w="901" w:type="dxa"/>
            <w:gridSpan w:val="3"/>
            <w:vAlign w:val="center"/>
          </w:tcPr>
          <w:p w14:paraId="47AAFB7C" w14:textId="77777777" w:rsidR="002717E1" w:rsidRPr="00CC0A47" w:rsidDel="00CC0A47" w:rsidRDefault="002717E1" w:rsidP="002717E1">
            <w:pPr>
              <w:pStyle w:val="VSmCellBody"/>
              <w:bidi/>
            </w:pPr>
            <w:r>
              <w:t>—</w:t>
            </w:r>
          </w:p>
        </w:tc>
        <w:tc>
          <w:tcPr>
            <w:tcW w:w="234" w:type="dxa"/>
            <w:vAlign w:val="center"/>
          </w:tcPr>
          <w:p w14:paraId="057E9FC3" w14:textId="77777777" w:rsidR="002717E1" w:rsidRDefault="002717E1" w:rsidP="002717E1">
            <w:pPr>
              <w:pStyle w:val="CellRowSpacer"/>
              <w:bidi/>
              <w:rPr>
                <w:sz w:val="17"/>
                <w:szCs w:val="17"/>
              </w:rPr>
            </w:pPr>
          </w:p>
        </w:tc>
        <w:tc>
          <w:tcPr>
            <w:tcW w:w="901" w:type="dxa"/>
            <w:gridSpan w:val="3"/>
            <w:vAlign w:val="center"/>
          </w:tcPr>
          <w:p w14:paraId="65C3BBE7" w14:textId="77777777" w:rsidR="002717E1" w:rsidRPr="00CC0A47" w:rsidDel="00CC0A47" w:rsidRDefault="002717E1" w:rsidP="002717E1">
            <w:pPr>
              <w:pStyle w:val="VSmCellBody"/>
              <w:bidi/>
            </w:pPr>
            <w:r>
              <w:t>836.5</w:t>
            </w:r>
          </w:p>
        </w:tc>
        <w:tc>
          <w:tcPr>
            <w:tcW w:w="234" w:type="dxa"/>
            <w:vAlign w:val="center"/>
          </w:tcPr>
          <w:p w14:paraId="210C7260" w14:textId="77777777" w:rsidR="002717E1" w:rsidRDefault="002717E1" w:rsidP="002717E1">
            <w:pPr>
              <w:pStyle w:val="CellRowSpacer"/>
              <w:bidi/>
              <w:rPr>
                <w:sz w:val="17"/>
                <w:szCs w:val="17"/>
              </w:rPr>
            </w:pPr>
          </w:p>
        </w:tc>
      </w:tr>
      <w:tr w:rsidR="002717E1" w:rsidRPr="00B02BA3" w14:paraId="493B7F8A" w14:textId="77777777" w:rsidTr="008C57E0">
        <w:trPr>
          <w:gridBefore w:val="1"/>
          <w:wBefore w:w="10" w:type="dxa"/>
        </w:trPr>
        <w:tc>
          <w:tcPr>
            <w:tcW w:w="3135" w:type="dxa"/>
            <w:gridSpan w:val="2"/>
            <w:vAlign w:val="center"/>
          </w:tcPr>
          <w:p w14:paraId="29CE9240" w14:textId="77777777" w:rsidR="002717E1" w:rsidRPr="009C0EEF" w:rsidRDefault="002717E1" w:rsidP="002717E1">
            <w:pPr>
              <w:tabs>
                <w:tab w:val="right" w:leader="dot" w:pos="3163"/>
              </w:tabs>
              <w:bidi/>
              <w:spacing w:before="40" w:after="40"/>
              <w:rPr>
                <w:sz w:val="17"/>
                <w:szCs w:val="17"/>
              </w:rPr>
            </w:pPr>
            <w:r>
              <w:rPr>
                <w:rFonts w:hint="cs"/>
                <w:szCs w:val="17"/>
                <w:rtl/>
              </w:rPr>
              <w:t>صافي الرافعة المالية</w:t>
            </w:r>
            <w:r w:rsidR="00F30D0F">
              <w:rPr>
                <w:rFonts w:hint="cs"/>
                <w:szCs w:val="17"/>
                <w:rtl/>
              </w:rPr>
              <w:t>(باستثناء عقود الايجار)</w:t>
            </w:r>
            <w:r w:rsidR="00F30D0F">
              <w:rPr>
                <w:szCs w:val="17"/>
                <w:vertAlign w:val="superscript"/>
                <w:lang w:val="en-GB"/>
              </w:rPr>
              <w:t>(11)</w:t>
            </w:r>
          </w:p>
        </w:tc>
        <w:tc>
          <w:tcPr>
            <w:tcW w:w="235" w:type="dxa"/>
            <w:vAlign w:val="center"/>
          </w:tcPr>
          <w:p w14:paraId="74CD5CD1" w14:textId="77777777" w:rsidR="002717E1" w:rsidRPr="009C0EEF" w:rsidRDefault="002717E1" w:rsidP="002717E1">
            <w:pPr>
              <w:bidi/>
              <w:spacing w:before="40" w:after="40"/>
              <w:jc w:val="center"/>
              <w:rPr>
                <w:sz w:val="17"/>
                <w:szCs w:val="17"/>
              </w:rPr>
            </w:pPr>
          </w:p>
        </w:tc>
        <w:tc>
          <w:tcPr>
            <w:tcW w:w="911" w:type="dxa"/>
            <w:gridSpan w:val="3"/>
            <w:vAlign w:val="center"/>
          </w:tcPr>
          <w:p w14:paraId="056EA747" w14:textId="77777777" w:rsidR="002717E1" w:rsidRPr="009F75F9" w:rsidRDefault="002717E1" w:rsidP="002717E1">
            <w:pPr>
              <w:bidi/>
              <w:spacing w:before="40" w:after="40"/>
              <w:rPr>
                <w:sz w:val="17"/>
                <w:szCs w:val="17"/>
              </w:rPr>
            </w:pPr>
            <w:r w:rsidRPr="009F75F9">
              <w:rPr>
                <w:sz w:val="17"/>
                <w:szCs w:val="17"/>
              </w:rPr>
              <w:t>5.0</w:t>
            </w:r>
            <w:r>
              <w:rPr>
                <w:sz w:val="17"/>
                <w:szCs w:val="17"/>
              </w:rPr>
              <w:t>x</w:t>
            </w:r>
          </w:p>
        </w:tc>
        <w:tc>
          <w:tcPr>
            <w:tcW w:w="235" w:type="dxa"/>
            <w:vAlign w:val="center"/>
          </w:tcPr>
          <w:p w14:paraId="01141142" w14:textId="77777777" w:rsidR="002717E1" w:rsidRPr="009F75F9" w:rsidRDefault="002717E1" w:rsidP="002717E1">
            <w:pPr>
              <w:bidi/>
              <w:spacing w:before="40" w:after="40"/>
              <w:rPr>
                <w:sz w:val="17"/>
                <w:szCs w:val="17"/>
              </w:rPr>
            </w:pPr>
          </w:p>
        </w:tc>
        <w:tc>
          <w:tcPr>
            <w:tcW w:w="901" w:type="dxa"/>
            <w:gridSpan w:val="3"/>
            <w:vAlign w:val="center"/>
          </w:tcPr>
          <w:p w14:paraId="79E6C8DF" w14:textId="77777777" w:rsidR="002717E1" w:rsidRPr="009F75F9" w:rsidRDefault="002717E1" w:rsidP="002717E1">
            <w:pPr>
              <w:bidi/>
              <w:spacing w:before="40" w:after="40"/>
              <w:rPr>
                <w:sz w:val="17"/>
                <w:szCs w:val="17"/>
              </w:rPr>
            </w:pPr>
            <w:r w:rsidRPr="009F75F9">
              <w:rPr>
                <w:sz w:val="17"/>
                <w:szCs w:val="17"/>
              </w:rPr>
              <w:t>2.7</w:t>
            </w:r>
            <w:r>
              <w:rPr>
                <w:sz w:val="17"/>
                <w:szCs w:val="17"/>
              </w:rPr>
              <w:t>x</w:t>
            </w:r>
          </w:p>
        </w:tc>
        <w:tc>
          <w:tcPr>
            <w:tcW w:w="234" w:type="dxa"/>
            <w:vAlign w:val="center"/>
          </w:tcPr>
          <w:p w14:paraId="25B5002F" w14:textId="77777777" w:rsidR="002717E1" w:rsidRPr="009F75F9" w:rsidRDefault="002717E1" w:rsidP="002717E1">
            <w:pPr>
              <w:bidi/>
              <w:spacing w:before="40" w:after="40"/>
              <w:rPr>
                <w:sz w:val="17"/>
                <w:szCs w:val="17"/>
              </w:rPr>
            </w:pPr>
          </w:p>
        </w:tc>
        <w:tc>
          <w:tcPr>
            <w:tcW w:w="901" w:type="dxa"/>
            <w:gridSpan w:val="3"/>
            <w:vAlign w:val="center"/>
          </w:tcPr>
          <w:p w14:paraId="2BD4E31E" w14:textId="77777777" w:rsidR="002717E1" w:rsidRPr="009F75F9" w:rsidRDefault="002717E1" w:rsidP="002717E1">
            <w:pPr>
              <w:bidi/>
              <w:spacing w:before="40" w:after="40"/>
              <w:rPr>
                <w:sz w:val="17"/>
                <w:szCs w:val="17"/>
              </w:rPr>
            </w:pPr>
            <w:r w:rsidRPr="009F75F9">
              <w:rPr>
                <w:sz w:val="17"/>
                <w:szCs w:val="17"/>
              </w:rPr>
              <w:t>1.8</w:t>
            </w:r>
            <w:r>
              <w:rPr>
                <w:sz w:val="17"/>
                <w:szCs w:val="17"/>
              </w:rPr>
              <w:t>x</w:t>
            </w:r>
          </w:p>
        </w:tc>
        <w:tc>
          <w:tcPr>
            <w:tcW w:w="234" w:type="dxa"/>
            <w:vAlign w:val="center"/>
          </w:tcPr>
          <w:p w14:paraId="2119B9C9" w14:textId="77777777" w:rsidR="002717E1" w:rsidRPr="009F75F9" w:rsidRDefault="002717E1" w:rsidP="002717E1">
            <w:pPr>
              <w:bidi/>
              <w:spacing w:before="40" w:after="40"/>
              <w:rPr>
                <w:sz w:val="17"/>
                <w:szCs w:val="17"/>
              </w:rPr>
            </w:pPr>
          </w:p>
        </w:tc>
        <w:tc>
          <w:tcPr>
            <w:tcW w:w="901" w:type="dxa"/>
            <w:gridSpan w:val="3"/>
            <w:vAlign w:val="center"/>
          </w:tcPr>
          <w:p w14:paraId="72F91D39" w14:textId="77777777" w:rsidR="002717E1" w:rsidRPr="009F75F9" w:rsidRDefault="002717E1" w:rsidP="002717E1">
            <w:pPr>
              <w:bidi/>
              <w:spacing w:before="40" w:after="40"/>
              <w:rPr>
                <w:sz w:val="17"/>
                <w:szCs w:val="17"/>
              </w:rPr>
            </w:pPr>
            <w:r w:rsidRPr="009F75F9">
              <w:rPr>
                <w:sz w:val="17"/>
                <w:szCs w:val="17"/>
              </w:rPr>
              <w:t>—</w:t>
            </w:r>
          </w:p>
        </w:tc>
        <w:tc>
          <w:tcPr>
            <w:tcW w:w="234" w:type="dxa"/>
            <w:vAlign w:val="center"/>
          </w:tcPr>
          <w:p w14:paraId="59E2FF4E" w14:textId="77777777" w:rsidR="002717E1" w:rsidRPr="009F75F9" w:rsidRDefault="002717E1" w:rsidP="002717E1">
            <w:pPr>
              <w:bidi/>
              <w:spacing w:before="40" w:after="40"/>
              <w:rPr>
                <w:sz w:val="17"/>
                <w:szCs w:val="17"/>
              </w:rPr>
            </w:pPr>
          </w:p>
        </w:tc>
        <w:tc>
          <w:tcPr>
            <w:tcW w:w="901" w:type="dxa"/>
            <w:gridSpan w:val="3"/>
            <w:vAlign w:val="center"/>
          </w:tcPr>
          <w:p w14:paraId="746926E1" w14:textId="77777777" w:rsidR="002717E1" w:rsidRPr="009F75F9" w:rsidRDefault="002717E1" w:rsidP="002717E1">
            <w:pPr>
              <w:bidi/>
              <w:spacing w:before="40" w:after="40"/>
              <w:rPr>
                <w:sz w:val="17"/>
                <w:szCs w:val="17"/>
              </w:rPr>
            </w:pPr>
            <w:r w:rsidRPr="009F75F9">
              <w:rPr>
                <w:sz w:val="17"/>
                <w:szCs w:val="17"/>
              </w:rPr>
              <w:t>1.6</w:t>
            </w:r>
            <w:r>
              <w:rPr>
                <w:sz w:val="17"/>
                <w:szCs w:val="17"/>
              </w:rPr>
              <w:t>x</w:t>
            </w:r>
          </w:p>
        </w:tc>
        <w:tc>
          <w:tcPr>
            <w:tcW w:w="234" w:type="dxa"/>
            <w:vAlign w:val="center"/>
          </w:tcPr>
          <w:p w14:paraId="010573E3" w14:textId="77777777" w:rsidR="002717E1" w:rsidRPr="009F75F9" w:rsidRDefault="002717E1" w:rsidP="002717E1">
            <w:pPr>
              <w:bidi/>
              <w:spacing w:before="40" w:after="40"/>
              <w:rPr>
                <w:sz w:val="17"/>
                <w:szCs w:val="17"/>
              </w:rPr>
            </w:pPr>
          </w:p>
        </w:tc>
      </w:tr>
      <w:tr w:rsidR="00322C6A" w:rsidRPr="00B02BA3" w14:paraId="38215100" w14:textId="77777777" w:rsidTr="008C57E0">
        <w:trPr>
          <w:gridBefore w:val="1"/>
          <w:wBefore w:w="10" w:type="dxa"/>
        </w:trPr>
        <w:tc>
          <w:tcPr>
            <w:tcW w:w="3135" w:type="dxa"/>
            <w:gridSpan w:val="2"/>
            <w:vAlign w:val="center"/>
          </w:tcPr>
          <w:p w14:paraId="0A98B431" w14:textId="77777777" w:rsidR="00322C6A" w:rsidRDefault="00322C6A" w:rsidP="00322C6A">
            <w:pPr>
              <w:tabs>
                <w:tab w:val="right" w:leader="dot" w:pos="3163"/>
              </w:tabs>
              <w:bidi/>
              <w:spacing w:before="40" w:after="40"/>
              <w:rPr>
                <w:szCs w:val="17"/>
                <w:rtl/>
              </w:rPr>
            </w:pPr>
            <w:r>
              <w:rPr>
                <w:rFonts w:hint="cs"/>
                <w:szCs w:val="17"/>
                <w:rtl/>
              </w:rPr>
              <w:t>صافي الدين (شامل عقود الإيجار)</w:t>
            </w:r>
            <w:r>
              <w:rPr>
                <w:szCs w:val="17"/>
                <w:vertAlign w:val="superscript"/>
              </w:rPr>
              <w:t>(11)</w:t>
            </w:r>
          </w:p>
        </w:tc>
        <w:tc>
          <w:tcPr>
            <w:tcW w:w="235" w:type="dxa"/>
            <w:vAlign w:val="center"/>
          </w:tcPr>
          <w:p w14:paraId="1F457FB0" w14:textId="77777777" w:rsidR="00322C6A" w:rsidRPr="009C0EEF" w:rsidRDefault="00322C6A" w:rsidP="00322C6A">
            <w:pPr>
              <w:bidi/>
              <w:spacing w:before="40" w:after="40"/>
              <w:jc w:val="center"/>
              <w:rPr>
                <w:sz w:val="17"/>
                <w:szCs w:val="17"/>
              </w:rPr>
            </w:pPr>
          </w:p>
        </w:tc>
        <w:tc>
          <w:tcPr>
            <w:tcW w:w="911" w:type="dxa"/>
            <w:gridSpan w:val="3"/>
            <w:vAlign w:val="center"/>
          </w:tcPr>
          <w:p w14:paraId="48404C24" w14:textId="77777777" w:rsidR="00322C6A" w:rsidRPr="003832A3" w:rsidRDefault="00322C6A" w:rsidP="00322C6A">
            <w:pPr>
              <w:bidi/>
              <w:spacing w:before="40" w:after="40"/>
              <w:rPr>
                <w:sz w:val="17"/>
                <w:szCs w:val="17"/>
                <w:lang w:val="en-GB"/>
              </w:rPr>
            </w:pPr>
            <w:r>
              <w:rPr>
                <w:sz w:val="17"/>
                <w:szCs w:val="17"/>
                <w:lang w:val="en-GB"/>
              </w:rPr>
              <w:t>1,472.5</w:t>
            </w:r>
          </w:p>
        </w:tc>
        <w:tc>
          <w:tcPr>
            <w:tcW w:w="235" w:type="dxa"/>
            <w:vAlign w:val="center"/>
          </w:tcPr>
          <w:p w14:paraId="65B5ECAC" w14:textId="77777777" w:rsidR="00322C6A" w:rsidRPr="009F75F9" w:rsidRDefault="00322C6A" w:rsidP="00322C6A">
            <w:pPr>
              <w:bidi/>
              <w:spacing w:before="40" w:after="40"/>
              <w:rPr>
                <w:sz w:val="17"/>
                <w:szCs w:val="17"/>
              </w:rPr>
            </w:pPr>
          </w:p>
        </w:tc>
        <w:tc>
          <w:tcPr>
            <w:tcW w:w="901" w:type="dxa"/>
            <w:gridSpan w:val="3"/>
          </w:tcPr>
          <w:p w14:paraId="0F457C65" w14:textId="77777777" w:rsidR="00322C6A" w:rsidRPr="009F75F9" w:rsidRDefault="00322C6A" w:rsidP="00322C6A">
            <w:pPr>
              <w:bidi/>
              <w:spacing w:before="40" w:after="40"/>
              <w:rPr>
                <w:sz w:val="17"/>
                <w:szCs w:val="17"/>
              </w:rPr>
            </w:pPr>
            <w:r>
              <w:rPr>
                <w:sz w:val="17"/>
                <w:szCs w:val="17"/>
              </w:rPr>
              <w:t>1,355.5</w:t>
            </w:r>
          </w:p>
        </w:tc>
        <w:tc>
          <w:tcPr>
            <w:tcW w:w="234" w:type="dxa"/>
            <w:vAlign w:val="center"/>
          </w:tcPr>
          <w:p w14:paraId="77C1F678" w14:textId="77777777" w:rsidR="00322C6A" w:rsidRPr="009F75F9" w:rsidRDefault="00322C6A" w:rsidP="00322C6A">
            <w:pPr>
              <w:bidi/>
              <w:spacing w:before="40" w:after="40"/>
              <w:rPr>
                <w:sz w:val="17"/>
                <w:szCs w:val="17"/>
              </w:rPr>
            </w:pPr>
          </w:p>
        </w:tc>
        <w:tc>
          <w:tcPr>
            <w:tcW w:w="901" w:type="dxa"/>
            <w:gridSpan w:val="3"/>
          </w:tcPr>
          <w:p w14:paraId="67195A3E" w14:textId="77777777" w:rsidR="00322C6A" w:rsidRPr="009F75F9" w:rsidRDefault="00322C6A" w:rsidP="00322C6A">
            <w:pPr>
              <w:bidi/>
              <w:spacing w:before="40" w:after="40"/>
              <w:rPr>
                <w:sz w:val="17"/>
                <w:szCs w:val="17"/>
              </w:rPr>
            </w:pPr>
            <w:r>
              <w:rPr>
                <w:sz w:val="17"/>
                <w:szCs w:val="17"/>
              </w:rPr>
              <w:t>1,270.5</w:t>
            </w:r>
          </w:p>
        </w:tc>
        <w:tc>
          <w:tcPr>
            <w:tcW w:w="234" w:type="dxa"/>
            <w:vAlign w:val="center"/>
          </w:tcPr>
          <w:p w14:paraId="52A7F814" w14:textId="77777777" w:rsidR="00322C6A" w:rsidRPr="009F75F9" w:rsidRDefault="00322C6A" w:rsidP="00322C6A">
            <w:pPr>
              <w:bidi/>
              <w:spacing w:before="40" w:after="40"/>
              <w:rPr>
                <w:sz w:val="17"/>
                <w:szCs w:val="17"/>
              </w:rPr>
            </w:pPr>
          </w:p>
        </w:tc>
        <w:tc>
          <w:tcPr>
            <w:tcW w:w="901" w:type="dxa"/>
            <w:gridSpan w:val="3"/>
            <w:vAlign w:val="center"/>
          </w:tcPr>
          <w:p w14:paraId="10E50543" w14:textId="77777777" w:rsidR="00322C6A" w:rsidRPr="009F75F9" w:rsidRDefault="00322C6A" w:rsidP="00322C6A">
            <w:pPr>
              <w:bidi/>
              <w:spacing w:before="40" w:after="40"/>
              <w:rPr>
                <w:sz w:val="17"/>
                <w:szCs w:val="17"/>
              </w:rPr>
            </w:pPr>
            <w:r w:rsidRPr="009F75F9">
              <w:rPr>
                <w:sz w:val="17"/>
                <w:szCs w:val="17"/>
              </w:rPr>
              <w:t>—</w:t>
            </w:r>
          </w:p>
        </w:tc>
        <w:tc>
          <w:tcPr>
            <w:tcW w:w="234" w:type="dxa"/>
            <w:vAlign w:val="center"/>
          </w:tcPr>
          <w:p w14:paraId="3D07A7B1" w14:textId="77777777" w:rsidR="00322C6A" w:rsidRPr="009F75F9" w:rsidRDefault="00322C6A" w:rsidP="00322C6A">
            <w:pPr>
              <w:bidi/>
              <w:spacing w:before="40" w:after="40"/>
              <w:rPr>
                <w:sz w:val="17"/>
                <w:szCs w:val="17"/>
              </w:rPr>
            </w:pPr>
          </w:p>
        </w:tc>
        <w:tc>
          <w:tcPr>
            <w:tcW w:w="901" w:type="dxa"/>
            <w:gridSpan w:val="3"/>
          </w:tcPr>
          <w:p w14:paraId="69B90EA9" w14:textId="77777777" w:rsidR="00322C6A" w:rsidRPr="009F75F9" w:rsidRDefault="00322C6A" w:rsidP="00322C6A">
            <w:pPr>
              <w:bidi/>
              <w:spacing w:before="40" w:after="40"/>
              <w:rPr>
                <w:sz w:val="17"/>
                <w:szCs w:val="17"/>
              </w:rPr>
            </w:pPr>
            <w:r>
              <w:rPr>
                <w:sz w:val="17"/>
                <w:szCs w:val="17"/>
              </w:rPr>
              <w:t>1,228.6</w:t>
            </w:r>
          </w:p>
        </w:tc>
        <w:tc>
          <w:tcPr>
            <w:tcW w:w="234" w:type="dxa"/>
            <w:vAlign w:val="center"/>
          </w:tcPr>
          <w:p w14:paraId="7B744FAB" w14:textId="77777777" w:rsidR="00322C6A" w:rsidRPr="009F75F9" w:rsidRDefault="00322C6A" w:rsidP="00322C6A">
            <w:pPr>
              <w:bidi/>
              <w:spacing w:before="40" w:after="40"/>
              <w:rPr>
                <w:sz w:val="17"/>
                <w:szCs w:val="17"/>
              </w:rPr>
            </w:pPr>
          </w:p>
        </w:tc>
      </w:tr>
      <w:tr w:rsidR="00322C6A" w:rsidRPr="00B02BA3" w14:paraId="6D108A14" w14:textId="77777777" w:rsidTr="00821D72">
        <w:trPr>
          <w:gridBefore w:val="1"/>
          <w:wBefore w:w="10" w:type="dxa"/>
        </w:trPr>
        <w:tc>
          <w:tcPr>
            <w:tcW w:w="3135" w:type="dxa"/>
            <w:gridSpan w:val="2"/>
            <w:vAlign w:val="center"/>
          </w:tcPr>
          <w:p w14:paraId="712D4CD5" w14:textId="77777777" w:rsidR="00322C6A" w:rsidRDefault="00322C6A" w:rsidP="00322C6A">
            <w:pPr>
              <w:tabs>
                <w:tab w:val="right" w:leader="dot" w:pos="3163"/>
              </w:tabs>
              <w:bidi/>
              <w:spacing w:before="40" w:after="40"/>
              <w:rPr>
                <w:szCs w:val="17"/>
                <w:rtl/>
              </w:rPr>
            </w:pPr>
            <w:r>
              <w:rPr>
                <w:rFonts w:hint="cs"/>
                <w:szCs w:val="17"/>
                <w:rtl/>
              </w:rPr>
              <w:t>صافي الرافعة المالية(شامل عقود الايجار)</w:t>
            </w:r>
            <w:r>
              <w:rPr>
                <w:szCs w:val="17"/>
                <w:vertAlign w:val="superscript"/>
                <w:lang w:val="en-GB"/>
              </w:rPr>
              <w:t>(11)</w:t>
            </w:r>
          </w:p>
        </w:tc>
        <w:tc>
          <w:tcPr>
            <w:tcW w:w="235" w:type="dxa"/>
            <w:vAlign w:val="center"/>
          </w:tcPr>
          <w:p w14:paraId="71E96D6E" w14:textId="77777777" w:rsidR="00322C6A" w:rsidRPr="009C0EEF" w:rsidRDefault="00322C6A" w:rsidP="00322C6A">
            <w:pPr>
              <w:bidi/>
              <w:spacing w:before="40" w:after="40"/>
              <w:jc w:val="center"/>
              <w:rPr>
                <w:sz w:val="17"/>
                <w:szCs w:val="17"/>
              </w:rPr>
            </w:pPr>
          </w:p>
        </w:tc>
        <w:tc>
          <w:tcPr>
            <w:tcW w:w="911" w:type="dxa"/>
            <w:gridSpan w:val="3"/>
            <w:tcBorders>
              <w:bottom w:val="single" w:sz="4" w:space="0" w:color="auto"/>
            </w:tcBorders>
            <w:vAlign w:val="center"/>
          </w:tcPr>
          <w:p w14:paraId="2317FE16" w14:textId="77777777" w:rsidR="00322C6A" w:rsidRPr="009F75F9" w:rsidRDefault="00322C6A" w:rsidP="00322C6A">
            <w:pPr>
              <w:bidi/>
              <w:spacing w:before="40" w:after="40"/>
              <w:rPr>
                <w:sz w:val="17"/>
                <w:szCs w:val="17"/>
              </w:rPr>
            </w:pPr>
            <w:r>
              <w:rPr>
                <w:sz w:val="17"/>
                <w:szCs w:val="17"/>
              </w:rPr>
              <w:t>5.4x</w:t>
            </w:r>
          </w:p>
        </w:tc>
        <w:tc>
          <w:tcPr>
            <w:tcW w:w="235" w:type="dxa"/>
            <w:vAlign w:val="center"/>
          </w:tcPr>
          <w:p w14:paraId="6A7B65D6" w14:textId="77777777" w:rsidR="00322C6A" w:rsidRPr="009F75F9" w:rsidRDefault="00322C6A" w:rsidP="00322C6A">
            <w:pPr>
              <w:bidi/>
              <w:spacing w:before="40" w:after="40"/>
              <w:rPr>
                <w:sz w:val="17"/>
                <w:szCs w:val="17"/>
              </w:rPr>
            </w:pPr>
          </w:p>
        </w:tc>
        <w:tc>
          <w:tcPr>
            <w:tcW w:w="901" w:type="dxa"/>
            <w:gridSpan w:val="3"/>
            <w:tcBorders>
              <w:bottom w:val="single" w:sz="4" w:space="0" w:color="auto"/>
            </w:tcBorders>
            <w:vAlign w:val="center"/>
          </w:tcPr>
          <w:p w14:paraId="1AFEA666" w14:textId="77777777" w:rsidR="00322C6A" w:rsidRPr="009F75F9" w:rsidRDefault="00322C6A" w:rsidP="00322C6A">
            <w:pPr>
              <w:bidi/>
              <w:spacing w:before="40" w:after="40"/>
              <w:rPr>
                <w:sz w:val="17"/>
                <w:szCs w:val="17"/>
              </w:rPr>
            </w:pPr>
            <w:r>
              <w:rPr>
                <w:sz w:val="17"/>
                <w:szCs w:val="17"/>
              </w:rPr>
              <w:t>3.3x</w:t>
            </w:r>
          </w:p>
        </w:tc>
        <w:tc>
          <w:tcPr>
            <w:tcW w:w="234" w:type="dxa"/>
            <w:vAlign w:val="center"/>
          </w:tcPr>
          <w:p w14:paraId="364260DC" w14:textId="77777777" w:rsidR="00322C6A" w:rsidRPr="009F75F9" w:rsidRDefault="00322C6A" w:rsidP="00322C6A">
            <w:pPr>
              <w:bidi/>
              <w:spacing w:before="40" w:after="40"/>
              <w:rPr>
                <w:sz w:val="17"/>
                <w:szCs w:val="17"/>
              </w:rPr>
            </w:pPr>
          </w:p>
        </w:tc>
        <w:tc>
          <w:tcPr>
            <w:tcW w:w="901" w:type="dxa"/>
            <w:gridSpan w:val="3"/>
            <w:tcBorders>
              <w:bottom w:val="single" w:sz="4" w:space="0" w:color="auto"/>
            </w:tcBorders>
            <w:vAlign w:val="center"/>
          </w:tcPr>
          <w:p w14:paraId="2B8AAE8A" w14:textId="77777777" w:rsidR="00322C6A" w:rsidRPr="009F75F9" w:rsidRDefault="00322C6A" w:rsidP="00322C6A">
            <w:pPr>
              <w:bidi/>
              <w:spacing w:before="40" w:after="40"/>
              <w:rPr>
                <w:sz w:val="17"/>
                <w:szCs w:val="17"/>
              </w:rPr>
            </w:pPr>
            <w:r>
              <w:rPr>
                <w:sz w:val="17"/>
                <w:szCs w:val="17"/>
              </w:rPr>
              <w:t>2.7x</w:t>
            </w:r>
          </w:p>
        </w:tc>
        <w:tc>
          <w:tcPr>
            <w:tcW w:w="234" w:type="dxa"/>
            <w:vAlign w:val="center"/>
          </w:tcPr>
          <w:p w14:paraId="0256BD14" w14:textId="77777777" w:rsidR="00322C6A" w:rsidRPr="009F75F9" w:rsidRDefault="00322C6A" w:rsidP="00322C6A">
            <w:pPr>
              <w:bidi/>
              <w:spacing w:before="40" w:after="40"/>
              <w:rPr>
                <w:sz w:val="17"/>
                <w:szCs w:val="17"/>
              </w:rPr>
            </w:pPr>
          </w:p>
        </w:tc>
        <w:tc>
          <w:tcPr>
            <w:tcW w:w="901" w:type="dxa"/>
            <w:gridSpan w:val="3"/>
            <w:tcBorders>
              <w:bottom w:val="single" w:sz="4" w:space="0" w:color="auto"/>
            </w:tcBorders>
            <w:vAlign w:val="center"/>
          </w:tcPr>
          <w:p w14:paraId="54A04CAE" w14:textId="77777777" w:rsidR="00322C6A" w:rsidRPr="009F75F9" w:rsidRDefault="00322C6A" w:rsidP="00322C6A">
            <w:pPr>
              <w:bidi/>
              <w:spacing w:before="40" w:after="40"/>
              <w:rPr>
                <w:sz w:val="17"/>
                <w:szCs w:val="17"/>
              </w:rPr>
            </w:pPr>
            <w:r w:rsidRPr="009F75F9">
              <w:rPr>
                <w:sz w:val="17"/>
                <w:szCs w:val="17"/>
              </w:rPr>
              <w:t>—</w:t>
            </w:r>
          </w:p>
        </w:tc>
        <w:tc>
          <w:tcPr>
            <w:tcW w:w="234" w:type="dxa"/>
            <w:vAlign w:val="center"/>
          </w:tcPr>
          <w:p w14:paraId="24AA93B2" w14:textId="77777777" w:rsidR="00322C6A" w:rsidRPr="009F75F9" w:rsidRDefault="00322C6A" w:rsidP="00322C6A">
            <w:pPr>
              <w:bidi/>
              <w:spacing w:before="40" w:after="40"/>
              <w:rPr>
                <w:sz w:val="17"/>
                <w:szCs w:val="17"/>
              </w:rPr>
            </w:pPr>
          </w:p>
        </w:tc>
        <w:tc>
          <w:tcPr>
            <w:tcW w:w="901" w:type="dxa"/>
            <w:gridSpan w:val="3"/>
            <w:tcBorders>
              <w:bottom w:val="single" w:sz="4" w:space="0" w:color="auto"/>
            </w:tcBorders>
            <w:vAlign w:val="center"/>
          </w:tcPr>
          <w:p w14:paraId="3EF0CE09" w14:textId="77777777" w:rsidR="00322C6A" w:rsidRPr="009F75F9" w:rsidRDefault="00322C6A" w:rsidP="00322C6A">
            <w:pPr>
              <w:bidi/>
              <w:spacing w:before="40" w:after="40"/>
              <w:rPr>
                <w:sz w:val="17"/>
                <w:szCs w:val="17"/>
              </w:rPr>
            </w:pPr>
            <w:r>
              <w:rPr>
                <w:sz w:val="17"/>
                <w:szCs w:val="17"/>
              </w:rPr>
              <w:t>2.3x</w:t>
            </w:r>
          </w:p>
        </w:tc>
        <w:tc>
          <w:tcPr>
            <w:tcW w:w="234" w:type="dxa"/>
            <w:vAlign w:val="center"/>
          </w:tcPr>
          <w:p w14:paraId="371CF5DA" w14:textId="77777777" w:rsidR="00322C6A" w:rsidRPr="009F75F9" w:rsidRDefault="00322C6A" w:rsidP="00322C6A">
            <w:pPr>
              <w:bidi/>
              <w:spacing w:before="40" w:after="40"/>
              <w:rPr>
                <w:sz w:val="17"/>
                <w:szCs w:val="17"/>
              </w:rPr>
            </w:pPr>
          </w:p>
        </w:tc>
      </w:tr>
    </w:tbl>
    <w:p w14:paraId="2E8E11F6" w14:textId="77777777" w:rsidR="00724A8F" w:rsidRDefault="00724A8F" w:rsidP="00724A8F">
      <w:pPr>
        <w:autoSpaceDE w:val="0"/>
        <w:autoSpaceDN w:val="0"/>
        <w:bidi/>
        <w:adjustRightInd w:val="0"/>
        <w:jc w:val="both"/>
        <w:rPr>
          <w:rFonts w:ascii="Traditional Arabic" w:hAnsi="Traditional Arabic" w:cs="Traditional Arabic"/>
          <w:sz w:val="30"/>
          <w:szCs w:val="30"/>
          <w:rtl/>
          <w:lang w:bidi="ar-EG"/>
        </w:rPr>
      </w:pPr>
    </w:p>
    <w:p w14:paraId="1B53C50A" w14:textId="77777777" w:rsidR="00BB0054" w:rsidRPr="00BB0054" w:rsidRDefault="00BB0054" w:rsidP="00BB0054">
      <w:pPr>
        <w:autoSpaceDE w:val="0"/>
        <w:autoSpaceDN w:val="0"/>
        <w:bidi/>
        <w:adjustRightInd w:val="0"/>
        <w:jc w:val="both"/>
        <w:rPr>
          <w:rFonts w:ascii="Traditional Arabic" w:hAnsi="Traditional Arabic" w:cs="Traditional Arabic"/>
          <w:sz w:val="30"/>
          <w:szCs w:val="30"/>
          <w:lang w:bidi="ar-EG"/>
        </w:rPr>
      </w:pPr>
      <w:r w:rsidRPr="00BB0054">
        <w:rPr>
          <w:rFonts w:ascii="Traditional Arabic" w:hAnsi="Traditional Arabic" w:cs="Traditional Arabic"/>
          <w:sz w:val="30"/>
          <w:szCs w:val="30"/>
          <w:rtl/>
          <w:lang w:bidi="ar-EG"/>
        </w:rPr>
        <w:t>الملاحظات:</w:t>
      </w:r>
    </w:p>
    <w:p w14:paraId="77BACCB9" w14:textId="77777777" w:rsidR="00BB0054" w:rsidRPr="003832A3" w:rsidRDefault="00BB0054" w:rsidP="003832A3">
      <w:pPr>
        <w:autoSpaceDE w:val="0"/>
        <w:autoSpaceDN w:val="0"/>
        <w:bidi/>
        <w:adjustRightInd w:val="0"/>
        <w:ind w:left="360"/>
        <w:jc w:val="both"/>
        <w:rPr>
          <w:rFonts w:ascii="Traditional Arabic" w:hAnsi="Traditional Arabic" w:cs="Traditional Arabic"/>
          <w:sz w:val="4"/>
          <w:szCs w:val="4"/>
          <w:rtl/>
          <w:lang w:bidi="ar-EG"/>
        </w:rPr>
      </w:pPr>
      <w:r w:rsidRPr="003832A3">
        <w:rPr>
          <w:rFonts w:ascii="Traditional Arabic" w:hAnsi="Traditional Arabic" w:cs="Traditional Arabic"/>
          <w:sz w:val="24"/>
          <w:rtl/>
          <w:lang w:bidi="ar-EG"/>
        </w:rPr>
        <w:t>(1)</w:t>
      </w:r>
      <w:r w:rsidRPr="00BB0054">
        <w:rPr>
          <w:rFonts w:ascii="Traditional Arabic" w:hAnsi="Traditional Arabic" w:cs="Traditional Arabic"/>
          <w:sz w:val="30"/>
          <w:szCs w:val="30"/>
          <w:rtl/>
          <w:lang w:bidi="ar-EG"/>
        </w:rPr>
        <w:tab/>
      </w:r>
      <w:r w:rsidRPr="00BB0054">
        <w:rPr>
          <w:rFonts w:ascii="Traditional Arabic" w:hAnsi="Traditional Arabic" w:cs="Traditional Arabic"/>
          <w:sz w:val="24"/>
          <w:rtl/>
          <w:lang w:bidi="ar-EG"/>
        </w:rPr>
        <w:t>تحويل المبالغ بين الريال العماني والدولار الأمريكي بسعر صرف قدره 1.00 دولار أمريكي = 0.3851 ريال عماني.</w:t>
      </w:r>
    </w:p>
    <w:p w14:paraId="544CC8F8" w14:textId="77777777" w:rsidR="00BB0054" w:rsidRPr="00BB0054" w:rsidRDefault="005D4C5F" w:rsidP="005D4C5F">
      <w:pPr>
        <w:autoSpaceDE w:val="0"/>
        <w:autoSpaceDN w:val="0"/>
        <w:bidi/>
        <w:adjustRightInd w:val="0"/>
        <w:ind w:left="288"/>
        <w:jc w:val="both"/>
        <w:rPr>
          <w:rFonts w:ascii="Traditional Arabic" w:hAnsi="Traditional Arabic" w:cs="Traditional Arabic"/>
          <w:sz w:val="30"/>
          <w:szCs w:val="30"/>
          <w:lang w:bidi="ar-EG"/>
        </w:rPr>
      </w:pPr>
      <w:r w:rsidRPr="003832A3">
        <w:rPr>
          <w:rFonts w:ascii="Traditional Arabic" w:hAnsi="Traditional Arabic" w:cs="Traditional Arabic"/>
          <w:sz w:val="24"/>
          <w:lang w:bidi="ar-EG"/>
        </w:rPr>
        <w:t xml:space="preserve"> </w:t>
      </w:r>
      <w:r w:rsidR="00BB0054" w:rsidRPr="003832A3">
        <w:rPr>
          <w:rFonts w:ascii="Traditional Arabic" w:hAnsi="Traditional Arabic" w:cs="Traditional Arabic"/>
          <w:sz w:val="24"/>
          <w:rtl/>
          <w:lang w:bidi="ar-EG"/>
        </w:rPr>
        <w:t>(2)</w:t>
      </w:r>
      <w:r w:rsidR="00BB0054">
        <w:rPr>
          <w:rFonts w:ascii="Traditional Arabic" w:hAnsi="Traditional Arabic" w:cs="Traditional Arabic" w:hint="cs"/>
          <w:sz w:val="30"/>
          <w:szCs w:val="30"/>
          <w:rtl/>
          <w:lang w:bidi="ar-EG"/>
        </w:rPr>
        <w:t xml:space="preserve"> </w:t>
      </w:r>
      <w:r w:rsidR="00BB0054" w:rsidRPr="003832A3">
        <w:rPr>
          <w:rFonts w:ascii="Traditional Arabic" w:hAnsi="Traditional Arabic" w:cs="Traditional Arabic"/>
          <w:sz w:val="24"/>
          <w:rtl/>
          <w:lang w:bidi="ar-EG"/>
        </w:rPr>
        <w:t>لمزيد من المعلومات عن تعريفات جميع المعلومات غير متصلة بالمعايير الدولية لإعداد التقارير المالية والبيانات التشغيلية الأخرى المستخدمة، يرجى الاطلاع على "عرض البيانات المالية وبيانات القطاع والسوق - معلومات غير متصلة بالمعايير الدولية لإعداد التقارير المالية وبعض البيانات المالية والتشغيلية الأخرى ".</w:t>
      </w:r>
      <w:r w:rsidR="00BB0054" w:rsidRPr="00BB0054">
        <w:rPr>
          <w:rFonts w:ascii="Traditional Arabic" w:hAnsi="Traditional Arabic" w:cs="Traditional Arabic"/>
          <w:sz w:val="30"/>
          <w:szCs w:val="30"/>
          <w:rtl/>
          <w:lang w:bidi="ar-EG"/>
        </w:rPr>
        <w:t xml:space="preserve"> </w:t>
      </w:r>
    </w:p>
    <w:p w14:paraId="20C6C45D" w14:textId="77777777" w:rsidR="00A64D52" w:rsidRDefault="005D4C5F" w:rsidP="003832A3">
      <w:pPr>
        <w:autoSpaceDE w:val="0"/>
        <w:autoSpaceDN w:val="0"/>
        <w:bidi/>
        <w:adjustRightInd w:val="0"/>
        <w:ind w:left="288"/>
        <w:jc w:val="both"/>
        <w:rPr>
          <w:rFonts w:ascii="Traditional Arabic" w:hAnsi="Traditional Arabic" w:cs="Traditional Arabic"/>
          <w:sz w:val="30"/>
          <w:szCs w:val="30"/>
          <w:rtl/>
          <w:lang w:bidi="ar-EG"/>
        </w:rPr>
      </w:pPr>
      <w:r>
        <w:rPr>
          <w:rFonts w:ascii="Traditional Arabic" w:hAnsi="Traditional Arabic" w:cs="Traditional Arabic"/>
          <w:sz w:val="30"/>
          <w:szCs w:val="30"/>
          <w:lang w:bidi="ar-EG"/>
        </w:rPr>
        <w:t xml:space="preserve"> </w:t>
      </w:r>
      <w:r w:rsidR="00BB0054" w:rsidRPr="003832A3">
        <w:rPr>
          <w:rFonts w:ascii="Traditional Arabic" w:hAnsi="Traditional Arabic" w:cs="Traditional Arabic"/>
          <w:sz w:val="24"/>
          <w:rtl/>
          <w:lang w:bidi="ar-EG"/>
        </w:rPr>
        <w:t>(3)</w:t>
      </w:r>
      <w:r w:rsidR="00BB0054" w:rsidRPr="00BB0054">
        <w:rPr>
          <w:rFonts w:ascii="Traditional Arabic" w:hAnsi="Traditional Arabic" w:cs="Traditional Arabic"/>
          <w:sz w:val="30"/>
          <w:szCs w:val="30"/>
          <w:rtl/>
          <w:lang w:bidi="ar-EG"/>
        </w:rPr>
        <w:tab/>
      </w:r>
      <w:r w:rsidR="00BB0054" w:rsidRPr="003832A3">
        <w:rPr>
          <w:rFonts w:ascii="Traditional Arabic" w:hAnsi="Traditional Arabic" w:cs="Traditional Arabic"/>
          <w:sz w:val="24"/>
          <w:rtl/>
          <w:lang w:bidi="ar-EG"/>
        </w:rPr>
        <w:t xml:space="preserve">يوضح الجدول التالي تسوية إيرادات مكافئ تأجير السفن المجهزة بالمدة والأرباح قبل حساب الفائدة والضريبة والإهلاك والإطفاء، وهامش الأرباح قبل حساب الفائدة والضريبة والإهلاك والإطفاء، والأرباح المعدلة قبل حساب الفائدة والضريبة والإهلاك والإطفاء، وهامش الأرباح المعدلة قبل حساب الفائدة والضريبة والإهلاك والإطفاء </w:t>
      </w:r>
      <w:r>
        <w:rPr>
          <w:rFonts w:ascii="Traditional Arabic" w:hAnsi="Traditional Arabic" w:cs="Traditional Arabic" w:hint="cs"/>
          <w:sz w:val="24"/>
          <w:rtl/>
        </w:rPr>
        <w:t>ل</w:t>
      </w:r>
      <w:r w:rsidRPr="003832A3">
        <w:rPr>
          <w:rFonts w:ascii="Traditional Arabic" w:hAnsi="Traditional Arabic" w:cs="Traditional Arabic"/>
          <w:sz w:val="24"/>
          <w:rtl/>
          <w:lang w:bidi="ar-EG"/>
        </w:rPr>
        <w:t xml:space="preserve">لإيرادات </w:t>
      </w:r>
      <w:r w:rsidR="00BB0054" w:rsidRPr="003832A3">
        <w:rPr>
          <w:rFonts w:ascii="Traditional Arabic" w:hAnsi="Traditional Arabic" w:cs="Traditional Arabic"/>
          <w:sz w:val="24"/>
          <w:rtl/>
          <w:lang w:bidi="ar-EG"/>
        </w:rPr>
        <w:t>والأرباح الإجمالية للفترات المشار إليها:</w:t>
      </w:r>
    </w:p>
    <w:p w14:paraId="0467D757" w14:textId="77777777" w:rsidR="00A64D52" w:rsidRDefault="00A64D52" w:rsidP="00A64D52">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CE09BC" w:rsidRPr="00E834EF" w14:paraId="69722FD3" w14:textId="77777777" w:rsidTr="008C57E0">
        <w:trPr>
          <w:tblHeader/>
        </w:trPr>
        <w:tc>
          <w:tcPr>
            <w:tcW w:w="3254" w:type="dxa"/>
          </w:tcPr>
          <w:p w14:paraId="1EBCD6E2" w14:textId="77777777" w:rsidR="00CE09BC" w:rsidRPr="00E834EF" w:rsidRDefault="00CE09BC" w:rsidP="00CE09BC">
            <w:pPr>
              <w:keepNext/>
              <w:bidi/>
              <w:spacing w:before="40" w:after="120"/>
              <w:rPr>
                <w:b/>
                <w:sz w:val="17"/>
                <w:szCs w:val="17"/>
              </w:rPr>
            </w:pPr>
          </w:p>
        </w:tc>
        <w:tc>
          <w:tcPr>
            <w:tcW w:w="242" w:type="dxa"/>
          </w:tcPr>
          <w:p w14:paraId="4D8C715F" w14:textId="77777777" w:rsidR="00CE09BC" w:rsidRPr="00E834EF" w:rsidRDefault="00CE09BC" w:rsidP="00CE09BC">
            <w:pPr>
              <w:spacing w:before="40" w:after="40"/>
              <w:rPr>
                <w:sz w:val="17"/>
                <w:szCs w:val="17"/>
              </w:rPr>
            </w:pPr>
          </w:p>
        </w:tc>
        <w:tc>
          <w:tcPr>
            <w:tcW w:w="3255" w:type="dxa"/>
            <w:gridSpan w:val="6"/>
          </w:tcPr>
          <w:p w14:paraId="1FE6181D" w14:textId="77777777" w:rsidR="00CE09BC" w:rsidRPr="00E834EF" w:rsidRDefault="00CE09BC" w:rsidP="00CE09BC">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5937D8C4" w14:textId="77777777" w:rsidR="00CE09BC" w:rsidRPr="00E834EF" w:rsidRDefault="00CE09BC" w:rsidP="00CE09BC">
            <w:pPr>
              <w:spacing w:before="40" w:after="40"/>
              <w:rPr>
                <w:sz w:val="17"/>
                <w:szCs w:val="17"/>
              </w:rPr>
            </w:pPr>
          </w:p>
        </w:tc>
        <w:tc>
          <w:tcPr>
            <w:tcW w:w="2090" w:type="dxa"/>
            <w:gridSpan w:val="3"/>
          </w:tcPr>
          <w:p w14:paraId="4E83B4F0" w14:textId="77777777" w:rsidR="00CE09BC" w:rsidRPr="00E834EF" w:rsidRDefault="00CE09BC" w:rsidP="00CE09BC">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2DC13DF2" w14:textId="77777777" w:rsidR="00CE09BC" w:rsidRPr="00E834EF" w:rsidRDefault="00CE09BC" w:rsidP="00CE09BC">
            <w:pPr>
              <w:keepNext/>
              <w:spacing w:before="40" w:after="120"/>
              <w:jc w:val="center"/>
              <w:rPr>
                <w:b/>
                <w:sz w:val="17"/>
                <w:szCs w:val="17"/>
              </w:rPr>
            </w:pPr>
          </w:p>
        </w:tc>
      </w:tr>
      <w:tr w:rsidR="00CE09BC" w:rsidRPr="00E834EF" w14:paraId="75EFF958" w14:textId="77777777" w:rsidTr="008C57E0">
        <w:trPr>
          <w:tblHeader/>
        </w:trPr>
        <w:tc>
          <w:tcPr>
            <w:tcW w:w="3254" w:type="dxa"/>
          </w:tcPr>
          <w:p w14:paraId="5CA1935B" w14:textId="77777777" w:rsidR="00CE09BC" w:rsidRPr="00E834EF" w:rsidRDefault="00CE09BC" w:rsidP="00CE09BC">
            <w:pPr>
              <w:keepNext/>
              <w:bidi/>
              <w:spacing w:before="40" w:after="120"/>
              <w:rPr>
                <w:b/>
                <w:sz w:val="17"/>
                <w:szCs w:val="17"/>
              </w:rPr>
            </w:pPr>
          </w:p>
        </w:tc>
        <w:tc>
          <w:tcPr>
            <w:tcW w:w="242" w:type="dxa"/>
          </w:tcPr>
          <w:p w14:paraId="3D9F04DE" w14:textId="77777777" w:rsidR="00CE09BC" w:rsidRPr="00E834EF" w:rsidRDefault="00CE09BC" w:rsidP="00CE09BC">
            <w:pPr>
              <w:spacing w:before="40" w:after="40"/>
              <w:rPr>
                <w:sz w:val="17"/>
                <w:szCs w:val="17"/>
              </w:rPr>
            </w:pPr>
          </w:p>
        </w:tc>
        <w:tc>
          <w:tcPr>
            <w:tcW w:w="923" w:type="dxa"/>
            <w:gridSpan w:val="2"/>
          </w:tcPr>
          <w:p w14:paraId="188A8753" w14:textId="77777777" w:rsidR="00CE09BC" w:rsidRPr="00E834EF" w:rsidRDefault="00CE09BC" w:rsidP="00CE09BC">
            <w:pPr>
              <w:keepNext/>
              <w:spacing w:before="40" w:after="120"/>
              <w:jc w:val="right"/>
              <w:rPr>
                <w:b/>
                <w:sz w:val="17"/>
                <w:szCs w:val="17"/>
              </w:rPr>
            </w:pPr>
            <w:r w:rsidRPr="00E834EF">
              <w:rPr>
                <w:b/>
                <w:sz w:val="17"/>
                <w:szCs w:val="17"/>
              </w:rPr>
              <w:t>2021</w:t>
            </w:r>
          </w:p>
        </w:tc>
        <w:tc>
          <w:tcPr>
            <w:tcW w:w="242" w:type="dxa"/>
          </w:tcPr>
          <w:p w14:paraId="15764A5B" w14:textId="77777777" w:rsidR="00CE09BC" w:rsidRPr="00E834EF" w:rsidRDefault="00CE09BC" w:rsidP="00CE09BC">
            <w:pPr>
              <w:spacing w:before="40" w:after="40"/>
              <w:rPr>
                <w:sz w:val="17"/>
                <w:szCs w:val="17"/>
              </w:rPr>
            </w:pPr>
          </w:p>
        </w:tc>
        <w:tc>
          <w:tcPr>
            <w:tcW w:w="924" w:type="dxa"/>
          </w:tcPr>
          <w:p w14:paraId="760F384E" w14:textId="77777777" w:rsidR="00CE09BC" w:rsidRPr="00E834EF" w:rsidRDefault="00CE09BC" w:rsidP="00CE09BC">
            <w:pPr>
              <w:keepNext/>
              <w:spacing w:before="40" w:after="120"/>
              <w:jc w:val="right"/>
              <w:rPr>
                <w:b/>
                <w:sz w:val="17"/>
                <w:szCs w:val="17"/>
              </w:rPr>
            </w:pPr>
            <w:r w:rsidRPr="00E834EF">
              <w:rPr>
                <w:b/>
                <w:sz w:val="17"/>
                <w:szCs w:val="17"/>
              </w:rPr>
              <w:t>2022</w:t>
            </w:r>
          </w:p>
        </w:tc>
        <w:tc>
          <w:tcPr>
            <w:tcW w:w="242" w:type="dxa"/>
          </w:tcPr>
          <w:p w14:paraId="40F011D4" w14:textId="77777777" w:rsidR="00CE09BC" w:rsidRPr="00E834EF" w:rsidRDefault="00CE09BC" w:rsidP="00CE09BC">
            <w:pPr>
              <w:spacing w:before="40" w:after="40"/>
              <w:rPr>
                <w:sz w:val="17"/>
                <w:szCs w:val="17"/>
              </w:rPr>
            </w:pPr>
          </w:p>
        </w:tc>
        <w:tc>
          <w:tcPr>
            <w:tcW w:w="924" w:type="dxa"/>
          </w:tcPr>
          <w:p w14:paraId="54E8D7D8" w14:textId="77777777" w:rsidR="00CE09BC" w:rsidRPr="00E834EF" w:rsidRDefault="00CE09BC" w:rsidP="00CE09BC">
            <w:pPr>
              <w:keepNext/>
              <w:spacing w:before="40" w:after="120"/>
              <w:jc w:val="right"/>
              <w:rPr>
                <w:b/>
                <w:sz w:val="17"/>
                <w:szCs w:val="17"/>
              </w:rPr>
            </w:pPr>
            <w:r w:rsidRPr="00E834EF">
              <w:rPr>
                <w:b/>
                <w:sz w:val="17"/>
                <w:szCs w:val="17"/>
              </w:rPr>
              <w:t>2023</w:t>
            </w:r>
          </w:p>
        </w:tc>
        <w:tc>
          <w:tcPr>
            <w:tcW w:w="242" w:type="dxa"/>
          </w:tcPr>
          <w:p w14:paraId="03AD4D8B" w14:textId="77777777" w:rsidR="00CE09BC" w:rsidRPr="00E834EF" w:rsidRDefault="00CE09BC" w:rsidP="00CE09BC">
            <w:pPr>
              <w:spacing w:before="40" w:after="40"/>
              <w:rPr>
                <w:sz w:val="17"/>
                <w:szCs w:val="17"/>
              </w:rPr>
            </w:pPr>
          </w:p>
        </w:tc>
        <w:tc>
          <w:tcPr>
            <w:tcW w:w="924" w:type="dxa"/>
          </w:tcPr>
          <w:p w14:paraId="2A847955" w14:textId="77777777" w:rsidR="00CE09BC" w:rsidRPr="00E834EF" w:rsidRDefault="00CE09BC" w:rsidP="00CE09BC">
            <w:pPr>
              <w:keepNext/>
              <w:spacing w:before="40" w:after="120"/>
              <w:jc w:val="right"/>
              <w:rPr>
                <w:b/>
                <w:sz w:val="17"/>
                <w:szCs w:val="17"/>
              </w:rPr>
            </w:pPr>
            <w:r w:rsidRPr="00E834EF">
              <w:rPr>
                <w:b/>
                <w:sz w:val="17"/>
                <w:szCs w:val="17"/>
              </w:rPr>
              <w:t>2023</w:t>
            </w:r>
          </w:p>
        </w:tc>
        <w:tc>
          <w:tcPr>
            <w:tcW w:w="227" w:type="dxa"/>
          </w:tcPr>
          <w:p w14:paraId="372F6F52" w14:textId="77777777" w:rsidR="00CE09BC" w:rsidRPr="00E834EF" w:rsidRDefault="00CE09BC" w:rsidP="00CE09BC">
            <w:pPr>
              <w:spacing w:before="40" w:after="40"/>
              <w:rPr>
                <w:sz w:val="17"/>
                <w:szCs w:val="17"/>
              </w:rPr>
            </w:pPr>
          </w:p>
        </w:tc>
        <w:tc>
          <w:tcPr>
            <w:tcW w:w="939" w:type="dxa"/>
          </w:tcPr>
          <w:p w14:paraId="31CE7488" w14:textId="77777777" w:rsidR="00CE09BC" w:rsidRPr="00E834EF" w:rsidRDefault="00CE09BC" w:rsidP="00CE09BC">
            <w:pPr>
              <w:keepNext/>
              <w:spacing w:before="40" w:after="120"/>
              <w:jc w:val="right"/>
              <w:rPr>
                <w:b/>
                <w:sz w:val="17"/>
                <w:szCs w:val="17"/>
              </w:rPr>
            </w:pPr>
            <w:r w:rsidRPr="00E834EF">
              <w:rPr>
                <w:b/>
                <w:sz w:val="17"/>
                <w:szCs w:val="17"/>
              </w:rPr>
              <w:t>2024</w:t>
            </w:r>
          </w:p>
        </w:tc>
        <w:tc>
          <w:tcPr>
            <w:tcW w:w="266" w:type="dxa"/>
          </w:tcPr>
          <w:p w14:paraId="585953C8" w14:textId="77777777" w:rsidR="00CE09BC" w:rsidRPr="00E834EF" w:rsidRDefault="00CE09BC" w:rsidP="00CE09BC">
            <w:pPr>
              <w:keepNext/>
              <w:spacing w:before="40" w:after="120"/>
              <w:jc w:val="right"/>
              <w:rPr>
                <w:b/>
                <w:sz w:val="17"/>
                <w:szCs w:val="17"/>
              </w:rPr>
            </w:pPr>
          </w:p>
        </w:tc>
      </w:tr>
      <w:tr w:rsidR="00CE09BC" w:rsidRPr="00E834EF" w14:paraId="0A44ADC5" w14:textId="77777777" w:rsidTr="008C57E0">
        <w:trPr>
          <w:trHeight w:val="215"/>
          <w:tblHeader/>
        </w:trPr>
        <w:tc>
          <w:tcPr>
            <w:tcW w:w="3254" w:type="dxa"/>
          </w:tcPr>
          <w:p w14:paraId="123D8F12" w14:textId="77777777" w:rsidR="00CE09BC" w:rsidRPr="00E834EF" w:rsidRDefault="00CE09BC" w:rsidP="00CE09BC">
            <w:pPr>
              <w:keepNext/>
              <w:bidi/>
              <w:spacing w:before="40" w:after="120"/>
              <w:jc w:val="center"/>
              <w:rPr>
                <w:i/>
                <w:sz w:val="17"/>
                <w:szCs w:val="17"/>
              </w:rPr>
            </w:pPr>
          </w:p>
        </w:tc>
        <w:tc>
          <w:tcPr>
            <w:tcW w:w="242" w:type="dxa"/>
          </w:tcPr>
          <w:p w14:paraId="5EA660CE" w14:textId="77777777" w:rsidR="00CE09BC" w:rsidRPr="00E834EF" w:rsidRDefault="00CE09BC" w:rsidP="00CE09BC">
            <w:pPr>
              <w:keepNext/>
              <w:spacing w:before="40" w:after="120"/>
              <w:jc w:val="center"/>
              <w:rPr>
                <w:i/>
                <w:sz w:val="17"/>
                <w:szCs w:val="17"/>
              </w:rPr>
            </w:pPr>
          </w:p>
        </w:tc>
        <w:tc>
          <w:tcPr>
            <w:tcW w:w="5587" w:type="dxa"/>
            <w:gridSpan w:val="10"/>
          </w:tcPr>
          <w:p w14:paraId="2FDCB2AD" w14:textId="77777777" w:rsidR="00CE09BC" w:rsidRPr="00E834EF" w:rsidRDefault="00CE09BC" w:rsidP="00CE09BC">
            <w:pPr>
              <w:keepNext/>
              <w:spacing w:before="40" w:after="120"/>
              <w:jc w:val="center"/>
              <w:rPr>
                <w:i/>
                <w:sz w:val="17"/>
                <w:szCs w:val="17"/>
              </w:rPr>
            </w:pPr>
            <w:r w:rsidRPr="00E834EF">
              <w:rPr>
                <w:i/>
                <w:color w:val="000000"/>
                <w:sz w:val="17"/>
                <w:szCs w:val="17"/>
              </w:rPr>
              <w:t>(</w:t>
            </w:r>
            <w:r w:rsidRPr="00B02BA3">
              <w:rPr>
                <w:i/>
                <w:iCs/>
                <w:sz w:val="18"/>
              </w:rPr>
              <w:t>U.S.$</w:t>
            </w:r>
            <w:r>
              <w:rPr>
                <w:i/>
                <w:iCs/>
                <w:sz w:val="18"/>
              </w:rPr>
              <w:t xml:space="preserve"> </w:t>
            </w:r>
            <w:r>
              <w:rPr>
                <w:i/>
                <w:color w:val="000000"/>
                <w:sz w:val="17"/>
                <w:szCs w:val="17"/>
              </w:rPr>
              <w:t>millions</w:t>
            </w:r>
            <w:r w:rsidRPr="00E834EF">
              <w:rPr>
                <w:i/>
                <w:color w:val="000000"/>
                <w:sz w:val="17"/>
                <w:szCs w:val="17"/>
              </w:rPr>
              <w:t>, except percentages)</w:t>
            </w:r>
          </w:p>
        </w:tc>
        <w:tc>
          <w:tcPr>
            <w:tcW w:w="266" w:type="dxa"/>
          </w:tcPr>
          <w:p w14:paraId="40BF69A5" w14:textId="77777777" w:rsidR="00CE09BC" w:rsidRPr="00E834EF" w:rsidRDefault="00CE09BC" w:rsidP="00CE09BC">
            <w:pPr>
              <w:keepNext/>
              <w:spacing w:before="40" w:after="120"/>
              <w:jc w:val="center"/>
              <w:rPr>
                <w:i/>
                <w:color w:val="000000"/>
                <w:sz w:val="17"/>
                <w:szCs w:val="17"/>
              </w:rPr>
            </w:pPr>
          </w:p>
        </w:tc>
      </w:tr>
      <w:tr w:rsidR="00CE09BC" w:rsidRPr="00E834EF" w14:paraId="7B5DD234" w14:textId="77777777" w:rsidTr="008C57E0">
        <w:tc>
          <w:tcPr>
            <w:tcW w:w="3254" w:type="dxa"/>
            <w:vAlign w:val="bottom"/>
          </w:tcPr>
          <w:p w14:paraId="07CB1558" w14:textId="77777777" w:rsidR="00CE09BC" w:rsidRDefault="00CE09BC" w:rsidP="00CE09BC">
            <w:pPr>
              <w:tabs>
                <w:tab w:val="right" w:leader="dot" w:pos="3255"/>
              </w:tabs>
              <w:bidi/>
              <w:spacing w:before="40" w:after="40"/>
              <w:ind w:left="12"/>
              <w:rPr>
                <w:b/>
                <w:bCs/>
                <w:color w:val="000000"/>
                <w:sz w:val="17"/>
                <w:szCs w:val="17"/>
              </w:rPr>
            </w:pPr>
            <w:r>
              <w:rPr>
                <w:rFonts w:hint="cs"/>
                <w:b/>
                <w:bCs/>
                <w:color w:val="000000"/>
                <w:sz w:val="17"/>
                <w:szCs w:val="17"/>
                <w:rtl/>
              </w:rPr>
              <w:t>الإيرادات</w:t>
            </w:r>
            <w:r w:rsidRPr="0054596C">
              <w:rPr>
                <w:sz w:val="17"/>
              </w:rPr>
              <w:tab/>
            </w:r>
          </w:p>
        </w:tc>
        <w:tc>
          <w:tcPr>
            <w:tcW w:w="242" w:type="dxa"/>
            <w:vAlign w:val="bottom"/>
          </w:tcPr>
          <w:p w14:paraId="14FE7BFB" w14:textId="77777777" w:rsidR="00CE09BC" w:rsidRPr="00E834EF" w:rsidRDefault="00CE09BC" w:rsidP="00CE09BC">
            <w:pPr>
              <w:spacing w:before="40" w:after="40"/>
              <w:rPr>
                <w:sz w:val="17"/>
                <w:szCs w:val="17"/>
              </w:rPr>
            </w:pPr>
          </w:p>
        </w:tc>
        <w:tc>
          <w:tcPr>
            <w:tcW w:w="913" w:type="dxa"/>
            <w:vAlign w:val="bottom"/>
          </w:tcPr>
          <w:p w14:paraId="01E709B4" w14:textId="77777777" w:rsidR="00CE09BC" w:rsidRPr="007766C5" w:rsidRDefault="00CE09BC" w:rsidP="00CE09BC">
            <w:pPr>
              <w:spacing w:before="40" w:after="40"/>
              <w:jc w:val="right"/>
              <w:rPr>
                <w:color w:val="000000"/>
                <w:sz w:val="17"/>
                <w:szCs w:val="17"/>
              </w:rPr>
            </w:pPr>
            <w:r w:rsidRPr="00B02BA3">
              <w:rPr>
                <w:sz w:val="17"/>
              </w:rPr>
              <w:t>633</w:t>
            </w:r>
            <w:r>
              <w:rPr>
                <w:sz w:val="17"/>
              </w:rPr>
              <w:t>.3</w:t>
            </w:r>
          </w:p>
        </w:tc>
        <w:tc>
          <w:tcPr>
            <w:tcW w:w="252" w:type="dxa"/>
            <w:gridSpan w:val="2"/>
            <w:vAlign w:val="bottom"/>
          </w:tcPr>
          <w:p w14:paraId="176BF6BD" w14:textId="77777777" w:rsidR="00CE09BC" w:rsidRPr="007766C5" w:rsidRDefault="00CE09BC" w:rsidP="00CE09BC">
            <w:pPr>
              <w:spacing w:before="40" w:after="40"/>
              <w:rPr>
                <w:color w:val="000000"/>
                <w:sz w:val="17"/>
                <w:szCs w:val="17"/>
              </w:rPr>
            </w:pPr>
          </w:p>
        </w:tc>
        <w:tc>
          <w:tcPr>
            <w:tcW w:w="924" w:type="dxa"/>
            <w:vAlign w:val="bottom"/>
          </w:tcPr>
          <w:p w14:paraId="23E57AEB" w14:textId="77777777" w:rsidR="00CE09BC" w:rsidRPr="007766C5" w:rsidRDefault="005D4C5F" w:rsidP="00CE09BC">
            <w:pPr>
              <w:spacing w:before="40" w:after="40"/>
              <w:jc w:val="right"/>
              <w:rPr>
                <w:color w:val="000000"/>
                <w:sz w:val="17"/>
                <w:szCs w:val="17"/>
              </w:rPr>
            </w:pPr>
            <w:r>
              <w:rPr>
                <w:sz w:val="17"/>
              </w:rPr>
              <w:t>904.2</w:t>
            </w:r>
          </w:p>
        </w:tc>
        <w:tc>
          <w:tcPr>
            <w:tcW w:w="242" w:type="dxa"/>
            <w:vAlign w:val="bottom"/>
          </w:tcPr>
          <w:p w14:paraId="35A95413" w14:textId="77777777" w:rsidR="00CE09BC" w:rsidRPr="007766C5" w:rsidRDefault="00CE09BC" w:rsidP="00CE09BC">
            <w:pPr>
              <w:spacing w:before="40" w:after="40"/>
              <w:rPr>
                <w:color w:val="000000"/>
                <w:sz w:val="17"/>
                <w:szCs w:val="17"/>
              </w:rPr>
            </w:pPr>
          </w:p>
        </w:tc>
        <w:tc>
          <w:tcPr>
            <w:tcW w:w="924" w:type="dxa"/>
            <w:vAlign w:val="bottom"/>
          </w:tcPr>
          <w:p w14:paraId="3C0B3A6A" w14:textId="77777777" w:rsidR="00CE09BC" w:rsidRPr="007766C5" w:rsidRDefault="00CE09BC" w:rsidP="00CE09BC">
            <w:pPr>
              <w:spacing w:before="40" w:after="40"/>
              <w:jc w:val="right"/>
              <w:rPr>
                <w:color w:val="000000"/>
                <w:sz w:val="17"/>
                <w:szCs w:val="17"/>
              </w:rPr>
            </w:pPr>
            <w:r w:rsidRPr="00B02BA3">
              <w:rPr>
                <w:sz w:val="17"/>
              </w:rPr>
              <w:t>944</w:t>
            </w:r>
            <w:r>
              <w:rPr>
                <w:sz w:val="17"/>
              </w:rPr>
              <w:t>.</w:t>
            </w:r>
            <w:r w:rsidR="005D4C5F">
              <w:rPr>
                <w:sz w:val="17"/>
              </w:rPr>
              <w:t>7</w:t>
            </w:r>
          </w:p>
        </w:tc>
        <w:tc>
          <w:tcPr>
            <w:tcW w:w="242" w:type="dxa"/>
            <w:vAlign w:val="bottom"/>
          </w:tcPr>
          <w:p w14:paraId="15CCC25C" w14:textId="77777777" w:rsidR="00CE09BC" w:rsidRPr="007766C5" w:rsidRDefault="00CE09BC" w:rsidP="00CE09BC">
            <w:pPr>
              <w:spacing w:before="40" w:after="40"/>
              <w:rPr>
                <w:sz w:val="17"/>
                <w:szCs w:val="17"/>
              </w:rPr>
            </w:pPr>
          </w:p>
        </w:tc>
        <w:tc>
          <w:tcPr>
            <w:tcW w:w="924" w:type="dxa"/>
            <w:vAlign w:val="bottom"/>
          </w:tcPr>
          <w:p w14:paraId="6B4912B2" w14:textId="77777777" w:rsidR="00CE09BC" w:rsidRPr="007766C5" w:rsidRDefault="00CE09BC" w:rsidP="00CE09BC">
            <w:pPr>
              <w:spacing w:before="40" w:after="40"/>
              <w:jc w:val="right"/>
              <w:rPr>
                <w:sz w:val="17"/>
                <w:szCs w:val="17"/>
              </w:rPr>
            </w:pPr>
            <w:r>
              <w:rPr>
                <w:sz w:val="17"/>
              </w:rPr>
              <w:t>713.3</w:t>
            </w:r>
          </w:p>
        </w:tc>
        <w:tc>
          <w:tcPr>
            <w:tcW w:w="227" w:type="dxa"/>
            <w:vAlign w:val="bottom"/>
          </w:tcPr>
          <w:p w14:paraId="6D5F173F" w14:textId="77777777" w:rsidR="00CE09BC" w:rsidRPr="007766C5" w:rsidRDefault="00CE09BC" w:rsidP="00CE09BC">
            <w:pPr>
              <w:spacing w:before="40" w:after="40"/>
              <w:rPr>
                <w:sz w:val="17"/>
                <w:szCs w:val="17"/>
              </w:rPr>
            </w:pPr>
          </w:p>
        </w:tc>
        <w:tc>
          <w:tcPr>
            <w:tcW w:w="939" w:type="dxa"/>
            <w:vAlign w:val="bottom"/>
          </w:tcPr>
          <w:p w14:paraId="740BAAF8" w14:textId="77777777" w:rsidR="00CE09BC" w:rsidRPr="007766C5" w:rsidRDefault="00CE09BC" w:rsidP="00CE09BC">
            <w:pPr>
              <w:spacing w:before="40" w:after="40"/>
              <w:jc w:val="right"/>
              <w:rPr>
                <w:sz w:val="17"/>
                <w:szCs w:val="17"/>
              </w:rPr>
            </w:pPr>
            <w:r>
              <w:rPr>
                <w:sz w:val="17"/>
              </w:rPr>
              <w:t>713.9</w:t>
            </w:r>
          </w:p>
        </w:tc>
        <w:tc>
          <w:tcPr>
            <w:tcW w:w="266" w:type="dxa"/>
          </w:tcPr>
          <w:p w14:paraId="7EAAD943" w14:textId="77777777" w:rsidR="00CE09BC" w:rsidRPr="000D2863" w:rsidRDefault="00CE09BC" w:rsidP="00CE09BC">
            <w:pPr>
              <w:spacing w:before="40" w:after="40"/>
              <w:rPr>
                <w:sz w:val="17"/>
                <w:szCs w:val="17"/>
              </w:rPr>
            </w:pPr>
          </w:p>
        </w:tc>
      </w:tr>
      <w:tr w:rsidR="00CE09BC" w:rsidRPr="00E834EF" w14:paraId="0B06724F" w14:textId="77777777" w:rsidTr="008C57E0">
        <w:tc>
          <w:tcPr>
            <w:tcW w:w="3254" w:type="dxa"/>
          </w:tcPr>
          <w:p w14:paraId="59560043" w14:textId="77777777" w:rsidR="00CE09BC" w:rsidRDefault="00CE09BC" w:rsidP="00CE09BC">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5354EF6B" w14:textId="77777777" w:rsidR="00CE09BC" w:rsidRPr="00E834EF" w:rsidRDefault="00080093" w:rsidP="00CE09BC">
            <w:pPr>
              <w:spacing w:before="40" w:after="40"/>
              <w:rPr>
                <w:sz w:val="17"/>
                <w:szCs w:val="17"/>
              </w:rPr>
            </w:pPr>
            <w:r>
              <w:rPr>
                <w:sz w:val="17"/>
                <w:szCs w:val="17"/>
              </w:rPr>
              <w:t>)</w:t>
            </w:r>
          </w:p>
        </w:tc>
        <w:tc>
          <w:tcPr>
            <w:tcW w:w="913" w:type="dxa"/>
            <w:vAlign w:val="bottom"/>
          </w:tcPr>
          <w:p w14:paraId="7C71B6FB" w14:textId="77777777" w:rsidR="00CE09BC" w:rsidRPr="007766C5" w:rsidRDefault="00CE09BC" w:rsidP="00CE09BC">
            <w:pPr>
              <w:spacing w:before="40" w:after="40"/>
              <w:jc w:val="right"/>
              <w:rPr>
                <w:color w:val="000000"/>
                <w:sz w:val="17"/>
                <w:szCs w:val="17"/>
              </w:rPr>
            </w:pPr>
            <w:r w:rsidRPr="00B02BA3">
              <w:rPr>
                <w:sz w:val="17"/>
              </w:rPr>
              <w:t>(16</w:t>
            </w:r>
            <w:r>
              <w:rPr>
                <w:sz w:val="17"/>
              </w:rPr>
              <w:t>3.0</w:t>
            </w:r>
          </w:p>
        </w:tc>
        <w:tc>
          <w:tcPr>
            <w:tcW w:w="252" w:type="dxa"/>
            <w:gridSpan w:val="2"/>
            <w:vAlign w:val="bottom"/>
          </w:tcPr>
          <w:p w14:paraId="3185B697" w14:textId="77777777" w:rsidR="00CE09BC" w:rsidRPr="007766C5" w:rsidRDefault="00CE09BC" w:rsidP="00CE09BC">
            <w:pPr>
              <w:spacing w:before="40" w:after="40"/>
              <w:rPr>
                <w:color w:val="000000"/>
                <w:sz w:val="17"/>
                <w:szCs w:val="17"/>
              </w:rPr>
            </w:pPr>
            <w:r w:rsidRPr="00B02BA3">
              <w:rPr>
                <w:sz w:val="17"/>
              </w:rPr>
              <w:t>)</w:t>
            </w:r>
          </w:p>
        </w:tc>
        <w:tc>
          <w:tcPr>
            <w:tcW w:w="924" w:type="dxa"/>
            <w:vAlign w:val="bottom"/>
          </w:tcPr>
          <w:p w14:paraId="71BA9EFC" w14:textId="77777777" w:rsidR="00CE09BC" w:rsidRPr="007766C5" w:rsidRDefault="00CE09BC" w:rsidP="00CE09BC">
            <w:pPr>
              <w:spacing w:before="40" w:after="40"/>
              <w:jc w:val="right"/>
              <w:rPr>
                <w:color w:val="000000"/>
                <w:sz w:val="17"/>
                <w:szCs w:val="17"/>
              </w:rPr>
            </w:pPr>
            <w:r w:rsidRPr="00B02BA3">
              <w:rPr>
                <w:sz w:val="17"/>
              </w:rPr>
              <w:t>(254</w:t>
            </w:r>
            <w:r>
              <w:rPr>
                <w:sz w:val="17"/>
              </w:rPr>
              <w:t>.</w:t>
            </w:r>
            <w:r w:rsidR="005D4C5F">
              <w:rPr>
                <w:sz w:val="17"/>
              </w:rPr>
              <w:t>7</w:t>
            </w:r>
          </w:p>
        </w:tc>
        <w:tc>
          <w:tcPr>
            <w:tcW w:w="242" w:type="dxa"/>
            <w:vAlign w:val="bottom"/>
          </w:tcPr>
          <w:p w14:paraId="1F722B7A" w14:textId="77777777" w:rsidR="00CE09BC" w:rsidRPr="007766C5" w:rsidRDefault="00CE09BC" w:rsidP="00CE09BC">
            <w:pPr>
              <w:spacing w:before="40" w:after="40"/>
              <w:rPr>
                <w:color w:val="000000"/>
                <w:sz w:val="17"/>
                <w:szCs w:val="17"/>
              </w:rPr>
            </w:pPr>
            <w:r w:rsidRPr="00B02BA3">
              <w:rPr>
                <w:sz w:val="17"/>
              </w:rPr>
              <w:t>)</w:t>
            </w:r>
          </w:p>
        </w:tc>
        <w:tc>
          <w:tcPr>
            <w:tcW w:w="924" w:type="dxa"/>
            <w:vAlign w:val="bottom"/>
          </w:tcPr>
          <w:p w14:paraId="79FA9998" w14:textId="77777777" w:rsidR="00CE09BC" w:rsidRPr="007766C5" w:rsidRDefault="00CE09BC" w:rsidP="00CE09BC">
            <w:pPr>
              <w:spacing w:before="40" w:after="40"/>
              <w:jc w:val="right"/>
              <w:rPr>
                <w:color w:val="000000"/>
                <w:sz w:val="17"/>
                <w:szCs w:val="17"/>
              </w:rPr>
            </w:pPr>
            <w:r w:rsidRPr="00B02BA3">
              <w:rPr>
                <w:sz w:val="17"/>
              </w:rPr>
              <w:t>(212</w:t>
            </w:r>
            <w:r>
              <w:rPr>
                <w:sz w:val="17"/>
              </w:rPr>
              <w:t>.2</w:t>
            </w:r>
          </w:p>
        </w:tc>
        <w:tc>
          <w:tcPr>
            <w:tcW w:w="242" w:type="dxa"/>
            <w:vAlign w:val="bottom"/>
          </w:tcPr>
          <w:p w14:paraId="1DE357DA" w14:textId="77777777" w:rsidR="00CE09BC" w:rsidRPr="007766C5" w:rsidRDefault="00CE09BC" w:rsidP="00CE09BC">
            <w:pPr>
              <w:spacing w:before="40" w:after="40"/>
              <w:rPr>
                <w:sz w:val="17"/>
                <w:szCs w:val="17"/>
              </w:rPr>
            </w:pPr>
            <w:r w:rsidRPr="00B02BA3">
              <w:rPr>
                <w:sz w:val="17"/>
              </w:rPr>
              <w:t>)</w:t>
            </w:r>
          </w:p>
        </w:tc>
        <w:tc>
          <w:tcPr>
            <w:tcW w:w="924" w:type="dxa"/>
            <w:vAlign w:val="bottom"/>
          </w:tcPr>
          <w:p w14:paraId="35AE14F2" w14:textId="77777777" w:rsidR="00CE09BC" w:rsidRPr="007766C5" w:rsidRDefault="00CE09BC" w:rsidP="00CE09BC">
            <w:pPr>
              <w:spacing w:before="40" w:after="40"/>
              <w:jc w:val="right"/>
              <w:rPr>
                <w:sz w:val="17"/>
                <w:szCs w:val="17"/>
              </w:rPr>
            </w:pPr>
            <w:r>
              <w:rPr>
                <w:sz w:val="17"/>
              </w:rPr>
              <w:t>(161.</w:t>
            </w:r>
            <w:r w:rsidR="005D4C5F">
              <w:rPr>
                <w:sz w:val="17"/>
              </w:rPr>
              <w:t>6</w:t>
            </w:r>
          </w:p>
        </w:tc>
        <w:tc>
          <w:tcPr>
            <w:tcW w:w="227" w:type="dxa"/>
            <w:vAlign w:val="bottom"/>
          </w:tcPr>
          <w:p w14:paraId="72665E14" w14:textId="77777777" w:rsidR="00CE09BC" w:rsidRPr="007766C5" w:rsidRDefault="00CE09BC" w:rsidP="00CE09BC">
            <w:pPr>
              <w:spacing w:before="40" w:after="40"/>
              <w:rPr>
                <w:sz w:val="17"/>
                <w:szCs w:val="17"/>
              </w:rPr>
            </w:pPr>
            <w:r>
              <w:rPr>
                <w:sz w:val="17"/>
              </w:rPr>
              <w:t>)</w:t>
            </w:r>
          </w:p>
        </w:tc>
        <w:tc>
          <w:tcPr>
            <w:tcW w:w="939" w:type="dxa"/>
            <w:vAlign w:val="bottom"/>
          </w:tcPr>
          <w:p w14:paraId="5C34211F" w14:textId="77777777" w:rsidR="00CE09BC" w:rsidRPr="007766C5" w:rsidRDefault="00CE09BC" w:rsidP="00CE09BC">
            <w:pPr>
              <w:spacing w:before="40" w:after="40"/>
              <w:jc w:val="right"/>
              <w:rPr>
                <w:sz w:val="17"/>
                <w:szCs w:val="17"/>
              </w:rPr>
            </w:pPr>
            <w:r>
              <w:rPr>
                <w:sz w:val="17"/>
              </w:rPr>
              <w:t>(100.7</w:t>
            </w:r>
          </w:p>
        </w:tc>
        <w:tc>
          <w:tcPr>
            <w:tcW w:w="266" w:type="dxa"/>
            <w:vAlign w:val="bottom"/>
          </w:tcPr>
          <w:p w14:paraId="56E785D7" w14:textId="77777777" w:rsidR="00CE09BC" w:rsidRPr="007766C5" w:rsidRDefault="00CE09BC" w:rsidP="00CE09BC">
            <w:pPr>
              <w:spacing w:before="40" w:after="40"/>
              <w:rPr>
                <w:sz w:val="17"/>
                <w:szCs w:val="17"/>
              </w:rPr>
            </w:pPr>
          </w:p>
        </w:tc>
      </w:tr>
      <w:tr w:rsidR="00CE09BC" w:rsidRPr="00E834EF" w14:paraId="475431EE" w14:textId="77777777" w:rsidTr="008C57E0">
        <w:tc>
          <w:tcPr>
            <w:tcW w:w="3254" w:type="dxa"/>
          </w:tcPr>
          <w:p w14:paraId="115BF514" w14:textId="77777777" w:rsidR="00CE09BC" w:rsidRDefault="00CE09BC" w:rsidP="00CE09BC">
            <w:pPr>
              <w:tabs>
                <w:tab w:val="right" w:leader="dot" w:pos="3255"/>
              </w:tabs>
              <w:bidi/>
              <w:spacing w:before="40" w:after="40"/>
              <w:rPr>
                <w:b/>
                <w:bCs/>
                <w:sz w:val="17"/>
                <w:szCs w:val="17"/>
                <w:u w:val="single"/>
              </w:rPr>
            </w:pPr>
            <w:r w:rsidRPr="00A07D6C">
              <w:rPr>
                <w:rFonts w:hint="cs"/>
                <w:b/>
                <w:bCs/>
                <w:sz w:val="17"/>
                <w:szCs w:val="17"/>
                <w:u w:val="single"/>
                <w:rtl/>
              </w:rPr>
              <w:t>إيرادات مكافئ تأجير السفن المجهزة بالمدة</w:t>
            </w:r>
            <w:r w:rsidRPr="007D2480">
              <w:rPr>
                <w:sz w:val="17"/>
              </w:rPr>
              <w:tab/>
            </w:r>
          </w:p>
        </w:tc>
        <w:tc>
          <w:tcPr>
            <w:tcW w:w="242" w:type="dxa"/>
            <w:vAlign w:val="bottom"/>
          </w:tcPr>
          <w:p w14:paraId="0FD5B279" w14:textId="77777777" w:rsidR="00CE09BC" w:rsidRPr="00E834EF" w:rsidRDefault="00CE09BC" w:rsidP="00CE09BC">
            <w:pPr>
              <w:spacing w:before="40" w:after="40"/>
              <w:rPr>
                <w:sz w:val="17"/>
                <w:szCs w:val="17"/>
              </w:rPr>
            </w:pPr>
          </w:p>
        </w:tc>
        <w:tc>
          <w:tcPr>
            <w:tcW w:w="913" w:type="dxa"/>
          </w:tcPr>
          <w:p w14:paraId="142C73E6" w14:textId="77777777" w:rsidR="00CE09BC" w:rsidRPr="007766C5" w:rsidRDefault="00CE09BC" w:rsidP="00CE09BC">
            <w:pPr>
              <w:spacing w:before="40" w:after="40"/>
              <w:jc w:val="right"/>
              <w:rPr>
                <w:b/>
                <w:bCs/>
                <w:color w:val="000000"/>
                <w:sz w:val="17"/>
                <w:szCs w:val="17"/>
              </w:rPr>
            </w:pPr>
            <w:r w:rsidRPr="007A3BB2">
              <w:rPr>
                <w:sz w:val="16"/>
                <w:szCs w:val="16"/>
              </w:rPr>
              <w:t>470.3</w:t>
            </w:r>
          </w:p>
        </w:tc>
        <w:tc>
          <w:tcPr>
            <w:tcW w:w="252" w:type="dxa"/>
            <w:gridSpan w:val="2"/>
          </w:tcPr>
          <w:p w14:paraId="0866EAEA" w14:textId="77777777" w:rsidR="00CE09BC" w:rsidRPr="007766C5" w:rsidRDefault="00CE09BC" w:rsidP="00CE09BC">
            <w:pPr>
              <w:spacing w:before="40" w:after="40"/>
              <w:rPr>
                <w:b/>
                <w:bCs/>
                <w:color w:val="000000"/>
                <w:sz w:val="17"/>
                <w:szCs w:val="17"/>
              </w:rPr>
            </w:pPr>
          </w:p>
        </w:tc>
        <w:tc>
          <w:tcPr>
            <w:tcW w:w="924" w:type="dxa"/>
          </w:tcPr>
          <w:p w14:paraId="6F4EDADD" w14:textId="77777777" w:rsidR="00CE09BC" w:rsidRPr="007766C5" w:rsidRDefault="00CE09BC" w:rsidP="00CE09BC">
            <w:pPr>
              <w:spacing w:before="40" w:after="40"/>
              <w:jc w:val="right"/>
              <w:rPr>
                <w:b/>
                <w:bCs/>
                <w:color w:val="000000"/>
                <w:sz w:val="17"/>
                <w:szCs w:val="17"/>
              </w:rPr>
            </w:pPr>
            <w:r w:rsidRPr="007A3BB2">
              <w:rPr>
                <w:sz w:val="16"/>
                <w:szCs w:val="16"/>
              </w:rPr>
              <w:t>649.5</w:t>
            </w:r>
          </w:p>
        </w:tc>
        <w:tc>
          <w:tcPr>
            <w:tcW w:w="242" w:type="dxa"/>
          </w:tcPr>
          <w:p w14:paraId="3F2F318B" w14:textId="77777777" w:rsidR="00CE09BC" w:rsidRPr="007766C5" w:rsidRDefault="00CE09BC" w:rsidP="00CE09BC">
            <w:pPr>
              <w:spacing w:before="40" w:after="40"/>
              <w:rPr>
                <w:b/>
                <w:bCs/>
                <w:color w:val="000000"/>
                <w:sz w:val="17"/>
                <w:szCs w:val="17"/>
              </w:rPr>
            </w:pPr>
          </w:p>
        </w:tc>
        <w:tc>
          <w:tcPr>
            <w:tcW w:w="924" w:type="dxa"/>
          </w:tcPr>
          <w:p w14:paraId="108C72A6" w14:textId="77777777" w:rsidR="00CE09BC" w:rsidRPr="007766C5" w:rsidRDefault="00CE09BC" w:rsidP="00CE09BC">
            <w:pPr>
              <w:spacing w:before="40" w:after="40"/>
              <w:jc w:val="right"/>
              <w:rPr>
                <w:b/>
                <w:bCs/>
                <w:color w:val="000000"/>
                <w:sz w:val="17"/>
                <w:szCs w:val="17"/>
              </w:rPr>
            </w:pPr>
            <w:r w:rsidRPr="007A3BB2">
              <w:rPr>
                <w:sz w:val="16"/>
                <w:szCs w:val="16"/>
              </w:rPr>
              <w:t>732.5</w:t>
            </w:r>
          </w:p>
        </w:tc>
        <w:tc>
          <w:tcPr>
            <w:tcW w:w="242" w:type="dxa"/>
            <w:vAlign w:val="bottom"/>
          </w:tcPr>
          <w:p w14:paraId="7716F2EA" w14:textId="77777777" w:rsidR="00CE09BC" w:rsidRPr="007766C5" w:rsidRDefault="00CE09BC" w:rsidP="00CE09BC">
            <w:pPr>
              <w:spacing w:before="40" w:after="40"/>
              <w:rPr>
                <w:b/>
                <w:bCs/>
                <w:sz w:val="17"/>
                <w:szCs w:val="17"/>
              </w:rPr>
            </w:pPr>
          </w:p>
        </w:tc>
        <w:tc>
          <w:tcPr>
            <w:tcW w:w="924" w:type="dxa"/>
            <w:vAlign w:val="bottom"/>
          </w:tcPr>
          <w:p w14:paraId="4671E615" w14:textId="77777777" w:rsidR="00CE09BC" w:rsidRPr="007766C5" w:rsidRDefault="00CE09BC" w:rsidP="00CE09BC">
            <w:pPr>
              <w:spacing w:before="40" w:after="40"/>
              <w:jc w:val="right"/>
              <w:rPr>
                <w:b/>
                <w:bCs/>
                <w:sz w:val="17"/>
                <w:szCs w:val="17"/>
              </w:rPr>
            </w:pPr>
            <w:r w:rsidRPr="007A3BB2">
              <w:rPr>
                <w:sz w:val="16"/>
                <w:szCs w:val="16"/>
              </w:rPr>
              <w:t>551.6</w:t>
            </w:r>
          </w:p>
        </w:tc>
        <w:tc>
          <w:tcPr>
            <w:tcW w:w="227" w:type="dxa"/>
            <w:vAlign w:val="bottom"/>
          </w:tcPr>
          <w:p w14:paraId="1A947CD6" w14:textId="77777777" w:rsidR="00CE09BC" w:rsidRPr="007766C5" w:rsidRDefault="00CE09BC" w:rsidP="00CE09BC">
            <w:pPr>
              <w:spacing w:before="40" w:after="40"/>
              <w:rPr>
                <w:b/>
                <w:bCs/>
                <w:sz w:val="17"/>
                <w:szCs w:val="17"/>
              </w:rPr>
            </w:pPr>
          </w:p>
        </w:tc>
        <w:tc>
          <w:tcPr>
            <w:tcW w:w="939" w:type="dxa"/>
            <w:vAlign w:val="bottom"/>
          </w:tcPr>
          <w:p w14:paraId="4D85E2FA" w14:textId="77777777" w:rsidR="00CE09BC" w:rsidRPr="007766C5" w:rsidRDefault="00CE09BC" w:rsidP="00CE09BC">
            <w:pPr>
              <w:spacing w:before="40" w:after="40"/>
              <w:jc w:val="right"/>
              <w:rPr>
                <w:b/>
                <w:bCs/>
                <w:sz w:val="17"/>
                <w:szCs w:val="17"/>
              </w:rPr>
            </w:pPr>
            <w:r w:rsidRPr="007A3BB2">
              <w:rPr>
                <w:sz w:val="16"/>
                <w:szCs w:val="16"/>
              </w:rPr>
              <w:t>613.3</w:t>
            </w:r>
          </w:p>
        </w:tc>
        <w:tc>
          <w:tcPr>
            <w:tcW w:w="266" w:type="dxa"/>
          </w:tcPr>
          <w:p w14:paraId="2461645E" w14:textId="77777777" w:rsidR="00CE09BC" w:rsidRPr="000D2863" w:rsidRDefault="00CE09BC" w:rsidP="00CE09BC">
            <w:pPr>
              <w:spacing w:before="40" w:after="40"/>
              <w:rPr>
                <w:b/>
                <w:bCs/>
                <w:sz w:val="17"/>
                <w:szCs w:val="17"/>
              </w:rPr>
            </w:pPr>
          </w:p>
        </w:tc>
      </w:tr>
      <w:tr w:rsidR="00CE09BC" w:rsidRPr="00E834EF" w14:paraId="06898723" w14:textId="77777777" w:rsidTr="008C57E0">
        <w:tc>
          <w:tcPr>
            <w:tcW w:w="3254" w:type="dxa"/>
          </w:tcPr>
          <w:p w14:paraId="040C51C1" w14:textId="77777777" w:rsidR="00CE09BC" w:rsidRDefault="00CE09BC" w:rsidP="00CE09BC">
            <w:pPr>
              <w:tabs>
                <w:tab w:val="right" w:leader="dot" w:pos="3255"/>
              </w:tabs>
              <w:bidi/>
              <w:spacing w:before="40" w:after="40"/>
              <w:rPr>
                <w:b/>
                <w:bCs/>
                <w:sz w:val="17"/>
                <w:szCs w:val="17"/>
                <w:u w:val="single"/>
              </w:rPr>
            </w:pPr>
          </w:p>
        </w:tc>
        <w:tc>
          <w:tcPr>
            <w:tcW w:w="242" w:type="dxa"/>
            <w:vAlign w:val="bottom"/>
          </w:tcPr>
          <w:p w14:paraId="67A907DE" w14:textId="77777777" w:rsidR="00CE09BC" w:rsidRPr="00E834EF" w:rsidRDefault="00CE09BC" w:rsidP="00CE09BC">
            <w:pPr>
              <w:spacing w:before="40" w:after="40"/>
              <w:rPr>
                <w:sz w:val="17"/>
                <w:szCs w:val="17"/>
              </w:rPr>
            </w:pPr>
          </w:p>
        </w:tc>
        <w:tc>
          <w:tcPr>
            <w:tcW w:w="913" w:type="dxa"/>
          </w:tcPr>
          <w:p w14:paraId="5A9FB6AC" w14:textId="77777777" w:rsidR="00CE09BC" w:rsidRPr="007766C5" w:rsidRDefault="00CE09BC" w:rsidP="00CE09BC">
            <w:pPr>
              <w:spacing w:before="40" w:after="40"/>
              <w:jc w:val="right"/>
              <w:rPr>
                <w:b/>
                <w:bCs/>
                <w:sz w:val="17"/>
                <w:szCs w:val="17"/>
              </w:rPr>
            </w:pPr>
          </w:p>
        </w:tc>
        <w:tc>
          <w:tcPr>
            <w:tcW w:w="252" w:type="dxa"/>
            <w:gridSpan w:val="2"/>
          </w:tcPr>
          <w:p w14:paraId="3C2FDB52" w14:textId="77777777" w:rsidR="00CE09BC" w:rsidRPr="007766C5" w:rsidRDefault="00CE09BC" w:rsidP="00CE09BC">
            <w:pPr>
              <w:spacing w:before="40" w:after="40"/>
              <w:rPr>
                <w:b/>
                <w:bCs/>
                <w:color w:val="000000"/>
                <w:sz w:val="17"/>
                <w:szCs w:val="17"/>
              </w:rPr>
            </w:pPr>
          </w:p>
        </w:tc>
        <w:tc>
          <w:tcPr>
            <w:tcW w:w="924" w:type="dxa"/>
          </w:tcPr>
          <w:p w14:paraId="12FDB5C7" w14:textId="77777777" w:rsidR="00CE09BC" w:rsidRPr="007766C5" w:rsidRDefault="00CE09BC" w:rsidP="00CE09BC">
            <w:pPr>
              <w:spacing w:before="40" w:after="40"/>
              <w:jc w:val="right"/>
              <w:rPr>
                <w:b/>
                <w:bCs/>
                <w:sz w:val="17"/>
                <w:szCs w:val="17"/>
              </w:rPr>
            </w:pPr>
          </w:p>
        </w:tc>
        <w:tc>
          <w:tcPr>
            <w:tcW w:w="242" w:type="dxa"/>
          </w:tcPr>
          <w:p w14:paraId="2A3356BB" w14:textId="77777777" w:rsidR="00CE09BC" w:rsidRPr="007766C5" w:rsidRDefault="00CE09BC" w:rsidP="00CE09BC">
            <w:pPr>
              <w:spacing w:before="40" w:after="40"/>
              <w:rPr>
                <w:b/>
                <w:bCs/>
                <w:color w:val="000000"/>
                <w:sz w:val="17"/>
                <w:szCs w:val="17"/>
              </w:rPr>
            </w:pPr>
          </w:p>
        </w:tc>
        <w:tc>
          <w:tcPr>
            <w:tcW w:w="924" w:type="dxa"/>
          </w:tcPr>
          <w:p w14:paraId="0E9309B2" w14:textId="77777777" w:rsidR="00CE09BC" w:rsidRPr="007766C5" w:rsidRDefault="00CE09BC" w:rsidP="00CE09BC">
            <w:pPr>
              <w:spacing w:before="40" w:after="40"/>
              <w:jc w:val="right"/>
              <w:rPr>
                <w:b/>
                <w:bCs/>
                <w:sz w:val="17"/>
                <w:szCs w:val="17"/>
              </w:rPr>
            </w:pPr>
          </w:p>
        </w:tc>
        <w:tc>
          <w:tcPr>
            <w:tcW w:w="242" w:type="dxa"/>
            <w:vAlign w:val="bottom"/>
          </w:tcPr>
          <w:p w14:paraId="39E7A943" w14:textId="77777777" w:rsidR="00CE09BC" w:rsidRPr="007766C5" w:rsidRDefault="00CE09BC" w:rsidP="00CE09BC">
            <w:pPr>
              <w:spacing w:before="40" w:after="40"/>
              <w:rPr>
                <w:b/>
                <w:bCs/>
                <w:sz w:val="17"/>
                <w:szCs w:val="17"/>
              </w:rPr>
            </w:pPr>
          </w:p>
        </w:tc>
        <w:tc>
          <w:tcPr>
            <w:tcW w:w="924" w:type="dxa"/>
            <w:vAlign w:val="bottom"/>
          </w:tcPr>
          <w:p w14:paraId="075540A4" w14:textId="77777777" w:rsidR="00CE09BC" w:rsidRPr="007766C5" w:rsidRDefault="00CE09BC" w:rsidP="00CE09BC">
            <w:pPr>
              <w:spacing w:before="40" w:after="40"/>
              <w:jc w:val="right"/>
              <w:rPr>
                <w:b/>
                <w:bCs/>
                <w:sz w:val="17"/>
                <w:szCs w:val="17"/>
              </w:rPr>
            </w:pPr>
          </w:p>
        </w:tc>
        <w:tc>
          <w:tcPr>
            <w:tcW w:w="227" w:type="dxa"/>
            <w:vAlign w:val="bottom"/>
          </w:tcPr>
          <w:p w14:paraId="6C9D8A20" w14:textId="77777777" w:rsidR="00CE09BC" w:rsidRPr="007766C5" w:rsidRDefault="00CE09BC" w:rsidP="00CE09BC">
            <w:pPr>
              <w:spacing w:before="40" w:after="40"/>
              <w:rPr>
                <w:b/>
                <w:bCs/>
                <w:sz w:val="17"/>
                <w:szCs w:val="17"/>
              </w:rPr>
            </w:pPr>
          </w:p>
        </w:tc>
        <w:tc>
          <w:tcPr>
            <w:tcW w:w="939" w:type="dxa"/>
            <w:vAlign w:val="bottom"/>
          </w:tcPr>
          <w:p w14:paraId="72C8D074" w14:textId="77777777" w:rsidR="00CE09BC" w:rsidRPr="007766C5" w:rsidRDefault="00CE09BC" w:rsidP="00CE09BC">
            <w:pPr>
              <w:spacing w:before="40" w:after="40"/>
              <w:jc w:val="right"/>
              <w:rPr>
                <w:b/>
                <w:bCs/>
                <w:sz w:val="17"/>
                <w:szCs w:val="17"/>
              </w:rPr>
            </w:pPr>
          </w:p>
        </w:tc>
        <w:tc>
          <w:tcPr>
            <w:tcW w:w="266" w:type="dxa"/>
          </w:tcPr>
          <w:p w14:paraId="1CF1E276" w14:textId="77777777" w:rsidR="00CE09BC" w:rsidRPr="000D2863" w:rsidRDefault="00CE09BC" w:rsidP="00CE09BC">
            <w:pPr>
              <w:spacing w:before="40" w:after="40"/>
              <w:rPr>
                <w:b/>
                <w:bCs/>
                <w:sz w:val="17"/>
                <w:szCs w:val="17"/>
              </w:rPr>
            </w:pPr>
          </w:p>
        </w:tc>
      </w:tr>
      <w:tr w:rsidR="00CE09BC" w:rsidRPr="00E834EF" w14:paraId="4F1E24E5" w14:textId="77777777" w:rsidTr="008C57E0">
        <w:tc>
          <w:tcPr>
            <w:tcW w:w="3254" w:type="dxa"/>
            <w:vAlign w:val="bottom"/>
          </w:tcPr>
          <w:p w14:paraId="6511FB04" w14:textId="77777777" w:rsidR="00CE09BC" w:rsidRDefault="00CE09BC" w:rsidP="00CE09BC">
            <w:pPr>
              <w:tabs>
                <w:tab w:val="right" w:leader="dot" w:pos="3255"/>
              </w:tabs>
              <w:bidi/>
              <w:spacing w:before="40" w:after="40"/>
              <w:ind w:left="12"/>
              <w:rPr>
                <w:b/>
                <w:bCs/>
                <w:color w:val="000000"/>
                <w:sz w:val="17"/>
                <w:szCs w:val="17"/>
              </w:rPr>
            </w:pPr>
            <w:r>
              <w:rPr>
                <w:rFonts w:hint="cs"/>
                <w:b/>
                <w:bCs/>
                <w:color w:val="000000"/>
                <w:sz w:val="17"/>
                <w:szCs w:val="17"/>
                <w:rtl/>
              </w:rPr>
              <w:t>إجمالي الأرباح</w:t>
            </w:r>
            <w:r w:rsidRPr="0054596C">
              <w:rPr>
                <w:sz w:val="17"/>
              </w:rPr>
              <w:tab/>
            </w:r>
          </w:p>
        </w:tc>
        <w:tc>
          <w:tcPr>
            <w:tcW w:w="242" w:type="dxa"/>
            <w:vAlign w:val="bottom"/>
          </w:tcPr>
          <w:p w14:paraId="7DD7B638" w14:textId="77777777" w:rsidR="00CE09BC" w:rsidRPr="00E834EF" w:rsidRDefault="00CE09BC" w:rsidP="00CE09BC">
            <w:pPr>
              <w:spacing w:before="40" w:after="40"/>
              <w:rPr>
                <w:sz w:val="17"/>
                <w:szCs w:val="17"/>
              </w:rPr>
            </w:pPr>
          </w:p>
        </w:tc>
        <w:tc>
          <w:tcPr>
            <w:tcW w:w="913" w:type="dxa"/>
            <w:vAlign w:val="bottom"/>
          </w:tcPr>
          <w:p w14:paraId="57768684" w14:textId="77777777" w:rsidR="00CE09BC" w:rsidRPr="007766C5" w:rsidRDefault="00CE09BC" w:rsidP="00CE09BC">
            <w:pPr>
              <w:spacing w:before="40" w:after="40"/>
              <w:jc w:val="right"/>
              <w:rPr>
                <w:color w:val="000000"/>
                <w:sz w:val="17"/>
                <w:szCs w:val="17"/>
              </w:rPr>
            </w:pPr>
            <w:r w:rsidRPr="00B02BA3">
              <w:rPr>
                <w:sz w:val="17"/>
              </w:rPr>
              <w:t>137</w:t>
            </w:r>
            <w:r>
              <w:rPr>
                <w:sz w:val="17"/>
              </w:rPr>
              <w:t>.1</w:t>
            </w:r>
          </w:p>
        </w:tc>
        <w:tc>
          <w:tcPr>
            <w:tcW w:w="252" w:type="dxa"/>
            <w:gridSpan w:val="2"/>
            <w:vAlign w:val="bottom"/>
          </w:tcPr>
          <w:p w14:paraId="79135FAC" w14:textId="77777777" w:rsidR="00CE09BC" w:rsidRPr="007766C5" w:rsidRDefault="00CE09BC" w:rsidP="00CE09BC">
            <w:pPr>
              <w:spacing w:before="40" w:after="40"/>
              <w:rPr>
                <w:color w:val="000000"/>
                <w:sz w:val="17"/>
                <w:szCs w:val="17"/>
              </w:rPr>
            </w:pPr>
          </w:p>
        </w:tc>
        <w:tc>
          <w:tcPr>
            <w:tcW w:w="924" w:type="dxa"/>
            <w:vAlign w:val="bottom"/>
          </w:tcPr>
          <w:p w14:paraId="774A54FF" w14:textId="77777777" w:rsidR="00CE09BC" w:rsidRPr="007766C5" w:rsidRDefault="00CE09BC" w:rsidP="00CE09BC">
            <w:pPr>
              <w:spacing w:before="40" w:after="40"/>
              <w:jc w:val="right"/>
              <w:rPr>
                <w:color w:val="000000"/>
                <w:sz w:val="17"/>
                <w:szCs w:val="17"/>
              </w:rPr>
            </w:pPr>
            <w:r w:rsidRPr="00B02BA3">
              <w:rPr>
                <w:sz w:val="17"/>
              </w:rPr>
              <w:t>233</w:t>
            </w:r>
            <w:r>
              <w:rPr>
                <w:sz w:val="17"/>
              </w:rPr>
              <w:t>.6</w:t>
            </w:r>
          </w:p>
        </w:tc>
        <w:tc>
          <w:tcPr>
            <w:tcW w:w="242" w:type="dxa"/>
            <w:vAlign w:val="bottom"/>
          </w:tcPr>
          <w:p w14:paraId="79ABC33A" w14:textId="77777777" w:rsidR="00CE09BC" w:rsidRPr="007766C5" w:rsidRDefault="00CE09BC" w:rsidP="00CE09BC">
            <w:pPr>
              <w:spacing w:before="40" w:after="40"/>
              <w:rPr>
                <w:color w:val="000000"/>
                <w:sz w:val="17"/>
                <w:szCs w:val="17"/>
              </w:rPr>
            </w:pPr>
          </w:p>
        </w:tc>
        <w:tc>
          <w:tcPr>
            <w:tcW w:w="924" w:type="dxa"/>
            <w:vAlign w:val="bottom"/>
          </w:tcPr>
          <w:p w14:paraId="4D6D8D5E" w14:textId="77777777" w:rsidR="00CE09BC" w:rsidRPr="007766C5" w:rsidRDefault="00CE09BC" w:rsidP="00CE09BC">
            <w:pPr>
              <w:spacing w:before="40" w:after="40"/>
              <w:jc w:val="right"/>
              <w:rPr>
                <w:color w:val="000000"/>
                <w:sz w:val="17"/>
                <w:szCs w:val="17"/>
              </w:rPr>
            </w:pPr>
            <w:r w:rsidRPr="00B02BA3">
              <w:rPr>
                <w:sz w:val="17"/>
              </w:rPr>
              <w:t>21</w:t>
            </w:r>
            <w:r>
              <w:rPr>
                <w:sz w:val="17"/>
              </w:rPr>
              <w:t>5.</w:t>
            </w:r>
            <w:r w:rsidR="00F51460">
              <w:rPr>
                <w:sz w:val="17"/>
              </w:rPr>
              <w:t>1</w:t>
            </w:r>
          </w:p>
        </w:tc>
        <w:tc>
          <w:tcPr>
            <w:tcW w:w="242" w:type="dxa"/>
            <w:vAlign w:val="bottom"/>
          </w:tcPr>
          <w:p w14:paraId="7ED52E61" w14:textId="77777777" w:rsidR="00CE09BC" w:rsidRPr="007766C5" w:rsidRDefault="00CE09BC" w:rsidP="00CE09BC">
            <w:pPr>
              <w:spacing w:before="40" w:after="40"/>
              <w:rPr>
                <w:sz w:val="17"/>
                <w:szCs w:val="17"/>
              </w:rPr>
            </w:pPr>
          </w:p>
        </w:tc>
        <w:tc>
          <w:tcPr>
            <w:tcW w:w="924" w:type="dxa"/>
          </w:tcPr>
          <w:p w14:paraId="53613A45" w14:textId="77777777" w:rsidR="00CE09BC" w:rsidRPr="007766C5" w:rsidRDefault="00F51460" w:rsidP="00CE09BC">
            <w:pPr>
              <w:spacing w:before="40" w:after="40"/>
              <w:jc w:val="right"/>
              <w:rPr>
                <w:sz w:val="17"/>
                <w:szCs w:val="17"/>
              </w:rPr>
            </w:pPr>
            <w:r>
              <w:rPr>
                <w:sz w:val="17"/>
              </w:rPr>
              <w:t>173.9</w:t>
            </w:r>
          </w:p>
        </w:tc>
        <w:tc>
          <w:tcPr>
            <w:tcW w:w="227" w:type="dxa"/>
            <w:vAlign w:val="bottom"/>
          </w:tcPr>
          <w:p w14:paraId="54054CCC" w14:textId="77777777" w:rsidR="00CE09BC" w:rsidRPr="007766C5" w:rsidRDefault="00CE09BC" w:rsidP="00CE09BC">
            <w:pPr>
              <w:spacing w:before="40" w:after="40"/>
              <w:rPr>
                <w:sz w:val="17"/>
                <w:szCs w:val="17"/>
              </w:rPr>
            </w:pPr>
          </w:p>
        </w:tc>
        <w:tc>
          <w:tcPr>
            <w:tcW w:w="939" w:type="dxa"/>
          </w:tcPr>
          <w:p w14:paraId="6A5FFEE1" w14:textId="77777777" w:rsidR="00CE09BC" w:rsidRPr="007766C5" w:rsidRDefault="00CE09BC" w:rsidP="00CE09BC">
            <w:pPr>
              <w:spacing w:before="40" w:after="40"/>
              <w:jc w:val="right"/>
              <w:rPr>
                <w:sz w:val="17"/>
                <w:szCs w:val="17"/>
              </w:rPr>
            </w:pPr>
            <w:r>
              <w:rPr>
                <w:sz w:val="17"/>
              </w:rPr>
              <w:t>216.1</w:t>
            </w:r>
          </w:p>
        </w:tc>
        <w:tc>
          <w:tcPr>
            <w:tcW w:w="266" w:type="dxa"/>
            <w:vAlign w:val="bottom"/>
          </w:tcPr>
          <w:p w14:paraId="7FC1F698" w14:textId="77777777" w:rsidR="00CE09BC" w:rsidRPr="000D2863" w:rsidRDefault="00CE09BC" w:rsidP="00CE09BC">
            <w:pPr>
              <w:spacing w:before="40" w:after="40"/>
              <w:rPr>
                <w:sz w:val="17"/>
                <w:szCs w:val="17"/>
              </w:rPr>
            </w:pPr>
          </w:p>
        </w:tc>
      </w:tr>
      <w:tr w:rsidR="00CE09BC" w:rsidRPr="00E834EF" w14:paraId="0DD856D3" w14:textId="77777777" w:rsidTr="008C57E0">
        <w:tc>
          <w:tcPr>
            <w:tcW w:w="3254" w:type="dxa"/>
            <w:vAlign w:val="bottom"/>
          </w:tcPr>
          <w:p w14:paraId="527A52D0" w14:textId="77777777" w:rsidR="00CE09BC" w:rsidRPr="00E754AA" w:rsidRDefault="00CE09BC" w:rsidP="00CE09BC">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39C7C570" w14:textId="77777777" w:rsidR="00CE09BC" w:rsidRPr="00E754AA" w:rsidRDefault="00CE09BC" w:rsidP="00CE09BC">
            <w:pPr>
              <w:spacing w:before="40" w:after="40"/>
              <w:rPr>
                <w:sz w:val="17"/>
                <w:szCs w:val="17"/>
              </w:rPr>
            </w:pPr>
          </w:p>
        </w:tc>
        <w:tc>
          <w:tcPr>
            <w:tcW w:w="913" w:type="dxa"/>
            <w:vAlign w:val="bottom"/>
          </w:tcPr>
          <w:p w14:paraId="3FEE254A" w14:textId="77777777" w:rsidR="00CE09BC" w:rsidRPr="00E754AA" w:rsidRDefault="00CE09BC" w:rsidP="00CE09BC">
            <w:pPr>
              <w:spacing w:before="40" w:after="40"/>
              <w:jc w:val="right"/>
              <w:rPr>
                <w:color w:val="000000"/>
                <w:sz w:val="17"/>
                <w:szCs w:val="17"/>
              </w:rPr>
            </w:pPr>
            <w:r w:rsidRPr="00B02BA3">
              <w:rPr>
                <w:sz w:val="17"/>
              </w:rPr>
              <w:t>—</w:t>
            </w:r>
          </w:p>
        </w:tc>
        <w:tc>
          <w:tcPr>
            <w:tcW w:w="252" w:type="dxa"/>
            <w:gridSpan w:val="2"/>
            <w:vAlign w:val="bottom"/>
          </w:tcPr>
          <w:p w14:paraId="2E196C4A" w14:textId="77777777" w:rsidR="00CE09BC" w:rsidRPr="00E754AA" w:rsidRDefault="00E011CB" w:rsidP="00CE09BC">
            <w:pPr>
              <w:spacing w:before="40" w:after="40"/>
              <w:rPr>
                <w:color w:val="000000"/>
                <w:sz w:val="17"/>
                <w:szCs w:val="17"/>
              </w:rPr>
            </w:pPr>
            <w:r>
              <w:rPr>
                <w:color w:val="000000"/>
                <w:sz w:val="17"/>
                <w:szCs w:val="17"/>
              </w:rPr>
              <w:t>)</w:t>
            </w:r>
          </w:p>
        </w:tc>
        <w:tc>
          <w:tcPr>
            <w:tcW w:w="924" w:type="dxa"/>
            <w:vAlign w:val="bottom"/>
          </w:tcPr>
          <w:p w14:paraId="205C15A5" w14:textId="77777777" w:rsidR="00CE09BC" w:rsidRPr="00E754AA" w:rsidRDefault="00CE09BC" w:rsidP="00CE09BC">
            <w:pPr>
              <w:spacing w:before="40" w:after="40"/>
              <w:jc w:val="right"/>
              <w:rPr>
                <w:color w:val="000000"/>
                <w:sz w:val="17"/>
                <w:szCs w:val="17"/>
              </w:rPr>
            </w:pPr>
            <w:r w:rsidRPr="00B02BA3">
              <w:rPr>
                <w:sz w:val="17"/>
              </w:rPr>
              <w:t>(1</w:t>
            </w:r>
            <w:r>
              <w:rPr>
                <w:sz w:val="17"/>
              </w:rPr>
              <w:t>.9</w:t>
            </w:r>
          </w:p>
        </w:tc>
        <w:tc>
          <w:tcPr>
            <w:tcW w:w="242" w:type="dxa"/>
            <w:vAlign w:val="bottom"/>
          </w:tcPr>
          <w:p w14:paraId="07B72EB7" w14:textId="77777777" w:rsidR="00CE09BC" w:rsidRPr="00E754AA" w:rsidRDefault="00CE09BC" w:rsidP="00CE09BC">
            <w:pPr>
              <w:spacing w:before="40" w:after="40"/>
              <w:rPr>
                <w:color w:val="000000"/>
                <w:sz w:val="17"/>
                <w:szCs w:val="17"/>
              </w:rPr>
            </w:pPr>
          </w:p>
        </w:tc>
        <w:tc>
          <w:tcPr>
            <w:tcW w:w="924" w:type="dxa"/>
            <w:vAlign w:val="bottom"/>
          </w:tcPr>
          <w:p w14:paraId="1987D8CE" w14:textId="77777777" w:rsidR="00CE09BC" w:rsidRPr="00E754AA" w:rsidRDefault="00CE09BC" w:rsidP="00CE09BC">
            <w:pPr>
              <w:spacing w:before="40" w:after="40"/>
              <w:jc w:val="right"/>
              <w:rPr>
                <w:color w:val="000000"/>
                <w:sz w:val="17"/>
                <w:szCs w:val="17"/>
              </w:rPr>
            </w:pPr>
            <w:r w:rsidRPr="00B02BA3">
              <w:rPr>
                <w:sz w:val="17"/>
              </w:rPr>
              <w:t>46</w:t>
            </w:r>
            <w:r>
              <w:rPr>
                <w:sz w:val="17"/>
              </w:rPr>
              <w:t>.</w:t>
            </w:r>
            <w:r w:rsidR="00F51460">
              <w:rPr>
                <w:sz w:val="17"/>
              </w:rPr>
              <w:t>9</w:t>
            </w:r>
          </w:p>
        </w:tc>
        <w:tc>
          <w:tcPr>
            <w:tcW w:w="242" w:type="dxa"/>
            <w:vAlign w:val="bottom"/>
          </w:tcPr>
          <w:p w14:paraId="0B9524C4" w14:textId="77777777" w:rsidR="00CE09BC" w:rsidRPr="00E754AA" w:rsidRDefault="00CE09BC" w:rsidP="00CE09BC">
            <w:pPr>
              <w:spacing w:before="40" w:after="40"/>
              <w:rPr>
                <w:sz w:val="17"/>
                <w:szCs w:val="17"/>
              </w:rPr>
            </w:pPr>
          </w:p>
        </w:tc>
        <w:tc>
          <w:tcPr>
            <w:tcW w:w="924" w:type="dxa"/>
            <w:vAlign w:val="bottom"/>
          </w:tcPr>
          <w:p w14:paraId="73B02314" w14:textId="77777777" w:rsidR="00CE09BC" w:rsidRPr="00E754AA" w:rsidRDefault="00CE09BC" w:rsidP="00CE09BC">
            <w:pPr>
              <w:spacing w:before="40" w:after="40"/>
              <w:jc w:val="right"/>
              <w:rPr>
                <w:sz w:val="17"/>
                <w:szCs w:val="17"/>
              </w:rPr>
            </w:pPr>
            <w:r w:rsidRPr="00B02BA3">
              <w:rPr>
                <w:sz w:val="17"/>
              </w:rPr>
              <w:t>—</w:t>
            </w:r>
          </w:p>
        </w:tc>
        <w:tc>
          <w:tcPr>
            <w:tcW w:w="227" w:type="dxa"/>
            <w:vAlign w:val="bottom"/>
          </w:tcPr>
          <w:p w14:paraId="473EB917" w14:textId="77777777" w:rsidR="00CE09BC" w:rsidRPr="00E754AA" w:rsidRDefault="00CE09BC" w:rsidP="00CE09BC">
            <w:pPr>
              <w:spacing w:before="40" w:after="40"/>
              <w:rPr>
                <w:sz w:val="17"/>
                <w:szCs w:val="17"/>
              </w:rPr>
            </w:pPr>
          </w:p>
        </w:tc>
        <w:tc>
          <w:tcPr>
            <w:tcW w:w="939" w:type="dxa"/>
            <w:vAlign w:val="bottom"/>
          </w:tcPr>
          <w:p w14:paraId="4C4F86E3" w14:textId="77777777" w:rsidR="00CE09BC" w:rsidRPr="00E754AA" w:rsidRDefault="00CE09BC" w:rsidP="00CE09BC">
            <w:pPr>
              <w:spacing w:before="40" w:after="40"/>
              <w:jc w:val="right"/>
              <w:rPr>
                <w:sz w:val="17"/>
                <w:szCs w:val="17"/>
              </w:rPr>
            </w:pPr>
            <w:r w:rsidRPr="00B02BA3">
              <w:rPr>
                <w:sz w:val="17"/>
              </w:rPr>
              <w:t>—</w:t>
            </w:r>
          </w:p>
        </w:tc>
        <w:tc>
          <w:tcPr>
            <w:tcW w:w="266" w:type="dxa"/>
            <w:vAlign w:val="bottom"/>
          </w:tcPr>
          <w:p w14:paraId="21F6A302" w14:textId="77777777" w:rsidR="00CE09BC" w:rsidRPr="000D2863" w:rsidRDefault="00CE09BC" w:rsidP="00CE09BC">
            <w:pPr>
              <w:spacing w:before="40" w:after="40"/>
              <w:rPr>
                <w:sz w:val="17"/>
                <w:szCs w:val="17"/>
              </w:rPr>
            </w:pPr>
          </w:p>
        </w:tc>
      </w:tr>
      <w:tr w:rsidR="00CE09BC" w:rsidRPr="00E834EF" w14:paraId="67661642" w14:textId="77777777" w:rsidTr="008C57E0">
        <w:tc>
          <w:tcPr>
            <w:tcW w:w="3254" w:type="dxa"/>
            <w:vAlign w:val="center"/>
          </w:tcPr>
          <w:p w14:paraId="3F87A0FD" w14:textId="77777777" w:rsidR="00CE09BC" w:rsidRPr="00E754AA" w:rsidRDefault="008D70E0" w:rsidP="00CE09BC">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CE09BC" w:rsidRPr="0054596C">
              <w:rPr>
                <w:sz w:val="17"/>
              </w:rPr>
              <w:tab/>
            </w:r>
          </w:p>
        </w:tc>
        <w:tc>
          <w:tcPr>
            <w:tcW w:w="242" w:type="dxa"/>
            <w:vAlign w:val="bottom"/>
          </w:tcPr>
          <w:p w14:paraId="5137D690" w14:textId="77777777" w:rsidR="00CE09BC" w:rsidRPr="00E834EF" w:rsidRDefault="00CE09BC" w:rsidP="00CE09BC">
            <w:pPr>
              <w:spacing w:before="40" w:after="40"/>
              <w:rPr>
                <w:sz w:val="17"/>
                <w:szCs w:val="17"/>
              </w:rPr>
            </w:pPr>
          </w:p>
        </w:tc>
        <w:tc>
          <w:tcPr>
            <w:tcW w:w="913" w:type="dxa"/>
            <w:vAlign w:val="bottom"/>
          </w:tcPr>
          <w:p w14:paraId="662F252E" w14:textId="77777777" w:rsidR="00CE09BC" w:rsidRPr="00E754AA" w:rsidRDefault="00CE09BC" w:rsidP="00CE09BC">
            <w:pPr>
              <w:spacing w:before="40" w:after="40"/>
              <w:jc w:val="right"/>
              <w:rPr>
                <w:color w:val="000000"/>
                <w:sz w:val="17"/>
                <w:szCs w:val="17"/>
              </w:rPr>
            </w:pPr>
            <w:r>
              <w:rPr>
                <w:sz w:val="17"/>
              </w:rPr>
              <w:t>0.8</w:t>
            </w:r>
          </w:p>
        </w:tc>
        <w:tc>
          <w:tcPr>
            <w:tcW w:w="252" w:type="dxa"/>
            <w:gridSpan w:val="2"/>
            <w:vAlign w:val="bottom"/>
          </w:tcPr>
          <w:p w14:paraId="39B251DE" w14:textId="77777777" w:rsidR="00CE09BC" w:rsidRPr="00E754AA" w:rsidRDefault="00CE09BC" w:rsidP="00CE09BC">
            <w:pPr>
              <w:spacing w:before="40" w:after="40"/>
              <w:rPr>
                <w:color w:val="000000"/>
                <w:sz w:val="17"/>
                <w:szCs w:val="17"/>
              </w:rPr>
            </w:pPr>
          </w:p>
        </w:tc>
        <w:tc>
          <w:tcPr>
            <w:tcW w:w="924" w:type="dxa"/>
            <w:vAlign w:val="bottom"/>
          </w:tcPr>
          <w:p w14:paraId="08FB8AAB" w14:textId="77777777" w:rsidR="00CE09BC" w:rsidRPr="00E754AA" w:rsidRDefault="00CE09BC" w:rsidP="00CE09BC">
            <w:pPr>
              <w:spacing w:before="40" w:after="40"/>
              <w:jc w:val="right"/>
              <w:rPr>
                <w:color w:val="000000"/>
                <w:sz w:val="17"/>
                <w:szCs w:val="17"/>
              </w:rPr>
            </w:pPr>
            <w:r w:rsidRPr="00B02BA3">
              <w:rPr>
                <w:sz w:val="17"/>
              </w:rPr>
              <w:t>1</w:t>
            </w:r>
            <w:r>
              <w:rPr>
                <w:sz w:val="17"/>
              </w:rPr>
              <w:t>.5</w:t>
            </w:r>
          </w:p>
        </w:tc>
        <w:tc>
          <w:tcPr>
            <w:tcW w:w="242" w:type="dxa"/>
            <w:vAlign w:val="bottom"/>
          </w:tcPr>
          <w:p w14:paraId="35036D81" w14:textId="77777777" w:rsidR="00CE09BC" w:rsidRPr="00E754AA" w:rsidRDefault="00CE09BC" w:rsidP="00CE09BC">
            <w:pPr>
              <w:spacing w:before="40" w:after="40"/>
              <w:rPr>
                <w:color w:val="000000"/>
                <w:sz w:val="17"/>
                <w:szCs w:val="17"/>
              </w:rPr>
            </w:pPr>
          </w:p>
        </w:tc>
        <w:tc>
          <w:tcPr>
            <w:tcW w:w="924" w:type="dxa"/>
            <w:vAlign w:val="bottom"/>
          </w:tcPr>
          <w:p w14:paraId="5F8CCE38" w14:textId="77777777" w:rsidR="00CE09BC" w:rsidRPr="00E754AA" w:rsidRDefault="00CE09BC" w:rsidP="00CE09BC">
            <w:pPr>
              <w:spacing w:before="40" w:after="40"/>
              <w:jc w:val="right"/>
              <w:rPr>
                <w:color w:val="000000"/>
                <w:sz w:val="17"/>
                <w:szCs w:val="17"/>
              </w:rPr>
            </w:pPr>
            <w:r w:rsidRPr="00B02BA3">
              <w:rPr>
                <w:sz w:val="17"/>
              </w:rPr>
              <w:t>19</w:t>
            </w:r>
            <w:r>
              <w:rPr>
                <w:sz w:val="17"/>
              </w:rPr>
              <w:t>.4</w:t>
            </w:r>
          </w:p>
        </w:tc>
        <w:tc>
          <w:tcPr>
            <w:tcW w:w="242" w:type="dxa"/>
            <w:vAlign w:val="bottom"/>
          </w:tcPr>
          <w:p w14:paraId="37D02AD0" w14:textId="77777777" w:rsidR="00CE09BC" w:rsidRPr="00E754AA" w:rsidRDefault="00CE09BC" w:rsidP="00CE09BC">
            <w:pPr>
              <w:spacing w:before="40" w:after="40"/>
              <w:rPr>
                <w:sz w:val="17"/>
                <w:szCs w:val="17"/>
              </w:rPr>
            </w:pPr>
          </w:p>
        </w:tc>
        <w:tc>
          <w:tcPr>
            <w:tcW w:w="924" w:type="dxa"/>
          </w:tcPr>
          <w:p w14:paraId="480739B1" w14:textId="77777777" w:rsidR="00CE09BC" w:rsidRPr="00E754AA" w:rsidRDefault="00CE09BC" w:rsidP="00CE09BC">
            <w:pPr>
              <w:spacing w:before="40" w:after="40"/>
              <w:jc w:val="right"/>
              <w:rPr>
                <w:sz w:val="17"/>
                <w:szCs w:val="17"/>
              </w:rPr>
            </w:pPr>
            <w:r>
              <w:rPr>
                <w:sz w:val="17"/>
              </w:rPr>
              <w:t>19.2</w:t>
            </w:r>
          </w:p>
        </w:tc>
        <w:tc>
          <w:tcPr>
            <w:tcW w:w="227" w:type="dxa"/>
            <w:vAlign w:val="bottom"/>
          </w:tcPr>
          <w:p w14:paraId="583D03C1" w14:textId="77777777" w:rsidR="00CE09BC" w:rsidRPr="00E754AA" w:rsidRDefault="00CE09BC" w:rsidP="00CE09BC">
            <w:pPr>
              <w:spacing w:before="40" w:after="40"/>
              <w:rPr>
                <w:sz w:val="17"/>
                <w:szCs w:val="17"/>
              </w:rPr>
            </w:pPr>
          </w:p>
        </w:tc>
        <w:tc>
          <w:tcPr>
            <w:tcW w:w="939" w:type="dxa"/>
          </w:tcPr>
          <w:p w14:paraId="37C5F5C1" w14:textId="77777777" w:rsidR="00CE09BC" w:rsidRPr="00E754AA" w:rsidRDefault="00CE09BC" w:rsidP="00CE09BC">
            <w:pPr>
              <w:spacing w:before="40" w:after="40"/>
              <w:jc w:val="right"/>
              <w:rPr>
                <w:sz w:val="17"/>
                <w:szCs w:val="17"/>
              </w:rPr>
            </w:pPr>
            <w:r>
              <w:rPr>
                <w:sz w:val="17"/>
              </w:rPr>
              <w:t>0.8</w:t>
            </w:r>
          </w:p>
        </w:tc>
        <w:tc>
          <w:tcPr>
            <w:tcW w:w="266" w:type="dxa"/>
            <w:vAlign w:val="bottom"/>
          </w:tcPr>
          <w:p w14:paraId="4071C382" w14:textId="77777777" w:rsidR="00CE09BC" w:rsidRPr="000D2863" w:rsidRDefault="00CE09BC" w:rsidP="00CE09BC">
            <w:pPr>
              <w:spacing w:before="40" w:after="40"/>
              <w:rPr>
                <w:sz w:val="17"/>
                <w:szCs w:val="17"/>
              </w:rPr>
            </w:pPr>
          </w:p>
        </w:tc>
      </w:tr>
      <w:tr w:rsidR="00CE09BC" w:rsidRPr="00E834EF" w14:paraId="1AE17E17" w14:textId="77777777" w:rsidTr="008C57E0">
        <w:tc>
          <w:tcPr>
            <w:tcW w:w="3254" w:type="dxa"/>
            <w:vAlign w:val="center"/>
          </w:tcPr>
          <w:p w14:paraId="5270DF7B" w14:textId="77777777" w:rsidR="00CE09BC" w:rsidRPr="00E754AA" w:rsidRDefault="00CE09BC" w:rsidP="00CE09BC">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4F3A550A" w14:textId="77777777" w:rsidR="00CE09BC" w:rsidRPr="00E834EF" w:rsidRDefault="00CE09BC" w:rsidP="00CE09BC">
            <w:pPr>
              <w:spacing w:before="40" w:after="40"/>
              <w:rPr>
                <w:sz w:val="17"/>
                <w:szCs w:val="17"/>
              </w:rPr>
            </w:pPr>
          </w:p>
        </w:tc>
        <w:tc>
          <w:tcPr>
            <w:tcW w:w="913" w:type="dxa"/>
            <w:vAlign w:val="bottom"/>
          </w:tcPr>
          <w:p w14:paraId="0BDD34EE" w14:textId="77777777" w:rsidR="00CE09BC" w:rsidRPr="00E754AA" w:rsidRDefault="00CE09BC" w:rsidP="00CE09BC">
            <w:pPr>
              <w:spacing w:before="40" w:after="40"/>
              <w:jc w:val="right"/>
              <w:rPr>
                <w:color w:val="000000"/>
                <w:sz w:val="17"/>
                <w:szCs w:val="17"/>
              </w:rPr>
            </w:pPr>
            <w:r w:rsidRPr="00B02BA3">
              <w:rPr>
                <w:sz w:val="17"/>
              </w:rPr>
              <w:t>—</w:t>
            </w:r>
          </w:p>
        </w:tc>
        <w:tc>
          <w:tcPr>
            <w:tcW w:w="252" w:type="dxa"/>
            <w:gridSpan w:val="2"/>
            <w:vAlign w:val="bottom"/>
          </w:tcPr>
          <w:p w14:paraId="40444F33" w14:textId="77777777" w:rsidR="00CE09BC" w:rsidRPr="00E754AA" w:rsidRDefault="00CE09BC" w:rsidP="00CE09BC">
            <w:pPr>
              <w:spacing w:before="40" w:after="40"/>
              <w:rPr>
                <w:color w:val="000000"/>
                <w:sz w:val="17"/>
                <w:szCs w:val="17"/>
              </w:rPr>
            </w:pPr>
          </w:p>
        </w:tc>
        <w:tc>
          <w:tcPr>
            <w:tcW w:w="924" w:type="dxa"/>
            <w:vAlign w:val="bottom"/>
          </w:tcPr>
          <w:p w14:paraId="179F2EF9" w14:textId="77777777" w:rsidR="00CE09BC" w:rsidRPr="00E754AA" w:rsidRDefault="00CE09BC" w:rsidP="00CE09BC">
            <w:pPr>
              <w:spacing w:before="40" w:after="40"/>
              <w:jc w:val="right"/>
              <w:rPr>
                <w:color w:val="000000"/>
                <w:sz w:val="17"/>
                <w:szCs w:val="17"/>
              </w:rPr>
            </w:pPr>
            <w:r w:rsidRPr="00B02BA3">
              <w:rPr>
                <w:sz w:val="17"/>
              </w:rPr>
              <w:t>2</w:t>
            </w:r>
            <w:r>
              <w:rPr>
                <w:sz w:val="17"/>
              </w:rPr>
              <w:t>.5</w:t>
            </w:r>
          </w:p>
        </w:tc>
        <w:tc>
          <w:tcPr>
            <w:tcW w:w="242" w:type="dxa"/>
            <w:vAlign w:val="bottom"/>
          </w:tcPr>
          <w:p w14:paraId="50D9B8F5" w14:textId="77777777" w:rsidR="00CE09BC" w:rsidRPr="00E754AA" w:rsidRDefault="00CE09BC" w:rsidP="00CE09BC">
            <w:pPr>
              <w:spacing w:before="40" w:after="40"/>
              <w:rPr>
                <w:color w:val="000000"/>
                <w:sz w:val="17"/>
                <w:szCs w:val="17"/>
              </w:rPr>
            </w:pPr>
          </w:p>
        </w:tc>
        <w:tc>
          <w:tcPr>
            <w:tcW w:w="924" w:type="dxa"/>
            <w:vAlign w:val="bottom"/>
          </w:tcPr>
          <w:p w14:paraId="4B99792D" w14:textId="77777777" w:rsidR="00CE09BC" w:rsidRPr="00E754AA" w:rsidRDefault="00CE09BC" w:rsidP="00CE09BC">
            <w:pPr>
              <w:spacing w:before="40" w:after="40"/>
              <w:jc w:val="right"/>
              <w:rPr>
                <w:color w:val="000000"/>
                <w:sz w:val="17"/>
                <w:szCs w:val="17"/>
              </w:rPr>
            </w:pPr>
            <w:r>
              <w:rPr>
                <w:sz w:val="17"/>
              </w:rPr>
              <w:t>0.4</w:t>
            </w:r>
          </w:p>
        </w:tc>
        <w:tc>
          <w:tcPr>
            <w:tcW w:w="242" w:type="dxa"/>
            <w:vAlign w:val="bottom"/>
          </w:tcPr>
          <w:p w14:paraId="59CA9BF2" w14:textId="77777777" w:rsidR="00CE09BC" w:rsidRPr="00E754AA" w:rsidRDefault="00CE09BC" w:rsidP="00CE09BC">
            <w:pPr>
              <w:spacing w:before="40" w:after="40"/>
              <w:rPr>
                <w:sz w:val="17"/>
                <w:szCs w:val="17"/>
              </w:rPr>
            </w:pPr>
          </w:p>
        </w:tc>
        <w:tc>
          <w:tcPr>
            <w:tcW w:w="924" w:type="dxa"/>
            <w:vAlign w:val="bottom"/>
          </w:tcPr>
          <w:p w14:paraId="4CCD82A2" w14:textId="77777777" w:rsidR="00CE09BC" w:rsidRPr="00E754AA" w:rsidRDefault="00CE09BC" w:rsidP="00CE09BC">
            <w:pPr>
              <w:spacing w:before="40" w:after="40"/>
              <w:jc w:val="right"/>
              <w:rPr>
                <w:sz w:val="17"/>
                <w:szCs w:val="17"/>
              </w:rPr>
            </w:pPr>
            <w:r>
              <w:rPr>
                <w:sz w:val="17"/>
              </w:rPr>
              <w:t>0.4</w:t>
            </w:r>
          </w:p>
        </w:tc>
        <w:tc>
          <w:tcPr>
            <w:tcW w:w="227" w:type="dxa"/>
            <w:vAlign w:val="bottom"/>
          </w:tcPr>
          <w:p w14:paraId="03195407" w14:textId="77777777" w:rsidR="00CE09BC" w:rsidRPr="00E754AA" w:rsidRDefault="00CE09BC" w:rsidP="00CE09BC">
            <w:pPr>
              <w:spacing w:before="40" w:after="40"/>
              <w:rPr>
                <w:sz w:val="17"/>
                <w:szCs w:val="17"/>
              </w:rPr>
            </w:pPr>
          </w:p>
        </w:tc>
        <w:tc>
          <w:tcPr>
            <w:tcW w:w="939" w:type="dxa"/>
            <w:vAlign w:val="bottom"/>
          </w:tcPr>
          <w:p w14:paraId="7DB9357B" w14:textId="77777777" w:rsidR="00CE09BC" w:rsidRPr="00E754AA" w:rsidRDefault="00CE09BC" w:rsidP="00CE09BC">
            <w:pPr>
              <w:spacing w:before="40" w:after="40"/>
              <w:jc w:val="right"/>
              <w:rPr>
                <w:sz w:val="17"/>
                <w:szCs w:val="17"/>
              </w:rPr>
            </w:pPr>
            <w:r>
              <w:rPr>
                <w:sz w:val="17"/>
              </w:rPr>
              <w:t>0.3</w:t>
            </w:r>
          </w:p>
        </w:tc>
        <w:tc>
          <w:tcPr>
            <w:tcW w:w="266" w:type="dxa"/>
            <w:vAlign w:val="bottom"/>
          </w:tcPr>
          <w:p w14:paraId="45459E94" w14:textId="77777777" w:rsidR="00CE09BC" w:rsidRPr="000D2863" w:rsidRDefault="00CE09BC" w:rsidP="00CE09BC">
            <w:pPr>
              <w:spacing w:before="40" w:after="40"/>
              <w:rPr>
                <w:sz w:val="17"/>
                <w:szCs w:val="17"/>
              </w:rPr>
            </w:pPr>
          </w:p>
        </w:tc>
      </w:tr>
      <w:tr w:rsidR="00CE09BC" w:rsidRPr="00E834EF" w14:paraId="7BE42D63" w14:textId="77777777" w:rsidTr="008C57E0">
        <w:tc>
          <w:tcPr>
            <w:tcW w:w="3254" w:type="dxa"/>
            <w:vAlign w:val="bottom"/>
          </w:tcPr>
          <w:p w14:paraId="57AF0887" w14:textId="77777777" w:rsidR="00CE09BC" w:rsidRPr="00E754AA" w:rsidRDefault="00CE09BC" w:rsidP="00CE09BC">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70E70A84" w14:textId="77777777" w:rsidR="00CE09BC" w:rsidRPr="00E754AA" w:rsidRDefault="00CE09BC" w:rsidP="00CE09BC">
            <w:pPr>
              <w:spacing w:before="40" w:after="40"/>
              <w:rPr>
                <w:sz w:val="17"/>
                <w:szCs w:val="17"/>
              </w:rPr>
            </w:pPr>
          </w:p>
        </w:tc>
        <w:tc>
          <w:tcPr>
            <w:tcW w:w="913" w:type="dxa"/>
            <w:vAlign w:val="bottom"/>
          </w:tcPr>
          <w:p w14:paraId="6A8B643C" w14:textId="77777777" w:rsidR="00CE09BC" w:rsidRPr="00E754AA" w:rsidRDefault="00CE09BC" w:rsidP="00CE09BC">
            <w:pPr>
              <w:spacing w:before="40" w:after="40"/>
              <w:jc w:val="right"/>
              <w:rPr>
                <w:color w:val="000000"/>
                <w:sz w:val="17"/>
                <w:szCs w:val="17"/>
              </w:rPr>
            </w:pPr>
            <w:r>
              <w:rPr>
                <w:sz w:val="17"/>
              </w:rPr>
              <w:t>0.6</w:t>
            </w:r>
          </w:p>
        </w:tc>
        <w:tc>
          <w:tcPr>
            <w:tcW w:w="252" w:type="dxa"/>
            <w:gridSpan w:val="2"/>
            <w:vAlign w:val="bottom"/>
          </w:tcPr>
          <w:p w14:paraId="00913C6D" w14:textId="77777777" w:rsidR="00CE09BC" w:rsidRPr="00E754AA" w:rsidRDefault="00353CCE" w:rsidP="00CE09BC">
            <w:pPr>
              <w:spacing w:before="40" w:after="40"/>
              <w:rPr>
                <w:color w:val="000000"/>
                <w:sz w:val="17"/>
                <w:szCs w:val="17"/>
              </w:rPr>
            </w:pPr>
            <w:r>
              <w:rPr>
                <w:color w:val="000000"/>
                <w:sz w:val="17"/>
                <w:szCs w:val="17"/>
              </w:rPr>
              <w:t>)</w:t>
            </w:r>
          </w:p>
        </w:tc>
        <w:tc>
          <w:tcPr>
            <w:tcW w:w="924" w:type="dxa"/>
            <w:vAlign w:val="bottom"/>
          </w:tcPr>
          <w:p w14:paraId="5EC7C0EB" w14:textId="77777777" w:rsidR="00CE09BC" w:rsidRPr="00E754AA" w:rsidRDefault="00CE09BC" w:rsidP="00CE09BC">
            <w:pPr>
              <w:spacing w:before="40" w:after="40"/>
              <w:jc w:val="right"/>
              <w:rPr>
                <w:color w:val="000000"/>
                <w:sz w:val="17"/>
                <w:szCs w:val="17"/>
              </w:rPr>
            </w:pPr>
            <w:r w:rsidRPr="00B02BA3">
              <w:rPr>
                <w:sz w:val="17"/>
              </w:rPr>
              <w:t>(</w:t>
            </w:r>
            <w:r>
              <w:rPr>
                <w:sz w:val="17"/>
              </w:rPr>
              <w:t>0.6</w:t>
            </w:r>
          </w:p>
        </w:tc>
        <w:tc>
          <w:tcPr>
            <w:tcW w:w="242" w:type="dxa"/>
            <w:vAlign w:val="bottom"/>
          </w:tcPr>
          <w:p w14:paraId="3040CE5E" w14:textId="77777777" w:rsidR="00CE09BC" w:rsidRPr="00E754AA" w:rsidRDefault="00CE09BC" w:rsidP="00CE09BC">
            <w:pPr>
              <w:spacing w:before="40" w:after="40"/>
              <w:rPr>
                <w:color w:val="000000"/>
                <w:sz w:val="17"/>
                <w:szCs w:val="17"/>
              </w:rPr>
            </w:pPr>
          </w:p>
        </w:tc>
        <w:tc>
          <w:tcPr>
            <w:tcW w:w="924" w:type="dxa"/>
            <w:vAlign w:val="bottom"/>
          </w:tcPr>
          <w:p w14:paraId="4139A6AB" w14:textId="77777777" w:rsidR="00CE09BC" w:rsidRPr="00E754AA" w:rsidRDefault="00CE09BC" w:rsidP="00CE09BC">
            <w:pPr>
              <w:spacing w:before="40" w:after="40"/>
              <w:jc w:val="right"/>
              <w:rPr>
                <w:color w:val="000000"/>
                <w:sz w:val="17"/>
                <w:szCs w:val="17"/>
              </w:rPr>
            </w:pPr>
            <w:r>
              <w:rPr>
                <w:sz w:val="17"/>
              </w:rPr>
              <w:t>0.3</w:t>
            </w:r>
          </w:p>
        </w:tc>
        <w:tc>
          <w:tcPr>
            <w:tcW w:w="242" w:type="dxa"/>
            <w:vAlign w:val="bottom"/>
          </w:tcPr>
          <w:p w14:paraId="5BBBC2A4" w14:textId="77777777" w:rsidR="00CE09BC" w:rsidRPr="00E754AA" w:rsidRDefault="00CE09BC" w:rsidP="00CE09BC">
            <w:pPr>
              <w:spacing w:before="40" w:after="40"/>
              <w:rPr>
                <w:sz w:val="17"/>
                <w:szCs w:val="17"/>
              </w:rPr>
            </w:pPr>
          </w:p>
        </w:tc>
        <w:tc>
          <w:tcPr>
            <w:tcW w:w="924" w:type="dxa"/>
            <w:vAlign w:val="bottom"/>
          </w:tcPr>
          <w:p w14:paraId="4D26E338" w14:textId="77777777" w:rsidR="00CE09BC" w:rsidRPr="00E754AA" w:rsidRDefault="00CE09BC" w:rsidP="00CE09BC">
            <w:pPr>
              <w:spacing w:before="40" w:after="40"/>
              <w:jc w:val="right"/>
              <w:rPr>
                <w:sz w:val="17"/>
                <w:szCs w:val="17"/>
              </w:rPr>
            </w:pPr>
            <w:r>
              <w:rPr>
                <w:sz w:val="17"/>
              </w:rPr>
              <w:t>0.3</w:t>
            </w:r>
          </w:p>
        </w:tc>
        <w:tc>
          <w:tcPr>
            <w:tcW w:w="227" w:type="dxa"/>
            <w:vAlign w:val="bottom"/>
          </w:tcPr>
          <w:p w14:paraId="67E7CCC8" w14:textId="77777777" w:rsidR="00CE09BC" w:rsidRPr="00E754AA" w:rsidRDefault="00BE3259" w:rsidP="00CE09BC">
            <w:pPr>
              <w:spacing w:before="40" w:after="40"/>
              <w:rPr>
                <w:sz w:val="17"/>
                <w:szCs w:val="17"/>
              </w:rPr>
            </w:pPr>
            <w:r>
              <w:rPr>
                <w:sz w:val="17"/>
                <w:szCs w:val="17"/>
              </w:rPr>
              <w:t>)</w:t>
            </w:r>
          </w:p>
        </w:tc>
        <w:tc>
          <w:tcPr>
            <w:tcW w:w="939" w:type="dxa"/>
            <w:vAlign w:val="bottom"/>
          </w:tcPr>
          <w:p w14:paraId="42A81502" w14:textId="77777777" w:rsidR="00CE09BC" w:rsidRPr="00E754AA" w:rsidRDefault="00CE09BC" w:rsidP="00CE09BC">
            <w:pPr>
              <w:spacing w:before="40" w:after="40"/>
              <w:jc w:val="right"/>
              <w:rPr>
                <w:sz w:val="17"/>
                <w:szCs w:val="17"/>
              </w:rPr>
            </w:pPr>
            <w:r>
              <w:rPr>
                <w:sz w:val="17"/>
              </w:rPr>
              <w:t>(0.7</w:t>
            </w:r>
          </w:p>
        </w:tc>
        <w:tc>
          <w:tcPr>
            <w:tcW w:w="266" w:type="dxa"/>
            <w:vAlign w:val="bottom"/>
          </w:tcPr>
          <w:p w14:paraId="453ACD56" w14:textId="77777777" w:rsidR="00CE09BC" w:rsidRPr="000D2863" w:rsidRDefault="00CE09BC" w:rsidP="00CE09BC">
            <w:pPr>
              <w:spacing w:before="40" w:after="40"/>
              <w:rPr>
                <w:sz w:val="17"/>
                <w:szCs w:val="17"/>
              </w:rPr>
            </w:pPr>
          </w:p>
        </w:tc>
      </w:tr>
      <w:tr w:rsidR="00CE09BC" w:rsidRPr="00E834EF" w14:paraId="6CFF9DF7" w14:textId="77777777" w:rsidTr="008C57E0">
        <w:tc>
          <w:tcPr>
            <w:tcW w:w="3254" w:type="dxa"/>
            <w:vAlign w:val="center"/>
          </w:tcPr>
          <w:p w14:paraId="7BAE244D" w14:textId="77777777" w:rsidR="00CE09BC" w:rsidRPr="00E754AA" w:rsidRDefault="00CE09BC" w:rsidP="00CE09BC">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62B38931" w14:textId="77777777" w:rsidR="00CE09BC" w:rsidRPr="00E834EF" w:rsidRDefault="00080093" w:rsidP="00CE09BC">
            <w:pPr>
              <w:spacing w:before="40" w:after="40"/>
              <w:rPr>
                <w:sz w:val="17"/>
                <w:szCs w:val="17"/>
              </w:rPr>
            </w:pPr>
            <w:r>
              <w:rPr>
                <w:sz w:val="17"/>
                <w:szCs w:val="17"/>
              </w:rPr>
              <w:t>)</w:t>
            </w:r>
          </w:p>
        </w:tc>
        <w:tc>
          <w:tcPr>
            <w:tcW w:w="913" w:type="dxa"/>
            <w:vAlign w:val="bottom"/>
          </w:tcPr>
          <w:p w14:paraId="1CA31A4F" w14:textId="77777777" w:rsidR="00CE09BC" w:rsidRPr="00E754AA" w:rsidRDefault="00CE09BC" w:rsidP="00CE09BC">
            <w:pPr>
              <w:spacing w:before="40" w:after="40"/>
              <w:jc w:val="right"/>
              <w:rPr>
                <w:color w:val="000000"/>
                <w:sz w:val="17"/>
                <w:szCs w:val="17"/>
              </w:rPr>
            </w:pPr>
            <w:r w:rsidRPr="00B02BA3">
              <w:rPr>
                <w:sz w:val="17"/>
              </w:rPr>
              <w:t>(12</w:t>
            </w:r>
            <w:r>
              <w:rPr>
                <w:sz w:val="17"/>
              </w:rPr>
              <w:t>.6</w:t>
            </w:r>
          </w:p>
        </w:tc>
        <w:tc>
          <w:tcPr>
            <w:tcW w:w="252" w:type="dxa"/>
            <w:gridSpan w:val="2"/>
            <w:vAlign w:val="bottom"/>
          </w:tcPr>
          <w:p w14:paraId="383505B1" w14:textId="77777777" w:rsidR="00CE09BC" w:rsidRPr="00E754AA" w:rsidRDefault="00CE09BC" w:rsidP="00CE09BC">
            <w:pPr>
              <w:spacing w:before="40" w:after="40"/>
              <w:rPr>
                <w:color w:val="000000"/>
                <w:sz w:val="17"/>
                <w:szCs w:val="17"/>
              </w:rPr>
            </w:pPr>
            <w:r w:rsidRPr="00B02BA3">
              <w:rPr>
                <w:sz w:val="17"/>
              </w:rPr>
              <w:t>)</w:t>
            </w:r>
          </w:p>
        </w:tc>
        <w:tc>
          <w:tcPr>
            <w:tcW w:w="924" w:type="dxa"/>
            <w:vAlign w:val="bottom"/>
          </w:tcPr>
          <w:p w14:paraId="65282B98" w14:textId="77777777" w:rsidR="00CE09BC" w:rsidRPr="00E754AA" w:rsidRDefault="00CE09BC" w:rsidP="00CE09BC">
            <w:pPr>
              <w:spacing w:before="40" w:after="40"/>
              <w:jc w:val="right"/>
              <w:rPr>
                <w:color w:val="000000"/>
                <w:sz w:val="17"/>
                <w:szCs w:val="17"/>
              </w:rPr>
            </w:pPr>
            <w:r w:rsidRPr="00B02BA3">
              <w:rPr>
                <w:sz w:val="17"/>
              </w:rPr>
              <w:t>(20</w:t>
            </w:r>
            <w:r>
              <w:rPr>
                <w:sz w:val="17"/>
              </w:rPr>
              <w:t>.8</w:t>
            </w:r>
          </w:p>
        </w:tc>
        <w:tc>
          <w:tcPr>
            <w:tcW w:w="242" w:type="dxa"/>
            <w:vAlign w:val="bottom"/>
          </w:tcPr>
          <w:p w14:paraId="511D4D52" w14:textId="77777777" w:rsidR="00CE09BC" w:rsidRPr="00E754AA" w:rsidRDefault="00CE09BC" w:rsidP="00CE09BC">
            <w:pPr>
              <w:spacing w:before="40" w:after="40"/>
              <w:rPr>
                <w:color w:val="000000"/>
                <w:sz w:val="17"/>
                <w:szCs w:val="17"/>
              </w:rPr>
            </w:pPr>
            <w:r w:rsidRPr="00B02BA3">
              <w:rPr>
                <w:sz w:val="17"/>
              </w:rPr>
              <w:t>)</w:t>
            </w:r>
          </w:p>
        </w:tc>
        <w:tc>
          <w:tcPr>
            <w:tcW w:w="924" w:type="dxa"/>
            <w:vAlign w:val="bottom"/>
          </w:tcPr>
          <w:p w14:paraId="6C2C1A3A" w14:textId="77777777" w:rsidR="00CE09BC" w:rsidRPr="00E754AA" w:rsidRDefault="00CE09BC" w:rsidP="00CE09BC">
            <w:pPr>
              <w:spacing w:before="40" w:after="40"/>
              <w:jc w:val="right"/>
              <w:rPr>
                <w:color w:val="000000"/>
                <w:sz w:val="17"/>
                <w:szCs w:val="17"/>
              </w:rPr>
            </w:pPr>
            <w:r w:rsidRPr="00B02BA3">
              <w:rPr>
                <w:sz w:val="17"/>
              </w:rPr>
              <w:t>(21</w:t>
            </w:r>
            <w:r>
              <w:rPr>
                <w:sz w:val="17"/>
              </w:rPr>
              <w:t>.0</w:t>
            </w:r>
          </w:p>
        </w:tc>
        <w:tc>
          <w:tcPr>
            <w:tcW w:w="242" w:type="dxa"/>
            <w:vAlign w:val="bottom"/>
          </w:tcPr>
          <w:p w14:paraId="72F7224C" w14:textId="77777777" w:rsidR="00CE09BC" w:rsidRPr="00E754AA" w:rsidRDefault="00CE09BC" w:rsidP="00CE09BC">
            <w:pPr>
              <w:spacing w:before="40" w:after="40"/>
              <w:rPr>
                <w:sz w:val="17"/>
                <w:szCs w:val="17"/>
              </w:rPr>
            </w:pPr>
            <w:r w:rsidRPr="00B02BA3">
              <w:rPr>
                <w:sz w:val="17"/>
              </w:rPr>
              <w:t>)</w:t>
            </w:r>
          </w:p>
        </w:tc>
        <w:tc>
          <w:tcPr>
            <w:tcW w:w="924" w:type="dxa"/>
            <w:vAlign w:val="bottom"/>
          </w:tcPr>
          <w:p w14:paraId="0DEBA7F0" w14:textId="77777777" w:rsidR="00CE09BC" w:rsidRPr="00E754AA" w:rsidRDefault="00CE09BC" w:rsidP="00CE09BC">
            <w:pPr>
              <w:spacing w:before="40" w:after="40"/>
              <w:jc w:val="right"/>
              <w:rPr>
                <w:sz w:val="17"/>
                <w:szCs w:val="17"/>
              </w:rPr>
            </w:pPr>
            <w:r>
              <w:rPr>
                <w:sz w:val="17"/>
              </w:rPr>
              <w:t>(17.1</w:t>
            </w:r>
          </w:p>
        </w:tc>
        <w:tc>
          <w:tcPr>
            <w:tcW w:w="227" w:type="dxa"/>
            <w:vAlign w:val="bottom"/>
          </w:tcPr>
          <w:p w14:paraId="24964C13" w14:textId="77777777" w:rsidR="00CE09BC" w:rsidRPr="00E754AA" w:rsidRDefault="00CE09BC" w:rsidP="00CE09BC">
            <w:pPr>
              <w:spacing w:before="40" w:after="40"/>
              <w:rPr>
                <w:sz w:val="17"/>
                <w:szCs w:val="17"/>
              </w:rPr>
            </w:pPr>
            <w:r>
              <w:rPr>
                <w:sz w:val="17"/>
              </w:rPr>
              <w:t>)</w:t>
            </w:r>
          </w:p>
        </w:tc>
        <w:tc>
          <w:tcPr>
            <w:tcW w:w="939" w:type="dxa"/>
            <w:vAlign w:val="bottom"/>
          </w:tcPr>
          <w:p w14:paraId="34F13CFC" w14:textId="77777777" w:rsidR="00CE09BC" w:rsidRPr="00E754AA" w:rsidRDefault="00CE09BC" w:rsidP="00CE09BC">
            <w:pPr>
              <w:spacing w:before="40" w:after="40"/>
              <w:jc w:val="right"/>
              <w:rPr>
                <w:sz w:val="17"/>
                <w:szCs w:val="17"/>
              </w:rPr>
            </w:pPr>
            <w:r>
              <w:rPr>
                <w:sz w:val="17"/>
              </w:rPr>
              <w:t>(14.0</w:t>
            </w:r>
          </w:p>
        </w:tc>
        <w:tc>
          <w:tcPr>
            <w:tcW w:w="266" w:type="dxa"/>
            <w:vAlign w:val="bottom"/>
          </w:tcPr>
          <w:p w14:paraId="25BD5F59" w14:textId="77777777" w:rsidR="00CE09BC" w:rsidRPr="000D2863" w:rsidRDefault="00CE09BC" w:rsidP="00CE09BC">
            <w:pPr>
              <w:spacing w:before="40" w:after="40"/>
              <w:rPr>
                <w:sz w:val="17"/>
                <w:szCs w:val="17"/>
              </w:rPr>
            </w:pPr>
          </w:p>
        </w:tc>
      </w:tr>
      <w:tr w:rsidR="00CE09BC" w:rsidRPr="00E834EF" w14:paraId="74FC7FB9" w14:textId="77777777" w:rsidTr="008C57E0">
        <w:tc>
          <w:tcPr>
            <w:tcW w:w="3254" w:type="dxa"/>
            <w:vAlign w:val="center"/>
          </w:tcPr>
          <w:p w14:paraId="255BF542" w14:textId="77777777" w:rsidR="00CE09BC" w:rsidRPr="00E754AA" w:rsidRDefault="00CE09BC" w:rsidP="00CE09BC">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53DCA770" w14:textId="77777777" w:rsidR="00CE09BC" w:rsidRPr="00E834EF" w:rsidRDefault="00080093" w:rsidP="00CE09BC">
            <w:pPr>
              <w:spacing w:before="40" w:after="40"/>
              <w:rPr>
                <w:sz w:val="17"/>
                <w:szCs w:val="17"/>
              </w:rPr>
            </w:pPr>
            <w:r>
              <w:rPr>
                <w:sz w:val="17"/>
                <w:szCs w:val="17"/>
              </w:rPr>
              <w:t>)</w:t>
            </w:r>
          </w:p>
        </w:tc>
        <w:tc>
          <w:tcPr>
            <w:tcW w:w="913" w:type="dxa"/>
            <w:vAlign w:val="bottom"/>
          </w:tcPr>
          <w:p w14:paraId="531051F2" w14:textId="77777777" w:rsidR="00CE09BC" w:rsidRPr="00E754AA" w:rsidRDefault="00CE09BC" w:rsidP="00CE09BC">
            <w:pPr>
              <w:spacing w:before="40" w:after="40"/>
              <w:jc w:val="right"/>
              <w:rPr>
                <w:color w:val="000000"/>
                <w:sz w:val="17"/>
                <w:szCs w:val="17"/>
              </w:rPr>
            </w:pPr>
            <w:r w:rsidRPr="00B02BA3">
              <w:rPr>
                <w:sz w:val="17"/>
              </w:rPr>
              <w:t>(22</w:t>
            </w:r>
            <w:r>
              <w:rPr>
                <w:sz w:val="17"/>
              </w:rPr>
              <w:t>.0</w:t>
            </w:r>
          </w:p>
        </w:tc>
        <w:tc>
          <w:tcPr>
            <w:tcW w:w="252" w:type="dxa"/>
            <w:gridSpan w:val="2"/>
            <w:vAlign w:val="bottom"/>
          </w:tcPr>
          <w:p w14:paraId="34249E16" w14:textId="77777777" w:rsidR="00CE09BC" w:rsidRPr="00E754AA" w:rsidRDefault="00CE09BC" w:rsidP="00CE09BC">
            <w:pPr>
              <w:spacing w:before="40" w:after="40"/>
              <w:rPr>
                <w:color w:val="000000"/>
                <w:sz w:val="17"/>
                <w:szCs w:val="17"/>
              </w:rPr>
            </w:pPr>
            <w:r w:rsidRPr="00B02BA3">
              <w:rPr>
                <w:sz w:val="17"/>
              </w:rPr>
              <w:t>)</w:t>
            </w:r>
          </w:p>
        </w:tc>
        <w:tc>
          <w:tcPr>
            <w:tcW w:w="924" w:type="dxa"/>
            <w:vAlign w:val="bottom"/>
          </w:tcPr>
          <w:p w14:paraId="7BD17E6A" w14:textId="77777777" w:rsidR="00CE09BC" w:rsidRPr="00E754AA" w:rsidRDefault="00CE09BC" w:rsidP="00CE09BC">
            <w:pPr>
              <w:spacing w:before="40" w:after="40"/>
              <w:jc w:val="right"/>
              <w:rPr>
                <w:color w:val="000000"/>
                <w:sz w:val="17"/>
                <w:szCs w:val="17"/>
              </w:rPr>
            </w:pPr>
            <w:r w:rsidRPr="00B02BA3">
              <w:rPr>
                <w:sz w:val="17"/>
              </w:rPr>
              <w:t>(28</w:t>
            </w:r>
            <w:r>
              <w:rPr>
                <w:sz w:val="17"/>
              </w:rPr>
              <w:t>.2</w:t>
            </w:r>
          </w:p>
        </w:tc>
        <w:tc>
          <w:tcPr>
            <w:tcW w:w="242" w:type="dxa"/>
            <w:vAlign w:val="bottom"/>
          </w:tcPr>
          <w:p w14:paraId="2EEBB334" w14:textId="77777777" w:rsidR="00CE09BC" w:rsidRPr="00E754AA" w:rsidRDefault="00CE09BC" w:rsidP="00CE09BC">
            <w:pPr>
              <w:spacing w:before="40" w:after="40"/>
              <w:rPr>
                <w:color w:val="000000"/>
                <w:sz w:val="17"/>
                <w:szCs w:val="17"/>
              </w:rPr>
            </w:pPr>
            <w:r w:rsidRPr="00B02BA3">
              <w:rPr>
                <w:sz w:val="17"/>
              </w:rPr>
              <w:t>)</w:t>
            </w:r>
          </w:p>
        </w:tc>
        <w:tc>
          <w:tcPr>
            <w:tcW w:w="924" w:type="dxa"/>
            <w:vAlign w:val="bottom"/>
          </w:tcPr>
          <w:p w14:paraId="23468DC3" w14:textId="77777777" w:rsidR="00CE09BC" w:rsidRPr="00E754AA" w:rsidRDefault="00CE09BC" w:rsidP="00CE09BC">
            <w:pPr>
              <w:spacing w:before="40" w:after="40"/>
              <w:jc w:val="right"/>
              <w:rPr>
                <w:color w:val="000000"/>
                <w:sz w:val="17"/>
                <w:szCs w:val="17"/>
              </w:rPr>
            </w:pPr>
            <w:r w:rsidRPr="00B02BA3">
              <w:rPr>
                <w:sz w:val="17"/>
              </w:rPr>
              <w:t>(32</w:t>
            </w:r>
            <w:r>
              <w:rPr>
                <w:sz w:val="17"/>
              </w:rPr>
              <w:t>.7</w:t>
            </w:r>
          </w:p>
        </w:tc>
        <w:tc>
          <w:tcPr>
            <w:tcW w:w="242" w:type="dxa"/>
            <w:vAlign w:val="bottom"/>
          </w:tcPr>
          <w:p w14:paraId="64B92A55" w14:textId="77777777" w:rsidR="00CE09BC" w:rsidRPr="00E754AA" w:rsidRDefault="00CE09BC" w:rsidP="00CE09BC">
            <w:pPr>
              <w:spacing w:before="40" w:after="40"/>
              <w:rPr>
                <w:sz w:val="17"/>
                <w:szCs w:val="17"/>
              </w:rPr>
            </w:pPr>
            <w:r w:rsidRPr="00B02BA3">
              <w:rPr>
                <w:sz w:val="17"/>
              </w:rPr>
              <w:t>)</w:t>
            </w:r>
          </w:p>
        </w:tc>
        <w:tc>
          <w:tcPr>
            <w:tcW w:w="924" w:type="dxa"/>
            <w:vAlign w:val="bottom"/>
          </w:tcPr>
          <w:p w14:paraId="2E99FD6F" w14:textId="77777777" w:rsidR="00CE09BC" w:rsidRPr="00E754AA" w:rsidRDefault="00CE09BC" w:rsidP="00CE09BC">
            <w:pPr>
              <w:spacing w:before="40" w:after="40"/>
              <w:jc w:val="right"/>
              <w:rPr>
                <w:sz w:val="17"/>
                <w:szCs w:val="17"/>
              </w:rPr>
            </w:pPr>
            <w:r>
              <w:rPr>
                <w:sz w:val="17"/>
              </w:rPr>
              <w:t>(20.3</w:t>
            </w:r>
          </w:p>
        </w:tc>
        <w:tc>
          <w:tcPr>
            <w:tcW w:w="227" w:type="dxa"/>
            <w:vAlign w:val="bottom"/>
          </w:tcPr>
          <w:p w14:paraId="649C5D25" w14:textId="77777777" w:rsidR="00CE09BC" w:rsidRPr="00E754AA" w:rsidRDefault="00CE09BC" w:rsidP="00CE09BC">
            <w:pPr>
              <w:spacing w:before="40" w:after="40"/>
              <w:rPr>
                <w:sz w:val="17"/>
                <w:szCs w:val="17"/>
              </w:rPr>
            </w:pPr>
            <w:r>
              <w:rPr>
                <w:sz w:val="17"/>
              </w:rPr>
              <w:t>)</w:t>
            </w:r>
          </w:p>
        </w:tc>
        <w:tc>
          <w:tcPr>
            <w:tcW w:w="939" w:type="dxa"/>
            <w:vAlign w:val="bottom"/>
          </w:tcPr>
          <w:p w14:paraId="5DAE3BC4" w14:textId="77777777" w:rsidR="00CE09BC" w:rsidRPr="00E754AA" w:rsidRDefault="00CE09BC" w:rsidP="00CE09BC">
            <w:pPr>
              <w:spacing w:before="40" w:after="40"/>
              <w:jc w:val="right"/>
              <w:rPr>
                <w:sz w:val="17"/>
                <w:szCs w:val="17"/>
              </w:rPr>
            </w:pPr>
            <w:r>
              <w:rPr>
                <w:sz w:val="17"/>
              </w:rPr>
              <w:t>(28.7</w:t>
            </w:r>
          </w:p>
        </w:tc>
        <w:tc>
          <w:tcPr>
            <w:tcW w:w="266" w:type="dxa"/>
            <w:vAlign w:val="bottom"/>
          </w:tcPr>
          <w:p w14:paraId="0037BA8E" w14:textId="77777777" w:rsidR="00CE09BC" w:rsidRPr="000D2863" w:rsidRDefault="00CE09BC" w:rsidP="00CE09BC">
            <w:pPr>
              <w:spacing w:before="40" w:after="40"/>
              <w:rPr>
                <w:sz w:val="17"/>
                <w:szCs w:val="17"/>
              </w:rPr>
            </w:pPr>
          </w:p>
        </w:tc>
      </w:tr>
      <w:tr w:rsidR="00CE09BC" w:rsidRPr="00E834EF" w14:paraId="0CEB0CAC" w14:textId="77777777" w:rsidTr="008C57E0">
        <w:tc>
          <w:tcPr>
            <w:tcW w:w="3254" w:type="dxa"/>
            <w:vAlign w:val="center"/>
          </w:tcPr>
          <w:p w14:paraId="15BCC782" w14:textId="77777777" w:rsidR="00CE09BC" w:rsidRPr="00E754AA" w:rsidRDefault="00CE09BC" w:rsidP="00CE09BC">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063E8C4A" w14:textId="77777777" w:rsidR="00CE09BC" w:rsidRPr="00E834EF" w:rsidRDefault="00CE09BC" w:rsidP="00CE09BC">
            <w:pPr>
              <w:spacing w:before="40" w:after="40"/>
              <w:rPr>
                <w:sz w:val="17"/>
                <w:szCs w:val="17"/>
              </w:rPr>
            </w:pPr>
          </w:p>
        </w:tc>
        <w:tc>
          <w:tcPr>
            <w:tcW w:w="913" w:type="dxa"/>
            <w:vAlign w:val="bottom"/>
          </w:tcPr>
          <w:p w14:paraId="28989FFE" w14:textId="77777777" w:rsidR="00CE09BC" w:rsidRPr="00E754AA" w:rsidRDefault="00CE09BC" w:rsidP="00CE09BC">
            <w:pPr>
              <w:spacing w:before="40" w:after="40"/>
              <w:jc w:val="right"/>
              <w:rPr>
                <w:color w:val="000000"/>
                <w:sz w:val="17"/>
                <w:szCs w:val="17"/>
              </w:rPr>
            </w:pPr>
            <w:r w:rsidRPr="00B02BA3">
              <w:rPr>
                <w:sz w:val="17"/>
              </w:rPr>
              <w:t>—</w:t>
            </w:r>
          </w:p>
        </w:tc>
        <w:tc>
          <w:tcPr>
            <w:tcW w:w="252" w:type="dxa"/>
            <w:gridSpan w:val="2"/>
            <w:vAlign w:val="bottom"/>
          </w:tcPr>
          <w:p w14:paraId="023E9417" w14:textId="77777777" w:rsidR="00CE09BC" w:rsidRPr="00E754AA" w:rsidRDefault="00CE09BC" w:rsidP="00CE09BC">
            <w:pPr>
              <w:spacing w:before="40" w:after="40"/>
              <w:rPr>
                <w:color w:val="000000"/>
                <w:sz w:val="17"/>
                <w:szCs w:val="17"/>
              </w:rPr>
            </w:pPr>
          </w:p>
        </w:tc>
        <w:tc>
          <w:tcPr>
            <w:tcW w:w="924" w:type="dxa"/>
            <w:vAlign w:val="bottom"/>
          </w:tcPr>
          <w:p w14:paraId="35C3EE67" w14:textId="77777777" w:rsidR="00CE09BC" w:rsidRPr="00E754AA" w:rsidRDefault="00CE09BC" w:rsidP="00CE09BC">
            <w:pPr>
              <w:spacing w:before="40" w:after="40"/>
              <w:jc w:val="right"/>
              <w:rPr>
                <w:color w:val="000000"/>
                <w:sz w:val="17"/>
                <w:szCs w:val="17"/>
              </w:rPr>
            </w:pPr>
            <w:r w:rsidRPr="00B02BA3">
              <w:rPr>
                <w:sz w:val="17"/>
              </w:rPr>
              <w:t>—</w:t>
            </w:r>
          </w:p>
        </w:tc>
        <w:tc>
          <w:tcPr>
            <w:tcW w:w="242" w:type="dxa"/>
            <w:vAlign w:val="bottom"/>
          </w:tcPr>
          <w:p w14:paraId="389DBA2A" w14:textId="77777777" w:rsidR="00CE09BC" w:rsidRPr="00E754AA" w:rsidRDefault="00353CCE" w:rsidP="00CE09BC">
            <w:pPr>
              <w:spacing w:before="40" w:after="40"/>
              <w:rPr>
                <w:color w:val="000000"/>
                <w:sz w:val="17"/>
                <w:szCs w:val="17"/>
              </w:rPr>
            </w:pPr>
            <w:r>
              <w:rPr>
                <w:color w:val="000000"/>
                <w:sz w:val="17"/>
                <w:szCs w:val="17"/>
              </w:rPr>
              <w:t>)</w:t>
            </w:r>
          </w:p>
        </w:tc>
        <w:tc>
          <w:tcPr>
            <w:tcW w:w="924" w:type="dxa"/>
            <w:vAlign w:val="bottom"/>
          </w:tcPr>
          <w:p w14:paraId="15FBB873" w14:textId="77777777" w:rsidR="00CE09BC" w:rsidRPr="00E754AA" w:rsidRDefault="00CE09BC" w:rsidP="00CE09BC">
            <w:pPr>
              <w:spacing w:before="40" w:after="40"/>
              <w:jc w:val="right"/>
              <w:rPr>
                <w:color w:val="000000"/>
                <w:sz w:val="17"/>
                <w:szCs w:val="17"/>
              </w:rPr>
            </w:pPr>
            <w:r w:rsidRPr="00B02BA3">
              <w:rPr>
                <w:sz w:val="17"/>
              </w:rPr>
              <w:t>(58</w:t>
            </w:r>
            <w:r>
              <w:rPr>
                <w:sz w:val="17"/>
              </w:rPr>
              <w:t>.0</w:t>
            </w:r>
          </w:p>
        </w:tc>
        <w:tc>
          <w:tcPr>
            <w:tcW w:w="242" w:type="dxa"/>
            <w:vAlign w:val="bottom"/>
          </w:tcPr>
          <w:p w14:paraId="74DFC96C" w14:textId="77777777" w:rsidR="00CE09BC" w:rsidRPr="00E754AA" w:rsidRDefault="00CE09BC" w:rsidP="00CE09BC">
            <w:pPr>
              <w:spacing w:before="40" w:after="40"/>
              <w:rPr>
                <w:sz w:val="17"/>
                <w:szCs w:val="17"/>
              </w:rPr>
            </w:pPr>
            <w:r w:rsidRPr="00B02BA3">
              <w:rPr>
                <w:sz w:val="17"/>
              </w:rPr>
              <w:t>)</w:t>
            </w:r>
          </w:p>
        </w:tc>
        <w:tc>
          <w:tcPr>
            <w:tcW w:w="924" w:type="dxa"/>
            <w:vAlign w:val="bottom"/>
          </w:tcPr>
          <w:p w14:paraId="483F3689" w14:textId="77777777" w:rsidR="00CE09BC" w:rsidRPr="00E754AA" w:rsidRDefault="00CE09BC" w:rsidP="00CE09BC">
            <w:pPr>
              <w:spacing w:before="40" w:after="40"/>
              <w:jc w:val="right"/>
              <w:rPr>
                <w:sz w:val="17"/>
                <w:szCs w:val="17"/>
              </w:rPr>
            </w:pPr>
            <w:r>
              <w:rPr>
                <w:sz w:val="17"/>
              </w:rPr>
              <w:t>(58.0</w:t>
            </w:r>
          </w:p>
        </w:tc>
        <w:tc>
          <w:tcPr>
            <w:tcW w:w="227" w:type="dxa"/>
            <w:vAlign w:val="bottom"/>
          </w:tcPr>
          <w:p w14:paraId="3C1BFAD0" w14:textId="77777777" w:rsidR="00CE09BC" w:rsidRPr="00E754AA" w:rsidRDefault="00CE09BC" w:rsidP="00CE09BC">
            <w:pPr>
              <w:spacing w:before="40" w:after="40"/>
              <w:rPr>
                <w:sz w:val="17"/>
                <w:szCs w:val="17"/>
              </w:rPr>
            </w:pPr>
          </w:p>
        </w:tc>
        <w:tc>
          <w:tcPr>
            <w:tcW w:w="939" w:type="dxa"/>
            <w:vAlign w:val="bottom"/>
          </w:tcPr>
          <w:p w14:paraId="1871DDA0" w14:textId="77777777" w:rsidR="00CE09BC" w:rsidRPr="00E754AA" w:rsidRDefault="00CE09BC" w:rsidP="00CE09BC">
            <w:pPr>
              <w:spacing w:before="40" w:after="40"/>
              <w:jc w:val="right"/>
              <w:rPr>
                <w:sz w:val="17"/>
                <w:szCs w:val="17"/>
              </w:rPr>
            </w:pPr>
            <w:r w:rsidRPr="00B02BA3">
              <w:rPr>
                <w:sz w:val="17"/>
              </w:rPr>
              <w:t>—</w:t>
            </w:r>
          </w:p>
        </w:tc>
        <w:tc>
          <w:tcPr>
            <w:tcW w:w="266" w:type="dxa"/>
            <w:vAlign w:val="bottom"/>
          </w:tcPr>
          <w:p w14:paraId="634FF15B" w14:textId="77777777" w:rsidR="00CE09BC" w:rsidRPr="000D2863" w:rsidRDefault="00CE09BC" w:rsidP="00CE09BC">
            <w:pPr>
              <w:spacing w:before="40" w:after="40"/>
              <w:rPr>
                <w:sz w:val="17"/>
                <w:szCs w:val="17"/>
              </w:rPr>
            </w:pPr>
          </w:p>
        </w:tc>
      </w:tr>
      <w:tr w:rsidR="00CE09BC" w:rsidRPr="00E834EF" w14:paraId="3B640773" w14:textId="77777777" w:rsidTr="008C57E0">
        <w:tc>
          <w:tcPr>
            <w:tcW w:w="3254" w:type="dxa"/>
            <w:vAlign w:val="center"/>
          </w:tcPr>
          <w:p w14:paraId="3051E971" w14:textId="77777777" w:rsidR="00CE09BC" w:rsidRDefault="00CE09BC" w:rsidP="00CE09BC">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51756E6A" w14:textId="77777777" w:rsidR="00CE09BC" w:rsidRPr="00E834EF" w:rsidRDefault="00CE09BC" w:rsidP="00CE09BC">
            <w:pPr>
              <w:spacing w:before="40" w:after="40"/>
              <w:rPr>
                <w:sz w:val="17"/>
                <w:szCs w:val="17"/>
              </w:rPr>
            </w:pPr>
          </w:p>
        </w:tc>
        <w:tc>
          <w:tcPr>
            <w:tcW w:w="913" w:type="dxa"/>
            <w:vAlign w:val="bottom"/>
          </w:tcPr>
          <w:p w14:paraId="2119B499" w14:textId="77777777" w:rsidR="00CE09BC" w:rsidRPr="000D2863" w:rsidRDefault="00CE09BC" w:rsidP="00CE09BC">
            <w:pPr>
              <w:spacing w:before="40" w:after="40"/>
              <w:jc w:val="right"/>
              <w:rPr>
                <w:color w:val="000000"/>
                <w:sz w:val="17"/>
                <w:szCs w:val="17"/>
              </w:rPr>
            </w:pPr>
            <w:r>
              <w:rPr>
                <w:color w:val="000000"/>
                <w:sz w:val="17"/>
                <w:szCs w:val="17"/>
              </w:rPr>
              <w:t>173.4</w:t>
            </w:r>
          </w:p>
        </w:tc>
        <w:tc>
          <w:tcPr>
            <w:tcW w:w="252" w:type="dxa"/>
            <w:gridSpan w:val="2"/>
            <w:vAlign w:val="bottom"/>
          </w:tcPr>
          <w:p w14:paraId="72320E1F" w14:textId="77777777" w:rsidR="00CE09BC" w:rsidRPr="000D2863" w:rsidRDefault="00CE09BC" w:rsidP="00CE09BC">
            <w:pPr>
              <w:spacing w:before="40" w:after="40"/>
              <w:rPr>
                <w:color w:val="000000"/>
                <w:sz w:val="17"/>
                <w:szCs w:val="17"/>
              </w:rPr>
            </w:pPr>
          </w:p>
        </w:tc>
        <w:tc>
          <w:tcPr>
            <w:tcW w:w="924" w:type="dxa"/>
            <w:vAlign w:val="bottom"/>
          </w:tcPr>
          <w:p w14:paraId="0554B27A" w14:textId="77777777" w:rsidR="00CE09BC" w:rsidRPr="000D2863" w:rsidRDefault="00CE09BC" w:rsidP="00CE09BC">
            <w:pPr>
              <w:spacing w:before="40" w:after="40"/>
              <w:jc w:val="right"/>
              <w:rPr>
                <w:color w:val="000000"/>
                <w:sz w:val="17"/>
                <w:szCs w:val="17"/>
              </w:rPr>
            </w:pPr>
            <w:r>
              <w:rPr>
                <w:color w:val="000000"/>
                <w:sz w:val="17"/>
                <w:szCs w:val="17"/>
              </w:rPr>
              <w:t>211.5</w:t>
            </w:r>
          </w:p>
        </w:tc>
        <w:tc>
          <w:tcPr>
            <w:tcW w:w="242" w:type="dxa"/>
            <w:vAlign w:val="bottom"/>
          </w:tcPr>
          <w:p w14:paraId="1D4FA580" w14:textId="77777777" w:rsidR="00CE09BC" w:rsidRPr="000D2863" w:rsidRDefault="00CE09BC" w:rsidP="00CE09BC">
            <w:pPr>
              <w:spacing w:before="40" w:after="40"/>
              <w:rPr>
                <w:color w:val="000000"/>
                <w:sz w:val="17"/>
                <w:szCs w:val="17"/>
              </w:rPr>
            </w:pPr>
          </w:p>
        </w:tc>
        <w:tc>
          <w:tcPr>
            <w:tcW w:w="924" w:type="dxa"/>
            <w:vAlign w:val="bottom"/>
          </w:tcPr>
          <w:p w14:paraId="138CD54D" w14:textId="77777777" w:rsidR="00CE09BC" w:rsidRPr="000D2863" w:rsidRDefault="00CE09BC" w:rsidP="00CE09BC">
            <w:pPr>
              <w:spacing w:before="40" w:after="40"/>
              <w:jc w:val="right"/>
              <w:rPr>
                <w:color w:val="000000"/>
                <w:sz w:val="17"/>
                <w:szCs w:val="17"/>
              </w:rPr>
            </w:pPr>
            <w:r>
              <w:rPr>
                <w:color w:val="000000"/>
                <w:sz w:val="17"/>
                <w:szCs w:val="17"/>
              </w:rPr>
              <w:t>316.6</w:t>
            </w:r>
          </w:p>
        </w:tc>
        <w:tc>
          <w:tcPr>
            <w:tcW w:w="242" w:type="dxa"/>
            <w:vAlign w:val="bottom"/>
          </w:tcPr>
          <w:p w14:paraId="1CDFAE7C" w14:textId="77777777" w:rsidR="00CE09BC" w:rsidRPr="000D2863" w:rsidRDefault="00CE09BC" w:rsidP="00CE09BC">
            <w:pPr>
              <w:spacing w:before="40" w:after="40"/>
              <w:rPr>
                <w:sz w:val="17"/>
                <w:szCs w:val="17"/>
              </w:rPr>
            </w:pPr>
          </w:p>
        </w:tc>
        <w:tc>
          <w:tcPr>
            <w:tcW w:w="924" w:type="dxa"/>
            <w:vAlign w:val="bottom"/>
          </w:tcPr>
          <w:p w14:paraId="4C3597C6" w14:textId="77777777" w:rsidR="00CE09BC" w:rsidRPr="000D2863" w:rsidRDefault="00CE09BC" w:rsidP="00CE09BC">
            <w:pPr>
              <w:spacing w:before="40" w:after="40"/>
              <w:jc w:val="right"/>
              <w:rPr>
                <w:sz w:val="17"/>
                <w:szCs w:val="17"/>
              </w:rPr>
            </w:pPr>
            <w:r>
              <w:rPr>
                <w:sz w:val="17"/>
                <w:szCs w:val="17"/>
              </w:rPr>
              <w:t>225.7</w:t>
            </w:r>
          </w:p>
        </w:tc>
        <w:tc>
          <w:tcPr>
            <w:tcW w:w="227" w:type="dxa"/>
            <w:vAlign w:val="bottom"/>
          </w:tcPr>
          <w:p w14:paraId="3F0C60C5" w14:textId="77777777" w:rsidR="00CE09BC" w:rsidRPr="000D2863" w:rsidRDefault="00CE09BC" w:rsidP="00CE09BC">
            <w:pPr>
              <w:spacing w:before="40" w:after="40"/>
              <w:rPr>
                <w:sz w:val="17"/>
                <w:szCs w:val="17"/>
              </w:rPr>
            </w:pPr>
          </w:p>
        </w:tc>
        <w:tc>
          <w:tcPr>
            <w:tcW w:w="939" w:type="dxa"/>
          </w:tcPr>
          <w:p w14:paraId="58E9373D" w14:textId="77777777" w:rsidR="00CE09BC" w:rsidRPr="000D2863" w:rsidRDefault="00CE09BC" w:rsidP="00CE09BC">
            <w:pPr>
              <w:spacing w:before="40" w:after="40"/>
              <w:jc w:val="right"/>
              <w:rPr>
                <w:sz w:val="17"/>
                <w:szCs w:val="17"/>
              </w:rPr>
            </w:pPr>
            <w:r>
              <w:rPr>
                <w:sz w:val="17"/>
                <w:szCs w:val="17"/>
              </w:rPr>
              <w:t>249.6</w:t>
            </w:r>
          </w:p>
        </w:tc>
        <w:tc>
          <w:tcPr>
            <w:tcW w:w="266" w:type="dxa"/>
            <w:vAlign w:val="bottom"/>
          </w:tcPr>
          <w:p w14:paraId="05F8F88E" w14:textId="77777777" w:rsidR="00CE09BC" w:rsidRPr="000D2863" w:rsidRDefault="00CE09BC" w:rsidP="00CE09BC">
            <w:pPr>
              <w:spacing w:before="40" w:after="40"/>
              <w:rPr>
                <w:sz w:val="17"/>
                <w:szCs w:val="17"/>
              </w:rPr>
            </w:pPr>
          </w:p>
        </w:tc>
      </w:tr>
      <w:tr w:rsidR="00CE09BC" w:rsidRPr="00E834EF" w14:paraId="49EC8EC3" w14:textId="77777777" w:rsidTr="008C57E0">
        <w:tc>
          <w:tcPr>
            <w:tcW w:w="3254" w:type="dxa"/>
          </w:tcPr>
          <w:p w14:paraId="077E9289" w14:textId="77777777" w:rsidR="00CE09BC" w:rsidRPr="0054596C" w:rsidRDefault="00CE09BC" w:rsidP="00CE09BC">
            <w:pPr>
              <w:tabs>
                <w:tab w:val="right" w:leader="dot" w:pos="3255"/>
              </w:tabs>
              <w:bidi/>
              <w:spacing w:before="40" w:after="40"/>
              <w:rPr>
                <w:b/>
                <w:bCs/>
                <w:sz w:val="17"/>
                <w:szCs w:val="17"/>
                <w:u w:val="single"/>
              </w:rPr>
            </w:pPr>
            <w:r w:rsidRPr="00A07D6C">
              <w:rPr>
                <w:rFonts w:hint="cs"/>
                <w:b/>
                <w:bCs/>
                <w:sz w:val="17"/>
                <w:szCs w:val="17"/>
                <w:u w:val="single"/>
                <w:rtl/>
              </w:rPr>
              <w:t>الأرباح قبل حساب الفوائد والضرائب والإهلاك والإطفاء</w:t>
            </w:r>
            <w:r w:rsidRPr="00A07D6C">
              <w:rPr>
                <w:b/>
                <w:bCs/>
                <w:sz w:val="17"/>
                <w:szCs w:val="17"/>
                <w:u w:val="single"/>
                <w:vertAlign w:val="superscript"/>
              </w:rPr>
              <w:t xml:space="preserve"> </w:t>
            </w:r>
            <w:r w:rsidRPr="00155339">
              <w:rPr>
                <w:sz w:val="17"/>
                <w:szCs w:val="17"/>
                <w:vertAlign w:val="superscript"/>
              </w:rPr>
              <w:t>(a)</w:t>
            </w:r>
            <w:r w:rsidRPr="007D2480">
              <w:rPr>
                <w:sz w:val="17"/>
              </w:rPr>
              <w:tab/>
            </w:r>
          </w:p>
        </w:tc>
        <w:tc>
          <w:tcPr>
            <w:tcW w:w="242" w:type="dxa"/>
            <w:vAlign w:val="bottom"/>
          </w:tcPr>
          <w:p w14:paraId="1DC83763" w14:textId="77777777" w:rsidR="00CE09BC" w:rsidRPr="00E834EF" w:rsidRDefault="00CE09BC" w:rsidP="00CE09BC">
            <w:pPr>
              <w:spacing w:before="40" w:after="40"/>
              <w:rPr>
                <w:sz w:val="17"/>
                <w:szCs w:val="17"/>
              </w:rPr>
            </w:pPr>
          </w:p>
        </w:tc>
        <w:tc>
          <w:tcPr>
            <w:tcW w:w="913" w:type="dxa"/>
          </w:tcPr>
          <w:p w14:paraId="25018B7C" w14:textId="77777777" w:rsidR="00CE09BC" w:rsidRPr="007766C5" w:rsidRDefault="00CE09BC" w:rsidP="00CE09BC">
            <w:pPr>
              <w:spacing w:before="40" w:after="40"/>
              <w:jc w:val="right"/>
              <w:rPr>
                <w:b/>
                <w:bCs/>
                <w:color w:val="000000"/>
                <w:sz w:val="17"/>
                <w:szCs w:val="17"/>
              </w:rPr>
            </w:pPr>
            <w:r w:rsidRPr="007A3BB2">
              <w:rPr>
                <w:sz w:val="16"/>
                <w:szCs w:val="16"/>
              </w:rPr>
              <w:t>276.0</w:t>
            </w:r>
          </w:p>
        </w:tc>
        <w:tc>
          <w:tcPr>
            <w:tcW w:w="252" w:type="dxa"/>
            <w:gridSpan w:val="2"/>
            <w:vAlign w:val="bottom"/>
          </w:tcPr>
          <w:p w14:paraId="4750E891" w14:textId="77777777" w:rsidR="00CE09BC" w:rsidRPr="007766C5" w:rsidRDefault="00CE09BC" w:rsidP="00CE09BC">
            <w:pPr>
              <w:spacing w:before="40" w:after="40"/>
              <w:rPr>
                <w:b/>
                <w:bCs/>
                <w:color w:val="000000"/>
                <w:sz w:val="17"/>
                <w:szCs w:val="17"/>
              </w:rPr>
            </w:pPr>
          </w:p>
        </w:tc>
        <w:tc>
          <w:tcPr>
            <w:tcW w:w="924" w:type="dxa"/>
          </w:tcPr>
          <w:p w14:paraId="05F6D853" w14:textId="77777777" w:rsidR="00CE09BC" w:rsidRPr="007766C5" w:rsidRDefault="00CE09BC" w:rsidP="00CE09BC">
            <w:pPr>
              <w:spacing w:before="40" w:after="40"/>
              <w:jc w:val="right"/>
              <w:rPr>
                <w:b/>
                <w:bCs/>
                <w:color w:val="000000"/>
                <w:sz w:val="17"/>
                <w:szCs w:val="17"/>
              </w:rPr>
            </w:pPr>
            <w:r w:rsidRPr="007A3BB2">
              <w:rPr>
                <w:sz w:val="16"/>
                <w:szCs w:val="16"/>
              </w:rPr>
              <w:t>397.6</w:t>
            </w:r>
          </w:p>
        </w:tc>
        <w:tc>
          <w:tcPr>
            <w:tcW w:w="242" w:type="dxa"/>
            <w:vAlign w:val="bottom"/>
          </w:tcPr>
          <w:p w14:paraId="69D58CDD" w14:textId="77777777" w:rsidR="00CE09BC" w:rsidRPr="007766C5" w:rsidRDefault="00CE09BC" w:rsidP="00CE09BC">
            <w:pPr>
              <w:spacing w:before="40" w:after="40"/>
              <w:rPr>
                <w:b/>
                <w:bCs/>
                <w:color w:val="000000"/>
                <w:sz w:val="17"/>
                <w:szCs w:val="17"/>
              </w:rPr>
            </w:pPr>
          </w:p>
        </w:tc>
        <w:tc>
          <w:tcPr>
            <w:tcW w:w="924" w:type="dxa"/>
          </w:tcPr>
          <w:p w14:paraId="4089FAA3" w14:textId="77777777" w:rsidR="00CE09BC" w:rsidRPr="007766C5" w:rsidRDefault="00CE09BC" w:rsidP="00CE09BC">
            <w:pPr>
              <w:spacing w:before="40" w:after="40"/>
              <w:jc w:val="right"/>
              <w:rPr>
                <w:b/>
                <w:bCs/>
                <w:color w:val="000000"/>
                <w:sz w:val="17"/>
                <w:szCs w:val="17"/>
              </w:rPr>
            </w:pPr>
            <w:r w:rsidRPr="007A3BB2">
              <w:rPr>
                <w:sz w:val="16"/>
                <w:szCs w:val="16"/>
              </w:rPr>
              <w:t>486.9</w:t>
            </w:r>
          </w:p>
        </w:tc>
        <w:tc>
          <w:tcPr>
            <w:tcW w:w="242" w:type="dxa"/>
            <w:vAlign w:val="bottom"/>
          </w:tcPr>
          <w:p w14:paraId="08611ED4" w14:textId="77777777" w:rsidR="00CE09BC" w:rsidRPr="007766C5" w:rsidRDefault="00CE09BC" w:rsidP="00CE09BC">
            <w:pPr>
              <w:spacing w:before="40" w:after="40"/>
              <w:rPr>
                <w:b/>
                <w:bCs/>
                <w:sz w:val="17"/>
                <w:szCs w:val="17"/>
              </w:rPr>
            </w:pPr>
          </w:p>
        </w:tc>
        <w:tc>
          <w:tcPr>
            <w:tcW w:w="924" w:type="dxa"/>
            <w:vAlign w:val="bottom"/>
          </w:tcPr>
          <w:p w14:paraId="10E855CE" w14:textId="77777777" w:rsidR="00CE09BC" w:rsidRPr="007766C5" w:rsidRDefault="00CE09BC" w:rsidP="00CE09BC">
            <w:pPr>
              <w:spacing w:before="40" w:after="40"/>
              <w:jc w:val="right"/>
              <w:rPr>
                <w:b/>
                <w:bCs/>
                <w:sz w:val="17"/>
                <w:szCs w:val="17"/>
              </w:rPr>
            </w:pPr>
            <w:r w:rsidRPr="007A3BB2">
              <w:rPr>
                <w:sz w:val="16"/>
                <w:szCs w:val="16"/>
              </w:rPr>
              <w:t>324.4</w:t>
            </w:r>
          </w:p>
        </w:tc>
        <w:tc>
          <w:tcPr>
            <w:tcW w:w="227" w:type="dxa"/>
            <w:vAlign w:val="bottom"/>
          </w:tcPr>
          <w:p w14:paraId="3C306873" w14:textId="77777777" w:rsidR="00CE09BC" w:rsidRPr="007766C5" w:rsidRDefault="00CE09BC" w:rsidP="00CE09BC">
            <w:pPr>
              <w:spacing w:before="40" w:after="40"/>
              <w:rPr>
                <w:b/>
                <w:bCs/>
                <w:sz w:val="17"/>
                <w:szCs w:val="17"/>
              </w:rPr>
            </w:pPr>
          </w:p>
        </w:tc>
        <w:tc>
          <w:tcPr>
            <w:tcW w:w="939" w:type="dxa"/>
            <w:vAlign w:val="bottom"/>
          </w:tcPr>
          <w:p w14:paraId="2823C87D" w14:textId="77777777" w:rsidR="00CE09BC" w:rsidRPr="007766C5" w:rsidRDefault="00CE09BC" w:rsidP="00CE09BC">
            <w:pPr>
              <w:spacing w:before="40" w:after="40"/>
              <w:jc w:val="right"/>
              <w:rPr>
                <w:b/>
                <w:bCs/>
                <w:sz w:val="17"/>
                <w:szCs w:val="17"/>
              </w:rPr>
            </w:pPr>
            <w:r w:rsidRPr="007A3BB2">
              <w:rPr>
                <w:sz w:val="16"/>
                <w:szCs w:val="16"/>
              </w:rPr>
              <w:t>423.4</w:t>
            </w:r>
          </w:p>
        </w:tc>
        <w:tc>
          <w:tcPr>
            <w:tcW w:w="266" w:type="dxa"/>
            <w:vAlign w:val="bottom"/>
          </w:tcPr>
          <w:p w14:paraId="7FCF2C89" w14:textId="77777777" w:rsidR="00CE09BC" w:rsidRPr="000D2863" w:rsidRDefault="00CE09BC" w:rsidP="00CE09BC">
            <w:pPr>
              <w:spacing w:before="40" w:after="40"/>
              <w:rPr>
                <w:b/>
                <w:bCs/>
                <w:sz w:val="17"/>
                <w:szCs w:val="17"/>
              </w:rPr>
            </w:pPr>
          </w:p>
        </w:tc>
      </w:tr>
      <w:tr w:rsidR="00CE09BC" w:rsidRPr="00E834EF" w14:paraId="3FC1C916" w14:textId="77777777" w:rsidTr="008C57E0">
        <w:tc>
          <w:tcPr>
            <w:tcW w:w="3254" w:type="dxa"/>
          </w:tcPr>
          <w:p w14:paraId="132DA695" w14:textId="77777777" w:rsidR="00CE09BC" w:rsidRDefault="00CE09BC" w:rsidP="00CE09BC">
            <w:pPr>
              <w:tabs>
                <w:tab w:val="right" w:leader="dot" w:pos="3255"/>
              </w:tabs>
              <w:bidi/>
              <w:spacing w:before="40" w:after="40"/>
              <w:rPr>
                <w:b/>
                <w:bCs/>
                <w:i/>
                <w:iCs/>
                <w:sz w:val="17"/>
                <w:szCs w:val="17"/>
              </w:rPr>
            </w:pPr>
            <w:r w:rsidRPr="00A07D6C">
              <w:rPr>
                <w:rFonts w:hint="cs"/>
                <w:b/>
                <w:bCs/>
                <w:i/>
                <w:iCs/>
                <w:sz w:val="17"/>
                <w:szCs w:val="17"/>
                <w:u w:val="single"/>
                <w:rtl/>
              </w:rPr>
              <w:t>إيرادات مكافئ تأجير السفن المجهزة بالمدة</w:t>
            </w:r>
            <w:r w:rsidRPr="00A07D6C">
              <w:rPr>
                <w:b/>
                <w:bCs/>
                <w:i/>
                <w:iCs/>
                <w:sz w:val="17"/>
                <w:szCs w:val="17"/>
                <w:vertAlign w:val="superscript"/>
              </w:rPr>
              <w:t xml:space="preserve"> </w:t>
            </w:r>
            <w:r w:rsidRPr="00155339">
              <w:rPr>
                <w:sz w:val="17"/>
                <w:szCs w:val="17"/>
                <w:vertAlign w:val="superscript"/>
              </w:rPr>
              <w:t>(b)</w:t>
            </w:r>
            <w:r w:rsidRPr="007D2480">
              <w:rPr>
                <w:sz w:val="17"/>
              </w:rPr>
              <w:t xml:space="preserve"> </w:t>
            </w:r>
            <w:r w:rsidRPr="007D2480">
              <w:rPr>
                <w:sz w:val="17"/>
              </w:rPr>
              <w:tab/>
            </w:r>
          </w:p>
        </w:tc>
        <w:tc>
          <w:tcPr>
            <w:tcW w:w="242" w:type="dxa"/>
            <w:vAlign w:val="bottom"/>
          </w:tcPr>
          <w:p w14:paraId="595C7081" w14:textId="77777777" w:rsidR="00CE09BC" w:rsidRPr="00E834EF" w:rsidRDefault="00CE09BC" w:rsidP="00CE09BC">
            <w:pPr>
              <w:spacing w:before="40" w:after="40"/>
              <w:rPr>
                <w:sz w:val="17"/>
                <w:szCs w:val="17"/>
              </w:rPr>
            </w:pPr>
          </w:p>
        </w:tc>
        <w:tc>
          <w:tcPr>
            <w:tcW w:w="913" w:type="dxa"/>
          </w:tcPr>
          <w:p w14:paraId="4A54DE8D" w14:textId="77777777" w:rsidR="00CE09BC" w:rsidRPr="00E754AA" w:rsidRDefault="00CE09BC" w:rsidP="00CE09BC">
            <w:pPr>
              <w:spacing w:before="40" w:after="40"/>
              <w:jc w:val="right"/>
              <w:rPr>
                <w:color w:val="000000"/>
                <w:sz w:val="17"/>
                <w:szCs w:val="17"/>
              </w:rPr>
            </w:pPr>
            <w:r w:rsidRPr="007A3BB2">
              <w:rPr>
                <w:sz w:val="16"/>
                <w:szCs w:val="16"/>
              </w:rPr>
              <w:t>470.3</w:t>
            </w:r>
          </w:p>
        </w:tc>
        <w:tc>
          <w:tcPr>
            <w:tcW w:w="252" w:type="dxa"/>
            <w:gridSpan w:val="2"/>
          </w:tcPr>
          <w:p w14:paraId="34EAB152" w14:textId="77777777" w:rsidR="00CE09BC" w:rsidRPr="00E754AA" w:rsidRDefault="00CE09BC" w:rsidP="00CE09BC">
            <w:pPr>
              <w:spacing w:before="40" w:after="40"/>
              <w:rPr>
                <w:color w:val="000000"/>
                <w:sz w:val="17"/>
                <w:szCs w:val="17"/>
              </w:rPr>
            </w:pPr>
          </w:p>
        </w:tc>
        <w:tc>
          <w:tcPr>
            <w:tcW w:w="924" w:type="dxa"/>
          </w:tcPr>
          <w:p w14:paraId="2AA1786C" w14:textId="77777777" w:rsidR="00CE09BC" w:rsidRPr="00E754AA" w:rsidRDefault="00CE09BC" w:rsidP="00CE09BC">
            <w:pPr>
              <w:spacing w:before="40" w:after="40"/>
              <w:jc w:val="right"/>
              <w:rPr>
                <w:color w:val="000000"/>
                <w:sz w:val="17"/>
                <w:szCs w:val="17"/>
              </w:rPr>
            </w:pPr>
            <w:r w:rsidRPr="007A3BB2">
              <w:rPr>
                <w:sz w:val="16"/>
                <w:szCs w:val="16"/>
              </w:rPr>
              <w:t>649.5</w:t>
            </w:r>
          </w:p>
        </w:tc>
        <w:tc>
          <w:tcPr>
            <w:tcW w:w="242" w:type="dxa"/>
          </w:tcPr>
          <w:p w14:paraId="0F9594B7" w14:textId="77777777" w:rsidR="00CE09BC" w:rsidRPr="00E754AA" w:rsidRDefault="00CE09BC" w:rsidP="00CE09BC">
            <w:pPr>
              <w:spacing w:before="40" w:after="40"/>
              <w:rPr>
                <w:color w:val="000000"/>
                <w:sz w:val="17"/>
                <w:szCs w:val="17"/>
              </w:rPr>
            </w:pPr>
          </w:p>
        </w:tc>
        <w:tc>
          <w:tcPr>
            <w:tcW w:w="924" w:type="dxa"/>
          </w:tcPr>
          <w:p w14:paraId="7876DCE9" w14:textId="77777777" w:rsidR="00CE09BC" w:rsidRPr="00E754AA" w:rsidRDefault="00CE09BC" w:rsidP="00CE09BC">
            <w:pPr>
              <w:spacing w:before="40" w:after="40"/>
              <w:jc w:val="right"/>
              <w:rPr>
                <w:color w:val="000000"/>
                <w:sz w:val="17"/>
                <w:szCs w:val="17"/>
              </w:rPr>
            </w:pPr>
            <w:r w:rsidRPr="007A3BB2">
              <w:rPr>
                <w:sz w:val="16"/>
                <w:szCs w:val="16"/>
              </w:rPr>
              <w:t>732.5</w:t>
            </w:r>
          </w:p>
        </w:tc>
        <w:tc>
          <w:tcPr>
            <w:tcW w:w="242" w:type="dxa"/>
            <w:vAlign w:val="bottom"/>
          </w:tcPr>
          <w:p w14:paraId="0305CBD6" w14:textId="77777777" w:rsidR="00CE09BC" w:rsidRPr="00E754AA" w:rsidRDefault="00CE09BC" w:rsidP="00CE09BC">
            <w:pPr>
              <w:spacing w:before="40" w:after="40"/>
              <w:rPr>
                <w:sz w:val="17"/>
                <w:szCs w:val="17"/>
              </w:rPr>
            </w:pPr>
          </w:p>
        </w:tc>
        <w:tc>
          <w:tcPr>
            <w:tcW w:w="924" w:type="dxa"/>
            <w:vAlign w:val="bottom"/>
          </w:tcPr>
          <w:p w14:paraId="10698785" w14:textId="77777777" w:rsidR="00CE09BC" w:rsidRPr="00E754AA" w:rsidRDefault="00CE09BC" w:rsidP="00CE09BC">
            <w:pPr>
              <w:spacing w:before="40" w:after="40"/>
              <w:jc w:val="right"/>
              <w:rPr>
                <w:sz w:val="17"/>
                <w:szCs w:val="17"/>
              </w:rPr>
            </w:pPr>
            <w:r w:rsidRPr="007A3BB2">
              <w:rPr>
                <w:sz w:val="16"/>
                <w:szCs w:val="16"/>
              </w:rPr>
              <w:t>551.6</w:t>
            </w:r>
          </w:p>
        </w:tc>
        <w:tc>
          <w:tcPr>
            <w:tcW w:w="227" w:type="dxa"/>
            <w:vAlign w:val="bottom"/>
          </w:tcPr>
          <w:p w14:paraId="3B80A454" w14:textId="77777777" w:rsidR="00CE09BC" w:rsidRPr="00E754AA" w:rsidRDefault="00CE09BC" w:rsidP="00CE09BC">
            <w:pPr>
              <w:spacing w:before="40" w:after="40"/>
              <w:rPr>
                <w:sz w:val="17"/>
                <w:szCs w:val="17"/>
              </w:rPr>
            </w:pPr>
          </w:p>
        </w:tc>
        <w:tc>
          <w:tcPr>
            <w:tcW w:w="939" w:type="dxa"/>
            <w:vAlign w:val="bottom"/>
          </w:tcPr>
          <w:p w14:paraId="512CFF09" w14:textId="77777777" w:rsidR="00CE09BC" w:rsidRPr="00E754AA" w:rsidRDefault="00CE09BC" w:rsidP="00CE09BC">
            <w:pPr>
              <w:spacing w:before="40" w:after="40"/>
              <w:jc w:val="right"/>
              <w:rPr>
                <w:sz w:val="17"/>
                <w:szCs w:val="17"/>
              </w:rPr>
            </w:pPr>
            <w:r w:rsidRPr="007A3BB2">
              <w:rPr>
                <w:sz w:val="16"/>
                <w:szCs w:val="16"/>
              </w:rPr>
              <w:t>613.3</w:t>
            </w:r>
          </w:p>
        </w:tc>
        <w:tc>
          <w:tcPr>
            <w:tcW w:w="266" w:type="dxa"/>
            <w:vAlign w:val="bottom"/>
          </w:tcPr>
          <w:p w14:paraId="4640D1EA" w14:textId="77777777" w:rsidR="00CE09BC" w:rsidRPr="000D2863" w:rsidRDefault="00CE09BC" w:rsidP="00CE09BC">
            <w:pPr>
              <w:spacing w:before="40" w:after="40"/>
              <w:rPr>
                <w:sz w:val="17"/>
                <w:szCs w:val="17"/>
              </w:rPr>
            </w:pPr>
          </w:p>
        </w:tc>
      </w:tr>
      <w:tr w:rsidR="00CE09BC" w:rsidRPr="00E834EF" w14:paraId="2E0A2520" w14:textId="77777777" w:rsidTr="008C57E0">
        <w:tc>
          <w:tcPr>
            <w:tcW w:w="3254" w:type="dxa"/>
          </w:tcPr>
          <w:p w14:paraId="084C2AFC" w14:textId="77777777" w:rsidR="00CE09BC" w:rsidRPr="0054596C" w:rsidRDefault="00CE09BC" w:rsidP="00CE09BC">
            <w:pPr>
              <w:tabs>
                <w:tab w:val="right" w:leader="dot" w:pos="3255"/>
              </w:tabs>
              <w:bidi/>
              <w:spacing w:before="40" w:after="40"/>
              <w:rPr>
                <w:b/>
                <w:bCs/>
                <w:sz w:val="17"/>
                <w:szCs w:val="17"/>
                <w:u w:val="single"/>
              </w:rPr>
            </w:pPr>
            <w:r w:rsidRPr="00A07D6C">
              <w:rPr>
                <w:rFonts w:hint="cs"/>
                <w:b/>
                <w:bCs/>
                <w:sz w:val="17"/>
                <w:szCs w:val="17"/>
                <w:u w:val="single"/>
                <w:rtl/>
              </w:rPr>
              <w:lastRenderedPageBreak/>
              <w:t>هامش الأرباح قبل حساب الفوائد والضرائب والإهلاك والإطفاء</w:t>
            </w:r>
            <w:r>
              <w:rPr>
                <w:sz w:val="17"/>
                <w:szCs w:val="17"/>
              </w:rPr>
              <w:t xml:space="preserve"> </w:t>
            </w:r>
            <w:r w:rsidRPr="00155339">
              <w:rPr>
                <w:sz w:val="17"/>
                <w:szCs w:val="17"/>
                <w:vertAlign w:val="superscript"/>
              </w:rPr>
              <w:t>(</w:t>
            </w:r>
            <w:r w:rsidRPr="00155339">
              <w:rPr>
                <w:b/>
                <w:bCs/>
                <w:sz w:val="17"/>
                <w:szCs w:val="17"/>
                <w:vertAlign w:val="superscript"/>
              </w:rPr>
              <w:t>a</w:t>
            </w:r>
            <w:r w:rsidRPr="00155339">
              <w:rPr>
                <w:sz w:val="17"/>
                <w:szCs w:val="17"/>
                <w:vertAlign w:val="superscript"/>
              </w:rPr>
              <w:t xml:space="preserve"> over </w:t>
            </w:r>
            <w:r w:rsidRPr="00155339">
              <w:rPr>
                <w:b/>
                <w:bCs/>
                <w:sz w:val="17"/>
                <w:szCs w:val="17"/>
                <w:vertAlign w:val="superscript"/>
              </w:rPr>
              <w:t>b</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6D19BECA" w14:textId="77777777" w:rsidR="00CE09BC" w:rsidRPr="00E834EF" w:rsidRDefault="00CE09BC" w:rsidP="00CE09BC">
            <w:pPr>
              <w:spacing w:before="40" w:after="40"/>
              <w:rPr>
                <w:sz w:val="17"/>
                <w:szCs w:val="17"/>
              </w:rPr>
            </w:pPr>
          </w:p>
        </w:tc>
        <w:tc>
          <w:tcPr>
            <w:tcW w:w="913" w:type="dxa"/>
          </w:tcPr>
          <w:p w14:paraId="0FB942E6" w14:textId="77777777" w:rsidR="00CE09BC" w:rsidRPr="00E754AA" w:rsidRDefault="00CE09BC" w:rsidP="00CE09BC">
            <w:pPr>
              <w:spacing w:before="40" w:after="40"/>
              <w:jc w:val="right"/>
              <w:rPr>
                <w:b/>
                <w:bCs/>
                <w:color w:val="000000"/>
                <w:sz w:val="17"/>
                <w:szCs w:val="17"/>
              </w:rPr>
            </w:pPr>
            <w:r w:rsidRPr="00E754AA">
              <w:rPr>
                <w:b/>
                <w:bCs/>
                <w:sz w:val="17"/>
                <w:szCs w:val="17"/>
              </w:rPr>
              <w:t>58.</w:t>
            </w:r>
            <w:r w:rsidR="00BB3069">
              <w:rPr>
                <w:b/>
                <w:bCs/>
                <w:sz w:val="17"/>
                <w:szCs w:val="17"/>
              </w:rPr>
              <w:t>7</w:t>
            </w:r>
            <w:r w:rsidR="00080093">
              <w:rPr>
                <w:b/>
                <w:bCs/>
                <w:sz w:val="17"/>
                <w:szCs w:val="17"/>
              </w:rPr>
              <w:t>%</w:t>
            </w:r>
          </w:p>
        </w:tc>
        <w:tc>
          <w:tcPr>
            <w:tcW w:w="252" w:type="dxa"/>
            <w:gridSpan w:val="2"/>
            <w:vAlign w:val="bottom"/>
          </w:tcPr>
          <w:p w14:paraId="51481A3D" w14:textId="77777777" w:rsidR="00CE09BC" w:rsidRPr="00E754AA" w:rsidRDefault="00CE09BC" w:rsidP="00CE09BC">
            <w:pPr>
              <w:spacing w:before="40" w:after="40"/>
              <w:rPr>
                <w:b/>
                <w:bCs/>
                <w:color w:val="000000"/>
                <w:sz w:val="17"/>
                <w:szCs w:val="17"/>
              </w:rPr>
            </w:pPr>
          </w:p>
        </w:tc>
        <w:tc>
          <w:tcPr>
            <w:tcW w:w="924" w:type="dxa"/>
          </w:tcPr>
          <w:p w14:paraId="56238833" w14:textId="77777777" w:rsidR="00CE09BC" w:rsidRPr="00E754AA" w:rsidRDefault="00BB3069" w:rsidP="00CE09BC">
            <w:pPr>
              <w:spacing w:before="40" w:after="40"/>
              <w:jc w:val="right"/>
              <w:rPr>
                <w:b/>
                <w:bCs/>
                <w:color w:val="000000"/>
                <w:sz w:val="17"/>
                <w:szCs w:val="17"/>
              </w:rPr>
            </w:pPr>
            <w:r>
              <w:rPr>
                <w:b/>
                <w:bCs/>
                <w:sz w:val="17"/>
                <w:szCs w:val="17"/>
              </w:rPr>
              <w:t>61.2</w:t>
            </w:r>
            <w:r w:rsidR="00BE3259">
              <w:rPr>
                <w:b/>
                <w:bCs/>
                <w:sz w:val="17"/>
                <w:szCs w:val="17"/>
              </w:rPr>
              <w:t>%</w:t>
            </w:r>
          </w:p>
        </w:tc>
        <w:tc>
          <w:tcPr>
            <w:tcW w:w="242" w:type="dxa"/>
            <w:vAlign w:val="bottom"/>
          </w:tcPr>
          <w:p w14:paraId="2C2CF7E7" w14:textId="77777777" w:rsidR="00CE09BC" w:rsidRPr="00E754AA" w:rsidRDefault="00CE09BC" w:rsidP="00CE09BC">
            <w:pPr>
              <w:spacing w:before="40" w:after="40"/>
              <w:rPr>
                <w:b/>
                <w:bCs/>
                <w:color w:val="000000"/>
                <w:sz w:val="17"/>
                <w:szCs w:val="17"/>
              </w:rPr>
            </w:pPr>
          </w:p>
        </w:tc>
        <w:tc>
          <w:tcPr>
            <w:tcW w:w="924" w:type="dxa"/>
          </w:tcPr>
          <w:p w14:paraId="542F178F" w14:textId="77777777" w:rsidR="00CE09BC" w:rsidRPr="00E754AA" w:rsidRDefault="00BB3069" w:rsidP="00CE09BC">
            <w:pPr>
              <w:spacing w:before="40" w:after="40"/>
              <w:jc w:val="right"/>
              <w:rPr>
                <w:b/>
                <w:bCs/>
                <w:color w:val="000000"/>
                <w:sz w:val="17"/>
                <w:szCs w:val="17"/>
              </w:rPr>
            </w:pPr>
            <w:r>
              <w:rPr>
                <w:b/>
                <w:bCs/>
                <w:sz w:val="17"/>
                <w:szCs w:val="17"/>
              </w:rPr>
              <w:t>66.5</w:t>
            </w:r>
            <w:r w:rsidR="00BE3259">
              <w:rPr>
                <w:b/>
                <w:bCs/>
                <w:sz w:val="17"/>
                <w:szCs w:val="17"/>
              </w:rPr>
              <w:t>%</w:t>
            </w:r>
          </w:p>
        </w:tc>
        <w:tc>
          <w:tcPr>
            <w:tcW w:w="242" w:type="dxa"/>
            <w:vAlign w:val="bottom"/>
          </w:tcPr>
          <w:p w14:paraId="2DA79D18" w14:textId="77777777" w:rsidR="00CE09BC" w:rsidRPr="00E754AA" w:rsidRDefault="00CE09BC" w:rsidP="00CE09BC">
            <w:pPr>
              <w:spacing w:before="40" w:after="40"/>
              <w:rPr>
                <w:b/>
                <w:bCs/>
                <w:sz w:val="17"/>
                <w:szCs w:val="17"/>
              </w:rPr>
            </w:pPr>
            <w:r w:rsidRPr="00E754AA">
              <w:rPr>
                <w:b/>
                <w:bCs/>
                <w:sz w:val="17"/>
                <w:szCs w:val="17"/>
              </w:rPr>
              <w:t>%</w:t>
            </w:r>
          </w:p>
        </w:tc>
        <w:tc>
          <w:tcPr>
            <w:tcW w:w="924" w:type="dxa"/>
            <w:vAlign w:val="bottom"/>
          </w:tcPr>
          <w:p w14:paraId="12427AE3" w14:textId="77777777" w:rsidR="00CE09BC" w:rsidRPr="00E754AA" w:rsidRDefault="00BB3069" w:rsidP="00CE09BC">
            <w:pPr>
              <w:spacing w:before="40" w:after="40"/>
              <w:jc w:val="right"/>
              <w:rPr>
                <w:b/>
                <w:bCs/>
                <w:sz w:val="17"/>
                <w:szCs w:val="17"/>
              </w:rPr>
            </w:pPr>
            <w:r>
              <w:rPr>
                <w:b/>
                <w:bCs/>
                <w:sz w:val="17"/>
                <w:szCs w:val="17"/>
              </w:rPr>
              <w:t>58.8</w:t>
            </w:r>
          </w:p>
        </w:tc>
        <w:tc>
          <w:tcPr>
            <w:tcW w:w="227" w:type="dxa"/>
            <w:vAlign w:val="bottom"/>
          </w:tcPr>
          <w:p w14:paraId="1B710FCA" w14:textId="77777777" w:rsidR="00CE09BC" w:rsidRPr="00E754AA" w:rsidRDefault="00CE09BC" w:rsidP="00CE09BC">
            <w:pPr>
              <w:spacing w:before="40" w:after="40"/>
              <w:rPr>
                <w:b/>
                <w:bCs/>
                <w:sz w:val="17"/>
                <w:szCs w:val="17"/>
              </w:rPr>
            </w:pPr>
            <w:r w:rsidRPr="00E754AA">
              <w:rPr>
                <w:b/>
                <w:bCs/>
                <w:sz w:val="17"/>
                <w:szCs w:val="17"/>
              </w:rPr>
              <w:t>%</w:t>
            </w:r>
          </w:p>
        </w:tc>
        <w:tc>
          <w:tcPr>
            <w:tcW w:w="939" w:type="dxa"/>
            <w:vAlign w:val="bottom"/>
          </w:tcPr>
          <w:p w14:paraId="5B776A22" w14:textId="77777777" w:rsidR="00CE09BC" w:rsidRPr="00E754AA" w:rsidRDefault="00C80F93" w:rsidP="00CE09BC">
            <w:pPr>
              <w:spacing w:before="40" w:after="40"/>
              <w:jc w:val="right"/>
              <w:rPr>
                <w:b/>
                <w:bCs/>
                <w:sz w:val="17"/>
                <w:szCs w:val="17"/>
              </w:rPr>
            </w:pPr>
            <w:r>
              <w:rPr>
                <w:b/>
                <w:bCs/>
                <w:sz w:val="17"/>
                <w:szCs w:val="17"/>
              </w:rPr>
              <w:t>69.0</w:t>
            </w:r>
          </w:p>
        </w:tc>
        <w:tc>
          <w:tcPr>
            <w:tcW w:w="266" w:type="dxa"/>
            <w:vAlign w:val="bottom"/>
          </w:tcPr>
          <w:p w14:paraId="0F2F8B92" w14:textId="77777777" w:rsidR="00CE09BC" w:rsidRPr="000D2863" w:rsidRDefault="00CE09BC" w:rsidP="00CE09BC">
            <w:pPr>
              <w:spacing w:before="40" w:after="40"/>
              <w:rPr>
                <w:b/>
                <w:bCs/>
                <w:sz w:val="17"/>
                <w:szCs w:val="17"/>
              </w:rPr>
            </w:pPr>
          </w:p>
        </w:tc>
      </w:tr>
      <w:tr w:rsidR="00B45441" w:rsidRPr="00E834EF" w14:paraId="7C2123B7" w14:textId="77777777" w:rsidTr="008C57E0">
        <w:tc>
          <w:tcPr>
            <w:tcW w:w="3254" w:type="dxa"/>
          </w:tcPr>
          <w:p w14:paraId="563F023B" w14:textId="77777777" w:rsidR="00B45441" w:rsidRPr="003832A3" w:rsidRDefault="00B45441" w:rsidP="00B45441">
            <w:pPr>
              <w:tabs>
                <w:tab w:val="right" w:leader="dot" w:pos="3255"/>
              </w:tabs>
              <w:bidi/>
              <w:spacing w:before="40" w:after="40"/>
              <w:rPr>
                <w:sz w:val="17"/>
                <w:szCs w:val="17"/>
                <w:u w:val="single"/>
              </w:rPr>
            </w:pPr>
            <w:r w:rsidRPr="003832A3">
              <w:rPr>
                <w:rFonts w:hint="eastAsia"/>
                <w:sz w:val="17"/>
                <w:szCs w:val="17"/>
                <w:u w:val="single"/>
                <w:rtl/>
              </w:rPr>
              <w:t>تصحيح</w:t>
            </w:r>
            <w:r w:rsidRPr="003832A3">
              <w:rPr>
                <w:sz w:val="17"/>
                <w:szCs w:val="17"/>
                <w:u w:val="single"/>
                <w:rtl/>
              </w:rPr>
              <w:t xml:space="preserve"> </w:t>
            </w:r>
            <w:r w:rsidRPr="003832A3">
              <w:rPr>
                <w:rFonts w:hint="eastAsia"/>
                <w:sz w:val="17"/>
                <w:szCs w:val="17"/>
                <w:u w:val="single"/>
                <w:rtl/>
              </w:rPr>
              <w:t>الأخطاء</w:t>
            </w:r>
            <w:r w:rsidR="006C26B1">
              <w:rPr>
                <w:sz w:val="17"/>
                <w:szCs w:val="17"/>
                <w:u w:val="single"/>
              </w:rPr>
              <w:t>…………………………………..</w:t>
            </w:r>
          </w:p>
        </w:tc>
        <w:tc>
          <w:tcPr>
            <w:tcW w:w="242" w:type="dxa"/>
            <w:vAlign w:val="bottom"/>
          </w:tcPr>
          <w:p w14:paraId="4A4587D2" w14:textId="77777777" w:rsidR="00B45441" w:rsidRPr="00E834EF" w:rsidRDefault="00B45441" w:rsidP="00B45441">
            <w:pPr>
              <w:spacing w:before="40" w:after="40"/>
              <w:rPr>
                <w:sz w:val="17"/>
                <w:szCs w:val="17"/>
              </w:rPr>
            </w:pPr>
          </w:p>
        </w:tc>
        <w:tc>
          <w:tcPr>
            <w:tcW w:w="913" w:type="dxa"/>
          </w:tcPr>
          <w:p w14:paraId="68785CD4" w14:textId="77777777" w:rsidR="00B45441" w:rsidRPr="003832A3" w:rsidRDefault="00B45441" w:rsidP="00B45441">
            <w:pPr>
              <w:spacing w:before="40" w:after="40"/>
              <w:jc w:val="right"/>
              <w:rPr>
                <w:sz w:val="17"/>
                <w:szCs w:val="17"/>
                <w:lang w:val="en-GB"/>
              </w:rPr>
            </w:pPr>
            <w:r w:rsidRPr="003832A3">
              <w:rPr>
                <w:sz w:val="17"/>
                <w:szCs w:val="17"/>
                <w:lang w:val="en-GB"/>
              </w:rPr>
              <w:t>(3.1)</w:t>
            </w:r>
          </w:p>
        </w:tc>
        <w:tc>
          <w:tcPr>
            <w:tcW w:w="252" w:type="dxa"/>
            <w:gridSpan w:val="2"/>
            <w:vAlign w:val="bottom"/>
          </w:tcPr>
          <w:p w14:paraId="6C8E0D2D" w14:textId="77777777" w:rsidR="00B45441" w:rsidRPr="003832A3" w:rsidRDefault="00B45441" w:rsidP="00B45441">
            <w:pPr>
              <w:spacing w:before="40" w:after="40"/>
              <w:rPr>
                <w:sz w:val="17"/>
                <w:szCs w:val="17"/>
              </w:rPr>
            </w:pPr>
          </w:p>
        </w:tc>
        <w:tc>
          <w:tcPr>
            <w:tcW w:w="924" w:type="dxa"/>
          </w:tcPr>
          <w:p w14:paraId="209C6139" w14:textId="77777777" w:rsidR="00B45441" w:rsidRPr="003832A3" w:rsidRDefault="00B45441" w:rsidP="00B45441">
            <w:pPr>
              <w:spacing w:before="40" w:after="40"/>
              <w:jc w:val="right"/>
              <w:rPr>
                <w:sz w:val="17"/>
                <w:szCs w:val="17"/>
              </w:rPr>
            </w:pPr>
            <w:r w:rsidRPr="00B26791">
              <w:rPr>
                <w:sz w:val="17"/>
              </w:rPr>
              <w:t>—</w:t>
            </w:r>
          </w:p>
        </w:tc>
        <w:tc>
          <w:tcPr>
            <w:tcW w:w="242" w:type="dxa"/>
          </w:tcPr>
          <w:p w14:paraId="2A4A9483" w14:textId="77777777" w:rsidR="00B45441" w:rsidRPr="003832A3" w:rsidRDefault="00B45441" w:rsidP="00B45441">
            <w:pPr>
              <w:spacing w:before="40" w:after="40"/>
              <w:rPr>
                <w:sz w:val="17"/>
                <w:szCs w:val="17"/>
              </w:rPr>
            </w:pPr>
          </w:p>
        </w:tc>
        <w:tc>
          <w:tcPr>
            <w:tcW w:w="924" w:type="dxa"/>
          </w:tcPr>
          <w:p w14:paraId="0A30200A" w14:textId="77777777" w:rsidR="00B45441" w:rsidRPr="003832A3" w:rsidRDefault="00B45441" w:rsidP="00B45441">
            <w:pPr>
              <w:spacing w:before="40" w:after="40"/>
              <w:jc w:val="right"/>
              <w:rPr>
                <w:sz w:val="17"/>
                <w:szCs w:val="17"/>
              </w:rPr>
            </w:pPr>
            <w:r w:rsidRPr="00B26791">
              <w:rPr>
                <w:sz w:val="17"/>
              </w:rPr>
              <w:t>—</w:t>
            </w:r>
          </w:p>
        </w:tc>
        <w:tc>
          <w:tcPr>
            <w:tcW w:w="242" w:type="dxa"/>
          </w:tcPr>
          <w:p w14:paraId="7349C6D1" w14:textId="77777777" w:rsidR="00B45441" w:rsidRPr="003832A3" w:rsidRDefault="00B45441" w:rsidP="00B45441">
            <w:pPr>
              <w:spacing w:before="40" w:after="40"/>
              <w:rPr>
                <w:sz w:val="17"/>
                <w:szCs w:val="17"/>
              </w:rPr>
            </w:pPr>
          </w:p>
        </w:tc>
        <w:tc>
          <w:tcPr>
            <w:tcW w:w="924" w:type="dxa"/>
          </w:tcPr>
          <w:p w14:paraId="705D400D" w14:textId="77777777" w:rsidR="00B45441" w:rsidRPr="003832A3" w:rsidRDefault="007875E9" w:rsidP="00B45441">
            <w:pPr>
              <w:spacing w:before="40" w:after="40"/>
              <w:jc w:val="right"/>
              <w:rPr>
                <w:sz w:val="17"/>
                <w:szCs w:val="17"/>
              </w:rPr>
            </w:pPr>
            <w:r w:rsidRPr="00B26791">
              <w:rPr>
                <w:sz w:val="17"/>
              </w:rPr>
              <w:t>—</w:t>
            </w:r>
          </w:p>
        </w:tc>
        <w:tc>
          <w:tcPr>
            <w:tcW w:w="227" w:type="dxa"/>
          </w:tcPr>
          <w:p w14:paraId="446F23F0" w14:textId="77777777" w:rsidR="00B45441" w:rsidRPr="003832A3" w:rsidRDefault="00B45441" w:rsidP="00B45441">
            <w:pPr>
              <w:spacing w:before="40" w:after="40"/>
              <w:rPr>
                <w:sz w:val="17"/>
                <w:szCs w:val="17"/>
              </w:rPr>
            </w:pPr>
          </w:p>
        </w:tc>
        <w:tc>
          <w:tcPr>
            <w:tcW w:w="939" w:type="dxa"/>
          </w:tcPr>
          <w:p w14:paraId="76C299B5" w14:textId="77777777" w:rsidR="00B45441" w:rsidRPr="003832A3" w:rsidRDefault="00B45441" w:rsidP="00B45441">
            <w:pPr>
              <w:spacing w:before="40" w:after="40"/>
              <w:jc w:val="right"/>
              <w:rPr>
                <w:sz w:val="17"/>
                <w:szCs w:val="17"/>
              </w:rPr>
            </w:pPr>
            <w:r w:rsidRPr="00B26791">
              <w:rPr>
                <w:sz w:val="17"/>
              </w:rPr>
              <w:t>—</w:t>
            </w:r>
          </w:p>
        </w:tc>
        <w:tc>
          <w:tcPr>
            <w:tcW w:w="266" w:type="dxa"/>
            <w:vAlign w:val="bottom"/>
          </w:tcPr>
          <w:p w14:paraId="228FA7B2" w14:textId="77777777" w:rsidR="00B45441" w:rsidRPr="000D2863" w:rsidRDefault="00B45441" w:rsidP="00B45441">
            <w:pPr>
              <w:spacing w:before="40" w:after="40"/>
              <w:rPr>
                <w:b/>
                <w:bCs/>
                <w:sz w:val="17"/>
                <w:szCs w:val="17"/>
              </w:rPr>
            </w:pPr>
          </w:p>
        </w:tc>
      </w:tr>
      <w:tr w:rsidR="00806DA9" w:rsidRPr="00E834EF" w14:paraId="648AEE24" w14:textId="77777777" w:rsidTr="008C57E0">
        <w:tc>
          <w:tcPr>
            <w:tcW w:w="3254" w:type="dxa"/>
          </w:tcPr>
          <w:p w14:paraId="1E640B55" w14:textId="77777777" w:rsidR="00806DA9" w:rsidRPr="003832A3" w:rsidRDefault="00A52800" w:rsidP="00CE09BC">
            <w:pPr>
              <w:tabs>
                <w:tab w:val="right" w:leader="dot" w:pos="3255"/>
              </w:tabs>
              <w:bidi/>
              <w:spacing w:before="40" w:after="40"/>
              <w:rPr>
                <w:sz w:val="17"/>
                <w:szCs w:val="17"/>
                <w:u w:val="single"/>
              </w:rPr>
            </w:pPr>
            <w:r w:rsidRPr="003832A3">
              <w:rPr>
                <w:rFonts w:hint="eastAsia"/>
                <w:sz w:val="17"/>
                <w:szCs w:val="17"/>
                <w:u w:val="single"/>
                <w:rtl/>
              </w:rPr>
              <w:t>مكسب</w:t>
            </w:r>
            <w:r w:rsidRPr="003832A3">
              <w:rPr>
                <w:sz w:val="17"/>
                <w:szCs w:val="17"/>
                <w:u w:val="single"/>
                <w:rtl/>
              </w:rPr>
              <w:t xml:space="preserve"> (</w:t>
            </w:r>
            <w:r w:rsidRPr="003832A3">
              <w:rPr>
                <w:rFonts w:hint="eastAsia"/>
                <w:sz w:val="17"/>
                <w:szCs w:val="17"/>
                <w:u w:val="single"/>
                <w:rtl/>
              </w:rPr>
              <w:t>خسارة</w:t>
            </w:r>
            <w:r w:rsidRPr="003832A3">
              <w:rPr>
                <w:sz w:val="17"/>
                <w:szCs w:val="17"/>
                <w:u w:val="single"/>
                <w:rtl/>
              </w:rPr>
              <w:t xml:space="preserve">) </w:t>
            </w:r>
            <w:r w:rsidRPr="003832A3">
              <w:rPr>
                <w:rFonts w:hint="eastAsia"/>
                <w:sz w:val="17"/>
                <w:szCs w:val="17"/>
                <w:u w:val="single"/>
                <w:rtl/>
              </w:rPr>
              <w:t>لمرة</w:t>
            </w:r>
            <w:r w:rsidRPr="003832A3">
              <w:rPr>
                <w:sz w:val="17"/>
                <w:szCs w:val="17"/>
                <w:u w:val="single"/>
                <w:rtl/>
              </w:rPr>
              <w:t xml:space="preserve"> </w:t>
            </w:r>
            <w:r w:rsidRPr="003832A3">
              <w:rPr>
                <w:rFonts w:hint="eastAsia"/>
                <w:sz w:val="17"/>
                <w:szCs w:val="17"/>
                <w:u w:val="single"/>
                <w:rtl/>
              </w:rPr>
              <w:t>واحدة</w:t>
            </w:r>
            <w:r w:rsidR="00D449D2" w:rsidRPr="003832A3">
              <w:rPr>
                <w:sz w:val="17"/>
                <w:szCs w:val="17"/>
                <w:u w:val="single"/>
                <w:rtl/>
              </w:rPr>
              <w:t xml:space="preserve"> من بيع الأصو</w:t>
            </w:r>
            <w:r w:rsidR="00A76D52">
              <w:rPr>
                <w:rFonts w:hint="cs"/>
                <w:sz w:val="17"/>
                <w:szCs w:val="17"/>
                <w:u w:val="single"/>
                <w:rtl/>
              </w:rPr>
              <w:t>ل</w:t>
            </w:r>
            <w:r w:rsidR="00D449D2" w:rsidRPr="003832A3">
              <w:rPr>
                <w:sz w:val="17"/>
                <w:szCs w:val="17"/>
                <w:u w:val="single"/>
                <w:rtl/>
              </w:rPr>
              <w:t xml:space="preserve"> الثابتة</w:t>
            </w:r>
            <w:r w:rsidR="006C26B1">
              <w:rPr>
                <w:sz w:val="17"/>
                <w:szCs w:val="17"/>
                <w:u w:val="single"/>
              </w:rPr>
              <w:t>……..</w:t>
            </w:r>
          </w:p>
        </w:tc>
        <w:tc>
          <w:tcPr>
            <w:tcW w:w="242" w:type="dxa"/>
            <w:vAlign w:val="bottom"/>
          </w:tcPr>
          <w:p w14:paraId="7F138C6C" w14:textId="77777777" w:rsidR="00806DA9" w:rsidRPr="00E834EF" w:rsidRDefault="00806DA9" w:rsidP="00CE09BC">
            <w:pPr>
              <w:spacing w:before="40" w:after="40"/>
              <w:rPr>
                <w:sz w:val="17"/>
                <w:szCs w:val="17"/>
              </w:rPr>
            </w:pPr>
          </w:p>
        </w:tc>
        <w:tc>
          <w:tcPr>
            <w:tcW w:w="913" w:type="dxa"/>
          </w:tcPr>
          <w:p w14:paraId="2BFF158E" w14:textId="77777777" w:rsidR="00806DA9" w:rsidRPr="003832A3" w:rsidRDefault="00B45441" w:rsidP="00CE09BC">
            <w:pPr>
              <w:spacing w:before="40" w:after="40"/>
              <w:jc w:val="right"/>
              <w:rPr>
                <w:sz w:val="17"/>
                <w:szCs w:val="17"/>
              </w:rPr>
            </w:pPr>
            <w:r w:rsidRPr="00B26791">
              <w:rPr>
                <w:sz w:val="17"/>
              </w:rPr>
              <w:t>—</w:t>
            </w:r>
          </w:p>
        </w:tc>
        <w:tc>
          <w:tcPr>
            <w:tcW w:w="252" w:type="dxa"/>
            <w:gridSpan w:val="2"/>
            <w:vAlign w:val="bottom"/>
          </w:tcPr>
          <w:p w14:paraId="73EAA80C" w14:textId="77777777" w:rsidR="00806DA9" w:rsidRPr="003832A3" w:rsidRDefault="00806DA9" w:rsidP="00CE09BC">
            <w:pPr>
              <w:spacing w:before="40" w:after="40"/>
              <w:rPr>
                <w:sz w:val="17"/>
                <w:szCs w:val="17"/>
              </w:rPr>
            </w:pPr>
          </w:p>
        </w:tc>
        <w:tc>
          <w:tcPr>
            <w:tcW w:w="924" w:type="dxa"/>
          </w:tcPr>
          <w:p w14:paraId="0C3DCECC" w14:textId="77777777" w:rsidR="00806DA9" w:rsidRPr="003832A3" w:rsidRDefault="00B45441" w:rsidP="00CE09BC">
            <w:pPr>
              <w:spacing w:before="40" w:after="40"/>
              <w:jc w:val="right"/>
              <w:rPr>
                <w:sz w:val="17"/>
                <w:szCs w:val="17"/>
              </w:rPr>
            </w:pPr>
            <w:r w:rsidRPr="003832A3">
              <w:rPr>
                <w:sz w:val="17"/>
                <w:szCs w:val="17"/>
              </w:rPr>
              <w:t>1.9</w:t>
            </w:r>
          </w:p>
        </w:tc>
        <w:tc>
          <w:tcPr>
            <w:tcW w:w="242" w:type="dxa"/>
            <w:vAlign w:val="bottom"/>
          </w:tcPr>
          <w:p w14:paraId="3A331418" w14:textId="77777777" w:rsidR="00806DA9" w:rsidRPr="003832A3" w:rsidRDefault="00806DA9" w:rsidP="00CE09BC">
            <w:pPr>
              <w:spacing w:before="40" w:after="40"/>
              <w:rPr>
                <w:sz w:val="17"/>
                <w:szCs w:val="17"/>
              </w:rPr>
            </w:pPr>
          </w:p>
        </w:tc>
        <w:tc>
          <w:tcPr>
            <w:tcW w:w="924" w:type="dxa"/>
          </w:tcPr>
          <w:p w14:paraId="5496A818" w14:textId="77777777" w:rsidR="00806DA9" w:rsidRPr="003832A3" w:rsidRDefault="00B45441" w:rsidP="00CE09BC">
            <w:pPr>
              <w:spacing w:before="40" w:after="40"/>
              <w:jc w:val="right"/>
              <w:rPr>
                <w:sz w:val="17"/>
                <w:szCs w:val="17"/>
              </w:rPr>
            </w:pPr>
            <w:r w:rsidRPr="003832A3">
              <w:rPr>
                <w:sz w:val="17"/>
                <w:szCs w:val="17"/>
              </w:rPr>
              <w:t>(46.9)</w:t>
            </w:r>
          </w:p>
        </w:tc>
        <w:tc>
          <w:tcPr>
            <w:tcW w:w="242" w:type="dxa"/>
            <w:vAlign w:val="bottom"/>
          </w:tcPr>
          <w:p w14:paraId="32BB9695" w14:textId="77777777" w:rsidR="00806DA9" w:rsidRPr="003832A3" w:rsidRDefault="00806DA9" w:rsidP="00CE09BC">
            <w:pPr>
              <w:spacing w:before="40" w:after="40"/>
              <w:rPr>
                <w:sz w:val="17"/>
                <w:szCs w:val="17"/>
              </w:rPr>
            </w:pPr>
          </w:p>
        </w:tc>
        <w:tc>
          <w:tcPr>
            <w:tcW w:w="924" w:type="dxa"/>
            <w:vAlign w:val="bottom"/>
          </w:tcPr>
          <w:p w14:paraId="618CA140" w14:textId="77777777" w:rsidR="00806DA9" w:rsidRPr="003832A3" w:rsidRDefault="007875E9" w:rsidP="00CE09BC">
            <w:pPr>
              <w:spacing w:before="40" w:after="40"/>
              <w:jc w:val="right"/>
              <w:rPr>
                <w:sz w:val="17"/>
                <w:szCs w:val="17"/>
              </w:rPr>
            </w:pPr>
            <w:r>
              <w:rPr>
                <w:sz w:val="17"/>
                <w:szCs w:val="17"/>
              </w:rPr>
              <w:t>(0.0)</w:t>
            </w:r>
          </w:p>
        </w:tc>
        <w:tc>
          <w:tcPr>
            <w:tcW w:w="227" w:type="dxa"/>
            <w:vAlign w:val="bottom"/>
          </w:tcPr>
          <w:p w14:paraId="6B130D42" w14:textId="77777777" w:rsidR="00806DA9" w:rsidRPr="003832A3" w:rsidRDefault="00806DA9" w:rsidP="00CE09BC">
            <w:pPr>
              <w:spacing w:before="40" w:after="40"/>
              <w:rPr>
                <w:sz w:val="17"/>
                <w:szCs w:val="17"/>
              </w:rPr>
            </w:pPr>
          </w:p>
        </w:tc>
        <w:tc>
          <w:tcPr>
            <w:tcW w:w="939" w:type="dxa"/>
            <w:vAlign w:val="bottom"/>
          </w:tcPr>
          <w:p w14:paraId="54F0843A" w14:textId="77777777" w:rsidR="00806DA9" w:rsidRPr="003832A3" w:rsidRDefault="00B45441" w:rsidP="00CE09BC">
            <w:pPr>
              <w:spacing w:before="40" w:after="40"/>
              <w:jc w:val="right"/>
              <w:rPr>
                <w:sz w:val="17"/>
                <w:szCs w:val="17"/>
              </w:rPr>
            </w:pPr>
            <w:r w:rsidRPr="003832A3">
              <w:rPr>
                <w:sz w:val="17"/>
                <w:szCs w:val="17"/>
              </w:rPr>
              <w:t>(0.0)</w:t>
            </w:r>
          </w:p>
        </w:tc>
        <w:tc>
          <w:tcPr>
            <w:tcW w:w="266" w:type="dxa"/>
            <w:vAlign w:val="bottom"/>
          </w:tcPr>
          <w:p w14:paraId="2A0D8A9A" w14:textId="77777777" w:rsidR="00806DA9" w:rsidRPr="000D2863" w:rsidRDefault="00806DA9" w:rsidP="00CE09BC">
            <w:pPr>
              <w:spacing w:before="40" w:after="40"/>
              <w:rPr>
                <w:b/>
                <w:bCs/>
                <w:sz w:val="17"/>
                <w:szCs w:val="17"/>
              </w:rPr>
            </w:pPr>
          </w:p>
        </w:tc>
      </w:tr>
      <w:tr w:rsidR="00E47FB3" w:rsidRPr="00E834EF" w14:paraId="7D609A2E" w14:textId="77777777" w:rsidTr="008C57E0">
        <w:tc>
          <w:tcPr>
            <w:tcW w:w="3254" w:type="dxa"/>
          </w:tcPr>
          <w:p w14:paraId="40DEBDC2" w14:textId="77777777" w:rsidR="00E47FB3" w:rsidRPr="00D925C8" w:rsidRDefault="00E47FB3" w:rsidP="00E47FB3">
            <w:pPr>
              <w:tabs>
                <w:tab w:val="right" w:leader="dot" w:pos="3255"/>
              </w:tabs>
              <w:bidi/>
              <w:spacing w:before="40" w:after="40"/>
              <w:rPr>
                <w:sz w:val="17"/>
                <w:szCs w:val="17"/>
                <w:u w:val="single"/>
                <w:vertAlign w:val="superscript"/>
              </w:rPr>
            </w:pPr>
            <w:r w:rsidRPr="003832A3">
              <w:rPr>
                <w:rFonts w:hint="eastAsia"/>
                <w:sz w:val="17"/>
                <w:szCs w:val="17"/>
                <w:u w:val="single"/>
                <w:rtl/>
              </w:rPr>
              <w:t>تعديلات</w:t>
            </w:r>
            <w:r w:rsidRPr="003832A3">
              <w:rPr>
                <w:sz w:val="17"/>
                <w:szCs w:val="17"/>
                <w:u w:val="single"/>
                <w:rtl/>
              </w:rPr>
              <w:t xml:space="preserve"> </w:t>
            </w:r>
            <w:r w:rsidR="008D70E0">
              <w:rPr>
                <w:rFonts w:hint="eastAsia"/>
                <w:sz w:val="17"/>
                <w:szCs w:val="17"/>
                <w:u w:val="single"/>
                <w:rtl/>
              </w:rPr>
              <w:t>الايرادات الاخرى</w:t>
            </w:r>
            <w:r>
              <w:rPr>
                <w:sz w:val="17"/>
                <w:szCs w:val="17"/>
                <w:u w:val="single"/>
              </w:rPr>
              <w:t>…………………………</w:t>
            </w:r>
            <w:r w:rsidR="003B4074">
              <w:rPr>
                <w:sz w:val="17"/>
                <w:szCs w:val="17"/>
                <w:u w:val="single"/>
                <w:vertAlign w:val="superscript"/>
              </w:rPr>
              <w:t>3</w:t>
            </w:r>
          </w:p>
        </w:tc>
        <w:tc>
          <w:tcPr>
            <w:tcW w:w="242" w:type="dxa"/>
            <w:vAlign w:val="bottom"/>
          </w:tcPr>
          <w:p w14:paraId="3C229DC8" w14:textId="77777777" w:rsidR="00E47FB3" w:rsidRPr="00E834EF" w:rsidRDefault="00E47FB3" w:rsidP="00E47FB3">
            <w:pPr>
              <w:spacing w:before="40" w:after="40"/>
              <w:rPr>
                <w:sz w:val="17"/>
                <w:szCs w:val="17"/>
              </w:rPr>
            </w:pPr>
          </w:p>
        </w:tc>
        <w:tc>
          <w:tcPr>
            <w:tcW w:w="913" w:type="dxa"/>
          </w:tcPr>
          <w:p w14:paraId="170BE77D" w14:textId="77777777" w:rsidR="00E47FB3" w:rsidRPr="003832A3" w:rsidRDefault="00E47FB3" w:rsidP="00E47FB3">
            <w:pPr>
              <w:spacing w:before="40" w:after="40"/>
              <w:jc w:val="right"/>
              <w:rPr>
                <w:sz w:val="17"/>
                <w:szCs w:val="17"/>
              </w:rPr>
            </w:pPr>
            <w:r w:rsidRPr="003832A3">
              <w:rPr>
                <w:sz w:val="17"/>
                <w:szCs w:val="17"/>
              </w:rPr>
              <w:t>0.8</w:t>
            </w:r>
          </w:p>
        </w:tc>
        <w:tc>
          <w:tcPr>
            <w:tcW w:w="252" w:type="dxa"/>
            <w:gridSpan w:val="2"/>
            <w:vAlign w:val="bottom"/>
          </w:tcPr>
          <w:p w14:paraId="3EBC541E" w14:textId="77777777" w:rsidR="00E47FB3" w:rsidRPr="003832A3" w:rsidRDefault="00E47FB3" w:rsidP="00E47FB3">
            <w:pPr>
              <w:spacing w:before="40" w:after="40"/>
              <w:rPr>
                <w:sz w:val="17"/>
                <w:szCs w:val="17"/>
              </w:rPr>
            </w:pPr>
          </w:p>
        </w:tc>
        <w:tc>
          <w:tcPr>
            <w:tcW w:w="924" w:type="dxa"/>
          </w:tcPr>
          <w:p w14:paraId="59F3D518" w14:textId="77777777" w:rsidR="00E47FB3" w:rsidRPr="003832A3" w:rsidRDefault="00E47FB3" w:rsidP="00E47FB3">
            <w:pPr>
              <w:spacing w:before="40" w:after="40"/>
              <w:jc w:val="right"/>
              <w:rPr>
                <w:sz w:val="17"/>
                <w:szCs w:val="17"/>
              </w:rPr>
            </w:pPr>
            <w:r w:rsidRPr="003832A3">
              <w:rPr>
                <w:sz w:val="17"/>
                <w:szCs w:val="17"/>
              </w:rPr>
              <w:t>(1.5)</w:t>
            </w:r>
          </w:p>
        </w:tc>
        <w:tc>
          <w:tcPr>
            <w:tcW w:w="242" w:type="dxa"/>
            <w:vAlign w:val="bottom"/>
          </w:tcPr>
          <w:p w14:paraId="7A42DD85" w14:textId="77777777" w:rsidR="00E47FB3" w:rsidRPr="003832A3" w:rsidRDefault="00E47FB3" w:rsidP="00E47FB3">
            <w:pPr>
              <w:spacing w:before="40" w:after="40"/>
              <w:rPr>
                <w:sz w:val="17"/>
                <w:szCs w:val="17"/>
              </w:rPr>
            </w:pPr>
          </w:p>
        </w:tc>
        <w:tc>
          <w:tcPr>
            <w:tcW w:w="924" w:type="dxa"/>
          </w:tcPr>
          <w:p w14:paraId="7239356B" w14:textId="77777777" w:rsidR="00E47FB3" w:rsidRPr="003832A3" w:rsidRDefault="00E47FB3" w:rsidP="00E47FB3">
            <w:pPr>
              <w:spacing w:before="40" w:after="40"/>
              <w:jc w:val="right"/>
              <w:rPr>
                <w:sz w:val="17"/>
                <w:szCs w:val="17"/>
              </w:rPr>
            </w:pPr>
            <w:r w:rsidRPr="003832A3">
              <w:rPr>
                <w:sz w:val="17"/>
                <w:szCs w:val="17"/>
              </w:rPr>
              <w:t>(19.4)</w:t>
            </w:r>
          </w:p>
        </w:tc>
        <w:tc>
          <w:tcPr>
            <w:tcW w:w="242" w:type="dxa"/>
            <w:vAlign w:val="bottom"/>
          </w:tcPr>
          <w:p w14:paraId="17C33EB0" w14:textId="77777777" w:rsidR="00E47FB3" w:rsidRPr="003832A3" w:rsidRDefault="00E47FB3" w:rsidP="00E47FB3">
            <w:pPr>
              <w:spacing w:before="40" w:after="40"/>
              <w:rPr>
                <w:sz w:val="17"/>
                <w:szCs w:val="17"/>
              </w:rPr>
            </w:pPr>
          </w:p>
        </w:tc>
        <w:tc>
          <w:tcPr>
            <w:tcW w:w="924" w:type="dxa"/>
          </w:tcPr>
          <w:p w14:paraId="3848A04F" w14:textId="77777777" w:rsidR="00E47FB3" w:rsidRPr="003832A3" w:rsidRDefault="007875E9" w:rsidP="00E47FB3">
            <w:pPr>
              <w:spacing w:before="40" w:after="40"/>
              <w:jc w:val="right"/>
              <w:rPr>
                <w:sz w:val="17"/>
                <w:szCs w:val="17"/>
              </w:rPr>
            </w:pPr>
            <w:r>
              <w:rPr>
                <w:sz w:val="17"/>
                <w:szCs w:val="17"/>
              </w:rPr>
              <w:t>(19.2)</w:t>
            </w:r>
          </w:p>
        </w:tc>
        <w:tc>
          <w:tcPr>
            <w:tcW w:w="227" w:type="dxa"/>
            <w:vAlign w:val="bottom"/>
          </w:tcPr>
          <w:p w14:paraId="553ABD48" w14:textId="77777777" w:rsidR="00E47FB3" w:rsidRPr="003832A3" w:rsidRDefault="00E47FB3" w:rsidP="00E47FB3">
            <w:pPr>
              <w:spacing w:before="40" w:after="40"/>
              <w:rPr>
                <w:sz w:val="17"/>
                <w:szCs w:val="17"/>
              </w:rPr>
            </w:pPr>
          </w:p>
        </w:tc>
        <w:tc>
          <w:tcPr>
            <w:tcW w:w="939" w:type="dxa"/>
            <w:vAlign w:val="bottom"/>
          </w:tcPr>
          <w:p w14:paraId="497C510B" w14:textId="77777777" w:rsidR="00E47FB3" w:rsidRPr="003832A3" w:rsidRDefault="00E47FB3" w:rsidP="00E47FB3">
            <w:pPr>
              <w:spacing w:before="40" w:after="40"/>
              <w:jc w:val="right"/>
              <w:rPr>
                <w:sz w:val="17"/>
                <w:szCs w:val="17"/>
              </w:rPr>
            </w:pPr>
            <w:r w:rsidRPr="003832A3">
              <w:rPr>
                <w:sz w:val="17"/>
                <w:szCs w:val="17"/>
              </w:rPr>
              <w:t>(0.8)</w:t>
            </w:r>
          </w:p>
        </w:tc>
        <w:tc>
          <w:tcPr>
            <w:tcW w:w="266" w:type="dxa"/>
            <w:vAlign w:val="bottom"/>
          </w:tcPr>
          <w:p w14:paraId="413DDD53" w14:textId="77777777" w:rsidR="00E47FB3" w:rsidRPr="000D2863" w:rsidRDefault="00E47FB3" w:rsidP="00E47FB3">
            <w:pPr>
              <w:spacing w:before="40" w:after="40"/>
              <w:rPr>
                <w:b/>
                <w:bCs/>
                <w:sz w:val="17"/>
                <w:szCs w:val="17"/>
              </w:rPr>
            </w:pPr>
          </w:p>
        </w:tc>
      </w:tr>
      <w:tr w:rsidR="00E47FB3" w:rsidRPr="00E834EF" w14:paraId="66B719B3" w14:textId="77777777" w:rsidTr="008C57E0">
        <w:tc>
          <w:tcPr>
            <w:tcW w:w="3254" w:type="dxa"/>
          </w:tcPr>
          <w:p w14:paraId="7E07DF87" w14:textId="77777777" w:rsidR="00E47FB3" w:rsidRPr="003832A3" w:rsidRDefault="00E47FB3" w:rsidP="00E47FB3">
            <w:pPr>
              <w:tabs>
                <w:tab w:val="right" w:leader="dot" w:pos="3255"/>
              </w:tabs>
              <w:bidi/>
              <w:spacing w:before="40" w:after="40"/>
              <w:rPr>
                <w:sz w:val="17"/>
                <w:szCs w:val="17"/>
                <w:u w:val="single"/>
              </w:rPr>
            </w:pPr>
            <w:r w:rsidRPr="003832A3">
              <w:rPr>
                <w:rFonts w:hint="eastAsia"/>
                <w:sz w:val="17"/>
                <w:szCs w:val="17"/>
                <w:u w:val="single"/>
                <w:rtl/>
              </w:rPr>
              <w:t>دخل</w:t>
            </w:r>
            <w:r w:rsidRPr="003832A3">
              <w:rPr>
                <w:sz w:val="17"/>
                <w:szCs w:val="17"/>
                <w:u w:val="single"/>
                <w:rtl/>
              </w:rPr>
              <w:t xml:space="preserve"> </w:t>
            </w:r>
            <w:r w:rsidRPr="003832A3">
              <w:rPr>
                <w:rFonts w:hint="eastAsia"/>
                <w:sz w:val="17"/>
                <w:szCs w:val="17"/>
                <w:u w:val="single"/>
                <w:rtl/>
              </w:rPr>
              <w:t>الارباح</w:t>
            </w:r>
            <w:r>
              <w:rPr>
                <w:sz w:val="17"/>
                <w:szCs w:val="17"/>
                <w:u w:val="single"/>
              </w:rPr>
              <w:t>……………………………………..</w:t>
            </w:r>
          </w:p>
        </w:tc>
        <w:tc>
          <w:tcPr>
            <w:tcW w:w="242" w:type="dxa"/>
            <w:vAlign w:val="bottom"/>
          </w:tcPr>
          <w:p w14:paraId="0F1731F6" w14:textId="77777777" w:rsidR="00E47FB3" w:rsidRPr="00E834EF" w:rsidRDefault="00E47FB3" w:rsidP="00E47FB3">
            <w:pPr>
              <w:spacing w:before="40" w:after="40"/>
              <w:rPr>
                <w:sz w:val="17"/>
                <w:szCs w:val="17"/>
              </w:rPr>
            </w:pPr>
          </w:p>
        </w:tc>
        <w:tc>
          <w:tcPr>
            <w:tcW w:w="913" w:type="dxa"/>
          </w:tcPr>
          <w:p w14:paraId="07E45DD9" w14:textId="77777777" w:rsidR="00E47FB3" w:rsidRPr="003832A3" w:rsidRDefault="00E47FB3" w:rsidP="00E47FB3">
            <w:pPr>
              <w:spacing w:before="40" w:after="40"/>
              <w:jc w:val="right"/>
              <w:rPr>
                <w:sz w:val="17"/>
                <w:szCs w:val="17"/>
              </w:rPr>
            </w:pPr>
            <w:r w:rsidRPr="00B26791">
              <w:rPr>
                <w:sz w:val="17"/>
              </w:rPr>
              <w:t>—</w:t>
            </w:r>
          </w:p>
        </w:tc>
        <w:tc>
          <w:tcPr>
            <w:tcW w:w="252" w:type="dxa"/>
            <w:gridSpan w:val="2"/>
            <w:vAlign w:val="bottom"/>
          </w:tcPr>
          <w:p w14:paraId="5EF0F924" w14:textId="77777777" w:rsidR="00E47FB3" w:rsidRPr="003832A3" w:rsidRDefault="00E47FB3" w:rsidP="00E47FB3">
            <w:pPr>
              <w:spacing w:before="40" w:after="40"/>
              <w:rPr>
                <w:sz w:val="17"/>
                <w:szCs w:val="17"/>
              </w:rPr>
            </w:pPr>
          </w:p>
        </w:tc>
        <w:tc>
          <w:tcPr>
            <w:tcW w:w="924" w:type="dxa"/>
          </w:tcPr>
          <w:p w14:paraId="5D92B377" w14:textId="77777777" w:rsidR="00E47FB3" w:rsidRPr="003832A3" w:rsidRDefault="00E47FB3" w:rsidP="00E47FB3">
            <w:pPr>
              <w:spacing w:before="40" w:after="40"/>
              <w:jc w:val="right"/>
              <w:rPr>
                <w:sz w:val="17"/>
                <w:szCs w:val="17"/>
              </w:rPr>
            </w:pPr>
            <w:r w:rsidRPr="003832A3">
              <w:rPr>
                <w:sz w:val="17"/>
                <w:szCs w:val="17"/>
              </w:rPr>
              <w:t>(2.5)</w:t>
            </w:r>
          </w:p>
        </w:tc>
        <w:tc>
          <w:tcPr>
            <w:tcW w:w="242" w:type="dxa"/>
            <w:vAlign w:val="bottom"/>
          </w:tcPr>
          <w:p w14:paraId="5FFBD0D1" w14:textId="77777777" w:rsidR="00E47FB3" w:rsidRPr="003832A3" w:rsidRDefault="00E47FB3" w:rsidP="00E47FB3">
            <w:pPr>
              <w:spacing w:before="40" w:after="40"/>
              <w:rPr>
                <w:sz w:val="17"/>
                <w:szCs w:val="17"/>
              </w:rPr>
            </w:pPr>
          </w:p>
        </w:tc>
        <w:tc>
          <w:tcPr>
            <w:tcW w:w="924" w:type="dxa"/>
          </w:tcPr>
          <w:p w14:paraId="5A86D40A" w14:textId="77777777" w:rsidR="00E47FB3" w:rsidRPr="003832A3" w:rsidRDefault="00E47FB3" w:rsidP="00E47FB3">
            <w:pPr>
              <w:spacing w:before="40" w:after="40"/>
              <w:jc w:val="right"/>
              <w:rPr>
                <w:sz w:val="17"/>
                <w:szCs w:val="17"/>
              </w:rPr>
            </w:pPr>
            <w:r w:rsidRPr="003832A3">
              <w:rPr>
                <w:sz w:val="17"/>
                <w:szCs w:val="17"/>
              </w:rPr>
              <w:t>(0.4)</w:t>
            </w:r>
          </w:p>
        </w:tc>
        <w:tc>
          <w:tcPr>
            <w:tcW w:w="242" w:type="dxa"/>
            <w:vAlign w:val="bottom"/>
          </w:tcPr>
          <w:p w14:paraId="018175FA" w14:textId="77777777" w:rsidR="00E47FB3" w:rsidRPr="003832A3" w:rsidRDefault="00E47FB3" w:rsidP="00E47FB3">
            <w:pPr>
              <w:spacing w:before="40" w:after="40"/>
              <w:rPr>
                <w:sz w:val="17"/>
                <w:szCs w:val="17"/>
              </w:rPr>
            </w:pPr>
          </w:p>
        </w:tc>
        <w:tc>
          <w:tcPr>
            <w:tcW w:w="924" w:type="dxa"/>
          </w:tcPr>
          <w:p w14:paraId="5E97B256" w14:textId="77777777" w:rsidR="00E47FB3" w:rsidRPr="003832A3" w:rsidRDefault="004268E3" w:rsidP="00E47FB3">
            <w:pPr>
              <w:spacing w:before="40" w:after="40"/>
              <w:jc w:val="right"/>
              <w:rPr>
                <w:sz w:val="17"/>
                <w:szCs w:val="17"/>
              </w:rPr>
            </w:pPr>
            <w:r>
              <w:rPr>
                <w:sz w:val="17"/>
                <w:szCs w:val="17"/>
              </w:rPr>
              <w:t>(0.4)</w:t>
            </w:r>
          </w:p>
        </w:tc>
        <w:tc>
          <w:tcPr>
            <w:tcW w:w="227" w:type="dxa"/>
            <w:vAlign w:val="bottom"/>
          </w:tcPr>
          <w:p w14:paraId="7CA1881F" w14:textId="77777777" w:rsidR="00E47FB3" w:rsidRPr="003832A3" w:rsidRDefault="00E47FB3" w:rsidP="00E47FB3">
            <w:pPr>
              <w:spacing w:before="40" w:after="40"/>
              <w:rPr>
                <w:sz w:val="17"/>
                <w:szCs w:val="17"/>
              </w:rPr>
            </w:pPr>
          </w:p>
        </w:tc>
        <w:tc>
          <w:tcPr>
            <w:tcW w:w="939" w:type="dxa"/>
            <w:vAlign w:val="bottom"/>
          </w:tcPr>
          <w:p w14:paraId="5BF014BB" w14:textId="77777777" w:rsidR="00E47FB3" w:rsidRPr="003832A3" w:rsidRDefault="00E47FB3" w:rsidP="00E47FB3">
            <w:pPr>
              <w:spacing w:before="40" w:after="40"/>
              <w:jc w:val="right"/>
              <w:rPr>
                <w:sz w:val="17"/>
                <w:szCs w:val="17"/>
              </w:rPr>
            </w:pPr>
            <w:r w:rsidRPr="003832A3">
              <w:rPr>
                <w:sz w:val="17"/>
                <w:szCs w:val="17"/>
              </w:rPr>
              <w:t>(0.3)</w:t>
            </w:r>
          </w:p>
        </w:tc>
        <w:tc>
          <w:tcPr>
            <w:tcW w:w="266" w:type="dxa"/>
            <w:vAlign w:val="bottom"/>
          </w:tcPr>
          <w:p w14:paraId="2458335C" w14:textId="77777777" w:rsidR="00E47FB3" w:rsidRPr="000D2863" w:rsidRDefault="00E47FB3" w:rsidP="00E47FB3">
            <w:pPr>
              <w:spacing w:before="40" w:after="40"/>
              <w:rPr>
                <w:b/>
                <w:bCs/>
                <w:sz w:val="17"/>
                <w:szCs w:val="17"/>
              </w:rPr>
            </w:pPr>
          </w:p>
        </w:tc>
      </w:tr>
      <w:tr w:rsidR="00E47FB3" w:rsidRPr="00E834EF" w14:paraId="74C9A8CD" w14:textId="77777777" w:rsidTr="008C57E0">
        <w:tc>
          <w:tcPr>
            <w:tcW w:w="3254" w:type="dxa"/>
          </w:tcPr>
          <w:p w14:paraId="1961DA98" w14:textId="77777777" w:rsidR="00E47FB3" w:rsidRPr="003832A3" w:rsidRDefault="00E47FB3" w:rsidP="00E47FB3">
            <w:pPr>
              <w:tabs>
                <w:tab w:val="right" w:leader="dot" w:pos="3255"/>
              </w:tabs>
              <w:bidi/>
              <w:spacing w:before="40" w:after="40"/>
              <w:rPr>
                <w:sz w:val="17"/>
                <w:szCs w:val="17"/>
                <w:u w:val="single"/>
              </w:rPr>
            </w:pPr>
            <w:r w:rsidRPr="00A76D52">
              <w:rPr>
                <w:rFonts w:hint="cs"/>
                <w:sz w:val="17"/>
                <w:szCs w:val="17"/>
                <w:rtl/>
              </w:rPr>
              <w:t>إلغاء الخسارة على الأصول المالية والتعاقدية</w:t>
            </w:r>
            <w:r>
              <w:rPr>
                <w:sz w:val="17"/>
                <w:szCs w:val="17"/>
              </w:rPr>
              <w:t>……………</w:t>
            </w:r>
          </w:p>
        </w:tc>
        <w:tc>
          <w:tcPr>
            <w:tcW w:w="242" w:type="dxa"/>
            <w:vAlign w:val="bottom"/>
          </w:tcPr>
          <w:p w14:paraId="5A0BC8A4" w14:textId="77777777" w:rsidR="00E47FB3" w:rsidRPr="00E834EF" w:rsidRDefault="00E47FB3" w:rsidP="00E47FB3">
            <w:pPr>
              <w:spacing w:before="40" w:after="40"/>
              <w:rPr>
                <w:sz w:val="17"/>
                <w:szCs w:val="17"/>
              </w:rPr>
            </w:pPr>
          </w:p>
        </w:tc>
        <w:tc>
          <w:tcPr>
            <w:tcW w:w="913" w:type="dxa"/>
          </w:tcPr>
          <w:p w14:paraId="111D2A1A" w14:textId="77777777" w:rsidR="00E47FB3" w:rsidRPr="003832A3" w:rsidRDefault="00E47FB3" w:rsidP="00E47FB3">
            <w:pPr>
              <w:spacing w:before="40" w:after="40"/>
              <w:jc w:val="right"/>
              <w:rPr>
                <w:sz w:val="17"/>
                <w:szCs w:val="17"/>
              </w:rPr>
            </w:pPr>
            <w:r w:rsidRPr="003832A3">
              <w:rPr>
                <w:sz w:val="17"/>
                <w:szCs w:val="17"/>
              </w:rPr>
              <w:t>0.6</w:t>
            </w:r>
          </w:p>
        </w:tc>
        <w:tc>
          <w:tcPr>
            <w:tcW w:w="252" w:type="dxa"/>
            <w:gridSpan w:val="2"/>
            <w:vAlign w:val="bottom"/>
          </w:tcPr>
          <w:p w14:paraId="26E4D7DA" w14:textId="77777777" w:rsidR="00E47FB3" w:rsidRPr="003832A3" w:rsidRDefault="00E47FB3" w:rsidP="00E47FB3">
            <w:pPr>
              <w:spacing w:before="40" w:after="40"/>
              <w:rPr>
                <w:sz w:val="17"/>
                <w:szCs w:val="17"/>
              </w:rPr>
            </w:pPr>
          </w:p>
        </w:tc>
        <w:tc>
          <w:tcPr>
            <w:tcW w:w="924" w:type="dxa"/>
          </w:tcPr>
          <w:p w14:paraId="343986B6" w14:textId="77777777" w:rsidR="00E47FB3" w:rsidRPr="003832A3" w:rsidRDefault="00E47FB3" w:rsidP="00E47FB3">
            <w:pPr>
              <w:spacing w:before="40" w:after="40"/>
              <w:jc w:val="right"/>
              <w:rPr>
                <w:sz w:val="17"/>
                <w:szCs w:val="17"/>
              </w:rPr>
            </w:pPr>
            <w:r w:rsidRPr="003832A3">
              <w:rPr>
                <w:sz w:val="17"/>
                <w:szCs w:val="17"/>
              </w:rPr>
              <w:t>0.6</w:t>
            </w:r>
          </w:p>
        </w:tc>
        <w:tc>
          <w:tcPr>
            <w:tcW w:w="242" w:type="dxa"/>
            <w:vAlign w:val="bottom"/>
          </w:tcPr>
          <w:p w14:paraId="1DF1B6A8" w14:textId="77777777" w:rsidR="00E47FB3" w:rsidRPr="003832A3" w:rsidRDefault="00E47FB3" w:rsidP="00E47FB3">
            <w:pPr>
              <w:spacing w:before="40" w:after="40"/>
              <w:rPr>
                <w:sz w:val="17"/>
                <w:szCs w:val="17"/>
              </w:rPr>
            </w:pPr>
          </w:p>
        </w:tc>
        <w:tc>
          <w:tcPr>
            <w:tcW w:w="924" w:type="dxa"/>
          </w:tcPr>
          <w:p w14:paraId="5CF909E5" w14:textId="77777777" w:rsidR="00E47FB3" w:rsidRPr="003832A3" w:rsidRDefault="00E47FB3" w:rsidP="00E47FB3">
            <w:pPr>
              <w:spacing w:before="40" w:after="40"/>
              <w:jc w:val="right"/>
              <w:rPr>
                <w:sz w:val="17"/>
                <w:szCs w:val="17"/>
              </w:rPr>
            </w:pPr>
            <w:r w:rsidRPr="003832A3">
              <w:rPr>
                <w:sz w:val="17"/>
                <w:szCs w:val="17"/>
              </w:rPr>
              <w:t>(0.3)</w:t>
            </w:r>
          </w:p>
        </w:tc>
        <w:tc>
          <w:tcPr>
            <w:tcW w:w="242" w:type="dxa"/>
            <w:vAlign w:val="bottom"/>
          </w:tcPr>
          <w:p w14:paraId="58FD7F3D" w14:textId="77777777" w:rsidR="00E47FB3" w:rsidRPr="003832A3" w:rsidRDefault="00E47FB3" w:rsidP="00E47FB3">
            <w:pPr>
              <w:spacing w:before="40" w:after="40"/>
              <w:rPr>
                <w:sz w:val="17"/>
                <w:szCs w:val="17"/>
              </w:rPr>
            </w:pPr>
          </w:p>
        </w:tc>
        <w:tc>
          <w:tcPr>
            <w:tcW w:w="924" w:type="dxa"/>
          </w:tcPr>
          <w:p w14:paraId="10073A54" w14:textId="77777777" w:rsidR="00E47FB3" w:rsidRPr="003832A3" w:rsidRDefault="004268E3" w:rsidP="00E47FB3">
            <w:pPr>
              <w:spacing w:before="40" w:after="40"/>
              <w:jc w:val="right"/>
              <w:rPr>
                <w:sz w:val="17"/>
                <w:szCs w:val="17"/>
              </w:rPr>
            </w:pPr>
            <w:r>
              <w:rPr>
                <w:sz w:val="17"/>
                <w:szCs w:val="17"/>
              </w:rPr>
              <w:t>(0.3)</w:t>
            </w:r>
          </w:p>
        </w:tc>
        <w:tc>
          <w:tcPr>
            <w:tcW w:w="227" w:type="dxa"/>
            <w:vAlign w:val="bottom"/>
          </w:tcPr>
          <w:p w14:paraId="005562F7" w14:textId="77777777" w:rsidR="00E47FB3" w:rsidRPr="003832A3" w:rsidRDefault="00E47FB3" w:rsidP="00E47FB3">
            <w:pPr>
              <w:spacing w:before="40" w:after="40"/>
              <w:rPr>
                <w:sz w:val="17"/>
                <w:szCs w:val="17"/>
              </w:rPr>
            </w:pPr>
          </w:p>
        </w:tc>
        <w:tc>
          <w:tcPr>
            <w:tcW w:w="939" w:type="dxa"/>
            <w:vAlign w:val="bottom"/>
          </w:tcPr>
          <w:p w14:paraId="66C244EA" w14:textId="77777777" w:rsidR="00E47FB3" w:rsidRPr="003832A3" w:rsidRDefault="00E47FB3" w:rsidP="00E47FB3">
            <w:pPr>
              <w:spacing w:before="40" w:after="40"/>
              <w:jc w:val="right"/>
              <w:rPr>
                <w:sz w:val="17"/>
                <w:szCs w:val="17"/>
              </w:rPr>
            </w:pPr>
            <w:r w:rsidRPr="003832A3">
              <w:rPr>
                <w:sz w:val="17"/>
                <w:szCs w:val="17"/>
              </w:rPr>
              <w:t>0.7</w:t>
            </w:r>
          </w:p>
        </w:tc>
        <w:tc>
          <w:tcPr>
            <w:tcW w:w="266" w:type="dxa"/>
            <w:vAlign w:val="bottom"/>
          </w:tcPr>
          <w:p w14:paraId="45DAC523" w14:textId="77777777" w:rsidR="00E47FB3" w:rsidRPr="000D2863" w:rsidRDefault="00E47FB3" w:rsidP="00E47FB3">
            <w:pPr>
              <w:spacing w:before="40" w:after="40"/>
              <w:rPr>
                <w:b/>
                <w:bCs/>
                <w:sz w:val="17"/>
                <w:szCs w:val="17"/>
              </w:rPr>
            </w:pPr>
          </w:p>
        </w:tc>
      </w:tr>
      <w:tr w:rsidR="00E47FB3" w:rsidRPr="00E834EF" w14:paraId="0F3536F1" w14:textId="77777777" w:rsidTr="008C57E0">
        <w:tc>
          <w:tcPr>
            <w:tcW w:w="3254" w:type="dxa"/>
          </w:tcPr>
          <w:p w14:paraId="775DBF8C" w14:textId="77777777" w:rsidR="00E47FB3" w:rsidRPr="003832A3" w:rsidRDefault="00E47FB3" w:rsidP="00E47FB3">
            <w:pPr>
              <w:tabs>
                <w:tab w:val="right" w:leader="dot" w:pos="3255"/>
              </w:tabs>
              <w:bidi/>
              <w:spacing w:before="40" w:after="40"/>
              <w:rPr>
                <w:sz w:val="17"/>
                <w:szCs w:val="17"/>
                <w:u w:val="single"/>
              </w:rPr>
            </w:pPr>
            <w:r w:rsidRPr="00A76D52">
              <w:rPr>
                <w:rFonts w:hint="cs"/>
                <w:sz w:val="17"/>
                <w:szCs w:val="17"/>
                <w:rtl/>
              </w:rPr>
              <w:t>إلغاء الخسارة على الأصول الحاضعة لحقوق الاستخدام</w:t>
            </w:r>
            <w:r>
              <w:rPr>
                <w:sz w:val="17"/>
                <w:szCs w:val="17"/>
              </w:rPr>
              <w:t>…...</w:t>
            </w:r>
          </w:p>
        </w:tc>
        <w:tc>
          <w:tcPr>
            <w:tcW w:w="242" w:type="dxa"/>
            <w:vAlign w:val="bottom"/>
          </w:tcPr>
          <w:p w14:paraId="628A6075" w14:textId="77777777" w:rsidR="00E47FB3" w:rsidRPr="00E834EF" w:rsidRDefault="00E47FB3" w:rsidP="00E47FB3">
            <w:pPr>
              <w:spacing w:before="40" w:after="40"/>
              <w:rPr>
                <w:sz w:val="17"/>
                <w:szCs w:val="17"/>
              </w:rPr>
            </w:pPr>
          </w:p>
        </w:tc>
        <w:tc>
          <w:tcPr>
            <w:tcW w:w="913" w:type="dxa"/>
          </w:tcPr>
          <w:p w14:paraId="71A3596B" w14:textId="77777777" w:rsidR="00E47FB3" w:rsidRPr="003832A3" w:rsidRDefault="00E47FB3" w:rsidP="00E47FB3">
            <w:pPr>
              <w:spacing w:before="40" w:after="40"/>
              <w:jc w:val="right"/>
              <w:rPr>
                <w:sz w:val="17"/>
                <w:szCs w:val="17"/>
              </w:rPr>
            </w:pPr>
            <w:r w:rsidRPr="00B26791">
              <w:rPr>
                <w:sz w:val="17"/>
              </w:rPr>
              <w:t>—</w:t>
            </w:r>
          </w:p>
        </w:tc>
        <w:tc>
          <w:tcPr>
            <w:tcW w:w="252" w:type="dxa"/>
            <w:gridSpan w:val="2"/>
            <w:vAlign w:val="bottom"/>
          </w:tcPr>
          <w:p w14:paraId="22AA53CF" w14:textId="77777777" w:rsidR="00E47FB3" w:rsidRPr="003832A3" w:rsidRDefault="00E47FB3" w:rsidP="00E47FB3">
            <w:pPr>
              <w:spacing w:before="40" w:after="40"/>
              <w:rPr>
                <w:sz w:val="17"/>
                <w:szCs w:val="17"/>
              </w:rPr>
            </w:pPr>
          </w:p>
        </w:tc>
        <w:tc>
          <w:tcPr>
            <w:tcW w:w="924" w:type="dxa"/>
          </w:tcPr>
          <w:p w14:paraId="7B5E0270" w14:textId="77777777" w:rsidR="00E47FB3" w:rsidRPr="003832A3" w:rsidRDefault="00E47FB3" w:rsidP="00E47FB3">
            <w:pPr>
              <w:spacing w:before="40" w:after="40"/>
              <w:jc w:val="right"/>
              <w:rPr>
                <w:sz w:val="17"/>
                <w:szCs w:val="17"/>
              </w:rPr>
            </w:pPr>
            <w:r w:rsidRPr="00B26791">
              <w:rPr>
                <w:sz w:val="17"/>
              </w:rPr>
              <w:t>—</w:t>
            </w:r>
          </w:p>
        </w:tc>
        <w:tc>
          <w:tcPr>
            <w:tcW w:w="242" w:type="dxa"/>
            <w:vAlign w:val="bottom"/>
          </w:tcPr>
          <w:p w14:paraId="60908583" w14:textId="77777777" w:rsidR="00E47FB3" w:rsidRPr="003832A3" w:rsidRDefault="00E47FB3" w:rsidP="00E47FB3">
            <w:pPr>
              <w:spacing w:before="40" w:after="40"/>
              <w:rPr>
                <w:sz w:val="17"/>
                <w:szCs w:val="17"/>
              </w:rPr>
            </w:pPr>
          </w:p>
        </w:tc>
        <w:tc>
          <w:tcPr>
            <w:tcW w:w="924" w:type="dxa"/>
          </w:tcPr>
          <w:p w14:paraId="235ED220" w14:textId="77777777" w:rsidR="00E47FB3" w:rsidRPr="003832A3" w:rsidRDefault="00E47FB3" w:rsidP="00E47FB3">
            <w:pPr>
              <w:spacing w:before="40" w:after="40"/>
              <w:jc w:val="right"/>
              <w:rPr>
                <w:sz w:val="17"/>
                <w:szCs w:val="17"/>
              </w:rPr>
            </w:pPr>
            <w:r w:rsidRPr="003832A3">
              <w:rPr>
                <w:sz w:val="17"/>
                <w:szCs w:val="17"/>
              </w:rPr>
              <w:t>58.0</w:t>
            </w:r>
          </w:p>
        </w:tc>
        <w:tc>
          <w:tcPr>
            <w:tcW w:w="242" w:type="dxa"/>
            <w:vAlign w:val="bottom"/>
          </w:tcPr>
          <w:p w14:paraId="07AFDFCF" w14:textId="77777777" w:rsidR="00E47FB3" w:rsidRPr="003832A3" w:rsidRDefault="00E47FB3" w:rsidP="00E47FB3">
            <w:pPr>
              <w:spacing w:before="40" w:after="40"/>
              <w:rPr>
                <w:sz w:val="17"/>
                <w:szCs w:val="17"/>
              </w:rPr>
            </w:pPr>
          </w:p>
        </w:tc>
        <w:tc>
          <w:tcPr>
            <w:tcW w:w="924" w:type="dxa"/>
          </w:tcPr>
          <w:p w14:paraId="0129B4F0" w14:textId="77777777" w:rsidR="00E47FB3" w:rsidRPr="003832A3" w:rsidRDefault="004268E3" w:rsidP="00E47FB3">
            <w:pPr>
              <w:spacing w:before="40" w:after="40"/>
              <w:jc w:val="right"/>
              <w:rPr>
                <w:sz w:val="17"/>
                <w:szCs w:val="17"/>
              </w:rPr>
            </w:pPr>
            <w:r>
              <w:rPr>
                <w:sz w:val="17"/>
                <w:szCs w:val="17"/>
              </w:rPr>
              <w:t>58.0</w:t>
            </w:r>
          </w:p>
        </w:tc>
        <w:tc>
          <w:tcPr>
            <w:tcW w:w="227" w:type="dxa"/>
            <w:vAlign w:val="bottom"/>
          </w:tcPr>
          <w:p w14:paraId="380EF929" w14:textId="77777777" w:rsidR="00E47FB3" w:rsidRPr="003832A3" w:rsidRDefault="00E47FB3" w:rsidP="00E47FB3">
            <w:pPr>
              <w:spacing w:before="40" w:after="40"/>
              <w:rPr>
                <w:sz w:val="17"/>
                <w:szCs w:val="17"/>
              </w:rPr>
            </w:pPr>
          </w:p>
        </w:tc>
        <w:tc>
          <w:tcPr>
            <w:tcW w:w="939" w:type="dxa"/>
            <w:vAlign w:val="bottom"/>
          </w:tcPr>
          <w:p w14:paraId="3179668C" w14:textId="77777777" w:rsidR="00E47FB3" w:rsidRPr="003832A3" w:rsidRDefault="00E47FB3" w:rsidP="00E47FB3">
            <w:pPr>
              <w:spacing w:before="40" w:after="40"/>
              <w:jc w:val="right"/>
              <w:rPr>
                <w:sz w:val="17"/>
                <w:szCs w:val="17"/>
              </w:rPr>
            </w:pPr>
            <w:r w:rsidRPr="00B26791">
              <w:rPr>
                <w:sz w:val="17"/>
              </w:rPr>
              <w:t>—</w:t>
            </w:r>
          </w:p>
        </w:tc>
        <w:tc>
          <w:tcPr>
            <w:tcW w:w="266" w:type="dxa"/>
            <w:vAlign w:val="bottom"/>
          </w:tcPr>
          <w:p w14:paraId="195FE732" w14:textId="77777777" w:rsidR="00E47FB3" w:rsidRPr="000D2863" w:rsidRDefault="00E47FB3" w:rsidP="00E47FB3">
            <w:pPr>
              <w:spacing w:before="40" w:after="40"/>
              <w:rPr>
                <w:b/>
                <w:bCs/>
                <w:sz w:val="17"/>
                <w:szCs w:val="17"/>
              </w:rPr>
            </w:pPr>
          </w:p>
        </w:tc>
      </w:tr>
      <w:tr w:rsidR="00E47FB3" w:rsidRPr="00E834EF" w14:paraId="4FD4B8B1" w14:textId="77777777" w:rsidTr="008C57E0">
        <w:tc>
          <w:tcPr>
            <w:tcW w:w="3254" w:type="dxa"/>
          </w:tcPr>
          <w:p w14:paraId="078983DC" w14:textId="77777777" w:rsidR="00E47FB3" w:rsidRPr="003832A3" w:rsidRDefault="00E47FB3" w:rsidP="00E47FB3">
            <w:pPr>
              <w:tabs>
                <w:tab w:val="right" w:leader="dot" w:pos="3255"/>
              </w:tabs>
              <w:bidi/>
              <w:spacing w:before="40" w:after="40"/>
              <w:rPr>
                <w:sz w:val="17"/>
                <w:szCs w:val="17"/>
                <w:u w:val="single"/>
              </w:rPr>
            </w:pPr>
            <w:r w:rsidRPr="003832A3">
              <w:rPr>
                <w:rFonts w:hint="eastAsia"/>
                <w:sz w:val="17"/>
                <w:szCs w:val="17"/>
                <w:u w:val="single"/>
                <w:rtl/>
              </w:rPr>
              <w:t>التغييرات</w:t>
            </w:r>
            <w:r w:rsidRPr="003832A3">
              <w:rPr>
                <w:sz w:val="17"/>
                <w:szCs w:val="17"/>
                <w:u w:val="single"/>
                <w:rtl/>
              </w:rPr>
              <w:t xml:space="preserve"> </w:t>
            </w:r>
            <w:r w:rsidRPr="003832A3">
              <w:rPr>
                <w:rFonts w:hint="eastAsia"/>
                <w:sz w:val="17"/>
                <w:szCs w:val="17"/>
                <w:u w:val="single"/>
                <w:rtl/>
              </w:rPr>
              <w:t>في</w:t>
            </w:r>
            <w:r w:rsidRPr="003832A3">
              <w:rPr>
                <w:sz w:val="17"/>
                <w:szCs w:val="17"/>
                <w:u w:val="single"/>
                <w:rtl/>
              </w:rPr>
              <w:t xml:space="preserve"> </w:t>
            </w:r>
            <w:r w:rsidRPr="003832A3">
              <w:rPr>
                <w:rFonts w:hint="eastAsia"/>
                <w:sz w:val="17"/>
                <w:szCs w:val="17"/>
                <w:u w:val="single"/>
                <w:rtl/>
              </w:rPr>
              <w:t>سياسة</w:t>
            </w:r>
            <w:r w:rsidRPr="003832A3">
              <w:rPr>
                <w:sz w:val="17"/>
                <w:szCs w:val="17"/>
                <w:u w:val="single"/>
                <w:rtl/>
              </w:rPr>
              <w:t xml:space="preserve"> </w:t>
            </w:r>
            <w:r w:rsidRPr="003832A3">
              <w:rPr>
                <w:rFonts w:hint="eastAsia"/>
                <w:sz w:val="17"/>
                <w:szCs w:val="17"/>
                <w:u w:val="single"/>
                <w:rtl/>
              </w:rPr>
              <w:t>رأس</w:t>
            </w:r>
            <w:r w:rsidRPr="003832A3">
              <w:rPr>
                <w:sz w:val="17"/>
                <w:szCs w:val="17"/>
                <w:u w:val="single"/>
                <w:rtl/>
              </w:rPr>
              <w:t xml:space="preserve"> </w:t>
            </w:r>
            <w:r w:rsidRPr="003832A3">
              <w:rPr>
                <w:rFonts w:hint="eastAsia"/>
                <w:sz w:val="17"/>
                <w:szCs w:val="17"/>
                <w:u w:val="single"/>
                <w:rtl/>
              </w:rPr>
              <w:t>المال</w:t>
            </w:r>
            <w:r>
              <w:rPr>
                <w:sz w:val="17"/>
                <w:szCs w:val="17"/>
                <w:u w:val="single"/>
              </w:rPr>
              <w:t>………………………</w:t>
            </w:r>
          </w:p>
        </w:tc>
        <w:tc>
          <w:tcPr>
            <w:tcW w:w="242" w:type="dxa"/>
            <w:vAlign w:val="bottom"/>
          </w:tcPr>
          <w:p w14:paraId="41944D43" w14:textId="77777777" w:rsidR="00E47FB3" w:rsidRPr="00E834EF" w:rsidRDefault="00E47FB3" w:rsidP="00E47FB3">
            <w:pPr>
              <w:spacing w:before="40" w:after="40"/>
              <w:rPr>
                <w:sz w:val="17"/>
                <w:szCs w:val="17"/>
              </w:rPr>
            </w:pPr>
          </w:p>
        </w:tc>
        <w:tc>
          <w:tcPr>
            <w:tcW w:w="913" w:type="dxa"/>
          </w:tcPr>
          <w:p w14:paraId="7164E1F9" w14:textId="77777777" w:rsidR="00E47FB3" w:rsidRPr="003832A3" w:rsidRDefault="00E47FB3" w:rsidP="00E47FB3">
            <w:pPr>
              <w:spacing w:before="40" w:after="40"/>
              <w:jc w:val="right"/>
              <w:rPr>
                <w:sz w:val="17"/>
                <w:szCs w:val="17"/>
              </w:rPr>
            </w:pPr>
            <w:r w:rsidRPr="00B26791">
              <w:rPr>
                <w:sz w:val="17"/>
              </w:rPr>
              <w:t>—</w:t>
            </w:r>
          </w:p>
        </w:tc>
        <w:tc>
          <w:tcPr>
            <w:tcW w:w="252" w:type="dxa"/>
            <w:gridSpan w:val="2"/>
            <w:vAlign w:val="bottom"/>
          </w:tcPr>
          <w:p w14:paraId="463DF71B" w14:textId="77777777" w:rsidR="00E47FB3" w:rsidRPr="003832A3" w:rsidRDefault="00E47FB3" w:rsidP="00E47FB3">
            <w:pPr>
              <w:spacing w:before="40" w:after="40"/>
              <w:rPr>
                <w:sz w:val="17"/>
                <w:szCs w:val="17"/>
              </w:rPr>
            </w:pPr>
          </w:p>
        </w:tc>
        <w:tc>
          <w:tcPr>
            <w:tcW w:w="924" w:type="dxa"/>
          </w:tcPr>
          <w:p w14:paraId="523DA524" w14:textId="77777777" w:rsidR="00E47FB3" w:rsidRPr="003832A3" w:rsidRDefault="00E47FB3" w:rsidP="00E47FB3">
            <w:pPr>
              <w:spacing w:before="40" w:after="40"/>
              <w:jc w:val="right"/>
              <w:rPr>
                <w:sz w:val="17"/>
                <w:szCs w:val="17"/>
              </w:rPr>
            </w:pPr>
            <w:r w:rsidRPr="003832A3">
              <w:rPr>
                <w:sz w:val="17"/>
                <w:szCs w:val="17"/>
              </w:rPr>
              <w:t>16.6</w:t>
            </w:r>
          </w:p>
        </w:tc>
        <w:tc>
          <w:tcPr>
            <w:tcW w:w="242" w:type="dxa"/>
            <w:vAlign w:val="bottom"/>
          </w:tcPr>
          <w:p w14:paraId="21F54A38" w14:textId="77777777" w:rsidR="00E47FB3" w:rsidRPr="003832A3" w:rsidRDefault="00E47FB3" w:rsidP="00E47FB3">
            <w:pPr>
              <w:spacing w:before="40" w:after="40"/>
              <w:rPr>
                <w:sz w:val="17"/>
                <w:szCs w:val="17"/>
              </w:rPr>
            </w:pPr>
          </w:p>
        </w:tc>
        <w:tc>
          <w:tcPr>
            <w:tcW w:w="924" w:type="dxa"/>
          </w:tcPr>
          <w:p w14:paraId="5A2D0EA6" w14:textId="77777777" w:rsidR="00E47FB3" w:rsidRPr="003832A3" w:rsidRDefault="00E47FB3" w:rsidP="00E47FB3">
            <w:pPr>
              <w:spacing w:before="40" w:after="40"/>
              <w:jc w:val="right"/>
              <w:rPr>
                <w:sz w:val="17"/>
                <w:szCs w:val="17"/>
              </w:rPr>
            </w:pPr>
            <w:r w:rsidRPr="00B26791">
              <w:rPr>
                <w:sz w:val="17"/>
              </w:rPr>
              <w:t>—</w:t>
            </w:r>
          </w:p>
        </w:tc>
        <w:tc>
          <w:tcPr>
            <w:tcW w:w="242" w:type="dxa"/>
            <w:vAlign w:val="bottom"/>
          </w:tcPr>
          <w:p w14:paraId="0D97DB03" w14:textId="77777777" w:rsidR="00E47FB3" w:rsidRPr="003832A3" w:rsidRDefault="00E47FB3" w:rsidP="00E47FB3">
            <w:pPr>
              <w:spacing w:before="40" w:after="40"/>
              <w:rPr>
                <w:sz w:val="17"/>
                <w:szCs w:val="17"/>
              </w:rPr>
            </w:pPr>
          </w:p>
        </w:tc>
        <w:tc>
          <w:tcPr>
            <w:tcW w:w="924" w:type="dxa"/>
          </w:tcPr>
          <w:p w14:paraId="15B9BA5D" w14:textId="77777777" w:rsidR="00E47FB3" w:rsidRPr="003832A3" w:rsidRDefault="004268E3" w:rsidP="00E47FB3">
            <w:pPr>
              <w:spacing w:before="40" w:after="40"/>
              <w:jc w:val="right"/>
              <w:rPr>
                <w:sz w:val="17"/>
                <w:szCs w:val="17"/>
              </w:rPr>
            </w:pPr>
            <w:r w:rsidRPr="00B26791">
              <w:rPr>
                <w:sz w:val="17"/>
              </w:rPr>
              <w:t>—</w:t>
            </w:r>
          </w:p>
        </w:tc>
        <w:tc>
          <w:tcPr>
            <w:tcW w:w="227" w:type="dxa"/>
            <w:vAlign w:val="bottom"/>
          </w:tcPr>
          <w:p w14:paraId="112F4513" w14:textId="77777777" w:rsidR="00E47FB3" w:rsidRPr="003832A3" w:rsidRDefault="00E47FB3" w:rsidP="00E47FB3">
            <w:pPr>
              <w:spacing w:before="40" w:after="40"/>
              <w:rPr>
                <w:sz w:val="17"/>
                <w:szCs w:val="17"/>
              </w:rPr>
            </w:pPr>
          </w:p>
        </w:tc>
        <w:tc>
          <w:tcPr>
            <w:tcW w:w="939" w:type="dxa"/>
            <w:vAlign w:val="bottom"/>
          </w:tcPr>
          <w:p w14:paraId="5D79A1B9" w14:textId="77777777" w:rsidR="00E47FB3" w:rsidRPr="003832A3" w:rsidRDefault="00E47FB3" w:rsidP="00E47FB3">
            <w:pPr>
              <w:spacing w:before="40" w:after="40"/>
              <w:jc w:val="right"/>
              <w:rPr>
                <w:sz w:val="17"/>
                <w:szCs w:val="17"/>
              </w:rPr>
            </w:pPr>
            <w:r w:rsidRPr="00B26791">
              <w:rPr>
                <w:sz w:val="17"/>
              </w:rPr>
              <w:t>—</w:t>
            </w:r>
          </w:p>
        </w:tc>
        <w:tc>
          <w:tcPr>
            <w:tcW w:w="266" w:type="dxa"/>
            <w:vAlign w:val="bottom"/>
          </w:tcPr>
          <w:p w14:paraId="1E3E1C69" w14:textId="77777777" w:rsidR="00E47FB3" w:rsidRPr="000D2863" w:rsidRDefault="00E47FB3" w:rsidP="00E47FB3">
            <w:pPr>
              <w:spacing w:before="40" w:after="40"/>
              <w:rPr>
                <w:b/>
                <w:bCs/>
                <w:sz w:val="17"/>
                <w:szCs w:val="17"/>
              </w:rPr>
            </w:pPr>
          </w:p>
        </w:tc>
      </w:tr>
      <w:tr w:rsidR="00E47FB3" w:rsidRPr="00E834EF" w14:paraId="50ABE53E" w14:textId="77777777" w:rsidTr="008C57E0">
        <w:tc>
          <w:tcPr>
            <w:tcW w:w="3254" w:type="dxa"/>
          </w:tcPr>
          <w:p w14:paraId="2EBE4242" w14:textId="77777777" w:rsidR="00E47FB3" w:rsidRPr="003832A3" w:rsidRDefault="00E47FB3" w:rsidP="00E47FB3">
            <w:pPr>
              <w:tabs>
                <w:tab w:val="right" w:leader="dot" w:pos="3255"/>
              </w:tabs>
              <w:bidi/>
              <w:spacing w:before="40" w:after="40"/>
              <w:rPr>
                <w:sz w:val="17"/>
                <w:szCs w:val="17"/>
                <w:u w:val="single"/>
              </w:rPr>
            </w:pPr>
            <w:r w:rsidRPr="003832A3">
              <w:rPr>
                <w:rFonts w:hint="eastAsia"/>
                <w:sz w:val="17"/>
                <w:szCs w:val="17"/>
                <w:u w:val="single"/>
                <w:rtl/>
              </w:rPr>
              <w:t>السفر</w:t>
            </w:r>
            <w:r>
              <w:rPr>
                <w:sz w:val="17"/>
                <w:szCs w:val="17"/>
                <w:u w:val="single"/>
              </w:rPr>
              <w:t>……………………………………………</w:t>
            </w:r>
          </w:p>
        </w:tc>
        <w:tc>
          <w:tcPr>
            <w:tcW w:w="242" w:type="dxa"/>
            <w:vAlign w:val="bottom"/>
          </w:tcPr>
          <w:p w14:paraId="54009D4A" w14:textId="77777777" w:rsidR="00E47FB3" w:rsidRPr="00E834EF" w:rsidRDefault="00E47FB3" w:rsidP="00E47FB3">
            <w:pPr>
              <w:spacing w:before="40" w:after="40"/>
              <w:rPr>
                <w:sz w:val="17"/>
                <w:szCs w:val="17"/>
              </w:rPr>
            </w:pPr>
          </w:p>
        </w:tc>
        <w:tc>
          <w:tcPr>
            <w:tcW w:w="913" w:type="dxa"/>
          </w:tcPr>
          <w:p w14:paraId="369F0C61" w14:textId="77777777" w:rsidR="00E47FB3" w:rsidRPr="003832A3" w:rsidRDefault="00E47FB3" w:rsidP="00E47FB3">
            <w:pPr>
              <w:spacing w:before="40" w:after="40"/>
              <w:jc w:val="right"/>
              <w:rPr>
                <w:sz w:val="17"/>
                <w:szCs w:val="17"/>
              </w:rPr>
            </w:pPr>
            <w:r w:rsidRPr="003832A3">
              <w:rPr>
                <w:sz w:val="17"/>
                <w:szCs w:val="17"/>
              </w:rPr>
              <w:t>(0.8)</w:t>
            </w:r>
          </w:p>
        </w:tc>
        <w:tc>
          <w:tcPr>
            <w:tcW w:w="252" w:type="dxa"/>
            <w:gridSpan w:val="2"/>
            <w:vAlign w:val="bottom"/>
          </w:tcPr>
          <w:p w14:paraId="0EAABFAE" w14:textId="77777777" w:rsidR="00E47FB3" w:rsidRPr="003832A3" w:rsidRDefault="00E47FB3" w:rsidP="00E47FB3">
            <w:pPr>
              <w:spacing w:before="40" w:after="40"/>
              <w:rPr>
                <w:sz w:val="17"/>
                <w:szCs w:val="17"/>
              </w:rPr>
            </w:pPr>
          </w:p>
        </w:tc>
        <w:tc>
          <w:tcPr>
            <w:tcW w:w="924" w:type="dxa"/>
          </w:tcPr>
          <w:p w14:paraId="478832E7" w14:textId="77777777" w:rsidR="00E47FB3" w:rsidRPr="003832A3" w:rsidRDefault="00E47FB3" w:rsidP="00E47FB3">
            <w:pPr>
              <w:spacing w:before="40" w:after="40"/>
              <w:jc w:val="right"/>
              <w:rPr>
                <w:sz w:val="17"/>
                <w:szCs w:val="17"/>
              </w:rPr>
            </w:pPr>
            <w:r w:rsidRPr="00B26791">
              <w:rPr>
                <w:sz w:val="17"/>
              </w:rPr>
              <w:t>—</w:t>
            </w:r>
          </w:p>
        </w:tc>
        <w:tc>
          <w:tcPr>
            <w:tcW w:w="242" w:type="dxa"/>
            <w:vAlign w:val="bottom"/>
          </w:tcPr>
          <w:p w14:paraId="4F15A6B4" w14:textId="77777777" w:rsidR="00E47FB3" w:rsidRPr="003832A3" w:rsidRDefault="00E47FB3" w:rsidP="00E47FB3">
            <w:pPr>
              <w:spacing w:before="40" w:after="40"/>
              <w:rPr>
                <w:sz w:val="17"/>
                <w:szCs w:val="17"/>
              </w:rPr>
            </w:pPr>
          </w:p>
        </w:tc>
        <w:tc>
          <w:tcPr>
            <w:tcW w:w="924" w:type="dxa"/>
          </w:tcPr>
          <w:p w14:paraId="0CA9189E" w14:textId="77777777" w:rsidR="00E47FB3" w:rsidRPr="003832A3" w:rsidRDefault="00E47FB3" w:rsidP="00E47FB3">
            <w:pPr>
              <w:spacing w:before="40" w:after="40"/>
              <w:jc w:val="right"/>
              <w:rPr>
                <w:sz w:val="17"/>
                <w:szCs w:val="17"/>
              </w:rPr>
            </w:pPr>
            <w:r w:rsidRPr="00B26791">
              <w:rPr>
                <w:sz w:val="17"/>
              </w:rPr>
              <w:t>—</w:t>
            </w:r>
          </w:p>
        </w:tc>
        <w:tc>
          <w:tcPr>
            <w:tcW w:w="242" w:type="dxa"/>
            <w:vAlign w:val="bottom"/>
          </w:tcPr>
          <w:p w14:paraId="4E2214FA" w14:textId="77777777" w:rsidR="00E47FB3" w:rsidRPr="003832A3" w:rsidRDefault="00E47FB3" w:rsidP="00E47FB3">
            <w:pPr>
              <w:spacing w:before="40" w:after="40"/>
              <w:rPr>
                <w:sz w:val="17"/>
                <w:szCs w:val="17"/>
              </w:rPr>
            </w:pPr>
          </w:p>
        </w:tc>
        <w:tc>
          <w:tcPr>
            <w:tcW w:w="924" w:type="dxa"/>
          </w:tcPr>
          <w:p w14:paraId="0C8BA1C6" w14:textId="77777777" w:rsidR="00E47FB3" w:rsidRPr="003832A3" w:rsidRDefault="004268E3" w:rsidP="00E47FB3">
            <w:pPr>
              <w:spacing w:before="40" w:after="40"/>
              <w:jc w:val="right"/>
              <w:rPr>
                <w:sz w:val="17"/>
                <w:szCs w:val="17"/>
              </w:rPr>
            </w:pPr>
            <w:r w:rsidRPr="00B26791">
              <w:rPr>
                <w:sz w:val="17"/>
              </w:rPr>
              <w:t>—</w:t>
            </w:r>
          </w:p>
        </w:tc>
        <w:tc>
          <w:tcPr>
            <w:tcW w:w="227" w:type="dxa"/>
            <w:vAlign w:val="bottom"/>
          </w:tcPr>
          <w:p w14:paraId="63C9F26F" w14:textId="77777777" w:rsidR="00E47FB3" w:rsidRPr="003832A3" w:rsidRDefault="00E47FB3" w:rsidP="00E47FB3">
            <w:pPr>
              <w:spacing w:before="40" w:after="40"/>
              <w:rPr>
                <w:sz w:val="17"/>
                <w:szCs w:val="17"/>
              </w:rPr>
            </w:pPr>
          </w:p>
        </w:tc>
        <w:tc>
          <w:tcPr>
            <w:tcW w:w="939" w:type="dxa"/>
            <w:vAlign w:val="bottom"/>
          </w:tcPr>
          <w:p w14:paraId="55666D6E" w14:textId="77777777" w:rsidR="00E47FB3" w:rsidRPr="003832A3" w:rsidRDefault="00E47FB3" w:rsidP="00E47FB3">
            <w:pPr>
              <w:spacing w:before="40" w:after="40"/>
              <w:jc w:val="right"/>
              <w:rPr>
                <w:sz w:val="17"/>
                <w:szCs w:val="17"/>
              </w:rPr>
            </w:pPr>
            <w:r w:rsidRPr="00B26791">
              <w:rPr>
                <w:sz w:val="17"/>
              </w:rPr>
              <w:t>—</w:t>
            </w:r>
          </w:p>
        </w:tc>
        <w:tc>
          <w:tcPr>
            <w:tcW w:w="266" w:type="dxa"/>
            <w:vAlign w:val="bottom"/>
          </w:tcPr>
          <w:p w14:paraId="5580FE62" w14:textId="77777777" w:rsidR="00E47FB3" w:rsidRPr="000D2863" w:rsidRDefault="00E47FB3" w:rsidP="00E47FB3">
            <w:pPr>
              <w:spacing w:before="40" w:after="40"/>
              <w:rPr>
                <w:b/>
                <w:bCs/>
                <w:sz w:val="17"/>
                <w:szCs w:val="17"/>
              </w:rPr>
            </w:pPr>
          </w:p>
        </w:tc>
      </w:tr>
      <w:tr w:rsidR="007563EB" w:rsidRPr="00E834EF" w14:paraId="1A2313A1" w14:textId="77777777" w:rsidTr="008C57E0">
        <w:tc>
          <w:tcPr>
            <w:tcW w:w="3254" w:type="dxa"/>
          </w:tcPr>
          <w:p w14:paraId="6D866E16" w14:textId="77777777" w:rsidR="007563EB" w:rsidRDefault="00A76D52" w:rsidP="003832A3">
            <w:pPr>
              <w:tabs>
                <w:tab w:val="right" w:leader="dot" w:pos="3255"/>
              </w:tabs>
              <w:bidi/>
              <w:spacing w:before="40" w:after="40"/>
              <w:rPr>
                <w:sz w:val="17"/>
                <w:szCs w:val="17"/>
              </w:rPr>
            </w:pPr>
            <w:r>
              <w:rPr>
                <w:rFonts w:hint="cs"/>
                <w:sz w:val="17"/>
                <w:szCs w:val="17"/>
                <w:rtl/>
              </w:rPr>
              <w:t>إجمالي ال</w:t>
            </w:r>
            <w:r w:rsidR="007563EB">
              <w:rPr>
                <w:rFonts w:hint="cs"/>
                <w:sz w:val="17"/>
                <w:szCs w:val="17"/>
                <w:rtl/>
              </w:rPr>
              <w:t>تعديلات</w:t>
            </w:r>
            <w:r w:rsidR="007563EB" w:rsidRPr="007D2480">
              <w:rPr>
                <w:sz w:val="17"/>
              </w:rPr>
              <w:tab/>
            </w:r>
          </w:p>
        </w:tc>
        <w:tc>
          <w:tcPr>
            <w:tcW w:w="242" w:type="dxa"/>
            <w:vAlign w:val="bottom"/>
          </w:tcPr>
          <w:p w14:paraId="593A37C7" w14:textId="77777777" w:rsidR="007563EB" w:rsidRPr="00E834EF" w:rsidRDefault="007563EB" w:rsidP="007563EB">
            <w:pPr>
              <w:spacing w:before="40" w:after="40"/>
              <w:rPr>
                <w:sz w:val="17"/>
                <w:szCs w:val="17"/>
              </w:rPr>
            </w:pPr>
            <w:r>
              <w:rPr>
                <w:sz w:val="17"/>
                <w:szCs w:val="17"/>
              </w:rPr>
              <w:t>)</w:t>
            </w:r>
          </w:p>
        </w:tc>
        <w:tc>
          <w:tcPr>
            <w:tcW w:w="913" w:type="dxa"/>
            <w:vAlign w:val="center"/>
          </w:tcPr>
          <w:p w14:paraId="297ABBD0" w14:textId="77777777" w:rsidR="007563EB" w:rsidRPr="000D2863" w:rsidRDefault="007563EB" w:rsidP="007563EB">
            <w:pPr>
              <w:spacing w:before="40" w:after="40"/>
              <w:jc w:val="right"/>
              <w:rPr>
                <w:color w:val="000000"/>
                <w:sz w:val="17"/>
                <w:szCs w:val="17"/>
              </w:rPr>
            </w:pPr>
            <w:r>
              <w:rPr>
                <w:color w:val="000000"/>
                <w:sz w:val="17"/>
                <w:szCs w:val="17"/>
              </w:rPr>
              <w:t>(2.5</w:t>
            </w:r>
          </w:p>
        </w:tc>
        <w:tc>
          <w:tcPr>
            <w:tcW w:w="252" w:type="dxa"/>
            <w:gridSpan w:val="2"/>
            <w:vAlign w:val="bottom"/>
          </w:tcPr>
          <w:p w14:paraId="6483F154" w14:textId="77777777" w:rsidR="007563EB" w:rsidRPr="000D2863" w:rsidRDefault="007563EB" w:rsidP="007563EB">
            <w:pPr>
              <w:spacing w:before="40" w:after="40"/>
              <w:rPr>
                <w:color w:val="000000"/>
                <w:sz w:val="17"/>
                <w:szCs w:val="17"/>
              </w:rPr>
            </w:pPr>
          </w:p>
        </w:tc>
        <w:tc>
          <w:tcPr>
            <w:tcW w:w="924" w:type="dxa"/>
            <w:vAlign w:val="center"/>
          </w:tcPr>
          <w:p w14:paraId="34CE0A65" w14:textId="77777777" w:rsidR="007563EB" w:rsidRPr="000D2863" w:rsidRDefault="007563EB" w:rsidP="007563EB">
            <w:pPr>
              <w:spacing w:before="40" w:after="40"/>
              <w:jc w:val="right"/>
              <w:rPr>
                <w:color w:val="000000"/>
                <w:sz w:val="17"/>
                <w:szCs w:val="17"/>
              </w:rPr>
            </w:pPr>
            <w:r>
              <w:rPr>
                <w:color w:val="000000"/>
                <w:sz w:val="17"/>
                <w:szCs w:val="17"/>
              </w:rPr>
              <w:t>15.1</w:t>
            </w:r>
          </w:p>
        </w:tc>
        <w:tc>
          <w:tcPr>
            <w:tcW w:w="242" w:type="dxa"/>
            <w:vAlign w:val="bottom"/>
          </w:tcPr>
          <w:p w14:paraId="5F71873A" w14:textId="77777777" w:rsidR="007563EB" w:rsidRPr="000D2863" w:rsidRDefault="007563EB" w:rsidP="007563EB">
            <w:pPr>
              <w:spacing w:before="40" w:after="40"/>
              <w:rPr>
                <w:color w:val="000000"/>
                <w:sz w:val="17"/>
                <w:szCs w:val="17"/>
              </w:rPr>
            </w:pPr>
            <w:r>
              <w:rPr>
                <w:color w:val="000000"/>
                <w:sz w:val="17"/>
                <w:szCs w:val="17"/>
              </w:rPr>
              <w:t>)</w:t>
            </w:r>
          </w:p>
        </w:tc>
        <w:tc>
          <w:tcPr>
            <w:tcW w:w="924" w:type="dxa"/>
            <w:vAlign w:val="center"/>
          </w:tcPr>
          <w:p w14:paraId="215DA14D" w14:textId="77777777" w:rsidR="007563EB" w:rsidRPr="000D2863" w:rsidRDefault="007563EB" w:rsidP="007563EB">
            <w:pPr>
              <w:spacing w:before="40" w:after="40"/>
              <w:jc w:val="right"/>
              <w:rPr>
                <w:color w:val="000000"/>
                <w:sz w:val="17"/>
                <w:szCs w:val="17"/>
              </w:rPr>
            </w:pPr>
            <w:r>
              <w:rPr>
                <w:color w:val="000000"/>
                <w:sz w:val="17"/>
                <w:szCs w:val="17"/>
              </w:rPr>
              <w:t>(8.9</w:t>
            </w:r>
          </w:p>
        </w:tc>
        <w:tc>
          <w:tcPr>
            <w:tcW w:w="242" w:type="dxa"/>
            <w:vAlign w:val="bottom"/>
          </w:tcPr>
          <w:p w14:paraId="2001C9A9" w14:textId="77777777" w:rsidR="007563EB" w:rsidRPr="000D2863" w:rsidRDefault="007563EB" w:rsidP="007563EB">
            <w:pPr>
              <w:spacing w:before="40" w:after="40"/>
              <w:rPr>
                <w:sz w:val="17"/>
                <w:szCs w:val="17"/>
              </w:rPr>
            </w:pPr>
          </w:p>
        </w:tc>
        <w:tc>
          <w:tcPr>
            <w:tcW w:w="924" w:type="dxa"/>
          </w:tcPr>
          <w:p w14:paraId="7FA22531" w14:textId="77777777" w:rsidR="007563EB" w:rsidRPr="000D2863" w:rsidRDefault="007563EB" w:rsidP="007563EB">
            <w:pPr>
              <w:spacing w:before="40" w:after="40"/>
              <w:jc w:val="right"/>
              <w:rPr>
                <w:sz w:val="17"/>
                <w:szCs w:val="17"/>
              </w:rPr>
            </w:pPr>
            <w:r>
              <w:rPr>
                <w:sz w:val="17"/>
                <w:szCs w:val="17"/>
              </w:rPr>
              <w:t>37.9</w:t>
            </w:r>
          </w:p>
        </w:tc>
        <w:tc>
          <w:tcPr>
            <w:tcW w:w="227" w:type="dxa"/>
            <w:vAlign w:val="bottom"/>
          </w:tcPr>
          <w:p w14:paraId="0A79CFFA" w14:textId="77777777" w:rsidR="007563EB" w:rsidRPr="000D2863" w:rsidRDefault="007563EB" w:rsidP="007563EB">
            <w:pPr>
              <w:spacing w:before="40" w:after="40"/>
              <w:rPr>
                <w:sz w:val="17"/>
                <w:szCs w:val="17"/>
              </w:rPr>
            </w:pPr>
            <w:r>
              <w:rPr>
                <w:sz w:val="17"/>
                <w:szCs w:val="17"/>
              </w:rPr>
              <w:t>)</w:t>
            </w:r>
          </w:p>
        </w:tc>
        <w:tc>
          <w:tcPr>
            <w:tcW w:w="939" w:type="dxa"/>
            <w:vAlign w:val="bottom"/>
          </w:tcPr>
          <w:p w14:paraId="7E2C5101" w14:textId="77777777" w:rsidR="007563EB" w:rsidRPr="000D2863" w:rsidRDefault="007563EB" w:rsidP="007563EB">
            <w:pPr>
              <w:tabs>
                <w:tab w:val="center" w:pos="469"/>
                <w:tab w:val="right" w:pos="939"/>
              </w:tabs>
              <w:spacing w:before="40" w:after="40"/>
              <w:jc w:val="right"/>
              <w:rPr>
                <w:sz w:val="17"/>
                <w:szCs w:val="17"/>
              </w:rPr>
            </w:pPr>
            <w:r>
              <w:rPr>
                <w:sz w:val="17"/>
                <w:szCs w:val="17"/>
              </w:rPr>
              <w:t>(0.3</w:t>
            </w:r>
          </w:p>
        </w:tc>
        <w:tc>
          <w:tcPr>
            <w:tcW w:w="266" w:type="dxa"/>
            <w:vAlign w:val="bottom"/>
          </w:tcPr>
          <w:p w14:paraId="052C937F" w14:textId="77777777" w:rsidR="007563EB" w:rsidRPr="000D2863" w:rsidRDefault="007563EB" w:rsidP="007563EB">
            <w:pPr>
              <w:spacing w:before="40" w:after="40"/>
              <w:rPr>
                <w:sz w:val="17"/>
                <w:szCs w:val="17"/>
              </w:rPr>
            </w:pPr>
          </w:p>
        </w:tc>
      </w:tr>
      <w:tr w:rsidR="007563EB" w:rsidRPr="00E834EF" w14:paraId="727BE3A5" w14:textId="77777777" w:rsidTr="008C57E0">
        <w:tc>
          <w:tcPr>
            <w:tcW w:w="3254" w:type="dxa"/>
          </w:tcPr>
          <w:p w14:paraId="4EB4CC92" w14:textId="77777777" w:rsidR="007563EB" w:rsidRDefault="007563EB" w:rsidP="007563EB">
            <w:pPr>
              <w:tabs>
                <w:tab w:val="right" w:leader="dot" w:pos="3255"/>
              </w:tabs>
              <w:bidi/>
              <w:spacing w:before="40" w:after="40"/>
              <w:ind w:left="12"/>
              <w:rPr>
                <w:b/>
                <w:bCs/>
                <w:sz w:val="17"/>
                <w:szCs w:val="17"/>
                <w:u w:val="single"/>
              </w:rPr>
            </w:pPr>
            <w:r w:rsidRPr="00A07D6C">
              <w:rPr>
                <w:rFonts w:hint="cs"/>
                <w:b/>
                <w:bCs/>
                <w:sz w:val="17"/>
                <w:szCs w:val="17"/>
                <w:u w:val="single"/>
                <w:rtl/>
              </w:rPr>
              <w:t>الأرباح</w:t>
            </w:r>
            <w:r>
              <w:rPr>
                <w:rFonts w:hint="cs"/>
                <w:b/>
                <w:bCs/>
                <w:sz w:val="17"/>
                <w:szCs w:val="17"/>
                <w:u w:val="single"/>
                <w:rtl/>
              </w:rPr>
              <w:t xml:space="preserve"> المعدلة</w:t>
            </w:r>
            <w:r w:rsidRPr="00A07D6C">
              <w:rPr>
                <w:rFonts w:hint="cs"/>
                <w:b/>
                <w:bCs/>
                <w:sz w:val="17"/>
                <w:szCs w:val="17"/>
                <w:u w:val="single"/>
                <w:rtl/>
              </w:rPr>
              <w:t xml:space="preserve"> قبل حساب الفوائد والضرائب والإهلاك والإطفاء</w:t>
            </w:r>
            <w:r w:rsidRPr="00A07D6C">
              <w:rPr>
                <w:b/>
                <w:bCs/>
                <w:sz w:val="17"/>
                <w:szCs w:val="17"/>
                <w:u w:val="single"/>
              </w:rPr>
              <w:t xml:space="preserve"> </w:t>
            </w:r>
            <w:r w:rsidRPr="00155339">
              <w:rPr>
                <w:sz w:val="17"/>
                <w:szCs w:val="17"/>
                <w:vertAlign w:val="superscript"/>
              </w:rPr>
              <w:t>(</w:t>
            </w:r>
            <w:r>
              <w:rPr>
                <w:sz w:val="17"/>
                <w:szCs w:val="17"/>
                <w:vertAlign w:val="superscript"/>
              </w:rPr>
              <w:t>c</w:t>
            </w:r>
            <w:r w:rsidRPr="00155339">
              <w:rPr>
                <w:sz w:val="17"/>
                <w:szCs w:val="17"/>
                <w:vertAlign w:val="superscript"/>
              </w:rPr>
              <w:t>)</w:t>
            </w:r>
            <w:r w:rsidRPr="0054596C">
              <w:rPr>
                <w:sz w:val="17"/>
                <w:szCs w:val="17"/>
              </w:rPr>
              <w:tab/>
            </w:r>
          </w:p>
        </w:tc>
        <w:tc>
          <w:tcPr>
            <w:tcW w:w="242" w:type="dxa"/>
            <w:vAlign w:val="bottom"/>
          </w:tcPr>
          <w:p w14:paraId="0918E904" w14:textId="77777777" w:rsidR="007563EB" w:rsidRPr="00E834EF" w:rsidRDefault="007563EB" w:rsidP="007563EB">
            <w:pPr>
              <w:spacing w:before="40" w:after="40"/>
              <w:rPr>
                <w:sz w:val="17"/>
                <w:szCs w:val="17"/>
              </w:rPr>
            </w:pPr>
          </w:p>
        </w:tc>
        <w:tc>
          <w:tcPr>
            <w:tcW w:w="913" w:type="dxa"/>
          </w:tcPr>
          <w:p w14:paraId="1BAFE81E" w14:textId="77777777" w:rsidR="007563EB" w:rsidRPr="00D4755F" w:rsidRDefault="007563EB" w:rsidP="007563EB">
            <w:pPr>
              <w:spacing w:before="40" w:after="40"/>
              <w:jc w:val="right"/>
              <w:rPr>
                <w:b/>
                <w:bCs/>
                <w:color w:val="000000"/>
                <w:sz w:val="17"/>
                <w:szCs w:val="17"/>
              </w:rPr>
            </w:pPr>
            <w:r w:rsidRPr="007A3BB2">
              <w:rPr>
                <w:sz w:val="16"/>
                <w:szCs w:val="16"/>
              </w:rPr>
              <w:t>273.5</w:t>
            </w:r>
          </w:p>
        </w:tc>
        <w:tc>
          <w:tcPr>
            <w:tcW w:w="252" w:type="dxa"/>
            <w:gridSpan w:val="2"/>
            <w:vAlign w:val="bottom"/>
          </w:tcPr>
          <w:p w14:paraId="46687A13" w14:textId="77777777" w:rsidR="007563EB" w:rsidRPr="00D4755F" w:rsidRDefault="007563EB" w:rsidP="007563EB">
            <w:pPr>
              <w:spacing w:before="40" w:after="40"/>
              <w:rPr>
                <w:b/>
                <w:bCs/>
                <w:color w:val="000000"/>
                <w:sz w:val="17"/>
                <w:szCs w:val="17"/>
              </w:rPr>
            </w:pPr>
          </w:p>
        </w:tc>
        <w:tc>
          <w:tcPr>
            <w:tcW w:w="924" w:type="dxa"/>
          </w:tcPr>
          <w:p w14:paraId="31200711" w14:textId="77777777" w:rsidR="007563EB" w:rsidRPr="00D4755F" w:rsidRDefault="007563EB" w:rsidP="007563EB">
            <w:pPr>
              <w:spacing w:before="40" w:after="40"/>
              <w:jc w:val="right"/>
              <w:rPr>
                <w:b/>
                <w:bCs/>
                <w:color w:val="000000"/>
                <w:sz w:val="17"/>
                <w:szCs w:val="17"/>
              </w:rPr>
            </w:pPr>
            <w:r w:rsidRPr="007A3BB2">
              <w:rPr>
                <w:sz w:val="16"/>
                <w:szCs w:val="16"/>
              </w:rPr>
              <w:t>412.7</w:t>
            </w:r>
          </w:p>
        </w:tc>
        <w:tc>
          <w:tcPr>
            <w:tcW w:w="242" w:type="dxa"/>
            <w:vAlign w:val="bottom"/>
          </w:tcPr>
          <w:p w14:paraId="34BBDAB0" w14:textId="77777777" w:rsidR="007563EB" w:rsidRPr="00D4755F" w:rsidRDefault="007563EB" w:rsidP="007563EB">
            <w:pPr>
              <w:spacing w:before="40" w:after="40"/>
              <w:rPr>
                <w:b/>
                <w:bCs/>
                <w:color w:val="000000"/>
                <w:sz w:val="17"/>
                <w:szCs w:val="17"/>
              </w:rPr>
            </w:pPr>
          </w:p>
        </w:tc>
        <w:tc>
          <w:tcPr>
            <w:tcW w:w="924" w:type="dxa"/>
          </w:tcPr>
          <w:p w14:paraId="25C15EAA" w14:textId="77777777" w:rsidR="007563EB" w:rsidRPr="00D4755F" w:rsidRDefault="007563EB" w:rsidP="007563EB">
            <w:pPr>
              <w:spacing w:before="40" w:after="40"/>
              <w:jc w:val="right"/>
              <w:rPr>
                <w:b/>
                <w:bCs/>
                <w:color w:val="000000"/>
                <w:sz w:val="17"/>
                <w:szCs w:val="17"/>
              </w:rPr>
            </w:pPr>
            <w:r w:rsidRPr="007A3BB2">
              <w:rPr>
                <w:sz w:val="16"/>
                <w:szCs w:val="16"/>
              </w:rPr>
              <w:t>478.0</w:t>
            </w:r>
          </w:p>
        </w:tc>
        <w:tc>
          <w:tcPr>
            <w:tcW w:w="242" w:type="dxa"/>
            <w:vAlign w:val="bottom"/>
          </w:tcPr>
          <w:p w14:paraId="0659799A" w14:textId="77777777" w:rsidR="007563EB" w:rsidRPr="00D4755F" w:rsidRDefault="007563EB" w:rsidP="007563EB">
            <w:pPr>
              <w:spacing w:before="40" w:after="40"/>
              <w:rPr>
                <w:b/>
                <w:bCs/>
                <w:sz w:val="17"/>
                <w:szCs w:val="17"/>
              </w:rPr>
            </w:pPr>
          </w:p>
        </w:tc>
        <w:tc>
          <w:tcPr>
            <w:tcW w:w="924" w:type="dxa"/>
            <w:vAlign w:val="bottom"/>
          </w:tcPr>
          <w:p w14:paraId="319AB441" w14:textId="77777777" w:rsidR="007563EB" w:rsidRPr="00D4755F" w:rsidRDefault="007563EB" w:rsidP="007563EB">
            <w:pPr>
              <w:spacing w:before="40" w:after="40"/>
              <w:jc w:val="right"/>
              <w:rPr>
                <w:b/>
                <w:bCs/>
                <w:sz w:val="17"/>
                <w:szCs w:val="17"/>
              </w:rPr>
            </w:pPr>
            <w:r w:rsidRPr="007A3BB2">
              <w:rPr>
                <w:sz w:val="16"/>
                <w:szCs w:val="16"/>
              </w:rPr>
              <w:t>362.3</w:t>
            </w:r>
          </w:p>
        </w:tc>
        <w:tc>
          <w:tcPr>
            <w:tcW w:w="227" w:type="dxa"/>
            <w:vAlign w:val="bottom"/>
          </w:tcPr>
          <w:p w14:paraId="1701FB01" w14:textId="77777777" w:rsidR="007563EB" w:rsidRPr="00D4755F" w:rsidRDefault="007563EB" w:rsidP="007563EB">
            <w:pPr>
              <w:spacing w:before="40" w:after="40"/>
              <w:rPr>
                <w:b/>
                <w:bCs/>
                <w:sz w:val="17"/>
                <w:szCs w:val="17"/>
              </w:rPr>
            </w:pPr>
          </w:p>
        </w:tc>
        <w:tc>
          <w:tcPr>
            <w:tcW w:w="939" w:type="dxa"/>
            <w:vAlign w:val="bottom"/>
          </w:tcPr>
          <w:p w14:paraId="42072397" w14:textId="77777777" w:rsidR="007563EB" w:rsidRPr="00D4755F" w:rsidRDefault="007563EB" w:rsidP="007563EB">
            <w:pPr>
              <w:spacing w:before="40" w:after="40"/>
              <w:jc w:val="right"/>
              <w:rPr>
                <w:b/>
                <w:bCs/>
                <w:sz w:val="17"/>
                <w:szCs w:val="17"/>
              </w:rPr>
            </w:pPr>
            <w:r w:rsidRPr="007A3BB2">
              <w:rPr>
                <w:sz w:val="16"/>
                <w:szCs w:val="16"/>
              </w:rPr>
              <w:t>423.0</w:t>
            </w:r>
          </w:p>
        </w:tc>
        <w:tc>
          <w:tcPr>
            <w:tcW w:w="266" w:type="dxa"/>
          </w:tcPr>
          <w:p w14:paraId="26ED239C" w14:textId="77777777" w:rsidR="007563EB" w:rsidRPr="000D2863" w:rsidRDefault="007563EB" w:rsidP="007563EB">
            <w:pPr>
              <w:spacing w:before="40" w:after="40"/>
              <w:rPr>
                <w:b/>
                <w:bCs/>
                <w:sz w:val="17"/>
                <w:szCs w:val="17"/>
              </w:rPr>
            </w:pPr>
          </w:p>
        </w:tc>
      </w:tr>
      <w:tr w:rsidR="007563EB" w:rsidRPr="00E834EF" w14:paraId="30174877" w14:textId="77777777" w:rsidTr="008C57E0">
        <w:tc>
          <w:tcPr>
            <w:tcW w:w="3254" w:type="dxa"/>
          </w:tcPr>
          <w:p w14:paraId="15D93831" w14:textId="77777777" w:rsidR="007563EB" w:rsidRDefault="007563EB" w:rsidP="007563EB">
            <w:pPr>
              <w:tabs>
                <w:tab w:val="right" w:leader="dot" w:pos="3255"/>
              </w:tabs>
              <w:bidi/>
              <w:spacing w:before="40" w:after="40"/>
              <w:ind w:left="12"/>
              <w:rPr>
                <w:b/>
                <w:bCs/>
                <w:i/>
                <w:iCs/>
                <w:sz w:val="17"/>
                <w:szCs w:val="17"/>
              </w:rPr>
            </w:pPr>
          </w:p>
        </w:tc>
        <w:tc>
          <w:tcPr>
            <w:tcW w:w="242" w:type="dxa"/>
            <w:vAlign w:val="bottom"/>
          </w:tcPr>
          <w:p w14:paraId="494D5E08" w14:textId="77777777" w:rsidR="007563EB" w:rsidRPr="00E834EF" w:rsidRDefault="007563EB" w:rsidP="007563EB">
            <w:pPr>
              <w:spacing w:before="40" w:after="40"/>
              <w:rPr>
                <w:sz w:val="17"/>
                <w:szCs w:val="17"/>
              </w:rPr>
            </w:pPr>
          </w:p>
        </w:tc>
        <w:tc>
          <w:tcPr>
            <w:tcW w:w="913" w:type="dxa"/>
          </w:tcPr>
          <w:p w14:paraId="381D3585" w14:textId="77777777" w:rsidR="007563EB" w:rsidRPr="00E754AA" w:rsidRDefault="007563EB" w:rsidP="007563EB">
            <w:pPr>
              <w:spacing w:before="40" w:after="40"/>
              <w:jc w:val="right"/>
              <w:rPr>
                <w:sz w:val="17"/>
                <w:szCs w:val="17"/>
              </w:rPr>
            </w:pPr>
          </w:p>
        </w:tc>
        <w:tc>
          <w:tcPr>
            <w:tcW w:w="252" w:type="dxa"/>
            <w:gridSpan w:val="2"/>
          </w:tcPr>
          <w:p w14:paraId="539AF646" w14:textId="77777777" w:rsidR="007563EB" w:rsidRPr="000D2863" w:rsidRDefault="007563EB" w:rsidP="007563EB">
            <w:pPr>
              <w:spacing w:before="40" w:after="40"/>
              <w:rPr>
                <w:b/>
                <w:bCs/>
                <w:color w:val="000000"/>
                <w:sz w:val="17"/>
                <w:szCs w:val="17"/>
              </w:rPr>
            </w:pPr>
          </w:p>
        </w:tc>
        <w:tc>
          <w:tcPr>
            <w:tcW w:w="924" w:type="dxa"/>
          </w:tcPr>
          <w:p w14:paraId="7AE6B5CA" w14:textId="77777777" w:rsidR="007563EB" w:rsidRPr="00E754AA" w:rsidRDefault="007563EB" w:rsidP="007563EB">
            <w:pPr>
              <w:spacing w:before="40" w:after="40"/>
              <w:jc w:val="right"/>
              <w:rPr>
                <w:sz w:val="17"/>
                <w:szCs w:val="17"/>
              </w:rPr>
            </w:pPr>
          </w:p>
        </w:tc>
        <w:tc>
          <w:tcPr>
            <w:tcW w:w="242" w:type="dxa"/>
          </w:tcPr>
          <w:p w14:paraId="7FD908D4" w14:textId="77777777" w:rsidR="007563EB" w:rsidRPr="000D2863" w:rsidRDefault="007563EB" w:rsidP="007563EB">
            <w:pPr>
              <w:spacing w:before="40" w:after="40"/>
              <w:rPr>
                <w:b/>
                <w:bCs/>
                <w:color w:val="000000"/>
                <w:sz w:val="17"/>
                <w:szCs w:val="17"/>
              </w:rPr>
            </w:pPr>
          </w:p>
        </w:tc>
        <w:tc>
          <w:tcPr>
            <w:tcW w:w="924" w:type="dxa"/>
          </w:tcPr>
          <w:p w14:paraId="4434B65C" w14:textId="77777777" w:rsidR="007563EB" w:rsidRPr="00E754AA" w:rsidRDefault="007563EB" w:rsidP="007563EB">
            <w:pPr>
              <w:spacing w:before="40" w:after="40"/>
              <w:jc w:val="right"/>
              <w:rPr>
                <w:sz w:val="17"/>
                <w:szCs w:val="17"/>
              </w:rPr>
            </w:pPr>
          </w:p>
        </w:tc>
        <w:tc>
          <w:tcPr>
            <w:tcW w:w="242" w:type="dxa"/>
            <w:vAlign w:val="bottom"/>
          </w:tcPr>
          <w:p w14:paraId="3544BF50" w14:textId="77777777" w:rsidR="007563EB" w:rsidRPr="000D2863" w:rsidRDefault="007563EB" w:rsidP="007563EB">
            <w:pPr>
              <w:spacing w:before="40" w:after="40"/>
              <w:rPr>
                <w:b/>
                <w:bCs/>
                <w:sz w:val="17"/>
                <w:szCs w:val="17"/>
              </w:rPr>
            </w:pPr>
          </w:p>
        </w:tc>
        <w:tc>
          <w:tcPr>
            <w:tcW w:w="924" w:type="dxa"/>
            <w:vAlign w:val="bottom"/>
          </w:tcPr>
          <w:p w14:paraId="296C3C60" w14:textId="77777777" w:rsidR="007563EB" w:rsidRPr="00E754AA" w:rsidRDefault="007563EB" w:rsidP="007563EB">
            <w:pPr>
              <w:spacing w:before="40" w:after="40"/>
              <w:jc w:val="right"/>
              <w:rPr>
                <w:sz w:val="17"/>
                <w:szCs w:val="17"/>
              </w:rPr>
            </w:pPr>
          </w:p>
        </w:tc>
        <w:tc>
          <w:tcPr>
            <w:tcW w:w="227" w:type="dxa"/>
            <w:vAlign w:val="bottom"/>
          </w:tcPr>
          <w:p w14:paraId="38550053" w14:textId="77777777" w:rsidR="007563EB" w:rsidRPr="000D2863" w:rsidRDefault="007563EB" w:rsidP="007563EB">
            <w:pPr>
              <w:spacing w:before="40" w:after="40"/>
              <w:rPr>
                <w:b/>
                <w:bCs/>
                <w:sz w:val="17"/>
                <w:szCs w:val="17"/>
              </w:rPr>
            </w:pPr>
          </w:p>
        </w:tc>
        <w:tc>
          <w:tcPr>
            <w:tcW w:w="939" w:type="dxa"/>
            <w:vAlign w:val="bottom"/>
          </w:tcPr>
          <w:p w14:paraId="2FFA34A3" w14:textId="77777777" w:rsidR="007563EB" w:rsidRPr="00E754AA" w:rsidRDefault="007563EB" w:rsidP="007563EB">
            <w:pPr>
              <w:spacing w:before="40" w:after="40"/>
              <w:jc w:val="right"/>
              <w:rPr>
                <w:sz w:val="17"/>
                <w:szCs w:val="17"/>
              </w:rPr>
            </w:pPr>
          </w:p>
        </w:tc>
        <w:tc>
          <w:tcPr>
            <w:tcW w:w="266" w:type="dxa"/>
            <w:vAlign w:val="bottom"/>
          </w:tcPr>
          <w:p w14:paraId="2CC22BCE" w14:textId="77777777" w:rsidR="007563EB" w:rsidRPr="000D2863" w:rsidRDefault="007563EB" w:rsidP="007563EB">
            <w:pPr>
              <w:spacing w:before="40" w:after="40"/>
              <w:rPr>
                <w:b/>
                <w:bCs/>
                <w:sz w:val="17"/>
                <w:szCs w:val="17"/>
              </w:rPr>
            </w:pPr>
          </w:p>
        </w:tc>
      </w:tr>
      <w:tr w:rsidR="007563EB" w:rsidRPr="00E834EF" w14:paraId="710D50C9" w14:textId="77777777" w:rsidTr="008C57E0">
        <w:tc>
          <w:tcPr>
            <w:tcW w:w="3254" w:type="dxa"/>
          </w:tcPr>
          <w:p w14:paraId="0843D3C7" w14:textId="77777777" w:rsidR="007563EB" w:rsidRDefault="007563EB" w:rsidP="007563EB">
            <w:pPr>
              <w:tabs>
                <w:tab w:val="right" w:leader="dot" w:pos="3255"/>
              </w:tabs>
              <w:bidi/>
              <w:spacing w:before="40" w:after="40"/>
              <w:ind w:left="12"/>
              <w:rPr>
                <w:b/>
                <w:bCs/>
                <w:i/>
                <w:iCs/>
                <w:sz w:val="17"/>
                <w:szCs w:val="17"/>
              </w:rPr>
            </w:pPr>
            <w:r w:rsidRPr="00A07D6C">
              <w:rPr>
                <w:rFonts w:hint="cs"/>
                <w:b/>
                <w:bCs/>
                <w:i/>
                <w:iCs/>
                <w:sz w:val="17"/>
                <w:szCs w:val="17"/>
                <w:u w:val="single"/>
                <w:rtl/>
              </w:rPr>
              <w:t>إيرادات مكافئ تأجير السفن المجهزة بالمد</w:t>
            </w:r>
            <w:r>
              <w:rPr>
                <w:rFonts w:hint="cs"/>
                <w:b/>
                <w:bCs/>
                <w:i/>
                <w:iCs/>
                <w:sz w:val="17"/>
                <w:szCs w:val="17"/>
                <w:u w:val="single"/>
                <w:rtl/>
              </w:rPr>
              <w:t>ة</w:t>
            </w:r>
            <w:r w:rsidRPr="00155339">
              <w:rPr>
                <w:sz w:val="17"/>
                <w:szCs w:val="17"/>
                <w:vertAlign w:val="superscript"/>
              </w:rPr>
              <w:t xml:space="preserve"> (b)</w:t>
            </w:r>
            <w:r w:rsidRPr="007D2480">
              <w:rPr>
                <w:sz w:val="17"/>
              </w:rPr>
              <w:t xml:space="preserve"> </w:t>
            </w:r>
            <w:r w:rsidRPr="007D2480">
              <w:rPr>
                <w:sz w:val="17"/>
              </w:rPr>
              <w:tab/>
            </w:r>
          </w:p>
        </w:tc>
        <w:tc>
          <w:tcPr>
            <w:tcW w:w="242" w:type="dxa"/>
            <w:vAlign w:val="bottom"/>
          </w:tcPr>
          <w:p w14:paraId="2D2024E7" w14:textId="77777777" w:rsidR="007563EB" w:rsidRPr="00E834EF" w:rsidRDefault="007563EB" w:rsidP="007563EB">
            <w:pPr>
              <w:spacing w:before="40" w:after="40"/>
              <w:rPr>
                <w:sz w:val="17"/>
                <w:szCs w:val="17"/>
              </w:rPr>
            </w:pPr>
          </w:p>
        </w:tc>
        <w:tc>
          <w:tcPr>
            <w:tcW w:w="913" w:type="dxa"/>
          </w:tcPr>
          <w:p w14:paraId="453480D1" w14:textId="77777777" w:rsidR="007563EB" w:rsidRPr="000D2863" w:rsidRDefault="007563EB" w:rsidP="007563EB">
            <w:pPr>
              <w:spacing w:before="40" w:after="40"/>
              <w:jc w:val="right"/>
              <w:rPr>
                <w:b/>
                <w:bCs/>
                <w:color w:val="000000"/>
                <w:sz w:val="17"/>
                <w:szCs w:val="17"/>
              </w:rPr>
            </w:pPr>
            <w:r w:rsidRPr="007A3BB2">
              <w:rPr>
                <w:sz w:val="16"/>
                <w:szCs w:val="16"/>
              </w:rPr>
              <w:t>470.3</w:t>
            </w:r>
          </w:p>
        </w:tc>
        <w:tc>
          <w:tcPr>
            <w:tcW w:w="252" w:type="dxa"/>
            <w:gridSpan w:val="2"/>
          </w:tcPr>
          <w:p w14:paraId="0A3EB609" w14:textId="77777777" w:rsidR="007563EB" w:rsidRPr="000D2863" w:rsidRDefault="007563EB" w:rsidP="007563EB">
            <w:pPr>
              <w:spacing w:before="40" w:after="40"/>
              <w:rPr>
                <w:b/>
                <w:bCs/>
                <w:color w:val="000000"/>
                <w:sz w:val="17"/>
                <w:szCs w:val="17"/>
              </w:rPr>
            </w:pPr>
          </w:p>
        </w:tc>
        <w:tc>
          <w:tcPr>
            <w:tcW w:w="924" w:type="dxa"/>
          </w:tcPr>
          <w:p w14:paraId="22DA1E29" w14:textId="77777777" w:rsidR="007563EB" w:rsidRPr="000D2863" w:rsidRDefault="007563EB" w:rsidP="007563EB">
            <w:pPr>
              <w:spacing w:before="40" w:after="40"/>
              <w:jc w:val="right"/>
              <w:rPr>
                <w:b/>
                <w:bCs/>
                <w:color w:val="000000"/>
                <w:sz w:val="17"/>
                <w:szCs w:val="17"/>
              </w:rPr>
            </w:pPr>
            <w:r w:rsidRPr="007A3BB2">
              <w:rPr>
                <w:sz w:val="16"/>
                <w:szCs w:val="16"/>
              </w:rPr>
              <w:t>649.5</w:t>
            </w:r>
          </w:p>
        </w:tc>
        <w:tc>
          <w:tcPr>
            <w:tcW w:w="242" w:type="dxa"/>
          </w:tcPr>
          <w:p w14:paraId="24C3C8CA" w14:textId="77777777" w:rsidR="007563EB" w:rsidRPr="000D2863" w:rsidRDefault="007563EB" w:rsidP="007563EB">
            <w:pPr>
              <w:spacing w:before="40" w:after="40"/>
              <w:rPr>
                <w:b/>
                <w:bCs/>
                <w:color w:val="000000"/>
                <w:sz w:val="17"/>
                <w:szCs w:val="17"/>
              </w:rPr>
            </w:pPr>
          </w:p>
        </w:tc>
        <w:tc>
          <w:tcPr>
            <w:tcW w:w="924" w:type="dxa"/>
          </w:tcPr>
          <w:p w14:paraId="05FAA236" w14:textId="77777777" w:rsidR="007563EB" w:rsidRPr="000D2863" w:rsidRDefault="007563EB" w:rsidP="007563EB">
            <w:pPr>
              <w:spacing w:before="40" w:after="40"/>
              <w:jc w:val="right"/>
              <w:rPr>
                <w:b/>
                <w:bCs/>
                <w:color w:val="000000"/>
                <w:sz w:val="17"/>
                <w:szCs w:val="17"/>
              </w:rPr>
            </w:pPr>
            <w:r w:rsidRPr="007A3BB2">
              <w:rPr>
                <w:sz w:val="16"/>
                <w:szCs w:val="16"/>
              </w:rPr>
              <w:t>732.5</w:t>
            </w:r>
          </w:p>
        </w:tc>
        <w:tc>
          <w:tcPr>
            <w:tcW w:w="242" w:type="dxa"/>
            <w:vAlign w:val="bottom"/>
          </w:tcPr>
          <w:p w14:paraId="7B2DA743" w14:textId="77777777" w:rsidR="007563EB" w:rsidRPr="000D2863" w:rsidRDefault="007563EB" w:rsidP="007563EB">
            <w:pPr>
              <w:spacing w:before="40" w:after="40"/>
              <w:rPr>
                <w:b/>
                <w:bCs/>
                <w:sz w:val="17"/>
                <w:szCs w:val="17"/>
              </w:rPr>
            </w:pPr>
          </w:p>
        </w:tc>
        <w:tc>
          <w:tcPr>
            <w:tcW w:w="924" w:type="dxa"/>
            <w:vAlign w:val="bottom"/>
          </w:tcPr>
          <w:p w14:paraId="2176B7A4" w14:textId="77777777" w:rsidR="007563EB" w:rsidRPr="000D2863" w:rsidRDefault="007563EB" w:rsidP="007563EB">
            <w:pPr>
              <w:spacing w:before="40" w:after="40"/>
              <w:jc w:val="right"/>
              <w:rPr>
                <w:b/>
                <w:bCs/>
                <w:sz w:val="17"/>
                <w:szCs w:val="17"/>
              </w:rPr>
            </w:pPr>
            <w:r w:rsidRPr="007A3BB2">
              <w:rPr>
                <w:sz w:val="16"/>
                <w:szCs w:val="16"/>
              </w:rPr>
              <w:t>551.6</w:t>
            </w:r>
          </w:p>
        </w:tc>
        <w:tc>
          <w:tcPr>
            <w:tcW w:w="227" w:type="dxa"/>
            <w:vAlign w:val="bottom"/>
          </w:tcPr>
          <w:p w14:paraId="626FE39F" w14:textId="77777777" w:rsidR="007563EB" w:rsidRPr="000D2863" w:rsidRDefault="007563EB" w:rsidP="007563EB">
            <w:pPr>
              <w:spacing w:before="40" w:after="40"/>
              <w:rPr>
                <w:b/>
                <w:bCs/>
                <w:sz w:val="17"/>
                <w:szCs w:val="17"/>
              </w:rPr>
            </w:pPr>
          </w:p>
        </w:tc>
        <w:tc>
          <w:tcPr>
            <w:tcW w:w="939" w:type="dxa"/>
            <w:vAlign w:val="bottom"/>
          </w:tcPr>
          <w:p w14:paraId="797C2AD1" w14:textId="77777777" w:rsidR="007563EB" w:rsidRPr="00833A10" w:rsidRDefault="007563EB" w:rsidP="007563EB">
            <w:pPr>
              <w:spacing w:before="40" w:after="40"/>
              <w:jc w:val="right"/>
              <w:rPr>
                <w:b/>
                <w:bCs/>
                <w:sz w:val="17"/>
                <w:szCs w:val="17"/>
              </w:rPr>
            </w:pPr>
            <w:r w:rsidRPr="007A3BB2">
              <w:rPr>
                <w:sz w:val="16"/>
                <w:szCs w:val="16"/>
              </w:rPr>
              <w:t>613.3</w:t>
            </w:r>
          </w:p>
        </w:tc>
        <w:tc>
          <w:tcPr>
            <w:tcW w:w="266" w:type="dxa"/>
            <w:vAlign w:val="bottom"/>
          </w:tcPr>
          <w:p w14:paraId="2B838EE2" w14:textId="77777777" w:rsidR="007563EB" w:rsidRPr="000D2863" w:rsidRDefault="007563EB" w:rsidP="007563EB">
            <w:pPr>
              <w:spacing w:before="40" w:after="40"/>
              <w:rPr>
                <w:b/>
                <w:bCs/>
                <w:sz w:val="17"/>
                <w:szCs w:val="17"/>
              </w:rPr>
            </w:pPr>
          </w:p>
        </w:tc>
      </w:tr>
      <w:tr w:rsidR="007563EB" w:rsidRPr="00E834EF" w14:paraId="666A0F03" w14:textId="77777777" w:rsidTr="008C57E0">
        <w:tc>
          <w:tcPr>
            <w:tcW w:w="3254" w:type="dxa"/>
          </w:tcPr>
          <w:p w14:paraId="26E1234F" w14:textId="77777777" w:rsidR="007563EB" w:rsidRDefault="007563EB" w:rsidP="007563EB">
            <w:pPr>
              <w:tabs>
                <w:tab w:val="right" w:leader="dot" w:pos="3255"/>
              </w:tabs>
              <w:bidi/>
              <w:spacing w:before="40" w:after="40"/>
              <w:ind w:left="12"/>
              <w:rPr>
                <w:b/>
                <w:bCs/>
                <w:sz w:val="17"/>
                <w:szCs w:val="17"/>
                <w:u w:val="single"/>
              </w:rPr>
            </w:pPr>
            <w:r w:rsidRPr="00A07D6C">
              <w:rPr>
                <w:rFonts w:hint="cs"/>
                <w:b/>
                <w:bCs/>
                <w:sz w:val="17"/>
                <w:szCs w:val="17"/>
                <w:u w:val="single"/>
                <w:rtl/>
              </w:rPr>
              <w:t>هامش الأرباح</w:t>
            </w:r>
            <w:r>
              <w:rPr>
                <w:rFonts w:hint="cs"/>
                <w:b/>
                <w:bCs/>
                <w:sz w:val="17"/>
                <w:szCs w:val="17"/>
                <w:u w:val="single"/>
                <w:rtl/>
              </w:rPr>
              <w:t xml:space="preserve"> المعدلة</w:t>
            </w:r>
            <w:r w:rsidRPr="00A07D6C">
              <w:rPr>
                <w:rFonts w:hint="cs"/>
                <w:b/>
                <w:bCs/>
                <w:sz w:val="17"/>
                <w:szCs w:val="17"/>
                <w:u w:val="single"/>
                <w:rtl/>
              </w:rPr>
              <w:t xml:space="preserve"> قبل حساب الفوائد والضرائب والإهلاك والإطفاء</w:t>
            </w:r>
            <w:r>
              <w:rPr>
                <w:sz w:val="17"/>
                <w:szCs w:val="17"/>
              </w:rPr>
              <w:t xml:space="preserve"> </w:t>
            </w:r>
            <w:r w:rsidRPr="00155339">
              <w:rPr>
                <w:sz w:val="17"/>
                <w:szCs w:val="17"/>
                <w:vertAlign w:val="superscript"/>
              </w:rPr>
              <w:t>(</w:t>
            </w:r>
            <w:r>
              <w:rPr>
                <w:b/>
                <w:bCs/>
                <w:sz w:val="17"/>
                <w:szCs w:val="17"/>
                <w:vertAlign w:val="superscript"/>
              </w:rPr>
              <w:t>c</w:t>
            </w:r>
            <w:r w:rsidRPr="00155339">
              <w:rPr>
                <w:sz w:val="17"/>
                <w:szCs w:val="17"/>
                <w:vertAlign w:val="superscript"/>
              </w:rPr>
              <w:t xml:space="preserve"> over </w:t>
            </w:r>
            <w:r w:rsidRPr="00155339">
              <w:rPr>
                <w:b/>
                <w:bCs/>
                <w:sz w:val="17"/>
                <w:szCs w:val="17"/>
                <w:vertAlign w:val="superscript"/>
              </w:rPr>
              <w:t>b</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261463F2" w14:textId="77777777" w:rsidR="007563EB" w:rsidRPr="00E834EF" w:rsidRDefault="007563EB" w:rsidP="007563EB">
            <w:pPr>
              <w:spacing w:before="40" w:after="40"/>
              <w:rPr>
                <w:sz w:val="17"/>
                <w:szCs w:val="17"/>
              </w:rPr>
            </w:pPr>
          </w:p>
        </w:tc>
        <w:tc>
          <w:tcPr>
            <w:tcW w:w="913" w:type="dxa"/>
          </w:tcPr>
          <w:p w14:paraId="125E9C2C" w14:textId="77777777" w:rsidR="00CF251C" w:rsidRDefault="00CF251C" w:rsidP="007563EB">
            <w:pPr>
              <w:spacing w:before="40" w:after="40"/>
              <w:jc w:val="right"/>
              <w:rPr>
                <w:b/>
                <w:bCs/>
                <w:sz w:val="17"/>
                <w:szCs w:val="17"/>
              </w:rPr>
            </w:pPr>
          </w:p>
          <w:p w14:paraId="774AF102" w14:textId="77777777" w:rsidR="007563EB" w:rsidRPr="00E754AA" w:rsidRDefault="007563EB" w:rsidP="007563EB">
            <w:pPr>
              <w:spacing w:before="40" w:after="40"/>
              <w:jc w:val="right"/>
              <w:rPr>
                <w:b/>
                <w:bCs/>
                <w:color w:val="000000"/>
                <w:sz w:val="17"/>
                <w:szCs w:val="17"/>
              </w:rPr>
            </w:pPr>
            <w:r w:rsidRPr="00E754AA">
              <w:rPr>
                <w:b/>
                <w:bCs/>
                <w:sz w:val="17"/>
                <w:szCs w:val="17"/>
              </w:rPr>
              <w:t>58.</w:t>
            </w:r>
            <w:r w:rsidR="006C26B1">
              <w:rPr>
                <w:b/>
                <w:bCs/>
                <w:sz w:val="17"/>
                <w:szCs w:val="17"/>
              </w:rPr>
              <w:t>2</w:t>
            </w:r>
            <w:r>
              <w:rPr>
                <w:b/>
                <w:bCs/>
                <w:sz w:val="17"/>
                <w:szCs w:val="17"/>
              </w:rPr>
              <w:t>%</w:t>
            </w:r>
          </w:p>
        </w:tc>
        <w:tc>
          <w:tcPr>
            <w:tcW w:w="252" w:type="dxa"/>
            <w:gridSpan w:val="2"/>
            <w:vAlign w:val="bottom"/>
          </w:tcPr>
          <w:p w14:paraId="110CDF7A" w14:textId="77777777" w:rsidR="007563EB" w:rsidRPr="00E754AA" w:rsidRDefault="007563EB" w:rsidP="007563EB">
            <w:pPr>
              <w:spacing w:before="40" w:after="40"/>
              <w:rPr>
                <w:b/>
                <w:bCs/>
                <w:color w:val="000000"/>
                <w:sz w:val="17"/>
                <w:szCs w:val="17"/>
              </w:rPr>
            </w:pPr>
          </w:p>
        </w:tc>
        <w:tc>
          <w:tcPr>
            <w:tcW w:w="924" w:type="dxa"/>
          </w:tcPr>
          <w:p w14:paraId="5299F643" w14:textId="77777777" w:rsidR="00CF251C" w:rsidRDefault="00CF251C" w:rsidP="007563EB">
            <w:pPr>
              <w:spacing w:before="40" w:after="40"/>
              <w:jc w:val="right"/>
              <w:rPr>
                <w:b/>
                <w:bCs/>
                <w:sz w:val="17"/>
                <w:szCs w:val="17"/>
              </w:rPr>
            </w:pPr>
          </w:p>
          <w:p w14:paraId="35E607A3" w14:textId="77777777" w:rsidR="007563EB" w:rsidRPr="00E754AA" w:rsidRDefault="007563EB" w:rsidP="007563EB">
            <w:pPr>
              <w:spacing w:before="40" w:after="40"/>
              <w:jc w:val="right"/>
              <w:rPr>
                <w:b/>
                <w:bCs/>
                <w:color w:val="000000"/>
                <w:sz w:val="17"/>
                <w:szCs w:val="17"/>
              </w:rPr>
            </w:pPr>
            <w:r w:rsidRPr="00E754AA">
              <w:rPr>
                <w:b/>
                <w:bCs/>
                <w:sz w:val="17"/>
                <w:szCs w:val="17"/>
              </w:rPr>
              <w:t>63.</w:t>
            </w:r>
            <w:r w:rsidR="006C26B1">
              <w:rPr>
                <w:b/>
                <w:bCs/>
                <w:sz w:val="17"/>
                <w:szCs w:val="17"/>
              </w:rPr>
              <w:t>5</w:t>
            </w:r>
            <w:r>
              <w:rPr>
                <w:b/>
                <w:bCs/>
                <w:sz w:val="17"/>
                <w:szCs w:val="17"/>
              </w:rPr>
              <w:t>%</w:t>
            </w:r>
          </w:p>
        </w:tc>
        <w:tc>
          <w:tcPr>
            <w:tcW w:w="242" w:type="dxa"/>
            <w:vAlign w:val="bottom"/>
          </w:tcPr>
          <w:p w14:paraId="54BFDA85" w14:textId="77777777" w:rsidR="007563EB" w:rsidRPr="00E754AA" w:rsidRDefault="007563EB" w:rsidP="007563EB">
            <w:pPr>
              <w:spacing w:before="40" w:after="40"/>
              <w:rPr>
                <w:b/>
                <w:bCs/>
                <w:color w:val="000000"/>
                <w:sz w:val="17"/>
                <w:szCs w:val="17"/>
              </w:rPr>
            </w:pPr>
            <w:r w:rsidRPr="00E754AA">
              <w:rPr>
                <w:b/>
                <w:bCs/>
                <w:sz w:val="17"/>
                <w:szCs w:val="17"/>
              </w:rPr>
              <w:t>%</w:t>
            </w:r>
          </w:p>
        </w:tc>
        <w:tc>
          <w:tcPr>
            <w:tcW w:w="924" w:type="dxa"/>
          </w:tcPr>
          <w:p w14:paraId="77893D9B" w14:textId="77777777" w:rsidR="00CF251C" w:rsidRDefault="00CF251C" w:rsidP="007563EB">
            <w:pPr>
              <w:spacing w:before="40" w:after="40"/>
              <w:jc w:val="right"/>
              <w:rPr>
                <w:b/>
                <w:bCs/>
                <w:sz w:val="17"/>
                <w:szCs w:val="17"/>
              </w:rPr>
            </w:pPr>
          </w:p>
          <w:p w14:paraId="5F2F0624" w14:textId="77777777" w:rsidR="007563EB" w:rsidRPr="00E754AA" w:rsidRDefault="006C26B1" w:rsidP="007563EB">
            <w:pPr>
              <w:spacing w:before="40" w:after="40"/>
              <w:jc w:val="right"/>
              <w:rPr>
                <w:b/>
                <w:bCs/>
                <w:color w:val="000000"/>
                <w:sz w:val="17"/>
                <w:szCs w:val="17"/>
              </w:rPr>
            </w:pPr>
            <w:r>
              <w:rPr>
                <w:b/>
                <w:bCs/>
                <w:sz w:val="17"/>
                <w:szCs w:val="17"/>
              </w:rPr>
              <w:t>65.2</w:t>
            </w:r>
          </w:p>
        </w:tc>
        <w:tc>
          <w:tcPr>
            <w:tcW w:w="242" w:type="dxa"/>
            <w:vAlign w:val="bottom"/>
          </w:tcPr>
          <w:p w14:paraId="2A0B8D83" w14:textId="77777777" w:rsidR="007563EB" w:rsidRPr="00E754AA" w:rsidRDefault="007563EB" w:rsidP="007563EB">
            <w:pPr>
              <w:spacing w:before="40" w:after="40"/>
              <w:rPr>
                <w:b/>
                <w:bCs/>
                <w:sz w:val="17"/>
                <w:szCs w:val="17"/>
              </w:rPr>
            </w:pPr>
            <w:r w:rsidRPr="00E754AA">
              <w:rPr>
                <w:b/>
                <w:bCs/>
                <w:sz w:val="17"/>
                <w:szCs w:val="17"/>
              </w:rPr>
              <w:t>%</w:t>
            </w:r>
          </w:p>
        </w:tc>
        <w:tc>
          <w:tcPr>
            <w:tcW w:w="924" w:type="dxa"/>
            <w:vAlign w:val="bottom"/>
          </w:tcPr>
          <w:p w14:paraId="1840ACCA" w14:textId="77777777" w:rsidR="007563EB" w:rsidRPr="00E754AA" w:rsidRDefault="007D0E76" w:rsidP="007563EB">
            <w:pPr>
              <w:spacing w:before="40" w:after="40"/>
              <w:jc w:val="right"/>
              <w:rPr>
                <w:b/>
                <w:bCs/>
                <w:sz w:val="17"/>
                <w:szCs w:val="17"/>
              </w:rPr>
            </w:pPr>
            <w:r>
              <w:rPr>
                <w:b/>
                <w:bCs/>
                <w:sz w:val="17"/>
                <w:szCs w:val="17"/>
              </w:rPr>
              <w:t>65.7</w:t>
            </w:r>
          </w:p>
        </w:tc>
        <w:tc>
          <w:tcPr>
            <w:tcW w:w="227" w:type="dxa"/>
            <w:vAlign w:val="bottom"/>
          </w:tcPr>
          <w:p w14:paraId="04317ED4" w14:textId="77777777" w:rsidR="007563EB" w:rsidRPr="00E754AA" w:rsidRDefault="007563EB" w:rsidP="007563EB">
            <w:pPr>
              <w:spacing w:before="40" w:after="40"/>
              <w:rPr>
                <w:b/>
                <w:bCs/>
                <w:sz w:val="17"/>
                <w:szCs w:val="17"/>
              </w:rPr>
            </w:pPr>
            <w:r w:rsidRPr="00E754AA">
              <w:rPr>
                <w:b/>
                <w:bCs/>
                <w:sz w:val="17"/>
                <w:szCs w:val="17"/>
              </w:rPr>
              <w:t>%</w:t>
            </w:r>
          </w:p>
        </w:tc>
        <w:tc>
          <w:tcPr>
            <w:tcW w:w="939" w:type="dxa"/>
            <w:vAlign w:val="bottom"/>
          </w:tcPr>
          <w:p w14:paraId="79DB3C64" w14:textId="77777777" w:rsidR="007563EB" w:rsidRPr="00E754AA" w:rsidRDefault="007D0E76" w:rsidP="007563EB">
            <w:pPr>
              <w:spacing w:before="40" w:after="40"/>
              <w:jc w:val="right"/>
              <w:rPr>
                <w:b/>
                <w:bCs/>
                <w:sz w:val="17"/>
                <w:szCs w:val="17"/>
              </w:rPr>
            </w:pPr>
            <w:r>
              <w:rPr>
                <w:b/>
                <w:bCs/>
                <w:sz w:val="17"/>
                <w:szCs w:val="17"/>
              </w:rPr>
              <w:t>69.0</w:t>
            </w:r>
          </w:p>
        </w:tc>
        <w:tc>
          <w:tcPr>
            <w:tcW w:w="266" w:type="dxa"/>
            <w:vAlign w:val="bottom"/>
          </w:tcPr>
          <w:p w14:paraId="6AA8BD10" w14:textId="77777777" w:rsidR="007563EB" w:rsidRPr="000D2863" w:rsidRDefault="007563EB" w:rsidP="007563EB">
            <w:pPr>
              <w:spacing w:before="40" w:after="40"/>
              <w:rPr>
                <w:b/>
                <w:bCs/>
                <w:sz w:val="17"/>
                <w:szCs w:val="17"/>
              </w:rPr>
            </w:pPr>
          </w:p>
        </w:tc>
      </w:tr>
    </w:tbl>
    <w:p w14:paraId="0DCEDE21" w14:textId="77777777" w:rsidR="00AE1BAB" w:rsidRDefault="00AE1BAB" w:rsidP="00A64D52">
      <w:pPr>
        <w:autoSpaceDE w:val="0"/>
        <w:autoSpaceDN w:val="0"/>
        <w:bidi/>
        <w:adjustRightInd w:val="0"/>
        <w:jc w:val="both"/>
        <w:rPr>
          <w:rFonts w:ascii="Traditional Arabic" w:hAnsi="Traditional Arabic" w:cs="Traditional Arabic"/>
          <w:sz w:val="30"/>
          <w:szCs w:val="30"/>
          <w:lang w:bidi="ar-EG"/>
        </w:rPr>
      </w:pPr>
      <w:r>
        <w:rPr>
          <w:rFonts w:ascii="Traditional Arabic" w:hAnsi="Traditional Arabic" w:cs="Traditional Arabic"/>
          <w:sz w:val="30"/>
          <w:szCs w:val="30"/>
          <w:lang w:bidi="ar-EG"/>
        </w:rPr>
        <w:t>_________</w:t>
      </w:r>
    </w:p>
    <w:p w14:paraId="542C4B03" w14:textId="77777777" w:rsidR="00AE1BAB" w:rsidRDefault="00AE1BAB" w:rsidP="00AE1BAB">
      <w:pPr>
        <w:autoSpaceDE w:val="0"/>
        <w:autoSpaceDN w:val="0"/>
        <w:bidi/>
        <w:adjustRightInd w:val="0"/>
        <w:jc w:val="both"/>
        <w:rPr>
          <w:rFonts w:ascii="Traditional Arabic" w:hAnsi="Traditional Arabic" w:cs="Traditional Arabic"/>
          <w:szCs w:val="20"/>
          <w:rtl/>
          <w:lang w:bidi="ar-EG"/>
        </w:rPr>
      </w:pPr>
      <w:r>
        <w:rPr>
          <w:rFonts w:ascii="Traditional Arabic" w:hAnsi="Traditional Arabic" w:cs="Traditional Arabic"/>
          <w:sz w:val="30"/>
          <w:szCs w:val="30"/>
          <w:vertAlign w:val="superscript"/>
          <w:lang w:val="en-GB" w:bidi="ar-EG"/>
        </w:rPr>
        <w:t>(3)</w:t>
      </w:r>
      <w:r>
        <w:rPr>
          <w:rFonts w:ascii="Traditional Arabic" w:hAnsi="Traditional Arabic" w:cs="Traditional Arabic" w:hint="cs"/>
          <w:sz w:val="30"/>
          <w:szCs w:val="30"/>
          <w:vertAlign w:val="superscript"/>
          <w:rtl/>
        </w:rPr>
        <w:t xml:space="preserve"> </w:t>
      </w:r>
      <w:r w:rsidR="009E0F5E" w:rsidRPr="001F6B4B">
        <w:rPr>
          <w:rFonts w:ascii="Traditional Arabic" w:hAnsi="Traditional Arabic" w:cs="Traditional Arabic" w:hint="cs"/>
          <w:szCs w:val="20"/>
          <w:rtl/>
          <w:lang w:bidi="ar-EG"/>
        </w:rPr>
        <w:t>تتضمن</w:t>
      </w:r>
      <w:r w:rsidR="009E0F5E">
        <w:rPr>
          <w:rFonts w:ascii="Traditional Arabic" w:hAnsi="Traditional Arabic" w:cs="Traditional Arabic" w:hint="cs"/>
          <w:sz w:val="30"/>
          <w:szCs w:val="30"/>
          <w:rtl/>
          <w:lang w:bidi="ar-EG"/>
        </w:rPr>
        <w:t xml:space="preserve"> </w:t>
      </w:r>
      <w:r w:rsidR="009E0F5E">
        <w:rPr>
          <w:rFonts w:ascii="Traditional Arabic" w:hAnsi="Traditional Arabic" w:cs="Traditional Arabic" w:hint="cs"/>
          <w:szCs w:val="20"/>
          <w:rtl/>
          <w:lang w:bidi="ar-EG"/>
        </w:rPr>
        <w:t>ال</w:t>
      </w:r>
      <w:r w:rsidR="009E0F5E" w:rsidRPr="001F6B4B">
        <w:rPr>
          <w:rFonts w:ascii="Traditional Arabic" w:hAnsi="Traditional Arabic" w:cs="Traditional Arabic"/>
          <w:szCs w:val="20"/>
          <w:rtl/>
          <w:lang w:bidi="ar-EG"/>
        </w:rPr>
        <w:t xml:space="preserve">تعديلات </w:t>
      </w:r>
      <w:r w:rsidR="009E0F5E">
        <w:rPr>
          <w:rFonts w:ascii="Traditional Arabic" w:hAnsi="Traditional Arabic" w:cs="Traditional Arabic" w:hint="cs"/>
          <w:szCs w:val="20"/>
          <w:rtl/>
          <w:lang w:bidi="ar-EG"/>
        </w:rPr>
        <w:t xml:space="preserve">على الايرادات الاخرى </w:t>
      </w:r>
      <w:r w:rsidR="009E0F5E" w:rsidRPr="001F6B4B">
        <w:rPr>
          <w:rFonts w:ascii="Traditional Arabic" w:hAnsi="Traditional Arabic" w:cs="Traditional Arabic"/>
          <w:szCs w:val="20"/>
          <w:rtl/>
          <w:lang w:bidi="ar-EG"/>
        </w:rPr>
        <w:t>استرداد الديون المشطوبة سابقًا، والدخل من بيع الأصول الثابتة، ومطالبات التأمين، ودخل إيجار المباني والتعديلات الأخرى</w:t>
      </w:r>
    </w:p>
    <w:p w14:paraId="4246A6AE" w14:textId="77777777" w:rsidR="009E0F5E" w:rsidRPr="009E0F5E" w:rsidRDefault="009E0F5E" w:rsidP="009E0F5E">
      <w:pPr>
        <w:autoSpaceDE w:val="0"/>
        <w:autoSpaceDN w:val="0"/>
        <w:bidi/>
        <w:adjustRightInd w:val="0"/>
        <w:jc w:val="both"/>
        <w:rPr>
          <w:rFonts w:ascii="Traditional Arabic" w:hAnsi="Traditional Arabic" w:cs="Traditional Arabic"/>
          <w:sz w:val="30"/>
          <w:szCs w:val="30"/>
          <w:lang w:bidi="ar-EG"/>
        </w:rPr>
      </w:pPr>
    </w:p>
    <w:p w14:paraId="2B752CF7" w14:textId="77777777" w:rsidR="00A64D52" w:rsidRDefault="00287CE3" w:rsidP="00AE1BAB">
      <w:pPr>
        <w:autoSpaceDE w:val="0"/>
        <w:autoSpaceDN w:val="0"/>
        <w:bidi/>
        <w:adjustRightInd w:val="0"/>
        <w:jc w:val="both"/>
        <w:rPr>
          <w:rFonts w:ascii="Traditional Arabic" w:hAnsi="Traditional Arabic" w:cs="Traditional Arabic"/>
          <w:sz w:val="30"/>
          <w:szCs w:val="30"/>
          <w:rtl/>
          <w:lang w:bidi="ar-EG"/>
        </w:rPr>
      </w:pPr>
      <w:r w:rsidRPr="00287CE3">
        <w:rPr>
          <w:rFonts w:ascii="Traditional Arabic" w:hAnsi="Traditional Arabic" w:cs="Traditional Arabic"/>
          <w:sz w:val="30"/>
          <w:szCs w:val="30"/>
          <w:rtl/>
          <w:lang w:bidi="ar-EG"/>
        </w:rPr>
        <w:t>(4)</w:t>
      </w:r>
      <w:r w:rsidRPr="00287CE3">
        <w:rPr>
          <w:rFonts w:ascii="Traditional Arabic" w:hAnsi="Traditional Arabic" w:cs="Traditional Arabic"/>
          <w:sz w:val="30"/>
          <w:szCs w:val="30"/>
          <w:rtl/>
          <w:lang w:bidi="ar-EG"/>
        </w:rPr>
        <w:tab/>
        <w:t xml:space="preserve">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لقطاع </w:t>
      </w:r>
      <w:r w:rsidR="00607B02">
        <w:rPr>
          <w:rFonts w:ascii="Traditional Arabic" w:hAnsi="Traditional Arabic" w:cs="Traditional Arabic"/>
          <w:sz w:val="30"/>
          <w:szCs w:val="30"/>
          <w:rtl/>
          <w:lang w:bidi="ar-EG"/>
        </w:rPr>
        <w:t>نقل</w:t>
      </w:r>
      <w:r w:rsidRPr="00287CE3">
        <w:rPr>
          <w:rFonts w:ascii="Traditional Arabic" w:hAnsi="Traditional Arabic" w:cs="Traditional Arabic"/>
          <w:sz w:val="30"/>
          <w:szCs w:val="30"/>
          <w:rtl/>
          <w:lang w:bidi="ar-EG"/>
        </w:rPr>
        <w:t xml:space="preserve"> النفط الخام للفترات المشار إليها:</w:t>
      </w:r>
    </w:p>
    <w:p w14:paraId="494ACBB5" w14:textId="77777777" w:rsidR="00BB0054" w:rsidRDefault="00BB0054" w:rsidP="00BB0054">
      <w:pPr>
        <w:autoSpaceDE w:val="0"/>
        <w:autoSpaceDN w:val="0"/>
        <w:bidi/>
        <w:adjustRightInd w:val="0"/>
        <w:jc w:val="both"/>
        <w:rPr>
          <w:rFonts w:ascii="Traditional Arabic" w:hAnsi="Traditional Arabic" w:cs="Traditional Arabic"/>
          <w:sz w:val="30"/>
          <w:szCs w:val="30"/>
          <w:rtl/>
          <w:lang w:bidi="ar-EG"/>
        </w:rPr>
      </w:pPr>
    </w:p>
    <w:p w14:paraId="5575BFA3" w14:textId="77777777" w:rsidR="00A64D52" w:rsidRDefault="00A64D52" w:rsidP="00A64D52">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9842D3" w:rsidRPr="00E834EF" w14:paraId="52972289" w14:textId="77777777" w:rsidTr="009842D3">
        <w:trPr>
          <w:tblHeader/>
        </w:trPr>
        <w:tc>
          <w:tcPr>
            <w:tcW w:w="3254" w:type="dxa"/>
          </w:tcPr>
          <w:p w14:paraId="2145A4BC" w14:textId="77777777" w:rsidR="009842D3" w:rsidRPr="00E834EF" w:rsidRDefault="009842D3" w:rsidP="009842D3">
            <w:pPr>
              <w:keepNext/>
              <w:bidi/>
              <w:spacing w:before="40" w:after="120"/>
              <w:rPr>
                <w:b/>
                <w:sz w:val="17"/>
                <w:szCs w:val="17"/>
              </w:rPr>
            </w:pPr>
          </w:p>
        </w:tc>
        <w:tc>
          <w:tcPr>
            <w:tcW w:w="242" w:type="dxa"/>
          </w:tcPr>
          <w:p w14:paraId="07CD95F2" w14:textId="77777777" w:rsidR="009842D3" w:rsidRPr="00E834EF" w:rsidRDefault="009842D3" w:rsidP="009842D3">
            <w:pPr>
              <w:spacing w:before="40" w:after="40"/>
              <w:rPr>
                <w:sz w:val="17"/>
                <w:szCs w:val="17"/>
              </w:rPr>
            </w:pPr>
          </w:p>
        </w:tc>
        <w:tc>
          <w:tcPr>
            <w:tcW w:w="3255" w:type="dxa"/>
            <w:gridSpan w:val="6"/>
            <w:tcBorders>
              <w:bottom w:val="single" w:sz="4" w:space="0" w:color="auto"/>
            </w:tcBorders>
          </w:tcPr>
          <w:p w14:paraId="74FE09A0" w14:textId="77777777" w:rsidR="009842D3" w:rsidRPr="00E834EF" w:rsidRDefault="009842D3" w:rsidP="009842D3">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50C43F7A" w14:textId="77777777" w:rsidR="009842D3" w:rsidRPr="00E834EF" w:rsidRDefault="009842D3" w:rsidP="009842D3">
            <w:pPr>
              <w:spacing w:before="40" w:after="40"/>
              <w:rPr>
                <w:sz w:val="17"/>
                <w:szCs w:val="17"/>
              </w:rPr>
            </w:pPr>
          </w:p>
        </w:tc>
        <w:tc>
          <w:tcPr>
            <w:tcW w:w="2090" w:type="dxa"/>
            <w:gridSpan w:val="3"/>
            <w:tcBorders>
              <w:bottom w:val="single" w:sz="4" w:space="0" w:color="auto"/>
            </w:tcBorders>
          </w:tcPr>
          <w:p w14:paraId="13C40B02" w14:textId="77777777" w:rsidR="009842D3" w:rsidRPr="00E834EF" w:rsidRDefault="009842D3" w:rsidP="009842D3">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62E6FD7A" w14:textId="77777777" w:rsidR="009842D3" w:rsidRPr="00E834EF" w:rsidRDefault="009842D3" w:rsidP="009842D3">
            <w:pPr>
              <w:keepNext/>
              <w:spacing w:before="40" w:after="120"/>
              <w:jc w:val="center"/>
              <w:rPr>
                <w:b/>
                <w:sz w:val="17"/>
                <w:szCs w:val="17"/>
              </w:rPr>
            </w:pPr>
          </w:p>
        </w:tc>
      </w:tr>
      <w:tr w:rsidR="009842D3" w:rsidRPr="00E834EF" w14:paraId="39A9998B" w14:textId="77777777" w:rsidTr="009842D3">
        <w:trPr>
          <w:tblHeader/>
        </w:trPr>
        <w:tc>
          <w:tcPr>
            <w:tcW w:w="3254" w:type="dxa"/>
          </w:tcPr>
          <w:p w14:paraId="0B14CD38" w14:textId="77777777" w:rsidR="009842D3" w:rsidRPr="00E834EF" w:rsidRDefault="009842D3" w:rsidP="009842D3">
            <w:pPr>
              <w:keepNext/>
              <w:bidi/>
              <w:spacing w:before="40" w:after="120"/>
              <w:rPr>
                <w:b/>
                <w:sz w:val="17"/>
                <w:szCs w:val="17"/>
              </w:rPr>
            </w:pPr>
          </w:p>
        </w:tc>
        <w:tc>
          <w:tcPr>
            <w:tcW w:w="242" w:type="dxa"/>
          </w:tcPr>
          <w:p w14:paraId="3811A2F4" w14:textId="77777777" w:rsidR="009842D3" w:rsidRPr="00E834EF" w:rsidRDefault="009842D3" w:rsidP="009842D3">
            <w:pPr>
              <w:spacing w:before="40" w:after="40"/>
              <w:rPr>
                <w:sz w:val="17"/>
                <w:szCs w:val="17"/>
              </w:rPr>
            </w:pPr>
          </w:p>
        </w:tc>
        <w:tc>
          <w:tcPr>
            <w:tcW w:w="923" w:type="dxa"/>
            <w:gridSpan w:val="2"/>
            <w:tcBorders>
              <w:top w:val="single" w:sz="4" w:space="0" w:color="auto"/>
              <w:bottom w:val="single" w:sz="4" w:space="0" w:color="auto"/>
            </w:tcBorders>
          </w:tcPr>
          <w:p w14:paraId="17A53AAB" w14:textId="77777777" w:rsidR="009842D3" w:rsidRPr="00E834EF" w:rsidRDefault="009842D3" w:rsidP="009842D3">
            <w:pPr>
              <w:keepNext/>
              <w:spacing w:before="40" w:after="120"/>
              <w:jc w:val="right"/>
              <w:rPr>
                <w:b/>
                <w:sz w:val="17"/>
                <w:szCs w:val="17"/>
              </w:rPr>
            </w:pPr>
            <w:r w:rsidRPr="00E834EF">
              <w:rPr>
                <w:b/>
                <w:sz w:val="17"/>
                <w:szCs w:val="17"/>
              </w:rPr>
              <w:t>2021</w:t>
            </w:r>
          </w:p>
        </w:tc>
        <w:tc>
          <w:tcPr>
            <w:tcW w:w="242" w:type="dxa"/>
          </w:tcPr>
          <w:p w14:paraId="38C8654C" w14:textId="77777777" w:rsidR="009842D3" w:rsidRPr="00E834EF" w:rsidRDefault="009842D3" w:rsidP="009842D3">
            <w:pPr>
              <w:spacing w:before="40" w:after="40"/>
              <w:rPr>
                <w:sz w:val="17"/>
                <w:szCs w:val="17"/>
              </w:rPr>
            </w:pPr>
          </w:p>
        </w:tc>
        <w:tc>
          <w:tcPr>
            <w:tcW w:w="924" w:type="dxa"/>
            <w:tcBorders>
              <w:top w:val="single" w:sz="4" w:space="0" w:color="auto"/>
              <w:bottom w:val="single" w:sz="4" w:space="0" w:color="auto"/>
            </w:tcBorders>
          </w:tcPr>
          <w:p w14:paraId="7AE2F0C5" w14:textId="77777777" w:rsidR="009842D3" w:rsidRPr="00E834EF" w:rsidRDefault="009842D3" w:rsidP="009842D3">
            <w:pPr>
              <w:keepNext/>
              <w:spacing w:before="40" w:after="120"/>
              <w:jc w:val="right"/>
              <w:rPr>
                <w:b/>
                <w:sz w:val="17"/>
                <w:szCs w:val="17"/>
              </w:rPr>
            </w:pPr>
            <w:r w:rsidRPr="00E834EF">
              <w:rPr>
                <w:b/>
                <w:sz w:val="17"/>
                <w:szCs w:val="17"/>
              </w:rPr>
              <w:t>2022</w:t>
            </w:r>
          </w:p>
        </w:tc>
        <w:tc>
          <w:tcPr>
            <w:tcW w:w="242" w:type="dxa"/>
          </w:tcPr>
          <w:p w14:paraId="6F3B9F70" w14:textId="77777777" w:rsidR="009842D3" w:rsidRPr="00E834EF" w:rsidRDefault="009842D3" w:rsidP="009842D3">
            <w:pPr>
              <w:spacing w:before="40" w:after="40"/>
              <w:rPr>
                <w:sz w:val="17"/>
                <w:szCs w:val="17"/>
              </w:rPr>
            </w:pPr>
          </w:p>
        </w:tc>
        <w:tc>
          <w:tcPr>
            <w:tcW w:w="924" w:type="dxa"/>
            <w:tcBorders>
              <w:top w:val="single" w:sz="4" w:space="0" w:color="auto"/>
              <w:bottom w:val="single" w:sz="4" w:space="0" w:color="auto"/>
            </w:tcBorders>
          </w:tcPr>
          <w:p w14:paraId="5D607EDA" w14:textId="77777777" w:rsidR="009842D3" w:rsidRPr="00E834EF" w:rsidRDefault="009842D3" w:rsidP="009842D3">
            <w:pPr>
              <w:keepNext/>
              <w:spacing w:before="40" w:after="120"/>
              <w:jc w:val="right"/>
              <w:rPr>
                <w:b/>
                <w:sz w:val="17"/>
                <w:szCs w:val="17"/>
              </w:rPr>
            </w:pPr>
            <w:r w:rsidRPr="00E834EF">
              <w:rPr>
                <w:b/>
                <w:sz w:val="17"/>
                <w:szCs w:val="17"/>
              </w:rPr>
              <w:t>2023</w:t>
            </w:r>
          </w:p>
        </w:tc>
        <w:tc>
          <w:tcPr>
            <w:tcW w:w="242" w:type="dxa"/>
          </w:tcPr>
          <w:p w14:paraId="59EF5214" w14:textId="77777777" w:rsidR="009842D3" w:rsidRPr="00E834EF" w:rsidRDefault="009842D3" w:rsidP="009842D3">
            <w:pPr>
              <w:spacing w:before="40" w:after="40"/>
              <w:rPr>
                <w:sz w:val="17"/>
                <w:szCs w:val="17"/>
              </w:rPr>
            </w:pPr>
          </w:p>
        </w:tc>
        <w:tc>
          <w:tcPr>
            <w:tcW w:w="924" w:type="dxa"/>
            <w:tcBorders>
              <w:top w:val="single" w:sz="4" w:space="0" w:color="auto"/>
              <w:bottom w:val="single" w:sz="4" w:space="0" w:color="auto"/>
            </w:tcBorders>
          </w:tcPr>
          <w:p w14:paraId="4D2C9DC9" w14:textId="77777777" w:rsidR="009842D3" w:rsidRPr="00E834EF" w:rsidRDefault="009842D3" w:rsidP="009842D3">
            <w:pPr>
              <w:keepNext/>
              <w:spacing w:before="40" w:after="120"/>
              <w:jc w:val="right"/>
              <w:rPr>
                <w:b/>
                <w:sz w:val="17"/>
                <w:szCs w:val="17"/>
              </w:rPr>
            </w:pPr>
            <w:r w:rsidRPr="00E834EF">
              <w:rPr>
                <w:b/>
                <w:sz w:val="17"/>
                <w:szCs w:val="17"/>
              </w:rPr>
              <w:t>2023</w:t>
            </w:r>
          </w:p>
        </w:tc>
        <w:tc>
          <w:tcPr>
            <w:tcW w:w="227" w:type="dxa"/>
          </w:tcPr>
          <w:p w14:paraId="43ADFDAA" w14:textId="77777777" w:rsidR="009842D3" w:rsidRPr="00E834EF" w:rsidRDefault="009842D3" w:rsidP="009842D3">
            <w:pPr>
              <w:spacing w:before="40" w:after="40"/>
              <w:rPr>
                <w:sz w:val="17"/>
                <w:szCs w:val="17"/>
              </w:rPr>
            </w:pPr>
          </w:p>
        </w:tc>
        <w:tc>
          <w:tcPr>
            <w:tcW w:w="939" w:type="dxa"/>
            <w:tcBorders>
              <w:top w:val="single" w:sz="4" w:space="0" w:color="auto"/>
              <w:bottom w:val="single" w:sz="4" w:space="0" w:color="auto"/>
            </w:tcBorders>
          </w:tcPr>
          <w:p w14:paraId="04E92DD7" w14:textId="77777777" w:rsidR="009842D3" w:rsidRPr="00E834EF" w:rsidRDefault="009842D3" w:rsidP="009842D3">
            <w:pPr>
              <w:keepNext/>
              <w:spacing w:before="40" w:after="120"/>
              <w:jc w:val="right"/>
              <w:rPr>
                <w:b/>
                <w:sz w:val="17"/>
                <w:szCs w:val="17"/>
              </w:rPr>
            </w:pPr>
            <w:r w:rsidRPr="00E834EF">
              <w:rPr>
                <w:b/>
                <w:sz w:val="17"/>
                <w:szCs w:val="17"/>
              </w:rPr>
              <w:t>2024</w:t>
            </w:r>
          </w:p>
        </w:tc>
        <w:tc>
          <w:tcPr>
            <w:tcW w:w="266" w:type="dxa"/>
          </w:tcPr>
          <w:p w14:paraId="009044BC" w14:textId="77777777" w:rsidR="009842D3" w:rsidRPr="00E834EF" w:rsidRDefault="009842D3" w:rsidP="009842D3">
            <w:pPr>
              <w:keepNext/>
              <w:spacing w:before="40" w:after="120"/>
              <w:jc w:val="right"/>
              <w:rPr>
                <w:b/>
                <w:sz w:val="17"/>
                <w:szCs w:val="17"/>
              </w:rPr>
            </w:pPr>
          </w:p>
        </w:tc>
      </w:tr>
      <w:tr w:rsidR="009842D3" w:rsidRPr="00E834EF" w14:paraId="3DD13A21" w14:textId="77777777" w:rsidTr="009842D3">
        <w:trPr>
          <w:trHeight w:val="215"/>
          <w:tblHeader/>
        </w:trPr>
        <w:tc>
          <w:tcPr>
            <w:tcW w:w="3254" w:type="dxa"/>
          </w:tcPr>
          <w:p w14:paraId="3A743AA5" w14:textId="77777777" w:rsidR="009842D3" w:rsidRPr="00E834EF" w:rsidRDefault="009842D3" w:rsidP="009842D3">
            <w:pPr>
              <w:keepNext/>
              <w:bidi/>
              <w:spacing w:before="40" w:after="120"/>
              <w:jc w:val="center"/>
              <w:rPr>
                <w:i/>
                <w:sz w:val="17"/>
                <w:szCs w:val="17"/>
              </w:rPr>
            </w:pPr>
          </w:p>
        </w:tc>
        <w:tc>
          <w:tcPr>
            <w:tcW w:w="242" w:type="dxa"/>
          </w:tcPr>
          <w:p w14:paraId="17FAA662" w14:textId="77777777" w:rsidR="009842D3" w:rsidRPr="00E834EF" w:rsidRDefault="009842D3" w:rsidP="009842D3">
            <w:pPr>
              <w:keepNext/>
              <w:spacing w:before="40" w:after="120"/>
              <w:jc w:val="center"/>
              <w:rPr>
                <w:i/>
                <w:sz w:val="17"/>
                <w:szCs w:val="17"/>
              </w:rPr>
            </w:pPr>
          </w:p>
        </w:tc>
        <w:tc>
          <w:tcPr>
            <w:tcW w:w="5587" w:type="dxa"/>
            <w:gridSpan w:val="10"/>
          </w:tcPr>
          <w:p w14:paraId="05CDBA4C" w14:textId="77777777" w:rsidR="009842D3" w:rsidRPr="00E834EF" w:rsidRDefault="009842D3" w:rsidP="009842D3">
            <w:pPr>
              <w:keepNext/>
              <w:spacing w:before="40" w:after="120"/>
              <w:jc w:val="center"/>
              <w:rPr>
                <w:i/>
                <w:sz w:val="17"/>
                <w:szCs w:val="17"/>
              </w:rPr>
            </w:pPr>
            <w:r w:rsidRPr="00E834EF">
              <w:rPr>
                <w:i/>
                <w:color w:val="000000"/>
                <w:sz w:val="17"/>
                <w:szCs w:val="17"/>
              </w:rPr>
              <w:t>(</w:t>
            </w:r>
            <w:r w:rsidRPr="00B02BA3">
              <w:rPr>
                <w:i/>
                <w:iCs/>
                <w:sz w:val="18"/>
              </w:rPr>
              <w:t>U.S.$</w:t>
            </w:r>
            <w:r>
              <w:rPr>
                <w:i/>
                <w:iCs/>
                <w:sz w:val="18"/>
              </w:rPr>
              <w:t xml:space="preserve"> </w:t>
            </w:r>
            <w:r>
              <w:rPr>
                <w:i/>
                <w:color w:val="000000"/>
                <w:sz w:val="17"/>
                <w:szCs w:val="17"/>
              </w:rPr>
              <w:t>millions</w:t>
            </w:r>
            <w:r w:rsidRPr="00E834EF">
              <w:rPr>
                <w:i/>
                <w:color w:val="000000"/>
                <w:sz w:val="17"/>
                <w:szCs w:val="17"/>
              </w:rPr>
              <w:t>)</w:t>
            </w:r>
          </w:p>
        </w:tc>
        <w:tc>
          <w:tcPr>
            <w:tcW w:w="266" w:type="dxa"/>
          </w:tcPr>
          <w:p w14:paraId="4070AE08" w14:textId="77777777" w:rsidR="009842D3" w:rsidRPr="00E834EF" w:rsidRDefault="009842D3" w:rsidP="009842D3">
            <w:pPr>
              <w:keepNext/>
              <w:spacing w:before="40" w:after="120"/>
              <w:jc w:val="center"/>
              <w:rPr>
                <w:i/>
                <w:color w:val="000000"/>
                <w:sz w:val="17"/>
                <w:szCs w:val="17"/>
              </w:rPr>
            </w:pPr>
          </w:p>
        </w:tc>
      </w:tr>
      <w:tr w:rsidR="009842D3" w:rsidRPr="00E834EF" w14:paraId="0454EFC4" w14:textId="77777777" w:rsidTr="009842D3">
        <w:tc>
          <w:tcPr>
            <w:tcW w:w="3254" w:type="dxa"/>
            <w:vAlign w:val="bottom"/>
          </w:tcPr>
          <w:p w14:paraId="1EAFD9EF" w14:textId="77777777" w:rsidR="009842D3" w:rsidRDefault="009842D3" w:rsidP="009842D3">
            <w:pPr>
              <w:tabs>
                <w:tab w:val="right" w:leader="dot" w:pos="3255"/>
              </w:tabs>
              <w:bidi/>
              <w:spacing w:before="40" w:after="40"/>
              <w:ind w:left="12"/>
              <w:rPr>
                <w:b/>
                <w:bCs/>
                <w:color w:val="000000"/>
                <w:sz w:val="17"/>
                <w:szCs w:val="17"/>
              </w:rPr>
            </w:pPr>
            <w:r>
              <w:rPr>
                <w:rFonts w:hint="cs"/>
                <w:b/>
                <w:bCs/>
                <w:color w:val="000000"/>
                <w:sz w:val="17"/>
                <w:szCs w:val="17"/>
                <w:rtl/>
              </w:rPr>
              <w:t xml:space="preserve">إيرادات </w:t>
            </w:r>
            <w:r w:rsidR="00607B02">
              <w:rPr>
                <w:rFonts w:hint="cs"/>
                <w:b/>
                <w:bCs/>
                <w:color w:val="000000"/>
                <w:sz w:val="17"/>
                <w:szCs w:val="17"/>
                <w:rtl/>
              </w:rPr>
              <w:t>نقل</w:t>
            </w:r>
            <w:r>
              <w:rPr>
                <w:rFonts w:hint="cs"/>
                <w:b/>
                <w:bCs/>
                <w:color w:val="000000"/>
                <w:sz w:val="17"/>
                <w:szCs w:val="17"/>
                <w:rtl/>
              </w:rPr>
              <w:t xml:space="preserve"> النفط الخام</w:t>
            </w:r>
            <w:r w:rsidRPr="0054596C">
              <w:rPr>
                <w:sz w:val="17"/>
              </w:rPr>
              <w:tab/>
            </w:r>
          </w:p>
        </w:tc>
        <w:tc>
          <w:tcPr>
            <w:tcW w:w="242" w:type="dxa"/>
            <w:vAlign w:val="bottom"/>
          </w:tcPr>
          <w:p w14:paraId="5B486669" w14:textId="77777777" w:rsidR="009842D3" w:rsidRPr="00E834EF" w:rsidRDefault="009842D3" w:rsidP="009842D3">
            <w:pPr>
              <w:spacing w:before="40" w:after="40"/>
              <w:rPr>
                <w:sz w:val="17"/>
                <w:szCs w:val="17"/>
              </w:rPr>
            </w:pPr>
          </w:p>
        </w:tc>
        <w:tc>
          <w:tcPr>
            <w:tcW w:w="913" w:type="dxa"/>
            <w:vAlign w:val="bottom"/>
          </w:tcPr>
          <w:p w14:paraId="038DBA04" w14:textId="77777777" w:rsidR="009842D3" w:rsidRPr="00DB3F11" w:rsidRDefault="009842D3" w:rsidP="009842D3">
            <w:pPr>
              <w:spacing w:before="40" w:after="40"/>
              <w:jc w:val="right"/>
              <w:rPr>
                <w:color w:val="000000"/>
                <w:sz w:val="16"/>
                <w:szCs w:val="16"/>
              </w:rPr>
            </w:pPr>
            <w:r>
              <w:rPr>
                <w:color w:val="000000"/>
                <w:sz w:val="16"/>
                <w:szCs w:val="16"/>
              </w:rPr>
              <w:t>194.8</w:t>
            </w:r>
          </w:p>
        </w:tc>
        <w:tc>
          <w:tcPr>
            <w:tcW w:w="252" w:type="dxa"/>
            <w:gridSpan w:val="2"/>
            <w:vAlign w:val="bottom"/>
          </w:tcPr>
          <w:p w14:paraId="6F25E632" w14:textId="77777777" w:rsidR="009842D3" w:rsidRPr="00DB3F11" w:rsidRDefault="009842D3" w:rsidP="009842D3">
            <w:pPr>
              <w:spacing w:before="40" w:after="40"/>
              <w:rPr>
                <w:color w:val="000000"/>
                <w:sz w:val="16"/>
                <w:szCs w:val="16"/>
              </w:rPr>
            </w:pPr>
          </w:p>
        </w:tc>
        <w:tc>
          <w:tcPr>
            <w:tcW w:w="924" w:type="dxa"/>
            <w:vAlign w:val="bottom"/>
          </w:tcPr>
          <w:p w14:paraId="1BFCF597" w14:textId="77777777" w:rsidR="009842D3" w:rsidRPr="00DB3F11" w:rsidRDefault="009842D3" w:rsidP="009842D3">
            <w:pPr>
              <w:spacing w:before="40" w:after="40"/>
              <w:jc w:val="right"/>
              <w:rPr>
                <w:color w:val="000000"/>
                <w:sz w:val="16"/>
                <w:szCs w:val="16"/>
              </w:rPr>
            </w:pPr>
            <w:r>
              <w:rPr>
                <w:color w:val="000000"/>
                <w:sz w:val="16"/>
                <w:szCs w:val="16"/>
              </w:rPr>
              <w:t>303.1</w:t>
            </w:r>
          </w:p>
        </w:tc>
        <w:tc>
          <w:tcPr>
            <w:tcW w:w="242" w:type="dxa"/>
            <w:vAlign w:val="bottom"/>
          </w:tcPr>
          <w:p w14:paraId="52666B36" w14:textId="77777777" w:rsidR="009842D3" w:rsidRPr="00DB3F11" w:rsidRDefault="009842D3" w:rsidP="009842D3">
            <w:pPr>
              <w:spacing w:before="40" w:after="40"/>
              <w:rPr>
                <w:color w:val="000000"/>
                <w:sz w:val="16"/>
                <w:szCs w:val="16"/>
              </w:rPr>
            </w:pPr>
          </w:p>
        </w:tc>
        <w:tc>
          <w:tcPr>
            <w:tcW w:w="924" w:type="dxa"/>
            <w:vAlign w:val="bottom"/>
          </w:tcPr>
          <w:p w14:paraId="3E2BC9CA" w14:textId="77777777" w:rsidR="009842D3" w:rsidRPr="00DB3F11" w:rsidRDefault="009842D3" w:rsidP="009842D3">
            <w:pPr>
              <w:spacing w:before="40" w:after="40"/>
              <w:jc w:val="right"/>
              <w:rPr>
                <w:color w:val="000000"/>
                <w:sz w:val="16"/>
                <w:szCs w:val="16"/>
              </w:rPr>
            </w:pPr>
            <w:r>
              <w:rPr>
                <w:color w:val="000000"/>
                <w:sz w:val="16"/>
                <w:szCs w:val="16"/>
              </w:rPr>
              <w:t>308.1</w:t>
            </w:r>
          </w:p>
        </w:tc>
        <w:tc>
          <w:tcPr>
            <w:tcW w:w="242" w:type="dxa"/>
            <w:vAlign w:val="bottom"/>
          </w:tcPr>
          <w:p w14:paraId="30E915B0" w14:textId="77777777" w:rsidR="009842D3" w:rsidRPr="00DB3F11" w:rsidRDefault="009842D3" w:rsidP="009842D3">
            <w:pPr>
              <w:spacing w:before="40" w:after="40"/>
              <w:rPr>
                <w:sz w:val="16"/>
                <w:szCs w:val="16"/>
              </w:rPr>
            </w:pPr>
          </w:p>
        </w:tc>
        <w:tc>
          <w:tcPr>
            <w:tcW w:w="924" w:type="dxa"/>
            <w:vAlign w:val="bottom"/>
          </w:tcPr>
          <w:p w14:paraId="78F1C977" w14:textId="77777777" w:rsidR="009842D3" w:rsidRPr="00DB3F11" w:rsidRDefault="009842D3" w:rsidP="009842D3">
            <w:pPr>
              <w:spacing w:before="40" w:after="40"/>
              <w:jc w:val="right"/>
              <w:rPr>
                <w:sz w:val="16"/>
                <w:szCs w:val="16"/>
              </w:rPr>
            </w:pPr>
            <w:r>
              <w:rPr>
                <w:sz w:val="16"/>
                <w:szCs w:val="16"/>
              </w:rPr>
              <w:t>236.6</w:t>
            </w:r>
          </w:p>
        </w:tc>
        <w:tc>
          <w:tcPr>
            <w:tcW w:w="227" w:type="dxa"/>
            <w:vAlign w:val="bottom"/>
          </w:tcPr>
          <w:p w14:paraId="6ECAD3D6" w14:textId="77777777" w:rsidR="009842D3" w:rsidRPr="00DB3F11" w:rsidRDefault="009842D3" w:rsidP="009842D3">
            <w:pPr>
              <w:spacing w:before="40" w:after="40"/>
              <w:rPr>
                <w:sz w:val="16"/>
                <w:szCs w:val="16"/>
              </w:rPr>
            </w:pPr>
          </w:p>
        </w:tc>
        <w:tc>
          <w:tcPr>
            <w:tcW w:w="939" w:type="dxa"/>
            <w:vAlign w:val="bottom"/>
          </w:tcPr>
          <w:p w14:paraId="762DB173" w14:textId="77777777" w:rsidR="009842D3" w:rsidRPr="00DB3F11" w:rsidRDefault="009842D3" w:rsidP="009842D3">
            <w:pPr>
              <w:spacing w:before="40" w:after="40"/>
              <w:jc w:val="right"/>
              <w:rPr>
                <w:sz w:val="16"/>
                <w:szCs w:val="16"/>
              </w:rPr>
            </w:pPr>
            <w:r>
              <w:rPr>
                <w:sz w:val="16"/>
                <w:szCs w:val="16"/>
              </w:rPr>
              <w:t>193.1</w:t>
            </w:r>
          </w:p>
        </w:tc>
        <w:tc>
          <w:tcPr>
            <w:tcW w:w="266" w:type="dxa"/>
            <w:vAlign w:val="bottom"/>
          </w:tcPr>
          <w:p w14:paraId="51FD7A98" w14:textId="77777777" w:rsidR="009842D3" w:rsidRPr="000D2863" w:rsidRDefault="009842D3" w:rsidP="009842D3">
            <w:pPr>
              <w:spacing w:before="40" w:after="40"/>
              <w:rPr>
                <w:sz w:val="17"/>
                <w:szCs w:val="17"/>
              </w:rPr>
            </w:pPr>
          </w:p>
        </w:tc>
      </w:tr>
      <w:tr w:rsidR="009842D3" w:rsidRPr="00E834EF" w14:paraId="62EFA47C" w14:textId="77777777" w:rsidTr="009842D3">
        <w:tc>
          <w:tcPr>
            <w:tcW w:w="3254" w:type="dxa"/>
          </w:tcPr>
          <w:p w14:paraId="497EDDD0" w14:textId="77777777" w:rsidR="009842D3" w:rsidRDefault="009842D3" w:rsidP="009842D3">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23104377" w14:textId="77777777" w:rsidR="009842D3" w:rsidRPr="00E834EF" w:rsidRDefault="00760220" w:rsidP="009842D3">
            <w:pPr>
              <w:spacing w:before="40" w:after="40"/>
              <w:rPr>
                <w:sz w:val="17"/>
                <w:szCs w:val="17"/>
              </w:rPr>
            </w:pPr>
            <w:r>
              <w:rPr>
                <w:sz w:val="17"/>
                <w:szCs w:val="17"/>
              </w:rPr>
              <w:t>)</w:t>
            </w:r>
          </w:p>
        </w:tc>
        <w:tc>
          <w:tcPr>
            <w:tcW w:w="913" w:type="dxa"/>
            <w:tcBorders>
              <w:bottom w:val="single" w:sz="4" w:space="0" w:color="auto"/>
            </w:tcBorders>
            <w:vAlign w:val="bottom"/>
          </w:tcPr>
          <w:p w14:paraId="41F8E9F9" w14:textId="77777777" w:rsidR="009842D3" w:rsidRPr="00DB3F11" w:rsidRDefault="009842D3" w:rsidP="009842D3">
            <w:pPr>
              <w:spacing w:before="40" w:after="40"/>
              <w:jc w:val="right"/>
              <w:rPr>
                <w:color w:val="000000"/>
                <w:sz w:val="16"/>
                <w:szCs w:val="16"/>
              </w:rPr>
            </w:pPr>
            <w:r>
              <w:rPr>
                <w:color w:val="000000"/>
                <w:sz w:val="16"/>
                <w:szCs w:val="16"/>
              </w:rPr>
              <w:t>(92.8</w:t>
            </w:r>
          </w:p>
        </w:tc>
        <w:tc>
          <w:tcPr>
            <w:tcW w:w="252" w:type="dxa"/>
            <w:gridSpan w:val="2"/>
            <w:vAlign w:val="bottom"/>
          </w:tcPr>
          <w:p w14:paraId="0534C2B6" w14:textId="77777777" w:rsidR="009842D3" w:rsidRPr="00DB3F11" w:rsidRDefault="009842D3" w:rsidP="009842D3">
            <w:pPr>
              <w:spacing w:before="40" w:after="40"/>
              <w:rPr>
                <w:color w:val="000000"/>
                <w:sz w:val="16"/>
                <w:szCs w:val="16"/>
              </w:rPr>
            </w:pPr>
            <w:r>
              <w:rPr>
                <w:color w:val="000000"/>
                <w:sz w:val="16"/>
                <w:szCs w:val="16"/>
              </w:rPr>
              <w:t>)</w:t>
            </w:r>
          </w:p>
        </w:tc>
        <w:tc>
          <w:tcPr>
            <w:tcW w:w="924" w:type="dxa"/>
            <w:tcBorders>
              <w:bottom w:val="single" w:sz="4" w:space="0" w:color="auto"/>
            </w:tcBorders>
            <w:vAlign w:val="bottom"/>
          </w:tcPr>
          <w:p w14:paraId="541E7E02" w14:textId="77777777" w:rsidR="009842D3" w:rsidRPr="00DB3F11" w:rsidRDefault="009842D3" w:rsidP="009842D3">
            <w:pPr>
              <w:spacing w:before="40" w:after="40"/>
              <w:jc w:val="right"/>
              <w:rPr>
                <w:color w:val="000000"/>
                <w:sz w:val="16"/>
                <w:szCs w:val="16"/>
              </w:rPr>
            </w:pPr>
            <w:r>
              <w:rPr>
                <w:color w:val="000000"/>
                <w:sz w:val="16"/>
                <w:szCs w:val="16"/>
              </w:rPr>
              <w:t>(137.8</w:t>
            </w:r>
          </w:p>
        </w:tc>
        <w:tc>
          <w:tcPr>
            <w:tcW w:w="242" w:type="dxa"/>
            <w:vAlign w:val="bottom"/>
          </w:tcPr>
          <w:p w14:paraId="30D4EDEA" w14:textId="77777777" w:rsidR="009842D3" w:rsidRPr="00DB3F11" w:rsidRDefault="009842D3" w:rsidP="009842D3">
            <w:pPr>
              <w:spacing w:before="40" w:after="40"/>
              <w:rPr>
                <w:color w:val="000000"/>
                <w:sz w:val="16"/>
                <w:szCs w:val="16"/>
              </w:rPr>
            </w:pPr>
            <w:r>
              <w:rPr>
                <w:color w:val="000000"/>
                <w:sz w:val="16"/>
                <w:szCs w:val="16"/>
              </w:rPr>
              <w:t>)</w:t>
            </w:r>
          </w:p>
        </w:tc>
        <w:tc>
          <w:tcPr>
            <w:tcW w:w="924" w:type="dxa"/>
            <w:tcBorders>
              <w:bottom w:val="single" w:sz="4" w:space="0" w:color="auto"/>
            </w:tcBorders>
            <w:vAlign w:val="bottom"/>
          </w:tcPr>
          <w:p w14:paraId="73B80604" w14:textId="77777777" w:rsidR="009842D3" w:rsidRPr="00DB3F11" w:rsidRDefault="009842D3" w:rsidP="009842D3">
            <w:pPr>
              <w:spacing w:before="40" w:after="40"/>
              <w:jc w:val="right"/>
              <w:rPr>
                <w:color w:val="000000"/>
                <w:sz w:val="16"/>
                <w:szCs w:val="16"/>
              </w:rPr>
            </w:pPr>
            <w:r>
              <w:rPr>
                <w:color w:val="000000"/>
                <w:sz w:val="16"/>
                <w:szCs w:val="16"/>
              </w:rPr>
              <w:t>(64.4</w:t>
            </w:r>
          </w:p>
        </w:tc>
        <w:tc>
          <w:tcPr>
            <w:tcW w:w="242" w:type="dxa"/>
            <w:vAlign w:val="bottom"/>
          </w:tcPr>
          <w:p w14:paraId="75CBC9C0" w14:textId="77777777" w:rsidR="009842D3" w:rsidRPr="00DB3F11" w:rsidRDefault="009842D3" w:rsidP="009842D3">
            <w:pPr>
              <w:spacing w:before="40" w:after="40"/>
              <w:rPr>
                <w:sz w:val="16"/>
                <w:szCs w:val="16"/>
              </w:rPr>
            </w:pPr>
            <w:r>
              <w:rPr>
                <w:sz w:val="16"/>
                <w:szCs w:val="16"/>
              </w:rPr>
              <w:t>)</w:t>
            </w:r>
          </w:p>
        </w:tc>
        <w:tc>
          <w:tcPr>
            <w:tcW w:w="924" w:type="dxa"/>
            <w:tcBorders>
              <w:bottom w:val="single" w:sz="4" w:space="0" w:color="auto"/>
            </w:tcBorders>
            <w:vAlign w:val="bottom"/>
          </w:tcPr>
          <w:p w14:paraId="2607C629" w14:textId="77777777" w:rsidR="009842D3" w:rsidRPr="00DB3F11" w:rsidRDefault="009842D3" w:rsidP="009842D3">
            <w:pPr>
              <w:spacing w:before="40" w:after="40"/>
              <w:jc w:val="right"/>
              <w:rPr>
                <w:sz w:val="16"/>
                <w:szCs w:val="16"/>
              </w:rPr>
            </w:pPr>
            <w:r>
              <w:rPr>
                <w:sz w:val="16"/>
                <w:szCs w:val="16"/>
              </w:rPr>
              <w:t>(49.8</w:t>
            </w:r>
          </w:p>
        </w:tc>
        <w:tc>
          <w:tcPr>
            <w:tcW w:w="227" w:type="dxa"/>
            <w:vAlign w:val="bottom"/>
          </w:tcPr>
          <w:p w14:paraId="1349CCAB" w14:textId="77777777" w:rsidR="009842D3" w:rsidRPr="00DB3F11" w:rsidRDefault="009842D3" w:rsidP="009842D3">
            <w:pPr>
              <w:spacing w:before="40" w:after="40"/>
              <w:rPr>
                <w:sz w:val="16"/>
                <w:szCs w:val="16"/>
              </w:rPr>
            </w:pPr>
            <w:r>
              <w:rPr>
                <w:sz w:val="16"/>
                <w:szCs w:val="16"/>
              </w:rPr>
              <w:t>)</w:t>
            </w:r>
          </w:p>
        </w:tc>
        <w:tc>
          <w:tcPr>
            <w:tcW w:w="939" w:type="dxa"/>
            <w:tcBorders>
              <w:bottom w:val="single" w:sz="4" w:space="0" w:color="auto"/>
            </w:tcBorders>
            <w:vAlign w:val="bottom"/>
          </w:tcPr>
          <w:p w14:paraId="113D7153" w14:textId="77777777" w:rsidR="009842D3" w:rsidRPr="00DB3F11" w:rsidRDefault="009842D3" w:rsidP="009842D3">
            <w:pPr>
              <w:spacing w:before="40" w:after="40"/>
              <w:jc w:val="right"/>
              <w:rPr>
                <w:sz w:val="16"/>
                <w:szCs w:val="16"/>
              </w:rPr>
            </w:pPr>
            <w:r>
              <w:rPr>
                <w:sz w:val="16"/>
                <w:szCs w:val="16"/>
              </w:rPr>
              <w:t>(21.9</w:t>
            </w:r>
          </w:p>
        </w:tc>
        <w:tc>
          <w:tcPr>
            <w:tcW w:w="266" w:type="dxa"/>
            <w:vAlign w:val="bottom"/>
          </w:tcPr>
          <w:p w14:paraId="7D312F47" w14:textId="77777777" w:rsidR="009842D3" w:rsidRPr="007766C5" w:rsidRDefault="009842D3" w:rsidP="009842D3">
            <w:pPr>
              <w:spacing w:before="40" w:after="40"/>
              <w:rPr>
                <w:sz w:val="17"/>
                <w:szCs w:val="17"/>
              </w:rPr>
            </w:pPr>
          </w:p>
        </w:tc>
      </w:tr>
      <w:tr w:rsidR="009842D3" w:rsidRPr="00E834EF" w14:paraId="3D63C663" w14:textId="77777777" w:rsidTr="00984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tcPr>
          <w:p w14:paraId="1E862641" w14:textId="77777777" w:rsidR="009842D3" w:rsidRDefault="009842D3" w:rsidP="009842D3">
            <w:pPr>
              <w:tabs>
                <w:tab w:val="right" w:leader="dot" w:pos="3255"/>
              </w:tabs>
              <w:bidi/>
              <w:spacing w:before="40" w:after="40"/>
              <w:rPr>
                <w:b/>
                <w:bCs/>
                <w:sz w:val="17"/>
                <w:szCs w:val="17"/>
                <w:u w:val="single"/>
              </w:rPr>
            </w:pPr>
            <w:r w:rsidRPr="002A4B5D">
              <w:rPr>
                <w:rFonts w:hint="cs"/>
                <w:b/>
                <w:bCs/>
                <w:sz w:val="17"/>
                <w:szCs w:val="17"/>
                <w:u w:val="single"/>
                <w:rtl/>
              </w:rPr>
              <w:t>إيرادات مكافئ تأجير السفن المجهزة بالمدة للنفط الخام</w:t>
            </w:r>
            <w:r w:rsidRPr="007D2480">
              <w:rPr>
                <w:sz w:val="17"/>
              </w:rPr>
              <w:tab/>
            </w:r>
          </w:p>
        </w:tc>
        <w:tc>
          <w:tcPr>
            <w:tcW w:w="242" w:type="dxa"/>
            <w:tcBorders>
              <w:top w:val="nil"/>
              <w:left w:val="nil"/>
              <w:bottom w:val="nil"/>
              <w:right w:val="nil"/>
            </w:tcBorders>
            <w:vAlign w:val="bottom"/>
          </w:tcPr>
          <w:p w14:paraId="1B765319" w14:textId="77777777" w:rsidR="009842D3" w:rsidRPr="00E834EF" w:rsidRDefault="009842D3" w:rsidP="009842D3">
            <w:pPr>
              <w:spacing w:before="40" w:after="40"/>
              <w:rPr>
                <w:sz w:val="17"/>
                <w:szCs w:val="17"/>
              </w:rPr>
            </w:pPr>
          </w:p>
        </w:tc>
        <w:tc>
          <w:tcPr>
            <w:tcW w:w="913" w:type="dxa"/>
            <w:tcBorders>
              <w:top w:val="single" w:sz="4" w:space="0" w:color="auto"/>
              <w:left w:val="nil"/>
              <w:bottom w:val="nil"/>
              <w:right w:val="nil"/>
            </w:tcBorders>
            <w:vAlign w:val="bottom"/>
          </w:tcPr>
          <w:p w14:paraId="255EA480" w14:textId="77777777" w:rsidR="009842D3" w:rsidRPr="00DB3F11" w:rsidRDefault="009842D3" w:rsidP="009842D3">
            <w:pPr>
              <w:spacing w:before="40" w:after="40"/>
              <w:jc w:val="right"/>
              <w:rPr>
                <w:b/>
                <w:bCs/>
                <w:color w:val="000000"/>
                <w:sz w:val="16"/>
                <w:szCs w:val="16"/>
              </w:rPr>
            </w:pPr>
            <w:r w:rsidRPr="007A3BB2">
              <w:rPr>
                <w:color w:val="000000"/>
                <w:sz w:val="16"/>
                <w:szCs w:val="16"/>
              </w:rPr>
              <w:t>102.1</w:t>
            </w:r>
          </w:p>
        </w:tc>
        <w:tc>
          <w:tcPr>
            <w:tcW w:w="252" w:type="dxa"/>
            <w:gridSpan w:val="2"/>
            <w:tcBorders>
              <w:top w:val="nil"/>
              <w:left w:val="nil"/>
              <w:bottom w:val="nil"/>
              <w:right w:val="nil"/>
            </w:tcBorders>
            <w:vAlign w:val="bottom"/>
          </w:tcPr>
          <w:p w14:paraId="3AD981BD" w14:textId="77777777" w:rsidR="009842D3" w:rsidRPr="00DB3F11" w:rsidRDefault="009842D3" w:rsidP="009842D3">
            <w:pPr>
              <w:spacing w:before="40" w:after="40"/>
              <w:rPr>
                <w:b/>
                <w:bCs/>
                <w:color w:val="000000"/>
                <w:sz w:val="16"/>
                <w:szCs w:val="16"/>
              </w:rPr>
            </w:pPr>
          </w:p>
        </w:tc>
        <w:tc>
          <w:tcPr>
            <w:tcW w:w="924" w:type="dxa"/>
            <w:tcBorders>
              <w:top w:val="single" w:sz="4" w:space="0" w:color="auto"/>
              <w:left w:val="nil"/>
              <w:bottom w:val="nil"/>
              <w:right w:val="nil"/>
            </w:tcBorders>
            <w:vAlign w:val="bottom"/>
          </w:tcPr>
          <w:p w14:paraId="45531530" w14:textId="77777777" w:rsidR="009842D3" w:rsidRPr="00DB3F11" w:rsidRDefault="009842D3" w:rsidP="009842D3">
            <w:pPr>
              <w:spacing w:before="40" w:after="40"/>
              <w:jc w:val="right"/>
              <w:rPr>
                <w:b/>
                <w:bCs/>
                <w:color w:val="000000"/>
                <w:sz w:val="16"/>
                <w:szCs w:val="16"/>
              </w:rPr>
            </w:pPr>
            <w:r w:rsidRPr="007A3BB2">
              <w:rPr>
                <w:color w:val="000000"/>
                <w:sz w:val="16"/>
                <w:szCs w:val="16"/>
              </w:rPr>
              <w:t>165.3</w:t>
            </w:r>
          </w:p>
        </w:tc>
        <w:tc>
          <w:tcPr>
            <w:tcW w:w="242" w:type="dxa"/>
            <w:tcBorders>
              <w:top w:val="nil"/>
              <w:left w:val="nil"/>
              <w:bottom w:val="nil"/>
              <w:right w:val="nil"/>
            </w:tcBorders>
            <w:vAlign w:val="bottom"/>
          </w:tcPr>
          <w:p w14:paraId="1F60B100" w14:textId="77777777" w:rsidR="009842D3" w:rsidRPr="00DB3F11" w:rsidRDefault="009842D3" w:rsidP="009842D3">
            <w:pPr>
              <w:spacing w:before="40" w:after="40"/>
              <w:rPr>
                <w:b/>
                <w:bCs/>
                <w:color w:val="000000"/>
                <w:sz w:val="16"/>
                <w:szCs w:val="16"/>
              </w:rPr>
            </w:pPr>
          </w:p>
        </w:tc>
        <w:tc>
          <w:tcPr>
            <w:tcW w:w="924" w:type="dxa"/>
            <w:tcBorders>
              <w:top w:val="single" w:sz="4" w:space="0" w:color="auto"/>
              <w:left w:val="nil"/>
              <w:bottom w:val="nil"/>
              <w:right w:val="nil"/>
            </w:tcBorders>
            <w:vAlign w:val="bottom"/>
          </w:tcPr>
          <w:p w14:paraId="5B730951" w14:textId="77777777" w:rsidR="009842D3" w:rsidRPr="00DB3F11" w:rsidRDefault="009842D3" w:rsidP="009842D3">
            <w:pPr>
              <w:spacing w:before="40" w:after="40"/>
              <w:jc w:val="right"/>
              <w:rPr>
                <w:b/>
                <w:bCs/>
                <w:color w:val="000000"/>
                <w:sz w:val="16"/>
                <w:szCs w:val="16"/>
              </w:rPr>
            </w:pPr>
            <w:r w:rsidRPr="007A3BB2">
              <w:rPr>
                <w:color w:val="000000"/>
                <w:sz w:val="16"/>
                <w:szCs w:val="16"/>
              </w:rPr>
              <w:t>243.7</w:t>
            </w:r>
          </w:p>
        </w:tc>
        <w:tc>
          <w:tcPr>
            <w:tcW w:w="242" w:type="dxa"/>
            <w:tcBorders>
              <w:top w:val="nil"/>
              <w:left w:val="nil"/>
              <w:bottom w:val="nil"/>
              <w:right w:val="nil"/>
            </w:tcBorders>
            <w:vAlign w:val="bottom"/>
          </w:tcPr>
          <w:p w14:paraId="67394ABB" w14:textId="77777777" w:rsidR="009842D3" w:rsidRPr="00DB3F11" w:rsidRDefault="009842D3" w:rsidP="009842D3">
            <w:pPr>
              <w:spacing w:before="40" w:after="40"/>
              <w:rPr>
                <w:b/>
                <w:bCs/>
                <w:sz w:val="16"/>
                <w:szCs w:val="16"/>
              </w:rPr>
            </w:pPr>
          </w:p>
        </w:tc>
        <w:tc>
          <w:tcPr>
            <w:tcW w:w="924" w:type="dxa"/>
            <w:tcBorders>
              <w:top w:val="single" w:sz="4" w:space="0" w:color="auto"/>
              <w:left w:val="nil"/>
              <w:bottom w:val="nil"/>
              <w:right w:val="nil"/>
            </w:tcBorders>
            <w:vAlign w:val="bottom"/>
          </w:tcPr>
          <w:p w14:paraId="1BF4CDC3" w14:textId="77777777" w:rsidR="009842D3" w:rsidRPr="00DB3F11" w:rsidRDefault="009842D3" w:rsidP="009842D3">
            <w:pPr>
              <w:spacing w:before="40" w:after="40"/>
              <w:jc w:val="right"/>
              <w:rPr>
                <w:b/>
                <w:bCs/>
                <w:sz w:val="16"/>
                <w:szCs w:val="16"/>
              </w:rPr>
            </w:pPr>
            <w:r w:rsidRPr="007A3BB2">
              <w:rPr>
                <w:color w:val="000000"/>
                <w:sz w:val="16"/>
                <w:szCs w:val="16"/>
              </w:rPr>
              <w:t>186.8</w:t>
            </w:r>
          </w:p>
        </w:tc>
        <w:tc>
          <w:tcPr>
            <w:tcW w:w="227" w:type="dxa"/>
            <w:tcBorders>
              <w:top w:val="nil"/>
              <w:left w:val="nil"/>
              <w:bottom w:val="nil"/>
              <w:right w:val="nil"/>
            </w:tcBorders>
            <w:vAlign w:val="bottom"/>
          </w:tcPr>
          <w:p w14:paraId="198685E9" w14:textId="77777777" w:rsidR="009842D3" w:rsidRPr="00DB3F11" w:rsidRDefault="009842D3" w:rsidP="009842D3">
            <w:pPr>
              <w:spacing w:before="40" w:after="40"/>
              <w:rPr>
                <w:b/>
                <w:bCs/>
                <w:sz w:val="16"/>
                <w:szCs w:val="16"/>
              </w:rPr>
            </w:pPr>
          </w:p>
        </w:tc>
        <w:tc>
          <w:tcPr>
            <w:tcW w:w="939" w:type="dxa"/>
            <w:tcBorders>
              <w:top w:val="single" w:sz="4" w:space="0" w:color="auto"/>
              <w:left w:val="nil"/>
              <w:bottom w:val="nil"/>
              <w:right w:val="nil"/>
            </w:tcBorders>
            <w:vAlign w:val="bottom"/>
          </w:tcPr>
          <w:p w14:paraId="58CC0DD7" w14:textId="77777777" w:rsidR="009842D3" w:rsidRPr="00DB3F11" w:rsidRDefault="009842D3" w:rsidP="009842D3">
            <w:pPr>
              <w:spacing w:before="40" w:after="40"/>
              <w:jc w:val="right"/>
              <w:rPr>
                <w:b/>
                <w:bCs/>
                <w:sz w:val="16"/>
                <w:szCs w:val="16"/>
              </w:rPr>
            </w:pPr>
            <w:r w:rsidRPr="007A3BB2">
              <w:rPr>
                <w:color w:val="000000"/>
                <w:sz w:val="16"/>
                <w:szCs w:val="16"/>
              </w:rPr>
              <w:t>171.2</w:t>
            </w:r>
          </w:p>
        </w:tc>
        <w:tc>
          <w:tcPr>
            <w:tcW w:w="266" w:type="dxa"/>
            <w:tcBorders>
              <w:top w:val="nil"/>
              <w:left w:val="nil"/>
              <w:bottom w:val="nil"/>
              <w:right w:val="nil"/>
            </w:tcBorders>
            <w:vAlign w:val="bottom"/>
          </w:tcPr>
          <w:p w14:paraId="273BD4E9" w14:textId="77777777" w:rsidR="009842D3" w:rsidRPr="000D2863" w:rsidRDefault="009842D3" w:rsidP="009842D3">
            <w:pPr>
              <w:spacing w:before="40" w:after="40"/>
              <w:rPr>
                <w:b/>
                <w:bCs/>
                <w:sz w:val="17"/>
                <w:szCs w:val="17"/>
              </w:rPr>
            </w:pPr>
          </w:p>
        </w:tc>
      </w:tr>
      <w:tr w:rsidR="009842D3" w:rsidRPr="00E834EF" w14:paraId="26EE5832" w14:textId="77777777" w:rsidTr="009842D3">
        <w:tc>
          <w:tcPr>
            <w:tcW w:w="3254" w:type="dxa"/>
          </w:tcPr>
          <w:p w14:paraId="37BE9257" w14:textId="77777777" w:rsidR="009842D3" w:rsidRDefault="009842D3" w:rsidP="009842D3">
            <w:pPr>
              <w:tabs>
                <w:tab w:val="right" w:leader="dot" w:pos="3255"/>
              </w:tabs>
              <w:bidi/>
              <w:spacing w:before="40" w:after="40"/>
              <w:rPr>
                <w:b/>
                <w:bCs/>
                <w:sz w:val="17"/>
                <w:szCs w:val="17"/>
                <w:u w:val="single"/>
              </w:rPr>
            </w:pPr>
          </w:p>
        </w:tc>
        <w:tc>
          <w:tcPr>
            <w:tcW w:w="242" w:type="dxa"/>
            <w:vAlign w:val="bottom"/>
          </w:tcPr>
          <w:p w14:paraId="2500ED4C" w14:textId="77777777" w:rsidR="009842D3" w:rsidRPr="00E834EF" w:rsidRDefault="009842D3" w:rsidP="009842D3">
            <w:pPr>
              <w:spacing w:before="40" w:after="40"/>
              <w:rPr>
                <w:sz w:val="17"/>
                <w:szCs w:val="17"/>
              </w:rPr>
            </w:pPr>
          </w:p>
        </w:tc>
        <w:tc>
          <w:tcPr>
            <w:tcW w:w="913" w:type="dxa"/>
            <w:vAlign w:val="bottom"/>
          </w:tcPr>
          <w:p w14:paraId="2F9C4059" w14:textId="77777777" w:rsidR="009842D3" w:rsidRPr="00DB3F11" w:rsidRDefault="009842D3" w:rsidP="009842D3">
            <w:pPr>
              <w:spacing w:before="40" w:after="40"/>
              <w:jc w:val="right"/>
              <w:rPr>
                <w:b/>
                <w:bCs/>
                <w:sz w:val="16"/>
                <w:szCs w:val="16"/>
              </w:rPr>
            </w:pPr>
          </w:p>
        </w:tc>
        <w:tc>
          <w:tcPr>
            <w:tcW w:w="252" w:type="dxa"/>
            <w:gridSpan w:val="2"/>
            <w:vAlign w:val="bottom"/>
          </w:tcPr>
          <w:p w14:paraId="185D519A" w14:textId="77777777" w:rsidR="009842D3" w:rsidRPr="00DB3F11" w:rsidRDefault="009842D3" w:rsidP="009842D3">
            <w:pPr>
              <w:spacing w:before="40" w:after="40"/>
              <w:rPr>
                <w:b/>
                <w:bCs/>
                <w:color w:val="000000"/>
                <w:sz w:val="16"/>
                <w:szCs w:val="16"/>
              </w:rPr>
            </w:pPr>
          </w:p>
        </w:tc>
        <w:tc>
          <w:tcPr>
            <w:tcW w:w="924" w:type="dxa"/>
            <w:vAlign w:val="bottom"/>
          </w:tcPr>
          <w:p w14:paraId="4F104E6C" w14:textId="77777777" w:rsidR="009842D3" w:rsidRPr="00DB3F11" w:rsidRDefault="009842D3" w:rsidP="009842D3">
            <w:pPr>
              <w:spacing w:before="40" w:after="40"/>
              <w:jc w:val="right"/>
              <w:rPr>
                <w:b/>
                <w:bCs/>
                <w:sz w:val="16"/>
                <w:szCs w:val="16"/>
              </w:rPr>
            </w:pPr>
          </w:p>
        </w:tc>
        <w:tc>
          <w:tcPr>
            <w:tcW w:w="242" w:type="dxa"/>
            <w:vAlign w:val="bottom"/>
          </w:tcPr>
          <w:p w14:paraId="3F9D5808" w14:textId="77777777" w:rsidR="009842D3" w:rsidRPr="00DB3F11" w:rsidRDefault="009842D3" w:rsidP="009842D3">
            <w:pPr>
              <w:spacing w:before="40" w:after="40"/>
              <w:rPr>
                <w:b/>
                <w:bCs/>
                <w:color w:val="000000"/>
                <w:sz w:val="16"/>
                <w:szCs w:val="16"/>
              </w:rPr>
            </w:pPr>
          </w:p>
        </w:tc>
        <w:tc>
          <w:tcPr>
            <w:tcW w:w="924" w:type="dxa"/>
            <w:vAlign w:val="bottom"/>
          </w:tcPr>
          <w:p w14:paraId="1246F9BC" w14:textId="77777777" w:rsidR="009842D3" w:rsidRPr="00DB3F11" w:rsidRDefault="009842D3" w:rsidP="009842D3">
            <w:pPr>
              <w:spacing w:before="40" w:after="40"/>
              <w:jc w:val="right"/>
              <w:rPr>
                <w:b/>
                <w:bCs/>
                <w:sz w:val="16"/>
                <w:szCs w:val="16"/>
              </w:rPr>
            </w:pPr>
          </w:p>
        </w:tc>
        <w:tc>
          <w:tcPr>
            <w:tcW w:w="242" w:type="dxa"/>
            <w:vAlign w:val="bottom"/>
          </w:tcPr>
          <w:p w14:paraId="47E75812" w14:textId="77777777" w:rsidR="009842D3" w:rsidRPr="00DB3F11" w:rsidRDefault="009842D3" w:rsidP="009842D3">
            <w:pPr>
              <w:spacing w:before="40" w:after="40"/>
              <w:rPr>
                <w:b/>
                <w:bCs/>
                <w:sz w:val="16"/>
                <w:szCs w:val="16"/>
              </w:rPr>
            </w:pPr>
          </w:p>
        </w:tc>
        <w:tc>
          <w:tcPr>
            <w:tcW w:w="924" w:type="dxa"/>
            <w:vAlign w:val="bottom"/>
          </w:tcPr>
          <w:p w14:paraId="112A7BEA" w14:textId="77777777" w:rsidR="009842D3" w:rsidRPr="00DB3F11" w:rsidRDefault="009842D3" w:rsidP="009842D3">
            <w:pPr>
              <w:spacing w:before="40" w:after="40"/>
              <w:jc w:val="right"/>
              <w:rPr>
                <w:b/>
                <w:bCs/>
                <w:sz w:val="16"/>
                <w:szCs w:val="16"/>
              </w:rPr>
            </w:pPr>
          </w:p>
        </w:tc>
        <w:tc>
          <w:tcPr>
            <w:tcW w:w="227" w:type="dxa"/>
            <w:vAlign w:val="bottom"/>
          </w:tcPr>
          <w:p w14:paraId="25E07D87" w14:textId="77777777" w:rsidR="009842D3" w:rsidRPr="00DB3F11" w:rsidRDefault="009842D3" w:rsidP="009842D3">
            <w:pPr>
              <w:spacing w:before="40" w:after="40"/>
              <w:rPr>
                <w:b/>
                <w:bCs/>
                <w:sz w:val="16"/>
                <w:szCs w:val="16"/>
              </w:rPr>
            </w:pPr>
          </w:p>
        </w:tc>
        <w:tc>
          <w:tcPr>
            <w:tcW w:w="939" w:type="dxa"/>
            <w:vAlign w:val="bottom"/>
          </w:tcPr>
          <w:p w14:paraId="303C5C64" w14:textId="77777777" w:rsidR="009842D3" w:rsidRPr="00DB3F11" w:rsidRDefault="009842D3" w:rsidP="009842D3">
            <w:pPr>
              <w:spacing w:before="40" w:after="40"/>
              <w:jc w:val="right"/>
              <w:rPr>
                <w:b/>
                <w:bCs/>
                <w:sz w:val="16"/>
                <w:szCs w:val="16"/>
              </w:rPr>
            </w:pPr>
          </w:p>
        </w:tc>
        <w:tc>
          <w:tcPr>
            <w:tcW w:w="266" w:type="dxa"/>
            <w:vAlign w:val="bottom"/>
          </w:tcPr>
          <w:p w14:paraId="16B13296" w14:textId="77777777" w:rsidR="009842D3" w:rsidRPr="000D2863" w:rsidRDefault="009842D3" w:rsidP="009842D3">
            <w:pPr>
              <w:spacing w:before="40" w:after="40"/>
              <w:rPr>
                <w:b/>
                <w:bCs/>
                <w:sz w:val="17"/>
                <w:szCs w:val="17"/>
              </w:rPr>
            </w:pPr>
          </w:p>
        </w:tc>
      </w:tr>
      <w:tr w:rsidR="009842D3" w:rsidRPr="00E834EF" w14:paraId="38E541DD" w14:textId="77777777" w:rsidTr="009842D3">
        <w:tc>
          <w:tcPr>
            <w:tcW w:w="3254" w:type="dxa"/>
            <w:vAlign w:val="bottom"/>
          </w:tcPr>
          <w:p w14:paraId="20BA3661" w14:textId="77777777" w:rsidR="009842D3" w:rsidRDefault="009842D3" w:rsidP="009842D3">
            <w:pPr>
              <w:tabs>
                <w:tab w:val="right" w:leader="dot" w:pos="3255"/>
              </w:tabs>
              <w:bidi/>
              <w:spacing w:before="40" w:after="40"/>
              <w:ind w:left="12"/>
              <w:rPr>
                <w:b/>
                <w:bCs/>
                <w:color w:val="000000"/>
                <w:sz w:val="17"/>
                <w:szCs w:val="17"/>
              </w:rPr>
            </w:pPr>
            <w:r>
              <w:rPr>
                <w:rFonts w:hint="cs"/>
                <w:b/>
                <w:bCs/>
                <w:color w:val="000000"/>
                <w:sz w:val="17"/>
                <w:szCs w:val="17"/>
                <w:rtl/>
              </w:rPr>
              <w:t xml:space="preserve">إجمالي أرباح </w:t>
            </w:r>
            <w:r w:rsidR="00607B02">
              <w:rPr>
                <w:rFonts w:hint="cs"/>
                <w:b/>
                <w:bCs/>
                <w:color w:val="000000"/>
                <w:sz w:val="17"/>
                <w:szCs w:val="17"/>
                <w:rtl/>
              </w:rPr>
              <w:t>نقل</w:t>
            </w:r>
            <w:r>
              <w:rPr>
                <w:rFonts w:hint="cs"/>
                <w:b/>
                <w:bCs/>
                <w:color w:val="000000"/>
                <w:sz w:val="17"/>
                <w:szCs w:val="17"/>
                <w:rtl/>
              </w:rPr>
              <w:t xml:space="preserve"> النفط الخام</w:t>
            </w:r>
            <w:r w:rsidRPr="0054596C">
              <w:rPr>
                <w:sz w:val="17"/>
              </w:rPr>
              <w:tab/>
            </w:r>
          </w:p>
        </w:tc>
        <w:tc>
          <w:tcPr>
            <w:tcW w:w="242" w:type="dxa"/>
            <w:vAlign w:val="bottom"/>
          </w:tcPr>
          <w:p w14:paraId="22C4F444" w14:textId="77777777" w:rsidR="009842D3" w:rsidRPr="00E834EF" w:rsidRDefault="009842D3" w:rsidP="009842D3">
            <w:pPr>
              <w:spacing w:before="40" w:after="40"/>
              <w:rPr>
                <w:sz w:val="17"/>
                <w:szCs w:val="17"/>
              </w:rPr>
            </w:pPr>
          </w:p>
        </w:tc>
        <w:tc>
          <w:tcPr>
            <w:tcW w:w="913" w:type="dxa"/>
            <w:vAlign w:val="bottom"/>
          </w:tcPr>
          <w:p w14:paraId="78DBA40D" w14:textId="77777777" w:rsidR="009842D3" w:rsidRPr="00DB3F11" w:rsidRDefault="00197589" w:rsidP="009842D3">
            <w:pPr>
              <w:spacing w:before="40" w:after="40"/>
              <w:jc w:val="right"/>
              <w:rPr>
                <w:color w:val="000000"/>
                <w:sz w:val="16"/>
                <w:szCs w:val="16"/>
              </w:rPr>
            </w:pPr>
            <w:r>
              <w:rPr>
                <w:color w:val="000000"/>
                <w:sz w:val="16"/>
                <w:szCs w:val="16"/>
              </w:rPr>
              <w:t>(</w:t>
            </w:r>
            <w:r w:rsidR="009842D3">
              <w:rPr>
                <w:color w:val="000000"/>
                <w:sz w:val="16"/>
                <w:szCs w:val="16"/>
              </w:rPr>
              <w:t>38.3</w:t>
            </w:r>
            <w:r>
              <w:rPr>
                <w:color w:val="000000"/>
                <w:sz w:val="16"/>
                <w:szCs w:val="16"/>
              </w:rPr>
              <w:t>)</w:t>
            </w:r>
          </w:p>
        </w:tc>
        <w:tc>
          <w:tcPr>
            <w:tcW w:w="252" w:type="dxa"/>
            <w:gridSpan w:val="2"/>
            <w:vAlign w:val="bottom"/>
          </w:tcPr>
          <w:p w14:paraId="1D316E47" w14:textId="77777777" w:rsidR="009842D3" w:rsidRPr="00DB3F11" w:rsidRDefault="009842D3" w:rsidP="009842D3">
            <w:pPr>
              <w:spacing w:before="40" w:after="40"/>
              <w:rPr>
                <w:color w:val="000000"/>
                <w:sz w:val="16"/>
                <w:szCs w:val="16"/>
              </w:rPr>
            </w:pPr>
          </w:p>
        </w:tc>
        <w:tc>
          <w:tcPr>
            <w:tcW w:w="924" w:type="dxa"/>
            <w:vAlign w:val="bottom"/>
          </w:tcPr>
          <w:p w14:paraId="0C604E79" w14:textId="77777777" w:rsidR="009842D3" w:rsidRPr="00DB3F11" w:rsidRDefault="009842D3" w:rsidP="009842D3">
            <w:pPr>
              <w:spacing w:before="40" w:after="40"/>
              <w:jc w:val="right"/>
              <w:rPr>
                <w:color w:val="000000"/>
                <w:sz w:val="16"/>
                <w:szCs w:val="16"/>
              </w:rPr>
            </w:pPr>
            <w:r>
              <w:rPr>
                <w:color w:val="000000"/>
                <w:sz w:val="16"/>
                <w:szCs w:val="16"/>
              </w:rPr>
              <w:t>9.7</w:t>
            </w:r>
          </w:p>
        </w:tc>
        <w:tc>
          <w:tcPr>
            <w:tcW w:w="242" w:type="dxa"/>
            <w:vAlign w:val="bottom"/>
          </w:tcPr>
          <w:p w14:paraId="65AF1FAB" w14:textId="77777777" w:rsidR="009842D3" w:rsidRPr="00DB3F11" w:rsidRDefault="009842D3" w:rsidP="009842D3">
            <w:pPr>
              <w:spacing w:before="40" w:after="40"/>
              <w:rPr>
                <w:color w:val="000000"/>
                <w:sz w:val="16"/>
                <w:szCs w:val="16"/>
              </w:rPr>
            </w:pPr>
          </w:p>
        </w:tc>
        <w:tc>
          <w:tcPr>
            <w:tcW w:w="924" w:type="dxa"/>
            <w:vAlign w:val="bottom"/>
          </w:tcPr>
          <w:p w14:paraId="0A5EC74E" w14:textId="77777777" w:rsidR="009842D3" w:rsidRPr="00DB3F11" w:rsidRDefault="009842D3" w:rsidP="009842D3">
            <w:pPr>
              <w:spacing w:before="40" w:after="40"/>
              <w:jc w:val="right"/>
              <w:rPr>
                <w:color w:val="000000"/>
                <w:sz w:val="16"/>
                <w:szCs w:val="16"/>
              </w:rPr>
            </w:pPr>
            <w:r>
              <w:rPr>
                <w:color w:val="000000"/>
                <w:sz w:val="16"/>
                <w:szCs w:val="16"/>
              </w:rPr>
              <w:t>100.1</w:t>
            </w:r>
          </w:p>
        </w:tc>
        <w:tc>
          <w:tcPr>
            <w:tcW w:w="242" w:type="dxa"/>
            <w:vAlign w:val="bottom"/>
          </w:tcPr>
          <w:p w14:paraId="7110A930" w14:textId="77777777" w:rsidR="009842D3" w:rsidRPr="00DB3F11" w:rsidRDefault="009842D3" w:rsidP="009842D3">
            <w:pPr>
              <w:spacing w:before="40" w:after="40"/>
              <w:rPr>
                <w:sz w:val="16"/>
                <w:szCs w:val="16"/>
              </w:rPr>
            </w:pPr>
          </w:p>
        </w:tc>
        <w:tc>
          <w:tcPr>
            <w:tcW w:w="924" w:type="dxa"/>
            <w:vAlign w:val="bottom"/>
          </w:tcPr>
          <w:p w14:paraId="27379CF0" w14:textId="77777777" w:rsidR="009842D3" w:rsidRPr="00DB3F11" w:rsidRDefault="009842D3" w:rsidP="009842D3">
            <w:pPr>
              <w:spacing w:before="40" w:after="40"/>
              <w:jc w:val="right"/>
              <w:rPr>
                <w:sz w:val="16"/>
                <w:szCs w:val="16"/>
              </w:rPr>
            </w:pPr>
            <w:r>
              <w:rPr>
                <w:sz w:val="16"/>
                <w:szCs w:val="16"/>
              </w:rPr>
              <w:t>79.9</w:t>
            </w:r>
          </w:p>
        </w:tc>
        <w:tc>
          <w:tcPr>
            <w:tcW w:w="227" w:type="dxa"/>
            <w:vAlign w:val="bottom"/>
          </w:tcPr>
          <w:p w14:paraId="1B8C5877" w14:textId="77777777" w:rsidR="009842D3" w:rsidRPr="00DB3F11" w:rsidRDefault="009842D3" w:rsidP="009842D3">
            <w:pPr>
              <w:spacing w:before="40" w:after="40"/>
              <w:rPr>
                <w:sz w:val="16"/>
                <w:szCs w:val="16"/>
              </w:rPr>
            </w:pPr>
          </w:p>
        </w:tc>
        <w:tc>
          <w:tcPr>
            <w:tcW w:w="939" w:type="dxa"/>
            <w:vAlign w:val="bottom"/>
          </w:tcPr>
          <w:p w14:paraId="722A8653" w14:textId="77777777" w:rsidR="009842D3" w:rsidRPr="00DB3F11" w:rsidRDefault="009842D3" w:rsidP="009842D3">
            <w:pPr>
              <w:spacing w:before="40" w:after="40"/>
              <w:jc w:val="right"/>
              <w:rPr>
                <w:sz w:val="16"/>
                <w:szCs w:val="16"/>
              </w:rPr>
            </w:pPr>
            <w:r>
              <w:rPr>
                <w:sz w:val="16"/>
                <w:szCs w:val="16"/>
              </w:rPr>
              <w:t>60.2</w:t>
            </w:r>
          </w:p>
        </w:tc>
        <w:tc>
          <w:tcPr>
            <w:tcW w:w="266" w:type="dxa"/>
            <w:vAlign w:val="bottom"/>
          </w:tcPr>
          <w:p w14:paraId="647007B9" w14:textId="77777777" w:rsidR="009842D3" w:rsidRPr="000D2863" w:rsidRDefault="009842D3" w:rsidP="009842D3">
            <w:pPr>
              <w:spacing w:before="40" w:after="40"/>
              <w:rPr>
                <w:sz w:val="17"/>
                <w:szCs w:val="17"/>
              </w:rPr>
            </w:pPr>
          </w:p>
        </w:tc>
      </w:tr>
      <w:tr w:rsidR="004124EE" w:rsidRPr="00E834EF" w14:paraId="02E50E38" w14:textId="77777777" w:rsidTr="009842D3">
        <w:tc>
          <w:tcPr>
            <w:tcW w:w="3254" w:type="dxa"/>
            <w:vAlign w:val="bottom"/>
          </w:tcPr>
          <w:p w14:paraId="4E1C8637" w14:textId="77777777" w:rsidR="004124EE" w:rsidRPr="00E754AA" w:rsidRDefault="004124EE" w:rsidP="004124EE">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3755B809" w14:textId="77777777" w:rsidR="004124EE" w:rsidRPr="00E754AA" w:rsidRDefault="004124EE" w:rsidP="004124EE">
            <w:pPr>
              <w:spacing w:before="40" w:after="40"/>
              <w:rPr>
                <w:sz w:val="17"/>
                <w:szCs w:val="17"/>
              </w:rPr>
            </w:pPr>
          </w:p>
        </w:tc>
        <w:tc>
          <w:tcPr>
            <w:tcW w:w="913" w:type="dxa"/>
            <w:vAlign w:val="bottom"/>
          </w:tcPr>
          <w:p w14:paraId="6E81F2C1" w14:textId="77777777" w:rsidR="004124EE" w:rsidRPr="00DB3F11" w:rsidRDefault="004124EE" w:rsidP="004124EE">
            <w:pPr>
              <w:spacing w:before="40" w:after="40"/>
              <w:jc w:val="right"/>
              <w:rPr>
                <w:color w:val="000000"/>
                <w:sz w:val="16"/>
                <w:szCs w:val="16"/>
              </w:rPr>
            </w:pPr>
            <w:r w:rsidRPr="00B02BA3">
              <w:rPr>
                <w:sz w:val="17"/>
              </w:rPr>
              <w:t>—</w:t>
            </w:r>
          </w:p>
        </w:tc>
        <w:tc>
          <w:tcPr>
            <w:tcW w:w="252" w:type="dxa"/>
            <w:gridSpan w:val="2"/>
            <w:vAlign w:val="bottom"/>
          </w:tcPr>
          <w:p w14:paraId="0A4ACCE1" w14:textId="77777777" w:rsidR="004124EE" w:rsidRPr="00DB3F11" w:rsidRDefault="004124EE" w:rsidP="004124EE">
            <w:pPr>
              <w:spacing w:before="40" w:after="40"/>
              <w:rPr>
                <w:color w:val="000000"/>
                <w:sz w:val="16"/>
                <w:szCs w:val="16"/>
              </w:rPr>
            </w:pPr>
          </w:p>
        </w:tc>
        <w:tc>
          <w:tcPr>
            <w:tcW w:w="924" w:type="dxa"/>
            <w:vAlign w:val="bottom"/>
          </w:tcPr>
          <w:p w14:paraId="72A28377" w14:textId="77777777" w:rsidR="004124EE" w:rsidRPr="00DB3F11" w:rsidRDefault="004124EE" w:rsidP="004124EE">
            <w:pPr>
              <w:spacing w:before="40" w:after="40"/>
              <w:jc w:val="right"/>
              <w:rPr>
                <w:color w:val="000000"/>
                <w:sz w:val="16"/>
                <w:szCs w:val="16"/>
              </w:rPr>
            </w:pPr>
            <w:r w:rsidRPr="00B02BA3">
              <w:rPr>
                <w:sz w:val="17"/>
              </w:rPr>
              <w:t>—</w:t>
            </w:r>
          </w:p>
        </w:tc>
        <w:tc>
          <w:tcPr>
            <w:tcW w:w="242" w:type="dxa"/>
            <w:vAlign w:val="bottom"/>
          </w:tcPr>
          <w:p w14:paraId="5F9A611E" w14:textId="77777777" w:rsidR="004124EE" w:rsidRPr="00DB3F11" w:rsidRDefault="004124EE" w:rsidP="004124EE">
            <w:pPr>
              <w:spacing w:before="40" w:after="40"/>
              <w:rPr>
                <w:color w:val="000000"/>
                <w:sz w:val="16"/>
                <w:szCs w:val="16"/>
              </w:rPr>
            </w:pPr>
          </w:p>
        </w:tc>
        <w:tc>
          <w:tcPr>
            <w:tcW w:w="924" w:type="dxa"/>
            <w:vAlign w:val="bottom"/>
          </w:tcPr>
          <w:p w14:paraId="408CA386" w14:textId="77777777" w:rsidR="004124EE" w:rsidRPr="00DB3F11" w:rsidRDefault="004124EE" w:rsidP="004124EE">
            <w:pPr>
              <w:spacing w:before="40" w:after="40"/>
              <w:jc w:val="right"/>
              <w:rPr>
                <w:color w:val="000000"/>
                <w:sz w:val="16"/>
                <w:szCs w:val="16"/>
              </w:rPr>
            </w:pPr>
            <w:r w:rsidRPr="00B02BA3">
              <w:rPr>
                <w:sz w:val="17"/>
              </w:rPr>
              <w:t>—</w:t>
            </w:r>
          </w:p>
        </w:tc>
        <w:tc>
          <w:tcPr>
            <w:tcW w:w="242" w:type="dxa"/>
            <w:vAlign w:val="bottom"/>
          </w:tcPr>
          <w:p w14:paraId="6E6A2D89" w14:textId="77777777" w:rsidR="004124EE" w:rsidRPr="00DB3F11" w:rsidRDefault="004124EE" w:rsidP="004124EE">
            <w:pPr>
              <w:spacing w:before="40" w:after="40"/>
              <w:rPr>
                <w:sz w:val="16"/>
                <w:szCs w:val="16"/>
              </w:rPr>
            </w:pPr>
          </w:p>
        </w:tc>
        <w:tc>
          <w:tcPr>
            <w:tcW w:w="924" w:type="dxa"/>
            <w:vAlign w:val="bottom"/>
          </w:tcPr>
          <w:p w14:paraId="7A61C326" w14:textId="77777777" w:rsidR="004124EE" w:rsidRPr="00DB3F11" w:rsidRDefault="004124EE" w:rsidP="004124EE">
            <w:pPr>
              <w:spacing w:before="40" w:after="40"/>
              <w:jc w:val="right"/>
              <w:rPr>
                <w:sz w:val="16"/>
                <w:szCs w:val="16"/>
              </w:rPr>
            </w:pPr>
            <w:r w:rsidRPr="00B02BA3">
              <w:rPr>
                <w:sz w:val="17"/>
              </w:rPr>
              <w:t>—</w:t>
            </w:r>
          </w:p>
        </w:tc>
        <w:tc>
          <w:tcPr>
            <w:tcW w:w="227" w:type="dxa"/>
            <w:vAlign w:val="bottom"/>
          </w:tcPr>
          <w:p w14:paraId="138875AE" w14:textId="77777777" w:rsidR="004124EE" w:rsidRPr="00DB3F11" w:rsidRDefault="004124EE" w:rsidP="004124EE">
            <w:pPr>
              <w:spacing w:before="40" w:after="40"/>
              <w:rPr>
                <w:sz w:val="16"/>
                <w:szCs w:val="16"/>
              </w:rPr>
            </w:pPr>
          </w:p>
        </w:tc>
        <w:tc>
          <w:tcPr>
            <w:tcW w:w="939" w:type="dxa"/>
            <w:vAlign w:val="bottom"/>
          </w:tcPr>
          <w:p w14:paraId="751744D6" w14:textId="77777777" w:rsidR="004124EE" w:rsidRPr="00DB3F11" w:rsidRDefault="004124EE" w:rsidP="004124EE">
            <w:pPr>
              <w:spacing w:before="40" w:after="40"/>
              <w:jc w:val="right"/>
              <w:rPr>
                <w:sz w:val="16"/>
                <w:szCs w:val="16"/>
              </w:rPr>
            </w:pPr>
            <w:r w:rsidRPr="00B02BA3">
              <w:rPr>
                <w:sz w:val="17"/>
              </w:rPr>
              <w:t>—</w:t>
            </w:r>
          </w:p>
        </w:tc>
        <w:tc>
          <w:tcPr>
            <w:tcW w:w="266" w:type="dxa"/>
            <w:vAlign w:val="bottom"/>
          </w:tcPr>
          <w:p w14:paraId="18B8C187" w14:textId="77777777" w:rsidR="004124EE" w:rsidRPr="000D2863" w:rsidRDefault="004124EE" w:rsidP="004124EE">
            <w:pPr>
              <w:spacing w:before="40" w:after="40"/>
              <w:rPr>
                <w:sz w:val="17"/>
                <w:szCs w:val="17"/>
              </w:rPr>
            </w:pPr>
          </w:p>
        </w:tc>
      </w:tr>
      <w:tr w:rsidR="004124EE" w:rsidRPr="00E834EF" w14:paraId="1BDB4C81" w14:textId="77777777" w:rsidTr="009842D3">
        <w:tc>
          <w:tcPr>
            <w:tcW w:w="3254" w:type="dxa"/>
            <w:vAlign w:val="center"/>
          </w:tcPr>
          <w:p w14:paraId="285F3A56" w14:textId="77777777" w:rsidR="004124EE" w:rsidRPr="00E754AA" w:rsidRDefault="008D70E0" w:rsidP="004124EE">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4124EE" w:rsidRPr="0054596C">
              <w:rPr>
                <w:sz w:val="17"/>
              </w:rPr>
              <w:tab/>
            </w:r>
          </w:p>
        </w:tc>
        <w:tc>
          <w:tcPr>
            <w:tcW w:w="242" w:type="dxa"/>
            <w:vAlign w:val="bottom"/>
          </w:tcPr>
          <w:p w14:paraId="684DAD5D" w14:textId="77777777" w:rsidR="004124EE" w:rsidRPr="00E834EF" w:rsidRDefault="004124EE" w:rsidP="004124EE">
            <w:pPr>
              <w:spacing w:before="40" w:after="40"/>
              <w:rPr>
                <w:sz w:val="17"/>
                <w:szCs w:val="17"/>
              </w:rPr>
            </w:pPr>
          </w:p>
        </w:tc>
        <w:tc>
          <w:tcPr>
            <w:tcW w:w="913" w:type="dxa"/>
            <w:vAlign w:val="bottom"/>
          </w:tcPr>
          <w:p w14:paraId="0700BB81" w14:textId="77777777" w:rsidR="004124EE" w:rsidRPr="00DB3F11" w:rsidRDefault="004124EE" w:rsidP="004124EE">
            <w:pPr>
              <w:spacing w:before="40" w:after="40"/>
              <w:jc w:val="right"/>
              <w:rPr>
                <w:color w:val="000000"/>
                <w:sz w:val="16"/>
                <w:szCs w:val="16"/>
              </w:rPr>
            </w:pPr>
            <w:r>
              <w:rPr>
                <w:sz w:val="17"/>
              </w:rPr>
              <w:t>0.2</w:t>
            </w:r>
          </w:p>
        </w:tc>
        <w:tc>
          <w:tcPr>
            <w:tcW w:w="252" w:type="dxa"/>
            <w:gridSpan w:val="2"/>
            <w:vAlign w:val="bottom"/>
          </w:tcPr>
          <w:p w14:paraId="4225FADC" w14:textId="77777777" w:rsidR="004124EE" w:rsidRPr="00DB3F11" w:rsidRDefault="004124EE" w:rsidP="004124EE">
            <w:pPr>
              <w:spacing w:before="40" w:after="40"/>
              <w:rPr>
                <w:color w:val="000000"/>
                <w:sz w:val="16"/>
                <w:szCs w:val="16"/>
              </w:rPr>
            </w:pPr>
          </w:p>
        </w:tc>
        <w:tc>
          <w:tcPr>
            <w:tcW w:w="924" w:type="dxa"/>
            <w:vAlign w:val="bottom"/>
          </w:tcPr>
          <w:p w14:paraId="4615B033" w14:textId="77777777" w:rsidR="004124EE" w:rsidRPr="00DB3F11" w:rsidRDefault="004124EE" w:rsidP="004124EE">
            <w:pPr>
              <w:spacing w:before="40" w:after="40"/>
              <w:jc w:val="right"/>
              <w:rPr>
                <w:color w:val="000000"/>
                <w:sz w:val="16"/>
                <w:szCs w:val="16"/>
              </w:rPr>
            </w:pPr>
            <w:r>
              <w:rPr>
                <w:color w:val="000000"/>
                <w:sz w:val="16"/>
                <w:szCs w:val="16"/>
              </w:rPr>
              <w:t>1.1</w:t>
            </w:r>
          </w:p>
        </w:tc>
        <w:tc>
          <w:tcPr>
            <w:tcW w:w="242" w:type="dxa"/>
            <w:vAlign w:val="bottom"/>
          </w:tcPr>
          <w:p w14:paraId="49156C0B" w14:textId="77777777" w:rsidR="004124EE" w:rsidRPr="00DB3F11" w:rsidRDefault="004124EE" w:rsidP="004124EE">
            <w:pPr>
              <w:spacing w:before="40" w:after="40"/>
              <w:rPr>
                <w:color w:val="000000"/>
                <w:sz w:val="16"/>
                <w:szCs w:val="16"/>
              </w:rPr>
            </w:pPr>
          </w:p>
        </w:tc>
        <w:tc>
          <w:tcPr>
            <w:tcW w:w="924" w:type="dxa"/>
            <w:vAlign w:val="bottom"/>
          </w:tcPr>
          <w:p w14:paraId="55DEC1D4" w14:textId="77777777" w:rsidR="004124EE" w:rsidRPr="00DB3F11" w:rsidRDefault="004124EE" w:rsidP="004124EE">
            <w:pPr>
              <w:spacing w:before="40" w:after="40"/>
              <w:jc w:val="right"/>
              <w:rPr>
                <w:color w:val="000000"/>
                <w:sz w:val="16"/>
                <w:szCs w:val="16"/>
              </w:rPr>
            </w:pPr>
            <w:r>
              <w:rPr>
                <w:color w:val="000000"/>
                <w:sz w:val="16"/>
                <w:szCs w:val="16"/>
              </w:rPr>
              <w:t>55.9</w:t>
            </w:r>
          </w:p>
        </w:tc>
        <w:tc>
          <w:tcPr>
            <w:tcW w:w="242" w:type="dxa"/>
            <w:vAlign w:val="bottom"/>
          </w:tcPr>
          <w:p w14:paraId="5DBEC811" w14:textId="77777777" w:rsidR="004124EE" w:rsidRPr="00DB3F11" w:rsidRDefault="004124EE" w:rsidP="004124EE">
            <w:pPr>
              <w:spacing w:before="40" w:after="40"/>
              <w:rPr>
                <w:sz w:val="16"/>
                <w:szCs w:val="16"/>
              </w:rPr>
            </w:pPr>
          </w:p>
        </w:tc>
        <w:tc>
          <w:tcPr>
            <w:tcW w:w="924" w:type="dxa"/>
            <w:vAlign w:val="bottom"/>
          </w:tcPr>
          <w:p w14:paraId="7B0E1D26" w14:textId="77777777" w:rsidR="004124EE" w:rsidRPr="00DB3F11" w:rsidRDefault="004124EE" w:rsidP="004124EE">
            <w:pPr>
              <w:spacing w:before="40" w:after="40"/>
              <w:jc w:val="right"/>
              <w:rPr>
                <w:sz w:val="16"/>
                <w:szCs w:val="16"/>
              </w:rPr>
            </w:pPr>
            <w:r>
              <w:rPr>
                <w:sz w:val="16"/>
                <w:szCs w:val="16"/>
              </w:rPr>
              <w:t>8.9</w:t>
            </w:r>
          </w:p>
        </w:tc>
        <w:tc>
          <w:tcPr>
            <w:tcW w:w="227" w:type="dxa"/>
            <w:vAlign w:val="bottom"/>
          </w:tcPr>
          <w:p w14:paraId="67812700" w14:textId="77777777" w:rsidR="004124EE" w:rsidRPr="00DB3F11" w:rsidRDefault="004124EE" w:rsidP="004124EE">
            <w:pPr>
              <w:spacing w:before="40" w:after="40"/>
              <w:rPr>
                <w:sz w:val="16"/>
                <w:szCs w:val="16"/>
              </w:rPr>
            </w:pPr>
          </w:p>
        </w:tc>
        <w:tc>
          <w:tcPr>
            <w:tcW w:w="939" w:type="dxa"/>
            <w:vAlign w:val="bottom"/>
          </w:tcPr>
          <w:p w14:paraId="60C20FED" w14:textId="77777777" w:rsidR="004124EE" w:rsidRPr="00DB3F11" w:rsidRDefault="004124EE" w:rsidP="004124EE">
            <w:pPr>
              <w:spacing w:before="40" w:after="40"/>
              <w:jc w:val="right"/>
              <w:rPr>
                <w:sz w:val="16"/>
                <w:szCs w:val="16"/>
              </w:rPr>
            </w:pPr>
            <w:r w:rsidRPr="00B02BA3">
              <w:rPr>
                <w:sz w:val="17"/>
              </w:rPr>
              <w:t>—</w:t>
            </w:r>
          </w:p>
        </w:tc>
        <w:tc>
          <w:tcPr>
            <w:tcW w:w="266" w:type="dxa"/>
            <w:vAlign w:val="bottom"/>
          </w:tcPr>
          <w:p w14:paraId="0FE9EAA4" w14:textId="77777777" w:rsidR="004124EE" w:rsidRPr="000D2863" w:rsidRDefault="004124EE" w:rsidP="004124EE">
            <w:pPr>
              <w:spacing w:before="40" w:after="40"/>
              <w:rPr>
                <w:sz w:val="17"/>
                <w:szCs w:val="17"/>
              </w:rPr>
            </w:pPr>
          </w:p>
        </w:tc>
      </w:tr>
      <w:tr w:rsidR="004124EE" w:rsidRPr="00E834EF" w14:paraId="449DD04D" w14:textId="77777777" w:rsidTr="009842D3">
        <w:tc>
          <w:tcPr>
            <w:tcW w:w="3254" w:type="dxa"/>
            <w:vAlign w:val="center"/>
          </w:tcPr>
          <w:p w14:paraId="4712A9CF" w14:textId="77777777" w:rsidR="004124EE" w:rsidRPr="00E754AA" w:rsidRDefault="004124EE" w:rsidP="004124EE">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320945D6" w14:textId="77777777" w:rsidR="004124EE" w:rsidRPr="00E834EF" w:rsidRDefault="004124EE" w:rsidP="004124EE">
            <w:pPr>
              <w:spacing w:before="40" w:after="40"/>
              <w:rPr>
                <w:sz w:val="17"/>
                <w:szCs w:val="17"/>
              </w:rPr>
            </w:pPr>
          </w:p>
        </w:tc>
        <w:tc>
          <w:tcPr>
            <w:tcW w:w="913" w:type="dxa"/>
            <w:vAlign w:val="bottom"/>
          </w:tcPr>
          <w:p w14:paraId="28C90234" w14:textId="77777777" w:rsidR="004124EE" w:rsidRPr="00DB3F11" w:rsidRDefault="004124EE" w:rsidP="004124EE">
            <w:pPr>
              <w:spacing w:before="40" w:after="40"/>
              <w:jc w:val="right"/>
              <w:rPr>
                <w:color w:val="000000"/>
                <w:sz w:val="16"/>
                <w:szCs w:val="16"/>
              </w:rPr>
            </w:pPr>
            <w:r w:rsidRPr="00B02BA3">
              <w:rPr>
                <w:sz w:val="17"/>
              </w:rPr>
              <w:t>—</w:t>
            </w:r>
          </w:p>
        </w:tc>
        <w:tc>
          <w:tcPr>
            <w:tcW w:w="252" w:type="dxa"/>
            <w:gridSpan w:val="2"/>
            <w:vAlign w:val="bottom"/>
          </w:tcPr>
          <w:p w14:paraId="4266481A" w14:textId="77777777" w:rsidR="004124EE" w:rsidRPr="00DB3F11" w:rsidRDefault="004124EE" w:rsidP="004124EE">
            <w:pPr>
              <w:spacing w:before="40" w:after="40"/>
              <w:rPr>
                <w:color w:val="000000"/>
                <w:sz w:val="16"/>
                <w:szCs w:val="16"/>
              </w:rPr>
            </w:pPr>
          </w:p>
        </w:tc>
        <w:tc>
          <w:tcPr>
            <w:tcW w:w="924" w:type="dxa"/>
            <w:vAlign w:val="bottom"/>
          </w:tcPr>
          <w:p w14:paraId="68E8E4A9" w14:textId="77777777" w:rsidR="004124EE" w:rsidRPr="00DB3F11" w:rsidRDefault="004124EE" w:rsidP="004124EE">
            <w:pPr>
              <w:spacing w:before="40" w:after="40"/>
              <w:jc w:val="right"/>
              <w:rPr>
                <w:color w:val="000000"/>
                <w:sz w:val="16"/>
                <w:szCs w:val="16"/>
              </w:rPr>
            </w:pPr>
            <w:r w:rsidRPr="00B02BA3">
              <w:rPr>
                <w:sz w:val="17"/>
              </w:rPr>
              <w:t>—</w:t>
            </w:r>
          </w:p>
        </w:tc>
        <w:tc>
          <w:tcPr>
            <w:tcW w:w="242" w:type="dxa"/>
            <w:vAlign w:val="bottom"/>
          </w:tcPr>
          <w:p w14:paraId="499911B8" w14:textId="77777777" w:rsidR="004124EE" w:rsidRPr="00DB3F11" w:rsidRDefault="004124EE" w:rsidP="004124EE">
            <w:pPr>
              <w:spacing w:before="40" w:after="40"/>
              <w:rPr>
                <w:color w:val="000000"/>
                <w:sz w:val="16"/>
                <w:szCs w:val="16"/>
              </w:rPr>
            </w:pPr>
          </w:p>
        </w:tc>
        <w:tc>
          <w:tcPr>
            <w:tcW w:w="924" w:type="dxa"/>
            <w:vAlign w:val="bottom"/>
          </w:tcPr>
          <w:p w14:paraId="10499005" w14:textId="77777777" w:rsidR="004124EE" w:rsidRPr="00DB3F11" w:rsidRDefault="004124EE" w:rsidP="004124EE">
            <w:pPr>
              <w:spacing w:before="40" w:after="40"/>
              <w:jc w:val="right"/>
              <w:rPr>
                <w:color w:val="000000"/>
                <w:sz w:val="16"/>
                <w:szCs w:val="16"/>
              </w:rPr>
            </w:pPr>
            <w:r w:rsidRPr="00B02BA3">
              <w:rPr>
                <w:sz w:val="17"/>
              </w:rPr>
              <w:t>—</w:t>
            </w:r>
          </w:p>
        </w:tc>
        <w:tc>
          <w:tcPr>
            <w:tcW w:w="242" w:type="dxa"/>
            <w:vAlign w:val="bottom"/>
          </w:tcPr>
          <w:p w14:paraId="7126D0ED" w14:textId="77777777" w:rsidR="004124EE" w:rsidRPr="00DB3F11" w:rsidRDefault="004124EE" w:rsidP="004124EE">
            <w:pPr>
              <w:spacing w:before="40" w:after="40"/>
              <w:rPr>
                <w:sz w:val="16"/>
                <w:szCs w:val="16"/>
              </w:rPr>
            </w:pPr>
          </w:p>
        </w:tc>
        <w:tc>
          <w:tcPr>
            <w:tcW w:w="924" w:type="dxa"/>
            <w:vAlign w:val="bottom"/>
          </w:tcPr>
          <w:p w14:paraId="792A0E61" w14:textId="77777777" w:rsidR="004124EE" w:rsidRPr="00DB3F11" w:rsidRDefault="004124EE" w:rsidP="004124EE">
            <w:pPr>
              <w:spacing w:before="40" w:after="40"/>
              <w:jc w:val="right"/>
              <w:rPr>
                <w:sz w:val="16"/>
                <w:szCs w:val="16"/>
              </w:rPr>
            </w:pPr>
            <w:r w:rsidRPr="00B02BA3">
              <w:rPr>
                <w:sz w:val="17"/>
              </w:rPr>
              <w:t>—</w:t>
            </w:r>
          </w:p>
        </w:tc>
        <w:tc>
          <w:tcPr>
            <w:tcW w:w="227" w:type="dxa"/>
            <w:vAlign w:val="bottom"/>
          </w:tcPr>
          <w:p w14:paraId="5D7689DC" w14:textId="77777777" w:rsidR="004124EE" w:rsidRPr="00DB3F11" w:rsidRDefault="004124EE" w:rsidP="004124EE">
            <w:pPr>
              <w:spacing w:before="40" w:after="40"/>
              <w:rPr>
                <w:sz w:val="16"/>
                <w:szCs w:val="16"/>
              </w:rPr>
            </w:pPr>
          </w:p>
        </w:tc>
        <w:tc>
          <w:tcPr>
            <w:tcW w:w="939" w:type="dxa"/>
            <w:vAlign w:val="bottom"/>
          </w:tcPr>
          <w:p w14:paraId="2793A90C" w14:textId="77777777" w:rsidR="004124EE" w:rsidRPr="00DB3F11" w:rsidRDefault="004124EE" w:rsidP="004124EE">
            <w:pPr>
              <w:spacing w:before="40" w:after="40"/>
              <w:jc w:val="right"/>
              <w:rPr>
                <w:sz w:val="16"/>
                <w:szCs w:val="16"/>
              </w:rPr>
            </w:pPr>
            <w:r w:rsidRPr="00B02BA3">
              <w:rPr>
                <w:sz w:val="17"/>
              </w:rPr>
              <w:t>—</w:t>
            </w:r>
          </w:p>
        </w:tc>
        <w:tc>
          <w:tcPr>
            <w:tcW w:w="266" w:type="dxa"/>
            <w:vAlign w:val="bottom"/>
          </w:tcPr>
          <w:p w14:paraId="66C8E8F4" w14:textId="77777777" w:rsidR="004124EE" w:rsidRPr="000D2863" w:rsidRDefault="004124EE" w:rsidP="004124EE">
            <w:pPr>
              <w:spacing w:before="40" w:after="40"/>
              <w:rPr>
                <w:sz w:val="17"/>
                <w:szCs w:val="17"/>
              </w:rPr>
            </w:pPr>
          </w:p>
        </w:tc>
      </w:tr>
      <w:tr w:rsidR="004124EE" w:rsidRPr="00E834EF" w14:paraId="73FF6012" w14:textId="77777777" w:rsidTr="009842D3">
        <w:tc>
          <w:tcPr>
            <w:tcW w:w="3254" w:type="dxa"/>
            <w:vAlign w:val="bottom"/>
          </w:tcPr>
          <w:p w14:paraId="754CF6E1" w14:textId="77777777" w:rsidR="004124EE" w:rsidRPr="00E754AA" w:rsidRDefault="004124EE" w:rsidP="004124EE">
            <w:pPr>
              <w:tabs>
                <w:tab w:val="right" w:leader="dot" w:pos="3255"/>
              </w:tabs>
              <w:bidi/>
              <w:spacing w:before="40" w:after="40"/>
              <w:ind w:left="357"/>
              <w:rPr>
                <w:sz w:val="17"/>
                <w:szCs w:val="17"/>
              </w:rPr>
            </w:pPr>
            <w:r>
              <w:rPr>
                <w:rFonts w:hint="cs"/>
                <w:sz w:val="17"/>
                <w:szCs w:val="17"/>
                <w:rtl/>
              </w:rPr>
              <w:lastRenderedPageBreak/>
              <w:t>إلغاء ضعف القيمة (الخسارة) على الأصول المالية والتعاقدية</w:t>
            </w:r>
            <w:r w:rsidRPr="00E754AA">
              <w:rPr>
                <w:sz w:val="17"/>
                <w:szCs w:val="17"/>
              </w:rPr>
              <w:tab/>
            </w:r>
          </w:p>
        </w:tc>
        <w:tc>
          <w:tcPr>
            <w:tcW w:w="242" w:type="dxa"/>
            <w:vAlign w:val="bottom"/>
          </w:tcPr>
          <w:p w14:paraId="24A81EEF" w14:textId="77777777" w:rsidR="004124EE" w:rsidRPr="00E754AA" w:rsidRDefault="004124EE" w:rsidP="004124EE">
            <w:pPr>
              <w:spacing w:before="40" w:after="40"/>
              <w:rPr>
                <w:sz w:val="17"/>
                <w:szCs w:val="17"/>
              </w:rPr>
            </w:pPr>
          </w:p>
        </w:tc>
        <w:tc>
          <w:tcPr>
            <w:tcW w:w="913" w:type="dxa"/>
            <w:vAlign w:val="bottom"/>
          </w:tcPr>
          <w:p w14:paraId="60B780C7" w14:textId="77777777" w:rsidR="004124EE" w:rsidRPr="00DB3F11" w:rsidRDefault="003449F7" w:rsidP="004124EE">
            <w:pPr>
              <w:spacing w:before="40" w:after="40"/>
              <w:jc w:val="right"/>
              <w:rPr>
                <w:color w:val="000000"/>
                <w:sz w:val="16"/>
                <w:szCs w:val="16"/>
              </w:rPr>
            </w:pPr>
            <w:r>
              <w:rPr>
                <w:sz w:val="17"/>
              </w:rPr>
              <w:t>(</w:t>
            </w:r>
            <w:r w:rsidR="004124EE">
              <w:rPr>
                <w:sz w:val="17"/>
              </w:rPr>
              <w:t>0.3</w:t>
            </w:r>
            <w:r>
              <w:rPr>
                <w:sz w:val="17"/>
              </w:rPr>
              <w:t>)</w:t>
            </w:r>
          </w:p>
        </w:tc>
        <w:tc>
          <w:tcPr>
            <w:tcW w:w="252" w:type="dxa"/>
            <w:gridSpan w:val="2"/>
            <w:vAlign w:val="bottom"/>
          </w:tcPr>
          <w:p w14:paraId="7AD436D8" w14:textId="77777777" w:rsidR="004124EE" w:rsidRPr="00DB3F11" w:rsidRDefault="004124EE" w:rsidP="004124EE">
            <w:pPr>
              <w:spacing w:before="40" w:after="40"/>
              <w:rPr>
                <w:color w:val="000000"/>
                <w:sz w:val="16"/>
                <w:szCs w:val="16"/>
              </w:rPr>
            </w:pPr>
            <w:r>
              <w:rPr>
                <w:color w:val="000000"/>
                <w:sz w:val="16"/>
                <w:szCs w:val="16"/>
              </w:rPr>
              <w:t>)</w:t>
            </w:r>
          </w:p>
        </w:tc>
        <w:tc>
          <w:tcPr>
            <w:tcW w:w="924" w:type="dxa"/>
            <w:vAlign w:val="bottom"/>
          </w:tcPr>
          <w:p w14:paraId="3A48F388" w14:textId="77777777" w:rsidR="004124EE" w:rsidRPr="00DB3F11" w:rsidRDefault="004124EE" w:rsidP="004124EE">
            <w:pPr>
              <w:spacing w:before="40" w:after="40"/>
              <w:jc w:val="right"/>
              <w:rPr>
                <w:color w:val="000000"/>
                <w:sz w:val="16"/>
                <w:szCs w:val="16"/>
              </w:rPr>
            </w:pPr>
            <w:r>
              <w:rPr>
                <w:color w:val="000000"/>
                <w:sz w:val="16"/>
                <w:szCs w:val="16"/>
              </w:rPr>
              <w:t>(0.6</w:t>
            </w:r>
          </w:p>
        </w:tc>
        <w:tc>
          <w:tcPr>
            <w:tcW w:w="242" w:type="dxa"/>
            <w:vAlign w:val="bottom"/>
          </w:tcPr>
          <w:p w14:paraId="1BB37403" w14:textId="77777777" w:rsidR="004124EE" w:rsidRPr="00DB3F11" w:rsidRDefault="004124EE" w:rsidP="004124EE">
            <w:pPr>
              <w:spacing w:before="40" w:after="40"/>
              <w:rPr>
                <w:color w:val="000000"/>
                <w:sz w:val="16"/>
                <w:szCs w:val="16"/>
              </w:rPr>
            </w:pPr>
            <w:r>
              <w:rPr>
                <w:color w:val="000000"/>
                <w:sz w:val="16"/>
                <w:szCs w:val="16"/>
              </w:rPr>
              <w:t>)</w:t>
            </w:r>
          </w:p>
        </w:tc>
        <w:tc>
          <w:tcPr>
            <w:tcW w:w="924" w:type="dxa"/>
            <w:vAlign w:val="bottom"/>
          </w:tcPr>
          <w:p w14:paraId="4E765521" w14:textId="77777777" w:rsidR="004124EE" w:rsidRPr="00DB3F11" w:rsidRDefault="004124EE" w:rsidP="004124EE">
            <w:pPr>
              <w:spacing w:before="40" w:after="40"/>
              <w:jc w:val="right"/>
              <w:rPr>
                <w:color w:val="000000"/>
                <w:sz w:val="16"/>
                <w:szCs w:val="16"/>
              </w:rPr>
            </w:pPr>
            <w:r>
              <w:rPr>
                <w:color w:val="000000"/>
                <w:sz w:val="16"/>
                <w:szCs w:val="16"/>
              </w:rPr>
              <w:t>0.4</w:t>
            </w:r>
          </w:p>
        </w:tc>
        <w:tc>
          <w:tcPr>
            <w:tcW w:w="242" w:type="dxa"/>
            <w:vAlign w:val="bottom"/>
          </w:tcPr>
          <w:p w14:paraId="2CACBC1D" w14:textId="77777777" w:rsidR="004124EE" w:rsidRPr="00DB3F11" w:rsidRDefault="004124EE" w:rsidP="004124EE">
            <w:pPr>
              <w:spacing w:before="40" w:after="40"/>
              <w:rPr>
                <w:sz w:val="16"/>
                <w:szCs w:val="16"/>
              </w:rPr>
            </w:pPr>
          </w:p>
        </w:tc>
        <w:tc>
          <w:tcPr>
            <w:tcW w:w="924" w:type="dxa"/>
            <w:vAlign w:val="bottom"/>
          </w:tcPr>
          <w:p w14:paraId="79B9784D" w14:textId="77777777" w:rsidR="004124EE" w:rsidRPr="00DB3F11" w:rsidRDefault="004124EE" w:rsidP="004124EE">
            <w:pPr>
              <w:spacing w:before="40" w:after="40"/>
              <w:jc w:val="right"/>
              <w:rPr>
                <w:sz w:val="16"/>
                <w:szCs w:val="16"/>
              </w:rPr>
            </w:pPr>
            <w:r w:rsidRPr="00B02BA3">
              <w:rPr>
                <w:sz w:val="17"/>
              </w:rPr>
              <w:t>—</w:t>
            </w:r>
          </w:p>
        </w:tc>
        <w:tc>
          <w:tcPr>
            <w:tcW w:w="227" w:type="dxa"/>
            <w:vAlign w:val="bottom"/>
          </w:tcPr>
          <w:p w14:paraId="5B492505" w14:textId="77777777" w:rsidR="004124EE" w:rsidRPr="00DB3F11" w:rsidRDefault="004124EE" w:rsidP="004124EE">
            <w:pPr>
              <w:spacing w:before="40" w:after="40"/>
              <w:rPr>
                <w:sz w:val="16"/>
                <w:szCs w:val="16"/>
              </w:rPr>
            </w:pPr>
            <w:r>
              <w:rPr>
                <w:sz w:val="16"/>
                <w:szCs w:val="16"/>
              </w:rPr>
              <w:t>)</w:t>
            </w:r>
          </w:p>
        </w:tc>
        <w:tc>
          <w:tcPr>
            <w:tcW w:w="939" w:type="dxa"/>
            <w:vAlign w:val="bottom"/>
          </w:tcPr>
          <w:p w14:paraId="201E252F" w14:textId="77777777" w:rsidR="004124EE" w:rsidRPr="00DB3F11" w:rsidRDefault="004124EE" w:rsidP="004124EE">
            <w:pPr>
              <w:spacing w:before="40" w:after="40"/>
              <w:jc w:val="right"/>
              <w:rPr>
                <w:sz w:val="16"/>
                <w:szCs w:val="16"/>
              </w:rPr>
            </w:pPr>
            <w:r>
              <w:rPr>
                <w:sz w:val="16"/>
                <w:szCs w:val="16"/>
              </w:rPr>
              <w:t>(0.4</w:t>
            </w:r>
          </w:p>
        </w:tc>
        <w:tc>
          <w:tcPr>
            <w:tcW w:w="266" w:type="dxa"/>
            <w:vAlign w:val="bottom"/>
          </w:tcPr>
          <w:p w14:paraId="3F8532EC" w14:textId="77777777" w:rsidR="004124EE" w:rsidRPr="000D2863" w:rsidRDefault="004124EE" w:rsidP="004124EE">
            <w:pPr>
              <w:spacing w:before="40" w:after="40"/>
              <w:rPr>
                <w:sz w:val="17"/>
                <w:szCs w:val="17"/>
              </w:rPr>
            </w:pPr>
          </w:p>
        </w:tc>
      </w:tr>
      <w:tr w:rsidR="004124EE" w:rsidRPr="00E834EF" w14:paraId="2AAF9BCD" w14:textId="77777777" w:rsidTr="009842D3">
        <w:tc>
          <w:tcPr>
            <w:tcW w:w="3254" w:type="dxa"/>
            <w:vAlign w:val="center"/>
          </w:tcPr>
          <w:p w14:paraId="271598AA" w14:textId="77777777" w:rsidR="004124EE" w:rsidRPr="00E754AA" w:rsidRDefault="004124EE" w:rsidP="004124EE">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028E6AA2" w14:textId="77777777" w:rsidR="004124EE" w:rsidRPr="00E834EF" w:rsidRDefault="004124EE" w:rsidP="004124EE">
            <w:pPr>
              <w:spacing w:before="40" w:after="40"/>
              <w:rPr>
                <w:sz w:val="17"/>
                <w:szCs w:val="17"/>
              </w:rPr>
            </w:pPr>
            <w:r>
              <w:rPr>
                <w:sz w:val="17"/>
                <w:szCs w:val="17"/>
              </w:rPr>
              <w:t>)</w:t>
            </w:r>
          </w:p>
        </w:tc>
        <w:tc>
          <w:tcPr>
            <w:tcW w:w="913" w:type="dxa"/>
            <w:vAlign w:val="bottom"/>
          </w:tcPr>
          <w:p w14:paraId="2C9D7729" w14:textId="77777777" w:rsidR="004124EE" w:rsidRPr="00DB3F11" w:rsidRDefault="004124EE" w:rsidP="004124EE">
            <w:pPr>
              <w:spacing w:before="40" w:after="40"/>
              <w:jc w:val="right"/>
              <w:rPr>
                <w:color w:val="000000"/>
                <w:sz w:val="16"/>
                <w:szCs w:val="16"/>
              </w:rPr>
            </w:pPr>
            <w:r>
              <w:rPr>
                <w:color w:val="000000"/>
                <w:sz w:val="16"/>
                <w:szCs w:val="16"/>
              </w:rPr>
              <w:t>(4.5</w:t>
            </w:r>
          </w:p>
        </w:tc>
        <w:tc>
          <w:tcPr>
            <w:tcW w:w="252" w:type="dxa"/>
            <w:gridSpan w:val="2"/>
            <w:vAlign w:val="bottom"/>
          </w:tcPr>
          <w:p w14:paraId="2FF11D1D" w14:textId="77777777" w:rsidR="004124EE" w:rsidRPr="00DB3F11" w:rsidRDefault="004124EE" w:rsidP="004124EE">
            <w:pPr>
              <w:spacing w:before="40" w:after="40"/>
              <w:rPr>
                <w:color w:val="000000"/>
                <w:sz w:val="16"/>
                <w:szCs w:val="16"/>
              </w:rPr>
            </w:pPr>
            <w:r>
              <w:rPr>
                <w:color w:val="000000"/>
                <w:sz w:val="16"/>
                <w:szCs w:val="16"/>
              </w:rPr>
              <w:t>)</w:t>
            </w:r>
          </w:p>
        </w:tc>
        <w:tc>
          <w:tcPr>
            <w:tcW w:w="924" w:type="dxa"/>
            <w:vAlign w:val="bottom"/>
          </w:tcPr>
          <w:p w14:paraId="4FF6BB60" w14:textId="77777777" w:rsidR="004124EE" w:rsidRPr="00DB3F11" w:rsidRDefault="004124EE" w:rsidP="004124EE">
            <w:pPr>
              <w:spacing w:before="40" w:after="40"/>
              <w:jc w:val="right"/>
              <w:rPr>
                <w:color w:val="000000"/>
                <w:sz w:val="16"/>
                <w:szCs w:val="16"/>
              </w:rPr>
            </w:pPr>
            <w:r>
              <w:rPr>
                <w:color w:val="000000"/>
                <w:sz w:val="16"/>
                <w:szCs w:val="16"/>
              </w:rPr>
              <w:t>(8.8</w:t>
            </w:r>
          </w:p>
        </w:tc>
        <w:tc>
          <w:tcPr>
            <w:tcW w:w="242" w:type="dxa"/>
            <w:vAlign w:val="bottom"/>
          </w:tcPr>
          <w:p w14:paraId="477F238C" w14:textId="77777777" w:rsidR="004124EE" w:rsidRPr="00DB3F11" w:rsidRDefault="004124EE" w:rsidP="004124EE">
            <w:pPr>
              <w:spacing w:before="40" w:after="40"/>
              <w:rPr>
                <w:color w:val="000000"/>
                <w:sz w:val="16"/>
                <w:szCs w:val="16"/>
              </w:rPr>
            </w:pPr>
            <w:r>
              <w:rPr>
                <w:color w:val="000000"/>
                <w:sz w:val="16"/>
                <w:szCs w:val="16"/>
              </w:rPr>
              <w:t>)</w:t>
            </w:r>
          </w:p>
        </w:tc>
        <w:tc>
          <w:tcPr>
            <w:tcW w:w="924" w:type="dxa"/>
            <w:vAlign w:val="bottom"/>
          </w:tcPr>
          <w:p w14:paraId="73838B3F" w14:textId="77777777" w:rsidR="004124EE" w:rsidRPr="00DB3F11" w:rsidRDefault="004124EE" w:rsidP="004124EE">
            <w:pPr>
              <w:spacing w:before="40" w:after="40"/>
              <w:jc w:val="right"/>
              <w:rPr>
                <w:color w:val="000000"/>
                <w:sz w:val="16"/>
                <w:szCs w:val="16"/>
              </w:rPr>
            </w:pPr>
            <w:r>
              <w:rPr>
                <w:color w:val="000000"/>
                <w:sz w:val="16"/>
                <w:szCs w:val="16"/>
              </w:rPr>
              <w:t>(8.0</w:t>
            </w:r>
          </w:p>
        </w:tc>
        <w:tc>
          <w:tcPr>
            <w:tcW w:w="242" w:type="dxa"/>
            <w:vAlign w:val="bottom"/>
          </w:tcPr>
          <w:p w14:paraId="1881E47A" w14:textId="77777777" w:rsidR="004124EE" w:rsidRPr="00DB3F11" w:rsidRDefault="004124EE" w:rsidP="004124EE">
            <w:pPr>
              <w:spacing w:before="40" w:after="40"/>
              <w:rPr>
                <w:sz w:val="16"/>
                <w:szCs w:val="16"/>
              </w:rPr>
            </w:pPr>
            <w:r>
              <w:rPr>
                <w:sz w:val="16"/>
                <w:szCs w:val="16"/>
              </w:rPr>
              <w:t>)</w:t>
            </w:r>
          </w:p>
        </w:tc>
        <w:tc>
          <w:tcPr>
            <w:tcW w:w="924" w:type="dxa"/>
            <w:vAlign w:val="bottom"/>
          </w:tcPr>
          <w:p w14:paraId="4A26E813" w14:textId="77777777" w:rsidR="004124EE" w:rsidRPr="00DB3F11" w:rsidRDefault="004124EE" w:rsidP="004124EE">
            <w:pPr>
              <w:spacing w:before="40" w:after="40"/>
              <w:jc w:val="right"/>
              <w:rPr>
                <w:sz w:val="16"/>
                <w:szCs w:val="16"/>
              </w:rPr>
            </w:pPr>
            <w:r>
              <w:rPr>
                <w:sz w:val="16"/>
                <w:szCs w:val="16"/>
              </w:rPr>
              <w:t>(6.4</w:t>
            </w:r>
          </w:p>
        </w:tc>
        <w:tc>
          <w:tcPr>
            <w:tcW w:w="227" w:type="dxa"/>
            <w:vAlign w:val="bottom"/>
          </w:tcPr>
          <w:p w14:paraId="51A1ECE1" w14:textId="77777777" w:rsidR="004124EE" w:rsidRPr="00DB3F11" w:rsidRDefault="004124EE" w:rsidP="004124EE">
            <w:pPr>
              <w:spacing w:before="40" w:after="40"/>
              <w:rPr>
                <w:sz w:val="16"/>
                <w:szCs w:val="16"/>
              </w:rPr>
            </w:pPr>
            <w:r>
              <w:rPr>
                <w:sz w:val="16"/>
                <w:szCs w:val="16"/>
              </w:rPr>
              <w:t>)</w:t>
            </w:r>
          </w:p>
        </w:tc>
        <w:tc>
          <w:tcPr>
            <w:tcW w:w="939" w:type="dxa"/>
            <w:vAlign w:val="bottom"/>
          </w:tcPr>
          <w:p w14:paraId="4C09549F" w14:textId="77777777" w:rsidR="004124EE" w:rsidRPr="00DB3F11" w:rsidRDefault="004124EE" w:rsidP="004124EE">
            <w:pPr>
              <w:spacing w:before="40" w:after="40"/>
              <w:jc w:val="right"/>
              <w:rPr>
                <w:sz w:val="16"/>
                <w:szCs w:val="16"/>
              </w:rPr>
            </w:pPr>
            <w:r>
              <w:rPr>
                <w:sz w:val="16"/>
                <w:szCs w:val="16"/>
              </w:rPr>
              <w:t>(3.9</w:t>
            </w:r>
          </w:p>
        </w:tc>
        <w:tc>
          <w:tcPr>
            <w:tcW w:w="266" w:type="dxa"/>
            <w:vAlign w:val="bottom"/>
          </w:tcPr>
          <w:p w14:paraId="1D002C49" w14:textId="77777777" w:rsidR="004124EE" w:rsidRPr="000D2863" w:rsidRDefault="004124EE" w:rsidP="004124EE">
            <w:pPr>
              <w:spacing w:before="40" w:after="40"/>
              <w:rPr>
                <w:sz w:val="17"/>
                <w:szCs w:val="17"/>
              </w:rPr>
            </w:pPr>
          </w:p>
        </w:tc>
      </w:tr>
      <w:tr w:rsidR="004124EE" w:rsidRPr="00E834EF" w14:paraId="00B209BF" w14:textId="77777777" w:rsidTr="009842D3">
        <w:tc>
          <w:tcPr>
            <w:tcW w:w="3254" w:type="dxa"/>
            <w:vAlign w:val="center"/>
          </w:tcPr>
          <w:p w14:paraId="2DF8D28D" w14:textId="77777777" w:rsidR="004124EE" w:rsidRPr="00E754AA" w:rsidRDefault="004124EE" w:rsidP="004124EE">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3DB24536" w14:textId="77777777" w:rsidR="004124EE" w:rsidRPr="00E834EF" w:rsidRDefault="004124EE" w:rsidP="004124EE">
            <w:pPr>
              <w:spacing w:before="40" w:after="40"/>
              <w:rPr>
                <w:sz w:val="17"/>
                <w:szCs w:val="17"/>
              </w:rPr>
            </w:pPr>
            <w:r>
              <w:rPr>
                <w:sz w:val="17"/>
                <w:szCs w:val="17"/>
              </w:rPr>
              <w:t>)</w:t>
            </w:r>
          </w:p>
        </w:tc>
        <w:tc>
          <w:tcPr>
            <w:tcW w:w="913" w:type="dxa"/>
            <w:vAlign w:val="bottom"/>
          </w:tcPr>
          <w:p w14:paraId="7B160839" w14:textId="77777777" w:rsidR="004124EE" w:rsidRPr="00DB3F11" w:rsidRDefault="004124EE" w:rsidP="004124EE">
            <w:pPr>
              <w:spacing w:before="40" w:after="40"/>
              <w:jc w:val="right"/>
              <w:rPr>
                <w:color w:val="000000"/>
                <w:sz w:val="16"/>
                <w:szCs w:val="16"/>
              </w:rPr>
            </w:pPr>
            <w:r>
              <w:rPr>
                <w:sz w:val="17"/>
              </w:rPr>
              <w:t>(0.1</w:t>
            </w:r>
          </w:p>
        </w:tc>
        <w:tc>
          <w:tcPr>
            <w:tcW w:w="252" w:type="dxa"/>
            <w:gridSpan w:val="2"/>
            <w:vAlign w:val="bottom"/>
          </w:tcPr>
          <w:p w14:paraId="17466A38" w14:textId="77777777" w:rsidR="004124EE" w:rsidRPr="00DB3F11" w:rsidRDefault="004124EE" w:rsidP="004124EE">
            <w:pPr>
              <w:spacing w:before="40" w:after="40"/>
              <w:rPr>
                <w:color w:val="000000"/>
                <w:sz w:val="16"/>
                <w:szCs w:val="16"/>
              </w:rPr>
            </w:pPr>
            <w:r>
              <w:rPr>
                <w:color w:val="000000"/>
                <w:sz w:val="16"/>
                <w:szCs w:val="16"/>
              </w:rPr>
              <w:t>)</w:t>
            </w:r>
          </w:p>
        </w:tc>
        <w:tc>
          <w:tcPr>
            <w:tcW w:w="924" w:type="dxa"/>
            <w:vAlign w:val="bottom"/>
          </w:tcPr>
          <w:p w14:paraId="0365B566" w14:textId="77777777" w:rsidR="004124EE" w:rsidRPr="00DB3F11" w:rsidRDefault="004124EE" w:rsidP="004124EE">
            <w:pPr>
              <w:spacing w:before="40" w:after="40"/>
              <w:jc w:val="right"/>
              <w:rPr>
                <w:color w:val="000000"/>
                <w:sz w:val="16"/>
                <w:szCs w:val="16"/>
              </w:rPr>
            </w:pPr>
            <w:r>
              <w:rPr>
                <w:color w:val="000000"/>
                <w:sz w:val="16"/>
                <w:szCs w:val="16"/>
              </w:rPr>
              <w:t>(0.1</w:t>
            </w:r>
          </w:p>
        </w:tc>
        <w:tc>
          <w:tcPr>
            <w:tcW w:w="242" w:type="dxa"/>
            <w:vAlign w:val="bottom"/>
          </w:tcPr>
          <w:p w14:paraId="6FECAF5E" w14:textId="77777777" w:rsidR="004124EE" w:rsidRPr="00DB3F11" w:rsidRDefault="004124EE" w:rsidP="004124EE">
            <w:pPr>
              <w:spacing w:before="40" w:after="40"/>
              <w:rPr>
                <w:color w:val="000000"/>
                <w:sz w:val="16"/>
                <w:szCs w:val="16"/>
              </w:rPr>
            </w:pPr>
            <w:r>
              <w:rPr>
                <w:color w:val="000000"/>
                <w:sz w:val="16"/>
                <w:szCs w:val="16"/>
              </w:rPr>
              <w:t>)</w:t>
            </w:r>
          </w:p>
        </w:tc>
        <w:tc>
          <w:tcPr>
            <w:tcW w:w="924" w:type="dxa"/>
            <w:vAlign w:val="bottom"/>
          </w:tcPr>
          <w:p w14:paraId="66109485" w14:textId="77777777" w:rsidR="004124EE" w:rsidRPr="00DB3F11" w:rsidRDefault="004124EE" w:rsidP="004124EE">
            <w:pPr>
              <w:spacing w:before="40" w:after="40"/>
              <w:jc w:val="right"/>
              <w:rPr>
                <w:color w:val="000000"/>
                <w:sz w:val="16"/>
                <w:szCs w:val="16"/>
              </w:rPr>
            </w:pPr>
            <w:r>
              <w:rPr>
                <w:color w:val="000000"/>
                <w:sz w:val="16"/>
                <w:szCs w:val="16"/>
              </w:rPr>
              <w:t>(0.1</w:t>
            </w:r>
          </w:p>
        </w:tc>
        <w:tc>
          <w:tcPr>
            <w:tcW w:w="242" w:type="dxa"/>
            <w:vAlign w:val="bottom"/>
          </w:tcPr>
          <w:p w14:paraId="251E9766" w14:textId="77777777" w:rsidR="004124EE" w:rsidRPr="00DB3F11" w:rsidRDefault="004124EE" w:rsidP="004124EE">
            <w:pPr>
              <w:spacing w:before="40" w:after="40"/>
              <w:rPr>
                <w:sz w:val="16"/>
                <w:szCs w:val="16"/>
              </w:rPr>
            </w:pPr>
            <w:r>
              <w:rPr>
                <w:sz w:val="16"/>
                <w:szCs w:val="16"/>
              </w:rPr>
              <w:t>)</w:t>
            </w:r>
          </w:p>
        </w:tc>
        <w:tc>
          <w:tcPr>
            <w:tcW w:w="924" w:type="dxa"/>
            <w:vAlign w:val="bottom"/>
          </w:tcPr>
          <w:p w14:paraId="21A2D8CE" w14:textId="77777777" w:rsidR="004124EE" w:rsidRPr="00DB3F11" w:rsidRDefault="004124EE" w:rsidP="004124EE">
            <w:pPr>
              <w:spacing w:before="40" w:after="40"/>
              <w:jc w:val="right"/>
              <w:rPr>
                <w:sz w:val="16"/>
                <w:szCs w:val="16"/>
              </w:rPr>
            </w:pPr>
            <w:r>
              <w:rPr>
                <w:sz w:val="16"/>
                <w:szCs w:val="16"/>
              </w:rPr>
              <w:t>(0.1</w:t>
            </w:r>
          </w:p>
        </w:tc>
        <w:tc>
          <w:tcPr>
            <w:tcW w:w="227" w:type="dxa"/>
            <w:vAlign w:val="bottom"/>
          </w:tcPr>
          <w:p w14:paraId="7F642BE0" w14:textId="77777777" w:rsidR="004124EE" w:rsidRPr="00DB3F11" w:rsidRDefault="004124EE" w:rsidP="004124EE">
            <w:pPr>
              <w:spacing w:before="40" w:after="40"/>
              <w:rPr>
                <w:sz w:val="16"/>
                <w:szCs w:val="16"/>
              </w:rPr>
            </w:pPr>
          </w:p>
        </w:tc>
        <w:tc>
          <w:tcPr>
            <w:tcW w:w="939" w:type="dxa"/>
            <w:vAlign w:val="bottom"/>
          </w:tcPr>
          <w:p w14:paraId="40F436CC" w14:textId="77777777" w:rsidR="004124EE" w:rsidRPr="00DB3F11" w:rsidRDefault="006255D4" w:rsidP="004124EE">
            <w:pPr>
              <w:spacing w:before="40" w:after="40"/>
              <w:jc w:val="right"/>
              <w:rPr>
                <w:sz w:val="16"/>
                <w:szCs w:val="16"/>
              </w:rPr>
            </w:pPr>
            <w:r>
              <w:rPr>
                <w:sz w:val="17"/>
              </w:rPr>
              <w:t>(0.0)</w:t>
            </w:r>
          </w:p>
        </w:tc>
        <w:tc>
          <w:tcPr>
            <w:tcW w:w="266" w:type="dxa"/>
            <w:vAlign w:val="bottom"/>
          </w:tcPr>
          <w:p w14:paraId="73E704DA" w14:textId="77777777" w:rsidR="004124EE" w:rsidRPr="000D2863" w:rsidRDefault="004124EE" w:rsidP="004124EE">
            <w:pPr>
              <w:spacing w:before="40" w:after="40"/>
              <w:rPr>
                <w:sz w:val="17"/>
                <w:szCs w:val="17"/>
              </w:rPr>
            </w:pPr>
          </w:p>
        </w:tc>
      </w:tr>
      <w:tr w:rsidR="004124EE" w:rsidRPr="00E834EF" w14:paraId="3C46D105" w14:textId="77777777" w:rsidTr="009842D3">
        <w:tc>
          <w:tcPr>
            <w:tcW w:w="3254" w:type="dxa"/>
            <w:vAlign w:val="center"/>
          </w:tcPr>
          <w:p w14:paraId="492CA340" w14:textId="77777777" w:rsidR="004124EE" w:rsidRPr="00E754AA" w:rsidRDefault="004124EE" w:rsidP="004124EE">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507FB74D" w14:textId="77777777" w:rsidR="004124EE" w:rsidRPr="00E834EF" w:rsidRDefault="004124EE" w:rsidP="004124EE">
            <w:pPr>
              <w:spacing w:before="40" w:after="40"/>
              <w:rPr>
                <w:sz w:val="17"/>
                <w:szCs w:val="17"/>
              </w:rPr>
            </w:pPr>
          </w:p>
        </w:tc>
        <w:tc>
          <w:tcPr>
            <w:tcW w:w="913" w:type="dxa"/>
            <w:vAlign w:val="bottom"/>
          </w:tcPr>
          <w:p w14:paraId="4EA7DD3D" w14:textId="77777777" w:rsidR="004124EE" w:rsidRPr="00DB3F11" w:rsidRDefault="004124EE" w:rsidP="004124EE">
            <w:pPr>
              <w:spacing w:before="40" w:after="40"/>
              <w:jc w:val="right"/>
              <w:rPr>
                <w:color w:val="000000"/>
                <w:sz w:val="16"/>
                <w:szCs w:val="16"/>
              </w:rPr>
            </w:pPr>
            <w:r w:rsidRPr="00B02BA3">
              <w:rPr>
                <w:sz w:val="17"/>
              </w:rPr>
              <w:t>—</w:t>
            </w:r>
          </w:p>
        </w:tc>
        <w:tc>
          <w:tcPr>
            <w:tcW w:w="252" w:type="dxa"/>
            <w:gridSpan w:val="2"/>
            <w:vAlign w:val="bottom"/>
          </w:tcPr>
          <w:p w14:paraId="18DF45F4" w14:textId="77777777" w:rsidR="004124EE" w:rsidRPr="00DB3F11" w:rsidRDefault="004124EE" w:rsidP="004124EE">
            <w:pPr>
              <w:spacing w:before="40" w:after="40"/>
              <w:rPr>
                <w:color w:val="000000"/>
                <w:sz w:val="16"/>
                <w:szCs w:val="16"/>
              </w:rPr>
            </w:pPr>
          </w:p>
        </w:tc>
        <w:tc>
          <w:tcPr>
            <w:tcW w:w="924" w:type="dxa"/>
            <w:vAlign w:val="bottom"/>
          </w:tcPr>
          <w:p w14:paraId="488B5E7B" w14:textId="77777777" w:rsidR="004124EE" w:rsidRPr="00DB3F11" w:rsidRDefault="004124EE" w:rsidP="004124EE">
            <w:pPr>
              <w:spacing w:before="40" w:after="40"/>
              <w:jc w:val="right"/>
              <w:rPr>
                <w:color w:val="000000"/>
                <w:sz w:val="16"/>
                <w:szCs w:val="16"/>
              </w:rPr>
            </w:pPr>
            <w:r w:rsidRPr="00B02BA3">
              <w:rPr>
                <w:sz w:val="17"/>
              </w:rPr>
              <w:t>—</w:t>
            </w:r>
          </w:p>
        </w:tc>
        <w:tc>
          <w:tcPr>
            <w:tcW w:w="242" w:type="dxa"/>
            <w:vAlign w:val="bottom"/>
          </w:tcPr>
          <w:p w14:paraId="25B48168" w14:textId="77777777" w:rsidR="004124EE" w:rsidRPr="00DB3F11" w:rsidRDefault="004124EE" w:rsidP="004124EE">
            <w:pPr>
              <w:spacing w:before="40" w:after="40"/>
              <w:rPr>
                <w:color w:val="000000"/>
                <w:sz w:val="16"/>
                <w:szCs w:val="16"/>
              </w:rPr>
            </w:pPr>
          </w:p>
        </w:tc>
        <w:tc>
          <w:tcPr>
            <w:tcW w:w="924" w:type="dxa"/>
            <w:vAlign w:val="bottom"/>
          </w:tcPr>
          <w:p w14:paraId="18D53BC4" w14:textId="77777777" w:rsidR="004124EE" w:rsidRPr="00DB3F11" w:rsidRDefault="004124EE" w:rsidP="004124EE">
            <w:pPr>
              <w:spacing w:before="40" w:after="40"/>
              <w:jc w:val="right"/>
              <w:rPr>
                <w:color w:val="000000"/>
                <w:sz w:val="16"/>
                <w:szCs w:val="16"/>
              </w:rPr>
            </w:pPr>
            <w:r w:rsidRPr="00B02BA3">
              <w:rPr>
                <w:sz w:val="17"/>
              </w:rPr>
              <w:t>—</w:t>
            </w:r>
          </w:p>
        </w:tc>
        <w:tc>
          <w:tcPr>
            <w:tcW w:w="242" w:type="dxa"/>
            <w:vAlign w:val="bottom"/>
          </w:tcPr>
          <w:p w14:paraId="47627E88" w14:textId="77777777" w:rsidR="004124EE" w:rsidRPr="00DB3F11" w:rsidRDefault="004124EE" w:rsidP="004124EE">
            <w:pPr>
              <w:spacing w:before="40" w:after="40"/>
              <w:rPr>
                <w:sz w:val="16"/>
                <w:szCs w:val="16"/>
              </w:rPr>
            </w:pPr>
          </w:p>
        </w:tc>
        <w:tc>
          <w:tcPr>
            <w:tcW w:w="924" w:type="dxa"/>
            <w:vAlign w:val="bottom"/>
          </w:tcPr>
          <w:p w14:paraId="289D0751" w14:textId="77777777" w:rsidR="004124EE" w:rsidRPr="00DB3F11" w:rsidRDefault="004124EE" w:rsidP="004124EE">
            <w:pPr>
              <w:spacing w:before="40" w:after="40"/>
              <w:jc w:val="right"/>
              <w:rPr>
                <w:sz w:val="16"/>
                <w:szCs w:val="16"/>
              </w:rPr>
            </w:pPr>
            <w:r w:rsidRPr="00B02BA3">
              <w:rPr>
                <w:sz w:val="17"/>
              </w:rPr>
              <w:t>—</w:t>
            </w:r>
          </w:p>
        </w:tc>
        <w:tc>
          <w:tcPr>
            <w:tcW w:w="227" w:type="dxa"/>
            <w:vAlign w:val="bottom"/>
          </w:tcPr>
          <w:p w14:paraId="2B2E7516" w14:textId="77777777" w:rsidR="004124EE" w:rsidRPr="00DB3F11" w:rsidRDefault="004124EE" w:rsidP="004124EE">
            <w:pPr>
              <w:spacing w:before="40" w:after="40"/>
              <w:rPr>
                <w:sz w:val="16"/>
                <w:szCs w:val="16"/>
              </w:rPr>
            </w:pPr>
          </w:p>
        </w:tc>
        <w:tc>
          <w:tcPr>
            <w:tcW w:w="939" w:type="dxa"/>
            <w:vAlign w:val="bottom"/>
          </w:tcPr>
          <w:p w14:paraId="304E8B7C" w14:textId="77777777" w:rsidR="004124EE" w:rsidRPr="00DB3F11" w:rsidRDefault="004124EE" w:rsidP="004124EE">
            <w:pPr>
              <w:spacing w:before="40" w:after="40"/>
              <w:jc w:val="right"/>
              <w:rPr>
                <w:sz w:val="16"/>
                <w:szCs w:val="16"/>
              </w:rPr>
            </w:pPr>
            <w:r w:rsidRPr="00B02BA3">
              <w:rPr>
                <w:sz w:val="17"/>
              </w:rPr>
              <w:t>—</w:t>
            </w:r>
          </w:p>
        </w:tc>
        <w:tc>
          <w:tcPr>
            <w:tcW w:w="266" w:type="dxa"/>
            <w:vAlign w:val="bottom"/>
          </w:tcPr>
          <w:p w14:paraId="5049DA41" w14:textId="77777777" w:rsidR="004124EE" w:rsidRPr="000D2863" w:rsidRDefault="004124EE" w:rsidP="004124EE">
            <w:pPr>
              <w:spacing w:before="40" w:after="40"/>
              <w:rPr>
                <w:sz w:val="17"/>
                <w:szCs w:val="17"/>
              </w:rPr>
            </w:pPr>
          </w:p>
        </w:tc>
      </w:tr>
      <w:tr w:rsidR="004124EE" w:rsidRPr="00E834EF" w14:paraId="255B1E2E" w14:textId="77777777" w:rsidTr="009842D3">
        <w:tc>
          <w:tcPr>
            <w:tcW w:w="3254" w:type="dxa"/>
            <w:vAlign w:val="center"/>
          </w:tcPr>
          <w:p w14:paraId="03CD8BC1" w14:textId="77777777" w:rsidR="004124EE" w:rsidRDefault="004124EE" w:rsidP="004124EE">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7F7723E8" w14:textId="77777777" w:rsidR="004124EE" w:rsidRPr="00E834EF" w:rsidRDefault="004124EE" w:rsidP="004124EE">
            <w:pPr>
              <w:spacing w:before="40" w:after="40"/>
              <w:rPr>
                <w:sz w:val="17"/>
                <w:szCs w:val="17"/>
              </w:rPr>
            </w:pPr>
          </w:p>
        </w:tc>
        <w:tc>
          <w:tcPr>
            <w:tcW w:w="913" w:type="dxa"/>
            <w:tcBorders>
              <w:bottom w:val="single" w:sz="4" w:space="0" w:color="auto"/>
            </w:tcBorders>
            <w:vAlign w:val="bottom"/>
          </w:tcPr>
          <w:p w14:paraId="18A96F59" w14:textId="77777777" w:rsidR="004124EE" w:rsidRPr="00DB3F11" w:rsidRDefault="004124EE" w:rsidP="004124EE">
            <w:pPr>
              <w:spacing w:before="40" w:after="40"/>
              <w:jc w:val="right"/>
              <w:rPr>
                <w:color w:val="000000"/>
                <w:sz w:val="16"/>
                <w:szCs w:val="16"/>
              </w:rPr>
            </w:pPr>
            <w:r>
              <w:rPr>
                <w:color w:val="000000"/>
                <w:sz w:val="16"/>
                <w:szCs w:val="16"/>
              </w:rPr>
              <w:t>87.6</w:t>
            </w:r>
          </w:p>
        </w:tc>
        <w:tc>
          <w:tcPr>
            <w:tcW w:w="252" w:type="dxa"/>
            <w:gridSpan w:val="2"/>
            <w:vAlign w:val="bottom"/>
          </w:tcPr>
          <w:p w14:paraId="37216ABF" w14:textId="77777777" w:rsidR="004124EE" w:rsidRPr="00DB3F11" w:rsidRDefault="004124EE" w:rsidP="004124EE">
            <w:pPr>
              <w:spacing w:before="40" w:after="40"/>
              <w:rPr>
                <w:color w:val="000000"/>
                <w:sz w:val="16"/>
                <w:szCs w:val="16"/>
              </w:rPr>
            </w:pPr>
          </w:p>
        </w:tc>
        <w:tc>
          <w:tcPr>
            <w:tcW w:w="924" w:type="dxa"/>
            <w:tcBorders>
              <w:bottom w:val="single" w:sz="4" w:space="0" w:color="auto"/>
            </w:tcBorders>
            <w:vAlign w:val="bottom"/>
          </w:tcPr>
          <w:p w14:paraId="1808EAD2" w14:textId="77777777" w:rsidR="004124EE" w:rsidRPr="00DB3F11" w:rsidRDefault="004124EE" w:rsidP="004124EE">
            <w:pPr>
              <w:spacing w:before="40" w:after="40"/>
              <w:jc w:val="right"/>
              <w:rPr>
                <w:color w:val="000000"/>
                <w:sz w:val="16"/>
                <w:szCs w:val="16"/>
              </w:rPr>
            </w:pPr>
            <w:r>
              <w:rPr>
                <w:color w:val="000000"/>
                <w:sz w:val="16"/>
                <w:szCs w:val="16"/>
              </w:rPr>
              <w:t>93.5</w:t>
            </w:r>
          </w:p>
        </w:tc>
        <w:tc>
          <w:tcPr>
            <w:tcW w:w="242" w:type="dxa"/>
            <w:vAlign w:val="bottom"/>
          </w:tcPr>
          <w:p w14:paraId="29252E11" w14:textId="77777777" w:rsidR="004124EE" w:rsidRPr="00DB3F11" w:rsidRDefault="004124EE" w:rsidP="004124EE">
            <w:pPr>
              <w:spacing w:before="40" w:after="40"/>
              <w:rPr>
                <w:color w:val="000000"/>
                <w:sz w:val="16"/>
                <w:szCs w:val="16"/>
              </w:rPr>
            </w:pPr>
          </w:p>
        </w:tc>
        <w:tc>
          <w:tcPr>
            <w:tcW w:w="924" w:type="dxa"/>
            <w:tcBorders>
              <w:bottom w:val="single" w:sz="4" w:space="0" w:color="auto"/>
            </w:tcBorders>
            <w:vAlign w:val="bottom"/>
          </w:tcPr>
          <w:p w14:paraId="1265095C" w14:textId="77777777" w:rsidR="004124EE" w:rsidRPr="00DB3F11" w:rsidRDefault="004124EE" w:rsidP="004124EE">
            <w:pPr>
              <w:spacing w:before="40" w:after="40"/>
              <w:jc w:val="right"/>
              <w:rPr>
                <w:color w:val="000000"/>
                <w:sz w:val="16"/>
                <w:szCs w:val="16"/>
              </w:rPr>
            </w:pPr>
            <w:r>
              <w:rPr>
                <w:color w:val="000000"/>
                <w:sz w:val="16"/>
                <w:szCs w:val="16"/>
              </w:rPr>
              <w:t>94.9</w:t>
            </w:r>
          </w:p>
        </w:tc>
        <w:tc>
          <w:tcPr>
            <w:tcW w:w="242" w:type="dxa"/>
            <w:vAlign w:val="bottom"/>
          </w:tcPr>
          <w:p w14:paraId="4924D754" w14:textId="77777777" w:rsidR="004124EE" w:rsidRPr="00DB3F11" w:rsidRDefault="004124EE" w:rsidP="004124EE">
            <w:pPr>
              <w:spacing w:before="40" w:after="40"/>
              <w:rPr>
                <w:sz w:val="16"/>
                <w:szCs w:val="16"/>
              </w:rPr>
            </w:pPr>
          </w:p>
        </w:tc>
        <w:tc>
          <w:tcPr>
            <w:tcW w:w="924" w:type="dxa"/>
            <w:tcBorders>
              <w:bottom w:val="single" w:sz="4" w:space="0" w:color="auto"/>
            </w:tcBorders>
            <w:vAlign w:val="bottom"/>
          </w:tcPr>
          <w:p w14:paraId="2565813E" w14:textId="77777777" w:rsidR="004124EE" w:rsidRPr="00DB3F11" w:rsidRDefault="004124EE" w:rsidP="004124EE">
            <w:pPr>
              <w:spacing w:before="40" w:after="40"/>
              <w:jc w:val="right"/>
              <w:rPr>
                <w:sz w:val="16"/>
                <w:szCs w:val="16"/>
              </w:rPr>
            </w:pPr>
            <w:r>
              <w:rPr>
                <w:sz w:val="16"/>
                <w:szCs w:val="16"/>
              </w:rPr>
              <w:t>70.2</w:t>
            </w:r>
          </w:p>
        </w:tc>
        <w:tc>
          <w:tcPr>
            <w:tcW w:w="227" w:type="dxa"/>
            <w:vAlign w:val="bottom"/>
          </w:tcPr>
          <w:p w14:paraId="421BE531" w14:textId="77777777" w:rsidR="004124EE" w:rsidRPr="00DB3F11" w:rsidRDefault="004124EE" w:rsidP="004124EE">
            <w:pPr>
              <w:spacing w:before="40" w:after="40"/>
              <w:rPr>
                <w:sz w:val="16"/>
                <w:szCs w:val="16"/>
              </w:rPr>
            </w:pPr>
          </w:p>
        </w:tc>
        <w:tc>
          <w:tcPr>
            <w:tcW w:w="939" w:type="dxa"/>
            <w:tcBorders>
              <w:bottom w:val="single" w:sz="4" w:space="0" w:color="auto"/>
            </w:tcBorders>
            <w:vAlign w:val="bottom"/>
          </w:tcPr>
          <w:p w14:paraId="43344F15" w14:textId="77777777" w:rsidR="004124EE" w:rsidRPr="00DB3F11" w:rsidRDefault="004124EE" w:rsidP="004124EE">
            <w:pPr>
              <w:spacing w:before="40" w:after="40"/>
              <w:jc w:val="right"/>
              <w:rPr>
                <w:sz w:val="16"/>
                <w:szCs w:val="16"/>
              </w:rPr>
            </w:pPr>
            <w:r>
              <w:rPr>
                <w:sz w:val="16"/>
                <w:szCs w:val="16"/>
              </w:rPr>
              <w:t>69.7</w:t>
            </w:r>
          </w:p>
        </w:tc>
        <w:tc>
          <w:tcPr>
            <w:tcW w:w="266" w:type="dxa"/>
            <w:vAlign w:val="bottom"/>
          </w:tcPr>
          <w:p w14:paraId="48CAC101" w14:textId="77777777" w:rsidR="004124EE" w:rsidRPr="000D2863" w:rsidRDefault="004124EE" w:rsidP="004124EE">
            <w:pPr>
              <w:spacing w:before="40" w:after="40"/>
              <w:rPr>
                <w:sz w:val="17"/>
                <w:szCs w:val="17"/>
              </w:rPr>
            </w:pPr>
          </w:p>
        </w:tc>
      </w:tr>
      <w:tr w:rsidR="004124EE" w:rsidRPr="00E834EF" w14:paraId="7C8EBC13" w14:textId="77777777" w:rsidTr="009842D3">
        <w:tc>
          <w:tcPr>
            <w:tcW w:w="3254" w:type="dxa"/>
          </w:tcPr>
          <w:p w14:paraId="33A183E2" w14:textId="77777777" w:rsidR="004124EE" w:rsidRDefault="004124EE" w:rsidP="004124EE">
            <w:pPr>
              <w:tabs>
                <w:tab w:val="right" w:leader="dot" w:pos="3255"/>
              </w:tabs>
              <w:bidi/>
              <w:spacing w:before="40" w:after="40"/>
              <w:rPr>
                <w:b/>
                <w:bCs/>
                <w:sz w:val="17"/>
                <w:szCs w:val="17"/>
                <w:u w:val="single"/>
              </w:rPr>
            </w:pPr>
            <w:r w:rsidRPr="00272B36">
              <w:rPr>
                <w:rFonts w:hint="eastAsia"/>
                <w:b/>
                <w:bCs/>
                <w:szCs w:val="17"/>
                <w:rtl/>
              </w:rPr>
              <w:t>الأرباح</w:t>
            </w:r>
            <w:r w:rsidRPr="00272B36">
              <w:rPr>
                <w:b/>
                <w:bCs/>
                <w:szCs w:val="17"/>
                <w:rtl/>
              </w:rPr>
              <w:t xml:space="preserve"> </w:t>
            </w:r>
            <w:r w:rsidRPr="00272B36">
              <w:rPr>
                <w:rFonts w:hint="eastAsia"/>
                <w:b/>
                <w:bCs/>
                <w:szCs w:val="17"/>
                <w:rtl/>
              </w:rPr>
              <w:t>قبل</w:t>
            </w:r>
            <w:r w:rsidRPr="00272B36">
              <w:rPr>
                <w:b/>
                <w:bCs/>
                <w:szCs w:val="17"/>
                <w:rtl/>
              </w:rPr>
              <w:t xml:space="preserve"> </w:t>
            </w:r>
            <w:r w:rsidRPr="00272B36">
              <w:rPr>
                <w:rFonts w:hint="eastAsia"/>
                <w:b/>
                <w:bCs/>
                <w:szCs w:val="17"/>
                <w:rtl/>
              </w:rPr>
              <w:t>حساب</w:t>
            </w:r>
            <w:r w:rsidRPr="00272B36">
              <w:rPr>
                <w:b/>
                <w:bCs/>
                <w:szCs w:val="17"/>
                <w:rtl/>
              </w:rPr>
              <w:t xml:space="preserve"> </w:t>
            </w:r>
            <w:r w:rsidRPr="00272B36">
              <w:rPr>
                <w:rFonts w:hint="eastAsia"/>
                <w:b/>
                <w:bCs/>
                <w:szCs w:val="17"/>
                <w:rtl/>
              </w:rPr>
              <w:t>الفوائد</w:t>
            </w:r>
            <w:r w:rsidRPr="00272B36">
              <w:rPr>
                <w:b/>
                <w:bCs/>
                <w:szCs w:val="17"/>
                <w:rtl/>
              </w:rPr>
              <w:t xml:space="preserve"> </w:t>
            </w:r>
            <w:r w:rsidRPr="00272B36">
              <w:rPr>
                <w:rFonts w:hint="eastAsia"/>
                <w:b/>
                <w:bCs/>
                <w:szCs w:val="17"/>
                <w:rtl/>
              </w:rPr>
              <w:t>والضرائب</w:t>
            </w:r>
            <w:r w:rsidRPr="00272B36">
              <w:rPr>
                <w:b/>
                <w:bCs/>
                <w:szCs w:val="17"/>
                <w:rtl/>
              </w:rPr>
              <w:t xml:space="preserve"> </w:t>
            </w:r>
            <w:r w:rsidRPr="00272B36">
              <w:rPr>
                <w:rFonts w:hint="eastAsia"/>
                <w:b/>
                <w:bCs/>
                <w:szCs w:val="17"/>
                <w:rtl/>
              </w:rPr>
              <w:t>والإهلاك</w:t>
            </w:r>
            <w:r w:rsidRPr="00272B36">
              <w:rPr>
                <w:b/>
                <w:bCs/>
                <w:szCs w:val="17"/>
                <w:rtl/>
              </w:rPr>
              <w:t xml:space="preserve"> </w:t>
            </w:r>
            <w:r w:rsidRPr="00272B36">
              <w:rPr>
                <w:rFonts w:hint="eastAsia"/>
                <w:b/>
                <w:bCs/>
                <w:szCs w:val="17"/>
                <w:rtl/>
              </w:rPr>
              <w:t>والإطفاء</w:t>
            </w:r>
            <w:r w:rsidRPr="00272B36">
              <w:rPr>
                <w:b/>
                <w:bCs/>
                <w:szCs w:val="17"/>
                <w:rtl/>
              </w:rPr>
              <w:t xml:space="preserve"> </w:t>
            </w:r>
            <w:r w:rsidRPr="00272B36">
              <w:rPr>
                <w:rFonts w:hint="eastAsia"/>
                <w:b/>
                <w:bCs/>
                <w:szCs w:val="17"/>
                <w:rtl/>
              </w:rPr>
              <w:t>ل</w:t>
            </w:r>
            <w:r w:rsidR="00607B02">
              <w:rPr>
                <w:rFonts w:hint="eastAsia"/>
                <w:b/>
                <w:bCs/>
                <w:szCs w:val="17"/>
                <w:rtl/>
              </w:rPr>
              <w:t>نقل</w:t>
            </w:r>
            <w:r w:rsidRPr="00272B36">
              <w:rPr>
                <w:b/>
                <w:bCs/>
                <w:szCs w:val="17"/>
                <w:rtl/>
              </w:rPr>
              <w:t xml:space="preserve"> </w:t>
            </w:r>
            <w:r w:rsidRPr="00272B36">
              <w:rPr>
                <w:rFonts w:hint="eastAsia"/>
                <w:b/>
                <w:bCs/>
                <w:szCs w:val="17"/>
                <w:rtl/>
              </w:rPr>
              <w:t>النفط</w:t>
            </w:r>
            <w:r w:rsidRPr="00272B36">
              <w:rPr>
                <w:b/>
                <w:bCs/>
                <w:szCs w:val="17"/>
                <w:rtl/>
              </w:rPr>
              <w:t xml:space="preserve"> </w:t>
            </w:r>
            <w:r w:rsidRPr="00272B36">
              <w:rPr>
                <w:rFonts w:hint="eastAsia"/>
                <w:b/>
                <w:bCs/>
                <w:szCs w:val="17"/>
                <w:rtl/>
              </w:rPr>
              <w:t>الخام</w:t>
            </w:r>
            <w:r w:rsidRPr="007D2480">
              <w:rPr>
                <w:sz w:val="17"/>
              </w:rPr>
              <w:tab/>
            </w:r>
          </w:p>
        </w:tc>
        <w:tc>
          <w:tcPr>
            <w:tcW w:w="242" w:type="dxa"/>
            <w:vAlign w:val="bottom"/>
          </w:tcPr>
          <w:p w14:paraId="564D3F48" w14:textId="77777777" w:rsidR="004124EE" w:rsidRPr="00E834EF" w:rsidRDefault="004124EE" w:rsidP="004124EE">
            <w:pPr>
              <w:spacing w:before="40" w:after="40"/>
              <w:rPr>
                <w:sz w:val="17"/>
                <w:szCs w:val="17"/>
              </w:rPr>
            </w:pPr>
          </w:p>
        </w:tc>
        <w:tc>
          <w:tcPr>
            <w:tcW w:w="913" w:type="dxa"/>
            <w:tcBorders>
              <w:top w:val="single" w:sz="4" w:space="0" w:color="auto"/>
            </w:tcBorders>
            <w:vAlign w:val="bottom"/>
          </w:tcPr>
          <w:p w14:paraId="6C818040" w14:textId="77777777" w:rsidR="004124EE" w:rsidRPr="00DB3F11" w:rsidRDefault="004124EE" w:rsidP="004124EE">
            <w:pPr>
              <w:spacing w:before="40" w:after="40"/>
              <w:jc w:val="right"/>
              <w:rPr>
                <w:b/>
                <w:bCs/>
                <w:color w:val="000000"/>
                <w:sz w:val="16"/>
                <w:szCs w:val="16"/>
              </w:rPr>
            </w:pPr>
            <w:r w:rsidRPr="007A3BB2">
              <w:rPr>
                <w:color w:val="000000"/>
                <w:sz w:val="16"/>
                <w:szCs w:val="16"/>
              </w:rPr>
              <w:t>44.6</w:t>
            </w:r>
          </w:p>
        </w:tc>
        <w:tc>
          <w:tcPr>
            <w:tcW w:w="252" w:type="dxa"/>
            <w:gridSpan w:val="2"/>
            <w:vAlign w:val="bottom"/>
          </w:tcPr>
          <w:p w14:paraId="3F2201F3" w14:textId="77777777" w:rsidR="004124EE" w:rsidRPr="00DB3F11" w:rsidRDefault="004124EE" w:rsidP="004124EE">
            <w:pPr>
              <w:spacing w:before="40" w:after="40"/>
              <w:rPr>
                <w:b/>
                <w:bCs/>
                <w:color w:val="000000"/>
                <w:sz w:val="16"/>
                <w:szCs w:val="16"/>
              </w:rPr>
            </w:pPr>
          </w:p>
        </w:tc>
        <w:tc>
          <w:tcPr>
            <w:tcW w:w="924" w:type="dxa"/>
            <w:tcBorders>
              <w:top w:val="single" w:sz="4" w:space="0" w:color="auto"/>
            </w:tcBorders>
            <w:vAlign w:val="bottom"/>
          </w:tcPr>
          <w:p w14:paraId="16B193EF" w14:textId="77777777" w:rsidR="004124EE" w:rsidRPr="00DB3F11" w:rsidRDefault="004124EE" w:rsidP="004124EE">
            <w:pPr>
              <w:spacing w:before="40" w:after="40"/>
              <w:jc w:val="right"/>
              <w:rPr>
                <w:b/>
                <w:bCs/>
                <w:color w:val="000000"/>
                <w:sz w:val="16"/>
                <w:szCs w:val="16"/>
              </w:rPr>
            </w:pPr>
            <w:r w:rsidRPr="007A3BB2">
              <w:rPr>
                <w:color w:val="000000"/>
                <w:sz w:val="16"/>
                <w:szCs w:val="16"/>
              </w:rPr>
              <w:t>93.0</w:t>
            </w:r>
          </w:p>
        </w:tc>
        <w:tc>
          <w:tcPr>
            <w:tcW w:w="242" w:type="dxa"/>
            <w:vAlign w:val="bottom"/>
          </w:tcPr>
          <w:p w14:paraId="3584E455" w14:textId="77777777" w:rsidR="004124EE" w:rsidRPr="00DB3F11" w:rsidRDefault="004124EE" w:rsidP="004124EE">
            <w:pPr>
              <w:spacing w:before="40" w:after="40"/>
              <w:rPr>
                <w:b/>
                <w:bCs/>
                <w:color w:val="000000"/>
                <w:sz w:val="16"/>
                <w:szCs w:val="16"/>
              </w:rPr>
            </w:pPr>
          </w:p>
        </w:tc>
        <w:tc>
          <w:tcPr>
            <w:tcW w:w="924" w:type="dxa"/>
            <w:tcBorders>
              <w:top w:val="single" w:sz="4" w:space="0" w:color="auto"/>
            </w:tcBorders>
            <w:vAlign w:val="bottom"/>
          </w:tcPr>
          <w:p w14:paraId="463866AC" w14:textId="77777777" w:rsidR="004124EE" w:rsidRPr="00DB3F11" w:rsidRDefault="004124EE" w:rsidP="004124EE">
            <w:pPr>
              <w:spacing w:before="40" w:after="40"/>
              <w:jc w:val="right"/>
              <w:rPr>
                <w:b/>
                <w:bCs/>
                <w:color w:val="000000"/>
                <w:sz w:val="16"/>
                <w:szCs w:val="16"/>
              </w:rPr>
            </w:pPr>
            <w:r w:rsidRPr="007A3BB2">
              <w:rPr>
                <w:color w:val="000000"/>
                <w:sz w:val="16"/>
                <w:szCs w:val="16"/>
              </w:rPr>
              <w:t>243.1</w:t>
            </w:r>
          </w:p>
        </w:tc>
        <w:tc>
          <w:tcPr>
            <w:tcW w:w="242" w:type="dxa"/>
            <w:vAlign w:val="bottom"/>
          </w:tcPr>
          <w:p w14:paraId="7CC7AD7F" w14:textId="77777777" w:rsidR="004124EE" w:rsidRPr="00DB3F11" w:rsidRDefault="004124EE" w:rsidP="004124EE">
            <w:pPr>
              <w:spacing w:before="40" w:after="40"/>
              <w:rPr>
                <w:b/>
                <w:bCs/>
                <w:sz w:val="16"/>
                <w:szCs w:val="16"/>
              </w:rPr>
            </w:pPr>
          </w:p>
        </w:tc>
        <w:tc>
          <w:tcPr>
            <w:tcW w:w="924" w:type="dxa"/>
            <w:tcBorders>
              <w:top w:val="single" w:sz="4" w:space="0" w:color="auto"/>
            </w:tcBorders>
            <w:vAlign w:val="bottom"/>
          </w:tcPr>
          <w:p w14:paraId="1357D940" w14:textId="77777777" w:rsidR="004124EE" w:rsidRPr="00DB3F11" w:rsidRDefault="004124EE" w:rsidP="004124EE">
            <w:pPr>
              <w:spacing w:before="40" w:after="40"/>
              <w:jc w:val="right"/>
              <w:rPr>
                <w:b/>
                <w:bCs/>
                <w:sz w:val="16"/>
                <w:szCs w:val="16"/>
              </w:rPr>
            </w:pPr>
            <w:r w:rsidRPr="007A3BB2">
              <w:rPr>
                <w:color w:val="000000"/>
                <w:sz w:val="16"/>
                <w:szCs w:val="16"/>
              </w:rPr>
              <w:t>152.5</w:t>
            </w:r>
          </w:p>
        </w:tc>
        <w:tc>
          <w:tcPr>
            <w:tcW w:w="227" w:type="dxa"/>
            <w:vAlign w:val="bottom"/>
          </w:tcPr>
          <w:p w14:paraId="2C362652" w14:textId="77777777" w:rsidR="004124EE" w:rsidRPr="00DB3F11" w:rsidRDefault="004124EE" w:rsidP="004124EE">
            <w:pPr>
              <w:spacing w:before="40" w:after="40"/>
              <w:rPr>
                <w:b/>
                <w:bCs/>
                <w:sz w:val="16"/>
                <w:szCs w:val="16"/>
              </w:rPr>
            </w:pPr>
          </w:p>
        </w:tc>
        <w:tc>
          <w:tcPr>
            <w:tcW w:w="939" w:type="dxa"/>
            <w:tcBorders>
              <w:top w:val="single" w:sz="4" w:space="0" w:color="auto"/>
            </w:tcBorders>
            <w:vAlign w:val="bottom"/>
          </w:tcPr>
          <w:p w14:paraId="3468E8DD" w14:textId="77777777" w:rsidR="004124EE" w:rsidRPr="00DB3F11" w:rsidRDefault="004124EE" w:rsidP="004124EE">
            <w:pPr>
              <w:spacing w:before="40" w:after="40"/>
              <w:jc w:val="right"/>
              <w:rPr>
                <w:b/>
                <w:bCs/>
                <w:sz w:val="16"/>
                <w:szCs w:val="16"/>
              </w:rPr>
            </w:pPr>
            <w:r w:rsidRPr="007A3BB2">
              <w:rPr>
                <w:color w:val="000000"/>
                <w:sz w:val="16"/>
                <w:szCs w:val="16"/>
              </w:rPr>
              <w:t>125.6</w:t>
            </w:r>
          </w:p>
        </w:tc>
        <w:tc>
          <w:tcPr>
            <w:tcW w:w="266" w:type="dxa"/>
            <w:vAlign w:val="bottom"/>
          </w:tcPr>
          <w:p w14:paraId="37BA2E4B" w14:textId="77777777" w:rsidR="004124EE" w:rsidRPr="000D2863" w:rsidRDefault="004124EE" w:rsidP="004124EE">
            <w:pPr>
              <w:spacing w:before="40" w:after="40"/>
              <w:rPr>
                <w:b/>
                <w:bCs/>
                <w:sz w:val="17"/>
                <w:szCs w:val="17"/>
              </w:rPr>
            </w:pPr>
          </w:p>
        </w:tc>
      </w:tr>
    </w:tbl>
    <w:p w14:paraId="0AD21406" w14:textId="77777777" w:rsidR="009842D3" w:rsidRDefault="009842D3" w:rsidP="009842D3">
      <w:pPr>
        <w:autoSpaceDE w:val="0"/>
        <w:autoSpaceDN w:val="0"/>
        <w:bidi/>
        <w:adjustRightInd w:val="0"/>
        <w:jc w:val="both"/>
        <w:rPr>
          <w:rFonts w:ascii="Traditional Arabic" w:hAnsi="Traditional Arabic" w:cs="Traditional Arabic"/>
          <w:sz w:val="30"/>
          <w:szCs w:val="30"/>
          <w:rtl/>
          <w:lang w:bidi="ar-EG"/>
        </w:rPr>
      </w:pPr>
    </w:p>
    <w:p w14:paraId="3856EC0B" w14:textId="77777777" w:rsidR="00A64D52" w:rsidRDefault="00287CE3" w:rsidP="00A64D52">
      <w:pPr>
        <w:autoSpaceDE w:val="0"/>
        <w:autoSpaceDN w:val="0"/>
        <w:bidi/>
        <w:adjustRightInd w:val="0"/>
        <w:jc w:val="both"/>
        <w:rPr>
          <w:rFonts w:ascii="Traditional Arabic" w:hAnsi="Traditional Arabic" w:cs="Traditional Arabic"/>
          <w:sz w:val="30"/>
          <w:szCs w:val="30"/>
          <w:rtl/>
          <w:lang w:bidi="ar-EG"/>
        </w:rPr>
      </w:pPr>
      <w:r w:rsidRPr="00287CE3">
        <w:rPr>
          <w:rFonts w:ascii="Traditional Arabic" w:hAnsi="Traditional Arabic" w:cs="Traditional Arabic"/>
          <w:sz w:val="30"/>
          <w:szCs w:val="30"/>
          <w:rtl/>
          <w:lang w:bidi="ar-EG"/>
        </w:rPr>
        <w:t>(5)</w:t>
      </w:r>
      <w:r w:rsidRPr="00287CE3">
        <w:rPr>
          <w:rFonts w:ascii="Traditional Arabic" w:hAnsi="Traditional Arabic" w:cs="Traditional Arabic"/>
          <w:sz w:val="30"/>
          <w:szCs w:val="30"/>
          <w:rtl/>
          <w:lang w:bidi="ar-EG"/>
        </w:rPr>
        <w:tab/>
        <w:t xml:space="preserve">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لقطاع </w:t>
      </w:r>
      <w:r w:rsidR="00607B02">
        <w:rPr>
          <w:rFonts w:ascii="Traditional Arabic" w:hAnsi="Traditional Arabic" w:cs="Traditional Arabic"/>
          <w:sz w:val="30"/>
          <w:szCs w:val="30"/>
          <w:rtl/>
          <w:lang w:bidi="ar-EG"/>
        </w:rPr>
        <w:t>نقل</w:t>
      </w:r>
      <w:r w:rsidRPr="00287CE3">
        <w:rPr>
          <w:rFonts w:ascii="Traditional Arabic" w:hAnsi="Traditional Arabic" w:cs="Traditional Arabic"/>
          <w:sz w:val="30"/>
          <w:szCs w:val="30"/>
          <w:rtl/>
          <w:lang w:bidi="ar-EG"/>
        </w:rPr>
        <w:t xml:space="preserve"> المنتجات للفترات المشار إليها:</w:t>
      </w:r>
    </w:p>
    <w:p w14:paraId="79AA2EDF" w14:textId="77777777" w:rsidR="00287CE3" w:rsidRDefault="00287CE3" w:rsidP="00287CE3">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4E2B4D" w:rsidRPr="00E834EF" w14:paraId="1D2C872C" w14:textId="77777777" w:rsidTr="004E2B4D">
        <w:trPr>
          <w:tblHeader/>
        </w:trPr>
        <w:tc>
          <w:tcPr>
            <w:tcW w:w="3254" w:type="dxa"/>
          </w:tcPr>
          <w:p w14:paraId="10D508CA" w14:textId="77777777" w:rsidR="004E2B4D" w:rsidRPr="00E834EF" w:rsidRDefault="004E2B4D" w:rsidP="004E2B4D">
            <w:pPr>
              <w:keepNext/>
              <w:bidi/>
              <w:spacing w:before="40" w:after="120"/>
              <w:rPr>
                <w:b/>
                <w:sz w:val="17"/>
                <w:szCs w:val="17"/>
              </w:rPr>
            </w:pPr>
          </w:p>
        </w:tc>
        <w:tc>
          <w:tcPr>
            <w:tcW w:w="242" w:type="dxa"/>
          </w:tcPr>
          <w:p w14:paraId="57BEF6E3" w14:textId="77777777" w:rsidR="004E2B4D" w:rsidRPr="00E834EF" w:rsidRDefault="004E2B4D" w:rsidP="004E2B4D">
            <w:pPr>
              <w:spacing w:before="40" w:after="40"/>
              <w:rPr>
                <w:sz w:val="17"/>
                <w:szCs w:val="17"/>
              </w:rPr>
            </w:pPr>
          </w:p>
        </w:tc>
        <w:tc>
          <w:tcPr>
            <w:tcW w:w="3255" w:type="dxa"/>
            <w:gridSpan w:val="6"/>
            <w:tcBorders>
              <w:bottom w:val="single" w:sz="4" w:space="0" w:color="auto"/>
            </w:tcBorders>
          </w:tcPr>
          <w:p w14:paraId="54124392" w14:textId="77777777" w:rsidR="004E2B4D" w:rsidRPr="00E834EF" w:rsidRDefault="004E2B4D" w:rsidP="004E2B4D">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5BB72176" w14:textId="77777777" w:rsidR="004E2B4D" w:rsidRPr="00E834EF" w:rsidRDefault="004E2B4D" w:rsidP="004E2B4D">
            <w:pPr>
              <w:spacing w:before="40" w:after="40"/>
              <w:rPr>
                <w:sz w:val="17"/>
                <w:szCs w:val="17"/>
              </w:rPr>
            </w:pPr>
          </w:p>
        </w:tc>
        <w:tc>
          <w:tcPr>
            <w:tcW w:w="2090" w:type="dxa"/>
            <w:gridSpan w:val="3"/>
            <w:tcBorders>
              <w:bottom w:val="single" w:sz="4" w:space="0" w:color="auto"/>
            </w:tcBorders>
          </w:tcPr>
          <w:p w14:paraId="1B8B9B83" w14:textId="77777777" w:rsidR="004E2B4D" w:rsidRPr="00E834EF" w:rsidRDefault="004E2B4D" w:rsidP="004E2B4D">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55D9BCCA" w14:textId="77777777" w:rsidR="004E2B4D" w:rsidRPr="00E834EF" w:rsidRDefault="004E2B4D" w:rsidP="004E2B4D">
            <w:pPr>
              <w:keepNext/>
              <w:spacing w:before="40" w:after="120"/>
              <w:jc w:val="center"/>
              <w:rPr>
                <w:b/>
                <w:sz w:val="17"/>
                <w:szCs w:val="17"/>
              </w:rPr>
            </w:pPr>
          </w:p>
        </w:tc>
      </w:tr>
      <w:tr w:rsidR="004E2B4D" w:rsidRPr="00E834EF" w14:paraId="639FF182" w14:textId="77777777" w:rsidTr="004E2B4D">
        <w:trPr>
          <w:tblHeader/>
        </w:trPr>
        <w:tc>
          <w:tcPr>
            <w:tcW w:w="3254" w:type="dxa"/>
          </w:tcPr>
          <w:p w14:paraId="504A6B24" w14:textId="77777777" w:rsidR="004E2B4D" w:rsidRPr="00E834EF" w:rsidRDefault="004E2B4D" w:rsidP="004E2B4D">
            <w:pPr>
              <w:keepNext/>
              <w:bidi/>
              <w:spacing w:before="40" w:after="120"/>
              <w:rPr>
                <w:b/>
                <w:sz w:val="17"/>
                <w:szCs w:val="17"/>
              </w:rPr>
            </w:pPr>
          </w:p>
        </w:tc>
        <w:tc>
          <w:tcPr>
            <w:tcW w:w="242" w:type="dxa"/>
          </w:tcPr>
          <w:p w14:paraId="51FD1AD8" w14:textId="77777777" w:rsidR="004E2B4D" w:rsidRPr="00E834EF" w:rsidRDefault="004E2B4D" w:rsidP="004E2B4D">
            <w:pPr>
              <w:spacing w:before="40" w:after="40"/>
              <w:rPr>
                <w:sz w:val="17"/>
                <w:szCs w:val="17"/>
              </w:rPr>
            </w:pPr>
          </w:p>
        </w:tc>
        <w:tc>
          <w:tcPr>
            <w:tcW w:w="923" w:type="dxa"/>
            <w:gridSpan w:val="2"/>
            <w:tcBorders>
              <w:top w:val="single" w:sz="4" w:space="0" w:color="auto"/>
              <w:bottom w:val="single" w:sz="4" w:space="0" w:color="auto"/>
            </w:tcBorders>
          </w:tcPr>
          <w:p w14:paraId="75FBB758" w14:textId="77777777" w:rsidR="004E2B4D" w:rsidRPr="00E834EF" w:rsidRDefault="004E2B4D" w:rsidP="004E2B4D">
            <w:pPr>
              <w:keepNext/>
              <w:spacing w:before="40" w:after="120"/>
              <w:jc w:val="right"/>
              <w:rPr>
                <w:b/>
                <w:sz w:val="17"/>
                <w:szCs w:val="17"/>
              </w:rPr>
            </w:pPr>
            <w:r w:rsidRPr="00E834EF">
              <w:rPr>
                <w:b/>
                <w:sz w:val="17"/>
                <w:szCs w:val="17"/>
              </w:rPr>
              <w:t>2021</w:t>
            </w:r>
          </w:p>
        </w:tc>
        <w:tc>
          <w:tcPr>
            <w:tcW w:w="242" w:type="dxa"/>
          </w:tcPr>
          <w:p w14:paraId="54B593DE" w14:textId="77777777" w:rsidR="004E2B4D" w:rsidRPr="00E834EF" w:rsidRDefault="004E2B4D" w:rsidP="004E2B4D">
            <w:pPr>
              <w:spacing w:before="40" w:after="40"/>
              <w:rPr>
                <w:sz w:val="17"/>
                <w:szCs w:val="17"/>
              </w:rPr>
            </w:pPr>
          </w:p>
        </w:tc>
        <w:tc>
          <w:tcPr>
            <w:tcW w:w="924" w:type="dxa"/>
            <w:tcBorders>
              <w:top w:val="single" w:sz="4" w:space="0" w:color="auto"/>
              <w:bottom w:val="single" w:sz="4" w:space="0" w:color="auto"/>
            </w:tcBorders>
          </w:tcPr>
          <w:p w14:paraId="54F690E0" w14:textId="77777777" w:rsidR="004E2B4D" w:rsidRPr="00E834EF" w:rsidRDefault="004E2B4D" w:rsidP="004E2B4D">
            <w:pPr>
              <w:keepNext/>
              <w:spacing w:before="40" w:after="120"/>
              <w:jc w:val="right"/>
              <w:rPr>
                <w:b/>
                <w:sz w:val="17"/>
                <w:szCs w:val="17"/>
              </w:rPr>
            </w:pPr>
            <w:r w:rsidRPr="00E834EF">
              <w:rPr>
                <w:b/>
                <w:sz w:val="17"/>
                <w:szCs w:val="17"/>
              </w:rPr>
              <w:t>2022</w:t>
            </w:r>
          </w:p>
        </w:tc>
        <w:tc>
          <w:tcPr>
            <w:tcW w:w="242" w:type="dxa"/>
          </w:tcPr>
          <w:p w14:paraId="1220CA6D" w14:textId="77777777" w:rsidR="004E2B4D" w:rsidRPr="00E834EF" w:rsidRDefault="004E2B4D" w:rsidP="004E2B4D">
            <w:pPr>
              <w:spacing w:before="40" w:after="40"/>
              <w:rPr>
                <w:sz w:val="17"/>
                <w:szCs w:val="17"/>
              </w:rPr>
            </w:pPr>
          </w:p>
        </w:tc>
        <w:tc>
          <w:tcPr>
            <w:tcW w:w="924" w:type="dxa"/>
            <w:tcBorders>
              <w:top w:val="single" w:sz="4" w:space="0" w:color="auto"/>
              <w:bottom w:val="single" w:sz="4" w:space="0" w:color="auto"/>
            </w:tcBorders>
          </w:tcPr>
          <w:p w14:paraId="0F028467" w14:textId="77777777" w:rsidR="004E2B4D" w:rsidRPr="00E834EF" w:rsidRDefault="004E2B4D" w:rsidP="004E2B4D">
            <w:pPr>
              <w:keepNext/>
              <w:spacing w:before="40" w:after="120"/>
              <w:jc w:val="right"/>
              <w:rPr>
                <w:b/>
                <w:sz w:val="17"/>
                <w:szCs w:val="17"/>
              </w:rPr>
            </w:pPr>
            <w:r w:rsidRPr="00E834EF">
              <w:rPr>
                <w:b/>
                <w:sz w:val="17"/>
                <w:szCs w:val="17"/>
              </w:rPr>
              <w:t>2023</w:t>
            </w:r>
          </w:p>
        </w:tc>
        <w:tc>
          <w:tcPr>
            <w:tcW w:w="242" w:type="dxa"/>
          </w:tcPr>
          <w:p w14:paraId="6E9E1DDC" w14:textId="77777777" w:rsidR="004E2B4D" w:rsidRPr="00E834EF" w:rsidRDefault="004E2B4D" w:rsidP="004E2B4D">
            <w:pPr>
              <w:spacing w:before="40" w:after="40"/>
              <w:rPr>
                <w:sz w:val="17"/>
                <w:szCs w:val="17"/>
              </w:rPr>
            </w:pPr>
          </w:p>
        </w:tc>
        <w:tc>
          <w:tcPr>
            <w:tcW w:w="924" w:type="dxa"/>
            <w:tcBorders>
              <w:top w:val="single" w:sz="4" w:space="0" w:color="auto"/>
              <w:bottom w:val="single" w:sz="4" w:space="0" w:color="auto"/>
            </w:tcBorders>
          </w:tcPr>
          <w:p w14:paraId="42EC74D6" w14:textId="77777777" w:rsidR="004E2B4D" w:rsidRPr="00E834EF" w:rsidRDefault="004E2B4D" w:rsidP="004E2B4D">
            <w:pPr>
              <w:keepNext/>
              <w:spacing w:before="40" w:after="120"/>
              <w:jc w:val="right"/>
              <w:rPr>
                <w:b/>
                <w:sz w:val="17"/>
                <w:szCs w:val="17"/>
              </w:rPr>
            </w:pPr>
            <w:r w:rsidRPr="00E834EF">
              <w:rPr>
                <w:b/>
                <w:sz w:val="17"/>
                <w:szCs w:val="17"/>
              </w:rPr>
              <w:t>2023</w:t>
            </w:r>
          </w:p>
        </w:tc>
        <w:tc>
          <w:tcPr>
            <w:tcW w:w="227" w:type="dxa"/>
          </w:tcPr>
          <w:p w14:paraId="044B0F96" w14:textId="77777777" w:rsidR="004E2B4D" w:rsidRPr="00E834EF" w:rsidRDefault="004E2B4D" w:rsidP="004E2B4D">
            <w:pPr>
              <w:spacing w:before="40" w:after="40"/>
              <w:rPr>
                <w:sz w:val="17"/>
                <w:szCs w:val="17"/>
              </w:rPr>
            </w:pPr>
          </w:p>
        </w:tc>
        <w:tc>
          <w:tcPr>
            <w:tcW w:w="939" w:type="dxa"/>
            <w:tcBorders>
              <w:top w:val="single" w:sz="4" w:space="0" w:color="auto"/>
              <w:bottom w:val="single" w:sz="4" w:space="0" w:color="auto"/>
            </w:tcBorders>
          </w:tcPr>
          <w:p w14:paraId="4EA198CD" w14:textId="77777777" w:rsidR="004E2B4D" w:rsidRPr="00E834EF" w:rsidRDefault="004E2B4D" w:rsidP="004E2B4D">
            <w:pPr>
              <w:keepNext/>
              <w:spacing w:before="40" w:after="120"/>
              <w:jc w:val="right"/>
              <w:rPr>
                <w:b/>
                <w:sz w:val="17"/>
                <w:szCs w:val="17"/>
              </w:rPr>
            </w:pPr>
            <w:r w:rsidRPr="00E834EF">
              <w:rPr>
                <w:b/>
                <w:sz w:val="17"/>
                <w:szCs w:val="17"/>
              </w:rPr>
              <w:t>2024</w:t>
            </w:r>
          </w:p>
        </w:tc>
        <w:tc>
          <w:tcPr>
            <w:tcW w:w="266" w:type="dxa"/>
          </w:tcPr>
          <w:p w14:paraId="286FC9DD" w14:textId="77777777" w:rsidR="004E2B4D" w:rsidRPr="00E834EF" w:rsidRDefault="004E2B4D" w:rsidP="004E2B4D">
            <w:pPr>
              <w:keepNext/>
              <w:spacing w:before="40" w:after="120"/>
              <w:jc w:val="right"/>
              <w:rPr>
                <w:b/>
                <w:sz w:val="17"/>
                <w:szCs w:val="17"/>
              </w:rPr>
            </w:pPr>
          </w:p>
        </w:tc>
      </w:tr>
      <w:tr w:rsidR="004E2B4D" w:rsidRPr="00E834EF" w14:paraId="6C324921" w14:textId="77777777" w:rsidTr="004E2B4D">
        <w:trPr>
          <w:trHeight w:val="215"/>
          <w:tblHeader/>
        </w:trPr>
        <w:tc>
          <w:tcPr>
            <w:tcW w:w="3254" w:type="dxa"/>
          </w:tcPr>
          <w:p w14:paraId="0A00FA59" w14:textId="77777777" w:rsidR="004E2B4D" w:rsidRPr="00E834EF" w:rsidRDefault="004E2B4D" w:rsidP="004E2B4D">
            <w:pPr>
              <w:keepNext/>
              <w:bidi/>
              <w:spacing w:before="40" w:after="120"/>
              <w:jc w:val="center"/>
              <w:rPr>
                <w:i/>
                <w:sz w:val="17"/>
                <w:szCs w:val="17"/>
              </w:rPr>
            </w:pPr>
          </w:p>
        </w:tc>
        <w:tc>
          <w:tcPr>
            <w:tcW w:w="242" w:type="dxa"/>
          </w:tcPr>
          <w:p w14:paraId="6290CDF2" w14:textId="77777777" w:rsidR="004E2B4D" w:rsidRPr="00E834EF" w:rsidRDefault="004E2B4D" w:rsidP="004E2B4D">
            <w:pPr>
              <w:keepNext/>
              <w:spacing w:before="40" w:after="120"/>
              <w:jc w:val="center"/>
              <w:rPr>
                <w:i/>
                <w:sz w:val="17"/>
                <w:szCs w:val="17"/>
              </w:rPr>
            </w:pPr>
          </w:p>
        </w:tc>
        <w:tc>
          <w:tcPr>
            <w:tcW w:w="5587" w:type="dxa"/>
            <w:gridSpan w:val="10"/>
          </w:tcPr>
          <w:p w14:paraId="68399DCB" w14:textId="77777777" w:rsidR="004E2B4D" w:rsidRPr="00E834EF" w:rsidRDefault="004E2B4D" w:rsidP="004E2B4D">
            <w:pPr>
              <w:keepNext/>
              <w:spacing w:before="40" w:after="120"/>
              <w:jc w:val="center"/>
              <w:rPr>
                <w:i/>
                <w:sz w:val="17"/>
                <w:szCs w:val="17"/>
              </w:rPr>
            </w:pPr>
            <w:r w:rsidRPr="00E834EF">
              <w:rPr>
                <w:i/>
                <w:color w:val="000000"/>
                <w:sz w:val="17"/>
                <w:szCs w:val="17"/>
              </w:rPr>
              <w:t>(</w:t>
            </w:r>
            <w:r w:rsidRPr="00B02BA3">
              <w:rPr>
                <w:i/>
                <w:iCs/>
                <w:sz w:val="18"/>
              </w:rPr>
              <w:t>U.S.$</w:t>
            </w:r>
            <w:r>
              <w:rPr>
                <w:i/>
                <w:iCs/>
                <w:sz w:val="18"/>
              </w:rPr>
              <w:t xml:space="preserve"> </w:t>
            </w:r>
            <w:r>
              <w:rPr>
                <w:i/>
                <w:color w:val="000000"/>
                <w:sz w:val="17"/>
                <w:szCs w:val="17"/>
              </w:rPr>
              <w:t>millions</w:t>
            </w:r>
            <w:r w:rsidRPr="00E834EF">
              <w:rPr>
                <w:i/>
                <w:color w:val="000000"/>
                <w:sz w:val="17"/>
                <w:szCs w:val="17"/>
              </w:rPr>
              <w:t>)</w:t>
            </w:r>
          </w:p>
        </w:tc>
        <w:tc>
          <w:tcPr>
            <w:tcW w:w="266" w:type="dxa"/>
          </w:tcPr>
          <w:p w14:paraId="05676FA2" w14:textId="77777777" w:rsidR="004E2B4D" w:rsidRPr="00E834EF" w:rsidRDefault="004E2B4D" w:rsidP="004E2B4D">
            <w:pPr>
              <w:keepNext/>
              <w:spacing w:before="40" w:after="120"/>
              <w:jc w:val="center"/>
              <w:rPr>
                <w:i/>
                <w:color w:val="000000"/>
                <w:sz w:val="17"/>
                <w:szCs w:val="17"/>
              </w:rPr>
            </w:pPr>
          </w:p>
        </w:tc>
      </w:tr>
      <w:tr w:rsidR="004E2B4D" w:rsidRPr="00E834EF" w14:paraId="5EA7FC7F" w14:textId="77777777" w:rsidTr="004E2B4D">
        <w:tc>
          <w:tcPr>
            <w:tcW w:w="3254" w:type="dxa"/>
            <w:vAlign w:val="bottom"/>
          </w:tcPr>
          <w:p w14:paraId="602C686E" w14:textId="77777777" w:rsidR="004E2B4D" w:rsidRDefault="004E2B4D" w:rsidP="004E2B4D">
            <w:pPr>
              <w:tabs>
                <w:tab w:val="right" w:leader="dot" w:pos="3255"/>
              </w:tabs>
              <w:bidi/>
              <w:spacing w:before="40" w:after="40"/>
              <w:ind w:left="12"/>
              <w:rPr>
                <w:b/>
                <w:bCs/>
                <w:color w:val="000000"/>
                <w:sz w:val="17"/>
                <w:szCs w:val="17"/>
              </w:rPr>
            </w:pPr>
            <w:r>
              <w:rPr>
                <w:rFonts w:hint="cs"/>
                <w:b/>
                <w:bCs/>
                <w:color w:val="000000"/>
                <w:sz w:val="17"/>
                <w:szCs w:val="17"/>
                <w:rtl/>
              </w:rPr>
              <w:t xml:space="preserve">إيرادات </w:t>
            </w:r>
            <w:r w:rsidR="00607B02">
              <w:rPr>
                <w:rFonts w:hint="cs"/>
                <w:b/>
                <w:bCs/>
                <w:color w:val="000000"/>
                <w:sz w:val="17"/>
                <w:szCs w:val="17"/>
                <w:rtl/>
              </w:rPr>
              <w:t>نقل</w:t>
            </w:r>
            <w:r>
              <w:rPr>
                <w:rFonts w:hint="cs"/>
                <w:b/>
                <w:bCs/>
                <w:color w:val="000000"/>
                <w:sz w:val="17"/>
                <w:szCs w:val="17"/>
                <w:rtl/>
              </w:rPr>
              <w:t xml:space="preserve"> المنتجات</w:t>
            </w:r>
            <w:r w:rsidRPr="0054596C">
              <w:rPr>
                <w:sz w:val="17"/>
              </w:rPr>
              <w:tab/>
            </w:r>
          </w:p>
        </w:tc>
        <w:tc>
          <w:tcPr>
            <w:tcW w:w="242" w:type="dxa"/>
            <w:vAlign w:val="bottom"/>
          </w:tcPr>
          <w:p w14:paraId="22AF1E1A" w14:textId="77777777" w:rsidR="004E2B4D" w:rsidRPr="00E834EF" w:rsidRDefault="004E2B4D" w:rsidP="004E2B4D">
            <w:pPr>
              <w:spacing w:before="40" w:after="40"/>
              <w:rPr>
                <w:sz w:val="17"/>
                <w:szCs w:val="17"/>
              </w:rPr>
            </w:pPr>
          </w:p>
        </w:tc>
        <w:tc>
          <w:tcPr>
            <w:tcW w:w="913" w:type="dxa"/>
            <w:vAlign w:val="bottom"/>
          </w:tcPr>
          <w:p w14:paraId="332292A1" w14:textId="77777777" w:rsidR="004E2B4D" w:rsidRPr="000A73F0" w:rsidRDefault="004E2B4D" w:rsidP="004E2B4D">
            <w:pPr>
              <w:spacing w:before="40" w:after="40"/>
              <w:jc w:val="right"/>
              <w:rPr>
                <w:color w:val="000000"/>
                <w:sz w:val="17"/>
                <w:szCs w:val="17"/>
              </w:rPr>
            </w:pPr>
            <w:r>
              <w:rPr>
                <w:color w:val="000000"/>
                <w:sz w:val="17"/>
                <w:szCs w:val="17"/>
              </w:rPr>
              <w:t>78.5</w:t>
            </w:r>
          </w:p>
        </w:tc>
        <w:tc>
          <w:tcPr>
            <w:tcW w:w="252" w:type="dxa"/>
            <w:gridSpan w:val="2"/>
            <w:vAlign w:val="bottom"/>
          </w:tcPr>
          <w:p w14:paraId="505FF365" w14:textId="77777777" w:rsidR="004E2B4D" w:rsidRPr="007766C5" w:rsidRDefault="004E2B4D" w:rsidP="004E2B4D">
            <w:pPr>
              <w:spacing w:before="40" w:after="40"/>
              <w:rPr>
                <w:color w:val="000000"/>
                <w:sz w:val="17"/>
                <w:szCs w:val="17"/>
              </w:rPr>
            </w:pPr>
          </w:p>
        </w:tc>
        <w:tc>
          <w:tcPr>
            <w:tcW w:w="924" w:type="dxa"/>
            <w:vAlign w:val="bottom"/>
          </w:tcPr>
          <w:p w14:paraId="0C09396B" w14:textId="77777777" w:rsidR="004E2B4D" w:rsidRPr="007766C5" w:rsidRDefault="004E2B4D" w:rsidP="004E2B4D">
            <w:pPr>
              <w:spacing w:before="40" w:after="40"/>
              <w:jc w:val="right"/>
              <w:rPr>
                <w:color w:val="000000"/>
                <w:sz w:val="17"/>
                <w:szCs w:val="17"/>
              </w:rPr>
            </w:pPr>
            <w:r>
              <w:rPr>
                <w:color w:val="000000"/>
                <w:sz w:val="17"/>
                <w:szCs w:val="17"/>
              </w:rPr>
              <w:t>150.0</w:t>
            </w:r>
          </w:p>
        </w:tc>
        <w:tc>
          <w:tcPr>
            <w:tcW w:w="242" w:type="dxa"/>
            <w:vAlign w:val="bottom"/>
          </w:tcPr>
          <w:p w14:paraId="58EC7B89" w14:textId="77777777" w:rsidR="004E2B4D" w:rsidRPr="007766C5" w:rsidRDefault="004E2B4D" w:rsidP="004E2B4D">
            <w:pPr>
              <w:spacing w:before="40" w:after="40"/>
              <w:rPr>
                <w:color w:val="000000"/>
                <w:sz w:val="17"/>
                <w:szCs w:val="17"/>
              </w:rPr>
            </w:pPr>
          </w:p>
        </w:tc>
        <w:tc>
          <w:tcPr>
            <w:tcW w:w="924" w:type="dxa"/>
            <w:vAlign w:val="bottom"/>
          </w:tcPr>
          <w:p w14:paraId="034C236B" w14:textId="77777777" w:rsidR="004E2B4D" w:rsidRPr="007766C5" w:rsidRDefault="004E2B4D" w:rsidP="004E2B4D">
            <w:pPr>
              <w:spacing w:before="40" w:after="40"/>
              <w:jc w:val="right"/>
              <w:rPr>
                <w:color w:val="000000"/>
                <w:sz w:val="17"/>
                <w:szCs w:val="17"/>
              </w:rPr>
            </w:pPr>
            <w:r>
              <w:rPr>
                <w:color w:val="000000"/>
                <w:sz w:val="17"/>
                <w:szCs w:val="17"/>
              </w:rPr>
              <w:t>215.5</w:t>
            </w:r>
          </w:p>
        </w:tc>
        <w:tc>
          <w:tcPr>
            <w:tcW w:w="242" w:type="dxa"/>
            <w:vAlign w:val="bottom"/>
          </w:tcPr>
          <w:p w14:paraId="1AF781E3" w14:textId="77777777" w:rsidR="004E2B4D" w:rsidRPr="007766C5" w:rsidRDefault="004E2B4D" w:rsidP="004E2B4D">
            <w:pPr>
              <w:spacing w:before="40" w:after="40"/>
              <w:rPr>
                <w:sz w:val="17"/>
                <w:szCs w:val="17"/>
              </w:rPr>
            </w:pPr>
          </w:p>
        </w:tc>
        <w:tc>
          <w:tcPr>
            <w:tcW w:w="924" w:type="dxa"/>
            <w:vAlign w:val="bottom"/>
          </w:tcPr>
          <w:p w14:paraId="243E95EB" w14:textId="77777777" w:rsidR="004E2B4D" w:rsidRPr="007766C5" w:rsidRDefault="004E2B4D" w:rsidP="004E2B4D">
            <w:pPr>
              <w:spacing w:before="40" w:after="40"/>
              <w:jc w:val="right"/>
              <w:rPr>
                <w:sz w:val="17"/>
                <w:szCs w:val="17"/>
              </w:rPr>
            </w:pPr>
            <w:r>
              <w:rPr>
                <w:sz w:val="17"/>
                <w:szCs w:val="17"/>
              </w:rPr>
              <w:t>158.8</w:t>
            </w:r>
          </w:p>
        </w:tc>
        <w:tc>
          <w:tcPr>
            <w:tcW w:w="227" w:type="dxa"/>
            <w:vAlign w:val="bottom"/>
          </w:tcPr>
          <w:p w14:paraId="100A288C" w14:textId="77777777" w:rsidR="004E2B4D" w:rsidRPr="007766C5" w:rsidRDefault="004E2B4D" w:rsidP="004E2B4D">
            <w:pPr>
              <w:spacing w:before="40" w:after="40"/>
              <w:rPr>
                <w:sz w:val="17"/>
                <w:szCs w:val="17"/>
              </w:rPr>
            </w:pPr>
          </w:p>
        </w:tc>
        <w:tc>
          <w:tcPr>
            <w:tcW w:w="939" w:type="dxa"/>
            <w:vAlign w:val="bottom"/>
          </w:tcPr>
          <w:p w14:paraId="70C243F8" w14:textId="77777777" w:rsidR="004E2B4D" w:rsidRPr="007766C5" w:rsidRDefault="004E2B4D" w:rsidP="004E2B4D">
            <w:pPr>
              <w:spacing w:before="40" w:after="40"/>
              <w:jc w:val="right"/>
              <w:rPr>
                <w:sz w:val="17"/>
                <w:szCs w:val="17"/>
              </w:rPr>
            </w:pPr>
            <w:r>
              <w:rPr>
                <w:sz w:val="17"/>
                <w:szCs w:val="17"/>
              </w:rPr>
              <w:t>192.8</w:t>
            </w:r>
          </w:p>
        </w:tc>
        <w:tc>
          <w:tcPr>
            <w:tcW w:w="266" w:type="dxa"/>
          </w:tcPr>
          <w:p w14:paraId="67B67B60" w14:textId="77777777" w:rsidR="004E2B4D" w:rsidRPr="000D2863" w:rsidRDefault="004E2B4D" w:rsidP="004E2B4D">
            <w:pPr>
              <w:spacing w:before="40" w:after="40"/>
              <w:rPr>
                <w:sz w:val="17"/>
                <w:szCs w:val="17"/>
              </w:rPr>
            </w:pPr>
          </w:p>
        </w:tc>
      </w:tr>
      <w:tr w:rsidR="004E2B4D" w:rsidRPr="00E834EF" w14:paraId="72F6CDFD" w14:textId="77777777" w:rsidTr="004E2B4D">
        <w:tc>
          <w:tcPr>
            <w:tcW w:w="3254" w:type="dxa"/>
          </w:tcPr>
          <w:p w14:paraId="6D8E802E" w14:textId="77777777" w:rsidR="004E2B4D" w:rsidRDefault="004E2B4D" w:rsidP="004E2B4D">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0ED86212" w14:textId="77777777" w:rsidR="004E2B4D" w:rsidRPr="00E834EF" w:rsidRDefault="0024519B" w:rsidP="004E2B4D">
            <w:pPr>
              <w:spacing w:before="40" w:after="40"/>
              <w:rPr>
                <w:sz w:val="17"/>
                <w:szCs w:val="17"/>
              </w:rPr>
            </w:pPr>
            <w:r>
              <w:rPr>
                <w:sz w:val="17"/>
                <w:szCs w:val="17"/>
              </w:rPr>
              <w:t>)</w:t>
            </w:r>
          </w:p>
        </w:tc>
        <w:tc>
          <w:tcPr>
            <w:tcW w:w="913" w:type="dxa"/>
            <w:tcBorders>
              <w:bottom w:val="single" w:sz="4" w:space="0" w:color="auto"/>
            </w:tcBorders>
            <w:vAlign w:val="bottom"/>
          </w:tcPr>
          <w:p w14:paraId="1E36FBAC" w14:textId="77777777" w:rsidR="004E2B4D" w:rsidRPr="000A73F0" w:rsidRDefault="004E2B4D" w:rsidP="004E2B4D">
            <w:pPr>
              <w:spacing w:before="40" w:after="40"/>
              <w:jc w:val="right"/>
              <w:rPr>
                <w:color w:val="000000"/>
                <w:sz w:val="17"/>
                <w:szCs w:val="17"/>
              </w:rPr>
            </w:pPr>
            <w:r>
              <w:rPr>
                <w:color w:val="000000"/>
                <w:sz w:val="17"/>
                <w:szCs w:val="17"/>
              </w:rPr>
              <w:t>(4.7</w:t>
            </w:r>
          </w:p>
        </w:tc>
        <w:tc>
          <w:tcPr>
            <w:tcW w:w="252" w:type="dxa"/>
            <w:gridSpan w:val="2"/>
            <w:vAlign w:val="bottom"/>
          </w:tcPr>
          <w:p w14:paraId="3E61B2A0" w14:textId="77777777" w:rsidR="004E2B4D" w:rsidRPr="007766C5" w:rsidRDefault="004E2B4D" w:rsidP="004E2B4D">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450E865B" w14:textId="77777777" w:rsidR="004E2B4D" w:rsidRPr="007766C5" w:rsidRDefault="004E2B4D" w:rsidP="004E2B4D">
            <w:pPr>
              <w:spacing w:before="40" w:after="40"/>
              <w:jc w:val="right"/>
              <w:rPr>
                <w:color w:val="000000"/>
                <w:sz w:val="17"/>
                <w:szCs w:val="17"/>
              </w:rPr>
            </w:pPr>
            <w:r>
              <w:rPr>
                <w:color w:val="000000"/>
                <w:sz w:val="17"/>
                <w:szCs w:val="17"/>
              </w:rPr>
              <w:t>(21.7</w:t>
            </w:r>
          </w:p>
        </w:tc>
        <w:tc>
          <w:tcPr>
            <w:tcW w:w="242" w:type="dxa"/>
            <w:vAlign w:val="bottom"/>
          </w:tcPr>
          <w:p w14:paraId="59452FEB" w14:textId="77777777" w:rsidR="004E2B4D" w:rsidRPr="007766C5" w:rsidRDefault="004E2B4D" w:rsidP="004E2B4D">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4E4C2290" w14:textId="77777777" w:rsidR="004E2B4D" w:rsidRPr="007766C5" w:rsidRDefault="004E2B4D" w:rsidP="004E2B4D">
            <w:pPr>
              <w:spacing w:before="40" w:after="40"/>
              <w:jc w:val="right"/>
              <w:rPr>
                <w:color w:val="000000"/>
                <w:sz w:val="17"/>
                <w:szCs w:val="17"/>
              </w:rPr>
            </w:pPr>
            <w:r>
              <w:rPr>
                <w:color w:val="000000"/>
                <w:sz w:val="17"/>
                <w:szCs w:val="17"/>
              </w:rPr>
              <w:t>(15.6</w:t>
            </w:r>
          </w:p>
        </w:tc>
        <w:tc>
          <w:tcPr>
            <w:tcW w:w="242" w:type="dxa"/>
            <w:vAlign w:val="bottom"/>
          </w:tcPr>
          <w:p w14:paraId="59D6C022" w14:textId="77777777" w:rsidR="004E2B4D" w:rsidRPr="007766C5" w:rsidRDefault="004E2B4D" w:rsidP="004E2B4D">
            <w:pPr>
              <w:spacing w:before="40" w:after="40"/>
              <w:rPr>
                <w:sz w:val="17"/>
                <w:szCs w:val="17"/>
              </w:rPr>
            </w:pPr>
            <w:r>
              <w:rPr>
                <w:sz w:val="17"/>
                <w:szCs w:val="17"/>
              </w:rPr>
              <w:t>)</w:t>
            </w:r>
          </w:p>
        </w:tc>
        <w:tc>
          <w:tcPr>
            <w:tcW w:w="924" w:type="dxa"/>
            <w:tcBorders>
              <w:bottom w:val="single" w:sz="4" w:space="0" w:color="auto"/>
            </w:tcBorders>
            <w:vAlign w:val="bottom"/>
          </w:tcPr>
          <w:p w14:paraId="1E95BFAE" w14:textId="77777777" w:rsidR="004E2B4D" w:rsidRPr="007766C5" w:rsidRDefault="004E2B4D" w:rsidP="004E2B4D">
            <w:pPr>
              <w:spacing w:before="40" w:after="40"/>
              <w:jc w:val="right"/>
              <w:rPr>
                <w:sz w:val="17"/>
                <w:szCs w:val="17"/>
              </w:rPr>
            </w:pPr>
            <w:r>
              <w:rPr>
                <w:sz w:val="17"/>
                <w:szCs w:val="17"/>
              </w:rPr>
              <w:t>(14.7</w:t>
            </w:r>
          </w:p>
        </w:tc>
        <w:tc>
          <w:tcPr>
            <w:tcW w:w="227" w:type="dxa"/>
            <w:vAlign w:val="bottom"/>
          </w:tcPr>
          <w:p w14:paraId="71E73C31" w14:textId="77777777" w:rsidR="004E2B4D" w:rsidRPr="007766C5" w:rsidRDefault="004E2B4D" w:rsidP="004E2B4D">
            <w:pPr>
              <w:spacing w:before="40" w:after="40"/>
              <w:rPr>
                <w:sz w:val="17"/>
                <w:szCs w:val="17"/>
              </w:rPr>
            </w:pPr>
            <w:r>
              <w:rPr>
                <w:sz w:val="17"/>
                <w:szCs w:val="17"/>
              </w:rPr>
              <w:t>)</w:t>
            </w:r>
          </w:p>
        </w:tc>
        <w:tc>
          <w:tcPr>
            <w:tcW w:w="939" w:type="dxa"/>
            <w:tcBorders>
              <w:bottom w:val="single" w:sz="4" w:space="0" w:color="auto"/>
            </w:tcBorders>
            <w:vAlign w:val="bottom"/>
          </w:tcPr>
          <w:p w14:paraId="4EFD16AA" w14:textId="77777777" w:rsidR="004E2B4D" w:rsidRPr="007766C5" w:rsidRDefault="004E2B4D" w:rsidP="004E2B4D">
            <w:pPr>
              <w:spacing w:before="40" w:after="40"/>
              <w:jc w:val="right"/>
              <w:rPr>
                <w:sz w:val="17"/>
                <w:szCs w:val="17"/>
              </w:rPr>
            </w:pPr>
            <w:r>
              <w:rPr>
                <w:sz w:val="17"/>
                <w:szCs w:val="17"/>
              </w:rPr>
              <w:t>(1.7</w:t>
            </w:r>
          </w:p>
        </w:tc>
        <w:tc>
          <w:tcPr>
            <w:tcW w:w="266" w:type="dxa"/>
            <w:vAlign w:val="bottom"/>
          </w:tcPr>
          <w:p w14:paraId="5E5B6321" w14:textId="77777777" w:rsidR="004E2B4D" w:rsidRPr="007766C5" w:rsidRDefault="004E2B4D" w:rsidP="004E2B4D">
            <w:pPr>
              <w:spacing w:before="40" w:after="40"/>
              <w:rPr>
                <w:sz w:val="17"/>
                <w:szCs w:val="17"/>
              </w:rPr>
            </w:pPr>
          </w:p>
        </w:tc>
      </w:tr>
      <w:tr w:rsidR="004E2B4D" w:rsidRPr="00E834EF" w14:paraId="69CB0D6D" w14:textId="77777777" w:rsidTr="004E2B4D">
        <w:tc>
          <w:tcPr>
            <w:tcW w:w="3254" w:type="dxa"/>
          </w:tcPr>
          <w:p w14:paraId="01495D6C" w14:textId="77777777" w:rsidR="004E2B4D" w:rsidRDefault="004E2B4D" w:rsidP="004E2B4D">
            <w:pPr>
              <w:tabs>
                <w:tab w:val="right" w:leader="dot" w:pos="3255"/>
              </w:tabs>
              <w:bidi/>
              <w:spacing w:before="40" w:after="40"/>
              <w:rPr>
                <w:b/>
                <w:bCs/>
                <w:sz w:val="17"/>
                <w:szCs w:val="17"/>
                <w:u w:val="single"/>
              </w:rPr>
            </w:pPr>
            <w:r w:rsidRPr="002A4B5D">
              <w:rPr>
                <w:rFonts w:hint="cs"/>
                <w:b/>
                <w:bCs/>
                <w:sz w:val="17"/>
                <w:szCs w:val="17"/>
                <w:u w:val="single"/>
                <w:rtl/>
              </w:rPr>
              <w:t xml:space="preserve">إيرادات مكافئ تأجير السفن المجهزة بالمدة </w:t>
            </w:r>
            <w:r>
              <w:rPr>
                <w:rFonts w:hint="cs"/>
                <w:b/>
                <w:bCs/>
                <w:sz w:val="17"/>
                <w:szCs w:val="17"/>
                <w:u w:val="single"/>
                <w:rtl/>
              </w:rPr>
              <w:t>للمنتجات</w:t>
            </w:r>
            <w:r w:rsidRPr="007D2480">
              <w:rPr>
                <w:sz w:val="17"/>
              </w:rPr>
              <w:tab/>
            </w:r>
          </w:p>
        </w:tc>
        <w:tc>
          <w:tcPr>
            <w:tcW w:w="242" w:type="dxa"/>
            <w:vAlign w:val="bottom"/>
          </w:tcPr>
          <w:p w14:paraId="7691AB1C" w14:textId="77777777" w:rsidR="004E2B4D" w:rsidRPr="00E834EF" w:rsidRDefault="004E2B4D" w:rsidP="004E2B4D">
            <w:pPr>
              <w:spacing w:before="40" w:after="40"/>
              <w:rPr>
                <w:sz w:val="17"/>
                <w:szCs w:val="17"/>
              </w:rPr>
            </w:pPr>
          </w:p>
        </w:tc>
        <w:tc>
          <w:tcPr>
            <w:tcW w:w="913" w:type="dxa"/>
            <w:tcBorders>
              <w:top w:val="single" w:sz="4" w:space="0" w:color="auto"/>
            </w:tcBorders>
            <w:vAlign w:val="bottom"/>
          </w:tcPr>
          <w:p w14:paraId="4D5E37D3" w14:textId="77777777" w:rsidR="004E2B4D" w:rsidRPr="002163D4" w:rsidRDefault="004E2B4D" w:rsidP="004E2B4D">
            <w:pPr>
              <w:spacing w:before="40" w:after="40"/>
              <w:jc w:val="right"/>
              <w:rPr>
                <w:b/>
                <w:bCs/>
                <w:color w:val="000000"/>
                <w:sz w:val="16"/>
                <w:szCs w:val="16"/>
              </w:rPr>
            </w:pPr>
            <w:r w:rsidRPr="007A3BB2">
              <w:rPr>
                <w:color w:val="000000"/>
                <w:sz w:val="16"/>
                <w:szCs w:val="16"/>
              </w:rPr>
              <w:t>73.8</w:t>
            </w:r>
          </w:p>
        </w:tc>
        <w:tc>
          <w:tcPr>
            <w:tcW w:w="252" w:type="dxa"/>
            <w:gridSpan w:val="2"/>
            <w:vAlign w:val="bottom"/>
          </w:tcPr>
          <w:p w14:paraId="32907930" w14:textId="77777777" w:rsidR="004E2B4D" w:rsidRPr="002163D4" w:rsidRDefault="004E2B4D" w:rsidP="004E2B4D">
            <w:pPr>
              <w:spacing w:before="40" w:after="40"/>
              <w:rPr>
                <w:b/>
                <w:bCs/>
                <w:color w:val="000000"/>
                <w:sz w:val="16"/>
                <w:szCs w:val="16"/>
              </w:rPr>
            </w:pPr>
          </w:p>
        </w:tc>
        <w:tc>
          <w:tcPr>
            <w:tcW w:w="924" w:type="dxa"/>
            <w:tcBorders>
              <w:top w:val="single" w:sz="4" w:space="0" w:color="auto"/>
            </w:tcBorders>
            <w:vAlign w:val="bottom"/>
          </w:tcPr>
          <w:p w14:paraId="6B85F09D" w14:textId="77777777" w:rsidR="004E2B4D" w:rsidRPr="002163D4" w:rsidRDefault="004E2B4D" w:rsidP="004E2B4D">
            <w:pPr>
              <w:spacing w:before="40" w:after="40"/>
              <w:jc w:val="right"/>
              <w:rPr>
                <w:b/>
                <w:bCs/>
                <w:color w:val="000000"/>
                <w:sz w:val="16"/>
                <w:szCs w:val="16"/>
              </w:rPr>
            </w:pPr>
            <w:r w:rsidRPr="007A3BB2">
              <w:rPr>
                <w:color w:val="000000"/>
                <w:sz w:val="16"/>
                <w:szCs w:val="16"/>
              </w:rPr>
              <w:t>128.3</w:t>
            </w:r>
          </w:p>
        </w:tc>
        <w:tc>
          <w:tcPr>
            <w:tcW w:w="242" w:type="dxa"/>
            <w:vAlign w:val="bottom"/>
          </w:tcPr>
          <w:p w14:paraId="0C6CB07F" w14:textId="77777777" w:rsidR="004E2B4D" w:rsidRPr="002163D4" w:rsidRDefault="004E2B4D" w:rsidP="004E2B4D">
            <w:pPr>
              <w:spacing w:before="40" w:after="40"/>
              <w:rPr>
                <w:b/>
                <w:bCs/>
                <w:color w:val="000000"/>
                <w:sz w:val="16"/>
                <w:szCs w:val="16"/>
              </w:rPr>
            </w:pPr>
          </w:p>
        </w:tc>
        <w:tc>
          <w:tcPr>
            <w:tcW w:w="924" w:type="dxa"/>
            <w:tcBorders>
              <w:top w:val="single" w:sz="4" w:space="0" w:color="auto"/>
            </w:tcBorders>
            <w:vAlign w:val="bottom"/>
          </w:tcPr>
          <w:p w14:paraId="40BBBC8C" w14:textId="77777777" w:rsidR="004E2B4D" w:rsidRPr="002163D4" w:rsidRDefault="004E2B4D" w:rsidP="004E2B4D">
            <w:pPr>
              <w:spacing w:before="40" w:after="40"/>
              <w:jc w:val="right"/>
              <w:rPr>
                <w:b/>
                <w:bCs/>
                <w:color w:val="000000"/>
                <w:sz w:val="16"/>
                <w:szCs w:val="16"/>
              </w:rPr>
            </w:pPr>
            <w:r w:rsidRPr="007A3BB2">
              <w:rPr>
                <w:color w:val="000000"/>
                <w:sz w:val="16"/>
                <w:szCs w:val="16"/>
              </w:rPr>
              <w:t>199.9</w:t>
            </w:r>
          </w:p>
        </w:tc>
        <w:tc>
          <w:tcPr>
            <w:tcW w:w="242" w:type="dxa"/>
            <w:vAlign w:val="bottom"/>
          </w:tcPr>
          <w:p w14:paraId="7D3D1A7A" w14:textId="77777777" w:rsidR="004E2B4D" w:rsidRPr="002163D4" w:rsidRDefault="004E2B4D" w:rsidP="004E2B4D">
            <w:pPr>
              <w:spacing w:before="40" w:after="40"/>
              <w:rPr>
                <w:b/>
                <w:bCs/>
                <w:sz w:val="16"/>
                <w:szCs w:val="16"/>
              </w:rPr>
            </w:pPr>
          </w:p>
        </w:tc>
        <w:tc>
          <w:tcPr>
            <w:tcW w:w="924" w:type="dxa"/>
            <w:tcBorders>
              <w:top w:val="single" w:sz="4" w:space="0" w:color="auto"/>
            </w:tcBorders>
            <w:vAlign w:val="bottom"/>
          </w:tcPr>
          <w:p w14:paraId="2C2DAF6F" w14:textId="77777777" w:rsidR="004E2B4D" w:rsidRPr="002163D4" w:rsidRDefault="004E2B4D" w:rsidP="004E2B4D">
            <w:pPr>
              <w:spacing w:before="40" w:after="40"/>
              <w:jc w:val="right"/>
              <w:rPr>
                <w:b/>
                <w:bCs/>
                <w:sz w:val="16"/>
                <w:szCs w:val="16"/>
              </w:rPr>
            </w:pPr>
            <w:r w:rsidRPr="007A3BB2">
              <w:rPr>
                <w:color w:val="000000"/>
                <w:sz w:val="16"/>
                <w:szCs w:val="16"/>
              </w:rPr>
              <w:t>144.1</w:t>
            </w:r>
          </w:p>
        </w:tc>
        <w:tc>
          <w:tcPr>
            <w:tcW w:w="227" w:type="dxa"/>
            <w:vAlign w:val="bottom"/>
          </w:tcPr>
          <w:p w14:paraId="6FB00B90" w14:textId="77777777" w:rsidR="004E2B4D" w:rsidRPr="002163D4" w:rsidRDefault="004E2B4D" w:rsidP="004E2B4D">
            <w:pPr>
              <w:spacing w:before="40" w:after="40"/>
              <w:rPr>
                <w:b/>
                <w:bCs/>
                <w:sz w:val="16"/>
                <w:szCs w:val="16"/>
              </w:rPr>
            </w:pPr>
          </w:p>
        </w:tc>
        <w:tc>
          <w:tcPr>
            <w:tcW w:w="939" w:type="dxa"/>
            <w:tcBorders>
              <w:top w:val="single" w:sz="4" w:space="0" w:color="auto"/>
            </w:tcBorders>
            <w:vAlign w:val="bottom"/>
          </w:tcPr>
          <w:p w14:paraId="4FB89623" w14:textId="77777777" w:rsidR="004E2B4D" w:rsidRPr="002163D4" w:rsidRDefault="004E2B4D" w:rsidP="004E2B4D">
            <w:pPr>
              <w:spacing w:before="40" w:after="40"/>
              <w:jc w:val="right"/>
              <w:rPr>
                <w:b/>
                <w:bCs/>
                <w:sz w:val="16"/>
                <w:szCs w:val="16"/>
              </w:rPr>
            </w:pPr>
            <w:r w:rsidRPr="007A3BB2">
              <w:rPr>
                <w:color w:val="000000"/>
                <w:sz w:val="16"/>
                <w:szCs w:val="16"/>
              </w:rPr>
              <w:t>191.0</w:t>
            </w:r>
          </w:p>
        </w:tc>
        <w:tc>
          <w:tcPr>
            <w:tcW w:w="266" w:type="dxa"/>
          </w:tcPr>
          <w:p w14:paraId="77649C3F" w14:textId="77777777" w:rsidR="004E2B4D" w:rsidRPr="002163D4" w:rsidRDefault="004E2B4D" w:rsidP="004E2B4D">
            <w:pPr>
              <w:spacing w:before="40" w:after="40"/>
              <w:rPr>
                <w:b/>
                <w:bCs/>
                <w:sz w:val="16"/>
                <w:szCs w:val="16"/>
              </w:rPr>
            </w:pPr>
          </w:p>
        </w:tc>
      </w:tr>
      <w:tr w:rsidR="004E2B4D" w:rsidRPr="00E834EF" w14:paraId="51D69B78" w14:textId="77777777" w:rsidTr="004E2B4D">
        <w:tc>
          <w:tcPr>
            <w:tcW w:w="3254" w:type="dxa"/>
          </w:tcPr>
          <w:p w14:paraId="2DCF0835" w14:textId="77777777" w:rsidR="004E2B4D" w:rsidRDefault="004E2B4D" w:rsidP="004E2B4D">
            <w:pPr>
              <w:tabs>
                <w:tab w:val="right" w:leader="dot" w:pos="3255"/>
              </w:tabs>
              <w:bidi/>
              <w:spacing w:before="40" w:after="40"/>
              <w:rPr>
                <w:b/>
                <w:bCs/>
                <w:sz w:val="17"/>
                <w:szCs w:val="17"/>
                <w:u w:val="single"/>
              </w:rPr>
            </w:pPr>
          </w:p>
        </w:tc>
        <w:tc>
          <w:tcPr>
            <w:tcW w:w="242" w:type="dxa"/>
            <w:vAlign w:val="bottom"/>
          </w:tcPr>
          <w:p w14:paraId="7A7AAB86" w14:textId="77777777" w:rsidR="004E2B4D" w:rsidRPr="00E834EF" w:rsidRDefault="004E2B4D" w:rsidP="004E2B4D">
            <w:pPr>
              <w:spacing w:before="40" w:after="40"/>
              <w:rPr>
                <w:sz w:val="17"/>
                <w:szCs w:val="17"/>
              </w:rPr>
            </w:pPr>
          </w:p>
        </w:tc>
        <w:tc>
          <w:tcPr>
            <w:tcW w:w="913" w:type="dxa"/>
            <w:vAlign w:val="bottom"/>
          </w:tcPr>
          <w:p w14:paraId="4F131E74" w14:textId="77777777" w:rsidR="004E2B4D" w:rsidRPr="007766C5" w:rsidRDefault="004E2B4D" w:rsidP="004E2B4D">
            <w:pPr>
              <w:spacing w:before="40" w:after="40"/>
              <w:jc w:val="right"/>
              <w:rPr>
                <w:b/>
                <w:bCs/>
                <w:sz w:val="17"/>
                <w:szCs w:val="17"/>
              </w:rPr>
            </w:pPr>
          </w:p>
        </w:tc>
        <w:tc>
          <w:tcPr>
            <w:tcW w:w="252" w:type="dxa"/>
            <w:gridSpan w:val="2"/>
            <w:vAlign w:val="bottom"/>
          </w:tcPr>
          <w:p w14:paraId="2B841BD6" w14:textId="77777777" w:rsidR="004E2B4D" w:rsidRPr="007766C5" w:rsidRDefault="004E2B4D" w:rsidP="004E2B4D">
            <w:pPr>
              <w:spacing w:before="40" w:after="40"/>
              <w:rPr>
                <w:b/>
                <w:bCs/>
                <w:color w:val="000000"/>
                <w:sz w:val="17"/>
                <w:szCs w:val="17"/>
              </w:rPr>
            </w:pPr>
          </w:p>
        </w:tc>
        <w:tc>
          <w:tcPr>
            <w:tcW w:w="924" w:type="dxa"/>
            <w:vAlign w:val="bottom"/>
          </w:tcPr>
          <w:p w14:paraId="062CB677" w14:textId="77777777" w:rsidR="004E2B4D" w:rsidRPr="007766C5" w:rsidRDefault="004E2B4D" w:rsidP="004E2B4D">
            <w:pPr>
              <w:spacing w:before="40" w:after="40"/>
              <w:jc w:val="right"/>
              <w:rPr>
                <w:b/>
                <w:bCs/>
                <w:sz w:val="17"/>
                <w:szCs w:val="17"/>
              </w:rPr>
            </w:pPr>
          </w:p>
        </w:tc>
        <w:tc>
          <w:tcPr>
            <w:tcW w:w="242" w:type="dxa"/>
            <w:vAlign w:val="bottom"/>
          </w:tcPr>
          <w:p w14:paraId="7C609EE9" w14:textId="77777777" w:rsidR="004E2B4D" w:rsidRPr="007766C5" w:rsidRDefault="004E2B4D" w:rsidP="004E2B4D">
            <w:pPr>
              <w:spacing w:before="40" w:after="40"/>
              <w:rPr>
                <w:b/>
                <w:bCs/>
                <w:color w:val="000000"/>
                <w:sz w:val="17"/>
                <w:szCs w:val="17"/>
              </w:rPr>
            </w:pPr>
          </w:p>
        </w:tc>
        <w:tc>
          <w:tcPr>
            <w:tcW w:w="924" w:type="dxa"/>
            <w:vAlign w:val="bottom"/>
          </w:tcPr>
          <w:p w14:paraId="21BD4CE1" w14:textId="77777777" w:rsidR="004E2B4D" w:rsidRPr="007766C5" w:rsidRDefault="004E2B4D" w:rsidP="004E2B4D">
            <w:pPr>
              <w:spacing w:before="40" w:after="40"/>
              <w:jc w:val="right"/>
              <w:rPr>
                <w:b/>
                <w:bCs/>
                <w:sz w:val="17"/>
                <w:szCs w:val="17"/>
              </w:rPr>
            </w:pPr>
          </w:p>
        </w:tc>
        <w:tc>
          <w:tcPr>
            <w:tcW w:w="242" w:type="dxa"/>
            <w:vAlign w:val="bottom"/>
          </w:tcPr>
          <w:p w14:paraId="763B0D81" w14:textId="77777777" w:rsidR="004E2B4D" w:rsidRPr="007766C5" w:rsidRDefault="004E2B4D" w:rsidP="004E2B4D">
            <w:pPr>
              <w:spacing w:before="40" w:after="40"/>
              <w:rPr>
                <w:b/>
                <w:bCs/>
                <w:sz w:val="17"/>
                <w:szCs w:val="17"/>
              </w:rPr>
            </w:pPr>
          </w:p>
        </w:tc>
        <w:tc>
          <w:tcPr>
            <w:tcW w:w="924" w:type="dxa"/>
            <w:vAlign w:val="bottom"/>
          </w:tcPr>
          <w:p w14:paraId="52820FCA" w14:textId="77777777" w:rsidR="004E2B4D" w:rsidRPr="007766C5" w:rsidRDefault="004E2B4D" w:rsidP="004E2B4D">
            <w:pPr>
              <w:spacing w:before="40" w:after="40"/>
              <w:jc w:val="right"/>
              <w:rPr>
                <w:b/>
                <w:bCs/>
                <w:sz w:val="17"/>
                <w:szCs w:val="17"/>
              </w:rPr>
            </w:pPr>
          </w:p>
        </w:tc>
        <w:tc>
          <w:tcPr>
            <w:tcW w:w="227" w:type="dxa"/>
            <w:vAlign w:val="bottom"/>
          </w:tcPr>
          <w:p w14:paraId="62A49105" w14:textId="77777777" w:rsidR="004E2B4D" w:rsidRPr="007766C5" w:rsidRDefault="004E2B4D" w:rsidP="004E2B4D">
            <w:pPr>
              <w:spacing w:before="40" w:after="40"/>
              <w:rPr>
                <w:b/>
                <w:bCs/>
                <w:sz w:val="17"/>
                <w:szCs w:val="17"/>
              </w:rPr>
            </w:pPr>
          </w:p>
        </w:tc>
        <w:tc>
          <w:tcPr>
            <w:tcW w:w="939" w:type="dxa"/>
            <w:vAlign w:val="bottom"/>
          </w:tcPr>
          <w:p w14:paraId="5E5C6872" w14:textId="77777777" w:rsidR="004E2B4D" w:rsidRPr="007766C5" w:rsidRDefault="004E2B4D" w:rsidP="004E2B4D">
            <w:pPr>
              <w:spacing w:before="40" w:after="40"/>
              <w:jc w:val="right"/>
              <w:rPr>
                <w:b/>
                <w:bCs/>
                <w:sz w:val="17"/>
                <w:szCs w:val="17"/>
              </w:rPr>
            </w:pPr>
          </w:p>
        </w:tc>
        <w:tc>
          <w:tcPr>
            <w:tcW w:w="266" w:type="dxa"/>
          </w:tcPr>
          <w:p w14:paraId="1A1FD261" w14:textId="77777777" w:rsidR="004E2B4D" w:rsidRPr="000D2863" w:rsidRDefault="004E2B4D" w:rsidP="004E2B4D">
            <w:pPr>
              <w:spacing w:before="40" w:after="40"/>
              <w:rPr>
                <w:b/>
                <w:bCs/>
                <w:sz w:val="17"/>
                <w:szCs w:val="17"/>
              </w:rPr>
            </w:pPr>
          </w:p>
        </w:tc>
      </w:tr>
      <w:tr w:rsidR="004E2B4D" w:rsidRPr="00E834EF" w14:paraId="2DAC993E" w14:textId="77777777" w:rsidTr="004E2B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bottom"/>
          </w:tcPr>
          <w:p w14:paraId="31172855" w14:textId="77777777" w:rsidR="004E2B4D" w:rsidRDefault="004E2B4D" w:rsidP="004E2B4D">
            <w:pPr>
              <w:tabs>
                <w:tab w:val="right" w:leader="dot" w:pos="3255"/>
              </w:tabs>
              <w:bidi/>
              <w:spacing w:before="40" w:after="40"/>
              <w:ind w:left="12"/>
              <w:rPr>
                <w:b/>
                <w:bCs/>
                <w:color w:val="000000"/>
                <w:sz w:val="17"/>
                <w:szCs w:val="17"/>
              </w:rPr>
            </w:pPr>
            <w:r>
              <w:rPr>
                <w:rFonts w:hint="cs"/>
                <w:b/>
                <w:bCs/>
                <w:color w:val="000000"/>
                <w:sz w:val="17"/>
                <w:szCs w:val="17"/>
                <w:rtl/>
              </w:rPr>
              <w:t xml:space="preserve">إجمالي أرباح </w:t>
            </w:r>
            <w:r w:rsidR="00607B02">
              <w:rPr>
                <w:rFonts w:hint="cs"/>
                <w:b/>
                <w:bCs/>
                <w:color w:val="000000"/>
                <w:sz w:val="17"/>
                <w:szCs w:val="17"/>
                <w:rtl/>
              </w:rPr>
              <w:t>نقل</w:t>
            </w:r>
            <w:r>
              <w:rPr>
                <w:rFonts w:hint="cs"/>
                <w:b/>
                <w:bCs/>
                <w:color w:val="000000"/>
                <w:sz w:val="17"/>
                <w:szCs w:val="17"/>
                <w:rtl/>
              </w:rPr>
              <w:t xml:space="preserve"> للمنتجات</w:t>
            </w:r>
            <w:r w:rsidRPr="0054596C">
              <w:rPr>
                <w:sz w:val="17"/>
              </w:rPr>
              <w:tab/>
            </w:r>
          </w:p>
        </w:tc>
        <w:tc>
          <w:tcPr>
            <w:tcW w:w="242" w:type="dxa"/>
            <w:tcBorders>
              <w:top w:val="nil"/>
              <w:left w:val="nil"/>
              <w:bottom w:val="nil"/>
              <w:right w:val="nil"/>
            </w:tcBorders>
            <w:vAlign w:val="bottom"/>
          </w:tcPr>
          <w:p w14:paraId="60730145" w14:textId="77777777" w:rsidR="004E2B4D" w:rsidRPr="00E834EF" w:rsidRDefault="004E2B4D" w:rsidP="004E2B4D">
            <w:pPr>
              <w:spacing w:before="40" w:after="40"/>
              <w:rPr>
                <w:sz w:val="17"/>
                <w:szCs w:val="17"/>
              </w:rPr>
            </w:pPr>
          </w:p>
        </w:tc>
        <w:tc>
          <w:tcPr>
            <w:tcW w:w="913" w:type="dxa"/>
            <w:tcBorders>
              <w:top w:val="nil"/>
              <w:left w:val="nil"/>
              <w:bottom w:val="nil"/>
              <w:right w:val="nil"/>
            </w:tcBorders>
            <w:vAlign w:val="bottom"/>
          </w:tcPr>
          <w:p w14:paraId="37049D57" w14:textId="77777777" w:rsidR="004E2B4D" w:rsidRPr="007766C5" w:rsidRDefault="004E2B4D" w:rsidP="004E2B4D">
            <w:pPr>
              <w:spacing w:before="40" w:after="40"/>
              <w:jc w:val="right"/>
              <w:rPr>
                <w:color w:val="000000"/>
                <w:sz w:val="17"/>
                <w:szCs w:val="17"/>
              </w:rPr>
            </w:pPr>
            <w:r>
              <w:rPr>
                <w:color w:val="000000"/>
                <w:sz w:val="17"/>
                <w:szCs w:val="17"/>
              </w:rPr>
              <w:t>21.0</w:t>
            </w:r>
          </w:p>
        </w:tc>
        <w:tc>
          <w:tcPr>
            <w:tcW w:w="252" w:type="dxa"/>
            <w:gridSpan w:val="2"/>
            <w:tcBorders>
              <w:top w:val="nil"/>
              <w:left w:val="nil"/>
              <w:bottom w:val="nil"/>
              <w:right w:val="nil"/>
            </w:tcBorders>
            <w:vAlign w:val="bottom"/>
          </w:tcPr>
          <w:p w14:paraId="4714F450" w14:textId="77777777" w:rsidR="004E2B4D" w:rsidRPr="007766C5" w:rsidRDefault="004E2B4D" w:rsidP="004E2B4D">
            <w:pPr>
              <w:spacing w:before="40" w:after="40"/>
              <w:rPr>
                <w:color w:val="000000"/>
                <w:sz w:val="17"/>
                <w:szCs w:val="17"/>
              </w:rPr>
            </w:pPr>
          </w:p>
        </w:tc>
        <w:tc>
          <w:tcPr>
            <w:tcW w:w="924" w:type="dxa"/>
            <w:tcBorders>
              <w:top w:val="nil"/>
              <w:left w:val="nil"/>
              <w:bottom w:val="nil"/>
              <w:right w:val="nil"/>
            </w:tcBorders>
            <w:vAlign w:val="bottom"/>
          </w:tcPr>
          <w:p w14:paraId="09ED7583" w14:textId="77777777" w:rsidR="004E2B4D" w:rsidRPr="007766C5" w:rsidRDefault="004E2B4D" w:rsidP="004E2B4D">
            <w:pPr>
              <w:spacing w:before="40" w:after="40"/>
              <w:jc w:val="right"/>
              <w:rPr>
                <w:color w:val="000000"/>
                <w:sz w:val="17"/>
                <w:szCs w:val="17"/>
              </w:rPr>
            </w:pPr>
            <w:r>
              <w:rPr>
                <w:color w:val="000000"/>
                <w:sz w:val="17"/>
                <w:szCs w:val="17"/>
              </w:rPr>
              <w:t>40.4</w:t>
            </w:r>
          </w:p>
        </w:tc>
        <w:tc>
          <w:tcPr>
            <w:tcW w:w="242" w:type="dxa"/>
            <w:tcBorders>
              <w:top w:val="nil"/>
              <w:left w:val="nil"/>
              <w:bottom w:val="nil"/>
              <w:right w:val="nil"/>
            </w:tcBorders>
            <w:vAlign w:val="bottom"/>
          </w:tcPr>
          <w:p w14:paraId="75C1CAE6" w14:textId="77777777" w:rsidR="004E2B4D" w:rsidRPr="007766C5" w:rsidRDefault="004E2B4D" w:rsidP="004E2B4D">
            <w:pPr>
              <w:spacing w:before="40" w:after="40"/>
              <w:rPr>
                <w:color w:val="000000"/>
                <w:sz w:val="17"/>
                <w:szCs w:val="17"/>
              </w:rPr>
            </w:pPr>
          </w:p>
        </w:tc>
        <w:tc>
          <w:tcPr>
            <w:tcW w:w="924" w:type="dxa"/>
            <w:tcBorders>
              <w:top w:val="nil"/>
              <w:left w:val="nil"/>
              <w:bottom w:val="nil"/>
              <w:right w:val="nil"/>
            </w:tcBorders>
            <w:vAlign w:val="bottom"/>
          </w:tcPr>
          <w:p w14:paraId="2691CF1E" w14:textId="77777777" w:rsidR="004E2B4D" w:rsidRPr="007766C5" w:rsidRDefault="004E2B4D" w:rsidP="004E2B4D">
            <w:pPr>
              <w:spacing w:before="40" w:after="40"/>
              <w:jc w:val="right"/>
              <w:rPr>
                <w:color w:val="000000"/>
                <w:sz w:val="17"/>
                <w:szCs w:val="17"/>
              </w:rPr>
            </w:pPr>
            <w:r>
              <w:rPr>
                <w:color w:val="000000"/>
                <w:sz w:val="17"/>
                <w:szCs w:val="17"/>
              </w:rPr>
              <w:t>45.1</w:t>
            </w:r>
          </w:p>
        </w:tc>
        <w:tc>
          <w:tcPr>
            <w:tcW w:w="242" w:type="dxa"/>
            <w:tcBorders>
              <w:top w:val="nil"/>
              <w:left w:val="nil"/>
              <w:bottom w:val="nil"/>
              <w:right w:val="nil"/>
            </w:tcBorders>
            <w:vAlign w:val="bottom"/>
          </w:tcPr>
          <w:p w14:paraId="42C38B96" w14:textId="77777777" w:rsidR="004E2B4D" w:rsidRPr="007766C5" w:rsidRDefault="004E2B4D" w:rsidP="004E2B4D">
            <w:pPr>
              <w:spacing w:before="40" w:after="40"/>
              <w:rPr>
                <w:sz w:val="17"/>
                <w:szCs w:val="17"/>
              </w:rPr>
            </w:pPr>
          </w:p>
        </w:tc>
        <w:tc>
          <w:tcPr>
            <w:tcW w:w="924" w:type="dxa"/>
            <w:tcBorders>
              <w:top w:val="nil"/>
              <w:left w:val="nil"/>
              <w:bottom w:val="nil"/>
              <w:right w:val="nil"/>
            </w:tcBorders>
            <w:vAlign w:val="bottom"/>
          </w:tcPr>
          <w:p w14:paraId="62CEE397" w14:textId="77777777" w:rsidR="004E2B4D" w:rsidRPr="007766C5" w:rsidRDefault="004E2B4D" w:rsidP="004E2B4D">
            <w:pPr>
              <w:spacing w:before="40" w:after="40"/>
              <w:jc w:val="right"/>
              <w:rPr>
                <w:sz w:val="17"/>
                <w:szCs w:val="17"/>
              </w:rPr>
            </w:pPr>
            <w:r>
              <w:rPr>
                <w:sz w:val="17"/>
                <w:szCs w:val="17"/>
              </w:rPr>
              <w:t>32.4</w:t>
            </w:r>
          </w:p>
        </w:tc>
        <w:tc>
          <w:tcPr>
            <w:tcW w:w="227" w:type="dxa"/>
            <w:tcBorders>
              <w:top w:val="nil"/>
              <w:left w:val="nil"/>
              <w:bottom w:val="nil"/>
              <w:right w:val="nil"/>
            </w:tcBorders>
            <w:vAlign w:val="bottom"/>
          </w:tcPr>
          <w:p w14:paraId="35FDF97D" w14:textId="77777777" w:rsidR="004E2B4D" w:rsidRPr="007766C5" w:rsidRDefault="004E2B4D" w:rsidP="004E2B4D">
            <w:pPr>
              <w:spacing w:before="40" w:after="40"/>
              <w:rPr>
                <w:sz w:val="17"/>
                <w:szCs w:val="17"/>
              </w:rPr>
            </w:pPr>
          </w:p>
        </w:tc>
        <w:tc>
          <w:tcPr>
            <w:tcW w:w="939" w:type="dxa"/>
            <w:tcBorders>
              <w:top w:val="nil"/>
              <w:left w:val="nil"/>
              <w:bottom w:val="nil"/>
              <w:right w:val="nil"/>
            </w:tcBorders>
            <w:vAlign w:val="bottom"/>
          </w:tcPr>
          <w:p w14:paraId="6B58FDE2" w14:textId="77777777" w:rsidR="004E2B4D" w:rsidRPr="007766C5" w:rsidRDefault="004E2B4D" w:rsidP="004E2B4D">
            <w:pPr>
              <w:spacing w:before="40" w:after="40"/>
              <w:jc w:val="right"/>
              <w:rPr>
                <w:sz w:val="17"/>
                <w:szCs w:val="17"/>
              </w:rPr>
            </w:pPr>
            <w:r>
              <w:rPr>
                <w:sz w:val="17"/>
                <w:szCs w:val="17"/>
              </w:rPr>
              <w:t>51.2</w:t>
            </w:r>
          </w:p>
        </w:tc>
        <w:tc>
          <w:tcPr>
            <w:tcW w:w="266" w:type="dxa"/>
            <w:tcBorders>
              <w:top w:val="nil"/>
              <w:left w:val="nil"/>
              <w:bottom w:val="nil"/>
              <w:right w:val="nil"/>
            </w:tcBorders>
            <w:vAlign w:val="bottom"/>
          </w:tcPr>
          <w:p w14:paraId="5010C043" w14:textId="77777777" w:rsidR="004E2B4D" w:rsidRPr="000D2863" w:rsidRDefault="004E2B4D" w:rsidP="004E2B4D">
            <w:pPr>
              <w:spacing w:before="40" w:after="40"/>
              <w:rPr>
                <w:sz w:val="17"/>
                <w:szCs w:val="17"/>
              </w:rPr>
            </w:pPr>
          </w:p>
        </w:tc>
      </w:tr>
      <w:tr w:rsidR="004E2B4D" w:rsidRPr="00E834EF" w14:paraId="772533E6" w14:textId="77777777" w:rsidTr="004E2B4D">
        <w:tc>
          <w:tcPr>
            <w:tcW w:w="3254" w:type="dxa"/>
            <w:vAlign w:val="bottom"/>
          </w:tcPr>
          <w:p w14:paraId="517F9D43" w14:textId="77777777" w:rsidR="004E2B4D" w:rsidRPr="00E754AA" w:rsidRDefault="004E2B4D" w:rsidP="004E2B4D">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27C106F5" w14:textId="77777777" w:rsidR="004E2B4D" w:rsidRPr="00E754AA" w:rsidRDefault="004E2B4D" w:rsidP="004E2B4D">
            <w:pPr>
              <w:spacing w:before="40" w:after="40"/>
              <w:rPr>
                <w:sz w:val="17"/>
                <w:szCs w:val="17"/>
              </w:rPr>
            </w:pPr>
          </w:p>
        </w:tc>
        <w:tc>
          <w:tcPr>
            <w:tcW w:w="913" w:type="dxa"/>
            <w:vAlign w:val="bottom"/>
          </w:tcPr>
          <w:p w14:paraId="3334A2E5" w14:textId="77777777" w:rsidR="004E2B4D" w:rsidRPr="00E754AA" w:rsidRDefault="004E2B4D" w:rsidP="004E2B4D">
            <w:pPr>
              <w:spacing w:before="40" w:after="40"/>
              <w:jc w:val="right"/>
              <w:rPr>
                <w:color w:val="000000"/>
                <w:sz w:val="17"/>
                <w:szCs w:val="17"/>
              </w:rPr>
            </w:pPr>
            <w:r w:rsidRPr="00B02BA3">
              <w:rPr>
                <w:sz w:val="17"/>
              </w:rPr>
              <w:t>—</w:t>
            </w:r>
          </w:p>
        </w:tc>
        <w:tc>
          <w:tcPr>
            <w:tcW w:w="252" w:type="dxa"/>
            <w:gridSpan w:val="2"/>
            <w:vAlign w:val="bottom"/>
          </w:tcPr>
          <w:p w14:paraId="055A0662" w14:textId="77777777" w:rsidR="004E2B4D" w:rsidRPr="00E754AA" w:rsidRDefault="004E2B4D" w:rsidP="004E2B4D">
            <w:pPr>
              <w:spacing w:before="40" w:after="40"/>
              <w:rPr>
                <w:color w:val="000000"/>
                <w:sz w:val="17"/>
                <w:szCs w:val="17"/>
              </w:rPr>
            </w:pPr>
          </w:p>
        </w:tc>
        <w:tc>
          <w:tcPr>
            <w:tcW w:w="924" w:type="dxa"/>
            <w:vAlign w:val="bottom"/>
          </w:tcPr>
          <w:p w14:paraId="69B3933F" w14:textId="77777777" w:rsidR="004E2B4D" w:rsidRPr="00E754AA" w:rsidRDefault="004E2B4D" w:rsidP="004E2B4D">
            <w:pPr>
              <w:spacing w:before="40" w:after="40"/>
              <w:jc w:val="right"/>
              <w:rPr>
                <w:color w:val="000000"/>
                <w:sz w:val="17"/>
                <w:szCs w:val="17"/>
              </w:rPr>
            </w:pPr>
            <w:r w:rsidRPr="00B02BA3">
              <w:rPr>
                <w:sz w:val="17"/>
              </w:rPr>
              <w:t>—</w:t>
            </w:r>
          </w:p>
        </w:tc>
        <w:tc>
          <w:tcPr>
            <w:tcW w:w="242" w:type="dxa"/>
            <w:vAlign w:val="bottom"/>
          </w:tcPr>
          <w:p w14:paraId="2924DA30" w14:textId="77777777" w:rsidR="004E2B4D" w:rsidRPr="00E754AA" w:rsidRDefault="004E2B4D" w:rsidP="004E2B4D">
            <w:pPr>
              <w:spacing w:before="40" w:after="40"/>
              <w:rPr>
                <w:color w:val="000000"/>
                <w:sz w:val="17"/>
                <w:szCs w:val="17"/>
              </w:rPr>
            </w:pPr>
          </w:p>
        </w:tc>
        <w:tc>
          <w:tcPr>
            <w:tcW w:w="924" w:type="dxa"/>
            <w:vAlign w:val="bottom"/>
          </w:tcPr>
          <w:p w14:paraId="05D33869" w14:textId="77777777" w:rsidR="004E2B4D" w:rsidRPr="00E754AA" w:rsidRDefault="004E2B4D" w:rsidP="004E2B4D">
            <w:pPr>
              <w:spacing w:before="40" w:after="40"/>
              <w:jc w:val="right"/>
              <w:rPr>
                <w:color w:val="000000"/>
                <w:sz w:val="17"/>
                <w:szCs w:val="17"/>
              </w:rPr>
            </w:pPr>
            <w:r w:rsidRPr="00B02BA3">
              <w:rPr>
                <w:sz w:val="17"/>
              </w:rPr>
              <w:t>—</w:t>
            </w:r>
          </w:p>
        </w:tc>
        <w:tc>
          <w:tcPr>
            <w:tcW w:w="242" w:type="dxa"/>
            <w:vAlign w:val="bottom"/>
          </w:tcPr>
          <w:p w14:paraId="1327C6E0" w14:textId="77777777" w:rsidR="004E2B4D" w:rsidRPr="00E754AA" w:rsidRDefault="004E2B4D" w:rsidP="004E2B4D">
            <w:pPr>
              <w:spacing w:before="40" w:after="40"/>
              <w:rPr>
                <w:sz w:val="17"/>
                <w:szCs w:val="17"/>
              </w:rPr>
            </w:pPr>
          </w:p>
        </w:tc>
        <w:tc>
          <w:tcPr>
            <w:tcW w:w="924" w:type="dxa"/>
            <w:vAlign w:val="bottom"/>
          </w:tcPr>
          <w:p w14:paraId="780531B9" w14:textId="77777777" w:rsidR="004E2B4D" w:rsidRPr="00E754AA" w:rsidRDefault="004E2B4D" w:rsidP="004E2B4D">
            <w:pPr>
              <w:spacing w:before="40" w:after="40"/>
              <w:jc w:val="right"/>
              <w:rPr>
                <w:sz w:val="17"/>
                <w:szCs w:val="17"/>
              </w:rPr>
            </w:pPr>
            <w:r w:rsidRPr="00B02BA3">
              <w:rPr>
                <w:sz w:val="17"/>
              </w:rPr>
              <w:t>—</w:t>
            </w:r>
          </w:p>
        </w:tc>
        <w:tc>
          <w:tcPr>
            <w:tcW w:w="227" w:type="dxa"/>
            <w:vAlign w:val="bottom"/>
          </w:tcPr>
          <w:p w14:paraId="7A5188CE" w14:textId="77777777" w:rsidR="004E2B4D" w:rsidRPr="00E754AA" w:rsidRDefault="004E2B4D" w:rsidP="004E2B4D">
            <w:pPr>
              <w:spacing w:before="40" w:after="40"/>
              <w:rPr>
                <w:sz w:val="17"/>
                <w:szCs w:val="17"/>
              </w:rPr>
            </w:pPr>
          </w:p>
        </w:tc>
        <w:tc>
          <w:tcPr>
            <w:tcW w:w="939" w:type="dxa"/>
            <w:vAlign w:val="bottom"/>
          </w:tcPr>
          <w:p w14:paraId="24FA37C1" w14:textId="77777777" w:rsidR="004E2B4D" w:rsidRPr="00E754AA" w:rsidRDefault="004E2B4D" w:rsidP="004E2B4D">
            <w:pPr>
              <w:spacing w:before="40" w:after="40"/>
              <w:jc w:val="right"/>
              <w:rPr>
                <w:sz w:val="17"/>
                <w:szCs w:val="17"/>
              </w:rPr>
            </w:pPr>
            <w:r w:rsidRPr="00B02BA3">
              <w:rPr>
                <w:sz w:val="17"/>
              </w:rPr>
              <w:t>—</w:t>
            </w:r>
          </w:p>
        </w:tc>
        <w:tc>
          <w:tcPr>
            <w:tcW w:w="266" w:type="dxa"/>
            <w:vAlign w:val="bottom"/>
          </w:tcPr>
          <w:p w14:paraId="2E39B6C3" w14:textId="77777777" w:rsidR="004E2B4D" w:rsidRPr="000D2863" w:rsidRDefault="004E2B4D" w:rsidP="004E2B4D">
            <w:pPr>
              <w:spacing w:before="40" w:after="40"/>
              <w:rPr>
                <w:sz w:val="17"/>
                <w:szCs w:val="17"/>
              </w:rPr>
            </w:pPr>
          </w:p>
        </w:tc>
      </w:tr>
      <w:tr w:rsidR="004E2B4D" w:rsidRPr="00E834EF" w14:paraId="5DAC0D0F" w14:textId="77777777" w:rsidTr="004E2B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center"/>
          </w:tcPr>
          <w:p w14:paraId="6944EF52" w14:textId="77777777" w:rsidR="004E2B4D" w:rsidRPr="00E754AA" w:rsidRDefault="008D70E0" w:rsidP="004E2B4D">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4E2B4D" w:rsidRPr="0054596C">
              <w:rPr>
                <w:sz w:val="17"/>
              </w:rPr>
              <w:tab/>
            </w:r>
          </w:p>
        </w:tc>
        <w:tc>
          <w:tcPr>
            <w:tcW w:w="242" w:type="dxa"/>
            <w:tcBorders>
              <w:top w:val="nil"/>
              <w:left w:val="nil"/>
              <w:bottom w:val="nil"/>
              <w:right w:val="nil"/>
            </w:tcBorders>
            <w:vAlign w:val="bottom"/>
          </w:tcPr>
          <w:p w14:paraId="149E04DE" w14:textId="77777777" w:rsidR="004E2B4D" w:rsidRPr="00E834EF" w:rsidRDefault="004E2B4D" w:rsidP="004E2B4D">
            <w:pPr>
              <w:spacing w:before="40" w:after="40"/>
              <w:rPr>
                <w:sz w:val="17"/>
                <w:szCs w:val="17"/>
              </w:rPr>
            </w:pPr>
          </w:p>
        </w:tc>
        <w:tc>
          <w:tcPr>
            <w:tcW w:w="913" w:type="dxa"/>
            <w:tcBorders>
              <w:top w:val="nil"/>
              <w:left w:val="nil"/>
              <w:bottom w:val="nil"/>
              <w:right w:val="nil"/>
            </w:tcBorders>
            <w:vAlign w:val="bottom"/>
          </w:tcPr>
          <w:p w14:paraId="0D2D7797" w14:textId="77777777" w:rsidR="004E2B4D" w:rsidRPr="00E754AA" w:rsidRDefault="004E2B4D" w:rsidP="004E2B4D">
            <w:pPr>
              <w:spacing w:before="40" w:after="40"/>
              <w:jc w:val="right"/>
              <w:rPr>
                <w:color w:val="000000"/>
                <w:sz w:val="17"/>
                <w:szCs w:val="17"/>
              </w:rPr>
            </w:pPr>
            <w:r>
              <w:rPr>
                <w:color w:val="000000"/>
                <w:sz w:val="17"/>
                <w:szCs w:val="17"/>
              </w:rPr>
              <w:t>0.1</w:t>
            </w:r>
          </w:p>
        </w:tc>
        <w:tc>
          <w:tcPr>
            <w:tcW w:w="252" w:type="dxa"/>
            <w:gridSpan w:val="2"/>
            <w:tcBorders>
              <w:top w:val="nil"/>
              <w:left w:val="nil"/>
              <w:bottom w:val="nil"/>
              <w:right w:val="nil"/>
            </w:tcBorders>
            <w:vAlign w:val="bottom"/>
          </w:tcPr>
          <w:p w14:paraId="2451A583" w14:textId="77777777" w:rsidR="004E2B4D" w:rsidRPr="00E754AA" w:rsidRDefault="004E2B4D" w:rsidP="004E2B4D">
            <w:pPr>
              <w:spacing w:before="40" w:after="40"/>
              <w:rPr>
                <w:color w:val="000000"/>
                <w:sz w:val="17"/>
                <w:szCs w:val="17"/>
              </w:rPr>
            </w:pPr>
          </w:p>
        </w:tc>
        <w:tc>
          <w:tcPr>
            <w:tcW w:w="924" w:type="dxa"/>
            <w:tcBorders>
              <w:top w:val="nil"/>
              <w:left w:val="nil"/>
              <w:bottom w:val="nil"/>
              <w:right w:val="nil"/>
            </w:tcBorders>
            <w:vAlign w:val="bottom"/>
          </w:tcPr>
          <w:p w14:paraId="6B475B45" w14:textId="77777777" w:rsidR="004E2B4D" w:rsidRPr="00E754AA" w:rsidRDefault="00D503A9" w:rsidP="004E2B4D">
            <w:pPr>
              <w:spacing w:before="40" w:after="40"/>
              <w:jc w:val="right"/>
              <w:rPr>
                <w:color w:val="000000"/>
                <w:sz w:val="17"/>
                <w:szCs w:val="17"/>
              </w:rPr>
            </w:pPr>
            <w:r>
              <w:rPr>
                <w:sz w:val="17"/>
              </w:rPr>
              <w:t>0.0</w:t>
            </w:r>
          </w:p>
        </w:tc>
        <w:tc>
          <w:tcPr>
            <w:tcW w:w="242" w:type="dxa"/>
            <w:tcBorders>
              <w:top w:val="nil"/>
              <w:left w:val="nil"/>
              <w:bottom w:val="nil"/>
              <w:right w:val="nil"/>
            </w:tcBorders>
            <w:vAlign w:val="bottom"/>
          </w:tcPr>
          <w:p w14:paraId="2B854740" w14:textId="77777777" w:rsidR="004E2B4D" w:rsidRPr="00E754AA" w:rsidRDefault="004E2B4D" w:rsidP="004E2B4D">
            <w:pPr>
              <w:spacing w:before="40" w:after="40"/>
              <w:rPr>
                <w:color w:val="000000"/>
                <w:sz w:val="17"/>
                <w:szCs w:val="17"/>
              </w:rPr>
            </w:pPr>
          </w:p>
        </w:tc>
        <w:tc>
          <w:tcPr>
            <w:tcW w:w="924" w:type="dxa"/>
            <w:tcBorders>
              <w:top w:val="nil"/>
              <w:left w:val="nil"/>
              <w:bottom w:val="nil"/>
              <w:right w:val="nil"/>
            </w:tcBorders>
            <w:vAlign w:val="bottom"/>
          </w:tcPr>
          <w:p w14:paraId="330B2C5B" w14:textId="77777777" w:rsidR="004E2B4D" w:rsidRPr="00E754AA" w:rsidRDefault="004E2B4D" w:rsidP="004E2B4D">
            <w:pPr>
              <w:spacing w:before="40" w:after="40"/>
              <w:jc w:val="right"/>
              <w:rPr>
                <w:color w:val="000000"/>
                <w:sz w:val="17"/>
                <w:szCs w:val="17"/>
              </w:rPr>
            </w:pPr>
            <w:r>
              <w:rPr>
                <w:color w:val="000000"/>
                <w:sz w:val="17"/>
                <w:szCs w:val="17"/>
              </w:rPr>
              <w:t>7.3</w:t>
            </w:r>
          </w:p>
        </w:tc>
        <w:tc>
          <w:tcPr>
            <w:tcW w:w="242" w:type="dxa"/>
            <w:tcBorders>
              <w:top w:val="nil"/>
              <w:left w:val="nil"/>
              <w:bottom w:val="nil"/>
              <w:right w:val="nil"/>
            </w:tcBorders>
            <w:vAlign w:val="bottom"/>
          </w:tcPr>
          <w:p w14:paraId="4EB16B2F" w14:textId="77777777" w:rsidR="004E2B4D" w:rsidRPr="00E754AA" w:rsidRDefault="004E2B4D" w:rsidP="004E2B4D">
            <w:pPr>
              <w:spacing w:before="40" w:after="40"/>
              <w:rPr>
                <w:sz w:val="17"/>
                <w:szCs w:val="17"/>
              </w:rPr>
            </w:pPr>
          </w:p>
        </w:tc>
        <w:tc>
          <w:tcPr>
            <w:tcW w:w="924" w:type="dxa"/>
            <w:tcBorders>
              <w:top w:val="nil"/>
              <w:left w:val="nil"/>
              <w:bottom w:val="nil"/>
              <w:right w:val="nil"/>
            </w:tcBorders>
            <w:vAlign w:val="bottom"/>
          </w:tcPr>
          <w:p w14:paraId="0769D8E6" w14:textId="77777777" w:rsidR="004E2B4D" w:rsidRPr="00E754AA" w:rsidRDefault="004E2B4D" w:rsidP="004E2B4D">
            <w:pPr>
              <w:spacing w:before="40" w:after="40"/>
              <w:jc w:val="right"/>
              <w:rPr>
                <w:sz w:val="17"/>
                <w:szCs w:val="17"/>
              </w:rPr>
            </w:pPr>
            <w:r>
              <w:rPr>
                <w:sz w:val="17"/>
                <w:szCs w:val="17"/>
              </w:rPr>
              <w:t>7.3</w:t>
            </w:r>
          </w:p>
        </w:tc>
        <w:tc>
          <w:tcPr>
            <w:tcW w:w="227" w:type="dxa"/>
            <w:tcBorders>
              <w:top w:val="nil"/>
              <w:left w:val="nil"/>
              <w:bottom w:val="nil"/>
              <w:right w:val="nil"/>
            </w:tcBorders>
            <w:vAlign w:val="bottom"/>
          </w:tcPr>
          <w:p w14:paraId="02B29579" w14:textId="77777777" w:rsidR="004E2B4D" w:rsidRPr="00E754AA" w:rsidRDefault="004E2B4D" w:rsidP="004E2B4D">
            <w:pPr>
              <w:spacing w:before="40" w:after="40"/>
              <w:rPr>
                <w:sz w:val="17"/>
                <w:szCs w:val="17"/>
              </w:rPr>
            </w:pPr>
          </w:p>
        </w:tc>
        <w:tc>
          <w:tcPr>
            <w:tcW w:w="939" w:type="dxa"/>
            <w:tcBorders>
              <w:top w:val="nil"/>
              <w:left w:val="nil"/>
              <w:bottom w:val="nil"/>
              <w:right w:val="nil"/>
            </w:tcBorders>
            <w:vAlign w:val="bottom"/>
          </w:tcPr>
          <w:p w14:paraId="181CF2FD" w14:textId="77777777" w:rsidR="004E2B4D" w:rsidRPr="00E754AA" w:rsidRDefault="004E2B4D" w:rsidP="004E2B4D">
            <w:pPr>
              <w:spacing w:before="40" w:after="40"/>
              <w:jc w:val="right"/>
              <w:rPr>
                <w:sz w:val="17"/>
                <w:szCs w:val="17"/>
              </w:rPr>
            </w:pPr>
            <w:r w:rsidRPr="00B02BA3">
              <w:rPr>
                <w:sz w:val="17"/>
              </w:rPr>
              <w:t>—</w:t>
            </w:r>
          </w:p>
        </w:tc>
        <w:tc>
          <w:tcPr>
            <w:tcW w:w="266" w:type="dxa"/>
            <w:tcBorders>
              <w:top w:val="nil"/>
              <w:left w:val="nil"/>
              <w:bottom w:val="nil"/>
              <w:right w:val="nil"/>
            </w:tcBorders>
            <w:vAlign w:val="bottom"/>
          </w:tcPr>
          <w:p w14:paraId="29A297F3" w14:textId="77777777" w:rsidR="004E2B4D" w:rsidRPr="000D2863" w:rsidRDefault="004E2B4D" w:rsidP="004E2B4D">
            <w:pPr>
              <w:spacing w:before="40" w:after="40"/>
              <w:rPr>
                <w:sz w:val="17"/>
                <w:szCs w:val="17"/>
              </w:rPr>
            </w:pPr>
          </w:p>
        </w:tc>
      </w:tr>
      <w:tr w:rsidR="004E2B4D" w:rsidRPr="00E834EF" w14:paraId="36FCE73B" w14:textId="77777777" w:rsidTr="004E2B4D">
        <w:tc>
          <w:tcPr>
            <w:tcW w:w="3254" w:type="dxa"/>
            <w:vAlign w:val="center"/>
          </w:tcPr>
          <w:p w14:paraId="2C7DD2BD" w14:textId="77777777" w:rsidR="004E2B4D" w:rsidRPr="00E754AA" w:rsidRDefault="004E2B4D" w:rsidP="004E2B4D">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720A71C7" w14:textId="77777777" w:rsidR="004E2B4D" w:rsidRPr="00E834EF" w:rsidRDefault="004E2B4D" w:rsidP="004E2B4D">
            <w:pPr>
              <w:spacing w:before="40" w:after="40"/>
              <w:rPr>
                <w:sz w:val="17"/>
                <w:szCs w:val="17"/>
              </w:rPr>
            </w:pPr>
          </w:p>
        </w:tc>
        <w:tc>
          <w:tcPr>
            <w:tcW w:w="913" w:type="dxa"/>
            <w:vAlign w:val="bottom"/>
          </w:tcPr>
          <w:p w14:paraId="15BBC653" w14:textId="77777777" w:rsidR="004E2B4D" w:rsidRPr="00E754AA" w:rsidRDefault="004E2B4D" w:rsidP="004E2B4D">
            <w:pPr>
              <w:spacing w:before="40" w:after="40"/>
              <w:jc w:val="right"/>
              <w:rPr>
                <w:color w:val="000000"/>
                <w:sz w:val="17"/>
                <w:szCs w:val="17"/>
              </w:rPr>
            </w:pPr>
            <w:r w:rsidRPr="00B02BA3">
              <w:rPr>
                <w:sz w:val="17"/>
              </w:rPr>
              <w:t>—</w:t>
            </w:r>
          </w:p>
        </w:tc>
        <w:tc>
          <w:tcPr>
            <w:tcW w:w="252" w:type="dxa"/>
            <w:gridSpan w:val="2"/>
            <w:vAlign w:val="bottom"/>
          </w:tcPr>
          <w:p w14:paraId="5FB40856" w14:textId="77777777" w:rsidR="004E2B4D" w:rsidRPr="00E754AA" w:rsidRDefault="004E2B4D" w:rsidP="004E2B4D">
            <w:pPr>
              <w:spacing w:before="40" w:after="40"/>
              <w:rPr>
                <w:color w:val="000000"/>
                <w:sz w:val="17"/>
                <w:szCs w:val="17"/>
              </w:rPr>
            </w:pPr>
          </w:p>
        </w:tc>
        <w:tc>
          <w:tcPr>
            <w:tcW w:w="924" w:type="dxa"/>
            <w:vAlign w:val="bottom"/>
          </w:tcPr>
          <w:p w14:paraId="18B0AF33" w14:textId="77777777" w:rsidR="004E2B4D" w:rsidRPr="00E754AA" w:rsidRDefault="004E2B4D" w:rsidP="004E2B4D">
            <w:pPr>
              <w:spacing w:before="40" w:after="40"/>
              <w:jc w:val="right"/>
              <w:rPr>
                <w:color w:val="000000"/>
                <w:sz w:val="17"/>
                <w:szCs w:val="17"/>
              </w:rPr>
            </w:pPr>
            <w:r w:rsidRPr="00B02BA3">
              <w:rPr>
                <w:sz w:val="17"/>
              </w:rPr>
              <w:t>—</w:t>
            </w:r>
          </w:p>
        </w:tc>
        <w:tc>
          <w:tcPr>
            <w:tcW w:w="242" w:type="dxa"/>
            <w:vAlign w:val="bottom"/>
          </w:tcPr>
          <w:p w14:paraId="4D3DF6D7" w14:textId="77777777" w:rsidR="004E2B4D" w:rsidRPr="00E754AA" w:rsidRDefault="004E2B4D" w:rsidP="004E2B4D">
            <w:pPr>
              <w:spacing w:before="40" w:after="40"/>
              <w:rPr>
                <w:color w:val="000000"/>
                <w:sz w:val="17"/>
                <w:szCs w:val="17"/>
              </w:rPr>
            </w:pPr>
          </w:p>
        </w:tc>
        <w:tc>
          <w:tcPr>
            <w:tcW w:w="924" w:type="dxa"/>
            <w:vAlign w:val="bottom"/>
          </w:tcPr>
          <w:p w14:paraId="5D33829A" w14:textId="77777777" w:rsidR="004E2B4D" w:rsidRPr="00E754AA" w:rsidRDefault="004E2B4D" w:rsidP="004E2B4D">
            <w:pPr>
              <w:spacing w:before="40" w:after="40"/>
              <w:jc w:val="right"/>
              <w:rPr>
                <w:color w:val="000000"/>
                <w:sz w:val="17"/>
                <w:szCs w:val="17"/>
              </w:rPr>
            </w:pPr>
            <w:r w:rsidRPr="00B02BA3">
              <w:rPr>
                <w:sz w:val="17"/>
              </w:rPr>
              <w:t>—</w:t>
            </w:r>
          </w:p>
        </w:tc>
        <w:tc>
          <w:tcPr>
            <w:tcW w:w="242" w:type="dxa"/>
            <w:vAlign w:val="bottom"/>
          </w:tcPr>
          <w:p w14:paraId="1C262863" w14:textId="77777777" w:rsidR="004E2B4D" w:rsidRPr="00E754AA" w:rsidRDefault="004E2B4D" w:rsidP="004E2B4D">
            <w:pPr>
              <w:spacing w:before="40" w:after="40"/>
              <w:rPr>
                <w:sz w:val="17"/>
                <w:szCs w:val="17"/>
              </w:rPr>
            </w:pPr>
          </w:p>
        </w:tc>
        <w:tc>
          <w:tcPr>
            <w:tcW w:w="924" w:type="dxa"/>
            <w:vAlign w:val="bottom"/>
          </w:tcPr>
          <w:p w14:paraId="7EE81AA7" w14:textId="77777777" w:rsidR="004E2B4D" w:rsidRPr="00E754AA" w:rsidRDefault="004E2B4D" w:rsidP="004E2B4D">
            <w:pPr>
              <w:spacing w:before="40" w:after="40"/>
              <w:jc w:val="right"/>
              <w:rPr>
                <w:sz w:val="17"/>
                <w:szCs w:val="17"/>
              </w:rPr>
            </w:pPr>
            <w:r w:rsidRPr="00B02BA3">
              <w:rPr>
                <w:sz w:val="17"/>
              </w:rPr>
              <w:t>—</w:t>
            </w:r>
          </w:p>
        </w:tc>
        <w:tc>
          <w:tcPr>
            <w:tcW w:w="227" w:type="dxa"/>
            <w:vAlign w:val="bottom"/>
          </w:tcPr>
          <w:p w14:paraId="29537DD1" w14:textId="77777777" w:rsidR="004E2B4D" w:rsidRPr="00E754AA" w:rsidRDefault="004E2B4D" w:rsidP="004E2B4D">
            <w:pPr>
              <w:spacing w:before="40" w:after="40"/>
              <w:rPr>
                <w:sz w:val="17"/>
                <w:szCs w:val="17"/>
              </w:rPr>
            </w:pPr>
          </w:p>
        </w:tc>
        <w:tc>
          <w:tcPr>
            <w:tcW w:w="939" w:type="dxa"/>
            <w:vAlign w:val="bottom"/>
          </w:tcPr>
          <w:p w14:paraId="030E8C3A" w14:textId="77777777" w:rsidR="004E2B4D" w:rsidRPr="00E754AA" w:rsidRDefault="004E2B4D" w:rsidP="004E2B4D">
            <w:pPr>
              <w:spacing w:before="40" w:after="40"/>
              <w:jc w:val="right"/>
              <w:rPr>
                <w:sz w:val="17"/>
                <w:szCs w:val="17"/>
              </w:rPr>
            </w:pPr>
            <w:r w:rsidRPr="00B02BA3">
              <w:rPr>
                <w:sz w:val="17"/>
              </w:rPr>
              <w:t>—</w:t>
            </w:r>
          </w:p>
        </w:tc>
        <w:tc>
          <w:tcPr>
            <w:tcW w:w="266" w:type="dxa"/>
            <w:vAlign w:val="bottom"/>
          </w:tcPr>
          <w:p w14:paraId="6026439E" w14:textId="77777777" w:rsidR="004E2B4D" w:rsidRPr="000D2863" w:rsidRDefault="004E2B4D" w:rsidP="004E2B4D">
            <w:pPr>
              <w:spacing w:before="40" w:after="40"/>
              <w:rPr>
                <w:sz w:val="17"/>
                <w:szCs w:val="17"/>
              </w:rPr>
            </w:pPr>
          </w:p>
        </w:tc>
      </w:tr>
      <w:tr w:rsidR="004E2B4D" w:rsidRPr="00E834EF" w14:paraId="26308C94" w14:textId="77777777" w:rsidTr="004E2B4D">
        <w:tc>
          <w:tcPr>
            <w:tcW w:w="3254" w:type="dxa"/>
            <w:vAlign w:val="bottom"/>
          </w:tcPr>
          <w:p w14:paraId="1F3FA351" w14:textId="77777777" w:rsidR="004E2B4D" w:rsidRPr="00E754AA" w:rsidRDefault="004E2B4D" w:rsidP="004E2B4D">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67692EF1" w14:textId="77777777" w:rsidR="004E2B4D" w:rsidRPr="00E754AA" w:rsidRDefault="00BD2B50" w:rsidP="004E2B4D">
            <w:pPr>
              <w:spacing w:before="40" w:after="40"/>
              <w:rPr>
                <w:sz w:val="17"/>
                <w:szCs w:val="17"/>
              </w:rPr>
            </w:pPr>
            <w:r>
              <w:rPr>
                <w:sz w:val="17"/>
                <w:szCs w:val="17"/>
              </w:rPr>
              <w:t>)</w:t>
            </w:r>
          </w:p>
        </w:tc>
        <w:tc>
          <w:tcPr>
            <w:tcW w:w="913" w:type="dxa"/>
            <w:vAlign w:val="bottom"/>
          </w:tcPr>
          <w:p w14:paraId="493ACF8F" w14:textId="77777777" w:rsidR="004E2B4D" w:rsidRPr="00E754AA" w:rsidRDefault="004E2B4D" w:rsidP="004E2B4D">
            <w:pPr>
              <w:spacing w:before="40" w:after="40"/>
              <w:jc w:val="right"/>
              <w:rPr>
                <w:color w:val="000000"/>
                <w:sz w:val="17"/>
                <w:szCs w:val="17"/>
              </w:rPr>
            </w:pPr>
            <w:r>
              <w:rPr>
                <w:color w:val="000000"/>
                <w:sz w:val="17"/>
                <w:szCs w:val="17"/>
              </w:rPr>
              <w:t>(0.</w:t>
            </w:r>
            <w:r w:rsidR="002046E8">
              <w:rPr>
                <w:color w:val="000000"/>
                <w:sz w:val="17"/>
                <w:szCs w:val="17"/>
              </w:rPr>
              <w:t>0</w:t>
            </w:r>
          </w:p>
        </w:tc>
        <w:tc>
          <w:tcPr>
            <w:tcW w:w="252" w:type="dxa"/>
            <w:gridSpan w:val="2"/>
            <w:vAlign w:val="bottom"/>
          </w:tcPr>
          <w:p w14:paraId="70396C06" w14:textId="77777777" w:rsidR="004E2B4D" w:rsidRPr="00E754AA" w:rsidRDefault="004E2B4D" w:rsidP="004E2B4D">
            <w:pPr>
              <w:spacing w:before="40" w:after="40"/>
              <w:rPr>
                <w:color w:val="000000"/>
                <w:sz w:val="17"/>
                <w:szCs w:val="17"/>
              </w:rPr>
            </w:pPr>
          </w:p>
        </w:tc>
        <w:tc>
          <w:tcPr>
            <w:tcW w:w="924" w:type="dxa"/>
            <w:vAlign w:val="bottom"/>
          </w:tcPr>
          <w:p w14:paraId="65F22288" w14:textId="77777777" w:rsidR="004E2B4D" w:rsidRPr="00E754AA" w:rsidRDefault="002046E8" w:rsidP="004E2B4D">
            <w:pPr>
              <w:spacing w:before="40" w:after="40"/>
              <w:jc w:val="right"/>
              <w:rPr>
                <w:color w:val="000000"/>
                <w:sz w:val="17"/>
                <w:szCs w:val="17"/>
              </w:rPr>
            </w:pPr>
            <w:r>
              <w:rPr>
                <w:sz w:val="17"/>
              </w:rPr>
              <w:t>(0.0)</w:t>
            </w:r>
          </w:p>
        </w:tc>
        <w:tc>
          <w:tcPr>
            <w:tcW w:w="242" w:type="dxa"/>
            <w:vAlign w:val="bottom"/>
          </w:tcPr>
          <w:p w14:paraId="15239B18" w14:textId="77777777" w:rsidR="004E2B4D" w:rsidRPr="00E754AA" w:rsidRDefault="004E2B4D" w:rsidP="004E2B4D">
            <w:pPr>
              <w:spacing w:before="40" w:after="40"/>
              <w:rPr>
                <w:color w:val="000000"/>
                <w:sz w:val="17"/>
                <w:szCs w:val="17"/>
              </w:rPr>
            </w:pPr>
          </w:p>
        </w:tc>
        <w:tc>
          <w:tcPr>
            <w:tcW w:w="924" w:type="dxa"/>
            <w:vAlign w:val="bottom"/>
          </w:tcPr>
          <w:p w14:paraId="12019979" w14:textId="77777777" w:rsidR="004E2B4D" w:rsidRPr="00E754AA" w:rsidRDefault="002046E8" w:rsidP="004E2B4D">
            <w:pPr>
              <w:spacing w:before="40" w:after="40"/>
              <w:jc w:val="right"/>
              <w:rPr>
                <w:color w:val="000000"/>
                <w:sz w:val="17"/>
                <w:szCs w:val="17"/>
              </w:rPr>
            </w:pPr>
            <w:r>
              <w:rPr>
                <w:sz w:val="17"/>
              </w:rPr>
              <w:t>(0.0)</w:t>
            </w:r>
          </w:p>
        </w:tc>
        <w:tc>
          <w:tcPr>
            <w:tcW w:w="242" w:type="dxa"/>
            <w:vAlign w:val="bottom"/>
          </w:tcPr>
          <w:p w14:paraId="626981CF" w14:textId="77777777" w:rsidR="004E2B4D" w:rsidRPr="00E754AA" w:rsidRDefault="004E2B4D" w:rsidP="004E2B4D">
            <w:pPr>
              <w:spacing w:before="40" w:after="40"/>
              <w:rPr>
                <w:sz w:val="17"/>
                <w:szCs w:val="17"/>
              </w:rPr>
            </w:pPr>
          </w:p>
        </w:tc>
        <w:tc>
          <w:tcPr>
            <w:tcW w:w="924" w:type="dxa"/>
            <w:vAlign w:val="bottom"/>
          </w:tcPr>
          <w:p w14:paraId="04A5CDA6" w14:textId="77777777" w:rsidR="004E2B4D" w:rsidRPr="00E754AA" w:rsidRDefault="004E2B4D" w:rsidP="004E2B4D">
            <w:pPr>
              <w:spacing w:before="40" w:after="40"/>
              <w:jc w:val="right"/>
              <w:rPr>
                <w:sz w:val="17"/>
                <w:szCs w:val="17"/>
              </w:rPr>
            </w:pPr>
            <w:r>
              <w:rPr>
                <w:sz w:val="17"/>
                <w:szCs w:val="17"/>
              </w:rPr>
              <w:t>1.0</w:t>
            </w:r>
          </w:p>
        </w:tc>
        <w:tc>
          <w:tcPr>
            <w:tcW w:w="227" w:type="dxa"/>
            <w:vAlign w:val="bottom"/>
          </w:tcPr>
          <w:p w14:paraId="67CF1EE9" w14:textId="77777777" w:rsidR="004E2B4D" w:rsidRPr="00E754AA" w:rsidRDefault="00BD2B50" w:rsidP="004E2B4D">
            <w:pPr>
              <w:spacing w:before="40" w:after="40"/>
              <w:rPr>
                <w:sz w:val="17"/>
                <w:szCs w:val="17"/>
              </w:rPr>
            </w:pPr>
            <w:r>
              <w:rPr>
                <w:sz w:val="17"/>
                <w:szCs w:val="17"/>
              </w:rPr>
              <w:t>)</w:t>
            </w:r>
          </w:p>
        </w:tc>
        <w:tc>
          <w:tcPr>
            <w:tcW w:w="939" w:type="dxa"/>
            <w:vAlign w:val="bottom"/>
          </w:tcPr>
          <w:p w14:paraId="0FE1C709" w14:textId="77777777" w:rsidR="004E2B4D" w:rsidRPr="00E754AA" w:rsidRDefault="004E2B4D" w:rsidP="004E2B4D">
            <w:pPr>
              <w:spacing w:before="40" w:after="40"/>
              <w:jc w:val="right"/>
              <w:rPr>
                <w:sz w:val="17"/>
                <w:szCs w:val="17"/>
              </w:rPr>
            </w:pPr>
            <w:r>
              <w:rPr>
                <w:sz w:val="17"/>
                <w:szCs w:val="17"/>
              </w:rPr>
              <w:t>(0.3</w:t>
            </w:r>
          </w:p>
        </w:tc>
        <w:tc>
          <w:tcPr>
            <w:tcW w:w="266" w:type="dxa"/>
            <w:vAlign w:val="bottom"/>
          </w:tcPr>
          <w:p w14:paraId="639D5772" w14:textId="77777777" w:rsidR="004E2B4D" w:rsidRPr="000D2863" w:rsidRDefault="004E2B4D" w:rsidP="004E2B4D">
            <w:pPr>
              <w:spacing w:before="40" w:after="40"/>
              <w:rPr>
                <w:sz w:val="17"/>
                <w:szCs w:val="17"/>
              </w:rPr>
            </w:pPr>
          </w:p>
        </w:tc>
      </w:tr>
      <w:tr w:rsidR="004E2B4D" w:rsidRPr="00E834EF" w14:paraId="32B3D4B8" w14:textId="77777777" w:rsidTr="004E2B4D">
        <w:tc>
          <w:tcPr>
            <w:tcW w:w="3254" w:type="dxa"/>
            <w:vAlign w:val="center"/>
          </w:tcPr>
          <w:p w14:paraId="2F8DCD47" w14:textId="77777777" w:rsidR="004E2B4D" w:rsidRPr="00E754AA" w:rsidRDefault="004E2B4D" w:rsidP="004E2B4D">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6E08E984" w14:textId="77777777" w:rsidR="004E2B4D" w:rsidRPr="00E834EF" w:rsidRDefault="00BD2B50" w:rsidP="004E2B4D">
            <w:pPr>
              <w:spacing w:before="40" w:after="40"/>
              <w:rPr>
                <w:sz w:val="17"/>
                <w:szCs w:val="17"/>
              </w:rPr>
            </w:pPr>
            <w:r>
              <w:rPr>
                <w:sz w:val="17"/>
                <w:szCs w:val="17"/>
              </w:rPr>
              <w:t>)</w:t>
            </w:r>
          </w:p>
        </w:tc>
        <w:tc>
          <w:tcPr>
            <w:tcW w:w="913" w:type="dxa"/>
            <w:vAlign w:val="bottom"/>
          </w:tcPr>
          <w:p w14:paraId="66F36D27" w14:textId="77777777" w:rsidR="004E2B4D" w:rsidRPr="00E754AA" w:rsidRDefault="004E2B4D" w:rsidP="004E2B4D">
            <w:pPr>
              <w:spacing w:before="40" w:after="40"/>
              <w:jc w:val="right"/>
              <w:rPr>
                <w:color w:val="000000"/>
                <w:sz w:val="17"/>
                <w:szCs w:val="17"/>
              </w:rPr>
            </w:pPr>
            <w:r>
              <w:rPr>
                <w:color w:val="000000"/>
                <w:sz w:val="17"/>
                <w:szCs w:val="17"/>
              </w:rPr>
              <w:t>(0.7</w:t>
            </w:r>
          </w:p>
        </w:tc>
        <w:tc>
          <w:tcPr>
            <w:tcW w:w="252" w:type="dxa"/>
            <w:gridSpan w:val="2"/>
            <w:vAlign w:val="bottom"/>
          </w:tcPr>
          <w:p w14:paraId="23AF6948" w14:textId="77777777" w:rsidR="004E2B4D" w:rsidRPr="00E754AA" w:rsidRDefault="004E2B4D" w:rsidP="004E2B4D">
            <w:pPr>
              <w:spacing w:before="40" w:after="40"/>
              <w:rPr>
                <w:color w:val="000000"/>
                <w:sz w:val="17"/>
                <w:szCs w:val="17"/>
              </w:rPr>
            </w:pPr>
            <w:r>
              <w:rPr>
                <w:color w:val="000000"/>
                <w:sz w:val="17"/>
                <w:szCs w:val="17"/>
              </w:rPr>
              <w:t>)</w:t>
            </w:r>
          </w:p>
        </w:tc>
        <w:tc>
          <w:tcPr>
            <w:tcW w:w="924" w:type="dxa"/>
            <w:vAlign w:val="bottom"/>
          </w:tcPr>
          <w:p w14:paraId="1B66A927" w14:textId="77777777" w:rsidR="004E2B4D" w:rsidRPr="00E754AA" w:rsidRDefault="004E2B4D" w:rsidP="004E2B4D">
            <w:pPr>
              <w:spacing w:before="40" w:after="40"/>
              <w:jc w:val="right"/>
              <w:rPr>
                <w:color w:val="000000"/>
                <w:sz w:val="17"/>
                <w:szCs w:val="17"/>
              </w:rPr>
            </w:pPr>
            <w:r>
              <w:rPr>
                <w:color w:val="000000"/>
                <w:sz w:val="17"/>
                <w:szCs w:val="17"/>
              </w:rPr>
              <w:t>(3.0</w:t>
            </w:r>
          </w:p>
        </w:tc>
        <w:tc>
          <w:tcPr>
            <w:tcW w:w="242" w:type="dxa"/>
            <w:vAlign w:val="bottom"/>
          </w:tcPr>
          <w:p w14:paraId="4C740746" w14:textId="77777777" w:rsidR="004E2B4D" w:rsidRPr="00E754AA" w:rsidRDefault="004E2B4D" w:rsidP="004E2B4D">
            <w:pPr>
              <w:spacing w:before="40" w:after="40"/>
              <w:rPr>
                <w:color w:val="000000"/>
                <w:sz w:val="17"/>
                <w:szCs w:val="17"/>
              </w:rPr>
            </w:pPr>
            <w:r>
              <w:rPr>
                <w:color w:val="000000"/>
                <w:sz w:val="17"/>
                <w:szCs w:val="17"/>
              </w:rPr>
              <w:t>)</w:t>
            </w:r>
          </w:p>
        </w:tc>
        <w:tc>
          <w:tcPr>
            <w:tcW w:w="924" w:type="dxa"/>
            <w:vAlign w:val="bottom"/>
          </w:tcPr>
          <w:p w14:paraId="1A47D48F" w14:textId="77777777" w:rsidR="004E2B4D" w:rsidRPr="00E754AA" w:rsidRDefault="004E2B4D" w:rsidP="004E2B4D">
            <w:pPr>
              <w:spacing w:before="40" w:after="40"/>
              <w:jc w:val="right"/>
              <w:rPr>
                <w:color w:val="000000"/>
                <w:sz w:val="17"/>
                <w:szCs w:val="17"/>
              </w:rPr>
            </w:pPr>
            <w:r>
              <w:rPr>
                <w:color w:val="000000"/>
                <w:sz w:val="17"/>
                <w:szCs w:val="17"/>
              </w:rPr>
              <w:t>(4.1</w:t>
            </w:r>
          </w:p>
        </w:tc>
        <w:tc>
          <w:tcPr>
            <w:tcW w:w="242" w:type="dxa"/>
            <w:vAlign w:val="bottom"/>
          </w:tcPr>
          <w:p w14:paraId="50B23A67" w14:textId="77777777" w:rsidR="004E2B4D" w:rsidRPr="00E754AA" w:rsidRDefault="004E2B4D" w:rsidP="004E2B4D">
            <w:pPr>
              <w:spacing w:before="40" w:after="40"/>
              <w:rPr>
                <w:sz w:val="17"/>
                <w:szCs w:val="17"/>
              </w:rPr>
            </w:pPr>
            <w:r>
              <w:rPr>
                <w:sz w:val="17"/>
                <w:szCs w:val="17"/>
              </w:rPr>
              <w:t>)</w:t>
            </w:r>
          </w:p>
        </w:tc>
        <w:tc>
          <w:tcPr>
            <w:tcW w:w="924" w:type="dxa"/>
            <w:vAlign w:val="bottom"/>
          </w:tcPr>
          <w:p w14:paraId="6077740E" w14:textId="77777777" w:rsidR="004E2B4D" w:rsidRPr="00E754AA" w:rsidRDefault="004E2B4D" w:rsidP="004E2B4D">
            <w:pPr>
              <w:spacing w:before="40" w:after="40"/>
              <w:jc w:val="right"/>
              <w:rPr>
                <w:sz w:val="17"/>
                <w:szCs w:val="17"/>
              </w:rPr>
            </w:pPr>
            <w:r>
              <w:rPr>
                <w:sz w:val="17"/>
                <w:szCs w:val="17"/>
              </w:rPr>
              <w:t>(3.0</w:t>
            </w:r>
          </w:p>
        </w:tc>
        <w:tc>
          <w:tcPr>
            <w:tcW w:w="227" w:type="dxa"/>
            <w:vAlign w:val="bottom"/>
          </w:tcPr>
          <w:p w14:paraId="61AC39D7" w14:textId="77777777" w:rsidR="004E2B4D" w:rsidRPr="00E754AA" w:rsidRDefault="004E2B4D" w:rsidP="004E2B4D">
            <w:pPr>
              <w:spacing w:before="40" w:after="40"/>
              <w:rPr>
                <w:sz w:val="17"/>
                <w:szCs w:val="17"/>
              </w:rPr>
            </w:pPr>
            <w:r>
              <w:rPr>
                <w:sz w:val="17"/>
                <w:szCs w:val="17"/>
              </w:rPr>
              <w:t>)</w:t>
            </w:r>
          </w:p>
        </w:tc>
        <w:tc>
          <w:tcPr>
            <w:tcW w:w="939" w:type="dxa"/>
            <w:vAlign w:val="bottom"/>
          </w:tcPr>
          <w:p w14:paraId="2733D781" w14:textId="77777777" w:rsidR="004E2B4D" w:rsidRPr="00E754AA" w:rsidRDefault="004E2B4D" w:rsidP="004E2B4D">
            <w:pPr>
              <w:spacing w:before="40" w:after="40"/>
              <w:jc w:val="right"/>
              <w:rPr>
                <w:sz w:val="17"/>
                <w:szCs w:val="17"/>
              </w:rPr>
            </w:pPr>
            <w:r>
              <w:rPr>
                <w:sz w:val="17"/>
                <w:szCs w:val="17"/>
              </w:rPr>
              <w:t>(2.2</w:t>
            </w:r>
          </w:p>
        </w:tc>
        <w:tc>
          <w:tcPr>
            <w:tcW w:w="266" w:type="dxa"/>
            <w:vAlign w:val="bottom"/>
          </w:tcPr>
          <w:p w14:paraId="0ADF4702" w14:textId="77777777" w:rsidR="004E2B4D" w:rsidRPr="000D2863" w:rsidRDefault="004E2B4D" w:rsidP="004E2B4D">
            <w:pPr>
              <w:spacing w:before="40" w:after="40"/>
              <w:rPr>
                <w:sz w:val="17"/>
                <w:szCs w:val="17"/>
              </w:rPr>
            </w:pPr>
          </w:p>
        </w:tc>
      </w:tr>
      <w:tr w:rsidR="004E2B4D" w:rsidRPr="00E834EF" w14:paraId="0FE8BE09" w14:textId="77777777" w:rsidTr="004E2B4D">
        <w:tc>
          <w:tcPr>
            <w:tcW w:w="3254" w:type="dxa"/>
            <w:vAlign w:val="center"/>
          </w:tcPr>
          <w:p w14:paraId="37F46B24" w14:textId="77777777" w:rsidR="004E2B4D" w:rsidRPr="00E754AA" w:rsidRDefault="004E2B4D" w:rsidP="004E2B4D">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36BF04D1" w14:textId="77777777" w:rsidR="004E2B4D" w:rsidRPr="00E834EF" w:rsidRDefault="004E2B4D" w:rsidP="004E2B4D">
            <w:pPr>
              <w:spacing w:before="40" w:after="40"/>
              <w:rPr>
                <w:sz w:val="17"/>
                <w:szCs w:val="17"/>
              </w:rPr>
            </w:pPr>
          </w:p>
        </w:tc>
        <w:tc>
          <w:tcPr>
            <w:tcW w:w="913" w:type="dxa"/>
            <w:vAlign w:val="bottom"/>
          </w:tcPr>
          <w:p w14:paraId="59289D5E" w14:textId="77777777" w:rsidR="004E2B4D" w:rsidRPr="00E754AA" w:rsidRDefault="00892A7E" w:rsidP="004E2B4D">
            <w:pPr>
              <w:spacing w:before="40" w:after="40"/>
              <w:jc w:val="right"/>
              <w:rPr>
                <w:color w:val="000000"/>
                <w:sz w:val="17"/>
                <w:szCs w:val="17"/>
              </w:rPr>
            </w:pPr>
            <w:r>
              <w:rPr>
                <w:sz w:val="17"/>
              </w:rPr>
              <w:t>(0.0)</w:t>
            </w:r>
          </w:p>
        </w:tc>
        <w:tc>
          <w:tcPr>
            <w:tcW w:w="252" w:type="dxa"/>
            <w:gridSpan w:val="2"/>
            <w:vAlign w:val="bottom"/>
          </w:tcPr>
          <w:p w14:paraId="0629F804" w14:textId="77777777" w:rsidR="004E2B4D" w:rsidRPr="00E754AA" w:rsidRDefault="00BD2B50" w:rsidP="004E2B4D">
            <w:pPr>
              <w:spacing w:before="40" w:after="40"/>
              <w:rPr>
                <w:color w:val="000000"/>
                <w:sz w:val="17"/>
                <w:szCs w:val="17"/>
              </w:rPr>
            </w:pPr>
            <w:r>
              <w:rPr>
                <w:color w:val="000000"/>
                <w:sz w:val="17"/>
                <w:szCs w:val="17"/>
              </w:rPr>
              <w:t>)</w:t>
            </w:r>
          </w:p>
        </w:tc>
        <w:tc>
          <w:tcPr>
            <w:tcW w:w="924" w:type="dxa"/>
            <w:vAlign w:val="bottom"/>
          </w:tcPr>
          <w:p w14:paraId="131C7544" w14:textId="77777777" w:rsidR="004E2B4D" w:rsidRPr="00E754AA" w:rsidRDefault="004E2B4D" w:rsidP="004E2B4D">
            <w:pPr>
              <w:spacing w:before="40" w:after="40"/>
              <w:jc w:val="right"/>
              <w:rPr>
                <w:color w:val="000000"/>
                <w:sz w:val="17"/>
                <w:szCs w:val="17"/>
              </w:rPr>
            </w:pPr>
            <w:r>
              <w:rPr>
                <w:color w:val="000000"/>
                <w:sz w:val="17"/>
                <w:szCs w:val="17"/>
              </w:rPr>
              <w:t>(0.1</w:t>
            </w:r>
          </w:p>
        </w:tc>
        <w:tc>
          <w:tcPr>
            <w:tcW w:w="242" w:type="dxa"/>
            <w:vAlign w:val="bottom"/>
          </w:tcPr>
          <w:p w14:paraId="45CB73F1" w14:textId="77777777" w:rsidR="004E2B4D" w:rsidRPr="00E754AA" w:rsidRDefault="004E2B4D" w:rsidP="004E2B4D">
            <w:pPr>
              <w:spacing w:before="40" w:after="40"/>
              <w:rPr>
                <w:color w:val="000000"/>
                <w:sz w:val="17"/>
                <w:szCs w:val="17"/>
              </w:rPr>
            </w:pPr>
            <w:r>
              <w:rPr>
                <w:color w:val="000000"/>
                <w:sz w:val="17"/>
                <w:szCs w:val="17"/>
              </w:rPr>
              <w:t>)</w:t>
            </w:r>
          </w:p>
        </w:tc>
        <w:tc>
          <w:tcPr>
            <w:tcW w:w="924" w:type="dxa"/>
            <w:vAlign w:val="bottom"/>
          </w:tcPr>
          <w:p w14:paraId="292BADE8" w14:textId="77777777" w:rsidR="004E2B4D" w:rsidRPr="00E754AA" w:rsidRDefault="004E2B4D" w:rsidP="004E2B4D">
            <w:pPr>
              <w:spacing w:before="40" w:after="40"/>
              <w:jc w:val="right"/>
              <w:rPr>
                <w:color w:val="000000"/>
                <w:sz w:val="17"/>
                <w:szCs w:val="17"/>
              </w:rPr>
            </w:pPr>
            <w:r>
              <w:rPr>
                <w:color w:val="000000"/>
                <w:sz w:val="17"/>
                <w:szCs w:val="17"/>
              </w:rPr>
              <w:t>(0.1</w:t>
            </w:r>
          </w:p>
        </w:tc>
        <w:tc>
          <w:tcPr>
            <w:tcW w:w="242" w:type="dxa"/>
            <w:vAlign w:val="bottom"/>
          </w:tcPr>
          <w:p w14:paraId="0BBB7075" w14:textId="77777777" w:rsidR="004E2B4D" w:rsidRPr="00E754AA" w:rsidRDefault="004E2B4D" w:rsidP="004E2B4D">
            <w:pPr>
              <w:spacing w:before="40" w:after="40"/>
              <w:rPr>
                <w:sz w:val="17"/>
                <w:szCs w:val="17"/>
              </w:rPr>
            </w:pPr>
          </w:p>
        </w:tc>
        <w:tc>
          <w:tcPr>
            <w:tcW w:w="924" w:type="dxa"/>
            <w:vAlign w:val="bottom"/>
          </w:tcPr>
          <w:p w14:paraId="30D5DD72" w14:textId="77777777" w:rsidR="004E2B4D" w:rsidRPr="00E754AA" w:rsidRDefault="00892A7E" w:rsidP="004E2B4D">
            <w:pPr>
              <w:spacing w:before="40" w:after="40"/>
              <w:jc w:val="right"/>
              <w:rPr>
                <w:sz w:val="17"/>
                <w:szCs w:val="17"/>
              </w:rPr>
            </w:pPr>
            <w:r>
              <w:rPr>
                <w:sz w:val="17"/>
              </w:rPr>
              <w:t>(0.0)</w:t>
            </w:r>
          </w:p>
        </w:tc>
        <w:tc>
          <w:tcPr>
            <w:tcW w:w="227" w:type="dxa"/>
            <w:vAlign w:val="bottom"/>
          </w:tcPr>
          <w:p w14:paraId="179D26F3" w14:textId="77777777" w:rsidR="004E2B4D" w:rsidRPr="00E754AA" w:rsidRDefault="004E2B4D" w:rsidP="004E2B4D">
            <w:pPr>
              <w:spacing w:before="40" w:after="40"/>
              <w:rPr>
                <w:sz w:val="17"/>
                <w:szCs w:val="17"/>
              </w:rPr>
            </w:pPr>
          </w:p>
        </w:tc>
        <w:tc>
          <w:tcPr>
            <w:tcW w:w="939" w:type="dxa"/>
            <w:vAlign w:val="bottom"/>
          </w:tcPr>
          <w:p w14:paraId="02EBE52A" w14:textId="77777777" w:rsidR="004E2B4D" w:rsidRPr="00E754AA" w:rsidRDefault="00892A7E" w:rsidP="004E2B4D">
            <w:pPr>
              <w:spacing w:before="40" w:after="40"/>
              <w:jc w:val="right"/>
              <w:rPr>
                <w:sz w:val="17"/>
                <w:szCs w:val="17"/>
              </w:rPr>
            </w:pPr>
            <w:r>
              <w:rPr>
                <w:sz w:val="17"/>
              </w:rPr>
              <w:t>(0.0)</w:t>
            </w:r>
          </w:p>
        </w:tc>
        <w:tc>
          <w:tcPr>
            <w:tcW w:w="266" w:type="dxa"/>
            <w:vAlign w:val="bottom"/>
          </w:tcPr>
          <w:p w14:paraId="2EC3282B" w14:textId="77777777" w:rsidR="004E2B4D" w:rsidRPr="000D2863" w:rsidRDefault="004E2B4D" w:rsidP="004E2B4D">
            <w:pPr>
              <w:spacing w:before="40" w:after="40"/>
              <w:rPr>
                <w:sz w:val="17"/>
                <w:szCs w:val="17"/>
              </w:rPr>
            </w:pPr>
          </w:p>
        </w:tc>
      </w:tr>
      <w:tr w:rsidR="004E2B4D" w:rsidRPr="00E834EF" w14:paraId="28AB5EB8" w14:textId="77777777" w:rsidTr="004E2B4D">
        <w:tc>
          <w:tcPr>
            <w:tcW w:w="3254" w:type="dxa"/>
            <w:vAlign w:val="center"/>
          </w:tcPr>
          <w:p w14:paraId="6ECF2387" w14:textId="77777777" w:rsidR="004E2B4D" w:rsidRPr="00E754AA" w:rsidRDefault="004E2B4D" w:rsidP="004E2B4D">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1B92DE18" w14:textId="77777777" w:rsidR="004E2B4D" w:rsidRPr="00E834EF" w:rsidRDefault="004E2B4D" w:rsidP="004E2B4D">
            <w:pPr>
              <w:spacing w:before="40" w:after="40"/>
              <w:rPr>
                <w:sz w:val="17"/>
                <w:szCs w:val="17"/>
              </w:rPr>
            </w:pPr>
          </w:p>
        </w:tc>
        <w:tc>
          <w:tcPr>
            <w:tcW w:w="913" w:type="dxa"/>
            <w:vAlign w:val="bottom"/>
          </w:tcPr>
          <w:p w14:paraId="6C5EEF7F" w14:textId="77777777" w:rsidR="004E2B4D" w:rsidRPr="00E754AA" w:rsidRDefault="004E2B4D" w:rsidP="004E2B4D">
            <w:pPr>
              <w:spacing w:before="40" w:after="40"/>
              <w:jc w:val="right"/>
              <w:rPr>
                <w:color w:val="000000"/>
                <w:sz w:val="17"/>
                <w:szCs w:val="17"/>
              </w:rPr>
            </w:pPr>
            <w:r w:rsidRPr="00B02BA3">
              <w:rPr>
                <w:sz w:val="17"/>
              </w:rPr>
              <w:t>—</w:t>
            </w:r>
          </w:p>
        </w:tc>
        <w:tc>
          <w:tcPr>
            <w:tcW w:w="252" w:type="dxa"/>
            <w:gridSpan w:val="2"/>
            <w:vAlign w:val="bottom"/>
          </w:tcPr>
          <w:p w14:paraId="1116BE7F" w14:textId="77777777" w:rsidR="004E2B4D" w:rsidRPr="00E754AA" w:rsidRDefault="004E2B4D" w:rsidP="004E2B4D">
            <w:pPr>
              <w:spacing w:before="40" w:after="40"/>
              <w:rPr>
                <w:color w:val="000000"/>
                <w:sz w:val="17"/>
                <w:szCs w:val="17"/>
              </w:rPr>
            </w:pPr>
          </w:p>
        </w:tc>
        <w:tc>
          <w:tcPr>
            <w:tcW w:w="924" w:type="dxa"/>
            <w:vAlign w:val="bottom"/>
          </w:tcPr>
          <w:p w14:paraId="3096BC38" w14:textId="77777777" w:rsidR="004E2B4D" w:rsidRPr="00E754AA" w:rsidRDefault="004E2B4D" w:rsidP="004E2B4D">
            <w:pPr>
              <w:spacing w:before="40" w:after="40"/>
              <w:jc w:val="right"/>
              <w:rPr>
                <w:color w:val="000000"/>
                <w:sz w:val="17"/>
                <w:szCs w:val="17"/>
              </w:rPr>
            </w:pPr>
            <w:r w:rsidRPr="00B02BA3">
              <w:rPr>
                <w:sz w:val="17"/>
              </w:rPr>
              <w:t>—</w:t>
            </w:r>
          </w:p>
        </w:tc>
        <w:tc>
          <w:tcPr>
            <w:tcW w:w="242" w:type="dxa"/>
            <w:vAlign w:val="bottom"/>
          </w:tcPr>
          <w:p w14:paraId="21BF7F05" w14:textId="77777777" w:rsidR="004E2B4D" w:rsidRPr="00E754AA" w:rsidRDefault="004E2B4D" w:rsidP="004E2B4D">
            <w:pPr>
              <w:spacing w:before="40" w:after="40"/>
              <w:rPr>
                <w:color w:val="000000"/>
                <w:sz w:val="17"/>
                <w:szCs w:val="17"/>
              </w:rPr>
            </w:pPr>
          </w:p>
        </w:tc>
        <w:tc>
          <w:tcPr>
            <w:tcW w:w="924" w:type="dxa"/>
            <w:vAlign w:val="bottom"/>
          </w:tcPr>
          <w:p w14:paraId="4A78B204" w14:textId="77777777" w:rsidR="004E2B4D" w:rsidRPr="00E754AA" w:rsidRDefault="004E2B4D" w:rsidP="004E2B4D">
            <w:pPr>
              <w:spacing w:before="40" w:after="40"/>
              <w:jc w:val="right"/>
              <w:rPr>
                <w:color w:val="000000"/>
                <w:sz w:val="17"/>
                <w:szCs w:val="17"/>
              </w:rPr>
            </w:pPr>
            <w:r w:rsidRPr="00B02BA3">
              <w:rPr>
                <w:sz w:val="17"/>
              </w:rPr>
              <w:t>—</w:t>
            </w:r>
          </w:p>
        </w:tc>
        <w:tc>
          <w:tcPr>
            <w:tcW w:w="242" w:type="dxa"/>
            <w:vAlign w:val="bottom"/>
          </w:tcPr>
          <w:p w14:paraId="13521D12" w14:textId="77777777" w:rsidR="004E2B4D" w:rsidRPr="00E754AA" w:rsidRDefault="004E2B4D" w:rsidP="004E2B4D">
            <w:pPr>
              <w:spacing w:before="40" w:after="40"/>
              <w:rPr>
                <w:sz w:val="17"/>
                <w:szCs w:val="17"/>
              </w:rPr>
            </w:pPr>
          </w:p>
        </w:tc>
        <w:tc>
          <w:tcPr>
            <w:tcW w:w="924" w:type="dxa"/>
            <w:vAlign w:val="bottom"/>
          </w:tcPr>
          <w:p w14:paraId="5031F84E" w14:textId="77777777" w:rsidR="004E2B4D" w:rsidRPr="00E754AA" w:rsidRDefault="004E2B4D" w:rsidP="004E2B4D">
            <w:pPr>
              <w:spacing w:before="40" w:after="40"/>
              <w:jc w:val="right"/>
              <w:rPr>
                <w:sz w:val="17"/>
                <w:szCs w:val="17"/>
              </w:rPr>
            </w:pPr>
            <w:r w:rsidRPr="00B02BA3">
              <w:rPr>
                <w:sz w:val="17"/>
              </w:rPr>
              <w:t>—</w:t>
            </w:r>
          </w:p>
        </w:tc>
        <w:tc>
          <w:tcPr>
            <w:tcW w:w="227" w:type="dxa"/>
            <w:vAlign w:val="bottom"/>
          </w:tcPr>
          <w:p w14:paraId="280FAE17" w14:textId="77777777" w:rsidR="004E2B4D" w:rsidRPr="00E754AA" w:rsidRDefault="004E2B4D" w:rsidP="004E2B4D">
            <w:pPr>
              <w:spacing w:before="40" w:after="40"/>
              <w:rPr>
                <w:sz w:val="17"/>
                <w:szCs w:val="17"/>
              </w:rPr>
            </w:pPr>
          </w:p>
        </w:tc>
        <w:tc>
          <w:tcPr>
            <w:tcW w:w="939" w:type="dxa"/>
            <w:vAlign w:val="bottom"/>
          </w:tcPr>
          <w:p w14:paraId="7C967574" w14:textId="77777777" w:rsidR="004E2B4D" w:rsidRPr="00E754AA" w:rsidRDefault="004E2B4D" w:rsidP="004E2B4D">
            <w:pPr>
              <w:spacing w:before="40" w:after="40"/>
              <w:jc w:val="right"/>
              <w:rPr>
                <w:sz w:val="17"/>
                <w:szCs w:val="17"/>
              </w:rPr>
            </w:pPr>
            <w:r w:rsidRPr="00B02BA3">
              <w:rPr>
                <w:sz w:val="17"/>
              </w:rPr>
              <w:t>—</w:t>
            </w:r>
          </w:p>
        </w:tc>
        <w:tc>
          <w:tcPr>
            <w:tcW w:w="266" w:type="dxa"/>
            <w:vAlign w:val="bottom"/>
          </w:tcPr>
          <w:p w14:paraId="3324DFD3" w14:textId="77777777" w:rsidR="004E2B4D" w:rsidRPr="000D2863" w:rsidRDefault="004E2B4D" w:rsidP="004E2B4D">
            <w:pPr>
              <w:spacing w:before="40" w:after="40"/>
              <w:rPr>
                <w:sz w:val="17"/>
                <w:szCs w:val="17"/>
              </w:rPr>
            </w:pPr>
          </w:p>
        </w:tc>
      </w:tr>
      <w:tr w:rsidR="004E2B4D" w:rsidRPr="00E834EF" w14:paraId="7F37626A" w14:textId="77777777" w:rsidTr="004E2B4D">
        <w:tc>
          <w:tcPr>
            <w:tcW w:w="3254" w:type="dxa"/>
            <w:vAlign w:val="center"/>
          </w:tcPr>
          <w:p w14:paraId="515D941B" w14:textId="77777777" w:rsidR="004E2B4D" w:rsidRDefault="004E2B4D" w:rsidP="004E2B4D">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0E07B2CB" w14:textId="77777777" w:rsidR="004E2B4D" w:rsidRPr="00E834EF" w:rsidRDefault="004E2B4D" w:rsidP="004E2B4D">
            <w:pPr>
              <w:spacing w:before="40" w:after="40"/>
              <w:rPr>
                <w:sz w:val="17"/>
                <w:szCs w:val="17"/>
              </w:rPr>
            </w:pPr>
          </w:p>
        </w:tc>
        <w:tc>
          <w:tcPr>
            <w:tcW w:w="913" w:type="dxa"/>
            <w:tcBorders>
              <w:bottom w:val="single" w:sz="4" w:space="0" w:color="auto"/>
            </w:tcBorders>
            <w:vAlign w:val="bottom"/>
          </w:tcPr>
          <w:p w14:paraId="5862C733" w14:textId="77777777" w:rsidR="004E2B4D" w:rsidRPr="000D2863" w:rsidRDefault="004E2B4D" w:rsidP="004E2B4D">
            <w:pPr>
              <w:spacing w:before="40" w:after="40"/>
              <w:jc w:val="right"/>
              <w:rPr>
                <w:color w:val="000000"/>
                <w:sz w:val="17"/>
                <w:szCs w:val="17"/>
              </w:rPr>
            </w:pPr>
            <w:r>
              <w:rPr>
                <w:color w:val="000000"/>
                <w:sz w:val="17"/>
                <w:szCs w:val="17"/>
              </w:rPr>
              <w:t>18.0</w:t>
            </w:r>
          </w:p>
        </w:tc>
        <w:tc>
          <w:tcPr>
            <w:tcW w:w="252" w:type="dxa"/>
            <w:gridSpan w:val="2"/>
            <w:vAlign w:val="bottom"/>
          </w:tcPr>
          <w:p w14:paraId="6080C4DE" w14:textId="77777777" w:rsidR="004E2B4D" w:rsidRPr="000D2863" w:rsidRDefault="004E2B4D" w:rsidP="004E2B4D">
            <w:pPr>
              <w:spacing w:before="40" w:after="40"/>
              <w:rPr>
                <w:color w:val="000000"/>
                <w:sz w:val="17"/>
                <w:szCs w:val="17"/>
              </w:rPr>
            </w:pPr>
          </w:p>
        </w:tc>
        <w:tc>
          <w:tcPr>
            <w:tcW w:w="924" w:type="dxa"/>
            <w:tcBorders>
              <w:bottom w:val="single" w:sz="4" w:space="0" w:color="auto"/>
            </w:tcBorders>
            <w:vAlign w:val="bottom"/>
          </w:tcPr>
          <w:p w14:paraId="470D7494" w14:textId="77777777" w:rsidR="004E2B4D" w:rsidRPr="000D2863" w:rsidRDefault="004E2B4D" w:rsidP="004E2B4D">
            <w:pPr>
              <w:spacing w:before="40" w:after="40"/>
              <w:jc w:val="right"/>
              <w:rPr>
                <w:color w:val="000000"/>
                <w:sz w:val="17"/>
                <w:szCs w:val="17"/>
              </w:rPr>
            </w:pPr>
            <w:r>
              <w:rPr>
                <w:color w:val="000000"/>
                <w:sz w:val="17"/>
                <w:szCs w:val="17"/>
              </w:rPr>
              <w:t>19.0</w:t>
            </w:r>
          </w:p>
        </w:tc>
        <w:tc>
          <w:tcPr>
            <w:tcW w:w="242" w:type="dxa"/>
            <w:vAlign w:val="bottom"/>
          </w:tcPr>
          <w:p w14:paraId="6A3E3C3D" w14:textId="77777777" w:rsidR="004E2B4D" w:rsidRPr="000D2863" w:rsidRDefault="004E2B4D" w:rsidP="004E2B4D">
            <w:pPr>
              <w:spacing w:before="40" w:after="40"/>
              <w:rPr>
                <w:color w:val="000000"/>
                <w:sz w:val="17"/>
                <w:szCs w:val="17"/>
              </w:rPr>
            </w:pPr>
          </w:p>
        </w:tc>
        <w:tc>
          <w:tcPr>
            <w:tcW w:w="924" w:type="dxa"/>
            <w:tcBorders>
              <w:bottom w:val="single" w:sz="4" w:space="0" w:color="auto"/>
            </w:tcBorders>
            <w:vAlign w:val="bottom"/>
          </w:tcPr>
          <w:p w14:paraId="7099CE44" w14:textId="77777777" w:rsidR="004E2B4D" w:rsidRPr="000D2863" w:rsidRDefault="004E2B4D" w:rsidP="004E2B4D">
            <w:pPr>
              <w:spacing w:before="40" w:after="40"/>
              <w:jc w:val="right"/>
              <w:rPr>
                <w:color w:val="000000"/>
                <w:sz w:val="17"/>
                <w:szCs w:val="17"/>
              </w:rPr>
            </w:pPr>
            <w:r>
              <w:rPr>
                <w:color w:val="000000"/>
                <w:sz w:val="17"/>
                <w:szCs w:val="17"/>
              </w:rPr>
              <w:t>103.0</w:t>
            </w:r>
          </w:p>
        </w:tc>
        <w:tc>
          <w:tcPr>
            <w:tcW w:w="242" w:type="dxa"/>
            <w:vAlign w:val="bottom"/>
          </w:tcPr>
          <w:p w14:paraId="578B0C4D" w14:textId="77777777" w:rsidR="004E2B4D" w:rsidRPr="000D2863" w:rsidRDefault="004E2B4D" w:rsidP="004E2B4D">
            <w:pPr>
              <w:spacing w:before="40" w:after="40"/>
              <w:rPr>
                <w:sz w:val="17"/>
                <w:szCs w:val="17"/>
              </w:rPr>
            </w:pPr>
          </w:p>
        </w:tc>
        <w:tc>
          <w:tcPr>
            <w:tcW w:w="924" w:type="dxa"/>
            <w:tcBorders>
              <w:bottom w:val="single" w:sz="4" w:space="0" w:color="auto"/>
            </w:tcBorders>
            <w:vAlign w:val="bottom"/>
          </w:tcPr>
          <w:p w14:paraId="0C63BAB8" w14:textId="77777777" w:rsidR="004E2B4D" w:rsidRPr="000D2863" w:rsidRDefault="00892A7E" w:rsidP="004E2B4D">
            <w:pPr>
              <w:spacing w:before="40" w:after="40"/>
              <w:jc w:val="right"/>
              <w:rPr>
                <w:sz w:val="17"/>
                <w:szCs w:val="17"/>
              </w:rPr>
            </w:pPr>
            <w:r>
              <w:rPr>
                <w:sz w:val="17"/>
                <w:szCs w:val="17"/>
              </w:rPr>
              <w:t>70.5</w:t>
            </w:r>
          </w:p>
        </w:tc>
        <w:tc>
          <w:tcPr>
            <w:tcW w:w="227" w:type="dxa"/>
            <w:vAlign w:val="bottom"/>
          </w:tcPr>
          <w:p w14:paraId="68FEE907" w14:textId="77777777" w:rsidR="004E2B4D" w:rsidRPr="000D2863" w:rsidRDefault="004E2B4D" w:rsidP="004E2B4D">
            <w:pPr>
              <w:spacing w:before="40" w:after="40"/>
              <w:rPr>
                <w:sz w:val="17"/>
                <w:szCs w:val="17"/>
              </w:rPr>
            </w:pPr>
          </w:p>
        </w:tc>
        <w:tc>
          <w:tcPr>
            <w:tcW w:w="939" w:type="dxa"/>
            <w:tcBorders>
              <w:bottom w:val="single" w:sz="4" w:space="0" w:color="auto"/>
            </w:tcBorders>
            <w:vAlign w:val="bottom"/>
          </w:tcPr>
          <w:p w14:paraId="163E96A0" w14:textId="77777777" w:rsidR="004E2B4D" w:rsidRPr="000D2863" w:rsidRDefault="004E2B4D" w:rsidP="004E2B4D">
            <w:pPr>
              <w:spacing w:before="40" w:after="40"/>
              <w:jc w:val="right"/>
              <w:rPr>
                <w:sz w:val="17"/>
                <w:szCs w:val="17"/>
              </w:rPr>
            </w:pPr>
            <w:r>
              <w:rPr>
                <w:sz w:val="17"/>
                <w:szCs w:val="17"/>
              </w:rPr>
              <w:t>110.0</w:t>
            </w:r>
          </w:p>
        </w:tc>
        <w:tc>
          <w:tcPr>
            <w:tcW w:w="266" w:type="dxa"/>
            <w:vAlign w:val="bottom"/>
          </w:tcPr>
          <w:p w14:paraId="7A252CDF" w14:textId="77777777" w:rsidR="004E2B4D" w:rsidRPr="000D2863" w:rsidRDefault="004E2B4D" w:rsidP="004E2B4D">
            <w:pPr>
              <w:spacing w:before="40" w:after="40"/>
              <w:rPr>
                <w:sz w:val="17"/>
                <w:szCs w:val="17"/>
              </w:rPr>
            </w:pPr>
          </w:p>
        </w:tc>
      </w:tr>
      <w:tr w:rsidR="004E2B4D" w:rsidRPr="00E834EF" w14:paraId="0940E97C" w14:textId="77777777" w:rsidTr="004E2B4D">
        <w:tc>
          <w:tcPr>
            <w:tcW w:w="3254" w:type="dxa"/>
          </w:tcPr>
          <w:p w14:paraId="0AC78302" w14:textId="77777777" w:rsidR="004E2B4D" w:rsidRDefault="004E2B4D" w:rsidP="004E2B4D">
            <w:pPr>
              <w:tabs>
                <w:tab w:val="right" w:leader="dot" w:pos="3255"/>
              </w:tabs>
              <w:bidi/>
              <w:spacing w:before="40" w:after="40"/>
              <w:rPr>
                <w:b/>
                <w:bCs/>
                <w:sz w:val="17"/>
                <w:szCs w:val="17"/>
                <w:u w:val="single"/>
              </w:rPr>
            </w:pPr>
            <w:r w:rsidRPr="00272B36">
              <w:rPr>
                <w:rFonts w:hint="eastAsia"/>
                <w:b/>
                <w:bCs/>
                <w:szCs w:val="17"/>
                <w:rtl/>
              </w:rPr>
              <w:t>الأرباح</w:t>
            </w:r>
            <w:r w:rsidRPr="00272B36">
              <w:rPr>
                <w:b/>
                <w:bCs/>
                <w:szCs w:val="17"/>
                <w:rtl/>
              </w:rPr>
              <w:t xml:space="preserve"> </w:t>
            </w:r>
            <w:r w:rsidRPr="00272B36">
              <w:rPr>
                <w:rFonts w:hint="eastAsia"/>
                <w:b/>
                <w:bCs/>
                <w:szCs w:val="17"/>
                <w:rtl/>
              </w:rPr>
              <w:t>قبل</w:t>
            </w:r>
            <w:r w:rsidRPr="00272B36">
              <w:rPr>
                <w:b/>
                <w:bCs/>
                <w:szCs w:val="17"/>
                <w:rtl/>
              </w:rPr>
              <w:t xml:space="preserve"> </w:t>
            </w:r>
            <w:r w:rsidRPr="00272B36">
              <w:rPr>
                <w:rFonts w:hint="eastAsia"/>
                <w:b/>
                <w:bCs/>
                <w:szCs w:val="17"/>
                <w:rtl/>
              </w:rPr>
              <w:t>حساب</w:t>
            </w:r>
            <w:r w:rsidRPr="00272B36">
              <w:rPr>
                <w:b/>
                <w:bCs/>
                <w:szCs w:val="17"/>
                <w:rtl/>
              </w:rPr>
              <w:t xml:space="preserve"> </w:t>
            </w:r>
            <w:r w:rsidRPr="00272B36">
              <w:rPr>
                <w:rFonts w:hint="eastAsia"/>
                <w:b/>
                <w:bCs/>
                <w:szCs w:val="17"/>
                <w:rtl/>
              </w:rPr>
              <w:t>الفوائد</w:t>
            </w:r>
            <w:r w:rsidRPr="00272B36">
              <w:rPr>
                <w:b/>
                <w:bCs/>
                <w:szCs w:val="17"/>
                <w:rtl/>
              </w:rPr>
              <w:t xml:space="preserve"> </w:t>
            </w:r>
            <w:r w:rsidRPr="00272B36">
              <w:rPr>
                <w:rFonts w:hint="eastAsia"/>
                <w:b/>
                <w:bCs/>
                <w:szCs w:val="17"/>
                <w:rtl/>
              </w:rPr>
              <w:t>والضرائب</w:t>
            </w:r>
            <w:r w:rsidRPr="00272B36">
              <w:rPr>
                <w:b/>
                <w:bCs/>
                <w:szCs w:val="17"/>
                <w:rtl/>
              </w:rPr>
              <w:t xml:space="preserve"> </w:t>
            </w:r>
            <w:r w:rsidRPr="00272B36">
              <w:rPr>
                <w:rFonts w:hint="eastAsia"/>
                <w:b/>
                <w:bCs/>
                <w:szCs w:val="17"/>
                <w:rtl/>
              </w:rPr>
              <w:t>والإهلاك</w:t>
            </w:r>
            <w:r w:rsidRPr="00272B36">
              <w:rPr>
                <w:b/>
                <w:bCs/>
                <w:szCs w:val="17"/>
                <w:rtl/>
              </w:rPr>
              <w:t xml:space="preserve"> </w:t>
            </w:r>
            <w:r w:rsidRPr="00272B36">
              <w:rPr>
                <w:rFonts w:hint="eastAsia"/>
                <w:b/>
                <w:bCs/>
                <w:szCs w:val="17"/>
                <w:rtl/>
              </w:rPr>
              <w:t>والإطفاء</w:t>
            </w:r>
            <w:r w:rsidRPr="00272B36">
              <w:rPr>
                <w:b/>
                <w:bCs/>
                <w:szCs w:val="17"/>
                <w:rtl/>
              </w:rPr>
              <w:t xml:space="preserve"> </w:t>
            </w:r>
            <w:r w:rsidRPr="00272B36">
              <w:rPr>
                <w:rFonts w:hint="eastAsia"/>
                <w:b/>
                <w:bCs/>
                <w:szCs w:val="17"/>
                <w:rtl/>
              </w:rPr>
              <w:t>ل</w:t>
            </w:r>
            <w:r w:rsidR="00607B02">
              <w:rPr>
                <w:rFonts w:hint="eastAsia"/>
                <w:b/>
                <w:bCs/>
                <w:szCs w:val="17"/>
                <w:rtl/>
              </w:rPr>
              <w:t>نقل</w:t>
            </w:r>
            <w:r w:rsidRPr="00272B36">
              <w:rPr>
                <w:b/>
                <w:bCs/>
                <w:szCs w:val="17"/>
                <w:rtl/>
              </w:rPr>
              <w:t xml:space="preserve"> </w:t>
            </w:r>
            <w:r w:rsidRPr="00272B36">
              <w:rPr>
                <w:rFonts w:hint="eastAsia"/>
                <w:b/>
                <w:bCs/>
                <w:szCs w:val="17"/>
                <w:rtl/>
              </w:rPr>
              <w:t>ا</w:t>
            </w:r>
            <w:r>
              <w:rPr>
                <w:rFonts w:hint="cs"/>
                <w:b/>
                <w:bCs/>
                <w:szCs w:val="17"/>
                <w:rtl/>
              </w:rPr>
              <w:t>لمنتجات</w:t>
            </w:r>
            <w:r w:rsidRPr="007D2480">
              <w:rPr>
                <w:sz w:val="17"/>
              </w:rPr>
              <w:tab/>
            </w:r>
          </w:p>
        </w:tc>
        <w:tc>
          <w:tcPr>
            <w:tcW w:w="242" w:type="dxa"/>
            <w:vAlign w:val="bottom"/>
          </w:tcPr>
          <w:p w14:paraId="22F99901" w14:textId="77777777" w:rsidR="004E2B4D" w:rsidRPr="00E834EF" w:rsidRDefault="004E2B4D" w:rsidP="004E2B4D">
            <w:pPr>
              <w:spacing w:before="40" w:after="40"/>
              <w:rPr>
                <w:sz w:val="17"/>
                <w:szCs w:val="17"/>
              </w:rPr>
            </w:pPr>
          </w:p>
        </w:tc>
        <w:tc>
          <w:tcPr>
            <w:tcW w:w="913" w:type="dxa"/>
            <w:tcBorders>
              <w:top w:val="single" w:sz="4" w:space="0" w:color="auto"/>
            </w:tcBorders>
            <w:vAlign w:val="bottom"/>
          </w:tcPr>
          <w:p w14:paraId="5C6F7475" w14:textId="77777777" w:rsidR="004E2B4D" w:rsidRPr="002163D4" w:rsidRDefault="004E2B4D" w:rsidP="004E2B4D">
            <w:pPr>
              <w:spacing w:before="40" w:after="40"/>
              <w:jc w:val="right"/>
              <w:rPr>
                <w:b/>
                <w:bCs/>
                <w:color w:val="000000"/>
                <w:sz w:val="16"/>
                <w:szCs w:val="16"/>
              </w:rPr>
            </w:pPr>
            <w:r w:rsidRPr="007A3BB2">
              <w:rPr>
                <w:color w:val="000000"/>
                <w:sz w:val="16"/>
                <w:szCs w:val="16"/>
              </w:rPr>
              <w:t>38.3</w:t>
            </w:r>
          </w:p>
        </w:tc>
        <w:tc>
          <w:tcPr>
            <w:tcW w:w="252" w:type="dxa"/>
            <w:gridSpan w:val="2"/>
            <w:vAlign w:val="bottom"/>
          </w:tcPr>
          <w:p w14:paraId="3AD39614" w14:textId="77777777" w:rsidR="004E2B4D" w:rsidRPr="002163D4" w:rsidRDefault="004E2B4D" w:rsidP="004E2B4D">
            <w:pPr>
              <w:spacing w:before="40" w:after="40"/>
              <w:rPr>
                <w:b/>
                <w:bCs/>
                <w:color w:val="000000"/>
                <w:sz w:val="16"/>
                <w:szCs w:val="16"/>
              </w:rPr>
            </w:pPr>
          </w:p>
        </w:tc>
        <w:tc>
          <w:tcPr>
            <w:tcW w:w="924" w:type="dxa"/>
            <w:tcBorders>
              <w:top w:val="single" w:sz="4" w:space="0" w:color="auto"/>
            </w:tcBorders>
            <w:vAlign w:val="bottom"/>
          </w:tcPr>
          <w:p w14:paraId="6231547B" w14:textId="77777777" w:rsidR="004E2B4D" w:rsidRPr="002163D4" w:rsidRDefault="004E2B4D" w:rsidP="004E2B4D">
            <w:pPr>
              <w:spacing w:before="40" w:after="40"/>
              <w:jc w:val="right"/>
              <w:rPr>
                <w:b/>
                <w:bCs/>
                <w:color w:val="000000"/>
                <w:sz w:val="16"/>
                <w:szCs w:val="16"/>
              </w:rPr>
            </w:pPr>
            <w:r w:rsidRPr="007A3BB2">
              <w:rPr>
                <w:color w:val="000000"/>
                <w:sz w:val="16"/>
                <w:szCs w:val="16"/>
              </w:rPr>
              <w:t>56.3</w:t>
            </w:r>
          </w:p>
        </w:tc>
        <w:tc>
          <w:tcPr>
            <w:tcW w:w="242" w:type="dxa"/>
            <w:vAlign w:val="bottom"/>
          </w:tcPr>
          <w:p w14:paraId="1982DD02" w14:textId="77777777" w:rsidR="004E2B4D" w:rsidRPr="002163D4" w:rsidRDefault="004E2B4D" w:rsidP="004E2B4D">
            <w:pPr>
              <w:spacing w:before="40" w:after="40"/>
              <w:rPr>
                <w:b/>
                <w:bCs/>
                <w:color w:val="000000"/>
                <w:sz w:val="16"/>
                <w:szCs w:val="16"/>
              </w:rPr>
            </w:pPr>
          </w:p>
        </w:tc>
        <w:tc>
          <w:tcPr>
            <w:tcW w:w="924" w:type="dxa"/>
            <w:tcBorders>
              <w:top w:val="single" w:sz="4" w:space="0" w:color="auto"/>
            </w:tcBorders>
            <w:vAlign w:val="bottom"/>
          </w:tcPr>
          <w:p w14:paraId="4C6565E6" w14:textId="77777777" w:rsidR="004E2B4D" w:rsidRPr="002163D4" w:rsidRDefault="004E2B4D" w:rsidP="004E2B4D">
            <w:pPr>
              <w:spacing w:before="40" w:after="40"/>
              <w:jc w:val="right"/>
              <w:rPr>
                <w:b/>
                <w:bCs/>
                <w:color w:val="000000"/>
                <w:sz w:val="16"/>
                <w:szCs w:val="16"/>
              </w:rPr>
            </w:pPr>
            <w:r w:rsidRPr="007A3BB2">
              <w:rPr>
                <w:color w:val="000000"/>
                <w:sz w:val="16"/>
                <w:szCs w:val="16"/>
              </w:rPr>
              <w:t>151.2</w:t>
            </w:r>
          </w:p>
        </w:tc>
        <w:tc>
          <w:tcPr>
            <w:tcW w:w="242" w:type="dxa"/>
            <w:vAlign w:val="bottom"/>
          </w:tcPr>
          <w:p w14:paraId="69031007" w14:textId="77777777" w:rsidR="004E2B4D" w:rsidRPr="002163D4" w:rsidRDefault="004E2B4D" w:rsidP="004E2B4D">
            <w:pPr>
              <w:spacing w:before="40" w:after="40"/>
              <w:rPr>
                <w:b/>
                <w:bCs/>
                <w:sz w:val="16"/>
                <w:szCs w:val="16"/>
              </w:rPr>
            </w:pPr>
          </w:p>
        </w:tc>
        <w:tc>
          <w:tcPr>
            <w:tcW w:w="924" w:type="dxa"/>
            <w:tcBorders>
              <w:top w:val="single" w:sz="4" w:space="0" w:color="auto"/>
            </w:tcBorders>
            <w:vAlign w:val="bottom"/>
          </w:tcPr>
          <w:p w14:paraId="358AD6D4" w14:textId="77777777" w:rsidR="004E2B4D" w:rsidRPr="002163D4" w:rsidRDefault="004E2B4D" w:rsidP="004E2B4D">
            <w:pPr>
              <w:spacing w:before="40" w:after="40"/>
              <w:jc w:val="right"/>
              <w:rPr>
                <w:b/>
                <w:bCs/>
                <w:sz w:val="16"/>
                <w:szCs w:val="16"/>
              </w:rPr>
            </w:pPr>
            <w:r w:rsidRPr="007A3BB2">
              <w:rPr>
                <w:color w:val="000000"/>
                <w:sz w:val="16"/>
                <w:szCs w:val="16"/>
              </w:rPr>
              <w:t>108.2</w:t>
            </w:r>
          </w:p>
        </w:tc>
        <w:tc>
          <w:tcPr>
            <w:tcW w:w="227" w:type="dxa"/>
            <w:vAlign w:val="bottom"/>
          </w:tcPr>
          <w:p w14:paraId="2A604747" w14:textId="77777777" w:rsidR="004E2B4D" w:rsidRPr="002163D4" w:rsidRDefault="004E2B4D" w:rsidP="004E2B4D">
            <w:pPr>
              <w:spacing w:before="40" w:after="40"/>
              <w:rPr>
                <w:b/>
                <w:bCs/>
                <w:sz w:val="16"/>
                <w:szCs w:val="16"/>
              </w:rPr>
            </w:pPr>
          </w:p>
        </w:tc>
        <w:tc>
          <w:tcPr>
            <w:tcW w:w="939" w:type="dxa"/>
            <w:tcBorders>
              <w:top w:val="single" w:sz="4" w:space="0" w:color="auto"/>
            </w:tcBorders>
            <w:vAlign w:val="bottom"/>
          </w:tcPr>
          <w:p w14:paraId="4A9B347A" w14:textId="77777777" w:rsidR="004E2B4D" w:rsidRPr="002163D4" w:rsidRDefault="004E2B4D" w:rsidP="004E2B4D">
            <w:pPr>
              <w:spacing w:before="40" w:after="40"/>
              <w:jc w:val="right"/>
              <w:rPr>
                <w:b/>
                <w:bCs/>
                <w:sz w:val="16"/>
                <w:szCs w:val="16"/>
              </w:rPr>
            </w:pPr>
            <w:r w:rsidRPr="007A3BB2">
              <w:rPr>
                <w:color w:val="000000"/>
                <w:sz w:val="16"/>
                <w:szCs w:val="16"/>
              </w:rPr>
              <w:t>158.8</w:t>
            </w:r>
          </w:p>
        </w:tc>
        <w:tc>
          <w:tcPr>
            <w:tcW w:w="266" w:type="dxa"/>
            <w:vAlign w:val="bottom"/>
          </w:tcPr>
          <w:p w14:paraId="3F390350" w14:textId="77777777" w:rsidR="004E2B4D" w:rsidRPr="000D2863" w:rsidRDefault="004E2B4D" w:rsidP="004E2B4D">
            <w:pPr>
              <w:spacing w:before="40" w:after="40"/>
              <w:rPr>
                <w:b/>
                <w:bCs/>
                <w:sz w:val="17"/>
                <w:szCs w:val="17"/>
              </w:rPr>
            </w:pPr>
          </w:p>
        </w:tc>
      </w:tr>
    </w:tbl>
    <w:p w14:paraId="1A49F039" w14:textId="77777777" w:rsidR="009842D3" w:rsidRDefault="009842D3" w:rsidP="009842D3">
      <w:pPr>
        <w:autoSpaceDE w:val="0"/>
        <w:autoSpaceDN w:val="0"/>
        <w:bidi/>
        <w:adjustRightInd w:val="0"/>
        <w:jc w:val="both"/>
        <w:rPr>
          <w:rFonts w:ascii="Traditional Arabic" w:hAnsi="Traditional Arabic" w:cs="Traditional Arabic"/>
          <w:sz w:val="30"/>
          <w:szCs w:val="30"/>
          <w:rtl/>
          <w:lang w:bidi="ar-EG"/>
        </w:rPr>
      </w:pPr>
    </w:p>
    <w:p w14:paraId="21917AB3" w14:textId="77777777" w:rsidR="00A64D52" w:rsidRDefault="00287CE3" w:rsidP="00A64D52">
      <w:pPr>
        <w:autoSpaceDE w:val="0"/>
        <w:autoSpaceDN w:val="0"/>
        <w:bidi/>
        <w:adjustRightInd w:val="0"/>
        <w:jc w:val="both"/>
        <w:rPr>
          <w:rFonts w:ascii="Traditional Arabic" w:hAnsi="Traditional Arabic" w:cs="Traditional Arabic"/>
          <w:sz w:val="30"/>
          <w:szCs w:val="30"/>
          <w:rtl/>
          <w:lang w:bidi="ar-EG"/>
        </w:rPr>
      </w:pPr>
      <w:r w:rsidRPr="00287CE3">
        <w:rPr>
          <w:rFonts w:ascii="Traditional Arabic" w:hAnsi="Traditional Arabic" w:cs="Traditional Arabic"/>
          <w:sz w:val="30"/>
          <w:szCs w:val="30"/>
          <w:rtl/>
          <w:lang w:bidi="ar-EG"/>
        </w:rPr>
        <w:t>(6)</w:t>
      </w:r>
      <w:r w:rsidRPr="00287CE3">
        <w:rPr>
          <w:rFonts w:ascii="Traditional Arabic" w:hAnsi="Traditional Arabic" w:cs="Traditional Arabic"/>
          <w:sz w:val="30"/>
          <w:szCs w:val="30"/>
          <w:rtl/>
          <w:lang w:bidi="ar-EG"/>
        </w:rPr>
        <w:tab/>
        <w:t xml:space="preserve">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لقطاع </w:t>
      </w:r>
      <w:r w:rsidR="00607B02">
        <w:rPr>
          <w:rFonts w:ascii="Traditional Arabic" w:hAnsi="Traditional Arabic" w:cs="Traditional Arabic"/>
          <w:sz w:val="30"/>
          <w:szCs w:val="30"/>
          <w:rtl/>
          <w:lang w:bidi="ar-EG"/>
        </w:rPr>
        <w:t>نقل</w:t>
      </w:r>
      <w:r w:rsidRPr="00287CE3">
        <w:rPr>
          <w:rFonts w:ascii="Traditional Arabic" w:hAnsi="Traditional Arabic" w:cs="Traditional Arabic"/>
          <w:sz w:val="30"/>
          <w:szCs w:val="30"/>
          <w:rtl/>
          <w:lang w:bidi="ar-EG"/>
        </w:rPr>
        <w:t xml:space="preserve"> البضائع السائبة الجافة للفترات المشار إليها:</w:t>
      </w:r>
    </w:p>
    <w:p w14:paraId="651CDD26" w14:textId="77777777" w:rsidR="00287CE3" w:rsidRDefault="00287CE3" w:rsidP="00287CE3">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7355BA" w:rsidRPr="00E834EF" w14:paraId="2369A039" w14:textId="77777777" w:rsidTr="007355BA">
        <w:trPr>
          <w:tblHeader/>
        </w:trPr>
        <w:tc>
          <w:tcPr>
            <w:tcW w:w="3254" w:type="dxa"/>
          </w:tcPr>
          <w:p w14:paraId="1F5CD685" w14:textId="77777777" w:rsidR="007355BA" w:rsidRPr="00E834EF" w:rsidRDefault="007355BA" w:rsidP="007355BA">
            <w:pPr>
              <w:keepNext/>
              <w:bidi/>
              <w:spacing w:before="40" w:after="120"/>
              <w:rPr>
                <w:b/>
                <w:sz w:val="17"/>
                <w:szCs w:val="17"/>
              </w:rPr>
            </w:pPr>
          </w:p>
        </w:tc>
        <w:tc>
          <w:tcPr>
            <w:tcW w:w="242" w:type="dxa"/>
          </w:tcPr>
          <w:p w14:paraId="479E6C61" w14:textId="77777777" w:rsidR="007355BA" w:rsidRPr="00E834EF" w:rsidRDefault="007355BA" w:rsidP="007355BA">
            <w:pPr>
              <w:spacing w:before="40" w:after="40"/>
              <w:rPr>
                <w:sz w:val="17"/>
                <w:szCs w:val="17"/>
              </w:rPr>
            </w:pPr>
          </w:p>
        </w:tc>
        <w:tc>
          <w:tcPr>
            <w:tcW w:w="3255" w:type="dxa"/>
            <w:gridSpan w:val="6"/>
            <w:tcBorders>
              <w:bottom w:val="single" w:sz="4" w:space="0" w:color="auto"/>
            </w:tcBorders>
          </w:tcPr>
          <w:p w14:paraId="23B0AAB1" w14:textId="77777777" w:rsidR="007355BA" w:rsidRPr="00E834EF" w:rsidRDefault="007355BA" w:rsidP="007355BA">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4B911FE4" w14:textId="77777777" w:rsidR="007355BA" w:rsidRPr="00E834EF" w:rsidRDefault="007355BA" w:rsidP="007355BA">
            <w:pPr>
              <w:spacing w:before="40" w:after="40"/>
              <w:rPr>
                <w:sz w:val="17"/>
                <w:szCs w:val="17"/>
              </w:rPr>
            </w:pPr>
          </w:p>
        </w:tc>
        <w:tc>
          <w:tcPr>
            <w:tcW w:w="2090" w:type="dxa"/>
            <w:gridSpan w:val="3"/>
            <w:tcBorders>
              <w:bottom w:val="single" w:sz="4" w:space="0" w:color="auto"/>
            </w:tcBorders>
          </w:tcPr>
          <w:p w14:paraId="198154A2" w14:textId="77777777" w:rsidR="007355BA" w:rsidRPr="00E834EF" w:rsidRDefault="007355BA" w:rsidP="007355BA">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1198866C" w14:textId="77777777" w:rsidR="007355BA" w:rsidRPr="00E834EF" w:rsidRDefault="007355BA" w:rsidP="007355BA">
            <w:pPr>
              <w:keepNext/>
              <w:spacing w:before="40" w:after="120"/>
              <w:jc w:val="center"/>
              <w:rPr>
                <w:b/>
                <w:sz w:val="17"/>
                <w:szCs w:val="17"/>
              </w:rPr>
            </w:pPr>
          </w:p>
        </w:tc>
      </w:tr>
      <w:tr w:rsidR="007355BA" w:rsidRPr="00E834EF" w14:paraId="5788A5B7" w14:textId="77777777" w:rsidTr="007355BA">
        <w:trPr>
          <w:tblHeader/>
        </w:trPr>
        <w:tc>
          <w:tcPr>
            <w:tcW w:w="3254" w:type="dxa"/>
          </w:tcPr>
          <w:p w14:paraId="26346D05" w14:textId="77777777" w:rsidR="007355BA" w:rsidRPr="00E834EF" w:rsidRDefault="007355BA" w:rsidP="007355BA">
            <w:pPr>
              <w:keepNext/>
              <w:bidi/>
              <w:spacing w:before="40" w:after="120"/>
              <w:rPr>
                <w:b/>
                <w:sz w:val="17"/>
                <w:szCs w:val="17"/>
              </w:rPr>
            </w:pPr>
          </w:p>
        </w:tc>
        <w:tc>
          <w:tcPr>
            <w:tcW w:w="242" w:type="dxa"/>
          </w:tcPr>
          <w:p w14:paraId="44472924" w14:textId="77777777" w:rsidR="007355BA" w:rsidRPr="00E834EF" w:rsidRDefault="007355BA" w:rsidP="007355BA">
            <w:pPr>
              <w:spacing w:before="40" w:after="40"/>
              <w:rPr>
                <w:sz w:val="17"/>
                <w:szCs w:val="17"/>
              </w:rPr>
            </w:pPr>
          </w:p>
        </w:tc>
        <w:tc>
          <w:tcPr>
            <w:tcW w:w="923" w:type="dxa"/>
            <w:gridSpan w:val="2"/>
            <w:tcBorders>
              <w:top w:val="single" w:sz="4" w:space="0" w:color="auto"/>
              <w:bottom w:val="single" w:sz="4" w:space="0" w:color="auto"/>
            </w:tcBorders>
          </w:tcPr>
          <w:p w14:paraId="79021920" w14:textId="77777777" w:rsidR="007355BA" w:rsidRPr="00E834EF" w:rsidRDefault="007355BA" w:rsidP="007355BA">
            <w:pPr>
              <w:keepNext/>
              <w:spacing w:before="40" w:after="120"/>
              <w:jc w:val="right"/>
              <w:rPr>
                <w:b/>
                <w:sz w:val="17"/>
                <w:szCs w:val="17"/>
              </w:rPr>
            </w:pPr>
            <w:r w:rsidRPr="00E834EF">
              <w:rPr>
                <w:b/>
                <w:sz w:val="17"/>
                <w:szCs w:val="17"/>
              </w:rPr>
              <w:t>2021</w:t>
            </w:r>
          </w:p>
        </w:tc>
        <w:tc>
          <w:tcPr>
            <w:tcW w:w="242" w:type="dxa"/>
          </w:tcPr>
          <w:p w14:paraId="608AD2AA"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48C0AF48" w14:textId="77777777" w:rsidR="007355BA" w:rsidRPr="00E834EF" w:rsidRDefault="007355BA" w:rsidP="007355BA">
            <w:pPr>
              <w:keepNext/>
              <w:spacing w:before="40" w:after="120"/>
              <w:jc w:val="right"/>
              <w:rPr>
                <w:b/>
                <w:sz w:val="17"/>
                <w:szCs w:val="17"/>
              </w:rPr>
            </w:pPr>
            <w:r w:rsidRPr="00E834EF">
              <w:rPr>
                <w:b/>
                <w:sz w:val="17"/>
                <w:szCs w:val="17"/>
              </w:rPr>
              <w:t>2022</w:t>
            </w:r>
          </w:p>
        </w:tc>
        <w:tc>
          <w:tcPr>
            <w:tcW w:w="242" w:type="dxa"/>
          </w:tcPr>
          <w:p w14:paraId="231129BC"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647ADD33" w14:textId="77777777" w:rsidR="007355BA" w:rsidRPr="00E834EF" w:rsidRDefault="007355BA" w:rsidP="007355BA">
            <w:pPr>
              <w:keepNext/>
              <w:spacing w:before="40" w:after="120"/>
              <w:jc w:val="right"/>
              <w:rPr>
                <w:b/>
                <w:sz w:val="17"/>
                <w:szCs w:val="17"/>
              </w:rPr>
            </w:pPr>
            <w:r w:rsidRPr="00E834EF">
              <w:rPr>
                <w:b/>
                <w:sz w:val="17"/>
                <w:szCs w:val="17"/>
              </w:rPr>
              <w:t>2023</w:t>
            </w:r>
          </w:p>
        </w:tc>
        <w:tc>
          <w:tcPr>
            <w:tcW w:w="242" w:type="dxa"/>
          </w:tcPr>
          <w:p w14:paraId="5884C771"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78E412B0" w14:textId="77777777" w:rsidR="007355BA" w:rsidRPr="00E834EF" w:rsidRDefault="007355BA" w:rsidP="007355BA">
            <w:pPr>
              <w:keepNext/>
              <w:spacing w:before="40" w:after="120"/>
              <w:jc w:val="right"/>
              <w:rPr>
                <w:b/>
                <w:sz w:val="17"/>
                <w:szCs w:val="17"/>
              </w:rPr>
            </w:pPr>
            <w:r w:rsidRPr="00E834EF">
              <w:rPr>
                <w:b/>
                <w:sz w:val="17"/>
                <w:szCs w:val="17"/>
              </w:rPr>
              <w:t>2023</w:t>
            </w:r>
          </w:p>
        </w:tc>
        <w:tc>
          <w:tcPr>
            <w:tcW w:w="227" w:type="dxa"/>
          </w:tcPr>
          <w:p w14:paraId="60ADE591" w14:textId="77777777" w:rsidR="007355BA" w:rsidRPr="00E834EF" w:rsidRDefault="007355BA" w:rsidP="007355BA">
            <w:pPr>
              <w:spacing w:before="40" w:after="40"/>
              <w:rPr>
                <w:sz w:val="17"/>
                <w:szCs w:val="17"/>
              </w:rPr>
            </w:pPr>
          </w:p>
        </w:tc>
        <w:tc>
          <w:tcPr>
            <w:tcW w:w="939" w:type="dxa"/>
            <w:tcBorders>
              <w:top w:val="single" w:sz="4" w:space="0" w:color="auto"/>
              <w:bottom w:val="single" w:sz="4" w:space="0" w:color="auto"/>
            </w:tcBorders>
          </w:tcPr>
          <w:p w14:paraId="0A4CE0CB" w14:textId="77777777" w:rsidR="007355BA" w:rsidRPr="00E834EF" w:rsidRDefault="007355BA" w:rsidP="007355BA">
            <w:pPr>
              <w:keepNext/>
              <w:spacing w:before="40" w:after="120"/>
              <w:jc w:val="right"/>
              <w:rPr>
                <w:b/>
                <w:sz w:val="17"/>
                <w:szCs w:val="17"/>
              </w:rPr>
            </w:pPr>
            <w:r w:rsidRPr="00E834EF">
              <w:rPr>
                <w:b/>
                <w:sz w:val="17"/>
                <w:szCs w:val="17"/>
              </w:rPr>
              <w:t>2024</w:t>
            </w:r>
          </w:p>
        </w:tc>
        <w:tc>
          <w:tcPr>
            <w:tcW w:w="266" w:type="dxa"/>
          </w:tcPr>
          <w:p w14:paraId="42587B8D" w14:textId="77777777" w:rsidR="007355BA" w:rsidRPr="00E834EF" w:rsidRDefault="007355BA" w:rsidP="007355BA">
            <w:pPr>
              <w:keepNext/>
              <w:spacing w:before="40" w:after="120"/>
              <w:jc w:val="right"/>
              <w:rPr>
                <w:b/>
                <w:sz w:val="17"/>
                <w:szCs w:val="17"/>
              </w:rPr>
            </w:pPr>
          </w:p>
        </w:tc>
      </w:tr>
      <w:tr w:rsidR="007355BA" w:rsidRPr="00E834EF" w14:paraId="0379FD53" w14:textId="77777777" w:rsidTr="007355BA">
        <w:trPr>
          <w:trHeight w:val="215"/>
          <w:tblHeader/>
        </w:trPr>
        <w:tc>
          <w:tcPr>
            <w:tcW w:w="3254" w:type="dxa"/>
          </w:tcPr>
          <w:p w14:paraId="304A40FD" w14:textId="77777777" w:rsidR="007355BA" w:rsidRPr="00E834EF" w:rsidRDefault="007355BA" w:rsidP="007355BA">
            <w:pPr>
              <w:keepNext/>
              <w:bidi/>
              <w:spacing w:before="40" w:after="120"/>
              <w:jc w:val="center"/>
              <w:rPr>
                <w:i/>
                <w:sz w:val="17"/>
                <w:szCs w:val="17"/>
              </w:rPr>
            </w:pPr>
          </w:p>
        </w:tc>
        <w:tc>
          <w:tcPr>
            <w:tcW w:w="242" w:type="dxa"/>
          </w:tcPr>
          <w:p w14:paraId="2BABE5C8" w14:textId="77777777" w:rsidR="007355BA" w:rsidRPr="00E834EF" w:rsidRDefault="007355BA" w:rsidP="007355BA">
            <w:pPr>
              <w:keepNext/>
              <w:spacing w:before="40" w:after="120"/>
              <w:jc w:val="center"/>
              <w:rPr>
                <w:i/>
                <w:sz w:val="17"/>
                <w:szCs w:val="17"/>
              </w:rPr>
            </w:pPr>
          </w:p>
        </w:tc>
        <w:tc>
          <w:tcPr>
            <w:tcW w:w="5587" w:type="dxa"/>
            <w:gridSpan w:val="10"/>
          </w:tcPr>
          <w:p w14:paraId="7C9AE226" w14:textId="77777777" w:rsidR="007355BA" w:rsidRPr="00E834EF" w:rsidRDefault="007355BA" w:rsidP="007355BA">
            <w:pPr>
              <w:keepNext/>
              <w:spacing w:before="40" w:after="120"/>
              <w:jc w:val="center"/>
              <w:rPr>
                <w:i/>
                <w:sz w:val="17"/>
                <w:szCs w:val="17"/>
              </w:rPr>
            </w:pPr>
            <w:r w:rsidRPr="00E834EF">
              <w:rPr>
                <w:i/>
                <w:color w:val="000000"/>
                <w:sz w:val="17"/>
                <w:szCs w:val="17"/>
              </w:rPr>
              <w:t>(</w:t>
            </w:r>
            <w:r w:rsidRPr="00B02BA3">
              <w:rPr>
                <w:i/>
                <w:iCs/>
                <w:sz w:val="18"/>
              </w:rPr>
              <w:t>U.S.$</w:t>
            </w:r>
            <w:r>
              <w:rPr>
                <w:i/>
                <w:iCs/>
                <w:sz w:val="18"/>
              </w:rPr>
              <w:t xml:space="preserve"> </w:t>
            </w:r>
            <w:r>
              <w:rPr>
                <w:i/>
                <w:color w:val="000000"/>
                <w:sz w:val="17"/>
                <w:szCs w:val="17"/>
              </w:rPr>
              <w:t>millions</w:t>
            </w:r>
            <w:r w:rsidRPr="00E834EF">
              <w:rPr>
                <w:i/>
                <w:color w:val="000000"/>
                <w:sz w:val="17"/>
                <w:szCs w:val="17"/>
              </w:rPr>
              <w:t>)</w:t>
            </w:r>
          </w:p>
        </w:tc>
        <w:tc>
          <w:tcPr>
            <w:tcW w:w="266" w:type="dxa"/>
          </w:tcPr>
          <w:p w14:paraId="5CE2CA5B" w14:textId="77777777" w:rsidR="007355BA" w:rsidRPr="00E834EF" w:rsidRDefault="007355BA" w:rsidP="007355BA">
            <w:pPr>
              <w:keepNext/>
              <w:spacing w:before="40" w:after="120"/>
              <w:jc w:val="center"/>
              <w:rPr>
                <w:i/>
                <w:color w:val="000000"/>
                <w:sz w:val="17"/>
                <w:szCs w:val="17"/>
              </w:rPr>
            </w:pPr>
          </w:p>
        </w:tc>
      </w:tr>
      <w:tr w:rsidR="007355BA" w:rsidRPr="00E834EF" w14:paraId="755045B6" w14:textId="77777777" w:rsidTr="007355BA">
        <w:tc>
          <w:tcPr>
            <w:tcW w:w="3254" w:type="dxa"/>
            <w:vAlign w:val="bottom"/>
          </w:tcPr>
          <w:p w14:paraId="79F7FAB8" w14:textId="77777777" w:rsidR="007355BA" w:rsidRDefault="007355BA" w:rsidP="007355BA">
            <w:pPr>
              <w:tabs>
                <w:tab w:val="right" w:leader="dot" w:pos="3255"/>
              </w:tabs>
              <w:bidi/>
              <w:spacing w:before="40" w:after="40"/>
              <w:ind w:left="12"/>
              <w:rPr>
                <w:b/>
                <w:bCs/>
                <w:color w:val="000000"/>
                <w:sz w:val="17"/>
                <w:szCs w:val="17"/>
              </w:rPr>
            </w:pPr>
            <w:r>
              <w:rPr>
                <w:rFonts w:hint="cs"/>
                <w:b/>
                <w:bCs/>
                <w:color w:val="000000"/>
                <w:sz w:val="17"/>
                <w:szCs w:val="17"/>
                <w:rtl/>
              </w:rPr>
              <w:t xml:space="preserve">إيرادات </w:t>
            </w:r>
            <w:r w:rsidR="00607B02">
              <w:rPr>
                <w:rFonts w:hint="cs"/>
                <w:b/>
                <w:bCs/>
                <w:color w:val="000000"/>
                <w:sz w:val="17"/>
                <w:szCs w:val="17"/>
                <w:rtl/>
              </w:rPr>
              <w:t>نقل</w:t>
            </w:r>
            <w:r>
              <w:rPr>
                <w:rFonts w:hint="cs"/>
                <w:b/>
                <w:bCs/>
                <w:color w:val="000000"/>
                <w:sz w:val="17"/>
                <w:szCs w:val="17"/>
                <w:rtl/>
              </w:rPr>
              <w:t xml:space="preserve"> البضائع السائبة الجافة</w:t>
            </w:r>
            <w:r w:rsidRPr="0054596C">
              <w:rPr>
                <w:sz w:val="17"/>
              </w:rPr>
              <w:tab/>
            </w:r>
          </w:p>
        </w:tc>
        <w:tc>
          <w:tcPr>
            <w:tcW w:w="242" w:type="dxa"/>
            <w:vAlign w:val="bottom"/>
          </w:tcPr>
          <w:p w14:paraId="395A4D12" w14:textId="77777777" w:rsidR="007355BA" w:rsidRPr="00E834EF" w:rsidRDefault="007355BA" w:rsidP="007355BA">
            <w:pPr>
              <w:spacing w:before="40" w:after="40"/>
              <w:rPr>
                <w:sz w:val="17"/>
                <w:szCs w:val="17"/>
              </w:rPr>
            </w:pPr>
          </w:p>
        </w:tc>
        <w:tc>
          <w:tcPr>
            <w:tcW w:w="913" w:type="dxa"/>
            <w:vAlign w:val="bottom"/>
          </w:tcPr>
          <w:p w14:paraId="584B787D" w14:textId="77777777" w:rsidR="007355BA" w:rsidRPr="000A73F0" w:rsidRDefault="007355BA" w:rsidP="007355BA">
            <w:pPr>
              <w:spacing w:before="40" w:after="40"/>
              <w:jc w:val="right"/>
              <w:rPr>
                <w:color w:val="000000"/>
                <w:sz w:val="17"/>
                <w:szCs w:val="17"/>
              </w:rPr>
            </w:pPr>
            <w:r>
              <w:rPr>
                <w:color w:val="000000"/>
                <w:sz w:val="17"/>
                <w:szCs w:val="17"/>
              </w:rPr>
              <w:t>149.9</w:t>
            </w:r>
          </w:p>
        </w:tc>
        <w:tc>
          <w:tcPr>
            <w:tcW w:w="252" w:type="dxa"/>
            <w:gridSpan w:val="2"/>
            <w:vAlign w:val="bottom"/>
          </w:tcPr>
          <w:p w14:paraId="625A4227" w14:textId="77777777" w:rsidR="007355BA" w:rsidRPr="007766C5" w:rsidRDefault="007355BA" w:rsidP="007355BA">
            <w:pPr>
              <w:spacing w:before="40" w:after="40"/>
              <w:rPr>
                <w:color w:val="000000"/>
                <w:sz w:val="17"/>
                <w:szCs w:val="17"/>
              </w:rPr>
            </w:pPr>
          </w:p>
        </w:tc>
        <w:tc>
          <w:tcPr>
            <w:tcW w:w="924" w:type="dxa"/>
            <w:vAlign w:val="bottom"/>
          </w:tcPr>
          <w:p w14:paraId="3BA8BDD7" w14:textId="77777777" w:rsidR="007355BA" w:rsidRPr="007766C5" w:rsidRDefault="007355BA" w:rsidP="007355BA">
            <w:pPr>
              <w:spacing w:before="40" w:after="40"/>
              <w:jc w:val="right"/>
              <w:rPr>
                <w:color w:val="000000"/>
                <w:sz w:val="17"/>
                <w:szCs w:val="17"/>
              </w:rPr>
            </w:pPr>
            <w:r>
              <w:rPr>
                <w:color w:val="000000"/>
                <w:sz w:val="17"/>
                <w:szCs w:val="17"/>
              </w:rPr>
              <w:t>184.1</w:t>
            </w:r>
          </w:p>
        </w:tc>
        <w:tc>
          <w:tcPr>
            <w:tcW w:w="242" w:type="dxa"/>
            <w:vAlign w:val="bottom"/>
          </w:tcPr>
          <w:p w14:paraId="5387BB9E" w14:textId="77777777" w:rsidR="007355BA" w:rsidRPr="007766C5" w:rsidRDefault="007355BA" w:rsidP="007355BA">
            <w:pPr>
              <w:spacing w:before="40" w:after="40"/>
              <w:rPr>
                <w:color w:val="000000"/>
                <w:sz w:val="17"/>
                <w:szCs w:val="17"/>
              </w:rPr>
            </w:pPr>
          </w:p>
        </w:tc>
        <w:tc>
          <w:tcPr>
            <w:tcW w:w="924" w:type="dxa"/>
            <w:vAlign w:val="bottom"/>
          </w:tcPr>
          <w:p w14:paraId="1935866D" w14:textId="77777777" w:rsidR="007355BA" w:rsidRPr="007766C5" w:rsidRDefault="007355BA" w:rsidP="007355BA">
            <w:pPr>
              <w:spacing w:before="40" w:after="40"/>
              <w:jc w:val="right"/>
              <w:rPr>
                <w:color w:val="000000"/>
                <w:sz w:val="17"/>
                <w:szCs w:val="17"/>
              </w:rPr>
            </w:pPr>
            <w:r>
              <w:rPr>
                <w:color w:val="000000"/>
                <w:sz w:val="17"/>
                <w:szCs w:val="17"/>
              </w:rPr>
              <w:t>168.4</w:t>
            </w:r>
          </w:p>
        </w:tc>
        <w:tc>
          <w:tcPr>
            <w:tcW w:w="242" w:type="dxa"/>
            <w:vAlign w:val="bottom"/>
          </w:tcPr>
          <w:p w14:paraId="3572B7E6" w14:textId="77777777" w:rsidR="007355BA" w:rsidRPr="007766C5" w:rsidRDefault="007355BA" w:rsidP="007355BA">
            <w:pPr>
              <w:spacing w:before="40" w:after="40"/>
              <w:rPr>
                <w:sz w:val="17"/>
                <w:szCs w:val="17"/>
              </w:rPr>
            </w:pPr>
          </w:p>
        </w:tc>
        <w:tc>
          <w:tcPr>
            <w:tcW w:w="924" w:type="dxa"/>
            <w:vAlign w:val="bottom"/>
          </w:tcPr>
          <w:p w14:paraId="0D05C428" w14:textId="77777777" w:rsidR="007355BA" w:rsidRPr="007766C5" w:rsidRDefault="007355BA" w:rsidP="007355BA">
            <w:pPr>
              <w:spacing w:before="40" w:after="40"/>
              <w:jc w:val="right"/>
              <w:rPr>
                <w:sz w:val="17"/>
                <w:szCs w:val="17"/>
              </w:rPr>
            </w:pPr>
            <w:r>
              <w:rPr>
                <w:sz w:val="17"/>
                <w:szCs w:val="17"/>
              </w:rPr>
              <w:t>129.6</w:t>
            </w:r>
          </w:p>
        </w:tc>
        <w:tc>
          <w:tcPr>
            <w:tcW w:w="227" w:type="dxa"/>
            <w:vAlign w:val="bottom"/>
          </w:tcPr>
          <w:p w14:paraId="3142DE97" w14:textId="77777777" w:rsidR="007355BA" w:rsidRPr="007766C5" w:rsidRDefault="007355BA" w:rsidP="007355BA">
            <w:pPr>
              <w:spacing w:before="40" w:after="40"/>
              <w:rPr>
                <w:sz w:val="17"/>
                <w:szCs w:val="17"/>
              </w:rPr>
            </w:pPr>
          </w:p>
        </w:tc>
        <w:tc>
          <w:tcPr>
            <w:tcW w:w="939" w:type="dxa"/>
            <w:vAlign w:val="bottom"/>
          </w:tcPr>
          <w:p w14:paraId="6D621933" w14:textId="77777777" w:rsidR="007355BA" w:rsidRPr="007766C5" w:rsidRDefault="007355BA" w:rsidP="007355BA">
            <w:pPr>
              <w:spacing w:before="40" w:after="40"/>
              <w:jc w:val="right"/>
              <w:rPr>
                <w:sz w:val="17"/>
                <w:szCs w:val="17"/>
              </w:rPr>
            </w:pPr>
            <w:r>
              <w:rPr>
                <w:sz w:val="17"/>
                <w:szCs w:val="17"/>
              </w:rPr>
              <w:t>116.6</w:t>
            </w:r>
          </w:p>
        </w:tc>
        <w:tc>
          <w:tcPr>
            <w:tcW w:w="266" w:type="dxa"/>
          </w:tcPr>
          <w:p w14:paraId="676DAB44" w14:textId="77777777" w:rsidR="007355BA" w:rsidRPr="000D2863" w:rsidRDefault="007355BA" w:rsidP="007355BA">
            <w:pPr>
              <w:spacing w:before="40" w:after="40"/>
              <w:rPr>
                <w:sz w:val="17"/>
                <w:szCs w:val="17"/>
              </w:rPr>
            </w:pPr>
          </w:p>
        </w:tc>
      </w:tr>
      <w:tr w:rsidR="007355BA" w:rsidRPr="00E834EF" w14:paraId="39A77ADF" w14:textId="77777777" w:rsidTr="007355BA">
        <w:tc>
          <w:tcPr>
            <w:tcW w:w="3254" w:type="dxa"/>
          </w:tcPr>
          <w:p w14:paraId="238F5A8B" w14:textId="77777777" w:rsidR="007355BA" w:rsidRDefault="007355BA" w:rsidP="007355BA">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4D91510D" w14:textId="77777777" w:rsidR="007355BA" w:rsidRPr="00E834EF" w:rsidRDefault="007355BA" w:rsidP="007355BA">
            <w:pPr>
              <w:spacing w:before="40" w:after="40"/>
              <w:rPr>
                <w:sz w:val="17"/>
                <w:szCs w:val="17"/>
              </w:rPr>
            </w:pPr>
          </w:p>
        </w:tc>
        <w:tc>
          <w:tcPr>
            <w:tcW w:w="913" w:type="dxa"/>
            <w:tcBorders>
              <w:bottom w:val="single" w:sz="4" w:space="0" w:color="auto"/>
            </w:tcBorders>
            <w:vAlign w:val="bottom"/>
          </w:tcPr>
          <w:p w14:paraId="5ADF2F4C" w14:textId="77777777" w:rsidR="007355BA" w:rsidRPr="000A73F0" w:rsidRDefault="007355BA" w:rsidP="007355BA">
            <w:pPr>
              <w:spacing w:before="40" w:after="40"/>
              <w:jc w:val="right"/>
              <w:rPr>
                <w:color w:val="000000"/>
                <w:sz w:val="17"/>
                <w:szCs w:val="17"/>
              </w:rPr>
            </w:pPr>
            <w:r>
              <w:rPr>
                <w:color w:val="000000"/>
                <w:sz w:val="17"/>
                <w:szCs w:val="17"/>
              </w:rPr>
              <w:t>(10.2</w:t>
            </w:r>
            <w:r w:rsidR="005A3A55">
              <w:rPr>
                <w:color w:val="000000"/>
                <w:sz w:val="17"/>
                <w:szCs w:val="17"/>
              </w:rPr>
              <w:t>)</w:t>
            </w:r>
          </w:p>
        </w:tc>
        <w:tc>
          <w:tcPr>
            <w:tcW w:w="252" w:type="dxa"/>
            <w:gridSpan w:val="2"/>
            <w:vAlign w:val="bottom"/>
          </w:tcPr>
          <w:p w14:paraId="3F264CB4" w14:textId="77777777" w:rsidR="007355BA" w:rsidRPr="007766C5" w:rsidRDefault="007355BA" w:rsidP="007355BA">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3B5963EB" w14:textId="77777777" w:rsidR="007355BA" w:rsidRPr="007766C5" w:rsidRDefault="007355BA" w:rsidP="007355BA">
            <w:pPr>
              <w:spacing w:before="40" w:after="40"/>
              <w:jc w:val="right"/>
              <w:rPr>
                <w:color w:val="000000"/>
                <w:sz w:val="17"/>
                <w:szCs w:val="17"/>
              </w:rPr>
            </w:pPr>
            <w:r>
              <w:rPr>
                <w:color w:val="000000"/>
                <w:sz w:val="17"/>
                <w:szCs w:val="17"/>
              </w:rPr>
              <w:t>(22.0</w:t>
            </w:r>
          </w:p>
        </w:tc>
        <w:tc>
          <w:tcPr>
            <w:tcW w:w="242" w:type="dxa"/>
            <w:vAlign w:val="bottom"/>
          </w:tcPr>
          <w:p w14:paraId="6F5AEFA2" w14:textId="77777777" w:rsidR="007355BA" w:rsidRPr="007766C5" w:rsidRDefault="007355BA" w:rsidP="007355BA">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0EA7FBB6" w14:textId="77777777" w:rsidR="007355BA" w:rsidRPr="007766C5" w:rsidRDefault="007355BA" w:rsidP="007355BA">
            <w:pPr>
              <w:spacing w:before="40" w:after="40"/>
              <w:jc w:val="right"/>
              <w:rPr>
                <w:color w:val="000000"/>
                <w:sz w:val="17"/>
                <w:szCs w:val="17"/>
              </w:rPr>
            </w:pPr>
            <w:r>
              <w:rPr>
                <w:color w:val="000000"/>
                <w:sz w:val="17"/>
                <w:szCs w:val="17"/>
              </w:rPr>
              <w:t>(27.7</w:t>
            </w:r>
          </w:p>
        </w:tc>
        <w:tc>
          <w:tcPr>
            <w:tcW w:w="242" w:type="dxa"/>
            <w:vAlign w:val="bottom"/>
          </w:tcPr>
          <w:p w14:paraId="5D703148" w14:textId="77777777" w:rsidR="007355BA" w:rsidRPr="007766C5" w:rsidRDefault="007355BA" w:rsidP="007355BA">
            <w:pPr>
              <w:spacing w:before="40" w:after="40"/>
              <w:rPr>
                <w:sz w:val="17"/>
                <w:szCs w:val="17"/>
              </w:rPr>
            </w:pPr>
            <w:r>
              <w:rPr>
                <w:sz w:val="17"/>
                <w:szCs w:val="17"/>
              </w:rPr>
              <w:t>)</w:t>
            </w:r>
          </w:p>
        </w:tc>
        <w:tc>
          <w:tcPr>
            <w:tcW w:w="924" w:type="dxa"/>
            <w:tcBorders>
              <w:bottom w:val="single" w:sz="4" w:space="0" w:color="auto"/>
            </w:tcBorders>
            <w:vAlign w:val="bottom"/>
          </w:tcPr>
          <w:p w14:paraId="341F91E4" w14:textId="77777777" w:rsidR="007355BA" w:rsidRPr="007766C5" w:rsidRDefault="007355BA" w:rsidP="007355BA">
            <w:pPr>
              <w:spacing w:before="40" w:after="40"/>
              <w:jc w:val="right"/>
              <w:rPr>
                <w:sz w:val="17"/>
                <w:szCs w:val="17"/>
              </w:rPr>
            </w:pPr>
            <w:r>
              <w:rPr>
                <w:sz w:val="17"/>
                <w:szCs w:val="17"/>
              </w:rPr>
              <w:t>(24.1</w:t>
            </w:r>
          </w:p>
        </w:tc>
        <w:tc>
          <w:tcPr>
            <w:tcW w:w="227" w:type="dxa"/>
            <w:vAlign w:val="bottom"/>
          </w:tcPr>
          <w:p w14:paraId="3A2C9F89" w14:textId="77777777" w:rsidR="007355BA" w:rsidRPr="007766C5" w:rsidRDefault="007355BA" w:rsidP="007355BA">
            <w:pPr>
              <w:spacing w:before="40" w:after="40"/>
              <w:rPr>
                <w:sz w:val="17"/>
                <w:szCs w:val="17"/>
              </w:rPr>
            </w:pPr>
            <w:r>
              <w:rPr>
                <w:sz w:val="17"/>
                <w:szCs w:val="17"/>
              </w:rPr>
              <w:t>)</w:t>
            </w:r>
          </w:p>
        </w:tc>
        <w:tc>
          <w:tcPr>
            <w:tcW w:w="939" w:type="dxa"/>
            <w:tcBorders>
              <w:bottom w:val="single" w:sz="4" w:space="0" w:color="auto"/>
            </w:tcBorders>
            <w:vAlign w:val="bottom"/>
          </w:tcPr>
          <w:p w14:paraId="5CF11E17" w14:textId="77777777" w:rsidR="007355BA" w:rsidRPr="007766C5" w:rsidRDefault="007355BA" w:rsidP="007355BA">
            <w:pPr>
              <w:spacing w:before="40" w:after="40"/>
              <w:jc w:val="right"/>
              <w:rPr>
                <w:sz w:val="17"/>
                <w:szCs w:val="17"/>
              </w:rPr>
            </w:pPr>
            <w:r>
              <w:rPr>
                <w:sz w:val="17"/>
                <w:szCs w:val="17"/>
              </w:rPr>
              <w:t>(10.0</w:t>
            </w:r>
          </w:p>
        </w:tc>
        <w:tc>
          <w:tcPr>
            <w:tcW w:w="266" w:type="dxa"/>
            <w:vAlign w:val="bottom"/>
          </w:tcPr>
          <w:p w14:paraId="291C3199" w14:textId="77777777" w:rsidR="007355BA" w:rsidRPr="007766C5" w:rsidRDefault="007355BA" w:rsidP="007355BA">
            <w:pPr>
              <w:spacing w:before="40" w:after="40"/>
              <w:rPr>
                <w:sz w:val="17"/>
                <w:szCs w:val="17"/>
              </w:rPr>
            </w:pPr>
          </w:p>
        </w:tc>
      </w:tr>
      <w:tr w:rsidR="007355BA" w:rsidRPr="00E834EF" w14:paraId="51746971" w14:textId="77777777" w:rsidTr="007355BA">
        <w:tc>
          <w:tcPr>
            <w:tcW w:w="3254" w:type="dxa"/>
          </w:tcPr>
          <w:p w14:paraId="69219101" w14:textId="77777777" w:rsidR="007355BA" w:rsidRDefault="007355BA" w:rsidP="007355BA">
            <w:pPr>
              <w:tabs>
                <w:tab w:val="right" w:leader="dot" w:pos="3255"/>
              </w:tabs>
              <w:bidi/>
              <w:spacing w:before="40" w:after="40"/>
              <w:rPr>
                <w:b/>
                <w:bCs/>
                <w:sz w:val="17"/>
                <w:szCs w:val="17"/>
                <w:u w:val="single"/>
              </w:rPr>
            </w:pPr>
            <w:r w:rsidRPr="002A4B5D">
              <w:rPr>
                <w:rFonts w:hint="cs"/>
                <w:b/>
                <w:bCs/>
                <w:sz w:val="17"/>
                <w:szCs w:val="17"/>
                <w:u w:val="single"/>
                <w:rtl/>
              </w:rPr>
              <w:t xml:space="preserve">إيرادات مكافئ تأجير السفن المجهزة بالمدة </w:t>
            </w:r>
            <w:r>
              <w:rPr>
                <w:rFonts w:hint="cs"/>
                <w:b/>
                <w:bCs/>
                <w:sz w:val="17"/>
                <w:szCs w:val="17"/>
                <w:u w:val="single"/>
                <w:rtl/>
              </w:rPr>
              <w:t>ل</w:t>
            </w:r>
            <w:r w:rsidR="00607B02">
              <w:rPr>
                <w:rFonts w:hint="cs"/>
                <w:b/>
                <w:bCs/>
                <w:sz w:val="17"/>
                <w:szCs w:val="17"/>
                <w:u w:val="single"/>
                <w:rtl/>
              </w:rPr>
              <w:t>نقل</w:t>
            </w:r>
            <w:r>
              <w:rPr>
                <w:rFonts w:hint="cs"/>
                <w:b/>
                <w:bCs/>
                <w:sz w:val="17"/>
                <w:szCs w:val="17"/>
                <w:u w:val="single"/>
                <w:rtl/>
              </w:rPr>
              <w:t xml:space="preserve"> البضائع السائبة الجافة</w:t>
            </w:r>
            <w:r w:rsidRPr="007D2480">
              <w:rPr>
                <w:sz w:val="17"/>
              </w:rPr>
              <w:tab/>
            </w:r>
          </w:p>
        </w:tc>
        <w:tc>
          <w:tcPr>
            <w:tcW w:w="242" w:type="dxa"/>
            <w:vAlign w:val="bottom"/>
          </w:tcPr>
          <w:p w14:paraId="47C4C4F4" w14:textId="77777777" w:rsidR="007355BA" w:rsidRPr="00E834EF" w:rsidRDefault="007355BA" w:rsidP="007355BA">
            <w:pPr>
              <w:spacing w:before="40" w:after="40"/>
              <w:rPr>
                <w:sz w:val="17"/>
                <w:szCs w:val="17"/>
              </w:rPr>
            </w:pPr>
          </w:p>
        </w:tc>
        <w:tc>
          <w:tcPr>
            <w:tcW w:w="913" w:type="dxa"/>
            <w:tcBorders>
              <w:top w:val="single" w:sz="4" w:space="0" w:color="auto"/>
            </w:tcBorders>
            <w:vAlign w:val="bottom"/>
          </w:tcPr>
          <w:p w14:paraId="62C4AC90" w14:textId="77777777" w:rsidR="007355BA" w:rsidRPr="002163D4" w:rsidRDefault="007355BA" w:rsidP="007355BA">
            <w:pPr>
              <w:spacing w:before="40" w:after="40"/>
              <w:jc w:val="right"/>
              <w:rPr>
                <w:b/>
                <w:bCs/>
                <w:color w:val="000000"/>
                <w:sz w:val="16"/>
                <w:szCs w:val="16"/>
              </w:rPr>
            </w:pPr>
            <w:r w:rsidRPr="007A3BB2">
              <w:rPr>
                <w:color w:val="000000"/>
                <w:sz w:val="16"/>
                <w:szCs w:val="16"/>
              </w:rPr>
              <w:t>139.6</w:t>
            </w:r>
          </w:p>
        </w:tc>
        <w:tc>
          <w:tcPr>
            <w:tcW w:w="252" w:type="dxa"/>
            <w:gridSpan w:val="2"/>
            <w:vAlign w:val="bottom"/>
          </w:tcPr>
          <w:p w14:paraId="2E1D0E0B" w14:textId="77777777" w:rsidR="007355BA" w:rsidRPr="002163D4" w:rsidRDefault="007355BA" w:rsidP="007355BA">
            <w:pPr>
              <w:spacing w:before="40" w:after="40"/>
              <w:rPr>
                <w:b/>
                <w:bCs/>
                <w:color w:val="000000"/>
                <w:sz w:val="16"/>
                <w:szCs w:val="16"/>
              </w:rPr>
            </w:pPr>
          </w:p>
        </w:tc>
        <w:tc>
          <w:tcPr>
            <w:tcW w:w="924" w:type="dxa"/>
            <w:tcBorders>
              <w:top w:val="single" w:sz="4" w:space="0" w:color="auto"/>
            </w:tcBorders>
            <w:vAlign w:val="bottom"/>
          </w:tcPr>
          <w:p w14:paraId="2BB08DE5" w14:textId="77777777" w:rsidR="007355BA" w:rsidRPr="002163D4" w:rsidRDefault="007355BA" w:rsidP="007355BA">
            <w:pPr>
              <w:spacing w:before="40" w:after="40"/>
              <w:jc w:val="right"/>
              <w:rPr>
                <w:b/>
                <w:bCs/>
                <w:color w:val="000000"/>
                <w:sz w:val="16"/>
                <w:szCs w:val="16"/>
              </w:rPr>
            </w:pPr>
            <w:r w:rsidRPr="007A3BB2">
              <w:rPr>
                <w:color w:val="000000"/>
                <w:sz w:val="16"/>
                <w:szCs w:val="16"/>
              </w:rPr>
              <w:t>162.1</w:t>
            </w:r>
          </w:p>
        </w:tc>
        <w:tc>
          <w:tcPr>
            <w:tcW w:w="242" w:type="dxa"/>
            <w:vAlign w:val="bottom"/>
          </w:tcPr>
          <w:p w14:paraId="2F405220" w14:textId="77777777" w:rsidR="007355BA" w:rsidRPr="002163D4" w:rsidRDefault="007355BA" w:rsidP="007355BA">
            <w:pPr>
              <w:spacing w:before="40" w:after="40"/>
              <w:rPr>
                <w:b/>
                <w:bCs/>
                <w:color w:val="000000"/>
                <w:sz w:val="16"/>
                <w:szCs w:val="16"/>
              </w:rPr>
            </w:pPr>
          </w:p>
        </w:tc>
        <w:tc>
          <w:tcPr>
            <w:tcW w:w="924" w:type="dxa"/>
            <w:tcBorders>
              <w:top w:val="single" w:sz="4" w:space="0" w:color="auto"/>
            </w:tcBorders>
            <w:vAlign w:val="bottom"/>
          </w:tcPr>
          <w:p w14:paraId="519B577C" w14:textId="77777777" w:rsidR="007355BA" w:rsidRPr="002163D4" w:rsidRDefault="007355BA" w:rsidP="007355BA">
            <w:pPr>
              <w:spacing w:before="40" w:after="40"/>
              <w:jc w:val="right"/>
              <w:rPr>
                <w:b/>
                <w:bCs/>
                <w:color w:val="000000"/>
                <w:sz w:val="16"/>
                <w:szCs w:val="16"/>
              </w:rPr>
            </w:pPr>
            <w:r w:rsidRPr="007A3BB2">
              <w:rPr>
                <w:color w:val="000000"/>
                <w:sz w:val="16"/>
                <w:szCs w:val="16"/>
              </w:rPr>
              <w:t>140.7</w:t>
            </w:r>
          </w:p>
        </w:tc>
        <w:tc>
          <w:tcPr>
            <w:tcW w:w="242" w:type="dxa"/>
            <w:vAlign w:val="bottom"/>
          </w:tcPr>
          <w:p w14:paraId="4F782349" w14:textId="77777777" w:rsidR="007355BA" w:rsidRPr="002163D4" w:rsidRDefault="007355BA" w:rsidP="007355BA">
            <w:pPr>
              <w:spacing w:before="40" w:after="40"/>
              <w:rPr>
                <w:b/>
                <w:bCs/>
                <w:sz w:val="16"/>
                <w:szCs w:val="16"/>
              </w:rPr>
            </w:pPr>
          </w:p>
        </w:tc>
        <w:tc>
          <w:tcPr>
            <w:tcW w:w="924" w:type="dxa"/>
            <w:tcBorders>
              <w:top w:val="single" w:sz="4" w:space="0" w:color="auto"/>
            </w:tcBorders>
            <w:vAlign w:val="bottom"/>
          </w:tcPr>
          <w:p w14:paraId="4EEE8F4B" w14:textId="77777777" w:rsidR="007355BA" w:rsidRPr="002163D4" w:rsidRDefault="007355BA" w:rsidP="007355BA">
            <w:pPr>
              <w:spacing w:before="40" w:after="40"/>
              <w:jc w:val="right"/>
              <w:rPr>
                <w:b/>
                <w:bCs/>
                <w:sz w:val="16"/>
                <w:szCs w:val="16"/>
              </w:rPr>
            </w:pPr>
            <w:r w:rsidRPr="007A3BB2">
              <w:rPr>
                <w:color w:val="000000"/>
                <w:sz w:val="16"/>
                <w:szCs w:val="16"/>
              </w:rPr>
              <w:t>105.5</w:t>
            </w:r>
          </w:p>
        </w:tc>
        <w:tc>
          <w:tcPr>
            <w:tcW w:w="227" w:type="dxa"/>
            <w:vAlign w:val="bottom"/>
          </w:tcPr>
          <w:p w14:paraId="30FC200A" w14:textId="77777777" w:rsidR="007355BA" w:rsidRPr="002163D4" w:rsidRDefault="007355BA" w:rsidP="007355BA">
            <w:pPr>
              <w:spacing w:before="40" w:after="40"/>
              <w:rPr>
                <w:b/>
                <w:bCs/>
                <w:sz w:val="16"/>
                <w:szCs w:val="16"/>
              </w:rPr>
            </w:pPr>
          </w:p>
        </w:tc>
        <w:tc>
          <w:tcPr>
            <w:tcW w:w="939" w:type="dxa"/>
            <w:tcBorders>
              <w:top w:val="single" w:sz="4" w:space="0" w:color="auto"/>
            </w:tcBorders>
            <w:vAlign w:val="bottom"/>
          </w:tcPr>
          <w:p w14:paraId="5365F9C5" w14:textId="77777777" w:rsidR="007355BA" w:rsidRPr="002163D4" w:rsidRDefault="007355BA" w:rsidP="007355BA">
            <w:pPr>
              <w:spacing w:before="40" w:after="40"/>
              <w:jc w:val="right"/>
              <w:rPr>
                <w:b/>
                <w:bCs/>
                <w:sz w:val="16"/>
                <w:szCs w:val="16"/>
              </w:rPr>
            </w:pPr>
            <w:r w:rsidRPr="007A3BB2">
              <w:rPr>
                <w:color w:val="000000"/>
                <w:sz w:val="16"/>
                <w:szCs w:val="16"/>
              </w:rPr>
              <w:t>106.6</w:t>
            </w:r>
          </w:p>
        </w:tc>
        <w:tc>
          <w:tcPr>
            <w:tcW w:w="266" w:type="dxa"/>
          </w:tcPr>
          <w:p w14:paraId="0A2BE81D" w14:textId="77777777" w:rsidR="007355BA" w:rsidRPr="000D2863" w:rsidRDefault="007355BA" w:rsidP="007355BA">
            <w:pPr>
              <w:spacing w:before="40" w:after="40"/>
              <w:rPr>
                <w:b/>
                <w:bCs/>
                <w:sz w:val="17"/>
                <w:szCs w:val="17"/>
              </w:rPr>
            </w:pPr>
          </w:p>
        </w:tc>
      </w:tr>
      <w:tr w:rsidR="007355BA" w:rsidRPr="00E834EF" w14:paraId="12CB36FB" w14:textId="77777777" w:rsidTr="007355BA">
        <w:tc>
          <w:tcPr>
            <w:tcW w:w="3254" w:type="dxa"/>
          </w:tcPr>
          <w:p w14:paraId="79FDE3C5" w14:textId="77777777" w:rsidR="007355BA" w:rsidRDefault="007355BA" w:rsidP="007355BA">
            <w:pPr>
              <w:tabs>
                <w:tab w:val="right" w:leader="dot" w:pos="3255"/>
              </w:tabs>
              <w:bidi/>
              <w:spacing w:before="40" w:after="40"/>
              <w:rPr>
                <w:b/>
                <w:bCs/>
                <w:sz w:val="17"/>
                <w:szCs w:val="17"/>
                <w:u w:val="single"/>
              </w:rPr>
            </w:pPr>
          </w:p>
        </w:tc>
        <w:tc>
          <w:tcPr>
            <w:tcW w:w="242" w:type="dxa"/>
            <w:vAlign w:val="bottom"/>
          </w:tcPr>
          <w:p w14:paraId="1C1806F6" w14:textId="77777777" w:rsidR="007355BA" w:rsidRPr="00E834EF" w:rsidRDefault="007355BA" w:rsidP="007355BA">
            <w:pPr>
              <w:spacing w:before="40" w:after="40"/>
              <w:rPr>
                <w:sz w:val="17"/>
                <w:szCs w:val="17"/>
              </w:rPr>
            </w:pPr>
          </w:p>
        </w:tc>
        <w:tc>
          <w:tcPr>
            <w:tcW w:w="913" w:type="dxa"/>
            <w:vAlign w:val="bottom"/>
          </w:tcPr>
          <w:p w14:paraId="60CFD1B9" w14:textId="77777777" w:rsidR="007355BA" w:rsidRPr="007766C5" w:rsidRDefault="007355BA" w:rsidP="007355BA">
            <w:pPr>
              <w:spacing w:before="40" w:after="40"/>
              <w:jc w:val="right"/>
              <w:rPr>
                <w:b/>
                <w:bCs/>
                <w:sz w:val="17"/>
                <w:szCs w:val="17"/>
              </w:rPr>
            </w:pPr>
          </w:p>
        </w:tc>
        <w:tc>
          <w:tcPr>
            <w:tcW w:w="252" w:type="dxa"/>
            <w:gridSpan w:val="2"/>
            <w:vAlign w:val="bottom"/>
          </w:tcPr>
          <w:p w14:paraId="1FAD958E" w14:textId="77777777" w:rsidR="007355BA" w:rsidRPr="007766C5" w:rsidRDefault="007355BA" w:rsidP="007355BA">
            <w:pPr>
              <w:spacing w:before="40" w:after="40"/>
              <w:rPr>
                <w:b/>
                <w:bCs/>
                <w:color w:val="000000"/>
                <w:sz w:val="17"/>
                <w:szCs w:val="17"/>
              </w:rPr>
            </w:pPr>
          </w:p>
        </w:tc>
        <w:tc>
          <w:tcPr>
            <w:tcW w:w="924" w:type="dxa"/>
            <w:vAlign w:val="bottom"/>
          </w:tcPr>
          <w:p w14:paraId="614F18EA" w14:textId="77777777" w:rsidR="007355BA" w:rsidRPr="007766C5" w:rsidRDefault="007355BA" w:rsidP="007355BA">
            <w:pPr>
              <w:spacing w:before="40" w:after="40"/>
              <w:jc w:val="right"/>
              <w:rPr>
                <w:b/>
                <w:bCs/>
                <w:sz w:val="17"/>
                <w:szCs w:val="17"/>
              </w:rPr>
            </w:pPr>
          </w:p>
        </w:tc>
        <w:tc>
          <w:tcPr>
            <w:tcW w:w="242" w:type="dxa"/>
            <w:vAlign w:val="bottom"/>
          </w:tcPr>
          <w:p w14:paraId="327BA8EB" w14:textId="77777777" w:rsidR="007355BA" w:rsidRPr="007766C5" w:rsidRDefault="007355BA" w:rsidP="007355BA">
            <w:pPr>
              <w:spacing w:before="40" w:after="40"/>
              <w:rPr>
                <w:b/>
                <w:bCs/>
                <w:color w:val="000000"/>
                <w:sz w:val="17"/>
                <w:szCs w:val="17"/>
              </w:rPr>
            </w:pPr>
          </w:p>
        </w:tc>
        <w:tc>
          <w:tcPr>
            <w:tcW w:w="924" w:type="dxa"/>
            <w:vAlign w:val="bottom"/>
          </w:tcPr>
          <w:p w14:paraId="4D0C0607" w14:textId="77777777" w:rsidR="007355BA" w:rsidRPr="007766C5" w:rsidRDefault="007355BA" w:rsidP="007355BA">
            <w:pPr>
              <w:spacing w:before="40" w:after="40"/>
              <w:jc w:val="right"/>
              <w:rPr>
                <w:b/>
                <w:bCs/>
                <w:sz w:val="17"/>
                <w:szCs w:val="17"/>
              </w:rPr>
            </w:pPr>
          </w:p>
        </w:tc>
        <w:tc>
          <w:tcPr>
            <w:tcW w:w="242" w:type="dxa"/>
            <w:vAlign w:val="bottom"/>
          </w:tcPr>
          <w:p w14:paraId="61501F65" w14:textId="77777777" w:rsidR="007355BA" w:rsidRPr="007766C5" w:rsidRDefault="007355BA" w:rsidP="007355BA">
            <w:pPr>
              <w:spacing w:before="40" w:after="40"/>
              <w:rPr>
                <w:b/>
                <w:bCs/>
                <w:sz w:val="17"/>
                <w:szCs w:val="17"/>
              </w:rPr>
            </w:pPr>
          </w:p>
        </w:tc>
        <w:tc>
          <w:tcPr>
            <w:tcW w:w="924" w:type="dxa"/>
            <w:vAlign w:val="bottom"/>
          </w:tcPr>
          <w:p w14:paraId="59D15243" w14:textId="77777777" w:rsidR="007355BA" w:rsidRPr="007766C5" w:rsidRDefault="007355BA" w:rsidP="007355BA">
            <w:pPr>
              <w:spacing w:before="40" w:after="40"/>
              <w:jc w:val="right"/>
              <w:rPr>
                <w:b/>
                <w:bCs/>
                <w:sz w:val="17"/>
                <w:szCs w:val="17"/>
              </w:rPr>
            </w:pPr>
          </w:p>
        </w:tc>
        <w:tc>
          <w:tcPr>
            <w:tcW w:w="227" w:type="dxa"/>
            <w:vAlign w:val="bottom"/>
          </w:tcPr>
          <w:p w14:paraId="4E4DB5BF" w14:textId="77777777" w:rsidR="007355BA" w:rsidRPr="007766C5" w:rsidRDefault="007355BA" w:rsidP="007355BA">
            <w:pPr>
              <w:spacing w:before="40" w:after="40"/>
              <w:rPr>
                <w:b/>
                <w:bCs/>
                <w:sz w:val="17"/>
                <w:szCs w:val="17"/>
              </w:rPr>
            </w:pPr>
          </w:p>
        </w:tc>
        <w:tc>
          <w:tcPr>
            <w:tcW w:w="939" w:type="dxa"/>
            <w:vAlign w:val="bottom"/>
          </w:tcPr>
          <w:p w14:paraId="16423F53" w14:textId="77777777" w:rsidR="007355BA" w:rsidRPr="007766C5" w:rsidRDefault="007355BA" w:rsidP="007355BA">
            <w:pPr>
              <w:spacing w:before="40" w:after="40"/>
              <w:jc w:val="right"/>
              <w:rPr>
                <w:b/>
                <w:bCs/>
                <w:sz w:val="17"/>
                <w:szCs w:val="17"/>
              </w:rPr>
            </w:pPr>
          </w:p>
        </w:tc>
        <w:tc>
          <w:tcPr>
            <w:tcW w:w="266" w:type="dxa"/>
          </w:tcPr>
          <w:p w14:paraId="06840BF4" w14:textId="77777777" w:rsidR="007355BA" w:rsidRPr="000D2863" w:rsidRDefault="007355BA" w:rsidP="007355BA">
            <w:pPr>
              <w:spacing w:before="40" w:after="40"/>
              <w:rPr>
                <w:b/>
                <w:bCs/>
                <w:sz w:val="17"/>
                <w:szCs w:val="17"/>
              </w:rPr>
            </w:pPr>
          </w:p>
        </w:tc>
      </w:tr>
      <w:tr w:rsidR="007355BA" w:rsidRPr="00E834EF" w14:paraId="333F6B7B" w14:textId="77777777" w:rsidTr="007355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bottom"/>
          </w:tcPr>
          <w:p w14:paraId="1908FC86" w14:textId="77777777" w:rsidR="007355BA" w:rsidRDefault="007355BA" w:rsidP="007355BA">
            <w:pPr>
              <w:tabs>
                <w:tab w:val="right" w:leader="dot" w:pos="3255"/>
              </w:tabs>
              <w:bidi/>
              <w:spacing w:before="40" w:after="40"/>
              <w:ind w:left="12"/>
              <w:rPr>
                <w:b/>
                <w:bCs/>
                <w:color w:val="000000"/>
                <w:sz w:val="17"/>
                <w:szCs w:val="17"/>
              </w:rPr>
            </w:pPr>
            <w:r>
              <w:rPr>
                <w:rFonts w:hint="cs"/>
                <w:b/>
                <w:bCs/>
                <w:color w:val="000000"/>
                <w:sz w:val="17"/>
                <w:szCs w:val="17"/>
                <w:rtl/>
              </w:rPr>
              <w:t xml:space="preserve">إجمالي أرباح </w:t>
            </w:r>
            <w:r w:rsidR="00607B02">
              <w:rPr>
                <w:rFonts w:hint="cs"/>
                <w:b/>
                <w:bCs/>
                <w:color w:val="000000"/>
                <w:sz w:val="17"/>
                <w:szCs w:val="17"/>
                <w:rtl/>
              </w:rPr>
              <w:t>نقل</w:t>
            </w:r>
            <w:r>
              <w:rPr>
                <w:rFonts w:hint="cs"/>
                <w:b/>
                <w:bCs/>
                <w:color w:val="000000"/>
                <w:sz w:val="17"/>
                <w:szCs w:val="17"/>
                <w:rtl/>
              </w:rPr>
              <w:t xml:space="preserve"> البضائع السائبة الجافة</w:t>
            </w:r>
            <w:r w:rsidRPr="0054596C">
              <w:rPr>
                <w:sz w:val="17"/>
              </w:rPr>
              <w:tab/>
            </w:r>
          </w:p>
        </w:tc>
        <w:tc>
          <w:tcPr>
            <w:tcW w:w="242" w:type="dxa"/>
            <w:tcBorders>
              <w:top w:val="nil"/>
              <w:left w:val="nil"/>
              <w:bottom w:val="nil"/>
              <w:right w:val="nil"/>
            </w:tcBorders>
            <w:vAlign w:val="bottom"/>
          </w:tcPr>
          <w:p w14:paraId="08CC6325" w14:textId="77777777" w:rsidR="007355BA" w:rsidRPr="00E834EF" w:rsidRDefault="007355BA" w:rsidP="007355BA">
            <w:pPr>
              <w:spacing w:before="40" w:after="40"/>
              <w:rPr>
                <w:sz w:val="17"/>
                <w:szCs w:val="17"/>
              </w:rPr>
            </w:pPr>
          </w:p>
        </w:tc>
        <w:tc>
          <w:tcPr>
            <w:tcW w:w="913" w:type="dxa"/>
            <w:tcBorders>
              <w:top w:val="nil"/>
              <w:left w:val="nil"/>
              <w:bottom w:val="nil"/>
              <w:right w:val="nil"/>
            </w:tcBorders>
            <w:vAlign w:val="bottom"/>
          </w:tcPr>
          <w:p w14:paraId="24043A57" w14:textId="77777777" w:rsidR="007355BA" w:rsidRPr="007766C5" w:rsidRDefault="007355BA" w:rsidP="007355BA">
            <w:pPr>
              <w:spacing w:before="40" w:after="40"/>
              <w:jc w:val="right"/>
              <w:rPr>
                <w:color w:val="000000"/>
                <w:sz w:val="17"/>
                <w:szCs w:val="17"/>
              </w:rPr>
            </w:pPr>
            <w:r>
              <w:rPr>
                <w:color w:val="000000"/>
                <w:sz w:val="17"/>
                <w:szCs w:val="17"/>
              </w:rPr>
              <w:t>89.6</w:t>
            </w:r>
          </w:p>
        </w:tc>
        <w:tc>
          <w:tcPr>
            <w:tcW w:w="252" w:type="dxa"/>
            <w:gridSpan w:val="2"/>
            <w:tcBorders>
              <w:top w:val="nil"/>
              <w:left w:val="nil"/>
              <w:bottom w:val="nil"/>
              <w:right w:val="nil"/>
            </w:tcBorders>
            <w:vAlign w:val="bottom"/>
          </w:tcPr>
          <w:p w14:paraId="513EE269" w14:textId="77777777" w:rsidR="007355BA" w:rsidRPr="007766C5"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7480C8EF" w14:textId="77777777" w:rsidR="007355BA" w:rsidRPr="007766C5" w:rsidRDefault="007355BA" w:rsidP="007355BA">
            <w:pPr>
              <w:spacing w:before="40" w:after="40"/>
              <w:jc w:val="right"/>
              <w:rPr>
                <w:color w:val="000000"/>
                <w:sz w:val="17"/>
                <w:szCs w:val="17"/>
              </w:rPr>
            </w:pPr>
            <w:r>
              <w:rPr>
                <w:color w:val="000000"/>
                <w:sz w:val="17"/>
                <w:szCs w:val="17"/>
              </w:rPr>
              <w:t>92.0</w:t>
            </w:r>
          </w:p>
        </w:tc>
        <w:tc>
          <w:tcPr>
            <w:tcW w:w="242" w:type="dxa"/>
            <w:tcBorders>
              <w:top w:val="nil"/>
              <w:left w:val="nil"/>
              <w:bottom w:val="nil"/>
              <w:right w:val="nil"/>
            </w:tcBorders>
            <w:vAlign w:val="bottom"/>
          </w:tcPr>
          <w:p w14:paraId="0BA95D28" w14:textId="77777777" w:rsidR="007355BA" w:rsidRPr="007766C5"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7B678365" w14:textId="77777777" w:rsidR="007355BA" w:rsidRPr="007766C5" w:rsidRDefault="007355BA" w:rsidP="007355BA">
            <w:pPr>
              <w:spacing w:before="40" w:after="40"/>
              <w:jc w:val="right"/>
              <w:rPr>
                <w:color w:val="000000"/>
                <w:sz w:val="17"/>
                <w:szCs w:val="17"/>
              </w:rPr>
            </w:pPr>
            <w:r>
              <w:rPr>
                <w:color w:val="000000"/>
                <w:sz w:val="17"/>
                <w:szCs w:val="17"/>
              </w:rPr>
              <w:t>70.8</w:t>
            </w:r>
          </w:p>
        </w:tc>
        <w:tc>
          <w:tcPr>
            <w:tcW w:w="242" w:type="dxa"/>
            <w:tcBorders>
              <w:top w:val="nil"/>
              <w:left w:val="nil"/>
              <w:bottom w:val="nil"/>
              <w:right w:val="nil"/>
            </w:tcBorders>
            <w:vAlign w:val="bottom"/>
          </w:tcPr>
          <w:p w14:paraId="4D28BEEA" w14:textId="77777777" w:rsidR="007355BA" w:rsidRPr="007766C5" w:rsidRDefault="007355BA" w:rsidP="007355BA">
            <w:pPr>
              <w:spacing w:before="40" w:after="40"/>
              <w:rPr>
                <w:sz w:val="17"/>
                <w:szCs w:val="17"/>
              </w:rPr>
            </w:pPr>
          </w:p>
        </w:tc>
        <w:tc>
          <w:tcPr>
            <w:tcW w:w="924" w:type="dxa"/>
            <w:tcBorders>
              <w:top w:val="nil"/>
              <w:left w:val="nil"/>
              <w:bottom w:val="nil"/>
              <w:right w:val="nil"/>
            </w:tcBorders>
            <w:vAlign w:val="bottom"/>
          </w:tcPr>
          <w:p w14:paraId="2F30EF5A" w14:textId="77777777" w:rsidR="007355BA" w:rsidRPr="007766C5" w:rsidRDefault="007355BA" w:rsidP="007355BA">
            <w:pPr>
              <w:spacing w:before="40" w:after="40"/>
              <w:jc w:val="right"/>
              <w:rPr>
                <w:sz w:val="17"/>
                <w:szCs w:val="17"/>
              </w:rPr>
            </w:pPr>
            <w:r>
              <w:rPr>
                <w:sz w:val="17"/>
                <w:szCs w:val="17"/>
              </w:rPr>
              <w:t>53.1</w:t>
            </w:r>
          </w:p>
        </w:tc>
        <w:tc>
          <w:tcPr>
            <w:tcW w:w="227" w:type="dxa"/>
            <w:tcBorders>
              <w:top w:val="nil"/>
              <w:left w:val="nil"/>
              <w:bottom w:val="nil"/>
              <w:right w:val="nil"/>
            </w:tcBorders>
            <w:vAlign w:val="bottom"/>
          </w:tcPr>
          <w:p w14:paraId="035B0918" w14:textId="77777777" w:rsidR="007355BA" w:rsidRPr="007766C5" w:rsidRDefault="007355BA" w:rsidP="007355BA">
            <w:pPr>
              <w:spacing w:before="40" w:after="40"/>
              <w:rPr>
                <w:sz w:val="17"/>
                <w:szCs w:val="17"/>
              </w:rPr>
            </w:pPr>
          </w:p>
        </w:tc>
        <w:tc>
          <w:tcPr>
            <w:tcW w:w="939" w:type="dxa"/>
            <w:tcBorders>
              <w:top w:val="nil"/>
              <w:left w:val="nil"/>
              <w:bottom w:val="nil"/>
              <w:right w:val="nil"/>
            </w:tcBorders>
            <w:vAlign w:val="bottom"/>
          </w:tcPr>
          <w:p w14:paraId="56789670" w14:textId="77777777" w:rsidR="007355BA" w:rsidRPr="007766C5" w:rsidRDefault="007355BA" w:rsidP="007355BA">
            <w:pPr>
              <w:spacing w:before="40" w:after="40"/>
              <w:jc w:val="right"/>
              <w:rPr>
                <w:sz w:val="17"/>
                <w:szCs w:val="17"/>
              </w:rPr>
            </w:pPr>
            <w:r>
              <w:rPr>
                <w:sz w:val="17"/>
                <w:szCs w:val="17"/>
              </w:rPr>
              <w:t>44.6</w:t>
            </w:r>
          </w:p>
        </w:tc>
        <w:tc>
          <w:tcPr>
            <w:tcW w:w="266" w:type="dxa"/>
            <w:tcBorders>
              <w:top w:val="nil"/>
              <w:left w:val="nil"/>
              <w:bottom w:val="nil"/>
              <w:right w:val="nil"/>
            </w:tcBorders>
            <w:vAlign w:val="bottom"/>
          </w:tcPr>
          <w:p w14:paraId="6B3033C8" w14:textId="77777777" w:rsidR="007355BA" w:rsidRPr="000D2863" w:rsidRDefault="007355BA" w:rsidP="007355BA">
            <w:pPr>
              <w:spacing w:before="40" w:after="40"/>
              <w:rPr>
                <w:sz w:val="17"/>
                <w:szCs w:val="17"/>
              </w:rPr>
            </w:pPr>
          </w:p>
        </w:tc>
      </w:tr>
      <w:tr w:rsidR="007355BA" w:rsidRPr="00E834EF" w14:paraId="6FDECB31" w14:textId="77777777" w:rsidTr="007355BA">
        <w:tc>
          <w:tcPr>
            <w:tcW w:w="3254" w:type="dxa"/>
            <w:vAlign w:val="bottom"/>
          </w:tcPr>
          <w:p w14:paraId="230B0FD9" w14:textId="77777777" w:rsidR="007355BA" w:rsidRPr="00E754AA" w:rsidRDefault="007355BA" w:rsidP="007355BA">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7A6BBA37" w14:textId="77777777" w:rsidR="007355BA" w:rsidRPr="00E754AA" w:rsidRDefault="007355BA" w:rsidP="007355BA">
            <w:pPr>
              <w:spacing w:before="40" w:after="40"/>
              <w:rPr>
                <w:sz w:val="17"/>
                <w:szCs w:val="17"/>
              </w:rPr>
            </w:pPr>
          </w:p>
        </w:tc>
        <w:tc>
          <w:tcPr>
            <w:tcW w:w="913" w:type="dxa"/>
            <w:vAlign w:val="bottom"/>
          </w:tcPr>
          <w:p w14:paraId="11D3CDA3"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vAlign w:val="bottom"/>
          </w:tcPr>
          <w:p w14:paraId="0584B139" w14:textId="77777777" w:rsidR="007355BA" w:rsidRPr="00E754AA" w:rsidRDefault="007355BA" w:rsidP="007355BA">
            <w:pPr>
              <w:spacing w:before="40" w:after="40"/>
              <w:rPr>
                <w:color w:val="000000"/>
                <w:sz w:val="17"/>
                <w:szCs w:val="17"/>
              </w:rPr>
            </w:pPr>
          </w:p>
        </w:tc>
        <w:tc>
          <w:tcPr>
            <w:tcW w:w="924" w:type="dxa"/>
            <w:vAlign w:val="bottom"/>
          </w:tcPr>
          <w:p w14:paraId="4E8F845D"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72D5C783" w14:textId="77777777" w:rsidR="007355BA" w:rsidRPr="00E754AA" w:rsidRDefault="007355BA" w:rsidP="007355BA">
            <w:pPr>
              <w:spacing w:before="40" w:after="40"/>
              <w:rPr>
                <w:color w:val="000000"/>
                <w:sz w:val="17"/>
                <w:szCs w:val="17"/>
              </w:rPr>
            </w:pPr>
          </w:p>
        </w:tc>
        <w:tc>
          <w:tcPr>
            <w:tcW w:w="924" w:type="dxa"/>
            <w:vAlign w:val="bottom"/>
          </w:tcPr>
          <w:p w14:paraId="0E53E3BB"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43542937" w14:textId="77777777" w:rsidR="007355BA" w:rsidRPr="00E754AA" w:rsidRDefault="007355BA" w:rsidP="007355BA">
            <w:pPr>
              <w:spacing w:before="40" w:after="40"/>
              <w:rPr>
                <w:sz w:val="17"/>
                <w:szCs w:val="17"/>
              </w:rPr>
            </w:pPr>
          </w:p>
        </w:tc>
        <w:tc>
          <w:tcPr>
            <w:tcW w:w="924" w:type="dxa"/>
            <w:vAlign w:val="bottom"/>
          </w:tcPr>
          <w:p w14:paraId="0EBE0A3C" w14:textId="77777777" w:rsidR="007355BA" w:rsidRPr="00E754AA" w:rsidRDefault="007355BA" w:rsidP="007355BA">
            <w:pPr>
              <w:spacing w:before="40" w:after="40"/>
              <w:jc w:val="right"/>
              <w:rPr>
                <w:sz w:val="17"/>
                <w:szCs w:val="17"/>
              </w:rPr>
            </w:pPr>
            <w:r w:rsidRPr="00B02BA3">
              <w:rPr>
                <w:sz w:val="17"/>
              </w:rPr>
              <w:t>—</w:t>
            </w:r>
          </w:p>
        </w:tc>
        <w:tc>
          <w:tcPr>
            <w:tcW w:w="227" w:type="dxa"/>
            <w:vAlign w:val="bottom"/>
          </w:tcPr>
          <w:p w14:paraId="2B9B5ED0" w14:textId="77777777" w:rsidR="007355BA" w:rsidRPr="00E754AA" w:rsidRDefault="007355BA" w:rsidP="007355BA">
            <w:pPr>
              <w:spacing w:before="40" w:after="40"/>
              <w:rPr>
                <w:sz w:val="17"/>
                <w:szCs w:val="17"/>
              </w:rPr>
            </w:pPr>
          </w:p>
        </w:tc>
        <w:tc>
          <w:tcPr>
            <w:tcW w:w="939" w:type="dxa"/>
            <w:vAlign w:val="bottom"/>
          </w:tcPr>
          <w:p w14:paraId="02912230" w14:textId="77777777" w:rsidR="007355BA" w:rsidRPr="00E754AA" w:rsidRDefault="007355BA" w:rsidP="007355BA">
            <w:pPr>
              <w:spacing w:before="40" w:after="40"/>
              <w:jc w:val="right"/>
              <w:rPr>
                <w:sz w:val="17"/>
                <w:szCs w:val="17"/>
              </w:rPr>
            </w:pPr>
            <w:r w:rsidRPr="00B02BA3">
              <w:rPr>
                <w:sz w:val="17"/>
              </w:rPr>
              <w:t>—</w:t>
            </w:r>
          </w:p>
        </w:tc>
        <w:tc>
          <w:tcPr>
            <w:tcW w:w="266" w:type="dxa"/>
            <w:vAlign w:val="bottom"/>
          </w:tcPr>
          <w:p w14:paraId="14D95000" w14:textId="77777777" w:rsidR="007355BA" w:rsidRPr="000D2863" w:rsidRDefault="007355BA" w:rsidP="007355BA">
            <w:pPr>
              <w:spacing w:before="40" w:after="40"/>
              <w:rPr>
                <w:sz w:val="17"/>
                <w:szCs w:val="17"/>
              </w:rPr>
            </w:pPr>
          </w:p>
        </w:tc>
      </w:tr>
      <w:tr w:rsidR="007355BA" w:rsidRPr="00E834EF" w14:paraId="16F127D3" w14:textId="77777777" w:rsidTr="007355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center"/>
          </w:tcPr>
          <w:p w14:paraId="51261AAD" w14:textId="77777777" w:rsidR="007355BA" w:rsidRPr="00E754AA" w:rsidRDefault="008D70E0" w:rsidP="007355BA">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7355BA" w:rsidRPr="0054596C">
              <w:rPr>
                <w:sz w:val="17"/>
              </w:rPr>
              <w:tab/>
            </w:r>
          </w:p>
        </w:tc>
        <w:tc>
          <w:tcPr>
            <w:tcW w:w="242" w:type="dxa"/>
            <w:tcBorders>
              <w:top w:val="nil"/>
              <w:left w:val="nil"/>
              <w:bottom w:val="nil"/>
              <w:right w:val="nil"/>
            </w:tcBorders>
            <w:vAlign w:val="bottom"/>
          </w:tcPr>
          <w:p w14:paraId="3DDA2CB3" w14:textId="77777777" w:rsidR="007355BA" w:rsidRPr="00E834EF" w:rsidRDefault="007355BA" w:rsidP="007355BA">
            <w:pPr>
              <w:spacing w:before="40" w:after="40"/>
              <w:rPr>
                <w:sz w:val="17"/>
                <w:szCs w:val="17"/>
              </w:rPr>
            </w:pPr>
          </w:p>
        </w:tc>
        <w:tc>
          <w:tcPr>
            <w:tcW w:w="913" w:type="dxa"/>
            <w:tcBorders>
              <w:top w:val="nil"/>
              <w:left w:val="nil"/>
              <w:bottom w:val="nil"/>
              <w:right w:val="nil"/>
            </w:tcBorders>
            <w:vAlign w:val="bottom"/>
          </w:tcPr>
          <w:p w14:paraId="75F19E4C" w14:textId="77777777" w:rsidR="007355BA" w:rsidRPr="00E754AA" w:rsidRDefault="007355BA" w:rsidP="007355BA">
            <w:pPr>
              <w:spacing w:before="40" w:after="40"/>
              <w:jc w:val="right"/>
              <w:rPr>
                <w:color w:val="000000"/>
                <w:sz w:val="17"/>
                <w:szCs w:val="17"/>
              </w:rPr>
            </w:pPr>
            <w:r>
              <w:rPr>
                <w:color w:val="000000"/>
                <w:sz w:val="17"/>
                <w:szCs w:val="17"/>
              </w:rPr>
              <w:t>0.1</w:t>
            </w:r>
          </w:p>
        </w:tc>
        <w:tc>
          <w:tcPr>
            <w:tcW w:w="252" w:type="dxa"/>
            <w:gridSpan w:val="2"/>
            <w:tcBorders>
              <w:top w:val="nil"/>
              <w:left w:val="nil"/>
              <w:bottom w:val="nil"/>
              <w:right w:val="nil"/>
            </w:tcBorders>
            <w:vAlign w:val="bottom"/>
          </w:tcPr>
          <w:p w14:paraId="5152D08E" w14:textId="77777777" w:rsidR="007355BA" w:rsidRPr="00E754AA"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7117B6AB" w14:textId="77777777" w:rsidR="007355BA" w:rsidRPr="00E754AA" w:rsidRDefault="007355BA" w:rsidP="007355BA">
            <w:pPr>
              <w:spacing w:before="40" w:after="40"/>
              <w:jc w:val="right"/>
              <w:rPr>
                <w:color w:val="000000"/>
                <w:sz w:val="17"/>
                <w:szCs w:val="17"/>
              </w:rPr>
            </w:pPr>
            <w:r w:rsidRPr="00B02BA3">
              <w:rPr>
                <w:sz w:val="17"/>
              </w:rPr>
              <w:t>—</w:t>
            </w:r>
          </w:p>
        </w:tc>
        <w:tc>
          <w:tcPr>
            <w:tcW w:w="242" w:type="dxa"/>
            <w:tcBorders>
              <w:top w:val="nil"/>
              <w:left w:val="nil"/>
              <w:bottom w:val="nil"/>
              <w:right w:val="nil"/>
            </w:tcBorders>
            <w:vAlign w:val="bottom"/>
          </w:tcPr>
          <w:p w14:paraId="35C7AB38" w14:textId="77777777" w:rsidR="007355BA" w:rsidRPr="00E754AA"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480048CD" w14:textId="77777777" w:rsidR="007355BA" w:rsidRPr="00E754AA" w:rsidRDefault="007355BA" w:rsidP="007355BA">
            <w:pPr>
              <w:spacing w:before="40" w:after="40"/>
              <w:jc w:val="right"/>
              <w:rPr>
                <w:color w:val="000000"/>
                <w:sz w:val="17"/>
                <w:szCs w:val="17"/>
              </w:rPr>
            </w:pPr>
            <w:r w:rsidRPr="00B02BA3">
              <w:rPr>
                <w:sz w:val="17"/>
              </w:rPr>
              <w:t>—</w:t>
            </w:r>
          </w:p>
        </w:tc>
        <w:tc>
          <w:tcPr>
            <w:tcW w:w="242" w:type="dxa"/>
            <w:tcBorders>
              <w:top w:val="nil"/>
              <w:left w:val="nil"/>
              <w:bottom w:val="nil"/>
              <w:right w:val="nil"/>
            </w:tcBorders>
            <w:vAlign w:val="bottom"/>
          </w:tcPr>
          <w:p w14:paraId="4DF5C8EC" w14:textId="77777777" w:rsidR="007355BA" w:rsidRPr="00E754AA" w:rsidRDefault="007355BA" w:rsidP="007355BA">
            <w:pPr>
              <w:spacing w:before="40" w:after="40"/>
              <w:rPr>
                <w:sz w:val="17"/>
                <w:szCs w:val="17"/>
              </w:rPr>
            </w:pPr>
          </w:p>
        </w:tc>
        <w:tc>
          <w:tcPr>
            <w:tcW w:w="924" w:type="dxa"/>
            <w:tcBorders>
              <w:top w:val="nil"/>
              <w:left w:val="nil"/>
              <w:bottom w:val="nil"/>
              <w:right w:val="nil"/>
            </w:tcBorders>
            <w:vAlign w:val="bottom"/>
          </w:tcPr>
          <w:p w14:paraId="6929E783" w14:textId="77777777" w:rsidR="007355BA" w:rsidRPr="00E754AA" w:rsidRDefault="007355BA" w:rsidP="007355BA">
            <w:pPr>
              <w:spacing w:before="40" w:after="40"/>
              <w:jc w:val="right"/>
              <w:rPr>
                <w:sz w:val="17"/>
                <w:szCs w:val="17"/>
              </w:rPr>
            </w:pPr>
            <w:r w:rsidRPr="00B02BA3">
              <w:rPr>
                <w:sz w:val="17"/>
              </w:rPr>
              <w:t>—</w:t>
            </w:r>
          </w:p>
        </w:tc>
        <w:tc>
          <w:tcPr>
            <w:tcW w:w="227" w:type="dxa"/>
            <w:tcBorders>
              <w:top w:val="nil"/>
              <w:left w:val="nil"/>
              <w:bottom w:val="nil"/>
              <w:right w:val="nil"/>
            </w:tcBorders>
            <w:vAlign w:val="bottom"/>
          </w:tcPr>
          <w:p w14:paraId="07A38E5F" w14:textId="77777777" w:rsidR="007355BA" w:rsidRPr="00E754AA" w:rsidRDefault="007355BA" w:rsidP="007355BA">
            <w:pPr>
              <w:spacing w:before="40" w:after="40"/>
              <w:rPr>
                <w:sz w:val="17"/>
                <w:szCs w:val="17"/>
              </w:rPr>
            </w:pPr>
          </w:p>
        </w:tc>
        <w:tc>
          <w:tcPr>
            <w:tcW w:w="939" w:type="dxa"/>
            <w:tcBorders>
              <w:top w:val="nil"/>
              <w:left w:val="nil"/>
              <w:bottom w:val="nil"/>
              <w:right w:val="nil"/>
            </w:tcBorders>
            <w:vAlign w:val="bottom"/>
          </w:tcPr>
          <w:p w14:paraId="289976B4" w14:textId="77777777" w:rsidR="007355BA" w:rsidRPr="00E754AA" w:rsidRDefault="007355BA" w:rsidP="007355BA">
            <w:pPr>
              <w:spacing w:before="40" w:after="40"/>
              <w:jc w:val="right"/>
              <w:rPr>
                <w:sz w:val="17"/>
                <w:szCs w:val="17"/>
              </w:rPr>
            </w:pPr>
            <w:r w:rsidRPr="00B02BA3">
              <w:rPr>
                <w:sz w:val="17"/>
              </w:rPr>
              <w:t>—</w:t>
            </w:r>
          </w:p>
        </w:tc>
        <w:tc>
          <w:tcPr>
            <w:tcW w:w="266" w:type="dxa"/>
            <w:tcBorders>
              <w:top w:val="nil"/>
              <w:left w:val="nil"/>
              <w:bottom w:val="nil"/>
              <w:right w:val="nil"/>
            </w:tcBorders>
            <w:vAlign w:val="bottom"/>
          </w:tcPr>
          <w:p w14:paraId="226BA6F7" w14:textId="77777777" w:rsidR="007355BA" w:rsidRPr="000D2863" w:rsidRDefault="007355BA" w:rsidP="007355BA">
            <w:pPr>
              <w:spacing w:before="40" w:after="40"/>
              <w:rPr>
                <w:sz w:val="17"/>
                <w:szCs w:val="17"/>
              </w:rPr>
            </w:pPr>
          </w:p>
        </w:tc>
      </w:tr>
      <w:tr w:rsidR="007355BA" w:rsidRPr="00E834EF" w14:paraId="632CECBD" w14:textId="77777777" w:rsidTr="007355BA">
        <w:tc>
          <w:tcPr>
            <w:tcW w:w="3254" w:type="dxa"/>
            <w:vAlign w:val="center"/>
          </w:tcPr>
          <w:p w14:paraId="3C91982D" w14:textId="77777777" w:rsidR="007355BA" w:rsidRPr="00E754AA" w:rsidRDefault="007355BA" w:rsidP="007355BA">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3887DDF9" w14:textId="77777777" w:rsidR="007355BA" w:rsidRPr="00E834EF" w:rsidRDefault="007355BA" w:rsidP="007355BA">
            <w:pPr>
              <w:spacing w:before="40" w:after="40"/>
              <w:rPr>
                <w:sz w:val="17"/>
                <w:szCs w:val="17"/>
              </w:rPr>
            </w:pPr>
          </w:p>
        </w:tc>
        <w:tc>
          <w:tcPr>
            <w:tcW w:w="913" w:type="dxa"/>
            <w:vAlign w:val="bottom"/>
          </w:tcPr>
          <w:p w14:paraId="4F5B7B50"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vAlign w:val="bottom"/>
          </w:tcPr>
          <w:p w14:paraId="03968E73" w14:textId="77777777" w:rsidR="007355BA" w:rsidRPr="00E754AA" w:rsidRDefault="007355BA" w:rsidP="007355BA">
            <w:pPr>
              <w:spacing w:before="40" w:after="40"/>
              <w:rPr>
                <w:color w:val="000000"/>
                <w:sz w:val="17"/>
                <w:szCs w:val="17"/>
              </w:rPr>
            </w:pPr>
          </w:p>
        </w:tc>
        <w:tc>
          <w:tcPr>
            <w:tcW w:w="924" w:type="dxa"/>
            <w:vAlign w:val="bottom"/>
          </w:tcPr>
          <w:p w14:paraId="41E371D9"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4D9361C8" w14:textId="77777777" w:rsidR="007355BA" w:rsidRPr="00E754AA" w:rsidRDefault="007355BA" w:rsidP="007355BA">
            <w:pPr>
              <w:spacing w:before="40" w:after="40"/>
              <w:rPr>
                <w:color w:val="000000"/>
                <w:sz w:val="17"/>
                <w:szCs w:val="17"/>
              </w:rPr>
            </w:pPr>
          </w:p>
        </w:tc>
        <w:tc>
          <w:tcPr>
            <w:tcW w:w="924" w:type="dxa"/>
            <w:vAlign w:val="bottom"/>
          </w:tcPr>
          <w:p w14:paraId="2A1B083B"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6A17795A" w14:textId="77777777" w:rsidR="007355BA" w:rsidRPr="00E754AA" w:rsidRDefault="007355BA" w:rsidP="007355BA">
            <w:pPr>
              <w:spacing w:before="40" w:after="40"/>
              <w:rPr>
                <w:sz w:val="17"/>
                <w:szCs w:val="17"/>
              </w:rPr>
            </w:pPr>
          </w:p>
        </w:tc>
        <w:tc>
          <w:tcPr>
            <w:tcW w:w="924" w:type="dxa"/>
            <w:vAlign w:val="bottom"/>
          </w:tcPr>
          <w:p w14:paraId="21975B32" w14:textId="77777777" w:rsidR="007355BA" w:rsidRPr="00E754AA" w:rsidRDefault="007355BA" w:rsidP="007355BA">
            <w:pPr>
              <w:spacing w:before="40" w:after="40"/>
              <w:jc w:val="right"/>
              <w:rPr>
                <w:sz w:val="17"/>
                <w:szCs w:val="17"/>
              </w:rPr>
            </w:pPr>
            <w:r w:rsidRPr="00B02BA3">
              <w:rPr>
                <w:sz w:val="17"/>
              </w:rPr>
              <w:t>—</w:t>
            </w:r>
          </w:p>
        </w:tc>
        <w:tc>
          <w:tcPr>
            <w:tcW w:w="227" w:type="dxa"/>
            <w:vAlign w:val="bottom"/>
          </w:tcPr>
          <w:p w14:paraId="46925D6A" w14:textId="77777777" w:rsidR="007355BA" w:rsidRPr="00E754AA" w:rsidRDefault="007355BA" w:rsidP="007355BA">
            <w:pPr>
              <w:spacing w:before="40" w:after="40"/>
              <w:rPr>
                <w:sz w:val="17"/>
                <w:szCs w:val="17"/>
              </w:rPr>
            </w:pPr>
          </w:p>
        </w:tc>
        <w:tc>
          <w:tcPr>
            <w:tcW w:w="939" w:type="dxa"/>
            <w:vAlign w:val="bottom"/>
          </w:tcPr>
          <w:p w14:paraId="78167396" w14:textId="77777777" w:rsidR="007355BA" w:rsidRPr="00E754AA" w:rsidRDefault="007355BA" w:rsidP="007355BA">
            <w:pPr>
              <w:spacing w:before="40" w:after="40"/>
              <w:jc w:val="right"/>
              <w:rPr>
                <w:sz w:val="17"/>
                <w:szCs w:val="17"/>
              </w:rPr>
            </w:pPr>
            <w:r w:rsidRPr="00B02BA3">
              <w:rPr>
                <w:sz w:val="17"/>
              </w:rPr>
              <w:t>—</w:t>
            </w:r>
          </w:p>
        </w:tc>
        <w:tc>
          <w:tcPr>
            <w:tcW w:w="266" w:type="dxa"/>
            <w:vAlign w:val="bottom"/>
          </w:tcPr>
          <w:p w14:paraId="105D37A8" w14:textId="77777777" w:rsidR="007355BA" w:rsidRPr="000D2863" w:rsidRDefault="007355BA" w:rsidP="007355BA">
            <w:pPr>
              <w:spacing w:before="40" w:after="40"/>
              <w:rPr>
                <w:sz w:val="17"/>
                <w:szCs w:val="17"/>
              </w:rPr>
            </w:pPr>
          </w:p>
        </w:tc>
      </w:tr>
      <w:tr w:rsidR="007355BA" w:rsidRPr="00E834EF" w14:paraId="351ED938" w14:textId="77777777" w:rsidTr="007355BA">
        <w:tc>
          <w:tcPr>
            <w:tcW w:w="3254" w:type="dxa"/>
            <w:vAlign w:val="bottom"/>
          </w:tcPr>
          <w:p w14:paraId="4D82FE27" w14:textId="77777777" w:rsidR="007355BA" w:rsidRPr="00E754AA" w:rsidRDefault="007355BA" w:rsidP="007355BA">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355D02CC" w14:textId="77777777" w:rsidR="007355BA" w:rsidRPr="00E754AA" w:rsidRDefault="007355BA" w:rsidP="007355BA">
            <w:pPr>
              <w:spacing w:before="40" w:after="40"/>
              <w:rPr>
                <w:sz w:val="17"/>
                <w:szCs w:val="17"/>
              </w:rPr>
            </w:pPr>
          </w:p>
        </w:tc>
        <w:tc>
          <w:tcPr>
            <w:tcW w:w="913" w:type="dxa"/>
            <w:vAlign w:val="bottom"/>
          </w:tcPr>
          <w:p w14:paraId="4C4123C6"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vAlign w:val="bottom"/>
          </w:tcPr>
          <w:p w14:paraId="7A0650B2" w14:textId="77777777" w:rsidR="007355BA" w:rsidRPr="00E754AA" w:rsidRDefault="007355BA" w:rsidP="007355BA">
            <w:pPr>
              <w:spacing w:before="40" w:after="40"/>
              <w:rPr>
                <w:color w:val="000000"/>
                <w:sz w:val="17"/>
                <w:szCs w:val="17"/>
              </w:rPr>
            </w:pPr>
          </w:p>
        </w:tc>
        <w:tc>
          <w:tcPr>
            <w:tcW w:w="924" w:type="dxa"/>
            <w:vAlign w:val="bottom"/>
          </w:tcPr>
          <w:p w14:paraId="5F52C0D6" w14:textId="77777777" w:rsidR="007355BA" w:rsidRPr="00E754AA" w:rsidRDefault="007355BA" w:rsidP="007355BA">
            <w:pPr>
              <w:spacing w:before="40" w:after="40"/>
              <w:jc w:val="right"/>
              <w:rPr>
                <w:color w:val="000000"/>
                <w:sz w:val="17"/>
                <w:szCs w:val="17"/>
              </w:rPr>
            </w:pPr>
            <w:r>
              <w:rPr>
                <w:color w:val="000000"/>
                <w:sz w:val="17"/>
                <w:szCs w:val="17"/>
              </w:rPr>
              <w:t>0.1</w:t>
            </w:r>
          </w:p>
        </w:tc>
        <w:tc>
          <w:tcPr>
            <w:tcW w:w="242" w:type="dxa"/>
            <w:vAlign w:val="bottom"/>
          </w:tcPr>
          <w:p w14:paraId="04BCBB78" w14:textId="77777777" w:rsidR="007355BA" w:rsidRPr="00E754AA" w:rsidRDefault="005A3A55" w:rsidP="007355BA">
            <w:pPr>
              <w:spacing w:before="40" w:after="40"/>
              <w:rPr>
                <w:color w:val="000000"/>
                <w:sz w:val="17"/>
                <w:szCs w:val="17"/>
              </w:rPr>
            </w:pPr>
            <w:r>
              <w:rPr>
                <w:color w:val="000000"/>
                <w:sz w:val="17"/>
                <w:szCs w:val="17"/>
              </w:rPr>
              <w:t>)</w:t>
            </w:r>
          </w:p>
        </w:tc>
        <w:tc>
          <w:tcPr>
            <w:tcW w:w="924" w:type="dxa"/>
            <w:vAlign w:val="bottom"/>
          </w:tcPr>
          <w:p w14:paraId="5770A962" w14:textId="77777777" w:rsidR="007355BA" w:rsidRPr="00E754AA" w:rsidRDefault="007355BA" w:rsidP="007355BA">
            <w:pPr>
              <w:spacing w:before="40" w:after="40"/>
              <w:jc w:val="right"/>
              <w:rPr>
                <w:color w:val="000000"/>
                <w:sz w:val="17"/>
                <w:szCs w:val="17"/>
              </w:rPr>
            </w:pPr>
            <w:r>
              <w:rPr>
                <w:color w:val="000000"/>
                <w:sz w:val="17"/>
                <w:szCs w:val="17"/>
              </w:rPr>
              <w:t>(0.1</w:t>
            </w:r>
          </w:p>
        </w:tc>
        <w:tc>
          <w:tcPr>
            <w:tcW w:w="242" w:type="dxa"/>
            <w:vAlign w:val="bottom"/>
          </w:tcPr>
          <w:p w14:paraId="181EF6AF" w14:textId="77777777" w:rsidR="007355BA" w:rsidRPr="00E754AA" w:rsidRDefault="007355BA" w:rsidP="007355BA">
            <w:pPr>
              <w:spacing w:before="40" w:after="40"/>
              <w:rPr>
                <w:sz w:val="17"/>
                <w:szCs w:val="17"/>
              </w:rPr>
            </w:pPr>
          </w:p>
        </w:tc>
        <w:tc>
          <w:tcPr>
            <w:tcW w:w="924" w:type="dxa"/>
            <w:vAlign w:val="bottom"/>
          </w:tcPr>
          <w:p w14:paraId="76EA687E" w14:textId="77777777" w:rsidR="007355BA" w:rsidRPr="00E754AA" w:rsidRDefault="007355BA" w:rsidP="007355BA">
            <w:pPr>
              <w:spacing w:before="40" w:after="40"/>
              <w:jc w:val="right"/>
              <w:rPr>
                <w:sz w:val="17"/>
                <w:szCs w:val="17"/>
              </w:rPr>
            </w:pPr>
            <w:r w:rsidRPr="00B02BA3">
              <w:rPr>
                <w:sz w:val="17"/>
              </w:rPr>
              <w:t>—</w:t>
            </w:r>
          </w:p>
        </w:tc>
        <w:tc>
          <w:tcPr>
            <w:tcW w:w="227" w:type="dxa"/>
            <w:vAlign w:val="bottom"/>
          </w:tcPr>
          <w:p w14:paraId="19B7B092" w14:textId="77777777" w:rsidR="007355BA" w:rsidRPr="00E754AA" w:rsidRDefault="007355BA" w:rsidP="007355BA">
            <w:pPr>
              <w:spacing w:before="40" w:after="40"/>
              <w:rPr>
                <w:sz w:val="17"/>
                <w:szCs w:val="17"/>
              </w:rPr>
            </w:pPr>
          </w:p>
        </w:tc>
        <w:tc>
          <w:tcPr>
            <w:tcW w:w="939" w:type="dxa"/>
            <w:vAlign w:val="bottom"/>
          </w:tcPr>
          <w:p w14:paraId="36FDA230" w14:textId="77777777" w:rsidR="007355BA" w:rsidRPr="00E754AA" w:rsidRDefault="00E22B37" w:rsidP="007355BA">
            <w:pPr>
              <w:spacing w:before="40" w:after="40"/>
              <w:jc w:val="right"/>
              <w:rPr>
                <w:sz w:val="17"/>
                <w:szCs w:val="17"/>
              </w:rPr>
            </w:pPr>
            <w:r>
              <w:rPr>
                <w:sz w:val="17"/>
              </w:rPr>
              <w:t>0.0</w:t>
            </w:r>
          </w:p>
        </w:tc>
        <w:tc>
          <w:tcPr>
            <w:tcW w:w="266" w:type="dxa"/>
            <w:vAlign w:val="bottom"/>
          </w:tcPr>
          <w:p w14:paraId="3B43DA6A" w14:textId="77777777" w:rsidR="007355BA" w:rsidRPr="000D2863" w:rsidRDefault="007355BA" w:rsidP="007355BA">
            <w:pPr>
              <w:spacing w:before="40" w:after="40"/>
              <w:rPr>
                <w:sz w:val="17"/>
                <w:szCs w:val="17"/>
              </w:rPr>
            </w:pPr>
          </w:p>
        </w:tc>
      </w:tr>
      <w:tr w:rsidR="007355BA" w:rsidRPr="00E834EF" w14:paraId="0A55BADA" w14:textId="77777777" w:rsidTr="007355BA">
        <w:tc>
          <w:tcPr>
            <w:tcW w:w="3254" w:type="dxa"/>
            <w:vAlign w:val="center"/>
          </w:tcPr>
          <w:p w14:paraId="7B800278" w14:textId="77777777" w:rsidR="007355BA" w:rsidRPr="00E754AA" w:rsidRDefault="007355BA" w:rsidP="007355BA">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78EBC095" w14:textId="77777777" w:rsidR="007355BA" w:rsidRPr="00E834EF" w:rsidRDefault="005A3A55" w:rsidP="007355BA">
            <w:pPr>
              <w:spacing w:before="40" w:after="40"/>
              <w:rPr>
                <w:sz w:val="17"/>
                <w:szCs w:val="17"/>
              </w:rPr>
            </w:pPr>
            <w:r>
              <w:rPr>
                <w:sz w:val="17"/>
                <w:szCs w:val="17"/>
              </w:rPr>
              <w:t>)</w:t>
            </w:r>
          </w:p>
        </w:tc>
        <w:tc>
          <w:tcPr>
            <w:tcW w:w="913" w:type="dxa"/>
            <w:vAlign w:val="bottom"/>
          </w:tcPr>
          <w:p w14:paraId="0748123D" w14:textId="77777777" w:rsidR="007355BA" w:rsidRPr="00E754AA" w:rsidRDefault="007355BA" w:rsidP="007355BA">
            <w:pPr>
              <w:spacing w:before="40" w:after="40"/>
              <w:jc w:val="right"/>
              <w:rPr>
                <w:color w:val="000000"/>
                <w:sz w:val="17"/>
                <w:szCs w:val="17"/>
              </w:rPr>
            </w:pPr>
            <w:r>
              <w:rPr>
                <w:color w:val="000000"/>
                <w:sz w:val="17"/>
                <w:szCs w:val="17"/>
              </w:rPr>
              <w:t>(2.7</w:t>
            </w:r>
          </w:p>
        </w:tc>
        <w:tc>
          <w:tcPr>
            <w:tcW w:w="252" w:type="dxa"/>
            <w:gridSpan w:val="2"/>
            <w:vAlign w:val="bottom"/>
          </w:tcPr>
          <w:p w14:paraId="72F0563E" w14:textId="77777777" w:rsidR="007355BA" w:rsidRPr="00E754AA" w:rsidRDefault="007355BA" w:rsidP="007355BA">
            <w:pPr>
              <w:spacing w:before="40" w:after="40"/>
              <w:rPr>
                <w:color w:val="000000"/>
                <w:sz w:val="17"/>
                <w:szCs w:val="17"/>
              </w:rPr>
            </w:pPr>
            <w:r>
              <w:rPr>
                <w:color w:val="000000"/>
                <w:sz w:val="17"/>
                <w:szCs w:val="17"/>
              </w:rPr>
              <w:t>)</w:t>
            </w:r>
          </w:p>
        </w:tc>
        <w:tc>
          <w:tcPr>
            <w:tcW w:w="924" w:type="dxa"/>
            <w:vAlign w:val="bottom"/>
          </w:tcPr>
          <w:p w14:paraId="09298F8C" w14:textId="77777777" w:rsidR="007355BA" w:rsidRPr="00E754AA" w:rsidRDefault="007355BA" w:rsidP="007355BA">
            <w:pPr>
              <w:spacing w:before="40" w:after="40"/>
              <w:jc w:val="right"/>
              <w:rPr>
                <w:color w:val="000000"/>
                <w:sz w:val="17"/>
                <w:szCs w:val="17"/>
              </w:rPr>
            </w:pPr>
            <w:r>
              <w:rPr>
                <w:color w:val="000000"/>
                <w:sz w:val="17"/>
                <w:szCs w:val="17"/>
              </w:rPr>
              <w:t>(4.0</w:t>
            </w:r>
          </w:p>
        </w:tc>
        <w:tc>
          <w:tcPr>
            <w:tcW w:w="242" w:type="dxa"/>
            <w:vAlign w:val="bottom"/>
          </w:tcPr>
          <w:p w14:paraId="1A74ADA0" w14:textId="77777777" w:rsidR="007355BA" w:rsidRPr="00E754AA" w:rsidRDefault="007355BA" w:rsidP="007355BA">
            <w:pPr>
              <w:spacing w:before="40" w:after="40"/>
              <w:rPr>
                <w:color w:val="000000"/>
                <w:sz w:val="17"/>
                <w:szCs w:val="17"/>
              </w:rPr>
            </w:pPr>
            <w:r>
              <w:rPr>
                <w:color w:val="000000"/>
                <w:sz w:val="17"/>
                <w:szCs w:val="17"/>
              </w:rPr>
              <w:t>)</w:t>
            </w:r>
          </w:p>
        </w:tc>
        <w:tc>
          <w:tcPr>
            <w:tcW w:w="924" w:type="dxa"/>
            <w:vAlign w:val="bottom"/>
          </w:tcPr>
          <w:p w14:paraId="09359CB5" w14:textId="77777777" w:rsidR="007355BA" w:rsidRPr="00E754AA" w:rsidRDefault="007355BA" w:rsidP="007355BA">
            <w:pPr>
              <w:spacing w:before="40" w:after="40"/>
              <w:jc w:val="right"/>
              <w:rPr>
                <w:color w:val="000000"/>
                <w:sz w:val="17"/>
                <w:szCs w:val="17"/>
              </w:rPr>
            </w:pPr>
            <w:r>
              <w:rPr>
                <w:color w:val="000000"/>
                <w:sz w:val="17"/>
                <w:szCs w:val="17"/>
              </w:rPr>
              <w:t>(3.6</w:t>
            </w:r>
          </w:p>
        </w:tc>
        <w:tc>
          <w:tcPr>
            <w:tcW w:w="242" w:type="dxa"/>
            <w:vAlign w:val="bottom"/>
          </w:tcPr>
          <w:p w14:paraId="68C98D77" w14:textId="77777777" w:rsidR="007355BA" w:rsidRPr="00E754AA" w:rsidRDefault="007355BA" w:rsidP="007355BA">
            <w:pPr>
              <w:spacing w:before="40" w:after="40"/>
              <w:rPr>
                <w:sz w:val="17"/>
                <w:szCs w:val="17"/>
              </w:rPr>
            </w:pPr>
            <w:r>
              <w:rPr>
                <w:sz w:val="17"/>
                <w:szCs w:val="17"/>
              </w:rPr>
              <w:t>)</w:t>
            </w:r>
          </w:p>
        </w:tc>
        <w:tc>
          <w:tcPr>
            <w:tcW w:w="924" w:type="dxa"/>
            <w:vAlign w:val="bottom"/>
          </w:tcPr>
          <w:p w14:paraId="1744F389" w14:textId="77777777" w:rsidR="007355BA" w:rsidRPr="00E754AA" w:rsidRDefault="007355BA" w:rsidP="007355BA">
            <w:pPr>
              <w:spacing w:before="40" w:after="40"/>
              <w:jc w:val="right"/>
              <w:rPr>
                <w:sz w:val="17"/>
                <w:szCs w:val="17"/>
              </w:rPr>
            </w:pPr>
            <w:r>
              <w:rPr>
                <w:sz w:val="17"/>
                <w:szCs w:val="17"/>
              </w:rPr>
              <w:t>(2.7</w:t>
            </w:r>
          </w:p>
        </w:tc>
        <w:tc>
          <w:tcPr>
            <w:tcW w:w="227" w:type="dxa"/>
            <w:vAlign w:val="bottom"/>
          </w:tcPr>
          <w:p w14:paraId="4B3F986C" w14:textId="77777777" w:rsidR="007355BA" w:rsidRPr="00E754AA" w:rsidRDefault="007355BA" w:rsidP="007355BA">
            <w:pPr>
              <w:spacing w:before="40" w:after="40"/>
              <w:rPr>
                <w:sz w:val="17"/>
                <w:szCs w:val="17"/>
              </w:rPr>
            </w:pPr>
            <w:r>
              <w:rPr>
                <w:sz w:val="17"/>
                <w:szCs w:val="17"/>
              </w:rPr>
              <w:t>)</w:t>
            </w:r>
          </w:p>
        </w:tc>
        <w:tc>
          <w:tcPr>
            <w:tcW w:w="939" w:type="dxa"/>
            <w:vAlign w:val="bottom"/>
          </w:tcPr>
          <w:p w14:paraId="61C75647" w14:textId="77777777" w:rsidR="007355BA" w:rsidRPr="00E754AA" w:rsidRDefault="007355BA" w:rsidP="007355BA">
            <w:pPr>
              <w:spacing w:before="40" w:after="40"/>
              <w:jc w:val="right"/>
              <w:rPr>
                <w:sz w:val="17"/>
                <w:szCs w:val="17"/>
              </w:rPr>
            </w:pPr>
            <w:r>
              <w:rPr>
                <w:sz w:val="17"/>
                <w:szCs w:val="17"/>
              </w:rPr>
              <w:t>(2.8</w:t>
            </w:r>
          </w:p>
        </w:tc>
        <w:tc>
          <w:tcPr>
            <w:tcW w:w="266" w:type="dxa"/>
            <w:vAlign w:val="bottom"/>
          </w:tcPr>
          <w:p w14:paraId="3745C2FA" w14:textId="77777777" w:rsidR="007355BA" w:rsidRPr="000D2863" w:rsidRDefault="007355BA" w:rsidP="007355BA">
            <w:pPr>
              <w:spacing w:before="40" w:after="40"/>
              <w:rPr>
                <w:sz w:val="17"/>
                <w:szCs w:val="17"/>
              </w:rPr>
            </w:pPr>
          </w:p>
        </w:tc>
      </w:tr>
      <w:tr w:rsidR="007355BA" w:rsidRPr="00E834EF" w14:paraId="05FC7BC0" w14:textId="77777777" w:rsidTr="007355BA">
        <w:tc>
          <w:tcPr>
            <w:tcW w:w="3254" w:type="dxa"/>
            <w:vAlign w:val="center"/>
          </w:tcPr>
          <w:p w14:paraId="15EE025B" w14:textId="77777777" w:rsidR="007355BA" w:rsidRPr="00E754AA" w:rsidRDefault="007355BA" w:rsidP="007355BA">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66DD29A2" w14:textId="77777777" w:rsidR="007355BA" w:rsidRPr="00E834EF" w:rsidRDefault="007355BA" w:rsidP="007355BA">
            <w:pPr>
              <w:spacing w:before="40" w:after="40"/>
              <w:rPr>
                <w:sz w:val="17"/>
                <w:szCs w:val="17"/>
              </w:rPr>
            </w:pPr>
          </w:p>
        </w:tc>
        <w:tc>
          <w:tcPr>
            <w:tcW w:w="913" w:type="dxa"/>
            <w:vAlign w:val="bottom"/>
          </w:tcPr>
          <w:p w14:paraId="4D931E1E" w14:textId="77777777" w:rsidR="007355BA" w:rsidRPr="00E754AA" w:rsidRDefault="00E22B37" w:rsidP="007355BA">
            <w:pPr>
              <w:spacing w:before="40" w:after="40"/>
              <w:jc w:val="right"/>
              <w:rPr>
                <w:color w:val="000000"/>
                <w:sz w:val="17"/>
                <w:szCs w:val="17"/>
              </w:rPr>
            </w:pPr>
            <w:r>
              <w:rPr>
                <w:sz w:val="17"/>
              </w:rPr>
              <w:t>(0.0)</w:t>
            </w:r>
          </w:p>
        </w:tc>
        <w:tc>
          <w:tcPr>
            <w:tcW w:w="252" w:type="dxa"/>
            <w:gridSpan w:val="2"/>
            <w:vAlign w:val="bottom"/>
          </w:tcPr>
          <w:p w14:paraId="1FF73ED1" w14:textId="77777777" w:rsidR="007355BA" w:rsidRPr="00E754AA" w:rsidRDefault="007355BA" w:rsidP="007355BA">
            <w:pPr>
              <w:spacing w:before="40" w:after="40"/>
              <w:rPr>
                <w:color w:val="000000"/>
                <w:sz w:val="17"/>
                <w:szCs w:val="17"/>
              </w:rPr>
            </w:pPr>
          </w:p>
        </w:tc>
        <w:tc>
          <w:tcPr>
            <w:tcW w:w="924" w:type="dxa"/>
            <w:vAlign w:val="bottom"/>
          </w:tcPr>
          <w:p w14:paraId="6B318A33" w14:textId="77777777" w:rsidR="007355BA" w:rsidRPr="00E754AA" w:rsidRDefault="00E22B37" w:rsidP="007355BA">
            <w:pPr>
              <w:spacing w:before="40" w:after="40"/>
              <w:jc w:val="right"/>
              <w:rPr>
                <w:color w:val="000000"/>
                <w:sz w:val="17"/>
                <w:szCs w:val="17"/>
              </w:rPr>
            </w:pPr>
            <w:r>
              <w:rPr>
                <w:sz w:val="17"/>
              </w:rPr>
              <w:t>(0.0)</w:t>
            </w:r>
          </w:p>
        </w:tc>
        <w:tc>
          <w:tcPr>
            <w:tcW w:w="242" w:type="dxa"/>
            <w:vAlign w:val="bottom"/>
          </w:tcPr>
          <w:p w14:paraId="668FC228" w14:textId="77777777" w:rsidR="007355BA" w:rsidRPr="00E754AA" w:rsidRDefault="007355BA" w:rsidP="007355BA">
            <w:pPr>
              <w:spacing w:before="40" w:after="40"/>
              <w:rPr>
                <w:color w:val="000000"/>
                <w:sz w:val="17"/>
                <w:szCs w:val="17"/>
              </w:rPr>
            </w:pPr>
          </w:p>
        </w:tc>
        <w:tc>
          <w:tcPr>
            <w:tcW w:w="924" w:type="dxa"/>
            <w:vAlign w:val="bottom"/>
          </w:tcPr>
          <w:p w14:paraId="34186DA5" w14:textId="77777777" w:rsidR="007355BA" w:rsidRPr="00E754AA" w:rsidRDefault="00E22B37" w:rsidP="007355BA">
            <w:pPr>
              <w:spacing w:before="40" w:after="40"/>
              <w:jc w:val="right"/>
              <w:rPr>
                <w:color w:val="000000"/>
                <w:sz w:val="17"/>
                <w:szCs w:val="17"/>
              </w:rPr>
            </w:pPr>
            <w:r>
              <w:rPr>
                <w:sz w:val="17"/>
              </w:rPr>
              <w:t>(0.0)</w:t>
            </w:r>
          </w:p>
        </w:tc>
        <w:tc>
          <w:tcPr>
            <w:tcW w:w="242" w:type="dxa"/>
            <w:vAlign w:val="bottom"/>
          </w:tcPr>
          <w:p w14:paraId="2833291C" w14:textId="77777777" w:rsidR="007355BA" w:rsidRPr="00E754AA" w:rsidRDefault="007355BA" w:rsidP="007355BA">
            <w:pPr>
              <w:spacing w:before="40" w:after="40"/>
              <w:rPr>
                <w:sz w:val="17"/>
                <w:szCs w:val="17"/>
              </w:rPr>
            </w:pPr>
          </w:p>
        </w:tc>
        <w:tc>
          <w:tcPr>
            <w:tcW w:w="924" w:type="dxa"/>
            <w:vAlign w:val="bottom"/>
          </w:tcPr>
          <w:p w14:paraId="4DBCECAA" w14:textId="77777777" w:rsidR="007355BA" w:rsidRPr="00E754AA" w:rsidRDefault="00E22B37" w:rsidP="007355BA">
            <w:pPr>
              <w:spacing w:before="40" w:after="40"/>
              <w:jc w:val="right"/>
              <w:rPr>
                <w:sz w:val="17"/>
                <w:szCs w:val="17"/>
              </w:rPr>
            </w:pPr>
            <w:r>
              <w:rPr>
                <w:sz w:val="17"/>
              </w:rPr>
              <w:t>(0.0)</w:t>
            </w:r>
          </w:p>
        </w:tc>
        <w:tc>
          <w:tcPr>
            <w:tcW w:w="227" w:type="dxa"/>
            <w:vAlign w:val="bottom"/>
          </w:tcPr>
          <w:p w14:paraId="63D01943" w14:textId="77777777" w:rsidR="007355BA" w:rsidRPr="00E754AA" w:rsidRDefault="007355BA" w:rsidP="007355BA">
            <w:pPr>
              <w:spacing w:before="40" w:after="40"/>
              <w:rPr>
                <w:sz w:val="17"/>
                <w:szCs w:val="17"/>
              </w:rPr>
            </w:pPr>
          </w:p>
        </w:tc>
        <w:tc>
          <w:tcPr>
            <w:tcW w:w="939" w:type="dxa"/>
            <w:vAlign w:val="bottom"/>
          </w:tcPr>
          <w:p w14:paraId="41660192" w14:textId="77777777" w:rsidR="007355BA" w:rsidRPr="00E754AA" w:rsidRDefault="00E22B37" w:rsidP="007355BA">
            <w:pPr>
              <w:spacing w:before="40" w:after="40"/>
              <w:jc w:val="right"/>
              <w:rPr>
                <w:sz w:val="17"/>
                <w:szCs w:val="17"/>
              </w:rPr>
            </w:pPr>
            <w:r>
              <w:rPr>
                <w:sz w:val="17"/>
              </w:rPr>
              <w:t>(0.0)</w:t>
            </w:r>
          </w:p>
        </w:tc>
        <w:tc>
          <w:tcPr>
            <w:tcW w:w="266" w:type="dxa"/>
            <w:vAlign w:val="bottom"/>
          </w:tcPr>
          <w:p w14:paraId="01571CE7" w14:textId="77777777" w:rsidR="007355BA" w:rsidRPr="000D2863" w:rsidRDefault="007355BA" w:rsidP="007355BA">
            <w:pPr>
              <w:spacing w:before="40" w:after="40"/>
              <w:rPr>
                <w:sz w:val="17"/>
                <w:szCs w:val="17"/>
              </w:rPr>
            </w:pPr>
          </w:p>
        </w:tc>
      </w:tr>
      <w:tr w:rsidR="007355BA" w:rsidRPr="00E834EF" w14:paraId="170AB1DD" w14:textId="77777777" w:rsidTr="007355BA">
        <w:tc>
          <w:tcPr>
            <w:tcW w:w="3254" w:type="dxa"/>
            <w:vAlign w:val="center"/>
          </w:tcPr>
          <w:p w14:paraId="42242036" w14:textId="77777777" w:rsidR="007355BA" w:rsidRPr="00E754AA" w:rsidRDefault="007355BA" w:rsidP="007355BA">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7EF48413" w14:textId="77777777" w:rsidR="007355BA" w:rsidRPr="00E834EF" w:rsidRDefault="007355BA" w:rsidP="007355BA">
            <w:pPr>
              <w:spacing w:before="40" w:after="40"/>
              <w:rPr>
                <w:sz w:val="17"/>
                <w:szCs w:val="17"/>
              </w:rPr>
            </w:pPr>
          </w:p>
        </w:tc>
        <w:tc>
          <w:tcPr>
            <w:tcW w:w="913" w:type="dxa"/>
            <w:vAlign w:val="bottom"/>
          </w:tcPr>
          <w:p w14:paraId="057BC04C"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vAlign w:val="bottom"/>
          </w:tcPr>
          <w:p w14:paraId="778CCC98" w14:textId="77777777" w:rsidR="007355BA" w:rsidRPr="00E754AA" w:rsidRDefault="007355BA" w:rsidP="007355BA">
            <w:pPr>
              <w:spacing w:before="40" w:after="40"/>
              <w:rPr>
                <w:color w:val="000000"/>
                <w:sz w:val="17"/>
                <w:szCs w:val="17"/>
              </w:rPr>
            </w:pPr>
          </w:p>
        </w:tc>
        <w:tc>
          <w:tcPr>
            <w:tcW w:w="924" w:type="dxa"/>
            <w:vAlign w:val="bottom"/>
          </w:tcPr>
          <w:p w14:paraId="6F91CAC4"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471CC29B" w14:textId="77777777" w:rsidR="007355BA" w:rsidRPr="00E754AA" w:rsidRDefault="007355BA" w:rsidP="007355BA">
            <w:pPr>
              <w:spacing w:before="40" w:after="40"/>
              <w:rPr>
                <w:color w:val="000000"/>
                <w:sz w:val="17"/>
                <w:szCs w:val="17"/>
              </w:rPr>
            </w:pPr>
          </w:p>
        </w:tc>
        <w:tc>
          <w:tcPr>
            <w:tcW w:w="924" w:type="dxa"/>
            <w:vAlign w:val="bottom"/>
          </w:tcPr>
          <w:p w14:paraId="35628276"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1F33ADA7" w14:textId="77777777" w:rsidR="007355BA" w:rsidRPr="00E754AA" w:rsidRDefault="007355BA" w:rsidP="007355BA">
            <w:pPr>
              <w:spacing w:before="40" w:after="40"/>
              <w:rPr>
                <w:sz w:val="17"/>
                <w:szCs w:val="17"/>
              </w:rPr>
            </w:pPr>
          </w:p>
        </w:tc>
        <w:tc>
          <w:tcPr>
            <w:tcW w:w="924" w:type="dxa"/>
            <w:vAlign w:val="bottom"/>
          </w:tcPr>
          <w:p w14:paraId="1C99AFC5" w14:textId="77777777" w:rsidR="007355BA" w:rsidRPr="00E754AA" w:rsidRDefault="007355BA" w:rsidP="007355BA">
            <w:pPr>
              <w:spacing w:before="40" w:after="40"/>
              <w:jc w:val="right"/>
              <w:rPr>
                <w:sz w:val="17"/>
                <w:szCs w:val="17"/>
              </w:rPr>
            </w:pPr>
            <w:r w:rsidRPr="00B02BA3">
              <w:rPr>
                <w:sz w:val="17"/>
              </w:rPr>
              <w:t>—</w:t>
            </w:r>
          </w:p>
        </w:tc>
        <w:tc>
          <w:tcPr>
            <w:tcW w:w="227" w:type="dxa"/>
            <w:vAlign w:val="bottom"/>
          </w:tcPr>
          <w:p w14:paraId="4EF8D2B6" w14:textId="77777777" w:rsidR="007355BA" w:rsidRPr="00E754AA" w:rsidRDefault="007355BA" w:rsidP="007355BA">
            <w:pPr>
              <w:spacing w:before="40" w:after="40"/>
              <w:rPr>
                <w:sz w:val="17"/>
                <w:szCs w:val="17"/>
              </w:rPr>
            </w:pPr>
          </w:p>
        </w:tc>
        <w:tc>
          <w:tcPr>
            <w:tcW w:w="939" w:type="dxa"/>
            <w:vAlign w:val="bottom"/>
          </w:tcPr>
          <w:p w14:paraId="3AB86829" w14:textId="77777777" w:rsidR="007355BA" w:rsidRPr="00E754AA" w:rsidRDefault="007355BA" w:rsidP="007355BA">
            <w:pPr>
              <w:spacing w:before="40" w:after="40"/>
              <w:jc w:val="right"/>
              <w:rPr>
                <w:sz w:val="17"/>
                <w:szCs w:val="17"/>
              </w:rPr>
            </w:pPr>
            <w:r w:rsidRPr="00B02BA3">
              <w:rPr>
                <w:sz w:val="17"/>
              </w:rPr>
              <w:t>—</w:t>
            </w:r>
          </w:p>
        </w:tc>
        <w:tc>
          <w:tcPr>
            <w:tcW w:w="266" w:type="dxa"/>
            <w:vAlign w:val="bottom"/>
          </w:tcPr>
          <w:p w14:paraId="4F80B0C7" w14:textId="77777777" w:rsidR="007355BA" w:rsidRPr="000D2863" w:rsidRDefault="007355BA" w:rsidP="007355BA">
            <w:pPr>
              <w:spacing w:before="40" w:after="40"/>
              <w:rPr>
                <w:sz w:val="17"/>
                <w:szCs w:val="17"/>
              </w:rPr>
            </w:pPr>
          </w:p>
        </w:tc>
      </w:tr>
      <w:tr w:rsidR="007355BA" w:rsidRPr="00E834EF" w14:paraId="1117BA7C" w14:textId="77777777" w:rsidTr="007355BA">
        <w:tc>
          <w:tcPr>
            <w:tcW w:w="3254" w:type="dxa"/>
            <w:vAlign w:val="center"/>
          </w:tcPr>
          <w:p w14:paraId="10563086" w14:textId="77777777" w:rsidR="007355BA" w:rsidRDefault="007355BA" w:rsidP="007355BA">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559031DC" w14:textId="77777777" w:rsidR="007355BA" w:rsidRPr="00E834EF" w:rsidRDefault="007355BA" w:rsidP="007355BA">
            <w:pPr>
              <w:spacing w:before="40" w:after="40"/>
              <w:rPr>
                <w:sz w:val="17"/>
                <w:szCs w:val="17"/>
              </w:rPr>
            </w:pPr>
          </w:p>
        </w:tc>
        <w:tc>
          <w:tcPr>
            <w:tcW w:w="913" w:type="dxa"/>
            <w:tcBorders>
              <w:bottom w:val="single" w:sz="4" w:space="0" w:color="auto"/>
            </w:tcBorders>
            <w:vAlign w:val="bottom"/>
          </w:tcPr>
          <w:p w14:paraId="17D5B312" w14:textId="77777777" w:rsidR="007355BA" w:rsidRPr="000D2863" w:rsidRDefault="007355BA" w:rsidP="007355BA">
            <w:pPr>
              <w:spacing w:before="40" w:after="40"/>
              <w:jc w:val="right"/>
              <w:rPr>
                <w:color w:val="000000"/>
                <w:sz w:val="17"/>
                <w:szCs w:val="17"/>
              </w:rPr>
            </w:pPr>
            <w:r>
              <w:rPr>
                <w:color w:val="000000"/>
                <w:sz w:val="17"/>
                <w:szCs w:val="17"/>
              </w:rPr>
              <w:t>17.1</w:t>
            </w:r>
          </w:p>
        </w:tc>
        <w:tc>
          <w:tcPr>
            <w:tcW w:w="252" w:type="dxa"/>
            <w:gridSpan w:val="2"/>
            <w:vAlign w:val="bottom"/>
          </w:tcPr>
          <w:p w14:paraId="7C436D76" w14:textId="77777777" w:rsidR="007355BA" w:rsidRPr="000D2863" w:rsidRDefault="007355BA" w:rsidP="007355BA">
            <w:pPr>
              <w:spacing w:before="40" w:after="40"/>
              <w:rPr>
                <w:color w:val="000000"/>
                <w:sz w:val="17"/>
                <w:szCs w:val="17"/>
              </w:rPr>
            </w:pPr>
          </w:p>
        </w:tc>
        <w:tc>
          <w:tcPr>
            <w:tcW w:w="924" w:type="dxa"/>
            <w:tcBorders>
              <w:bottom w:val="single" w:sz="4" w:space="0" w:color="auto"/>
            </w:tcBorders>
            <w:vAlign w:val="bottom"/>
          </w:tcPr>
          <w:p w14:paraId="41CB4359" w14:textId="77777777" w:rsidR="007355BA" w:rsidRPr="000D2863" w:rsidRDefault="007355BA" w:rsidP="007355BA">
            <w:pPr>
              <w:spacing w:before="40" w:after="40"/>
              <w:jc w:val="right"/>
              <w:rPr>
                <w:color w:val="000000"/>
                <w:sz w:val="17"/>
                <w:szCs w:val="17"/>
              </w:rPr>
            </w:pPr>
            <w:r>
              <w:rPr>
                <w:color w:val="000000"/>
                <w:sz w:val="17"/>
                <w:szCs w:val="17"/>
              </w:rPr>
              <w:t>21.5</w:t>
            </w:r>
          </w:p>
        </w:tc>
        <w:tc>
          <w:tcPr>
            <w:tcW w:w="242" w:type="dxa"/>
            <w:vAlign w:val="bottom"/>
          </w:tcPr>
          <w:p w14:paraId="2DE3945C" w14:textId="77777777" w:rsidR="007355BA" w:rsidRPr="000D2863" w:rsidRDefault="007355BA" w:rsidP="007355BA">
            <w:pPr>
              <w:spacing w:before="40" w:after="40"/>
              <w:rPr>
                <w:color w:val="000000"/>
                <w:sz w:val="17"/>
                <w:szCs w:val="17"/>
              </w:rPr>
            </w:pPr>
          </w:p>
        </w:tc>
        <w:tc>
          <w:tcPr>
            <w:tcW w:w="924" w:type="dxa"/>
            <w:tcBorders>
              <w:bottom w:val="single" w:sz="4" w:space="0" w:color="auto"/>
            </w:tcBorders>
            <w:vAlign w:val="bottom"/>
          </w:tcPr>
          <w:p w14:paraId="0EBF5DE6" w14:textId="77777777" w:rsidR="007355BA" w:rsidRPr="000D2863" w:rsidRDefault="007355BA" w:rsidP="007355BA">
            <w:pPr>
              <w:spacing w:before="40" w:after="40"/>
              <w:jc w:val="right"/>
              <w:rPr>
                <w:color w:val="000000"/>
                <w:sz w:val="17"/>
                <w:szCs w:val="17"/>
              </w:rPr>
            </w:pPr>
            <w:r>
              <w:rPr>
                <w:color w:val="000000"/>
                <w:sz w:val="17"/>
                <w:szCs w:val="17"/>
              </w:rPr>
              <w:t>22.7</w:t>
            </w:r>
          </w:p>
        </w:tc>
        <w:tc>
          <w:tcPr>
            <w:tcW w:w="242" w:type="dxa"/>
            <w:vAlign w:val="bottom"/>
          </w:tcPr>
          <w:p w14:paraId="5E81F72D" w14:textId="77777777" w:rsidR="007355BA" w:rsidRPr="000D2863" w:rsidRDefault="007355BA" w:rsidP="007355BA">
            <w:pPr>
              <w:spacing w:before="40" w:after="40"/>
              <w:rPr>
                <w:sz w:val="17"/>
                <w:szCs w:val="17"/>
              </w:rPr>
            </w:pPr>
          </w:p>
        </w:tc>
        <w:tc>
          <w:tcPr>
            <w:tcW w:w="924" w:type="dxa"/>
            <w:tcBorders>
              <w:bottom w:val="single" w:sz="4" w:space="0" w:color="auto"/>
            </w:tcBorders>
            <w:vAlign w:val="bottom"/>
          </w:tcPr>
          <w:p w14:paraId="3AF46326" w14:textId="77777777" w:rsidR="007355BA" w:rsidRPr="000D2863" w:rsidRDefault="007355BA" w:rsidP="007355BA">
            <w:pPr>
              <w:spacing w:before="40" w:after="40"/>
              <w:jc w:val="right"/>
              <w:rPr>
                <w:sz w:val="17"/>
                <w:szCs w:val="17"/>
              </w:rPr>
            </w:pPr>
            <w:r>
              <w:rPr>
                <w:sz w:val="17"/>
                <w:szCs w:val="17"/>
              </w:rPr>
              <w:t>16.6</w:t>
            </w:r>
          </w:p>
        </w:tc>
        <w:tc>
          <w:tcPr>
            <w:tcW w:w="227" w:type="dxa"/>
            <w:vAlign w:val="bottom"/>
          </w:tcPr>
          <w:p w14:paraId="4C8C6E90" w14:textId="77777777" w:rsidR="007355BA" w:rsidRPr="000D2863" w:rsidRDefault="007355BA" w:rsidP="007355BA">
            <w:pPr>
              <w:spacing w:before="40" w:after="40"/>
              <w:rPr>
                <w:sz w:val="17"/>
                <w:szCs w:val="17"/>
              </w:rPr>
            </w:pPr>
          </w:p>
        </w:tc>
        <w:tc>
          <w:tcPr>
            <w:tcW w:w="939" w:type="dxa"/>
            <w:tcBorders>
              <w:bottom w:val="single" w:sz="4" w:space="0" w:color="auto"/>
            </w:tcBorders>
            <w:vAlign w:val="bottom"/>
          </w:tcPr>
          <w:p w14:paraId="427A6846" w14:textId="77777777" w:rsidR="007355BA" w:rsidRPr="000D2863" w:rsidRDefault="007355BA" w:rsidP="007355BA">
            <w:pPr>
              <w:spacing w:before="40" w:after="40"/>
              <w:jc w:val="right"/>
              <w:rPr>
                <w:sz w:val="17"/>
                <w:szCs w:val="17"/>
              </w:rPr>
            </w:pPr>
            <w:r>
              <w:rPr>
                <w:sz w:val="17"/>
                <w:szCs w:val="17"/>
              </w:rPr>
              <w:t>17.9</w:t>
            </w:r>
          </w:p>
        </w:tc>
        <w:tc>
          <w:tcPr>
            <w:tcW w:w="266" w:type="dxa"/>
            <w:vAlign w:val="bottom"/>
          </w:tcPr>
          <w:p w14:paraId="6CFF16B9" w14:textId="77777777" w:rsidR="007355BA" w:rsidRPr="000D2863" w:rsidRDefault="007355BA" w:rsidP="007355BA">
            <w:pPr>
              <w:spacing w:before="40" w:after="40"/>
              <w:rPr>
                <w:sz w:val="17"/>
                <w:szCs w:val="17"/>
              </w:rPr>
            </w:pPr>
          </w:p>
        </w:tc>
      </w:tr>
      <w:tr w:rsidR="007355BA" w:rsidRPr="00E834EF" w14:paraId="0F36E11E" w14:textId="77777777" w:rsidTr="007355BA">
        <w:tc>
          <w:tcPr>
            <w:tcW w:w="3254" w:type="dxa"/>
          </w:tcPr>
          <w:p w14:paraId="5659E383" w14:textId="77777777" w:rsidR="007355BA" w:rsidRDefault="007355BA" w:rsidP="007355BA">
            <w:pPr>
              <w:tabs>
                <w:tab w:val="right" w:leader="dot" w:pos="3255"/>
              </w:tabs>
              <w:bidi/>
              <w:spacing w:before="40" w:after="40"/>
              <w:rPr>
                <w:b/>
                <w:bCs/>
                <w:sz w:val="17"/>
                <w:szCs w:val="17"/>
                <w:u w:val="single"/>
              </w:rPr>
            </w:pPr>
            <w:r w:rsidRPr="00272B36">
              <w:rPr>
                <w:rFonts w:hint="eastAsia"/>
                <w:b/>
                <w:bCs/>
                <w:szCs w:val="17"/>
                <w:rtl/>
              </w:rPr>
              <w:t>الأرباح</w:t>
            </w:r>
            <w:r w:rsidRPr="00272B36">
              <w:rPr>
                <w:b/>
                <w:bCs/>
                <w:szCs w:val="17"/>
                <w:rtl/>
              </w:rPr>
              <w:t xml:space="preserve"> قبل حساب الفوائد والضرائب والإهلاك والإطفاء ل</w:t>
            </w:r>
            <w:r w:rsidR="00607B02">
              <w:rPr>
                <w:b/>
                <w:bCs/>
                <w:szCs w:val="17"/>
                <w:rtl/>
              </w:rPr>
              <w:t>نقل</w:t>
            </w:r>
            <w:r w:rsidRPr="00272B36">
              <w:rPr>
                <w:b/>
                <w:bCs/>
                <w:szCs w:val="17"/>
                <w:rtl/>
              </w:rPr>
              <w:t xml:space="preserve"> </w:t>
            </w:r>
            <w:r>
              <w:rPr>
                <w:rFonts w:hint="cs"/>
                <w:b/>
                <w:bCs/>
                <w:szCs w:val="17"/>
                <w:rtl/>
              </w:rPr>
              <w:t>البضائع السائبة الجافة</w:t>
            </w:r>
            <w:r w:rsidRPr="007D2480">
              <w:rPr>
                <w:sz w:val="17"/>
              </w:rPr>
              <w:tab/>
            </w:r>
          </w:p>
        </w:tc>
        <w:tc>
          <w:tcPr>
            <w:tcW w:w="242" w:type="dxa"/>
            <w:vAlign w:val="bottom"/>
          </w:tcPr>
          <w:p w14:paraId="517A08D5" w14:textId="77777777" w:rsidR="007355BA" w:rsidRPr="00E834EF" w:rsidRDefault="007355BA" w:rsidP="007355BA">
            <w:pPr>
              <w:spacing w:before="40" w:after="40"/>
              <w:rPr>
                <w:sz w:val="17"/>
                <w:szCs w:val="17"/>
              </w:rPr>
            </w:pPr>
          </w:p>
        </w:tc>
        <w:tc>
          <w:tcPr>
            <w:tcW w:w="913" w:type="dxa"/>
            <w:tcBorders>
              <w:top w:val="single" w:sz="4" w:space="0" w:color="auto"/>
            </w:tcBorders>
            <w:vAlign w:val="bottom"/>
          </w:tcPr>
          <w:p w14:paraId="51B1B0F7" w14:textId="77777777" w:rsidR="007355BA" w:rsidRPr="002163D4" w:rsidRDefault="007355BA" w:rsidP="007355BA">
            <w:pPr>
              <w:spacing w:before="40" w:after="40"/>
              <w:jc w:val="right"/>
              <w:rPr>
                <w:b/>
                <w:bCs/>
                <w:color w:val="000000"/>
                <w:sz w:val="16"/>
                <w:szCs w:val="16"/>
              </w:rPr>
            </w:pPr>
            <w:r w:rsidRPr="007A3BB2">
              <w:rPr>
                <w:color w:val="000000"/>
                <w:sz w:val="16"/>
                <w:szCs w:val="16"/>
              </w:rPr>
              <w:t>104.0</w:t>
            </w:r>
          </w:p>
        </w:tc>
        <w:tc>
          <w:tcPr>
            <w:tcW w:w="252" w:type="dxa"/>
            <w:gridSpan w:val="2"/>
            <w:vAlign w:val="bottom"/>
          </w:tcPr>
          <w:p w14:paraId="28DEC88D" w14:textId="77777777" w:rsidR="007355BA" w:rsidRPr="002163D4" w:rsidRDefault="007355BA" w:rsidP="007355BA">
            <w:pPr>
              <w:spacing w:before="40" w:after="40"/>
              <w:rPr>
                <w:b/>
                <w:bCs/>
                <w:color w:val="000000"/>
                <w:sz w:val="16"/>
                <w:szCs w:val="16"/>
              </w:rPr>
            </w:pPr>
          </w:p>
        </w:tc>
        <w:tc>
          <w:tcPr>
            <w:tcW w:w="924" w:type="dxa"/>
            <w:tcBorders>
              <w:top w:val="single" w:sz="4" w:space="0" w:color="auto"/>
            </w:tcBorders>
            <w:vAlign w:val="bottom"/>
          </w:tcPr>
          <w:p w14:paraId="05C09461" w14:textId="77777777" w:rsidR="007355BA" w:rsidRPr="002163D4" w:rsidRDefault="007355BA" w:rsidP="007355BA">
            <w:pPr>
              <w:spacing w:before="40" w:after="40"/>
              <w:jc w:val="right"/>
              <w:rPr>
                <w:b/>
                <w:bCs/>
                <w:color w:val="000000"/>
                <w:sz w:val="16"/>
                <w:szCs w:val="16"/>
              </w:rPr>
            </w:pPr>
            <w:r w:rsidRPr="007A3BB2">
              <w:rPr>
                <w:color w:val="000000"/>
                <w:sz w:val="16"/>
                <w:szCs w:val="16"/>
              </w:rPr>
              <w:t>109.5</w:t>
            </w:r>
          </w:p>
        </w:tc>
        <w:tc>
          <w:tcPr>
            <w:tcW w:w="242" w:type="dxa"/>
            <w:vAlign w:val="bottom"/>
          </w:tcPr>
          <w:p w14:paraId="480907D5" w14:textId="77777777" w:rsidR="007355BA" w:rsidRPr="002163D4" w:rsidRDefault="007355BA" w:rsidP="007355BA">
            <w:pPr>
              <w:spacing w:before="40" w:after="40"/>
              <w:rPr>
                <w:b/>
                <w:bCs/>
                <w:color w:val="000000"/>
                <w:sz w:val="16"/>
                <w:szCs w:val="16"/>
              </w:rPr>
            </w:pPr>
          </w:p>
        </w:tc>
        <w:tc>
          <w:tcPr>
            <w:tcW w:w="924" w:type="dxa"/>
            <w:tcBorders>
              <w:top w:val="single" w:sz="4" w:space="0" w:color="auto"/>
            </w:tcBorders>
            <w:vAlign w:val="bottom"/>
          </w:tcPr>
          <w:p w14:paraId="1D7E51DE" w14:textId="77777777" w:rsidR="007355BA" w:rsidRPr="002163D4" w:rsidRDefault="007355BA" w:rsidP="007355BA">
            <w:pPr>
              <w:spacing w:before="40" w:after="40"/>
              <w:jc w:val="right"/>
              <w:rPr>
                <w:b/>
                <w:bCs/>
                <w:color w:val="000000"/>
                <w:sz w:val="16"/>
                <w:szCs w:val="16"/>
              </w:rPr>
            </w:pPr>
            <w:r w:rsidRPr="007A3BB2">
              <w:rPr>
                <w:color w:val="000000"/>
                <w:sz w:val="16"/>
                <w:szCs w:val="16"/>
              </w:rPr>
              <w:t>89.7</w:t>
            </w:r>
          </w:p>
        </w:tc>
        <w:tc>
          <w:tcPr>
            <w:tcW w:w="242" w:type="dxa"/>
            <w:vAlign w:val="bottom"/>
          </w:tcPr>
          <w:p w14:paraId="1217832C" w14:textId="77777777" w:rsidR="007355BA" w:rsidRPr="002163D4" w:rsidRDefault="007355BA" w:rsidP="007355BA">
            <w:pPr>
              <w:spacing w:before="40" w:after="40"/>
              <w:rPr>
                <w:b/>
                <w:bCs/>
                <w:sz w:val="16"/>
                <w:szCs w:val="16"/>
              </w:rPr>
            </w:pPr>
          </w:p>
        </w:tc>
        <w:tc>
          <w:tcPr>
            <w:tcW w:w="924" w:type="dxa"/>
            <w:tcBorders>
              <w:top w:val="single" w:sz="4" w:space="0" w:color="auto"/>
            </w:tcBorders>
            <w:vAlign w:val="bottom"/>
          </w:tcPr>
          <w:p w14:paraId="2B0FFA70" w14:textId="77777777" w:rsidR="007355BA" w:rsidRPr="002163D4" w:rsidRDefault="007355BA" w:rsidP="007355BA">
            <w:pPr>
              <w:spacing w:before="40" w:after="40"/>
              <w:jc w:val="right"/>
              <w:rPr>
                <w:b/>
                <w:bCs/>
                <w:sz w:val="16"/>
                <w:szCs w:val="16"/>
              </w:rPr>
            </w:pPr>
            <w:r w:rsidRPr="007A3BB2">
              <w:rPr>
                <w:color w:val="000000"/>
                <w:sz w:val="16"/>
                <w:szCs w:val="16"/>
              </w:rPr>
              <w:t>66.9</w:t>
            </w:r>
          </w:p>
        </w:tc>
        <w:tc>
          <w:tcPr>
            <w:tcW w:w="227" w:type="dxa"/>
            <w:vAlign w:val="bottom"/>
          </w:tcPr>
          <w:p w14:paraId="1F077128" w14:textId="77777777" w:rsidR="007355BA" w:rsidRPr="002163D4" w:rsidRDefault="007355BA" w:rsidP="007355BA">
            <w:pPr>
              <w:spacing w:before="40" w:after="40"/>
              <w:rPr>
                <w:b/>
                <w:bCs/>
                <w:sz w:val="16"/>
                <w:szCs w:val="16"/>
              </w:rPr>
            </w:pPr>
          </w:p>
        </w:tc>
        <w:tc>
          <w:tcPr>
            <w:tcW w:w="939" w:type="dxa"/>
            <w:tcBorders>
              <w:top w:val="single" w:sz="4" w:space="0" w:color="auto"/>
            </w:tcBorders>
            <w:vAlign w:val="bottom"/>
          </w:tcPr>
          <w:p w14:paraId="7B8CD688" w14:textId="77777777" w:rsidR="007355BA" w:rsidRPr="002163D4" w:rsidRDefault="007355BA" w:rsidP="007355BA">
            <w:pPr>
              <w:spacing w:before="40" w:after="40"/>
              <w:jc w:val="right"/>
              <w:rPr>
                <w:b/>
                <w:bCs/>
                <w:sz w:val="16"/>
                <w:szCs w:val="16"/>
              </w:rPr>
            </w:pPr>
            <w:r w:rsidRPr="007A3BB2">
              <w:rPr>
                <w:color w:val="000000"/>
                <w:sz w:val="16"/>
                <w:szCs w:val="16"/>
              </w:rPr>
              <w:t>59.7</w:t>
            </w:r>
          </w:p>
        </w:tc>
        <w:tc>
          <w:tcPr>
            <w:tcW w:w="266" w:type="dxa"/>
            <w:vAlign w:val="bottom"/>
          </w:tcPr>
          <w:p w14:paraId="650F18CA" w14:textId="77777777" w:rsidR="007355BA" w:rsidRPr="000D2863" w:rsidRDefault="007355BA" w:rsidP="007355BA">
            <w:pPr>
              <w:spacing w:before="40" w:after="40"/>
              <w:rPr>
                <w:b/>
                <w:bCs/>
                <w:sz w:val="17"/>
                <w:szCs w:val="17"/>
              </w:rPr>
            </w:pPr>
          </w:p>
        </w:tc>
      </w:tr>
    </w:tbl>
    <w:p w14:paraId="4766E64F" w14:textId="77777777" w:rsidR="007355BA" w:rsidRDefault="00287CE3" w:rsidP="007355BA">
      <w:pPr>
        <w:autoSpaceDE w:val="0"/>
        <w:autoSpaceDN w:val="0"/>
        <w:bidi/>
        <w:adjustRightInd w:val="0"/>
        <w:jc w:val="both"/>
        <w:rPr>
          <w:rFonts w:ascii="Traditional Arabic" w:hAnsi="Traditional Arabic" w:cs="Traditional Arabic"/>
          <w:sz w:val="30"/>
          <w:szCs w:val="30"/>
          <w:rtl/>
          <w:lang w:bidi="ar-EG"/>
        </w:rPr>
      </w:pPr>
      <w:r w:rsidRPr="00287CE3">
        <w:rPr>
          <w:rFonts w:ascii="Traditional Arabic" w:hAnsi="Traditional Arabic" w:cs="Traditional Arabic"/>
          <w:sz w:val="30"/>
          <w:szCs w:val="30"/>
          <w:rtl/>
          <w:lang w:bidi="ar-EG"/>
        </w:rPr>
        <w:t>(7)</w:t>
      </w:r>
      <w:r w:rsidRPr="00287CE3">
        <w:rPr>
          <w:rFonts w:ascii="Traditional Arabic" w:hAnsi="Traditional Arabic" w:cs="Traditional Arabic"/>
          <w:sz w:val="30"/>
          <w:szCs w:val="30"/>
          <w:rtl/>
          <w:lang w:bidi="ar-EG"/>
        </w:rPr>
        <w:tab/>
        <w:t xml:space="preserve">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لقطاع </w:t>
      </w:r>
      <w:r w:rsidR="00607B02">
        <w:rPr>
          <w:rFonts w:ascii="Traditional Arabic" w:hAnsi="Traditional Arabic" w:cs="Traditional Arabic"/>
          <w:sz w:val="30"/>
          <w:szCs w:val="30"/>
          <w:rtl/>
          <w:lang w:bidi="ar-EG"/>
        </w:rPr>
        <w:t>نقل</w:t>
      </w:r>
      <w:r w:rsidRPr="00287CE3">
        <w:rPr>
          <w:rFonts w:ascii="Traditional Arabic" w:hAnsi="Traditional Arabic" w:cs="Traditional Arabic"/>
          <w:sz w:val="30"/>
          <w:szCs w:val="30"/>
          <w:rtl/>
          <w:lang w:bidi="ar-EG"/>
        </w:rPr>
        <w:t xml:space="preserve"> الغاز للفترات المشار إليها:</w:t>
      </w:r>
    </w:p>
    <w:p w14:paraId="519E3732" w14:textId="77777777" w:rsidR="00A64D52" w:rsidRDefault="00A64D52" w:rsidP="00A64D52">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7355BA" w:rsidRPr="00E834EF" w14:paraId="0437B257" w14:textId="77777777" w:rsidTr="007355BA">
        <w:trPr>
          <w:tblHeader/>
        </w:trPr>
        <w:tc>
          <w:tcPr>
            <w:tcW w:w="3254" w:type="dxa"/>
          </w:tcPr>
          <w:p w14:paraId="3DB8527B" w14:textId="77777777" w:rsidR="007355BA" w:rsidRPr="00E834EF" w:rsidRDefault="007355BA" w:rsidP="007355BA">
            <w:pPr>
              <w:keepNext/>
              <w:bidi/>
              <w:spacing w:before="40" w:after="120"/>
              <w:rPr>
                <w:b/>
                <w:sz w:val="17"/>
                <w:szCs w:val="17"/>
              </w:rPr>
            </w:pPr>
          </w:p>
        </w:tc>
        <w:tc>
          <w:tcPr>
            <w:tcW w:w="242" w:type="dxa"/>
          </w:tcPr>
          <w:p w14:paraId="6340FFF0" w14:textId="77777777" w:rsidR="007355BA" w:rsidRPr="00E834EF" w:rsidRDefault="007355BA" w:rsidP="007355BA">
            <w:pPr>
              <w:spacing w:before="40" w:after="40"/>
              <w:rPr>
                <w:sz w:val="17"/>
                <w:szCs w:val="17"/>
              </w:rPr>
            </w:pPr>
          </w:p>
        </w:tc>
        <w:tc>
          <w:tcPr>
            <w:tcW w:w="3255" w:type="dxa"/>
            <w:gridSpan w:val="6"/>
            <w:tcBorders>
              <w:bottom w:val="single" w:sz="4" w:space="0" w:color="auto"/>
            </w:tcBorders>
          </w:tcPr>
          <w:p w14:paraId="4FA7906C" w14:textId="77777777" w:rsidR="007355BA" w:rsidRPr="00E834EF" w:rsidRDefault="007355BA" w:rsidP="007355BA">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6A5C7133" w14:textId="77777777" w:rsidR="007355BA" w:rsidRPr="00E834EF" w:rsidRDefault="007355BA" w:rsidP="007355BA">
            <w:pPr>
              <w:spacing w:before="40" w:after="40"/>
              <w:rPr>
                <w:sz w:val="17"/>
                <w:szCs w:val="17"/>
              </w:rPr>
            </w:pPr>
          </w:p>
        </w:tc>
        <w:tc>
          <w:tcPr>
            <w:tcW w:w="2090" w:type="dxa"/>
            <w:gridSpan w:val="3"/>
            <w:tcBorders>
              <w:bottom w:val="single" w:sz="4" w:space="0" w:color="auto"/>
            </w:tcBorders>
          </w:tcPr>
          <w:p w14:paraId="776F95EE" w14:textId="77777777" w:rsidR="007355BA" w:rsidRPr="00E834EF" w:rsidRDefault="007355BA" w:rsidP="007355BA">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0ED7B497" w14:textId="77777777" w:rsidR="007355BA" w:rsidRPr="00E834EF" w:rsidRDefault="007355BA" w:rsidP="007355BA">
            <w:pPr>
              <w:keepNext/>
              <w:spacing w:before="40" w:after="120"/>
              <w:jc w:val="center"/>
              <w:rPr>
                <w:b/>
                <w:sz w:val="17"/>
                <w:szCs w:val="17"/>
              </w:rPr>
            </w:pPr>
          </w:p>
        </w:tc>
      </w:tr>
      <w:tr w:rsidR="007355BA" w:rsidRPr="00E834EF" w14:paraId="0A33FEBA" w14:textId="77777777" w:rsidTr="007355BA">
        <w:trPr>
          <w:tblHeader/>
        </w:trPr>
        <w:tc>
          <w:tcPr>
            <w:tcW w:w="3254" w:type="dxa"/>
          </w:tcPr>
          <w:p w14:paraId="67C170E5" w14:textId="77777777" w:rsidR="007355BA" w:rsidRPr="00E834EF" w:rsidRDefault="007355BA" w:rsidP="007355BA">
            <w:pPr>
              <w:keepNext/>
              <w:bidi/>
              <w:spacing w:before="40" w:after="120"/>
              <w:rPr>
                <w:b/>
                <w:sz w:val="17"/>
                <w:szCs w:val="17"/>
              </w:rPr>
            </w:pPr>
          </w:p>
        </w:tc>
        <w:tc>
          <w:tcPr>
            <w:tcW w:w="242" w:type="dxa"/>
          </w:tcPr>
          <w:p w14:paraId="0314F15D" w14:textId="77777777" w:rsidR="007355BA" w:rsidRPr="00E834EF" w:rsidRDefault="007355BA" w:rsidP="007355BA">
            <w:pPr>
              <w:spacing w:before="40" w:after="40"/>
              <w:rPr>
                <w:sz w:val="17"/>
                <w:szCs w:val="17"/>
              </w:rPr>
            </w:pPr>
          </w:p>
        </w:tc>
        <w:tc>
          <w:tcPr>
            <w:tcW w:w="923" w:type="dxa"/>
            <w:gridSpan w:val="2"/>
            <w:tcBorders>
              <w:top w:val="single" w:sz="4" w:space="0" w:color="auto"/>
              <w:bottom w:val="single" w:sz="4" w:space="0" w:color="auto"/>
            </w:tcBorders>
          </w:tcPr>
          <w:p w14:paraId="557C2D0A" w14:textId="77777777" w:rsidR="007355BA" w:rsidRPr="00E834EF" w:rsidRDefault="007355BA" w:rsidP="007355BA">
            <w:pPr>
              <w:keepNext/>
              <w:spacing w:before="40" w:after="120"/>
              <w:jc w:val="right"/>
              <w:rPr>
                <w:b/>
                <w:sz w:val="17"/>
                <w:szCs w:val="17"/>
              </w:rPr>
            </w:pPr>
            <w:r w:rsidRPr="00E834EF">
              <w:rPr>
                <w:b/>
                <w:sz w:val="17"/>
                <w:szCs w:val="17"/>
              </w:rPr>
              <w:t>2021</w:t>
            </w:r>
          </w:p>
        </w:tc>
        <w:tc>
          <w:tcPr>
            <w:tcW w:w="242" w:type="dxa"/>
          </w:tcPr>
          <w:p w14:paraId="17D8B194"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6F21362E" w14:textId="77777777" w:rsidR="007355BA" w:rsidRPr="00E834EF" w:rsidRDefault="007355BA" w:rsidP="007355BA">
            <w:pPr>
              <w:keepNext/>
              <w:spacing w:before="40" w:after="120"/>
              <w:jc w:val="right"/>
              <w:rPr>
                <w:b/>
                <w:sz w:val="17"/>
                <w:szCs w:val="17"/>
              </w:rPr>
            </w:pPr>
            <w:r w:rsidRPr="00E834EF">
              <w:rPr>
                <w:b/>
                <w:sz w:val="17"/>
                <w:szCs w:val="17"/>
              </w:rPr>
              <w:t>2022</w:t>
            </w:r>
          </w:p>
        </w:tc>
        <w:tc>
          <w:tcPr>
            <w:tcW w:w="242" w:type="dxa"/>
          </w:tcPr>
          <w:p w14:paraId="6828847C"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756F79F6" w14:textId="77777777" w:rsidR="007355BA" w:rsidRPr="00E834EF" w:rsidRDefault="007355BA" w:rsidP="007355BA">
            <w:pPr>
              <w:keepNext/>
              <w:spacing w:before="40" w:after="120"/>
              <w:jc w:val="right"/>
              <w:rPr>
                <w:b/>
                <w:sz w:val="17"/>
                <w:szCs w:val="17"/>
              </w:rPr>
            </w:pPr>
            <w:r w:rsidRPr="00E834EF">
              <w:rPr>
                <w:b/>
                <w:sz w:val="17"/>
                <w:szCs w:val="17"/>
              </w:rPr>
              <w:t>2023</w:t>
            </w:r>
          </w:p>
        </w:tc>
        <w:tc>
          <w:tcPr>
            <w:tcW w:w="242" w:type="dxa"/>
          </w:tcPr>
          <w:p w14:paraId="50A6C84E"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295F2E95" w14:textId="77777777" w:rsidR="007355BA" w:rsidRPr="00E834EF" w:rsidRDefault="007355BA" w:rsidP="007355BA">
            <w:pPr>
              <w:keepNext/>
              <w:spacing w:before="40" w:after="120"/>
              <w:jc w:val="right"/>
              <w:rPr>
                <w:b/>
                <w:sz w:val="17"/>
                <w:szCs w:val="17"/>
              </w:rPr>
            </w:pPr>
            <w:r w:rsidRPr="00E834EF">
              <w:rPr>
                <w:b/>
                <w:sz w:val="17"/>
                <w:szCs w:val="17"/>
              </w:rPr>
              <w:t>2023</w:t>
            </w:r>
          </w:p>
        </w:tc>
        <w:tc>
          <w:tcPr>
            <w:tcW w:w="227" w:type="dxa"/>
          </w:tcPr>
          <w:p w14:paraId="438AC03A" w14:textId="77777777" w:rsidR="007355BA" w:rsidRPr="00E834EF" w:rsidRDefault="007355BA" w:rsidP="007355BA">
            <w:pPr>
              <w:spacing w:before="40" w:after="40"/>
              <w:rPr>
                <w:sz w:val="17"/>
                <w:szCs w:val="17"/>
              </w:rPr>
            </w:pPr>
          </w:p>
        </w:tc>
        <w:tc>
          <w:tcPr>
            <w:tcW w:w="939" w:type="dxa"/>
            <w:tcBorders>
              <w:top w:val="single" w:sz="4" w:space="0" w:color="auto"/>
              <w:bottom w:val="single" w:sz="4" w:space="0" w:color="auto"/>
            </w:tcBorders>
          </w:tcPr>
          <w:p w14:paraId="3CFD5074" w14:textId="77777777" w:rsidR="007355BA" w:rsidRPr="00E834EF" w:rsidRDefault="007355BA" w:rsidP="007355BA">
            <w:pPr>
              <w:keepNext/>
              <w:spacing w:before="40" w:after="120"/>
              <w:jc w:val="right"/>
              <w:rPr>
                <w:b/>
                <w:sz w:val="17"/>
                <w:szCs w:val="17"/>
              </w:rPr>
            </w:pPr>
            <w:r w:rsidRPr="00E834EF">
              <w:rPr>
                <w:b/>
                <w:sz w:val="17"/>
                <w:szCs w:val="17"/>
              </w:rPr>
              <w:t>2024</w:t>
            </w:r>
          </w:p>
        </w:tc>
        <w:tc>
          <w:tcPr>
            <w:tcW w:w="266" w:type="dxa"/>
          </w:tcPr>
          <w:p w14:paraId="5D0454BF" w14:textId="77777777" w:rsidR="007355BA" w:rsidRPr="00E834EF" w:rsidRDefault="007355BA" w:rsidP="007355BA">
            <w:pPr>
              <w:keepNext/>
              <w:spacing w:before="40" w:after="120"/>
              <w:jc w:val="right"/>
              <w:rPr>
                <w:b/>
                <w:sz w:val="17"/>
                <w:szCs w:val="17"/>
              </w:rPr>
            </w:pPr>
          </w:p>
        </w:tc>
      </w:tr>
      <w:tr w:rsidR="007355BA" w:rsidRPr="00E834EF" w14:paraId="7CDD35D3" w14:textId="77777777" w:rsidTr="007355BA">
        <w:trPr>
          <w:trHeight w:val="215"/>
          <w:tblHeader/>
        </w:trPr>
        <w:tc>
          <w:tcPr>
            <w:tcW w:w="3254" w:type="dxa"/>
          </w:tcPr>
          <w:p w14:paraId="07BFE929" w14:textId="77777777" w:rsidR="007355BA" w:rsidRPr="00E834EF" w:rsidRDefault="007355BA" w:rsidP="007355BA">
            <w:pPr>
              <w:keepNext/>
              <w:bidi/>
              <w:spacing w:before="40" w:after="120"/>
              <w:jc w:val="center"/>
              <w:rPr>
                <w:i/>
                <w:sz w:val="17"/>
                <w:szCs w:val="17"/>
              </w:rPr>
            </w:pPr>
          </w:p>
        </w:tc>
        <w:tc>
          <w:tcPr>
            <w:tcW w:w="242" w:type="dxa"/>
          </w:tcPr>
          <w:p w14:paraId="68607739" w14:textId="77777777" w:rsidR="007355BA" w:rsidRPr="00E834EF" w:rsidRDefault="007355BA" w:rsidP="007355BA">
            <w:pPr>
              <w:keepNext/>
              <w:spacing w:before="40" w:after="120"/>
              <w:jc w:val="center"/>
              <w:rPr>
                <w:i/>
                <w:sz w:val="17"/>
                <w:szCs w:val="17"/>
              </w:rPr>
            </w:pPr>
          </w:p>
        </w:tc>
        <w:tc>
          <w:tcPr>
            <w:tcW w:w="5587" w:type="dxa"/>
            <w:gridSpan w:val="10"/>
          </w:tcPr>
          <w:p w14:paraId="57CAC1CA" w14:textId="77777777" w:rsidR="007355BA" w:rsidRPr="00E834EF" w:rsidRDefault="007355BA" w:rsidP="007355BA">
            <w:pPr>
              <w:keepNext/>
              <w:spacing w:before="40" w:after="120"/>
              <w:jc w:val="center"/>
              <w:rPr>
                <w:i/>
                <w:sz w:val="17"/>
                <w:szCs w:val="17"/>
              </w:rPr>
            </w:pPr>
            <w:r w:rsidRPr="00E834EF">
              <w:rPr>
                <w:i/>
                <w:color w:val="000000"/>
                <w:sz w:val="17"/>
                <w:szCs w:val="17"/>
              </w:rPr>
              <w:t>(</w:t>
            </w:r>
            <w:r w:rsidRPr="00B02BA3">
              <w:rPr>
                <w:i/>
                <w:iCs/>
                <w:sz w:val="18"/>
              </w:rPr>
              <w:t>U.S.$</w:t>
            </w:r>
            <w:r>
              <w:rPr>
                <w:i/>
                <w:iCs/>
                <w:sz w:val="18"/>
              </w:rPr>
              <w:t xml:space="preserve"> </w:t>
            </w:r>
            <w:r>
              <w:rPr>
                <w:i/>
                <w:color w:val="000000"/>
                <w:sz w:val="17"/>
                <w:szCs w:val="17"/>
              </w:rPr>
              <w:t>millions</w:t>
            </w:r>
            <w:r w:rsidRPr="00E834EF">
              <w:rPr>
                <w:i/>
                <w:color w:val="000000"/>
                <w:sz w:val="17"/>
                <w:szCs w:val="17"/>
              </w:rPr>
              <w:t>)</w:t>
            </w:r>
          </w:p>
        </w:tc>
        <w:tc>
          <w:tcPr>
            <w:tcW w:w="266" w:type="dxa"/>
          </w:tcPr>
          <w:p w14:paraId="1879346F" w14:textId="77777777" w:rsidR="007355BA" w:rsidRPr="00E834EF" w:rsidRDefault="007355BA" w:rsidP="007355BA">
            <w:pPr>
              <w:keepNext/>
              <w:spacing w:before="40" w:after="120"/>
              <w:jc w:val="center"/>
              <w:rPr>
                <w:i/>
                <w:color w:val="000000"/>
                <w:sz w:val="17"/>
                <w:szCs w:val="17"/>
              </w:rPr>
            </w:pPr>
          </w:p>
        </w:tc>
      </w:tr>
      <w:tr w:rsidR="007355BA" w:rsidRPr="00E834EF" w14:paraId="56487EB0" w14:textId="77777777" w:rsidTr="007355BA">
        <w:tc>
          <w:tcPr>
            <w:tcW w:w="3254" w:type="dxa"/>
            <w:vAlign w:val="bottom"/>
          </w:tcPr>
          <w:p w14:paraId="4D66E600" w14:textId="77777777" w:rsidR="007355BA" w:rsidRDefault="007355BA" w:rsidP="007355BA">
            <w:pPr>
              <w:tabs>
                <w:tab w:val="right" w:leader="dot" w:pos="3255"/>
              </w:tabs>
              <w:bidi/>
              <w:spacing w:before="40" w:after="40"/>
              <w:ind w:left="12"/>
              <w:rPr>
                <w:b/>
                <w:bCs/>
                <w:color w:val="000000"/>
                <w:sz w:val="17"/>
                <w:szCs w:val="17"/>
              </w:rPr>
            </w:pPr>
            <w:r>
              <w:rPr>
                <w:rFonts w:hint="cs"/>
                <w:b/>
                <w:bCs/>
                <w:color w:val="000000"/>
                <w:sz w:val="17"/>
                <w:szCs w:val="17"/>
                <w:rtl/>
              </w:rPr>
              <w:t xml:space="preserve">إيرادات </w:t>
            </w:r>
            <w:r w:rsidR="00607B02">
              <w:rPr>
                <w:rFonts w:hint="cs"/>
                <w:b/>
                <w:bCs/>
                <w:color w:val="000000"/>
                <w:sz w:val="17"/>
                <w:szCs w:val="17"/>
                <w:rtl/>
              </w:rPr>
              <w:t>نقل</w:t>
            </w:r>
            <w:r>
              <w:rPr>
                <w:rFonts w:hint="cs"/>
                <w:b/>
                <w:bCs/>
                <w:color w:val="000000"/>
                <w:sz w:val="17"/>
                <w:szCs w:val="17"/>
                <w:rtl/>
              </w:rPr>
              <w:t xml:space="preserve"> الغاز</w:t>
            </w:r>
            <w:r w:rsidRPr="0054596C">
              <w:rPr>
                <w:sz w:val="17"/>
              </w:rPr>
              <w:tab/>
            </w:r>
          </w:p>
        </w:tc>
        <w:tc>
          <w:tcPr>
            <w:tcW w:w="242" w:type="dxa"/>
            <w:vAlign w:val="bottom"/>
          </w:tcPr>
          <w:p w14:paraId="7F925BB2" w14:textId="77777777" w:rsidR="007355BA" w:rsidRPr="00E834EF" w:rsidRDefault="007355BA" w:rsidP="007355BA">
            <w:pPr>
              <w:spacing w:before="40" w:after="40"/>
              <w:rPr>
                <w:sz w:val="17"/>
                <w:szCs w:val="17"/>
              </w:rPr>
            </w:pPr>
          </w:p>
        </w:tc>
        <w:tc>
          <w:tcPr>
            <w:tcW w:w="913" w:type="dxa"/>
            <w:vAlign w:val="bottom"/>
          </w:tcPr>
          <w:p w14:paraId="2CD4C9BB" w14:textId="77777777" w:rsidR="007355BA" w:rsidRPr="000A73F0" w:rsidRDefault="007355BA" w:rsidP="007355BA">
            <w:pPr>
              <w:spacing w:before="40" w:after="40"/>
              <w:jc w:val="right"/>
              <w:rPr>
                <w:color w:val="000000"/>
                <w:sz w:val="17"/>
                <w:szCs w:val="17"/>
              </w:rPr>
            </w:pPr>
            <w:r>
              <w:rPr>
                <w:color w:val="000000"/>
                <w:sz w:val="17"/>
                <w:szCs w:val="17"/>
              </w:rPr>
              <w:t>99.3</w:t>
            </w:r>
          </w:p>
        </w:tc>
        <w:tc>
          <w:tcPr>
            <w:tcW w:w="252" w:type="dxa"/>
            <w:gridSpan w:val="2"/>
            <w:vAlign w:val="bottom"/>
          </w:tcPr>
          <w:p w14:paraId="7A4BCD64" w14:textId="77777777" w:rsidR="007355BA" w:rsidRPr="007766C5" w:rsidRDefault="007355BA" w:rsidP="007355BA">
            <w:pPr>
              <w:spacing w:before="40" w:after="40"/>
              <w:rPr>
                <w:color w:val="000000"/>
                <w:sz w:val="17"/>
                <w:szCs w:val="17"/>
              </w:rPr>
            </w:pPr>
          </w:p>
        </w:tc>
        <w:tc>
          <w:tcPr>
            <w:tcW w:w="924" w:type="dxa"/>
            <w:vAlign w:val="bottom"/>
          </w:tcPr>
          <w:p w14:paraId="491379F3" w14:textId="77777777" w:rsidR="007355BA" w:rsidRPr="007766C5" w:rsidRDefault="007355BA" w:rsidP="007355BA">
            <w:pPr>
              <w:spacing w:before="40" w:after="40"/>
              <w:jc w:val="right"/>
              <w:rPr>
                <w:color w:val="000000"/>
                <w:sz w:val="17"/>
                <w:szCs w:val="17"/>
              </w:rPr>
            </w:pPr>
            <w:r>
              <w:rPr>
                <w:color w:val="000000"/>
                <w:sz w:val="17"/>
                <w:szCs w:val="17"/>
              </w:rPr>
              <w:t>114.3</w:t>
            </w:r>
          </w:p>
        </w:tc>
        <w:tc>
          <w:tcPr>
            <w:tcW w:w="242" w:type="dxa"/>
            <w:vAlign w:val="bottom"/>
          </w:tcPr>
          <w:p w14:paraId="0B3A4C9A" w14:textId="77777777" w:rsidR="007355BA" w:rsidRPr="007766C5" w:rsidRDefault="007355BA" w:rsidP="007355BA">
            <w:pPr>
              <w:spacing w:before="40" w:after="40"/>
              <w:rPr>
                <w:color w:val="000000"/>
                <w:sz w:val="17"/>
                <w:szCs w:val="17"/>
              </w:rPr>
            </w:pPr>
          </w:p>
        </w:tc>
        <w:tc>
          <w:tcPr>
            <w:tcW w:w="924" w:type="dxa"/>
            <w:vAlign w:val="bottom"/>
          </w:tcPr>
          <w:p w14:paraId="569963F2" w14:textId="77777777" w:rsidR="007355BA" w:rsidRPr="007766C5" w:rsidRDefault="007355BA" w:rsidP="007355BA">
            <w:pPr>
              <w:spacing w:before="40" w:after="40"/>
              <w:jc w:val="right"/>
              <w:rPr>
                <w:color w:val="000000"/>
                <w:sz w:val="17"/>
                <w:szCs w:val="17"/>
              </w:rPr>
            </w:pPr>
            <w:r>
              <w:rPr>
                <w:color w:val="000000"/>
                <w:sz w:val="17"/>
                <w:szCs w:val="17"/>
              </w:rPr>
              <w:t>134.0</w:t>
            </w:r>
          </w:p>
        </w:tc>
        <w:tc>
          <w:tcPr>
            <w:tcW w:w="242" w:type="dxa"/>
            <w:vAlign w:val="bottom"/>
          </w:tcPr>
          <w:p w14:paraId="559C1700" w14:textId="77777777" w:rsidR="007355BA" w:rsidRPr="007766C5" w:rsidRDefault="007355BA" w:rsidP="007355BA">
            <w:pPr>
              <w:spacing w:before="40" w:after="40"/>
              <w:rPr>
                <w:sz w:val="17"/>
                <w:szCs w:val="17"/>
              </w:rPr>
            </w:pPr>
          </w:p>
        </w:tc>
        <w:tc>
          <w:tcPr>
            <w:tcW w:w="924" w:type="dxa"/>
            <w:vAlign w:val="bottom"/>
          </w:tcPr>
          <w:p w14:paraId="602B3DE7" w14:textId="77777777" w:rsidR="007355BA" w:rsidRPr="007766C5" w:rsidRDefault="007355BA" w:rsidP="007355BA">
            <w:pPr>
              <w:spacing w:before="40" w:after="40"/>
              <w:jc w:val="right"/>
              <w:rPr>
                <w:sz w:val="17"/>
                <w:szCs w:val="17"/>
              </w:rPr>
            </w:pPr>
            <w:r>
              <w:rPr>
                <w:sz w:val="17"/>
                <w:szCs w:val="17"/>
              </w:rPr>
              <w:t>100.2</w:t>
            </w:r>
          </w:p>
        </w:tc>
        <w:tc>
          <w:tcPr>
            <w:tcW w:w="227" w:type="dxa"/>
            <w:vAlign w:val="bottom"/>
          </w:tcPr>
          <w:p w14:paraId="75F2BE20" w14:textId="77777777" w:rsidR="007355BA" w:rsidRPr="007766C5" w:rsidRDefault="007355BA" w:rsidP="007355BA">
            <w:pPr>
              <w:spacing w:before="40" w:after="40"/>
              <w:rPr>
                <w:sz w:val="17"/>
                <w:szCs w:val="17"/>
              </w:rPr>
            </w:pPr>
          </w:p>
        </w:tc>
        <w:tc>
          <w:tcPr>
            <w:tcW w:w="939" w:type="dxa"/>
            <w:vAlign w:val="bottom"/>
          </w:tcPr>
          <w:p w14:paraId="7C74D173" w14:textId="77777777" w:rsidR="007355BA" w:rsidRPr="007766C5" w:rsidRDefault="007355BA" w:rsidP="007355BA">
            <w:pPr>
              <w:spacing w:before="40" w:after="40"/>
              <w:jc w:val="right"/>
              <w:rPr>
                <w:sz w:val="17"/>
                <w:szCs w:val="17"/>
              </w:rPr>
            </w:pPr>
            <w:r>
              <w:rPr>
                <w:sz w:val="17"/>
                <w:szCs w:val="17"/>
              </w:rPr>
              <w:t>97.4</w:t>
            </w:r>
          </w:p>
        </w:tc>
        <w:tc>
          <w:tcPr>
            <w:tcW w:w="266" w:type="dxa"/>
          </w:tcPr>
          <w:p w14:paraId="2894247C" w14:textId="77777777" w:rsidR="007355BA" w:rsidRPr="000D2863" w:rsidRDefault="007355BA" w:rsidP="007355BA">
            <w:pPr>
              <w:spacing w:before="40" w:after="40"/>
              <w:rPr>
                <w:sz w:val="17"/>
                <w:szCs w:val="17"/>
              </w:rPr>
            </w:pPr>
          </w:p>
        </w:tc>
      </w:tr>
      <w:tr w:rsidR="007355BA" w:rsidRPr="00E834EF" w14:paraId="3D38D3A8" w14:textId="77777777" w:rsidTr="007355BA">
        <w:tc>
          <w:tcPr>
            <w:tcW w:w="3254" w:type="dxa"/>
          </w:tcPr>
          <w:p w14:paraId="36311761" w14:textId="77777777" w:rsidR="007355BA" w:rsidRDefault="007355BA" w:rsidP="007355BA">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145ABE3B" w14:textId="77777777" w:rsidR="007355BA" w:rsidRPr="00E834EF" w:rsidRDefault="007355BA" w:rsidP="007355BA">
            <w:pPr>
              <w:spacing w:before="40" w:after="40"/>
              <w:rPr>
                <w:sz w:val="17"/>
                <w:szCs w:val="17"/>
              </w:rPr>
            </w:pPr>
          </w:p>
        </w:tc>
        <w:tc>
          <w:tcPr>
            <w:tcW w:w="913" w:type="dxa"/>
            <w:tcBorders>
              <w:bottom w:val="single" w:sz="4" w:space="0" w:color="auto"/>
            </w:tcBorders>
            <w:vAlign w:val="bottom"/>
          </w:tcPr>
          <w:p w14:paraId="784096AD" w14:textId="77777777" w:rsidR="007355BA" w:rsidRPr="000A73F0" w:rsidRDefault="007355BA" w:rsidP="007355BA">
            <w:pPr>
              <w:spacing w:before="40" w:after="40"/>
              <w:jc w:val="right"/>
              <w:rPr>
                <w:color w:val="000000"/>
                <w:sz w:val="17"/>
                <w:szCs w:val="17"/>
              </w:rPr>
            </w:pPr>
            <w:r>
              <w:rPr>
                <w:color w:val="000000"/>
                <w:sz w:val="17"/>
                <w:szCs w:val="17"/>
              </w:rPr>
              <w:t>(3.5</w:t>
            </w:r>
            <w:r w:rsidR="002313D8">
              <w:rPr>
                <w:color w:val="000000"/>
                <w:sz w:val="17"/>
                <w:szCs w:val="17"/>
              </w:rPr>
              <w:t>)</w:t>
            </w:r>
          </w:p>
        </w:tc>
        <w:tc>
          <w:tcPr>
            <w:tcW w:w="252" w:type="dxa"/>
            <w:gridSpan w:val="2"/>
            <w:vAlign w:val="bottom"/>
          </w:tcPr>
          <w:p w14:paraId="60E1625B" w14:textId="77777777" w:rsidR="007355BA" w:rsidRPr="007766C5" w:rsidRDefault="007355BA" w:rsidP="007355BA">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41873279" w14:textId="77777777" w:rsidR="007355BA" w:rsidRPr="007766C5" w:rsidRDefault="007355BA" w:rsidP="007355BA">
            <w:pPr>
              <w:spacing w:before="40" w:after="40"/>
              <w:jc w:val="right"/>
              <w:rPr>
                <w:color w:val="000000"/>
                <w:sz w:val="17"/>
                <w:szCs w:val="17"/>
              </w:rPr>
            </w:pPr>
            <w:r>
              <w:rPr>
                <w:color w:val="000000"/>
                <w:sz w:val="17"/>
                <w:szCs w:val="17"/>
              </w:rPr>
              <w:t>(4.2</w:t>
            </w:r>
          </w:p>
        </w:tc>
        <w:tc>
          <w:tcPr>
            <w:tcW w:w="242" w:type="dxa"/>
            <w:vAlign w:val="bottom"/>
          </w:tcPr>
          <w:p w14:paraId="7AA817A2" w14:textId="77777777" w:rsidR="007355BA" w:rsidRPr="007766C5" w:rsidRDefault="007355BA" w:rsidP="007355BA">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1D9F8D3A" w14:textId="77777777" w:rsidR="007355BA" w:rsidRPr="007766C5" w:rsidRDefault="007355BA" w:rsidP="007355BA">
            <w:pPr>
              <w:spacing w:before="40" w:after="40"/>
              <w:jc w:val="right"/>
              <w:rPr>
                <w:color w:val="000000"/>
                <w:sz w:val="17"/>
                <w:szCs w:val="17"/>
              </w:rPr>
            </w:pPr>
            <w:r>
              <w:rPr>
                <w:color w:val="000000"/>
                <w:sz w:val="17"/>
                <w:szCs w:val="17"/>
              </w:rPr>
              <w:t>(1.3</w:t>
            </w:r>
          </w:p>
        </w:tc>
        <w:tc>
          <w:tcPr>
            <w:tcW w:w="242" w:type="dxa"/>
            <w:vAlign w:val="bottom"/>
          </w:tcPr>
          <w:p w14:paraId="0CF9A8CA" w14:textId="77777777" w:rsidR="007355BA" w:rsidRPr="007766C5" w:rsidRDefault="007355BA" w:rsidP="007355BA">
            <w:pPr>
              <w:spacing w:before="40" w:after="40"/>
              <w:rPr>
                <w:sz w:val="17"/>
                <w:szCs w:val="17"/>
              </w:rPr>
            </w:pPr>
            <w:r>
              <w:rPr>
                <w:sz w:val="17"/>
                <w:szCs w:val="17"/>
              </w:rPr>
              <w:t>)</w:t>
            </w:r>
          </w:p>
        </w:tc>
        <w:tc>
          <w:tcPr>
            <w:tcW w:w="924" w:type="dxa"/>
            <w:tcBorders>
              <w:bottom w:val="single" w:sz="4" w:space="0" w:color="auto"/>
            </w:tcBorders>
            <w:vAlign w:val="bottom"/>
          </w:tcPr>
          <w:p w14:paraId="60CD0221" w14:textId="77777777" w:rsidR="007355BA" w:rsidRPr="007766C5" w:rsidRDefault="007355BA" w:rsidP="007355BA">
            <w:pPr>
              <w:spacing w:before="40" w:after="40"/>
              <w:jc w:val="right"/>
              <w:rPr>
                <w:sz w:val="17"/>
                <w:szCs w:val="17"/>
              </w:rPr>
            </w:pPr>
            <w:r>
              <w:rPr>
                <w:sz w:val="17"/>
                <w:szCs w:val="17"/>
              </w:rPr>
              <w:t>(1.0</w:t>
            </w:r>
          </w:p>
        </w:tc>
        <w:tc>
          <w:tcPr>
            <w:tcW w:w="227" w:type="dxa"/>
            <w:vAlign w:val="bottom"/>
          </w:tcPr>
          <w:p w14:paraId="33D7A765" w14:textId="77777777" w:rsidR="007355BA" w:rsidRPr="007766C5" w:rsidRDefault="007355BA" w:rsidP="007355BA">
            <w:pPr>
              <w:spacing w:before="40" w:after="40"/>
              <w:rPr>
                <w:sz w:val="17"/>
                <w:szCs w:val="17"/>
              </w:rPr>
            </w:pPr>
          </w:p>
        </w:tc>
        <w:tc>
          <w:tcPr>
            <w:tcW w:w="939" w:type="dxa"/>
            <w:tcBorders>
              <w:bottom w:val="single" w:sz="4" w:space="0" w:color="auto"/>
            </w:tcBorders>
            <w:vAlign w:val="bottom"/>
          </w:tcPr>
          <w:p w14:paraId="733DADBF" w14:textId="77777777" w:rsidR="007355BA" w:rsidRPr="007766C5" w:rsidRDefault="007355BA" w:rsidP="007355BA">
            <w:pPr>
              <w:spacing w:before="40" w:after="40"/>
              <w:jc w:val="right"/>
              <w:rPr>
                <w:sz w:val="17"/>
                <w:szCs w:val="17"/>
              </w:rPr>
            </w:pPr>
            <w:r>
              <w:rPr>
                <w:sz w:val="17"/>
                <w:szCs w:val="17"/>
              </w:rPr>
              <w:t>0.1</w:t>
            </w:r>
          </w:p>
        </w:tc>
        <w:tc>
          <w:tcPr>
            <w:tcW w:w="266" w:type="dxa"/>
            <w:vAlign w:val="bottom"/>
          </w:tcPr>
          <w:p w14:paraId="203F7359" w14:textId="77777777" w:rsidR="007355BA" w:rsidRPr="007766C5" w:rsidRDefault="007355BA" w:rsidP="007355BA">
            <w:pPr>
              <w:spacing w:before="40" w:after="40"/>
              <w:rPr>
                <w:sz w:val="17"/>
                <w:szCs w:val="17"/>
              </w:rPr>
            </w:pPr>
          </w:p>
        </w:tc>
      </w:tr>
      <w:tr w:rsidR="007355BA" w:rsidRPr="00E834EF" w14:paraId="2E95DCA5" w14:textId="77777777" w:rsidTr="007355BA">
        <w:tc>
          <w:tcPr>
            <w:tcW w:w="3254" w:type="dxa"/>
          </w:tcPr>
          <w:p w14:paraId="481CA1F5" w14:textId="77777777" w:rsidR="007355BA" w:rsidRDefault="007355BA" w:rsidP="007355BA">
            <w:pPr>
              <w:tabs>
                <w:tab w:val="right" w:leader="dot" w:pos="3255"/>
              </w:tabs>
              <w:bidi/>
              <w:spacing w:before="40" w:after="40"/>
              <w:rPr>
                <w:b/>
                <w:bCs/>
                <w:sz w:val="17"/>
                <w:szCs w:val="17"/>
                <w:u w:val="single"/>
              </w:rPr>
            </w:pPr>
            <w:r w:rsidRPr="002A4B5D">
              <w:rPr>
                <w:rFonts w:hint="cs"/>
                <w:b/>
                <w:bCs/>
                <w:sz w:val="17"/>
                <w:szCs w:val="17"/>
                <w:u w:val="single"/>
                <w:rtl/>
              </w:rPr>
              <w:t xml:space="preserve">إيرادات مكافئ تأجير السفن المجهزة بالمدة </w:t>
            </w:r>
            <w:r>
              <w:rPr>
                <w:rFonts w:hint="cs"/>
                <w:b/>
                <w:bCs/>
                <w:sz w:val="17"/>
                <w:szCs w:val="17"/>
                <w:u w:val="single"/>
                <w:rtl/>
              </w:rPr>
              <w:t>ل</w:t>
            </w:r>
            <w:r w:rsidR="00607B02">
              <w:rPr>
                <w:rFonts w:hint="cs"/>
                <w:b/>
                <w:bCs/>
                <w:sz w:val="17"/>
                <w:szCs w:val="17"/>
                <w:u w:val="single"/>
                <w:rtl/>
              </w:rPr>
              <w:t>نقل</w:t>
            </w:r>
            <w:r>
              <w:rPr>
                <w:rFonts w:hint="cs"/>
                <w:b/>
                <w:bCs/>
                <w:sz w:val="17"/>
                <w:szCs w:val="17"/>
                <w:u w:val="single"/>
                <w:rtl/>
              </w:rPr>
              <w:t xml:space="preserve"> الغاز</w:t>
            </w:r>
            <w:r w:rsidRPr="007D2480">
              <w:rPr>
                <w:sz w:val="17"/>
              </w:rPr>
              <w:tab/>
            </w:r>
          </w:p>
        </w:tc>
        <w:tc>
          <w:tcPr>
            <w:tcW w:w="242" w:type="dxa"/>
            <w:vAlign w:val="bottom"/>
          </w:tcPr>
          <w:p w14:paraId="0D7E0A40" w14:textId="77777777" w:rsidR="007355BA" w:rsidRPr="00E834EF" w:rsidRDefault="007355BA" w:rsidP="007355BA">
            <w:pPr>
              <w:spacing w:before="40" w:after="40"/>
              <w:rPr>
                <w:sz w:val="17"/>
                <w:szCs w:val="17"/>
              </w:rPr>
            </w:pPr>
          </w:p>
        </w:tc>
        <w:tc>
          <w:tcPr>
            <w:tcW w:w="913" w:type="dxa"/>
            <w:tcBorders>
              <w:top w:val="single" w:sz="4" w:space="0" w:color="auto"/>
            </w:tcBorders>
            <w:vAlign w:val="bottom"/>
          </w:tcPr>
          <w:p w14:paraId="375BEF59" w14:textId="77777777" w:rsidR="007355BA" w:rsidRPr="002163D4" w:rsidRDefault="007355BA" w:rsidP="007355BA">
            <w:pPr>
              <w:spacing w:before="40" w:after="40"/>
              <w:jc w:val="right"/>
              <w:rPr>
                <w:b/>
                <w:bCs/>
                <w:color w:val="000000"/>
                <w:sz w:val="16"/>
                <w:szCs w:val="16"/>
              </w:rPr>
            </w:pPr>
            <w:r w:rsidRPr="007A3BB2">
              <w:rPr>
                <w:color w:val="000000"/>
                <w:sz w:val="16"/>
                <w:szCs w:val="16"/>
              </w:rPr>
              <w:t>95.8</w:t>
            </w:r>
          </w:p>
        </w:tc>
        <w:tc>
          <w:tcPr>
            <w:tcW w:w="252" w:type="dxa"/>
            <w:gridSpan w:val="2"/>
            <w:vAlign w:val="bottom"/>
          </w:tcPr>
          <w:p w14:paraId="5CFA08B7" w14:textId="77777777" w:rsidR="007355BA" w:rsidRPr="002163D4" w:rsidRDefault="007355BA" w:rsidP="007355BA">
            <w:pPr>
              <w:spacing w:before="40" w:after="40"/>
              <w:rPr>
                <w:b/>
                <w:bCs/>
                <w:color w:val="000000"/>
                <w:sz w:val="16"/>
                <w:szCs w:val="16"/>
              </w:rPr>
            </w:pPr>
          </w:p>
        </w:tc>
        <w:tc>
          <w:tcPr>
            <w:tcW w:w="924" w:type="dxa"/>
            <w:tcBorders>
              <w:top w:val="single" w:sz="4" w:space="0" w:color="auto"/>
            </w:tcBorders>
            <w:vAlign w:val="bottom"/>
          </w:tcPr>
          <w:p w14:paraId="7F2D3715" w14:textId="77777777" w:rsidR="007355BA" w:rsidRPr="002163D4" w:rsidRDefault="007355BA" w:rsidP="007355BA">
            <w:pPr>
              <w:spacing w:before="40" w:after="40"/>
              <w:jc w:val="right"/>
              <w:rPr>
                <w:b/>
                <w:bCs/>
                <w:color w:val="000000"/>
                <w:sz w:val="16"/>
                <w:szCs w:val="16"/>
              </w:rPr>
            </w:pPr>
            <w:r w:rsidRPr="007A3BB2">
              <w:rPr>
                <w:color w:val="000000"/>
                <w:sz w:val="16"/>
                <w:szCs w:val="16"/>
              </w:rPr>
              <w:t>110.1</w:t>
            </w:r>
          </w:p>
        </w:tc>
        <w:tc>
          <w:tcPr>
            <w:tcW w:w="242" w:type="dxa"/>
            <w:vAlign w:val="bottom"/>
          </w:tcPr>
          <w:p w14:paraId="04A72255" w14:textId="77777777" w:rsidR="007355BA" w:rsidRPr="002163D4" w:rsidRDefault="007355BA" w:rsidP="007355BA">
            <w:pPr>
              <w:spacing w:before="40" w:after="40"/>
              <w:rPr>
                <w:b/>
                <w:bCs/>
                <w:color w:val="000000"/>
                <w:sz w:val="16"/>
                <w:szCs w:val="16"/>
              </w:rPr>
            </w:pPr>
          </w:p>
        </w:tc>
        <w:tc>
          <w:tcPr>
            <w:tcW w:w="924" w:type="dxa"/>
            <w:tcBorders>
              <w:top w:val="single" w:sz="4" w:space="0" w:color="auto"/>
            </w:tcBorders>
            <w:vAlign w:val="bottom"/>
          </w:tcPr>
          <w:p w14:paraId="1ADCDA8B" w14:textId="77777777" w:rsidR="007355BA" w:rsidRPr="002163D4" w:rsidRDefault="007355BA" w:rsidP="007355BA">
            <w:pPr>
              <w:spacing w:before="40" w:after="40"/>
              <w:jc w:val="right"/>
              <w:rPr>
                <w:b/>
                <w:bCs/>
                <w:color w:val="000000"/>
                <w:sz w:val="16"/>
                <w:szCs w:val="16"/>
              </w:rPr>
            </w:pPr>
            <w:r w:rsidRPr="007A3BB2">
              <w:rPr>
                <w:color w:val="000000"/>
                <w:sz w:val="16"/>
                <w:szCs w:val="16"/>
              </w:rPr>
              <w:t>132.7</w:t>
            </w:r>
          </w:p>
        </w:tc>
        <w:tc>
          <w:tcPr>
            <w:tcW w:w="242" w:type="dxa"/>
            <w:vAlign w:val="bottom"/>
          </w:tcPr>
          <w:p w14:paraId="25B8BACC" w14:textId="77777777" w:rsidR="007355BA" w:rsidRPr="002163D4" w:rsidRDefault="007355BA" w:rsidP="007355BA">
            <w:pPr>
              <w:spacing w:before="40" w:after="40"/>
              <w:rPr>
                <w:b/>
                <w:bCs/>
                <w:sz w:val="16"/>
                <w:szCs w:val="16"/>
              </w:rPr>
            </w:pPr>
          </w:p>
        </w:tc>
        <w:tc>
          <w:tcPr>
            <w:tcW w:w="924" w:type="dxa"/>
            <w:tcBorders>
              <w:top w:val="single" w:sz="4" w:space="0" w:color="auto"/>
            </w:tcBorders>
            <w:vAlign w:val="bottom"/>
          </w:tcPr>
          <w:p w14:paraId="3AE2F5B5" w14:textId="77777777" w:rsidR="007355BA" w:rsidRPr="002163D4" w:rsidRDefault="007355BA" w:rsidP="007355BA">
            <w:pPr>
              <w:spacing w:before="40" w:after="40"/>
              <w:jc w:val="right"/>
              <w:rPr>
                <w:b/>
                <w:bCs/>
                <w:sz w:val="16"/>
                <w:szCs w:val="16"/>
              </w:rPr>
            </w:pPr>
            <w:r w:rsidRPr="007A3BB2">
              <w:rPr>
                <w:color w:val="000000"/>
                <w:sz w:val="16"/>
                <w:szCs w:val="16"/>
              </w:rPr>
              <w:t>99.2</w:t>
            </w:r>
          </w:p>
        </w:tc>
        <w:tc>
          <w:tcPr>
            <w:tcW w:w="227" w:type="dxa"/>
            <w:vAlign w:val="bottom"/>
          </w:tcPr>
          <w:p w14:paraId="2FF8F32D" w14:textId="77777777" w:rsidR="007355BA" w:rsidRPr="002163D4" w:rsidRDefault="007355BA" w:rsidP="007355BA">
            <w:pPr>
              <w:spacing w:before="40" w:after="40"/>
              <w:rPr>
                <w:b/>
                <w:bCs/>
                <w:sz w:val="16"/>
                <w:szCs w:val="16"/>
              </w:rPr>
            </w:pPr>
          </w:p>
        </w:tc>
        <w:tc>
          <w:tcPr>
            <w:tcW w:w="939" w:type="dxa"/>
            <w:tcBorders>
              <w:top w:val="single" w:sz="4" w:space="0" w:color="auto"/>
            </w:tcBorders>
            <w:vAlign w:val="bottom"/>
          </w:tcPr>
          <w:p w14:paraId="7C95D7B1" w14:textId="77777777" w:rsidR="007355BA" w:rsidRPr="002163D4" w:rsidRDefault="007355BA" w:rsidP="007355BA">
            <w:pPr>
              <w:spacing w:before="40" w:after="40"/>
              <w:jc w:val="right"/>
              <w:rPr>
                <w:b/>
                <w:bCs/>
                <w:sz w:val="16"/>
                <w:szCs w:val="16"/>
              </w:rPr>
            </w:pPr>
            <w:r w:rsidRPr="007A3BB2">
              <w:rPr>
                <w:color w:val="000000"/>
                <w:sz w:val="16"/>
                <w:szCs w:val="16"/>
              </w:rPr>
              <w:t>97.5</w:t>
            </w:r>
          </w:p>
        </w:tc>
        <w:tc>
          <w:tcPr>
            <w:tcW w:w="266" w:type="dxa"/>
          </w:tcPr>
          <w:p w14:paraId="1B80930B" w14:textId="77777777" w:rsidR="007355BA" w:rsidRPr="000D2863" w:rsidRDefault="007355BA" w:rsidP="007355BA">
            <w:pPr>
              <w:spacing w:before="40" w:after="40"/>
              <w:rPr>
                <w:b/>
                <w:bCs/>
                <w:sz w:val="17"/>
                <w:szCs w:val="17"/>
              </w:rPr>
            </w:pPr>
          </w:p>
        </w:tc>
      </w:tr>
      <w:tr w:rsidR="007355BA" w:rsidRPr="00E834EF" w14:paraId="2E55BABB" w14:textId="77777777" w:rsidTr="007355BA">
        <w:tc>
          <w:tcPr>
            <w:tcW w:w="3254" w:type="dxa"/>
          </w:tcPr>
          <w:p w14:paraId="463E8301" w14:textId="77777777" w:rsidR="007355BA" w:rsidRDefault="007355BA" w:rsidP="007355BA">
            <w:pPr>
              <w:tabs>
                <w:tab w:val="right" w:leader="dot" w:pos="3255"/>
              </w:tabs>
              <w:bidi/>
              <w:spacing w:before="40" w:after="40"/>
              <w:rPr>
                <w:b/>
                <w:bCs/>
                <w:sz w:val="17"/>
                <w:szCs w:val="17"/>
                <w:u w:val="single"/>
              </w:rPr>
            </w:pPr>
          </w:p>
        </w:tc>
        <w:tc>
          <w:tcPr>
            <w:tcW w:w="242" w:type="dxa"/>
            <w:vAlign w:val="bottom"/>
          </w:tcPr>
          <w:p w14:paraId="673487C4" w14:textId="77777777" w:rsidR="007355BA" w:rsidRPr="00E834EF" w:rsidRDefault="007355BA" w:rsidP="007355BA">
            <w:pPr>
              <w:spacing w:before="40" w:after="40"/>
              <w:rPr>
                <w:sz w:val="17"/>
                <w:szCs w:val="17"/>
              </w:rPr>
            </w:pPr>
          </w:p>
        </w:tc>
        <w:tc>
          <w:tcPr>
            <w:tcW w:w="913" w:type="dxa"/>
            <w:vAlign w:val="bottom"/>
          </w:tcPr>
          <w:p w14:paraId="65495234" w14:textId="77777777" w:rsidR="007355BA" w:rsidRPr="007766C5" w:rsidRDefault="007355BA" w:rsidP="007355BA">
            <w:pPr>
              <w:spacing w:before="40" w:after="40"/>
              <w:jc w:val="right"/>
              <w:rPr>
                <w:b/>
                <w:bCs/>
                <w:sz w:val="17"/>
                <w:szCs w:val="17"/>
              </w:rPr>
            </w:pPr>
          </w:p>
        </w:tc>
        <w:tc>
          <w:tcPr>
            <w:tcW w:w="252" w:type="dxa"/>
            <w:gridSpan w:val="2"/>
            <w:vAlign w:val="bottom"/>
          </w:tcPr>
          <w:p w14:paraId="48E3733A" w14:textId="77777777" w:rsidR="007355BA" w:rsidRPr="007766C5" w:rsidRDefault="007355BA" w:rsidP="007355BA">
            <w:pPr>
              <w:spacing w:before="40" w:after="40"/>
              <w:rPr>
                <w:b/>
                <w:bCs/>
                <w:color w:val="000000"/>
                <w:sz w:val="17"/>
                <w:szCs w:val="17"/>
              </w:rPr>
            </w:pPr>
          </w:p>
        </w:tc>
        <w:tc>
          <w:tcPr>
            <w:tcW w:w="924" w:type="dxa"/>
            <w:vAlign w:val="bottom"/>
          </w:tcPr>
          <w:p w14:paraId="58C845D8" w14:textId="77777777" w:rsidR="007355BA" w:rsidRPr="007766C5" w:rsidRDefault="007355BA" w:rsidP="007355BA">
            <w:pPr>
              <w:spacing w:before="40" w:after="40"/>
              <w:jc w:val="right"/>
              <w:rPr>
                <w:b/>
                <w:bCs/>
                <w:sz w:val="17"/>
                <w:szCs w:val="17"/>
              </w:rPr>
            </w:pPr>
          </w:p>
        </w:tc>
        <w:tc>
          <w:tcPr>
            <w:tcW w:w="242" w:type="dxa"/>
            <w:vAlign w:val="bottom"/>
          </w:tcPr>
          <w:p w14:paraId="162C5E24" w14:textId="77777777" w:rsidR="007355BA" w:rsidRPr="007766C5" w:rsidRDefault="007355BA" w:rsidP="007355BA">
            <w:pPr>
              <w:spacing w:before="40" w:after="40"/>
              <w:rPr>
                <w:b/>
                <w:bCs/>
                <w:color w:val="000000"/>
                <w:sz w:val="17"/>
                <w:szCs w:val="17"/>
              </w:rPr>
            </w:pPr>
          </w:p>
        </w:tc>
        <w:tc>
          <w:tcPr>
            <w:tcW w:w="924" w:type="dxa"/>
            <w:vAlign w:val="bottom"/>
          </w:tcPr>
          <w:p w14:paraId="3F24496B" w14:textId="77777777" w:rsidR="007355BA" w:rsidRPr="007766C5" w:rsidRDefault="007355BA" w:rsidP="007355BA">
            <w:pPr>
              <w:spacing w:before="40" w:after="40"/>
              <w:jc w:val="right"/>
              <w:rPr>
                <w:b/>
                <w:bCs/>
                <w:sz w:val="17"/>
                <w:szCs w:val="17"/>
              </w:rPr>
            </w:pPr>
          </w:p>
        </w:tc>
        <w:tc>
          <w:tcPr>
            <w:tcW w:w="242" w:type="dxa"/>
            <w:vAlign w:val="bottom"/>
          </w:tcPr>
          <w:p w14:paraId="6E216C81" w14:textId="77777777" w:rsidR="007355BA" w:rsidRPr="007766C5" w:rsidRDefault="007355BA" w:rsidP="007355BA">
            <w:pPr>
              <w:spacing w:before="40" w:after="40"/>
              <w:rPr>
                <w:b/>
                <w:bCs/>
                <w:sz w:val="17"/>
                <w:szCs w:val="17"/>
              </w:rPr>
            </w:pPr>
          </w:p>
        </w:tc>
        <w:tc>
          <w:tcPr>
            <w:tcW w:w="924" w:type="dxa"/>
            <w:vAlign w:val="bottom"/>
          </w:tcPr>
          <w:p w14:paraId="134C7A84" w14:textId="77777777" w:rsidR="007355BA" w:rsidRPr="007766C5" w:rsidRDefault="007355BA" w:rsidP="007355BA">
            <w:pPr>
              <w:spacing w:before="40" w:after="40"/>
              <w:jc w:val="right"/>
              <w:rPr>
                <w:b/>
                <w:bCs/>
                <w:sz w:val="17"/>
                <w:szCs w:val="17"/>
              </w:rPr>
            </w:pPr>
          </w:p>
        </w:tc>
        <w:tc>
          <w:tcPr>
            <w:tcW w:w="227" w:type="dxa"/>
            <w:vAlign w:val="bottom"/>
          </w:tcPr>
          <w:p w14:paraId="7804D1EC" w14:textId="77777777" w:rsidR="007355BA" w:rsidRPr="007766C5" w:rsidRDefault="007355BA" w:rsidP="007355BA">
            <w:pPr>
              <w:spacing w:before="40" w:after="40"/>
              <w:rPr>
                <w:b/>
                <w:bCs/>
                <w:sz w:val="17"/>
                <w:szCs w:val="17"/>
              </w:rPr>
            </w:pPr>
          </w:p>
        </w:tc>
        <w:tc>
          <w:tcPr>
            <w:tcW w:w="939" w:type="dxa"/>
            <w:vAlign w:val="bottom"/>
          </w:tcPr>
          <w:p w14:paraId="6BF63EDF" w14:textId="77777777" w:rsidR="007355BA" w:rsidRPr="007766C5" w:rsidRDefault="007355BA" w:rsidP="007355BA">
            <w:pPr>
              <w:spacing w:before="40" w:after="40"/>
              <w:jc w:val="right"/>
              <w:rPr>
                <w:b/>
                <w:bCs/>
                <w:sz w:val="17"/>
                <w:szCs w:val="17"/>
              </w:rPr>
            </w:pPr>
          </w:p>
        </w:tc>
        <w:tc>
          <w:tcPr>
            <w:tcW w:w="266" w:type="dxa"/>
          </w:tcPr>
          <w:p w14:paraId="60D6DFD4" w14:textId="77777777" w:rsidR="007355BA" w:rsidRPr="000D2863" w:rsidRDefault="007355BA" w:rsidP="007355BA">
            <w:pPr>
              <w:spacing w:before="40" w:after="40"/>
              <w:rPr>
                <w:b/>
                <w:bCs/>
                <w:sz w:val="17"/>
                <w:szCs w:val="17"/>
              </w:rPr>
            </w:pPr>
          </w:p>
        </w:tc>
      </w:tr>
      <w:tr w:rsidR="007355BA" w:rsidRPr="00E834EF" w14:paraId="07EB2292" w14:textId="77777777" w:rsidTr="007355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bottom"/>
          </w:tcPr>
          <w:p w14:paraId="29E9754C" w14:textId="77777777" w:rsidR="007355BA" w:rsidRDefault="007355BA" w:rsidP="007355BA">
            <w:pPr>
              <w:tabs>
                <w:tab w:val="right" w:leader="dot" w:pos="3255"/>
              </w:tabs>
              <w:bidi/>
              <w:spacing w:before="40" w:after="40"/>
              <w:ind w:left="12"/>
              <w:rPr>
                <w:b/>
                <w:bCs/>
                <w:color w:val="000000"/>
                <w:sz w:val="17"/>
                <w:szCs w:val="17"/>
              </w:rPr>
            </w:pPr>
            <w:r>
              <w:rPr>
                <w:rFonts w:hint="cs"/>
                <w:b/>
                <w:bCs/>
                <w:color w:val="000000"/>
                <w:sz w:val="17"/>
                <w:szCs w:val="17"/>
                <w:rtl/>
              </w:rPr>
              <w:t xml:space="preserve">إجمالي أرباح </w:t>
            </w:r>
            <w:r w:rsidR="00607B02">
              <w:rPr>
                <w:rFonts w:hint="cs"/>
                <w:b/>
                <w:bCs/>
                <w:color w:val="000000"/>
                <w:sz w:val="17"/>
                <w:szCs w:val="17"/>
                <w:rtl/>
              </w:rPr>
              <w:t>نقل</w:t>
            </w:r>
            <w:r>
              <w:rPr>
                <w:rFonts w:hint="cs"/>
                <w:b/>
                <w:bCs/>
                <w:color w:val="000000"/>
                <w:sz w:val="17"/>
                <w:szCs w:val="17"/>
                <w:rtl/>
              </w:rPr>
              <w:t xml:space="preserve"> الغاز</w:t>
            </w:r>
            <w:r w:rsidRPr="0054596C">
              <w:rPr>
                <w:sz w:val="17"/>
              </w:rPr>
              <w:tab/>
            </w:r>
          </w:p>
        </w:tc>
        <w:tc>
          <w:tcPr>
            <w:tcW w:w="242" w:type="dxa"/>
            <w:tcBorders>
              <w:top w:val="nil"/>
              <w:left w:val="nil"/>
              <w:bottom w:val="nil"/>
              <w:right w:val="nil"/>
            </w:tcBorders>
            <w:vAlign w:val="bottom"/>
          </w:tcPr>
          <w:p w14:paraId="7C45A485" w14:textId="77777777" w:rsidR="007355BA" w:rsidRPr="00E834EF" w:rsidRDefault="007355BA" w:rsidP="007355BA">
            <w:pPr>
              <w:spacing w:before="40" w:after="40"/>
              <w:rPr>
                <w:sz w:val="17"/>
                <w:szCs w:val="17"/>
              </w:rPr>
            </w:pPr>
          </w:p>
        </w:tc>
        <w:tc>
          <w:tcPr>
            <w:tcW w:w="913" w:type="dxa"/>
            <w:tcBorders>
              <w:top w:val="nil"/>
              <w:left w:val="nil"/>
              <w:bottom w:val="nil"/>
              <w:right w:val="nil"/>
            </w:tcBorders>
            <w:vAlign w:val="bottom"/>
          </w:tcPr>
          <w:p w14:paraId="16C58033" w14:textId="77777777" w:rsidR="007355BA" w:rsidRPr="007766C5" w:rsidRDefault="007355BA" w:rsidP="007355BA">
            <w:pPr>
              <w:spacing w:before="40" w:after="40"/>
              <w:jc w:val="right"/>
              <w:rPr>
                <w:color w:val="000000"/>
                <w:sz w:val="17"/>
                <w:szCs w:val="17"/>
              </w:rPr>
            </w:pPr>
            <w:r>
              <w:rPr>
                <w:color w:val="000000"/>
                <w:sz w:val="17"/>
                <w:szCs w:val="17"/>
              </w:rPr>
              <w:t>45.2</w:t>
            </w:r>
          </w:p>
        </w:tc>
        <w:tc>
          <w:tcPr>
            <w:tcW w:w="252" w:type="dxa"/>
            <w:gridSpan w:val="2"/>
            <w:tcBorders>
              <w:top w:val="nil"/>
              <w:left w:val="nil"/>
              <w:bottom w:val="nil"/>
              <w:right w:val="nil"/>
            </w:tcBorders>
            <w:vAlign w:val="bottom"/>
          </w:tcPr>
          <w:p w14:paraId="31D3DE00" w14:textId="77777777" w:rsidR="007355BA" w:rsidRPr="007766C5"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27F865B1" w14:textId="77777777" w:rsidR="007355BA" w:rsidRPr="007766C5" w:rsidRDefault="007355BA" w:rsidP="007355BA">
            <w:pPr>
              <w:spacing w:before="40" w:after="40"/>
              <w:jc w:val="right"/>
              <w:rPr>
                <w:color w:val="000000"/>
                <w:sz w:val="17"/>
                <w:szCs w:val="17"/>
              </w:rPr>
            </w:pPr>
            <w:r>
              <w:rPr>
                <w:color w:val="000000"/>
                <w:sz w:val="17"/>
                <w:szCs w:val="17"/>
              </w:rPr>
              <w:t>55.0</w:t>
            </w:r>
          </w:p>
        </w:tc>
        <w:tc>
          <w:tcPr>
            <w:tcW w:w="242" w:type="dxa"/>
            <w:tcBorders>
              <w:top w:val="nil"/>
              <w:left w:val="nil"/>
              <w:bottom w:val="nil"/>
              <w:right w:val="nil"/>
            </w:tcBorders>
            <w:vAlign w:val="bottom"/>
          </w:tcPr>
          <w:p w14:paraId="7F61F9E9" w14:textId="77777777" w:rsidR="007355BA" w:rsidRPr="007766C5"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6CBD4BD7" w14:textId="77777777" w:rsidR="007355BA" w:rsidRPr="007766C5" w:rsidRDefault="007355BA" w:rsidP="007355BA">
            <w:pPr>
              <w:spacing w:before="40" w:after="40"/>
              <w:jc w:val="right"/>
              <w:rPr>
                <w:color w:val="000000"/>
                <w:sz w:val="17"/>
                <w:szCs w:val="17"/>
              </w:rPr>
            </w:pPr>
            <w:r>
              <w:rPr>
                <w:color w:val="000000"/>
                <w:sz w:val="17"/>
                <w:szCs w:val="17"/>
              </w:rPr>
              <w:t>69.5</w:t>
            </w:r>
          </w:p>
        </w:tc>
        <w:tc>
          <w:tcPr>
            <w:tcW w:w="242" w:type="dxa"/>
            <w:tcBorders>
              <w:top w:val="nil"/>
              <w:left w:val="nil"/>
              <w:bottom w:val="nil"/>
              <w:right w:val="nil"/>
            </w:tcBorders>
            <w:vAlign w:val="bottom"/>
          </w:tcPr>
          <w:p w14:paraId="35135C09" w14:textId="77777777" w:rsidR="007355BA" w:rsidRPr="007766C5" w:rsidRDefault="007355BA" w:rsidP="007355BA">
            <w:pPr>
              <w:spacing w:before="40" w:after="40"/>
              <w:rPr>
                <w:sz w:val="17"/>
                <w:szCs w:val="17"/>
              </w:rPr>
            </w:pPr>
          </w:p>
        </w:tc>
        <w:tc>
          <w:tcPr>
            <w:tcW w:w="924" w:type="dxa"/>
            <w:tcBorders>
              <w:top w:val="nil"/>
              <w:left w:val="nil"/>
              <w:bottom w:val="nil"/>
              <w:right w:val="nil"/>
            </w:tcBorders>
            <w:vAlign w:val="bottom"/>
          </w:tcPr>
          <w:p w14:paraId="42BE9285" w14:textId="77777777" w:rsidR="007355BA" w:rsidRPr="007766C5" w:rsidRDefault="007355BA" w:rsidP="007355BA">
            <w:pPr>
              <w:spacing w:before="40" w:after="40"/>
              <w:jc w:val="right"/>
              <w:rPr>
                <w:sz w:val="17"/>
                <w:szCs w:val="17"/>
              </w:rPr>
            </w:pPr>
            <w:r>
              <w:rPr>
                <w:sz w:val="17"/>
                <w:szCs w:val="17"/>
              </w:rPr>
              <w:t>52.3</w:t>
            </w:r>
          </w:p>
        </w:tc>
        <w:tc>
          <w:tcPr>
            <w:tcW w:w="227" w:type="dxa"/>
            <w:tcBorders>
              <w:top w:val="nil"/>
              <w:left w:val="nil"/>
              <w:bottom w:val="nil"/>
              <w:right w:val="nil"/>
            </w:tcBorders>
            <w:vAlign w:val="bottom"/>
          </w:tcPr>
          <w:p w14:paraId="2407DC93" w14:textId="77777777" w:rsidR="007355BA" w:rsidRPr="007766C5" w:rsidRDefault="007355BA" w:rsidP="007355BA">
            <w:pPr>
              <w:spacing w:before="40" w:after="40"/>
              <w:rPr>
                <w:sz w:val="17"/>
                <w:szCs w:val="17"/>
              </w:rPr>
            </w:pPr>
          </w:p>
        </w:tc>
        <w:tc>
          <w:tcPr>
            <w:tcW w:w="939" w:type="dxa"/>
            <w:tcBorders>
              <w:top w:val="nil"/>
              <w:left w:val="nil"/>
              <w:bottom w:val="nil"/>
              <w:right w:val="nil"/>
            </w:tcBorders>
            <w:vAlign w:val="bottom"/>
          </w:tcPr>
          <w:p w14:paraId="5CA5A83A" w14:textId="77777777" w:rsidR="007355BA" w:rsidRPr="007766C5" w:rsidRDefault="007355BA" w:rsidP="007355BA">
            <w:pPr>
              <w:spacing w:before="40" w:after="40"/>
              <w:jc w:val="right"/>
              <w:rPr>
                <w:sz w:val="17"/>
                <w:szCs w:val="17"/>
              </w:rPr>
            </w:pPr>
            <w:r>
              <w:rPr>
                <w:sz w:val="17"/>
                <w:szCs w:val="17"/>
              </w:rPr>
              <w:t>48.6</w:t>
            </w:r>
          </w:p>
        </w:tc>
        <w:tc>
          <w:tcPr>
            <w:tcW w:w="266" w:type="dxa"/>
            <w:tcBorders>
              <w:top w:val="nil"/>
              <w:left w:val="nil"/>
              <w:bottom w:val="nil"/>
              <w:right w:val="nil"/>
            </w:tcBorders>
            <w:vAlign w:val="bottom"/>
          </w:tcPr>
          <w:p w14:paraId="5A339515" w14:textId="77777777" w:rsidR="007355BA" w:rsidRPr="000D2863" w:rsidRDefault="007355BA" w:rsidP="007355BA">
            <w:pPr>
              <w:spacing w:before="40" w:after="40"/>
              <w:rPr>
                <w:sz w:val="17"/>
                <w:szCs w:val="17"/>
              </w:rPr>
            </w:pPr>
          </w:p>
        </w:tc>
      </w:tr>
      <w:tr w:rsidR="007355BA" w:rsidRPr="00E834EF" w14:paraId="7EA7CB9D" w14:textId="77777777" w:rsidTr="007355BA">
        <w:tc>
          <w:tcPr>
            <w:tcW w:w="3254" w:type="dxa"/>
            <w:vAlign w:val="bottom"/>
          </w:tcPr>
          <w:p w14:paraId="6299E9A5" w14:textId="77777777" w:rsidR="007355BA" w:rsidRPr="00E754AA" w:rsidRDefault="007355BA" w:rsidP="007355BA">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45A53808" w14:textId="77777777" w:rsidR="007355BA" w:rsidRPr="00E754AA" w:rsidRDefault="007355BA" w:rsidP="007355BA">
            <w:pPr>
              <w:spacing w:before="40" w:after="40"/>
              <w:rPr>
                <w:sz w:val="17"/>
                <w:szCs w:val="17"/>
              </w:rPr>
            </w:pPr>
          </w:p>
        </w:tc>
        <w:tc>
          <w:tcPr>
            <w:tcW w:w="913" w:type="dxa"/>
            <w:vAlign w:val="bottom"/>
          </w:tcPr>
          <w:p w14:paraId="6E63639E"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vAlign w:val="bottom"/>
          </w:tcPr>
          <w:p w14:paraId="75F1A6FF" w14:textId="77777777" w:rsidR="007355BA" w:rsidRPr="00E754AA" w:rsidRDefault="007355BA" w:rsidP="007355BA">
            <w:pPr>
              <w:spacing w:before="40" w:after="40"/>
              <w:rPr>
                <w:color w:val="000000"/>
                <w:sz w:val="17"/>
                <w:szCs w:val="17"/>
              </w:rPr>
            </w:pPr>
          </w:p>
        </w:tc>
        <w:tc>
          <w:tcPr>
            <w:tcW w:w="924" w:type="dxa"/>
            <w:vAlign w:val="bottom"/>
          </w:tcPr>
          <w:p w14:paraId="52A0758E"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70CA983B" w14:textId="77777777" w:rsidR="007355BA" w:rsidRPr="00E754AA" w:rsidRDefault="007355BA" w:rsidP="007355BA">
            <w:pPr>
              <w:spacing w:before="40" w:after="40"/>
              <w:rPr>
                <w:color w:val="000000"/>
                <w:sz w:val="17"/>
                <w:szCs w:val="17"/>
              </w:rPr>
            </w:pPr>
          </w:p>
        </w:tc>
        <w:tc>
          <w:tcPr>
            <w:tcW w:w="924" w:type="dxa"/>
            <w:vAlign w:val="bottom"/>
          </w:tcPr>
          <w:p w14:paraId="273F12DC"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39C34C7A" w14:textId="77777777" w:rsidR="007355BA" w:rsidRPr="00E754AA" w:rsidRDefault="007355BA" w:rsidP="007355BA">
            <w:pPr>
              <w:spacing w:before="40" w:after="40"/>
              <w:rPr>
                <w:sz w:val="17"/>
                <w:szCs w:val="17"/>
              </w:rPr>
            </w:pPr>
          </w:p>
        </w:tc>
        <w:tc>
          <w:tcPr>
            <w:tcW w:w="924" w:type="dxa"/>
            <w:vAlign w:val="bottom"/>
          </w:tcPr>
          <w:p w14:paraId="1459B3E6" w14:textId="77777777" w:rsidR="007355BA" w:rsidRPr="00E754AA" w:rsidRDefault="007355BA" w:rsidP="007355BA">
            <w:pPr>
              <w:spacing w:before="40" w:after="40"/>
              <w:jc w:val="right"/>
              <w:rPr>
                <w:sz w:val="17"/>
                <w:szCs w:val="17"/>
              </w:rPr>
            </w:pPr>
            <w:r w:rsidRPr="00B02BA3">
              <w:rPr>
                <w:sz w:val="17"/>
              </w:rPr>
              <w:t>—</w:t>
            </w:r>
          </w:p>
        </w:tc>
        <w:tc>
          <w:tcPr>
            <w:tcW w:w="227" w:type="dxa"/>
            <w:vAlign w:val="bottom"/>
          </w:tcPr>
          <w:p w14:paraId="50572E49" w14:textId="77777777" w:rsidR="007355BA" w:rsidRPr="00E754AA" w:rsidRDefault="007355BA" w:rsidP="007355BA">
            <w:pPr>
              <w:spacing w:before="40" w:after="40"/>
              <w:rPr>
                <w:sz w:val="17"/>
                <w:szCs w:val="17"/>
              </w:rPr>
            </w:pPr>
          </w:p>
        </w:tc>
        <w:tc>
          <w:tcPr>
            <w:tcW w:w="939" w:type="dxa"/>
            <w:vAlign w:val="bottom"/>
          </w:tcPr>
          <w:p w14:paraId="3B97750C" w14:textId="77777777" w:rsidR="007355BA" w:rsidRPr="00E754AA" w:rsidRDefault="007355BA" w:rsidP="007355BA">
            <w:pPr>
              <w:spacing w:before="40" w:after="40"/>
              <w:jc w:val="right"/>
              <w:rPr>
                <w:sz w:val="17"/>
                <w:szCs w:val="17"/>
              </w:rPr>
            </w:pPr>
            <w:r w:rsidRPr="00B02BA3">
              <w:rPr>
                <w:sz w:val="17"/>
              </w:rPr>
              <w:t>—</w:t>
            </w:r>
          </w:p>
        </w:tc>
        <w:tc>
          <w:tcPr>
            <w:tcW w:w="266" w:type="dxa"/>
            <w:vAlign w:val="bottom"/>
          </w:tcPr>
          <w:p w14:paraId="3C720E9F" w14:textId="77777777" w:rsidR="007355BA" w:rsidRPr="000D2863" w:rsidRDefault="007355BA" w:rsidP="007355BA">
            <w:pPr>
              <w:spacing w:before="40" w:after="40"/>
              <w:rPr>
                <w:sz w:val="17"/>
                <w:szCs w:val="17"/>
              </w:rPr>
            </w:pPr>
          </w:p>
        </w:tc>
      </w:tr>
      <w:tr w:rsidR="007355BA" w:rsidRPr="00E834EF" w14:paraId="76465741" w14:textId="77777777" w:rsidTr="007355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center"/>
          </w:tcPr>
          <w:p w14:paraId="063B4EC8" w14:textId="77777777" w:rsidR="007355BA" w:rsidRPr="00E754AA" w:rsidRDefault="008D70E0" w:rsidP="007355BA">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7355BA" w:rsidRPr="0054596C">
              <w:rPr>
                <w:sz w:val="17"/>
              </w:rPr>
              <w:tab/>
            </w:r>
          </w:p>
        </w:tc>
        <w:tc>
          <w:tcPr>
            <w:tcW w:w="242" w:type="dxa"/>
            <w:tcBorders>
              <w:top w:val="nil"/>
              <w:left w:val="nil"/>
              <w:bottom w:val="nil"/>
              <w:right w:val="nil"/>
            </w:tcBorders>
            <w:vAlign w:val="bottom"/>
          </w:tcPr>
          <w:p w14:paraId="2C4A152A" w14:textId="77777777" w:rsidR="007355BA" w:rsidRPr="00E834EF" w:rsidRDefault="007355BA" w:rsidP="007355BA">
            <w:pPr>
              <w:spacing w:before="40" w:after="40"/>
              <w:rPr>
                <w:sz w:val="17"/>
                <w:szCs w:val="17"/>
              </w:rPr>
            </w:pPr>
          </w:p>
        </w:tc>
        <w:tc>
          <w:tcPr>
            <w:tcW w:w="913" w:type="dxa"/>
            <w:tcBorders>
              <w:top w:val="nil"/>
              <w:left w:val="nil"/>
              <w:bottom w:val="nil"/>
              <w:right w:val="nil"/>
            </w:tcBorders>
            <w:vAlign w:val="bottom"/>
          </w:tcPr>
          <w:p w14:paraId="311AC32D"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tcBorders>
              <w:top w:val="nil"/>
              <w:left w:val="nil"/>
              <w:bottom w:val="nil"/>
              <w:right w:val="nil"/>
            </w:tcBorders>
            <w:vAlign w:val="bottom"/>
          </w:tcPr>
          <w:p w14:paraId="6ABE63CC" w14:textId="77777777" w:rsidR="007355BA" w:rsidRPr="00E754AA"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250769C5" w14:textId="77777777" w:rsidR="007355BA" w:rsidRPr="00E754AA" w:rsidRDefault="007355BA" w:rsidP="007355BA">
            <w:pPr>
              <w:spacing w:before="40" w:after="40"/>
              <w:jc w:val="right"/>
              <w:rPr>
                <w:color w:val="000000"/>
                <w:sz w:val="17"/>
                <w:szCs w:val="17"/>
              </w:rPr>
            </w:pPr>
            <w:r w:rsidRPr="00B02BA3">
              <w:rPr>
                <w:sz w:val="17"/>
              </w:rPr>
              <w:t>—</w:t>
            </w:r>
          </w:p>
        </w:tc>
        <w:tc>
          <w:tcPr>
            <w:tcW w:w="242" w:type="dxa"/>
            <w:tcBorders>
              <w:top w:val="nil"/>
              <w:left w:val="nil"/>
              <w:bottom w:val="nil"/>
              <w:right w:val="nil"/>
            </w:tcBorders>
            <w:vAlign w:val="bottom"/>
          </w:tcPr>
          <w:p w14:paraId="28716A2F" w14:textId="77777777" w:rsidR="007355BA" w:rsidRPr="00E754AA"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220348B8" w14:textId="77777777" w:rsidR="007355BA" w:rsidRPr="00E754AA" w:rsidRDefault="007355BA" w:rsidP="007355BA">
            <w:pPr>
              <w:spacing w:before="40" w:after="40"/>
              <w:jc w:val="right"/>
              <w:rPr>
                <w:color w:val="000000"/>
                <w:sz w:val="17"/>
                <w:szCs w:val="17"/>
              </w:rPr>
            </w:pPr>
            <w:r>
              <w:rPr>
                <w:color w:val="000000"/>
                <w:sz w:val="17"/>
                <w:szCs w:val="17"/>
              </w:rPr>
              <w:t>2.7</w:t>
            </w:r>
          </w:p>
        </w:tc>
        <w:tc>
          <w:tcPr>
            <w:tcW w:w="242" w:type="dxa"/>
            <w:tcBorders>
              <w:top w:val="nil"/>
              <w:left w:val="nil"/>
              <w:bottom w:val="nil"/>
              <w:right w:val="nil"/>
            </w:tcBorders>
            <w:vAlign w:val="bottom"/>
          </w:tcPr>
          <w:p w14:paraId="730984CC" w14:textId="77777777" w:rsidR="007355BA" w:rsidRPr="00E754AA" w:rsidRDefault="007355BA" w:rsidP="007355BA">
            <w:pPr>
              <w:spacing w:before="40" w:after="40"/>
              <w:rPr>
                <w:sz w:val="17"/>
                <w:szCs w:val="17"/>
              </w:rPr>
            </w:pPr>
          </w:p>
        </w:tc>
        <w:tc>
          <w:tcPr>
            <w:tcW w:w="924" w:type="dxa"/>
            <w:tcBorders>
              <w:top w:val="nil"/>
              <w:left w:val="nil"/>
              <w:bottom w:val="nil"/>
              <w:right w:val="nil"/>
            </w:tcBorders>
            <w:vAlign w:val="bottom"/>
          </w:tcPr>
          <w:p w14:paraId="4F386AAA" w14:textId="77777777" w:rsidR="007355BA" w:rsidRPr="00E754AA" w:rsidRDefault="007355BA" w:rsidP="007355BA">
            <w:pPr>
              <w:spacing w:before="40" w:after="40"/>
              <w:jc w:val="right"/>
              <w:rPr>
                <w:sz w:val="17"/>
                <w:szCs w:val="17"/>
              </w:rPr>
            </w:pPr>
            <w:r>
              <w:rPr>
                <w:sz w:val="17"/>
                <w:szCs w:val="17"/>
              </w:rPr>
              <w:t>2.7</w:t>
            </w:r>
          </w:p>
        </w:tc>
        <w:tc>
          <w:tcPr>
            <w:tcW w:w="227" w:type="dxa"/>
            <w:tcBorders>
              <w:top w:val="nil"/>
              <w:left w:val="nil"/>
              <w:bottom w:val="nil"/>
              <w:right w:val="nil"/>
            </w:tcBorders>
            <w:vAlign w:val="bottom"/>
          </w:tcPr>
          <w:p w14:paraId="4260CC9B" w14:textId="77777777" w:rsidR="007355BA" w:rsidRPr="00E754AA" w:rsidRDefault="007355BA" w:rsidP="007355BA">
            <w:pPr>
              <w:spacing w:before="40" w:after="40"/>
              <w:rPr>
                <w:sz w:val="17"/>
                <w:szCs w:val="17"/>
              </w:rPr>
            </w:pPr>
          </w:p>
        </w:tc>
        <w:tc>
          <w:tcPr>
            <w:tcW w:w="939" w:type="dxa"/>
            <w:tcBorders>
              <w:top w:val="nil"/>
              <w:left w:val="nil"/>
              <w:bottom w:val="nil"/>
              <w:right w:val="nil"/>
            </w:tcBorders>
            <w:vAlign w:val="bottom"/>
          </w:tcPr>
          <w:p w14:paraId="16962FC7" w14:textId="77777777" w:rsidR="007355BA" w:rsidRPr="00E754AA" w:rsidRDefault="007355BA" w:rsidP="007355BA">
            <w:pPr>
              <w:spacing w:before="40" w:after="40"/>
              <w:jc w:val="right"/>
              <w:rPr>
                <w:sz w:val="17"/>
                <w:szCs w:val="17"/>
              </w:rPr>
            </w:pPr>
            <w:r w:rsidRPr="00B02BA3">
              <w:rPr>
                <w:sz w:val="17"/>
              </w:rPr>
              <w:t>—</w:t>
            </w:r>
          </w:p>
        </w:tc>
        <w:tc>
          <w:tcPr>
            <w:tcW w:w="266" w:type="dxa"/>
            <w:tcBorders>
              <w:top w:val="nil"/>
              <w:left w:val="nil"/>
              <w:bottom w:val="nil"/>
              <w:right w:val="nil"/>
            </w:tcBorders>
            <w:vAlign w:val="bottom"/>
          </w:tcPr>
          <w:p w14:paraId="1AB39420" w14:textId="77777777" w:rsidR="007355BA" w:rsidRPr="000D2863" w:rsidRDefault="007355BA" w:rsidP="007355BA">
            <w:pPr>
              <w:spacing w:before="40" w:after="40"/>
              <w:rPr>
                <w:sz w:val="17"/>
                <w:szCs w:val="17"/>
              </w:rPr>
            </w:pPr>
          </w:p>
        </w:tc>
      </w:tr>
      <w:tr w:rsidR="007355BA" w:rsidRPr="00E834EF" w14:paraId="148F7BBC" w14:textId="77777777" w:rsidTr="007355BA">
        <w:tc>
          <w:tcPr>
            <w:tcW w:w="3254" w:type="dxa"/>
            <w:vAlign w:val="center"/>
          </w:tcPr>
          <w:p w14:paraId="038E4B55" w14:textId="77777777" w:rsidR="007355BA" w:rsidRPr="00E754AA" w:rsidRDefault="007355BA" w:rsidP="007355BA">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04ECB2F5" w14:textId="77777777" w:rsidR="007355BA" w:rsidRPr="00E834EF" w:rsidRDefault="007355BA" w:rsidP="007355BA">
            <w:pPr>
              <w:spacing w:before="40" w:after="40"/>
              <w:rPr>
                <w:sz w:val="17"/>
                <w:szCs w:val="17"/>
              </w:rPr>
            </w:pPr>
          </w:p>
        </w:tc>
        <w:tc>
          <w:tcPr>
            <w:tcW w:w="913" w:type="dxa"/>
            <w:vAlign w:val="bottom"/>
          </w:tcPr>
          <w:p w14:paraId="079A0187"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vAlign w:val="bottom"/>
          </w:tcPr>
          <w:p w14:paraId="3A394513" w14:textId="77777777" w:rsidR="007355BA" w:rsidRPr="00E754AA" w:rsidRDefault="007355BA" w:rsidP="007355BA">
            <w:pPr>
              <w:spacing w:before="40" w:after="40"/>
              <w:rPr>
                <w:color w:val="000000"/>
                <w:sz w:val="17"/>
                <w:szCs w:val="17"/>
              </w:rPr>
            </w:pPr>
          </w:p>
        </w:tc>
        <w:tc>
          <w:tcPr>
            <w:tcW w:w="924" w:type="dxa"/>
            <w:vAlign w:val="bottom"/>
          </w:tcPr>
          <w:p w14:paraId="421BCA1C"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3F2576B4" w14:textId="77777777" w:rsidR="007355BA" w:rsidRPr="00E754AA" w:rsidRDefault="007355BA" w:rsidP="007355BA">
            <w:pPr>
              <w:spacing w:before="40" w:after="40"/>
              <w:rPr>
                <w:color w:val="000000"/>
                <w:sz w:val="17"/>
                <w:szCs w:val="17"/>
              </w:rPr>
            </w:pPr>
          </w:p>
        </w:tc>
        <w:tc>
          <w:tcPr>
            <w:tcW w:w="924" w:type="dxa"/>
            <w:vAlign w:val="bottom"/>
          </w:tcPr>
          <w:p w14:paraId="1B47ABC3"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27951F8C" w14:textId="77777777" w:rsidR="007355BA" w:rsidRPr="00E754AA" w:rsidRDefault="007355BA" w:rsidP="007355BA">
            <w:pPr>
              <w:spacing w:before="40" w:after="40"/>
              <w:rPr>
                <w:sz w:val="17"/>
                <w:szCs w:val="17"/>
              </w:rPr>
            </w:pPr>
          </w:p>
        </w:tc>
        <w:tc>
          <w:tcPr>
            <w:tcW w:w="924" w:type="dxa"/>
            <w:vAlign w:val="bottom"/>
          </w:tcPr>
          <w:p w14:paraId="1EE8112F" w14:textId="77777777" w:rsidR="007355BA" w:rsidRPr="00E754AA" w:rsidRDefault="007355BA" w:rsidP="007355BA">
            <w:pPr>
              <w:spacing w:before="40" w:after="40"/>
              <w:jc w:val="right"/>
              <w:rPr>
                <w:sz w:val="17"/>
                <w:szCs w:val="17"/>
              </w:rPr>
            </w:pPr>
            <w:r w:rsidRPr="00B02BA3">
              <w:rPr>
                <w:sz w:val="17"/>
              </w:rPr>
              <w:t>—</w:t>
            </w:r>
          </w:p>
        </w:tc>
        <w:tc>
          <w:tcPr>
            <w:tcW w:w="227" w:type="dxa"/>
            <w:vAlign w:val="bottom"/>
          </w:tcPr>
          <w:p w14:paraId="47E7EAF3" w14:textId="77777777" w:rsidR="007355BA" w:rsidRPr="00E754AA" w:rsidRDefault="007355BA" w:rsidP="007355BA">
            <w:pPr>
              <w:spacing w:before="40" w:after="40"/>
              <w:rPr>
                <w:sz w:val="17"/>
                <w:szCs w:val="17"/>
              </w:rPr>
            </w:pPr>
          </w:p>
        </w:tc>
        <w:tc>
          <w:tcPr>
            <w:tcW w:w="939" w:type="dxa"/>
            <w:vAlign w:val="bottom"/>
          </w:tcPr>
          <w:p w14:paraId="272D52EE" w14:textId="77777777" w:rsidR="007355BA" w:rsidRPr="00E754AA" w:rsidRDefault="007355BA" w:rsidP="007355BA">
            <w:pPr>
              <w:spacing w:before="40" w:after="40"/>
              <w:jc w:val="right"/>
              <w:rPr>
                <w:sz w:val="17"/>
                <w:szCs w:val="17"/>
              </w:rPr>
            </w:pPr>
            <w:r w:rsidRPr="00B02BA3">
              <w:rPr>
                <w:sz w:val="17"/>
              </w:rPr>
              <w:t>—</w:t>
            </w:r>
          </w:p>
        </w:tc>
        <w:tc>
          <w:tcPr>
            <w:tcW w:w="266" w:type="dxa"/>
            <w:vAlign w:val="bottom"/>
          </w:tcPr>
          <w:p w14:paraId="10D34875" w14:textId="77777777" w:rsidR="007355BA" w:rsidRPr="000D2863" w:rsidRDefault="007355BA" w:rsidP="007355BA">
            <w:pPr>
              <w:spacing w:before="40" w:after="40"/>
              <w:rPr>
                <w:sz w:val="17"/>
                <w:szCs w:val="17"/>
              </w:rPr>
            </w:pPr>
          </w:p>
        </w:tc>
      </w:tr>
      <w:tr w:rsidR="007355BA" w:rsidRPr="00E834EF" w14:paraId="010961DA" w14:textId="77777777" w:rsidTr="007355BA">
        <w:tc>
          <w:tcPr>
            <w:tcW w:w="3254" w:type="dxa"/>
            <w:vAlign w:val="bottom"/>
          </w:tcPr>
          <w:p w14:paraId="5F8A9CDC" w14:textId="77777777" w:rsidR="007355BA" w:rsidRPr="00E754AA" w:rsidRDefault="007355BA" w:rsidP="007355BA">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63B07B49" w14:textId="77777777" w:rsidR="007355BA" w:rsidRPr="00E754AA" w:rsidRDefault="007355BA" w:rsidP="007355BA">
            <w:pPr>
              <w:spacing w:before="40" w:after="40"/>
              <w:rPr>
                <w:sz w:val="17"/>
                <w:szCs w:val="17"/>
              </w:rPr>
            </w:pPr>
          </w:p>
        </w:tc>
        <w:tc>
          <w:tcPr>
            <w:tcW w:w="913" w:type="dxa"/>
            <w:vAlign w:val="bottom"/>
          </w:tcPr>
          <w:p w14:paraId="047697C9"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vAlign w:val="bottom"/>
          </w:tcPr>
          <w:p w14:paraId="54A99B96" w14:textId="77777777" w:rsidR="007355BA" w:rsidRPr="00E754AA" w:rsidRDefault="007355BA" w:rsidP="007355BA">
            <w:pPr>
              <w:spacing w:before="40" w:after="40"/>
              <w:rPr>
                <w:color w:val="000000"/>
                <w:sz w:val="17"/>
                <w:szCs w:val="17"/>
              </w:rPr>
            </w:pPr>
          </w:p>
        </w:tc>
        <w:tc>
          <w:tcPr>
            <w:tcW w:w="924" w:type="dxa"/>
            <w:vAlign w:val="bottom"/>
          </w:tcPr>
          <w:p w14:paraId="09C2B1B9" w14:textId="77777777" w:rsidR="007355BA" w:rsidRPr="00E754AA" w:rsidRDefault="00A51A9C" w:rsidP="007355BA">
            <w:pPr>
              <w:spacing w:before="40" w:after="40"/>
              <w:jc w:val="right"/>
              <w:rPr>
                <w:color w:val="000000"/>
                <w:sz w:val="17"/>
                <w:szCs w:val="17"/>
              </w:rPr>
            </w:pPr>
            <w:r>
              <w:rPr>
                <w:sz w:val="17"/>
              </w:rPr>
              <w:t>0.0</w:t>
            </w:r>
          </w:p>
        </w:tc>
        <w:tc>
          <w:tcPr>
            <w:tcW w:w="242" w:type="dxa"/>
            <w:vAlign w:val="bottom"/>
          </w:tcPr>
          <w:p w14:paraId="0D28ACB9" w14:textId="77777777" w:rsidR="007355BA" w:rsidRPr="00E754AA" w:rsidRDefault="007355BA" w:rsidP="007355BA">
            <w:pPr>
              <w:spacing w:before="40" w:after="40"/>
              <w:rPr>
                <w:color w:val="000000"/>
                <w:sz w:val="17"/>
                <w:szCs w:val="17"/>
              </w:rPr>
            </w:pPr>
          </w:p>
        </w:tc>
        <w:tc>
          <w:tcPr>
            <w:tcW w:w="924" w:type="dxa"/>
            <w:vAlign w:val="bottom"/>
          </w:tcPr>
          <w:p w14:paraId="6C76F69E"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2ADFFB31" w14:textId="77777777" w:rsidR="007355BA" w:rsidRPr="00E754AA" w:rsidRDefault="007355BA" w:rsidP="007355BA">
            <w:pPr>
              <w:spacing w:before="40" w:after="40"/>
              <w:rPr>
                <w:sz w:val="17"/>
                <w:szCs w:val="17"/>
              </w:rPr>
            </w:pPr>
          </w:p>
        </w:tc>
        <w:tc>
          <w:tcPr>
            <w:tcW w:w="924" w:type="dxa"/>
            <w:vAlign w:val="bottom"/>
          </w:tcPr>
          <w:p w14:paraId="6DB460F0" w14:textId="77777777" w:rsidR="007355BA" w:rsidRPr="00E754AA" w:rsidRDefault="007355BA" w:rsidP="007355BA">
            <w:pPr>
              <w:spacing w:before="40" w:after="40"/>
              <w:jc w:val="right"/>
              <w:rPr>
                <w:sz w:val="17"/>
                <w:szCs w:val="17"/>
              </w:rPr>
            </w:pPr>
            <w:r w:rsidRPr="00B02BA3">
              <w:rPr>
                <w:sz w:val="17"/>
              </w:rPr>
              <w:t>—</w:t>
            </w:r>
          </w:p>
        </w:tc>
        <w:tc>
          <w:tcPr>
            <w:tcW w:w="227" w:type="dxa"/>
            <w:vAlign w:val="bottom"/>
          </w:tcPr>
          <w:p w14:paraId="3BF7C4BC" w14:textId="77777777" w:rsidR="007355BA" w:rsidRPr="00E754AA" w:rsidRDefault="007355BA" w:rsidP="007355BA">
            <w:pPr>
              <w:spacing w:before="40" w:after="40"/>
              <w:rPr>
                <w:sz w:val="17"/>
                <w:szCs w:val="17"/>
              </w:rPr>
            </w:pPr>
          </w:p>
        </w:tc>
        <w:tc>
          <w:tcPr>
            <w:tcW w:w="939" w:type="dxa"/>
            <w:vAlign w:val="bottom"/>
          </w:tcPr>
          <w:p w14:paraId="2B43295B" w14:textId="77777777" w:rsidR="007355BA" w:rsidRPr="00E754AA" w:rsidRDefault="007355BA" w:rsidP="007355BA">
            <w:pPr>
              <w:spacing w:before="40" w:after="40"/>
              <w:jc w:val="right"/>
              <w:rPr>
                <w:sz w:val="17"/>
                <w:szCs w:val="17"/>
              </w:rPr>
            </w:pPr>
            <w:r w:rsidRPr="00B02BA3">
              <w:rPr>
                <w:sz w:val="17"/>
              </w:rPr>
              <w:t>—</w:t>
            </w:r>
          </w:p>
        </w:tc>
        <w:tc>
          <w:tcPr>
            <w:tcW w:w="266" w:type="dxa"/>
            <w:vAlign w:val="bottom"/>
          </w:tcPr>
          <w:p w14:paraId="4A963F5B" w14:textId="77777777" w:rsidR="007355BA" w:rsidRPr="000D2863" w:rsidRDefault="007355BA" w:rsidP="007355BA">
            <w:pPr>
              <w:spacing w:before="40" w:after="40"/>
              <w:rPr>
                <w:sz w:val="17"/>
                <w:szCs w:val="17"/>
              </w:rPr>
            </w:pPr>
          </w:p>
        </w:tc>
      </w:tr>
      <w:tr w:rsidR="007355BA" w:rsidRPr="00E834EF" w14:paraId="56ABBA90" w14:textId="77777777" w:rsidTr="007355BA">
        <w:tc>
          <w:tcPr>
            <w:tcW w:w="3254" w:type="dxa"/>
            <w:vAlign w:val="center"/>
          </w:tcPr>
          <w:p w14:paraId="5FFB88DD" w14:textId="77777777" w:rsidR="007355BA" w:rsidRPr="00E754AA" w:rsidRDefault="007355BA" w:rsidP="007355BA">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4FBE679E" w14:textId="77777777" w:rsidR="007355BA" w:rsidRPr="00E834EF" w:rsidRDefault="002313D8" w:rsidP="007355BA">
            <w:pPr>
              <w:spacing w:before="40" w:after="40"/>
              <w:rPr>
                <w:sz w:val="17"/>
                <w:szCs w:val="17"/>
              </w:rPr>
            </w:pPr>
            <w:r>
              <w:rPr>
                <w:sz w:val="17"/>
                <w:szCs w:val="17"/>
              </w:rPr>
              <w:t>)</w:t>
            </w:r>
          </w:p>
        </w:tc>
        <w:tc>
          <w:tcPr>
            <w:tcW w:w="913" w:type="dxa"/>
            <w:vAlign w:val="bottom"/>
          </w:tcPr>
          <w:p w14:paraId="5699FBD4" w14:textId="77777777" w:rsidR="007355BA" w:rsidRPr="00E754AA" w:rsidRDefault="007355BA" w:rsidP="007355BA">
            <w:pPr>
              <w:spacing w:before="40" w:after="40"/>
              <w:jc w:val="right"/>
              <w:rPr>
                <w:color w:val="000000"/>
                <w:sz w:val="17"/>
                <w:szCs w:val="17"/>
              </w:rPr>
            </w:pPr>
            <w:r>
              <w:rPr>
                <w:color w:val="000000"/>
                <w:sz w:val="17"/>
                <w:szCs w:val="17"/>
              </w:rPr>
              <w:t>(0.3</w:t>
            </w:r>
          </w:p>
        </w:tc>
        <w:tc>
          <w:tcPr>
            <w:tcW w:w="252" w:type="dxa"/>
            <w:gridSpan w:val="2"/>
            <w:vAlign w:val="bottom"/>
          </w:tcPr>
          <w:p w14:paraId="6C5ECF47" w14:textId="77777777" w:rsidR="007355BA" w:rsidRPr="00E754AA" w:rsidRDefault="007355BA" w:rsidP="007355BA">
            <w:pPr>
              <w:spacing w:before="40" w:after="40"/>
              <w:rPr>
                <w:color w:val="000000"/>
                <w:sz w:val="17"/>
                <w:szCs w:val="17"/>
              </w:rPr>
            </w:pPr>
            <w:r>
              <w:rPr>
                <w:color w:val="000000"/>
                <w:sz w:val="17"/>
                <w:szCs w:val="17"/>
              </w:rPr>
              <w:t>)</w:t>
            </w:r>
          </w:p>
        </w:tc>
        <w:tc>
          <w:tcPr>
            <w:tcW w:w="924" w:type="dxa"/>
            <w:vAlign w:val="bottom"/>
          </w:tcPr>
          <w:p w14:paraId="0C42B9C7" w14:textId="77777777" w:rsidR="007355BA" w:rsidRPr="00E754AA" w:rsidRDefault="007355BA" w:rsidP="007355BA">
            <w:pPr>
              <w:spacing w:before="40" w:after="40"/>
              <w:jc w:val="right"/>
              <w:rPr>
                <w:color w:val="000000"/>
                <w:sz w:val="17"/>
                <w:szCs w:val="17"/>
              </w:rPr>
            </w:pPr>
            <w:r>
              <w:rPr>
                <w:color w:val="000000"/>
                <w:sz w:val="17"/>
                <w:szCs w:val="17"/>
              </w:rPr>
              <w:t>(0.4</w:t>
            </w:r>
          </w:p>
        </w:tc>
        <w:tc>
          <w:tcPr>
            <w:tcW w:w="242" w:type="dxa"/>
            <w:vAlign w:val="bottom"/>
          </w:tcPr>
          <w:p w14:paraId="76DDB8D1" w14:textId="77777777" w:rsidR="007355BA" w:rsidRPr="00E754AA" w:rsidRDefault="007355BA" w:rsidP="007355BA">
            <w:pPr>
              <w:spacing w:before="40" w:after="40"/>
              <w:rPr>
                <w:color w:val="000000"/>
                <w:sz w:val="17"/>
                <w:szCs w:val="17"/>
              </w:rPr>
            </w:pPr>
            <w:r>
              <w:rPr>
                <w:color w:val="000000"/>
                <w:sz w:val="17"/>
                <w:szCs w:val="17"/>
              </w:rPr>
              <w:t>)</w:t>
            </w:r>
          </w:p>
        </w:tc>
        <w:tc>
          <w:tcPr>
            <w:tcW w:w="924" w:type="dxa"/>
            <w:vAlign w:val="bottom"/>
          </w:tcPr>
          <w:p w14:paraId="33082C9A" w14:textId="77777777" w:rsidR="007355BA" w:rsidRPr="00E754AA" w:rsidRDefault="007355BA" w:rsidP="007355BA">
            <w:pPr>
              <w:spacing w:before="40" w:after="40"/>
              <w:jc w:val="right"/>
              <w:rPr>
                <w:color w:val="000000"/>
                <w:sz w:val="17"/>
                <w:szCs w:val="17"/>
              </w:rPr>
            </w:pPr>
            <w:r>
              <w:rPr>
                <w:color w:val="000000"/>
                <w:sz w:val="17"/>
                <w:szCs w:val="17"/>
              </w:rPr>
              <w:t>(0.5</w:t>
            </w:r>
          </w:p>
        </w:tc>
        <w:tc>
          <w:tcPr>
            <w:tcW w:w="242" w:type="dxa"/>
            <w:vAlign w:val="bottom"/>
          </w:tcPr>
          <w:p w14:paraId="5BA3E164" w14:textId="77777777" w:rsidR="007355BA" w:rsidRPr="00E754AA" w:rsidRDefault="007355BA" w:rsidP="007355BA">
            <w:pPr>
              <w:spacing w:before="40" w:after="40"/>
              <w:rPr>
                <w:sz w:val="17"/>
                <w:szCs w:val="17"/>
              </w:rPr>
            </w:pPr>
            <w:r>
              <w:rPr>
                <w:sz w:val="17"/>
                <w:szCs w:val="17"/>
              </w:rPr>
              <w:t>)</w:t>
            </w:r>
          </w:p>
        </w:tc>
        <w:tc>
          <w:tcPr>
            <w:tcW w:w="924" w:type="dxa"/>
            <w:vAlign w:val="bottom"/>
          </w:tcPr>
          <w:p w14:paraId="390AA42D" w14:textId="77777777" w:rsidR="007355BA" w:rsidRPr="00E754AA" w:rsidRDefault="007355BA" w:rsidP="007355BA">
            <w:pPr>
              <w:spacing w:before="40" w:after="40"/>
              <w:jc w:val="right"/>
              <w:rPr>
                <w:sz w:val="17"/>
                <w:szCs w:val="17"/>
              </w:rPr>
            </w:pPr>
            <w:r>
              <w:rPr>
                <w:sz w:val="17"/>
                <w:szCs w:val="17"/>
              </w:rPr>
              <w:t>(0.3</w:t>
            </w:r>
          </w:p>
        </w:tc>
        <w:tc>
          <w:tcPr>
            <w:tcW w:w="227" w:type="dxa"/>
            <w:vAlign w:val="bottom"/>
          </w:tcPr>
          <w:p w14:paraId="68492CEF" w14:textId="77777777" w:rsidR="007355BA" w:rsidRPr="00E754AA" w:rsidRDefault="007355BA" w:rsidP="007355BA">
            <w:pPr>
              <w:spacing w:before="40" w:after="40"/>
              <w:rPr>
                <w:sz w:val="17"/>
                <w:szCs w:val="17"/>
              </w:rPr>
            </w:pPr>
            <w:r>
              <w:rPr>
                <w:sz w:val="17"/>
                <w:szCs w:val="17"/>
              </w:rPr>
              <w:t>)</w:t>
            </w:r>
          </w:p>
        </w:tc>
        <w:tc>
          <w:tcPr>
            <w:tcW w:w="939" w:type="dxa"/>
            <w:vAlign w:val="bottom"/>
          </w:tcPr>
          <w:p w14:paraId="5A4DBDD1" w14:textId="77777777" w:rsidR="007355BA" w:rsidRPr="00E754AA" w:rsidRDefault="007355BA" w:rsidP="007355BA">
            <w:pPr>
              <w:spacing w:before="40" w:after="40"/>
              <w:jc w:val="right"/>
              <w:rPr>
                <w:sz w:val="17"/>
                <w:szCs w:val="17"/>
              </w:rPr>
            </w:pPr>
            <w:r>
              <w:rPr>
                <w:sz w:val="17"/>
                <w:szCs w:val="17"/>
              </w:rPr>
              <w:t>(0.3</w:t>
            </w:r>
          </w:p>
        </w:tc>
        <w:tc>
          <w:tcPr>
            <w:tcW w:w="266" w:type="dxa"/>
            <w:vAlign w:val="bottom"/>
          </w:tcPr>
          <w:p w14:paraId="7377D177" w14:textId="77777777" w:rsidR="007355BA" w:rsidRPr="000D2863" w:rsidRDefault="007355BA" w:rsidP="007355BA">
            <w:pPr>
              <w:spacing w:before="40" w:after="40"/>
              <w:rPr>
                <w:sz w:val="17"/>
                <w:szCs w:val="17"/>
              </w:rPr>
            </w:pPr>
          </w:p>
        </w:tc>
      </w:tr>
      <w:tr w:rsidR="007355BA" w:rsidRPr="00E834EF" w14:paraId="6E204D12" w14:textId="77777777" w:rsidTr="007355BA">
        <w:tc>
          <w:tcPr>
            <w:tcW w:w="3254" w:type="dxa"/>
            <w:vAlign w:val="center"/>
          </w:tcPr>
          <w:p w14:paraId="15211BBA" w14:textId="77777777" w:rsidR="007355BA" w:rsidRPr="00CF5E34" w:rsidRDefault="007355BA" w:rsidP="007355BA">
            <w:pPr>
              <w:tabs>
                <w:tab w:val="right" w:leader="dot" w:pos="3255"/>
              </w:tabs>
              <w:bidi/>
              <w:spacing w:before="40" w:after="40"/>
              <w:ind w:left="357"/>
              <w:rPr>
                <w:color w:val="000000"/>
                <w:sz w:val="17"/>
                <w:szCs w:val="17"/>
              </w:rPr>
            </w:pPr>
            <w:r w:rsidRPr="00CF5E34">
              <w:rPr>
                <w:rFonts w:hint="eastAsia"/>
                <w:color w:val="000000"/>
                <w:sz w:val="17"/>
                <w:szCs w:val="17"/>
                <w:rtl/>
              </w:rPr>
              <w:t>المصروفات</w:t>
            </w:r>
            <w:r w:rsidRPr="00CF5E34">
              <w:rPr>
                <w:color w:val="000000"/>
                <w:sz w:val="17"/>
                <w:szCs w:val="17"/>
                <w:rtl/>
              </w:rPr>
              <w:t xml:space="preserve"> </w:t>
            </w:r>
            <w:r w:rsidRPr="00CF5E34">
              <w:rPr>
                <w:rFonts w:hint="eastAsia"/>
                <w:color w:val="000000"/>
                <w:sz w:val="17"/>
                <w:szCs w:val="17"/>
                <w:rtl/>
              </w:rPr>
              <w:t>العامة</w:t>
            </w:r>
            <w:r w:rsidRPr="00CF5E34">
              <w:rPr>
                <w:color w:val="000000"/>
                <w:sz w:val="17"/>
                <w:szCs w:val="17"/>
                <w:rtl/>
              </w:rPr>
              <w:t xml:space="preserve"> </w:t>
            </w:r>
            <w:r w:rsidRPr="00CF5E34">
              <w:rPr>
                <w:rFonts w:hint="eastAsia"/>
                <w:color w:val="000000"/>
                <w:sz w:val="17"/>
                <w:szCs w:val="17"/>
                <w:rtl/>
              </w:rPr>
              <w:t>والإدارية</w:t>
            </w:r>
            <w:r w:rsidRPr="00CF5E34">
              <w:rPr>
                <w:sz w:val="17"/>
              </w:rPr>
              <w:tab/>
            </w:r>
          </w:p>
        </w:tc>
        <w:tc>
          <w:tcPr>
            <w:tcW w:w="242" w:type="dxa"/>
            <w:vAlign w:val="bottom"/>
          </w:tcPr>
          <w:p w14:paraId="32317A40" w14:textId="77777777" w:rsidR="007355BA" w:rsidRPr="00CF5E34" w:rsidRDefault="007355BA" w:rsidP="007355BA">
            <w:pPr>
              <w:spacing w:before="40" w:after="40"/>
              <w:rPr>
                <w:sz w:val="17"/>
                <w:szCs w:val="17"/>
              </w:rPr>
            </w:pPr>
          </w:p>
        </w:tc>
        <w:tc>
          <w:tcPr>
            <w:tcW w:w="913" w:type="dxa"/>
            <w:vAlign w:val="bottom"/>
          </w:tcPr>
          <w:p w14:paraId="2F2BAE43" w14:textId="77777777" w:rsidR="007355BA" w:rsidRPr="00CF5E34" w:rsidRDefault="00CE7E09" w:rsidP="007355BA">
            <w:pPr>
              <w:spacing w:before="40" w:after="40"/>
              <w:jc w:val="right"/>
              <w:rPr>
                <w:color w:val="000000"/>
                <w:sz w:val="17"/>
                <w:szCs w:val="17"/>
              </w:rPr>
            </w:pPr>
            <w:r w:rsidRPr="003832A3">
              <w:rPr>
                <w:sz w:val="17"/>
              </w:rPr>
              <w:t>(0.0)</w:t>
            </w:r>
          </w:p>
        </w:tc>
        <w:tc>
          <w:tcPr>
            <w:tcW w:w="252" w:type="dxa"/>
            <w:gridSpan w:val="2"/>
            <w:vAlign w:val="bottom"/>
          </w:tcPr>
          <w:p w14:paraId="39C8FEFB" w14:textId="77777777" w:rsidR="007355BA" w:rsidRPr="00CF5E34" w:rsidRDefault="007355BA" w:rsidP="007355BA">
            <w:pPr>
              <w:spacing w:before="40" w:after="40"/>
              <w:rPr>
                <w:color w:val="000000"/>
                <w:sz w:val="17"/>
                <w:szCs w:val="17"/>
              </w:rPr>
            </w:pPr>
          </w:p>
        </w:tc>
        <w:tc>
          <w:tcPr>
            <w:tcW w:w="924" w:type="dxa"/>
            <w:vAlign w:val="bottom"/>
          </w:tcPr>
          <w:p w14:paraId="6EEAB753" w14:textId="77777777" w:rsidR="007355BA" w:rsidRPr="00CF5E34" w:rsidRDefault="00CE7E09" w:rsidP="007355BA">
            <w:pPr>
              <w:spacing w:before="40" w:after="40"/>
              <w:jc w:val="right"/>
              <w:rPr>
                <w:color w:val="000000"/>
                <w:sz w:val="17"/>
                <w:szCs w:val="17"/>
              </w:rPr>
            </w:pPr>
            <w:r w:rsidRPr="003832A3">
              <w:rPr>
                <w:sz w:val="17"/>
              </w:rPr>
              <w:t>(0.0)</w:t>
            </w:r>
          </w:p>
        </w:tc>
        <w:tc>
          <w:tcPr>
            <w:tcW w:w="242" w:type="dxa"/>
            <w:vAlign w:val="bottom"/>
          </w:tcPr>
          <w:p w14:paraId="3D87EAAE" w14:textId="77777777" w:rsidR="007355BA" w:rsidRPr="00CF5E34" w:rsidRDefault="007355BA" w:rsidP="007355BA">
            <w:pPr>
              <w:spacing w:before="40" w:after="40"/>
              <w:rPr>
                <w:color w:val="000000"/>
                <w:sz w:val="17"/>
                <w:szCs w:val="17"/>
              </w:rPr>
            </w:pPr>
          </w:p>
        </w:tc>
        <w:tc>
          <w:tcPr>
            <w:tcW w:w="924" w:type="dxa"/>
            <w:vAlign w:val="bottom"/>
          </w:tcPr>
          <w:p w14:paraId="2242F50C" w14:textId="77777777" w:rsidR="007355BA" w:rsidRPr="00CF5E34" w:rsidRDefault="00CE7E09" w:rsidP="007355BA">
            <w:pPr>
              <w:spacing w:before="40" w:after="40"/>
              <w:jc w:val="right"/>
              <w:rPr>
                <w:color w:val="000000"/>
                <w:sz w:val="17"/>
                <w:szCs w:val="17"/>
              </w:rPr>
            </w:pPr>
            <w:r w:rsidRPr="003832A3">
              <w:rPr>
                <w:sz w:val="17"/>
              </w:rPr>
              <w:t>(0.0)</w:t>
            </w:r>
          </w:p>
        </w:tc>
        <w:tc>
          <w:tcPr>
            <w:tcW w:w="242" w:type="dxa"/>
            <w:vAlign w:val="bottom"/>
          </w:tcPr>
          <w:p w14:paraId="7DBF8D0C" w14:textId="77777777" w:rsidR="007355BA" w:rsidRPr="00CF5E34" w:rsidRDefault="007355BA" w:rsidP="007355BA">
            <w:pPr>
              <w:spacing w:before="40" w:after="40"/>
              <w:rPr>
                <w:sz w:val="17"/>
                <w:szCs w:val="17"/>
              </w:rPr>
            </w:pPr>
          </w:p>
        </w:tc>
        <w:tc>
          <w:tcPr>
            <w:tcW w:w="924" w:type="dxa"/>
            <w:vAlign w:val="bottom"/>
          </w:tcPr>
          <w:p w14:paraId="3892EE56" w14:textId="77777777" w:rsidR="007355BA" w:rsidRPr="00CF5E34" w:rsidRDefault="00CE7E09" w:rsidP="007355BA">
            <w:pPr>
              <w:spacing w:before="40" w:after="40"/>
              <w:jc w:val="right"/>
              <w:rPr>
                <w:sz w:val="17"/>
                <w:szCs w:val="17"/>
              </w:rPr>
            </w:pPr>
            <w:r w:rsidRPr="003832A3">
              <w:rPr>
                <w:sz w:val="17"/>
              </w:rPr>
              <w:t>(0.0)</w:t>
            </w:r>
          </w:p>
        </w:tc>
        <w:tc>
          <w:tcPr>
            <w:tcW w:w="227" w:type="dxa"/>
            <w:vAlign w:val="bottom"/>
          </w:tcPr>
          <w:p w14:paraId="77CE1F26" w14:textId="77777777" w:rsidR="007355BA" w:rsidRPr="00CF5E34" w:rsidRDefault="007355BA" w:rsidP="007355BA">
            <w:pPr>
              <w:spacing w:before="40" w:after="40"/>
              <w:rPr>
                <w:sz w:val="17"/>
                <w:szCs w:val="17"/>
              </w:rPr>
            </w:pPr>
          </w:p>
        </w:tc>
        <w:tc>
          <w:tcPr>
            <w:tcW w:w="939" w:type="dxa"/>
            <w:vAlign w:val="bottom"/>
          </w:tcPr>
          <w:p w14:paraId="398DE0B4" w14:textId="77777777" w:rsidR="007355BA" w:rsidRPr="00CF5E34" w:rsidRDefault="00CE7E09" w:rsidP="007355BA">
            <w:pPr>
              <w:spacing w:before="40" w:after="40"/>
              <w:jc w:val="right"/>
              <w:rPr>
                <w:sz w:val="17"/>
                <w:szCs w:val="17"/>
              </w:rPr>
            </w:pPr>
            <w:r w:rsidRPr="003832A3">
              <w:rPr>
                <w:sz w:val="17"/>
              </w:rPr>
              <w:t>(0.0)</w:t>
            </w:r>
          </w:p>
        </w:tc>
        <w:tc>
          <w:tcPr>
            <w:tcW w:w="266" w:type="dxa"/>
            <w:vAlign w:val="bottom"/>
          </w:tcPr>
          <w:p w14:paraId="12F22273" w14:textId="77777777" w:rsidR="007355BA" w:rsidRPr="000D2863" w:rsidRDefault="007355BA" w:rsidP="007355BA">
            <w:pPr>
              <w:spacing w:before="40" w:after="40"/>
              <w:rPr>
                <w:sz w:val="17"/>
                <w:szCs w:val="17"/>
              </w:rPr>
            </w:pPr>
          </w:p>
        </w:tc>
      </w:tr>
      <w:tr w:rsidR="007355BA" w:rsidRPr="00E834EF" w14:paraId="5DE3983C" w14:textId="77777777" w:rsidTr="007355BA">
        <w:tc>
          <w:tcPr>
            <w:tcW w:w="3254" w:type="dxa"/>
            <w:vAlign w:val="center"/>
          </w:tcPr>
          <w:p w14:paraId="6839ADB0" w14:textId="77777777" w:rsidR="007355BA" w:rsidRPr="00CF5E34" w:rsidRDefault="007355BA" w:rsidP="007355BA">
            <w:pPr>
              <w:tabs>
                <w:tab w:val="right" w:leader="dot" w:pos="3255"/>
              </w:tabs>
              <w:bidi/>
              <w:spacing w:before="40" w:after="40"/>
              <w:ind w:left="357"/>
              <w:rPr>
                <w:color w:val="000000"/>
                <w:sz w:val="17"/>
                <w:szCs w:val="17"/>
              </w:rPr>
            </w:pPr>
            <w:r w:rsidRPr="00CF5E34">
              <w:rPr>
                <w:rFonts w:hint="eastAsia"/>
                <w:color w:val="000000"/>
                <w:sz w:val="17"/>
                <w:szCs w:val="17"/>
                <w:rtl/>
              </w:rPr>
              <w:t>خسارة</w:t>
            </w:r>
            <w:r w:rsidRPr="00CF5E34">
              <w:rPr>
                <w:color w:val="000000"/>
                <w:sz w:val="17"/>
                <w:szCs w:val="17"/>
                <w:rtl/>
              </w:rPr>
              <w:t xml:space="preserve"> </w:t>
            </w:r>
            <w:r w:rsidRPr="00CF5E34">
              <w:rPr>
                <w:rFonts w:hint="eastAsia"/>
                <w:color w:val="000000"/>
                <w:sz w:val="17"/>
                <w:szCs w:val="17"/>
                <w:rtl/>
              </w:rPr>
              <w:t>انخفاض</w:t>
            </w:r>
            <w:r w:rsidRPr="00CF5E34">
              <w:rPr>
                <w:color w:val="000000"/>
                <w:sz w:val="17"/>
                <w:szCs w:val="17"/>
                <w:rtl/>
              </w:rPr>
              <w:t xml:space="preserve"> </w:t>
            </w:r>
            <w:r w:rsidRPr="00CF5E34">
              <w:rPr>
                <w:rFonts w:hint="eastAsia"/>
                <w:color w:val="000000"/>
                <w:sz w:val="17"/>
                <w:szCs w:val="17"/>
                <w:rtl/>
              </w:rPr>
              <w:t>القيمة</w:t>
            </w:r>
            <w:r w:rsidRPr="00CF5E34">
              <w:rPr>
                <w:color w:val="000000"/>
                <w:sz w:val="17"/>
                <w:szCs w:val="17"/>
                <w:rtl/>
              </w:rPr>
              <w:t xml:space="preserve"> </w:t>
            </w:r>
            <w:r w:rsidRPr="00CF5E34">
              <w:rPr>
                <w:rFonts w:hint="eastAsia"/>
                <w:color w:val="000000"/>
                <w:sz w:val="17"/>
                <w:szCs w:val="17"/>
                <w:rtl/>
              </w:rPr>
              <w:t>على</w:t>
            </w:r>
            <w:r w:rsidRPr="00CF5E34">
              <w:rPr>
                <w:color w:val="000000"/>
                <w:sz w:val="17"/>
                <w:szCs w:val="17"/>
                <w:rtl/>
              </w:rPr>
              <w:t xml:space="preserve"> </w:t>
            </w:r>
            <w:r w:rsidRPr="00CF5E34">
              <w:rPr>
                <w:rFonts w:hint="eastAsia"/>
                <w:color w:val="000000"/>
                <w:sz w:val="17"/>
                <w:szCs w:val="17"/>
                <w:rtl/>
              </w:rPr>
              <w:t>حق</w:t>
            </w:r>
            <w:r w:rsidRPr="00CF5E34">
              <w:rPr>
                <w:color w:val="000000"/>
                <w:sz w:val="17"/>
                <w:szCs w:val="17"/>
                <w:rtl/>
              </w:rPr>
              <w:t xml:space="preserve"> </w:t>
            </w:r>
            <w:r w:rsidRPr="00CF5E34">
              <w:rPr>
                <w:rFonts w:hint="eastAsia"/>
                <w:color w:val="000000"/>
                <w:sz w:val="17"/>
                <w:szCs w:val="17"/>
                <w:rtl/>
              </w:rPr>
              <w:t>استخدام</w:t>
            </w:r>
            <w:r w:rsidRPr="00CF5E34">
              <w:rPr>
                <w:color w:val="000000"/>
                <w:sz w:val="17"/>
                <w:szCs w:val="17"/>
                <w:rtl/>
              </w:rPr>
              <w:t xml:space="preserve"> </w:t>
            </w:r>
            <w:r w:rsidRPr="00CF5E34">
              <w:rPr>
                <w:rFonts w:hint="eastAsia"/>
                <w:color w:val="000000"/>
                <w:sz w:val="17"/>
                <w:szCs w:val="17"/>
                <w:rtl/>
              </w:rPr>
              <w:t>الأصول</w:t>
            </w:r>
            <w:r w:rsidRPr="00CF5E34">
              <w:rPr>
                <w:sz w:val="17"/>
              </w:rPr>
              <w:tab/>
            </w:r>
          </w:p>
        </w:tc>
        <w:tc>
          <w:tcPr>
            <w:tcW w:w="242" w:type="dxa"/>
            <w:vAlign w:val="bottom"/>
          </w:tcPr>
          <w:p w14:paraId="07C92669" w14:textId="77777777" w:rsidR="007355BA" w:rsidRPr="00CF5E34" w:rsidRDefault="007355BA" w:rsidP="007355BA">
            <w:pPr>
              <w:spacing w:before="40" w:after="40"/>
              <w:rPr>
                <w:sz w:val="17"/>
                <w:szCs w:val="17"/>
              </w:rPr>
            </w:pPr>
          </w:p>
        </w:tc>
        <w:tc>
          <w:tcPr>
            <w:tcW w:w="913" w:type="dxa"/>
            <w:vAlign w:val="bottom"/>
          </w:tcPr>
          <w:p w14:paraId="4AD34C15" w14:textId="77777777" w:rsidR="007355BA" w:rsidRPr="00CF5E34" w:rsidRDefault="007355BA" w:rsidP="007355BA">
            <w:pPr>
              <w:spacing w:before="40" w:after="40"/>
              <w:jc w:val="right"/>
              <w:rPr>
                <w:color w:val="000000"/>
                <w:sz w:val="17"/>
                <w:szCs w:val="17"/>
              </w:rPr>
            </w:pPr>
            <w:r w:rsidRPr="00CF5E34">
              <w:rPr>
                <w:sz w:val="17"/>
              </w:rPr>
              <w:t>—</w:t>
            </w:r>
          </w:p>
        </w:tc>
        <w:tc>
          <w:tcPr>
            <w:tcW w:w="252" w:type="dxa"/>
            <w:gridSpan w:val="2"/>
            <w:vAlign w:val="bottom"/>
          </w:tcPr>
          <w:p w14:paraId="271A957A" w14:textId="77777777" w:rsidR="007355BA" w:rsidRPr="00CF5E34" w:rsidRDefault="007355BA" w:rsidP="007355BA">
            <w:pPr>
              <w:spacing w:before="40" w:after="40"/>
              <w:rPr>
                <w:color w:val="000000"/>
                <w:sz w:val="17"/>
                <w:szCs w:val="17"/>
              </w:rPr>
            </w:pPr>
          </w:p>
        </w:tc>
        <w:tc>
          <w:tcPr>
            <w:tcW w:w="924" w:type="dxa"/>
            <w:vAlign w:val="bottom"/>
          </w:tcPr>
          <w:p w14:paraId="41E5269D" w14:textId="77777777" w:rsidR="007355BA" w:rsidRPr="00CF5E34" w:rsidRDefault="007355BA" w:rsidP="007355BA">
            <w:pPr>
              <w:spacing w:before="40" w:after="40"/>
              <w:jc w:val="right"/>
              <w:rPr>
                <w:color w:val="000000"/>
                <w:sz w:val="17"/>
                <w:szCs w:val="17"/>
              </w:rPr>
            </w:pPr>
            <w:r w:rsidRPr="00CF5E34">
              <w:rPr>
                <w:sz w:val="17"/>
              </w:rPr>
              <w:t>—</w:t>
            </w:r>
          </w:p>
        </w:tc>
        <w:tc>
          <w:tcPr>
            <w:tcW w:w="242" w:type="dxa"/>
            <w:vAlign w:val="bottom"/>
          </w:tcPr>
          <w:p w14:paraId="0F071ED8" w14:textId="77777777" w:rsidR="007355BA" w:rsidRPr="00CF5E34" w:rsidRDefault="007355BA" w:rsidP="007355BA">
            <w:pPr>
              <w:spacing w:before="40" w:after="40"/>
              <w:rPr>
                <w:color w:val="000000"/>
                <w:sz w:val="17"/>
                <w:szCs w:val="17"/>
              </w:rPr>
            </w:pPr>
          </w:p>
        </w:tc>
        <w:tc>
          <w:tcPr>
            <w:tcW w:w="924" w:type="dxa"/>
            <w:vAlign w:val="bottom"/>
          </w:tcPr>
          <w:p w14:paraId="1F36F4BA" w14:textId="77777777" w:rsidR="007355BA" w:rsidRPr="00CF5E34" w:rsidRDefault="007355BA" w:rsidP="007355BA">
            <w:pPr>
              <w:spacing w:before="40" w:after="40"/>
              <w:jc w:val="right"/>
              <w:rPr>
                <w:color w:val="000000"/>
                <w:sz w:val="17"/>
                <w:szCs w:val="17"/>
              </w:rPr>
            </w:pPr>
            <w:r w:rsidRPr="00CF5E34">
              <w:rPr>
                <w:sz w:val="17"/>
              </w:rPr>
              <w:t>—</w:t>
            </w:r>
          </w:p>
        </w:tc>
        <w:tc>
          <w:tcPr>
            <w:tcW w:w="242" w:type="dxa"/>
            <w:vAlign w:val="bottom"/>
          </w:tcPr>
          <w:p w14:paraId="1A573626" w14:textId="77777777" w:rsidR="007355BA" w:rsidRPr="00CF5E34" w:rsidRDefault="007355BA" w:rsidP="007355BA">
            <w:pPr>
              <w:spacing w:before="40" w:after="40"/>
              <w:rPr>
                <w:sz w:val="17"/>
                <w:szCs w:val="17"/>
              </w:rPr>
            </w:pPr>
          </w:p>
        </w:tc>
        <w:tc>
          <w:tcPr>
            <w:tcW w:w="924" w:type="dxa"/>
            <w:vAlign w:val="bottom"/>
          </w:tcPr>
          <w:p w14:paraId="1EC51A96" w14:textId="77777777" w:rsidR="007355BA" w:rsidRPr="00CF5E34" w:rsidRDefault="007355BA" w:rsidP="007355BA">
            <w:pPr>
              <w:spacing w:before="40" w:after="40"/>
              <w:jc w:val="right"/>
              <w:rPr>
                <w:sz w:val="17"/>
                <w:szCs w:val="17"/>
              </w:rPr>
            </w:pPr>
            <w:r w:rsidRPr="00CF5E34">
              <w:rPr>
                <w:sz w:val="17"/>
              </w:rPr>
              <w:t>—</w:t>
            </w:r>
          </w:p>
        </w:tc>
        <w:tc>
          <w:tcPr>
            <w:tcW w:w="227" w:type="dxa"/>
            <w:vAlign w:val="bottom"/>
          </w:tcPr>
          <w:p w14:paraId="0A99AA9D" w14:textId="77777777" w:rsidR="007355BA" w:rsidRPr="00CF5E34" w:rsidRDefault="007355BA" w:rsidP="007355BA">
            <w:pPr>
              <w:spacing w:before="40" w:after="40"/>
              <w:rPr>
                <w:sz w:val="17"/>
                <w:szCs w:val="17"/>
              </w:rPr>
            </w:pPr>
          </w:p>
        </w:tc>
        <w:tc>
          <w:tcPr>
            <w:tcW w:w="939" w:type="dxa"/>
            <w:vAlign w:val="bottom"/>
          </w:tcPr>
          <w:p w14:paraId="4432EC67" w14:textId="77777777" w:rsidR="007355BA" w:rsidRPr="00CF5E34" w:rsidRDefault="007355BA" w:rsidP="007355BA">
            <w:pPr>
              <w:spacing w:before="40" w:after="40"/>
              <w:jc w:val="right"/>
              <w:rPr>
                <w:sz w:val="17"/>
                <w:szCs w:val="17"/>
              </w:rPr>
            </w:pPr>
            <w:r w:rsidRPr="00CF5E34">
              <w:rPr>
                <w:sz w:val="17"/>
              </w:rPr>
              <w:t>—</w:t>
            </w:r>
          </w:p>
        </w:tc>
        <w:tc>
          <w:tcPr>
            <w:tcW w:w="266" w:type="dxa"/>
            <w:vAlign w:val="bottom"/>
          </w:tcPr>
          <w:p w14:paraId="70A3FB10" w14:textId="77777777" w:rsidR="007355BA" w:rsidRPr="000D2863" w:rsidRDefault="007355BA" w:rsidP="007355BA">
            <w:pPr>
              <w:spacing w:before="40" w:after="40"/>
              <w:rPr>
                <w:sz w:val="17"/>
                <w:szCs w:val="17"/>
              </w:rPr>
            </w:pPr>
          </w:p>
        </w:tc>
      </w:tr>
      <w:tr w:rsidR="007355BA" w:rsidRPr="00E834EF" w14:paraId="63D0F413" w14:textId="77777777" w:rsidTr="007355BA">
        <w:tc>
          <w:tcPr>
            <w:tcW w:w="3254" w:type="dxa"/>
            <w:vAlign w:val="center"/>
          </w:tcPr>
          <w:p w14:paraId="7F5426B6" w14:textId="77777777" w:rsidR="007355BA" w:rsidRPr="00CF5E34" w:rsidRDefault="007355BA" w:rsidP="007355BA">
            <w:pPr>
              <w:tabs>
                <w:tab w:val="right" w:leader="dot" w:pos="3255"/>
              </w:tabs>
              <w:bidi/>
              <w:spacing w:before="40" w:after="40"/>
              <w:ind w:left="357"/>
              <w:rPr>
                <w:color w:val="000000"/>
                <w:sz w:val="17"/>
                <w:szCs w:val="17"/>
              </w:rPr>
            </w:pPr>
            <w:r w:rsidRPr="00CF5E34">
              <w:rPr>
                <w:rFonts w:hint="eastAsia"/>
                <w:color w:val="000000"/>
                <w:sz w:val="17"/>
                <w:szCs w:val="17"/>
                <w:rtl/>
              </w:rPr>
              <w:t>الإهلاك</w:t>
            </w:r>
            <w:r w:rsidRPr="00CF5E34">
              <w:rPr>
                <w:sz w:val="17"/>
              </w:rPr>
              <w:tab/>
            </w:r>
          </w:p>
        </w:tc>
        <w:tc>
          <w:tcPr>
            <w:tcW w:w="242" w:type="dxa"/>
            <w:vAlign w:val="bottom"/>
          </w:tcPr>
          <w:p w14:paraId="5A5E0A0E" w14:textId="77777777" w:rsidR="007355BA" w:rsidRPr="00CF5E34" w:rsidRDefault="007355BA" w:rsidP="007355BA">
            <w:pPr>
              <w:spacing w:before="40" w:after="40"/>
              <w:rPr>
                <w:sz w:val="17"/>
                <w:szCs w:val="17"/>
              </w:rPr>
            </w:pPr>
          </w:p>
        </w:tc>
        <w:tc>
          <w:tcPr>
            <w:tcW w:w="913" w:type="dxa"/>
            <w:tcBorders>
              <w:bottom w:val="single" w:sz="4" w:space="0" w:color="auto"/>
            </w:tcBorders>
            <w:vAlign w:val="bottom"/>
          </w:tcPr>
          <w:p w14:paraId="64B49154" w14:textId="77777777" w:rsidR="007355BA" w:rsidRPr="00CF5E34" w:rsidRDefault="007355BA" w:rsidP="007355BA">
            <w:pPr>
              <w:spacing w:before="40" w:after="40"/>
              <w:jc w:val="right"/>
              <w:rPr>
                <w:color w:val="000000"/>
                <w:sz w:val="17"/>
                <w:szCs w:val="17"/>
              </w:rPr>
            </w:pPr>
            <w:r w:rsidRPr="00CF5E34">
              <w:rPr>
                <w:color w:val="000000"/>
                <w:sz w:val="17"/>
                <w:szCs w:val="17"/>
              </w:rPr>
              <w:t>31.3</w:t>
            </w:r>
          </w:p>
        </w:tc>
        <w:tc>
          <w:tcPr>
            <w:tcW w:w="252" w:type="dxa"/>
            <w:gridSpan w:val="2"/>
            <w:vAlign w:val="bottom"/>
          </w:tcPr>
          <w:p w14:paraId="7E381FF9" w14:textId="77777777" w:rsidR="007355BA" w:rsidRPr="00CF5E34" w:rsidRDefault="007355BA" w:rsidP="007355BA">
            <w:pPr>
              <w:spacing w:before="40" w:after="40"/>
              <w:rPr>
                <w:color w:val="000000"/>
                <w:sz w:val="17"/>
                <w:szCs w:val="17"/>
              </w:rPr>
            </w:pPr>
          </w:p>
        </w:tc>
        <w:tc>
          <w:tcPr>
            <w:tcW w:w="924" w:type="dxa"/>
            <w:tcBorders>
              <w:bottom w:val="single" w:sz="4" w:space="0" w:color="auto"/>
            </w:tcBorders>
            <w:vAlign w:val="bottom"/>
          </w:tcPr>
          <w:p w14:paraId="4A2F9934" w14:textId="77777777" w:rsidR="007355BA" w:rsidRPr="00CF5E34" w:rsidRDefault="00CE7E09" w:rsidP="007355BA">
            <w:pPr>
              <w:spacing w:before="40" w:after="40"/>
              <w:jc w:val="right"/>
              <w:rPr>
                <w:color w:val="000000"/>
                <w:sz w:val="17"/>
                <w:szCs w:val="17"/>
              </w:rPr>
            </w:pPr>
            <w:r w:rsidRPr="003832A3">
              <w:rPr>
                <w:color w:val="000000"/>
                <w:sz w:val="17"/>
                <w:szCs w:val="17"/>
              </w:rPr>
              <w:t>31.9</w:t>
            </w:r>
          </w:p>
        </w:tc>
        <w:tc>
          <w:tcPr>
            <w:tcW w:w="242" w:type="dxa"/>
            <w:vAlign w:val="bottom"/>
          </w:tcPr>
          <w:p w14:paraId="1F154293" w14:textId="77777777" w:rsidR="007355BA" w:rsidRPr="00CF5E34" w:rsidRDefault="007355BA" w:rsidP="007355BA">
            <w:pPr>
              <w:spacing w:before="40" w:after="40"/>
              <w:rPr>
                <w:color w:val="000000"/>
                <w:sz w:val="17"/>
                <w:szCs w:val="17"/>
              </w:rPr>
            </w:pPr>
          </w:p>
        </w:tc>
        <w:tc>
          <w:tcPr>
            <w:tcW w:w="924" w:type="dxa"/>
            <w:tcBorders>
              <w:bottom w:val="single" w:sz="4" w:space="0" w:color="auto"/>
            </w:tcBorders>
            <w:vAlign w:val="bottom"/>
          </w:tcPr>
          <w:p w14:paraId="0DA7BD59" w14:textId="77777777" w:rsidR="007355BA" w:rsidRPr="00CF5E34" w:rsidRDefault="007355BA" w:rsidP="007355BA">
            <w:pPr>
              <w:spacing w:before="40" w:after="40"/>
              <w:jc w:val="right"/>
              <w:rPr>
                <w:color w:val="000000"/>
                <w:sz w:val="17"/>
                <w:szCs w:val="17"/>
              </w:rPr>
            </w:pPr>
            <w:r w:rsidRPr="00CF5E34">
              <w:rPr>
                <w:color w:val="000000"/>
                <w:sz w:val="17"/>
                <w:szCs w:val="17"/>
              </w:rPr>
              <w:t>32.7</w:t>
            </w:r>
          </w:p>
        </w:tc>
        <w:tc>
          <w:tcPr>
            <w:tcW w:w="242" w:type="dxa"/>
            <w:vAlign w:val="bottom"/>
          </w:tcPr>
          <w:p w14:paraId="7717BECB" w14:textId="77777777" w:rsidR="007355BA" w:rsidRPr="00CF5E34" w:rsidRDefault="007355BA" w:rsidP="007355BA">
            <w:pPr>
              <w:spacing w:before="40" w:after="40"/>
              <w:rPr>
                <w:sz w:val="17"/>
                <w:szCs w:val="17"/>
              </w:rPr>
            </w:pPr>
          </w:p>
        </w:tc>
        <w:tc>
          <w:tcPr>
            <w:tcW w:w="924" w:type="dxa"/>
            <w:tcBorders>
              <w:bottom w:val="single" w:sz="4" w:space="0" w:color="auto"/>
            </w:tcBorders>
            <w:vAlign w:val="bottom"/>
          </w:tcPr>
          <w:p w14:paraId="64FF6C2D" w14:textId="77777777" w:rsidR="007355BA" w:rsidRPr="00CF5E34" w:rsidRDefault="007355BA" w:rsidP="007355BA">
            <w:pPr>
              <w:spacing w:before="40" w:after="40"/>
              <w:jc w:val="right"/>
              <w:rPr>
                <w:sz w:val="17"/>
                <w:szCs w:val="17"/>
              </w:rPr>
            </w:pPr>
            <w:r w:rsidRPr="00CF5E34">
              <w:rPr>
                <w:sz w:val="17"/>
                <w:szCs w:val="17"/>
              </w:rPr>
              <w:t>24.2</w:t>
            </w:r>
          </w:p>
        </w:tc>
        <w:tc>
          <w:tcPr>
            <w:tcW w:w="227" w:type="dxa"/>
            <w:vAlign w:val="bottom"/>
          </w:tcPr>
          <w:p w14:paraId="35E5F30F" w14:textId="77777777" w:rsidR="007355BA" w:rsidRPr="00CF5E34" w:rsidRDefault="007355BA" w:rsidP="007355BA">
            <w:pPr>
              <w:spacing w:before="40" w:after="40"/>
              <w:rPr>
                <w:sz w:val="17"/>
                <w:szCs w:val="17"/>
              </w:rPr>
            </w:pPr>
          </w:p>
        </w:tc>
        <w:tc>
          <w:tcPr>
            <w:tcW w:w="939" w:type="dxa"/>
            <w:tcBorders>
              <w:bottom w:val="single" w:sz="4" w:space="0" w:color="auto"/>
            </w:tcBorders>
            <w:vAlign w:val="bottom"/>
          </w:tcPr>
          <w:p w14:paraId="51AA51D4" w14:textId="77777777" w:rsidR="007355BA" w:rsidRPr="00CF5E34" w:rsidRDefault="007355BA" w:rsidP="007355BA">
            <w:pPr>
              <w:spacing w:before="40" w:after="40"/>
              <w:jc w:val="right"/>
              <w:rPr>
                <w:sz w:val="17"/>
                <w:szCs w:val="17"/>
              </w:rPr>
            </w:pPr>
            <w:r w:rsidRPr="00CF5E34">
              <w:rPr>
                <w:sz w:val="17"/>
                <w:szCs w:val="17"/>
              </w:rPr>
              <w:t>24.6</w:t>
            </w:r>
          </w:p>
        </w:tc>
        <w:tc>
          <w:tcPr>
            <w:tcW w:w="266" w:type="dxa"/>
            <w:vAlign w:val="bottom"/>
          </w:tcPr>
          <w:p w14:paraId="0E120185" w14:textId="77777777" w:rsidR="007355BA" w:rsidRPr="000D2863" w:rsidRDefault="007355BA" w:rsidP="007355BA">
            <w:pPr>
              <w:spacing w:before="40" w:after="40"/>
              <w:rPr>
                <w:sz w:val="17"/>
                <w:szCs w:val="17"/>
              </w:rPr>
            </w:pPr>
          </w:p>
        </w:tc>
      </w:tr>
      <w:tr w:rsidR="007355BA" w:rsidRPr="00E834EF" w14:paraId="22D6F6BA" w14:textId="77777777" w:rsidTr="007355BA">
        <w:tc>
          <w:tcPr>
            <w:tcW w:w="3254" w:type="dxa"/>
          </w:tcPr>
          <w:p w14:paraId="623075E9" w14:textId="77777777" w:rsidR="007355BA" w:rsidRPr="00CF5E34" w:rsidRDefault="007355BA" w:rsidP="007355BA">
            <w:pPr>
              <w:tabs>
                <w:tab w:val="right" w:leader="dot" w:pos="3255"/>
              </w:tabs>
              <w:bidi/>
              <w:spacing w:before="40" w:after="40"/>
              <w:rPr>
                <w:b/>
                <w:bCs/>
                <w:sz w:val="17"/>
                <w:szCs w:val="17"/>
                <w:u w:val="single"/>
              </w:rPr>
            </w:pPr>
            <w:r w:rsidRPr="00CF5E34">
              <w:rPr>
                <w:rFonts w:hint="eastAsia"/>
                <w:b/>
                <w:bCs/>
                <w:szCs w:val="17"/>
                <w:rtl/>
              </w:rPr>
              <w:lastRenderedPageBreak/>
              <w:t>الأرباح</w:t>
            </w:r>
            <w:r w:rsidRPr="00CF5E34">
              <w:rPr>
                <w:b/>
                <w:bCs/>
                <w:szCs w:val="17"/>
                <w:rtl/>
              </w:rPr>
              <w:t xml:space="preserve"> قبل حساب الفوائد والضرائب والإهلاك والإطفاء ل</w:t>
            </w:r>
            <w:r w:rsidR="00607B02">
              <w:rPr>
                <w:b/>
                <w:bCs/>
                <w:szCs w:val="17"/>
                <w:rtl/>
              </w:rPr>
              <w:t>نقل</w:t>
            </w:r>
            <w:r w:rsidRPr="00CF5E34">
              <w:rPr>
                <w:b/>
                <w:bCs/>
                <w:szCs w:val="17"/>
                <w:rtl/>
              </w:rPr>
              <w:t xml:space="preserve"> </w:t>
            </w:r>
            <w:r w:rsidRPr="00CF5E34">
              <w:rPr>
                <w:rFonts w:hint="eastAsia"/>
                <w:b/>
                <w:bCs/>
                <w:szCs w:val="17"/>
                <w:rtl/>
              </w:rPr>
              <w:t>الغاز</w:t>
            </w:r>
            <w:r w:rsidRPr="00CF5E34">
              <w:rPr>
                <w:sz w:val="17"/>
              </w:rPr>
              <w:tab/>
            </w:r>
          </w:p>
        </w:tc>
        <w:tc>
          <w:tcPr>
            <w:tcW w:w="242" w:type="dxa"/>
            <w:vAlign w:val="bottom"/>
          </w:tcPr>
          <w:p w14:paraId="782852E5" w14:textId="77777777" w:rsidR="007355BA" w:rsidRPr="00CF5E34" w:rsidRDefault="007355BA" w:rsidP="007355BA">
            <w:pPr>
              <w:spacing w:before="40" w:after="40"/>
              <w:rPr>
                <w:sz w:val="17"/>
                <w:szCs w:val="17"/>
              </w:rPr>
            </w:pPr>
          </w:p>
        </w:tc>
        <w:tc>
          <w:tcPr>
            <w:tcW w:w="913" w:type="dxa"/>
            <w:tcBorders>
              <w:top w:val="single" w:sz="4" w:space="0" w:color="auto"/>
            </w:tcBorders>
            <w:vAlign w:val="bottom"/>
          </w:tcPr>
          <w:p w14:paraId="3E010092" w14:textId="77777777" w:rsidR="007355BA" w:rsidRPr="00CF5E34" w:rsidRDefault="007355BA" w:rsidP="007355BA">
            <w:pPr>
              <w:spacing w:before="40" w:after="40"/>
              <w:jc w:val="right"/>
              <w:rPr>
                <w:b/>
                <w:bCs/>
                <w:color w:val="000000"/>
                <w:sz w:val="16"/>
                <w:szCs w:val="16"/>
              </w:rPr>
            </w:pPr>
            <w:r w:rsidRPr="00CF5E34">
              <w:rPr>
                <w:color w:val="000000"/>
                <w:sz w:val="16"/>
                <w:szCs w:val="16"/>
              </w:rPr>
              <w:t>76.2</w:t>
            </w:r>
          </w:p>
        </w:tc>
        <w:tc>
          <w:tcPr>
            <w:tcW w:w="252" w:type="dxa"/>
            <w:gridSpan w:val="2"/>
            <w:vAlign w:val="bottom"/>
          </w:tcPr>
          <w:p w14:paraId="477FB1BD" w14:textId="77777777" w:rsidR="007355BA" w:rsidRPr="00CF5E34" w:rsidRDefault="007355BA" w:rsidP="007355BA">
            <w:pPr>
              <w:spacing w:before="40" w:after="40"/>
              <w:rPr>
                <w:b/>
                <w:bCs/>
                <w:color w:val="000000"/>
                <w:sz w:val="16"/>
                <w:szCs w:val="16"/>
              </w:rPr>
            </w:pPr>
          </w:p>
        </w:tc>
        <w:tc>
          <w:tcPr>
            <w:tcW w:w="924" w:type="dxa"/>
            <w:tcBorders>
              <w:top w:val="single" w:sz="4" w:space="0" w:color="auto"/>
            </w:tcBorders>
            <w:vAlign w:val="bottom"/>
          </w:tcPr>
          <w:p w14:paraId="08D26B31" w14:textId="77777777" w:rsidR="007355BA" w:rsidRPr="00CF5E34" w:rsidRDefault="007355BA" w:rsidP="007355BA">
            <w:pPr>
              <w:spacing w:before="40" w:after="40"/>
              <w:jc w:val="right"/>
              <w:rPr>
                <w:b/>
                <w:bCs/>
                <w:color w:val="000000"/>
                <w:sz w:val="16"/>
                <w:szCs w:val="16"/>
              </w:rPr>
            </w:pPr>
            <w:r w:rsidRPr="00CF5E34">
              <w:rPr>
                <w:color w:val="000000"/>
                <w:sz w:val="16"/>
                <w:szCs w:val="16"/>
              </w:rPr>
              <w:t>86.5</w:t>
            </w:r>
          </w:p>
        </w:tc>
        <w:tc>
          <w:tcPr>
            <w:tcW w:w="242" w:type="dxa"/>
            <w:vAlign w:val="bottom"/>
          </w:tcPr>
          <w:p w14:paraId="0B66EDE0" w14:textId="77777777" w:rsidR="007355BA" w:rsidRPr="00CF5E34" w:rsidRDefault="007355BA" w:rsidP="007355BA">
            <w:pPr>
              <w:spacing w:before="40" w:after="40"/>
              <w:rPr>
                <w:b/>
                <w:bCs/>
                <w:color w:val="000000"/>
                <w:sz w:val="16"/>
                <w:szCs w:val="16"/>
              </w:rPr>
            </w:pPr>
          </w:p>
        </w:tc>
        <w:tc>
          <w:tcPr>
            <w:tcW w:w="924" w:type="dxa"/>
            <w:tcBorders>
              <w:top w:val="single" w:sz="4" w:space="0" w:color="auto"/>
            </w:tcBorders>
            <w:vAlign w:val="bottom"/>
          </w:tcPr>
          <w:p w14:paraId="06C07143" w14:textId="77777777" w:rsidR="007355BA" w:rsidRPr="00CF5E34" w:rsidRDefault="007355BA" w:rsidP="007355BA">
            <w:pPr>
              <w:spacing w:before="40" w:after="40"/>
              <w:jc w:val="right"/>
              <w:rPr>
                <w:b/>
                <w:bCs/>
                <w:color w:val="000000"/>
                <w:sz w:val="16"/>
                <w:szCs w:val="16"/>
              </w:rPr>
            </w:pPr>
            <w:r w:rsidRPr="00CF5E34">
              <w:rPr>
                <w:color w:val="000000"/>
                <w:sz w:val="16"/>
                <w:szCs w:val="16"/>
              </w:rPr>
              <w:t>104.4</w:t>
            </w:r>
          </w:p>
        </w:tc>
        <w:tc>
          <w:tcPr>
            <w:tcW w:w="242" w:type="dxa"/>
            <w:vAlign w:val="bottom"/>
          </w:tcPr>
          <w:p w14:paraId="1FC5C460" w14:textId="77777777" w:rsidR="007355BA" w:rsidRPr="00CF5E34" w:rsidRDefault="007355BA" w:rsidP="007355BA">
            <w:pPr>
              <w:spacing w:before="40" w:after="40"/>
              <w:rPr>
                <w:b/>
                <w:bCs/>
                <w:sz w:val="16"/>
                <w:szCs w:val="16"/>
              </w:rPr>
            </w:pPr>
          </w:p>
        </w:tc>
        <w:tc>
          <w:tcPr>
            <w:tcW w:w="924" w:type="dxa"/>
            <w:tcBorders>
              <w:top w:val="single" w:sz="4" w:space="0" w:color="auto"/>
            </w:tcBorders>
            <w:vAlign w:val="bottom"/>
          </w:tcPr>
          <w:p w14:paraId="010B50B9" w14:textId="77777777" w:rsidR="007355BA" w:rsidRPr="00CF5E34" w:rsidRDefault="007355BA" w:rsidP="007355BA">
            <w:pPr>
              <w:spacing w:before="40" w:after="40"/>
              <w:jc w:val="right"/>
              <w:rPr>
                <w:b/>
                <w:bCs/>
                <w:sz w:val="16"/>
                <w:szCs w:val="16"/>
              </w:rPr>
            </w:pPr>
            <w:r w:rsidRPr="00CF5E34">
              <w:rPr>
                <w:color w:val="000000"/>
                <w:sz w:val="16"/>
                <w:szCs w:val="16"/>
              </w:rPr>
              <w:t>78.9</w:t>
            </w:r>
          </w:p>
        </w:tc>
        <w:tc>
          <w:tcPr>
            <w:tcW w:w="227" w:type="dxa"/>
            <w:vAlign w:val="bottom"/>
          </w:tcPr>
          <w:p w14:paraId="2A248560" w14:textId="77777777" w:rsidR="007355BA" w:rsidRPr="00CF5E34" w:rsidRDefault="007355BA" w:rsidP="007355BA">
            <w:pPr>
              <w:spacing w:before="40" w:after="40"/>
              <w:rPr>
                <w:b/>
                <w:bCs/>
                <w:sz w:val="16"/>
                <w:szCs w:val="16"/>
              </w:rPr>
            </w:pPr>
          </w:p>
        </w:tc>
        <w:tc>
          <w:tcPr>
            <w:tcW w:w="939" w:type="dxa"/>
            <w:tcBorders>
              <w:top w:val="single" w:sz="4" w:space="0" w:color="auto"/>
            </w:tcBorders>
            <w:vAlign w:val="bottom"/>
          </w:tcPr>
          <w:p w14:paraId="561D883F" w14:textId="77777777" w:rsidR="007355BA" w:rsidRPr="00CF5E34" w:rsidRDefault="007355BA" w:rsidP="007355BA">
            <w:pPr>
              <w:spacing w:before="40" w:after="40"/>
              <w:jc w:val="right"/>
              <w:rPr>
                <w:b/>
                <w:bCs/>
                <w:sz w:val="16"/>
                <w:szCs w:val="16"/>
              </w:rPr>
            </w:pPr>
            <w:r w:rsidRPr="00CF5E34">
              <w:rPr>
                <w:color w:val="000000"/>
                <w:sz w:val="16"/>
                <w:szCs w:val="16"/>
              </w:rPr>
              <w:t>72.9</w:t>
            </w:r>
          </w:p>
        </w:tc>
        <w:tc>
          <w:tcPr>
            <w:tcW w:w="266" w:type="dxa"/>
            <w:vAlign w:val="bottom"/>
          </w:tcPr>
          <w:p w14:paraId="4600AC18" w14:textId="77777777" w:rsidR="007355BA" w:rsidRPr="000D2863" w:rsidRDefault="007355BA" w:rsidP="007355BA">
            <w:pPr>
              <w:spacing w:before="40" w:after="40"/>
              <w:rPr>
                <w:b/>
                <w:bCs/>
                <w:sz w:val="17"/>
                <w:szCs w:val="17"/>
              </w:rPr>
            </w:pPr>
          </w:p>
        </w:tc>
      </w:tr>
    </w:tbl>
    <w:p w14:paraId="2BC40787" w14:textId="77777777" w:rsidR="007355BA" w:rsidRDefault="007355BA" w:rsidP="007355BA">
      <w:pPr>
        <w:autoSpaceDE w:val="0"/>
        <w:autoSpaceDN w:val="0"/>
        <w:bidi/>
        <w:adjustRightInd w:val="0"/>
        <w:jc w:val="both"/>
        <w:rPr>
          <w:rFonts w:ascii="Traditional Arabic" w:hAnsi="Traditional Arabic" w:cs="Traditional Arabic"/>
          <w:sz w:val="30"/>
          <w:szCs w:val="30"/>
          <w:rtl/>
          <w:lang w:bidi="ar-EG"/>
        </w:rPr>
      </w:pPr>
    </w:p>
    <w:p w14:paraId="1A61843C" w14:textId="77777777" w:rsidR="00287CE3" w:rsidRDefault="00FD0841" w:rsidP="00287CE3">
      <w:pPr>
        <w:autoSpaceDE w:val="0"/>
        <w:autoSpaceDN w:val="0"/>
        <w:bidi/>
        <w:adjustRightInd w:val="0"/>
        <w:jc w:val="both"/>
        <w:rPr>
          <w:rFonts w:ascii="Traditional Arabic" w:hAnsi="Traditional Arabic" w:cs="Traditional Arabic"/>
          <w:sz w:val="30"/>
          <w:szCs w:val="30"/>
          <w:rtl/>
          <w:lang w:bidi="ar-EG"/>
        </w:rPr>
      </w:pPr>
      <w:r w:rsidRPr="00FD0841">
        <w:rPr>
          <w:rFonts w:ascii="Traditional Arabic" w:hAnsi="Traditional Arabic" w:cs="Traditional Arabic"/>
          <w:sz w:val="30"/>
          <w:szCs w:val="30"/>
          <w:rtl/>
          <w:lang w:bidi="ar-EG"/>
        </w:rPr>
        <w:t>(8)</w:t>
      </w:r>
      <w:r w:rsidRPr="00FD0841">
        <w:rPr>
          <w:rFonts w:ascii="Traditional Arabic" w:hAnsi="Traditional Arabic" w:cs="Traditional Arabic"/>
          <w:sz w:val="30"/>
          <w:szCs w:val="30"/>
          <w:rtl/>
          <w:lang w:bidi="ar-EG"/>
        </w:rPr>
        <w:tab/>
        <w:t>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لقطاع ال</w:t>
      </w:r>
      <w:r w:rsidR="00607B02">
        <w:rPr>
          <w:rFonts w:ascii="Traditional Arabic" w:hAnsi="Traditional Arabic" w:cs="Traditional Arabic"/>
          <w:sz w:val="30"/>
          <w:szCs w:val="30"/>
          <w:rtl/>
          <w:lang w:bidi="ar-EG"/>
        </w:rPr>
        <w:t>نقل</w:t>
      </w:r>
      <w:r w:rsidRPr="00FD0841">
        <w:rPr>
          <w:rFonts w:ascii="Traditional Arabic" w:hAnsi="Traditional Arabic" w:cs="Traditional Arabic"/>
          <w:sz w:val="30"/>
          <w:szCs w:val="30"/>
          <w:rtl/>
          <w:lang w:bidi="ar-EG"/>
        </w:rPr>
        <w:t xml:space="preserve"> المنتظم للفترات المشار إليها:</w:t>
      </w:r>
    </w:p>
    <w:p w14:paraId="2A1AC27F" w14:textId="77777777" w:rsidR="007355BA" w:rsidRDefault="007355BA" w:rsidP="007355BA">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7355BA" w:rsidRPr="00E834EF" w14:paraId="3BBB0258" w14:textId="77777777" w:rsidTr="007355BA">
        <w:trPr>
          <w:tblHeader/>
        </w:trPr>
        <w:tc>
          <w:tcPr>
            <w:tcW w:w="3254" w:type="dxa"/>
          </w:tcPr>
          <w:p w14:paraId="5FA44DAA" w14:textId="77777777" w:rsidR="007355BA" w:rsidRPr="00E834EF" w:rsidRDefault="007355BA" w:rsidP="007355BA">
            <w:pPr>
              <w:keepNext/>
              <w:bidi/>
              <w:spacing w:before="40" w:after="120"/>
              <w:rPr>
                <w:b/>
                <w:sz w:val="17"/>
                <w:szCs w:val="17"/>
              </w:rPr>
            </w:pPr>
          </w:p>
        </w:tc>
        <w:tc>
          <w:tcPr>
            <w:tcW w:w="242" w:type="dxa"/>
          </w:tcPr>
          <w:p w14:paraId="3D445032" w14:textId="77777777" w:rsidR="007355BA" w:rsidRPr="00E834EF" w:rsidRDefault="007355BA" w:rsidP="007355BA">
            <w:pPr>
              <w:spacing w:before="40" w:after="40"/>
              <w:rPr>
                <w:sz w:val="17"/>
                <w:szCs w:val="17"/>
              </w:rPr>
            </w:pPr>
          </w:p>
        </w:tc>
        <w:tc>
          <w:tcPr>
            <w:tcW w:w="3255" w:type="dxa"/>
            <w:gridSpan w:val="6"/>
            <w:tcBorders>
              <w:bottom w:val="single" w:sz="4" w:space="0" w:color="auto"/>
            </w:tcBorders>
          </w:tcPr>
          <w:p w14:paraId="00C5550D" w14:textId="77777777" w:rsidR="007355BA" w:rsidRPr="00E834EF" w:rsidRDefault="007355BA" w:rsidP="007355BA">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2D5C80C2" w14:textId="77777777" w:rsidR="007355BA" w:rsidRPr="00E834EF" w:rsidRDefault="007355BA" w:rsidP="007355BA">
            <w:pPr>
              <w:spacing w:before="40" w:after="40"/>
              <w:rPr>
                <w:sz w:val="17"/>
                <w:szCs w:val="17"/>
              </w:rPr>
            </w:pPr>
          </w:p>
        </w:tc>
        <w:tc>
          <w:tcPr>
            <w:tcW w:w="2090" w:type="dxa"/>
            <w:gridSpan w:val="3"/>
            <w:tcBorders>
              <w:bottom w:val="single" w:sz="4" w:space="0" w:color="auto"/>
            </w:tcBorders>
          </w:tcPr>
          <w:p w14:paraId="50C44C52" w14:textId="77777777" w:rsidR="007355BA" w:rsidRPr="00E834EF" w:rsidRDefault="007355BA" w:rsidP="007355BA">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15B0D3D3" w14:textId="77777777" w:rsidR="007355BA" w:rsidRPr="00E834EF" w:rsidRDefault="007355BA" w:rsidP="007355BA">
            <w:pPr>
              <w:keepNext/>
              <w:spacing w:before="40" w:after="120"/>
              <w:jc w:val="center"/>
              <w:rPr>
                <w:b/>
                <w:sz w:val="17"/>
                <w:szCs w:val="17"/>
              </w:rPr>
            </w:pPr>
          </w:p>
        </w:tc>
      </w:tr>
      <w:tr w:rsidR="007355BA" w:rsidRPr="00E834EF" w14:paraId="1C634C22" w14:textId="77777777" w:rsidTr="007355BA">
        <w:trPr>
          <w:tblHeader/>
        </w:trPr>
        <w:tc>
          <w:tcPr>
            <w:tcW w:w="3254" w:type="dxa"/>
          </w:tcPr>
          <w:p w14:paraId="1055C8C2" w14:textId="77777777" w:rsidR="007355BA" w:rsidRPr="00E834EF" w:rsidRDefault="007355BA" w:rsidP="007355BA">
            <w:pPr>
              <w:keepNext/>
              <w:bidi/>
              <w:spacing w:before="40" w:after="120"/>
              <w:rPr>
                <w:b/>
                <w:sz w:val="17"/>
                <w:szCs w:val="17"/>
              </w:rPr>
            </w:pPr>
          </w:p>
        </w:tc>
        <w:tc>
          <w:tcPr>
            <w:tcW w:w="242" w:type="dxa"/>
          </w:tcPr>
          <w:p w14:paraId="46036556" w14:textId="77777777" w:rsidR="007355BA" w:rsidRPr="00E834EF" w:rsidRDefault="007355BA" w:rsidP="007355BA">
            <w:pPr>
              <w:spacing w:before="40" w:after="40"/>
              <w:rPr>
                <w:sz w:val="17"/>
                <w:szCs w:val="17"/>
              </w:rPr>
            </w:pPr>
          </w:p>
        </w:tc>
        <w:tc>
          <w:tcPr>
            <w:tcW w:w="923" w:type="dxa"/>
            <w:gridSpan w:val="2"/>
            <w:tcBorders>
              <w:top w:val="single" w:sz="4" w:space="0" w:color="auto"/>
              <w:bottom w:val="single" w:sz="4" w:space="0" w:color="auto"/>
            </w:tcBorders>
          </w:tcPr>
          <w:p w14:paraId="0B536A30" w14:textId="77777777" w:rsidR="007355BA" w:rsidRPr="00E834EF" w:rsidRDefault="007355BA" w:rsidP="007355BA">
            <w:pPr>
              <w:keepNext/>
              <w:spacing w:before="40" w:after="120"/>
              <w:jc w:val="right"/>
              <w:rPr>
                <w:b/>
                <w:sz w:val="17"/>
                <w:szCs w:val="17"/>
              </w:rPr>
            </w:pPr>
            <w:r w:rsidRPr="00E834EF">
              <w:rPr>
                <w:b/>
                <w:sz w:val="17"/>
                <w:szCs w:val="17"/>
              </w:rPr>
              <w:t>2021</w:t>
            </w:r>
          </w:p>
        </w:tc>
        <w:tc>
          <w:tcPr>
            <w:tcW w:w="242" w:type="dxa"/>
          </w:tcPr>
          <w:p w14:paraId="1A1D7407"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76F8FA0B" w14:textId="77777777" w:rsidR="007355BA" w:rsidRPr="00E834EF" w:rsidRDefault="007355BA" w:rsidP="007355BA">
            <w:pPr>
              <w:keepNext/>
              <w:spacing w:before="40" w:after="120"/>
              <w:jc w:val="right"/>
              <w:rPr>
                <w:b/>
                <w:sz w:val="17"/>
                <w:szCs w:val="17"/>
              </w:rPr>
            </w:pPr>
            <w:r w:rsidRPr="00E834EF">
              <w:rPr>
                <w:b/>
                <w:sz w:val="17"/>
                <w:szCs w:val="17"/>
              </w:rPr>
              <w:t>2022</w:t>
            </w:r>
          </w:p>
        </w:tc>
        <w:tc>
          <w:tcPr>
            <w:tcW w:w="242" w:type="dxa"/>
          </w:tcPr>
          <w:p w14:paraId="489D7F77"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5D2FE1A7" w14:textId="77777777" w:rsidR="007355BA" w:rsidRPr="00E834EF" w:rsidRDefault="007355BA" w:rsidP="007355BA">
            <w:pPr>
              <w:keepNext/>
              <w:spacing w:before="40" w:after="120"/>
              <w:jc w:val="right"/>
              <w:rPr>
                <w:b/>
                <w:sz w:val="17"/>
                <w:szCs w:val="17"/>
              </w:rPr>
            </w:pPr>
            <w:r w:rsidRPr="00E834EF">
              <w:rPr>
                <w:b/>
                <w:sz w:val="17"/>
                <w:szCs w:val="17"/>
              </w:rPr>
              <w:t>2023</w:t>
            </w:r>
          </w:p>
        </w:tc>
        <w:tc>
          <w:tcPr>
            <w:tcW w:w="242" w:type="dxa"/>
          </w:tcPr>
          <w:p w14:paraId="10F0B350"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7D1BD043" w14:textId="77777777" w:rsidR="007355BA" w:rsidRPr="00E834EF" w:rsidRDefault="007355BA" w:rsidP="007355BA">
            <w:pPr>
              <w:keepNext/>
              <w:spacing w:before="40" w:after="120"/>
              <w:jc w:val="right"/>
              <w:rPr>
                <w:b/>
                <w:sz w:val="17"/>
                <w:szCs w:val="17"/>
              </w:rPr>
            </w:pPr>
            <w:r w:rsidRPr="00E834EF">
              <w:rPr>
                <w:b/>
                <w:sz w:val="17"/>
                <w:szCs w:val="17"/>
              </w:rPr>
              <w:t>2023</w:t>
            </w:r>
          </w:p>
        </w:tc>
        <w:tc>
          <w:tcPr>
            <w:tcW w:w="227" w:type="dxa"/>
          </w:tcPr>
          <w:p w14:paraId="2F119021" w14:textId="77777777" w:rsidR="007355BA" w:rsidRPr="00E834EF" w:rsidRDefault="007355BA" w:rsidP="007355BA">
            <w:pPr>
              <w:spacing w:before="40" w:after="40"/>
              <w:rPr>
                <w:sz w:val="17"/>
                <w:szCs w:val="17"/>
              </w:rPr>
            </w:pPr>
          </w:p>
        </w:tc>
        <w:tc>
          <w:tcPr>
            <w:tcW w:w="939" w:type="dxa"/>
            <w:tcBorders>
              <w:top w:val="single" w:sz="4" w:space="0" w:color="auto"/>
              <w:bottom w:val="single" w:sz="4" w:space="0" w:color="auto"/>
            </w:tcBorders>
          </w:tcPr>
          <w:p w14:paraId="4FD30A25" w14:textId="77777777" w:rsidR="007355BA" w:rsidRPr="00E834EF" w:rsidRDefault="007355BA" w:rsidP="007355BA">
            <w:pPr>
              <w:keepNext/>
              <w:spacing w:before="40" w:after="120"/>
              <w:jc w:val="right"/>
              <w:rPr>
                <w:b/>
                <w:sz w:val="17"/>
                <w:szCs w:val="17"/>
              </w:rPr>
            </w:pPr>
            <w:r w:rsidRPr="00E834EF">
              <w:rPr>
                <w:b/>
                <w:sz w:val="17"/>
                <w:szCs w:val="17"/>
              </w:rPr>
              <w:t>2024</w:t>
            </w:r>
          </w:p>
        </w:tc>
        <w:tc>
          <w:tcPr>
            <w:tcW w:w="266" w:type="dxa"/>
          </w:tcPr>
          <w:p w14:paraId="6E390435" w14:textId="77777777" w:rsidR="007355BA" w:rsidRPr="00E834EF" w:rsidRDefault="007355BA" w:rsidP="007355BA">
            <w:pPr>
              <w:keepNext/>
              <w:spacing w:before="40" w:after="120"/>
              <w:jc w:val="right"/>
              <w:rPr>
                <w:b/>
                <w:sz w:val="17"/>
                <w:szCs w:val="17"/>
              </w:rPr>
            </w:pPr>
          </w:p>
        </w:tc>
      </w:tr>
      <w:tr w:rsidR="007355BA" w:rsidRPr="00E834EF" w14:paraId="3E054F50" w14:textId="77777777" w:rsidTr="007355BA">
        <w:trPr>
          <w:trHeight w:val="215"/>
          <w:tblHeader/>
        </w:trPr>
        <w:tc>
          <w:tcPr>
            <w:tcW w:w="3254" w:type="dxa"/>
          </w:tcPr>
          <w:p w14:paraId="286C76F7" w14:textId="77777777" w:rsidR="007355BA" w:rsidRPr="00E834EF" w:rsidRDefault="007355BA" w:rsidP="007355BA">
            <w:pPr>
              <w:keepNext/>
              <w:bidi/>
              <w:spacing w:before="40" w:after="120"/>
              <w:jc w:val="center"/>
              <w:rPr>
                <w:i/>
                <w:sz w:val="17"/>
                <w:szCs w:val="17"/>
              </w:rPr>
            </w:pPr>
          </w:p>
        </w:tc>
        <w:tc>
          <w:tcPr>
            <w:tcW w:w="242" w:type="dxa"/>
          </w:tcPr>
          <w:p w14:paraId="641CA790" w14:textId="77777777" w:rsidR="007355BA" w:rsidRPr="00E834EF" w:rsidRDefault="007355BA" w:rsidP="007355BA">
            <w:pPr>
              <w:keepNext/>
              <w:spacing w:before="40" w:after="120"/>
              <w:jc w:val="center"/>
              <w:rPr>
                <w:i/>
                <w:sz w:val="17"/>
                <w:szCs w:val="17"/>
              </w:rPr>
            </w:pPr>
          </w:p>
        </w:tc>
        <w:tc>
          <w:tcPr>
            <w:tcW w:w="5587" w:type="dxa"/>
            <w:gridSpan w:val="10"/>
          </w:tcPr>
          <w:p w14:paraId="3A55243E" w14:textId="77777777" w:rsidR="007355BA" w:rsidRPr="00E834EF" w:rsidRDefault="007355BA" w:rsidP="007355BA">
            <w:pPr>
              <w:keepNext/>
              <w:spacing w:before="40" w:after="120"/>
              <w:jc w:val="center"/>
              <w:rPr>
                <w:i/>
                <w:sz w:val="17"/>
                <w:szCs w:val="17"/>
              </w:rPr>
            </w:pPr>
            <w:r w:rsidRPr="00E834EF">
              <w:rPr>
                <w:i/>
                <w:color w:val="000000"/>
                <w:sz w:val="17"/>
                <w:szCs w:val="17"/>
              </w:rPr>
              <w:t>(</w:t>
            </w:r>
            <w:r w:rsidRPr="00B02BA3">
              <w:rPr>
                <w:i/>
                <w:iCs/>
                <w:sz w:val="18"/>
              </w:rPr>
              <w:t>U.S.$</w:t>
            </w:r>
            <w:r>
              <w:rPr>
                <w:i/>
                <w:iCs/>
                <w:sz w:val="18"/>
              </w:rPr>
              <w:t xml:space="preserve"> </w:t>
            </w:r>
            <w:r>
              <w:rPr>
                <w:i/>
                <w:color w:val="000000"/>
                <w:sz w:val="17"/>
                <w:szCs w:val="17"/>
              </w:rPr>
              <w:t>millions</w:t>
            </w:r>
            <w:r w:rsidRPr="00E834EF">
              <w:rPr>
                <w:i/>
                <w:color w:val="000000"/>
                <w:sz w:val="17"/>
                <w:szCs w:val="17"/>
              </w:rPr>
              <w:t>)</w:t>
            </w:r>
          </w:p>
        </w:tc>
        <w:tc>
          <w:tcPr>
            <w:tcW w:w="266" w:type="dxa"/>
          </w:tcPr>
          <w:p w14:paraId="6F5C2BB2" w14:textId="77777777" w:rsidR="007355BA" w:rsidRPr="00E834EF" w:rsidRDefault="007355BA" w:rsidP="007355BA">
            <w:pPr>
              <w:keepNext/>
              <w:spacing w:before="40" w:after="120"/>
              <w:jc w:val="center"/>
              <w:rPr>
                <w:i/>
                <w:color w:val="000000"/>
                <w:sz w:val="17"/>
                <w:szCs w:val="17"/>
              </w:rPr>
            </w:pPr>
          </w:p>
        </w:tc>
      </w:tr>
      <w:tr w:rsidR="007355BA" w:rsidRPr="00E834EF" w14:paraId="508EB3DD" w14:textId="77777777" w:rsidTr="007355BA">
        <w:tc>
          <w:tcPr>
            <w:tcW w:w="3254" w:type="dxa"/>
            <w:vAlign w:val="bottom"/>
          </w:tcPr>
          <w:p w14:paraId="6CC08F72" w14:textId="77777777" w:rsidR="007355BA" w:rsidRDefault="007355BA" w:rsidP="007355BA">
            <w:pPr>
              <w:tabs>
                <w:tab w:val="right" w:leader="dot" w:pos="3255"/>
              </w:tabs>
              <w:bidi/>
              <w:spacing w:before="40" w:after="40"/>
              <w:ind w:left="12"/>
              <w:rPr>
                <w:b/>
                <w:bCs/>
                <w:color w:val="000000"/>
                <w:sz w:val="17"/>
                <w:szCs w:val="17"/>
              </w:rPr>
            </w:pPr>
            <w:r>
              <w:rPr>
                <w:rFonts w:hint="cs"/>
                <w:b/>
                <w:bCs/>
                <w:color w:val="000000"/>
                <w:sz w:val="17"/>
                <w:szCs w:val="17"/>
                <w:rtl/>
              </w:rPr>
              <w:t>إيرادات ال</w:t>
            </w:r>
            <w:r w:rsidR="00607B02">
              <w:rPr>
                <w:rFonts w:hint="cs"/>
                <w:b/>
                <w:bCs/>
                <w:color w:val="000000"/>
                <w:sz w:val="17"/>
                <w:szCs w:val="17"/>
                <w:rtl/>
              </w:rPr>
              <w:t>نقل</w:t>
            </w:r>
            <w:r>
              <w:rPr>
                <w:rFonts w:hint="cs"/>
                <w:b/>
                <w:bCs/>
                <w:color w:val="000000"/>
                <w:sz w:val="17"/>
                <w:szCs w:val="17"/>
                <w:rtl/>
              </w:rPr>
              <w:t xml:space="preserve"> المنتظم</w:t>
            </w:r>
            <w:r w:rsidRPr="0054596C">
              <w:rPr>
                <w:sz w:val="17"/>
              </w:rPr>
              <w:tab/>
            </w:r>
          </w:p>
        </w:tc>
        <w:tc>
          <w:tcPr>
            <w:tcW w:w="242" w:type="dxa"/>
            <w:vAlign w:val="bottom"/>
          </w:tcPr>
          <w:p w14:paraId="324BEB05" w14:textId="77777777" w:rsidR="007355BA" w:rsidRPr="00E834EF" w:rsidRDefault="007355BA" w:rsidP="007355BA">
            <w:pPr>
              <w:spacing w:before="40" w:after="40"/>
              <w:rPr>
                <w:sz w:val="17"/>
                <w:szCs w:val="17"/>
              </w:rPr>
            </w:pPr>
          </w:p>
        </w:tc>
        <w:tc>
          <w:tcPr>
            <w:tcW w:w="913" w:type="dxa"/>
            <w:vAlign w:val="bottom"/>
          </w:tcPr>
          <w:p w14:paraId="2583FA28" w14:textId="77777777" w:rsidR="007355BA" w:rsidRPr="000A73F0" w:rsidRDefault="007355BA" w:rsidP="007355BA">
            <w:pPr>
              <w:spacing w:before="40" w:after="40"/>
              <w:jc w:val="right"/>
              <w:rPr>
                <w:color w:val="000000"/>
                <w:sz w:val="17"/>
                <w:szCs w:val="17"/>
              </w:rPr>
            </w:pPr>
            <w:r>
              <w:rPr>
                <w:color w:val="000000"/>
                <w:sz w:val="17"/>
                <w:szCs w:val="17"/>
              </w:rPr>
              <w:t>106.7</w:t>
            </w:r>
          </w:p>
        </w:tc>
        <w:tc>
          <w:tcPr>
            <w:tcW w:w="252" w:type="dxa"/>
            <w:gridSpan w:val="2"/>
            <w:vAlign w:val="bottom"/>
          </w:tcPr>
          <w:p w14:paraId="5320941E" w14:textId="77777777" w:rsidR="007355BA" w:rsidRPr="007766C5" w:rsidRDefault="007355BA" w:rsidP="007355BA">
            <w:pPr>
              <w:spacing w:before="40" w:after="40"/>
              <w:rPr>
                <w:color w:val="000000"/>
                <w:sz w:val="17"/>
                <w:szCs w:val="17"/>
              </w:rPr>
            </w:pPr>
          </w:p>
        </w:tc>
        <w:tc>
          <w:tcPr>
            <w:tcW w:w="924" w:type="dxa"/>
            <w:vAlign w:val="bottom"/>
          </w:tcPr>
          <w:p w14:paraId="23DF1698" w14:textId="77777777" w:rsidR="007355BA" w:rsidRPr="007766C5" w:rsidRDefault="007355BA" w:rsidP="007355BA">
            <w:pPr>
              <w:spacing w:before="40" w:after="40"/>
              <w:jc w:val="right"/>
              <w:rPr>
                <w:color w:val="000000"/>
                <w:sz w:val="17"/>
                <w:szCs w:val="17"/>
              </w:rPr>
            </w:pPr>
            <w:r>
              <w:rPr>
                <w:color w:val="000000"/>
                <w:sz w:val="17"/>
                <w:szCs w:val="17"/>
              </w:rPr>
              <w:t>148.7</w:t>
            </w:r>
          </w:p>
        </w:tc>
        <w:tc>
          <w:tcPr>
            <w:tcW w:w="242" w:type="dxa"/>
            <w:vAlign w:val="bottom"/>
          </w:tcPr>
          <w:p w14:paraId="40729AF0" w14:textId="77777777" w:rsidR="007355BA" w:rsidRPr="007766C5" w:rsidRDefault="007355BA" w:rsidP="007355BA">
            <w:pPr>
              <w:spacing w:before="40" w:after="40"/>
              <w:rPr>
                <w:color w:val="000000"/>
                <w:sz w:val="17"/>
                <w:szCs w:val="17"/>
              </w:rPr>
            </w:pPr>
          </w:p>
        </w:tc>
        <w:tc>
          <w:tcPr>
            <w:tcW w:w="924" w:type="dxa"/>
            <w:vAlign w:val="bottom"/>
          </w:tcPr>
          <w:p w14:paraId="07AEBB3D" w14:textId="77777777" w:rsidR="007355BA" w:rsidRPr="007766C5" w:rsidRDefault="007355BA" w:rsidP="007355BA">
            <w:pPr>
              <w:spacing w:before="40" w:after="40"/>
              <w:jc w:val="right"/>
              <w:rPr>
                <w:color w:val="000000"/>
                <w:sz w:val="17"/>
                <w:szCs w:val="17"/>
              </w:rPr>
            </w:pPr>
            <w:r>
              <w:rPr>
                <w:color w:val="000000"/>
                <w:sz w:val="17"/>
                <w:szCs w:val="17"/>
              </w:rPr>
              <w:t>114.9</w:t>
            </w:r>
          </w:p>
        </w:tc>
        <w:tc>
          <w:tcPr>
            <w:tcW w:w="242" w:type="dxa"/>
            <w:vAlign w:val="bottom"/>
          </w:tcPr>
          <w:p w14:paraId="5551C2AA" w14:textId="77777777" w:rsidR="007355BA" w:rsidRPr="007766C5" w:rsidRDefault="007355BA" w:rsidP="007355BA">
            <w:pPr>
              <w:spacing w:before="40" w:after="40"/>
              <w:rPr>
                <w:sz w:val="17"/>
                <w:szCs w:val="17"/>
              </w:rPr>
            </w:pPr>
          </w:p>
        </w:tc>
        <w:tc>
          <w:tcPr>
            <w:tcW w:w="924" w:type="dxa"/>
            <w:vAlign w:val="bottom"/>
          </w:tcPr>
          <w:p w14:paraId="3CA5D3BE" w14:textId="77777777" w:rsidR="007355BA" w:rsidRPr="007766C5" w:rsidRDefault="007355BA" w:rsidP="007355BA">
            <w:pPr>
              <w:spacing w:before="40" w:after="40"/>
              <w:jc w:val="right"/>
              <w:rPr>
                <w:sz w:val="17"/>
                <w:szCs w:val="17"/>
              </w:rPr>
            </w:pPr>
            <w:r>
              <w:rPr>
                <w:sz w:val="17"/>
                <w:szCs w:val="17"/>
              </w:rPr>
              <w:t>85.3</w:t>
            </w:r>
          </w:p>
        </w:tc>
        <w:tc>
          <w:tcPr>
            <w:tcW w:w="227" w:type="dxa"/>
            <w:vAlign w:val="bottom"/>
          </w:tcPr>
          <w:p w14:paraId="40B8EDA6" w14:textId="77777777" w:rsidR="007355BA" w:rsidRPr="007766C5" w:rsidRDefault="007355BA" w:rsidP="007355BA">
            <w:pPr>
              <w:spacing w:before="40" w:after="40"/>
              <w:rPr>
                <w:sz w:val="17"/>
                <w:szCs w:val="17"/>
              </w:rPr>
            </w:pPr>
          </w:p>
        </w:tc>
        <w:tc>
          <w:tcPr>
            <w:tcW w:w="939" w:type="dxa"/>
            <w:vAlign w:val="bottom"/>
          </w:tcPr>
          <w:p w14:paraId="1181DA0A" w14:textId="77777777" w:rsidR="007355BA" w:rsidRPr="007766C5" w:rsidRDefault="007355BA" w:rsidP="007355BA">
            <w:pPr>
              <w:spacing w:before="40" w:after="40"/>
              <w:jc w:val="right"/>
              <w:rPr>
                <w:sz w:val="17"/>
                <w:szCs w:val="17"/>
              </w:rPr>
            </w:pPr>
            <w:r>
              <w:rPr>
                <w:sz w:val="17"/>
                <w:szCs w:val="17"/>
              </w:rPr>
              <w:t>110.8</w:t>
            </w:r>
          </w:p>
        </w:tc>
        <w:tc>
          <w:tcPr>
            <w:tcW w:w="266" w:type="dxa"/>
          </w:tcPr>
          <w:p w14:paraId="3D967837" w14:textId="77777777" w:rsidR="007355BA" w:rsidRPr="000D2863" w:rsidRDefault="007355BA" w:rsidP="007355BA">
            <w:pPr>
              <w:spacing w:before="40" w:after="40"/>
              <w:rPr>
                <w:sz w:val="17"/>
                <w:szCs w:val="17"/>
              </w:rPr>
            </w:pPr>
          </w:p>
        </w:tc>
      </w:tr>
      <w:tr w:rsidR="007355BA" w:rsidRPr="00E834EF" w14:paraId="6FFCD32F" w14:textId="77777777" w:rsidTr="007355BA">
        <w:tc>
          <w:tcPr>
            <w:tcW w:w="3254" w:type="dxa"/>
          </w:tcPr>
          <w:p w14:paraId="0D9715FB" w14:textId="77777777" w:rsidR="007355BA" w:rsidRDefault="007355BA" w:rsidP="007355BA">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7832F8D9" w14:textId="77777777" w:rsidR="007355BA" w:rsidRPr="00E834EF" w:rsidRDefault="00364F0D" w:rsidP="007355BA">
            <w:pPr>
              <w:spacing w:before="40" w:after="40"/>
              <w:rPr>
                <w:sz w:val="17"/>
                <w:szCs w:val="17"/>
              </w:rPr>
            </w:pPr>
            <w:r>
              <w:rPr>
                <w:sz w:val="17"/>
                <w:szCs w:val="17"/>
              </w:rPr>
              <w:t>)</w:t>
            </w:r>
          </w:p>
        </w:tc>
        <w:tc>
          <w:tcPr>
            <w:tcW w:w="913" w:type="dxa"/>
            <w:tcBorders>
              <w:bottom w:val="single" w:sz="4" w:space="0" w:color="auto"/>
            </w:tcBorders>
            <w:vAlign w:val="bottom"/>
          </w:tcPr>
          <w:p w14:paraId="5681A5A6" w14:textId="77777777" w:rsidR="007355BA" w:rsidRPr="000A73F0" w:rsidRDefault="007355BA" w:rsidP="007355BA">
            <w:pPr>
              <w:spacing w:before="40" w:after="40"/>
              <w:jc w:val="right"/>
              <w:rPr>
                <w:color w:val="000000"/>
                <w:sz w:val="17"/>
                <w:szCs w:val="17"/>
              </w:rPr>
            </w:pPr>
            <w:r>
              <w:rPr>
                <w:color w:val="000000"/>
                <w:sz w:val="17"/>
                <w:szCs w:val="17"/>
              </w:rPr>
              <w:t>(51.4</w:t>
            </w:r>
          </w:p>
        </w:tc>
        <w:tc>
          <w:tcPr>
            <w:tcW w:w="252" w:type="dxa"/>
            <w:gridSpan w:val="2"/>
            <w:vAlign w:val="bottom"/>
          </w:tcPr>
          <w:p w14:paraId="46BCC538" w14:textId="77777777" w:rsidR="007355BA" w:rsidRPr="007766C5" w:rsidRDefault="007355BA" w:rsidP="007355BA">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52E6CF1B" w14:textId="77777777" w:rsidR="007355BA" w:rsidRPr="007766C5" w:rsidRDefault="007355BA" w:rsidP="007355BA">
            <w:pPr>
              <w:spacing w:before="40" w:after="40"/>
              <w:jc w:val="right"/>
              <w:rPr>
                <w:color w:val="000000"/>
                <w:sz w:val="17"/>
                <w:szCs w:val="17"/>
              </w:rPr>
            </w:pPr>
            <w:r>
              <w:rPr>
                <w:color w:val="000000"/>
                <w:sz w:val="17"/>
                <w:szCs w:val="17"/>
              </w:rPr>
              <w:t>(68.8</w:t>
            </w:r>
          </w:p>
        </w:tc>
        <w:tc>
          <w:tcPr>
            <w:tcW w:w="242" w:type="dxa"/>
            <w:vAlign w:val="bottom"/>
          </w:tcPr>
          <w:p w14:paraId="7BA42FDF" w14:textId="77777777" w:rsidR="007355BA" w:rsidRPr="007766C5" w:rsidRDefault="007355BA" w:rsidP="007355BA">
            <w:pPr>
              <w:spacing w:before="40" w:after="40"/>
              <w:rPr>
                <w:color w:val="000000"/>
                <w:sz w:val="17"/>
                <w:szCs w:val="17"/>
              </w:rPr>
            </w:pPr>
            <w:r>
              <w:rPr>
                <w:color w:val="000000"/>
                <w:sz w:val="17"/>
                <w:szCs w:val="17"/>
              </w:rPr>
              <w:t>)</w:t>
            </w:r>
          </w:p>
        </w:tc>
        <w:tc>
          <w:tcPr>
            <w:tcW w:w="924" w:type="dxa"/>
            <w:tcBorders>
              <w:bottom w:val="single" w:sz="4" w:space="0" w:color="auto"/>
            </w:tcBorders>
            <w:vAlign w:val="bottom"/>
          </w:tcPr>
          <w:p w14:paraId="64CD81E2" w14:textId="77777777" w:rsidR="007355BA" w:rsidRPr="007766C5" w:rsidRDefault="007355BA" w:rsidP="007355BA">
            <w:pPr>
              <w:spacing w:before="40" w:after="40"/>
              <w:jc w:val="right"/>
              <w:rPr>
                <w:color w:val="000000"/>
                <w:sz w:val="17"/>
                <w:szCs w:val="17"/>
              </w:rPr>
            </w:pPr>
            <w:r>
              <w:rPr>
                <w:color w:val="000000"/>
                <w:sz w:val="17"/>
                <w:szCs w:val="17"/>
              </w:rPr>
              <w:t>(103.3</w:t>
            </w:r>
          </w:p>
        </w:tc>
        <w:tc>
          <w:tcPr>
            <w:tcW w:w="242" w:type="dxa"/>
            <w:vAlign w:val="bottom"/>
          </w:tcPr>
          <w:p w14:paraId="3AFCAF51" w14:textId="77777777" w:rsidR="007355BA" w:rsidRPr="007766C5" w:rsidRDefault="007355BA" w:rsidP="007355BA">
            <w:pPr>
              <w:spacing w:before="40" w:after="40"/>
              <w:rPr>
                <w:sz w:val="17"/>
                <w:szCs w:val="17"/>
              </w:rPr>
            </w:pPr>
            <w:r>
              <w:rPr>
                <w:sz w:val="17"/>
                <w:szCs w:val="17"/>
              </w:rPr>
              <w:t>)</w:t>
            </w:r>
          </w:p>
        </w:tc>
        <w:tc>
          <w:tcPr>
            <w:tcW w:w="924" w:type="dxa"/>
            <w:tcBorders>
              <w:bottom w:val="single" w:sz="4" w:space="0" w:color="auto"/>
            </w:tcBorders>
            <w:vAlign w:val="bottom"/>
          </w:tcPr>
          <w:p w14:paraId="0ADE85B4" w14:textId="77777777" w:rsidR="007355BA" w:rsidRPr="007766C5" w:rsidRDefault="007355BA" w:rsidP="007355BA">
            <w:pPr>
              <w:spacing w:before="40" w:after="40"/>
              <w:jc w:val="right"/>
              <w:rPr>
                <w:sz w:val="17"/>
                <w:szCs w:val="17"/>
              </w:rPr>
            </w:pPr>
            <w:r>
              <w:rPr>
                <w:sz w:val="17"/>
                <w:szCs w:val="17"/>
              </w:rPr>
              <w:t>(71.8</w:t>
            </w:r>
          </w:p>
        </w:tc>
        <w:tc>
          <w:tcPr>
            <w:tcW w:w="227" w:type="dxa"/>
            <w:vAlign w:val="bottom"/>
          </w:tcPr>
          <w:p w14:paraId="15BC049D" w14:textId="77777777" w:rsidR="007355BA" w:rsidRPr="007766C5" w:rsidRDefault="007355BA" w:rsidP="007355BA">
            <w:pPr>
              <w:spacing w:before="40" w:after="40"/>
              <w:rPr>
                <w:sz w:val="17"/>
                <w:szCs w:val="17"/>
              </w:rPr>
            </w:pPr>
            <w:r>
              <w:rPr>
                <w:sz w:val="17"/>
                <w:szCs w:val="17"/>
              </w:rPr>
              <w:t>)</w:t>
            </w:r>
          </w:p>
        </w:tc>
        <w:tc>
          <w:tcPr>
            <w:tcW w:w="939" w:type="dxa"/>
            <w:tcBorders>
              <w:bottom w:val="single" w:sz="4" w:space="0" w:color="auto"/>
            </w:tcBorders>
            <w:vAlign w:val="bottom"/>
          </w:tcPr>
          <w:p w14:paraId="6909B3AE" w14:textId="77777777" w:rsidR="007355BA" w:rsidRPr="007766C5" w:rsidRDefault="007355BA" w:rsidP="007355BA">
            <w:pPr>
              <w:spacing w:before="40" w:after="40"/>
              <w:jc w:val="right"/>
              <w:rPr>
                <w:sz w:val="17"/>
                <w:szCs w:val="17"/>
              </w:rPr>
            </w:pPr>
            <w:r>
              <w:rPr>
                <w:sz w:val="17"/>
                <w:szCs w:val="17"/>
              </w:rPr>
              <w:t>(67.0</w:t>
            </w:r>
          </w:p>
        </w:tc>
        <w:tc>
          <w:tcPr>
            <w:tcW w:w="266" w:type="dxa"/>
            <w:vAlign w:val="bottom"/>
          </w:tcPr>
          <w:p w14:paraId="343F0057" w14:textId="77777777" w:rsidR="007355BA" w:rsidRPr="007766C5" w:rsidRDefault="007355BA" w:rsidP="007355BA">
            <w:pPr>
              <w:spacing w:before="40" w:after="40"/>
              <w:rPr>
                <w:sz w:val="17"/>
                <w:szCs w:val="17"/>
              </w:rPr>
            </w:pPr>
          </w:p>
        </w:tc>
      </w:tr>
      <w:tr w:rsidR="007355BA" w:rsidRPr="00E834EF" w14:paraId="5419700F" w14:textId="77777777" w:rsidTr="007355BA">
        <w:tc>
          <w:tcPr>
            <w:tcW w:w="3254" w:type="dxa"/>
          </w:tcPr>
          <w:p w14:paraId="513E9A26" w14:textId="77777777" w:rsidR="007355BA" w:rsidRDefault="007355BA" w:rsidP="007355BA">
            <w:pPr>
              <w:tabs>
                <w:tab w:val="right" w:leader="dot" w:pos="3255"/>
              </w:tabs>
              <w:bidi/>
              <w:spacing w:before="40" w:after="40"/>
              <w:rPr>
                <w:b/>
                <w:bCs/>
                <w:sz w:val="17"/>
                <w:szCs w:val="17"/>
                <w:u w:val="single"/>
              </w:rPr>
            </w:pPr>
            <w:r w:rsidRPr="002A4B5D">
              <w:rPr>
                <w:rFonts w:hint="cs"/>
                <w:b/>
                <w:bCs/>
                <w:sz w:val="17"/>
                <w:szCs w:val="17"/>
                <w:u w:val="single"/>
                <w:rtl/>
              </w:rPr>
              <w:t xml:space="preserve">إيرادات مكافئ تأجير السفن المجهزة بالمدة </w:t>
            </w:r>
            <w:r>
              <w:rPr>
                <w:rFonts w:hint="cs"/>
                <w:b/>
                <w:bCs/>
                <w:sz w:val="17"/>
                <w:szCs w:val="17"/>
                <w:u w:val="single"/>
                <w:rtl/>
              </w:rPr>
              <w:t>لل</w:t>
            </w:r>
            <w:r w:rsidR="00607B02">
              <w:rPr>
                <w:rFonts w:hint="cs"/>
                <w:b/>
                <w:bCs/>
                <w:sz w:val="17"/>
                <w:szCs w:val="17"/>
                <w:u w:val="single"/>
                <w:rtl/>
              </w:rPr>
              <w:t>نقل</w:t>
            </w:r>
            <w:r>
              <w:rPr>
                <w:rFonts w:hint="cs"/>
                <w:b/>
                <w:bCs/>
                <w:sz w:val="17"/>
                <w:szCs w:val="17"/>
                <w:u w:val="single"/>
                <w:rtl/>
              </w:rPr>
              <w:t xml:space="preserve"> المنتظم</w:t>
            </w:r>
            <w:r w:rsidRPr="007D2480">
              <w:rPr>
                <w:sz w:val="17"/>
              </w:rPr>
              <w:tab/>
            </w:r>
          </w:p>
        </w:tc>
        <w:tc>
          <w:tcPr>
            <w:tcW w:w="242" w:type="dxa"/>
            <w:vAlign w:val="bottom"/>
          </w:tcPr>
          <w:p w14:paraId="69AC892E" w14:textId="77777777" w:rsidR="007355BA" w:rsidRPr="00E834EF" w:rsidRDefault="007355BA" w:rsidP="007355BA">
            <w:pPr>
              <w:spacing w:before="40" w:after="40"/>
              <w:rPr>
                <w:sz w:val="17"/>
                <w:szCs w:val="17"/>
              </w:rPr>
            </w:pPr>
          </w:p>
        </w:tc>
        <w:tc>
          <w:tcPr>
            <w:tcW w:w="913" w:type="dxa"/>
            <w:tcBorders>
              <w:top w:val="single" w:sz="4" w:space="0" w:color="auto"/>
            </w:tcBorders>
            <w:vAlign w:val="bottom"/>
          </w:tcPr>
          <w:p w14:paraId="1B17A0B3" w14:textId="77777777" w:rsidR="007355BA" w:rsidRPr="002163D4" w:rsidRDefault="007355BA" w:rsidP="007355BA">
            <w:pPr>
              <w:spacing w:before="40" w:after="40"/>
              <w:jc w:val="right"/>
              <w:rPr>
                <w:b/>
                <w:bCs/>
                <w:color w:val="000000"/>
                <w:sz w:val="16"/>
                <w:szCs w:val="16"/>
              </w:rPr>
            </w:pPr>
            <w:r w:rsidRPr="007A3BB2">
              <w:rPr>
                <w:color w:val="000000"/>
                <w:sz w:val="16"/>
                <w:szCs w:val="16"/>
              </w:rPr>
              <w:t>55.3</w:t>
            </w:r>
          </w:p>
        </w:tc>
        <w:tc>
          <w:tcPr>
            <w:tcW w:w="252" w:type="dxa"/>
            <w:gridSpan w:val="2"/>
            <w:vAlign w:val="bottom"/>
          </w:tcPr>
          <w:p w14:paraId="747CB795" w14:textId="77777777" w:rsidR="007355BA" w:rsidRPr="002163D4" w:rsidRDefault="007355BA" w:rsidP="007355BA">
            <w:pPr>
              <w:spacing w:before="40" w:after="40"/>
              <w:rPr>
                <w:b/>
                <w:bCs/>
                <w:color w:val="000000"/>
                <w:sz w:val="16"/>
                <w:szCs w:val="16"/>
              </w:rPr>
            </w:pPr>
          </w:p>
        </w:tc>
        <w:tc>
          <w:tcPr>
            <w:tcW w:w="924" w:type="dxa"/>
            <w:tcBorders>
              <w:top w:val="single" w:sz="4" w:space="0" w:color="auto"/>
            </w:tcBorders>
            <w:vAlign w:val="bottom"/>
          </w:tcPr>
          <w:p w14:paraId="6F9BD70C" w14:textId="77777777" w:rsidR="007355BA" w:rsidRPr="002163D4" w:rsidRDefault="007355BA" w:rsidP="007355BA">
            <w:pPr>
              <w:spacing w:before="40" w:after="40"/>
              <w:jc w:val="right"/>
              <w:rPr>
                <w:b/>
                <w:bCs/>
                <w:color w:val="000000"/>
                <w:sz w:val="16"/>
                <w:szCs w:val="16"/>
              </w:rPr>
            </w:pPr>
            <w:r w:rsidRPr="007A3BB2">
              <w:rPr>
                <w:color w:val="000000"/>
                <w:sz w:val="16"/>
                <w:szCs w:val="16"/>
              </w:rPr>
              <w:t>79.9</w:t>
            </w:r>
          </w:p>
        </w:tc>
        <w:tc>
          <w:tcPr>
            <w:tcW w:w="242" w:type="dxa"/>
            <w:vAlign w:val="bottom"/>
          </w:tcPr>
          <w:p w14:paraId="4895D461" w14:textId="77777777" w:rsidR="007355BA" w:rsidRPr="002163D4" w:rsidRDefault="007355BA" w:rsidP="007355BA">
            <w:pPr>
              <w:spacing w:before="40" w:after="40"/>
              <w:rPr>
                <w:b/>
                <w:bCs/>
                <w:color w:val="000000"/>
                <w:sz w:val="16"/>
                <w:szCs w:val="16"/>
              </w:rPr>
            </w:pPr>
          </w:p>
        </w:tc>
        <w:tc>
          <w:tcPr>
            <w:tcW w:w="924" w:type="dxa"/>
            <w:tcBorders>
              <w:top w:val="single" w:sz="4" w:space="0" w:color="auto"/>
            </w:tcBorders>
            <w:vAlign w:val="bottom"/>
          </w:tcPr>
          <w:p w14:paraId="3701722B" w14:textId="77777777" w:rsidR="007355BA" w:rsidRPr="002163D4" w:rsidRDefault="007355BA" w:rsidP="007355BA">
            <w:pPr>
              <w:spacing w:before="40" w:after="40"/>
              <w:jc w:val="right"/>
              <w:rPr>
                <w:b/>
                <w:bCs/>
                <w:color w:val="000000"/>
                <w:sz w:val="16"/>
                <w:szCs w:val="16"/>
              </w:rPr>
            </w:pPr>
            <w:r w:rsidRPr="007A3BB2">
              <w:rPr>
                <w:color w:val="000000"/>
                <w:sz w:val="16"/>
                <w:szCs w:val="16"/>
              </w:rPr>
              <w:t>11.7</w:t>
            </w:r>
          </w:p>
        </w:tc>
        <w:tc>
          <w:tcPr>
            <w:tcW w:w="242" w:type="dxa"/>
            <w:vAlign w:val="bottom"/>
          </w:tcPr>
          <w:p w14:paraId="4D85A8CC" w14:textId="77777777" w:rsidR="007355BA" w:rsidRPr="002163D4" w:rsidRDefault="007355BA" w:rsidP="007355BA">
            <w:pPr>
              <w:spacing w:before="40" w:after="40"/>
              <w:rPr>
                <w:b/>
                <w:bCs/>
                <w:sz w:val="16"/>
                <w:szCs w:val="16"/>
              </w:rPr>
            </w:pPr>
          </w:p>
        </w:tc>
        <w:tc>
          <w:tcPr>
            <w:tcW w:w="924" w:type="dxa"/>
            <w:tcBorders>
              <w:top w:val="single" w:sz="4" w:space="0" w:color="auto"/>
            </w:tcBorders>
            <w:vAlign w:val="bottom"/>
          </w:tcPr>
          <w:p w14:paraId="1BA97766" w14:textId="77777777" w:rsidR="007355BA" w:rsidRPr="002163D4" w:rsidRDefault="007355BA" w:rsidP="007355BA">
            <w:pPr>
              <w:spacing w:before="40" w:after="40"/>
              <w:jc w:val="right"/>
              <w:rPr>
                <w:b/>
                <w:bCs/>
                <w:sz w:val="16"/>
                <w:szCs w:val="16"/>
              </w:rPr>
            </w:pPr>
            <w:r w:rsidRPr="007A3BB2">
              <w:rPr>
                <w:color w:val="000000"/>
                <w:sz w:val="16"/>
                <w:szCs w:val="16"/>
              </w:rPr>
              <w:t>13.5</w:t>
            </w:r>
          </w:p>
        </w:tc>
        <w:tc>
          <w:tcPr>
            <w:tcW w:w="227" w:type="dxa"/>
            <w:vAlign w:val="bottom"/>
          </w:tcPr>
          <w:p w14:paraId="4F563D00" w14:textId="77777777" w:rsidR="007355BA" w:rsidRPr="002163D4" w:rsidRDefault="007355BA" w:rsidP="007355BA">
            <w:pPr>
              <w:spacing w:before="40" w:after="40"/>
              <w:rPr>
                <w:b/>
                <w:bCs/>
                <w:sz w:val="16"/>
                <w:szCs w:val="16"/>
              </w:rPr>
            </w:pPr>
          </w:p>
        </w:tc>
        <w:tc>
          <w:tcPr>
            <w:tcW w:w="939" w:type="dxa"/>
            <w:tcBorders>
              <w:top w:val="single" w:sz="4" w:space="0" w:color="auto"/>
            </w:tcBorders>
            <w:vAlign w:val="bottom"/>
          </w:tcPr>
          <w:p w14:paraId="3A6F04A3" w14:textId="77777777" w:rsidR="007355BA" w:rsidRPr="002163D4" w:rsidRDefault="007355BA" w:rsidP="007355BA">
            <w:pPr>
              <w:spacing w:before="40" w:after="40"/>
              <w:jc w:val="right"/>
              <w:rPr>
                <w:b/>
                <w:bCs/>
                <w:sz w:val="16"/>
                <w:szCs w:val="16"/>
              </w:rPr>
            </w:pPr>
            <w:r w:rsidRPr="007A3BB2">
              <w:rPr>
                <w:color w:val="000000"/>
                <w:sz w:val="16"/>
                <w:szCs w:val="16"/>
              </w:rPr>
              <w:t>43.8</w:t>
            </w:r>
          </w:p>
        </w:tc>
        <w:tc>
          <w:tcPr>
            <w:tcW w:w="266" w:type="dxa"/>
          </w:tcPr>
          <w:p w14:paraId="5011C0AC" w14:textId="77777777" w:rsidR="007355BA" w:rsidRPr="000D2863" w:rsidRDefault="007355BA" w:rsidP="007355BA">
            <w:pPr>
              <w:spacing w:before="40" w:after="40"/>
              <w:rPr>
                <w:b/>
                <w:bCs/>
                <w:sz w:val="17"/>
                <w:szCs w:val="17"/>
              </w:rPr>
            </w:pPr>
          </w:p>
        </w:tc>
      </w:tr>
      <w:tr w:rsidR="007355BA" w:rsidRPr="00E834EF" w14:paraId="02D03425" w14:textId="77777777" w:rsidTr="007355BA">
        <w:tc>
          <w:tcPr>
            <w:tcW w:w="3254" w:type="dxa"/>
          </w:tcPr>
          <w:p w14:paraId="6EECC6AA" w14:textId="77777777" w:rsidR="007355BA" w:rsidRDefault="007355BA" w:rsidP="007355BA">
            <w:pPr>
              <w:tabs>
                <w:tab w:val="right" w:leader="dot" w:pos="3255"/>
              </w:tabs>
              <w:bidi/>
              <w:spacing w:before="40" w:after="40"/>
              <w:rPr>
                <w:b/>
                <w:bCs/>
                <w:sz w:val="17"/>
                <w:szCs w:val="17"/>
                <w:u w:val="single"/>
              </w:rPr>
            </w:pPr>
          </w:p>
        </w:tc>
        <w:tc>
          <w:tcPr>
            <w:tcW w:w="242" w:type="dxa"/>
            <w:vAlign w:val="bottom"/>
          </w:tcPr>
          <w:p w14:paraId="0C8E5216" w14:textId="77777777" w:rsidR="007355BA" w:rsidRPr="00E834EF" w:rsidRDefault="007355BA" w:rsidP="007355BA">
            <w:pPr>
              <w:spacing w:before="40" w:after="40"/>
              <w:rPr>
                <w:sz w:val="17"/>
                <w:szCs w:val="17"/>
              </w:rPr>
            </w:pPr>
          </w:p>
        </w:tc>
        <w:tc>
          <w:tcPr>
            <w:tcW w:w="913" w:type="dxa"/>
            <w:vAlign w:val="bottom"/>
          </w:tcPr>
          <w:p w14:paraId="4AEFBFE0" w14:textId="77777777" w:rsidR="007355BA" w:rsidRPr="007766C5" w:rsidRDefault="007355BA" w:rsidP="007355BA">
            <w:pPr>
              <w:spacing w:before="40" w:after="40"/>
              <w:jc w:val="right"/>
              <w:rPr>
                <w:b/>
                <w:bCs/>
                <w:sz w:val="17"/>
                <w:szCs w:val="17"/>
              </w:rPr>
            </w:pPr>
          </w:p>
        </w:tc>
        <w:tc>
          <w:tcPr>
            <w:tcW w:w="252" w:type="dxa"/>
            <w:gridSpan w:val="2"/>
            <w:vAlign w:val="bottom"/>
          </w:tcPr>
          <w:p w14:paraId="6AA0E2D1" w14:textId="77777777" w:rsidR="007355BA" w:rsidRPr="007766C5" w:rsidRDefault="007355BA" w:rsidP="007355BA">
            <w:pPr>
              <w:spacing w:before="40" w:after="40"/>
              <w:rPr>
                <w:b/>
                <w:bCs/>
                <w:color w:val="000000"/>
                <w:sz w:val="17"/>
                <w:szCs w:val="17"/>
              </w:rPr>
            </w:pPr>
          </w:p>
        </w:tc>
        <w:tc>
          <w:tcPr>
            <w:tcW w:w="924" w:type="dxa"/>
            <w:vAlign w:val="bottom"/>
          </w:tcPr>
          <w:p w14:paraId="392A6217" w14:textId="77777777" w:rsidR="007355BA" w:rsidRPr="007766C5" w:rsidRDefault="007355BA" w:rsidP="007355BA">
            <w:pPr>
              <w:spacing w:before="40" w:after="40"/>
              <w:jc w:val="right"/>
              <w:rPr>
                <w:b/>
                <w:bCs/>
                <w:sz w:val="17"/>
                <w:szCs w:val="17"/>
              </w:rPr>
            </w:pPr>
          </w:p>
        </w:tc>
        <w:tc>
          <w:tcPr>
            <w:tcW w:w="242" w:type="dxa"/>
            <w:vAlign w:val="bottom"/>
          </w:tcPr>
          <w:p w14:paraId="2A01D0FE" w14:textId="77777777" w:rsidR="007355BA" w:rsidRPr="007766C5" w:rsidRDefault="007355BA" w:rsidP="007355BA">
            <w:pPr>
              <w:spacing w:before="40" w:after="40"/>
              <w:rPr>
                <w:b/>
                <w:bCs/>
                <w:color w:val="000000"/>
                <w:sz w:val="17"/>
                <w:szCs w:val="17"/>
              </w:rPr>
            </w:pPr>
          </w:p>
        </w:tc>
        <w:tc>
          <w:tcPr>
            <w:tcW w:w="924" w:type="dxa"/>
            <w:vAlign w:val="bottom"/>
          </w:tcPr>
          <w:p w14:paraId="22BB6270" w14:textId="77777777" w:rsidR="007355BA" w:rsidRPr="007766C5" w:rsidRDefault="007355BA" w:rsidP="007355BA">
            <w:pPr>
              <w:spacing w:before="40" w:after="40"/>
              <w:jc w:val="right"/>
              <w:rPr>
                <w:b/>
                <w:bCs/>
                <w:sz w:val="17"/>
                <w:szCs w:val="17"/>
              </w:rPr>
            </w:pPr>
          </w:p>
        </w:tc>
        <w:tc>
          <w:tcPr>
            <w:tcW w:w="242" w:type="dxa"/>
            <w:vAlign w:val="bottom"/>
          </w:tcPr>
          <w:p w14:paraId="09BC2514" w14:textId="77777777" w:rsidR="007355BA" w:rsidRPr="007766C5" w:rsidRDefault="007355BA" w:rsidP="007355BA">
            <w:pPr>
              <w:spacing w:before="40" w:after="40"/>
              <w:rPr>
                <w:b/>
                <w:bCs/>
                <w:sz w:val="17"/>
                <w:szCs w:val="17"/>
              </w:rPr>
            </w:pPr>
          </w:p>
        </w:tc>
        <w:tc>
          <w:tcPr>
            <w:tcW w:w="924" w:type="dxa"/>
            <w:vAlign w:val="bottom"/>
          </w:tcPr>
          <w:p w14:paraId="11E72132" w14:textId="77777777" w:rsidR="007355BA" w:rsidRPr="007766C5" w:rsidRDefault="007355BA" w:rsidP="007355BA">
            <w:pPr>
              <w:spacing w:before="40" w:after="40"/>
              <w:jc w:val="right"/>
              <w:rPr>
                <w:b/>
                <w:bCs/>
                <w:sz w:val="17"/>
                <w:szCs w:val="17"/>
              </w:rPr>
            </w:pPr>
          </w:p>
        </w:tc>
        <w:tc>
          <w:tcPr>
            <w:tcW w:w="227" w:type="dxa"/>
            <w:vAlign w:val="bottom"/>
          </w:tcPr>
          <w:p w14:paraId="6AF14617" w14:textId="77777777" w:rsidR="007355BA" w:rsidRPr="007766C5" w:rsidRDefault="007355BA" w:rsidP="007355BA">
            <w:pPr>
              <w:spacing w:before="40" w:after="40"/>
              <w:rPr>
                <w:b/>
                <w:bCs/>
                <w:sz w:val="17"/>
                <w:szCs w:val="17"/>
              </w:rPr>
            </w:pPr>
          </w:p>
        </w:tc>
        <w:tc>
          <w:tcPr>
            <w:tcW w:w="939" w:type="dxa"/>
            <w:vAlign w:val="bottom"/>
          </w:tcPr>
          <w:p w14:paraId="451AD2C5" w14:textId="77777777" w:rsidR="007355BA" w:rsidRPr="007766C5" w:rsidRDefault="007355BA" w:rsidP="007355BA">
            <w:pPr>
              <w:spacing w:before="40" w:after="40"/>
              <w:jc w:val="right"/>
              <w:rPr>
                <w:b/>
                <w:bCs/>
                <w:sz w:val="17"/>
                <w:szCs w:val="17"/>
              </w:rPr>
            </w:pPr>
          </w:p>
        </w:tc>
        <w:tc>
          <w:tcPr>
            <w:tcW w:w="266" w:type="dxa"/>
          </w:tcPr>
          <w:p w14:paraId="3114B77E" w14:textId="77777777" w:rsidR="007355BA" w:rsidRPr="000D2863" w:rsidRDefault="007355BA" w:rsidP="007355BA">
            <w:pPr>
              <w:spacing w:before="40" w:after="40"/>
              <w:rPr>
                <w:b/>
                <w:bCs/>
                <w:sz w:val="17"/>
                <w:szCs w:val="17"/>
              </w:rPr>
            </w:pPr>
          </w:p>
        </w:tc>
      </w:tr>
      <w:tr w:rsidR="007355BA" w:rsidRPr="00E834EF" w14:paraId="73A1BAE0" w14:textId="77777777" w:rsidTr="007355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bottom"/>
          </w:tcPr>
          <w:p w14:paraId="086D1AFA" w14:textId="77777777" w:rsidR="007355BA" w:rsidRDefault="007355BA" w:rsidP="007355BA">
            <w:pPr>
              <w:tabs>
                <w:tab w:val="right" w:leader="dot" w:pos="3255"/>
              </w:tabs>
              <w:bidi/>
              <w:spacing w:before="40" w:after="40"/>
              <w:ind w:left="12"/>
              <w:rPr>
                <w:b/>
                <w:bCs/>
                <w:color w:val="000000"/>
                <w:sz w:val="17"/>
                <w:szCs w:val="17"/>
              </w:rPr>
            </w:pPr>
            <w:r>
              <w:rPr>
                <w:rFonts w:hint="cs"/>
                <w:b/>
                <w:bCs/>
                <w:color w:val="000000"/>
                <w:sz w:val="17"/>
                <w:szCs w:val="17"/>
                <w:rtl/>
              </w:rPr>
              <w:t>إجمالي أرباح ال</w:t>
            </w:r>
            <w:r w:rsidR="00607B02">
              <w:rPr>
                <w:rFonts w:hint="cs"/>
                <w:b/>
                <w:bCs/>
                <w:color w:val="000000"/>
                <w:sz w:val="17"/>
                <w:szCs w:val="17"/>
                <w:rtl/>
              </w:rPr>
              <w:t>نقل</w:t>
            </w:r>
            <w:r>
              <w:rPr>
                <w:rFonts w:hint="cs"/>
                <w:b/>
                <w:bCs/>
                <w:color w:val="000000"/>
                <w:sz w:val="17"/>
                <w:szCs w:val="17"/>
                <w:rtl/>
              </w:rPr>
              <w:t xml:space="preserve"> المنتظم</w:t>
            </w:r>
            <w:r w:rsidRPr="0054596C">
              <w:rPr>
                <w:sz w:val="17"/>
              </w:rPr>
              <w:tab/>
            </w:r>
          </w:p>
        </w:tc>
        <w:tc>
          <w:tcPr>
            <w:tcW w:w="242" w:type="dxa"/>
            <w:tcBorders>
              <w:top w:val="nil"/>
              <w:left w:val="nil"/>
              <w:bottom w:val="nil"/>
              <w:right w:val="nil"/>
            </w:tcBorders>
            <w:vAlign w:val="bottom"/>
          </w:tcPr>
          <w:p w14:paraId="5CB0B0C1" w14:textId="77777777" w:rsidR="007355BA" w:rsidRPr="00E834EF" w:rsidRDefault="007355BA" w:rsidP="007355BA">
            <w:pPr>
              <w:spacing w:before="40" w:after="40"/>
              <w:rPr>
                <w:sz w:val="17"/>
                <w:szCs w:val="17"/>
              </w:rPr>
            </w:pPr>
          </w:p>
        </w:tc>
        <w:tc>
          <w:tcPr>
            <w:tcW w:w="913" w:type="dxa"/>
            <w:tcBorders>
              <w:top w:val="nil"/>
              <w:left w:val="nil"/>
              <w:bottom w:val="nil"/>
              <w:right w:val="nil"/>
            </w:tcBorders>
            <w:vAlign w:val="bottom"/>
          </w:tcPr>
          <w:p w14:paraId="0179B4F9" w14:textId="77777777" w:rsidR="007355BA" w:rsidRPr="007766C5" w:rsidRDefault="007355BA" w:rsidP="007355BA">
            <w:pPr>
              <w:spacing w:before="40" w:after="40"/>
              <w:jc w:val="right"/>
              <w:rPr>
                <w:color w:val="000000"/>
                <w:sz w:val="17"/>
                <w:szCs w:val="17"/>
              </w:rPr>
            </w:pPr>
            <w:r>
              <w:rPr>
                <w:color w:val="000000"/>
                <w:sz w:val="17"/>
                <w:szCs w:val="17"/>
              </w:rPr>
              <w:t>17.3</w:t>
            </w:r>
          </w:p>
        </w:tc>
        <w:tc>
          <w:tcPr>
            <w:tcW w:w="252" w:type="dxa"/>
            <w:gridSpan w:val="2"/>
            <w:tcBorders>
              <w:top w:val="nil"/>
              <w:left w:val="nil"/>
              <w:bottom w:val="nil"/>
              <w:right w:val="nil"/>
            </w:tcBorders>
            <w:vAlign w:val="bottom"/>
          </w:tcPr>
          <w:p w14:paraId="352068FC" w14:textId="77777777" w:rsidR="007355BA" w:rsidRPr="007766C5"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37684BB0" w14:textId="77777777" w:rsidR="007355BA" w:rsidRPr="007766C5" w:rsidRDefault="007355BA" w:rsidP="007355BA">
            <w:pPr>
              <w:spacing w:before="40" w:after="40"/>
              <w:jc w:val="right"/>
              <w:rPr>
                <w:color w:val="000000"/>
                <w:sz w:val="17"/>
                <w:szCs w:val="17"/>
              </w:rPr>
            </w:pPr>
            <w:r>
              <w:rPr>
                <w:color w:val="000000"/>
                <w:sz w:val="17"/>
                <w:szCs w:val="17"/>
              </w:rPr>
              <w:t>34.0</w:t>
            </w:r>
          </w:p>
        </w:tc>
        <w:tc>
          <w:tcPr>
            <w:tcW w:w="242" w:type="dxa"/>
            <w:tcBorders>
              <w:top w:val="nil"/>
              <w:left w:val="nil"/>
              <w:bottom w:val="nil"/>
              <w:right w:val="nil"/>
            </w:tcBorders>
            <w:vAlign w:val="bottom"/>
          </w:tcPr>
          <w:p w14:paraId="372C707F" w14:textId="77777777" w:rsidR="007355BA" w:rsidRPr="007766C5" w:rsidRDefault="00364F0D" w:rsidP="007355BA">
            <w:pPr>
              <w:spacing w:before="40" w:after="40"/>
              <w:rPr>
                <w:color w:val="000000"/>
                <w:sz w:val="17"/>
                <w:szCs w:val="17"/>
              </w:rPr>
            </w:pPr>
            <w:r>
              <w:rPr>
                <w:color w:val="000000"/>
                <w:sz w:val="17"/>
                <w:szCs w:val="17"/>
              </w:rPr>
              <w:t>)</w:t>
            </w:r>
          </w:p>
        </w:tc>
        <w:tc>
          <w:tcPr>
            <w:tcW w:w="924" w:type="dxa"/>
            <w:tcBorders>
              <w:top w:val="nil"/>
              <w:left w:val="nil"/>
              <w:bottom w:val="nil"/>
              <w:right w:val="nil"/>
            </w:tcBorders>
            <w:vAlign w:val="bottom"/>
          </w:tcPr>
          <w:p w14:paraId="3EE49A4B" w14:textId="77777777" w:rsidR="007355BA" w:rsidRPr="007766C5" w:rsidRDefault="007355BA" w:rsidP="007355BA">
            <w:pPr>
              <w:spacing w:before="40" w:after="40"/>
              <w:jc w:val="right"/>
              <w:rPr>
                <w:color w:val="000000"/>
                <w:sz w:val="17"/>
                <w:szCs w:val="17"/>
              </w:rPr>
            </w:pPr>
            <w:r>
              <w:rPr>
                <w:color w:val="000000"/>
                <w:sz w:val="17"/>
                <w:szCs w:val="17"/>
              </w:rPr>
              <w:t>(73.1</w:t>
            </w:r>
          </w:p>
        </w:tc>
        <w:tc>
          <w:tcPr>
            <w:tcW w:w="242" w:type="dxa"/>
            <w:tcBorders>
              <w:top w:val="nil"/>
              <w:left w:val="nil"/>
              <w:bottom w:val="nil"/>
              <w:right w:val="nil"/>
            </w:tcBorders>
            <w:vAlign w:val="bottom"/>
          </w:tcPr>
          <w:p w14:paraId="63000723" w14:textId="77777777" w:rsidR="007355BA" w:rsidRPr="007766C5" w:rsidRDefault="007355BA" w:rsidP="007355BA">
            <w:pPr>
              <w:spacing w:before="40" w:after="40"/>
              <w:rPr>
                <w:sz w:val="17"/>
                <w:szCs w:val="17"/>
              </w:rPr>
            </w:pPr>
            <w:r>
              <w:rPr>
                <w:sz w:val="17"/>
                <w:szCs w:val="17"/>
              </w:rPr>
              <w:t>)</w:t>
            </w:r>
          </w:p>
        </w:tc>
        <w:tc>
          <w:tcPr>
            <w:tcW w:w="924" w:type="dxa"/>
            <w:tcBorders>
              <w:top w:val="nil"/>
              <w:left w:val="nil"/>
              <w:bottom w:val="nil"/>
              <w:right w:val="nil"/>
            </w:tcBorders>
            <w:vAlign w:val="bottom"/>
          </w:tcPr>
          <w:p w14:paraId="131EA608" w14:textId="77777777" w:rsidR="007355BA" w:rsidRPr="007766C5" w:rsidRDefault="007355BA" w:rsidP="007355BA">
            <w:pPr>
              <w:spacing w:before="40" w:after="40"/>
              <w:jc w:val="right"/>
              <w:rPr>
                <w:sz w:val="17"/>
                <w:szCs w:val="17"/>
              </w:rPr>
            </w:pPr>
            <w:r>
              <w:rPr>
                <w:sz w:val="17"/>
                <w:szCs w:val="17"/>
              </w:rPr>
              <w:t>(45.5</w:t>
            </w:r>
          </w:p>
        </w:tc>
        <w:tc>
          <w:tcPr>
            <w:tcW w:w="227" w:type="dxa"/>
            <w:tcBorders>
              <w:top w:val="nil"/>
              <w:left w:val="nil"/>
              <w:bottom w:val="nil"/>
              <w:right w:val="nil"/>
            </w:tcBorders>
            <w:vAlign w:val="bottom"/>
          </w:tcPr>
          <w:p w14:paraId="19D42BFE" w14:textId="77777777" w:rsidR="007355BA" w:rsidRPr="007766C5" w:rsidRDefault="007355BA" w:rsidP="007355BA">
            <w:pPr>
              <w:spacing w:before="40" w:after="40"/>
              <w:rPr>
                <w:sz w:val="17"/>
                <w:szCs w:val="17"/>
              </w:rPr>
            </w:pPr>
          </w:p>
        </w:tc>
        <w:tc>
          <w:tcPr>
            <w:tcW w:w="939" w:type="dxa"/>
            <w:tcBorders>
              <w:top w:val="nil"/>
              <w:left w:val="nil"/>
              <w:bottom w:val="nil"/>
              <w:right w:val="nil"/>
            </w:tcBorders>
            <w:vAlign w:val="bottom"/>
          </w:tcPr>
          <w:p w14:paraId="7BA873C1" w14:textId="77777777" w:rsidR="007355BA" w:rsidRPr="007766C5" w:rsidRDefault="007355BA" w:rsidP="007355BA">
            <w:pPr>
              <w:spacing w:before="40" w:after="40"/>
              <w:jc w:val="right"/>
              <w:rPr>
                <w:sz w:val="17"/>
                <w:szCs w:val="17"/>
              </w:rPr>
            </w:pPr>
            <w:r>
              <w:rPr>
                <w:sz w:val="17"/>
                <w:szCs w:val="17"/>
              </w:rPr>
              <w:t>8.7</w:t>
            </w:r>
          </w:p>
        </w:tc>
        <w:tc>
          <w:tcPr>
            <w:tcW w:w="266" w:type="dxa"/>
            <w:tcBorders>
              <w:top w:val="nil"/>
              <w:left w:val="nil"/>
              <w:bottom w:val="nil"/>
              <w:right w:val="nil"/>
            </w:tcBorders>
            <w:vAlign w:val="bottom"/>
          </w:tcPr>
          <w:p w14:paraId="086DB412" w14:textId="77777777" w:rsidR="007355BA" w:rsidRPr="000D2863" w:rsidRDefault="007355BA" w:rsidP="007355BA">
            <w:pPr>
              <w:spacing w:before="40" w:after="40"/>
              <w:rPr>
                <w:sz w:val="17"/>
                <w:szCs w:val="17"/>
              </w:rPr>
            </w:pPr>
          </w:p>
        </w:tc>
      </w:tr>
      <w:tr w:rsidR="007355BA" w:rsidRPr="00E834EF" w14:paraId="586B41DD" w14:textId="77777777" w:rsidTr="007355BA">
        <w:tc>
          <w:tcPr>
            <w:tcW w:w="3254" w:type="dxa"/>
            <w:vAlign w:val="bottom"/>
          </w:tcPr>
          <w:p w14:paraId="1E8B2740" w14:textId="77777777" w:rsidR="007355BA" w:rsidRPr="00E754AA" w:rsidRDefault="007355BA" w:rsidP="007355BA">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5B6D9019" w14:textId="77777777" w:rsidR="007355BA" w:rsidRPr="00E754AA" w:rsidRDefault="007355BA" w:rsidP="007355BA">
            <w:pPr>
              <w:spacing w:before="40" w:after="40"/>
              <w:rPr>
                <w:sz w:val="17"/>
                <w:szCs w:val="17"/>
              </w:rPr>
            </w:pPr>
          </w:p>
        </w:tc>
        <w:tc>
          <w:tcPr>
            <w:tcW w:w="913" w:type="dxa"/>
            <w:vAlign w:val="bottom"/>
          </w:tcPr>
          <w:p w14:paraId="153E04B9"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vAlign w:val="bottom"/>
          </w:tcPr>
          <w:p w14:paraId="0747E76E" w14:textId="77777777" w:rsidR="007355BA" w:rsidRPr="00E754AA" w:rsidRDefault="007355BA" w:rsidP="007355BA">
            <w:pPr>
              <w:spacing w:before="40" w:after="40"/>
              <w:rPr>
                <w:color w:val="000000"/>
                <w:sz w:val="17"/>
                <w:szCs w:val="17"/>
              </w:rPr>
            </w:pPr>
          </w:p>
        </w:tc>
        <w:tc>
          <w:tcPr>
            <w:tcW w:w="924" w:type="dxa"/>
            <w:vAlign w:val="bottom"/>
          </w:tcPr>
          <w:p w14:paraId="6C861F9B"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7077636F" w14:textId="77777777" w:rsidR="007355BA" w:rsidRPr="00E754AA" w:rsidRDefault="007355BA" w:rsidP="007355BA">
            <w:pPr>
              <w:spacing w:before="40" w:after="40"/>
              <w:rPr>
                <w:color w:val="000000"/>
                <w:sz w:val="17"/>
                <w:szCs w:val="17"/>
              </w:rPr>
            </w:pPr>
          </w:p>
        </w:tc>
        <w:tc>
          <w:tcPr>
            <w:tcW w:w="924" w:type="dxa"/>
            <w:vAlign w:val="bottom"/>
          </w:tcPr>
          <w:p w14:paraId="2F2E8958"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2757BDBA" w14:textId="77777777" w:rsidR="007355BA" w:rsidRPr="00E754AA" w:rsidRDefault="007355BA" w:rsidP="007355BA">
            <w:pPr>
              <w:spacing w:before="40" w:after="40"/>
              <w:rPr>
                <w:sz w:val="17"/>
                <w:szCs w:val="17"/>
              </w:rPr>
            </w:pPr>
          </w:p>
        </w:tc>
        <w:tc>
          <w:tcPr>
            <w:tcW w:w="924" w:type="dxa"/>
            <w:vAlign w:val="bottom"/>
          </w:tcPr>
          <w:p w14:paraId="6C164A5B" w14:textId="77777777" w:rsidR="007355BA" w:rsidRPr="00E754AA" w:rsidRDefault="007355BA" w:rsidP="007355BA">
            <w:pPr>
              <w:spacing w:before="40" w:after="40"/>
              <w:jc w:val="right"/>
              <w:rPr>
                <w:sz w:val="17"/>
                <w:szCs w:val="17"/>
              </w:rPr>
            </w:pPr>
            <w:r w:rsidRPr="00B02BA3">
              <w:rPr>
                <w:sz w:val="17"/>
              </w:rPr>
              <w:t>—</w:t>
            </w:r>
          </w:p>
        </w:tc>
        <w:tc>
          <w:tcPr>
            <w:tcW w:w="227" w:type="dxa"/>
            <w:vAlign w:val="bottom"/>
          </w:tcPr>
          <w:p w14:paraId="2E2F7155" w14:textId="77777777" w:rsidR="007355BA" w:rsidRPr="00E754AA" w:rsidRDefault="007355BA" w:rsidP="007355BA">
            <w:pPr>
              <w:spacing w:before="40" w:after="40"/>
              <w:rPr>
                <w:sz w:val="17"/>
                <w:szCs w:val="17"/>
              </w:rPr>
            </w:pPr>
          </w:p>
        </w:tc>
        <w:tc>
          <w:tcPr>
            <w:tcW w:w="939" w:type="dxa"/>
            <w:vAlign w:val="bottom"/>
          </w:tcPr>
          <w:p w14:paraId="6D1B8F7C" w14:textId="77777777" w:rsidR="007355BA" w:rsidRPr="00E754AA" w:rsidRDefault="007355BA" w:rsidP="007355BA">
            <w:pPr>
              <w:spacing w:before="40" w:after="40"/>
              <w:jc w:val="right"/>
              <w:rPr>
                <w:sz w:val="17"/>
                <w:szCs w:val="17"/>
              </w:rPr>
            </w:pPr>
            <w:r w:rsidRPr="00B02BA3">
              <w:rPr>
                <w:sz w:val="17"/>
              </w:rPr>
              <w:t>—</w:t>
            </w:r>
          </w:p>
        </w:tc>
        <w:tc>
          <w:tcPr>
            <w:tcW w:w="266" w:type="dxa"/>
            <w:vAlign w:val="bottom"/>
          </w:tcPr>
          <w:p w14:paraId="555C7E6F" w14:textId="77777777" w:rsidR="007355BA" w:rsidRPr="000D2863" w:rsidRDefault="007355BA" w:rsidP="007355BA">
            <w:pPr>
              <w:spacing w:before="40" w:after="40"/>
              <w:rPr>
                <w:sz w:val="17"/>
                <w:szCs w:val="17"/>
              </w:rPr>
            </w:pPr>
          </w:p>
        </w:tc>
      </w:tr>
      <w:tr w:rsidR="007355BA" w:rsidRPr="00E834EF" w14:paraId="12150BCC" w14:textId="77777777" w:rsidTr="007355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4" w:type="dxa"/>
            <w:tcBorders>
              <w:top w:val="nil"/>
              <w:left w:val="nil"/>
              <w:bottom w:val="nil"/>
              <w:right w:val="nil"/>
            </w:tcBorders>
            <w:vAlign w:val="center"/>
          </w:tcPr>
          <w:p w14:paraId="25CA9773" w14:textId="77777777" w:rsidR="007355BA" w:rsidRPr="00E754AA" w:rsidRDefault="008D70E0" w:rsidP="007355BA">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7355BA" w:rsidRPr="0054596C">
              <w:rPr>
                <w:sz w:val="17"/>
              </w:rPr>
              <w:tab/>
            </w:r>
          </w:p>
        </w:tc>
        <w:tc>
          <w:tcPr>
            <w:tcW w:w="242" w:type="dxa"/>
            <w:tcBorders>
              <w:top w:val="nil"/>
              <w:left w:val="nil"/>
              <w:bottom w:val="nil"/>
              <w:right w:val="nil"/>
            </w:tcBorders>
            <w:vAlign w:val="bottom"/>
          </w:tcPr>
          <w:p w14:paraId="6820DA49" w14:textId="77777777" w:rsidR="007355BA" w:rsidRPr="00E834EF" w:rsidRDefault="007355BA" w:rsidP="007355BA">
            <w:pPr>
              <w:spacing w:before="40" w:after="40"/>
              <w:rPr>
                <w:sz w:val="17"/>
                <w:szCs w:val="17"/>
              </w:rPr>
            </w:pPr>
          </w:p>
        </w:tc>
        <w:tc>
          <w:tcPr>
            <w:tcW w:w="913" w:type="dxa"/>
            <w:tcBorders>
              <w:top w:val="nil"/>
              <w:left w:val="nil"/>
              <w:bottom w:val="nil"/>
              <w:right w:val="nil"/>
            </w:tcBorders>
            <w:vAlign w:val="bottom"/>
          </w:tcPr>
          <w:p w14:paraId="4F63159C" w14:textId="77777777" w:rsidR="007355BA" w:rsidRPr="00E754AA" w:rsidRDefault="007355BA" w:rsidP="007355BA">
            <w:pPr>
              <w:spacing w:before="40" w:after="40"/>
              <w:jc w:val="right"/>
              <w:rPr>
                <w:color w:val="000000"/>
                <w:sz w:val="17"/>
                <w:szCs w:val="17"/>
              </w:rPr>
            </w:pPr>
            <w:r>
              <w:rPr>
                <w:color w:val="000000"/>
                <w:sz w:val="17"/>
                <w:szCs w:val="17"/>
              </w:rPr>
              <w:t>0.1</w:t>
            </w:r>
          </w:p>
        </w:tc>
        <w:tc>
          <w:tcPr>
            <w:tcW w:w="252" w:type="dxa"/>
            <w:gridSpan w:val="2"/>
            <w:tcBorders>
              <w:top w:val="nil"/>
              <w:left w:val="nil"/>
              <w:bottom w:val="nil"/>
              <w:right w:val="nil"/>
            </w:tcBorders>
            <w:vAlign w:val="bottom"/>
          </w:tcPr>
          <w:p w14:paraId="2740DB83" w14:textId="77777777" w:rsidR="007355BA" w:rsidRPr="00E754AA"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7E320242" w14:textId="77777777" w:rsidR="007355BA" w:rsidRPr="00E754AA" w:rsidRDefault="004B0ECD" w:rsidP="007355BA">
            <w:pPr>
              <w:spacing w:before="40" w:after="40"/>
              <w:jc w:val="right"/>
              <w:rPr>
                <w:color w:val="000000"/>
                <w:sz w:val="17"/>
                <w:szCs w:val="17"/>
              </w:rPr>
            </w:pPr>
            <w:r>
              <w:rPr>
                <w:sz w:val="17"/>
              </w:rPr>
              <w:t>0.0</w:t>
            </w:r>
          </w:p>
        </w:tc>
        <w:tc>
          <w:tcPr>
            <w:tcW w:w="242" w:type="dxa"/>
            <w:tcBorders>
              <w:top w:val="nil"/>
              <w:left w:val="nil"/>
              <w:bottom w:val="nil"/>
              <w:right w:val="nil"/>
            </w:tcBorders>
            <w:vAlign w:val="bottom"/>
          </w:tcPr>
          <w:p w14:paraId="5F8D9DBA" w14:textId="77777777" w:rsidR="007355BA" w:rsidRPr="00E754AA" w:rsidRDefault="007355BA" w:rsidP="007355BA">
            <w:pPr>
              <w:spacing w:before="40" w:after="40"/>
              <w:rPr>
                <w:color w:val="000000"/>
                <w:sz w:val="17"/>
                <w:szCs w:val="17"/>
              </w:rPr>
            </w:pPr>
          </w:p>
        </w:tc>
        <w:tc>
          <w:tcPr>
            <w:tcW w:w="924" w:type="dxa"/>
            <w:tcBorders>
              <w:top w:val="nil"/>
              <w:left w:val="nil"/>
              <w:bottom w:val="nil"/>
              <w:right w:val="nil"/>
            </w:tcBorders>
            <w:vAlign w:val="bottom"/>
          </w:tcPr>
          <w:p w14:paraId="56E8DD3C" w14:textId="77777777" w:rsidR="007355BA" w:rsidRPr="00E754AA" w:rsidRDefault="004B0ECD" w:rsidP="007355BA">
            <w:pPr>
              <w:spacing w:before="40" w:after="40"/>
              <w:jc w:val="right"/>
              <w:rPr>
                <w:color w:val="000000"/>
                <w:sz w:val="17"/>
                <w:szCs w:val="17"/>
              </w:rPr>
            </w:pPr>
            <w:r>
              <w:rPr>
                <w:sz w:val="17"/>
              </w:rPr>
              <w:t>0.0</w:t>
            </w:r>
          </w:p>
        </w:tc>
        <w:tc>
          <w:tcPr>
            <w:tcW w:w="242" w:type="dxa"/>
            <w:tcBorders>
              <w:top w:val="nil"/>
              <w:left w:val="nil"/>
              <w:bottom w:val="nil"/>
              <w:right w:val="nil"/>
            </w:tcBorders>
            <w:vAlign w:val="bottom"/>
          </w:tcPr>
          <w:p w14:paraId="3E7C1985" w14:textId="77777777" w:rsidR="007355BA" w:rsidRPr="00E754AA" w:rsidRDefault="007355BA" w:rsidP="007355BA">
            <w:pPr>
              <w:spacing w:before="40" w:after="40"/>
              <w:rPr>
                <w:sz w:val="17"/>
                <w:szCs w:val="17"/>
              </w:rPr>
            </w:pPr>
          </w:p>
        </w:tc>
        <w:tc>
          <w:tcPr>
            <w:tcW w:w="924" w:type="dxa"/>
            <w:tcBorders>
              <w:top w:val="nil"/>
              <w:left w:val="nil"/>
              <w:bottom w:val="nil"/>
              <w:right w:val="nil"/>
            </w:tcBorders>
            <w:vAlign w:val="bottom"/>
          </w:tcPr>
          <w:p w14:paraId="39EBCB2C" w14:textId="77777777" w:rsidR="007355BA" w:rsidRPr="00E754AA" w:rsidRDefault="004B0ECD" w:rsidP="007355BA">
            <w:pPr>
              <w:spacing w:before="40" w:after="40"/>
              <w:jc w:val="right"/>
              <w:rPr>
                <w:sz w:val="17"/>
                <w:szCs w:val="17"/>
              </w:rPr>
            </w:pPr>
            <w:r>
              <w:rPr>
                <w:sz w:val="17"/>
              </w:rPr>
              <w:t>0.0</w:t>
            </w:r>
          </w:p>
        </w:tc>
        <w:tc>
          <w:tcPr>
            <w:tcW w:w="227" w:type="dxa"/>
            <w:tcBorders>
              <w:top w:val="nil"/>
              <w:left w:val="nil"/>
              <w:bottom w:val="nil"/>
              <w:right w:val="nil"/>
            </w:tcBorders>
            <w:vAlign w:val="bottom"/>
          </w:tcPr>
          <w:p w14:paraId="25DE383E" w14:textId="77777777" w:rsidR="007355BA" w:rsidRPr="00E754AA" w:rsidRDefault="007355BA" w:rsidP="007355BA">
            <w:pPr>
              <w:spacing w:before="40" w:after="40"/>
              <w:rPr>
                <w:sz w:val="17"/>
                <w:szCs w:val="17"/>
              </w:rPr>
            </w:pPr>
          </w:p>
        </w:tc>
        <w:tc>
          <w:tcPr>
            <w:tcW w:w="939" w:type="dxa"/>
            <w:tcBorders>
              <w:top w:val="nil"/>
              <w:left w:val="nil"/>
              <w:bottom w:val="nil"/>
              <w:right w:val="nil"/>
            </w:tcBorders>
            <w:vAlign w:val="bottom"/>
          </w:tcPr>
          <w:p w14:paraId="59207385" w14:textId="77777777" w:rsidR="007355BA" w:rsidRPr="00E754AA" w:rsidRDefault="007355BA" w:rsidP="007355BA">
            <w:pPr>
              <w:spacing w:before="40" w:after="40"/>
              <w:jc w:val="right"/>
              <w:rPr>
                <w:sz w:val="17"/>
                <w:szCs w:val="17"/>
              </w:rPr>
            </w:pPr>
            <w:r w:rsidRPr="00B02BA3">
              <w:rPr>
                <w:sz w:val="17"/>
              </w:rPr>
              <w:t>—</w:t>
            </w:r>
          </w:p>
        </w:tc>
        <w:tc>
          <w:tcPr>
            <w:tcW w:w="266" w:type="dxa"/>
            <w:tcBorders>
              <w:top w:val="nil"/>
              <w:left w:val="nil"/>
              <w:bottom w:val="nil"/>
              <w:right w:val="nil"/>
            </w:tcBorders>
            <w:vAlign w:val="bottom"/>
          </w:tcPr>
          <w:p w14:paraId="4CFC9CB8" w14:textId="77777777" w:rsidR="007355BA" w:rsidRPr="000D2863" w:rsidRDefault="007355BA" w:rsidP="007355BA">
            <w:pPr>
              <w:spacing w:before="40" w:after="40"/>
              <w:rPr>
                <w:sz w:val="17"/>
                <w:szCs w:val="17"/>
              </w:rPr>
            </w:pPr>
          </w:p>
        </w:tc>
      </w:tr>
      <w:tr w:rsidR="007355BA" w:rsidRPr="00E834EF" w14:paraId="0BFEB521" w14:textId="77777777" w:rsidTr="007355BA">
        <w:tc>
          <w:tcPr>
            <w:tcW w:w="3254" w:type="dxa"/>
            <w:vAlign w:val="center"/>
          </w:tcPr>
          <w:p w14:paraId="4C72597D" w14:textId="77777777" w:rsidR="007355BA" w:rsidRPr="00E754AA" w:rsidRDefault="007355BA" w:rsidP="007355BA">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59DFFC15" w14:textId="77777777" w:rsidR="007355BA" w:rsidRPr="00E834EF" w:rsidRDefault="007355BA" w:rsidP="007355BA">
            <w:pPr>
              <w:spacing w:before="40" w:after="40"/>
              <w:rPr>
                <w:sz w:val="17"/>
                <w:szCs w:val="17"/>
              </w:rPr>
            </w:pPr>
          </w:p>
        </w:tc>
        <w:tc>
          <w:tcPr>
            <w:tcW w:w="913" w:type="dxa"/>
            <w:vAlign w:val="bottom"/>
          </w:tcPr>
          <w:p w14:paraId="00D68C25"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vAlign w:val="bottom"/>
          </w:tcPr>
          <w:p w14:paraId="41CB2B1A" w14:textId="77777777" w:rsidR="007355BA" w:rsidRPr="00E754AA" w:rsidRDefault="007355BA" w:rsidP="007355BA">
            <w:pPr>
              <w:spacing w:before="40" w:after="40"/>
              <w:rPr>
                <w:color w:val="000000"/>
                <w:sz w:val="17"/>
                <w:szCs w:val="17"/>
              </w:rPr>
            </w:pPr>
          </w:p>
        </w:tc>
        <w:tc>
          <w:tcPr>
            <w:tcW w:w="924" w:type="dxa"/>
            <w:vAlign w:val="bottom"/>
          </w:tcPr>
          <w:p w14:paraId="2A415F1D"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28EA923C" w14:textId="77777777" w:rsidR="007355BA" w:rsidRPr="00E754AA" w:rsidRDefault="007355BA" w:rsidP="007355BA">
            <w:pPr>
              <w:spacing w:before="40" w:after="40"/>
              <w:rPr>
                <w:color w:val="000000"/>
                <w:sz w:val="17"/>
                <w:szCs w:val="17"/>
              </w:rPr>
            </w:pPr>
          </w:p>
        </w:tc>
        <w:tc>
          <w:tcPr>
            <w:tcW w:w="924" w:type="dxa"/>
            <w:vAlign w:val="bottom"/>
          </w:tcPr>
          <w:p w14:paraId="49F8D233"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69A4D687" w14:textId="77777777" w:rsidR="007355BA" w:rsidRPr="00E754AA" w:rsidRDefault="007355BA" w:rsidP="007355BA">
            <w:pPr>
              <w:spacing w:before="40" w:after="40"/>
              <w:rPr>
                <w:sz w:val="17"/>
                <w:szCs w:val="17"/>
              </w:rPr>
            </w:pPr>
          </w:p>
        </w:tc>
        <w:tc>
          <w:tcPr>
            <w:tcW w:w="924" w:type="dxa"/>
            <w:vAlign w:val="bottom"/>
          </w:tcPr>
          <w:p w14:paraId="73C6D760" w14:textId="77777777" w:rsidR="007355BA" w:rsidRPr="00E754AA" w:rsidRDefault="007355BA" w:rsidP="007355BA">
            <w:pPr>
              <w:spacing w:before="40" w:after="40"/>
              <w:jc w:val="right"/>
              <w:rPr>
                <w:sz w:val="17"/>
                <w:szCs w:val="17"/>
              </w:rPr>
            </w:pPr>
            <w:r w:rsidRPr="00B02BA3">
              <w:rPr>
                <w:sz w:val="17"/>
              </w:rPr>
              <w:t>—</w:t>
            </w:r>
          </w:p>
        </w:tc>
        <w:tc>
          <w:tcPr>
            <w:tcW w:w="227" w:type="dxa"/>
            <w:vAlign w:val="bottom"/>
          </w:tcPr>
          <w:p w14:paraId="2E417204" w14:textId="77777777" w:rsidR="007355BA" w:rsidRPr="00E754AA" w:rsidRDefault="007355BA" w:rsidP="007355BA">
            <w:pPr>
              <w:spacing w:before="40" w:after="40"/>
              <w:rPr>
                <w:sz w:val="17"/>
                <w:szCs w:val="17"/>
              </w:rPr>
            </w:pPr>
          </w:p>
        </w:tc>
        <w:tc>
          <w:tcPr>
            <w:tcW w:w="939" w:type="dxa"/>
            <w:vAlign w:val="bottom"/>
          </w:tcPr>
          <w:p w14:paraId="1FBFCBE9" w14:textId="77777777" w:rsidR="007355BA" w:rsidRPr="00E754AA" w:rsidRDefault="007355BA" w:rsidP="007355BA">
            <w:pPr>
              <w:spacing w:before="40" w:after="40"/>
              <w:jc w:val="right"/>
              <w:rPr>
                <w:sz w:val="17"/>
                <w:szCs w:val="17"/>
              </w:rPr>
            </w:pPr>
            <w:r w:rsidRPr="00B02BA3">
              <w:rPr>
                <w:sz w:val="17"/>
              </w:rPr>
              <w:t>—</w:t>
            </w:r>
          </w:p>
        </w:tc>
        <w:tc>
          <w:tcPr>
            <w:tcW w:w="266" w:type="dxa"/>
            <w:vAlign w:val="bottom"/>
          </w:tcPr>
          <w:p w14:paraId="1BFE75ED" w14:textId="77777777" w:rsidR="007355BA" w:rsidRPr="000D2863" w:rsidRDefault="007355BA" w:rsidP="007355BA">
            <w:pPr>
              <w:spacing w:before="40" w:after="40"/>
              <w:rPr>
                <w:sz w:val="17"/>
                <w:szCs w:val="17"/>
              </w:rPr>
            </w:pPr>
          </w:p>
        </w:tc>
      </w:tr>
      <w:tr w:rsidR="007355BA" w:rsidRPr="00E834EF" w14:paraId="1F053A7E" w14:textId="77777777" w:rsidTr="007355BA">
        <w:tc>
          <w:tcPr>
            <w:tcW w:w="3254" w:type="dxa"/>
            <w:vAlign w:val="bottom"/>
          </w:tcPr>
          <w:p w14:paraId="45777706" w14:textId="77777777" w:rsidR="007355BA" w:rsidRPr="00E754AA" w:rsidRDefault="007355BA" w:rsidP="007355BA">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131DF853" w14:textId="77777777" w:rsidR="007355BA" w:rsidRPr="00E754AA" w:rsidRDefault="00364F0D" w:rsidP="007355BA">
            <w:pPr>
              <w:spacing w:before="40" w:after="40"/>
              <w:rPr>
                <w:sz w:val="17"/>
                <w:szCs w:val="17"/>
              </w:rPr>
            </w:pPr>
            <w:r>
              <w:rPr>
                <w:sz w:val="17"/>
                <w:szCs w:val="17"/>
              </w:rPr>
              <w:t>)</w:t>
            </w:r>
          </w:p>
        </w:tc>
        <w:tc>
          <w:tcPr>
            <w:tcW w:w="913" w:type="dxa"/>
            <w:vAlign w:val="bottom"/>
          </w:tcPr>
          <w:p w14:paraId="7FCC4524" w14:textId="77777777" w:rsidR="007355BA" w:rsidRPr="00E754AA" w:rsidRDefault="007355BA" w:rsidP="007355BA">
            <w:pPr>
              <w:spacing w:before="40" w:after="40"/>
              <w:jc w:val="right"/>
              <w:rPr>
                <w:color w:val="000000"/>
                <w:sz w:val="17"/>
                <w:szCs w:val="17"/>
              </w:rPr>
            </w:pPr>
            <w:r>
              <w:rPr>
                <w:color w:val="000000"/>
                <w:sz w:val="17"/>
                <w:szCs w:val="17"/>
              </w:rPr>
              <w:t>(0.1</w:t>
            </w:r>
          </w:p>
        </w:tc>
        <w:tc>
          <w:tcPr>
            <w:tcW w:w="252" w:type="dxa"/>
            <w:gridSpan w:val="2"/>
            <w:vAlign w:val="bottom"/>
          </w:tcPr>
          <w:p w14:paraId="5A8570BC" w14:textId="77777777" w:rsidR="007355BA" w:rsidRPr="00E754AA" w:rsidRDefault="007355BA" w:rsidP="007355BA">
            <w:pPr>
              <w:spacing w:before="40" w:after="40"/>
              <w:rPr>
                <w:color w:val="000000"/>
                <w:sz w:val="17"/>
                <w:szCs w:val="17"/>
              </w:rPr>
            </w:pPr>
          </w:p>
        </w:tc>
        <w:tc>
          <w:tcPr>
            <w:tcW w:w="924" w:type="dxa"/>
            <w:vAlign w:val="bottom"/>
          </w:tcPr>
          <w:p w14:paraId="4C42C379" w14:textId="77777777" w:rsidR="007355BA" w:rsidRPr="00E754AA" w:rsidRDefault="00FD2525" w:rsidP="007355BA">
            <w:pPr>
              <w:spacing w:before="40" w:after="40"/>
              <w:jc w:val="right"/>
              <w:rPr>
                <w:color w:val="000000"/>
                <w:sz w:val="17"/>
                <w:szCs w:val="17"/>
              </w:rPr>
            </w:pPr>
            <w:r>
              <w:rPr>
                <w:sz w:val="17"/>
              </w:rPr>
              <w:t>(0.0)</w:t>
            </w:r>
          </w:p>
        </w:tc>
        <w:tc>
          <w:tcPr>
            <w:tcW w:w="242" w:type="dxa"/>
            <w:vAlign w:val="bottom"/>
          </w:tcPr>
          <w:p w14:paraId="3851D75E" w14:textId="77777777" w:rsidR="007355BA" w:rsidRPr="00E754AA" w:rsidRDefault="007355BA" w:rsidP="007355BA">
            <w:pPr>
              <w:spacing w:before="40" w:after="40"/>
              <w:rPr>
                <w:color w:val="000000"/>
                <w:sz w:val="17"/>
                <w:szCs w:val="17"/>
              </w:rPr>
            </w:pPr>
          </w:p>
        </w:tc>
        <w:tc>
          <w:tcPr>
            <w:tcW w:w="924" w:type="dxa"/>
            <w:vAlign w:val="bottom"/>
          </w:tcPr>
          <w:p w14:paraId="36C005E5" w14:textId="77777777" w:rsidR="007355BA" w:rsidRPr="00E754AA" w:rsidRDefault="007355BA" w:rsidP="007355BA">
            <w:pPr>
              <w:spacing w:before="40" w:after="40"/>
              <w:jc w:val="right"/>
              <w:rPr>
                <w:color w:val="000000"/>
                <w:sz w:val="17"/>
                <w:szCs w:val="17"/>
              </w:rPr>
            </w:pPr>
            <w:r>
              <w:rPr>
                <w:color w:val="000000"/>
                <w:sz w:val="17"/>
                <w:szCs w:val="17"/>
              </w:rPr>
              <w:t>0.2</w:t>
            </w:r>
          </w:p>
        </w:tc>
        <w:tc>
          <w:tcPr>
            <w:tcW w:w="242" w:type="dxa"/>
            <w:vAlign w:val="bottom"/>
          </w:tcPr>
          <w:p w14:paraId="7FAEE65F" w14:textId="77777777" w:rsidR="007355BA" w:rsidRPr="00E754AA" w:rsidRDefault="00E066F2" w:rsidP="007355BA">
            <w:pPr>
              <w:spacing w:before="40" w:after="40"/>
              <w:rPr>
                <w:sz w:val="17"/>
                <w:szCs w:val="17"/>
              </w:rPr>
            </w:pPr>
            <w:r>
              <w:rPr>
                <w:sz w:val="17"/>
                <w:szCs w:val="17"/>
              </w:rPr>
              <w:t>)</w:t>
            </w:r>
          </w:p>
        </w:tc>
        <w:tc>
          <w:tcPr>
            <w:tcW w:w="924" w:type="dxa"/>
            <w:vAlign w:val="bottom"/>
          </w:tcPr>
          <w:p w14:paraId="73C8D5F3" w14:textId="77777777" w:rsidR="007355BA" w:rsidRPr="00E754AA" w:rsidRDefault="007355BA" w:rsidP="007355BA">
            <w:pPr>
              <w:spacing w:before="40" w:after="40"/>
              <w:jc w:val="right"/>
              <w:rPr>
                <w:sz w:val="17"/>
                <w:szCs w:val="17"/>
              </w:rPr>
            </w:pPr>
            <w:r>
              <w:rPr>
                <w:sz w:val="17"/>
                <w:szCs w:val="17"/>
              </w:rPr>
              <w:t>(0.8</w:t>
            </w:r>
          </w:p>
        </w:tc>
        <w:tc>
          <w:tcPr>
            <w:tcW w:w="227" w:type="dxa"/>
            <w:vAlign w:val="bottom"/>
          </w:tcPr>
          <w:p w14:paraId="7AC4CCD3" w14:textId="77777777" w:rsidR="007355BA" w:rsidRPr="00E754AA" w:rsidRDefault="007355BA" w:rsidP="007355BA">
            <w:pPr>
              <w:spacing w:before="40" w:after="40"/>
              <w:rPr>
                <w:sz w:val="17"/>
                <w:szCs w:val="17"/>
              </w:rPr>
            </w:pPr>
          </w:p>
        </w:tc>
        <w:tc>
          <w:tcPr>
            <w:tcW w:w="939" w:type="dxa"/>
            <w:vAlign w:val="bottom"/>
          </w:tcPr>
          <w:p w14:paraId="6AF2BD1A" w14:textId="77777777" w:rsidR="007355BA" w:rsidRPr="00E754AA" w:rsidRDefault="007355BA" w:rsidP="007355BA">
            <w:pPr>
              <w:spacing w:before="40" w:after="40"/>
              <w:jc w:val="right"/>
              <w:rPr>
                <w:sz w:val="17"/>
                <w:szCs w:val="17"/>
              </w:rPr>
            </w:pPr>
            <w:r>
              <w:rPr>
                <w:sz w:val="17"/>
              </w:rPr>
              <w:t>0.3</w:t>
            </w:r>
          </w:p>
        </w:tc>
        <w:tc>
          <w:tcPr>
            <w:tcW w:w="266" w:type="dxa"/>
            <w:vAlign w:val="bottom"/>
          </w:tcPr>
          <w:p w14:paraId="7D4D716C" w14:textId="77777777" w:rsidR="007355BA" w:rsidRPr="000D2863" w:rsidRDefault="007355BA" w:rsidP="007355BA">
            <w:pPr>
              <w:spacing w:before="40" w:after="40"/>
              <w:rPr>
                <w:sz w:val="17"/>
                <w:szCs w:val="17"/>
              </w:rPr>
            </w:pPr>
          </w:p>
        </w:tc>
      </w:tr>
      <w:tr w:rsidR="007355BA" w:rsidRPr="00E834EF" w14:paraId="37D71672" w14:textId="77777777" w:rsidTr="007355BA">
        <w:tc>
          <w:tcPr>
            <w:tcW w:w="3254" w:type="dxa"/>
            <w:vAlign w:val="center"/>
          </w:tcPr>
          <w:p w14:paraId="26A1A9CC" w14:textId="77777777" w:rsidR="007355BA" w:rsidRPr="00E754AA" w:rsidRDefault="007355BA" w:rsidP="007355BA">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22FBCF87" w14:textId="77777777" w:rsidR="007355BA" w:rsidRPr="00E834EF" w:rsidRDefault="00364F0D" w:rsidP="007355BA">
            <w:pPr>
              <w:spacing w:before="40" w:after="40"/>
              <w:rPr>
                <w:sz w:val="17"/>
                <w:szCs w:val="17"/>
              </w:rPr>
            </w:pPr>
            <w:r>
              <w:rPr>
                <w:sz w:val="17"/>
                <w:szCs w:val="17"/>
              </w:rPr>
              <w:t>)</w:t>
            </w:r>
          </w:p>
        </w:tc>
        <w:tc>
          <w:tcPr>
            <w:tcW w:w="913" w:type="dxa"/>
            <w:vAlign w:val="bottom"/>
          </w:tcPr>
          <w:p w14:paraId="31552E68" w14:textId="77777777" w:rsidR="007355BA" w:rsidRPr="00E754AA" w:rsidRDefault="007355BA" w:rsidP="007355BA">
            <w:pPr>
              <w:spacing w:before="40" w:after="40"/>
              <w:jc w:val="right"/>
              <w:rPr>
                <w:color w:val="000000"/>
                <w:sz w:val="17"/>
                <w:szCs w:val="17"/>
              </w:rPr>
            </w:pPr>
            <w:r>
              <w:rPr>
                <w:color w:val="000000"/>
                <w:sz w:val="17"/>
                <w:szCs w:val="17"/>
              </w:rPr>
              <w:t>(0.1</w:t>
            </w:r>
          </w:p>
        </w:tc>
        <w:tc>
          <w:tcPr>
            <w:tcW w:w="252" w:type="dxa"/>
            <w:gridSpan w:val="2"/>
            <w:vAlign w:val="bottom"/>
          </w:tcPr>
          <w:p w14:paraId="2BE226BF" w14:textId="77777777" w:rsidR="007355BA" w:rsidRPr="00E754AA" w:rsidRDefault="007355BA" w:rsidP="007355BA">
            <w:pPr>
              <w:spacing w:before="40" w:after="40"/>
              <w:rPr>
                <w:color w:val="000000"/>
                <w:sz w:val="17"/>
                <w:szCs w:val="17"/>
              </w:rPr>
            </w:pPr>
          </w:p>
        </w:tc>
        <w:tc>
          <w:tcPr>
            <w:tcW w:w="924" w:type="dxa"/>
            <w:vAlign w:val="bottom"/>
          </w:tcPr>
          <w:p w14:paraId="1DF5347F"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62EBAE12" w14:textId="77777777" w:rsidR="007355BA" w:rsidRPr="00E754AA" w:rsidRDefault="007355BA" w:rsidP="007355BA">
            <w:pPr>
              <w:spacing w:before="40" w:after="40"/>
              <w:rPr>
                <w:color w:val="000000"/>
                <w:sz w:val="17"/>
                <w:szCs w:val="17"/>
              </w:rPr>
            </w:pPr>
          </w:p>
        </w:tc>
        <w:tc>
          <w:tcPr>
            <w:tcW w:w="924" w:type="dxa"/>
            <w:vAlign w:val="bottom"/>
          </w:tcPr>
          <w:p w14:paraId="0681E2C0"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3FE49D0B" w14:textId="77777777" w:rsidR="007355BA" w:rsidRPr="00E754AA" w:rsidRDefault="007355BA" w:rsidP="007355BA">
            <w:pPr>
              <w:spacing w:before="40" w:after="40"/>
              <w:rPr>
                <w:sz w:val="17"/>
                <w:szCs w:val="17"/>
              </w:rPr>
            </w:pPr>
          </w:p>
        </w:tc>
        <w:tc>
          <w:tcPr>
            <w:tcW w:w="924" w:type="dxa"/>
            <w:vAlign w:val="bottom"/>
          </w:tcPr>
          <w:p w14:paraId="406978CD" w14:textId="77777777" w:rsidR="007355BA" w:rsidRPr="00E754AA" w:rsidRDefault="007355BA" w:rsidP="007355BA">
            <w:pPr>
              <w:spacing w:before="40" w:after="40"/>
              <w:jc w:val="right"/>
              <w:rPr>
                <w:sz w:val="17"/>
                <w:szCs w:val="17"/>
              </w:rPr>
            </w:pPr>
            <w:r w:rsidRPr="00B02BA3">
              <w:rPr>
                <w:sz w:val="17"/>
              </w:rPr>
              <w:t>—</w:t>
            </w:r>
          </w:p>
        </w:tc>
        <w:tc>
          <w:tcPr>
            <w:tcW w:w="227" w:type="dxa"/>
            <w:vAlign w:val="bottom"/>
          </w:tcPr>
          <w:p w14:paraId="294C2717" w14:textId="77777777" w:rsidR="007355BA" w:rsidRPr="00E754AA" w:rsidRDefault="00E066F2" w:rsidP="007355BA">
            <w:pPr>
              <w:spacing w:before="40" w:after="40"/>
              <w:rPr>
                <w:sz w:val="17"/>
                <w:szCs w:val="17"/>
              </w:rPr>
            </w:pPr>
            <w:r>
              <w:rPr>
                <w:sz w:val="17"/>
                <w:szCs w:val="17"/>
              </w:rPr>
              <w:t>)</w:t>
            </w:r>
          </w:p>
        </w:tc>
        <w:tc>
          <w:tcPr>
            <w:tcW w:w="939" w:type="dxa"/>
            <w:vAlign w:val="bottom"/>
          </w:tcPr>
          <w:p w14:paraId="6984764B" w14:textId="77777777" w:rsidR="007355BA" w:rsidRPr="00E754AA" w:rsidRDefault="007355BA" w:rsidP="007355BA">
            <w:pPr>
              <w:spacing w:before="40" w:after="40"/>
              <w:jc w:val="right"/>
              <w:rPr>
                <w:sz w:val="17"/>
                <w:szCs w:val="17"/>
              </w:rPr>
            </w:pPr>
            <w:r>
              <w:rPr>
                <w:sz w:val="17"/>
                <w:szCs w:val="17"/>
              </w:rPr>
              <w:t>(0.1</w:t>
            </w:r>
          </w:p>
        </w:tc>
        <w:tc>
          <w:tcPr>
            <w:tcW w:w="266" w:type="dxa"/>
            <w:vAlign w:val="bottom"/>
          </w:tcPr>
          <w:p w14:paraId="19BB0C64" w14:textId="77777777" w:rsidR="007355BA" w:rsidRPr="000D2863" w:rsidRDefault="007355BA" w:rsidP="007355BA">
            <w:pPr>
              <w:spacing w:before="40" w:after="40"/>
              <w:rPr>
                <w:sz w:val="17"/>
                <w:szCs w:val="17"/>
              </w:rPr>
            </w:pPr>
          </w:p>
        </w:tc>
      </w:tr>
      <w:tr w:rsidR="007355BA" w:rsidRPr="00E834EF" w14:paraId="12FA01B7" w14:textId="77777777" w:rsidTr="007355BA">
        <w:tc>
          <w:tcPr>
            <w:tcW w:w="3254" w:type="dxa"/>
            <w:vAlign w:val="center"/>
          </w:tcPr>
          <w:p w14:paraId="5184DD25" w14:textId="77777777" w:rsidR="007355BA" w:rsidRPr="00E754AA" w:rsidRDefault="007355BA" w:rsidP="007355BA">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7124A416" w14:textId="77777777" w:rsidR="007355BA" w:rsidRPr="00E834EF" w:rsidRDefault="00364F0D" w:rsidP="007355BA">
            <w:pPr>
              <w:spacing w:before="40" w:after="40"/>
              <w:rPr>
                <w:sz w:val="17"/>
                <w:szCs w:val="17"/>
              </w:rPr>
            </w:pPr>
            <w:r>
              <w:rPr>
                <w:sz w:val="17"/>
                <w:szCs w:val="17"/>
              </w:rPr>
              <w:t>)</w:t>
            </w:r>
          </w:p>
        </w:tc>
        <w:tc>
          <w:tcPr>
            <w:tcW w:w="913" w:type="dxa"/>
            <w:vAlign w:val="bottom"/>
          </w:tcPr>
          <w:p w14:paraId="25B7E36B" w14:textId="77777777" w:rsidR="007355BA" w:rsidRPr="00E754AA" w:rsidRDefault="007355BA" w:rsidP="007355BA">
            <w:pPr>
              <w:spacing w:before="40" w:after="40"/>
              <w:jc w:val="right"/>
              <w:rPr>
                <w:color w:val="000000"/>
                <w:sz w:val="17"/>
                <w:szCs w:val="17"/>
              </w:rPr>
            </w:pPr>
            <w:r>
              <w:rPr>
                <w:color w:val="000000"/>
                <w:sz w:val="17"/>
                <w:szCs w:val="17"/>
              </w:rPr>
              <w:t>(0.2</w:t>
            </w:r>
          </w:p>
        </w:tc>
        <w:tc>
          <w:tcPr>
            <w:tcW w:w="252" w:type="dxa"/>
            <w:gridSpan w:val="2"/>
            <w:vAlign w:val="bottom"/>
          </w:tcPr>
          <w:p w14:paraId="1A9C4A6D" w14:textId="77777777" w:rsidR="007355BA" w:rsidRPr="00E754AA" w:rsidRDefault="007355BA" w:rsidP="007355BA">
            <w:pPr>
              <w:spacing w:before="40" w:after="40"/>
              <w:rPr>
                <w:color w:val="000000"/>
                <w:sz w:val="17"/>
                <w:szCs w:val="17"/>
              </w:rPr>
            </w:pPr>
            <w:r>
              <w:rPr>
                <w:color w:val="000000"/>
                <w:sz w:val="17"/>
                <w:szCs w:val="17"/>
              </w:rPr>
              <w:t>)</w:t>
            </w:r>
          </w:p>
        </w:tc>
        <w:tc>
          <w:tcPr>
            <w:tcW w:w="924" w:type="dxa"/>
            <w:vAlign w:val="bottom"/>
          </w:tcPr>
          <w:p w14:paraId="78E0072B" w14:textId="77777777" w:rsidR="007355BA" w:rsidRPr="00E754AA" w:rsidRDefault="007355BA" w:rsidP="007355BA">
            <w:pPr>
              <w:spacing w:before="40" w:after="40"/>
              <w:jc w:val="right"/>
              <w:rPr>
                <w:color w:val="000000"/>
                <w:sz w:val="17"/>
                <w:szCs w:val="17"/>
              </w:rPr>
            </w:pPr>
            <w:r>
              <w:rPr>
                <w:color w:val="000000"/>
                <w:sz w:val="17"/>
                <w:szCs w:val="17"/>
              </w:rPr>
              <w:t>(0.4</w:t>
            </w:r>
          </w:p>
        </w:tc>
        <w:tc>
          <w:tcPr>
            <w:tcW w:w="242" w:type="dxa"/>
            <w:vAlign w:val="bottom"/>
          </w:tcPr>
          <w:p w14:paraId="457FF914" w14:textId="77777777" w:rsidR="007355BA" w:rsidRPr="00E754AA" w:rsidRDefault="007355BA" w:rsidP="007355BA">
            <w:pPr>
              <w:spacing w:before="40" w:after="40"/>
              <w:rPr>
                <w:color w:val="000000"/>
                <w:sz w:val="17"/>
                <w:szCs w:val="17"/>
              </w:rPr>
            </w:pPr>
            <w:r>
              <w:rPr>
                <w:color w:val="000000"/>
                <w:sz w:val="17"/>
                <w:szCs w:val="17"/>
              </w:rPr>
              <w:t>)</w:t>
            </w:r>
          </w:p>
        </w:tc>
        <w:tc>
          <w:tcPr>
            <w:tcW w:w="924" w:type="dxa"/>
            <w:vAlign w:val="bottom"/>
          </w:tcPr>
          <w:p w14:paraId="598342DD" w14:textId="77777777" w:rsidR="007355BA" w:rsidRPr="00E754AA" w:rsidRDefault="007355BA" w:rsidP="007355BA">
            <w:pPr>
              <w:spacing w:before="40" w:after="40"/>
              <w:jc w:val="right"/>
              <w:rPr>
                <w:color w:val="000000"/>
                <w:sz w:val="17"/>
                <w:szCs w:val="17"/>
              </w:rPr>
            </w:pPr>
            <w:r>
              <w:rPr>
                <w:color w:val="000000"/>
                <w:sz w:val="17"/>
                <w:szCs w:val="17"/>
              </w:rPr>
              <w:t>(0.2</w:t>
            </w:r>
          </w:p>
        </w:tc>
        <w:tc>
          <w:tcPr>
            <w:tcW w:w="242" w:type="dxa"/>
            <w:vAlign w:val="bottom"/>
          </w:tcPr>
          <w:p w14:paraId="1BA906E2" w14:textId="77777777" w:rsidR="007355BA" w:rsidRPr="002163D4" w:rsidRDefault="007355BA" w:rsidP="007355BA">
            <w:pPr>
              <w:spacing w:before="40" w:after="40"/>
              <w:rPr>
                <w:sz w:val="16"/>
                <w:szCs w:val="16"/>
              </w:rPr>
            </w:pPr>
            <w:r>
              <w:rPr>
                <w:sz w:val="16"/>
                <w:szCs w:val="16"/>
              </w:rPr>
              <w:t>)</w:t>
            </w:r>
          </w:p>
        </w:tc>
        <w:tc>
          <w:tcPr>
            <w:tcW w:w="924" w:type="dxa"/>
            <w:vAlign w:val="bottom"/>
          </w:tcPr>
          <w:p w14:paraId="3E79C379" w14:textId="77777777" w:rsidR="007355BA" w:rsidRPr="00E754AA" w:rsidRDefault="007355BA" w:rsidP="007355BA">
            <w:pPr>
              <w:spacing w:before="40" w:after="40"/>
              <w:jc w:val="right"/>
              <w:rPr>
                <w:sz w:val="17"/>
                <w:szCs w:val="17"/>
              </w:rPr>
            </w:pPr>
            <w:r>
              <w:rPr>
                <w:sz w:val="17"/>
                <w:szCs w:val="17"/>
              </w:rPr>
              <w:t>(0.1</w:t>
            </w:r>
          </w:p>
        </w:tc>
        <w:tc>
          <w:tcPr>
            <w:tcW w:w="227" w:type="dxa"/>
            <w:vAlign w:val="bottom"/>
          </w:tcPr>
          <w:p w14:paraId="604CDBB6" w14:textId="77777777" w:rsidR="007355BA" w:rsidRPr="00E754AA" w:rsidRDefault="007355BA" w:rsidP="007355BA">
            <w:pPr>
              <w:spacing w:before="40" w:after="40"/>
              <w:rPr>
                <w:sz w:val="17"/>
                <w:szCs w:val="17"/>
              </w:rPr>
            </w:pPr>
            <w:r>
              <w:rPr>
                <w:sz w:val="17"/>
                <w:szCs w:val="17"/>
              </w:rPr>
              <w:t>)</w:t>
            </w:r>
          </w:p>
        </w:tc>
        <w:tc>
          <w:tcPr>
            <w:tcW w:w="939" w:type="dxa"/>
            <w:vAlign w:val="bottom"/>
          </w:tcPr>
          <w:p w14:paraId="7F95BE63" w14:textId="77777777" w:rsidR="007355BA" w:rsidRPr="00E754AA" w:rsidRDefault="007355BA" w:rsidP="007355BA">
            <w:pPr>
              <w:spacing w:before="40" w:after="40"/>
              <w:jc w:val="right"/>
              <w:rPr>
                <w:sz w:val="17"/>
                <w:szCs w:val="17"/>
              </w:rPr>
            </w:pPr>
            <w:r>
              <w:rPr>
                <w:sz w:val="17"/>
              </w:rPr>
              <w:t>(0.2</w:t>
            </w:r>
          </w:p>
        </w:tc>
        <w:tc>
          <w:tcPr>
            <w:tcW w:w="266" w:type="dxa"/>
            <w:vAlign w:val="bottom"/>
          </w:tcPr>
          <w:p w14:paraId="2EB5E409" w14:textId="77777777" w:rsidR="007355BA" w:rsidRPr="000D2863" w:rsidRDefault="007355BA" w:rsidP="007355BA">
            <w:pPr>
              <w:spacing w:before="40" w:after="40"/>
              <w:rPr>
                <w:sz w:val="17"/>
                <w:szCs w:val="17"/>
              </w:rPr>
            </w:pPr>
          </w:p>
        </w:tc>
      </w:tr>
      <w:tr w:rsidR="007355BA" w:rsidRPr="00E834EF" w14:paraId="4237E43F" w14:textId="77777777" w:rsidTr="007355BA">
        <w:tc>
          <w:tcPr>
            <w:tcW w:w="3254" w:type="dxa"/>
            <w:vAlign w:val="center"/>
          </w:tcPr>
          <w:p w14:paraId="1C209828" w14:textId="77777777" w:rsidR="007355BA" w:rsidRPr="00E754AA" w:rsidRDefault="007355BA" w:rsidP="007355BA">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297A05BB" w14:textId="77777777" w:rsidR="007355BA" w:rsidRPr="00E834EF" w:rsidRDefault="007355BA" w:rsidP="007355BA">
            <w:pPr>
              <w:spacing w:before="40" w:after="40"/>
              <w:rPr>
                <w:sz w:val="17"/>
                <w:szCs w:val="17"/>
              </w:rPr>
            </w:pPr>
          </w:p>
        </w:tc>
        <w:tc>
          <w:tcPr>
            <w:tcW w:w="913" w:type="dxa"/>
            <w:vAlign w:val="bottom"/>
          </w:tcPr>
          <w:p w14:paraId="493AB08C" w14:textId="77777777" w:rsidR="007355BA" w:rsidRPr="00E754AA" w:rsidRDefault="007355BA" w:rsidP="007355BA">
            <w:pPr>
              <w:spacing w:before="40" w:after="40"/>
              <w:jc w:val="right"/>
              <w:rPr>
                <w:color w:val="000000"/>
                <w:sz w:val="17"/>
                <w:szCs w:val="17"/>
              </w:rPr>
            </w:pPr>
            <w:r w:rsidRPr="00B02BA3">
              <w:rPr>
                <w:sz w:val="17"/>
              </w:rPr>
              <w:t>—</w:t>
            </w:r>
          </w:p>
        </w:tc>
        <w:tc>
          <w:tcPr>
            <w:tcW w:w="252" w:type="dxa"/>
            <w:gridSpan w:val="2"/>
            <w:vAlign w:val="bottom"/>
          </w:tcPr>
          <w:p w14:paraId="6B93CDFD" w14:textId="77777777" w:rsidR="007355BA" w:rsidRPr="00E754AA" w:rsidRDefault="007355BA" w:rsidP="007355BA">
            <w:pPr>
              <w:spacing w:before="40" w:after="40"/>
              <w:rPr>
                <w:color w:val="000000"/>
                <w:sz w:val="17"/>
                <w:szCs w:val="17"/>
              </w:rPr>
            </w:pPr>
          </w:p>
        </w:tc>
        <w:tc>
          <w:tcPr>
            <w:tcW w:w="924" w:type="dxa"/>
            <w:vAlign w:val="bottom"/>
          </w:tcPr>
          <w:p w14:paraId="205248AA" w14:textId="77777777" w:rsidR="007355BA" w:rsidRPr="00E754AA" w:rsidRDefault="007355BA" w:rsidP="007355BA">
            <w:pPr>
              <w:spacing w:before="40" w:after="40"/>
              <w:jc w:val="right"/>
              <w:rPr>
                <w:color w:val="000000"/>
                <w:sz w:val="17"/>
                <w:szCs w:val="17"/>
              </w:rPr>
            </w:pPr>
            <w:r w:rsidRPr="00B02BA3">
              <w:rPr>
                <w:sz w:val="17"/>
              </w:rPr>
              <w:t>—</w:t>
            </w:r>
          </w:p>
        </w:tc>
        <w:tc>
          <w:tcPr>
            <w:tcW w:w="242" w:type="dxa"/>
            <w:vAlign w:val="bottom"/>
          </w:tcPr>
          <w:p w14:paraId="0FBA6F03" w14:textId="77777777" w:rsidR="007355BA" w:rsidRPr="00E754AA" w:rsidRDefault="00E066F2" w:rsidP="007355BA">
            <w:pPr>
              <w:spacing w:before="40" w:after="40"/>
              <w:rPr>
                <w:color w:val="000000"/>
                <w:sz w:val="17"/>
                <w:szCs w:val="17"/>
              </w:rPr>
            </w:pPr>
            <w:r>
              <w:rPr>
                <w:color w:val="000000"/>
                <w:sz w:val="17"/>
                <w:szCs w:val="17"/>
              </w:rPr>
              <w:t>)</w:t>
            </w:r>
          </w:p>
        </w:tc>
        <w:tc>
          <w:tcPr>
            <w:tcW w:w="924" w:type="dxa"/>
            <w:vAlign w:val="bottom"/>
          </w:tcPr>
          <w:p w14:paraId="7E4183FA" w14:textId="77777777" w:rsidR="007355BA" w:rsidRPr="00E754AA" w:rsidRDefault="007355BA" w:rsidP="007355BA">
            <w:pPr>
              <w:spacing w:before="40" w:after="40"/>
              <w:jc w:val="right"/>
              <w:rPr>
                <w:color w:val="000000"/>
                <w:sz w:val="17"/>
                <w:szCs w:val="17"/>
              </w:rPr>
            </w:pPr>
            <w:r>
              <w:rPr>
                <w:color w:val="000000"/>
                <w:sz w:val="17"/>
                <w:szCs w:val="17"/>
              </w:rPr>
              <w:t>(58.0</w:t>
            </w:r>
          </w:p>
        </w:tc>
        <w:tc>
          <w:tcPr>
            <w:tcW w:w="242" w:type="dxa"/>
            <w:vAlign w:val="bottom"/>
          </w:tcPr>
          <w:p w14:paraId="32710F5F" w14:textId="77777777" w:rsidR="007355BA" w:rsidRPr="002163D4" w:rsidRDefault="007355BA" w:rsidP="007355BA">
            <w:pPr>
              <w:spacing w:before="40" w:after="40"/>
              <w:rPr>
                <w:sz w:val="16"/>
                <w:szCs w:val="16"/>
              </w:rPr>
            </w:pPr>
            <w:r>
              <w:rPr>
                <w:sz w:val="16"/>
                <w:szCs w:val="16"/>
              </w:rPr>
              <w:t>)</w:t>
            </w:r>
          </w:p>
        </w:tc>
        <w:tc>
          <w:tcPr>
            <w:tcW w:w="924" w:type="dxa"/>
            <w:vAlign w:val="bottom"/>
          </w:tcPr>
          <w:p w14:paraId="36678B99" w14:textId="77777777" w:rsidR="007355BA" w:rsidRPr="00E754AA" w:rsidRDefault="007355BA" w:rsidP="007355BA">
            <w:pPr>
              <w:spacing w:before="40" w:after="40"/>
              <w:jc w:val="right"/>
              <w:rPr>
                <w:sz w:val="17"/>
                <w:szCs w:val="17"/>
              </w:rPr>
            </w:pPr>
            <w:r>
              <w:rPr>
                <w:sz w:val="17"/>
                <w:szCs w:val="17"/>
              </w:rPr>
              <w:t>(58.0</w:t>
            </w:r>
          </w:p>
        </w:tc>
        <w:tc>
          <w:tcPr>
            <w:tcW w:w="227" w:type="dxa"/>
            <w:vAlign w:val="bottom"/>
          </w:tcPr>
          <w:p w14:paraId="3D634F7D" w14:textId="77777777" w:rsidR="007355BA" w:rsidRPr="00E754AA" w:rsidRDefault="007355BA" w:rsidP="007355BA">
            <w:pPr>
              <w:spacing w:before="40" w:after="40"/>
              <w:rPr>
                <w:sz w:val="17"/>
                <w:szCs w:val="17"/>
              </w:rPr>
            </w:pPr>
          </w:p>
        </w:tc>
        <w:tc>
          <w:tcPr>
            <w:tcW w:w="939" w:type="dxa"/>
            <w:vAlign w:val="bottom"/>
          </w:tcPr>
          <w:p w14:paraId="25ED3F42" w14:textId="77777777" w:rsidR="007355BA" w:rsidRPr="00E754AA" w:rsidRDefault="007355BA" w:rsidP="007355BA">
            <w:pPr>
              <w:spacing w:before="40" w:after="40"/>
              <w:jc w:val="right"/>
              <w:rPr>
                <w:sz w:val="17"/>
                <w:szCs w:val="17"/>
              </w:rPr>
            </w:pPr>
            <w:r w:rsidRPr="00B02BA3">
              <w:rPr>
                <w:sz w:val="17"/>
              </w:rPr>
              <w:t>—</w:t>
            </w:r>
          </w:p>
        </w:tc>
        <w:tc>
          <w:tcPr>
            <w:tcW w:w="266" w:type="dxa"/>
            <w:vAlign w:val="bottom"/>
          </w:tcPr>
          <w:p w14:paraId="19A0A072" w14:textId="77777777" w:rsidR="007355BA" w:rsidRPr="000D2863" w:rsidRDefault="007355BA" w:rsidP="007355BA">
            <w:pPr>
              <w:spacing w:before="40" w:after="40"/>
              <w:rPr>
                <w:sz w:val="17"/>
                <w:szCs w:val="17"/>
              </w:rPr>
            </w:pPr>
          </w:p>
        </w:tc>
      </w:tr>
      <w:tr w:rsidR="007355BA" w:rsidRPr="00E834EF" w14:paraId="4691A643" w14:textId="77777777" w:rsidTr="007355BA">
        <w:tc>
          <w:tcPr>
            <w:tcW w:w="3254" w:type="dxa"/>
            <w:vAlign w:val="center"/>
          </w:tcPr>
          <w:p w14:paraId="753C0C84" w14:textId="77777777" w:rsidR="007355BA" w:rsidRDefault="007355BA" w:rsidP="007355BA">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1BB916AC" w14:textId="77777777" w:rsidR="007355BA" w:rsidRPr="00E834EF" w:rsidRDefault="007355BA" w:rsidP="007355BA">
            <w:pPr>
              <w:spacing w:before="40" w:after="40"/>
              <w:rPr>
                <w:sz w:val="17"/>
                <w:szCs w:val="17"/>
              </w:rPr>
            </w:pPr>
          </w:p>
        </w:tc>
        <w:tc>
          <w:tcPr>
            <w:tcW w:w="913" w:type="dxa"/>
            <w:tcBorders>
              <w:bottom w:val="single" w:sz="4" w:space="0" w:color="auto"/>
            </w:tcBorders>
            <w:vAlign w:val="bottom"/>
          </w:tcPr>
          <w:p w14:paraId="26A77B8F" w14:textId="77777777" w:rsidR="007355BA" w:rsidRPr="000D2863" w:rsidRDefault="007355BA" w:rsidP="007355BA">
            <w:pPr>
              <w:spacing w:before="40" w:after="40"/>
              <w:jc w:val="right"/>
              <w:rPr>
                <w:color w:val="000000"/>
                <w:sz w:val="17"/>
                <w:szCs w:val="17"/>
              </w:rPr>
            </w:pPr>
            <w:r>
              <w:rPr>
                <w:color w:val="000000"/>
                <w:sz w:val="17"/>
                <w:szCs w:val="17"/>
              </w:rPr>
              <w:t>18.7</w:t>
            </w:r>
          </w:p>
        </w:tc>
        <w:tc>
          <w:tcPr>
            <w:tcW w:w="252" w:type="dxa"/>
            <w:gridSpan w:val="2"/>
            <w:vAlign w:val="bottom"/>
          </w:tcPr>
          <w:p w14:paraId="023BE3D6" w14:textId="77777777" w:rsidR="007355BA" w:rsidRPr="000D2863" w:rsidRDefault="007355BA" w:rsidP="007355BA">
            <w:pPr>
              <w:spacing w:before="40" w:after="40"/>
              <w:rPr>
                <w:color w:val="000000"/>
                <w:sz w:val="17"/>
                <w:szCs w:val="17"/>
              </w:rPr>
            </w:pPr>
          </w:p>
        </w:tc>
        <w:tc>
          <w:tcPr>
            <w:tcW w:w="924" w:type="dxa"/>
            <w:tcBorders>
              <w:bottom w:val="single" w:sz="4" w:space="0" w:color="auto"/>
            </w:tcBorders>
            <w:vAlign w:val="bottom"/>
          </w:tcPr>
          <w:p w14:paraId="4EA035C6" w14:textId="77777777" w:rsidR="007355BA" w:rsidRPr="000D2863" w:rsidRDefault="007355BA" w:rsidP="007355BA">
            <w:pPr>
              <w:spacing w:before="40" w:after="40"/>
              <w:jc w:val="right"/>
              <w:rPr>
                <w:color w:val="000000"/>
                <w:sz w:val="17"/>
                <w:szCs w:val="17"/>
              </w:rPr>
            </w:pPr>
            <w:r>
              <w:rPr>
                <w:color w:val="000000"/>
                <w:sz w:val="17"/>
                <w:szCs w:val="17"/>
              </w:rPr>
              <w:t>44.9</w:t>
            </w:r>
          </w:p>
        </w:tc>
        <w:tc>
          <w:tcPr>
            <w:tcW w:w="242" w:type="dxa"/>
            <w:vAlign w:val="bottom"/>
          </w:tcPr>
          <w:p w14:paraId="733BCD23" w14:textId="77777777" w:rsidR="007355BA" w:rsidRPr="000D2863" w:rsidRDefault="007355BA" w:rsidP="007355BA">
            <w:pPr>
              <w:spacing w:before="40" w:after="40"/>
              <w:rPr>
                <w:color w:val="000000"/>
                <w:sz w:val="17"/>
                <w:szCs w:val="17"/>
              </w:rPr>
            </w:pPr>
          </w:p>
        </w:tc>
        <w:tc>
          <w:tcPr>
            <w:tcW w:w="924" w:type="dxa"/>
            <w:tcBorders>
              <w:bottom w:val="single" w:sz="4" w:space="0" w:color="auto"/>
            </w:tcBorders>
            <w:vAlign w:val="bottom"/>
          </w:tcPr>
          <w:p w14:paraId="5839B13F" w14:textId="77777777" w:rsidR="007355BA" w:rsidRPr="000D2863" w:rsidRDefault="007355BA" w:rsidP="007355BA">
            <w:pPr>
              <w:spacing w:before="40" w:after="40"/>
              <w:jc w:val="right"/>
              <w:rPr>
                <w:color w:val="000000"/>
                <w:sz w:val="17"/>
                <w:szCs w:val="17"/>
              </w:rPr>
            </w:pPr>
            <w:r>
              <w:rPr>
                <w:color w:val="000000"/>
                <w:sz w:val="17"/>
                <w:szCs w:val="17"/>
              </w:rPr>
              <w:t>62.8</w:t>
            </w:r>
          </w:p>
        </w:tc>
        <w:tc>
          <w:tcPr>
            <w:tcW w:w="242" w:type="dxa"/>
            <w:vAlign w:val="bottom"/>
          </w:tcPr>
          <w:p w14:paraId="3851AFB4" w14:textId="77777777" w:rsidR="007355BA" w:rsidRPr="002163D4" w:rsidRDefault="007355BA" w:rsidP="007355BA">
            <w:pPr>
              <w:spacing w:before="40" w:after="40"/>
              <w:rPr>
                <w:sz w:val="16"/>
                <w:szCs w:val="16"/>
              </w:rPr>
            </w:pPr>
          </w:p>
        </w:tc>
        <w:tc>
          <w:tcPr>
            <w:tcW w:w="924" w:type="dxa"/>
            <w:tcBorders>
              <w:bottom w:val="single" w:sz="4" w:space="0" w:color="auto"/>
            </w:tcBorders>
            <w:vAlign w:val="bottom"/>
          </w:tcPr>
          <w:p w14:paraId="30CE62DC" w14:textId="77777777" w:rsidR="007355BA" w:rsidRPr="000D2863" w:rsidRDefault="007355BA" w:rsidP="007355BA">
            <w:pPr>
              <w:spacing w:before="40" w:after="40"/>
              <w:jc w:val="right"/>
              <w:rPr>
                <w:sz w:val="17"/>
                <w:szCs w:val="17"/>
              </w:rPr>
            </w:pPr>
            <w:r>
              <w:rPr>
                <w:sz w:val="17"/>
                <w:szCs w:val="17"/>
              </w:rPr>
              <w:t>43.6</w:t>
            </w:r>
          </w:p>
        </w:tc>
        <w:tc>
          <w:tcPr>
            <w:tcW w:w="227" w:type="dxa"/>
            <w:vAlign w:val="bottom"/>
          </w:tcPr>
          <w:p w14:paraId="78B35CEC" w14:textId="77777777" w:rsidR="007355BA" w:rsidRPr="000D2863" w:rsidRDefault="007355BA" w:rsidP="007355BA">
            <w:pPr>
              <w:spacing w:before="40" w:after="40"/>
              <w:rPr>
                <w:sz w:val="17"/>
                <w:szCs w:val="17"/>
              </w:rPr>
            </w:pPr>
          </w:p>
        </w:tc>
        <w:tc>
          <w:tcPr>
            <w:tcW w:w="939" w:type="dxa"/>
            <w:tcBorders>
              <w:bottom w:val="single" w:sz="4" w:space="0" w:color="auto"/>
            </w:tcBorders>
            <w:vAlign w:val="bottom"/>
          </w:tcPr>
          <w:p w14:paraId="1400C31F" w14:textId="77777777" w:rsidR="007355BA" w:rsidRPr="000D2863" w:rsidRDefault="007355BA" w:rsidP="007355BA">
            <w:pPr>
              <w:spacing w:before="40" w:after="40"/>
              <w:jc w:val="right"/>
              <w:rPr>
                <w:sz w:val="17"/>
                <w:szCs w:val="17"/>
              </w:rPr>
            </w:pPr>
            <w:r>
              <w:rPr>
                <w:sz w:val="17"/>
                <w:szCs w:val="17"/>
              </w:rPr>
              <w:t>26.7</w:t>
            </w:r>
          </w:p>
        </w:tc>
        <w:tc>
          <w:tcPr>
            <w:tcW w:w="266" w:type="dxa"/>
            <w:vAlign w:val="bottom"/>
          </w:tcPr>
          <w:p w14:paraId="7C4A39A0" w14:textId="77777777" w:rsidR="007355BA" w:rsidRPr="000D2863" w:rsidRDefault="007355BA" w:rsidP="007355BA">
            <w:pPr>
              <w:spacing w:before="40" w:after="40"/>
              <w:rPr>
                <w:sz w:val="17"/>
                <w:szCs w:val="17"/>
              </w:rPr>
            </w:pPr>
          </w:p>
        </w:tc>
      </w:tr>
      <w:tr w:rsidR="007355BA" w:rsidRPr="00E834EF" w14:paraId="09ABBE23" w14:textId="77777777" w:rsidTr="007355BA">
        <w:tc>
          <w:tcPr>
            <w:tcW w:w="3254" w:type="dxa"/>
          </w:tcPr>
          <w:p w14:paraId="5CA42AFC" w14:textId="77777777" w:rsidR="007355BA" w:rsidRDefault="007355BA" w:rsidP="007355BA">
            <w:pPr>
              <w:tabs>
                <w:tab w:val="right" w:leader="dot" w:pos="3255"/>
              </w:tabs>
              <w:bidi/>
              <w:spacing w:before="40" w:after="40"/>
              <w:rPr>
                <w:b/>
                <w:bCs/>
                <w:sz w:val="17"/>
                <w:szCs w:val="17"/>
                <w:u w:val="single"/>
              </w:rPr>
            </w:pPr>
            <w:r w:rsidRPr="00272B36">
              <w:rPr>
                <w:rFonts w:hint="eastAsia"/>
                <w:b/>
                <w:bCs/>
                <w:szCs w:val="17"/>
                <w:rtl/>
              </w:rPr>
              <w:t>الأرباح</w:t>
            </w:r>
            <w:r w:rsidRPr="00272B36">
              <w:rPr>
                <w:b/>
                <w:bCs/>
                <w:szCs w:val="17"/>
                <w:rtl/>
              </w:rPr>
              <w:t xml:space="preserve"> قبل حساب الفوائد والضرائب والإهلاك والإطفاء </w:t>
            </w:r>
            <w:r>
              <w:rPr>
                <w:rFonts w:hint="cs"/>
                <w:b/>
                <w:bCs/>
                <w:szCs w:val="17"/>
                <w:rtl/>
              </w:rPr>
              <w:t>لل</w:t>
            </w:r>
            <w:r w:rsidR="00607B02">
              <w:rPr>
                <w:rFonts w:hint="cs"/>
                <w:b/>
                <w:bCs/>
                <w:szCs w:val="17"/>
                <w:rtl/>
              </w:rPr>
              <w:t>نقل</w:t>
            </w:r>
            <w:r>
              <w:rPr>
                <w:rFonts w:hint="cs"/>
                <w:b/>
                <w:bCs/>
                <w:szCs w:val="17"/>
                <w:rtl/>
              </w:rPr>
              <w:t xml:space="preserve"> المنتظم</w:t>
            </w:r>
            <w:r w:rsidRPr="007D2480">
              <w:rPr>
                <w:sz w:val="17"/>
              </w:rPr>
              <w:tab/>
            </w:r>
          </w:p>
        </w:tc>
        <w:tc>
          <w:tcPr>
            <w:tcW w:w="242" w:type="dxa"/>
            <w:vAlign w:val="bottom"/>
          </w:tcPr>
          <w:p w14:paraId="2111ECCD" w14:textId="77777777" w:rsidR="007355BA" w:rsidRPr="00E834EF" w:rsidRDefault="007355BA" w:rsidP="007355BA">
            <w:pPr>
              <w:spacing w:before="40" w:after="40"/>
              <w:rPr>
                <w:sz w:val="17"/>
                <w:szCs w:val="17"/>
              </w:rPr>
            </w:pPr>
          </w:p>
        </w:tc>
        <w:tc>
          <w:tcPr>
            <w:tcW w:w="913" w:type="dxa"/>
            <w:tcBorders>
              <w:top w:val="single" w:sz="4" w:space="0" w:color="auto"/>
            </w:tcBorders>
            <w:vAlign w:val="bottom"/>
          </w:tcPr>
          <w:p w14:paraId="47B6337D" w14:textId="77777777" w:rsidR="007355BA" w:rsidRPr="002163D4" w:rsidRDefault="007355BA" w:rsidP="007355BA">
            <w:pPr>
              <w:spacing w:before="40" w:after="40"/>
              <w:jc w:val="right"/>
              <w:rPr>
                <w:b/>
                <w:bCs/>
                <w:color w:val="000000"/>
                <w:sz w:val="16"/>
                <w:szCs w:val="16"/>
              </w:rPr>
            </w:pPr>
            <w:r w:rsidRPr="007A3BB2">
              <w:rPr>
                <w:color w:val="000000"/>
                <w:sz w:val="16"/>
                <w:szCs w:val="16"/>
              </w:rPr>
              <w:t>35.6</w:t>
            </w:r>
          </w:p>
        </w:tc>
        <w:tc>
          <w:tcPr>
            <w:tcW w:w="252" w:type="dxa"/>
            <w:gridSpan w:val="2"/>
            <w:vAlign w:val="bottom"/>
          </w:tcPr>
          <w:p w14:paraId="33E21309" w14:textId="77777777" w:rsidR="007355BA" w:rsidRPr="002163D4" w:rsidRDefault="007355BA" w:rsidP="007355BA">
            <w:pPr>
              <w:spacing w:before="40" w:after="40"/>
              <w:rPr>
                <w:b/>
                <w:bCs/>
                <w:color w:val="000000"/>
                <w:sz w:val="16"/>
                <w:szCs w:val="16"/>
              </w:rPr>
            </w:pPr>
          </w:p>
        </w:tc>
        <w:tc>
          <w:tcPr>
            <w:tcW w:w="924" w:type="dxa"/>
            <w:tcBorders>
              <w:top w:val="single" w:sz="4" w:space="0" w:color="auto"/>
            </w:tcBorders>
            <w:vAlign w:val="bottom"/>
          </w:tcPr>
          <w:p w14:paraId="030104D5" w14:textId="77777777" w:rsidR="007355BA" w:rsidRPr="002163D4" w:rsidRDefault="007355BA" w:rsidP="007355BA">
            <w:pPr>
              <w:spacing w:before="40" w:after="40"/>
              <w:jc w:val="right"/>
              <w:rPr>
                <w:b/>
                <w:bCs/>
                <w:color w:val="000000"/>
                <w:sz w:val="16"/>
                <w:szCs w:val="16"/>
              </w:rPr>
            </w:pPr>
            <w:r w:rsidRPr="007A3BB2">
              <w:rPr>
                <w:color w:val="000000"/>
                <w:sz w:val="16"/>
                <w:szCs w:val="16"/>
              </w:rPr>
              <w:t>78.5</w:t>
            </w:r>
          </w:p>
        </w:tc>
        <w:tc>
          <w:tcPr>
            <w:tcW w:w="242" w:type="dxa"/>
            <w:vAlign w:val="bottom"/>
          </w:tcPr>
          <w:p w14:paraId="59231A92" w14:textId="77777777" w:rsidR="007355BA" w:rsidRPr="002163D4" w:rsidRDefault="00E066F2" w:rsidP="007355BA">
            <w:pPr>
              <w:spacing w:before="40" w:after="40"/>
              <w:rPr>
                <w:b/>
                <w:bCs/>
                <w:color w:val="000000"/>
                <w:sz w:val="16"/>
                <w:szCs w:val="16"/>
              </w:rPr>
            </w:pPr>
            <w:r>
              <w:rPr>
                <w:b/>
                <w:bCs/>
                <w:color w:val="000000"/>
                <w:sz w:val="16"/>
                <w:szCs w:val="16"/>
              </w:rPr>
              <w:t>)</w:t>
            </w:r>
          </w:p>
        </w:tc>
        <w:tc>
          <w:tcPr>
            <w:tcW w:w="924" w:type="dxa"/>
            <w:tcBorders>
              <w:top w:val="single" w:sz="4" w:space="0" w:color="auto"/>
            </w:tcBorders>
            <w:vAlign w:val="bottom"/>
          </w:tcPr>
          <w:p w14:paraId="32BF3FEA" w14:textId="77777777" w:rsidR="007355BA" w:rsidRPr="002163D4" w:rsidRDefault="007355BA" w:rsidP="007355BA">
            <w:pPr>
              <w:spacing w:before="40" w:after="40"/>
              <w:jc w:val="right"/>
              <w:rPr>
                <w:b/>
                <w:bCs/>
                <w:color w:val="000000"/>
                <w:sz w:val="16"/>
                <w:szCs w:val="16"/>
              </w:rPr>
            </w:pPr>
            <w:r>
              <w:rPr>
                <w:color w:val="000000"/>
                <w:sz w:val="16"/>
                <w:szCs w:val="16"/>
              </w:rPr>
              <w:t>(</w:t>
            </w:r>
            <w:r w:rsidRPr="007A3BB2">
              <w:rPr>
                <w:color w:val="000000"/>
                <w:sz w:val="16"/>
                <w:szCs w:val="16"/>
              </w:rPr>
              <w:t>68.3</w:t>
            </w:r>
          </w:p>
        </w:tc>
        <w:tc>
          <w:tcPr>
            <w:tcW w:w="242" w:type="dxa"/>
            <w:vAlign w:val="bottom"/>
          </w:tcPr>
          <w:p w14:paraId="6E03BB90" w14:textId="77777777" w:rsidR="007355BA" w:rsidRPr="002163D4" w:rsidRDefault="007355BA" w:rsidP="007355BA">
            <w:pPr>
              <w:spacing w:before="40" w:after="40"/>
              <w:rPr>
                <w:b/>
                <w:bCs/>
                <w:sz w:val="16"/>
                <w:szCs w:val="16"/>
              </w:rPr>
            </w:pPr>
            <w:r>
              <w:rPr>
                <w:sz w:val="16"/>
                <w:szCs w:val="16"/>
              </w:rPr>
              <w:t>)</w:t>
            </w:r>
          </w:p>
        </w:tc>
        <w:tc>
          <w:tcPr>
            <w:tcW w:w="924" w:type="dxa"/>
            <w:tcBorders>
              <w:top w:val="single" w:sz="4" w:space="0" w:color="auto"/>
            </w:tcBorders>
            <w:vAlign w:val="bottom"/>
          </w:tcPr>
          <w:p w14:paraId="203F6F10" w14:textId="77777777" w:rsidR="007355BA" w:rsidRPr="002163D4" w:rsidRDefault="007355BA" w:rsidP="007355BA">
            <w:pPr>
              <w:spacing w:before="40" w:after="40"/>
              <w:jc w:val="right"/>
              <w:rPr>
                <w:b/>
                <w:bCs/>
                <w:sz w:val="16"/>
                <w:szCs w:val="16"/>
              </w:rPr>
            </w:pPr>
            <w:r>
              <w:rPr>
                <w:color w:val="000000"/>
                <w:sz w:val="16"/>
                <w:szCs w:val="16"/>
              </w:rPr>
              <w:t>(</w:t>
            </w:r>
            <w:r w:rsidRPr="007A3BB2">
              <w:rPr>
                <w:color w:val="000000"/>
                <w:sz w:val="16"/>
                <w:szCs w:val="16"/>
              </w:rPr>
              <w:t>60.8</w:t>
            </w:r>
          </w:p>
        </w:tc>
        <w:tc>
          <w:tcPr>
            <w:tcW w:w="227" w:type="dxa"/>
            <w:vAlign w:val="bottom"/>
          </w:tcPr>
          <w:p w14:paraId="3C947415" w14:textId="77777777" w:rsidR="007355BA" w:rsidRPr="002163D4" w:rsidRDefault="007355BA" w:rsidP="007355BA">
            <w:pPr>
              <w:spacing w:before="40" w:after="40"/>
              <w:rPr>
                <w:b/>
                <w:bCs/>
                <w:sz w:val="16"/>
                <w:szCs w:val="16"/>
              </w:rPr>
            </w:pPr>
          </w:p>
        </w:tc>
        <w:tc>
          <w:tcPr>
            <w:tcW w:w="939" w:type="dxa"/>
            <w:tcBorders>
              <w:top w:val="single" w:sz="4" w:space="0" w:color="auto"/>
            </w:tcBorders>
            <w:vAlign w:val="bottom"/>
          </w:tcPr>
          <w:p w14:paraId="2636171B" w14:textId="77777777" w:rsidR="007355BA" w:rsidRPr="002163D4" w:rsidRDefault="007355BA" w:rsidP="007355BA">
            <w:pPr>
              <w:spacing w:before="40" w:after="40"/>
              <w:jc w:val="right"/>
              <w:rPr>
                <w:b/>
                <w:bCs/>
                <w:sz w:val="16"/>
                <w:szCs w:val="16"/>
              </w:rPr>
            </w:pPr>
            <w:r w:rsidRPr="007A3BB2">
              <w:rPr>
                <w:color w:val="000000"/>
                <w:sz w:val="16"/>
                <w:szCs w:val="16"/>
              </w:rPr>
              <w:t>35.5</w:t>
            </w:r>
          </w:p>
        </w:tc>
        <w:tc>
          <w:tcPr>
            <w:tcW w:w="266" w:type="dxa"/>
            <w:vAlign w:val="bottom"/>
          </w:tcPr>
          <w:p w14:paraId="0421399C" w14:textId="77777777" w:rsidR="007355BA" w:rsidRPr="000D2863" w:rsidRDefault="007355BA" w:rsidP="007355BA">
            <w:pPr>
              <w:spacing w:before="40" w:after="40"/>
              <w:rPr>
                <w:b/>
                <w:bCs/>
                <w:sz w:val="17"/>
                <w:szCs w:val="17"/>
              </w:rPr>
            </w:pPr>
          </w:p>
        </w:tc>
      </w:tr>
    </w:tbl>
    <w:p w14:paraId="1CA9FB7D" w14:textId="77777777" w:rsidR="007355BA" w:rsidRDefault="007355BA" w:rsidP="007355BA">
      <w:pPr>
        <w:autoSpaceDE w:val="0"/>
        <w:autoSpaceDN w:val="0"/>
        <w:bidi/>
        <w:adjustRightInd w:val="0"/>
        <w:jc w:val="both"/>
        <w:rPr>
          <w:rFonts w:ascii="Traditional Arabic" w:hAnsi="Traditional Arabic" w:cs="Traditional Arabic"/>
          <w:sz w:val="30"/>
          <w:szCs w:val="30"/>
          <w:lang w:bidi="ar-EG"/>
        </w:rPr>
      </w:pPr>
    </w:p>
    <w:p w14:paraId="4021BBC8" w14:textId="77777777" w:rsidR="004B77CE" w:rsidRDefault="00CB5C0C" w:rsidP="004B77CE">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rPr>
        <w:t xml:space="preserve">(٩) </w:t>
      </w:r>
      <w:r w:rsidR="004B77CE" w:rsidRPr="00D568A2">
        <w:rPr>
          <w:rFonts w:ascii="Traditional Arabic" w:hAnsi="Traditional Arabic" w:cs="Traditional Arabic"/>
          <w:sz w:val="30"/>
          <w:szCs w:val="30"/>
          <w:rtl/>
          <w:lang w:bidi="ar-EG"/>
        </w:rPr>
        <w:t>يوضح الجدول التالي تسوية إيرادات مكافئ تأجير السفن المجهزة بالمدة، والأرباح قبل حساب الفوائد والضرائب والإطفاء مع الإيرادات والأرباح الإجمالية، على التوالي، ل</w:t>
      </w:r>
      <w:r w:rsidR="004B77CE">
        <w:rPr>
          <w:rFonts w:ascii="Traditional Arabic" w:hAnsi="Traditional Arabic" w:cs="Traditional Arabic" w:hint="cs"/>
          <w:sz w:val="30"/>
          <w:szCs w:val="30"/>
          <w:rtl/>
          <w:lang w:bidi="ar-EG"/>
        </w:rPr>
        <w:t>ل</w:t>
      </w:r>
      <w:r w:rsidR="004B77CE" w:rsidRPr="00D568A2">
        <w:rPr>
          <w:rFonts w:ascii="Traditional Arabic" w:hAnsi="Traditional Arabic" w:cs="Traditional Arabic"/>
          <w:sz w:val="30"/>
          <w:szCs w:val="30"/>
          <w:rtl/>
          <w:lang w:bidi="ar-EG"/>
        </w:rPr>
        <w:t xml:space="preserve">قطاع </w:t>
      </w:r>
      <w:r w:rsidR="004B77CE">
        <w:rPr>
          <w:rFonts w:ascii="Traditional Arabic" w:hAnsi="Traditional Arabic" w:cs="Traditional Arabic" w:hint="cs"/>
          <w:sz w:val="30"/>
          <w:szCs w:val="30"/>
          <w:rtl/>
          <w:lang w:bidi="ar-EG"/>
        </w:rPr>
        <w:t>الآخر</w:t>
      </w:r>
      <w:r w:rsidR="004B77CE" w:rsidRPr="00D568A2">
        <w:rPr>
          <w:rFonts w:ascii="Traditional Arabic" w:hAnsi="Traditional Arabic" w:cs="Traditional Arabic"/>
          <w:sz w:val="30"/>
          <w:szCs w:val="30"/>
          <w:rtl/>
          <w:lang w:bidi="ar-EG"/>
        </w:rPr>
        <w:t xml:space="preserve"> للفترات المشار إليها:</w:t>
      </w:r>
    </w:p>
    <w:p w14:paraId="692DCB89" w14:textId="77777777" w:rsidR="004B77CE" w:rsidRDefault="004B77CE" w:rsidP="004B77CE">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4B77CE" w:rsidRPr="00E834EF" w14:paraId="7A1BC197" w14:textId="77777777" w:rsidTr="00D925C8">
        <w:trPr>
          <w:tblHeader/>
        </w:trPr>
        <w:tc>
          <w:tcPr>
            <w:tcW w:w="3254" w:type="dxa"/>
          </w:tcPr>
          <w:p w14:paraId="1CE6257B" w14:textId="77777777" w:rsidR="004B77CE" w:rsidRPr="00E834EF" w:rsidRDefault="004B77CE" w:rsidP="00C64EDB">
            <w:pPr>
              <w:keepNext/>
              <w:bidi/>
              <w:spacing w:before="40" w:after="120"/>
              <w:rPr>
                <w:b/>
                <w:sz w:val="17"/>
                <w:szCs w:val="17"/>
              </w:rPr>
            </w:pPr>
          </w:p>
        </w:tc>
        <w:tc>
          <w:tcPr>
            <w:tcW w:w="242" w:type="dxa"/>
          </w:tcPr>
          <w:p w14:paraId="4438A9F0" w14:textId="77777777" w:rsidR="004B77CE" w:rsidRPr="00E834EF" w:rsidRDefault="004B77CE" w:rsidP="00C64EDB">
            <w:pPr>
              <w:spacing w:before="40" w:after="40"/>
              <w:rPr>
                <w:sz w:val="17"/>
                <w:szCs w:val="17"/>
              </w:rPr>
            </w:pPr>
          </w:p>
        </w:tc>
        <w:tc>
          <w:tcPr>
            <w:tcW w:w="3255" w:type="dxa"/>
            <w:gridSpan w:val="6"/>
          </w:tcPr>
          <w:p w14:paraId="4CDC3640" w14:textId="77777777" w:rsidR="004B77CE" w:rsidRPr="00E834EF" w:rsidRDefault="004B77CE" w:rsidP="00C64EDB">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371A1BD4" w14:textId="77777777" w:rsidR="004B77CE" w:rsidRPr="00E834EF" w:rsidRDefault="004B77CE" w:rsidP="00C64EDB">
            <w:pPr>
              <w:spacing w:before="40" w:after="40"/>
              <w:rPr>
                <w:sz w:val="17"/>
                <w:szCs w:val="17"/>
              </w:rPr>
            </w:pPr>
          </w:p>
        </w:tc>
        <w:tc>
          <w:tcPr>
            <w:tcW w:w="2090" w:type="dxa"/>
            <w:gridSpan w:val="3"/>
          </w:tcPr>
          <w:p w14:paraId="7FAA610A" w14:textId="77777777" w:rsidR="004B77CE" w:rsidRPr="00E834EF" w:rsidRDefault="004B77CE" w:rsidP="00C64EDB">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4659B258" w14:textId="77777777" w:rsidR="004B77CE" w:rsidRPr="00E834EF" w:rsidRDefault="004B77CE" w:rsidP="00C64EDB">
            <w:pPr>
              <w:keepNext/>
              <w:spacing w:before="40" w:after="120"/>
              <w:jc w:val="center"/>
              <w:rPr>
                <w:b/>
                <w:sz w:val="17"/>
                <w:szCs w:val="17"/>
              </w:rPr>
            </w:pPr>
          </w:p>
        </w:tc>
      </w:tr>
      <w:tr w:rsidR="004B77CE" w:rsidRPr="00E834EF" w14:paraId="2C687ECC" w14:textId="77777777" w:rsidTr="00D925C8">
        <w:trPr>
          <w:tblHeader/>
        </w:trPr>
        <w:tc>
          <w:tcPr>
            <w:tcW w:w="3254" w:type="dxa"/>
          </w:tcPr>
          <w:p w14:paraId="15DEC614" w14:textId="77777777" w:rsidR="004B77CE" w:rsidRPr="00E834EF" w:rsidRDefault="004B77CE" w:rsidP="00C64EDB">
            <w:pPr>
              <w:keepNext/>
              <w:bidi/>
              <w:spacing w:before="40" w:after="120"/>
              <w:rPr>
                <w:b/>
                <w:sz w:val="17"/>
                <w:szCs w:val="17"/>
              </w:rPr>
            </w:pPr>
          </w:p>
        </w:tc>
        <w:tc>
          <w:tcPr>
            <w:tcW w:w="242" w:type="dxa"/>
          </w:tcPr>
          <w:p w14:paraId="1E61A96F" w14:textId="77777777" w:rsidR="004B77CE" w:rsidRPr="00E834EF" w:rsidRDefault="004B77CE" w:rsidP="00C64EDB">
            <w:pPr>
              <w:spacing w:before="40" w:after="40"/>
              <w:rPr>
                <w:sz w:val="17"/>
                <w:szCs w:val="17"/>
              </w:rPr>
            </w:pPr>
          </w:p>
        </w:tc>
        <w:tc>
          <w:tcPr>
            <w:tcW w:w="923" w:type="dxa"/>
            <w:gridSpan w:val="2"/>
          </w:tcPr>
          <w:p w14:paraId="23ADDBB2" w14:textId="77777777" w:rsidR="004B77CE" w:rsidRPr="00E834EF" w:rsidRDefault="004B77CE" w:rsidP="00C64EDB">
            <w:pPr>
              <w:keepNext/>
              <w:spacing w:before="40" w:after="120"/>
              <w:jc w:val="right"/>
              <w:rPr>
                <w:b/>
                <w:sz w:val="17"/>
                <w:szCs w:val="17"/>
              </w:rPr>
            </w:pPr>
            <w:r w:rsidRPr="00E834EF">
              <w:rPr>
                <w:b/>
                <w:sz w:val="17"/>
                <w:szCs w:val="17"/>
              </w:rPr>
              <w:t>2021</w:t>
            </w:r>
          </w:p>
        </w:tc>
        <w:tc>
          <w:tcPr>
            <w:tcW w:w="242" w:type="dxa"/>
          </w:tcPr>
          <w:p w14:paraId="5FD2035E" w14:textId="77777777" w:rsidR="004B77CE" w:rsidRPr="00E834EF" w:rsidRDefault="004B77CE" w:rsidP="00C64EDB">
            <w:pPr>
              <w:spacing w:before="40" w:after="40"/>
              <w:rPr>
                <w:sz w:val="17"/>
                <w:szCs w:val="17"/>
              </w:rPr>
            </w:pPr>
          </w:p>
        </w:tc>
        <w:tc>
          <w:tcPr>
            <w:tcW w:w="924" w:type="dxa"/>
          </w:tcPr>
          <w:p w14:paraId="16D826D6" w14:textId="77777777" w:rsidR="004B77CE" w:rsidRPr="00E834EF" w:rsidRDefault="004B77CE" w:rsidP="00C64EDB">
            <w:pPr>
              <w:keepNext/>
              <w:spacing w:before="40" w:after="120"/>
              <w:jc w:val="right"/>
              <w:rPr>
                <w:b/>
                <w:sz w:val="17"/>
                <w:szCs w:val="17"/>
              </w:rPr>
            </w:pPr>
            <w:r w:rsidRPr="00E834EF">
              <w:rPr>
                <w:b/>
                <w:sz w:val="17"/>
                <w:szCs w:val="17"/>
              </w:rPr>
              <w:t>2022</w:t>
            </w:r>
          </w:p>
        </w:tc>
        <w:tc>
          <w:tcPr>
            <w:tcW w:w="242" w:type="dxa"/>
          </w:tcPr>
          <w:p w14:paraId="7D56929D" w14:textId="77777777" w:rsidR="004B77CE" w:rsidRPr="00E834EF" w:rsidRDefault="004B77CE" w:rsidP="00C64EDB">
            <w:pPr>
              <w:spacing w:before="40" w:after="40"/>
              <w:rPr>
                <w:sz w:val="17"/>
                <w:szCs w:val="17"/>
              </w:rPr>
            </w:pPr>
          </w:p>
        </w:tc>
        <w:tc>
          <w:tcPr>
            <w:tcW w:w="924" w:type="dxa"/>
          </w:tcPr>
          <w:p w14:paraId="7D439E0C" w14:textId="77777777" w:rsidR="004B77CE" w:rsidRPr="00E834EF" w:rsidRDefault="004B77CE" w:rsidP="00C64EDB">
            <w:pPr>
              <w:keepNext/>
              <w:spacing w:before="40" w:after="120"/>
              <w:jc w:val="right"/>
              <w:rPr>
                <w:b/>
                <w:sz w:val="17"/>
                <w:szCs w:val="17"/>
              </w:rPr>
            </w:pPr>
            <w:r w:rsidRPr="00E834EF">
              <w:rPr>
                <w:b/>
                <w:sz w:val="17"/>
                <w:szCs w:val="17"/>
              </w:rPr>
              <w:t>2023</w:t>
            </w:r>
          </w:p>
        </w:tc>
        <w:tc>
          <w:tcPr>
            <w:tcW w:w="242" w:type="dxa"/>
          </w:tcPr>
          <w:p w14:paraId="26132CDE" w14:textId="77777777" w:rsidR="004B77CE" w:rsidRPr="00E834EF" w:rsidRDefault="004B77CE" w:rsidP="00C64EDB">
            <w:pPr>
              <w:spacing w:before="40" w:after="40"/>
              <w:rPr>
                <w:sz w:val="17"/>
                <w:szCs w:val="17"/>
              </w:rPr>
            </w:pPr>
          </w:p>
        </w:tc>
        <w:tc>
          <w:tcPr>
            <w:tcW w:w="924" w:type="dxa"/>
          </w:tcPr>
          <w:p w14:paraId="48AD19E3" w14:textId="77777777" w:rsidR="004B77CE" w:rsidRPr="00E834EF" w:rsidRDefault="004B77CE" w:rsidP="00C64EDB">
            <w:pPr>
              <w:keepNext/>
              <w:spacing w:before="40" w:after="120"/>
              <w:jc w:val="right"/>
              <w:rPr>
                <w:b/>
                <w:sz w:val="17"/>
                <w:szCs w:val="17"/>
              </w:rPr>
            </w:pPr>
            <w:r w:rsidRPr="00E834EF">
              <w:rPr>
                <w:b/>
                <w:sz w:val="17"/>
                <w:szCs w:val="17"/>
              </w:rPr>
              <w:t>2023</w:t>
            </w:r>
          </w:p>
        </w:tc>
        <w:tc>
          <w:tcPr>
            <w:tcW w:w="227" w:type="dxa"/>
          </w:tcPr>
          <w:p w14:paraId="33C7001E" w14:textId="77777777" w:rsidR="004B77CE" w:rsidRPr="00E834EF" w:rsidRDefault="004B77CE" w:rsidP="00C64EDB">
            <w:pPr>
              <w:spacing w:before="40" w:after="40"/>
              <w:rPr>
                <w:sz w:val="17"/>
                <w:szCs w:val="17"/>
              </w:rPr>
            </w:pPr>
          </w:p>
        </w:tc>
        <w:tc>
          <w:tcPr>
            <w:tcW w:w="939" w:type="dxa"/>
          </w:tcPr>
          <w:p w14:paraId="745C52E4" w14:textId="77777777" w:rsidR="004B77CE" w:rsidRPr="00E834EF" w:rsidRDefault="004B77CE" w:rsidP="00C64EDB">
            <w:pPr>
              <w:keepNext/>
              <w:spacing w:before="40" w:after="120"/>
              <w:jc w:val="right"/>
              <w:rPr>
                <w:b/>
                <w:sz w:val="17"/>
                <w:szCs w:val="17"/>
              </w:rPr>
            </w:pPr>
            <w:r w:rsidRPr="00E834EF">
              <w:rPr>
                <w:b/>
                <w:sz w:val="17"/>
                <w:szCs w:val="17"/>
              </w:rPr>
              <w:t>2024</w:t>
            </w:r>
          </w:p>
        </w:tc>
        <w:tc>
          <w:tcPr>
            <w:tcW w:w="266" w:type="dxa"/>
          </w:tcPr>
          <w:p w14:paraId="14E4E66C" w14:textId="77777777" w:rsidR="004B77CE" w:rsidRPr="00E834EF" w:rsidRDefault="004B77CE" w:rsidP="00C64EDB">
            <w:pPr>
              <w:keepNext/>
              <w:spacing w:before="40" w:after="120"/>
              <w:jc w:val="right"/>
              <w:rPr>
                <w:b/>
                <w:sz w:val="17"/>
                <w:szCs w:val="17"/>
              </w:rPr>
            </w:pPr>
          </w:p>
        </w:tc>
      </w:tr>
      <w:tr w:rsidR="004B77CE" w:rsidRPr="00E834EF" w14:paraId="299F17E9" w14:textId="77777777" w:rsidTr="00D925C8">
        <w:trPr>
          <w:trHeight w:val="215"/>
          <w:tblHeader/>
        </w:trPr>
        <w:tc>
          <w:tcPr>
            <w:tcW w:w="3254" w:type="dxa"/>
          </w:tcPr>
          <w:p w14:paraId="3FD52F7A" w14:textId="77777777" w:rsidR="004B77CE" w:rsidRPr="00E834EF" w:rsidRDefault="004B77CE" w:rsidP="00C64EDB">
            <w:pPr>
              <w:keepNext/>
              <w:bidi/>
              <w:spacing w:before="40" w:after="120"/>
              <w:jc w:val="center"/>
              <w:rPr>
                <w:i/>
                <w:sz w:val="17"/>
                <w:szCs w:val="17"/>
              </w:rPr>
            </w:pPr>
          </w:p>
        </w:tc>
        <w:tc>
          <w:tcPr>
            <w:tcW w:w="242" w:type="dxa"/>
          </w:tcPr>
          <w:p w14:paraId="708B2D37" w14:textId="77777777" w:rsidR="004B77CE" w:rsidRPr="00E834EF" w:rsidRDefault="004B77CE" w:rsidP="00C64EDB">
            <w:pPr>
              <w:keepNext/>
              <w:spacing w:before="40" w:after="120"/>
              <w:jc w:val="center"/>
              <w:rPr>
                <w:i/>
                <w:sz w:val="17"/>
                <w:szCs w:val="17"/>
              </w:rPr>
            </w:pPr>
          </w:p>
        </w:tc>
        <w:tc>
          <w:tcPr>
            <w:tcW w:w="5587" w:type="dxa"/>
            <w:gridSpan w:val="10"/>
          </w:tcPr>
          <w:p w14:paraId="26528547" w14:textId="77777777" w:rsidR="004B77CE" w:rsidRPr="00E834EF" w:rsidRDefault="004B77CE" w:rsidP="00C64EDB">
            <w:pPr>
              <w:keepNext/>
              <w:spacing w:before="40" w:after="120"/>
              <w:jc w:val="center"/>
              <w:rPr>
                <w:i/>
                <w:sz w:val="17"/>
                <w:szCs w:val="17"/>
              </w:rPr>
            </w:pPr>
            <w:r w:rsidRPr="00E834EF">
              <w:rPr>
                <w:i/>
                <w:color w:val="000000"/>
                <w:sz w:val="17"/>
                <w:szCs w:val="17"/>
              </w:rPr>
              <w:t>(</w:t>
            </w:r>
            <w:r>
              <w:rPr>
                <w:i/>
                <w:color w:val="000000"/>
                <w:sz w:val="17"/>
                <w:szCs w:val="17"/>
              </w:rPr>
              <w:t>OMR</w:t>
            </w:r>
            <w:r w:rsidRPr="00E834EF">
              <w:rPr>
                <w:i/>
                <w:color w:val="000000"/>
                <w:sz w:val="17"/>
                <w:szCs w:val="17"/>
              </w:rPr>
              <w:t xml:space="preserve"> </w:t>
            </w:r>
            <w:r>
              <w:rPr>
                <w:i/>
                <w:color w:val="000000"/>
                <w:sz w:val="17"/>
                <w:szCs w:val="17"/>
              </w:rPr>
              <w:t>millions</w:t>
            </w:r>
            <w:r w:rsidRPr="00E834EF">
              <w:rPr>
                <w:i/>
                <w:color w:val="000000"/>
                <w:sz w:val="17"/>
                <w:szCs w:val="17"/>
              </w:rPr>
              <w:t>)</w:t>
            </w:r>
          </w:p>
        </w:tc>
        <w:tc>
          <w:tcPr>
            <w:tcW w:w="266" w:type="dxa"/>
          </w:tcPr>
          <w:p w14:paraId="46CFB6A8" w14:textId="77777777" w:rsidR="004B77CE" w:rsidRPr="00E834EF" w:rsidRDefault="004B77CE" w:rsidP="00C64EDB">
            <w:pPr>
              <w:keepNext/>
              <w:spacing w:before="40" w:after="120"/>
              <w:jc w:val="center"/>
              <w:rPr>
                <w:i/>
                <w:color w:val="000000"/>
                <w:sz w:val="17"/>
                <w:szCs w:val="17"/>
              </w:rPr>
            </w:pPr>
          </w:p>
        </w:tc>
      </w:tr>
      <w:tr w:rsidR="004B77CE" w:rsidRPr="00E834EF" w14:paraId="25E41F91" w14:textId="77777777" w:rsidTr="00D925C8">
        <w:tc>
          <w:tcPr>
            <w:tcW w:w="3254" w:type="dxa"/>
            <w:vAlign w:val="bottom"/>
          </w:tcPr>
          <w:p w14:paraId="5765070E" w14:textId="77777777" w:rsidR="004B77CE" w:rsidRDefault="004B77CE" w:rsidP="00C64EDB">
            <w:pPr>
              <w:tabs>
                <w:tab w:val="right" w:leader="dot" w:pos="3255"/>
              </w:tabs>
              <w:bidi/>
              <w:spacing w:before="40" w:after="40"/>
              <w:ind w:left="12"/>
              <w:rPr>
                <w:b/>
                <w:bCs/>
                <w:color w:val="000000"/>
                <w:sz w:val="17"/>
                <w:szCs w:val="17"/>
              </w:rPr>
            </w:pPr>
            <w:r>
              <w:rPr>
                <w:rFonts w:hint="cs"/>
                <w:b/>
                <w:bCs/>
                <w:color w:val="000000"/>
                <w:sz w:val="17"/>
                <w:szCs w:val="17"/>
                <w:rtl/>
              </w:rPr>
              <w:t>إيرادات أخرى</w:t>
            </w:r>
            <w:r w:rsidRPr="0054596C">
              <w:rPr>
                <w:sz w:val="17"/>
              </w:rPr>
              <w:tab/>
            </w:r>
          </w:p>
        </w:tc>
        <w:tc>
          <w:tcPr>
            <w:tcW w:w="242" w:type="dxa"/>
            <w:vAlign w:val="bottom"/>
          </w:tcPr>
          <w:p w14:paraId="59CC93E1" w14:textId="77777777" w:rsidR="004B77CE" w:rsidRPr="00E834EF" w:rsidRDefault="004B77CE" w:rsidP="00C64EDB">
            <w:pPr>
              <w:spacing w:before="40" w:after="40"/>
              <w:rPr>
                <w:sz w:val="17"/>
                <w:szCs w:val="17"/>
              </w:rPr>
            </w:pPr>
          </w:p>
        </w:tc>
        <w:tc>
          <w:tcPr>
            <w:tcW w:w="913" w:type="dxa"/>
            <w:vAlign w:val="bottom"/>
          </w:tcPr>
          <w:p w14:paraId="1851F8E1" w14:textId="77777777" w:rsidR="004B77CE" w:rsidRPr="000A73F0" w:rsidRDefault="00BC73F1" w:rsidP="00C64EDB">
            <w:pPr>
              <w:spacing w:before="40" w:after="40"/>
              <w:jc w:val="right"/>
              <w:rPr>
                <w:color w:val="000000"/>
                <w:sz w:val="17"/>
                <w:szCs w:val="17"/>
              </w:rPr>
            </w:pPr>
            <w:r>
              <w:rPr>
                <w:color w:val="000000"/>
                <w:sz w:val="17"/>
                <w:szCs w:val="17"/>
              </w:rPr>
              <w:t>3.9</w:t>
            </w:r>
          </w:p>
        </w:tc>
        <w:tc>
          <w:tcPr>
            <w:tcW w:w="252" w:type="dxa"/>
            <w:gridSpan w:val="2"/>
            <w:vAlign w:val="bottom"/>
          </w:tcPr>
          <w:p w14:paraId="1BC596EC" w14:textId="77777777" w:rsidR="004B77CE" w:rsidRPr="007766C5" w:rsidRDefault="004B77CE" w:rsidP="00C64EDB">
            <w:pPr>
              <w:spacing w:before="40" w:after="40"/>
              <w:rPr>
                <w:color w:val="000000"/>
                <w:sz w:val="17"/>
                <w:szCs w:val="17"/>
              </w:rPr>
            </w:pPr>
          </w:p>
        </w:tc>
        <w:tc>
          <w:tcPr>
            <w:tcW w:w="924" w:type="dxa"/>
            <w:vAlign w:val="bottom"/>
          </w:tcPr>
          <w:p w14:paraId="063BA4A5" w14:textId="77777777" w:rsidR="004B77CE" w:rsidRPr="007766C5" w:rsidRDefault="00BC73F1" w:rsidP="00C64EDB">
            <w:pPr>
              <w:spacing w:before="40" w:after="40"/>
              <w:jc w:val="right"/>
              <w:rPr>
                <w:color w:val="000000"/>
                <w:sz w:val="17"/>
                <w:szCs w:val="17"/>
              </w:rPr>
            </w:pPr>
            <w:r>
              <w:rPr>
                <w:color w:val="000000"/>
                <w:sz w:val="17"/>
                <w:szCs w:val="17"/>
              </w:rPr>
              <w:t>3.8</w:t>
            </w:r>
          </w:p>
        </w:tc>
        <w:tc>
          <w:tcPr>
            <w:tcW w:w="242" w:type="dxa"/>
            <w:vAlign w:val="bottom"/>
          </w:tcPr>
          <w:p w14:paraId="3927F74D" w14:textId="77777777" w:rsidR="004B77CE" w:rsidRPr="007766C5" w:rsidRDefault="004B77CE" w:rsidP="00C64EDB">
            <w:pPr>
              <w:spacing w:before="40" w:after="40"/>
              <w:rPr>
                <w:color w:val="000000"/>
                <w:sz w:val="17"/>
                <w:szCs w:val="17"/>
              </w:rPr>
            </w:pPr>
          </w:p>
        </w:tc>
        <w:tc>
          <w:tcPr>
            <w:tcW w:w="924" w:type="dxa"/>
            <w:vAlign w:val="bottom"/>
          </w:tcPr>
          <w:p w14:paraId="4D472900" w14:textId="77777777" w:rsidR="004B77CE" w:rsidRPr="007766C5" w:rsidRDefault="00BC73F1" w:rsidP="00C64EDB">
            <w:pPr>
              <w:spacing w:before="40" w:after="40"/>
              <w:jc w:val="right"/>
              <w:rPr>
                <w:color w:val="000000"/>
                <w:sz w:val="17"/>
                <w:szCs w:val="17"/>
              </w:rPr>
            </w:pPr>
            <w:r>
              <w:rPr>
                <w:color w:val="000000"/>
                <w:sz w:val="17"/>
                <w:szCs w:val="17"/>
              </w:rPr>
              <w:t>3.8</w:t>
            </w:r>
          </w:p>
        </w:tc>
        <w:tc>
          <w:tcPr>
            <w:tcW w:w="242" w:type="dxa"/>
            <w:vAlign w:val="bottom"/>
          </w:tcPr>
          <w:p w14:paraId="3DFCD1A5" w14:textId="77777777" w:rsidR="004B77CE" w:rsidRPr="007766C5" w:rsidRDefault="004B77CE" w:rsidP="00C64EDB">
            <w:pPr>
              <w:spacing w:before="40" w:after="40"/>
              <w:rPr>
                <w:sz w:val="17"/>
                <w:szCs w:val="17"/>
              </w:rPr>
            </w:pPr>
          </w:p>
        </w:tc>
        <w:tc>
          <w:tcPr>
            <w:tcW w:w="924" w:type="dxa"/>
            <w:vAlign w:val="bottom"/>
          </w:tcPr>
          <w:p w14:paraId="27038F52" w14:textId="77777777" w:rsidR="004B77CE" w:rsidRPr="007766C5" w:rsidRDefault="00B91CB5" w:rsidP="00C64EDB">
            <w:pPr>
              <w:spacing w:before="40" w:after="40"/>
              <w:jc w:val="right"/>
              <w:rPr>
                <w:sz w:val="17"/>
                <w:szCs w:val="17"/>
              </w:rPr>
            </w:pPr>
            <w:r>
              <w:rPr>
                <w:sz w:val="17"/>
                <w:szCs w:val="17"/>
              </w:rPr>
              <w:t>2.9</w:t>
            </w:r>
          </w:p>
        </w:tc>
        <w:tc>
          <w:tcPr>
            <w:tcW w:w="227" w:type="dxa"/>
            <w:vAlign w:val="bottom"/>
          </w:tcPr>
          <w:p w14:paraId="4E9DF13D" w14:textId="77777777" w:rsidR="004B77CE" w:rsidRPr="007766C5" w:rsidRDefault="004B77CE" w:rsidP="00C64EDB">
            <w:pPr>
              <w:spacing w:before="40" w:after="40"/>
              <w:rPr>
                <w:sz w:val="17"/>
                <w:szCs w:val="17"/>
              </w:rPr>
            </w:pPr>
          </w:p>
        </w:tc>
        <w:tc>
          <w:tcPr>
            <w:tcW w:w="939" w:type="dxa"/>
            <w:vAlign w:val="bottom"/>
          </w:tcPr>
          <w:p w14:paraId="1C3C90B2" w14:textId="77777777" w:rsidR="004B77CE" w:rsidRPr="007766C5" w:rsidRDefault="00B91CB5" w:rsidP="00C64EDB">
            <w:pPr>
              <w:spacing w:before="40" w:after="40"/>
              <w:jc w:val="right"/>
              <w:rPr>
                <w:sz w:val="17"/>
                <w:szCs w:val="17"/>
              </w:rPr>
            </w:pPr>
            <w:r>
              <w:rPr>
                <w:sz w:val="17"/>
                <w:szCs w:val="17"/>
              </w:rPr>
              <w:t>3.2</w:t>
            </w:r>
          </w:p>
        </w:tc>
        <w:tc>
          <w:tcPr>
            <w:tcW w:w="266" w:type="dxa"/>
          </w:tcPr>
          <w:p w14:paraId="5A87C6D7" w14:textId="77777777" w:rsidR="004B77CE" w:rsidRPr="000D2863" w:rsidRDefault="004B77CE" w:rsidP="00C64EDB">
            <w:pPr>
              <w:spacing w:before="40" w:after="40"/>
              <w:rPr>
                <w:sz w:val="17"/>
                <w:szCs w:val="17"/>
              </w:rPr>
            </w:pPr>
          </w:p>
        </w:tc>
      </w:tr>
      <w:tr w:rsidR="004B77CE" w:rsidRPr="00E834EF" w14:paraId="46575BB5" w14:textId="77777777" w:rsidTr="00D925C8">
        <w:tc>
          <w:tcPr>
            <w:tcW w:w="3254" w:type="dxa"/>
          </w:tcPr>
          <w:p w14:paraId="3B9BC203" w14:textId="77777777" w:rsidR="004B77CE" w:rsidRDefault="004B77CE" w:rsidP="00C64EDB">
            <w:pPr>
              <w:tabs>
                <w:tab w:val="right" w:leader="dot" w:pos="3255"/>
              </w:tabs>
              <w:bidi/>
              <w:spacing w:before="40" w:after="40"/>
              <w:ind w:left="357" w:firstLine="64"/>
              <w:rPr>
                <w:sz w:val="17"/>
                <w:szCs w:val="17"/>
              </w:rPr>
            </w:pPr>
            <w:r>
              <w:rPr>
                <w:rFonts w:hint="cs"/>
                <w:sz w:val="17"/>
                <w:szCs w:val="17"/>
                <w:rtl/>
              </w:rPr>
              <w:t>تكلفة تشغيل الرحلة</w:t>
            </w:r>
            <w:r w:rsidRPr="007D2480">
              <w:rPr>
                <w:sz w:val="17"/>
              </w:rPr>
              <w:tab/>
            </w:r>
          </w:p>
        </w:tc>
        <w:tc>
          <w:tcPr>
            <w:tcW w:w="242" w:type="dxa"/>
            <w:vAlign w:val="bottom"/>
          </w:tcPr>
          <w:p w14:paraId="616EB9BD" w14:textId="77777777" w:rsidR="004B77CE" w:rsidRPr="00E834EF" w:rsidRDefault="004B77CE" w:rsidP="00C64EDB">
            <w:pPr>
              <w:spacing w:before="40" w:after="40"/>
              <w:rPr>
                <w:sz w:val="17"/>
                <w:szCs w:val="17"/>
              </w:rPr>
            </w:pPr>
          </w:p>
        </w:tc>
        <w:tc>
          <w:tcPr>
            <w:tcW w:w="913" w:type="dxa"/>
            <w:vAlign w:val="bottom"/>
          </w:tcPr>
          <w:p w14:paraId="6FD880E4" w14:textId="77777777" w:rsidR="004B77CE" w:rsidRPr="000A73F0" w:rsidRDefault="00BC73F1" w:rsidP="00C64EDB">
            <w:pPr>
              <w:spacing w:before="40" w:after="40"/>
              <w:jc w:val="right"/>
              <w:rPr>
                <w:color w:val="000000"/>
                <w:sz w:val="17"/>
                <w:szCs w:val="17"/>
              </w:rPr>
            </w:pPr>
            <w:r>
              <w:rPr>
                <w:color w:val="000000"/>
                <w:sz w:val="17"/>
                <w:szCs w:val="17"/>
              </w:rPr>
              <w:t>(0.2)</w:t>
            </w:r>
          </w:p>
        </w:tc>
        <w:tc>
          <w:tcPr>
            <w:tcW w:w="252" w:type="dxa"/>
            <w:gridSpan w:val="2"/>
            <w:vAlign w:val="bottom"/>
          </w:tcPr>
          <w:p w14:paraId="5FD5A6FC" w14:textId="77777777" w:rsidR="004B77CE" w:rsidRPr="007766C5" w:rsidRDefault="004B77CE" w:rsidP="00C64EDB">
            <w:pPr>
              <w:spacing w:before="40" w:after="40"/>
              <w:rPr>
                <w:color w:val="000000"/>
                <w:sz w:val="17"/>
                <w:szCs w:val="17"/>
              </w:rPr>
            </w:pPr>
          </w:p>
        </w:tc>
        <w:tc>
          <w:tcPr>
            <w:tcW w:w="924" w:type="dxa"/>
            <w:vAlign w:val="bottom"/>
          </w:tcPr>
          <w:p w14:paraId="2273EAA4" w14:textId="77777777" w:rsidR="004B77CE" w:rsidRPr="007766C5" w:rsidRDefault="00BC73F1" w:rsidP="00C64EDB">
            <w:pPr>
              <w:spacing w:before="40" w:after="40"/>
              <w:jc w:val="right"/>
              <w:rPr>
                <w:color w:val="000000"/>
                <w:sz w:val="17"/>
                <w:szCs w:val="17"/>
              </w:rPr>
            </w:pPr>
            <w:r>
              <w:rPr>
                <w:color w:val="000000"/>
                <w:sz w:val="17"/>
                <w:szCs w:val="17"/>
              </w:rPr>
              <w:t>(0.0)</w:t>
            </w:r>
          </w:p>
        </w:tc>
        <w:tc>
          <w:tcPr>
            <w:tcW w:w="242" w:type="dxa"/>
            <w:vAlign w:val="bottom"/>
          </w:tcPr>
          <w:p w14:paraId="53FD47EE" w14:textId="77777777" w:rsidR="004B77CE" w:rsidRPr="007766C5" w:rsidRDefault="004B77CE" w:rsidP="00C64EDB">
            <w:pPr>
              <w:spacing w:before="40" w:after="40"/>
              <w:rPr>
                <w:color w:val="000000"/>
                <w:sz w:val="17"/>
                <w:szCs w:val="17"/>
              </w:rPr>
            </w:pPr>
          </w:p>
        </w:tc>
        <w:tc>
          <w:tcPr>
            <w:tcW w:w="924" w:type="dxa"/>
            <w:vAlign w:val="bottom"/>
          </w:tcPr>
          <w:p w14:paraId="36BD51B3" w14:textId="77777777" w:rsidR="004B77CE" w:rsidRPr="007766C5" w:rsidRDefault="00BC73F1" w:rsidP="00C64EDB">
            <w:pPr>
              <w:spacing w:before="40" w:after="40"/>
              <w:jc w:val="right"/>
              <w:rPr>
                <w:color w:val="000000"/>
                <w:sz w:val="17"/>
                <w:szCs w:val="17"/>
              </w:rPr>
            </w:pPr>
            <w:r>
              <w:rPr>
                <w:color w:val="000000"/>
                <w:sz w:val="17"/>
                <w:szCs w:val="17"/>
              </w:rPr>
              <w:t>(</w:t>
            </w:r>
            <w:r w:rsidR="00B91CB5">
              <w:rPr>
                <w:color w:val="000000"/>
                <w:sz w:val="17"/>
                <w:szCs w:val="17"/>
              </w:rPr>
              <w:t>0.0)</w:t>
            </w:r>
          </w:p>
        </w:tc>
        <w:tc>
          <w:tcPr>
            <w:tcW w:w="242" w:type="dxa"/>
            <w:vAlign w:val="bottom"/>
          </w:tcPr>
          <w:p w14:paraId="17F40A82" w14:textId="77777777" w:rsidR="004B77CE" w:rsidRPr="007766C5" w:rsidRDefault="004B77CE" w:rsidP="00C64EDB">
            <w:pPr>
              <w:spacing w:before="40" w:after="40"/>
              <w:rPr>
                <w:sz w:val="17"/>
                <w:szCs w:val="17"/>
              </w:rPr>
            </w:pPr>
          </w:p>
        </w:tc>
        <w:tc>
          <w:tcPr>
            <w:tcW w:w="924" w:type="dxa"/>
            <w:vAlign w:val="bottom"/>
          </w:tcPr>
          <w:p w14:paraId="0843E5D6" w14:textId="77777777" w:rsidR="004B77CE" w:rsidRPr="007766C5" w:rsidRDefault="00B91CB5" w:rsidP="00C64EDB">
            <w:pPr>
              <w:spacing w:before="40" w:after="40"/>
              <w:jc w:val="right"/>
              <w:rPr>
                <w:sz w:val="17"/>
                <w:szCs w:val="17"/>
              </w:rPr>
            </w:pPr>
            <w:r>
              <w:rPr>
                <w:sz w:val="17"/>
                <w:szCs w:val="17"/>
              </w:rPr>
              <w:t>(0.2)</w:t>
            </w:r>
          </w:p>
        </w:tc>
        <w:tc>
          <w:tcPr>
            <w:tcW w:w="227" w:type="dxa"/>
            <w:vAlign w:val="bottom"/>
          </w:tcPr>
          <w:p w14:paraId="2FD4F698" w14:textId="77777777" w:rsidR="004B77CE" w:rsidRPr="007766C5" w:rsidRDefault="004B77CE" w:rsidP="00C64EDB">
            <w:pPr>
              <w:spacing w:before="40" w:after="40"/>
              <w:rPr>
                <w:sz w:val="17"/>
                <w:szCs w:val="17"/>
              </w:rPr>
            </w:pPr>
          </w:p>
        </w:tc>
        <w:tc>
          <w:tcPr>
            <w:tcW w:w="939" w:type="dxa"/>
            <w:vAlign w:val="bottom"/>
          </w:tcPr>
          <w:p w14:paraId="1804F35F" w14:textId="77777777" w:rsidR="004B77CE" w:rsidRPr="007766C5" w:rsidRDefault="00B91CB5" w:rsidP="00C64EDB">
            <w:pPr>
              <w:spacing w:before="40" w:after="40"/>
              <w:jc w:val="right"/>
              <w:rPr>
                <w:sz w:val="17"/>
                <w:szCs w:val="17"/>
              </w:rPr>
            </w:pPr>
            <w:r>
              <w:rPr>
                <w:sz w:val="17"/>
                <w:szCs w:val="17"/>
              </w:rPr>
              <w:t>(0.1)</w:t>
            </w:r>
          </w:p>
        </w:tc>
        <w:tc>
          <w:tcPr>
            <w:tcW w:w="266" w:type="dxa"/>
            <w:vAlign w:val="bottom"/>
          </w:tcPr>
          <w:p w14:paraId="10F9484D" w14:textId="77777777" w:rsidR="004B77CE" w:rsidRPr="007766C5" w:rsidRDefault="004B77CE" w:rsidP="00C64EDB">
            <w:pPr>
              <w:spacing w:before="40" w:after="40"/>
              <w:rPr>
                <w:sz w:val="17"/>
                <w:szCs w:val="17"/>
              </w:rPr>
            </w:pPr>
          </w:p>
        </w:tc>
      </w:tr>
      <w:tr w:rsidR="004B77CE" w:rsidRPr="00E834EF" w14:paraId="56375762" w14:textId="77777777" w:rsidTr="00D925C8">
        <w:tc>
          <w:tcPr>
            <w:tcW w:w="3254" w:type="dxa"/>
          </w:tcPr>
          <w:p w14:paraId="20660F44" w14:textId="77777777" w:rsidR="004B77CE" w:rsidRDefault="004B77CE" w:rsidP="00C64EDB">
            <w:pPr>
              <w:tabs>
                <w:tab w:val="right" w:leader="dot" w:pos="3255"/>
              </w:tabs>
              <w:bidi/>
              <w:spacing w:before="40" w:after="40"/>
              <w:rPr>
                <w:b/>
                <w:bCs/>
                <w:sz w:val="17"/>
                <w:szCs w:val="17"/>
                <w:u w:val="single"/>
              </w:rPr>
            </w:pPr>
            <w:r w:rsidRPr="002A4B5D">
              <w:rPr>
                <w:rFonts w:hint="cs"/>
                <w:b/>
                <w:bCs/>
                <w:sz w:val="17"/>
                <w:szCs w:val="17"/>
                <w:u w:val="single"/>
                <w:rtl/>
              </w:rPr>
              <w:lastRenderedPageBreak/>
              <w:t xml:space="preserve">إيرادات </w:t>
            </w:r>
            <w:r>
              <w:rPr>
                <w:rFonts w:hint="cs"/>
                <w:b/>
                <w:bCs/>
                <w:sz w:val="17"/>
                <w:szCs w:val="17"/>
                <w:u w:val="single"/>
                <w:rtl/>
              </w:rPr>
              <w:t xml:space="preserve">أخرى من </w:t>
            </w:r>
            <w:r w:rsidRPr="002A4B5D">
              <w:rPr>
                <w:rFonts w:hint="cs"/>
                <w:b/>
                <w:bCs/>
                <w:sz w:val="17"/>
                <w:szCs w:val="17"/>
                <w:u w:val="single"/>
                <w:rtl/>
              </w:rPr>
              <w:t>مكافئ تأجير السفن المجهزة بالمدة</w:t>
            </w:r>
            <w:r w:rsidRPr="007D2480">
              <w:rPr>
                <w:sz w:val="17"/>
              </w:rPr>
              <w:tab/>
            </w:r>
          </w:p>
        </w:tc>
        <w:tc>
          <w:tcPr>
            <w:tcW w:w="242" w:type="dxa"/>
            <w:vAlign w:val="bottom"/>
          </w:tcPr>
          <w:p w14:paraId="06645562" w14:textId="77777777" w:rsidR="004B77CE" w:rsidRPr="00E834EF" w:rsidRDefault="004B77CE" w:rsidP="00C64EDB">
            <w:pPr>
              <w:spacing w:before="40" w:after="40"/>
              <w:rPr>
                <w:sz w:val="17"/>
                <w:szCs w:val="17"/>
              </w:rPr>
            </w:pPr>
          </w:p>
        </w:tc>
        <w:tc>
          <w:tcPr>
            <w:tcW w:w="913" w:type="dxa"/>
          </w:tcPr>
          <w:p w14:paraId="522C547C" w14:textId="77777777" w:rsidR="004B77CE" w:rsidRPr="009E417B" w:rsidRDefault="005E6BB6" w:rsidP="003832A3">
            <w:pPr>
              <w:bidi/>
              <w:spacing w:before="40" w:after="40"/>
              <w:rPr>
                <w:color w:val="000000"/>
                <w:sz w:val="16"/>
                <w:szCs w:val="16"/>
                <w:lang w:val="en-GB"/>
              </w:rPr>
            </w:pPr>
            <w:r>
              <w:rPr>
                <w:color w:val="000000"/>
                <w:sz w:val="16"/>
                <w:szCs w:val="16"/>
                <w:lang w:val="en-GB"/>
              </w:rPr>
              <w:t>3.7</w:t>
            </w:r>
          </w:p>
        </w:tc>
        <w:tc>
          <w:tcPr>
            <w:tcW w:w="252" w:type="dxa"/>
            <w:gridSpan w:val="2"/>
            <w:vAlign w:val="bottom"/>
          </w:tcPr>
          <w:p w14:paraId="09B2089E" w14:textId="77777777" w:rsidR="004B77CE" w:rsidRPr="009E417B" w:rsidRDefault="004B77CE" w:rsidP="003832A3">
            <w:pPr>
              <w:bidi/>
              <w:spacing w:before="40" w:after="40"/>
              <w:rPr>
                <w:color w:val="000000"/>
                <w:sz w:val="16"/>
                <w:szCs w:val="16"/>
              </w:rPr>
            </w:pPr>
          </w:p>
        </w:tc>
        <w:tc>
          <w:tcPr>
            <w:tcW w:w="924" w:type="dxa"/>
          </w:tcPr>
          <w:p w14:paraId="0E015AA3" w14:textId="77777777" w:rsidR="004B77CE" w:rsidRPr="009E417B" w:rsidRDefault="005E6BB6" w:rsidP="003832A3">
            <w:pPr>
              <w:bidi/>
              <w:spacing w:before="40" w:after="40"/>
              <w:rPr>
                <w:color w:val="000000"/>
                <w:sz w:val="16"/>
                <w:szCs w:val="16"/>
              </w:rPr>
            </w:pPr>
            <w:r>
              <w:rPr>
                <w:color w:val="000000"/>
                <w:sz w:val="16"/>
                <w:szCs w:val="16"/>
              </w:rPr>
              <w:t>3.8</w:t>
            </w:r>
          </w:p>
        </w:tc>
        <w:tc>
          <w:tcPr>
            <w:tcW w:w="242" w:type="dxa"/>
            <w:vAlign w:val="bottom"/>
          </w:tcPr>
          <w:p w14:paraId="64FECC65" w14:textId="77777777" w:rsidR="004B77CE" w:rsidRPr="009E417B" w:rsidRDefault="004B77CE" w:rsidP="003832A3">
            <w:pPr>
              <w:bidi/>
              <w:spacing w:before="40" w:after="40"/>
              <w:rPr>
                <w:color w:val="000000"/>
                <w:sz w:val="16"/>
                <w:szCs w:val="16"/>
              </w:rPr>
            </w:pPr>
          </w:p>
        </w:tc>
        <w:tc>
          <w:tcPr>
            <w:tcW w:w="924" w:type="dxa"/>
          </w:tcPr>
          <w:p w14:paraId="1DF42CD7" w14:textId="77777777" w:rsidR="004B77CE" w:rsidRPr="009E417B" w:rsidRDefault="005E6BB6" w:rsidP="003832A3">
            <w:pPr>
              <w:bidi/>
              <w:spacing w:before="40" w:after="40"/>
              <w:rPr>
                <w:color w:val="000000"/>
                <w:sz w:val="16"/>
                <w:szCs w:val="16"/>
              </w:rPr>
            </w:pPr>
            <w:r>
              <w:rPr>
                <w:color w:val="000000"/>
                <w:sz w:val="16"/>
                <w:szCs w:val="16"/>
              </w:rPr>
              <w:t>3.8</w:t>
            </w:r>
          </w:p>
        </w:tc>
        <w:tc>
          <w:tcPr>
            <w:tcW w:w="242" w:type="dxa"/>
            <w:vAlign w:val="bottom"/>
          </w:tcPr>
          <w:p w14:paraId="3B68E808" w14:textId="77777777" w:rsidR="004B77CE" w:rsidRPr="009E417B" w:rsidRDefault="004B77CE" w:rsidP="003832A3">
            <w:pPr>
              <w:bidi/>
              <w:spacing w:before="40" w:after="40"/>
              <w:rPr>
                <w:sz w:val="16"/>
                <w:szCs w:val="16"/>
              </w:rPr>
            </w:pPr>
          </w:p>
        </w:tc>
        <w:tc>
          <w:tcPr>
            <w:tcW w:w="924" w:type="dxa"/>
          </w:tcPr>
          <w:p w14:paraId="429A5006" w14:textId="77777777" w:rsidR="004B77CE" w:rsidRPr="009E417B" w:rsidRDefault="00E91782" w:rsidP="003832A3">
            <w:pPr>
              <w:bidi/>
              <w:spacing w:before="40" w:after="40"/>
              <w:rPr>
                <w:sz w:val="16"/>
                <w:szCs w:val="16"/>
              </w:rPr>
            </w:pPr>
            <w:r>
              <w:rPr>
                <w:sz w:val="16"/>
                <w:szCs w:val="16"/>
              </w:rPr>
              <w:t>2.7</w:t>
            </w:r>
          </w:p>
        </w:tc>
        <w:tc>
          <w:tcPr>
            <w:tcW w:w="227" w:type="dxa"/>
            <w:vAlign w:val="bottom"/>
          </w:tcPr>
          <w:p w14:paraId="34FCDD35" w14:textId="77777777" w:rsidR="004B77CE" w:rsidRPr="009E417B" w:rsidRDefault="004B77CE" w:rsidP="003832A3">
            <w:pPr>
              <w:bidi/>
              <w:spacing w:before="40" w:after="40"/>
              <w:rPr>
                <w:sz w:val="16"/>
                <w:szCs w:val="16"/>
              </w:rPr>
            </w:pPr>
          </w:p>
        </w:tc>
        <w:tc>
          <w:tcPr>
            <w:tcW w:w="939" w:type="dxa"/>
          </w:tcPr>
          <w:p w14:paraId="63BF0ABA" w14:textId="77777777" w:rsidR="004B77CE" w:rsidRPr="009E417B" w:rsidRDefault="00E91782" w:rsidP="003832A3">
            <w:pPr>
              <w:bidi/>
              <w:spacing w:before="40" w:after="40"/>
              <w:rPr>
                <w:sz w:val="16"/>
                <w:szCs w:val="16"/>
              </w:rPr>
            </w:pPr>
            <w:r>
              <w:rPr>
                <w:sz w:val="16"/>
                <w:szCs w:val="16"/>
              </w:rPr>
              <w:t>3.1</w:t>
            </w:r>
          </w:p>
        </w:tc>
        <w:tc>
          <w:tcPr>
            <w:tcW w:w="266" w:type="dxa"/>
          </w:tcPr>
          <w:p w14:paraId="330B5E8F" w14:textId="77777777" w:rsidR="004B77CE" w:rsidRPr="000D2863" w:rsidRDefault="004B77CE" w:rsidP="00C64EDB">
            <w:pPr>
              <w:spacing w:before="40" w:after="40"/>
              <w:rPr>
                <w:b/>
                <w:bCs/>
                <w:sz w:val="17"/>
                <w:szCs w:val="17"/>
              </w:rPr>
            </w:pPr>
          </w:p>
        </w:tc>
      </w:tr>
      <w:tr w:rsidR="004B77CE" w:rsidRPr="00E834EF" w14:paraId="302BC044" w14:textId="77777777" w:rsidTr="00D925C8">
        <w:tc>
          <w:tcPr>
            <w:tcW w:w="3254" w:type="dxa"/>
          </w:tcPr>
          <w:p w14:paraId="242036BA" w14:textId="77777777" w:rsidR="004B77CE" w:rsidRDefault="004B77CE" w:rsidP="00C64EDB">
            <w:pPr>
              <w:tabs>
                <w:tab w:val="right" w:leader="dot" w:pos="3255"/>
              </w:tabs>
              <w:bidi/>
              <w:spacing w:before="40" w:after="40"/>
              <w:rPr>
                <w:b/>
                <w:bCs/>
                <w:sz w:val="17"/>
                <w:szCs w:val="17"/>
                <w:u w:val="single"/>
              </w:rPr>
            </w:pPr>
          </w:p>
        </w:tc>
        <w:tc>
          <w:tcPr>
            <w:tcW w:w="242" w:type="dxa"/>
            <w:vAlign w:val="bottom"/>
          </w:tcPr>
          <w:p w14:paraId="02E0352C" w14:textId="77777777" w:rsidR="004B77CE" w:rsidRPr="00E834EF" w:rsidRDefault="004B77CE" w:rsidP="00C64EDB">
            <w:pPr>
              <w:spacing w:before="40" w:after="40"/>
              <w:rPr>
                <w:sz w:val="17"/>
                <w:szCs w:val="17"/>
              </w:rPr>
            </w:pPr>
          </w:p>
        </w:tc>
        <w:tc>
          <w:tcPr>
            <w:tcW w:w="913" w:type="dxa"/>
            <w:vAlign w:val="bottom"/>
          </w:tcPr>
          <w:p w14:paraId="6E6483EA" w14:textId="77777777" w:rsidR="004B77CE" w:rsidRPr="007766C5" w:rsidRDefault="004B77CE" w:rsidP="00C64EDB">
            <w:pPr>
              <w:spacing w:before="40" w:after="40"/>
              <w:jc w:val="right"/>
              <w:rPr>
                <w:b/>
                <w:bCs/>
                <w:sz w:val="17"/>
                <w:szCs w:val="17"/>
              </w:rPr>
            </w:pPr>
          </w:p>
        </w:tc>
        <w:tc>
          <w:tcPr>
            <w:tcW w:w="252" w:type="dxa"/>
            <w:gridSpan w:val="2"/>
            <w:vAlign w:val="bottom"/>
          </w:tcPr>
          <w:p w14:paraId="2125AB49" w14:textId="77777777" w:rsidR="004B77CE" w:rsidRPr="007766C5" w:rsidRDefault="004B77CE" w:rsidP="00C64EDB">
            <w:pPr>
              <w:spacing w:before="40" w:after="40"/>
              <w:rPr>
                <w:b/>
                <w:bCs/>
                <w:color w:val="000000"/>
                <w:sz w:val="17"/>
                <w:szCs w:val="17"/>
              </w:rPr>
            </w:pPr>
          </w:p>
        </w:tc>
        <w:tc>
          <w:tcPr>
            <w:tcW w:w="924" w:type="dxa"/>
            <w:vAlign w:val="bottom"/>
          </w:tcPr>
          <w:p w14:paraId="3D28E311" w14:textId="77777777" w:rsidR="004B77CE" w:rsidRPr="007766C5" w:rsidRDefault="004B77CE" w:rsidP="00C64EDB">
            <w:pPr>
              <w:spacing w:before="40" w:after="40"/>
              <w:jc w:val="right"/>
              <w:rPr>
                <w:b/>
                <w:bCs/>
                <w:sz w:val="17"/>
                <w:szCs w:val="17"/>
              </w:rPr>
            </w:pPr>
          </w:p>
        </w:tc>
        <w:tc>
          <w:tcPr>
            <w:tcW w:w="242" w:type="dxa"/>
            <w:vAlign w:val="bottom"/>
          </w:tcPr>
          <w:p w14:paraId="649BCAF5" w14:textId="77777777" w:rsidR="004B77CE" w:rsidRPr="007766C5" w:rsidRDefault="004B77CE" w:rsidP="00C64EDB">
            <w:pPr>
              <w:spacing w:before="40" w:after="40"/>
              <w:rPr>
                <w:b/>
                <w:bCs/>
                <w:color w:val="000000"/>
                <w:sz w:val="17"/>
                <w:szCs w:val="17"/>
              </w:rPr>
            </w:pPr>
          </w:p>
        </w:tc>
        <w:tc>
          <w:tcPr>
            <w:tcW w:w="924" w:type="dxa"/>
            <w:vAlign w:val="bottom"/>
          </w:tcPr>
          <w:p w14:paraId="47C5F34B" w14:textId="77777777" w:rsidR="004B77CE" w:rsidRPr="007766C5" w:rsidRDefault="004B77CE" w:rsidP="00C64EDB">
            <w:pPr>
              <w:spacing w:before="40" w:after="40"/>
              <w:jc w:val="right"/>
              <w:rPr>
                <w:b/>
                <w:bCs/>
                <w:sz w:val="17"/>
                <w:szCs w:val="17"/>
              </w:rPr>
            </w:pPr>
          </w:p>
        </w:tc>
        <w:tc>
          <w:tcPr>
            <w:tcW w:w="242" w:type="dxa"/>
            <w:vAlign w:val="bottom"/>
          </w:tcPr>
          <w:p w14:paraId="1013595E" w14:textId="77777777" w:rsidR="004B77CE" w:rsidRPr="007766C5" w:rsidRDefault="004B77CE" w:rsidP="00C64EDB">
            <w:pPr>
              <w:spacing w:before="40" w:after="40"/>
              <w:rPr>
                <w:b/>
                <w:bCs/>
                <w:sz w:val="17"/>
                <w:szCs w:val="17"/>
              </w:rPr>
            </w:pPr>
          </w:p>
        </w:tc>
        <w:tc>
          <w:tcPr>
            <w:tcW w:w="924" w:type="dxa"/>
            <w:vAlign w:val="bottom"/>
          </w:tcPr>
          <w:p w14:paraId="51582BD0" w14:textId="77777777" w:rsidR="004B77CE" w:rsidRPr="007766C5" w:rsidRDefault="004B77CE" w:rsidP="00C64EDB">
            <w:pPr>
              <w:spacing w:before="40" w:after="40"/>
              <w:jc w:val="right"/>
              <w:rPr>
                <w:b/>
                <w:bCs/>
                <w:sz w:val="17"/>
                <w:szCs w:val="17"/>
              </w:rPr>
            </w:pPr>
          </w:p>
        </w:tc>
        <w:tc>
          <w:tcPr>
            <w:tcW w:w="227" w:type="dxa"/>
            <w:vAlign w:val="bottom"/>
          </w:tcPr>
          <w:p w14:paraId="3E959B09" w14:textId="77777777" w:rsidR="004B77CE" w:rsidRPr="007766C5" w:rsidRDefault="004B77CE" w:rsidP="00C64EDB">
            <w:pPr>
              <w:spacing w:before="40" w:after="40"/>
              <w:rPr>
                <w:b/>
                <w:bCs/>
                <w:sz w:val="17"/>
                <w:szCs w:val="17"/>
              </w:rPr>
            </w:pPr>
          </w:p>
        </w:tc>
        <w:tc>
          <w:tcPr>
            <w:tcW w:w="939" w:type="dxa"/>
            <w:vAlign w:val="bottom"/>
          </w:tcPr>
          <w:p w14:paraId="0C698542" w14:textId="77777777" w:rsidR="004B77CE" w:rsidRPr="007766C5" w:rsidRDefault="004B77CE" w:rsidP="00C64EDB">
            <w:pPr>
              <w:spacing w:before="40" w:after="40"/>
              <w:jc w:val="right"/>
              <w:rPr>
                <w:b/>
                <w:bCs/>
                <w:sz w:val="17"/>
                <w:szCs w:val="17"/>
              </w:rPr>
            </w:pPr>
          </w:p>
        </w:tc>
        <w:tc>
          <w:tcPr>
            <w:tcW w:w="266" w:type="dxa"/>
          </w:tcPr>
          <w:p w14:paraId="4729F869" w14:textId="77777777" w:rsidR="004B77CE" w:rsidRPr="000D2863" w:rsidRDefault="004B77CE" w:rsidP="00C64EDB">
            <w:pPr>
              <w:spacing w:before="40" w:after="40"/>
              <w:rPr>
                <w:b/>
                <w:bCs/>
                <w:sz w:val="17"/>
                <w:szCs w:val="17"/>
              </w:rPr>
            </w:pPr>
          </w:p>
        </w:tc>
      </w:tr>
      <w:tr w:rsidR="004B77CE" w:rsidRPr="00E834EF" w14:paraId="0EB8EB4C" w14:textId="77777777" w:rsidTr="00D925C8">
        <w:tc>
          <w:tcPr>
            <w:tcW w:w="3254" w:type="dxa"/>
            <w:vAlign w:val="bottom"/>
          </w:tcPr>
          <w:p w14:paraId="197BCEAA" w14:textId="77777777" w:rsidR="004B77CE" w:rsidRDefault="004B77CE" w:rsidP="00C64EDB">
            <w:pPr>
              <w:tabs>
                <w:tab w:val="right" w:leader="dot" w:pos="3255"/>
              </w:tabs>
              <w:bidi/>
              <w:spacing w:before="40" w:after="40"/>
              <w:ind w:left="12"/>
              <w:rPr>
                <w:b/>
                <w:bCs/>
                <w:color w:val="000000"/>
                <w:sz w:val="17"/>
                <w:szCs w:val="17"/>
              </w:rPr>
            </w:pPr>
            <w:r>
              <w:rPr>
                <w:rFonts w:hint="cs"/>
                <w:b/>
                <w:bCs/>
                <w:color w:val="000000"/>
                <w:sz w:val="17"/>
                <w:szCs w:val="17"/>
                <w:rtl/>
              </w:rPr>
              <w:t>إجمالي الأرباح</w:t>
            </w:r>
            <w:r w:rsidRPr="0054596C">
              <w:rPr>
                <w:sz w:val="17"/>
              </w:rPr>
              <w:tab/>
            </w:r>
          </w:p>
        </w:tc>
        <w:tc>
          <w:tcPr>
            <w:tcW w:w="242" w:type="dxa"/>
            <w:vAlign w:val="bottom"/>
          </w:tcPr>
          <w:p w14:paraId="3DB4210E" w14:textId="77777777" w:rsidR="004B77CE" w:rsidRPr="00E834EF" w:rsidRDefault="004B77CE" w:rsidP="00C64EDB">
            <w:pPr>
              <w:spacing w:before="40" w:after="40"/>
              <w:rPr>
                <w:sz w:val="17"/>
                <w:szCs w:val="17"/>
              </w:rPr>
            </w:pPr>
          </w:p>
        </w:tc>
        <w:tc>
          <w:tcPr>
            <w:tcW w:w="913" w:type="dxa"/>
            <w:vAlign w:val="bottom"/>
          </w:tcPr>
          <w:p w14:paraId="4264F2FF" w14:textId="77777777" w:rsidR="004B77CE" w:rsidRPr="007766C5" w:rsidRDefault="00B91CB5" w:rsidP="00C64EDB">
            <w:pPr>
              <w:spacing w:before="40" w:after="40"/>
              <w:jc w:val="right"/>
              <w:rPr>
                <w:color w:val="000000"/>
                <w:sz w:val="17"/>
                <w:szCs w:val="17"/>
              </w:rPr>
            </w:pPr>
            <w:r>
              <w:rPr>
                <w:color w:val="000000"/>
                <w:sz w:val="17"/>
                <w:szCs w:val="17"/>
              </w:rPr>
              <w:t>2.</w:t>
            </w:r>
            <w:r w:rsidR="00567389">
              <w:rPr>
                <w:color w:val="000000"/>
                <w:sz w:val="17"/>
                <w:szCs w:val="17"/>
              </w:rPr>
              <w:t>3</w:t>
            </w:r>
          </w:p>
        </w:tc>
        <w:tc>
          <w:tcPr>
            <w:tcW w:w="252" w:type="dxa"/>
            <w:gridSpan w:val="2"/>
            <w:vAlign w:val="bottom"/>
          </w:tcPr>
          <w:p w14:paraId="35CB0378" w14:textId="77777777" w:rsidR="004B77CE" w:rsidRPr="007766C5" w:rsidRDefault="004B77CE" w:rsidP="00C64EDB">
            <w:pPr>
              <w:spacing w:before="40" w:after="40"/>
              <w:rPr>
                <w:color w:val="000000"/>
                <w:sz w:val="17"/>
                <w:szCs w:val="17"/>
              </w:rPr>
            </w:pPr>
          </w:p>
        </w:tc>
        <w:tc>
          <w:tcPr>
            <w:tcW w:w="924" w:type="dxa"/>
            <w:vAlign w:val="bottom"/>
          </w:tcPr>
          <w:p w14:paraId="4850DC79" w14:textId="77777777" w:rsidR="004B77CE" w:rsidRPr="007766C5" w:rsidRDefault="0078058A" w:rsidP="00C64EDB">
            <w:pPr>
              <w:spacing w:before="40" w:after="40"/>
              <w:jc w:val="right"/>
              <w:rPr>
                <w:color w:val="000000"/>
                <w:sz w:val="17"/>
                <w:szCs w:val="17"/>
              </w:rPr>
            </w:pPr>
            <w:r>
              <w:rPr>
                <w:color w:val="000000"/>
                <w:sz w:val="17"/>
                <w:szCs w:val="17"/>
              </w:rPr>
              <w:t>2.6</w:t>
            </w:r>
          </w:p>
        </w:tc>
        <w:tc>
          <w:tcPr>
            <w:tcW w:w="242" w:type="dxa"/>
            <w:vAlign w:val="bottom"/>
          </w:tcPr>
          <w:p w14:paraId="6126EB8A" w14:textId="77777777" w:rsidR="004B77CE" w:rsidRPr="007766C5" w:rsidRDefault="004B77CE" w:rsidP="00C64EDB">
            <w:pPr>
              <w:spacing w:before="40" w:after="40"/>
              <w:rPr>
                <w:color w:val="000000"/>
                <w:sz w:val="17"/>
                <w:szCs w:val="17"/>
              </w:rPr>
            </w:pPr>
          </w:p>
        </w:tc>
        <w:tc>
          <w:tcPr>
            <w:tcW w:w="924" w:type="dxa"/>
            <w:vAlign w:val="bottom"/>
          </w:tcPr>
          <w:p w14:paraId="2D270851" w14:textId="77777777" w:rsidR="004B77CE" w:rsidRPr="007766C5" w:rsidRDefault="002A2EB4" w:rsidP="00C64EDB">
            <w:pPr>
              <w:spacing w:before="40" w:after="40"/>
              <w:jc w:val="right"/>
              <w:rPr>
                <w:color w:val="000000"/>
                <w:sz w:val="17"/>
                <w:szCs w:val="17"/>
              </w:rPr>
            </w:pPr>
            <w:r>
              <w:rPr>
                <w:color w:val="000000"/>
                <w:sz w:val="17"/>
                <w:szCs w:val="17"/>
              </w:rPr>
              <w:t>2.7</w:t>
            </w:r>
          </w:p>
        </w:tc>
        <w:tc>
          <w:tcPr>
            <w:tcW w:w="242" w:type="dxa"/>
            <w:vAlign w:val="bottom"/>
          </w:tcPr>
          <w:p w14:paraId="4D76D694" w14:textId="77777777" w:rsidR="004B77CE" w:rsidRPr="007766C5" w:rsidRDefault="004B77CE" w:rsidP="00C64EDB">
            <w:pPr>
              <w:spacing w:before="40" w:after="40"/>
              <w:rPr>
                <w:sz w:val="17"/>
                <w:szCs w:val="17"/>
              </w:rPr>
            </w:pPr>
          </w:p>
        </w:tc>
        <w:tc>
          <w:tcPr>
            <w:tcW w:w="924" w:type="dxa"/>
            <w:vAlign w:val="bottom"/>
          </w:tcPr>
          <w:p w14:paraId="6312CCB9" w14:textId="77777777" w:rsidR="004B77CE" w:rsidRPr="007766C5" w:rsidRDefault="006C21D7" w:rsidP="00C64EDB">
            <w:pPr>
              <w:spacing w:before="40" w:after="40"/>
              <w:jc w:val="right"/>
              <w:rPr>
                <w:sz w:val="17"/>
                <w:szCs w:val="17"/>
              </w:rPr>
            </w:pPr>
            <w:r>
              <w:rPr>
                <w:sz w:val="17"/>
                <w:szCs w:val="17"/>
              </w:rPr>
              <w:t>1.8</w:t>
            </w:r>
          </w:p>
        </w:tc>
        <w:tc>
          <w:tcPr>
            <w:tcW w:w="227" w:type="dxa"/>
            <w:vAlign w:val="bottom"/>
          </w:tcPr>
          <w:p w14:paraId="6344B0B1" w14:textId="77777777" w:rsidR="004B77CE" w:rsidRPr="007766C5" w:rsidRDefault="004B77CE" w:rsidP="00C64EDB">
            <w:pPr>
              <w:spacing w:before="40" w:after="40"/>
              <w:rPr>
                <w:sz w:val="17"/>
                <w:szCs w:val="17"/>
              </w:rPr>
            </w:pPr>
          </w:p>
        </w:tc>
        <w:tc>
          <w:tcPr>
            <w:tcW w:w="939" w:type="dxa"/>
            <w:vAlign w:val="bottom"/>
          </w:tcPr>
          <w:p w14:paraId="5D3B6E2F" w14:textId="77777777" w:rsidR="004B77CE" w:rsidRPr="007766C5" w:rsidRDefault="006C21D7" w:rsidP="00C64EDB">
            <w:pPr>
              <w:spacing w:before="40" w:after="40"/>
              <w:jc w:val="right"/>
              <w:rPr>
                <w:sz w:val="17"/>
                <w:szCs w:val="17"/>
              </w:rPr>
            </w:pPr>
            <w:r>
              <w:rPr>
                <w:sz w:val="17"/>
                <w:szCs w:val="17"/>
              </w:rPr>
              <w:t>2.7</w:t>
            </w:r>
          </w:p>
        </w:tc>
        <w:tc>
          <w:tcPr>
            <w:tcW w:w="266" w:type="dxa"/>
            <w:vAlign w:val="bottom"/>
          </w:tcPr>
          <w:p w14:paraId="4BFEF2E4" w14:textId="77777777" w:rsidR="004B77CE" w:rsidRPr="000D2863" w:rsidRDefault="004B77CE" w:rsidP="00C64EDB">
            <w:pPr>
              <w:spacing w:before="40" w:after="40"/>
              <w:rPr>
                <w:sz w:val="17"/>
                <w:szCs w:val="17"/>
              </w:rPr>
            </w:pPr>
          </w:p>
        </w:tc>
      </w:tr>
      <w:tr w:rsidR="004B77CE" w:rsidRPr="00E834EF" w14:paraId="4DB11F17" w14:textId="77777777" w:rsidTr="00D925C8">
        <w:tc>
          <w:tcPr>
            <w:tcW w:w="3254" w:type="dxa"/>
            <w:vAlign w:val="bottom"/>
          </w:tcPr>
          <w:p w14:paraId="67278D9C" w14:textId="77777777" w:rsidR="004B77CE" w:rsidRPr="00E754AA" w:rsidRDefault="004B77CE" w:rsidP="00C64EDB">
            <w:pPr>
              <w:tabs>
                <w:tab w:val="right" w:leader="dot" w:pos="3255"/>
              </w:tabs>
              <w:bidi/>
              <w:spacing w:before="40" w:after="40"/>
              <w:ind w:left="357"/>
              <w:rPr>
                <w:sz w:val="17"/>
                <w:szCs w:val="17"/>
              </w:rPr>
            </w:pPr>
            <w:r>
              <w:rPr>
                <w:rFonts w:hint="cs"/>
                <w:sz w:val="17"/>
                <w:szCs w:val="17"/>
                <w:rtl/>
              </w:rPr>
              <w:t>الأرباح/ (الخسارة) على بيع الممتلكات والسفن والمعدات</w:t>
            </w:r>
            <w:r w:rsidRPr="00E754AA">
              <w:rPr>
                <w:sz w:val="17"/>
                <w:szCs w:val="17"/>
              </w:rPr>
              <w:tab/>
            </w:r>
          </w:p>
        </w:tc>
        <w:tc>
          <w:tcPr>
            <w:tcW w:w="242" w:type="dxa"/>
            <w:vAlign w:val="bottom"/>
          </w:tcPr>
          <w:p w14:paraId="7370930E" w14:textId="77777777" w:rsidR="004B77CE" w:rsidRPr="00E754AA" w:rsidRDefault="004B77CE" w:rsidP="00C64EDB">
            <w:pPr>
              <w:spacing w:before="40" w:after="40"/>
              <w:rPr>
                <w:sz w:val="17"/>
                <w:szCs w:val="17"/>
              </w:rPr>
            </w:pPr>
          </w:p>
        </w:tc>
        <w:tc>
          <w:tcPr>
            <w:tcW w:w="913" w:type="dxa"/>
            <w:vAlign w:val="bottom"/>
          </w:tcPr>
          <w:p w14:paraId="40C663D1" w14:textId="77777777" w:rsidR="004B77CE" w:rsidRPr="00E754AA" w:rsidRDefault="00567389" w:rsidP="00C64EDB">
            <w:pPr>
              <w:spacing w:before="40" w:after="40"/>
              <w:jc w:val="right"/>
              <w:rPr>
                <w:color w:val="000000"/>
                <w:sz w:val="17"/>
                <w:szCs w:val="17"/>
              </w:rPr>
            </w:pPr>
            <w:r w:rsidRPr="00B02BA3">
              <w:rPr>
                <w:sz w:val="17"/>
              </w:rPr>
              <w:t>—</w:t>
            </w:r>
          </w:p>
        </w:tc>
        <w:tc>
          <w:tcPr>
            <w:tcW w:w="252" w:type="dxa"/>
            <w:gridSpan w:val="2"/>
            <w:vAlign w:val="bottom"/>
          </w:tcPr>
          <w:p w14:paraId="15F019C7" w14:textId="77777777" w:rsidR="004B77CE" w:rsidRPr="00E754AA" w:rsidRDefault="004B77CE" w:rsidP="00C64EDB">
            <w:pPr>
              <w:spacing w:before="40" w:after="40"/>
              <w:rPr>
                <w:color w:val="000000"/>
                <w:sz w:val="17"/>
                <w:szCs w:val="17"/>
              </w:rPr>
            </w:pPr>
          </w:p>
        </w:tc>
        <w:tc>
          <w:tcPr>
            <w:tcW w:w="924" w:type="dxa"/>
            <w:vAlign w:val="bottom"/>
          </w:tcPr>
          <w:p w14:paraId="37199A65" w14:textId="77777777" w:rsidR="004B77CE" w:rsidRPr="00E754AA" w:rsidRDefault="0078058A" w:rsidP="00C64EDB">
            <w:pPr>
              <w:spacing w:before="40" w:after="40"/>
              <w:jc w:val="right"/>
              <w:rPr>
                <w:color w:val="000000"/>
                <w:sz w:val="17"/>
                <w:szCs w:val="17"/>
              </w:rPr>
            </w:pPr>
            <w:r w:rsidRPr="00B02BA3">
              <w:rPr>
                <w:sz w:val="17"/>
              </w:rPr>
              <w:t>—</w:t>
            </w:r>
          </w:p>
        </w:tc>
        <w:tc>
          <w:tcPr>
            <w:tcW w:w="242" w:type="dxa"/>
            <w:vAlign w:val="bottom"/>
          </w:tcPr>
          <w:p w14:paraId="6C44E9E2" w14:textId="77777777" w:rsidR="004B77CE" w:rsidRPr="00E754AA" w:rsidRDefault="004B77CE" w:rsidP="00C64EDB">
            <w:pPr>
              <w:spacing w:before="40" w:after="40"/>
              <w:rPr>
                <w:color w:val="000000"/>
                <w:sz w:val="17"/>
                <w:szCs w:val="17"/>
              </w:rPr>
            </w:pPr>
          </w:p>
        </w:tc>
        <w:tc>
          <w:tcPr>
            <w:tcW w:w="924" w:type="dxa"/>
            <w:vAlign w:val="bottom"/>
          </w:tcPr>
          <w:p w14:paraId="2ACD7119" w14:textId="77777777" w:rsidR="004B77CE" w:rsidRPr="00E754AA" w:rsidRDefault="006C21D7" w:rsidP="00C64EDB">
            <w:pPr>
              <w:spacing w:before="40" w:after="40"/>
              <w:jc w:val="right"/>
              <w:rPr>
                <w:color w:val="000000"/>
                <w:sz w:val="17"/>
                <w:szCs w:val="17"/>
              </w:rPr>
            </w:pPr>
            <w:r w:rsidRPr="00B02BA3">
              <w:rPr>
                <w:sz w:val="17"/>
              </w:rPr>
              <w:t>—</w:t>
            </w:r>
          </w:p>
        </w:tc>
        <w:tc>
          <w:tcPr>
            <w:tcW w:w="242" w:type="dxa"/>
            <w:vAlign w:val="bottom"/>
          </w:tcPr>
          <w:p w14:paraId="26789870" w14:textId="77777777" w:rsidR="004B77CE" w:rsidRPr="00E754AA" w:rsidRDefault="004B77CE" w:rsidP="00C64EDB">
            <w:pPr>
              <w:spacing w:before="40" w:after="40"/>
              <w:rPr>
                <w:sz w:val="17"/>
                <w:szCs w:val="17"/>
              </w:rPr>
            </w:pPr>
          </w:p>
        </w:tc>
        <w:tc>
          <w:tcPr>
            <w:tcW w:w="924" w:type="dxa"/>
            <w:vAlign w:val="bottom"/>
          </w:tcPr>
          <w:p w14:paraId="7B7CB7AE" w14:textId="77777777" w:rsidR="004B77CE" w:rsidRPr="00E754AA" w:rsidRDefault="006C21D7" w:rsidP="00C64EDB">
            <w:pPr>
              <w:spacing w:before="40" w:after="40"/>
              <w:jc w:val="right"/>
              <w:rPr>
                <w:sz w:val="17"/>
                <w:szCs w:val="17"/>
              </w:rPr>
            </w:pPr>
            <w:r w:rsidRPr="00B02BA3">
              <w:rPr>
                <w:sz w:val="17"/>
              </w:rPr>
              <w:t>—</w:t>
            </w:r>
          </w:p>
        </w:tc>
        <w:tc>
          <w:tcPr>
            <w:tcW w:w="227" w:type="dxa"/>
            <w:vAlign w:val="bottom"/>
          </w:tcPr>
          <w:p w14:paraId="7A9F9AD9" w14:textId="77777777" w:rsidR="004B77CE" w:rsidRPr="00E754AA" w:rsidRDefault="004B77CE" w:rsidP="00C64EDB">
            <w:pPr>
              <w:spacing w:before="40" w:after="40"/>
              <w:rPr>
                <w:sz w:val="17"/>
                <w:szCs w:val="17"/>
              </w:rPr>
            </w:pPr>
          </w:p>
        </w:tc>
        <w:tc>
          <w:tcPr>
            <w:tcW w:w="939" w:type="dxa"/>
            <w:vAlign w:val="bottom"/>
          </w:tcPr>
          <w:p w14:paraId="580474C9" w14:textId="77777777" w:rsidR="004B77CE" w:rsidRPr="00E754AA" w:rsidRDefault="006C21D7" w:rsidP="00C64EDB">
            <w:pPr>
              <w:spacing w:before="40" w:after="40"/>
              <w:jc w:val="right"/>
              <w:rPr>
                <w:sz w:val="17"/>
                <w:szCs w:val="17"/>
              </w:rPr>
            </w:pPr>
            <w:r w:rsidRPr="00B02BA3">
              <w:rPr>
                <w:sz w:val="17"/>
              </w:rPr>
              <w:t>—</w:t>
            </w:r>
          </w:p>
        </w:tc>
        <w:tc>
          <w:tcPr>
            <w:tcW w:w="266" w:type="dxa"/>
            <w:vAlign w:val="bottom"/>
          </w:tcPr>
          <w:p w14:paraId="3E0129E6" w14:textId="77777777" w:rsidR="004B77CE" w:rsidRPr="000D2863" w:rsidRDefault="004B77CE" w:rsidP="00C64EDB">
            <w:pPr>
              <w:spacing w:before="40" w:after="40"/>
              <w:rPr>
                <w:sz w:val="17"/>
                <w:szCs w:val="17"/>
              </w:rPr>
            </w:pPr>
          </w:p>
        </w:tc>
      </w:tr>
      <w:tr w:rsidR="006C21D7" w:rsidRPr="00E834EF" w14:paraId="513CD881" w14:textId="77777777" w:rsidTr="00D925C8">
        <w:tc>
          <w:tcPr>
            <w:tcW w:w="3254" w:type="dxa"/>
            <w:vAlign w:val="center"/>
          </w:tcPr>
          <w:p w14:paraId="1F029A96" w14:textId="77777777" w:rsidR="006C21D7" w:rsidRPr="00E754AA" w:rsidRDefault="008D70E0" w:rsidP="006C21D7">
            <w:pPr>
              <w:tabs>
                <w:tab w:val="right" w:leader="dot" w:pos="3255"/>
              </w:tabs>
              <w:bidi/>
              <w:spacing w:before="40" w:after="40"/>
              <w:ind w:left="357"/>
              <w:rPr>
                <w:color w:val="000000"/>
                <w:sz w:val="17"/>
                <w:szCs w:val="17"/>
              </w:rPr>
            </w:pPr>
            <w:r>
              <w:rPr>
                <w:rFonts w:hint="cs"/>
                <w:color w:val="000000"/>
                <w:sz w:val="17"/>
                <w:szCs w:val="17"/>
                <w:rtl/>
              </w:rPr>
              <w:t>الايرادات الاخرى</w:t>
            </w:r>
            <w:r w:rsidR="006C21D7" w:rsidRPr="0054596C">
              <w:rPr>
                <w:sz w:val="17"/>
              </w:rPr>
              <w:tab/>
            </w:r>
          </w:p>
        </w:tc>
        <w:tc>
          <w:tcPr>
            <w:tcW w:w="242" w:type="dxa"/>
            <w:vAlign w:val="bottom"/>
          </w:tcPr>
          <w:p w14:paraId="41F12F2E" w14:textId="77777777" w:rsidR="006C21D7" w:rsidRPr="00E834EF" w:rsidRDefault="006C21D7" w:rsidP="006C21D7">
            <w:pPr>
              <w:spacing w:before="40" w:after="40"/>
              <w:rPr>
                <w:sz w:val="17"/>
                <w:szCs w:val="17"/>
              </w:rPr>
            </w:pPr>
          </w:p>
        </w:tc>
        <w:tc>
          <w:tcPr>
            <w:tcW w:w="913" w:type="dxa"/>
            <w:vAlign w:val="bottom"/>
          </w:tcPr>
          <w:p w14:paraId="5CABC483" w14:textId="77777777" w:rsidR="006C21D7" w:rsidRPr="00E754AA" w:rsidRDefault="006C21D7" w:rsidP="006C21D7">
            <w:pPr>
              <w:spacing w:before="40" w:after="40"/>
              <w:jc w:val="right"/>
              <w:rPr>
                <w:color w:val="000000"/>
                <w:sz w:val="17"/>
                <w:szCs w:val="17"/>
              </w:rPr>
            </w:pPr>
            <w:r>
              <w:rPr>
                <w:color w:val="000000"/>
                <w:sz w:val="17"/>
                <w:szCs w:val="17"/>
              </w:rPr>
              <w:t>0.3</w:t>
            </w:r>
          </w:p>
        </w:tc>
        <w:tc>
          <w:tcPr>
            <w:tcW w:w="252" w:type="dxa"/>
            <w:gridSpan w:val="2"/>
            <w:vAlign w:val="bottom"/>
          </w:tcPr>
          <w:p w14:paraId="449EB666" w14:textId="77777777" w:rsidR="006C21D7" w:rsidRPr="00E754AA" w:rsidRDefault="006C21D7" w:rsidP="006C21D7">
            <w:pPr>
              <w:spacing w:before="40" w:after="40"/>
              <w:rPr>
                <w:color w:val="000000"/>
                <w:sz w:val="17"/>
                <w:szCs w:val="17"/>
              </w:rPr>
            </w:pPr>
          </w:p>
        </w:tc>
        <w:tc>
          <w:tcPr>
            <w:tcW w:w="924" w:type="dxa"/>
            <w:vAlign w:val="bottom"/>
          </w:tcPr>
          <w:p w14:paraId="17C8349C" w14:textId="77777777" w:rsidR="006C21D7" w:rsidRPr="00E754AA" w:rsidRDefault="006C21D7" w:rsidP="006C21D7">
            <w:pPr>
              <w:spacing w:before="40" w:after="40"/>
              <w:jc w:val="right"/>
              <w:rPr>
                <w:color w:val="000000"/>
                <w:sz w:val="17"/>
                <w:szCs w:val="17"/>
              </w:rPr>
            </w:pPr>
            <w:r>
              <w:rPr>
                <w:color w:val="000000"/>
                <w:sz w:val="17"/>
                <w:szCs w:val="17"/>
              </w:rPr>
              <w:t>0.3</w:t>
            </w:r>
          </w:p>
        </w:tc>
        <w:tc>
          <w:tcPr>
            <w:tcW w:w="242" w:type="dxa"/>
            <w:vAlign w:val="bottom"/>
          </w:tcPr>
          <w:p w14:paraId="7696F812" w14:textId="77777777" w:rsidR="006C21D7" w:rsidRPr="00E754AA" w:rsidRDefault="006C21D7" w:rsidP="006C21D7">
            <w:pPr>
              <w:spacing w:before="40" w:after="40"/>
              <w:rPr>
                <w:color w:val="000000"/>
                <w:sz w:val="17"/>
                <w:szCs w:val="17"/>
              </w:rPr>
            </w:pPr>
          </w:p>
        </w:tc>
        <w:tc>
          <w:tcPr>
            <w:tcW w:w="924" w:type="dxa"/>
            <w:vAlign w:val="bottom"/>
          </w:tcPr>
          <w:p w14:paraId="18B7BB9C" w14:textId="77777777" w:rsidR="006C21D7" w:rsidRPr="00E754AA" w:rsidRDefault="006C21D7" w:rsidP="006C21D7">
            <w:pPr>
              <w:spacing w:before="40" w:after="40"/>
              <w:jc w:val="right"/>
              <w:rPr>
                <w:color w:val="000000"/>
                <w:sz w:val="17"/>
                <w:szCs w:val="17"/>
              </w:rPr>
            </w:pPr>
            <w:r>
              <w:rPr>
                <w:color w:val="000000"/>
                <w:sz w:val="17"/>
                <w:szCs w:val="17"/>
              </w:rPr>
              <w:t>0.4</w:t>
            </w:r>
          </w:p>
        </w:tc>
        <w:tc>
          <w:tcPr>
            <w:tcW w:w="242" w:type="dxa"/>
            <w:vAlign w:val="bottom"/>
          </w:tcPr>
          <w:p w14:paraId="5BA506E5" w14:textId="77777777" w:rsidR="006C21D7" w:rsidRPr="00E754AA" w:rsidRDefault="006C21D7" w:rsidP="006C21D7">
            <w:pPr>
              <w:spacing w:before="40" w:after="40"/>
              <w:rPr>
                <w:sz w:val="17"/>
                <w:szCs w:val="17"/>
              </w:rPr>
            </w:pPr>
          </w:p>
        </w:tc>
        <w:tc>
          <w:tcPr>
            <w:tcW w:w="924" w:type="dxa"/>
            <w:vAlign w:val="bottom"/>
          </w:tcPr>
          <w:p w14:paraId="65065402" w14:textId="77777777" w:rsidR="006C21D7" w:rsidRPr="00E754AA" w:rsidRDefault="006C21D7" w:rsidP="006C21D7">
            <w:pPr>
              <w:spacing w:before="40" w:after="40"/>
              <w:jc w:val="right"/>
              <w:rPr>
                <w:sz w:val="17"/>
                <w:szCs w:val="17"/>
              </w:rPr>
            </w:pPr>
            <w:r>
              <w:rPr>
                <w:sz w:val="17"/>
                <w:szCs w:val="17"/>
              </w:rPr>
              <w:t>0.3</w:t>
            </w:r>
          </w:p>
        </w:tc>
        <w:tc>
          <w:tcPr>
            <w:tcW w:w="227" w:type="dxa"/>
            <w:vAlign w:val="bottom"/>
          </w:tcPr>
          <w:p w14:paraId="3ED1C23E" w14:textId="77777777" w:rsidR="006C21D7" w:rsidRPr="00E754AA" w:rsidRDefault="006C21D7" w:rsidP="006C21D7">
            <w:pPr>
              <w:spacing w:before="40" w:after="40"/>
              <w:rPr>
                <w:sz w:val="17"/>
                <w:szCs w:val="17"/>
              </w:rPr>
            </w:pPr>
          </w:p>
        </w:tc>
        <w:tc>
          <w:tcPr>
            <w:tcW w:w="939" w:type="dxa"/>
            <w:vAlign w:val="bottom"/>
          </w:tcPr>
          <w:p w14:paraId="1015A57C" w14:textId="77777777" w:rsidR="006C21D7" w:rsidRPr="00E754AA" w:rsidRDefault="006C21D7" w:rsidP="006C21D7">
            <w:pPr>
              <w:spacing w:before="40" w:after="40"/>
              <w:jc w:val="right"/>
              <w:rPr>
                <w:sz w:val="17"/>
                <w:szCs w:val="17"/>
              </w:rPr>
            </w:pPr>
            <w:r>
              <w:rPr>
                <w:sz w:val="17"/>
                <w:szCs w:val="17"/>
              </w:rPr>
              <w:t>0.8</w:t>
            </w:r>
          </w:p>
        </w:tc>
        <w:tc>
          <w:tcPr>
            <w:tcW w:w="266" w:type="dxa"/>
            <w:vAlign w:val="bottom"/>
          </w:tcPr>
          <w:p w14:paraId="297A3B2C" w14:textId="77777777" w:rsidR="006C21D7" w:rsidRPr="000D2863" w:rsidRDefault="006C21D7" w:rsidP="006C21D7">
            <w:pPr>
              <w:spacing w:before="40" w:after="40"/>
              <w:rPr>
                <w:sz w:val="17"/>
                <w:szCs w:val="17"/>
              </w:rPr>
            </w:pPr>
          </w:p>
        </w:tc>
      </w:tr>
      <w:tr w:rsidR="006C21D7" w:rsidRPr="00E834EF" w14:paraId="7E338FF3" w14:textId="77777777" w:rsidTr="00D925C8">
        <w:tc>
          <w:tcPr>
            <w:tcW w:w="3254" w:type="dxa"/>
            <w:vAlign w:val="center"/>
          </w:tcPr>
          <w:p w14:paraId="264ABEAE" w14:textId="77777777" w:rsidR="006C21D7" w:rsidRPr="00E754AA" w:rsidRDefault="006C21D7" w:rsidP="006C21D7">
            <w:pPr>
              <w:tabs>
                <w:tab w:val="right" w:leader="dot" w:pos="3255"/>
              </w:tabs>
              <w:bidi/>
              <w:spacing w:before="40" w:after="40"/>
              <w:ind w:left="357"/>
              <w:rPr>
                <w:color w:val="000000"/>
                <w:sz w:val="17"/>
                <w:szCs w:val="17"/>
              </w:rPr>
            </w:pPr>
            <w:r>
              <w:rPr>
                <w:rFonts w:hint="cs"/>
                <w:color w:val="000000"/>
                <w:sz w:val="17"/>
                <w:szCs w:val="17"/>
                <w:rtl/>
              </w:rPr>
              <w:t>دخل الأرباح</w:t>
            </w:r>
            <w:r w:rsidRPr="0054596C">
              <w:rPr>
                <w:sz w:val="17"/>
              </w:rPr>
              <w:tab/>
            </w:r>
          </w:p>
        </w:tc>
        <w:tc>
          <w:tcPr>
            <w:tcW w:w="242" w:type="dxa"/>
            <w:vAlign w:val="bottom"/>
          </w:tcPr>
          <w:p w14:paraId="1C81EFAE" w14:textId="77777777" w:rsidR="006C21D7" w:rsidRPr="00E834EF" w:rsidRDefault="006C21D7" w:rsidP="006C21D7">
            <w:pPr>
              <w:spacing w:before="40" w:after="40"/>
              <w:rPr>
                <w:sz w:val="17"/>
                <w:szCs w:val="17"/>
              </w:rPr>
            </w:pPr>
          </w:p>
        </w:tc>
        <w:tc>
          <w:tcPr>
            <w:tcW w:w="913" w:type="dxa"/>
            <w:vAlign w:val="bottom"/>
          </w:tcPr>
          <w:p w14:paraId="3FD4B137" w14:textId="77777777" w:rsidR="006C21D7" w:rsidRPr="00E754AA" w:rsidRDefault="006C21D7" w:rsidP="006C21D7">
            <w:pPr>
              <w:spacing w:before="40" w:after="40"/>
              <w:jc w:val="right"/>
              <w:rPr>
                <w:color w:val="000000"/>
                <w:sz w:val="17"/>
                <w:szCs w:val="17"/>
              </w:rPr>
            </w:pPr>
            <w:r w:rsidRPr="00B02BA3">
              <w:rPr>
                <w:sz w:val="17"/>
              </w:rPr>
              <w:t>—</w:t>
            </w:r>
          </w:p>
        </w:tc>
        <w:tc>
          <w:tcPr>
            <w:tcW w:w="252" w:type="dxa"/>
            <w:gridSpan w:val="2"/>
            <w:vAlign w:val="bottom"/>
          </w:tcPr>
          <w:p w14:paraId="5D9F5E00" w14:textId="77777777" w:rsidR="006C21D7" w:rsidRPr="00E754AA" w:rsidRDefault="006C21D7" w:rsidP="006C21D7">
            <w:pPr>
              <w:spacing w:before="40" w:after="40"/>
              <w:rPr>
                <w:color w:val="000000"/>
                <w:sz w:val="17"/>
                <w:szCs w:val="17"/>
              </w:rPr>
            </w:pPr>
          </w:p>
        </w:tc>
        <w:tc>
          <w:tcPr>
            <w:tcW w:w="924" w:type="dxa"/>
            <w:vAlign w:val="bottom"/>
          </w:tcPr>
          <w:p w14:paraId="45E609BB" w14:textId="77777777" w:rsidR="006C21D7" w:rsidRPr="00E754AA" w:rsidRDefault="006C21D7" w:rsidP="006C21D7">
            <w:pPr>
              <w:spacing w:before="40" w:after="40"/>
              <w:jc w:val="right"/>
              <w:rPr>
                <w:color w:val="000000"/>
                <w:sz w:val="17"/>
                <w:szCs w:val="17"/>
              </w:rPr>
            </w:pPr>
            <w:r>
              <w:rPr>
                <w:color w:val="000000"/>
                <w:sz w:val="17"/>
                <w:szCs w:val="17"/>
              </w:rPr>
              <w:t>2.6</w:t>
            </w:r>
          </w:p>
        </w:tc>
        <w:tc>
          <w:tcPr>
            <w:tcW w:w="242" w:type="dxa"/>
            <w:vAlign w:val="bottom"/>
          </w:tcPr>
          <w:p w14:paraId="25101BB5" w14:textId="77777777" w:rsidR="006C21D7" w:rsidRPr="00E754AA" w:rsidRDefault="006C21D7" w:rsidP="006C21D7">
            <w:pPr>
              <w:spacing w:before="40" w:after="40"/>
              <w:rPr>
                <w:color w:val="000000"/>
                <w:sz w:val="17"/>
                <w:szCs w:val="17"/>
              </w:rPr>
            </w:pPr>
          </w:p>
        </w:tc>
        <w:tc>
          <w:tcPr>
            <w:tcW w:w="924" w:type="dxa"/>
            <w:vAlign w:val="bottom"/>
          </w:tcPr>
          <w:p w14:paraId="7603C13F" w14:textId="77777777" w:rsidR="006C21D7" w:rsidRPr="00E754AA" w:rsidRDefault="006C21D7" w:rsidP="006C21D7">
            <w:pPr>
              <w:spacing w:before="40" w:after="40"/>
              <w:jc w:val="right"/>
              <w:rPr>
                <w:color w:val="000000"/>
                <w:sz w:val="17"/>
                <w:szCs w:val="17"/>
              </w:rPr>
            </w:pPr>
            <w:r>
              <w:rPr>
                <w:color w:val="000000"/>
                <w:sz w:val="17"/>
                <w:szCs w:val="17"/>
              </w:rPr>
              <w:t>0.4</w:t>
            </w:r>
          </w:p>
        </w:tc>
        <w:tc>
          <w:tcPr>
            <w:tcW w:w="242" w:type="dxa"/>
            <w:vAlign w:val="bottom"/>
          </w:tcPr>
          <w:p w14:paraId="09198D91" w14:textId="77777777" w:rsidR="006C21D7" w:rsidRPr="00E754AA" w:rsidRDefault="006C21D7" w:rsidP="006C21D7">
            <w:pPr>
              <w:spacing w:before="40" w:after="40"/>
              <w:rPr>
                <w:sz w:val="17"/>
                <w:szCs w:val="17"/>
              </w:rPr>
            </w:pPr>
          </w:p>
        </w:tc>
        <w:tc>
          <w:tcPr>
            <w:tcW w:w="924" w:type="dxa"/>
            <w:vAlign w:val="bottom"/>
          </w:tcPr>
          <w:p w14:paraId="3458BAEF" w14:textId="77777777" w:rsidR="006C21D7" w:rsidRPr="00E754AA" w:rsidRDefault="00EC4366" w:rsidP="006C21D7">
            <w:pPr>
              <w:spacing w:before="40" w:after="40"/>
              <w:jc w:val="right"/>
              <w:rPr>
                <w:sz w:val="17"/>
                <w:szCs w:val="17"/>
              </w:rPr>
            </w:pPr>
            <w:r>
              <w:rPr>
                <w:sz w:val="17"/>
                <w:szCs w:val="17"/>
              </w:rPr>
              <w:t>0.4</w:t>
            </w:r>
          </w:p>
        </w:tc>
        <w:tc>
          <w:tcPr>
            <w:tcW w:w="227" w:type="dxa"/>
            <w:vAlign w:val="bottom"/>
          </w:tcPr>
          <w:p w14:paraId="4B0832B3" w14:textId="77777777" w:rsidR="006C21D7" w:rsidRPr="00E754AA" w:rsidRDefault="006C21D7" w:rsidP="006C21D7">
            <w:pPr>
              <w:spacing w:before="40" w:after="40"/>
              <w:rPr>
                <w:sz w:val="17"/>
                <w:szCs w:val="17"/>
              </w:rPr>
            </w:pPr>
          </w:p>
        </w:tc>
        <w:tc>
          <w:tcPr>
            <w:tcW w:w="939" w:type="dxa"/>
            <w:vAlign w:val="bottom"/>
          </w:tcPr>
          <w:p w14:paraId="148DC8A2" w14:textId="77777777" w:rsidR="006C21D7" w:rsidRPr="00E754AA" w:rsidRDefault="00EC4366" w:rsidP="006C21D7">
            <w:pPr>
              <w:spacing w:before="40" w:after="40"/>
              <w:jc w:val="right"/>
              <w:rPr>
                <w:sz w:val="17"/>
                <w:szCs w:val="17"/>
              </w:rPr>
            </w:pPr>
            <w:r>
              <w:rPr>
                <w:sz w:val="17"/>
                <w:szCs w:val="17"/>
              </w:rPr>
              <w:t>0.3</w:t>
            </w:r>
          </w:p>
        </w:tc>
        <w:tc>
          <w:tcPr>
            <w:tcW w:w="266" w:type="dxa"/>
            <w:vAlign w:val="bottom"/>
          </w:tcPr>
          <w:p w14:paraId="1E56ACE5" w14:textId="77777777" w:rsidR="006C21D7" w:rsidRPr="000D2863" w:rsidRDefault="006C21D7" w:rsidP="006C21D7">
            <w:pPr>
              <w:spacing w:before="40" w:after="40"/>
              <w:rPr>
                <w:sz w:val="17"/>
                <w:szCs w:val="17"/>
              </w:rPr>
            </w:pPr>
          </w:p>
        </w:tc>
      </w:tr>
      <w:tr w:rsidR="006C21D7" w:rsidRPr="00E834EF" w14:paraId="412F9077" w14:textId="77777777" w:rsidTr="00D925C8">
        <w:tc>
          <w:tcPr>
            <w:tcW w:w="3254" w:type="dxa"/>
            <w:vAlign w:val="bottom"/>
          </w:tcPr>
          <w:p w14:paraId="1B26576A" w14:textId="77777777" w:rsidR="006C21D7" w:rsidRPr="00E754AA" w:rsidRDefault="006C21D7" w:rsidP="006C21D7">
            <w:pPr>
              <w:tabs>
                <w:tab w:val="right" w:leader="dot" w:pos="3255"/>
              </w:tabs>
              <w:bidi/>
              <w:spacing w:before="40" w:after="40"/>
              <w:ind w:left="357"/>
              <w:rPr>
                <w:sz w:val="17"/>
                <w:szCs w:val="17"/>
              </w:rPr>
            </w:pPr>
            <w:r>
              <w:rPr>
                <w:rFonts w:hint="cs"/>
                <w:sz w:val="17"/>
                <w:szCs w:val="17"/>
                <w:rtl/>
              </w:rPr>
              <w:t>إلغاء ضعف القيمة (الخسارة) على الأصول المالية والتعاقدية</w:t>
            </w:r>
            <w:r w:rsidRPr="00E754AA">
              <w:rPr>
                <w:sz w:val="17"/>
                <w:szCs w:val="17"/>
              </w:rPr>
              <w:tab/>
            </w:r>
          </w:p>
        </w:tc>
        <w:tc>
          <w:tcPr>
            <w:tcW w:w="242" w:type="dxa"/>
            <w:vAlign w:val="bottom"/>
          </w:tcPr>
          <w:p w14:paraId="28F433FB" w14:textId="77777777" w:rsidR="006C21D7" w:rsidRPr="00E754AA" w:rsidRDefault="006C21D7" w:rsidP="006C21D7">
            <w:pPr>
              <w:spacing w:before="40" w:after="40"/>
              <w:rPr>
                <w:sz w:val="17"/>
                <w:szCs w:val="17"/>
              </w:rPr>
            </w:pPr>
          </w:p>
        </w:tc>
        <w:tc>
          <w:tcPr>
            <w:tcW w:w="913" w:type="dxa"/>
            <w:vAlign w:val="bottom"/>
          </w:tcPr>
          <w:p w14:paraId="3B7B000C" w14:textId="77777777" w:rsidR="006C21D7" w:rsidRPr="00E754AA" w:rsidRDefault="006C21D7" w:rsidP="006C21D7">
            <w:pPr>
              <w:spacing w:before="40" w:after="40"/>
              <w:jc w:val="right"/>
              <w:rPr>
                <w:color w:val="000000"/>
                <w:sz w:val="17"/>
                <w:szCs w:val="17"/>
              </w:rPr>
            </w:pPr>
            <w:r w:rsidRPr="00B02BA3">
              <w:rPr>
                <w:sz w:val="17"/>
              </w:rPr>
              <w:t>—</w:t>
            </w:r>
          </w:p>
        </w:tc>
        <w:tc>
          <w:tcPr>
            <w:tcW w:w="252" w:type="dxa"/>
            <w:gridSpan w:val="2"/>
            <w:vAlign w:val="bottom"/>
          </w:tcPr>
          <w:p w14:paraId="78BD9A5B" w14:textId="77777777" w:rsidR="006C21D7" w:rsidRPr="00E754AA" w:rsidRDefault="006C21D7" w:rsidP="006C21D7">
            <w:pPr>
              <w:spacing w:before="40" w:after="40"/>
              <w:rPr>
                <w:color w:val="000000"/>
                <w:sz w:val="17"/>
                <w:szCs w:val="17"/>
              </w:rPr>
            </w:pPr>
          </w:p>
        </w:tc>
        <w:tc>
          <w:tcPr>
            <w:tcW w:w="924" w:type="dxa"/>
            <w:vAlign w:val="bottom"/>
          </w:tcPr>
          <w:p w14:paraId="1CD798A3" w14:textId="77777777" w:rsidR="006C21D7" w:rsidRPr="00E754AA" w:rsidRDefault="006C21D7" w:rsidP="006C21D7">
            <w:pPr>
              <w:spacing w:before="40" w:after="40"/>
              <w:jc w:val="right"/>
              <w:rPr>
                <w:color w:val="000000"/>
                <w:sz w:val="17"/>
                <w:szCs w:val="17"/>
              </w:rPr>
            </w:pPr>
            <w:r>
              <w:rPr>
                <w:color w:val="000000"/>
                <w:sz w:val="17"/>
                <w:szCs w:val="17"/>
              </w:rPr>
              <w:t>(0.3)</w:t>
            </w:r>
          </w:p>
        </w:tc>
        <w:tc>
          <w:tcPr>
            <w:tcW w:w="242" w:type="dxa"/>
            <w:vAlign w:val="bottom"/>
          </w:tcPr>
          <w:p w14:paraId="16075732" w14:textId="77777777" w:rsidR="006C21D7" w:rsidRPr="00E754AA" w:rsidRDefault="006C21D7" w:rsidP="006C21D7">
            <w:pPr>
              <w:spacing w:before="40" w:after="40"/>
              <w:rPr>
                <w:color w:val="000000"/>
                <w:sz w:val="17"/>
                <w:szCs w:val="17"/>
              </w:rPr>
            </w:pPr>
          </w:p>
        </w:tc>
        <w:tc>
          <w:tcPr>
            <w:tcW w:w="924" w:type="dxa"/>
            <w:vAlign w:val="bottom"/>
          </w:tcPr>
          <w:p w14:paraId="32A8D28F" w14:textId="77777777" w:rsidR="006C21D7" w:rsidRPr="00E754AA" w:rsidRDefault="006C21D7" w:rsidP="006C21D7">
            <w:pPr>
              <w:spacing w:before="40" w:after="40"/>
              <w:jc w:val="right"/>
              <w:rPr>
                <w:color w:val="000000"/>
                <w:sz w:val="17"/>
                <w:szCs w:val="17"/>
              </w:rPr>
            </w:pPr>
            <w:r>
              <w:rPr>
                <w:color w:val="000000"/>
                <w:sz w:val="17"/>
                <w:szCs w:val="17"/>
              </w:rPr>
              <w:t>(0.2)</w:t>
            </w:r>
          </w:p>
        </w:tc>
        <w:tc>
          <w:tcPr>
            <w:tcW w:w="242" w:type="dxa"/>
            <w:vAlign w:val="bottom"/>
          </w:tcPr>
          <w:p w14:paraId="11A29709" w14:textId="77777777" w:rsidR="006C21D7" w:rsidRPr="00E754AA" w:rsidRDefault="006C21D7" w:rsidP="006C21D7">
            <w:pPr>
              <w:spacing w:before="40" w:after="40"/>
              <w:rPr>
                <w:sz w:val="17"/>
                <w:szCs w:val="17"/>
              </w:rPr>
            </w:pPr>
          </w:p>
        </w:tc>
        <w:tc>
          <w:tcPr>
            <w:tcW w:w="924" w:type="dxa"/>
            <w:vAlign w:val="bottom"/>
          </w:tcPr>
          <w:p w14:paraId="2588FB01" w14:textId="77777777" w:rsidR="006C21D7" w:rsidRPr="00E754AA" w:rsidRDefault="00EC4366" w:rsidP="006C21D7">
            <w:pPr>
              <w:spacing w:before="40" w:after="40"/>
              <w:jc w:val="right"/>
              <w:rPr>
                <w:sz w:val="17"/>
                <w:szCs w:val="17"/>
              </w:rPr>
            </w:pPr>
            <w:r>
              <w:rPr>
                <w:sz w:val="17"/>
                <w:szCs w:val="17"/>
              </w:rPr>
              <w:t>(0.0)</w:t>
            </w:r>
          </w:p>
        </w:tc>
        <w:tc>
          <w:tcPr>
            <w:tcW w:w="227" w:type="dxa"/>
            <w:vAlign w:val="bottom"/>
          </w:tcPr>
          <w:p w14:paraId="13121AD3" w14:textId="77777777" w:rsidR="006C21D7" w:rsidRPr="00E754AA" w:rsidRDefault="006C21D7" w:rsidP="006C21D7">
            <w:pPr>
              <w:spacing w:before="40" w:after="40"/>
              <w:rPr>
                <w:sz w:val="17"/>
                <w:szCs w:val="17"/>
              </w:rPr>
            </w:pPr>
          </w:p>
        </w:tc>
        <w:tc>
          <w:tcPr>
            <w:tcW w:w="939" w:type="dxa"/>
            <w:vAlign w:val="bottom"/>
          </w:tcPr>
          <w:p w14:paraId="389BD2BD" w14:textId="77777777" w:rsidR="006C21D7" w:rsidRPr="00E754AA" w:rsidRDefault="00EC4366" w:rsidP="006C21D7">
            <w:pPr>
              <w:spacing w:before="40" w:after="40"/>
              <w:jc w:val="right"/>
              <w:rPr>
                <w:sz w:val="17"/>
                <w:szCs w:val="17"/>
              </w:rPr>
            </w:pPr>
            <w:r>
              <w:rPr>
                <w:sz w:val="17"/>
                <w:szCs w:val="17"/>
              </w:rPr>
              <w:t>(</w:t>
            </w:r>
            <w:r w:rsidR="000B4147">
              <w:rPr>
                <w:sz w:val="17"/>
                <w:szCs w:val="17"/>
              </w:rPr>
              <w:t>0.4)</w:t>
            </w:r>
          </w:p>
        </w:tc>
        <w:tc>
          <w:tcPr>
            <w:tcW w:w="266" w:type="dxa"/>
            <w:vAlign w:val="bottom"/>
          </w:tcPr>
          <w:p w14:paraId="4CF07E71" w14:textId="77777777" w:rsidR="006C21D7" w:rsidRPr="000D2863" w:rsidRDefault="006C21D7" w:rsidP="006C21D7">
            <w:pPr>
              <w:spacing w:before="40" w:after="40"/>
              <w:rPr>
                <w:sz w:val="17"/>
                <w:szCs w:val="17"/>
              </w:rPr>
            </w:pPr>
          </w:p>
        </w:tc>
      </w:tr>
      <w:tr w:rsidR="006C21D7" w:rsidRPr="00E834EF" w14:paraId="1A9D19AF" w14:textId="77777777" w:rsidTr="00D925C8">
        <w:tc>
          <w:tcPr>
            <w:tcW w:w="3254" w:type="dxa"/>
            <w:vAlign w:val="center"/>
          </w:tcPr>
          <w:p w14:paraId="58C5EFC8" w14:textId="77777777" w:rsidR="006C21D7" w:rsidRPr="00E754AA" w:rsidRDefault="006C21D7" w:rsidP="006C21D7">
            <w:pPr>
              <w:tabs>
                <w:tab w:val="right" w:leader="dot" w:pos="3255"/>
              </w:tabs>
              <w:bidi/>
              <w:spacing w:before="40" w:after="40"/>
              <w:ind w:left="357"/>
              <w:rPr>
                <w:color w:val="000000"/>
                <w:sz w:val="17"/>
                <w:szCs w:val="17"/>
              </w:rPr>
            </w:pPr>
            <w:r>
              <w:rPr>
                <w:rFonts w:hint="cs"/>
                <w:color w:val="000000"/>
                <w:sz w:val="17"/>
                <w:szCs w:val="17"/>
                <w:rtl/>
              </w:rPr>
              <w:t>المصروفات التجارية</w:t>
            </w:r>
            <w:r w:rsidRPr="0054596C">
              <w:rPr>
                <w:sz w:val="17"/>
              </w:rPr>
              <w:tab/>
            </w:r>
          </w:p>
        </w:tc>
        <w:tc>
          <w:tcPr>
            <w:tcW w:w="242" w:type="dxa"/>
            <w:vAlign w:val="bottom"/>
          </w:tcPr>
          <w:p w14:paraId="3C8CC198" w14:textId="77777777" w:rsidR="006C21D7" w:rsidRPr="009E417B" w:rsidRDefault="006C21D7" w:rsidP="006C21D7">
            <w:pPr>
              <w:spacing w:before="40" w:after="40"/>
              <w:rPr>
                <w:sz w:val="17"/>
                <w:szCs w:val="17"/>
                <w:lang w:val="en-GB"/>
              </w:rPr>
            </w:pPr>
          </w:p>
        </w:tc>
        <w:tc>
          <w:tcPr>
            <w:tcW w:w="913" w:type="dxa"/>
            <w:vAlign w:val="bottom"/>
          </w:tcPr>
          <w:p w14:paraId="7EEBBA4F" w14:textId="77777777" w:rsidR="006C21D7" w:rsidRPr="00E754AA" w:rsidRDefault="006C21D7" w:rsidP="008C57E0">
            <w:pPr>
              <w:spacing w:before="40" w:after="40"/>
              <w:jc w:val="right"/>
              <w:rPr>
                <w:color w:val="000000"/>
                <w:sz w:val="17"/>
                <w:szCs w:val="17"/>
              </w:rPr>
            </w:pPr>
            <w:r>
              <w:rPr>
                <w:color w:val="000000"/>
                <w:sz w:val="17"/>
                <w:szCs w:val="17"/>
              </w:rPr>
              <w:t>(4.4)</w:t>
            </w:r>
          </w:p>
        </w:tc>
        <w:tc>
          <w:tcPr>
            <w:tcW w:w="252" w:type="dxa"/>
            <w:gridSpan w:val="2"/>
            <w:vAlign w:val="bottom"/>
          </w:tcPr>
          <w:p w14:paraId="34575D97" w14:textId="77777777" w:rsidR="006C21D7" w:rsidRPr="00E754AA" w:rsidRDefault="006C21D7" w:rsidP="006C21D7">
            <w:pPr>
              <w:spacing w:before="40" w:after="40"/>
              <w:rPr>
                <w:color w:val="000000"/>
                <w:sz w:val="17"/>
                <w:szCs w:val="17"/>
              </w:rPr>
            </w:pPr>
          </w:p>
        </w:tc>
        <w:tc>
          <w:tcPr>
            <w:tcW w:w="924" w:type="dxa"/>
            <w:vAlign w:val="bottom"/>
          </w:tcPr>
          <w:p w14:paraId="16AE2B1F" w14:textId="77777777" w:rsidR="006C21D7" w:rsidRPr="00E754AA" w:rsidRDefault="006C21D7" w:rsidP="006C21D7">
            <w:pPr>
              <w:spacing w:before="40" w:after="40"/>
              <w:jc w:val="right"/>
              <w:rPr>
                <w:color w:val="000000"/>
                <w:sz w:val="17"/>
                <w:szCs w:val="17"/>
              </w:rPr>
            </w:pPr>
            <w:r>
              <w:rPr>
                <w:color w:val="000000"/>
                <w:sz w:val="17"/>
                <w:szCs w:val="17"/>
              </w:rPr>
              <w:t>(4.4)</w:t>
            </w:r>
          </w:p>
        </w:tc>
        <w:tc>
          <w:tcPr>
            <w:tcW w:w="242" w:type="dxa"/>
            <w:vAlign w:val="bottom"/>
          </w:tcPr>
          <w:p w14:paraId="32B8FFC2" w14:textId="77777777" w:rsidR="006C21D7" w:rsidRPr="00E754AA" w:rsidRDefault="006C21D7" w:rsidP="006C21D7">
            <w:pPr>
              <w:spacing w:before="40" w:after="40"/>
              <w:rPr>
                <w:color w:val="000000"/>
                <w:sz w:val="17"/>
                <w:szCs w:val="17"/>
              </w:rPr>
            </w:pPr>
          </w:p>
        </w:tc>
        <w:tc>
          <w:tcPr>
            <w:tcW w:w="924" w:type="dxa"/>
            <w:vAlign w:val="bottom"/>
          </w:tcPr>
          <w:p w14:paraId="7E38717E" w14:textId="77777777" w:rsidR="006C21D7" w:rsidRPr="00E754AA" w:rsidRDefault="006C21D7" w:rsidP="006C21D7">
            <w:pPr>
              <w:spacing w:before="40" w:after="40"/>
              <w:jc w:val="right"/>
              <w:rPr>
                <w:color w:val="000000"/>
                <w:sz w:val="17"/>
                <w:szCs w:val="17"/>
              </w:rPr>
            </w:pPr>
            <w:r>
              <w:rPr>
                <w:color w:val="000000"/>
                <w:sz w:val="17"/>
                <w:szCs w:val="17"/>
              </w:rPr>
              <w:t>(4.7)</w:t>
            </w:r>
          </w:p>
        </w:tc>
        <w:tc>
          <w:tcPr>
            <w:tcW w:w="242" w:type="dxa"/>
            <w:vAlign w:val="bottom"/>
          </w:tcPr>
          <w:p w14:paraId="5666DB91" w14:textId="77777777" w:rsidR="006C21D7" w:rsidRPr="00E754AA" w:rsidRDefault="006C21D7" w:rsidP="006C21D7">
            <w:pPr>
              <w:spacing w:before="40" w:after="40"/>
              <w:rPr>
                <w:sz w:val="17"/>
                <w:szCs w:val="17"/>
              </w:rPr>
            </w:pPr>
          </w:p>
        </w:tc>
        <w:tc>
          <w:tcPr>
            <w:tcW w:w="924" w:type="dxa"/>
            <w:vAlign w:val="bottom"/>
          </w:tcPr>
          <w:p w14:paraId="43023FFD" w14:textId="77777777" w:rsidR="006C21D7" w:rsidRPr="00E754AA" w:rsidRDefault="00EC4366" w:rsidP="006C21D7">
            <w:pPr>
              <w:spacing w:before="40" w:after="40"/>
              <w:jc w:val="right"/>
              <w:rPr>
                <w:sz w:val="17"/>
                <w:szCs w:val="17"/>
              </w:rPr>
            </w:pPr>
            <w:r>
              <w:rPr>
                <w:sz w:val="17"/>
                <w:szCs w:val="17"/>
              </w:rPr>
              <w:t>(4.5)</w:t>
            </w:r>
          </w:p>
        </w:tc>
        <w:tc>
          <w:tcPr>
            <w:tcW w:w="227" w:type="dxa"/>
            <w:vAlign w:val="bottom"/>
          </w:tcPr>
          <w:p w14:paraId="485D9F7B" w14:textId="77777777" w:rsidR="006C21D7" w:rsidRPr="00E754AA" w:rsidRDefault="006C21D7" w:rsidP="006C21D7">
            <w:pPr>
              <w:spacing w:before="40" w:after="40"/>
              <w:rPr>
                <w:sz w:val="17"/>
                <w:szCs w:val="17"/>
              </w:rPr>
            </w:pPr>
          </w:p>
        </w:tc>
        <w:tc>
          <w:tcPr>
            <w:tcW w:w="939" w:type="dxa"/>
            <w:vAlign w:val="bottom"/>
          </w:tcPr>
          <w:p w14:paraId="4ABC11F7" w14:textId="77777777" w:rsidR="006C21D7" w:rsidRPr="00E754AA" w:rsidRDefault="000B4147" w:rsidP="006C21D7">
            <w:pPr>
              <w:spacing w:before="40" w:after="40"/>
              <w:jc w:val="right"/>
              <w:rPr>
                <w:sz w:val="17"/>
                <w:szCs w:val="17"/>
              </w:rPr>
            </w:pPr>
            <w:r>
              <w:rPr>
                <w:sz w:val="17"/>
                <w:szCs w:val="17"/>
              </w:rPr>
              <w:t>(4.8)</w:t>
            </w:r>
          </w:p>
        </w:tc>
        <w:tc>
          <w:tcPr>
            <w:tcW w:w="266" w:type="dxa"/>
            <w:vAlign w:val="bottom"/>
          </w:tcPr>
          <w:p w14:paraId="2C0A1A3B" w14:textId="77777777" w:rsidR="006C21D7" w:rsidRPr="000D2863" w:rsidRDefault="006C21D7" w:rsidP="006C21D7">
            <w:pPr>
              <w:spacing w:before="40" w:after="40"/>
              <w:rPr>
                <w:sz w:val="17"/>
                <w:szCs w:val="17"/>
              </w:rPr>
            </w:pPr>
          </w:p>
        </w:tc>
      </w:tr>
      <w:tr w:rsidR="006C21D7" w:rsidRPr="00E834EF" w14:paraId="198E1A95" w14:textId="77777777" w:rsidTr="00D925C8">
        <w:tc>
          <w:tcPr>
            <w:tcW w:w="3254" w:type="dxa"/>
            <w:vAlign w:val="center"/>
          </w:tcPr>
          <w:p w14:paraId="17EF16A8" w14:textId="77777777" w:rsidR="006C21D7" w:rsidRPr="00E754AA" w:rsidRDefault="006C21D7" w:rsidP="006C21D7">
            <w:pPr>
              <w:tabs>
                <w:tab w:val="right" w:leader="dot" w:pos="3255"/>
              </w:tabs>
              <w:bidi/>
              <w:spacing w:before="40" w:after="40"/>
              <w:ind w:left="357"/>
              <w:rPr>
                <w:color w:val="000000"/>
                <w:sz w:val="17"/>
                <w:szCs w:val="17"/>
              </w:rPr>
            </w:pPr>
            <w:r>
              <w:rPr>
                <w:rFonts w:hint="cs"/>
                <w:color w:val="000000"/>
                <w:sz w:val="17"/>
                <w:szCs w:val="17"/>
                <w:rtl/>
              </w:rPr>
              <w:t>المصروفات العامة والإدارية</w:t>
            </w:r>
            <w:r w:rsidRPr="0054596C">
              <w:rPr>
                <w:sz w:val="17"/>
              </w:rPr>
              <w:tab/>
            </w:r>
          </w:p>
        </w:tc>
        <w:tc>
          <w:tcPr>
            <w:tcW w:w="242" w:type="dxa"/>
            <w:vAlign w:val="bottom"/>
          </w:tcPr>
          <w:p w14:paraId="4A44FAD4" w14:textId="77777777" w:rsidR="006C21D7" w:rsidRPr="00E834EF" w:rsidRDefault="006C21D7" w:rsidP="006C21D7">
            <w:pPr>
              <w:spacing w:before="40" w:after="40"/>
              <w:rPr>
                <w:sz w:val="17"/>
                <w:szCs w:val="17"/>
              </w:rPr>
            </w:pPr>
          </w:p>
        </w:tc>
        <w:tc>
          <w:tcPr>
            <w:tcW w:w="913" w:type="dxa"/>
            <w:vAlign w:val="bottom"/>
          </w:tcPr>
          <w:p w14:paraId="53578203" w14:textId="77777777" w:rsidR="006C21D7" w:rsidRPr="00E754AA" w:rsidRDefault="006C21D7" w:rsidP="006C21D7">
            <w:pPr>
              <w:spacing w:before="40" w:after="40"/>
              <w:jc w:val="right"/>
              <w:rPr>
                <w:color w:val="000000"/>
                <w:sz w:val="17"/>
                <w:szCs w:val="17"/>
              </w:rPr>
            </w:pPr>
            <w:r>
              <w:rPr>
                <w:color w:val="000000"/>
                <w:sz w:val="17"/>
                <w:szCs w:val="17"/>
              </w:rPr>
              <w:t>(21.6)</w:t>
            </w:r>
          </w:p>
        </w:tc>
        <w:tc>
          <w:tcPr>
            <w:tcW w:w="252" w:type="dxa"/>
            <w:gridSpan w:val="2"/>
            <w:vAlign w:val="bottom"/>
          </w:tcPr>
          <w:p w14:paraId="5F23959D" w14:textId="77777777" w:rsidR="006C21D7" w:rsidRPr="00E754AA" w:rsidRDefault="006C21D7" w:rsidP="006C21D7">
            <w:pPr>
              <w:spacing w:before="40" w:after="40"/>
              <w:rPr>
                <w:color w:val="000000"/>
                <w:sz w:val="17"/>
                <w:szCs w:val="17"/>
              </w:rPr>
            </w:pPr>
          </w:p>
        </w:tc>
        <w:tc>
          <w:tcPr>
            <w:tcW w:w="924" w:type="dxa"/>
            <w:vAlign w:val="bottom"/>
          </w:tcPr>
          <w:p w14:paraId="732F90C8" w14:textId="77777777" w:rsidR="006C21D7" w:rsidRPr="00E754AA" w:rsidRDefault="006C21D7" w:rsidP="006C21D7">
            <w:pPr>
              <w:spacing w:before="40" w:after="40"/>
              <w:jc w:val="right"/>
              <w:rPr>
                <w:color w:val="000000"/>
                <w:sz w:val="17"/>
                <w:szCs w:val="17"/>
              </w:rPr>
            </w:pPr>
            <w:r>
              <w:rPr>
                <w:color w:val="000000"/>
                <w:sz w:val="17"/>
                <w:szCs w:val="17"/>
              </w:rPr>
              <w:t>(27.5)</w:t>
            </w:r>
          </w:p>
        </w:tc>
        <w:tc>
          <w:tcPr>
            <w:tcW w:w="242" w:type="dxa"/>
            <w:vAlign w:val="bottom"/>
          </w:tcPr>
          <w:p w14:paraId="02D24651" w14:textId="77777777" w:rsidR="006C21D7" w:rsidRPr="00E754AA" w:rsidRDefault="006C21D7" w:rsidP="006C21D7">
            <w:pPr>
              <w:spacing w:before="40" w:after="40"/>
              <w:rPr>
                <w:color w:val="000000"/>
                <w:sz w:val="17"/>
                <w:szCs w:val="17"/>
              </w:rPr>
            </w:pPr>
          </w:p>
        </w:tc>
        <w:tc>
          <w:tcPr>
            <w:tcW w:w="924" w:type="dxa"/>
            <w:vAlign w:val="bottom"/>
          </w:tcPr>
          <w:p w14:paraId="57E03611" w14:textId="77777777" w:rsidR="006C21D7" w:rsidRPr="00E754AA" w:rsidRDefault="006C21D7" w:rsidP="006C21D7">
            <w:pPr>
              <w:spacing w:before="40" w:after="40"/>
              <w:jc w:val="right"/>
              <w:rPr>
                <w:color w:val="000000"/>
                <w:sz w:val="17"/>
                <w:szCs w:val="17"/>
              </w:rPr>
            </w:pPr>
            <w:r>
              <w:rPr>
                <w:color w:val="000000"/>
                <w:sz w:val="17"/>
                <w:szCs w:val="17"/>
              </w:rPr>
              <w:t>(32.2)</w:t>
            </w:r>
          </w:p>
        </w:tc>
        <w:tc>
          <w:tcPr>
            <w:tcW w:w="242" w:type="dxa"/>
            <w:vAlign w:val="bottom"/>
          </w:tcPr>
          <w:p w14:paraId="4F86FD33" w14:textId="77777777" w:rsidR="006C21D7" w:rsidRPr="00E754AA" w:rsidRDefault="006C21D7" w:rsidP="006C21D7">
            <w:pPr>
              <w:spacing w:before="40" w:after="40"/>
              <w:rPr>
                <w:sz w:val="17"/>
                <w:szCs w:val="17"/>
              </w:rPr>
            </w:pPr>
          </w:p>
        </w:tc>
        <w:tc>
          <w:tcPr>
            <w:tcW w:w="924" w:type="dxa"/>
            <w:vAlign w:val="bottom"/>
          </w:tcPr>
          <w:p w14:paraId="08AC61E6" w14:textId="77777777" w:rsidR="006C21D7" w:rsidRPr="00E754AA" w:rsidRDefault="00EC4366" w:rsidP="006C21D7">
            <w:pPr>
              <w:spacing w:before="40" w:after="40"/>
              <w:jc w:val="right"/>
              <w:rPr>
                <w:sz w:val="17"/>
                <w:szCs w:val="17"/>
              </w:rPr>
            </w:pPr>
            <w:r>
              <w:rPr>
                <w:sz w:val="17"/>
                <w:szCs w:val="17"/>
              </w:rPr>
              <w:t>(19.9)</w:t>
            </w:r>
          </w:p>
        </w:tc>
        <w:tc>
          <w:tcPr>
            <w:tcW w:w="227" w:type="dxa"/>
            <w:vAlign w:val="bottom"/>
          </w:tcPr>
          <w:p w14:paraId="58347C43" w14:textId="77777777" w:rsidR="006C21D7" w:rsidRPr="00E754AA" w:rsidRDefault="006C21D7" w:rsidP="006C21D7">
            <w:pPr>
              <w:spacing w:before="40" w:after="40"/>
              <w:rPr>
                <w:sz w:val="17"/>
                <w:szCs w:val="17"/>
              </w:rPr>
            </w:pPr>
          </w:p>
        </w:tc>
        <w:tc>
          <w:tcPr>
            <w:tcW w:w="939" w:type="dxa"/>
            <w:vAlign w:val="bottom"/>
          </w:tcPr>
          <w:p w14:paraId="708FE9A8" w14:textId="77777777" w:rsidR="006C21D7" w:rsidRPr="00E754AA" w:rsidRDefault="00867A7A" w:rsidP="006C21D7">
            <w:pPr>
              <w:spacing w:before="40" w:after="40"/>
              <w:jc w:val="right"/>
              <w:rPr>
                <w:sz w:val="17"/>
                <w:szCs w:val="17"/>
              </w:rPr>
            </w:pPr>
            <w:r>
              <w:rPr>
                <w:sz w:val="17"/>
                <w:szCs w:val="17"/>
              </w:rPr>
              <w:t>(28.4)</w:t>
            </w:r>
          </w:p>
        </w:tc>
        <w:tc>
          <w:tcPr>
            <w:tcW w:w="266" w:type="dxa"/>
            <w:vAlign w:val="bottom"/>
          </w:tcPr>
          <w:p w14:paraId="5C03D1A2" w14:textId="77777777" w:rsidR="006C21D7" w:rsidRPr="000D2863" w:rsidRDefault="006C21D7" w:rsidP="006C21D7">
            <w:pPr>
              <w:spacing w:before="40" w:after="40"/>
              <w:rPr>
                <w:sz w:val="17"/>
                <w:szCs w:val="17"/>
              </w:rPr>
            </w:pPr>
          </w:p>
        </w:tc>
      </w:tr>
      <w:tr w:rsidR="006C21D7" w:rsidRPr="00E834EF" w14:paraId="36B0E0EF" w14:textId="77777777" w:rsidTr="00D925C8">
        <w:tc>
          <w:tcPr>
            <w:tcW w:w="3254" w:type="dxa"/>
            <w:vAlign w:val="center"/>
          </w:tcPr>
          <w:p w14:paraId="7B9E7ABA" w14:textId="77777777" w:rsidR="006C21D7" w:rsidRPr="00E754AA" w:rsidRDefault="006C21D7" w:rsidP="006C21D7">
            <w:pPr>
              <w:tabs>
                <w:tab w:val="right" w:leader="dot" w:pos="3255"/>
              </w:tabs>
              <w:bidi/>
              <w:spacing w:before="40" w:after="40"/>
              <w:ind w:left="357"/>
              <w:rPr>
                <w:color w:val="000000"/>
                <w:sz w:val="17"/>
                <w:szCs w:val="17"/>
              </w:rPr>
            </w:pPr>
            <w:r>
              <w:rPr>
                <w:rFonts w:hint="cs"/>
                <w:color w:val="000000"/>
                <w:sz w:val="17"/>
                <w:szCs w:val="17"/>
                <w:rtl/>
              </w:rPr>
              <w:t>خسارة انخفاض القيمة على حق استخدام الأصول</w:t>
            </w:r>
            <w:r w:rsidRPr="0054596C">
              <w:rPr>
                <w:sz w:val="17"/>
              </w:rPr>
              <w:tab/>
            </w:r>
          </w:p>
        </w:tc>
        <w:tc>
          <w:tcPr>
            <w:tcW w:w="242" w:type="dxa"/>
            <w:vAlign w:val="bottom"/>
          </w:tcPr>
          <w:p w14:paraId="09D71F0B" w14:textId="77777777" w:rsidR="006C21D7" w:rsidRPr="00E834EF" w:rsidRDefault="006C21D7" w:rsidP="006C21D7">
            <w:pPr>
              <w:spacing w:before="40" w:after="40"/>
              <w:rPr>
                <w:sz w:val="17"/>
                <w:szCs w:val="17"/>
              </w:rPr>
            </w:pPr>
          </w:p>
        </w:tc>
        <w:tc>
          <w:tcPr>
            <w:tcW w:w="913" w:type="dxa"/>
            <w:vAlign w:val="bottom"/>
          </w:tcPr>
          <w:p w14:paraId="1CCEAB03" w14:textId="77777777" w:rsidR="006C21D7" w:rsidRPr="00E754AA" w:rsidRDefault="006C21D7" w:rsidP="006C21D7">
            <w:pPr>
              <w:spacing w:before="40" w:after="40"/>
              <w:jc w:val="right"/>
              <w:rPr>
                <w:color w:val="000000"/>
                <w:sz w:val="17"/>
                <w:szCs w:val="17"/>
              </w:rPr>
            </w:pPr>
            <w:r w:rsidRPr="00B02BA3">
              <w:rPr>
                <w:sz w:val="17"/>
              </w:rPr>
              <w:t>—</w:t>
            </w:r>
          </w:p>
        </w:tc>
        <w:tc>
          <w:tcPr>
            <w:tcW w:w="252" w:type="dxa"/>
            <w:gridSpan w:val="2"/>
            <w:vAlign w:val="bottom"/>
          </w:tcPr>
          <w:p w14:paraId="3F83468A" w14:textId="77777777" w:rsidR="006C21D7" w:rsidRPr="00E754AA" w:rsidRDefault="006C21D7" w:rsidP="006C21D7">
            <w:pPr>
              <w:spacing w:before="40" w:after="40"/>
              <w:rPr>
                <w:color w:val="000000"/>
                <w:sz w:val="17"/>
                <w:szCs w:val="17"/>
              </w:rPr>
            </w:pPr>
          </w:p>
        </w:tc>
        <w:tc>
          <w:tcPr>
            <w:tcW w:w="924" w:type="dxa"/>
            <w:vAlign w:val="bottom"/>
          </w:tcPr>
          <w:p w14:paraId="2A35FBAB" w14:textId="77777777" w:rsidR="006C21D7" w:rsidRPr="00E754AA" w:rsidRDefault="006C21D7" w:rsidP="006C21D7">
            <w:pPr>
              <w:spacing w:before="40" w:after="40"/>
              <w:jc w:val="right"/>
              <w:rPr>
                <w:color w:val="000000"/>
                <w:sz w:val="17"/>
                <w:szCs w:val="17"/>
              </w:rPr>
            </w:pPr>
            <w:r w:rsidRPr="00B02BA3">
              <w:rPr>
                <w:sz w:val="17"/>
              </w:rPr>
              <w:t>—</w:t>
            </w:r>
          </w:p>
        </w:tc>
        <w:tc>
          <w:tcPr>
            <w:tcW w:w="242" w:type="dxa"/>
            <w:vAlign w:val="bottom"/>
          </w:tcPr>
          <w:p w14:paraId="7404994C" w14:textId="77777777" w:rsidR="006C21D7" w:rsidRPr="00E754AA" w:rsidRDefault="006C21D7" w:rsidP="006C21D7">
            <w:pPr>
              <w:spacing w:before="40" w:after="40"/>
              <w:rPr>
                <w:color w:val="000000"/>
                <w:sz w:val="17"/>
                <w:szCs w:val="17"/>
              </w:rPr>
            </w:pPr>
          </w:p>
        </w:tc>
        <w:tc>
          <w:tcPr>
            <w:tcW w:w="924" w:type="dxa"/>
            <w:vAlign w:val="bottom"/>
          </w:tcPr>
          <w:p w14:paraId="6F79F211" w14:textId="77777777" w:rsidR="006C21D7" w:rsidRPr="00E754AA" w:rsidRDefault="006C21D7" w:rsidP="006C21D7">
            <w:pPr>
              <w:spacing w:before="40" w:after="40"/>
              <w:jc w:val="right"/>
              <w:rPr>
                <w:color w:val="000000"/>
                <w:sz w:val="17"/>
                <w:szCs w:val="17"/>
              </w:rPr>
            </w:pPr>
            <w:r w:rsidRPr="00B02BA3">
              <w:rPr>
                <w:sz w:val="17"/>
              </w:rPr>
              <w:t>—</w:t>
            </w:r>
          </w:p>
        </w:tc>
        <w:tc>
          <w:tcPr>
            <w:tcW w:w="242" w:type="dxa"/>
            <w:vAlign w:val="bottom"/>
          </w:tcPr>
          <w:p w14:paraId="344860F3" w14:textId="77777777" w:rsidR="006C21D7" w:rsidRPr="00E754AA" w:rsidRDefault="006C21D7" w:rsidP="006C21D7">
            <w:pPr>
              <w:spacing w:before="40" w:after="40"/>
              <w:rPr>
                <w:sz w:val="17"/>
                <w:szCs w:val="17"/>
              </w:rPr>
            </w:pPr>
          </w:p>
        </w:tc>
        <w:tc>
          <w:tcPr>
            <w:tcW w:w="924" w:type="dxa"/>
            <w:vAlign w:val="bottom"/>
          </w:tcPr>
          <w:p w14:paraId="57BC1DF9" w14:textId="77777777" w:rsidR="006C21D7" w:rsidRPr="00E754AA" w:rsidRDefault="006C21D7" w:rsidP="006C21D7">
            <w:pPr>
              <w:spacing w:before="40" w:after="40"/>
              <w:jc w:val="right"/>
              <w:rPr>
                <w:sz w:val="17"/>
                <w:szCs w:val="17"/>
              </w:rPr>
            </w:pPr>
            <w:r w:rsidRPr="00B02BA3">
              <w:rPr>
                <w:sz w:val="17"/>
              </w:rPr>
              <w:t>—</w:t>
            </w:r>
          </w:p>
        </w:tc>
        <w:tc>
          <w:tcPr>
            <w:tcW w:w="227" w:type="dxa"/>
            <w:vAlign w:val="bottom"/>
          </w:tcPr>
          <w:p w14:paraId="66D6AF2C" w14:textId="77777777" w:rsidR="006C21D7" w:rsidRPr="00E754AA" w:rsidRDefault="006C21D7" w:rsidP="006C21D7">
            <w:pPr>
              <w:spacing w:before="40" w:after="40"/>
              <w:rPr>
                <w:sz w:val="17"/>
                <w:szCs w:val="17"/>
              </w:rPr>
            </w:pPr>
          </w:p>
        </w:tc>
        <w:tc>
          <w:tcPr>
            <w:tcW w:w="939" w:type="dxa"/>
            <w:vAlign w:val="bottom"/>
          </w:tcPr>
          <w:p w14:paraId="550B2365" w14:textId="77777777" w:rsidR="006C21D7" w:rsidRPr="00E754AA" w:rsidRDefault="006C21D7" w:rsidP="006C21D7">
            <w:pPr>
              <w:spacing w:before="40" w:after="40"/>
              <w:jc w:val="right"/>
              <w:rPr>
                <w:sz w:val="17"/>
                <w:szCs w:val="17"/>
              </w:rPr>
            </w:pPr>
            <w:r w:rsidRPr="00B02BA3">
              <w:rPr>
                <w:sz w:val="17"/>
              </w:rPr>
              <w:t>—</w:t>
            </w:r>
          </w:p>
        </w:tc>
        <w:tc>
          <w:tcPr>
            <w:tcW w:w="266" w:type="dxa"/>
            <w:vAlign w:val="bottom"/>
          </w:tcPr>
          <w:p w14:paraId="2759AF90" w14:textId="77777777" w:rsidR="006C21D7" w:rsidRPr="000D2863" w:rsidRDefault="006C21D7" w:rsidP="006C21D7">
            <w:pPr>
              <w:spacing w:before="40" w:after="40"/>
              <w:rPr>
                <w:sz w:val="17"/>
                <w:szCs w:val="17"/>
              </w:rPr>
            </w:pPr>
          </w:p>
        </w:tc>
      </w:tr>
      <w:tr w:rsidR="006C21D7" w:rsidRPr="00E834EF" w14:paraId="003B0A2D" w14:textId="77777777" w:rsidTr="00D925C8">
        <w:tc>
          <w:tcPr>
            <w:tcW w:w="3254" w:type="dxa"/>
            <w:vAlign w:val="center"/>
          </w:tcPr>
          <w:p w14:paraId="3AB1FE73" w14:textId="77777777" w:rsidR="006C21D7" w:rsidRDefault="006C21D7" w:rsidP="006C21D7">
            <w:pPr>
              <w:tabs>
                <w:tab w:val="right" w:leader="dot" w:pos="3255"/>
              </w:tabs>
              <w:bidi/>
              <w:spacing w:before="40" w:after="40"/>
              <w:ind w:left="357"/>
              <w:rPr>
                <w:color w:val="000000"/>
                <w:sz w:val="17"/>
                <w:szCs w:val="17"/>
              </w:rPr>
            </w:pPr>
            <w:r>
              <w:rPr>
                <w:rFonts w:hint="cs"/>
                <w:color w:val="000000"/>
                <w:sz w:val="17"/>
                <w:szCs w:val="17"/>
                <w:rtl/>
              </w:rPr>
              <w:t>الإهلاك</w:t>
            </w:r>
            <w:r w:rsidRPr="0054596C">
              <w:rPr>
                <w:sz w:val="17"/>
              </w:rPr>
              <w:tab/>
            </w:r>
          </w:p>
        </w:tc>
        <w:tc>
          <w:tcPr>
            <w:tcW w:w="242" w:type="dxa"/>
            <w:vAlign w:val="bottom"/>
          </w:tcPr>
          <w:p w14:paraId="597B6282" w14:textId="77777777" w:rsidR="006C21D7" w:rsidRPr="00E834EF" w:rsidRDefault="006C21D7" w:rsidP="006C21D7">
            <w:pPr>
              <w:spacing w:before="40" w:after="40"/>
              <w:rPr>
                <w:sz w:val="17"/>
                <w:szCs w:val="17"/>
              </w:rPr>
            </w:pPr>
          </w:p>
        </w:tc>
        <w:tc>
          <w:tcPr>
            <w:tcW w:w="913" w:type="dxa"/>
            <w:vAlign w:val="bottom"/>
          </w:tcPr>
          <w:p w14:paraId="6D7F022B" w14:textId="77777777" w:rsidR="006C21D7" w:rsidRPr="000D2863" w:rsidRDefault="006C21D7" w:rsidP="006C21D7">
            <w:pPr>
              <w:spacing w:before="40" w:after="40"/>
              <w:jc w:val="right"/>
              <w:rPr>
                <w:color w:val="000000"/>
                <w:sz w:val="17"/>
                <w:szCs w:val="17"/>
              </w:rPr>
            </w:pPr>
            <w:r>
              <w:rPr>
                <w:sz w:val="17"/>
              </w:rPr>
              <w:t>0.8</w:t>
            </w:r>
          </w:p>
        </w:tc>
        <w:tc>
          <w:tcPr>
            <w:tcW w:w="252" w:type="dxa"/>
            <w:gridSpan w:val="2"/>
            <w:vAlign w:val="bottom"/>
          </w:tcPr>
          <w:p w14:paraId="3C832FDF" w14:textId="77777777" w:rsidR="006C21D7" w:rsidRPr="000D2863" w:rsidRDefault="006C21D7" w:rsidP="006C21D7">
            <w:pPr>
              <w:spacing w:before="40" w:after="40"/>
              <w:rPr>
                <w:color w:val="000000"/>
                <w:sz w:val="17"/>
                <w:szCs w:val="17"/>
              </w:rPr>
            </w:pPr>
          </w:p>
        </w:tc>
        <w:tc>
          <w:tcPr>
            <w:tcW w:w="924" w:type="dxa"/>
            <w:vAlign w:val="bottom"/>
          </w:tcPr>
          <w:p w14:paraId="0FD0486B" w14:textId="77777777" w:rsidR="006C21D7" w:rsidRPr="000D2863" w:rsidRDefault="00EC4366" w:rsidP="006C21D7">
            <w:pPr>
              <w:spacing w:before="40" w:after="40"/>
              <w:jc w:val="right"/>
              <w:rPr>
                <w:color w:val="000000"/>
                <w:sz w:val="17"/>
                <w:szCs w:val="17"/>
              </w:rPr>
            </w:pPr>
            <w:r>
              <w:rPr>
                <w:color w:val="000000"/>
                <w:sz w:val="17"/>
                <w:szCs w:val="17"/>
              </w:rPr>
              <w:t>0.8</w:t>
            </w:r>
          </w:p>
        </w:tc>
        <w:tc>
          <w:tcPr>
            <w:tcW w:w="242" w:type="dxa"/>
            <w:vAlign w:val="bottom"/>
          </w:tcPr>
          <w:p w14:paraId="4476F282" w14:textId="77777777" w:rsidR="006C21D7" w:rsidRPr="000D2863" w:rsidRDefault="006C21D7" w:rsidP="006C21D7">
            <w:pPr>
              <w:spacing w:before="40" w:after="40"/>
              <w:rPr>
                <w:color w:val="000000"/>
                <w:sz w:val="17"/>
                <w:szCs w:val="17"/>
              </w:rPr>
            </w:pPr>
          </w:p>
        </w:tc>
        <w:tc>
          <w:tcPr>
            <w:tcW w:w="924" w:type="dxa"/>
            <w:vAlign w:val="bottom"/>
          </w:tcPr>
          <w:p w14:paraId="22424390" w14:textId="77777777" w:rsidR="006C21D7" w:rsidRPr="000D2863" w:rsidRDefault="00EC4366" w:rsidP="006C21D7">
            <w:pPr>
              <w:spacing w:before="40" w:after="40"/>
              <w:jc w:val="right"/>
              <w:rPr>
                <w:color w:val="000000"/>
                <w:sz w:val="17"/>
                <w:szCs w:val="17"/>
              </w:rPr>
            </w:pPr>
            <w:r>
              <w:rPr>
                <w:color w:val="000000"/>
                <w:sz w:val="17"/>
                <w:szCs w:val="17"/>
              </w:rPr>
              <w:t>0.6</w:t>
            </w:r>
          </w:p>
        </w:tc>
        <w:tc>
          <w:tcPr>
            <w:tcW w:w="242" w:type="dxa"/>
            <w:vAlign w:val="bottom"/>
          </w:tcPr>
          <w:p w14:paraId="6326B916" w14:textId="77777777" w:rsidR="006C21D7" w:rsidRPr="000D2863" w:rsidRDefault="006C21D7" w:rsidP="006C21D7">
            <w:pPr>
              <w:spacing w:before="40" w:after="40"/>
              <w:rPr>
                <w:sz w:val="17"/>
                <w:szCs w:val="17"/>
              </w:rPr>
            </w:pPr>
          </w:p>
        </w:tc>
        <w:tc>
          <w:tcPr>
            <w:tcW w:w="924" w:type="dxa"/>
            <w:vAlign w:val="bottom"/>
          </w:tcPr>
          <w:p w14:paraId="5F976FA9" w14:textId="77777777" w:rsidR="006C21D7" w:rsidRPr="000D2863" w:rsidRDefault="00EC4366" w:rsidP="006C21D7">
            <w:pPr>
              <w:spacing w:before="40" w:after="40"/>
              <w:jc w:val="right"/>
              <w:rPr>
                <w:sz w:val="17"/>
                <w:szCs w:val="17"/>
              </w:rPr>
            </w:pPr>
            <w:r>
              <w:rPr>
                <w:sz w:val="17"/>
                <w:szCs w:val="17"/>
              </w:rPr>
              <w:t>0.6</w:t>
            </w:r>
          </w:p>
        </w:tc>
        <w:tc>
          <w:tcPr>
            <w:tcW w:w="227" w:type="dxa"/>
            <w:vAlign w:val="bottom"/>
          </w:tcPr>
          <w:p w14:paraId="4FA38B19" w14:textId="77777777" w:rsidR="006C21D7" w:rsidRPr="000D2863" w:rsidRDefault="006C21D7" w:rsidP="006C21D7">
            <w:pPr>
              <w:spacing w:before="40" w:after="40"/>
              <w:rPr>
                <w:sz w:val="17"/>
                <w:szCs w:val="17"/>
              </w:rPr>
            </w:pPr>
          </w:p>
        </w:tc>
        <w:tc>
          <w:tcPr>
            <w:tcW w:w="939" w:type="dxa"/>
            <w:vAlign w:val="bottom"/>
          </w:tcPr>
          <w:p w14:paraId="501C1CB7" w14:textId="77777777" w:rsidR="006C21D7" w:rsidRPr="000D2863" w:rsidRDefault="00867A7A" w:rsidP="006C21D7">
            <w:pPr>
              <w:spacing w:before="40" w:after="40"/>
              <w:jc w:val="right"/>
              <w:rPr>
                <w:sz w:val="17"/>
                <w:szCs w:val="17"/>
              </w:rPr>
            </w:pPr>
            <w:r>
              <w:rPr>
                <w:sz w:val="17"/>
                <w:szCs w:val="17"/>
              </w:rPr>
              <w:t>0.6</w:t>
            </w:r>
          </w:p>
        </w:tc>
        <w:tc>
          <w:tcPr>
            <w:tcW w:w="266" w:type="dxa"/>
            <w:vAlign w:val="bottom"/>
          </w:tcPr>
          <w:p w14:paraId="61868221" w14:textId="77777777" w:rsidR="006C21D7" w:rsidRPr="000D2863" w:rsidRDefault="006C21D7" w:rsidP="006C21D7">
            <w:pPr>
              <w:spacing w:before="40" w:after="40"/>
              <w:rPr>
                <w:sz w:val="17"/>
                <w:szCs w:val="17"/>
              </w:rPr>
            </w:pPr>
          </w:p>
        </w:tc>
      </w:tr>
      <w:tr w:rsidR="006C21D7" w:rsidRPr="00E834EF" w14:paraId="1F99EEB4" w14:textId="77777777" w:rsidTr="00D925C8">
        <w:tc>
          <w:tcPr>
            <w:tcW w:w="3254" w:type="dxa"/>
          </w:tcPr>
          <w:p w14:paraId="7402202F" w14:textId="77777777" w:rsidR="006C21D7" w:rsidRDefault="006C21D7" w:rsidP="006C21D7">
            <w:pPr>
              <w:tabs>
                <w:tab w:val="right" w:leader="dot" w:pos="3255"/>
              </w:tabs>
              <w:bidi/>
              <w:spacing w:before="40" w:after="40"/>
              <w:rPr>
                <w:b/>
                <w:bCs/>
                <w:sz w:val="17"/>
                <w:szCs w:val="17"/>
                <w:u w:val="single"/>
              </w:rPr>
            </w:pPr>
            <w:r w:rsidRPr="00272B36">
              <w:rPr>
                <w:rFonts w:hint="eastAsia"/>
                <w:b/>
                <w:bCs/>
                <w:szCs w:val="17"/>
                <w:rtl/>
              </w:rPr>
              <w:t>الأرباح</w:t>
            </w:r>
            <w:r w:rsidRPr="00272B36">
              <w:rPr>
                <w:b/>
                <w:bCs/>
                <w:szCs w:val="17"/>
                <w:rtl/>
              </w:rPr>
              <w:t xml:space="preserve"> قبل حساب الفوائد والضرائب والإهلاك والإطفاء </w:t>
            </w:r>
            <w:r w:rsidRPr="007D2480">
              <w:rPr>
                <w:sz w:val="17"/>
              </w:rPr>
              <w:tab/>
            </w:r>
          </w:p>
        </w:tc>
        <w:tc>
          <w:tcPr>
            <w:tcW w:w="242" w:type="dxa"/>
            <w:vAlign w:val="bottom"/>
          </w:tcPr>
          <w:p w14:paraId="1099A1FD" w14:textId="77777777" w:rsidR="006C21D7" w:rsidRPr="00E834EF" w:rsidRDefault="006C21D7" w:rsidP="006C21D7">
            <w:pPr>
              <w:spacing w:before="40" w:after="40"/>
              <w:rPr>
                <w:sz w:val="17"/>
                <w:szCs w:val="17"/>
              </w:rPr>
            </w:pPr>
          </w:p>
        </w:tc>
        <w:tc>
          <w:tcPr>
            <w:tcW w:w="913" w:type="dxa"/>
          </w:tcPr>
          <w:p w14:paraId="70E832F6" w14:textId="77777777" w:rsidR="006C21D7" w:rsidRPr="002163D4" w:rsidRDefault="006C21D7" w:rsidP="006C21D7">
            <w:pPr>
              <w:spacing w:before="40" w:after="40"/>
              <w:jc w:val="right"/>
              <w:rPr>
                <w:b/>
                <w:bCs/>
                <w:color w:val="000000"/>
                <w:sz w:val="16"/>
                <w:szCs w:val="16"/>
              </w:rPr>
            </w:pPr>
            <w:r>
              <w:rPr>
                <w:sz w:val="16"/>
                <w:szCs w:val="16"/>
              </w:rPr>
              <w:t>(22.7)</w:t>
            </w:r>
          </w:p>
        </w:tc>
        <w:tc>
          <w:tcPr>
            <w:tcW w:w="252" w:type="dxa"/>
            <w:gridSpan w:val="2"/>
            <w:vAlign w:val="bottom"/>
          </w:tcPr>
          <w:p w14:paraId="16F7EF38" w14:textId="77777777" w:rsidR="006C21D7" w:rsidRPr="002163D4" w:rsidRDefault="006C21D7" w:rsidP="006C21D7">
            <w:pPr>
              <w:spacing w:before="40" w:after="40"/>
              <w:rPr>
                <w:b/>
                <w:bCs/>
                <w:color w:val="000000"/>
                <w:sz w:val="16"/>
                <w:szCs w:val="16"/>
              </w:rPr>
            </w:pPr>
          </w:p>
        </w:tc>
        <w:tc>
          <w:tcPr>
            <w:tcW w:w="924" w:type="dxa"/>
          </w:tcPr>
          <w:p w14:paraId="40A107E4" w14:textId="77777777" w:rsidR="006C21D7" w:rsidRPr="002163D4" w:rsidRDefault="006C21D7" w:rsidP="006C21D7">
            <w:pPr>
              <w:spacing w:before="40" w:after="40"/>
              <w:jc w:val="right"/>
              <w:rPr>
                <w:b/>
                <w:bCs/>
                <w:color w:val="000000"/>
                <w:sz w:val="16"/>
                <w:szCs w:val="16"/>
              </w:rPr>
            </w:pPr>
            <w:r>
              <w:rPr>
                <w:sz w:val="16"/>
                <w:szCs w:val="16"/>
              </w:rPr>
              <w:t>(26.2)</w:t>
            </w:r>
          </w:p>
        </w:tc>
        <w:tc>
          <w:tcPr>
            <w:tcW w:w="242" w:type="dxa"/>
            <w:vAlign w:val="bottom"/>
          </w:tcPr>
          <w:p w14:paraId="7CB899C7" w14:textId="77777777" w:rsidR="006C21D7" w:rsidRPr="002163D4" w:rsidRDefault="006C21D7" w:rsidP="006C21D7">
            <w:pPr>
              <w:spacing w:before="40" w:after="40"/>
              <w:rPr>
                <w:b/>
                <w:bCs/>
                <w:color w:val="000000"/>
                <w:sz w:val="16"/>
                <w:szCs w:val="16"/>
              </w:rPr>
            </w:pPr>
          </w:p>
        </w:tc>
        <w:tc>
          <w:tcPr>
            <w:tcW w:w="924" w:type="dxa"/>
          </w:tcPr>
          <w:p w14:paraId="50F07355" w14:textId="77777777" w:rsidR="006C21D7" w:rsidRPr="002163D4" w:rsidRDefault="006C21D7" w:rsidP="006C21D7">
            <w:pPr>
              <w:spacing w:before="40" w:after="40"/>
              <w:jc w:val="right"/>
              <w:rPr>
                <w:b/>
                <w:bCs/>
                <w:color w:val="000000"/>
                <w:sz w:val="16"/>
                <w:szCs w:val="16"/>
              </w:rPr>
            </w:pPr>
            <w:r>
              <w:rPr>
                <w:sz w:val="16"/>
                <w:szCs w:val="16"/>
              </w:rPr>
              <w:t>(33.2)</w:t>
            </w:r>
          </w:p>
        </w:tc>
        <w:tc>
          <w:tcPr>
            <w:tcW w:w="242" w:type="dxa"/>
            <w:vAlign w:val="bottom"/>
          </w:tcPr>
          <w:p w14:paraId="33857073" w14:textId="77777777" w:rsidR="006C21D7" w:rsidRPr="002163D4" w:rsidRDefault="006C21D7" w:rsidP="006C21D7">
            <w:pPr>
              <w:spacing w:before="40" w:after="40"/>
              <w:rPr>
                <w:b/>
                <w:bCs/>
                <w:sz w:val="16"/>
                <w:szCs w:val="16"/>
              </w:rPr>
            </w:pPr>
          </w:p>
        </w:tc>
        <w:tc>
          <w:tcPr>
            <w:tcW w:w="924" w:type="dxa"/>
          </w:tcPr>
          <w:p w14:paraId="2137CD30" w14:textId="77777777" w:rsidR="006C21D7" w:rsidRPr="002163D4" w:rsidRDefault="006C21D7" w:rsidP="006C21D7">
            <w:pPr>
              <w:spacing w:before="40" w:after="40"/>
              <w:jc w:val="right"/>
              <w:rPr>
                <w:b/>
                <w:bCs/>
                <w:sz w:val="16"/>
                <w:szCs w:val="16"/>
              </w:rPr>
            </w:pPr>
            <w:r>
              <w:rPr>
                <w:sz w:val="16"/>
                <w:szCs w:val="16"/>
              </w:rPr>
              <w:t>(21.3)</w:t>
            </w:r>
          </w:p>
        </w:tc>
        <w:tc>
          <w:tcPr>
            <w:tcW w:w="227" w:type="dxa"/>
            <w:vAlign w:val="bottom"/>
          </w:tcPr>
          <w:p w14:paraId="74C76301" w14:textId="77777777" w:rsidR="006C21D7" w:rsidRPr="002163D4" w:rsidRDefault="006C21D7" w:rsidP="006C21D7">
            <w:pPr>
              <w:spacing w:before="40" w:after="40"/>
              <w:rPr>
                <w:b/>
                <w:bCs/>
                <w:sz w:val="16"/>
                <w:szCs w:val="16"/>
              </w:rPr>
            </w:pPr>
          </w:p>
        </w:tc>
        <w:tc>
          <w:tcPr>
            <w:tcW w:w="939" w:type="dxa"/>
          </w:tcPr>
          <w:p w14:paraId="202E22E3" w14:textId="77777777" w:rsidR="006C21D7" w:rsidRPr="002163D4" w:rsidRDefault="006C21D7" w:rsidP="006C21D7">
            <w:pPr>
              <w:spacing w:before="40" w:after="40"/>
              <w:jc w:val="right"/>
              <w:rPr>
                <w:b/>
                <w:bCs/>
                <w:sz w:val="16"/>
                <w:szCs w:val="16"/>
              </w:rPr>
            </w:pPr>
            <w:r>
              <w:rPr>
                <w:sz w:val="16"/>
                <w:szCs w:val="16"/>
              </w:rPr>
              <w:t>(29.2)</w:t>
            </w:r>
          </w:p>
        </w:tc>
        <w:tc>
          <w:tcPr>
            <w:tcW w:w="266" w:type="dxa"/>
            <w:vAlign w:val="bottom"/>
          </w:tcPr>
          <w:p w14:paraId="24FD2C51" w14:textId="77777777" w:rsidR="006C21D7" w:rsidRPr="000D2863" w:rsidRDefault="006C21D7" w:rsidP="006C21D7">
            <w:pPr>
              <w:spacing w:before="40" w:after="40"/>
              <w:rPr>
                <w:b/>
                <w:bCs/>
                <w:sz w:val="17"/>
                <w:szCs w:val="17"/>
              </w:rPr>
            </w:pPr>
          </w:p>
        </w:tc>
      </w:tr>
    </w:tbl>
    <w:p w14:paraId="6F67299B" w14:textId="77777777" w:rsidR="007355BA" w:rsidRDefault="00224E80" w:rsidP="007355BA">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(١٠)</w:t>
      </w:r>
      <w:r w:rsidR="00FD0841" w:rsidRPr="00FD0841">
        <w:rPr>
          <w:rFonts w:ascii="Traditional Arabic" w:hAnsi="Traditional Arabic" w:cs="Traditional Arabic"/>
          <w:sz w:val="30"/>
          <w:szCs w:val="30"/>
          <w:rtl/>
          <w:lang w:bidi="ar-EG"/>
        </w:rPr>
        <w:tab/>
        <w:t xml:space="preserve">يوضح الجدول التالي تسوية لهامش التدفق النقدي مع صافي النقد المتولد من الأرباح التشغيلية (بالإشارة إلى إيرادات مكافئ تأجير السفن المجهزة بالمدة حسب تسويتها في الجدول في الملاحظة </w:t>
      </w:r>
      <w:r w:rsidR="00FD0841">
        <w:rPr>
          <w:rFonts w:ascii="Traditional Arabic" w:hAnsi="Traditional Arabic" w:cs="Traditional Arabic" w:hint="cs"/>
          <w:sz w:val="30"/>
          <w:szCs w:val="30"/>
          <w:rtl/>
          <w:lang w:bidi="ar-EG"/>
        </w:rPr>
        <w:t>3</w:t>
      </w:r>
      <w:r w:rsidR="00FD0841" w:rsidRPr="00FD0841">
        <w:rPr>
          <w:rFonts w:ascii="Traditional Arabic" w:hAnsi="Traditional Arabic" w:cs="Traditional Arabic"/>
          <w:sz w:val="30"/>
          <w:szCs w:val="30"/>
          <w:rtl/>
          <w:lang w:bidi="ar-EG"/>
        </w:rPr>
        <w:t xml:space="preserve"> أعلاه) للفترات المشار إليها:</w:t>
      </w:r>
    </w:p>
    <w:p w14:paraId="63B424AE" w14:textId="77777777" w:rsidR="00FD0841" w:rsidRDefault="00FD0841" w:rsidP="00FD0841">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7355BA" w:rsidRPr="00E834EF" w14:paraId="189C4425" w14:textId="77777777" w:rsidTr="007355BA">
        <w:trPr>
          <w:tblHeader/>
        </w:trPr>
        <w:tc>
          <w:tcPr>
            <w:tcW w:w="3254" w:type="dxa"/>
          </w:tcPr>
          <w:p w14:paraId="10F00D57" w14:textId="77777777" w:rsidR="007355BA" w:rsidRPr="00E834EF" w:rsidRDefault="007355BA" w:rsidP="007355BA">
            <w:pPr>
              <w:keepNext/>
              <w:bidi/>
              <w:spacing w:before="40" w:after="120"/>
              <w:rPr>
                <w:b/>
                <w:sz w:val="17"/>
                <w:szCs w:val="17"/>
              </w:rPr>
            </w:pPr>
          </w:p>
        </w:tc>
        <w:tc>
          <w:tcPr>
            <w:tcW w:w="242" w:type="dxa"/>
          </w:tcPr>
          <w:p w14:paraId="643C8C2F" w14:textId="77777777" w:rsidR="007355BA" w:rsidRPr="00E834EF" w:rsidRDefault="007355BA" w:rsidP="007355BA">
            <w:pPr>
              <w:spacing w:before="40" w:after="40"/>
              <w:rPr>
                <w:sz w:val="17"/>
                <w:szCs w:val="17"/>
              </w:rPr>
            </w:pPr>
          </w:p>
        </w:tc>
        <w:tc>
          <w:tcPr>
            <w:tcW w:w="3255" w:type="dxa"/>
            <w:gridSpan w:val="6"/>
            <w:tcBorders>
              <w:bottom w:val="single" w:sz="4" w:space="0" w:color="auto"/>
            </w:tcBorders>
          </w:tcPr>
          <w:p w14:paraId="01DACF27" w14:textId="77777777" w:rsidR="007355BA" w:rsidRPr="00E834EF" w:rsidRDefault="007355BA" w:rsidP="007355BA">
            <w:pPr>
              <w:keepNext/>
              <w:spacing w:before="40" w:after="120"/>
              <w:jc w:val="center"/>
              <w:rPr>
                <w:b/>
                <w:sz w:val="17"/>
                <w:szCs w:val="17"/>
              </w:rPr>
            </w:pPr>
            <w:r w:rsidRPr="00E834EF">
              <w:rPr>
                <w:b/>
                <w:sz w:val="17"/>
                <w:szCs w:val="17"/>
              </w:rPr>
              <w:t xml:space="preserve">Year </w:t>
            </w:r>
            <w:r>
              <w:rPr>
                <w:b/>
                <w:sz w:val="17"/>
                <w:szCs w:val="17"/>
              </w:rPr>
              <w:t>E</w:t>
            </w:r>
            <w:r w:rsidRPr="00E834EF">
              <w:rPr>
                <w:b/>
                <w:sz w:val="17"/>
                <w:szCs w:val="17"/>
              </w:rPr>
              <w:t>nded 31 December</w:t>
            </w:r>
          </w:p>
        </w:tc>
        <w:tc>
          <w:tcPr>
            <w:tcW w:w="242" w:type="dxa"/>
          </w:tcPr>
          <w:p w14:paraId="4249CA1C" w14:textId="77777777" w:rsidR="007355BA" w:rsidRPr="00E834EF" w:rsidRDefault="007355BA" w:rsidP="007355BA">
            <w:pPr>
              <w:spacing w:before="40" w:after="40"/>
              <w:rPr>
                <w:sz w:val="17"/>
                <w:szCs w:val="17"/>
              </w:rPr>
            </w:pPr>
          </w:p>
        </w:tc>
        <w:tc>
          <w:tcPr>
            <w:tcW w:w="2090" w:type="dxa"/>
            <w:gridSpan w:val="3"/>
            <w:tcBorders>
              <w:bottom w:val="single" w:sz="4" w:space="0" w:color="auto"/>
            </w:tcBorders>
          </w:tcPr>
          <w:p w14:paraId="23DB5DD5" w14:textId="77777777" w:rsidR="007355BA" w:rsidRPr="00E834EF" w:rsidRDefault="007355BA" w:rsidP="007355BA">
            <w:pPr>
              <w:keepNext/>
              <w:spacing w:before="40" w:after="120"/>
              <w:jc w:val="center"/>
              <w:rPr>
                <w:b/>
                <w:sz w:val="17"/>
                <w:szCs w:val="17"/>
              </w:rPr>
            </w:pPr>
            <w:r>
              <w:rPr>
                <w:b/>
                <w:sz w:val="17"/>
                <w:szCs w:val="17"/>
              </w:rPr>
              <w:t>Nine Months E</w:t>
            </w:r>
            <w:r w:rsidRPr="00E834EF">
              <w:rPr>
                <w:b/>
                <w:sz w:val="17"/>
                <w:szCs w:val="17"/>
              </w:rPr>
              <w:t xml:space="preserve">nded 30 </w:t>
            </w:r>
            <w:r>
              <w:rPr>
                <w:b/>
                <w:sz w:val="17"/>
                <w:szCs w:val="17"/>
              </w:rPr>
              <w:t>September</w:t>
            </w:r>
          </w:p>
        </w:tc>
        <w:tc>
          <w:tcPr>
            <w:tcW w:w="266" w:type="dxa"/>
          </w:tcPr>
          <w:p w14:paraId="31AB6DB3" w14:textId="77777777" w:rsidR="007355BA" w:rsidRPr="00E834EF" w:rsidRDefault="007355BA" w:rsidP="007355BA">
            <w:pPr>
              <w:keepNext/>
              <w:spacing w:before="40" w:after="120"/>
              <w:jc w:val="center"/>
              <w:rPr>
                <w:b/>
                <w:sz w:val="17"/>
                <w:szCs w:val="17"/>
              </w:rPr>
            </w:pPr>
          </w:p>
        </w:tc>
      </w:tr>
      <w:tr w:rsidR="007355BA" w:rsidRPr="00E834EF" w14:paraId="7CD8A7C0" w14:textId="77777777" w:rsidTr="007355BA">
        <w:trPr>
          <w:tblHeader/>
        </w:trPr>
        <w:tc>
          <w:tcPr>
            <w:tcW w:w="3254" w:type="dxa"/>
          </w:tcPr>
          <w:p w14:paraId="3DEF0A4C" w14:textId="77777777" w:rsidR="007355BA" w:rsidRPr="00E834EF" w:rsidRDefault="007355BA" w:rsidP="007355BA">
            <w:pPr>
              <w:keepNext/>
              <w:bidi/>
              <w:spacing w:before="40" w:after="120"/>
              <w:rPr>
                <w:b/>
                <w:sz w:val="17"/>
                <w:szCs w:val="17"/>
              </w:rPr>
            </w:pPr>
          </w:p>
        </w:tc>
        <w:tc>
          <w:tcPr>
            <w:tcW w:w="242" w:type="dxa"/>
          </w:tcPr>
          <w:p w14:paraId="166ACAB2" w14:textId="77777777" w:rsidR="007355BA" w:rsidRPr="00E834EF" w:rsidRDefault="007355BA" w:rsidP="007355BA">
            <w:pPr>
              <w:spacing w:before="40" w:after="40"/>
              <w:rPr>
                <w:sz w:val="17"/>
                <w:szCs w:val="17"/>
              </w:rPr>
            </w:pPr>
          </w:p>
        </w:tc>
        <w:tc>
          <w:tcPr>
            <w:tcW w:w="923" w:type="dxa"/>
            <w:gridSpan w:val="2"/>
            <w:tcBorders>
              <w:top w:val="single" w:sz="4" w:space="0" w:color="auto"/>
              <w:bottom w:val="single" w:sz="4" w:space="0" w:color="auto"/>
            </w:tcBorders>
          </w:tcPr>
          <w:p w14:paraId="19EED446" w14:textId="77777777" w:rsidR="007355BA" w:rsidRPr="00E834EF" w:rsidRDefault="007355BA" w:rsidP="007355BA">
            <w:pPr>
              <w:keepNext/>
              <w:spacing w:before="40" w:after="120"/>
              <w:jc w:val="right"/>
              <w:rPr>
                <w:b/>
                <w:sz w:val="17"/>
                <w:szCs w:val="17"/>
              </w:rPr>
            </w:pPr>
            <w:r w:rsidRPr="00E834EF">
              <w:rPr>
                <w:b/>
                <w:sz w:val="17"/>
                <w:szCs w:val="17"/>
              </w:rPr>
              <w:t>2021</w:t>
            </w:r>
          </w:p>
        </w:tc>
        <w:tc>
          <w:tcPr>
            <w:tcW w:w="242" w:type="dxa"/>
          </w:tcPr>
          <w:p w14:paraId="7A525173"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430BA8AE" w14:textId="77777777" w:rsidR="007355BA" w:rsidRPr="00E834EF" w:rsidRDefault="007355BA" w:rsidP="007355BA">
            <w:pPr>
              <w:keepNext/>
              <w:spacing w:before="40" w:after="120"/>
              <w:jc w:val="right"/>
              <w:rPr>
                <w:b/>
                <w:sz w:val="17"/>
                <w:szCs w:val="17"/>
              </w:rPr>
            </w:pPr>
            <w:r w:rsidRPr="00E834EF">
              <w:rPr>
                <w:b/>
                <w:sz w:val="17"/>
                <w:szCs w:val="17"/>
              </w:rPr>
              <w:t>2022</w:t>
            </w:r>
          </w:p>
        </w:tc>
        <w:tc>
          <w:tcPr>
            <w:tcW w:w="242" w:type="dxa"/>
          </w:tcPr>
          <w:p w14:paraId="3152F773"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56EBC141" w14:textId="77777777" w:rsidR="007355BA" w:rsidRPr="00E834EF" w:rsidRDefault="007355BA" w:rsidP="007355BA">
            <w:pPr>
              <w:keepNext/>
              <w:spacing w:before="40" w:after="120"/>
              <w:jc w:val="right"/>
              <w:rPr>
                <w:b/>
                <w:sz w:val="17"/>
                <w:szCs w:val="17"/>
              </w:rPr>
            </w:pPr>
            <w:r w:rsidRPr="00E834EF">
              <w:rPr>
                <w:b/>
                <w:sz w:val="17"/>
                <w:szCs w:val="17"/>
              </w:rPr>
              <w:t>2023</w:t>
            </w:r>
          </w:p>
        </w:tc>
        <w:tc>
          <w:tcPr>
            <w:tcW w:w="242" w:type="dxa"/>
          </w:tcPr>
          <w:p w14:paraId="2D61C995" w14:textId="77777777" w:rsidR="007355BA" w:rsidRPr="00E834EF" w:rsidRDefault="007355BA" w:rsidP="007355BA">
            <w:pPr>
              <w:spacing w:before="40" w:after="40"/>
              <w:rPr>
                <w:sz w:val="17"/>
                <w:szCs w:val="17"/>
              </w:rPr>
            </w:pPr>
          </w:p>
        </w:tc>
        <w:tc>
          <w:tcPr>
            <w:tcW w:w="924" w:type="dxa"/>
            <w:tcBorders>
              <w:top w:val="single" w:sz="4" w:space="0" w:color="auto"/>
              <w:bottom w:val="single" w:sz="4" w:space="0" w:color="auto"/>
            </w:tcBorders>
          </w:tcPr>
          <w:p w14:paraId="1B7F3358" w14:textId="77777777" w:rsidR="007355BA" w:rsidRPr="00E834EF" w:rsidRDefault="007355BA" w:rsidP="007355BA">
            <w:pPr>
              <w:keepNext/>
              <w:spacing w:before="40" w:after="120"/>
              <w:jc w:val="right"/>
              <w:rPr>
                <w:b/>
                <w:sz w:val="17"/>
                <w:szCs w:val="17"/>
              </w:rPr>
            </w:pPr>
            <w:r w:rsidRPr="00E834EF">
              <w:rPr>
                <w:b/>
                <w:sz w:val="17"/>
                <w:szCs w:val="17"/>
              </w:rPr>
              <w:t>2023</w:t>
            </w:r>
          </w:p>
        </w:tc>
        <w:tc>
          <w:tcPr>
            <w:tcW w:w="227" w:type="dxa"/>
          </w:tcPr>
          <w:p w14:paraId="79E1851E" w14:textId="77777777" w:rsidR="007355BA" w:rsidRPr="00E834EF" w:rsidRDefault="007355BA" w:rsidP="007355BA">
            <w:pPr>
              <w:spacing w:before="40" w:after="40"/>
              <w:rPr>
                <w:sz w:val="17"/>
                <w:szCs w:val="17"/>
              </w:rPr>
            </w:pPr>
          </w:p>
        </w:tc>
        <w:tc>
          <w:tcPr>
            <w:tcW w:w="939" w:type="dxa"/>
            <w:tcBorders>
              <w:top w:val="single" w:sz="4" w:space="0" w:color="auto"/>
              <w:bottom w:val="single" w:sz="4" w:space="0" w:color="auto"/>
            </w:tcBorders>
          </w:tcPr>
          <w:p w14:paraId="5BBCBB0B" w14:textId="77777777" w:rsidR="007355BA" w:rsidRPr="00E834EF" w:rsidRDefault="007355BA" w:rsidP="007355BA">
            <w:pPr>
              <w:keepNext/>
              <w:spacing w:before="40" w:after="120"/>
              <w:jc w:val="right"/>
              <w:rPr>
                <w:b/>
                <w:sz w:val="17"/>
                <w:szCs w:val="17"/>
              </w:rPr>
            </w:pPr>
            <w:r w:rsidRPr="00E834EF">
              <w:rPr>
                <w:b/>
                <w:sz w:val="17"/>
                <w:szCs w:val="17"/>
              </w:rPr>
              <w:t>2024</w:t>
            </w:r>
          </w:p>
        </w:tc>
        <w:tc>
          <w:tcPr>
            <w:tcW w:w="266" w:type="dxa"/>
          </w:tcPr>
          <w:p w14:paraId="72608B9B" w14:textId="77777777" w:rsidR="007355BA" w:rsidRPr="00E834EF" w:rsidRDefault="007355BA" w:rsidP="007355BA">
            <w:pPr>
              <w:keepNext/>
              <w:spacing w:before="40" w:after="120"/>
              <w:jc w:val="right"/>
              <w:rPr>
                <w:b/>
                <w:sz w:val="17"/>
                <w:szCs w:val="17"/>
              </w:rPr>
            </w:pPr>
          </w:p>
        </w:tc>
      </w:tr>
      <w:tr w:rsidR="007355BA" w:rsidRPr="00E834EF" w14:paraId="7E27F578" w14:textId="77777777" w:rsidTr="007355BA">
        <w:trPr>
          <w:trHeight w:val="215"/>
          <w:tblHeader/>
        </w:trPr>
        <w:tc>
          <w:tcPr>
            <w:tcW w:w="3254" w:type="dxa"/>
          </w:tcPr>
          <w:p w14:paraId="1EA86710" w14:textId="77777777" w:rsidR="007355BA" w:rsidRPr="00E834EF" w:rsidRDefault="007355BA" w:rsidP="007355BA">
            <w:pPr>
              <w:keepNext/>
              <w:bidi/>
              <w:spacing w:before="40" w:after="120"/>
              <w:jc w:val="center"/>
              <w:rPr>
                <w:i/>
                <w:sz w:val="17"/>
                <w:szCs w:val="17"/>
              </w:rPr>
            </w:pPr>
          </w:p>
        </w:tc>
        <w:tc>
          <w:tcPr>
            <w:tcW w:w="242" w:type="dxa"/>
          </w:tcPr>
          <w:p w14:paraId="3D86A375" w14:textId="77777777" w:rsidR="007355BA" w:rsidRPr="00E834EF" w:rsidRDefault="007355BA" w:rsidP="007355BA">
            <w:pPr>
              <w:keepNext/>
              <w:spacing w:before="40" w:after="120"/>
              <w:jc w:val="center"/>
              <w:rPr>
                <w:i/>
                <w:sz w:val="17"/>
                <w:szCs w:val="17"/>
              </w:rPr>
            </w:pPr>
          </w:p>
        </w:tc>
        <w:tc>
          <w:tcPr>
            <w:tcW w:w="5587" w:type="dxa"/>
            <w:gridSpan w:val="10"/>
          </w:tcPr>
          <w:p w14:paraId="7139A6C1" w14:textId="77777777" w:rsidR="007355BA" w:rsidRPr="00E834EF" w:rsidRDefault="007355BA" w:rsidP="007355BA">
            <w:pPr>
              <w:keepNext/>
              <w:spacing w:before="40" w:after="120"/>
              <w:jc w:val="center"/>
              <w:rPr>
                <w:i/>
                <w:sz w:val="17"/>
                <w:szCs w:val="17"/>
              </w:rPr>
            </w:pPr>
            <w:r w:rsidRPr="00E834EF">
              <w:rPr>
                <w:i/>
                <w:color w:val="000000"/>
                <w:sz w:val="17"/>
                <w:szCs w:val="17"/>
              </w:rPr>
              <w:t>(</w:t>
            </w:r>
            <w:r w:rsidRPr="00B02BA3">
              <w:rPr>
                <w:i/>
                <w:iCs/>
                <w:sz w:val="18"/>
              </w:rPr>
              <w:t>U.S.$</w:t>
            </w:r>
            <w:r>
              <w:rPr>
                <w:i/>
                <w:iCs/>
                <w:sz w:val="18"/>
              </w:rPr>
              <w:t xml:space="preserve"> </w:t>
            </w:r>
            <w:r>
              <w:rPr>
                <w:i/>
                <w:color w:val="000000"/>
                <w:sz w:val="17"/>
                <w:szCs w:val="17"/>
              </w:rPr>
              <w:t>millions</w:t>
            </w:r>
            <w:r w:rsidRPr="00E834EF">
              <w:rPr>
                <w:i/>
                <w:color w:val="000000"/>
                <w:sz w:val="17"/>
                <w:szCs w:val="17"/>
              </w:rPr>
              <w:t>, except percentages)</w:t>
            </w:r>
          </w:p>
        </w:tc>
        <w:tc>
          <w:tcPr>
            <w:tcW w:w="266" w:type="dxa"/>
            <w:vAlign w:val="bottom"/>
          </w:tcPr>
          <w:p w14:paraId="4BBF1F7E" w14:textId="77777777" w:rsidR="007355BA" w:rsidRPr="00E834EF" w:rsidRDefault="007355BA" w:rsidP="007355BA">
            <w:pPr>
              <w:keepNext/>
              <w:spacing w:before="40" w:after="120"/>
              <w:rPr>
                <w:i/>
                <w:color w:val="000000"/>
                <w:sz w:val="17"/>
                <w:szCs w:val="17"/>
              </w:rPr>
            </w:pPr>
          </w:p>
        </w:tc>
      </w:tr>
      <w:tr w:rsidR="007355BA" w:rsidRPr="00E834EF" w14:paraId="6E19E0BE" w14:textId="77777777" w:rsidTr="007355BA">
        <w:tc>
          <w:tcPr>
            <w:tcW w:w="3254" w:type="dxa"/>
            <w:vAlign w:val="bottom"/>
          </w:tcPr>
          <w:p w14:paraId="5E00EE7C" w14:textId="77777777" w:rsidR="007355BA" w:rsidRPr="0000189B" w:rsidRDefault="00341E7E" w:rsidP="007355BA">
            <w:pPr>
              <w:tabs>
                <w:tab w:val="right" w:leader="dot" w:pos="3255"/>
              </w:tabs>
              <w:bidi/>
              <w:spacing w:before="40" w:after="40"/>
              <w:ind w:left="12"/>
              <w:rPr>
                <w:color w:val="000000"/>
                <w:sz w:val="17"/>
                <w:szCs w:val="17"/>
              </w:rPr>
            </w:pPr>
            <w:r>
              <w:rPr>
                <w:rFonts w:hint="cs"/>
                <w:color w:val="000000"/>
                <w:sz w:val="17"/>
                <w:szCs w:val="17"/>
                <w:rtl/>
              </w:rPr>
              <w:t>تدفقات النقد التشغيلي</w:t>
            </w:r>
            <w:r w:rsidR="007355BA">
              <w:rPr>
                <w:rFonts w:hint="cs"/>
                <w:color w:val="000000"/>
                <w:sz w:val="17"/>
                <w:szCs w:val="17"/>
                <w:rtl/>
              </w:rPr>
              <w:t xml:space="preserve"> </w:t>
            </w:r>
            <w:r w:rsidR="007355BA" w:rsidRPr="00D4755F">
              <w:rPr>
                <w:color w:val="000000"/>
                <w:sz w:val="17"/>
                <w:szCs w:val="17"/>
                <w:vertAlign w:val="superscript"/>
              </w:rPr>
              <w:t>(a)</w:t>
            </w:r>
            <w:r w:rsidR="007355BA" w:rsidRPr="0054596C">
              <w:rPr>
                <w:sz w:val="17"/>
              </w:rPr>
              <w:tab/>
            </w:r>
          </w:p>
        </w:tc>
        <w:tc>
          <w:tcPr>
            <w:tcW w:w="242" w:type="dxa"/>
            <w:vAlign w:val="bottom"/>
          </w:tcPr>
          <w:p w14:paraId="64C9E87B" w14:textId="77777777" w:rsidR="007355BA" w:rsidRPr="00E834EF" w:rsidRDefault="007355BA" w:rsidP="007355BA">
            <w:pPr>
              <w:spacing w:before="40" w:after="40"/>
              <w:rPr>
                <w:sz w:val="17"/>
                <w:szCs w:val="17"/>
              </w:rPr>
            </w:pPr>
          </w:p>
        </w:tc>
        <w:tc>
          <w:tcPr>
            <w:tcW w:w="913" w:type="dxa"/>
            <w:vAlign w:val="bottom"/>
          </w:tcPr>
          <w:p w14:paraId="30E8A3EE" w14:textId="77777777" w:rsidR="007355BA" w:rsidRPr="00D4755F" w:rsidRDefault="007355BA" w:rsidP="007355BA">
            <w:pPr>
              <w:spacing w:before="40" w:after="40"/>
              <w:jc w:val="right"/>
              <w:rPr>
                <w:color w:val="000000"/>
                <w:sz w:val="17"/>
                <w:szCs w:val="17"/>
              </w:rPr>
            </w:pPr>
            <w:r w:rsidRPr="00B02BA3">
              <w:rPr>
                <w:sz w:val="17"/>
              </w:rPr>
              <w:t>173</w:t>
            </w:r>
            <w:r>
              <w:rPr>
                <w:sz w:val="17"/>
              </w:rPr>
              <w:t>.</w:t>
            </w:r>
            <w:r w:rsidR="00341E7E">
              <w:rPr>
                <w:sz w:val="17"/>
              </w:rPr>
              <w:t>9</w:t>
            </w:r>
          </w:p>
        </w:tc>
        <w:tc>
          <w:tcPr>
            <w:tcW w:w="252" w:type="dxa"/>
            <w:gridSpan w:val="2"/>
            <w:vAlign w:val="bottom"/>
          </w:tcPr>
          <w:p w14:paraId="67E5B4DB" w14:textId="77777777" w:rsidR="007355BA" w:rsidRPr="00D4755F" w:rsidRDefault="007355BA" w:rsidP="007355BA">
            <w:pPr>
              <w:spacing w:before="40" w:after="40"/>
              <w:rPr>
                <w:color w:val="000000"/>
                <w:sz w:val="17"/>
                <w:szCs w:val="17"/>
              </w:rPr>
            </w:pPr>
          </w:p>
        </w:tc>
        <w:tc>
          <w:tcPr>
            <w:tcW w:w="924" w:type="dxa"/>
            <w:vAlign w:val="bottom"/>
          </w:tcPr>
          <w:p w14:paraId="725815C4" w14:textId="77777777" w:rsidR="007355BA" w:rsidRPr="00D4755F" w:rsidRDefault="00341E7E" w:rsidP="007355BA">
            <w:pPr>
              <w:spacing w:before="40" w:after="40"/>
              <w:jc w:val="right"/>
              <w:rPr>
                <w:color w:val="000000"/>
                <w:sz w:val="17"/>
                <w:szCs w:val="17"/>
              </w:rPr>
            </w:pPr>
            <w:r>
              <w:rPr>
                <w:sz w:val="17"/>
              </w:rPr>
              <w:t>211.1</w:t>
            </w:r>
          </w:p>
        </w:tc>
        <w:tc>
          <w:tcPr>
            <w:tcW w:w="242" w:type="dxa"/>
            <w:vAlign w:val="bottom"/>
          </w:tcPr>
          <w:p w14:paraId="3847E2BC" w14:textId="77777777" w:rsidR="007355BA" w:rsidRPr="00D4755F" w:rsidRDefault="007355BA" w:rsidP="007355BA">
            <w:pPr>
              <w:spacing w:before="40" w:after="40"/>
              <w:rPr>
                <w:color w:val="000000"/>
                <w:sz w:val="17"/>
                <w:szCs w:val="17"/>
              </w:rPr>
            </w:pPr>
          </w:p>
        </w:tc>
        <w:tc>
          <w:tcPr>
            <w:tcW w:w="924" w:type="dxa"/>
            <w:vAlign w:val="bottom"/>
          </w:tcPr>
          <w:p w14:paraId="38D21ABE" w14:textId="77777777" w:rsidR="007355BA" w:rsidRPr="00D4755F" w:rsidRDefault="00D609FD" w:rsidP="007355BA">
            <w:pPr>
              <w:spacing w:before="40" w:after="40"/>
              <w:jc w:val="right"/>
              <w:rPr>
                <w:color w:val="000000"/>
                <w:sz w:val="17"/>
                <w:szCs w:val="17"/>
              </w:rPr>
            </w:pPr>
            <w:r>
              <w:rPr>
                <w:sz w:val="17"/>
              </w:rPr>
              <w:t>472.8</w:t>
            </w:r>
          </w:p>
        </w:tc>
        <w:tc>
          <w:tcPr>
            <w:tcW w:w="242" w:type="dxa"/>
            <w:vAlign w:val="bottom"/>
          </w:tcPr>
          <w:p w14:paraId="6F58B9B2" w14:textId="77777777" w:rsidR="007355BA" w:rsidRPr="00D4755F" w:rsidRDefault="007355BA" w:rsidP="007355BA">
            <w:pPr>
              <w:spacing w:before="40" w:after="40"/>
              <w:rPr>
                <w:sz w:val="17"/>
                <w:szCs w:val="17"/>
              </w:rPr>
            </w:pPr>
          </w:p>
        </w:tc>
        <w:tc>
          <w:tcPr>
            <w:tcW w:w="924" w:type="dxa"/>
            <w:vAlign w:val="bottom"/>
          </w:tcPr>
          <w:p w14:paraId="39D8D73A" w14:textId="77777777" w:rsidR="007355BA" w:rsidRPr="00D4755F" w:rsidRDefault="00D609FD" w:rsidP="007355BA">
            <w:pPr>
              <w:spacing w:before="40" w:after="40"/>
              <w:jc w:val="right"/>
              <w:rPr>
                <w:sz w:val="17"/>
                <w:szCs w:val="17"/>
              </w:rPr>
            </w:pPr>
            <w:r w:rsidRPr="007C450D">
              <w:rPr>
                <w:sz w:val="16"/>
                <w:szCs w:val="16"/>
              </w:rPr>
              <w:t>—</w:t>
            </w:r>
          </w:p>
        </w:tc>
        <w:tc>
          <w:tcPr>
            <w:tcW w:w="227" w:type="dxa"/>
            <w:vAlign w:val="bottom"/>
          </w:tcPr>
          <w:p w14:paraId="4EC5A5C2" w14:textId="77777777" w:rsidR="007355BA" w:rsidRPr="00D4755F" w:rsidRDefault="007355BA" w:rsidP="007355BA">
            <w:pPr>
              <w:spacing w:before="40" w:after="40"/>
              <w:rPr>
                <w:sz w:val="17"/>
                <w:szCs w:val="17"/>
              </w:rPr>
            </w:pPr>
          </w:p>
        </w:tc>
        <w:tc>
          <w:tcPr>
            <w:tcW w:w="939" w:type="dxa"/>
            <w:vAlign w:val="bottom"/>
          </w:tcPr>
          <w:p w14:paraId="0F74ED94" w14:textId="77777777" w:rsidR="007355BA" w:rsidRPr="00D4755F" w:rsidRDefault="00D609FD" w:rsidP="007355BA">
            <w:pPr>
              <w:spacing w:before="40" w:after="40"/>
              <w:jc w:val="right"/>
              <w:rPr>
                <w:sz w:val="17"/>
                <w:szCs w:val="17"/>
              </w:rPr>
            </w:pPr>
            <w:r>
              <w:rPr>
                <w:sz w:val="17"/>
              </w:rPr>
              <w:t>342.1</w:t>
            </w:r>
          </w:p>
        </w:tc>
        <w:tc>
          <w:tcPr>
            <w:tcW w:w="266" w:type="dxa"/>
            <w:vAlign w:val="bottom"/>
          </w:tcPr>
          <w:p w14:paraId="13CB0209" w14:textId="77777777" w:rsidR="007355BA" w:rsidRPr="000D2863" w:rsidRDefault="007355BA" w:rsidP="007355BA">
            <w:pPr>
              <w:spacing w:before="40" w:after="40"/>
              <w:rPr>
                <w:sz w:val="17"/>
                <w:szCs w:val="17"/>
              </w:rPr>
            </w:pPr>
          </w:p>
        </w:tc>
      </w:tr>
      <w:tr w:rsidR="007355BA" w:rsidRPr="00E834EF" w14:paraId="2B437EC8" w14:textId="77777777" w:rsidTr="007355BA">
        <w:tc>
          <w:tcPr>
            <w:tcW w:w="3254" w:type="dxa"/>
          </w:tcPr>
          <w:p w14:paraId="71CFD22E" w14:textId="77777777" w:rsidR="007355BA" w:rsidRDefault="007355BA" w:rsidP="007355BA">
            <w:pPr>
              <w:tabs>
                <w:tab w:val="right" w:leader="dot" w:pos="3255"/>
              </w:tabs>
              <w:bidi/>
              <w:spacing w:before="40" w:after="40"/>
              <w:rPr>
                <w:b/>
                <w:bCs/>
                <w:i/>
                <w:iCs/>
                <w:sz w:val="17"/>
                <w:szCs w:val="17"/>
              </w:rPr>
            </w:pPr>
            <w:r w:rsidRPr="000028EE">
              <w:rPr>
                <w:rFonts w:hint="cs"/>
                <w:b/>
                <w:bCs/>
                <w:i/>
                <w:iCs/>
                <w:sz w:val="17"/>
                <w:szCs w:val="17"/>
                <w:u w:val="single"/>
                <w:rtl/>
              </w:rPr>
              <w:t xml:space="preserve">إيرادات مكافئ تأجير السفن المجهزة بالمدة </w:t>
            </w:r>
            <w:r w:rsidRPr="00155339">
              <w:rPr>
                <w:sz w:val="17"/>
                <w:szCs w:val="17"/>
                <w:vertAlign w:val="superscript"/>
              </w:rPr>
              <w:t>(b)</w:t>
            </w:r>
            <w:r w:rsidRPr="007D2480">
              <w:rPr>
                <w:sz w:val="17"/>
              </w:rPr>
              <w:t xml:space="preserve"> </w:t>
            </w:r>
            <w:r w:rsidRPr="007D2480">
              <w:rPr>
                <w:sz w:val="17"/>
              </w:rPr>
              <w:tab/>
            </w:r>
          </w:p>
        </w:tc>
        <w:tc>
          <w:tcPr>
            <w:tcW w:w="242" w:type="dxa"/>
            <w:vAlign w:val="bottom"/>
          </w:tcPr>
          <w:p w14:paraId="4CBF23F9" w14:textId="77777777" w:rsidR="007355BA" w:rsidRPr="00E834EF" w:rsidRDefault="007355BA" w:rsidP="007355BA">
            <w:pPr>
              <w:spacing w:before="40" w:after="40"/>
              <w:rPr>
                <w:sz w:val="17"/>
                <w:szCs w:val="17"/>
              </w:rPr>
            </w:pPr>
          </w:p>
        </w:tc>
        <w:tc>
          <w:tcPr>
            <w:tcW w:w="913" w:type="dxa"/>
            <w:tcBorders>
              <w:bottom w:val="single" w:sz="4" w:space="0" w:color="auto"/>
            </w:tcBorders>
          </w:tcPr>
          <w:p w14:paraId="5BD3EBA3" w14:textId="77777777" w:rsidR="007355BA" w:rsidRPr="00D4755F" w:rsidRDefault="007355BA" w:rsidP="007355BA">
            <w:pPr>
              <w:spacing w:before="40" w:after="40"/>
              <w:jc w:val="right"/>
              <w:rPr>
                <w:color w:val="000000"/>
                <w:sz w:val="17"/>
                <w:szCs w:val="17"/>
              </w:rPr>
            </w:pPr>
            <w:r w:rsidRPr="007A3BB2">
              <w:rPr>
                <w:sz w:val="16"/>
                <w:szCs w:val="16"/>
              </w:rPr>
              <w:t>470.3</w:t>
            </w:r>
          </w:p>
        </w:tc>
        <w:tc>
          <w:tcPr>
            <w:tcW w:w="252" w:type="dxa"/>
            <w:gridSpan w:val="2"/>
          </w:tcPr>
          <w:p w14:paraId="6C03A06F" w14:textId="77777777" w:rsidR="007355BA" w:rsidRPr="00D4755F" w:rsidRDefault="007355BA" w:rsidP="007355BA">
            <w:pPr>
              <w:spacing w:before="40" w:after="40"/>
              <w:rPr>
                <w:color w:val="000000"/>
                <w:sz w:val="17"/>
                <w:szCs w:val="17"/>
              </w:rPr>
            </w:pPr>
          </w:p>
        </w:tc>
        <w:tc>
          <w:tcPr>
            <w:tcW w:w="924" w:type="dxa"/>
            <w:tcBorders>
              <w:bottom w:val="single" w:sz="4" w:space="0" w:color="auto"/>
            </w:tcBorders>
          </w:tcPr>
          <w:p w14:paraId="622EA275" w14:textId="77777777" w:rsidR="007355BA" w:rsidRPr="00D4755F" w:rsidRDefault="007355BA" w:rsidP="007355BA">
            <w:pPr>
              <w:spacing w:before="40" w:after="40"/>
              <w:jc w:val="right"/>
              <w:rPr>
                <w:color w:val="000000"/>
                <w:sz w:val="17"/>
                <w:szCs w:val="17"/>
              </w:rPr>
            </w:pPr>
            <w:r w:rsidRPr="007A3BB2">
              <w:rPr>
                <w:sz w:val="16"/>
                <w:szCs w:val="16"/>
              </w:rPr>
              <w:t>649.5</w:t>
            </w:r>
          </w:p>
        </w:tc>
        <w:tc>
          <w:tcPr>
            <w:tcW w:w="242" w:type="dxa"/>
          </w:tcPr>
          <w:p w14:paraId="321B3E24" w14:textId="77777777" w:rsidR="007355BA" w:rsidRPr="00D4755F" w:rsidRDefault="007355BA" w:rsidP="007355BA">
            <w:pPr>
              <w:spacing w:before="40" w:after="40"/>
              <w:rPr>
                <w:color w:val="000000"/>
                <w:sz w:val="17"/>
                <w:szCs w:val="17"/>
              </w:rPr>
            </w:pPr>
          </w:p>
        </w:tc>
        <w:tc>
          <w:tcPr>
            <w:tcW w:w="924" w:type="dxa"/>
            <w:tcBorders>
              <w:bottom w:val="single" w:sz="4" w:space="0" w:color="auto"/>
            </w:tcBorders>
          </w:tcPr>
          <w:p w14:paraId="5A2BCA89" w14:textId="77777777" w:rsidR="007355BA" w:rsidRPr="00D4755F" w:rsidRDefault="007355BA" w:rsidP="007355BA">
            <w:pPr>
              <w:spacing w:before="40" w:after="40"/>
              <w:jc w:val="right"/>
              <w:rPr>
                <w:color w:val="000000"/>
                <w:sz w:val="17"/>
                <w:szCs w:val="17"/>
              </w:rPr>
            </w:pPr>
            <w:r w:rsidRPr="007A3BB2">
              <w:rPr>
                <w:sz w:val="16"/>
                <w:szCs w:val="16"/>
              </w:rPr>
              <w:t>732.5</w:t>
            </w:r>
          </w:p>
        </w:tc>
        <w:tc>
          <w:tcPr>
            <w:tcW w:w="242" w:type="dxa"/>
            <w:vAlign w:val="bottom"/>
          </w:tcPr>
          <w:p w14:paraId="5D05D358" w14:textId="77777777" w:rsidR="007355BA" w:rsidRPr="00D4755F" w:rsidRDefault="007355BA" w:rsidP="007355BA">
            <w:pPr>
              <w:spacing w:before="40" w:after="40"/>
              <w:rPr>
                <w:sz w:val="17"/>
                <w:szCs w:val="17"/>
              </w:rPr>
            </w:pPr>
          </w:p>
        </w:tc>
        <w:tc>
          <w:tcPr>
            <w:tcW w:w="924" w:type="dxa"/>
            <w:tcBorders>
              <w:bottom w:val="single" w:sz="4" w:space="0" w:color="auto"/>
            </w:tcBorders>
            <w:vAlign w:val="bottom"/>
          </w:tcPr>
          <w:p w14:paraId="4389AE2F" w14:textId="77777777" w:rsidR="007355BA" w:rsidRPr="00D4755F" w:rsidRDefault="00D609FD" w:rsidP="007355BA">
            <w:pPr>
              <w:spacing w:before="40" w:after="40"/>
              <w:jc w:val="right"/>
              <w:rPr>
                <w:sz w:val="17"/>
                <w:szCs w:val="17"/>
              </w:rPr>
            </w:pPr>
            <w:r w:rsidRPr="007C450D">
              <w:rPr>
                <w:sz w:val="16"/>
                <w:szCs w:val="16"/>
              </w:rPr>
              <w:t>—</w:t>
            </w:r>
          </w:p>
        </w:tc>
        <w:tc>
          <w:tcPr>
            <w:tcW w:w="227" w:type="dxa"/>
            <w:vAlign w:val="bottom"/>
          </w:tcPr>
          <w:p w14:paraId="13EC2B67" w14:textId="77777777" w:rsidR="007355BA" w:rsidRPr="00D4755F" w:rsidRDefault="007355BA" w:rsidP="007355BA">
            <w:pPr>
              <w:spacing w:before="40" w:after="40"/>
              <w:rPr>
                <w:sz w:val="17"/>
                <w:szCs w:val="17"/>
              </w:rPr>
            </w:pPr>
          </w:p>
        </w:tc>
        <w:tc>
          <w:tcPr>
            <w:tcW w:w="939" w:type="dxa"/>
            <w:tcBorders>
              <w:bottom w:val="single" w:sz="4" w:space="0" w:color="auto"/>
            </w:tcBorders>
            <w:vAlign w:val="bottom"/>
          </w:tcPr>
          <w:p w14:paraId="6649B83A" w14:textId="77777777" w:rsidR="007355BA" w:rsidRPr="00D4755F" w:rsidRDefault="007355BA" w:rsidP="007355BA">
            <w:pPr>
              <w:spacing w:before="40" w:after="40"/>
              <w:jc w:val="right"/>
              <w:rPr>
                <w:sz w:val="17"/>
                <w:szCs w:val="17"/>
              </w:rPr>
            </w:pPr>
            <w:r w:rsidRPr="007A3BB2">
              <w:rPr>
                <w:sz w:val="16"/>
                <w:szCs w:val="16"/>
              </w:rPr>
              <w:t>613.3</w:t>
            </w:r>
          </w:p>
        </w:tc>
        <w:tc>
          <w:tcPr>
            <w:tcW w:w="266" w:type="dxa"/>
            <w:vAlign w:val="bottom"/>
          </w:tcPr>
          <w:p w14:paraId="352D708C" w14:textId="77777777" w:rsidR="007355BA" w:rsidRPr="000D2863" w:rsidRDefault="007355BA" w:rsidP="007355BA">
            <w:pPr>
              <w:spacing w:before="40" w:after="40"/>
              <w:rPr>
                <w:sz w:val="17"/>
                <w:szCs w:val="17"/>
              </w:rPr>
            </w:pPr>
          </w:p>
        </w:tc>
      </w:tr>
      <w:tr w:rsidR="007355BA" w:rsidRPr="00E834EF" w14:paraId="338BA1D0" w14:textId="77777777" w:rsidTr="007355BA">
        <w:tc>
          <w:tcPr>
            <w:tcW w:w="3254" w:type="dxa"/>
          </w:tcPr>
          <w:p w14:paraId="576382EA" w14:textId="77777777" w:rsidR="007355BA" w:rsidRDefault="007355BA" w:rsidP="007355BA">
            <w:pPr>
              <w:tabs>
                <w:tab w:val="right" w:leader="dot" w:pos="3255"/>
              </w:tabs>
              <w:bidi/>
              <w:spacing w:before="40" w:after="40"/>
              <w:rPr>
                <w:b/>
                <w:bCs/>
                <w:sz w:val="17"/>
                <w:szCs w:val="17"/>
                <w:u w:val="single"/>
              </w:rPr>
            </w:pPr>
            <w:r>
              <w:rPr>
                <w:rFonts w:hint="cs"/>
                <w:b/>
                <w:bCs/>
                <w:sz w:val="17"/>
                <w:szCs w:val="17"/>
                <w:u w:val="single"/>
                <w:rtl/>
              </w:rPr>
              <w:t>هامش التدفقات النقدية</w:t>
            </w:r>
            <w:r>
              <w:rPr>
                <w:sz w:val="17"/>
                <w:szCs w:val="17"/>
              </w:rPr>
              <w:t xml:space="preserve"> </w:t>
            </w:r>
            <w:r w:rsidRPr="00155339">
              <w:rPr>
                <w:sz w:val="17"/>
                <w:szCs w:val="17"/>
                <w:vertAlign w:val="superscript"/>
              </w:rPr>
              <w:t>(</w:t>
            </w:r>
            <w:r w:rsidRPr="00155339">
              <w:rPr>
                <w:b/>
                <w:bCs/>
                <w:sz w:val="17"/>
                <w:szCs w:val="17"/>
                <w:vertAlign w:val="superscript"/>
              </w:rPr>
              <w:t>a</w:t>
            </w:r>
            <w:r w:rsidRPr="00155339">
              <w:rPr>
                <w:sz w:val="17"/>
                <w:szCs w:val="17"/>
                <w:vertAlign w:val="superscript"/>
              </w:rPr>
              <w:t xml:space="preserve"> over </w:t>
            </w:r>
            <w:r w:rsidRPr="00155339">
              <w:rPr>
                <w:b/>
                <w:bCs/>
                <w:sz w:val="17"/>
                <w:szCs w:val="17"/>
                <w:vertAlign w:val="superscript"/>
              </w:rPr>
              <w:t>b</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1FA2370F" w14:textId="77777777" w:rsidR="007355BA" w:rsidRPr="00E834EF" w:rsidRDefault="00E63A87" w:rsidP="007355BA">
            <w:pPr>
              <w:spacing w:before="40" w:after="40"/>
              <w:rPr>
                <w:sz w:val="17"/>
                <w:szCs w:val="17"/>
              </w:rPr>
            </w:pPr>
            <w:r>
              <w:rPr>
                <w:sz w:val="17"/>
                <w:szCs w:val="17"/>
              </w:rPr>
              <w:t>%</w:t>
            </w:r>
          </w:p>
        </w:tc>
        <w:tc>
          <w:tcPr>
            <w:tcW w:w="913" w:type="dxa"/>
            <w:tcBorders>
              <w:top w:val="single" w:sz="4" w:space="0" w:color="auto"/>
              <w:bottom w:val="double" w:sz="4" w:space="0" w:color="auto"/>
            </w:tcBorders>
          </w:tcPr>
          <w:p w14:paraId="2D26EB14" w14:textId="77777777" w:rsidR="007355BA" w:rsidRPr="00D4755F" w:rsidRDefault="00F557D3" w:rsidP="007355BA">
            <w:pPr>
              <w:spacing w:before="40" w:after="40"/>
              <w:jc w:val="right"/>
              <w:rPr>
                <w:b/>
                <w:bCs/>
                <w:color w:val="000000"/>
                <w:sz w:val="17"/>
                <w:szCs w:val="17"/>
              </w:rPr>
            </w:pPr>
            <w:r>
              <w:rPr>
                <w:b/>
                <w:bCs/>
                <w:sz w:val="17"/>
                <w:szCs w:val="17"/>
              </w:rPr>
              <w:t>37.0</w:t>
            </w:r>
          </w:p>
        </w:tc>
        <w:tc>
          <w:tcPr>
            <w:tcW w:w="252" w:type="dxa"/>
            <w:gridSpan w:val="2"/>
            <w:vAlign w:val="bottom"/>
          </w:tcPr>
          <w:p w14:paraId="491533AF" w14:textId="77777777" w:rsidR="007355BA" w:rsidRPr="00D4755F" w:rsidRDefault="007355BA" w:rsidP="007355BA">
            <w:pPr>
              <w:spacing w:before="40" w:after="40"/>
              <w:rPr>
                <w:b/>
                <w:bCs/>
                <w:color w:val="000000"/>
                <w:sz w:val="17"/>
                <w:szCs w:val="17"/>
              </w:rPr>
            </w:pPr>
            <w:r w:rsidRPr="00D4755F">
              <w:rPr>
                <w:b/>
                <w:bCs/>
                <w:sz w:val="17"/>
                <w:szCs w:val="17"/>
              </w:rPr>
              <w:t>%</w:t>
            </w:r>
          </w:p>
        </w:tc>
        <w:tc>
          <w:tcPr>
            <w:tcW w:w="924" w:type="dxa"/>
            <w:tcBorders>
              <w:top w:val="single" w:sz="4" w:space="0" w:color="auto"/>
              <w:bottom w:val="double" w:sz="4" w:space="0" w:color="auto"/>
            </w:tcBorders>
          </w:tcPr>
          <w:p w14:paraId="4D6C9D1C" w14:textId="6E67C8D1" w:rsidR="007355BA" w:rsidRPr="00D4755F" w:rsidRDefault="00EA7158" w:rsidP="007355BA">
            <w:pPr>
              <w:spacing w:before="40" w:after="40"/>
              <w:jc w:val="right"/>
              <w:rPr>
                <w:b/>
                <w:bCs/>
                <w:color w:val="000000"/>
                <w:sz w:val="17"/>
                <w:szCs w:val="17"/>
              </w:rPr>
            </w:pPr>
            <w:r>
              <w:rPr>
                <w:b/>
                <w:bCs/>
                <w:sz w:val="17"/>
                <w:szCs w:val="17"/>
              </w:rPr>
              <w:t>31.2</w:t>
            </w:r>
          </w:p>
        </w:tc>
        <w:tc>
          <w:tcPr>
            <w:tcW w:w="242" w:type="dxa"/>
            <w:vAlign w:val="bottom"/>
          </w:tcPr>
          <w:p w14:paraId="5AD42186" w14:textId="77777777" w:rsidR="007355BA" w:rsidRPr="00D4755F" w:rsidRDefault="007355BA" w:rsidP="007355BA">
            <w:pPr>
              <w:spacing w:before="40" w:after="40"/>
              <w:rPr>
                <w:b/>
                <w:bCs/>
                <w:color w:val="000000"/>
                <w:sz w:val="17"/>
                <w:szCs w:val="17"/>
              </w:rPr>
            </w:pPr>
            <w:r w:rsidRPr="00D4755F">
              <w:rPr>
                <w:b/>
                <w:bCs/>
                <w:sz w:val="17"/>
                <w:szCs w:val="17"/>
              </w:rPr>
              <w:t>%</w:t>
            </w:r>
          </w:p>
        </w:tc>
        <w:tc>
          <w:tcPr>
            <w:tcW w:w="924" w:type="dxa"/>
            <w:tcBorders>
              <w:top w:val="single" w:sz="4" w:space="0" w:color="auto"/>
              <w:bottom w:val="double" w:sz="4" w:space="0" w:color="auto"/>
            </w:tcBorders>
          </w:tcPr>
          <w:p w14:paraId="1716F02B" w14:textId="77777777" w:rsidR="007355BA" w:rsidRPr="00D4755F" w:rsidRDefault="00F557D3" w:rsidP="007355BA">
            <w:pPr>
              <w:spacing w:before="40" w:after="40"/>
              <w:jc w:val="right"/>
              <w:rPr>
                <w:b/>
                <w:bCs/>
                <w:color w:val="000000"/>
                <w:sz w:val="17"/>
                <w:szCs w:val="17"/>
              </w:rPr>
            </w:pPr>
            <w:r>
              <w:rPr>
                <w:b/>
                <w:bCs/>
                <w:sz w:val="17"/>
                <w:szCs w:val="17"/>
              </w:rPr>
              <w:t>64.5</w:t>
            </w:r>
          </w:p>
        </w:tc>
        <w:tc>
          <w:tcPr>
            <w:tcW w:w="242" w:type="dxa"/>
            <w:vAlign w:val="bottom"/>
          </w:tcPr>
          <w:p w14:paraId="660856F8" w14:textId="77777777" w:rsidR="007355BA" w:rsidRPr="00D4755F" w:rsidRDefault="007355BA" w:rsidP="007355BA">
            <w:pPr>
              <w:spacing w:before="40" w:after="40"/>
              <w:rPr>
                <w:b/>
                <w:bCs/>
                <w:sz w:val="17"/>
                <w:szCs w:val="17"/>
              </w:rPr>
            </w:pPr>
          </w:p>
        </w:tc>
        <w:tc>
          <w:tcPr>
            <w:tcW w:w="924" w:type="dxa"/>
            <w:tcBorders>
              <w:top w:val="single" w:sz="4" w:space="0" w:color="auto"/>
              <w:bottom w:val="double" w:sz="4" w:space="0" w:color="auto"/>
            </w:tcBorders>
            <w:vAlign w:val="bottom"/>
          </w:tcPr>
          <w:p w14:paraId="68FD4E85" w14:textId="77777777" w:rsidR="007355BA" w:rsidRPr="00D4755F" w:rsidRDefault="00792861" w:rsidP="007355BA">
            <w:pPr>
              <w:spacing w:before="40" w:after="40"/>
              <w:jc w:val="right"/>
              <w:rPr>
                <w:b/>
                <w:bCs/>
                <w:sz w:val="17"/>
                <w:szCs w:val="17"/>
              </w:rPr>
            </w:pPr>
            <w:r w:rsidRPr="007C450D">
              <w:rPr>
                <w:sz w:val="16"/>
                <w:szCs w:val="16"/>
              </w:rPr>
              <w:t>—</w:t>
            </w:r>
          </w:p>
        </w:tc>
        <w:tc>
          <w:tcPr>
            <w:tcW w:w="227" w:type="dxa"/>
            <w:vAlign w:val="bottom"/>
          </w:tcPr>
          <w:p w14:paraId="58BA29C5" w14:textId="77777777" w:rsidR="007355BA" w:rsidRPr="00D4755F" w:rsidRDefault="007355BA" w:rsidP="007355BA">
            <w:pPr>
              <w:spacing w:before="40" w:after="40"/>
              <w:rPr>
                <w:b/>
                <w:bCs/>
                <w:sz w:val="17"/>
                <w:szCs w:val="17"/>
              </w:rPr>
            </w:pPr>
            <w:r w:rsidRPr="00D4755F">
              <w:rPr>
                <w:b/>
                <w:bCs/>
                <w:sz w:val="17"/>
                <w:szCs w:val="17"/>
              </w:rPr>
              <w:t>%</w:t>
            </w:r>
          </w:p>
        </w:tc>
        <w:tc>
          <w:tcPr>
            <w:tcW w:w="939" w:type="dxa"/>
            <w:tcBorders>
              <w:top w:val="single" w:sz="4" w:space="0" w:color="auto"/>
              <w:bottom w:val="double" w:sz="4" w:space="0" w:color="auto"/>
            </w:tcBorders>
            <w:vAlign w:val="bottom"/>
          </w:tcPr>
          <w:p w14:paraId="78E14228" w14:textId="77777777" w:rsidR="007355BA" w:rsidRPr="00D4755F" w:rsidRDefault="007B67BD" w:rsidP="007355BA">
            <w:pPr>
              <w:spacing w:before="40" w:after="40"/>
              <w:jc w:val="right"/>
              <w:rPr>
                <w:b/>
                <w:bCs/>
                <w:sz w:val="17"/>
                <w:szCs w:val="17"/>
              </w:rPr>
            </w:pPr>
            <w:r>
              <w:rPr>
                <w:b/>
                <w:bCs/>
                <w:sz w:val="17"/>
                <w:szCs w:val="17"/>
              </w:rPr>
              <w:t>48.2</w:t>
            </w:r>
          </w:p>
        </w:tc>
        <w:tc>
          <w:tcPr>
            <w:tcW w:w="266" w:type="dxa"/>
            <w:vAlign w:val="bottom"/>
          </w:tcPr>
          <w:p w14:paraId="74B3DF54" w14:textId="77777777" w:rsidR="007355BA" w:rsidRPr="000D2863" w:rsidRDefault="007355BA" w:rsidP="007355BA">
            <w:pPr>
              <w:spacing w:before="40" w:after="40"/>
              <w:rPr>
                <w:b/>
                <w:bCs/>
                <w:sz w:val="17"/>
                <w:szCs w:val="17"/>
              </w:rPr>
            </w:pPr>
          </w:p>
        </w:tc>
      </w:tr>
    </w:tbl>
    <w:p w14:paraId="0ECB6BA0" w14:textId="77777777" w:rsidR="007355BA" w:rsidRDefault="007355BA" w:rsidP="007355BA">
      <w:pPr>
        <w:autoSpaceDE w:val="0"/>
        <w:autoSpaceDN w:val="0"/>
        <w:bidi/>
        <w:adjustRightInd w:val="0"/>
        <w:jc w:val="both"/>
        <w:rPr>
          <w:rFonts w:ascii="Traditional Arabic" w:hAnsi="Traditional Arabic" w:cs="Traditional Arabic"/>
          <w:sz w:val="30"/>
          <w:szCs w:val="30"/>
          <w:rtl/>
          <w:lang w:bidi="ar-EG"/>
        </w:rPr>
      </w:pPr>
    </w:p>
    <w:p w14:paraId="2CECA268" w14:textId="77777777" w:rsidR="00FD0841" w:rsidRDefault="00FD0841" w:rsidP="00FD0841">
      <w:pPr>
        <w:autoSpaceDE w:val="0"/>
        <w:autoSpaceDN w:val="0"/>
        <w:bidi/>
        <w:adjustRightInd w:val="0"/>
        <w:jc w:val="both"/>
        <w:rPr>
          <w:rFonts w:ascii="Traditional Arabic" w:hAnsi="Traditional Arabic" w:cs="Traditional Arabic"/>
          <w:sz w:val="30"/>
          <w:szCs w:val="30"/>
          <w:rtl/>
          <w:lang w:bidi="ar-EG"/>
        </w:rPr>
      </w:pPr>
      <w:r w:rsidRPr="00FD0841">
        <w:rPr>
          <w:rFonts w:ascii="Traditional Arabic" w:hAnsi="Traditional Arabic" w:cs="Traditional Arabic"/>
          <w:sz w:val="30"/>
          <w:szCs w:val="30"/>
          <w:rtl/>
          <w:lang w:bidi="ar-EG"/>
        </w:rPr>
        <w:t>(10)</w:t>
      </w:r>
      <w:r w:rsidRPr="00FD0841">
        <w:rPr>
          <w:rFonts w:ascii="Traditional Arabic" w:hAnsi="Traditional Arabic" w:cs="Traditional Arabic"/>
          <w:sz w:val="30"/>
          <w:szCs w:val="30"/>
          <w:rtl/>
          <w:lang w:bidi="ar-EG"/>
        </w:rPr>
        <w:tab/>
        <w:t xml:space="preserve">يوضح الجدول التالي تسوية صافي الدين (باستثناء عقود الإيجار) وصافي الرافعة المالية للبنود ذات الصلة في بيان المركز المالي الموحد في البيانات المالية (بالإشارة إلى الأرباح المعدلة قبل حساب الفوائد والضرائب والإهلاك والإطفاء حسب تسويتها في الجدول في الملاحظة </w:t>
      </w:r>
      <w:r>
        <w:rPr>
          <w:rFonts w:ascii="Traditional Arabic" w:hAnsi="Traditional Arabic" w:cs="Traditional Arabic" w:hint="cs"/>
          <w:sz w:val="30"/>
          <w:szCs w:val="30"/>
          <w:rtl/>
          <w:lang w:bidi="ar-EG"/>
        </w:rPr>
        <w:t>3</w:t>
      </w:r>
      <w:r w:rsidRPr="00FD0841">
        <w:rPr>
          <w:rFonts w:ascii="Traditional Arabic" w:hAnsi="Traditional Arabic" w:cs="Traditional Arabic"/>
          <w:sz w:val="30"/>
          <w:szCs w:val="30"/>
          <w:rtl/>
          <w:lang w:bidi="ar-EG"/>
        </w:rPr>
        <w:t xml:space="preserve"> أعلاه) للفترات المشار إليها:</w:t>
      </w:r>
    </w:p>
    <w:p w14:paraId="0D1F3BFD" w14:textId="77777777" w:rsidR="00FD0841" w:rsidRDefault="00FD0841" w:rsidP="00FD0841">
      <w:pPr>
        <w:autoSpaceDE w:val="0"/>
        <w:autoSpaceDN w:val="0"/>
        <w:bidi/>
        <w:adjustRightInd w:val="0"/>
        <w:jc w:val="both"/>
        <w:rPr>
          <w:rFonts w:ascii="Traditional Arabic" w:hAnsi="Traditional Arabic" w:cs="Traditional Arabic"/>
          <w:sz w:val="30"/>
          <w:szCs w:val="30"/>
          <w:rtl/>
          <w:lang w:bidi="ar-EG"/>
        </w:rPr>
      </w:pPr>
    </w:p>
    <w:tbl>
      <w:tblPr>
        <w:tblStyle w:val="TableGrid"/>
        <w:bidiVisual/>
        <w:tblW w:w="934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3254"/>
        <w:gridCol w:w="242"/>
        <w:gridCol w:w="913"/>
        <w:gridCol w:w="10"/>
        <w:gridCol w:w="242"/>
        <w:gridCol w:w="924"/>
        <w:gridCol w:w="242"/>
        <w:gridCol w:w="924"/>
        <w:gridCol w:w="242"/>
        <w:gridCol w:w="924"/>
        <w:gridCol w:w="227"/>
        <w:gridCol w:w="939"/>
        <w:gridCol w:w="266"/>
      </w:tblGrid>
      <w:tr w:rsidR="007355BA" w:rsidRPr="007C450D" w14:paraId="731886D7" w14:textId="77777777" w:rsidTr="008C57E0">
        <w:trPr>
          <w:tblHeader/>
        </w:trPr>
        <w:tc>
          <w:tcPr>
            <w:tcW w:w="3254" w:type="dxa"/>
          </w:tcPr>
          <w:p w14:paraId="024D01FA" w14:textId="77777777" w:rsidR="007355BA" w:rsidRPr="007C450D" w:rsidRDefault="007355BA" w:rsidP="007355BA">
            <w:pPr>
              <w:keepNext/>
              <w:bidi/>
              <w:spacing w:before="40" w:after="120"/>
              <w:rPr>
                <w:b/>
                <w:sz w:val="16"/>
                <w:szCs w:val="16"/>
              </w:rPr>
            </w:pPr>
          </w:p>
        </w:tc>
        <w:tc>
          <w:tcPr>
            <w:tcW w:w="242" w:type="dxa"/>
          </w:tcPr>
          <w:p w14:paraId="5F51759D" w14:textId="77777777" w:rsidR="007355BA" w:rsidRPr="007C450D" w:rsidRDefault="007355BA" w:rsidP="007355BA">
            <w:pPr>
              <w:spacing w:before="40" w:after="40"/>
              <w:rPr>
                <w:sz w:val="16"/>
                <w:szCs w:val="16"/>
              </w:rPr>
            </w:pPr>
          </w:p>
        </w:tc>
        <w:tc>
          <w:tcPr>
            <w:tcW w:w="3255" w:type="dxa"/>
            <w:gridSpan w:val="6"/>
          </w:tcPr>
          <w:p w14:paraId="5319DECE" w14:textId="77777777" w:rsidR="007355BA" w:rsidRPr="007C450D" w:rsidRDefault="007355BA" w:rsidP="007355BA">
            <w:pPr>
              <w:keepNext/>
              <w:spacing w:before="40" w:after="120"/>
              <w:jc w:val="center"/>
              <w:rPr>
                <w:b/>
                <w:sz w:val="16"/>
                <w:szCs w:val="16"/>
              </w:rPr>
            </w:pPr>
            <w:r w:rsidRPr="007C450D">
              <w:rPr>
                <w:b/>
                <w:sz w:val="16"/>
                <w:szCs w:val="16"/>
              </w:rPr>
              <w:t>Year Ended 31 December</w:t>
            </w:r>
          </w:p>
        </w:tc>
        <w:tc>
          <w:tcPr>
            <w:tcW w:w="242" w:type="dxa"/>
          </w:tcPr>
          <w:p w14:paraId="22855C5B" w14:textId="77777777" w:rsidR="007355BA" w:rsidRPr="007C450D" w:rsidRDefault="007355BA" w:rsidP="007355BA">
            <w:pPr>
              <w:spacing w:before="40" w:after="40"/>
              <w:rPr>
                <w:sz w:val="16"/>
                <w:szCs w:val="16"/>
              </w:rPr>
            </w:pPr>
          </w:p>
        </w:tc>
        <w:tc>
          <w:tcPr>
            <w:tcW w:w="2090" w:type="dxa"/>
            <w:gridSpan w:val="3"/>
          </w:tcPr>
          <w:p w14:paraId="7134C887" w14:textId="77777777" w:rsidR="007355BA" w:rsidRPr="007C450D" w:rsidRDefault="007355BA" w:rsidP="007355BA">
            <w:pPr>
              <w:keepNext/>
              <w:spacing w:before="40" w:after="120"/>
              <w:jc w:val="center"/>
              <w:rPr>
                <w:b/>
                <w:sz w:val="16"/>
                <w:szCs w:val="16"/>
              </w:rPr>
            </w:pPr>
            <w:r w:rsidRPr="007C450D">
              <w:rPr>
                <w:b/>
                <w:sz w:val="16"/>
                <w:szCs w:val="16"/>
              </w:rPr>
              <w:t>Nine Months Ended 30 September</w:t>
            </w:r>
          </w:p>
        </w:tc>
        <w:tc>
          <w:tcPr>
            <w:tcW w:w="266" w:type="dxa"/>
          </w:tcPr>
          <w:p w14:paraId="10FDC919" w14:textId="77777777" w:rsidR="007355BA" w:rsidRPr="007C450D" w:rsidRDefault="007355BA" w:rsidP="007355BA">
            <w:pPr>
              <w:keepNext/>
              <w:spacing w:before="40" w:after="120"/>
              <w:jc w:val="center"/>
              <w:rPr>
                <w:b/>
                <w:sz w:val="16"/>
                <w:szCs w:val="16"/>
              </w:rPr>
            </w:pPr>
          </w:p>
        </w:tc>
      </w:tr>
      <w:tr w:rsidR="007355BA" w:rsidRPr="007C450D" w14:paraId="5719A3DA" w14:textId="77777777" w:rsidTr="008C57E0">
        <w:trPr>
          <w:tblHeader/>
        </w:trPr>
        <w:tc>
          <w:tcPr>
            <w:tcW w:w="3254" w:type="dxa"/>
          </w:tcPr>
          <w:p w14:paraId="0EF9E03E" w14:textId="77777777" w:rsidR="007355BA" w:rsidRPr="007C450D" w:rsidRDefault="007355BA" w:rsidP="007355BA">
            <w:pPr>
              <w:keepNext/>
              <w:bidi/>
              <w:spacing w:before="40" w:after="120"/>
              <w:rPr>
                <w:b/>
                <w:sz w:val="16"/>
                <w:szCs w:val="16"/>
              </w:rPr>
            </w:pPr>
          </w:p>
        </w:tc>
        <w:tc>
          <w:tcPr>
            <w:tcW w:w="242" w:type="dxa"/>
          </w:tcPr>
          <w:p w14:paraId="231C6100" w14:textId="77777777" w:rsidR="007355BA" w:rsidRPr="007C450D" w:rsidRDefault="007355BA" w:rsidP="007355BA">
            <w:pPr>
              <w:spacing w:before="40" w:after="40"/>
              <w:rPr>
                <w:sz w:val="16"/>
                <w:szCs w:val="16"/>
              </w:rPr>
            </w:pPr>
          </w:p>
        </w:tc>
        <w:tc>
          <w:tcPr>
            <w:tcW w:w="923" w:type="dxa"/>
            <w:gridSpan w:val="2"/>
          </w:tcPr>
          <w:p w14:paraId="12C1F280" w14:textId="77777777" w:rsidR="007355BA" w:rsidRPr="007C450D" w:rsidRDefault="007355BA" w:rsidP="007355BA">
            <w:pPr>
              <w:keepNext/>
              <w:spacing w:before="40" w:after="120"/>
              <w:jc w:val="right"/>
              <w:rPr>
                <w:b/>
                <w:sz w:val="16"/>
                <w:szCs w:val="16"/>
              </w:rPr>
            </w:pPr>
            <w:r w:rsidRPr="007C450D">
              <w:rPr>
                <w:b/>
                <w:sz w:val="16"/>
                <w:szCs w:val="16"/>
              </w:rPr>
              <w:t>2021</w:t>
            </w:r>
          </w:p>
        </w:tc>
        <w:tc>
          <w:tcPr>
            <w:tcW w:w="242" w:type="dxa"/>
          </w:tcPr>
          <w:p w14:paraId="3580E680" w14:textId="77777777" w:rsidR="007355BA" w:rsidRPr="007C450D" w:rsidRDefault="007355BA" w:rsidP="007355BA">
            <w:pPr>
              <w:spacing w:before="40" w:after="40"/>
              <w:rPr>
                <w:sz w:val="16"/>
                <w:szCs w:val="16"/>
              </w:rPr>
            </w:pPr>
          </w:p>
        </w:tc>
        <w:tc>
          <w:tcPr>
            <w:tcW w:w="924" w:type="dxa"/>
          </w:tcPr>
          <w:p w14:paraId="2D1799B6" w14:textId="77777777" w:rsidR="007355BA" w:rsidRPr="007C450D" w:rsidRDefault="007355BA" w:rsidP="007355BA">
            <w:pPr>
              <w:keepNext/>
              <w:spacing w:before="40" w:after="120"/>
              <w:jc w:val="right"/>
              <w:rPr>
                <w:b/>
                <w:sz w:val="16"/>
                <w:szCs w:val="16"/>
              </w:rPr>
            </w:pPr>
            <w:r w:rsidRPr="007C450D">
              <w:rPr>
                <w:b/>
                <w:sz w:val="16"/>
                <w:szCs w:val="16"/>
              </w:rPr>
              <w:t>2022</w:t>
            </w:r>
          </w:p>
        </w:tc>
        <w:tc>
          <w:tcPr>
            <w:tcW w:w="242" w:type="dxa"/>
          </w:tcPr>
          <w:p w14:paraId="7D70B374" w14:textId="77777777" w:rsidR="007355BA" w:rsidRPr="007C450D" w:rsidRDefault="007355BA" w:rsidP="007355BA">
            <w:pPr>
              <w:spacing w:before="40" w:after="40"/>
              <w:rPr>
                <w:sz w:val="16"/>
                <w:szCs w:val="16"/>
              </w:rPr>
            </w:pPr>
          </w:p>
        </w:tc>
        <w:tc>
          <w:tcPr>
            <w:tcW w:w="924" w:type="dxa"/>
          </w:tcPr>
          <w:p w14:paraId="67A16F43" w14:textId="77777777" w:rsidR="007355BA" w:rsidRPr="007C450D" w:rsidRDefault="007355BA" w:rsidP="007355BA">
            <w:pPr>
              <w:keepNext/>
              <w:spacing w:before="40" w:after="120"/>
              <w:jc w:val="right"/>
              <w:rPr>
                <w:b/>
                <w:sz w:val="16"/>
                <w:szCs w:val="16"/>
              </w:rPr>
            </w:pPr>
            <w:r w:rsidRPr="007C450D">
              <w:rPr>
                <w:b/>
                <w:sz w:val="16"/>
                <w:szCs w:val="16"/>
              </w:rPr>
              <w:t>2023</w:t>
            </w:r>
          </w:p>
        </w:tc>
        <w:tc>
          <w:tcPr>
            <w:tcW w:w="242" w:type="dxa"/>
          </w:tcPr>
          <w:p w14:paraId="37363C93" w14:textId="77777777" w:rsidR="007355BA" w:rsidRPr="007C450D" w:rsidRDefault="007355BA" w:rsidP="007355BA">
            <w:pPr>
              <w:spacing w:before="40" w:after="40"/>
              <w:rPr>
                <w:sz w:val="16"/>
                <w:szCs w:val="16"/>
              </w:rPr>
            </w:pPr>
          </w:p>
        </w:tc>
        <w:tc>
          <w:tcPr>
            <w:tcW w:w="924" w:type="dxa"/>
          </w:tcPr>
          <w:p w14:paraId="36BEA812" w14:textId="77777777" w:rsidR="007355BA" w:rsidRPr="007C450D" w:rsidRDefault="007355BA" w:rsidP="007355BA">
            <w:pPr>
              <w:keepNext/>
              <w:spacing w:before="40" w:after="120"/>
              <w:jc w:val="right"/>
              <w:rPr>
                <w:b/>
                <w:sz w:val="16"/>
                <w:szCs w:val="16"/>
              </w:rPr>
            </w:pPr>
            <w:r w:rsidRPr="007C450D">
              <w:rPr>
                <w:b/>
                <w:sz w:val="16"/>
                <w:szCs w:val="16"/>
              </w:rPr>
              <w:t>2023</w:t>
            </w:r>
          </w:p>
        </w:tc>
        <w:tc>
          <w:tcPr>
            <w:tcW w:w="227" w:type="dxa"/>
          </w:tcPr>
          <w:p w14:paraId="4B429E1E" w14:textId="77777777" w:rsidR="007355BA" w:rsidRPr="007C450D" w:rsidRDefault="007355BA" w:rsidP="007355BA">
            <w:pPr>
              <w:spacing w:before="40" w:after="40"/>
              <w:rPr>
                <w:sz w:val="16"/>
                <w:szCs w:val="16"/>
              </w:rPr>
            </w:pPr>
          </w:p>
        </w:tc>
        <w:tc>
          <w:tcPr>
            <w:tcW w:w="939" w:type="dxa"/>
          </w:tcPr>
          <w:p w14:paraId="55B8CE19" w14:textId="77777777" w:rsidR="007355BA" w:rsidRPr="007C450D" w:rsidRDefault="007355BA" w:rsidP="007355BA">
            <w:pPr>
              <w:keepNext/>
              <w:spacing w:before="40" w:after="120"/>
              <w:jc w:val="right"/>
              <w:rPr>
                <w:b/>
                <w:sz w:val="16"/>
                <w:szCs w:val="16"/>
              </w:rPr>
            </w:pPr>
            <w:r w:rsidRPr="007C450D">
              <w:rPr>
                <w:b/>
                <w:sz w:val="16"/>
                <w:szCs w:val="16"/>
              </w:rPr>
              <w:t>2024</w:t>
            </w:r>
          </w:p>
        </w:tc>
        <w:tc>
          <w:tcPr>
            <w:tcW w:w="266" w:type="dxa"/>
          </w:tcPr>
          <w:p w14:paraId="2DC76FD2" w14:textId="77777777" w:rsidR="007355BA" w:rsidRPr="007C450D" w:rsidRDefault="007355BA" w:rsidP="007355BA">
            <w:pPr>
              <w:keepNext/>
              <w:spacing w:before="40" w:after="120"/>
              <w:jc w:val="right"/>
              <w:rPr>
                <w:b/>
                <w:sz w:val="16"/>
                <w:szCs w:val="16"/>
              </w:rPr>
            </w:pPr>
          </w:p>
        </w:tc>
      </w:tr>
      <w:tr w:rsidR="007355BA" w:rsidRPr="007C450D" w14:paraId="24019F26" w14:textId="77777777" w:rsidTr="008C57E0">
        <w:trPr>
          <w:trHeight w:val="215"/>
          <w:tblHeader/>
        </w:trPr>
        <w:tc>
          <w:tcPr>
            <w:tcW w:w="3254" w:type="dxa"/>
          </w:tcPr>
          <w:p w14:paraId="0DAFD6DD" w14:textId="77777777" w:rsidR="007355BA" w:rsidRPr="007C450D" w:rsidRDefault="007355BA" w:rsidP="007355BA">
            <w:pPr>
              <w:keepNext/>
              <w:bidi/>
              <w:spacing w:before="40" w:after="120"/>
              <w:jc w:val="center"/>
              <w:rPr>
                <w:i/>
                <w:sz w:val="16"/>
                <w:szCs w:val="16"/>
              </w:rPr>
            </w:pPr>
          </w:p>
        </w:tc>
        <w:tc>
          <w:tcPr>
            <w:tcW w:w="242" w:type="dxa"/>
          </w:tcPr>
          <w:p w14:paraId="2DD288A5" w14:textId="77777777" w:rsidR="007355BA" w:rsidRPr="007C450D" w:rsidRDefault="007355BA" w:rsidP="007355BA">
            <w:pPr>
              <w:keepNext/>
              <w:spacing w:before="40" w:after="120"/>
              <w:jc w:val="center"/>
              <w:rPr>
                <w:i/>
                <w:sz w:val="16"/>
                <w:szCs w:val="16"/>
              </w:rPr>
            </w:pPr>
          </w:p>
        </w:tc>
        <w:tc>
          <w:tcPr>
            <w:tcW w:w="5587" w:type="dxa"/>
            <w:gridSpan w:val="10"/>
          </w:tcPr>
          <w:p w14:paraId="00D0E9CD" w14:textId="77777777" w:rsidR="007355BA" w:rsidRPr="007C450D" w:rsidRDefault="007355BA" w:rsidP="007355BA">
            <w:pPr>
              <w:keepNext/>
              <w:spacing w:before="40" w:after="120"/>
              <w:jc w:val="center"/>
              <w:rPr>
                <w:i/>
                <w:sz w:val="16"/>
                <w:szCs w:val="16"/>
              </w:rPr>
            </w:pPr>
            <w:r w:rsidRPr="007C450D">
              <w:rPr>
                <w:i/>
                <w:color w:val="000000"/>
                <w:sz w:val="16"/>
                <w:szCs w:val="16"/>
              </w:rPr>
              <w:t>(</w:t>
            </w:r>
            <w:r w:rsidRPr="007C450D">
              <w:rPr>
                <w:i/>
                <w:iCs/>
                <w:sz w:val="16"/>
                <w:szCs w:val="16"/>
              </w:rPr>
              <w:t xml:space="preserve">U.S.$ </w:t>
            </w:r>
            <w:r w:rsidRPr="007C450D">
              <w:rPr>
                <w:i/>
                <w:color w:val="000000"/>
                <w:sz w:val="16"/>
                <w:szCs w:val="16"/>
              </w:rPr>
              <w:t>millions, except percentages)</w:t>
            </w:r>
          </w:p>
        </w:tc>
        <w:tc>
          <w:tcPr>
            <w:tcW w:w="266" w:type="dxa"/>
            <w:vAlign w:val="bottom"/>
          </w:tcPr>
          <w:p w14:paraId="69A6185D" w14:textId="77777777" w:rsidR="007355BA" w:rsidRPr="007C450D" w:rsidRDefault="007355BA" w:rsidP="007355BA">
            <w:pPr>
              <w:keepNext/>
              <w:spacing w:before="40" w:after="120"/>
              <w:rPr>
                <w:i/>
                <w:color w:val="000000"/>
                <w:sz w:val="16"/>
                <w:szCs w:val="16"/>
              </w:rPr>
            </w:pPr>
          </w:p>
        </w:tc>
      </w:tr>
      <w:tr w:rsidR="007355BA" w:rsidRPr="007C450D" w14:paraId="6ED089C2" w14:textId="77777777" w:rsidTr="008C57E0">
        <w:tc>
          <w:tcPr>
            <w:tcW w:w="3254" w:type="dxa"/>
            <w:vAlign w:val="bottom"/>
          </w:tcPr>
          <w:p w14:paraId="6D43414E" w14:textId="77777777" w:rsidR="007355BA" w:rsidRPr="007C450D" w:rsidRDefault="007355BA" w:rsidP="007355BA">
            <w:pPr>
              <w:tabs>
                <w:tab w:val="right" w:leader="dot" w:pos="3255"/>
              </w:tabs>
              <w:bidi/>
              <w:spacing w:before="40" w:after="40"/>
              <w:ind w:left="357"/>
              <w:rPr>
                <w:sz w:val="16"/>
                <w:szCs w:val="16"/>
              </w:rPr>
            </w:pPr>
            <w:r>
              <w:rPr>
                <w:rFonts w:hint="cs"/>
                <w:sz w:val="17"/>
                <w:szCs w:val="17"/>
                <w:rtl/>
              </w:rPr>
              <w:t xml:space="preserve">القروض والاقتراض </w:t>
            </w:r>
            <w:r>
              <w:rPr>
                <w:sz w:val="17"/>
                <w:szCs w:val="17"/>
                <w:rtl/>
              </w:rPr>
              <w:t>–</w:t>
            </w:r>
            <w:r>
              <w:rPr>
                <w:rFonts w:hint="cs"/>
                <w:sz w:val="17"/>
                <w:szCs w:val="17"/>
                <w:rtl/>
              </w:rPr>
              <w:t xml:space="preserve"> غير متداول</w:t>
            </w:r>
            <w:r w:rsidRPr="00E754AA">
              <w:rPr>
                <w:sz w:val="17"/>
                <w:szCs w:val="17"/>
              </w:rPr>
              <w:tab/>
            </w:r>
          </w:p>
        </w:tc>
        <w:tc>
          <w:tcPr>
            <w:tcW w:w="242" w:type="dxa"/>
            <w:vAlign w:val="bottom"/>
          </w:tcPr>
          <w:p w14:paraId="482D38A2" w14:textId="77777777" w:rsidR="007355BA" w:rsidRPr="007C450D" w:rsidRDefault="007355BA" w:rsidP="007355BA">
            <w:pPr>
              <w:spacing w:before="40" w:after="40"/>
              <w:rPr>
                <w:sz w:val="16"/>
                <w:szCs w:val="16"/>
              </w:rPr>
            </w:pPr>
          </w:p>
        </w:tc>
        <w:tc>
          <w:tcPr>
            <w:tcW w:w="913" w:type="dxa"/>
            <w:vAlign w:val="bottom"/>
          </w:tcPr>
          <w:p w14:paraId="09E27CE4" w14:textId="77777777" w:rsidR="007355BA" w:rsidRPr="007C450D" w:rsidRDefault="007355BA" w:rsidP="007355BA">
            <w:pPr>
              <w:spacing w:before="40" w:after="40"/>
              <w:jc w:val="right"/>
              <w:rPr>
                <w:color w:val="000000"/>
                <w:sz w:val="16"/>
                <w:szCs w:val="16"/>
              </w:rPr>
            </w:pPr>
            <w:r w:rsidRPr="007C450D">
              <w:rPr>
                <w:sz w:val="16"/>
                <w:szCs w:val="16"/>
              </w:rPr>
              <w:t>1,437.7</w:t>
            </w:r>
          </w:p>
        </w:tc>
        <w:tc>
          <w:tcPr>
            <w:tcW w:w="252" w:type="dxa"/>
            <w:gridSpan w:val="2"/>
            <w:vAlign w:val="bottom"/>
          </w:tcPr>
          <w:p w14:paraId="50DDE8BB" w14:textId="77777777" w:rsidR="007355BA" w:rsidRPr="007C450D" w:rsidRDefault="007355BA" w:rsidP="007355BA">
            <w:pPr>
              <w:spacing w:before="40" w:after="40"/>
              <w:rPr>
                <w:color w:val="000000"/>
                <w:sz w:val="16"/>
                <w:szCs w:val="16"/>
              </w:rPr>
            </w:pPr>
          </w:p>
        </w:tc>
        <w:tc>
          <w:tcPr>
            <w:tcW w:w="924" w:type="dxa"/>
            <w:vAlign w:val="bottom"/>
          </w:tcPr>
          <w:p w14:paraId="6C3626B9" w14:textId="77777777" w:rsidR="007355BA" w:rsidRPr="007C450D" w:rsidRDefault="007355BA" w:rsidP="007355BA">
            <w:pPr>
              <w:spacing w:before="40" w:after="40"/>
              <w:jc w:val="right"/>
              <w:rPr>
                <w:color w:val="000000"/>
                <w:sz w:val="16"/>
                <w:szCs w:val="16"/>
              </w:rPr>
            </w:pPr>
            <w:r w:rsidRPr="007C450D">
              <w:rPr>
                <w:sz w:val="16"/>
                <w:szCs w:val="16"/>
              </w:rPr>
              <w:t>1,304.2</w:t>
            </w:r>
          </w:p>
        </w:tc>
        <w:tc>
          <w:tcPr>
            <w:tcW w:w="242" w:type="dxa"/>
            <w:vAlign w:val="bottom"/>
          </w:tcPr>
          <w:p w14:paraId="74786A69" w14:textId="77777777" w:rsidR="007355BA" w:rsidRPr="007C450D" w:rsidRDefault="007355BA" w:rsidP="007355BA">
            <w:pPr>
              <w:spacing w:before="40" w:after="40"/>
              <w:rPr>
                <w:color w:val="000000"/>
                <w:sz w:val="16"/>
                <w:szCs w:val="16"/>
              </w:rPr>
            </w:pPr>
          </w:p>
        </w:tc>
        <w:tc>
          <w:tcPr>
            <w:tcW w:w="924" w:type="dxa"/>
          </w:tcPr>
          <w:p w14:paraId="4A972ADD" w14:textId="77777777" w:rsidR="007355BA" w:rsidRPr="007C450D" w:rsidRDefault="007355BA" w:rsidP="007355BA">
            <w:pPr>
              <w:spacing w:before="40" w:after="40"/>
              <w:jc w:val="right"/>
              <w:rPr>
                <w:color w:val="000000"/>
                <w:sz w:val="16"/>
                <w:szCs w:val="16"/>
              </w:rPr>
            </w:pPr>
            <w:r w:rsidRPr="007C450D">
              <w:rPr>
                <w:sz w:val="16"/>
                <w:szCs w:val="16"/>
              </w:rPr>
              <w:t>1,132.3</w:t>
            </w:r>
          </w:p>
        </w:tc>
        <w:tc>
          <w:tcPr>
            <w:tcW w:w="242" w:type="dxa"/>
            <w:vAlign w:val="bottom"/>
          </w:tcPr>
          <w:p w14:paraId="24544FB5" w14:textId="77777777" w:rsidR="007355BA" w:rsidRPr="007C450D" w:rsidRDefault="007355BA" w:rsidP="007355BA">
            <w:pPr>
              <w:spacing w:before="40" w:after="40"/>
              <w:rPr>
                <w:sz w:val="16"/>
                <w:szCs w:val="16"/>
              </w:rPr>
            </w:pPr>
          </w:p>
        </w:tc>
        <w:tc>
          <w:tcPr>
            <w:tcW w:w="924" w:type="dxa"/>
          </w:tcPr>
          <w:p w14:paraId="51828A0D" w14:textId="77777777" w:rsidR="007355BA" w:rsidRPr="007C450D" w:rsidRDefault="007355BA" w:rsidP="007355BA">
            <w:pPr>
              <w:spacing w:before="40" w:after="40"/>
              <w:jc w:val="right"/>
              <w:rPr>
                <w:sz w:val="16"/>
                <w:szCs w:val="16"/>
              </w:rPr>
            </w:pPr>
            <w:r w:rsidRPr="007C450D">
              <w:rPr>
                <w:sz w:val="16"/>
                <w:szCs w:val="16"/>
              </w:rPr>
              <w:t>—</w:t>
            </w:r>
          </w:p>
        </w:tc>
        <w:tc>
          <w:tcPr>
            <w:tcW w:w="227" w:type="dxa"/>
            <w:vAlign w:val="bottom"/>
          </w:tcPr>
          <w:p w14:paraId="17F6F083" w14:textId="77777777" w:rsidR="007355BA" w:rsidRPr="007C450D" w:rsidRDefault="007355BA" w:rsidP="007355BA">
            <w:pPr>
              <w:spacing w:before="40" w:after="40"/>
              <w:rPr>
                <w:sz w:val="16"/>
                <w:szCs w:val="16"/>
              </w:rPr>
            </w:pPr>
          </w:p>
        </w:tc>
        <w:tc>
          <w:tcPr>
            <w:tcW w:w="939" w:type="dxa"/>
            <w:vAlign w:val="bottom"/>
          </w:tcPr>
          <w:p w14:paraId="7775989E" w14:textId="77777777" w:rsidR="007355BA" w:rsidRPr="007C450D" w:rsidRDefault="007355BA" w:rsidP="007355BA">
            <w:pPr>
              <w:spacing w:before="40" w:after="40"/>
              <w:jc w:val="right"/>
              <w:rPr>
                <w:sz w:val="16"/>
                <w:szCs w:val="16"/>
              </w:rPr>
            </w:pPr>
            <w:r w:rsidRPr="007C450D">
              <w:rPr>
                <w:sz w:val="16"/>
                <w:szCs w:val="16"/>
              </w:rPr>
              <w:t>1,071.0</w:t>
            </w:r>
          </w:p>
        </w:tc>
        <w:tc>
          <w:tcPr>
            <w:tcW w:w="266" w:type="dxa"/>
            <w:vAlign w:val="bottom"/>
          </w:tcPr>
          <w:p w14:paraId="756CED17" w14:textId="77777777" w:rsidR="007355BA" w:rsidRPr="007C450D" w:rsidRDefault="007355BA" w:rsidP="007355BA">
            <w:pPr>
              <w:spacing w:before="40" w:after="40"/>
              <w:rPr>
                <w:sz w:val="16"/>
                <w:szCs w:val="16"/>
              </w:rPr>
            </w:pPr>
          </w:p>
        </w:tc>
      </w:tr>
      <w:tr w:rsidR="007355BA" w:rsidRPr="007C450D" w14:paraId="387D714E" w14:textId="77777777" w:rsidTr="008C57E0">
        <w:tc>
          <w:tcPr>
            <w:tcW w:w="3254" w:type="dxa"/>
            <w:vAlign w:val="center"/>
          </w:tcPr>
          <w:p w14:paraId="5141C1CD" w14:textId="77777777" w:rsidR="007355BA" w:rsidRPr="007C450D" w:rsidRDefault="007355BA" w:rsidP="007355BA">
            <w:pPr>
              <w:tabs>
                <w:tab w:val="right" w:leader="dot" w:pos="3255"/>
              </w:tabs>
              <w:bidi/>
              <w:spacing w:before="40" w:after="40"/>
              <w:ind w:left="357"/>
              <w:rPr>
                <w:sz w:val="16"/>
                <w:szCs w:val="16"/>
              </w:rPr>
            </w:pPr>
            <w:r>
              <w:rPr>
                <w:rFonts w:hint="cs"/>
                <w:sz w:val="17"/>
                <w:szCs w:val="17"/>
                <w:rtl/>
              </w:rPr>
              <w:t>القروض والاقتراض - متداول</w:t>
            </w:r>
            <w:r w:rsidRPr="0054596C">
              <w:rPr>
                <w:sz w:val="17"/>
              </w:rPr>
              <w:tab/>
            </w:r>
          </w:p>
        </w:tc>
        <w:tc>
          <w:tcPr>
            <w:tcW w:w="242" w:type="dxa"/>
            <w:vAlign w:val="bottom"/>
          </w:tcPr>
          <w:p w14:paraId="62B4A5B8" w14:textId="77777777" w:rsidR="007355BA" w:rsidRPr="007C450D" w:rsidRDefault="007355BA" w:rsidP="007355BA">
            <w:pPr>
              <w:spacing w:before="40" w:after="40"/>
              <w:rPr>
                <w:sz w:val="16"/>
                <w:szCs w:val="16"/>
              </w:rPr>
            </w:pPr>
          </w:p>
        </w:tc>
        <w:tc>
          <w:tcPr>
            <w:tcW w:w="913" w:type="dxa"/>
            <w:vAlign w:val="bottom"/>
          </w:tcPr>
          <w:p w14:paraId="4746724A" w14:textId="77777777" w:rsidR="007355BA" w:rsidRPr="007C450D" w:rsidRDefault="007355BA" w:rsidP="007355BA">
            <w:pPr>
              <w:spacing w:before="40" w:after="40"/>
              <w:jc w:val="right"/>
              <w:rPr>
                <w:color w:val="000000"/>
                <w:sz w:val="16"/>
                <w:szCs w:val="16"/>
              </w:rPr>
            </w:pPr>
            <w:r w:rsidRPr="007C450D">
              <w:rPr>
                <w:sz w:val="16"/>
                <w:szCs w:val="16"/>
              </w:rPr>
              <w:t>178.4</w:t>
            </w:r>
          </w:p>
        </w:tc>
        <w:tc>
          <w:tcPr>
            <w:tcW w:w="252" w:type="dxa"/>
            <w:gridSpan w:val="2"/>
            <w:vAlign w:val="bottom"/>
          </w:tcPr>
          <w:p w14:paraId="749B50AE" w14:textId="77777777" w:rsidR="007355BA" w:rsidRPr="007C450D" w:rsidRDefault="007355BA" w:rsidP="007355BA">
            <w:pPr>
              <w:spacing w:before="40" w:after="40"/>
              <w:rPr>
                <w:color w:val="000000"/>
                <w:sz w:val="16"/>
                <w:szCs w:val="16"/>
              </w:rPr>
            </w:pPr>
          </w:p>
        </w:tc>
        <w:tc>
          <w:tcPr>
            <w:tcW w:w="924" w:type="dxa"/>
            <w:vAlign w:val="bottom"/>
          </w:tcPr>
          <w:p w14:paraId="05730E36" w14:textId="77777777" w:rsidR="007355BA" w:rsidRPr="007C450D" w:rsidRDefault="007355BA" w:rsidP="007355BA">
            <w:pPr>
              <w:spacing w:before="40" w:after="40"/>
              <w:jc w:val="right"/>
              <w:rPr>
                <w:color w:val="000000"/>
                <w:sz w:val="16"/>
                <w:szCs w:val="16"/>
              </w:rPr>
            </w:pPr>
            <w:r w:rsidRPr="007C450D">
              <w:rPr>
                <w:sz w:val="16"/>
                <w:szCs w:val="16"/>
              </w:rPr>
              <w:t>151.5</w:t>
            </w:r>
          </w:p>
        </w:tc>
        <w:tc>
          <w:tcPr>
            <w:tcW w:w="242" w:type="dxa"/>
            <w:vAlign w:val="bottom"/>
          </w:tcPr>
          <w:p w14:paraId="29F4EFC8" w14:textId="77777777" w:rsidR="007355BA" w:rsidRPr="007C450D" w:rsidRDefault="007355BA" w:rsidP="007355BA">
            <w:pPr>
              <w:spacing w:before="40" w:after="40"/>
              <w:rPr>
                <w:color w:val="000000"/>
                <w:sz w:val="16"/>
                <w:szCs w:val="16"/>
              </w:rPr>
            </w:pPr>
          </w:p>
        </w:tc>
        <w:tc>
          <w:tcPr>
            <w:tcW w:w="924" w:type="dxa"/>
          </w:tcPr>
          <w:p w14:paraId="349F8E0B" w14:textId="77777777" w:rsidR="007355BA" w:rsidRPr="007C450D" w:rsidRDefault="007355BA" w:rsidP="007355BA">
            <w:pPr>
              <w:spacing w:before="40" w:after="40"/>
              <w:jc w:val="right"/>
              <w:rPr>
                <w:color w:val="000000"/>
                <w:sz w:val="16"/>
                <w:szCs w:val="16"/>
              </w:rPr>
            </w:pPr>
            <w:r w:rsidRPr="007C450D">
              <w:rPr>
                <w:sz w:val="16"/>
                <w:szCs w:val="16"/>
              </w:rPr>
              <w:t>177.7</w:t>
            </w:r>
          </w:p>
        </w:tc>
        <w:tc>
          <w:tcPr>
            <w:tcW w:w="242" w:type="dxa"/>
            <w:vAlign w:val="bottom"/>
          </w:tcPr>
          <w:p w14:paraId="68191349" w14:textId="77777777" w:rsidR="007355BA" w:rsidRPr="007C450D" w:rsidRDefault="007355BA" w:rsidP="007355BA">
            <w:pPr>
              <w:spacing w:before="40" w:after="40"/>
              <w:rPr>
                <w:sz w:val="16"/>
                <w:szCs w:val="16"/>
              </w:rPr>
            </w:pPr>
          </w:p>
        </w:tc>
        <w:tc>
          <w:tcPr>
            <w:tcW w:w="924" w:type="dxa"/>
          </w:tcPr>
          <w:p w14:paraId="2505C8D0" w14:textId="77777777" w:rsidR="007355BA" w:rsidRPr="007C450D" w:rsidRDefault="007355BA" w:rsidP="007355BA">
            <w:pPr>
              <w:spacing w:before="40" w:after="40"/>
              <w:jc w:val="right"/>
              <w:rPr>
                <w:sz w:val="16"/>
                <w:szCs w:val="16"/>
              </w:rPr>
            </w:pPr>
            <w:r w:rsidRPr="007C450D">
              <w:rPr>
                <w:sz w:val="16"/>
                <w:szCs w:val="16"/>
              </w:rPr>
              <w:t>—</w:t>
            </w:r>
          </w:p>
        </w:tc>
        <w:tc>
          <w:tcPr>
            <w:tcW w:w="227" w:type="dxa"/>
            <w:vAlign w:val="bottom"/>
          </w:tcPr>
          <w:p w14:paraId="69F59F9D" w14:textId="77777777" w:rsidR="007355BA" w:rsidRPr="007C450D" w:rsidRDefault="007355BA" w:rsidP="007355BA">
            <w:pPr>
              <w:spacing w:before="40" w:after="40"/>
              <w:rPr>
                <w:sz w:val="16"/>
                <w:szCs w:val="16"/>
              </w:rPr>
            </w:pPr>
          </w:p>
        </w:tc>
        <w:tc>
          <w:tcPr>
            <w:tcW w:w="939" w:type="dxa"/>
            <w:vAlign w:val="bottom"/>
          </w:tcPr>
          <w:p w14:paraId="0EF931E4" w14:textId="77777777" w:rsidR="007355BA" w:rsidRPr="007C450D" w:rsidRDefault="007355BA" w:rsidP="007355BA">
            <w:pPr>
              <w:spacing w:before="40" w:after="40"/>
              <w:jc w:val="right"/>
              <w:rPr>
                <w:sz w:val="16"/>
                <w:szCs w:val="16"/>
              </w:rPr>
            </w:pPr>
            <w:r w:rsidRPr="007C450D">
              <w:rPr>
                <w:sz w:val="16"/>
                <w:szCs w:val="16"/>
              </w:rPr>
              <w:t>138.8</w:t>
            </w:r>
          </w:p>
        </w:tc>
        <w:tc>
          <w:tcPr>
            <w:tcW w:w="266" w:type="dxa"/>
            <w:vAlign w:val="bottom"/>
          </w:tcPr>
          <w:p w14:paraId="08FBA1DE" w14:textId="77777777" w:rsidR="007355BA" w:rsidRPr="007C450D" w:rsidRDefault="007355BA" w:rsidP="007355BA">
            <w:pPr>
              <w:spacing w:before="40" w:after="40"/>
              <w:rPr>
                <w:sz w:val="16"/>
                <w:szCs w:val="16"/>
              </w:rPr>
            </w:pPr>
          </w:p>
        </w:tc>
      </w:tr>
      <w:tr w:rsidR="007355BA" w:rsidRPr="007C450D" w14:paraId="194E8A2C" w14:textId="77777777" w:rsidTr="008C57E0">
        <w:tc>
          <w:tcPr>
            <w:tcW w:w="3254" w:type="dxa"/>
            <w:vAlign w:val="center"/>
          </w:tcPr>
          <w:p w14:paraId="3F7084E5" w14:textId="77777777" w:rsidR="007355BA" w:rsidRPr="007C450D" w:rsidRDefault="007355BA" w:rsidP="007355BA">
            <w:pPr>
              <w:tabs>
                <w:tab w:val="right" w:leader="dot" w:pos="3255"/>
              </w:tabs>
              <w:bidi/>
              <w:spacing w:before="40" w:after="40"/>
              <w:ind w:left="357"/>
              <w:rPr>
                <w:sz w:val="16"/>
                <w:szCs w:val="16"/>
              </w:rPr>
            </w:pPr>
            <w:r>
              <w:rPr>
                <w:rFonts w:hint="cs"/>
                <w:sz w:val="17"/>
                <w:szCs w:val="17"/>
                <w:rtl/>
              </w:rPr>
              <w:t>النقد وما في حكمه</w:t>
            </w:r>
            <w:r w:rsidRPr="0054596C">
              <w:rPr>
                <w:sz w:val="17"/>
              </w:rPr>
              <w:tab/>
            </w:r>
          </w:p>
        </w:tc>
        <w:tc>
          <w:tcPr>
            <w:tcW w:w="242" w:type="dxa"/>
            <w:vAlign w:val="bottom"/>
          </w:tcPr>
          <w:p w14:paraId="5AA70A93" w14:textId="77777777" w:rsidR="007355BA" w:rsidRPr="007C450D" w:rsidRDefault="007355BA" w:rsidP="007355BA">
            <w:pPr>
              <w:spacing w:before="40" w:after="40"/>
              <w:rPr>
                <w:sz w:val="16"/>
                <w:szCs w:val="16"/>
              </w:rPr>
            </w:pPr>
          </w:p>
        </w:tc>
        <w:tc>
          <w:tcPr>
            <w:tcW w:w="913" w:type="dxa"/>
            <w:vAlign w:val="bottom"/>
          </w:tcPr>
          <w:p w14:paraId="554D8AE2" w14:textId="77777777" w:rsidR="007355BA" w:rsidRPr="007C450D" w:rsidRDefault="007355BA" w:rsidP="007355BA">
            <w:pPr>
              <w:spacing w:before="40" w:after="40"/>
              <w:jc w:val="right"/>
              <w:rPr>
                <w:color w:val="000000"/>
                <w:sz w:val="16"/>
                <w:szCs w:val="16"/>
              </w:rPr>
            </w:pPr>
            <w:r w:rsidRPr="007C450D">
              <w:rPr>
                <w:sz w:val="16"/>
                <w:szCs w:val="16"/>
              </w:rPr>
              <w:t>43.7</w:t>
            </w:r>
          </w:p>
        </w:tc>
        <w:tc>
          <w:tcPr>
            <w:tcW w:w="252" w:type="dxa"/>
            <w:gridSpan w:val="2"/>
            <w:vAlign w:val="bottom"/>
          </w:tcPr>
          <w:p w14:paraId="1AD5E602" w14:textId="77777777" w:rsidR="007355BA" w:rsidRPr="007C450D" w:rsidRDefault="007355BA" w:rsidP="007355BA">
            <w:pPr>
              <w:spacing w:before="40" w:after="40"/>
              <w:rPr>
                <w:color w:val="000000"/>
                <w:sz w:val="16"/>
                <w:szCs w:val="16"/>
              </w:rPr>
            </w:pPr>
          </w:p>
        </w:tc>
        <w:tc>
          <w:tcPr>
            <w:tcW w:w="924" w:type="dxa"/>
            <w:vAlign w:val="bottom"/>
          </w:tcPr>
          <w:p w14:paraId="1AE58F67" w14:textId="77777777" w:rsidR="007355BA" w:rsidRPr="007C450D" w:rsidRDefault="007355BA" w:rsidP="007355BA">
            <w:pPr>
              <w:spacing w:before="40" w:after="40"/>
              <w:jc w:val="right"/>
              <w:rPr>
                <w:color w:val="000000"/>
                <w:sz w:val="16"/>
                <w:szCs w:val="16"/>
              </w:rPr>
            </w:pPr>
            <w:r w:rsidRPr="007C450D">
              <w:rPr>
                <w:sz w:val="16"/>
                <w:szCs w:val="16"/>
              </w:rPr>
              <w:t>130.8</w:t>
            </w:r>
          </w:p>
        </w:tc>
        <w:tc>
          <w:tcPr>
            <w:tcW w:w="242" w:type="dxa"/>
            <w:vAlign w:val="bottom"/>
          </w:tcPr>
          <w:p w14:paraId="73BB307E" w14:textId="77777777" w:rsidR="007355BA" w:rsidRPr="007C450D" w:rsidRDefault="007355BA" w:rsidP="007355BA">
            <w:pPr>
              <w:spacing w:before="40" w:after="40"/>
              <w:rPr>
                <w:color w:val="000000"/>
                <w:sz w:val="16"/>
                <w:szCs w:val="16"/>
              </w:rPr>
            </w:pPr>
          </w:p>
        </w:tc>
        <w:tc>
          <w:tcPr>
            <w:tcW w:w="924" w:type="dxa"/>
          </w:tcPr>
          <w:p w14:paraId="6F4035F3" w14:textId="77777777" w:rsidR="007355BA" w:rsidRPr="007C450D" w:rsidRDefault="007355BA" w:rsidP="007355BA">
            <w:pPr>
              <w:spacing w:before="40" w:after="40"/>
              <w:jc w:val="right"/>
              <w:rPr>
                <w:color w:val="000000"/>
                <w:sz w:val="16"/>
                <w:szCs w:val="16"/>
              </w:rPr>
            </w:pPr>
            <w:r w:rsidRPr="007C450D">
              <w:rPr>
                <w:sz w:val="16"/>
                <w:szCs w:val="16"/>
              </w:rPr>
              <w:t>135.1</w:t>
            </w:r>
          </w:p>
        </w:tc>
        <w:tc>
          <w:tcPr>
            <w:tcW w:w="242" w:type="dxa"/>
            <w:vAlign w:val="bottom"/>
          </w:tcPr>
          <w:p w14:paraId="0D62A5F0" w14:textId="77777777" w:rsidR="007355BA" w:rsidRPr="007C450D" w:rsidRDefault="007355BA" w:rsidP="007355BA">
            <w:pPr>
              <w:spacing w:before="40" w:after="40"/>
              <w:rPr>
                <w:sz w:val="16"/>
                <w:szCs w:val="16"/>
              </w:rPr>
            </w:pPr>
          </w:p>
        </w:tc>
        <w:tc>
          <w:tcPr>
            <w:tcW w:w="924" w:type="dxa"/>
          </w:tcPr>
          <w:p w14:paraId="1C84A901" w14:textId="77777777" w:rsidR="007355BA" w:rsidRPr="007C450D" w:rsidRDefault="007355BA" w:rsidP="007355BA">
            <w:pPr>
              <w:spacing w:before="40" w:after="40"/>
              <w:jc w:val="right"/>
              <w:rPr>
                <w:sz w:val="16"/>
                <w:szCs w:val="16"/>
              </w:rPr>
            </w:pPr>
            <w:r w:rsidRPr="007C450D">
              <w:rPr>
                <w:sz w:val="16"/>
                <w:szCs w:val="16"/>
              </w:rPr>
              <w:t>—</w:t>
            </w:r>
          </w:p>
        </w:tc>
        <w:tc>
          <w:tcPr>
            <w:tcW w:w="227" w:type="dxa"/>
            <w:vAlign w:val="bottom"/>
          </w:tcPr>
          <w:p w14:paraId="28544369" w14:textId="77777777" w:rsidR="007355BA" w:rsidRPr="007C450D" w:rsidRDefault="007355BA" w:rsidP="007355BA">
            <w:pPr>
              <w:spacing w:before="40" w:after="40"/>
              <w:rPr>
                <w:sz w:val="16"/>
                <w:szCs w:val="16"/>
              </w:rPr>
            </w:pPr>
          </w:p>
        </w:tc>
        <w:tc>
          <w:tcPr>
            <w:tcW w:w="939" w:type="dxa"/>
          </w:tcPr>
          <w:p w14:paraId="43AAE7E3" w14:textId="77777777" w:rsidR="007355BA" w:rsidRPr="007C450D" w:rsidRDefault="007355BA" w:rsidP="007355BA">
            <w:pPr>
              <w:spacing w:before="40" w:after="40"/>
              <w:jc w:val="right"/>
              <w:rPr>
                <w:sz w:val="16"/>
                <w:szCs w:val="16"/>
              </w:rPr>
            </w:pPr>
            <w:r w:rsidRPr="007C450D">
              <w:rPr>
                <w:sz w:val="16"/>
                <w:szCs w:val="16"/>
              </w:rPr>
              <w:t>86.6</w:t>
            </w:r>
          </w:p>
        </w:tc>
        <w:tc>
          <w:tcPr>
            <w:tcW w:w="266" w:type="dxa"/>
            <w:vAlign w:val="bottom"/>
          </w:tcPr>
          <w:p w14:paraId="0E8EDA04" w14:textId="77777777" w:rsidR="007355BA" w:rsidRPr="007C450D" w:rsidRDefault="007355BA" w:rsidP="007355BA">
            <w:pPr>
              <w:spacing w:before="40" w:after="40"/>
              <w:rPr>
                <w:sz w:val="16"/>
                <w:szCs w:val="16"/>
              </w:rPr>
            </w:pPr>
          </w:p>
        </w:tc>
      </w:tr>
      <w:tr w:rsidR="007355BA" w:rsidRPr="007C450D" w14:paraId="2C93C91D" w14:textId="77777777" w:rsidTr="008C57E0">
        <w:tc>
          <w:tcPr>
            <w:tcW w:w="3254" w:type="dxa"/>
            <w:vAlign w:val="bottom"/>
          </w:tcPr>
          <w:p w14:paraId="75176EBB" w14:textId="77777777" w:rsidR="007355BA" w:rsidRPr="007C450D" w:rsidRDefault="007355BA" w:rsidP="007355BA">
            <w:pPr>
              <w:tabs>
                <w:tab w:val="right" w:leader="dot" w:pos="3255"/>
              </w:tabs>
              <w:bidi/>
              <w:spacing w:before="40" w:after="40"/>
              <w:ind w:left="357"/>
              <w:rPr>
                <w:sz w:val="16"/>
                <w:szCs w:val="16"/>
              </w:rPr>
            </w:pPr>
            <w:r>
              <w:rPr>
                <w:rFonts w:hint="cs"/>
                <w:sz w:val="17"/>
                <w:szCs w:val="17"/>
                <w:rtl/>
              </w:rPr>
              <w:lastRenderedPageBreak/>
              <w:t xml:space="preserve">الودائع الثابتة والهامش </w:t>
            </w:r>
            <w:r>
              <w:rPr>
                <w:sz w:val="17"/>
                <w:szCs w:val="17"/>
                <w:rtl/>
              </w:rPr>
              <w:t>–</w:t>
            </w:r>
            <w:r>
              <w:rPr>
                <w:rFonts w:hint="cs"/>
                <w:sz w:val="17"/>
                <w:szCs w:val="17"/>
                <w:rtl/>
              </w:rPr>
              <w:t xml:space="preserve"> غير متداول</w:t>
            </w:r>
            <w:r w:rsidRPr="00E754AA">
              <w:rPr>
                <w:sz w:val="17"/>
                <w:szCs w:val="17"/>
              </w:rPr>
              <w:tab/>
            </w:r>
          </w:p>
        </w:tc>
        <w:tc>
          <w:tcPr>
            <w:tcW w:w="242" w:type="dxa"/>
            <w:vAlign w:val="bottom"/>
          </w:tcPr>
          <w:p w14:paraId="1EFFF758" w14:textId="77777777" w:rsidR="007355BA" w:rsidRPr="007C450D" w:rsidRDefault="007355BA" w:rsidP="007355BA">
            <w:pPr>
              <w:spacing w:before="40" w:after="40"/>
              <w:rPr>
                <w:sz w:val="16"/>
                <w:szCs w:val="16"/>
              </w:rPr>
            </w:pPr>
          </w:p>
        </w:tc>
        <w:tc>
          <w:tcPr>
            <w:tcW w:w="913" w:type="dxa"/>
            <w:vAlign w:val="bottom"/>
          </w:tcPr>
          <w:p w14:paraId="5CC0A4BD" w14:textId="77777777" w:rsidR="007355BA" w:rsidRPr="007C450D" w:rsidRDefault="007355BA" w:rsidP="007355BA">
            <w:pPr>
              <w:spacing w:before="40" w:after="40"/>
              <w:jc w:val="right"/>
              <w:rPr>
                <w:sz w:val="16"/>
                <w:szCs w:val="16"/>
              </w:rPr>
            </w:pPr>
            <w:r w:rsidRPr="007C450D">
              <w:rPr>
                <w:sz w:val="16"/>
                <w:szCs w:val="16"/>
              </w:rPr>
              <w:t>0.1</w:t>
            </w:r>
          </w:p>
        </w:tc>
        <w:tc>
          <w:tcPr>
            <w:tcW w:w="252" w:type="dxa"/>
            <w:gridSpan w:val="2"/>
            <w:vAlign w:val="bottom"/>
          </w:tcPr>
          <w:p w14:paraId="657CC238" w14:textId="77777777" w:rsidR="007355BA" w:rsidRPr="007C450D" w:rsidRDefault="007355BA" w:rsidP="007355BA">
            <w:pPr>
              <w:spacing w:before="40" w:after="40"/>
              <w:rPr>
                <w:color w:val="000000"/>
                <w:sz w:val="16"/>
                <w:szCs w:val="16"/>
              </w:rPr>
            </w:pPr>
          </w:p>
        </w:tc>
        <w:tc>
          <w:tcPr>
            <w:tcW w:w="924" w:type="dxa"/>
            <w:vAlign w:val="bottom"/>
          </w:tcPr>
          <w:p w14:paraId="7E33DD32" w14:textId="77777777" w:rsidR="007355BA" w:rsidRPr="007C450D" w:rsidRDefault="007355BA" w:rsidP="007355BA">
            <w:pPr>
              <w:spacing w:before="40" w:after="40"/>
              <w:jc w:val="right"/>
              <w:rPr>
                <w:sz w:val="16"/>
                <w:szCs w:val="16"/>
              </w:rPr>
            </w:pPr>
            <w:r w:rsidRPr="007C450D">
              <w:rPr>
                <w:sz w:val="16"/>
                <w:szCs w:val="16"/>
              </w:rPr>
              <w:t>—</w:t>
            </w:r>
          </w:p>
        </w:tc>
        <w:tc>
          <w:tcPr>
            <w:tcW w:w="242" w:type="dxa"/>
            <w:vAlign w:val="bottom"/>
          </w:tcPr>
          <w:p w14:paraId="26B9B4DC" w14:textId="77777777" w:rsidR="007355BA" w:rsidRPr="007C450D" w:rsidRDefault="007355BA" w:rsidP="007355BA">
            <w:pPr>
              <w:spacing w:before="40" w:after="40"/>
              <w:rPr>
                <w:color w:val="000000"/>
                <w:sz w:val="16"/>
                <w:szCs w:val="16"/>
              </w:rPr>
            </w:pPr>
          </w:p>
        </w:tc>
        <w:tc>
          <w:tcPr>
            <w:tcW w:w="924" w:type="dxa"/>
            <w:vAlign w:val="bottom"/>
          </w:tcPr>
          <w:p w14:paraId="3D5C32C4" w14:textId="77777777" w:rsidR="007355BA" w:rsidRPr="007C450D" w:rsidRDefault="007355BA" w:rsidP="007355BA">
            <w:pPr>
              <w:spacing w:before="40" w:after="40"/>
              <w:jc w:val="right"/>
              <w:rPr>
                <w:sz w:val="16"/>
                <w:szCs w:val="16"/>
              </w:rPr>
            </w:pPr>
            <w:r w:rsidRPr="007C450D">
              <w:rPr>
                <w:sz w:val="16"/>
                <w:szCs w:val="16"/>
              </w:rPr>
              <w:t>—</w:t>
            </w:r>
          </w:p>
        </w:tc>
        <w:tc>
          <w:tcPr>
            <w:tcW w:w="242" w:type="dxa"/>
            <w:vAlign w:val="bottom"/>
          </w:tcPr>
          <w:p w14:paraId="151450B0" w14:textId="77777777" w:rsidR="007355BA" w:rsidRPr="007C450D" w:rsidRDefault="007355BA" w:rsidP="007355BA">
            <w:pPr>
              <w:spacing w:before="40" w:after="40"/>
              <w:rPr>
                <w:color w:val="000000"/>
                <w:sz w:val="16"/>
                <w:szCs w:val="16"/>
              </w:rPr>
            </w:pPr>
          </w:p>
        </w:tc>
        <w:tc>
          <w:tcPr>
            <w:tcW w:w="924" w:type="dxa"/>
            <w:vAlign w:val="bottom"/>
          </w:tcPr>
          <w:p w14:paraId="47682E5A" w14:textId="77777777" w:rsidR="007355BA" w:rsidRPr="007C450D" w:rsidRDefault="007355BA" w:rsidP="007355BA">
            <w:pPr>
              <w:spacing w:before="40" w:after="40"/>
              <w:jc w:val="right"/>
              <w:rPr>
                <w:sz w:val="16"/>
                <w:szCs w:val="16"/>
              </w:rPr>
            </w:pPr>
            <w:r w:rsidRPr="007C450D">
              <w:rPr>
                <w:sz w:val="16"/>
                <w:szCs w:val="16"/>
              </w:rPr>
              <w:t>—</w:t>
            </w:r>
          </w:p>
        </w:tc>
        <w:tc>
          <w:tcPr>
            <w:tcW w:w="227" w:type="dxa"/>
            <w:vAlign w:val="bottom"/>
          </w:tcPr>
          <w:p w14:paraId="02C7184D" w14:textId="77777777" w:rsidR="007355BA" w:rsidRPr="007C450D" w:rsidRDefault="007355BA" w:rsidP="007355BA">
            <w:pPr>
              <w:spacing w:before="40" w:after="40"/>
              <w:rPr>
                <w:sz w:val="16"/>
                <w:szCs w:val="16"/>
              </w:rPr>
            </w:pPr>
          </w:p>
        </w:tc>
        <w:tc>
          <w:tcPr>
            <w:tcW w:w="939" w:type="dxa"/>
            <w:vAlign w:val="bottom"/>
          </w:tcPr>
          <w:p w14:paraId="2AFC0124" w14:textId="77777777" w:rsidR="007355BA" w:rsidRPr="007C450D" w:rsidRDefault="007355BA" w:rsidP="007355BA">
            <w:pPr>
              <w:spacing w:before="40" w:after="40"/>
              <w:jc w:val="right"/>
              <w:rPr>
                <w:sz w:val="16"/>
                <w:szCs w:val="16"/>
              </w:rPr>
            </w:pPr>
            <w:r w:rsidRPr="007C450D">
              <w:rPr>
                <w:sz w:val="16"/>
                <w:szCs w:val="16"/>
              </w:rPr>
              <w:t>20.0</w:t>
            </w:r>
          </w:p>
        </w:tc>
        <w:tc>
          <w:tcPr>
            <w:tcW w:w="266" w:type="dxa"/>
            <w:vAlign w:val="bottom"/>
          </w:tcPr>
          <w:p w14:paraId="20C47A47" w14:textId="77777777" w:rsidR="007355BA" w:rsidRPr="007C450D" w:rsidRDefault="007355BA" w:rsidP="007355BA">
            <w:pPr>
              <w:spacing w:before="40" w:after="40"/>
              <w:rPr>
                <w:color w:val="000000"/>
                <w:sz w:val="16"/>
                <w:szCs w:val="16"/>
              </w:rPr>
            </w:pPr>
          </w:p>
        </w:tc>
      </w:tr>
      <w:tr w:rsidR="007355BA" w:rsidRPr="007C450D" w14:paraId="10165F14" w14:textId="77777777" w:rsidTr="008C57E0">
        <w:tc>
          <w:tcPr>
            <w:tcW w:w="3254" w:type="dxa"/>
            <w:vAlign w:val="bottom"/>
          </w:tcPr>
          <w:p w14:paraId="3C9736C6" w14:textId="77777777" w:rsidR="007355BA" w:rsidRPr="007C450D" w:rsidRDefault="007355BA" w:rsidP="007355BA">
            <w:pPr>
              <w:tabs>
                <w:tab w:val="right" w:leader="dot" w:pos="3255"/>
              </w:tabs>
              <w:bidi/>
              <w:spacing w:before="40" w:after="40"/>
              <w:ind w:left="357"/>
              <w:rPr>
                <w:sz w:val="16"/>
                <w:szCs w:val="16"/>
              </w:rPr>
            </w:pPr>
            <w:r>
              <w:rPr>
                <w:rFonts w:hint="cs"/>
                <w:sz w:val="17"/>
                <w:szCs w:val="17"/>
                <w:rtl/>
              </w:rPr>
              <w:t>الودائع الثابتة والهامش - متداول</w:t>
            </w:r>
            <w:r w:rsidRPr="00E754AA">
              <w:rPr>
                <w:sz w:val="17"/>
                <w:szCs w:val="17"/>
              </w:rPr>
              <w:tab/>
            </w:r>
          </w:p>
        </w:tc>
        <w:tc>
          <w:tcPr>
            <w:tcW w:w="242" w:type="dxa"/>
            <w:vAlign w:val="bottom"/>
          </w:tcPr>
          <w:p w14:paraId="101D3096" w14:textId="77777777" w:rsidR="007355BA" w:rsidRPr="007C450D" w:rsidRDefault="007355BA" w:rsidP="007355BA">
            <w:pPr>
              <w:spacing w:before="40" w:after="40"/>
              <w:rPr>
                <w:sz w:val="16"/>
                <w:szCs w:val="16"/>
              </w:rPr>
            </w:pPr>
          </w:p>
        </w:tc>
        <w:tc>
          <w:tcPr>
            <w:tcW w:w="913" w:type="dxa"/>
            <w:vAlign w:val="bottom"/>
          </w:tcPr>
          <w:p w14:paraId="4ADD9820" w14:textId="77777777" w:rsidR="007355BA" w:rsidRPr="007C450D" w:rsidRDefault="007355BA" w:rsidP="007355BA">
            <w:pPr>
              <w:spacing w:before="40" w:after="40"/>
              <w:jc w:val="right"/>
              <w:rPr>
                <w:color w:val="000000"/>
                <w:sz w:val="16"/>
                <w:szCs w:val="16"/>
              </w:rPr>
            </w:pPr>
            <w:r w:rsidRPr="007C450D">
              <w:rPr>
                <w:sz w:val="16"/>
                <w:szCs w:val="16"/>
              </w:rPr>
              <w:t>210.1</w:t>
            </w:r>
          </w:p>
        </w:tc>
        <w:tc>
          <w:tcPr>
            <w:tcW w:w="252" w:type="dxa"/>
            <w:gridSpan w:val="2"/>
            <w:vAlign w:val="bottom"/>
          </w:tcPr>
          <w:p w14:paraId="3221CEDB" w14:textId="77777777" w:rsidR="007355BA" w:rsidRPr="007C450D" w:rsidRDefault="007355BA" w:rsidP="007355BA">
            <w:pPr>
              <w:spacing w:before="40" w:after="40"/>
              <w:rPr>
                <w:color w:val="000000"/>
                <w:sz w:val="16"/>
                <w:szCs w:val="16"/>
              </w:rPr>
            </w:pPr>
          </w:p>
        </w:tc>
        <w:tc>
          <w:tcPr>
            <w:tcW w:w="924" w:type="dxa"/>
            <w:vAlign w:val="bottom"/>
          </w:tcPr>
          <w:p w14:paraId="5609691F" w14:textId="77777777" w:rsidR="007355BA" w:rsidRPr="007C450D" w:rsidRDefault="007355BA" w:rsidP="007355BA">
            <w:pPr>
              <w:spacing w:before="40" w:after="40"/>
              <w:jc w:val="right"/>
              <w:rPr>
                <w:color w:val="000000"/>
                <w:sz w:val="16"/>
                <w:szCs w:val="16"/>
              </w:rPr>
            </w:pPr>
            <w:r w:rsidRPr="007C450D">
              <w:rPr>
                <w:sz w:val="16"/>
                <w:szCs w:val="16"/>
              </w:rPr>
              <w:t>205.9</w:t>
            </w:r>
          </w:p>
        </w:tc>
        <w:tc>
          <w:tcPr>
            <w:tcW w:w="242" w:type="dxa"/>
            <w:vAlign w:val="bottom"/>
          </w:tcPr>
          <w:p w14:paraId="4212A1A1" w14:textId="77777777" w:rsidR="007355BA" w:rsidRPr="007C450D" w:rsidRDefault="007355BA" w:rsidP="007355BA">
            <w:pPr>
              <w:spacing w:before="40" w:after="40"/>
              <w:rPr>
                <w:color w:val="000000"/>
                <w:sz w:val="16"/>
                <w:szCs w:val="16"/>
              </w:rPr>
            </w:pPr>
          </w:p>
        </w:tc>
        <w:tc>
          <w:tcPr>
            <w:tcW w:w="924" w:type="dxa"/>
          </w:tcPr>
          <w:p w14:paraId="5FCF6F62" w14:textId="77777777" w:rsidR="007355BA" w:rsidRPr="007C450D" w:rsidRDefault="007355BA" w:rsidP="007355BA">
            <w:pPr>
              <w:spacing w:before="40" w:after="40"/>
              <w:jc w:val="right"/>
              <w:rPr>
                <w:color w:val="000000"/>
                <w:sz w:val="16"/>
                <w:szCs w:val="16"/>
              </w:rPr>
            </w:pPr>
            <w:r w:rsidRPr="007C450D">
              <w:rPr>
                <w:sz w:val="16"/>
                <w:szCs w:val="16"/>
              </w:rPr>
              <w:t>321.6</w:t>
            </w:r>
          </w:p>
        </w:tc>
        <w:tc>
          <w:tcPr>
            <w:tcW w:w="242" w:type="dxa"/>
            <w:vAlign w:val="bottom"/>
          </w:tcPr>
          <w:p w14:paraId="33F0F0E6" w14:textId="77777777" w:rsidR="007355BA" w:rsidRPr="007C450D" w:rsidRDefault="007355BA" w:rsidP="007355BA">
            <w:pPr>
              <w:spacing w:before="40" w:after="40"/>
              <w:rPr>
                <w:sz w:val="16"/>
                <w:szCs w:val="16"/>
              </w:rPr>
            </w:pPr>
          </w:p>
        </w:tc>
        <w:tc>
          <w:tcPr>
            <w:tcW w:w="924" w:type="dxa"/>
          </w:tcPr>
          <w:p w14:paraId="3D56696B" w14:textId="77777777" w:rsidR="007355BA" w:rsidRPr="007C450D" w:rsidRDefault="007355BA" w:rsidP="007355BA">
            <w:pPr>
              <w:spacing w:before="40" w:after="40"/>
              <w:jc w:val="right"/>
              <w:rPr>
                <w:sz w:val="16"/>
                <w:szCs w:val="16"/>
              </w:rPr>
            </w:pPr>
            <w:r w:rsidRPr="007C450D">
              <w:rPr>
                <w:sz w:val="16"/>
                <w:szCs w:val="16"/>
              </w:rPr>
              <w:t>—</w:t>
            </w:r>
          </w:p>
        </w:tc>
        <w:tc>
          <w:tcPr>
            <w:tcW w:w="227" w:type="dxa"/>
            <w:vAlign w:val="bottom"/>
          </w:tcPr>
          <w:p w14:paraId="3716FAC0" w14:textId="77777777" w:rsidR="007355BA" w:rsidRPr="007C450D" w:rsidRDefault="007355BA" w:rsidP="007355BA">
            <w:pPr>
              <w:spacing w:before="40" w:after="40"/>
              <w:rPr>
                <w:sz w:val="16"/>
                <w:szCs w:val="16"/>
              </w:rPr>
            </w:pPr>
          </w:p>
        </w:tc>
        <w:tc>
          <w:tcPr>
            <w:tcW w:w="939" w:type="dxa"/>
            <w:vAlign w:val="bottom"/>
          </w:tcPr>
          <w:p w14:paraId="079E592B" w14:textId="77777777" w:rsidR="007355BA" w:rsidRPr="007C450D" w:rsidRDefault="007355BA" w:rsidP="007355BA">
            <w:pPr>
              <w:spacing w:before="40" w:after="40"/>
              <w:jc w:val="right"/>
              <w:rPr>
                <w:sz w:val="16"/>
                <w:szCs w:val="16"/>
              </w:rPr>
            </w:pPr>
            <w:r w:rsidRPr="007C450D">
              <w:rPr>
                <w:sz w:val="16"/>
                <w:szCs w:val="16"/>
              </w:rPr>
              <w:t>266.7</w:t>
            </w:r>
          </w:p>
        </w:tc>
        <w:tc>
          <w:tcPr>
            <w:tcW w:w="266" w:type="dxa"/>
            <w:vAlign w:val="bottom"/>
          </w:tcPr>
          <w:p w14:paraId="60CF69B0" w14:textId="77777777" w:rsidR="007355BA" w:rsidRPr="007C450D" w:rsidRDefault="007355BA" w:rsidP="007355BA">
            <w:pPr>
              <w:spacing w:before="40" w:after="40"/>
              <w:rPr>
                <w:sz w:val="16"/>
                <w:szCs w:val="16"/>
              </w:rPr>
            </w:pPr>
          </w:p>
        </w:tc>
      </w:tr>
      <w:tr w:rsidR="00116B39" w:rsidRPr="007C450D" w14:paraId="03D6EABD" w14:textId="77777777" w:rsidTr="008C57E0">
        <w:tc>
          <w:tcPr>
            <w:tcW w:w="3254" w:type="dxa"/>
          </w:tcPr>
          <w:p w14:paraId="454A4973" w14:textId="77777777" w:rsidR="00116B39" w:rsidRDefault="00116B39" w:rsidP="00116B39">
            <w:pPr>
              <w:tabs>
                <w:tab w:val="right" w:leader="dot" w:pos="3255"/>
              </w:tabs>
              <w:bidi/>
              <w:spacing w:before="40" w:after="40"/>
              <w:rPr>
                <w:b/>
                <w:bCs/>
                <w:sz w:val="17"/>
                <w:szCs w:val="17"/>
                <w:u w:val="single"/>
                <w:rtl/>
              </w:rPr>
            </w:pPr>
            <w:r>
              <w:rPr>
                <w:rFonts w:hint="cs"/>
                <w:b/>
                <w:bCs/>
                <w:sz w:val="17"/>
                <w:szCs w:val="17"/>
                <w:u w:val="single"/>
                <w:rtl/>
              </w:rPr>
              <w:t>صافي الدين (شامل عقود الإيجار)</w:t>
            </w:r>
            <w:r w:rsidRPr="00155339">
              <w:rPr>
                <w:sz w:val="17"/>
                <w:szCs w:val="17"/>
                <w:vertAlign w:val="superscript"/>
              </w:rPr>
              <w:t>(a)</w:t>
            </w:r>
            <w:r w:rsidRPr="007D2480">
              <w:rPr>
                <w:sz w:val="17"/>
              </w:rPr>
              <w:tab/>
            </w:r>
          </w:p>
        </w:tc>
        <w:tc>
          <w:tcPr>
            <w:tcW w:w="242" w:type="dxa"/>
            <w:vAlign w:val="bottom"/>
          </w:tcPr>
          <w:p w14:paraId="4DF089AF" w14:textId="77777777" w:rsidR="00116B39" w:rsidRPr="007C450D" w:rsidRDefault="00116B39" w:rsidP="00116B39">
            <w:pPr>
              <w:spacing w:before="40" w:after="40"/>
              <w:rPr>
                <w:sz w:val="16"/>
                <w:szCs w:val="16"/>
              </w:rPr>
            </w:pPr>
          </w:p>
        </w:tc>
        <w:tc>
          <w:tcPr>
            <w:tcW w:w="913" w:type="dxa"/>
          </w:tcPr>
          <w:p w14:paraId="1FDECE4D" w14:textId="77777777" w:rsidR="00116B39" w:rsidRPr="003832A3" w:rsidRDefault="00116B39" w:rsidP="003832A3">
            <w:pPr>
              <w:bidi/>
              <w:spacing w:before="40" w:after="40"/>
              <w:jc w:val="both"/>
              <w:rPr>
                <w:b/>
                <w:bCs/>
                <w:sz w:val="16"/>
                <w:szCs w:val="16"/>
              </w:rPr>
            </w:pPr>
            <w:r w:rsidRPr="004C365C">
              <w:rPr>
                <w:b/>
                <w:bCs/>
                <w:sz w:val="16"/>
                <w:szCs w:val="16"/>
              </w:rPr>
              <w:t>1,472.5</w:t>
            </w:r>
          </w:p>
        </w:tc>
        <w:tc>
          <w:tcPr>
            <w:tcW w:w="252" w:type="dxa"/>
            <w:gridSpan w:val="2"/>
            <w:vAlign w:val="bottom"/>
          </w:tcPr>
          <w:p w14:paraId="419D1DA4" w14:textId="77777777" w:rsidR="00116B39" w:rsidRPr="004C365C" w:rsidRDefault="00116B39" w:rsidP="003832A3">
            <w:pPr>
              <w:bidi/>
              <w:spacing w:before="40" w:after="40"/>
              <w:jc w:val="both"/>
              <w:rPr>
                <w:b/>
                <w:bCs/>
                <w:color w:val="000000"/>
                <w:sz w:val="16"/>
                <w:szCs w:val="16"/>
              </w:rPr>
            </w:pPr>
          </w:p>
        </w:tc>
        <w:tc>
          <w:tcPr>
            <w:tcW w:w="924" w:type="dxa"/>
          </w:tcPr>
          <w:p w14:paraId="4386E2DC" w14:textId="77777777" w:rsidR="00116B39" w:rsidRPr="003832A3" w:rsidRDefault="00116B39" w:rsidP="003832A3">
            <w:pPr>
              <w:bidi/>
              <w:spacing w:before="40" w:after="40"/>
              <w:jc w:val="both"/>
              <w:rPr>
                <w:b/>
                <w:bCs/>
                <w:sz w:val="16"/>
                <w:szCs w:val="16"/>
              </w:rPr>
            </w:pPr>
            <w:r w:rsidRPr="004C365C">
              <w:rPr>
                <w:b/>
                <w:bCs/>
                <w:sz w:val="16"/>
                <w:szCs w:val="16"/>
              </w:rPr>
              <w:t>1,355.5</w:t>
            </w:r>
          </w:p>
        </w:tc>
        <w:tc>
          <w:tcPr>
            <w:tcW w:w="242" w:type="dxa"/>
            <w:vAlign w:val="bottom"/>
          </w:tcPr>
          <w:p w14:paraId="28B9FA4C" w14:textId="77777777" w:rsidR="00116B39" w:rsidRPr="004C365C" w:rsidRDefault="00116B39" w:rsidP="003832A3">
            <w:pPr>
              <w:bidi/>
              <w:spacing w:before="40" w:after="40"/>
              <w:jc w:val="both"/>
              <w:rPr>
                <w:b/>
                <w:bCs/>
                <w:color w:val="000000"/>
                <w:sz w:val="16"/>
                <w:szCs w:val="16"/>
              </w:rPr>
            </w:pPr>
          </w:p>
        </w:tc>
        <w:tc>
          <w:tcPr>
            <w:tcW w:w="924" w:type="dxa"/>
          </w:tcPr>
          <w:p w14:paraId="01C4106D" w14:textId="77777777" w:rsidR="00116B39" w:rsidRPr="003832A3" w:rsidRDefault="00116B39" w:rsidP="003832A3">
            <w:pPr>
              <w:bidi/>
              <w:spacing w:before="40" w:after="40"/>
              <w:jc w:val="both"/>
              <w:rPr>
                <w:b/>
                <w:bCs/>
                <w:sz w:val="16"/>
                <w:szCs w:val="16"/>
              </w:rPr>
            </w:pPr>
            <w:r w:rsidRPr="004C365C">
              <w:rPr>
                <w:b/>
                <w:bCs/>
                <w:sz w:val="16"/>
                <w:szCs w:val="16"/>
              </w:rPr>
              <w:t>1,270.5</w:t>
            </w:r>
          </w:p>
        </w:tc>
        <w:tc>
          <w:tcPr>
            <w:tcW w:w="242" w:type="dxa"/>
            <w:vAlign w:val="bottom"/>
          </w:tcPr>
          <w:p w14:paraId="59B6DEC4" w14:textId="77777777" w:rsidR="00116B39" w:rsidRPr="004C365C" w:rsidRDefault="00116B39" w:rsidP="003832A3">
            <w:pPr>
              <w:bidi/>
              <w:spacing w:before="40" w:after="40"/>
              <w:jc w:val="both"/>
              <w:rPr>
                <w:b/>
                <w:bCs/>
                <w:sz w:val="16"/>
                <w:szCs w:val="16"/>
              </w:rPr>
            </w:pPr>
          </w:p>
        </w:tc>
        <w:tc>
          <w:tcPr>
            <w:tcW w:w="924" w:type="dxa"/>
            <w:vAlign w:val="bottom"/>
          </w:tcPr>
          <w:p w14:paraId="578CF5BF" w14:textId="77777777" w:rsidR="00116B39" w:rsidRPr="003832A3" w:rsidRDefault="00116B39" w:rsidP="003832A3">
            <w:pPr>
              <w:bidi/>
              <w:spacing w:before="40" w:after="40"/>
              <w:jc w:val="both"/>
              <w:rPr>
                <w:b/>
                <w:bCs/>
                <w:sz w:val="16"/>
                <w:szCs w:val="16"/>
              </w:rPr>
            </w:pPr>
            <w:r w:rsidRPr="004C365C">
              <w:rPr>
                <w:b/>
                <w:bCs/>
                <w:sz w:val="16"/>
                <w:szCs w:val="16"/>
              </w:rPr>
              <w:t>—</w:t>
            </w:r>
          </w:p>
        </w:tc>
        <w:tc>
          <w:tcPr>
            <w:tcW w:w="227" w:type="dxa"/>
            <w:vAlign w:val="bottom"/>
          </w:tcPr>
          <w:p w14:paraId="55BC8A7C" w14:textId="77777777" w:rsidR="00116B39" w:rsidRPr="004C365C" w:rsidRDefault="00116B39" w:rsidP="003832A3">
            <w:pPr>
              <w:bidi/>
              <w:spacing w:before="40" w:after="40"/>
              <w:jc w:val="both"/>
              <w:rPr>
                <w:b/>
                <w:bCs/>
                <w:sz w:val="16"/>
                <w:szCs w:val="16"/>
              </w:rPr>
            </w:pPr>
          </w:p>
        </w:tc>
        <w:tc>
          <w:tcPr>
            <w:tcW w:w="939" w:type="dxa"/>
            <w:vAlign w:val="bottom"/>
          </w:tcPr>
          <w:p w14:paraId="3D1998AE" w14:textId="77777777" w:rsidR="00116B39" w:rsidRPr="003832A3" w:rsidRDefault="00116B39" w:rsidP="003832A3">
            <w:pPr>
              <w:bidi/>
              <w:spacing w:before="40" w:after="40"/>
              <w:jc w:val="both"/>
              <w:rPr>
                <w:b/>
                <w:bCs/>
                <w:sz w:val="16"/>
                <w:szCs w:val="16"/>
              </w:rPr>
            </w:pPr>
            <w:r w:rsidRPr="004C365C">
              <w:rPr>
                <w:b/>
                <w:bCs/>
                <w:sz w:val="16"/>
                <w:szCs w:val="16"/>
              </w:rPr>
              <w:t>1,228.6</w:t>
            </w:r>
          </w:p>
        </w:tc>
        <w:tc>
          <w:tcPr>
            <w:tcW w:w="266" w:type="dxa"/>
            <w:vAlign w:val="bottom"/>
          </w:tcPr>
          <w:p w14:paraId="1A0318B0" w14:textId="77777777" w:rsidR="00116B39" w:rsidRPr="007C450D" w:rsidRDefault="00116B39" w:rsidP="00116B39">
            <w:pPr>
              <w:spacing w:before="40" w:after="40"/>
              <w:rPr>
                <w:b/>
                <w:bCs/>
                <w:sz w:val="16"/>
                <w:szCs w:val="16"/>
              </w:rPr>
            </w:pPr>
          </w:p>
        </w:tc>
      </w:tr>
      <w:tr w:rsidR="00116B39" w:rsidRPr="007C450D" w14:paraId="4B392711" w14:textId="77777777" w:rsidTr="008C57E0">
        <w:tc>
          <w:tcPr>
            <w:tcW w:w="3254" w:type="dxa"/>
          </w:tcPr>
          <w:p w14:paraId="66F7FD1F" w14:textId="77777777" w:rsidR="00116B39" w:rsidRPr="007C450D" w:rsidRDefault="00116B39" w:rsidP="00116B39">
            <w:pPr>
              <w:tabs>
                <w:tab w:val="right" w:leader="dot" w:pos="3255"/>
              </w:tabs>
              <w:bidi/>
              <w:spacing w:before="40" w:after="40"/>
              <w:rPr>
                <w:b/>
                <w:bCs/>
                <w:sz w:val="16"/>
                <w:szCs w:val="16"/>
                <w:u w:val="single"/>
              </w:rPr>
            </w:pPr>
            <w:r>
              <w:rPr>
                <w:rFonts w:hint="cs"/>
                <w:b/>
                <w:bCs/>
                <w:sz w:val="17"/>
                <w:szCs w:val="17"/>
                <w:u w:val="single"/>
                <w:rtl/>
              </w:rPr>
              <w:t>صافي الدين (باستثناء عقود الإيجار)</w:t>
            </w:r>
            <w:r w:rsidRPr="00155339">
              <w:rPr>
                <w:sz w:val="17"/>
                <w:szCs w:val="17"/>
                <w:vertAlign w:val="superscript"/>
              </w:rPr>
              <w:t>(</w:t>
            </w:r>
            <w:r>
              <w:rPr>
                <w:sz w:val="17"/>
                <w:szCs w:val="17"/>
                <w:vertAlign w:val="superscript"/>
              </w:rPr>
              <w:t>b</w:t>
            </w:r>
            <w:r w:rsidRPr="00155339">
              <w:rPr>
                <w:sz w:val="17"/>
                <w:szCs w:val="17"/>
                <w:vertAlign w:val="superscript"/>
              </w:rPr>
              <w:t>)</w:t>
            </w:r>
            <w:r w:rsidRPr="007D2480">
              <w:rPr>
                <w:sz w:val="17"/>
              </w:rPr>
              <w:tab/>
            </w:r>
          </w:p>
        </w:tc>
        <w:tc>
          <w:tcPr>
            <w:tcW w:w="242" w:type="dxa"/>
            <w:vAlign w:val="bottom"/>
          </w:tcPr>
          <w:p w14:paraId="52B66B66" w14:textId="77777777" w:rsidR="00116B39" w:rsidRPr="007C450D" w:rsidRDefault="00116B39" w:rsidP="00116B39">
            <w:pPr>
              <w:spacing w:before="40" w:after="40"/>
              <w:rPr>
                <w:sz w:val="16"/>
                <w:szCs w:val="16"/>
              </w:rPr>
            </w:pPr>
          </w:p>
        </w:tc>
        <w:tc>
          <w:tcPr>
            <w:tcW w:w="913" w:type="dxa"/>
          </w:tcPr>
          <w:p w14:paraId="3B42F96D" w14:textId="77777777" w:rsidR="00116B39" w:rsidRPr="004C365C" w:rsidRDefault="00116B39" w:rsidP="00116B39">
            <w:pPr>
              <w:spacing w:before="40" w:after="40"/>
              <w:jc w:val="right"/>
              <w:rPr>
                <w:b/>
                <w:bCs/>
                <w:color w:val="000000"/>
                <w:sz w:val="16"/>
                <w:szCs w:val="16"/>
              </w:rPr>
            </w:pPr>
            <w:r w:rsidRPr="003832A3">
              <w:rPr>
                <w:b/>
                <w:bCs/>
                <w:sz w:val="16"/>
                <w:szCs w:val="16"/>
              </w:rPr>
              <w:t>1,363.1</w:t>
            </w:r>
          </w:p>
        </w:tc>
        <w:tc>
          <w:tcPr>
            <w:tcW w:w="252" w:type="dxa"/>
            <w:gridSpan w:val="2"/>
            <w:vAlign w:val="bottom"/>
          </w:tcPr>
          <w:p w14:paraId="1367AE7B" w14:textId="77777777" w:rsidR="00116B39" w:rsidRPr="004C365C" w:rsidRDefault="00116B39" w:rsidP="00116B39">
            <w:pPr>
              <w:spacing w:before="40" w:after="40"/>
              <w:jc w:val="right"/>
              <w:rPr>
                <w:b/>
                <w:bCs/>
                <w:color w:val="000000"/>
                <w:sz w:val="16"/>
                <w:szCs w:val="16"/>
              </w:rPr>
            </w:pPr>
          </w:p>
        </w:tc>
        <w:tc>
          <w:tcPr>
            <w:tcW w:w="924" w:type="dxa"/>
          </w:tcPr>
          <w:p w14:paraId="0B9D5D08" w14:textId="77777777" w:rsidR="00116B39" w:rsidRPr="004C365C" w:rsidRDefault="00116B39" w:rsidP="00116B39">
            <w:pPr>
              <w:spacing w:before="40" w:after="40"/>
              <w:jc w:val="right"/>
              <w:rPr>
                <w:b/>
                <w:bCs/>
                <w:color w:val="000000"/>
                <w:sz w:val="16"/>
                <w:szCs w:val="16"/>
              </w:rPr>
            </w:pPr>
            <w:r w:rsidRPr="003832A3">
              <w:rPr>
                <w:b/>
                <w:bCs/>
                <w:sz w:val="16"/>
                <w:szCs w:val="16"/>
              </w:rPr>
              <w:t>1,118.9</w:t>
            </w:r>
          </w:p>
        </w:tc>
        <w:tc>
          <w:tcPr>
            <w:tcW w:w="242" w:type="dxa"/>
            <w:vAlign w:val="bottom"/>
          </w:tcPr>
          <w:p w14:paraId="2F06C629" w14:textId="77777777" w:rsidR="00116B39" w:rsidRPr="004C365C" w:rsidRDefault="00116B39" w:rsidP="00116B39">
            <w:pPr>
              <w:spacing w:before="40" w:after="40"/>
              <w:jc w:val="right"/>
              <w:rPr>
                <w:b/>
                <w:bCs/>
                <w:color w:val="000000"/>
                <w:sz w:val="16"/>
                <w:szCs w:val="16"/>
              </w:rPr>
            </w:pPr>
          </w:p>
        </w:tc>
        <w:tc>
          <w:tcPr>
            <w:tcW w:w="924" w:type="dxa"/>
          </w:tcPr>
          <w:p w14:paraId="31ECECF6" w14:textId="77777777" w:rsidR="00116B39" w:rsidRPr="004C365C" w:rsidRDefault="00116B39" w:rsidP="00116B39">
            <w:pPr>
              <w:spacing w:before="40" w:after="40"/>
              <w:jc w:val="right"/>
              <w:rPr>
                <w:b/>
                <w:bCs/>
                <w:color w:val="000000"/>
                <w:sz w:val="16"/>
                <w:szCs w:val="16"/>
              </w:rPr>
            </w:pPr>
            <w:r w:rsidRPr="003832A3">
              <w:rPr>
                <w:b/>
                <w:bCs/>
                <w:sz w:val="16"/>
                <w:szCs w:val="16"/>
              </w:rPr>
              <w:t>853.4</w:t>
            </w:r>
          </w:p>
        </w:tc>
        <w:tc>
          <w:tcPr>
            <w:tcW w:w="242" w:type="dxa"/>
            <w:vAlign w:val="bottom"/>
          </w:tcPr>
          <w:p w14:paraId="694B5994" w14:textId="77777777" w:rsidR="00116B39" w:rsidRPr="004C365C" w:rsidRDefault="00116B39" w:rsidP="00116B39">
            <w:pPr>
              <w:spacing w:before="40" w:after="40"/>
              <w:jc w:val="right"/>
              <w:rPr>
                <w:b/>
                <w:bCs/>
                <w:sz w:val="16"/>
                <w:szCs w:val="16"/>
              </w:rPr>
            </w:pPr>
          </w:p>
        </w:tc>
        <w:tc>
          <w:tcPr>
            <w:tcW w:w="924" w:type="dxa"/>
            <w:vAlign w:val="bottom"/>
          </w:tcPr>
          <w:p w14:paraId="0AB87629" w14:textId="77777777" w:rsidR="00116B39" w:rsidRPr="004C365C" w:rsidRDefault="00116B39" w:rsidP="00116B39">
            <w:pPr>
              <w:spacing w:before="40" w:after="40"/>
              <w:jc w:val="right"/>
              <w:rPr>
                <w:b/>
                <w:bCs/>
                <w:sz w:val="16"/>
                <w:szCs w:val="16"/>
              </w:rPr>
            </w:pPr>
            <w:r w:rsidRPr="003832A3">
              <w:rPr>
                <w:b/>
                <w:bCs/>
                <w:sz w:val="16"/>
                <w:szCs w:val="16"/>
              </w:rPr>
              <w:t>—</w:t>
            </w:r>
          </w:p>
        </w:tc>
        <w:tc>
          <w:tcPr>
            <w:tcW w:w="227" w:type="dxa"/>
            <w:vAlign w:val="bottom"/>
          </w:tcPr>
          <w:p w14:paraId="6199ABE1" w14:textId="77777777" w:rsidR="00116B39" w:rsidRPr="004C365C" w:rsidRDefault="00116B39" w:rsidP="00116B39">
            <w:pPr>
              <w:spacing w:before="40" w:after="40"/>
              <w:jc w:val="right"/>
              <w:rPr>
                <w:b/>
                <w:bCs/>
                <w:sz w:val="16"/>
                <w:szCs w:val="16"/>
              </w:rPr>
            </w:pPr>
          </w:p>
        </w:tc>
        <w:tc>
          <w:tcPr>
            <w:tcW w:w="939" w:type="dxa"/>
            <w:vAlign w:val="bottom"/>
          </w:tcPr>
          <w:p w14:paraId="5F63BE4A" w14:textId="77777777" w:rsidR="00116B39" w:rsidRPr="004C365C" w:rsidRDefault="00116B39" w:rsidP="00116B39">
            <w:pPr>
              <w:spacing w:before="40" w:after="40"/>
              <w:jc w:val="right"/>
              <w:rPr>
                <w:b/>
                <w:bCs/>
                <w:sz w:val="16"/>
                <w:szCs w:val="16"/>
              </w:rPr>
            </w:pPr>
            <w:r w:rsidRPr="003832A3">
              <w:rPr>
                <w:b/>
                <w:bCs/>
                <w:sz w:val="16"/>
                <w:szCs w:val="16"/>
              </w:rPr>
              <w:t>836.5</w:t>
            </w:r>
          </w:p>
        </w:tc>
        <w:tc>
          <w:tcPr>
            <w:tcW w:w="266" w:type="dxa"/>
            <w:vAlign w:val="bottom"/>
          </w:tcPr>
          <w:p w14:paraId="1087F7C6" w14:textId="77777777" w:rsidR="00116B39" w:rsidRPr="007C450D" w:rsidRDefault="00116B39" w:rsidP="00116B39">
            <w:pPr>
              <w:spacing w:before="40" w:after="40"/>
              <w:rPr>
                <w:b/>
                <w:bCs/>
                <w:sz w:val="16"/>
                <w:szCs w:val="16"/>
              </w:rPr>
            </w:pPr>
          </w:p>
        </w:tc>
      </w:tr>
      <w:tr w:rsidR="00116B39" w:rsidRPr="007C450D" w14:paraId="06CD9CFF" w14:textId="77777777" w:rsidTr="008C57E0">
        <w:tc>
          <w:tcPr>
            <w:tcW w:w="3254" w:type="dxa"/>
          </w:tcPr>
          <w:p w14:paraId="6A9CA398" w14:textId="77777777" w:rsidR="00116B39" w:rsidRPr="007C450D" w:rsidRDefault="00116B39" w:rsidP="00116B39">
            <w:pPr>
              <w:tabs>
                <w:tab w:val="right" w:leader="dot" w:pos="3255"/>
              </w:tabs>
              <w:bidi/>
              <w:spacing w:before="40" w:after="40"/>
              <w:rPr>
                <w:b/>
                <w:bCs/>
                <w:i/>
                <w:iCs/>
                <w:sz w:val="16"/>
                <w:szCs w:val="16"/>
              </w:rPr>
            </w:pPr>
            <w:r>
              <w:rPr>
                <w:rFonts w:hint="cs"/>
                <w:b/>
                <w:bCs/>
                <w:i/>
                <w:iCs/>
                <w:sz w:val="17"/>
                <w:szCs w:val="17"/>
                <w:rtl/>
              </w:rPr>
              <w:t>الأرباح المعدلة قبل حساب الفوائد والضرائب والإهلاك والإطفاء</w:t>
            </w:r>
            <w:r w:rsidRPr="00155339">
              <w:rPr>
                <w:sz w:val="17"/>
                <w:szCs w:val="17"/>
                <w:vertAlign w:val="superscript"/>
              </w:rPr>
              <w:t>(</w:t>
            </w:r>
            <w:r>
              <w:rPr>
                <w:sz w:val="17"/>
                <w:szCs w:val="17"/>
                <w:vertAlign w:val="superscript"/>
              </w:rPr>
              <w:t>c</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163CF80E" w14:textId="77777777" w:rsidR="00116B39" w:rsidRPr="007C450D" w:rsidRDefault="00116B39" w:rsidP="00116B39">
            <w:pPr>
              <w:spacing w:before="40" w:after="40"/>
              <w:rPr>
                <w:sz w:val="16"/>
                <w:szCs w:val="16"/>
              </w:rPr>
            </w:pPr>
          </w:p>
        </w:tc>
        <w:tc>
          <w:tcPr>
            <w:tcW w:w="913" w:type="dxa"/>
          </w:tcPr>
          <w:p w14:paraId="3C04F1E6" w14:textId="77777777" w:rsidR="00116B39" w:rsidRPr="007C450D" w:rsidRDefault="00116B39" w:rsidP="00116B39">
            <w:pPr>
              <w:spacing w:before="40" w:after="40"/>
              <w:jc w:val="right"/>
              <w:rPr>
                <w:color w:val="000000"/>
                <w:sz w:val="16"/>
                <w:szCs w:val="16"/>
              </w:rPr>
            </w:pPr>
            <w:r w:rsidRPr="007C450D">
              <w:rPr>
                <w:sz w:val="16"/>
                <w:szCs w:val="16"/>
              </w:rPr>
              <w:t>273.5</w:t>
            </w:r>
          </w:p>
        </w:tc>
        <w:tc>
          <w:tcPr>
            <w:tcW w:w="252" w:type="dxa"/>
            <w:gridSpan w:val="2"/>
            <w:vAlign w:val="bottom"/>
          </w:tcPr>
          <w:p w14:paraId="24C0E2F7" w14:textId="77777777" w:rsidR="00116B39" w:rsidRPr="007C450D" w:rsidRDefault="00116B39" w:rsidP="00116B39">
            <w:pPr>
              <w:spacing w:before="40" w:after="40"/>
              <w:rPr>
                <w:color w:val="000000"/>
                <w:sz w:val="16"/>
                <w:szCs w:val="16"/>
              </w:rPr>
            </w:pPr>
          </w:p>
        </w:tc>
        <w:tc>
          <w:tcPr>
            <w:tcW w:w="924" w:type="dxa"/>
          </w:tcPr>
          <w:p w14:paraId="16CFF27A" w14:textId="77777777" w:rsidR="00116B39" w:rsidRPr="007C450D" w:rsidRDefault="00116B39" w:rsidP="00116B39">
            <w:pPr>
              <w:spacing w:before="40" w:after="40"/>
              <w:jc w:val="right"/>
              <w:rPr>
                <w:color w:val="000000"/>
                <w:sz w:val="16"/>
                <w:szCs w:val="16"/>
              </w:rPr>
            </w:pPr>
            <w:r w:rsidRPr="007C450D">
              <w:rPr>
                <w:sz w:val="16"/>
                <w:szCs w:val="16"/>
              </w:rPr>
              <w:t>412.7</w:t>
            </w:r>
          </w:p>
        </w:tc>
        <w:tc>
          <w:tcPr>
            <w:tcW w:w="242" w:type="dxa"/>
            <w:vAlign w:val="bottom"/>
          </w:tcPr>
          <w:p w14:paraId="4295F681" w14:textId="77777777" w:rsidR="00116B39" w:rsidRPr="007C450D" w:rsidRDefault="00116B39" w:rsidP="00116B39">
            <w:pPr>
              <w:spacing w:before="40" w:after="40"/>
              <w:rPr>
                <w:color w:val="000000"/>
                <w:sz w:val="16"/>
                <w:szCs w:val="16"/>
              </w:rPr>
            </w:pPr>
          </w:p>
        </w:tc>
        <w:tc>
          <w:tcPr>
            <w:tcW w:w="924" w:type="dxa"/>
          </w:tcPr>
          <w:p w14:paraId="0E1E97F2" w14:textId="77777777" w:rsidR="00116B39" w:rsidRPr="007C450D" w:rsidRDefault="00116B39" w:rsidP="00116B39">
            <w:pPr>
              <w:spacing w:before="40" w:after="40"/>
              <w:jc w:val="right"/>
              <w:rPr>
                <w:color w:val="000000"/>
                <w:sz w:val="16"/>
                <w:szCs w:val="16"/>
              </w:rPr>
            </w:pPr>
            <w:r w:rsidRPr="007C450D">
              <w:rPr>
                <w:sz w:val="16"/>
                <w:szCs w:val="16"/>
              </w:rPr>
              <w:t>478.0</w:t>
            </w:r>
          </w:p>
        </w:tc>
        <w:tc>
          <w:tcPr>
            <w:tcW w:w="242" w:type="dxa"/>
            <w:vAlign w:val="bottom"/>
          </w:tcPr>
          <w:p w14:paraId="46B7D3AA" w14:textId="77777777" w:rsidR="00116B39" w:rsidRPr="007C450D" w:rsidRDefault="00116B39" w:rsidP="00116B39">
            <w:pPr>
              <w:spacing w:before="40" w:after="40"/>
              <w:rPr>
                <w:sz w:val="16"/>
                <w:szCs w:val="16"/>
              </w:rPr>
            </w:pPr>
          </w:p>
        </w:tc>
        <w:tc>
          <w:tcPr>
            <w:tcW w:w="924" w:type="dxa"/>
            <w:vAlign w:val="bottom"/>
          </w:tcPr>
          <w:p w14:paraId="153FF5CE" w14:textId="77777777" w:rsidR="00116B39" w:rsidRPr="007C450D" w:rsidRDefault="00D359A3" w:rsidP="00116B39">
            <w:pPr>
              <w:spacing w:before="40" w:after="40"/>
              <w:jc w:val="right"/>
              <w:rPr>
                <w:sz w:val="16"/>
                <w:szCs w:val="16"/>
              </w:rPr>
            </w:pPr>
            <w:r w:rsidRPr="007C450D">
              <w:rPr>
                <w:b/>
                <w:bCs/>
                <w:sz w:val="16"/>
                <w:szCs w:val="16"/>
              </w:rPr>
              <w:t>—</w:t>
            </w:r>
          </w:p>
        </w:tc>
        <w:tc>
          <w:tcPr>
            <w:tcW w:w="227" w:type="dxa"/>
            <w:vAlign w:val="bottom"/>
          </w:tcPr>
          <w:p w14:paraId="51C59988" w14:textId="77777777" w:rsidR="00116B39" w:rsidRPr="007C450D" w:rsidRDefault="00116B39" w:rsidP="00116B39">
            <w:pPr>
              <w:spacing w:before="40" w:after="40"/>
              <w:rPr>
                <w:sz w:val="16"/>
                <w:szCs w:val="16"/>
              </w:rPr>
            </w:pPr>
          </w:p>
        </w:tc>
        <w:tc>
          <w:tcPr>
            <w:tcW w:w="939" w:type="dxa"/>
            <w:vAlign w:val="bottom"/>
          </w:tcPr>
          <w:p w14:paraId="249FCB01" w14:textId="77777777" w:rsidR="00116B39" w:rsidRPr="007C450D" w:rsidRDefault="00116B39" w:rsidP="00116B39">
            <w:pPr>
              <w:spacing w:before="40" w:after="40"/>
              <w:jc w:val="right"/>
              <w:rPr>
                <w:sz w:val="16"/>
                <w:szCs w:val="16"/>
              </w:rPr>
            </w:pPr>
            <w:r w:rsidRPr="007C450D">
              <w:rPr>
                <w:sz w:val="16"/>
                <w:szCs w:val="16"/>
              </w:rPr>
              <w:t>423.0</w:t>
            </w:r>
          </w:p>
        </w:tc>
        <w:tc>
          <w:tcPr>
            <w:tcW w:w="266" w:type="dxa"/>
            <w:vAlign w:val="bottom"/>
          </w:tcPr>
          <w:p w14:paraId="213B9B9D" w14:textId="77777777" w:rsidR="00116B39" w:rsidRPr="007C450D" w:rsidRDefault="00116B39" w:rsidP="00116B39">
            <w:pPr>
              <w:spacing w:before="40" w:after="40"/>
              <w:rPr>
                <w:sz w:val="16"/>
                <w:szCs w:val="16"/>
              </w:rPr>
            </w:pPr>
          </w:p>
        </w:tc>
      </w:tr>
      <w:tr w:rsidR="006442D9" w:rsidRPr="007C450D" w14:paraId="2AE07FE5" w14:textId="77777777" w:rsidTr="008C57E0">
        <w:trPr>
          <w:trHeight w:val="57"/>
        </w:trPr>
        <w:tc>
          <w:tcPr>
            <w:tcW w:w="3254" w:type="dxa"/>
          </w:tcPr>
          <w:p w14:paraId="190C96A4" w14:textId="77777777" w:rsidR="006442D9" w:rsidRDefault="006442D9" w:rsidP="006442D9">
            <w:pPr>
              <w:tabs>
                <w:tab w:val="right" w:leader="dot" w:pos="3255"/>
              </w:tabs>
              <w:bidi/>
              <w:spacing w:before="40" w:after="40"/>
              <w:rPr>
                <w:b/>
                <w:bCs/>
                <w:sz w:val="17"/>
                <w:szCs w:val="17"/>
                <w:u w:val="single"/>
                <w:rtl/>
              </w:rPr>
            </w:pPr>
            <w:r>
              <w:rPr>
                <w:rFonts w:hint="cs"/>
                <w:b/>
                <w:bCs/>
                <w:sz w:val="17"/>
                <w:szCs w:val="17"/>
                <w:u w:val="single"/>
                <w:rtl/>
              </w:rPr>
              <w:t>صافي الرافعة المالية</w:t>
            </w:r>
            <w:r>
              <w:rPr>
                <w:sz w:val="17"/>
                <w:szCs w:val="17"/>
              </w:rPr>
              <w:t xml:space="preserve"> </w:t>
            </w:r>
            <w:r w:rsidR="00D942F0" w:rsidRPr="003832A3">
              <w:rPr>
                <w:b/>
                <w:bCs/>
                <w:sz w:val="17"/>
                <w:szCs w:val="17"/>
                <w:rtl/>
              </w:rPr>
              <w:t xml:space="preserve">(شامل </w:t>
            </w:r>
            <w:r w:rsidR="00D942F0" w:rsidRPr="003832A3">
              <w:rPr>
                <w:rFonts w:hint="eastAsia"/>
                <w:b/>
                <w:bCs/>
                <w:sz w:val="17"/>
                <w:szCs w:val="17"/>
                <w:rtl/>
              </w:rPr>
              <w:t>عقود</w:t>
            </w:r>
            <w:r w:rsidR="00D942F0" w:rsidRPr="003832A3">
              <w:rPr>
                <w:b/>
                <w:bCs/>
                <w:sz w:val="17"/>
                <w:szCs w:val="17"/>
                <w:rtl/>
              </w:rPr>
              <w:t xml:space="preserve"> </w:t>
            </w:r>
            <w:r w:rsidR="00D942F0" w:rsidRPr="003832A3">
              <w:rPr>
                <w:rFonts w:hint="eastAsia"/>
                <w:b/>
                <w:bCs/>
                <w:sz w:val="17"/>
                <w:szCs w:val="17"/>
                <w:rtl/>
              </w:rPr>
              <w:t>الايجار</w:t>
            </w:r>
            <w:r w:rsidR="00D942F0" w:rsidRPr="003832A3">
              <w:rPr>
                <w:b/>
                <w:bCs/>
                <w:sz w:val="17"/>
                <w:szCs w:val="17"/>
                <w:rtl/>
              </w:rPr>
              <w:t>)</w:t>
            </w:r>
            <w:r w:rsidRPr="003832A3">
              <w:rPr>
                <w:b/>
                <w:bCs/>
                <w:sz w:val="17"/>
                <w:szCs w:val="17"/>
                <w:vertAlign w:val="superscript"/>
              </w:rPr>
              <w:t>(</w:t>
            </w:r>
            <w:r w:rsidRPr="00155339">
              <w:rPr>
                <w:b/>
                <w:bCs/>
                <w:sz w:val="17"/>
                <w:szCs w:val="17"/>
                <w:vertAlign w:val="superscript"/>
              </w:rPr>
              <w:t>a</w:t>
            </w:r>
            <w:r w:rsidRPr="00155339">
              <w:rPr>
                <w:sz w:val="17"/>
                <w:szCs w:val="17"/>
                <w:vertAlign w:val="superscript"/>
              </w:rPr>
              <w:t xml:space="preserve"> over </w:t>
            </w:r>
            <w:r w:rsidR="00D942F0">
              <w:rPr>
                <w:b/>
                <w:bCs/>
                <w:sz w:val="17"/>
                <w:szCs w:val="17"/>
                <w:vertAlign w:val="superscript"/>
              </w:rPr>
              <w:t>c</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12FBC74E" w14:textId="77777777" w:rsidR="006442D9" w:rsidRDefault="006442D9" w:rsidP="006442D9">
            <w:pPr>
              <w:spacing w:before="40" w:after="40"/>
              <w:rPr>
                <w:sz w:val="16"/>
                <w:szCs w:val="16"/>
              </w:rPr>
            </w:pPr>
          </w:p>
        </w:tc>
        <w:tc>
          <w:tcPr>
            <w:tcW w:w="913" w:type="dxa"/>
          </w:tcPr>
          <w:p w14:paraId="6019B7E0" w14:textId="77777777" w:rsidR="006442D9" w:rsidRPr="007C450D" w:rsidRDefault="00266E69" w:rsidP="00266E69">
            <w:pPr>
              <w:spacing w:before="40" w:after="40"/>
              <w:jc w:val="right"/>
              <w:rPr>
                <w:b/>
                <w:bCs/>
                <w:sz w:val="16"/>
                <w:szCs w:val="16"/>
              </w:rPr>
            </w:pPr>
            <w:r>
              <w:rPr>
                <w:b/>
                <w:bCs/>
                <w:sz w:val="16"/>
                <w:szCs w:val="16"/>
              </w:rPr>
              <w:t>5.4x</w:t>
            </w:r>
          </w:p>
        </w:tc>
        <w:tc>
          <w:tcPr>
            <w:tcW w:w="252" w:type="dxa"/>
            <w:gridSpan w:val="2"/>
            <w:vAlign w:val="bottom"/>
          </w:tcPr>
          <w:p w14:paraId="55B00396" w14:textId="77777777" w:rsidR="006442D9" w:rsidRPr="007C450D" w:rsidRDefault="006442D9" w:rsidP="006442D9">
            <w:pPr>
              <w:spacing w:before="40" w:after="40"/>
              <w:rPr>
                <w:b/>
                <w:bCs/>
                <w:sz w:val="16"/>
                <w:szCs w:val="16"/>
              </w:rPr>
            </w:pPr>
          </w:p>
        </w:tc>
        <w:tc>
          <w:tcPr>
            <w:tcW w:w="924" w:type="dxa"/>
          </w:tcPr>
          <w:p w14:paraId="5C866AF5" w14:textId="77777777" w:rsidR="006442D9" w:rsidRPr="007C450D" w:rsidRDefault="00D359A3" w:rsidP="006442D9">
            <w:pPr>
              <w:spacing w:before="40" w:after="40"/>
              <w:jc w:val="right"/>
              <w:rPr>
                <w:b/>
                <w:bCs/>
                <w:sz w:val="16"/>
                <w:szCs w:val="16"/>
              </w:rPr>
            </w:pPr>
            <w:r>
              <w:rPr>
                <w:b/>
                <w:bCs/>
                <w:sz w:val="16"/>
                <w:szCs w:val="16"/>
              </w:rPr>
              <w:t>3.3x</w:t>
            </w:r>
          </w:p>
        </w:tc>
        <w:tc>
          <w:tcPr>
            <w:tcW w:w="242" w:type="dxa"/>
            <w:vAlign w:val="bottom"/>
          </w:tcPr>
          <w:p w14:paraId="2BC20E33" w14:textId="77777777" w:rsidR="006442D9" w:rsidRPr="007C450D" w:rsidRDefault="006442D9" w:rsidP="006442D9">
            <w:pPr>
              <w:spacing w:before="40" w:after="40"/>
              <w:rPr>
                <w:b/>
                <w:bCs/>
                <w:sz w:val="16"/>
                <w:szCs w:val="16"/>
              </w:rPr>
            </w:pPr>
          </w:p>
        </w:tc>
        <w:tc>
          <w:tcPr>
            <w:tcW w:w="924" w:type="dxa"/>
          </w:tcPr>
          <w:p w14:paraId="4EA78229" w14:textId="77777777" w:rsidR="006442D9" w:rsidRPr="007C450D" w:rsidRDefault="00D359A3" w:rsidP="006442D9">
            <w:pPr>
              <w:spacing w:before="40" w:after="40"/>
              <w:jc w:val="right"/>
              <w:rPr>
                <w:b/>
                <w:bCs/>
                <w:sz w:val="16"/>
                <w:szCs w:val="16"/>
              </w:rPr>
            </w:pPr>
            <w:r>
              <w:rPr>
                <w:b/>
                <w:bCs/>
                <w:sz w:val="16"/>
                <w:szCs w:val="16"/>
              </w:rPr>
              <w:t>2.7x</w:t>
            </w:r>
          </w:p>
        </w:tc>
        <w:tc>
          <w:tcPr>
            <w:tcW w:w="242" w:type="dxa"/>
            <w:vAlign w:val="bottom"/>
          </w:tcPr>
          <w:p w14:paraId="0B392B40" w14:textId="77777777" w:rsidR="006442D9" w:rsidRPr="007C450D" w:rsidRDefault="006442D9" w:rsidP="006442D9">
            <w:pPr>
              <w:spacing w:before="40" w:after="40"/>
              <w:rPr>
                <w:b/>
                <w:bCs/>
                <w:sz w:val="16"/>
                <w:szCs w:val="16"/>
              </w:rPr>
            </w:pPr>
          </w:p>
        </w:tc>
        <w:tc>
          <w:tcPr>
            <w:tcW w:w="924" w:type="dxa"/>
          </w:tcPr>
          <w:p w14:paraId="2B3CED40" w14:textId="77777777" w:rsidR="006442D9" w:rsidRPr="007C450D" w:rsidRDefault="00D359A3" w:rsidP="006442D9">
            <w:pPr>
              <w:spacing w:before="40" w:after="40"/>
              <w:jc w:val="right"/>
              <w:rPr>
                <w:b/>
                <w:bCs/>
                <w:sz w:val="16"/>
                <w:szCs w:val="16"/>
              </w:rPr>
            </w:pPr>
            <w:r w:rsidRPr="007C450D">
              <w:rPr>
                <w:b/>
                <w:bCs/>
                <w:sz w:val="16"/>
                <w:szCs w:val="16"/>
              </w:rPr>
              <w:t>—</w:t>
            </w:r>
          </w:p>
        </w:tc>
        <w:tc>
          <w:tcPr>
            <w:tcW w:w="227" w:type="dxa"/>
            <w:vAlign w:val="bottom"/>
          </w:tcPr>
          <w:p w14:paraId="5B66702A" w14:textId="77777777" w:rsidR="006442D9" w:rsidRDefault="006442D9" w:rsidP="006442D9">
            <w:pPr>
              <w:spacing w:before="40" w:after="40"/>
              <w:rPr>
                <w:b/>
                <w:bCs/>
                <w:sz w:val="16"/>
                <w:szCs w:val="16"/>
              </w:rPr>
            </w:pPr>
          </w:p>
        </w:tc>
        <w:tc>
          <w:tcPr>
            <w:tcW w:w="939" w:type="dxa"/>
          </w:tcPr>
          <w:p w14:paraId="03E9D2C7" w14:textId="77777777" w:rsidR="006442D9" w:rsidRPr="007C450D" w:rsidRDefault="00D359A3" w:rsidP="006442D9">
            <w:pPr>
              <w:spacing w:before="40" w:after="40"/>
              <w:jc w:val="right"/>
              <w:rPr>
                <w:b/>
                <w:bCs/>
                <w:sz w:val="16"/>
                <w:szCs w:val="16"/>
              </w:rPr>
            </w:pPr>
            <w:r>
              <w:rPr>
                <w:b/>
                <w:bCs/>
                <w:sz w:val="16"/>
                <w:szCs w:val="16"/>
              </w:rPr>
              <w:t>2.3x</w:t>
            </w:r>
          </w:p>
        </w:tc>
        <w:tc>
          <w:tcPr>
            <w:tcW w:w="266" w:type="dxa"/>
            <w:vAlign w:val="bottom"/>
          </w:tcPr>
          <w:p w14:paraId="3C47D5C3" w14:textId="77777777" w:rsidR="006442D9" w:rsidRPr="007C450D" w:rsidRDefault="006442D9" w:rsidP="006442D9">
            <w:pPr>
              <w:spacing w:before="40" w:after="40"/>
              <w:rPr>
                <w:b/>
                <w:bCs/>
                <w:sz w:val="16"/>
                <w:szCs w:val="16"/>
              </w:rPr>
            </w:pPr>
          </w:p>
        </w:tc>
      </w:tr>
      <w:tr w:rsidR="006442D9" w:rsidRPr="007C450D" w14:paraId="694E05FC" w14:textId="77777777" w:rsidTr="008C57E0">
        <w:tc>
          <w:tcPr>
            <w:tcW w:w="3254" w:type="dxa"/>
          </w:tcPr>
          <w:p w14:paraId="019736CF" w14:textId="77777777" w:rsidR="006442D9" w:rsidRPr="007C450D" w:rsidRDefault="006442D9" w:rsidP="006442D9">
            <w:pPr>
              <w:tabs>
                <w:tab w:val="right" w:leader="dot" w:pos="3255"/>
              </w:tabs>
              <w:bidi/>
              <w:spacing w:before="40" w:after="40"/>
              <w:rPr>
                <w:b/>
                <w:bCs/>
                <w:sz w:val="16"/>
                <w:szCs w:val="16"/>
                <w:u w:val="single"/>
              </w:rPr>
            </w:pPr>
            <w:r>
              <w:rPr>
                <w:rFonts w:hint="cs"/>
                <w:b/>
                <w:bCs/>
                <w:sz w:val="17"/>
                <w:szCs w:val="17"/>
                <w:u w:val="single"/>
                <w:rtl/>
              </w:rPr>
              <w:t>صافي الرافعة المالية</w:t>
            </w:r>
            <w:r w:rsidR="00D942F0">
              <w:rPr>
                <w:rFonts w:hint="cs"/>
                <w:b/>
                <w:bCs/>
                <w:sz w:val="17"/>
                <w:szCs w:val="17"/>
                <w:u w:val="single"/>
                <w:rtl/>
              </w:rPr>
              <w:t xml:space="preserve"> (باستثناء عقود الايجار)</w:t>
            </w:r>
            <w:r>
              <w:rPr>
                <w:sz w:val="17"/>
                <w:szCs w:val="17"/>
              </w:rPr>
              <w:t xml:space="preserve"> </w:t>
            </w:r>
            <w:r w:rsidRPr="00155339">
              <w:rPr>
                <w:sz w:val="17"/>
                <w:szCs w:val="17"/>
                <w:vertAlign w:val="superscript"/>
              </w:rPr>
              <w:t>(</w:t>
            </w:r>
            <w:r w:rsidRPr="00155339">
              <w:rPr>
                <w:b/>
                <w:bCs/>
                <w:sz w:val="17"/>
                <w:szCs w:val="17"/>
                <w:vertAlign w:val="superscript"/>
              </w:rPr>
              <w:t>a</w:t>
            </w:r>
            <w:r w:rsidRPr="00155339">
              <w:rPr>
                <w:sz w:val="17"/>
                <w:szCs w:val="17"/>
                <w:vertAlign w:val="superscript"/>
              </w:rPr>
              <w:t xml:space="preserve"> </w:t>
            </w:r>
            <w:r w:rsidR="00D942F0" w:rsidRPr="00155339">
              <w:rPr>
                <w:sz w:val="17"/>
                <w:szCs w:val="17"/>
                <w:vertAlign w:val="superscript"/>
              </w:rPr>
              <w:t>over</w:t>
            </w:r>
            <w:r w:rsidR="00D942F0">
              <w:rPr>
                <w:sz w:val="17"/>
                <w:szCs w:val="17"/>
                <w:vertAlign w:val="superscript"/>
              </w:rPr>
              <w:t xml:space="preserve"> </w:t>
            </w:r>
            <w:r w:rsidR="00D942F0" w:rsidRPr="003832A3">
              <w:rPr>
                <w:b/>
                <w:bCs/>
                <w:sz w:val="17"/>
                <w:szCs w:val="17"/>
                <w:vertAlign w:val="superscript"/>
              </w:rPr>
              <w:t>c</w:t>
            </w:r>
            <w:r w:rsidRPr="00155339">
              <w:rPr>
                <w:sz w:val="17"/>
                <w:szCs w:val="17"/>
                <w:vertAlign w:val="superscript"/>
              </w:rPr>
              <w:t>)</w:t>
            </w:r>
            <w:r w:rsidRPr="007D2480">
              <w:rPr>
                <w:sz w:val="17"/>
              </w:rPr>
              <w:t xml:space="preserve"> </w:t>
            </w:r>
            <w:r w:rsidRPr="007D2480">
              <w:rPr>
                <w:sz w:val="17"/>
              </w:rPr>
              <w:tab/>
            </w:r>
          </w:p>
        </w:tc>
        <w:tc>
          <w:tcPr>
            <w:tcW w:w="242" w:type="dxa"/>
            <w:vAlign w:val="bottom"/>
          </w:tcPr>
          <w:p w14:paraId="211E42AC" w14:textId="77777777" w:rsidR="006442D9" w:rsidRPr="007C450D" w:rsidRDefault="006442D9" w:rsidP="006442D9">
            <w:pPr>
              <w:spacing w:before="40" w:after="40"/>
              <w:rPr>
                <w:sz w:val="16"/>
                <w:szCs w:val="16"/>
              </w:rPr>
            </w:pPr>
          </w:p>
        </w:tc>
        <w:tc>
          <w:tcPr>
            <w:tcW w:w="913" w:type="dxa"/>
          </w:tcPr>
          <w:p w14:paraId="20F07F0E" w14:textId="77777777" w:rsidR="006442D9" w:rsidRPr="007C450D" w:rsidRDefault="006442D9" w:rsidP="006442D9">
            <w:pPr>
              <w:spacing w:before="40" w:after="40"/>
              <w:jc w:val="right"/>
              <w:rPr>
                <w:b/>
                <w:bCs/>
                <w:color w:val="000000"/>
                <w:sz w:val="16"/>
                <w:szCs w:val="16"/>
              </w:rPr>
            </w:pPr>
            <w:r w:rsidRPr="007C450D">
              <w:rPr>
                <w:b/>
                <w:bCs/>
                <w:sz w:val="16"/>
                <w:szCs w:val="16"/>
              </w:rPr>
              <w:t>5.0</w:t>
            </w:r>
            <w:r w:rsidR="004C365C">
              <w:rPr>
                <w:b/>
                <w:bCs/>
                <w:sz w:val="16"/>
                <w:szCs w:val="16"/>
              </w:rPr>
              <w:t>x</w:t>
            </w:r>
          </w:p>
        </w:tc>
        <w:tc>
          <w:tcPr>
            <w:tcW w:w="252" w:type="dxa"/>
            <w:gridSpan w:val="2"/>
            <w:vAlign w:val="bottom"/>
          </w:tcPr>
          <w:p w14:paraId="4546EE66" w14:textId="77777777" w:rsidR="006442D9" w:rsidRPr="007C450D" w:rsidRDefault="006442D9" w:rsidP="006442D9">
            <w:pPr>
              <w:spacing w:before="40" w:after="40"/>
              <w:rPr>
                <w:b/>
                <w:bCs/>
                <w:color w:val="000000"/>
                <w:sz w:val="16"/>
                <w:szCs w:val="16"/>
              </w:rPr>
            </w:pPr>
          </w:p>
        </w:tc>
        <w:tc>
          <w:tcPr>
            <w:tcW w:w="924" w:type="dxa"/>
          </w:tcPr>
          <w:p w14:paraId="4D34AAFD" w14:textId="77777777" w:rsidR="006442D9" w:rsidRPr="007C450D" w:rsidRDefault="006442D9" w:rsidP="006442D9">
            <w:pPr>
              <w:spacing w:before="40" w:after="40"/>
              <w:jc w:val="right"/>
              <w:rPr>
                <w:b/>
                <w:bCs/>
                <w:color w:val="000000"/>
                <w:sz w:val="16"/>
                <w:szCs w:val="16"/>
              </w:rPr>
            </w:pPr>
            <w:r w:rsidRPr="007C450D">
              <w:rPr>
                <w:b/>
                <w:bCs/>
                <w:sz w:val="16"/>
                <w:szCs w:val="16"/>
              </w:rPr>
              <w:t>2.7</w:t>
            </w:r>
            <w:r w:rsidR="004C365C">
              <w:rPr>
                <w:b/>
                <w:bCs/>
                <w:sz w:val="16"/>
                <w:szCs w:val="16"/>
              </w:rPr>
              <w:t>x</w:t>
            </w:r>
          </w:p>
        </w:tc>
        <w:tc>
          <w:tcPr>
            <w:tcW w:w="242" w:type="dxa"/>
            <w:vAlign w:val="bottom"/>
          </w:tcPr>
          <w:p w14:paraId="78908BAA" w14:textId="77777777" w:rsidR="006442D9" w:rsidRPr="007C450D" w:rsidRDefault="006442D9" w:rsidP="006442D9">
            <w:pPr>
              <w:spacing w:before="40" w:after="40"/>
              <w:rPr>
                <w:b/>
                <w:bCs/>
                <w:color w:val="000000"/>
                <w:sz w:val="16"/>
                <w:szCs w:val="16"/>
              </w:rPr>
            </w:pPr>
          </w:p>
        </w:tc>
        <w:tc>
          <w:tcPr>
            <w:tcW w:w="924" w:type="dxa"/>
          </w:tcPr>
          <w:p w14:paraId="5C4AFE34" w14:textId="77777777" w:rsidR="006442D9" w:rsidRPr="007C450D" w:rsidRDefault="006442D9" w:rsidP="006442D9">
            <w:pPr>
              <w:spacing w:before="40" w:after="40"/>
              <w:jc w:val="right"/>
              <w:rPr>
                <w:b/>
                <w:bCs/>
                <w:color w:val="000000"/>
                <w:sz w:val="16"/>
                <w:szCs w:val="16"/>
              </w:rPr>
            </w:pPr>
            <w:r w:rsidRPr="007C450D">
              <w:rPr>
                <w:b/>
                <w:bCs/>
                <w:sz w:val="16"/>
                <w:szCs w:val="16"/>
              </w:rPr>
              <w:t>1.8</w:t>
            </w:r>
            <w:r w:rsidR="004C365C">
              <w:rPr>
                <w:b/>
                <w:bCs/>
                <w:sz w:val="16"/>
                <w:szCs w:val="16"/>
              </w:rPr>
              <w:t>x</w:t>
            </w:r>
          </w:p>
        </w:tc>
        <w:tc>
          <w:tcPr>
            <w:tcW w:w="242" w:type="dxa"/>
            <w:vAlign w:val="bottom"/>
          </w:tcPr>
          <w:p w14:paraId="4406FE10" w14:textId="77777777" w:rsidR="006442D9" w:rsidRPr="007C450D" w:rsidRDefault="006442D9" w:rsidP="006442D9">
            <w:pPr>
              <w:spacing w:before="40" w:after="40"/>
              <w:rPr>
                <w:b/>
                <w:bCs/>
                <w:sz w:val="16"/>
                <w:szCs w:val="16"/>
              </w:rPr>
            </w:pPr>
          </w:p>
        </w:tc>
        <w:tc>
          <w:tcPr>
            <w:tcW w:w="924" w:type="dxa"/>
          </w:tcPr>
          <w:p w14:paraId="5B4D783D" w14:textId="77777777" w:rsidR="006442D9" w:rsidRPr="007C450D" w:rsidRDefault="006442D9" w:rsidP="006442D9">
            <w:pPr>
              <w:spacing w:before="40" w:after="40"/>
              <w:jc w:val="right"/>
              <w:rPr>
                <w:b/>
                <w:bCs/>
                <w:sz w:val="16"/>
                <w:szCs w:val="16"/>
              </w:rPr>
            </w:pPr>
            <w:r w:rsidRPr="007C450D">
              <w:rPr>
                <w:b/>
                <w:bCs/>
                <w:sz w:val="16"/>
                <w:szCs w:val="16"/>
              </w:rPr>
              <w:t>—</w:t>
            </w:r>
          </w:p>
        </w:tc>
        <w:tc>
          <w:tcPr>
            <w:tcW w:w="227" w:type="dxa"/>
            <w:vAlign w:val="bottom"/>
          </w:tcPr>
          <w:p w14:paraId="460AA07D" w14:textId="77777777" w:rsidR="006442D9" w:rsidRPr="007C450D" w:rsidRDefault="006442D9" w:rsidP="006442D9">
            <w:pPr>
              <w:spacing w:before="40" w:after="40"/>
              <w:rPr>
                <w:b/>
                <w:bCs/>
                <w:sz w:val="16"/>
                <w:szCs w:val="16"/>
              </w:rPr>
            </w:pPr>
          </w:p>
        </w:tc>
        <w:tc>
          <w:tcPr>
            <w:tcW w:w="939" w:type="dxa"/>
          </w:tcPr>
          <w:p w14:paraId="20BBBD92" w14:textId="77777777" w:rsidR="006442D9" w:rsidRPr="007C450D" w:rsidRDefault="006442D9" w:rsidP="006442D9">
            <w:pPr>
              <w:spacing w:before="40" w:after="40"/>
              <w:jc w:val="right"/>
              <w:rPr>
                <w:b/>
                <w:bCs/>
                <w:sz w:val="16"/>
                <w:szCs w:val="16"/>
              </w:rPr>
            </w:pPr>
            <w:r w:rsidRPr="007C450D">
              <w:rPr>
                <w:b/>
                <w:bCs/>
                <w:sz w:val="16"/>
                <w:szCs w:val="16"/>
              </w:rPr>
              <w:t>1.6</w:t>
            </w:r>
            <w:r w:rsidR="004C365C">
              <w:rPr>
                <w:b/>
                <w:bCs/>
                <w:sz w:val="16"/>
                <w:szCs w:val="16"/>
              </w:rPr>
              <w:t>x</w:t>
            </w:r>
          </w:p>
        </w:tc>
        <w:tc>
          <w:tcPr>
            <w:tcW w:w="266" w:type="dxa"/>
            <w:vAlign w:val="bottom"/>
          </w:tcPr>
          <w:p w14:paraId="5D643B91" w14:textId="77777777" w:rsidR="006442D9" w:rsidRPr="007C450D" w:rsidRDefault="006442D9" w:rsidP="006442D9">
            <w:pPr>
              <w:spacing w:before="40" w:after="40"/>
              <w:rPr>
                <w:b/>
                <w:bCs/>
                <w:sz w:val="16"/>
                <w:szCs w:val="16"/>
              </w:rPr>
            </w:pPr>
          </w:p>
        </w:tc>
      </w:tr>
    </w:tbl>
    <w:p w14:paraId="71488C5B" w14:textId="77777777" w:rsidR="00E63A87" w:rsidRDefault="00E63A87" w:rsidP="00272B36">
      <w:pPr>
        <w:autoSpaceDE w:val="0"/>
        <w:autoSpaceDN w:val="0"/>
        <w:bidi/>
        <w:adjustRightInd w:val="0"/>
        <w:rPr>
          <w:rFonts w:ascii="Traditional Arabic" w:hAnsi="Traditional Arabic" w:cs="Traditional Arabic"/>
          <w:b/>
          <w:bCs/>
          <w:sz w:val="30"/>
          <w:szCs w:val="30"/>
          <w:rtl/>
          <w:lang w:bidi="ar-EG"/>
        </w:rPr>
      </w:pPr>
      <w:r>
        <w:rPr>
          <w:rFonts w:ascii="Traditional Arabic" w:hAnsi="Traditional Arabic" w:cs="Traditional Arabic"/>
          <w:b/>
          <w:bCs/>
          <w:sz w:val="30"/>
          <w:szCs w:val="30"/>
          <w:rtl/>
          <w:lang w:bidi="ar-EG"/>
        </w:rPr>
        <w:br w:type="page"/>
      </w:r>
    </w:p>
    <w:p w14:paraId="073D69E9" w14:textId="77777777" w:rsidR="00A64D52" w:rsidRDefault="00A64D52" w:rsidP="00272B36">
      <w:pPr>
        <w:autoSpaceDE w:val="0"/>
        <w:autoSpaceDN w:val="0"/>
        <w:bidi/>
        <w:adjustRightInd w:val="0"/>
        <w:rPr>
          <w:rFonts w:ascii="Traditional Arabic" w:hAnsi="Traditional Arabic" w:cs="Traditional Arabic"/>
          <w:b/>
          <w:bCs/>
          <w:sz w:val="30"/>
          <w:szCs w:val="30"/>
          <w:rtl/>
          <w:lang w:bidi="ar-EG"/>
        </w:rPr>
      </w:pPr>
    </w:p>
    <w:p w14:paraId="5A14C405" w14:textId="77777777" w:rsidR="004D1AA2" w:rsidRPr="00EB5BCF" w:rsidRDefault="00C47B67" w:rsidP="00A64D52">
      <w:pPr>
        <w:autoSpaceDE w:val="0"/>
        <w:autoSpaceDN w:val="0"/>
        <w:bidi/>
        <w:adjustRightInd w:val="0"/>
        <w:jc w:val="center"/>
        <w:rPr>
          <w:rFonts w:ascii="Traditional Arabic" w:hAnsi="Traditional Arabic" w:cs="Traditional Arabic"/>
          <w:b/>
          <w:bCs/>
          <w:sz w:val="30"/>
          <w:szCs w:val="30"/>
          <w:rtl/>
          <w:lang w:bidi="ar-EG"/>
        </w:rPr>
      </w:pPr>
      <w:r w:rsidRPr="00EB5BCF">
        <w:rPr>
          <w:rFonts w:ascii="Traditional Arabic" w:hAnsi="Traditional Arabic" w:cs="Traditional Arabic"/>
          <w:b/>
          <w:bCs/>
          <w:sz w:val="30"/>
          <w:szCs w:val="30"/>
          <w:rtl/>
          <w:lang w:bidi="ar-EG"/>
        </w:rPr>
        <w:t xml:space="preserve">الفصل </w:t>
      </w:r>
      <w:r w:rsidR="00A263F6">
        <w:rPr>
          <w:rFonts w:ascii="Traditional Arabic" w:hAnsi="Traditional Arabic" w:cs="Traditional Arabic" w:hint="cs"/>
          <w:b/>
          <w:bCs/>
          <w:sz w:val="30"/>
          <w:szCs w:val="30"/>
          <w:rtl/>
          <w:lang w:bidi="ar-EG"/>
        </w:rPr>
        <w:t>الرابع</w:t>
      </w:r>
      <w:r w:rsidR="00A263F6" w:rsidRPr="00EB5BCF">
        <w:rPr>
          <w:rFonts w:ascii="Traditional Arabic" w:hAnsi="Traditional Arabic" w:cs="Traditional Arabic"/>
          <w:b/>
          <w:bCs/>
          <w:sz w:val="30"/>
          <w:szCs w:val="30"/>
          <w:rtl/>
          <w:lang w:bidi="ar-EG"/>
        </w:rPr>
        <w:t xml:space="preserve"> </w:t>
      </w:r>
      <w:r w:rsidRPr="00EB5BCF">
        <w:rPr>
          <w:rFonts w:ascii="Traditional Arabic" w:hAnsi="Traditional Arabic" w:cs="Traditional Arabic"/>
          <w:b/>
          <w:bCs/>
          <w:sz w:val="30"/>
          <w:szCs w:val="30"/>
          <w:rtl/>
          <w:lang w:bidi="ar-EG"/>
        </w:rPr>
        <w:t>عشر</w:t>
      </w:r>
    </w:p>
    <w:p w14:paraId="69B0CC61" w14:textId="77777777" w:rsidR="00F03870" w:rsidRDefault="00F03870" w:rsidP="00F03870">
      <w:pPr>
        <w:autoSpaceDE w:val="0"/>
        <w:autoSpaceDN w:val="0"/>
        <w:bidi/>
        <w:adjustRightInd w:val="0"/>
        <w:jc w:val="center"/>
        <w:rPr>
          <w:rFonts w:ascii="Traditional Arabic" w:hAnsi="Traditional Arabic" w:cs="Traditional Arabic"/>
          <w:b/>
          <w:bCs/>
          <w:sz w:val="30"/>
          <w:szCs w:val="30"/>
          <w:rtl/>
        </w:rPr>
      </w:pPr>
      <w:r w:rsidRPr="00F03870">
        <w:rPr>
          <w:rFonts w:ascii="Traditional Arabic" w:hAnsi="Traditional Arabic" w:cs="Traditional Arabic"/>
          <w:b/>
          <w:bCs/>
          <w:sz w:val="30"/>
          <w:szCs w:val="30"/>
          <w:rtl/>
        </w:rPr>
        <w:t>مناقشة</w:t>
      </w:r>
      <w:r w:rsidRPr="00F03870">
        <w:rPr>
          <w:rFonts w:ascii="Traditional Arabic" w:hAnsi="Traditional Arabic" w:cs="Traditional Arabic"/>
          <w:b/>
          <w:bCs/>
          <w:sz w:val="30"/>
          <w:szCs w:val="30"/>
          <w:lang w:bidi="ar-EG"/>
        </w:rPr>
        <w:t xml:space="preserve"> </w:t>
      </w:r>
      <w:r w:rsidRPr="00F03870">
        <w:rPr>
          <w:rFonts w:ascii="Traditional Arabic" w:hAnsi="Traditional Arabic" w:cs="Traditional Arabic"/>
          <w:b/>
          <w:bCs/>
          <w:sz w:val="30"/>
          <w:szCs w:val="30"/>
          <w:rtl/>
        </w:rPr>
        <w:t>الإدارة</w:t>
      </w:r>
      <w:r w:rsidRPr="00F03870">
        <w:rPr>
          <w:rFonts w:ascii="Traditional Arabic" w:hAnsi="Traditional Arabic" w:cs="Traditional Arabic"/>
          <w:b/>
          <w:bCs/>
          <w:sz w:val="30"/>
          <w:szCs w:val="30"/>
          <w:lang w:bidi="ar-EG"/>
        </w:rPr>
        <w:t xml:space="preserve"> </w:t>
      </w:r>
      <w:r w:rsidRPr="00F03870">
        <w:rPr>
          <w:rFonts w:ascii="Traditional Arabic" w:hAnsi="Traditional Arabic" w:cs="Traditional Arabic"/>
          <w:b/>
          <w:bCs/>
          <w:sz w:val="30"/>
          <w:szCs w:val="30"/>
          <w:rtl/>
        </w:rPr>
        <w:t>وتحليلها</w:t>
      </w:r>
      <w:r w:rsidRPr="00F03870">
        <w:rPr>
          <w:rFonts w:ascii="Traditional Arabic" w:hAnsi="Traditional Arabic" w:cs="Traditional Arabic"/>
          <w:b/>
          <w:bCs/>
          <w:sz w:val="30"/>
          <w:szCs w:val="30"/>
          <w:lang w:bidi="ar-EG"/>
        </w:rPr>
        <w:t xml:space="preserve"> </w:t>
      </w:r>
      <w:r w:rsidRPr="00F03870">
        <w:rPr>
          <w:rFonts w:ascii="Traditional Arabic" w:hAnsi="Traditional Arabic" w:cs="Traditional Arabic"/>
          <w:b/>
          <w:bCs/>
          <w:sz w:val="30"/>
          <w:szCs w:val="30"/>
          <w:rtl/>
        </w:rPr>
        <w:t>للوضع</w:t>
      </w:r>
      <w:r w:rsidRPr="00F03870">
        <w:rPr>
          <w:rFonts w:ascii="Traditional Arabic" w:hAnsi="Traditional Arabic" w:cs="Traditional Arabic"/>
          <w:b/>
          <w:bCs/>
          <w:sz w:val="30"/>
          <w:szCs w:val="30"/>
          <w:lang w:bidi="ar-EG"/>
        </w:rPr>
        <w:t xml:space="preserve"> </w:t>
      </w:r>
      <w:r w:rsidRPr="00F03870">
        <w:rPr>
          <w:rFonts w:ascii="Traditional Arabic" w:hAnsi="Traditional Arabic" w:cs="Traditional Arabic"/>
          <w:b/>
          <w:bCs/>
          <w:sz w:val="30"/>
          <w:szCs w:val="30"/>
          <w:rtl/>
        </w:rPr>
        <w:t>المالي</w:t>
      </w:r>
      <w:r w:rsidRPr="00F03870">
        <w:rPr>
          <w:rFonts w:ascii="Traditional Arabic" w:hAnsi="Traditional Arabic" w:cs="Traditional Arabic"/>
          <w:b/>
          <w:bCs/>
          <w:sz w:val="30"/>
          <w:szCs w:val="30"/>
          <w:lang w:bidi="ar-EG"/>
        </w:rPr>
        <w:t xml:space="preserve"> </w:t>
      </w:r>
      <w:r w:rsidRPr="00F03870">
        <w:rPr>
          <w:rFonts w:ascii="Traditional Arabic" w:hAnsi="Traditional Arabic" w:cs="Traditional Arabic"/>
          <w:b/>
          <w:bCs/>
          <w:sz w:val="30"/>
          <w:szCs w:val="30"/>
          <w:rtl/>
        </w:rPr>
        <w:t>ونتائج</w:t>
      </w:r>
      <w:r w:rsidRPr="00F03870">
        <w:rPr>
          <w:rFonts w:ascii="Traditional Arabic" w:hAnsi="Traditional Arabic" w:cs="Traditional Arabic"/>
          <w:b/>
          <w:bCs/>
          <w:sz w:val="30"/>
          <w:szCs w:val="30"/>
          <w:lang w:bidi="ar-EG"/>
        </w:rPr>
        <w:t xml:space="preserve"> </w:t>
      </w:r>
      <w:r w:rsidRPr="00F03870">
        <w:rPr>
          <w:rFonts w:ascii="Traditional Arabic" w:hAnsi="Traditional Arabic" w:cs="Traditional Arabic"/>
          <w:b/>
          <w:bCs/>
          <w:sz w:val="30"/>
          <w:szCs w:val="30"/>
          <w:rtl/>
        </w:rPr>
        <w:t>ال</w:t>
      </w:r>
      <w:r>
        <w:rPr>
          <w:rFonts w:ascii="Traditional Arabic" w:hAnsi="Traditional Arabic" w:cs="Traditional Arabic" w:hint="cs"/>
          <w:b/>
          <w:bCs/>
          <w:sz w:val="30"/>
          <w:szCs w:val="30"/>
          <w:rtl/>
        </w:rPr>
        <w:t>أعمال</w:t>
      </w:r>
    </w:p>
    <w:p w14:paraId="3E9D99E7" w14:textId="77777777" w:rsidR="000B5F78" w:rsidRPr="00B934CE" w:rsidRDefault="000B5F78" w:rsidP="000B5F78">
      <w:pPr>
        <w:autoSpaceDE w:val="0"/>
        <w:autoSpaceDN w:val="0"/>
        <w:bidi/>
        <w:adjustRightInd w:val="0"/>
        <w:jc w:val="center"/>
        <w:rPr>
          <w:rFonts w:ascii="Traditional Arabic" w:hAnsi="Traditional Arabic" w:cs="Traditional Arabic"/>
          <w:sz w:val="30"/>
          <w:szCs w:val="30"/>
          <w:rtl/>
        </w:rPr>
      </w:pPr>
    </w:p>
    <w:p w14:paraId="3F2605A4" w14:textId="77777777" w:rsidR="007A4AC6" w:rsidRPr="00B934CE" w:rsidRDefault="000B5F78" w:rsidP="000B5F78">
      <w:pPr>
        <w:autoSpaceDE w:val="0"/>
        <w:autoSpaceDN w:val="0"/>
        <w:bidi/>
        <w:adjustRightInd w:val="0"/>
        <w:jc w:val="both"/>
        <w:rPr>
          <w:rFonts w:ascii="Traditional Arabic" w:hAnsi="Traditional Arabic" w:cs="Traditional Arabic"/>
          <w:i/>
          <w:iCs/>
          <w:sz w:val="30"/>
          <w:szCs w:val="30"/>
          <w:rtl/>
          <w:lang w:bidi="ar-EG"/>
        </w:rPr>
      </w:pPr>
      <w:r w:rsidRPr="00B934CE">
        <w:rPr>
          <w:rFonts w:ascii="Traditional Arabic" w:hAnsi="Traditional Arabic" w:cs="Traditional Arabic" w:hint="eastAsia"/>
          <w:i/>
          <w:iCs/>
          <w:sz w:val="30"/>
          <w:szCs w:val="30"/>
          <w:rtl/>
          <w:lang w:bidi="ar-EG"/>
        </w:rPr>
        <w:t>ي</w:t>
      </w:r>
      <w:r w:rsidRPr="00B934CE">
        <w:rPr>
          <w:rFonts w:ascii="Traditional Arabic" w:hAnsi="Traditional Arabic" w:cs="Traditional Arabic"/>
          <w:i/>
          <w:iCs/>
          <w:sz w:val="30"/>
          <w:szCs w:val="30"/>
          <w:rtl/>
          <w:lang w:bidi="ar-EG"/>
        </w:rPr>
        <w:t xml:space="preserve">جب قراءة المناقشة والتحليل التاليين للوضع المالي ونتائج عمليات الشركة بالتزامن مع المعلومات الواردة في "الفصل الثالث عشر </w:t>
      </w:r>
      <w:r w:rsidR="002D0FF4" w:rsidRPr="00B934CE">
        <w:rPr>
          <w:rFonts w:ascii="Traditional Arabic" w:hAnsi="Traditional Arabic" w:cs="Traditional Arabic"/>
          <w:i/>
          <w:iCs/>
          <w:sz w:val="30"/>
          <w:szCs w:val="30"/>
          <w:rtl/>
          <w:lang w:bidi="ar-EG"/>
        </w:rPr>
        <w:t>–</w:t>
      </w:r>
      <w:r w:rsidRPr="00B934CE">
        <w:rPr>
          <w:rFonts w:ascii="Traditional Arabic" w:hAnsi="Traditional Arabic" w:cs="Traditional Arabic"/>
          <w:i/>
          <w:iCs/>
          <w:sz w:val="30"/>
          <w:szCs w:val="30"/>
          <w:rtl/>
          <w:lang w:bidi="ar-EG"/>
        </w:rPr>
        <w:t xml:space="preserve"> </w:t>
      </w:r>
      <w:r w:rsidR="002D0FF4" w:rsidRPr="00B934CE">
        <w:rPr>
          <w:rFonts w:ascii="Traditional Arabic" w:hAnsi="Traditional Arabic" w:cs="Traditional Arabic" w:hint="eastAsia"/>
          <w:i/>
          <w:iCs/>
          <w:sz w:val="30"/>
          <w:szCs w:val="30"/>
          <w:rtl/>
          <w:lang w:bidi="ar-EG"/>
        </w:rPr>
        <w:t>بيانات</w:t>
      </w:r>
      <w:r w:rsidR="002D0FF4" w:rsidRPr="00B934CE">
        <w:rPr>
          <w:rFonts w:ascii="Traditional Arabic" w:hAnsi="Traditional Arabic" w:cs="Traditional Arabic"/>
          <w:i/>
          <w:iCs/>
          <w:sz w:val="30"/>
          <w:szCs w:val="30"/>
          <w:rtl/>
          <w:lang w:bidi="ar-EG"/>
        </w:rPr>
        <w:t xml:space="preserve"> </w:t>
      </w:r>
      <w:r w:rsidR="002D0FF4" w:rsidRPr="00B934CE">
        <w:rPr>
          <w:rFonts w:ascii="Traditional Arabic" w:hAnsi="Traditional Arabic" w:cs="Traditional Arabic" w:hint="eastAsia"/>
          <w:i/>
          <w:iCs/>
          <w:sz w:val="30"/>
          <w:szCs w:val="30"/>
          <w:rtl/>
          <w:lang w:bidi="ar-EG"/>
        </w:rPr>
        <w:t>مالية</w:t>
      </w:r>
      <w:r w:rsidRPr="00B934CE">
        <w:rPr>
          <w:rFonts w:ascii="Traditional Arabic" w:hAnsi="Traditional Arabic" w:cs="Traditional Arabic"/>
          <w:i/>
          <w:iCs/>
          <w:sz w:val="30"/>
          <w:szCs w:val="30"/>
          <w:rtl/>
          <w:lang w:bidi="ar-EG"/>
        </w:rPr>
        <w:t xml:space="preserve"> مختارة" والقوائم المالية حتى نهاية 31 ديسمبر 2021 و2022 و2023 والأشهر التسعة المنتهية في سبتمبر 2023 و2024 المدرجة في مكان آخر في هذا النشرة. للحصول على وصف للمعلومات المالية المقدمة في هذه النشرة، يرجى الاطلاع على "عرض البيانات المالية و</w:t>
      </w:r>
      <w:r w:rsidR="007A4AC6" w:rsidRPr="00B934CE">
        <w:rPr>
          <w:rFonts w:ascii="Traditional Arabic" w:hAnsi="Traditional Arabic" w:cs="Traditional Arabic" w:hint="eastAsia"/>
          <w:i/>
          <w:iCs/>
          <w:sz w:val="30"/>
          <w:szCs w:val="30"/>
          <w:rtl/>
          <w:lang w:bidi="ar-EG"/>
        </w:rPr>
        <w:t>بيانات</w:t>
      </w:r>
      <w:r w:rsidR="007A4AC6" w:rsidRPr="00B934CE">
        <w:rPr>
          <w:rFonts w:ascii="Traditional Arabic" w:hAnsi="Traditional Arabic" w:cs="Traditional Arabic"/>
          <w:i/>
          <w:iCs/>
          <w:sz w:val="30"/>
          <w:szCs w:val="30"/>
          <w:rtl/>
          <w:lang w:bidi="ar-EG"/>
        </w:rPr>
        <w:t xml:space="preserve"> </w:t>
      </w:r>
      <w:r w:rsidR="007A4AC6" w:rsidRPr="00B934CE">
        <w:rPr>
          <w:rFonts w:ascii="Traditional Arabic" w:hAnsi="Traditional Arabic" w:cs="Traditional Arabic" w:hint="eastAsia"/>
          <w:i/>
          <w:iCs/>
          <w:sz w:val="30"/>
          <w:szCs w:val="30"/>
          <w:rtl/>
          <w:lang w:bidi="ar-EG"/>
        </w:rPr>
        <w:t>القطاع</w:t>
      </w:r>
      <w:r w:rsidR="007A4AC6" w:rsidRPr="00B934CE">
        <w:rPr>
          <w:rFonts w:ascii="Traditional Arabic" w:hAnsi="Traditional Arabic" w:cs="Traditional Arabic"/>
          <w:i/>
          <w:iCs/>
          <w:sz w:val="30"/>
          <w:szCs w:val="30"/>
          <w:rtl/>
          <w:lang w:bidi="ar-EG"/>
        </w:rPr>
        <w:t xml:space="preserve"> </w:t>
      </w:r>
      <w:r w:rsidR="007A4AC6" w:rsidRPr="00B934CE">
        <w:rPr>
          <w:rFonts w:ascii="Traditional Arabic" w:hAnsi="Traditional Arabic" w:cs="Traditional Arabic" w:hint="eastAsia"/>
          <w:i/>
          <w:iCs/>
          <w:sz w:val="30"/>
          <w:szCs w:val="30"/>
          <w:rtl/>
          <w:lang w:bidi="ar-EG"/>
        </w:rPr>
        <w:t>والسوق</w:t>
      </w:r>
      <w:r w:rsidRPr="00B934CE">
        <w:rPr>
          <w:rFonts w:ascii="Traditional Arabic" w:hAnsi="Traditional Arabic" w:cs="Traditional Arabic"/>
          <w:i/>
          <w:iCs/>
          <w:sz w:val="30"/>
          <w:szCs w:val="30"/>
          <w:rtl/>
          <w:lang w:bidi="ar-EG"/>
        </w:rPr>
        <w:t>".</w:t>
      </w:r>
    </w:p>
    <w:p w14:paraId="30B32C70" w14:textId="77777777" w:rsidR="007A4AC6" w:rsidRPr="00B934CE" w:rsidRDefault="007A4AC6" w:rsidP="007A4AC6">
      <w:pPr>
        <w:autoSpaceDE w:val="0"/>
        <w:autoSpaceDN w:val="0"/>
        <w:bidi/>
        <w:adjustRightInd w:val="0"/>
        <w:jc w:val="both"/>
        <w:rPr>
          <w:rFonts w:ascii="Traditional Arabic" w:hAnsi="Traditional Arabic" w:cs="Traditional Arabic"/>
          <w:i/>
          <w:iCs/>
          <w:sz w:val="30"/>
          <w:szCs w:val="30"/>
          <w:rtl/>
          <w:lang w:bidi="ar-EG"/>
        </w:rPr>
      </w:pPr>
    </w:p>
    <w:p w14:paraId="64BC7F94" w14:textId="77777777" w:rsidR="000B5F78" w:rsidRDefault="000B5F78" w:rsidP="00B934CE">
      <w:pPr>
        <w:autoSpaceDE w:val="0"/>
        <w:autoSpaceDN w:val="0"/>
        <w:bidi/>
        <w:adjustRightInd w:val="0"/>
        <w:jc w:val="both"/>
        <w:rPr>
          <w:rFonts w:ascii="Traditional Arabic" w:hAnsi="Traditional Arabic" w:cs="Traditional Arabic"/>
          <w:i/>
          <w:iCs/>
          <w:sz w:val="30"/>
          <w:szCs w:val="30"/>
          <w:rtl/>
          <w:lang w:bidi="ar-EG"/>
        </w:rPr>
      </w:pPr>
      <w:r w:rsidRPr="00B934CE">
        <w:rPr>
          <w:rFonts w:ascii="Traditional Arabic" w:hAnsi="Traditional Arabic" w:cs="Traditional Arabic"/>
          <w:i/>
          <w:iCs/>
          <w:sz w:val="30"/>
          <w:szCs w:val="30"/>
          <w:rtl/>
          <w:lang w:bidi="ar-EG"/>
        </w:rPr>
        <w:t>تحتوي المناقشة التالية على بعض</w:t>
      </w:r>
      <w:r w:rsidR="00107B62">
        <w:rPr>
          <w:rFonts w:ascii="Traditional Arabic" w:hAnsi="Traditional Arabic" w:cs="Traditional Arabic" w:hint="cs"/>
          <w:i/>
          <w:iCs/>
          <w:sz w:val="30"/>
          <w:szCs w:val="30"/>
          <w:rtl/>
          <w:lang w:bidi="ar-EG"/>
        </w:rPr>
        <w:t xml:space="preserve"> </w:t>
      </w:r>
      <w:r w:rsidRPr="00B934CE">
        <w:rPr>
          <w:rFonts w:ascii="Traditional Arabic" w:hAnsi="Traditional Arabic" w:cs="Traditional Arabic"/>
          <w:i/>
          <w:iCs/>
          <w:sz w:val="30"/>
          <w:szCs w:val="30"/>
          <w:rtl/>
          <w:lang w:bidi="ar-EG"/>
        </w:rPr>
        <w:t xml:space="preserve">بيانات </w:t>
      </w:r>
      <w:r w:rsidR="00107B62">
        <w:rPr>
          <w:rFonts w:ascii="Traditional Arabic" w:hAnsi="Traditional Arabic" w:cs="Traditional Arabic" w:hint="cs"/>
          <w:i/>
          <w:iCs/>
          <w:sz w:val="30"/>
          <w:szCs w:val="30"/>
          <w:rtl/>
          <w:lang w:bidi="ar-EG"/>
        </w:rPr>
        <w:t xml:space="preserve">النظرة المستقبلية </w:t>
      </w:r>
      <w:r w:rsidRPr="00B934CE">
        <w:rPr>
          <w:rFonts w:ascii="Traditional Arabic" w:hAnsi="Traditional Arabic" w:cs="Traditional Arabic"/>
          <w:i/>
          <w:iCs/>
          <w:sz w:val="30"/>
          <w:szCs w:val="30"/>
          <w:rtl/>
          <w:lang w:bidi="ar-EG"/>
        </w:rPr>
        <w:t>التي تعكس خطط الشركة وتقديراتها وتنطوي على مخاطر وعدم يقين. قد تختلف النتائج الفعلية بشكل كبير عن تلك التي تمت مناقشتها في هذه البيانات التطلعية. تشمل العوامل التي قد تسبب أو تساهم في تلك الاختلافات، على سبيل المثال لا الحصر، تلك التي تمت مناقشتها أدناه وفي أماكن أخرى في هذ</w:t>
      </w:r>
      <w:r w:rsidR="00DF45B1">
        <w:rPr>
          <w:rFonts w:ascii="Traditional Arabic" w:hAnsi="Traditional Arabic" w:cs="Traditional Arabic" w:hint="cs"/>
          <w:i/>
          <w:iCs/>
          <w:sz w:val="30"/>
          <w:szCs w:val="30"/>
          <w:rtl/>
          <w:lang w:bidi="ar-EG"/>
        </w:rPr>
        <w:t>ه النشرة</w:t>
      </w:r>
      <w:r w:rsidRPr="00B934CE">
        <w:rPr>
          <w:rFonts w:ascii="Traditional Arabic" w:hAnsi="Traditional Arabic" w:cs="Traditional Arabic"/>
          <w:i/>
          <w:iCs/>
          <w:sz w:val="30"/>
          <w:szCs w:val="30"/>
          <w:rtl/>
          <w:lang w:bidi="ar-EG"/>
        </w:rPr>
        <w:t>، بما في ذلك تحت بند "</w:t>
      </w:r>
      <w:r w:rsidR="00DF45B1">
        <w:rPr>
          <w:rFonts w:ascii="Traditional Arabic" w:hAnsi="Traditional Arabic" w:cs="Traditional Arabic" w:hint="cs"/>
          <w:i/>
          <w:iCs/>
          <w:sz w:val="30"/>
          <w:szCs w:val="30"/>
          <w:rtl/>
          <w:lang w:bidi="ar-EG"/>
        </w:rPr>
        <w:t>بيانات النظرة المستقبلية</w:t>
      </w:r>
      <w:r w:rsidRPr="00B934CE">
        <w:rPr>
          <w:rFonts w:ascii="Traditional Arabic" w:hAnsi="Traditional Arabic" w:cs="Traditional Arabic"/>
          <w:i/>
          <w:iCs/>
          <w:sz w:val="30"/>
          <w:szCs w:val="30"/>
          <w:rtl/>
          <w:lang w:bidi="ar-EG"/>
        </w:rPr>
        <w:t xml:space="preserve">"، و"الفصل الرابع - عوامل </w:t>
      </w:r>
      <w:r w:rsidR="00DF45B1">
        <w:rPr>
          <w:rFonts w:ascii="Traditional Arabic" w:hAnsi="Traditional Arabic" w:cs="Traditional Arabic" w:hint="cs"/>
          <w:i/>
          <w:iCs/>
          <w:sz w:val="30"/>
          <w:szCs w:val="30"/>
          <w:rtl/>
          <w:lang w:bidi="ar-EG"/>
        </w:rPr>
        <w:t>المخاطرة</w:t>
      </w:r>
      <w:r w:rsidRPr="00B934CE">
        <w:rPr>
          <w:rFonts w:ascii="Traditional Arabic" w:hAnsi="Traditional Arabic" w:cs="Traditional Arabic"/>
          <w:i/>
          <w:iCs/>
          <w:sz w:val="30"/>
          <w:szCs w:val="30"/>
          <w:rtl/>
          <w:lang w:bidi="ar-EG"/>
        </w:rPr>
        <w:t>" و"الفصل الثاني عشر - وصف الشركة ونظرة عامة على الأعمال".</w:t>
      </w:r>
    </w:p>
    <w:p w14:paraId="2E774821" w14:textId="77777777" w:rsidR="00B45016" w:rsidRDefault="00B45016" w:rsidP="00B45016">
      <w:pPr>
        <w:autoSpaceDE w:val="0"/>
        <w:autoSpaceDN w:val="0"/>
        <w:bidi/>
        <w:adjustRightInd w:val="0"/>
        <w:jc w:val="both"/>
        <w:rPr>
          <w:rFonts w:ascii="Traditional Arabic" w:hAnsi="Traditional Arabic" w:cs="Traditional Arabic"/>
          <w:i/>
          <w:iCs/>
          <w:sz w:val="30"/>
          <w:szCs w:val="30"/>
          <w:rtl/>
          <w:lang w:bidi="ar-EG"/>
        </w:rPr>
      </w:pPr>
    </w:p>
    <w:p w14:paraId="3116DB07" w14:textId="77777777" w:rsidR="00B45016" w:rsidRPr="00EB5BCF" w:rsidRDefault="00B45016" w:rsidP="00B45016">
      <w:pPr>
        <w:bidi/>
        <w:jc w:val="both"/>
        <w:rPr>
          <w:rFonts w:ascii="Traditional Arabic" w:hAnsi="Traditional Arabic" w:cs="Traditional Arabic"/>
          <w:b/>
          <w:bCs/>
          <w:sz w:val="30"/>
          <w:szCs w:val="30"/>
          <w:rtl/>
          <w:lang w:bidi="ar-OM"/>
        </w:rPr>
      </w:pPr>
      <w:r w:rsidRPr="00EB5BCF">
        <w:rPr>
          <w:rFonts w:ascii="Traditional Arabic" w:hAnsi="Traditional Arabic" w:cs="Traditional Arabic"/>
          <w:b/>
          <w:bCs/>
          <w:sz w:val="30"/>
          <w:szCs w:val="30"/>
          <w:rtl/>
          <w:lang w:bidi="ar-OM"/>
        </w:rPr>
        <w:t>نُبذة</w:t>
      </w:r>
    </w:p>
    <w:p w14:paraId="54DD687E" w14:textId="77777777" w:rsidR="00B45016" w:rsidRPr="00B65701" w:rsidRDefault="00B45016" w:rsidP="00B45016">
      <w:pPr>
        <w:widowControl w:val="0"/>
        <w:bidi/>
        <w:jc w:val="both"/>
        <w:rPr>
          <w:rFonts w:ascii="Traditional Arabic" w:eastAsia="Sakkal Majalla" w:hAnsi="Traditional Arabic" w:cs="Traditional Arabic"/>
          <w:sz w:val="30"/>
          <w:szCs w:val="30"/>
          <w:rtl/>
        </w:rPr>
      </w:pPr>
    </w:p>
    <w:p w14:paraId="4CFE9884" w14:textId="77777777" w:rsidR="00B45016" w:rsidRDefault="00B45016" w:rsidP="00B45016">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تعد الشركة واحدة من الشركات الرائدة في مجال النقل البحري عبر البحار والمحيطات باستخدام سفن كبيرة مصممة للإبحار لمسافات طويلة، حيث تتميز بتقديم حلول شحن موثوقة وبتكلفة تنافسية للعملاء الدوليين والمحليين الحاصلين على تصنيف عالٍ. كما تقدم الشركة مجموعة متنوعة من حلول النقل البحري لعملائها، وتعمل من خلال خمسة قطاعات أعمال</w:t>
      </w:r>
      <w:r w:rsidRPr="00B65701">
        <w:rPr>
          <w:rFonts w:ascii="Traditional Arabic" w:eastAsia="Sakkal Majalla" w:hAnsi="Traditional Arabic" w:cs="Traditional Arabic"/>
          <w:sz w:val="30"/>
          <w:szCs w:val="30"/>
        </w:rPr>
        <w:t>:</w:t>
      </w:r>
    </w:p>
    <w:p w14:paraId="5E2DEBA0" w14:textId="77777777" w:rsidR="0004574B" w:rsidRDefault="0004574B" w:rsidP="0004574B">
      <w:pPr>
        <w:autoSpaceDE w:val="0"/>
        <w:autoSpaceDN w:val="0"/>
        <w:bidi/>
        <w:adjustRightInd w:val="0"/>
        <w:jc w:val="both"/>
        <w:rPr>
          <w:rFonts w:ascii="Traditional Arabic" w:hAnsi="Traditional Arabic" w:cs="Traditional Arabic"/>
          <w:sz w:val="30"/>
          <w:szCs w:val="30"/>
          <w:rtl/>
          <w:lang w:bidi="ar-EG"/>
        </w:rPr>
      </w:pPr>
    </w:p>
    <w:p w14:paraId="22B533A4" w14:textId="77777777" w:rsidR="00A12FF8" w:rsidRDefault="00607B02" w:rsidP="00A12FF8">
      <w:pPr>
        <w:widowControl w:val="0"/>
        <w:bidi/>
        <w:jc w:val="both"/>
        <w:rPr>
          <w:rFonts w:ascii="Traditional Arabic" w:eastAsia="Sakkal Majalla" w:hAnsi="Traditional Arabic" w:cs="Traditional Arabic"/>
          <w:sz w:val="30"/>
          <w:szCs w:val="30"/>
          <w:rtl/>
        </w:rPr>
      </w:pPr>
      <w:r>
        <w:rPr>
          <w:rFonts w:ascii="Traditional Arabic" w:eastAsia="Sakkal Majalla" w:hAnsi="Traditional Arabic" w:cs="Traditional Arabic"/>
          <w:b/>
          <w:bCs/>
          <w:sz w:val="30"/>
          <w:szCs w:val="30"/>
          <w:rtl/>
        </w:rPr>
        <w:t>نقل</w:t>
      </w:r>
      <w:r w:rsidR="00A12FF8" w:rsidRPr="00272B36">
        <w:rPr>
          <w:rFonts w:ascii="Traditional Arabic" w:eastAsia="Sakkal Majalla" w:hAnsi="Traditional Arabic" w:cs="Traditional Arabic"/>
          <w:b/>
          <w:bCs/>
          <w:sz w:val="30"/>
          <w:szCs w:val="30"/>
          <w:rtl/>
        </w:rPr>
        <w:t xml:space="preserve"> النفط الخام:</w:t>
      </w:r>
      <w:r w:rsidR="00A12FF8" w:rsidRPr="00B65701">
        <w:rPr>
          <w:rFonts w:ascii="Traditional Arabic" w:eastAsia="Sakkal Majalla" w:hAnsi="Traditional Arabic" w:cs="Traditional Arabic"/>
          <w:sz w:val="30"/>
          <w:szCs w:val="30"/>
          <w:rtl/>
        </w:rPr>
        <w:t xml:space="preserve"> من خلال قطاع </w:t>
      </w:r>
      <w:r>
        <w:rPr>
          <w:rFonts w:ascii="Traditional Arabic" w:eastAsia="Sakkal Majalla" w:hAnsi="Traditional Arabic" w:cs="Traditional Arabic"/>
          <w:sz w:val="30"/>
          <w:szCs w:val="30"/>
          <w:rtl/>
        </w:rPr>
        <w:t>نقل</w:t>
      </w:r>
      <w:r w:rsidR="00A12FF8" w:rsidRPr="00B65701">
        <w:rPr>
          <w:rFonts w:ascii="Traditional Arabic" w:eastAsia="Sakkal Majalla" w:hAnsi="Traditional Arabic" w:cs="Traditional Arabic"/>
          <w:sz w:val="30"/>
          <w:szCs w:val="30"/>
          <w:rtl/>
        </w:rPr>
        <w:t xml:space="preserve"> النفط الخام، تدير الشركة 12 سفينة نفط خام عملاقة مملوكة بالكامل، وأربع سفن مستأجرة تناسب قناة السويس (سويسماكس)، وسفينتين مستأجرتين من نوع أفراماكس لنقل النفط الخام. وقد طلبت الشركة أيضًا أربع ناقلات نفط خام. وبالنسبة للسنة المنتهية في 31 ديسمبر 2023 والأشهر التسعة المنتهية في 30 سبتمبر 2024، بلغ</w:t>
      </w:r>
      <w:r w:rsidR="007074DB">
        <w:rPr>
          <w:rFonts w:ascii="Traditional Arabic" w:eastAsia="Sakkal Majalla" w:hAnsi="Traditional Arabic" w:cs="Traditional Arabic" w:hint="cs"/>
          <w:sz w:val="30"/>
          <w:szCs w:val="30"/>
          <w:rtl/>
        </w:rPr>
        <w:t xml:space="preserve">ت </w:t>
      </w:r>
      <w:r w:rsidR="00A12FF8" w:rsidRPr="00B65701">
        <w:rPr>
          <w:rFonts w:ascii="Traditional Arabic" w:eastAsia="Sakkal Majalla" w:hAnsi="Traditional Arabic" w:cs="Traditional Arabic"/>
          <w:sz w:val="30"/>
          <w:szCs w:val="30"/>
          <w:rtl/>
        </w:rPr>
        <w:t>إيرادات ال</w:t>
      </w:r>
      <w:r>
        <w:rPr>
          <w:rFonts w:ascii="Traditional Arabic" w:eastAsia="Sakkal Majalla" w:hAnsi="Traditional Arabic" w:cs="Traditional Arabic"/>
          <w:sz w:val="30"/>
          <w:szCs w:val="30"/>
          <w:rtl/>
        </w:rPr>
        <w:t>نقل</w:t>
      </w:r>
      <w:r w:rsidR="00A12FF8" w:rsidRPr="00B65701">
        <w:rPr>
          <w:rFonts w:ascii="Traditional Arabic" w:eastAsia="Sakkal Majalla" w:hAnsi="Traditional Arabic" w:cs="Traditional Arabic"/>
          <w:sz w:val="30"/>
          <w:szCs w:val="30"/>
          <w:rtl/>
        </w:rPr>
        <w:t xml:space="preserve"> الخام </w:t>
      </w:r>
      <w:r w:rsidR="00A75AFC">
        <w:rPr>
          <w:rFonts w:ascii="Traditional Arabic" w:eastAsia="Sakkal Majalla" w:hAnsi="Traditional Arabic" w:cs="Traditional Arabic" w:hint="cs"/>
          <w:sz w:val="30"/>
          <w:szCs w:val="30"/>
          <w:rtl/>
        </w:rPr>
        <w:t>١١٨.٦</w:t>
      </w:r>
      <w:r w:rsidR="00A12FF8" w:rsidRPr="00B65701">
        <w:rPr>
          <w:rFonts w:ascii="Traditional Arabic" w:eastAsia="Sakkal Majalla" w:hAnsi="Traditional Arabic" w:cs="Traditional Arabic"/>
          <w:sz w:val="30"/>
          <w:szCs w:val="30"/>
          <w:rtl/>
        </w:rPr>
        <w:t xml:space="preserve"> مليون ريال عماني (</w:t>
      </w:r>
      <w:r w:rsidR="00EA36F8">
        <w:rPr>
          <w:rFonts w:ascii="Traditional Arabic" w:eastAsia="Sakkal Majalla" w:hAnsi="Traditional Arabic" w:cs="Traditional Arabic" w:hint="cs"/>
          <w:sz w:val="30"/>
          <w:szCs w:val="30"/>
          <w:rtl/>
        </w:rPr>
        <w:t>٣٠٨.١</w:t>
      </w:r>
      <w:r w:rsidR="00A12FF8" w:rsidRPr="00B65701">
        <w:rPr>
          <w:rFonts w:ascii="Traditional Arabic" w:eastAsia="Sakkal Majalla" w:hAnsi="Traditional Arabic" w:cs="Traditional Arabic"/>
          <w:sz w:val="30"/>
          <w:szCs w:val="30"/>
          <w:rtl/>
        </w:rPr>
        <w:t xml:space="preserve"> مليون دولار أمريكي) و 74.4 مليون ريال عماني (193.</w:t>
      </w:r>
      <w:r w:rsidR="00574612">
        <w:rPr>
          <w:rFonts w:ascii="Traditional Arabic" w:eastAsia="Sakkal Majalla" w:hAnsi="Traditional Arabic" w:cs="Traditional Arabic" w:hint="cs"/>
          <w:sz w:val="30"/>
          <w:szCs w:val="30"/>
          <w:rtl/>
        </w:rPr>
        <w:t>١</w:t>
      </w:r>
      <w:r w:rsidR="00574612" w:rsidRPr="00B65701">
        <w:rPr>
          <w:rFonts w:ascii="Traditional Arabic" w:eastAsia="Sakkal Majalla" w:hAnsi="Traditional Arabic" w:cs="Traditional Arabic"/>
          <w:sz w:val="30"/>
          <w:szCs w:val="30"/>
          <w:rtl/>
        </w:rPr>
        <w:t xml:space="preserve"> </w:t>
      </w:r>
      <w:r w:rsidR="00A12FF8" w:rsidRPr="00B65701">
        <w:rPr>
          <w:rFonts w:ascii="Traditional Arabic" w:eastAsia="Sakkal Majalla" w:hAnsi="Traditional Arabic" w:cs="Traditional Arabic"/>
          <w:sz w:val="30"/>
          <w:szCs w:val="30"/>
          <w:rtl/>
        </w:rPr>
        <w:t xml:space="preserve">مليون دولار أمريكي)، على التوالي (ما يمثل </w:t>
      </w:r>
      <w:r w:rsidR="006A74AC">
        <w:rPr>
          <w:rFonts w:ascii="Traditional Arabic" w:eastAsia="Sakkal Majalla" w:hAnsi="Traditional Arabic" w:cs="Traditional Arabic" w:hint="cs"/>
          <w:sz w:val="30"/>
          <w:szCs w:val="30"/>
          <w:rtl/>
        </w:rPr>
        <w:t>٣٢.٦</w:t>
      </w:r>
      <w:r w:rsidR="00A12FF8" w:rsidRPr="00B65701">
        <w:rPr>
          <w:rFonts w:ascii="Traditional Arabic" w:eastAsia="Sakkal Majalla" w:hAnsi="Traditional Arabic" w:cs="Traditional Arabic"/>
          <w:sz w:val="30"/>
          <w:szCs w:val="30"/>
          <w:rtl/>
        </w:rPr>
        <w:t xml:space="preserve"> في المائة و 27.</w:t>
      </w:r>
      <w:r w:rsidR="006A74AC">
        <w:rPr>
          <w:rFonts w:ascii="Traditional Arabic" w:eastAsia="Sakkal Majalla" w:hAnsi="Traditional Arabic" w:cs="Traditional Arabic" w:hint="cs"/>
          <w:sz w:val="30"/>
          <w:szCs w:val="30"/>
          <w:rtl/>
        </w:rPr>
        <w:t>١</w:t>
      </w:r>
      <w:r w:rsidR="006A74AC" w:rsidRPr="00B65701">
        <w:rPr>
          <w:rFonts w:ascii="Traditional Arabic" w:eastAsia="Sakkal Majalla" w:hAnsi="Traditional Arabic" w:cs="Traditional Arabic"/>
          <w:sz w:val="30"/>
          <w:szCs w:val="30"/>
          <w:rtl/>
        </w:rPr>
        <w:t xml:space="preserve"> </w:t>
      </w:r>
      <w:r w:rsidR="00A12FF8" w:rsidRPr="00B65701">
        <w:rPr>
          <w:rFonts w:ascii="Traditional Arabic" w:eastAsia="Sakkal Majalla" w:hAnsi="Traditional Arabic" w:cs="Traditional Arabic"/>
          <w:sz w:val="30"/>
          <w:szCs w:val="30"/>
          <w:rtl/>
        </w:rPr>
        <w:t>في المائة، على التوالي، من إيرادات الشركة). وبالنسبة للسنة المنتهية في 31 ديسمبر 2023 والأشهر التسعة المنتهية في 30 سبتمبر 2024، بلغت إيرادات مكافئ تأجير السفن المجهزة بالمدة ل</w:t>
      </w:r>
      <w:r>
        <w:rPr>
          <w:rFonts w:ascii="Traditional Arabic" w:eastAsia="Sakkal Majalla" w:hAnsi="Traditional Arabic" w:cs="Traditional Arabic"/>
          <w:sz w:val="30"/>
          <w:szCs w:val="30"/>
          <w:rtl/>
        </w:rPr>
        <w:t>نقل</w:t>
      </w:r>
      <w:r w:rsidR="00A12FF8" w:rsidRPr="00B65701">
        <w:rPr>
          <w:rFonts w:ascii="Traditional Arabic" w:eastAsia="Sakkal Majalla" w:hAnsi="Traditional Arabic" w:cs="Traditional Arabic"/>
          <w:sz w:val="30"/>
          <w:szCs w:val="30"/>
          <w:rtl/>
        </w:rPr>
        <w:t xml:space="preserve"> النفط الخام </w:t>
      </w:r>
      <w:r w:rsidR="006A74AC">
        <w:rPr>
          <w:rFonts w:ascii="Traditional Arabic" w:eastAsia="Sakkal Majalla" w:hAnsi="Traditional Arabic" w:cs="Traditional Arabic" w:hint="cs"/>
          <w:sz w:val="30"/>
          <w:szCs w:val="30"/>
          <w:rtl/>
        </w:rPr>
        <w:t>٩٣.٨</w:t>
      </w:r>
      <w:r w:rsidR="00A12FF8" w:rsidRPr="00B65701">
        <w:rPr>
          <w:rFonts w:ascii="Traditional Arabic" w:eastAsia="Sakkal Majalla" w:hAnsi="Traditional Arabic" w:cs="Traditional Arabic"/>
          <w:sz w:val="30"/>
          <w:szCs w:val="30"/>
          <w:rtl/>
        </w:rPr>
        <w:t xml:space="preserve"> مليون ريال عماني (</w:t>
      </w:r>
      <w:r w:rsidR="006A74AC">
        <w:rPr>
          <w:rFonts w:ascii="Traditional Arabic" w:eastAsia="Sakkal Majalla" w:hAnsi="Traditional Arabic" w:cs="Traditional Arabic" w:hint="cs"/>
          <w:sz w:val="30"/>
          <w:szCs w:val="30"/>
          <w:rtl/>
        </w:rPr>
        <w:t>٢٤٣.٧</w:t>
      </w:r>
      <w:r w:rsidR="00A12FF8" w:rsidRPr="00B65701">
        <w:rPr>
          <w:rFonts w:ascii="Traditional Arabic" w:eastAsia="Sakkal Majalla" w:hAnsi="Traditional Arabic" w:cs="Traditional Arabic"/>
          <w:sz w:val="30"/>
          <w:szCs w:val="30"/>
          <w:rtl/>
        </w:rPr>
        <w:t xml:space="preserve"> مليون دولار أمريكي) و 65.9 مليون ريال عماني (171.2 </w:t>
      </w:r>
      <w:r w:rsidR="00A12FF8" w:rsidRPr="00B65701">
        <w:rPr>
          <w:rFonts w:ascii="Traditional Arabic" w:eastAsia="Sakkal Majalla" w:hAnsi="Traditional Arabic" w:cs="Traditional Arabic"/>
          <w:sz w:val="30"/>
          <w:szCs w:val="30"/>
          <w:rtl/>
        </w:rPr>
        <w:lastRenderedPageBreak/>
        <w:t>مليون دولار أمريكي)، على التوالي</w:t>
      </w:r>
      <w:r w:rsidR="00A12FF8" w:rsidRPr="00B65701">
        <w:rPr>
          <w:rFonts w:ascii="Traditional Arabic" w:eastAsia="Sakkal Majalla" w:hAnsi="Traditional Arabic" w:cs="Traditional Arabic"/>
          <w:sz w:val="30"/>
          <w:szCs w:val="30"/>
        </w:rPr>
        <w:t>.</w:t>
      </w:r>
    </w:p>
    <w:p w14:paraId="1C8ADE3E" w14:textId="77777777" w:rsidR="00A12FF8" w:rsidRPr="00B65701" w:rsidRDefault="00A12FF8" w:rsidP="00A12FF8">
      <w:pPr>
        <w:widowControl w:val="0"/>
        <w:bidi/>
        <w:jc w:val="both"/>
        <w:rPr>
          <w:rFonts w:ascii="Traditional Arabic" w:eastAsia="Sakkal Majalla" w:hAnsi="Traditional Arabic" w:cs="Traditional Arabic"/>
          <w:sz w:val="30"/>
          <w:szCs w:val="30"/>
          <w:rtl/>
        </w:rPr>
      </w:pPr>
    </w:p>
    <w:p w14:paraId="167CA4D4" w14:textId="77777777" w:rsidR="00A12FF8" w:rsidRDefault="00A12FF8" w:rsidP="00B934CE">
      <w:pPr>
        <w:widowControl w:val="0"/>
        <w:bidi/>
        <w:ind w:left="429" w:hanging="425"/>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Pr>
        <w:t>•</w:t>
      </w:r>
      <w:r w:rsidRPr="00B65701">
        <w:rPr>
          <w:rFonts w:ascii="Traditional Arabic" w:eastAsia="Sakkal Majalla" w:hAnsi="Traditional Arabic" w:cs="Traditional Arabic"/>
          <w:sz w:val="30"/>
          <w:szCs w:val="30"/>
        </w:rPr>
        <w:tab/>
      </w:r>
      <w:r w:rsidR="00607B02">
        <w:rPr>
          <w:rFonts w:ascii="Traditional Arabic" w:eastAsia="Sakkal Majalla" w:hAnsi="Traditional Arabic" w:cs="Traditional Arabic"/>
          <w:b/>
          <w:bCs/>
          <w:sz w:val="30"/>
          <w:szCs w:val="30"/>
          <w:rtl/>
        </w:rPr>
        <w:t>نقل</w:t>
      </w:r>
      <w:r w:rsidRPr="00272B36">
        <w:rPr>
          <w:rFonts w:ascii="Traditional Arabic" w:eastAsia="Sakkal Majalla" w:hAnsi="Traditional Arabic" w:cs="Traditional Arabic"/>
          <w:b/>
          <w:bCs/>
          <w:sz w:val="30"/>
          <w:szCs w:val="30"/>
          <w:rtl/>
        </w:rPr>
        <w:t xml:space="preserve"> المنتجات:</w:t>
      </w:r>
      <w:r w:rsidRPr="00B65701">
        <w:rPr>
          <w:rFonts w:ascii="Traditional Arabic" w:eastAsia="Sakkal Majalla" w:hAnsi="Traditional Arabic" w:cs="Traditional Arabic"/>
          <w:sz w:val="30"/>
          <w:szCs w:val="30"/>
          <w:rtl/>
        </w:rPr>
        <w:t xml:space="preserve"> من خلال قطاع </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المنتجات، تدير الشركة </w:t>
      </w:r>
      <w:r w:rsidR="008A4C71" w:rsidRPr="00B65701">
        <w:rPr>
          <w:rFonts w:ascii="Traditional Arabic" w:eastAsia="Sakkal Majalla" w:hAnsi="Traditional Arabic" w:cs="Traditional Arabic"/>
          <w:sz w:val="30"/>
          <w:szCs w:val="30"/>
          <w:rtl/>
        </w:rPr>
        <w:t>1</w:t>
      </w:r>
      <w:r w:rsidR="008A4C71">
        <w:rPr>
          <w:rFonts w:ascii="Traditional Arabic" w:eastAsia="Sakkal Majalla" w:hAnsi="Traditional Arabic" w:cs="Traditional Arabic" w:hint="cs"/>
          <w:sz w:val="30"/>
          <w:szCs w:val="30"/>
          <w:rtl/>
        </w:rPr>
        <w:t>3</w:t>
      </w:r>
      <w:r w:rsidR="008A4C71"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ناقلة مملوكة بالكامل، واثنتين مملوكتين </w:t>
      </w:r>
      <w:r>
        <w:rPr>
          <w:rFonts w:ascii="Traditional Arabic" w:hAnsi="Traditional Arabic" w:cs="Traditional Arabic" w:hint="cs"/>
          <w:sz w:val="30"/>
          <w:szCs w:val="30"/>
          <w:rtl/>
        </w:rPr>
        <w:t>بشكل مشترك</w:t>
      </w:r>
      <w:r w:rsidRPr="00B65701">
        <w:rPr>
          <w:rFonts w:ascii="Traditional Arabic" w:eastAsia="Sakkal Majalla" w:hAnsi="Traditional Arabic" w:cs="Traditional Arabic"/>
          <w:sz w:val="30"/>
          <w:szCs w:val="30"/>
          <w:rtl/>
        </w:rPr>
        <w:t>، و 19 ناقلة منتجات مستأجرة تنقل بضائع سائلة، بما في ذلك المنتجات البترولية والكيماوية المكررة. وبالنسبة للسنة المنتهية في 31 ديسمبر 2023 والأشهر التسعة المنتهية في 30 سبتمبر 2024، بلغ</w:t>
      </w:r>
      <w:r w:rsidR="007074DB">
        <w:rPr>
          <w:rFonts w:ascii="Traditional Arabic" w:eastAsia="Sakkal Majalla" w:hAnsi="Traditional Arabic" w:cs="Traditional Arabic" w:hint="cs"/>
          <w:sz w:val="30"/>
          <w:szCs w:val="30"/>
          <w:rtl/>
        </w:rPr>
        <w:t xml:space="preserve">ت </w:t>
      </w:r>
      <w:r w:rsidRPr="00B65701">
        <w:rPr>
          <w:rFonts w:ascii="Traditional Arabic" w:eastAsia="Sakkal Majalla" w:hAnsi="Traditional Arabic" w:cs="Traditional Arabic"/>
          <w:sz w:val="30"/>
          <w:szCs w:val="30"/>
          <w:rtl/>
        </w:rPr>
        <w:t xml:space="preserve">إيرادات </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المنتجات </w:t>
      </w:r>
      <w:r w:rsidR="007074DB">
        <w:rPr>
          <w:rFonts w:ascii="Traditional Arabic" w:eastAsia="Sakkal Majalla" w:hAnsi="Traditional Arabic" w:cs="Traditional Arabic" w:hint="cs"/>
          <w:sz w:val="30"/>
          <w:szCs w:val="30"/>
          <w:rtl/>
        </w:rPr>
        <w:t>٨٣.٠</w:t>
      </w:r>
      <w:r w:rsidRPr="00B65701">
        <w:rPr>
          <w:rFonts w:ascii="Traditional Arabic" w:eastAsia="Sakkal Majalla" w:hAnsi="Traditional Arabic" w:cs="Traditional Arabic"/>
          <w:sz w:val="30"/>
          <w:szCs w:val="30"/>
          <w:rtl/>
        </w:rPr>
        <w:t xml:space="preserve"> مليون ريال عماني (</w:t>
      </w:r>
      <w:r w:rsidR="009A5CF7">
        <w:rPr>
          <w:rFonts w:ascii="Traditional Arabic" w:eastAsia="Sakkal Majalla" w:hAnsi="Traditional Arabic" w:cs="Traditional Arabic" w:hint="cs"/>
          <w:sz w:val="30"/>
          <w:szCs w:val="30"/>
          <w:rtl/>
        </w:rPr>
        <w:t>٢١٥.٥</w:t>
      </w:r>
      <w:r w:rsidRPr="00B65701">
        <w:rPr>
          <w:rFonts w:ascii="Traditional Arabic" w:eastAsia="Sakkal Majalla" w:hAnsi="Traditional Arabic" w:cs="Traditional Arabic"/>
          <w:sz w:val="30"/>
          <w:szCs w:val="30"/>
          <w:rtl/>
        </w:rPr>
        <w:t xml:space="preserve"> مليون دولار أمريكي)  و </w:t>
      </w:r>
      <w:r w:rsidR="009A5CF7">
        <w:rPr>
          <w:rFonts w:ascii="Traditional Arabic" w:eastAsia="Sakkal Majalla" w:hAnsi="Traditional Arabic" w:cs="Traditional Arabic" w:hint="cs"/>
          <w:sz w:val="30"/>
          <w:szCs w:val="30"/>
          <w:rtl/>
        </w:rPr>
        <w:t>٧٤.٢</w:t>
      </w:r>
      <w:r w:rsidRPr="00B65701">
        <w:rPr>
          <w:rFonts w:ascii="Traditional Arabic" w:eastAsia="Sakkal Majalla" w:hAnsi="Traditional Arabic" w:cs="Traditional Arabic"/>
          <w:sz w:val="30"/>
          <w:szCs w:val="30"/>
          <w:rtl/>
        </w:rPr>
        <w:t xml:space="preserve"> مليون ريال عماني (</w:t>
      </w:r>
      <w:r w:rsidR="009A5CF7">
        <w:rPr>
          <w:rFonts w:ascii="Traditional Arabic" w:eastAsia="Sakkal Majalla" w:hAnsi="Traditional Arabic" w:cs="Traditional Arabic" w:hint="cs"/>
          <w:sz w:val="30"/>
          <w:szCs w:val="30"/>
          <w:rtl/>
        </w:rPr>
        <w:t>١٩٢.٨</w:t>
      </w:r>
      <w:r w:rsidRPr="00B65701">
        <w:rPr>
          <w:rFonts w:ascii="Traditional Arabic" w:eastAsia="Sakkal Majalla" w:hAnsi="Traditional Arabic" w:cs="Traditional Arabic"/>
          <w:sz w:val="30"/>
          <w:szCs w:val="30"/>
          <w:rtl/>
        </w:rPr>
        <w:t xml:space="preserve"> مليون دولار أمريكي)، على التوالي (ما يمثل 22.</w:t>
      </w:r>
      <w:r w:rsidR="007B652F">
        <w:rPr>
          <w:rFonts w:ascii="Traditional Arabic" w:eastAsia="Sakkal Majalla" w:hAnsi="Traditional Arabic" w:cs="Traditional Arabic" w:hint="cs"/>
          <w:sz w:val="30"/>
          <w:szCs w:val="30"/>
          <w:rtl/>
        </w:rPr>
        <w:t>٨</w:t>
      </w:r>
      <w:r w:rsidR="007B652F"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في المائة و </w:t>
      </w:r>
      <w:r w:rsidR="007B652F">
        <w:rPr>
          <w:rFonts w:ascii="Traditional Arabic" w:eastAsia="Sakkal Majalla" w:hAnsi="Traditional Arabic" w:cs="Traditional Arabic" w:hint="cs"/>
          <w:sz w:val="30"/>
          <w:szCs w:val="30"/>
          <w:rtl/>
        </w:rPr>
        <w:t>٢٧.٠</w:t>
      </w:r>
      <w:r w:rsidRPr="00B65701">
        <w:rPr>
          <w:rFonts w:ascii="Traditional Arabic" w:eastAsia="Sakkal Majalla" w:hAnsi="Traditional Arabic" w:cs="Traditional Arabic"/>
          <w:sz w:val="30"/>
          <w:szCs w:val="30"/>
          <w:rtl/>
        </w:rPr>
        <w:t xml:space="preserve"> في المائة، على التوالي، من إيرادات الشركة). وبالنسبة للسنة المنتهية في 31 ديسمبر 2023 والأشهر التسعة المنتهية في 30 سبتمبر 2024، بلغت إيرادات مكافئ تأجير السفن المجهزة بالمدة ل</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المنتجات </w:t>
      </w:r>
      <w:r w:rsidR="00086023">
        <w:rPr>
          <w:rFonts w:ascii="Traditional Arabic" w:eastAsia="Sakkal Majalla" w:hAnsi="Traditional Arabic" w:cs="Traditional Arabic" w:hint="cs"/>
          <w:sz w:val="30"/>
          <w:szCs w:val="30"/>
          <w:rtl/>
        </w:rPr>
        <w:t>٧٧.٠</w:t>
      </w:r>
      <w:r w:rsidRPr="00B65701">
        <w:rPr>
          <w:rFonts w:ascii="Traditional Arabic" w:eastAsia="Sakkal Majalla" w:hAnsi="Traditional Arabic" w:cs="Traditional Arabic"/>
          <w:sz w:val="30"/>
          <w:szCs w:val="30"/>
          <w:rtl/>
        </w:rPr>
        <w:t xml:space="preserve"> مليون ريال عماني (</w:t>
      </w:r>
      <w:r w:rsidR="00086023">
        <w:rPr>
          <w:rFonts w:ascii="Traditional Arabic" w:eastAsia="Sakkal Majalla" w:hAnsi="Traditional Arabic" w:cs="Traditional Arabic" w:hint="cs"/>
          <w:sz w:val="30"/>
          <w:szCs w:val="30"/>
          <w:rtl/>
        </w:rPr>
        <w:t>١٩٩.٩</w:t>
      </w:r>
      <w:r w:rsidRPr="00B65701">
        <w:rPr>
          <w:rFonts w:ascii="Traditional Arabic" w:eastAsia="Sakkal Majalla" w:hAnsi="Traditional Arabic" w:cs="Traditional Arabic"/>
          <w:sz w:val="30"/>
          <w:szCs w:val="30"/>
          <w:rtl/>
        </w:rPr>
        <w:t xml:space="preserve"> مليون دولار أمريكي) و 73.6 مليون ريال عماني (191.0 مليون دولار أمريكي)، على التوالي</w:t>
      </w:r>
      <w:r w:rsidRPr="00B65701">
        <w:rPr>
          <w:rFonts w:ascii="Traditional Arabic" w:eastAsia="Sakkal Majalla" w:hAnsi="Traditional Arabic" w:cs="Traditional Arabic"/>
          <w:sz w:val="30"/>
          <w:szCs w:val="30"/>
        </w:rPr>
        <w:t>.</w:t>
      </w:r>
    </w:p>
    <w:p w14:paraId="46CC0440" w14:textId="77777777" w:rsidR="00A12FF8" w:rsidRPr="00B65701" w:rsidRDefault="00A12FF8" w:rsidP="00A12FF8">
      <w:pPr>
        <w:widowControl w:val="0"/>
        <w:bidi/>
        <w:jc w:val="both"/>
        <w:rPr>
          <w:rFonts w:ascii="Traditional Arabic" w:eastAsia="Sakkal Majalla" w:hAnsi="Traditional Arabic" w:cs="Traditional Arabic"/>
          <w:sz w:val="30"/>
          <w:szCs w:val="30"/>
          <w:rtl/>
        </w:rPr>
      </w:pPr>
    </w:p>
    <w:p w14:paraId="1BCBDDAC" w14:textId="77777777" w:rsidR="00A12FF8" w:rsidRDefault="00A12FF8" w:rsidP="00B934CE">
      <w:pPr>
        <w:widowControl w:val="0"/>
        <w:bidi/>
        <w:ind w:left="429" w:hanging="429"/>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Pr>
        <w:t>•</w:t>
      </w:r>
      <w:r w:rsidRPr="00B65701">
        <w:rPr>
          <w:rFonts w:ascii="Traditional Arabic" w:eastAsia="Sakkal Majalla" w:hAnsi="Traditional Arabic" w:cs="Traditional Arabic"/>
          <w:sz w:val="30"/>
          <w:szCs w:val="30"/>
        </w:rPr>
        <w:tab/>
      </w:r>
      <w:r w:rsidR="00607B02">
        <w:rPr>
          <w:rFonts w:ascii="Traditional Arabic" w:eastAsia="Sakkal Majalla" w:hAnsi="Traditional Arabic" w:cs="Traditional Arabic"/>
          <w:b/>
          <w:bCs/>
          <w:sz w:val="30"/>
          <w:szCs w:val="30"/>
          <w:rtl/>
        </w:rPr>
        <w:t>نقل</w:t>
      </w:r>
      <w:r w:rsidRPr="00272B36">
        <w:rPr>
          <w:rFonts w:ascii="Traditional Arabic" w:eastAsia="Sakkal Majalla" w:hAnsi="Traditional Arabic" w:cs="Traditional Arabic"/>
          <w:b/>
          <w:bCs/>
          <w:sz w:val="30"/>
          <w:szCs w:val="30"/>
          <w:rtl/>
        </w:rPr>
        <w:t xml:space="preserve"> البضائع السائبة الجافة:</w:t>
      </w:r>
      <w:r w:rsidRPr="00B65701">
        <w:rPr>
          <w:rFonts w:ascii="Traditional Arabic" w:eastAsia="Sakkal Majalla" w:hAnsi="Traditional Arabic" w:cs="Traditional Arabic"/>
          <w:sz w:val="30"/>
          <w:szCs w:val="30"/>
          <w:rtl/>
        </w:rPr>
        <w:t xml:space="preserve"> من خلال قطاع </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البضائع السائبة الجافة، تدير الشركة أربع سفن ناقلات خام عملاقة مملوكة بالكامل، </w:t>
      </w:r>
      <w:r w:rsidR="004616FA">
        <w:rPr>
          <w:rFonts w:ascii="Traditional Arabic" w:eastAsia="Sakkal Majalla" w:hAnsi="Traditional Arabic" w:cs="Traditional Arabic" w:hint="cs"/>
          <w:sz w:val="30"/>
          <w:szCs w:val="30"/>
          <w:rtl/>
        </w:rPr>
        <w:t>وسبع</w:t>
      </w:r>
      <w:r w:rsidR="004616FA"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 xml:space="preserve">سفن كبيرة (ألتراماكس) مملوكة بالكامل، </w:t>
      </w:r>
      <w:r w:rsidR="00263BC8">
        <w:rPr>
          <w:rFonts w:ascii="Traditional Arabic" w:eastAsia="Sakkal Majalla" w:hAnsi="Traditional Arabic" w:cs="Traditional Arabic" w:hint="cs"/>
          <w:sz w:val="30"/>
          <w:szCs w:val="30"/>
          <w:rtl/>
        </w:rPr>
        <w:t xml:space="preserve">وسفينة واحدة </w:t>
      </w:r>
      <w:r>
        <w:rPr>
          <w:rFonts w:ascii="Traditional Arabic" w:eastAsia="Sakkal Majalla" w:hAnsi="Traditional Arabic" w:cs="Traditional Arabic" w:hint="cs"/>
          <w:sz w:val="30"/>
          <w:szCs w:val="30"/>
          <w:rtl/>
        </w:rPr>
        <w:t>من</w:t>
      </w:r>
      <w:r w:rsidRPr="00B65701">
        <w:rPr>
          <w:rFonts w:ascii="Traditional Arabic" w:eastAsia="Sakkal Majalla" w:hAnsi="Traditional Arabic" w:cs="Traditional Arabic"/>
          <w:sz w:val="30"/>
          <w:szCs w:val="30"/>
          <w:rtl/>
        </w:rPr>
        <w:t xml:space="preserve"> </w:t>
      </w:r>
      <w:r>
        <w:rPr>
          <w:rFonts w:ascii="Traditional Arabic" w:eastAsia="Sakkal Majalla" w:hAnsi="Traditional Arabic" w:cs="Traditional Arabic" w:hint="cs"/>
          <w:sz w:val="30"/>
          <w:szCs w:val="30"/>
          <w:rtl/>
        </w:rPr>
        <w:t>ال</w:t>
      </w:r>
      <w:r w:rsidRPr="00B65701">
        <w:rPr>
          <w:rFonts w:ascii="Traditional Arabic" w:eastAsia="Sakkal Majalla" w:hAnsi="Traditional Arabic" w:cs="Traditional Arabic"/>
          <w:sz w:val="30"/>
          <w:szCs w:val="30"/>
          <w:rtl/>
        </w:rPr>
        <w:t xml:space="preserve">سفن </w:t>
      </w:r>
      <w:r>
        <w:rPr>
          <w:rFonts w:ascii="Traditional Arabic" w:eastAsia="Sakkal Majalla" w:hAnsi="Traditional Arabic" w:cs="Traditional Arabic" w:hint="cs"/>
          <w:sz w:val="30"/>
          <w:szCs w:val="30"/>
          <w:rtl/>
        </w:rPr>
        <w:t>ال</w:t>
      </w:r>
      <w:r w:rsidRPr="00B65701">
        <w:rPr>
          <w:rFonts w:ascii="Traditional Arabic" w:eastAsia="Sakkal Majalla" w:hAnsi="Traditional Arabic" w:cs="Traditional Arabic"/>
          <w:sz w:val="30"/>
          <w:szCs w:val="30"/>
          <w:rtl/>
        </w:rPr>
        <w:t xml:space="preserve">كبيرة (ألتراماكس) </w:t>
      </w:r>
      <w:r>
        <w:rPr>
          <w:rFonts w:ascii="Traditional Arabic" w:eastAsia="Sakkal Majalla" w:hAnsi="Traditional Arabic" w:cs="Traditional Arabic" w:hint="cs"/>
          <w:sz w:val="30"/>
          <w:szCs w:val="30"/>
          <w:rtl/>
        </w:rPr>
        <w:t>ال</w:t>
      </w:r>
      <w:r w:rsidRPr="00B65701">
        <w:rPr>
          <w:rFonts w:ascii="Traditional Arabic" w:eastAsia="Sakkal Majalla" w:hAnsi="Traditional Arabic" w:cs="Traditional Arabic"/>
          <w:sz w:val="30"/>
          <w:szCs w:val="30"/>
          <w:rtl/>
        </w:rPr>
        <w:t>مستأجرة، ، وثلاث سفن كبيرة (سوبراماكس) مستأجرة، و</w:t>
      </w:r>
      <w:r>
        <w:rPr>
          <w:rFonts w:ascii="Traditional Arabic" w:eastAsia="Sakkal Majalla" w:hAnsi="Traditional Arabic" w:cs="Traditional Arabic" w:hint="cs"/>
          <w:sz w:val="30"/>
          <w:szCs w:val="30"/>
          <w:rtl/>
        </w:rPr>
        <w:t>اثنان من السفن</w:t>
      </w:r>
      <w:r w:rsidRPr="00B65701">
        <w:rPr>
          <w:rFonts w:ascii="Traditional Arabic" w:eastAsia="Sakkal Majalla" w:hAnsi="Traditional Arabic" w:cs="Traditional Arabic"/>
          <w:sz w:val="30"/>
          <w:szCs w:val="30"/>
          <w:rtl/>
        </w:rPr>
        <w:t xml:space="preserve"> </w:t>
      </w:r>
      <w:r>
        <w:rPr>
          <w:rFonts w:ascii="Traditional Arabic" w:eastAsia="Sakkal Majalla" w:hAnsi="Traditional Arabic" w:cs="Traditional Arabic" w:hint="cs"/>
          <w:sz w:val="30"/>
          <w:szCs w:val="30"/>
          <w:rtl/>
        </w:rPr>
        <w:t>ال</w:t>
      </w:r>
      <w:r w:rsidRPr="00B65701">
        <w:rPr>
          <w:rFonts w:ascii="Traditional Arabic" w:eastAsia="Sakkal Majalla" w:hAnsi="Traditional Arabic" w:cs="Traditional Arabic"/>
          <w:sz w:val="30"/>
          <w:szCs w:val="30"/>
          <w:rtl/>
        </w:rPr>
        <w:t>متوسطة مناسبة للموانئ الصغيرة (هانديماكس) مستأجرة</w:t>
      </w:r>
      <w:r>
        <w:rPr>
          <w:rFonts w:ascii="Traditional Arabic" w:eastAsia="Sakkal Majalla" w:hAnsi="Traditional Arabic" w:cs="Traditional Arabic" w:hint="cs"/>
          <w:sz w:val="30"/>
          <w:szCs w:val="30"/>
          <w:rtl/>
        </w:rPr>
        <w:t>، وسفينة</w:t>
      </w:r>
      <w:r w:rsidRPr="00B65701">
        <w:rPr>
          <w:rFonts w:ascii="Traditional Arabic" w:eastAsia="Sakkal Majalla" w:hAnsi="Traditional Arabic" w:cs="Traditional Arabic"/>
          <w:sz w:val="30"/>
          <w:szCs w:val="30"/>
          <w:rtl/>
        </w:rPr>
        <w:t xml:space="preserve"> مستأجرة (كمزارماكس) بأقصى حجم مناسب لميناء كمزار</w:t>
      </w:r>
      <w:r>
        <w:rPr>
          <w:rFonts w:ascii="Traditional Arabic" w:eastAsia="Sakkal Majalla" w:hAnsi="Traditional Arabic" w:cs="Traditional Arabic" w:hint="cs"/>
          <w:sz w:val="30"/>
          <w:szCs w:val="30"/>
          <w:rtl/>
        </w:rPr>
        <w:t xml:space="preserve"> </w:t>
      </w:r>
      <w:r w:rsidRPr="00B65701">
        <w:rPr>
          <w:rFonts w:ascii="Traditional Arabic" w:eastAsia="Sakkal Majalla" w:hAnsi="Traditional Arabic" w:cs="Traditional Arabic"/>
          <w:sz w:val="30"/>
          <w:szCs w:val="30"/>
          <w:rtl/>
        </w:rPr>
        <w:t>تنقل مواد خام ومنتجات مكررة وسلع جاهزة للاستهلاك أو البيع بموجب عقود طويلة الأجل مع شركات إنتاج المعادن. وبالنسبة للسنة المنتهية في 31 ديسمبر 2023 والأشهر التسعة المنتهية في 30 سبتمبر 2024، بلغ</w:t>
      </w:r>
      <w:r w:rsidR="00045B6E">
        <w:rPr>
          <w:rFonts w:ascii="Traditional Arabic" w:eastAsia="Sakkal Majalla" w:hAnsi="Traditional Arabic" w:cs="Traditional Arabic" w:hint="cs"/>
          <w:sz w:val="30"/>
          <w:szCs w:val="30"/>
          <w:rtl/>
        </w:rPr>
        <w:t>ت</w:t>
      </w:r>
      <w:r w:rsidRPr="00B65701">
        <w:rPr>
          <w:rFonts w:ascii="Traditional Arabic" w:eastAsia="Sakkal Majalla" w:hAnsi="Traditional Arabic" w:cs="Traditional Arabic"/>
          <w:sz w:val="30"/>
          <w:szCs w:val="30"/>
          <w:rtl/>
        </w:rPr>
        <w:t xml:space="preserve"> إيرادات </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البضائع السائبة الجافة 64.8 مليون ريال عماني (168.3 مليون دولار أمريكي) و </w:t>
      </w:r>
      <w:r w:rsidR="00B63D96">
        <w:rPr>
          <w:rFonts w:ascii="Traditional Arabic" w:eastAsia="Sakkal Majalla" w:hAnsi="Traditional Arabic" w:cs="Traditional Arabic" w:hint="cs"/>
          <w:sz w:val="30"/>
          <w:szCs w:val="30"/>
          <w:rtl/>
        </w:rPr>
        <w:t>٤٤.٩</w:t>
      </w:r>
      <w:r w:rsidRPr="00B65701">
        <w:rPr>
          <w:rFonts w:ascii="Traditional Arabic" w:eastAsia="Sakkal Majalla" w:hAnsi="Traditional Arabic" w:cs="Traditional Arabic"/>
          <w:sz w:val="30"/>
          <w:szCs w:val="30"/>
          <w:rtl/>
        </w:rPr>
        <w:t xml:space="preserve"> مليون ريال عماني (</w:t>
      </w:r>
      <w:r w:rsidR="00F84570">
        <w:rPr>
          <w:rFonts w:ascii="Traditional Arabic" w:eastAsia="Sakkal Majalla" w:hAnsi="Traditional Arabic" w:cs="Traditional Arabic" w:hint="cs"/>
          <w:sz w:val="30"/>
          <w:szCs w:val="30"/>
          <w:rtl/>
        </w:rPr>
        <w:t>١١٦.٦</w:t>
      </w:r>
      <w:r w:rsidRPr="00B65701">
        <w:rPr>
          <w:rFonts w:ascii="Traditional Arabic" w:eastAsia="Sakkal Majalla" w:hAnsi="Traditional Arabic" w:cs="Traditional Arabic"/>
          <w:sz w:val="30"/>
          <w:szCs w:val="30"/>
          <w:rtl/>
        </w:rPr>
        <w:t xml:space="preserve"> مليون دولار أمريكي)، على التوالي (ما يمثل </w:t>
      </w:r>
      <w:r w:rsidR="00F84570">
        <w:rPr>
          <w:rFonts w:ascii="Traditional Arabic" w:eastAsia="Sakkal Majalla" w:hAnsi="Traditional Arabic" w:cs="Traditional Arabic" w:hint="cs"/>
          <w:sz w:val="30"/>
          <w:szCs w:val="30"/>
          <w:rtl/>
        </w:rPr>
        <w:t>١٧.٨</w:t>
      </w:r>
      <w:r w:rsidRPr="00B65701">
        <w:rPr>
          <w:rFonts w:ascii="Traditional Arabic" w:eastAsia="Sakkal Majalla" w:hAnsi="Traditional Arabic" w:cs="Traditional Arabic"/>
          <w:sz w:val="30"/>
          <w:szCs w:val="30"/>
          <w:rtl/>
        </w:rPr>
        <w:t xml:space="preserve"> في المائة و </w:t>
      </w:r>
      <w:r w:rsidR="00F84570">
        <w:rPr>
          <w:rFonts w:ascii="Traditional Arabic" w:eastAsia="Sakkal Majalla" w:hAnsi="Traditional Arabic" w:cs="Traditional Arabic" w:hint="cs"/>
          <w:sz w:val="30"/>
          <w:szCs w:val="30"/>
          <w:rtl/>
        </w:rPr>
        <w:t>١٦.٣</w:t>
      </w:r>
      <w:r w:rsidRPr="00B65701">
        <w:rPr>
          <w:rFonts w:ascii="Traditional Arabic" w:eastAsia="Sakkal Majalla" w:hAnsi="Traditional Arabic" w:cs="Traditional Arabic"/>
          <w:sz w:val="30"/>
          <w:szCs w:val="30"/>
          <w:rtl/>
        </w:rPr>
        <w:t xml:space="preserve"> في المائة، على التوالي، من  إيرادات الشركة). وبالنسبة للسنة المنتهية في 31 ديسمبر 2023 والأشهر التسعة المنتهية في 30 سبتمبر 2024، بلغت إيرادات مكافئ تأجير السفن المجهزة بالمدة ل</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البضائع السائبة الجافة 54.2 مليون ريال عماني (140.7 مليون دولار أمريكي) و </w:t>
      </w:r>
      <w:r w:rsidR="007E1852">
        <w:rPr>
          <w:rFonts w:ascii="Traditional Arabic" w:eastAsia="Sakkal Majalla" w:hAnsi="Traditional Arabic" w:cs="Traditional Arabic" w:hint="cs"/>
          <w:sz w:val="30"/>
          <w:szCs w:val="30"/>
          <w:rtl/>
        </w:rPr>
        <w:t>٤١.١</w:t>
      </w:r>
      <w:r w:rsidRPr="00B65701">
        <w:rPr>
          <w:rFonts w:ascii="Traditional Arabic" w:eastAsia="Sakkal Majalla" w:hAnsi="Traditional Arabic" w:cs="Traditional Arabic"/>
          <w:sz w:val="30"/>
          <w:szCs w:val="30"/>
          <w:rtl/>
        </w:rPr>
        <w:t xml:space="preserve"> مليون ريال عماني (</w:t>
      </w:r>
      <w:r w:rsidR="007E1852">
        <w:rPr>
          <w:rFonts w:ascii="Traditional Arabic" w:eastAsia="Sakkal Majalla" w:hAnsi="Traditional Arabic" w:cs="Traditional Arabic" w:hint="cs"/>
          <w:sz w:val="30"/>
          <w:szCs w:val="30"/>
          <w:rtl/>
        </w:rPr>
        <w:t>١٠٦.٦</w:t>
      </w:r>
      <w:r w:rsidRPr="00B65701">
        <w:rPr>
          <w:rFonts w:ascii="Traditional Arabic" w:eastAsia="Sakkal Majalla" w:hAnsi="Traditional Arabic" w:cs="Traditional Arabic"/>
          <w:sz w:val="30"/>
          <w:szCs w:val="30"/>
          <w:rtl/>
        </w:rPr>
        <w:t xml:space="preserve"> مليون دولار أمريكي)، على التوالي</w:t>
      </w:r>
      <w:r w:rsidRPr="00B65701">
        <w:rPr>
          <w:rFonts w:ascii="Traditional Arabic" w:eastAsia="Sakkal Majalla" w:hAnsi="Traditional Arabic" w:cs="Traditional Arabic"/>
          <w:sz w:val="30"/>
          <w:szCs w:val="30"/>
        </w:rPr>
        <w:t>.</w:t>
      </w:r>
    </w:p>
    <w:p w14:paraId="7703E1D4" w14:textId="77777777" w:rsidR="00A12FF8" w:rsidRPr="00B65701" w:rsidRDefault="00A12FF8" w:rsidP="00A12FF8">
      <w:pPr>
        <w:widowControl w:val="0"/>
        <w:bidi/>
        <w:jc w:val="both"/>
        <w:rPr>
          <w:rFonts w:ascii="Traditional Arabic" w:eastAsia="Sakkal Majalla" w:hAnsi="Traditional Arabic" w:cs="Traditional Arabic"/>
          <w:sz w:val="30"/>
          <w:szCs w:val="30"/>
          <w:rtl/>
        </w:rPr>
      </w:pPr>
    </w:p>
    <w:p w14:paraId="6AFB73C1" w14:textId="77777777" w:rsidR="00A12FF8" w:rsidRDefault="00A12FF8" w:rsidP="00B934CE">
      <w:pPr>
        <w:widowControl w:val="0"/>
        <w:bidi/>
        <w:ind w:left="429" w:hanging="429"/>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Pr>
        <w:t>•</w:t>
      </w:r>
      <w:r w:rsidRPr="00B65701">
        <w:rPr>
          <w:rFonts w:ascii="Traditional Arabic" w:eastAsia="Sakkal Majalla" w:hAnsi="Traditional Arabic" w:cs="Traditional Arabic"/>
          <w:sz w:val="30"/>
          <w:szCs w:val="30"/>
        </w:rPr>
        <w:tab/>
      </w:r>
      <w:r w:rsidR="00607B02">
        <w:rPr>
          <w:rFonts w:ascii="Traditional Arabic" w:eastAsia="Sakkal Majalla" w:hAnsi="Traditional Arabic" w:cs="Traditional Arabic"/>
          <w:b/>
          <w:bCs/>
          <w:sz w:val="30"/>
          <w:szCs w:val="30"/>
          <w:rtl/>
        </w:rPr>
        <w:t>نقل</w:t>
      </w:r>
      <w:r w:rsidRPr="00272B36">
        <w:rPr>
          <w:rFonts w:ascii="Traditional Arabic" w:eastAsia="Sakkal Majalla" w:hAnsi="Traditional Arabic" w:cs="Traditional Arabic"/>
          <w:b/>
          <w:bCs/>
          <w:sz w:val="30"/>
          <w:szCs w:val="30"/>
          <w:rtl/>
        </w:rPr>
        <w:t xml:space="preserve"> الغاز:</w:t>
      </w:r>
      <w:r w:rsidRPr="00B65701">
        <w:rPr>
          <w:rFonts w:ascii="Traditional Arabic" w:eastAsia="Sakkal Majalla" w:hAnsi="Traditional Arabic" w:cs="Traditional Arabic"/>
          <w:sz w:val="30"/>
          <w:szCs w:val="30"/>
          <w:rtl/>
        </w:rPr>
        <w:t xml:space="preserve"> من خلال قطاع </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الغاز، تدير الشركة خمس ناقلات للغاز الطبيعي المسال مملوكة </w:t>
      </w:r>
      <w:r>
        <w:rPr>
          <w:rFonts w:ascii="Traditional Arabic" w:eastAsia="Sakkal Majalla" w:hAnsi="Traditional Arabic" w:cs="Traditional Arabic"/>
          <w:sz w:val="30"/>
          <w:szCs w:val="30"/>
          <w:rtl/>
        </w:rPr>
        <w:t>بشكل مشترك</w:t>
      </w:r>
      <w:r w:rsidRPr="00B65701">
        <w:rPr>
          <w:rFonts w:ascii="Traditional Arabic" w:eastAsia="Sakkal Majalla" w:hAnsi="Traditional Arabic" w:cs="Traditional Arabic"/>
          <w:sz w:val="30"/>
          <w:szCs w:val="30"/>
          <w:rtl/>
        </w:rPr>
        <w:t xml:space="preserve">، وناقلة واحدة مملوكة بالكامل، وناقلة غاز عملاقة مملوكة </w:t>
      </w:r>
      <w:r>
        <w:rPr>
          <w:rFonts w:ascii="Traditional Arabic" w:eastAsia="Sakkal Majalla" w:hAnsi="Traditional Arabic" w:cs="Traditional Arabic"/>
          <w:sz w:val="30"/>
          <w:szCs w:val="30"/>
          <w:rtl/>
        </w:rPr>
        <w:t>بشكل مشترك</w:t>
      </w:r>
      <w:r w:rsidRPr="00B65701">
        <w:rPr>
          <w:rFonts w:ascii="Traditional Arabic" w:eastAsia="Sakkal Majalla" w:hAnsi="Traditional Arabic" w:cs="Traditional Arabic"/>
          <w:sz w:val="30"/>
          <w:szCs w:val="30"/>
          <w:rtl/>
        </w:rPr>
        <w:t xml:space="preserve">، وناقلة غاز متوسطة مستأجرة لنقل الغاز الطبيعي المسال والغاز البترولي المسال إلى الأسواق في جميع أنحاء العالم. وقد طلبت الشركة أيضًا ناقلتين للغاز الطبيعي المسال؛ مصممتين بميزات صديقة للبيئة. وبالنسبة للسنة المنتهية في 31 ديسمبر 2023 والأشهر التسعة المنتهية في 30 سبتمبر 2024، بلغ إيرادات </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الغاز </w:t>
      </w:r>
      <w:r w:rsidR="00F07362">
        <w:rPr>
          <w:rFonts w:ascii="Traditional Arabic" w:eastAsia="Sakkal Majalla" w:hAnsi="Traditional Arabic" w:cs="Traditional Arabic" w:hint="cs"/>
          <w:sz w:val="30"/>
          <w:szCs w:val="30"/>
          <w:rtl/>
        </w:rPr>
        <w:t>٥١.٦</w:t>
      </w:r>
      <w:r w:rsidRPr="00B65701">
        <w:rPr>
          <w:rFonts w:ascii="Traditional Arabic" w:eastAsia="Sakkal Majalla" w:hAnsi="Traditional Arabic" w:cs="Traditional Arabic"/>
          <w:sz w:val="30"/>
          <w:szCs w:val="30"/>
          <w:rtl/>
        </w:rPr>
        <w:t xml:space="preserve"> مليون ريال عماني (</w:t>
      </w:r>
      <w:r w:rsidR="00F07362">
        <w:rPr>
          <w:rFonts w:ascii="Traditional Arabic" w:eastAsia="Sakkal Majalla" w:hAnsi="Traditional Arabic" w:cs="Traditional Arabic" w:hint="cs"/>
          <w:sz w:val="30"/>
          <w:szCs w:val="30"/>
          <w:rtl/>
        </w:rPr>
        <w:t>١٣٤.٠</w:t>
      </w:r>
      <w:r w:rsidRPr="00B65701">
        <w:rPr>
          <w:rFonts w:ascii="Traditional Arabic" w:eastAsia="Sakkal Majalla" w:hAnsi="Traditional Arabic" w:cs="Traditional Arabic"/>
          <w:sz w:val="30"/>
          <w:szCs w:val="30"/>
          <w:rtl/>
        </w:rPr>
        <w:t xml:space="preserve">9 مليون دولار أمريكي) و 37.5 مليون ريال عماني (97.4 </w:t>
      </w:r>
      <w:r w:rsidRPr="00B65701">
        <w:rPr>
          <w:rFonts w:ascii="Traditional Arabic" w:eastAsia="Sakkal Majalla" w:hAnsi="Traditional Arabic" w:cs="Traditional Arabic"/>
          <w:sz w:val="30"/>
          <w:szCs w:val="30"/>
          <w:rtl/>
        </w:rPr>
        <w:lastRenderedPageBreak/>
        <w:t xml:space="preserve">مليون دولار أمريكي)، على التوالي (ما يمثل </w:t>
      </w:r>
      <w:r w:rsidR="00E1122F">
        <w:rPr>
          <w:rFonts w:ascii="Traditional Arabic" w:eastAsia="Sakkal Majalla" w:hAnsi="Traditional Arabic" w:cs="Traditional Arabic" w:hint="cs"/>
          <w:sz w:val="30"/>
          <w:szCs w:val="30"/>
          <w:rtl/>
        </w:rPr>
        <w:t>١٤.٢</w:t>
      </w:r>
      <w:r w:rsidRPr="00B65701">
        <w:rPr>
          <w:rFonts w:ascii="Traditional Arabic" w:eastAsia="Sakkal Majalla" w:hAnsi="Traditional Arabic" w:cs="Traditional Arabic"/>
          <w:sz w:val="30"/>
          <w:szCs w:val="30"/>
          <w:rtl/>
        </w:rPr>
        <w:t xml:space="preserve"> في المائة و 13.6 في المائة، على التوالي، من إيرادات الشركة). وبالنسبة للسنة المنتهية في 31 ديسمبر 2023 والأشهر التسعة المنتهية في 30 سبتمبر 2024، بلغت إيرادات مكافئ تأجير السفن ل</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الغاز </w:t>
      </w:r>
      <w:r w:rsidR="00E1122F">
        <w:rPr>
          <w:rFonts w:ascii="Traditional Arabic" w:eastAsia="Sakkal Majalla" w:hAnsi="Traditional Arabic" w:cs="Traditional Arabic" w:hint="cs"/>
          <w:sz w:val="30"/>
          <w:szCs w:val="30"/>
          <w:rtl/>
        </w:rPr>
        <w:t>٥١.١</w:t>
      </w:r>
      <w:r w:rsidRPr="00B65701">
        <w:rPr>
          <w:rFonts w:ascii="Traditional Arabic" w:eastAsia="Sakkal Majalla" w:hAnsi="Traditional Arabic" w:cs="Traditional Arabic"/>
          <w:sz w:val="30"/>
          <w:szCs w:val="30"/>
          <w:rtl/>
        </w:rPr>
        <w:t xml:space="preserve"> مليون ريال عماني (</w:t>
      </w:r>
      <w:r w:rsidR="00DA3305">
        <w:rPr>
          <w:rFonts w:ascii="Traditional Arabic" w:eastAsia="Sakkal Majalla" w:hAnsi="Traditional Arabic" w:cs="Traditional Arabic" w:hint="cs"/>
          <w:sz w:val="30"/>
          <w:szCs w:val="30"/>
          <w:rtl/>
        </w:rPr>
        <w:t>١٣٢.٧</w:t>
      </w:r>
      <w:r w:rsidRPr="00B65701">
        <w:rPr>
          <w:rFonts w:ascii="Traditional Arabic" w:eastAsia="Sakkal Majalla" w:hAnsi="Traditional Arabic" w:cs="Traditional Arabic"/>
          <w:sz w:val="30"/>
          <w:szCs w:val="30"/>
          <w:rtl/>
        </w:rPr>
        <w:t xml:space="preserve"> مليون دولار أمريكي) و 37.5 مليون ريال عماني (97.5 مليون دولار أمريكي)، على التوالي</w:t>
      </w:r>
      <w:r w:rsidRPr="00B65701">
        <w:rPr>
          <w:rFonts w:ascii="Traditional Arabic" w:eastAsia="Sakkal Majalla" w:hAnsi="Traditional Arabic" w:cs="Traditional Arabic"/>
          <w:sz w:val="30"/>
          <w:szCs w:val="30"/>
        </w:rPr>
        <w:t>.</w:t>
      </w:r>
    </w:p>
    <w:p w14:paraId="4B94A920" w14:textId="77777777" w:rsidR="00A12FF8" w:rsidRPr="00B65701" w:rsidRDefault="00A12FF8" w:rsidP="00A12FF8">
      <w:pPr>
        <w:widowControl w:val="0"/>
        <w:bidi/>
        <w:jc w:val="both"/>
        <w:rPr>
          <w:rFonts w:ascii="Traditional Arabic" w:eastAsia="Sakkal Majalla" w:hAnsi="Traditional Arabic" w:cs="Traditional Arabic"/>
          <w:sz w:val="30"/>
          <w:szCs w:val="30"/>
          <w:rtl/>
        </w:rPr>
      </w:pPr>
    </w:p>
    <w:p w14:paraId="21290DC3" w14:textId="77777777" w:rsidR="00A12FF8" w:rsidRDefault="00A12FF8" w:rsidP="00B934CE">
      <w:pPr>
        <w:widowControl w:val="0"/>
        <w:bidi/>
        <w:ind w:left="429" w:hanging="429"/>
        <w:jc w:val="both"/>
        <w:rPr>
          <w:rFonts w:ascii="Traditional Arabic" w:eastAsia="Sakkal Majalla" w:hAnsi="Traditional Arabic" w:cs="Traditional Arabic"/>
          <w:sz w:val="30"/>
          <w:szCs w:val="30"/>
        </w:rPr>
      </w:pPr>
      <w:r w:rsidRPr="00B65701">
        <w:rPr>
          <w:rFonts w:ascii="Traditional Arabic" w:eastAsia="Sakkal Majalla" w:hAnsi="Traditional Arabic" w:cs="Traditional Arabic"/>
          <w:sz w:val="30"/>
          <w:szCs w:val="30"/>
        </w:rPr>
        <w:t>•</w:t>
      </w:r>
      <w:r w:rsidRPr="00B65701">
        <w:rPr>
          <w:rFonts w:ascii="Traditional Arabic" w:eastAsia="Sakkal Majalla" w:hAnsi="Traditional Arabic" w:cs="Traditional Arabic"/>
          <w:sz w:val="30"/>
          <w:szCs w:val="30"/>
        </w:rPr>
        <w:tab/>
      </w:r>
      <w:r w:rsidRPr="00272B36">
        <w:rPr>
          <w:rFonts w:ascii="Traditional Arabic" w:eastAsia="Sakkal Majalla" w:hAnsi="Traditional Arabic" w:cs="Traditional Arabic"/>
          <w:b/>
          <w:bCs/>
          <w:sz w:val="30"/>
          <w:szCs w:val="30"/>
          <w:rtl/>
        </w:rPr>
        <w:t>ال</w:t>
      </w:r>
      <w:r w:rsidR="00607B02">
        <w:rPr>
          <w:rFonts w:ascii="Traditional Arabic" w:eastAsia="Sakkal Majalla" w:hAnsi="Traditional Arabic" w:cs="Traditional Arabic"/>
          <w:b/>
          <w:bCs/>
          <w:sz w:val="30"/>
          <w:szCs w:val="30"/>
          <w:rtl/>
        </w:rPr>
        <w:t>نقل</w:t>
      </w:r>
      <w:r w:rsidRPr="00272B36">
        <w:rPr>
          <w:rFonts w:ascii="Traditional Arabic" w:eastAsia="Sakkal Majalla" w:hAnsi="Traditional Arabic" w:cs="Traditional Arabic"/>
          <w:b/>
          <w:bCs/>
          <w:sz w:val="30"/>
          <w:szCs w:val="30"/>
          <w:rtl/>
        </w:rPr>
        <w:t xml:space="preserve"> الملاحي المنتظم:</w:t>
      </w:r>
      <w:r w:rsidRPr="00B65701">
        <w:rPr>
          <w:rFonts w:ascii="Traditional Arabic" w:eastAsia="Sakkal Majalla" w:hAnsi="Traditional Arabic" w:cs="Traditional Arabic"/>
          <w:sz w:val="30"/>
          <w:szCs w:val="30"/>
          <w:rtl/>
        </w:rPr>
        <w:t xml:space="preserve"> من خلال قطاع ال</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الملاحي المنتظم، تدير شركة خط أسياد التابعة والمملوكة بالكامل للشركة شبكة من الخطوط البحرية التي تخدمها خمس سفن حاويات. وتؤدي شركة خط أسياد دورًا حاسمًا في ربط الموانئ العمانية بالأسواق العالمية الرئيسية في دول مجلس التعاون الخليجي والصين وجنوب شرق آسيا وخارجها من خلال شبكتها الإقليمية، حيث تقدم حلول نقل الحاويات بين الموانيء الصغيرة والإقليمية والرئيسية الكبيرة إلى مشغلي الخطوط الملاحية الرئيسية وخدمات الخطوط الملاحية التجارية المنتظمة. بالإضافة إلى ذلك، تقدم شركة خط أسياد مجموعة واسعة من الخدمات ذات القيمة المضافة؛ بداية من التخزين والنقل وانتهاءً بخدمات التخليص الجمركي، وكل ذلك ضمن عرض لوجستي متكامل ومرن وموثوق به يستهدف العملاء المحليين على وجه الخصوص. وبالنسبة للسنة المنتهية في 31 ديسمبر 2023 والأشهر التسعة المنتهية في 30 سبتمبر 2024، بلغ</w:t>
      </w:r>
      <w:r w:rsidR="00DA3305">
        <w:rPr>
          <w:rFonts w:ascii="Traditional Arabic" w:eastAsia="Sakkal Majalla" w:hAnsi="Traditional Arabic" w:cs="Traditional Arabic" w:hint="cs"/>
          <w:sz w:val="30"/>
          <w:szCs w:val="30"/>
          <w:rtl/>
        </w:rPr>
        <w:t xml:space="preserve">ت </w:t>
      </w:r>
      <w:r w:rsidRPr="00B65701">
        <w:rPr>
          <w:rFonts w:ascii="Traditional Arabic" w:eastAsia="Sakkal Majalla" w:hAnsi="Traditional Arabic" w:cs="Traditional Arabic"/>
          <w:sz w:val="30"/>
          <w:szCs w:val="30"/>
          <w:rtl/>
        </w:rPr>
        <w:t>إيرادات ال</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البحري 44.</w:t>
      </w:r>
      <w:r w:rsidR="00DA3305">
        <w:rPr>
          <w:rFonts w:ascii="Traditional Arabic" w:eastAsia="Sakkal Majalla" w:hAnsi="Traditional Arabic" w:cs="Traditional Arabic" w:hint="cs"/>
          <w:sz w:val="30"/>
          <w:szCs w:val="30"/>
          <w:rtl/>
        </w:rPr>
        <w:t>٢</w:t>
      </w:r>
      <w:r w:rsidR="00DA3305"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مليون ريال عماني (</w:t>
      </w:r>
      <w:r w:rsidR="00F74727">
        <w:rPr>
          <w:rFonts w:ascii="Traditional Arabic" w:eastAsia="Sakkal Majalla" w:hAnsi="Traditional Arabic" w:cs="Traditional Arabic" w:hint="cs"/>
          <w:sz w:val="30"/>
          <w:szCs w:val="30"/>
          <w:rtl/>
        </w:rPr>
        <w:t>١١٤.٩</w:t>
      </w:r>
      <w:r w:rsidRPr="00B65701">
        <w:rPr>
          <w:rFonts w:ascii="Traditional Arabic" w:eastAsia="Sakkal Majalla" w:hAnsi="Traditional Arabic" w:cs="Traditional Arabic"/>
          <w:sz w:val="30"/>
          <w:szCs w:val="30"/>
          <w:rtl/>
        </w:rPr>
        <w:t xml:space="preserve"> مليون دولار أمريكي) و 42.</w:t>
      </w:r>
      <w:r w:rsidR="00F74727">
        <w:rPr>
          <w:rFonts w:ascii="Traditional Arabic" w:eastAsia="Sakkal Majalla" w:hAnsi="Traditional Arabic" w:cs="Traditional Arabic" w:hint="cs"/>
          <w:sz w:val="30"/>
          <w:szCs w:val="30"/>
          <w:rtl/>
        </w:rPr>
        <w:t>٧</w:t>
      </w:r>
      <w:r w:rsidR="00F74727"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مليون ريال عماني (</w:t>
      </w:r>
      <w:r w:rsidR="00F74727">
        <w:rPr>
          <w:rFonts w:ascii="Traditional Arabic" w:eastAsia="Sakkal Majalla" w:hAnsi="Traditional Arabic" w:cs="Traditional Arabic" w:hint="cs"/>
          <w:sz w:val="30"/>
          <w:szCs w:val="30"/>
          <w:rtl/>
        </w:rPr>
        <w:t>١١٠.٨</w:t>
      </w:r>
      <w:r w:rsidRPr="00B65701">
        <w:rPr>
          <w:rFonts w:ascii="Traditional Arabic" w:eastAsia="Sakkal Majalla" w:hAnsi="Traditional Arabic" w:cs="Traditional Arabic"/>
          <w:sz w:val="30"/>
          <w:szCs w:val="30"/>
          <w:rtl/>
        </w:rPr>
        <w:t xml:space="preserve"> مليون دولار أمريكي)، على التوالي (ما يمثل </w:t>
      </w:r>
      <w:r w:rsidR="00F74727">
        <w:rPr>
          <w:rFonts w:ascii="Traditional Arabic" w:eastAsia="Sakkal Majalla" w:hAnsi="Traditional Arabic" w:cs="Traditional Arabic" w:hint="cs"/>
          <w:sz w:val="30"/>
          <w:szCs w:val="30"/>
          <w:rtl/>
        </w:rPr>
        <w:t>١٢.٢</w:t>
      </w:r>
      <w:r w:rsidRPr="00B65701">
        <w:rPr>
          <w:rFonts w:ascii="Traditional Arabic" w:eastAsia="Sakkal Majalla" w:hAnsi="Traditional Arabic" w:cs="Traditional Arabic"/>
          <w:sz w:val="30"/>
          <w:szCs w:val="30"/>
          <w:rtl/>
        </w:rPr>
        <w:t xml:space="preserve"> في المائة و 15.</w:t>
      </w:r>
      <w:r w:rsidR="00261DC8">
        <w:rPr>
          <w:rFonts w:ascii="Traditional Arabic" w:eastAsia="Sakkal Majalla" w:hAnsi="Traditional Arabic" w:cs="Traditional Arabic" w:hint="cs"/>
          <w:sz w:val="30"/>
          <w:szCs w:val="30"/>
          <w:rtl/>
        </w:rPr>
        <w:t>٥</w:t>
      </w:r>
      <w:r w:rsidR="00261DC8"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في المائة، على التوالي، من  إيرادات الشركة). وبالنسبة للسنة المنتهية في 31 ديسمبر 2023 والأشهر التسعة المنتهية في 30 سبتمبر 2024، بلغت إيرادات مكافئ تأجير السفن المجهزة بمدة لل</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المنتظم 4.5 مليون ريال عماني (11.7 مليون دولار أمريكي) و </w:t>
      </w:r>
      <w:r w:rsidR="00261DC8">
        <w:rPr>
          <w:rFonts w:ascii="Traditional Arabic" w:eastAsia="Sakkal Majalla" w:hAnsi="Traditional Arabic" w:cs="Traditional Arabic" w:hint="cs"/>
          <w:sz w:val="30"/>
          <w:szCs w:val="30"/>
          <w:rtl/>
        </w:rPr>
        <w:t>١٦.٩</w:t>
      </w:r>
      <w:r w:rsidRPr="00B65701">
        <w:rPr>
          <w:rFonts w:ascii="Traditional Arabic" w:eastAsia="Sakkal Majalla" w:hAnsi="Traditional Arabic" w:cs="Traditional Arabic"/>
          <w:sz w:val="30"/>
          <w:szCs w:val="30"/>
          <w:rtl/>
        </w:rPr>
        <w:t xml:space="preserve"> مليون ريال عماني (</w:t>
      </w:r>
      <w:r w:rsidR="00261DC8">
        <w:rPr>
          <w:rFonts w:ascii="Traditional Arabic" w:eastAsia="Sakkal Majalla" w:hAnsi="Traditional Arabic" w:cs="Traditional Arabic" w:hint="cs"/>
          <w:sz w:val="30"/>
          <w:szCs w:val="30"/>
          <w:rtl/>
        </w:rPr>
        <w:t>٤٣.٨</w:t>
      </w:r>
      <w:r w:rsidRPr="00B65701">
        <w:rPr>
          <w:rFonts w:ascii="Traditional Arabic" w:eastAsia="Sakkal Majalla" w:hAnsi="Traditional Arabic" w:cs="Traditional Arabic"/>
          <w:sz w:val="30"/>
          <w:szCs w:val="30"/>
          <w:rtl/>
        </w:rPr>
        <w:t xml:space="preserve"> مليون دولار أمريكي)، على التوالي</w:t>
      </w:r>
      <w:r w:rsidRPr="00B65701">
        <w:rPr>
          <w:rFonts w:ascii="Traditional Arabic" w:eastAsia="Sakkal Majalla" w:hAnsi="Traditional Arabic" w:cs="Traditional Arabic"/>
          <w:sz w:val="30"/>
          <w:szCs w:val="30"/>
        </w:rPr>
        <w:t>.</w:t>
      </w:r>
    </w:p>
    <w:p w14:paraId="3F01C336" w14:textId="77777777" w:rsidR="00076D72" w:rsidRDefault="00076D72" w:rsidP="00076D72">
      <w:pPr>
        <w:widowControl w:val="0"/>
        <w:bidi/>
        <w:ind w:left="429" w:hanging="429"/>
        <w:jc w:val="both"/>
        <w:rPr>
          <w:rFonts w:ascii="Traditional Arabic" w:eastAsia="Sakkal Majalla" w:hAnsi="Traditional Arabic" w:cs="Traditional Arabic"/>
          <w:sz w:val="30"/>
          <w:szCs w:val="30"/>
          <w:rtl/>
        </w:rPr>
      </w:pPr>
    </w:p>
    <w:p w14:paraId="41AAD27F" w14:textId="77777777" w:rsidR="00076D72" w:rsidRPr="00EB5BCF" w:rsidRDefault="00076D72" w:rsidP="00076D72">
      <w:pPr>
        <w:pStyle w:val="BodyText1"/>
        <w:bidi/>
        <w:spacing w:after="0"/>
        <w:rPr>
          <w:rFonts w:ascii="Traditional Arabic" w:hAnsi="Traditional Arabic" w:cs="Traditional Arabic"/>
          <w:sz w:val="30"/>
          <w:szCs w:val="30"/>
          <w:rtl/>
          <w:lang w:val="en-GB" w:bidi="ar-EG"/>
        </w:rPr>
      </w:pPr>
      <w:r>
        <w:rPr>
          <w:rFonts w:ascii="Traditional Arabic" w:hAnsi="Traditional Arabic" w:cs="Traditional Arabic" w:hint="cs"/>
          <w:b/>
          <w:sz w:val="30"/>
          <w:szCs w:val="30"/>
          <w:rtl/>
        </w:rPr>
        <w:t>لمزيد من التعريفات المتعلقة بالمعلومات</w:t>
      </w:r>
      <w:r w:rsidRPr="008D7454">
        <w:rPr>
          <w:rFonts w:ascii="Traditional Arabic" w:hAnsi="Traditional Arabic" w:cs="Traditional Arabic"/>
          <w:b/>
          <w:sz w:val="30"/>
          <w:szCs w:val="30"/>
          <w:rtl/>
        </w:rPr>
        <w:t xml:space="preserve"> غير </w:t>
      </w:r>
      <w:r w:rsidRPr="008D7454">
        <w:rPr>
          <w:rFonts w:ascii="Traditional Arabic" w:hAnsi="Traditional Arabic" w:cs="Traditional Arabic" w:hint="cs"/>
          <w:b/>
          <w:sz w:val="30"/>
          <w:szCs w:val="30"/>
          <w:rtl/>
        </w:rPr>
        <w:t>ال</w:t>
      </w:r>
      <w:r w:rsidRPr="008D7454">
        <w:rPr>
          <w:rFonts w:ascii="Traditional Arabic" w:hAnsi="Traditional Arabic" w:cs="Traditional Arabic"/>
          <w:b/>
          <w:sz w:val="30"/>
          <w:szCs w:val="30"/>
          <w:rtl/>
        </w:rPr>
        <w:t>متصلة بالمعايير الدولية</w:t>
      </w:r>
      <w:r>
        <w:rPr>
          <w:rFonts w:ascii="Traditional Arabic" w:hAnsi="Traditional Arabic" w:cs="Traditional Arabic" w:hint="cs"/>
          <w:b/>
          <w:sz w:val="30"/>
          <w:szCs w:val="30"/>
          <w:rtl/>
        </w:rPr>
        <w:t xml:space="preserve"> </w:t>
      </w:r>
      <w:r w:rsidRPr="00B142CA">
        <w:rPr>
          <w:rFonts w:ascii="Traditional Arabic" w:hAnsi="Traditional Arabic" w:cs="Traditional Arabic"/>
          <w:b/>
          <w:sz w:val="30"/>
          <w:szCs w:val="30"/>
          <w:rtl/>
        </w:rPr>
        <w:t>لإعداد التقارير المالية</w:t>
      </w:r>
      <w:r w:rsidRPr="008D7454">
        <w:rPr>
          <w:rFonts w:ascii="Traditional Arabic" w:hAnsi="Traditional Arabic" w:cs="Traditional Arabic" w:hint="cs"/>
          <w:b/>
          <w:sz w:val="30"/>
          <w:szCs w:val="30"/>
          <w:rtl/>
        </w:rPr>
        <w:t xml:space="preserve"> وغيرها من </w:t>
      </w:r>
      <w:r w:rsidRPr="008D7454">
        <w:rPr>
          <w:rFonts w:ascii="Traditional Arabic" w:hAnsi="Traditional Arabic" w:cs="Traditional Arabic"/>
          <w:b/>
          <w:sz w:val="30"/>
          <w:szCs w:val="30"/>
          <w:rtl/>
        </w:rPr>
        <w:t>البيانات التشغيلية</w:t>
      </w:r>
      <w:r w:rsidRPr="008D7454">
        <w:rPr>
          <w:rFonts w:ascii="Traditional Arabic" w:hAnsi="Traditional Arabic" w:cs="Traditional Arabic" w:hint="cs"/>
          <w:b/>
          <w:sz w:val="30"/>
          <w:szCs w:val="30"/>
          <w:rtl/>
        </w:rPr>
        <w:t xml:space="preserve"> المستخدمة ، بالرجاء الرجوع ل " </w:t>
      </w:r>
      <w:r w:rsidRPr="008D7454">
        <w:rPr>
          <w:rFonts w:ascii="Traditional Arabic" w:hAnsi="Traditional Arabic" w:cs="Traditional Arabic"/>
          <w:b/>
          <w:i/>
          <w:iCs/>
          <w:sz w:val="30"/>
          <w:szCs w:val="30"/>
          <w:rtl/>
        </w:rPr>
        <w:t>عرض البيانات المالية وبيانات القطاع والسوق</w:t>
      </w:r>
      <w:r w:rsidRPr="008D7454">
        <w:rPr>
          <w:rFonts w:ascii="Traditional Arabic" w:hAnsi="Traditional Arabic" w:cs="Traditional Arabic" w:hint="cs"/>
          <w:b/>
          <w:i/>
          <w:iCs/>
          <w:sz w:val="30"/>
          <w:szCs w:val="30"/>
          <w:rtl/>
        </w:rPr>
        <w:t xml:space="preserve">- </w:t>
      </w:r>
      <w:r w:rsidRPr="008D7454">
        <w:rPr>
          <w:rFonts w:ascii="Traditional Arabic" w:hAnsi="Traditional Arabic" w:cs="Traditional Arabic"/>
          <w:b/>
          <w:i/>
          <w:iCs/>
          <w:sz w:val="30"/>
          <w:szCs w:val="30"/>
          <w:rtl/>
        </w:rPr>
        <w:t>معلومات غير متصلة بالمعايير الدولية لإعداد التقارير المالية وبعض البيانات التشغيلية</w:t>
      </w:r>
      <w:r>
        <w:rPr>
          <w:rFonts w:ascii="Traditional Arabic" w:hAnsi="Traditional Arabic" w:cs="Traditional Arabic" w:hint="cs"/>
          <w:b/>
          <w:i/>
          <w:iCs/>
          <w:sz w:val="30"/>
          <w:szCs w:val="30"/>
          <w:rtl/>
        </w:rPr>
        <w:t xml:space="preserve">" </w:t>
      </w:r>
    </w:p>
    <w:p w14:paraId="515A30D8" w14:textId="77777777" w:rsidR="00A12FF8" w:rsidRPr="00B65701" w:rsidRDefault="00A12FF8" w:rsidP="00A12FF8">
      <w:pPr>
        <w:widowControl w:val="0"/>
        <w:bidi/>
        <w:jc w:val="both"/>
        <w:rPr>
          <w:rFonts w:ascii="Traditional Arabic" w:eastAsia="Sakkal Majalla" w:hAnsi="Traditional Arabic" w:cs="Traditional Arabic"/>
          <w:sz w:val="30"/>
          <w:szCs w:val="30"/>
          <w:rtl/>
          <w:lang w:bidi="ar-EG"/>
        </w:rPr>
      </w:pPr>
    </w:p>
    <w:p w14:paraId="0C10BF17" w14:textId="77777777" w:rsidR="00A12FF8" w:rsidRDefault="00A12FF8" w:rsidP="00A12FF8">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 xml:space="preserve">بالإضافة إلى ذلك، توفر الشركة أيضًا خدمات تأجير السفن، وإدارة البضائع والرحلات، وخدمات الحاويات وخدمات نقل الحاويات والبضائع من الموانئ الصغيرة إلى الموانئ الكبيرة، وخدمات الإدارة الفنية للسفن من خلال الشركات التابعة لها، بما في ذلك الشركة العمانية </w:t>
      </w:r>
      <w:r w:rsidR="00D73935">
        <w:rPr>
          <w:rFonts w:ascii="Traditional Arabic" w:eastAsia="Sakkal Majalla" w:hAnsi="Traditional Arabic" w:cs="Traditional Arabic" w:hint="cs"/>
          <w:sz w:val="30"/>
          <w:szCs w:val="30"/>
          <w:rtl/>
        </w:rPr>
        <w:t>لاستئجار</w:t>
      </w:r>
      <w:r w:rsidR="00D73935"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السفن والشركة العمانية لإدارة السفن، وشركة أسياد لإدارة السفن، وشركة خط أسياد، وشركة أسياد شيبينغ</w:t>
      </w:r>
      <w:r w:rsidR="00006B03">
        <w:rPr>
          <w:rFonts w:ascii="Traditional Arabic" w:eastAsia="Sakkal Majalla" w:hAnsi="Traditional Arabic" w:cs="Traditional Arabic"/>
          <w:sz w:val="30"/>
          <w:szCs w:val="30"/>
        </w:rPr>
        <w:t xml:space="preserve"> </w:t>
      </w:r>
      <w:r w:rsidR="00006B03">
        <w:rPr>
          <w:rFonts w:ascii="Traditional Arabic" w:hAnsi="Traditional Arabic" w:cs="Traditional Arabic" w:hint="cs"/>
          <w:sz w:val="30"/>
          <w:szCs w:val="30"/>
          <w:rtl/>
        </w:rPr>
        <w:t>بي تي إي ليمتد</w:t>
      </w:r>
      <w:r w:rsidRPr="00B65701">
        <w:rPr>
          <w:rFonts w:ascii="Traditional Arabic" w:eastAsia="Sakkal Majalla" w:hAnsi="Traditional Arabic" w:cs="Traditional Arabic"/>
          <w:sz w:val="30"/>
          <w:szCs w:val="30"/>
          <w:rtl/>
        </w:rPr>
        <w:t xml:space="preserve">، مما يسمح لها بتقديم خدمات نقل بحري </w:t>
      </w:r>
      <w:r>
        <w:rPr>
          <w:rFonts w:ascii="Traditional Arabic" w:eastAsia="Sakkal Majalla" w:hAnsi="Traditional Arabic" w:cs="Traditional Arabic" w:hint="cs"/>
          <w:sz w:val="30"/>
          <w:szCs w:val="30"/>
          <w:rtl/>
        </w:rPr>
        <w:t>متكاملة</w:t>
      </w:r>
      <w:r w:rsidRPr="00B65701">
        <w:rPr>
          <w:rFonts w:ascii="Traditional Arabic" w:eastAsia="Sakkal Majalla" w:hAnsi="Traditional Arabic" w:cs="Traditional Arabic"/>
          <w:sz w:val="30"/>
          <w:szCs w:val="30"/>
          <w:rtl/>
        </w:rPr>
        <w:t xml:space="preserve"> وفقًا لأعلى معايير الصناعة. تشرف الشركة العمانية </w:t>
      </w:r>
      <w:r w:rsidR="00D73935">
        <w:rPr>
          <w:rFonts w:ascii="Traditional Arabic" w:eastAsia="Sakkal Majalla" w:hAnsi="Traditional Arabic" w:cs="Traditional Arabic" w:hint="cs"/>
          <w:sz w:val="30"/>
          <w:szCs w:val="30"/>
          <w:rtl/>
        </w:rPr>
        <w:t>لاستئجار</w:t>
      </w:r>
      <w:r w:rsidR="00D73935"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السفن وشركة أسياد شيبينغ</w:t>
      </w:r>
      <w:r w:rsidR="00006B03" w:rsidRPr="00006B03">
        <w:rPr>
          <w:rFonts w:ascii="Traditional Arabic" w:hAnsi="Traditional Arabic" w:cs="Traditional Arabic" w:hint="cs"/>
          <w:sz w:val="30"/>
          <w:szCs w:val="30"/>
          <w:rtl/>
        </w:rPr>
        <w:t xml:space="preserve"> </w:t>
      </w:r>
      <w:r w:rsidR="00006B03">
        <w:rPr>
          <w:rFonts w:ascii="Traditional Arabic" w:hAnsi="Traditional Arabic" w:cs="Traditional Arabic" w:hint="cs"/>
          <w:sz w:val="30"/>
          <w:szCs w:val="30"/>
          <w:rtl/>
        </w:rPr>
        <w:t>بي تي إي ليمتد</w:t>
      </w:r>
      <w:r w:rsidRPr="00B65701">
        <w:rPr>
          <w:rFonts w:ascii="Traditional Arabic" w:eastAsia="Sakkal Majalla" w:hAnsi="Traditional Arabic" w:cs="Traditional Arabic"/>
          <w:sz w:val="30"/>
          <w:szCs w:val="30"/>
          <w:rtl/>
        </w:rPr>
        <w:t xml:space="preserve"> على أنشطة التأجير والسمسرة الموسعة للشركة، والتي تشمل السفن المملوكة للشركة وسفن الشركات الأخرى أيضا. كما تدير الشركة العمانية </w:t>
      </w:r>
      <w:r w:rsidR="00D73935">
        <w:rPr>
          <w:rFonts w:ascii="Traditional Arabic" w:eastAsia="Sakkal Majalla" w:hAnsi="Traditional Arabic" w:cs="Traditional Arabic" w:hint="cs"/>
          <w:sz w:val="30"/>
          <w:szCs w:val="30"/>
          <w:rtl/>
        </w:rPr>
        <w:t>لاستئجار</w:t>
      </w:r>
      <w:r w:rsidR="00D73935"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السفن وشركة أسياد شيبينغ</w:t>
      </w:r>
      <w:r w:rsidR="00006B03">
        <w:rPr>
          <w:rFonts w:ascii="Traditional Arabic" w:eastAsia="Sakkal Majalla" w:hAnsi="Traditional Arabic" w:cs="Traditional Arabic"/>
          <w:sz w:val="30"/>
          <w:szCs w:val="30"/>
        </w:rPr>
        <w:t xml:space="preserve"> </w:t>
      </w:r>
      <w:r w:rsidR="00006B03">
        <w:rPr>
          <w:rFonts w:ascii="Traditional Arabic" w:hAnsi="Traditional Arabic" w:cs="Traditional Arabic" w:hint="cs"/>
          <w:sz w:val="30"/>
          <w:szCs w:val="30"/>
          <w:rtl/>
        </w:rPr>
        <w:t xml:space="preserve">بي تي </w:t>
      </w:r>
      <w:r w:rsidR="00006B03">
        <w:rPr>
          <w:rFonts w:ascii="Traditional Arabic" w:hAnsi="Traditional Arabic" w:cs="Traditional Arabic" w:hint="cs"/>
          <w:sz w:val="30"/>
          <w:szCs w:val="30"/>
          <w:rtl/>
        </w:rPr>
        <w:lastRenderedPageBreak/>
        <w:t>إي ليمتد</w:t>
      </w:r>
      <w:r w:rsidRPr="00B65701">
        <w:rPr>
          <w:rFonts w:ascii="Traditional Arabic" w:eastAsia="Sakkal Majalla" w:hAnsi="Traditional Arabic" w:cs="Traditional Arabic"/>
          <w:sz w:val="30"/>
          <w:szCs w:val="30"/>
          <w:rtl/>
        </w:rPr>
        <w:t xml:space="preserve"> تجاريا العديد من السفن التي تم استئجارها لدعم عملاء الشركة. تتم إدارة الغالبية العظمى من السفن المملوكة للشركة، بما في ذلك ناقلات خام النفط العملاقة، وناقلات خام الحديد العملاقة، وناقلات الغاز الطبيعي المسال، وناقلات المنتجات وناقلات السوائب الجافة، داخليًا بواسطة الشركة العمانية لإدارة السفن</w:t>
      </w:r>
      <w:r w:rsidRPr="00B65701">
        <w:rPr>
          <w:rFonts w:ascii="Traditional Arabic" w:eastAsia="Sakkal Majalla" w:hAnsi="Traditional Arabic" w:cs="Traditional Arabic"/>
          <w:sz w:val="30"/>
          <w:szCs w:val="30"/>
        </w:rPr>
        <w:t xml:space="preserve">. </w:t>
      </w:r>
    </w:p>
    <w:p w14:paraId="797F890E" w14:textId="77777777" w:rsidR="00A12FF8" w:rsidRPr="00B65701" w:rsidRDefault="00A12FF8" w:rsidP="00A12FF8">
      <w:pPr>
        <w:widowControl w:val="0"/>
        <w:bidi/>
        <w:jc w:val="both"/>
        <w:rPr>
          <w:rFonts w:ascii="Traditional Arabic" w:eastAsia="Sakkal Majalla" w:hAnsi="Traditional Arabic" w:cs="Traditional Arabic"/>
          <w:sz w:val="30"/>
          <w:szCs w:val="30"/>
          <w:rtl/>
        </w:rPr>
      </w:pPr>
    </w:p>
    <w:p w14:paraId="2CB9C4AA" w14:textId="77777777" w:rsidR="00A12FF8" w:rsidRDefault="00A12FF8" w:rsidP="00A12FF8">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 xml:space="preserve">ومنذ إنشائها في عام 2003، دعمت الشركة رؤية الحكومة العمانية لتطوير أسطول شحن وطني يلبي متطلبات النقل البحري للصناعات الهيدروكربونية والبتروكيماوية والتعدينية والمعدنية سريعة النمو في البلاد. ومن الجدير بالذكر أن الشركة مدعومة من قبل جهاز الاستثمار العماني، وهو الذراع الاستثماري لسلطنة عمان، والذي يوفر </w:t>
      </w:r>
      <w:r>
        <w:rPr>
          <w:rFonts w:ascii="Traditional Arabic" w:eastAsia="Sakkal Majalla" w:hAnsi="Traditional Arabic" w:cs="Traditional Arabic" w:hint="cs"/>
          <w:sz w:val="30"/>
          <w:szCs w:val="30"/>
          <w:rtl/>
        </w:rPr>
        <w:t>منفذا</w:t>
      </w:r>
      <w:r w:rsidRPr="00B65701">
        <w:rPr>
          <w:rFonts w:ascii="Traditional Arabic" w:eastAsia="Sakkal Majalla" w:hAnsi="Traditional Arabic" w:cs="Traditional Arabic"/>
          <w:sz w:val="30"/>
          <w:szCs w:val="30"/>
          <w:rtl/>
        </w:rPr>
        <w:t xml:space="preserve"> إلى شبكة واسعة من شركات المحفظة والشركات الوطنية الرائدة، مما يجعلها شريكا مفضلا للمشاريع الرئيسية والعملاء في سلطنة عمان. ولا شك أن عمليات ال</w:t>
      </w:r>
      <w:r w:rsidR="00607B02">
        <w:rPr>
          <w:rFonts w:ascii="Traditional Arabic" w:eastAsia="Sakkal Majalla" w:hAnsi="Traditional Arabic" w:cs="Traditional Arabic"/>
          <w:sz w:val="30"/>
          <w:szCs w:val="30"/>
          <w:rtl/>
        </w:rPr>
        <w:t>نقل</w:t>
      </w:r>
      <w:r w:rsidRPr="00B65701">
        <w:rPr>
          <w:rFonts w:ascii="Traditional Arabic" w:eastAsia="Sakkal Majalla" w:hAnsi="Traditional Arabic" w:cs="Traditional Arabic"/>
          <w:sz w:val="30"/>
          <w:szCs w:val="30"/>
          <w:rtl/>
        </w:rPr>
        <w:t xml:space="preserve"> الخاصة بالشركة تؤدي دورًا حاسمًا في قطاع النقل والإمداد العماني ودول مجلس التعاون الخليجي الأوسع، وهي شركة النقل البحري المفضلة في النظام البيئي العماني، ونظرا للدور القيادي الذي تؤديه، ستساعد في دفع عجلة الحد من الانبعاثات الكربونية في قطاع الملاحة والنقل البحري العماني</w:t>
      </w:r>
      <w:r w:rsidRPr="00B65701">
        <w:rPr>
          <w:rFonts w:ascii="Traditional Arabic" w:eastAsia="Sakkal Majalla" w:hAnsi="Traditional Arabic" w:cs="Traditional Arabic"/>
          <w:sz w:val="30"/>
          <w:szCs w:val="30"/>
        </w:rPr>
        <w:t xml:space="preserve">. </w:t>
      </w:r>
    </w:p>
    <w:p w14:paraId="6DBA7ADB" w14:textId="77777777" w:rsidR="00A12FF8" w:rsidRPr="00B65701" w:rsidRDefault="00A12FF8" w:rsidP="00A12FF8">
      <w:pPr>
        <w:widowControl w:val="0"/>
        <w:bidi/>
        <w:jc w:val="both"/>
        <w:rPr>
          <w:rFonts w:ascii="Traditional Arabic" w:eastAsia="Sakkal Majalla" w:hAnsi="Traditional Arabic" w:cs="Traditional Arabic"/>
          <w:sz w:val="30"/>
          <w:szCs w:val="30"/>
          <w:rtl/>
        </w:rPr>
      </w:pPr>
    </w:p>
    <w:p w14:paraId="2608203E" w14:textId="77777777" w:rsidR="00A12FF8" w:rsidRDefault="00A12FF8" w:rsidP="00A12FF8">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الشركة هي شركة تابعة ضمن مجموعة أسياد، وهي مزود لوجستي وطني متكامل يمتلك شبكة قوية وشهرة تجارية عبر الأسواق الإقليمية والدولية. وبصفتها إحدى شركات مجموعة أسياد، فإنها تستفيد من الموارد المشتركة، وإمكانية الوصول إلى مجموعة متكاملة من الخدمات التكاملية، بما في ذلك الأحواض الجافة، ومرافق الإصلاح والصيانة، والبنية التحتية المشتركة (الموانئ، والمناطق الحرة، وغيرها)، والموارد البشرية (الخزينة، والموارد البشرية، والمشتريات، وخدمات الاتصالات، والخدمات القانونية، وخدمات تكنولوجيا المعلومات)</w:t>
      </w:r>
      <w:r w:rsidRPr="00B65701">
        <w:rPr>
          <w:rFonts w:ascii="Traditional Arabic" w:eastAsia="Sakkal Majalla" w:hAnsi="Traditional Arabic" w:cs="Traditional Arabic"/>
          <w:sz w:val="30"/>
          <w:szCs w:val="30"/>
        </w:rPr>
        <w:t>.</w:t>
      </w:r>
    </w:p>
    <w:p w14:paraId="20C9A798" w14:textId="77777777" w:rsidR="00A12FF8" w:rsidRPr="00B65701" w:rsidRDefault="00A12FF8" w:rsidP="00A12FF8">
      <w:pPr>
        <w:widowControl w:val="0"/>
        <w:bidi/>
        <w:jc w:val="both"/>
        <w:rPr>
          <w:rFonts w:ascii="Traditional Arabic" w:eastAsia="Sakkal Majalla" w:hAnsi="Traditional Arabic" w:cs="Traditional Arabic"/>
          <w:sz w:val="30"/>
          <w:szCs w:val="30"/>
          <w:rtl/>
        </w:rPr>
      </w:pPr>
    </w:p>
    <w:p w14:paraId="732F271E" w14:textId="77777777" w:rsidR="00A12FF8" w:rsidRDefault="00A12FF8" w:rsidP="00A12FF8">
      <w:pPr>
        <w:widowControl w:val="0"/>
        <w:bidi/>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 xml:space="preserve">كما أنها تملك أسطولا من أكبر الأساطيل المتنوعة عالميًا، ولذا، فإنها قادرة على خدمة أكثر من 60 دولة، وهي في وضع جيد لتزويد الأسواق ذات النمو المرتفع، مثل دول آسيا والشرق الأوسط وشمال إفريقيا. تجري الشركة عملياتها من خلال أسطولها المكون من 89 سفينة، منها 47 سفينة مملوكة بالكامل أو </w:t>
      </w:r>
      <w:r>
        <w:rPr>
          <w:rFonts w:ascii="Traditional Arabic" w:eastAsia="Sakkal Majalla" w:hAnsi="Traditional Arabic" w:cs="Traditional Arabic"/>
          <w:sz w:val="30"/>
          <w:szCs w:val="30"/>
          <w:rtl/>
        </w:rPr>
        <w:t>بشكل مشترك</w:t>
      </w:r>
      <w:r w:rsidRPr="00B65701">
        <w:rPr>
          <w:rFonts w:ascii="Traditional Arabic" w:eastAsia="Sakkal Majalla" w:hAnsi="Traditional Arabic" w:cs="Traditional Arabic"/>
          <w:sz w:val="30"/>
          <w:szCs w:val="30"/>
          <w:rtl/>
        </w:rPr>
        <w:t>، و 36 سفينة مستأجرة و 6 سفن تم طلبها في الوقت الحالي، بسعة إجمالية تزيد على 9.5 مليون طن ساكن، وذلك حتى 30 سبتمبر 2024. هذا، ويتألف أسطول سفن الشركة من</w:t>
      </w:r>
      <w:r w:rsidRPr="00B65701">
        <w:rPr>
          <w:rFonts w:ascii="Traditional Arabic" w:eastAsia="Sakkal Majalla" w:hAnsi="Traditional Arabic" w:cs="Traditional Arabic"/>
          <w:sz w:val="30"/>
          <w:szCs w:val="30"/>
        </w:rPr>
        <w:t>:</w:t>
      </w:r>
    </w:p>
    <w:p w14:paraId="72FC8CE0" w14:textId="77777777" w:rsidR="00A12FF8" w:rsidRPr="00B65701" w:rsidRDefault="00A12FF8" w:rsidP="00A12FF8">
      <w:pPr>
        <w:widowControl w:val="0"/>
        <w:bidi/>
        <w:jc w:val="both"/>
        <w:rPr>
          <w:rFonts w:ascii="Traditional Arabic" w:eastAsia="Sakkal Majalla" w:hAnsi="Traditional Arabic" w:cs="Traditional Arabic"/>
          <w:sz w:val="30"/>
          <w:szCs w:val="30"/>
          <w:rtl/>
        </w:rPr>
      </w:pPr>
    </w:p>
    <w:p w14:paraId="5DB56BA1" w14:textId="77777777" w:rsidR="00A12FF8" w:rsidRPr="00B65701" w:rsidRDefault="003A31D2" w:rsidP="00D925C8">
      <w:pPr>
        <w:pStyle w:val="ListParagraph"/>
        <w:widowControl w:val="0"/>
        <w:numPr>
          <w:ilvl w:val="0"/>
          <w:numId w:val="64"/>
        </w:numPr>
        <w:bidi/>
        <w:ind w:left="571" w:hanging="573"/>
        <w:jc w:val="both"/>
        <w:rPr>
          <w:rFonts w:ascii="Traditional Arabic" w:eastAsia="Sakkal Majalla" w:hAnsi="Traditional Arabic" w:cs="Traditional Arabic"/>
          <w:sz w:val="30"/>
          <w:szCs w:val="30"/>
          <w:rtl/>
        </w:rPr>
      </w:pPr>
      <w:r>
        <w:rPr>
          <w:rFonts w:ascii="Traditional Arabic" w:eastAsia="Sakkal Majalla" w:hAnsi="Traditional Arabic" w:cs="Traditional Arabic" w:hint="cs"/>
          <w:sz w:val="30"/>
          <w:szCs w:val="30"/>
          <w:rtl/>
        </w:rPr>
        <w:t>22</w:t>
      </w:r>
      <w:r w:rsidR="00A12FF8" w:rsidRPr="00B65701">
        <w:rPr>
          <w:rFonts w:ascii="Traditional Arabic" w:eastAsia="Sakkal Majalla" w:hAnsi="Traditional Arabic" w:cs="Traditional Arabic"/>
          <w:sz w:val="30"/>
          <w:szCs w:val="30"/>
        </w:rPr>
        <w:t xml:space="preserve"> </w:t>
      </w:r>
      <w:r w:rsidR="00A12FF8" w:rsidRPr="00B65701">
        <w:rPr>
          <w:rFonts w:ascii="Traditional Arabic" w:eastAsia="Sakkal Majalla" w:hAnsi="Traditional Arabic" w:cs="Traditional Arabic" w:hint="cs"/>
          <w:sz w:val="30"/>
          <w:szCs w:val="30"/>
          <w:rtl/>
        </w:rPr>
        <w:t xml:space="preserve"> </w:t>
      </w:r>
      <w:r w:rsidR="00A12FF8" w:rsidRPr="00B65701">
        <w:rPr>
          <w:rFonts w:ascii="Traditional Arabic" w:eastAsia="Sakkal Majalla" w:hAnsi="Traditional Arabic" w:cs="Traditional Arabic"/>
          <w:sz w:val="30"/>
          <w:szCs w:val="30"/>
          <w:rtl/>
        </w:rPr>
        <w:t>ناقلة نفط خام (16 ناقلة نفط كبيرة (أربعة منها قيد الطلب)، وأربع سفن مناسبة لقناة السويس (سويسماكس) وسفينتان متوسطة الحمولة (أفراماكس))</w:t>
      </w:r>
      <w:r w:rsidR="00A12FF8" w:rsidRPr="00B65701">
        <w:rPr>
          <w:rFonts w:ascii="Traditional Arabic" w:eastAsia="Sakkal Majalla" w:hAnsi="Traditional Arabic" w:cs="Traditional Arabic"/>
          <w:sz w:val="30"/>
          <w:szCs w:val="30"/>
        </w:rPr>
        <w:t xml:space="preserve"> </w:t>
      </w:r>
    </w:p>
    <w:p w14:paraId="13EEDBE1" w14:textId="77777777" w:rsidR="00A12FF8" w:rsidRPr="00B65701" w:rsidRDefault="003A31D2" w:rsidP="00D925C8">
      <w:pPr>
        <w:pStyle w:val="ListParagraph"/>
        <w:widowControl w:val="0"/>
        <w:numPr>
          <w:ilvl w:val="0"/>
          <w:numId w:val="64"/>
        </w:numPr>
        <w:bidi/>
        <w:ind w:left="571" w:hanging="573"/>
        <w:jc w:val="both"/>
        <w:rPr>
          <w:rFonts w:ascii="Traditional Arabic" w:eastAsia="Sakkal Majalla" w:hAnsi="Traditional Arabic" w:cs="Traditional Arabic"/>
          <w:sz w:val="30"/>
          <w:szCs w:val="30"/>
          <w:rtl/>
        </w:rPr>
      </w:pPr>
      <w:r>
        <w:rPr>
          <w:rFonts w:ascii="Traditional Arabic" w:eastAsia="Sakkal Majalla" w:hAnsi="Traditional Arabic" w:cs="Traditional Arabic" w:hint="cs"/>
          <w:sz w:val="30"/>
          <w:szCs w:val="30"/>
          <w:rtl/>
        </w:rPr>
        <w:t>34</w:t>
      </w:r>
      <w:r w:rsidR="00A12FF8" w:rsidRPr="00B65701">
        <w:rPr>
          <w:rFonts w:ascii="Traditional Arabic" w:eastAsia="Sakkal Majalla" w:hAnsi="Traditional Arabic" w:cs="Traditional Arabic"/>
          <w:sz w:val="30"/>
          <w:szCs w:val="30"/>
        </w:rPr>
        <w:t xml:space="preserve"> </w:t>
      </w:r>
      <w:r w:rsidR="00A12FF8" w:rsidRPr="00B65701">
        <w:rPr>
          <w:rFonts w:ascii="Traditional Arabic" w:eastAsia="Sakkal Majalla" w:hAnsi="Traditional Arabic" w:cs="Traditional Arabic" w:hint="cs"/>
          <w:sz w:val="30"/>
          <w:szCs w:val="30"/>
          <w:rtl/>
        </w:rPr>
        <w:t xml:space="preserve"> </w:t>
      </w:r>
      <w:r w:rsidR="00A12FF8" w:rsidRPr="00B65701">
        <w:rPr>
          <w:rFonts w:ascii="Traditional Arabic" w:eastAsia="Sakkal Majalla" w:hAnsi="Traditional Arabic" w:cs="Traditional Arabic"/>
          <w:sz w:val="30"/>
          <w:szCs w:val="30"/>
          <w:rtl/>
        </w:rPr>
        <w:t xml:space="preserve">ناقلة منتجات (27 متوسطة الحجم، وناقلتان كبيرة الحجم، وناقلتان للميثانول، وناقلتان صغيرتان، وناقلة صغيرة للمواد الكيمائية) </w:t>
      </w:r>
    </w:p>
    <w:p w14:paraId="4D75F8CA" w14:textId="77777777" w:rsidR="00A12FF8" w:rsidRPr="00B65701" w:rsidRDefault="003A31D2" w:rsidP="00D925C8">
      <w:pPr>
        <w:pStyle w:val="ListParagraph"/>
        <w:widowControl w:val="0"/>
        <w:numPr>
          <w:ilvl w:val="0"/>
          <w:numId w:val="64"/>
        </w:numPr>
        <w:bidi/>
        <w:ind w:left="571" w:hanging="573"/>
        <w:jc w:val="both"/>
        <w:rPr>
          <w:rFonts w:ascii="Traditional Arabic" w:eastAsia="Sakkal Majalla" w:hAnsi="Traditional Arabic" w:cs="Traditional Arabic"/>
          <w:sz w:val="30"/>
          <w:szCs w:val="30"/>
          <w:rtl/>
        </w:rPr>
      </w:pPr>
      <w:r>
        <w:rPr>
          <w:rFonts w:ascii="Traditional Arabic" w:eastAsia="Sakkal Majalla" w:hAnsi="Traditional Arabic" w:cs="Traditional Arabic" w:hint="cs"/>
          <w:sz w:val="30"/>
          <w:szCs w:val="30"/>
          <w:rtl/>
        </w:rPr>
        <w:lastRenderedPageBreak/>
        <w:t>18</w:t>
      </w:r>
      <w:r w:rsidR="00A12FF8" w:rsidRPr="00B65701">
        <w:rPr>
          <w:rFonts w:ascii="Traditional Arabic" w:eastAsia="Sakkal Majalla" w:hAnsi="Traditional Arabic" w:cs="Traditional Arabic"/>
          <w:sz w:val="30"/>
          <w:szCs w:val="30"/>
        </w:rPr>
        <w:t xml:space="preserve"> </w:t>
      </w:r>
      <w:r w:rsidR="00A12FF8" w:rsidRPr="00B65701">
        <w:rPr>
          <w:rFonts w:ascii="Traditional Arabic" w:eastAsia="Sakkal Majalla" w:hAnsi="Traditional Arabic" w:cs="Traditional Arabic"/>
          <w:sz w:val="30"/>
          <w:szCs w:val="30"/>
          <w:rtl/>
        </w:rPr>
        <w:t>ناقلة سوائب جافة (أربع ناقلات خام الحديد العملاقة، وثماني سفن ألتراماكس، وثلاث سفن سوبراماكس، وسفينتان هانديماكس وسفينة كامزاراماكس)</w:t>
      </w:r>
      <w:r w:rsidR="00A12FF8" w:rsidRPr="00B65701">
        <w:rPr>
          <w:rFonts w:ascii="Traditional Arabic" w:eastAsia="Sakkal Majalla" w:hAnsi="Traditional Arabic" w:cs="Traditional Arabic"/>
          <w:sz w:val="30"/>
          <w:szCs w:val="30"/>
        </w:rPr>
        <w:t xml:space="preserve"> </w:t>
      </w:r>
    </w:p>
    <w:p w14:paraId="41D6441C" w14:textId="77777777" w:rsidR="00A12FF8" w:rsidRPr="00B65701" w:rsidRDefault="00A12FF8" w:rsidP="00D925C8">
      <w:pPr>
        <w:pStyle w:val="ListParagraph"/>
        <w:widowControl w:val="0"/>
        <w:numPr>
          <w:ilvl w:val="0"/>
          <w:numId w:val="64"/>
        </w:numPr>
        <w:bidi/>
        <w:ind w:left="571" w:hanging="573"/>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عشر ناقلات للغاز (ثماني ناقلات للغاز الطبيعي المسال (اثنتان منها قيد الطلب)، وناقلة غاز عملاقة، وناقلة غاز متوسطة)</w:t>
      </w:r>
      <w:r w:rsidRPr="00B65701">
        <w:rPr>
          <w:rFonts w:ascii="Traditional Arabic" w:eastAsia="Sakkal Majalla" w:hAnsi="Traditional Arabic" w:cs="Traditional Arabic"/>
          <w:sz w:val="30"/>
          <w:szCs w:val="30"/>
        </w:rPr>
        <w:t xml:space="preserve"> </w:t>
      </w:r>
    </w:p>
    <w:p w14:paraId="53FFC122" w14:textId="77777777" w:rsidR="00A12FF8" w:rsidRPr="00B65701" w:rsidRDefault="00A12FF8" w:rsidP="00D925C8">
      <w:pPr>
        <w:pStyle w:val="ListParagraph"/>
        <w:widowControl w:val="0"/>
        <w:numPr>
          <w:ilvl w:val="0"/>
          <w:numId w:val="64"/>
        </w:numPr>
        <w:bidi/>
        <w:ind w:left="571" w:hanging="573"/>
        <w:jc w:val="both"/>
        <w:rPr>
          <w:rFonts w:ascii="Traditional Arabic" w:eastAsia="Sakkal Majalla" w:hAnsi="Traditional Arabic" w:cs="Traditional Arabic"/>
          <w:sz w:val="30"/>
          <w:szCs w:val="30"/>
          <w:rtl/>
        </w:rPr>
      </w:pPr>
      <w:r w:rsidRPr="00B65701">
        <w:rPr>
          <w:rFonts w:ascii="Traditional Arabic" w:eastAsia="Sakkal Majalla" w:hAnsi="Traditional Arabic" w:cs="Traditional Arabic"/>
          <w:sz w:val="30"/>
          <w:szCs w:val="30"/>
          <w:rtl/>
        </w:rPr>
        <w:t>خمس سفن حاويات (سفينتان هانديماكس، وسفينة هانديسايز، وسفينة سوبراماكس وسفينة مناسبة لقناة بنما (بنما ماك</w:t>
      </w:r>
      <w:r>
        <w:rPr>
          <w:rFonts w:ascii="Traditional Arabic" w:eastAsia="Sakkal Majalla" w:hAnsi="Traditional Arabic" w:cs="Traditional Arabic" w:hint="cs"/>
          <w:sz w:val="30"/>
          <w:szCs w:val="30"/>
          <w:rtl/>
        </w:rPr>
        <w:t>س)</w:t>
      </w:r>
      <w:r w:rsidRPr="00B65701">
        <w:rPr>
          <w:rFonts w:ascii="Traditional Arabic" w:eastAsia="Sakkal Majalla" w:hAnsi="Traditional Arabic" w:cs="Traditional Arabic"/>
          <w:sz w:val="30"/>
          <w:szCs w:val="30"/>
        </w:rPr>
        <w:t xml:space="preserve">. </w:t>
      </w:r>
    </w:p>
    <w:p w14:paraId="15A122D3" w14:textId="77777777" w:rsidR="00A12FF8" w:rsidRDefault="00A12FF8" w:rsidP="00A12FF8">
      <w:pPr>
        <w:widowControl w:val="0"/>
        <w:bidi/>
        <w:jc w:val="both"/>
        <w:rPr>
          <w:rFonts w:ascii="Traditional Arabic" w:eastAsia="Sakkal Majalla" w:hAnsi="Traditional Arabic" w:cs="Traditional Arabic"/>
          <w:sz w:val="30"/>
          <w:szCs w:val="30"/>
          <w:rtl/>
        </w:rPr>
      </w:pPr>
    </w:p>
    <w:p w14:paraId="61C1BA96" w14:textId="77777777" w:rsidR="004846C5" w:rsidRDefault="00A12FF8" w:rsidP="004846C5">
      <w:pPr>
        <w:bidi/>
        <w:jc w:val="both"/>
        <w:rPr>
          <w:rFonts w:ascii="Traditional Arabic" w:hAnsi="Traditional Arabic" w:cs="Traditional Arabic"/>
          <w:sz w:val="30"/>
          <w:szCs w:val="30"/>
          <w:rtl/>
        </w:rPr>
      </w:pPr>
      <w:r w:rsidRPr="00B65701">
        <w:rPr>
          <w:rFonts w:ascii="Traditional Arabic" w:eastAsia="Sakkal Majalla" w:hAnsi="Traditional Arabic" w:cs="Traditional Arabic"/>
          <w:sz w:val="30"/>
          <w:szCs w:val="30"/>
          <w:rtl/>
        </w:rPr>
        <w:t xml:space="preserve">وبالنسبة للسنة المنتهية في 31 ديسمبر 2023 والأشهر التسعة المنتهية في 30 سبتمبر 2024، حققت الشركة إيرادات قدرها 363.7 مليون ريال عماني (944.7 مليون دولار أمريكي) و </w:t>
      </w:r>
      <w:r w:rsidR="00545E21">
        <w:rPr>
          <w:rFonts w:ascii="Traditional Arabic" w:eastAsia="Sakkal Majalla" w:hAnsi="Traditional Arabic" w:cs="Traditional Arabic" w:hint="cs"/>
          <w:sz w:val="30"/>
          <w:szCs w:val="30"/>
          <w:rtl/>
        </w:rPr>
        <w:t>٢٧٤.٩</w:t>
      </w:r>
      <w:r w:rsidRPr="00B65701">
        <w:rPr>
          <w:rFonts w:ascii="Traditional Arabic" w:eastAsia="Sakkal Majalla" w:hAnsi="Traditional Arabic" w:cs="Traditional Arabic"/>
          <w:sz w:val="30"/>
          <w:szCs w:val="30"/>
          <w:rtl/>
        </w:rPr>
        <w:t xml:space="preserve"> مليون ريال عماني (</w:t>
      </w:r>
      <w:r w:rsidR="00545E21">
        <w:rPr>
          <w:rFonts w:ascii="Traditional Arabic" w:eastAsia="Sakkal Majalla" w:hAnsi="Traditional Arabic" w:cs="Traditional Arabic" w:hint="cs"/>
          <w:sz w:val="30"/>
          <w:szCs w:val="30"/>
          <w:rtl/>
        </w:rPr>
        <w:t>٧١٣.٩</w:t>
      </w:r>
      <w:r w:rsidRPr="00B65701">
        <w:rPr>
          <w:rFonts w:ascii="Traditional Arabic" w:eastAsia="Sakkal Majalla" w:hAnsi="Traditional Arabic" w:cs="Traditional Arabic"/>
          <w:sz w:val="30"/>
          <w:szCs w:val="30"/>
          <w:rtl/>
        </w:rPr>
        <w:t xml:space="preserve"> مليون دولار أمريكي)، على التوالي، وإيرادات مكافئ تكلفة الإيجار البالغة </w:t>
      </w:r>
      <w:r w:rsidR="00545E21">
        <w:rPr>
          <w:rFonts w:ascii="Traditional Arabic" w:eastAsia="Sakkal Majalla" w:hAnsi="Traditional Arabic" w:cs="Traditional Arabic" w:hint="cs"/>
          <w:sz w:val="30"/>
          <w:szCs w:val="30"/>
          <w:rtl/>
        </w:rPr>
        <w:t>٢٨٢.٠</w:t>
      </w:r>
      <w:r w:rsidRPr="00B65701">
        <w:rPr>
          <w:rFonts w:ascii="Traditional Arabic" w:eastAsia="Sakkal Majalla" w:hAnsi="Traditional Arabic" w:cs="Traditional Arabic"/>
          <w:sz w:val="30"/>
          <w:szCs w:val="30"/>
          <w:rtl/>
        </w:rPr>
        <w:t xml:space="preserve"> مليون ريال عماني (</w:t>
      </w:r>
      <w:r w:rsidR="00F10463">
        <w:rPr>
          <w:rFonts w:ascii="Traditional Arabic" w:eastAsia="Sakkal Majalla" w:hAnsi="Traditional Arabic" w:cs="Traditional Arabic" w:hint="cs"/>
          <w:sz w:val="30"/>
          <w:szCs w:val="30"/>
          <w:rtl/>
        </w:rPr>
        <w:t>٧٣٢.٥</w:t>
      </w:r>
      <w:r w:rsidRPr="00B65701">
        <w:rPr>
          <w:rFonts w:ascii="Traditional Arabic" w:eastAsia="Sakkal Majalla" w:hAnsi="Traditional Arabic" w:cs="Traditional Arabic"/>
          <w:sz w:val="30"/>
          <w:szCs w:val="30"/>
          <w:rtl/>
        </w:rPr>
        <w:t xml:space="preserve"> مليون دولار أمريكي) و 236.</w:t>
      </w:r>
      <w:r w:rsidR="00F10463">
        <w:rPr>
          <w:rFonts w:ascii="Traditional Arabic" w:eastAsia="Sakkal Majalla" w:hAnsi="Traditional Arabic" w:cs="Traditional Arabic" w:hint="cs"/>
          <w:sz w:val="30"/>
          <w:szCs w:val="30"/>
          <w:rtl/>
        </w:rPr>
        <w:t>١</w:t>
      </w:r>
      <w:r w:rsidR="00F10463" w:rsidRPr="00B65701">
        <w:rPr>
          <w:rFonts w:ascii="Traditional Arabic" w:eastAsia="Sakkal Majalla" w:hAnsi="Traditional Arabic" w:cs="Traditional Arabic"/>
          <w:sz w:val="30"/>
          <w:szCs w:val="30"/>
          <w:rtl/>
        </w:rPr>
        <w:t xml:space="preserve"> </w:t>
      </w:r>
      <w:r w:rsidRPr="00B65701">
        <w:rPr>
          <w:rFonts w:ascii="Traditional Arabic" w:eastAsia="Sakkal Majalla" w:hAnsi="Traditional Arabic" w:cs="Traditional Arabic"/>
          <w:sz w:val="30"/>
          <w:szCs w:val="30"/>
          <w:rtl/>
        </w:rPr>
        <w:t>مليون ريال عماني (</w:t>
      </w:r>
      <w:r w:rsidR="00F10463">
        <w:rPr>
          <w:rFonts w:ascii="Traditional Arabic" w:eastAsia="Sakkal Majalla" w:hAnsi="Traditional Arabic" w:cs="Traditional Arabic" w:hint="cs"/>
          <w:sz w:val="30"/>
          <w:szCs w:val="30"/>
          <w:rtl/>
        </w:rPr>
        <w:t>٦١٣.٣</w:t>
      </w:r>
      <w:r w:rsidRPr="00B65701">
        <w:rPr>
          <w:rFonts w:ascii="Traditional Arabic" w:eastAsia="Sakkal Majalla" w:hAnsi="Traditional Arabic" w:cs="Traditional Arabic"/>
          <w:sz w:val="30"/>
          <w:szCs w:val="30"/>
          <w:rtl/>
        </w:rPr>
        <w:t xml:space="preserve"> مليون دولار أمريكي)، على التوالي، وأرباحا</w:t>
      </w:r>
      <w:r w:rsidR="0012601B">
        <w:rPr>
          <w:rFonts w:ascii="Traditional Arabic" w:eastAsia="Sakkal Majalla" w:hAnsi="Traditional Arabic" w:cs="Traditional Arabic" w:hint="cs"/>
          <w:sz w:val="30"/>
          <w:szCs w:val="30"/>
          <w:rtl/>
        </w:rPr>
        <w:t xml:space="preserve"> معدلة</w:t>
      </w:r>
      <w:r w:rsidRPr="00B65701">
        <w:rPr>
          <w:rFonts w:ascii="Traditional Arabic" w:eastAsia="Sakkal Majalla" w:hAnsi="Traditional Arabic" w:cs="Traditional Arabic"/>
          <w:sz w:val="30"/>
          <w:szCs w:val="30"/>
          <w:rtl/>
        </w:rPr>
        <w:t xml:space="preserve"> قبل حساب الفائدة والضريبة والإهلاك والإطفاء البالغة </w:t>
      </w:r>
      <w:r w:rsidR="0012601B">
        <w:rPr>
          <w:rFonts w:ascii="Traditional Arabic" w:eastAsia="Sakkal Majalla" w:hAnsi="Traditional Arabic" w:cs="Traditional Arabic" w:hint="cs"/>
          <w:sz w:val="30"/>
          <w:szCs w:val="30"/>
          <w:rtl/>
        </w:rPr>
        <w:t>١٨٤.٠</w:t>
      </w:r>
      <w:r w:rsidRPr="00B65701">
        <w:rPr>
          <w:rFonts w:ascii="Traditional Arabic" w:eastAsia="Sakkal Majalla" w:hAnsi="Traditional Arabic" w:cs="Traditional Arabic"/>
          <w:sz w:val="30"/>
          <w:szCs w:val="30"/>
          <w:rtl/>
        </w:rPr>
        <w:t xml:space="preserve"> مليون ريال عماني (</w:t>
      </w:r>
      <w:r w:rsidR="00EF7D69">
        <w:rPr>
          <w:rFonts w:ascii="Traditional Arabic" w:eastAsia="Sakkal Majalla" w:hAnsi="Traditional Arabic" w:cs="Traditional Arabic" w:hint="cs"/>
          <w:sz w:val="30"/>
          <w:szCs w:val="30"/>
          <w:rtl/>
        </w:rPr>
        <w:t>٤٧٨.٠</w:t>
      </w:r>
      <w:r w:rsidRPr="00B65701">
        <w:rPr>
          <w:rFonts w:ascii="Traditional Arabic" w:eastAsia="Sakkal Majalla" w:hAnsi="Traditional Arabic" w:cs="Traditional Arabic"/>
          <w:sz w:val="30"/>
          <w:szCs w:val="30"/>
          <w:rtl/>
        </w:rPr>
        <w:t xml:space="preserve"> مليون دولار أمريكي) و </w:t>
      </w:r>
      <w:r w:rsidR="002E315C">
        <w:rPr>
          <w:rFonts w:ascii="Traditional Arabic" w:eastAsia="Sakkal Majalla" w:hAnsi="Traditional Arabic" w:cs="Traditional Arabic" w:hint="cs"/>
          <w:sz w:val="30"/>
          <w:szCs w:val="30"/>
          <w:rtl/>
        </w:rPr>
        <w:t>١٦٢.٩</w:t>
      </w:r>
      <w:r w:rsidRPr="00B65701">
        <w:rPr>
          <w:rFonts w:ascii="Traditional Arabic" w:eastAsia="Sakkal Majalla" w:hAnsi="Traditional Arabic" w:cs="Traditional Arabic"/>
          <w:sz w:val="30"/>
          <w:szCs w:val="30"/>
          <w:rtl/>
        </w:rPr>
        <w:t xml:space="preserve"> مليون ريال عماني (</w:t>
      </w:r>
      <w:r w:rsidR="002E315C">
        <w:rPr>
          <w:rFonts w:ascii="Traditional Arabic" w:eastAsia="Sakkal Majalla" w:hAnsi="Traditional Arabic" w:cs="Traditional Arabic" w:hint="cs"/>
          <w:sz w:val="30"/>
          <w:szCs w:val="30"/>
          <w:rtl/>
        </w:rPr>
        <w:t>٤٢٣.٠</w:t>
      </w:r>
      <w:r w:rsidRPr="00B65701">
        <w:rPr>
          <w:rFonts w:ascii="Traditional Arabic" w:eastAsia="Sakkal Majalla" w:hAnsi="Traditional Arabic" w:cs="Traditional Arabic"/>
          <w:sz w:val="30"/>
          <w:szCs w:val="30"/>
          <w:rtl/>
        </w:rPr>
        <w:t xml:space="preserve"> مليون دولار أمريكي)، على التوالي، وأرباحا قدرها 39.5 مليون ريال عماني (102.6 مليون دولار أمريكي) و </w:t>
      </w:r>
      <w:r w:rsidR="007E25D7">
        <w:rPr>
          <w:rFonts w:ascii="Traditional Arabic" w:eastAsia="Sakkal Majalla" w:hAnsi="Traditional Arabic" w:cs="Traditional Arabic" w:hint="cs"/>
          <w:sz w:val="30"/>
          <w:szCs w:val="30"/>
          <w:rtl/>
        </w:rPr>
        <w:t>٤٥.٩</w:t>
      </w:r>
      <w:r w:rsidRPr="00B65701">
        <w:rPr>
          <w:rFonts w:ascii="Traditional Arabic" w:eastAsia="Sakkal Majalla" w:hAnsi="Traditional Arabic" w:cs="Traditional Arabic"/>
          <w:sz w:val="30"/>
          <w:szCs w:val="30"/>
          <w:rtl/>
        </w:rPr>
        <w:t xml:space="preserve"> مليون ريال عماني (</w:t>
      </w:r>
      <w:r w:rsidR="00BF2090">
        <w:rPr>
          <w:rFonts w:ascii="Traditional Arabic" w:eastAsia="Sakkal Majalla" w:hAnsi="Traditional Arabic" w:cs="Traditional Arabic" w:hint="cs"/>
          <w:sz w:val="30"/>
          <w:szCs w:val="30"/>
          <w:rtl/>
        </w:rPr>
        <w:t>١١٩.٢</w:t>
      </w:r>
      <w:r w:rsidRPr="00B65701">
        <w:rPr>
          <w:rFonts w:ascii="Traditional Arabic" w:eastAsia="Sakkal Majalla" w:hAnsi="Traditional Arabic" w:cs="Traditional Arabic"/>
          <w:sz w:val="30"/>
          <w:szCs w:val="30"/>
          <w:rtl/>
        </w:rPr>
        <w:t xml:space="preserve"> مليون دولار أمريكي)، على التوالي</w:t>
      </w:r>
      <w:r w:rsidRPr="00B65701">
        <w:rPr>
          <w:rFonts w:ascii="Traditional Arabic" w:eastAsia="Sakkal Majalla" w:hAnsi="Traditional Arabic" w:cs="Traditional Arabic"/>
          <w:sz w:val="30"/>
          <w:szCs w:val="30"/>
        </w:rPr>
        <w:t xml:space="preserve">. </w:t>
      </w:r>
      <w:r w:rsidR="004846C5">
        <w:rPr>
          <w:rFonts w:ascii="Traditional Arabic" w:eastAsia="Sakkal Majalla" w:hAnsi="Traditional Arabic" w:cs="Traditional Arabic" w:hint="cs"/>
          <w:sz w:val="30"/>
          <w:szCs w:val="30"/>
          <w:rtl/>
        </w:rPr>
        <w:t xml:space="preserve"> </w:t>
      </w:r>
      <w:r w:rsidR="004846C5">
        <w:rPr>
          <w:rFonts w:ascii="Traditional Arabic" w:hAnsi="Traditional Arabic" w:cs="Traditional Arabic" w:hint="cs"/>
          <w:sz w:val="30"/>
          <w:szCs w:val="30"/>
          <w:rtl/>
        </w:rPr>
        <w:t>أنظر</w:t>
      </w:r>
      <w:r w:rsidR="004074EA">
        <w:rPr>
          <w:rFonts w:ascii="Traditional Arabic" w:hAnsi="Traditional Arabic" w:cs="Traditional Arabic"/>
          <w:sz w:val="30"/>
          <w:szCs w:val="30"/>
        </w:rPr>
        <w:t xml:space="preserve"> </w:t>
      </w:r>
      <w:r w:rsidR="004074EA" w:rsidRPr="008D7454">
        <w:rPr>
          <w:rFonts w:ascii="Traditional Arabic" w:hAnsi="Traditional Arabic" w:cs="Traditional Arabic" w:hint="cs"/>
          <w:b/>
          <w:sz w:val="30"/>
          <w:szCs w:val="30"/>
          <w:rtl/>
        </w:rPr>
        <w:t xml:space="preserve">" </w:t>
      </w:r>
      <w:r w:rsidR="004074EA" w:rsidRPr="008D7454">
        <w:rPr>
          <w:rFonts w:ascii="Traditional Arabic" w:hAnsi="Traditional Arabic" w:cs="Traditional Arabic"/>
          <w:b/>
          <w:i/>
          <w:iCs/>
          <w:sz w:val="30"/>
          <w:szCs w:val="30"/>
          <w:rtl/>
        </w:rPr>
        <w:t>عرض البيانات المالية وبيانات القطاع والسوق</w:t>
      </w:r>
      <w:r w:rsidR="004074EA" w:rsidRPr="008D7454">
        <w:rPr>
          <w:rFonts w:ascii="Traditional Arabic" w:hAnsi="Traditional Arabic" w:cs="Traditional Arabic" w:hint="cs"/>
          <w:b/>
          <w:i/>
          <w:iCs/>
          <w:sz w:val="30"/>
          <w:szCs w:val="30"/>
          <w:rtl/>
        </w:rPr>
        <w:t xml:space="preserve">- </w:t>
      </w:r>
      <w:r w:rsidR="004074EA" w:rsidRPr="008D7454">
        <w:rPr>
          <w:rFonts w:ascii="Traditional Arabic" w:hAnsi="Traditional Arabic" w:cs="Traditional Arabic"/>
          <w:b/>
          <w:i/>
          <w:iCs/>
          <w:sz w:val="30"/>
          <w:szCs w:val="30"/>
          <w:rtl/>
        </w:rPr>
        <w:t>معلومات غير متصلة بالمعايير الدولية لإعداد التقارير المالية وبعض البيانات التشغيلية</w:t>
      </w:r>
      <w:r w:rsidR="004074EA">
        <w:rPr>
          <w:rFonts w:ascii="Traditional Arabic" w:hAnsi="Traditional Arabic" w:cs="Traditional Arabic" w:hint="cs"/>
          <w:sz w:val="30"/>
          <w:szCs w:val="30"/>
          <w:rtl/>
        </w:rPr>
        <w:t xml:space="preserve">" </w:t>
      </w:r>
      <w:r w:rsidR="007856F0">
        <w:rPr>
          <w:rFonts w:ascii="Traditional Arabic" w:hAnsi="Traditional Arabic" w:cs="Traditional Arabic" w:hint="cs"/>
          <w:sz w:val="30"/>
          <w:szCs w:val="30"/>
          <w:rtl/>
        </w:rPr>
        <w:t>، و</w:t>
      </w:r>
      <w:r w:rsidR="007856F0">
        <w:rPr>
          <w:rFonts w:ascii="Traditional Arabic" w:hAnsi="Traditional Arabic" w:cs="Traditional Arabic" w:hint="cs"/>
          <w:b/>
          <w:sz w:val="30"/>
          <w:szCs w:val="30"/>
          <w:rtl/>
        </w:rPr>
        <w:t>لمزيد من التعريفات المتعلقة بالمعلومات</w:t>
      </w:r>
      <w:r w:rsidR="007856F0" w:rsidRPr="008D7454">
        <w:rPr>
          <w:rFonts w:ascii="Traditional Arabic" w:hAnsi="Traditional Arabic" w:cs="Traditional Arabic"/>
          <w:b/>
          <w:sz w:val="30"/>
          <w:szCs w:val="30"/>
          <w:rtl/>
        </w:rPr>
        <w:t xml:space="preserve"> غير </w:t>
      </w:r>
      <w:r w:rsidR="007856F0" w:rsidRPr="008D7454">
        <w:rPr>
          <w:rFonts w:ascii="Traditional Arabic" w:hAnsi="Traditional Arabic" w:cs="Traditional Arabic" w:hint="cs"/>
          <w:b/>
          <w:sz w:val="30"/>
          <w:szCs w:val="30"/>
          <w:rtl/>
        </w:rPr>
        <w:t>ال</w:t>
      </w:r>
      <w:r w:rsidR="007856F0" w:rsidRPr="008D7454">
        <w:rPr>
          <w:rFonts w:ascii="Traditional Arabic" w:hAnsi="Traditional Arabic" w:cs="Traditional Arabic"/>
          <w:b/>
          <w:sz w:val="30"/>
          <w:szCs w:val="30"/>
          <w:rtl/>
        </w:rPr>
        <w:t>متصلة بالمعايير الدولية</w:t>
      </w:r>
      <w:r w:rsidR="007856F0">
        <w:rPr>
          <w:rFonts w:ascii="Traditional Arabic" w:hAnsi="Traditional Arabic" w:cs="Traditional Arabic" w:hint="cs"/>
          <w:b/>
          <w:sz w:val="30"/>
          <w:szCs w:val="30"/>
          <w:rtl/>
        </w:rPr>
        <w:t xml:space="preserve"> </w:t>
      </w:r>
      <w:r w:rsidR="007856F0" w:rsidRPr="00B142CA">
        <w:rPr>
          <w:rFonts w:ascii="Traditional Arabic" w:hAnsi="Traditional Arabic" w:cs="Traditional Arabic"/>
          <w:b/>
          <w:sz w:val="30"/>
          <w:szCs w:val="30"/>
          <w:rtl/>
        </w:rPr>
        <w:t>لإعداد التقارير المالية</w:t>
      </w:r>
      <w:r w:rsidR="007856F0" w:rsidRPr="008D7454">
        <w:rPr>
          <w:rFonts w:ascii="Traditional Arabic" w:hAnsi="Traditional Arabic" w:cs="Traditional Arabic" w:hint="cs"/>
          <w:b/>
          <w:sz w:val="30"/>
          <w:szCs w:val="30"/>
          <w:rtl/>
        </w:rPr>
        <w:t xml:space="preserve"> وغيرها من </w:t>
      </w:r>
      <w:r w:rsidR="007856F0" w:rsidRPr="008D7454">
        <w:rPr>
          <w:rFonts w:ascii="Traditional Arabic" w:hAnsi="Traditional Arabic" w:cs="Traditional Arabic"/>
          <w:b/>
          <w:sz w:val="30"/>
          <w:szCs w:val="30"/>
          <w:rtl/>
        </w:rPr>
        <w:t>البيانات التشغيلية</w:t>
      </w:r>
      <w:r w:rsidR="007856F0" w:rsidRPr="008D7454">
        <w:rPr>
          <w:rFonts w:ascii="Traditional Arabic" w:hAnsi="Traditional Arabic" w:cs="Traditional Arabic" w:hint="cs"/>
          <w:b/>
          <w:sz w:val="30"/>
          <w:szCs w:val="30"/>
          <w:rtl/>
        </w:rPr>
        <w:t xml:space="preserve"> المستخدمة ، بالرجاء الرجوع ل </w:t>
      </w:r>
      <w:r w:rsidR="004846C5">
        <w:rPr>
          <w:rFonts w:ascii="Traditional Arabic" w:hAnsi="Traditional Arabic" w:cs="Traditional Arabic" w:hint="cs"/>
          <w:sz w:val="30"/>
          <w:szCs w:val="30"/>
          <w:rtl/>
        </w:rPr>
        <w:t xml:space="preserve">" </w:t>
      </w:r>
      <w:r w:rsidR="004846C5" w:rsidRPr="009E417B">
        <w:rPr>
          <w:rFonts w:ascii="Traditional Arabic" w:hAnsi="Traditional Arabic" w:cs="Traditional Arabic"/>
          <w:iCs/>
          <w:sz w:val="30"/>
          <w:szCs w:val="30"/>
          <w:rtl/>
        </w:rPr>
        <w:t>عرض البيانات المالية وبيانات القطاع والسوق – معلومات غير متصلة بالمعايير الدولية لإعداد التقارير المالية وبعض البيانات المالية والتشغيلية الأخرى</w:t>
      </w:r>
      <w:r w:rsidR="007856F0" w:rsidRPr="009E417B" w:rsidDel="007856F0">
        <w:rPr>
          <w:rFonts w:ascii="Traditional Arabic" w:hAnsi="Traditional Arabic" w:cs="Traditional Arabic"/>
          <w:iCs/>
          <w:sz w:val="30"/>
          <w:szCs w:val="30"/>
          <w:rtl/>
        </w:rPr>
        <w:t xml:space="preserve"> </w:t>
      </w:r>
      <w:r w:rsidR="004846C5" w:rsidRPr="009E417B">
        <w:rPr>
          <w:rFonts w:ascii="Traditional Arabic" w:hAnsi="Traditional Arabic" w:cs="Traditional Arabic"/>
          <w:iCs/>
          <w:sz w:val="30"/>
          <w:szCs w:val="30"/>
          <w:rtl/>
        </w:rPr>
        <w:t>".</w:t>
      </w:r>
    </w:p>
    <w:p w14:paraId="602006B3" w14:textId="77777777" w:rsidR="00A12FF8" w:rsidRPr="00B934CE" w:rsidRDefault="00A12FF8" w:rsidP="00B934CE">
      <w:pPr>
        <w:widowControl w:val="0"/>
        <w:bidi/>
        <w:jc w:val="both"/>
        <w:rPr>
          <w:rFonts w:ascii="Traditional Arabic" w:eastAsia="Sakkal Majalla" w:hAnsi="Traditional Arabic" w:cs="Traditional Arabic"/>
          <w:sz w:val="30"/>
          <w:szCs w:val="30"/>
          <w:rtl/>
          <w:lang w:val="en-GB"/>
        </w:rPr>
      </w:pPr>
    </w:p>
    <w:p w14:paraId="47ADE4AF" w14:textId="77777777" w:rsidR="00044A68" w:rsidRPr="00B934CE" w:rsidRDefault="00044A68" w:rsidP="00044A68">
      <w:pPr>
        <w:pStyle w:val="4"/>
        <w:spacing w:before="0" w:after="120"/>
        <w:rPr>
          <w:rFonts w:ascii="Traditional Arabic" w:hAnsi="Traditional Arabic" w:cs="Traditional Arabic"/>
          <w:color w:val="auto"/>
          <w:sz w:val="30"/>
          <w:szCs w:val="30"/>
        </w:rPr>
      </w:pPr>
      <w:r w:rsidRPr="00B934CE">
        <w:rPr>
          <w:rFonts w:ascii="Traditional Arabic" w:hAnsi="Traditional Arabic" w:cs="Traditional Arabic"/>
          <w:color w:val="auto"/>
          <w:sz w:val="30"/>
          <w:szCs w:val="30"/>
          <w:rtl/>
        </w:rPr>
        <w:lastRenderedPageBreak/>
        <w:t>العوامل الرئيسية المؤثرة على عمليات الشركة</w:t>
      </w:r>
    </w:p>
    <w:p w14:paraId="752AD760" w14:textId="77777777" w:rsidR="00044A68" w:rsidRPr="00B934CE" w:rsidRDefault="00044A68" w:rsidP="00044A68">
      <w:pPr>
        <w:pStyle w:val="4"/>
        <w:spacing w:after="120"/>
        <w:rPr>
          <w:rFonts w:ascii="Traditional Arabic" w:hAnsi="Traditional Arabic" w:cs="Traditional Arabic"/>
          <w:i/>
          <w:iCs/>
          <w:color w:val="auto"/>
          <w:sz w:val="30"/>
          <w:szCs w:val="30"/>
          <w:rtl/>
        </w:rPr>
      </w:pPr>
      <w:r w:rsidRPr="00B934CE">
        <w:rPr>
          <w:rFonts w:ascii="Traditional Arabic" w:hAnsi="Traditional Arabic" w:cs="Traditional Arabic"/>
          <w:i/>
          <w:iCs/>
          <w:color w:val="auto"/>
          <w:sz w:val="30"/>
          <w:szCs w:val="30"/>
          <w:rtl/>
        </w:rPr>
        <w:t>تأثير جائحة كوفيد-19 على العمليات</w:t>
      </w:r>
    </w:p>
    <w:p w14:paraId="07957ADC" w14:textId="77777777" w:rsidR="00044A68" w:rsidRPr="00B934CE" w:rsidRDefault="00044A68" w:rsidP="00044A68">
      <w:pPr>
        <w:pStyle w:val="4"/>
        <w:spacing w:before="0" w:after="60"/>
        <w:rPr>
          <w:rFonts w:ascii="Traditional Arabic" w:eastAsia="Sakkal Majalla" w:hAnsi="Traditional Arabic" w:cs="Traditional Arabic"/>
          <w:b w:val="0"/>
          <w:bCs w:val="0"/>
          <w:color w:val="auto"/>
          <w:sz w:val="30"/>
          <w:szCs w:val="30"/>
        </w:rPr>
      </w:pPr>
      <w:r w:rsidRPr="00B934CE">
        <w:rPr>
          <w:rFonts w:ascii="Traditional Arabic" w:eastAsia="Sakkal Majalla" w:hAnsi="Traditional Arabic" w:cs="Traditional Arabic"/>
          <w:b w:val="0"/>
          <w:bCs w:val="0"/>
          <w:color w:val="auto"/>
          <w:sz w:val="30"/>
          <w:szCs w:val="30"/>
          <w:rtl/>
        </w:rPr>
        <w:t>منذ عام 2023، استقرت عمليات الشركة إلى حد كبير، حيث انخفضت الاضطرابات التي كانت ناجمة عن جائحة كوفيد-19 وعادت إلى مستويات ما قبل الجائحة. تم حل مشاكل التدوير البحري والتأخير في قطع الغيار والمواد الاستهلاكية التي كانت قد عرقلت العمليات سابقًا. كما عادت جداول حوض الجاف، التي تأخرت بسبب تسليم المعدات المتأخر أثناء الجائحة، إلى حالتها الطبيعية الآن، وقد تحسن قطاع ناقلات النفط الخام مما أتاح فرصًا تجارية أفضل.</w:t>
      </w:r>
    </w:p>
    <w:p w14:paraId="0C96FC80" w14:textId="77777777" w:rsidR="00044A68" w:rsidRPr="00B934CE" w:rsidRDefault="00044A68" w:rsidP="00044A68">
      <w:pPr>
        <w:pStyle w:val="4"/>
        <w:spacing w:before="0" w:after="60"/>
        <w:rPr>
          <w:rFonts w:ascii="Traditional Arabic" w:eastAsia="Sakkal Majalla" w:hAnsi="Traditional Arabic" w:cs="Traditional Arabic"/>
          <w:b w:val="0"/>
          <w:bCs w:val="0"/>
          <w:color w:val="auto"/>
          <w:sz w:val="30"/>
          <w:szCs w:val="30"/>
        </w:rPr>
      </w:pPr>
      <w:r w:rsidRPr="00B934CE">
        <w:rPr>
          <w:rFonts w:ascii="Traditional Arabic" w:eastAsia="Sakkal Majalla" w:hAnsi="Traditional Arabic" w:cs="Traditional Arabic"/>
          <w:b w:val="0"/>
          <w:bCs w:val="0"/>
          <w:color w:val="auto"/>
          <w:sz w:val="30"/>
          <w:szCs w:val="30"/>
          <w:rtl/>
        </w:rPr>
        <w:t xml:space="preserve">استعاد قطاع الشحن العالمي عافيته من التحديات الاقتصادية التي ظهرت بعد جائحة كوفيد، بما في ذلك ارتفاع أسعار الفائدة واضطرابات </w:t>
      </w:r>
      <w:r w:rsidRPr="00B934CE">
        <w:rPr>
          <w:rFonts w:ascii="Traditional Arabic" w:eastAsia="Sakkal Majalla" w:hAnsi="Traditional Arabic" w:cs="Traditional Arabic" w:hint="eastAsia"/>
          <w:b w:val="0"/>
          <w:bCs w:val="0"/>
          <w:color w:val="auto"/>
          <w:sz w:val="30"/>
          <w:szCs w:val="30"/>
          <w:rtl/>
        </w:rPr>
        <w:t>سلسلة</w:t>
      </w:r>
      <w:r w:rsidRPr="00B934CE">
        <w:rPr>
          <w:rFonts w:ascii="Traditional Arabic" w:eastAsia="Sakkal Majalla" w:hAnsi="Traditional Arabic" w:cs="Traditional Arabic"/>
          <w:b w:val="0"/>
          <w:bCs w:val="0"/>
          <w:color w:val="auto"/>
          <w:sz w:val="30"/>
          <w:szCs w:val="30"/>
          <w:rtl/>
        </w:rPr>
        <w:t xml:space="preserve"> </w:t>
      </w:r>
      <w:r w:rsidRPr="00B934CE">
        <w:rPr>
          <w:rFonts w:ascii="Traditional Arabic" w:eastAsia="Sakkal Majalla" w:hAnsi="Traditional Arabic" w:cs="Traditional Arabic" w:hint="eastAsia"/>
          <w:b w:val="0"/>
          <w:bCs w:val="0"/>
          <w:color w:val="auto"/>
          <w:sz w:val="30"/>
          <w:szCs w:val="30"/>
          <w:rtl/>
        </w:rPr>
        <w:t>التوريد</w:t>
      </w:r>
      <w:r w:rsidRPr="00B934CE">
        <w:rPr>
          <w:rFonts w:ascii="Traditional Arabic" w:eastAsia="Sakkal Majalla" w:hAnsi="Traditional Arabic" w:cs="Traditional Arabic"/>
          <w:b w:val="0"/>
          <w:bCs w:val="0"/>
          <w:color w:val="auto"/>
          <w:sz w:val="30"/>
          <w:szCs w:val="30"/>
          <w:rtl/>
        </w:rPr>
        <w:t>. بحلول عام 2023، استقرت أحجام الحاويات (</w:t>
      </w:r>
      <w:r w:rsidRPr="00B934CE">
        <w:rPr>
          <w:rFonts w:ascii="Traditional Arabic" w:eastAsia="Sakkal Majalla" w:hAnsi="Traditional Arabic" w:cs="Traditional Arabic"/>
          <w:b w:val="0"/>
          <w:bCs w:val="0"/>
          <w:color w:val="auto"/>
          <w:sz w:val="30"/>
          <w:szCs w:val="30"/>
        </w:rPr>
        <w:t>TEU</w:t>
      </w:r>
      <w:r w:rsidRPr="00B934CE">
        <w:rPr>
          <w:rFonts w:ascii="Traditional Arabic" w:eastAsia="Sakkal Majalla" w:hAnsi="Traditional Arabic" w:cs="Traditional Arabic"/>
          <w:b w:val="0"/>
          <w:bCs w:val="0"/>
          <w:color w:val="auto"/>
          <w:sz w:val="30"/>
          <w:szCs w:val="30"/>
          <w:rtl/>
        </w:rPr>
        <w:t xml:space="preserve">) إلى حد كبير، وبدأت أسعار الشحن، التي انخفضت بشكل كبير منذ عام 2022، في العودة إلى مستويات ما قبل الجائحة. انخفض مؤشر </w:t>
      </w:r>
      <w:r w:rsidRPr="00B934CE">
        <w:rPr>
          <w:rFonts w:ascii="Traditional Arabic" w:eastAsia="Sakkal Majalla" w:hAnsi="Traditional Arabic" w:cs="Traditional Arabic" w:hint="eastAsia"/>
          <w:b w:val="0"/>
          <w:bCs w:val="0"/>
          <w:color w:val="auto"/>
          <w:sz w:val="30"/>
          <w:szCs w:val="30"/>
          <w:rtl/>
        </w:rPr>
        <w:t>ال</w:t>
      </w:r>
      <w:r w:rsidRPr="00B934CE">
        <w:rPr>
          <w:rFonts w:ascii="Traditional Arabic" w:eastAsia="Sakkal Majalla" w:hAnsi="Traditional Arabic" w:cs="Traditional Arabic"/>
          <w:b w:val="0"/>
          <w:bCs w:val="0"/>
          <w:color w:val="auto"/>
          <w:sz w:val="30"/>
          <w:szCs w:val="30"/>
          <w:rtl/>
        </w:rPr>
        <w:t>شحن ال</w:t>
      </w:r>
      <w:r w:rsidRPr="00B934CE">
        <w:rPr>
          <w:rFonts w:ascii="Traditional Arabic" w:eastAsia="Sakkal Majalla" w:hAnsi="Traditional Arabic" w:cs="Traditional Arabic" w:hint="eastAsia"/>
          <w:b w:val="0"/>
          <w:bCs w:val="0"/>
          <w:color w:val="auto"/>
          <w:sz w:val="30"/>
          <w:szCs w:val="30"/>
          <w:rtl/>
        </w:rPr>
        <w:t>بحري</w:t>
      </w:r>
      <w:r w:rsidRPr="00B934CE">
        <w:rPr>
          <w:rFonts w:ascii="Traditional Arabic" w:eastAsia="Sakkal Majalla" w:hAnsi="Traditional Arabic" w:cs="Traditional Arabic"/>
          <w:b w:val="0"/>
          <w:bCs w:val="0"/>
          <w:color w:val="auto"/>
          <w:sz w:val="30"/>
          <w:szCs w:val="30"/>
          <w:rtl/>
        </w:rPr>
        <w:t xml:space="preserve"> في شنغهاي من 5000 في عام 2022 إلى 1000 في عام 2023، مما </w:t>
      </w:r>
      <w:r w:rsidRPr="00B934CE">
        <w:rPr>
          <w:rFonts w:ascii="Traditional Arabic" w:eastAsia="Sakkal Majalla" w:hAnsi="Traditional Arabic" w:cs="Traditional Arabic" w:hint="eastAsia"/>
          <w:b w:val="0"/>
          <w:bCs w:val="0"/>
          <w:color w:val="auto"/>
          <w:sz w:val="30"/>
          <w:szCs w:val="30"/>
          <w:rtl/>
        </w:rPr>
        <w:t>يشير</w:t>
      </w:r>
      <w:r w:rsidRPr="00B934CE">
        <w:rPr>
          <w:rFonts w:ascii="Traditional Arabic" w:eastAsia="Sakkal Majalla" w:hAnsi="Traditional Arabic" w:cs="Traditional Arabic"/>
          <w:b w:val="0"/>
          <w:bCs w:val="0"/>
          <w:color w:val="auto"/>
          <w:sz w:val="30"/>
          <w:szCs w:val="30"/>
          <w:rtl/>
        </w:rPr>
        <w:t xml:space="preserve"> </w:t>
      </w:r>
      <w:r w:rsidRPr="00B934CE">
        <w:rPr>
          <w:rFonts w:ascii="Traditional Arabic" w:eastAsia="Sakkal Majalla" w:hAnsi="Traditional Arabic" w:cs="Traditional Arabic" w:hint="eastAsia"/>
          <w:b w:val="0"/>
          <w:bCs w:val="0"/>
          <w:color w:val="auto"/>
          <w:sz w:val="30"/>
          <w:szCs w:val="30"/>
          <w:rtl/>
        </w:rPr>
        <w:t>الى</w:t>
      </w:r>
      <w:r w:rsidRPr="00B934CE">
        <w:rPr>
          <w:rFonts w:ascii="Traditional Arabic" w:eastAsia="Sakkal Majalla" w:hAnsi="Traditional Arabic" w:cs="Traditional Arabic"/>
          <w:b w:val="0"/>
          <w:bCs w:val="0"/>
          <w:color w:val="auto"/>
          <w:sz w:val="30"/>
          <w:szCs w:val="30"/>
          <w:rtl/>
        </w:rPr>
        <w:t xml:space="preserve"> عودة المعدلات إلى مستويات </w:t>
      </w:r>
      <w:r w:rsidRPr="00B934CE">
        <w:rPr>
          <w:rFonts w:ascii="Traditional Arabic" w:eastAsia="Sakkal Majalla" w:hAnsi="Traditional Arabic" w:cs="Traditional Arabic" w:hint="eastAsia"/>
          <w:b w:val="0"/>
          <w:bCs w:val="0"/>
          <w:color w:val="auto"/>
          <w:sz w:val="30"/>
          <w:szCs w:val="30"/>
          <w:rtl/>
        </w:rPr>
        <w:t>ما</w:t>
      </w:r>
      <w:r w:rsidRPr="00B934CE">
        <w:rPr>
          <w:rFonts w:ascii="Traditional Arabic" w:eastAsia="Sakkal Majalla" w:hAnsi="Traditional Arabic" w:cs="Traditional Arabic"/>
          <w:b w:val="0"/>
          <w:bCs w:val="0"/>
          <w:color w:val="auto"/>
          <w:sz w:val="30"/>
          <w:szCs w:val="30"/>
          <w:rtl/>
        </w:rPr>
        <w:t xml:space="preserve"> </w:t>
      </w:r>
      <w:r w:rsidRPr="00B934CE">
        <w:rPr>
          <w:rFonts w:ascii="Traditional Arabic" w:eastAsia="Sakkal Majalla" w:hAnsi="Traditional Arabic" w:cs="Traditional Arabic" w:hint="eastAsia"/>
          <w:b w:val="0"/>
          <w:bCs w:val="0"/>
          <w:color w:val="auto"/>
          <w:sz w:val="30"/>
          <w:szCs w:val="30"/>
          <w:rtl/>
        </w:rPr>
        <w:t>قبل</w:t>
      </w:r>
      <w:r w:rsidRPr="00B934CE">
        <w:rPr>
          <w:rFonts w:ascii="Traditional Arabic" w:eastAsia="Sakkal Majalla" w:hAnsi="Traditional Arabic" w:cs="Traditional Arabic"/>
          <w:b w:val="0"/>
          <w:bCs w:val="0"/>
          <w:color w:val="auto"/>
          <w:sz w:val="30"/>
          <w:szCs w:val="30"/>
          <w:rtl/>
        </w:rPr>
        <w:t xml:space="preserve"> </w:t>
      </w:r>
      <w:r w:rsidRPr="00B934CE">
        <w:rPr>
          <w:rFonts w:ascii="Traditional Arabic" w:eastAsia="Sakkal Majalla" w:hAnsi="Traditional Arabic" w:cs="Traditional Arabic" w:hint="eastAsia"/>
          <w:b w:val="0"/>
          <w:bCs w:val="0"/>
          <w:color w:val="auto"/>
          <w:sz w:val="30"/>
          <w:szCs w:val="30"/>
          <w:rtl/>
        </w:rPr>
        <w:t>ا</w:t>
      </w:r>
      <w:r w:rsidRPr="00B934CE">
        <w:rPr>
          <w:rFonts w:ascii="Traditional Arabic" w:eastAsia="Sakkal Majalla" w:hAnsi="Traditional Arabic" w:cs="Traditional Arabic"/>
          <w:b w:val="0"/>
          <w:bCs w:val="0"/>
          <w:color w:val="auto"/>
          <w:sz w:val="30"/>
          <w:szCs w:val="30"/>
          <w:rtl/>
        </w:rPr>
        <w:t xml:space="preserve">لجائحة. بينما لا يزال التوظيف والاحتفاظ بأطقم السفن يمثل تحديًا عالميًا، فإن </w:t>
      </w:r>
      <w:r w:rsidRPr="00B934CE">
        <w:rPr>
          <w:rFonts w:ascii="Traditional Arabic" w:eastAsia="Sakkal Majalla" w:hAnsi="Traditional Arabic" w:cs="Traditional Arabic" w:hint="eastAsia"/>
          <w:b w:val="0"/>
          <w:bCs w:val="0"/>
          <w:color w:val="auto"/>
          <w:sz w:val="30"/>
          <w:szCs w:val="30"/>
          <w:rtl/>
        </w:rPr>
        <w:t>القطاع</w:t>
      </w:r>
      <w:r w:rsidRPr="00B934CE">
        <w:rPr>
          <w:rFonts w:ascii="Traditional Arabic" w:eastAsia="Sakkal Majalla" w:hAnsi="Traditional Arabic" w:cs="Traditional Arabic"/>
          <w:b w:val="0"/>
          <w:bCs w:val="0"/>
          <w:color w:val="auto"/>
          <w:sz w:val="30"/>
          <w:szCs w:val="30"/>
          <w:rtl/>
        </w:rPr>
        <w:t xml:space="preserve"> </w:t>
      </w:r>
      <w:r w:rsidRPr="00B934CE">
        <w:rPr>
          <w:rFonts w:ascii="Traditional Arabic" w:eastAsia="Sakkal Majalla" w:hAnsi="Traditional Arabic" w:cs="Traditional Arabic" w:hint="eastAsia"/>
          <w:b w:val="0"/>
          <w:bCs w:val="0"/>
          <w:color w:val="auto"/>
          <w:sz w:val="30"/>
          <w:szCs w:val="30"/>
          <w:rtl/>
        </w:rPr>
        <w:t>ي</w:t>
      </w:r>
      <w:r w:rsidRPr="00B934CE">
        <w:rPr>
          <w:rFonts w:ascii="Traditional Arabic" w:eastAsia="Sakkal Majalla" w:hAnsi="Traditional Arabic" w:cs="Traditional Arabic"/>
          <w:b w:val="0"/>
          <w:bCs w:val="0"/>
          <w:color w:val="auto"/>
          <w:sz w:val="30"/>
          <w:szCs w:val="30"/>
          <w:rtl/>
        </w:rPr>
        <w:t>تكيف تدريجيًا، وقد عادت البيئة التشغيلية الآن إلى حالتها الطبيعية قبل الجائحة.</w:t>
      </w:r>
    </w:p>
    <w:p w14:paraId="17618548" w14:textId="77777777" w:rsidR="00044A68" w:rsidRPr="00B934CE" w:rsidRDefault="00044A68" w:rsidP="00044A68">
      <w:pPr>
        <w:pStyle w:val="4"/>
        <w:spacing w:after="120"/>
        <w:rPr>
          <w:rFonts w:ascii="Traditional Arabic" w:hAnsi="Traditional Arabic" w:cs="Traditional Arabic"/>
          <w:i/>
          <w:iCs/>
          <w:color w:val="auto"/>
          <w:sz w:val="30"/>
          <w:szCs w:val="30"/>
          <w:rtl/>
        </w:rPr>
      </w:pPr>
      <w:r w:rsidRPr="00B934CE">
        <w:rPr>
          <w:rFonts w:ascii="Traditional Arabic" w:hAnsi="Traditional Arabic" w:cs="Traditional Arabic"/>
          <w:i/>
          <w:iCs/>
          <w:color w:val="auto"/>
          <w:sz w:val="30"/>
          <w:szCs w:val="30"/>
          <w:rtl/>
        </w:rPr>
        <w:t>التحول نحو عمليات التأجير بالرحلات</w:t>
      </w:r>
    </w:p>
    <w:p w14:paraId="1342D946" w14:textId="77777777" w:rsidR="00044A68" w:rsidRPr="00B934CE" w:rsidRDefault="00044A68" w:rsidP="00044A68">
      <w:pPr>
        <w:pStyle w:val="4"/>
        <w:spacing w:after="120"/>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t>ارتفع</w:t>
      </w:r>
      <w:r w:rsidR="00493AA5">
        <w:rPr>
          <w:rFonts w:ascii="Traditional Arabic" w:hAnsi="Traditional Arabic" w:cs="Traditional Arabic" w:hint="cs"/>
          <w:b w:val="0"/>
          <w:bCs w:val="0"/>
          <w:color w:val="auto"/>
          <w:sz w:val="30"/>
          <w:szCs w:val="30"/>
          <w:rtl/>
        </w:rPr>
        <w:t xml:space="preserve">ت </w:t>
      </w:r>
      <w:r w:rsidRPr="00B934CE">
        <w:rPr>
          <w:rFonts w:ascii="Traditional Arabic" w:hAnsi="Traditional Arabic" w:cs="Traditional Arabic"/>
          <w:b w:val="0"/>
          <w:bCs w:val="0"/>
          <w:color w:val="auto"/>
          <w:sz w:val="30"/>
          <w:szCs w:val="30"/>
          <w:rtl/>
        </w:rPr>
        <w:t xml:space="preserve">الإيرادات من 243.8 مليون ريال عماني في عام 2021 إلى 363.7 مليون ريال عماني في عام 2023، مدفوعة بزيادة معدلات استخدام السفن وأسعار الشحن بسبب الطلب القوي في السوق، والتوسع الجغرافي خاصةً في قطاع الشحن الخطي، وزيادة عدد السفن المؤجرة. ومع ذلك، لم </w:t>
      </w:r>
      <w:r w:rsidRPr="00B934CE">
        <w:rPr>
          <w:rFonts w:ascii="Traditional Arabic" w:hAnsi="Traditional Arabic" w:cs="Traditional Arabic" w:hint="eastAsia"/>
          <w:b w:val="0"/>
          <w:bCs w:val="0"/>
          <w:color w:val="auto"/>
          <w:sz w:val="30"/>
          <w:szCs w:val="30"/>
          <w:rtl/>
        </w:rPr>
        <w:t>ي</w:t>
      </w:r>
      <w:r w:rsidRPr="00B934CE">
        <w:rPr>
          <w:rFonts w:ascii="Traditional Arabic" w:hAnsi="Traditional Arabic" w:cs="Traditional Arabic"/>
          <w:b w:val="0"/>
          <w:bCs w:val="0"/>
          <w:color w:val="auto"/>
          <w:sz w:val="30"/>
          <w:szCs w:val="30"/>
          <w:rtl/>
        </w:rPr>
        <w:t xml:space="preserve">تحسن </w:t>
      </w:r>
      <w:r w:rsidRPr="00B934CE">
        <w:rPr>
          <w:rFonts w:ascii="Traditional Arabic" w:hAnsi="Traditional Arabic" w:cs="Traditional Arabic" w:hint="eastAsia"/>
          <w:b w:val="0"/>
          <w:bCs w:val="0"/>
          <w:color w:val="auto"/>
          <w:sz w:val="30"/>
          <w:szCs w:val="30"/>
          <w:rtl/>
        </w:rPr>
        <w:t>هامش</w:t>
      </w:r>
      <w:r w:rsidRPr="00B934CE">
        <w:rPr>
          <w:rFonts w:ascii="Traditional Arabic" w:hAnsi="Traditional Arabic" w:cs="Traditional Arabic"/>
          <w:b w:val="0"/>
          <w:bCs w:val="0"/>
          <w:color w:val="auto"/>
          <w:sz w:val="30"/>
          <w:szCs w:val="30"/>
          <w:rtl/>
        </w:rPr>
        <w:t xml:space="preserve"> اجمالي الربح بشكل كبير، حيث ارتفع من 21.6% في 2021 إلى 22.8% في 2023. اتبعت الشركة خطة استراتيجية للتحول نحو عمليات التأجير بالرحلات لكونها أكثر ربحية. وبرز هذا التحول بشكل واضح في أواخر عام 2023 وفي الأشهر التسعة المنتهية في 30 سبتمبر 2024، حيث زادت إيرادات التأجير بالرحلات كنسبة مئوية من إجمالي الإيرادات من 15.7% في عام 2021 إلى 35.7% في عام 2023، وارتفعت أكثر إلى 66.0% في الأشهر التسعة المنتهية في 30 سبتمبر 2024، مما ساهم في تحسين كبير في هامش  اجمالي الربح ليصل إلى 30.3% في الفترة ذاتها.</w:t>
      </w:r>
    </w:p>
    <w:p w14:paraId="06961C2A" w14:textId="77777777" w:rsidR="00044A68" w:rsidRPr="00B934CE" w:rsidRDefault="00616652" w:rsidP="00044A68">
      <w:pPr>
        <w:pStyle w:val="4"/>
        <w:spacing w:after="120"/>
        <w:rPr>
          <w:rFonts w:ascii="Traditional Arabic" w:hAnsi="Traditional Arabic" w:cs="Traditional Arabic"/>
          <w:i/>
          <w:iCs/>
          <w:color w:val="auto"/>
          <w:sz w:val="30"/>
          <w:szCs w:val="30"/>
          <w:rtl/>
        </w:rPr>
      </w:pPr>
      <w:r>
        <w:rPr>
          <w:rFonts w:ascii="Traditional Arabic" w:hAnsi="Traditional Arabic" w:cs="Traditional Arabic" w:hint="cs"/>
          <w:i/>
          <w:iCs/>
          <w:color w:val="auto"/>
          <w:sz w:val="30"/>
          <w:szCs w:val="30"/>
          <w:rtl/>
        </w:rPr>
        <w:t>ال</w:t>
      </w:r>
      <w:r w:rsidR="00044A68" w:rsidRPr="00B934CE">
        <w:rPr>
          <w:rFonts w:ascii="Traditional Arabic" w:hAnsi="Traditional Arabic" w:cs="Traditional Arabic"/>
          <w:i/>
          <w:iCs/>
          <w:color w:val="auto"/>
          <w:sz w:val="30"/>
          <w:szCs w:val="30"/>
          <w:rtl/>
        </w:rPr>
        <w:t xml:space="preserve">تركيز </w:t>
      </w:r>
      <w:r>
        <w:rPr>
          <w:rFonts w:ascii="Traditional Arabic" w:hAnsi="Traditional Arabic" w:cs="Traditional Arabic" w:hint="cs"/>
          <w:i/>
          <w:iCs/>
          <w:color w:val="auto"/>
          <w:sz w:val="30"/>
          <w:szCs w:val="30"/>
          <w:rtl/>
        </w:rPr>
        <w:t xml:space="preserve">على </w:t>
      </w:r>
      <w:r w:rsidR="00044A68" w:rsidRPr="00B934CE">
        <w:rPr>
          <w:rFonts w:ascii="Traditional Arabic" w:hAnsi="Traditional Arabic" w:cs="Traditional Arabic"/>
          <w:i/>
          <w:iCs/>
          <w:color w:val="auto"/>
          <w:sz w:val="30"/>
          <w:szCs w:val="30"/>
          <w:rtl/>
        </w:rPr>
        <w:t>العملاء</w:t>
      </w:r>
    </w:p>
    <w:p w14:paraId="47C3208B" w14:textId="77777777" w:rsidR="00044A68" w:rsidRPr="00B934CE" w:rsidRDefault="00B0726B" w:rsidP="00044A68">
      <w:pPr>
        <w:pStyle w:val="4"/>
        <w:spacing w:after="120"/>
        <w:rPr>
          <w:rFonts w:ascii="Traditional Arabic" w:hAnsi="Traditional Arabic" w:cs="Traditional Arabic"/>
          <w:b w:val="0"/>
          <w:bCs w:val="0"/>
          <w:color w:val="auto"/>
          <w:sz w:val="30"/>
          <w:szCs w:val="30"/>
        </w:rPr>
      </w:pPr>
      <w:r>
        <w:rPr>
          <w:rFonts w:ascii="Traditional Arabic" w:hAnsi="Traditional Arabic" w:cs="Traditional Arabic" w:hint="cs"/>
          <w:b w:val="0"/>
          <w:bCs w:val="0"/>
          <w:color w:val="auto"/>
          <w:sz w:val="30"/>
          <w:szCs w:val="30"/>
          <w:rtl/>
        </w:rPr>
        <w:lastRenderedPageBreak/>
        <w:t>ي</w:t>
      </w:r>
      <w:r w:rsidR="00044A68" w:rsidRPr="00B934CE">
        <w:rPr>
          <w:rFonts w:ascii="Traditional Arabic" w:hAnsi="Traditional Arabic" w:cs="Traditional Arabic"/>
          <w:b w:val="0"/>
          <w:bCs w:val="0"/>
          <w:color w:val="auto"/>
          <w:sz w:val="30"/>
          <w:szCs w:val="30"/>
          <w:rtl/>
        </w:rPr>
        <w:t xml:space="preserve">شكل أهم خمسة عملاء حوالي </w:t>
      </w:r>
      <w:r w:rsidR="001C4C9B">
        <w:rPr>
          <w:rFonts w:ascii="Traditional Arabic" w:hAnsi="Traditional Arabic" w:cs="Traditional Arabic" w:hint="cs"/>
          <w:b w:val="0"/>
          <w:bCs w:val="0"/>
          <w:color w:val="auto"/>
          <w:sz w:val="30"/>
          <w:szCs w:val="30"/>
          <w:rtl/>
        </w:rPr>
        <w:t>32.0</w:t>
      </w:r>
      <w:r w:rsidR="00044A68" w:rsidRPr="00B934CE">
        <w:rPr>
          <w:rFonts w:ascii="Traditional Arabic" w:hAnsi="Traditional Arabic" w:cs="Traditional Arabic"/>
          <w:b w:val="0"/>
          <w:bCs w:val="0"/>
          <w:color w:val="auto"/>
          <w:sz w:val="30"/>
          <w:szCs w:val="30"/>
          <w:rtl/>
        </w:rPr>
        <w:t>% من الإيرادات بين عامي 2021 و2023 (</w:t>
      </w:r>
      <w:r w:rsidR="001C4C9B">
        <w:rPr>
          <w:rFonts w:ascii="Traditional Arabic" w:hAnsi="Traditional Arabic" w:cs="Traditional Arabic" w:hint="cs"/>
          <w:b w:val="0"/>
          <w:bCs w:val="0"/>
          <w:color w:val="auto"/>
          <w:sz w:val="30"/>
          <w:szCs w:val="30"/>
          <w:rtl/>
        </w:rPr>
        <w:t>33.3</w:t>
      </w:r>
      <w:r w:rsidR="00044A68" w:rsidRPr="00B934CE">
        <w:rPr>
          <w:rFonts w:ascii="Traditional Arabic" w:hAnsi="Traditional Arabic" w:cs="Traditional Arabic"/>
          <w:b w:val="0"/>
          <w:bCs w:val="0"/>
          <w:color w:val="auto"/>
          <w:sz w:val="30"/>
          <w:szCs w:val="30"/>
          <w:rtl/>
        </w:rPr>
        <w:t xml:space="preserve">% في الأشهر التسعة المنتهية في 30 سبتمبر 2024)، حيث ساهم العميل الأكبر بمعدل 12.0% من إجمالي الإيرادات خلال الفترة من 2021 إلى 2023، </w:t>
      </w:r>
      <w:r w:rsidR="00044A68" w:rsidRPr="00B934CE">
        <w:rPr>
          <w:rFonts w:ascii="Traditional Arabic" w:hAnsi="Traditional Arabic" w:cs="Traditional Arabic" w:hint="eastAsia"/>
          <w:b w:val="0"/>
          <w:bCs w:val="0"/>
          <w:color w:val="auto"/>
          <w:sz w:val="30"/>
          <w:szCs w:val="30"/>
          <w:rtl/>
        </w:rPr>
        <w:t>قبل</w:t>
      </w:r>
      <w:r w:rsidR="00044A68" w:rsidRPr="00B934CE">
        <w:rPr>
          <w:rFonts w:ascii="Traditional Arabic" w:hAnsi="Traditional Arabic" w:cs="Traditional Arabic"/>
          <w:b w:val="0"/>
          <w:bCs w:val="0"/>
          <w:color w:val="auto"/>
          <w:sz w:val="30"/>
          <w:szCs w:val="30"/>
          <w:rtl/>
        </w:rPr>
        <w:t xml:space="preserve"> انخف</w:t>
      </w:r>
      <w:r w:rsidR="00044A68" w:rsidRPr="00B934CE">
        <w:rPr>
          <w:rFonts w:ascii="Traditional Arabic" w:hAnsi="Traditional Arabic" w:cs="Traditional Arabic" w:hint="eastAsia"/>
          <w:b w:val="0"/>
          <w:bCs w:val="0"/>
          <w:color w:val="auto"/>
          <w:sz w:val="30"/>
          <w:szCs w:val="30"/>
          <w:rtl/>
        </w:rPr>
        <w:t>ا</w:t>
      </w:r>
      <w:r w:rsidR="00044A68" w:rsidRPr="00B934CE">
        <w:rPr>
          <w:rFonts w:ascii="Traditional Arabic" w:hAnsi="Traditional Arabic" w:cs="Traditional Arabic"/>
          <w:b w:val="0"/>
          <w:bCs w:val="0"/>
          <w:color w:val="auto"/>
          <w:sz w:val="30"/>
          <w:szCs w:val="30"/>
          <w:rtl/>
        </w:rPr>
        <w:t>ض مساهمته إلى 3.5% في الأشهر التسعة المنتهية في 30 سبتمبر 2024. الاعتماد على قاعدة عملاء محدودة قد يجعل الشركة عرضة لمخاطر التركيز، مما قد يؤثر سلبًا على العمليات في حالة فقدان عمل من أحد العملاء الرئيسيين أو تجديد العقود بشروط أقل تفضيلاً من الحالية أو انخفاض مستوى الأعمال كما هو الحال مع العميل الأكبر.</w:t>
      </w:r>
    </w:p>
    <w:p w14:paraId="23C4518F" w14:textId="77777777" w:rsidR="00044A68" w:rsidRPr="00B934CE" w:rsidRDefault="00044A68" w:rsidP="00044A68">
      <w:pPr>
        <w:pStyle w:val="4"/>
        <w:spacing w:after="120"/>
        <w:rPr>
          <w:rFonts w:ascii="Traditional Arabic" w:hAnsi="Traditional Arabic" w:cs="Traditional Arabic"/>
          <w:i/>
          <w:iCs/>
          <w:color w:val="auto"/>
          <w:sz w:val="30"/>
          <w:szCs w:val="30"/>
          <w:rtl/>
        </w:rPr>
      </w:pPr>
      <w:r w:rsidRPr="00B934CE">
        <w:rPr>
          <w:rFonts w:ascii="Traditional Arabic" w:hAnsi="Traditional Arabic" w:cs="Traditional Arabic"/>
          <w:i/>
          <w:iCs/>
          <w:color w:val="auto"/>
          <w:sz w:val="30"/>
          <w:szCs w:val="30"/>
          <w:rtl/>
        </w:rPr>
        <w:t>الحساسية تجاه تقلبات أسعار الوقود البحري</w:t>
      </w:r>
    </w:p>
    <w:p w14:paraId="3D79A55A" w14:textId="77777777" w:rsidR="00044A68" w:rsidRPr="00B934CE" w:rsidRDefault="00044A68" w:rsidP="00044A68">
      <w:pPr>
        <w:pStyle w:val="4"/>
        <w:spacing w:after="120"/>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t>تُظهر الشركة حساسية عالية تجاه تغيّرات أسعار الوقود البحري (البنكر). ارتفعت تكاليف البنكر كنسبة مئوية من تكاليف تشغيل الرحلات من 60.8% في عام 2021 إلى 72.2% في عام 2022 نتيجة لـ:</w:t>
      </w:r>
    </w:p>
    <w:p w14:paraId="7EC955B1" w14:textId="77777777" w:rsidR="00044A68" w:rsidRPr="00B934CE" w:rsidRDefault="00044A68" w:rsidP="00D925C8">
      <w:pPr>
        <w:pStyle w:val="4"/>
        <w:numPr>
          <w:ilvl w:val="0"/>
          <w:numId w:val="67"/>
        </w:numPr>
        <w:spacing w:before="0"/>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t>ارتفاع أسعار الوقود إلى متوسط 835 ريال عماني/الطن في عام 2022 مقارنة بـ 509 ريال عماني/الطن في عام 2021.</w:t>
      </w:r>
    </w:p>
    <w:p w14:paraId="0CE96C01" w14:textId="77777777" w:rsidR="00044A68" w:rsidRPr="00B934CE" w:rsidRDefault="00044A68" w:rsidP="00D925C8">
      <w:pPr>
        <w:pStyle w:val="4"/>
        <w:numPr>
          <w:ilvl w:val="0"/>
          <w:numId w:val="67"/>
        </w:numPr>
        <w:spacing w:before="0"/>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t>زيادة الكميات المشتراة بـ 33,397 طن خلال الفترة ذاتها.</w:t>
      </w:r>
    </w:p>
    <w:p w14:paraId="71E109D9" w14:textId="77777777" w:rsidR="00044A68" w:rsidRPr="00B934CE" w:rsidRDefault="00044A68" w:rsidP="00D925C8">
      <w:pPr>
        <w:pStyle w:val="4"/>
        <w:numPr>
          <w:ilvl w:val="0"/>
          <w:numId w:val="67"/>
        </w:numPr>
        <w:spacing w:before="0"/>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t>انخفضت هذه النسبة إلى 52.7% من إجمالي تكاليف الرحلات في عام 2023 بسبب:</w:t>
      </w:r>
    </w:p>
    <w:p w14:paraId="6143BF78" w14:textId="77777777" w:rsidR="00044A68" w:rsidRPr="00B934CE" w:rsidRDefault="00044A68" w:rsidP="00D925C8">
      <w:pPr>
        <w:pStyle w:val="4"/>
        <w:numPr>
          <w:ilvl w:val="0"/>
          <w:numId w:val="67"/>
        </w:numPr>
        <w:spacing w:before="0"/>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t>انخفاض أسعار الوقود إلى متوسط 658 ريال عماني/الطن.</w:t>
      </w:r>
    </w:p>
    <w:p w14:paraId="7F153F53" w14:textId="77777777" w:rsidR="00044A68" w:rsidRPr="00B934CE" w:rsidRDefault="00044A68" w:rsidP="00D925C8">
      <w:pPr>
        <w:pStyle w:val="4"/>
        <w:numPr>
          <w:ilvl w:val="0"/>
          <w:numId w:val="67"/>
        </w:numPr>
        <w:spacing w:before="0" w:after="60"/>
        <w:rPr>
          <w:rFonts w:ascii="Traditional Arabic" w:hAnsi="Traditional Arabic" w:cs="Traditional Arabic"/>
          <w:b w:val="0"/>
          <w:bCs w:val="0"/>
          <w:color w:val="auto"/>
          <w:sz w:val="30"/>
          <w:szCs w:val="30"/>
          <w:rtl/>
        </w:rPr>
      </w:pPr>
      <w:r w:rsidRPr="00B934CE">
        <w:rPr>
          <w:rFonts w:ascii="Traditional Arabic" w:hAnsi="Traditional Arabic" w:cs="Traditional Arabic"/>
          <w:b w:val="0"/>
          <w:bCs w:val="0"/>
          <w:color w:val="auto"/>
          <w:sz w:val="30"/>
          <w:szCs w:val="30"/>
          <w:rtl/>
        </w:rPr>
        <w:t>انخفاض الكميات المشتراة (-117,597 طن).</w:t>
      </w:r>
    </w:p>
    <w:p w14:paraId="6D2B4018" w14:textId="77777777" w:rsidR="00044A68" w:rsidRPr="00B934CE" w:rsidRDefault="00044A68" w:rsidP="00044A68">
      <w:pPr>
        <w:pStyle w:val="4"/>
        <w:spacing w:before="0"/>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t xml:space="preserve">كما انخفضت النسبة إلى 45% من إجمالي تكاليف تشغيل الرحلات في الأشهر التسعة المنتهية في 30 سبتمبر 2024، </w:t>
      </w:r>
      <w:r w:rsidRPr="00B934CE">
        <w:rPr>
          <w:rFonts w:ascii="Traditional Arabic" w:hAnsi="Traditional Arabic" w:cs="Traditional Arabic" w:hint="eastAsia"/>
          <w:b w:val="0"/>
          <w:bCs w:val="0"/>
          <w:color w:val="auto"/>
          <w:sz w:val="30"/>
          <w:szCs w:val="30"/>
          <w:rtl/>
        </w:rPr>
        <w:t>مما</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يشير</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الى</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ا</w:t>
      </w:r>
      <w:r w:rsidRPr="00B934CE">
        <w:rPr>
          <w:rFonts w:ascii="Traditional Arabic" w:hAnsi="Traditional Arabic" w:cs="Traditional Arabic"/>
          <w:b w:val="0"/>
          <w:bCs w:val="0"/>
          <w:color w:val="auto"/>
          <w:sz w:val="30"/>
          <w:szCs w:val="30"/>
          <w:rtl/>
        </w:rPr>
        <w:t>لتحول الاستراتيجي للشركة نحو السفن المستأجرة بالوقت، حيث يتم تحمل تكاليف الوقود من قبل الطرف الثالث بدلاً من الشركة.</w:t>
      </w:r>
    </w:p>
    <w:p w14:paraId="2F46DD1E" w14:textId="77777777" w:rsidR="00044A68" w:rsidRPr="00B934CE" w:rsidRDefault="00044A68" w:rsidP="00B934CE">
      <w:pPr>
        <w:pStyle w:val="4"/>
        <w:spacing w:before="0" w:after="120"/>
        <w:rPr>
          <w:rFonts w:ascii="Traditional Arabic" w:hAnsi="Traditional Arabic" w:cs="Traditional Arabic"/>
          <w:b w:val="0"/>
          <w:bCs w:val="0"/>
          <w:color w:val="auto"/>
          <w:sz w:val="30"/>
          <w:szCs w:val="30"/>
          <w:rtl/>
        </w:rPr>
      </w:pPr>
      <w:r w:rsidRPr="00B934CE">
        <w:rPr>
          <w:rFonts w:ascii="Traditional Arabic" w:hAnsi="Traditional Arabic" w:cs="Traditional Arabic"/>
          <w:b w:val="0"/>
          <w:bCs w:val="0"/>
          <w:color w:val="auto"/>
          <w:sz w:val="30"/>
          <w:szCs w:val="30"/>
          <w:rtl/>
        </w:rPr>
        <w:t>لا تحتفظ الشركة باحتياطيات من الوقود ولا تمارس أنشطة التحوط، بل يتم شراء الوقود حسب متطلبات كل رحلة.</w:t>
      </w:r>
    </w:p>
    <w:p w14:paraId="4C9DA03D" w14:textId="77777777" w:rsidR="00044A68" w:rsidRPr="00B934CE" w:rsidRDefault="00044A68" w:rsidP="00044A68">
      <w:pPr>
        <w:pStyle w:val="4"/>
        <w:spacing w:after="120"/>
        <w:rPr>
          <w:rFonts w:ascii="Traditional Arabic" w:hAnsi="Traditional Arabic" w:cs="Traditional Arabic"/>
          <w:i/>
          <w:iCs/>
          <w:color w:val="auto"/>
          <w:sz w:val="30"/>
          <w:szCs w:val="30"/>
          <w:rtl/>
        </w:rPr>
      </w:pPr>
      <w:r w:rsidRPr="00B934CE">
        <w:rPr>
          <w:rFonts w:ascii="Traditional Arabic" w:hAnsi="Traditional Arabic" w:cs="Traditional Arabic"/>
          <w:i/>
          <w:iCs/>
          <w:color w:val="auto"/>
          <w:sz w:val="30"/>
          <w:szCs w:val="30"/>
          <w:rtl/>
        </w:rPr>
        <w:t>الإنفاق الرأسمالي الكبير (المتعهد به والمخطط) لتجديد الأسطول القديم</w:t>
      </w:r>
    </w:p>
    <w:p w14:paraId="561923EB" w14:textId="77777777" w:rsidR="00044A68" w:rsidRPr="00B934CE" w:rsidRDefault="00044A68" w:rsidP="00044A68">
      <w:pPr>
        <w:pStyle w:val="4"/>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t>اعتبارًا من سبتمبر 2024، تم استهلاك 51</w:t>
      </w:r>
      <w:r w:rsidR="00B3661F">
        <w:rPr>
          <w:rFonts w:ascii="Traditional Arabic" w:hAnsi="Traditional Arabic" w:cs="Traditional Arabic" w:hint="cs"/>
          <w:b w:val="0"/>
          <w:bCs w:val="0"/>
          <w:color w:val="auto"/>
          <w:sz w:val="30"/>
          <w:szCs w:val="30"/>
          <w:rtl/>
        </w:rPr>
        <w:t>.0</w:t>
      </w:r>
      <w:r w:rsidRPr="00B934CE">
        <w:rPr>
          <w:rFonts w:ascii="Traditional Arabic" w:hAnsi="Traditional Arabic" w:cs="Traditional Arabic"/>
          <w:b w:val="0"/>
          <w:bCs w:val="0"/>
          <w:color w:val="auto"/>
          <w:sz w:val="30"/>
          <w:szCs w:val="30"/>
          <w:rtl/>
        </w:rPr>
        <w:t>% من أصول الشركة من السفن ومرافق الحوض الجاف بالكامل.  كجزء من استراتيجية الشركة لادارة السفن، تركز الشركة على تجديد أسطولها وتنفيذ برامج صيانة وقائية لتحسين الحالة الفنية للسفن القديمة.</w:t>
      </w:r>
    </w:p>
    <w:p w14:paraId="1D83CD75" w14:textId="77777777" w:rsidR="00044A68" w:rsidRPr="00B934CE" w:rsidRDefault="00044A68" w:rsidP="00044A68">
      <w:pPr>
        <w:pStyle w:val="4"/>
        <w:spacing w:before="120"/>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t>فيما يتعلق بتجديد الأسطول، باعت الشركة ثلاث ناقلات نفط خام عملاقة (</w:t>
      </w:r>
      <w:r w:rsidRPr="00B934CE">
        <w:rPr>
          <w:rFonts w:ascii="Traditional Arabic" w:hAnsi="Traditional Arabic" w:cs="Traditional Arabic"/>
          <w:b w:val="0"/>
          <w:bCs w:val="0"/>
          <w:color w:val="auto"/>
          <w:sz w:val="30"/>
          <w:szCs w:val="30"/>
        </w:rPr>
        <w:t>VLCC</w:t>
      </w:r>
      <w:r w:rsidRPr="00B934CE">
        <w:rPr>
          <w:rFonts w:ascii="Traditional Arabic" w:hAnsi="Traditional Arabic" w:cs="Traditional Arabic"/>
          <w:b w:val="0"/>
          <w:bCs w:val="0"/>
          <w:color w:val="auto"/>
          <w:sz w:val="30"/>
          <w:szCs w:val="30"/>
          <w:rtl/>
        </w:rPr>
        <w:t>) بخسارة بلغت 0.7 مليون ريال عماني في عام 2022، وباعت ثلاث ناقلات إضافية من نفس النوع في عام 2023 بتحقيق ربح بلغ 18 مليون ريال عماني. كما التزمت الشركة بشراء أربع ناقلات نفط خام عملاقة جديدة (</w:t>
      </w:r>
      <w:r w:rsidRPr="00B934CE">
        <w:rPr>
          <w:rFonts w:ascii="Traditional Arabic" w:hAnsi="Traditional Arabic" w:cs="Traditional Arabic"/>
          <w:b w:val="0"/>
          <w:bCs w:val="0"/>
          <w:color w:val="auto"/>
          <w:sz w:val="30"/>
          <w:szCs w:val="30"/>
        </w:rPr>
        <w:t>VLCC</w:t>
      </w:r>
      <w:r w:rsidRPr="00B934CE">
        <w:rPr>
          <w:rFonts w:ascii="Traditional Arabic" w:hAnsi="Traditional Arabic" w:cs="Traditional Arabic"/>
          <w:b w:val="0"/>
          <w:bCs w:val="0"/>
          <w:color w:val="auto"/>
          <w:sz w:val="30"/>
          <w:szCs w:val="30"/>
          <w:rtl/>
        </w:rPr>
        <w:t>)، حيث من المتوقع تسليم اثنتين منها في عام 2026 والباقيتين في عام 2027.</w:t>
      </w:r>
    </w:p>
    <w:p w14:paraId="646DC83C" w14:textId="77777777" w:rsidR="00044A68" w:rsidRPr="00B934CE" w:rsidRDefault="00044A68" w:rsidP="00044A68">
      <w:pPr>
        <w:pStyle w:val="4"/>
        <w:spacing w:before="120" w:after="120"/>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lastRenderedPageBreak/>
        <w:t>كجزء من استراتيجية التوسع، تخطط الشركة لإضافة ناقلتين جديدتين للغاز الطبيعي المسال (</w:t>
      </w:r>
      <w:r w:rsidRPr="00B934CE">
        <w:rPr>
          <w:rFonts w:ascii="Traditional Arabic" w:hAnsi="Traditional Arabic" w:cs="Traditional Arabic"/>
          <w:b w:val="0"/>
          <w:bCs w:val="0"/>
          <w:color w:val="auto"/>
          <w:sz w:val="30"/>
          <w:szCs w:val="30"/>
        </w:rPr>
        <w:t>LNG</w:t>
      </w:r>
      <w:r w:rsidRPr="00B934CE">
        <w:rPr>
          <w:rFonts w:ascii="Traditional Arabic" w:hAnsi="Traditional Arabic" w:cs="Traditional Arabic"/>
          <w:b w:val="0"/>
          <w:bCs w:val="0"/>
          <w:color w:val="auto"/>
          <w:sz w:val="30"/>
          <w:szCs w:val="30"/>
          <w:rtl/>
        </w:rPr>
        <w:t>)، حيث تم دفع 37.6 مليون ريال عماني، ويتبقى التزام قدره 155.2 مليون ريال عماني. من المقرر تسليم هذه الناقلات في عام 2026.</w:t>
      </w:r>
    </w:p>
    <w:p w14:paraId="62A7919E" w14:textId="77777777" w:rsidR="00044A68" w:rsidRPr="00B934CE" w:rsidRDefault="00044A68" w:rsidP="00044A68">
      <w:pPr>
        <w:pStyle w:val="4"/>
        <w:spacing w:before="120" w:after="120"/>
        <w:rPr>
          <w:rFonts w:ascii="Traditional Arabic" w:hAnsi="Traditional Arabic" w:cs="Traditional Arabic"/>
          <w:b w:val="0"/>
          <w:bCs w:val="0"/>
          <w:color w:val="auto"/>
          <w:sz w:val="30"/>
          <w:szCs w:val="30"/>
          <w:rtl/>
        </w:rPr>
      </w:pPr>
      <w:r w:rsidRPr="00B934CE">
        <w:rPr>
          <w:rFonts w:ascii="Traditional Arabic" w:hAnsi="Traditional Arabic" w:cs="Traditional Arabic"/>
          <w:b w:val="0"/>
          <w:bCs w:val="0"/>
          <w:color w:val="auto"/>
          <w:sz w:val="30"/>
          <w:szCs w:val="30"/>
          <w:rtl/>
        </w:rPr>
        <w:t>وفقًا للخطة الاستراتيجية، تعتزم الشركة شراء 24 سفينة جديدة خلال السنوات الخمس القادمة لتجديد الأسطول، بتكلفة استثمارية إجمالية تبلغ 704.8 ملي</w:t>
      </w:r>
      <w:r w:rsidRPr="00B934CE">
        <w:rPr>
          <w:rFonts w:ascii="Traditional Arabic" w:hAnsi="Traditional Arabic" w:cs="Traditional Arabic" w:hint="eastAsia"/>
          <w:b w:val="0"/>
          <w:bCs w:val="0"/>
          <w:color w:val="auto"/>
          <w:sz w:val="30"/>
          <w:szCs w:val="30"/>
          <w:rtl/>
        </w:rPr>
        <w:t>ون</w:t>
      </w:r>
      <w:r w:rsidRPr="00B934CE">
        <w:rPr>
          <w:rFonts w:ascii="Traditional Arabic" w:hAnsi="Traditional Arabic" w:cs="Traditional Arabic"/>
          <w:b w:val="0"/>
          <w:bCs w:val="0"/>
          <w:color w:val="auto"/>
          <w:sz w:val="30"/>
          <w:szCs w:val="30"/>
          <w:rtl/>
        </w:rPr>
        <w:t xml:space="preserve"> ريال عماني، بما في ذلك الاستثمارات التي تمت بالفعل في عام 2024. لمزيد من المعلومات حول خطة تطوير أسطول الشركة، يُرجى الرجوع إلى "الفصل الثاني عشر - وصف الشركة ونظرة عامة على الأعمال".</w:t>
      </w:r>
    </w:p>
    <w:p w14:paraId="518A42D9" w14:textId="77777777" w:rsidR="00044A68" w:rsidRPr="00B934CE" w:rsidRDefault="00044A68" w:rsidP="00044A68">
      <w:pPr>
        <w:pStyle w:val="4"/>
        <w:spacing w:after="120"/>
        <w:rPr>
          <w:rFonts w:ascii="Traditional Arabic" w:hAnsi="Traditional Arabic" w:cs="Traditional Arabic"/>
          <w:i/>
          <w:iCs/>
          <w:color w:val="auto"/>
          <w:sz w:val="30"/>
          <w:szCs w:val="30"/>
          <w:rtl/>
        </w:rPr>
      </w:pPr>
      <w:r w:rsidRPr="00B934CE">
        <w:rPr>
          <w:rFonts w:ascii="Traditional Arabic" w:hAnsi="Traditional Arabic" w:cs="Traditional Arabic"/>
          <w:i/>
          <w:iCs/>
          <w:color w:val="auto"/>
          <w:sz w:val="30"/>
          <w:szCs w:val="30"/>
          <w:rtl/>
        </w:rPr>
        <w:t>المشتقات والأنشطة التحوطية</w:t>
      </w:r>
    </w:p>
    <w:p w14:paraId="4033609D" w14:textId="77777777" w:rsidR="00044A68" w:rsidRPr="00B934CE" w:rsidRDefault="00044A68" w:rsidP="00044A68">
      <w:pPr>
        <w:pStyle w:val="4"/>
        <w:rPr>
          <w:rFonts w:ascii="Traditional Arabic" w:hAnsi="Traditional Arabic" w:cs="Traditional Arabic"/>
          <w:b w:val="0"/>
          <w:bCs w:val="0"/>
          <w:color w:val="auto"/>
          <w:sz w:val="30"/>
          <w:szCs w:val="30"/>
          <w:rtl/>
        </w:rPr>
      </w:pPr>
      <w:r w:rsidRPr="00B934CE">
        <w:rPr>
          <w:rFonts w:ascii="Traditional Arabic" w:hAnsi="Traditional Arabic" w:cs="Traditional Arabic"/>
          <w:b w:val="0"/>
          <w:bCs w:val="0"/>
          <w:color w:val="auto"/>
          <w:sz w:val="30"/>
          <w:szCs w:val="30"/>
          <w:rtl/>
        </w:rPr>
        <w:t>بموجب متطلبات اتفاقيات القروض مع بعض البنوك التجارية، ومن أجل الحد من التعرض لتقلبات أسعار الفائدة، دخلت بعض الشركات التابعة للمجموعة في اتفاقيات تحوط لأسعار الفائدة مع البنوك التجارية.</w:t>
      </w:r>
    </w:p>
    <w:p w14:paraId="0E0E4273" w14:textId="77777777" w:rsidR="00044A68" w:rsidRPr="00B934CE" w:rsidRDefault="00044A68" w:rsidP="00044A68">
      <w:pPr>
        <w:pStyle w:val="4"/>
        <w:spacing w:before="120"/>
        <w:rPr>
          <w:rFonts w:ascii="Traditional Arabic" w:hAnsi="Traditional Arabic" w:cs="Traditional Arabic"/>
          <w:b w:val="0"/>
          <w:bCs w:val="0"/>
          <w:color w:val="auto"/>
          <w:sz w:val="30"/>
          <w:szCs w:val="30"/>
          <w:rtl/>
        </w:rPr>
      </w:pPr>
      <w:r w:rsidRPr="00B934CE">
        <w:rPr>
          <w:rFonts w:ascii="Traditional Arabic" w:hAnsi="Traditional Arabic" w:cs="Traditional Arabic"/>
          <w:b w:val="0"/>
          <w:bCs w:val="0"/>
          <w:color w:val="auto"/>
          <w:sz w:val="30"/>
          <w:szCs w:val="30"/>
          <w:rtl/>
        </w:rPr>
        <w:t xml:space="preserve">حققت الشركة وضعًا إيجابيًا فيما يتعلق بمقايضات أسعار الفائدة في عامي 2023 و2024، حيث حققت دخل فائدة قدره 4.4 مليون ريال عماني في عام 2023 (1.9 مليون ريال عماني في الأشهر التسعة المنتهية في 30 سبتمبر 2024)، وربحًا من كسر عقود المقايضة بلغ 3.4 مليون ريال عماني في عام 2023 (دون أي أرباح في 2022 </w:t>
      </w:r>
      <w:r w:rsidRPr="00B934CE">
        <w:rPr>
          <w:rFonts w:ascii="Traditional Arabic" w:hAnsi="Traditional Arabic" w:cs="Traditional Arabic" w:hint="eastAsia"/>
          <w:b w:val="0"/>
          <w:bCs w:val="0"/>
          <w:color w:val="auto"/>
          <w:sz w:val="30"/>
          <w:szCs w:val="30"/>
          <w:rtl/>
        </w:rPr>
        <w:t>و</w:t>
      </w:r>
      <w:r w:rsidRPr="00B934CE">
        <w:rPr>
          <w:rFonts w:ascii="Traditional Arabic" w:hAnsi="Traditional Arabic" w:cs="Traditional Arabic"/>
          <w:b w:val="0"/>
          <w:bCs w:val="0"/>
          <w:color w:val="auto"/>
          <w:sz w:val="30"/>
          <w:szCs w:val="30"/>
          <w:rtl/>
        </w:rPr>
        <w:t>2024).</w:t>
      </w:r>
    </w:p>
    <w:p w14:paraId="54180055" w14:textId="77777777" w:rsidR="00044A68" w:rsidRPr="00B934CE" w:rsidRDefault="00044A68" w:rsidP="00044A68">
      <w:pPr>
        <w:pStyle w:val="4"/>
        <w:spacing w:before="120" w:after="120"/>
        <w:rPr>
          <w:rFonts w:ascii="Traditional Arabic" w:hAnsi="Traditional Arabic" w:cs="Traditional Arabic"/>
          <w:b w:val="0"/>
          <w:bCs w:val="0"/>
          <w:color w:val="auto"/>
          <w:sz w:val="30"/>
          <w:szCs w:val="30"/>
        </w:rPr>
      </w:pPr>
      <w:r w:rsidRPr="00B934CE">
        <w:rPr>
          <w:rFonts w:ascii="Traditional Arabic" w:hAnsi="Traditional Arabic" w:cs="Traditional Arabic"/>
          <w:b w:val="0"/>
          <w:bCs w:val="0"/>
          <w:color w:val="auto"/>
          <w:sz w:val="30"/>
          <w:szCs w:val="30"/>
          <w:rtl/>
        </w:rPr>
        <w:t xml:space="preserve">بلغت القيم الاسمية (أي مبالغ الالتزامات/القروض التي يتم التحوط لها عبر المشتقات) 55.8 مليون ريال عماني في </w:t>
      </w:r>
      <w:r w:rsidR="009932D3">
        <w:rPr>
          <w:rFonts w:ascii="Traditional Arabic" w:hAnsi="Traditional Arabic" w:cs="Traditional Arabic" w:hint="cs"/>
          <w:b w:val="0"/>
          <w:bCs w:val="0"/>
          <w:color w:val="auto"/>
          <w:sz w:val="30"/>
          <w:szCs w:val="30"/>
          <w:rtl/>
        </w:rPr>
        <w:t xml:space="preserve">30 </w:t>
      </w:r>
      <w:r w:rsidRPr="00B934CE">
        <w:rPr>
          <w:rFonts w:ascii="Traditional Arabic" w:hAnsi="Traditional Arabic" w:cs="Traditional Arabic"/>
          <w:b w:val="0"/>
          <w:bCs w:val="0"/>
          <w:color w:val="auto"/>
          <w:sz w:val="30"/>
          <w:szCs w:val="30"/>
          <w:rtl/>
        </w:rPr>
        <w:t>سبتمبر 2024، منها 21.8 مليون ريال عماني تستحق خلال عام، و34 مليون ريال عماني بين عامين وخمسة أعوام.</w:t>
      </w:r>
    </w:p>
    <w:p w14:paraId="37D18C74" w14:textId="74B1CB59" w:rsidR="00044A68" w:rsidRPr="00B934CE" w:rsidRDefault="00044A68" w:rsidP="00044A68">
      <w:pPr>
        <w:pStyle w:val="4"/>
        <w:spacing w:after="120"/>
        <w:rPr>
          <w:rFonts w:ascii="Traditional Arabic" w:hAnsi="Traditional Arabic" w:cs="Traditional Arabic"/>
          <w:i/>
          <w:iCs/>
          <w:color w:val="auto"/>
          <w:sz w:val="30"/>
          <w:szCs w:val="30"/>
          <w:rtl/>
        </w:rPr>
      </w:pPr>
      <w:r w:rsidRPr="00B934CE">
        <w:rPr>
          <w:rFonts w:ascii="Traditional Arabic" w:hAnsi="Traditional Arabic" w:cs="Traditional Arabic"/>
          <w:i/>
          <w:iCs/>
          <w:color w:val="auto"/>
          <w:sz w:val="30"/>
          <w:szCs w:val="30"/>
          <w:rtl/>
        </w:rPr>
        <w:t>اتفاقية الخدم</w:t>
      </w:r>
      <w:r w:rsidR="00751AEE">
        <w:rPr>
          <w:rFonts w:ascii="Traditional Arabic" w:hAnsi="Traditional Arabic" w:cs="Traditional Arabic" w:hint="cs"/>
          <w:i/>
          <w:iCs/>
          <w:color w:val="auto"/>
          <w:sz w:val="30"/>
          <w:szCs w:val="30"/>
          <w:rtl/>
        </w:rPr>
        <w:t>ات</w:t>
      </w:r>
      <w:r w:rsidRPr="00B934CE">
        <w:rPr>
          <w:rFonts w:ascii="Traditional Arabic" w:hAnsi="Traditional Arabic" w:cs="Traditional Arabic"/>
          <w:i/>
          <w:iCs/>
          <w:color w:val="auto"/>
          <w:sz w:val="30"/>
          <w:szCs w:val="30"/>
          <w:rtl/>
        </w:rPr>
        <w:t xml:space="preserve"> </w:t>
      </w:r>
      <w:r w:rsidR="00751AEE">
        <w:rPr>
          <w:rFonts w:ascii="Traditional Arabic" w:hAnsi="Traditional Arabic" w:cs="Traditional Arabic" w:hint="cs"/>
          <w:i/>
          <w:iCs/>
          <w:color w:val="auto"/>
          <w:sz w:val="30"/>
          <w:szCs w:val="30"/>
          <w:rtl/>
        </w:rPr>
        <w:t>الرئيسية</w:t>
      </w:r>
      <w:r w:rsidR="00751AEE" w:rsidRPr="00B934CE">
        <w:rPr>
          <w:rFonts w:ascii="Traditional Arabic" w:hAnsi="Traditional Arabic" w:cs="Traditional Arabic"/>
          <w:i/>
          <w:iCs/>
          <w:color w:val="auto"/>
          <w:sz w:val="30"/>
          <w:szCs w:val="30"/>
          <w:rtl/>
        </w:rPr>
        <w:t xml:space="preserve"> </w:t>
      </w:r>
      <w:r w:rsidRPr="00B934CE">
        <w:rPr>
          <w:rFonts w:ascii="Traditional Arabic" w:hAnsi="Traditional Arabic" w:cs="Traditional Arabic"/>
          <w:i/>
          <w:iCs/>
          <w:color w:val="auto"/>
          <w:sz w:val="30"/>
          <w:szCs w:val="30"/>
          <w:rtl/>
        </w:rPr>
        <w:t>مع مجموعة أسياد</w:t>
      </w:r>
    </w:p>
    <w:p w14:paraId="7D06143B" w14:textId="77777777" w:rsidR="00044A68" w:rsidRPr="00B934CE" w:rsidRDefault="00044A68" w:rsidP="00044A68">
      <w:pPr>
        <w:pStyle w:val="4"/>
        <w:spacing w:after="120"/>
        <w:rPr>
          <w:rFonts w:ascii="Traditional Arabic" w:hAnsi="Traditional Arabic" w:cs="Traditional Arabic"/>
          <w:b w:val="0"/>
          <w:bCs w:val="0"/>
          <w:color w:val="auto"/>
          <w:sz w:val="30"/>
          <w:szCs w:val="30"/>
          <w:rtl/>
        </w:rPr>
      </w:pPr>
      <w:r w:rsidRPr="00B934CE">
        <w:rPr>
          <w:rFonts w:ascii="Traditional Arabic" w:hAnsi="Traditional Arabic" w:cs="Traditional Arabic"/>
          <w:b w:val="0"/>
          <w:bCs w:val="0"/>
          <w:color w:val="auto"/>
          <w:sz w:val="30"/>
          <w:szCs w:val="30"/>
          <w:rtl/>
        </w:rPr>
        <w:t xml:space="preserve">وقّعت الشركة </w:t>
      </w:r>
      <w:r w:rsidR="00C75B8A">
        <w:rPr>
          <w:rFonts w:ascii="Traditional Arabic" w:hAnsi="Traditional Arabic" w:cs="Traditional Arabic" w:hint="cs"/>
          <w:b w:val="0"/>
          <w:bCs w:val="0"/>
          <w:color w:val="auto"/>
          <w:sz w:val="30"/>
          <w:szCs w:val="30"/>
          <w:rtl/>
        </w:rPr>
        <w:t>ال</w:t>
      </w:r>
      <w:r w:rsidRPr="00B934CE">
        <w:rPr>
          <w:rFonts w:ascii="Traditional Arabic" w:hAnsi="Traditional Arabic" w:cs="Traditional Arabic"/>
          <w:b w:val="0"/>
          <w:bCs w:val="0"/>
          <w:color w:val="auto"/>
          <w:sz w:val="30"/>
          <w:szCs w:val="30"/>
          <w:rtl/>
        </w:rPr>
        <w:t xml:space="preserve">اتفاقية </w:t>
      </w:r>
      <w:r w:rsidR="008A0676">
        <w:rPr>
          <w:rFonts w:ascii="Traditional Arabic" w:hAnsi="Traditional Arabic" w:cs="Traditional Arabic" w:hint="cs"/>
          <w:b w:val="0"/>
          <w:bCs w:val="0"/>
          <w:color w:val="auto"/>
          <w:sz w:val="30"/>
          <w:szCs w:val="30"/>
          <w:rtl/>
        </w:rPr>
        <w:t>ال</w:t>
      </w:r>
      <w:r w:rsidRPr="00B934CE">
        <w:rPr>
          <w:rFonts w:ascii="Traditional Arabic" w:hAnsi="Traditional Arabic" w:cs="Traditional Arabic"/>
          <w:b w:val="0"/>
          <w:bCs w:val="0"/>
          <w:color w:val="auto"/>
          <w:sz w:val="30"/>
          <w:szCs w:val="30"/>
          <w:rtl/>
        </w:rPr>
        <w:t>رئيسية</w:t>
      </w:r>
      <w:r w:rsidR="00C75B8A">
        <w:rPr>
          <w:rFonts w:ascii="Traditional Arabic" w:hAnsi="Traditional Arabic" w:cs="Traditional Arabic" w:hint="cs"/>
          <w:b w:val="0"/>
          <w:bCs w:val="0"/>
          <w:color w:val="auto"/>
          <w:sz w:val="30"/>
          <w:szCs w:val="30"/>
          <w:rtl/>
        </w:rPr>
        <w:t xml:space="preserve"> الحالية</w:t>
      </w:r>
      <w:r w:rsidRPr="00B934CE">
        <w:rPr>
          <w:rFonts w:ascii="Traditional Arabic" w:hAnsi="Traditional Arabic" w:cs="Traditional Arabic"/>
          <w:b w:val="0"/>
          <w:bCs w:val="0"/>
          <w:color w:val="auto"/>
          <w:sz w:val="30"/>
          <w:szCs w:val="30"/>
          <w:rtl/>
        </w:rPr>
        <w:t xml:space="preserve"> مع مجموعة أسياد</w:t>
      </w:r>
      <w:r w:rsidR="001B5058">
        <w:rPr>
          <w:rFonts w:ascii="Traditional Arabic" w:hAnsi="Traditional Arabic" w:cs="Traditional Arabic" w:hint="cs"/>
          <w:b w:val="0"/>
          <w:bCs w:val="0"/>
          <w:color w:val="auto"/>
          <w:sz w:val="30"/>
          <w:szCs w:val="30"/>
          <w:rtl/>
        </w:rPr>
        <w:t xml:space="preserve"> في </w:t>
      </w:r>
      <w:r w:rsidR="00FD49EF">
        <w:rPr>
          <w:rFonts w:ascii="Traditional Arabic" w:hAnsi="Traditional Arabic" w:cs="Traditional Arabic" w:hint="cs"/>
          <w:b w:val="0"/>
          <w:bCs w:val="0"/>
          <w:color w:val="auto"/>
          <w:sz w:val="30"/>
          <w:szCs w:val="30"/>
          <w:rtl/>
        </w:rPr>
        <w:t>2022</w:t>
      </w:r>
      <w:r w:rsidR="00C75B8A">
        <w:rPr>
          <w:rFonts w:ascii="Traditional Arabic" w:hAnsi="Traditional Arabic" w:cs="Traditional Arabic" w:hint="cs"/>
          <w:b w:val="0"/>
          <w:bCs w:val="0"/>
          <w:color w:val="auto"/>
          <w:sz w:val="30"/>
          <w:szCs w:val="30"/>
          <w:rtl/>
        </w:rPr>
        <w:t>.</w:t>
      </w:r>
      <w:r w:rsidRPr="00B934CE">
        <w:rPr>
          <w:rFonts w:ascii="Traditional Arabic" w:hAnsi="Traditional Arabic" w:cs="Traditional Arabic"/>
          <w:b w:val="0"/>
          <w:bCs w:val="0"/>
          <w:color w:val="auto"/>
          <w:sz w:val="30"/>
          <w:szCs w:val="30"/>
          <w:rtl/>
        </w:rPr>
        <w:t xml:space="preserve"> </w:t>
      </w:r>
      <w:r w:rsidR="001B5058">
        <w:rPr>
          <w:rFonts w:ascii="Traditional Arabic" w:hAnsi="Traditional Arabic" w:cs="Traditional Arabic" w:hint="cs"/>
          <w:b w:val="0"/>
          <w:bCs w:val="0"/>
          <w:color w:val="auto"/>
          <w:sz w:val="30"/>
          <w:szCs w:val="30"/>
          <w:rtl/>
        </w:rPr>
        <w:t>و</w:t>
      </w:r>
      <w:r w:rsidRPr="00B934CE">
        <w:rPr>
          <w:rFonts w:ascii="Traditional Arabic" w:hAnsi="Traditional Arabic" w:cs="Traditional Arabic"/>
          <w:b w:val="0"/>
          <w:bCs w:val="0"/>
          <w:color w:val="auto"/>
          <w:sz w:val="30"/>
          <w:szCs w:val="30"/>
          <w:rtl/>
        </w:rPr>
        <w:t>تتضمن هذه الاتفاقية الخدمات المشتركة التي تقدمها مجموعة أسياد ل</w:t>
      </w:r>
      <w:r w:rsidRPr="00B934CE">
        <w:rPr>
          <w:rFonts w:ascii="Traditional Arabic" w:hAnsi="Traditional Arabic" w:cs="Traditional Arabic" w:hint="eastAsia"/>
          <w:b w:val="0"/>
          <w:bCs w:val="0"/>
          <w:color w:val="auto"/>
          <w:sz w:val="30"/>
          <w:szCs w:val="30"/>
          <w:rtl/>
        </w:rPr>
        <w:t>ل</w:t>
      </w:r>
      <w:r w:rsidRPr="00B934CE">
        <w:rPr>
          <w:rFonts w:ascii="Traditional Arabic" w:hAnsi="Traditional Arabic" w:cs="Traditional Arabic"/>
          <w:b w:val="0"/>
          <w:bCs w:val="0"/>
          <w:color w:val="auto"/>
          <w:sz w:val="30"/>
          <w:szCs w:val="30"/>
          <w:rtl/>
        </w:rPr>
        <w:t>شرك</w:t>
      </w:r>
      <w:r w:rsidRPr="00B934CE">
        <w:rPr>
          <w:rFonts w:ascii="Traditional Arabic" w:hAnsi="Traditional Arabic" w:cs="Traditional Arabic" w:hint="eastAsia"/>
          <w:b w:val="0"/>
          <w:bCs w:val="0"/>
          <w:color w:val="auto"/>
          <w:sz w:val="30"/>
          <w:szCs w:val="30"/>
          <w:rtl/>
        </w:rPr>
        <w:t>ة</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والشركات</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التابعة</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لها</w:t>
      </w:r>
      <w:r w:rsidRPr="00B934CE">
        <w:rPr>
          <w:rFonts w:ascii="Traditional Arabic" w:hAnsi="Traditional Arabic" w:cs="Traditional Arabic"/>
          <w:b w:val="0"/>
          <w:bCs w:val="0"/>
          <w:color w:val="auto"/>
          <w:sz w:val="30"/>
          <w:szCs w:val="30"/>
          <w:rtl/>
        </w:rPr>
        <w:t xml:space="preserve">. قبل هذا الترتيب، كانت بعض </w:t>
      </w:r>
      <w:r w:rsidRPr="00B934CE">
        <w:rPr>
          <w:rFonts w:ascii="Traditional Arabic" w:hAnsi="Traditional Arabic" w:cs="Traditional Arabic" w:hint="eastAsia"/>
          <w:b w:val="0"/>
          <w:bCs w:val="0"/>
          <w:color w:val="auto"/>
          <w:sz w:val="30"/>
          <w:szCs w:val="30"/>
          <w:rtl/>
        </w:rPr>
        <w:t>المهام</w:t>
      </w:r>
      <w:r w:rsidRPr="00B934CE">
        <w:rPr>
          <w:rFonts w:ascii="Traditional Arabic" w:hAnsi="Traditional Arabic" w:cs="Traditional Arabic"/>
          <w:b w:val="0"/>
          <w:bCs w:val="0"/>
          <w:color w:val="auto"/>
          <w:sz w:val="30"/>
          <w:szCs w:val="30"/>
          <w:rtl/>
        </w:rPr>
        <w:t xml:space="preserve"> والمسؤوليات تتم إدارتها من قبل موظفي الشركة الداخليين، ومع إبرام الاتفاق، تم تركيز هذه </w:t>
      </w:r>
      <w:r w:rsidR="00CC0B26">
        <w:rPr>
          <w:rFonts w:ascii="Traditional Arabic" w:hAnsi="Traditional Arabic" w:cs="Traditional Arabic" w:hint="cs"/>
          <w:b w:val="0"/>
          <w:bCs w:val="0"/>
          <w:color w:val="auto"/>
          <w:sz w:val="30"/>
          <w:szCs w:val="30"/>
          <w:rtl/>
        </w:rPr>
        <w:t>المهام</w:t>
      </w:r>
      <w:r w:rsidR="00CC0B26"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b w:val="0"/>
          <w:bCs w:val="0"/>
          <w:color w:val="auto"/>
          <w:sz w:val="30"/>
          <w:szCs w:val="30"/>
          <w:rtl/>
        </w:rPr>
        <w:t>على مستوى مجموعة أســياد.</w:t>
      </w:r>
    </w:p>
    <w:p w14:paraId="6D431052" w14:textId="77777777" w:rsidR="00044A68" w:rsidRDefault="00044A68" w:rsidP="00044A68">
      <w:pPr>
        <w:pStyle w:val="4"/>
        <w:spacing w:before="120" w:after="120"/>
        <w:rPr>
          <w:rFonts w:ascii="Traditional Arabic" w:hAnsi="Traditional Arabic" w:cs="Traditional Arabic"/>
          <w:b w:val="0"/>
          <w:bCs w:val="0"/>
          <w:color w:val="auto"/>
          <w:sz w:val="30"/>
          <w:szCs w:val="30"/>
        </w:rPr>
      </w:pPr>
      <w:r w:rsidRPr="00B934CE">
        <w:rPr>
          <w:rFonts w:ascii="Traditional Arabic" w:hAnsi="Traditional Arabic" w:cs="Traditional Arabic" w:hint="eastAsia"/>
          <w:b w:val="0"/>
          <w:bCs w:val="0"/>
          <w:color w:val="auto"/>
          <w:sz w:val="30"/>
          <w:szCs w:val="30"/>
          <w:rtl/>
        </w:rPr>
        <w:t>نتيجة</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لتوقيع</w:t>
      </w:r>
      <w:r w:rsidRPr="00B934CE">
        <w:rPr>
          <w:rFonts w:ascii="Traditional Arabic" w:hAnsi="Traditional Arabic" w:cs="Traditional Arabic"/>
          <w:b w:val="0"/>
          <w:bCs w:val="0"/>
          <w:color w:val="auto"/>
          <w:sz w:val="30"/>
          <w:szCs w:val="30"/>
          <w:rtl/>
        </w:rPr>
        <w:t xml:space="preserve"> الاتفاقية في عام </w:t>
      </w:r>
      <w:r w:rsidR="007B0596" w:rsidRPr="00B934CE">
        <w:rPr>
          <w:rFonts w:ascii="Traditional Arabic" w:hAnsi="Traditional Arabic" w:cs="Traditional Arabic"/>
          <w:b w:val="0"/>
          <w:bCs w:val="0"/>
          <w:color w:val="auto"/>
          <w:sz w:val="30"/>
          <w:szCs w:val="30"/>
          <w:rtl/>
        </w:rPr>
        <w:t>202</w:t>
      </w:r>
      <w:r w:rsidR="007B0596">
        <w:rPr>
          <w:rFonts w:ascii="Traditional Arabic" w:hAnsi="Traditional Arabic" w:cs="Traditional Arabic" w:hint="cs"/>
          <w:b w:val="0"/>
          <w:bCs w:val="0"/>
          <w:color w:val="auto"/>
          <w:sz w:val="30"/>
          <w:szCs w:val="30"/>
          <w:rtl/>
        </w:rPr>
        <w:t>2</w:t>
      </w:r>
      <w:r w:rsidRPr="00B934CE">
        <w:rPr>
          <w:rFonts w:ascii="Traditional Arabic" w:hAnsi="Traditional Arabic" w:cs="Traditional Arabic"/>
          <w:b w:val="0"/>
          <w:bCs w:val="0"/>
          <w:color w:val="auto"/>
          <w:sz w:val="30"/>
          <w:szCs w:val="30"/>
          <w:rtl/>
        </w:rPr>
        <w:t>، ت</w:t>
      </w:r>
      <w:r w:rsidRPr="00B934CE">
        <w:rPr>
          <w:rFonts w:ascii="Traditional Arabic" w:hAnsi="Traditional Arabic" w:cs="Traditional Arabic" w:hint="eastAsia"/>
          <w:b w:val="0"/>
          <w:bCs w:val="0"/>
          <w:color w:val="auto"/>
          <w:sz w:val="30"/>
          <w:szCs w:val="30"/>
          <w:rtl/>
        </w:rPr>
        <w:t>حملت</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الشركة</w:t>
      </w:r>
      <w:r w:rsidRPr="00B934CE">
        <w:rPr>
          <w:rFonts w:ascii="Traditional Arabic" w:hAnsi="Traditional Arabic" w:cs="Traditional Arabic"/>
          <w:b w:val="0"/>
          <w:bCs w:val="0"/>
          <w:color w:val="auto"/>
          <w:sz w:val="30"/>
          <w:szCs w:val="30"/>
          <w:rtl/>
        </w:rPr>
        <w:t xml:space="preserve"> مصروف خدمات مشتركة ب</w:t>
      </w:r>
      <w:r w:rsidRPr="00B934CE">
        <w:rPr>
          <w:rFonts w:ascii="Traditional Arabic" w:hAnsi="Traditional Arabic" w:cs="Traditional Arabic" w:hint="eastAsia"/>
          <w:b w:val="0"/>
          <w:bCs w:val="0"/>
          <w:color w:val="auto"/>
          <w:sz w:val="30"/>
          <w:szCs w:val="30"/>
          <w:rtl/>
        </w:rPr>
        <w:t>قيمة</w:t>
      </w:r>
      <w:r w:rsidRPr="00B934CE">
        <w:rPr>
          <w:rFonts w:ascii="Traditional Arabic" w:hAnsi="Traditional Arabic" w:cs="Traditional Arabic"/>
          <w:b w:val="0"/>
          <w:bCs w:val="0"/>
          <w:color w:val="auto"/>
          <w:sz w:val="30"/>
          <w:szCs w:val="30"/>
          <w:rtl/>
        </w:rPr>
        <w:t xml:space="preserve"> 1.2 مليون ريال عماني</w:t>
      </w:r>
      <w:r w:rsidR="00053E3B">
        <w:rPr>
          <w:rFonts w:ascii="Traditional Arabic" w:hAnsi="Traditional Arabic" w:cs="Traditional Arabic" w:hint="cs"/>
          <w:b w:val="0"/>
          <w:bCs w:val="0"/>
          <w:color w:val="auto"/>
          <w:sz w:val="30"/>
          <w:szCs w:val="30"/>
          <w:rtl/>
        </w:rPr>
        <w:t xml:space="preserve"> في 2023</w:t>
      </w:r>
      <w:r w:rsidRPr="00B934CE">
        <w:rPr>
          <w:rFonts w:ascii="Traditional Arabic" w:hAnsi="Traditional Arabic" w:cs="Traditional Arabic"/>
          <w:b w:val="0"/>
          <w:bCs w:val="0"/>
          <w:color w:val="auto"/>
          <w:sz w:val="30"/>
          <w:szCs w:val="30"/>
          <w:rtl/>
        </w:rPr>
        <w:t>. تم تعديل الاتفاقية في عام 2024 لتبني نموذج مشاركة الإيرادات (</w:t>
      </w:r>
      <w:r w:rsidRPr="00B934CE">
        <w:rPr>
          <w:rFonts w:ascii="Traditional Arabic" w:hAnsi="Traditional Arabic" w:cs="Traditional Arabic" w:hint="eastAsia"/>
          <w:b w:val="0"/>
          <w:bCs w:val="0"/>
          <w:color w:val="auto"/>
          <w:sz w:val="30"/>
          <w:szCs w:val="30"/>
          <w:rtl/>
        </w:rPr>
        <w:t>و</w:t>
      </w:r>
      <w:r w:rsidRPr="00B934CE">
        <w:rPr>
          <w:rFonts w:ascii="Traditional Arabic" w:hAnsi="Traditional Arabic" w:cs="Traditional Arabic"/>
          <w:b w:val="0"/>
          <w:bCs w:val="0"/>
          <w:color w:val="auto"/>
          <w:sz w:val="30"/>
          <w:szCs w:val="30"/>
          <w:rtl/>
        </w:rPr>
        <w:t xml:space="preserve">الذي يُحسب كرسوم مستحقة الدفع سنويًا </w:t>
      </w:r>
      <w:r w:rsidRPr="00B934CE">
        <w:rPr>
          <w:rFonts w:ascii="Traditional Arabic" w:hAnsi="Traditional Arabic" w:cs="Traditional Arabic" w:hint="eastAsia"/>
          <w:b w:val="0"/>
          <w:bCs w:val="0"/>
          <w:color w:val="auto"/>
          <w:sz w:val="30"/>
          <w:szCs w:val="30"/>
          <w:rtl/>
        </w:rPr>
        <w:t>بأثر</w:t>
      </w:r>
      <w:r w:rsidRPr="00B934CE">
        <w:rPr>
          <w:rFonts w:ascii="Traditional Arabic" w:hAnsi="Traditional Arabic" w:cs="Traditional Arabic"/>
          <w:b w:val="0"/>
          <w:bCs w:val="0"/>
          <w:color w:val="auto"/>
          <w:sz w:val="30"/>
          <w:szCs w:val="30"/>
          <w:rtl/>
        </w:rPr>
        <w:t xml:space="preserve"> رجعي من قبل الشركة إلى مجموعة أســياد تعادل 1٪ من إجمالي الإيرادات السنوية</w:t>
      </w:r>
      <w:r w:rsidRPr="00B934CE">
        <w:rPr>
          <w:rFonts w:ascii="Traditional Arabic" w:hAnsi="Traditional Arabic" w:cs="Traditional Arabic"/>
          <w:b w:val="0"/>
          <w:bCs w:val="0"/>
          <w:color w:val="auto"/>
          <w:sz w:val="30"/>
          <w:szCs w:val="30"/>
          <w:rtl/>
          <w:lang w:bidi="ar-JO"/>
        </w:rPr>
        <w:t xml:space="preserve"> المدققة</w:t>
      </w:r>
      <w:r w:rsidRPr="00B934CE">
        <w:rPr>
          <w:rFonts w:ascii="Traditional Arabic" w:hAnsi="Traditional Arabic" w:cs="Traditional Arabic"/>
          <w:b w:val="0"/>
          <w:bCs w:val="0"/>
          <w:color w:val="auto"/>
          <w:sz w:val="30"/>
          <w:szCs w:val="30"/>
          <w:rtl/>
        </w:rPr>
        <w:t xml:space="preserve"> للشركة). أدى التعديل إلى تسجيل مصروف خدمات مشتركة ب</w:t>
      </w:r>
      <w:r w:rsidRPr="00B934CE">
        <w:rPr>
          <w:rFonts w:ascii="Traditional Arabic" w:hAnsi="Traditional Arabic" w:cs="Traditional Arabic" w:hint="eastAsia"/>
          <w:b w:val="0"/>
          <w:bCs w:val="0"/>
          <w:color w:val="auto"/>
          <w:sz w:val="30"/>
          <w:szCs w:val="30"/>
          <w:rtl/>
        </w:rPr>
        <w:t>قيمة</w:t>
      </w:r>
      <w:r w:rsidRPr="00B934CE">
        <w:rPr>
          <w:rFonts w:ascii="Traditional Arabic" w:hAnsi="Traditional Arabic" w:cs="Traditional Arabic"/>
          <w:b w:val="0"/>
          <w:bCs w:val="0"/>
          <w:color w:val="auto"/>
          <w:sz w:val="30"/>
          <w:szCs w:val="30"/>
          <w:rtl/>
        </w:rPr>
        <w:t xml:space="preserve"> 2.7 مليون ريال عماني في الأشهر التسعة المنتهية في 30 سبتمبر 2024.</w:t>
      </w:r>
    </w:p>
    <w:p w14:paraId="40D6016A" w14:textId="77777777" w:rsidR="007C61D5" w:rsidRPr="00B934CE" w:rsidRDefault="002F404C" w:rsidP="00044A68">
      <w:pPr>
        <w:pStyle w:val="4"/>
        <w:spacing w:before="120" w:after="120"/>
        <w:rPr>
          <w:rFonts w:ascii="Traditional Arabic" w:hAnsi="Traditional Arabic" w:cs="Traditional Arabic"/>
          <w:b w:val="0"/>
          <w:bCs w:val="0"/>
          <w:color w:val="auto"/>
          <w:sz w:val="30"/>
          <w:szCs w:val="30"/>
          <w:rtl/>
        </w:rPr>
      </w:pPr>
      <w:r>
        <w:rPr>
          <w:rFonts w:ascii="Traditional Arabic" w:hAnsi="Traditional Arabic" w:cs="Traditional Arabic" w:hint="cs"/>
          <w:b w:val="0"/>
          <w:bCs w:val="0"/>
          <w:color w:val="auto"/>
          <w:sz w:val="30"/>
          <w:szCs w:val="30"/>
          <w:rtl/>
        </w:rPr>
        <w:t>تتوقع الشركة الدخول في اتفاقية</w:t>
      </w:r>
      <w:r w:rsidR="00532347">
        <w:rPr>
          <w:rFonts w:ascii="Traditional Arabic" w:hAnsi="Traditional Arabic" w:cs="Traditional Arabic" w:hint="cs"/>
          <w:b w:val="0"/>
          <w:bCs w:val="0"/>
          <w:color w:val="auto"/>
          <w:sz w:val="30"/>
          <w:szCs w:val="30"/>
          <w:rtl/>
        </w:rPr>
        <w:t xml:space="preserve"> </w:t>
      </w:r>
      <w:r w:rsidR="00640098">
        <w:rPr>
          <w:rFonts w:ascii="Traditional Arabic" w:hAnsi="Traditional Arabic" w:cs="Traditional Arabic" w:hint="cs"/>
          <w:b w:val="0"/>
          <w:bCs w:val="0"/>
          <w:color w:val="auto"/>
          <w:sz w:val="30"/>
          <w:szCs w:val="30"/>
          <w:rtl/>
        </w:rPr>
        <w:t xml:space="preserve">مستوى خدمة </w:t>
      </w:r>
      <w:r w:rsidR="00532347">
        <w:rPr>
          <w:rFonts w:ascii="Traditional Arabic" w:hAnsi="Traditional Arabic" w:cs="Traditional Arabic" w:hint="cs"/>
          <w:b w:val="0"/>
          <w:bCs w:val="0"/>
          <w:color w:val="auto"/>
          <w:sz w:val="30"/>
          <w:szCs w:val="30"/>
          <w:rtl/>
        </w:rPr>
        <w:t>جديدة مع مجموعة أسياد</w:t>
      </w:r>
      <w:r w:rsidR="00B55BF0">
        <w:rPr>
          <w:rFonts w:ascii="Traditional Arabic" w:hAnsi="Traditional Arabic" w:cs="Traditional Arabic" w:hint="cs"/>
          <w:b w:val="0"/>
          <w:bCs w:val="0"/>
          <w:color w:val="auto"/>
          <w:sz w:val="30"/>
          <w:szCs w:val="30"/>
          <w:rtl/>
        </w:rPr>
        <w:t xml:space="preserve"> وذلك قبل التسجيل</w:t>
      </w:r>
      <w:r w:rsidR="00640098">
        <w:rPr>
          <w:rFonts w:ascii="Traditional Arabic" w:hAnsi="Traditional Arabic" w:cs="Traditional Arabic" w:hint="cs"/>
          <w:b w:val="0"/>
          <w:bCs w:val="0"/>
          <w:color w:val="auto"/>
          <w:sz w:val="30"/>
          <w:szCs w:val="30"/>
          <w:rtl/>
        </w:rPr>
        <w:t xml:space="preserve">، والتي </w:t>
      </w:r>
      <w:r w:rsidR="004F2AA5">
        <w:rPr>
          <w:rFonts w:ascii="Traditional Arabic" w:hAnsi="Traditional Arabic" w:cs="Traditional Arabic" w:hint="cs"/>
          <w:b w:val="0"/>
          <w:bCs w:val="0"/>
          <w:color w:val="auto"/>
          <w:sz w:val="30"/>
          <w:szCs w:val="30"/>
          <w:rtl/>
        </w:rPr>
        <w:t>ستغطي ذات ال</w:t>
      </w:r>
      <w:r w:rsidR="00B55BF0">
        <w:rPr>
          <w:rFonts w:ascii="Traditional Arabic" w:hAnsi="Traditional Arabic" w:cs="Traditional Arabic" w:hint="cs"/>
          <w:b w:val="0"/>
          <w:bCs w:val="0"/>
          <w:color w:val="auto"/>
          <w:sz w:val="30"/>
          <w:szCs w:val="30"/>
          <w:rtl/>
        </w:rPr>
        <w:t>خ</w:t>
      </w:r>
      <w:r w:rsidR="004F2AA5">
        <w:rPr>
          <w:rFonts w:ascii="Traditional Arabic" w:hAnsi="Traditional Arabic" w:cs="Traditional Arabic" w:hint="cs"/>
          <w:b w:val="0"/>
          <w:bCs w:val="0"/>
          <w:color w:val="auto"/>
          <w:sz w:val="30"/>
          <w:szCs w:val="30"/>
          <w:rtl/>
        </w:rPr>
        <w:t>دمات التي تغطيها</w:t>
      </w:r>
      <w:r w:rsidR="00B55BF0">
        <w:rPr>
          <w:rFonts w:ascii="Traditional Arabic" w:hAnsi="Traditional Arabic" w:cs="Traditional Arabic" w:hint="cs"/>
          <w:b w:val="0"/>
          <w:bCs w:val="0"/>
          <w:color w:val="auto"/>
          <w:sz w:val="30"/>
          <w:szCs w:val="30"/>
          <w:rtl/>
        </w:rPr>
        <w:t xml:space="preserve"> الاتفاقية الرئيسية الحالية</w:t>
      </w:r>
      <w:r w:rsidR="00F57204">
        <w:rPr>
          <w:rFonts w:ascii="Traditional Arabic" w:hAnsi="Traditional Arabic" w:cs="Traditional Arabic" w:hint="cs"/>
          <w:b w:val="0"/>
          <w:bCs w:val="0"/>
          <w:color w:val="auto"/>
          <w:sz w:val="30"/>
          <w:szCs w:val="30"/>
          <w:rtl/>
        </w:rPr>
        <w:t xml:space="preserve">. انظر " </w:t>
      </w:r>
      <w:r w:rsidR="00F57204" w:rsidRPr="003832A3">
        <w:rPr>
          <w:rFonts w:ascii="Traditional Arabic" w:hAnsi="Traditional Arabic" w:cs="Traditional Arabic" w:hint="eastAsia"/>
          <w:b w:val="0"/>
          <w:bCs w:val="0"/>
          <w:i/>
          <w:iCs/>
          <w:color w:val="auto"/>
          <w:sz w:val="30"/>
          <w:szCs w:val="30"/>
          <w:rtl/>
        </w:rPr>
        <w:t>الفصل</w:t>
      </w:r>
      <w:r w:rsidR="00F57204" w:rsidRPr="003832A3">
        <w:rPr>
          <w:rFonts w:ascii="Traditional Arabic" w:hAnsi="Traditional Arabic" w:cs="Traditional Arabic"/>
          <w:b w:val="0"/>
          <w:bCs w:val="0"/>
          <w:i/>
          <w:iCs/>
          <w:color w:val="auto"/>
          <w:sz w:val="30"/>
          <w:szCs w:val="30"/>
          <w:rtl/>
        </w:rPr>
        <w:t xml:space="preserve"> الثاني عشر </w:t>
      </w:r>
      <w:r w:rsidR="0080388F" w:rsidRPr="003832A3">
        <w:rPr>
          <w:rFonts w:ascii="Traditional Arabic" w:hAnsi="Traditional Arabic" w:cs="Traditional Arabic"/>
          <w:b w:val="0"/>
          <w:bCs w:val="0"/>
          <w:i/>
          <w:iCs/>
          <w:color w:val="auto"/>
          <w:sz w:val="30"/>
          <w:szCs w:val="30"/>
          <w:rtl/>
        </w:rPr>
        <w:t xml:space="preserve">– وصف الشركة ونظرة عامة على الأعمال- العقود </w:t>
      </w:r>
      <w:r w:rsidR="00E4170F">
        <w:rPr>
          <w:rFonts w:ascii="Traditional Arabic" w:hAnsi="Traditional Arabic" w:cs="Traditional Arabic" w:hint="cs"/>
          <w:b w:val="0"/>
          <w:bCs w:val="0"/>
          <w:i/>
          <w:iCs/>
          <w:color w:val="auto"/>
          <w:sz w:val="30"/>
          <w:szCs w:val="30"/>
          <w:rtl/>
        </w:rPr>
        <w:t>الأساسية</w:t>
      </w:r>
      <w:r w:rsidR="0080388F" w:rsidRPr="003832A3">
        <w:rPr>
          <w:rFonts w:ascii="Traditional Arabic" w:hAnsi="Traditional Arabic" w:cs="Traditional Arabic"/>
          <w:b w:val="0"/>
          <w:bCs w:val="0"/>
          <w:i/>
          <w:iCs/>
          <w:color w:val="auto"/>
          <w:sz w:val="30"/>
          <w:szCs w:val="30"/>
          <w:rtl/>
        </w:rPr>
        <w:t>-</w:t>
      </w:r>
      <w:r w:rsidR="00551363">
        <w:rPr>
          <w:rFonts w:ascii="Traditional Arabic" w:hAnsi="Traditional Arabic" w:cs="Traditional Arabic" w:hint="cs"/>
          <w:b w:val="0"/>
          <w:bCs w:val="0"/>
          <w:i/>
          <w:iCs/>
          <w:color w:val="auto"/>
          <w:sz w:val="30"/>
          <w:szCs w:val="30"/>
          <w:rtl/>
        </w:rPr>
        <w:t>اتفاقيات</w:t>
      </w:r>
      <w:r w:rsidR="00016614" w:rsidRPr="003832A3">
        <w:rPr>
          <w:rFonts w:ascii="Traditional Arabic" w:hAnsi="Traditional Arabic" w:cs="Traditional Arabic"/>
          <w:b w:val="0"/>
          <w:bCs w:val="0"/>
          <w:i/>
          <w:iCs/>
          <w:color w:val="auto"/>
          <w:sz w:val="30"/>
          <w:szCs w:val="30"/>
          <w:rtl/>
        </w:rPr>
        <w:t xml:space="preserve"> </w:t>
      </w:r>
      <w:r w:rsidR="00B55BF0">
        <w:rPr>
          <w:rFonts w:ascii="Traditional Arabic" w:hAnsi="Traditional Arabic" w:cs="Traditional Arabic" w:hint="cs"/>
          <w:b w:val="0"/>
          <w:bCs w:val="0"/>
          <w:i/>
          <w:iCs/>
          <w:color w:val="auto"/>
          <w:sz w:val="30"/>
          <w:szCs w:val="30"/>
          <w:rtl/>
        </w:rPr>
        <w:t>الخدمات</w:t>
      </w:r>
      <w:r w:rsidR="00016614">
        <w:rPr>
          <w:rFonts w:ascii="Traditional Arabic" w:hAnsi="Traditional Arabic" w:cs="Traditional Arabic" w:hint="cs"/>
          <w:b w:val="0"/>
          <w:bCs w:val="0"/>
          <w:color w:val="auto"/>
          <w:sz w:val="30"/>
          <w:szCs w:val="30"/>
          <w:rtl/>
        </w:rPr>
        <w:t xml:space="preserve">" </w:t>
      </w:r>
    </w:p>
    <w:p w14:paraId="6D012170" w14:textId="77777777" w:rsidR="00044A68" w:rsidRPr="00B934CE" w:rsidRDefault="00044A68" w:rsidP="00044A68">
      <w:pPr>
        <w:pStyle w:val="4"/>
        <w:spacing w:after="120"/>
        <w:rPr>
          <w:rFonts w:ascii="Traditional Arabic" w:hAnsi="Traditional Arabic" w:cs="Traditional Arabic"/>
          <w:i/>
          <w:iCs/>
          <w:color w:val="auto"/>
          <w:sz w:val="30"/>
          <w:szCs w:val="30"/>
          <w:rtl/>
        </w:rPr>
      </w:pPr>
      <w:r w:rsidRPr="00B934CE">
        <w:rPr>
          <w:rFonts w:ascii="Traditional Arabic" w:hAnsi="Traditional Arabic" w:cs="Traditional Arabic"/>
          <w:i/>
          <w:iCs/>
          <w:color w:val="auto"/>
          <w:sz w:val="30"/>
          <w:szCs w:val="30"/>
          <w:rtl/>
        </w:rPr>
        <w:lastRenderedPageBreak/>
        <w:t>قرض من مجموعة أسياد ش.م.ع.م</w:t>
      </w:r>
    </w:p>
    <w:p w14:paraId="5F6CAF09" w14:textId="0A40EC95" w:rsidR="00044A68" w:rsidRPr="00B934CE" w:rsidRDefault="00044A68" w:rsidP="00044A68">
      <w:pPr>
        <w:pStyle w:val="4"/>
        <w:spacing w:after="120"/>
        <w:rPr>
          <w:rFonts w:ascii="Traditional Arabic" w:hAnsi="Traditional Arabic" w:cs="Traditional Arabic"/>
          <w:b w:val="0"/>
          <w:bCs w:val="0"/>
          <w:color w:val="auto"/>
          <w:sz w:val="30"/>
          <w:szCs w:val="30"/>
          <w:rtl/>
        </w:rPr>
      </w:pPr>
      <w:r w:rsidRPr="00B934CE">
        <w:rPr>
          <w:rFonts w:ascii="Traditional Arabic" w:hAnsi="Traditional Arabic" w:cs="Traditional Arabic"/>
          <w:b w:val="0"/>
          <w:bCs w:val="0"/>
          <w:color w:val="auto"/>
          <w:sz w:val="30"/>
          <w:szCs w:val="30"/>
          <w:rtl/>
        </w:rPr>
        <w:t>في 22 يناير 2024، وقّعت الشركة اتفاقية قرض مع مجموعة أسياد ش.م.ع.م بقيمة 100 مليون ريال عماني، يُستخدم حصريًا لإعادة تمويل مديونيات الشركة بموجب التسهيلات القائمة (مع بنك مسقط ش.م.ع.ع</w:t>
      </w:r>
      <w:r w:rsidR="009A709D">
        <w:rPr>
          <w:rFonts w:ascii="Traditional Arabic" w:hAnsi="Traditional Arabic" w:cs="Traditional Arabic" w:hint="cs"/>
          <w:b w:val="0"/>
          <w:bCs w:val="0"/>
          <w:color w:val="auto"/>
          <w:sz w:val="30"/>
          <w:szCs w:val="30"/>
          <w:rtl/>
        </w:rPr>
        <w:t>، وميثاق للصيرفة الإسلامية</w:t>
      </w:r>
      <w:r w:rsidRPr="00B934CE">
        <w:rPr>
          <w:rFonts w:ascii="Traditional Arabic" w:hAnsi="Traditional Arabic" w:cs="Traditional Arabic"/>
          <w:b w:val="0"/>
          <w:bCs w:val="0"/>
          <w:color w:val="auto"/>
          <w:sz w:val="30"/>
          <w:szCs w:val="30"/>
          <w:rtl/>
        </w:rPr>
        <w:t xml:space="preserve"> </w:t>
      </w:r>
      <w:r w:rsidR="009A709D">
        <w:rPr>
          <w:rFonts w:ascii="Traditional Arabic" w:hAnsi="Traditional Arabic" w:cs="Traditional Arabic" w:hint="cs"/>
          <w:b w:val="0"/>
          <w:bCs w:val="0"/>
          <w:color w:val="auto"/>
          <w:sz w:val="30"/>
          <w:szCs w:val="30"/>
          <w:rtl/>
        </w:rPr>
        <w:t xml:space="preserve">(النافدة الإسلامية </w:t>
      </w:r>
      <w:r w:rsidRPr="00B934CE">
        <w:rPr>
          <w:rFonts w:ascii="Traditional Arabic" w:hAnsi="Traditional Arabic" w:cs="Traditional Arabic"/>
          <w:b w:val="0"/>
          <w:bCs w:val="0"/>
          <w:color w:val="auto"/>
          <w:sz w:val="30"/>
          <w:szCs w:val="30"/>
          <w:rtl/>
        </w:rPr>
        <w:t>لبنك مسقط ش.م.ع.ع)</w:t>
      </w:r>
      <w:r w:rsidR="009A709D">
        <w:rPr>
          <w:rFonts w:ascii="Traditional Arabic" w:hAnsi="Traditional Arabic" w:cs="Traditional Arabic" w:hint="cs"/>
          <w:b w:val="0"/>
          <w:bCs w:val="0"/>
          <w:color w:val="auto"/>
          <w:sz w:val="30"/>
          <w:szCs w:val="30"/>
          <w:rtl/>
        </w:rPr>
        <w:t>)</w:t>
      </w:r>
      <w:r w:rsidRPr="00B934CE">
        <w:rPr>
          <w:rFonts w:ascii="Traditional Arabic" w:hAnsi="Traditional Arabic" w:cs="Traditional Arabic"/>
          <w:b w:val="0"/>
          <w:bCs w:val="0"/>
          <w:color w:val="auto"/>
          <w:sz w:val="30"/>
          <w:szCs w:val="30"/>
          <w:rtl/>
        </w:rPr>
        <w:t>.</w:t>
      </w:r>
    </w:p>
    <w:p w14:paraId="6783D518" w14:textId="77777777" w:rsidR="00044A68" w:rsidRPr="00B934CE" w:rsidRDefault="00044A68" w:rsidP="00044A68">
      <w:pPr>
        <w:pStyle w:val="4"/>
        <w:spacing w:before="0" w:after="120"/>
        <w:rPr>
          <w:rFonts w:ascii="Traditional Arabic" w:hAnsi="Traditional Arabic" w:cs="Traditional Arabic"/>
          <w:b w:val="0"/>
          <w:bCs w:val="0"/>
          <w:color w:val="auto"/>
          <w:sz w:val="30"/>
          <w:szCs w:val="30"/>
          <w:rtl/>
        </w:rPr>
      </w:pPr>
      <w:r w:rsidRPr="00B934CE">
        <w:rPr>
          <w:rFonts w:ascii="Traditional Arabic" w:hAnsi="Traditional Arabic" w:cs="Traditional Arabic"/>
          <w:b w:val="0"/>
          <w:bCs w:val="0"/>
          <w:color w:val="auto"/>
          <w:sz w:val="30"/>
          <w:szCs w:val="30"/>
          <w:rtl/>
        </w:rPr>
        <w:t xml:space="preserve">يُحتسب الفائدة على القرض بمعدل يعادل (أ) معدل الفائدة/الربح المستحق على المجموعة ضمن التسهيلات المشتركة؛ بالإضافة إلى (ب) 0.25% سنويًا، مع فرض فائدة إضافية بنسبة 1% على أي </w:t>
      </w:r>
      <w:r w:rsidRPr="00B934CE">
        <w:rPr>
          <w:rFonts w:ascii="Traditional Arabic" w:hAnsi="Traditional Arabic" w:cs="Traditional Arabic" w:hint="eastAsia"/>
          <w:b w:val="0"/>
          <w:bCs w:val="0"/>
          <w:color w:val="auto"/>
          <w:sz w:val="30"/>
          <w:szCs w:val="30"/>
          <w:rtl/>
        </w:rPr>
        <w:t>رصيد</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الفوائد</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الغير</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مسددة</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كما</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في</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تاريخ</w:t>
      </w:r>
      <w:r w:rsidRPr="00B934CE">
        <w:rPr>
          <w:rFonts w:ascii="Traditional Arabic" w:hAnsi="Traditional Arabic" w:cs="Traditional Arabic"/>
          <w:b w:val="0"/>
          <w:bCs w:val="0"/>
          <w:color w:val="auto"/>
          <w:sz w:val="30"/>
          <w:szCs w:val="30"/>
          <w:rtl/>
        </w:rPr>
        <w:t xml:space="preserve"> </w:t>
      </w:r>
      <w:r w:rsidRPr="00B934CE">
        <w:rPr>
          <w:rFonts w:ascii="Traditional Arabic" w:hAnsi="Traditional Arabic" w:cs="Traditional Arabic" w:hint="eastAsia"/>
          <w:b w:val="0"/>
          <w:bCs w:val="0"/>
          <w:color w:val="auto"/>
          <w:sz w:val="30"/>
          <w:szCs w:val="30"/>
          <w:rtl/>
        </w:rPr>
        <w:t>السداد</w:t>
      </w:r>
      <w:r w:rsidRPr="00B934CE">
        <w:rPr>
          <w:rFonts w:ascii="Traditional Arabic" w:hAnsi="Traditional Arabic" w:cs="Traditional Arabic"/>
          <w:b w:val="0"/>
          <w:bCs w:val="0"/>
          <w:color w:val="auto"/>
          <w:sz w:val="30"/>
          <w:szCs w:val="30"/>
          <w:rtl/>
        </w:rPr>
        <w:t>. يتم سداد القرض خلال 131 شهرًا من تاريخ الاتفاقية.</w:t>
      </w:r>
    </w:p>
    <w:p w14:paraId="4792D7FA" w14:textId="77777777" w:rsidR="00A34F0A" w:rsidRPr="00586582" w:rsidRDefault="00A34F0A" w:rsidP="00A34F0A">
      <w:pPr>
        <w:bidi/>
        <w:jc w:val="both"/>
        <w:rPr>
          <w:rFonts w:ascii="Traditional Arabic" w:hAnsi="Traditional Arabic" w:cs="Traditional Arabic"/>
          <w:i/>
          <w:sz w:val="30"/>
          <w:szCs w:val="30"/>
          <w:rtl/>
        </w:rPr>
      </w:pPr>
    </w:p>
    <w:p w14:paraId="67747EFD" w14:textId="77777777" w:rsidR="00A263F6" w:rsidRPr="00586582" w:rsidRDefault="00A263F6" w:rsidP="00985281">
      <w:pPr>
        <w:bidi/>
        <w:rPr>
          <w:rFonts w:ascii="Traditional Arabic" w:hAnsi="Traditional Arabic" w:cs="Traditional Arabic"/>
          <w:b/>
          <w:bCs/>
          <w:i/>
          <w:sz w:val="30"/>
          <w:szCs w:val="30"/>
          <w:rtl/>
        </w:rPr>
      </w:pPr>
      <w:r w:rsidRPr="00586582">
        <w:rPr>
          <w:rFonts w:ascii="Traditional Arabic" w:hAnsi="Traditional Arabic" w:cs="Traditional Arabic"/>
          <w:b/>
          <w:bCs/>
          <w:i/>
          <w:sz w:val="30"/>
          <w:szCs w:val="30"/>
          <w:rtl/>
        </w:rPr>
        <w:t>توجيهات وأهداف النظرة المستقبلية</w:t>
      </w:r>
    </w:p>
    <w:p w14:paraId="7B38A2B2" w14:textId="77777777" w:rsidR="00A263F6" w:rsidRPr="00586582" w:rsidRDefault="00A263F6" w:rsidP="00985281">
      <w:pPr>
        <w:bidi/>
        <w:jc w:val="both"/>
        <w:rPr>
          <w:rFonts w:ascii="Traditional Arabic" w:hAnsi="Traditional Arabic" w:cs="Traditional Arabic"/>
          <w:i/>
          <w:sz w:val="30"/>
          <w:szCs w:val="30"/>
          <w:rtl/>
        </w:rPr>
      </w:pPr>
      <w:r w:rsidRPr="00586582">
        <w:rPr>
          <w:rFonts w:ascii="Traditional Arabic" w:hAnsi="Traditional Arabic" w:cs="Traditional Arabic"/>
          <w:i/>
          <w:sz w:val="30"/>
          <w:szCs w:val="30"/>
          <w:rtl/>
        </w:rPr>
        <w:t>كجزء من استراتيجية الشركة في تحقيق مسار النمو على المدى الطويل، حددت أهدافًا معينة على المدى المتوسط. وهذه الأهداف ليست توقعات للأرباح، ولا ينبغي تفسير أي بيان أو توقع في هذه النشرة على أنه يعني أن النتائج المالية لأي فترات مالية ستطابق بالضرورة أو تتجاوز النتائج المالية التاريخية أو دليل على الأهداف الموضحة أدناه. لم تعرف الشركة مصطلحات "المدى القصير" و"المدى المتوسط" بالرجوع إلى أي فترة محددة، وما لم ينص على خلاف ذلك، لا ينبغي قراءة الأهداف أدناه على أنها تشير إلى أن الشركة تستهدف أو تتوقع هذه المقاييس لسنة مالية معينة. هذا، وتعتمد قدرة الشركة على تحقيق أهداف عام 2024 والأهداف على المدى المتوسط - على مجموعة متنوعة من العوامل، منها: ظروف السوق، ودقة الافتراضات العديدة التي قد تنطوي على عوامل خارجة عن سيطرة الشركة وتخضع لمخاطر معروفة وغير معروفة، بالإضافة إلى حالات عدم اليقين، وعوامل أخرى قد تؤدي إلى عدم قدرة الشركة على تنفيذ الاستراتيجية وتحقيق هذه الأهداف. يرجى الاطلاع على فقرة "بيانات النظرة المستقبلية" و "الفصل الرابع - عوامل المخاطرة – المخاطر المتعلقة بالشركة وأعمالها – إن الافتراضات الموضوعة أثناء إعداد الأهداف المالية والتشغيلية والتي تم تضمينها في هذه النشرة عُرضة للخطأ وعدم الدقة، وقد تختلف نتائج الشركة اختلافا جوهريا عن أهدافها المالية والتشغيلية." لم تراجع شركة كيه بي إم جي الأهداف المحددة للمدى المتوسط، وبالتالي لم تعبر عن رأيها في هذا الشأن</w:t>
      </w:r>
      <w:r w:rsidRPr="00586582">
        <w:rPr>
          <w:rFonts w:ascii="Traditional Arabic" w:hAnsi="Traditional Arabic" w:cs="Traditional Arabic"/>
          <w:i/>
          <w:sz w:val="30"/>
          <w:szCs w:val="30"/>
        </w:rPr>
        <w:t>.</w:t>
      </w:r>
    </w:p>
    <w:p w14:paraId="46C6915B" w14:textId="77777777" w:rsidR="00A263F6" w:rsidRPr="00586582" w:rsidRDefault="00A263F6" w:rsidP="00A263F6">
      <w:pPr>
        <w:bidi/>
        <w:jc w:val="both"/>
        <w:rPr>
          <w:rFonts w:ascii="Traditional Arabic" w:hAnsi="Traditional Arabic" w:cs="Traditional Arabic"/>
          <w:i/>
          <w:sz w:val="30"/>
          <w:szCs w:val="30"/>
          <w:rtl/>
        </w:rPr>
      </w:pPr>
    </w:p>
    <w:p w14:paraId="4AC3324A" w14:textId="77777777" w:rsidR="00A263F6" w:rsidRPr="00B934CE" w:rsidRDefault="00A263F6" w:rsidP="00985281">
      <w:pPr>
        <w:bidi/>
        <w:jc w:val="both"/>
        <w:rPr>
          <w:rFonts w:ascii="Traditional Arabic" w:hAnsi="Traditional Arabic" w:cs="Traditional Arabic"/>
          <w:b/>
          <w:bCs/>
          <w:iCs/>
          <w:sz w:val="30"/>
          <w:szCs w:val="30"/>
          <w:rtl/>
        </w:rPr>
      </w:pPr>
      <w:r w:rsidRPr="00B934CE">
        <w:rPr>
          <w:rFonts w:ascii="Traditional Arabic" w:hAnsi="Traditional Arabic" w:cs="Traditional Arabic"/>
          <w:b/>
          <w:bCs/>
          <w:iCs/>
          <w:sz w:val="30"/>
          <w:szCs w:val="30"/>
          <w:rtl/>
        </w:rPr>
        <w:t>الإيرادات</w:t>
      </w:r>
    </w:p>
    <w:p w14:paraId="3D6D1FBE" w14:textId="77777777" w:rsidR="00A263F6" w:rsidRPr="00586582" w:rsidRDefault="00A263F6" w:rsidP="00985281">
      <w:pPr>
        <w:bidi/>
        <w:jc w:val="both"/>
        <w:rPr>
          <w:rFonts w:ascii="Traditional Arabic" w:hAnsi="Traditional Arabic" w:cs="Traditional Arabic"/>
          <w:i/>
          <w:sz w:val="30"/>
          <w:szCs w:val="30"/>
          <w:rtl/>
        </w:rPr>
      </w:pPr>
      <w:r w:rsidRPr="00586582">
        <w:rPr>
          <w:rFonts w:ascii="Traditional Arabic" w:hAnsi="Traditional Arabic" w:cs="Traditional Arabic"/>
          <w:i/>
          <w:sz w:val="30"/>
          <w:szCs w:val="30"/>
          <w:rtl/>
        </w:rPr>
        <w:t xml:space="preserve">في عام 2024، كان هدف الشركة زيادة إيراداتها بأرقام أحادية منخفضة، مدفوعة بتأجير سفن إضافية ويقابلها جزئيًا بيع ثلاث ناقلات من ناقلات النفط الخام العملاقة. ومن المتوقع في عام 2025 أن </w:t>
      </w:r>
      <w:r w:rsidR="00BC4F34">
        <w:rPr>
          <w:rFonts w:ascii="Traditional Arabic" w:hAnsi="Traditional Arabic" w:cs="Traditional Arabic" w:hint="cs"/>
          <w:i/>
          <w:sz w:val="30"/>
          <w:szCs w:val="30"/>
          <w:rtl/>
        </w:rPr>
        <w:t>ت</w:t>
      </w:r>
      <w:r w:rsidRPr="00586582">
        <w:rPr>
          <w:rFonts w:ascii="Traditional Arabic" w:hAnsi="Traditional Arabic" w:cs="Traditional Arabic"/>
          <w:i/>
          <w:sz w:val="30"/>
          <w:szCs w:val="30"/>
          <w:rtl/>
        </w:rPr>
        <w:t xml:space="preserve">ظل الإيرادات متماشيًا على نطاق واسع مع إيرادات عام 2024 بسبب الظروف الأقل ملاءمة لبعض القطاعات وانتهاء بعض العقود المربحة. وتستهدف الشركة في عام 2026 أن </w:t>
      </w:r>
      <w:r w:rsidR="00BC4F34">
        <w:rPr>
          <w:rFonts w:ascii="Traditional Arabic" w:hAnsi="Traditional Arabic" w:cs="Traditional Arabic" w:hint="cs"/>
          <w:i/>
          <w:sz w:val="30"/>
          <w:szCs w:val="30"/>
          <w:rtl/>
        </w:rPr>
        <w:t>ت</w:t>
      </w:r>
      <w:r w:rsidRPr="00586582">
        <w:rPr>
          <w:rFonts w:ascii="Traditional Arabic" w:hAnsi="Traditional Arabic" w:cs="Traditional Arabic"/>
          <w:i/>
          <w:sz w:val="30"/>
          <w:szCs w:val="30"/>
          <w:rtl/>
        </w:rPr>
        <w:t xml:space="preserve">نمو الإيرادات في منتصف نطاق الأرقام المزدوجة، مدفوعًا بالسفن الجديدة التي تبدأ عملياتها بأسعار تنافسية. كما </w:t>
      </w:r>
      <w:r w:rsidRPr="00586582">
        <w:rPr>
          <w:rFonts w:ascii="Traditional Arabic" w:hAnsi="Traditional Arabic" w:cs="Traditional Arabic"/>
          <w:i/>
          <w:sz w:val="30"/>
          <w:szCs w:val="30"/>
          <w:rtl/>
        </w:rPr>
        <w:lastRenderedPageBreak/>
        <w:t xml:space="preserve">تستهدف الشركة نموً بمعدل رقم أحادي من متوسط إلى مرتفع على المدى المتوسط. لا تغفل إرشادات الشركة </w:t>
      </w:r>
      <w:r w:rsidR="009E7342">
        <w:rPr>
          <w:rFonts w:ascii="Traditional Arabic" w:hAnsi="Traditional Arabic" w:cs="Traditional Arabic" w:hint="cs"/>
          <w:i/>
          <w:sz w:val="30"/>
          <w:szCs w:val="30"/>
          <w:rtl/>
        </w:rPr>
        <w:t>ل</w:t>
      </w:r>
      <w:r w:rsidRPr="00586582">
        <w:rPr>
          <w:rFonts w:ascii="Traditional Arabic" w:hAnsi="Traditional Arabic" w:cs="Traditional Arabic"/>
          <w:i/>
          <w:sz w:val="30"/>
          <w:szCs w:val="30"/>
          <w:rtl/>
        </w:rPr>
        <w:t>إيراداتها التحركات المتوقعة لمعدلات التأجير بما يتماشى مع توقعات السوق والدورات في القطاع</w:t>
      </w:r>
      <w:r w:rsidRPr="00586582">
        <w:rPr>
          <w:rFonts w:ascii="Traditional Arabic" w:hAnsi="Traditional Arabic" w:cs="Traditional Arabic"/>
          <w:i/>
          <w:sz w:val="30"/>
          <w:szCs w:val="30"/>
        </w:rPr>
        <w:t>.</w:t>
      </w:r>
    </w:p>
    <w:p w14:paraId="1E679437" w14:textId="77777777" w:rsidR="00A263F6" w:rsidRPr="00586582" w:rsidRDefault="00A263F6" w:rsidP="00A263F6">
      <w:pPr>
        <w:bidi/>
        <w:jc w:val="both"/>
        <w:rPr>
          <w:rFonts w:ascii="Traditional Arabic" w:hAnsi="Traditional Arabic" w:cs="Traditional Arabic"/>
          <w:i/>
          <w:sz w:val="30"/>
          <w:szCs w:val="30"/>
          <w:rtl/>
        </w:rPr>
      </w:pPr>
    </w:p>
    <w:p w14:paraId="06ADD3CE" w14:textId="77777777" w:rsidR="00A263F6" w:rsidRPr="00B934CE" w:rsidRDefault="00A263F6" w:rsidP="00985281">
      <w:pPr>
        <w:bidi/>
        <w:jc w:val="both"/>
        <w:rPr>
          <w:rFonts w:ascii="Traditional Arabic" w:hAnsi="Traditional Arabic" w:cs="Traditional Arabic"/>
          <w:b/>
          <w:bCs/>
          <w:iCs/>
          <w:sz w:val="30"/>
          <w:szCs w:val="30"/>
          <w:rtl/>
        </w:rPr>
      </w:pPr>
      <w:r w:rsidRPr="00B934CE">
        <w:rPr>
          <w:rFonts w:ascii="Traditional Arabic" w:hAnsi="Traditional Arabic" w:cs="Traditional Arabic"/>
          <w:b/>
          <w:bCs/>
          <w:iCs/>
          <w:sz w:val="30"/>
          <w:szCs w:val="30"/>
          <w:rtl/>
        </w:rPr>
        <w:t>هامش الأرباح قبل حساب الفوائد والضرائب والإهلاك والإطفاء</w:t>
      </w:r>
    </w:p>
    <w:p w14:paraId="55A346CC" w14:textId="77777777" w:rsidR="00A263F6" w:rsidRPr="00586582" w:rsidRDefault="00A263F6" w:rsidP="00985281">
      <w:pPr>
        <w:bidi/>
        <w:jc w:val="both"/>
        <w:rPr>
          <w:rFonts w:ascii="Traditional Arabic" w:hAnsi="Traditional Arabic" w:cs="Traditional Arabic"/>
          <w:i/>
          <w:sz w:val="30"/>
          <w:szCs w:val="30"/>
          <w:rtl/>
        </w:rPr>
      </w:pPr>
      <w:r w:rsidRPr="00586582">
        <w:rPr>
          <w:rFonts w:ascii="Traditional Arabic" w:hAnsi="Traditional Arabic" w:cs="Traditional Arabic"/>
          <w:i/>
          <w:sz w:val="30"/>
          <w:szCs w:val="30"/>
          <w:rtl/>
        </w:rPr>
        <w:t>وتتوقع الشركة أن يكون هامش الأرباح قبل حساب الفوائد والضرائب والإهلاك والإطفاء</w:t>
      </w:r>
      <w:r w:rsidR="004178F9">
        <w:rPr>
          <w:rFonts w:ascii="Traditional Arabic" w:hAnsi="Traditional Arabic" w:cs="Traditional Arabic"/>
          <w:i/>
          <w:sz w:val="30"/>
          <w:szCs w:val="30"/>
          <w:vertAlign w:val="superscript"/>
          <w:lang w:val="en-GB"/>
        </w:rPr>
        <w:t>4</w:t>
      </w:r>
      <w:r w:rsidRPr="00586582">
        <w:rPr>
          <w:rFonts w:ascii="Traditional Arabic" w:hAnsi="Traditional Arabic" w:cs="Traditional Arabic"/>
          <w:i/>
          <w:sz w:val="30"/>
          <w:szCs w:val="30"/>
          <w:rtl/>
        </w:rPr>
        <w:t xml:space="preserve"> في النطاق الأعلى من الخمسينات وذلك في عامي 2024 و 2025 وأن ينخفض بعد ذلك من منتصف الخمسينات في عام 2026 إلى أكثر من 50 في المائة على المدى المتوسط بسبب انتهاء العقود المربحة</w:t>
      </w:r>
      <w:r w:rsidRPr="00586582">
        <w:rPr>
          <w:rFonts w:ascii="Traditional Arabic" w:hAnsi="Traditional Arabic" w:cs="Traditional Arabic"/>
          <w:i/>
          <w:sz w:val="30"/>
          <w:szCs w:val="30"/>
        </w:rPr>
        <w:t>.</w:t>
      </w:r>
    </w:p>
    <w:p w14:paraId="73DFEC74" w14:textId="77777777" w:rsidR="00A263F6" w:rsidRPr="00586582" w:rsidRDefault="00A263F6" w:rsidP="00A263F6">
      <w:pPr>
        <w:bidi/>
        <w:jc w:val="both"/>
        <w:rPr>
          <w:rFonts w:ascii="Traditional Arabic" w:hAnsi="Traditional Arabic" w:cs="Traditional Arabic"/>
          <w:i/>
          <w:sz w:val="30"/>
          <w:szCs w:val="30"/>
          <w:rtl/>
        </w:rPr>
      </w:pPr>
    </w:p>
    <w:p w14:paraId="707F1101" w14:textId="77777777" w:rsidR="00A263F6" w:rsidRPr="00B934CE" w:rsidRDefault="00A263F6" w:rsidP="00985281">
      <w:pPr>
        <w:bidi/>
        <w:jc w:val="both"/>
        <w:rPr>
          <w:rFonts w:ascii="Traditional Arabic" w:hAnsi="Traditional Arabic" w:cs="Traditional Arabic"/>
          <w:b/>
          <w:bCs/>
          <w:iCs/>
          <w:sz w:val="30"/>
          <w:szCs w:val="30"/>
          <w:rtl/>
        </w:rPr>
      </w:pPr>
      <w:r w:rsidRPr="00B934CE">
        <w:rPr>
          <w:rFonts w:ascii="Traditional Arabic" w:hAnsi="Traditional Arabic" w:cs="Traditional Arabic"/>
          <w:b/>
          <w:bCs/>
          <w:iCs/>
          <w:sz w:val="30"/>
          <w:szCs w:val="30"/>
          <w:rtl/>
        </w:rPr>
        <w:t>صافي هامش الدخل</w:t>
      </w:r>
    </w:p>
    <w:p w14:paraId="55BC3EBC" w14:textId="77777777" w:rsidR="00A263F6" w:rsidRPr="00586582" w:rsidRDefault="00A263F6" w:rsidP="00985281">
      <w:pPr>
        <w:bidi/>
        <w:jc w:val="both"/>
        <w:rPr>
          <w:rFonts w:ascii="Traditional Arabic" w:hAnsi="Traditional Arabic" w:cs="Traditional Arabic"/>
          <w:i/>
          <w:sz w:val="30"/>
          <w:szCs w:val="30"/>
          <w:rtl/>
        </w:rPr>
      </w:pPr>
      <w:r w:rsidRPr="00586582">
        <w:rPr>
          <w:rFonts w:ascii="Traditional Arabic" w:hAnsi="Traditional Arabic" w:cs="Traditional Arabic"/>
          <w:i/>
          <w:sz w:val="30"/>
          <w:szCs w:val="30"/>
          <w:rtl/>
        </w:rPr>
        <w:t>تهدف الشركة إلى أن يصل هامش صافي دخلها إلى ما بين 13% و17% في عام 2024، وأن ينمو بأرقام أحادية بنطاق عالي في عام 2025 ثم بأرقام أحادية بنطاق منخفض إلى متوسط في عام 2026 وعلى المدى المتوسط</w:t>
      </w:r>
      <w:r w:rsidRPr="00586582">
        <w:rPr>
          <w:rFonts w:ascii="Traditional Arabic" w:hAnsi="Traditional Arabic" w:cs="Traditional Arabic"/>
          <w:i/>
          <w:sz w:val="30"/>
          <w:szCs w:val="30"/>
        </w:rPr>
        <w:t>.</w:t>
      </w:r>
    </w:p>
    <w:p w14:paraId="31BF9760" w14:textId="77777777" w:rsidR="00A263F6" w:rsidRPr="00586582" w:rsidRDefault="00A263F6" w:rsidP="00A263F6">
      <w:pPr>
        <w:bidi/>
        <w:jc w:val="both"/>
        <w:rPr>
          <w:rFonts w:ascii="Traditional Arabic" w:hAnsi="Traditional Arabic" w:cs="Traditional Arabic"/>
          <w:i/>
          <w:sz w:val="30"/>
          <w:szCs w:val="30"/>
          <w:rtl/>
        </w:rPr>
      </w:pPr>
    </w:p>
    <w:p w14:paraId="1E1F18FD" w14:textId="77777777" w:rsidR="00A263F6" w:rsidRPr="00B934CE" w:rsidRDefault="00A263F6" w:rsidP="00985281">
      <w:pPr>
        <w:bidi/>
        <w:jc w:val="both"/>
        <w:rPr>
          <w:rFonts w:ascii="Traditional Arabic" w:hAnsi="Traditional Arabic" w:cs="Traditional Arabic"/>
          <w:b/>
          <w:bCs/>
          <w:iCs/>
          <w:sz w:val="30"/>
          <w:szCs w:val="30"/>
          <w:rtl/>
        </w:rPr>
      </w:pPr>
      <w:r w:rsidRPr="00B934CE">
        <w:rPr>
          <w:rFonts w:ascii="Traditional Arabic" w:hAnsi="Traditional Arabic" w:cs="Traditional Arabic"/>
          <w:b/>
          <w:bCs/>
          <w:iCs/>
          <w:sz w:val="30"/>
          <w:szCs w:val="30"/>
          <w:rtl/>
        </w:rPr>
        <w:t>النفقات الرأسمالية / بيع الاستثمارات</w:t>
      </w:r>
    </w:p>
    <w:p w14:paraId="2A0E76F5" w14:textId="77777777" w:rsidR="00A263F6" w:rsidRPr="00586582" w:rsidRDefault="00A263F6" w:rsidP="00985281">
      <w:pPr>
        <w:bidi/>
        <w:jc w:val="both"/>
        <w:rPr>
          <w:rFonts w:ascii="Traditional Arabic" w:hAnsi="Traditional Arabic" w:cs="Traditional Arabic"/>
          <w:i/>
          <w:sz w:val="30"/>
          <w:szCs w:val="30"/>
          <w:rtl/>
        </w:rPr>
      </w:pPr>
      <w:r w:rsidRPr="00586582">
        <w:rPr>
          <w:rFonts w:ascii="Traditional Arabic" w:hAnsi="Traditional Arabic" w:cs="Traditional Arabic"/>
          <w:i/>
          <w:sz w:val="30"/>
          <w:szCs w:val="30"/>
          <w:rtl/>
        </w:rPr>
        <w:t xml:space="preserve">تستهدف الشركة معدل عائد داخلي مرتفع من رقم واحد لمشاريعها، حيث من المتوقع أن تتجاوز المشاريع داخل قطاع شحن الغاز معدل العائد الداخلي المذكور، ومن المتوقع أيضا أن تكون المشاريع داخل قطاع </w:t>
      </w:r>
      <w:r w:rsidR="00607B02">
        <w:rPr>
          <w:rFonts w:ascii="Traditional Arabic" w:hAnsi="Traditional Arabic" w:cs="Traditional Arabic"/>
          <w:i/>
          <w:sz w:val="30"/>
          <w:szCs w:val="30"/>
          <w:rtl/>
        </w:rPr>
        <w:t>نقل</w:t>
      </w:r>
      <w:r w:rsidRPr="00586582">
        <w:rPr>
          <w:rFonts w:ascii="Traditional Arabic" w:hAnsi="Traditional Arabic" w:cs="Traditional Arabic"/>
          <w:i/>
          <w:sz w:val="30"/>
          <w:szCs w:val="30"/>
          <w:rtl/>
        </w:rPr>
        <w:t xml:space="preserve"> البضائع السائبة الجافة أقل بشكل طفيف من معدل العائد الداخلي المذكور. ومن المتوقع أن يتراوح الإنفاق الرأسمالي للنمو بين 70 مليون دولار أمريكي و 80 مليون دولار أمريكي في عام 2024 وحوالي 2.3 مليار دولار أمريكي و 2.7 مليار دولار أمريكي للفترة من عام 2025 إلى عام 2029، مع الالتزام بالفعل بمبلغ 0.9 مليار دولار أمريكي</w:t>
      </w:r>
      <w:r w:rsidRPr="00586582">
        <w:rPr>
          <w:rFonts w:ascii="Traditional Arabic" w:hAnsi="Traditional Arabic" w:cs="Traditional Arabic"/>
          <w:i/>
          <w:sz w:val="30"/>
          <w:szCs w:val="30"/>
        </w:rPr>
        <w:t xml:space="preserve">. </w:t>
      </w:r>
    </w:p>
    <w:p w14:paraId="07F64EB4" w14:textId="77777777" w:rsidR="00A263F6" w:rsidRPr="00586582" w:rsidRDefault="00A263F6" w:rsidP="00A263F6">
      <w:pPr>
        <w:bidi/>
        <w:jc w:val="both"/>
        <w:rPr>
          <w:rFonts w:ascii="Traditional Arabic" w:hAnsi="Traditional Arabic" w:cs="Traditional Arabic"/>
          <w:i/>
          <w:sz w:val="30"/>
          <w:szCs w:val="30"/>
          <w:rtl/>
        </w:rPr>
      </w:pPr>
    </w:p>
    <w:p w14:paraId="0F35FDA0" w14:textId="77777777" w:rsidR="002B60A5" w:rsidRDefault="00887E9C" w:rsidP="002B60A5">
      <w:pPr>
        <w:bidi/>
        <w:jc w:val="both"/>
        <w:rPr>
          <w:rFonts w:ascii="Traditional Arabic" w:hAnsi="Traditional Arabic" w:cs="Traditional Arabic"/>
          <w:i/>
          <w:sz w:val="30"/>
          <w:szCs w:val="30"/>
          <w:rtl/>
        </w:rPr>
      </w:pPr>
      <w:r w:rsidRPr="00586582">
        <w:rPr>
          <w:rFonts w:ascii="Traditional Arabic" w:hAnsi="Traditional Arabic" w:cs="Traditional Arabic"/>
          <w:i/>
          <w:sz w:val="30"/>
          <w:szCs w:val="30"/>
          <w:rtl/>
        </w:rPr>
        <w:t>ومن المتوقع بيع ناقلتين من ناقلات النفط العملاقة وسفينة واحدة للغاز الطبيعي المسال (ما يعادل 10 إلى 20 في المائة من نفقات النمو الرأسمالي) (مع إغلاق الشركات المالكة للسفن) في عام 2026 ؛ ومن المتوقع بيع أربع سفن للغاز الطبيعي المسال وناقلة من ناقلات النفط العملاقة وثلاث ناقلات للمنتجات (ما يعادل حوالي 40 في المائة من نفقات النمو الرأسمالي) (مع إغلاق الشركات المالكة للسفن) في عام 2027،</w:t>
      </w:r>
      <w:r w:rsidR="002B60A5" w:rsidRPr="002B60A5">
        <w:rPr>
          <w:rFonts w:ascii="Traditional Arabic" w:hAnsi="Traditional Arabic" w:cs="Traditional Arabic"/>
          <w:i/>
          <w:sz w:val="30"/>
          <w:szCs w:val="30"/>
          <w:rtl/>
        </w:rPr>
        <w:t xml:space="preserve"> </w:t>
      </w:r>
      <w:r w:rsidR="002B60A5" w:rsidRPr="00586582">
        <w:rPr>
          <w:rFonts w:ascii="Traditional Arabic" w:hAnsi="Traditional Arabic" w:cs="Traditional Arabic"/>
          <w:i/>
          <w:sz w:val="30"/>
          <w:szCs w:val="30"/>
          <w:rtl/>
        </w:rPr>
        <w:t xml:space="preserve">ومن المتوقع بيع ناقلة من ناقلات النفط العملاقة (ما يعادل 10 إلى 20 في </w:t>
      </w:r>
    </w:p>
    <w:p w14:paraId="254F9960" w14:textId="77777777" w:rsidR="002B60A5" w:rsidRDefault="002B60A5" w:rsidP="002B60A5">
      <w:pPr>
        <w:bidi/>
        <w:jc w:val="both"/>
        <w:rPr>
          <w:rFonts w:ascii="Traditional Arabic" w:hAnsi="Traditional Arabic" w:cs="Traditional Arabic"/>
          <w:i/>
          <w:sz w:val="30"/>
          <w:szCs w:val="30"/>
        </w:rPr>
      </w:pPr>
      <w:r>
        <w:rPr>
          <w:rFonts w:ascii="Traditional Arabic" w:hAnsi="Traditional Arabic" w:cs="Traditional Arabic"/>
          <w:i/>
          <w:sz w:val="30"/>
          <w:szCs w:val="30"/>
        </w:rPr>
        <w:t>__________</w:t>
      </w:r>
    </w:p>
    <w:p w14:paraId="79BBBED4" w14:textId="77777777" w:rsidR="002B60A5" w:rsidRDefault="002B60A5" w:rsidP="002B60A5">
      <w:pPr>
        <w:bidi/>
        <w:jc w:val="both"/>
        <w:rPr>
          <w:rFonts w:ascii="Traditional Arabic" w:hAnsi="Traditional Arabic" w:cs="Traditional Arabic"/>
          <w:i/>
          <w:sz w:val="30"/>
          <w:szCs w:val="30"/>
          <w:rtl/>
        </w:rPr>
      </w:pPr>
      <w:r w:rsidRPr="00D925C8">
        <w:rPr>
          <w:rFonts w:ascii="Traditional Arabic" w:hAnsi="Traditional Arabic" w:cs="Traditional Arabic"/>
          <w:i/>
          <w:sz w:val="24"/>
          <w:vertAlign w:val="superscript"/>
          <w:lang w:val="en-GB"/>
        </w:rPr>
        <w:t>(4)</w:t>
      </w:r>
      <w:r w:rsidRPr="00D925C8">
        <w:rPr>
          <w:rFonts w:ascii="Traditional Arabic" w:hAnsi="Traditional Arabic" w:cs="Traditional Arabic" w:hint="cs"/>
          <w:i/>
          <w:sz w:val="24"/>
          <w:rtl/>
        </w:rPr>
        <w:t xml:space="preserve"> للاطلاع على آلية احتساب </w:t>
      </w:r>
      <w:r w:rsidRPr="00D925C8">
        <w:rPr>
          <w:rFonts w:ascii="Traditional Arabic" w:hAnsi="Traditional Arabic" w:cs="Traditional Arabic"/>
          <w:i/>
          <w:sz w:val="24"/>
          <w:rtl/>
        </w:rPr>
        <w:t>هامش الأرباح قبل حساب الفوائد والضرائب والإهلاك والإطفاء</w:t>
      </w:r>
      <w:r w:rsidRPr="00D925C8">
        <w:rPr>
          <w:rFonts w:ascii="Traditional Arabic" w:hAnsi="Traditional Arabic" w:cs="Traditional Arabic" w:hint="cs"/>
          <w:i/>
          <w:sz w:val="24"/>
          <w:rtl/>
        </w:rPr>
        <w:t xml:space="preserve"> الرجاء الرجوع الى "</w:t>
      </w:r>
      <w:r w:rsidRPr="00D925C8">
        <w:rPr>
          <w:rFonts w:ascii="Traditional Arabic" w:hAnsi="Traditional Arabic" w:cs="Traditional Arabic"/>
          <w:i/>
          <w:sz w:val="24"/>
        </w:rPr>
        <w:t xml:space="preserve"> </w:t>
      </w:r>
      <w:r w:rsidRPr="00D925C8">
        <w:rPr>
          <w:rFonts w:ascii="Traditional Arabic" w:hAnsi="Traditional Arabic" w:cs="Traditional Arabic"/>
          <w:b/>
          <w:i/>
          <w:iCs/>
          <w:sz w:val="24"/>
          <w:rtl/>
        </w:rPr>
        <w:t>عرض البيانات المالية وبيانات القطاع والسوق</w:t>
      </w:r>
      <w:r w:rsidRPr="00D925C8">
        <w:rPr>
          <w:rFonts w:ascii="Traditional Arabic" w:hAnsi="Traditional Arabic" w:cs="Traditional Arabic" w:hint="cs"/>
          <w:b/>
          <w:i/>
          <w:iCs/>
          <w:sz w:val="24"/>
          <w:rtl/>
        </w:rPr>
        <w:t xml:space="preserve">- </w:t>
      </w:r>
      <w:r w:rsidRPr="00D925C8">
        <w:rPr>
          <w:rFonts w:ascii="Traditional Arabic" w:hAnsi="Traditional Arabic" w:cs="Traditional Arabic"/>
          <w:b/>
          <w:i/>
          <w:iCs/>
          <w:sz w:val="24"/>
          <w:rtl/>
        </w:rPr>
        <w:t>معلومات غير متصلة بالمعايير الدولية لإعداد التقارير المالية وبعض البيانات التشغيلية</w:t>
      </w:r>
      <w:r w:rsidR="000225E9" w:rsidRPr="00D925C8">
        <w:rPr>
          <w:rFonts w:ascii="Traditional Arabic" w:hAnsi="Traditional Arabic" w:cs="Traditional Arabic" w:hint="cs"/>
          <w:b/>
          <w:i/>
          <w:iCs/>
          <w:sz w:val="24"/>
          <w:rtl/>
        </w:rPr>
        <w:t>"</w:t>
      </w:r>
      <w:r w:rsidRPr="00D925C8">
        <w:rPr>
          <w:rFonts w:ascii="Traditional Arabic" w:hAnsi="Traditional Arabic" w:cs="Traditional Arabic" w:hint="cs"/>
          <w:b/>
          <w:i/>
          <w:iCs/>
          <w:sz w:val="24"/>
          <w:rtl/>
        </w:rPr>
        <w:t xml:space="preserve"> كذلك" </w:t>
      </w:r>
      <w:r w:rsidRPr="00D925C8">
        <w:rPr>
          <w:rFonts w:ascii="Traditional Arabic" w:hAnsi="Traditional Arabic" w:cs="Traditional Arabic"/>
          <w:b/>
          <w:i/>
          <w:iCs/>
          <w:sz w:val="24"/>
          <w:rtl/>
        </w:rPr>
        <w:t xml:space="preserve">الفصل الثالث عشر – </w:t>
      </w:r>
      <w:r w:rsidRPr="00D925C8">
        <w:rPr>
          <w:rFonts w:ascii="Traditional Arabic" w:hAnsi="Traditional Arabic" w:cs="Traditional Arabic" w:hint="eastAsia"/>
          <w:b/>
          <w:i/>
          <w:iCs/>
          <w:sz w:val="24"/>
          <w:rtl/>
        </w:rPr>
        <w:t>بيانات</w:t>
      </w:r>
      <w:r w:rsidRPr="00D925C8">
        <w:rPr>
          <w:rFonts w:ascii="Traditional Arabic" w:hAnsi="Traditional Arabic" w:cs="Traditional Arabic"/>
          <w:b/>
          <w:i/>
          <w:iCs/>
          <w:sz w:val="24"/>
          <w:rtl/>
        </w:rPr>
        <w:t xml:space="preserve"> مالية وتشغيلية تاريخية مختارة وغيرها من المعلومات – بيانات مالية وتشغيلية أخرى</w:t>
      </w:r>
      <w:r w:rsidR="000225E9">
        <w:rPr>
          <w:rFonts w:ascii="Traditional Arabic" w:hAnsi="Traditional Arabic" w:cs="Traditional Arabic" w:hint="cs"/>
          <w:b/>
          <w:i/>
          <w:iCs/>
          <w:sz w:val="30"/>
          <w:szCs w:val="30"/>
          <w:rtl/>
        </w:rPr>
        <w:t>"</w:t>
      </w:r>
    </w:p>
    <w:p w14:paraId="3294CBBE" w14:textId="77777777" w:rsidR="002B60A5" w:rsidRDefault="002B60A5" w:rsidP="002B60A5">
      <w:pPr>
        <w:bidi/>
        <w:jc w:val="both"/>
        <w:rPr>
          <w:rFonts w:ascii="Traditional Arabic" w:hAnsi="Traditional Arabic" w:cs="Traditional Arabic"/>
          <w:i/>
          <w:sz w:val="30"/>
          <w:szCs w:val="30"/>
          <w:rtl/>
        </w:rPr>
      </w:pPr>
    </w:p>
    <w:p w14:paraId="11591443" w14:textId="77777777" w:rsidR="004178F9" w:rsidRPr="00D925C8" w:rsidRDefault="000225E9" w:rsidP="004178F9">
      <w:pPr>
        <w:bidi/>
        <w:jc w:val="both"/>
        <w:rPr>
          <w:rFonts w:ascii="Traditional Arabic" w:hAnsi="Traditional Arabic" w:cs="Traditional Arabic"/>
          <w:i/>
          <w:sz w:val="30"/>
          <w:szCs w:val="30"/>
          <w:vertAlign w:val="superscript"/>
          <w:rtl/>
          <w:lang w:val="en-GB" w:bidi="ar-EG"/>
        </w:rPr>
      </w:pPr>
      <w:r w:rsidRPr="00586582">
        <w:rPr>
          <w:rFonts w:ascii="Traditional Arabic" w:hAnsi="Traditional Arabic" w:cs="Traditional Arabic"/>
          <w:i/>
          <w:sz w:val="30"/>
          <w:szCs w:val="30"/>
          <w:rtl/>
        </w:rPr>
        <w:lastRenderedPageBreak/>
        <w:t>المائة من نفقات النمو الرأسمالي)</w:t>
      </w:r>
      <w:r w:rsidR="00887E9C" w:rsidRPr="00586582">
        <w:rPr>
          <w:rFonts w:ascii="Traditional Arabic" w:hAnsi="Traditional Arabic" w:cs="Traditional Arabic"/>
          <w:i/>
          <w:sz w:val="30"/>
          <w:szCs w:val="30"/>
          <w:rtl/>
        </w:rPr>
        <w:t xml:space="preserve"> (مع إغلاق الشركة المالكة للسفن) في عام 2028.</w:t>
      </w:r>
      <w:r w:rsidR="00236609" w:rsidRPr="00236609">
        <w:rPr>
          <w:rtl/>
        </w:rPr>
        <w:t xml:space="preserve"> </w:t>
      </w:r>
      <w:r w:rsidR="00236609" w:rsidRPr="00236609">
        <w:rPr>
          <w:rFonts w:ascii="Traditional Arabic" w:hAnsi="Traditional Arabic" w:cs="Traditional Arabic"/>
          <w:i/>
          <w:sz w:val="30"/>
          <w:szCs w:val="30"/>
          <w:rtl/>
        </w:rPr>
        <w:t xml:space="preserve">ومن المتوقع أن </w:t>
      </w:r>
      <w:r w:rsidR="00236609">
        <w:rPr>
          <w:rFonts w:ascii="Traditional Arabic" w:hAnsi="Traditional Arabic" w:cs="Traditional Arabic" w:hint="cs"/>
          <w:i/>
          <w:sz w:val="30"/>
          <w:szCs w:val="30"/>
          <w:rtl/>
        </w:rPr>
        <w:t>ت</w:t>
      </w:r>
      <w:r w:rsidR="00236609" w:rsidRPr="00236609">
        <w:rPr>
          <w:rFonts w:ascii="Traditional Arabic" w:hAnsi="Traditional Arabic" w:cs="Traditional Arabic"/>
          <w:i/>
          <w:sz w:val="30"/>
          <w:szCs w:val="30"/>
          <w:rtl/>
        </w:rPr>
        <w:t xml:space="preserve">تراوح </w:t>
      </w:r>
      <w:r w:rsidR="00F46CE0">
        <w:rPr>
          <w:rFonts w:ascii="Traditional Arabic" w:hAnsi="Traditional Arabic" w:cs="Traditional Arabic" w:hint="cs"/>
          <w:i/>
          <w:sz w:val="30"/>
          <w:szCs w:val="30"/>
          <w:rtl/>
        </w:rPr>
        <w:t xml:space="preserve">صيانة </w:t>
      </w:r>
      <w:r w:rsidR="00236609">
        <w:rPr>
          <w:rFonts w:ascii="Traditional Arabic" w:hAnsi="Traditional Arabic" w:cs="Traditional Arabic" w:hint="cs"/>
          <w:i/>
          <w:sz w:val="30"/>
          <w:szCs w:val="30"/>
          <w:rtl/>
        </w:rPr>
        <w:t xml:space="preserve">النفقات الرأسمالية </w:t>
      </w:r>
      <w:r w:rsidR="00236609" w:rsidRPr="00236609">
        <w:rPr>
          <w:rFonts w:ascii="Traditional Arabic" w:hAnsi="Traditional Arabic" w:cs="Traditional Arabic"/>
          <w:i/>
          <w:sz w:val="30"/>
          <w:szCs w:val="30"/>
          <w:rtl/>
        </w:rPr>
        <w:t>بين 50 إلى 60 مليون دولار أميركي سنوياً في عامي 2025 و2026، وبين 30 إلى 40 مليون دولار أميركي سنوياً في الأمد المتوسط.</w:t>
      </w:r>
    </w:p>
    <w:p w14:paraId="216B18D2" w14:textId="77777777" w:rsidR="00A263F6" w:rsidRPr="00B934CE" w:rsidRDefault="00A263F6" w:rsidP="00985281">
      <w:pPr>
        <w:bidi/>
        <w:jc w:val="both"/>
        <w:rPr>
          <w:rFonts w:ascii="Traditional Arabic" w:hAnsi="Traditional Arabic" w:cs="Traditional Arabic"/>
          <w:b/>
          <w:bCs/>
          <w:iCs/>
          <w:sz w:val="30"/>
          <w:szCs w:val="30"/>
          <w:rtl/>
        </w:rPr>
      </w:pPr>
      <w:r w:rsidRPr="00B934CE">
        <w:rPr>
          <w:rFonts w:ascii="Traditional Arabic" w:hAnsi="Traditional Arabic" w:cs="Traditional Arabic"/>
          <w:b/>
          <w:bCs/>
          <w:iCs/>
          <w:sz w:val="30"/>
          <w:szCs w:val="30"/>
          <w:rtl/>
        </w:rPr>
        <w:t>هيكل رأس المال</w:t>
      </w:r>
      <w:r w:rsidRPr="00B934CE">
        <w:rPr>
          <w:rFonts w:ascii="Traditional Arabic" w:hAnsi="Traditional Arabic" w:cs="Traditional Arabic"/>
          <w:b/>
          <w:bCs/>
          <w:iCs/>
          <w:sz w:val="30"/>
          <w:szCs w:val="30"/>
        </w:rPr>
        <w:t xml:space="preserve"> </w:t>
      </w:r>
    </w:p>
    <w:p w14:paraId="24A3F8E6" w14:textId="77777777" w:rsidR="00A263F6" w:rsidRPr="00586582" w:rsidRDefault="00A263F6" w:rsidP="00985281">
      <w:pPr>
        <w:bidi/>
        <w:jc w:val="both"/>
        <w:rPr>
          <w:rFonts w:ascii="Traditional Arabic" w:hAnsi="Traditional Arabic" w:cs="Traditional Arabic"/>
          <w:i/>
          <w:sz w:val="30"/>
          <w:szCs w:val="30"/>
          <w:rtl/>
        </w:rPr>
      </w:pPr>
      <w:r w:rsidRPr="00586582">
        <w:rPr>
          <w:rFonts w:ascii="Traditional Arabic" w:hAnsi="Traditional Arabic" w:cs="Traditional Arabic"/>
          <w:i/>
          <w:sz w:val="30"/>
          <w:szCs w:val="30"/>
          <w:rtl/>
        </w:rPr>
        <w:t>تتوقع الشركة تمويل احتياجات نفقاتها الرأسمالية بديون تتراوح بين 70 و 80 في المائة، مع الأخذ في الاعتبار ديونها الحالية وعلى افتراض أن أي ديون جديدة يتم رفعها بستة أشهر من معدل التمويل المضمون للقروض لأجل بالدولار الأمريكي بالإضافة إلى 175 إلى 225 نقطة أساس. وتستهدف الشركة أن يكون صافي الرافعة المالية (بما في ذلك التزامات الإيجار) حوالي 2.5 ضعف الأرباح قبل حساب الفوائد والضرائب والإهلاك والإطفاء في عام 2025 وأقل من 3.5 ضعف من الأرباح قبل حساب الفوائد والضرائب والإهلاك والإطفاء على المدى المتوسط</w:t>
      </w:r>
      <w:r w:rsidRPr="00586582">
        <w:rPr>
          <w:rFonts w:ascii="Traditional Arabic" w:hAnsi="Traditional Arabic" w:cs="Traditional Arabic"/>
          <w:i/>
          <w:sz w:val="30"/>
          <w:szCs w:val="30"/>
        </w:rPr>
        <w:t>.</w:t>
      </w:r>
    </w:p>
    <w:p w14:paraId="41904368" w14:textId="77777777" w:rsidR="00A263F6" w:rsidRPr="00586582" w:rsidRDefault="00A263F6" w:rsidP="00A263F6">
      <w:pPr>
        <w:bidi/>
        <w:jc w:val="both"/>
        <w:rPr>
          <w:rFonts w:ascii="Traditional Arabic" w:hAnsi="Traditional Arabic" w:cs="Traditional Arabic"/>
          <w:i/>
          <w:sz w:val="30"/>
          <w:szCs w:val="30"/>
          <w:rtl/>
        </w:rPr>
      </w:pPr>
    </w:p>
    <w:p w14:paraId="5676BAEE" w14:textId="77777777" w:rsidR="00A263F6" w:rsidRPr="00B934CE" w:rsidRDefault="00A263F6" w:rsidP="00985281">
      <w:pPr>
        <w:bidi/>
        <w:jc w:val="both"/>
        <w:rPr>
          <w:rFonts w:ascii="Traditional Arabic" w:hAnsi="Traditional Arabic" w:cs="Traditional Arabic"/>
          <w:b/>
          <w:bCs/>
          <w:iCs/>
          <w:sz w:val="30"/>
          <w:szCs w:val="30"/>
          <w:rtl/>
        </w:rPr>
      </w:pPr>
      <w:r w:rsidRPr="00B934CE">
        <w:rPr>
          <w:rFonts w:ascii="Traditional Arabic" w:hAnsi="Traditional Arabic" w:cs="Traditional Arabic"/>
          <w:b/>
          <w:bCs/>
          <w:iCs/>
          <w:sz w:val="30"/>
          <w:szCs w:val="30"/>
          <w:rtl/>
        </w:rPr>
        <w:t>بيانات أخرى</w:t>
      </w:r>
    </w:p>
    <w:p w14:paraId="23EE279C" w14:textId="77777777" w:rsidR="00A263F6" w:rsidRPr="00586582" w:rsidRDefault="00A263F6" w:rsidP="00985281">
      <w:pPr>
        <w:bidi/>
        <w:jc w:val="both"/>
        <w:rPr>
          <w:rFonts w:ascii="Traditional Arabic" w:hAnsi="Traditional Arabic" w:cs="Traditional Arabic"/>
          <w:i/>
          <w:sz w:val="30"/>
          <w:szCs w:val="30"/>
          <w:rtl/>
        </w:rPr>
      </w:pPr>
      <w:r w:rsidRPr="00586582">
        <w:rPr>
          <w:rFonts w:ascii="Traditional Arabic" w:hAnsi="Traditional Arabic" w:cs="Traditional Arabic"/>
          <w:i/>
          <w:sz w:val="30"/>
          <w:szCs w:val="30"/>
          <w:rtl/>
        </w:rPr>
        <w:t>تتوقع الشركة أن ينخفض الإهلاك وإطفاء الدين كنسبة مئوية من الإيرادات بشكل مطرد من منتصف الثلاثينيات في عام 2025 إلى منتصف العشرينيات على المدى المتوسط</w:t>
      </w:r>
      <w:r w:rsidRPr="00586582">
        <w:rPr>
          <w:rFonts w:ascii="Traditional Arabic" w:hAnsi="Traditional Arabic" w:cs="Traditional Arabic"/>
          <w:i/>
          <w:sz w:val="30"/>
          <w:szCs w:val="30"/>
        </w:rPr>
        <w:t>.</w:t>
      </w:r>
    </w:p>
    <w:p w14:paraId="02725BC6" w14:textId="77777777" w:rsidR="00A263F6" w:rsidRPr="00586582" w:rsidRDefault="00A263F6" w:rsidP="00A263F6">
      <w:pPr>
        <w:bidi/>
        <w:jc w:val="both"/>
        <w:rPr>
          <w:rFonts w:ascii="Traditional Arabic" w:hAnsi="Traditional Arabic" w:cs="Traditional Arabic"/>
          <w:i/>
          <w:sz w:val="30"/>
          <w:szCs w:val="30"/>
          <w:rtl/>
        </w:rPr>
      </w:pPr>
    </w:p>
    <w:p w14:paraId="78377512" w14:textId="77777777" w:rsidR="00A263F6" w:rsidRPr="00586582" w:rsidRDefault="00A263F6" w:rsidP="00985281">
      <w:pPr>
        <w:bidi/>
        <w:jc w:val="both"/>
        <w:rPr>
          <w:rFonts w:ascii="Traditional Arabic" w:hAnsi="Traditional Arabic" w:cs="Traditional Arabic"/>
          <w:i/>
          <w:sz w:val="30"/>
          <w:szCs w:val="30"/>
          <w:rtl/>
        </w:rPr>
      </w:pPr>
      <w:r w:rsidRPr="00586582">
        <w:rPr>
          <w:rFonts w:ascii="Traditional Arabic" w:hAnsi="Traditional Arabic" w:cs="Traditional Arabic"/>
          <w:i/>
          <w:sz w:val="30"/>
          <w:szCs w:val="30"/>
          <w:rtl/>
        </w:rPr>
        <w:t>ومن المتوقع أن يكون معدل الضريبة الفعلي على الدخل الخاضع للضريبة 2في</w:t>
      </w:r>
      <w:r w:rsidR="00BE2909">
        <w:rPr>
          <w:rFonts w:ascii="Traditional Arabic" w:hAnsi="Traditional Arabic" w:cs="Traditional Arabic" w:hint="cs"/>
          <w:i/>
          <w:sz w:val="30"/>
          <w:szCs w:val="30"/>
          <w:rtl/>
        </w:rPr>
        <w:t xml:space="preserve"> </w:t>
      </w:r>
      <w:r w:rsidRPr="00586582">
        <w:rPr>
          <w:rFonts w:ascii="Traditional Arabic" w:hAnsi="Traditional Arabic" w:cs="Traditional Arabic"/>
          <w:i/>
          <w:sz w:val="30"/>
          <w:szCs w:val="30"/>
          <w:rtl/>
        </w:rPr>
        <w:t>المائة على المدى المتوسط</w:t>
      </w:r>
      <w:r w:rsidRPr="00586582">
        <w:rPr>
          <w:rFonts w:ascii="Traditional Arabic" w:hAnsi="Traditional Arabic" w:cs="Traditional Arabic"/>
          <w:i/>
          <w:sz w:val="30"/>
          <w:szCs w:val="30"/>
        </w:rPr>
        <w:t>.</w:t>
      </w:r>
    </w:p>
    <w:p w14:paraId="029331F3" w14:textId="77777777" w:rsidR="00A263F6" w:rsidRPr="00586582" w:rsidRDefault="00A263F6" w:rsidP="00A263F6">
      <w:pPr>
        <w:bidi/>
        <w:jc w:val="both"/>
        <w:rPr>
          <w:rFonts w:ascii="Traditional Arabic" w:hAnsi="Traditional Arabic" w:cs="Traditional Arabic"/>
          <w:i/>
          <w:sz w:val="30"/>
          <w:szCs w:val="30"/>
          <w:rtl/>
        </w:rPr>
      </w:pPr>
    </w:p>
    <w:p w14:paraId="63EFEBCD" w14:textId="77777777" w:rsidR="00A263F6" w:rsidRPr="00A263F6" w:rsidRDefault="00A263F6" w:rsidP="00985281">
      <w:pPr>
        <w:bidi/>
        <w:jc w:val="both"/>
        <w:rPr>
          <w:rFonts w:ascii="Traditional Arabic" w:hAnsi="Traditional Arabic" w:cs="Traditional Arabic"/>
          <w:i/>
          <w:sz w:val="30"/>
          <w:szCs w:val="30"/>
          <w:rtl/>
        </w:rPr>
      </w:pPr>
      <w:r w:rsidRPr="00A263F6">
        <w:rPr>
          <w:rFonts w:ascii="Traditional Arabic" w:hAnsi="Traditional Arabic" w:cs="Traditional Arabic"/>
          <w:i/>
          <w:sz w:val="30"/>
          <w:szCs w:val="30"/>
          <w:rtl/>
        </w:rPr>
        <w:t>ومن المتوقع أن ينخفض صافي رأس المال العامل كنسبة مئوية من الإيرادات بنسبة 1 في المائة في عامي 2024 و 2025، وأن يظل محايدًا في عام 2026 وأن يرتفع إلى حوالي 1.5 في المائة على المدى المتوسط</w:t>
      </w:r>
      <w:r w:rsidRPr="00A263F6">
        <w:rPr>
          <w:rFonts w:ascii="Traditional Arabic" w:hAnsi="Traditional Arabic" w:cs="Traditional Arabic"/>
          <w:i/>
          <w:sz w:val="30"/>
          <w:szCs w:val="30"/>
        </w:rPr>
        <w:t>.</w:t>
      </w:r>
    </w:p>
    <w:p w14:paraId="0635FDFB" w14:textId="77777777" w:rsidR="00A263F6" w:rsidRDefault="00A263F6" w:rsidP="00A263F6">
      <w:pPr>
        <w:bidi/>
        <w:jc w:val="both"/>
        <w:rPr>
          <w:rFonts w:ascii="Traditional Arabic" w:hAnsi="Traditional Arabic" w:cs="Traditional Arabic"/>
          <w:i/>
          <w:sz w:val="30"/>
          <w:szCs w:val="30"/>
          <w:rtl/>
        </w:rPr>
      </w:pPr>
    </w:p>
    <w:p w14:paraId="605D3CE1" w14:textId="77777777" w:rsidR="00A263F6" w:rsidRPr="00A263F6" w:rsidRDefault="00A263F6" w:rsidP="00985281">
      <w:pPr>
        <w:bidi/>
        <w:jc w:val="both"/>
        <w:rPr>
          <w:rFonts w:ascii="Traditional Arabic" w:hAnsi="Traditional Arabic" w:cs="Traditional Arabic"/>
          <w:i/>
          <w:sz w:val="30"/>
          <w:szCs w:val="30"/>
          <w:rtl/>
        </w:rPr>
      </w:pPr>
      <w:r w:rsidRPr="00A263F6">
        <w:rPr>
          <w:rFonts w:ascii="Traditional Arabic" w:hAnsi="Traditional Arabic" w:cs="Traditional Arabic"/>
          <w:i/>
          <w:sz w:val="30"/>
          <w:szCs w:val="30"/>
          <w:rtl/>
        </w:rPr>
        <w:t>ومن المتوقع أن تبلغ إيرادات الفوائد 4.5 في المائة على المدى القصير و 4 في المائة على المدى المتوسط</w:t>
      </w:r>
      <w:r w:rsidRPr="00A263F6">
        <w:rPr>
          <w:rFonts w:ascii="Traditional Arabic" w:hAnsi="Traditional Arabic" w:cs="Traditional Arabic"/>
          <w:i/>
          <w:sz w:val="30"/>
          <w:szCs w:val="30"/>
        </w:rPr>
        <w:t>.</w:t>
      </w:r>
    </w:p>
    <w:p w14:paraId="73F57481" w14:textId="77777777" w:rsidR="00A263F6" w:rsidRDefault="00A263F6" w:rsidP="00A263F6">
      <w:pPr>
        <w:bidi/>
        <w:jc w:val="both"/>
        <w:rPr>
          <w:rFonts w:ascii="Traditional Arabic" w:hAnsi="Traditional Arabic" w:cs="Traditional Arabic"/>
          <w:i/>
          <w:sz w:val="30"/>
          <w:szCs w:val="30"/>
          <w:rtl/>
        </w:rPr>
      </w:pPr>
    </w:p>
    <w:p w14:paraId="2A8360DE" w14:textId="77777777" w:rsidR="00A263F6" w:rsidRPr="00B934CE" w:rsidRDefault="00A263F6" w:rsidP="00985281">
      <w:pPr>
        <w:bidi/>
        <w:jc w:val="both"/>
        <w:rPr>
          <w:rFonts w:ascii="Traditional Arabic" w:hAnsi="Traditional Arabic" w:cs="Traditional Arabic"/>
          <w:b/>
          <w:bCs/>
          <w:iCs/>
          <w:sz w:val="30"/>
          <w:szCs w:val="30"/>
          <w:rtl/>
        </w:rPr>
      </w:pPr>
      <w:r w:rsidRPr="00B934CE">
        <w:rPr>
          <w:rFonts w:ascii="Traditional Arabic" w:hAnsi="Traditional Arabic" w:cs="Traditional Arabic"/>
          <w:b/>
          <w:bCs/>
          <w:iCs/>
          <w:sz w:val="30"/>
          <w:szCs w:val="30"/>
          <w:rtl/>
        </w:rPr>
        <w:t>سعر التأجير</w:t>
      </w:r>
      <w:r w:rsidRPr="00B934CE">
        <w:rPr>
          <w:rFonts w:ascii="Traditional Arabic" w:hAnsi="Traditional Arabic" w:cs="Traditional Arabic"/>
          <w:b/>
          <w:bCs/>
          <w:iCs/>
          <w:sz w:val="30"/>
          <w:szCs w:val="30"/>
        </w:rPr>
        <w:t xml:space="preserve"> </w:t>
      </w:r>
    </w:p>
    <w:p w14:paraId="0D27DCA0" w14:textId="77777777" w:rsidR="00A263F6" w:rsidRDefault="00A263F6" w:rsidP="00A17486">
      <w:pPr>
        <w:bidi/>
        <w:ind w:left="429" w:hanging="429"/>
        <w:jc w:val="both"/>
        <w:rPr>
          <w:rFonts w:ascii="Traditional Arabic" w:hAnsi="Traditional Arabic" w:cs="Traditional Arabic"/>
          <w:i/>
          <w:sz w:val="30"/>
          <w:szCs w:val="30"/>
          <w:rtl/>
        </w:rPr>
      </w:pPr>
      <w:r w:rsidRPr="00A263F6">
        <w:rPr>
          <w:rFonts w:ascii="Traditional Arabic" w:hAnsi="Traditional Arabic" w:cs="Traditional Arabic"/>
          <w:i/>
          <w:sz w:val="30"/>
          <w:szCs w:val="30"/>
        </w:rPr>
        <w:t>•</w:t>
      </w:r>
      <w:r w:rsidRPr="00A263F6">
        <w:rPr>
          <w:rFonts w:ascii="Traditional Arabic" w:hAnsi="Traditional Arabic" w:cs="Traditional Arabic"/>
          <w:i/>
          <w:sz w:val="30"/>
          <w:szCs w:val="30"/>
        </w:rPr>
        <w:tab/>
      </w:r>
      <w:r w:rsidR="00607B02">
        <w:rPr>
          <w:rFonts w:ascii="Traditional Arabic" w:hAnsi="Traditional Arabic" w:cs="Traditional Arabic"/>
          <w:iCs/>
          <w:sz w:val="30"/>
          <w:szCs w:val="30"/>
          <w:rtl/>
        </w:rPr>
        <w:t>نقل</w:t>
      </w:r>
      <w:r w:rsidRPr="00A17486">
        <w:rPr>
          <w:rFonts w:ascii="Traditional Arabic" w:hAnsi="Traditional Arabic" w:cs="Traditional Arabic"/>
          <w:iCs/>
          <w:sz w:val="30"/>
          <w:szCs w:val="30"/>
          <w:rtl/>
        </w:rPr>
        <w:t xml:space="preserve"> النفط الخام</w:t>
      </w:r>
      <w:r w:rsidRPr="00A263F6">
        <w:rPr>
          <w:rFonts w:ascii="Traditional Arabic" w:hAnsi="Traditional Arabic" w:cs="Traditional Arabic"/>
          <w:i/>
          <w:sz w:val="30"/>
          <w:szCs w:val="30"/>
          <w:rtl/>
        </w:rPr>
        <w:t xml:space="preserve">: تم بالفعل التعاقد على معظم سفن الشركة الحالية (مع بعض الاستثناءات القليلة) في قطاع </w:t>
      </w:r>
      <w:r w:rsidR="00607B02">
        <w:rPr>
          <w:rFonts w:ascii="Traditional Arabic" w:hAnsi="Traditional Arabic" w:cs="Traditional Arabic"/>
          <w:i/>
          <w:sz w:val="30"/>
          <w:szCs w:val="30"/>
          <w:rtl/>
        </w:rPr>
        <w:t>نقل</w:t>
      </w:r>
      <w:r w:rsidRPr="00A263F6">
        <w:rPr>
          <w:rFonts w:ascii="Traditional Arabic" w:hAnsi="Traditional Arabic" w:cs="Traditional Arabic"/>
          <w:i/>
          <w:sz w:val="30"/>
          <w:szCs w:val="30"/>
          <w:rtl/>
        </w:rPr>
        <w:t xml:space="preserve"> النفط الخام بأسعار أقل بقليل من أسعار التأجير الحالية لمدة عام واحد. وستظل بعض السفن الحالية - على المدى المتوسط - داخلة في التعاقد، وبالنسبة للسفن غير المتعاقد عليها، فإن الشركة تتوقع تحقيق أسعار بما يتماشى مع أسعار تأجير السفن المجهزة بالمدة السائدة لمدة عام واحد. لم يتم التعاقد على السفن الجديدة ومن المتوقع أن تحقق أسعارًا بما يتماشى مع أسعار السوق السائدة وقت التعاقد عليها</w:t>
      </w:r>
      <w:r w:rsidRPr="00A263F6">
        <w:rPr>
          <w:rFonts w:ascii="Traditional Arabic" w:hAnsi="Traditional Arabic" w:cs="Traditional Arabic"/>
          <w:i/>
          <w:sz w:val="30"/>
          <w:szCs w:val="30"/>
        </w:rPr>
        <w:t>.</w:t>
      </w:r>
    </w:p>
    <w:p w14:paraId="4D478D89" w14:textId="77777777" w:rsidR="00A263F6" w:rsidRPr="00A263F6" w:rsidRDefault="00A263F6" w:rsidP="00985281">
      <w:pPr>
        <w:bidi/>
        <w:jc w:val="both"/>
        <w:rPr>
          <w:rFonts w:ascii="Traditional Arabic" w:hAnsi="Traditional Arabic" w:cs="Traditional Arabic"/>
          <w:i/>
          <w:sz w:val="30"/>
          <w:szCs w:val="30"/>
          <w:rtl/>
        </w:rPr>
      </w:pPr>
    </w:p>
    <w:p w14:paraId="4D0DAF70" w14:textId="77777777" w:rsidR="00A263F6" w:rsidRDefault="00A263F6" w:rsidP="00A17486">
      <w:pPr>
        <w:bidi/>
        <w:ind w:left="429" w:hanging="429"/>
        <w:jc w:val="both"/>
        <w:rPr>
          <w:rFonts w:ascii="Traditional Arabic" w:hAnsi="Traditional Arabic" w:cs="Traditional Arabic"/>
          <w:i/>
          <w:sz w:val="30"/>
          <w:szCs w:val="30"/>
          <w:rtl/>
        </w:rPr>
      </w:pPr>
      <w:r w:rsidRPr="00A263F6">
        <w:rPr>
          <w:rFonts w:ascii="Traditional Arabic" w:hAnsi="Traditional Arabic" w:cs="Traditional Arabic"/>
          <w:i/>
          <w:sz w:val="30"/>
          <w:szCs w:val="30"/>
        </w:rPr>
        <w:lastRenderedPageBreak/>
        <w:t>•</w:t>
      </w:r>
      <w:r w:rsidRPr="00A263F6">
        <w:rPr>
          <w:rFonts w:ascii="Traditional Arabic" w:hAnsi="Traditional Arabic" w:cs="Traditional Arabic"/>
          <w:i/>
          <w:sz w:val="30"/>
          <w:szCs w:val="30"/>
        </w:rPr>
        <w:tab/>
      </w:r>
      <w:r w:rsidR="00607B02">
        <w:rPr>
          <w:rFonts w:ascii="Traditional Arabic" w:hAnsi="Traditional Arabic" w:cs="Traditional Arabic"/>
          <w:iCs/>
          <w:sz w:val="30"/>
          <w:szCs w:val="30"/>
          <w:rtl/>
        </w:rPr>
        <w:t>نقل</w:t>
      </w:r>
      <w:r w:rsidRPr="00A17486">
        <w:rPr>
          <w:rFonts w:ascii="Traditional Arabic" w:hAnsi="Traditional Arabic" w:cs="Traditional Arabic"/>
          <w:iCs/>
          <w:sz w:val="30"/>
          <w:szCs w:val="30"/>
          <w:rtl/>
        </w:rPr>
        <w:t xml:space="preserve"> المنتجات</w:t>
      </w:r>
      <w:r w:rsidRPr="00A263F6">
        <w:rPr>
          <w:rFonts w:ascii="Traditional Arabic" w:hAnsi="Traditional Arabic" w:cs="Traditional Arabic"/>
          <w:i/>
          <w:sz w:val="30"/>
          <w:szCs w:val="30"/>
          <w:rtl/>
        </w:rPr>
        <w:t xml:space="preserve">: تم التعاقد على سفن الشركة الحالية في قطاع </w:t>
      </w:r>
      <w:r w:rsidR="00607B02">
        <w:rPr>
          <w:rFonts w:ascii="Traditional Arabic" w:hAnsi="Traditional Arabic" w:cs="Traditional Arabic"/>
          <w:i/>
          <w:sz w:val="30"/>
          <w:szCs w:val="30"/>
          <w:rtl/>
        </w:rPr>
        <w:t>نقل</w:t>
      </w:r>
      <w:r w:rsidRPr="00A263F6">
        <w:rPr>
          <w:rFonts w:ascii="Traditional Arabic" w:hAnsi="Traditional Arabic" w:cs="Traditional Arabic"/>
          <w:i/>
          <w:sz w:val="30"/>
          <w:szCs w:val="30"/>
          <w:rtl/>
        </w:rPr>
        <w:t xml:space="preserve"> المنتجات حتى عام 2025 وتم التعاقد جزئيًا حتى عام 2026 بأسعار أقل بقليل من أسعار التأجير الحالية لمدة عام واحد. ومن المتوقع أن تحقق السفن المتعاقد عليها، على المدى المتوسط، أسعارًا أقل بقليل من أسعار تأجير السفن الحالية لمدة عام واحد، ومن المتوقع أن تحقق السفن الجديدة أسعارًا بما يتماشى مع أسعار السوق السائدة في ذلك الوقت</w:t>
      </w:r>
      <w:r w:rsidRPr="00A263F6">
        <w:rPr>
          <w:rFonts w:ascii="Traditional Arabic" w:hAnsi="Traditional Arabic" w:cs="Traditional Arabic"/>
          <w:i/>
          <w:sz w:val="30"/>
          <w:szCs w:val="30"/>
        </w:rPr>
        <w:t>.</w:t>
      </w:r>
    </w:p>
    <w:p w14:paraId="21104065" w14:textId="77777777" w:rsidR="00A263F6" w:rsidRPr="00A263F6" w:rsidRDefault="00A263F6" w:rsidP="00985281">
      <w:pPr>
        <w:bidi/>
        <w:jc w:val="both"/>
        <w:rPr>
          <w:rFonts w:ascii="Traditional Arabic" w:hAnsi="Traditional Arabic" w:cs="Traditional Arabic"/>
          <w:i/>
          <w:sz w:val="30"/>
          <w:szCs w:val="30"/>
          <w:rtl/>
        </w:rPr>
      </w:pPr>
    </w:p>
    <w:p w14:paraId="07831AF7" w14:textId="77777777" w:rsidR="00A263F6" w:rsidRDefault="00A263F6" w:rsidP="00A17486">
      <w:pPr>
        <w:bidi/>
        <w:ind w:left="429" w:hanging="429"/>
        <w:jc w:val="both"/>
        <w:rPr>
          <w:rFonts w:ascii="Traditional Arabic" w:hAnsi="Traditional Arabic" w:cs="Traditional Arabic"/>
          <w:i/>
          <w:sz w:val="30"/>
          <w:szCs w:val="30"/>
          <w:rtl/>
        </w:rPr>
      </w:pPr>
      <w:r w:rsidRPr="00A263F6">
        <w:rPr>
          <w:rFonts w:ascii="Traditional Arabic" w:hAnsi="Traditional Arabic" w:cs="Traditional Arabic"/>
          <w:i/>
          <w:sz w:val="30"/>
          <w:szCs w:val="30"/>
        </w:rPr>
        <w:t>•</w:t>
      </w:r>
      <w:r w:rsidRPr="00A263F6">
        <w:rPr>
          <w:rFonts w:ascii="Traditional Arabic" w:hAnsi="Traditional Arabic" w:cs="Traditional Arabic"/>
          <w:i/>
          <w:sz w:val="30"/>
          <w:szCs w:val="30"/>
        </w:rPr>
        <w:tab/>
      </w:r>
      <w:r w:rsidR="00607B02">
        <w:rPr>
          <w:rFonts w:ascii="Traditional Arabic" w:hAnsi="Traditional Arabic" w:cs="Traditional Arabic"/>
          <w:iCs/>
          <w:sz w:val="30"/>
          <w:szCs w:val="30"/>
          <w:rtl/>
        </w:rPr>
        <w:t>نقل</w:t>
      </w:r>
      <w:r w:rsidRPr="00A17486">
        <w:rPr>
          <w:rFonts w:ascii="Traditional Arabic" w:hAnsi="Traditional Arabic" w:cs="Traditional Arabic"/>
          <w:iCs/>
          <w:sz w:val="30"/>
          <w:szCs w:val="30"/>
          <w:rtl/>
        </w:rPr>
        <w:t xml:space="preserve"> البضائع السائبة الجافة</w:t>
      </w:r>
      <w:r w:rsidRPr="00A263F6">
        <w:rPr>
          <w:rFonts w:ascii="Traditional Arabic" w:hAnsi="Traditional Arabic" w:cs="Traditional Arabic"/>
          <w:i/>
          <w:sz w:val="30"/>
          <w:szCs w:val="30"/>
          <w:rtl/>
        </w:rPr>
        <w:t>: من المتوقع أن تحقق سفينة ألتراماكس الحالية أسعارًا أعلى من أسعار التأجير لمدة عام واحد وذلك على المدى القصير. وبالنسبة للسفن الجديدة لنقل البضائع السائبة الجافة فهي غير متعاقد عليها، وبالتالي ستكون أسعارها بما يتماشى مع السوق. وقد تم التعاقد على ناقلات خام الحديد العملاقة الحالية بأسعار تنافسية على المدى المتوسط إلى الطويل</w:t>
      </w:r>
      <w:r w:rsidRPr="00A263F6">
        <w:rPr>
          <w:rFonts w:ascii="Traditional Arabic" w:hAnsi="Traditional Arabic" w:cs="Traditional Arabic"/>
          <w:i/>
          <w:sz w:val="30"/>
          <w:szCs w:val="30"/>
        </w:rPr>
        <w:t>.</w:t>
      </w:r>
    </w:p>
    <w:p w14:paraId="4BAE3904" w14:textId="77777777" w:rsidR="00A263F6" w:rsidRPr="00A263F6" w:rsidRDefault="00A263F6" w:rsidP="00985281">
      <w:pPr>
        <w:bidi/>
        <w:jc w:val="both"/>
        <w:rPr>
          <w:rFonts w:ascii="Traditional Arabic" w:hAnsi="Traditional Arabic" w:cs="Traditional Arabic"/>
          <w:i/>
          <w:sz w:val="30"/>
          <w:szCs w:val="30"/>
          <w:rtl/>
        </w:rPr>
      </w:pPr>
    </w:p>
    <w:p w14:paraId="75CE2CA3" w14:textId="77777777" w:rsidR="00A263F6" w:rsidRDefault="00A263F6" w:rsidP="00A17486">
      <w:pPr>
        <w:bidi/>
        <w:ind w:left="429" w:hanging="429"/>
        <w:jc w:val="both"/>
        <w:rPr>
          <w:rFonts w:ascii="Traditional Arabic" w:hAnsi="Traditional Arabic" w:cs="Traditional Arabic"/>
          <w:i/>
          <w:sz w:val="30"/>
          <w:szCs w:val="30"/>
          <w:rtl/>
        </w:rPr>
      </w:pPr>
      <w:r w:rsidRPr="00A263F6">
        <w:rPr>
          <w:rFonts w:ascii="Traditional Arabic" w:hAnsi="Traditional Arabic" w:cs="Traditional Arabic"/>
          <w:i/>
          <w:sz w:val="30"/>
          <w:szCs w:val="30"/>
        </w:rPr>
        <w:t>•</w:t>
      </w:r>
      <w:r w:rsidRPr="00A263F6">
        <w:rPr>
          <w:rFonts w:ascii="Traditional Arabic" w:hAnsi="Traditional Arabic" w:cs="Traditional Arabic"/>
          <w:i/>
          <w:sz w:val="30"/>
          <w:szCs w:val="30"/>
        </w:rPr>
        <w:tab/>
      </w:r>
      <w:r w:rsidR="00607B02">
        <w:rPr>
          <w:rFonts w:ascii="Traditional Arabic" w:hAnsi="Traditional Arabic" w:cs="Traditional Arabic"/>
          <w:iCs/>
          <w:sz w:val="30"/>
          <w:szCs w:val="30"/>
          <w:rtl/>
        </w:rPr>
        <w:t>نقل</w:t>
      </w:r>
      <w:r w:rsidRPr="00A17486">
        <w:rPr>
          <w:rFonts w:ascii="Traditional Arabic" w:hAnsi="Traditional Arabic" w:cs="Traditional Arabic"/>
          <w:iCs/>
          <w:sz w:val="30"/>
          <w:szCs w:val="30"/>
          <w:rtl/>
        </w:rPr>
        <w:t xml:space="preserve"> الغاز</w:t>
      </w:r>
      <w:r w:rsidRPr="00A263F6">
        <w:rPr>
          <w:rFonts w:ascii="Traditional Arabic" w:hAnsi="Traditional Arabic" w:cs="Traditional Arabic"/>
          <w:i/>
          <w:sz w:val="30"/>
          <w:szCs w:val="30"/>
          <w:rtl/>
        </w:rPr>
        <w:t xml:space="preserve">: تم التعاقد على سفن الشركة الحالية في قطاع </w:t>
      </w:r>
      <w:r w:rsidR="00607B02">
        <w:rPr>
          <w:rFonts w:ascii="Traditional Arabic" w:hAnsi="Traditional Arabic" w:cs="Traditional Arabic"/>
          <w:i/>
          <w:sz w:val="30"/>
          <w:szCs w:val="30"/>
          <w:rtl/>
        </w:rPr>
        <w:t>نقل</w:t>
      </w:r>
      <w:r w:rsidRPr="00A263F6">
        <w:rPr>
          <w:rFonts w:ascii="Traditional Arabic" w:hAnsi="Traditional Arabic" w:cs="Traditional Arabic"/>
          <w:i/>
          <w:sz w:val="30"/>
          <w:szCs w:val="30"/>
          <w:rtl/>
        </w:rPr>
        <w:t xml:space="preserve"> الغاز حتى عام 2025 بأسعار أفضل من أسعار التأجير لمدة عام واحد، في حين أنه من المتوقع أن تحقق معظم السفن غير المتعاقد عليها أسعار السوق من عام 2025. وتم التعاقد على سفن جديدة بأسعار أعلى بكثير من أسعار السوق الحالية</w:t>
      </w:r>
      <w:r w:rsidRPr="00A263F6">
        <w:rPr>
          <w:rFonts w:ascii="Traditional Arabic" w:hAnsi="Traditional Arabic" w:cs="Traditional Arabic"/>
          <w:i/>
          <w:sz w:val="30"/>
          <w:szCs w:val="30"/>
        </w:rPr>
        <w:t>.</w:t>
      </w:r>
    </w:p>
    <w:p w14:paraId="01934F6C" w14:textId="77777777" w:rsidR="00A263F6" w:rsidRPr="00A263F6" w:rsidRDefault="00A263F6" w:rsidP="00985281">
      <w:pPr>
        <w:bidi/>
        <w:jc w:val="both"/>
        <w:rPr>
          <w:rFonts w:ascii="Traditional Arabic" w:hAnsi="Traditional Arabic" w:cs="Traditional Arabic"/>
          <w:i/>
          <w:sz w:val="30"/>
          <w:szCs w:val="30"/>
          <w:rtl/>
        </w:rPr>
      </w:pPr>
    </w:p>
    <w:p w14:paraId="0B5A8C6C" w14:textId="77777777" w:rsidR="00A263F6" w:rsidRDefault="00A263F6" w:rsidP="00A17486">
      <w:pPr>
        <w:bidi/>
        <w:ind w:left="429" w:hanging="429"/>
        <w:jc w:val="both"/>
        <w:rPr>
          <w:rFonts w:ascii="Traditional Arabic" w:hAnsi="Traditional Arabic" w:cs="Traditional Arabic"/>
          <w:i/>
          <w:sz w:val="30"/>
          <w:szCs w:val="30"/>
        </w:rPr>
      </w:pPr>
      <w:r w:rsidRPr="00A263F6">
        <w:rPr>
          <w:rFonts w:ascii="Traditional Arabic" w:hAnsi="Traditional Arabic" w:cs="Traditional Arabic"/>
          <w:i/>
          <w:sz w:val="30"/>
          <w:szCs w:val="30"/>
        </w:rPr>
        <w:t>•</w:t>
      </w:r>
      <w:r w:rsidRPr="00A263F6">
        <w:rPr>
          <w:rFonts w:ascii="Traditional Arabic" w:hAnsi="Traditional Arabic" w:cs="Traditional Arabic"/>
          <w:i/>
          <w:sz w:val="30"/>
          <w:szCs w:val="30"/>
        </w:rPr>
        <w:tab/>
      </w:r>
      <w:r w:rsidRPr="00A17486">
        <w:rPr>
          <w:rFonts w:ascii="Traditional Arabic" w:hAnsi="Traditional Arabic" w:cs="Traditional Arabic"/>
          <w:iCs/>
          <w:sz w:val="30"/>
          <w:szCs w:val="30"/>
          <w:rtl/>
        </w:rPr>
        <w:t>ال</w:t>
      </w:r>
      <w:r w:rsidR="00607B02">
        <w:rPr>
          <w:rFonts w:ascii="Traditional Arabic" w:hAnsi="Traditional Arabic" w:cs="Traditional Arabic"/>
          <w:iCs/>
          <w:sz w:val="30"/>
          <w:szCs w:val="30"/>
          <w:rtl/>
        </w:rPr>
        <w:t>نقل</w:t>
      </w:r>
      <w:r w:rsidRPr="00A17486">
        <w:rPr>
          <w:rFonts w:ascii="Traditional Arabic" w:hAnsi="Traditional Arabic" w:cs="Traditional Arabic"/>
          <w:iCs/>
          <w:sz w:val="30"/>
          <w:szCs w:val="30"/>
          <w:rtl/>
        </w:rPr>
        <w:t xml:space="preserve"> البحري المنتظم</w:t>
      </w:r>
      <w:r w:rsidRPr="00A263F6">
        <w:rPr>
          <w:rFonts w:ascii="Traditional Arabic" w:hAnsi="Traditional Arabic" w:cs="Traditional Arabic"/>
          <w:i/>
          <w:sz w:val="30"/>
          <w:szCs w:val="30"/>
          <w:rtl/>
        </w:rPr>
        <w:t>: من المتوقع على المدى القصير أن تنخفض تكلفة ال</w:t>
      </w:r>
      <w:r w:rsidR="00607B02">
        <w:rPr>
          <w:rFonts w:ascii="Traditional Arabic" w:hAnsi="Traditional Arabic" w:cs="Traditional Arabic"/>
          <w:i/>
          <w:sz w:val="30"/>
          <w:szCs w:val="30"/>
          <w:rtl/>
        </w:rPr>
        <w:t>نقل</w:t>
      </w:r>
      <w:r w:rsidRPr="00A263F6">
        <w:rPr>
          <w:rFonts w:ascii="Traditional Arabic" w:hAnsi="Traditional Arabic" w:cs="Traditional Arabic"/>
          <w:i/>
          <w:sz w:val="30"/>
          <w:szCs w:val="30"/>
          <w:rtl/>
        </w:rPr>
        <w:t xml:space="preserve"> في قطاع الشحن البحري المنتظم لكل وحدة مكافئة لعشرين قدما بما يتماشى مع تخفيف ازدحام البحر الأحمر على مدى السنوات الخمس المقبلة. ومن المتوقع - على المدى المتوسط - أن تكون جميع الأسعار على أساس فوري بما يتماشى مع الأنماط والسلوكيات التي تمت ملاحظتها في الماضي لفترة زمنية معينة</w:t>
      </w:r>
      <w:r w:rsidRPr="00A263F6">
        <w:rPr>
          <w:rFonts w:ascii="Traditional Arabic" w:hAnsi="Traditional Arabic" w:cs="Traditional Arabic"/>
          <w:i/>
          <w:sz w:val="30"/>
          <w:szCs w:val="30"/>
        </w:rPr>
        <w:t>.</w:t>
      </w:r>
    </w:p>
    <w:p w14:paraId="2BC9C8D4" w14:textId="77777777" w:rsidR="002320D1" w:rsidRDefault="002320D1" w:rsidP="002320D1">
      <w:pPr>
        <w:bidi/>
        <w:jc w:val="both"/>
        <w:rPr>
          <w:rFonts w:ascii="Traditional Arabic" w:hAnsi="Traditional Arabic" w:cs="Traditional Arabic"/>
          <w:i/>
          <w:sz w:val="30"/>
          <w:szCs w:val="30"/>
        </w:rPr>
      </w:pPr>
    </w:p>
    <w:p w14:paraId="772A37D4" w14:textId="77777777" w:rsidR="00A93B67" w:rsidRPr="00B934CE" w:rsidRDefault="00A93B67" w:rsidP="00A93B67">
      <w:pPr>
        <w:pStyle w:val="4"/>
        <w:spacing w:before="0" w:after="120"/>
        <w:rPr>
          <w:rFonts w:ascii="Traditional Arabic" w:eastAsia="Times New Roman" w:hAnsi="Traditional Arabic" w:cs="Traditional Arabic"/>
          <w:i/>
          <w:color w:val="auto"/>
          <w:sz w:val="30"/>
          <w:szCs w:val="30"/>
        </w:rPr>
      </w:pPr>
      <w:bookmarkStart w:id="18" w:name="_Toc115051473"/>
      <w:r w:rsidRPr="00B934CE">
        <w:rPr>
          <w:rFonts w:ascii="Traditional Arabic" w:eastAsia="Times New Roman" w:hAnsi="Traditional Arabic" w:cs="Traditional Arabic"/>
          <w:i/>
          <w:color w:val="auto"/>
          <w:sz w:val="30"/>
          <w:szCs w:val="30"/>
          <w:rtl/>
        </w:rPr>
        <w:t>نتائج العمليات المالية للسنوات المنتهية في 31 ديسمبر 2021 و2022 و2023، وللأشهر التسعة المنتهية في 30 سبتمبر 2023 و2024</w:t>
      </w:r>
    </w:p>
    <w:bookmarkEnd w:id="18"/>
    <w:p w14:paraId="29ACBB29" w14:textId="77777777" w:rsidR="00A93B67" w:rsidRPr="00B934CE" w:rsidRDefault="00D27E1A" w:rsidP="00A93B67">
      <w:pPr>
        <w:pStyle w:val="4"/>
        <w:spacing w:before="0" w:after="120"/>
        <w:rPr>
          <w:rFonts w:ascii="Traditional Arabic" w:eastAsia="Times New Roman" w:hAnsi="Traditional Arabic" w:cs="Traditional Arabic"/>
          <w:iCs/>
          <w:color w:val="auto"/>
          <w:sz w:val="30"/>
          <w:szCs w:val="30"/>
        </w:rPr>
      </w:pPr>
      <w:r w:rsidRPr="00B934CE">
        <w:rPr>
          <w:rFonts w:ascii="Traditional Arabic" w:eastAsia="Times New Roman" w:hAnsi="Traditional Arabic" w:cs="Traditional Arabic" w:hint="eastAsia"/>
          <w:iCs/>
          <w:color w:val="auto"/>
          <w:sz w:val="30"/>
          <w:szCs w:val="30"/>
          <w:rtl/>
        </w:rPr>
        <w:t>بيان</w:t>
      </w:r>
      <w:r w:rsidRPr="00B934CE">
        <w:rPr>
          <w:rFonts w:ascii="Traditional Arabic" w:eastAsia="Times New Roman" w:hAnsi="Traditional Arabic" w:cs="Traditional Arabic"/>
          <w:iCs/>
          <w:color w:val="auto"/>
          <w:sz w:val="30"/>
          <w:szCs w:val="30"/>
          <w:rtl/>
        </w:rPr>
        <w:t xml:space="preserve"> </w:t>
      </w:r>
      <w:r w:rsidRPr="00B934CE">
        <w:rPr>
          <w:rFonts w:ascii="Traditional Arabic" w:eastAsia="Times New Roman" w:hAnsi="Traditional Arabic" w:cs="Traditional Arabic" w:hint="eastAsia"/>
          <w:iCs/>
          <w:color w:val="auto"/>
          <w:sz w:val="30"/>
          <w:szCs w:val="30"/>
          <w:rtl/>
        </w:rPr>
        <w:t>الربح</w:t>
      </w:r>
      <w:r w:rsidRPr="00B934CE">
        <w:rPr>
          <w:rFonts w:ascii="Traditional Arabic" w:eastAsia="Times New Roman" w:hAnsi="Traditional Arabic" w:cs="Traditional Arabic"/>
          <w:iCs/>
          <w:color w:val="auto"/>
          <w:sz w:val="30"/>
          <w:szCs w:val="30"/>
          <w:rtl/>
        </w:rPr>
        <w:t xml:space="preserve"> </w:t>
      </w:r>
      <w:r w:rsidRPr="00B934CE">
        <w:rPr>
          <w:rFonts w:ascii="Traditional Arabic" w:eastAsia="Times New Roman" w:hAnsi="Traditional Arabic" w:cs="Traditional Arabic" w:hint="eastAsia"/>
          <w:iCs/>
          <w:color w:val="auto"/>
          <w:sz w:val="30"/>
          <w:szCs w:val="30"/>
          <w:rtl/>
        </w:rPr>
        <w:t>والخسارة</w:t>
      </w:r>
    </w:p>
    <w:p w14:paraId="6294EEC8" w14:textId="77777777" w:rsidR="00A93B67" w:rsidRDefault="00A93B67" w:rsidP="00B934CE">
      <w:pPr>
        <w:tabs>
          <w:tab w:val="left" w:pos="9270"/>
        </w:tabs>
        <w:bidi/>
        <w:jc w:val="both"/>
        <w:rPr>
          <w:rFonts w:ascii="Traditional Arabic" w:eastAsia="Calibri" w:hAnsi="Traditional Arabic" w:cs="Traditional Arabic"/>
          <w:sz w:val="30"/>
          <w:szCs w:val="30"/>
        </w:rPr>
      </w:pPr>
      <w:bookmarkStart w:id="19" w:name="_Toc532831362"/>
      <w:bookmarkStart w:id="20" w:name="_Toc15807955"/>
      <w:bookmarkStart w:id="21" w:name="_Toc88400449"/>
      <w:bookmarkStart w:id="22" w:name="_Toc115053226"/>
      <w:r w:rsidRPr="00B934CE">
        <w:rPr>
          <w:rFonts w:ascii="Traditional Arabic" w:eastAsia="Calibri" w:hAnsi="Traditional Arabic" w:cs="Traditional Arabic"/>
          <w:sz w:val="30"/>
          <w:szCs w:val="30"/>
          <w:rtl/>
        </w:rPr>
        <w:t>ا</w:t>
      </w:r>
      <w:r w:rsidRPr="00B934CE">
        <w:rPr>
          <w:rFonts w:ascii="Traditional Arabic" w:eastAsia="Calibri" w:hAnsi="Traditional Arabic" w:cs="Traditional Arabic" w:hint="eastAsia"/>
          <w:sz w:val="30"/>
          <w:szCs w:val="30"/>
          <w:rtl/>
        </w:rPr>
        <w:t>لجدول</w:t>
      </w:r>
      <w:r w:rsidRPr="00B934CE">
        <w:rPr>
          <w:rFonts w:ascii="Traditional Arabic" w:eastAsia="Calibri" w:hAnsi="Traditional Arabic" w:cs="Traditional Arabic"/>
          <w:sz w:val="30"/>
          <w:szCs w:val="30"/>
          <w:rtl/>
        </w:rPr>
        <w:t xml:space="preserve"> ‏ ‏:</w:t>
      </w:r>
      <w:r w:rsidRPr="00B934CE">
        <w:rPr>
          <w:rFonts w:ascii="Traditional Arabic" w:eastAsia="Calibri" w:hAnsi="Traditional Arabic" w:cs="Traditional Arabic"/>
          <w:b/>
          <w:bCs/>
          <w:sz w:val="30"/>
          <w:szCs w:val="30"/>
          <w:rtl/>
        </w:rPr>
        <w:t xml:space="preserve"> </w:t>
      </w:r>
      <w:bookmarkEnd w:id="19"/>
      <w:bookmarkEnd w:id="20"/>
      <w:bookmarkEnd w:id="21"/>
      <w:bookmarkEnd w:id="22"/>
      <w:r w:rsidR="000E46AA">
        <w:rPr>
          <w:rFonts w:ascii="Traditional Arabic" w:eastAsia="Calibri" w:hAnsi="Traditional Arabic" w:cs="Traditional Arabic" w:hint="cs"/>
          <w:sz w:val="30"/>
          <w:szCs w:val="30"/>
          <w:rtl/>
        </w:rPr>
        <w:t xml:space="preserve">بيان الربح والخسارة </w:t>
      </w:r>
      <w:r w:rsidRPr="00B934CE">
        <w:rPr>
          <w:rFonts w:ascii="Traditional Arabic" w:eastAsia="Calibri" w:hAnsi="Traditional Arabic" w:cs="Traditional Arabic"/>
          <w:sz w:val="30"/>
          <w:szCs w:val="30"/>
          <w:rtl/>
        </w:rPr>
        <w:t xml:space="preserve">للسنوات المالية المنتهية في 31 ديسمبر 2021، 2022، و2023، </w:t>
      </w:r>
      <w:bookmarkStart w:id="23" w:name="_Hlk165278137"/>
      <w:r w:rsidRPr="00B934CE">
        <w:rPr>
          <w:rFonts w:ascii="Traditional Arabic" w:eastAsia="Calibri" w:hAnsi="Traditional Arabic" w:cs="Traditional Arabic"/>
          <w:sz w:val="30"/>
          <w:szCs w:val="30"/>
          <w:rtl/>
        </w:rPr>
        <w:t>وفترتي التسعة أشهر المنتهيتين في 30 سبتمبر 2023 و2024:</w:t>
      </w:r>
    </w:p>
    <w:p w14:paraId="06995529" w14:textId="77777777" w:rsidR="00A93B67" w:rsidRDefault="00A93B67" w:rsidP="00A93B67">
      <w:pPr>
        <w:tabs>
          <w:tab w:val="left" w:pos="9270"/>
        </w:tabs>
        <w:jc w:val="both"/>
        <w:rPr>
          <w:rFonts w:ascii="Traditional Arabic" w:eastAsia="Calibri" w:hAnsi="Traditional Arabic" w:cs="Traditional Arabic"/>
          <w:sz w:val="30"/>
          <w:szCs w:val="30"/>
        </w:rPr>
      </w:pPr>
    </w:p>
    <w:tbl>
      <w:tblPr>
        <w:tblpPr w:leftFromText="180" w:rightFromText="180" w:vertAnchor="text" w:horzAnchor="margin" w:tblpXSpec="center" w:tblpY="21"/>
        <w:bidiVisual/>
        <w:tblW w:w="10865" w:type="dxa"/>
        <w:tblLook w:val="04A0" w:firstRow="1" w:lastRow="0" w:firstColumn="1" w:lastColumn="0" w:noHBand="0" w:noVBand="1"/>
      </w:tblPr>
      <w:tblGrid>
        <w:gridCol w:w="1234"/>
        <w:gridCol w:w="1124"/>
        <w:gridCol w:w="1124"/>
        <w:gridCol w:w="1124"/>
        <w:gridCol w:w="17"/>
        <w:gridCol w:w="981"/>
        <w:gridCol w:w="1118"/>
        <w:gridCol w:w="891"/>
        <w:gridCol w:w="12"/>
        <w:gridCol w:w="1112"/>
        <w:gridCol w:w="1124"/>
        <w:gridCol w:w="11"/>
        <w:gridCol w:w="993"/>
      </w:tblGrid>
      <w:tr w:rsidR="00D965D1" w:rsidRPr="008739A2" w14:paraId="749B1462" w14:textId="77777777" w:rsidTr="00B934CE">
        <w:trPr>
          <w:trHeight w:val="20"/>
        </w:trPr>
        <w:tc>
          <w:tcPr>
            <w:tcW w:w="1234" w:type="dxa"/>
            <w:shd w:val="clear" w:color="auto" w:fill="0B3D85"/>
            <w:vAlign w:val="center"/>
          </w:tcPr>
          <w:p w14:paraId="4364CBF4"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hAnsi="Traditional Arabic" w:cs="Traditional Arabic"/>
                <w:b/>
                <w:bCs/>
                <w:sz w:val="26"/>
                <w:szCs w:val="26"/>
                <w:rtl/>
              </w:rPr>
              <w:t>بآلاف الريالات العمانية</w:t>
            </w:r>
          </w:p>
        </w:tc>
        <w:tc>
          <w:tcPr>
            <w:tcW w:w="1124" w:type="dxa"/>
            <w:shd w:val="clear" w:color="auto" w:fill="0B3D85"/>
            <w:vAlign w:val="center"/>
          </w:tcPr>
          <w:p w14:paraId="0CF1231D"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2021</w:t>
            </w:r>
          </w:p>
          <w:p w14:paraId="19DCD05A"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hAnsi="Traditional Arabic" w:cs="Traditional Arabic"/>
                <w:b/>
                <w:bCs/>
                <w:sz w:val="26"/>
                <w:szCs w:val="26"/>
                <w:rtl/>
              </w:rPr>
              <w:t>(المراجعة)</w:t>
            </w:r>
          </w:p>
        </w:tc>
        <w:tc>
          <w:tcPr>
            <w:tcW w:w="1124" w:type="dxa"/>
            <w:shd w:val="clear" w:color="auto" w:fill="0B3D85"/>
            <w:vAlign w:val="center"/>
          </w:tcPr>
          <w:p w14:paraId="4731C4BE"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2022</w:t>
            </w:r>
          </w:p>
          <w:p w14:paraId="5B5581C4"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hAnsi="Traditional Arabic" w:cs="Traditional Arabic"/>
                <w:b/>
                <w:bCs/>
                <w:sz w:val="26"/>
                <w:szCs w:val="26"/>
                <w:rtl/>
              </w:rPr>
              <w:t>(المراجعة)</w:t>
            </w:r>
          </w:p>
        </w:tc>
        <w:tc>
          <w:tcPr>
            <w:tcW w:w="1124" w:type="dxa"/>
            <w:shd w:val="clear" w:color="auto" w:fill="0B3D85"/>
            <w:vAlign w:val="center"/>
          </w:tcPr>
          <w:p w14:paraId="7A6026BF"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2023</w:t>
            </w:r>
          </w:p>
          <w:p w14:paraId="55BB78D4"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hAnsi="Traditional Arabic" w:cs="Traditional Arabic"/>
                <w:b/>
                <w:bCs/>
                <w:sz w:val="26"/>
                <w:szCs w:val="26"/>
                <w:rtl/>
              </w:rPr>
              <w:t>(المراجعة)</w:t>
            </w:r>
          </w:p>
        </w:tc>
        <w:tc>
          <w:tcPr>
            <w:tcW w:w="998" w:type="dxa"/>
            <w:gridSpan w:val="2"/>
            <w:shd w:val="clear" w:color="auto" w:fill="0B3D85"/>
            <w:vAlign w:val="center"/>
          </w:tcPr>
          <w:p w14:paraId="14173835"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hAnsi="Traditional Arabic" w:cs="Traditional Arabic"/>
                <w:b/>
                <w:bCs/>
                <w:sz w:val="26"/>
                <w:szCs w:val="26"/>
                <w:rtl/>
              </w:rPr>
              <w:t xml:space="preserve">التغير السنوي </w:t>
            </w:r>
            <w:r w:rsidRPr="00650AF6">
              <w:rPr>
                <w:rFonts w:ascii="Traditional Arabic" w:hAnsi="Traditional Arabic" w:cs="Traditional Arabic"/>
                <w:b/>
                <w:bCs/>
                <w:sz w:val="26"/>
                <w:szCs w:val="26"/>
                <w:rtl/>
              </w:rPr>
              <w:lastRenderedPageBreak/>
              <w:t>2021- 2022</w:t>
            </w:r>
          </w:p>
        </w:tc>
        <w:tc>
          <w:tcPr>
            <w:tcW w:w="1118" w:type="dxa"/>
            <w:shd w:val="clear" w:color="auto" w:fill="0B3D85"/>
            <w:vAlign w:val="center"/>
          </w:tcPr>
          <w:p w14:paraId="59D3FEE7"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hAnsi="Traditional Arabic" w:cs="Traditional Arabic"/>
                <w:b/>
                <w:bCs/>
                <w:sz w:val="26"/>
                <w:szCs w:val="26"/>
                <w:rtl/>
              </w:rPr>
              <w:lastRenderedPageBreak/>
              <w:t xml:space="preserve">التغير السنوي </w:t>
            </w:r>
            <w:r w:rsidRPr="00650AF6">
              <w:rPr>
                <w:rFonts w:ascii="Traditional Arabic" w:hAnsi="Traditional Arabic" w:cs="Traditional Arabic"/>
                <w:b/>
                <w:bCs/>
                <w:sz w:val="26"/>
                <w:szCs w:val="26"/>
                <w:rtl/>
              </w:rPr>
              <w:lastRenderedPageBreak/>
              <w:t>2022- 2023</w:t>
            </w:r>
          </w:p>
        </w:tc>
        <w:tc>
          <w:tcPr>
            <w:tcW w:w="891" w:type="dxa"/>
            <w:shd w:val="clear" w:color="auto" w:fill="0B3D85"/>
            <w:vAlign w:val="center"/>
          </w:tcPr>
          <w:p w14:paraId="34E6BFDB"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hAnsi="Traditional Arabic" w:cs="Traditional Arabic"/>
                <w:b/>
                <w:bCs/>
                <w:sz w:val="26"/>
                <w:szCs w:val="26"/>
                <w:rtl/>
              </w:rPr>
              <w:lastRenderedPageBreak/>
              <w:t xml:space="preserve">معدل النمو المركب </w:t>
            </w:r>
            <w:r w:rsidRPr="00650AF6">
              <w:rPr>
                <w:rFonts w:ascii="Traditional Arabic" w:hAnsi="Traditional Arabic" w:cs="Traditional Arabic"/>
                <w:b/>
                <w:bCs/>
                <w:sz w:val="26"/>
                <w:szCs w:val="26"/>
                <w:rtl/>
              </w:rPr>
              <w:lastRenderedPageBreak/>
              <w:t>2021-2023</w:t>
            </w:r>
          </w:p>
        </w:tc>
        <w:tc>
          <w:tcPr>
            <w:tcW w:w="1124" w:type="dxa"/>
            <w:gridSpan w:val="2"/>
            <w:shd w:val="clear" w:color="auto" w:fill="0B3D85"/>
            <w:vAlign w:val="center"/>
          </w:tcPr>
          <w:p w14:paraId="135B0988"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lastRenderedPageBreak/>
              <w:t>30 سبتمبر 2023</w:t>
            </w:r>
          </w:p>
          <w:p w14:paraId="26895922"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(المفحوصة)</w:t>
            </w:r>
          </w:p>
        </w:tc>
        <w:tc>
          <w:tcPr>
            <w:tcW w:w="1124" w:type="dxa"/>
            <w:shd w:val="clear" w:color="auto" w:fill="0B3D85"/>
            <w:vAlign w:val="center"/>
          </w:tcPr>
          <w:p w14:paraId="7E2D4610"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30 سبتمبر 2024</w:t>
            </w:r>
          </w:p>
          <w:p w14:paraId="29E5D66A" w14:textId="77777777" w:rsidR="00D965D1" w:rsidRPr="00650AF6" w:rsidRDefault="00D965D1" w:rsidP="00D965D1">
            <w:pPr>
              <w:jc w:val="center"/>
              <w:rPr>
                <w:rFonts w:ascii="Traditional Arabic" w:hAnsi="Traditional Arabic" w:cs="Traditional Arabic"/>
                <w:b/>
                <w:bCs/>
                <w:sz w:val="26"/>
                <w:szCs w:val="26"/>
              </w:rPr>
            </w:pPr>
            <w:r w:rsidRPr="00650AF6">
              <w:rPr>
                <w:rFonts w:ascii="Traditional Arabic" w:hAnsi="Traditional Arabic" w:cs="Traditional Arabic"/>
                <w:b/>
                <w:bCs/>
                <w:sz w:val="26"/>
                <w:szCs w:val="26"/>
                <w:rtl/>
              </w:rPr>
              <w:t>(المفحوصة)</w:t>
            </w:r>
          </w:p>
        </w:tc>
        <w:tc>
          <w:tcPr>
            <w:tcW w:w="998" w:type="dxa"/>
            <w:gridSpan w:val="2"/>
            <w:shd w:val="clear" w:color="auto" w:fill="0B3D85"/>
            <w:vAlign w:val="center"/>
          </w:tcPr>
          <w:p w14:paraId="715F6B0F"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 xml:space="preserve">التغير للفترة </w:t>
            </w:r>
            <w:r w:rsidRPr="00650AF6">
              <w:rPr>
                <w:rFonts w:ascii="Traditional Arabic" w:hAnsi="Traditional Arabic" w:cs="Traditional Arabic"/>
                <w:b/>
                <w:bCs/>
                <w:sz w:val="26"/>
                <w:szCs w:val="26"/>
                <w:rtl/>
              </w:rPr>
              <w:lastRenderedPageBreak/>
              <w:t>2023-2024</w:t>
            </w:r>
          </w:p>
        </w:tc>
      </w:tr>
      <w:tr w:rsidR="00D965D1" w:rsidRPr="00A93B67" w14:paraId="1BFC9986" w14:textId="77777777" w:rsidTr="00D965D1">
        <w:trPr>
          <w:trHeight w:val="20"/>
        </w:trPr>
        <w:tc>
          <w:tcPr>
            <w:tcW w:w="1234" w:type="dxa"/>
            <w:tcBorders>
              <w:bottom w:val="single" w:sz="4" w:space="0" w:color="0B3D85"/>
            </w:tcBorders>
            <w:vAlign w:val="center"/>
          </w:tcPr>
          <w:p w14:paraId="7C69F034" w14:textId="77777777" w:rsidR="00D965D1" w:rsidRPr="00650AF6" w:rsidRDefault="00D965D1" w:rsidP="00D965D1">
            <w:pPr>
              <w:bidi/>
              <w:rPr>
                <w:rFonts w:ascii="Traditional Arabic" w:eastAsia="Calibri" w:hAnsi="Traditional Arabic" w:cs="Traditional Arabic"/>
                <w:sz w:val="26"/>
                <w:szCs w:val="26"/>
                <w:rtl/>
              </w:rPr>
            </w:pPr>
            <w:r w:rsidRPr="00240371">
              <w:rPr>
                <w:rFonts w:ascii="Traditional Arabic" w:hAnsi="Traditional Arabic" w:cs="Traditional Arabic"/>
                <w:color w:val="000000"/>
                <w:sz w:val="26"/>
                <w:szCs w:val="26"/>
                <w:rtl/>
                <w:lang w:bidi="ar"/>
              </w:rPr>
              <w:lastRenderedPageBreak/>
              <w:t xml:space="preserve">إيرادات </w:t>
            </w:r>
            <w:r w:rsidRPr="00650AF6">
              <w:rPr>
                <w:rFonts w:ascii="Traditional Arabic" w:eastAsia="Calibri" w:hAnsi="Traditional Arabic" w:cs="Traditional Arabic"/>
                <w:sz w:val="26"/>
                <w:szCs w:val="26"/>
                <w:rtl/>
              </w:rPr>
              <w:t>من العقود مع العملاء</w:t>
            </w:r>
          </w:p>
        </w:tc>
        <w:tc>
          <w:tcPr>
            <w:tcW w:w="1124" w:type="dxa"/>
            <w:tcBorders>
              <w:bottom w:val="single" w:sz="4" w:space="0" w:color="0B3D85"/>
            </w:tcBorders>
            <w:vAlign w:val="center"/>
          </w:tcPr>
          <w:p w14:paraId="0730FDCB"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186,881</w:t>
            </w:r>
          </w:p>
        </w:tc>
        <w:tc>
          <w:tcPr>
            <w:tcW w:w="1124" w:type="dxa"/>
            <w:tcBorders>
              <w:bottom w:val="single" w:sz="4" w:space="0" w:color="0B3D85"/>
            </w:tcBorders>
            <w:vAlign w:val="center"/>
          </w:tcPr>
          <w:p w14:paraId="7D8514CE"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266,420</w:t>
            </w:r>
          </w:p>
        </w:tc>
        <w:tc>
          <w:tcPr>
            <w:tcW w:w="1124" w:type="dxa"/>
            <w:tcBorders>
              <w:bottom w:val="single" w:sz="4" w:space="0" w:color="0B3D85"/>
            </w:tcBorders>
            <w:vAlign w:val="center"/>
          </w:tcPr>
          <w:p w14:paraId="757C2EA6"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217,006</w:t>
            </w:r>
          </w:p>
        </w:tc>
        <w:tc>
          <w:tcPr>
            <w:tcW w:w="998" w:type="dxa"/>
            <w:gridSpan w:val="2"/>
            <w:tcBorders>
              <w:bottom w:val="single" w:sz="4" w:space="0" w:color="0B3D85"/>
            </w:tcBorders>
            <w:vAlign w:val="center"/>
          </w:tcPr>
          <w:p w14:paraId="38169469"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 xml:space="preserve"> 42.6%</w:t>
            </w:r>
          </w:p>
        </w:tc>
        <w:tc>
          <w:tcPr>
            <w:tcW w:w="1118" w:type="dxa"/>
            <w:tcBorders>
              <w:bottom w:val="single" w:sz="4" w:space="0" w:color="0B3D85"/>
            </w:tcBorders>
            <w:vAlign w:val="center"/>
          </w:tcPr>
          <w:p w14:paraId="55484E98"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(18.5%)</w:t>
            </w:r>
          </w:p>
        </w:tc>
        <w:tc>
          <w:tcPr>
            <w:tcW w:w="891" w:type="dxa"/>
            <w:tcBorders>
              <w:bottom w:val="single" w:sz="4" w:space="0" w:color="0B3D85"/>
            </w:tcBorders>
            <w:vAlign w:val="center"/>
          </w:tcPr>
          <w:p w14:paraId="51FBFDE0"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7.8%</w:t>
            </w:r>
          </w:p>
        </w:tc>
        <w:tc>
          <w:tcPr>
            <w:tcW w:w="1124" w:type="dxa"/>
            <w:gridSpan w:val="2"/>
            <w:tcBorders>
              <w:bottom w:val="single" w:sz="4" w:space="0" w:color="0B3D85"/>
            </w:tcBorders>
            <w:vAlign w:val="center"/>
          </w:tcPr>
          <w:p w14:paraId="4B47605A"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112,211</w:t>
            </w:r>
          </w:p>
        </w:tc>
        <w:tc>
          <w:tcPr>
            <w:tcW w:w="1124" w:type="dxa"/>
            <w:tcBorders>
              <w:bottom w:val="single" w:sz="4" w:space="0" w:color="0B3D85"/>
            </w:tcBorders>
            <w:vAlign w:val="center"/>
          </w:tcPr>
          <w:p w14:paraId="0C483EB4"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81,291</w:t>
            </w:r>
          </w:p>
        </w:tc>
        <w:tc>
          <w:tcPr>
            <w:tcW w:w="998" w:type="dxa"/>
            <w:gridSpan w:val="2"/>
            <w:tcBorders>
              <w:bottom w:val="single" w:sz="4" w:space="0" w:color="0B3D85"/>
            </w:tcBorders>
            <w:vAlign w:val="center"/>
          </w:tcPr>
          <w:p w14:paraId="4A9A4958"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(27.6%)</w:t>
            </w:r>
          </w:p>
        </w:tc>
      </w:tr>
      <w:tr w:rsidR="00D965D1" w:rsidRPr="00A93B67" w14:paraId="3B8320D8" w14:textId="77777777" w:rsidTr="00D965D1">
        <w:trPr>
          <w:trHeight w:val="20"/>
        </w:trPr>
        <w:tc>
          <w:tcPr>
            <w:tcW w:w="1234" w:type="dxa"/>
            <w:tcBorders>
              <w:bottom w:val="single" w:sz="4" w:space="0" w:color="0B3D85"/>
            </w:tcBorders>
            <w:vAlign w:val="center"/>
          </w:tcPr>
          <w:p w14:paraId="449A7A61" w14:textId="77777777" w:rsidR="00D965D1" w:rsidRPr="00650AF6" w:rsidRDefault="00D965D1" w:rsidP="00D965D1">
            <w:pPr>
              <w:bidi/>
              <w:rPr>
                <w:rFonts w:ascii="Traditional Arabic" w:hAnsi="Traditional Arabic" w:cs="Traditional Arabic"/>
                <w:color w:val="000000"/>
                <w:sz w:val="26"/>
                <w:szCs w:val="26"/>
                <w:rtl/>
                <w:lang w:bidi="ar"/>
              </w:rPr>
            </w:pPr>
            <w:r w:rsidRPr="00240371">
              <w:rPr>
                <w:rFonts w:ascii="Traditional Arabic" w:hAnsi="Traditional Arabic" w:cs="Traditional Arabic"/>
                <w:color w:val="000000"/>
                <w:sz w:val="26"/>
                <w:szCs w:val="26"/>
                <w:rtl/>
                <w:lang w:bidi="ar"/>
              </w:rPr>
              <w:t xml:space="preserve">إيرادات الإيجار التشغيلي </w:t>
            </w:r>
          </w:p>
        </w:tc>
        <w:tc>
          <w:tcPr>
            <w:tcW w:w="1124" w:type="dxa"/>
            <w:tcBorders>
              <w:bottom w:val="single" w:sz="4" w:space="0" w:color="0B3D85"/>
            </w:tcBorders>
            <w:vAlign w:val="center"/>
          </w:tcPr>
          <w:p w14:paraId="7555A6C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38,394</w:t>
            </w:r>
          </w:p>
        </w:tc>
        <w:tc>
          <w:tcPr>
            <w:tcW w:w="1124" w:type="dxa"/>
            <w:tcBorders>
              <w:bottom w:val="single" w:sz="4" w:space="0" w:color="0B3D85"/>
            </w:tcBorders>
            <w:vAlign w:val="center"/>
          </w:tcPr>
          <w:p w14:paraId="71EB8AA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63,901</w:t>
            </w:r>
          </w:p>
        </w:tc>
        <w:tc>
          <w:tcPr>
            <w:tcW w:w="1124" w:type="dxa"/>
            <w:tcBorders>
              <w:bottom w:val="single" w:sz="4" w:space="0" w:color="0B3D85"/>
            </w:tcBorders>
            <w:vAlign w:val="center"/>
          </w:tcPr>
          <w:p w14:paraId="74327C88"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129,755</w:t>
            </w:r>
          </w:p>
        </w:tc>
        <w:tc>
          <w:tcPr>
            <w:tcW w:w="998" w:type="dxa"/>
            <w:gridSpan w:val="2"/>
            <w:tcBorders>
              <w:bottom w:val="single" w:sz="4" w:space="0" w:color="0B3D85"/>
            </w:tcBorders>
            <w:vAlign w:val="center"/>
          </w:tcPr>
          <w:p w14:paraId="4FE06E3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66.4%</w:t>
            </w:r>
          </w:p>
        </w:tc>
        <w:tc>
          <w:tcPr>
            <w:tcW w:w="1118" w:type="dxa"/>
            <w:tcBorders>
              <w:bottom w:val="single" w:sz="4" w:space="0" w:color="0B3D85"/>
            </w:tcBorders>
            <w:vAlign w:val="center"/>
          </w:tcPr>
          <w:p w14:paraId="6FF0CA6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103.1%</w:t>
            </w:r>
          </w:p>
        </w:tc>
        <w:tc>
          <w:tcPr>
            <w:tcW w:w="891" w:type="dxa"/>
            <w:tcBorders>
              <w:bottom w:val="single" w:sz="4" w:space="0" w:color="0B3D85"/>
            </w:tcBorders>
            <w:vAlign w:val="center"/>
          </w:tcPr>
          <w:p w14:paraId="0390F75C"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83.8%</w:t>
            </w:r>
          </w:p>
        </w:tc>
        <w:tc>
          <w:tcPr>
            <w:tcW w:w="1124" w:type="dxa"/>
            <w:gridSpan w:val="2"/>
            <w:tcBorders>
              <w:bottom w:val="single" w:sz="4" w:space="0" w:color="0B3D85"/>
            </w:tcBorders>
            <w:vAlign w:val="center"/>
          </w:tcPr>
          <w:p w14:paraId="6B6E2B4F"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149,625</w:t>
            </w:r>
          </w:p>
        </w:tc>
        <w:tc>
          <w:tcPr>
            <w:tcW w:w="1124" w:type="dxa"/>
            <w:tcBorders>
              <w:bottom w:val="single" w:sz="4" w:space="0" w:color="0B3D85"/>
            </w:tcBorders>
            <w:vAlign w:val="center"/>
          </w:tcPr>
          <w:p w14:paraId="7C8059F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181,421</w:t>
            </w:r>
          </w:p>
        </w:tc>
        <w:tc>
          <w:tcPr>
            <w:tcW w:w="998" w:type="dxa"/>
            <w:gridSpan w:val="2"/>
            <w:tcBorders>
              <w:bottom w:val="single" w:sz="4" w:space="0" w:color="0B3D85"/>
            </w:tcBorders>
            <w:vAlign w:val="center"/>
          </w:tcPr>
          <w:p w14:paraId="6307C0FA"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21.3%</w:t>
            </w:r>
          </w:p>
        </w:tc>
      </w:tr>
      <w:tr w:rsidR="00D965D1" w:rsidRPr="00A93B67" w14:paraId="6912D34E" w14:textId="77777777" w:rsidTr="00D965D1">
        <w:trPr>
          <w:trHeight w:val="20"/>
        </w:trPr>
        <w:tc>
          <w:tcPr>
            <w:tcW w:w="1234" w:type="dxa"/>
            <w:tcBorders>
              <w:bottom w:val="single" w:sz="4" w:space="0" w:color="0B3D85"/>
            </w:tcBorders>
            <w:vAlign w:val="center"/>
          </w:tcPr>
          <w:p w14:paraId="308FD922" w14:textId="77777777" w:rsidR="00D965D1" w:rsidRPr="00650AF6" w:rsidRDefault="00D965D1" w:rsidP="00D965D1">
            <w:pPr>
              <w:bidi/>
              <w:rPr>
                <w:rFonts w:ascii="Traditional Arabic" w:hAnsi="Traditional Arabic" w:cs="Traditional Arabic"/>
                <w:color w:val="000000"/>
                <w:sz w:val="26"/>
                <w:szCs w:val="26"/>
                <w:lang w:bidi="ar"/>
              </w:rPr>
            </w:pPr>
            <w:r w:rsidRPr="00240371">
              <w:rPr>
                <w:rFonts w:ascii="Traditional Arabic" w:hAnsi="Traditional Arabic" w:cs="Traditional Arabic"/>
                <w:color w:val="000000"/>
                <w:sz w:val="26"/>
                <w:szCs w:val="26"/>
                <w:rtl/>
                <w:lang w:bidi="ar"/>
              </w:rPr>
              <w:t>إيرادات الإيجار التمويلي</w:t>
            </w:r>
          </w:p>
        </w:tc>
        <w:tc>
          <w:tcPr>
            <w:tcW w:w="1124" w:type="dxa"/>
            <w:tcBorders>
              <w:bottom w:val="single" w:sz="4" w:space="0" w:color="0B3D85"/>
            </w:tcBorders>
            <w:vAlign w:val="center"/>
          </w:tcPr>
          <w:p w14:paraId="1989BEF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18,541</w:t>
            </w:r>
          </w:p>
        </w:tc>
        <w:tc>
          <w:tcPr>
            <w:tcW w:w="1124" w:type="dxa"/>
            <w:tcBorders>
              <w:bottom w:val="single" w:sz="4" w:space="0" w:color="0B3D85"/>
            </w:tcBorders>
            <w:vAlign w:val="center"/>
          </w:tcPr>
          <w:p w14:paraId="546F42B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17,796</w:t>
            </w:r>
          </w:p>
        </w:tc>
        <w:tc>
          <w:tcPr>
            <w:tcW w:w="1124" w:type="dxa"/>
            <w:tcBorders>
              <w:bottom w:val="single" w:sz="4" w:space="0" w:color="0B3D85"/>
            </w:tcBorders>
            <w:vAlign w:val="center"/>
          </w:tcPr>
          <w:p w14:paraId="4B5E9F60"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16,956</w:t>
            </w:r>
          </w:p>
        </w:tc>
        <w:tc>
          <w:tcPr>
            <w:tcW w:w="998" w:type="dxa"/>
            <w:gridSpan w:val="2"/>
            <w:tcBorders>
              <w:bottom w:val="single" w:sz="4" w:space="0" w:color="0B3D85"/>
            </w:tcBorders>
            <w:vAlign w:val="center"/>
          </w:tcPr>
          <w:p w14:paraId="0814F14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(0.4%)</w:t>
            </w:r>
          </w:p>
        </w:tc>
        <w:tc>
          <w:tcPr>
            <w:tcW w:w="1118" w:type="dxa"/>
            <w:tcBorders>
              <w:bottom w:val="single" w:sz="4" w:space="0" w:color="0B3D85"/>
            </w:tcBorders>
            <w:vAlign w:val="center"/>
          </w:tcPr>
          <w:p w14:paraId="26781A1D"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(4.7%)</w:t>
            </w:r>
          </w:p>
        </w:tc>
        <w:tc>
          <w:tcPr>
            <w:tcW w:w="891" w:type="dxa"/>
            <w:tcBorders>
              <w:bottom w:val="single" w:sz="4" w:space="0" w:color="0B3D85"/>
            </w:tcBorders>
            <w:vAlign w:val="center"/>
          </w:tcPr>
          <w:p w14:paraId="688E99A8"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(4.4%)</w:t>
            </w:r>
          </w:p>
        </w:tc>
        <w:tc>
          <w:tcPr>
            <w:tcW w:w="1124" w:type="dxa"/>
            <w:gridSpan w:val="2"/>
            <w:tcBorders>
              <w:bottom w:val="single" w:sz="4" w:space="0" w:color="0B3D85"/>
            </w:tcBorders>
            <w:vAlign w:val="center"/>
          </w:tcPr>
          <w:p w14:paraId="41A9BB0A"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12,782</w:t>
            </w:r>
          </w:p>
        </w:tc>
        <w:tc>
          <w:tcPr>
            <w:tcW w:w="1124" w:type="dxa"/>
            <w:tcBorders>
              <w:bottom w:val="single" w:sz="4" w:space="0" w:color="0B3D85"/>
            </w:tcBorders>
            <w:vAlign w:val="center"/>
          </w:tcPr>
          <w:p w14:paraId="277955E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12,155</w:t>
            </w:r>
          </w:p>
        </w:tc>
        <w:tc>
          <w:tcPr>
            <w:tcW w:w="998" w:type="dxa"/>
            <w:gridSpan w:val="2"/>
            <w:tcBorders>
              <w:bottom w:val="single" w:sz="4" w:space="0" w:color="0B3D85"/>
            </w:tcBorders>
            <w:vAlign w:val="center"/>
          </w:tcPr>
          <w:p w14:paraId="74E0A47A"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(4.9%)</w:t>
            </w:r>
          </w:p>
        </w:tc>
      </w:tr>
      <w:tr w:rsidR="00D965D1" w:rsidRPr="00A93B67" w14:paraId="3BD78982" w14:textId="77777777" w:rsidTr="00D965D1">
        <w:trPr>
          <w:trHeight w:val="58"/>
        </w:trPr>
        <w:tc>
          <w:tcPr>
            <w:tcW w:w="1234" w:type="dxa"/>
            <w:tcBorders>
              <w:bottom w:val="single" w:sz="4" w:space="0" w:color="0B3D85"/>
            </w:tcBorders>
            <w:vAlign w:val="center"/>
          </w:tcPr>
          <w:p w14:paraId="12414243" w14:textId="77777777" w:rsidR="00D965D1" w:rsidRPr="00650AF6" w:rsidRDefault="00D965D1" w:rsidP="00D965D1">
            <w:pPr>
              <w:bidi/>
              <w:rPr>
                <w:rFonts w:ascii="Traditional Arabic" w:hAnsi="Traditional Arabic" w:cs="Traditional Arabic"/>
                <w:color w:val="000000"/>
                <w:sz w:val="26"/>
                <w:szCs w:val="26"/>
                <w:rtl/>
                <w:lang w:bidi="ar"/>
              </w:rPr>
            </w:pPr>
            <w:r w:rsidRPr="00240371">
              <w:rPr>
                <w:rFonts w:ascii="Traditional Arabic" w:hAnsi="Traditional Arabic" w:cs="Traditional Arabic"/>
                <w:b/>
                <w:bCs/>
                <w:color w:val="000000"/>
                <w:sz w:val="26"/>
                <w:szCs w:val="26"/>
                <w:rtl/>
                <w:lang w:bidi="ar"/>
              </w:rPr>
              <w:t>الإيرادات</w:t>
            </w:r>
            <w:r w:rsidRPr="00650AF6">
              <w:rPr>
                <w:rFonts w:ascii="Traditional Arabic" w:hAnsi="Traditional Arabic" w:cs="Traditional Arabic"/>
                <w:color w:val="000000"/>
                <w:sz w:val="26"/>
                <w:szCs w:val="26"/>
                <w:rtl/>
                <w:lang w:bidi="ar"/>
              </w:rPr>
              <w:t xml:space="preserve"> </w:t>
            </w:r>
          </w:p>
        </w:tc>
        <w:tc>
          <w:tcPr>
            <w:tcW w:w="1124" w:type="dxa"/>
            <w:tcBorders>
              <w:bottom w:val="single" w:sz="4" w:space="0" w:color="0B3D85"/>
            </w:tcBorders>
            <w:vAlign w:val="center"/>
          </w:tcPr>
          <w:p w14:paraId="6C97BF88"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243,816</w:t>
            </w:r>
          </w:p>
        </w:tc>
        <w:tc>
          <w:tcPr>
            <w:tcW w:w="1124" w:type="dxa"/>
            <w:tcBorders>
              <w:bottom w:val="single" w:sz="4" w:space="0" w:color="0B3D85"/>
            </w:tcBorders>
            <w:vAlign w:val="center"/>
          </w:tcPr>
          <w:p w14:paraId="149BB148"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348,117</w:t>
            </w:r>
          </w:p>
        </w:tc>
        <w:tc>
          <w:tcPr>
            <w:tcW w:w="1124" w:type="dxa"/>
            <w:tcBorders>
              <w:bottom w:val="single" w:sz="4" w:space="0" w:color="0B3D85"/>
            </w:tcBorders>
            <w:vAlign w:val="center"/>
          </w:tcPr>
          <w:p w14:paraId="33ECC7C9"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363,717</w:t>
            </w:r>
          </w:p>
        </w:tc>
        <w:tc>
          <w:tcPr>
            <w:tcW w:w="998" w:type="dxa"/>
            <w:gridSpan w:val="2"/>
            <w:tcBorders>
              <w:bottom w:val="single" w:sz="4" w:space="0" w:color="0B3D85"/>
            </w:tcBorders>
            <w:vAlign w:val="center"/>
          </w:tcPr>
          <w:p w14:paraId="1DB93F71"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42.8%</w:t>
            </w:r>
          </w:p>
        </w:tc>
        <w:tc>
          <w:tcPr>
            <w:tcW w:w="1118" w:type="dxa"/>
            <w:tcBorders>
              <w:bottom w:val="single" w:sz="4" w:space="0" w:color="0B3D85"/>
            </w:tcBorders>
            <w:vAlign w:val="center"/>
          </w:tcPr>
          <w:p w14:paraId="66C38839"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4.5%</w:t>
            </w:r>
          </w:p>
        </w:tc>
        <w:tc>
          <w:tcPr>
            <w:tcW w:w="891" w:type="dxa"/>
            <w:tcBorders>
              <w:bottom w:val="single" w:sz="4" w:space="0" w:color="0B3D85"/>
            </w:tcBorders>
            <w:vAlign w:val="center"/>
          </w:tcPr>
          <w:p w14:paraId="764DD90E"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22.1%</w:t>
            </w:r>
          </w:p>
        </w:tc>
        <w:tc>
          <w:tcPr>
            <w:tcW w:w="1124" w:type="dxa"/>
            <w:gridSpan w:val="2"/>
            <w:tcBorders>
              <w:bottom w:val="single" w:sz="4" w:space="0" w:color="0B3D85"/>
            </w:tcBorders>
            <w:vAlign w:val="center"/>
          </w:tcPr>
          <w:p w14:paraId="238CF2F0"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274,617</w:t>
            </w:r>
          </w:p>
        </w:tc>
        <w:tc>
          <w:tcPr>
            <w:tcW w:w="1124" w:type="dxa"/>
            <w:tcBorders>
              <w:bottom w:val="single" w:sz="4" w:space="0" w:color="0B3D85"/>
            </w:tcBorders>
            <w:vAlign w:val="center"/>
          </w:tcPr>
          <w:p w14:paraId="7150969C"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274,867</w:t>
            </w:r>
          </w:p>
        </w:tc>
        <w:tc>
          <w:tcPr>
            <w:tcW w:w="998" w:type="dxa"/>
            <w:gridSpan w:val="2"/>
            <w:tcBorders>
              <w:bottom w:val="single" w:sz="4" w:space="0" w:color="0B3D85"/>
            </w:tcBorders>
            <w:vAlign w:val="center"/>
          </w:tcPr>
          <w:p w14:paraId="3BAECC11"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0.1%</w:t>
            </w:r>
          </w:p>
        </w:tc>
      </w:tr>
      <w:tr w:rsidR="00D965D1" w:rsidRPr="00A93B67" w14:paraId="4769FA23" w14:textId="77777777" w:rsidTr="00D965D1">
        <w:trPr>
          <w:trHeight w:val="20"/>
        </w:trPr>
        <w:tc>
          <w:tcPr>
            <w:tcW w:w="1234" w:type="dxa"/>
            <w:tcBorders>
              <w:top w:val="single" w:sz="4" w:space="0" w:color="0B3D85"/>
              <w:bottom w:val="single" w:sz="4" w:space="0" w:color="0B3D85"/>
            </w:tcBorders>
            <w:vAlign w:val="center"/>
          </w:tcPr>
          <w:p w14:paraId="56C31831" w14:textId="77777777" w:rsidR="00D965D1" w:rsidRPr="00650AF6" w:rsidRDefault="00D965D1" w:rsidP="00D965D1">
            <w:pPr>
              <w:bidi/>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 xml:space="preserve">تكاليف تشغيل رحلات </w:t>
            </w:r>
          </w:p>
        </w:tc>
        <w:tc>
          <w:tcPr>
            <w:tcW w:w="1124" w:type="dxa"/>
            <w:tcBorders>
              <w:top w:val="single" w:sz="4" w:space="0" w:color="0B3D85"/>
              <w:bottom w:val="single" w:sz="4" w:space="0" w:color="0B3D85"/>
            </w:tcBorders>
            <w:vAlign w:val="center"/>
          </w:tcPr>
          <w:p w14:paraId="1583F31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(62,744)</w:t>
            </w:r>
          </w:p>
        </w:tc>
        <w:tc>
          <w:tcPr>
            <w:tcW w:w="1124" w:type="dxa"/>
            <w:tcBorders>
              <w:top w:val="single" w:sz="4" w:space="0" w:color="0B3D85"/>
              <w:bottom w:val="single" w:sz="4" w:space="0" w:color="0B3D85"/>
            </w:tcBorders>
            <w:vAlign w:val="center"/>
          </w:tcPr>
          <w:p w14:paraId="021139F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(98,053)</w:t>
            </w:r>
          </w:p>
        </w:tc>
        <w:tc>
          <w:tcPr>
            <w:tcW w:w="1124" w:type="dxa"/>
            <w:tcBorders>
              <w:top w:val="single" w:sz="4" w:space="0" w:color="0B3D85"/>
              <w:bottom w:val="single" w:sz="4" w:space="0" w:color="0B3D85"/>
            </w:tcBorders>
            <w:vAlign w:val="center"/>
          </w:tcPr>
          <w:p w14:paraId="69E930DC"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(81,701)</w:t>
            </w:r>
          </w:p>
        </w:tc>
        <w:tc>
          <w:tcPr>
            <w:tcW w:w="998" w:type="dxa"/>
            <w:gridSpan w:val="2"/>
            <w:tcBorders>
              <w:top w:val="single" w:sz="4" w:space="0" w:color="0B3D85"/>
              <w:bottom w:val="single" w:sz="4" w:space="0" w:color="0B3D85"/>
            </w:tcBorders>
            <w:vAlign w:val="center"/>
          </w:tcPr>
          <w:p w14:paraId="3204655B"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56.3%</w:t>
            </w:r>
          </w:p>
        </w:tc>
        <w:tc>
          <w:tcPr>
            <w:tcW w:w="1118" w:type="dxa"/>
            <w:tcBorders>
              <w:top w:val="single" w:sz="4" w:space="0" w:color="0B3D85"/>
              <w:bottom w:val="single" w:sz="4" w:space="0" w:color="0B3D85"/>
            </w:tcBorders>
            <w:vAlign w:val="center"/>
          </w:tcPr>
          <w:p w14:paraId="6DB12115"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(16.7%)</w:t>
            </w:r>
          </w:p>
        </w:tc>
        <w:tc>
          <w:tcPr>
            <w:tcW w:w="891" w:type="dxa"/>
            <w:tcBorders>
              <w:top w:val="single" w:sz="4" w:space="0" w:color="0B3D85"/>
              <w:bottom w:val="single" w:sz="4" w:space="0" w:color="0B3D85"/>
            </w:tcBorders>
            <w:vAlign w:val="center"/>
          </w:tcPr>
          <w:p w14:paraId="3F4F1857"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14.1%</w:t>
            </w:r>
          </w:p>
        </w:tc>
        <w:tc>
          <w:tcPr>
            <w:tcW w:w="1124" w:type="dxa"/>
            <w:gridSpan w:val="2"/>
            <w:tcBorders>
              <w:top w:val="single" w:sz="4" w:space="0" w:color="0B3D85"/>
              <w:bottom w:val="single" w:sz="4" w:space="0" w:color="0B3D85"/>
            </w:tcBorders>
            <w:vAlign w:val="center"/>
          </w:tcPr>
          <w:p w14:paraId="5865A93B"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(62,235)</w:t>
            </w:r>
          </w:p>
        </w:tc>
        <w:tc>
          <w:tcPr>
            <w:tcW w:w="1124" w:type="dxa"/>
            <w:tcBorders>
              <w:top w:val="single" w:sz="4" w:space="0" w:color="0B3D85"/>
              <w:bottom w:val="single" w:sz="4" w:space="0" w:color="0B3D85"/>
            </w:tcBorders>
            <w:vAlign w:val="center"/>
          </w:tcPr>
          <w:p w14:paraId="4F1A1E4A"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(38,763)</w:t>
            </w:r>
          </w:p>
        </w:tc>
        <w:tc>
          <w:tcPr>
            <w:tcW w:w="998" w:type="dxa"/>
            <w:gridSpan w:val="2"/>
            <w:tcBorders>
              <w:top w:val="single" w:sz="4" w:space="0" w:color="0B3D85"/>
              <w:bottom w:val="single" w:sz="4" w:space="0" w:color="0B3D85"/>
            </w:tcBorders>
            <w:vAlign w:val="center"/>
          </w:tcPr>
          <w:p w14:paraId="3808DF44"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(37.7%)</w:t>
            </w:r>
          </w:p>
        </w:tc>
      </w:tr>
      <w:tr w:rsidR="00D965D1" w:rsidRPr="00A93B67" w14:paraId="0B24A521" w14:textId="77777777" w:rsidTr="00D965D1">
        <w:trPr>
          <w:trHeight w:val="20"/>
        </w:trPr>
        <w:tc>
          <w:tcPr>
            <w:tcW w:w="1234" w:type="dxa"/>
            <w:tcBorders>
              <w:top w:val="single" w:sz="4" w:space="0" w:color="0B3D85"/>
              <w:bottom w:val="single" w:sz="4" w:space="0" w:color="0B3D85"/>
            </w:tcBorders>
            <w:vAlign w:val="center"/>
          </w:tcPr>
          <w:p w14:paraId="47ADE0AA" w14:textId="77777777" w:rsidR="00D965D1" w:rsidRPr="00650AF6" w:rsidRDefault="00D965D1" w:rsidP="00D965D1">
            <w:pPr>
              <w:bidi/>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 xml:space="preserve">مصروفات تأجير السفن لعقود إيجار السفن قصيرة الأجل </w:t>
            </w:r>
          </w:p>
        </w:tc>
        <w:tc>
          <w:tcPr>
            <w:tcW w:w="1124" w:type="dxa"/>
            <w:tcBorders>
              <w:top w:val="single" w:sz="4" w:space="0" w:color="0B3D85"/>
              <w:bottom w:val="single" w:sz="4" w:space="0" w:color="0B3D85"/>
            </w:tcBorders>
            <w:vAlign w:val="center"/>
          </w:tcPr>
          <w:p w14:paraId="7490AC5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(13,026)</w:t>
            </w:r>
          </w:p>
        </w:tc>
        <w:tc>
          <w:tcPr>
            <w:tcW w:w="1124" w:type="dxa"/>
            <w:tcBorders>
              <w:top w:val="single" w:sz="4" w:space="0" w:color="0B3D85"/>
              <w:bottom w:val="single" w:sz="4" w:space="0" w:color="0B3D85"/>
            </w:tcBorders>
            <w:vAlign w:val="center"/>
          </w:tcPr>
          <w:p w14:paraId="6D2FF2CC"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(22,077)</w:t>
            </w:r>
          </w:p>
        </w:tc>
        <w:tc>
          <w:tcPr>
            <w:tcW w:w="1124" w:type="dxa"/>
            <w:tcBorders>
              <w:top w:val="single" w:sz="4" w:space="0" w:color="0B3D85"/>
              <w:bottom w:val="single" w:sz="4" w:space="0" w:color="0B3D85"/>
            </w:tcBorders>
            <w:vAlign w:val="center"/>
          </w:tcPr>
          <w:p w14:paraId="638265AE"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(28,643)</w:t>
            </w:r>
          </w:p>
        </w:tc>
        <w:tc>
          <w:tcPr>
            <w:tcW w:w="998" w:type="dxa"/>
            <w:gridSpan w:val="2"/>
            <w:tcBorders>
              <w:top w:val="single" w:sz="4" w:space="0" w:color="0B3D85"/>
              <w:bottom w:val="single" w:sz="4" w:space="0" w:color="0B3D85"/>
            </w:tcBorders>
            <w:vAlign w:val="center"/>
          </w:tcPr>
          <w:p w14:paraId="1C83C1DE"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69.5%</w:t>
            </w:r>
          </w:p>
        </w:tc>
        <w:tc>
          <w:tcPr>
            <w:tcW w:w="1118" w:type="dxa"/>
            <w:tcBorders>
              <w:top w:val="single" w:sz="4" w:space="0" w:color="0B3D85"/>
              <w:bottom w:val="single" w:sz="4" w:space="0" w:color="0B3D85"/>
            </w:tcBorders>
            <w:vAlign w:val="center"/>
          </w:tcPr>
          <w:p w14:paraId="05B12C95"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29.7%</w:t>
            </w:r>
          </w:p>
        </w:tc>
        <w:tc>
          <w:tcPr>
            <w:tcW w:w="891" w:type="dxa"/>
            <w:tcBorders>
              <w:top w:val="single" w:sz="4" w:space="0" w:color="0B3D85"/>
              <w:bottom w:val="single" w:sz="4" w:space="0" w:color="0B3D85"/>
            </w:tcBorders>
            <w:vAlign w:val="center"/>
          </w:tcPr>
          <w:p w14:paraId="7907F5D1"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48.3%</w:t>
            </w:r>
          </w:p>
        </w:tc>
        <w:tc>
          <w:tcPr>
            <w:tcW w:w="1124" w:type="dxa"/>
            <w:gridSpan w:val="2"/>
            <w:tcBorders>
              <w:top w:val="single" w:sz="4" w:space="0" w:color="0B3D85"/>
              <w:bottom w:val="single" w:sz="4" w:space="0" w:color="0B3D85"/>
            </w:tcBorders>
            <w:vAlign w:val="center"/>
          </w:tcPr>
          <w:p w14:paraId="416E3AC7"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(22,451)</w:t>
            </w:r>
          </w:p>
        </w:tc>
        <w:tc>
          <w:tcPr>
            <w:tcW w:w="1124" w:type="dxa"/>
            <w:tcBorders>
              <w:top w:val="single" w:sz="4" w:space="0" w:color="0B3D85"/>
              <w:bottom w:val="single" w:sz="4" w:space="0" w:color="0B3D85"/>
            </w:tcBorders>
            <w:vAlign w:val="center"/>
          </w:tcPr>
          <w:p w14:paraId="3CD1B4D7"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(18,566)</w:t>
            </w:r>
          </w:p>
        </w:tc>
        <w:tc>
          <w:tcPr>
            <w:tcW w:w="998" w:type="dxa"/>
            <w:gridSpan w:val="2"/>
            <w:tcBorders>
              <w:top w:val="single" w:sz="4" w:space="0" w:color="0B3D85"/>
              <w:bottom w:val="single" w:sz="4" w:space="0" w:color="0B3D85"/>
            </w:tcBorders>
            <w:vAlign w:val="center"/>
          </w:tcPr>
          <w:p w14:paraId="5413800F"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(17.3%)</w:t>
            </w:r>
          </w:p>
        </w:tc>
      </w:tr>
      <w:tr w:rsidR="00D965D1" w:rsidRPr="00A93B67" w14:paraId="0044F362" w14:textId="77777777" w:rsidTr="00D965D1">
        <w:trPr>
          <w:trHeight w:val="20"/>
        </w:trPr>
        <w:tc>
          <w:tcPr>
            <w:tcW w:w="1234" w:type="dxa"/>
            <w:tcBorders>
              <w:top w:val="single" w:sz="4" w:space="0" w:color="0B3D85"/>
              <w:bottom w:val="single" w:sz="4" w:space="0" w:color="0B3D85"/>
            </w:tcBorders>
            <w:vAlign w:val="center"/>
          </w:tcPr>
          <w:p w14:paraId="17DFA920" w14:textId="77777777" w:rsidR="00D965D1" w:rsidRPr="00650AF6" w:rsidRDefault="00D965D1" w:rsidP="00D965D1">
            <w:pPr>
              <w:bidi/>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 xml:space="preserve">تكاليف تشغيل السفن </w:t>
            </w:r>
          </w:p>
        </w:tc>
        <w:tc>
          <w:tcPr>
            <w:tcW w:w="1124" w:type="dxa"/>
            <w:tcBorders>
              <w:top w:val="single" w:sz="4" w:space="0" w:color="0B3D85"/>
              <w:bottom w:val="single" w:sz="4" w:space="0" w:color="0B3D85"/>
            </w:tcBorders>
            <w:vAlign w:val="center"/>
          </w:tcPr>
          <w:p w14:paraId="7A67E4B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(115,270)</w:t>
            </w:r>
          </w:p>
        </w:tc>
        <w:tc>
          <w:tcPr>
            <w:tcW w:w="1124" w:type="dxa"/>
            <w:tcBorders>
              <w:top w:val="single" w:sz="4" w:space="0" w:color="0B3D85"/>
              <w:bottom w:val="single" w:sz="4" w:space="0" w:color="0B3D85"/>
            </w:tcBorders>
            <w:vAlign w:val="center"/>
          </w:tcPr>
          <w:p w14:paraId="7EBD8A14"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(138,036)</w:t>
            </w:r>
          </w:p>
        </w:tc>
        <w:tc>
          <w:tcPr>
            <w:tcW w:w="1124" w:type="dxa"/>
            <w:tcBorders>
              <w:top w:val="single" w:sz="4" w:space="0" w:color="0B3D85"/>
              <w:bottom w:val="single" w:sz="4" w:space="0" w:color="0B3D85"/>
            </w:tcBorders>
            <w:vAlign w:val="center"/>
          </w:tcPr>
          <w:p w14:paraId="48672690"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(170,570)</w:t>
            </w:r>
          </w:p>
        </w:tc>
        <w:tc>
          <w:tcPr>
            <w:tcW w:w="998" w:type="dxa"/>
            <w:gridSpan w:val="2"/>
            <w:tcBorders>
              <w:top w:val="single" w:sz="4" w:space="0" w:color="0B3D85"/>
              <w:bottom w:val="single" w:sz="4" w:space="0" w:color="0B3D85"/>
            </w:tcBorders>
            <w:vAlign w:val="center"/>
          </w:tcPr>
          <w:p w14:paraId="383F418C" w14:textId="77C0C7F3"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19.</w:t>
            </w:r>
            <w:r w:rsidR="00242F69">
              <w:rPr>
                <w:rFonts w:ascii="Traditional Arabic" w:hAnsi="Traditional Arabic" w:cs="Traditional Arabic" w:hint="cs"/>
                <w:sz w:val="26"/>
                <w:szCs w:val="26"/>
                <w:rtl/>
              </w:rPr>
              <w:t>7</w:t>
            </w:r>
            <w:r w:rsidRPr="00650AF6">
              <w:rPr>
                <w:rFonts w:ascii="Traditional Arabic" w:hAnsi="Traditional Arabic" w:cs="Traditional Arabic"/>
                <w:sz w:val="26"/>
                <w:szCs w:val="26"/>
                <w:rtl/>
              </w:rPr>
              <w:t>%</w:t>
            </w:r>
          </w:p>
        </w:tc>
        <w:tc>
          <w:tcPr>
            <w:tcW w:w="1118" w:type="dxa"/>
            <w:tcBorders>
              <w:top w:val="single" w:sz="4" w:space="0" w:color="0B3D85"/>
              <w:bottom w:val="single" w:sz="4" w:space="0" w:color="0B3D85"/>
            </w:tcBorders>
            <w:vAlign w:val="center"/>
          </w:tcPr>
          <w:p w14:paraId="6DC26C87"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23.6%</w:t>
            </w:r>
          </w:p>
        </w:tc>
        <w:tc>
          <w:tcPr>
            <w:tcW w:w="891" w:type="dxa"/>
            <w:tcBorders>
              <w:top w:val="single" w:sz="4" w:space="0" w:color="0B3D85"/>
              <w:bottom w:val="single" w:sz="4" w:space="0" w:color="0B3D85"/>
            </w:tcBorders>
            <w:vAlign w:val="center"/>
          </w:tcPr>
          <w:p w14:paraId="56CA5A9F"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21.6%</w:t>
            </w:r>
          </w:p>
        </w:tc>
        <w:tc>
          <w:tcPr>
            <w:tcW w:w="1124" w:type="dxa"/>
            <w:gridSpan w:val="2"/>
            <w:tcBorders>
              <w:top w:val="single" w:sz="4" w:space="0" w:color="0B3D85"/>
              <w:bottom w:val="single" w:sz="4" w:space="0" w:color="0B3D85"/>
            </w:tcBorders>
            <w:vAlign w:val="center"/>
          </w:tcPr>
          <w:p w14:paraId="2C036F0A"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(122,9</w:t>
            </w:r>
            <w:r w:rsidRPr="00650AF6">
              <w:rPr>
                <w:rFonts w:ascii="Traditional Arabic" w:hAnsi="Traditional Arabic" w:cs="Traditional Arabic"/>
                <w:sz w:val="26"/>
                <w:szCs w:val="26"/>
                <w:rtl/>
                <w:lang w:bidi="ar-JO"/>
              </w:rPr>
              <w:t>1</w:t>
            </w:r>
            <w:r w:rsidRPr="00650AF6">
              <w:rPr>
                <w:rFonts w:ascii="Traditional Arabic" w:hAnsi="Traditional Arabic" w:cs="Traditional Arabic"/>
                <w:sz w:val="26"/>
                <w:szCs w:val="26"/>
                <w:rtl/>
              </w:rPr>
              <w:t>7)</w:t>
            </w:r>
          </w:p>
        </w:tc>
        <w:tc>
          <w:tcPr>
            <w:tcW w:w="1124" w:type="dxa"/>
            <w:tcBorders>
              <w:top w:val="single" w:sz="4" w:space="0" w:color="0B3D85"/>
              <w:bottom w:val="single" w:sz="4" w:space="0" w:color="0B3D85"/>
            </w:tcBorders>
            <w:vAlign w:val="center"/>
          </w:tcPr>
          <w:p w14:paraId="1AC78DFB"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(134,344)</w:t>
            </w:r>
          </w:p>
        </w:tc>
        <w:tc>
          <w:tcPr>
            <w:tcW w:w="998" w:type="dxa"/>
            <w:gridSpan w:val="2"/>
            <w:tcBorders>
              <w:top w:val="single" w:sz="4" w:space="0" w:color="0B3D85"/>
              <w:bottom w:val="single" w:sz="4" w:space="0" w:color="0B3D85"/>
            </w:tcBorders>
            <w:vAlign w:val="center"/>
          </w:tcPr>
          <w:p w14:paraId="749E8443"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9.3%</w:t>
            </w:r>
          </w:p>
        </w:tc>
      </w:tr>
      <w:tr w:rsidR="00D965D1" w:rsidRPr="00A93B67" w14:paraId="703C5D25" w14:textId="77777777" w:rsidTr="00D965D1">
        <w:trPr>
          <w:trHeight w:val="58"/>
        </w:trPr>
        <w:tc>
          <w:tcPr>
            <w:tcW w:w="1234" w:type="dxa"/>
            <w:tcBorders>
              <w:top w:val="single" w:sz="4" w:space="0" w:color="0B3D85"/>
              <w:bottom w:val="single" w:sz="4" w:space="0" w:color="0B3D85"/>
            </w:tcBorders>
            <w:vAlign w:val="center"/>
          </w:tcPr>
          <w:p w14:paraId="70399F96" w14:textId="77777777" w:rsidR="00D965D1" w:rsidRPr="00650AF6" w:rsidRDefault="00D965D1" w:rsidP="00D965D1">
            <w:pPr>
              <w:bidi/>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 xml:space="preserve">إجمالي الارباح </w:t>
            </w:r>
          </w:p>
        </w:tc>
        <w:tc>
          <w:tcPr>
            <w:tcW w:w="1124" w:type="dxa"/>
            <w:tcBorders>
              <w:top w:val="single" w:sz="4" w:space="0" w:color="0B3D85"/>
              <w:bottom w:val="single" w:sz="4" w:space="0" w:color="0B3D85"/>
            </w:tcBorders>
            <w:vAlign w:val="center"/>
          </w:tcPr>
          <w:p w14:paraId="6DAC250B"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52,776</w:t>
            </w:r>
          </w:p>
        </w:tc>
        <w:tc>
          <w:tcPr>
            <w:tcW w:w="1124" w:type="dxa"/>
            <w:tcBorders>
              <w:top w:val="single" w:sz="4" w:space="0" w:color="0B3D85"/>
              <w:bottom w:val="single" w:sz="4" w:space="0" w:color="0B3D85"/>
            </w:tcBorders>
            <w:vAlign w:val="center"/>
          </w:tcPr>
          <w:p w14:paraId="00160046"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89,951</w:t>
            </w:r>
          </w:p>
        </w:tc>
        <w:tc>
          <w:tcPr>
            <w:tcW w:w="1124" w:type="dxa"/>
            <w:tcBorders>
              <w:top w:val="single" w:sz="4" w:space="0" w:color="0B3D85"/>
              <w:bottom w:val="single" w:sz="4" w:space="0" w:color="0B3D85"/>
            </w:tcBorders>
            <w:vAlign w:val="center"/>
          </w:tcPr>
          <w:p w14:paraId="671538D9"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82,802</w:t>
            </w:r>
          </w:p>
        </w:tc>
        <w:tc>
          <w:tcPr>
            <w:tcW w:w="998" w:type="dxa"/>
            <w:gridSpan w:val="2"/>
            <w:tcBorders>
              <w:top w:val="single" w:sz="4" w:space="0" w:color="0B3D85"/>
              <w:bottom w:val="single" w:sz="4" w:space="0" w:color="0B3D85"/>
            </w:tcBorders>
            <w:vAlign w:val="center"/>
          </w:tcPr>
          <w:p w14:paraId="3432B83F"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70.4%</w:t>
            </w:r>
          </w:p>
        </w:tc>
        <w:tc>
          <w:tcPr>
            <w:tcW w:w="1118" w:type="dxa"/>
            <w:tcBorders>
              <w:top w:val="single" w:sz="4" w:space="0" w:color="0B3D85"/>
              <w:bottom w:val="single" w:sz="4" w:space="0" w:color="0B3D85"/>
            </w:tcBorders>
            <w:vAlign w:val="center"/>
          </w:tcPr>
          <w:p w14:paraId="18D32114"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(7.9%)</w:t>
            </w:r>
          </w:p>
        </w:tc>
        <w:tc>
          <w:tcPr>
            <w:tcW w:w="891" w:type="dxa"/>
            <w:tcBorders>
              <w:top w:val="single" w:sz="4" w:space="0" w:color="0B3D85"/>
              <w:bottom w:val="single" w:sz="4" w:space="0" w:color="0B3D85"/>
            </w:tcBorders>
            <w:vAlign w:val="center"/>
          </w:tcPr>
          <w:p w14:paraId="76A8CE16"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25.3%</w:t>
            </w:r>
          </w:p>
        </w:tc>
        <w:tc>
          <w:tcPr>
            <w:tcW w:w="1124" w:type="dxa"/>
            <w:gridSpan w:val="2"/>
            <w:tcBorders>
              <w:top w:val="single" w:sz="4" w:space="0" w:color="0B3D85"/>
              <w:bottom w:val="single" w:sz="4" w:space="0" w:color="0B3D85"/>
            </w:tcBorders>
            <w:vAlign w:val="center"/>
          </w:tcPr>
          <w:p w14:paraId="44F70951" w14:textId="77777777" w:rsidR="00D965D1" w:rsidRPr="00650AF6" w:rsidRDefault="00D965D1" w:rsidP="00D965D1">
            <w:pPr>
              <w:jc w:val="center"/>
              <w:rPr>
                <w:rFonts w:ascii="Traditional Arabic" w:hAnsi="Traditional Arabic" w:cs="Traditional Arabic"/>
                <w:b/>
                <w:bCs/>
                <w:sz w:val="26"/>
                <w:szCs w:val="26"/>
                <w:rtl/>
                <w:lang w:bidi="ar-JO"/>
              </w:rPr>
            </w:pPr>
            <w:r w:rsidRPr="00650AF6">
              <w:rPr>
                <w:rFonts w:ascii="Traditional Arabic" w:hAnsi="Traditional Arabic" w:cs="Traditional Arabic"/>
                <w:b/>
                <w:bCs/>
                <w:sz w:val="26"/>
                <w:szCs w:val="26"/>
                <w:rtl/>
                <w:lang w:bidi="ar-JO"/>
              </w:rPr>
              <w:t>67,013</w:t>
            </w:r>
          </w:p>
        </w:tc>
        <w:tc>
          <w:tcPr>
            <w:tcW w:w="1124" w:type="dxa"/>
            <w:tcBorders>
              <w:top w:val="single" w:sz="4" w:space="0" w:color="0B3D85"/>
              <w:bottom w:val="single" w:sz="4" w:space="0" w:color="0B3D85"/>
            </w:tcBorders>
            <w:vAlign w:val="center"/>
          </w:tcPr>
          <w:p w14:paraId="542D54D9"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83,194</w:t>
            </w:r>
          </w:p>
        </w:tc>
        <w:tc>
          <w:tcPr>
            <w:tcW w:w="998" w:type="dxa"/>
            <w:gridSpan w:val="2"/>
            <w:tcBorders>
              <w:top w:val="single" w:sz="4" w:space="0" w:color="0B3D85"/>
              <w:bottom w:val="single" w:sz="4" w:space="0" w:color="0B3D85"/>
            </w:tcBorders>
            <w:vAlign w:val="center"/>
          </w:tcPr>
          <w:p w14:paraId="6A1CDC4D" w14:textId="77777777" w:rsidR="00D965D1" w:rsidRPr="00650AF6" w:rsidRDefault="00D965D1" w:rsidP="00D965D1">
            <w:pPr>
              <w:jc w:val="center"/>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24.2%</w:t>
            </w:r>
          </w:p>
        </w:tc>
      </w:tr>
      <w:tr w:rsidR="00D965D1" w:rsidRPr="00A93B67" w14:paraId="5FA45F8A" w14:textId="77777777" w:rsidTr="00D965D1">
        <w:trPr>
          <w:trHeight w:val="58"/>
        </w:trPr>
        <w:tc>
          <w:tcPr>
            <w:tcW w:w="1234" w:type="dxa"/>
            <w:tcBorders>
              <w:top w:val="single" w:sz="4" w:space="0" w:color="0B3D85"/>
              <w:bottom w:val="single" w:sz="4" w:space="0" w:color="0B3D85"/>
            </w:tcBorders>
            <w:vAlign w:val="center"/>
          </w:tcPr>
          <w:p w14:paraId="56CE5937" w14:textId="77777777" w:rsidR="00D965D1" w:rsidRPr="00650AF6" w:rsidRDefault="00D965D1" w:rsidP="00D965D1">
            <w:pPr>
              <w:bidi/>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 xml:space="preserve">إيرادات أخرى </w:t>
            </w:r>
          </w:p>
        </w:tc>
        <w:tc>
          <w:tcPr>
            <w:tcW w:w="1124" w:type="dxa"/>
            <w:tcBorders>
              <w:top w:val="single" w:sz="4" w:space="0" w:color="0B3D85"/>
              <w:bottom w:val="single" w:sz="4" w:space="0" w:color="0B3D85"/>
            </w:tcBorders>
            <w:vAlign w:val="center"/>
          </w:tcPr>
          <w:p w14:paraId="454167B9"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310</w:t>
            </w:r>
          </w:p>
        </w:tc>
        <w:tc>
          <w:tcPr>
            <w:tcW w:w="1124" w:type="dxa"/>
            <w:tcBorders>
              <w:top w:val="single" w:sz="4" w:space="0" w:color="0B3D85"/>
              <w:bottom w:val="single" w:sz="4" w:space="0" w:color="0B3D85"/>
            </w:tcBorders>
            <w:vAlign w:val="center"/>
          </w:tcPr>
          <w:p w14:paraId="79350EC0"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576</w:t>
            </w:r>
          </w:p>
        </w:tc>
        <w:tc>
          <w:tcPr>
            <w:tcW w:w="1124" w:type="dxa"/>
            <w:tcBorders>
              <w:top w:val="single" w:sz="4" w:space="0" w:color="0B3D85"/>
              <w:bottom w:val="single" w:sz="4" w:space="0" w:color="0B3D85"/>
            </w:tcBorders>
            <w:vAlign w:val="center"/>
          </w:tcPr>
          <w:p w14:paraId="0383E73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7,477</w:t>
            </w:r>
          </w:p>
        </w:tc>
        <w:tc>
          <w:tcPr>
            <w:tcW w:w="998" w:type="dxa"/>
            <w:gridSpan w:val="2"/>
            <w:tcBorders>
              <w:top w:val="single" w:sz="4" w:space="0" w:color="0B3D85"/>
              <w:bottom w:val="single" w:sz="4" w:space="0" w:color="0B3D85"/>
            </w:tcBorders>
            <w:vAlign w:val="center"/>
          </w:tcPr>
          <w:p w14:paraId="76491DFC"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86.0%</w:t>
            </w:r>
          </w:p>
        </w:tc>
        <w:tc>
          <w:tcPr>
            <w:tcW w:w="1118" w:type="dxa"/>
            <w:tcBorders>
              <w:top w:val="single" w:sz="4" w:space="0" w:color="0B3D85"/>
              <w:bottom w:val="single" w:sz="4" w:space="0" w:color="0B3D85"/>
            </w:tcBorders>
            <w:vAlign w:val="center"/>
          </w:tcPr>
          <w:p w14:paraId="6E104EEB" w14:textId="77777777" w:rsidR="00D965D1" w:rsidRPr="00650AF6" w:rsidRDefault="009E5145" w:rsidP="00D965D1">
            <w:pPr>
              <w:jc w:val="center"/>
              <w:rPr>
                <w:rFonts w:ascii="Traditional Arabic" w:hAnsi="Traditional Arabic" w:cs="Traditional Arabic"/>
                <w:sz w:val="26"/>
                <w:szCs w:val="26"/>
                <w:rtl/>
              </w:rPr>
            </w:pPr>
            <w:r>
              <w:rPr>
                <w:rFonts w:ascii="Traditional Arabic" w:hAnsi="Traditional Arabic" w:cs="Traditional Arabic" w:hint="cs"/>
                <w:sz w:val="26"/>
                <w:szCs w:val="26"/>
                <w:rtl/>
              </w:rPr>
              <w:t>1198.1</w:t>
            </w:r>
            <w:r w:rsidR="00D965D1" w:rsidRPr="00650AF6">
              <w:rPr>
                <w:rFonts w:ascii="Traditional Arabic" w:hAnsi="Traditional Arabic" w:cs="Traditional Arabic"/>
                <w:sz w:val="26"/>
                <w:szCs w:val="26"/>
                <w:rtl/>
              </w:rPr>
              <w:t>%</w:t>
            </w:r>
          </w:p>
        </w:tc>
        <w:tc>
          <w:tcPr>
            <w:tcW w:w="891" w:type="dxa"/>
            <w:tcBorders>
              <w:top w:val="single" w:sz="4" w:space="0" w:color="0B3D85"/>
              <w:bottom w:val="single" w:sz="4" w:space="0" w:color="0B3D85"/>
            </w:tcBorders>
            <w:vAlign w:val="center"/>
          </w:tcPr>
          <w:p w14:paraId="02B08FAD"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391.3%</w:t>
            </w:r>
          </w:p>
        </w:tc>
        <w:tc>
          <w:tcPr>
            <w:tcW w:w="1124" w:type="dxa"/>
            <w:gridSpan w:val="2"/>
            <w:tcBorders>
              <w:top w:val="single" w:sz="4" w:space="0" w:color="0B3D85"/>
              <w:bottom w:val="single" w:sz="4" w:space="0" w:color="0B3D85"/>
            </w:tcBorders>
            <w:vAlign w:val="center"/>
          </w:tcPr>
          <w:p w14:paraId="4A848E87"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7,404</w:t>
            </w:r>
          </w:p>
        </w:tc>
        <w:tc>
          <w:tcPr>
            <w:tcW w:w="1124" w:type="dxa"/>
            <w:tcBorders>
              <w:top w:val="single" w:sz="4" w:space="0" w:color="0B3D85"/>
              <w:bottom w:val="single" w:sz="4" w:space="0" w:color="0B3D85"/>
            </w:tcBorders>
            <w:vAlign w:val="center"/>
          </w:tcPr>
          <w:p w14:paraId="5A5CB11A"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294</w:t>
            </w:r>
          </w:p>
        </w:tc>
        <w:tc>
          <w:tcPr>
            <w:tcW w:w="998" w:type="dxa"/>
            <w:gridSpan w:val="2"/>
            <w:tcBorders>
              <w:top w:val="single" w:sz="4" w:space="0" w:color="0B3D85"/>
              <w:bottom w:val="single" w:sz="4" w:space="0" w:color="0B3D85"/>
            </w:tcBorders>
            <w:vAlign w:val="center"/>
          </w:tcPr>
          <w:p w14:paraId="31031E0B"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(96.0%)</w:t>
            </w:r>
          </w:p>
        </w:tc>
      </w:tr>
      <w:tr w:rsidR="00D965D1" w:rsidRPr="00A93B67" w14:paraId="602835FF" w14:textId="77777777" w:rsidTr="00D965D1">
        <w:trPr>
          <w:trHeight w:val="58"/>
        </w:trPr>
        <w:tc>
          <w:tcPr>
            <w:tcW w:w="1234" w:type="dxa"/>
            <w:tcBorders>
              <w:top w:val="single" w:sz="4" w:space="0" w:color="0B3D85"/>
              <w:bottom w:val="single" w:sz="4" w:space="0" w:color="0B3D85"/>
            </w:tcBorders>
            <w:vAlign w:val="center"/>
          </w:tcPr>
          <w:p w14:paraId="3FF21F47" w14:textId="77777777" w:rsidR="00D965D1" w:rsidRPr="00650AF6" w:rsidRDefault="00D965D1" w:rsidP="00D965D1">
            <w:pPr>
              <w:bidi/>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 xml:space="preserve">إيرادات توزيعات الأرباح </w:t>
            </w:r>
          </w:p>
        </w:tc>
        <w:tc>
          <w:tcPr>
            <w:tcW w:w="1124" w:type="dxa"/>
            <w:tcBorders>
              <w:top w:val="single" w:sz="4" w:space="0" w:color="0B3D85"/>
              <w:bottom w:val="single" w:sz="4" w:space="0" w:color="0B3D85"/>
            </w:tcBorders>
            <w:vAlign w:val="center"/>
          </w:tcPr>
          <w:p w14:paraId="46A6C11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w:t>
            </w:r>
          </w:p>
        </w:tc>
        <w:tc>
          <w:tcPr>
            <w:tcW w:w="1124" w:type="dxa"/>
            <w:tcBorders>
              <w:top w:val="single" w:sz="4" w:space="0" w:color="0B3D85"/>
              <w:bottom w:val="single" w:sz="4" w:space="0" w:color="0B3D85"/>
            </w:tcBorders>
            <w:vAlign w:val="center"/>
          </w:tcPr>
          <w:p w14:paraId="064A17C0"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960</w:t>
            </w:r>
          </w:p>
        </w:tc>
        <w:tc>
          <w:tcPr>
            <w:tcW w:w="1124" w:type="dxa"/>
            <w:tcBorders>
              <w:top w:val="single" w:sz="4" w:space="0" w:color="0B3D85"/>
              <w:bottom w:val="single" w:sz="4" w:space="0" w:color="0B3D85"/>
            </w:tcBorders>
            <w:vAlign w:val="center"/>
          </w:tcPr>
          <w:p w14:paraId="637DE169"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148</w:t>
            </w:r>
          </w:p>
        </w:tc>
        <w:tc>
          <w:tcPr>
            <w:tcW w:w="998" w:type="dxa"/>
            <w:gridSpan w:val="2"/>
            <w:tcBorders>
              <w:top w:val="single" w:sz="4" w:space="0" w:color="0B3D85"/>
              <w:bottom w:val="single" w:sz="4" w:space="0" w:color="0B3D85"/>
            </w:tcBorders>
            <w:vAlign w:val="center"/>
          </w:tcPr>
          <w:p w14:paraId="6F3D6FFA"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لا ينطبق</w:t>
            </w:r>
          </w:p>
        </w:tc>
        <w:tc>
          <w:tcPr>
            <w:tcW w:w="1118" w:type="dxa"/>
            <w:tcBorders>
              <w:top w:val="single" w:sz="4" w:space="0" w:color="0B3D85"/>
              <w:bottom w:val="single" w:sz="4" w:space="0" w:color="0B3D85"/>
            </w:tcBorders>
            <w:vAlign w:val="center"/>
          </w:tcPr>
          <w:p w14:paraId="22FDCD2C"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(84.6%)</w:t>
            </w:r>
          </w:p>
        </w:tc>
        <w:tc>
          <w:tcPr>
            <w:tcW w:w="891" w:type="dxa"/>
            <w:tcBorders>
              <w:top w:val="single" w:sz="4" w:space="0" w:color="0B3D85"/>
              <w:bottom w:val="single" w:sz="4" w:space="0" w:color="0B3D85"/>
            </w:tcBorders>
            <w:vAlign w:val="center"/>
          </w:tcPr>
          <w:p w14:paraId="7DB4D47E"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لا ينطبق</w:t>
            </w:r>
          </w:p>
        </w:tc>
        <w:tc>
          <w:tcPr>
            <w:tcW w:w="1124" w:type="dxa"/>
            <w:gridSpan w:val="2"/>
            <w:tcBorders>
              <w:top w:val="single" w:sz="4" w:space="0" w:color="0B3D85"/>
              <w:bottom w:val="single" w:sz="4" w:space="0" w:color="0B3D85"/>
            </w:tcBorders>
            <w:vAlign w:val="center"/>
          </w:tcPr>
          <w:p w14:paraId="1D48D8DE"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148</w:t>
            </w:r>
          </w:p>
        </w:tc>
        <w:tc>
          <w:tcPr>
            <w:tcW w:w="1124" w:type="dxa"/>
            <w:tcBorders>
              <w:top w:val="single" w:sz="4" w:space="0" w:color="0B3D85"/>
              <w:bottom w:val="single" w:sz="4" w:space="0" w:color="0B3D85"/>
            </w:tcBorders>
            <w:vAlign w:val="center"/>
          </w:tcPr>
          <w:p w14:paraId="0EB47021"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131</w:t>
            </w:r>
          </w:p>
        </w:tc>
        <w:tc>
          <w:tcPr>
            <w:tcW w:w="998" w:type="dxa"/>
            <w:gridSpan w:val="2"/>
            <w:tcBorders>
              <w:top w:val="single" w:sz="4" w:space="0" w:color="0B3D85"/>
              <w:bottom w:val="single" w:sz="4" w:space="0" w:color="0B3D85"/>
            </w:tcBorders>
            <w:vAlign w:val="center"/>
          </w:tcPr>
          <w:p w14:paraId="3B3E4D4C"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(11.4%)</w:t>
            </w:r>
          </w:p>
        </w:tc>
      </w:tr>
      <w:tr w:rsidR="00D965D1" w:rsidRPr="00A93B67" w14:paraId="0E15D064" w14:textId="77777777" w:rsidTr="00D965D1">
        <w:trPr>
          <w:trHeight w:val="58"/>
        </w:trPr>
        <w:tc>
          <w:tcPr>
            <w:tcW w:w="1234" w:type="dxa"/>
            <w:tcBorders>
              <w:top w:val="single" w:sz="4" w:space="0" w:color="0B3D85"/>
              <w:bottom w:val="single" w:sz="4" w:space="0" w:color="0B3D85"/>
            </w:tcBorders>
            <w:vAlign w:val="center"/>
          </w:tcPr>
          <w:p w14:paraId="01AC6C3B" w14:textId="77777777" w:rsidR="00D965D1" w:rsidRPr="00650AF6" w:rsidRDefault="00D965D1" w:rsidP="00D965D1">
            <w:pPr>
              <w:bidi/>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 xml:space="preserve">مصروفات تجارية </w:t>
            </w:r>
          </w:p>
        </w:tc>
        <w:tc>
          <w:tcPr>
            <w:tcW w:w="1124" w:type="dxa"/>
            <w:tcBorders>
              <w:top w:val="single" w:sz="4" w:space="0" w:color="0B3D85"/>
              <w:bottom w:val="single" w:sz="4" w:space="0" w:color="0B3D85"/>
            </w:tcBorders>
            <w:vAlign w:val="center"/>
          </w:tcPr>
          <w:p w14:paraId="4EC0B8D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(4,857)</w:t>
            </w:r>
          </w:p>
        </w:tc>
        <w:tc>
          <w:tcPr>
            <w:tcW w:w="1124" w:type="dxa"/>
            <w:tcBorders>
              <w:top w:val="single" w:sz="4" w:space="0" w:color="0B3D85"/>
              <w:bottom w:val="single" w:sz="4" w:space="0" w:color="0B3D85"/>
            </w:tcBorders>
            <w:vAlign w:val="center"/>
          </w:tcPr>
          <w:p w14:paraId="527F42A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(8,019)</w:t>
            </w:r>
          </w:p>
        </w:tc>
        <w:tc>
          <w:tcPr>
            <w:tcW w:w="1124" w:type="dxa"/>
            <w:tcBorders>
              <w:top w:val="single" w:sz="4" w:space="0" w:color="0B3D85"/>
              <w:bottom w:val="single" w:sz="4" w:space="0" w:color="0B3D85"/>
            </w:tcBorders>
            <w:vAlign w:val="center"/>
          </w:tcPr>
          <w:p w14:paraId="772C125F"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(8,089)</w:t>
            </w:r>
          </w:p>
        </w:tc>
        <w:tc>
          <w:tcPr>
            <w:tcW w:w="998" w:type="dxa"/>
            <w:gridSpan w:val="2"/>
            <w:tcBorders>
              <w:top w:val="single" w:sz="4" w:space="0" w:color="0B3D85"/>
              <w:bottom w:val="single" w:sz="4" w:space="0" w:color="0B3D85"/>
            </w:tcBorders>
            <w:vAlign w:val="center"/>
          </w:tcPr>
          <w:p w14:paraId="70C9B853"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65.1%</w:t>
            </w:r>
          </w:p>
        </w:tc>
        <w:tc>
          <w:tcPr>
            <w:tcW w:w="1118" w:type="dxa"/>
            <w:tcBorders>
              <w:top w:val="single" w:sz="4" w:space="0" w:color="0B3D85"/>
              <w:bottom w:val="single" w:sz="4" w:space="0" w:color="0B3D85"/>
            </w:tcBorders>
            <w:vAlign w:val="center"/>
          </w:tcPr>
          <w:p w14:paraId="05B14510"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0.9%</w:t>
            </w:r>
          </w:p>
        </w:tc>
        <w:tc>
          <w:tcPr>
            <w:tcW w:w="891" w:type="dxa"/>
            <w:tcBorders>
              <w:top w:val="single" w:sz="4" w:space="0" w:color="0B3D85"/>
              <w:bottom w:val="single" w:sz="4" w:space="0" w:color="0B3D85"/>
            </w:tcBorders>
            <w:vAlign w:val="center"/>
          </w:tcPr>
          <w:p w14:paraId="7CB3227E"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29.1%</w:t>
            </w:r>
          </w:p>
        </w:tc>
        <w:tc>
          <w:tcPr>
            <w:tcW w:w="1124" w:type="dxa"/>
            <w:gridSpan w:val="2"/>
            <w:tcBorders>
              <w:top w:val="single" w:sz="4" w:space="0" w:color="0B3D85"/>
              <w:bottom w:val="single" w:sz="4" w:space="0" w:color="0B3D85"/>
            </w:tcBorders>
            <w:vAlign w:val="center"/>
          </w:tcPr>
          <w:p w14:paraId="7F3F3800"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(6,567)</w:t>
            </w:r>
          </w:p>
        </w:tc>
        <w:tc>
          <w:tcPr>
            <w:tcW w:w="1124" w:type="dxa"/>
            <w:tcBorders>
              <w:top w:val="single" w:sz="4" w:space="0" w:color="0B3D85"/>
              <w:bottom w:val="single" w:sz="4" w:space="0" w:color="0B3D85"/>
            </w:tcBorders>
            <w:vAlign w:val="center"/>
          </w:tcPr>
          <w:p w14:paraId="37545E7F"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(5,403)</w:t>
            </w:r>
          </w:p>
        </w:tc>
        <w:tc>
          <w:tcPr>
            <w:tcW w:w="998" w:type="dxa"/>
            <w:gridSpan w:val="2"/>
            <w:tcBorders>
              <w:top w:val="single" w:sz="4" w:space="0" w:color="0B3D85"/>
              <w:bottom w:val="single" w:sz="4" w:space="0" w:color="0B3D85"/>
            </w:tcBorders>
            <w:vAlign w:val="center"/>
          </w:tcPr>
          <w:p w14:paraId="3ABA09C6"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(17.7%)</w:t>
            </w:r>
          </w:p>
        </w:tc>
      </w:tr>
      <w:tr w:rsidR="00D965D1" w:rsidRPr="00A93B67" w14:paraId="4D4B1F6F" w14:textId="77777777" w:rsidTr="00D965D1">
        <w:trPr>
          <w:trHeight w:val="20"/>
        </w:trPr>
        <w:tc>
          <w:tcPr>
            <w:tcW w:w="1234" w:type="dxa"/>
            <w:tcBorders>
              <w:top w:val="single" w:sz="4" w:space="0" w:color="0B3D85"/>
              <w:bottom w:val="single" w:sz="4" w:space="0" w:color="0B3D85"/>
            </w:tcBorders>
            <w:vAlign w:val="center"/>
          </w:tcPr>
          <w:p w14:paraId="75E84F89" w14:textId="77777777" w:rsidR="00D965D1" w:rsidRPr="00650AF6" w:rsidRDefault="00D965D1" w:rsidP="00D965D1">
            <w:pPr>
              <w:bidi/>
              <w:rPr>
                <w:rFonts w:ascii="Traditional Arabic" w:eastAsia="Calibri" w:hAnsi="Traditional Arabic" w:cs="Traditional Arabic"/>
                <w:sz w:val="26"/>
                <w:szCs w:val="26"/>
                <w:rtl/>
              </w:rPr>
            </w:pPr>
            <w:r w:rsidRPr="00240371">
              <w:rPr>
                <w:rFonts w:ascii="Traditional Arabic" w:hAnsi="Traditional Arabic" w:cs="Traditional Arabic"/>
                <w:color w:val="000000"/>
                <w:sz w:val="26"/>
                <w:szCs w:val="26"/>
                <w:rtl/>
                <w:lang w:bidi="ar"/>
              </w:rPr>
              <w:t xml:space="preserve">مصروفات عمومية وإدارية </w:t>
            </w:r>
          </w:p>
        </w:tc>
        <w:tc>
          <w:tcPr>
            <w:tcW w:w="1124" w:type="dxa"/>
            <w:tcBorders>
              <w:top w:val="single" w:sz="4" w:space="0" w:color="0B3D85"/>
              <w:bottom w:val="single" w:sz="4" w:space="0" w:color="0B3D85"/>
            </w:tcBorders>
            <w:vAlign w:val="center"/>
          </w:tcPr>
          <w:p w14:paraId="6C403859"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(8,485)</w:t>
            </w:r>
          </w:p>
        </w:tc>
        <w:tc>
          <w:tcPr>
            <w:tcW w:w="1124" w:type="dxa"/>
            <w:tcBorders>
              <w:top w:val="single" w:sz="4" w:space="0" w:color="0B3D85"/>
              <w:bottom w:val="single" w:sz="4" w:space="0" w:color="0B3D85"/>
            </w:tcBorders>
            <w:vAlign w:val="center"/>
          </w:tcPr>
          <w:p w14:paraId="76BE98A7"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(10,856)</w:t>
            </w:r>
          </w:p>
        </w:tc>
        <w:tc>
          <w:tcPr>
            <w:tcW w:w="1124" w:type="dxa"/>
            <w:tcBorders>
              <w:top w:val="single" w:sz="4" w:space="0" w:color="0B3D85"/>
              <w:bottom w:val="single" w:sz="4" w:space="0" w:color="0B3D85"/>
            </w:tcBorders>
            <w:vAlign w:val="center"/>
          </w:tcPr>
          <w:p w14:paraId="08F33548"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(12,597)</w:t>
            </w:r>
          </w:p>
        </w:tc>
        <w:tc>
          <w:tcPr>
            <w:tcW w:w="998" w:type="dxa"/>
            <w:gridSpan w:val="2"/>
            <w:tcBorders>
              <w:top w:val="single" w:sz="4" w:space="0" w:color="0B3D85"/>
              <w:bottom w:val="single" w:sz="4" w:space="0" w:color="0B3D85"/>
            </w:tcBorders>
            <w:vAlign w:val="center"/>
          </w:tcPr>
          <w:p w14:paraId="754FD34F"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27.9%</w:t>
            </w:r>
          </w:p>
        </w:tc>
        <w:tc>
          <w:tcPr>
            <w:tcW w:w="1118" w:type="dxa"/>
            <w:tcBorders>
              <w:top w:val="single" w:sz="4" w:space="0" w:color="0B3D85"/>
              <w:bottom w:val="single" w:sz="4" w:space="0" w:color="0B3D85"/>
            </w:tcBorders>
            <w:vAlign w:val="center"/>
          </w:tcPr>
          <w:p w14:paraId="126A7AD5"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16.0%</w:t>
            </w:r>
          </w:p>
        </w:tc>
        <w:tc>
          <w:tcPr>
            <w:tcW w:w="891" w:type="dxa"/>
            <w:tcBorders>
              <w:top w:val="single" w:sz="4" w:space="0" w:color="0B3D85"/>
              <w:bottom w:val="single" w:sz="4" w:space="0" w:color="0B3D85"/>
            </w:tcBorders>
            <w:vAlign w:val="center"/>
          </w:tcPr>
          <w:p w14:paraId="19F6FE0B"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21.8%</w:t>
            </w:r>
          </w:p>
        </w:tc>
        <w:tc>
          <w:tcPr>
            <w:tcW w:w="1124" w:type="dxa"/>
            <w:gridSpan w:val="2"/>
            <w:tcBorders>
              <w:top w:val="single" w:sz="4" w:space="0" w:color="0B3D85"/>
              <w:bottom w:val="single" w:sz="4" w:space="0" w:color="0B3D85"/>
            </w:tcBorders>
            <w:vAlign w:val="center"/>
          </w:tcPr>
          <w:p w14:paraId="337CBC78"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(7,808)</w:t>
            </w:r>
          </w:p>
        </w:tc>
        <w:tc>
          <w:tcPr>
            <w:tcW w:w="1124" w:type="dxa"/>
            <w:tcBorders>
              <w:top w:val="single" w:sz="4" w:space="0" w:color="0B3D85"/>
              <w:bottom w:val="single" w:sz="4" w:space="0" w:color="0B3D85"/>
            </w:tcBorders>
            <w:vAlign w:val="center"/>
          </w:tcPr>
          <w:p w14:paraId="53572494"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(11,034)</w:t>
            </w:r>
          </w:p>
        </w:tc>
        <w:tc>
          <w:tcPr>
            <w:tcW w:w="998" w:type="dxa"/>
            <w:gridSpan w:val="2"/>
            <w:tcBorders>
              <w:top w:val="single" w:sz="4" w:space="0" w:color="0B3D85"/>
              <w:bottom w:val="single" w:sz="4" w:space="0" w:color="0B3D85"/>
            </w:tcBorders>
            <w:vAlign w:val="center"/>
          </w:tcPr>
          <w:p w14:paraId="51232B90"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41.3%</w:t>
            </w:r>
          </w:p>
        </w:tc>
      </w:tr>
      <w:tr w:rsidR="00D965D1" w:rsidRPr="00A93B67" w14:paraId="3EC7B067" w14:textId="77777777" w:rsidTr="00D965D1">
        <w:trPr>
          <w:trHeight w:val="20"/>
        </w:trPr>
        <w:tc>
          <w:tcPr>
            <w:tcW w:w="1234" w:type="dxa"/>
            <w:tcBorders>
              <w:top w:val="single" w:sz="4" w:space="0" w:color="0B3D85"/>
              <w:bottom w:val="single" w:sz="4" w:space="0" w:color="0B3D85"/>
            </w:tcBorders>
            <w:vAlign w:val="center"/>
          </w:tcPr>
          <w:p w14:paraId="5601C349" w14:textId="77777777" w:rsidR="00D965D1" w:rsidRPr="00650AF6" w:rsidRDefault="00D965D1" w:rsidP="00D965D1">
            <w:pPr>
              <w:bidi/>
              <w:rPr>
                <w:rFonts w:ascii="Traditional Arabic" w:hAnsi="Traditional Arabic" w:cs="Traditional Arabic"/>
                <w:color w:val="000000"/>
                <w:sz w:val="26"/>
                <w:szCs w:val="26"/>
                <w:rtl/>
                <w:lang w:bidi="ar"/>
              </w:rPr>
            </w:pPr>
            <w:r w:rsidRPr="00240371">
              <w:rPr>
                <w:rFonts w:ascii="Traditional Arabic" w:hAnsi="Traditional Arabic" w:cs="Traditional Arabic"/>
                <w:color w:val="000000"/>
                <w:sz w:val="26"/>
                <w:szCs w:val="26"/>
                <w:rtl/>
                <w:lang w:bidi="ar"/>
              </w:rPr>
              <w:t xml:space="preserve">عكس </w:t>
            </w:r>
            <w:r w:rsidRPr="00650AF6">
              <w:rPr>
                <w:rFonts w:ascii="Traditional Arabic" w:hAnsi="Traditional Arabic" w:cs="Traditional Arabic"/>
                <w:color w:val="000000"/>
                <w:sz w:val="26"/>
                <w:szCs w:val="26"/>
                <w:rtl/>
                <w:lang w:bidi="ar"/>
              </w:rPr>
              <w:t>(</w:t>
            </w:r>
            <w:r w:rsidRPr="00240371">
              <w:rPr>
                <w:rFonts w:ascii="Traditional Arabic" w:hAnsi="Traditional Arabic" w:cs="Traditional Arabic"/>
                <w:color w:val="000000"/>
                <w:sz w:val="26"/>
                <w:szCs w:val="26"/>
                <w:rtl/>
                <w:lang w:bidi="ar"/>
              </w:rPr>
              <w:t>خسائر</w:t>
            </w:r>
            <w:r w:rsidRPr="00650AF6">
              <w:rPr>
                <w:rFonts w:ascii="Traditional Arabic" w:hAnsi="Traditional Arabic" w:cs="Traditional Arabic"/>
                <w:color w:val="000000"/>
                <w:sz w:val="26"/>
                <w:szCs w:val="26"/>
                <w:rtl/>
                <w:lang w:bidi="ar"/>
              </w:rPr>
              <w:t xml:space="preserve">) </w:t>
            </w:r>
            <w:r w:rsidRPr="00240371">
              <w:rPr>
                <w:rFonts w:ascii="Traditional Arabic" w:hAnsi="Traditional Arabic" w:cs="Traditional Arabic"/>
                <w:color w:val="000000"/>
                <w:sz w:val="26"/>
                <w:szCs w:val="26"/>
                <w:rtl/>
                <w:lang w:bidi="ar"/>
              </w:rPr>
              <w:t xml:space="preserve">الانخفاض في قيمة الأصول </w:t>
            </w:r>
            <w:r w:rsidRPr="00240371">
              <w:rPr>
                <w:rFonts w:ascii="Traditional Arabic" w:hAnsi="Traditional Arabic" w:cs="Traditional Arabic"/>
                <w:color w:val="000000"/>
                <w:sz w:val="26"/>
                <w:szCs w:val="26"/>
                <w:rtl/>
                <w:lang w:bidi="ar"/>
              </w:rPr>
              <w:lastRenderedPageBreak/>
              <w:t xml:space="preserve">المالية واصول العقود </w:t>
            </w:r>
          </w:p>
        </w:tc>
        <w:tc>
          <w:tcPr>
            <w:tcW w:w="1124" w:type="dxa"/>
            <w:tcBorders>
              <w:top w:val="single" w:sz="4" w:space="0" w:color="0B3D85"/>
              <w:bottom w:val="single" w:sz="4" w:space="0" w:color="0B3D85"/>
            </w:tcBorders>
            <w:vAlign w:val="center"/>
          </w:tcPr>
          <w:p w14:paraId="1CAD98D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lastRenderedPageBreak/>
              <w:t>(215)</w:t>
            </w:r>
          </w:p>
        </w:tc>
        <w:tc>
          <w:tcPr>
            <w:tcW w:w="1124" w:type="dxa"/>
            <w:tcBorders>
              <w:top w:val="single" w:sz="4" w:space="0" w:color="0B3D85"/>
              <w:bottom w:val="single" w:sz="4" w:space="0" w:color="0B3D85"/>
            </w:tcBorders>
            <w:vAlign w:val="center"/>
          </w:tcPr>
          <w:p w14:paraId="4ACC66D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(248)</w:t>
            </w:r>
          </w:p>
        </w:tc>
        <w:tc>
          <w:tcPr>
            <w:tcW w:w="1124" w:type="dxa"/>
            <w:tcBorders>
              <w:top w:val="single" w:sz="4" w:space="0" w:color="0B3D85"/>
              <w:bottom w:val="single" w:sz="4" w:space="0" w:color="0B3D85"/>
            </w:tcBorders>
            <w:vAlign w:val="center"/>
          </w:tcPr>
          <w:p w14:paraId="1E92029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105</w:t>
            </w:r>
          </w:p>
        </w:tc>
        <w:tc>
          <w:tcPr>
            <w:tcW w:w="998" w:type="dxa"/>
            <w:gridSpan w:val="2"/>
            <w:tcBorders>
              <w:top w:val="single" w:sz="4" w:space="0" w:color="0B3D85"/>
              <w:bottom w:val="single" w:sz="4" w:space="0" w:color="0B3D85"/>
            </w:tcBorders>
            <w:vAlign w:val="center"/>
          </w:tcPr>
          <w:p w14:paraId="62798B48"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15.4%</w:t>
            </w:r>
          </w:p>
        </w:tc>
        <w:tc>
          <w:tcPr>
            <w:tcW w:w="1118" w:type="dxa"/>
            <w:tcBorders>
              <w:top w:val="single" w:sz="4" w:space="0" w:color="0B3D85"/>
              <w:bottom w:val="single" w:sz="4" w:space="0" w:color="0B3D85"/>
            </w:tcBorders>
            <w:vAlign w:val="center"/>
          </w:tcPr>
          <w:p w14:paraId="6BE126BD"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(142.</w:t>
            </w:r>
            <w:r w:rsidR="008D464F">
              <w:rPr>
                <w:rFonts w:ascii="Traditional Arabic" w:hAnsi="Traditional Arabic" w:cs="Traditional Arabic" w:hint="cs"/>
                <w:sz w:val="26"/>
                <w:szCs w:val="26"/>
                <w:rtl/>
              </w:rPr>
              <w:t>3</w:t>
            </w:r>
            <w:r w:rsidRPr="00650AF6">
              <w:rPr>
                <w:rFonts w:ascii="Traditional Arabic" w:hAnsi="Traditional Arabic" w:cs="Traditional Arabic"/>
                <w:sz w:val="26"/>
                <w:szCs w:val="26"/>
                <w:rtl/>
              </w:rPr>
              <w:t>%)</w:t>
            </w:r>
          </w:p>
        </w:tc>
        <w:tc>
          <w:tcPr>
            <w:tcW w:w="891" w:type="dxa"/>
            <w:tcBorders>
              <w:top w:val="single" w:sz="4" w:space="0" w:color="0B3D85"/>
              <w:bottom w:val="single" w:sz="4" w:space="0" w:color="0B3D85"/>
            </w:tcBorders>
            <w:vAlign w:val="center"/>
          </w:tcPr>
          <w:p w14:paraId="37981BD8"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لا ينطبق</w:t>
            </w:r>
          </w:p>
        </w:tc>
        <w:tc>
          <w:tcPr>
            <w:tcW w:w="1124" w:type="dxa"/>
            <w:gridSpan w:val="2"/>
            <w:tcBorders>
              <w:top w:val="single" w:sz="4" w:space="0" w:color="0B3D85"/>
              <w:bottom w:val="single" w:sz="4" w:space="0" w:color="0B3D85"/>
            </w:tcBorders>
            <w:vAlign w:val="center"/>
          </w:tcPr>
          <w:p w14:paraId="6170F89F"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130</w:t>
            </w:r>
          </w:p>
        </w:tc>
        <w:tc>
          <w:tcPr>
            <w:tcW w:w="1124" w:type="dxa"/>
            <w:tcBorders>
              <w:top w:val="single" w:sz="4" w:space="0" w:color="0B3D85"/>
              <w:bottom w:val="single" w:sz="4" w:space="0" w:color="0B3D85"/>
            </w:tcBorders>
            <w:vAlign w:val="center"/>
          </w:tcPr>
          <w:p w14:paraId="45FECCB8"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(282)</w:t>
            </w:r>
          </w:p>
        </w:tc>
        <w:tc>
          <w:tcPr>
            <w:tcW w:w="998" w:type="dxa"/>
            <w:gridSpan w:val="2"/>
            <w:tcBorders>
              <w:top w:val="single" w:sz="4" w:space="0" w:color="0B3D85"/>
              <w:bottom w:val="single" w:sz="4" w:space="0" w:color="0B3D85"/>
            </w:tcBorders>
            <w:vAlign w:val="center"/>
          </w:tcPr>
          <w:p w14:paraId="5B008A54" w14:textId="77777777" w:rsidR="00D965D1" w:rsidRPr="00650AF6" w:rsidRDefault="00D965D1" w:rsidP="00D965D1">
            <w:pPr>
              <w:jc w:val="center"/>
              <w:rPr>
                <w:rFonts w:ascii="Traditional Arabic" w:hAnsi="Traditional Arabic" w:cs="Traditional Arabic"/>
                <w:sz w:val="26"/>
                <w:szCs w:val="26"/>
                <w:rtl/>
              </w:rPr>
            </w:pPr>
            <w:r w:rsidRPr="00650AF6">
              <w:rPr>
                <w:rFonts w:ascii="Traditional Arabic" w:hAnsi="Traditional Arabic" w:cs="Traditional Arabic"/>
                <w:sz w:val="26"/>
                <w:szCs w:val="26"/>
                <w:rtl/>
              </w:rPr>
              <w:t>(316.9%)</w:t>
            </w:r>
          </w:p>
        </w:tc>
      </w:tr>
      <w:tr w:rsidR="00D965D1" w:rsidRPr="00A93B67" w14:paraId="6560ABBA" w14:textId="77777777" w:rsidTr="00D965D1">
        <w:trPr>
          <w:trHeight w:val="20"/>
        </w:trPr>
        <w:tc>
          <w:tcPr>
            <w:tcW w:w="1234" w:type="dxa"/>
            <w:tcBorders>
              <w:top w:val="single" w:sz="4" w:space="0" w:color="0B3D85"/>
              <w:bottom w:val="single" w:sz="4" w:space="0" w:color="0B3D85"/>
            </w:tcBorders>
            <w:vAlign w:val="center"/>
          </w:tcPr>
          <w:p w14:paraId="0DC72AE0" w14:textId="77777777" w:rsidR="00D965D1" w:rsidRPr="00650AF6" w:rsidRDefault="00D965D1" w:rsidP="00D965D1">
            <w:pPr>
              <w:bidi/>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 xml:space="preserve">خسائر الانخفاض في قيمة أصول حق الاستخدام </w:t>
            </w:r>
          </w:p>
        </w:tc>
        <w:tc>
          <w:tcPr>
            <w:tcW w:w="1124" w:type="dxa"/>
            <w:tcBorders>
              <w:top w:val="single" w:sz="4" w:space="0" w:color="0B3D85"/>
              <w:bottom w:val="single" w:sz="4" w:space="0" w:color="0B3D85"/>
            </w:tcBorders>
            <w:vAlign w:val="center"/>
          </w:tcPr>
          <w:p w14:paraId="2CC4837B"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w:t>
            </w:r>
          </w:p>
        </w:tc>
        <w:tc>
          <w:tcPr>
            <w:tcW w:w="1124" w:type="dxa"/>
            <w:tcBorders>
              <w:top w:val="single" w:sz="4" w:space="0" w:color="0B3D85"/>
              <w:bottom w:val="single" w:sz="4" w:space="0" w:color="0B3D85"/>
            </w:tcBorders>
            <w:vAlign w:val="center"/>
          </w:tcPr>
          <w:p w14:paraId="09F4D0B1"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w:t>
            </w:r>
          </w:p>
        </w:tc>
        <w:tc>
          <w:tcPr>
            <w:tcW w:w="1124" w:type="dxa"/>
            <w:tcBorders>
              <w:top w:val="single" w:sz="4" w:space="0" w:color="0B3D85"/>
              <w:bottom w:val="single" w:sz="4" w:space="0" w:color="0B3D85"/>
            </w:tcBorders>
            <w:vAlign w:val="center"/>
          </w:tcPr>
          <w:p w14:paraId="0FF6C2F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(22,326)</w:t>
            </w:r>
          </w:p>
        </w:tc>
        <w:tc>
          <w:tcPr>
            <w:tcW w:w="998" w:type="dxa"/>
            <w:gridSpan w:val="2"/>
            <w:tcBorders>
              <w:top w:val="single" w:sz="4" w:space="0" w:color="0B3D85"/>
              <w:bottom w:val="single" w:sz="4" w:space="0" w:color="0B3D85"/>
            </w:tcBorders>
            <w:vAlign w:val="center"/>
          </w:tcPr>
          <w:p w14:paraId="08A214BD"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لا ينطبق</w:t>
            </w:r>
          </w:p>
        </w:tc>
        <w:tc>
          <w:tcPr>
            <w:tcW w:w="1118" w:type="dxa"/>
            <w:tcBorders>
              <w:top w:val="single" w:sz="4" w:space="0" w:color="0B3D85"/>
              <w:bottom w:val="single" w:sz="4" w:space="0" w:color="0B3D85"/>
            </w:tcBorders>
            <w:vAlign w:val="center"/>
          </w:tcPr>
          <w:p w14:paraId="4D02411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لا ينطبق</w:t>
            </w:r>
          </w:p>
        </w:tc>
        <w:tc>
          <w:tcPr>
            <w:tcW w:w="891" w:type="dxa"/>
            <w:tcBorders>
              <w:top w:val="single" w:sz="4" w:space="0" w:color="0B3D85"/>
              <w:bottom w:val="single" w:sz="4" w:space="0" w:color="0B3D85"/>
            </w:tcBorders>
            <w:vAlign w:val="center"/>
          </w:tcPr>
          <w:p w14:paraId="6A872208"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hAnsi="Traditional Arabic" w:cs="Traditional Arabic"/>
                <w:sz w:val="26"/>
                <w:szCs w:val="26"/>
                <w:rtl/>
              </w:rPr>
              <w:t>لا ينطبق</w:t>
            </w:r>
          </w:p>
        </w:tc>
        <w:tc>
          <w:tcPr>
            <w:tcW w:w="1124" w:type="dxa"/>
            <w:gridSpan w:val="2"/>
            <w:tcBorders>
              <w:top w:val="single" w:sz="4" w:space="0" w:color="0B3D85"/>
              <w:bottom w:val="single" w:sz="4" w:space="0" w:color="0B3D85"/>
            </w:tcBorders>
            <w:vAlign w:val="center"/>
          </w:tcPr>
          <w:p w14:paraId="5D318C9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(22,326)</w:t>
            </w:r>
          </w:p>
        </w:tc>
        <w:tc>
          <w:tcPr>
            <w:tcW w:w="1124" w:type="dxa"/>
            <w:tcBorders>
              <w:top w:val="single" w:sz="4" w:space="0" w:color="0B3D85"/>
              <w:bottom w:val="single" w:sz="4" w:space="0" w:color="0B3D85"/>
            </w:tcBorders>
            <w:vAlign w:val="center"/>
          </w:tcPr>
          <w:p w14:paraId="50EB1DC0"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w:t>
            </w:r>
          </w:p>
        </w:tc>
        <w:tc>
          <w:tcPr>
            <w:tcW w:w="998" w:type="dxa"/>
            <w:gridSpan w:val="2"/>
            <w:tcBorders>
              <w:top w:val="single" w:sz="4" w:space="0" w:color="0B3D85"/>
              <w:bottom w:val="single" w:sz="4" w:space="0" w:color="0B3D85"/>
            </w:tcBorders>
            <w:vAlign w:val="center"/>
          </w:tcPr>
          <w:p w14:paraId="66E11E9F"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(100.0%)</w:t>
            </w:r>
          </w:p>
        </w:tc>
      </w:tr>
      <w:tr w:rsidR="00D965D1" w:rsidRPr="00A93B67" w14:paraId="13EFBED9" w14:textId="77777777" w:rsidTr="00D965D1">
        <w:trPr>
          <w:trHeight w:val="20"/>
        </w:trPr>
        <w:tc>
          <w:tcPr>
            <w:tcW w:w="1234" w:type="dxa"/>
            <w:tcBorders>
              <w:top w:val="single" w:sz="4" w:space="0" w:color="0B3D85"/>
              <w:bottom w:val="single" w:sz="4" w:space="0" w:color="0B3D85"/>
            </w:tcBorders>
            <w:vAlign w:val="center"/>
          </w:tcPr>
          <w:p w14:paraId="48A8E2F9" w14:textId="77777777" w:rsidR="00D965D1" w:rsidRPr="00650AF6" w:rsidRDefault="00D965D1" w:rsidP="00D965D1">
            <w:pPr>
              <w:bidi/>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 xml:space="preserve">أرباح/ (خسائر) من بيع ممتلكات وسفن ومعدات </w:t>
            </w:r>
          </w:p>
        </w:tc>
        <w:tc>
          <w:tcPr>
            <w:tcW w:w="1124" w:type="dxa"/>
            <w:tcBorders>
              <w:top w:val="single" w:sz="4" w:space="0" w:color="0B3D85"/>
              <w:bottom w:val="single" w:sz="4" w:space="0" w:color="0B3D85"/>
            </w:tcBorders>
            <w:vAlign w:val="center"/>
          </w:tcPr>
          <w:p w14:paraId="1218539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w:t>
            </w:r>
          </w:p>
        </w:tc>
        <w:tc>
          <w:tcPr>
            <w:tcW w:w="1124" w:type="dxa"/>
            <w:tcBorders>
              <w:top w:val="single" w:sz="4" w:space="0" w:color="0B3D85"/>
              <w:bottom w:val="single" w:sz="4" w:space="0" w:color="0B3D85"/>
            </w:tcBorders>
            <w:vAlign w:val="center"/>
          </w:tcPr>
          <w:p w14:paraId="4A4B4EE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(715)</w:t>
            </w:r>
          </w:p>
        </w:tc>
        <w:tc>
          <w:tcPr>
            <w:tcW w:w="1124" w:type="dxa"/>
            <w:tcBorders>
              <w:top w:val="single" w:sz="4" w:space="0" w:color="0B3D85"/>
              <w:bottom w:val="single" w:sz="4" w:space="0" w:color="0B3D85"/>
            </w:tcBorders>
            <w:vAlign w:val="center"/>
          </w:tcPr>
          <w:p w14:paraId="461EAA3E"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18,041</w:t>
            </w:r>
          </w:p>
        </w:tc>
        <w:tc>
          <w:tcPr>
            <w:tcW w:w="998" w:type="dxa"/>
            <w:gridSpan w:val="2"/>
            <w:tcBorders>
              <w:top w:val="single" w:sz="4" w:space="0" w:color="0B3D85"/>
              <w:bottom w:val="single" w:sz="4" w:space="0" w:color="0B3D85"/>
            </w:tcBorders>
            <w:vAlign w:val="center"/>
          </w:tcPr>
          <w:p w14:paraId="2175DA7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لا ينطبق</w:t>
            </w:r>
          </w:p>
        </w:tc>
        <w:tc>
          <w:tcPr>
            <w:tcW w:w="1118" w:type="dxa"/>
            <w:tcBorders>
              <w:top w:val="single" w:sz="4" w:space="0" w:color="0B3D85"/>
              <w:bottom w:val="single" w:sz="4" w:space="0" w:color="0B3D85"/>
            </w:tcBorders>
            <w:vAlign w:val="center"/>
          </w:tcPr>
          <w:p w14:paraId="414A440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(2622.9%)</w:t>
            </w:r>
          </w:p>
        </w:tc>
        <w:tc>
          <w:tcPr>
            <w:tcW w:w="891" w:type="dxa"/>
            <w:tcBorders>
              <w:top w:val="single" w:sz="4" w:space="0" w:color="0B3D85"/>
              <w:bottom w:val="single" w:sz="4" w:space="0" w:color="0B3D85"/>
            </w:tcBorders>
            <w:vAlign w:val="center"/>
          </w:tcPr>
          <w:p w14:paraId="59205047"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hAnsi="Traditional Arabic" w:cs="Traditional Arabic"/>
                <w:sz w:val="26"/>
                <w:szCs w:val="26"/>
                <w:rtl/>
              </w:rPr>
              <w:t>لا ينطبق</w:t>
            </w:r>
          </w:p>
        </w:tc>
        <w:tc>
          <w:tcPr>
            <w:tcW w:w="1124" w:type="dxa"/>
            <w:gridSpan w:val="2"/>
            <w:tcBorders>
              <w:top w:val="single" w:sz="4" w:space="0" w:color="0B3D85"/>
              <w:bottom w:val="single" w:sz="4" w:space="0" w:color="0B3D85"/>
            </w:tcBorders>
            <w:vAlign w:val="center"/>
          </w:tcPr>
          <w:p w14:paraId="47B4932D"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w:t>
            </w:r>
          </w:p>
        </w:tc>
        <w:tc>
          <w:tcPr>
            <w:tcW w:w="1124" w:type="dxa"/>
            <w:tcBorders>
              <w:top w:val="single" w:sz="4" w:space="0" w:color="0B3D85"/>
              <w:bottom w:val="single" w:sz="4" w:space="0" w:color="0B3D85"/>
            </w:tcBorders>
            <w:vAlign w:val="center"/>
          </w:tcPr>
          <w:p w14:paraId="757F07F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w:t>
            </w:r>
          </w:p>
        </w:tc>
        <w:tc>
          <w:tcPr>
            <w:tcW w:w="998" w:type="dxa"/>
            <w:gridSpan w:val="2"/>
            <w:tcBorders>
              <w:top w:val="single" w:sz="4" w:space="0" w:color="0B3D85"/>
              <w:bottom w:val="single" w:sz="4" w:space="0" w:color="0B3D85"/>
            </w:tcBorders>
            <w:vAlign w:val="center"/>
          </w:tcPr>
          <w:p w14:paraId="2560F6FB"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70.3%</w:t>
            </w:r>
          </w:p>
        </w:tc>
      </w:tr>
      <w:tr w:rsidR="00D965D1" w:rsidRPr="00A93B67" w14:paraId="3A03A961" w14:textId="77777777" w:rsidTr="00D965D1">
        <w:trPr>
          <w:trHeight w:val="20"/>
        </w:trPr>
        <w:tc>
          <w:tcPr>
            <w:tcW w:w="1234" w:type="dxa"/>
            <w:tcBorders>
              <w:top w:val="single" w:sz="4" w:space="0" w:color="0B3D85"/>
              <w:bottom w:val="single" w:sz="4" w:space="0" w:color="0B3D85"/>
            </w:tcBorders>
            <w:vAlign w:val="center"/>
          </w:tcPr>
          <w:p w14:paraId="6F793F21" w14:textId="77777777" w:rsidR="00D965D1" w:rsidRPr="00650AF6" w:rsidRDefault="00D965D1" w:rsidP="00D965D1">
            <w:pPr>
              <w:bidi/>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أرباح تشغيلية</w:t>
            </w:r>
          </w:p>
        </w:tc>
        <w:tc>
          <w:tcPr>
            <w:tcW w:w="1124" w:type="dxa"/>
            <w:tcBorders>
              <w:top w:val="single" w:sz="4" w:space="0" w:color="0B3D85"/>
              <w:bottom w:val="single" w:sz="4" w:space="0" w:color="0B3D85"/>
            </w:tcBorders>
            <w:vAlign w:val="center"/>
          </w:tcPr>
          <w:p w14:paraId="1977CCF3"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39,529</w:t>
            </w:r>
          </w:p>
        </w:tc>
        <w:tc>
          <w:tcPr>
            <w:tcW w:w="1124" w:type="dxa"/>
            <w:tcBorders>
              <w:top w:val="single" w:sz="4" w:space="0" w:color="0B3D85"/>
              <w:bottom w:val="single" w:sz="4" w:space="0" w:color="0B3D85"/>
            </w:tcBorders>
            <w:vAlign w:val="center"/>
          </w:tcPr>
          <w:p w14:paraId="23FE58C7"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71,651</w:t>
            </w:r>
          </w:p>
        </w:tc>
        <w:tc>
          <w:tcPr>
            <w:tcW w:w="1124" w:type="dxa"/>
            <w:tcBorders>
              <w:top w:val="single" w:sz="4" w:space="0" w:color="0B3D85"/>
              <w:bottom w:val="single" w:sz="4" w:space="0" w:color="0B3D85"/>
            </w:tcBorders>
            <w:vAlign w:val="center"/>
          </w:tcPr>
          <w:p w14:paraId="6FA07D3E"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65,561</w:t>
            </w:r>
          </w:p>
        </w:tc>
        <w:tc>
          <w:tcPr>
            <w:tcW w:w="998" w:type="dxa"/>
            <w:gridSpan w:val="2"/>
            <w:tcBorders>
              <w:top w:val="single" w:sz="4" w:space="0" w:color="0B3D85"/>
              <w:bottom w:val="single" w:sz="4" w:space="0" w:color="0B3D85"/>
            </w:tcBorders>
            <w:vAlign w:val="center"/>
          </w:tcPr>
          <w:p w14:paraId="7AF1A124"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81.3%</w:t>
            </w:r>
          </w:p>
        </w:tc>
        <w:tc>
          <w:tcPr>
            <w:tcW w:w="1118" w:type="dxa"/>
            <w:tcBorders>
              <w:top w:val="single" w:sz="4" w:space="0" w:color="0B3D85"/>
              <w:bottom w:val="single" w:sz="4" w:space="0" w:color="0B3D85"/>
            </w:tcBorders>
            <w:vAlign w:val="center"/>
          </w:tcPr>
          <w:p w14:paraId="22BFD864"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(8.5%)</w:t>
            </w:r>
          </w:p>
        </w:tc>
        <w:tc>
          <w:tcPr>
            <w:tcW w:w="891" w:type="dxa"/>
            <w:tcBorders>
              <w:top w:val="single" w:sz="4" w:space="0" w:color="0B3D85"/>
              <w:bottom w:val="single" w:sz="4" w:space="0" w:color="0B3D85"/>
            </w:tcBorders>
            <w:vAlign w:val="center"/>
          </w:tcPr>
          <w:p w14:paraId="34DD46FA"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28.8%</w:t>
            </w:r>
          </w:p>
        </w:tc>
        <w:tc>
          <w:tcPr>
            <w:tcW w:w="1124" w:type="dxa"/>
            <w:gridSpan w:val="2"/>
            <w:tcBorders>
              <w:top w:val="single" w:sz="4" w:space="0" w:color="0B3D85"/>
              <w:bottom w:val="single" w:sz="4" w:space="0" w:color="0B3D85"/>
            </w:tcBorders>
            <w:vAlign w:val="center"/>
          </w:tcPr>
          <w:p w14:paraId="27F8A5B6"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37,997</w:t>
            </w:r>
          </w:p>
        </w:tc>
        <w:tc>
          <w:tcPr>
            <w:tcW w:w="1124" w:type="dxa"/>
            <w:tcBorders>
              <w:top w:val="single" w:sz="4" w:space="0" w:color="0B3D85"/>
              <w:bottom w:val="single" w:sz="4" w:space="0" w:color="0B3D85"/>
            </w:tcBorders>
            <w:vAlign w:val="center"/>
          </w:tcPr>
          <w:p w14:paraId="08F9F623"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66,902</w:t>
            </w:r>
          </w:p>
        </w:tc>
        <w:tc>
          <w:tcPr>
            <w:tcW w:w="998" w:type="dxa"/>
            <w:gridSpan w:val="2"/>
            <w:tcBorders>
              <w:top w:val="single" w:sz="4" w:space="0" w:color="0B3D85"/>
              <w:bottom w:val="single" w:sz="4" w:space="0" w:color="0B3D85"/>
            </w:tcBorders>
            <w:vAlign w:val="center"/>
          </w:tcPr>
          <w:p w14:paraId="786446F9"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76.3%</w:t>
            </w:r>
          </w:p>
        </w:tc>
      </w:tr>
      <w:tr w:rsidR="00D965D1" w:rsidRPr="00A93B67" w14:paraId="76297FAD" w14:textId="77777777" w:rsidTr="00D965D1">
        <w:trPr>
          <w:trHeight w:val="20"/>
        </w:trPr>
        <w:tc>
          <w:tcPr>
            <w:tcW w:w="1234" w:type="dxa"/>
            <w:tcBorders>
              <w:top w:val="single" w:sz="4" w:space="0" w:color="0B3D85"/>
              <w:bottom w:val="single" w:sz="4" w:space="0" w:color="0B3D85"/>
            </w:tcBorders>
            <w:vAlign w:val="center"/>
          </w:tcPr>
          <w:p w14:paraId="3985CFDF" w14:textId="77777777" w:rsidR="00D965D1" w:rsidRPr="00650AF6" w:rsidRDefault="00D965D1" w:rsidP="00D965D1">
            <w:pPr>
              <w:bidi/>
              <w:rPr>
                <w:rFonts w:ascii="Traditional Arabic" w:eastAsia="Calibri" w:hAnsi="Traditional Arabic" w:cs="Traditional Arabic"/>
                <w:sz w:val="26"/>
                <w:szCs w:val="26"/>
                <w:rtl/>
              </w:rPr>
            </w:pPr>
            <w:bookmarkStart w:id="24" w:name="_Hlk174888636"/>
            <w:r w:rsidRPr="00650AF6">
              <w:rPr>
                <w:rFonts w:ascii="Traditional Arabic" w:eastAsia="Calibri" w:hAnsi="Traditional Arabic" w:cs="Traditional Arabic"/>
                <w:sz w:val="26"/>
                <w:szCs w:val="26"/>
                <w:rtl/>
              </w:rPr>
              <w:t>تكاليف التمويل</w:t>
            </w:r>
          </w:p>
        </w:tc>
        <w:tc>
          <w:tcPr>
            <w:tcW w:w="1124" w:type="dxa"/>
            <w:tcBorders>
              <w:top w:val="single" w:sz="4" w:space="0" w:color="0B3D85"/>
              <w:bottom w:val="single" w:sz="4" w:space="0" w:color="0B3D85"/>
            </w:tcBorders>
            <w:vAlign w:val="center"/>
          </w:tcPr>
          <w:p w14:paraId="5D846B7C"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(25,399)</w:t>
            </w:r>
          </w:p>
        </w:tc>
        <w:tc>
          <w:tcPr>
            <w:tcW w:w="1124" w:type="dxa"/>
            <w:tcBorders>
              <w:top w:val="single" w:sz="4" w:space="0" w:color="0B3D85"/>
              <w:bottom w:val="single" w:sz="4" w:space="0" w:color="0B3D85"/>
            </w:tcBorders>
            <w:vAlign w:val="center"/>
          </w:tcPr>
          <w:p w14:paraId="3C1C6D3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(25,800)</w:t>
            </w:r>
          </w:p>
        </w:tc>
        <w:tc>
          <w:tcPr>
            <w:tcW w:w="1124" w:type="dxa"/>
            <w:tcBorders>
              <w:top w:val="single" w:sz="4" w:space="0" w:color="0B3D85"/>
              <w:bottom w:val="single" w:sz="4" w:space="0" w:color="0B3D85"/>
            </w:tcBorders>
            <w:vAlign w:val="center"/>
          </w:tcPr>
          <w:p w14:paraId="2996591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(42,354)</w:t>
            </w:r>
          </w:p>
        </w:tc>
        <w:tc>
          <w:tcPr>
            <w:tcW w:w="998" w:type="dxa"/>
            <w:gridSpan w:val="2"/>
            <w:tcBorders>
              <w:top w:val="single" w:sz="4" w:space="0" w:color="0B3D85"/>
              <w:bottom w:val="single" w:sz="4" w:space="0" w:color="0B3D85"/>
            </w:tcBorders>
            <w:vAlign w:val="center"/>
          </w:tcPr>
          <w:p w14:paraId="07E43168"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1.6%</w:t>
            </w:r>
          </w:p>
        </w:tc>
        <w:tc>
          <w:tcPr>
            <w:tcW w:w="1118" w:type="dxa"/>
            <w:tcBorders>
              <w:top w:val="single" w:sz="4" w:space="0" w:color="0B3D85"/>
              <w:bottom w:val="single" w:sz="4" w:space="0" w:color="0B3D85"/>
            </w:tcBorders>
            <w:vAlign w:val="center"/>
          </w:tcPr>
          <w:p w14:paraId="58480DCA"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64.2%</w:t>
            </w:r>
          </w:p>
        </w:tc>
        <w:tc>
          <w:tcPr>
            <w:tcW w:w="891" w:type="dxa"/>
            <w:tcBorders>
              <w:top w:val="single" w:sz="4" w:space="0" w:color="0B3D85"/>
              <w:bottom w:val="single" w:sz="4" w:space="0" w:color="0B3D85"/>
            </w:tcBorders>
            <w:vAlign w:val="center"/>
          </w:tcPr>
          <w:p w14:paraId="5F45E24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29.1%</w:t>
            </w:r>
          </w:p>
        </w:tc>
        <w:tc>
          <w:tcPr>
            <w:tcW w:w="1124" w:type="dxa"/>
            <w:gridSpan w:val="2"/>
            <w:tcBorders>
              <w:top w:val="single" w:sz="4" w:space="0" w:color="0B3D85"/>
              <w:bottom w:val="single" w:sz="4" w:space="0" w:color="0B3D85"/>
            </w:tcBorders>
            <w:vAlign w:val="center"/>
          </w:tcPr>
          <w:p w14:paraId="1706030D"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(31,491)</w:t>
            </w:r>
          </w:p>
        </w:tc>
        <w:tc>
          <w:tcPr>
            <w:tcW w:w="1124" w:type="dxa"/>
            <w:tcBorders>
              <w:top w:val="single" w:sz="4" w:space="0" w:color="0B3D85"/>
              <w:bottom w:val="single" w:sz="4" w:space="0" w:color="0B3D85"/>
            </w:tcBorders>
            <w:vAlign w:val="center"/>
          </w:tcPr>
          <w:p w14:paraId="5CAFD3FA"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(29,901)</w:t>
            </w:r>
          </w:p>
        </w:tc>
        <w:tc>
          <w:tcPr>
            <w:tcW w:w="998" w:type="dxa"/>
            <w:gridSpan w:val="2"/>
            <w:tcBorders>
              <w:top w:val="single" w:sz="4" w:space="0" w:color="0B3D85"/>
              <w:bottom w:val="single" w:sz="4" w:space="0" w:color="0B3D85"/>
            </w:tcBorders>
            <w:vAlign w:val="center"/>
          </w:tcPr>
          <w:p w14:paraId="6063F7E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(5.0%)</w:t>
            </w:r>
          </w:p>
        </w:tc>
      </w:tr>
      <w:tr w:rsidR="00D965D1" w:rsidRPr="00A93B67" w14:paraId="2C85C31F" w14:textId="77777777" w:rsidTr="00D965D1">
        <w:trPr>
          <w:trHeight w:val="20"/>
        </w:trPr>
        <w:tc>
          <w:tcPr>
            <w:tcW w:w="1234" w:type="dxa"/>
            <w:tcBorders>
              <w:top w:val="single" w:sz="4" w:space="0" w:color="0B3D85"/>
              <w:bottom w:val="single" w:sz="4" w:space="0" w:color="0B3D85"/>
            </w:tcBorders>
            <w:vAlign w:val="center"/>
          </w:tcPr>
          <w:p w14:paraId="3114033D" w14:textId="77777777" w:rsidR="00D965D1" w:rsidRPr="00650AF6" w:rsidRDefault="00D965D1" w:rsidP="00D965D1">
            <w:pPr>
              <w:bidi/>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إيرادات التمويل</w:t>
            </w:r>
          </w:p>
        </w:tc>
        <w:tc>
          <w:tcPr>
            <w:tcW w:w="1124" w:type="dxa"/>
            <w:tcBorders>
              <w:top w:val="single" w:sz="4" w:space="0" w:color="0B3D85"/>
              <w:bottom w:val="single" w:sz="4" w:space="0" w:color="0B3D85"/>
            </w:tcBorders>
            <w:vAlign w:val="center"/>
          </w:tcPr>
          <w:p w14:paraId="67CD0A8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3,760</w:t>
            </w:r>
          </w:p>
        </w:tc>
        <w:tc>
          <w:tcPr>
            <w:tcW w:w="1124" w:type="dxa"/>
            <w:tcBorders>
              <w:top w:val="single" w:sz="4" w:space="0" w:color="0B3D85"/>
              <w:bottom w:val="single" w:sz="4" w:space="0" w:color="0B3D85"/>
            </w:tcBorders>
            <w:vAlign w:val="center"/>
          </w:tcPr>
          <w:p w14:paraId="401904C7"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2,010</w:t>
            </w:r>
          </w:p>
        </w:tc>
        <w:tc>
          <w:tcPr>
            <w:tcW w:w="1124" w:type="dxa"/>
            <w:tcBorders>
              <w:top w:val="single" w:sz="4" w:space="0" w:color="0B3D85"/>
              <w:bottom w:val="single" w:sz="4" w:space="0" w:color="0B3D85"/>
            </w:tcBorders>
            <w:vAlign w:val="center"/>
          </w:tcPr>
          <w:p w14:paraId="1AD9212F"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13,105</w:t>
            </w:r>
          </w:p>
        </w:tc>
        <w:tc>
          <w:tcPr>
            <w:tcW w:w="998" w:type="dxa"/>
            <w:gridSpan w:val="2"/>
            <w:tcBorders>
              <w:top w:val="single" w:sz="4" w:space="0" w:color="0B3D85"/>
              <w:bottom w:val="single" w:sz="4" w:space="0" w:color="0B3D85"/>
            </w:tcBorders>
            <w:vAlign w:val="center"/>
          </w:tcPr>
          <w:p w14:paraId="16DAC837"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(46.5%)</w:t>
            </w:r>
          </w:p>
        </w:tc>
        <w:tc>
          <w:tcPr>
            <w:tcW w:w="1118" w:type="dxa"/>
            <w:tcBorders>
              <w:top w:val="single" w:sz="4" w:space="0" w:color="0B3D85"/>
              <w:bottom w:val="single" w:sz="4" w:space="0" w:color="0B3D85"/>
            </w:tcBorders>
            <w:vAlign w:val="center"/>
          </w:tcPr>
          <w:p w14:paraId="623FAC09"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552.1%</w:t>
            </w:r>
          </w:p>
        </w:tc>
        <w:tc>
          <w:tcPr>
            <w:tcW w:w="891" w:type="dxa"/>
            <w:tcBorders>
              <w:top w:val="single" w:sz="4" w:space="0" w:color="0B3D85"/>
              <w:bottom w:val="single" w:sz="4" w:space="0" w:color="0B3D85"/>
            </w:tcBorders>
            <w:vAlign w:val="center"/>
          </w:tcPr>
          <w:p w14:paraId="3FB7CF1A"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86.7%</w:t>
            </w:r>
          </w:p>
        </w:tc>
        <w:tc>
          <w:tcPr>
            <w:tcW w:w="1124" w:type="dxa"/>
            <w:gridSpan w:val="2"/>
            <w:tcBorders>
              <w:top w:val="single" w:sz="4" w:space="0" w:color="0B3D85"/>
              <w:bottom w:val="single" w:sz="4" w:space="0" w:color="0B3D85"/>
            </w:tcBorders>
            <w:vAlign w:val="center"/>
          </w:tcPr>
          <w:p w14:paraId="0990FFA0"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11,050</w:t>
            </w:r>
          </w:p>
        </w:tc>
        <w:tc>
          <w:tcPr>
            <w:tcW w:w="1124" w:type="dxa"/>
            <w:tcBorders>
              <w:top w:val="single" w:sz="4" w:space="0" w:color="0B3D85"/>
              <w:bottom w:val="single" w:sz="4" w:space="0" w:color="0B3D85"/>
            </w:tcBorders>
            <w:vAlign w:val="center"/>
          </w:tcPr>
          <w:p w14:paraId="1AAB552D"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7,165</w:t>
            </w:r>
          </w:p>
        </w:tc>
        <w:tc>
          <w:tcPr>
            <w:tcW w:w="998" w:type="dxa"/>
            <w:gridSpan w:val="2"/>
            <w:tcBorders>
              <w:top w:val="single" w:sz="4" w:space="0" w:color="0B3D85"/>
              <w:bottom w:val="single" w:sz="4" w:space="0" w:color="0B3D85"/>
            </w:tcBorders>
            <w:vAlign w:val="center"/>
          </w:tcPr>
          <w:p w14:paraId="39EF4DBB"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(35.2%)</w:t>
            </w:r>
          </w:p>
        </w:tc>
      </w:tr>
      <w:tr w:rsidR="00D965D1" w:rsidRPr="00A93B67" w14:paraId="149A9B51" w14:textId="77777777" w:rsidTr="00D965D1">
        <w:trPr>
          <w:trHeight w:val="20"/>
        </w:trPr>
        <w:tc>
          <w:tcPr>
            <w:tcW w:w="1234" w:type="dxa"/>
            <w:tcBorders>
              <w:top w:val="single" w:sz="4" w:space="0" w:color="0B3D85"/>
              <w:bottom w:val="single" w:sz="4" w:space="0" w:color="0B3D85"/>
            </w:tcBorders>
            <w:vAlign w:val="center"/>
          </w:tcPr>
          <w:p w14:paraId="229B3AFB" w14:textId="77777777" w:rsidR="00D965D1" w:rsidRPr="00650AF6" w:rsidRDefault="00D965D1" w:rsidP="00D965D1">
            <w:pPr>
              <w:bidi/>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 xml:space="preserve">حصة من نتائج استثمارات محتسبة وفقا لحقوق الملكية </w:t>
            </w:r>
          </w:p>
        </w:tc>
        <w:tc>
          <w:tcPr>
            <w:tcW w:w="1124" w:type="dxa"/>
            <w:tcBorders>
              <w:top w:val="single" w:sz="4" w:space="0" w:color="0B3D85"/>
              <w:bottom w:val="single" w:sz="4" w:space="0" w:color="0B3D85"/>
            </w:tcBorders>
            <w:vAlign w:val="center"/>
          </w:tcPr>
          <w:p w14:paraId="383263EF"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3,268</w:t>
            </w:r>
          </w:p>
        </w:tc>
        <w:tc>
          <w:tcPr>
            <w:tcW w:w="1124" w:type="dxa"/>
            <w:tcBorders>
              <w:top w:val="single" w:sz="4" w:space="0" w:color="0B3D85"/>
              <w:bottom w:val="single" w:sz="4" w:space="0" w:color="0B3D85"/>
            </w:tcBorders>
            <w:vAlign w:val="center"/>
          </w:tcPr>
          <w:p w14:paraId="00309CDF"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(6,777)</w:t>
            </w:r>
          </w:p>
        </w:tc>
        <w:tc>
          <w:tcPr>
            <w:tcW w:w="1124" w:type="dxa"/>
            <w:tcBorders>
              <w:top w:val="single" w:sz="4" w:space="0" w:color="0B3D85"/>
              <w:bottom w:val="single" w:sz="4" w:space="0" w:color="0B3D85"/>
            </w:tcBorders>
            <w:vAlign w:val="center"/>
          </w:tcPr>
          <w:p w14:paraId="63FED0B4"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998</w:t>
            </w:r>
          </w:p>
        </w:tc>
        <w:tc>
          <w:tcPr>
            <w:tcW w:w="998" w:type="dxa"/>
            <w:gridSpan w:val="2"/>
            <w:tcBorders>
              <w:top w:val="single" w:sz="4" w:space="0" w:color="0B3D85"/>
              <w:bottom w:val="single" w:sz="4" w:space="0" w:color="0B3D85"/>
            </w:tcBorders>
            <w:vAlign w:val="center"/>
          </w:tcPr>
          <w:p w14:paraId="4199845A"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(307.4%)</w:t>
            </w:r>
          </w:p>
        </w:tc>
        <w:tc>
          <w:tcPr>
            <w:tcW w:w="1118" w:type="dxa"/>
            <w:tcBorders>
              <w:top w:val="single" w:sz="4" w:space="0" w:color="0B3D85"/>
              <w:bottom w:val="single" w:sz="4" w:space="0" w:color="0B3D85"/>
            </w:tcBorders>
            <w:vAlign w:val="center"/>
          </w:tcPr>
          <w:p w14:paraId="3977355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(114.7%)</w:t>
            </w:r>
          </w:p>
        </w:tc>
        <w:tc>
          <w:tcPr>
            <w:tcW w:w="891" w:type="dxa"/>
            <w:tcBorders>
              <w:top w:val="single" w:sz="4" w:space="0" w:color="0B3D85"/>
              <w:bottom w:val="single" w:sz="4" w:space="0" w:color="0B3D85"/>
            </w:tcBorders>
            <w:vAlign w:val="center"/>
          </w:tcPr>
          <w:p w14:paraId="2D45C00B"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(44.7%)</w:t>
            </w:r>
          </w:p>
        </w:tc>
        <w:tc>
          <w:tcPr>
            <w:tcW w:w="1124" w:type="dxa"/>
            <w:gridSpan w:val="2"/>
            <w:tcBorders>
              <w:top w:val="single" w:sz="4" w:space="0" w:color="0B3D85"/>
              <w:bottom w:val="single" w:sz="4" w:space="0" w:color="0B3D85"/>
            </w:tcBorders>
            <w:vAlign w:val="center"/>
          </w:tcPr>
          <w:p w14:paraId="67E52861"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571</w:t>
            </w:r>
          </w:p>
        </w:tc>
        <w:tc>
          <w:tcPr>
            <w:tcW w:w="1124" w:type="dxa"/>
            <w:tcBorders>
              <w:top w:val="single" w:sz="4" w:space="0" w:color="0B3D85"/>
              <w:bottom w:val="single" w:sz="4" w:space="0" w:color="0B3D85"/>
            </w:tcBorders>
            <w:vAlign w:val="center"/>
          </w:tcPr>
          <w:p w14:paraId="5D4B0EE4"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942</w:t>
            </w:r>
          </w:p>
        </w:tc>
        <w:tc>
          <w:tcPr>
            <w:tcW w:w="998" w:type="dxa"/>
            <w:gridSpan w:val="2"/>
            <w:tcBorders>
              <w:top w:val="single" w:sz="4" w:space="0" w:color="0B3D85"/>
              <w:bottom w:val="single" w:sz="4" w:space="0" w:color="0B3D85"/>
            </w:tcBorders>
            <w:vAlign w:val="center"/>
          </w:tcPr>
          <w:p w14:paraId="2387321F"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65.2%</w:t>
            </w:r>
          </w:p>
        </w:tc>
      </w:tr>
      <w:bookmarkEnd w:id="24"/>
      <w:tr w:rsidR="00D965D1" w:rsidRPr="00A93B67" w14:paraId="7AA41FBA" w14:textId="77777777" w:rsidTr="00D965D1">
        <w:trPr>
          <w:trHeight w:val="215"/>
        </w:trPr>
        <w:tc>
          <w:tcPr>
            <w:tcW w:w="1234" w:type="dxa"/>
            <w:tcBorders>
              <w:top w:val="single" w:sz="4" w:space="0" w:color="0B3D85"/>
              <w:bottom w:val="single" w:sz="4" w:space="0" w:color="0B3D85"/>
            </w:tcBorders>
            <w:vAlign w:val="center"/>
          </w:tcPr>
          <w:p w14:paraId="0A4533EB" w14:textId="77777777" w:rsidR="00D965D1" w:rsidRPr="00650AF6" w:rsidRDefault="00D965D1" w:rsidP="00D965D1">
            <w:pPr>
              <w:bidi/>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 xml:space="preserve">الأرباح قبل ضريبة الدخل </w:t>
            </w:r>
          </w:p>
        </w:tc>
        <w:tc>
          <w:tcPr>
            <w:tcW w:w="1124" w:type="dxa"/>
            <w:tcBorders>
              <w:top w:val="single" w:sz="4" w:space="0" w:color="0B3D85"/>
              <w:bottom w:val="single" w:sz="4" w:space="0" w:color="0B3D85"/>
            </w:tcBorders>
            <w:vAlign w:val="center"/>
          </w:tcPr>
          <w:p w14:paraId="1BE56869"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21,157</w:t>
            </w:r>
          </w:p>
        </w:tc>
        <w:tc>
          <w:tcPr>
            <w:tcW w:w="1124" w:type="dxa"/>
            <w:tcBorders>
              <w:top w:val="single" w:sz="4" w:space="0" w:color="0B3D85"/>
              <w:bottom w:val="single" w:sz="4" w:space="0" w:color="0B3D85"/>
            </w:tcBorders>
            <w:vAlign w:val="center"/>
          </w:tcPr>
          <w:p w14:paraId="4AE333CC"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41,083</w:t>
            </w:r>
          </w:p>
        </w:tc>
        <w:tc>
          <w:tcPr>
            <w:tcW w:w="1124" w:type="dxa"/>
            <w:tcBorders>
              <w:top w:val="single" w:sz="4" w:space="0" w:color="0B3D85"/>
              <w:bottom w:val="single" w:sz="4" w:space="0" w:color="0B3D85"/>
            </w:tcBorders>
            <w:vAlign w:val="center"/>
          </w:tcPr>
          <w:p w14:paraId="09470708"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37,310</w:t>
            </w:r>
          </w:p>
        </w:tc>
        <w:tc>
          <w:tcPr>
            <w:tcW w:w="998" w:type="dxa"/>
            <w:gridSpan w:val="2"/>
            <w:tcBorders>
              <w:top w:val="single" w:sz="4" w:space="0" w:color="0B3D85"/>
              <w:bottom w:val="single" w:sz="4" w:space="0" w:color="0B3D85"/>
            </w:tcBorders>
            <w:vAlign w:val="center"/>
          </w:tcPr>
          <w:p w14:paraId="04E5834B"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94.2%</w:t>
            </w:r>
          </w:p>
        </w:tc>
        <w:tc>
          <w:tcPr>
            <w:tcW w:w="1118" w:type="dxa"/>
            <w:tcBorders>
              <w:top w:val="single" w:sz="4" w:space="0" w:color="0B3D85"/>
              <w:bottom w:val="single" w:sz="4" w:space="0" w:color="0B3D85"/>
            </w:tcBorders>
            <w:vAlign w:val="center"/>
          </w:tcPr>
          <w:p w14:paraId="73EA8F5D"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(9.2%)</w:t>
            </w:r>
          </w:p>
        </w:tc>
        <w:tc>
          <w:tcPr>
            <w:tcW w:w="891" w:type="dxa"/>
            <w:tcBorders>
              <w:top w:val="single" w:sz="4" w:space="0" w:color="0B3D85"/>
              <w:bottom w:val="single" w:sz="4" w:space="0" w:color="0B3D85"/>
            </w:tcBorders>
            <w:vAlign w:val="center"/>
          </w:tcPr>
          <w:p w14:paraId="088AC8B1"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32.8%</w:t>
            </w:r>
          </w:p>
        </w:tc>
        <w:tc>
          <w:tcPr>
            <w:tcW w:w="1124" w:type="dxa"/>
            <w:gridSpan w:val="2"/>
            <w:tcBorders>
              <w:top w:val="single" w:sz="4" w:space="0" w:color="0B3D85"/>
              <w:bottom w:val="single" w:sz="4" w:space="0" w:color="0B3D85"/>
            </w:tcBorders>
            <w:vAlign w:val="center"/>
          </w:tcPr>
          <w:p w14:paraId="4F41E2FA"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18,125</w:t>
            </w:r>
          </w:p>
        </w:tc>
        <w:tc>
          <w:tcPr>
            <w:tcW w:w="1124" w:type="dxa"/>
            <w:tcBorders>
              <w:top w:val="single" w:sz="4" w:space="0" w:color="0B3D85"/>
              <w:bottom w:val="single" w:sz="4" w:space="0" w:color="0B3D85"/>
            </w:tcBorders>
            <w:vAlign w:val="center"/>
          </w:tcPr>
          <w:p w14:paraId="2DAD5EE6"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45,108</w:t>
            </w:r>
          </w:p>
        </w:tc>
        <w:tc>
          <w:tcPr>
            <w:tcW w:w="998" w:type="dxa"/>
            <w:gridSpan w:val="2"/>
            <w:tcBorders>
              <w:top w:val="single" w:sz="4" w:space="0" w:color="0B3D85"/>
              <w:bottom w:val="single" w:sz="4" w:space="0" w:color="0B3D85"/>
            </w:tcBorders>
            <w:vAlign w:val="center"/>
          </w:tcPr>
          <w:p w14:paraId="6F1E5B5E" w14:textId="77777777" w:rsidR="00D965D1" w:rsidRPr="00650AF6" w:rsidRDefault="001814FA" w:rsidP="00D965D1">
            <w:pPr>
              <w:jc w:val="center"/>
              <w:rPr>
                <w:rFonts w:ascii="Traditional Arabic" w:eastAsia="Calibri" w:hAnsi="Traditional Arabic" w:cs="Traditional Arabic"/>
                <w:b/>
                <w:bCs/>
                <w:sz w:val="26"/>
                <w:szCs w:val="26"/>
                <w:rtl/>
              </w:rPr>
            </w:pPr>
            <w:r>
              <w:rPr>
                <w:rFonts w:ascii="Traditional Arabic" w:eastAsia="Calibri" w:hAnsi="Traditional Arabic" w:cs="Traditional Arabic" w:hint="cs"/>
                <w:b/>
                <w:bCs/>
                <w:sz w:val="26"/>
                <w:szCs w:val="26"/>
                <w:rtl/>
              </w:rPr>
              <w:t>148.9</w:t>
            </w:r>
            <w:r w:rsidR="00D965D1" w:rsidRPr="00650AF6">
              <w:rPr>
                <w:rFonts w:ascii="Traditional Arabic" w:eastAsia="Calibri" w:hAnsi="Traditional Arabic" w:cs="Traditional Arabic"/>
                <w:b/>
                <w:bCs/>
                <w:sz w:val="26"/>
                <w:szCs w:val="26"/>
                <w:rtl/>
              </w:rPr>
              <w:t>%</w:t>
            </w:r>
          </w:p>
        </w:tc>
      </w:tr>
      <w:tr w:rsidR="00D965D1" w:rsidRPr="00A93B67" w14:paraId="259B3FD6" w14:textId="77777777" w:rsidTr="00D965D1">
        <w:trPr>
          <w:trHeight w:val="20"/>
        </w:trPr>
        <w:tc>
          <w:tcPr>
            <w:tcW w:w="1234" w:type="dxa"/>
            <w:tcBorders>
              <w:top w:val="single" w:sz="4" w:space="0" w:color="0B3D85"/>
            </w:tcBorders>
            <w:vAlign w:val="center"/>
          </w:tcPr>
          <w:p w14:paraId="05622912" w14:textId="77777777" w:rsidR="00D965D1" w:rsidRPr="00650AF6" w:rsidRDefault="00D965D1" w:rsidP="00D965D1">
            <w:pPr>
              <w:bidi/>
              <w:rPr>
                <w:rFonts w:ascii="Traditional Arabic" w:eastAsia="Calibri" w:hAnsi="Traditional Arabic" w:cs="Traditional Arabic"/>
                <w:b/>
                <w:bCs/>
                <w:sz w:val="26"/>
                <w:szCs w:val="26"/>
                <w:rtl/>
              </w:rPr>
            </w:pPr>
            <w:r w:rsidRPr="00650AF6">
              <w:rPr>
                <w:rFonts w:ascii="Traditional Arabic" w:hAnsi="Traditional Arabic" w:cs="Traditional Arabic"/>
                <w:sz w:val="26"/>
                <w:szCs w:val="26"/>
                <w:rtl/>
              </w:rPr>
              <w:t xml:space="preserve">إعفاء ضريبة الدخل </w:t>
            </w:r>
            <w:r w:rsidRPr="00650AF6">
              <w:rPr>
                <w:rFonts w:ascii="Traditional Arabic" w:eastAsia="Calibri" w:hAnsi="Traditional Arabic" w:cs="Traditional Arabic"/>
                <w:b/>
                <w:bCs/>
                <w:sz w:val="26"/>
                <w:szCs w:val="26"/>
                <w:rtl/>
              </w:rPr>
              <w:t xml:space="preserve"> </w:t>
            </w:r>
          </w:p>
        </w:tc>
        <w:tc>
          <w:tcPr>
            <w:tcW w:w="1124" w:type="dxa"/>
            <w:tcBorders>
              <w:top w:val="single" w:sz="4" w:space="0" w:color="0B3D85"/>
            </w:tcBorders>
            <w:vAlign w:val="center"/>
          </w:tcPr>
          <w:p w14:paraId="21CE4CD1"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(416)</w:t>
            </w:r>
          </w:p>
        </w:tc>
        <w:tc>
          <w:tcPr>
            <w:tcW w:w="1124" w:type="dxa"/>
            <w:tcBorders>
              <w:top w:val="single" w:sz="4" w:space="0" w:color="0B3D85"/>
            </w:tcBorders>
            <w:vAlign w:val="center"/>
          </w:tcPr>
          <w:p w14:paraId="0265A70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1,701</w:t>
            </w:r>
          </w:p>
        </w:tc>
        <w:tc>
          <w:tcPr>
            <w:tcW w:w="1124" w:type="dxa"/>
            <w:tcBorders>
              <w:top w:val="single" w:sz="4" w:space="0" w:color="0B3D85"/>
            </w:tcBorders>
            <w:vAlign w:val="center"/>
          </w:tcPr>
          <w:p w14:paraId="10C5546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2,179</w:t>
            </w:r>
          </w:p>
        </w:tc>
        <w:tc>
          <w:tcPr>
            <w:tcW w:w="998" w:type="dxa"/>
            <w:gridSpan w:val="2"/>
            <w:tcBorders>
              <w:top w:val="single" w:sz="4" w:space="0" w:color="0B3D85"/>
            </w:tcBorders>
            <w:vAlign w:val="center"/>
          </w:tcPr>
          <w:p w14:paraId="7D43578B"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(508.6%)</w:t>
            </w:r>
          </w:p>
        </w:tc>
        <w:tc>
          <w:tcPr>
            <w:tcW w:w="1118" w:type="dxa"/>
            <w:tcBorders>
              <w:top w:val="single" w:sz="4" w:space="0" w:color="0B3D85"/>
            </w:tcBorders>
            <w:vAlign w:val="center"/>
          </w:tcPr>
          <w:p w14:paraId="1B8270D3"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28.1%</w:t>
            </w:r>
          </w:p>
        </w:tc>
        <w:tc>
          <w:tcPr>
            <w:tcW w:w="891" w:type="dxa"/>
            <w:tcBorders>
              <w:top w:val="single" w:sz="4" w:space="0" w:color="0B3D85"/>
            </w:tcBorders>
            <w:vAlign w:val="center"/>
          </w:tcPr>
          <w:p w14:paraId="762F15E8"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لا ينطبق</w:t>
            </w:r>
          </w:p>
        </w:tc>
        <w:tc>
          <w:tcPr>
            <w:tcW w:w="1124" w:type="dxa"/>
            <w:gridSpan w:val="2"/>
            <w:tcBorders>
              <w:top w:val="single" w:sz="4" w:space="0" w:color="0B3D85"/>
            </w:tcBorders>
            <w:vAlign w:val="center"/>
          </w:tcPr>
          <w:p w14:paraId="07685B8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75</w:t>
            </w:r>
          </w:p>
        </w:tc>
        <w:tc>
          <w:tcPr>
            <w:tcW w:w="1124" w:type="dxa"/>
            <w:tcBorders>
              <w:top w:val="single" w:sz="4" w:space="0" w:color="0B3D85"/>
            </w:tcBorders>
            <w:vAlign w:val="center"/>
          </w:tcPr>
          <w:p w14:paraId="498BC91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798</w:t>
            </w:r>
          </w:p>
        </w:tc>
        <w:tc>
          <w:tcPr>
            <w:tcW w:w="998" w:type="dxa"/>
            <w:gridSpan w:val="2"/>
            <w:tcBorders>
              <w:top w:val="single" w:sz="4" w:space="0" w:color="0B3D85"/>
            </w:tcBorders>
            <w:vAlign w:val="center"/>
          </w:tcPr>
          <w:p w14:paraId="12AD8385" w14:textId="77777777" w:rsidR="00D965D1" w:rsidRPr="00650AF6" w:rsidRDefault="00E3411D" w:rsidP="00D965D1">
            <w:pPr>
              <w:jc w:val="center"/>
              <w:rPr>
                <w:rFonts w:ascii="Traditional Arabic" w:eastAsia="Calibri" w:hAnsi="Traditional Arabic" w:cs="Traditional Arabic"/>
                <w:sz w:val="26"/>
                <w:szCs w:val="26"/>
                <w:rtl/>
              </w:rPr>
            </w:pPr>
            <w:r>
              <w:rPr>
                <w:rFonts w:ascii="Traditional Arabic" w:eastAsia="Calibri" w:hAnsi="Traditional Arabic" w:cs="Traditional Arabic" w:hint="cs"/>
                <w:sz w:val="26"/>
                <w:szCs w:val="26"/>
                <w:rtl/>
              </w:rPr>
              <w:t>964.0</w:t>
            </w:r>
            <w:r w:rsidR="00D965D1" w:rsidRPr="00650AF6">
              <w:rPr>
                <w:rFonts w:ascii="Traditional Arabic" w:eastAsia="Calibri" w:hAnsi="Traditional Arabic" w:cs="Traditional Arabic"/>
                <w:sz w:val="26"/>
                <w:szCs w:val="26"/>
                <w:rtl/>
              </w:rPr>
              <w:t>%</w:t>
            </w:r>
          </w:p>
        </w:tc>
      </w:tr>
      <w:tr w:rsidR="00D965D1" w:rsidRPr="00A93B67" w14:paraId="3FAE65EB" w14:textId="77777777" w:rsidTr="00D965D1">
        <w:trPr>
          <w:trHeight w:val="58"/>
        </w:trPr>
        <w:tc>
          <w:tcPr>
            <w:tcW w:w="1234" w:type="dxa"/>
            <w:tcBorders>
              <w:top w:val="single" w:sz="4" w:space="0" w:color="0B3D85"/>
            </w:tcBorders>
            <w:vAlign w:val="center"/>
          </w:tcPr>
          <w:p w14:paraId="4FECC943" w14:textId="77777777" w:rsidR="00D965D1" w:rsidRPr="00650AF6" w:rsidRDefault="00D965D1" w:rsidP="00D965D1">
            <w:pPr>
              <w:bidi/>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أرباح الفترة</w:t>
            </w:r>
          </w:p>
        </w:tc>
        <w:tc>
          <w:tcPr>
            <w:tcW w:w="1124" w:type="dxa"/>
            <w:tcBorders>
              <w:top w:val="single" w:sz="4" w:space="0" w:color="0B3D85"/>
            </w:tcBorders>
            <w:vAlign w:val="center"/>
          </w:tcPr>
          <w:p w14:paraId="49F1E4FC"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20,741</w:t>
            </w:r>
          </w:p>
        </w:tc>
        <w:tc>
          <w:tcPr>
            <w:tcW w:w="1124" w:type="dxa"/>
            <w:tcBorders>
              <w:top w:val="single" w:sz="4" w:space="0" w:color="0B3D85"/>
            </w:tcBorders>
            <w:vAlign w:val="center"/>
          </w:tcPr>
          <w:p w14:paraId="5FEA62A0"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42,784</w:t>
            </w:r>
          </w:p>
        </w:tc>
        <w:tc>
          <w:tcPr>
            <w:tcW w:w="1124" w:type="dxa"/>
            <w:tcBorders>
              <w:top w:val="single" w:sz="4" w:space="0" w:color="0B3D85"/>
            </w:tcBorders>
            <w:vAlign w:val="center"/>
          </w:tcPr>
          <w:p w14:paraId="3DD66E1D"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39,489</w:t>
            </w:r>
          </w:p>
        </w:tc>
        <w:tc>
          <w:tcPr>
            <w:tcW w:w="998" w:type="dxa"/>
            <w:gridSpan w:val="2"/>
            <w:tcBorders>
              <w:top w:val="single" w:sz="4" w:space="0" w:color="0B3D85"/>
            </w:tcBorders>
            <w:vAlign w:val="center"/>
          </w:tcPr>
          <w:p w14:paraId="664B2E24"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106.3%</w:t>
            </w:r>
          </w:p>
        </w:tc>
        <w:tc>
          <w:tcPr>
            <w:tcW w:w="1118" w:type="dxa"/>
            <w:tcBorders>
              <w:top w:val="single" w:sz="4" w:space="0" w:color="0B3D85"/>
            </w:tcBorders>
            <w:vAlign w:val="center"/>
          </w:tcPr>
          <w:p w14:paraId="6D361296"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(7.7%)</w:t>
            </w:r>
          </w:p>
        </w:tc>
        <w:tc>
          <w:tcPr>
            <w:tcW w:w="891" w:type="dxa"/>
            <w:tcBorders>
              <w:top w:val="single" w:sz="4" w:space="0" w:color="0B3D85"/>
            </w:tcBorders>
            <w:vAlign w:val="center"/>
          </w:tcPr>
          <w:p w14:paraId="4E73F9D4"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38.0%</w:t>
            </w:r>
          </w:p>
        </w:tc>
        <w:tc>
          <w:tcPr>
            <w:tcW w:w="1124" w:type="dxa"/>
            <w:gridSpan w:val="2"/>
            <w:tcBorders>
              <w:top w:val="single" w:sz="4" w:space="0" w:color="0B3D85"/>
            </w:tcBorders>
            <w:vAlign w:val="center"/>
          </w:tcPr>
          <w:p w14:paraId="5244253D"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18,201</w:t>
            </w:r>
          </w:p>
        </w:tc>
        <w:tc>
          <w:tcPr>
            <w:tcW w:w="1124" w:type="dxa"/>
            <w:tcBorders>
              <w:top w:val="single" w:sz="4" w:space="0" w:color="0B3D85"/>
            </w:tcBorders>
            <w:vAlign w:val="center"/>
          </w:tcPr>
          <w:p w14:paraId="1B556C3B"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45,906</w:t>
            </w:r>
          </w:p>
        </w:tc>
        <w:tc>
          <w:tcPr>
            <w:tcW w:w="998" w:type="dxa"/>
            <w:gridSpan w:val="2"/>
            <w:tcBorders>
              <w:top w:val="single" w:sz="4" w:space="0" w:color="0B3D85"/>
            </w:tcBorders>
            <w:vAlign w:val="center"/>
          </w:tcPr>
          <w:p w14:paraId="3725C975" w14:textId="77777777" w:rsidR="00D965D1" w:rsidRPr="00650AF6" w:rsidRDefault="00B953EC" w:rsidP="00D965D1">
            <w:pPr>
              <w:jc w:val="center"/>
              <w:rPr>
                <w:rFonts w:ascii="Traditional Arabic" w:eastAsia="Calibri" w:hAnsi="Traditional Arabic" w:cs="Traditional Arabic"/>
                <w:b/>
                <w:bCs/>
                <w:sz w:val="26"/>
                <w:szCs w:val="26"/>
                <w:rtl/>
              </w:rPr>
            </w:pPr>
            <w:r>
              <w:rPr>
                <w:rFonts w:ascii="Traditional Arabic" w:eastAsia="Calibri" w:hAnsi="Traditional Arabic" w:cs="Traditional Arabic" w:hint="cs"/>
                <w:b/>
                <w:bCs/>
                <w:sz w:val="26"/>
                <w:szCs w:val="26"/>
                <w:rtl/>
              </w:rPr>
              <w:t>152.2</w:t>
            </w:r>
            <w:r w:rsidR="00D965D1" w:rsidRPr="00650AF6">
              <w:rPr>
                <w:rFonts w:ascii="Traditional Arabic" w:eastAsia="Calibri" w:hAnsi="Traditional Arabic" w:cs="Traditional Arabic"/>
                <w:b/>
                <w:bCs/>
                <w:sz w:val="26"/>
                <w:szCs w:val="26"/>
                <w:rtl/>
              </w:rPr>
              <w:t>%</w:t>
            </w:r>
          </w:p>
        </w:tc>
      </w:tr>
      <w:tr w:rsidR="00D965D1" w:rsidRPr="008739A2" w14:paraId="3B7DCD0C" w14:textId="77777777" w:rsidTr="00B934CE">
        <w:trPr>
          <w:trHeight w:val="58"/>
        </w:trPr>
        <w:tc>
          <w:tcPr>
            <w:tcW w:w="10865" w:type="dxa"/>
            <w:gridSpan w:val="13"/>
            <w:tcBorders>
              <w:top w:val="single" w:sz="4" w:space="0" w:color="0B3D85"/>
            </w:tcBorders>
            <w:vAlign w:val="center"/>
          </w:tcPr>
          <w:p w14:paraId="2088CF1A" w14:textId="77777777" w:rsidR="00D965D1" w:rsidRPr="00650AF6" w:rsidRDefault="00D965D1" w:rsidP="00D965D1">
            <w:pPr>
              <w:bidi/>
              <w:rPr>
                <w:rFonts w:ascii="Traditional Arabic" w:eastAsia="Calibri" w:hAnsi="Traditional Arabic" w:cs="Traditional Arabic"/>
                <w:b/>
                <w:bCs/>
                <w:sz w:val="26"/>
                <w:szCs w:val="26"/>
                <w:rtl/>
              </w:rPr>
            </w:pPr>
            <w:bookmarkStart w:id="25" w:name="_Hlk165392677"/>
            <w:r w:rsidRPr="00650AF6">
              <w:rPr>
                <w:rFonts w:ascii="Traditional Arabic" w:hAnsi="Traditional Arabic" w:cs="Traditional Arabic"/>
                <w:b/>
                <w:bCs/>
                <w:sz w:val="26"/>
                <w:szCs w:val="26"/>
                <w:rtl/>
              </w:rPr>
              <w:t>الدخل الشامل الآخر</w:t>
            </w:r>
          </w:p>
        </w:tc>
      </w:tr>
      <w:tr w:rsidR="00D965D1" w:rsidRPr="008739A2" w14:paraId="225B1988" w14:textId="77777777" w:rsidTr="00B934CE">
        <w:trPr>
          <w:trHeight w:val="58"/>
        </w:trPr>
        <w:tc>
          <w:tcPr>
            <w:tcW w:w="10865" w:type="dxa"/>
            <w:gridSpan w:val="13"/>
            <w:tcBorders>
              <w:top w:val="single" w:sz="4" w:space="0" w:color="0B3D85"/>
            </w:tcBorders>
            <w:vAlign w:val="center"/>
          </w:tcPr>
          <w:p w14:paraId="64300C77" w14:textId="77777777" w:rsidR="00D965D1" w:rsidRPr="00650AF6" w:rsidRDefault="00D965D1" w:rsidP="00D965D1">
            <w:pPr>
              <w:bidi/>
              <w:rPr>
                <w:rFonts w:ascii="Traditional Arabic" w:eastAsia="Calibri" w:hAnsi="Traditional Arabic" w:cs="Traditional Arabic"/>
                <w:b/>
                <w:bCs/>
                <w:i/>
                <w:iCs/>
                <w:sz w:val="26"/>
                <w:szCs w:val="26"/>
                <w:rtl/>
              </w:rPr>
            </w:pPr>
            <w:r w:rsidRPr="00650AF6">
              <w:rPr>
                <w:rFonts w:ascii="Traditional Arabic" w:hAnsi="Traditional Arabic" w:cs="Traditional Arabic"/>
                <w:b/>
                <w:bCs/>
                <w:i/>
                <w:iCs/>
                <w:sz w:val="26"/>
                <w:szCs w:val="26"/>
                <w:rtl/>
              </w:rPr>
              <w:t>البنود التي يتم أو قد يتم إعادة تصنيفها لاحًقا إلى الأرباح أو الخسائر:</w:t>
            </w:r>
          </w:p>
        </w:tc>
      </w:tr>
      <w:bookmarkEnd w:id="25"/>
      <w:tr w:rsidR="00D965D1" w:rsidRPr="00A93B67" w14:paraId="6953312F" w14:textId="77777777" w:rsidTr="00D965D1">
        <w:trPr>
          <w:trHeight w:val="20"/>
        </w:trPr>
        <w:tc>
          <w:tcPr>
            <w:tcW w:w="1234" w:type="dxa"/>
            <w:tcBorders>
              <w:top w:val="single" w:sz="4" w:space="0" w:color="0B3D85"/>
            </w:tcBorders>
            <w:vAlign w:val="center"/>
          </w:tcPr>
          <w:p w14:paraId="1BEF4A41" w14:textId="77777777" w:rsidR="00D965D1" w:rsidRPr="00650AF6" w:rsidRDefault="00D965D1" w:rsidP="00D965D1">
            <w:pPr>
              <w:bidi/>
              <w:rPr>
                <w:rFonts w:ascii="Traditional Arabic" w:eastAsia="Calibri" w:hAnsi="Traditional Arabic" w:cs="Traditional Arabic"/>
                <w:b/>
                <w:bCs/>
                <w:sz w:val="26"/>
                <w:szCs w:val="26"/>
                <w:rtl/>
              </w:rPr>
            </w:pPr>
            <w:r w:rsidRPr="00650AF6">
              <w:rPr>
                <w:rFonts w:ascii="Traditional Arabic" w:eastAsia="Calibri" w:hAnsi="Traditional Arabic" w:cs="Traditional Arabic"/>
                <w:sz w:val="26"/>
                <w:szCs w:val="26"/>
                <w:rtl/>
              </w:rPr>
              <w:t>استثمارات محتسبة وفقا لحقوق الملكية</w:t>
            </w:r>
            <w:r w:rsidRPr="00650AF6">
              <w:rPr>
                <w:rFonts w:ascii="Traditional Arabic" w:hAnsi="Traditional Arabic" w:cs="Traditional Arabic"/>
                <w:i/>
                <w:iCs/>
                <w:sz w:val="26"/>
                <w:szCs w:val="26"/>
                <w:rtl/>
              </w:rPr>
              <w:t xml:space="preserve"> –</w:t>
            </w:r>
            <w:r w:rsidRPr="00650AF6">
              <w:rPr>
                <w:rFonts w:ascii="Traditional Arabic" w:eastAsia="Calibri" w:hAnsi="Traditional Arabic" w:cs="Traditional Arabic"/>
                <w:b/>
                <w:bCs/>
                <w:sz w:val="26"/>
                <w:szCs w:val="26"/>
                <w:rtl/>
              </w:rPr>
              <w:t xml:space="preserve"> </w:t>
            </w:r>
            <w:r w:rsidRPr="00650AF6">
              <w:rPr>
                <w:rFonts w:ascii="Traditional Arabic" w:eastAsia="Calibri" w:hAnsi="Traditional Arabic" w:cs="Traditional Arabic"/>
                <w:sz w:val="26"/>
                <w:szCs w:val="26"/>
                <w:rtl/>
              </w:rPr>
              <w:t>الحصة من الدخل الشامل الآخر</w:t>
            </w:r>
          </w:p>
        </w:tc>
        <w:tc>
          <w:tcPr>
            <w:tcW w:w="1124" w:type="dxa"/>
            <w:tcBorders>
              <w:top w:val="single" w:sz="4" w:space="0" w:color="0B3D85"/>
            </w:tcBorders>
            <w:vAlign w:val="center"/>
          </w:tcPr>
          <w:p w14:paraId="46005CE8"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120</w:t>
            </w:r>
          </w:p>
        </w:tc>
        <w:tc>
          <w:tcPr>
            <w:tcW w:w="1124" w:type="dxa"/>
            <w:tcBorders>
              <w:top w:val="single" w:sz="4" w:space="0" w:color="0B3D85"/>
            </w:tcBorders>
            <w:vAlign w:val="center"/>
          </w:tcPr>
          <w:p w14:paraId="16F8FA17"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19</w:t>
            </w:r>
          </w:p>
        </w:tc>
        <w:tc>
          <w:tcPr>
            <w:tcW w:w="1124" w:type="dxa"/>
            <w:tcBorders>
              <w:top w:val="single" w:sz="4" w:space="0" w:color="0B3D85"/>
            </w:tcBorders>
            <w:vAlign w:val="center"/>
          </w:tcPr>
          <w:p w14:paraId="689EF49B"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w:t>
            </w:r>
          </w:p>
        </w:tc>
        <w:tc>
          <w:tcPr>
            <w:tcW w:w="998" w:type="dxa"/>
            <w:gridSpan w:val="2"/>
            <w:tcBorders>
              <w:top w:val="single" w:sz="4" w:space="0" w:color="0B3D85"/>
            </w:tcBorders>
            <w:vAlign w:val="center"/>
          </w:tcPr>
          <w:p w14:paraId="351ADD9D"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(83.8%)</w:t>
            </w:r>
          </w:p>
        </w:tc>
        <w:tc>
          <w:tcPr>
            <w:tcW w:w="1118" w:type="dxa"/>
            <w:tcBorders>
              <w:top w:val="single" w:sz="4" w:space="0" w:color="0B3D85"/>
            </w:tcBorders>
            <w:vAlign w:val="center"/>
          </w:tcPr>
          <w:p w14:paraId="62B49AD0"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(100.0%)</w:t>
            </w:r>
          </w:p>
        </w:tc>
        <w:tc>
          <w:tcPr>
            <w:tcW w:w="891" w:type="dxa"/>
            <w:tcBorders>
              <w:top w:val="single" w:sz="4" w:space="0" w:color="0B3D85"/>
            </w:tcBorders>
            <w:vAlign w:val="center"/>
          </w:tcPr>
          <w:p w14:paraId="45A4020B"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0.0%</w:t>
            </w:r>
          </w:p>
        </w:tc>
        <w:tc>
          <w:tcPr>
            <w:tcW w:w="1124" w:type="dxa"/>
            <w:gridSpan w:val="2"/>
            <w:tcBorders>
              <w:top w:val="single" w:sz="4" w:space="0" w:color="0B3D85"/>
            </w:tcBorders>
            <w:vAlign w:val="center"/>
          </w:tcPr>
          <w:p w14:paraId="3FEF29BA"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w:t>
            </w:r>
          </w:p>
        </w:tc>
        <w:tc>
          <w:tcPr>
            <w:tcW w:w="1124" w:type="dxa"/>
            <w:tcBorders>
              <w:top w:val="single" w:sz="4" w:space="0" w:color="0B3D85"/>
            </w:tcBorders>
            <w:vAlign w:val="center"/>
          </w:tcPr>
          <w:p w14:paraId="55209438"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w:t>
            </w:r>
          </w:p>
        </w:tc>
        <w:tc>
          <w:tcPr>
            <w:tcW w:w="998" w:type="dxa"/>
            <w:gridSpan w:val="2"/>
            <w:tcBorders>
              <w:top w:val="single" w:sz="4" w:space="0" w:color="0B3D85"/>
            </w:tcBorders>
            <w:vAlign w:val="center"/>
          </w:tcPr>
          <w:p w14:paraId="5DE30567"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لا ينطبق</w:t>
            </w:r>
          </w:p>
        </w:tc>
      </w:tr>
      <w:tr w:rsidR="00D965D1" w:rsidRPr="00A93B67" w14:paraId="1829ABEA" w14:textId="77777777" w:rsidTr="00D965D1">
        <w:trPr>
          <w:trHeight w:val="20"/>
        </w:trPr>
        <w:tc>
          <w:tcPr>
            <w:tcW w:w="1234" w:type="dxa"/>
            <w:tcBorders>
              <w:top w:val="single" w:sz="4" w:space="0" w:color="0B3D85"/>
            </w:tcBorders>
            <w:vAlign w:val="center"/>
          </w:tcPr>
          <w:p w14:paraId="3792C013" w14:textId="77777777" w:rsidR="00D965D1" w:rsidRPr="00650AF6" w:rsidRDefault="00D965D1" w:rsidP="00D965D1">
            <w:pPr>
              <w:bidi/>
              <w:rPr>
                <w:rFonts w:ascii="Traditional Arabic" w:hAnsi="Traditional Arabic" w:cs="Traditional Arabic"/>
                <w:sz w:val="26"/>
                <w:szCs w:val="26"/>
                <w:rtl/>
              </w:rPr>
            </w:pPr>
            <w:r w:rsidRPr="00650AF6">
              <w:rPr>
                <w:rFonts w:ascii="Traditional Arabic" w:hAnsi="Traditional Arabic" w:cs="Traditional Arabic"/>
                <w:sz w:val="26"/>
                <w:szCs w:val="26"/>
                <w:rtl/>
              </w:rPr>
              <w:lastRenderedPageBreak/>
              <w:t xml:space="preserve">تحوطات التدفقات النقدية – الجزء الفعال من التغيرات في القيمة العادلة </w:t>
            </w:r>
          </w:p>
        </w:tc>
        <w:tc>
          <w:tcPr>
            <w:tcW w:w="1124" w:type="dxa"/>
            <w:tcBorders>
              <w:top w:val="single" w:sz="4" w:space="0" w:color="0B3D85"/>
            </w:tcBorders>
            <w:vAlign w:val="center"/>
          </w:tcPr>
          <w:p w14:paraId="13DF773D"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4,072</w:t>
            </w:r>
          </w:p>
        </w:tc>
        <w:tc>
          <w:tcPr>
            <w:tcW w:w="1124" w:type="dxa"/>
            <w:tcBorders>
              <w:top w:val="single" w:sz="4" w:space="0" w:color="0B3D85"/>
            </w:tcBorders>
            <w:vAlign w:val="center"/>
          </w:tcPr>
          <w:p w14:paraId="7EEE2CEF"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14,622</w:t>
            </w:r>
          </w:p>
        </w:tc>
        <w:tc>
          <w:tcPr>
            <w:tcW w:w="1124" w:type="dxa"/>
            <w:tcBorders>
              <w:top w:val="single" w:sz="4" w:space="0" w:color="0B3D85"/>
            </w:tcBorders>
            <w:vAlign w:val="center"/>
          </w:tcPr>
          <w:p w14:paraId="123EBB7F"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(2,823)</w:t>
            </w:r>
          </w:p>
        </w:tc>
        <w:tc>
          <w:tcPr>
            <w:tcW w:w="998" w:type="dxa"/>
            <w:gridSpan w:val="2"/>
            <w:tcBorders>
              <w:top w:val="single" w:sz="4" w:space="0" w:color="0B3D85"/>
            </w:tcBorders>
            <w:vAlign w:val="center"/>
          </w:tcPr>
          <w:p w14:paraId="0BABB58E"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259.1%</w:t>
            </w:r>
          </w:p>
        </w:tc>
        <w:tc>
          <w:tcPr>
            <w:tcW w:w="1118" w:type="dxa"/>
            <w:tcBorders>
              <w:top w:val="single" w:sz="4" w:space="0" w:color="0B3D85"/>
            </w:tcBorders>
            <w:vAlign w:val="center"/>
          </w:tcPr>
          <w:p w14:paraId="5560C7D3"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(119.3%)</w:t>
            </w:r>
          </w:p>
        </w:tc>
        <w:tc>
          <w:tcPr>
            <w:tcW w:w="891" w:type="dxa"/>
            <w:tcBorders>
              <w:top w:val="single" w:sz="4" w:space="0" w:color="0B3D85"/>
            </w:tcBorders>
            <w:vAlign w:val="center"/>
          </w:tcPr>
          <w:p w14:paraId="7CDECF2D"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لا ينطبق</w:t>
            </w:r>
          </w:p>
        </w:tc>
        <w:tc>
          <w:tcPr>
            <w:tcW w:w="1124" w:type="dxa"/>
            <w:gridSpan w:val="2"/>
            <w:tcBorders>
              <w:top w:val="single" w:sz="4" w:space="0" w:color="0B3D85"/>
            </w:tcBorders>
            <w:vAlign w:val="center"/>
          </w:tcPr>
          <w:p w14:paraId="0ABEF646"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(1,693)</w:t>
            </w:r>
          </w:p>
        </w:tc>
        <w:tc>
          <w:tcPr>
            <w:tcW w:w="1124" w:type="dxa"/>
            <w:tcBorders>
              <w:top w:val="single" w:sz="4" w:space="0" w:color="0B3D85"/>
            </w:tcBorders>
            <w:vAlign w:val="center"/>
          </w:tcPr>
          <w:p w14:paraId="5AFA97E5"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199</w:t>
            </w:r>
          </w:p>
        </w:tc>
        <w:tc>
          <w:tcPr>
            <w:tcW w:w="998" w:type="dxa"/>
            <w:gridSpan w:val="2"/>
            <w:tcBorders>
              <w:top w:val="single" w:sz="4" w:space="0" w:color="0B3D85"/>
            </w:tcBorders>
            <w:vAlign w:val="center"/>
          </w:tcPr>
          <w:p w14:paraId="5AA21C6F"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(111.8%)</w:t>
            </w:r>
          </w:p>
        </w:tc>
      </w:tr>
      <w:tr w:rsidR="00D965D1" w:rsidRPr="00A93B67" w14:paraId="4D93D8A7" w14:textId="77777777" w:rsidTr="00D965D1">
        <w:trPr>
          <w:trHeight w:val="20"/>
        </w:trPr>
        <w:tc>
          <w:tcPr>
            <w:tcW w:w="1234" w:type="dxa"/>
            <w:tcBorders>
              <w:top w:val="single" w:sz="4" w:space="0" w:color="0B3D85"/>
            </w:tcBorders>
            <w:vAlign w:val="center"/>
          </w:tcPr>
          <w:p w14:paraId="11B4DE77" w14:textId="77777777" w:rsidR="00D965D1" w:rsidRPr="00650AF6" w:rsidRDefault="00D965D1" w:rsidP="00D965D1">
            <w:pPr>
              <w:bidi/>
              <w:rPr>
                <w:rFonts w:ascii="Traditional Arabic" w:hAnsi="Traditional Arabic" w:cs="Traditional Arabic"/>
                <w:b/>
                <w:bCs/>
                <w:sz w:val="26"/>
                <w:szCs w:val="26"/>
                <w:rtl/>
              </w:rPr>
            </w:pPr>
            <w:r w:rsidRPr="00650AF6">
              <w:rPr>
                <w:rFonts w:ascii="Traditional Arabic" w:hAnsi="Traditional Arabic" w:cs="Traditional Arabic"/>
                <w:sz w:val="26"/>
                <w:szCs w:val="26"/>
                <w:rtl/>
              </w:rPr>
              <w:t>تحوطات التدفقات النقدية – معاد تصنيفها الى الأرباح او الخسائر</w:t>
            </w:r>
          </w:p>
        </w:tc>
        <w:tc>
          <w:tcPr>
            <w:tcW w:w="1124" w:type="dxa"/>
            <w:tcBorders>
              <w:top w:val="single" w:sz="4" w:space="0" w:color="0B3D85"/>
            </w:tcBorders>
            <w:vAlign w:val="center"/>
          </w:tcPr>
          <w:p w14:paraId="62C74662"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4,333</w:t>
            </w:r>
          </w:p>
        </w:tc>
        <w:tc>
          <w:tcPr>
            <w:tcW w:w="1124" w:type="dxa"/>
            <w:tcBorders>
              <w:top w:val="single" w:sz="4" w:space="0" w:color="0B3D85"/>
            </w:tcBorders>
            <w:vAlign w:val="center"/>
          </w:tcPr>
          <w:p w14:paraId="11E3FE90"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342</w:t>
            </w:r>
          </w:p>
        </w:tc>
        <w:tc>
          <w:tcPr>
            <w:tcW w:w="1124" w:type="dxa"/>
            <w:tcBorders>
              <w:top w:val="single" w:sz="4" w:space="0" w:color="0B3D85"/>
            </w:tcBorders>
            <w:vAlign w:val="center"/>
          </w:tcPr>
          <w:p w14:paraId="72A98F6F"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(4,388)</w:t>
            </w:r>
          </w:p>
        </w:tc>
        <w:tc>
          <w:tcPr>
            <w:tcW w:w="998" w:type="dxa"/>
            <w:gridSpan w:val="2"/>
            <w:tcBorders>
              <w:top w:val="single" w:sz="4" w:space="0" w:color="0B3D85"/>
            </w:tcBorders>
            <w:vAlign w:val="center"/>
          </w:tcPr>
          <w:p w14:paraId="6DF08D35"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(92.1%)</w:t>
            </w:r>
          </w:p>
        </w:tc>
        <w:tc>
          <w:tcPr>
            <w:tcW w:w="1118" w:type="dxa"/>
            <w:tcBorders>
              <w:top w:val="single" w:sz="4" w:space="0" w:color="0B3D85"/>
            </w:tcBorders>
            <w:vAlign w:val="center"/>
          </w:tcPr>
          <w:p w14:paraId="40661C12"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w:t>
            </w:r>
            <w:r w:rsidR="00477EA4">
              <w:rPr>
                <w:rFonts w:ascii="Traditional Arabic" w:eastAsia="Calibri" w:hAnsi="Traditional Arabic" w:cs="Traditional Arabic" w:hint="cs"/>
                <w:sz w:val="26"/>
                <w:szCs w:val="26"/>
                <w:rtl/>
              </w:rPr>
              <w:t>1383.0</w:t>
            </w:r>
            <w:r w:rsidRPr="00650AF6">
              <w:rPr>
                <w:rFonts w:ascii="Traditional Arabic" w:eastAsia="Calibri" w:hAnsi="Traditional Arabic" w:cs="Traditional Arabic"/>
                <w:sz w:val="26"/>
                <w:szCs w:val="26"/>
                <w:rtl/>
              </w:rPr>
              <w:t>%)</w:t>
            </w:r>
          </w:p>
        </w:tc>
        <w:tc>
          <w:tcPr>
            <w:tcW w:w="891" w:type="dxa"/>
            <w:tcBorders>
              <w:top w:val="single" w:sz="4" w:space="0" w:color="0B3D85"/>
            </w:tcBorders>
            <w:vAlign w:val="center"/>
          </w:tcPr>
          <w:p w14:paraId="284FB515"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لا ينطبق</w:t>
            </w:r>
          </w:p>
        </w:tc>
        <w:tc>
          <w:tcPr>
            <w:tcW w:w="1124" w:type="dxa"/>
            <w:gridSpan w:val="2"/>
            <w:tcBorders>
              <w:top w:val="single" w:sz="4" w:space="0" w:color="0B3D85"/>
            </w:tcBorders>
            <w:vAlign w:val="center"/>
          </w:tcPr>
          <w:p w14:paraId="14E2B89A"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(3,574)</w:t>
            </w:r>
          </w:p>
        </w:tc>
        <w:tc>
          <w:tcPr>
            <w:tcW w:w="1124" w:type="dxa"/>
            <w:tcBorders>
              <w:top w:val="single" w:sz="4" w:space="0" w:color="0B3D85"/>
            </w:tcBorders>
            <w:vAlign w:val="center"/>
          </w:tcPr>
          <w:p w14:paraId="58D0BAD8"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(1,949)</w:t>
            </w:r>
          </w:p>
        </w:tc>
        <w:tc>
          <w:tcPr>
            <w:tcW w:w="998" w:type="dxa"/>
            <w:gridSpan w:val="2"/>
            <w:tcBorders>
              <w:top w:val="single" w:sz="4" w:space="0" w:color="0B3D85"/>
            </w:tcBorders>
            <w:vAlign w:val="center"/>
          </w:tcPr>
          <w:p w14:paraId="5A9CD492" w14:textId="77777777" w:rsidR="00D965D1" w:rsidRPr="00650AF6" w:rsidRDefault="00D965D1" w:rsidP="00D965D1">
            <w:pPr>
              <w:jc w:val="center"/>
              <w:rPr>
                <w:rFonts w:ascii="Traditional Arabic" w:eastAsia="Calibri" w:hAnsi="Traditional Arabic" w:cs="Traditional Arabic"/>
                <w:sz w:val="26"/>
                <w:szCs w:val="26"/>
              </w:rPr>
            </w:pPr>
            <w:r w:rsidRPr="00650AF6">
              <w:rPr>
                <w:rFonts w:ascii="Traditional Arabic" w:eastAsia="Calibri" w:hAnsi="Traditional Arabic" w:cs="Traditional Arabic"/>
                <w:sz w:val="26"/>
                <w:szCs w:val="26"/>
                <w:rtl/>
              </w:rPr>
              <w:t>(45.5%)</w:t>
            </w:r>
          </w:p>
        </w:tc>
      </w:tr>
      <w:tr w:rsidR="00D965D1" w:rsidRPr="00A93B67" w14:paraId="193F5217" w14:textId="77777777" w:rsidTr="00D965D1">
        <w:trPr>
          <w:trHeight w:val="20"/>
        </w:trPr>
        <w:tc>
          <w:tcPr>
            <w:tcW w:w="1234" w:type="dxa"/>
            <w:tcBorders>
              <w:top w:val="single" w:sz="4" w:space="0" w:color="0B3D85"/>
            </w:tcBorders>
            <w:vAlign w:val="center"/>
          </w:tcPr>
          <w:p w14:paraId="3BEB62EC" w14:textId="77777777" w:rsidR="00D965D1" w:rsidRPr="00650AF6" w:rsidRDefault="00D965D1" w:rsidP="00D965D1">
            <w:pPr>
              <w:bidi/>
              <w:rPr>
                <w:rFonts w:ascii="Traditional Arabic" w:hAnsi="Traditional Arabic" w:cs="Traditional Arabic"/>
                <w:b/>
                <w:bCs/>
                <w:sz w:val="26"/>
                <w:szCs w:val="26"/>
                <w:rtl/>
              </w:rPr>
            </w:pPr>
            <w:r w:rsidRPr="00650AF6">
              <w:rPr>
                <w:rFonts w:ascii="Traditional Arabic" w:hAnsi="Traditional Arabic" w:cs="Traditional Arabic"/>
                <w:b/>
                <w:bCs/>
                <w:sz w:val="26"/>
                <w:szCs w:val="26"/>
                <w:rtl/>
              </w:rPr>
              <w:t>الدخل الشامل الآخر للفترة، صافي من الضريبة</w:t>
            </w:r>
          </w:p>
        </w:tc>
        <w:tc>
          <w:tcPr>
            <w:tcW w:w="1124" w:type="dxa"/>
            <w:tcBorders>
              <w:top w:val="single" w:sz="4" w:space="0" w:color="0B3D85"/>
            </w:tcBorders>
            <w:vAlign w:val="center"/>
          </w:tcPr>
          <w:p w14:paraId="503ED2EC"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8,525</w:t>
            </w:r>
          </w:p>
        </w:tc>
        <w:tc>
          <w:tcPr>
            <w:tcW w:w="1124" w:type="dxa"/>
            <w:tcBorders>
              <w:top w:val="single" w:sz="4" w:space="0" w:color="0B3D85"/>
            </w:tcBorders>
            <w:vAlign w:val="center"/>
          </w:tcPr>
          <w:p w14:paraId="152E83C0"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14,984</w:t>
            </w:r>
          </w:p>
        </w:tc>
        <w:tc>
          <w:tcPr>
            <w:tcW w:w="1124" w:type="dxa"/>
            <w:tcBorders>
              <w:top w:val="single" w:sz="4" w:space="0" w:color="0B3D85"/>
            </w:tcBorders>
            <w:vAlign w:val="center"/>
          </w:tcPr>
          <w:p w14:paraId="34811253"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(7,211)</w:t>
            </w:r>
          </w:p>
        </w:tc>
        <w:tc>
          <w:tcPr>
            <w:tcW w:w="998" w:type="dxa"/>
            <w:gridSpan w:val="2"/>
            <w:tcBorders>
              <w:top w:val="single" w:sz="4" w:space="0" w:color="0B3D85"/>
            </w:tcBorders>
            <w:vAlign w:val="center"/>
          </w:tcPr>
          <w:p w14:paraId="56A8CF1F"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75.8%</w:t>
            </w:r>
          </w:p>
        </w:tc>
        <w:tc>
          <w:tcPr>
            <w:tcW w:w="1118" w:type="dxa"/>
            <w:tcBorders>
              <w:top w:val="single" w:sz="4" w:space="0" w:color="0B3D85"/>
            </w:tcBorders>
            <w:vAlign w:val="center"/>
          </w:tcPr>
          <w:p w14:paraId="251EB15A"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(148.1%)</w:t>
            </w:r>
          </w:p>
        </w:tc>
        <w:tc>
          <w:tcPr>
            <w:tcW w:w="891" w:type="dxa"/>
            <w:tcBorders>
              <w:top w:val="single" w:sz="4" w:space="0" w:color="0B3D85"/>
            </w:tcBorders>
            <w:vAlign w:val="center"/>
          </w:tcPr>
          <w:p w14:paraId="2586A26A"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sz w:val="26"/>
                <w:szCs w:val="26"/>
                <w:rtl/>
              </w:rPr>
              <w:t>لا ينطبق</w:t>
            </w:r>
          </w:p>
        </w:tc>
        <w:tc>
          <w:tcPr>
            <w:tcW w:w="1124" w:type="dxa"/>
            <w:gridSpan w:val="2"/>
            <w:tcBorders>
              <w:top w:val="single" w:sz="4" w:space="0" w:color="0B3D85"/>
            </w:tcBorders>
            <w:vAlign w:val="center"/>
          </w:tcPr>
          <w:p w14:paraId="39117262"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(5,267)</w:t>
            </w:r>
          </w:p>
        </w:tc>
        <w:tc>
          <w:tcPr>
            <w:tcW w:w="1124" w:type="dxa"/>
            <w:tcBorders>
              <w:top w:val="single" w:sz="4" w:space="0" w:color="0B3D85"/>
            </w:tcBorders>
            <w:vAlign w:val="center"/>
          </w:tcPr>
          <w:p w14:paraId="6D5DE414"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(1,750)</w:t>
            </w:r>
          </w:p>
        </w:tc>
        <w:tc>
          <w:tcPr>
            <w:tcW w:w="998" w:type="dxa"/>
            <w:gridSpan w:val="2"/>
            <w:tcBorders>
              <w:top w:val="single" w:sz="4" w:space="0" w:color="0B3D85"/>
            </w:tcBorders>
            <w:vAlign w:val="center"/>
          </w:tcPr>
          <w:p w14:paraId="4603C23C" w14:textId="77777777" w:rsidR="00D965D1" w:rsidRPr="00650AF6" w:rsidRDefault="00D965D1" w:rsidP="00D965D1">
            <w:pPr>
              <w:jc w:val="center"/>
              <w:rPr>
                <w:rFonts w:ascii="Traditional Arabic" w:eastAsia="Calibri" w:hAnsi="Traditional Arabic" w:cs="Traditional Arabic"/>
                <w:b/>
                <w:bCs/>
                <w:sz w:val="26"/>
                <w:szCs w:val="26"/>
              </w:rPr>
            </w:pPr>
            <w:r w:rsidRPr="00650AF6">
              <w:rPr>
                <w:rFonts w:ascii="Traditional Arabic" w:eastAsia="Calibri" w:hAnsi="Traditional Arabic" w:cs="Traditional Arabic"/>
                <w:b/>
                <w:bCs/>
                <w:sz w:val="26"/>
                <w:szCs w:val="26"/>
                <w:rtl/>
              </w:rPr>
              <w:t>(66.8%)</w:t>
            </w:r>
          </w:p>
        </w:tc>
      </w:tr>
      <w:tr w:rsidR="00D965D1" w:rsidRPr="00A93B67" w14:paraId="461DF0E3" w14:textId="77777777" w:rsidTr="00D965D1">
        <w:trPr>
          <w:trHeight w:val="20"/>
        </w:trPr>
        <w:tc>
          <w:tcPr>
            <w:tcW w:w="1234" w:type="dxa"/>
            <w:tcBorders>
              <w:top w:val="single" w:sz="4" w:space="0" w:color="0B3D85"/>
              <w:bottom w:val="single" w:sz="4" w:space="0" w:color="0B3D85"/>
            </w:tcBorders>
            <w:vAlign w:val="center"/>
          </w:tcPr>
          <w:p w14:paraId="2D3CEB1D" w14:textId="77777777" w:rsidR="00D965D1" w:rsidRPr="00650AF6" w:rsidRDefault="00D965D1" w:rsidP="00D965D1">
            <w:pPr>
              <w:bidi/>
              <w:rPr>
                <w:rFonts w:ascii="Traditional Arabic" w:eastAsia="Calibri" w:hAnsi="Traditional Arabic" w:cs="Traditional Arabic"/>
                <w:b/>
                <w:bCs/>
                <w:sz w:val="26"/>
                <w:szCs w:val="26"/>
                <w:rtl/>
              </w:rPr>
            </w:pPr>
            <w:r w:rsidRPr="00650AF6">
              <w:rPr>
                <w:rFonts w:ascii="Traditional Arabic" w:hAnsi="Traditional Arabic" w:cs="Traditional Arabic"/>
                <w:b/>
                <w:bCs/>
                <w:sz w:val="26"/>
                <w:szCs w:val="26"/>
                <w:rtl/>
              </w:rPr>
              <w:t xml:space="preserve">إجمالي الدخل الشامل </w:t>
            </w:r>
            <w:r w:rsidRPr="00650AF6">
              <w:rPr>
                <w:rFonts w:ascii="Traditional Arabic" w:eastAsia="Calibri" w:hAnsi="Traditional Arabic" w:cs="Traditional Arabic"/>
                <w:b/>
                <w:bCs/>
                <w:sz w:val="26"/>
                <w:szCs w:val="26"/>
                <w:rtl/>
              </w:rPr>
              <w:t>للفترة</w:t>
            </w:r>
          </w:p>
        </w:tc>
        <w:tc>
          <w:tcPr>
            <w:tcW w:w="1124" w:type="dxa"/>
            <w:tcBorders>
              <w:top w:val="single" w:sz="4" w:space="0" w:color="0B3D85"/>
              <w:bottom w:val="single" w:sz="4" w:space="0" w:color="0B3D85"/>
            </w:tcBorders>
            <w:vAlign w:val="center"/>
          </w:tcPr>
          <w:p w14:paraId="15147834"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29,266</w:t>
            </w:r>
          </w:p>
        </w:tc>
        <w:tc>
          <w:tcPr>
            <w:tcW w:w="1124" w:type="dxa"/>
            <w:tcBorders>
              <w:top w:val="single" w:sz="4" w:space="0" w:color="0B3D85"/>
              <w:bottom w:val="single" w:sz="4" w:space="0" w:color="0B3D85"/>
            </w:tcBorders>
            <w:vAlign w:val="center"/>
          </w:tcPr>
          <w:p w14:paraId="4D540D00"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57,769</w:t>
            </w:r>
          </w:p>
        </w:tc>
        <w:tc>
          <w:tcPr>
            <w:tcW w:w="1124" w:type="dxa"/>
            <w:tcBorders>
              <w:top w:val="single" w:sz="4" w:space="0" w:color="0B3D85"/>
              <w:bottom w:val="single" w:sz="4" w:space="0" w:color="0B3D85"/>
            </w:tcBorders>
            <w:vAlign w:val="center"/>
          </w:tcPr>
          <w:p w14:paraId="2C8395FD"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32,278</w:t>
            </w:r>
          </w:p>
        </w:tc>
        <w:tc>
          <w:tcPr>
            <w:tcW w:w="998" w:type="dxa"/>
            <w:gridSpan w:val="2"/>
            <w:tcBorders>
              <w:top w:val="single" w:sz="4" w:space="0" w:color="0B3D85"/>
              <w:bottom w:val="single" w:sz="4" w:space="0" w:color="0B3D85"/>
            </w:tcBorders>
            <w:vAlign w:val="center"/>
          </w:tcPr>
          <w:p w14:paraId="4F1DCE58"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97.4%</w:t>
            </w:r>
          </w:p>
        </w:tc>
        <w:tc>
          <w:tcPr>
            <w:tcW w:w="1118" w:type="dxa"/>
            <w:tcBorders>
              <w:top w:val="single" w:sz="4" w:space="0" w:color="0B3D85"/>
              <w:bottom w:val="single" w:sz="4" w:space="0" w:color="0B3D85"/>
            </w:tcBorders>
            <w:vAlign w:val="center"/>
          </w:tcPr>
          <w:p w14:paraId="4581F217"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(44.1%)</w:t>
            </w:r>
          </w:p>
        </w:tc>
        <w:tc>
          <w:tcPr>
            <w:tcW w:w="891" w:type="dxa"/>
            <w:tcBorders>
              <w:top w:val="single" w:sz="4" w:space="0" w:color="0B3D85"/>
              <w:bottom w:val="single" w:sz="4" w:space="0" w:color="0B3D85"/>
            </w:tcBorders>
            <w:vAlign w:val="center"/>
          </w:tcPr>
          <w:p w14:paraId="25313A51"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5.0%</w:t>
            </w:r>
          </w:p>
        </w:tc>
        <w:tc>
          <w:tcPr>
            <w:tcW w:w="1124" w:type="dxa"/>
            <w:gridSpan w:val="2"/>
            <w:tcBorders>
              <w:top w:val="single" w:sz="4" w:space="0" w:color="0B3D85"/>
              <w:bottom w:val="single" w:sz="4" w:space="0" w:color="0B3D85"/>
            </w:tcBorders>
            <w:vAlign w:val="center"/>
          </w:tcPr>
          <w:p w14:paraId="6C9706B8" w14:textId="77777777" w:rsidR="00D965D1" w:rsidRPr="00650AF6" w:rsidRDefault="00D965D1" w:rsidP="00D965D1">
            <w:pPr>
              <w:jc w:val="center"/>
              <w:rPr>
                <w:rFonts w:ascii="Traditional Arabic" w:eastAsia="Calibri" w:hAnsi="Traditional Arabic" w:cs="Traditional Arabic"/>
                <w:b/>
                <w:bCs/>
                <w:sz w:val="26"/>
                <w:szCs w:val="26"/>
                <w:lang w:bidi="ar-JO"/>
              </w:rPr>
            </w:pPr>
            <w:r w:rsidRPr="00650AF6">
              <w:rPr>
                <w:rFonts w:ascii="Traditional Arabic" w:eastAsia="Calibri" w:hAnsi="Traditional Arabic" w:cs="Traditional Arabic"/>
                <w:b/>
                <w:bCs/>
                <w:sz w:val="26"/>
                <w:szCs w:val="26"/>
                <w:rtl/>
              </w:rPr>
              <w:t>12,934</w:t>
            </w:r>
          </w:p>
        </w:tc>
        <w:tc>
          <w:tcPr>
            <w:tcW w:w="1124" w:type="dxa"/>
            <w:tcBorders>
              <w:top w:val="single" w:sz="4" w:space="0" w:color="0B3D85"/>
              <w:bottom w:val="single" w:sz="4" w:space="0" w:color="0B3D85"/>
            </w:tcBorders>
            <w:vAlign w:val="center"/>
          </w:tcPr>
          <w:p w14:paraId="78E9C41D"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44,156</w:t>
            </w:r>
          </w:p>
        </w:tc>
        <w:tc>
          <w:tcPr>
            <w:tcW w:w="998" w:type="dxa"/>
            <w:gridSpan w:val="2"/>
            <w:tcBorders>
              <w:top w:val="single" w:sz="4" w:space="0" w:color="0B3D85"/>
              <w:bottom w:val="single" w:sz="4" w:space="0" w:color="0B3D85"/>
            </w:tcBorders>
            <w:vAlign w:val="center"/>
          </w:tcPr>
          <w:p w14:paraId="3B1595BB" w14:textId="77777777" w:rsidR="00D965D1" w:rsidRPr="00650AF6" w:rsidRDefault="00D965D1" w:rsidP="00D965D1">
            <w:pPr>
              <w:jc w:val="center"/>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242.7%</w:t>
            </w:r>
          </w:p>
        </w:tc>
      </w:tr>
      <w:tr w:rsidR="00D965D1" w:rsidRPr="008739A2" w14:paraId="295FA584" w14:textId="77777777" w:rsidTr="00B934CE">
        <w:trPr>
          <w:trHeight w:val="20"/>
        </w:trPr>
        <w:tc>
          <w:tcPr>
            <w:tcW w:w="10865" w:type="dxa"/>
            <w:gridSpan w:val="13"/>
            <w:tcBorders>
              <w:top w:val="single" w:sz="4" w:space="0" w:color="0B3D85"/>
              <w:bottom w:val="single" w:sz="4" w:space="0" w:color="0B3D85"/>
            </w:tcBorders>
            <w:vAlign w:val="center"/>
          </w:tcPr>
          <w:p w14:paraId="05AF1906" w14:textId="77777777" w:rsidR="00D965D1" w:rsidRPr="00650AF6" w:rsidRDefault="00D965D1" w:rsidP="00D965D1">
            <w:pPr>
              <w:bidi/>
              <w:rPr>
                <w:rFonts w:ascii="Traditional Arabic" w:eastAsia="Calibri" w:hAnsi="Traditional Arabic" w:cs="Traditional Arabic"/>
                <w:b/>
                <w:bCs/>
                <w:sz w:val="26"/>
                <w:szCs w:val="26"/>
                <w:rtl/>
              </w:rPr>
            </w:pPr>
            <w:r w:rsidRPr="00650AF6">
              <w:rPr>
                <w:rFonts w:ascii="Traditional Arabic" w:eastAsia="Calibri" w:hAnsi="Traditional Arabic" w:cs="Traditional Arabic"/>
                <w:b/>
                <w:bCs/>
                <w:sz w:val="26"/>
                <w:szCs w:val="26"/>
                <w:rtl/>
              </w:rPr>
              <w:t>مؤشرات الأداء الرئيسية</w:t>
            </w:r>
          </w:p>
        </w:tc>
      </w:tr>
      <w:tr w:rsidR="00D965D1" w:rsidRPr="00A93B67" w14:paraId="4604D797" w14:textId="77777777" w:rsidTr="00D965D1">
        <w:trPr>
          <w:trHeight w:val="20"/>
        </w:trPr>
        <w:tc>
          <w:tcPr>
            <w:tcW w:w="1234" w:type="dxa"/>
            <w:tcBorders>
              <w:top w:val="single" w:sz="4" w:space="0" w:color="0B3D85"/>
              <w:bottom w:val="single" w:sz="4" w:space="0" w:color="0B3D85"/>
            </w:tcBorders>
            <w:shd w:val="clear" w:color="auto" w:fill="F2F2F2" w:themeFill="background1" w:themeFillShade="F2"/>
            <w:vAlign w:val="center"/>
          </w:tcPr>
          <w:p w14:paraId="555D847B" w14:textId="77777777" w:rsidR="00D965D1" w:rsidRPr="00650AF6" w:rsidRDefault="00D965D1" w:rsidP="00D965D1">
            <w:pPr>
              <w:jc w:val="center"/>
              <w:rPr>
                <w:rFonts w:ascii="Traditional Arabic" w:eastAsia="Calibri" w:hAnsi="Traditional Arabic" w:cs="Traditional Arabic"/>
                <w:sz w:val="26"/>
                <w:szCs w:val="26"/>
                <w:rtl/>
              </w:rPr>
            </w:pPr>
          </w:p>
        </w:tc>
        <w:tc>
          <w:tcPr>
            <w:tcW w:w="3389" w:type="dxa"/>
            <w:gridSpan w:val="4"/>
            <w:tcBorders>
              <w:top w:val="single" w:sz="4" w:space="0" w:color="0B3D85"/>
              <w:bottom w:val="single" w:sz="4" w:space="0" w:color="0B3D85"/>
            </w:tcBorders>
            <w:shd w:val="clear" w:color="auto" w:fill="F2F2F2" w:themeFill="background1" w:themeFillShade="F2"/>
            <w:vAlign w:val="center"/>
          </w:tcPr>
          <w:p w14:paraId="7FB0401E"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hAnsi="Traditional Arabic" w:cs="Traditional Arabic"/>
                <w:sz w:val="26"/>
                <w:szCs w:val="26"/>
                <w:rtl/>
              </w:rPr>
              <w:t>كنسبة مئوية من إجمالي الإيرادات</w:t>
            </w:r>
          </w:p>
        </w:tc>
        <w:tc>
          <w:tcPr>
            <w:tcW w:w="3002" w:type="dxa"/>
            <w:gridSpan w:val="4"/>
            <w:tcBorders>
              <w:top w:val="single" w:sz="4" w:space="0" w:color="0B3D85"/>
              <w:bottom w:val="single" w:sz="4" w:space="0" w:color="0B3D85"/>
            </w:tcBorders>
            <w:shd w:val="clear" w:color="auto" w:fill="F2F2F2" w:themeFill="background1" w:themeFillShade="F2"/>
            <w:vAlign w:val="center"/>
          </w:tcPr>
          <w:p w14:paraId="2798AC2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hAnsi="Traditional Arabic" w:cs="Traditional Arabic"/>
                <w:sz w:val="26"/>
                <w:szCs w:val="26"/>
                <w:rtl/>
              </w:rPr>
              <w:t>نقطة مئوية</w:t>
            </w:r>
          </w:p>
        </w:tc>
        <w:tc>
          <w:tcPr>
            <w:tcW w:w="2247" w:type="dxa"/>
            <w:gridSpan w:val="3"/>
            <w:tcBorders>
              <w:top w:val="single" w:sz="4" w:space="0" w:color="0B3D85"/>
              <w:bottom w:val="single" w:sz="4" w:space="0" w:color="0B3D85"/>
            </w:tcBorders>
            <w:shd w:val="clear" w:color="auto" w:fill="F2F2F2" w:themeFill="background1" w:themeFillShade="F2"/>
            <w:vAlign w:val="center"/>
          </w:tcPr>
          <w:p w14:paraId="2710DAFD"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hAnsi="Traditional Arabic" w:cs="Traditional Arabic"/>
                <w:sz w:val="26"/>
                <w:szCs w:val="26"/>
                <w:rtl/>
              </w:rPr>
              <w:t>كنسبة مئوية من إجمالي الإيرادات</w:t>
            </w:r>
          </w:p>
        </w:tc>
        <w:tc>
          <w:tcPr>
            <w:tcW w:w="987" w:type="dxa"/>
            <w:tcBorders>
              <w:top w:val="single" w:sz="4" w:space="0" w:color="0B3D85"/>
              <w:bottom w:val="single" w:sz="4" w:space="0" w:color="0B3D85"/>
            </w:tcBorders>
            <w:shd w:val="clear" w:color="auto" w:fill="F2F2F2" w:themeFill="background1" w:themeFillShade="F2"/>
            <w:vAlign w:val="center"/>
          </w:tcPr>
          <w:p w14:paraId="4CADE3B1"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hAnsi="Traditional Arabic" w:cs="Traditional Arabic"/>
                <w:sz w:val="26"/>
                <w:szCs w:val="26"/>
                <w:rtl/>
              </w:rPr>
              <w:t>نقطة مئوية</w:t>
            </w:r>
          </w:p>
        </w:tc>
      </w:tr>
      <w:tr w:rsidR="00D965D1" w:rsidRPr="00A93B67" w14:paraId="48ECBF75" w14:textId="77777777" w:rsidTr="00D965D1">
        <w:trPr>
          <w:trHeight w:val="20"/>
        </w:trPr>
        <w:tc>
          <w:tcPr>
            <w:tcW w:w="1234" w:type="dxa"/>
            <w:tcBorders>
              <w:top w:val="single" w:sz="4" w:space="0" w:color="0B3D85"/>
              <w:bottom w:val="single" w:sz="4" w:space="0" w:color="0B3D85"/>
            </w:tcBorders>
            <w:vAlign w:val="center"/>
          </w:tcPr>
          <w:p w14:paraId="42CF90F9" w14:textId="77777777" w:rsidR="00D965D1" w:rsidRPr="00650AF6" w:rsidRDefault="00D965D1" w:rsidP="00D965D1">
            <w:pPr>
              <w:bidi/>
              <w:rPr>
                <w:rFonts w:ascii="Traditional Arabic" w:hAnsi="Traditional Arabic" w:cs="Traditional Arabic"/>
                <w:sz w:val="26"/>
                <w:szCs w:val="26"/>
                <w:rtl/>
              </w:rPr>
            </w:pPr>
            <w:r w:rsidRPr="00650AF6">
              <w:rPr>
                <w:rFonts w:ascii="Traditional Arabic" w:hAnsi="Traditional Arabic" w:cs="Traditional Arabic"/>
                <w:sz w:val="26"/>
                <w:szCs w:val="26"/>
                <w:rtl/>
              </w:rPr>
              <w:t xml:space="preserve">هامش اجمالي الربح </w:t>
            </w:r>
          </w:p>
        </w:tc>
        <w:tc>
          <w:tcPr>
            <w:tcW w:w="1124" w:type="dxa"/>
            <w:tcBorders>
              <w:top w:val="single" w:sz="4" w:space="0" w:color="0B3D85"/>
              <w:bottom w:val="single" w:sz="4" w:space="0" w:color="0B3D85"/>
            </w:tcBorders>
            <w:vAlign w:val="center"/>
          </w:tcPr>
          <w:p w14:paraId="2FF9877C"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21.6%</w:t>
            </w:r>
          </w:p>
        </w:tc>
        <w:tc>
          <w:tcPr>
            <w:tcW w:w="1124" w:type="dxa"/>
            <w:tcBorders>
              <w:top w:val="single" w:sz="4" w:space="0" w:color="0B3D85"/>
              <w:bottom w:val="single" w:sz="4" w:space="0" w:color="0B3D85"/>
            </w:tcBorders>
            <w:vAlign w:val="center"/>
          </w:tcPr>
          <w:p w14:paraId="12CF708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25.8%</w:t>
            </w:r>
          </w:p>
        </w:tc>
        <w:tc>
          <w:tcPr>
            <w:tcW w:w="1124" w:type="dxa"/>
            <w:tcBorders>
              <w:top w:val="single" w:sz="4" w:space="0" w:color="0B3D85"/>
              <w:bottom w:val="single" w:sz="4" w:space="0" w:color="0B3D85"/>
            </w:tcBorders>
            <w:vAlign w:val="center"/>
          </w:tcPr>
          <w:p w14:paraId="3B1C7B4E"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22.8%</w:t>
            </w:r>
          </w:p>
        </w:tc>
        <w:tc>
          <w:tcPr>
            <w:tcW w:w="998" w:type="dxa"/>
            <w:gridSpan w:val="2"/>
            <w:tcBorders>
              <w:top w:val="single" w:sz="4" w:space="0" w:color="0B3D85"/>
              <w:bottom w:val="single" w:sz="4" w:space="0" w:color="0B3D85"/>
            </w:tcBorders>
            <w:vAlign w:val="center"/>
          </w:tcPr>
          <w:p w14:paraId="4EB322C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4.2</w:t>
            </w:r>
          </w:p>
        </w:tc>
        <w:tc>
          <w:tcPr>
            <w:tcW w:w="1118" w:type="dxa"/>
            <w:tcBorders>
              <w:top w:val="single" w:sz="4" w:space="0" w:color="0B3D85"/>
              <w:bottom w:val="single" w:sz="4" w:space="0" w:color="0B3D85"/>
            </w:tcBorders>
            <w:vAlign w:val="center"/>
          </w:tcPr>
          <w:p w14:paraId="4949CBB0"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(3.1)</w:t>
            </w:r>
          </w:p>
        </w:tc>
        <w:tc>
          <w:tcPr>
            <w:tcW w:w="891" w:type="dxa"/>
            <w:tcBorders>
              <w:top w:val="single" w:sz="4" w:space="0" w:color="0B3D85"/>
              <w:bottom w:val="single" w:sz="4" w:space="0" w:color="0B3D85"/>
            </w:tcBorders>
            <w:vAlign w:val="center"/>
          </w:tcPr>
          <w:p w14:paraId="2F17FCE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1.1</w:t>
            </w:r>
          </w:p>
        </w:tc>
        <w:tc>
          <w:tcPr>
            <w:tcW w:w="1124" w:type="dxa"/>
            <w:gridSpan w:val="2"/>
            <w:tcBorders>
              <w:top w:val="single" w:sz="4" w:space="0" w:color="0B3D85"/>
              <w:bottom w:val="single" w:sz="4" w:space="0" w:color="0B3D85"/>
            </w:tcBorders>
            <w:vAlign w:val="center"/>
          </w:tcPr>
          <w:p w14:paraId="464DD4DA"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24.4%</w:t>
            </w:r>
          </w:p>
        </w:tc>
        <w:tc>
          <w:tcPr>
            <w:tcW w:w="1124" w:type="dxa"/>
            <w:tcBorders>
              <w:top w:val="single" w:sz="4" w:space="0" w:color="0B3D85"/>
              <w:bottom w:val="single" w:sz="4" w:space="0" w:color="0B3D85"/>
            </w:tcBorders>
            <w:vAlign w:val="center"/>
          </w:tcPr>
          <w:p w14:paraId="32EB8C1C"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30.3%</w:t>
            </w:r>
          </w:p>
        </w:tc>
        <w:tc>
          <w:tcPr>
            <w:tcW w:w="998" w:type="dxa"/>
            <w:gridSpan w:val="2"/>
            <w:tcBorders>
              <w:top w:val="single" w:sz="4" w:space="0" w:color="0B3D85"/>
              <w:bottom w:val="single" w:sz="4" w:space="0" w:color="0B3D85"/>
            </w:tcBorders>
            <w:vAlign w:val="center"/>
          </w:tcPr>
          <w:p w14:paraId="116ACAA4"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5.9</w:t>
            </w:r>
          </w:p>
        </w:tc>
      </w:tr>
      <w:tr w:rsidR="00D965D1" w:rsidRPr="00A93B67" w14:paraId="5C5B866A" w14:textId="77777777" w:rsidTr="00D965D1">
        <w:trPr>
          <w:trHeight w:val="20"/>
        </w:trPr>
        <w:tc>
          <w:tcPr>
            <w:tcW w:w="1234" w:type="dxa"/>
            <w:tcBorders>
              <w:top w:val="single" w:sz="4" w:space="0" w:color="0B3D85"/>
              <w:bottom w:val="single" w:sz="4" w:space="0" w:color="0B3D85"/>
            </w:tcBorders>
            <w:vAlign w:val="center"/>
          </w:tcPr>
          <w:p w14:paraId="3D79C917" w14:textId="77777777" w:rsidR="00D965D1" w:rsidRPr="00650AF6" w:rsidRDefault="00D965D1" w:rsidP="00D965D1">
            <w:pPr>
              <w:bidi/>
              <w:rPr>
                <w:rFonts w:ascii="Traditional Arabic" w:hAnsi="Traditional Arabic" w:cs="Traditional Arabic"/>
                <w:sz w:val="26"/>
                <w:szCs w:val="26"/>
                <w:rtl/>
              </w:rPr>
            </w:pPr>
            <w:r w:rsidRPr="00650AF6">
              <w:rPr>
                <w:rFonts w:ascii="Traditional Arabic" w:hAnsi="Traditional Arabic" w:cs="Traditional Arabic"/>
                <w:sz w:val="26"/>
                <w:szCs w:val="26"/>
                <w:rtl/>
              </w:rPr>
              <w:t xml:space="preserve">هامش الربح التشغيلي </w:t>
            </w:r>
          </w:p>
        </w:tc>
        <w:tc>
          <w:tcPr>
            <w:tcW w:w="1124" w:type="dxa"/>
            <w:tcBorders>
              <w:top w:val="single" w:sz="4" w:space="0" w:color="0B3D85"/>
              <w:bottom w:val="single" w:sz="4" w:space="0" w:color="0B3D85"/>
            </w:tcBorders>
            <w:vAlign w:val="center"/>
          </w:tcPr>
          <w:p w14:paraId="04244C2E"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16.2%</w:t>
            </w:r>
          </w:p>
        </w:tc>
        <w:tc>
          <w:tcPr>
            <w:tcW w:w="1124" w:type="dxa"/>
            <w:tcBorders>
              <w:top w:val="single" w:sz="4" w:space="0" w:color="0B3D85"/>
              <w:bottom w:val="single" w:sz="4" w:space="0" w:color="0B3D85"/>
            </w:tcBorders>
            <w:vAlign w:val="center"/>
          </w:tcPr>
          <w:p w14:paraId="7F8B257F"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20.6%</w:t>
            </w:r>
          </w:p>
        </w:tc>
        <w:tc>
          <w:tcPr>
            <w:tcW w:w="1124" w:type="dxa"/>
            <w:tcBorders>
              <w:top w:val="single" w:sz="4" w:space="0" w:color="0B3D85"/>
              <w:bottom w:val="single" w:sz="4" w:space="0" w:color="0B3D85"/>
            </w:tcBorders>
            <w:vAlign w:val="center"/>
          </w:tcPr>
          <w:p w14:paraId="182A807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18.0%</w:t>
            </w:r>
          </w:p>
        </w:tc>
        <w:tc>
          <w:tcPr>
            <w:tcW w:w="998" w:type="dxa"/>
            <w:gridSpan w:val="2"/>
            <w:tcBorders>
              <w:top w:val="single" w:sz="4" w:space="0" w:color="0B3D85"/>
              <w:bottom w:val="single" w:sz="4" w:space="0" w:color="0B3D85"/>
            </w:tcBorders>
            <w:vAlign w:val="center"/>
          </w:tcPr>
          <w:p w14:paraId="318EE424"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4.4</w:t>
            </w:r>
          </w:p>
        </w:tc>
        <w:tc>
          <w:tcPr>
            <w:tcW w:w="1118" w:type="dxa"/>
            <w:tcBorders>
              <w:top w:val="single" w:sz="4" w:space="0" w:color="0B3D85"/>
              <w:bottom w:val="single" w:sz="4" w:space="0" w:color="0B3D85"/>
            </w:tcBorders>
            <w:vAlign w:val="center"/>
          </w:tcPr>
          <w:p w14:paraId="51D31889"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(2.6)</w:t>
            </w:r>
          </w:p>
        </w:tc>
        <w:tc>
          <w:tcPr>
            <w:tcW w:w="891" w:type="dxa"/>
            <w:tcBorders>
              <w:top w:val="single" w:sz="4" w:space="0" w:color="0B3D85"/>
              <w:bottom w:val="single" w:sz="4" w:space="0" w:color="0B3D85"/>
            </w:tcBorders>
            <w:vAlign w:val="center"/>
          </w:tcPr>
          <w:p w14:paraId="2A612958"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1.8</w:t>
            </w:r>
          </w:p>
        </w:tc>
        <w:tc>
          <w:tcPr>
            <w:tcW w:w="1124" w:type="dxa"/>
            <w:gridSpan w:val="2"/>
            <w:tcBorders>
              <w:top w:val="single" w:sz="4" w:space="0" w:color="0B3D85"/>
              <w:bottom w:val="single" w:sz="4" w:space="0" w:color="0B3D85"/>
            </w:tcBorders>
            <w:vAlign w:val="center"/>
          </w:tcPr>
          <w:p w14:paraId="6C7BEC2F"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13.8%</w:t>
            </w:r>
          </w:p>
        </w:tc>
        <w:tc>
          <w:tcPr>
            <w:tcW w:w="1124" w:type="dxa"/>
            <w:tcBorders>
              <w:top w:val="single" w:sz="4" w:space="0" w:color="0B3D85"/>
              <w:bottom w:val="single" w:sz="4" w:space="0" w:color="0B3D85"/>
            </w:tcBorders>
            <w:vAlign w:val="center"/>
          </w:tcPr>
          <w:p w14:paraId="6920B165"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24.3%</w:t>
            </w:r>
          </w:p>
        </w:tc>
        <w:tc>
          <w:tcPr>
            <w:tcW w:w="998" w:type="dxa"/>
            <w:gridSpan w:val="2"/>
            <w:tcBorders>
              <w:top w:val="single" w:sz="4" w:space="0" w:color="0B3D85"/>
              <w:bottom w:val="single" w:sz="4" w:space="0" w:color="0B3D85"/>
            </w:tcBorders>
            <w:vAlign w:val="center"/>
          </w:tcPr>
          <w:p w14:paraId="2642664E"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10.5</w:t>
            </w:r>
          </w:p>
        </w:tc>
      </w:tr>
      <w:tr w:rsidR="00D965D1" w:rsidRPr="00A93B67" w14:paraId="0C37A472" w14:textId="77777777" w:rsidTr="00D965D1">
        <w:trPr>
          <w:trHeight w:val="233"/>
        </w:trPr>
        <w:tc>
          <w:tcPr>
            <w:tcW w:w="1234" w:type="dxa"/>
            <w:tcBorders>
              <w:top w:val="single" w:sz="4" w:space="0" w:color="0B3D85"/>
              <w:bottom w:val="single" w:sz="4" w:space="0" w:color="0B3D85"/>
            </w:tcBorders>
            <w:vAlign w:val="center"/>
          </w:tcPr>
          <w:p w14:paraId="3E4086AC" w14:textId="77777777" w:rsidR="00D965D1" w:rsidRPr="00650AF6" w:rsidRDefault="00D965D1" w:rsidP="00D965D1">
            <w:pPr>
              <w:bidi/>
              <w:rPr>
                <w:rFonts w:ascii="Traditional Arabic" w:hAnsi="Traditional Arabic" w:cs="Traditional Arabic"/>
                <w:sz w:val="26"/>
                <w:szCs w:val="26"/>
                <w:rtl/>
              </w:rPr>
            </w:pPr>
            <w:r w:rsidRPr="00650AF6">
              <w:rPr>
                <w:rFonts w:ascii="Traditional Arabic" w:hAnsi="Traditional Arabic" w:cs="Traditional Arabic"/>
                <w:sz w:val="26"/>
                <w:szCs w:val="26"/>
                <w:rtl/>
              </w:rPr>
              <w:t xml:space="preserve">هامش صافي ربح السنة </w:t>
            </w:r>
          </w:p>
        </w:tc>
        <w:tc>
          <w:tcPr>
            <w:tcW w:w="1124" w:type="dxa"/>
            <w:tcBorders>
              <w:top w:val="single" w:sz="4" w:space="0" w:color="0B3D85"/>
              <w:bottom w:val="single" w:sz="4" w:space="0" w:color="0B3D85"/>
            </w:tcBorders>
            <w:vAlign w:val="center"/>
          </w:tcPr>
          <w:p w14:paraId="4C7B391E"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8.5%</w:t>
            </w:r>
          </w:p>
        </w:tc>
        <w:tc>
          <w:tcPr>
            <w:tcW w:w="1124" w:type="dxa"/>
            <w:tcBorders>
              <w:top w:val="single" w:sz="4" w:space="0" w:color="0B3D85"/>
              <w:bottom w:val="single" w:sz="4" w:space="0" w:color="0B3D85"/>
            </w:tcBorders>
            <w:vAlign w:val="center"/>
          </w:tcPr>
          <w:p w14:paraId="2E4B1C6D"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12.3%</w:t>
            </w:r>
          </w:p>
        </w:tc>
        <w:tc>
          <w:tcPr>
            <w:tcW w:w="1124" w:type="dxa"/>
            <w:tcBorders>
              <w:top w:val="single" w:sz="4" w:space="0" w:color="0B3D85"/>
              <w:bottom w:val="single" w:sz="4" w:space="0" w:color="0B3D85"/>
            </w:tcBorders>
            <w:vAlign w:val="center"/>
          </w:tcPr>
          <w:p w14:paraId="128E43FD"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10.9%</w:t>
            </w:r>
          </w:p>
        </w:tc>
        <w:tc>
          <w:tcPr>
            <w:tcW w:w="998" w:type="dxa"/>
            <w:gridSpan w:val="2"/>
            <w:tcBorders>
              <w:top w:val="single" w:sz="4" w:space="0" w:color="0B3D85"/>
              <w:bottom w:val="single" w:sz="4" w:space="0" w:color="0B3D85"/>
            </w:tcBorders>
            <w:vAlign w:val="center"/>
          </w:tcPr>
          <w:p w14:paraId="76D2F1D6"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3.8</w:t>
            </w:r>
          </w:p>
        </w:tc>
        <w:tc>
          <w:tcPr>
            <w:tcW w:w="1118" w:type="dxa"/>
            <w:tcBorders>
              <w:top w:val="single" w:sz="4" w:space="0" w:color="0B3D85"/>
              <w:bottom w:val="single" w:sz="4" w:space="0" w:color="0B3D85"/>
            </w:tcBorders>
            <w:vAlign w:val="center"/>
          </w:tcPr>
          <w:p w14:paraId="15949009"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(1.4)</w:t>
            </w:r>
          </w:p>
        </w:tc>
        <w:tc>
          <w:tcPr>
            <w:tcW w:w="891" w:type="dxa"/>
            <w:tcBorders>
              <w:top w:val="single" w:sz="4" w:space="0" w:color="0B3D85"/>
              <w:bottom w:val="single" w:sz="4" w:space="0" w:color="0B3D85"/>
            </w:tcBorders>
            <w:vAlign w:val="center"/>
          </w:tcPr>
          <w:p w14:paraId="7F667551"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2.4</w:t>
            </w:r>
          </w:p>
        </w:tc>
        <w:tc>
          <w:tcPr>
            <w:tcW w:w="1124" w:type="dxa"/>
            <w:gridSpan w:val="2"/>
            <w:tcBorders>
              <w:top w:val="single" w:sz="4" w:space="0" w:color="0B3D85"/>
              <w:bottom w:val="single" w:sz="4" w:space="0" w:color="0B3D85"/>
            </w:tcBorders>
            <w:vAlign w:val="center"/>
          </w:tcPr>
          <w:p w14:paraId="18AFB2A4"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6.6%</w:t>
            </w:r>
          </w:p>
        </w:tc>
        <w:tc>
          <w:tcPr>
            <w:tcW w:w="1124" w:type="dxa"/>
            <w:tcBorders>
              <w:top w:val="single" w:sz="4" w:space="0" w:color="0B3D85"/>
              <w:bottom w:val="single" w:sz="4" w:space="0" w:color="0B3D85"/>
            </w:tcBorders>
            <w:vAlign w:val="center"/>
          </w:tcPr>
          <w:p w14:paraId="27650E21"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16.7%</w:t>
            </w:r>
          </w:p>
        </w:tc>
        <w:tc>
          <w:tcPr>
            <w:tcW w:w="998" w:type="dxa"/>
            <w:gridSpan w:val="2"/>
            <w:tcBorders>
              <w:top w:val="single" w:sz="4" w:space="0" w:color="0B3D85"/>
              <w:bottom w:val="single" w:sz="4" w:space="0" w:color="0B3D85"/>
            </w:tcBorders>
            <w:vAlign w:val="center"/>
          </w:tcPr>
          <w:p w14:paraId="6ADBC594" w14:textId="77777777" w:rsidR="00D965D1" w:rsidRPr="00650AF6" w:rsidRDefault="00D965D1" w:rsidP="00D965D1">
            <w:pPr>
              <w:jc w:val="center"/>
              <w:rPr>
                <w:rFonts w:ascii="Traditional Arabic" w:eastAsia="Calibri" w:hAnsi="Traditional Arabic" w:cs="Traditional Arabic"/>
                <w:sz w:val="26"/>
                <w:szCs w:val="26"/>
                <w:rtl/>
              </w:rPr>
            </w:pPr>
            <w:r w:rsidRPr="00650AF6">
              <w:rPr>
                <w:rFonts w:ascii="Traditional Arabic" w:eastAsia="Calibri" w:hAnsi="Traditional Arabic" w:cs="Traditional Arabic"/>
                <w:sz w:val="26"/>
                <w:szCs w:val="26"/>
                <w:rtl/>
              </w:rPr>
              <w:t>10.1</w:t>
            </w:r>
          </w:p>
        </w:tc>
      </w:tr>
    </w:tbl>
    <w:p w14:paraId="4DAC6F9F" w14:textId="77777777" w:rsidR="00D965D1" w:rsidRPr="00B934CE" w:rsidRDefault="00D965D1" w:rsidP="00A93B67">
      <w:pPr>
        <w:tabs>
          <w:tab w:val="left" w:pos="9270"/>
        </w:tabs>
        <w:jc w:val="both"/>
        <w:rPr>
          <w:rFonts w:ascii="Traditional Arabic" w:eastAsia="Calibri" w:hAnsi="Traditional Arabic" w:cs="Traditional Arabic"/>
          <w:sz w:val="30"/>
          <w:szCs w:val="30"/>
          <w:rtl/>
        </w:rPr>
      </w:pPr>
    </w:p>
    <w:bookmarkEnd w:id="23"/>
    <w:p w14:paraId="6B43082B" w14:textId="77777777" w:rsidR="000C693A" w:rsidRDefault="000C693A" w:rsidP="000C693A">
      <w:pPr>
        <w:bidi/>
        <w:spacing w:after="120"/>
        <w:jc w:val="both"/>
        <w:rPr>
          <w:rFonts w:ascii="Traditional Arabic" w:eastAsiaTheme="majorEastAsia" w:hAnsi="Traditional Arabic" w:cs="Traditional Arabic"/>
          <w:b/>
          <w:bCs/>
          <w:i/>
          <w:iCs/>
          <w:color w:val="002060"/>
          <w:sz w:val="28"/>
          <w:szCs w:val="28"/>
          <w:rtl/>
        </w:rPr>
      </w:pPr>
    </w:p>
    <w:p w14:paraId="059D388F"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4842BF">
        <w:rPr>
          <w:rFonts w:ascii="Sakkal Majalla" w:eastAsiaTheme="majorEastAsia" w:hAnsi="Sakkal Majalla" w:cs="Sakkal Majalla"/>
          <w:b/>
          <w:bCs/>
          <w:rtl/>
        </w:rPr>
        <w:t>الإ</w:t>
      </w:r>
      <w:r w:rsidRPr="00B934CE">
        <w:rPr>
          <w:rFonts w:ascii="Traditional Arabic" w:eastAsiaTheme="majorEastAsia" w:hAnsi="Traditional Arabic" w:cs="Traditional Arabic"/>
          <w:b/>
          <w:bCs/>
          <w:sz w:val="30"/>
          <w:szCs w:val="30"/>
          <w:rtl/>
        </w:rPr>
        <w:t xml:space="preserve">يرادات </w:t>
      </w:r>
    </w:p>
    <w:p w14:paraId="7B8F7ED1"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lastRenderedPageBreak/>
        <w:t xml:space="preserve">تتألف الإيرادات من (1) إيرادات الإيجار </w:t>
      </w:r>
      <w:r w:rsidRPr="00B934CE">
        <w:rPr>
          <w:rFonts w:ascii="Traditional Arabic" w:eastAsiaTheme="majorEastAsia" w:hAnsi="Traditional Arabic" w:cs="Traditional Arabic" w:hint="eastAsia"/>
          <w:sz w:val="30"/>
          <w:szCs w:val="30"/>
          <w:rtl/>
        </w:rPr>
        <w:t>التشغيلي</w:t>
      </w:r>
      <w:r w:rsidRPr="00B934CE">
        <w:rPr>
          <w:rFonts w:ascii="Traditional Arabic" w:eastAsiaTheme="majorEastAsia" w:hAnsi="Traditional Arabic" w:cs="Traditional Arabic"/>
          <w:sz w:val="30"/>
          <w:szCs w:val="30"/>
          <w:rtl/>
        </w:rPr>
        <w:t xml:space="preserve"> (60</w:t>
      </w:r>
      <w:r w:rsidR="00F025E8">
        <w:rPr>
          <w:rFonts w:ascii="Traditional Arabic" w:eastAsiaTheme="majorEastAsia" w:hAnsi="Traditional Arabic" w:cs="Traditional Arabic" w:hint="cs"/>
          <w:sz w:val="30"/>
          <w:szCs w:val="30"/>
          <w:rtl/>
        </w:rPr>
        <w:t>.2</w:t>
      </w:r>
      <w:r w:rsidRPr="00B934CE">
        <w:rPr>
          <w:rFonts w:ascii="Traditional Arabic" w:eastAsiaTheme="majorEastAsia" w:hAnsi="Traditional Arabic" w:cs="Traditional Arabic"/>
          <w:sz w:val="30"/>
          <w:szCs w:val="30"/>
          <w:rtl/>
        </w:rPr>
        <w:t xml:space="preserve">% من الإيرادات بين فترة </w:t>
      </w:r>
      <w:r w:rsidRPr="00B934CE">
        <w:rPr>
          <w:rFonts w:ascii="Traditional Arabic" w:eastAsiaTheme="majorEastAsia" w:hAnsi="Traditional Arabic" w:cs="Traditional Arabic" w:hint="eastAsia"/>
          <w:sz w:val="30"/>
          <w:szCs w:val="30"/>
          <w:rtl/>
        </w:rPr>
        <w:t>التسعة</w:t>
      </w:r>
      <w:r w:rsidRPr="00B934CE">
        <w:rPr>
          <w:rFonts w:ascii="Traditional Arabic" w:eastAsiaTheme="majorEastAsia" w:hAnsi="Traditional Arabic" w:cs="Traditional Arabic"/>
          <w:sz w:val="30"/>
          <w:szCs w:val="30"/>
          <w:rtl/>
        </w:rPr>
        <w:t xml:space="preserve"> أشهر المنتهية في 30 سبتمبر 2023 و2024)، (2) إيرادات من العقود مع العملاء 35</w:t>
      </w:r>
      <w:r w:rsidR="00D5351E">
        <w:rPr>
          <w:rFonts w:ascii="Traditional Arabic" w:eastAsiaTheme="majorEastAsia" w:hAnsi="Traditional Arabic" w:cs="Traditional Arabic" w:hint="cs"/>
          <w:sz w:val="30"/>
          <w:szCs w:val="30"/>
          <w:rtl/>
        </w:rPr>
        <w:t>.2</w:t>
      </w:r>
      <w:r w:rsidRPr="00B934CE">
        <w:rPr>
          <w:rFonts w:ascii="Traditional Arabic" w:eastAsiaTheme="majorEastAsia" w:hAnsi="Traditional Arabic" w:cs="Traditional Arabic"/>
          <w:sz w:val="30"/>
          <w:szCs w:val="30"/>
          <w:rtl/>
        </w:rPr>
        <w:t xml:space="preserve">% و(3) إيرادات الإيجار التمويلي </w:t>
      </w:r>
      <w:r w:rsidR="0013229F">
        <w:rPr>
          <w:rFonts w:ascii="Traditional Arabic" w:eastAsiaTheme="majorEastAsia" w:hAnsi="Traditional Arabic" w:cs="Traditional Arabic" w:hint="cs"/>
          <w:sz w:val="30"/>
          <w:szCs w:val="30"/>
          <w:rtl/>
        </w:rPr>
        <w:t>4.5</w:t>
      </w:r>
      <w:r w:rsidRPr="00B934CE">
        <w:rPr>
          <w:rFonts w:ascii="Traditional Arabic" w:eastAsiaTheme="majorEastAsia" w:hAnsi="Traditional Arabic" w:cs="Traditional Arabic"/>
          <w:sz w:val="30"/>
          <w:szCs w:val="30"/>
          <w:rtl/>
        </w:rPr>
        <w:t>%.</w:t>
      </w:r>
    </w:p>
    <w:p w14:paraId="4B0112F5"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الإيرادات بنسبة 42.8% من 243.8 مليون ريال عماني في السنة المالية 2021 إلى 348.1 مليون ريال عماني في السنة المالية 2022، ويعود ذلك بشكل رئيسي إلى (1) ارتفاع الإيرادات من العقود مع العملاء (+79.5 مليون ريال عماني) مدفوعة في الغالب بزيادة في (أ) ناقلات الغاز بعد زيادة الاستخدام الإجمالي للسفن، (ب) ناقلات النفط </w:t>
      </w:r>
      <w:r w:rsidRPr="00B934CE">
        <w:rPr>
          <w:rFonts w:ascii="Traditional Arabic" w:eastAsiaTheme="majorEastAsia" w:hAnsi="Traditional Arabic" w:cs="Traditional Arabic" w:hint="eastAsia"/>
          <w:sz w:val="30"/>
          <w:szCs w:val="30"/>
          <w:rtl/>
        </w:rPr>
        <w:t>الخام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العملاقة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بسبب</w:t>
      </w:r>
      <w:r w:rsidRPr="00B934CE">
        <w:rPr>
          <w:rFonts w:ascii="Traditional Arabic" w:eastAsiaTheme="majorEastAsia" w:hAnsi="Traditional Arabic" w:cs="Traditional Arabic"/>
          <w:sz w:val="30"/>
          <w:szCs w:val="30"/>
          <w:rtl/>
        </w:rPr>
        <w:t xml:space="preserve"> ارتفاع أسعار الشحن الإجمالية، مدفوعة بالطلب القوي في السوق (ج) ناقلات المنتجات بما يتماشى مع الزيادة في عدد ناقلات المنتجات المستأجرة وعقود الرحلات. (د) الحاويات نتيجة للتوسع في مواقع جديدة (خاصة الصين وإندونيسيا ومصر وفيتنام وتايلاند) إلى جانب الزيادة الإجمالية في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الأسعار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وحدة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مكافئة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لعشرين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قدمًا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والزيادة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الحجم</w:t>
      </w:r>
      <w:r w:rsidRPr="00B934CE">
        <w:rPr>
          <w:rFonts w:ascii="Traditional Arabic" w:eastAsiaTheme="majorEastAsia" w:hAnsi="Traditional Arabic" w:cs="Traditional Arabic"/>
          <w:sz w:val="30"/>
          <w:szCs w:val="30"/>
          <w:rtl/>
        </w:rPr>
        <w:t xml:space="preserve">. بالإضافة الى (2) ارتفاع إيرادات الإيجار التشغيلي (+25.5 مليون ريال عماني) بسبب زيادة إيرادات البضائع السائبة الجافة وناقلات النفط العملاقة </w:t>
      </w:r>
      <w:r w:rsidRPr="00B934CE">
        <w:rPr>
          <w:rFonts w:ascii="Traditional Arabic" w:eastAsiaTheme="majorEastAsia" w:hAnsi="Traditional Arabic" w:cs="Traditional Arabic" w:hint="eastAsia"/>
          <w:sz w:val="30"/>
          <w:szCs w:val="30"/>
          <w:rtl/>
        </w:rPr>
        <w:t>حيث</w:t>
      </w:r>
      <w:r w:rsidRPr="00B934CE">
        <w:rPr>
          <w:rFonts w:ascii="Traditional Arabic" w:eastAsiaTheme="majorEastAsia" w:hAnsi="Traditional Arabic" w:cs="Traditional Arabic"/>
          <w:sz w:val="30"/>
          <w:szCs w:val="30"/>
          <w:rtl/>
        </w:rPr>
        <w:t xml:space="preserve"> زادت الشركة من عمليات التأجير من خلال استئجار المزيد من السفن.</w:t>
      </w:r>
    </w:p>
    <w:p w14:paraId="034124BD"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4.5%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348.1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إلى 363.7 مليون ريال عماني في السنة المالية 2023، ويعود ذلك بشكل رئيسي إلى ارتفاع إيرادات الإيجار التشغيلي (+65.9 مليون ريال عمان</w:t>
      </w:r>
      <w:r w:rsidRPr="00B934CE">
        <w:rPr>
          <w:rFonts w:ascii="Traditional Arabic" w:eastAsiaTheme="majorEastAsia" w:hAnsi="Traditional Arabic" w:cs="Traditional Arabic" w:hint="eastAsia"/>
          <w:sz w:val="30"/>
          <w:szCs w:val="30"/>
          <w:rtl/>
        </w:rPr>
        <w:t>ي</w:t>
      </w:r>
      <w:r w:rsidRPr="00B934CE">
        <w:rPr>
          <w:rFonts w:ascii="Traditional Arabic" w:eastAsiaTheme="majorEastAsia" w:hAnsi="Traditional Arabic" w:cs="Traditional Arabic"/>
          <w:sz w:val="30"/>
          <w:szCs w:val="30"/>
          <w:rtl/>
        </w:rPr>
        <w:t xml:space="preserve">) على خلفية زيادة إيرادات ناقلات النفط الخام العملاقة تماشيا مع استراتيجية </w:t>
      </w:r>
      <w:r w:rsidRPr="00B934CE">
        <w:rPr>
          <w:rFonts w:ascii="Traditional Arabic" w:eastAsiaTheme="majorEastAsia" w:hAnsi="Traditional Arabic" w:cs="Traditional Arabic" w:hint="eastAsia"/>
          <w:sz w:val="30"/>
          <w:szCs w:val="30"/>
          <w:rtl/>
        </w:rPr>
        <w:t>الشركة</w:t>
      </w:r>
      <w:r w:rsidRPr="00B934CE">
        <w:rPr>
          <w:rFonts w:ascii="Traditional Arabic" w:eastAsiaTheme="majorEastAsia" w:hAnsi="Traditional Arabic" w:cs="Traditional Arabic"/>
          <w:sz w:val="30"/>
          <w:szCs w:val="30"/>
          <w:rtl/>
        </w:rPr>
        <w:t xml:space="preserve"> للتحول نحو التأجير،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جانب زيادة إيرادات ناقلات المنتجات مدفوعة بإضافة عقود تأجير جديدة بأسعار تأجير أفضل. وقد </w:t>
      </w:r>
      <w:r w:rsidRPr="00B934CE">
        <w:rPr>
          <w:rFonts w:ascii="Traditional Arabic" w:eastAsiaTheme="majorEastAsia" w:hAnsi="Traditional Arabic" w:cs="Traditional Arabic" w:hint="eastAsia"/>
          <w:sz w:val="30"/>
          <w:szCs w:val="30"/>
          <w:rtl/>
        </w:rPr>
        <w:t>قابلها</w:t>
      </w:r>
      <w:r w:rsidRPr="00B934CE">
        <w:rPr>
          <w:rFonts w:ascii="Traditional Arabic" w:eastAsiaTheme="majorEastAsia" w:hAnsi="Traditional Arabic" w:cs="Traditional Arabic"/>
          <w:sz w:val="30"/>
          <w:szCs w:val="30"/>
          <w:rtl/>
        </w:rPr>
        <w:t xml:space="preserve"> جزئيًا انخفاض الإيرادات من العقود مع العملاء (-49.4 مليون ريال عماني) حيث ركزت </w:t>
      </w:r>
      <w:r w:rsidRPr="00B934CE">
        <w:rPr>
          <w:rFonts w:ascii="Traditional Arabic" w:eastAsiaTheme="majorEastAsia" w:hAnsi="Traditional Arabic" w:cs="Traditional Arabic" w:hint="eastAsia"/>
          <w:sz w:val="30"/>
          <w:szCs w:val="30"/>
          <w:rtl/>
        </w:rPr>
        <w:t>الشركة</w:t>
      </w:r>
      <w:r w:rsidRPr="00B934CE">
        <w:rPr>
          <w:rFonts w:ascii="Traditional Arabic" w:eastAsiaTheme="majorEastAsia" w:hAnsi="Traditional Arabic" w:cs="Traditional Arabic"/>
          <w:sz w:val="30"/>
          <w:szCs w:val="30"/>
          <w:rtl/>
        </w:rPr>
        <w:t xml:space="preserve"> بشكل أكبر على تأجير السفن بدلاً من تقديم خدمات الشحن، وهو ما يعد أكثر ربحية. </w:t>
      </w:r>
    </w:p>
    <w:p w14:paraId="752B1111" w14:textId="77777777" w:rsidR="000C693A" w:rsidRDefault="000C693A" w:rsidP="00CD1AC2">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hint="eastAsia"/>
          <w:sz w:val="30"/>
          <w:szCs w:val="30"/>
          <w:rtl/>
        </w:rPr>
        <w:t>ار</w:t>
      </w:r>
      <w:r w:rsidRPr="00B934CE">
        <w:rPr>
          <w:rFonts w:ascii="Traditional Arabic" w:eastAsiaTheme="majorEastAsia" w:hAnsi="Traditional Arabic" w:cs="Traditional Arabic"/>
          <w:sz w:val="30"/>
          <w:szCs w:val="30"/>
          <w:rtl/>
        </w:rPr>
        <w:t xml:space="preserve">تفعت الإيرادات بشكل طفيف بنسبة 0.1% من 274.6 مليون ريال عماني في فترة </w:t>
      </w:r>
      <w:r w:rsidRPr="00B934CE">
        <w:rPr>
          <w:rFonts w:ascii="Traditional Arabic" w:eastAsiaTheme="majorEastAsia" w:hAnsi="Traditional Arabic" w:cs="Traditional Arabic" w:hint="eastAsia"/>
          <w:sz w:val="30"/>
          <w:szCs w:val="30"/>
          <w:rtl/>
        </w:rPr>
        <w:t>التسعة</w:t>
      </w:r>
      <w:r w:rsidRPr="00B934CE">
        <w:rPr>
          <w:rFonts w:ascii="Traditional Arabic" w:eastAsiaTheme="majorEastAsia" w:hAnsi="Traditional Arabic" w:cs="Traditional Arabic"/>
          <w:sz w:val="30"/>
          <w:szCs w:val="30"/>
          <w:rtl/>
        </w:rPr>
        <w:t xml:space="preserve"> أشهر المنتهية في 30 سبتمبر 2023 إلى 274.9 مليون ريال عماني في فترة </w:t>
      </w:r>
      <w:r w:rsidRPr="00B934CE">
        <w:rPr>
          <w:rFonts w:ascii="Traditional Arabic" w:eastAsiaTheme="majorEastAsia" w:hAnsi="Traditional Arabic" w:cs="Traditional Arabic" w:hint="eastAsia"/>
          <w:sz w:val="30"/>
          <w:szCs w:val="30"/>
          <w:rtl/>
        </w:rPr>
        <w:t>التسعة</w:t>
      </w:r>
      <w:r w:rsidRPr="00B934CE">
        <w:rPr>
          <w:rFonts w:ascii="Traditional Arabic" w:eastAsiaTheme="majorEastAsia" w:hAnsi="Traditional Arabic" w:cs="Traditional Arabic"/>
          <w:sz w:val="30"/>
          <w:szCs w:val="30"/>
          <w:rtl/>
        </w:rPr>
        <w:t xml:space="preserve"> أشهر المنتهية في 30 سبتمبر 2024 مدفوعة بزيادة إيرادات الإيجار </w:t>
      </w:r>
      <w:r w:rsidRPr="00B934CE">
        <w:rPr>
          <w:rFonts w:ascii="Traditional Arabic" w:eastAsiaTheme="majorEastAsia" w:hAnsi="Traditional Arabic" w:cs="Traditional Arabic" w:hint="eastAsia"/>
          <w:sz w:val="30"/>
          <w:szCs w:val="30"/>
          <w:rtl/>
        </w:rPr>
        <w:t>التشغيلي</w:t>
      </w:r>
      <w:r w:rsidRPr="00B934CE">
        <w:rPr>
          <w:rFonts w:ascii="Traditional Arabic" w:eastAsiaTheme="majorEastAsia" w:hAnsi="Traditional Arabic" w:cs="Traditional Arabic"/>
          <w:sz w:val="30"/>
          <w:szCs w:val="30"/>
          <w:rtl/>
        </w:rPr>
        <w:t xml:space="preserve"> بقيمة (+31.8 مليون ريال عماني) تماشياً مع استراتيجية الشركة لتوسيع عمليات التأجير. نتجت الزيادة بشكل رئيسي من ناقلات المنتجات  وناقلات النفط </w:t>
      </w:r>
      <w:r w:rsidRPr="00B934CE">
        <w:rPr>
          <w:rFonts w:ascii="Traditional Arabic" w:eastAsiaTheme="majorEastAsia" w:hAnsi="Traditional Arabic" w:cs="Traditional Arabic" w:hint="eastAsia"/>
          <w:sz w:val="30"/>
          <w:szCs w:val="30"/>
          <w:rtl/>
        </w:rPr>
        <w:t>الخام</w:t>
      </w:r>
      <w:r w:rsidRPr="00B934CE">
        <w:rPr>
          <w:rFonts w:ascii="Traditional Arabic" w:eastAsiaTheme="majorEastAsia" w:hAnsi="Traditional Arabic" w:cs="Traditional Arabic"/>
          <w:sz w:val="30"/>
          <w:szCs w:val="30"/>
          <w:rtl/>
        </w:rPr>
        <w:t xml:space="preserve"> العملاقة. </w:t>
      </w:r>
      <w:r w:rsidRPr="00B934CE">
        <w:rPr>
          <w:rFonts w:ascii="Traditional Arabic" w:eastAsiaTheme="majorEastAsia" w:hAnsi="Traditional Arabic" w:cs="Traditional Arabic" w:hint="eastAsia"/>
          <w:sz w:val="30"/>
          <w:szCs w:val="30"/>
          <w:rtl/>
        </w:rPr>
        <w:t>وقد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قابل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ذلك</w:t>
      </w:r>
      <w:r w:rsidRPr="00B934CE">
        <w:rPr>
          <w:rFonts w:ascii="Traditional Arabic" w:eastAsiaTheme="majorEastAsia" w:hAnsi="Traditional Arabic" w:cs="Traditional Arabic"/>
          <w:sz w:val="30"/>
          <w:szCs w:val="30"/>
          <w:rtl/>
        </w:rPr>
        <w:t xml:space="preserve"> إلى حد كبير انخفاض في الإيرادات من العقود مع العملاء </w:t>
      </w:r>
      <w:r w:rsidRPr="00B934CE">
        <w:rPr>
          <w:rFonts w:ascii="Traditional Arabic" w:eastAsiaTheme="majorEastAsia" w:hAnsi="Traditional Arabic" w:cs="Traditional Arabic" w:hint="eastAsia"/>
          <w:sz w:val="30"/>
          <w:szCs w:val="30"/>
          <w:rtl/>
        </w:rPr>
        <w:t>بقيمة</w:t>
      </w:r>
      <w:r w:rsidRPr="00B934CE">
        <w:rPr>
          <w:rFonts w:ascii="Traditional Arabic" w:eastAsiaTheme="majorEastAsia" w:hAnsi="Traditional Arabic" w:cs="Traditional Arabic"/>
          <w:sz w:val="30"/>
          <w:szCs w:val="30"/>
          <w:rtl/>
        </w:rPr>
        <w:t xml:space="preserve">  مدفوع</w:t>
      </w:r>
      <w:r w:rsidRPr="00B934CE">
        <w:rPr>
          <w:rFonts w:ascii="Traditional Arabic" w:eastAsiaTheme="majorEastAsia" w:hAnsi="Traditional Arabic" w:cs="Traditional Arabic" w:hint="eastAsia"/>
          <w:sz w:val="30"/>
          <w:szCs w:val="30"/>
          <w:rtl/>
        </w:rPr>
        <w:t>ة</w:t>
      </w:r>
      <w:r w:rsidRPr="00B934CE">
        <w:rPr>
          <w:rFonts w:ascii="Traditional Arabic" w:eastAsiaTheme="majorEastAsia" w:hAnsi="Traditional Arabic" w:cs="Traditional Arabic"/>
          <w:sz w:val="30"/>
          <w:szCs w:val="30"/>
          <w:rtl/>
        </w:rPr>
        <w:t xml:space="preserve"> بشكل أساسي بانخفاض ناقلات النفط </w:t>
      </w:r>
      <w:r w:rsidRPr="00B934CE">
        <w:rPr>
          <w:rFonts w:ascii="Traditional Arabic" w:eastAsiaTheme="majorEastAsia" w:hAnsi="Traditional Arabic" w:cs="Traditional Arabic" w:hint="eastAsia"/>
          <w:sz w:val="30"/>
          <w:szCs w:val="30"/>
          <w:rtl/>
        </w:rPr>
        <w:t>الخام</w:t>
      </w:r>
      <w:r w:rsidRPr="00B934CE">
        <w:rPr>
          <w:rFonts w:ascii="Traditional Arabic" w:eastAsiaTheme="majorEastAsia" w:hAnsi="Traditional Arabic" w:cs="Traditional Arabic"/>
          <w:sz w:val="30"/>
          <w:szCs w:val="30"/>
          <w:rtl/>
        </w:rPr>
        <w:t xml:space="preserve"> العملاقة  , الحاويات  و البضائع السائبة الجافة ، إلى جانب انخفاض طفيف في إيرادات الإيجار التمويلي بقيمة (-627 ألف ريال عماني) خلال نفس الفترة.</w:t>
      </w:r>
    </w:p>
    <w:p w14:paraId="103AB20A" w14:textId="77777777" w:rsidR="00CD1AC2" w:rsidRPr="00B934CE" w:rsidRDefault="00CD1AC2" w:rsidP="00B934CE">
      <w:pPr>
        <w:bidi/>
        <w:spacing w:after="120"/>
        <w:jc w:val="both"/>
        <w:rPr>
          <w:rFonts w:ascii="Traditional Arabic" w:eastAsiaTheme="majorEastAsia" w:hAnsi="Traditional Arabic" w:cs="Traditional Arabic"/>
          <w:sz w:val="30"/>
          <w:szCs w:val="30"/>
        </w:rPr>
      </w:pPr>
    </w:p>
    <w:p w14:paraId="36CCF397"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hint="eastAsia"/>
          <w:b/>
          <w:bCs/>
          <w:sz w:val="30"/>
          <w:szCs w:val="30"/>
          <w:rtl/>
        </w:rPr>
        <w:t>تكلفة</w:t>
      </w:r>
      <w:r w:rsidRPr="00B934CE">
        <w:rPr>
          <w:rFonts w:ascii="Traditional Arabic" w:eastAsiaTheme="majorEastAsia" w:hAnsi="Traditional Arabic" w:cs="Traditional Arabic"/>
          <w:b/>
          <w:bCs/>
          <w:sz w:val="30"/>
          <w:szCs w:val="30"/>
          <w:rtl/>
        </w:rPr>
        <w:t xml:space="preserve"> الإيرادات </w:t>
      </w:r>
    </w:p>
    <w:p w14:paraId="6FA9A60B" w14:textId="77777777" w:rsidR="000C693A" w:rsidRPr="00B934CE" w:rsidRDefault="000C693A" w:rsidP="00B934CE">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sz w:val="30"/>
          <w:szCs w:val="30"/>
          <w:rtl/>
        </w:rPr>
        <w:t xml:space="preserve">تتألف </w:t>
      </w:r>
      <w:r w:rsidRPr="00B934CE">
        <w:rPr>
          <w:rFonts w:ascii="Traditional Arabic" w:eastAsiaTheme="majorEastAsia" w:hAnsi="Traditional Arabic" w:cs="Traditional Arabic" w:hint="eastAsia"/>
          <w:sz w:val="30"/>
          <w:szCs w:val="30"/>
          <w:rtl/>
        </w:rPr>
        <w:t>تكلفة</w:t>
      </w:r>
      <w:r w:rsidRPr="00B934CE">
        <w:rPr>
          <w:rFonts w:ascii="Traditional Arabic" w:eastAsiaTheme="majorEastAsia" w:hAnsi="Traditional Arabic" w:cs="Traditional Arabic"/>
          <w:sz w:val="30"/>
          <w:szCs w:val="30"/>
          <w:rtl/>
        </w:rPr>
        <w:t xml:space="preserve"> الإيرادات من (1) تكاليف تشغيل السفن (</w:t>
      </w:r>
      <w:r w:rsidR="00585EE1">
        <w:rPr>
          <w:rFonts w:ascii="Traditional Arabic" w:eastAsiaTheme="majorEastAsia" w:hAnsi="Traditional Arabic" w:cs="Traditional Arabic" w:hint="cs"/>
          <w:sz w:val="30"/>
          <w:szCs w:val="30"/>
          <w:rtl/>
        </w:rPr>
        <w:t>46.8</w:t>
      </w:r>
      <w:r w:rsidRPr="00B934CE">
        <w:rPr>
          <w:rFonts w:ascii="Traditional Arabic" w:eastAsiaTheme="majorEastAsia" w:hAnsi="Traditional Arabic" w:cs="Traditional Arabic"/>
          <w:sz w:val="30"/>
          <w:szCs w:val="30"/>
          <w:rtl/>
        </w:rPr>
        <w:t xml:space="preserve">% من تكلفة الإيرادات </w:t>
      </w:r>
      <w:r w:rsidRPr="00B934CE">
        <w:rPr>
          <w:rFonts w:ascii="Traditional Arabic" w:eastAsiaTheme="majorEastAsia" w:hAnsi="Traditional Arabic" w:cs="Traditional Arabic" w:hint="eastAsia"/>
          <w:sz w:val="30"/>
          <w:szCs w:val="30"/>
          <w:rtl/>
        </w:rPr>
        <w:t>بين</w:t>
      </w:r>
      <w:r w:rsidRPr="00B934CE">
        <w:rPr>
          <w:rFonts w:ascii="Traditional Arabic" w:eastAsiaTheme="majorEastAsia" w:hAnsi="Traditional Arabic" w:cs="Traditional Arabic"/>
          <w:sz w:val="30"/>
          <w:szCs w:val="30"/>
          <w:rtl/>
        </w:rPr>
        <w:t xml:space="preserve"> فترة </w:t>
      </w:r>
      <w:r w:rsidRPr="00B934CE">
        <w:rPr>
          <w:rFonts w:ascii="Traditional Arabic" w:eastAsiaTheme="majorEastAsia" w:hAnsi="Traditional Arabic" w:cs="Traditional Arabic" w:hint="eastAsia"/>
          <w:sz w:val="30"/>
          <w:szCs w:val="30"/>
          <w:rtl/>
        </w:rPr>
        <w:t>التسعة</w:t>
      </w:r>
      <w:r w:rsidRPr="00B934CE">
        <w:rPr>
          <w:rFonts w:ascii="Traditional Arabic" w:eastAsiaTheme="majorEastAsia" w:hAnsi="Traditional Arabic" w:cs="Traditional Arabic"/>
          <w:sz w:val="30"/>
          <w:szCs w:val="30"/>
          <w:rtl/>
        </w:rPr>
        <w:t xml:space="preserve"> أشهر المنتهية في 30 سبتمبر 2023 و2024)، (2) تكاليف تشغيل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رحلات 18</w:t>
      </w:r>
      <w:r w:rsidR="009F5EFB">
        <w:rPr>
          <w:rFonts w:ascii="Traditional Arabic" w:eastAsiaTheme="majorEastAsia" w:hAnsi="Traditional Arabic" w:cs="Traditional Arabic" w:hint="cs"/>
          <w:sz w:val="30"/>
          <w:szCs w:val="30"/>
          <w:rtl/>
        </w:rPr>
        <w:t>.</w:t>
      </w:r>
      <w:r w:rsidR="007D5B8D">
        <w:rPr>
          <w:rFonts w:ascii="Traditional Arabic" w:eastAsiaTheme="majorEastAsia" w:hAnsi="Traditional Arabic" w:cs="Traditional Arabic" w:hint="cs"/>
          <w:sz w:val="30"/>
          <w:szCs w:val="30"/>
          <w:rtl/>
        </w:rPr>
        <w:t>4</w:t>
      </w:r>
      <w:r w:rsidRPr="00B934CE">
        <w:rPr>
          <w:rFonts w:ascii="Traditional Arabic" w:eastAsiaTheme="majorEastAsia" w:hAnsi="Traditional Arabic" w:cs="Traditional Arabic"/>
          <w:sz w:val="30"/>
          <w:szCs w:val="30"/>
          <w:rtl/>
        </w:rPr>
        <w:t xml:space="preserve">% و(3) مصروفات تأجير السفن لعقود إيجار السفن قصيرة الأجل </w:t>
      </w:r>
      <w:r w:rsidRPr="00B934CE">
        <w:rPr>
          <w:rFonts w:ascii="Traditional Arabic" w:eastAsiaTheme="majorEastAsia" w:hAnsi="Traditional Arabic" w:cs="Traditional Arabic" w:hint="eastAsia"/>
          <w:sz w:val="30"/>
          <w:szCs w:val="30"/>
          <w:rtl/>
        </w:rPr>
        <w:t>حوالي</w:t>
      </w:r>
      <w:r w:rsidRPr="00B934CE">
        <w:rPr>
          <w:rFonts w:ascii="Traditional Arabic" w:eastAsiaTheme="majorEastAsia" w:hAnsi="Traditional Arabic" w:cs="Traditional Arabic"/>
          <w:sz w:val="30"/>
          <w:szCs w:val="30"/>
          <w:rtl/>
        </w:rPr>
        <w:t xml:space="preserve"> </w:t>
      </w:r>
      <w:r w:rsidR="007D5B8D">
        <w:rPr>
          <w:rFonts w:ascii="Traditional Arabic" w:eastAsiaTheme="majorEastAsia" w:hAnsi="Traditional Arabic" w:cs="Traditional Arabic" w:hint="cs"/>
          <w:sz w:val="30"/>
          <w:szCs w:val="30"/>
          <w:rtl/>
        </w:rPr>
        <w:t>7.5</w:t>
      </w:r>
      <w:r w:rsidRPr="00B934CE">
        <w:rPr>
          <w:rFonts w:ascii="Traditional Arabic" w:eastAsiaTheme="majorEastAsia" w:hAnsi="Traditional Arabic" w:cs="Traditional Arabic"/>
          <w:sz w:val="30"/>
          <w:szCs w:val="30"/>
          <w:rtl/>
        </w:rPr>
        <w:t>%.</w:t>
      </w:r>
    </w:p>
    <w:p w14:paraId="5A53EB0E"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lastRenderedPageBreak/>
        <w:t>ارتفعت</w:t>
      </w:r>
      <w:r w:rsidRPr="00B934CE">
        <w:rPr>
          <w:rFonts w:ascii="Traditional Arabic" w:eastAsiaTheme="majorEastAsia" w:hAnsi="Traditional Arabic" w:cs="Traditional Arabic"/>
          <w:sz w:val="30"/>
          <w:szCs w:val="30"/>
          <w:rtl/>
        </w:rPr>
        <w:t xml:space="preserve"> تكلفة الإيرادات بنسبة 35.1% من 191.0 مليون ريال عماني في السنة المالية 2021 إلى 258.2 مليون ريال عماني في السنة المالية 2022، ويعود ذلك بشكل رئيسي إلى (1) ارتفاع تكاليف تشغيل الرحلات (+35.3 مليون ريال عماني) نتيجة ارتفاع تكاليف المحروقات (+32.6 مليون ريال عماني) تماشيا مع ارتفاع أسعار الوقود في السنة المالية 2022 لتصل إلى متوسط </w:t>
      </w:r>
      <w:r w:rsidRPr="00B934CE">
        <w:rPr>
          <w:rFonts w:eastAsiaTheme="majorEastAsia" w:cs="Times New Roman"/>
          <w:sz w:val="30"/>
          <w:szCs w:val="30"/>
        </w:rPr>
        <w:t>​​</w:t>
      </w:r>
      <w:r w:rsidRPr="00B934CE">
        <w:rPr>
          <w:rFonts w:ascii="Traditional Arabic" w:eastAsiaTheme="majorEastAsia" w:hAnsi="Traditional Arabic" w:cs="Traditional Arabic"/>
          <w:sz w:val="30"/>
          <w:szCs w:val="30"/>
          <w:rtl/>
        </w:rPr>
        <w:t xml:space="preserve">835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للطن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المتري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مقابل</w:t>
      </w:r>
      <w:r w:rsidRPr="00B934CE">
        <w:rPr>
          <w:rFonts w:ascii="Traditional Arabic" w:eastAsiaTheme="majorEastAsia" w:hAnsi="Traditional Arabic" w:cs="Traditional Arabic"/>
          <w:sz w:val="30"/>
          <w:szCs w:val="30"/>
          <w:rtl/>
        </w:rPr>
        <w:t xml:space="preserve"> 509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للطن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المتري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2021</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جانب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الكمية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المشتراة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بمقدار</w:t>
      </w:r>
      <w:r w:rsidRPr="00B934CE">
        <w:rPr>
          <w:rFonts w:ascii="Traditional Arabic" w:eastAsiaTheme="majorEastAsia" w:hAnsi="Traditional Arabic" w:cs="Traditional Arabic"/>
          <w:sz w:val="30"/>
          <w:szCs w:val="30"/>
          <w:rtl/>
        </w:rPr>
        <w:t xml:space="preserve"> 33,397 </w:t>
      </w:r>
      <w:r w:rsidRPr="00B934CE">
        <w:rPr>
          <w:rFonts w:ascii="Traditional Arabic" w:eastAsiaTheme="majorEastAsia" w:hAnsi="Traditional Arabic" w:cs="Traditional Arabic" w:hint="eastAsia"/>
          <w:sz w:val="30"/>
          <w:szCs w:val="30"/>
          <w:rtl/>
        </w:rPr>
        <w:t>طن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متري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 xml:space="preserve">. بالإضافة إلى (2) ارتفاع تكاليف تشغيل السفن (+22.8 مليون ريال عماني) نتيجة ارتفاع الاستهلاك على </w:t>
      </w:r>
      <w:r w:rsidRPr="00B934CE">
        <w:rPr>
          <w:rFonts w:ascii="Traditional Arabic" w:eastAsiaTheme="majorEastAsia" w:hAnsi="Traditional Arabic" w:cs="Traditional Arabic" w:hint="eastAsia"/>
          <w:sz w:val="30"/>
          <w:szCs w:val="30"/>
          <w:rtl/>
        </w:rPr>
        <w:t>أصول</w:t>
      </w:r>
      <w:r w:rsidRPr="00B934CE">
        <w:rPr>
          <w:rFonts w:ascii="Traditional Arabic" w:eastAsiaTheme="majorEastAsia" w:hAnsi="Traditional Arabic" w:cs="Traditional Arabic"/>
          <w:sz w:val="30"/>
          <w:szCs w:val="30"/>
          <w:rtl/>
        </w:rPr>
        <w:t xml:space="preserve"> حق الاستخدام (+14.6 مليون ريال عماني) الناتجة عن استئجار سفن إضافية</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بالإضافة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ارتفاع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تكاليف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الصيانة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والإصلاح</w:t>
      </w:r>
      <w:r w:rsidRPr="00B934CE">
        <w:rPr>
          <w:rFonts w:ascii="Traditional Arabic" w:eastAsiaTheme="majorEastAsia" w:hAnsi="Traditional Arabic" w:cs="Traditional Arabic"/>
          <w:sz w:val="30"/>
          <w:szCs w:val="30"/>
          <w:rtl/>
        </w:rPr>
        <w:t xml:space="preserve"> (+6.7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w:t>
      </w:r>
      <w:r w:rsidRPr="00B934CE">
        <w:rPr>
          <w:rFonts w:ascii="Traditional Arabic" w:hAnsi="Traditional Arabic" w:cs="Traditional Arabic"/>
          <w:sz w:val="30"/>
          <w:szCs w:val="30"/>
          <w:rtl/>
        </w:rPr>
        <w:t xml:space="preserve"> </w:t>
      </w:r>
      <w:r w:rsidRPr="00B934CE">
        <w:rPr>
          <w:rFonts w:ascii="Traditional Arabic" w:eastAsiaTheme="majorEastAsia" w:hAnsi="Traditional Arabic" w:cs="Traditional Arabic"/>
          <w:sz w:val="30"/>
          <w:szCs w:val="30"/>
          <w:rtl/>
        </w:rPr>
        <w:t xml:space="preserve">بسبب التغيير في </w:t>
      </w:r>
      <w:r w:rsidR="003F68B9">
        <w:rPr>
          <w:rFonts w:ascii="Traditional Arabic" w:eastAsiaTheme="majorEastAsia" w:hAnsi="Traditional Arabic" w:cs="Traditional Arabic" w:hint="cs"/>
          <w:sz w:val="30"/>
          <w:szCs w:val="30"/>
          <w:rtl/>
        </w:rPr>
        <w:t>إرشادات</w:t>
      </w:r>
      <w:r w:rsidR="003F68B9"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sz w:val="30"/>
          <w:szCs w:val="30"/>
          <w:rtl/>
        </w:rPr>
        <w:t>الرسملة في السنة المالية 2022. إلى جانب (3) ارتفاع مصروفات تأجير السفن لعقود إيجار السفن قصيرة الأجل (+9.1 مليون ريال عماني) مدفوعة بزيادة عدد السفن المستأجرة من 19 سفينة في السنة المالية 2021 إلى 35 سفينة في السنة المالية 2022 بما يتماشى مع التوسع والنمو في الأنشطة التجارية</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والتي تم تعويضها جزئيًا بانخفاض في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التكلفة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سفينة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686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631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w:t>
      </w:r>
    </w:p>
    <w:p w14:paraId="606D6A0D"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تكلفة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8.8%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258.2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إلى 281.0 مليون ريال عماني في السنة المالية 2023، ويعود ذلك بشكل رئيسي إلى (1) ارتفاع تكاليف تشغيل السفن (+32.5 مليون ريال عماني) نتيجة ارتفاع الاستهلاك على </w:t>
      </w:r>
      <w:r w:rsidRPr="00B934CE">
        <w:rPr>
          <w:rFonts w:ascii="Traditional Arabic" w:eastAsiaTheme="majorEastAsia" w:hAnsi="Traditional Arabic" w:cs="Traditional Arabic" w:hint="eastAsia"/>
          <w:sz w:val="30"/>
          <w:szCs w:val="30"/>
          <w:rtl/>
        </w:rPr>
        <w:t>أصول</w:t>
      </w:r>
      <w:r w:rsidRPr="00B934CE">
        <w:rPr>
          <w:rFonts w:ascii="Traditional Arabic" w:eastAsiaTheme="majorEastAsia" w:hAnsi="Traditional Arabic" w:cs="Traditional Arabic"/>
          <w:sz w:val="30"/>
          <w:szCs w:val="30"/>
          <w:rtl/>
        </w:rPr>
        <w:t xml:space="preserve"> حق الاستخدام (+44.4 مليون ريال عماني) الناتجة عن استئجار سفن إضافية</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وقد تم تعويضها جزئيًا مقابل الانخفاض في </w:t>
      </w:r>
      <w:r w:rsidRPr="00B934CE">
        <w:rPr>
          <w:rFonts w:ascii="Traditional Arabic" w:eastAsiaTheme="majorEastAsia" w:hAnsi="Traditional Arabic" w:cs="Traditional Arabic" w:hint="eastAsia"/>
          <w:sz w:val="30"/>
          <w:szCs w:val="30"/>
          <w:rtl/>
        </w:rPr>
        <w:t>تكاليف</w:t>
      </w:r>
      <w:r w:rsidRPr="00B934CE">
        <w:rPr>
          <w:rFonts w:ascii="Traditional Arabic" w:eastAsiaTheme="majorEastAsia" w:hAnsi="Traditional Arabic" w:cs="Traditional Arabic"/>
          <w:sz w:val="30"/>
          <w:szCs w:val="30"/>
          <w:rtl/>
        </w:rPr>
        <w:t xml:space="preserve"> الصيانة والإصلاح (-6.1 مليون ريال عماني) وانخفاض الاستهلاك على الأصول المملوكة (-3.9 مليون ريال عماني) </w:t>
      </w:r>
      <w:r w:rsidRPr="00B934CE">
        <w:rPr>
          <w:rFonts w:ascii="Traditional Arabic" w:eastAsiaTheme="majorEastAsia" w:hAnsi="Traditional Arabic" w:cs="Traditional Arabic" w:hint="eastAsia"/>
          <w:sz w:val="30"/>
          <w:szCs w:val="30"/>
          <w:rtl/>
        </w:rPr>
        <w:t>المتعلق</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w:t>
      </w:r>
      <w:r w:rsidRPr="00B934CE">
        <w:rPr>
          <w:rFonts w:ascii="Traditional Arabic" w:eastAsiaTheme="majorEastAsia" w:hAnsi="Traditional Arabic" w:cs="Traditional Arabic"/>
          <w:sz w:val="30"/>
          <w:szCs w:val="30"/>
          <w:rtl/>
        </w:rPr>
        <w:t xml:space="preserve">بيع </w:t>
      </w:r>
      <w:r w:rsidRPr="00B934CE">
        <w:rPr>
          <w:rFonts w:ascii="Traditional Arabic" w:eastAsiaTheme="majorEastAsia" w:hAnsi="Traditional Arabic" w:cs="Traditional Arabic" w:hint="eastAsia"/>
          <w:sz w:val="30"/>
          <w:szCs w:val="30"/>
          <w:rtl/>
        </w:rPr>
        <w:t>السفن</w:t>
      </w:r>
      <w:r w:rsidRPr="00B934CE">
        <w:rPr>
          <w:rFonts w:ascii="Traditional Arabic" w:eastAsiaTheme="majorEastAsia" w:hAnsi="Traditional Arabic" w:cs="Traditional Arabic"/>
          <w:sz w:val="30"/>
          <w:szCs w:val="30"/>
          <w:rtl/>
        </w:rPr>
        <w:t xml:space="preserve">. بالإضافة إلى (2) ارتفاع مصروفات تأجير السفن لعقود إيجار السفن قصيرة الأجل (+6.6 مليون ريال عماني) على الرغم من انخفاض عدد السفن المستأجرة الى 29 سفينة في السنة المالية 2023، بسبب ارتفاع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التكلفة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سفينة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988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رحلات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التأجير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للسفن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ذات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التكلفة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الأعلى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تأثير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المزيج</w:t>
      </w:r>
      <w:r w:rsidRPr="00B934CE">
        <w:rPr>
          <w:rFonts w:ascii="Traditional Arabic" w:eastAsiaTheme="majorEastAsia" w:hAnsi="Traditional Arabic" w:cs="Traditional Arabic"/>
          <w:sz w:val="30"/>
          <w:szCs w:val="30"/>
          <w:rtl/>
        </w:rPr>
        <w:t xml:space="preserve">). وقد قابلها جزئيا (1) انخفاض تكاليف تشغيل الرحلات (-16.4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نتيجة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انخفاض</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تكاليف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المحروقات</w:t>
      </w:r>
      <w:r w:rsidRPr="00B934CE">
        <w:rPr>
          <w:rFonts w:ascii="Traditional Arabic" w:eastAsiaTheme="majorEastAsia" w:hAnsi="Traditional Arabic" w:cs="Traditional Arabic"/>
          <w:sz w:val="30"/>
          <w:szCs w:val="30"/>
          <w:rtl/>
        </w:rPr>
        <w:t xml:space="preserve"> (-27.7 مليون ريال عماني) </w:t>
      </w:r>
      <w:r w:rsidRPr="00B934CE">
        <w:rPr>
          <w:rFonts w:ascii="Traditional Arabic" w:eastAsiaTheme="majorEastAsia" w:hAnsi="Traditional Arabic" w:cs="Traditional Arabic" w:hint="eastAsia"/>
          <w:sz w:val="30"/>
          <w:szCs w:val="30"/>
          <w:rtl/>
        </w:rPr>
        <w:t>تماشيا</w:t>
      </w:r>
      <w:r w:rsidRPr="00B934CE">
        <w:rPr>
          <w:rFonts w:ascii="Traditional Arabic" w:eastAsiaTheme="majorEastAsia" w:hAnsi="Traditional Arabic" w:cs="Traditional Arabic"/>
          <w:sz w:val="30"/>
          <w:szCs w:val="30"/>
          <w:rtl/>
        </w:rPr>
        <w:t xml:space="preserve"> مع انخفاض أسعار الوقود إلى متوسط </w:t>
      </w:r>
      <w:r w:rsidRPr="00B934CE">
        <w:rPr>
          <w:rFonts w:eastAsiaTheme="majorEastAsia" w:cs="Times New Roman"/>
          <w:sz w:val="30"/>
          <w:szCs w:val="30"/>
        </w:rPr>
        <w:t>​​</w:t>
      </w:r>
      <w:r w:rsidRPr="00B934CE">
        <w:rPr>
          <w:rFonts w:ascii="Traditional Arabic" w:eastAsiaTheme="majorEastAsia" w:hAnsi="Traditional Arabic" w:cs="Traditional Arabic"/>
          <w:sz w:val="30"/>
          <w:szCs w:val="30"/>
          <w:rtl/>
        </w:rPr>
        <w:t xml:space="preserve">658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للطن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المتري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جانب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انخفاض</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الكمية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المشتراة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بمقدار</w:t>
      </w:r>
      <w:r w:rsidRPr="00B934CE">
        <w:rPr>
          <w:rFonts w:ascii="Traditional Arabic" w:eastAsiaTheme="majorEastAsia" w:hAnsi="Traditional Arabic" w:cs="Traditional Arabic"/>
          <w:sz w:val="30"/>
          <w:szCs w:val="30"/>
          <w:rtl/>
        </w:rPr>
        <w:t xml:space="preserve"> 117,597 </w:t>
      </w:r>
      <w:r w:rsidRPr="00B934CE">
        <w:rPr>
          <w:rFonts w:ascii="Traditional Arabic" w:eastAsiaTheme="majorEastAsia" w:hAnsi="Traditional Arabic" w:cs="Traditional Arabic" w:hint="eastAsia"/>
          <w:sz w:val="30"/>
          <w:szCs w:val="30"/>
          <w:rtl/>
        </w:rPr>
        <w:t>طن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متري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والتي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قابلها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جزئيا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ارتفاع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مصروفات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الرحلة</w:t>
      </w:r>
      <w:r w:rsidRPr="00B934CE">
        <w:rPr>
          <w:rFonts w:ascii="Traditional Arabic" w:eastAsiaTheme="majorEastAsia" w:hAnsi="Traditional Arabic" w:cs="Traditional Arabic"/>
          <w:sz w:val="30"/>
          <w:szCs w:val="30"/>
          <w:rtl/>
        </w:rPr>
        <w:t xml:space="preserve"> (+11.2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w:t>
      </w:r>
      <w:r w:rsidRPr="00B934CE">
        <w:rPr>
          <w:rFonts w:ascii="Traditional Arabic"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w:t>
      </w:r>
      <w:r w:rsidRPr="00B934CE">
        <w:rPr>
          <w:rFonts w:ascii="Traditional Arabic" w:eastAsiaTheme="majorEastAsia" w:hAnsi="Traditional Arabic" w:cs="Traditional Arabic"/>
          <w:sz w:val="30"/>
          <w:szCs w:val="30"/>
          <w:rtl/>
        </w:rPr>
        <w:t xml:space="preserve">سبب تشغيل </w:t>
      </w:r>
      <w:r w:rsidR="00210EEE">
        <w:rPr>
          <w:rFonts w:ascii="Traditional Arabic" w:eastAsiaTheme="majorEastAsia" w:hAnsi="Traditional Arabic" w:cs="Traditional Arabic" w:hint="cs"/>
          <w:sz w:val="30"/>
          <w:szCs w:val="30"/>
          <w:rtl/>
        </w:rPr>
        <w:t xml:space="preserve">شركة </w:t>
      </w:r>
      <w:r w:rsidRPr="00B934CE">
        <w:rPr>
          <w:rFonts w:ascii="Traditional Arabic" w:eastAsiaTheme="majorEastAsia" w:hAnsi="Traditional Arabic" w:cs="Traditional Arabic"/>
          <w:sz w:val="30"/>
          <w:szCs w:val="30"/>
          <w:rtl/>
        </w:rPr>
        <w:t xml:space="preserve">خط أسياد </w:t>
      </w:r>
      <w:r w:rsidR="00210EEE">
        <w:rPr>
          <w:rFonts w:ascii="Traditional Arabic" w:eastAsiaTheme="majorEastAsia" w:hAnsi="Traditional Arabic" w:cs="Traditional Arabic" w:hint="cs"/>
          <w:sz w:val="30"/>
          <w:szCs w:val="30"/>
          <w:rtl/>
        </w:rPr>
        <w:t xml:space="preserve">ش م م </w:t>
      </w:r>
      <w:r w:rsidRPr="00B934CE">
        <w:rPr>
          <w:rFonts w:ascii="Traditional Arabic" w:eastAsiaTheme="majorEastAsia" w:hAnsi="Traditional Arabic" w:cs="Traditional Arabic"/>
          <w:sz w:val="30"/>
          <w:szCs w:val="30"/>
          <w:rtl/>
        </w:rPr>
        <w:t xml:space="preserve">مما أدى إلى ارتفاع تكاليف ساحة الحاويات بالإضافة إلى نفقات رسو ناقلات المعادن الخام العملاقة في الحوض الجاف.    </w:t>
      </w:r>
    </w:p>
    <w:p w14:paraId="608A5920" w14:textId="77777777" w:rsidR="000C693A" w:rsidRDefault="000C693A" w:rsidP="00B934CE">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sz w:val="30"/>
          <w:szCs w:val="30"/>
          <w:rtl/>
        </w:rPr>
        <w:t>انخفضت تكلفة الإيرادات بنسبة 7.7٪ من 207.7 مليون ريال عماني في فترة التسعة أشهر المنتهية في 30 سبتمبر 2023 إلى 191.7 مليون ريال عماني في فترة التسعة أشهر المنتهية في 30 سبتمبر 2024، ويرجع ذلك بشكل أساسي إلى انخفاض (1) تكاليف تشغيل الرحل</w:t>
      </w:r>
      <w:r w:rsidRPr="00B934CE">
        <w:rPr>
          <w:rFonts w:ascii="Traditional Arabic" w:eastAsiaTheme="majorEastAsia" w:hAnsi="Traditional Arabic" w:cs="Traditional Arabic" w:hint="eastAsia"/>
          <w:sz w:val="30"/>
          <w:szCs w:val="30"/>
          <w:rtl/>
        </w:rPr>
        <w:t>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بقيمة</w:t>
      </w:r>
      <w:r w:rsidRPr="00B934CE">
        <w:rPr>
          <w:rFonts w:ascii="Traditional Arabic" w:eastAsiaTheme="majorEastAsia" w:hAnsi="Traditional Arabic" w:cs="Traditional Arabic"/>
          <w:sz w:val="30"/>
          <w:szCs w:val="30"/>
          <w:rtl/>
        </w:rPr>
        <w:t xml:space="preserve"> (-23.5 مليون ريال عماني) </w:t>
      </w:r>
      <w:r w:rsidRPr="00B934CE">
        <w:rPr>
          <w:rFonts w:ascii="Traditional Arabic" w:eastAsiaTheme="majorEastAsia" w:hAnsi="Traditional Arabic" w:cs="Traditional Arabic" w:hint="eastAsia"/>
          <w:sz w:val="30"/>
          <w:szCs w:val="30"/>
          <w:rtl/>
        </w:rPr>
        <w:t>مدفوعة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w:t>
      </w:r>
      <w:r w:rsidRPr="00B934CE">
        <w:rPr>
          <w:rFonts w:ascii="Traditional Arabic" w:eastAsiaTheme="majorEastAsia" w:hAnsi="Traditional Arabic" w:cs="Traditional Arabic"/>
          <w:sz w:val="30"/>
          <w:szCs w:val="30"/>
          <w:rtl/>
        </w:rPr>
        <w:t xml:space="preserve">انخفاض رسوم الوقود (-15.0 مليون ريال عماني) </w:t>
      </w:r>
      <w:r w:rsidRPr="00B934CE">
        <w:rPr>
          <w:rFonts w:ascii="Traditional Arabic" w:eastAsiaTheme="majorEastAsia" w:hAnsi="Traditional Arabic" w:cs="Traditional Arabic" w:hint="eastAsia"/>
          <w:sz w:val="30"/>
          <w:szCs w:val="30"/>
          <w:rtl/>
        </w:rPr>
        <w:t>ويعود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ذلك</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نتيجة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استراتيجية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الشركة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w:t>
      </w:r>
      <w:r w:rsidRPr="00B934CE">
        <w:rPr>
          <w:rFonts w:ascii="Traditional Arabic" w:eastAsiaTheme="majorEastAsia" w:hAnsi="Traditional Arabic" w:cs="Traditional Arabic"/>
          <w:sz w:val="30"/>
          <w:szCs w:val="30"/>
          <w:rtl/>
        </w:rPr>
        <w:t xml:space="preserve">تحول نحو التأجير حيث يتم تغطية تكلفة الوقود من قبل </w:t>
      </w:r>
      <w:r w:rsidRPr="00B934CE">
        <w:rPr>
          <w:rFonts w:ascii="Traditional Arabic" w:eastAsiaTheme="majorEastAsia" w:hAnsi="Traditional Arabic" w:cs="Traditional Arabic" w:hint="eastAsia"/>
          <w:sz w:val="30"/>
          <w:szCs w:val="30"/>
          <w:rtl/>
        </w:rPr>
        <w:t>طرف</w:t>
      </w:r>
      <w:r w:rsidRPr="00B934CE">
        <w:rPr>
          <w:rFonts w:ascii="Traditional Arabic" w:eastAsiaTheme="majorEastAsia" w:hAnsi="Traditional Arabic" w:cs="Traditional Arabic"/>
          <w:sz w:val="30"/>
          <w:szCs w:val="30"/>
          <w:rtl/>
        </w:rPr>
        <w:t xml:space="preserve"> ثالث، إلى جانب انخفاض رسوم الموانئ بمقدار (-6.4 مليون ريال عماني) ويرتبط بشكل أساسي بانخفاض نفقات الموانئ. (2) انخفاض مصروفات تأجير </w:t>
      </w:r>
      <w:r w:rsidRPr="00B934CE">
        <w:rPr>
          <w:rFonts w:ascii="Traditional Arabic" w:eastAsiaTheme="majorEastAsia" w:hAnsi="Traditional Arabic" w:cs="Traditional Arabic"/>
          <w:sz w:val="30"/>
          <w:szCs w:val="30"/>
          <w:rtl/>
        </w:rPr>
        <w:lastRenderedPageBreak/>
        <w:t xml:space="preserve">السفن لعقود إيجار السفن قصيرة الأجل (-3.9 مليون ريال عماني) على الرغم من زيادة عدد السفن المستأجرة من 33 إلى 40 خلال الفترة، بسبب انخفاض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التكلفة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سفينة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680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464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وقد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قابل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ذلك</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جزئياً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تكاليف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تشغيل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السفن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بمقدار</w:t>
      </w:r>
      <w:r w:rsidRPr="00B934CE">
        <w:rPr>
          <w:rFonts w:ascii="Traditional Arabic" w:eastAsiaTheme="majorEastAsia" w:hAnsi="Traditional Arabic" w:cs="Traditional Arabic"/>
          <w:sz w:val="30"/>
          <w:szCs w:val="30"/>
          <w:rtl/>
        </w:rPr>
        <w:t xml:space="preserve"> (+ 11.4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ويرجع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ذلك</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ارتفاع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الاستهلاك</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أصول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حق</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الاستخدام</w:t>
      </w:r>
      <w:r w:rsidRPr="00B934CE">
        <w:rPr>
          <w:rFonts w:ascii="Traditional Arabic" w:eastAsiaTheme="majorEastAsia" w:hAnsi="Traditional Arabic" w:cs="Traditional Arabic"/>
          <w:sz w:val="30"/>
          <w:szCs w:val="30"/>
          <w:rtl/>
        </w:rPr>
        <w:t xml:space="preserve"> (+ 11.7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بسبب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عدد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السفن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المستأجرة</w:t>
      </w:r>
      <w:r w:rsidRPr="00B934CE">
        <w:rPr>
          <w:rFonts w:ascii="Traditional Arabic" w:eastAsiaTheme="majorEastAsia" w:hAnsi="Traditional Arabic" w:cs="Traditional Arabic"/>
          <w:sz w:val="30"/>
          <w:szCs w:val="30"/>
          <w:rtl/>
        </w:rPr>
        <w:t>.</w:t>
      </w:r>
    </w:p>
    <w:p w14:paraId="368A09C0" w14:textId="77777777" w:rsidR="00CD1AC2" w:rsidRPr="00B934CE" w:rsidRDefault="00CD1AC2" w:rsidP="00B934CE">
      <w:pPr>
        <w:bidi/>
        <w:spacing w:after="120"/>
        <w:jc w:val="both"/>
        <w:rPr>
          <w:rFonts w:ascii="Traditional Arabic" w:eastAsiaTheme="majorEastAsia" w:hAnsi="Traditional Arabic" w:cs="Traditional Arabic"/>
          <w:sz w:val="30"/>
          <w:szCs w:val="30"/>
          <w:rtl/>
        </w:rPr>
      </w:pPr>
    </w:p>
    <w:p w14:paraId="68A4DE85"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Calibri" w:hAnsi="Traditional Arabic" w:cs="Traditional Arabic" w:hint="eastAsia"/>
          <w:b/>
          <w:bCs/>
          <w:sz w:val="30"/>
          <w:szCs w:val="30"/>
          <w:rtl/>
        </w:rPr>
        <w:t>إجمالي</w:t>
      </w:r>
      <w:r w:rsidRPr="00B934CE">
        <w:rPr>
          <w:rFonts w:ascii="Traditional Arabic" w:eastAsia="Calibri" w:hAnsi="Traditional Arabic" w:cs="Traditional Arabic"/>
          <w:b/>
          <w:bCs/>
          <w:sz w:val="30"/>
          <w:szCs w:val="30"/>
          <w:rtl/>
        </w:rPr>
        <w:t xml:space="preserve"> </w:t>
      </w:r>
      <w:r w:rsidRPr="00B934CE">
        <w:rPr>
          <w:rFonts w:ascii="Traditional Arabic" w:eastAsia="Calibri" w:hAnsi="Traditional Arabic" w:cs="Traditional Arabic" w:hint="eastAsia"/>
          <w:b/>
          <w:bCs/>
          <w:sz w:val="30"/>
          <w:szCs w:val="30"/>
          <w:rtl/>
        </w:rPr>
        <w:t>الأرباح</w:t>
      </w:r>
    </w:p>
    <w:p w14:paraId="17F97101"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w:t>
      </w:r>
      <w:r w:rsidRPr="00B934CE">
        <w:rPr>
          <w:rFonts w:ascii="Traditional Arabic" w:eastAsiaTheme="majorEastAsia" w:hAnsi="Traditional Arabic" w:cs="Traditional Arabic"/>
          <w:sz w:val="30"/>
          <w:szCs w:val="30"/>
          <w:rtl/>
        </w:rPr>
        <w:t xml:space="preserve"> إجمالي الأرباح بنسبة 70.4% من 52.8 مليون ريال عماني في السنة المالية 2021 إلى 90.0 مليون ريال عماني في السنة المالية 2022، تماشيًا مع الارتفاع في الإيرادات (+104.3 مليون ريال عماني) مدفوعة بارتفاع الإيرادات من العقود مع العملاء (+79.5 مليون ريال عماني) وإيرادات الإيجار التشغيلي (+25.5 مليون ريال عماني). وقد قابلها جزئيا ارتفاع في تكلفة الإيرادات (+67.1 مليون ريال عماني) خلال نفس الفترة. </w:t>
      </w:r>
    </w:p>
    <w:p w14:paraId="5771014A"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انخفض</w:t>
      </w:r>
      <w:r w:rsidRPr="00B934CE">
        <w:rPr>
          <w:rFonts w:ascii="Traditional Arabic" w:eastAsiaTheme="majorEastAsia" w:hAnsi="Traditional Arabic" w:cs="Traditional Arabic"/>
          <w:sz w:val="30"/>
          <w:szCs w:val="30"/>
          <w:rtl/>
        </w:rPr>
        <w:t xml:space="preserve"> إجمالي الأرباح بنسبة 7.9% من 90.0 مليون ريال عماني في السنة المالية 2022 إلى 82.8 مليون ريال عماني في السنة المالية 2023، تماشيًا </w:t>
      </w:r>
      <w:r w:rsidRPr="00B934CE">
        <w:rPr>
          <w:rFonts w:ascii="Traditional Arabic" w:eastAsiaTheme="majorEastAsia" w:hAnsi="Traditional Arabic" w:cs="Traditional Arabic" w:hint="eastAsia"/>
          <w:sz w:val="30"/>
          <w:szCs w:val="30"/>
          <w:rtl/>
        </w:rPr>
        <w:t>مع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الارتفاع</w:t>
      </w:r>
      <w:r w:rsidRPr="00B934CE">
        <w:rPr>
          <w:rFonts w:ascii="Traditional Arabic" w:eastAsiaTheme="majorEastAsia" w:hAnsi="Traditional Arabic" w:cs="Traditional Arabic"/>
          <w:sz w:val="30"/>
          <w:szCs w:val="30"/>
          <w:rtl/>
        </w:rPr>
        <w:t xml:space="preserve"> في تكلفة الإيرادات (+22.8 مليون ريال عماني) خلال الفترة </w:t>
      </w:r>
      <w:r w:rsidRPr="00B934CE">
        <w:rPr>
          <w:rFonts w:ascii="Traditional Arabic" w:eastAsiaTheme="majorEastAsia" w:hAnsi="Traditional Arabic" w:cs="Traditional Arabic" w:hint="eastAsia"/>
          <w:sz w:val="30"/>
          <w:szCs w:val="30"/>
          <w:rtl/>
        </w:rPr>
        <w:t>ذاتها</w:t>
      </w:r>
      <w:r w:rsidRPr="00B934CE">
        <w:rPr>
          <w:rFonts w:ascii="Traditional Arabic" w:eastAsiaTheme="majorEastAsia" w:hAnsi="Traditional Arabic" w:cs="Traditional Arabic"/>
          <w:sz w:val="30"/>
          <w:szCs w:val="30"/>
          <w:rtl/>
        </w:rPr>
        <w:t xml:space="preserve">.  </w:t>
      </w:r>
    </w:p>
    <w:p w14:paraId="254B4A21" w14:textId="77777777" w:rsidR="000C693A" w:rsidRDefault="000C693A" w:rsidP="00596482">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hint="eastAsia"/>
          <w:sz w:val="30"/>
          <w:szCs w:val="30"/>
          <w:rtl/>
        </w:rPr>
        <w:t>ا</w:t>
      </w:r>
      <w:r w:rsidRPr="00B934CE">
        <w:rPr>
          <w:rFonts w:ascii="Traditional Arabic" w:eastAsiaTheme="majorEastAsia" w:hAnsi="Traditional Arabic" w:cs="Traditional Arabic"/>
          <w:sz w:val="30"/>
          <w:szCs w:val="30"/>
          <w:rtl/>
        </w:rPr>
        <w:t>رتفع إجمالي الأرباح بنسبة 24.2% من 67.0 مليون ريال عماني في التسعة أشهر المنتهية في 30 سبتمبر 2023 إلى 83.2 مليون ريال عماني في فترة التسعة أشهر المنتهية في 30 سبتمبر 2024 تماشياً مع الانخفاض في تكلفة الإيرادات (-16.0 مليون ريال عماني).</w:t>
      </w:r>
    </w:p>
    <w:p w14:paraId="54678A16" w14:textId="77777777" w:rsidR="00CD1AC2" w:rsidRPr="00B934CE" w:rsidRDefault="00CD1AC2" w:rsidP="00B934CE">
      <w:pPr>
        <w:bidi/>
        <w:spacing w:after="120"/>
        <w:jc w:val="both"/>
        <w:rPr>
          <w:rFonts w:ascii="Traditional Arabic" w:eastAsiaTheme="majorEastAsia" w:hAnsi="Traditional Arabic" w:cs="Traditional Arabic"/>
          <w:sz w:val="30"/>
          <w:szCs w:val="30"/>
          <w:rtl/>
        </w:rPr>
      </w:pPr>
    </w:p>
    <w:p w14:paraId="23294D61"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 xml:space="preserve">إيرادات أخرى </w:t>
      </w:r>
    </w:p>
    <w:p w14:paraId="028A3E7C"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تمثل الإيرادات الأخرى استردادا</w:t>
      </w:r>
      <w:r w:rsidRPr="00B934CE">
        <w:rPr>
          <w:rFonts w:ascii="Traditional Arabic" w:eastAsiaTheme="majorEastAsia" w:hAnsi="Traditional Arabic" w:cs="Traditional Arabic" w:hint="eastAsia"/>
          <w:sz w:val="30"/>
          <w:szCs w:val="30"/>
          <w:rtl/>
        </w:rPr>
        <w:t>ت</w:t>
      </w:r>
      <w:r w:rsidRPr="00B934CE">
        <w:rPr>
          <w:rFonts w:ascii="Traditional Arabic" w:eastAsiaTheme="majorEastAsia" w:hAnsi="Traditional Arabic" w:cs="Traditional Arabic"/>
          <w:sz w:val="30"/>
          <w:szCs w:val="30"/>
          <w:rtl/>
        </w:rPr>
        <w:t xml:space="preserve"> من المدينين الذين سبق شطبهم، وعكس ضريبة الاستقطاع وإيرادات إيجار المباني.</w:t>
      </w:r>
    </w:p>
    <w:p w14:paraId="0C8BD006"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إيرادات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أخرى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86.0% من 310 آلاف ريال عماني في السنة المالية 2021 إلى 576 ألف ريال عماني في السنة المالية 2022، ويعود ذلك بشكل رئيسي إلى الارباح الناتجة من بيع سفن خلال السنة المالية 2022.</w:t>
      </w:r>
    </w:p>
    <w:p w14:paraId="6AB839C4"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إيرادات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أخرى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1197.6%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576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إلى 7.5 مليون ريال عماني في السنة المالية 2023، ويعود ذلك بشكل رئيسي إلى استرداد الديون المشطوبة سابقًا من أحد عملاء </w:t>
      </w:r>
      <w:r w:rsidR="003773E4">
        <w:rPr>
          <w:rFonts w:ascii="Traditional Arabic" w:eastAsiaTheme="majorEastAsia" w:hAnsi="Traditional Arabic" w:cs="Traditional Arabic" w:hint="cs"/>
          <w:sz w:val="30"/>
          <w:szCs w:val="30"/>
          <w:rtl/>
        </w:rPr>
        <w:t>ال</w:t>
      </w:r>
      <w:r w:rsidRPr="00B934CE">
        <w:rPr>
          <w:rFonts w:ascii="Traditional Arabic" w:eastAsiaTheme="majorEastAsia" w:hAnsi="Traditional Arabic" w:cs="Traditional Arabic"/>
          <w:sz w:val="30"/>
          <w:szCs w:val="30"/>
          <w:rtl/>
        </w:rPr>
        <w:t xml:space="preserve">شركة. بالإضافة إلى ذلك، كان هناك عكس </w:t>
      </w:r>
      <w:r w:rsidRPr="00B934CE">
        <w:rPr>
          <w:rFonts w:ascii="Traditional Arabic" w:eastAsiaTheme="majorEastAsia" w:hAnsi="Traditional Arabic" w:cs="Traditional Arabic" w:hint="eastAsia"/>
          <w:sz w:val="30"/>
          <w:szCs w:val="30"/>
          <w:rtl/>
        </w:rPr>
        <w:t>لل</w:t>
      </w:r>
      <w:r w:rsidRPr="00B934CE">
        <w:rPr>
          <w:rFonts w:ascii="Traditional Arabic" w:eastAsiaTheme="majorEastAsia" w:hAnsi="Traditional Arabic" w:cs="Traditional Arabic"/>
          <w:sz w:val="30"/>
          <w:szCs w:val="30"/>
          <w:rtl/>
        </w:rPr>
        <w:t xml:space="preserve">ضريبة </w:t>
      </w:r>
      <w:r w:rsidRPr="00B934CE">
        <w:rPr>
          <w:rFonts w:ascii="Traditional Arabic" w:eastAsiaTheme="majorEastAsia" w:hAnsi="Traditional Arabic" w:cs="Traditional Arabic" w:hint="eastAsia"/>
          <w:sz w:val="30"/>
          <w:szCs w:val="30"/>
          <w:rtl/>
        </w:rPr>
        <w:t>المستقطعة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w:t>
      </w:r>
      <w:r w:rsidRPr="00B934CE">
        <w:rPr>
          <w:rFonts w:ascii="Traditional Arabic" w:eastAsiaTheme="majorEastAsia" w:hAnsi="Traditional Arabic" w:cs="Traditional Arabic"/>
          <w:sz w:val="30"/>
          <w:szCs w:val="30"/>
          <w:rtl/>
        </w:rPr>
        <w:t xml:space="preserve">المتعلقة بأنشطة القوارب العارية للسنوات المالية 2012-2019. حدث هذا العكس بعد أن تلقت الشركة إشعارًا من السلطات الضريبية في عام 2022 يفيد بأن الضريبة المستقطعة غير </w:t>
      </w:r>
      <w:r w:rsidRPr="00B934CE">
        <w:rPr>
          <w:rFonts w:ascii="Traditional Arabic" w:eastAsiaTheme="majorEastAsia" w:hAnsi="Traditional Arabic" w:cs="Traditional Arabic" w:hint="eastAsia"/>
          <w:sz w:val="30"/>
          <w:szCs w:val="30"/>
          <w:rtl/>
        </w:rPr>
        <w:t>مطبقة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على</w:t>
      </w:r>
      <w:r w:rsidRPr="00B934CE">
        <w:rPr>
          <w:rFonts w:ascii="Traditional Arabic" w:eastAsiaTheme="majorEastAsia" w:hAnsi="Traditional Arabic" w:cs="Traditional Arabic"/>
          <w:sz w:val="30"/>
          <w:szCs w:val="30"/>
          <w:rtl/>
        </w:rPr>
        <w:t xml:space="preserve"> معاملات القوارب العارية، مما أدى إلى التعديل في عام 2023.</w:t>
      </w:r>
    </w:p>
    <w:p w14:paraId="388CFEE4" w14:textId="77777777" w:rsidR="000C693A" w:rsidRDefault="000C693A" w:rsidP="00596482">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hint="eastAsia"/>
          <w:sz w:val="30"/>
          <w:szCs w:val="30"/>
          <w:rtl/>
        </w:rPr>
        <w:lastRenderedPageBreak/>
        <w:t>ا</w:t>
      </w:r>
      <w:r w:rsidRPr="00B934CE">
        <w:rPr>
          <w:rFonts w:ascii="Traditional Arabic" w:eastAsiaTheme="majorEastAsia" w:hAnsi="Traditional Arabic" w:cs="Traditional Arabic"/>
          <w:sz w:val="30"/>
          <w:szCs w:val="30"/>
          <w:rtl/>
        </w:rPr>
        <w:t xml:space="preserve">نخفضت الإيرادات الأخرى بنسبة 96.0% من 7.4 مليون ريال عماني في فترة التسعة أشهر المنتهية في 30 سبتمبر 2023 إلى 294 ألف ريال عماني في فترة التسعة أشهر المنتهية في 30 سبتمبر 2024، حيث </w:t>
      </w:r>
      <w:r w:rsidRPr="00B934CE">
        <w:rPr>
          <w:rFonts w:ascii="Traditional Arabic" w:eastAsiaTheme="majorEastAsia" w:hAnsi="Traditional Arabic" w:cs="Traditional Arabic" w:hint="eastAsia"/>
          <w:sz w:val="30"/>
          <w:szCs w:val="30"/>
          <w:rtl/>
        </w:rPr>
        <w:t>كانت</w:t>
      </w:r>
      <w:r w:rsidRPr="00B934CE">
        <w:rPr>
          <w:rFonts w:ascii="Traditional Arabic" w:eastAsiaTheme="majorEastAsia" w:hAnsi="Traditional Arabic" w:cs="Traditional Arabic"/>
          <w:sz w:val="30"/>
          <w:szCs w:val="30"/>
          <w:rtl/>
        </w:rPr>
        <w:t xml:space="preserve"> المبالغ المستردة </w:t>
      </w:r>
      <w:r w:rsidRPr="00B934CE">
        <w:rPr>
          <w:rFonts w:ascii="Traditional Arabic" w:eastAsiaTheme="majorEastAsia" w:hAnsi="Traditional Arabic" w:cs="Traditional Arabic" w:hint="eastAsia"/>
          <w:sz w:val="30"/>
          <w:szCs w:val="30"/>
          <w:rtl/>
        </w:rPr>
        <w:t>والمعكوسة</w:t>
      </w:r>
      <w:r w:rsidRPr="00B934CE">
        <w:rPr>
          <w:rFonts w:ascii="Traditional Arabic" w:eastAsiaTheme="majorEastAsia" w:hAnsi="Traditional Arabic" w:cs="Traditional Arabic"/>
          <w:sz w:val="30"/>
          <w:szCs w:val="30"/>
          <w:rtl/>
        </w:rPr>
        <w:t xml:space="preserve"> خلال فترة التسعة أشهر المنتهية في 30 سبتمبر 2023. تشمل الإيرادات الأخرى في فترة الأشهر التسعة المنتهية في 30 سبتمبر 2024 دخل الإيجار من مبنى مركز عمان للخدمات اللوجستي</w:t>
      </w:r>
      <w:r w:rsidRPr="00B934CE">
        <w:rPr>
          <w:rFonts w:ascii="Traditional Arabic" w:eastAsiaTheme="majorEastAsia" w:hAnsi="Traditional Arabic" w:cs="Traditional Arabic" w:hint="eastAsia"/>
          <w:sz w:val="30"/>
          <w:szCs w:val="30"/>
          <w:rtl/>
        </w:rPr>
        <w:t>ة</w:t>
      </w:r>
      <w:r w:rsidRPr="00B934CE">
        <w:rPr>
          <w:rFonts w:ascii="Traditional Arabic" w:eastAsiaTheme="majorEastAsia" w:hAnsi="Traditional Arabic" w:cs="Traditional Arabic"/>
          <w:sz w:val="30"/>
          <w:szCs w:val="30"/>
          <w:rtl/>
        </w:rPr>
        <w:t>.</w:t>
      </w:r>
    </w:p>
    <w:p w14:paraId="141B5490" w14:textId="77777777" w:rsidR="00CD1AC2" w:rsidRPr="00B934CE" w:rsidRDefault="00CD1AC2" w:rsidP="00B934CE">
      <w:pPr>
        <w:bidi/>
        <w:spacing w:after="120"/>
        <w:jc w:val="both"/>
        <w:rPr>
          <w:rFonts w:ascii="Traditional Arabic" w:eastAsiaTheme="majorEastAsia" w:hAnsi="Traditional Arabic" w:cs="Traditional Arabic"/>
          <w:sz w:val="30"/>
          <w:szCs w:val="30"/>
          <w:rtl/>
        </w:rPr>
      </w:pPr>
    </w:p>
    <w:p w14:paraId="7787C2B8"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 xml:space="preserve">إيرادات توزيعات الأرباح </w:t>
      </w:r>
    </w:p>
    <w:p w14:paraId="2E4605B4"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تتعلق إيرادات توزيعات الأرباح بالأرباح المستلمة من </w:t>
      </w:r>
      <w:r w:rsidRPr="00B934CE">
        <w:rPr>
          <w:rFonts w:ascii="Traditional Arabic" w:eastAsiaTheme="majorEastAsia" w:hAnsi="Traditional Arabic" w:cs="Traditional Arabic" w:hint="eastAsia"/>
          <w:sz w:val="30"/>
          <w:szCs w:val="30"/>
          <w:rtl/>
        </w:rPr>
        <w:t>أو</w:t>
      </w:r>
      <w:r w:rsidRPr="00B934CE">
        <w:rPr>
          <w:rFonts w:ascii="Traditional Arabic" w:eastAsiaTheme="majorEastAsia" w:hAnsi="Traditional Arabic" w:cs="Traditional Arabic"/>
          <w:sz w:val="30"/>
          <w:szCs w:val="30"/>
          <w:rtl/>
        </w:rPr>
        <w:t xml:space="preserve"> جي في 3 (تمتلك فيها الشركة أسهمًا تفضيلية). </w:t>
      </w:r>
    </w:p>
    <w:p w14:paraId="4F55A3C8"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إيرادات توزيعات الأرباح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صفر في السنة المالية 2021 إلى 960 ألف ريال عماني في السنة المالية 2022، وانخفضت لاحقا بنسبة 84.6% من 960 ألف ريال عماني في السنة المالية 2022 إلى 148 ألف ريال عماني في السنة المالية 2023، ويعود ذلك بشكل رئيسي إلى حصة الشركة من أرباح أو جية في 3 والتي تملك الشركة فيها أسهم تفضيلية.</w:t>
      </w:r>
    </w:p>
    <w:p w14:paraId="2378FDE2" w14:textId="77777777" w:rsidR="000C693A" w:rsidRDefault="000C693A" w:rsidP="00596482">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hint="eastAsia"/>
          <w:sz w:val="30"/>
          <w:szCs w:val="30"/>
          <w:rtl/>
        </w:rPr>
        <w:t>انخف</w:t>
      </w:r>
      <w:r w:rsidRPr="00B934CE">
        <w:rPr>
          <w:rFonts w:ascii="Traditional Arabic" w:eastAsiaTheme="majorEastAsia" w:hAnsi="Traditional Arabic" w:cs="Traditional Arabic"/>
          <w:sz w:val="30"/>
          <w:szCs w:val="30"/>
          <w:rtl/>
        </w:rPr>
        <w:t xml:space="preserve">ض دخل توزيعات الأرباح بنسبة 11.4% من 148 ألف ريال عماني في فترة التسعة أشهر المنتهية في 30 سبتمبر 2023 إلى 131 ألف ريال عماني في فترة التسعة أشهر المنتهية في 30 سبتمبر 2024، </w:t>
      </w:r>
      <w:r w:rsidRPr="00B934CE">
        <w:rPr>
          <w:rFonts w:ascii="Traditional Arabic" w:eastAsiaTheme="majorEastAsia" w:hAnsi="Traditional Arabic" w:cs="Traditional Arabic" w:hint="eastAsia"/>
          <w:sz w:val="30"/>
          <w:szCs w:val="30"/>
          <w:rtl/>
        </w:rPr>
        <w:t>ويعود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ذلك</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رئيسي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حصة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الشركة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أرباح</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أو</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جية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3.</w:t>
      </w:r>
    </w:p>
    <w:p w14:paraId="73B092DA" w14:textId="77777777" w:rsidR="00CD1AC2" w:rsidRPr="00B934CE" w:rsidRDefault="00CD1AC2" w:rsidP="00B934CE">
      <w:pPr>
        <w:bidi/>
        <w:spacing w:after="120"/>
        <w:jc w:val="both"/>
        <w:rPr>
          <w:rFonts w:ascii="Traditional Arabic" w:eastAsiaTheme="majorEastAsia" w:hAnsi="Traditional Arabic" w:cs="Traditional Arabic"/>
          <w:sz w:val="30"/>
          <w:szCs w:val="30"/>
          <w:rtl/>
        </w:rPr>
      </w:pPr>
    </w:p>
    <w:p w14:paraId="57FEA789"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 xml:space="preserve">مصروفات تجارية </w:t>
      </w:r>
    </w:p>
    <w:p w14:paraId="5F6E13CD"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تمثل المصروفات التجارية مصروفات العمولة المدفوعة لوكالات تأجير السفن وتجميعها (حوالي 70</w:t>
      </w:r>
      <w:r w:rsidR="000756C0">
        <w:rPr>
          <w:rFonts w:ascii="Traditional Arabic" w:eastAsiaTheme="majorEastAsia" w:hAnsi="Traditional Arabic" w:cs="Traditional Arabic" w:hint="cs"/>
          <w:sz w:val="30"/>
          <w:szCs w:val="30"/>
          <w:rtl/>
        </w:rPr>
        <w:t>.1</w:t>
      </w:r>
      <w:r w:rsidRPr="00B934CE">
        <w:rPr>
          <w:rFonts w:ascii="Traditional Arabic" w:eastAsiaTheme="majorEastAsia" w:hAnsi="Traditional Arabic" w:cs="Traditional Arabic"/>
          <w:sz w:val="30"/>
          <w:szCs w:val="30"/>
          <w:rtl/>
        </w:rPr>
        <w:t xml:space="preserve">% من إجمالي المصروفات التجارية بين فترة </w:t>
      </w:r>
      <w:r w:rsidRPr="00B934CE">
        <w:rPr>
          <w:rFonts w:ascii="Traditional Arabic" w:eastAsiaTheme="majorEastAsia" w:hAnsi="Traditional Arabic" w:cs="Traditional Arabic" w:hint="eastAsia"/>
          <w:sz w:val="30"/>
          <w:szCs w:val="30"/>
          <w:rtl/>
        </w:rPr>
        <w:t>التسعة</w:t>
      </w:r>
      <w:r w:rsidRPr="00B934CE">
        <w:rPr>
          <w:rFonts w:ascii="Traditional Arabic" w:eastAsiaTheme="majorEastAsia" w:hAnsi="Traditional Arabic" w:cs="Traditional Arabic"/>
          <w:sz w:val="30"/>
          <w:szCs w:val="30"/>
          <w:rtl/>
        </w:rPr>
        <w:t xml:space="preserve"> أشهر المنتهية في 30 سبتمبر 2023 و2024) وتكاليف الموظفين التجارية (</w:t>
      </w:r>
      <w:r w:rsidR="000756C0">
        <w:rPr>
          <w:rFonts w:ascii="Traditional Arabic" w:eastAsiaTheme="majorEastAsia" w:hAnsi="Traditional Arabic" w:cs="Traditional Arabic" w:hint="cs"/>
          <w:sz w:val="30"/>
          <w:szCs w:val="30"/>
          <w:rtl/>
        </w:rPr>
        <w:t>29.9</w:t>
      </w:r>
      <w:r w:rsidRPr="00B934CE">
        <w:rPr>
          <w:rFonts w:ascii="Traditional Arabic" w:eastAsiaTheme="majorEastAsia" w:hAnsi="Traditional Arabic" w:cs="Traditional Arabic"/>
          <w:sz w:val="30"/>
          <w:szCs w:val="30"/>
          <w:rtl/>
        </w:rPr>
        <w:t>%).</w:t>
      </w:r>
    </w:p>
    <w:p w14:paraId="1CFA81EE"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مصروفات </w:t>
      </w:r>
      <w:r w:rsidRPr="00B934CE">
        <w:rPr>
          <w:rFonts w:ascii="Traditional Arabic" w:eastAsiaTheme="majorEastAsia" w:hAnsi="Traditional Arabic" w:cs="Traditional Arabic" w:hint="eastAsia"/>
          <w:sz w:val="30"/>
          <w:szCs w:val="30"/>
          <w:rtl/>
        </w:rPr>
        <w:t>الت</w:t>
      </w:r>
      <w:r w:rsidRPr="00B934CE">
        <w:rPr>
          <w:rFonts w:ascii="Traditional Arabic" w:eastAsiaTheme="majorEastAsia" w:hAnsi="Traditional Arabic" w:cs="Traditional Arabic"/>
          <w:sz w:val="30"/>
          <w:szCs w:val="30"/>
          <w:rtl/>
        </w:rPr>
        <w:t xml:space="preserve">جارية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65.1% من 4.9 مليون ريال عماني في السنة المالية 2021 إلى 8.0 مليون ريال عماني في السنة المالية 2022 ثم ارتفعت لتصل إلى 8.1 مليون ريال عماني في السنة المالية 2023، ويعود ذلك بشكل رئيسي إلى التوسع في استخدام الوكالات بما يتماشى مع النمو في العمليات (أنشطة تأجير ناقلات النفط الخام العملاقة بشكل أساسي) والتوسع في مواقع جغرافية جديدة.</w:t>
      </w:r>
    </w:p>
    <w:p w14:paraId="515754DC" w14:textId="77777777" w:rsidR="000C693A" w:rsidRDefault="000C693A" w:rsidP="00596482">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hint="eastAsia"/>
          <w:sz w:val="30"/>
          <w:szCs w:val="30"/>
          <w:rtl/>
        </w:rPr>
        <w:t>ا</w:t>
      </w:r>
      <w:r w:rsidRPr="00B934CE">
        <w:rPr>
          <w:rFonts w:ascii="Traditional Arabic" w:eastAsiaTheme="majorEastAsia" w:hAnsi="Traditional Arabic" w:cs="Traditional Arabic"/>
          <w:sz w:val="30"/>
          <w:szCs w:val="30"/>
          <w:rtl/>
        </w:rPr>
        <w:t xml:space="preserve">نخفضت المصروفات التجارية بنسبة 17.7٪ من 6.6 مليون ريال عماني في فترة التسعة أشهر المنتهية في 30 سبتمبر 2023 إلى 5.4 مليون ريال عماني في فترة التسعة أشهر المنتهية في 30 سبتمبر 2024 ويرجع ذلك أساسًا إلى انخفاض </w:t>
      </w:r>
      <w:r w:rsidRPr="00B934CE">
        <w:rPr>
          <w:rFonts w:ascii="Traditional Arabic" w:eastAsiaTheme="majorEastAsia" w:hAnsi="Traditional Arabic" w:cs="Traditional Arabic" w:hint="eastAsia"/>
          <w:sz w:val="30"/>
          <w:szCs w:val="30"/>
          <w:rtl/>
          <w:lang w:bidi="ar-JO"/>
        </w:rPr>
        <w:t>مصاريف</w:t>
      </w:r>
      <w:r w:rsidRPr="00B934CE">
        <w:rPr>
          <w:rFonts w:ascii="Traditional Arabic" w:eastAsiaTheme="majorEastAsia" w:hAnsi="Traditional Arabic" w:cs="Traditional Arabic"/>
          <w:sz w:val="30"/>
          <w:szCs w:val="30"/>
          <w:rtl/>
          <w:lang w:bidi="ar-JO"/>
        </w:rPr>
        <w:t xml:space="preserve"> </w:t>
      </w:r>
      <w:r w:rsidRPr="00B934CE">
        <w:rPr>
          <w:rFonts w:ascii="Traditional Arabic" w:eastAsiaTheme="majorEastAsia" w:hAnsi="Traditional Arabic" w:cs="Traditional Arabic" w:hint="eastAsia"/>
          <w:sz w:val="30"/>
          <w:szCs w:val="30"/>
          <w:rtl/>
          <w:lang w:bidi="ar-JO"/>
        </w:rPr>
        <w:t>ال</w:t>
      </w:r>
      <w:r w:rsidRPr="00B934CE">
        <w:rPr>
          <w:rFonts w:ascii="Traditional Arabic" w:eastAsiaTheme="majorEastAsia" w:hAnsi="Traditional Arabic" w:cs="Traditional Arabic"/>
          <w:sz w:val="30"/>
          <w:szCs w:val="30"/>
          <w:rtl/>
        </w:rPr>
        <w:t>عمول</w:t>
      </w:r>
      <w:r w:rsidRPr="00B934CE">
        <w:rPr>
          <w:rFonts w:ascii="Traditional Arabic" w:eastAsiaTheme="majorEastAsia" w:hAnsi="Traditional Arabic" w:cs="Traditional Arabic" w:hint="eastAsia"/>
          <w:sz w:val="30"/>
          <w:szCs w:val="30"/>
          <w:rtl/>
        </w:rPr>
        <w:t>ات</w:t>
      </w:r>
      <w:r w:rsidRPr="00B934CE">
        <w:rPr>
          <w:rFonts w:ascii="Traditional Arabic" w:eastAsiaTheme="majorEastAsia" w:hAnsi="Traditional Arabic" w:cs="Traditional Arabic"/>
          <w:sz w:val="30"/>
          <w:szCs w:val="30"/>
          <w:rtl/>
        </w:rPr>
        <w:t xml:space="preserve"> بمقدار 1.0 مليون ريال عماني بسبب انخفاض عمليات / إيرادات ناقلات النفط الخام العملاقة و</w:t>
      </w:r>
      <w:r w:rsidRPr="00B934CE">
        <w:rPr>
          <w:rFonts w:ascii="Traditional Arabic" w:eastAsiaTheme="majorEastAsia" w:hAnsi="Traditional Arabic" w:cs="Traditional Arabic" w:hint="eastAsia"/>
          <w:sz w:val="30"/>
          <w:szCs w:val="30"/>
          <w:rtl/>
        </w:rPr>
        <w:t>البضائع</w:t>
      </w:r>
      <w:r w:rsidRPr="00B934CE">
        <w:rPr>
          <w:rFonts w:ascii="Traditional Arabic" w:eastAsiaTheme="majorEastAsia" w:hAnsi="Traditional Arabic" w:cs="Traditional Arabic"/>
          <w:sz w:val="30"/>
          <w:szCs w:val="30"/>
          <w:rtl/>
        </w:rPr>
        <w:t xml:space="preserve"> السائبة الجافة.</w:t>
      </w:r>
    </w:p>
    <w:p w14:paraId="1E5F6E1D" w14:textId="77777777" w:rsidR="00CD1AC2" w:rsidRPr="00B934CE" w:rsidRDefault="00CD1AC2" w:rsidP="00B934CE">
      <w:pPr>
        <w:bidi/>
        <w:spacing w:after="120"/>
        <w:jc w:val="both"/>
        <w:rPr>
          <w:rFonts w:ascii="Traditional Arabic" w:eastAsiaTheme="majorEastAsia" w:hAnsi="Traditional Arabic" w:cs="Traditional Arabic"/>
          <w:sz w:val="30"/>
          <w:szCs w:val="30"/>
          <w:rtl/>
        </w:rPr>
      </w:pPr>
    </w:p>
    <w:p w14:paraId="4E10217B"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 xml:space="preserve">مصروفات عمومية وإدارية </w:t>
      </w:r>
    </w:p>
    <w:p w14:paraId="5BE14872"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تتكون</w:t>
      </w:r>
      <w:r w:rsidRPr="00B934CE">
        <w:rPr>
          <w:rFonts w:ascii="Traditional Arabic" w:eastAsiaTheme="majorEastAsia" w:hAnsi="Traditional Arabic" w:cs="Traditional Arabic"/>
          <w:sz w:val="30"/>
          <w:szCs w:val="30"/>
          <w:rtl/>
        </w:rPr>
        <w:t xml:space="preserve"> المصروفات </w:t>
      </w:r>
      <w:r w:rsidRPr="00B934CE">
        <w:rPr>
          <w:rFonts w:ascii="Traditional Arabic" w:eastAsiaTheme="majorEastAsia" w:hAnsi="Traditional Arabic" w:cs="Traditional Arabic" w:hint="eastAsia"/>
          <w:sz w:val="30"/>
          <w:szCs w:val="30"/>
          <w:rtl/>
        </w:rPr>
        <w:t>العمومية</w:t>
      </w:r>
      <w:r w:rsidRPr="00B934CE">
        <w:rPr>
          <w:rFonts w:ascii="Traditional Arabic" w:eastAsiaTheme="majorEastAsia" w:hAnsi="Traditional Arabic" w:cs="Traditional Arabic"/>
          <w:sz w:val="30"/>
          <w:szCs w:val="30"/>
          <w:rtl/>
        </w:rPr>
        <w:t xml:space="preserve"> والإدارية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رئيسي من تكاليف الموظفين والتي تشكل </w:t>
      </w:r>
      <w:r w:rsidR="00D944B3" w:rsidRPr="00826D63">
        <w:rPr>
          <w:rFonts w:ascii="Traditional Arabic" w:eastAsiaTheme="majorEastAsia" w:hAnsi="Traditional Arabic" w:cs="Traditional Arabic"/>
          <w:sz w:val="30"/>
          <w:szCs w:val="30"/>
          <w:rtl/>
        </w:rPr>
        <w:t>81</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إجمالي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المصروفات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العمومية</w:t>
      </w:r>
      <w:r w:rsidRPr="00B934CE">
        <w:rPr>
          <w:rFonts w:ascii="Traditional Arabic" w:eastAsiaTheme="majorEastAsia" w:hAnsi="Traditional Arabic" w:cs="Traditional Arabic"/>
          <w:sz w:val="30"/>
          <w:szCs w:val="30"/>
          <w:rtl/>
        </w:rPr>
        <w:t xml:space="preserve"> والإدارية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التاريخية</w:t>
      </w:r>
      <w:r w:rsidRPr="00B934CE">
        <w:rPr>
          <w:rFonts w:ascii="Traditional Arabic" w:eastAsiaTheme="majorEastAsia" w:hAnsi="Traditional Arabic" w:cs="Traditional Arabic"/>
          <w:sz w:val="30"/>
          <w:szCs w:val="30"/>
          <w:rtl/>
        </w:rPr>
        <w:t xml:space="preserve">. </w:t>
      </w:r>
    </w:p>
    <w:p w14:paraId="6CA5124E"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مصروفات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عمومية و</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إدارية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27.9% من 8.5 مليون ريال عماني في السنة المالية 2021 إلى 10.9 مليون ريال عماني في السنة المالية 2022، </w:t>
      </w:r>
      <w:r w:rsidRPr="00B934CE">
        <w:rPr>
          <w:rFonts w:ascii="Traditional Arabic" w:eastAsia="Calibri" w:hAnsi="Traditional Arabic" w:cs="Traditional Arabic"/>
          <w:sz w:val="30"/>
          <w:szCs w:val="30"/>
          <w:rtl/>
        </w:rPr>
        <w:t>تماشياً مع النمو في إجمالي عدد الموظفين</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بعضهم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مناصب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إدارية،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مما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ساهم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متوسط</w:t>
      </w:r>
      <w:r w:rsidRPr="00B934CE">
        <w:rPr>
          <w:rFonts w:ascii="Traditional Arabic" w:eastAsiaTheme="majorEastAsia" w:hAnsi="Traditional Arabic" w:cs="Traditional Arabic"/>
          <w:sz w:val="30"/>
          <w:szCs w:val="30"/>
          <w:rtl/>
        </w:rPr>
        <w:t xml:space="preserve">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الراتب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للفرد</w:t>
      </w:r>
      <w:r w:rsidRPr="00B934CE">
        <w:rPr>
          <w:rFonts w:ascii="Traditional Arabic" w:eastAsiaTheme="majorEastAsia" w:hAnsi="Traditional Arabic" w:cs="Traditional Arabic"/>
          <w:sz w:val="30"/>
          <w:szCs w:val="30"/>
          <w:rtl/>
        </w:rPr>
        <w:t xml:space="preserve">. </w:t>
      </w:r>
    </w:p>
    <w:p w14:paraId="13BC32D3"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مصروفات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عمومية و</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إدارية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16.0%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10.9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إلى 12.6 مليون ريال عماني في السنة المالية 2023، مدفوعة </w:t>
      </w:r>
      <w:r w:rsidRPr="00B934CE">
        <w:rPr>
          <w:rFonts w:ascii="Traditional Arabic" w:eastAsiaTheme="majorEastAsia" w:hAnsi="Traditional Arabic" w:cs="Traditional Arabic" w:hint="eastAsia"/>
          <w:sz w:val="30"/>
          <w:szCs w:val="30"/>
          <w:rtl/>
        </w:rPr>
        <w:t>بزيادة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مزايا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الموظفين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المكافأة،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والتأمين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الاجتماعي،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والسفر،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ونهاية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الخدمة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وإدخال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رسوم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الخدمة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المشتركة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التي</w:t>
      </w:r>
      <w:r w:rsidRPr="00B934CE">
        <w:rPr>
          <w:rFonts w:ascii="Traditional Arabic" w:eastAsiaTheme="majorEastAsia" w:hAnsi="Traditional Arabic" w:cs="Traditional Arabic"/>
          <w:sz w:val="30"/>
          <w:szCs w:val="30"/>
          <w:rtl/>
        </w:rPr>
        <w:t xml:space="preserve"> خصصتها مجموعة أسياد للشركات التابعة ابتداء من 2023.</w:t>
      </w:r>
    </w:p>
    <w:p w14:paraId="35F67F20" w14:textId="77777777" w:rsidR="000C693A" w:rsidRDefault="000C693A" w:rsidP="00596482">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hint="eastAsia"/>
          <w:sz w:val="30"/>
          <w:szCs w:val="30"/>
          <w:rtl/>
        </w:rPr>
        <w:t>ا</w:t>
      </w:r>
      <w:r w:rsidRPr="00B934CE">
        <w:rPr>
          <w:rFonts w:ascii="Traditional Arabic" w:eastAsiaTheme="majorEastAsia" w:hAnsi="Traditional Arabic" w:cs="Traditional Arabic"/>
          <w:sz w:val="30"/>
          <w:szCs w:val="30"/>
          <w:rtl/>
        </w:rPr>
        <w:t xml:space="preserve">رتفعت المصروفات العامة والإدارية بنسبة 41.3٪ من 7.8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إلى 11.0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2024 مدفوعة بزيادة في المصروفات الإدارية الأخرى </w:t>
      </w:r>
      <w:r w:rsidRPr="00B934CE">
        <w:rPr>
          <w:rFonts w:ascii="Traditional Arabic" w:eastAsiaTheme="majorEastAsia" w:hAnsi="Traditional Arabic" w:cs="Traditional Arabic" w:hint="eastAsia"/>
          <w:sz w:val="30"/>
          <w:szCs w:val="30"/>
          <w:rtl/>
        </w:rPr>
        <w:t>بقيمة</w:t>
      </w:r>
      <w:r w:rsidRPr="00B934CE">
        <w:rPr>
          <w:rFonts w:ascii="Traditional Arabic" w:eastAsiaTheme="majorEastAsia" w:hAnsi="Traditional Arabic" w:cs="Traditional Arabic"/>
          <w:sz w:val="30"/>
          <w:szCs w:val="30"/>
          <w:rtl/>
        </w:rPr>
        <w:t xml:space="preserve"> (+ 3.1 مليون ريال عماني) تعزى بشكل رئيسي إلى رسوم الخدمة المشتركة بعد التغييرات في منهجية الحساب بالإضافة إلى الزيادات الطفيفة في تكلفة الموظفين ونفقات المكتب ونفقات تكنولوجيا المعلومات وغيرها. </w:t>
      </w:r>
    </w:p>
    <w:p w14:paraId="4C77CA7D" w14:textId="77777777" w:rsidR="00CD1AC2" w:rsidRPr="00B934CE" w:rsidRDefault="00CD1AC2" w:rsidP="00B934CE">
      <w:pPr>
        <w:bidi/>
        <w:spacing w:after="120"/>
        <w:jc w:val="both"/>
        <w:rPr>
          <w:rFonts w:ascii="Traditional Arabic" w:eastAsiaTheme="majorEastAsia" w:hAnsi="Traditional Arabic" w:cs="Traditional Arabic"/>
          <w:sz w:val="30"/>
          <w:szCs w:val="30"/>
          <w:rtl/>
        </w:rPr>
      </w:pPr>
    </w:p>
    <w:p w14:paraId="2A9FEB6A"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 xml:space="preserve">عكس (خسائر) الانخفاض في قيمة الأصول المالية واصول العقود </w:t>
      </w:r>
    </w:p>
    <w:p w14:paraId="5416F85B" w14:textId="4E9CB3F5"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خسائر الانخفاض في قيمة الأصول المالية واصول العقود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15.4% من 215 ألف ريال عماني في السنة المالية 2021 إلى 248 ألف ريال عماني في السنة المالية 2022، ويعود ذلك بشكل رئيسي إلى </w:t>
      </w:r>
      <w:r w:rsidR="00FF0535">
        <w:rPr>
          <w:rFonts w:ascii="Traditional Arabic" w:eastAsiaTheme="majorEastAsia" w:hAnsi="Traditional Arabic" w:cs="Traditional Arabic" w:hint="cs"/>
          <w:sz w:val="30"/>
          <w:szCs w:val="30"/>
          <w:rtl/>
        </w:rPr>
        <w:t>ال</w:t>
      </w:r>
      <w:r w:rsidR="00FF0535" w:rsidRPr="00FF0535">
        <w:rPr>
          <w:rFonts w:ascii="Traditional Arabic" w:eastAsiaTheme="majorEastAsia" w:hAnsi="Traditional Arabic" w:cs="Traditional Arabic"/>
          <w:sz w:val="30"/>
          <w:szCs w:val="30"/>
          <w:rtl/>
        </w:rPr>
        <w:t>زيادة في مخصص خسائر الائتمان المتوقعة على الحسابات المدينة التجارية</w:t>
      </w:r>
      <w:r w:rsidRPr="00B934CE">
        <w:rPr>
          <w:rFonts w:ascii="Traditional Arabic" w:eastAsiaTheme="majorEastAsia" w:hAnsi="Traditional Arabic" w:cs="Traditional Arabic"/>
          <w:sz w:val="30"/>
          <w:szCs w:val="30"/>
          <w:rtl/>
        </w:rPr>
        <w:t>.</w:t>
      </w:r>
    </w:p>
    <w:p w14:paraId="10429367" w14:textId="6CB09D9D"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hint="eastAsia"/>
          <w:sz w:val="30"/>
          <w:szCs w:val="30"/>
          <w:rtl/>
        </w:rPr>
        <w:t>تم</w:t>
      </w:r>
      <w:r w:rsidRPr="00B934CE">
        <w:rPr>
          <w:rFonts w:ascii="Traditional Arabic" w:eastAsiaTheme="majorEastAsia" w:hAnsi="Traditional Arabic" w:cs="Traditional Arabic"/>
          <w:sz w:val="30"/>
          <w:szCs w:val="30"/>
          <w:rtl/>
        </w:rPr>
        <w:t xml:space="preserve"> عكس مخصص خسائر الانخفاض في قيمة الأصول المالية واصول العقود </w:t>
      </w:r>
      <w:r w:rsidRPr="00B934CE">
        <w:rPr>
          <w:rFonts w:ascii="Traditional Arabic" w:eastAsiaTheme="majorEastAsia" w:hAnsi="Traditional Arabic" w:cs="Traditional Arabic" w:hint="eastAsia"/>
          <w:sz w:val="30"/>
          <w:szCs w:val="30"/>
          <w:rtl/>
        </w:rPr>
        <w:t>بقيمة</w:t>
      </w:r>
      <w:r w:rsidRPr="00B934CE">
        <w:rPr>
          <w:rFonts w:ascii="Traditional Arabic" w:eastAsiaTheme="majorEastAsia" w:hAnsi="Traditional Arabic" w:cs="Traditional Arabic"/>
          <w:sz w:val="30"/>
          <w:szCs w:val="30"/>
          <w:rtl/>
        </w:rPr>
        <w:t xml:space="preserve"> 105 آلاف ريال عماني في السنة المالية 2023، ويعود ذلك بشكل رئيسي إلى </w:t>
      </w:r>
      <w:r w:rsidR="00CA09C0">
        <w:rPr>
          <w:rFonts w:ascii="Traditional Arabic" w:eastAsiaTheme="majorEastAsia" w:hAnsi="Traditional Arabic" w:cs="Traditional Arabic" w:hint="cs"/>
          <w:sz w:val="30"/>
          <w:szCs w:val="30"/>
          <w:rtl/>
        </w:rPr>
        <w:t>عكس الانخفاض</w:t>
      </w:r>
      <w:r w:rsidR="005B0A46">
        <w:rPr>
          <w:rFonts w:ascii="Traditional Arabic" w:eastAsiaTheme="majorEastAsia" w:hAnsi="Traditional Arabic" w:cs="Traditional Arabic" w:hint="cs"/>
          <w:sz w:val="30"/>
          <w:szCs w:val="30"/>
          <w:rtl/>
        </w:rPr>
        <w:t xml:space="preserve"> </w:t>
      </w:r>
      <w:r w:rsidR="005B0A46" w:rsidRPr="00FF0535">
        <w:rPr>
          <w:rFonts w:ascii="Traditional Arabic" w:eastAsiaTheme="majorEastAsia" w:hAnsi="Traditional Arabic" w:cs="Traditional Arabic"/>
          <w:sz w:val="30"/>
          <w:szCs w:val="30"/>
          <w:rtl/>
        </w:rPr>
        <w:t>في مخصص خسائر الائتمان المتوقعة على الحسابات المدينة التجارية</w:t>
      </w:r>
      <w:r w:rsidRPr="00B934CE">
        <w:rPr>
          <w:rFonts w:ascii="Traditional Arabic" w:eastAsiaTheme="majorEastAsia" w:hAnsi="Traditional Arabic" w:cs="Traditional Arabic"/>
          <w:sz w:val="30"/>
          <w:szCs w:val="30"/>
          <w:rtl/>
        </w:rPr>
        <w:t>.</w:t>
      </w:r>
    </w:p>
    <w:p w14:paraId="651D8FD0" w14:textId="037D23B5" w:rsidR="000C693A" w:rsidRDefault="005E4412" w:rsidP="00596482">
      <w:pPr>
        <w:bidi/>
        <w:spacing w:after="120"/>
        <w:jc w:val="both"/>
        <w:rPr>
          <w:rFonts w:ascii="Traditional Arabic" w:eastAsiaTheme="majorEastAsia" w:hAnsi="Traditional Arabic" w:cs="Traditional Arabic"/>
          <w:sz w:val="30"/>
          <w:szCs w:val="30"/>
        </w:rPr>
      </w:pPr>
      <w:r>
        <w:rPr>
          <w:rFonts w:ascii="Traditional Arabic" w:eastAsiaTheme="majorEastAsia" w:hAnsi="Traditional Arabic" w:cs="Traditional Arabic" w:hint="cs"/>
          <w:sz w:val="30"/>
          <w:szCs w:val="30"/>
          <w:rtl/>
        </w:rPr>
        <w:t>عكس</w:t>
      </w:r>
      <w:r w:rsidR="000C693A" w:rsidRPr="00B934CE">
        <w:rPr>
          <w:rFonts w:ascii="Traditional Arabic" w:eastAsiaTheme="majorEastAsia" w:hAnsi="Traditional Arabic" w:cs="Traditional Arabic"/>
          <w:sz w:val="30"/>
          <w:szCs w:val="30"/>
          <w:rtl/>
        </w:rPr>
        <w:t xml:space="preserve"> الانخفاض في قيمة الأصول المالية واصول العقود </w:t>
      </w:r>
      <w:r w:rsidR="007F56D1">
        <w:rPr>
          <w:rFonts w:ascii="Traditional Arabic" w:eastAsiaTheme="majorEastAsia" w:hAnsi="Traditional Arabic" w:cs="Traditional Arabic" w:hint="cs"/>
          <w:sz w:val="30"/>
          <w:szCs w:val="30"/>
          <w:rtl/>
        </w:rPr>
        <w:t>سجلت</w:t>
      </w:r>
      <w:r w:rsidR="00824CC6">
        <w:rPr>
          <w:rFonts w:ascii="Traditional Arabic" w:eastAsiaTheme="majorEastAsia" w:hAnsi="Traditional Arabic" w:cs="Traditional Arabic" w:hint="cs"/>
          <w:sz w:val="30"/>
          <w:szCs w:val="30"/>
          <w:rtl/>
        </w:rPr>
        <w:t xml:space="preserve"> </w:t>
      </w:r>
      <w:r w:rsidR="007F56D1">
        <w:rPr>
          <w:rFonts w:ascii="Traditional Arabic" w:eastAsiaTheme="majorEastAsia" w:hAnsi="Traditional Arabic" w:cs="Traditional Arabic" w:hint="cs"/>
          <w:sz w:val="30"/>
          <w:szCs w:val="30"/>
          <w:rtl/>
        </w:rPr>
        <w:t>مكسبا</w:t>
      </w:r>
      <w:r w:rsidR="00824CC6">
        <w:rPr>
          <w:rFonts w:ascii="Traditional Arabic" w:eastAsiaTheme="majorEastAsia" w:hAnsi="Traditional Arabic" w:cs="Traditional Arabic" w:hint="cs"/>
          <w:sz w:val="30"/>
          <w:szCs w:val="30"/>
          <w:rtl/>
        </w:rPr>
        <w:t xml:space="preserve"> بقيمة</w:t>
      </w:r>
      <w:r w:rsidR="000C693A" w:rsidRPr="00B934CE">
        <w:rPr>
          <w:rFonts w:ascii="Traditional Arabic" w:eastAsiaTheme="majorEastAsia" w:hAnsi="Traditional Arabic" w:cs="Traditional Arabic"/>
          <w:sz w:val="30"/>
          <w:szCs w:val="30"/>
          <w:rtl/>
        </w:rPr>
        <w:t xml:space="preserve"> 130 ألف ريال عماني في فترة التسعة أشهر المنتهية في 30 سبتمبر 2023 </w:t>
      </w:r>
      <w:r w:rsidR="00710145">
        <w:rPr>
          <w:rFonts w:ascii="Traditional Arabic" w:eastAsiaTheme="majorEastAsia" w:hAnsi="Traditional Arabic" w:cs="Traditional Arabic" w:hint="cs"/>
          <w:sz w:val="30"/>
          <w:szCs w:val="30"/>
          <w:rtl/>
        </w:rPr>
        <w:t xml:space="preserve">والتي تبعتها خسارة بقيمة </w:t>
      </w:r>
      <w:r w:rsidR="000C693A" w:rsidRPr="00B934CE">
        <w:rPr>
          <w:rFonts w:ascii="Traditional Arabic" w:eastAsiaTheme="majorEastAsia" w:hAnsi="Traditional Arabic" w:cs="Traditional Arabic"/>
          <w:sz w:val="30"/>
          <w:szCs w:val="30"/>
          <w:rtl/>
        </w:rPr>
        <w:t xml:space="preserve">282 ألف ريال عماني في فترة التسعة أشهر المنتهية في 30 سبتمبر 2024 ويرجع ذلك أساسًا إلى </w:t>
      </w:r>
      <w:r w:rsidR="003F2F72">
        <w:rPr>
          <w:rFonts w:ascii="Traditional Arabic" w:eastAsiaTheme="majorEastAsia" w:hAnsi="Traditional Arabic" w:cs="Traditional Arabic" w:hint="cs"/>
          <w:sz w:val="30"/>
          <w:szCs w:val="30"/>
          <w:rtl/>
        </w:rPr>
        <w:t>رسوم</w:t>
      </w:r>
      <w:r w:rsidR="000C693A" w:rsidRPr="00B934CE">
        <w:rPr>
          <w:rFonts w:ascii="Traditional Arabic" w:eastAsiaTheme="majorEastAsia" w:hAnsi="Traditional Arabic" w:cs="Traditional Arabic"/>
          <w:sz w:val="30"/>
          <w:szCs w:val="30"/>
          <w:rtl/>
        </w:rPr>
        <w:t xml:space="preserve"> انخفاض القيمة على الذمم التجارية المدينة.</w:t>
      </w:r>
    </w:p>
    <w:p w14:paraId="3A22FDA6" w14:textId="77777777" w:rsidR="00CD1AC2" w:rsidRPr="00B934CE" w:rsidRDefault="00CD1AC2" w:rsidP="00B934CE">
      <w:pPr>
        <w:bidi/>
        <w:spacing w:after="120"/>
        <w:jc w:val="both"/>
        <w:rPr>
          <w:rFonts w:ascii="Traditional Arabic" w:eastAsiaTheme="majorEastAsia" w:hAnsi="Traditional Arabic" w:cs="Traditional Arabic"/>
          <w:sz w:val="30"/>
          <w:szCs w:val="30"/>
          <w:rtl/>
        </w:rPr>
      </w:pPr>
    </w:p>
    <w:p w14:paraId="6B699009"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lastRenderedPageBreak/>
        <w:t xml:space="preserve">خسائر الانخفاض في قيمة أصول حق الاستخدام </w:t>
      </w:r>
    </w:p>
    <w:p w14:paraId="4BC79517"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سجلت</w:t>
      </w:r>
      <w:r w:rsidRPr="00B934CE">
        <w:rPr>
          <w:rFonts w:ascii="Traditional Arabic" w:eastAsiaTheme="majorEastAsia" w:hAnsi="Traditional Arabic" w:cs="Traditional Arabic"/>
          <w:sz w:val="30"/>
          <w:szCs w:val="30"/>
          <w:rtl/>
        </w:rPr>
        <w:t xml:space="preserve"> خسائر الانخفاض في قيمة أصول حق الاستخدام 22.3 مليون ريال عماني في السنة المالية 2023</w:t>
      </w:r>
      <w:r w:rsidR="00B7241B">
        <w:rPr>
          <w:rFonts w:ascii="Traditional Arabic" w:eastAsiaTheme="majorEastAsia" w:hAnsi="Traditional Arabic" w:cs="Traditional Arabic" w:hint="cs"/>
          <w:sz w:val="30"/>
          <w:szCs w:val="30"/>
          <w:rtl/>
        </w:rPr>
        <w:t xml:space="preserve"> (</w:t>
      </w:r>
      <w:r w:rsidR="00B7241B" w:rsidRPr="00B7241B">
        <w:rPr>
          <w:rFonts w:ascii="Traditional Arabic" w:eastAsiaTheme="majorEastAsia" w:hAnsi="Traditional Arabic" w:cs="Traditional Arabic"/>
          <w:sz w:val="30"/>
          <w:szCs w:val="30"/>
          <w:rtl/>
        </w:rPr>
        <w:t>نفس المبلغ المؤثر على فترة التسعة أشهر المنتهية في 30 سبتمبر 2023</w:t>
      </w:r>
      <w:r w:rsidR="00B7241B">
        <w:rPr>
          <w:rFonts w:ascii="Traditional Arabic" w:eastAsiaTheme="majorEastAsia" w:hAnsi="Traditional Arabic" w:cs="Traditional Arabic" w:hint="cs"/>
          <w:sz w:val="30"/>
          <w:szCs w:val="30"/>
          <w:rtl/>
        </w:rPr>
        <w:t>)</w:t>
      </w:r>
      <w:r w:rsidRPr="00B934CE">
        <w:rPr>
          <w:rFonts w:ascii="Traditional Arabic" w:eastAsiaTheme="majorEastAsia" w:hAnsi="Traditional Arabic" w:cs="Traditional Arabic"/>
          <w:sz w:val="30"/>
          <w:szCs w:val="30"/>
          <w:rtl/>
        </w:rPr>
        <w:t xml:space="preserve">، ويعود ذلك بشكل رئيسي إلى ضعف </w:t>
      </w:r>
      <w:r w:rsidRPr="00B934CE">
        <w:rPr>
          <w:rFonts w:ascii="Traditional Arabic" w:eastAsiaTheme="majorEastAsia" w:hAnsi="Traditional Arabic" w:cs="Traditional Arabic" w:hint="eastAsia"/>
          <w:sz w:val="30"/>
          <w:szCs w:val="30"/>
          <w:rtl/>
        </w:rPr>
        <w:t>توقعات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الأعمال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أعمال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الحاويات</w:t>
      </w:r>
      <w:r w:rsidRPr="00B934CE">
        <w:rPr>
          <w:rFonts w:ascii="Traditional Arabic" w:eastAsiaTheme="majorEastAsia" w:hAnsi="Traditional Arabic" w:cs="Traditional Arabic"/>
          <w:sz w:val="30"/>
          <w:szCs w:val="30"/>
          <w:rtl/>
        </w:rPr>
        <w:t>.</w:t>
      </w:r>
    </w:p>
    <w:p w14:paraId="42AF7BE1" w14:textId="77777777" w:rsidR="00CD1AC2" w:rsidRDefault="00CD1AC2" w:rsidP="00B934CE">
      <w:pPr>
        <w:bidi/>
        <w:spacing w:after="120"/>
        <w:jc w:val="both"/>
        <w:rPr>
          <w:rFonts w:ascii="Traditional Arabic" w:eastAsiaTheme="majorEastAsia" w:hAnsi="Traditional Arabic" w:cs="Traditional Arabic"/>
          <w:sz w:val="30"/>
          <w:szCs w:val="30"/>
          <w:rtl/>
        </w:rPr>
      </w:pPr>
    </w:p>
    <w:p w14:paraId="61304F7D" w14:textId="77777777" w:rsidR="00A94E4D" w:rsidRPr="00B934CE" w:rsidRDefault="00A94E4D" w:rsidP="00A94E4D">
      <w:pPr>
        <w:bidi/>
        <w:spacing w:after="120"/>
        <w:jc w:val="both"/>
        <w:rPr>
          <w:rFonts w:ascii="Traditional Arabic" w:eastAsiaTheme="majorEastAsia" w:hAnsi="Traditional Arabic" w:cs="Traditional Arabic"/>
          <w:sz w:val="30"/>
          <w:szCs w:val="30"/>
        </w:rPr>
      </w:pPr>
    </w:p>
    <w:p w14:paraId="156645B4"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أرباح/ (خسائر) من بيع ممتلكات وسفن ومعدات</w:t>
      </w:r>
    </w:p>
    <w:p w14:paraId="0F8CD552"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b/>
          <w:bCs/>
          <w:sz w:val="30"/>
          <w:szCs w:val="30"/>
          <w:rtl/>
        </w:rPr>
        <w:t xml:space="preserve"> </w:t>
      </w:r>
      <w:r w:rsidRPr="00B934CE">
        <w:rPr>
          <w:rFonts w:ascii="Traditional Arabic" w:eastAsiaTheme="majorEastAsia" w:hAnsi="Traditional Arabic" w:cs="Traditional Arabic" w:hint="eastAsia"/>
          <w:sz w:val="30"/>
          <w:szCs w:val="30"/>
          <w:rtl/>
        </w:rPr>
        <w:t>سجلت</w:t>
      </w:r>
      <w:r w:rsidRPr="00B934CE">
        <w:rPr>
          <w:rFonts w:ascii="Traditional Arabic" w:eastAsiaTheme="majorEastAsia" w:hAnsi="Traditional Arabic" w:cs="Traditional Arabic"/>
          <w:sz w:val="30"/>
          <w:szCs w:val="30"/>
          <w:rtl/>
        </w:rPr>
        <w:t xml:space="preserve"> خسائر من بيع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ممتلكات و</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سفن و</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معدات </w:t>
      </w:r>
      <w:r w:rsidRPr="00B934CE">
        <w:rPr>
          <w:rFonts w:ascii="Traditional Arabic" w:eastAsiaTheme="majorEastAsia" w:hAnsi="Traditional Arabic" w:cs="Traditional Arabic" w:hint="eastAsia"/>
          <w:sz w:val="30"/>
          <w:szCs w:val="30"/>
          <w:rtl/>
        </w:rPr>
        <w:t>بقيمة</w:t>
      </w:r>
      <w:r w:rsidRPr="00B934CE">
        <w:rPr>
          <w:rFonts w:ascii="Traditional Arabic" w:eastAsiaTheme="majorEastAsia" w:hAnsi="Traditional Arabic" w:cs="Traditional Arabic"/>
          <w:sz w:val="30"/>
          <w:szCs w:val="30"/>
          <w:rtl/>
        </w:rPr>
        <w:t xml:space="preserve"> 715 ألف ريال عماني في السنة المالية 2022، ويعود ذلك بشكل رئيسي إلى بيع ثلاث ناقلات نفط خام</w:t>
      </w:r>
      <w:r w:rsidR="00800699">
        <w:rPr>
          <w:rFonts w:ascii="Traditional Arabic" w:eastAsiaTheme="majorEastAsia" w:hAnsi="Traditional Arabic" w:cs="Traditional Arabic" w:hint="cs"/>
          <w:sz w:val="30"/>
          <w:szCs w:val="30"/>
          <w:rtl/>
        </w:rPr>
        <w:t>في سنة 2023</w:t>
      </w:r>
      <w:r w:rsidR="007B1BF6">
        <w:rPr>
          <w:rFonts w:ascii="Traditional Arabic" w:eastAsiaTheme="majorEastAsia" w:hAnsi="Traditional Arabic" w:cs="Traditional Arabic"/>
          <w:sz w:val="30"/>
          <w:szCs w:val="30"/>
        </w:rPr>
        <w:t xml:space="preserve"> </w:t>
      </w:r>
      <w:r w:rsidR="007B1BF6">
        <w:rPr>
          <w:rFonts w:ascii="Traditional Arabic" w:eastAsiaTheme="majorEastAsia" w:hAnsi="Traditional Arabic" w:cs="Traditional Arabic" w:hint="cs"/>
          <w:sz w:val="30"/>
          <w:szCs w:val="30"/>
          <w:rtl/>
        </w:rPr>
        <w:t>وتحقيق ربح قدره 18.0</w:t>
      </w:r>
      <w:r w:rsidR="006B460C">
        <w:rPr>
          <w:rFonts w:ascii="Traditional Arabic" w:eastAsiaTheme="majorEastAsia" w:hAnsi="Traditional Arabic" w:cs="Traditional Arabic" w:hint="cs"/>
          <w:sz w:val="30"/>
          <w:szCs w:val="30"/>
          <w:rtl/>
        </w:rPr>
        <w:t xml:space="preserve"> مليون ريال عماني </w:t>
      </w:r>
      <w:r w:rsidR="00800699">
        <w:rPr>
          <w:rFonts w:ascii="Traditional Arabic" w:eastAsiaTheme="majorEastAsia" w:hAnsi="Traditional Arabic" w:cs="Traditional Arabic" w:hint="cs"/>
          <w:sz w:val="30"/>
          <w:szCs w:val="30"/>
          <w:rtl/>
        </w:rPr>
        <w:t>من عملية البيع</w:t>
      </w:r>
      <w:r w:rsidRPr="00B934CE">
        <w:rPr>
          <w:rFonts w:ascii="Traditional Arabic" w:eastAsiaTheme="majorEastAsia" w:hAnsi="Traditional Arabic" w:cs="Traditional Arabic"/>
          <w:sz w:val="30"/>
          <w:szCs w:val="30"/>
          <w:rtl/>
        </w:rPr>
        <w:t>.</w:t>
      </w:r>
    </w:p>
    <w:p w14:paraId="28E076D8" w14:textId="77777777" w:rsidR="000C19FE" w:rsidRPr="000C19FE" w:rsidRDefault="000C19FE" w:rsidP="00596482">
      <w:pPr>
        <w:bidi/>
        <w:spacing w:after="120"/>
        <w:jc w:val="both"/>
        <w:rPr>
          <w:rFonts w:ascii="Traditional Arabic" w:eastAsiaTheme="majorEastAsia" w:hAnsi="Traditional Arabic" w:cs="Traditional Arabic"/>
          <w:sz w:val="16"/>
          <w:szCs w:val="16"/>
          <w:rtl/>
        </w:rPr>
      </w:pPr>
    </w:p>
    <w:p w14:paraId="463BFDF5" w14:textId="77777777" w:rsidR="000C693A" w:rsidRDefault="000C693A" w:rsidP="000C19FE">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hint="eastAsia"/>
          <w:sz w:val="30"/>
          <w:szCs w:val="30"/>
          <w:rtl/>
        </w:rPr>
        <w:t>بل</w:t>
      </w:r>
      <w:r w:rsidRPr="00B934CE">
        <w:rPr>
          <w:rFonts w:ascii="Traditional Arabic" w:eastAsiaTheme="majorEastAsia" w:hAnsi="Traditional Arabic" w:cs="Traditional Arabic"/>
          <w:sz w:val="30"/>
          <w:szCs w:val="30"/>
          <w:rtl/>
        </w:rPr>
        <w:t xml:space="preserve">غت الأرباح من بيع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ممتلكات و</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سفن و</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معدات 3 آلاف ريال عماني في فترة التسعة أشهر المنتهية في 30 سبتمبر 2024.</w:t>
      </w:r>
    </w:p>
    <w:p w14:paraId="068A7068" w14:textId="77777777" w:rsidR="00CD1AC2" w:rsidRPr="00B934CE" w:rsidRDefault="00CD1AC2" w:rsidP="00B934CE">
      <w:pPr>
        <w:bidi/>
        <w:spacing w:after="120"/>
        <w:jc w:val="both"/>
        <w:rPr>
          <w:rFonts w:ascii="Traditional Arabic" w:eastAsiaTheme="majorEastAsia" w:hAnsi="Traditional Arabic" w:cs="Traditional Arabic"/>
          <w:sz w:val="30"/>
          <w:szCs w:val="30"/>
        </w:rPr>
      </w:pPr>
    </w:p>
    <w:p w14:paraId="0806F570"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تكاليف التمويل</w:t>
      </w:r>
    </w:p>
    <w:p w14:paraId="0E02913F"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تتكون تكاليف التمويل بشكل أساسي من مصاريف الفائدة على القروض </w:t>
      </w:r>
      <w:r w:rsidRPr="00B934CE">
        <w:rPr>
          <w:rFonts w:ascii="Traditional Arabic" w:eastAsiaTheme="majorEastAsia" w:hAnsi="Traditional Arabic" w:cs="Traditional Arabic" w:hint="eastAsia"/>
          <w:sz w:val="30"/>
          <w:szCs w:val="30"/>
          <w:rtl/>
        </w:rPr>
        <w:t>والسلفيات</w:t>
      </w:r>
      <w:r w:rsidRPr="00B934CE">
        <w:rPr>
          <w:rFonts w:ascii="Traditional Arabic" w:eastAsiaTheme="majorEastAsia" w:hAnsi="Traditional Arabic" w:cs="Traditional Arabic"/>
          <w:sz w:val="30"/>
          <w:szCs w:val="30"/>
          <w:rtl/>
        </w:rPr>
        <w:t xml:space="preserve"> والتزامات الإيجار.</w:t>
      </w:r>
    </w:p>
    <w:p w14:paraId="138AE346"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ظلت </w:t>
      </w:r>
      <w:r w:rsidRPr="00B934CE">
        <w:rPr>
          <w:rFonts w:ascii="Traditional Arabic" w:eastAsiaTheme="majorEastAsia" w:hAnsi="Traditional Arabic" w:cs="Traditional Arabic" w:hint="eastAsia"/>
          <w:sz w:val="30"/>
          <w:szCs w:val="30"/>
          <w:rtl/>
        </w:rPr>
        <w:t>تكاليف</w:t>
      </w:r>
      <w:r w:rsidRPr="00B934CE">
        <w:rPr>
          <w:rFonts w:ascii="Traditional Arabic" w:eastAsiaTheme="majorEastAsia" w:hAnsi="Traditional Arabic" w:cs="Traditional Arabic"/>
          <w:sz w:val="30"/>
          <w:szCs w:val="30"/>
          <w:rtl/>
        </w:rPr>
        <w:t xml:space="preserve"> التمويل مستقرة عند </w:t>
      </w:r>
      <w:r w:rsidRPr="00B934CE">
        <w:rPr>
          <w:rFonts w:ascii="Traditional Arabic" w:eastAsiaTheme="majorEastAsia" w:hAnsi="Traditional Arabic" w:cs="Traditional Arabic" w:hint="eastAsia"/>
          <w:sz w:val="30"/>
          <w:szCs w:val="30"/>
          <w:rtl/>
        </w:rPr>
        <w:t>متوسط</w:t>
      </w:r>
      <w:r w:rsidRPr="00B934CE">
        <w:rPr>
          <w:rFonts w:ascii="Traditional Arabic" w:eastAsiaTheme="majorEastAsia" w:hAnsi="Traditional Arabic" w:cs="Traditional Arabic"/>
          <w:sz w:val="30"/>
          <w:szCs w:val="30"/>
          <w:rtl/>
        </w:rPr>
        <w:t xml:space="preserve"> 25.</w:t>
      </w:r>
      <w:r w:rsidR="004379E0">
        <w:rPr>
          <w:rFonts w:ascii="Traditional Arabic" w:eastAsiaTheme="majorEastAsia" w:hAnsi="Traditional Arabic" w:cs="Traditional Arabic" w:hint="cs"/>
          <w:sz w:val="30"/>
          <w:szCs w:val="30"/>
          <w:rtl/>
        </w:rPr>
        <w:t>4</w:t>
      </w:r>
      <w:r w:rsidR="004379E0"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sz w:val="30"/>
          <w:szCs w:val="30"/>
          <w:rtl/>
        </w:rPr>
        <w:t xml:space="preserve">مليون ريال عماني </w:t>
      </w:r>
      <w:r w:rsidR="004379E0">
        <w:rPr>
          <w:rFonts w:ascii="Traditional Arabic" w:eastAsiaTheme="majorEastAsia" w:hAnsi="Traditional Arabic" w:cs="Traditional Arabic" w:hint="cs"/>
          <w:sz w:val="30"/>
          <w:szCs w:val="30"/>
          <w:rtl/>
        </w:rPr>
        <w:t xml:space="preserve">و 25.8 مليون ريال عماني </w:t>
      </w:r>
      <w:r w:rsidRPr="00B934CE">
        <w:rPr>
          <w:rFonts w:ascii="Traditional Arabic" w:eastAsiaTheme="majorEastAsia" w:hAnsi="Traditional Arabic" w:cs="Traditional Arabic"/>
          <w:sz w:val="30"/>
          <w:szCs w:val="30"/>
          <w:rtl/>
        </w:rPr>
        <w:t>السن</w:t>
      </w:r>
      <w:r w:rsidRPr="00B934CE">
        <w:rPr>
          <w:rFonts w:ascii="Traditional Arabic" w:eastAsiaTheme="majorEastAsia" w:hAnsi="Traditional Arabic" w:cs="Traditional Arabic" w:hint="eastAsia"/>
          <w:sz w:val="30"/>
          <w:szCs w:val="30"/>
          <w:rtl/>
        </w:rPr>
        <w:t>وات</w:t>
      </w:r>
      <w:r w:rsidRPr="00B934CE">
        <w:rPr>
          <w:rFonts w:ascii="Traditional Arabic" w:eastAsiaTheme="majorEastAsia" w:hAnsi="Traditional Arabic" w:cs="Traditional Arabic"/>
          <w:sz w:val="30"/>
          <w:szCs w:val="30"/>
          <w:rtl/>
        </w:rPr>
        <w:t xml:space="preserve"> المالية 2021 </w:t>
      </w:r>
      <w:r w:rsidRPr="00B934CE">
        <w:rPr>
          <w:rFonts w:ascii="Traditional Arabic" w:eastAsiaTheme="majorEastAsia" w:hAnsi="Traditional Arabic" w:cs="Traditional Arabic" w:hint="eastAsia"/>
          <w:sz w:val="30"/>
          <w:szCs w:val="30"/>
          <w:rtl/>
        </w:rPr>
        <w:t>و</w:t>
      </w:r>
      <w:r w:rsidRPr="00B934CE">
        <w:rPr>
          <w:rFonts w:ascii="Traditional Arabic" w:eastAsiaTheme="majorEastAsia" w:hAnsi="Traditional Arabic" w:cs="Traditional Arabic"/>
          <w:sz w:val="30"/>
          <w:szCs w:val="30"/>
          <w:rtl/>
        </w:rPr>
        <w:t>2022</w:t>
      </w:r>
      <w:r w:rsidR="0010747F">
        <w:rPr>
          <w:rFonts w:ascii="Traditional Arabic" w:eastAsiaTheme="majorEastAsia" w:hAnsi="Traditional Arabic" w:cs="Traditional Arabic" w:hint="cs"/>
          <w:sz w:val="30"/>
          <w:szCs w:val="30"/>
          <w:rtl/>
        </w:rPr>
        <w:t xml:space="preserve"> على التوالي</w:t>
      </w:r>
      <w:r w:rsidRPr="00B934CE">
        <w:rPr>
          <w:rFonts w:ascii="Traditional Arabic" w:eastAsiaTheme="majorEastAsia" w:hAnsi="Traditional Arabic" w:cs="Traditional Arabic"/>
          <w:sz w:val="30"/>
          <w:szCs w:val="30"/>
          <w:rtl/>
        </w:rPr>
        <w:t>.</w:t>
      </w:r>
    </w:p>
    <w:p w14:paraId="523DAF8C"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تكاليف التمويل بنسبة 64.2% من 25.8 مليون ريال عماني في السنة المالية 2022 إلى 42.4 مليون ريال عماني في السنة المالية 2023، حيث حصلت الشركة على تسهيل جديد بقيمة 6.9 مليون ريال عماني، إلى جانب الزيادة في عدد عقود الإيجار وزيادة كبيرة في مصاريف الفائدة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الفترة (+ 11.0 مليون ريال عماني) نتيجة لزيادة معدل </w:t>
      </w:r>
      <w:r w:rsidRPr="00B934CE">
        <w:rPr>
          <w:rFonts w:ascii="Traditional Arabic" w:eastAsiaTheme="majorEastAsia" w:hAnsi="Traditional Arabic" w:cs="Traditional Arabic"/>
          <w:sz w:val="30"/>
          <w:szCs w:val="30"/>
        </w:rPr>
        <w:t>SOFR</w:t>
      </w:r>
      <w:r w:rsidRPr="00B934CE">
        <w:rPr>
          <w:rFonts w:ascii="Traditional Arabic" w:eastAsiaTheme="majorEastAsia" w:hAnsi="Traditional Arabic" w:cs="Traditional Arabic"/>
          <w:sz w:val="30"/>
          <w:szCs w:val="30"/>
          <w:rtl/>
        </w:rPr>
        <w:t xml:space="preserve"> مع الهوامش</w:t>
      </w:r>
      <w:r w:rsidRPr="00B934CE">
        <w:rPr>
          <w:rFonts w:ascii="Traditional Arabic" w:eastAsiaTheme="majorEastAsia" w:hAnsi="Traditional Arabic" w:cs="Traditional Arabic"/>
          <w:sz w:val="30"/>
          <w:szCs w:val="30"/>
        </w:rPr>
        <w:t xml:space="preserve"> </w:t>
      </w:r>
      <w:r w:rsidRPr="00B934CE">
        <w:rPr>
          <w:rFonts w:ascii="Traditional Arabic" w:eastAsiaTheme="majorEastAsia" w:hAnsi="Traditional Arabic" w:cs="Traditional Arabic"/>
          <w:sz w:val="30"/>
          <w:szCs w:val="30"/>
          <w:rtl/>
        </w:rPr>
        <w:t>من (1.7٪ إلى 2.8٪) في السنة المالية 2022 إلى (1.7٪ إلى 4.35٪) في السنة المالية 2023.</w:t>
      </w:r>
    </w:p>
    <w:p w14:paraId="238473C4" w14:textId="63282683" w:rsidR="000C693A" w:rsidRDefault="000C693A" w:rsidP="00596482">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sz w:val="30"/>
          <w:szCs w:val="30"/>
          <w:rtl/>
        </w:rPr>
        <w:t xml:space="preserve">انخفضت تكلفة التمويل بنسبة 5.0% من 31.5 مليون ريال عماني في فترة التسعة أشهر المنتهية في 30 سبتمبر 2023 إلى 29.9 مليون ريال عماني في فترة التسعة أشهر المنتهية في 30 سبتمبر 2024، ويرجع ذلك أساسًا إلى انخفاض مصاريف الفائدة (+1.6 مليون ريال عماني) بعد تسوية قروض بلغ </w:t>
      </w:r>
      <w:r w:rsidR="009E6E8A">
        <w:rPr>
          <w:rFonts w:ascii="Traditional Arabic" w:eastAsiaTheme="majorEastAsia" w:hAnsi="Traditional Arabic" w:cs="Traditional Arabic" w:hint="cs"/>
          <w:sz w:val="30"/>
          <w:szCs w:val="30"/>
          <w:rtl/>
        </w:rPr>
        <w:t>رصيدها</w:t>
      </w:r>
      <w:r w:rsidR="00E731A4">
        <w:rPr>
          <w:rFonts w:ascii="Traditional Arabic" w:eastAsiaTheme="majorEastAsia" w:hAnsi="Traditional Arabic" w:cs="Traditional Arabic" w:hint="cs"/>
          <w:sz w:val="30"/>
          <w:szCs w:val="30"/>
          <w:rtl/>
        </w:rPr>
        <w:t xml:space="preserve"> المتبقي مبلغ </w:t>
      </w:r>
      <w:r w:rsidR="00D70B62">
        <w:rPr>
          <w:rFonts w:ascii="Traditional Arabic" w:eastAsiaTheme="majorEastAsia" w:hAnsi="Traditional Arabic" w:cs="Traditional Arabic" w:hint="cs"/>
          <w:sz w:val="30"/>
          <w:szCs w:val="30"/>
          <w:rtl/>
        </w:rPr>
        <w:t>215.5</w:t>
      </w:r>
      <w:r w:rsidRPr="00B934CE">
        <w:rPr>
          <w:rFonts w:ascii="Traditional Arabic" w:eastAsiaTheme="majorEastAsia" w:hAnsi="Traditional Arabic" w:cs="Traditional Arabic"/>
          <w:sz w:val="30"/>
          <w:szCs w:val="30"/>
          <w:rtl/>
        </w:rPr>
        <w:t xml:space="preserve"> مليون ريال عماني والتي </w:t>
      </w:r>
      <w:r w:rsidR="005F6902">
        <w:rPr>
          <w:rFonts w:ascii="Traditional Arabic" w:eastAsiaTheme="majorEastAsia" w:hAnsi="Traditional Arabic" w:cs="Traditional Arabic" w:hint="cs"/>
          <w:sz w:val="30"/>
          <w:szCs w:val="30"/>
          <w:rtl/>
        </w:rPr>
        <w:t>تم تسويتها</w:t>
      </w:r>
      <w:r w:rsidRPr="00B934CE">
        <w:rPr>
          <w:rFonts w:ascii="Traditional Arabic" w:eastAsiaTheme="majorEastAsia" w:hAnsi="Traditional Arabic" w:cs="Traditional Arabic"/>
          <w:sz w:val="30"/>
          <w:szCs w:val="30"/>
          <w:rtl/>
        </w:rPr>
        <w:t xml:space="preserve"> في </w:t>
      </w:r>
      <w:r w:rsidR="005F6902">
        <w:rPr>
          <w:rFonts w:ascii="Traditional Arabic" w:eastAsiaTheme="majorEastAsia" w:hAnsi="Traditional Arabic" w:cs="Traditional Arabic" w:hint="cs"/>
          <w:sz w:val="30"/>
          <w:szCs w:val="30"/>
          <w:rtl/>
        </w:rPr>
        <w:t>2024م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وقد</w:t>
      </w:r>
      <w:r w:rsidRPr="00B934CE">
        <w:rPr>
          <w:rFonts w:ascii="Traditional Arabic" w:eastAsiaTheme="majorEastAsia" w:hAnsi="Traditional Arabic" w:cs="Traditional Arabic"/>
          <w:sz w:val="30"/>
          <w:szCs w:val="30"/>
          <w:rtl/>
        </w:rPr>
        <w:t xml:space="preserve"> قابلها جزئيًا زيادة في مصاريف الفائدة</w:t>
      </w:r>
      <w:r w:rsidR="009C3AF4">
        <w:rPr>
          <w:rFonts w:ascii="Traditional Arabic" w:eastAsiaTheme="majorEastAsia" w:hAnsi="Traditional Arabic" w:cs="Traditional Arabic" w:hint="cs"/>
          <w:sz w:val="30"/>
          <w:szCs w:val="30"/>
          <w:rtl/>
        </w:rPr>
        <w:t xml:space="preserve"> الناتجة عن</w:t>
      </w:r>
      <w:r w:rsidR="009827B0">
        <w:rPr>
          <w:rFonts w:ascii="Traditional Arabic" w:eastAsiaTheme="majorEastAsia" w:hAnsi="Traditional Arabic" w:cs="Traditional Arabic" w:hint="cs"/>
          <w:sz w:val="30"/>
          <w:szCs w:val="30"/>
          <w:rtl/>
        </w:rPr>
        <w:t xml:space="preserve"> تمويل ذات المبلغ في سنة</w:t>
      </w:r>
      <w:r w:rsidRPr="00B934CE">
        <w:rPr>
          <w:rFonts w:ascii="Traditional Arabic" w:eastAsiaTheme="majorEastAsia" w:hAnsi="Traditional Arabic" w:cs="Traditional Arabic"/>
          <w:sz w:val="30"/>
          <w:szCs w:val="30"/>
          <w:rtl/>
        </w:rPr>
        <w:t xml:space="preserve"> 2024.</w:t>
      </w:r>
    </w:p>
    <w:p w14:paraId="2B59DAE1" w14:textId="77777777" w:rsidR="00CD1AC2" w:rsidRPr="00B934CE" w:rsidRDefault="00CD1AC2" w:rsidP="00B934CE">
      <w:pPr>
        <w:bidi/>
        <w:spacing w:after="120"/>
        <w:jc w:val="both"/>
        <w:rPr>
          <w:rFonts w:ascii="Traditional Arabic" w:eastAsiaTheme="majorEastAsia" w:hAnsi="Traditional Arabic" w:cs="Traditional Arabic"/>
          <w:sz w:val="30"/>
          <w:szCs w:val="30"/>
          <w:rtl/>
        </w:rPr>
      </w:pPr>
    </w:p>
    <w:p w14:paraId="312EB7D1"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lastRenderedPageBreak/>
        <w:t>إيرادات التمويل</w:t>
      </w:r>
    </w:p>
    <w:p w14:paraId="684E8ABD"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تشمل إيرادات التمويل بشكل أساسي إيرادات الفائدة على الودائع الثابتة</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عقود</w:t>
      </w:r>
      <w:r w:rsidRPr="00B934CE">
        <w:rPr>
          <w:rFonts w:ascii="Traditional Arabic" w:eastAsiaTheme="majorEastAsia" w:hAnsi="Traditional Arabic" w:cs="Traditional Arabic"/>
          <w:sz w:val="30"/>
          <w:szCs w:val="30"/>
          <w:rtl/>
        </w:rPr>
        <w:t xml:space="preserve"> مقايضات أسعار الفائدة والربح على كسر المقايضة.</w:t>
      </w:r>
    </w:p>
    <w:p w14:paraId="282D6F3F"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إيرادات التمويل بنسبة 46.5% من 3.8 مليون ريال عماني في السنة المالية 2021 إلى 2.0 مليون ريال عماني في السنة المالية 2022، ويعود ذلك بشكل رئيسي إلى الانخفاض في إيرادات الفائدة على الودائع الثابتة بقيمة 1.3مليون ريال عماني نتيجة الانخفاض بأسعار الفوائد ورصيد الودائع الثابتة خلال الفترة.</w:t>
      </w:r>
    </w:p>
    <w:p w14:paraId="72117DA7"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إيرادات التمويل بنسبة 552.1% من 2.0 مليون ريال عماني في السنة المالية 2022 إلى 13.1 مليون ريال عماني في السنة المالية 2023، مدفوعة </w:t>
      </w:r>
      <w:r w:rsidRPr="00B934CE">
        <w:rPr>
          <w:rFonts w:ascii="Traditional Arabic" w:eastAsiaTheme="majorEastAsia" w:hAnsi="Traditional Arabic" w:cs="Traditional Arabic" w:hint="eastAsia"/>
          <w:sz w:val="30"/>
          <w:szCs w:val="30"/>
          <w:rtl/>
        </w:rPr>
        <w:t>بالمكاسب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الناتجة</w:t>
      </w:r>
      <w:r w:rsidRPr="00B934CE">
        <w:rPr>
          <w:rFonts w:ascii="Traditional Arabic" w:eastAsiaTheme="majorEastAsia" w:hAnsi="Traditional Arabic" w:cs="Traditional Arabic"/>
          <w:sz w:val="30"/>
          <w:szCs w:val="30"/>
          <w:rtl/>
        </w:rPr>
        <w:t xml:space="preserve"> من كسر المقايضة (+3.4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وعقود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مقايضة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أسعار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الفائدة</w:t>
      </w:r>
      <w:r w:rsidRPr="00B934CE">
        <w:rPr>
          <w:rFonts w:ascii="Traditional Arabic" w:eastAsiaTheme="majorEastAsia" w:hAnsi="Traditional Arabic" w:cs="Traditional Arabic"/>
          <w:sz w:val="30"/>
          <w:szCs w:val="30"/>
          <w:rtl/>
        </w:rPr>
        <w:t xml:space="preserve"> (+4.4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الفائدة</w:t>
      </w:r>
      <w:r w:rsidRPr="00B934CE">
        <w:rPr>
          <w:rFonts w:ascii="Traditional Arabic" w:eastAsiaTheme="majorEastAsia" w:hAnsi="Traditional Arabic" w:cs="Traditional Arabic"/>
          <w:sz w:val="30"/>
          <w:szCs w:val="30"/>
          <w:rtl/>
        </w:rPr>
        <w:t xml:space="preserve"> (+3.3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p>
    <w:p w14:paraId="240E7198" w14:textId="77777777" w:rsidR="000C693A" w:rsidRDefault="000C693A" w:rsidP="00596482">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sz w:val="30"/>
          <w:szCs w:val="30"/>
          <w:rtl/>
        </w:rPr>
        <w:t xml:space="preserve">انخفض دخل التمويل بنسبة 35.2% من 11.1 مليون ريال عماني في فترة التسعة أشهر المنتهية في 30 سبتمبر 2023 إلى 7.2 مليون ريال عماني في فترة التسعة أشهر المنتهية في 30 سبتمبر 2024 بعد انخفاض مكاسب كسر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مقايضة من 3.4 مليون ريال عماني في فترة التسعة أشهر المنتهية في 30 سبتمبر 2023 إلى </w:t>
      </w:r>
      <w:r w:rsidRPr="00B934CE">
        <w:rPr>
          <w:rFonts w:ascii="Traditional Arabic" w:eastAsiaTheme="majorEastAsia" w:hAnsi="Traditional Arabic" w:cs="Traditional Arabic" w:hint="eastAsia"/>
          <w:sz w:val="30"/>
          <w:szCs w:val="30"/>
          <w:rtl/>
        </w:rPr>
        <w:t>صفر</w:t>
      </w:r>
      <w:r w:rsidRPr="00B934CE">
        <w:rPr>
          <w:rFonts w:ascii="Traditional Arabic" w:eastAsiaTheme="majorEastAsia" w:hAnsi="Traditional Arabic" w:cs="Traditional Arabic"/>
          <w:sz w:val="30"/>
          <w:szCs w:val="30"/>
          <w:rtl/>
        </w:rPr>
        <w:t xml:space="preserve"> في فترة التسعة أشهر المنتهية في 30 سبتمبر 2024</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وعقود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مقايضة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أسعار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الفائدة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غير</w:t>
      </w:r>
      <w:r w:rsidRPr="00B934CE">
        <w:rPr>
          <w:rFonts w:ascii="Traditional Arabic" w:eastAsiaTheme="majorEastAsia" w:hAnsi="Traditional Arabic" w:cs="Traditional Arabic"/>
          <w:sz w:val="30"/>
          <w:szCs w:val="30"/>
          <w:rtl/>
        </w:rPr>
        <w:t xml:space="preserve"> المواتية (-1.9 مليون ريال عماني). وقد تم تعويض ذلك جزئيًا من خلال زيادة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الفائدة</w:t>
      </w:r>
      <w:r w:rsidRPr="00B934CE">
        <w:rPr>
          <w:rFonts w:ascii="Traditional Arabic" w:eastAsiaTheme="majorEastAsia" w:hAnsi="Traditional Arabic" w:cs="Traditional Arabic"/>
          <w:sz w:val="30"/>
          <w:szCs w:val="30"/>
          <w:rtl/>
        </w:rPr>
        <w:t xml:space="preserve"> على الودائع لأجل بمقدار 1.2 مليون ريال عماني، نتيجة لزيادة معدل </w:t>
      </w:r>
      <w:r w:rsidRPr="00B934CE">
        <w:rPr>
          <w:rFonts w:ascii="Traditional Arabic" w:eastAsiaTheme="majorEastAsia" w:hAnsi="Traditional Arabic" w:cs="Traditional Arabic" w:hint="eastAsia"/>
          <w:sz w:val="30"/>
          <w:szCs w:val="30"/>
          <w:rtl/>
        </w:rPr>
        <w:t>السوفر</w:t>
      </w:r>
      <w:r w:rsidRPr="00B934CE">
        <w:rPr>
          <w:rFonts w:ascii="Traditional Arabic" w:eastAsiaTheme="majorEastAsia" w:hAnsi="Traditional Arabic" w:cs="Traditional Arabic"/>
          <w:sz w:val="30"/>
          <w:szCs w:val="30"/>
          <w:rtl/>
        </w:rPr>
        <w:t xml:space="preserve"> من متوسط </w:t>
      </w:r>
      <w:r w:rsidRPr="00B934CE">
        <w:rPr>
          <w:rFonts w:eastAsiaTheme="majorEastAsia" w:cs="Times New Roman"/>
          <w:sz w:val="30"/>
          <w:szCs w:val="30"/>
        </w:rPr>
        <w:t>​​</w:t>
      </w:r>
      <w:r w:rsidRPr="00B934CE">
        <w:rPr>
          <w:rFonts w:ascii="Traditional Arabic" w:eastAsiaTheme="majorEastAsia" w:hAnsi="Traditional Arabic" w:cs="Traditional Arabic"/>
          <w:sz w:val="30"/>
          <w:szCs w:val="30"/>
          <w:rtl/>
        </w:rPr>
        <w:t xml:space="preserve">5.05%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5.75%.</w:t>
      </w:r>
    </w:p>
    <w:p w14:paraId="5928ACDC" w14:textId="77777777" w:rsidR="00CD1AC2" w:rsidRPr="00B934CE" w:rsidRDefault="00CD1AC2" w:rsidP="00B934CE">
      <w:pPr>
        <w:bidi/>
        <w:spacing w:after="120"/>
        <w:jc w:val="both"/>
        <w:rPr>
          <w:rFonts w:ascii="Traditional Arabic" w:eastAsiaTheme="majorEastAsia" w:hAnsi="Traditional Arabic" w:cs="Traditional Arabic"/>
          <w:sz w:val="30"/>
          <w:szCs w:val="30"/>
        </w:rPr>
      </w:pPr>
    </w:p>
    <w:p w14:paraId="087C4932" w14:textId="77777777" w:rsidR="000C693A" w:rsidRPr="00B934CE" w:rsidRDefault="000C693A"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 xml:space="preserve">حصة من نتائج استثمارات محتسبة وفقا لحقوق الملكية </w:t>
      </w:r>
    </w:p>
    <w:p w14:paraId="2310AB67"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تم</w:t>
      </w:r>
      <w:r w:rsidRPr="00B934CE">
        <w:rPr>
          <w:rFonts w:ascii="Traditional Arabic" w:eastAsiaTheme="majorEastAsia" w:hAnsi="Traditional Arabic" w:cs="Traditional Arabic"/>
          <w:sz w:val="30"/>
          <w:szCs w:val="30"/>
          <w:rtl/>
        </w:rPr>
        <w:t xml:space="preserve">ثل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حصة من نتائج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استثمارات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محتسبة وفقا لحقوق الملكية الربح أو الخسارة من المشاريع المشتركة المحسوبة وفقًا لطريقة حقوق الملكية. </w:t>
      </w:r>
    </w:p>
    <w:p w14:paraId="518C56A6"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انخفضت الحصة من نتائج الاستثمارات المحتسبة وفقا لحقوق الملكية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307.4% من 3.3 مليون ريال عماني في السنة المالية 2021 إلى -6.8 مليون ريال عماني في السنة المالية 2022 بسبب انخفاض الإيرادات من تأجير </w:t>
      </w:r>
      <w:r w:rsidRPr="00B934CE">
        <w:rPr>
          <w:rFonts w:ascii="Traditional Arabic" w:eastAsiaTheme="majorEastAsia" w:hAnsi="Traditional Arabic" w:cs="Traditional Arabic" w:hint="eastAsia"/>
          <w:sz w:val="30"/>
          <w:szCs w:val="30"/>
          <w:rtl/>
        </w:rPr>
        <w:t>السفن،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الارتفاع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المصاريف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التشغيلية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وتسجيل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خسائر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أربعة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أصل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ستة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استثمارات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نتيجة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ظروف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السوق</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السيئة</w:t>
      </w:r>
      <w:r w:rsidRPr="00B934CE">
        <w:rPr>
          <w:rFonts w:ascii="Traditional Arabic" w:eastAsiaTheme="majorEastAsia" w:hAnsi="Traditional Arabic" w:cs="Traditional Arabic"/>
          <w:sz w:val="30"/>
          <w:szCs w:val="30"/>
          <w:rtl/>
        </w:rPr>
        <w:t>.</w:t>
      </w:r>
    </w:p>
    <w:p w14:paraId="0FE4FC0B"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الحصة من نتائج الاستثمارات المحتسبة وفقا لحقوق الملكية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114.7% إلى 1.0 مليون ريال عماني في السنة المالية 2023 بسبب ارتفاع إيرادات </w:t>
      </w:r>
      <w:r w:rsidRPr="00B934CE">
        <w:rPr>
          <w:rFonts w:ascii="Traditional Arabic" w:eastAsiaTheme="majorEastAsia" w:hAnsi="Traditional Arabic" w:cs="Traditional Arabic" w:hint="eastAsia"/>
          <w:sz w:val="30"/>
          <w:szCs w:val="30"/>
          <w:rtl/>
        </w:rPr>
        <w:t>التأجير</w:t>
      </w:r>
      <w:r w:rsidRPr="00B934CE">
        <w:rPr>
          <w:rFonts w:ascii="Traditional Arabic" w:eastAsiaTheme="majorEastAsia" w:hAnsi="Traditional Arabic" w:cs="Traditional Arabic"/>
          <w:sz w:val="30"/>
          <w:szCs w:val="30"/>
          <w:rtl/>
        </w:rPr>
        <w:t xml:space="preserve"> إلى جانب انخفاض تكاليف التشغيل من 21.8مليون ريال عماني في السنة المالية 2022 الى 15.6 مليون ريال عماني في السنة المالية 2023، وانخفاض في الاستهلاكات (-2.0 مليون ريال عماني) خلال نفس الفترة.</w:t>
      </w:r>
    </w:p>
    <w:p w14:paraId="5EA5EE63"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lastRenderedPageBreak/>
        <w:t>ار</w:t>
      </w:r>
      <w:r w:rsidRPr="00B934CE">
        <w:rPr>
          <w:rFonts w:ascii="Traditional Arabic" w:eastAsiaTheme="majorEastAsia" w:hAnsi="Traditional Arabic" w:cs="Traditional Arabic"/>
          <w:sz w:val="30"/>
          <w:szCs w:val="30"/>
          <w:rtl/>
        </w:rPr>
        <w:t xml:space="preserve">تفعت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حصة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نتائج الاستثمارات المحسوبة </w:t>
      </w:r>
      <w:r w:rsidRPr="00B934CE">
        <w:rPr>
          <w:rFonts w:ascii="Traditional Arabic" w:eastAsiaTheme="majorEastAsia" w:hAnsi="Traditional Arabic" w:cs="Traditional Arabic" w:hint="eastAsia"/>
          <w:sz w:val="30"/>
          <w:szCs w:val="30"/>
          <w:rtl/>
        </w:rPr>
        <w:t>وفقا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w:t>
      </w:r>
      <w:r w:rsidRPr="00B934CE">
        <w:rPr>
          <w:rFonts w:ascii="Traditional Arabic" w:eastAsiaTheme="majorEastAsia" w:hAnsi="Traditional Arabic" w:cs="Traditional Arabic"/>
          <w:sz w:val="30"/>
          <w:szCs w:val="30"/>
          <w:rtl/>
        </w:rPr>
        <w:t xml:space="preserve">حقوق الملكية بنسبة 65.2% من 571 ألف ريال عماني في فترة التسعة أشهر المنتهية في 30 سبتمبر 2023 إلى 942 ألف ريال عماني في فترة التسعة أشهر المنتهية في 30 سبتمبر 2024 بسبب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زيادة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صافي الدخل من معظم الاستثمارات وخاصة ل</w:t>
      </w:r>
      <w:r w:rsidRPr="00B934CE">
        <w:rPr>
          <w:rFonts w:ascii="Traditional Arabic" w:eastAsiaTheme="majorEastAsia" w:hAnsi="Traditional Arabic" w:cs="Traditional Arabic" w:hint="eastAsia"/>
          <w:sz w:val="30"/>
          <w:szCs w:val="30"/>
          <w:rtl/>
        </w:rPr>
        <w:t>يوا</w:t>
      </w:r>
      <w:r w:rsidRPr="00B934CE">
        <w:rPr>
          <w:rFonts w:ascii="Traditional Arabic" w:eastAsiaTheme="majorEastAsia" w:hAnsi="Traditional Arabic" w:cs="Traditional Arabic"/>
          <w:sz w:val="30"/>
          <w:szCs w:val="30"/>
          <w:rtl/>
        </w:rPr>
        <w:t xml:space="preserve"> بالإضافة إلى زيادة الدخل التمويلي (استثمار الدقم).</w:t>
      </w:r>
    </w:p>
    <w:p w14:paraId="1EB7353E" w14:textId="77777777" w:rsidR="000C693A" w:rsidRPr="00B934CE" w:rsidRDefault="00E1070B" w:rsidP="00B934CE">
      <w:pPr>
        <w:bidi/>
        <w:spacing w:after="120"/>
        <w:jc w:val="both"/>
        <w:rPr>
          <w:rFonts w:ascii="Traditional Arabic" w:eastAsiaTheme="majorEastAsia" w:hAnsi="Traditional Arabic" w:cs="Traditional Arabic"/>
          <w:b/>
          <w:bCs/>
          <w:sz w:val="30"/>
          <w:szCs w:val="30"/>
          <w:rtl/>
        </w:rPr>
      </w:pPr>
      <w:r>
        <w:rPr>
          <w:rFonts w:ascii="Traditional Arabic" w:eastAsiaTheme="majorEastAsia" w:hAnsi="Traditional Arabic" w:cs="Traditional Arabic" w:hint="cs"/>
          <w:b/>
          <w:bCs/>
          <w:sz w:val="30"/>
          <w:szCs w:val="30"/>
          <w:rtl/>
        </w:rPr>
        <w:t>ال</w:t>
      </w:r>
      <w:r w:rsidR="000C693A" w:rsidRPr="00B934CE">
        <w:rPr>
          <w:rFonts w:ascii="Traditional Arabic" w:eastAsiaTheme="majorEastAsia" w:hAnsi="Traditional Arabic" w:cs="Traditional Arabic"/>
          <w:b/>
          <w:bCs/>
          <w:sz w:val="30"/>
          <w:szCs w:val="30"/>
          <w:rtl/>
        </w:rPr>
        <w:t xml:space="preserve">إعفاء </w:t>
      </w:r>
      <w:r>
        <w:rPr>
          <w:rFonts w:ascii="Traditional Arabic" w:eastAsiaTheme="majorEastAsia" w:hAnsi="Traditional Arabic" w:cs="Traditional Arabic" w:hint="cs"/>
          <w:b/>
          <w:bCs/>
          <w:sz w:val="30"/>
          <w:szCs w:val="30"/>
          <w:rtl/>
        </w:rPr>
        <w:t xml:space="preserve">من </w:t>
      </w:r>
      <w:r w:rsidR="000C693A" w:rsidRPr="00B934CE">
        <w:rPr>
          <w:rFonts w:ascii="Traditional Arabic" w:eastAsiaTheme="majorEastAsia" w:hAnsi="Traditional Arabic" w:cs="Traditional Arabic"/>
          <w:b/>
          <w:bCs/>
          <w:sz w:val="30"/>
          <w:szCs w:val="30"/>
          <w:rtl/>
        </w:rPr>
        <w:t xml:space="preserve">ضريبة الدخل </w:t>
      </w:r>
    </w:p>
    <w:p w14:paraId="758246DD"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تقلبت مصاريف ضريبة الدخل طوال فترة المراجعة حيث ارتفعت من -0.4 مليون ريال عماني في السنة المالية 2021 إلى 1.7 مليون ريال عماني في السنة المالية 2022 ثم ارتفعت لاحقًا إلى 2.2 مليون ريال عماني في السنة المالية 2023، مدفوعة بالمزايا الضريبية التي تزيد عن مصاريف ضريبة الدخل. </w:t>
      </w:r>
      <w:r w:rsidRPr="00B934CE">
        <w:rPr>
          <w:rFonts w:ascii="Traditional Arabic" w:eastAsiaTheme="majorEastAsia" w:hAnsi="Traditional Arabic" w:cs="Traditional Arabic" w:hint="eastAsia"/>
          <w:sz w:val="30"/>
          <w:szCs w:val="30"/>
          <w:rtl/>
        </w:rPr>
        <w:t>تتولد</w:t>
      </w:r>
      <w:r w:rsidRPr="00B934CE">
        <w:rPr>
          <w:rFonts w:ascii="Traditional Arabic" w:eastAsiaTheme="majorEastAsia" w:hAnsi="Traditional Arabic" w:cs="Traditional Arabic"/>
          <w:sz w:val="30"/>
          <w:szCs w:val="30"/>
          <w:rtl/>
        </w:rPr>
        <w:t xml:space="preserve"> المزايا الضريبية بشكل أساسي من الضريبة المؤجلة على الخسائر الضريبية </w:t>
      </w:r>
      <w:r w:rsidRPr="00B934CE">
        <w:rPr>
          <w:rFonts w:ascii="Traditional Arabic" w:eastAsiaTheme="majorEastAsia" w:hAnsi="Traditional Arabic" w:cs="Traditional Arabic" w:hint="eastAsia"/>
          <w:sz w:val="30"/>
          <w:szCs w:val="30"/>
          <w:rtl/>
        </w:rPr>
        <w:t>المرحلة</w:t>
      </w:r>
      <w:r w:rsidRPr="00B934CE">
        <w:rPr>
          <w:rFonts w:ascii="Traditional Arabic" w:eastAsiaTheme="majorEastAsia" w:hAnsi="Traditional Arabic" w:cs="Traditional Arabic"/>
          <w:sz w:val="30"/>
          <w:szCs w:val="30"/>
          <w:rtl/>
        </w:rPr>
        <w:t xml:space="preserve"> إلى جانب التأثير الضريبي للاستهلاك المتسارع.</w:t>
      </w:r>
    </w:p>
    <w:p w14:paraId="21E58718" w14:textId="77777777" w:rsidR="000C693A" w:rsidRPr="00B934CE" w:rsidRDefault="000C693A" w:rsidP="00B934CE">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sz w:val="30"/>
          <w:szCs w:val="30"/>
          <w:rtl/>
        </w:rPr>
        <w:t xml:space="preserve">ارتفع </w:t>
      </w:r>
      <w:r w:rsidRPr="00B934CE">
        <w:rPr>
          <w:rFonts w:ascii="Traditional Arabic" w:eastAsiaTheme="majorEastAsia" w:hAnsi="Traditional Arabic" w:cs="Traditional Arabic" w:hint="eastAsia"/>
          <w:sz w:val="30"/>
          <w:szCs w:val="30"/>
          <w:rtl/>
        </w:rPr>
        <w:t>إعفاء</w:t>
      </w:r>
      <w:r w:rsidRPr="00B934CE">
        <w:rPr>
          <w:rFonts w:ascii="Traditional Arabic" w:eastAsiaTheme="majorEastAsia" w:hAnsi="Traditional Arabic" w:cs="Traditional Arabic"/>
          <w:sz w:val="30"/>
          <w:szCs w:val="30"/>
          <w:rtl/>
        </w:rPr>
        <w:t xml:space="preserve"> ضريبة الدخل بنسبة 958.9% من 75 ألف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إلى 798 ألف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2024 مدفوعًا بالمزايا الضريبية التي تتجاوز مصروف ضريبة الدخل.</w:t>
      </w:r>
    </w:p>
    <w:p w14:paraId="7D7C7277" w14:textId="77777777" w:rsidR="000C693A" w:rsidRPr="00B934CE" w:rsidRDefault="000C693A" w:rsidP="00B934CE">
      <w:pPr>
        <w:bidi/>
        <w:spacing w:after="120"/>
        <w:jc w:val="both"/>
        <w:rPr>
          <w:rFonts w:ascii="Traditional Arabic" w:eastAsiaTheme="majorEastAsia" w:hAnsi="Traditional Arabic" w:cs="Traditional Arabic"/>
          <w:b/>
          <w:bCs/>
          <w:sz w:val="30"/>
          <w:szCs w:val="30"/>
        </w:rPr>
      </w:pPr>
      <w:r w:rsidRPr="00B934CE">
        <w:rPr>
          <w:rFonts w:ascii="Traditional Arabic" w:eastAsiaTheme="majorEastAsia" w:hAnsi="Traditional Arabic" w:cs="Traditional Arabic"/>
          <w:b/>
          <w:bCs/>
          <w:sz w:val="30"/>
          <w:szCs w:val="30"/>
          <w:rtl/>
        </w:rPr>
        <w:t>أرباح الفترة</w:t>
      </w:r>
    </w:p>
    <w:p w14:paraId="2A403BC3" w14:textId="77777777"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أرباح الفترة بنسبة 106.3% من 20.7 مليون ريال عماني في السنة المالية 2021 إل</w:t>
      </w:r>
      <w:r w:rsidRPr="00B934CE">
        <w:rPr>
          <w:rFonts w:ascii="Traditional Arabic" w:eastAsiaTheme="majorEastAsia" w:hAnsi="Traditional Arabic" w:cs="Traditional Arabic" w:hint="eastAsia"/>
          <w:sz w:val="30"/>
          <w:szCs w:val="30"/>
          <w:rtl/>
        </w:rPr>
        <w:t>ى</w:t>
      </w:r>
      <w:r w:rsidRPr="00B934CE">
        <w:rPr>
          <w:rFonts w:ascii="Traditional Arabic" w:eastAsiaTheme="majorEastAsia" w:hAnsi="Traditional Arabic" w:cs="Traditional Arabic"/>
          <w:sz w:val="30"/>
          <w:szCs w:val="30"/>
          <w:rtl/>
        </w:rPr>
        <w:t xml:space="preserve"> 42.8 مليون ريال عماني في السنة المالية 2022</w:t>
      </w:r>
      <w:r w:rsidRPr="00B934CE">
        <w:rPr>
          <w:rFonts w:ascii="Traditional Arabic" w:eastAsiaTheme="majorEastAsia" w:hAnsi="Traditional Arabic" w:cs="Traditional Arabic" w:hint="eastAsia"/>
          <w:b/>
          <w:bCs/>
          <w:sz w:val="30"/>
          <w:szCs w:val="30"/>
          <w:rtl/>
        </w:rPr>
        <w:t>،</w:t>
      </w:r>
      <w:r w:rsidRPr="00B934CE">
        <w:rPr>
          <w:rFonts w:ascii="Traditional Arabic" w:eastAsiaTheme="majorEastAsia" w:hAnsi="Traditional Arabic" w:cs="Traditional Arabic"/>
          <w:sz w:val="30"/>
          <w:szCs w:val="30"/>
          <w:rtl/>
        </w:rPr>
        <w:t xml:space="preserve"> تماشياً مع زيادة الإيرادات (104.3 مليون ريال عماني)، وقد </w:t>
      </w:r>
      <w:r w:rsidRPr="00B934CE">
        <w:rPr>
          <w:rFonts w:ascii="Traditional Arabic" w:eastAsiaTheme="majorEastAsia" w:hAnsi="Traditional Arabic" w:cs="Traditional Arabic" w:hint="eastAsia"/>
          <w:sz w:val="30"/>
          <w:szCs w:val="30"/>
          <w:rtl/>
        </w:rPr>
        <w:t>قابلها</w:t>
      </w:r>
      <w:r w:rsidRPr="00B934CE">
        <w:rPr>
          <w:rFonts w:ascii="Traditional Arabic" w:eastAsiaTheme="majorEastAsia" w:hAnsi="Traditional Arabic" w:cs="Traditional Arabic"/>
          <w:sz w:val="30"/>
          <w:szCs w:val="30"/>
          <w:rtl/>
        </w:rPr>
        <w:t xml:space="preserve"> جزئياً </w:t>
      </w:r>
      <w:r w:rsidRPr="00B934CE">
        <w:rPr>
          <w:rFonts w:ascii="Traditional Arabic" w:eastAsiaTheme="majorEastAsia" w:hAnsi="Traditional Arabic" w:cs="Traditional Arabic" w:hint="eastAsia"/>
          <w:sz w:val="30"/>
          <w:szCs w:val="30"/>
          <w:rtl/>
        </w:rPr>
        <w:t>زيادة</w:t>
      </w:r>
      <w:r w:rsidRPr="00B934CE">
        <w:rPr>
          <w:rFonts w:ascii="Traditional Arabic" w:eastAsiaTheme="majorEastAsia" w:hAnsi="Traditional Arabic" w:cs="Traditional Arabic"/>
          <w:sz w:val="30"/>
          <w:szCs w:val="30"/>
          <w:rtl/>
        </w:rPr>
        <w:t xml:space="preserve"> في تكلفة الإيرادات (67.1 مليون ريال عماني) وخسارة حصة نتائج الشركات المستثمرة المحسوبة على أساس حقوق الملكية (10.0 مليون ريال عماني) خلال نفس الفترة.</w:t>
      </w:r>
    </w:p>
    <w:p w14:paraId="7D417D7B" w14:textId="165A514D" w:rsidR="000C693A" w:rsidRPr="00B934CE" w:rsidRDefault="000C693A"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أرباح الفترة بنسبة 7.7% من 42.8 مليون ريال عماني في السنة المالية 2022 إل</w:t>
      </w:r>
      <w:r w:rsidRPr="00B934CE">
        <w:rPr>
          <w:rFonts w:ascii="Traditional Arabic" w:eastAsiaTheme="majorEastAsia" w:hAnsi="Traditional Arabic" w:cs="Traditional Arabic" w:hint="eastAsia"/>
          <w:sz w:val="30"/>
          <w:szCs w:val="30"/>
          <w:rtl/>
        </w:rPr>
        <w:t>ى</w:t>
      </w:r>
      <w:r w:rsidRPr="00B934CE">
        <w:rPr>
          <w:rFonts w:ascii="Traditional Arabic" w:eastAsiaTheme="majorEastAsia" w:hAnsi="Traditional Arabic" w:cs="Traditional Arabic"/>
          <w:sz w:val="30"/>
          <w:szCs w:val="30"/>
          <w:rtl/>
        </w:rPr>
        <w:t xml:space="preserve"> 39.5 مليون ريال عماني في السنة المالية 2023</w:t>
      </w:r>
      <w:r w:rsidRPr="00B934CE">
        <w:rPr>
          <w:rFonts w:ascii="Traditional Arabic" w:eastAsiaTheme="majorEastAsia" w:hAnsi="Traditional Arabic" w:cs="Traditional Arabic" w:hint="eastAsia"/>
          <w:b/>
          <w:bCs/>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w:t>
      </w:r>
      <w:r w:rsidRPr="00B934CE">
        <w:rPr>
          <w:rFonts w:ascii="Traditional Arabic" w:eastAsiaTheme="majorEastAsia" w:hAnsi="Traditional Arabic" w:cs="Traditional Arabic"/>
          <w:sz w:val="30"/>
          <w:szCs w:val="30"/>
          <w:rtl/>
        </w:rPr>
        <w:t xml:space="preserve">يرجع ذلك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أساسي إلى زيادة تكلفة الإيرادات (22.7 مليون ريال عماني)، وخسائر الانخفاض في قيمةالأصول </w:t>
      </w:r>
      <w:r w:rsidR="00631F30">
        <w:rPr>
          <w:rFonts w:ascii="Traditional Arabic" w:eastAsiaTheme="majorEastAsia" w:hAnsi="Traditional Arabic" w:cs="Traditional Arabic" w:hint="cs"/>
          <w:sz w:val="30"/>
          <w:szCs w:val="30"/>
          <w:rtl/>
        </w:rPr>
        <w:t>التي ير</w:t>
      </w:r>
      <w:r w:rsidR="0071273C">
        <w:rPr>
          <w:rFonts w:ascii="Traditional Arabic" w:eastAsiaTheme="majorEastAsia" w:hAnsi="Traditional Arabic" w:cs="Traditional Arabic" w:hint="cs"/>
          <w:sz w:val="30"/>
          <w:szCs w:val="30"/>
          <w:rtl/>
        </w:rPr>
        <w:t>د عليها حق الاستخدام</w:t>
      </w:r>
      <w:r w:rsidRPr="00B934CE">
        <w:rPr>
          <w:rFonts w:ascii="Traditional Arabic" w:eastAsiaTheme="majorEastAsia" w:hAnsi="Traditional Arabic" w:cs="Traditional Arabic"/>
          <w:b/>
          <w:bCs/>
          <w:sz w:val="30"/>
          <w:szCs w:val="30"/>
          <w:rtl/>
        </w:rPr>
        <w:t xml:space="preserve"> </w:t>
      </w:r>
      <w:r w:rsidRPr="00B934CE">
        <w:rPr>
          <w:rFonts w:ascii="Traditional Arabic" w:eastAsiaTheme="majorEastAsia" w:hAnsi="Traditional Arabic" w:cs="Traditional Arabic"/>
          <w:sz w:val="30"/>
          <w:szCs w:val="30"/>
          <w:rtl/>
        </w:rPr>
        <w:t xml:space="preserve">(22.3 مليون ريال عماني)، وتكلفة التمويل (16.6 مليون ريال عماني). وتم </w:t>
      </w:r>
      <w:r w:rsidRPr="00B934CE">
        <w:rPr>
          <w:rFonts w:ascii="Traditional Arabic" w:eastAsiaTheme="majorEastAsia" w:hAnsi="Traditional Arabic" w:cs="Traditional Arabic" w:hint="eastAsia"/>
          <w:sz w:val="30"/>
          <w:szCs w:val="30"/>
          <w:rtl/>
        </w:rPr>
        <w:t>تعويض</w:t>
      </w:r>
      <w:r w:rsidRPr="00B934CE">
        <w:rPr>
          <w:rFonts w:ascii="Traditional Arabic" w:eastAsiaTheme="majorEastAsia" w:hAnsi="Traditional Arabic" w:cs="Traditional Arabic"/>
          <w:sz w:val="30"/>
          <w:szCs w:val="30"/>
          <w:rtl/>
        </w:rPr>
        <w:t xml:space="preserve"> هذا الانخفاض جزئياً من خلال ارتفاع الإيرادات (15,6 مليون ريال عماني) وإيرادات التمويل (11,1 مليون ريال عماني) خلال نفس الفترة.</w:t>
      </w:r>
    </w:p>
    <w:p w14:paraId="5477C920" w14:textId="21EDA50E" w:rsidR="000C693A" w:rsidRDefault="000C693A" w:rsidP="00CD1AC2">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hint="eastAsia"/>
          <w:sz w:val="30"/>
          <w:szCs w:val="30"/>
          <w:rtl/>
        </w:rPr>
        <w:t>ارت</w:t>
      </w:r>
      <w:r w:rsidRPr="00B934CE">
        <w:rPr>
          <w:rFonts w:ascii="Traditional Arabic" w:eastAsiaTheme="majorEastAsia" w:hAnsi="Traditional Arabic" w:cs="Traditional Arabic"/>
          <w:sz w:val="30"/>
          <w:szCs w:val="30"/>
          <w:rtl/>
        </w:rPr>
        <w:t xml:space="preserve">فعت أرباح الفترة بنسبة 152.9% من 18.2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إلى 45.9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2024 تماشياً مع الانخفاض في تكلفة الإيرادات (16.0 مليون ريال عماني) وخسائر انخفاض قيمة الأصول </w:t>
      </w:r>
      <w:r w:rsidR="00F031AE">
        <w:rPr>
          <w:rFonts w:ascii="Traditional Arabic" w:eastAsiaTheme="majorEastAsia" w:hAnsi="Traditional Arabic" w:cs="Traditional Arabic" w:hint="cs"/>
          <w:sz w:val="30"/>
          <w:szCs w:val="30"/>
          <w:rtl/>
        </w:rPr>
        <w:t>التي يرد عليها حق الاستخدام</w:t>
      </w:r>
      <w:r w:rsidRPr="00B934CE">
        <w:rPr>
          <w:rFonts w:ascii="Traditional Arabic" w:eastAsiaTheme="majorEastAsia" w:hAnsi="Traditional Arabic" w:cs="Traditional Arabic"/>
          <w:sz w:val="30"/>
          <w:szCs w:val="30"/>
          <w:rtl/>
        </w:rPr>
        <w:t xml:space="preserve"> (22.3 مليون ريال عماني).</w:t>
      </w:r>
    </w:p>
    <w:p w14:paraId="126BAAC4" w14:textId="77777777" w:rsidR="00596482" w:rsidRPr="00B934CE" w:rsidRDefault="00596482" w:rsidP="00596482">
      <w:pPr>
        <w:pStyle w:val="4"/>
        <w:spacing w:before="0" w:after="120"/>
        <w:rPr>
          <w:rFonts w:ascii="Traditional Arabic" w:hAnsi="Traditional Arabic" w:cs="Traditional Arabic"/>
          <w:i/>
          <w:iCs/>
          <w:color w:val="auto"/>
          <w:sz w:val="30"/>
          <w:szCs w:val="30"/>
          <w:rtl/>
        </w:rPr>
      </w:pPr>
      <w:r w:rsidRPr="00B934CE">
        <w:rPr>
          <w:rFonts w:ascii="Traditional Arabic" w:hAnsi="Traditional Arabic" w:cs="Traditional Arabic"/>
          <w:i/>
          <w:iCs/>
          <w:color w:val="auto"/>
          <w:sz w:val="30"/>
          <w:szCs w:val="30"/>
          <w:rtl/>
        </w:rPr>
        <w:lastRenderedPageBreak/>
        <w:t xml:space="preserve">الإيرادات حسب النوع </w:t>
      </w:r>
    </w:p>
    <w:p w14:paraId="4782E863" w14:textId="77777777" w:rsidR="00596482" w:rsidRPr="00B934CE" w:rsidRDefault="00596482" w:rsidP="00B934CE">
      <w:pPr>
        <w:tabs>
          <w:tab w:val="left" w:pos="9270"/>
        </w:tabs>
        <w:bidi/>
        <w:jc w:val="both"/>
        <w:rPr>
          <w:rFonts w:ascii="Traditional Arabic" w:eastAsia="Calibri" w:hAnsi="Traditional Arabic" w:cs="Traditional Arabic"/>
          <w:i/>
          <w:iCs/>
          <w:sz w:val="30"/>
          <w:szCs w:val="30"/>
          <w:rtl/>
        </w:rPr>
      </w:pPr>
      <w:r w:rsidRPr="00B934CE">
        <w:rPr>
          <w:rFonts w:ascii="Traditional Arabic" w:eastAsia="Calibri" w:hAnsi="Traditional Arabic" w:cs="Traditional Arabic"/>
          <w:i/>
          <w:iCs/>
          <w:sz w:val="30"/>
          <w:szCs w:val="30"/>
          <w:rtl/>
        </w:rPr>
        <w:t>الجدول‏:</w:t>
      </w:r>
      <w:r w:rsidRPr="00B934CE">
        <w:rPr>
          <w:rFonts w:ascii="Traditional Arabic" w:eastAsia="Calibri" w:hAnsi="Traditional Arabic" w:cs="Traditional Arabic"/>
          <w:b/>
          <w:bCs/>
          <w:i/>
          <w:iCs/>
          <w:sz w:val="30"/>
          <w:szCs w:val="30"/>
          <w:rtl/>
        </w:rPr>
        <w:t xml:space="preserve"> </w:t>
      </w:r>
      <w:r w:rsidRPr="00B934CE">
        <w:rPr>
          <w:rFonts w:ascii="Traditional Arabic" w:eastAsia="Calibri" w:hAnsi="Traditional Arabic" w:cs="Traditional Arabic"/>
          <w:i/>
          <w:iCs/>
          <w:sz w:val="30"/>
          <w:szCs w:val="30"/>
          <w:rtl/>
        </w:rPr>
        <w:t xml:space="preserve">الإيرادات </w:t>
      </w:r>
      <w:r w:rsidRPr="00B934CE">
        <w:rPr>
          <w:rFonts w:ascii="Traditional Arabic" w:eastAsia="Calibri" w:hAnsi="Traditional Arabic" w:cs="Traditional Arabic" w:hint="eastAsia"/>
          <w:i/>
          <w:iCs/>
          <w:sz w:val="30"/>
          <w:szCs w:val="30"/>
          <w:rtl/>
        </w:rPr>
        <w:t>حسب</w:t>
      </w:r>
      <w:r w:rsidRPr="00B934CE">
        <w:rPr>
          <w:rFonts w:ascii="Traditional Arabic" w:eastAsia="Calibri" w:hAnsi="Traditional Arabic" w:cs="Traditional Arabic"/>
          <w:i/>
          <w:iCs/>
          <w:sz w:val="30"/>
          <w:szCs w:val="30"/>
          <w:rtl/>
        </w:rPr>
        <w:t xml:space="preserve"> النوع للسنوات المالية المنتهية في 31 ديسمبر 2021، 2022، و2023، وفترتي التسعة أشهر المنتهيتين في 30 سبتمبر 2023 و2024:</w:t>
      </w:r>
    </w:p>
    <w:tbl>
      <w:tblPr>
        <w:bidiVisual/>
        <w:tblW w:w="9377" w:type="dxa"/>
        <w:tblLook w:val="04A0" w:firstRow="1" w:lastRow="0" w:firstColumn="1" w:lastColumn="0" w:noHBand="0" w:noVBand="1"/>
      </w:tblPr>
      <w:tblGrid>
        <w:gridCol w:w="938"/>
        <w:gridCol w:w="1001"/>
        <w:gridCol w:w="1001"/>
        <w:gridCol w:w="1001"/>
        <w:gridCol w:w="839"/>
        <w:gridCol w:w="839"/>
        <w:gridCol w:w="839"/>
        <w:gridCol w:w="1040"/>
        <w:gridCol w:w="1040"/>
        <w:gridCol w:w="839"/>
      </w:tblGrid>
      <w:tr w:rsidR="00D623FD" w:rsidRPr="00D623FD" w14:paraId="5A04DFD6" w14:textId="77777777" w:rsidTr="00922116">
        <w:trPr>
          <w:trHeight w:val="20"/>
        </w:trPr>
        <w:tc>
          <w:tcPr>
            <w:tcW w:w="1256" w:type="dxa"/>
            <w:shd w:val="clear" w:color="auto" w:fill="0B3D85"/>
            <w:vAlign w:val="center"/>
          </w:tcPr>
          <w:p w14:paraId="0419E6E0"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بآلاف الريالات العمانية</w:t>
            </w:r>
          </w:p>
        </w:tc>
        <w:tc>
          <w:tcPr>
            <w:tcW w:w="891" w:type="dxa"/>
            <w:shd w:val="clear" w:color="auto" w:fill="0B3D85"/>
            <w:vAlign w:val="center"/>
          </w:tcPr>
          <w:p w14:paraId="70BAC8BC" w14:textId="77777777" w:rsidR="00596482" w:rsidRPr="00B934CE" w:rsidRDefault="00596482"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2021</w:t>
            </w:r>
          </w:p>
          <w:p w14:paraId="48B3B853"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891" w:type="dxa"/>
            <w:shd w:val="clear" w:color="auto" w:fill="0B3D85"/>
            <w:vAlign w:val="center"/>
          </w:tcPr>
          <w:p w14:paraId="31B334E0" w14:textId="77777777" w:rsidR="00596482" w:rsidRPr="00B934CE" w:rsidRDefault="00596482"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2022</w:t>
            </w:r>
          </w:p>
          <w:p w14:paraId="43003E5B"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891" w:type="dxa"/>
            <w:shd w:val="clear" w:color="auto" w:fill="0B3D85"/>
            <w:vAlign w:val="center"/>
          </w:tcPr>
          <w:p w14:paraId="7B64FFBF" w14:textId="77777777" w:rsidR="00596482" w:rsidRPr="00B934CE" w:rsidRDefault="00596482"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2023</w:t>
            </w:r>
          </w:p>
          <w:p w14:paraId="6CB448A8"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782" w:type="dxa"/>
            <w:shd w:val="clear" w:color="auto" w:fill="0B3D85"/>
            <w:vAlign w:val="center"/>
          </w:tcPr>
          <w:p w14:paraId="5B54420D"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2021- 2022</w:t>
            </w:r>
          </w:p>
        </w:tc>
        <w:tc>
          <w:tcPr>
            <w:tcW w:w="813" w:type="dxa"/>
            <w:shd w:val="clear" w:color="auto" w:fill="0B3D85"/>
            <w:vAlign w:val="center"/>
          </w:tcPr>
          <w:p w14:paraId="4A76D1A7"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2022- 2023</w:t>
            </w:r>
          </w:p>
        </w:tc>
        <w:tc>
          <w:tcPr>
            <w:tcW w:w="782" w:type="dxa"/>
            <w:shd w:val="clear" w:color="auto" w:fill="0B3D85"/>
            <w:vAlign w:val="center"/>
          </w:tcPr>
          <w:p w14:paraId="4B55C0D8"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معدل النمو المركب 2021-2023</w:t>
            </w:r>
          </w:p>
        </w:tc>
        <w:tc>
          <w:tcPr>
            <w:tcW w:w="1146" w:type="dxa"/>
            <w:shd w:val="clear" w:color="auto" w:fill="0B3D85"/>
            <w:vAlign w:val="center"/>
          </w:tcPr>
          <w:p w14:paraId="33D3FBC1" w14:textId="77777777" w:rsidR="00596482" w:rsidRPr="00B934CE" w:rsidRDefault="00596482"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2023</w:t>
            </w:r>
          </w:p>
          <w:p w14:paraId="666DFA6C" w14:textId="77777777" w:rsidR="00596482" w:rsidRPr="00B934CE" w:rsidRDefault="00596482"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1146" w:type="dxa"/>
            <w:shd w:val="clear" w:color="auto" w:fill="0B3D85"/>
            <w:vAlign w:val="center"/>
          </w:tcPr>
          <w:p w14:paraId="242CDCE0" w14:textId="77777777" w:rsidR="00596482" w:rsidRPr="00B934CE" w:rsidRDefault="00596482"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2024</w:t>
            </w:r>
          </w:p>
          <w:p w14:paraId="68223678" w14:textId="77777777" w:rsidR="00596482" w:rsidRPr="00B934CE" w:rsidRDefault="00596482"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779" w:type="dxa"/>
            <w:shd w:val="clear" w:color="auto" w:fill="0B3D85"/>
            <w:vAlign w:val="center"/>
          </w:tcPr>
          <w:p w14:paraId="0390832C" w14:textId="77777777" w:rsidR="00596482" w:rsidRPr="00B934CE" w:rsidRDefault="00596482"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التغير للفترة 2023-2024</w:t>
            </w:r>
          </w:p>
        </w:tc>
      </w:tr>
      <w:tr w:rsidR="00D623FD" w:rsidRPr="00D623FD" w14:paraId="58981273" w14:textId="77777777" w:rsidTr="00922116">
        <w:trPr>
          <w:trHeight w:val="20"/>
        </w:trPr>
        <w:tc>
          <w:tcPr>
            <w:tcW w:w="1256" w:type="dxa"/>
            <w:tcBorders>
              <w:bottom w:val="single" w:sz="4" w:space="0" w:color="0B3D85"/>
            </w:tcBorders>
            <w:shd w:val="clear" w:color="auto" w:fill="FFFFFF" w:themeFill="background1"/>
            <w:vAlign w:val="center"/>
          </w:tcPr>
          <w:p w14:paraId="080BFF12" w14:textId="77777777" w:rsidR="00596482" w:rsidRPr="00B934CE" w:rsidRDefault="00596482" w:rsidP="00B934CE">
            <w:pPr>
              <w:bidi/>
              <w:rPr>
                <w:rFonts w:ascii="Traditional Arabic" w:eastAsia="Calibri" w:hAnsi="Traditional Arabic" w:cs="Traditional Arabic"/>
                <w:sz w:val="24"/>
                <w:rtl/>
              </w:rPr>
            </w:pPr>
            <w:r w:rsidRPr="00240371">
              <w:rPr>
                <w:rFonts w:ascii="Traditional Arabic" w:hAnsi="Traditional Arabic" w:cs="Traditional Arabic"/>
                <w:color w:val="000000"/>
                <w:sz w:val="24"/>
                <w:rtl/>
                <w:lang w:bidi="ar"/>
              </w:rPr>
              <w:t xml:space="preserve">إيرادات </w:t>
            </w:r>
            <w:r w:rsidRPr="00B934CE">
              <w:rPr>
                <w:rFonts w:ascii="Traditional Arabic" w:eastAsia="Calibri" w:hAnsi="Traditional Arabic" w:cs="Traditional Arabic"/>
                <w:sz w:val="24"/>
                <w:rtl/>
              </w:rPr>
              <w:t>من العقود مع العملاء</w:t>
            </w:r>
          </w:p>
        </w:tc>
        <w:tc>
          <w:tcPr>
            <w:tcW w:w="891" w:type="dxa"/>
            <w:tcBorders>
              <w:bottom w:val="single" w:sz="4" w:space="0" w:color="0B3D85"/>
            </w:tcBorders>
            <w:shd w:val="clear" w:color="auto" w:fill="FFFFFF" w:themeFill="background1"/>
            <w:vAlign w:val="center"/>
          </w:tcPr>
          <w:p w14:paraId="4F44FF59"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186,881</w:t>
            </w:r>
          </w:p>
        </w:tc>
        <w:tc>
          <w:tcPr>
            <w:tcW w:w="891" w:type="dxa"/>
            <w:tcBorders>
              <w:bottom w:val="single" w:sz="4" w:space="0" w:color="0B3D85"/>
            </w:tcBorders>
            <w:shd w:val="clear" w:color="auto" w:fill="FFFFFF" w:themeFill="background1"/>
            <w:vAlign w:val="center"/>
          </w:tcPr>
          <w:p w14:paraId="2504E0CF"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266,420</w:t>
            </w:r>
          </w:p>
        </w:tc>
        <w:tc>
          <w:tcPr>
            <w:tcW w:w="891" w:type="dxa"/>
            <w:tcBorders>
              <w:bottom w:val="single" w:sz="4" w:space="0" w:color="0B3D85"/>
            </w:tcBorders>
            <w:shd w:val="clear" w:color="auto" w:fill="FFFFFF" w:themeFill="background1"/>
            <w:vAlign w:val="center"/>
          </w:tcPr>
          <w:p w14:paraId="4731391E" w14:textId="77777777" w:rsidR="00596482" w:rsidRPr="00B934CE" w:rsidRDefault="00596482"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217,006</w:t>
            </w:r>
          </w:p>
        </w:tc>
        <w:tc>
          <w:tcPr>
            <w:tcW w:w="782" w:type="dxa"/>
            <w:tcBorders>
              <w:bottom w:val="single" w:sz="4" w:space="0" w:color="0B3D85"/>
            </w:tcBorders>
            <w:shd w:val="clear" w:color="auto" w:fill="FFFFFF" w:themeFill="background1"/>
            <w:vAlign w:val="center"/>
          </w:tcPr>
          <w:p w14:paraId="46691E85"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42.6%</w:t>
            </w:r>
          </w:p>
        </w:tc>
        <w:tc>
          <w:tcPr>
            <w:tcW w:w="813" w:type="dxa"/>
            <w:tcBorders>
              <w:bottom w:val="single" w:sz="4" w:space="0" w:color="0B3D85"/>
            </w:tcBorders>
            <w:shd w:val="clear" w:color="auto" w:fill="FFFFFF" w:themeFill="background1"/>
            <w:vAlign w:val="center"/>
          </w:tcPr>
          <w:p w14:paraId="49C4C05D"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(18.5%)</w:t>
            </w:r>
          </w:p>
        </w:tc>
        <w:tc>
          <w:tcPr>
            <w:tcW w:w="782" w:type="dxa"/>
            <w:tcBorders>
              <w:bottom w:val="single" w:sz="4" w:space="0" w:color="0B3D85"/>
            </w:tcBorders>
            <w:shd w:val="clear" w:color="auto" w:fill="FFFFFF" w:themeFill="background1"/>
            <w:vAlign w:val="center"/>
          </w:tcPr>
          <w:p w14:paraId="1C1486C8"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7.8%</w:t>
            </w:r>
          </w:p>
        </w:tc>
        <w:tc>
          <w:tcPr>
            <w:tcW w:w="1146" w:type="dxa"/>
            <w:tcBorders>
              <w:bottom w:val="single" w:sz="4" w:space="0" w:color="0B3D85"/>
            </w:tcBorders>
            <w:shd w:val="clear" w:color="auto" w:fill="FFFFFF" w:themeFill="background1"/>
            <w:vAlign w:val="center"/>
          </w:tcPr>
          <w:p w14:paraId="5A8355B6"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112,211</w:t>
            </w:r>
          </w:p>
        </w:tc>
        <w:tc>
          <w:tcPr>
            <w:tcW w:w="1146" w:type="dxa"/>
            <w:tcBorders>
              <w:bottom w:val="single" w:sz="4" w:space="0" w:color="0B3D85"/>
            </w:tcBorders>
            <w:shd w:val="clear" w:color="auto" w:fill="FFFFFF" w:themeFill="background1"/>
            <w:vAlign w:val="center"/>
          </w:tcPr>
          <w:p w14:paraId="7B7C03A6"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81,291</w:t>
            </w:r>
          </w:p>
        </w:tc>
        <w:tc>
          <w:tcPr>
            <w:tcW w:w="779" w:type="dxa"/>
            <w:tcBorders>
              <w:bottom w:val="single" w:sz="4" w:space="0" w:color="0B3D85"/>
            </w:tcBorders>
            <w:shd w:val="clear" w:color="auto" w:fill="FFFFFF" w:themeFill="background1"/>
            <w:vAlign w:val="center"/>
          </w:tcPr>
          <w:p w14:paraId="5FA50405"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(27.6%)</w:t>
            </w:r>
          </w:p>
        </w:tc>
      </w:tr>
      <w:tr w:rsidR="00D623FD" w:rsidRPr="00D623FD" w14:paraId="3BD21903" w14:textId="77777777" w:rsidTr="00922116">
        <w:trPr>
          <w:trHeight w:val="20"/>
        </w:trPr>
        <w:tc>
          <w:tcPr>
            <w:tcW w:w="1256" w:type="dxa"/>
            <w:tcBorders>
              <w:top w:val="single" w:sz="4" w:space="0" w:color="0B3D85"/>
              <w:bottom w:val="single" w:sz="4" w:space="0" w:color="0B3D85"/>
            </w:tcBorders>
            <w:shd w:val="clear" w:color="auto" w:fill="FFFFFF" w:themeFill="background1"/>
            <w:vAlign w:val="center"/>
          </w:tcPr>
          <w:p w14:paraId="5D08AF6D" w14:textId="77777777" w:rsidR="00596482" w:rsidRPr="00B934CE" w:rsidRDefault="00596482" w:rsidP="00B934CE">
            <w:pPr>
              <w:bidi/>
              <w:rPr>
                <w:rFonts w:ascii="Traditional Arabic" w:eastAsia="Calibri" w:hAnsi="Traditional Arabic" w:cs="Traditional Arabic"/>
                <w:sz w:val="24"/>
                <w:rtl/>
              </w:rPr>
            </w:pPr>
            <w:r w:rsidRPr="00240371">
              <w:rPr>
                <w:rFonts w:ascii="Traditional Arabic" w:hAnsi="Traditional Arabic" w:cs="Traditional Arabic"/>
                <w:color w:val="000000"/>
                <w:sz w:val="24"/>
                <w:rtl/>
                <w:lang w:bidi="ar"/>
              </w:rPr>
              <w:t xml:space="preserve">إيرادات الإيجار التشغيلي </w:t>
            </w:r>
          </w:p>
        </w:tc>
        <w:tc>
          <w:tcPr>
            <w:tcW w:w="891" w:type="dxa"/>
            <w:tcBorders>
              <w:top w:val="single" w:sz="4" w:space="0" w:color="0B3D85"/>
              <w:bottom w:val="single" w:sz="4" w:space="0" w:color="0B3D85"/>
            </w:tcBorders>
            <w:shd w:val="clear" w:color="auto" w:fill="FFFFFF" w:themeFill="background1"/>
            <w:vAlign w:val="center"/>
          </w:tcPr>
          <w:p w14:paraId="313EC6C9"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38,394</w:t>
            </w:r>
          </w:p>
        </w:tc>
        <w:tc>
          <w:tcPr>
            <w:tcW w:w="891" w:type="dxa"/>
            <w:tcBorders>
              <w:top w:val="single" w:sz="4" w:space="0" w:color="0B3D85"/>
              <w:bottom w:val="single" w:sz="4" w:space="0" w:color="0B3D85"/>
            </w:tcBorders>
            <w:shd w:val="clear" w:color="auto" w:fill="FFFFFF" w:themeFill="background1"/>
            <w:vAlign w:val="center"/>
          </w:tcPr>
          <w:p w14:paraId="505CCCDC"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63,901</w:t>
            </w:r>
          </w:p>
        </w:tc>
        <w:tc>
          <w:tcPr>
            <w:tcW w:w="891" w:type="dxa"/>
            <w:tcBorders>
              <w:top w:val="single" w:sz="4" w:space="0" w:color="0B3D85"/>
              <w:bottom w:val="single" w:sz="4" w:space="0" w:color="0B3D85"/>
            </w:tcBorders>
            <w:shd w:val="clear" w:color="auto" w:fill="FFFFFF" w:themeFill="background1"/>
            <w:vAlign w:val="center"/>
          </w:tcPr>
          <w:p w14:paraId="132BE479"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129,755</w:t>
            </w:r>
          </w:p>
        </w:tc>
        <w:tc>
          <w:tcPr>
            <w:tcW w:w="782" w:type="dxa"/>
            <w:tcBorders>
              <w:top w:val="single" w:sz="4" w:space="0" w:color="0B3D85"/>
              <w:bottom w:val="single" w:sz="4" w:space="0" w:color="0B3D85"/>
            </w:tcBorders>
            <w:shd w:val="clear" w:color="auto" w:fill="FFFFFF" w:themeFill="background1"/>
            <w:vAlign w:val="center"/>
          </w:tcPr>
          <w:p w14:paraId="15E8B38D"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66.4%</w:t>
            </w:r>
          </w:p>
        </w:tc>
        <w:tc>
          <w:tcPr>
            <w:tcW w:w="813" w:type="dxa"/>
            <w:tcBorders>
              <w:top w:val="single" w:sz="4" w:space="0" w:color="0B3D85"/>
              <w:bottom w:val="single" w:sz="4" w:space="0" w:color="0B3D85"/>
            </w:tcBorders>
            <w:shd w:val="clear" w:color="auto" w:fill="FFFFFF" w:themeFill="background1"/>
            <w:vAlign w:val="center"/>
          </w:tcPr>
          <w:p w14:paraId="1B3CE78A"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103.1%</w:t>
            </w:r>
          </w:p>
        </w:tc>
        <w:tc>
          <w:tcPr>
            <w:tcW w:w="782" w:type="dxa"/>
            <w:tcBorders>
              <w:top w:val="single" w:sz="4" w:space="0" w:color="0B3D85"/>
              <w:bottom w:val="single" w:sz="4" w:space="0" w:color="0B3D85"/>
            </w:tcBorders>
            <w:shd w:val="clear" w:color="auto" w:fill="FFFFFF" w:themeFill="background1"/>
            <w:vAlign w:val="center"/>
          </w:tcPr>
          <w:p w14:paraId="0A8B5F45"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83.8%</w:t>
            </w:r>
          </w:p>
        </w:tc>
        <w:tc>
          <w:tcPr>
            <w:tcW w:w="1146" w:type="dxa"/>
            <w:tcBorders>
              <w:top w:val="single" w:sz="4" w:space="0" w:color="0B3D85"/>
              <w:bottom w:val="single" w:sz="4" w:space="0" w:color="0B3D85"/>
            </w:tcBorders>
            <w:shd w:val="clear" w:color="auto" w:fill="FFFFFF" w:themeFill="background1"/>
            <w:vAlign w:val="center"/>
          </w:tcPr>
          <w:p w14:paraId="1FD28E25"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149,625</w:t>
            </w:r>
          </w:p>
        </w:tc>
        <w:tc>
          <w:tcPr>
            <w:tcW w:w="1146" w:type="dxa"/>
            <w:tcBorders>
              <w:top w:val="single" w:sz="4" w:space="0" w:color="0B3D85"/>
              <w:bottom w:val="single" w:sz="4" w:space="0" w:color="0B3D85"/>
            </w:tcBorders>
            <w:shd w:val="clear" w:color="auto" w:fill="FFFFFF" w:themeFill="background1"/>
            <w:vAlign w:val="center"/>
          </w:tcPr>
          <w:p w14:paraId="6BA3DE22"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181,421</w:t>
            </w:r>
          </w:p>
        </w:tc>
        <w:tc>
          <w:tcPr>
            <w:tcW w:w="779" w:type="dxa"/>
            <w:tcBorders>
              <w:top w:val="single" w:sz="4" w:space="0" w:color="0B3D85"/>
              <w:bottom w:val="single" w:sz="4" w:space="0" w:color="0B3D85"/>
            </w:tcBorders>
            <w:shd w:val="clear" w:color="auto" w:fill="FFFFFF" w:themeFill="background1"/>
            <w:vAlign w:val="center"/>
          </w:tcPr>
          <w:p w14:paraId="088D9D24"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21.3%</w:t>
            </w:r>
          </w:p>
        </w:tc>
      </w:tr>
      <w:tr w:rsidR="00D623FD" w:rsidRPr="00D623FD" w14:paraId="294FA0B5" w14:textId="77777777" w:rsidTr="00922116">
        <w:trPr>
          <w:trHeight w:val="58"/>
        </w:trPr>
        <w:tc>
          <w:tcPr>
            <w:tcW w:w="1256" w:type="dxa"/>
            <w:tcBorders>
              <w:top w:val="single" w:sz="4" w:space="0" w:color="0B3D85"/>
              <w:bottom w:val="single" w:sz="4" w:space="0" w:color="0B3D85"/>
            </w:tcBorders>
            <w:shd w:val="clear" w:color="auto" w:fill="FFFFFF" w:themeFill="background1"/>
            <w:vAlign w:val="center"/>
          </w:tcPr>
          <w:p w14:paraId="06166501" w14:textId="77777777" w:rsidR="00596482" w:rsidRPr="00B934CE" w:rsidRDefault="00596482" w:rsidP="00B934CE">
            <w:pPr>
              <w:bidi/>
              <w:rPr>
                <w:rFonts w:ascii="Traditional Arabic" w:eastAsia="Calibri" w:hAnsi="Traditional Arabic" w:cs="Traditional Arabic"/>
                <w:sz w:val="24"/>
                <w:rtl/>
              </w:rPr>
            </w:pPr>
            <w:r w:rsidRPr="00240371">
              <w:rPr>
                <w:rFonts w:ascii="Traditional Arabic" w:hAnsi="Traditional Arabic" w:cs="Traditional Arabic"/>
                <w:color w:val="000000"/>
                <w:sz w:val="24"/>
                <w:rtl/>
                <w:lang w:bidi="ar"/>
              </w:rPr>
              <w:t>إيرادات الإيجار التمويلي</w:t>
            </w:r>
          </w:p>
        </w:tc>
        <w:tc>
          <w:tcPr>
            <w:tcW w:w="891" w:type="dxa"/>
            <w:tcBorders>
              <w:top w:val="single" w:sz="4" w:space="0" w:color="0B3D85"/>
              <w:bottom w:val="single" w:sz="4" w:space="0" w:color="0B3D85"/>
            </w:tcBorders>
            <w:shd w:val="clear" w:color="auto" w:fill="FFFFFF" w:themeFill="background1"/>
            <w:vAlign w:val="center"/>
          </w:tcPr>
          <w:p w14:paraId="242D93D5"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18,541</w:t>
            </w:r>
          </w:p>
        </w:tc>
        <w:tc>
          <w:tcPr>
            <w:tcW w:w="891" w:type="dxa"/>
            <w:tcBorders>
              <w:top w:val="single" w:sz="4" w:space="0" w:color="0B3D85"/>
              <w:bottom w:val="single" w:sz="4" w:space="0" w:color="0B3D85"/>
            </w:tcBorders>
            <w:shd w:val="clear" w:color="auto" w:fill="FFFFFF" w:themeFill="background1"/>
            <w:vAlign w:val="center"/>
          </w:tcPr>
          <w:p w14:paraId="038D1C43"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17,796</w:t>
            </w:r>
          </w:p>
        </w:tc>
        <w:tc>
          <w:tcPr>
            <w:tcW w:w="891" w:type="dxa"/>
            <w:tcBorders>
              <w:top w:val="single" w:sz="4" w:space="0" w:color="0B3D85"/>
              <w:bottom w:val="single" w:sz="4" w:space="0" w:color="0B3D85"/>
            </w:tcBorders>
            <w:shd w:val="clear" w:color="auto" w:fill="FFFFFF" w:themeFill="background1"/>
            <w:vAlign w:val="center"/>
          </w:tcPr>
          <w:p w14:paraId="5781ED90"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16,956</w:t>
            </w:r>
          </w:p>
        </w:tc>
        <w:tc>
          <w:tcPr>
            <w:tcW w:w="782" w:type="dxa"/>
            <w:tcBorders>
              <w:top w:val="single" w:sz="4" w:space="0" w:color="0B3D85"/>
              <w:bottom w:val="single" w:sz="4" w:space="0" w:color="0B3D85"/>
            </w:tcBorders>
            <w:shd w:val="clear" w:color="auto" w:fill="FFFFFF" w:themeFill="background1"/>
            <w:vAlign w:val="center"/>
          </w:tcPr>
          <w:p w14:paraId="2E838222"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w:t>
            </w:r>
          </w:p>
        </w:tc>
        <w:tc>
          <w:tcPr>
            <w:tcW w:w="813" w:type="dxa"/>
            <w:tcBorders>
              <w:top w:val="single" w:sz="4" w:space="0" w:color="0B3D85"/>
              <w:bottom w:val="single" w:sz="4" w:space="0" w:color="0B3D85"/>
            </w:tcBorders>
            <w:shd w:val="clear" w:color="auto" w:fill="FFFFFF" w:themeFill="background1"/>
            <w:vAlign w:val="center"/>
          </w:tcPr>
          <w:p w14:paraId="06241D82"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w:t>
            </w:r>
          </w:p>
        </w:tc>
        <w:tc>
          <w:tcPr>
            <w:tcW w:w="782" w:type="dxa"/>
            <w:tcBorders>
              <w:top w:val="single" w:sz="4" w:space="0" w:color="0B3D85"/>
              <w:bottom w:val="single" w:sz="4" w:space="0" w:color="0B3D85"/>
            </w:tcBorders>
            <w:shd w:val="clear" w:color="auto" w:fill="FFFFFF" w:themeFill="background1"/>
            <w:vAlign w:val="center"/>
          </w:tcPr>
          <w:p w14:paraId="328CBED2"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(4.4%)</w:t>
            </w:r>
          </w:p>
        </w:tc>
        <w:tc>
          <w:tcPr>
            <w:tcW w:w="1146" w:type="dxa"/>
            <w:tcBorders>
              <w:top w:val="single" w:sz="4" w:space="0" w:color="0B3D85"/>
              <w:bottom w:val="single" w:sz="4" w:space="0" w:color="0B3D85"/>
            </w:tcBorders>
            <w:shd w:val="clear" w:color="auto" w:fill="FFFFFF" w:themeFill="background1"/>
            <w:vAlign w:val="center"/>
          </w:tcPr>
          <w:p w14:paraId="5C8159C6" w14:textId="77777777" w:rsidR="00596482" w:rsidRPr="00B934CE" w:rsidRDefault="00596482"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12,782</w:t>
            </w:r>
          </w:p>
        </w:tc>
        <w:tc>
          <w:tcPr>
            <w:tcW w:w="1146" w:type="dxa"/>
            <w:tcBorders>
              <w:top w:val="single" w:sz="4" w:space="0" w:color="0B3D85"/>
              <w:bottom w:val="single" w:sz="4" w:space="0" w:color="0B3D85"/>
            </w:tcBorders>
            <w:shd w:val="clear" w:color="auto" w:fill="FFFFFF" w:themeFill="background1"/>
            <w:vAlign w:val="center"/>
          </w:tcPr>
          <w:p w14:paraId="695DF8D0"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12,155</w:t>
            </w:r>
          </w:p>
        </w:tc>
        <w:tc>
          <w:tcPr>
            <w:tcW w:w="779" w:type="dxa"/>
            <w:tcBorders>
              <w:top w:val="single" w:sz="4" w:space="0" w:color="0B3D85"/>
              <w:bottom w:val="single" w:sz="4" w:space="0" w:color="0B3D85"/>
            </w:tcBorders>
            <w:shd w:val="clear" w:color="auto" w:fill="FFFFFF" w:themeFill="background1"/>
            <w:vAlign w:val="center"/>
          </w:tcPr>
          <w:p w14:paraId="551F3561"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(4.9%)</w:t>
            </w:r>
          </w:p>
        </w:tc>
      </w:tr>
      <w:tr w:rsidR="00D623FD" w:rsidRPr="00D623FD" w14:paraId="754556C7" w14:textId="77777777" w:rsidTr="00922116">
        <w:trPr>
          <w:trHeight w:val="20"/>
        </w:trPr>
        <w:tc>
          <w:tcPr>
            <w:tcW w:w="1256" w:type="dxa"/>
            <w:tcBorders>
              <w:top w:val="single" w:sz="4" w:space="0" w:color="0B3D85"/>
              <w:bottom w:val="single" w:sz="4" w:space="0" w:color="0B3D85"/>
            </w:tcBorders>
            <w:shd w:val="clear" w:color="auto" w:fill="FFFFFF" w:themeFill="background1"/>
            <w:vAlign w:val="center"/>
          </w:tcPr>
          <w:p w14:paraId="6ED50AC1" w14:textId="77777777" w:rsidR="00596482" w:rsidRPr="00B934CE" w:rsidRDefault="00596482" w:rsidP="00B934CE">
            <w:pPr>
              <w:bidi/>
              <w:rPr>
                <w:rFonts w:ascii="Traditional Arabic" w:eastAsia="Calibri" w:hAnsi="Traditional Arabic" w:cs="Traditional Arabic"/>
                <w:b/>
                <w:bCs/>
                <w:sz w:val="24"/>
                <w:rtl/>
              </w:rPr>
            </w:pPr>
            <w:r w:rsidRPr="00240371">
              <w:rPr>
                <w:rFonts w:ascii="Traditional Arabic" w:hAnsi="Traditional Arabic" w:cs="Traditional Arabic"/>
                <w:b/>
                <w:bCs/>
                <w:color w:val="000000"/>
                <w:sz w:val="24"/>
                <w:rtl/>
                <w:lang w:bidi="ar"/>
              </w:rPr>
              <w:t>الإيرادات</w:t>
            </w:r>
            <w:r w:rsidRPr="00B934CE">
              <w:rPr>
                <w:rFonts w:ascii="Traditional Arabic" w:hAnsi="Traditional Arabic" w:cs="Traditional Arabic"/>
                <w:color w:val="000000"/>
                <w:sz w:val="24"/>
                <w:rtl/>
                <w:lang w:bidi="ar"/>
              </w:rPr>
              <w:t xml:space="preserve"> </w:t>
            </w:r>
          </w:p>
        </w:tc>
        <w:tc>
          <w:tcPr>
            <w:tcW w:w="891" w:type="dxa"/>
            <w:tcBorders>
              <w:top w:val="single" w:sz="4" w:space="0" w:color="0B3D85"/>
              <w:bottom w:val="single" w:sz="4" w:space="0" w:color="0B3D85"/>
            </w:tcBorders>
            <w:shd w:val="clear" w:color="auto" w:fill="FFFFFF" w:themeFill="background1"/>
            <w:vAlign w:val="center"/>
          </w:tcPr>
          <w:p w14:paraId="7E0A877E"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243,816</w:t>
            </w:r>
          </w:p>
        </w:tc>
        <w:tc>
          <w:tcPr>
            <w:tcW w:w="891" w:type="dxa"/>
            <w:tcBorders>
              <w:top w:val="single" w:sz="4" w:space="0" w:color="0B3D85"/>
              <w:bottom w:val="single" w:sz="4" w:space="0" w:color="0B3D85"/>
            </w:tcBorders>
            <w:shd w:val="clear" w:color="auto" w:fill="FFFFFF" w:themeFill="background1"/>
            <w:vAlign w:val="center"/>
          </w:tcPr>
          <w:p w14:paraId="74FCF6DD"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348,117</w:t>
            </w:r>
          </w:p>
        </w:tc>
        <w:tc>
          <w:tcPr>
            <w:tcW w:w="891" w:type="dxa"/>
            <w:tcBorders>
              <w:top w:val="single" w:sz="4" w:space="0" w:color="0B3D85"/>
              <w:bottom w:val="single" w:sz="4" w:space="0" w:color="0B3D85"/>
            </w:tcBorders>
            <w:shd w:val="clear" w:color="auto" w:fill="FFFFFF" w:themeFill="background1"/>
            <w:vAlign w:val="center"/>
          </w:tcPr>
          <w:p w14:paraId="2797737F"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363,717</w:t>
            </w:r>
          </w:p>
        </w:tc>
        <w:tc>
          <w:tcPr>
            <w:tcW w:w="782" w:type="dxa"/>
            <w:tcBorders>
              <w:top w:val="single" w:sz="4" w:space="0" w:color="0B3D85"/>
              <w:bottom w:val="single" w:sz="4" w:space="0" w:color="0B3D85"/>
            </w:tcBorders>
            <w:shd w:val="clear" w:color="auto" w:fill="FFFFFF" w:themeFill="background1"/>
            <w:vAlign w:val="center"/>
          </w:tcPr>
          <w:p w14:paraId="7836A8AC"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42.8%</w:t>
            </w:r>
          </w:p>
        </w:tc>
        <w:tc>
          <w:tcPr>
            <w:tcW w:w="813" w:type="dxa"/>
            <w:tcBorders>
              <w:top w:val="single" w:sz="4" w:space="0" w:color="0B3D85"/>
              <w:bottom w:val="single" w:sz="4" w:space="0" w:color="0B3D85"/>
            </w:tcBorders>
            <w:shd w:val="clear" w:color="auto" w:fill="FFFFFF" w:themeFill="background1"/>
            <w:vAlign w:val="center"/>
          </w:tcPr>
          <w:p w14:paraId="63F1D102"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4.5%</w:t>
            </w:r>
          </w:p>
        </w:tc>
        <w:tc>
          <w:tcPr>
            <w:tcW w:w="782" w:type="dxa"/>
            <w:tcBorders>
              <w:top w:val="single" w:sz="4" w:space="0" w:color="0B3D85"/>
              <w:bottom w:val="single" w:sz="4" w:space="0" w:color="0B3D85"/>
            </w:tcBorders>
            <w:shd w:val="clear" w:color="auto" w:fill="FFFFFF" w:themeFill="background1"/>
            <w:vAlign w:val="center"/>
          </w:tcPr>
          <w:p w14:paraId="4EEC23C0"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22.1%</w:t>
            </w:r>
          </w:p>
        </w:tc>
        <w:tc>
          <w:tcPr>
            <w:tcW w:w="1146" w:type="dxa"/>
            <w:tcBorders>
              <w:top w:val="single" w:sz="4" w:space="0" w:color="0B3D85"/>
              <w:bottom w:val="single" w:sz="4" w:space="0" w:color="0B3D85"/>
            </w:tcBorders>
            <w:shd w:val="clear" w:color="auto" w:fill="FFFFFF" w:themeFill="background1"/>
            <w:vAlign w:val="center"/>
          </w:tcPr>
          <w:p w14:paraId="5424576A"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274,617</w:t>
            </w:r>
          </w:p>
        </w:tc>
        <w:tc>
          <w:tcPr>
            <w:tcW w:w="1146" w:type="dxa"/>
            <w:tcBorders>
              <w:top w:val="single" w:sz="4" w:space="0" w:color="0B3D85"/>
              <w:bottom w:val="single" w:sz="4" w:space="0" w:color="0B3D85"/>
            </w:tcBorders>
            <w:shd w:val="clear" w:color="auto" w:fill="FFFFFF" w:themeFill="background1"/>
            <w:vAlign w:val="center"/>
          </w:tcPr>
          <w:p w14:paraId="113A4F1C"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274,867</w:t>
            </w:r>
          </w:p>
        </w:tc>
        <w:tc>
          <w:tcPr>
            <w:tcW w:w="779" w:type="dxa"/>
            <w:tcBorders>
              <w:top w:val="single" w:sz="4" w:space="0" w:color="0B3D85"/>
              <w:bottom w:val="single" w:sz="4" w:space="0" w:color="0B3D85"/>
            </w:tcBorders>
            <w:shd w:val="clear" w:color="auto" w:fill="FFFFFF" w:themeFill="background1"/>
            <w:vAlign w:val="center"/>
          </w:tcPr>
          <w:p w14:paraId="04F9913C" w14:textId="77777777" w:rsidR="00596482" w:rsidRPr="00B934CE" w:rsidRDefault="00596482"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0.1%</w:t>
            </w:r>
          </w:p>
        </w:tc>
      </w:tr>
      <w:tr w:rsidR="00596482" w:rsidRPr="00D623FD" w14:paraId="6C862761" w14:textId="77777777" w:rsidTr="00922116">
        <w:trPr>
          <w:trHeight w:val="179"/>
        </w:trPr>
        <w:tc>
          <w:tcPr>
            <w:tcW w:w="1256" w:type="dxa"/>
            <w:tcBorders>
              <w:top w:val="single" w:sz="4" w:space="0" w:color="0B3D85"/>
              <w:bottom w:val="single" w:sz="4" w:space="0" w:color="0B3D85"/>
            </w:tcBorders>
            <w:shd w:val="clear" w:color="auto" w:fill="F2F2F2" w:themeFill="background1" w:themeFillShade="F2"/>
            <w:vAlign w:val="center"/>
          </w:tcPr>
          <w:p w14:paraId="001F020A" w14:textId="77777777" w:rsidR="00596482" w:rsidRPr="00B934CE" w:rsidRDefault="00596482" w:rsidP="00B934CE">
            <w:pPr>
              <w:bidi/>
              <w:rPr>
                <w:rFonts w:ascii="Traditional Arabic" w:eastAsia="Calibri" w:hAnsi="Traditional Arabic" w:cs="Traditional Arabic"/>
                <w:b/>
                <w:bCs/>
                <w:sz w:val="24"/>
                <w:rtl/>
              </w:rPr>
            </w:pPr>
          </w:p>
        </w:tc>
        <w:tc>
          <w:tcPr>
            <w:tcW w:w="2673" w:type="dxa"/>
            <w:gridSpan w:val="3"/>
            <w:tcBorders>
              <w:top w:val="single" w:sz="4" w:space="0" w:color="0B3D85"/>
              <w:bottom w:val="single" w:sz="4" w:space="0" w:color="0B3D85"/>
            </w:tcBorders>
            <w:shd w:val="clear" w:color="auto" w:fill="F2F2F2" w:themeFill="background1" w:themeFillShade="F2"/>
            <w:vAlign w:val="center"/>
          </w:tcPr>
          <w:p w14:paraId="409DE2EB" w14:textId="77777777" w:rsidR="00596482" w:rsidRPr="00B934CE" w:rsidRDefault="00596482"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كنسبة مئوية من إجمالي الإيرادات</w:t>
            </w:r>
          </w:p>
        </w:tc>
        <w:tc>
          <w:tcPr>
            <w:tcW w:w="2377" w:type="dxa"/>
            <w:gridSpan w:val="3"/>
            <w:tcBorders>
              <w:top w:val="single" w:sz="4" w:space="0" w:color="0B3D85"/>
              <w:bottom w:val="single" w:sz="4" w:space="0" w:color="0B3D85"/>
            </w:tcBorders>
            <w:shd w:val="clear" w:color="auto" w:fill="F2F2F2" w:themeFill="background1" w:themeFillShade="F2"/>
            <w:vAlign w:val="center"/>
          </w:tcPr>
          <w:p w14:paraId="04172E70" w14:textId="77777777" w:rsidR="00596482" w:rsidRPr="00B934CE" w:rsidRDefault="00596482"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c>
          <w:tcPr>
            <w:tcW w:w="2292" w:type="dxa"/>
            <w:gridSpan w:val="2"/>
            <w:tcBorders>
              <w:top w:val="single" w:sz="4" w:space="0" w:color="0B3D85"/>
              <w:bottom w:val="single" w:sz="4" w:space="0" w:color="0B3D85"/>
            </w:tcBorders>
            <w:shd w:val="clear" w:color="auto" w:fill="F2F2F2" w:themeFill="background1" w:themeFillShade="F2"/>
            <w:vAlign w:val="center"/>
          </w:tcPr>
          <w:p w14:paraId="085D311E" w14:textId="77777777" w:rsidR="00596482" w:rsidRPr="00B934CE" w:rsidRDefault="00596482" w:rsidP="00B934CE">
            <w:pPr>
              <w:bidi/>
              <w:jc w:val="both"/>
              <w:rPr>
                <w:rFonts w:ascii="Traditional Arabic" w:hAnsi="Traditional Arabic" w:cs="Traditional Arabic"/>
                <w:sz w:val="24"/>
                <w:rtl/>
              </w:rPr>
            </w:pPr>
            <w:r w:rsidRPr="00B934CE">
              <w:rPr>
                <w:rFonts w:ascii="Traditional Arabic" w:hAnsi="Traditional Arabic" w:cs="Traditional Arabic"/>
                <w:sz w:val="24"/>
                <w:rtl/>
              </w:rPr>
              <w:t>كنسبة مئوية من إجمالي الإيرادات</w:t>
            </w:r>
          </w:p>
        </w:tc>
        <w:tc>
          <w:tcPr>
            <w:tcW w:w="779" w:type="dxa"/>
            <w:tcBorders>
              <w:top w:val="single" w:sz="4" w:space="0" w:color="0B3D85"/>
              <w:bottom w:val="single" w:sz="4" w:space="0" w:color="0B3D85"/>
            </w:tcBorders>
            <w:shd w:val="clear" w:color="auto" w:fill="F2F2F2" w:themeFill="background1" w:themeFillShade="F2"/>
            <w:vAlign w:val="center"/>
          </w:tcPr>
          <w:p w14:paraId="7A3208BD" w14:textId="77777777" w:rsidR="00596482" w:rsidRPr="00B934CE" w:rsidRDefault="00596482"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r>
      <w:tr w:rsidR="00D623FD" w:rsidRPr="00D623FD" w14:paraId="1EA77B5C" w14:textId="77777777" w:rsidTr="00922116">
        <w:trPr>
          <w:trHeight w:val="20"/>
        </w:trPr>
        <w:tc>
          <w:tcPr>
            <w:tcW w:w="1256" w:type="dxa"/>
            <w:tcBorders>
              <w:top w:val="single" w:sz="4" w:space="0" w:color="0B3D85"/>
              <w:bottom w:val="single" w:sz="4" w:space="0" w:color="0B3D85"/>
            </w:tcBorders>
            <w:shd w:val="clear" w:color="auto" w:fill="FFFFFF" w:themeFill="background1"/>
            <w:vAlign w:val="center"/>
          </w:tcPr>
          <w:p w14:paraId="71A1A3A7" w14:textId="77777777" w:rsidR="00596482" w:rsidRPr="00B934CE" w:rsidRDefault="00596482" w:rsidP="00B934CE">
            <w:pPr>
              <w:bidi/>
              <w:rPr>
                <w:rFonts w:ascii="Traditional Arabic" w:eastAsia="Calibri" w:hAnsi="Traditional Arabic" w:cs="Traditional Arabic"/>
                <w:b/>
                <w:bCs/>
                <w:sz w:val="24"/>
                <w:rtl/>
              </w:rPr>
            </w:pPr>
            <w:r w:rsidRPr="00240371">
              <w:rPr>
                <w:rFonts w:ascii="Traditional Arabic" w:hAnsi="Traditional Arabic" w:cs="Traditional Arabic"/>
                <w:color w:val="000000"/>
                <w:sz w:val="24"/>
                <w:rtl/>
                <w:lang w:bidi="ar"/>
              </w:rPr>
              <w:t xml:space="preserve">إيرادات </w:t>
            </w:r>
            <w:r w:rsidRPr="00B934CE">
              <w:rPr>
                <w:rFonts w:ascii="Traditional Arabic" w:eastAsia="Calibri" w:hAnsi="Traditional Arabic" w:cs="Traditional Arabic"/>
                <w:sz w:val="24"/>
                <w:rtl/>
              </w:rPr>
              <w:t>من العقود مع العملاء</w:t>
            </w:r>
          </w:p>
        </w:tc>
        <w:tc>
          <w:tcPr>
            <w:tcW w:w="891" w:type="dxa"/>
            <w:tcBorders>
              <w:top w:val="single" w:sz="4" w:space="0" w:color="0B3D85"/>
              <w:bottom w:val="single" w:sz="4" w:space="0" w:color="0B3D85"/>
            </w:tcBorders>
            <w:shd w:val="clear" w:color="auto" w:fill="FFFFFF" w:themeFill="background1"/>
            <w:vAlign w:val="center"/>
          </w:tcPr>
          <w:p w14:paraId="611041C4"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76.6%</w:t>
            </w:r>
          </w:p>
        </w:tc>
        <w:tc>
          <w:tcPr>
            <w:tcW w:w="891" w:type="dxa"/>
            <w:tcBorders>
              <w:top w:val="single" w:sz="4" w:space="0" w:color="0B3D85"/>
              <w:bottom w:val="single" w:sz="4" w:space="0" w:color="0B3D85"/>
            </w:tcBorders>
            <w:shd w:val="clear" w:color="auto" w:fill="FFFFFF" w:themeFill="background1"/>
            <w:vAlign w:val="center"/>
          </w:tcPr>
          <w:p w14:paraId="47B7DF09"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76.5%</w:t>
            </w:r>
          </w:p>
        </w:tc>
        <w:tc>
          <w:tcPr>
            <w:tcW w:w="891" w:type="dxa"/>
            <w:tcBorders>
              <w:top w:val="single" w:sz="4" w:space="0" w:color="0B3D85"/>
              <w:bottom w:val="single" w:sz="4" w:space="0" w:color="0B3D85"/>
            </w:tcBorders>
            <w:shd w:val="clear" w:color="auto" w:fill="FFFFFF" w:themeFill="background1"/>
            <w:vAlign w:val="center"/>
          </w:tcPr>
          <w:p w14:paraId="73F42625"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59.7%</w:t>
            </w:r>
          </w:p>
        </w:tc>
        <w:tc>
          <w:tcPr>
            <w:tcW w:w="782" w:type="dxa"/>
            <w:tcBorders>
              <w:top w:val="single" w:sz="4" w:space="0" w:color="0B3D85"/>
              <w:bottom w:val="single" w:sz="4" w:space="0" w:color="0B3D85"/>
            </w:tcBorders>
            <w:shd w:val="clear" w:color="auto" w:fill="FFFFFF" w:themeFill="background1"/>
            <w:vAlign w:val="center"/>
          </w:tcPr>
          <w:p w14:paraId="78685D63"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813" w:type="dxa"/>
            <w:tcBorders>
              <w:top w:val="single" w:sz="4" w:space="0" w:color="0B3D85"/>
              <w:bottom w:val="single" w:sz="4" w:space="0" w:color="0B3D85"/>
            </w:tcBorders>
            <w:shd w:val="clear" w:color="auto" w:fill="FFFFFF" w:themeFill="background1"/>
            <w:vAlign w:val="center"/>
          </w:tcPr>
          <w:p w14:paraId="56D39A39"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(16.9)</w:t>
            </w:r>
          </w:p>
        </w:tc>
        <w:tc>
          <w:tcPr>
            <w:tcW w:w="782" w:type="dxa"/>
            <w:tcBorders>
              <w:top w:val="single" w:sz="4" w:space="0" w:color="0B3D85"/>
              <w:bottom w:val="single" w:sz="4" w:space="0" w:color="0B3D85"/>
            </w:tcBorders>
            <w:shd w:val="clear" w:color="auto" w:fill="FFFFFF" w:themeFill="background1"/>
            <w:vAlign w:val="center"/>
          </w:tcPr>
          <w:p w14:paraId="0ED04EE8"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(17.0)</w:t>
            </w:r>
          </w:p>
        </w:tc>
        <w:tc>
          <w:tcPr>
            <w:tcW w:w="1146" w:type="dxa"/>
            <w:tcBorders>
              <w:top w:val="single" w:sz="4" w:space="0" w:color="0B3D85"/>
              <w:bottom w:val="single" w:sz="4" w:space="0" w:color="0B3D85"/>
            </w:tcBorders>
            <w:shd w:val="clear" w:color="auto" w:fill="FFFFFF" w:themeFill="background1"/>
            <w:vAlign w:val="center"/>
          </w:tcPr>
          <w:p w14:paraId="686FD7B8"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40.9%</w:t>
            </w:r>
          </w:p>
        </w:tc>
        <w:tc>
          <w:tcPr>
            <w:tcW w:w="1146" w:type="dxa"/>
            <w:tcBorders>
              <w:top w:val="single" w:sz="4" w:space="0" w:color="0B3D85"/>
              <w:bottom w:val="single" w:sz="4" w:space="0" w:color="0B3D85"/>
            </w:tcBorders>
            <w:shd w:val="clear" w:color="auto" w:fill="FFFFFF" w:themeFill="background1"/>
            <w:vAlign w:val="center"/>
          </w:tcPr>
          <w:p w14:paraId="25B3ABF3"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29.6%</w:t>
            </w:r>
          </w:p>
        </w:tc>
        <w:tc>
          <w:tcPr>
            <w:tcW w:w="779" w:type="dxa"/>
            <w:tcBorders>
              <w:top w:val="single" w:sz="4" w:space="0" w:color="0B3D85"/>
              <w:bottom w:val="single" w:sz="4" w:space="0" w:color="0B3D85"/>
            </w:tcBorders>
            <w:shd w:val="clear" w:color="auto" w:fill="FFFFFF" w:themeFill="background1"/>
            <w:vAlign w:val="center"/>
          </w:tcPr>
          <w:p w14:paraId="78D857A6"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(11.3)</w:t>
            </w:r>
          </w:p>
        </w:tc>
      </w:tr>
      <w:tr w:rsidR="00D623FD" w:rsidRPr="00D623FD" w14:paraId="7DFE6982" w14:textId="77777777" w:rsidTr="00922116">
        <w:trPr>
          <w:trHeight w:val="20"/>
        </w:trPr>
        <w:tc>
          <w:tcPr>
            <w:tcW w:w="1256" w:type="dxa"/>
            <w:tcBorders>
              <w:top w:val="single" w:sz="4" w:space="0" w:color="0B3D85"/>
              <w:bottom w:val="single" w:sz="4" w:space="0" w:color="0B3D85"/>
            </w:tcBorders>
            <w:shd w:val="clear" w:color="auto" w:fill="FFFFFF" w:themeFill="background1"/>
            <w:vAlign w:val="center"/>
          </w:tcPr>
          <w:p w14:paraId="1A343C3C" w14:textId="77777777" w:rsidR="00596482" w:rsidRPr="00B934CE" w:rsidRDefault="00596482" w:rsidP="00B934CE">
            <w:pPr>
              <w:bidi/>
              <w:rPr>
                <w:rFonts w:ascii="Traditional Arabic" w:eastAsia="Calibri" w:hAnsi="Traditional Arabic" w:cs="Traditional Arabic"/>
                <w:b/>
                <w:bCs/>
                <w:sz w:val="24"/>
                <w:rtl/>
              </w:rPr>
            </w:pPr>
            <w:r w:rsidRPr="00240371">
              <w:rPr>
                <w:rFonts w:ascii="Traditional Arabic" w:hAnsi="Traditional Arabic" w:cs="Traditional Arabic"/>
                <w:color w:val="000000"/>
                <w:sz w:val="24"/>
                <w:rtl/>
                <w:lang w:bidi="ar"/>
              </w:rPr>
              <w:t xml:space="preserve">إيرادات الإيجار التشغيلي </w:t>
            </w:r>
          </w:p>
        </w:tc>
        <w:tc>
          <w:tcPr>
            <w:tcW w:w="891" w:type="dxa"/>
            <w:tcBorders>
              <w:top w:val="single" w:sz="4" w:space="0" w:color="0B3D85"/>
              <w:bottom w:val="single" w:sz="4" w:space="0" w:color="0B3D85"/>
            </w:tcBorders>
            <w:shd w:val="clear" w:color="auto" w:fill="FFFFFF" w:themeFill="background1"/>
            <w:vAlign w:val="center"/>
          </w:tcPr>
          <w:p w14:paraId="60F78C08"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15.7%</w:t>
            </w:r>
          </w:p>
        </w:tc>
        <w:tc>
          <w:tcPr>
            <w:tcW w:w="891" w:type="dxa"/>
            <w:tcBorders>
              <w:top w:val="single" w:sz="4" w:space="0" w:color="0B3D85"/>
              <w:bottom w:val="single" w:sz="4" w:space="0" w:color="0B3D85"/>
            </w:tcBorders>
            <w:shd w:val="clear" w:color="auto" w:fill="FFFFFF" w:themeFill="background1"/>
            <w:vAlign w:val="center"/>
          </w:tcPr>
          <w:p w14:paraId="13C3FEA1"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18.4%</w:t>
            </w:r>
          </w:p>
        </w:tc>
        <w:tc>
          <w:tcPr>
            <w:tcW w:w="891" w:type="dxa"/>
            <w:tcBorders>
              <w:top w:val="single" w:sz="4" w:space="0" w:color="0B3D85"/>
              <w:bottom w:val="single" w:sz="4" w:space="0" w:color="0B3D85"/>
            </w:tcBorders>
            <w:shd w:val="clear" w:color="auto" w:fill="FFFFFF" w:themeFill="background1"/>
            <w:vAlign w:val="center"/>
          </w:tcPr>
          <w:p w14:paraId="610C134B"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35.7%</w:t>
            </w:r>
          </w:p>
        </w:tc>
        <w:tc>
          <w:tcPr>
            <w:tcW w:w="782" w:type="dxa"/>
            <w:tcBorders>
              <w:top w:val="single" w:sz="4" w:space="0" w:color="0B3D85"/>
              <w:bottom w:val="single" w:sz="4" w:space="0" w:color="0B3D85"/>
            </w:tcBorders>
            <w:shd w:val="clear" w:color="auto" w:fill="FFFFFF" w:themeFill="background1"/>
            <w:vAlign w:val="center"/>
          </w:tcPr>
          <w:p w14:paraId="274D15EA"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2.6</w:t>
            </w:r>
          </w:p>
        </w:tc>
        <w:tc>
          <w:tcPr>
            <w:tcW w:w="813" w:type="dxa"/>
            <w:tcBorders>
              <w:top w:val="single" w:sz="4" w:space="0" w:color="0B3D85"/>
              <w:bottom w:val="single" w:sz="4" w:space="0" w:color="0B3D85"/>
            </w:tcBorders>
            <w:shd w:val="clear" w:color="auto" w:fill="FFFFFF" w:themeFill="background1"/>
            <w:vAlign w:val="center"/>
          </w:tcPr>
          <w:p w14:paraId="534E7A8A"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17.3</w:t>
            </w:r>
          </w:p>
        </w:tc>
        <w:tc>
          <w:tcPr>
            <w:tcW w:w="782" w:type="dxa"/>
            <w:tcBorders>
              <w:top w:val="single" w:sz="4" w:space="0" w:color="0B3D85"/>
              <w:bottom w:val="single" w:sz="4" w:space="0" w:color="0B3D85"/>
            </w:tcBorders>
            <w:shd w:val="clear" w:color="auto" w:fill="FFFFFF" w:themeFill="background1"/>
            <w:vAlign w:val="center"/>
          </w:tcPr>
          <w:p w14:paraId="04BFD362"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19.9</w:t>
            </w:r>
          </w:p>
        </w:tc>
        <w:tc>
          <w:tcPr>
            <w:tcW w:w="1146" w:type="dxa"/>
            <w:tcBorders>
              <w:top w:val="single" w:sz="4" w:space="0" w:color="0B3D85"/>
              <w:bottom w:val="single" w:sz="4" w:space="0" w:color="0B3D85"/>
            </w:tcBorders>
            <w:shd w:val="clear" w:color="auto" w:fill="FFFFFF" w:themeFill="background1"/>
            <w:vAlign w:val="center"/>
          </w:tcPr>
          <w:p w14:paraId="4E1D0282"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54.5%</w:t>
            </w:r>
          </w:p>
        </w:tc>
        <w:tc>
          <w:tcPr>
            <w:tcW w:w="1146" w:type="dxa"/>
            <w:tcBorders>
              <w:top w:val="single" w:sz="4" w:space="0" w:color="0B3D85"/>
              <w:bottom w:val="single" w:sz="4" w:space="0" w:color="0B3D85"/>
            </w:tcBorders>
            <w:shd w:val="clear" w:color="auto" w:fill="FFFFFF" w:themeFill="background1"/>
            <w:vAlign w:val="center"/>
          </w:tcPr>
          <w:p w14:paraId="49F62000"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66.0%</w:t>
            </w:r>
          </w:p>
        </w:tc>
        <w:tc>
          <w:tcPr>
            <w:tcW w:w="779" w:type="dxa"/>
            <w:tcBorders>
              <w:top w:val="single" w:sz="4" w:space="0" w:color="0B3D85"/>
              <w:bottom w:val="single" w:sz="4" w:space="0" w:color="0B3D85"/>
            </w:tcBorders>
            <w:shd w:val="clear" w:color="auto" w:fill="FFFFFF" w:themeFill="background1"/>
            <w:vAlign w:val="center"/>
          </w:tcPr>
          <w:p w14:paraId="023673A0"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11.5</w:t>
            </w:r>
          </w:p>
        </w:tc>
      </w:tr>
      <w:tr w:rsidR="00D623FD" w:rsidRPr="00D623FD" w14:paraId="140D7B15" w14:textId="77777777" w:rsidTr="00922116">
        <w:trPr>
          <w:trHeight w:val="20"/>
        </w:trPr>
        <w:tc>
          <w:tcPr>
            <w:tcW w:w="1256" w:type="dxa"/>
            <w:tcBorders>
              <w:top w:val="single" w:sz="4" w:space="0" w:color="0B3D85"/>
              <w:bottom w:val="single" w:sz="4" w:space="0" w:color="0B3D85"/>
            </w:tcBorders>
            <w:shd w:val="clear" w:color="auto" w:fill="FFFFFF" w:themeFill="background1"/>
            <w:vAlign w:val="center"/>
          </w:tcPr>
          <w:p w14:paraId="24229CC3" w14:textId="77777777" w:rsidR="00596482" w:rsidRPr="00B934CE" w:rsidRDefault="00596482" w:rsidP="00B934CE">
            <w:pPr>
              <w:bidi/>
              <w:rPr>
                <w:rFonts w:ascii="Traditional Arabic" w:eastAsia="Calibri" w:hAnsi="Traditional Arabic" w:cs="Traditional Arabic"/>
                <w:sz w:val="24"/>
                <w:rtl/>
              </w:rPr>
            </w:pPr>
            <w:r w:rsidRPr="00240371">
              <w:rPr>
                <w:rFonts w:ascii="Traditional Arabic" w:hAnsi="Traditional Arabic" w:cs="Traditional Arabic"/>
                <w:color w:val="000000"/>
                <w:sz w:val="24"/>
                <w:rtl/>
                <w:lang w:bidi="ar"/>
              </w:rPr>
              <w:t>إيرادات الإيجار التمويلي</w:t>
            </w:r>
          </w:p>
        </w:tc>
        <w:tc>
          <w:tcPr>
            <w:tcW w:w="891" w:type="dxa"/>
            <w:tcBorders>
              <w:top w:val="single" w:sz="4" w:space="0" w:color="0B3D85"/>
              <w:bottom w:val="single" w:sz="4" w:space="0" w:color="0B3D85"/>
            </w:tcBorders>
            <w:shd w:val="clear" w:color="auto" w:fill="FFFFFF" w:themeFill="background1"/>
            <w:vAlign w:val="center"/>
          </w:tcPr>
          <w:p w14:paraId="5EE4AB0C"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7.6%</w:t>
            </w:r>
          </w:p>
        </w:tc>
        <w:tc>
          <w:tcPr>
            <w:tcW w:w="891" w:type="dxa"/>
            <w:tcBorders>
              <w:top w:val="single" w:sz="4" w:space="0" w:color="0B3D85"/>
              <w:bottom w:val="single" w:sz="4" w:space="0" w:color="0B3D85"/>
            </w:tcBorders>
            <w:shd w:val="clear" w:color="auto" w:fill="FFFFFF" w:themeFill="background1"/>
            <w:vAlign w:val="center"/>
          </w:tcPr>
          <w:p w14:paraId="0582CCC5"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5.1%</w:t>
            </w:r>
          </w:p>
        </w:tc>
        <w:tc>
          <w:tcPr>
            <w:tcW w:w="891" w:type="dxa"/>
            <w:tcBorders>
              <w:top w:val="single" w:sz="4" w:space="0" w:color="0B3D85"/>
              <w:bottom w:val="single" w:sz="4" w:space="0" w:color="0B3D85"/>
            </w:tcBorders>
            <w:shd w:val="clear" w:color="auto" w:fill="FFFFFF" w:themeFill="background1"/>
            <w:vAlign w:val="center"/>
          </w:tcPr>
          <w:p w14:paraId="05F65A24"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w:t>
            </w:r>
          </w:p>
        </w:tc>
        <w:tc>
          <w:tcPr>
            <w:tcW w:w="782" w:type="dxa"/>
            <w:tcBorders>
              <w:top w:val="single" w:sz="4" w:space="0" w:color="0B3D85"/>
              <w:bottom w:val="single" w:sz="4" w:space="0" w:color="0B3D85"/>
            </w:tcBorders>
            <w:shd w:val="clear" w:color="auto" w:fill="FFFFFF" w:themeFill="background1"/>
            <w:vAlign w:val="center"/>
          </w:tcPr>
          <w:p w14:paraId="56ECCFDF"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c>
          <w:tcPr>
            <w:tcW w:w="813" w:type="dxa"/>
            <w:tcBorders>
              <w:top w:val="single" w:sz="4" w:space="0" w:color="0B3D85"/>
              <w:bottom w:val="single" w:sz="4" w:space="0" w:color="0B3D85"/>
            </w:tcBorders>
            <w:shd w:val="clear" w:color="auto" w:fill="FFFFFF" w:themeFill="background1"/>
            <w:vAlign w:val="center"/>
          </w:tcPr>
          <w:p w14:paraId="55EF9213"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(0.5)</w:t>
            </w:r>
          </w:p>
        </w:tc>
        <w:tc>
          <w:tcPr>
            <w:tcW w:w="782" w:type="dxa"/>
            <w:tcBorders>
              <w:top w:val="single" w:sz="4" w:space="0" w:color="0B3D85"/>
              <w:bottom w:val="single" w:sz="4" w:space="0" w:color="0B3D85"/>
            </w:tcBorders>
            <w:shd w:val="clear" w:color="auto" w:fill="FFFFFF" w:themeFill="background1"/>
            <w:vAlign w:val="center"/>
          </w:tcPr>
          <w:p w14:paraId="62C3CA9A"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(2.9)</w:t>
            </w:r>
          </w:p>
        </w:tc>
        <w:tc>
          <w:tcPr>
            <w:tcW w:w="1146" w:type="dxa"/>
            <w:tcBorders>
              <w:top w:val="single" w:sz="4" w:space="0" w:color="0B3D85"/>
              <w:bottom w:val="single" w:sz="4" w:space="0" w:color="0B3D85"/>
            </w:tcBorders>
            <w:shd w:val="clear" w:color="auto" w:fill="FFFFFF" w:themeFill="background1"/>
            <w:vAlign w:val="center"/>
          </w:tcPr>
          <w:p w14:paraId="0C405EC6"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w:t>
            </w:r>
          </w:p>
        </w:tc>
        <w:tc>
          <w:tcPr>
            <w:tcW w:w="1146" w:type="dxa"/>
            <w:tcBorders>
              <w:top w:val="single" w:sz="4" w:space="0" w:color="0B3D85"/>
              <w:bottom w:val="single" w:sz="4" w:space="0" w:color="0B3D85"/>
            </w:tcBorders>
            <w:shd w:val="clear" w:color="auto" w:fill="FFFFFF" w:themeFill="background1"/>
            <w:vAlign w:val="center"/>
          </w:tcPr>
          <w:p w14:paraId="1C8089D4"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4.4%</w:t>
            </w:r>
          </w:p>
        </w:tc>
        <w:tc>
          <w:tcPr>
            <w:tcW w:w="779" w:type="dxa"/>
            <w:tcBorders>
              <w:top w:val="single" w:sz="4" w:space="0" w:color="0B3D85"/>
              <w:bottom w:val="single" w:sz="4" w:space="0" w:color="0B3D85"/>
            </w:tcBorders>
            <w:shd w:val="clear" w:color="auto" w:fill="FFFFFF" w:themeFill="background1"/>
            <w:vAlign w:val="center"/>
          </w:tcPr>
          <w:p w14:paraId="0A3450D4"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r>
      <w:tr w:rsidR="00D623FD" w:rsidRPr="00D623FD" w14:paraId="77A2DCEC" w14:textId="77777777" w:rsidTr="00922116">
        <w:trPr>
          <w:trHeight w:val="20"/>
        </w:trPr>
        <w:tc>
          <w:tcPr>
            <w:tcW w:w="1256" w:type="dxa"/>
            <w:tcBorders>
              <w:top w:val="single" w:sz="4" w:space="0" w:color="0B3D85"/>
              <w:bottom w:val="single" w:sz="4" w:space="0" w:color="0B3D85"/>
            </w:tcBorders>
            <w:shd w:val="clear" w:color="auto" w:fill="FFFFFF" w:themeFill="background1"/>
            <w:vAlign w:val="center"/>
          </w:tcPr>
          <w:p w14:paraId="64379298" w14:textId="77777777" w:rsidR="00596482" w:rsidRPr="00B934CE" w:rsidRDefault="00596482" w:rsidP="00B934CE">
            <w:pPr>
              <w:bidi/>
              <w:rPr>
                <w:rFonts w:ascii="Traditional Arabic" w:hAnsi="Traditional Arabic" w:cs="Traditional Arabic"/>
                <w:color w:val="000000"/>
                <w:sz w:val="24"/>
                <w:rtl/>
                <w:lang w:bidi="ar"/>
              </w:rPr>
            </w:pPr>
            <w:r w:rsidRPr="00B934CE">
              <w:rPr>
                <w:rFonts w:ascii="Traditional Arabic" w:eastAsia="Calibri" w:hAnsi="Traditional Arabic" w:cs="Traditional Arabic"/>
                <w:b/>
                <w:bCs/>
                <w:sz w:val="24"/>
                <w:rtl/>
              </w:rPr>
              <w:t>مؤشرات الأداء الرئيسية</w:t>
            </w:r>
          </w:p>
        </w:tc>
        <w:tc>
          <w:tcPr>
            <w:tcW w:w="891" w:type="dxa"/>
            <w:tcBorders>
              <w:top w:val="single" w:sz="4" w:space="0" w:color="0B3D85"/>
              <w:bottom w:val="single" w:sz="4" w:space="0" w:color="0B3D85"/>
            </w:tcBorders>
            <w:shd w:val="clear" w:color="auto" w:fill="FFFFFF" w:themeFill="background1"/>
            <w:vAlign w:val="center"/>
          </w:tcPr>
          <w:p w14:paraId="42FFB360" w14:textId="77777777" w:rsidR="00596482" w:rsidRPr="00B934CE" w:rsidRDefault="00596482" w:rsidP="00B934CE">
            <w:pPr>
              <w:bidi/>
              <w:jc w:val="center"/>
              <w:rPr>
                <w:rFonts w:ascii="Traditional Arabic" w:eastAsia="Calibri" w:hAnsi="Traditional Arabic" w:cs="Traditional Arabic"/>
                <w:sz w:val="24"/>
                <w:rtl/>
              </w:rPr>
            </w:pPr>
          </w:p>
        </w:tc>
        <w:tc>
          <w:tcPr>
            <w:tcW w:w="891" w:type="dxa"/>
            <w:tcBorders>
              <w:top w:val="single" w:sz="4" w:space="0" w:color="0B3D85"/>
              <w:bottom w:val="single" w:sz="4" w:space="0" w:color="0B3D85"/>
            </w:tcBorders>
            <w:shd w:val="clear" w:color="auto" w:fill="FFFFFF" w:themeFill="background1"/>
            <w:vAlign w:val="center"/>
          </w:tcPr>
          <w:p w14:paraId="669141C4" w14:textId="77777777" w:rsidR="00596482" w:rsidRPr="00B934CE" w:rsidRDefault="00596482" w:rsidP="00B934CE">
            <w:pPr>
              <w:bidi/>
              <w:jc w:val="center"/>
              <w:rPr>
                <w:rFonts w:ascii="Traditional Arabic" w:eastAsia="Calibri" w:hAnsi="Traditional Arabic" w:cs="Traditional Arabic"/>
                <w:sz w:val="24"/>
                <w:rtl/>
              </w:rPr>
            </w:pPr>
          </w:p>
        </w:tc>
        <w:tc>
          <w:tcPr>
            <w:tcW w:w="891" w:type="dxa"/>
            <w:tcBorders>
              <w:top w:val="single" w:sz="4" w:space="0" w:color="0B3D85"/>
              <w:bottom w:val="single" w:sz="4" w:space="0" w:color="0B3D85"/>
            </w:tcBorders>
            <w:shd w:val="clear" w:color="auto" w:fill="FFFFFF" w:themeFill="background1"/>
            <w:vAlign w:val="center"/>
          </w:tcPr>
          <w:p w14:paraId="6D94D883" w14:textId="77777777" w:rsidR="00596482" w:rsidRPr="00B934CE" w:rsidRDefault="00596482" w:rsidP="00B934CE">
            <w:pPr>
              <w:bidi/>
              <w:jc w:val="center"/>
              <w:rPr>
                <w:rFonts w:ascii="Traditional Arabic" w:eastAsia="Calibri" w:hAnsi="Traditional Arabic" w:cs="Traditional Arabic"/>
                <w:sz w:val="24"/>
                <w:rtl/>
              </w:rPr>
            </w:pPr>
          </w:p>
        </w:tc>
        <w:tc>
          <w:tcPr>
            <w:tcW w:w="782" w:type="dxa"/>
            <w:tcBorders>
              <w:top w:val="single" w:sz="4" w:space="0" w:color="0B3D85"/>
              <w:bottom w:val="single" w:sz="4" w:space="0" w:color="0B3D85"/>
            </w:tcBorders>
            <w:shd w:val="clear" w:color="auto" w:fill="FFFFFF" w:themeFill="background1"/>
            <w:vAlign w:val="center"/>
          </w:tcPr>
          <w:p w14:paraId="02431167" w14:textId="77777777" w:rsidR="00596482" w:rsidRPr="00B934CE" w:rsidRDefault="00596482" w:rsidP="00B934CE">
            <w:pPr>
              <w:bidi/>
              <w:jc w:val="center"/>
              <w:rPr>
                <w:rFonts w:ascii="Traditional Arabic" w:eastAsia="Calibri" w:hAnsi="Traditional Arabic" w:cs="Traditional Arabic"/>
                <w:sz w:val="24"/>
                <w:rtl/>
              </w:rPr>
            </w:pPr>
          </w:p>
        </w:tc>
        <w:tc>
          <w:tcPr>
            <w:tcW w:w="813" w:type="dxa"/>
            <w:tcBorders>
              <w:top w:val="single" w:sz="4" w:space="0" w:color="0B3D85"/>
              <w:bottom w:val="single" w:sz="4" w:space="0" w:color="0B3D85"/>
            </w:tcBorders>
            <w:shd w:val="clear" w:color="auto" w:fill="FFFFFF" w:themeFill="background1"/>
            <w:vAlign w:val="center"/>
          </w:tcPr>
          <w:p w14:paraId="61FF60FA" w14:textId="77777777" w:rsidR="00596482" w:rsidRPr="00B934CE" w:rsidRDefault="00596482" w:rsidP="00B934CE">
            <w:pPr>
              <w:bidi/>
              <w:jc w:val="center"/>
              <w:rPr>
                <w:rFonts w:ascii="Traditional Arabic" w:eastAsia="Calibri" w:hAnsi="Traditional Arabic" w:cs="Traditional Arabic"/>
                <w:sz w:val="24"/>
                <w:rtl/>
              </w:rPr>
            </w:pPr>
          </w:p>
        </w:tc>
        <w:tc>
          <w:tcPr>
            <w:tcW w:w="782" w:type="dxa"/>
            <w:tcBorders>
              <w:top w:val="single" w:sz="4" w:space="0" w:color="0B3D85"/>
              <w:bottom w:val="single" w:sz="4" w:space="0" w:color="0B3D85"/>
            </w:tcBorders>
            <w:shd w:val="clear" w:color="auto" w:fill="FFFFFF" w:themeFill="background1"/>
            <w:vAlign w:val="center"/>
          </w:tcPr>
          <w:p w14:paraId="1D383862" w14:textId="77777777" w:rsidR="00596482" w:rsidRPr="00B934CE" w:rsidRDefault="00596482" w:rsidP="00B934CE">
            <w:pPr>
              <w:bidi/>
              <w:jc w:val="center"/>
              <w:rPr>
                <w:rFonts w:ascii="Traditional Arabic" w:eastAsia="Calibri" w:hAnsi="Traditional Arabic" w:cs="Traditional Arabic"/>
                <w:sz w:val="24"/>
                <w:rtl/>
              </w:rPr>
            </w:pPr>
          </w:p>
        </w:tc>
        <w:tc>
          <w:tcPr>
            <w:tcW w:w="1146" w:type="dxa"/>
            <w:tcBorders>
              <w:top w:val="single" w:sz="4" w:space="0" w:color="0B3D85"/>
              <w:bottom w:val="single" w:sz="4" w:space="0" w:color="0B3D85"/>
            </w:tcBorders>
            <w:shd w:val="clear" w:color="auto" w:fill="FFFFFF" w:themeFill="background1"/>
            <w:vAlign w:val="center"/>
          </w:tcPr>
          <w:p w14:paraId="10D7BEC1" w14:textId="77777777" w:rsidR="00596482" w:rsidRPr="00B934CE" w:rsidRDefault="00596482" w:rsidP="00B934CE">
            <w:pPr>
              <w:bidi/>
              <w:jc w:val="center"/>
              <w:rPr>
                <w:rFonts w:ascii="Traditional Arabic" w:eastAsia="Calibri" w:hAnsi="Traditional Arabic" w:cs="Traditional Arabic"/>
                <w:sz w:val="24"/>
                <w:rtl/>
              </w:rPr>
            </w:pPr>
          </w:p>
        </w:tc>
        <w:tc>
          <w:tcPr>
            <w:tcW w:w="1146" w:type="dxa"/>
            <w:tcBorders>
              <w:top w:val="single" w:sz="4" w:space="0" w:color="0B3D85"/>
              <w:bottom w:val="single" w:sz="4" w:space="0" w:color="0B3D85"/>
            </w:tcBorders>
            <w:shd w:val="clear" w:color="auto" w:fill="FFFFFF" w:themeFill="background1"/>
            <w:vAlign w:val="center"/>
          </w:tcPr>
          <w:p w14:paraId="3FBD999A" w14:textId="77777777" w:rsidR="00596482" w:rsidRPr="00B934CE" w:rsidRDefault="00596482" w:rsidP="00B934CE">
            <w:pPr>
              <w:bidi/>
              <w:jc w:val="center"/>
              <w:rPr>
                <w:rFonts w:ascii="Traditional Arabic" w:eastAsia="Calibri" w:hAnsi="Traditional Arabic" w:cs="Traditional Arabic"/>
                <w:sz w:val="24"/>
                <w:rtl/>
              </w:rPr>
            </w:pPr>
          </w:p>
        </w:tc>
        <w:tc>
          <w:tcPr>
            <w:tcW w:w="779" w:type="dxa"/>
            <w:tcBorders>
              <w:top w:val="single" w:sz="4" w:space="0" w:color="0B3D85"/>
              <w:bottom w:val="single" w:sz="4" w:space="0" w:color="0B3D85"/>
            </w:tcBorders>
            <w:shd w:val="clear" w:color="auto" w:fill="FFFFFF" w:themeFill="background1"/>
            <w:vAlign w:val="center"/>
          </w:tcPr>
          <w:p w14:paraId="67BA7838" w14:textId="77777777" w:rsidR="00596482" w:rsidRPr="00B934CE" w:rsidRDefault="00596482" w:rsidP="00B934CE">
            <w:pPr>
              <w:bidi/>
              <w:jc w:val="center"/>
              <w:rPr>
                <w:rFonts w:ascii="Traditional Arabic" w:eastAsia="Calibri" w:hAnsi="Traditional Arabic" w:cs="Traditional Arabic"/>
                <w:sz w:val="24"/>
                <w:rtl/>
              </w:rPr>
            </w:pPr>
          </w:p>
        </w:tc>
      </w:tr>
      <w:tr w:rsidR="00D623FD" w:rsidRPr="00D623FD" w14:paraId="037F2F70" w14:textId="77777777" w:rsidTr="00922116">
        <w:trPr>
          <w:trHeight w:val="20"/>
        </w:trPr>
        <w:tc>
          <w:tcPr>
            <w:tcW w:w="1256" w:type="dxa"/>
            <w:tcBorders>
              <w:top w:val="single" w:sz="4" w:space="0" w:color="0B3D85"/>
              <w:bottom w:val="single" w:sz="4" w:space="0" w:color="0B3D85"/>
            </w:tcBorders>
            <w:shd w:val="clear" w:color="auto" w:fill="FFFFFF" w:themeFill="background1"/>
          </w:tcPr>
          <w:p w14:paraId="3E024F1B" w14:textId="77777777" w:rsidR="00596482" w:rsidRPr="00B934CE" w:rsidRDefault="00596482" w:rsidP="00B934CE">
            <w:pPr>
              <w:bidi/>
              <w:rPr>
                <w:rFonts w:ascii="Traditional Arabic" w:hAnsi="Traditional Arabic" w:cs="Traditional Arabic"/>
                <w:color w:val="000000"/>
                <w:sz w:val="24"/>
                <w:rtl/>
                <w:lang w:bidi="ar"/>
              </w:rPr>
            </w:pPr>
            <w:r w:rsidRPr="00240371">
              <w:rPr>
                <w:rFonts w:ascii="Traditional Arabic" w:hAnsi="Traditional Arabic" w:cs="Traditional Arabic"/>
                <w:color w:val="000000"/>
                <w:sz w:val="24"/>
                <w:rtl/>
                <w:lang w:bidi="ar"/>
              </w:rPr>
              <w:t>عدد السفن المملوكة</w:t>
            </w:r>
          </w:p>
        </w:tc>
        <w:tc>
          <w:tcPr>
            <w:tcW w:w="891" w:type="dxa"/>
            <w:tcBorders>
              <w:top w:val="single" w:sz="4" w:space="0" w:color="0B3D85"/>
              <w:bottom w:val="single" w:sz="4" w:space="0" w:color="0B3D85"/>
            </w:tcBorders>
            <w:shd w:val="clear" w:color="auto" w:fill="FFFFFF" w:themeFill="background1"/>
            <w:vAlign w:val="center"/>
          </w:tcPr>
          <w:p w14:paraId="79A1A4EF"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48</w:t>
            </w:r>
          </w:p>
        </w:tc>
        <w:tc>
          <w:tcPr>
            <w:tcW w:w="891" w:type="dxa"/>
            <w:tcBorders>
              <w:top w:val="single" w:sz="4" w:space="0" w:color="0B3D85"/>
              <w:bottom w:val="single" w:sz="4" w:space="0" w:color="0B3D85"/>
            </w:tcBorders>
            <w:shd w:val="clear" w:color="auto" w:fill="FFFFFF" w:themeFill="background1"/>
            <w:vAlign w:val="center"/>
          </w:tcPr>
          <w:p w14:paraId="494154C4"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45</w:t>
            </w:r>
          </w:p>
        </w:tc>
        <w:tc>
          <w:tcPr>
            <w:tcW w:w="891" w:type="dxa"/>
            <w:tcBorders>
              <w:top w:val="single" w:sz="4" w:space="0" w:color="0B3D85"/>
              <w:bottom w:val="single" w:sz="4" w:space="0" w:color="0B3D85"/>
            </w:tcBorders>
            <w:shd w:val="clear" w:color="auto" w:fill="FFFFFF" w:themeFill="background1"/>
            <w:vAlign w:val="center"/>
          </w:tcPr>
          <w:p w14:paraId="6A5DCB6D"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43</w:t>
            </w:r>
          </w:p>
        </w:tc>
        <w:tc>
          <w:tcPr>
            <w:tcW w:w="782" w:type="dxa"/>
            <w:tcBorders>
              <w:top w:val="single" w:sz="4" w:space="0" w:color="0B3D85"/>
              <w:bottom w:val="single" w:sz="4" w:space="0" w:color="0B3D85"/>
            </w:tcBorders>
            <w:shd w:val="clear" w:color="auto" w:fill="FFFFFF" w:themeFill="background1"/>
            <w:vAlign w:val="center"/>
          </w:tcPr>
          <w:p w14:paraId="2B5207D7"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w:t>
            </w:r>
          </w:p>
        </w:tc>
        <w:tc>
          <w:tcPr>
            <w:tcW w:w="813" w:type="dxa"/>
            <w:tcBorders>
              <w:top w:val="single" w:sz="4" w:space="0" w:color="0B3D85"/>
              <w:bottom w:val="single" w:sz="4" w:space="0" w:color="0B3D85"/>
            </w:tcBorders>
            <w:shd w:val="clear" w:color="auto" w:fill="FFFFFF" w:themeFill="background1"/>
            <w:vAlign w:val="center"/>
          </w:tcPr>
          <w:p w14:paraId="05038486"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w:t>
            </w:r>
          </w:p>
        </w:tc>
        <w:tc>
          <w:tcPr>
            <w:tcW w:w="782" w:type="dxa"/>
            <w:tcBorders>
              <w:top w:val="single" w:sz="4" w:space="0" w:color="0B3D85"/>
              <w:bottom w:val="single" w:sz="4" w:space="0" w:color="0B3D85"/>
            </w:tcBorders>
            <w:shd w:val="clear" w:color="auto" w:fill="FFFFFF" w:themeFill="background1"/>
            <w:vAlign w:val="center"/>
          </w:tcPr>
          <w:p w14:paraId="72FFABBE"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(5.0)</w:t>
            </w:r>
          </w:p>
        </w:tc>
        <w:tc>
          <w:tcPr>
            <w:tcW w:w="1146" w:type="dxa"/>
            <w:tcBorders>
              <w:top w:val="single" w:sz="4" w:space="0" w:color="0B3D85"/>
              <w:bottom w:val="single" w:sz="4" w:space="0" w:color="0B3D85"/>
            </w:tcBorders>
            <w:shd w:val="clear" w:color="auto" w:fill="FFFFFF" w:themeFill="background1"/>
            <w:vAlign w:val="center"/>
          </w:tcPr>
          <w:p w14:paraId="556C9886"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46</w:t>
            </w:r>
          </w:p>
        </w:tc>
        <w:tc>
          <w:tcPr>
            <w:tcW w:w="1146" w:type="dxa"/>
            <w:tcBorders>
              <w:top w:val="single" w:sz="4" w:space="0" w:color="0B3D85"/>
              <w:bottom w:val="single" w:sz="4" w:space="0" w:color="0B3D85"/>
            </w:tcBorders>
            <w:shd w:val="clear" w:color="auto" w:fill="FFFFFF" w:themeFill="background1"/>
            <w:vAlign w:val="center"/>
          </w:tcPr>
          <w:p w14:paraId="42243A4D"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43</w:t>
            </w:r>
          </w:p>
        </w:tc>
        <w:tc>
          <w:tcPr>
            <w:tcW w:w="779" w:type="dxa"/>
            <w:tcBorders>
              <w:top w:val="single" w:sz="4" w:space="0" w:color="0B3D85"/>
              <w:bottom w:val="single" w:sz="4" w:space="0" w:color="0B3D85"/>
            </w:tcBorders>
            <w:shd w:val="clear" w:color="auto" w:fill="FFFFFF" w:themeFill="background1"/>
            <w:vAlign w:val="center"/>
          </w:tcPr>
          <w:p w14:paraId="02DD6BDA"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(3.0)</w:t>
            </w:r>
          </w:p>
        </w:tc>
      </w:tr>
      <w:tr w:rsidR="00D623FD" w:rsidRPr="00D623FD" w14:paraId="1EB8AD05" w14:textId="77777777" w:rsidTr="00922116">
        <w:trPr>
          <w:trHeight w:val="20"/>
        </w:trPr>
        <w:tc>
          <w:tcPr>
            <w:tcW w:w="1256" w:type="dxa"/>
            <w:tcBorders>
              <w:top w:val="single" w:sz="4" w:space="0" w:color="0B3D85"/>
              <w:bottom w:val="single" w:sz="4" w:space="0" w:color="0B3D85"/>
            </w:tcBorders>
            <w:shd w:val="clear" w:color="auto" w:fill="FFFFFF" w:themeFill="background1"/>
          </w:tcPr>
          <w:p w14:paraId="414B99BB" w14:textId="77777777" w:rsidR="00596482" w:rsidRPr="00B934CE" w:rsidRDefault="00596482" w:rsidP="00B934CE">
            <w:pPr>
              <w:bidi/>
              <w:rPr>
                <w:rFonts w:ascii="Traditional Arabic" w:hAnsi="Traditional Arabic" w:cs="Traditional Arabic"/>
                <w:color w:val="000000"/>
                <w:sz w:val="24"/>
                <w:rtl/>
                <w:lang w:bidi="ar"/>
              </w:rPr>
            </w:pPr>
            <w:r w:rsidRPr="00B934CE">
              <w:rPr>
                <w:rFonts w:cs="Times New Roman"/>
                <w:color w:val="000000"/>
                <w:sz w:val="24"/>
                <w:lang w:bidi="ar"/>
              </w:rPr>
              <w:lastRenderedPageBreak/>
              <w:t>​​</w:t>
            </w:r>
            <w:r w:rsidRPr="00240371">
              <w:rPr>
                <w:rFonts w:ascii="Traditional Arabic" w:hAnsi="Traditional Arabic" w:cs="Traditional Arabic"/>
                <w:color w:val="000000"/>
                <w:sz w:val="24"/>
                <w:rtl/>
                <w:lang w:bidi="ar"/>
              </w:rPr>
              <w:t>عدد السفن المستأجرة</w:t>
            </w:r>
          </w:p>
        </w:tc>
        <w:tc>
          <w:tcPr>
            <w:tcW w:w="891" w:type="dxa"/>
            <w:tcBorders>
              <w:top w:val="single" w:sz="4" w:space="0" w:color="0B3D85"/>
              <w:bottom w:val="single" w:sz="4" w:space="0" w:color="0B3D85"/>
            </w:tcBorders>
            <w:shd w:val="clear" w:color="auto" w:fill="FFFFFF" w:themeFill="background1"/>
            <w:vAlign w:val="center"/>
          </w:tcPr>
          <w:p w14:paraId="0C5574B1"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w:t>
            </w:r>
          </w:p>
        </w:tc>
        <w:tc>
          <w:tcPr>
            <w:tcW w:w="891" w:type="dxa"/>
            <w:tcBorders>
              <w:top w:val="single" w:sz="4" w:space="0" w:color="0B3D85"/>
              <w:bottom w:val="single" w:sz="4" w:space="0" w:color="0B3D85"/>
            </w:tcBorders>
            <w:shd w:val="clear" w:color="auto" w:fill="FFFFFF" w:themeFill="background1"/>
            <w:vAlign w:val="center"/>
          </w:tcPr>
          <w:p w14:paraId="456A65B8"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c>
          <w:tcPr>
            <w:tcW w:w="891" w:type="dxa"/>
            <w:tcBorders>
              <w:top w:val="single" w:sz="4" w:space="0" w:color="0B3D85"/>
              <w:bottom w:val="single" w:sz="4" w:space="0" w:color="0B3D85"/>
            </w:tcBorders>
            <w:shd w:val="clear" w:color="auto" w:fill="FFFFFF" w:themeFill="background1"/>
            <w:vAlign w:val="center"/>
          </w:tcPr>
          <w:p w14:paraId="1DCD1F42"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32</w:t>
            </w:r>
          </w:p>
        </w:tc>
        <w:tc>
          <w:tcPr>
            <w:tcW w:w="782" w:type="dxa"/>
            <w:tcBorders>
              <w:top w:val="single" w:sz="4" w:space="0" w:color="0B3D85"/>
              <w:bottom w:val="single" w:sz="4" w:space="0" w:color="0B3D85"/>
            </w:tcBorders>
            <w:shd w:val="clear" w:color="auto" w:fill="FFFFFF" w:themeFill="background1"/>
            <w:vAlign w:val="center"/>
          </w:tcPr>
          <w:p w14:paraId="6134F187"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w:t>
            </w:r>
          </w:p>
        </w:tc>
        <w:tc>
          <w:tcPr>
            <w:tcW w:w="813" w:type="dxa"/>
            <w:tcBorders>
              <w:top w:val="single" w:sz="4" w:space="0" w:color="0B3D85"/>
              <w:bottom w:val="single" w:sz="4" w:space="0" w:color="0B3D85"/>
            </w:tcBorders>
            <w:shd w:val="clear" w:color="auto" w:fill="FFFFFF" w:themeFill="background1"/>
            <w:vAlign w:val="center"/>
          </w:tcPr>
          <w:p w14:paraId="4722BDFB"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w:t>
            </w:r>
          </w:p>
        </w:tc>
        <w:tc>
          <w:tcPr>
            <w:tcW w:w="782" w:type="dxa"/>
            <w:tcBorders>
              <w:top w:val="single" w:sz="4" w:space="0" w:color="0B3D85"/>
              <w:bottom w:val="single" w:sz="4" w:space="0" w:color="0B3D85"/>
            </w:tcBorders>
            <w:shd w:val="clear" w:color="auto" w:fill="FFFFFF" w:themeFill="background1"/>
            <w:vAlign w:val="center"/>
          </w:tcPr>
          <w:p w14:paraId="1ADF1C47"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w:t>
            </w:r>
          </w:p>
        </w:tc>
        <w:tc>
          <w:tcPr>
            <w:tcW w:w="1146" w:type="dxa"/>
            <w:tcBorders>
              <w:top w:val="single" w:sz="4" w:space="0" w:color="0B3D85"/>
              <w:bottom w:val="single" w:sz="4" w:space="0" w:color="0B3D85"/>
            </w:tcBorders>
            <w:shd w:val="clear" w:color="auto" w:fill="FFFFFF" w:themeFill="background1"/>
            <w:vAlign w:val="center"/>
          </w:tcPr>
          <w:p w14:paraId="7C4C9E51"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35</w:t>
            </w:r>
          </w:p>
        </w:tc>
        <w:tc>
          <w:tcPr>
            <w:tcW w:w="1146" w:type="dxa"/>
            <w:tcBorders>
              <w:top w:val="single" w:sz="4" w:space="0" w:color="0B3D85"/>
              <w:bottom w:val="single" w:sz="4" w:space="0" w:color="0B3D85"/>
            </w:tcBorders>
            <w:shd w:val="clear" w:color="auto" w:fill="FFFFFF" w:themeFill="background1"/>
            <w:vAlign w:val="center"/>
          </w:tcPr>
          <w:p w14:paraId="2262710E"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w:t>
            </w:r>
          </w:p>
        </w:tc>
        <w:tc>
          <w:tcPr>
            <w:tcW w:w="779" w:type="dxa"/>
            <w:tcBorders>
              <w:top w:val="single" w:sz="4" w:space="0" w:color="0B3D85"/>
              <w:bottom w:val="single" w:sz="4" w:space="0" w:color="0B3D85"/>
            </w:tcBorders>
            <w:shd w:val="clear" w:color="auto" w:fill="FFFFFF" w:themeFill="background1"/>
            <w:vAlign w:val="center"/>
          </w:tcPr>
          <w:p w14:paraId="3597E1A8" w14:textId="77777777" w:rsidR="00596482" w:rsidRPr="00B934CE" w:rsidRDefault="00596482"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w:t>
            </w:r>
          </w:p>
        </w:tc>
      </w:tr>
    </w:tbl>
    <w:p w14:paraId="2DD25B21" w14:textId="77777777" w:rsidR="00596482" w:rsidRPr="00B934CE" w:rsidRDefault="00596482" w:rsidP="00B934CE">
      <w:pPr>
        <w:bidi/>
        <w:spacing w:after="120"/>
        <w:rPr>
          <w:rFonts w:ascii="Traditional Arabic" w:eastAsiaTheme="majorEastAsia" w:hAnsi="Traditional Arabic" w:cs="Traditional Arabic"/>
          <w:sz w:val="4"/>
          <w:szCs w:val="4"/>
          <w:rtl/>
        </w:rPr>
      </w:pPr>
    </w:p>
    <w:p w14:paraId="79FED14F" w14:textId="77777777" w:rsidR="00E1070B" w:rsidRPr="00B934CE" w:rsidRDefault="00E1070B" w:rsidP="00B934CE">
      <w:pPr>
        <w:bidi/>
        <w:spacing w:after="120"/>
        <w:rPr>
          <w:rFonts w:ascii="Traditional Arabic" w:eastAsiaTheme="majorEastAsia" w:hAnsi="Traditional Arabic" w:cs="Traditional Arabic"/>
          <w:b/>
          <w:bCs/>
          <w:i/>
          <w:iCs/>
          <w:color w:val="002060"/>
          <w:sz w:val="24"/>
          <w:rtl/>
        </w:rPr>
      </w:pPr>
    </w:p>
    <w:p w14:paraId="3FB0B91D" w14:textId="77777777" w:rsidR="00FD42C7" w:rsidRPr="00B934CE" w:rsidRDefault="00FD42C7" w:rsidP="00B934CE">
      <w:pPr>
        <w:bidi/>
        <w:spacing w:after="120"/>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إيرادات من العقود مع العملاء</w:t>
      </w:r>
    </w:p>
    <w:p w14:paraId="79BA5949" w14:textId="77777777" w:rsidR="00FD42C7" w:rsidRPr="00B934CE" w:rsidRDefault="00FD42C7" w:rsidP="00B934CE">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sz w:val="30"/>
          <w:szCs w:val="30"/>
          <w:rtl/>
        </w:rPr>
        <w:t>تشكل الإيرادات من العقود مع العملاء 35</w:t>
      </w:r>
      <w:r w:rsidR="00922C08">
        <w:rPr>
          <w:rFonts w:ascii="Traditional Arabic" w:eastAsiaTheme="majorEastAsia" w:hAnsi="Traditional Arabic" w:cs="Traditional Arabic" w:hint="cs"/>
          <w:sz w:val="30"/>
          <w:szCs w:val="30"/>
          <w:rtl/>
        </w:rPr>
        <w:t>.2</w:t>
      </w:r>
      <w:r w:rsidRPr="00B934CE">
        <w:rPr>
          <w:rFonts w:ascii="Traditional Arabic" w:eastAsiaTheme="majorEastAsia" w:hAnsi="Traditional Arabic" w:cs="Traditional Arabic"/>
          <w:sz w:val="30"/>
          <w:szCs w:val="30"/>
          <w:rtl/>
        </w:rPr>
        <w:t xml:space="preserve">% من الإيرادات بين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و2024، وتتعلق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أساسي بالإيرادات من خدمات ال</w:t>
      </w:r>
      <w:r w:rsidR="00607B02">
        <w:rPr>
          <w:rFonts w:ascii="Traditional Arabic" w:eastAsiaTheme="majorEastAsia" w:hAnsi="Traditional Arabic" w:cs="Traditional Arabic"/>
          <w:sz w:val="30"/>
          <w:szCs w:val="30"/>
          <w:rtl/>
        </w:rPr>
        <w:t>نقل</w:t>
      </w:r>
      <w:r w:rsidRPr="00B934CE">
        <w:rPr>
          <w:rFonts w:ascii="Traditional Arabic" w:eastAsiaTheme="majorEastAsia" w:hAnsi="Traditional Arabic" w:cs="Traditional Arabic"/>
          <w:sz w:val="30"/>
          <w:szCs w:val="30"/>
          <w:rtl/>
        </w:rPr>
        <w:t xml:space="preserve"> (93</w:t>
      </w:r>
      <w:r w:rsidR="00DB1303">
        <w:rPr>
          <w:rFonts w:ascii="Traditional Arabic" w:eastAsiaTheme="majorEastAsia" w:hAnsi="Traditional Arabic" w:cs="Traditional Arabic" w:hint="cs"/>
          <w:sz w:val="30"/>
          <w:szCs w:val="30"/>
          <w:rtl/>
        </w:rPr>
        <w:t>.0</w:t>
      </w:r>
      <w:r w:rsidRPr="00B934CE">
        <w:rPr>
          <w:rFonts w:ascii="Traditional Arabic" w:eastAsiaTheme="majorEastAsia" w:hAnsi="Traditional Arabic" w:cs="Traditional Arabic"/>
          <w:sz w:val="30"/>
          <w:szCs w:val="30"/>
          <w:rtl/>
        </w:rPr>
        <w:t xml:space="preserve">% من إجمالي الإيرادات من العقود مع العملاء خلال الفترة التاريخية).  تتعلق الإيرادات من العقود مع العملاء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أساسي من نقل سفن النفط الخام العملاقة (36</w:t>
      </w:r>
      <w:r w:rsidR="00DB1303">
        <w:rPr>
          <w:rFonts w:ascii="Traditional Arabic" w:eastAsiaTheme="majorEastAsia" w:hAnsi="Traditional Arabic" w:cs="Traditional Arabic" w:hint="cs"/>
          <w:sz w:val="30"/>
          <w:szCs w:val="30"/>
          <w:rtl/>
        </w:rPr>
        <w:t>.2</w:t>
      </w:r>
      <w:r w:rsidRPr="00B934CE">
        <w:rPr>
          <w:rFonts w:ascii="Traditional Arabic" w:eastAsiaTheme="majorEastAsia" w:hAnsi="Traditional Arabic" w:cs="Traditional Arabic"/>
          <w:sz w:val="30"/>
          <w:szCs w:val="30"/>
          <w:rtl/>
        </w:rPr>
        <w:t xml:space="preserve">% من إجمالي الإيرادات من العقود مع العملاء بين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و2024)،</w:t>
      </w:r>
      <w:r w:rsidRPr="00B934CE">
        <w:rPr>
          <w:rFonts w:ascii="Traditional Arabic" w:eastAsiaTheme="majorEastAsia" w:hAnsi="Traditional Arabic" w:cs="Traditional Arabic"/>
          <w:sz w:val="30"/>
          <w:szCs w:val="30"/>
        </w:rPr>
        <w:t xml:space="preserve"> </w:t>
      </w:r>
      <w:r w:rsidRPr="00B934CE">
        <w:rPr>
          <w:rFonts w:ascii="Traditional Arabic" w:eastAsiaTheme="majorEastAsia" w:hAnsi="Traditional Arabic" w:cs="Traditional Arabic"/>
          <w:sz w:val="30"/>
          <w:szCs w:val="30"/>
          <w:rtl/>
        </w:rPr>
        <w:t>البضائع السائبة الجافة (</w:t>
      </w:r>
      <w:r w:rsidR="008E17EB">
        <w:rPr>
          <w:rFonts w:ascii="Traditional Arabic" w:eastAsiaTheme="majorEastAsia" w:hAnsi="Traditional Arabic" w:cs="Traditional Arabic" w:hint="cs"/>
          <w:sz w:val="30"/>
          <w:szCs w:val="30"/>
          <w:rtl/>
        </w:rPr>
        <w:t>33.8</w:t>
      </w:r>
      <w:r w:rsidRPr="00B934CE">
        <w:rPr>
          <w:rFonts w:ascii="Traditional Arabic" w:eastAsiaTheme="majorEastAsia" w:hAnsi="Traditional Arabic" w:cs="Traditional Arabic"/>
          <w:sz w:val="30"/>
          <w:szCs w:val="30"/>
          <w:rtl/>
        </w:rPr>
        <w:t>%)، الحاويات (20</w:t>
      </w:r>
      <w:r w:rsidR="00705E3D">
        <w:rPr>
          <w:rFonts w:ascii="Traditional Arabic" w:eastAsiaTheme="majorEastAsia" w:hAnsi="Traditional Arabic" w:cs="Traditional Arabic" w:hint="cs"/>
          <w:sz w:val="30"/>
          <w:szCs w:val="30"/>
          <w:rtl/>
        </w:rPr>
        <w:t>.2</w:t>
      </w:r>
      <w:r w:rsidRPr="00B934CE">
        <w:rPr>
          <w:rFonts w:ascii="Traditional Arabic" w:eastAsiaTheme="majorEastAsia" w:hAnsi="Traditional Arabic" w:cs="Traditional Arabic"/>
          <w:sz w:val="30"/>
          <w:szCs w:val="30"/>
          <w:rtl/>
        </w:rPr>
        <w:t>%)، ناقلات المنتجات (8</w:t>
      </w:r>
      <w:r w:rsidR="00705E3D">
        <w:rPr>
          <w:rFonts w:ascii="Traditional Arabic" w:eastAsiaTheme="majorEastAsia" w:hAnsi="Traditional Arabic" w:cs="Traditional Arabic" w:hint="cs"/>
          <w:sz w:val="30"/>
          <w:szCs w:val="30"/>
          <w:rtl/>
        </w:rPr>
        <w:t>.1</w:t>
      </w:r>
      <w:r w:rsidRPr="00B934CE">
        <w:rPr>
          <w:rFonts w:ascii="Traditional Arabic" w:eastAsiaTheme="majorEastAsia" w:hAnsi="Traditional Arabic" w:cs="Traditional Arabic"/>
          <w:sz w:val="30"/>
          <w:szCs w:val="30"/>
          <w:rtl/>
        </w:rPr>
        <w:t>%)، وناقلات الغاز (</w:t>
      </w:r>
      <w:r w:rsidR="00705E3D">
        <w:rPr>
          <w:rFonts w:ascii="Traditional Arabic" w:eastAsiaTheme="majorEastAsia" w:hAnsi="Traditional Arabic" w:cs="Traditional Arabic" w:hint="cs"/>
          <w:sz w:val="30"/>
          <w:szCs w:val="30"/>
          <w:rtl/>
        </w:rPr>
        <w:t>0.5</w:t>
      </w:r>
      <w:r w:rsidRPr="00B934CE">
        <w:rPr>
          <w:rFonts w:ascii="Traditional Arabic" w:eastAsiaTheme="majorEastAsia" w:hAnsi="Traditional Arabic" w:cs="Traditional Arabic"/>
          <w:sz w:val="30"/>
          <w:szCs w:val="30"/>
          <w:rtl/>
        </w:rPr>
        <w:t>%) وغيرها.</w:t>
      </w:r>
    </w:p>
    <w:p w14:paraId="7D0037DB" w14:textId="77777777" w:rsidR="00FD42C7" w:rsidRPr="00B934CE" w:rsidRDefault="00FD42C7"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العقود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العملاء</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42.6%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186.9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2021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266.4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w:t>
      </w:r>
      <w:r w:rsidRPr="00B934CE">
        <w:rPr>
          <w:rFonts w:ascii="Traditional Arabic" w:eastAsiaTheme="majorEastAsia" w:hAnsi="Traditional Arabic" w:cs="Traditional Arabic" w:hint="eastAsia"/>
          <w:sz w:val="30"/>
          <w:szCs w:val="30"/>
          <w:rtl/>
        </w:rPr>
        <w:t>ويعود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ذلك</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رئيسي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ارتفاع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w:t>
      </w:r>
      <w:r w:rsidR="00607B02">
        <w:rPr>
          <w:rFonts w:ascii="Traditional Arabic" w:eastAsiaTheme="majorEastAsia" w:hAnsi="Traditional Arabic" w:cs="Traditional Arabic" w:hint="eastAsia"/>
          <w:sz w:val="30"/>
          <w:szCs w:val="30"/>
          <w:rtl/>
        </w:rPr>
        <w:t>نقل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بقيمة</w:t>
      </w:r>
      <w:r w:rsidRPr="00B934CE">
        <w:rPr>
          <w:rFonts w:ascii="Traditional Arabic" w:eastAsiaTheme="majorEastAsia" w:hAnsi="Traditional Arabic" w:cs="Traditional Arabic"/>
          <w:sz w:val="30"/>
          <w:szCs w:val="30"/>
          <w:rtl/>
        </w:rPr>
        <w:t xml:space="preserve"> 74.6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w:t>
      </w:r>
    </w:p>
    <w:p w14:paraId="0C6BD3F5" w14:textId="77777777" w:rsidR="00FD42C7" w:rsidRPr="00B934CE" w:rsidRDefault="00FD42C7"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العقود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العملاء</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18.5%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266.4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217.0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2023، </w:t>
      </w:r>
      <w:r w:rsidRPr="00B934CE">
        <w:rPr>
          <w:rFonts w:ascii="Traditional Arabic" w:eastAsiaTheme="majorEastAsia" w:hAnsi="Traditional Arabic" w:cs="Traditional Arabic" w:hint="eastAsia"/>
          <w:sz w:val="30"/>
          <w:szCs w:val="30"/>
          <w:rtl/>
        </w:rPr>
        <w:t>ويعود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ذلك</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رئيسي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انخفاض</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w:t>
      </w:r>
      <w:r w:rsidR="00607B02">
        <w:rPr>
          <w:rFonts w:ascii="Traditional Arabic" w:eastAsiaTheme="majorEastAsia" w:hAnsi="Traditional Arabic" w:cs="Traditional Arabic" w:hint="eastAsia"/>
          <w:sz w:val="30"/>
          <w:szCs w:val="30"/>
          <w:rtl/>
        </w:rPr>
        <w:t>نقل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بقيمة</w:t>
      </w:r>
      <w:r w:rsidRPr="00B934CE">
        <w:rPr>
          <w:rFonts w:ascii="Traditional Arabic" w:eastAsiaTheme="majorEastAsia" w:hAnsi="Traditional Arabic" w:cs="Traditional Arabic"/>
          <w:sz w:val="30"/>
          <w:szCs w:val="30"/>
          <w:rtl/>
        </w:rPr>
        <w:t xml:space="preserve"> 52.3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w:t>
      </w:r>
    </w:p>
    <w:p w14:paraId="1FAF1A2C" w14:textId="77777777" w:rsidR="00FD42C7" w:rsidRPr="00B934CE" w:rsidRDefault="00FD42C7"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w:t>
      </w:r>
      <w:r w:rsidRPr="00B934CE">
        <w:rPr>
          <w:rFonts w:ascii="Traditional Arabic" w:eastAsiaTheme="majorEastAsia" w:hAnsi="Traditional Arabic" w:cs="Traditional Arabic"/>
          <w:sz w:val="30"/>
          <w:szCs w:val="30"/>
          <w:rtl/>
        </w:rPr>
        <w:t xml:space="preserve">خفضت الإيرادات من العقود مع العملاء بنسبة 27.6٪ من 112.2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إلى 81.3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2024 ويرجع ذلك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أساسي إلى انخفاض </w:t>
      </w:r>
      <w:r w:rsidRPr="00B934CE">
        <w:rPr>
          <w:rFonts w:ascii="Traditional Arabic" w:eastAsiaTheme="majorEastAsia" w:hAnsi="Traditional Arabic" w:cs="Traditional Arabic" w:hint="eastAsia"/>
          <w:sz w:val="30"/>
          <w:szCs w:val="30"/>
          <w:rtl/>
        </w:rPr>
        <w:t>إيرادات</w:t>
      </w:r>
      <w:r w:rsidRPr="00B934CE">
        <w:rPr>
          <w:rFonts w:ascii="Traditional Arabic" w:eastAsiaTheme="majorEastAsia" w:hAnsi="Traditional Arabic" w:cs="Traditional Arabic"/>
          <w:sz w:val="30"/>
          <w:szCs w:val="30"/>
          <w:rtl/>
        </w:rPr>
        <w:t xml:space="preserve"> ال</w:t>
      </w:r>
      <w:r w:rsidR="00607B02">
        <w:rPr>
          <w:rFonts w:ascii="Traditional Arabic" w:eastAsiaTheme="majorEastAsia" w:hAnsi="Traditional Arabic" w:cs="Traditional Arabic"/>
          <w:sz w:val="30"/>
          <w:szCs w:val="30"/>
          <w:rtl/>
        </w:rPr>
        <w:t>نقل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بقيمة</w:t>
      </w:r>
      <w:r w:rsidRPr="00B934CE">
        <w:rPr>
          <w:rFonts w:ascii="Traditional Arabic" w:eastAsiaTheme="majorEastAsia" w:hAnsi="Traditional Arabic" w:cs="Traditional Arabic"/>
          <w:sz w:val="30"/>
          <w:szCs w:val="30"/>
          <w:rtl/>
        </w:rPr>
        <w:t xml:space="preserve"> 32.9 مليون ريال عماني خلال نفس الفترة.</w:t>
      </w:r>
    </w:p>
    <w:p w14:paraId="1B8BDE5B" w14:textId="77777777" w:rsidR="00FD42C7" w:rsidRPr="00B934CE" w:rsidRDefault="00FD42C7"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 xml:space="preserve">إيرادات الإيجار التشغيلي  </w:t>
      </w:r>
    </w:p>
    <w:p w14:paraId="5FDE10C3" w14:textId="77777777" w:rsidR="00FD42C7" w:rsidRPr="00B934CE" w:rsidRDefault="00FD42C7"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تشكل</w:t>
      </w:r>
      <w:r w:rsidRPr="00B934CE">
        <w:rPr>
          <w:rFonts w:ascii="Traditional Arabic" w:eastAsiaTheme="majorEastAsia" w:hAnsi="Traditional Arabic" w:cs="Traditional Arabic"/>
          <w:sz w:val="30"/>
          <w:szCs w:val="30"/>
          <w:rtl/>
        </w:rPr>
        <w:t xml:space="preserve"> إيرادات الإيجار التشغيلي 60</w:t>
      </w:r>
      <w:r w:rsidR="008928DF">
        <w:rPr>
          <w:rFonts w:ascii="Traditional Arabic" w:eastAsiaTheme="majorEastAsia" w:hAnsi="Traditional Arabic" w:cs="Traditional Arabic" w:hint="cs"/>
          <w:sz w:val="30"/>
          <w:szCs w:val="30"/>
          <w:rtl/>
        </w:rPr>
        <w:t>.2</w:t>
      </w:r>
      <w:r w:rsidRPr="00B934CE">
        <w:rPr>
          <w:rFonts w:ascii="Traditional Arabic" w:eastAsiaTheme="majorEastAsia" w:hAnsi="Traditional Arabic" w:cs="Traditional Arabic"/>
          <w:sz w:val="30"/>
          <w:szCs w:val="30"/>
          <w:rtl/>
        </w:rPr>
        <w:t xml:space="preserve">% من الإيرادات بين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و2024، وتتعلق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رئيسي بخدمات تأجير السفن للعملاء </w:t>
      </w:r>
      <w:r w:rsidRPr="00B934CE">
        <w:rPr>
          <w:rFonts w:ascii="Traditional Arabic" w:eastAsiaTheme="majorEastAsia" w:hAnsi="Traditional Arabic" w:cs="Traditional Arabic" w:hint="eastAsia"/>
          <w:sz w:val="30"/>
          <w:szCs w:val="30"/>
          <w:rtl/>
        </w:rPr>
        <w:t>بعقود</w:t>
      </w:r>
      <w:r w:rsidRPr="00B934CE">
        <w:rPr>
          <w:rFonts w:ascii="Traditional Arabic" w:eastAsiaTheme="majorEastAsia" w:hAnsi="Traditional Arabic" w:cs="Traditional Arabic"/>
          <w:sz w:val="30"/>
          <w:szCs w:val="30"/>
          <w:rtl/>
        </w:rPr>
        <w:t xml:space="preserve"> إيجار زمنية محدد</w:t>
      </w:r>
      <w:r w:rsidRPr="00B934CE">
        <w:rPr>
          <w:rFonts w:ascii="Traditional Arabic" w:eastAsiaTheme="majorEastAsia" w:hAnsi="Traditional Arabic" w:cs="Traditional Arabic" w:hint="eastAsia"/>
          <w:sz w:val="30"/>
          <w:szCs w:val="30"/>
          <w:rtl/>
        </w:rPr>
        <w:t>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تت</w:t>
      </w:r>
      <w:r w:rsidRPr="00B934CE">
        <w:rPr>
          <w:rFonts w:ascii="Traditional Arabic" w:eastAsiaTheme="majorEastAsia" w:hAnsi="Traditional Arabic" w:cs="Traditional Arabic"/>
          <w:sz w:val="30"/>
          <w:szCs w:val="30"/>
          <w:rtl/>
        </w:rPr>
        <w:t xml:space="preserve">راوح عادة من </w:t>
      </w:r>
      <w:r w:rsidRPr="00B934CE">
        <w:rPr>
          <w:rFonts w:ascii="Traditional Arabic" w:eastAsiaTheme="majorEastAsia" w:hAnsi="Traditional Arabic" w:cs="Traditional Arabic" w:hint="eastAsia"/>
          <w:sz w:val="30"/>
          <w:szCs w:val="30"/>
          <w:rtl/>
        </w:rPr>
        <w:t>سنة</w:t>
      </w:r>
      <w:r w:rsidRPr="00B934CE">
        <w:rPr>
          <w:rFonts w:ascii="Traditional Arabic" w:eastAsiaTheme="majorEastAsia" w:hAnsi="Traditional Arabic" w:cs="Traditional Arabic"/>
          <w:sz w:val="30"/>
          <w:szCs w:val="30"/>
          <w:rtl/>
        </w:rPr>
        <w:t xml:space="preserve"> إلى </w:t>
      </w:r>
      <w:r w:rsidRPr="00B934CE">
        <w:rPr>
          <w:rFonts w:ascii="Traditional Arabic" w:eastAsiaTheme="majorEastAsia" w:hAnsi="Traditional Arabic" w:cs="Traditional Arabic" w:hint="eastAsia"/>
          <w:sz w:val="30"/>
          <w:szCs w:val="30"/>
          <w:rtl/>
        </w:rPr>
        <w:t>ستة</w:t>
      </w:r>
      <w:r w:rsidRPr="00B934CE">
        <w:rPr>
          <w:rFonts w:ascii="Traditional Arabic" w:eastAsiaTheme="majorEastAsia" w:hAnsi="Traditional Arabic" w:cs="Traditional Arabic"/>
          <w:sz w:val="30"/>
          <w:szCs w:val="30"/>
          <w:rtl/>
        </w:rPr>
        <w:t xml:space="preserve"> سنوات، والتي قد تتضمن خيارات للتمديد. تتعلق إيرادات الإيجار التشغيلي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أساسي من تأجير السفن، حيث يأتي </w:t>
      </w:r>
      <w:r w:rsidR="00DC5326">
        <w:rPr>
          <w:rFonts w:ascii="Traditional Arabic" w:eastAsiaTheme="majorEastAsia" w:hAnsi="Traditional Arabic" w:cs="Traditional Arabic" w:hint="cs"/>
          <w:sz w:val="30"/>
          <w:szCs w:val="30"/>
          <w:rtl/>
        </w:rPr>
        <w:t>28.8</w:t>
      </w:r>
      <w:r w:rsidRPr="00B934CE">
        <w:rPr>
          <w:rFonts w:ascii="Traditional Arabic" w:eastAsiaTheme="majorEastAsia" w:hAnsi="Traditional Arabic" w:cs="Traditional Arabic"/>
          <w:sz w:val="30"/>
          <w:szCs w:val="30"/>
        </w:rPr>
        <w:t xml:space="preserve"> </w:t>
      </w:r>
      <w:r w:rsidRPr="00B934CE">
        <w:rPr>
          <w:rFonts w:ascii="Traditional Arabic" w:eastAsiaTheme="majorEastAsia" w:hAnsi="Traditional Arabic" w:cs="Traditional Arabic"/>
          <w:sz w:val="30"/>
          <w:szCs w:val="30"/>
          <w:rtl/>
        </w:rPr>
        <w:t xml:space="preserve">% من سفن النفط الخام العملاقة، و </w:t>
      </w:r>
      <w:r w:rsidR="00DC5326">
        <w:rPr>
          <w:rFonts w:ascii="Traditional Arabic" w:eastAsiaTheme="majorEastAsia" w:hAnsi="Traditional Arabic" w:cs="Traditional Arabic" w:hint="cs"/>
          <w:sz w:val="30"/>
          <w:szCs w:val="30"/>
          <w:rtl/>
        </w:rPr>
        <w:t>36.1</w:t>
      </w:r>
      <w:r w:rsidRPr="00B934CE">
        <w:rPr>
          <w:rFonts w:ascii="Traditional Arabic" w:eastAsiaTheme="majorEastAsia" w:hAnsi="Traditional Arabic" w:cs="Traditional Arabic"/>
          <w:sz w:val="30"/>
          <w:szCs w:val="30"/>
          <w:rtl/>
        </w:rPr>
        <w:t xml:space="preserve">% من ناقلات المنتجات، و </w:t>
      </w:r>
      <w:r w:rsidR="00DC5326">
        <w:rPr>
          <w:rFonts w:ascii="Traditional Arabic" w:eastAsiaTheme="majorEastAsia" w:hAnsi="Traditional Arabic" w:cs="Traditional Arabic" w:hint="cs"/>
          <w:sz w:val="30"/>
          <w:szCs w:val="30"/>
          <w:rtl/>
        </w:rPr>
        <w:t>12.4</w:t>
      </w:r>
      <w:r w:rsidRPr="00B934CE">
        <w:rPr>
          <w:rFonts w:ascii="Traditional Arabic" w:eastAsiaTheme="majorEastAsia" w:hAnsi="Traditional Arabic" w:cs="Traditional Arabic"/>
          <w:sz w:val="30"/>
          <w:szCs w:val="30"/>
          <w:rtl/>
        </w:rPr>
        <w:t xml:space="preserve">% من ناقلات البضائع السائبة الجافة، و </w:t>
      </w:r>
      <w:r w:rsidR="00041192">
        <w:rPr>
          <w:rFonts w:ascii="Traditional Arabic" w:eastAsiaTheme="majorEastAsia" w:hAnsi="Traditional Arabic" w:cs="Traditional Arabic" w:hint="cs"/>
          <w:sz w:val="30"/>
          <w:szCs w:val="30"/>
          <w:rtl/>
        </w:rPr>
        <w:t>22.7</w:t>
      </w:r>
      <w:r w:rsidRPr="00B934CE">
        <w:rPr>
          <w:rFonts w:ascii="Traditional Arabic" w:eastAsiaTheme="majorEastAsia" w:hAnsi="Traditional Arabic" w:cs="Traditional Arabic"/>
          <w:sz w:val="30"/>
          <w:szCs w:val="30"/>
          <w:rtl/>
        </w:rPr>
        <w:t xml:space="preserve">% من </w:t>
      </w:r>
      <w:r w:rsidRPr="00B934CE">
        <w:rPr>
          <w:rFonts w:ascii="Traditional Arabic" w:eastAsiaTheme="majorEastAsia" w:hAnsi="Traditional Arabic" w:cs="Traditional Arabic" w:hint="eastAsia"/>
          <w:sz w:val="30"/>
          <w:szCs w:val="30"/>
          <w:rtl/>
        </w:rPr>
        <w:t>ناقلات</w:t>
      </w:r>
      <w:r w:rsidRPr="00B934CE">
        <w:rPr>
          <w:rFonts w:ascii="Traditional Arabic" w:eastAsiaTheme="majorEastAsia" w:hAnsi="Traditional Arabic" w:cs="Traditional Arabic"/>
          <w:sz w:val="30"/>
          <w:szCs w:val="30"/>
          <w:rtl/>
        </w:rPr>
        <w:t xml:space="preserve"> ناقلات الغاز، وغيرها.   </w:t>
      </w:r>
    </w:p>
    <w:p w14:paraId="65360285" w14:textId="77777777" w:rsidR="00FD42C7" w:rsidRPr="00B934CE" w:rsidRDefault="00FD42C7"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إيرادات الإيجار التشغيلي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66.4% من 38.4 مليون ريال عماني في السنة المالية 2021 الى 63.9 مليون ريال عماني في السنة المالية 2022، حيث زادت الشركة من عمليات التأجير من خلال استئجار المزيد من السفن.</w:t>
      </w:r>
    </w:p>
    <w:p w14:paraId="640BA7EB" w14:textId="77777777" w:rsidR="00FD42C7" w:rsidRPr="00B934CE" w:rsidRDefault="00FD42C7"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lastRenderedPageBreak/>
        <w:t>ارتفعت</w:t>
      </w:r>
      <w:r w:rsidRPr="00B934CE">
        <w:rPr>
          <w:rFonts w:ascii="Traditional Arabic" w:eastAsiaTheme="majorEastAsia" w:hAnsi="Traditional Arabic" w:cs="Traditional Arabic"/>
          <w:sz w:val="30"/>
          <w:szCs w:val="30"/>
          <w:rtl/>
        </w:rPr>
        <w:t xml:space="preserve"> إيرادات الإيجار التشغيلي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103.1%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63.9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129.8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2023، </w:t>
      </w:r>
      <w:r w:rsidRPr="00B934CE">
        <w:rPr>
          <w:rFonts w:ascii="Traditional Arabic" w:eastAsiaTheme="majorEastAsia" w:hAnsi="Traditional Arabic" w:cs="Traditional Arabic" w:hint="eastAsia"/>
          <w:sz w:val="30"/>
          <w:szCs w:val="30"/>
          <w:rtl/>
        </w:rPr>
        <w:t>نتيجة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قيام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الشركة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w:t>
      </w:r>
      <w:r w:rsidRPr="00B934CE">
        <w:rPr>
          <w:rFonts w:ascii="Traditional Arabic" w:eastAsiaTheme="majorEastAsia" w:hAnsi="Traditional Arabic" w:cs="Traditional Arabic"/>
          <w:sz w:val="30"/>
          <w:szCs w:val="30"/>
          <w:rtl/>
        </w:rPr>
        <w:t>توسيع أنشطة التأجير الخاصة بها بدءًا من السنة المالية 2023</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حيث شكلت الإيرادات من استئجار السفن ربحية </w:t>
      </w:r>
      <w:r w:rsidRPr="00B934CE">
        <w:rPr>
          <w:rFonts w:ascii="Traditional Arabic" w:eastAsiaTheme="majorEastAsia" w:hAnsi="Traditional Arabic" w:cs="Traditional Arabic" w:hint="eastAsia"/>
          <w:sz w:val="30"/>
          <w:szCs w:val="30"/>
          <w:rtl/>
        </w:rPr>
        <w:t>أعلى</w:t>
      </w:r>
      <w:r w:rsidRPr="00B934CE">
        <w:rPr>
          <w:rFonts w:ascii="Traditional Arabic" w:eastAsiaTheme="majorEastAsia" w:hAnsi="Traditional Arabic" w:cs="Traditional Arabic"/>
          <w:sz w:val="30"/>
          <w:szCs w:val="30"/>
          <w:rtl/>
        </w:rPr>
        <w:t xml:space="preserve"> من الاستراتيجيات التشغيلية الأخرى. </w:t>
      </w:r>
    </w:p>
    <w:p w14:paraId="2E35C906" w14:textId="77777777" w:rsidR="00FD42C7" w:rsidRPr="00B934CE" w:rsidRDefault="00FD42C7"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إيرادات الإيجار التشغيلي بنسبة 21.3% من 149.6 مليون ريال عماني في فترة التسعة أشهر المنتهية في 30 سبتمبر 2023 إلى 181.4 مليون ريال عماني في فترة التسعة أشهر المنتهية في 30 سبتمبر 2024 تماشياً مع زيادة عمليات التأجير.</w:t>
      </w:r>
    </w:p>
    <w:p w14:paraId="606DBF2C" w14:textId="77777777" w:rsidR="00FD42C7" w:rsidRPr="00B934CE" w:rsidRDefault="00FD42C7"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إيرادات الإيجار التمويلي</w:t>
      </w:r>
    </w:p>
    <w:p w14:paraId="6D4BEC93" w14:textId="77777777" w:rsidR="00FD42C7" w:rsidRPr="00B934CE" w:rsidRDefault="00FD42C7" w:rsidP="00046FA2">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تشكل</w:t>
      </w:r>
      <w:r w:rsidRPr="00B934CE">
        <w:rPr>
          <w:rFonts w:ascii="Traditional Arabic" w:eastAsiaTheme="majorEastAsia" w:hAnsi="Traditional Arabic" w:cs="Traditional Arabic"/>
          <w:sz w:val="30"/>
          <w:szCs w:val="30"/>
          <w:rtl/>
        </w:rPr>
        <w:t xml:space="preserve"> الإيرادات من الإيجار التمويلي </w:t>
      </w:r>
      <w:r w:rsidR="00046FA2">
        <w:rPr>
          <w:rFonts w:ascii="Traditional Arabic" w:eastAsiaTheme="majorEastAsia" w:hAnsi="Traditional Arabic" w:cs="Traditional Arabic" w:hint="cs"/>
          <w:sz w:val="30"/>
          <w:szCs w:val="30"/>
          <w:rtl/>
        </w:rPr>
        <w:t>4.5</w:t>
      </w:r>
      <w:r w:rsidRPr="00B934CE">
        <w:rPr>
          <w:rFonts w:ascii="Traditional Arabic" w:eastAsiaTheme="majorEastAsia" w:hAnsi="Traditional Arabic" w:cs="Traditional Arabic"/>
          <w:sz w:val="30"/>
          <w:szCs w:val="30"/>
          <w:rtl/>
        </w:rPr>
        <w:t xml:space="preserve">% من الإيرادات </w:t>
      </w:r>
      <w:bookmarkStart w:id="26" w:name="_Hlk185326808"/>
      <w:r w:rsidRPr="00B934CE">
        <w:rPr>
          <w:rFonts w:ascii="Traditional Arabic" w:eastAsiaTheme="majorEastAsia" w:hAnsi="Traditional Arabic" w:cs="Traditional Arabic"/>
          <w:sz w:val="30"/>
          <w:szCs w:val="30"/>
          <w:rtl/>
        </w:rPr>
        <w:t xml:space="preserve">بين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و2024</w:t>
      </w:r>
      <w:bookmarkEnd w:id="26"/>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وت</w:t>
      </w:r>
      <w:r w:rsidRPr="00B934CE">
        <w:rPr>
          <w:rFonts w:ascii="Traditional Arabic" w:eastAsiaTheme="majorEastAsia" w:hAnsi="Traditional Arabic" w:cs="Traditional Arabic"/>
          <w:sz w:val="30"/>
          <w:szCs w:val="30"/>
          <w:rtl/>
        </w:rPr>
        <w:t xml:space="preserve">تعلق بإيجارات التمويل طويلة الأجل مع </w:t>
      </w:r>
      <w:r w:rsidRPr="00B934CE">
        <w:rPr>
          <w:rFonts w:ascii="Traditional Arabic" w:eastAsiaTheme="majorEastAsia" w:hAnsi="Traditional Arabic" w:cs="Traditional Arabic" w:hint="eastAsia"/>
          <w:sz w:val="30"/>
          <w:szCs w:val="30"/>
          <w:rtl/>
        </w:rPr>
        <w:t>أحد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العملاء</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الرئيسيين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للشركة،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والتي</w:t>
      </w:r>
      <w:r w:rsidRPr="00B934CE">
        <w:rPr>
          <w:rFonts w:ascii="Traditional Arabic" w:eastAsiaTheme="majorEastAsia" w:hAnsi="Traditional Arabic" w:cs="Traditional Arabic"/>
          <w:sz w:val="30"/>
          <w:szCs w:val="30"/>
          <w:rtl/>
        </w:rPr>
        <w:t xml:space="preserve"> بموجبها قامت الشركة بتأجير أربع ناقلات معادن خام </w:t>
      </w:r>
      <w:r w:rsidRPr="00B934CE">
        <w:rPr>
          <w:rFonts w:ascii="Traditional Arabic" w:eastAsiaTheme="majorEastAsia" w:hAnsi="Traditional Arabic" w:cs="Traditional Arabic" w:hint="eastAsia"/>
          <w:sz w:val="30"/>
          <w:szCs w:val="30"/>
          <w:rtl/>
        </w:rPr>
        <w:t>عملاقة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sz w:val="30"/>
          <w:szCs w:val="30"/>
        </w:rPr>
        <w:t>VLOCs</w:t>
      </w:r>
      <w:r w:rsidRPr="00B934CE">
        <w:rPr>
          <w:rFonts w:ascii="Traditional Arabic" w:eastAsiaTheme="majorEastAsia" w:hAnsi="Traditional Arabic" w:cs="Traditional Arabic"/>
          <w:sz w:val="30"/>
          <w:szCs w:val="30"/>
          <w:rtl/>
        </w:rPr>
        <w:t xml:space="preserve">) لمدة 20 عامًا بدءًا من سبتمبر 2012 إلى سبتمبر 2032 بمعدل ثابت يومي قدره 20.6 ألف ريال عماني للسفينة. </w:t>
      </w:r>
    </w:p>
    <w:p w14:paraId="14BFAB55" w14:textId="77777777" w:rsidR="00FD42C7" w:rsidRPr="00B934CE" w:rsidRDefault="00FD42C7"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الإيرادات من الإيجار التمويلي بنسبة 4.0% من 18.5 مليون ريال عماني في السنة المالية 2021 الى 17.8 مليون ريال عماني في السنة المالية 2022، ويعود ذلك بشكل رئيسي الى الانخفاض في معدل الايراد للسفينة الواحدة من 6.2 مليون ريال عماني إلى 6.0 مليون ريال عماني خلال نفس الفترة. يتماشى هذا الانخفاض مع جدول إطفاء عقود الإيجار؛ حيث ينخفض رصيد ذمم الإيجار، مما يؤدي إلى انخفاض دخل التمويل بشكل متناسب.</w:t>
      </w:r>
    </w:p>
    <w:p w14:paraId="181C8CF6" w14:textId="77777777" w:rsidR="00FD42C7" w:rsidRPr="00B934CE" w:rsidRDefault="00FD42C7"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الإيرادات من الإيجار التمويلي بنسبة 4.7% من 17.8 مليون ريال عماني في السنة المالية 2022 الى 17.0 مليون ريال عماني في السنة المالية 2023، ويرجع ذلك أساسًا إلى </w:t>
      </w:r>
      <w:bookmarkStart w:id="27" w:name="_Hlk185776999"/>
      <w:r w:rsidRPr="00B934CE">
        <w:rPr>
          <w:rFonts w:ascii="Traditional Arabic" w:eastAsiaTheme="majorEastAsia" w:hAnsi="Traditional Arabic" w:cs="Traditional Arabic"/>
          <w:sz w:val="30"/>
          <w:szCs w:val="30"/>
          <w:rtl/>
        </w:rPr>
        <w:t>إطفاء عقود الإيجار</w:t>
      </w:r>
      <w:r w:rsidRPr="00B934CE">
        <w:rPr>
          <w:rFonts w:ascii="Traditional Arabic" w:eastAsiaTheme="majorEastAsia" w:hAnsi="Traditional Arabic" w:cs="Traditional Arabic"/>
          <w:sz w:val="30"/>
          <w:szCs w:val="30"/>
        </w:rPr>
        <w:t>.</w:t>
      </w:r>
      <w:bookmarkEnd w:id="27"/>
    </w:p>
    <w:p w14:paraId="1A586BDF" w14:textId="77777777" w:rsidR="00FD42C7" w:rsidRDefault="00FD42C7" w:rsidP="00150B31">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الإيرادات من الإيجار التمويلي بنسبة 4.9% من 12.8 مليون ريال عماني في فترة التسعة أشهر المنتهية في 30 سبتمبر 2023 إلى 12.2 مليون ريال عماني في فترة التسعة أشهر المنتهية في 30 سبتمبر 2024، ويرجع ذلك بشكل رئيسي إلى إطفاء عقود الإيجار.</w:t>
      </w:r>
    </w:p>
    <w:p w14:paraId="4D2F0DD2" w14:textId="77777777" w:rsidR="00563389" w:rsidRDefault="00563389" w:rsidP="00563389">
      <w:pPr>
        <w:bidi/>
        <w:spacing w:after="120"/>
        <w:jc w:val="both"/>
        <w:rPr>
          <w:rFonts w:ascii="Traditional Arabic" w:eastAsiaTheme="majorEastAsia" w:hAnsi="Traditional Arabic" w:cs="Traditional Arabic"/>
          <w:sz w:val="30"/>
          <w:szCs w:val="30"/>
        </w:rPr>
      </w:pPr>
    </w:p>
    <w:p w14:paraId="213219E4" w14:textId="77777777" w:rsidR="00563389" w:rsidRPr="00B934CE" w:rsidRDefault="00563389" w:rsidP="00563389">
      <w:pPr>
        <w:pStyle w:val="4"/>
        <w:spacing w:before="0" w:after="120"/>
        <w:rPr>
          <w:rFonts w:ascii="Traditional Arabic" w:hAnsi="Traditional Arabic" w:cs="Traditional Arabic"/>
          <w:i/>
          <w:iCs/>
          <w:color w:val="auto"/>
          <w:sz w:val="30"/>
          <w:szCs w:val="30"/>
        </w:rPr>
      </w:pPr>
      <w:bookmarkStart w:id="28" w:name="_Hlk164870526"/>
      <w:r w:rsidRPr="00B934CE">
        <w:rPr>
          <w:rFonts w:ascii="Traditional Arabic" w:hAnsi="Traditional Arabic" w:cs="Traditional Arabic" w:hint="eastAsia"/>
          <w:i/>
          <w:iCs/>
          <w:color w:val="auto"/>
          <w:sz w:val="30"/>
          <w:szCs w:val="30"/>
          <w:rtl/>
        </w:rPr>
        <w:t>الإيرادات</w:t>
      </w:r>
      <w:r w:rsidRPr="00B934CE">
        <w:rPr>
          <w:rFonts w:ascii="Traditional Arabic" w:hAnsi="Traditional Arabic" w:cs="Traditional Arabic"/>
          <w:i/>
          <w:iCs/>
          <w:color w:val="auto"/>
          <w:sz w:val="30"/>
          <w:szCs w:val="30"/>
          <w:rtl/>
        </w:rPr>
        <w:t xml:space="preserve"> حسب القطاع </w:t>
      </w:r>
    </w:p>
    <w:p w14:paraId="1A180930" w14:textId="77777777" w:rsidR="00563389" w:rsidRPr="00B934CE" w:rsidRDefault="00563389" w:rsidP="00B934CE">
      <w:pPr>
        <w:bidi/>
        <w:jc w:val="both"/>
        <w:rPr>
          <w:rFonts w:ascii="Traditional Arabic" w:eastAsia="Calibri" w:hAnsi="Traditional Arabic" w:cs="Traditional Arabic"/>
          <w:i/>
          <w:iCs/>
          <w:sz w:val="30"/>
          <w:szCs w:val="30"/>
          <w:rtl/>
        </w:rPr>
      </w:pPr>
      <w:r w:rsidRPr="00B934CE">
        <w:rPr>
          <w:rFonts w:ascii="Traditional Arabic" w:eastAsia="Calibri" w:hAnsi="Traditional Arabic" w:cs="Traditional Arabic"/>
          <w:i/>
          <w:iCs/>
          <w:sz w:val="30"/>
          <w:szCs w:val="30"/>
          <w:rtl/>
        </w:rPr>
        <w:t>الجدول‏ ‏: الإيرادات حسب القطاع للسنوات المالية المنتهية في 31 ديسمبر 2021، 2022، و2023، وفترتي التسعة أشهر المنتهيتين في 30 سبتمبر 2023 و2024:</w:t>
      </w:r>
    </w:p>
    <w:tbl>
      <w:tblPr>
        <w:bidiVisual/>
        <w:tblW w:w="9377" w:type="dxa"/>
        <w:tblLook w:val="04A0" w:firstRow="1" w:lastRow="0" w:firstColumn="1" w:lastColumn="0" w:noHBand="0" w:noVBand="1"/>
      </w:tblPr>
      <w:tblGrid>
        <w:gridCol w:w="939"/>
        <w:gridCol w:w="1008"/>
        <w:gridCol w:w="1071"/>
        <w:gridCol w:w="1001"/>
        <w:gridCol w:w="839"/>
        <w:gridCol w:w="839"/>
        <w:gridCol w:w="839"/>
        <w:gridCol w:w="1001"/>
        <w:gridCol w:w="1001"/>
        <w:gridCol w:w="839"/>
      </w:tblGrid>
      <w:tr w:rsidR="00563389" w:rsidRPr="00563389" w14:paraId="3E65B4C0" w14:textId="77777777" w:rsidTr="00922116">
        <w:trPr>
          <w:trHeight w:val="369"/>
        </w:trPr>
        <w:tc>
          <w:tcPr>
            <w:tcW w:w="1265" w:type="dxa"/>
            <w:shd w:val="clear" w:color="auto" w:fill="0B3D85"/>
            <w:vAlign w:val="center"/>
          </w:tcPr>
          <w:p w14:paraId="2725233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 xml:space="preserve">بآلاف الريالات </w:t>
            </w:r>
            <w:r w:rsidRPr="00B934CE">
              <w:rPr>
                <w:rFonts w:ascii="Traditional Arabic" w:hAnsi="Traditional Arabic" w:cs="Traditional Arabic" w:hint="eastAsia"/>
                <w:b/>
                <w:bCs/>
                <w:sz w:val="24"/>
                <w:rtl/>
              </w:rPr>
              <w:t>العمانية</w:t>
            </w:r>
          </w:p>
        </w:tc>
        <w:tc>
          <w:tcPr>
            <w:tcW w:w="1029" w:type="dxa"/>
            <w:shd w:val="clear" w:color="auto" w:fill="0B3D85"/>
            <w:vAlign w:val="center"/>
          </w:tcPr>
          <w:p w14:paraId="56C5F330"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2021</w:t>
            </w:r>
          </w:p>
          <w:p w14:paraId="030F675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1268" w:type="dxa"/>
            <w:shd w:val="clear" w:color="auto" w:fill="0B3D85"/>
            <w:vAlign w:val="center"/>
          </w:tcPr>
          <w:p w14:paraId="00FBFB21"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2022</w:t>
            </w:r>
          </w:p>
          <w:p w14:paraId="5DDDCCE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969" w:type="dxa"/>
            <w:shd w:val="clear" w:color="auto" w:fill="0B3D85"/>
            <w:vAlign w:val="center"/>
          </w:tcPr>
          <w:p w14:paraId="210A6EF7"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2023</w:t>
            </w:r>
          </w:p>
          <w:p w14:paraId="284FB12E"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772" w:type="dxa"/>
            <w:shd w:val="clear" w:color="auto" w:fill="0B3D85"/>
            <w:vAlign w:val="center"/>
          </w:tcPr>
          <w:p w14:paraId="144CF513"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2021- 2022</w:t>
            </w:r>
          </w:p>
        </w:tc>
        <w:tc>
          <w:tcPr>
            <w:tcW w:w="726" w:type="dxa"/>
            <w:shd w:val="clear" w:color="auto" w:fill="0B3D85"/>
            <w:vAlign w:val="center"/>
          </w:tcPr>
          <w:p w14:paraId="676298B1"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2022- 2023</w:t>
            </w:r>
          </w:p>
        </w:tc>
        <w:tc>
          <w:tcPr>
            <w:tcW w:w="761" w:type="dxa"/>
            <w:shd w:val="clear" w:color="auto" w:fill="0B3D85"/>
            <w:vAlign w:val="center"/>
          </w:tcPr>
          <w:p w14:paraId="4C88A06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 xml:space="preserve">معدل النمو المركب </w:t>
            </w:r>
            <w:r w:rsidRPr="00B934CE">
              <w:rPr>
                <w:rFonts w:ascii="Traditional Arabic" w:hAnsi="Traditional Arabic" w:cs="Traditional Arabic"/>
                <w:b/>
                <w:bCs/>
                <w:sz w:val="24"/>
                <w:rtl/>
              </w:rPr>
              <w:lastRenderedPageBreak/>
              <w:t>2021-2023</w:t>
            </w:r>
          </w:p>
        </w:tc>
        <w:tc>
          <w:tcPr>
            <w:tcW w:w="936" w:type="dxa"/>
            <w:shd w:val="clear" w:color="auto" w:fill="0B3D85"/>
            <w:vAlign w:val="center"/>
          </w:tcPr>
          <w:p w14:paraId="307DA087"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lastRenderedPageBreak/>
              <w:t>30 سبتمبر 2023</w:t>
            </w:r>
          </w:p>
          <w:p w14:paraId="5E84151C"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929" w:type="dxa"/>
            <w:shd w:val="clear" w:color="auto" w:fill="0B3D85"/>
            <w:vAlign w:val="center"/>
          </w:tcPr>
          <w:p w14:paraId="0C2ACA9C"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2024</w:t>
            </w:r>
          </w:p>
          <w:p w14:paraId="60AB8AAD"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722" w:type="dxa"/>
            <w:shd w:val="clear" w:color="auto" w:fill="0B3D85"/>
            <w:vAlign w:val="center"/>
          </w:tcPr>
          <w:p w14:paraId="2FF3FE0B"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التغير للفترة 2023-2024</w:t>
            </w:r>
          </w:p>
        </w:tc>
      </w:tr>
      <w:tr w:rsidR="00563389" w:rsidRPr="00563389" w14:paraId="52F880F1" w14:textId="77777777" w:rsidTr="00922116">
        <w:trPr>
          <w:trHeight w:val="20"/>
        </w:trPr>
        <w:tc>
          <w:tcPr>
            <w:tcW w:w="1265" w:type="dxa"/>
            <w:tcBorders>
              <w:bottom w:val="single" w:sz="4" w:space="0" w:color="0B3D85"/>
            </w:tcBorders>
            <w:shd w:val="clear" w:color="auto" w:fill="FFFFFF" w:themeFill="background1"/>
          </w:tcPr>
          <w:p w14:paraId="5ED411E6" w14:textId="77777777" w:rsidR="00563389" w:rsidRPr="00B934CE" w:rsidRDefault="00607B02" w:rsidP="00B934CE">
            <w:pPr>
              <w:bidi/>
              <w:rPr>
                <w:rFonts w:ascii="Traditional Arabic" w:eastAsia="Calibri" w:hAnsi="Traditional Arabic" w:cs="Traditional Arabic"/>
                <w:sz w:val="24"/>
                <w:rtl/>
              </w:rPr>
            </w:pPr>
            <w:r>
              <w:rPr>
                <w:rFonts w:ascii="Traditional Arabic" w:eastAsia="Calibri" w:hAnsi="Traditional Arabic" w:cs="Traditional Arabic" w:hint="eastAsia"/>
                <w:sz w:val="24"/>
                <w:rtl/>
              </w:rPr>
              <w:t>نقل</w:t>
            </w:r>
            <w:r w:rsidR="00563389" w:rsidRPr="00B934CE">
              <w:rPr>
                <w:rFonts w:ascii="Traditional Arabic" w:eastAsia="Calibri" w:hAnsi="Traditional Arabic" w:cs="Traditional Arabic"/>
                <w:sz w:val="24"/>
                <w:rtl/>
              </w:rPr>
              <w:t xml:space="preserve"> </w:t>
            </w:r>
            <w:r w:rsidR="00563389" w:rsidRPr="00B934CE">
              <w:rPr>
                <w:rFonts w:ascii="Traditional Arabic" w:eastAsia="Calibri" w:hAnsi="Traditional Arabic" w:cs="Traditional Arabic" w:hint="eastAsia"/>
                <w:sz w:val="24"/>
                <w:rtl/>
                <w:lang w:bidi="ar-JO"/>
              </w:rPr>
              <w:t>ال</w:t>
            </w:r>
            <w:r w:rsidR="00563389" w:rsidRPr="00B934CE">
              <w:rPr>
                <w:rFonts w:ascii="Traditional Arabic" w:eastAsia="Calibri" w:hAnsi="Traditional Arabic" w:cs="Traditional Arabic" w:hint="eastAsia"/>
                <w:sz w:val="24"/>
                <w:rtl/>
              </w:rPr>
              <w:t>نفط</w:t>
            </w:r>
            <w:r w:rsidR="00563389" w:rsidRPr="00B934CE">
              <w:rPr>
                <w:rFonts w:ascii="Traditional Arabic" w:eastAsia="Calibri" w:hAnsi="Traditional Arabic" w:cs="Traditional Arabic"/>
                <w:sz w:val="24"/>
                <w:rtl/>
              </w:rPr>
              <w:t xml:space="preserve"> </w:t>
            </w:r>
            <w:r w:rsidR="00563389" w:rsidRPr="00B934CE">
              <w:rPr>
                <w:rFonts w:ascii="Traditional Arabic" w:eastAsia="Calibri" w:hAnsi="Traditional Arabic" w:cs="Traditional Arabic" w:hint="eastAsia"/>
                <w:sz w:val="24"/>
                <w:rtl/>
              </w:rPr>
              <w:t>ال</w:t>
            </w:r>
            <w:r w:rsidR="00563389" w:rsidRPr="00B934CE">
              <w:rPr>
                <w:rFonts w:ascii="Traditional Arabic" w:eastAsia="Calibri" w:hAnsi="Traditional Arabic" w:cs="Traditional Arabic"/>
                <w:sz w:val="24"/>
                <w:rtl/>
              </w:rPr>
              <w:t xml:space="preserve">خام </w:t>
            </w:r>
          </w:p>
        </w:tc>
        <w:tc>
          <w:tcPr>
            <w:tcW w:w="1029" w:type="dxa"/>
            <w:tcBorders>
              <w:bottom w:val="single" w:sz="4" w:space="0" w:color="0B3D85"/>
            </w:tcBorders>
            <w:shd w:val="clear" w:color="auto" w:fill="FFFFFF" w:themeFill="background1"/>
            <w:vAlign w:val="center"/>
          </w:tcPr>
          <w:p w14:paraId="08BF90D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75,010</w:t>
            </w:r>
          </w:p>
        </w:tc>
        <w:tc>
          <w:tcPr>
            <w:tcW w:w="1268" w:type="dxa"/>
            <w:tcBorders>
              <w:bottom w:val="single" w:sz="4" w:space="0" w:color="0B3D85"/>
            </w:tcBorders>
            <w:shd w:val="clear" w:color="auto" w:fill="FFFFFF" w:themeFill="background1"/>
            <w:vAlign w:val="center"/>
          </w:tcPr>
          <w:p w14:paraId="3823DA8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116,690</w:t>
            </w:r>
          </w:p>
        </w:tc>
        <w:tc>
          <w:tcPr>
            <w:tcW w:w="969" w:type="dxa"/>
            <w:tcBorders>
              <w:bottom w:val="single" w:sz="4" w:space="0" w:color="0B3D85"/>
            </w:tcBorders>
            <w:shd w:val="clear" w:color="auto" w:fill="FFFFFF" w:themeFill="background1"/>
            <w:vAlign w:val="center"/>
          </w:tcPr>
          <w:p w14:paraId="52841C47" w14:textId="77777777" w:rsidR="00563389" w:rsidRPr="00B934CE" w:rsidRDefault="00563389"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118,613</w:t>
            </w:r>
          </w:p>
        </w:tc>
        <w:tc>
          <w:tcPr>
            <w:tcW w:w="772" w:type="dxa"/>
            <w:tcBorders>
              <w:bottom w:val="single" w:sz="4" w:space="0" w:color="0B3D85"/>
            </w:tcBorders>
            <w:shd w:val="clear" w:color="auto" w:fill="FFFFFF" w:themeFill="background1"/>
            <w:vAlign w:val="center"/>
          </w:tcPr>
          <w:p w14:paraId="313DAD74" w14:textId="77777777" w:rsidR="00563389" w:rsidRPr="00B934CE" w:rsidRDefault="00563389"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55.6%</w:t>
            </w:r>
          </w:p>
        </w:tc>
        <w:tc>
          <w:tcPr>
            <w:tcW w:w="726" w:type="dxa"/>
            <w:tcBorders>
              <w:bottom w:val="single" w:sz="4" w:space="0" w:color="0B3D85"/>
            </w:tcBorders>
            <w:shd w:val="clear" w:color="auto" w:fill="FFFFFF" w:themeFill="background1"/>
            <w:vAlign w:val="center"/>
          </w:tcPr>
          <w:p w14:paraId="263416E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w:t>
            </w:r>
          </w:p>
        </w:tc>
        <w:tc>
          <w:tcPr>
            <w:tcW w:w="761" w:type="dxa"/>
            <w:tcBorders>
              <w:bottom w:val="single" w:sz="4" w:space="0" w:color="0B3D85"/>
            </w:tcBorders>
            <w:shd w:val="clear" w:color="auto" w:fill="FFFFFF" w:themeFill="background1"/>
            <w:vAlign w:val="center"/>
          </w:tcPr>
          <w:p w14:paraId="37606F7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25.7%</w:t>
            </w:r>
          </w:p>
        </w:tc>
        <w:tc>
          <w:tcPr>
            <w:tcW w:w="936" w:type="dxa"/>
            <w:tcBorders>
              <w:bottom w:val="single" w:sz="4" w:space="0" w:color="0B3D85"/>
            </w:tcBorders>
            <w:shd w:val="clear" w:color="auto" w:fill="FFFFFF" w:themeFill="background1"/>
            <w:vAlign w:val="center"/>
          </w:tcPr>
          <w:p w14:paraId="09A2161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91,086</w:t>
            </w:r>
          </w:p>
        </w:tc>
        <w:tc>
          <w:tcPr>
            <w:tcW w:w="929" w:type="dxa"/>
            <w:tcBorders>
              <w:bottom w:val="single" w:sz="4" w:space="0" w:color="0B3D85"/>
            </w:tcBorders>
            <w:shd w:val="clear" w:color="auto" w:fill="FFFFFF" w:themeFill="background1"/>
            <w:vAlign w:val="center"/>
          </w:tcPr>
          <w:p w14:paraId="2A36E1C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74,358</w:t>
            </w:r>
          </w:p>
        </w:tc>
        <w:tc>
          <w:tcPr>
            <w:tcW w:w="722" w:type="dxa"/>
            <w:tcBorders>
              <w:bottom w:val="single" w:sz="4" w:space="0" w:color="0B3D85"/>
            </w:tcBorders>
            <w:shd w:val="clear" w:color="auto" w:fill="FFFFFF" w:themeFill="background1"/>
            <w:vAlign w:val="center"/>
          </w:tcPr>
          <w:p w14:paraId="16804C3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(18.4%)</w:t>
            </w:r>
          </w:p>
        </w:tc>
      </w:tr>
      <w:tr w:rsidR="00563389" w:rsidRPr="00563389" w14:paraId="14461B30"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227788C6" w14:textId="77777777" w:rsidR="00563389" w:rsidRPr="00B934CE" w:rsidRDefault="00607B02" w:rsidP="00B934CE">
            <w:pPr>
              <w:bidi/>
              <w:rPr>
                <w:rFonts w:ascii="Traditional Arabic" w:eastAsia="Calibri" w:hAnsi="Traditional Arabic" w:cs="Traditional Arabic"/>
                <w:sz w:val="24"/>
                <w:rtl/>
              </w:rPr>
            </w:pPr>
            <w:r>
              <w:rPr>
                <w:rFonts w:ascii="Traditional Arabic" w:eastAsia="Calibri" w:hAnsi="Traditional Arabic" w:cs="Traditional Arabic" w:hint="eastAsia"/>
                <w:sz w:val="24"/>
                <w:rtl/>
              </w:rPr>
              <w:t>نقل</w:t>
            </w:r>
            <w:r w:rsidR="00563389" w:rsidRPr="00B934CE">
              <w:rPr>
                <w:rFonts w:ascii="Traditional Arabic" w:eastAsia="Calibri" w:hAnsi="Traditional Arabic" w:cs="Traditional Arabic"/>
                <w:sz w:val="24"/>
                <w:rtl/>
              </w:rPr>
              <w:t xml:space="preserve"> </w:t>
            </w:r>
            <w:r w:rsidR="00563389" w:rsidRPr="00B934CE">
              <w:rPr>
                <w:rFonts w:ascii="Traditional Arabic" w:eastAsia="Calibri" w:hAnsi="Traditional Arabic" w:cs="Traditional Arabic" w:hint="eastAsia"/>
                <w:sz w:val="24"/>
                <w:rtl/>
              </w:rPr>
              <w:t>المنتجات</w:t>
            </w:r>
          </w:p>
        </w:tc>
        <w:tc>
          <w:tcPr>
            <w:tcW w:w="1029" w:type="dxa"/>
            <w:tcBorders>
              <w:top w:val="single" w:sz="4" w:space="0" w:color="0B3D85"/>
              <w:bottom w:val="single" w:sz="4" w:space="0" w:color="0B3D85"/>
            </w:tcBorders>
            <w:shd w:val="clear" w:color="auto" w:fill="FFFFFF" w:themeFill="background1"/>
            <w:vAlign w:val="center"/>
          </w:tcPr>
          <w:p w14:paraId="5EC6EAF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30,230</w:t>
            </w:r>
          </w:p>
        </w:tc>
        <w:tc>
          <w:tcPr>
            <w:tcW w:w="1268" w:type="dxa"/>
            <w:tcBorders>
              <w:top w:val="single" w:sz="4" w:space="0" w:color="0B3D85"/>
              <w:bottom w:val="single" w:sz="4" w:space="0" w:color="0B3D85"/>
            </w:tcBorders>
            <w:shd w:val="clear" w:color="auto" w:fill="FFFFFF" w:themeFill="background1"/>
            <w:vAlign w:val="center"/>
          </w:tcPr>
          <w:p w14:paraId="1032150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57,737</w:t>
            </w:r>
          </w:p>
        </w:tc>
        <w:tc>
          <w:tcPr>
            <w:tcW w:w="969" w:type="dxa"/>
            <w:tcBorders>
              <w:top w:val="single" w:sz="4" w:space="0" w:color="0B3D85"/>
              <w:bottom w:val="single" w:sz="4" w:space="0" w:color="0B3D85"/>
            </w:tcBorders>
            <w:shd w:val="clear" w:color="auto" w:fill="FFFFFF" w:themeFill="background1"/>
            <w:vAlign w:val="center"/>
          </w:tcPr>
          <w:p w14:paraId="6C5D5F9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82,983</w:t>
            </w:r>
          </w:p>
        </w:tc>
        <w:tc>
          <w:tcPr>
            <w:tcW w:w="772" w:type="dxa"/>
            <w:tcBorders>
              <w:top w:val="single" w:sz="4" w:space="0" w:color="0B3D85"/>
              <w:bottom w:val="single" w:sz="4" w:space="0" w:color="0B3D85"/>
            </w:tcBorders>
            <w:shd w:val="clear" w:color="auto" w:fill="FFFFFF" w:themeFill="background1"/>
            <w:vAlign w:val="center"/>
          </w:tcPr>
          <w:p w14:paraId="552930F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91.0%</w:t>
            </w:r>
          </w:p>
        </w:tc>
        <w:tc>
          <w:tcPr>
            <w:tcW w:w="726" w:type="dxa"/>
            <w:tcBorders>
              <w:top w:val="single" w:sz="4" w:space="0" w:color="0B3D85"/>
              <w:bottom w:val="single" w:sz="4" w:space="0" w:color="0B3D85"/>
            </w:tcBorders>
            <w:shd w:val="clear" w:color="auto" w:fill="FFFFFF" w:themeFill="background1"/>
            <w:vAlign w:val="center"/>
          </w:tcPr>
          <w:p w14:paraId="28478EF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43.7%</w:t>
            </w:r>
          </w:p>
        </w:tc>
        <w:tc>
          <w:tcPr>
            <w:tcW w:w="761" w:type="dxa"/>
            <w:tcBorders>
              <w:top w:val="single" w:sz="4" w:space="0" w:color="0B3D85"/>
              <w:bottom w:val="single" w:sz="4" w:space="0" w:color="0B3D85"/>
            </w:tcBorders>
            <w:shd w:val="clear" w:color="auto" w:fill="FFFFFF" w:themeFill="background1"/>
            <w:vAlign w:val="center"/>
          </w:tcPr>
          <w:p w14:paraId="5C43F4B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65.7%</w:t>
            </w:r>
          </w:p>
        </w:tc>
        <w:tc>
          <w:tcPr>
            <w:tcW w:w="936" w:type="dxa"/>
            <w:tcBorders>
              <w:top w:val="single" w:sz="4" w:space="0" w:color="0B3D85"/>
              <w:bottom w:val="single" w:sz="4" w:space="0" w:color="0B3D85"/>
            </w:tcBorders>
            <w:shd w:val="clear" w:color="auto" w:fill="FFFFFF" w:themeFill="background1"/>
            <w:vAlign w:val="center"/>
          </w:tcPr>
          <w:p w14:paraId="360FF4A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61,125</w:t>
            </w:r>
          </w:p>
        </w:tc>
        <w:tc>
          <w:tcPr>
            <w:tcW w:w="929" w:type="dxa"/>
            <w:tcBorders>
              <w:top w:val="single" w:sz="4" w:space="0" w:color="0B3D85"/>
              <w:bottom w:val="single" w:sz="4" w:space="0" w:color="0B3D85"/>
            </w:tcBorders>
            <w:shd w:val="clear" w:color="auto" w:fill="FFFFFF" w:themeFill="background1"/>
            <w:vAlign w:val="center"/>
          </w:tcPr>
          <w:p w14:paraId="1D29CB9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74,219</w:t>
            </w:r>
          </w:p>
        </w:tc>
        <w:tc>
          <w:tcPr>
            <w:tcW w:w="722" w:type="dxa"/>
            <w:tcBorders>
              <w:top w:val="single" w:sz="4" w:space="0" w:color="0B3D85"/>
              <w:bottom w:val="single" w:sz="4" w:space="0" w:color="0B3D85"/>
            </w:tcBorders>
            <w:shd w:val="clear" w:color="auto" w:fill="FFFFFF" w:themeFill="background1"/>
            <w:vAlign w:val="center"/>
          </w:tcPr>
          <w:p w14:paraId="6775262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21.4%</w:t>
            </w:r>
          </w:p>
        </w:tc>
      </w:tr>
      <w:tr w:rsidR="00563389" w:rsidRPr="00563389" w14:paraId="1843349D"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608DB290" w14:textId="77777777" w:rsidR="00563389" w:rsidRPr="00B934CE" w:rsidRDefault="00607B02" w:rsidP="00B934CE">
            <w:pPr>
              <w:bidi/>
              <w:rPr>
                <w:rFonts w:ascii="Traditional Arabic" w:eastAsia="Calibri" w:hAnsi="Traditional Arabic" w:cs="Traditional Arabic"/>
                <w:sz w:val="24"/>
                <w:highlight w:val="yellow"/>
                <w:rtl/>
              </w:rPr>
            </w:pPr>
            <w:r>
              <w:rPr>
                <w:rFonts w:ascii="Traditional Arabic" w:eastAsia="Calibri" w:hAnsi="Traditional Arabic" w:cs="Traditional Arabic"/>
                <w:sz w:val="24"/>
                <w:rtl/>
              </w:rPr>
              <w:t>نقل</w:t>
            </w:r>
            <w:r w:rsidR="00563389" w:rsidRPr="00B934CE">
              <w:rPr>
                <w:rFonts w:ascii="Traditional Arabic" w:eastAsia="Calibri" w:hAnsi="Traditional Arabic" w:cs="Traditional Arabic"/>
                <w:sz w:val="24"/>
                <w:rtl/>
              </w:rPr>
              <w:t xml:space="preserve"> الغاز</w:t>
            </w:r>
          </w:p>
        </w:tc>
        <w:tc>
          <w:tcPr>
            <w:tcW w:w="1029" w:type="dxa"/>
            <w:tcBorders>
              <w:top w:val="single" w:sz="4" w:space="0" w:color="0B3D85"/>
              <w:bottom w:val="single" w:sz="4" w:space="0" w:color="0B3D85"/>
            </w:tcBorders>
            <w:shd w:val="clear" w:color="auto" w:fill="FFFFFF" w:themeFill="background1"/>
            <w:vAlign w:val="center"/>
          </w:tcPr>
          <w:p w14:paraId="37082C0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38,240</w:t>
            </w:r>
          </w:p>
        </w:tc>
        <w:tc>
          <w:tcPr>
            <w:tcW w:w="1268" w:type="dxa"/>
            <w:tcBorders>
              <w:top w:val="single" w:sz="4" w:space="0" w:color="0B3D85"/>
              <w:bottom w:val="single" w:sz="4" w:space="0" w:color="0B3D85"/>
            </w:tcBorders>
            <w:shd w:val="clear" w:color="auto" w:fill="FFFFFF" w:themeFill="background1"/>
            <w:vAlign w:val="center"/>
          </w:tcPr>
          <w:p w14:paraId="4F8D1F9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44,004</w:t>
            </w:r>
          </w:p>
        </w:tc>
        <w:tc>
          <w:tcPr>
            <w:tcW w:w="969" w:type="dxa"/>
            <w:tcBorders>
              <w:top w:val="single" w:sz="4" w:space="0" w:color="0B3D85"/>
              <w:bottom w:val="single" w:sz="4" w:space="0" w:color="0B3D85"/>
            </w:tcBorders>
            <w:shd w:val="clear" w:color="auto" w:fill="FFFFFF" w:themeFill="background1"/>
            <w:vAlign w:val="center"/>
          </w:tcPr>
          <w:p w14:paraId="7400EB8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51,597</w:t>
            </w:r>
          </w:p>
        </w:tc>
        <w:tc>
          <w:tcPr>
            <w:tcW w:w="772" w:type="dxa"/>
            <w:tcBorders>
              <w:top w:val="single" w:sz="4" w:space="0" w:color="0B3D85"/>
              <w:bottom w:val="single" w:sz="4" w:space="0" w:color="0B3D85"/>
            </w:tcBorders>
            <w:shd w:val="clear" w:color="auto" w:fill="FFFFFF" w:themeFill="background1"/>
            <w:vAlign w:val="center"/>
          </w:tcPr>
          <w:p w14:paraId="6258321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15.1%</w:t>
            </w:r>
          </w:p>
        </w:tc>
        <w:tc>
          <w:tcPr>
            <w:tcW w:w="726" w:type="dxa"/>
            <w:tcBorders>
              <w:top w:val="single" w:sz="4" w:space="0" w:color="0B3D85"/>
              <w:bottom w:val="single" w:sz="4" w:space="0" w:color="0B3D85"/>
            </w:tcBorders>
            <w:shd w:val="clear" w:color="auto" w:fill="FFFFFF" w:themeFill="background1"/>
            <w:vAlign w:val="center"/>
          </w:tcPr>
          <w:p w14:paraId="6C86A86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17.3%</w:t>
            </w:r>
          </w:p>
        </w:tc>
        <w:tc>
          <w:tcPr>
            <w:tcW w:w="761" w:type="dxa"/>
            <w:tcBorders>
              <w:top w:val="single" w:sz="4" w:space="0" w:color="0B3D85"/>
              <w:bottom w:val="single" w:sz="4" w:space="0" w:color="0B3D85"/>
            </w:tcBorders>
            <w:shd w:val="clear" w:color="auto" w:fill="FFFFFF" w:themeFill="background1"/>
            <w:vAlign w:val="center"/>
          </w:tcPr>
          <w:p w14:paraId="04F7173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16.2%</w:t>
            </w:r>
          </w:p>
        </w:tc>
        <w:tc>
          <w:tcPr>
            <w:tcW w:w="936" w:type="dxa"/>
            <w:tcBorders>
              <w:top w:val="single" w:sz="4" w:space="0" w:color="0B3D85"/>
              <w:bottom w:val="single" w:sz="4" w:space="0" w:color="0B3D85"/>
            </w:tcBorders>
            <w:shd w:val="clear" w:color="auto" w:fill="FFFFFF" w:themeFill="background1"/>
            <w:vAlign w:val="center"/>
          </w:tcPr>
          <w:p w14:paraId="164166E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38,578</w:t>
            </w:r>
          </w:p>
        </w:tc>
        <w:tc>
          <w:tcPr>
            <w:tcW w:w="929" w:type="dxa"/>
            <w:tcBorders>
              <w:top w:val="single" w:sz="4" w:space="0" w:color="0B3D85"/>
              <w:bottom w:val="single" w:sz="4" w:space="0" w:color="0B3D85"/>
            </w:tcBorders>
            <w:shd w:val="clear" w:color="auto" w:fill="FFFFFF" w:themeFill="background1"/>
            <w:vAlign w:val="center"/>
          </w:tcPr>
          <w:p w14:paraId="6614826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37,513</w:t>
            </w:r>
          </w:p>
        </w:tc>
        <w:tc>
          <w:tcPr>
            <w:tcW w:w="722" w:type="dxa"/>
            <w:tcBorders>
              <w:top w:val="single" w:sz="4" w:space="0" w:color="0B3D85"/>
              <w:bottom w:val="single" w:sz="4" w:space="0" w:color="0B3D85"/>
            </w:tcBorders>
            <w:shd w:val="clear" w:color="auto" w:fill="FFFFFF" w:themeFill="background1"/>
            <w:vAlign w:val="center"/>
          </w:tcPr>
          <w:p w14:paraId="3BDC94B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w:t>
            </w:r>
          </w:p>
        </w:tc>
      </w:tr>
      <w:tr w:rsidR="00563389" w:rsidRPr="00563389" w14:paraId="41B6133F"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65461A9D" w14:textId="77777777" w:rsidR="00563389" w:rsidRPr="00B934CE" w:rsidRDefault="00563389" w:rsidP="00B934CE">
            <w:pPr>
              <w:bidi/>
              <w:rPr>
                <w:rFonts w:ascii="Traditional Arabic" w:eastAsia="Calibri" w:hAnsi="Traditional Arabic" w:cs="Traditional Arabic"/>
                <w:sz w:val="24"/>
                <w:highlight w:val="yellow"/>
                <w:rtl/>
              </w:rPr>
            </w:pPr>
            <w:r w:rsidRPr="00B934CE">
              <w:rPr>
                <w:rFonts w:ascii="Traditional Arabic" w:eastAsia="Calibri" w:hAnsi="Traditional Arabic" w:cs="Traditional Arabic"/>
                <w:sz w:val="24"/>
                <w:rtl/>
              </w:rPr>
              <w:t>ال</w:t>
            </w:r>
            <w:r w:rsidR="00607B02">
              <w:rPr>
                <w:rFonts w:ascii="Traditional Arabic" w:eastAsia="Calibri" w:hAnsi="Traditional Arabic" w:cs="Traditional Arabic"/>
                <w:sz w:val="24"/>
                <w:rtl/>
              </w:rPr>
              <w:t>نقل</w:t>
            </w:r>
            <w:r w:rsidRPr="00B934CE">
              <w:rPr>
                <w:rFonts w:ascii="Traditional Arabic" w:eastAsia="Calibri" w:hAnsi="Traditional Arabic" w:cs="Traditional Arabic"/>
                <w:sz w:val="24"/>
                <w:rtl/>
              </w:rPr>
              <w:t xml:space="preserve"> الملاحي المنتظم</w:t>
            </w:r>
          </w:p>
        </w:tc>
        <w:tc>
          <w:tcPr>
            <w:tcW w:w="1029" w:type="dxa"/>
            <w:tcBorders>
              <w:top w:val="single" w:sz="4" w:space="0" w:color="0B3D85"/>
              <w:bottom w:val="single" w:sz="4" w:space="0" w:color="0B3D85"/>
            </w:tcBorders>
            <w:shd w:val="clear" w:color="auto" w:fill="FFFFFF" w:themeFill="background1"/>
            <w:vAlign w:val="center"/>
          </w:tcPr>
          <w:p w14:paraId="4D77DFF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41,079</w:t>
            </w:r>
          </w:p>
        </w:tc>
        <w:tc>
          <w:tcPr>
            <w:tcW w:w="1268" w:type="dxa"/>
            <w:tcBorders>
              <w:top w:val="single" w:sz="4" w:space="0" w:color="0B3D85"/>
              <w:bottom w:val="single" w:sz="4" w:space="0" w:color="0B3D85"/>
            </w:tcBorders>
            <w:shd w:val="clear" w:color="auto" w:fill="FFFFFF" w:themeFill="background1"/>
            <w:vAlign w:val="center"/>
          </w:tcPr>
          <w:p w14:paraId="0AD8B66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57,264</w:t>
            </w:r>
          </w:p>
        </w:tc>
        <w:tc>
          <w:tcPr>
            <w:tcW w:w="969" w:type="dxa"/>
            <w:tcBorders>
              <w:top w:val="single" w:sz="4" w:space="0" w:color="0B3D85"/>
              <w:bottom w:val="single" w:sz="4" w:space="0" w:color="0B3D85"/>
            </w:tcBorders>
            <w:shd w:val="clear" w:color="auto" w:fill="FFFFFF" w:themeFill="background1"/>
            <w:vAlign w:val="center"/>
          </w:tcPr>
          <w:p w14:paraId="36DAE19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44,248</w:t>
            </w:r>
          </w:p>
        </w:tc>
        <w:tc>
          <w:tcPr>
            <w:tcW w:w="772" w:type="dxa"/>
            <w:tcBorders>
              <w:top w:val="single" w:sz="4" w:space="0" w:color="0B3D85"/>
              <w:bottom w:val="single" w:sz="4" w:space="0" w:color="0B3D85"/>
            </w:tcBorders>
            <w:shd w:val="clear" w:color="auto" w:fill="FFFFFF" w:themeFill="background1"/>
            <w:vAlign w:val="center"/>
          </w:tcPr>
          <w:p w14:paraId="060E2D7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39.4%</w:t>
            </w:r>
          </w:p>
        </w:tc>
        <w:tc>
          <w:tcPr>
            <w:tcW w:w="726" w:type="dxa"/>
            <w:tcBorders>
              <w:top w:val="single" w:sz="4" w:space="0" w:color="0B3D85"/>
              <w:bottom w:val="single" w:sz="4" w:space="0" w:color="0B3D85"/>
            </w:tcBorders>
            <w:shd w:val="clear" w:color="auto" w:fill="FFFFFF" w:themeFill="background1"/>
            <w:vAlign w:val="center"/>
          </w:tcPr>
          <w:p w14:paraId="68F2D12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(22.7%)</w:t>
            </w:r>
          </w:p>
        </w:tc>
        <w:tc>
          <w:tcPr>
            <w:tcW w:w="761" w:type="dxa"/>
            <w:tcBorders>
              <w:top w:val="single" w:sz="4" w:space="0" w:color="0B3D85"/>
              <w:bottom w:val="single" w:sz="4" w:space="0" w:color="0B3D85"/>
            </w:tcBorders>
            <w:shd w:val="clear" w:color="auto" w:fill="FFFFFF" w:themeFill="background1"/>
            <w:vAlign w:val="center"/>
          </w:tcPr>
          <w:p w14:paraId="464E6B0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3.8%</w:t>
            </w:r>
          </w:p>
        </w:tc>
        <w:tc>
          <w:tcPr>
            <w:tcW w:w="936" w:type="dxa"/>
            <w:tcBorders>
              <w:top w:val="single" w:sz="4" w:space="0" w:color="0B3D85"/>
              <w:bottom w:val="single" w:sz="4" w:space="0" w:color="0B3D85"/>
            </w:tcBorders>
            <w:shd w:val="clear" w:color="auto" w:fill="FFFFFF" w:themeFill="background1"/>
            <w:vAlign w:val="center"/>
          </w:tcPr>
          <w:p w14:paraId="496BFB2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32,836</w:t>
            </w:r>
          </w:p>
        </w:tc>
        <w:tc>
          <w:tcPr>
            <w:tcW w:w="929" w:type="dxa"/>
            <w:tcBorders>
              <w:top w:val="single" w:sz="4" w:space="0" w:color="0B3D85"/>
              <w:bottom w:val="single" w:sz="4" w:space="0" w:color="0B3D85"/>
            </w:tcBorders>
            <w:shd w:val="clear" w:color="auto" w:fill="FFFFFF" w:themeFill="background1"/>
            <w:vAlign w:val="center"/>
          </w:tcPr>
          <w:p w14:paraId="4E8ECF5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42,654</w:t>
            </w:r>
          </w:p>
        </w:tc>
        <w:tc>
          <w:tcPr>
            <w:tcW w:w="722" w:type="dxa"/>
            <w:tcBorders>
              <w:top w:val="single" w:sz="4" w:space="0" w:color="0B3D85"/>
              <w:bottom w:val="single" w:sz="4" w:space="0" w:color="0B3D85"/>
            </w:tcBorders>
            <w:shd w:val="clear" w:color="auto" w:fill="FFFFFF" w:themeFill="background1"/>
            <w:vAlign w:val="center"/>
          </w:tcPr>
          <w:p w14:paraId="57B479E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29.9%</w:t>
            </w:r>
          </w:p>
        </w:tc>
      </w:tr>
      <w:tr w:rsidR="00563389" w:rsidRPr="00563389" w14:paraId="4D3BAC55"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010D40CA" w14:textId="77777777" w:rsidR="00563389" w:rsidRPr="00B934CE" w:rsidRDefault="00607B02" w:rsidP="00B934CE">
            <w:pPr>
              <w:bidi/>
              <w:rPr>
                <w:rFonts w:ascii="Traditional Arabic" w:eastAsia="Calibri" w:hAnsi="Traditional Arabic" w:cs="Traditional Arabic"/>
                <w:sz w:val="24"/>
                <w:highlight w:val="yellow"/>
                <w:rtl/>
              </w:rPr>
            </w:pPr>
            <w:r>
              <w:rPr>
                <w:rFonts w:ascii="Traditional Arabic" w:eastAsia="Calibri" w:hAnsi="Traditional Arabic" w:cs="Traditional Arabic"/>
                <w:sz w:val="24"/>
                <w:rtl/>
              </w:rPr>
              <w:t>نقل</w:t>
            </w:r>
            <w:r w:rsidR="00563389" w:rsidRPr="00B934CE">
              <w:rPr>
                <w:rFonts w:ascii="Traditional Arabic" w:eastAsia="Calibri" w:hAnsi="Traditional Arabic" w:cs="Traditional Arabic"/>
                <w:sz w:val="24"/>
                <w:rtl/>
              </w:rPr>
              <w:t xml:space="preserve"> البضائع السائبة الجافة</w:t>
            </w:r>
          </w:p>
        </w:tc>
        <w:tc>
          <w:tcPr>
            <w:tcW w:w="1029" w:type="dxa"/>
            <w:tcBorders>
              <w:top w:val="single" w:sz="4" w:space="0" w:color="0B3D85"/>
              <w:bottom w:val="single" w:sz="4" w:space="0" w:color="0B3D85"/>
            </w:tcBorders>
            <w:shd w:val="clear" w:color="auto" w:fill="FFFFFF" w:themeFill="background1"/>
            <w:vAlign w:val="center"/>
          </w:tcPr>
          <w:p w14:paraId="747B443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57,694</w:t>
            </w:r>
          </w:p>
        </w:tc>
        <w:tc>
          <w:tcPr>
            <w:tcW w:w="1268" w:type="dxa"/>
            <w:tcBorders>
              <w:top w:val="single" w:sz="4" w:space="0" w:color="0B3D85"/>
              <w:bottom w:val="single" w:sz="4" w:space="0" w:color="0B3D85"/>
            </w:tcBorders>
            <w:shd w:val="clear" w:color="auto" w:fill="FFFFFF" w:themeFill="background1"/>
            <w:vAlign w:val="center"/>
          </w:tcPr>
          <w:p w14:paraId="37F60DF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70,890</w:t>
            </w:r>
          </w:p>
        </w:tc>
        <w:tc>
          <w:tcPr>
            <w:tcW w:w="969" w:type="dxa"/>
            <w:tcBorders>
              <w:top w:val="single" w:sz="4" w:space="0" w:color="0B3D85"/>
              <w:bottom w:val="single" w:sz="4" w:space="0" w:color="0B3D85"/>
            </w:tcBorders>
            <w:shd w:val="clear" w:color="auto" w:fill="FFFFFF" w:themeFill="background1"/>
            <w:vAlign w:val="center"/>
          </w:tcPr>
          <w:p w14:paraId="7581888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64,813</w:t>
            </w:r>
          </w:p>
        </w:tc>
        <w:tc>
          <w:tcPr>
            <w:tcW w:w="772" w:type="dxa"/>
            <w:tcBorders>
              <w:top w:val="single" w:sz="4" w:space="0" w:color="0B3D85"/>
              <w:bottom w:val="single" w:sz="4" w:space="0" w:color="0B3D85"/>
            </w:tcBorders>
            <w:shd w:val="clear" w:color="auto" w:fill="FFFFFF" w:themeFill="background1"/>
            <w:vAlign w:val="center"/>
          </w:tcPr>
          <w:p w14:paraId="055F82C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22.9%</w:t>
            </w:r>
          </w:p>
        </w:tc>
        <w:tc>
          <w:tcPr>
            <w:tcW w:w="726" w:type="dxa"/>
            <w:tcBorders>
              <w:top w:val="single" w:sz="4" w:space="0" w:color="0B3D85"/>
              <w:bottom w:val="single" w:sz="4" w:space="0" w:color="0B3D85"/>
            </w:tcBorders>
            <w:shd w:val="clear" w:color="auto" w:fill="FFFFFF" w:themeFill="background1"/>
            <w:vAlign w:val="center"/>
          </w:tcPr>
          <w:p w14:paraId="3C29D1B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(8.6%)</w:t>
            </w:r>
          </w:p>
        </w:tc>
        <w:tc>
          <w:tcPr>
            <w:tcW w:w="761" w:type="dxa"/>
            <w:tcBorders>
              <w:top w:val="single" w:sz="4" w:space="0" w:color="0B3D85"/>
              <w:bottom w:val="single" w:sz="4" w:space="0" w:color="0B3D85"/>
            </w:tcBorders>
            <w:shd w:val="clear" w:color="auto" w:fill="FFFFFF" w:themeFill="background1"/>
            <w:vAlign w:val="center"/>
          </w:tcPr>
          <w:p w14:paraId="2B5EE16D" w14:textId="77777777" w:rsidR="00563389" w:rsidRPr="00B934CE" w:rsidRDefault="00D23838" w:rsidP="00B934CE">
            <w:pPr>
              <w:bidi/>
              <w:jc w:val="center"/>
              <w:rPr>
                <w:rFonts w:ascii="Traditional Arabic" w:eastAsia="Calibri" w:hAnsi="Traditional Arabic" w:cs="Traditional Arabic"/>
                <w:sz w:val="24"/>
                <w:rtl/>
              </w:rPr>
            </w:pPr>
            <w:r>
              <w:rPr>
                <w:rFonts w:ascii="Traditional Arabic" w:eastAsia="Calibri" w:hAnsi="Traditional Arabic" w:cs="Traditional Arabic" w:hint="cs"/>
                <w:sz w:val="24"/>
                <w:rtl/>
              </w:rPr>
              <w:t>9.3</w:t>
            </w:r>
            <w:r w:rsidR="00563389" w:rsidRPr="00B934CE">
              <w:rPr>
                <w:rFonts w:ascii="Traditional Arabic" w:eastAsia="Calibri" w:hAnsi="Traditional Arabic" w:cs="Traditional Arabic"/>
                <w:sz w:val="24"/>
                <w:rtl/>
              </w:rPr>
              <w:t>%</w:t>
            </w:r>
          </w:p>
        </w:tc>
        <w:tc>
          <w:tcPr>
            <w:tcW w:w="936" w:type="dxa"/>
            <w:tcBorders>
              <w:top w:val="single" w:sz="4" w:space="0" w:color="0B3D85"/>
              <w:bottom w:val="single" w:sz="4" w:space="0" w:color="0B3D85"/>
            </w:tcBorders>
            <w:shd w:val="clear" w:color="auto" w:fill="FFFFFF" w:themeFill="background1"/>
            <w:vAlign w:val="center"/>
          </w:tcPr>
          <w:p w14:paraId="71FACFD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49,877</w:t>
            </w:r>
          </w:p>
        </w:tc>
        <w:tc>
          <w:tcPr>
            <w:tcW w:w="929" w:type="dxa"/>
            <w:tcBorders>
              <w:top w:val="single" w:sz="4" w:space="0" w:color="0B3D85"/>
              <w:bottom w:val="single" w:sz="4" w:space="0" w:color="0B3D85"/>
            </w:tcBorders>
            <w:shd w:val="clear" w:color="auto" w:fill="FFFFFF" w:themeFill="background1"/>
            <w:vAlign w:val="center"/>
          </w:tcPr>
          <w:p w14:paraId="3E0347C3" w14:textId="77777777" w:rsidR="00563389" w:rsidRPr="00B934CE" w:rsidRDefault="00563389" w:rsidP="00B934CE">
            <w:pPr>
              <w:bidi/>
              <w:jc w:val="center"/>
              <w:rPr>
                <w:rFonts w:ascii="Traditional Arabic" w:eastAsia="Calibri" w:hAnsi="Traditional Arabic" w:cs="Traditional Arabic"/>
                <w:sz w:val="24"/>
                <w:rtl/>
                <w:lang w:bidi="ar-JO"/>
              </w:rPr>
            </w:pPr>
            <w:r w:rsidRPr="00B934CE">
              <w:rPr>
                <w:rFonts w:ascii="Traditional Arabic" w:eastAsia="Calibri" w:hAnsi="Traditional Arabic" w:cs="Traditional Arabic"/>
                <w:sz w:val="24"/>
                <w:rtl/>
                <w:lang w:bidi="ar-JO"/>
              </w:rPr>
              <w:t>44,906</w:t>
            </w:r>
          </w:p>
        </w:tc>
        <w:tc>
          <w:tcPr>
            <w:tcW w:w="722" w:type="dxa"/>
            <w:tcBorders>
              <w:top w:val="single" w:sz="4" w:space="0" w:color="0B3D85"/>
              <w:bottom w:val="single" w:sz="4" w:space="0" w:color="0B3D85"/>
            </w:tcBorders>
            <w:shd w:val="clear" w:color="auto" w:fill="FFFFFF" w:themeFill="background1"/>
            <w:vAlign w:val="center"/>
          </w:tcPr>
          <w:p w14:paraId="1EE4DE9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(10.0%)</w:t>
            </w:r>
          </w:p>
        </w:tc>
      </w:tr>
      <w:tr w:rsidR="00563389" w:rsidRPr="00563389" w14:paraId="2933155C"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054F072F"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sz w:val="24"/>
                <w:rtl/>
              </w:rPr>
              <w:t>أخرى</w:t>
            </w:r>
          </w:p>
        </w:tc>
        <w:tc>
          <w:tcPr>
            <w:tcW w:w="1029" w:type="dxa"/>
            <w:tcBorders>
              <w:top w:val="single" w:sz="4" w:space="0" w:color="0B3D85"/>
              <w:bottom w:val="single" w:sz="4" w:space="0" w:color="0B3D85"/>
            </w:tcBorders>
            <w:shd w:val="clear" w:color="auto" w:fill="FFFFFF" w:themeFill="background1"/>
            <w:vAlign w:val="center"/>
          </w:tcPr>
          <w:p w14:paraId="43D3426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1,564</w:t>
            </w:r>
          </w:p>
        </w:tc>
        <w:tc>
          <w:tcPr>
            <w:tcW w:w="1268" w:type="dxa"/>
            <w:tcBorders>
              <w:top w:val="single" w:sz="4" w:space="0" w:color="0B3D85"/>
              <w:bottom w:val="single" w:sz="4" w:space="0" w:color="0B3D85"/>
            </w:tcBorders>
            <w:shd w:val="clear" w:color="auto" w:fill="FFFFFF" w:themeFill="background1"/>
            <w:vAlign w:val="center"/>
          </w:tcPr>
          <w:p w14:paraId="1AA8642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1,533</w:t>
            </w:r>
          </w:p>
        </w:tc>
        <w:tc>
          <w:tcPr>
            <w:tcW w:w="969" w:type="dxa"/>
            <w:tcBorders>
              <w:top w:val="single" w:sz="4" w:space="0" w:color="0B3D85"/>
              <w:bottom w:val="single" w:sz="4" w:space="0" w:color="0B3D85"/>
            </w:tcBorders>
            <w:shd w:val="clear" w:color="auto" w:fill="FFFFFF" w:themeFill="background1"/>
            <w:vAlign w:val="center"/>
          </w:tcPr>
          <w:p w14:paraId="491819F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1,462</w:t>
            </w:r>
          </w:p>
        </w:tc>
        <w:tc>
          <w:tcPr>
            <w:tcW w:w="772" w:type="dxa"/>
            <w:tcBorders>
              <w:top w:val="single" w:sz="4" w:space="0" w:color="0B3D85"/>
              <w:bottom w:val="single" w:sz="4" w:space="0" w:color="0B3D85"/>
            </w:tcBorders>
            <w:shd w:val="clear" w:color="auto" w:fill="FFFFFF" w:themeFill="background1"/>
            <w:vAlign w:val="center"/>
          </w:tcPr>
          <w:p w14:paraId="3CA9101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w:t>
            </w:r>
          </w:p>
        </w:tc>
        <w:tc>
          <w:tcPr>
            <w:tcW w:w="726" w:type="dxa"/>
            <w:tcBorders>
              <w:top w:val="single" w:sz="4" w:space="0" w:color="0B3D85"/>
              <w:bottom w:val="single" w:sz="4" w:space="0" w:color="0B3D85"/>
            </w:tcBorders>
            <w:shd w:val="clear" w:color="auto" w:fill="FFFFFF" w:themeFill="background1"/>
            <w:vAlign w:val="center"/>
          </w:tcPr>
          <w:p w14:paraId="3CDB29C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(4.6%)</w:t>
            </w:r>
          </w:p>
        </w:tc>
        <w:tc>
          <w:tcPr>
            <w:tcW w:w="761" w:type="dxa"/>
            <w:tcBorders>
              <w:top w:val="single" w:sz="4" w:space="0" w:color="0B3D85"/>
              <w:bottom w:val="single" w:sz="4" w:space="0" w:color="0B3D85"/>
            </w:tcBorders>
            <w:shd w:val="clear" w:color="auto" w:fill="FFFFFF" w:themeFill="background1"/>
            <w:vAlign w:val="center"/>
          </w:tcPr>
          <w:p w14:paraId="3EDDC46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w:t>
            </w:r>
          </w:p>
        </w:tc>
        <w:tc>
          <w:tcPr>
            <w:tcW w:w="936" w:type="dxa"/>
            <w:tcBorders>
              <w:top w:val="single" w:sz="4" w:space="0" w:color="0B3D85"/>
              <w:bottom w:val="single" w:sz="4" w:space="0" w:color="0B3D85"/>
            </w:tcBorders>
            <w:shd w:val="clear" w:color="auto" w:fill="FFFFFF" w:themeFill="background1"/>
            <w:vAlign w:val="center"/>
          </w:tcPr>
          <w:p w14:paraId="5CC5785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1,115</w:t>
            </w:r>
          </w:p>
        </w:tc>
        <w:tc>
          <w:tcPr>
            <w:tcW w:w="929" w:type="dxa"/>
            <w:tcBorders>
              <w:top w:val="single" w:sz="4" w:space="0" w:color="0B3D85"/>
              <w:bottom w:val="single" w:sz="4" w:space="0" w:color="0B3D85"/>
            </w:tcBorders>
            <w:shd w:val="clear" w:color="auto" w:fill="FFFFFF" w:themeFill="background1"/>
            <w:vAlign w:val="center"/>
          </w:tcPr>
          <w:p w14:paraId="1EA68D4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1,217</w:t>
            </w:r>
          </w:p>
        </w:tc>
        <w:tc>
          <w:tcPr>
            <w:tcW w:w="722" w:type="dxa"/>
            <w:tcBorders>
              <w:top w:val="single" w:sz="4" w:space="0" w:color="0B3D85"/>
              <w:bottom w:val="single" w:sz="4" w:space="0" w:color="0B3D85"/>
            </w:tcBorders>
            <w:shd w:val="clear" w:color="auto" w:fill="FFFFFF" w:themeFill="background1"/>
            <w:vAlign w:val="center"/>
          </w:tcPr>
          <w:p w14:paraId="7686B74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9.2%</w:t>
            </w:r>
          </w:p>
        </w:tc>
      </w:tr>
      <w:tr w:rsidR="00563389" w:rsidRPr="00563389" w14:paraId="165CEF44" w14:textId="77777777" w:rsidTr="00922116">
        <w:trPr>
          <w:trHeight w:val="20"/>
        </w:trPr>
        <w:tc>
          <w:tcPr>
            <w:tcW w:w="1265" w:type="dxa"/>
            <w:tcBorders>
              <w:top w:val="single" w:sz="4" w:space="0" w:color="0B3D85"/>
              <w:bottom w:val="single" w:sz="4" w:space="0" w:color="0B3D85"/>
            </w:tcBorders>
            <w:shd w:val="clear" w:color="auto" w:fill="FFFFFF" w:themeFill="background1"/>
            <w:vAlign w:val="center"/>
          </w:tcPr>
          <w:p w14:paraId="27C74529" w14:textId="77777777" w:rsidR="00563389" w:rsidRPr="00B934CE" w:rsidRDefault="00015768" w:rsidP="00B934CE">
            <w:pPr>
              <w:bidi/>
              <w:rPr>
                <w:rFonts w:ascii="Traditional Arabic" w:eastAsia="Calibri" w:hAnsi="Traditional Arabic" w:cs="Traditional Arabic"/>
                <w:sz w:val="24"/>
                <w:rtl/>
              </w:rPr>
            </w:pPr>
            <w:r>
              <w:rPr>
                <w:rFonts w:ascii="Traditional Arabic" w:eastAsia="Calibri" w:hAnsi="Traditional Arabic" w:cs="Traditional Arabic" w:hint="cs"/>
                <w:b/>
                <w:bCs/>
                <w:sz w:val="24"/>
                <w:rtl/>
              </w:rPr>
              <w:t>الايرادات</w:t>
            </w:r>
          </w:p>
        </w:tc>
        <w:tc>
          <w:tcPr>
            <w:tcW w:w="1029" w:type="dxa"/>
            <w:tcBorders>
              <w:top w:val="single" w:sz="4" w:space="0" w:color="0B3D85"/>
              <w:bottom w:val="single" w:sz="4" w:space="0" w:color="0B3D85"/>
            </w:tcBorders>
            <w:shd w:val="clear" w:color="auto" w:fill="FFFFFF" w:themeFill="background1"/>
            <w:vAlign w:val="center"/>
          </w:tcPr>
          <w:p w14:paraId="22B50E7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243,816</w:t>
            </w:r>
          </w:p>
        </w:tc>
        <w:tc>
          <w:tcPr>
            <w:tcW w:w="1268" w:type="dxa"/>
            <w:tcBorders>
              <w:top w:val="single" w:sz="4" w:space="0" w:color="0B3D85"/>
              <w:bottom w:val="single" w:sz="4" w:space="0" w:color="0B3D85"/>
            </w:tcBorders>
            <w:shd w:val="clear" w:color="auto" w:fill="FFFFFF" w:themeFill="background1"/>
            <w:vAlign w:val="center"/>
          </w:tcPr>
          <w:p w14:paraId="16F8932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348,117</w:t>
            </w:r>
          </w:p>
        </w:tc>
        <w:tc>
          <w:tcPr>
            <w:tcW w:w="969" w:type="dxa"/>
            <w:tcBorders>
              <w:top w:val="single" w:sz="4" w:space="0" w:color="0B3D85"/>
              <w:bottom w:val="single" w:sz="4" w:space="0" w:color="0B3D85"/>
            </w:tcBorders>
            <w:shd w:val="clear" w:color="auto" w:fill="FFFFFF" w:themeFill="background1"/>
            <w:vAlign w:val="center"/>
          </w:tcPr>
          <w:p w14:paraId="5932AB5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363,717</w:t>
            </w:r>
          </w:p>
        </w:tc>
        <w:tc>
          <w:tcPr>
            <w:tcW w:w="772" w:type="dxa"/>
            <w:tcBorders>
              <w:top w:val="single" w:sz="4" w:space="0" w:color="0B3D85"/>
              <w:bottom w:val="single" w:sz="4" w:space="0" w:color="0B3D85"/>
            </w:tcBorders>
            <w:shd w:val="clear" w:color="auto" w:fill="FFFFFF" w:themeFill="background1"/>
            <w:vAlign w:val="center"/>
          </w:tcPr>
          <w:p w14:paraId="07E416D4"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42.8%</w:t>
            </w:r>
          </w:p>
        </w:tc>
        <w:tc>
          <w:tcPr>
            <w:tcW w:w="726" w:type="dxa"/>
            <w:tcBorders>
              <w:top w:val="single" w:sz="4" w:space="0" w:color="0B3D85"/>
              <w:bottom w:val="single" w:sz="4" w:space="0" w:color="0B3D85"/>
            </w:tcBorders>
            <w:shd w:val="clear" w:color="auto" w:fill="FFFFFF" w:themeFill="background1"/>
            <w:vAlign w:val="center"/>
          </w:tcPr>
          <w:p w14:paraId="544C7DE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4.5%</w:t>
            </w:r>
          </w:p>
        </w:tc>
        <w:tc>
          <w:tcPr>
            <w:tcW w:w="761" w:type="dxa"/>
            <w:tcBorders>
              <w:top w:val="single" w:sz="4" w:space="0" w:color="0B3D85"/>
              <w:bottom w:val="single" w:sz="4" w:space="0" w:color="0B3D85"/>
            </w:tcBorders>
            <w:shd w:val="clear" w:color="auto" w:fill="FFFFFF" w:themeFill="background1"/>
            <w:vAlign w:val="center"/>
          </w:tcPr>
          <w:p w14:paraId="158724A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22.1%</w:t>
            </w:r>
          </w:p>
        </w:tc>
        <w:tc>
          <w:tcPr>
            <w:tcW w:w="936" w:type="dxa"/>
            <w:tcBorders>
              <w:top w:val="single" w:sz="4" w:space="0" w:color="0B3D85"/>
              <w:bottom w:val="single" w:sz="4" w:space="0" w:color="0B3D85"/>
            </w:tcBorders>
            <w:shd w:val="clear" w:color="auto" w:fill="FFFFFF" w:themeFill="background1"/>
            <w:vAlign w:val="center"/>
          </w:tcPr>
          <w:p w14:paraId="7C958EFA"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274,617</w:t>
            </w:r>
          </w:p>
        </w:tc>
        <w:tc>
          <w:tcPr>
            <w:tcW w:w="929" w:type="dxa"/>
            <w:tcBorders>
              <w:top w:val="single" w:sz="4" w:space="0" w:color="0B3D85"/>
              <w:bottom w:val="single" w:sz="4" w:space="0" w:color="0B3D85"/>
            </w:tcBorders>
            <w:shd w:val="clear" w:color="auto" w:fill="FFFFFF" w:themeFill="background1"/>
            <w:vAlign w:val="center"/>
          </w:tcPr>
          <w:p w14:paraId="109B0023"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274,867</w:t>
            </w:r>
          </w:p>
        </w:tc>
        <w:tc>
          <w:tcPr>
            <w:tcW w:w="722" w:type="dxa"/>
            <w:tcBorders>
              <w:top w:val="single" w:sz="4" w:space="0" w:color="0B3D85"/>
              <w:bottom w:val="single" w:sz="4" w:space="0" w:color="0B3D85"/>
            </w:tcBorders>
            <w:shd w:val="clear" w:color="auto" w:fill="FFFFFF" w:themeFill="background1"/>
            <w:vAlign w:val="center"/>
          </w:tcPr>
          <w:p w14:paraId="2561072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0.1%</w:t>
            </w:r>
          </w:p>
        </w:tc>
      </w:tr>
      <w:tr w:rsidR="00563389" w:rsidRPr="00563389" w14:paraId="60464CE5" w14:textId="77777777" w:rsidTr="00922116">
        <w:trPr>
          <w:trHeight w:val="179"/>
        </w:trPr>
        <w:tc>
          <w:tcPr>
            <w:tcW w:w="1265" w:type="dxa"/>
            <w:tcBorders>
              <w:top w:val="single" w:sz="4" w:space="0" w:color="0B3D85"/>
              <w:bottom w:val="single" w:sz="4" w:space="0" w:color="0B3D85"/>
            </w:tcBorders>
            <w:shd w:val="clear" w:color="auto" w:fill="F2F2F2" w:themeFill="background1" w:themeFillShade="F2"/>
            <w:vAlign w:val="center"/>
          </w:tcPr>
          <w:p w14:paraId="0653B3BC" w14:textId="77777777" w:rsidR="00563389" w:rsidRPr="00B934CE" w:rsidRDefault="00563389" w:rsidP="00B934CE">
            <w:pPr>
              <w:bidi/>
              <w:rPr>
                <w:rFonts w:ascii="Traditional Arabic" w:eastAsia="Calibri" w:hAnsi="Traditional Arabic" w:cs="Traditional Arabic"/>
                <w:b/>
                <w:bCs/>
                <w:sz w:val="24"/>
                <w:rtl/>
              </w:rPr>
            </w:pPr>
          </w:p>
        </w:tc>
        <w:tc>
          <w:tcPr>
            <w:tcW w:w="3266" w:type="dxa"/>
            <w:gridSpan w:val="3"/>
            <w:tcBorders>
              <w:top w:val="single" w:sz="4" w:space="0" w:color="0B3D85"/>
              <w:bottom w:val="single" w:sz="4" w:space="0" w:color="0B3D85"/>
            </w:tcBorders>
            <w:shd w:val="clear" w:color="auto" w:fill="F2F2F2" w:themeFill="background1" w:themeFillShade="F2"/>
            <w:vAlign w:val="center"/>
          </w:tcPr>
          <w:p w14:paraId="5422F755" w14:textId="77777777" w:rsidR="00563389" w:rsidRPr="00B934CE" w:rsidRDefault="00563389" w:rsidP="00B934CE">
            <w:pPr>
              <w:bidi/>
              <w:jc w:val="center"/>
              <w:rPr>
                <w:rFonts w:ascii="Traditional Arabic" w:hAnsi="Traditional Arabic" w:cs="Traditional Arabic"/>
                <w:sz w:val="24"/>
              </w:rPr>
            </w:pPr>
            <w:r w:rsidRPr="00B934CE">
              <w:rPr>
                <w:rFonts w:ascii="Traditional Arabic" w:hAnsi="Traditional Arabic" w:cs="Traditional Arabic"/>
                <w:sz w:val="24"/>
                <w:rtl/>
              </w:rPr>
              <w:t>كنسبة مئوية من إجمالي الإيرادات</w:t>
            </w:r>
          </w:p>
        </w:tc>
        <w:tc>
          <w:tcPr>
            <w:tcW w:w="2259" w:type="dxa"/>
            <w:gridSpan w:val="3"/>
            <w:tcBorders>
              <w:top w:val="single" w:sz="4" w:space="0" w:color="0B3D85"/>
              <w:bottom w:val="single" w:sz="4" w:space="0" w:color="0B3D85"/>
            </w:tcBorders>
            <w:shd w:val="clear" w:color="auto" w:fill="F2F2F2" w:themeFill="background1" w:themeFillShade="F2"/>
            <w:vAlign w:val="center"/>
          </w:tcPr>
          <w:p w14:paraId="5C774F05" w14:textId="77777777" w:rsidR="00563389" w:rsidRPr="00B934CE" w:rsidRDefault="00563389"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c>
          <w:tcPr>
            <w:tcW w:w="1865" w:type="dxa"/>
            <w:gridSpan w:val="2"/>
            <w:tcBorders>
              <w:top w:val="single" w:sz="4" w:space="0" w:color="0B3D85"/>
              <w:bottom w:val="single" w:sz="4" w:space="0" w:color="0B3D85"/>
            </w:tcBorders>
            <w:shd w:val="clear" w:color="auto" w:fill="F2F2F2" w:themeFill="background1" w:themeFillShade="F2"/>
            <w:vAlign w:val="center"/>
          </w:tcPr>
          <w:p w14:paraId="681F562B" w14:textId="77777777" w:rsidR="00563389" w:rsidRPr="00B934CE" w:rsidRDefault="00563389" w:rsidP="00B934CE">
            <w:pPr>
              <w:bidi/>
              <w:jc w:val="both"/>
              <w:rPr>
                <w:rFonts w:ascii="Traditional Arabic" w:hAnsi="Traditional Arabic" w:cs="Traditional Arabic"/>
                <w:sz w:val="24"/>
                <w:rtl/>
              </w:rPr>
            </w:pPr>
            <w:r w:rsidRPr="00B934CE">
              <w:rPr>
                <w:rFonts w:ascii="Traditional Arabic" w:hAnsi="Traditional Arabic" w:cs="Traditional Arabic"/>
                <w:sz w:val="24"/>
                <w:rtl/>
              </w:rPr>
              <w:t>كنسبة مئوية من إجمالي الإيرادات</w:t>
            </w:r>
          </w:p>
        </w:tc>
        <w:tc>
          <w:tcPr>
            <w:tcW w:w="722" w:type="dxa"/>
            <w:tcBorders>
              <w:top w:val="single" w:sz="4" w:space="0" w:color="0B3D85"/>
              <w:bottom w:val="single" w:sz="4" w:space="0" w:color="0B3D85"/>
            </w:tcBorders>
            <w:shd w:val="clear" w:color="auto" w:fill="F2F2F2" w:themeFill="background1" w:themeFillShade="F2"/>
            <w:vAlign w:val="center"/>
          </w:tcPr>
          <w:p w14:paraId="1539AA48" w14:textId="77777777" w:rsidR="00563389" w:rsidRPr="00B934CE" w:rsidRDefault="00563389"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r>
      <w:tr w:rsidR="00563389" w:rsidRPr="00563389" w14:paraId="3C3664EC"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0400C4A3"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 xml:space="preserve">ناقلة </w:t>
            </w:r>
            <w:r w:rsidRPr="00B934CE">
              <w:rPr>
                <w:rFonts w:ascii="Traditional Arabic" w:eastAsia="Calibri" w:hAnsi="Traditional Arabic" w:cs="Traditional Arabic" w:hint="eastAsia"/>
                <w:sz w:val="24"/>
                <w:rtl/>
              </w:rPr>
              <w:t>نفط</w:t>
            </w:r>
            <w:r w:rsidRPr="00B934CE">
              <w:rPr>
                <w:rFonts w:ascii="Traditional Arabic" w:eastAsia="Calibri" w:hAnsi="Traditional Arabic" w:cs="Traditional Arabic"/>
                <w:sz w:val="24"/>
                <w:rtl/>
              </w:rPr>
              <w:t xml:space="preserve"> خام </w:t>
            </w:r>
            <w:r w:rsidRPr="00B934CE">
              <w:rPr>
                <w:rFonts w:ascii="Traditional Arabic" w:eastAsia="Calibri" w:hAnsi="Traditional Arabic" w:cs="Traditional Arabic" w:hint="eastAsia"/>
                <w:sz w:val="24"/>
                <w:rtl/>
              </w:rPr>
              <w:t>عملاقة</w:t>
            </w:r>
          </w:p>
        </w:tc>
        <w:tc>
          <w:tcPr>
            <w:tcW w:w="1029" w:type="dxa"/>
            <w:tcBorders>
              <w:top w:val="single" w:sz="4" w:space="0" w:color="0B3D85"/>
              <w:bottom w:val="single" w:sz="4" w:space="0" w:color="0B3D85"/>
            </w:tcBorders>
            <w:shd w:val="clear" w:color="auto" w:fill="FFFFFF" w:themeFill="background1"/>
            <w:vAlign w:val="center"/>
          </w:tcPr>
          <w:p w14:paraId="2C8453B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30.8%</w:t>
            </w:r>
          </w:p>
        </w:tc>
        <w:tc>
          <w:tcPr>
            <w:tcW w:w="1268" w:type="dxa"/>
            <w:tcBorders>
              <w:top w:val="single" w:sz="4" w:space="0" w:color="0B3D85"/>
              <w:bottom w:val="single" w:sz="4" w:space="0" w:color="0B3D85"/>
            </w:tcBorders>
            <w:shd w:val="clear" w:color="auto" w:fill="FFFFFF" w:themeFill="background1"/>
            <w:vAlign w:val="center"/>
          </w:tcPr>
          <w:p w14:paraId="6B8C7DA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33.5%</w:t>
            </w:r>
          </w:p>
        </w:tc>
        <w:tc>
          <w:tcPr>
            <w:tcW w:w="969" w:type="dxa"/>
            <w:tcBorders>
              <w:top w:val="single" w:sz="4" w:space="0" w:color="0B3D85"/>
              <w:bottom w:val="single" w:sz="4" w:space="0" w:color="0B3D85"/>
            </w:tcBorders>
            <w:shd w:val="clear" w:color="auto" w:fill="FFFFFF" w:themeFill="background1"/>
            <w:vAlign w:val="center"/>
          </w:tcPr>
          <w:p w14:paraId="07BD584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32.6%</w:t>
            </w:r>
          </w:p>
        </w:tc>
        <w:tc>
          <w:tcPr>
            <w:tcW w:w="772" w:type="dxa"/>
            <w:tcBorders>
              <w:top w:val="single" w:sz="4" w:space="0" w:color="0B3D85"/>
              <w:bottom w:val="single" w:sz="4" w:space="0" w:color="0B3D85"/>
            </w:tcBorders>
            <w:shd w:val="clear" w:color="auto" w:fill="FFFFFF" w:themeFill="background1"/>
            <w:vAlign w:val="center"/>
          </w:tcPr>
          <w:p w14:paraId="05F0186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w:t>
            </w:r>
          </w:p>
        </w:tc>
        <w:tc>
          <w:tcPr>
            <w:tcW w:w="726" w:type="dxa"/>
            <w:tcBorders>
              <w:top w:val="single" w:sz="4" w:space="0" w:color="0B3D85"/>
              <w:bottom w:val="single" w:sz="4" w:space="0" w:color="0B3D85"/>
            </w:tcBorders>
            <w:shd w:val="clear" w:color="auto" w:fill="FFFFFF" w:themeFill="background1"/>
            <w:vAlign w:val="center"/>
          </w:tcPr>
          <w:p w14:paraId="66E5BA6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(0.9)</w:t>
            </w:r>
          </w:p>
        </w:tc>
        <w:tc>
          <w:tcPr>
            <w:tcW w:w="761" w:type="dxa"/>
            <w:tcBorders>
              <w:top w:val="single" w:sz="4" w:space="0" w:color="0B3D85"/>
              <w:bottom w:val="single" w:sz="4" w:space="0" w:color="0B3D85"/>
            </w:tcBorders>
            <w:shd w:val="clear" w:color="auto" w:fill="FFFFFF" w:themeFill="background1"/>
            <w:vAlign w:val="center"/>
          </w:tcPr>
          <w:p w14:paraId="162CF31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w:t>
            </w:r>
          </w:p>
        </w:tc>
        <w:tc>
          <w:tcPr>
            <w:tcW w:w="936" w:type="dxa"/>
            <w:tcBorders>
              <w:top w:val="single" w:sz="4" w:space="0" w:color="0B3D85"/>
              <w:bottom w:val="single" w:sz="4" w:space="0" w:color="0B3D85"/>
            </w:tcBorders>
            <w:shd w:val="clear" w:color="auto" w:fill="FFFFFF" w:themeFill="background1"/>
            <w:vAlign w:val="center"/>
          </w:tcPr>
          <w:p w14:paraId="55765B8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33.2%</w:t>
            </w:r>
          </w:p>
        </w:tc>
        <w:tc>
          <w:tcPr>
            <w:tcW w:w="929" w:type="dxa"/>
            <w:tcBorders>
              <w:top w:val="single" w:sz="4" w:space="0" w:color="0B3D85"/>
              <w:bottom w:val="single" w:sz="4" w:space="0" w:color="0B3D85"/>
            </w:tcBorders>
            <w:shd w:val="clear" w:color="auto" w:fill="FFFFFF" w:themeFill="background1"/>
            <w:vAlign w:val="center"/>
          </w:tcPr>
          <w:p w14:paraId="38A1F6E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27.1%</w:t>
            </w:r>
          </w:p>
        </w:tc>
        <w:tc>
          <w:tcPr>
            <w:tcW w:w="722" w:type="dxa"/>
            <w:tcBorders>
              <w:top w:val="single" w:sz="4" w:space="0" w:color="0B3D85"/>
              <w:bottom w:val="single" w:sz="4" w:space="0" w:color="0B3D85"/>
            </w:tcBorders>
            <w:shd w:val="clear" w:color="auto" w:fill="FFFFFF" w:themeFill="background1"/>
            <w:vAlign w:val="center"/>
          </w:tcPr>
          <w:p w14:paraId="388AB45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(6.1)</w:t>
            </w:r>
          </w:p>
        </w:tc>
      </w:tr>
      <w:tr w:rsidR="00563389" w:rsidRPr="00563389" w14:paraId="00ECD7B9"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0DCA855C" w14:textId="77777777" w:rsidR="00563389" w:rsidRPr="00B934CE" w:rsidRDefault="00607B02" w:rsidP="00B934CE">
            <w:pPr>
              <w:bidi/>
              <w:rPr>
                <w:rFonts w:ascii="Traditional Arabic" w:eastAsia="Calibri" w:hAnsi="Traditional Arabic" w:cs="Traditional Arabic"/>
                <w:b/>
                <w:bCs/>
                <w:sz w:val="24"/>
                <w:rtl/>
              </w:rPr>
            </w:pPr>
            <w:r>
              <w:rPr>
                <w:rFonts w:ascii="Traditional Arabic" w:eastAsia="Calibri" w:hAnsi="Traditional Arabic" w:cs="Traditional Arabic" w:hint="eastAsia"/>
                <w:sz w:val="24"/>
                <w:rtl/>
              </w:rPr>
              <w:t>نقل</w:t>
            </w:r>
            <w:r w:rsidR="00563389" w:rsidRPr="00B934CE">
              <w:rPr>
                <w:rFonts w:ascii="Traditional Arabic" w:eastAsia="Calibri" w:hAnsi="Traditional Arabic" w:cs="Traditional Arabic"/>
                <w:sz w:val="24"/>
                <w:rtl/>
              </w:rPr>
              <w:t xml:space="preserve"> </w:t>
            </w:r>
            <w:r w:rsidR="00563389" w:rsidRPr="00B934CE">
              <w:rPr>
                <w:rFonts w:ascii="Traditional Arabic" w:eastAsia="Calibri" w:hAnsi="Traditional Arabic" w:cs="Traditional Arabic" w:hint="eastAsia"/>
                <w:sz w:val="24"/>
                <w:rtl/>
              </w:rPr>
              <w:t>المنتجات</w:t>
            </w:r>
          </w:p>
        </w:tc>
        <w:tc>
          <w:tcPr>
            <w:tcW w:w="1029" w:type="dxa"/>
            <w:tcBorders>
              <w:top w:val="single" w:sz="4" w:space="0" w:color="0B3D85"/>
              <w:bottom w:val="single" w:sz="4" w:space="0" w:color="0B3D85"/>
            </w:tcBorders>
            <w:shd w:val="clear" w:color="auto" w:fill="FFFFFF" w:themeFill="background1"/>
            <w:vAlign w:val="center"/>
          </w:tcPr>
          <w:p w14:paraId="2D6AC2C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12.4%</w:t>
            </w:r>
          </w:p>
        </w:tc>
        <w:tc>
          <w:tcPr>
            <w:tcW w:w="1268" w:type="dxa"/>
            <w:tcBorders>
              <w:top w:val="single" w:sz="4" w:space="0" w:color="0B3D85"/>
              <w:bottom w:val="single" w:sz="4" w:space="0" w:color="0B3D85"/>
            </w:tcBorders>
            <w:shd w:val="clear" w:color="auto" w:fill="FFFFFF" w:themeFill="background1"/>
            <w:vAlign w:val="center"/>
          </w:tcPr>
          <w:p w14:paraId="73C0555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16.6%</w:t>
            </w:r>
          </w:p>
        </w:tc>
        <w:tc>
          <w:tcPr>
            <w:tcW w:w="969" w:type="dxa"/>
            <w:tcBorders>
              <w:top w:val="single" w:sz="4" w:space="0" w:color="0B3D85"/>
              <w:bottom w:val="single" w:sz="4" w:space="0" w:color="0B3D85"/>
            </w:tcBorders>
            <w:shd w:val="clear" w:color="auto" w:fill="FFFFFF" w:themeFill="background1"/>
            <w:vAlign w:val="center"/>
          </w:tcPr>
          <w:p w14:paraId="3497CCA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22.8%</w:t>
            </w:r>
          </w:p>
        </w:tc>
        <w:tc>
          <w:tcPr>
            <w:tcW w:w="772" w:type="dxa"/>
            <w:tcBorders>
              <w:top w:val="single" w:sz="4" w:space="0" w:color="0B3D85"/>
              <w:bottom w:val="single" w:sz="4" w:space="0" w:color="0B3D85"/>
            </w:tcBorders>
            <w:shd w:val="clear" w:color="auto" w:fill="FFFFFF" w:themeFill="background1"/>
            <w:vAlign w:val="center"/>
          </w:tcPr>
          <w:p w14:paraId="3E92932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4.2</w:t>
            </w:r>
          </w:p>
        </w:tc>
        <w:tc>
          <w:tcPr>
            <w:tcW w:w="726" w:type="dxa"/>
            <w:tcBorders>
              <w:top w:val="single" w:sz="4" w:space="0" w:color="0B3D85"/>
              <w:bottom w:val="single" w:sz="4" w:space="0" w:color="0B3D85"/>
            </w:tcBorders>
            <w:shd w:val="clear" w:color="auto" w:fill="FFFFFF" w:themeFill="background1"/>
            <w:vAlign w:val="center"/>
          </w:tcPr>
          <w:p w14:paraId="18244EB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6.2</w:t>
            </w:r>
          </w:p>
        </w:tc>
        <w:tc>
          <w:tcPr>
            <w:tcW w:w="761" w:type="dxa"/>
            <w:tcBorders>
              <w:top w:val="single" w:sz="4" w:space="0" w:color="0B3D85"/>
              <w:bottom w:val="single" w:sz="4" w:space="0" w:color="0B3D85"/>
            </w:tcBorders>
            <w:shd w:val="clear" w:color="auto" w:fill="FFFFFF" w:themeFill="background1"/>
            <w:vAlign w:val="center"/>
          </w:tcPr>
          <w:p w14:paraId="43ED36A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10.4</w:t>
            </w:r>
          </w:p>
        </w:tc>
        <w:tc>
          <w:tcPr>
            <w:tcW w:w="936" w:type="dxa"/>
            <w:tcBorders>
              <w:top w:val="single" w:sz="4" w:space="0" w:color="0B3D85"/>
              <w:bottom w:val="single" w:sz="4" w:space="0" w:color="0B3D85"/>
            </w:tcBorders>
            <w:shd w:val="clear" w:color="auto" w:fill="FFFFFF" w:themeFill="background1"/>
            <w:vAlign w:val="center"/>
          </w:tcPr>
          <w:p w14:paraId="7E573D0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22.3%</w:t>
            </w:r>
          </w:p>
        </w:tc>
        <w:tc>
          <w:tcPr>
            <w:tcW w:w="929" w:type="dxa"/>
            <w:tcBorders>
              <w:top w:val="single" w:sz="4" w:space="0" w:color="0B3D85"/>
              <w:bottom w:val="single" w:sz="4" w:space="0" w:color="0B3D85"/>
            </w:tcBorders>
            <w:shd w:val="clear" w:color="auto" w:fill="FFFFFF" w:themeFill="background1"/>
            <w:vAlign w:val="center"/>
          </w:tcPr>
          <w:p w14:paraId="73CDEA0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27.0%</w:t>
            </w:r>
          </w:p>
        </w:tc>
        <w:tc>
          <w:tcPr>
            <w:tcW w:w="722" w:type="dxa"/>
            <w:tcBorders>
              <w:top w:val="single" w:sz="4" w:space="0" w:color="0B3D85"/>
              <w:bottom w:val="single" w:sz="4" w:space="0" w:color="0B3D85"/>
            </w:tcBorders>
            <w:shd w:val="clear" w:color="auto" w:fill="FFFFFF" w:themeFill="background1"/>
            <w:vAlign w:val="center"/>
          </w:tcPr>
          <w:p w14:paraId="3D97BAF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w:t>
            </w:r>
          </w:p>
        </w:tc>
      </w:tr>
      <w:tr w:rsidR="00563389" w:rsidRPr="00563389" w14:paraId="69612840"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191C91F3" w14:textId="77777777" w:rsidR="00563389" w:rsidRPr="00B934CE" w:rsidRDefault="00607B02" w:rsidP="00B934CE">
            <w:pPr>
              <w:bidi/>
              <w:rPr>
                <w:rFonts w:ascii="Traditional Arabic" w:eastAsia="Calibri" w:hAnsi="Traditional Arabic" w:cs="Traditional Arabic"/>
                <w:b/>
                <w:bCs/>
                <w:sz w:val="24"/>
                <w:rtl/>
              </w:rPr>
            </w:pPr>
            <w:r>
              <w:rPr>
                <w:rFonts w:ascii="Traditional Arabic" w:eastAsia="Calibri" w:hAnsi="Traditional Arabic" w:cs="Traditional Arabic"/>
                <w:sz w:val="24"/>
                <w:rtl/>
              </w:rPr>
              <w:t>نقل</w:t>
            </w:r>
            <w:r w:rsidR="00563389" w:rsidRPr="00B934CE">
              <w:rPr>
                <w:rFonts w:ascii="Traditional Arabic" w:eastAsia="Calibri" w:hAnsi="Traditional Arabic" w:cs="Traditional Arabic"/>
                <w:sz w:val="24"/>
                <w:rtl/>
              </w:rPr>
              <w:t xml:space="preserve"> الغاز</w:t>
            </w:r>
          </w:p>
        </w:tc>
        <w:tc>
          <w:tcPr>
            <w:tcW w:w="1029" w:type="dxa"/>
            <w:tcBorders>
              <w:top w:val="single" w:sz="4" w:space="0" w:color="0B3D85"/>
              <w:bottom w:val="single" w:sz="4" w:space="0" w:color="0B3D85"/>
            </w:tcBorders>
            <w:shd w:val="clear" w:color="auto" w:fill="FFFFFF" w:themeFill="background1"/>
            <w:vAlign w:val="center"/>
          </w:tcPr>
          <w:p w14:paraId="7817E48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15.7%</w:t>
            </w:r>
          </w:p>
        </w:tc>
        <w:tc>
          <w:tcPr>
            <w:tcW w:w="1268" w:type="dxa"/>
            <w:tcBorders>
              <w:top w:val="single" w:sz="4" w:space="0" w:color="0B3D85"/>
              <w:bottom w:val="single" w:sz="4" w:space="0" w:color="0B3D85"/>
            </w:tcBorders>
            <w:shd w:val="clear" w:color="auto" w:fill="FFFFFF" w:themeFill="background1"/>
            <w:vAlign w:val="center"/>
          </w:tcPr>
          <w:p w14:paraId="47A6FEC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12.6%</w:t>
            </w:r>
          </w:p>
        </w:tc>
        <w:tc>
          <w:tcPr>
            <w:tcW w:w="969" w:type="dxa"/>
            <w:tcBorders>
              <w:top w:val="single" w:sz="4" w:space="0" w:color="0B3D85"/>
              <w:bottom w:val="single" w:sz="4" w:space="0" w:color="0B3D85"/>
            </w:tcBorders>
            <w:shd w:val="clear" w:color="auto" w:fill="FFFFFF" w:themeFill="background1"/>
            <w:vAlign w:val="center"/>
          </w:tcPr>
          <w:p w14:paraId="6C89C1F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14.2%</w:t>
            </w:r>
          </w:p>
        </w:tc>
        <w:tc>
          <w:tcPr>
            <w:tcW w:w="772" w:type="dxa"/>
            <w:tcBorders>
              <w:top w:val="single" w:sz="4" w:space="0" w:color="0B3D85"/>
              <w:bottom w:val="single" w:sz="4" w:space="0" w:color="0B3D85"/>
            </w:tcBorders>
            <w:shd w:val="clear" w:color="auto" w:fill="FFFFFF" w:themeFill="background1"/>
            <w:vAlign w:val="center"/>
          </w:tcPr>
          <w:p w14:paraId="7BE3AD4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(3.0)</w:t>
            </w:r>
          </w:p>
        </w:tc>
        <w:tc>
          <w:tcPr>
            <w:tcW w:w="726" w:type="dxa"/>
            <w:tcBorders>
              <w:top w:val="single" w:sz="4" w:space="0" w:color="0B3D85"/>
              <w:bottom w:val="single" w:sz="4" w:space="0" w:color="0B3D85"/>
            </w:tcBorders>
            <w:shd w:val="clear" w:color="auto" w:fill="FFFFFF" w:themeFill="background1"/>
            <w:vAlign w:val="center"/>
          </w:tcPr>
          <w:p w14:paraId="687B304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w:t>
            </w:r>
          </w:p>
        </w:tc>
        <w:tc>
          <w:tcPr>
            <w:tcW w:w="761" w:type="dxa"/>
            <w:tcBorders>
              <w:top w:val="single" w:sz="4" w:space="0" w:color="0B3D85"/>
              <w:bottom w:val="single" w:sz="4" w:space="0" w:color="0B3D85"/>
            </w:tcBorders>
            <w:shd w:val="clear" w:color="auto" w:fill="FFFFFF" w:themeFill="background1"/>
            <w:vAlign w:val="center"/>
          </w:tcPr>
          <w:p w14:paraId="58F798D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w:t>
            </w:r>
          </w:p>
        </w:tc>
        <w:tc>
          <w:tcPr>
            <w:tcW w:w="936" w:type="dxa"/>
            <w:tcBorders>
              <w:top w:val="single" w:sz="4" w:space="0" w:color="0B3D85"/>
              <w:bottom w:val="single" w:sz="4" w:space="0" w:color="0B3D85"/>
            </w:tcBorders>
            <w:shd w:val="clear" w:color="auto" w:fill="FFFFFF" w:themeFill="background1"/>
            <w:vAlign w:val="center"/>
          </w:tcPr>
          <w:p w14:paraId="2DAE43E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14.0%</w:t>
            </w:r>
          </w:p>
        </w:tc>
        <w:tc>
          <w:tcPr>
            <w:tcW w:w="929" w:type="dxa"/>
            <w:tcBorders>
              <w:top w:val="single" w:sz="4" w:space="0" w:color="0B3D85"/>
              <w:bottom w:val="single" w:sz="4" w:space="0" w:color="0B3D85"/>
            </w:tcBorders>
            <w:shd w:val="clear" w:color="auto" w:fill="FFFFFF" w:themeFill="background1"/>
            <w:vAlign w:val="center"/>
          </w:tcPr>
          <w:p w14:paraId="11707ED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13.6%</w:t>
            </w:r>
          </w:p>
        </w:tc>
        <w:tc>
          <w:tcPr>
            <w:tcW w:w="722" w:type="dxa"/>
            <w:tcBorders>
              <w:top w:val="single" w:sz="4" w:space="0" w:color="0B3D85"/>
              <w:bottom w:val="single" w:sz="4" w:space="0" w:color="0B3D85"/>
            </w:tcBorders>
            <w:shd w:val="clear" w:color="auto" w:fill="FFFFFF" w:themeFill="background1"/>
            <w:vAlign w:val="center"/>
          </w:tcPr>
          <w:p w14:paraId="23BECA3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(0.4)</w:t>
            </w:r>
          </w:p>
        </w:tc>
      </w:tr>
      <w:tr w:rsidR="00563389" w:rsidRPr="00563389" w14:paraId="0D619B95"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4F5211E4"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ال</w:t>
            </w:r>
            <w:r w:rsidR="00607B02">
              <w:rPr>
                <w:rFonts w:ascii="Traditional Arabic" w:eastAsia="Calibri" w:hAnsi="Traditional Arabic" w:cs="Traditional Arabic"/>
                <w:sz w:val="24"/>
                <w:rtl/>
              </w:rPr>
              <w:t>نقل</w:t>
            </w:r>
            <w:r w:rsidRPr="00B934CE">
              <w:rPr>
                <w:rFonts w:ascii="Traditional Arabic" w:eastAsia="Calibri" w:hAnsi="Traditional Arabic" w:cs="Traditional Arabic"/>
                <w:sz w:val="24"/>
                <w:rtl/>
              </w:rPr>
              <w:t xml:space="preserve"> الملاحي المنتظم</w:t>
            </w:r>
          </w:p>
        </w:tc>
        <w:tc>
          <w:tcPr>
            <w:tcW w:w="1029" w:type="dxa"/>
            <w:tcBorders>
              <w:top w:val="single" w:sz="4" w:space="0" w:color="0B3D85"/>
              <w:bottom w:val="single" w:sz="4" w:space="0" w:color="0B3D85"/>
            </w:tcBorders>
            <w:shd w:val="clear" w:color="auto" w:fill="FFFFFF" w:themeFill="background1"/>
            <w:vAlign w:val="center"/>
          </w:tcPr>
          <w:p w14:paraId="1A852E3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16.8%</w:t>
            </w:r>
          </w:p>
        </w:tc>
        <w:tc>
          <w:tcPr>
            <w:tcW w:w="1268" w:type="dxa"/>
            <w:tcBorders>
              <w:top w:val="single" w:sz="4" w:space="0" w:color="0B3D85"/>
              <w:bottom w:val="single" w:sz="4" w:space="0" w:color="0B3D85"/>
            </w:tcBorders>
            <w:shd w:val="clear" w:color="auto" w:fill="FFFFFF" w:themeFill="background1"/>
            <w:vAlign w:val="center"/>
          </w:tcPr>
          <w:p w14:paraId="024B04B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16.4%</w:t>
            </w:r>
          </w:p>
        </w:tc>
        <w:tc>
          <w:tcPr>
            <w:tcW w:w="969" w:type="dxa"/>
            <w:tcBorders>
              <w:top w:val="single" w:sz="4" w:space="0" w:color="0B3D85"/>
              <w:bottom w:val="single" w:sz="4" w:space="0" w:color="0B3D85"/>
            </w:tcBorders>
            <w:shd w:val="clear" w:color="auto" w:fill="FFFFFF" w:themeFill="background1"/>
            <w:vAlign w:val="center"/>
          </w:tcPr>
          <w:p w14:paraId="1301C42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12.2%</w:t>
            </w:r>
          </w:p>
        </w:tc>
        <w:tc>
          <w:tcPr>
            <w:tcW w:w="772" w:type="dxa"/>
            <w:tcBorders>
              <w:top w:val="single" w:sz="4" w:space="0" w:color="0B3D85"/>
              <w:bottom w:val="single" w:sz="4" w:space="0" w:color="0B3D85"/>
            </w:tcBorders>
            <w:shd w:val="clear" w:color="auto" w:fill="FFFFFF" w:themeFill="background1"/>
            <w:vAlign w:val="center"/>
          </w:tcPr>
          <w:p w14:paraId="45CF629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(0.4)</w:t>
            </w:r>
          </w:p>
        </w:tc>
        <w:tc>
          <w:tcPr>
            <w:tcW w:w="726" w:type="dxa"/>
            <w:tcBorders>
              <w:top w:val="single" w:sz="4" w:space="0" w:color="0B3D85"/>
              <w:bottom w:val="single" w:sz="4" w:space="0" w:color="0B3D85"/>
            </w:tcBorders>
            <w:shd w:val="clear" w:color="auto" w:fill="FFFFFF" w:themeFill="background1"/>
            <w:vAlign w:val="center"/>
          </w:tcPr>
          <w:p w14:paraId="40070C5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(4.3)</w:t>
            </w:r>
          </w:p>
        </w:tc>
        <w:tc>
          <w:tcPr>
            <w:tcW w:w="761" w:type="dxa"/>
            <w:tcBorders>
              <w:top w:val="single" w:sz="4" w:space="0" w:color="0B3D85"/>
              <w:bottom w:val="single" w:sz="4" w:space="0" w:color="0B3D85"/>
            </w:tcBorders>
            <w:shd w:val="clear" w:color="auto" w:fill="FFFFFF" w:themeFill="background1"/>
            <w:vAlign w:val="center"/>
          </w:tcPr>
          <w:p w14:paraId="6970F6E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w:t>
            </w:r>
          </w:p>
        </w:tc>
        <w:tc>
          <w:tcPr>
            <w:tcW w:w="936" w:type="dxa"/>
            <w:tcBorders>
              <w:top w:val="single" w:sz="4" w:space="0" w:color="0B3D85"/>
              <w:bottom w:val="single" w:sz="4" w:space="0" w:color="0B3D85"/>
            </w:tcBorders>
            <w:shd w:val="clear" w:color="auto" w:fill="FFFFFF" w:themeFill="background1"/>
            <w:vAlign w:val="center"/>
          </w:tcPr>
          <w:p w14:paraId="2DBD474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12.0%</w:t>
            </w:r>
          </w:p>
        </w:tc>
        <w:tc>
          <w:tcPr>
            <w:tcW w:w="929" w:type="dxa"/>
            <w:tcBorders>
              <w:top w:val="single" w:sz="4" w:space="0" w:color="0B3D85"/>
              <w:bottom w:val="single" w:sz="4" w:space="0" w:color="0B3D85"/>
            </w:tcBorders>
            <w:shd w:val="clear" w:color="auto" w:fill="FFFFFF" w:themeFill="background1"/>
            <w:vAlign w:val="center"/>
          </w:tcPr>
          <w:p w14:paraId="5164213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15.5%</w:t>
            </w:r>
          </w:p>
        </w:tc>
        <w:tc>
          <w:tcPr>
            <w:tcW w:w="722" w:type="dxa"/>
            <w:tcBorders>
              <w:top w:val="single" w:sz="4" w:space="0" w:color="0B3D85"/>
              <w:bottom w:val="single" w:sz="4" w:space="0" w:color="0B3D85"/>
            </w:tcBorders>
            <w:shd w:val="clear" w:color="auto" w:fill="FFFFFF" w:themeFill="background1"/>
            <w:vAlign w:val="center"/>
          </w:tcPr>
          <w:p w14:paraId="095B448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3.6</w:t>
            </w:r>
          </w:p>
        </w:tc>
      </w:tr>
      <w:tr w:rsidR="00563389" w:rsidRPr="00563389" w14:paraId="5DEA227D"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749A6C1B" w14:textId="77777777" w:rsidR="00563389" w:rsidRPr="00B934CE" w:rsidRDefault="00607B02" w:rsidP="00B934CE">
            <w:pPr>
              <w:bidi/>
              <w:rPr>
                <w:rFonts w:ascii="Traditional Arabic" w:eastAsia="Calibri" w:hAnsi="Traditional Arabic" w:cs="Traditional Arabic"/>
                <w:b/>
                <w:bCs/>
                <w:sz w:val="24"/>
                <w:highlight w:val="yellow"/>
                <w:rtl/>
              </w:rPr>
            </w:pPr>
            <w:r>
              <w:rPr>
                <w:rFonts w:ascii="Traditional Arabic" w:eastAsia="Calibri" w:hAnsi="Traditional Arabic" w:cs="Traditional Arabic"/>
                <w:sz w:val="24"/>
                <w:rtl/>
              </w:rPr>
              <w:t>نقل</w:t>
            </w:r>
            <w:r w:rsidR="00563389" w:rsidRPr="00B934CE">
              <w:rPr>
                <w:rFonts w:ascii="Traditional Arabic" w:eastAsia="Calibri" w:hAnsi="Traditional Arabic" w:cs="Traditional Arabic"/>
                <w:sz w:val="24"/>
                <w:rtl/>
              </w:rPr>
              <w:t xml:space="preserve"> البضائع السائبة الجافة</w:t>
            </w:r>
          </w:p>
        </w:tc>
        <w:tc>
          <w:tcPr>
            <w:tcW w:w="1029" w:type="dxa"/>
            <w:tcBorders>
              <w:top w:val="single" w:sz="4" w:space="0" w:color="0B3D85"/>
              <w:bottom w:val="single" w:sz="4" w:space="0" w:color="0B3D85"/>
            </w:tcBorders>
            <w:shd w:val="clear" w:color="auto" w:fill="FFFFFF" w:themeFill="background1"/>
            <w:vAlign w:val="center"/>
          </w:tcPr>
          <w:p w14:paraId="633244D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23.7%</w:t>
            </w:r>
          </w:p>
        </w:tc>
        <w:tc>
          <w:tcPr>
            <w:tcW w:w="1268" w:type="dxa"/>
            <w:tcBorders>
              <w:top w:val="single" w:sz="4" w:space="0" w:color="0B3D85"/>
              <w:bottom w:val="single" w:sz="4" w:space="0" w:color="0B3D85"/>
            </w:tcBorders>
            <w:shd w:val="clear" w:color="auto" w:fill="FFFFFF" w:themeFill="background1"/>
            <w:vAlign w:val="center"/>
          </w:tcPr>
          <w:p w14:paraId="1A88B24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20.4%</w:t>
            </w:r>
          </w:p>
        </w:tc>
        <w:tc>
          <w:tcPr>
            <w:tcW w:w="969" w:type="dxa"/>
            <w:tcBorders>
              <w:top w:val="single" w:sz="4" w:space="0" w:color="0B3D85"/>
              <w:bottom w:val="single" w:sz="4" w:space="0" w:color="0B3D85"/>
            </w:tcBorders>
            <w:shd w:val="clear" w:color="auto" w:fill="FFFFFF" w:themeFill="background1"/>
            <w:vAlign w:val="center"/>
          </w:tcPr>
          <w:p w14:paraId="092BCEB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17.8%</w:t>
            </w:r>
          </w:p>
        </w:tc>
        <w:tc>
          <w:tcPr>
            <w:tcW w:w="772" w:type="dxa"/>
            <w:tcBorders>
              <w:top w:val="single" w:sz="4" w:space="0" w:color="0B3D85"/>
              <w:bottom w:val="single" w:sz="4" w:space="0" w:color="0B3D85"/>
            </w:tcBorders>
            <w:shd w:val="clear" w:color="auto" w:fill="FFFFFF" w:themeFill="background1"/>
            <w:vAlign w:val="center"/>
          </w:tcPr>
          <w:p w14:paraId="70A53D0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w:t>
            </w:r>
          </w:p>
        </w:tc>
        <w:tc>
          <w:tcPr>
            <w:tcW w:w="726" w:type="dxa"/>
            <w:tcBorders>
              <w:top w:val="single" w:sz="4" w:space="0" w:color="0B3D85"/>
              <w:bottom w:val="single" w:sz="4" w:space="0" w:color="0B3D85"/>
            </w:tcBorders>
            <w:shd w:val="clear" w:color="auto" w:fill="FFFFFF" w:themeFill="background1"/>
            <w:vAlign w:val="center"/>
          </w:tcPr>
          <w:p w14:paraId="0E2348D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c>
          <w:tcPr>
            <w:tcW w:w="761" w:type="dxa"/>
            <w:tcBorders>
              <w:top w:val="single" w:sz="4" w:space="0" w:color="0B3D85"/>
              <w:bottom w:val="single" w:sz="4" w:space="0" w:color="0B3D85"/>
            </w:tcBorders>
            <w:shd w:val="clear" w:color="auto" w:fill="FFFFFF" w:themeFill="background1"/>
            <w:vAlign w:val="center"/>
          </w:tcPr>
          <w:p w14:paraId="7AAEB13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(5.8)</w:t>
            </w:r>
          </w:p>
        </w:tc>
        <w:tc>
          <w:tcPr>
            <w:tcW w:w="936" w:type="dxa"/>
            <w:tcBorders>
              <w:top w:val="single" w:sz="4" w:space="0" w:color="0B3D85"/>
              <w:bottom w:val="single" w:sz="4" w:space="0" w:color="0B3D85"/>
            </w:tcBorders>
            <w:shd w:val="clear" w:color="auto" w:fill="FFFFFF" w:themeFill="background1"/>
            <w:vAlign w:val="center"/>
          </w:tcPr>
          <w:p w14:paraId="1AD1FCB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18.2%</w:t>
            </w:r>
          </w:p>
        </w:tc>
        <w:tc>
          <w:tcPr>
            <w:tcW w:w="929" w:type="dxa"/>
            <w:tcBorders>
              <w:top w:val="single" w:sz="4" w:space="0" w:color="0B3D85"/>
              <w:bottom w:val="single" w:sz="4" w:space="0" w:color="0B3D85"/>
            </w:tcBorders>
            <w:shd w:val="clear" w:color="auto" w:fill="FFFFFF" w:themeFill="background1"/>
            <w:vAlign w:val="center"/>
          </w:tcPr>
          <w:p w14:paraId="04D837F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16.3%</w:t>
            </w:r>
          </w:p>
        </w:tc>
        <w:tc>
          <w:tcPr>
            <w:tcW w:w="722" w:type="dxa"/>
            <w:tcBorders>
              <w:top w:val="single" w:sz="4" w:space="0" w:color="0B3D85"/>
              <w:bottom w:val="single" w:sz="4" w:space="0" w:color="0B3D85"/>
            </w:tcBorders>
            <w:shd w:val="clear" w:color="auto" w:fill="FFFFFF" w:themeFill="background1"/>
            <w:vAlign w:val="center"/>
          </w:tcPr>
          <w:p w14:paraId="75E7EFD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w:t>
            </w:r>
          </w:p>
        </w:tc>
      </w:tr>
      <w:tr w:rsidR="00563389" w:rsidRPr="00563389" w14:paraId="6C45DEFE" w14:textId="77777777" w:rsidTr="00922116">
        <w:trPr>
          <w:trHeight w:val="20"/>
        </w:trPr>
        <w:tc>
          <w:tcPr>
            <w:tcW w:w="1265" w:type="dxa"/>
            <w:tcBorders>
              <w:top w:val="single" w:sz="4" w:space="0" w:color="0B3D85"/>
              <w:bottom w:val="single" w:sz="4" w:space="0" w:color="0B3D85"/>
            </w:tcBorders>
            <w:shd w:val="clear" w:color="auto" w:fill="FFFFFF" w:themeFill="background1"/>
          </w:tcPr>
          <w:p w14:paraId="7A3A0593"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أخرى</w:t>
            </w:r>
          </w:p>
        </w:tc>
        <w:tc>
          <w:tcPr>
            <w:tcW w:w="1029" w:type="dxa"/>
            <w:tcBorders>
              <w:top w:val="single" w:sz="4" w:space="0" w:color="0B3D85"/>
              <w:bottom w:val="single" w:sz="4" w:space="0" w:color="0B3D85"/>
            </w:tcBorders>
            <w:shd w:val="clear" w:color="auto" w:fill="FFFFFF" w:themeFill="background1"/>
            <w:vAlign w:val="center"/>
          </w:tcPr>
          <w:p w14:paraId="1EF4D56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0.6%</w:t>
            </w:r>
          </w:p>
        </w:tc>
        <w:tc>
          <w:tcPr>
            <w:tcW w:w="1268" w:type="dxa"/>
            <w:tcBorders>
              <w:top w:val="single" w:sz="4" w:space="0" w:color="0B3D85"/>
              <w:bottom w:val="single" w:sz="4" w:space="0" w:color="0B3D85"/>
            </w:tcBorders>
            <w:shd w:val="clear" w:color="auto" w:fill="FFFFFF" w:themeFill="background1"/>
            <w:vAlign w:val="center"/>
          </w:tcPr>
          <w:p w14:paraId="31AAE98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0.4%</w:t>
            </w:r>
          </w:p>
        </w:tc>
        <w:tc>
          <w:tcPr>
            <w:tcW w:w="969" w:type="dxa"/>
            <w:tcBorders>
              <w:top w:val="single" w:sz="4" w:space="0" w:color="0B3D85"/>
              <w:bottom w:val="single" w:sz="4" w:space="0" w:color="0B3D85"/>
            </w:tcBorders>
            <w:shd w:val="clear" w:color="auto" w:fill="FFFFFF" w:themeFill="background1"/>
            <w:vAlign w:val="center"/>
          </w:tcPr>
          <w:p w14:paraId="04CE444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0.4%</w:t>
            </w:r>
          </w:p>
        </w:tc>
        <w:tc>
          <w:tcPr>
            <w:tcW w:w="772" w:type="dxa"/>
            <w:tcBorders>
              <w:top w:val="single" w:sz="4" w:space="0" w:color="0B3D85"/>
              <w:bottom w:val="single" w:sz="4" w:space="0" w:color="0B3D85"/>
            </w:tcBorders>
            <w:shd w:val="clear" w:color="auto" w:fill="FFFFFF" w:themeFill="background1"/>
            <w:vAlign w:val="center"/>
          </w:tcPr>
          <w:p w14:paraId="781E15E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c>
          <w:tcPr>
            <w:tcW w:w="726" w:type="dxa"/>
            <w:tcBorders>
              <w:top w:val="single" w:sz="4" w:space="0" w:color="0B3D85"/>
              <w:bottom w:val="single" w:sz="4" w:space="0" w:color="0B3D85"/>
            </w:tcBorders>
            <w:shd w:val="clear" w:color="auto" w:fill="FFFFFF" w:themeFill="background1"/>
            <w:vAlign w:val="center"/>
          </w:tcPr>
          <w:p w14:paraId="353B556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1" w:type="dxa"/>
            <w:tcBorders>
              <w:top w:val="single" w:sz="4" w:space="0" w:color="0B3D85"/>
              <w:bottom w:val="single" w:sz="4" w:space="0" w:color="0B3D85"/>
            </w:tcBorders>
            <w:shd w:val="clear" w:color="auto" w:fill="FFFFFF" w:themeFill="background1"/>
            <w:vAlign w:val="center"/>
          </w:tcPr>
          <w:p w14:paraId="4047138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c>
          <w:tcPr>
            <w:tcW w:w="936" w:type="dxa"/>
            <w:tcBorders>
              <w:top w:val="single" w:sz="4" w:space="0" w:color="0B3D85"/>
              <w:bottom w:val="single" w:sz="4" w:space="0" w:color="0B3D85"/>
            </w:tcBorders>
            <w:shd w:val="clear" w:color="auto" w:fill="FFFFFF" w:themeFill="background1"/>
            <w:vAlign w:val="center"/>
          </w:tcPr>
          <w:p w14:paraId="01C4D8B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0.4%</w:t>
            </w:r>
          </w:p>
        </w:tc>
        <w:tc>
          <w:tcPr>
            <w:tcW w:w="929" w:type="dxa"/>
            <w:tcBorders>
              <w:top w:val="single" w:sz="4" w:space="0" w:color="0B3D85"/>
              <w:bottom w:val="single" w:sz="4" w:space="0" w:color="0B3D85"/>
            </w:tcBorders>
            <w:shd w:val="clear" w:color="auto" w:fill="FFFFFF" w:themeFill="background1"/>
            <w:vAlign w:val="center"/>
          </w:tcPr>
          <w:p w14:paraId="77BBBB6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0.4%</w:t>
            </w:r>
          </w:p>
        </w:tc>
        <w:tc>
          <w:tcPr>
            <w:tcW w:w="722" w:type="dxa"/>
            <w:tcBorders>
              <w:top w:val="single" w:sz="4" w:space="0" w:color="0B3D85"/>
              <w:bottom w:val="single" w:sz="4" w:space="0" w:color="0B3D85"/>
            </w:tcBorders>
            <w:shd w:val="clear" w:color="auto" w:fill="FFFFFF" w:themeFill="background1"/>
            <w:vAlign w:val="center"/>
          </w:tcPr>
          <w:p w14:paraId="78122C9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r>
    </w:tbl>
    <w:p w14:paraId="4F88A863" w14:textId="77777777" w:rsidR="00563389" w:rsidRPr="00B934CE" w:rsidRDefault="00563389" w:rsidP="00563389">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sz w:val="30"/>
          <w:szCs w:val="30"/>
          <w:rtl/>
        </w:rPr>
        <w:t xml:space="preserve">يختلف العرض القطاعي وفقًا للقوائم المالية المدققة لفترة التسعة أشهر المنتهية في 30 سبتمبر 2024 عن العرض القطاعي في القوائم المالية المدققة التاريخية للسنوات المنتهية في 31 ديسمبر 2021 و2022 و2023 من حيث تسمية القطاع التجاري </w:t>
      </w:r>
      <w:r w:rsidRPr="00B934CE">
        <w:rPr>
          <w:rFonts w:ascii="Traditional Arabic" w:eastAsiaTheme="majorEastAsia" w:hAnsi="Traditional Arabic" w:cs="Traditional Arabic"/>
          <w:sz w:val="30"/>
          <w:szCs w:val="30"/>
          <w:rtl/>
        </w:rPr>
        <w:lastRenderedPageBreak/>
        <w:t>ودمج ال</w:t>
      </w:r>
      <w:r w:rsidR="00607B02">
        <w:rPr>
          <w:rFonts w:ascii="Traditional Arabic" w:eastAsiaTheme="majorEastAsia" w:hAnsi="Traditional Arabic" w:cs="Traditional Arabic"/>
          <w:sz w:val="30"/>
          <w:szCs w:val="30"/>
          <w:rtl/>
        </w:rPr>
        <w:t>نقل</w:t>
      </w:r>
      <w:r w:rsidRPr="00B934CE">
        <w:rPr>
          <w:rFonts w:ascii="Traditional Arabic" w:eastAsiaTheme="majorEastAsia" w:hAnsi="Traditional Arabic" w:cs="Traditional Arabic"/>
          <w:sz w:val="30"/>
          <w:szCs w:val="30"/>
          <w:rtl/>
        </w:rPr>
        <w:t xml:space="preserve"> الجاف السائب مع سفن </w:t>
      </w:r>
      <w:r w:rsidRPr="00B934CE">
        <w:rPr>
          <w:rFonts w:ascii="Traditional Arabic" w:eastAsiaTheme="majorEastAsia" w:hAnsi="Traditional Arabic" w:cs="Traditional Arabic"/>
          <w:sz w:val="30"/>
          <w:szCs w:val="30"/>
        </w:rPr>
        <w:t>VLOC</w:t>
      </w:r>
      <w:r w:rsidRPr="00B934CE">
        <w:rPr>
          <w:rFonts w:ascii="Traditional Arabic" w:eastAsiaTheme="majorEastAsia" w:hAnsi="Traditional Arabic" w:cs="Traditional Arabic"/>
          <w:sz w:val="30"/>
          <w:szCs w:val="30"/>
          <w:rtl/>
        </w:rPr>
        <w:t xml:space="preserve"> (تاريخيًا) تحت ال</w:t>
      </w:r>
      <w:r w:rsidR="00607B02">
        <w:rPr>
          <w:rFonts w:ascii="Traditional Arabic" w:eastAsiaTheme="majorEastAsia" w:hAnsi="Traditional Arabic" w:cs="Traditional Arabic"/>
          <w:sz w:val="30"/>
          <w:szCs w:val="30"/>
          <w:rtl/>
        </w:rPr>
        <w:t>نقل</w:t>
      </w:r>
      <w:r w:rsidRPr="00B934CE">
        <w:rPr>
          <w:rFonts w:ascii="Traditional Arabic" w:eastAsiaTheme="majorEastAsia" w:hAnsi="Traditional Arabic" w:cs="Traditional Arabic"/>
          <w:sz w:val="30"/>
          <w:szCs w:val="30"/>
          <w:rtl/>
        </w:rPr>
        <w:t xml:space="preserve"> الجاف السائب (حاليًا). يلخص الجدول أدناه الفروقات مع الإشارة إلى أن هذه التغييرات لم يكن لها أي تأثير على إجمالي الإيرادات:</w:t>
      </w:r>
    </w:p>
    <w:p w14:paraId="48B0D061" w14:textId="77777777" w:rsidR="00900056" w:rsidRPr="00B934CE" w:rsidRDefault="00900056" w:rsidP="00B934CE">
      <w:pPr>
        <w:bidi/>
        <w:spacing w:after="120"/>
        <w:jc w:val="both"/>
        <w:rPr>
          <w:rFonts w:ascii="Traditional Arabic" w:eastAsiaTheme="majorEastAsia" w:hAnsi="Traditional Arabic" w:cs="Traditional Arabic"/>
          <w:sz w:val="30"/>
          <w:szCs w:val="30"/>
          <w:rtl/>
        </w:rPr>
      </w:pPr>
    </w:p>
    <w:tbl>
      <w:tblPr>
        <w:tblStyle w:val="TableGrid"/>
        <w:bidiVisual/>
        <w:tblW w:w="0" w:type="auto"/>
        <w:tblLook w:val="04A0" w:firstRow="1" w:lastRow="0" w:firstColumn="1" w:lastColumn="0" w:noHBand="0" w:noVBand="1"/>
      </w:tblPr>
      <w:tblGrid>
        <w:gridCol w:w="4675"/>
        <w:gridCol w:w="4675"/>
      </w:tblGrid>
      <w:tr w:rsidR="00563389" w:rsidRPr="00900056" w14:paraId="31CA8522" w14:textId="77777777" w:rsidTr="00922116">
        <w:tc>
          <w:tcPr>
            <w:tcW w:w="4675" w:type="dxa"/>
          </w:tcPr>
          <w:p w14:paraId="42370117" w14:textId="77777777" w:rsidR="00563389" w:rsidRPr="00B934CE" w:rsidRDefault="00563389"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اسم القطاع كما ورد في القوائم المالية المدققة التاريخية (2021-2023)</w:t>
            </w:r>
          </w:p>
        </w:tc>
        <w:tc>
          <w:tcPr>
            <w:tcW w:w="4675" w:type="dxa"/>
          </w:tcPr>
          <w:p w14:paraId="53319FC1" w14:textId="77777777" w:rsidR="00563389" w:rsidRPr="00B934CE" w:rsidRDefault="00563389" w:rsidP="00B934CE">
            <w:pPr>
              <w:tabs>
                <w:tab w:val="left" w:pos="1291"/>
              </w:tabs>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اسم القطاع كما ورد في القوائم المالية المدققة لفترة التسعة أشهر المنتهية في 30 سبتمبر 2024</w:t>
            </w:r>
          </w:p>
        </w:tc>
      </w:tr>
      <w:tr w:rsidR="00563389" w:rsidRPr="00900056" w14:paraId="33088E07" w14:textId="77777777" w:rsidTr="00922116">
        <w:tc>
          <w:tcPr>
            <w:tcW w:w="4675" w:type="dxa"/>
          </w:tcPr>
          <w:p w14:paraId="416230E9"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ناقلة نفط خام عملاقة</w:t>
            </w:r>
          </w:p>
        </w:tc>
        <w:tc>
          <w:tcPr>
            <w:tcW w:w="4675" w:type="dxa"/>
          </w:tcPr>
          <w:p w14:paraId="6EFB2007" w14:textId="77777777" w:rsidR="00563389" w:rsidRPr="00B934CE" w:rsidRDefault="00607B02" w:rsidP="00B934CE">
            <w:pPr>
              <w:bidi/>
              <w:spacing w:after="120"/>
              <w:jc w:val="both"/>
              <w:rPr>
                <w:rFonts w:ascii="Traditional Arabic" w:eastAsiaTheme="majorEastAsia" w:hAnsi="Traditional Arabic" w:cs="Traditional Arabic"/>
                <w:sz w:val="30"/>
                <w:szCs w:val="30"/>
                <w:highlight w:val="yellow"/>
              </w:rPr>
            </w:pPr>
            <w:r>
              <w:rPr>
                <w:rFonts w:ascii="Traditional Arabic" w:eastAsiaTheme="majorEastAsia" w:hAnsi="Traditional Arabic" w:cs="Traditional Arabic"/>
                <w:sz w:val="30"/>
                <w:szCs w:val="30"/>
                <w:rtl/>
              </w:rPr>
              <w:t>نقل</w:t>
            </w:r>
            <w:r w:rsidR="00563389" w:rsidRPr="00B934CE">
              <w:rPr>
                <w:rFonts w:ascii="Traditional Arabic" w:eastAsiaTheme="majorEastAsia" w:hAnsi="Traditional Arabic" w:cs="Traditional Arabic"/>
                <w:sz w:val="30"/>
                <w:szCs w:val="30"/>
                <w:rtl/>
              </w:rPr>
              <w:t xml:space="preserve"> النفط الخام</w:t>
            </w:r>
          </w:p>
        </w:tc>
      </w:tr>
      <w:tr w:rsidR="00563389" w:rsidRPr="00900056" w14:paraId="17C8CA17" w14:textId="77777777" w:rsidTr="00922116">
        <w:tc>
          <w:tcPr>
            <w:tcW w:w="4675" w:type="dxa"/>
          </w:tcPr>
          <w:p w14:paraId="6A3D6228"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ن</w:t>
            </w:r>
            <w:r w:rsidRPr="00B934CE">
              <w:rPr>
                <w:rFonts w:ascii="Traditional Arabic" w:eastAsiaTheme="majorEastAsia" w:hAnsi="Traditional Arabic" w:cs="Traditional Arabic"/>
                <w:sz w:val="30"/>
                <w:szCs w:val="30"/>
                <w:rtl/>
              </w:rPr>
              <w:t>اقلات</w:t>
            </w:r>
          </w:p>
        </w:tc>
        <w:tc>
          <w:tcPr>
            <w:tcW w:w="4675" w:type="dxa"/>
          </w:tcPr>
          <w:p w14:paraId="4FEB7A89" w14:textId="77777777" w:rsidR="00563389" w:rsidRPr="00B934CE" w:rsidRDefault="00607B02" w:rsidP="00B934CE">
            <w:pPr>
              <w:bidi/>
              <w:spacing w:after="120"/>
              <w:jc w:val="both"/>
              <w:rPr>
                <w:rFonts w:ascii="Traditional Arabic" w:eastAsiaTheme="majorEastAsia" w:hAnsi="Traditional Arabic" w:cs="Traditional Arabic"/>
                <w:sz w:val="30"/>
                <w:szCs w:val="30"/>
                <w:rtl/>
              </w:rPr>
            </w:pPr>
            <w:r>
              <w:rPr>
                <w:rFonts w:ascii="Traditional Arabic" w:eastAsiaTheme="majorEastAsia" w:hAnsi="Traditional Arabic" w:cs="Traditional Arabic"/>
                <w:sz w:val="30"/>
                <w:szCs w:val="30"/>
                <w:rtl/>
              </w:rPr>
              <w:t>نقل</w:t>
            </w:r>
            <w:r w:rsidR="00563389" w:rsidRPr="00B934CE">
              <w:rPr>
                <w:rFonts w:ascii="Traditional Arabic" w:eastAsiaTheme="majorEastAsia" w:hAnsi="Traditional Arabic" w:cs="Traditional Arabic"/>
                <w:sz w:val="30"/>
                <w:szCs w:val="30"/>
                <w:rtl/>
              </w:rPr>
              <w:t xml:space="preserve"> المنتجات</w:t>
            </w:r>
          </w:p>
        </w:tc>
      </w:tr>
      <w:tr w:rsidR="00563389" w:rsidRPr="00900056" w14:paraId="506C9A7A" w14:textId="77777777" w:rsidTr="00922116">
        <w:tc>
          <w:tcPr>
            <w:tcW w:w="4675" w:type="dxa"/>
          </w:tcPr>
          <w:p w14:paraId="0CFD928D"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حاويات</w:t>
            </w:r>
          </w:p>
        </w:tc>
        <w:tc>
          <w:tcPr>
            <w:tcW w:w="4675" w:type="dxa"/>
          </w:tcPr>
          <w:p w14:paraId="76EBD58E"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ال</w:t>
            </w:r>
            <w:r w:rsidR="00607B02">
              <w:rPr>
                <w:rFonts w:ascii="Traditional Arabic" w:eastAsiaTheme="majorEastAsia" w:hAnsi="Traditional Arabic" w:cs="Traditional Arabic" w:hint="eastAsia"/>
                <w:sz w:val="30"/>
                <w:szCs w:val="30"/>
                <w:rtl/>
              </w:rPr>
              <w:t>نقل</w:t>
            </w:r>
            <w:r w:rsidRPr="00B934CE">
              <w:rPr>
                <w:rFonts w:ascii="Traditional Arabic" w:eastAsiaTheme="majorEastAsia" w:hAnsi="Traditional Arabic" w:cs="Traditional Arabic"/>
                <w:sz w:val="30"/>
                <w:szCs w:val="30"/>
                <w:rtl/>
              </w:rPr>
              <w:t xml:space="preserve"> الملاحي المنتظم</w:t>
            </w:r>
          </w:p>
        </w:tc>
      </w:tr>
      <w:tr w:rsidR="00FE609D" w:rsidRPr="00900056" w14:paraId="7D3871DF" w14:textId="77777777" w:rsidTr="00FE609D">
        <w:trPr>
          <w:trHeight w:val="516"/>
        </w:trPr>
        <w:tc>
          <w:tcPr>
            <w:tcW w:w="4675" w:type="dxa"/>
          </w:tcPr>
          <w:p w14:paraId="716F17C1" w14:textId="77777777" w:rsidR="00FE609D" w:rsidRPr="00B934CE" w:rsidRDefault="00FE609D" w:rsidP="00FE609D">
            <w:pPr>
              <w:bidi/>
              <w:spacing w:after="120"/>
              <w:jc w:val="both"/>
              <w:rPr>
                <w:rFonts w:ascii="Traditional Arabic" w:eastAsiaTheme="majorEastAsia" w:hAnsi="Traditional Arabic" w:cs="Traditional Arabic"/>
                <w:sz w:val="30"/>
                <w:szCs w:val="30"/>
              </w:rPr>
            </w:pPr>
            <w:bookmarkStart w:id="29" w:name="_Hlk185780053"/>
            <w:r w:rsidRPr="00B934CE">
              <w:rPr>
                <w:rFonts w:ascii="Traditional Arabic" w:eastAsiaTheme="majorEastAsia" w:hAnsi="Traditional Arabic" w:cs="Traditional Arabic" w:hint="eastAsia"/>
                <w:sz w:val="30"/>
                <w:szCs w:val="30"/>
                <w:rtl/>
              </w:rPr>
              <w:t>سوائب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جافة</w:t>
            </w:r>
            <w:bookmarkEnd w:id="29"/>
          </w:p>
        </w:tc>
        <w:tc>
          <w:tcPr>
            <w:tcW w:w="4675" w:type="dxa"/>
            <w:vMerge w:val="restart"/>
          </w:tcPr>
          <w:p w14:paraId="4DEF345C" w14:textId="77777777" w:rsidR="00FE609D" w:rsidRPr="00FE609D" w:rsidRDefault="00FE609D" w:rsidP="00FE609D">
            <w:pPr>
              <w:bidi/>
              <w:spacing w:after="120"/>
              <w:jc w:val="both"/>
              <w:rPr>
                <w:rFonts w:ascii="Traditional Arabic" w:eastAsiaTheme="majorEastAsia" w:hAnsi="Traditional Arabic" w:cs="Traditional Arabic"/>
                <w:sz w:val="12"/>
                <w:szCs w:val="12"/>
              </w:rPr>
            </w:pPr>
          </w:p>
          <w:p w14:paraId="6CB880F7" w14:textId="77777777" w:rsidR="00FE609D" w:rsidRPr="00B934CE" w:rsidRDefault="00607B02" w:rsidP="00FE609D">
            <w:pPr>
              <w:bidi/>
              <w:spacing w:after="120"/>
              <w:jc w:val="both"/>
              <w:rPr>
                <w:rFonts w:ascii="Traditional Arabic" w:eastAsiaTheme="majorEastAsia" w:hAnsi="Traditional Arabic" w:cs="Traditional Arabic"/>
                <w:sz w:val="30"/>
                <w:szCs w:val="30"/>
                <w:rtl/>
              </w:rPr>
            </w:pPr>
            <w:r>
              <w:rPr>
                <w:rFonts w:ascii="Traditional Arabic" w:eastAsiaTheme="majorEastAsia" w:hAnsi="Traditional Arabic" w:cs="Traditional Arabic"/>
                <w:sz w:val="30"/>
                <w:szCs w:val="30"/>
                <w:rtl/>
              </w:rPr>
              <w:t>نقل</w:t>
            </w:r>
            <w:r w:rsidR="00FE609D" w:rsidRPr="00B934CE">
              <w:rPr>
                <w:rFonts w:ascii="Traditional Arabic" w:eastAsiaTheme="majorEastAsia" w:hAnsi="Traditional Arabic" w:cs="Traditional Arabic"/>
                <w:sz w:val="30"/>
                <w:szCs w:val="30"/>
                <w:rtl/>
              </w:rPr>
              <w:t xml:space="preserve"> البضائع السائبة الجافة</w:t>
            </w:r>
          </w:p>
        </w:tc>
      </w:tr>
      <w:tr w:rsidR="00FE609D" w:rsidRPr="00900056" w14:paraId="230FBA21" w14:textId="77777777" w:rsidTr="00922116">
        <w:trPr>
          <w:trHeight w:val="516"/>
        </w:trPr>
        <w:tc>
          <w:tcPr>
            <w:tcW w:w="4675" w:type="dxa"/>
          </w:tcPr>
          <w:p w14:paraId="797578CF" w14:textId="77777777" w:rsidR="00FE609D" w:rsidRPr="00B934CE" w:rsidRDefault="00FE609D"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حاملات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معادن الخام العملاقة </w:t>
            </w:r>
            <w:r w:rsidRPr="00B934CE">
              <w:rPr>
                <w:rFonts w:ascii="Traditional Arabic" w:eastAsiaTheme="majorEastAsia" w:hAnsi="Traditional Arabic" w:cs="Traditional Arabic"/>
                <w:sz w:val="30"/>
                <w:szCs w:val="30"/>
              </w:rPr>
              <w:t>VLOC)</w:t>
            </w:r>
            <w:r w:rsidRPr="00B934CE">
              <w:rPr>
                <w:rFonts w:ascii="Traditional Arabic" w:eastAsiaTheme="majorEastAsia" w:hAnsi="Traditional Arabic" w:cs="Traditional Arabic"/>
                <w:sz w:val="30"/>
                <w:szCs w:val="30"/>
                <w:rtl/>
              </w:rPr>
              <w:t>)</w:t>
            </w:r>
          </w:p>
        </w:tc>
        <w:tc>
          <w:tcPr>
            <w:tcW w:w="4675" w:type="dxa"/>
            <w:vMerge/>
          </w:tcPr>
          <w:p w14:paraId="2AA8A6B2" w14:textId="77777777" w:rsidR="00FE609D" w:rsidRPr="00B934CE" w:rsidRDefault="00FE609D" w:rsidP="00B934CE">
            <w:pPr>
              <w:bidi/>
              <w:spacing w:after="120"/>
              <w:jc w:val="both"/>
              <w:rPr>
                <w:rFonts w:ascii="Traditional Arabic" w:eastAsiaTheme="majorEastAsia" w:hAnsi="Traditional Arabic" w:cs="Traditional Arabic"/>
                <w:sz w:val="30"/>
                <w:szCs w:val="30"/>
                <w:rtl/>
              </w:rPr>
            </w:pPr>
          </w:p>
        </w:tc>
      </w:tr>
      <w:tr w:rsidR="00563389" w:rsidRPr="00900056" w14:paraId="0CE5E2C0" w14:textId="77777777" w:rsidTr="00922116">
        <w:tc>
          <w:tcPr>
            <w:tcW w:w="4675" w:type="dxa"/>
          </w:tcPr>
          <w:p w14:paraId="2D64580F"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الغاز الطبيعي المسال</w:t>
            </w:r>
          </w:p>
        </w:tc>
        <w:tc>
          <w:tcPr>
            <w:tcW w:w="4675" w:type="dxa"/>
          </w:tcPr>
          <w:p w14:paraId="7D9309A4" w14:textId="77777777" w:rsidR="00563389" w:rsidRPr="00B934CE" w:rsidRDefault="00607B02" w:rsidP="00B934CE">
            <w:pPr>
              <w:bidi/>
              <w:spacing w:after="120"/>
              <w:jc w:val="both"/>
              <w:rPr>
                <w:rFonts w:ascii="Traditional Arabic" w:eastAsiaTheme="majorEastAsia" w:hAnsi="Traditional Arabic" w:cs="Traditional Arabic"/>
                <w:sz w:val="30"/>
                <w:szCs w:val="30"/>
                <w:rtl/>
              </w:rPr>
            </w:pPr>
            <w:r>
              <w:rPr>
                <w:rFonts w:ascii="Traditional Arabic" w:eastAsiaTheme="majorEastAsia" w:hAnsi="Traditional Arabic" w:cs="Traditional Arabic"/>
                <w:sz w:val="30"/>
                <w:szCs w:val="30"/>
                <w:rtl/>
              </w:rPr>
              <w:t>نقل</w:t>
            </w:r>
            <w:r w:rsidR="00563389" w:rsidRPr="00B934CE">
              <w:rPr>
                <w:rFonts w:ascii="Traditional Arabic" w:eastAsiaTheme="majorEastAsia" w:hAnsi="Traditional Arabic" w:cs="Traditional Arabic"/>
                <w:sz w:val="30"/>
                <w:szCs w:val="30"/>
                <w:rtl/>
              </w:rPr>
              <w:t xml:space="preserve"> الغاز</w:t>
            </w:r>
          </w:p>
        </w:tc>
      </w:tr>
    </w:tbl>
    <w:p w14:paraId="6A389120" w14:textId="77777777" w:rsidR="00563389" w:rsidRPr="00B934CE" w:rsidRDefault="00563389" w:rsidP="00B934CE">
      <w:pPr>
        <w:bidi/>
        <w:spacing w:after="120"/>
        <w:jc w:val="both"/>
        <w:rPr>
          <w:rFonts w:ascii="Traditional Arabic" w:eastAsiaTheme="majorEastAsia" w:hAnsi="Traditional Arabic" w:cs="Traditional Arabic"/>
          <w:color w:val="1F3864" w:themeColor="accent1" w:themeShade="80"/>
          <w:sz w:val="30"/>
          <w:szCs w:val="30"/>
          <w:rtl/>
        </w:rPr>
      </w:pPr>
    </w:p>
    <w:p w14:paraId="17246D5E" w14:textId="77777777" w:rsidR="00563389" w:rsidRPr="00B934CE" w:rsidRDefault="00563389" w:rsidP="00B934CE">
      <w:pPr>
        <w:bidi/>
        <w:spacing w:after="120"/>
        <w:jc w:val="both"/>
        <w:rPr>
          <w:rFonts w:ascii="Traditional Arabic" w:eastAsiaTheme="majorEastAsia" w:hAnsi="Traditional Arabic" w:cs="Traditional Arabic"/>
          <w:b/>
          <w:bCs/>
          <w:sz w:val="30"/>
          <w:szCs w:val="30"/>
        </w:rPr>
      </w:pPr>
      <w:r w:rsidRPr="00B934CE">
        <w:rPr>
          <w:rFonts w:ascii="Traditional Arabic" w:eastAsiaTheme="majorEastAsia" w:hAnsi="Traditional Arabic" w:cs="Traditional Arabic"/>
          <w:b/>
          <w:bCs/>
          <w:sz w:val="30"/>
          <w:szCs w:val="30"/>
          <w:rtl/>
        </w:rPr>
        <w:t>ناقل</w:t>
      </w:r>
      <w:r w:rsidRPr="00B934CE">
        <w:rPr>
          <w:rFonts w:ascii="Traditional Arabic" w:eastAsiaTheme="majorEastAsia" w:hAnsi="Traditional Arabic" w:cs="Traditional Arabic" w:hint="eastAsia"/>
          <w:b/>
          <w:bCs/>
          <w:sz w:val="30"/>
          <w:szCs w:val="30"/>
          <w:rtl/>
        </w:rPr>
        <w:t>ات</w:t>
      </w:r>
      <w:r w:rsidRPr="00B934CE">
        <w:rPr>
          <w:rFonts w:ascii="Traditional Arabic" w:eastAsiaTheme="majorEastAsia" w:hAnsi="Traditional Arabic" w:cs="Traditional Arabic"/>
          <w:b/>
          <w:bCs/>
          <w:sz w:val="30"/>
          <w:szCs w:val="30"/>
          <w:rtl/>
        </w:rPr>
        <w:t xml:space="preserve"> </w:t>
      </w:r>
      <w:r w:rsidRPr="00B934CE">
        <w:rPr>
          <w:rFonts w:ascii="Traditional Arabic" w:eastAsiaTheme="majorEastAsia" w:hAnsi="Traditional Arabic" w:cs="Traditional Arabic" w:hint="eastAsia"/>
          <w:b/>
          <w:bCs/>
          <w:sz w:val="30"/>
          <w:szCs w:val="30"/>
          <w:rtl/>
        </w:rPr>
        <w:t>ال</w:t>
      </w:r>
      <w:r w:rsidRPr="00B934CE">
        <w:rPr>
          <w:rFonts w:ascii="Traditional Arabic" w:eastAsiaTheme="majorEastAsia" w:hAnsi="Traditional Arabic" w:cs="Traditional Arabic"/>
          <w:b/>
          <w:bCs/>
          <w:sz w:val="30"/>
          <w:szCs w:val="30"/>
          <w:rtl/>
        </w:rPr>
        <w:t xml:space="preserve">نفط </w:t>
      </w:r>
      <w:r w:rsidRPr="00B934CE">
        <w:rPr>
          <w:rFonts w:ascii="Traditional Arabic" w:eastAsiaTheme="majorEastAsia" w:hAnsi="Traditional Arabic" w:cs="Traditional Arabic" w:hint="eastAsia"/>
          <w:b/>
          <w:bCs/>
          <w:sz w:val="30"/>
          <w:szCs w:val="30"/>
          <w:rtl/>
        </w:rPr>
        <w:t>ال</w:t>
      </w:r>
      <w:r w:rsidRPr="00B934CE">
        <w:rPr>
          <w:rFonts w:ascii="Traditional Arabic" w:eastAsiaTheme="majorEastAsia" w:hAnsi="Traditional Arabic" w:cs="Traditional Arabic"/>
          <w:b/>
          <w:bCs/>
          <w:sz w:val="30"/>
          <w:szCs w:val="30"/>
          <w:rtl/>
        </w:rPr>
        <w:t>خام</w:t>
      </w:r>
    </w:p>
    <w:p w14:paraId="6B846279"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تمثل </w:t>
      </w:r>
      <w:bookmarkStart w:id="30" w:name="_Hlk183346625"/>
      <w:r w:rsidRPr="00B934CE">
        <w:rPr>
          <w:rFonts w:ascii="Traditional Arabic" w:eastAsiaTheme="majorEastAsia" w:hAnsi="Traditional Arabic" w:cs="Traditional Arabic"/>
          <w:sz w:val="30"/>
          <w:szCs w:val="30"/>
          <w:rtl/>
        </w:rPr>
        <w:t xml:space="preserve">ناقلات النفط الخام </w:t>
      </w:r>
      <w:r w:rsidRPr="00B934CE">
        <w:rPr>
          <w:rFonts w:ascii="Traditional Arabic" w:eastAsiaTheme="majorEastAsia" w:hAnsi="Traditional Arabic" w:cs="Traditional Arabic" w:hint="eastAsia"/>
          <w:sz w:val="30"/>
          <w:szCs w:val="30"/>
          <w:rtl/>
        </w:rPr>
        <w:t>العملاقة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sz w:val="30"/>
          <w:szCs w:val="30"/>
        </w:rPr>
        <w:t>VLCC</w:t>
      </w:r>
      <w:r w:rsidRPr="00B934CE">
        <w:rPr>
          <w:rFonts w:ascii="Traditional Arabic" w:eastAsiaTheme="majorEastAsia" w:hAnsi="Traditional Arabic" w:cs="Traditional Arabic"/>
          <w:sz w:val="30"/>
          <w:szCs w:val="30"/>
          <w:rtl/>
        </w:rPr>
        <w:t xml:space="preserve">) </w:t>
      </w:r>
      <w:bookmarkEnd w:id="30"/>
      <w:r w:rsidR="00ED140A">
        <w:rPr>
          <w:rFonts w:ascii="Traditional Arabic" w:eastAsiaTheme="majorEastAsia" w:hAnsi="Traditional Arabic" w:cs="Traditional Arabic" w:hint="cs"/>
          <w:sz w:val="30"/>
          <w:szCs w:val="30"/>
          <w:rtl/>
        </w:rPr>
        <w:t>30.1</w:t>
      </w:r>
      <w:r w:rsidRPr="00B934CE">
        <w:rPr>
          <w:rFonts w:ascii="Traditional Arabic" w:eastAsiaTheme="majorEastAsia" w:hAnsi="Traditional Arabic" w:cs="Traditional Arabic"/>
          <w:sz w:val="30"/>
          <w:szCs w:val="30"/>
          <w:rtl/>
        </w:rPr>
        <w:t>% من الإيرادات بين فترة التسعة أشهر المنتهية في 30 سبتمبر 2023 و2024. ناقلات النفط العملاقة هي ناقلات نفط تتراوح سعتها من 112,003 إلى 320,000 طن ساكن (في المتوسط، بين فترة التسعة أشهر المنتهية في 30 سبتمبر 2023 و2024). تم تصميم هذه السفن خصيصًا لنقل النفط الخام لمسافات طويلة، عادةً بين مناطق إنتاج النفط والمصافي. اعتبارًا من 30 سبتمبر 2024، تمتلك الشركة 12 سفينة</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والتي لديها عقود </w:t>
      </w:r>
      <w:r w:rsidRPr="00B934CE">
        <w:rPr>
          <w:rFonts w:ascii="Traditional Arabic" w:eastAsiaTheme="majorEastAsia" w:hAnsi="Traditional Arabic" w:cs="Traditional Arabic" w:hint="eastAsia"/>
          <w:sz w:val="30"/>
          <w:szCs w:val="30"/>
          <w:rtl/>
        </w:rPr>
        <w:t>إيجار</w:t>
      </w:r>
      <w:r w:rsidRPr="00B934CE">
        <w:rPr>
          <w:rFonts w:ascii="Traditional Arabic" w:eastAsiaTheme="majorEastAsia" w:hAnsi="Traditional Arabic" w:cs="Traditional Arabic"/>
          <w:sz w:val="30"/>
          <w:szCs w:val="30"/>
          <w:rtl/>
        </w:rPr>
        <w:t xml:space="preserve"> محددة المدة وعقود فورية تنتهي بين </w:t>
      </w:r>
      <w:r w:rsidRPr="00B934CE">
        <w:rPr>
          <w:rFonts w:ascii="Traditional Arabic" w:eastAsiaTheme="majorEastAsia" w:hAnsi="Traditional Arabic" w:cs="Traditional Arabic" w:hint="eastAsia"/>
          <w:sz w:val="30"/>
          <w:szCs w:val="30"/>
          <w:rtl/>
        </w:rPr>
        <w:t>سبتمبر</w:t>
      </w:r>
      <w:r w:rsidRPr="00B934CE">
        <w:rPr>
          <w:rFonts w:ascii="Traditional Arabic" w:eastAsiaTheme="majorEastAsia" w:hAnsi="Traditional Arabic" w:cs="Traditional Arabic"/>
          <w:sz w:val="30"/>
          <w:szCs w:val="30"/>
          <w:rtl/>
        </w:rPr>
        <w:t xml:space="preserve"> 2024 </w:t>
      </w:r>
      <w:r w:rsidRPr="00B934CE">
        <w:rPr>
          <w:rFonts w:ascii="Traditional Arabic" w:eastAsiaTheme="majorEastAsia" w:hAnsi="Traditional Arabic" w:cs="Traditional Arabic" w:hint="eastAsia"/>
          <w:sz w:val="30"/>
          <w:szCs w:val="30"/>
          <w:rtl/>
        </w:rPr>
        <w:t>و</w:t>
      </w:r>
      <w:r w:rsidRPr="00B934CE">
        <w:rPr>
          <w:rFonts w:ascii="Traditional Arabic" w:eastAsiaTheme="majorEastAsia" w:hAnsi="Traditional Arabic" w:cs="Traditional Arabic"/>
          <w:sz w:val="30"/>
          <w:szCs w:val="30"/>
          <w:rtl/>
        </w:rPr>
        <w:t xml:space="preserve">يوليو 2027. </w:t>
      </w:r>
    </w:p>
    <w:p w14:paraId="50C2A60E"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الإيرادات من ناقلات النفط الخام </w:t>
      </w:r>
      <w:r w:rsidRPr="00B934CE">
        <w:rPr>
          <w:rFonts w:ascii="Traditional Arabic" w:eastAsiaTheme="majorEastAsia" w:hAnsi="Traditional Arabic" w:cs="Traditional Arabic" w:hint="eastAsia"/>
          <w:sz w:val="30"/>
          <w:szCs w:val="30"/>
          <w:rtl/>
        </w:rPr>
        <w:t>العملاقة</w:t>
      </w:r>
      <w:r w:rsidRPr="00B934CE">
        <w:rPr>
          <w:rFonts w:ascii="Traditional Arabic" w:eastAsiaTheme="majorEastAsia" w:hAnsi="Traditional Arabic" w:cs="Traditional Arabic"/>
          <w:sz w:val="30"/>
          <w:szCs w:val="30"/>
          <w:rtl/>
        </w:rPr>
        <w:t xml:space="preserve"> بنسبة 55.6% من 75.0 مليون ريال عماني في السنة المالية 2021 الى 116.7 مليون ريال عماني في السنة المالية 2022، ويعود ذلك بشكل رئيسي إلى الزيادة في نسبة اشغال السفن الى جانب ارتفاع أسعار ال</w:t>
      </w:r>
      <w:r w:rsidR="00607B02">
        <w:rPr>
          <w:rFonts w:ascii="Traditional Arabic" w:eastAsiaTheme="majorEastAsia" w:hAnsi="Traditional Arabic" w:cs="Traditional Arabic"/>
          <w:sz w:val="30"/>
          <w:szCs w:val="30"/>
          <w:rtl/>
        </w:rPr>
        <w:t>نقل</w:t>
      </w:r>
      <w:r w:rsidRPr="00B934CE">
        <w:rPr>
          <w:rFonts w:ascii="Traditional Arabic" w:eastAsiaTheme="majorEastAsia" w:hAnsi="Traditional Arabic" w:cs="Traditional Arabic"/>
          <w:sz w:val="30"/>
          <w:szCs w:val="30"/>
          <w:rtl/>
        </w:rPr>
        <w:t xml:space="preserve"> الإجمالية، مدفوعة بالطلب القوي في السوق.</w:t>
      </w:r>
    </w:p>
    <w:p w14:paraId="566948B7"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الإيرادات من ناقلات النفط الخام </w:t>
      </w:r>
      <w:r w:rsidRPr="00B934CE">
        <w:rPr>
          <w:rFonts w:ascii="Traditional Arabic" w:eastAsiaTheme="majorEastAsia" w:hAnsi="Traditional Arabic" w:cs="Traditional Arabic" w:hint="eastAsia"/>
          <w:sz w:val="30"/>
          <w:szCs w:val="30"/>
          <w:rtl/>
        </w:rPr>
        <w:t>العملاقة</w:t>
      </w:r>
      <w:r w:rsidRPr="00B934CE">
        <w:rPr>
          <w:rFonts w:ascii="Traditional Arabic" w:eastAsiaTheme="majorEastAsia" w:hAnsi="Traditional Arabic" w:cs="Traditional Arabic"/>
          <w:sz w:val="30"/>
          <w:szCs w:val="30"/>
          <w:rtl/>
        </w:rPr>
        <w:t xml:space="preserve"> بنسبة 1.6% من 116.7 مليون ريال عماني في السنة المالية 2022 الى 118.6 مليون ريال عماني في السنة المالية 2023، ويعود ذلك بشكل رئيسي إلى استراتيجية </w:t>
      </w:r>
      <w:r w:rsidRPr="00B934CE">
        <w:rPr>
          <w:rFonts w:ascii="Traditional Arabic" w:eastAsiaTheme="majorEastAsia" w:hAnsi="Traditional Arabic" w:cs="Traditional Arabic" w:hint="eastAsia"/>
          <w:sz w:val="30"/>
          <w:szCs w:val="30"/>
          <w:rtl/>
        </w:rPr>
        <w:t>الشركة</w:t>
      </w:r>
      <w:r w:rsidRPr="00B934CE">
        <w:rPr>
          <w:rFonts w:ascii="Traditional Arabic" w:eastAsiaTheme="majorEastAsia" w:hAnsi="Traditional Arabic" w:cs="Traditional Arabic"/>
          <w:sz w:val="30"/>
          <w:szCs w:val="30"/>
          <w:rtl/>
        </w:rPr>
        <w:t xml:space="preserve"> للتحول نحو عمليات </w:t>
      </w:r>
      <w:r w:rsidRPr="00B934CE">
        <w:rPr>
          <w:rFonts w:ascii="Traditional Arabic" w:eastAsiaTheme="majorEastAsia" w:hAnsi="Traditional Arabic" w:cs="Traditional Arabic" w:hint="eastAsia"/>
          <w:sz w:val="30"/>
          <w:szCs w:val="30"/>
          <w:rtl/>
        </w:rPr>
        <w:t>التأجير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كونها</w:t>
      </w:r>
      <w:r w:rsidRPr="00B934CE">
        <w:rPr>
          <w:rFonts w:ascii="Traditional Arabic" w:eastAsiaTheme="majorEastAsia" w:hAnsi="Traditional Arabic" w:cs="Traditional Arabic"/>
          <w:sz w:val="30"/>
          <w:szCs w:val="30"/>
          <w:rtl/>
        </w:rPr>
        <w:t xml:space="preserve"> أكثر ربحية.  </w:t>
      </w:r>
    </w:p>
    <w:p w14:paraId="20178852"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lastRenderedPageBreak/>
        <w:t>ا</w:t>
      </w:r>
      <w:r w:rsidRPr="00B934CE">
        <w:rPr>
          <w:rFonts w:ascii="Traditional Arabic" w:eastAsiaTheme="majorEastAsia" w:hAnsi="Traditional Arabic" w:cs="Traditional Arabic"/>
          <w:sz w:val="30"/>
          <w:szCs w:val="30"/>
          <w:rtl/>
        </w:rPr>
        <w:t xml:space="preserve">خفضت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إيرادات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ناقلات النفط الخام </w:t>
      </w:r>
      <w:r w:rsidRPr="00B934CE">
        <w:rPr>
          <w:rFonts w:ascii="Traditional Arabic" w:eastAsiaTheme="majorEastAsia" w:hAnsi="Traditional Arabic" w:cs="Traditional Arabic" w:hint="eastAsia"/>
          <w:sz w:val="30"/>
          <w:szCs w:val="30"/>
          <w:rtl/>
        </w:rPr>
        <w:t>العملاقة</w:t>
      </w:r>
      <w:r w:rsidRPr="00B934CE">
        <w:rPr>
          <w:rFonts w:ascii="Traditional Arabic" w:eastAsiaTheme="majorEastAsia" w:hAnsi="Traditional Arabic" w:cs="Traditional Arabic"/>
          <w:sz w:val="30"/>
          <w:szCs w:val="30"/>
          <w:rtl/>
        </w:rPr>
        <w:t xml:space="preserve"> بنسبة 18.4٪ من 91.1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إلى 74.4 مليون ريال عماني في فترة التسعة أشهر المنتهية في 30 سبتمبر 2024 ويرجع ذلك أساسًا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بيع ثلاث سفن في ديسمبر 2023 والتي كانت تولد إيرادات خلال فترة التسعة أشهر المنتهية في 30 سبتمبر 2023</w:t>
      </w:r>
      <w:r w:rsidRPr="00B934CE">
        <w:rPr>
          <w:rFonts w:ascii="Traditional Arabic" w:eastAsiaTheme="majorEastAsia" w:hAnsi="Traditional Arabic" w:cs="Traditional Arabic"/>
          <w:sz w:val="30"/>
          <w:szCs w:val="30"/>
        </w:rPr>
        <w:t xml:space="preserve"> </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بالإضافة إلى انخفاض متوسط المعدل اليومي لبعض السفن المملوكة</w:t>
      </w:r>
      <w:r w:rsidRPr="00B934CE">
        <w:rPr>
          <w:rFonts w:ascii="Traditional Arabic" w:eastAsiaTheme="majorEastAsia" w:hAnsi="Traditional Arabic" w:cs="Traditional Arabic"/>
          <w:sz w:val="30"/>
          <w:szCs w:val="30"/>
        </w:rPr>
        <w:t>.</w:t>
      </w:r>
    </w:p>
    <w:p w14:paraId="41D58496" w14:textId="77777777" w:rsidR="00563389" w:rsidRPr="00B934CE" w:rsidRDefault="00563389"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 xml:space="preserve">ناقلات </w:t>
      </w:r>
      <w:r w:rsidRPr="00B934CE">
        <w:rPr>
          <w:rFonts w:ascii="Traditional Arabic" w:eastAsiaTheme="majorEastAsia" w:hAnsi="Traditional Arabic" w:cs="Traditional Arabic" w:hint="eastAsia"/>
          <w:b/>
          <w:bCs/>
          <w:sz w:val="30"/>
          <w:szCs w:val="30"/>
          <w:rtl/>
        </w:rPr>
        <w:t>ال</w:t>
      </w:r>
      <w:r w:rsidRPr="00B934CE">
        <w:rPr>
          <w:rFonts w:ascii="Traditional Arabic" w:eastAsiaTheme="majorEastAsia" w:hAnsi="Traditional Arabic" w:cs="Traditional Arabic"/>
          <w:b/>
          <w:bCs/>
          <w:sz w:val="30"/>
          <w:szCs w:val="30"/>
          <w:rtl/>
        </w:rPr>
        <w:t>منتجات</w:t>
      </w:r>
    </w:p>
    <w:p w14:paraId="374C3D51"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تشكل ناقلات المنتجات </w:t>
      </w:r>
      <w:r w:rsidRPr="00B934CE">
        <w:rPr>
          <w:rFonts w:ascii="Traditional Arabic" w:eastAsiaTheme="majorEastAsia" w:hAnsi="Traditional Arabic" w:cs="Traditional Arabic" w:hint="eastAsia"/>
          <w:sz w:val="30"/>
          <w:szCs w:val="30"/>
          <w:rtl/>
        </w:rPr>
        <w:t>حوالي</w:t>
      </w:r>
      <w:r w:rsidRPr="00B934CE">
        <w:rPr>
          <w:rFonts w:ascii="Traditional Arabic" w:eastAsiaTheme="majorEastAsia" w:hAnsi="Traditional Arabic" w:cs="Traditional Arabic"/>
          <w:sz w:val="30"/>
          <w:szCs w:val="30"/>
          <w:rtl/>
        </w:rPr>
        <w:t xml:space="preserve"> </w:t>
      </w:r>
      <w:r w:rsidR="00A326D7">
        <w:rPr>
          <w:rFonts w:ascii="Traditional Arabic" w:eastAsiaTheme="majorEastAsia" w:hAnsi="Traditional Arabic" w:cs="Traditional Arabic" w:hint="cs"/>
          <w:sz w:val="30"/>
          <w:szCs w:val="30"/>
          <w:rtl/>
        </w:rPr>
        <w:t>24.6</w:t>
      </w:r>
      <w:r w:rsidRPr="00B934CE">
        <w:rPr>
          <w:rFonts w:ascii="Traditional Arabic" w:eastAsiaTheme="majorEastAsia" w:hAnsi="Traditional Arabic" w:cs="Traditional Arabic"/>
          <w:sz w:val="30"/>
          <w:szCs w:val="30"/>
          <w:rtl/>
        </w:rPr>
        <w:t>% من الإيرادات بين فترة التسعة أشهر المنتهية في 30 سبتمبر 2023 و2024</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وتحمل هذه الناقلات منتجات بترولية مكررة بما في ذلك البنزين والنفتا والكيروسين وزيت الديزل، </w:t>
      </w:r>
      <w:r w:rsidRPr="00B934CE">
        <w:rPr>
          <w:rFonts w:ascii="Traditional Arabic" w:eastAsiaTheme="majorEastAsia" w:hAnsi="Traditional Arabic" w:cs="Traditional Arabic" w:hint="eastAsia"/>
          <w:sz w:val="30"/>
          <w:szCs w:val="30"/>
          <w:rtl/>
        </w:rPr>
        <w:t>وتتراوح</w:t>
      </w:r>
      <w:r w:rsidRPr="00B934CE">
        <w:rPr>
          <w:rFonts w:ascii="Traditional Arabic" w:eastAsiaTheme="majorEastAsia" w:hAnsi="Traditional Arabic" w:cs="Traditional Arabic"/>
          <w:sz w:val="30"/>
          <w:szCs w:val="30"/>
          <w:rtl/>
        </w:rPr>
        <w:t xml:space="preserve"> سعتها بين 12,885 و51,247 طن ساكن (في المتوسط، بين فترة التسعة أشهر المنتهية في 30 سبتمبر 2023 و2024). اعتبارًا من 30 سبتمبر 2024، تمتلك الشركة 13 ناقلة نفط، جميعها بموجب عقود إيجار طويلة الأجل (7-20 عامًا) تنتهي بين </w:t>
      </w:r>
      <w:r w:rsidRPr="00B934CE">
        <w:rPr>
          <w:rFonts w:ascii="Traditional Arabic" w:eastAsiaTheme="majorEastAsia" w:hAnsi="Traditional Arabic" w:cs="Traditional Arabic" w:hint="eastAsia"/>
          <w:sz w:val="30"/>
          <w:szCs w:val="30"/>
          <w:rtl/>
        </w:rPr>
        <w:t>أوغسطس</w:t>
      </w:r>
      <w:r w:rsidRPr="00B934CE">
        <w:rPr>
          <w:rFonts w:ascii="Traditional Arabic" w:eastAsiaTheme="majorEastAsia" w:hAnsi="Traditional Arabic" w:cs="Traditional Arabic"/>
          <w:sz w:val="30"/>
          <w:szCs w:val="30"/>
          <w:rtl/>
        </w:rPr>
        <w:t xml:space="preserve"> 2024 </w:t>
      </w:r>
      <w:r w:rsidRPr="00B934CE">
        <w:rPr>
          <w:rFonts w:ascii="Traditional Arabic" w:eastAsiaTheme="majorEastAsia" w:hAnsi="Traditional Arabic" w:cs="Traditional Arabic" w:hint="eastAsia"/>
          <w:sz w:val="30"/>
          <w:szCs w:val="30"/>
          <w:rtl/>
        </w:rPr>
        <w:t>و</w:t>
      </w:r>
      <w:r w:rsidRPr="00B934CE">
        <w:rPr>
          <w:rFonts w:ascii="Traditional Arabic" w:eastAsiaTheme="majorEastAsia" w:hAnsi="Traditional Arabic" w:cs="Traditional Arabic"/>
          <w:sz w:val="30"/>
          <w:szCs w:val="30"/>
          <w:rtl/>
        </w:rPr>
        <w:t>مارس 2027.</w:t>
      </w:r>
    </w:p>
    <w:p w14:paraId="02D92991"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الإيرادات من </w:t>
      </w:r>
      <w:r w:rsidRPr="00B934CE">
        <w:rPr>
          <w:rFonts w:ascii="Traditional Arabic" w:eastAsiaTheme="majorEastAsia" w:hAnsi="Traditional Arabic" w:cs="Traditional Arabic" w:hint="eastAsia"/>
          <w:sz w:val="30"/>
          <w:szCs w:val="30"/>
          <w:rtl/>
        </w:rPr>
        <w:t>ناقلات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المنتجات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91.0% من 30.2 مليون ريال عماني في السنة المالية 2021 الى 57.7 مليون ريال عماني في السنة المالية 2022، ويعود ذلك بشكل رئيسي إلى النمو في إيرادات ناقلات المنتجات المستأجرة مدفوع</w:t>
      </w:r>
      <w:r w:rsidRPr="00B934CE">
        <w:rPr>
          <w:rFonts w:ascii="Traditional Arabic" w:eastAsiaTheme="majorEastAsia" w:hAnsi="Traditional Arabic" w:cs="Traditional Arabic" w:hint="eastAsia"/>
          <w:sz w:val="30"/>
          <w:szCs w:val="30"/>
          <w:rtl/>
        </w:rPr>
        <w:t>ة</w:t>
      </w:r>
      <w:r w:rsidRPr="00B934CE">
        <w:rPr>
          <w:rFonts w:ascii="Traditional Arabic" w:eastAsiaTheme="majorEastAsia" w:hAnsi="Traditional Arabic" w:cs="Traditional Arabic"/>
          <w:sz w:val="30"/>
          <w:szCs w:val="30"/>
          <w:rtl/>
        </w:rPr>
        <w:t xml:space="preserve"> بالسفن الجديدة التي ساهمت بمبلغ 24.4 مليون ريال عماني بما يتماشى مع الزيادة في عدد ناقلات المنتجات المستأجرة (+4)، كما ارتفع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ناقلة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بمقدار</w:t>
      </w:r>
      <w:r w:rsidRPr="00B934CE">
        <w:rPr>
          <w:rFonts w:ascii="Traditional Arabic" w:eastAsiaTheme="majorEastAsia" w:hAnsi="Traditional Arabic" w:cs="Traditional Arabic"/>
          <w:sz w:val="30"/>
          <w:szCs w:val="30"/>
          <w:rtl/>
        </w:rPr>
        <w:t xml:space="preserve"> 2.4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 xml:space="preserve">. </w:t>
      </w:r>
    </w:p>
    <w:p w14:paraId="601C4AAF"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الإيرادات من </w:t>
      </w:r>
      <w:r w:rsidRPr="00B934CE">
        <w:rPr>
          <w:rFonts w:ascii="Traditional Arabic" w:eastAsiaTheme="majorEastAsia" w:hAnsi="Traditional Arabic" w:cs="Traditional Arabic" w:hint="eastAsia"/>
          <w:sz w:val="30"/>
          <w:szCs w:val="30"/>
          <w:rtl/>
        </w:rPr>
        <w:t>ناقلات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المنتجات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43.7% من 57.7 مليون ريال عماني في السنة المالية 2022 الى 83.0 مليون ريال عماني في السنة المالية 2023، ويعود ذلك بشكل رئيسي إلى النمو في إيرادات ناقلات المنتجات المستأجرة مدفوع</w:t>
      </w:r>
      <w:r w:rsidRPr="00B934CE">
        <w:rPr>
          <w:rFonts w:ascii="Traditional Arabic" w:eastAsiaTheme="majorEastAsia" w:hAnsi="Traditional Arabic" w:cs="Traditional Arabic" w:hint="eastAsia"/>
          <w:sz w:val="30"/>
          <w:szCs w:val="30"/>
          <w:rtl/>
        </w:rPr>
        <w:t>ة</w:t>
      </w:r>
      <w:r w:rsidRPr="00B934CE">
        <w:rPr>
          <w:rFonts w:ascii="Traditional Arabic" w:eastAsiaTheme="majorEastAsia" w:hAnsi="Traditional Arabic" w:cs="Traditional Arabic"/>
          <w:sz w:val="30"/>
          <w:szCs w:val="30"/>
          <w:rtl/>
        </w:rPr>
        <w:t xml:space="preserve"> بالسفن الجديدة التي ساهمت بمبلغ 26.4 مليون ريال عماني بما يتماشى مع الزيادة في عدد ناقلات المنتجات المستأجرة (+6)، كما ارتفع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ناقلة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بمقدار</w:t>
      </w:r>
      <w:r w:rsidRPr="00B934CE">
        <w:rPr>
          <w:rFonts w:ascii="Traditional Arabic" w:eastAsiaTheme="majorEastAsia" w:hAnsi="Traditional Arabic" w:cs="Traditional Arabic"/>
          <w:sz w:val="30"/>
          <w:szCs w:val="30"/>
          <w:rtl/>
        </w:rPr>
        <w:t xml:space="preserve"> 0.5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w:t>
      </w:r>
    </w:p>
    <w:p w14:paraId="3869FF75" w14:textId="77777777" w:rsidR="00563389" w:rsidRPr="00B934CE" w:rsidRDefault="00563389" w:rsidP="00B934CE">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sz w:val="30"/>
          <w:szCs w:val="30"/>
          <w:rtl/>
        </w:rPr>
        <w:t xml:space="preserve">ارتفعت إيرادات ناقلات المنتجات بنسبة 21.4% من 61.1 مليون ريال عماني في فترة التسعة أشهر المنتهية في 30 سبتمبر 2023 إلى 74.2 مليون ريال عماني في فترة التسعة أشهر المنتهية في 30 سبتمبر 2024، ويعود ذلك بشكل رئيسي إلى النمو في إيرادات ناقلات المنتجات المستأجرة مدفوعة بالسفن الجديدة التي ساهمت بمبلغ 12.3 مليون ريال عماني </w:t>
      </w:r>
      <w:r w:rsidRPr="00B934CE">
        <w:rPr>
          <w:rFonts w:ascii="Traditional Arabic" w:eastAsiaTheme="majorEastAsia" w:hAnsi="Traditional Arabic" w:cs="Traditional Arabic" w:hint="eastAsia"/>
          <w:sz w:val="30"/>
          <w:szCs w:val="30"/>
          <w:rtl/>
        </w:rPr>
        <w:t>بما</w:t>
      </w:r>
      <w:r w:rsidRPr="00B934CE">
        <w:rPr>
          <w:rFonts w:ascii="Traditional Arabic" w:eastAsiaTheme="majorEastAsia" w:hAnsi="Traditional Arabic" w:cs="Traditional Arabic"/>
          <w:sz w:val="30"/>
          <w:szCs w:val="30"/>
          <w:rtl/>
        </w:rPr>
        <w:t xml:space="preserve"> يتماشى مع الزيادة في عدد ناقلات المنتجات المستأجرة (+1)، كما ارتفع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ناقلة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بمقدار</w:t>
      </w:r>
      <w:r w:rsidRPr="00B934CE">
        <w:rPr>
          <w:rFonts w:ascii="Traditional Arabic" w:eastAsiaTheme="majorEastAsia" w:hAnsi="Traditional Arabic" w:cs="Traditional Arabic"/>
          <w:sz w:val="30"/>
          <w:szCs w:val="30"/>
          <w:rtl/>
        </w:rPr>
        <w:t xml:space="preserve"> 0.6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w:t>
      </w:r>
    </w:p>
    <w:p w14:paraId="5579FADA" w14:textId="77777777" w:rsidR="00563389" w:rsidRPr="00B934CE" w:rsidRDefault="00563389"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ناقلات الغاز</w:t>
      </w:r>
    </w:p>
    <w:p w14:paraId="439964BF" w14:textId="77777777" w:rsidR="00563389" w:rsidRPr="00B934CE" w:rsidRDefault="00563389" w:rsidP="00B934CE">
      <w:pPr>
        <w:bidi/>
        <w:spacing w:after="120"/>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ت</w:t>
      </w:r>
      <w:r w:rsidRPr="00B934CE">
        <w:rPr>
          <w:rFonts w:ascii="Traditional Arabic" w:eastAsiaTheme="majorEastAsia" w:hAnsi="Traditional Arabic" w:cs="Traditional Arabic"/>
          <w:sz w:val="30"/>
          <w:szCs w:val="30"/>
          <w:rtl/>
        </w:rPr>
        <w:t>شكل ناقلات الغاز</w:t>
      </w:r>
      <w:r w:rsidRPr="00B934CE">
        <w:rPr>
          <w:rFonts w:ascii="Traditional Arabic" w:eastAsiaTheme="majorEastAsia" w:hAnsi="Traditional Arabic" w:cs="Traditional Arabic"/>
          <w:sz w:val="30"/>
          <w:szCs w:val="30"/>
        </w:rPr>
        <w:t xml:space="preserve">LNG) </w:t>
      </w:r>
      <w:r w:rsidRPr="00B934CE">
        <w:rPr>
          <w:rFonts w:ascii="Traditional Arabic" w:eastAsiaTheme="majorEastAsia" w:hAnsi="Traditional Arabic" w:cs="Traditional Arabic"/>
          <w:sz w:val="30"/>
          <w:szCs w:val="30"/>
          <w:rtl/>
        </w:rPr>
        <w:t xml:space="preserve">) </w:t>
      </w:r>
      <w:r w:rsidR="00AC2873">
        <w:rPr>
          <w:rFonts w:ascii="Traditional Arabic" w:eastAsiaTheme="majorEastAsia" w:hAnsi="Traditional Arabic" w:cs="Traditional Arabic" w:hint="cs"/>
          <w:sz w:val="30"/>
          <w:szCs w:val="30"/>
          <w:rtl/>
        </w:rPr>
        <w:t>13.8</w:t>
      </w:r>
      <w:r w:rsidRPr="00B934CE">
        <w:rPr>
          <w:rFonts w:ascii="Traditional Arabic" w:eastAsiaTheme="majorEastAsia" w:hAnsi="Traditional Arabic" w:cs="Traditional Arabic"/>
          <w:sz w:val="30"/>
          <w:szCs w:val="30"/>
          <w:rtl/>
        </w:rPr>
        <w:t>% من الإيرادات بين فترة التسعة أشهر المنتهية في 30 سبتمبر 2023 و2024</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توجد أنواع مختلفة من السفن المصممة خصيصًا لنقل الغاز الطبيعي المسال وتشمل ناقلات الغاز الطبيعي المسال </w:t>
      </w:r>
      <w:r w:rsidRPr="00B934CE">
        <w:rPr>
          <w:rFonts w:ascii="Traditional Arabic" w:eastAsiaTheme="majorEastAsia" w:hAnsi="Traditional Arabic" w:cs="Traditional Arabic" w:hint="eastAsia"/>
          <w:sz w:val="30"/>
          <w:szCs w:val="30"/>
          <w:rtl/>
        </w:rPr>
        <w:t>التي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تعمل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lastRenderedPageBreak/>
        <w:t>ب</w:t>
      </w:r>
      <w:r w:rsidRPr="00B934CE">
        <w:rPr>
          <w:rFonts w:ascii="Traditional Arabic" w:eastAsiaTheme="majorEastAsia" w:hAnsi="Traditional Arabic" w:cs="Traditional Arabic"/>
          <w:sz w:val="30"/>
          <w:szCs w:val="30"/>
          <w:rtl/>
        </w:rPr>
        <w:t>التوربينات البخارية وناقلات الغاز الطبيعي المسال التي تعمل بالديزل الكهربائي ثنائي الوقود (</w:t>
      </w:r>
      <w:r w:rsidRPr="00B934CE">
        <w:rPr>
          <w:rFonts w:ascii="Traditional Arabic" w:eastAsiaTheme="majorEastAsia" w:hAnsi="Traditional Arabic" w:cs="Traditional Arabic"/>
          <w:sz w:val="30"/>
          <w:szCs w:val="30"/>
        </w:rPr>
        <w:t>DFDE</w:t>
      </w:r>
      <w:r w:rsidRPr="00B934CE">
        <w:rPr>
          <w:rFonts w:ascii="Traditional Arabic" w:eastAsiaTheme="majorEastAsia" w:hAnsi="Traditional Arabic" w:cs="Traditional Arabic"/>
          <w:sz w:val="30"/>
          <w:szCs w:val="30"/>
          <w:rtl/>
        </w:rPr>
        <w:t xml:space="preserve">)، وتبلغ سعتها ما بين 38,115 و91,597 طن ساكن (في المتوسط، بين فترة التسعة أشهر المنتهية في 30 سبتمبر 2023 و2024). اعتبارًا من 30 سبتمبر 2024، تمتلك الشركة </w:t>
      </w:r>
      <w:r w:rsidRPr="00B934CE">
        <w:rPr>
          <w:rFonts w:ascii="Traditional Arabic" w:eastAsiaTheme="majorEastAsia" w:hAnsi="Traditional Arabic" w:cs="Traditional Arabic" w:hint="eastAsia"/>
          <w:sz w:val="30"/>
          <w:szCs w:val="30"/>
          <w:rtl/>
        </w:rPr>
        <w:t>خمسة</w:t>
      </w:r>
      <w:r w:rsidRPr="00B934CE">
        <w:rPr>
          <w:rFonts w:ascii="Traditional Arabic" w:eastAsiaTheme="majorEastAsia" w:hAnsi="Traditional Arabic" w:cs="Traditional Arabic"/>
          <w:sz w:val="30"/>
          <w:szCs w:val="30"/>
          <w:rtl/>
        </w:rPr>
        <w:t xml:space="preserve"> سفن للغاز الطبيعي المسال، جميعها بموجب عقود إيجار محددة المدة تنتهي </w:t>
      </w:r>
      <w:r w:rsidRPr="00B934CE">
        <w:rPr>
          <w:rFonts w:ascii="Traditional Arabic" w:eastAsiaTheme="majorEastAsia" w:hAnsi="Traditional Arabic" w:cs="Traditional Arabic" w:hint="eastAsia"/>
          <w:sz w:val="30"/>
          <w:szCs w:val="30"/>
          <w:rtl/>
        </w:rPr>
        <w:t>بين</w:t>
      </w:r>
      <w:r w:rsidRPr="00B934CE">
        <w:rPr>
          <w:rFonts w:ascii="Traditional Arabic" w:eastAsiaTheme="majorEastAsia" w:hAnsi="Traditional Arabic" w:cs="Traditional Arabic"/>
          <w:sz w:val="30"/>
          <w:szCs w:val="30"/>
          <w:rtl/>
        </w:rPr>
        <w:t xml:space="preserve"> مارس 2024 وأغسطس 2026. كما طلبت الشركة سفينتين جديدتين للغاز الطبيعي المسال من المتوقع تسليمهما في السنة المالية 2026، كجزء من خططها التوسعية. </w:t>
      </w:r>
    </w:p>
    <w:p w14:paraId="6EBACE46"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الإيرادات من </w:t>
      </w:r>
      <w:r w:rsidRPr="00B934CE">
        <w:rPr>
          <w:rFonts w:ascii="Traditional Arabic" w:eastAsiaTheme="majorEastAsia" w:hAnsi="Traditional Arabic" w:cs="Traditional Arabic" w:hint="eastAsia"/>
          <w:sz w:val="30"/>
          <w:szCs w:val="30"/>
          <w:rtl/>
        </w:rPr>
        <w:t>ناقلات</w:t>
      </w:r>
      <w:r w:rsidRPr="00B934CE">
        <w:rPr>
          <w:rFonts w:ascii="Traditional Arabic" w:eastAsiaTheme="majorEastAsia" w:hAnsi="Traditional Arabic" w:cs="Traditional Arabic"/>
          <w:sz w:val="30"/>
          <w:szCs w:val="30"/>
          <w:rtl/>
        </w:rPr>
        <w:t xml:space="preserve"> الغاز بنسبة 15.1% من 38.2 مليون ريال عماني في السنة المالية 2021 الى 44.0 مليون ريال عماني في السنة المالية 2022، ويعود ذلك الى زيادة الإيرادات الناتجة عن (1)الناقلة </w:t>
      </w:r>
      <w:r w:rsidRPr="00B934CE">
        <w:rPr>
          <w:rFonts w:ascii="Traditional Arabic" w:eastAsiaTheme="majorEastAsia" w:hAnsi="Traditional Arabic" w:cs="Traditional Arabic"/>
          <w:sz w:val="30"/>
          <w:szCs w:val="30"/>
        </w:rPr>
        <w:t>ADAM)</w:t>
      </w:r>
      <w:r w:rsidRPr="00B934CE">
        <w:rPr>
          <w:rFonts w:ascii="Traditional Arabic" w:eastAsiaTheme="majorEastAsia" w:hAnsi="Traditional Arabic" w:cs="Traditional Arabic"/>
          <w:sz w:val="30"/>
          <w:szCs w:val="30"/>
          <w:rtl/>
        </w:rPr>
        <w:t xml:space="preserve">) ، مدفوعة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اشغال أعلى بمقدار 64 يوم، بعد إنهاء </w:t>
      </w:r>
      <w:r w:rsidRPr="00B934CE">
        <w:rPr>
          <w:rFonts w:ascii="Traditional Arabic" w:eastAsiaTheme="majorEastAsia" w:hAnsi="Traditional Arabic" w:cs="Traditional Arabic" w:hint="eastAsia"/>
          <w:sz w:val="30"/>
          <w:szCs w:val="30"/>
          <w:rtl/>
        </w:rPr>
        <w:t>الع</w:t>
      </w:r>
      <w:r w:rsidRPr="00B934CE">
        <w:rPr>
          <w:rFonts w:ascii="Traditional Arabic" w:eastAsiaTheme="majorEastAsia" w:hAnsi="Traditional Arabic" w:cs="Traditional Arabic"/>
          <w:sz w:val="30"/>
          <w:szCs w:val="30"/>
          <w:rtl/>
        </w:rPr>
        <w:t xml:space="preserve">قد وتوقيع عقد </w:t>
      </w:r>
      <w:r w:rsidRPr="00B934CE">
        <w:rPr>
          <w:rFonts w:ascii="Traditional Arabic" w:eastAsiaTheme="majorEastAsia" w:hAnsi="Traditional Arabic" w:cs="Traditional Arabic" w:hint="eastAsia"/>
          <w:sz w:val="30"/>
          <w:szCs w:val="30"/>
          <w:rtl/>
        </w:rPr>
        <w:t>جديد،</w:t>
      </w:r>
      <w:r w:rsidRPr="00B934CE">
        <w:rPr>
          <w:rFonts w:ascii="Traditional Arabic" w:eastAsiaTheme="majorEastAsia" w:hAnsi="Traditional Arabic" w:cs="Traditional Arabic"/>
          <w:sz w:val="30"/>
          <w:szCs w:val="30"/>
          <w:rtl/>
        </w:rPr>
        <w:t xml:space="preserve"> و(2) الناقلة </w:t>
      </w:r>
      <w:r w:rsidRPr="00B934CE">
        <w:rPr>
          <w:rFonts w:ascii="Traditional Arabic" w:eastAsiaTheme="majorEastAsia" w:hAnsi="Traditional Arabic" w:cs="Traditional Arabic"/>
          <w:sz w:val="30"/>
          <w:szCs w:val="30"/>
        </w:rPr>
        <w:t>(IBRI)</w:t>
      </w:r>
      <w:r w:rsidRPr="00B934CE">
        <w:rPr>
          <w:rFonts w:ascii="Traditional Arabic" w:eastAsiaTheme="majorEastAsia" w:hAnsi="Traditional Arabic" w:cs="Traditional Arabic"/>
          <w:sz w:val="30"/>
          <w:szCs w:val="30"/>
          <w:rtl/>
        </w:rPr>
        <w:t xml:space="preserve"> ب  مدفوعة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اشغال أعلى بمقدار 148 يوم</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ويعود</w:t>
      </w:r>
      <w:r w:rsidRPr="00B934CE">
        <w:rPr>
          <w:rFonts w:ascii="Traditional Arabic" w:eastAsiaTheme="majorEastAsia" w:hAnsi="Traditional Arabic" w:cs="Traditional Arabic"/>
          <w:sz w:val="30"/>
          <w:szCs w:val="30"/>
          <w:rtl/>
        </w:rPr>
        <w:t xml:space="preserve"> هذا الارتفاع الى تأثير العام الكامل في السنة المالية 2022 مقارنة بالسنة المالية 2021 حيث كانت السفينة متوقفة عن العمل لمدة أربعة أشهر تقريبً</w:t>
      </w:r>
      <w:r w:rsidRPr="00B934CE">
        <w:rPr>
          <w:rFonts w:ascii="Traditional Arabic" w:eastAsiaTheme="majorEastAsia" w:hAnsi="Traditional Arabic" w:cs="Traditional Arabic" w:hint="eastAsia"/>
          <w:sz w:val="30"/>
          <w:szCs w:val="30"/>
          <w:rtl/>
        </w:rPr>
        <w:t>ا،</w:t>
      </w:r>
      <w:r w:rsidRPr="00B934CE">
        <w:rPr>
          <w:rFonts w:ascii="Traditional Arabic" w:eastAsiaTheme="majorEastAsia" w:hAnsi="Traditional Arabic" w:cs="Traditional Arabic"/>
          <w:sz w:val="30"/>
          <w:szCs w:val="30"/>
          <w:rtl/>
        </w:rPr>
        <w:t xml:space="preserve"> بالإضافة الى الزيادة في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الأسعار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9.3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يوم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13.7 ألف ريال عماني/ يوم</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كما هو منصوص عليه في العقد.</w:t>
      </w:r>
    </w:p>
    <w:p w14:paraId="0F8839EF"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الإيرادات من </w:t>
      </w:r>
      <w:r w:rsidRPr="00B934CE">
        <w:rPr>
          <w:rFonts w:ascii="Traditional Arabic" w:eastAsiaTheme="majorEastAsia" w:hAnsi="Traditional Arabic" w:cs="Traditional Arabic" w:hint="eastAsia"/>
          <w:sz w:val="30"/>
          <w:szCs w:val="30"/>
          <w:rtl/>
        </w:rPr>
        <w:t>ناقلات</w:t>
      </w:r>
      <w:r w:rsidRPr="00B934CE">
        <w:rPr>
          <w:rFonts w:ascii="Traditional Arabic" w:eastAsiaTheme="majorEastAsia" w:hAnsi="Traditional Arabic" w:cs="Traditional Arabic"/>
          <w:sz w:val="30"/>
          <w:szCs w:val="30"/>
          <w:rtl/>
        </w:rPr>
        <w:t xml:space="preserve"> الغاز بنسبة 17.3% من 44.0 مليون ريال عماني في السنة المالية 2022 الى 51.6 مليون ريال عماني في السنة المالية 2023، ويعود ذلك الى زيادة الإيرادات الناتجة عن (1) ناقلة الغاز </w:t>
      </w:r>
      <w:r w:rsidRPr="00B934CE">
        <w:rPr>
          <w:rFonts w:ascii="Traditional Arabic" w:eastAsiaTheme="majorEastAsia" w:hAnsi="Traditional Arabic" w:cs="Traditional Arabic"/>
          <w:sz w:val="30"/>
          <w:szCs w:val="30"/>
        </w:rPr>
        <w:t>WAAS</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نتيجة اشغالها لمدة عام كامل في السنة المالية 2023، و(2) الناقلة </w:t>
      </w:r>
      <w:r w:rsidRPr="00B934CE">
        <w:rPr>
          <w:rFonts w:ascii="Traditional Arabic" w:eastAsiaTheme="majorEastAsia" w:hAnsi="Traditional Arabic" w:cs="Traditional Arabic"/>
          <w:sz w:val="30"/>
          <w:szCs w:val="30"/>
        </w:rPr>
        <w:t>(IBRI)</w:t>
      </w:r>
      <w:r w:rsidRPr="00B934CE">
        <w:rPr>
          <w:rFonts w:ascii="Traditional Arabic" w:eastAsiaTheme="majorEastAsia" w:hAnsi="Traditional Arabic" w:cs="Traditional Arabic"/>
          <w:sz w:val="30"/>
          <w:szCs w:val="30"/>
          <w:rtl/>
        </w:rPr>
        <w:t xml:space="preserve"> مدفوعة بزيادة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الأسعار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13.7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يوم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17.1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يوم،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كما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هو</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متفق</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عليه</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العقد،</w:t>
      </w:r>
      <w:r w:rsidRPr="00B934CE">
        <w:rPr>
          <w:rFonts w:ascii="Traditional Arabic" w:eastAsiaTheme="majorEastAsia" w:hAnsi="Traditional Arabic" w:cs="Traditional Arabic"/>
          <w:sz w:val="30"/>
          <w:szCs w:val="30"/>
          <w:rtl/>
        </w:rPr>
        <w:t xml:space="preserve"> و(3) الناقلة </w:t>
      </w:r>
      <w:r w:rsidRPr="00B934CE">
        <w:rPr>
          <w:rFonts w:ascii="Traditional Arabic" w:eastAsiaTheme="majorEastAsia" w:hAnsi="Traditional Arabic" w:cs="Traditional Arabic"/>
          <w:sz w:val="30"/>
          <w:szCs w:val="30"/>
        </w:rPr>
        <w:t>ADAM)</w:t>
      </w:r>
      <w:r w:rsidRPr="00B934CE">
        <w:rPr>
          <w:rFonts w:ascii="Traditional Arabic" w:eastAsiaTheme="majorEastAsia" w:hAnsi="Traditional Arabic" w:cs="Traditional Arabic"/>
          <w:sz w:val="30"/>
          <w:szCs w:val="30"/>
          <w:rtl/>
        </w:rPr>
        <w:t xml:space="preserve">)  مدفوعة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اشغال أعلى بمقدار 21 يوم بعد عودة السفينة من الحوض الجاف، حيث كانت تخضع لإصلاحات بسبب مشاكل فنية</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بالإضافة الى زيادة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الأسعار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23.3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 </w:t>
      </w:r>
      <w:r w:rsidRPr="00B934CE">
        <w:rPr>
          <w:rFonts w:ascii="Traditional Arabic" w:eastAsiaTheme="majorEastAsia" w:hAnsi="Traditional Arabic" w:cs="Traditional Arabic" w:hint="eastAsia"/>
          <w:sz w:val="30"/>
          <w:szCs w:val="30"/>
          <w:rtl/>
        </w:rPr>
        <w:t>يوم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24.4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 </w:t>
      </w:r>
      <w:r w:rsidRPr="00B934CE">
        <w:rPr>
          <w:rFonts w:ascii="Traditional Arabic" w:eastAsiaTheme="majorEastAsia" w:hAnsi="Traditional Arabic" w:cs="Traditional Arabic" w:hint="eastAsia"/>
          <w:sz w:val="30"/>
          <w:szCs w:val="30"/>
          <w:rtl/>
        </w:rPr>
        <w:t>يوم،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كما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هو</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موضح</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العقد</w:t>
      </w:r>
      <w:r w:rsidRPr="00B934CE">
        <w:rPr>
          <w:rFonts w:ascii="Traditional Arabic" w:eastAsiaTheme="majorEastAsia" w:hAnsi="Traditional Arabic" w:cs="Traditional Arabic"/>
          <w:sz w:val="30"/>
          <w:szCs w:val="30"/>
          <w:rtl/>
        </w:rPr>
        <w:t>.</w:t>
      </w:r>
    </w:p>
    <w:p w14:paraId="78234BE1"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انخف</w:t>
      </w:r>
      <w:r w:rsidRPr="00B934CE">
        <w:rPr>
          <w:rFonts w:ascii="Traditional Arabic" w:eastAsiaTheme="majorEastAsia" w:hAnsi="Traditional Arabic" w:cs="Traditional Arabic"/>
          <w:sz w:val="30"/>
          <w:szCs w:val="30"/>
          <w:rtl/>
        </w:rPr>
        <w:t>ضت إيرادات ناقلات الغاز بنسبة 2.8</w:t>
      </w:r>
      <w:r w:rsidRPr="00B934CE">
        <w:rPr>
          <w:rFonts w:ascii="Traditional Arabic" w:eastAsiaTheme="majorEastAsia" w:hAnsi="Traditional Arabic" w:cs="Traditional Arabic"/>
          <w:sz w:val="30"/>
          <w:szCs w:val="30"/>
        </w:rPr>
        <w:t>%</w:t>
      </w:r>
      <w:r w:rsidRPr="00B934CE">
        <w:rPr>
          <w:rFonts w:ascii="Traditional Arabic" w:eastAsiaTheme="majorEastAsia" w:hAnsi="Traditional Arabic" w:cs="Traditional Arabic"/>
          <w:sz w:val="30"/>
          <w:szCs w:val="30"/>
          <w:rtl/>
        </w:rPr>
        <w:t xml:space="preserve"> من 38.6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إلى 37.5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2024 ويرجع ذلك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أساسي إلى انخفاض الإيرادات الناتجة عن (1) </w:t>
      </w:r>
      <w:r w:rsidRPr="00B934CE">
        <w:rPr>
          <w:rFonts w:ascii="Traditional Arabic" w:eastAsiaTheme="majorEastAsia" w:hAnsi="Traditional Arabic" w:cs="Traditional Arabic"/>
          <w:sz w:val="30"/>
          <w:szCs w:val="30"/>
        </w:rPr>
        <w:t>IBRI</w:t>
      </w:r>
      <w:r w:rsidRPr="00B934CE">
        <w:rPr>
          <w:rFonts w:ascii="Traditional Arabic" w:eastAsiaTheme="majorEastAsia" w:hAnsi="Traditional Arabic" w:cs="Traditional Arabic"/>
          <w:sz w:val="30"/>
          <w:szCs w:val="30"/>
          <w:rtl/>
        </w:rPr>
        <w:t xml:space="preserve">  المنسوبة إلى انخفاض </w:t>
      </w:r>
      <w:r w:rsidR="005A0C95">
        <w:rPr>
          <w:rFonts w:ascii="Traditional Arabic" w:eastAsiaTheme="majorEastAsia" w:hAnsi="Traditional Arabic" w:cs="Traditional Arabic" w:hint="cs"/>
          <w:sz w:val="30"/>
          <w:szCs w:val="30"/>
          <w:rtl/>
        </w:rPr>
        <w:t>44</w:t>
      </w:r>
      <w:r w:rsidRPr="00B934CE">
        <w:rPr>
          <w:rFonts w:ascii="Traditional Arabic" w:eastAsiaTheme="majorEastAsia" w:hAnsi="Traditional Arabic" w:cs="Traditional Arabic"/>
          <w:sz w:val="30"/>
          <w:szCs w:val="30"/>
          <w:rtl/>
        </w:rPr>
        <w:t xml:space="preserve"> يوم في استخدام السفن (2) </w:t>
      </w:r>
      <w:r w:rsidRPr="00B934CE">
        <w:rPr>
          <w:rFonts w:ascii="Traditional Arabic" w:eastAsiaTheme="majorEastAsia" w:hAnsi="Traditional Arabic" w:cs="Traditional Arabic"/>
          <w:sz w:val="30"/>
          <w:szCs w:val="30"/>
        </w:rPr>
        <w:t>ADAM</w:t>
      </w:r>
      <w:r w:rsidRPr="00B934CE">
        <w:rPr>
          <w:rFonts w:ascii="Traditional Arabic" w:eastAsiaTheme="majorEastAsia" w:hAnsi="Traditional Arabic" w:cs="Traditional Arabic"/>
          <w:sz w:val="30"/>
          <w:szCs w:val="30"/>
          <w:rtl/>
        </w:rPr>
        <w:t xml:space="preserve">  بسبب انخفاض استخدام السفن بمقدار 50 يومًا. </w:t>
      </w:r>
      <w:r w:rsidRPr="00B934CE">
        <w:rPr>
          <w:rFonts w:ascii="Traditional Arabic" w:eastAsiaTheme="majorEastAsia" w:hAnsi="Traditional Arabic" w:cs="Traditional Arabic" w:hint="eastAsia"/>
          <w:sz w:val="30"/>
          <w:szCs w:val="30"/>
          <w:rtl/>
        </w:rPr>
        <w:t>وانخفاض</w:t>
      </w:r>
      <w:r w:rsidRPr="00B934CE">
        <w:rPr>
          <w:rFonts w:ascii="Traditional Arabic" w:eastAsiaTheme="majorEastAsia" w:hAnsi="Traditional Arabic" w:cs="Traditional Arabic"/>
          <w:sz w:val="30"/>
          <w:szCs w:val="30"/>
          <w:rtl/>
        </w:rPr>
        <w:t xml:space="preserve"> (3) </w:t>
      </w:r>
      <w:r w:rsidRPr="00B934CE">
        <w:rPr>
          <w:rFonts w:ascii="Traditional Arabic" w:eastAsiaTheme="majorEastAsia" w:hAnsi="Traditional Arabic" w:cs="Traditional Arabic"/>
          <w:sz w:val="30"/>
          <w:szCs w:val="30"/>
        </w:rPr>
        <w:t xml:space="preserve">WAAS </w:t>
      </w:r>
      <w:r w:rsidR="000533F8">
        <w:rPr>
          <w:rFonts w:ascii="Traditional Arabic" w:eastAsiaTheme="majorEastAsia" w:hAnsi="Traditional Arabic" w:cs="Traditional Arabic"/>
          <w:sz w:val="30"/>
          <w:szCs w:val="30"/>
          <w:lang w:val="en-GB"/>
        </w:rPr>
        <w:t>GAS CARRIER</w:t>
      </w:r>
      <w:r w:rsidRPr="00B934CE">
        <w:rPr>
          <w:rFonts w:ascii="Traditional Arabic" w:eastAsiaTheme="majorEastAsia" w:hAnsi="Traditional Arabic" w:cs="Traditional Arabic"/>
          <w:sz w:val="30"/>
          <w:szCs w:val="30"/>
          <w:rtl/>
        </w:rPr>
        <w:t xml:space="preserve"> بمقدار.</w:t>
      </w:r>
    </w:p>
    <w:p w14:paraId="7D22F091" w14:textId="77777777" w:rsidR="00563389" w:rsidRPr="00B934CE" w:rsidRDefault="00563389"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ال</w:t>
      </w:r>
      <w:r w:rsidR="00607B02">
        <w:rPr>
          <w:rFonts w:ascii="Traditional Arabic" w:eastAsiaTheme="majorEastAsia" w:hAnsi="Traditional Arabic" w:cs="Traditional Arabic"/>
          <w:b/>
          <w:bCs/>
          <w:sz w:val="30"/>
          <w:szCs w:val="30"/>
          <w:rtl/>
        </w:rPr>
        <w:t>نقل</w:t>
      </w:r>
      <w:r w:rsidRPr="00B934CE">
        <w:rPr>
          <w:rFonts w:ascii="Traditional Arabic" w:eastAsiaTheme="majorEastAsia" w:hAnsi="Traditional Arabic" w:cs="Traditional Arabic"/>
          <w:b/>
          <w:bCs/>
          <w:sz w:val="30"/>
          <w:szCs w:val="30"/>
          <w:rtl/>
        </w:rPr>
        <w:t xml:space="preserve"> الملاحي المنتظم </w:t>
      </w:r>
      <w:r w:rsidRPr="00B934CE">
        <w:rPr>
          <w:rFonts w:ascii="Traditional Arabic" w:eastAsiaTheme="majorEastAsia" w:hAnsi="Traditional Arabic" w:cs="Traditional Arabic"/>
          <w:b/>
          <w:bCs/>
          <w:sz w:val="30"/>
          <w:szCs w:val="30"/>
        </w:rPr>
        <w:t xml:space="preserve"> / </w:t>
      </w:r>
      <w:r w:rsidRPr="00B934CE">
        <w:rPr>
          <w:rFonts w:ascii="Traditional Arabic" w:eastAsiaTheme="majorEastAsia" w:hAnsi="Traditional Arabic" w:cs="Traditional Arabic" w:hint="eastAsia"/>
          <w:b/>
          <w:bCs/>
          <w:sz w:val="30"/>
          <w:szCs w:val="30"/>
          <w:rtl/>
        </w:rPr>
        <w:t>ال</w:t>
      </w:r>
      <w:r w:rsidRPr="00B934CE">
        <w:rPr>
          <w:rFonts w:ascii="Traditional Arabic" w:eastAsiaTheme="majorEastAsia" w:hAnsi="Traditional Arabic" w:cs="Traditional Arabic"/>
          <w:b/>
          <w:bCs/>
          <w:sz w:val="30"/>
          <w:szCs w:val="30"/>
          <w:rtl/>
        </w:rPr>
        <w:t>حاويات</w:t>
      </w:r>
    </w:p>
    <w:p w14:paraId="4073F85E"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ت</w:t>
      </w:r>
      <w:r w:rsidRPr="00B934CE">
        <w:rPr>
          <w:rFonts w:ascii="Traditional Arabic" w:eastAsiaTheme="majorEastAsia" w:hAnsi="Traditional Arabic" w:cs="Traditional Arabic"/>
          <w:sz w:val="30"/>
          <w:szCs w:val="30"/>
          <w:rtl/>
        </w:rPr>
        <w:t xml:space="preserve">شكل </w:t>
      </w:r>
      <w:r w:rsidRPr="00B934CE">
        <w:rPr>
          <w:rFonts w:ascii="Traditional Arabic" w:eastAsiaTheme="majorEastAsia" w:hAnsi="Traditional Arabic" w:cs="Traditional Arabic" w:hint="eastAsia"/>
          <w:sz w:val="30"/>
          <w:szCs w:val="30"/>
          <w:rtl/>
        </w:rPr>
        <w:t>الحاويات</w:t>
      </w:r>
      <w:r w:rsidRPr="00B934CE">
        <w:rPr>
          <w:rFonts w:ascii="Traditional Arabic" w:eastAsiaTheme="majorEastAsia" w:hAnsi="Traditional Arabic" w:cs="Traditional Arabic"/>
          <w:sz w:val="30"/>
          <w:szCs w:val="30"/>
          <w:rtl/>
        </w:rPr>
        <w:t xml:space="preserve"> </w:t>
      </w:r>
      <w:r w:rsidR="00C87FBA">
        <w:rPr>
          <w:rFonts w:ascii="Traditional Arabic" w:eastAsiaTheme="majorEastAsia" w:hAnsi="Traditional Arabic" w:cs="Traditional Arabic" w:hint="cs"/>
          <w:sz w:val="30"/>
          <w:szCs w:val="30"/>
          <w:rtl/>
        </w:rPr>
        <w:t>13.7</w:t>
      </w:r>
      <w:r w:rsidRPr="00B934CE">
        <w:rPr>
          <w:rFonts w:ascii="Traditional Arabic" w:eastAsiaTheme="majorEastAsia" w:hAnsi="Traditional Arabic" w:cs="Traditional Arabic"/>
          <w:sz w:val="30"/>
          <w:szCs w:val="30"/>
          <w:rtl/>
        </w:rPr>
        <w:t>% من الإيرادات بين فترة التسعة أشهر المنتهية في 30 سبتمبر 2023 و2024</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وت</w:t>
      </w:r>
      <w:r w:rsidRPr="00B934CE">
        <w:rPr>
          <w:rFonts w:ascii="Traditional Arabic" w:eastAsiaTheme="majorEastAsia" w:hAnsi="Traditional Arabic" w:cs="Traditional Arabic"/>
          <w:sz w:val="30"/>
          <w:szCs w:val="30"/>
          <w:rtl/>
        </w:rPr>
        <w:t xml:space="preserve">شمل عنصرين رئيسيين: </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w:t>
      </w:r>
      <w:r w:rsidRPr="00B934CE">
        <w:rPr>
          <w:rFonts w:ascii="Traditional Arabic" w:eastAsiaTheme="majorEastAsia" w:hAnsi="Traditional Arabic" w:cs="Traditional Arabic"/>
          <w:sz w:val="30"/>
          <w:szCs w:val="30"/>
          <w:rtl/>
        </w:rPr>
        <w:t xml:space="preserve">أجير الحاويات المملوكة للشركة بالكامل للعملاء والإيرادات من </w:t>
      </w:r>
      <w:r w:rsidRPr="00B934CE">
        <w:rPr>
          <w:rFonts w:ascii="Traditional Arabic" w:eastAsiaTheme="majorEastAsia" w:hAnsi="Traditional Arabic" w:cs="Traditional Arabic" w:hint="eastAsia"/>
          <w:sz w:val="30"/>
          <w:szCs w:val="30"/>
          <w:rtl/>
        </w:rPr>
        <w:t>الحاويات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المشغلة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قبل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الشاحن</w:t>
      </w:r>
      <w:r w:rsidRPr="00B934CE">
        <w:rPr>
          <w:rFonts w:ascii="Traditional Arabic" w:eastAsiaTheme="majorEastAsia" w:hAnsi="Traditional Arabic" w:cs="Traditional Arabic"/>
          <w:sz w:val="30"/>
          <w:szCs w:val="30"/>
          <w:rtl/>
        </w:rPr>
        <w:t>. تنقل هذه السفن مجموعة متنوعة من البضائع المعبأة في حاويات، بما في ذلك السلع الاستهلاكية سريعة الحركة (</w:t>
      </w:r>
      <w:r w:rsidRPr="00B934CE">
        <w:rPr>
          <w:rFonts w:ascii="Traditional Arabic" w:eastAsiaTheme="majorEastAsia" w:hAnsi="Traditional Arabic" w:cs="Traditional Arabic"/>
          <w:sz w:val="30"/>
          <w:szCs w:val="30"/>
        </w:rPr>
        <w:t>FMCG</w:t>
      </w:r>
      <w:r w:rsidRPr="00B934CE">
        <w:rPr>
          <w:rFonts w:ascii="Traditional Arabic" w:eastAsiaTheme="majorEastAsia" w:hAnsi="Traditional Arabic" w:cs="Traditional Arabic"/>
          <w:sz w:val="30"/>
          <w:szCs w:val="30"/>
          <w:rtl/>
        </w:rPr>
        <w:t>) ومواد البناء والإلكترونيات والمركبات. اعتبارًا من 30 سبتمبر 2024، تمتلك الشركة سفينتي حاويات بسعة 41,500 و50,629 طن ساكن</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وكلاهما بعقود فورية وطويلة الأجل (</w:t>
      </w:r>
      <w:r w:rsidRPr="00B934CE">
        <w:rPr>
          <w:rFonts w:ascii="Traditional Arabic" w:eastAsiaTheme="majorEastAsia" w:hAnsi="Traditional Arabic" w:cs="Traditional Arabic" w:hint="eastAsia"/>
          <w:sz w:val="30"/>
          <w:szCs w:val="30"/>
          <w:rtl/>
        </w:rPr>
        <w:t>عشر</w:t>
      </w:r>
      <w:r w:rsidRPr="00B934CE">
        <w:rPr>
          <w:rFonts w:ascii="Traditional Arabic" w:eastAsiaTheme="majorEastAsia" w:hAnsi="Traditional Arabic" w:cs="Traditional Arabic"/>
          <w:sz w:val="30"/>
          <w:szCs w:val="30"/>
          <w:rtl/>
        </w:rPr>
        <w:t xml:space="preserve"> سنوات)، تنتهي في نوفمبر 2031 وسبتمبر 2034 على </w:t>
      </w:r>
      <w:r w:rsidRPr="00B934CE">
        <w:rPr>
          <w:rFonts w:ascii="Traditional Arabic" w:eastAsiaTheme="majorEastAsia" w:hAnsi="Traditional Arabic" w:cs="Traditional Arabic"/>
          <w:sz w:val="30"/>
          <w:szCs w:val="30"/>
          <w:rtl/>
        </w:rPr>
        <w:lastRenderedPageBreak/>
        <w:t>التوالي. تعمل هذه السفن في دول مختلفة في جميع أنحاء آسيا، وخاصة في الهند والإمارات العربية المتحدة وع</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مان والصين والمملكة العربية السعودية.</w:t>
      </w:r>
    </w:p>
    <w:p w14:paraId="3C0BF435"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الإيرادات من </w:t>
      </w:r>
      <w:r w:rsidRPr="00B934CE">
        <w:rPr>
          <w:rFonts w:ascii="Traditional Arabic" w:eastAsiaTheme="majorEastAsia" w:hAnsi="Traditional Arabic" w:cs="Traditional Arabic" w:hint="eastAsia"/>
          <w:sz w:val="30"/>
          <w:szCs w:val="30"/>
          <w:rtl/>
        </w:rPr>
        <w:t>الحاويات</w:t>
      </w:r>
      <w:r w:rsidRPr="00B934CE">
        <w:rPr>
          <w:rFonts w:ascii="Traditional Arabic" w:eastAsiaTheme="majorEastAsia" w:hAnsi="Traditional Arabic" w:cs="Traditional Arabic"/>
          <w:sz w:val="30"/>
          <w:szCs w:val="30"/>
          <w:rtl/>
        </w:rPr>
        <w:t xml:space="preserve"> بنسبة 39.4% من 41.1 مليون ريال عماني في السنة المالية 2021 الى 57.3 مليون ريال عماني في السنة المالية 2022، ويعود ذلك الى (1) ارتفاع الإيرادات من </w:t>
      </w:r>
      <w:r w:rsidRPr="00B934CE">
        <w:rPr>
          <w:rFonts w:ascii="Traditional Arabic" w:eastAsiaTheme="majorEastAsia" w:hAnsi="Traditional Arabic" w:cs="Traditional Arabic" w:hint="eastAsia"/>
          <w:sz w:val="30"/>
          <w:szCs w:val="30"/>
          <w:rtl/>
        </w:rPr>
        <w:t>الحاويات</w:t>
      </w:r>
      <w:r w:rsidRPr="00B934CE">
        <w:rPr>
          <w:rFonts w:ascii="Traditional Arabic" w:eastAsiaTheme="majorEastAsia" w:hAnsi="Traditional Arabic" w:cs="Traditional Arabic"/>
          <w:sz w:val="30"/>
          <w:szCs w:val="30"/>
          <w:rtl/>
        </w:rPr>
        <w:t xml:space="preserve"> المشغلة من قبل الشاحن </w:t>
      </w:r>
      <w:r w:rsidRPr="00B934CE">
        <w:rPr>
          <w:rFonts w:ascii="Traditional Arabic" w:eastAsiaTheme="majorEastAsia" w:hAnsi="Traditional Arabic" w:cs="Traditional Arabic" w:hint="eastAsia"/>
          <w:sz w:val="30"/>
          <w:szCs w:val="30"/>
          <w:rtl/>
        </w:rPr>
        <w:t>مدفوعة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بال</w:t>
      </w:r>
      <w:r w:rsidRPr="00B934CE">
        <w:rPr>
          <w:rFonts w:ascii="Traditional Arabic" w:eastAsiaTheme="majorEastAsia" w:hAnsi="Traditional Arabic" w:cs="Traditional Arabic"/>
          <w:sz w:val="30"/>
          <w:szCs w:val="30"/>
          <w:rtl/>
        </w:rPr>
        <w:t xml:space="preserve">زيادة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السعر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وحدة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مكافئة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لعشرين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قدمًا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w:t>
      </w:r>
      <w:r w:rsidR="0018046E">
        <w:rPr>
          <w:rFonts w:ascii="Traditional Arabic" w:eastAsiaTheme="majorEastAsia" w:hAnsi="Traditional Arabic" w:cs="Traditional Arabic" w:hint="cs"/>
          <w:sz w:val="30"/>
          <w:szCs w:val="30"/>
          <w:rtl/>
        </w:rPr>
        <w:t>مقدار</w:t>
      </w:r>
      <w:r w:rsidRPr="00B934CE">
        <w:rPr>
          <w:rFonts w:ascii="Traditional Arabic" w:eastAsiaTheme="majorEastAsia" w:hAnsi="Traditional Arabic" w:cs="Traditional Arabic"/>
          <w:sz w:val="30"/>
          <w:szCs w:val="30"/>
          <w:rtl/>
        </w:rPr>
        <w:t xml:space="preserve"> </w:t>
      </w:r>
      <w:r w:rsidR="0018046E">
        <w:rPr>
          <w:rFonts w:ascii="Traditional Arabic" w:eastAsiaTheme="majorEastAsia" w:hAnsi="Traditional Arabic" w:cs="Traditional Arabic" w:hint="cs"/>
          <w:sz w:val="30"/>
          <w:szCs w:val="30"/>
          <w:rtl/>
        </w:rPr>
        <w:t>41.6</w:t>
      </w:r>
      <w:r w:rsidR="0018046E"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جانب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حجم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الحاويات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w:t>
      </w:r>
      <w:r w:rsidR="0018046E">
        <w:rPr>
          <w:rFonts w:ascii="Traditional Arabic" w:eastAsiaTheme="majorEastAsia" w:hAnsi="Traditional Arabic" w:cs="Traditional Arabic" w:hint="cs"/>
          <w:sz w:val="30"/>
          <w:szCs w:val="30"/>
          <w:rtl/>
        </w:rPr>
        <w:t>مقدار</w:t>
      </w:r>
      <w:r w:rsidRPr="00B934CE">
        <w:rPr>
          <w:rFonts w:ascii="Traditional Arabic" w:eastAsiaTheme="majorEastAsia" w:hAnsi="Traditional Arabic" w:cs="Traditional Arabic"/>
          <w:sz w:val="30"/>
          <w:szCs w:val="30"/>
          <w:rtl/>
        </w:rPr>
        <w:t xml:space="preserve"> 58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وحدة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مكافئة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لعشرين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قدمًا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بالإضافة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(2) </w:t>
      </w:r>
      <w:r w:rsidRPr="00B934CE">
        <w:rPr>
          <w:rFonts w:ascii="Traditional Arabic" w:eastAsiaTheme="majorEastAsia" w:hAnsi="Traditional Arabic" w:cs="Traditional Arabic" w:hint="eastAsia"/>
          <w:sz w:val="30"/>
          <w:szCs w:val="30"/>
          <w:rtl/>
        </w:rPr>
        <w:t>ارتفاع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من تأجير الحاويات المملوكة للشركة بالكامل للعملاء </w:t>
      </w:r>
      <w:r w:rsidRPr="00B934CE">
        <w:rPr>
          <w:rFonts w:ascii="Traditional Arabic" w:eastAsiaTheme="majorEastAsia" w:hAnsi="Traditional Arabic" w:cs="Traditional Arabic" w:hint="eastAsia"/>
          <w:sz w:val="30"/>
          <w:szCs w:val="30"/>
          <w:rtl/>
        </w:rPr>
        <w:t>مدفوعة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بال</w:t>
      </w:r>
      <w:r w:rsidRPr="00B934CE">
        <w:rPr>
          <w:rFonts w:ascii="Traditional Arabic" w:eastAsiaTheme="majorEastAsia" w:hAnsi="Traditional Arabic" w:cs="Traditional Arabic"/>
          <w:sz w:val="30"/>
          <w:szCs w:val="30"/>
          <w:rtl/>
        </w:rPr>
        <w:t xml:space="preserve">زيادة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سعر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الحاويات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التي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تديرها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شركات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النقل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وحدة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مكافئة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لعشرين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قدمًا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بحوالي</w:t>
      </w:r>
      <w:r w:rsidRPr="00B934CE">
        <w:rPr>
          <w:rFonts w:ascii="Traditional Arabic" w:eastAsiaTheme="majorEastAsia" w:hAnsi="Traditional Arabic" w:cs="Traditional Arabic"/>
          <w:sz w:val="30"/>
          <w:szCs w:val="30"/>
          <w:rtl/>
        </w:rPr>
        <w:t xml:space="preserve"> 101</w:t>
      </w:r>
      <w:r w:rsidR="00C172D2">
        <w:rPr>
          <w:rFonts w:ascii="Traditional Arabic" w:eastAsiaTheme="majorEastAsia" w:hAnsi="Traditional Arabic" w:cs="Traditional Arabic" w:hint="cs"/>
          <w:sz w:val="30"/>
          <w:szCs w:val="30"/>
          <w:rtl/>
        </w:rPr>
        <w:t>.0</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جانب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حجم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الحاويات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بحوالي</w:t>
      </w:r>
      <w:r w:rsidRPr="00B934CE">
        <w:rPr>
          <w:rFonts w:ascii="Traditional Arabic" w:eastAsiaTheme="majorEastAsia" w:hAnsi="Traditional Arabic" w:cs="Traditional Arabic"/>
          <w:sz w:val="30"/>
          <w:szCs w:val="30"/>
          <w:rtl/>
        </w:rPr>
        <w:t xml:space="preserve"> 1.3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وحدة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مكافئة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لعشرين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قدمًا</w:t>
      </w:r>
      <w:r w:rsidRPr="00B934CE">
        <w:rPr>
          <w:rFonts w:ascii="Traditional Arabic" w:eastAsiaTheme="majorEastAsia" w:hAnsi="Traditional Arabic" w:cs="Traditional Arabic"/>
          <w:sz w:val="30"/>
          <w:szCs w:val="30"/>
          <w:rtl/>
        </w:rPr>
        <w:t xml:space="preserve">. </w:t>
      </w:r>
    </w:p>
    <w:p w14:paraId="31A468BA"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الإيرادات من </w:t>
      </w:r>
      <w:r w:rsidRPr="00B934CE">
        <w:rPr>
          <w:rFonts w:ascii="Traditional Arabic" w:eastAsiaTheme="majorEastAsia" w:hAnsi="Traditional Arabic" w:cs="Traditional Arabic" w:hint="eastAsia"/>
          <w:sz w:val="30"/>
          <w:szCs w:val="30"/>
          <w:rtl/>
        </w:rPr>
        <w:t>الحاويات</w:t>
      </w:r>
      <w:r w:rsidRPr="00B934CE">
        <w:rPr>
          <w:rFonts w:ascii="Traditional Arabic" w:eastAsiaTheme="majorEastAsia" w:hAnsi="Traditional Arabic" w:cs="Traditional Arabic"/>
          <w:sz w:val="30"/>
          <w:szCs w:val="30"/>
          <w:rtl/>
        </w:rPr>
        <w:t xml:space="preserve"> بنسبة 22.7% من 57.3 مليون ريال عماني في السنة المالية 2022 الى 44.2 مليون ريال عماني في السنة المالية 2023، ويعود ذلك الى انخفاض الإيرادات من </w:t>
      </w:r>
      <w:r w:rsidRPr="00B934CE">
        <w:rPr>
          <w:rFonts w:ascii="Traditional Arabic" w:eastAsiaTheme="majorEastAsia" w:hAnsi="Traditional Arabic" w:cs="Traditional Arabic" w:hint="eastAsia"/>
          <w:sz w:val="30"/>
          <w:szCs w:val="30"/>
          <w:rtl/>
        </w:rPr>
        <w:t>الحاويات</w:t>
      </w:r>
      <w:r w:rsidRPr="00B934CE">
        <w:rPr>
          <w:rFonts w:ascii="Traditional Arabic" w:eastAsiaTheme="majorEastAsia" w:hAnsi="Traditional Arabic" w:cs="Traditional Arabic"/>
          <w:sz w:val="30"/>
          <w:szCs w:val="30"/>
          <w:rtl/>
        </w:rPr>
        <w:t xml:space="preserve"> المشغلة من قبل الشاحن  مدفوع</w:t>
      </w:r>
      <w:r w:rsidRPr="00B934CE">
        <w:rPr>
          <w:rFonts w:ascii="Traditional Arabic" w:eastAsiaTheme="majorEastAsia" w:hAnsi="Traditional Arabic" w:cs="Traditional Arabic" w:hint="eastAsia"/>
          <w:sz w:val="30"/>
          <w:szCs w:val="30"/>
          <w:rtl/>
        </w:rPr>
        <w:t>ة</w:t>
      </w:r>
      <w:r w:rsidRPr="00B934CE">
        <w:rPr>
          <w:rFonts w:ascii="Traditional Arabic" w:eastAsiaTheme="majorEastAsia" w:hAnsi="Traditional Arabic" w:cs="Traditional Arabic"/>
          <w:sz w:val="30"/>
          <w:szCs w:val="30"/>
          <w:rtl/>
        </w:rPr>
        <w:t xml:space="preserve"> بشكل أساسي بانخفاض كبير في حجم الحاويات </w:t>
      </w:r>
      <w:r w:rsidR="00FB36A3">
        <w:rPr>
          <w:rFonts w:ascii="Traditional Arabic" w:eastAsiaTheme="majorEastAsia" w:hAnsi="Traditional Arabic" w:cs="Traditional Arabic" w:hint="cs"/>
          <w:sz w:val="30"/>
          <w:szCs w:val="30"/>
          <w:rtl/>
        </w:rPr>
        <w:t>بمقدار</w:t>
      </w:r>
      <w:r w:rsidR="00FB36A3"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sz w:val="30"/>
          <w:szCs w:val="30"/>
          <w:rtl/>
        </w:rPr>
        <w:t xml:space="preserve">114.6 ألف حاوية، نتيجة فقدان الحاويات التي </w:t>
      </w:r>
      <w:r w:rsidRPr="00B934CE">
        <w:rPr>
          <w:rFonts w:ascii="Traditional Arabic" w:eastAsiaTheme="majorEastAsia" w:hAnsi="Traditional Arabic" w:cs="Traditional Arabic" w:hint="eastAsia"/>
          <w:sz w:val="30"/>
          <w:szCs w:val="30"/>
          <w:rtl/>
        </w:rPr>
        <w:t>تديرها</w:t>
      </w:r>
      <w:r w:rsidRPr="00B934CE">
        <w:rPr>
          <w:rFonts w:ascii="Traditional Arabic" w:eastAsiaTheme="majorEastAsia" w:hAnsi="Traditional Arabic" w:cs="Traditional Arabic"/>
          <w:sz w:val="30"/>
          <w:szCs w:val="30"/>
          <w:rtl/>
        </w:rPr>
        <w:t xml:space="preserve"> شركات الشحن من ميرسك وكاتالوم والتحول التشغيلي من الحاويات التي </w:t>
      </w:r>
      <w:r w:rsidRPr="00B934CE">
        <w:rPr>
          <w:rFonts w:ascii="Traditional Arabic" w:eastAsiaTheme="majorEastAsia" w:hAnsi="Traditional Arabic" w:cs="Traditional Arabic" w:hint="eastAsia"/>
          <w:sz w:val="30"/>
          <w:szCs w:val="30"/>
          <w:rtl/>
        </w:rPr>
        <w:t>تد</w:t>
      </w:r>
      <w:r w:rsidRPr="00B934CE">
        <w:rPr>
          <w:rFonts w:ascii="Traditional Arabic" w:eastAsiaTheme="majorEastAsia" w:hAnsi="Traditional Arabic" w:cs="Traditional Arabic"/>
          <w:sz w:val="30"/>
          <w:szCs w:val="30"/>
          <w:rtl/>
        </w:rPr>
        <w:t xml:space="preserve">يرها </w:t>
      </w:r>
      <w:r w:rsidRPr="00B934CE">
        <w:rPr>
          <w:rFonts w:ascii="Traditional Arabic" w:eastAsiaTheme="majorEastAsia" w:hAnsi="Traditional Arabic" w:cs="Traditional Arabic" w:hint="eastAsia"/>
          <w:sz w:val="30"/>
          <w:szCs w:val="30"/>
          <w:rtl/>
        </w:rPr>
        <w:t>شركات</w:t>
      </w:r>
      <w:r w:rsidRPr="00B934CE">
        <w:rPr>
          <w:rFonts w:ascii="Traditional Arabic" w:eastAsiaTheme="majorEastAsia" w:hAnsi="Traditional Arabic" w:cs="Traditional Arabic"/>
          <w:sz w:val="30"/>
          <w:szCs w:val="30"/>
          <w:rtl/>
        </w:rPr>
        <w:t xml:space="preserve"> الشحن إلى الحاويات التي </w:t>
      </w:r>
      <w:r w:rsidRPr="00B934CE">
        <w:rPr>
          <w:rFonts w:ascii="Traditional Arabic" w:eastAsiaTheme="majorEastAsia" w:hAnsi="Traditional Arabic" w:cs="Traditional Arabic" w:hint="eastAsia"/>
          <w:sz w:val="30"/>
          <w:szCs w:val="30"/>
          <w:rtl/>
        </w:rPr>
        <w:t>تديرها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شركات</w:t>
      </w:r>
      <w:r w:rsidRPr="00B934CE">
        <w:rPr>
          <w:rFonts w:ascii="Traditional Arabic" w:eastAsiaTheme="majorEastAsia" w:hAnsi="Traditional Arabic" w:cs="Traditional Arabic"/>
          <w:sz w:val="30"/>
          <w:szCs w:val="30"/>
          <w:rtl/>
        </w:rPr>
        <w:t xml:space="preserve"> النقل.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جانب الانخفاض في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السعر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وحدة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مكافئة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لعشرين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قدمًا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بحوالي</w:t>
      </w:r>
      <w:r w:rsidRPr="00B934CE">
        <w:rPr>
          <w:rFonts w:ascii="Traditional Arabic" w:eastAsiaTheme="majorEastAsia" w:hAnsi="Traditional Arabic" w:cs="Traditional Arabic"/>
          <w:sz w:val="30"/>
          <w:szCs w:val="30"/>
          <w:rtl/>
        </w:rPr>
        <w:t xml:space="preserve"> 17.2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تماشياً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انخفاض</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أسعار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الشحن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العالمية</w:t>
      </w:r>
      <w:r w:rsidRPr="00B934CE">
        <w:rPr>
          <w:rFonts w:ascii="Traditional Arabic" w:eastAsiaTheme="majorEastAsia" w:hAnsi="Traditional Arabic" w:cs="Traditional Arabic"/>
          <w:sz w:val="30"/>
          <w:szCs w:val="30"/>
          <w:rtl/>
        </w:rPr>
        <w:t xml:space="preserve"> بعد انخفاض الطلب العالمي. </w:t>
      </w:r>
    </w:p>
    <w:p w14:paraId="0B526863" w14:textId="77777777" w:rsidR="00563389" w:rsidRPr="00B934CE" w:rsidRDefault="00563389" w:rsidP="00244CE1">
      <w:pPr>
        <w:bidi/>
        <w:spacing w:after="120"/>
        <w:jc w:val="both"/>
        <w:rPr>
          <w:rFonts w:ascii="Traditional Arabic" w:eastAsiaTheme="majorEastAsia" w:hAnsi="Traditional Arabic" w:cs="Traditional Arabic"/>
          <w:sz w:val="30"/>
          <w:szCs w:val="30"/>
          <w:rtl/>
          <w:lang w:bidi="ar-JO"/>
        </w:rPr>
      </w:pPr>
      <w:r w:rsidRPr="00B934CE">
        <w:rPr>
          <w:rFonts w:ascii="Traditional Arabic" w:eastAsiaTheme="majorEastAsia" w:hAnsi="Traditional Arabic" w:cs="Traditional Arabic" w:hint="eastAsia"/>
          <w:sz w:val="30"/>
          <w:szCs w:val="30"/>
          <w:rtl/>
        </w:rPr>
        <w:t>ارتف</w:t>
      </w:r>
      <w:r w:rsidRPr="00B934CE">
        <w:rPr>
          <w:rFonts w:ascii="Traditional Arabic" w:eastAsiaTheme="majorEastAsia" w:hAnsi="Traditional Arabic" w:cs="Traditional Arabic"/>
          <w:sz w:val="30"/>
          <w:szCs w:val="30"/>
          <w:rtl/>
        </w:rPr>
        <w:t xml:space="preserve">عت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إيرادات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الحاويات بنسبة 29.9% من 32.8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إلى 42.7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2024 بسبب (1) زيادة الإيرادات من الحاويات التي تديرها شركات النقل  مدفوعة بزيادة في </w:t>
      </w:r>
      <w:r w:rsidRPr="00B934CE">
        <w:rPr>
          <w:rFonts w:ascii="Traditional Arabic" w:eastAsiaTheme="majorEastAsia" w:hAnsi="Traditional Arabic" w:cs="Traditional Arabic" w:hint="eastAsia"/>
          <w:sz w:val="30"/>
          <w:szCs w:val="30"/>
          <w:rtl/>
        </w:rPr>
        <w:t>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تأجير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السفن</w:t>
      </w:r>
      <w:r w:rsidRPr="00B934CE">
        <w:rPr>
          <w:rFonts w:ascii="Traditional Arabic" w:eastAsiaTheme="majorEastAsia" w:hAnsi="Traditional Arabic" w:cs="Traditional Arabic"/>
          <w:sz w:val="30"/>
          <w:szCs w:val="30"/>
          <w:rtl/>
          <w:lang w:bidi="ar-JO"/>
        </w:rPr>
        <w:t>. شهدت الشركة نموًا سريعًا في الأعمال التجارية في الصين ، وفيتنام ، وتايلاند.</w:t>
      </w:r>
    </w:p>
    <w:p w14:paraId="737B5602" w14:textId="77777777" w:rsidR="00563389" w:rsidRPr="00B934CE" w:rsidRDefault="00563389"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البضائع السائبة الجافة</w:t>
      </w:r>
    </w:p>
    <w:p w14:paraId="5D9F85D5" w14:textId="77777777" w:rsidR="00563389" w:rsidRPr="00B934CE" w:rsidRDefault="00563389" w:rsidP="00244CE1">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ت</w:t>
      </w:r>
      <w:r w:rsidRPr="00B934CE">
        <w:rPr>
          <w:rFonts w:ascii="Traditional Arabic" w:eastAsiaTheme="majorEastAsia" w:hAnsi="Traditional Arabic" w:cs="Traditional Arabic"/>
          <w:sz w:val="30"/>
          <w:szCs w:val="30"/>
          <w:rtl/>
        </w:rPr>
        <w:t xml:space="preserve">شكل </w:t>
      </w:r>
      <w:r w:rsidRPr="00B934CE">
        <w:rPr>
          <w:rFonts w:ascii="Traditional Arabic" w:eastAsiaTheme="majorEastAsia" w:hAnsi="Traditional Arabic" w:cs="Traditional Arabic" w:hint="eastAsia"/>
          <w:sz w:val="30"/>
          <w:szCs w:val="30"/>
          <w:rtl/>
        </w:rPr>
        <w:t>البضائع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السائبة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الجافة</w:t>
      </w:r>
      <w:r w:rsidRPr="00B934CE">
        <w:rPr>
          <w:rFonts w:ascii="Traditional Arabic" w:eastAsiaTheme="majorEastAsia" w:hAnsi="Traditional Arabic" w:cs="Traditional Arabic"/>
          <w:sz w:val="30"/>
          <w:szCs w:val="30"/>
          <w:rtl/>
        </w:rPr>
        <w:t xml:space="preserve"> 17</w:t>
      </w:r>
      <w:r w:rsidR="00DB435C">
        <w:rPr>
          <w:rFonts w:ascii="Traditional Arabic" w:eastAsiaTheme="majorEastAsia" w:hAnsi="Traditional Arabic" w:cs="Traditional Arabic" w:hint="cs"/>
          <w:sz w:val="30"/>
          <w:szCs w:val="30"/>
          <w:rtl/>
        </w:rPr>
        <w:t>.2</w:t>
      </w:r>
      <w:r w:rsidRPr="00B934CE">
        <w:rPr>
          <w:rFonts w:ascii="Traditional Arabic" w:eastAsiaTheme="majorEastAsia" w:hAnsi="Traditional Arabic" w:cs="Traditional Arabic"/>
          <w:sz w:val="30"/>
          <w:szCs w:val="30"/>
          <w:rtl/>
        </w:rPr>
        <w:t xml:space="preserve">% من الإيرادات بين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و2024، </w:t>
      </w:r>
      <w:r w:rsidRPr="00B934CE">
        <w:rPr>
          <w:rFonts w:ascii="Traditional Arabic" w:eastAsiaTheme="majorEastAsia" w:hAnsi="Traditional Arabic" w:cs="Traditional Arabic" w:hint="eastAsia"/>
          <w:sz w:val="30"/>
          <w:szCs w:val="30"/>
          <w:rtl/>
        </w:rPr>
        <w:t>و</w:t>
      </w:r>
      <w:r w:rsidRPr="00B934CE">
        <w:rPr>
          <w:rFonts w:ascii="Traditional Arabic" w:eastAsiaTheme="majorEastAsia" w:hAnsi="Traditional Arabic" w:cs="Traditional Arabic"/>
          <w:sz w:val="30"/>
          <w:szCs w:val="30"/>
          <w:rtl/>
        </w:rPr>
        <w:t>تشمل السفن التي تنقل مجموعة من المواد مثل الألومنيوم والبوكسيت وخام الحديد والمواد الخام. اعتبارًا من 30 سبتمبر 2024، تمتلك الشركة (</w:t>
      </w:r>
      <w:r w:rsidRPr="00B934CE">
        <w:rPr>
          <w:rFonts w:ascii="Traditional Arabic" w:eastAsiaTheme="majorEastAsia" w:hAnsi="Traditional Arabic" w:cs="Traditional Arabic" w:hint="eastAsia"/>
          <w:sz w:val="30"/>
          <w:szCs w:val="30"/>
          <w:rtl/>
        </w:rPr>
        <w:t>أ</w:t>
      </w:r>
      <w:r w:rsidRPr="00B934CE">
        <w:rPr>
          <w:rFonts w:ascii="Traditional Arabic" w:eastAsiaTheme="majorEastAsia" w:hAnsi="Traditional Arabic" w:cs="Traditional Arabic"/>
          <w:sz w:val="30"/>
          <w:szCs w:val="30"/>
          <w:rtl/>
        </w:rPr>
        <w:t>) سبع سفن للبضائع السائبة الجافة (ست سفن ألترا ماكس وسفينة شحن جافة واحدة)، بمتوسط سعة لكل سفينة يبلغ 63,420 طنًا ساكنًا، وجميعها تخضع لعقود تأجير زمني من المقرر أن تنتهي بين نوفمبر 2024 وديسمبر 2024. (</w:t>
      </w:r>
      <w:r w:rsidRPr="00B934CE">
        <w:rPr>
          <w:rFonts w:ascii="Traditional Arabic" w:eastAsiaTheme="majorEastAsia" w:hAnsi="Traditional Arabic" w:cs="Traditional Arabic" w:hint="eastAsia"/>
          <w:sz w:val="30"/>
          <w:szCs w:val="30"/>
          <w:rtl/>
        </w:rPr>
        <w:t>ب</w:t>
      </w:r>
      <w:r w:rsidRPr="00B934CE">
        <w:rPr>
          <w:rFonts w:ascii="Traditional Arabic" w:eastAsiaTheme="majorEastAsia" w:hAnsi="Traditional Arabic" w:cs="Traditional Arabic"/>
          <w:sz w:val="30"/>
          <w:szCs w:val="30"/>
          <w:rtl/>
        </w:rPr>
        <w:t xml:space="preserve">) أربع سفن شحن </w:t>
      </w:r>
      <w:r w:rsidRPr="00B934CE">
        <w:rPr>
          <w:rFonts w:ascii="Traditional Arabic" w:eastAsiaTheme="majorEastAsia" w:hAnsi="Traditional Arabic" w:cs="Traditional Arabic" w:hint="eastAsia"/>
          <w:sz w:val="30"/>
          <w:szCs w:val="30"/>
          <w:rtl/>
        </w:rPr>
        <w:t>معادن</w:t>
      </w:r>
      <w:r w:rsidRPr="00B934CE">
        <w:rPr>
          <w:rFonts w:ascii="Traditional Arabic" w:eastAsiaTheme="majorEastAsia" w:hAnsi="Traditional Arabic" w:cs="Traditional Arabic"/>
          <w:sz w:val="30"/>
          <w:szCs w:val="30"/>
          <w:rtl/>
        </w:rPr>
        <w:t xml:space="preserve"> خام </w:t>
      </w:r>
      <w:r w:rsidRPr="00B934CE">
        <w:rPr>
          <w:rFonts w:ascii="Traditional Arabic" w:eastAsiaTheme="majorEastAsia" w:hAnsi="Traditional Arabic" w:cs="Traditional Arabic" w:hint="eastAsia"/>
          <w:sz w:val="30"/>
          <w:szCs w:val="30"/>
          <w:rtl/>
        </w:rPr>
        <w:t>عملاقة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sz w:val="30"/>
          <w:szCs w:val="30"/>
        </w:rPr>
        <w:t>VLOCs</w:t>
      </w:r>
      <w:r w:rsidRPr="00B934CE">
        <w:rPr>
          <w:rFonts w:ascii="Traditional Arabic" w:eastAsiaTheme="majorEastAsia" w:hAnsi="Traditional Arabic" w:cs="Traditional Arabic"/>
          <w:sz w:val="30"/>
          <w:szCs w:val="30"/>
          <w:rtl/>
        </w:rPr>
        <w:t>) مؤجرة لأحد أكبر عملاء الشركة بموجب عقود تأجير زمني طويلة الأجل لمدة 20 عامًا، مع انتهاء العقود بين أغسطس 2032 ومارس 2033. وتبلغ سعة كل سفينة 400,000 طن ساكن.</w:t>
      </w:r>
    </w:p>
    <w:p w14:paraId="4BDE2700" w14:textId="77777777" w:rsidR="00563389" w:rsidRPr="00B934CE" w:rsidRDefault="00563389" w:rsidP="00244CE1">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الإيرادات من </w:t>
      </w:r>
      <w:r w:rsidRPr="00B934CE">
        <w:rPr>
          <w:rFonts w:ascii="Traditional Arabic" w:eastAsiaTheme="majorEastAsia" w:hAnsi="Traditional Arabic" w:cs="Traditional Arabic" w:hint="eastAsia"/>
          <w:sz w:val="30"/>
          <w:szCs w:val="30"/>
          <w:rtl/>
        </w:rPr>
        <w:t>البضائع</w:t>
      </w:r>
      <w:r w:rsidRPr="00B934CE">
        <w:rPr>
          <w:rFonts w:ascii="Traditional Arabic" w:eastAsiaTheme="majorEastAsia" w:hAnsi="Traditional Arabic" w:cs="Traditional Arabic"/>
          <w:sz w:val="30"/>
          <w:szCs w:val="30"/>
          <w:rtl/>
        </w:rPr>
        <w:t xml:space="preserve"> السائبة الجافة بنسبة 22.9% من 57.7 مليون ريال عماني في السنة المالية 2021 الى 70.9 مليون ريال عماني في السنة المالية 2022، نتيجة ارتفاع الإيرادات من السفن المؤجرة  حيث تمكنت </w:t>
      </w:r>
      <w:r w:rsidRPr="00B934CE">
        <w:rPr>
          <w:rFonts w:ascii="Traditional Arabic" w:eastAsiaTheme="majorEastAsia" w:hAnsi="Traditional Arabic" w:cs="Traditional Arabic" w:hint="eastAsia"/>
          <w:sz w:val="30"/>
          <w:szCs w:val="30"/>
          <w:rtl/>
        </w:rPr>
        <w:t>الشركة</w:t>
      </w:r>
      <w:r w:rsidRPr="00B934CE">
        <w:rPr>
          <w:rFonts w:ascii="Traditional Arabic" w:eastAsiaTheme="majorEastAsia" w:hAnsi="Traditional Arabic" w:cs="Traditional Arabic"/>
          <w:sz w:val="30"/>
          <w:szCs w:val="30"/>
          <w:rtl/>
        </w:rPr>
        <w:t xml:space="preserve"> من </w:t>
      </w:r>
      <w:r w:rsidRPr="00B934CE">
        <w:rPr>
          <w:rFonts w:ascii="Traditional Arabic" w:eastAsiaTheme="majorEastAsia" w:hAnsi="Traditional Arabic" w:cs="Traditional Arabic" w:hint="eastAsia"/>
          <w:sz w:val="30"/>
          <w:szCs w:val="30"/>
          <w:rtl/>
        </w:rPr>
        <w:t>تأجير</w:t>
      </w:r>
      <w:r w:rsidRPr="00B934CE">
        <w:rPr>
          <w:rFonts w:ascii="Traditional Arabic" w:eastAsiaTheme="majorEastAsia" w:hAnsi="Traditional Arabic" w:cs="Traditional Arabic"/>
          <w:sz w:val="30"/>
          <w:szCs w:val="30"/>
          <w:rtl/>
        </w:rPr>
        <w:t xml:space="preserve"> 18 </w:t>
      </w:r>
      <w:r w:rsidRPr="00B934CE">
        <w:rPr>
          <w:rFonts w:ascii="Traditional Arabic" w:eastAsiaTheme="majorEastAsia" w:hAnsi="Traditional Arabic" w:cs="Traditional Arabic"/>
          <w:sz w:val="30"/>
          <w:szCs w:val="30"/>
          <w:rtl/>
        </w:rPr>
        <w:lastRenderedPageBreak/>
        <w:t>سفن في السنة المالية 2022 مقارنة بـ 11سفن في السنة المالية 2021</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بالإضافة الى ارتفاع الإيرادات من سفن البضائع السائبة الجافة المملوكة  بعد الزيادة الطفيفة في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السنوية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سفينة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مملوكة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2.6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3.1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 xml:space="preserve">. </w:t>
      </w:r>
    </w:p>
    <w:p w14:paraId="248B170C" w14:textId="77777777" w:rsidR="00563389" w:rsidRPr="00B934CE" w:rsidRDefault="00563389" w:rsidP="00244CE1">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تم تعويض ذلك جزئيًا بانخفاض إيرادات الإيجار التمويلي الناتجة عن السفن الأربع من نوع </w:t>
      </w:r>
      <w:r w:rsidRPr="00B934CE">
        <w:rPr>
          <w:rFonts w:ascii="Traditional Arabic" w:eastAsiaTheme="majorEastAsia" w:hAnsi="Traditional Arabic" w:cs="Traditional Arabic"/>
          <w:sz w:val="30"/>
          <w:szCs w:val="30"/>
        </w:rPr>
        <w:t>VLOC</w:t>
      </w:r>
      <w:r w:rsidRPr="00B934CE">
        <w:rPr>
          <w:rFonts w:ascii="Traditional Arabic" w:eastAsiaTheme="majorEastAsia" w:hAnsi="Traditional Arabic" w:cs="Traditional Arabic"/>
          <w:sz w:val="30"/>
          <w:szCs w:val="30"/>
          <w:rtl/>
        </w:rPr>
        <w:t xml:space="preserve"> بمقدار 0.8 مليون ريال عماني، بما يتماشى مع انخفاض متوسط الإيرادات السنوية لكل سفينة </w:t>
      </w:r>
      <w:r w:rsidRPr="00B934CE">
        <w:rPr>
          <w:rFonts w:ascii="Traditional Arabic" w:eastAsiaTheme="majorEastAsia" w:hAnsi="Traditional Arabic" w:cs="Traditional Arabic"/>
          <w:sz w:val="30"/>
          <w:szCs w:val="30"/>
        </w:rPr>
        <w:t>VLOC</w:t>
      </w:r>
      <w:r w:rsidRPr="00B934CE">
        <w:rPr>
          <w:rFonts w:ascii="Traditional Arabic" w:eastAsiaTheme="majorEastAsia" w:hAnsi="Traditional Arabic" w:cs="Traditional Arabic"/>
          <w:sz w:val="30"/>
          <w:szCs w:val="30"/>
          <w:rtl/>
        </w:rPr>
        <w:t xml:space="preserve"> من 6.2 مليون ريال عماني في 2021 إلى 6.0 مليون ريال عماني في 2022.</w:t>
      </w:r>
    </w:p>
    <w:p w14:paraId="06FFFE5B"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الإيرادات من </w:t>
      </w:r>
      <w:r w:rsidRPr="00B934CE">
        <w:rPr>
          <w:rFonts w:ascii="Traditional Arabic" w:eastAsiaTheme="majorEastAsia" w:hAnsi="Traditional Arabic" w:cs="Traditional Arabic" w:hint="eastAsia"/>
          <w:sz w:val="30"/>
          <w:szCs w:val="30"/>
          <w:rtl/>
        </w:rPr>
        <w:t>البضائع</w:t>
      </w:r>
      <w:r w:rsidRPr="00B934CE">
        <w:rPr>
          <w:rFonts w:ascii="Traditional Arabic" w:eastAsiaTheme="majorEastAsia" w:hAnsi="Traditional Arabic" w:cs="Traditional Arabic"/>
          <w:sz w:val="30"/>
          <w:szCs w:val="30"/>
          <w:rtl/>
        </w:rPr>
        <w:t xml:space="preserve"> السائبة الجافة بنسبة 8.6% من 70.9 مليون ريال عماني في السنة المالية 2022 الى 64.8 مليون ريال عماني في السنة المالية 2023، نتيجة (أ) انخفاض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إيرادات من سفن البضائع السائبة الجافة المملوكة ، مدفوعة (ب) بانخفاض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السنوية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سفينة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مملوكة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بالإضافة الى انخفاض الإيرادات من السفن المؤجرة  نتيجة الانخفاض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نسبة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الأشغال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لبعض</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السفن،</w:t>
      </w:r>
      <w:r w:rsidRPr="00B934CE">
        <w:rPr>
          <w:rFonts w:ascii="Traditional Arabic" w:eastAsiaTheme="majorEastAsia" w:hAnsi="Traditional Arabic" w:cs="Traditional Arabic"/>
          <w:sz w:val="30"/>
          <w:szCs w:val="30"/>
          <w:rtl/>
        </w:rPr>
        <w:t xml:space="preserve"> إلى جانب انخفاض </w:t>
      </w:r>
      <w:r w:rsidRPr="00B934CE">
        <w:rPr>
          <w:rFonts w:ascii="Traditional Arabic" w:eastAsiaTheme="majorEastAsia" w:hAnsi="Traditional Arabic" w:cs="Traditional Arabic" w:hint="eastAsia"/>
          <w:sz w:val="30"/>
          <w:szCs w:val="30"/>
          <w:rtl/>
        </w:rPr>
        <w:t>عدد</w:t>
      </w:r>
      <w:r w:rsidRPr="00B934CE">
        <w:rPr>
          <w:rFonts w:ascii="Traditional Arabic" w:eastAsiaTheme="majorEastAsia" w:hAnsi="Traditional Arabic" w:cs="Traditional Arabic"/>
          <w:sz w:val="30"/>
          <w:szCs w:val="30"/>
          <w:rtl/>
        </w:rPr>
        <w:t xml:space="preserve"> السفن المستأجرة بمعدل ثلاثة سفن, بالإضافة إلى</w:t>
      </w:r>
      <w:r w:rsidRPr="00B934CE">
        <w:rPr>
          <w:rFonts w:ascii="Traditional Arabic" w:eastAsiaTheme="majorEastAsia" w:hAnsi="Traditional Arabic" w:cs="Traditional Arabic"/>
          <w:sz w:val="30"/>
          <w:szCs w:val="30"/>
        </w:rPr>
        <w:t xml:space="preserve"> </w:t>
      </w:r>
      <w:r w:rsidRPr="00B934CE">
        <w:rPr>
          <w:rFonts w:ascii="Traditional Arabic" w:eastAsiaTheme="majorEastAsia" w:hAnsi="Traditional Arabic" w:cs="Traditional Arabic"/>
          <w:sz w:val="30"/>
          <w:szCs w:val="30"/>
          <w:rtl/>
        </w:rPr>
        <w:t>(ج)</w:t>
      </w:r>
      <w:r w:rsidRPr="00B934CE">
        <w:rPr>
          <w:rFonts w:ascii="Traditional Arabic" w:eastAsiaTheme="majorEastAsia" w:hAnsi="Traditional Arabic" w:cs="Traditional Arabic"/>
          <w:sz w:val="30"/>
          <w:szCs w:val="30"/>
        </w:rPr>
        <w:t xml:space="preserve"> </w:t>
      </w:r>
      <w:r w:rsidRPr="00B934CE">
        <w:rPr>
          <w:rFonts w:ascii="Traditional Arabic" w:eastAsiaTheme="majorEastAsia" w:hAnsi="Traditional Arabic" w:cs="Traditional Arabic"/>
          <w:sz w:val="30"/>
          <w:szCs w:val="30"/>
          <w:rtl/>
        </w:rPr>
        <w:t>انخفاض إيرادات الإيجار التمويلي من السفن الأربع من نوع</w:t>
      </w:r>
      <w:r w:rsidRPr="00B934CE">
        <w:rPr>
          <w:rFonts w:ascii="Traditional Arabic" w:eastAsiaTheme="majorEastAsia" w:hAnsi="Traditional Arabic" w:cs="Traditional Arabic"/>
          <w:sz w:val="30"/>
          <w:szCs w:val="30"/>
        </w:rPr>
        <w:t xml:space="preserve"> VLOC </w:t>
      </w:r>
      <w:r w:rsidRPr="00B934CE">
        <w:rPr>
          <w:rFonts w:ascii="Traditional Arabic" w:eastAsiaTheme="majorEastAsia" w:hAnsi="Traditional Arabic" w:cs="Traditional Arabic"/>
          <w:sz w:val="30"/>
          <w:szCs w:val="30"/>
          <w:rtl/>
        </w:rPr>
        <w:t>، والذي يعود أساسًا إلى إطفاء عقود الإيجار</w:t>
      </w:r>
      <w:r w:rsidRPr="00B934CE">
        <w:rPr>
          <w:rFonts w:ascii="Traditional Arabic" w:eastAsiaTheme="majorEastAsia" w:hAnsi="Traditional Arabic" w:cs="Traditional Arabic"/>
          <w:sz w:val="30"/>
          <w:szCs w:val="30"/>
        </w:rPr>
        <w:t>.</w:t>
      </w:r>
    </w:p>
    <w:p w14:paraId="25CD981E"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انخفضت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إيرادات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البضائع السائبة </w:t>
      </w:r>
      <w:r w:rsidRPr="00B934CE">
        <w:rPr>
          <w:rFonts w:ascii="Traditional Arabic" w:eastAsiaTheme="majorEastAsia" w:hAnsi="Traditional Arabic" w:cs="Traditional Arabic" w:hint="eastAsia"/>
          <w:sz w:val="30"/>
          <w:szCs w:val="30"/>
          <w:rtl/>
        </w:rPr>
        <w:t>الجافة</w:t>
      </w:r>
      <w:r w:rsidRPr="00B934CE">
        <w:rPr>
          <w:rFonts w:ascii="Traditional Arabic" w:eastAsiaTheme="majorEastAsia" w:hAnsi="Traditional Arabic" w:cs="Traditional Arabic"/>
          <w:sz w:val="30"/>
          <w:szCs w:val="30"/>
          <w:rtl/>
        </w:rPr>
        <w:t xml:space="preserve"> بنسبة 10.0% من 49.9 مليون ريال عماني في فترة التسعة أشهر المنتهية في 30 سبتمبر 2023 إلى 44.9 مليون ريال عماني في فترة التسعة أشهر المنتهية في 30 سبتمبر 2024 </w:t>
      </w:r>
      <w:r w:rsidRPr="00B934CE">
        <w:rPr>
          <w:rFonts w:ascii="Traditional Arabic" w:eastAsiaTheme="majorEastAsia" w:hAnsi="Traditional Arabic" w:cs="Traditional Arabic" w:hint="eastAsia"/>
          <w:sz w:val="30"/>
          <w:szCs w:val="30"/>
          <w:rtl/>
        </w:rPr>
        <w:t>نتيجة</w:t>
      </w:r>
      <w:r w:rsidRPr="00B934CE">
        <w:rPr>
          <w:rFonts w:ascii="Traditional Arabic" w:eastAsiaTheme="majorEastAsia" w:hAnsi="Traditional Arabic" w:cs="Traditional Arabic"/>
          <w:sz w:val="30"/>
          <w:szCs w:val="30"/>
          <w:rtl/>
        </w:rPr>
        <w:t xml:space="preserve"> انخفاض الإيرادات من السفن </w:t>
      </w:r>
      <w:r w:rsidRPr="00B934CE">
        <w:rPr>
          <w:rFonts w:ascii="Traditional Arabic" w:eastAsiaTheme="majorEastAsia" w:hAnsi="Traditional Arabic" w:cs="Traditional Arabic" w:hint="eastAsia"/>
          <w:sz w:val="30"/>
          <w:szCs w:val="30"/>
          <w:rtl/>
        </w:rPr>
        <w:t>المؤجرة</w:t>
      </w:r>
      <w:r w:rsidRPr="00B934CE">
        <w:rPr>
          <w:rFonts w:ascii="Traditional Arabic" w:eastAsiaTheme="majorEastAsia" w:hAnsi="Traditional Arabic" w:cs="Traditional Arabic"/>
          <w:sz w:val="30"/>
          <w:szCs w:val="30"/>
          <w:rtl/>
        </w:rPr>
        <w:t xml:space="preserve">  بسبب انخفاض العدد الإجمالي للسفن </w:t>
      </w:r>
      <w:r w:rsidRPr="00B934CE">
        <w:rPr>
          <w:rFonts w:ascii="Traditional Arabic" w:eastAsiaTheme="majorEastAsia" w:hAnsi="Traditional Arabic" w:cs="Traditional Arabic" w:hint="eastAsia"/>
          <w:sz w:val="30"/>
          <w:szCs w:val="30"/>
          <w:rtl/>
        </w:rPr>
        <w:t>المؤجرة</w:t>
      </w:r>
      <w:r w:rsidRPr="00B934CE">
        <w:rPr>
          <w:rFonts w:ascii="Traditional Arabic" w:eastAsiaTheme="majorEastAsia" w:hAnsi="Traditional Arabic" w:cs="Traditional Arabic"/>
          <w:sz w:val="30"/>
          <w:szCs w:val="30"/>
          <w:rtl/>
        </w:rPr>
        <w:t xml:space="preserve"> من </w:t>
      </w:r>
      <w:r w:rsidRPr="00B934CE">
        <w:rPr>
          <w:rFonts w:ascii="Traditional Arabic" w:eastAsiaTheme="majorEastAsia" w:hAnsi="Traditional Arabic" w:cs="Traditional Arabic" w:hint="eastAsia"/>
          <w:sz w:val="30"/>
          <w:szCs w:val="30"/>
          <w:rtl/>
        </w:rPr>
        <w:t>ثمانية</w:t>
      </w:r>
      <w:r w:rsidRPr="00B934CE">
        <w:rPr>
          <w:rFonts w:ascii="Traditional Arabic" w:eastAsiaTheme="majorEastAsia" w:hAnsi="Traditional Arabic" w:cs="Traditional Arabic"/>
          <w:sz w:val="30"/>
          <w:szCs w:val="30"/>
          <w:rtl/>
        </w:rPr>
        <w:t xml:space="preserve"> إلى </w:t>
      </w:r>
      <w:r w:rsidRPr="00B934CE">
        <w:rPr>
          <w:rFonts w:ascii="Traditional Arabic" w:eastAsiaTheme="majorEastAsia" w:hAnsi="Traditional Arabic" w:cs="Traditional Arabic" w:hint="eastAsia"/>
          <w:sz w:val="30"/>
          <w:szCs w:val="30"/>
          <w:rtl/>
        </w:rPr>
        <w:t>سبعة</w:t>
      </w:r>
      <w:r w:rsidRPr="00B934CE">
        <w:rPr>
          <w:rFonts w:ascii="Traditional Arabic" w:eastAsiaTheme="majorEastAsia" w:hAnsi="Traditional Arabic" w:cs="Traditional Arabic"/>
          <w:sz w:val="30"/>
          <w:szCs w:val="30"/>
          <w:rtl/>
        </w:rPr>
        <w:t xml:space="preserve"> سفن. بالإضافة إلى انخفاض الإيرادات من السفن المملوكة  بسبب انخفاض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السنوية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لكل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سفينة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مملوكة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2.0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1.7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w:t>
      </w:r>
      <w:r w:rsidRPr="00B934CE">
        <w:rPr>
          <w:rFonts w:ascii="Traditional Arabic" w:eastAsiaTheme="majorEastAsia" w:hAnsi="Traditional Arabic" w:cs="Traditional Arabic"/>
          <w:sz w:val="30"/>
          <w:szCs w:val="30"/>
          <w:rtl/>
        </w:rPr>
        <w:t>رة.</w:t>
      </w:r>
    </w:p>
    <w:p w14:paraId="5B516D12"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تم تعويض ذلك جزئيًا بزيادة في الإيرادات الناتجة عن سفن </w:t>
      </w:r>
      <w:r w:rsidRPr="00B934CE">
        <w:rPr>
          <w:rFonts w:ascii="Traditional Arabic" w:eastAsiaTheme="majorEastAsia" w:hAnsi="Traditional Arabic" w:cs="Traditional Arabic"/>
          <w:sz w:val="30"/>
          <w:szCs w:val="30"/>
        </w:rPr>
        <w:t>VLOC</w:t>
      </w:r>
      <w:r w:rsidRPr="00B934CE">
        <w:rPr>
          <w:rFonts w:ascii="Traditional Arabic" w:eastAsiaTheme="majorEastAsia" w:hAnsi="Traditional Arabic" w:cs="Traditional Arabic"/>
          <w:sz w:val="30"/>
          <w:szCs w:val="30"/>
          <w:rtl/>
        </w:rPr>
        <w:t>، ويرجع ذلك بشكل رئيسي إلى زيادة الإيرادات الأخرى من الشحن  بما يتماشى مع الزيادة في متوسط الإيرادات السنوية لكل سفينة من 4.4 مليون ريال عماني إلى 4.6 مليون ريال عماني خلال نفس الفترة.</w:t>
      </w:r>
    </w:p>
    <w:p w14:paraId="5DD231E4" w14:textId="77777777" w:rsidR="00563389" w:rsidRPr="00B934CE" w:rsidRDefault="00563389" w:rsidP="00B934CE">
      <w:pPr>
        <w:bidi/>
        <w:spacing w:after="120"/>
        <w:jc w:val="both"/>
        <w:rPr>
          <w:rFonts w:ascii="Traditional Arabic" w:eastAsiaTheme="majorEastAsia" w:hAnsi="Traditional Arabic" w:cs="Traditional Arabic"/>
          <w:b/>
          <w:bCs/>
          <w:sz w:val="30"/>
          <w:szCs w:val="30"/>
          <w:rtl/>
        </w:rPr>
      </w:pPr>
      <w:r w:rsidRPr="00B934CE">
        <w:rPr>
          <w:rFonts w:ascii="Traditional Arabic" w:eastAsiaTheme="majorEastAsia" w:hAnsi="Traditional Arabic" w:cs="Traditional Arabic"/>
          <w:b/>
          <w:bCs/>
          <w:sz w:val="30"/>
          <w:szCs w:val="30"/>
          <w:rtl/>
        </w:rPr>
        <w:t>أخرى</w:t>
      </w:r>
    </w:p>
    <w:p w14:paraId="63D0D650"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تمثل الإيرادات من خدمات إدارة السفن المقدمة لأطراف ثالثة وإيرادات </w:t>
      </w:r>
      <w:r w:rsidRPr="00B934CE">
        <w:rPr>
          <w:rFonts w:ascii="Traditional Arabic" w:eastAsiaTheme="majorEastAsia" w:hAnsi="Traditional Arabic" w:cs="Traditional Arabic" w:hint="eastAsia"/>
          <w:sz w:val="30"/>
          <w:szCs w:val="30"/>
          <w:rtl/>
        </w:rPr>
        <w:t>توزيعات</w:t>
      </w:r>
      <w:r w:rsidRPr="00B934CE">
        <w:rPr>
          <w:rFonts w:ascii="Traditional Arabic" w:eastAsiaTheme="majorEastAsia" w:hAnsi="Traditional Arabic" w:cs="Traditional Arabic"/>
          <w:sz w:val="30"/>
          <w:szCs w:val="30"/>
          <w:rtl/>
        </w:rPr>
        <w:t xml:space="preserve"> الأرباح. ظلت الإيرادات الأخرى مستقرة نسبيًا عند 1.5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بين </w:t>
      </w:r>
      <w:r w:rsidRPr="00B934CE">
        <w:rPr>
          <w:rFonts w:ascii="Traditional Arabic" w:eastAsiaTheme="majorEastAsia" w:hAnsi="Traditional Arabic" w:cs="Traditional Arabic" w:hint="eastAsia"/>
          <w:sz w:val="30"/>
          <w:szCs w:val="30"/>
          <w:rtl/>
        </w:rPr>
        <w:t>السنوات</w:t>
      </w:r>
      <w:r w:rsidRPr="00B934CE">
        <w:rPr>
          <w:rFonts w:ascii="Traditional Arabic" w:eastAsiaTheme="majorEastAsia" w:hAnsi="Traditional Arabic" w:cs="Traditional Arabic"/>
          <w:sz w:val="30"/>
          <w:szCs w:val="30"/>
          <w:rtl/>
        </w:rPr>
        <w:t xml:space="preserve"> المالية 2021 </w:t>
      </w:r>
      <w:r w:rsidR="00DC0EC0" w:rsidRPr="00B934CE">
        <w:rPr>
          <w:rFonts w:ascii="Traditional Arabic" w:eastAsiaTheme="majorEastAsia" w:hAnsi="Traditional Arabic" w:cs="Traditional Arabic" w:hint="eastAsia"/>
          <w:sz w:val="30"/>
          <w:szCs w:val="30"/>
          <w:rtl/>
        </w:rPr>
        <w:t>و</w:t>
      </w:r>
      <w:r w:rsidR="00DC0EC0">
        <w:rPr>
          <w:rFonts w:ascii="Traditional Arabic" w:eastAsiaTheme="majorEastAsia" w:hAnsi="Traditional Arabic" w:cs="Traditional Arabic" w:hint="cs"/>
          <w:sz w:val="30"/>
          <w:szCs w:val="30"/>
          <w:rtl/>
        </w:rPr>
        <w:t>2022 و 2023</w:t>
      </w:r>
      <w:r w:rsidRPr="00B934CE">
        <w:rPr>
          <w:rFonts w:ascii="Traditional Arabic" w:eastAsiaTheme="majorEastAsia" w:hAnsi="Traditional Arabic" w:cs="Traditional Arabic"/>
          <w:sz w:val="30"/>
          <w:szCs w:val="30"/>
          <w:rtl/>
        </w:rPr>
        <w:t>.</w:t>
      </w:r>
    </w:p>
    <w:p w14:paraId="5DBA96C6"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sz w:val="30"/>
          <w:szCs w:val="30"/>
          <w:rtl/>
        </w:rPr>
        <w:t xml:space="preserve">ظلت </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الأخرى مستقرة نسبيًا عند </w:t>
      </w:r>
      <w:r w:rsidRPr="00B934CE">
        <w:rPr>
          <w:rFonts w:eastAsiaTheme="majorEastAsia" w:cs="Times New Roman"/>
          <w:sz w:val="30"/>
          <w:szCs w:val="30"/>
        </w:rPr>
        <w:t>​​</w:t>
      </w:r>
      <w:r w:rsidRPr="00B934CE">
        <w:rPr>
          <w:rFonts w:ascii="Traditional Arabic" w:eastAsiaTheme="majorEastAsia" w:hAnsi="Traditional Arabic" w:cs="Traditional Arabic"/>
          <w:sz w:val="30"/>
          <w:szCs w:val="30"/>
          <w:rtl/>
        </w:rPr>
        <w:t xml:space="preserve">1.2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بين فترة التسعة أشهر المنتهية في 30 سبتمبر 2023</w:t>
      </w:r>
      <w:r w:rsidR="00B637FC">
        <w:rPr>
          <w:rFonts w:ascii="Traditional Arabic" w:eastAsiaTheme="majorEastAsia" w:hAnsi="Traditional Arabic" w:cs="Traditional Arabic" w:hint="cs"/>
          <w:sz w:val="30"/>
          <w:szCs w:val="30"/>
          <w:rtl/>
        </w:rPr>
        <w:t xml:space="preserve"> </w:t>
      </w:r>
      <w:r w:rsidR="009B15E5">
        <w:rPr>
          <w:rFonts w:ascii="Traditional Arabic" w:eastAsiaTheme="majorEastAsia" w:hAnsi="Traditional Arabic" w:cs="Traditional Arabic" w:hint="cs"/>
          <w:sz w:val="30"/>
          <w:szCs w:val="30"/>
          <w:rtl/>
        </w:rPr>
        <w:t>وتسعة الاشهر المنت</w:t>
      </w:r>
      <w:r w:rsidR="004062EF">
        <w:rPr>
          <w:rFonts w:ascii="Traditional Arabic" w:eastAsiaTheme="majorEastAsia" w:hAnsi="Traditional Arabic" w:cs="Traditional Arabic" w:hint="cs"/>
          <w:sz w:val="30"/>
          <w:szCs w:val="30"/>
          <w:rtl/>
        </w:rPr>
        <w:t>ه</w:t>
      </w:r>
      <w:r w:rsidR="009B15E5">
        <w:rPr>
          <w:rFonts w:ascii="Traditional Arabic" w:eastAsiaTheme="majorEastAsia" w:hAnsi="Traditional Arabic" w:cs="Traditional Arabic" w:hint="cs"/>
          <w:sz w:val="30"/>
          <w:szCs w:val="30"/>
          <w:rtl/>
        </w:rPr>
        <w:t>ية في 30 سبتمبر</w:t>
      </w:r>
      <w:r w:rsidRPr="00B934CE">
        <w:rPr>
          <w:rFonts w:ascii="Traditional Arabic" w:eastAsiaTheme="majorEastAsia" w:hAnsi="Traditional Arabic" w:cs="Traditional Arabic"/>
          <w:sz w:val="30"/>
          <w:szCs w:val="30"/>
          <w:rtl/>
        </w:rPr>
        <w:t xml:space="preserve"> </w:t>
      </w:r>
      <w:r w:rsidR="009B15E5">
        <w:rPr>
          <w:rFonts w:ascii="Traditional Arabic" w:eastAsiaTheme="majorEastAsia" w:hAnsi="Traditional Arabic" w:cs="Traditional Arabic" w:hint="cs"/>
          <w:sz w:val="30"/>
          <w:szCs w:val="30"/>
          <w:rtl/>
        </w:rPr>
        <w:t xml:space="preserve"> </w:t>
      </w:r>
      <w:r w:rsidRPr="00B934CE">
        <w:rPr>
          <w:rFonts w:ascii="Traditional Arabic" w:eastAsiaTheme="majorEastAsia" w:hAnsi="Traditional Arabic" w:cs="Traditional Arabic"/>
          <w:sz w:val="30"/>
          <w:szCs w:val="30"/>
          <w:rtl/>
        </w:rPr>
        <w:t>2024</w:t>
      </w:r>
      <w:r w:rsidR="004062EF">
        <w:rPr>
          <w:rFonts w:ascii="Traditional Arabic" w:eastAsiaTheme="majorEastAsia" w:hAnsi="Traditional Arabic" w:cs="Traditional Arabic" w:hint="cs"/>
          <w:sz w:val="30"/>
          <w:szCs w:val="30"/>
          <w:rtl/>
        </w:rPr>
        <w:t xml:space="preserve"> </w:t>
      </w:r>
      <w:r w:rsidRPr="00B934CE">
        <w:rPr>
          <w:rFonts w:ascii="Traditional Arabic" w:eastAsiaTheme="majorEastAsia" w:hAnsi="Traditional Arabic" w:cs="Traditional Arabic"/>
          <w:sz w:val="30"/>
          <w:szCs w:val="30"/>
          <w:rtl/>
        </w:rPr>
        <w:t>.</w:t>
      </w:r>
    </w:p>
    <w:p w14:paraId="5A37105B" w14:textId="77777777" w:rsidR="00563389" w:rsidRPr="00B934CE" w:rsidRDefault="00563389" w:rsidP="00B934CE">
      <w:pPr>
        <w:pStyle w:val="4"/>
        <w:spacing w:before="0" w:after="120"/>
        <w:rPr>
          <w:rFonts w:ascii="Traditional Arabic" w:hAnsi="Traditional Arabic" w:cs="Traditional Arabic"/>
          <w:b w:val="0"/>
          <w:bCs w:val="0"/>
          <w:i/>
          <w:iCs/>
          <w:color w:val="auto"/>
          <w:sz w:val="30"/>
          <w:szCs w:val="30"/>
          <w:rtl/>
        </w:rPr>
      </w:pPr>
      <w:r w:rsidRPr="00B934CE">
        <w:rPr>
          <w:rFonts w:ascii="Traditional Arabic" w:hAnsi="Traditional Arabic" w:cs="Traditional Arabic" w:hint="eastAsia"/>
          <w:b w:val="0"/>
          <w:bCs w:val="0"/>
          <w:i/>
          <w:iCs/>
          <w:color w:val="auto"/>
          <w:sz w:val="30"/>
          <w:szCs w:val="30"/>
          <w:rtl/>
        </w:rPr>
        <w:lastRenderedPageBreak/>
        <w:t>تكلفة</w:t>
      </w:r>
      <w:r w:rsidRPr="00B934CE">
        <w:rPr>
          <w:rFonts w:ascii="Traditional Arabic" w:hAnsi="Traditional Arabic" w:cs="Traditional Arabic"/>
          <w:b w:val="0"/>
          <w:bCs w:val="0"/>
          <w:i/>
          <w:iCs/>
          <w:color w:val="auto"/>
          <w:sz w:val="30"/>
          <w:szCs w:val="30"/>
          <w:rtl/>
        </w:rPr>
        <w:t xml:space="preserve"> الإيرادات </w:t>
      </w:r>
    </w:p>
    <w:bookmarkEnd w:id="28"/>
    <w:p w14:paraId="0D7B5884" w14:textId="77777777" w:rsidR="00563389" w:rsidRPr="00B934CE" w:rsidRDefault="00563389" w:rsidP="00B934CE">
      <w:pPr>
        <w:bidi/>
        <w:jc w:val="both"/>
        <w:rPr>
          <w:rFonts w:ascii="Traditional Arabic" w:eastAsia="Calibri" w:hAnsi="Traditional Arabic" w:cs="Traditional Arabic"/>
          <w:sz w:val="30"/>
          <w:szCs w:val="30"/>
          <w:rtl/>
        </w:rPr>
      </w:pPr>
      <w:r w:rsidRPr="00B934CE">
        <w:rPr>
          <w:rFonts w:ascii="Traditional Arabic" w:eastAsia="Calibri" w:hAnsi="Traditional Arabic" w:cs="Traditional Arabic"/>
          <w:i/>
          <w:iCs/>
          <w:sz w:val="30"/>
          <w:szCs w:val="30"/>
          <w:rtl/>
        </w:rPr>
        <w:t>الجدول‏ ‏: تكلفة الإيرادات للسنوات المالية المنتهية في 31 ديسمبر 2021، 2022، و2023، وفترتي التسعة أشهر المنتهيتين في 30 سبتمبر 2023 و2024</w:t>
      </w:r>
      <w:r w:rsidRPr="00B934CE">
        <w:rPr>
          <w:rFonts w:ascii="Traditional Arabic" w:eastAsia="Calibri" w:hAnsi="Traditional Arabic" w:cs="Traditional Arabic"/>
          <w:sz w:val="30"/>
          <w:szCs w:val="30"/>
          <w:rtl/>
        </w:rPr>
        <w:t>:</w:t>
      </w:r>
    </w:p>
    <w:tbl>
      <w:tblPr>
        <w:bidiVisual/>
        <w:tblW w:w="9377" w:type="dxa"/>
        <w:tblLook w:val="04A0" w:firstRow="1" w:lastRow="0" w:firstColumn="1" w:lastColumn="0" w:noHBand="0" w:noVBand="1"/>
      </w:tblPr>
      <w:tblGrid>
        <w:gridCol w:w="934"/>
        <w:gridCol w:w="1011"/>
        <w:gridCol w:w="1073"/>
        <w:gridCol w:w="1001"/>
        <w:gridCol w:w="839"/>
        <w:gridCol w:w="839"/>
        <w:gridCol w:w="839"/>
        <w:gridCol w:w="1001"/>
        <w:gridCol w:w="1001"/>
        <w:gridCol w:w="839"/>
      </w:tblGrid>
      <w:tr w:rsidR="00563389" w:rsidRPr="00900056" w14:paraId="4B6CA415" w14:textId="77777777" w:rsidTr="00826D63">
        <w:trPr>
          <w:trHeight w:val="20"/>
        </w:trPr>
        <w:tc>
          <w:tcPr>
            <w:tcW w:w="934" w:type="dxa"/>
            <w:shd w:val="clear" w:color="auto" w:fill="0B3D85"/>
            <w:vAlign w:val="center"/>
          </w:tcPr>
          <w:p w14:paraId="4FFF712E"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 xml:space="preserve">بآلاف الريالات </w:t>
            </w:r>
            <w:r w:rsidRPr="00B934CE">
              <w:rPr>
                <w:rFonts w:ascii="Traditional Arabic" w:hAnsi="Traditional Arabic" w:cs="Traditional Arabic" w:hint="eastAsia"/>
                <w:b/>
                <w:bCs/>
                <w:sz w:val="24"/>
                <w:rtl/>
              </w:rPr>
              <w:t>العمانية</w:t>
            </w:r>
          </w:p>
        </w:tc>
        <w:tc>
          <w:tcPr>
            <w:tcW w:w="1011" w:type="dxa"/>
            <w:shd w:val="clear" w:color="auto" w:fill="0B3D85"/>
            <w:vAlign w:val="center"/>
          </w:tcPr>
          <w:p w14:paraId="15A5D884"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2021</w:t>
            </w:r>
          </w:p>
          <w:p w14:paraId="166FFB8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1073" w:type="dxa"/>
            <w:shd w:val="clear" w:color="auto" w:fill="0B3D85"/>
            <w:vAlign w:val="center"/>
          </w:tcPr>
          <w:p w14:paraId="611106AA"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2022</w:t>
            </w:r>
          </w:p>
          <w:p w14:paraId="6539906E"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1001" w:type="dxa"/>
            <w:shd w:val="clear" w:color="auto" w:fill="0B3D85"/>
            <w:vAlign w:val="center"/>
          </w:tcPr>
          <w:p w14:paraId="6C66C2A5"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2023</w:t>
            </w:r>
          </w:p>
          <w:p w14:paraId="3D46295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839" w:type="dxa"/>
            <w:shd w:val="clear" w:color="auto" w:fill="0B3D85"/>
            <w:vAlign w:val="center"/>
          </w:tcPr>
          <w:p w14:paraId="47AD53D0"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2021- 2022</w:t>
            </w:r>
          </w:p>
        </w:tc>
        <w:tc>
          <w:tcPr>
            <w:tcW w:w="839" w:type="dxa"/>
            <w:shd w:val="clear" w:color="auto" w:fill="0B3D85"/>
            <w:vAlign w:val="center"/>
          </w:tcPr>
          <w:p w14:paraId="5F751E8A"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2022- 2023</w:t>
            </w:r>
          </w:p>
        </w:tc>
        <w:tc>
          <w:tcPr>
            <w:tcW w:w="839" w:type="dxa"/>
            <w:shd w:val="clear" w:color="auto" w:fill="0B3D85"/>
            <w:vAlign w:val="center"/>
          </w:tcPr>
          <w:p w14:paraId="2B217504"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معدل النمو المركب 2021-2023</w:t>
            </w:r>
          </w:p>
        </w:tc>
        <w:tc>
          <w:tcPr>
            <w:tcW w:w="1001" w:type="dxa"/>
            <w:shd w:val="clear" w:color="auto" w:fill="0B3D85"/>
            <w:vAlign w:val="center"/>
          </w:tcPr>
          <w:p w14:paraId="3D92EEF9"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2023</w:t>
            </w:r>
          </w:p>
          <w:p w14:paraId="48E69C1A"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1001" w:type="dxa"/>
            <w:shd w:val="clear" w:color="auto" w:fill="0B3D85"/>
            <w:vAlign w:val="center"/>
          </w:tcPr>
          <w:p w14:paraId="51FF5C86"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2024</w:t>
            </w:r>
          </w:p>
          <w:p w14:paraId="4C8D5AAB"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839" w:type="dxa"/>
            <w:shd w:val="clear" w:color="auto" w:fill="0B3D85"/>
            <w:vAlign w:val="center"/>
          </w:tcPr>
          <w:p w14:paraId="65DC31BA"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التغير للفترة 2023-2024</w:t>
            </w:r>
          </w:p>
        </w:tc>
      </w:tr>
      <w:tr w:rsidR="00563389" w:rsidRPr="00900056" w14:paraId="2E48CAFB" w14:textId="77777777" w:rsidTr="00826D63">
        <w:trPr>
          <w:trHeight w:val="20"/>
        </w:trPr>
        <w:tc>
          <w:tcPr>
            <w:tcW w:w="934" w:type="dxa"/>
            <w:tcBorders>
              <w:bottom w:val="single" w:sz="4" w:space="0" w:color="0B3D85"/>
            </w:tcBorders>
            <w:shd w:val="clear" w:color="auto" w:fill="FFFFFF" w:themeFill="background1"/>
            <w:vAlign w:val="center"/>
          </w:tcPr>
          <w:p w14:paraId="21DF889B"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تكاليف</w:t>
            </w:r>
            <w:r w:rsidRPr="00B934CE">
              <w:rPr>
                <w:rFonts w:ascii="Traditional Arabic" w:eastAsia="Calibri" w:hAnsi="Traditional Arabic" w:cs="Traditional Arabic"/>
                <w:sz w:val="24"/>
                <w:rtl/>
              </w:rPr>
              <w:t xml:space="preserve"> تشغيل السفن </w:t>
            </w:r>
          </w:p>
        </w:tc>
        <w:tc>
          <w:tcPr>
            <w:tcW w:w="1011" w:type="dxa"/>
            <w:tcBorders>
              <w:bottom w:val="single" w:sz="4" w:space="0" w:color="0B3D85"/>
            </w:tcBorders>
            <w:shd w:val="clear" w:color="auto" w:fill="FFFFFF" w:themeFill="background1"/>
            <w:vAlign w:val="center"/>
          </w:tcPr>
          <w:p w14:paraId="1788670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115,270</w:t>
            </w:r>
          </w:p>
        </w:tc>
        <w:tc>
          <w:tcPr>
            <w:tcW w:w="1073" w:type="dxa"/>
            <w:tcBorders>
              <w:bottom w:val="single" w:sz="4" w:space="0" w:color="0B3D85"/>
            </w:tcBorders>
            <w:shd w:val="clear" w:color="auto" w:fill="FFFFFF" w:themeFill="background1"/>
            <w:vAlign w:val="center"/>
          </w:tcPr>
          <w:p w14:paraId="66E4F3F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138,036</w:t>
            </w:r>
          </w:p>
        </w:tc>
        <w:tc>
          <w:tcPr>
            <w:tcW w:w="1001" w:type="dxa"/>
            <w:tcBorders>
              <w:bottom w:val="single" w:sz="4" w:space="0" w:color="0B3D85"/>
            </w:tcBorders>
            <w:shd w:val="clear" w:color="auto" w:fill="FFFFFF" w:themeFill="background1"/>
            <w:vAlign w:val="center"/>
          </w:tcPr>
          <w:p w14:paraId="786F6F8A" w14:textId="77777777" w:rsidR="00563389" w:rsidRPr="00B934CE" w:rsidRDefault="00563389"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170,570</w:t>
            </w:r>
          </w:p>
        </w:tc>
        <w:tc>
          <w:tcPr>
            <w:tcW w:w="839" w:type="dxa"/>
            <w:tcBorders>
              <w:bottom w:val="single" w:sz="4" w:space="0" w:color="0B3D85"/>
            </w:tcBorders>
            <w:shd w:val="clear" w:color="auto" w:fill="FFFFFF" w:themeFill="background1"/>
            <w:vAlign w:val="center"/>
          </w:tcPr>
          <w:p w14:paraId="6616FF29" w14:textId="34E1D8C3"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w:t>
            </w:r>
            <w:r w:rsidR="00D32C5A">
              <w:rPr>
                <w:rFonts w:ascii="Traditional Arabic" w:eastAsia="Calibri" w:hAnsi="Traditional Arabic" w:cs="Traditional Arabic" w:hint="cs"/>
                <w:sz w:val="24"/>
                <w:rtl/>
              </w:rPr>
              <w:t>7</w:t>
            </w:r>
            <w:r w:rsidRPr="00B934CE">
              <w:rPr>
                <w:rFonts w:ascii="Traditional Arabic" w:eastAsia="Calibri" w:hAnsi="Traditional Arabic" w:cs="Traditional Arabic"/>
                <w:sz w:val="24"/>
                <w:rtl/>
              </w:rPr>
              <w:t>%</w:t>
            </w:r>
          </w:p>
        </w:tc>
        <w:tc>
          <w:tcPr>
            <w:tcW w:w="839" w:type="dxa"/>
            <w:tcBorders>
              <w:bottom w:val="single" w:sz="4" w:space="0" w:color="0B3D85"/>
            </w:tcBorders>
            <w:shd w:val="clear" w:color="auto" w:fill="FFFFFF" w:themeFill="background1"/>
            <w:vAlign w:val="center"/>
          </w:tcPr>
          <w:p w14:paraId="1B47B5D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23.6%</w:t>
            </w:r>
          </w:p>
        </w:tc>
        <w:tc>
          <w:tcPr>
            <w:tcW w:w="839" w:type="dxa"/>
            <w:tcBorders>
              <w:bottom w:val="single" w:sz="4" w:space="0" w:color="0B3D85"/>
            </w:tcBorders>
            <w:shd w:val="clear" w:color="auto" w:fill="FFFFFF" w:themeFill="background1"/>
            <w:vAlign w:val="center"/>
          </w:tcPr>
          <w:p w14:paraId="2916D850" w14:textId="5745800A"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21.</w:t>
            </w:r>
            <w:r w:rsidR="0098782A">
              <w:rPr>
                <w:rFonts w:ascii="Traditional Arabic" w:eastAsia="Calibri" w:hAnsi="Traditional Arabic" w:cs="Traditional Arabic" w:hint="cs"/>
                <w:sz w:val="24"/>
                <w:rtl/>
              </w:rPr>
              <w:t>6</w:t>
            </w:r>
            <w:r w:rsidRPr="00B934CE">
              <w:rPr>
                <w:rFonts w:ascii="Traditional Arabic" w:eastAsia="Calibri" w:hAnsi="Traditional Arabic" w:cs="Traditional Arabic"/>
                <w:sz w:val="24"/>
                <w:rtl/>
              </w:rPr>
              <w:t>%</w:t>
            </w:r>
          </w:p>
        </w:tc>
        <w:tc>
          <w:tcPr>
            <w:tcW w:w="1001" w:type="dxa"/>
            <w:tcBorders>
              <w:bottom w:val="single" w:sz="4" w:space="0" w:color="0B3D85"/>
            </w:tcBorders>
            <w:shd w:val="clear" w:color="auto" w:fill="FFFFFF" w:themeFill="background1"/>
            <w:vAlign w:val="center"/>
          </w:tcPr>
          <w:p w14:paraId="6C75302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hAnsi="Traditional Arabic" w:cs="Traditional Arabic"/>
                <w:sz w:val="24"/>
                <w:rtl/>
              </w:rPr>
              <w:t>122,917</w:t>
            </w:r>
          </w:p>
        </w:tc>
        <w:tc>
          <w:tcPr>
            <w:tcW w:w="1001" w:type="dxa"/>
            <w:tcBorders>
              <w:bottom w:val="single" w:sz="4" w:space="0" w:color="0B3D85"/>
            </w:tcBorders>
            <w:shd w:val="clear" w:color="auto" w:fill="FFFFFF" w:themeFill="background1"/>
            <w:vAlign w:val="center"/>
          </w:tcPr>
          <w:p w14:paraId="66C63A9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hAnsi="Traditional Arabic" w:cs="Traditional Arabic"/>
                <w:sz w:val="24"/>
                <w:rtl/>
              </w:rPr>
              <w:t>134,344</w:t>
            </w:r>
          </w:p>
        </w:tc>
        <w:tc>
          <w:tcPr>
            <w:tcW w:w="839" w:type="dxa"/>
            <w:tcBorders>
              <w:bottom w:val="single" w:sz="4" w:space="0" w:color="0B3D85"/>
            </w:tcBorders>
            <w:shd w:val="clear" w:color="auto" w:fill="FFFFFF" w:themeFill="background1"/>
            <w:vAlign w:val="center"/>
          </w:tcPr>
          <w:p w14:paraId="5DC3741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hAnsi="Traditional Arabic" w:cs="Traditional Arabic"/>
                <w:sz w:val="24"/>
                <w:rtl/>
              </w:rPr>
              <w:t>9.3%</w:t>
            </w:r>
          </w:p>
        </w:tc>
      </w:tr>
      <w:tr w:rsidR="00563389" w:rsidRPr="00900056" w14:paraId="135BE707" w14:textId="77777777" w:rsidTr="00826D63">
        <w:trPr>
          <w:trHeight w:val="20"/>
        </w:trPr>
        <w:tc>
          <w:tcPr>
            <w:tcW w:w="934" w:type="dxa"/>
            <w:tcBorders>
              <w:bottom w:val="single" w:sz="4" w:space="0" w:color="0B3D85"/>
            </w:tcBorders>
            <w:shd w:val="clear" w:color="auto" w:fill="FFFFFF" w:themeFill="background1"/>
            <w:vAlign w:val="center"/>
          </w:tcPr>
          <w:p w14:paraId="399FBD00"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تكاليف</w:t>
            </w:r>
            <w:r w:rsidRPr="00B934CE">
              <w:rPr>
                <w:rFonts w:ascii="Traditional Arabic" w:eastAsia="Calibri" w:hAnsi="Traditional Arabic" w:cs="Traditional Arabic"/>
                <w:sz w:val="24"/>
                <w:rtl/>
              </w:rPr>
              <w:t xml:space="preserve"> تشغيل رحلات </w:t>
            </w:r>
          </w:p>
        </w:tc>
        <w:tc>
          <w:tcPr>
            <w:tcW w:w="1011" w:type="dxa"/>
            <w:tcBorders>
              <w:bottom w:val="single" w:sz="4" w:space="0" w:color="0B3D85"/>
            </w:tcBorders>
            <w:shd w:val="clear" w:color="auto" w:fill="FFFFFF" w:themeFill="background1"/>
            <w:vAlign w:val="center"/>
          </w:tcPr>
          <w:p w14:paraId="40227D3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62,744</w:t>
            </w:r>
          </w:p>
        </w:tc>
        <w:tc>
          <w:tcPr>
            <w:tcW w:w="1073" w:type="dxa"/>
            <w:tcBorders>
              <w:bottom w:val="single" w:sz="4" w:space="0" w:color="0B3D85"/>
            </w:tcBorders>
            <w:shd w:val="clear" w:color="auto" w:fill="FFFFFF" w:themeFill="background1"/>
            <w:vAlign w:val="center"/>
          </w:tcPr>
          <w:p w14:paraId="062AAD7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98,053</w:t>
            </w:r>
          </w:p>
        </w:tc>
        <w:tc>
          <w:tcPr>
            <w:tcW w:w="1001" w:type="dxa"/>
            <w:tcBorders>
              <w:bottom w:val="single" w:sz="4" w:space="0" w:color="0B3D85"/>
            </w:tcBorders>
            <w:shd w:val="clear" w:color="auto" w:fill="FFFFFF" w:themeFill="background1"/>
            <w:vAlign w:val="center"/>
          </w:tcPr>
          <w:p w14:paraId="2E4DFCE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81,701</w:t>
            </w:r>
          </w:p>
        </w:tc>
        <w:tc>
          <w:tcPr>
            <w:tcW w:w="839" w:type="dxa"/>
            <w:tcBorders>
              <w:bottom w:val="single" w:sz="4" w:space="0" w:color="0B3D85"/>
            </w:tcBorders>
            <w:shd w:val="clear" w:color="auto" w:fill="FFFFFF" w:themeFill="background1"/>
            <w:vAlign w:val="center"/>
          </w:tcPr>
          <w:p w14:paraId="00EB429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56.3%</w:t>
            </w:r>
          </w:p>
        </w:tc>
        <w:tc>
          <w:tcPr>
            <w:tcW w:w="839" w:type="dxa"/>
            <w:tcBorders>
              <w:bottom w:val="single" w:sz="4" w:space="0" w:color="0B3D85"/>
            </w:tcBorders>
            <w:shd w:val="clear" w:color="auto" w:fill="FFFFFF" w:themeFill="background1"/>
            <w:vAlign w:val="center"/>
          </w:tcPr>
          <w:p w14:paraId="5C66888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(16.7%)</w:t>
            </w:r>
          </w:p>
        </w:tc>
        <w:tc>
          <w:tcPr>
            <w:tcW w:w="839" w:type="dxa"/>
            <w:tcBorders>
              <w:bottom w:val="single" w:sz="4" w:space="0" w:color="0B3D85"/>
            </w:tcBorders>
            <w:shd w:val="clear" w:color="auto" w:fill="FFFFFF" w:themeFill="background1"/>
            <w:vAlign w:val="center"/>
          </w:tcPr>
          <w:p w14:paraId="6491601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14.1%</w:t>
            </w:r>
          </w:p>
        </w:tc>
        <w:tc>
          <w:tcPr>
            <w:tcW w:w="1001" w:type="dxa"/>
            <w:tcBorders>
              <w:bottom w:val="single" w:sz="4" w:space="0" w:color="0B3D85"/>
            </w:tcBorders>
            <w:shd w:val="clear" w:color="auto" w:fill="FFFFFF" w:themeFill="background1"/>
            <w:vAlign w:val="center"/>
          </w:tcPr>
          <w:p w14:paraId="381F3F1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hAnsi="Traditional Arabic" w:cs="Traditional Arabic"/>
                <w:sz w:val="24"/>
                <w:rtl/>
              </w:rPr>
              <w:t>62,235</w:t>
            </w:r>
          </w:p>
        </w:tc>
        <w:tc>
          <w:tcPr>
            <w:tcW w:w="1001" w:type="dxa"/>
            <w:tcBorders>
              <w:bottom w:val="single" w:sz="4" w:space="0" w:color="0B3D85"/>
            </w:tcBorders>
            <w:shd w:val="clear" w:color="auto" w:fill="FFFFFF" w:themeFill="background1"/>
            <w:vAlign w:val="center"/>
          </w:tcPr>
          <w:p w14:paraId="21C5650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hAnsi="Traditional Arabic" w:cs="Traditional Arabic"/>
                <w:sz w:val="24"/>
                <w:rtl/>
              </w:rPr>
              <w:t>38,763</w:t>
            </w:r>
          </w:p>
        </w:tc>
        <w:tc>
          <w:tcPr>
            <w:tcW w:w="839" w:type="dxa"/>
            <w:tcBorders>
              <w:bottom w:val="single" w:sz="4" w:space="0" w:color="0B3D85"/>
            </w:tcBorders>
            <w:shd w:val="clear" w:color="auto" w:fill="FFFFFF" w:themeFill="background1"/>
            <w:vAlign w:val="center"/>
          </w:tcPr>
          <w:p w14:paraId="2CC16C1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hAnsi="Traditional Arabic" w:cs="Traditional Arabic"/>
                <w:sz w:val="24"/>
                <w:rtl/>
              </w:rPr>
              <w:t>(37.7%)</w:t>
            </w:r>
          </w:p>
        </w:tc>
      </w:tr>
      <w:tr w:rsidR="00563389" w:rsidRPr="00900056" w14:paraId="36871722" w14:textId="77777777" w:rsidTr="00826D63">
        <w:trPr>
          <w:trHeight w:val="20"/>
        </w:trPr>
        <w:tc>
          <w:tcPr>
            <w:tcW w:w="934" w:type="dxa"/>
            <w:tcBorders>
              <w:top w:val="single" w:sz="4" w:space="0" w:color="0B3D85"/>
              <w:bottom w:val="single" w:sz="4" w:space="0" w:color="0B3D85"/>
            </w:tcBorders>
            <w:shd w:val="clear" w:color="auto" w:fill="FFFFFF" w:themeFill="background1"/>
            <w:vAlign w:val="center"/>
          </w:tcPr>
          <w:p w14:paraId="47BAAE04"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تأجير السفن لعقود إيجار السفن قصيرة الأجل </w:t>
            </w:r>
          </w:p>
        </w:tc>
        <w:tc>
          <w:tcPr>
            <w:tcW w:w="1011" w:type="dxa"/>
            <w:tcBorders>
              <w:top w:val="single" w:sz="4" w:space="0" w:color="0B3D85"/>
              <w:bottom w:val="single" w:sz="4" w:space="0" w:color="0B3D85"/>
            </w:tcBorders>
            <w:shd w:val="clear" w:color="auto" w:fill="FFFFFF" w:themeFill="background1"/>
            <w:vAlign w:val="center"/>
          </w:tcPr>
          <w:p w14:paraId="5FB2AB5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13,026</w:t>
            </w:r>
          </w:p>
        </w:tc>
        <w:tc>
          <w:tcPr>
            <w:tcW w:w="1073" w:type="dxa"/>
            <w:tcBorders>
              <w:top w:val="single" w:sz="4" w:space="0" w:color="0B3D85"/>
              <w:bottom w:val="single" w:sz="4" w:space="0" w:color="0B3D85"/>
            </w:tcBorders>
            <w:shd w:val="clear" w:color="auto" w:fill="FFFFFF" w:themeFill="background1"/>
            <w:vAlign w:val="center"/>
          </w:tcPr>
          <w:p w14:paraId="6463106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22,077</w:t>
            </w:r>
          </w:p>
        </w:tc>
        <w:tc>
          <w:tcPr>
            <w:tcW w:w="1001" w:type="dxa"/>
            <w:tcBorders>
              <w:top w:val="single" w:sz="4" w:space="0" w:color="0B3D85"/>
              <w:bottom w:val="single" w:sz="4" w:space="0" w:color="0B3D85"/>
            </w:tcBorders>
            <w:shd w:val="clear" w:color="auto" w:fill="FFFFFF" w:themeFill="background1"/>
            <w:vAlign w:val="center"/>
          </w:tcPr>
          <w:p w14:paraId="477A02C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28,643</w:t>
            </w:r>
          </w:p>
        </w:tc>
        <w:tc>
          <w:tcPr>
            <w:tcW w:w="839" w:type="dxa"/>
            <w:tcBorders>
              <w:top w:val="single" w:sz="4" w:space="0" w:color="0B3D85"/>
              <w:bottom w:val="single" w:sz="4" w:space="0" w:color="0B3D85"/>
            </w:tcBorders>
            <w:shd w:val="clear" w:color="auto" w:fill="FFFFFF" w:themeFill="background1"/>
            <w:vAlign w:val="center"/>
          </w:tcPr>
          <w:p w14:paraId="2ECA978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69.5%</w:t>
            </w:r>
          </w:p>
        </w:tc>
        <w:tc>
          <w:tcPr>
            <w:tcW w:w="839" w:type="dxa"/>
            <w:tcBorders>
              <w:top w:val="single" w:sz="4" w:space="0" w:color="0B3D85"/>
              <w:bottom w:val="single" w:sz="4" w:space="0" w:color="0B3D85"/>
            </w:tcBorders>
            <w:shd w:val="clear" w:color="auto" w:fill="FFFFFF" w:themeFill="background1"/>
            <w:vAlign w:val="center"/>
          </w:tcPr>
          <w:p w14:paraId="2D2468E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29.7%</w:t>
            </w:r>
          </w:p>
        </w:tc>
        <w:tc>
          <w:tcPr>
            <w:tcW w:w="839" w:type="dxa"/>
            <w:tcBorders>
              <w:top w:val="single" w:sz="4" w:space="0" w:color="0B3D85"/>
              <w:bottom w:val="single" w:sz="4" w:space="0" w:color="0B3D85"/>
            </w:tcBorders>
            <w:shd w:val="clear" w:color="auto" w:fill="FFFFFF" w:themeFill="background1"/>
            <w:vAlign w:val="center"/>
          </w:tcPr>
          <w:p w14:paraId="68D8D1E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48.3%</w:t>
            </w:r>
          </w:p>
        </w:tc>
        <w:tc>
          <w:tcPr>
            <w:tcW w:w="1001" w:type="dxa"/>
            <w:tcBorders>
              <w:top w:val="single" w:sz="4" w:space="0" w:color="0B3D85"/>
              <w:bottom w:val="single" w:sz="4" w:space="0" w:color="0B3D85"/>
            </w:tcBorders>
            <w:shd w:val="clear" w:color="auto" w:fill="FFFFFF" w:themeFill="background1"/>
            <w:vAlign w:val="center"/>
          </w:tcPr>
          <w:p w14:paraId="60F9C4B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hAnsi="Traditional Arabic" w:cs="Traditional Arabic"/>
                <w:sz w:val="24"/>
                <w:rtl/>
              </w:rPr>
              <w:t>22,451</w:t>
            </w:r>
          </w:p>
        </w:tc>
        <w:tc>
          <w:tcPr>
            <w:tcW w:w="1001" w:type="dxa"/>
            <w:tcBorders>
              <w:top w:val="single" w:sz="4" w:space="0" w:color="0B3D85"/>
              <w:bottom w:val="single" w:sz="4" w:space="0" w:color="0B3D85"/>
            </w:tcBorders>
            <w:shd w:val="clear" w:color="auto" w:fill="FFFFFF" w:themeFill="background1"/>
            <w:vAlign w:val="center"/>
          </w:tcPr>
          <w:p w14:paraId="68FD727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hAnsi="Traditional Arabic" w:cs="Traditional Arabic"/>
                <w:sz w:val="24"/>
                <w:rtl/>
              </w:rPr>
              <w:t>18,566</w:t>
            </w:r>
          </w:p>
        </w:tc>
        <w:tc>
          <w:tcPr>
            <w:tcW w:w="839" w:type="dxa"/>
            <w:tcBorders>
              <w:top w:val="single" w:sz="4" w:space="0" w:color="0B3D85"/>
              <w:bottom w:val="single" w:sz="4" w:space="0" w:color="0B3D85"/>
            </w:tcBorders>
            <w:shd w:val="clear" w:color="auto" w:fill="FFFFFF" w:themeFill="background1"/>
            <w:vAlign w:val="center"/>
          </w:tcPr>
          <w:p w14:paraId="5E1DC12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hAnsi="Traditional Arabic" w:cs="Traditional Arabic"/>
                <w:sz w:val="24"/>
                <w:rtl/>
              </w:rPr>
              <w:t>(17.3%)</w:t>
            </w:r>
          </w:p>
        </w:tc>
      </w:tr>
      <w:tr w:rsidR="00563389" w:rsidRPr="00900056" w14:paraId="185AA9DD" w14:textId="77777777" w:rsidTr="00826D63">
        <w:trPr>
          <w:trHeight w:val="20"/>
        </w:trPr>
        <w:tc>
          <w:tcPr>
            <w:tcW w:w="934" w:type="dxa"/>
            <w:tcBorders>
              <w:top w:val="single" w:sz="4" w:space="0" w:color="0B3D85"/>
              <w:bottom w:val="single" w:sz="4" w:space="0" w:color="0B3D85"/>
            </w:tcBorders>
            <w:shd w:val="clear" w:color="auto" w:fill="FFFFFF" w:themeFill="background1"/>
            <w:vAlign w:val="center"/>
          </w:tcPr>
          <w:p w14:paraId="778F4EC3"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b/>
                <w:bCs/>
                <w:sz w:val="24"/>
                <w:rtl/>
              </w:rPr>
              <w:t>الإجمالي</w:t>
            </w:r>
            <w:r w:rsidRPr="00B934CE">
              <w:rPr>
                <w:rFonts w:ascii="Traditional Arabic" w:eastAsia="Calibri" w:hAnsi="Traditional Arabic" w:cs="Traditional Arabic"/>
                <w:b/>
                <w:bCs/>
                <w:sz w:val="24"/>
                <w:rtl/>
              </w:rPr>
              <w:t xml:space="preserve"> </w:t>
            </w:r>
          </w:p>
        </w:tc>
        <w:tc>
          <w:tcPr>
            <w:tcW w:w="1011" w:type="dxa"/>
            <w:tcBorders>
              <w:top w:val="single" w:sz="4" w:space="0" w:color="0B3D85"/>
              <w:bottom w:val="single" w:sz="4" w:space="0" w:color="0B3D85"/>
            </w:tcBorders>
            <w:shd w:val="clear" w:color="auto" w:fill="FFFFFF" w:themeFill="background1"/>
            <w:vAlign w:val="center"/>
          </w:tcPr>
          <w:p w14:paraId="4FCD7FC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191,040</w:t>
            </w:r>
          </w:p>
        </w:tc>
        <w:tc>
          <w:tcPr>
            <w:tcW w:w="1073" w:type="dxa"/>
            <w:tcBorders>
              <w:top w:val="single" w:sz="4" w:space="0" w:color="0B3D85"/>
              <w:bottom w:val="single" w:sz="4" w:space="0" w:color="0B3D85"/>
            </w:tcBorders>
            <w:shd w:val="clear" w:color="auto" w:fill="FFFFFF" w:themeFill="background1"/>
            <w:vAlign w:val="center"/>
          </w:tcPr>
          <w:p w14:paraId="19AB0521"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258,166</w:t>
            </w:r>
          </w:p>
        </w:tc>
        <w:tc>
          <w:tcPr>
            <w:tcW w:w="1001" w:type="dxa"/>
            <w:tcBorders>
              <w:top w:val="single" w:sz="4" w:space="0" w:color="0B3D85"/>
              <w:bottom w:val="single" w:sz="4" w:space="0" w:color="0B3D85"/>
            </w:tcBorders>
            <w:shd w:val="clear" w:color="auto" w:fill="FFFFFF" w:themeFill="background1"/>
            <w:vAlign w:val="center"/>
          </w:tcPr>
          <w:p w14:paraId="50F079A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280,914</w:t>
            </w:r>
          </w:p>
        </w:tc>
        <w:tc>
          <w:tcPr>
            <w:tcW w:w="839" w:type="dxa"/>
            <w:tcBorders>
              <w:top w:val="single" w:sz="4" w:space="0" w:color="0B3D85"/>
              <w:bottom w:val="single" w:sz="4" w:space="0" w:color="0B3D85"/>
            </w:tcBorders>
            <w:shd w:val="clear" w:color="auto" w:fill="FFFFFF" w:themeFill="background1"/>
            <w:vAlign w:val="center"/>
          </w:tcPr>
          <w:p w14:paraId="34791F5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35.1%</w:t>
            </w:r>
          </w:p>
        </w:tc>
        <w:tc>
          <w:tcPr>
            <w:tcW w:w="839" w:type="dxa"/>
            <w:tcBorders>
              <w:top w:val="single" w:sz="4" w:space="0" w:color="0B3D85"/>
              <w:bottom w:val="single" w:sz="4" w:space="0" w:color="0B3D85"/>
            </w:tcBorders>
            <w:shd w:val="clear" w:color="auto" w:fill="FFFFFF" w:themeFill="background1"/>
            <w:vAlign w:val="center"/>
          </w:tcPr>
          <w:p w14:paraId="25B4349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8.8%</w:t>
            </w:r>
          </w:p>
        </w:tc>
        <w:tc>
          <w:tcPr>
            <w:tcW w:w="839" w:type="dxa"/>
            <w:tcBorders>
              <w:top w:val="single" w:sz="4" w:space="0" w:color="0B3D85"/>
              <w:bottom w:val="single" w:sz="4" w:space="0" w:color="0B3D85"/>
            </w:tcBorders>
            <w:shd w:val="clear" w:color="auto" w:fill="FFFFFF" w:themeFill="background1"/>
            <w:vAlign w:val="center"/>
          </w:tcPr>
          <w:p w14:paraId="0D52FCA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21.3%</w:t>
            </w:r>
          </w:p>
        </w:tc>
        <w:tc>
          <w:tcPr>
            <w:tcW w:w="1001" w:type="dxa"/>
            <w:tcBorders>
              <w:top w:val="single" w:sz="4" w:space="0" w:color="0B3D85"/>
              <w:bottom w:val="single" w:sz="4" w:space="0" w:color="0B3D85"/>
            </w:tcBorders>
            <w:shd w:val="clear" w:color="auto" w:fill="FFFFFF" w:themeFill="background1"/>
            <w:vAlign w:val="center"/>
          </w:tcPr>
          <w:p w14:paraId="43B313B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207,604</w:t>
            </w:r>
          </w:p>
        </w:tc>
        <w:tc>
          <w:tcPr>
            <w:tcW w:w="1001" w:type="dxa"/>
            <w:tcBorders>
              <w:top w:val="single" w:sz="4" w:space="0" w:color="0B3D85"/>
              <w:bottom w:val="single" w:sz="4" w:space="0" w:color="0B3D85"/>
            </w:tcBorders>
            <w:shd w:val="clear" w:color="auto" w:fill="FFFFFF" w:themeFill="background1"/>
            <w:vAlign w:val="center"/>
          </w:tcPr>
          <w:p w14:paraId="4808422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191,673</w:t>
            </w:r>
          </w:p>
        </w:tc>
        <w:tc>
          <w:tcPr>
            <w:tcW w:w="839" w:type="dxa"/>
            <w:tcBorders>
              <w:top w:val="single" w:sz="4" w:space="0" w:color="0B3D85"/>
              <w:bottom w:val="single" w:sz="4" w:space="0" w:color="0B3D85"/>
            </w:tcBorders>
            <w:shd w:val="clear" w:color="auto" w:fill="FFFFFF" w:themeFill="background1"/>
            <w:vAlign w:val="center"/>
          </w:tcPr>
          <w:p w14:paraId="7FDE9081"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(7.7%)</w:t>
            </w:r>
          </w:p>
        </w:tc>
      </w:tr>
      <w:tr w:rsidR="00900056" w:rsidRPr="00900056" w14:paraId="7C7CAD96" w14:textId="77777777" w:rsidTr="00826D63">
        <w:trPr>
          <w:trHeight w:val="179"/>
        </w:trPr>
        <w:tc>
          <w:tcPr>
            <w:tcW w:w="934" w:type="dxa"/>
            <w:tcBorders>
              <w:top w:val="single" w:sz="4" w:space="0" w:color="0B3D85"/>
              <w:bottom w:val="single" w:sz="4" w:space="0" w:color="0B3D85"/>
            </w:tcBorders>
            <w:shd w:val="clear" w:color="auto" w:fill="F2F2F2" w:themeFill="background1" w:themeFillShade="F2"/>
            <w:vAlign w:val="center"/>
          </w:tcPr>
          <w:p w14:paraId="693346A5" w14:textId="77777777" w:rsidR="00563389" w:rsidRPr="00B934CE" w:rsidRDefault="00563389" w:rsidP="00B934CE">
            <w:pPr>
              <w:bidi/>
              <w:rPr>
                <w:rFonts w:ascii="Traditional Arabic" w:eastAsia="Calibri" w:hAnsi="Traditional Arabic" w:cs="Traditional Arabic"/>
                <w:b/>
                <w:bCs/>
                <w:sz w:val="24"/>
                <w:rtl/>
              </w:rPr>
            </w:pPr>
          </w:p>
        </w:tc>
        <w:tc>
          <w:tcPr>
            <w:tcW w:w="3085" w:type="dxa"/>
            <w:gridSpan w:val="3"/>
            <w:tcBorders>
              <w:top w:val="single" w:sz="4" w:space="0" w:color="0B3D85"/>
              <w:bottom w:val="single" w:sz="4" w:space="0" w:color="0B3D85"/>
            </w:tcBorders>
            <w:shd w:val="clear" w:color="auto" w:fill="F2F2F2" w:themeFill="background1" w:themeFillShade="F2"/>
            <w:vAlign w:val="center"/>
          </w:tcPr>
          <w:p w14:paraId="6F2A0D18" w14:textId="77777777" w:rsidR="00563389" w:rsidRPr="00B934CE" w:rsidRDefault="00563389" w:rsidP="00B934CE">
            <w:pPr>
              <w:bidi/>
              <w:jc w:val="center"/>
              <w:rPr>
                <w:rFonts w:ascii="Traditional Arabic" w:hAnsi="Traditional Arabic" w:cs="Traditional Arabic"/>
                <w:sz w:val="24"/>
              </w:rPr>
            </w:pPr>
            <w:r w:rsidRPr="00B934CE">
              <w:rPr>
                <w:rFonts w:ascii="Traditional Arabic" w:hAnsi="Traditional Arabic" w:cs="Traditional Arabic"/>
                <w:sz w:val="24"/>
                <w:rtl/>
              </w:rPr>
              <w:t>كنسبة مئوية من إجمالي الإيرادات</w:t>
            </w:r>
          </w:p>
        </w:tc>
        <w:tc>
          <w:tcPr>
            <w:tcW w:w="2517" w:type="dxa"/>
            <w:gridSpan w:val="3"/>
            <w:tcBorders>
              <w:top w:val="single" w:sz="4" w:space="0" w:color="0B3D85"/>
              <w:bottom w:val="single" w:sz="4" w:space="0" w:color="0B3D85"/>
            </w:tcBorders>
            <w:shd w:val="clear" w:color="auto" w:fill="F2F2F2" w:themeFill="background1" w:themeFillShade="F2"/>
            <w:vAlign w:val="center"/>
          </w:tcPr>
          <w:p w14:paraId="3B4533CD" w14:textId="77777777" w:rsidR="00563389" w:rsidRPr="00B934CE" w:rsidRDefault="00563389"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c>
          <w:tcPr>
            <w:tcW w:w="2002" w:type="dxa"/>
            <w:gridSpan w:val="2"/>
            <w:tcBorders>
              <w:top w:val="single" w:sz="4" w:space="0" w:color="0B3D85"/>
              <w:bottom w:val="single" w:sz="4" w:space="0" w:color="0B3D85"/>
            </w:tcBorders>
            <w:shd w:val="clear" w:color="auto" w:fill="F2F2F2" w:themeFill="background1" w:themeFillShade="F2"/>
            <w:vAlign w:val="center"/>
          </w:tcPr>
          <w:p w14:paraId="68E11078" w14:textId="77777777" w:rsidR="00563389" w:rsidRPr="00B934CE" w:rsidRDefault="00563389" w:rsidP="00B934CE">
            <w:pPr>
              <w:bidi/>
              <w:jc w:val="both"/>
              <w:rPr>
                <w:rFonts w:ascii="Traditional Arabic" w:hAnsi="Traditional Arabic" w:cs="Traditional Arabic"/>
                <w:sz w:val="24"/>
                <w:rtl/>
              </w:rPr>
            </w:pPr>
            <w:r w:rsidRPr="00B934CE">
              <w:rPr>
                <w:rFonts w:ascii="Traditional Arabic" w:hAnsi="Traditional Arabic" w:cs="Traditional Arabic"/>
                <w:sz w:val="24"/>
                <w:rtl/>
              </w:rPr>
              <w:t>كنسبة مئوية من إجمالي الإيرادات</w:t>
            </w:r>
          </w:p>
        </w:tc>
        <w:tc>
          <w:tcPr>
            <w:tcW w:w="839" w:type="dxa"/>
            <w:tcBorders>
              <w:top w:val="single" w:sz="4" w:space="0" w:color="0B3D85"/>
              <w:bottom w:val="single" w:sz="4" w:space="0" w:color="0B3D85"/>
            </w:tcBorders>
            <w:shd w:val="clear" w:color="auto" w:fill="F2F2F2" w:themeFill="background1" w:themeFillShade="F2"/>
            <w:vAlign w:val="center"/>
          </w:tcPr>
          <w:p w14:paraId="1D41B2FF" w14:textId="77777777" w:rsidR="00563389" w:rsidRPr="00B934CE" w:rsidRDefault="00563389"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r>
      <w:tr w:rsidR="00563389" w:rsidRPr="00900056" w14:paraId="09A59542" w14:textId="77777777" w:rsidTr="00826D63">
        <w:trPr>
          <w:trHeight w:val="20"/>
        </w:trPr>
        <w:tc>
          <w:tcPr>
            <w:tcW w:w="934" w:type="dxa"/>
            <w:tcBorders>
              <w:top w:val="single" w:sz="4" w:space="0" w:color="0B3D85"/>
              <w:bottom w:val="single" w:sz="4" w:space="0" w:color="0B3D85"/>
            </w:tcBorders>
            <w:shd w:val="clear" w:color="auto" w:fill="FFFFFF" w:themeFill="background1"/>
            <w:vAlign w:val="center"/>
          </w:tcPr>
          <w:p w14:paraId="561C423C"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تكاليف</w:t>
            </w:r>
            <w:r w:rsidRPr="00B934CE">
              <w:rPr>
                <w:rFonts w:ascii="Traditional Arabic" w:eastAsia="Calibri" w:hAnsi="Traditional Arabic" w:cs="Traditional Arabic"/>
                <w:sz w:val="24"/>
                <w:rtl/>
              </w:rPr>
              <w:t xml:space="preserve"> تشغيل السفن </w:t>
            </w:r>
          </w:p>
        </w:tc>
        <w:tc>
          <w:tcPr>
            <w:tcW w:w="1011" w:type="dxa"/>
            <w:tcBorders>
              <w:top w:val="single" w:sz="4" w:space="0" w:color="0B3D85"/>
              <w:bottom w:val="single" w:sz="4" w:space="0" w:color="0B3D85"/>
            </w:tcBorders>
            <w:shd w:val="clear" w:color="auto" w:fill="FFFFFF" w:themeFill="background1"/>
            <w:vAlign w:val="center"/>
          </w:tcPr>
          <w:p w14:paraId="1525E39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47.3%</w:t>
            </w:r>
          </w:p>
        </w:tc>
        <w:tc>
          <w:tcPr>
            <w:tcW w:w="1073" w:type="dxa"/>
            <w:tcBorders>
              <w:top w:val="single" w:sz="4" w:space="0" w:color="0B3D85"/>
              <w:bottom w:val="single" w:sz="4" w:space="0" w:color="0B3D85"/>
            </w:tcBorders>
            <w:shd w:val="clear" w:color="auto" w:fill="FFFFFF" w:themeFill="background1"/>
            <w:vAlign w:val="center"/>
          </w:tcPr>
          <w:p w14:paraId="699A0CD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39.7%</w:t>
            </w:r>
          </w:p>
        </w:tc>
        <w:tc>
          <w:tcPr>
            <w:tcW w:w="1001" w:type="dxa"/>
            <w:tcBorders>
              <w:top w:val="single" w:sz="4" w:space="0" w:color="0B3D85"/>
              <w:bottom w:val="single" w:sz="4" w:space="0" w:color="0B3D85"/>
            </w:tcBorders>
            <w:shd w:val="clear" w:color="auto" w:fill="FFFFFF" w:themeFill="background1"/>
            <w:vAlign w:val="center"/>
          </w:tcPr>
          <w:p w14:paraId="55EBC29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46.9%</w:t>
            </w:r>
          </w:p>
        </w:tc>
        <w:tc>
          <w:tcPr>
            <w:tcW w:w="839" w:type="dxa"/>
            <w:tcBorders>
              <w:top w:val="single" w:sz="4" w:space="0" w:color="0B3D85"/>
              <w:bottom w:val="single" w:sz="4" w:space="0" w:color="0B3D85"/>
            </w:tcBorders>
            <w:shd w:val="clear" w:color="auto" w:fill="FFFFFF" w:themeFill="background1"/>
            <w:vAlign w:val="center"/>
          </w:tcPr>
          <w:p w14:paraId="5095DC7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(7.6)</w:t>
            </w:r>
          </w:p>
        </w:tc>
        <w:tc>
          <w:tcPr>
            <w:tcW w:w="839" w:type="dxa"/>
            <w:tcBorders>
              <w:top w:val="single" w:sz="4" w:space="0" w:color="0B3D85"/>
              <w:bottom w:val="single" w:sz="4" w:space="0" w:color="0B3D85"/>
            </w:tcBorders>
            <w:shd w:val="clear" w:color="auto" w:fill="FFFFFF" w:themeFill="background1"/>
            <w:vAlign w:val="center"/>
          </w:tcPr>
          <w:p w14:paraId="2036F25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7.2</w:t>
            </w:r>
          </w:p>
        </w:tc>
        <w:tc>
          <w:tcPr>
            <w:tcW w:w="839" w:type="dxa"/>
            <w:tcBorders>
              <w:top w:val="single" w:sz="4" w:space="0" w:color="0B3D85"/>
              <w:bottom w:val="single" w:sz="4" w:space="0" w:color="0B3D85"/>
            </w:tcBorders>
            <w:shd w:val="clear" w:color="auto" w:fill="FFFFFF" w:themeFill="background1"/>
            <w:vAlign w:val="center"/>
          </w:tcPr>
          <w:p w14:paraId="76FB767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(0.4)</w:t>
            </w:r>
          </w:p>
        </w:tc>
        <w:tc>
          <w:tcPr>
            <w:tcW w:w="1001" w:type="dxa"/>
            <w:tcBorders>
              <w:top w:val="single" w:sz="4" w:space="0" w:color="0B3D85"/>
              <w:bottom w:val="single" w:sz="4" w:space="0" w:color="0B3D85"/>
            </w:tcBorders>
            <w:shd w:val="clear" w:color="auto" w:fill="FFFFFF" w:themeFill="background1"/>
            <w:vAlign w:val="center"/>
          </w:tcPr>
          <w:p w14:paraId="27FC163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44.8%</w:t>
            </w:r>
          </w:p>
        </w:tc>
        <w:tc>
          <w:tcPr>
            <w:tcW w:w="1001" w:type="dxa"/>
            <w:tcBorders>
              <w:top w:val="single" w:sz="4" w:space="0" w:color="0B3D85"/>
              <w:bottom w:val="single" w:sz="4" w:space="0" w:color="0B3D85"/>
            </w:tcBorders>
            <w:shd w:val="clear" w:color="auto" w:fill="FFFFFF" w:themeFill="background1"/>
            <w:vAlign w:val="center"/>
          </w:tcPr>
          <w:p w14:paraId="0CEDCA6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48.9%</w:t>
            </w:r>
          </w:p>
        </w:tc>
        <w:tc>
          <w:tcPr>
            <w:tcW w:w="839" w:type="dxa"/>
            <w:tcBorders>
              <w:top w:val="single" w:sz="4" w:space="0" w:color="0B3D85"/>
              <w:bottom w:val="single" w:sz="4" w:space="0" w:color="0B3D85"/>
            </w:tcBorders>
            <w:shd w:val="clear" w:color="auto" w:fill="FFFFFF" w:themeFill="background1"/>
            <w:vAlign w:val="center"/>
          </w:tcPr>
          <w:p w14:paraId="197A734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4.1</w:t>
            </w:r>
          </w:p>
        </w:tc>
      </w:tr>
      <w:tr w:rsidR="00563389" w:rsidRPr="00900056" w14:paraId="037B945E" w14:textId="77777777" w:rsidTr="00826D63">
        <w:trPr>
          <w:trHeight w:val="20"/>
        </w:trPr>
        <w:tc>
          <w:tcPr>
            <w:tcW w:w="934" w:type="dxa"/>
            <w:tcBorders>
              <w:top w:val="single" w:sz="4" w:space="0" w:color="0B3D85"/>
              <w:bottom w:val="single" w:sz="4" w:space="0" w:color="0B3D85"/>
            </w:tcBorders>
            <w:shd w:val="clear" w:color="auto" w:fill="FFFFFF" w:themeFill="background1"/>
            <w:vAlign w:val="center"/>
          </w:tcPr>
          <w:p w14:paraId="305BC15F"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تكاليف</w:t>
            </w:r>
            <w:r w:rsidRPr="00B934CE">
              <w:rPr>
                <w:rFonts w:ascii="Traditional Arabic" w:eastAsia="Calibri" w:hAnsi="Traditional Arabic" w:cs="Traditional Arabic"/>
                <w:sz w:val="24"/>
                <w:rtl/>
              </w:rPr>
              <w:t xml:space="preserve"> تشغيل رحلات </w:t>
            </w:r>
          </w:p>
        </w:tc>
        <w:tc>
          <w:tcPr>
            <w:tcW w:w="1011" w:type="dxa"/>
            <w:tcBorders>
              <w:top w:val="single" w:sz="4" w:space="0" w:color="0B3D85"/>
              <w:bottom w:val="single" w:sz="4" w:space="0" w:color="0B3D85"/>
            </w:tcBorders>
            <w:shd w:val="clear" w:color="auto" w:fill="FFFFFF" w:themeFill="background1"/>
            <w:vAlign w:val="center"/>
          </w:tcPr>
          <w:p w14:paraId="4B161C6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25.7%</w:t>
            </w:r>
          </w:p>
        </w:tc>
        <w:tc>
          <w:tcPr>
            <w:tcW w:w="1073" w:type="dxa"/>
            <w:tcBorders>
              <w:top w:val="single" w:sz="4" w:space="0" w:color="0B3D85"/>
              <w:bottom w:val="single" w:sz="4" w:space="0" w:color="0B3D85"/>
            </w:tcBorders>
            <w:shd w:val="clear" w:color="auto" w:fill="FFFFFF" w:themeFill="background1"/>
            <w:vAlign w:val="center"/>
          </w:tcPr>
          <w:p w14:paraId="2A4D3CF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28.2%</w:t>
            </w:r>
          </w:p>
        </w:tc>
        <w:tc>
          <w:tcPr>
            <w:tcW w:w="1001" w:type="dxa"/>
            <w:tcBorders>
              <w:top w:val="single" w:sz="4" w:space="0" w:color="0B3D85"/>
              <w:bottom w:val="single" w:sz="4" w:space="0" w:color="0B3D85"/>
            </w:tcBorders>
            <w:shd w:val="clear" w:color="auto" w:fill="FFFFFF" w:themeFill="background1"/>
            <w:vAlign w:val="center"/>
          </w:tcPr>
          <w:p w14:paraId="7027BDF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22.5%</w:t>
            </w:r>
          </w:p>
        </w:tc>
        <w:tc>
          <w:tcPr>
            <w:tcW w:w="839" w:type="dxa"/>
            <w:tcBorders>
              <w:top w:val="single" w:sz="4" w:space="0" w:color="0B3D85"/>
              <w:bottom w:val="single" w:sz="4" w:space="0" w:color="0B3D85"/>
            </w:tcBorders>
            <w:shd w:val="clear" w:color="auto" w:fill="FFFFFF" w:themeFill="background1"/>
            <w:vAlign w:val="center"/>
          </w:tcPr>
          <w:p w14:paraId="3FB0AE5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w:t>
            </w:r>
          </w:p>
        </w:tc>
        <w:tc>
          <w:tcPr>
            <w:tcW w:w="839" w:type="dxa"/>
            <w:tcBorders>
              <w:top w:val="single" w:sz="4" w:space="0" w:color="0B3D85"/>
              <w:bottom w:val="single" w:sz="4" w:space="0" w:color="0B3D85"/>
            </w:tcBorders>
            <w:shd w:val="clear" w:color="auto" w:fill="FFFFFF" w:themeFill="background1"/>
            <w:vAlign w:val="center"/>
          </w:tcPr>
          <w:p w14:paraId="781C026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(5.7)</w:t>
            </w:r>
          </w:p>
        </w:tc>
        <w:tc>
          <w:tcPr>
            <w:tcW w:w="839" w:type="dxa"/>
            <w:tcBorders>
              <w:top w:val="single" w:sz="4" w:space="0" w:color="0B3D85"/>
              <w:bottom w:val="single" w:sz="4" w:space="0" w:color="0B3D85"/>
            </w:tcBorders>
            <w:shd w:val="clear" w:color="auto" w:fill="FFFFFF" w:themeFill="background1"/>
            <w:vAlign w:val="center"/>
          </w:tcPr>
          <w:p w14:paraId="65955DB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w:t>
            </w:r>
          </w:p>
        </w:tc>
        <w:tc>
          <w:tcPr>
            <w:tcW w:w="1001" w:type="dxa"/>
            <w:tcBorders>
              <w:top w:val="single" w:sz="4" w:space="0" w:color="0B3D85"/>
              <w:bottom w:val="single" w:sz="4" w:space="0" w:color="0B3D85"/>
            </w:tcBorders>
            <w:shd w:val="clear" w:color="auto" w:fill="FFFFFF" w:themeFill="background1"/>
            <w:vAlign w:val="center"/>
          </w:tcPr>
          <w:p w14:paraId="2E3850B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22.7%</w:t>
            </w:r>
          </w:p>
        </w:tc>
        <w:tc>
          <w:tcPr>
            <w:tcW w:w="1001" w:type="dxa"/>
            <w:tcBorders>
              <w:top w:val="single" w:sz="4" w:space="0" w:color="0B3D85"/>
              <w:bottom w:val="single" w:sz="4" w:space="0" w:color="0B3D85"/>
            </w:tcBorders>
            <w:shd w:val="clear" w:color="auto" w:fill="FFFFFF" w:themeFill="background1"/>
            <w:vAlign w:val="center"/>
          </w:tcPr>
          <w:p w14:paraId="417CD77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14.1%</w:t>
            </w:r>
          </w:p>
        </w:tc>
        <w:tc>
          <w:tcPr>
            <w:tcW w:w="839" w:type="dxa"/>
            <w:tcBorders>
              <w:top w:val="single" w:sz="4" w:space="0" w:color="0B3D85"/>
              <w:bottom w:val="single" w:sz="4" w:space="0" w:color="0B3D85"/>
            </w:tcBorders>
            <w:shd w:val="clear" w:color="auto" w:fill="FFFFFF" w:themeFill="background1"/>
            <w:vAlign w:val="center"/>
          </w:tcPr>
          <w:p w14:paraId="6D62D46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(8.6)</w:t>
            </w:r>
          </w:p>
        </w:tc>
      </w:tr>
      <w:tr w:rsidR="00563389" w:rsidRPr="00900056" w14:paraId="37747621" w14:textId="77777777" w:rsidTr="00826D63">
        <w:trPr>
          <w:trHeight w:val="20"/>
        </w:trPr>
        <w:tc>
          <w:tcPr>
            <w:tcW w:w="934" w:type="dxa"/>
            <w:tcBorders>
              <w:top w:val="single" w:sz="4" w:space="0" w:color="0B3D85"/>
              <w:bottom w:val="single" w:sz="4" w:space="0" w:color="0B3D85"/>
            </w:tcBorders>
            <w:shd w:val="clear" w:color="auto" w:fill="FFFFFF" w:themeFill="background1"/>
            <w:vAlign w:val="center"/>
          </w:tcPr>
          <w:p w14:paraId="36F793EB"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تأجير السفن لعقود إيجار </w:t>
            </w:r>
            <w:r w:rsidRPr="00B934CE">
              <w:rPr>
                <w:rFonts w:ascii="Traditional Arabic" w:eastAsia="Calibri" w:hAnsi="Traditional Arabic" w:cs="Traditional Arabic"/>
                <w:sz w:val="24"/>
                <w:rtl/>
              </w:rPr>
              <w:lastRenderedPageBreak/>
              <w:t xml:space="preserve">السفن قصيرة الأجل </w:t>
            </w:r>
          </w:p>
        </w:tc>
        <w:tc>
          <w:tcPr>
            <w:tcW w:w="1011" w:type="dxa"/>
            <w:tcBorders>
              <w:top w:val="single" w:sz="4" w:space="0" w:color="0B3D85"/>
              <w:bottom w:val="single" w:sz="4" w:space="0" w:color="0B3D85"/>
            </w:tcBorders>
            <w:shd w:val="clear" w:color="auto" w:fill="FFFFFF" w:themeFill="background1"/>
            <w:vAlign w:val="center"/>
          </w:tcPr>
          <w:p w14:paraId="52F279E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lastRenderedPageBreak/>
              <w:t>5.3%</w:t>
            </w:r>
          </w:p>
        </w:tc>
        <w:tc>
          <w:tcPr>
            <w:tcW w:w="1073" w:type="dxa"/>
            <w:tcBorders>
              <w:top w:val="single" w:sz="4" w:space="0" w:color="0B3D85"/>
              <w:bottom w:val="single" w:sz="4" w:space="0" w:color="0B3D85"/>
            </w:tcBorders>
            <w:shd w:val="clear" w:color="auto" w:fill="FFFFFF" w:themeFill="background1"/>
            <w:vAlign w:val="center"/>
          </w:tcPr>
          <w:p w14:paraId="3B3C9E5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6.3%</w:t>
            </w:r>
          </w:p>
        </w:tc>
        <w:tc>
          <w:tcPr>
            <w:tcW w:w="1001" w:type="dxa"/>
            <w:tcBorders>
              <w:top w:val="single" w:sz="4" w:space="0" w:color="0B3D85"/>
              <w:bottom w:val="single" w:sz="4" w:space="0" w:color="0B3D85"/>
            </w:tcBorders>
            <w:shd w:val="clear" w:color="auto" w:fill="FFFFFF" w:themeFill="background1"/>
            <w:vAlign w:val="center"/>
          </w:tcPr>
          <w:p w14:paraId="1F9250C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7.9%</w:t>
            </w:r>
          </w:p>
        </w:tc>
        <w:tc>
          <w:tcPr>
            <w:tcW w:w="839" w:type="dxa"/>
            <w:tcBorders>
              <w:top w:val="single" w:sz="4" w:space="0" w:color="0B3D85"/>
              <w:bottom w:val="single" w:sz="4" w:space="0" w:color="0B3D85"/>
            </w:tcBorders>
            <w:shd w:val="clear" w:color="auto" w:fill="FFFFFF" w:themeFill="background1"/>
            <w:vAlign w:val="center"/>
          </w:tcPr>
          <w:p w14:paraId="4B30F95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w:t>
            </w:r>
          </w:p>
        </w:tc>
        <w:tc>
          <w:tcPr>
            <w:tcW w:w="839" w:type="dxa"/>
            <w:tcBorders>
              <w:top w:val="single" w:sz="4" w:space="0" w:color="0B3D85"/>
              <w:bottom w:val="single" w:sz="4" w:space="0" w:color="0B3D85"/>
            </w:tcBorders>
            <w:shd w:val="clear" w:color="auto" w:fill="FFFFFF" w:themeFill="background1"/>
            <w:vAlign w:val="center"/>
          </w:tcPr>
          <w:p w14:paraId="30D9864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w:t>
            </w:r>
          </w:p>
        </w:tc>
        <w:tc>
          <w:tcPr>
            <w:tcW w:w="839" w:type="dxa"/>
            <w:tcBorders>
              <w:top w:val="single" w:sz="4" w:space="0" w:color="0B3D85"/>
              <w:bottom w:val="single" w:sz="4" w:space="0" w:color="0B3D85"/>
            </w:tcBorders>
            <w:shd w:val="clear" w:color="auto" w:fill="FFFFFF" w:themeFill="background1"/>
            <w:vAlign w:val="center"/>
          </w:tcPr>
          <w:p w14:paraId="2400E9D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c>
          <w:tcPr>
            <w:tcW w:w="1001" w:type="dxa"/>
            <w:tcBorders>
              <w:top w:val="single" w:sz="4" w:space="0" w:color="0B3D85"/>
              <w:bottom w:val="single" w:sz="4" w:space="0" w:color="0B3D85"/>
            </w:tcBorders>
            <w:shd w:val="clear" w:color="auto" w:fill="FFFFFF" w:themeFill="background1"/>
            <w:vAlign w:val="center"/>
          </w:tcPr>
          <w:p w14:paraId="5217E91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8.2%</w:t>
            </w:r>
          </w:p>
        </w:tc>
        <w:tc>
          <w:tcPr>
            <w:tcW w:w="1001" w:type="dxa"/>
            <w:tcBorders>
              <w:top w:val="single" w:sz="4" w:space="0" w:color="0B3D85"/>
              <w:bottom w:val="single" w:sz="4" w:space="0" w:color="0B3D85"/>
            </w:tcBorders>
            <w:shd w:val="clear" w:color="auto" w:fill="FFFFFF" w:themeFill="background1"/>
            <w:vAlign w:val="center"/>
          </w:tcPr>
          <w:p w14:paraId="7A553D1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6.8%</w:t>
            </w:r>
          </w:p>
        </w:tc>
        <w:tc>
          <w:tcPr>
            <w:tcW w:w="839" w:type="dxa"/>
            <w:tcBorders>
              <w:top w:val="single" w:sz="4" w:space="0" w:color="0B3D85"/>
              <w:bottom w:val="single" w:sz="4" w:space="0" w:color="0B3D85"/>
            </w:tcBorders>
            <w:shd w:val="clear" w:color="auto" w:fill="FFFFFF" w:themeFill="background1"/>
            <w:vAlign w:val="center"/>
          </w:tcPr>
          <w:p w14:paraId="331493B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w:t>
            </w:r>
          </w:p>
        </w:tc>
      </w:tr>
      <w:tr w:rsidR="00563389" w:rsidRPr="00900056" w14:paraId="3CC8207B" w14:textId="77777777" w:rsidTr="00826D63">
        <w:trPr>
          <w:trHeight w:val="20"/>
        </w:trPr>
        <w:tc>
          <w:tcPr>
            <w:tcW w:w="934" w:type="dxa"/>
            <w:tcBorders>
              <w:top w:val="single" w:sz="4" w:space="0" w:color="0B3D85"/>
              <w:bottom w:val="single" w:sz="4" w:space="0" w:color="0B3D85"/>
            </w:tcBorders>
            <w:shd w:val="clear" w:color="auto" w:fill="F2F2F2" w:themeFill="background1" w:themeFillShade="F2"/>
            <w:vAlign w:val="center"/>
          </w:tcPr>
          <w:p w14:paraId="09E499DF"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b/>
                <w:bCs/>
                <w:sz w:val="24"/>
                <w:rtl/>
              </w:rPr>
              <w:t>مؤشرات</w:t>
            </w:r>
            <w:r w:rsidRPr="00B934CE">
              <w:rPr>
                <w:rFonts w:ascii="Traditional Arabic" w:eastAsia="Calibri" w:hAnsi="Traditional Arabic" w:cs="Traditional Arabic"/>
                <w:b/>
                <w:bCs/>
                <w:sz w:val="24"/>
                <w:rtl/>
              </w:rPr>
              <w:t xml:space="preserve"> </w:t>
            </w:r>
            <w:r w:rsidRPr="00B934CE">
              <w:rPr>
                <w:rFonts w:ascii="Traditional Arabic" w:eastAsia="Calibri" w:hAnsi="Traditional Arabic" w:cs="Traditional Arabic" w:hint="eastAsia"/>
                <w:b/>
                <w:bCs/>
                <w:sz w:val="24"/>
                <w:rtl/>
              </w:rPr>
              <w:t>الأداء</w:t>
            </w:r>
            <w:r w:rsidRPr="00B934CE">
              <w:rPr>
                <w:rFonts w:ascii="Traditional Arabic" w:eastAsia="Calibri" w:hAnsi="Traditional Arabic" w:cs="Traditional Arabic"/>
                <w:b/>
                <w:bCs/>
                <w:sz w:val="24"/>
                <w:rtl/>
              </w:rPr>
              <w:t xml:space="preserve"> </w:t>
            </w:r>
            <w:r w:rsidRPr="00B934CE">
              <w:rPr>
                <w:rFonts w:ascii="Traditional Arabic" w:eastAsia="Calibri" w:hAnsi="Traditional Arabic" w:cs="Traditional Arabic" w:hint="eastAsia"/>
                <w:b/>
                <w:bCs/>
                <w:sz w:val="24"/>
                <w:rtl/>
              </w:rPr>
              <w:t>الرئيسية</w:t>
            </w:r>
          </w:p>
        </w:tc>
        <w:tc>
          <w:tcPr>
            <w:tcW w:w="1011" w:type="dxa"/>
            <w:tcBorders>
              <w:top w:val="single" w:sz="4" w:space="0" w:color="0B3D85"/>
              <w:bottom w:val="single" w:sz="4" w:space="0" w:color="0B3D85"/>
            </w:tcBorders>
            <w:shd w:val="clear" w:color="auto" w:fill="F2F2F2" w:themeFill="background1" w:themeFillShade="F2"/>
            <w:vAlign w:val="center"/>
          </w:tcPr>
          <w:p w14:paraId="21EFB73C" w14:textId="77777777" w:rsidR="00563389" w:rsidRPr="00B934CE" w:rsidRDefault="00563389" w:rsidP="00B934CE">
            <w:pPr>
              <w:bidi/>
              <w:jc w:val="center"/>
              <w:rPr>
                <w:rFonts w:ascii="Traditional Arabic" w:eastAsia="Calibri" w:hAnsi="Traditional Arabic" w:cs="Traditional Arabic"/>
                <w:sz w:val="24"/>
                <w:rtl/>
              </w:rPr>
            </w:pPr>
          </w:p>
        </w:tc>
        <w:tc>
          <w:tcPr>
            <w:tcW w:w="1073" w:type="dxa"/>
            <w:tcBorders>
              <w:top w:val="single" w:sz="4" w:space="0" w:color="0B3D85"/>
              <w:bottom w:val="single" w:sz="4" w:space="0" w:color="0B3D85"/>
            </w:tcBorders>
            <w:shd w:val="clear" w:color="auto" w:fill="F2F2F2" w:themeFill="background1" w:themeFillShade="F2"/>
            <w:vAlign w:val="center"/>
          </w:tcPr>
          <w:p w14:paraId="04554D9F" w14:textId="77777777" w:rsidR="00563389" w:rsidRPr="00B934CE" w:rsidRDefault="00563389" w:rsidP="00B934CE">
            <w:pPr>
              <w:bidi/>
              <w:jc w:val="center"/>
              <w:rPr>
                <w:rFonts w:ascii="Traditional Arabic" w:eastAsia="Calibri" w:hAnsi="Traditional Arabic" w:cs="Traditional Arabic"/>
                <w:sz w:val="24"/>
                <w:rtl/>
              </w:rPr>
            </w:pPr>
          </w:p>
        </w:tc>
        <w:tc>
          <w:tcPr>
            <w:tcW w:w="1001" w:type="dxa"/>
            <w:tcBorders>
              <w:top w:val="single" w:sz="4" w:space="0" w:color="0B3D85"/>
              <w:bottom w:val="single" w:sz="4" w:space="0" w:color="0B3D85"/>
            </w:tcBorders>
            <w:shd w:val="clear" w:color="auto" w:fill="F2F2F2" w:themeFill="background1" w:themeFillShade="F2"/>
            <w:vAlign w:val="center"/>
          </w:tcPr>
          <w:p w14:paraId="578F718D" w14:textId="77777777" w:rsidR="00563389" w:rsidRPr="00B934CE" w:rsidRDefault="00563389" w:rsidP="00B934CE">
            <w:pPr>
              <w:bidi/>
              <w:jc w:val="center"/>
              <w:rPr>
                <w:rFonts w:ascii="Traditional Arabic" w:eastAsia="Calibri" w:hAnsi="Traditional Arabic" w:cs="Traditional Arabic"/>
                <w:sz w:val="24"/>
                <w:rtl/>
              </w:rPr>
            </w:pPr>
          </w:p>
        </w:tc>
        <w:tc>
          <w:tcPr>
            <w:tcW w:w="839" w:type="dxa"/>
            <w:tcBorders>
              <w:top w:val="single" w:sz="4" w:space="0" w:color="0B3D85"/>
              <w:bottom w:val="single" w:sz="4" w:space="0" w:color="0B3D85"/>
            </w:tcBorders>
            <w:shd w:val="clear" w:color="auto" w:fill="F2F2F2" w:themeFill="background1" w:themeFillShade="F2"/>
            <w:vAlign w:val="center"/>
          </w:tcPr>
          <w:p w14:paraId="35040F2E" w14:textId="77777777" w:rsidR="00563389" w:rsidRPr="00B934CE" w:rsidRDefault="00563389" w:rsidP="00B934CE">
            <w:pPr>
              <w:bidi/>
              <w:jc w:val="center"/>
              <w:rPr>
                <w:rFonts w:ascii="Traditional Arabic" w:eastAsia="Calibri" w:hAnsi="Traditional Arabic" w:cs="Traditional Arabic"/>
                <w:sz w:val="24"/>
                <w:rtl/>
              </w:rPr>
            </w:pPr>
          </w:p>
        </w:tc>
        <w:tc>
          <w:tcPr>
            <w:tcW w:w="839" w:type="dxa"/>
            <w:tcBorders>
              <w:top w:val="single" w:sz="4" w:space="0" w:color="0B3D85"/>
              <w:bottom w:val="single" w:sz="4" w:space="0" w:color="0B3D85"/>
            </w:tcBorders>
            <w:shd w:val="clear" w:color="auto" w:fill="F2F2F2" w:themeFill="background1" w:themeFillShade="F2"/>
            <w:vAlign w:val="center"/>
          </w:tcPr>
          <w:p w14:paraId="77C73332" w14:textId="77777777" w:rsidR="00563389" w:rsidRPr="00B934CE" w:rsidRDefault="00563389" w:rsidP="00B934CE">
            <w:pPr>
              <w:bidi/>
              <w:jc w:val="center"/>
              <w:rPr>
                <w:rFonts w:ascii="Traditional Arabic" w:eastAsia="Calibri" w:hAnsi="Traditional Arabic" w:cs="Traditional Arabic"/>
                <w:sz w:val="24"/>
                <w:rtl/>
              </w:rPr>
            </w:pPr>
          </w:p>
        </w:tc>
        <w:tc>
          <w:tcPr>
            <w:tcW w:w="839" w:type="dxa"/>
            <w:tcBorders>
              <w:top w:val="single" w:sz="4" w:space="0" w:color="0B3D85"/>
              <w:bottom w:val="single" w:sz="4" w:space="0" w:color="0B3D85"/>
            </w:tcBorders>
            <w:shd w:val="clear" w:color="auto" w:fill="F2F2F2" w:themeFill="background1" w:themeFillShade="F2"/>
            <w:vAlign w:val="center"/>
          </w:tcPr>
          <w:p w14:paraId="3003FD0D" w14:textId="77777777" w:rsidR="00563389" w:rsidRPr="00B934CE" w:rsidRDefault="00563389" w:rsidP="00B934CE">
            <w:pPr>
              <w:bidi/>
              <w:jc w:val="center"/>
              <w:rPr>
                <w:rFonts w:ascii="Traditional Arabic" w:eastAsia="Calibri" w:hAnsi="Traditional Arabic" w:cs="Traditional Arabic"/>
                <w:sz w:val="24"/>
                <w:rtl/>
              </w:rPr>
            </w:pPr>
          </w:p>
        </w:tc>
        <w:tc>
          <w:tcPr>
            <w:tcW w:w="1001" w:type="dxa"/>
            <w:tcBorders>
              <w:top w:val="single" w:sz="4" w:space="0" w:color="0B3D85"/>
              <w:bottom w:val="single" w:sz="4" w:space="0" w:color="0B3D85"/>
            </w:tcBorders>
            <w:shd w:val="clear" w:color="auto" w:fill="F2F2F2" w:themeFill="background1" w:themeFillShade="F2"/>
            <w:vAlign w:val="center"/>
          </w:tcPr>
          <w:p w14:paraId="240FA72D" w14:textId="77777777" w:rsidR="00563389" w:rsidRPr="00B934CE" w:rsidRDefault="00563389" w:rsidP="00B934CE">
            <w:pPr>
              <w:bidi/>
              <w:jc w:val="center"/>
              <w:rPr>
                <w:rFonts w:ascii="Traditional Arabic" w:eastAsia="Calibri" w:hAnsi="Traditional Arabic" w:cs="Traditional Arabic"/>
                <w:sz w:val="24"/>
                <w:rtl/>
              </w:rPr>
            </w:pPr>
          </w:p>
        </w:tc>
        <w:tc>
          <w:tcPr>
            <w:tcW w:w="1001" w:type="dxa"/>
            <w:tcBorders>
              <w:top w:val="single" w:sz="4" w:space="0" w:color="0B3D85"/>
              <w:bottom w:val="single" w:sz="4" w:space="0" w:color="0B3D85"/>
            </w:tcBorders>
            <w:shd w:val="clear" w:color="auto" w:fill="F2F2F2" w:themeFill="background1" w:themeFillShade="F2"/>
            <w:vAlign w:val="center"/>
          </w:tcPr>
          <w:p w14:paraId="078D3FD2" w14:textId="77777777" w:rsidR="00563389" w:rsidRPr="00B934CE" w:rsidRDefault="00563389" w:rsidP="00B934CE">
            <w:pPr>
              <w:bidi/>
              <w:jc w:val="center"/>
              <w:rPr>
                <w:rFonts w:ascii="Traditional Arabic" w:eastAsia="Calibri" w:hAnsi="Traditional Arabic" w:cs="Traditional Arabic"/>
                <w:sz w:val="24"/>
                <w:rtl/>
              </w:rPr>
            </w:pPr>
          </w:p>
        </w:tc>
        <w:tc>
          <w:tcPr>
            <w:tcW w:w="839" w:type="dxa"/>
            <w:tcBorders>
              <w:top w:val="single" w:sz="4" w:space="0" w:color="0B3D85"/>
              <w:bottom w:val="single" w:sz="4" w:space="0" w:color="0B3D85"/>
            </w:tcBorders>
            <w:shd w:val="clear" w:color="auto" w:fill="F2F2F2" w:themeFill="background1" w:themeFillShade="F2"/>
            <w:vAlign w:val="center"/>
          </w:tcPr>
          <w:p w14:paraId="50D5FFEE" w14:textId="77777777" w:rsidR="00563389" w:rsidRPr="00B934CE" w:rsidRDefault="00563389" w:rsidP="00B934CE">
            <w:pPr>
              <w:bidi/>
              <w:jc w:val="center"/>
              <w:rPr>
                <w:rFonts w:ascii="Traditional Arabic" w:eastAsia="Calibri" w:hAnsi="Traditional Arabic" w:cs="Traditional Arabic"/>
                <w:sz w:val="24"/>
                <w:rtl/>
              </w:rPr>
            </w:pPr>
          </w:p>
        </w:tc>
      </w:tr>
      <w:tr w:rsidR="00563389" w:rsidRPr="00900056" w14:paraId="6AB56D87" w14:textId="77777777" w:rsidTr="00826D63">
        <w:trPr>
          <w:trHeight w:val="20"/>
        </w:trPr>
        <w:tc>
          <w:tcPr>
            <w:tcW w:w="934" w:type="dxa"/>
            <w:tcBorders>
              <w:top w:val="single" w:sz="4" w:space="0" w:color="0B3D85"/>
              <w:bottom w:val="single" w:sz="4" w:space="0" w:color="0B3D85"/>
            </w:tcBorders>
            <w:shd w:val="clear" w:color="auto" w:fill="FFFFFF" w:themeFill="background1"/>
          </w:tcPr>
          <w:p w14:paraId="6492F269"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hAnsi="Traditional Arabic" w:cs="Traditional Arabic"/>
                <w:sz w:val="24"/>
                <w:rtl/>
              </w:rPr>
              <w:t>عدد السفن المستأجرة</w:t>
            </w:r>
          </w:p>
        </w:tc>
        <w:tc>
          <w:tcPr>
            <w:tcW w:w="1011" w:type="dxa"/>
            <w:tcBorders>
              <w:top w:val="single" w:sz="4" w:space="0" w:color="0B3D85"/>
              <w:bottom w:val="single" w:sz="4" w:space="0" w:color="0B3D85"/>
            </w:tcBorders>
            <w:shd w:val="clear" w:color="auto" w:fill="FFFFFF" w:themeFill="background1"/>
            <w:vAlign w:val="center"/>
          </w:tcPr>
          <w:p w14:paraId="746A9D4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w:t>
            </w:r>
          </w:p>
        </w:tc>
        <w:tc>
          <w:tcPr>
            <w:tcW w:w="1073" w:type="dxa"/>
            <w:tcBorders>
              <w:top w:val="single" w:sz="4" w:space="0" w:color="0B3D85"/>
              <w:bottom w:val="single" w:sz="4" w:space="0" w:color="0B3D85"/>
            </w:tcBorders>
            <w:shd w:val="clear" w:color="auto" w:fill="FFFFFF" w:themeFill="background1"/>
            <w:vAlign w:val="center"/>
          </w:tcPr>
          <w:p w14:paraId="3920A5A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35</w:t>
            </w:r>
          </w:p>
        </w:tc>
        <w:tc>
          <w:tcPr>
            <w:tcW w:w="1001" w:type="dxa"/>
            <w:tcBorders>
              <w:top w:val="single" w:sz="4" w:space="0" w:color="0B3D85"/>
              <w:bottom w:val="single" w:sz="4" w:space="0" w:color="0B3D85"/>
            </w:tcBorders>
            <w:shd w:val="clear" w:color="auto" w:fill="FFFFFF" w:themeFill="background1"/>
            <w:vAlign w:val="center"/>
          </w:tcPr>
          <w:p w14:paraId="347FD10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29</w:t>
            </w:r>
          </w:p>
        </w:tc>
        <w:tc>
          <w:tcPr>
            <w:tcW w:w="839" w:type="dxa"/>
            <w:tcBorders>
              <w:top w:val="single" w:sz="4" w:space="0" w:color="0B3D85"/>
              <w:bottom w:val="single" w:sz="4" w:space="0" w:color="0B3D85"/>
            </w:tcBorders>
            <w:shd w:val="clear" w:color="auto" w:fill="FFFFFF" w:themeFill="background1"/>
            <w:vAlign w:val="center"/>
          </w:tcPr>
          <w:p w14:paraId="2683FAA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w:t>
            </w:r>
          </w:p>
        </w:tc>
        <w:tc>
          <w:tcPr>
            <w:tcW w:w="839" w:type="dxa"/>
            <w:tcBorders>
              <w:top w:val="single" w:sz="4" w:space="0" w:color="0B3D85"/>
              <w:bottom w:val="single" w:sz="4" w:space="0" w:color="0B3D85"/>
            </w:tcBorders>
            <w:shd w:val="clear" w:color="auto" w:fill="FFFFFF" w:themeFill="background1"/>
            <w:vAlign w:val="center"/>
          </w:tcPr>
          <w:p w14:paraId="30348A9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(0.6)</w:t>
            </w:r>
          </w:p>
        </w:tc>
        <w:tc>
          <w:tcPr>
            <w:tcW w:w="839" w:type="dxa"/>
            <w:tcBorders>
              <w:top w:val="single" w:sz="4" w:space="0" w:color="0B3D85"/>
              <w:bottom w:val="single" w:sz="4" w:space="0" w:color="0B3D85"/>
            </w:tcBorders>
            <w:shd w:val="clear" w:color="auto" w:fill="FFFFFF" w:themeFill="background1"/>
            <w:vAlign w:val="center"/>
          </w:tcPr>
          <w:p w14:paraId="6AB601E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w:t>
            </w:r>
          </w:p>
        </w:tc>
        <w:tc>
          <w:tcPr>
            <w:tcW w:w="1001" w:type="dxa"/>
            <w:tcBorders>
              <w:top w:val="single" w:sz="4" w:space="0" w:color="0B3D85"/>
              <w:bottom w:val="single" w:sz="4" w:space="0" w:color="0B3D85"/>
            </w:tcBorders>
            <w:shd w:val="clear" w:color="auto" w:fill="FFFFFF" w:themeFill="background1"/>
            <w:vAlign w:val="center"/>
          </w:tcPr>
          <w:p w14:paraId="63749B9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w:t>
            </w:r>
          </w:p>
        </w:tc>
        <w:tc>
          <w:tcPr>
            <w:tcW w:w="1001" w:type="dxa"/>
            <w:tcBorders>
              <w:top w:val="single" w:sz="4" w:space="0" w:color="0B3D85"/>
              <w:bottom w:val="single" w:sz="4" w:space="0" w:color="0B3D85"/>
            </w:tcBorders>
            <w:shd w:val="clear" w:color="auto" w:fill="FFFFFF" w:themeFill="background1"/>
            <w:vAlign w:val="center"/>
          </w:tcPr>
          <w:p w14:paraId="0B82D0E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w:t>
            </w:r>
          </w:p>
        </w:tc>
        <w:tc>
          <w:tcPr>
            <w:tcW w:w="839" w:type="dxa"/>
            <w:tcBorders>
              <w:top w:val="single" w:sz="4" w:space="0" w:color="0B3D85"/>
              <w:bottom w:val="single" w:sz="4" w:space="0" w:color="0B3D85"/>
            </w:tcBorders>
            <w:shd w:val="clear" w:color="auto" w:fill="FFFFFF" w:themeFill="background1"/>
            <w:vAlign w:val="center"/>
          </w:tcPr>
          <w:p w14:paraId="34959D0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w:t>
            </w:r>
          </w:p>
        </w:tc>
      </w:tr>
    </w:tbl>
    <w:p w14:paraId="4D37D465" w14:textId="77777777" w:rsidR="00563389" w:rsidRPr="00B934CE" w:rsidRDefault="00563389" w:rsidP="00B934CE">
      <w:pPr>
        <w:bidi/>
        <w:spacing w:after="120"/>
        <w:jc w:val="both"/>
        <w:rPr>
          <w:rFonts w:ascii="Traditional Arabic" w:eastAsiaTheme="majorEastAsia" w:hAnsi="Traditional Arabic" w:cs="Traditional Arabic"/>
          <w:b/>
          <w:bCs/>
          <w:sz w:val="24"/>
          <w:szCs w:val="32"/>
          <w:rtl/>
        </w:rPr>
      </w:pPr>
      <w:r w:rsidRPr="00B934CE">
        <w:rPr>
          <w:rFonts w:ascii="Traditional Arabic" w:eastAsiaTheme="majorEastAsia" w:hAnsi="Traditional Arabic" w:cs="Traditional Arabic"/>
          <w:b/>
          <w:bCs/>
          <w:sz w:val="24"/>
          <w:szCs w:val="32"/>
          <w:rtl/>
        </w:rPr>
        <w:t xml:space="preserve">تكاليف تشغيل السفن </w:t>
      </w:r>
    </w:p>
    <w:p w14:paraId="71DC064C" w14:textId="77777777" w:rsidR="00563389" w:rsidRPr="00B934CE" w:rsidRDefault="00563389" w:rsidP="00B934CE">
      <w:pPr>
        <w:bidi/>
        <w:spacing w:after="120"/>
        <w:jc w:val="both"/>
        <w:rPr>
          <w:rFonts w:ascii="Traditional Arabic" w:eastAsiaTheme="majorEastAsia" w:hAnsi="Traditional Arabic" w:cs="Traditional Arabic"/>
          <w:sz w:val="24"/>
          <w:szCs w:val="32"/>
          <w:rtl/>
        </w:rPr>
      </w:pPr>
      <w:r w:rsidRPr="00B934CE">
        <w:rPr>
          <w:rFonts w:ascii="Traditional Arabic" w:eastAsiaTheme="majorEastAsia" w:hAnsi="Traditional Arabic" w:cs="Traditional Arabic" w:hint="eastAsia"/>
          <w:sz w:val="24"/>
          <w:szCs w:val="32"/>
          <w:rtl/>
        </w:rPr>
        <w:t>تشكل</w:t>
      </w:r>
      <w:r w:rsidRPr="00B934CE">
        <w:rPr>
          <w:rFonts w:ascii="Traditional Arabic" w:eastAsiaTheme="majorEastAsia" w:hAnsi="Traditional Arabic" w:cs="Traditional Arabic"/>
          <w:sz w:val="24"/>
          <w:szCs w:val="32"/>
          <w:rtl/>
        </w:rPr>
        <w:t xml:space="preserve"> تكاليف تشغيل السفن </w:t>
      </w:r>
      <w:r w:rsidR="00783E07">
        <w:rPr>
          <w:rFonts w:ascii="Traditional Arabic" w:eastAsiaTheme="majorEastAsia" w:hAnsi="Traditional Arabic" w:cs="Traditional Arabic" w:hint="cs"/>
          <w:sz w:val="24"/>
          <w:szCs w:val="32"/>
          <w:rtl/>
        </w:rPr>
        <w:t>46.8</w:t>
      </w:r>
      <w:r w:rsidRPr="00B934CE">
        <w:rPr>
          <w:rFonts w:ascii="Traditional Arabic" w:eastAsiaTheme="majorEastAsia" w:hAnsi="Traditional Arabic" w:cs="Traditional Arabic"/>
          <w:sz w:val="24"/>
          <w:szCs w:val="32"/>
          <w:rtl/>
        </w:rPr>
        <w:t xml:space="preserve">% من إجمالي </w:t>
      </w:r>
      <w:r w:rsidRPr="00B934CE">
        <w:rPr>
          <w:rFonts w:ascii="Traditional Arabic" w:eastAsiaTheme="majorEastAsia" w:hAnsi="Traditional Arabic" w:cs="Traditional Arabic" w:hint="eastAsia"/>
          <w:sz w:val="24"/>
          <w:szCs w:val="32"/>
          <w:rtl/>
        </w:rPr>
        <w:t>تكلفة</w:t>
      </w:r>
      <w:r w:rsidRPr="00B934CE">
        <w:rPr>
          <w:rFonts w:ascii="Traditional Arabic" w:eastAsiaTheme="majorEastAsia" w:hAnsi="Traditional Arabic" w:cs="Traditional Arabic"/>
          <w:sz w:val="24"/>
          <w:szCs w:val="32"/>
          <w:rtl/>
        </w:rPr>
        <w:t xml:space="preserve"> الإيرادات بين </w:t>
      </w:r>
      <w:r w:rsidRPr="00B934CE">
        <w:rPr>
          <w:rFonts w:ascii="Traditional Arabic" w:eastAsiaTheme="majorEastAsia" w:hAnsi="Traditional Arabic" w:cs="Traditional Arabic" w:hint="eastAsia"/>
          <w:sz w:val="24"/>
          <w:szCs w:val="32"/>
          <w:rtl/>
        </w:rPr>
        <w:t>فترة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التسعة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أشهر</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المنتهية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في</w:t>
      </w:r>
      <w:r w:rsidRPr="00B934CE">
        <w:rPr>
          <w:rFonts w:ascii="Traditional Arabic" w:eastAsiaTheme="majorEastAsia" w:hAnsi="Traditional Arabic" w:cs="Traditional Arabic"/>
          <w:sz w:val="24"/>
          <w:szCs w:val="32"/>
          <w:rtl/>
        </w:rPr>
        <w:t xml:space="preserve"> 30 </w:t>
      </w:r>
      <w:r w:rsidRPr="00B934CE">
        <w:rPr>
          <w:rFonts w:ascii="Traditional Arabic" w:eastAsiaTheme="majorEastAsia" w:hAnsi="Traditional Arabic" w:cs="Traditional Arabic" w:hint="eastAsia"/>
          <w:sz w:val="24"/>
          <w:szCs w:val="32"/>
          <w:rtl/>
        </w:rPr>
        <w:t>سبتمبر</w:t>
      </w:r>
      <w:r w:rsidRPr="00B934CE">
        <w:rPr>
          <w:rFonts w:ascii="Traditional Arabic" w:eastAsiaTheme="majorEastAsia" w:hAnsi="Traditional Arabic" w:cs="Traditional Arabic"/>
          <w:sz w:val="24"/>
          <w:szCs w:val="32"/>
          <w:rtl/>
        </w:rPr>
        <w:t xml:space="preserve"> 2023 </w:t>
      </w:r>
      <w:r w:rsidRPr="00B934CE">
        <w:rPr>
          <w:rFonts w:ascii="Traditional Arabic" w:eastAsiaTheme="majorEastAsia" w:hAnsi="Traditional Arabic" w:cs="Traditional Arabic" w:hint="eastAsia"/>
          <w:sz w:val="24"/>
          <w:szCs w:val="32"/>
          <w:rtl/>
        </w:rPr>
        <w:t>و</w:t>
      </w:r>
      <w:r w:rsidRPr="00B934CE">
        <w:rPr>
          <w:rFonts w:ascii="Traditional Arabic" w:eastAsiaTheme="majorEastAsia" w:hAnsi="Traditional Arabic" w:cs="Traditional Arabic"/>
          <w:sz w:val="24"/>
          <w:szCs w:val="32"/>
          <w:rtl/>
        </w:rPr>
        <w:t xml:space="preserve">2024، </w:t>
      </w:r>
      <w:r w:rsidRPr="00B934CE">
        <w:rPr>
          <w:rFonts w:ascii="Traditional Arabic" w:eastAsiaTheme="majorEastAsia" w:hAnsi="Traditional Arabic" w:cs="Traditional Arabic" w:hint="eastAsia"/>
          <w:sz w:val="24"/>
          <w:szCs w:val="32"/>
          <w:rtl/>
        </w:rPr>
        <w:t>وت</w:t>
      </w:r>
      <w:r w:rsidRPr="00B934CE">
        <w:rPr>
          <w:rFonts w:ascii="Traditional Arabic" w:eastAsiaTheme="majorEastAsia" w:hAnsi="Traditional Arabic" w:cs="Traditional Arabic"/>
          <w:sz w:val="24"/>
          <w:szCs w:val="32"/>
          <w:rtl/>
        </w:rPr>
        <w:t xml:space="preserve">تعلق </w:t>
      </w:r>
      <w:r w:rsidRPr="00B934CE">
        <w:rPr>
          <w:rFonts w:ascii="Traditional Arabic" w:eastAsiaTheme="majorEastAsia" w:hAnsi="Traditional Arabic" w:cs="Traditional Arabic" w:hint="eastAsia"/>
          <w:sz w:val="24"/>
          <w:szCs w:val="32"/>
          <w:rtl/>
        </w:rPr>
        <w:t>ب</w:t>
      </w:r>
      <w:r w:rsidRPr="00B934CE">
        <w:rPr>
          <w:rFonts w:ascii="Traditional Arabic" w:eastAsiaTheme="majorEastAsia" w:hAnsi="Traditional Arabic" w:cs="Traditional Arabic"/>
          <w:sz w:val="24"/>
          <w:szCs w:val="32"/>
          <w:rtl/>
        </w:rPr>
        <w:t xml:space="preserve">تكاليف تشغيل السفن (المملوكة والمستأجرة؛ كمستأجر). تتكون هذه التكاليف من الاستهلاك على </w:t>
      </w:r>
      <w:r w:rsidRPr="00B934CE">
        <w:rPr>
          <w:rFonts w:ascii="Traditional Arabic" w:eastAsiaTheme="majorEastAsia" w:hAnsi="Traditional Arabic" w:cs="Traditional Arabic" w:hint="eastAsia"/>
          <w:sz w:val="24"/>
          <w:szCs w:val="32"/>
          <w:rtl/>
        </w:rPr>
        <w:t>أصول</w:t>
      </w:r>
      <w:r w:rsidRPr="00B934CE">
        <w:rPr>
          <w:rFonts w:ascii="Traditional Arabic" w:eastAsiaTheme="majorEastAsia" w:hAnsi="Traditional Arabic" w:cs="Traditional Arabic"/>
          <w:sz w:val="24"/>
          <w:szCs w:val="32"/>
          <w:rtl/>
        </w:rPr>
        <w:t xml:space="preserve"> حق الاستخدام والأصول المملوكة (95.8 مليون ريال عماني في </w:t>
      </w:r>
      <w:r w:rsidRPr="00B934CE">
        <w:rPr>
          <w:rFonts w:ascii="Traditional Arabic" w:eastAsiaTheme="majorEastAsia" w:hAnsi="Traditional Arabic" w:cs="Traditional Arabic" w:hint="eastAsia"/>
          <w:sz w:val="24"/>
          <w:szCs w:val="32"/>
          <w:rtl/>
        </w:rPr>
        <w:t>فترة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التسعة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أشهر</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المنتهية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في</w:t>
      </w:r>
      <w:r w:rsidRPr="00B934CE">
        <w:rPr>
          <w:rFonts w:ascii="Traditional Arabic" w:eastAsiaTheme="majorEastAsia" w:hAnsi="Traditional Arabic" w:cs="Traditional Arabic"/>
          <w:sz w:val="24"/>
          <w:szCs w:val="32"/>
          <w:rtl/>
        </w:rPr>
        <w:t xml:space="preserve"> 30 </w:t>
      </w:r>
      <w:r w:rsidRPr="00B934CE">
        <w:rPr>
          <w:rFonts w:ascii="Traditional Arabic" w:eastAsiaTheme="majorEastAsia" w:hAnsi="Traditional Arabic" w:cs="Traditional Arabic" w:hint="eastAsia"/>
          <w:sz w:val="24"/>
          <w:szCs w:val="32"/>
          <w:rtl/>
        </w:rPr>
        <w:t>سبتمبر</w:t>
      </w:r>
      <w:r w:rsidRPr="00B934CE">
        <w:rPr>
          <w:rFonts w:ascii="Traditional Arabic" w:eastAsiaTheme="majorEastAsia" w:hAnsi="Traditional Arabic" w:cs="Traditional Arabic"/>
          <w:sz w:val="24"/>
          <w:szCs w:val="32"/>
          <w:rtl/>
        </w:rPr>
        <w:t xml:space="preserve"> 2024)، تك</w:t>
      </w:r>
      <w:r w:rsidRPr="00B934CE">
        <w:rPr>
          <w:rFonts w:ascii="Traditional Arabic" w:eastAsiaTheme="majorEastAsia" w:hAnsi="Traditional Arabic" w:cs="Traditional Arabic" w:hint="eastAsia"/>
          <w:sz w:val="24"/>
          <w:szCs w:val="32"/>
          <w:rtl/>
        </w:rPr>
        <w:t>لفة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توفير</w:t>
      </w:r>
      <w:r w:rsidRPr="00B934CE">
        <w:rPr>
          <w:rFonts w:ascii="Traditional Arabic" w:eastAsiaTheme="majorEastAsia" w:hAnsi="Traditional Arabic" w:cs="Traditional Arabic"/>
          <w:sz w:val="24"/>
          <w:szCs w:val="32"/>
          <w:rtl/>
        </w:rPr>
        <w:t xml:space="preserve"> الطاقم (24.0 مليون ريال عماني)، </w:t>
      </w:r>
      <w:r w:rsidRPr="00B934CE">
        <w:rPr>
          <w:rFonts w:ascii="Traditional Arabic" w:eastAsiaTheme="majorEastAsia" w:hAnsi="Traditional Arabic" w:cs="Traditional Arabic" w:hint="eastAsia"/>
          <w:sz w:val="24"/>
          <w:szCs w:val="32"/>
          <w:rtl/>
        </w:rPr>
        <w:t>الصيانة</w:t>
      </w:r>
      <w:r w:rsidRPr="00B934CE">
        <w:rPr>
          <w:rFonts w:ascii="Traditional Arabic" w:eastAsiaTheme="majorEastAsia" w:hAnsi="Traditional Arabic" w:cs="Traditional Arabic"/>
          <w:sz w:val="24"/>
          <w:szCs w:val="32"/>
          <w:rtl/>
        </w:rPr>
        <w:t xml:space="preserve"> والإصلاح (8.4 مليون ريال عماني) وغيرها. </w:t>
      </w:r>
    </w:p>
    <w:p w14:paraId="20EA891F" w14:textId="204DD940" w:rsidR="00563389" w:rsidRPr="00B934CE" w:rsidRDefault="00563389" w:rsidP="00B934CE">
      <w:pPr>
        <w:bidi/>
        <w:spacing w:after="120"/>
        <w:jc w:val="both"/>
        <w:rPr>
          <w:rFonts w:ascii="Traditional Arabic" w:eastAsiaTheme="majorEastAsia" w:hAnsi="Traditional Arabic" w:cs="Traditional Arabic"/>
          <w:sz w:val="24"/>
          <w:szCs w:val="32"/>
          <w:rtl/>
        </w:rPr>
      </w:pPr>
      <w:r w:rsidRPr="00B934CE">
        <w:rPr>
          <w:rFonts w:ascii="Traditional Arabic" w:eastAsiaTheme="majorEastAsia" w:hAnsi="Traditional Arabic" w:cs="Traditional Arabic" w:hint="eastAsia"/>
          <w:sz w:val="24"/>
          <w:szCs w:val="32"/>
          <w:rtl/>
        </w:rPr>
        <w:t>ارتفعت</w:t>
      </w:r>
      <w:r w:rsidRPr="00B934CE">
        <w:rPr>
          <w:rFonts w:ascii="Traditional Arabic" w:eastAsiaTheme="majorEastAsia" w:hAnsi="Traditional Arabic" w:cs="Traditional Arabic"/>
          <w:sz w:val="24"/>
          <w:szCs w:val="32"/>
          <w:rtl/>
        </w:rPr>
        <w:t xml:space="preserve"> تكاليف تشغيل السفن بنسبة 19.</w:t>
      </w:r>
      <w:r w:rsidR="00AB6535">
        <w:rPr>
          <w:rFonts w:ascii="Traditional Arabic" w:eastAsiaTheme="majorEastAsia" w:hAnsi="Traditional Arabic" w:cs="Traditional Arabic" w:hint="cs"/>
          <w:sz w:val="24"/>
          <w:szCs w:val="32"/>
          <w:rtl/>
        </w:rPr>
        <w:t>7</w:t>
      </w:r>
      <w:r w:rsidRPr="00B934CE">
        <w:rPr>
          <w:rFonts w:ascii="Traditional Arabic" w:eastAsiaTheme="majorEastAsia" w:hAnsi="Traditional Arabic" w:cs="Traditional Arabic"/>
          <w:sz w:val="24"/>
          <w:szCs w:val="32"/>
          <w:rtl/>
        </w:rPr>
        <w:t xml:space="preserve">% من 115.3 مليون ريال عماني في السنة المالية 2021 الى 138.0 مليون ريال عماني في السنة المالية 2022، ويعود ذلك بشكل رئيسي إلى </w:t>
      </w:r>
      <w:r w:rsidRPr="00B934CE">
        <w:rPr>
          <w:rFonts w:ascii="Traditional Arabic" w:eastAsiaTheme="majorEastAsia" w:hAnsi="Traditional Arabic" w:cs="Traditional Arabic" w:hint="eastAsia"/>
          <w:sz w:val="24"/>
          <w:szCs w:val="32"/>
          <w:rtl/>
        </w:rPr>
        <w:t>ارتفاع</w:t>
      </w:r>
      <w:r w:rsidRPr="00B934CE">
        <w:rPr>
          <w:rFonts w:ascii="Traditional Arabic" w:eastAsiaTheme="majorEastAsia" w:hAnsi="Traditional Arabic" w:cs="Traditional Arabic"/>
          <w:sz w:val="24"/>
          <w:szCs w:val="32"/>
          <w:rtl/>
        </w:rPr>
        <w:t xml:space="preserve"> الاستهلاك على </w:t>
      </w:r>
      <w:r w:rsidRPr="00B934CE">
        <w:rPr>
          <w:rFonts w:ascii="Traditional Arabic" w:eastAsiaTheme="majorEastAsia" w:hAnsi="Traditional Arabic" w:cs="Traditional Arabic" w:hint="eastAsia"/>
          <w:sz w:val="24"/>
          <w:szCs w:val="32"/>
          <w:rtl/>
        </w:rPr>
        <w:t>أصول</w:t>
      </w:r>
      <w:r w:rsidRPr="00B934CE">
        <w:rPr>
          <w:rFonts w:ascii="Traditional Arabic" w:eastAsiaTheme="majorEastAsia" w:hAnsi="Traditional Arabic" w:cs="Traditional Arabic"/>
          <w:sz w:val="24"/>
          <w:szCs w:val="32"/>
          <w:rtl/>
        </w:rPr>
        <w:t xml:space="preserve"> حق الاستخدام (+14.6 مليون ريال عماني) الناتجة عن استئجار سفن إضافية</w:t>
      </w:r>
      <w:r w:rsidRPr="00B934CE">
        <w:rPr>
          <w:rFonts w:ascii="Traditional Arabic" w:eastAsiaTheme="majorEastAsia" w:hAnsi="Traditional Arabic" w:cs="Traditional Arabic" w:hint="eastAsia"/>
          <w:sz w:val="24"/>
          <w:szCs w:val="32"/>
          <w:rtl/>
        </w:rPr>
        <w:t>،</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بالإضافة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الى</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ارتفاع</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تكاليف</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الصيانة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والإصلاح</w:t>
      </w:r>
      <w:r w:rsidRPr="00B934CE">
        <w:rPr>
          <w:rFonts w:ascii="Traditional Arabic" w:eastAsiaTheme="majorEastAsia" w:hAnsi="Traditional Arabic" w:cs="Traditional Arabic"/>
          <w:sz w:val="24"/>
          <w:szCs w:val="32"/>
          <w:rtl/>
        </w:rPr>
        <w:t xml:space="preserve"> (+6.7 </w:t>
      </w:r>
      <w:r w:rsidRPr="00B934CE">
        <w:rPr>
          <w:rFonts w:ascii="Traditional Arabic" w:eastAsiaTheme="majorEastAsia" w:hAnsi="Traditional Arabic" w:cs="Traditional Arabic" w:hint="eastAsia"/>
          <w:sz w:val="24"/>
          <w:szCs w:val="32"/>
          <w:rtl/>
        </w:rPr>
        <w:t>مليون</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ريال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عماني</w:t>
      </w:r>
      <w:r w:rsidRPr="00B934CE">
        <w:rPr>
          <w:rFonts w:ascii="Traditional Arabic" w:eastAsiaTheme="majorEastAsia" w:hAnsi="Traditional Arabic" w:cs="Traditional Arabic"/>
          <w:sz w:val="24"/>
          <w:szCs w:val="32"/>
          <w:rtl/>
        </w:rPr>
        <w:t>)</w:t>
      </w:r>
      <w:r w:rsidRPr="00B934CE">
        <w:rPr>
          <w:rFonts w:ascii="Traditional Arabic" w:hAnsi="Traditional Arabic" w:cs="Traditional Arabic"/>
          <w:sz w:val="24"/>
          <w:szCs w:val="32"/>
          <w:rtl/>
        </w:rPr>
        <w:t xml:space="preserve"> </w:t>
      </w:r>
      <w:r w:rsidRPr="00B934CE">
        <w:rPr>
          <w:rFonts w:ascii="Traditional Arabic" w:eastAsiaTheme="majorEastAsia" w:hAnsi="Traditional Arabic" w:cs="Traditional Arabic"/>
          <w:sz w:val="24"/>
          <w:szCs w:val="32"/>
          <w:rtl/>
        </w:rPr>
        <w:t xml:space="preserve">بسبب التغيير في </w:t>
      </w:r>
      <w:r w:rsidR="00C13C8D">
        <w:rPr>
          <w:rFonts w:ascii="Traditional Arabic" w:eastAsiaTheme="majorEastAsia" w:hAnsi="Traditional Arabic" w:cs="Traditional Arabic" w:hint="cs"/>
          <w:sz w:val="24"/>
          <w:szCs w:val="32"/>
          <w:rtl/>
        </w:rPr>
        <w:t>ارشادات</w:t>
      </w:r>
      <w:r w:rsidR="00C13C8D"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sz w:val="24"/>
          <w:szCs w:val="32"/>
          <w:rtl/>
        </w:rPr>
        <w:t>الرسملة في السنة المالية 2022.</w:t>
      </w:r>
    </w:p>
    <w:p w14:paraId="609B394F" w14:textId="77777777" w:rsidR="00563389" w:rsidRPr="00B934CE" w:rsidRDefault="00563389" w:rsidP="00B934CE">
      <w:pPr>
        <w:bidi/>
        <w:spacing w:after="120"/>
        <w:jc w:val="both"/>
        <w:rPr>
          <w:rFonts w:ascii="Traditional Arabic" w:eastAsiaTheme="majorEastAsia" w:hAnsi="Traditional Arabic" w:cs="Traditional Arabic"/>
          <w:sz w:val="24"/>
          <w:szCs w:val="32"/>
          <w:rtl/>
        </w:rPr>
      </w:pPr>
      <w:r w:rsidRPr="00B934CE">
        <w:rPr>
          <w:rFonts w:ascii="Traditional Arabic" w:eastAsiaTheme="majorEastAsia" w:hAnsi="Traditional Arabic" w:cs="Traditional Arabic" w:hint="eastAsia"/>
          <w:sz w:val="24"/>
          <w:szCs w:val="32"/>
          <w:rtl/>
        </w:rPr>
        <w:t>ارتفعت</w:t>
      </w:r>
      <w:r w:rsidRPr="00B934CE">
        <w:rPr>
          <w:rFonts w:ascii="Traditional Arabic" w:eastAsiaTheme="majorEastAsia" w:hAnsi="Traditional Arabic" w:cs="Traditional Arabic"/>
          <w:sz w:val="24"/>
          <w:szCs w:val="32"/>
          <w:rtl/>
        </w:rPr>
        <w:t xml:space="preserve"> تكاليف تشغيل السفن بنسبة 23.6% من 138.0 مليون ريال عماني في السنة المالية 2022 الى 170.6 مليون ريال عماني في السنة المالية 2023، ويعود ذلك بشكل رئيسي إلى </w:t>
      </w:r>
      <w:r w:rsidRPr="00B934CE">
        <w:rPr>
          <w:rFonts w:ascii="Traditional Arabic" w:eastAsiaTheme="majorEastAsia" w:hAnsi="Traditional Arabic" w:cs="Traditional Arabic" w:hint="eastAsia"/>
          <w:sz w:val="24"/>
          <w:szCs w:val="32"/>
          <w:rtl/>
        </w:rPr>
        <w:t>ارتفاع</w:t>
      </w:r>
      <w:r w:rsidRPr="00B934CE">
        <w:rPr>
          <w:rFonts w:ascii="Traditional Arabic" w:eastAsiaTheme="majorEastAsia" w:hAnsi="Traditional Arabic" w:cs="Traditional Arabic"/>
          <w:sz w:val="24"/>
          <w:szCs w:val="32"/>
          <w:rtl/>
        </w:rPr>
        <w:t xml:space="preserve"> الاستهلاك على </w:t>
      </w:r>
      <w:r w:rsidRPr="00B934CE">
        <w:rPr>
          <w:rFonts w:ascii="Traditional Arabic" w:eastAsiaTheme="majorEastAsia" w:hAnsi="Traditional Arabic" w:cs="Traditional Arabic" w:hint="eastAsia"/>
          <w:sz w:val="24"/>
          <w:szCs w:val="32"/>
          <w:rtl/>
        </w:rPr>
        <w:t>أصول</w:t>
      </w:r>
      <w:r w:rsidRPr="00B934CE">
        <w:rPr>
          <w:rFonts w:ascii="Traditional Arabic" w:eastAsiaTheme="majorEastAsia" w:hAnsi="Traditional Arabic" w:cs="Traditional Arabic"/>
          <w:sz w:val="24"/>
          <w:szCs w:val="32"/>
          <w:rtl/>
        </w:rPr>
        <w:t xml:space="preserve"> حق الاستخدام (+44.4 مليون ريال عماني) الناتجة عن استئجار سفن إضافية. وقد تم تعويضها جزئيًا مقابل الانخفاض في </w:t>
      </w:r>
      <w:r w:rsidRPr="00B934CE">
        <w:rPr>
          <w:rFonts w:ascii="Traditional Arabic" w:eastAsiaTheme="majorEastAsia" w:hAnsi="Traditional Arabic" w:cs="Traditional Arabic" w:hint="eastAsia"/>
          <w:sz w:val="24"/>
          <w:szCs w:val="32"/>
          <w:rtl/>
        </w:rPr>
        <w:t>تكاليف</w:t>
      </w:r>
      <w:r w:rsidRPr="00B934CE">
        <w:rPr>
          <w:rFonts w:ascii="Traditional Arabic" w:eastAsiaTheme="majorEastAsia" w:hAnsi="Traditional Arabic" w:cs="Traditional Arabic"/>
          <w:sz w:val="24"/>
          <w:szCs w:val="32"/>
          <w:rtl/>
        </w:rPr>
        <w:t xml:space="preserve"> الصيانة والإصلاح (-6.1 مليون ريال عماني) وانخفاض الاستهلاك على الأصول المملوكة (-3.9 مليون ريال عماني) </w:t>
      </w:r>
      <w:r w:rsidRPr="00B934CE">
        <w:rPr>
          <w:rFonts w:ascii="Traditional Arabic" w:eastAsiaTheme="majorEastAsia" w:hAnsi="Traditional Arabic" w:cs="Traditional Arabic" w:hint="eastAsia"/>
          <w:sz w:val="24"/>
          <w:szCs w:val="32"/>
          <w:rtl/>
        </w:rPr>
        <w:t>المتعلق</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ب</w:t>
      </w:r>
      <w:r w:rsidRPr="00B934CE">
        <w:rPr>
          <w:rFonts w:ascii="Traditional Arabic" w:eastAsiaTheme="majorEastAsia" w:hAnsi="Traditional Arabic" w:cs="Traditional Arabic"/>
          <w:sz w:val="24"/>
          <w:szCs w:val="32"/>
          <w:rtl/>
        </w:rPr>
        <w:t xml:space="preserve">بيع </w:t>
      </w:r>
      <w:r w:rsidRPr="00B934CE">
        <w:rPr>
          <w:rFonts w:ascii="Traditional Arabic" w:eastAsiaTheme="majorEastAsia" w:hAnsi="Traditional Arabic" w:cs="Traditional Arabic" w:hint="eastAsia"/>
          <w:sz w:val="24"/>
          <w:szCs w:val="32"/>
          <w:rtl/>
        </w:rPr>
        <w:t>السفن</w:t>
      </w:r>
      <w:r w:rsidRPr="00B934CE">
        <w:rPr>
          <w:rFonts w:ascii="Traditional Arabic" w:eastAsiaTheme="majorEastAsia" w:hAnsi="Traditional Arabic" w:cs="Traditional Arabic"/>
          <w:sz w:val="24"/>
          <w:szCs w:val="32"/>
          <w:rtl/>
        </w:rPr>
        <w:t>.</w:t>
      </w:r>
    </w:p>
    <w:p w14:paraId="3DF27DBE" w14:textId="77777777" w:rsidR="00563389" w:rsidRPr="00B934CE" w:rsidRDefault="00563389" w:rsidP="00B934CE">
      <w:pPr>
        <w:bidi/>
        <w:spacing w:after="120"/>
        <w:jc w:val="both"/>
        <w:rPr>
          <w:rFonts w:ascii="Traditional Arabic" w:eastAsiaTheme="majorEastAsia" w:hAnsi="Traditional Arabic" w:cs="Traditional Arabic"/>
          <w:sz w:val="24"/>
          <w:szCs w:val="32"/>
        </w:rPr>
      </w:pPr>
      <w:r w:rsidRPr="00B934CE">
        <w:rPr>
          <w:rFonts w:ascii="Traditional Arabic" w:eastAsiaTheme="majorEastAsia" w:hAnsi="Traditional Arabic" w:cs="Traditional Arabic" w:hint="eastAsia"/>
          <w:sz w:val="24"/>
          <w:szCs w:val="32"/>
          <w:rtl/>
        </w:rPr>
        <w:t>ارت</w:t>
      </w:r>
      <w:r w:rsidRPr="00B934CE">
        <w:rPr>
          <w:rFonts w:ascii="Traditional Arabic" w:eastAsiaTheme="majorEastAsia" w:hAnsi="Traditional Arabic" w:cs="Traditional Arabic"/>
          <w:sz w:val="24"/>
          <w:szCs w:val="32"/>
          <w:rtl/>
        </w:rPr>
        <w:t xml:space="preserve">فعت تكاليف تشغيل السفن بنسبة 9.3% من 123.0 مليون ريال عماني في فترة التسعة </w:t>
      </w:r>
      <w:r w:rsidRPr="00B934CE">
        <w:rPr>
          <w:rFonts w:ascii="Traditional Arabic" w:eastAsiaTheme="majorEastAsia" w:hAnsi="Traditional Arabic" w:cs="Traditional Arabic" w:hint="eastAsia"/>
          <w:sz w:val="24"/>
          <w:szCs w:val="32"/>
          <w:rtl/>
        </w:rPr>
        <w:t>أشهر</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w:t>
      </w:r>
      <w:r w:rsidRPr="00B934CE">
        <w:rPr>
          <w:rFonts w:ascii="Traditional Arabic" w:eastAsiaTheme="majorEastAsia" w:hAnsi="Traditional Arabic" w:cs="Traditional Arabic"/>
          <w:sz w:val="24"/>
          <w:szCs w:val="32"/>
          <w:rtl/>
        </w:rPr>
        <w:t xml:space="preserve">لمنتهية في 30 سبتمبر 2023 إلى 134.3 مليون ريال عماني في فترة التسعة أشهر المنتهية في 30 سبتمبر 2024، ويعزى ذلك </w:t>
      </w:r>
      <w:r w:rsidRPr="00B934CE">
        <w:rPr>
          <w:rFonts w:ascii="Traditional Arabic" w:eastAsiaTheme="majorEastAsia" w:hAnsi="Traditional Arabic" w:cs="Traditional Arabic" w:hint="eastAsia"/>
          <w:sz w:val="24"/>
          <w:szCs w:val="32"/>
          <w:rtl/>
        </w:rPr>
        <w:t>بشكل</w:t>
      </w:r>
      <w:r w:rsidRPr="00B934CE">
        <w:rPr>
          <w:rFonts w:ascii="Traditional Arabic" w:eastAsiaTheme="majorEastAsia" w:hAnsi="Traditional Arabic" w:cs="Traditional Arabic"/>
          <w:sz w:val="24"/>
          <w:szCs w:val="32"/>
          <w:rtl/>
        </w:rPr>
        <w:t xml:space="preserve"> أساسي إلى ارتفاع الاستهلاك على أصول حق الاستخدام (+11.7 مليون ريال عماني) </w:t>
      </w:r>
      <w:r w:rsidRPr="00B934CE">
        <w:rPr>
          <w:rFonts w:ascii="Traditional Arabic" w:eastAsiaTheme="majorEastAsia" w:hAnsi="Traditional Arabic" w:cs="Traditional Arabic" w:hint="eastAsia"/>
          <w:sz w:val="24"/>
          <w:szCs w:val="32"/>
          <w:rtl/>
        </w:rPr>
        <w:t>بسبب</w:t>
      </w:r>
      <w:r w:rsidRPr="00B934CE">
        <w:rPr>
          <w:rFonts w:ascii="Traditional Arabic" w:eastAsiaTheme="majorEastAsia" w:hAnsi="Traditional Arabic" w:cs="Traditional Arabic"/>
          <w:sz w:val="24"/>
          <w:szCs w:val="32"/>
          <w:rtl/>
        </w:rPr>
        <w:t xml:space="preserve"> الزيادة في عدد السفن المستأجرة.</w:t>
      </w:r>
    </w:p>
    <w:p w14:paraId="1ACEA709" w14:textId="77777777" w:rsidR="00563389" w:rsidRPr="00B934CE" w:rsidRDefault="00563389" w:rsidP="00B934CE">
      <w:pPr>
        <w:bidi/>
        <w:spacing w:after="120"/>
        <w:jc w:val="both"/>
        <w:rPr>
          <w:rFonts w:ascii="Traditional Arabic" w:eastAsiaTheme="majorEastAsia" w:hAnsi="Traditional Arabic" w:cs="Traditional Arabic"/>
          <w:b/>
          <w:bCs/>
          <w:sz w:val="24"/>
          <w:szCs w:val="32"/>
          <w:rtl/>
        </w:rPr>
      </w:pPr>
      <w:r w:rsidRPr="00B934CE">
        <w:rPr>
          <w:rFonts w:ascii="Traditional Arabic" w:eastAsiaTheme="majorEastAsia" w:hAnsi="Traditional Arabic" w:cs="Traditional Arabic"/>
          <w:b/>
          <w:bCs/>
          <w:sz w:val="24"/>
          <w:szCs w:val="32"/>
          <w:rtl/>
        </w:rPr>
        <w:lastRenderedPageBreak/>
        <w:t xml:space="preserve">تكاليف تشغيل رحلات </w:t>
      </w:r>
    </w:p>
    <w:p w14:paraId="04EAC2EA" w14:textId="77777777" w:rsidR="00563389" w:rsidRPr="00B934CE" w:rsidRDefault="00563389" w:rsidP="00B934CE">
      <w:pPr>
        <w:bidi/>
        <w:spacing w:after="120"/>
        <w:jc w:val="both"/>
        <w:rPr>
          <w:rFonts w:ascii="Traditional Arabic" w:eastAsiaTheme="majorEastAsia" w:hAnsi="Traditional Arabic" w:cs="Traditional Arabic"/>
          <w:b/>
          <w:bCs/>
          <w:sz w:val="24"/>
          <w:szCs w:val="32"/>
          <w:rtl/>
        </w:rPr>
      </w:pPr>
      <w:r w:rsidRPr="00B934CE">
        <w:rPr>
          <w:rFonts w:ascii="Traditional Arabic" w:eastAsiaTheme="majorEastAsia" w:hAnsi="Traditional Arabic" w:cs="Traditional Arabic" w:hint="eastAsia"/>
          <w:sz w:val="24"/>
          <w:szCs w:val="32"/>
          <w:rtl/>
        </w:rPr>
        <w:t>تشكل</w:t>
      </w:r>
      <w:r w:rsidRPr="00B934CE">
        <w:rPr>
          <w:rFonts w:ascii="Traditional Arabic" w:eastAsiaTheme="majorEastAsia" w:hAnsi="Traditional Arabic" w:cs="Traditional Arabic"/>
          <w:sz w:val="24"/>
          <w:szCs w:val="32"/>
          <w:rtl/>
        </w:rPr>
        <w:t xml:space="preserve"> تكاليف تشغيل الرحلات حوالي </w:t>
      </w:r>
      <w:r w:rsidR="00E45568">
        <w:rPr>
          <w:rFonts w:ascii="Traditional Arabic" w:eastAsiaTheme="majorEastAsia" w:hAnsi="Traditional Arabic" w:cs="Traditional Arabic" w:hint="cs"/>
          <w:sz w:val="24"/>
          <w:szCs w:val="32"/>
          <w:rtl/>
        </w:rPr>
        <w:t>18.4</w:t>
      </w:r>
      <w:r w:rsidRPr="00B934CE">
        <w:rPr>
          <w:rFonts w:ascii="Traditional Arabic" w:eastAsiaTheme="majorEastAsia" w:hAnsi="Traditional Arabic" w:cs="Traditional Arabic"/>
          <w:sz w:val="24"/>
          <w:szCs w:val="32"/>
          <w:rtl/>
        </w:rPr>
        <w:t>%</w:t>
      </w:r>
      <w:r w:rsidRPr="00B934CE">
        <w:rPr>
          <w:rFonts w:ascii="Traditional Arabic" w:eastAsiaTheme="majorEastAsia" w:hAnsi="Traditional Arabic" w:cs="Traditional Arabic"/>
          <w:b/>
          <w:bCs/>
          <w:sz w:val="24"/>
          <w:szCs w:val="32"/>
          <w:rtl/>
        </w:rPr>
        <w:t xml:space="preserve"> </w:t>
      </w:r>
      <w:r w:rsidRPr="00B934CE">
        <w:rPr>
          <w:rFonts w:ascii="Traditional Arabic" w:eastAsiaTheme="majorEastAsia" w:hAnsi="Traditional Arabic" w:cs="Traditional Arabic"/>
          <w:sz w:val="24"/>
          <w:szCs w:val="32"/>
          <w:rtl/>
        </w:rPr>
        <w:t xml:space="preserve">من إجمالي </w:t>
      </w:r>
      <w:r w:rsidRPr="00B934CE">
        <w:rPr>
          <w:rFonts w:ascii="Traditional Arabic" w:eastAsiaTheme="majorEastAsia" w:hAnsi="Traditional Arabic" w:cs="Traditional Arabic" w:hint="eastAsia"/>
          <w:sz w:val="24"/>
          <w:szCs w:val="32"/>
          <w:rtl/>
        </w:rPr>
        <w:t>تكلفة</w:t>
      </w:r>
      <w:r w:rsidRPr="00B934CE">
        <w:rPr>
          <w:rFonts w:ascii="Traditional Arabic" w:eastAsiaTheme="majorEastAsia" w:hAnsi="Traditional Arabic" w:cs="Traditional Arabic"/>
          <w:sz w:val="24"/>
          <w:szCs w:val="32"/>
          <w:rtl/>
        </w:rPr>
        <w:t xml:space="preserve"> الإيرادات بين </w:t>
      </w:r>
      <w:r w:rsidRPr="00B934CE">
        <w:rPr>
          <w:rFonts w:ascii="Traditional Arabic" w:eastAsiaTheme="majorEastAsia" w:hAnsi="Traditional Arabic" w:cs="Traditional Arabic" w:hint="eastAsia"/>
          <w:sz w:val="24"/>
          <w:szCs w:val="32"/>
          <w:rtl/>
        </w:rPr>
        <w:t>فترة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التسعة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أشهر</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المنتهية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في</w:t>
      </w:r>
      <w:r w:rsidRPr="00B934CE">
        <w:rPr>
          <w:rFonts w:ascii="Traditional Arabic" w:eastAsiaTheme="majorEastAsia" w:hAnsi="Traditional Arabic" w:cs="Traditional Arabic"/>
          <w:sz w:val="24"/>
          <w:szCs w:val="32"/>
          <w:rtl/>
        </w:rPr>
        <w:t xml:space="preserve"> 30 </w:t>
      </w:r>
      <w:r w:rsidRPr="00B934CE">
        <w:rPr>
          <w:rFonts w:ascii="Traditional Arabic" w:eastAsiaTheme="majorEastAsia" w:hAnsi="Traditional Arabic" w:cs="Traditional Arabic" w:hint="eastAsia"/>
          <w:sz w:val="24"/>
          <w:szCs w:val="32"/>
          <w:rtl/>
        </w:rPr>
        <w:t>سبتمبر</w:t>
      </w:r>
      <w:r w:rsidRPr="00B934CE">
        <w:rPr>
          <w:rFonts w:ascii="Traditional Arabic" w:eastAsiaTheme="majorEastAsia" w:hAnsi="Traditional Arabic" w:cs="Traditional Arabic"/>
          <w:sz w:val="24"/>
          <w:szCs w:val="32"/>
          <w:rtl/>
        </w:rPr>
        <w:t xml:space="preserve"> 2023 </w:t>
      </w:r>
      <w:r w:rsidRPr="00B934CE">
        <w:rPr>
          <w:rFonts w:ascii="Traditional Arabic" w:eastAsiaTheme="majorEastAsia" w:hAnsi="Traditional Arabic" w:cs="Traditional Arabic" w:hint="eastAsia"/>
          <w:sz w:val="24"/>
          <w:szCs w:val="32"/>
          <w:rtl/>
        </w:rPr>
        <w:t>و</w:t>
      </w:r>
      <w:r w:rsidRPr="00B934CE">
        <w:rPr>
          <w:rFonts w:ascii="Traditional Arabic" w:eastAsiaTheme="majorEastAsia" w:hAnsi="Traditional Arabic" w:cs="Traditional Arabic"/>
          <w:sz w:val="24"/>
          <w:szCs w:val="32"/>
          <w:rtl/>
        </w:rPr>
        <w:t>2024</w:t>
      </w:r>
      <w:r w:rsidRPr="00B934CE">
        <w:rPr>
          <w:rFonts w:ascii="Traditional Arabic" w:eastAsiaTheme="majorEastAsia" w:hAnsi="Traditional Arabic" w:cs="Traditional Arabic" w:hint="eastAsia"/>
          <w:b/>
          <w:bCs/>
          <w:sz w:val="24"/>
          <w:szCs w:val="32"/>
          <w:rtl/>
        </w:rPr>
        <w:t>،</w:t>
      </w:r>
      <w:r w:rsidRPr="00B934CE">
        <w:rPr>
          <w:rFonts w:ascii="Traditional Arabic" w:eastAsiaTheme="majorEastAsia" w:hAnsi="Traditional Arabic" w:cs="Traditional Arabic"/>
          <w:sz w:val="24"/>
          <w:szCs w:val="32"/>
          <w:rtl/>
        </w:rPr>
        <w:t xml:space="preserve"> وتشمل التكاليف المتكبدة في تشغيل السفينة مثل </w:t>
      </w:r>
      <w:r w:rsidRPr="00B934CE">
        <w:rPr>
          <w:rFonts w:ascii="Traditional Arabic" w:eastAsiaTheme="majorEastAsia" w:hAnsi="Traditional Arabic" w:cs="Traditional Arabic" w:hint="eastAsia"/>
          <w:sz w:val="24"/>
          <w:szCs w:val="32"/>
          <w:rtl/>
        </w:rPr>
        <w:t>تكاليف</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المحروقات</w:t>
      </w:r>
      <w:r w:rsidRPr="00B934CE">
        <w:rPr>
          <w:rFonts w:ascii="Traditional Arabic" w:eastAsiaTheme="majorEastAsia" w:hAnsi="Traditional Arabic" w:cs="Traditional Arabic"/>
          <w:sz w:val="24"/>
          <w:szCs w:val="32"/>
          <w:rtl/>
        </w:rPr>
        <w:t xml:space="preserve"> 17.5 مليون ريال عماني </w:t>
      </w:r>
      <w:r w:rsidRPr="00B934CE">
        <w:rPr>
          <w:rFonts w:ascii="Traditional Arabic" w:eastAsiaTheme="majorEastAsia" w:hAnsi="Traditional Arabic" w:cs="Traditional Arabic" w:hint="eastAsia"/>
          <w:sz w:val="24"/>
          <w:szCs w:val="32"/>
          <w:rtl/>
        </w:rPr>
        <w:t>في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فترة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التسعة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أشهر</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المنتهية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في</w:t>
      </w:r>
      <w:r w:rsidRPr="00B934CE">
        <w:rPr>
          <w:rFonts w:ascii="Traditional Arabic" w:eastAsiaTheme="majorEastAsia" w:hAnsi="Traditional Arabic" w:cs="Traditional Arabic"/>
          <w:sz w:val="24"/>
          <w:szCs w:val="32"/>
          <w:rtl/>
        </w:rPr>
        <w:t xml:space="preserve"> 30 </w:t>
      </w:r>
      <w:r w:rsidRPr="00B934CE">
        <w:rPr>
          <w:rFonts w:ascii="Traditional Arabic" w:eastAsiaTheme="majorEastAsia" w:hAnsi="Traditional Arabic" w:cs="Traditional Arabic" w:hint="eastAsia"/>
          <w:sz w:val="24"/>
          <w:szCs w:val="32"/>
          <w:rtl/>
        </w:rPr>
        <w:t>سبتمبر</w:t>
      </w:r>
      <w:r w:rsidRPr="00B934CE">
        <w:rPr>
          <w:rFonts w:ascii="Traditional Arabic" w:eastAsiaTheme="majorEastAsia" w:hAnsi="Traditional Arabic" w:cs="Traditional Arabic"/>
          <w:sz w:val="24"/>
          <w:szCs w:val="32"/>
          <w:rtl/>
        </w:rPr>
        <w:t xml:space="preserve"> 2024)، </w:t>
      </w:r>
      <w:r w:rsidRPr="00B934CE">
        <w:rPr>
          <w:rFonts w:ascii="Traditional Arabic" w:eastAsiaTheme="majorEastAsia" w:hAnsi="Traditional Arabic" w:cs="Traditional Arabic" w:hint="eastAsia"/>
          <w:sz w:val="24"/>
          <w:szCs w:val="32"/>
          <w:rtl/>
        </w:rPr>
        <w:t>ومصروفات</w:t>
      </w:r>
      <w:r w:rsidRPr="00B934CE">
        <w:rPr>
          <w:rFonts w:ascii="Traditional Arabic" w:eastAsiaTheme="majorEastAsia" w:hAnsi="Traditional Arabic" w:cs="Traditional Arabic"/>
          <w:sz w:val="24"/>
          <w:szCs w:val="32"/>
          <w:rtl/>
        </w:rPr>
        <w:t xml:space="preserve"> الرحلة (16.4 مليون ريال عماني)، </w:t>
      </w:r>
      <w:r w:rsidRPr="00B934CE">
        <w:rPr>
          <w:rFonts w:ascii="Traditional Arabic" w:eastAsiaTheme="majorEastAsia" w:hAnsi="Traditional Arabic" w:cs="Traditional Arabic" w:hint="eastAsia"/>
          <w:sz w:val="24"/>
          <w:szCs w:val="32"/>
          <w:rtl/>
        </w:rPr>
        <w:t>وتكاليف</w:t>
      </w:r>
      <w:r w:rsidRPr="00B934CE">
        <w:rPr>
          <w:rFonts w:ascii="Traditional Arabic" w:eastAsiaTheme="majorEastAsia" w:hAnsi="Traditional Arabic" w:cs="Traditional Arabic"/>
          <w:sz w:val="24"/>
          <w:szCs w:val="32"/>
          <w:rtl/>
        </w:rPr>
        <w:t xml:space="preserve"> الموانئ (4.9 مليون ريال عماني) وغيرها.</w:t>
      </w:r>
    </w:p>
    <w:p w14:paraId="3D4438CA" w14:textId="77777777" w:rsidR="00563389" w:rsidRPr="00B934CE" w:rsidRDefault="00563389" w:rsidP="00B934CE">
      <w:pPr>
        <w:bidi/>
        <w:spacing w:after="120"/>
        <w:jc w:val="both"/>
        <w:rPr>
          <w:rFonts w:ascii="Traditional Arabic" w:eastAsiaTheme="majorEastAsia" w:hAnsi="Traditional Arabic" w:cs="Traditional Arabic"/>
          <w:sz w:val="24"/>
          <w:szCs w:val="32"/>
          <w:rtl/>
        </w:rPr>
      </w:pPr>
      <w:r w:rsidRPr="00B934CE">
        <w:rPr>
          <w:rFonts w:ascii="Traditional Arabic" w:eastAsiaTheme="majorEastAsia" w:hAnsi="Traditional Arabic" w:cs="Traditional Arabic" w:hint="eastAsia"/>
          <w:sz w:val="24"/>
          <w:szCs w:val="32"/>
          <w:rtl/>
        </w:rPr>
        <w:t>ارتفعت</w:t>
      </w:r>
      <w:r w:rsidRPr="00B934CE">
        <w:rPr>
          <w:rFonts w:ascii="Traditional Arabic" w:eastAsiaTheme="majorEastAsia" w:hAnsi="Traditional Arabic" w:cs="Traditional Arabic"/>
          <w:sz w:val="24"/>
          <w:szCs w:val="32"/>
          <w:rtl/>
        </w:rPr>
        <w:t xml:space="preserve"> تكاليف تشغيل الرحلات </w:t>
      </w:r>
      <w:r w:rsidRPr="00B934CE">
        <w:rPr>
          <w:rFonts w:ascii="Traditional Arabic" w:eastAsiaTheme="majorEastAsia" w:hAnsi="Traditional Arabic" w:cs="Traditional Arabic" w:hint="eastAsia"/>
          <w:sz w:val="24"/>
          <w:szCs w:val="32"/>
          <w:rtl/>
        </w:rPr>
        <w:t>بنسبة</w:t>
      </w:r>
      <w:r w:rsidRPr="00B934CE">
        <w:rPr>
          <w:rFonts w:ascii="Traditional Arabic" w:eastAsiaTheme="majorEastAsia" w:hAnsi="Traditional Arabic" w:cs="Traditional Arabic"/>
          <w:sz w:val="24"/>
          <w:szCs w:val="32"/>
          <w:rtl/>
        </w:rPr>
        <w:t xml:space="preserve"> 56.3% من 62.7 مليون ريال عماني في السنة المالية 2021 الى 98.1 مليون ريال عماني في السنة المالية 2022، ويعود ذلك بشكل رئيسي إلى </w:t>
      </w:r>
      <w:r w:rsidRPr="00B934CE">
        <w:rPr>
          <w:rFonts w:ascii="Traditional Arabic" w:eastAsiaTheme="majorEastAsia" w:hAnsi="Traditional Arabic" w:cs="Traditional Arabic" w:hint="eastAsia"/>
          <w:sz w:val="24"/>
          <w:szCs w:val="32"/>
          <w:rtl/>
        </w:rPr>
        <w:t>ارتفاع</w:t>
      </w:r>
      <w:r w:rsidRPr="00B934CE">
        <w:rPr>
          <w:rFonts w:ascii="Traditional Arabic" w:eastAsiaTheme="majorEastAsia" w:hAnsi="Traditional Arabic" w:cs="Traditional Arabic"/>
          <w:sz w:val="24"/>
          <w:szCs w:val="32"/>
          <w:rtl/>
        </w:rPr>
        <w:t xml:space="preserve"> تكاليف المحروقات (+32.6 مليون ريال عماني) تماشيا مع ارتفاع أسعار الوقود في السنة المالية 2022 لتصل إلى متوسط </w:t>
      </w:r>
      <w:r w:rsidRPr="00B934CE">
        <w:rPr>
          <w:rFonts w:eastAsiaTheme="majorEastAsia" w:cs="Times New Roman"/>
          <w:sz w:val="24"/>
          <w:szCs w:val="32"/>
        </w:rPr>
        <w:t>​​</w:t>
      </w:r>
      <w:r w:rsidRPr="00B934CE">
        <w:rPr>
          <w:rFonts w:ascii="Traditional Arabic" w:eastAsiaTheme="majorEastAsia" w:hAnsi="Traditional Arabic" w:cs="Traditional Arabic"/>
          <w:sz w:val="24"/>
          <w:szCs w:val="32"/>
          <w:rtl/>
        </w:rPr>
        <w:t xml:space="preserve">835 </w:t>
      </w:r>
      <w:r w:rsidRPr="00B934CE">
        <w:rPr>
          <w:rFonts w:ascii="Traditional Arabic" w:eastAsiaTheme="majorEastAsia" w:hAnsi="Traditional Arabic" w:cs="Traditional Arabic" w:hint="eastAsia"/>
          <w:sz w:val="24"/>
          <w:szCs w:val="32"/>
          <w:rtl/>
        </w:rPr>
        <w:t>ريال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عماني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للطن</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المتري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مقابل</w:t>
      </w:r>
      <w:r w:rsidRPr="00B934CE">
        <w:rPr>
          <w:rFonts w:ascii="Traditional Arabic" w:eastAsiaTheme="majorEastAsia" w:hAnsi="Traditional Arabic" w:cs="Traditional Arabic"/>
          <w:sz w:val="24"/>
          <w:szCs w:val="32"/>
          <w:rtl/>
        </w:rPr>
        <w:t xml:space="preserve"> 509 </w:t>
      </w:r>
      <w:r w:rsidRPr="00B934CE">
        <w:rPr>
          <w:rFonts w:ascii="Traditional Arabic" w:eastAsiaTheme="majorEastAsia" w:hAnsi="Traditional Arabic" w:cs="Traditional Arabic" w:hint="eastAsia"/>
          <w:sz w:val="24"/>
          <w:szCs w:val="32"/>
          <w:rtl/>
        </w:rPr>
        <w:t>ريال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عماني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للطن</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المتري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في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السنة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المالية</w:t>
      </w:r>
      <w:r w:rsidRPr="00B934CE">
        <w:rPr>
          <w:rFonts w:ascii="Traditional Arabic" w:eastAsiaTheme="majorEastAsia" w:hAnsi="Traditional Arabic" w:cs="Traditional Arabic"/>
          <w:sz w:val="24"/>
          <w:szCs w:val="32"/>
          <w:rtl/>
        </w:rPr>
        <w:t xml:space="preserve"> 2021</w:t>
      </w:r>
      <w:r w:rsidRPr="00B934CE">
        <w:rPr>
          <w:rFonts w:ascii="Traditional Arabic" w:eastAsiaTheme="majorEastAsia" w:hAnsi="Traditional Arabic" w:cs="Traditional Arabic" w:hint="eastAsia"/>
          <w:sz w:val="24"/>
          <w:szCs w:val="32"/>
          <w:rtl/>
        </w:rPr>
        <w:t>،</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إلى</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جانب</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زيادة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الكمية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المشتراة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بمقدار</w:t>
      </w:r>
      <w:r w:rsidRPr="00B934CE">
        <w:rPr>
          <w:rFonts w:ascii="Traditional Arabic" w:eastAsiaTheme="majorEastAsia" w:hAnsi="Traditional Arabic" w:cs="Traditional Arabic"/>
          <w:sz w:val="24"/>
          <w:szCs w:val="32"/>
          <w:rtl/>
        </w:rPr>
        <w:t xml:space="preserve"> 33,397 </w:t>
      </w:r>
      <w:r w:rsidRPr="00B934CE">
        <w:rPr>
          <w:rFonts w:ascii="Traditional Arabic" w:eastAsiaTheme="majorEastAsia" w:hAnsi="Traditional Arabic" w:cs="Traditional Arabic" w:hint="eastAsia"/>
          <w:sz w:val="24"/>
          <w:szCs w:val="32"/>
          <w:rtl/>
        </w:rPr>
        <w:t>طن</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متري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خلال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نفس</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الفترة</w:t>
      </w:r>
      <w:r w:rsidRPr="00B934CE">
        <w:rPr>
          <w:rFonts w:ascii="Traditional Arabic" w:eastAsiaTheme="majorEastAsia" w:hAnsi="Traditional Arabic" w:cs="Traditional Arabic"/>
          <w:sz w:val="24"/>
          <w:szCs w:val="32"/>
          <w:rtl/>
        </w:rPr>
        <w:t>.</w:t>
      </w:r>
    </w:p>
    <w:p w14:paraId="7D43768B" w14:textId="77777777" w:rsidR="00563389" w:rsidRPr="00B934CE" w:rsidRDefault="00563389" w:rsidP="00B934CE">
      <w:pPr>
        <w:bidi/>
        <w:spacing w:after="120"/>
        <w:jc w:val="both"/>
        <w:rPr>
          <w:rFonts w:ascii="Traditional Arabic" w:eastAsiaTheme="majorEastAsia" w:hAnsi="Traditional Arabic" w:cs="Traditional Arabic"/>
          <w:sz w:val="24"/>
          <w:szCs w:val="32"/>
          <w:rtl/>
        </w:rPr>
      </w:pPr>
      <w:r w:rsidRPr="00B934CE">
        <w:rPr>
          <w:rFonts w:ascii="Traditional Arabic" w:eastAsiaTheme="majorEastAsia" w:hAnsi="Traditional Arabic" w:cs="Traditional Arabic" w:hint="eastAsia"/>
          <w:sz w:val="24"/>
          <w:szCs w:val="32"/>
          <w:rtl/>
        </w:rPr>
        <w:t>انخفضت</w:t>
      </w:r>
      <w:r w:rsidRPr="00B934CE">
        <w:rPr>
          <w:rFonts w:ascii="Traditional Arabic" w:eastAsiaTheme="majorEastAsia" w:hAnsi="Traditional Arabic" w:cs="Traditional Arabic"/>
          <w:sz w:val="24"/>
          <w:szCs w:val="32"/>
          <w:rtl/>
        </w:rPr>
        <w:t xml:space="preserve"> تكاليف تشغيل الرحلات </w:t>
      </w:r>
      <w:r w:rsidRPr="00B934CE">
        <w:rPr>
          <w:rFonts w:ascii="Traditional Arabic" w:eastAsiaTheme="majorEastAsia" w:hAnsi="Traditional Arabic" w:cs="Traditional Arabic" w:hint="eastAsia"/>
          <w:sz w:val="24"/>
          <w:szCs w:val="32"/>
          <w:rtl/>
        </w:rPr>
        <w:t>بنسبة</w:t>
      </w:r>
      <w:r w:rsidRPr="00B934CE">
        <w:rPr>
          <w:rFonts w:ascii="Traditional Arabic" w:eastAsiaTheme="majorEastAsia" w:hAnsi="Traditional Arabic" w:cs="Traditional Arabic"/>
          <w:sz w:val="24"/>
          <w:szCs w:val="32"/>
          <w:rtl/>
        </w:rPr>
        <w:t xml:space="preserve"> 16.7% من 98.1 مليون ريال عماني في السنة المالية 2022 الى 81.7 مليون ريال عماني في السنة المالية 2023، ويعود ذلك بشكل رئيسي إلى </w:t>
      </w:r>
      <w:r w:rsidRPr="00B934CE">
        <w:rPr>
          <w:rFonts w:ascii="Traditional Arabic" w:eastAsiaTheme="majorEastAsia" w:hAnsi="Traditional Arabic" w:cs="Traditional Arabic" w:hint="eastAsia"/>
          <w:sz w:val="24"/>
          <w:szCs w:val="32"/>
          <w:rtl/>
        </w:rPr>
        <w:t>انخفاض</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تكاليف</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المحروقات</w:t>
      </w:r>
      <w:r w:rsidRPr="00B934CE">
        <w:rPr>
          <w:rFonts w:ascii="Traditional Arabic" w:eastAsiaTheme="majorEastAsia" w:hAnsi="Traditional Arabic" w:cs="Traditional Arabic"/>
          <w:sz w:val="24"/>
          <w:szCs w:val="32"/>
          <w:rtl/>
        </w:rPr>
        <w:t xml:space="preserve"> (-27.7 مليون ريال عماني) </w:t>
      </w:r>
      <w:r w:rsidRPr="00B934CE">
        <w:rPr>
          <w:rFonts w:ascii="Traditional Arabic" w:eastAsiaTheme="majorEastAsia" w:hAnsi="Traditional Arabic" w:cs="Traditional Arabic" w:hint="eastAsia"/>
          <w:sz w:val="24"/>
          <w:szCs w:val="32"/>
          <w:rtl/>
        </w:rPr>
        <w:t>تماشيا</w:t>
      </w:r>
      <w:r w:rsidRPr="00B934CE">
        <w:rPr>
          <w:rFonts w:ascii="Traditional Arabic" w:eastAsiaTheme="majorEastAsia" w:hAnsi="Traditional Arabic" w:cs="Traditional Arabic"/>
          <w:sz w:val="24"/>
          <w:szCs w:val="32"/>
          <w:rtl/>
        </w:rPr>
        <w:t xml:space="preserve"> مع انخفاض أسعار الوقود إلى متوسط </w:t>
      </w:r>
      <w:r w:rsidRPr="00B934CE">
        <w:rPr>
          <w:rFonts w:eastAsiaTheme="majorEastAsia" w:cs="Times New Roman"/>
          <w:sz w:val="24"/>
          <w:szCs w:val="32"/>
        </w:rPr>
        <w:t>​​</w:t>
      </w:r>
      <w:r w:rsidRPr="00B934CE">
        <w:rPr>
          <w:rFonts w:ascii="Traditional Arabic" w:eastAsiaTheme="majorEastAsia" w:hAnsi="Traditional Arabic" w:cs="Traditional Arabic"/>
          <w:sz w:val="24"/>
          <w:szCs w:val="32"/>
          <w:rtl/>
        </w:rPr>
        <w:t xml:space="preserve">658 </w:t>
      </w:r>
      <w:r w:rsidRPr="00B934CE">
        <w:rPr>
          <w:rFonts w:ascii="Traditional Arabic" w:eastAsiaTheme="majorEastAsia" w:hAnsi="Traditional Arabic" w:cs="Traditional Arabic" w:hint="eastAsia"/>
          <w:sz w:val="24"/>
          <w:szCs w:val="32"/>
          <w:rtl/>
        </w:rPr>
        <w:t>ريال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عماني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للطن</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المتري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إلى</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جانب</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انخفاض</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الكمية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المشتراة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بمقدار</w:t>
      </w:r>
      <w:r w:rsidRPr="00B934CE">
        <w:rPr>
          <w:rFonts w:ascii="Traditional Arabic" w:eastAsiaTheme="majorEastAsia" w:hAnsi="Traditional Arabic" w:cs="Traditional Arabic"/>
          <w:sz w:val="24"/>
          <w:szCs w:val="32"/>
          <w:rtl/>
        </w:rPr>
        <w:t xml:space="preserve"> 117,597 </w:t>
      </w:r>
      <w:r w:rsidRPr="00B934CE">
        <w:rPr>
          <w:rFonts w:ascii="Traditional Arabic" w:eastAsiaTheme="majorEastAsia" w:hAnsi="Traditional Arabic" w:cs="Traditional Arabic" w:hint="eastAsia"/>
          <w:sz w:val="24"/>
          <w:szCs w:val="32"/>
          <w:rtl/>
        </w:rPr>
        <w:t>طن</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متري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خلال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نفس</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الفترة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وقد</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قابلها</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جزئيا</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ارتفاع</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في</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مصروفات</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الرحلة</w:t>
      </w:r>
      <w:r w:rsidRPr="00B934CE">
        <w:rPr>
          <w:rFonts w:ascii="Traditional Arabic" w:eastAsiaTheme="majorEastAsia" w:hAnsi="Traditional Arabic" w:cs="Traditional Arabic"/>
          <w:sz w:val="24"/>
          <w:szCs w:val="32"/>
          <w:rtl/>
        </w:rPr>
        <w:t xml:space="preserve"> (+11.2 </w:t>
      </w:r>
      <w:r w:rsidRPr="00B934CE">
        <w:rPr>
          <w:rFonts w:ascii="Traditional Arabic" w:eastAsiaTheme="majorEastAsia" w:hAnsi="Traditional Arabic" w:cs="Traditional Arabic" w:hint="eastAsia"/>
          <w:sz w:val="24"/>
          <w:szCs w:val="32"/>
          <w:rtl/>
        </w:rPr>
        <w:t>مليون</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ريال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عماني</w:t>
      </w:r>
      <w:r w:rsidRPr="00B934CE">
        <w:rPr>
          <w:rFonts w:ascii="Traditional Arabic" w:eastAsiaTheme="majorEastAsia" w:hAnsi="Traditional Arabic" w:cs="Traditional Arabic"/>
          <w:sz w:val="24"/>
          <w:szCs w:val="32"/>
          <w:rtl/>
        </w:rPr>
        <w:t>)</w:t>
      </w:r>
      <w:r w:rsidRPr="00B934CE">
        <w:rPr>
          <w:rFonts w:ascii="Traditional Arabic"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ب</w:t>
      </w:r>
      <w:r w:rsidRPr="00B934CE">
        <w:rPr>
          <w:rFonts w:ascii="Traditional Arabic" w:eastAsiaTheme="majorEastAsia" w:hAnsi="Traditional Arabic" w:cs="Traditional Arabic"/>
          <w:sz w:val="24"/>
          <w:szCs w:val="32"/>
          <w:rtl/>
        </w:rPr>
        <w:t xml:space="preserve">سبب تشغيل </w:t>
      </w:r>
      <w:r w:rsidR="00281471">
        <w:rPr>
          <w:rFonts w:ascii="Traditional Arabic" w:eastAsiaTheme="majorEastAsia" w:hAnsi="Traditional Arabic" w:cs="Traditional Arabic" w:hint="cs"/>
          <w:sz w:val="24"/>
          <w:szCs w:val="32"/>
          <w:rtl/>
        </w:rPr>
        <w:t xml:space="preserve">شركة </w:t>
      </w:r>
      <w:r w:rsidRPr="00B934CE">
        <w:rPr>
          <w:rFonts w:ascii="Traditional Arabic" w:eastAsiaTheme="majorEastAsia" w:hAnsi="Traditional Arabic" w:cs="Traditional Arabic"/>
          <w:sz w:val="24"/>
          <w:szCs w:val="32"/>
          <w:rtl/>
        </w:rPr>
        <w:t xml:space="preserve">خط أسياد </w:t>
      </w:r>
      <w:r w:rsidR="00281471">
        <w:rPr>
          <w:rFonts w:ascii="Traditional Arabic" w:eastAsiaTheme="majorEastAsia" w:hAnsi="Traditional Arabic" w:cs="Traditional Arabic" w:hint="cs"/>
          <w:sz w:val="24"/>
          <w:szCs w:val="32"/>
          <w:rtl/>
        </w:rPr>
        <w:t xml:space="preserve">ش م م </w:t>
      </w:r>
      <w:r w:rsidRPr="00B934CE">
        <w:rPr>
          <w:rFonts w:ascii="Traditional Arabic" w:eastAsiaTheme="majorEastAsia" w:hAnsi="Traditional Arabic" w:cs="Traditional Arabic"/>
          <w:sz w:val="24"/>
          <w:szCs w:val="32"/>
          <w:rtl/>
        </w:rPr>
        <w:t xml:space="preserve">مما أدى إلى ارتفاع تكاليف ساحة الحاويات بالإضافة إلى نفقات رسو ناقلات المعادن الخام العملاقة في الحوض الجاف.   </w:t>
      </w:r>
    </w:p>
    <w:p w14:paraId="2027B88C" w14:textId="77777777" w:rsidR="00563389" w:rsidRPr="00B934CE" w:rsidRDefault="00563389" w:rsidP="00B934CE">
      <w:pPr>
        <w:bidi/>
        <w:spacing w:after="120"/>
        <w:jc w:val="both"/>
        <w:rPr>
          <w:rFonts w:ascii="Traditional Arabic" w:eastAsiaTheme="majorEastAsia" w:hAnsi="Traditional Arabic" w:cs="Traditional Arabic"/>
          <w:sz w:val="24"/>
          <w:szCs w:val="32"/>
          <w:rtl/>
        </w:rPr>
      </w:pPr>
      <w:r w:rsidRPr="00B934CE">
        <w:rPr>
          <w:rFonts w:ascii="Traditional Arabic" w:eastAsiaTheme="majorEastAsia" w:hAnsi="Traditional Arabic" w:cs="Traditional Arabic" w:hint="eastAsia"/>
          <w:sz w:val="24"/>
          <w:szCs w:val="32"/>
          <w:rtl/>
        </w:rPr>
        <w:t>انخ</w:t>
      </w:r>
      <w:r w:rsidRPr="00B934CE">
        <w:rPr>
          <w:rFonts w:ascii="Traditional Arabic" w:eastAsiaTheme="majorEastAsia" w:hAnsi="Traditional Arabic" w:cs="Traditional Arabic"/>
          <w:sz w:val="24"/>
          <w:szCs w:val="32"/>
          <w:rtl/>
        </w:rPr>
        <w:t xml:space="preserve">فضت تكاليف تشغيل الرحلة بنسبة 37.7٪ من 62.2 مليون ريال عماني في فترة التسعة أشهر المنتهية في 30 سبتمبر 2023 إلى 38.8 مليون ريال عماني في فترة التسعة أشهر المنتهية في 30 سبتمبر 2024، ويعزى ذلك إلى انخفاض رسوم الوقود (-15.0 مليون ريال عماني) </w:t>
      </w:r>
      <w:r w:rsidRPr="00B934CE">
        <w:rPr>
          <w:rFonts w:ascii="Traditional Arabic" w:eastAsiaTheme="majorEastAsia" w:hAnsi="Traditional Arabic" w:cs="Traditional Arabic" w:hint="eastAsia"/>
          <w:sz w:val="24"/>
          <w:szCs w:val="32"/>
          <w:rtl/>
        </w:rPr>
        <w:t>نتيجة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استراتيجية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الشركة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لل</w:t>
      </w:r>
      <w:r w:rsidRPr="00B934CE">
        <w:rPr>
          <w:rFonts w:ascii="Traditional Arabic" w:eastAsiaTheme="majorEastAsia" w:hAnsi="Traditional Arabic" w:cs="Traditional Arabic"/>
          <w:sz w:val="24"/>
          <w:szCs w:val="32"/>
          <w:rtl/>
        </w:rPr>
        <w:t xml:space="preserve">تحول نحو التأجير حيث يتم تغطية تكلفة الوقود من قبل </w:t>
      </w:r>
      <w:r w:rsidRPr="00B934CE">
        <w:rPr>
          <w:rFonts w:ascii="Traditional Arabic" w:eastAsiaTheme="majorEastAsia" w:hAnsi="Traditional Arabic" w:cs="Traditional Arabic" w:hint="eastAsia"/>
          <w:sz w:val="24"/>
          <w:szCs w:val="32"/>
          <w:rtl/>
        </w:rPr>
        <w:t>طرف</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ثالث</w:t>
      </w:r>
      <w:r w:rsidRPr="00B934CE">
        <w:rPr>
          <w:rFonts w:ascii="Traditional Arabic" w:eastAsiaTheme="majorEastAsia" w:hAnsi="Traditional Arabic" w:cs="Traditional Arabic"/>
          <w:sz w:val="24"/>
          <w:szCs w:val="32"/>
          <w:rtl/>
        </w:rPr>
        <w:t>، إلى جانب انخفاض رسوم الموانئ بمقدار (-6.4 مليون ريال عماني) ويرتبط ذلك بشكل أساسي بانخفاض نفقات الموانئ.</w:t>
      </w:r>
    </w:p>
    <w:p w14:paraId="2EDF84B0" w14:textId="77777777" w:rsidR="00563389" w:rsidRPr="00B934CE" w:rsidRDefault="00563389" w:rsidP="00B934CE">
      <w:pPr>
        <w:bidi/>
        <w:spacing w:after="120"/>
        <w:jc w:val="both"/>
        <w:rPr>
          <w:rFonts w:ascii="Traditional Arabic" w:eastAsiaTheme="majorEastAsia" w:hAnsi="Traditional Arabic" w:cs="Traditional Arabic"/>
          <w:b/>
          <w:bCs/>
          <w:sz w:val="24"/>
          <w:szCs w:val="32"/>
          <w:rtl/>
        </w:rPr>
      </w:pPr>
      <w:r w:rsidRPr="00B934CE">
        <w:rPr>
          <w:rFonts w:ascii="Traditional Arabic" w:eastAsiaTheme="majorEastAsia" w:hAnsi="Traditional Arabic" w:cs="Traditional Arabic"/>
          <w:b/>
          <w:bCs/>
          <w:sz w:val="24"/>
          <w:szCs w:val="32"/>
          <w:rtl/>
        </w:rPr>
        <w:t>مصروفات تأجير السفن لعقود إيجار السفن قصيرة الأجل</w:t>
      </w:r>
    </w:p>
    <w:p w14:paraId="4FF225C2" w14:textId="77777777" w:rsidR="00563389" w:rsidRPr="00B934CE" w:rsidRDefault="00563389" w:rsidP="00B934CE">
      <w:pPr>
        <w:bidi/>
        <w:spacing w:after="120"/>
        <w:jc w:val="both"/>
        <w:rPr>
          <w:rFonts w:ascii="Traditional Arabic" w:eastAsiaTheme="majorEastAsia" w:hAnsi="Traditional Arabic" w:cs="Traditional Arabic"/>
          <w:sz w:val="24"/>
          <w:szCs w:val="32"/>
          <w:rtl/>
        </w:rPr>
      </w:pPr>
      <w:r w:rsidRPr="00B934CE">
        <w:rPr>
          <w:rFonts w:ascii="Traditional Arabic" w:eastAsiaTheme="majorEastAsia" w:hAnsi="Traditional Arabic" w:cs="Traditional Arabic" w:hint="eastAsia"/>
          <w:sz w:val="24"/>
          <w:szCs w:val="32"/>
          <w:rtl/>
        </w:rPr>
        <w:t>تشكل</w:t>
      </w:r>
      <w:r w:rsidRPr="00B934CE">
        <w:rPr>
          <w:rFonts w:ascii="Traditional Arabic" w:eastAsiaTheme="majorEastAsia" w:hAnsi="Traditional Arabic" w:cs="Traditional Arabic"/>
          <w:sz w:val="24"/>
          <w:szCs w:val="32"/>
          <w:rtl/>
        </w:rPr>
        <w:t xml:space="preserve"> مصروفات تأجير السفن لعقود إيجار السفن قصيرة الأجل </w:t>
      </w:r>
      <w:r w:rsidR="00B65960">
        <w:rPr>
          <w:rFonts w:ascii="Traditional Arabic" w:eastAsiaTheme="majorEastAsia" w:hAnsi="Traditional Arabic" w:cs="Traditional Arabic" w:hint="cs"/>
          <w:sz w:val="24"/>
          <w:szCs w:val="32"/>
          <w:rtl/>
        </w:rPr>
        <w:t>7.5</w:t>
      </w:r>
      <w:r w:rsidRPr="00B934CE">
        <w:rPr>
          <w:rFonts w:ascii="Traditional Arabic" w:eastAsiaTheme="majorEastAsia" w:hAnsi="Traditional Arabic" w:cs="Traditional Arabic"/>
          <w:sz w:val="24"/>
          <w:szCs w:val="32"/>
          <w:rtl/>
        </w:rPr>
        <w:t xml:space="preserve">% من إجمالي </w:t>
      </w:r>
      <w:r w:rsidRPr="00B934CE">
        <w:rPr>
          <w:rFonts w:ascii="Traditional Arabic" w:eastAsiaTheme="majorEastAsia" w:hAnsi="Traditional Arabic" w:cs="Traditional Arabic" w:hint="eastAsia"/>
          <w:sz w:val="24"/>
          <w:szCs w:val="32"/>
          <w:rtl/>
        </w:rPr>
        <w:t>تكلفة</w:t>
      </w:r>
      <w:r w:rsidRPr="00B934CE">
        <w:rPr>
          <w:rFonts w:ascii="Traditional Arabic" w:eastAsiaTheme="majorEastAsia" w:hAnsi="Traditional Arabic" w:cs="Traditional Arabic"/>
          <w:sz w:val="24"/>
          <w:szCs w:val="32"/>
          <w:rtl/>
        </w:rPr>
        <w:t xml:space="preserve"> الإيرادات بين </w:t>
      </w:r>
      <w:r w:rsidRPr="00B934CE">
        <w:rPr>
          <w:rFonts w:ascii="Traditional Arabic" w:eastAsiaTheme="majorEastAsia" w:hAnsi="Traditional Arabic" w:cs="Traditional Arabic" w:hint="eastAsia"/>
          <w:sz w:val="24"/>
          <w:szCs w:val="32"/>
          <w:rtl/>
        </w:rPr>
        <w:t>فترة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التسعة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أشهر</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المنتهية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في</w:t>
      </w:r>
      <w:r w:rsidRPr="00B934CE">
        <w:rPr>
          <w:rFonts w:ascii="Traditional Arabic" w:eastAsiaTheme="majorEastAsia" w:hAnsi="Traditional Arabic" w:cs="Traditional Arabic"/>
          <w:sz w:val="24"/>
          <w:szCs w:val="32"/>
          <w:rtl/>
        </w:rPr>
        <w:t xml:space="preserve"> 30 </w:t>
      </w:r>
      <w:r w:rsidRPr="00B934CE">
        <w:rPr>
          <w:rFonts w:ascii="Traditional Arabic" w:eastAsiaTheme="majorEastAsia" w:hAnsi="Traditional Arabic" w:cs="Traditional Arabic" w:hint="eastAsia"/>
          <w:sz w:val="24"/>
          <w:szCs w:val="32"/>
          <w:rtl/>
        </w:rPr>
        <w:t>سبتمبر</w:t>
      </w:r>
      <w:r w:rsidRPr="00B934CE">
        <w:rPr>
          <w:rFonts w:ascii="Traditional Arabic" w:eastAsiaTheme="majorEastAsia" w:hAnsi="Traditional Arabic" w:cs="Traditional Arabic"/>
          <w:sz w:val="24"/>
          <w:szCs w:val="32"/>
          <w:rtl/>
        </w:rPr>
        <w:t xml:space="preserve"> 2023 </w:t>
      </w:r>
      <w:r w:rsidRPr="00B934CE">
        <w:rPr>
          <w:rFonts w:ascii="Traditional Arabic" w:eastAsiaTheme="majorEastAsia" w:hAnsi="Traditional Arabic" w:cs="Traditional Arabic" w:hint="eastAsia"/>
          <w:sz w:val="24"/>
          <w:szCs w:val="32"/>
          <w:rtl/>
        </w:rPr>
        <w:t>و</w:t>
      </w:r>
      <w:r w:rsidRPr="00B934CE">
        <w:rPr>
          <w:rFonts w:ascii="Traditional Arabic" w:eastAsiaTheme="majorEastAsia" w:hAnsi="Traditional Arabic" w:cs="Traditional Arabic"/>
          <w:sz w:val="24"/>
          <w:szCs w:val="32"/>
          <w:rtl/>
        </w:rPr>
        <w:t>2024</w:t>
      </w:r>
      <w:r w:rsidRPr="00B934CE">
        <w:rPr>
          <w:rFonts w:ascii="Traditional Arabic" w:eastAsiaTheme="majorEastAsia" w:hAnsi="Traditional Arabic" w:cs="Traditional Arabic"/>
          <w:b/>
          <w:bCs/>
          <w:sz w:val="24"/>
          <w:szCs w:val="32"/>
          <w:rtl/>
        </w:rPr>
        <w:t xml:space="preserve"> ،</w:t>
      </w:r>
      <w:r w:rsidRPr="00B934CE">
        <w:rPr>
          <w:rFonts w:ascii="Traditional Arabic"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وت</w:t>
      </w:r>
      <w:r w:rsidRPr="00B934CE">
        <w:rPr>
          <w:rFonts w:ascii="Traditional Arabic" w:eastAsiaTheme="majorEastAsia" w:hAnsi="Traditional Arabic" w:cs="Traditional Arabic"/>
          <w:sz w:val="24"/>
          <w:szCs w:val="32"/>
          <w:rtl/>
        </w:rPr>
        <w:t>تعلق بالسفن المستأجرة للشركة كمؤجر.</w:t>
      </w:r>
    </w:p>
    <w:p w14:paraId="179F6ACE" w14:textId="77777777" w:rsidR="00563389" w:rsidRPr="00B934CE" w:rsidRDefault="00563389" w:rsidP="00B934CE">
      <w:pPr>
        <w:bidi/>
        <w:spacing w:after="120"/>
        <w:jc w:val="both"/>
        <w:rPr>
          <w:rFonts w:ascii="Traditional Arabic" w:eastAsiaTheme="majorEastAsia" w:hAnsi="Traditional Arabic" w:cs="Traditional Arabic"/>
          <w:sz w:val="24"/>
          <w:szCs w:val="32"/>
          <w:rtl/>
        </w:rPr>
      </w:pPr>
      <w:r w:rsidRPr="00B934CE">
        <w:rPr>
          <w:rFonts w:ascii="Traditional Arabic" w:eastAsiaTheme="majorEastAsia" w:hAnsi="Traditional Arabic" w:cs="Traditional Arabic" w:hint="eastAsia"/>
          <w:sz w:val="24"/>
          <w:szCs w:val="32"/>
          <w:rtl/>
        </w:rPr>
        <w:lastRenderedPageBreak/>
        <w:t>ارتفعت</w:t>
      </w:r>
      <w:r w:rsidRPr="00B934CE">
        <w:rPr>
          <w:rFonts w:ascii="Traditional Arabic" w:eastAsiaTheme="majorEastAsia" w:hAnsi="Traditional Arabic" w:cs="Traditional Arabic"/>
          <w:sz w:val="24"/>
          <w:szCs w:val="32"/>
          <w:rtl/>
        </w:rPr>
        <w:t xml:space="preserve"> مصروفات تأجير السفن لعقود إيجار السفن قصيرة الأجل بنسبة 69.5% من 13.0 مليون ريال عماني في السنة المالية 2021 الى 22.1 مليون ريال عماني في السنة المالية 2022، ويعود ذلك بشكل رئيسي إلى زيادة عدد السفن المستأجرة من 19 سفينة في السنة المالية 2021 إلى 35 سفينة في السنة المالية 2022 بما يتماشى مع التوسع والنمو في الأنشطة التجارية. والتي تم تعويضها جزئيًا بانخفاض في متوسط </w:t>
      </w:r>
      <w:r w:rsidRPr="00B934CE">
        <w:rPr>
          <w:rFonts w:eastAsiaTheme="majorEastAsia" w:cs="Times New Roman"/>
          <w:sz w:val="24"/>
          <w:szCs w:val="32"/>
        </w:rPr>
        <w:t>​​</w:t>
      </w:r>
      <w:r w:rsidRPr="00B934CE">
        <w:rPr>
          <w:rFonts w:ascii="Traditional Arabic" w:eastAsiaTheme="majorEastAsia" w:hAnsi="Traditional Arabic" w:cs="Traditional Arabic" w:hint="eastAsia"/>
          <w:sz w:val="24"/>
          <w:szCs w:val="32"/>
          <w:rtl/>
        </w:rPr>
        <w:t>التكلفة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لكل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سفينة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خلال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نفس</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الفترة</w:t>
      </w:r>
      <w:r w:rsidRPr="00B934CE">
        <w:rPr>
          <w:rFonts w:ascii="Traditional Arabic" w:eastAsiaTheme="majorEastAsia" w:hAnsi="Traditional Arabic" w:cs="Traditional Arabic"/>
          <w:sz w:val="24"/>
          <w:szCs w:val="32"/>
          <w:rtl/>
        </w:rPr>
        <w:t>.</w:t>
      </w:r>
    </w:p>
    <w:p w14:paraId="59D126D1" w14:textId="77777777" w:rsidR="00563389" w:rsidRPr="00B934CE" w:rsidRDefault="00563389" w:rsidP="00B934CE">
      <w:pPr>
        <w:bidi/>
        <w:spacing w:after="120"/>
        <w:jc w:val="both"/>
        <w:rPr>
          <w:rFonts w:ascii="Traditional Arabic" w:eastAsiaTheme="majorEastAsia" w:hAnsi="Traditional Arabic" w:cs="Traditional Arabic"/>
          <w:sz w:val="24"/>
          <w:szCs w:val="32"/>
          <w:rtl/>
        </w:rPr>
      </w:pPr>
      <w:r w:rsidRPr="00B934CE">
        <w:rPr>
          <w:rFonts w:ascii="Traditional Arabic" w:eastAsiaTheme="majorEastAsia" w:hAnsi="Traditional Arabic" w:cs="Traditional Arabic" w:hint="eastAsia"/>
          <w:sz w:val="24"/>
          <w:szCs w:val="32"/>
          <w:rtl/>
        </w:rPr>
        <w:t>ارتفعت</w:t>
      </w:r>
      <w:r w:rsidRPr="00B934CE">
        <w:rPr>
          <w:rFonts w:ascii="Traditional Arabic" w:eastAsiaTheme="majorEastAsia" w:hAnsi="Traditional Arabic" w:cs="Traditional Arabic"/>
          <w:sz w:val="24"/>
          <w:szCs w:val="32"/>
          <w:rtl/>
        </w:rPr>
        <w:t xml:space="preserve"> مصروفات تأجير السفن لعقود إيجار السفن قصيرة الأجل بنسبة 29.7% من 22.1 مليون ريال عماني في السنة المالية 2022 الى 28.6 مليون ريال عماني في السنة المالية 2023، على الرغم من انخفاض عدد السفن المستأجرة بسبب ارتفاع متوسط </w:t>
      </w:r>
      <w:r w:rsidRPr="00B934CE">
        <w:rPr>
          <w:rFonts w:eastAsiaTheme="majorEastAsia" w:cs="Times New Roman"/>
          <w:sz w:val="24"/>
          <w:szCs w:val="32"/>
        </w:rPr>
        <w:t>​​</w:t>
      </w:r>
      <w:r w:rsidRPr="00B934CE">
        <w:rPr>
          <w:rFonts w:ascii="Traditional Arabic" w:eastAsiaTheme="majorEastAsia" w:hAnsi="Traditional Arabic" w:cs="Traditional Arabic" w:hint="eastAsia"/>
          <w:sz w:val="24"/>
          <w:szCs w:val="32"/>
          <w:rtl/>
        </w:rPr>
        <w:t>التكلفة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لكل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سفينة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وزيادة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رحلات</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التأجير</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للسفن</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ذات</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التكلفة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الأعلى</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تأثير</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المزيج</w:t>
      </w:r>
      <w:r w:rsidRPr="00B934CE">
        <w:rPr>
          <w:rFonts w:ascii="Traditional Arabic" w:eastAsiaTheme="majorEastAsia" w:hAnsi="Traditional Arabic" w:cs="Traditional Arabic"/>
          <w:sz w:val="24"/>
          <w:szCs w:val="32"/>
          <w:rtl/>
        </w:rPr>
        <w:t xml:space="preserve">). </w:t>
      </w:r>
    </w:p>
    <w:p w14:paraId="47CB12CA" w14:textId="77777777" w:rsidR="00563389" w:rsidRPr="00B934CE" w:rsidRDefault="00563389" w:rsidP="00B934CE">
      <w:pPr>
        <w:bidi/>
        <w:spacing w:after="120"/>
        <w:jc w:val="both"/>
        <w:rPr>
          <w:rFonts w:ascii="Traditional Arabic" w:eastAsiaTheme="majorEastAsia" w:hAnsi="Traditional Arabic" w:cs="Traditional Arabic"/>
          <w:sz w:val="24"/>
          <w:szCs w:val="32"/>
          <w:rtl/>
        </w:rPr>
      </w:pPr>
      <w:r w:rsidRPr="00B934CE">
        <w:rPr>
          <w:rFonts w:ascii="Traditional Arabic" w:eastAsiaTheme="majorEastAsia" w:hAnsi="Traditional Arabic" w:cs="Traditional Arabic" w:hint="eastAsia"/>
          <w:sz w:val="24"/>
          <w:szCs w:val="32"/>
          <w:rtl/>
        </w:rPr>
        <w:t>ان</w:t>
      </w:r>
      <w:r w:rsidRPr="00B934CE">
        <w:rPr>
          <w:rFonts w:ascii="Traditional Arabic" w:eastAsiaTheme="majorEastAsia" w:hAnsi="Traditional Arabic" w:cs="Traditional Arabic"/>
          <w:sz w:val="24"/>
          <w:szCs w:val="32"/>
          <w:rtl/>
        </w:rPr>
        <w:t xml:space="preserve">خفضت مصروفات تأجير السفن لعقود إيجار السفن قصيرة الأجل بنسبة 17.3٪ من 22.5 مليون ريال عماني في فترة التسعة أشهر المنتهية في 30 سبتمبر 2023 إلى 18.6 مليون ريال عماني في فترة التسعة أشهر المنتهية في 30 سبتمبر 2024، على الرغم من زيادة عدد السفن المستأجرة من 33 إلى 59 خلال الفترة، بسبب انخفاض متوسط </w:t>
      </w:r>
      <w:r w:rsidRPr="00B934CE">
        <w:rPr>
          <w:rFonts w:eastAsiaTheme="majorEastAsia" w:cs="Times New Roman"/>
          <w:sz w:val="24"/>
          <w:szCs w:val="32"/>
        </w:rPr>
        <w:t>​​</w:t>
      </w:r>
      <w:r w:rsidRPr="00B934CE">
        <w:rPr>
          <w:rFonts w:ascii="Traditional Arabic" w:eastAsiaTheme="majorEastAsia" w:hAnsi="Traditional Arabic" w:cs="Traditional Arabic" w:hint="eastAsia"/>
          <w:sz w:val="24"/>
          <w:szCs w:val="32"/>
          <w:rtl/>
        </w:rPr>
        <w:t>التكلفة</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لكل</w:t>
      </w:r>
      <w:r w:rsidRPr="00B934CE">
        <w:rPr>
          <w:rFonts w:ascii="Traditional Arabic" w:eastAsiaTheme="majorEastAsia" w:hAnsi="Traditional Arabic" w:cs="Traditional Arabic"/>
          <w:sz w:val="24"/>
          <w:szCs w:val="32"/>
          <w:rtl/>
        </w:rPr>
        <w:t xml:space="preserve"> </w:t>
      </w:r>
      <w:r w:rsidRPr="00B934CE">
        <w:rPr>
          <w:rFonts w:ascii="Traditional Arabic" w:eastAsiaTheme="majorEastAsia" w:hAnsi="Traditional Arabic" w:cs="Traditional Arabic" w:hint="eastAsia"/>
          <w:sz w:val="24"/>
          <w:szCs w:val="32"/>
          <w:rtl/>
        </w:rPr>
        <w:t>سفينة</w:t>
      </w:r>
      <w:r w:rsidR="006B5DEC">
        <w:rPr>
          <w:rFonts w:ascii="Traditional Arabic" w:eastAsiaTheme="majorEastAsia" w:hAnsi="Traditional Arabic" w:cs="Traditional Arabic" w:hint="cs"/>
          <w:sz w:val="24"/>
          <w:szCs w:val="32"/>
          <w:rtl/>
        </w:rPr>
        <w:t>.</w:t>
      </w:r>
      <w:r w:rsidRPr="00B934CE">
        <w:rPr>
          <w:rFonts w:ascii="Traditional Arabic" w:eastAsiaTheme="majorEastAsia" w:hAnsi="Traditional Arabic" w:cs="Traditional Arabic"/>
          <w:sz w:val="24"/>
          <w:szCs w:val="32"/>
          <w:rtl/>
        </w:rPr>
        <w:t xml:space="preserve"> </w:t>
      </w:r>
    </w:p>
    <w:p w14:paraId="549CBAAE" w14:textId="77777777" w:rsidR="00563389" w:rsidRPr="00B934CE" w:rsidRDefault="00563389" w:rsidP="00B934CE">
      <w:pPr>
        <w:pStyle w:val="4"/>
        <w:spacing w:before="0" w:after="120"/>
        <w:rPr>
          <w:rFonts w:ascii="Traditional Arabic" w:hAnsi="Traditional Arabic" w:cs="Traditional Arabic"/>
          <w:b w:val="0"/>
          <w:bCs w:val="0"/>
          <w:i/>
          <w:iCs/>
          <w:color w:val="auto"/>
          <w:sz w:val="30"/>
          <w:szCs w:val="30"/>
        </w:rPr>
      </w:pPr>
      <w:r w:rsidRPr="00B934CE">
        <w:rPr>
          <w:rFonts w:ascii="Traditional Arabic" w:hAnsi="Traditional Arabic" w:cs="Traditional Arabic" w:hint="eastAsia"/>
          <w:b w:val="0"/>
          <w:bCs w:val="0"/>
          <w:i/>
          <w:iCs/>
          <w:color w:val="auto"/>
          <w:sz w:val="30"/>
          <w:szCs w:val="30"/>
          <w:rtl/>
        </w:rPr>
        <w:t>تكاليف</w:t>
      </w:r>
      <w:r w:rsidRPr="00B934CE">
        <w:rPr>
          <w:rFonts w:ascii="Traditional Arabic" w:hAnsi="Traditional Arabic" w:cs="Traditional Arabic"/>
          <w:b w:val="0"/>
          <w:bCs w:val="0"/>
          <w:i/>
          <w:iCs/>
          <w:color w:val="auto"/>
          <w:sz w:val="30"/>
          <w:szCs w:val="30"/>
          <w:rtl/>
        </w:rPr>
        <w:t xml:space="preserve"> تشغيل السفن </w:t>
      </w:r>
    </w:p>
    <w:p w14:paraId="1BB28340" w14:textId="77777777" w:rsidR="00563389" w:rsidRPr="00B934CE" w:rsidRDefault="00563389" w:rsidP="00B934CE">
      <w:pPr>
        <w:bidi/>
        <w:jc w:val="both"/>
        <w:rPr>
          <w:rFonts w:ascii="Traditional Arabic" w:eastAsia="Calibri" w:hAnsi="Traditional Arabic" w:cs="Traditional Arabic"/>
          <w:i/>
          <w:iCs/>
          <w:sz w:val="30"/>
          <w:szCs w:val="30"/>
          <w:rtl/>
        </w:rPr>
      </w:pPr>
      <w:r w:rsidRPr="00B934CE">
        <w:rPr>
          <w:rFonts w:ascii="Traditional Arabic" w:eastAsia="Calibri" w:hAnsi="Traditional Arabic" w:cs="Traditional Arabic"/>
          <w:i/>
          <w:iCs/>
          <w:sz w:val="30"/>
          <w:szCs w:val="30"/>
          <w:rtl/>
        </w:rPr>
        <w:t>الجدول‏ ‏:</w:t>
      </w:r>
      <w:r w:rsidRPr="00B934CE">
        <w:rPr>
          <w:rFonts w:ascii="Traditional Arabic" w:eastAsia="Calibri" w:hAnsi="Traditional Arabic" w:cs="Traditional Arabic"/>
          <w:b/>
          <w:bCs/>
          <w:i/>
          <w:iCs/>
          <w:sz w:val="30"/>
          <w:szCs w:val="30"/>
          <w:rtl/>
        </w:rPr>
        <w:t xml:space="preserve"> </w:t>
      </w:r>
      <w:r w:rsidRPr="00B934CE">
        <w:rPr>
          <w:rFonts w:ascii="Traditional Arabic" w:eastAsia="Calibri" w:hAnsi="Traditional Arabic" w:cs="Traditional Arabic"/>
          <w:i/>
          <w:iCs/>
          <w:sz w:val="30"/>
          <w:szCs w:val="30"/>
          <w:rtl/>
        </w:rPr>
        <w:t>تكاليف تشغيل السفن للسنوات المالية المنتهية في 31 ديسمبر 2021، 2022، و2023، وفترتي التسعة أشهر المنتهيتين في 30 سبتمبر 2023 و2024:</w:t>
      </w:r>
    </w:p>
    <w:tbl>
      <w:tblPr>
        <w:bidiVisual/>
        <w:tblW w:w="9377" w:type="dxa"/>
        <w:tblLook w:val="04A0" w:firstRow="1" w:lastRow="0" w:firstColumn="1" w:lastColumn="0" w:noHBand="0" w:noVBand="1"/>
      </w:tblPr>
      <w:tblGrid>
        <w:gridCol w:w="941"/>
        <w:gridCol w:w="1012"/>
        <w:gridCol w:w="1065"/>
        <w:gridCol w:w="1001"/>
        <w:gridCol w:w="839"/>
        <w:gridCol w:w="839"/>
        <w:gridCol w:w="839"/>
        <w:gridCol w:w="1001"/>
        <w:gridCol w:w="1001"/>
        <w:gridCol w:w="839"/>
      </w:tblGrid>
      <w:tr w:rsidR="00563389" w:rsidRPr="00900056" w14:paraId="4C56FD98" w14:textId="77777777" w:rsidTr="00922116">
        <w:trPr>
          <w:trHeight w:val="20"/>
        </w:trPr>
        <w:tc>
          <w:tcPr>
            <w:tcW w:w="1340" w:type="dxa"/>
            <w:shd w:val="clear" w:color="auto" w:fill="0B3D85"/>
            <w:vAlign w:val="center"/>
          </w:tcPr>
          <w:p w14:paraId="2A61E02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 xml:space="preserve">بآلاف الريالات </w:t>
            </w:r>
            <w:r w:rsidRPr="00B934CE">
              <w:rPr>
                <w:rFonts w:ascii="Traditional Arabic" w:hAnsi="Traditional Arabic" w:cs="Traditional Arabic" w:hint="eastAsia"/>
                <w:b/>
                <w:bCs/>
                <w:sz w:val="24"/>
                <w:rtl/>
              </w:rPr>
              <w:t>العمانية</w:t>
            </w:r>
          </w:p>
        </w:tc>
        <w:tc>
          <w:tcPr>
            <w:tcW w:w="1060" w:type="dxa"/>
            <w:shd w:val="clear" w:color="auto" w:fill="0B3D85"/>
            <w:vAlign w:val="center"/>
          </w:tcPr>
          <w:p w14:paraId="07E110F6"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2021</w:t>
            </w:r>
          </w:p>
          <w:p w14:paraId="60546A3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1342" w:type="dxa"/>
            <w:shd w:val="clear" w:color="auto" w:fill="0B3D85"/>
            <w:vAlign w:val="center"/>
          </w:tcPr>
          <w:p w14:paraId="217B5FFA"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2022</w:t>
            </w:r>
          </w:p>
          <w:p w14:paraId="151DC2CE"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984" w:type="dxa"/>
            <w:shd w:val="clear" w:color="auto" w:fill="0B3D85"/>
            <w:vAlign w:val="center"/>
          </w:tcPr>
          <w:p w14:paraId="31C7092A"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2023</w:t>
            </w:r>
          </w:p>
          <w:p w14:paraId="3BB7702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704" w:type="dxa"/>
            <w:shd w:val="clear" w:color="auto" w:fill="0B3D85"/>
            <w:vAlign w:val="center"/>
          </w:tcPr>
          <w:p w14:paraId="0756E84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2021- 2022</w:t>
            </w:r>
          </w:p>
        </w:tc>
        <w:tc>
          <w:tcPr>
            <w:tcW w:w="694" w:type="dxa"/>
            <w:shd w:val="clear" w:color="auto" w:fill="0B3D85"/>
            <w:vAlign w:val="center"/>
          </w:tcPr>
          <w:p w14:paraId="2C19D0A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2022- 2023</w:t>
            </w:r>
          </w:p>
        </w:tc>
        <w:tc>
          <w:tcPr>
            <w:tcW w:w="694" w:type="dxa"/>
            <w:shd w:val="clear" w:color="auto" w:fill="0B3D85"/>
            <w:vAlign w:val="center"/>
          </w:tcPr>
          <w:p w14:paraId="7566368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معدل النمو المركب 2021-2023</w:t>
            </w:r>
          </w:p>
        </w:tc>
        <w:tc>
          <w:tcPr>
            <w:tcW w:w="936" w:type="dxa"/>
            <w:shd w:val="clear" w:color="auto" w:fill="0B3D85"/>
            <w:vAlign w:val="center"/>
          </w:tcPr>
          <w:p w14:paraId="6D4620FF"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2023</w:t>
            </w:r>
          </w:p>
          <w:p w14:paraId="366CB592"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936" w:type="dxa"/>
            <w:shd w:val="clear" w:color="auto" w:fill="0B3D85"/>
            <w:vAlign w:val="center"/>
          </w:tcPr>
          <w:p w14:paraId="037E8147"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2024</w:t>
            </w:r>
          </w:p>
          <w:p w14:paraId="27322F1A"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687" w:type="dxa"/>
            <w:shd w:val="clear" w:color="auto" w:fill="0B3D85"/>
            <w:vAlign w:val="center"/>
          </w:tcPr>
          <w:p w14:paraId="4B45B5A9"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التغير للفترة 2023-2024</w:t>
            </w:r>
          </w:p>
        </w:tc>
      </w:tr>
      <w:tr w:rsidR="00563389" w:rsidRPr="00900056" w14:paraId="77FB540F"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404B8AF5"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استهلاك</w:t>
            </w:r>
            <w:r w:rsidRPr="00B934CE">
              <w:rPr>
                <w:rFonts w:ascii="Traditional Arabic" w:eastAsia="Calibri" w:hAnsi="Traditional Arabic" w:cs="Traditional Arabic"/>
                <w:sz w:val="24"/>
                <w:rtl/>
              </w:rPr>
              <w:t xml:space="preserve"> أصول حق الاستخدام </w:t>
            </w:r>
          </w:p>
        </w:tc>
        <w:tc>
          <w:tcPr>
            <w:tcW w:w="1060" w:type="dxa"/>
            <w:tcBorders>
              <w:top w:val="single" w:sz="4" w:space="0" w:color="0B3D85"/>
              <w:bottom w:val="single" w:sz="4" w:space="0" w:color="0B3D85"/>
            </w:tcBorders>
            <w:shd w:val="clear" w:color="auto" w:fill="FFFFFF" w:themeFill="background1"/>
            <w:vAlign w:val="center"/>
          </w:tcPr>
          <w:p w14:paraId="2D1EB19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9,878</w:t>
            </w:r>
          </w:p>
        </w:tc>
        <w:tc>
          <w:tcPr>
            <w:tcW w:w="1342" w:type="dxa"/>
            <w:tcBorders>
              <w:top w:val="single" w:sz="4" w:space="0" w:color="0B3D85"/>
              <w:bottom w:val="single" w:sz="4" w:space="0" w:color="0B3D85"/>
            </w:tcBorders>
            <w:shd w:val="clear" w:color="auto" w:fill="FFFFFF" w:themeFill="background1"/>
            <w:vAlign w:val="center"/>
          </w:tcPr>
          <w:p w14:paraId="0D8EFC5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24,597</w:t>
            </w:r>
          </w:p>
        </w:tc>
        <w:tc>
          <w:tcPr>
            <w:tcW w:w="984" w:type="dxa"/>
            <w:tcBorders>
              <w:top w:val="single" w:sz="4" w:space="0" w:color="0B3D85"/>
              <w:bottom w:val="single" w:sz="4" w:space="0" w:color="0B3D85"/>
            </w:tcBorders>
            <w:shd w:val="clear" w:color="auto" w:fill="FFFFFF" w:themeFill="background1"/>
            <w:vAlign w:val="center"/>
          </w:tcPr>
          <w:p w14:paraId="4173685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68,955</w:t>
            </w:r>
          </w:p>
        </w:tc>
        <w:tc>
          <w:tcPr>
            <w:tcW w:w="704" w:type="dxa"/>
            <w:tcBorders>
              <w:top w:val="single" w:sz="4" w:space="0" w:color="0B3D85"/>
              <w:bottom w:val="single" w:sz="4" w:space="0" w:color="0B3D85"/>
            </w:tcBorders>
            <w:shd w:val="clear" w:color="auto" w:fill="FFFFFF" w:themeFill="background1"/>
            <w:vAlign w:val="center"/>
          </w:tcPr>
          <w:p w14:paraId="0376266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149.0%</w:t>
            </w:r>
          </w:p>
        </w:tc>
        <w:tc>
          <w:tcPr>
            <w:tcW w:w="694" w:type="dxa"/>
            <w:tcBorders>
              <w:top w:val="single" w:sz="4" w:space="0" w:color="0B3D85"/>
              <w:bottom w:val="single" w:sz="4" w:space="0" w:color="0B3D85"/>
            </w:tcBorders>
            <w:shd w:val="clear" w:color="auto" w:fill="FFFFFF" w:themeFill="background1"/>
            <w:vAlign w:val="center"/>
          </w:tcPr>
          <w:p w14:paraId="66AAEBC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180.3%</w:t>
            </w:r>
          </w:p>
        </w:tc>
        <w:tc>
          <w:tcPr>
            <w:tcW w:w="694" w:type="dxa"/>
            <w:tcBorders>
              <w:top w:val="single" w:sz="4" w:space="0" w:color="0B3D85"/>
              <w:bottom w:val="single" w:sz="4" w:space="0" w:color="0B3D85"/>
            </w:tcBorders>
            <w:shd w:val="clear" w:color="auto" w:fill="FFFFFF" w:themeFill="background1"/>
            <w:vAlign w:val="center"/>
          </w:tcPr>
          <w:p w14:paraId="4623B59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164.2%</w:t>
            </w:r>
          </w:p>
        </w:tc>
        <w:tc>
          <w:tcPr>
            <w:tcW w:w="936" w:type="dxa"/>
            <w:tcBorders>
              <w:top w:val="single" w:sz="4" w:space="0" w:color="0B3D85"/>
              <w:bottom w:val="single" w:sz="4" w:space="0" w:color="0B3D85"/>
            </w:tcBorders>
            <w:shd w:val="clear" w:color="auto" w:fill="FFFFFF" w:themeFill="background1"/>
            <w:vAlign w:val="center"/>
          </w:tcPr>
          <w:p w14:paraId="62F93CB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47,384</w:t>
            </w:r>
          </w:p>
        </w:tc>
        <w:tc>
          <w:tcPr>
            <w:tcW w:w="936" w:type="dxa"/>
            <w:tcBorders>
              <w:top w:val="single" w:sz="4" w:space="0" w:color="0B3D85"/>
              <w:bottom w:val="single" w:sz="4" w:space="0" w:color="0B3D85"/>
            </w:tcBorders>
            <w:shd w:val="clear" w:color="auto" w:fill="FFFFFF" w:themeFill="background1"/>
            <w:vAlign w:val="center"/>
          </w:tcPr>
          <w:p w14:paraId="0E9B056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59,120</w:t>
            </w:r>
          </w:p>
        </w:tc>
        <w:tc>
          <w:tcPr>
            <w:tcW w:w="687" w:type="dxa"/>
            <w:tcBorders>
              <w:top w:val="single" w:sz="4" w:space="0" w:color="0B3D85"/>
              <w:bottom w:val="single" w:sz="4" w:space="0" w:color="0B3D85"/>
            </w:tcBorders>
            <w:shd w:val="clear" w:color="auto" w:fill="FFFFFF" w:themeFill="background1"/>
            <w:vAlign w:val="center"/>
          </w:tcPr>
          <w:p w14:paraId="6C2C3BB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24.6%</w:t>
            </w:r>
          </w:p>
        </w:tc>
      </w:tr>
      <w:tr w:rsidR="00563389" w:rsidRPr="00900056" w14:paraId="11013BAC"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7FD4C466"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استهلاك</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الأصول</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المملوكة</w:t>
            </w:r>
          </w:p>
        </w:tc>
        <w:tc>
          <w:tcPr>
            <w:tcW w:w="1060" w:type="dxa"/>
            <w:tcBorders>
              <w:top w:val="single" w:sz="4" w:space="0" w:color="0B3D85"/>
              <w:bottom w:val="single" w:sz="4" w:space="0" w:color="0B3D85"/>
            </w:tcBorders>
            <w:shd w:val="clear" w:color="auto" w:fill="FFFFFF" w:themeFill="background1"/>
            <w:vAlign w:val="center"/>
          </w:tcPr>
          <w:p w14:paraId="207F6E2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56,868</w:t>
            </w:r>
          </w:p>
        </w:tc>
        <w:tc>
          <w:tcPr>
            <w:tcW w:w="1342" w:type="dxa"/>
            <w:tcBorders>
              <w:top w:val="single" w:sz="4" w:space="0" w:color="0B3D85"/>
              <w:bottom w:val="single" w:sz="4" w:space="0" w:color="0B3D85"/>
            </w:tcBorders>
            <w:shd w:val="clear" w:color="auto" w:fill="FFFFFF" w:themeFill="background1"/>
            <w:vAlign w:val="center"/>
          </w:tcPr>
          <w:p w14:paraId="53B078D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56,523</w:t>
            </w:r>
          </w:p>
        </w:tc>
        <w:tc>
          <w:tcPr>
            <w:tcW w:w="984" w:type="dxa"/>
            <w:tcBorders>
              <w:top w:val="single" w:sz="4" w:space="0" w:color="0B3D85"/>
              <w:bottom w:val="single" w:sz="4" w:space="0" w:color="0B3D85"/>
            </w:tcBorders>
            <w:shd w:val="clear" w:color="auto" w:fill="FFFFFF" w:themeFill="background1"/>
            <w:vAlign w:val="center"/>
          </w:tcPr>
          <w:p w14:paraId="3418F1A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52,612</w:t>
            </w:r>
          </w:p>
        </w:tc>
        <w:tc>
          <w:tcPr>
            <w:tcW w:w="704" w:type="dxa"/>
            <w:tcBorders>
              <w:top w:val="single" w:sz="4" w:space="0" w:color="0B3D85"/>
              <w:bottom w:val="single" w:sz="4" w:space="0" w:color="0B3D85"/>
            </w:tcBorders>
            <w:shd w:val="clear" w:color="auto" w:fill="FFFFFF" w:themeFill="background1"/>
            <w:vAlign w:val="center"/>
          </w:tcPr>
          <w:p w14:paraId="3BFB5ED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(0.6%)</w:t>
            </w:r>
          </w:p>
        </w:tc>
        <w:tc>
          <w:tcPr>
            <w:tcW w:w="694" w:type="dxa"/>
            <w:tcBorders>
              <w:top w:val="single" w:sz="4" w:space="0" w:color="0B3D85"/>
              <w:bottom w:val="single" w:sz="4" w:space="0" w:color="0B3D85"/>
            </w:tcBorders>
            <w:shd w:val="clear" w:color="auto" w:fill="FFFFFF" w:themeFill="background1"/>
            <w:vAlign w:val="center"/>
          </w:tcPr>
          <w:p w14:paraId="35717F3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(6.9%)</w:t>
            </w:r>
          </w:p>
        </w:tc>
        <w:tc>
          <w:tcPr>
            <w:tcW w:w="694" w:type="dxa"/>
            <w:tcBorders>
              <w:top w:val="single" w:sz="4" w:space="0" w:color="0B3D85"/>
              <w:bottom w:val="single" w:sz="4" w:space="0" w:color="0B3D85"/>
            </w:tcBorders>
            <w:shd w:val="clear" w:color="auto" w:fill="FFFFFF" w:themeFill="background1"/>
            <w:vAlign w:val="center"/>
          </w:tcPr>
          <w:p w14:paraId="5E2B6F5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(3.8%)</w:t>
            </w:r>
          </w:p>
        </w:tc>
        <w:tc>
          <w:tcPr>
            <w:tcW w:w="936" w:type="dxa"/>
            <w:tcBorders>
              <w:top w:val="single" w:sz="4" w:space="0" w:color="0B3D85"/>
              <w:bottom w:val="single" w:sz="4" w:space="0" w:color="0B3D85"/>
            </w:tcBorders>
            <w:shd w:val="clear" w:color="auto" w:fill="FFFFFF" w:themeFill="background1"/>
            <w:vAlign w:val="center"/>
          </w:tcPr>
          <w:p w14:paraId="435C876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39,277</w:t>
            </w:r>
          </w:p>
        </w:tc>
        <w:tc>
          <w:tcPr>
            <w:tcW w:w="936" w:type="dxa"/>
            <w:tcBorders>
              <w:top w:val="single" w:sz="4" w:space="0" w:color="0B3D85"/>
              <w:bottom w:val="single" w:sz="4" w:space="0" w:color="0B3D85"/>
            </w:tcBorders>
            <w:shd w:val="clear" w:color="auto" w:fill="FFFFFF" w:themeFill="background1"/>
            <w:vAlign w:val="center"/>
          </w:tcPr>
          <w:p w14:paraId="4FC31F8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36,717</w:t>
            </w:r>
          </w:p>
        </w:tc>
        <w:tc>
          <w:tcPr>
            <w:tcW w:w="687" w:type="dxa"/>
            <w:tcBorders>
              <w:top w:val="single" w:sz="4" w:space="0" w:color="0B3D85"/>
              <w:bottom w:val="single" w:sz="4" w:space="0" w:color="0B3D85"/>
            </w:tcBorders>
            <w:shd w:val="clear" w:color="auto" w:fill="FFFFFF" w:themeFill="background1"/>
            <w:vAlign w:val="center"/>
          </w:tcPr>
          <w:p w14:paraId="0B9C94B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(6.5%)</w:t>
            </w:r>
          </w:p>
        </w:tc>
      </w:tr>
      <w:tr w:rsidR="00563389" w:rsidRPr="00900056" w14:paraId="3C4A48E6"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775AE223"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تكلفة</w:t>
            </w:r>
            <w:r w:rsidRPr="00B934CE">
              <w:rPr>
                <w:rFonts w:ascii="Traditional Arabic" w:eastAsia="Calibri" w:hAnsi="Traditional Arabic" w:cs="Traditional Arabic"/>
                <w:sz w:val="24"/>
                <w:rtl/>
              </w:rPr>
              <w:t xml:space="preserve"> توفير الطاقم </w:t>
            </w:r>
          </w:p>
        </w:tc>
        <w:tc>
          <w:tcPr>
            <w:tcW w:w="1060" w:type="dxa"/>
            <w:tcBorders>
              <w:top w:val="single" w:sz="4" w:space="0" w:color="0B3D85"/>
              <w:bottom w:val="single" w:sz="4" w:space="0" w:color="0B3D85"/>
            </w:tcBorders>
            <w:shd w:val="clear" w:color="auto" w:fill="FFFFFF" w:themeFill="background1"/>
            <w:vAlign w:val="center"/>
          </w:tcPr>
          <w:p w14:paraId="74A262C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30,771</w:t>
            </w:r>
          </w:p>
        </w:tc>
        <w:tc>
          <w:tcPr>
            <w:tcW w:w="1342" w:type="dxa"/>
            <w:tcBorders>
              <w:top w:val="single" w:sz="4" w:space="0" w:color="0B3D85"/>
              <w:bottom w:val="single" w:sz="4" w:space="0" w:color="0B3D85"/>
            </w:tcBorders>
            <w:shd w:val="clear" w:color="auto" w:fill="FFFFFF" w:themeFill="background1"/>
            <w:vAlign w:val="center"/>
          </w:tcPr>
          <w:p w14:paraId="14B5700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31,888</w:t>
            </w:r>
          </w:p>
        </w:tc>
        <w:tc>
          <w:tcPr>
            <w:tcW w:w="984" w:type="dxa"/>
            <w:tcBorders>
              <w:top w:val="single" w:sz="4" w:space="0" w:color="0B3D85"/>
              <w:bottom w:val="single" w:sz="4" w:space="0" w:color="0B3D85"/>
            </w:tcBorders>
            <w:shd w:val="clear" w:color="auto" w:fill="FFFFFF" w:themeFill="background1"/>
            <w:vAlign w:val="center"/>
          </w:tcPr>
          <w:p w14:paraId="0F9855E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30,375</w:t>
            </w:r>
          </w:p>
        </w:tc>
        <w:tc>
          <w:tcPr>
            <w:tcW w:w="704" w:type="dxa"/>
            <w:tcBorders>
              <w:top w:val="single" w:sz="4" w:space="0" w:color="0B3D85"/>
              <w:bottom w:val="single" w:sz="4" w:space="0" w:color="0B3D85"/>
            </w:tcBorders>
            <w:shd w:val="clear" w:color="auto" w:fill="FFFFFF" w:themeFill="background1"/>
            <w:vAlign w:val="center"/>
          </w:tcPr>
          <w:p w14:paraId="622434B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3.6%</w:t>
            </w:r>
          </w:p>
        </w:tc>
        <w:tc>
          <w:tcPr>
            <w:tcW w:w="694" w:type="dxa"/>
            <w:tcBorders>
              <w:top w:val="single" w:sz="4" w:space="0" w:color="0B3D85"/>
              <w:bottom w:val="single" w:sz="4" w:space="0" w:color="0B3D85"/>
            </w:tcBorders>
            <w:shd w:val="clear" w:color="auto" w:fill="FFFFFF" w:themeFill="background1"/>
            <w:vAlign w:val="center"/>
          </w:tcPr>
          <w:p w14:paraId="22073A5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w:t>
            </w:r>
          </w:p>
        </w:tc>
        <w:tc>
          <w:tcPr>
            <w:tcW w:w="694" w:type="dxa"/>
            <w:tcBorders>
              <w:top w:val="single" w:sz="4" w:space="0" w:color="0B3D85"/>
              <w:bottom w:val="single" w:sz="4" w:space="0" w:color="0B3D85"/>
            </w:tcBorders>
            <w:shd w:val="clear" w:color="auto" w:fill="FFFFFF" w:themeFill="background1"/>
            <w:vAlign w:val="center"/>
          </w:tcPr>
          <w:p w14:paraId="0A5681C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(0.6%)</w:t>
            </w:r>
          </w:p>
        </w:tc>
        <w:tc>
          <w:tcPr>
            <w:tcW w:w="936" w:type="dxa"/>
            <w:tcBorders>
              <w:top w:val="single" w:sz="4" w:space="0" w:color="0B3D85"/>
              <w:bottom w:val="single" w:sz="4" w:space="0" w:color="0B3D85"/>
            </w:tcBorders>
            <w:shd w:val="clear" w:color="auto" w:fill="FFFFFF" w:themeFill="background1"/>
            <w:vAlign w:val="center"/>
          </w:tcPr>
          <w:p w14:paraId="33BDD5D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22,186</w:t>
            </w:r>
          </w:p>
        </w:tc>
        <w:tc>
          <w:tcPr>
            <w:tcW w:w="936" w:type="dxa"/>
            <w:tcBorders>
              <w:top w:val="single" w:sz="4" w:space="0" w:color="0B3D85"/>
              <w:bottom w:val="single" w:sz="4" w:space="0" w:color="0B3D85"/>
            </w:tcBorders>
            <w:shd w:val="clear" w:color="auto" w:fill="FFFFFF" w:themeFill="background1"/>
            <w:vAlign w:val="center"/>
          </w:tcPr>
          <w:p w14:paraId="14C22A9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23,973</w:t>
            </w:r>
          </w:p>
        </w:tc>
        <w:tc>
          <w:tcPr>
            <w:tcW w:w="687" w:type="dxa"/>
            <w:tcBorders>
              <w:top w:val="single" w:sz="4" w:space="0" w:color="0B3D85"/>
              <w:bottom w:val="single" w:sz="4" w:space="0" w:color="0B3D85"/>
            </w:tcBorders>
            <w:shd w:val="clear" w:color="auto" w:fill="FFFFFF" w:themeFill="background1"/>
            <w:vAlign w:val="center"/>
          </w:tcPr>
          <w:p w14:paraId="77E8E29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8.1%</w:t>
            </w:r>
          </w:p>
        </w:tc>
      </w:tr>
      <w:tr w:rsidR="00563389" w:rsidRPr="00900056" w14:paraId="5025971B"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08DB6B50"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الصيانة</w:t>
            </w:r>
            <w:r w:rsidRPr="00B934CE">
              <w:rPr>
                <w:rFonts w:ascii="Traditional Arabic" w:eastAsia="Calibri" w:hAnsi="Traditional Arabic" w:cs="Traditional Arabic"/>
                <w:sz w:val="24"/>
                <w:rtl/>
              </w:rPr>
              <w:t xml:space="preserve"> والإصلاح </w:t>
            </w:r>
          </w:p>
        </w:tc>
        <w:tc>
          <w:tcPr>
            <w:tcW w:w="1060" w:type="dxa"/>
            <w:tcBorders>
              <w:top w:val="single" w:sz="4" w:space="0" w:color="0B3D85"/>
              <w:bottom w:val="single" w:sz="4" w:space="0" w:color="0B3D85"/>
            </w:tcBorders>
            <w:shd w:val="clear" w:color="auto" w:fill="FFFFFF" w:themeFill="background1"/>
            <w:vAlign w:val="center"/>
          </w:tcPr>
          <w:p w14:paraId="64B081A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9,068</w:t>
            </w:r>
          </w:p>
        </w:tc>
        <w:tc>
          <w:tcPr>
            <w:tcW w:w="1342" w:type="dxa"/>
            <w:tcBorders>
              <w:top w:val="single" w:sz="4" w:space="0" w:color="0B3D85"/>
              <w:bottom w:val="single" w:sz="4" w:space="0" w:color="0B3D85"/>
            </w:tcBorders>
            <w:shd w:val="clear" w:color="auto" w:fill="FFFFFF" w:themeFill="background1"/>
            <w:vAlign w:val="center"/>
          </w:tcPr>
          <w:p w14:paraId="626BAAB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15,810</w:t>
            </w:r>
          </w:p>
        </w:tc>
        <w:tc>
          <w:tcPr>
            <w:tcW w:w="984" w:type="dxa"/>
            <w:tcBorders>
              <w:top w:val="single" w:sz="4" w:space="0" w:color="0B3D85"/>
              <w:bottom w:val="single" w:sz="4" w:space="0" w:color="0B3D85"/>
            </w:tcBorders>
            <w:shd w:val="clear" w:color="auto" w:fill="FFFFFF" w:themeFill="background1"/>
            <w:vAlign w:val="center"/>
          </w:tcPr>
          <w:p w14:paraId="57819C7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9,753</w:t>
            </w:r>
          </w:p>
        </w:tc>
        <w:tc>
          <w:tcPr>
            <w:tcW w:w="704" w:type="dxa"/>
            <w:tcBorders>
              <w:top w:val="single" w:sz="4" w:space="0" w:color="0B3D85"/>
              <w:bottom w:val="single" w:sz="4" w:space="0" w:color="0B3D85"/>
            </w:tcBorders>
            <w:shd w:val="clear" w:color="auto" w:fill="FFFFFF" w:themeFill="background1"/>
            <w:vAlign w:val="center"/>
          </w:tcPr>
          <w:p w14:paraId="225BE3C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74.3%</w:t>
            </w:r>
          </w:p>
        </w:tc>
        <w:tc>
          <w:tcPr>
            <w:tcW w:w="694" w:type="dxa"/>
            <w:tcBorders>
              <w:top w:val="single" w:sz="4" w:space="0" w:color="0B3D85"/>
              <w:bottom w:val="single" w:sz="4" w:space="0" w:color="0B3D85"/>
            </w:tcBorders>
            <w:shd w:val="clear" w:color="auto" w:fill="FFFFFF" w:themeFill="background1"/>
            <w:vAlign w:val="center"/>
          </w:tcPr>
          <w:p w14:paraId="3A3E611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(38.3%)</w:t>
            </w:r>
          </w:p>
        </w:tc>
        <w:tc>
          <w:tcPr>
            <w:tcW w:w="694" w:type="dxa"/>
            <w:tcBorders>
              <w:top w:val="single" w:sz="4" w:space="0" w:color="0B3D85"/>
              <w:bottom w:val="single" w:sz="4" w:space="0" w:color="0B3D85"/>
            </w:tcBorders>
            <w:shd w:val="clear" w:color="auto" w:fill="FFFFFF" w:themeFill="background1"/>
            <w:vAlign w:val="center"/>
          </w:tcPr>
          <w:p w14:paraId="061FD61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3.7%</w:t>
            </w:r>
          </w:p>
        </w:tc>
        <w:tc>
          <w:tcPr>
            <w:tcW w:w="936" w:type="dxa"/>
            <w:tcBorders>
              <w:top w:val="single" w:sz="4" w:space="0" w:color="0B3D85"/>
              <w:bottom w:val="single" w:sz="4" w:space="0" w:color="0B3D85"/>
            </w:tcBorders>
            <w:shd w:val="clear" w:color="auto" w:fill="FFFFFF" w:themeFill="background1"/>
            <w:vAlign w:val="center"/>
          </w:tcPr>
          <w:p w14:paraId="0E64502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7,356</w:t>
            </w:r>
          </w:p>
        </w:tc>
        <w:tc>
          <w:tcPr>
            <w:tcW w:w="936" w:type="dxa"/>
            <w:tcBorders>
              <w:top w:val="single" w:sz="4" w:space="0" w:color="0B3D85"/>
              <w:bottom w:val="single" w:sz="4" w:space="0" w:color="0B3D85"/>
            </w:tcBorders>
            <w:shd w:val="clear" w:color="auto" w:fill="FFFFFF" w:themeFill="background1"/>
            <w:vAlign w:val="center"/>
          </w:tcPr>
          <w:p w14:paraId="396392F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8,423</w:t>
            </w:r>
          </w:p>
        </w:tc>
        <w:tc>
          <w:tcPr>
            <w:tcW w:w="687" w:type="dxa"/>
            <w:tcBorders>
              <w:top w:val="single" w:sz="4" w:space="0" w:color="0B3D85"/>
              <w:bottom w:val="single" w:sz="4" w:space="0" w:color="0B3D85"/>
            </w:tcBorders>
            <w:shd w:val="clear" w:color="auto" w:fill="FFFFFF" w:themeFill="background1"/>
            <w:vAlign w:val="center"/>
          </w:tcPr>
          <w:p w14:paraId="3C09699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14.5%</w:t>
            </w:r>
          </w:p>
        </w:tc>
      </w:tr>
      <w:tr w:rsidR="00563389" w:rsidRPr="00900056" w14:paraId="4A495BB2"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4D22D64D"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lastRenderedPageBreak/>
              <w:t>مواد</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استهلاكية</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ومخازن</w:t>
            </w:r>
          </w:p>
        </w:tc>
        <w:tc>
          <w:tcPr>
            <w:tcW w:w="1060" w:type="dxa"/>
            <w:tcBorders>
              <w:top w:val="single" w:sz="4" w:space="0" w:color="0B3D85"/>
              <w:bottom w:val="single" w:sz="4" w:space="0" w:color="0B3D85"/>
            </w:tcBorders>
            <w:shd w:val="clear" w:color="auto" w:fill="FFFFFF" w:themeFill="background1"/>
            <w:vAlign w:val="center"/>
          </w:tcPr>
          <w:p w14:paraId="4C842C9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4,770</w:t>
            </w:r>
          </w:p>
        </w:tc>
        <w:tc>
          <w:tcPr>
            <w:tcW w:w="1342" w:type="dxa"/>
            <w:tcBorders>
              <w:top w:val="single" w:sz="4" w:space="0" w:color="0B3D85"/>
              <w:bottom w:val="single" w:sz="4" w:space="0" w:color="0B3D85"/>
            </w:tcBorders>
            <w:shd w:val="clear" w:color="auto" w:fill="FFFFFF" w:themeFill="background1"/>
            <w:vAlign w:val="center"/>
          </w:tcPr>
          <w:p w14:paraId="05AFE79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5,454</w:t>
            </w:r>
          </w:p>
        </w:tc>
        <w:tc>
          <w:tcPr>
            <w:tcW w:w="984" w:type="dxa"/>
            <w:tcBorders>
              <w:top w:val="single" w:sz="4" w:space="0" w:color="0B3D85"/>
              <w:bottom w:val="single" w:sz="4" w:space="0" w:color="0B3D85"/>
            </w:tcBorders>
            <w:shd w:val="clear" w:color="auto" w:fill="FFFFFF" w:themeFill="background1"/>
            <w:vAlign w:val="center"/>
          </w:tcPr>
          <w:p w14:paraId="4855397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5,246</w:t>
            </w:r>
          </w:p>
        </w:tc>
        <w:tc>
          <w:tcPr>
            <w:tcW w:w="704" w:type="dxa"/>
            <w:tcBorders>
              <w:top w:val="single" w:sz="4" w:space="0" w:color="0B3D85"/>
              <w:bottom w:val="single" w:sz="4" w:space="0" w:color="0B3D85"/>
            </w:tcBorders>
            <w:shd w:val="clear" w:color="auto" w:fill="FFFFFF" w:themeFill="background1"/>
            <w:vAlign w:val="center"/>
          </w:tcPr>
          <w:p w14:paraId="088981D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14.3%</w:t>
            </w:r>
          </w:p>
        </w:tc>
        <w:tc>
          <w:tcPr>
            <w:tcW w:w="694" w:type="dxa"/>
            <w:tcBorders>
              <w:top w:val="single" w:sz="4" w:space="0" w:color="0B3D85"/>
              <w:bottom w:val="single" w:sz="4" w:space="0" w:color="0B3D85"/>
            </w:tcBorders>
            <w:shd w:val="clear" w:color="auto" w:fill="FFFFFF" w:themeFill="background1"/>
            <w:vAlign w:val="center"/>
          </w:tcPr>
          <w:p w14:paraId="1E47BEA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(3.8%)</w:t>
            </w:r>
          </w:p>
        </w:tc>
        <w:tc>
          <w:tcPr>
            <w:tcW w:w="694" w:type="dxa"/>
            <w:tcBorders>
              <w:top w:val="single" w:sz="4" w:space="0" w:color="0B3D85"/>
              <w:bottom w:val="single" w:sz="4" w:space="0" w:color="0B3D85"/>
            </w:tcBorders>
            <w:shd w:val="clear" w:color="auto" w:fill="FFFFFF" w:themeFill="background1"/>
            <w:vAlign w:val="center"/>
          </w:tcPr>
          <w:p w14:paraId="4169A51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4.9%</w:t>
            </w:r>
          </w:p>
        </w:tc>
        <w:tc>
          <w:tcPr>
            <w:tcW w:w="936" w:type="dxa"/>
            <w:tcBorders>
              <w:top w:val="single" w:sz="4" w:space="0" w:color="0B3D85"/>
              <w:bottom w:val="single" w:sz="4" w:space="0" w:color="0B3D85"/>
            </w:tcBorders>
            <w:shd w:val="clear" w:color="auto" w:fill="FFFFFF" w:themeFill="background1"/>
            <w:vAlign w:val="center"/>
          </w:tcPr>
          <w:p w14:paraId="0CEF6BC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4,101</w:t>
            </w:r>
          </w:p>
        </w:tc>
        <w:tc>
          <w:tcPr>
            <w:tcW w:w="936" w:type="dxa"/>
            <w:tcBorders>
              <w:top w:val="single" w:sz="4" w:space="0" w:color="0B3D85"/>
              <w:bottom w:val="single" w:sz="4" w:space="0" w:color="0B3D85"/>
            </w:tcBorders>
            <w:shd w:val="clear" w:color="auto" w:fill="FFFFFF" w:themeFill="background1"/>
            <w:vAlign w:val="center"/>
          </w:tcPr>
          <w:p w14:paraId="5807686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3,197</w:t>
            </w:r>
          </w:p>
        </w:tc>
        <w:tc>
          <w:tcPr>
            <w:tcW w:w="687" w:type="dxa"/>
            <w:tcBorders>
              <w:top w:val="single" w:sz="4" w:space="0" w:color="0B3D85"/>
              <w:bottom w:val="single" w:sz="4" w:space="0" w:color="0B3D85"/>
            </w:tcBorders>
            <w:shd w:val="clear" w:color="auto" w:fill="FFFFFF" w:themeFill="background1"/>
            <w:vAlign w:val="center"/>
          </w:tcPr>
          <w:p w14:paraId="2F3CCB2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(22.0%)</w:t>
            </w:r>
          </w:p>
        </w:tc>
      </w:tr>
      <w:tr w:rsidR="00563389" w:rsidRPr="00900056" w14:paraId="38736156"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7B4FAA08"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تأمين</w:t>
            </w:r>
            <w:r w:rsidRPr="00B934CE">
              <w:rPr>
                <w:rFonts w:ascii="Traditional Arabic" w:eastAsia="Calibri" w:hAnsi="Traditional Arabic" w:cs="Traditional Arabic"/>
                <w:sz w:val="24"/>
                <w:rtl/>
              </w:rPr>
              <w:t xml:space="preserve"> </w:t>
            </w:r>
          </w:p>
        </w:tc>
        <w:tc>
          <w:tcPr>
            <w:tcW w:w="1060" w:type="dxa"/>
            <w:tcBorders>
              <w:top w:val="single" w:sz="4" w:space="0" w:color="0B3D85"/>
              <w:bottom w:val="single" w:sz="4" w:space="0" w:color="0B3D85"/>
            </w:tcBorders>
            <w:shd w:val="clear" w:color="auto" w:fill="FFFFFF" w:themeFill="background1"/>
            <w:vAlign w:val="center"/>
          </w:tcPr>
          <w:p w14:paraId="3A3AE41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3,667</w:t>
            </w:r>
          </w:p>
        </w:tc>
        <w:tc>
          <w:tcPr>
            <w:tcW w:w="1342" w:type="dxa"/>
            <w:tcBorders>
              <w:top w:val="single" w:sz="4" w:space="0" w:color="0B3D85"/>
              <w:bottom w:val="single" w:sz="4" w:space="0" w:color="0B3D85"/>
            </w:tcBorders>
            <w:shd w:val="clear" w:color="auto" w:fill="FFFFFF" w:themeFill="background1"/>
            <w:vAlign w:val="center"/>
          </w:tcPr>
          <w:p w14:paraId="004D823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3,575</w:t>
            </w:r>
          </w:p>
        </w:tc>
        <w:tc>
          <w:tcPr>
            <w:tcW w:w="984" w:type="dxa"/>
            <w:tcBorders>
              <w:top w:val="single" w:sz="4" w:space="0" w:color="0B3D85"/>
              <w:bottom w:val="single" w:sz="4" w:space="0" w:color="0B3D85"/>
            </w:tcBorders>
            <w:shd w:val="clear" w:color="auto" w:fill="FFFFFF" w:themeFill="background1"/>
            <w:vAlign w:val="center"/>
          </w:tcPr>
          <w:p w14:paraId="3888C6A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3,408</w:t>
            </w:r>
          </w:p>
        </w:tc>
        <w:tc>
          <w:tcPr>
            <w:tcW w:w="704" w:type="dxa"/>
            <w:tcBorders>
              <w:top w:val="single" w:sz="4" w:space="0" w:color="0B3D85"/>
              <w:bottom w:val="single" w:sz="4" w:space="0" w:color="0B3D85"/>
            </w:tcBorders>
            <w:shd w:val="clear" w:color="auto" w:fill="FFFFFF" w:themeFill="background1"/>
            <w:vAlign w:val="center"/>
          </w:tcPr>
          <w:p w14:paraId="723AC71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c>
          <w:tcPr>
            <w:tcW w:w="694" w:type="dxa"/>
            <w:tcBorders>
              <w:top w:val="single" w:sz="4" w:space="0" w:color="0B3D85"/>
              <w:bottom w:val="single" w:sz="4" w:space="0" w:color="0B3D85"/>
            </w:tcBorders>
            <w:shd w:val="clear" w:color="auto" w:fill="FFFFFF" w:themeFill="background1"/>
            <w:vAlign w:val="center"/>
          </w:tcPr>
          <w:p w14:paraId="53F5C42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w:t>
            </w:r>
          </w:p>
        </w:tc>
        <w:tc>
          <w:tcPr>
            <w:tcW w:w="694" w:type="dxa"/>
            <w:tcBorders>
              <w:top w:val="single" w:sz="4" w:space="0" w:color="0B3D85"/>
              <w:bottom w:val="single" w:sz="4" w:space="0" w:color="0B3D85"/>
            </w:tcBorders>
            <w:shd w:val="clear" w:color="auto" w:fill="FFFFFF" w:themeFill="background1"/>
            <w:vAlign w:val="center"/>
          </w:tcPr>
          <w:p w14:paraId="1674035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(3.6%)</w:t>
            </w:r>
          </w:p>
        </w:tc>
        <w:tc>
          <w:tcPr>
            <w:tcW w:w="936" w:type="dxa"/>
            <w:tcBorders>
              <w:top w:val="single" w:sz="4" w:space="0" w:color="0B3D85"/>
              <w:bottom w:val="single" w:sz="4" w:space="0" w:color="0B3D85"/>
            </w:tcBorders>
            <w:shd w:val="clear" w:color="auto" w:fill="FFFFFF" w:themeFill="background1"/>
            <w:vAlign w:val="center"/>
          </w:tcPr>
          <w:p w14:paraId="7BB0BFE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2,478</w:t>
            </w:r>
          </w:p>
        </w:tc>
        <w:tc>
          <w:tcPr>
            <w:tcW w:w="936" w:type="dxa"/>
            <w:tcBorders>
              <w:top w:val="single" w:sz="4" w:space="0" w:color="0B3D85"/>
              <w:bottom w:val="single" w:sz="4" w:space="0" w:color="0B3D85"/>
            </w:tcBorders>
            <w:shd w:val="clear" w:color="auto" w:fill="FFFFFF" w:themeFill="background1"/>
            <w:vAlign w:val="center"/>
          </w:tcPr>
          <w:p w14:paraId="46BFBE1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2,787</w:t>
            </w:r>
          </w:p>
        </w:tc>
        <w:tc>
          <w:tcPr>
            <w:tcW w:w="687" w:type="dxa"/>
            <w:tcBorders>
              <w:top w:val="single" w:sz="4" w:space="0" w:color="0B3D85"/>
              <w:bottom w:val="single" w:sz="4" w:space="0" w:color="0B3D85"/>
            </w:tcBorders>
            <w:shd w:val="clear" w:color="auto" w:fill="FFFFFF" w:themeFill="background1"/>
            <w:vAlign w:val="center"/>
          </w:tcPr>
          <w:p w14:paraId="44EC4DD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12.5%</w:t>
            </w:r>
          </w:p>
        </w:tc>
      </w:tr>
      <w:tr w:rsidR="00900056" w:rsidRPr="00900056" w14:paraId="4B6BBD23"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3D6A0279"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أتعاب</w:t>
            </w:r>
            <w:r w:rsidRPr="00B934CE">
              <w:rPr>
                <w:rFonts w:ascii="Traditional Arabic" w:eastAsia="Calibri" w:hAnsi="Traditional Arabic" w:cs="Traditional Arabic"/>
                <w:sz w:val="24"/>
                <w:rtl/>
              </w:rPr>
              <w:t xml:space="preserve"> إدارة السفن </w:t>
            </w:r>
          </w:p>
        </w:tc>
        <w:tc>
          <w:tcPr>
            <w:tcW w:w="1060" w:type="dxa"/>
            <w:tcBorders>
              <w:top w:val="single" w:sz="4" w:space="0" w:color="0B3D85"/>
              <w:bottom w:val="single" w:sz="4" w:space="0" w:color="0B3D85"/>
            </w:tcBorders>
            <w:shd w:val="clear" w:color="auto" w:fill="FFFFFF" w:themeFill="background1"/>
            <w:vAlign w:val="center"/>
          </w:tcPr>
          <w:p w14:paraId="26EDBAD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248</w:t>
            </w:r>
          </w:p>
        </w:tc>
        <w:tc>
          <w:tcPr>
            <w:tcW w:w="1342" w:type="dxa"/>
            <w:tcBorders>
              <w:top w:val="single" w:sz="4" w:space="0" w:color="0B3D85"/>
              <w:bottom w:val="single" w:sz="4" w:space="0" w:color="0B3D85"/>
            </w:tcBorders>
            <w:shd w:val="clear" w:color="auto" w:fill="FFFFFF" w:themeFill="background1"/>
            <w:vAlign w:val="center"/>
          </w:tcPr>
          <w:p w14:paraId="0924BC1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188</w:t>
            </w:r>
          </w:p>
        </w:tc>
        <w:tc>
          <w:tcPr>
            <w:tcW w:w="984" w:type="dxa"/>
            <w:tcBorders>
              <w:top w:val="single" w:sz="4" w:space="0" w:color="0B3D85"/>
              <w:bottom w:val="single" w:sz="4" w:space="0" w:color="0B3D85"/>
            </w:tcBorders>
            <w:shd w:val="clear" w:color="auto" w:fill="FFFFFF" w:themeFill="background1"/>
            <w:vAlign w:val="center"/>
          </w:tcPr>
          <w:p w14:paraId="61519CB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222</w:t>
            </w:r>
          </w:p>
        </w:tc>
        <w:tc>
          <w:tcPr>
            <w:tcW w:w="704" w:type="dxa"/>
            <w:tcBorders>
              <w:top w:val="single" w:sz="4" w:space="0" w:color="0B3D85"/>
              <w:bottom w:val="single" w:sz="4" w:space="0" w:color="0B3D85"/>
            </w:tcBorders>
            <w:shd w:val="clear" w:color="auto" w:fill="FFFFFF" w:themeFill="background1"/>
            <w:vAlign w:val="center"/>
          </w:tcPr>
          <w:p w14:paraId="12F6262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(24.2%)</w:t>
            </w:r>
          </w:p>
        </w:tc>
        <w:tc>
          <w:tcPr>
            <w:tcW w:w="694" w:type="dxa"/>
            <w:tcBorders>
              <w:top w:val="single" w:sz="4" w:space="0" w:color="0B3D85"/>
              <w:bottom w:val="single" w:sz="4" w:space="0" w:color="0B3D85"/>
            </w:tcBorders>
            <w:shd w:val="clear" w:color="auto" w:fill="FFFFFF" w:themeFill="background1"/>
            <w:vAlign w:val="center"/>
          </w:tcPr>
          <w:p w14:paraId="08232BF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18.0%</w:t>
            </w:r>
          </w:p>
        </w:tc>
        <w:tc>
          <w:tcPr>
            <w:tcW w:w="694" w:type="dxa"/>
            <w:tcBorders>
              <w:top w:val="single" w:sz="4" w:space="0" w:color="0B3D85"/>
              <w:bottom w:val="single" w:sz="4" w:space="0" w:color="0B3D85"/>
            </w:tcBorders>
            <w:shd w:val="clear" w:color="auto" w:fill="FFFFFF" w:themeFill="background1"/>
            <w:vAlign w:val="center"/>
          </w:tcPr>
          <w:p w14:paraId="485A959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(5.4%)</w:t>
            </w:r>
          </w:p>
        </w:tc>
        <w:tc>
          <w:tcPr>
            <w:tcW w:w="936" w:type="dxa"/>
            <w:tcBorders>
              <w:top w:val="single" w:sz="4" w:space="0" w:color="0B3D85"/>
              <w:bottom w:val="single" w:sz="4" w:space="0" w:color="0B3D85"/>
            </w:tcBorders>
            <w:shd w:val="clear" w:color="auto" w:fill="FFFFFF" w:themeFill="background1"/>
            <w:vAlign w:val="center"/>
          </w:tcPr>
          <w:p w14:paraId="5629D38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135</w:t>
            </w:r>
          </w:p>
        </w:tc>
        <w:tc>
          <w:tcPr>
            <w:tcW w:w="936" w:type="dxa"/>
            <w:tcBorders>
              <w:top w:val="single" w:sz="4" w:space="0" w:color="0B3D85"/>
              <w:bottom w:val="single" w:sz="4" w:space="0" w:color="0B3D85"/>
            </w:tcBorders>
            <w:shd w:val="clear" w:color="auto" w:fill="FFFFFF" w:themeFill="background1"/>
            <w:vAlign w:val="center"/>
          </w:tcPr>
          <w:p w14:paraId="1DA44CF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128</w:t>
            </w:r>
          </w:p>
        </w:tc>
        <w:tc>
          <w:tcPr>
            <w:tcW w:w="687" w:type="dxa"/>
            <w:tcBorders>
              <w:top w:val="single" w:sz="4" w:space="0" w:color="0B3D85"/>
              <w:bottom w:val="single" w:sz="4" w:space="0" w:color="0B3D85"/>
            </w:tcBorders>
            <w:shd w:val="clear" w:color="auto" w:fill="FFFFFF" w:themeFill="background1"/>
            <w:vAlign w:val="center"/>
          </w:tcPr>
          <w:p w14:paraId="432A5E2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(5.3%)</w:t>
            </w:r>
          </w:p>
        </w:tc>
      </w:tr>
      <w:tr w:rsidR="00900056" w:rsidRPr="00900056" w14:paraId="7C798DE2"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7F43CAEB"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b/>
                <w:bCs/>
                <w:sz w:val="24"/>
                <w:rtl/>
              </w:rPr>
              <w:t>الإجمالي</w:t>
            </w:r>
          </w:p>
        </w:tc>
        <w:tc>
          <w:tcPr>
            <w:tcW w:w="1060" w:type="dxa"/>
            <w:tcBorders>
              <w:top w:val="single" w:sz="4" w:space="0" w:color="0B3D85"/>
              <w:bottom w:val="single" w:sz="4" w:space="0" w:color="0B3D85"/>
            </w:tcBorders>
            <w:shd w:val="clear" w:color="auto" w:fill="FFFFFF" w:themeFill="background1"/>
            <w:vAlign w:val="center"/>
          </w:tcPr>
          <w:p w14:paraId="66CC861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115,270</w:t>
            </w:r>
          </w:p>
        </w:tc>
        <w:tc>
          <w:tcPr>
            <w:tcW w:w="1342" w:type="dxa"/>
            <w:tcBorders>
              <w:top w:val="single" w:sz="4" w:space="0" w:color="0B3D85"/>
              <w:bottom w:val="single" w:sz="4" w:space="0" w:color="0B3D85"/>
            </w:tcBorders>
            <w:shd w:val="clear" w:color="auto" w:fill="FFFFFF" w:themeFill="background1"/>
            <w:vAlign w:val="center"/>
          </w:tcPr>
          <w:p w14:paraId="4F410FC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138,036</w:t>
            </w:r>
          </w:p>
        </w:tc>
        <w:tc>
          <w:tcPr>
            <w:tcW w:w="984" w:type="dxa"/>
            <w:tcBorders>
              <w:top w:val="single" w:sz="4" w:space="0" w:color="0B3D85"/>
              <w:bottom w:val="single" w:sz="4" w:space="0" w:color="0B3D85"/>
            </w:tcBorders>
            <w:shd w:val="clear" w:color="auto" w:fill="FFFFFF" w:themeFill="background1"/>
            <w:vAlign w:val="center"/>
          </w:tcPr>
          <w:p w14:paraId="0E06FC9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170,570</w:t>
            </w:r>
          </w:p>
        </w:tc>
        <w:tc>
          <w:tcPr>
            <w:tcW w:w="704" w:type="dxa"/>
            <w:tcBorders>
              <w:top w:val="single" w:sz="4" w:space="0" w:color="0B3D85"/>
              <w:bottom w:val="single" w:sz="4" w:space="0" w:color="0B3D85"/>
            </w:tcBorders>
            <w:shd w:val="clear" w:color="auto" w:fill="FFFFFF" w:themeFill="background1"/>
            <w:vAlign w:val="center"/>
          </w:tcPr>
          <w:p w14:paraId="3D1508A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19.8%</w:t>
            </w:r>
          </w:p>
        </w:tc>
        <w:tc>
          <w:tcPr>
            <w:tcW w:w="694" w:type="dxa"/>
            <w:tcBorders>
              <w:top w:val="single" w:sz="4" w:space="0" w:color="0B3D85"/>
              <w:bottom w:val="single" w:sz="4" w:space="0" w:color="0B3D85"/>
            </w:tcBorders>
            <w:shd w:val="clear" w:color="auto" w:fill="FFFFFF" w:themeFill="background1"/>
            <w:vAlign w:val="center"/>
          </w:tcPr>
          <w:p w14:paraId="6AF968F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23.6%</w:t>
            </w:r>
          </w:p>
        </w:tc>
        <w:tc>
          <w:tcPr>
            <w:tcW w:w="694" w:type="dxa"/>
            <w:tcBorders>
              <w:top w:val="single" w:sz="4" w:space="0" w:color="0B3D85"/>
              <w:bottom w:val="single" w:sz="4" w:space="0" w:color="0B3D85"/>
            </w:tcBorders>
            <w:shd w:val="clear" w:color="auto" w:fill="FFFFFF" w:themeFill="background1"/>
            <w:vAlign w:val="center"/>
          </w:tcPr>
          <w:p w14:paraId="7D3CF9C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21.6%</w:t>
            </w:r>
          </w:p>
        </w:tc>
        <w:tc>
          <w:tcPr>
            <w:tcW w:w="936" w:type="dxa"/>
            <w:tcBorders>
              <w:top w:val="single" w:sz="4" w:space="0" w:color="0B3D85"/>
              <w:bottom w:val="single" w:sz="4" w:space="0" w:color="0B3D85"/>
            </w:tcBorders>
            <w:shd w:val="clear" w:color="auto" w:fill="FFFFFF" w:themeFill="background1"/>
            <w:vAlign w:val="center"/>
          </w:tcPr>
          <w:p w14:paraId="2747926D"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122,917</w:t>
            </w:r>
          </w:p>
        </w:tc>
        <w:tc>
          <w:tcPr>
            <w:tcW w:w="936" w:type="dxa"/>
            <w:tcBorders>
              <w:top w:val="single" w:sz="4" w:space="0" w:color="0B3D85"/>
              <w:bottom w:val="single" w:sz="4" w:space="0" w:color="0B3D85"/>
            </w:tcBorders>
            <w:shd w:val="clear" w:color="auto" w:fill="FFFFFF" w:themeFill="background1"/>
            <w:vAlign w:val="center"/>
          </w:tcPr>
          <w:p w14:paraId="7FC9238E"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134,344</w:t>
            </w:r>
          </w:p>
        </w:tc>
        <w:tc>
          <w:tcPr>
            <w:tcW w:w="687" w:type="dxa"/>
            <w:tcBorders>
              <w:top w:val="single" w:sz="4" w:space="0" w:color="0B3D85"/>
              <w:bottom w:val="single" w:sz="4" w:space="0" w:color="0B3D85"/>
            </w:tcBorders>
            <w:shd w:val="clear" w:color="auto" w:fill="FFFFFF" w:themeFill="background1"/>
            <w:vAlign w:val="center"/>
          </w:tcPr>
          <w:p w14:paraId="6265F51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9.3%</w:t>
            </w:r>
          </w:p>
        </w:tc>
      </w:tr>
      <w:tr w:rsidR="00900056" w:rsidRPr="00900056" w14:paraId="557375F1" w14:textId="77777777" w:rsidTr="00922116">
        <w:trPr>
          <w:trHeight w:val="179"/>
        </w:trPr>
        <w:tc>
          <w:tcPr>
            <w:tcW w:w="1340" w:type="dxa"/>
            <w:tcBorders>
              <w:top w:val="single" w:sz="4" w:space="0" w:color="0B3D85"/>
              <w:bottom w:val="single" w:sz="4" w:space="0" w:color="0B3D85"/>
            </w:tcBorders>
            <w:shd w:val="clear" w:color="auto" w:fill="F2F2F2" w:themeFill="background1" w:themeFillShade="F2"/>
            <w:vAlign w:val="center"/>
          </w:tcPr>
          <w:p w14:paraId="5E451F52" w14:textId="77777777" w:rsidR="00563389" w:rsidRPr="00B934CE" w:rsidRDefault="00563389" w:rsidP="00B934CE">
            <w:pPr>
              <w:bidi/>
              <w:rPr>
                <w:rFonts w:ascii="Traditional Arabic" w:eastAsia="Calibri" w:hAnsi="Traditional Arabic" w:cs="Traditional Arabic"/>
                <w:b/>
                <w:bCs/>
                <w:sz w:val="24"/>
                <w:rtl/>
              </w:rPr>
            </w:pPr>
          </w:p>
        </w:tc>
        <w:tc>
          <w:tcPr>
            <w:tcW w:w="3386" w:type="dxa"/>
            <w:gridSpan w:val="3"/>
            <w:tcBorders>
              <w:top w:val="single" w:sz="4" w:space="0" w:color="0B3D85"/>
              <w:bottom w:val="single" w:sz="4" w:space="0" w:color="0B3D85"/>
            </w:tcBorders>
            <w:shd w:val="clear" w:color="auto" w:fill="F2F2F2" w:themeFill="background1" w:themeFillShade="F2"/>
            <w:vAlign w:val="center"/>
          </w:tcPr>
          <w:p w14:paraId="1CCF6F52" w14:textId="77777777" w:rsidR="00563389" w:rsidRPr="00B934CE" w:rsidRDefault="00563389" w:rsidP="00B934CE">
            <w:pPr>
              <w:bidi/>
              <w:jc w:val="center"/>
              <w:rPr>
                <w:rFonts w:ascii="Traditional Arabic" w:hAnsi="Traditional Arabic" w:cs="Traditional Arabic"/>
                <w:sz w:val="24"/>
              </w:rPr>
            </w:pPr>
            <w:r w:rsidRPr="00B934CE">
              <w:rPr>
                <w:rFonts w:ascii="Traditional Arabic" w:hAnsi="Traditional Arabic" w:cs="Traditional Arabic"/>
                <w:sz w:val="24"/>
                <w:rtl/>
              </w:rPr>
              <w:t>كنسبة مئوية من إجمالي الإيرادات</w:t>
            </w:r>
          </w:p>
        </w:tc>
        <w:tc>
          <w:tcPr>
            <w:tcW w:w="2092" w:type="dxa"/>
            <w:gridSpan w:val="3"/>
            <w:tcBorders>
              <w:top w:val="single" w:sz="4" w:space="0" w:color="0B3D85"/>
              <w:bottom w:val="single" w:sz="4" w:space="0" w:color="0B3D85"/>
            </w:tcBorders>
            <w:shd w:val="clear" w:color="auto" w:fill="F2F2F2" w:themeFill="background1" w:themeFillShade="F2"/>
            <w:vAlign w:val="center"/>
          </w:tcPr>
          <w:p w14:paraId="5CEE7128" w14:textId="77777777" w:rsidR="00563389" w:rsidRPr="00B934CE" w:rsidRDefault="00563389"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c>
          <w:tcPr>
            <w:tcW w:w="1872" w:type="dxa"/>
            <w:gridSpan w:val="2"/>
            <w:tcBorders>
              <w:top w:val="single" w:sz="4" w:space="0" w:color="0B3D85"/>
              <w:bottom w:val="single" w:sz="4" w:space="0" w:color="0B3D85"/>
            </w:tcBorders>
            <w:shd w:val="clear" w:color="auto" w:fill="F2F2F2" w:themeFill="background1" w:themeFillShade="F2"/>
            <w:vAlign w:val="center"/>
          </w:tcPr>
          <w:p w14:paraId="4277F99A" w14:textId="77777777" w:rsidR="00563389" w:rsidRPr="00B934CE" w:rsidRDefault="00563389" w:rsidP="00B934CE">
            <w:pPr>
              <w:bidi/>
              <w:jc w:val="both"/>
              <w:rPr>
                <w:rFonts w:ascii="Traditional Arabic" w:hAnsi="Traditional Arabic" w:cs="Traditional Arabic"/>
                <w:sz w:val="24"/>
                <w:rtl/>
              </w:rPr>
            </w:pPr>
            <w:r w:rsidRPr="00B934CE">
              <w:rPr>
                <w:rFonts w:ascii="Traditional Arabic" w:hAnsi="Traditional Arabic" w:cs="Traditional Arabic"/>
                <w:sz w:val="24"/>
                <w:rtl/>
              </w:rPr>
              <w:t>كنسبة مئوية من إجمالي الإيرادات</w:t>
            </w:r>
          </w:p>
        </w:tc>
        <w:tc>
          <w:tcPr>
            <w:tcW w:w="687" w:type="dxa"/>
            <w:tcBorders>
              <w:top w:val="single" w:sz="4" w:space="0" w:color="0B3D85"/>
              <w:bottom w:val="single" w:sz="4" w:space="0" w:color="0B3D85"/>
            </w:tcBorders>
            <w:shd w:val="clear" w:color="auto" w:fill="F2F2F2" w:themeFill="background1" w:themeFillShade="F2"/>
            <w:vAlign w:val="center"/>
          </w:tcPr>
          <w:p w14:paraId="0FAF5C45" w14:textId="77777777" w:rsidR="00563389" w:rsidRPr="00B934CE" w:rsidRDefault="00563389"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r>
      <w:tr w:rsidR="00900056" w:rsidRPr="00900056" w14:paraId="1B480BE8"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49808534"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استهلاك</w:t>
            </w:r>
            <w:r w:rsidRPr="00B934CE">
              <w:rPr>
                <w:rFonts w:ascii="Traditional Arabic" w:eastAsia="Calibri" w:hAnsi="Traditional Arabic" w:cs="Traditional Arabic"/>
                <w:sz w:val="24"/>
                <w:rtl/>
              </w:rPr>
              <w:t xml:space="preserve"> أصول حق الاستخدام </w:t>
            </w:r>
          </w:p>
        </w:tc>
        <w:tc>
          <w:tcPr>
            <w:tcW w:w="1060" w:type="dxa"/>
            <w:tcBorders>
              <w:top w:val="single" w:sz="4" w:space="0" w:color="0B3D85"/>
              <w:bottom w:val="single" w:sz="4" w:space="0" w:color="0B3D85"/>
            </w:tcBorders>
            <w:shd w:val="clear" w:color="auto" w:fill="FFFFFF" w:themeFill="background1"/>
            <w:vAlign w:val="center"/>
          </w:tcPr>
          <w:p w14:paraId="6282EFE2" w14:textId="77777777" w:rsidR="00563389" w:rsidRPr="00B934CE" w:rsidRDefault="00563389"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4.1%</w:t>
            </w:r>
          </w:p>
        </w:tc>
        <w:tc>
          <w:tcPr>
            <w:tcW w:w="1342" w:type="dxa"/>
            <w:tcBorders>
              <w:top w:val="single" w:sz="4" w:space="0" w:color="0B3D85"/>
              <w:bottom w:val="single" w:sz="4" w:space="0" w:color="0B3D85"/>
            </w:tcBorders>
            <w:shd w:val="clear" w:color="auto" w:fill="FFFFFF" w:themeFill="background1"/>
            <w:vAlign w:val="center"/>
          </w:tcPr>
          <w:p w14:paraId="5439A2B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7.1%</w:t>
            </w:r>
          </w:p>
        </w:tc>
        <w:tc>
          <w:tcPr>
            <w:tcW w:w="984" w:type="dxa"/>
            <w:tcBorders>
              <w:top w:val="single" w:sz="4" w:space="0" w:color="0B3D85"/>
              <w:bottom w:val="single" w:sz="4" w:space="0" w:color="0B3D85"/>
            </w:tcBorders>
            <w:shd w:val="clear" w:color="auto" w:fill="FFFFFF" w:themeFill="background1"/>
            <w:vAlign w:val="center"/>
          </w:tcPr>
          <w:p w14:paraId="4223483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19.0%</w:t>
            </w:r>
          </w:p>
        </w:tc>
        <w:tc>
          <w:tcPr>
            <w:tcW w:w="704" w:type="dxa"/>
            <w:tcBorders>
              <w:top w:val="single" w:sz="4" w:space="0" w:color="0B3D85"/>
              <w:bottom w:val="single" w:sz="4" w:space="0" w:color="0B3D85"/>
            </w:tcBorders>
            <w:shd w:val="clear" w:color="auto" w:fill="FFFFFF" w:themeFill="background1"/>
            <w:vAlign w:val="center"/>
          </w:tcPr>
          <w:p w14:paraId="5E96B06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3.0</w:t>
            </w:r>
          </w:p>
        </w:tc>
        <w:tc>
          <w:tcPr>
            <w:tcW w:w="694" w:type="dxa"/>
            <w:tcBorders>
              <w:top w:val="single" w:sz="4" w:space="0" w:color="0B3D85"/>
              <w:bottom w:val="single" w:sz="4" w:space="0" w:color="0B3D85"/>
            </w:tcBorders>
            <w:shd w:val="clear" w:color="auto" w:fill="FFFFFF" w:themeFill="background1"/>
            <w:vAlign w:val="center"/>
          </w:tcPr>
          <w:p w14:paraId="55FB8A9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11.9</w:t>
            </w:r>
          </w:p>
        </w:tc>
        <w:tc>
          <w:tcPr>
            <w:tcW w:w="694" w:type="dxa"/>
            <w:tcBorders>
              <w:top w:val="single" w:sz="4" w:space="0" w:color="0B3D85"/>
              <w:bottom w:val="single" w:sz="4" w:space="0" w:color="0B3D85"/>
            </w:tcBorders>
            <w:shd w:val="clear" w:color="auto" w:fill="FFFFFF" w:themeFill="background1"/>
            <w:vAlign w:val="center"/>
          </w:tcPr>
          <w:p w14:paraId="2E00646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14.9</w:t>
            </w:r>
          </w:p>
        </w:tc>
        <w:tc>
          <w:tcPr>
            <w:tcW w:w="936" w:type="dxa"/>
            <w:tcBorders>
              <w:top w:val="single" w:sz="4" w:space="0" w:color="0B3D85"/>
              <w:bottom w:val="single" w:sz="4" w:space="0" w:color="0B3D85"/>
            </w:tcBorders>
            <w:shd w:val="clear" w:color="auto" w:fill="FFFFFF" w:themeFill="background1"/>
            <w:vAlign w:val="center"/>
          </w:tcPr>
          <w:p w14:paraId="60196B7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17.3%</w:t>
            </w:r>
          </w:p>
        </w:tc>
        <w:tc>
          <w:tcPr>
            <w:tcW w:w="936" w:type="dxa"/>
            <w:tcBorders>
              <w:top w:val="single" w:sz="4" w:space="0" w:color="0B3D85"/>
              <w:bottom w:val="single" w:sz="4" w:space="0" w:color="0B3D85"/>
            </w:tcBorders>
            <w:shd w:val="clear" w:color="auto" w:fill="FFFFFF" w:themeFill="background1"/>
            <w:vAlign w:val="center"/>
          </w:tcPr>
          <w:p w14:paraId="4A3C5AB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21.5%</w:t>
            </w:r>
          </w:p>
        </w:tc>
        <w:tc>
          <w:tcPr>
            <w:tcW w:w="687" w:type="dxa"/>
            <w:tcBorders>
              <w:top w:val="single" w:sz="4" w:space="0" w:color="0B3D85"/>
              <w:bottom w:val="single" w:sz="4" w:space="0" w:color="0B3D85"/>
            </w:tcBorders>
            <w:shd w:val="clear" w:color="auto" w:fill="FFFFFF" w:themeFill="background1"/>
            <w:vAlign w:val="center"/>
          </w:tcPr>
          <w:p w14:paraId="087212C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r>
      <w:tr w:rsidR="00900056" w:rsidRPr="00900056" w14:paraId="2FB6CD6A"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35FD770F"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استهلاك</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الأصول</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المملوكة</w:t>
            </w:r>
          </w:p>
        </w:tc>
        <w:tc>
          <w:tcPr>
            <w:tcW w:w="1060" w:type="dxa"/>
            <w:tcBorders>
              <w:top w:val="single" w:sz="4" w:space="0" w:color="0B3D85"/>
              <w:bottom w:val="single" w:sz="4" w:space="0" w:color="0B3D85"/>
            </w:tcBorders>
            <w:shd w:val="clear" w:color="auto" w:fill="FFFFFF" w:themeFill="background1"/>
            <w:vAlign w:val="center"/>
          </w:tcPr>
          <w:p w14:paraId="57CD41A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23.2%</w:t>
            </w:r>
          </w:p>
        </w:tc>
        <w:tc>
          <w:tcPr>
            <w:tcW w:w="1342" w:type="dxa"/>
            <w:tcBorders>
              <w:top w:val="single" w:sz="4" w:space="0" w:color="0B3D85"/>
              <w:bottom w:val="single" w:sz="4" w:space="0" w:color="0B3D85"/>
            </w:tcBorders>
            <w:shd w:val="clear" w:color="auto" w:fill="FFFFFF" w:themeFill="background1"/>
            <w:vAlign w:val="center"/>
          </w:tcPr>
          <w:p w14:paraId="785BACC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16.2%</w:t>
            </w:r>
          </w:p>
        </w:tc>
        <w:tc>
          <w:tcPr>
            <w:tcW w:w="984" w:type="dxa"/>
            <w:tcBorders>
              <w:top w:val="single" w:sz="4" w:space="0" w:color="0B3D85"/>
              <w:bottom w:val="single" w:sz="4" w:space="0" w:color="0B3D85"/>
            </w:tcBorders>
            <w:shd w:val="clear" w:color="auto" w:fill="FFFFFF" w:themeFill="background1"/>
            <w:vAlign w:val="center"/>
          </w:tcPr>
          <w:p w14:paraId="6FFF5E3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14.5%</w:t>
            </w:r>
          </w:p>
        </w:tc>
        <w:tc>
          <w:tcPr>
            <w:tcW w:w="704" w:type="dxa"/>
            <w:tcBorders>
              <w:top w:val="single" w:sz="4" w:space="0" w:color="0B3D85"/>
              <w:bottom w:val="single" w:sz="4" w:space="0" w:color="0B3D85"/>
            </w:tcBorders>
            <w:shd w:val="clear" w:color="auto" w:fill="FFFFFF" w:themeFill="background1"/>
            <w:vAlign w:val="center"/>
          </w:tcPr>
          <w:p w14:paraId="32CDAE8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(7.1)</w:t>
            </w:r>
          </w:p>
        </w:tc>
        <w:tc>
          <w:tcPr>
            <w:tcW w:w="694" w:type="dxa"/>
            <w:tcBorders>
              <w:top w:val="single" w:sz="4" w:space="0" w:color="0B3D85"/>
              <w:bottom w:val="single" w:sz="4" w:space="0" w:color="0B3D85"/>
            </w:tcBorders>
            <w:shd w:val="clear" w:color="auto" w:fill="FFFFFF" w:themeFill="background1"/>
            <w:vAlign w:val="center"/>
          </w:tcPr>
          <w:p w14:paraId="17AE6A4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w:t>
            </w:r>
          </w:p>
        </w:tc>
        <w:tc>
          <w:tcPr>
            <w:tcW w:w="694" w:type="dxa"/>
            <w:tcBorders>
              <w:top w:val="single" w:sz="4" w:space="0" w:color="0B3D85"/>
              <w:bottom w:val="single" w:sz="4" w:space="0" w:color="0B3D85"/>
            </w:tcBorders>
            <w:shd w:val="clear" w:color="auto" w:fill="FFFFFF" w:themeFill="background1"/>
            <w:vAlign w:val="center"/>
          </w:tcPr>
          <w:p w14:paraId="193121A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(8.9)</w:t>
            </w:r>
          </w:p>
        </w:tc>
        <w:tc>
          <w:tcPr>
            <w:tcW w:w="936" w:type="dxa"/>
            <w:tcBorders>
              <w:top w:val="single" w:sz="4" w:space="0" w:color="0B3D85"/>
              <w:bottom w:val="single" w:sz="4" w:space="0" w:color="0B3D85"/>
            </w:tcBorders>
            <w:shd w:val="clear" w:color="auto" w:fill="FFFFFF" w:themeFill="background1"/>
            <w:vAlign w:val="center"/>
          </w:tcPr>
          <w:p w14:paraId="0CE5E6E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14.3%</w:t>
            </w:r>
          </w:p>
        </w:tc>
        <w:tc>
          <w:tcPr>
            <w:tcW w:w="936" w:type="dxa"/>
            <w:tcBorders>
              <w:top w:val="single" w:sz="4" w:space="0" w:color="0B3D85"/>
              <w:bottom w:val="single" w:sz="4" w:space="0" w:color="0B3D85"/>
            </w:tcBorders>
            <w:shd w:val="clear" w:color="auto" w:fill="FFFFFF" w:themeFill="background1"/>
            <w:vAlign w:val="center"/>
          </w:tcPr>
          <w:p w14:paraId="6AD80BD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13.4%</w:t>
            </w:r>
          </w:p>
        </w:tc>
        <w:tc>
          <w:tcPr>
            <w:tcW w:w="687" w:type="dxa"/>
            <w:tcBorders>
              <w:top w:val="single" w:sz="4" w:space="0" w:color="0B3D85"/>
              <w:bottom w:val="single" w:sz="4" w:space="0" w:color="0B3D85"/>
            </w:tcBorders>
            <w:shd w:val="clear" w:color="auto" w:fill="FFFFFF" w:themeFill="background1"/>
            <w:vAlign w:val="center"/>
          </w:tcPr>
          <w:p w14:paraId="7D4A8AA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r>
      <w:tr w:rsidR="00900056" w:rsidRPr="00900056" w14:paraId="102D3E50"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12F328C3"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تكلفة</w:t>
            </w:r>
            <w:r w:rsidRPr="00B934CE">
              <w:rPr>
                <w:rFonts w:ascii="Traditional Arabic" w:eastAsia="Calibri" w:hAnsi="Traditional Arabic" w:cs="Traditional Arabic"/>
                <w:sz w:val="24"/>
                <w:rtl/>
              </w:rPr>
              <w:t xml:space="preserve"> توفير الطاقم </w:t>
            </w:r>
          </w:p>
        </w:tc>
        <w:tc>
          <w:tcPr>
            <w:tcW w:w="1060" w:type="dxa"/>
            <w:tcBorders>
              <w:top w:val="single" w:sz="4" w:space="0" w:color="0B3D85"/>
              <w:bottom w:val="single" w:sz="4" w:space="0" w:color="0B3D85"/>
            </w:tcBorders>
            <w:shd w:val="clear" w:color="auto" w:fill="FFFFFF" w:themeFill="background1"/>
            <w:vAlign w:val="center"/>
          </w:tcPr>
          <w:p w14:paraId="156F7EB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12.7%</w:t>
            </w:r>
          </w:p>
        </w:tc>
        <w:tc>
          <w:tcPr>
            <w:tcW w:w="1342" w:type="dxa"/>
            <w:tcBorders>
              <w:top w:val="single" w:sz="4" w:space="0" w:color="0B3D85"/>
              <w:bottom w:val="single" w:sz="4" w:space="0" w:color="0B3D85"/>
            </w:tcBorders>
            <w:shd w:val="clear" w:color="auto" w:fill="FFFFFF" w:themeFill="background1"/>
            <w:vAlign w:val="center"/>
          </w:tcPr>
          <w:p w14:paraId="715DA71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9.2%</w:t>
            </w:r>
          </w:p>
        </w:tc>
        <w:tc>
          <w:tcPr>
            <w:tcW w:w="984" w:type="dxa"/>
            <w:tcBorders>
              <w:top w:val="single" w:sz="4" w:space="0" w:color="0B3D85"/>
              <w:bottom w:val="single" w:sz="4" w:space="0" w:color="0B3D85"/>
            </w:tcBorders>
            <w:shd w:val="clear" w:color="auto" w:fill="FFFFFF" w:themeFill="background1"/>
            <w:vAlign w:val="center"/>
          </w:tcPr>
          <w:p w14:paraId="30E12C4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8.4%</w:t>
            </w:r>
          </w:p>
        </w:tc>
        <w:tc>
          <w:tcPr>
            <w:tcW w:w="704" w:type="dxa"/>
            <w:tcBorders>
              <w:top w:val="single" w:sz="4" w:space="0" w:color="0B3D85"/>
              <w:bottom w:val="single" w:sz="4" w:space="0" w:color="0B3D85"/>
            </w:tcBorders>
            <w:shd w:val="clear" w:color="auto" w:fill="FFFFFF" w:themeFill="background1"/>
            <w:vAlign w:val="center"/>
          </w:tcPr>
          <w:p w14:paraId="496C555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(3.5)</w:t>
            </w:r>
          </w:p>
        </w:tc>
        <w:tc>
          <w:tcPr>
            <w:tcW w:w="694" w:type="dxa"/>
            <w:tcBorders>
              <w:top w:val="single" w:sz="4" w:space="0" w:color="0B3D85"/>
              <w:bottom w:val="single" w:sz="4" w:space="0" w:color="0B3D85"/>
            </w:tcBorders>
            <w:shd w:val="clear" w:color="auto" w:fill="FFFFFF" w:themeFill="background1"/>
            <w:vAlign w:val="center"/>
          </w:tcPr>
          <w:p w14:paraId="5C13CC1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(0.8)</w:t>
            </w:r>
          </w:p>
        </w:tc>
        <w:tc>
          <w:tcPr>
            <w:tcW w:w="694" w:type="dxa"/>
            <w:tcBorders>
              <w:top w:val="single" w:sz="4" w:space="0" w:color="0B3D85"/>
              <w:bottom w:val="single" w:sz="4" w:space="0" w:color="0B3D85"/>
            </w:tcBorders>
            <w:shd w:val="clear" w:color="auto" w:fill="FFFFFF" w:themeFill="background1"/>
            <w:vAlign w:val="center"/>
          </w:tcPr>
          <w:p w14:paraId="7E8A73F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(4.3)</w:t>
            </w:r>
          </w:p>
        </w:tc>
        <w:tc>
          <w:tcPr>
            <w:tcW w:w="936" w:type="dxa"/>
            <w:tcBorders>
              <w:top w:val="single" w:sz="4" w:space="0" w:color="0B3D85"/>
              <w:bottom w:val="single" w:sz="4" w:space="0" w:color="0B3D85"/>
            </w:tcBorders>
            <w:shd w:val="clear" w:color="auto" w:fill="FFFFFF" w:themeFill="background1"/>
            <w:vAlign w:val="center"/>
          </w:tcPr>
          <w:p w14:paraId="209089A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8.1%</w:t>
            </w:r>
          </w:p>
        </w:tc>
        <w:tc>
          <w:tcPr>
            <w:tcW w:w="936" w:type="dxa"/>
            <w:tcBorders>
              <w:top w:val="single" w:sz="4" w:space="0" w:color="0B3D85"/>
              <w:bottom w:val="single" w:sz="4" w:space="0" w:color="0B3D85"/>
            </w:tcBorders>
            <w:shd w:val="clear" w:color="auto" w:fill="FFFFFF" w:themeFill="background1"/>
            <w:vAlign w:val="center"/>
          </w:tcPr>
          <w:p w14:paraId="63FC9B5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8.7%</w:t>
            </w:r>
          </w:p>
        </w:tc>
        <w:tc>
          <w:tcPr>
            <w:tcW w:w="687" w:type="dxa"/>
            <w:tcBorders>
              <w:top w:val="single" w:sz="4" w:space="0" w:color="0B3D85"/>
              <w:bottom w:val="single" w:sz="4" w:space="0" w:color="0B3D85"/>
            </w:tcBorders>
            <w:shd w:val="clear" w:color="auto" w:fill="FFFFFF" w:themeFill="background1"/>
            <w:vAlign w:val="center"/>
          </w:tcPr>
          <w:p w14:paraId="6CE1094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r>
      <w:tr w:rsidR="00900056" w:rsidRPr="00900056" w14:paraId="186F41C5"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32BC36FD"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الصيانة</w:t>
            </w:r>
            <w:r w:rsidRPr="00B934CE">
              <w:rPr>
                <w:rFonts w:ascii="Traditional Arabic" w:eastAsia="Calibri" w:hAnsi="Traditional Arabic" w:cs="Traditional Arabic"/>
                <w:sz w:val="24"/>
                <w:rtl/>
              </w:rPr>
              <w:t xml:space="preserve"> والإصلاح </w:t>
            </w:r>
          </w:p>
        </w:tc>
        <w:tc>
          <w:tcPr>
            <w:tcW w:w="1060" w:type="dxa"/>
            <w:tcBorders>
              <w:top w:val="single" w:sz="4" w:space="0" w:color="0B3D85"/>
              <w:bottom w:val="single" w:sz="4" w:space="0" w:color="0B3D85"/>
            </w:tcBorders>
            <w:shd w:val="clear" w:color="auto" w:fill="FFFFFF" w:themeFill="background1"/>
            <w:vAlign w:val="center"/>
          </w:tcPr>
          <w:p w14:paraId="79965D0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3.7%</w:t>
            </w:r>
          </w:p>
        </w:tc>
        <w:tc>
          <w:tcPr>
            <w:tcW w:w="1342" w:type="dxa"/>
            <w:tcBorders>
              <w:top w:val="single" w:sz="4" w:space="0" w:color="0B3D85"/>
              <w:bottom w:val="single" w:sz="4" w:space="0" w:color="0B3D85"/>
            </w:tcBorders>
            <w:shd w:val="clear" w:color="auto" w:fill="FFFFFF" w:themeFill="background1"/>
            <w:vAlign w:val="center"/>
          </w:tcPr>
          <w:p w14:paraId="187BBC9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4.5%</w:t>
            </w:r>
          </w:p>
        </w:tc>
        <w:tc>
          <w:tcPr>
            <w:tcW w:w="984" w:type="dxa"/>
            <w:tcBorders>
              <w:top w:val="single" w:sz="4" w:space="0" w:color="0B3D85"/>
              <w:bottom w:val="single" w:sz="4" w:space="0" w:color="0B3D85"/>
            </w:tcBorders>
            <w:shd w:val="clear" w:color="auto" w:fill="FFFFFF" w:themeFill="background1"/>
            <w:vAlign w:val="center"/>
          </w:tcPr>
          <w:p w14:paraId="5DFDFD9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2.7%</w:t>
            </w:r>
          </w:p>
        </w:tc>
        <w:tc>
          <w:tcPr>
            <w:tcW w:w="704" w:type="dxa"/>
            <w:tcBorders>
              <w:top w:val="single" w:sz="4" w:space="0" w:color="0B3D85"/>
              <w:bottom w:val="single" w:sz="4" w:space="0" w:color="0B3D85"/>
            </w:tcBorders>
            <w:shd w:val="clear" w:color="auto" w:fill="FFFFFF" w:themeFill="background1"/>
            <w:vAlign w:val="center"/>
          </w:tcPr>
          <w:p w14:paraId="73F6477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0.8</w:t>
            </w:r>
          </w:p>
        </w:tc>
        <w:tc>
          <w:tcPr>
            <w:tcW w:w="694" w:type="dxa"/>
            <w:tcBorders>
              <w:top w:val="single" w:sz="4" w:space="0" w:color="0B3D85"/>
              <w:bottom w:val="single" w:sz="4" w:space="0" w:color="0B3D85"/>
            </w:tcBorders>
            <w:shd w:val="clear" w:color="auto" w:fill="FFFFFF" w:themeFill="background1"/>
            <w:vAlign w:val="center"/>
          </w:tcPr>
          <w:p w14:paraId="4A1FC61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w:t>
            </w:r>
          </w:p>
        </w:tc>
        <w:tc>
          <w:tcPr>
            <w:tcW w:w="694" w:type="dxa"/>
            <w:tcBorders>
              <w:top w:val="single" w:sz="4" w:space="0" w:color="0B3D85"/>
              <w:bottom w:val="single" w:sz="4" w:space="0" w:color="0B3D85"/>
            </w:tcBorders>
            <w:shd w:val="clear" w:color="auto" w:fill="FFFFFF" w:themeFill="background1"/>
            <w:vAlign w:val="center"/>
          </w:tcPr>
          <w:p w14:paraId="3FFF4CE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w:t>
            </w:r>
          </w:p>
        </w:tc>
        <w:tc>
          <w:tcPr>
            <w:tcW w:w="936" w:type="dxa"/>
            <w:tcBorders>
              <w:top w:val="single" w:sz="4" w:space="0" w:color="0B3D85"/>
              <w:bottom w:val="single" w:sz="4" w:space="0" w:color="0B3D85"/>
            </w:tcBorders>
            <w:shd w:val="clear" w:color="auto" w:fill="FFFFFF" w:themeFill="background1"/>
            <w:vAlign w:val="center"/>
          </w:tcPr>
          <w:p w14:paraId="4037018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2.7%</w:t>
            </w:r>
          </w:p>
        </w:tc>
        <w:tc>
          <w:tcPr>
            <w:tcW w:w="936" w:type="dxa"/>
            <w:tcBorders>
              <w:top w:val="single" w:sz="4" w:space="0" w:color="0B3D85"/>
              <w:bottom w:val="single" w:sz="4" w:space="0" w:color="0B3D85"/>
            </w:tcBorders>
            <w:shd w:val="clear" w:color="auto" w:fill="FFFFFF" w:themeFill="background1"/>
            <w:vAlign w:val="center"/>
          </w:tcPr>
          <w:p w14:paraId="194190C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3.1%</w:t>
            </w:r>
          </w:p>
        </w:tc>
        <w:tc>
          <w:tcPr>
            <w:tcW w:w="687" w:type="dxa"/>
            <w:tcBorders>
              <w:top w:val="single" w:sz="4" w:space="0" w:color="0B3D85"/>
              <w:bottom w:val="single" w:sz="4" w:space="0" w:color="0B3D85"/>
            </w:tcBorders>
            <w:shd w:val="clear" w:color="auto" w:fill="FFFFFF" w:themeFill="background1"/>
            <w:vAlign w:val="center"/>
          </w:tcPr>
          <w:p w14:paraId="035CC14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r>
      <w:tr w:rsidR="00900056" w:rsidRPr="00900056" w14:paraId="483E0E8F"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7F3AE3E6"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مواد</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استهلاكية</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ومخازن</w:t>
            </w:r>
          </w:p>
        </w:tc>
        <w:tc>
          <w:tcPr>
            <w:tcW w:w="1060" w:type="dxa"/>
            <w:tcBorders>
              <w:top w:val="single" w:sz="4" w:space="0" w:color="0B3D85"/>
              <w:bottom w:val="single" w:sz="4" w:space="0" w:color="0B3D85"/>
            </w:tcBorders>
            <w:shd w:val="clear" w:color="auto" w:fill="FFFFFF" w:themeFill="background1"/>
            <w:vAlign w:val="center"/>
          </w:tcPr>
          <w:p w14:paraId="1145FDB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w:t>
            </w:r>
          </w:p>
        </w:tc>
        <w:tc>
          <w:tcPr>
            <w:tcW w:w="1342" w:type="dxa"/>
            <w:tcBorders>
              <w:top w:val="single" w:sz="4" w:space="0" w:color="0B3D85"/>
              <w:bottom w:val="single" w:sz="4" w:space="0" w:color="0B3D85"/>
            </w:tcBorders>
            <w:shd w:val="clear" w:color="auto" w:fill="FFFFFF" w:themeFill="background1"/>
            <w:vAlign w:val="center"/>
          </w:tcPr>
          <w:p w14:paraId="4524405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w:t>
            </w:r>
          </w:p>
        </w:tc>
        <w:tc>
          <w:tcPr>
            <w:tcW w:w="984" w:type="dxa"/>
            <w:tcBorders>
              <w:top w:val="single" w:sz="4" w:space="0" w:color="0B3D85"/>
              <w:bottom w:val="single" w:sz="4" w:space="0" w:color="0B3D85"/>
            </w:tcBorders>
            <w:shd w:val="clear" w:color="auto" w:fill="FFFFFF" w:themeFill="background1"/>
            <w:vAlign w:val="center"/>
          </w:tcPr>
          <w:p w14:paraId="1AC5D73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w:t>
            </w:r>
          </w:p>
        </w:tc>
        <w:tc>
          <w:tcPr>
            <w:tcW w:w="704" w:type="dxa"/>
            <w:tcBorders>
              <w:top w:val="single" w:sz="4" w:space="0" w:color="0B3D85"/>
              <w:bottom w:val="single" w:sz="4" w:space="0" w:color="0B3D85"/>
            </w:tcBorders>
            <w:shd w:val="clear" w:color="auto" w:fill="FFFFFF" w:themeFill="background1"/>
            <w:vAlign w:val="center"/>
          </w:tcPr>
          <w:p w14:paraId="32DD87D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(0.4)</w:t>
            </w:r>
          </w:p>
        </w:tc>
        <w:tc>
          <w:tcPr>
            <w:tcW w:w="694" w:type="dxa"/>
            <w:tcBorders>
              <w:top w:val="single" w:sz="4" w:space="0" w:color="0B3D85"/>
              <w:bottom w:val="single" w:sz="4" w:space="0" w:color="0B3D85"/>
            </w:tcBorders>
            <w:shd w:val="clear" w:color="auto" w:fill="FFFFFF" w:themeFill="background1"/>
            <w:vAlign w:val="center"/>
          </w:tcPr>
          <w:p w14:paraId="77B0DB1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694" w:type="dxa"/>
            <w:tcBorders>
              <w:top w:val="single" w:sz="4" w:space="0" w:color="0B3D85"/>
              <w:bottom w:val="single" w:sz="4" w:space="0" w:color="0B3D85"/>
            </w:tcBorders>
            <w:shd w:val="clear" w:color="auto" w:fill="FFFFFF" w:themeFill="background1"/>
            <w:vAlign w:val="center"/>
          </w:tcPr>
          <w:p w14:paraId="56D1934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(0.5)</w:t>
            </w:r>
          </w:p>
        </w:tc>
        <w:tc>
          <w:tcPr>
            <w:tcW w:w="936" w:type="dxa"/>
            <w:tcBorders>
              <w:top w:val="single" w:sz="4" w:space="0" w:color="0B3D85"/>
              <w:bottom w:val="single" w:sz="4" w:space="0" w:color="0B3D85"/>
            </w:tcBorders>
            <w:shd w:val="clear" w:color="auto" w:fill="FFFFFF" w:themeFill="background1"/>
            <w:vAlign w:val="center"/>
          </w:tcPr>
          <w:p w14:paraId="410B5B1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w:t>
            </w:r>
          </w:p>
        </w:tc>
        <w:tc>
          <w:tcPr>
            <w:tcW w:w="936" w:type="dxa"/>
            <w:tcBorders>
              <w:top w:val="single" w:sz="4" w:space="0" w:color="0B3D85"/>
              <w:bottom w:val="single" w:sz="4" w:space="0" w:color="0B3D85"/>
            </w:tcBorders>
            <w:shd w:val="clear" w:color="auto" w:fill="FFFFFF" w:themeFill="background1"/>
            <w:vAlign w:val="center"/>
          </w:tcPr>
          <w:p w14:paraId="6BB159F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w:t>
            </w:r>
          </w:p>
        </w:tc>
        <w:tc>
          <w:tcPr>
            <w:tcW w:w="687" w:type="dxa"/>
            <w:tcBorders>
              <w:top w:val="single" w:sz="4" w:space="0" w:color="0B3D85"/>
              <w:bottom w:val="single" w:sz="4" w:space="0" w:color="0B3D85"/>
            </w:tcBorders>
            <w:shd w:val="clear" w:color="auto" w:fill="FFFFFF" w:themeFill="background1"/>
            <w:vAlign w:val="center"/>
          </w:tcPr>
          <w:p w14:paraId="0DD53AD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r>
      <w:tr w:rsidR="00900056" w:rsidRPr="00900056" w14:paraId="2C376ECD"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0FC16B5B"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تأمين</w:t>
            </w:r>
            <w:r w:rsidRPr="00B934CE">
              <w:rPr>
                <w:rFonts w:ascii="Traditional Arabic" w:eastAsia="Calibri" w:hAnsi="Traditional Arabic" w:cs="Traditional Arabic"/>
                <w:sz w:val="24"/>
                <w:rtl/>
              </w:rPr>
              <w:t xml:space="preserve"> </w:t>
            </w:r>
          </w:p>
        </w:tc>
        <w:tc>
          <w:tcPr>
            <w:tcW w:w="1060" w:type="dxa"/>
            <w:tcBorders>
              <w:top w:val="single" w:sz="4" w:space="0" w:color="0B3D85"/>
              <w:bottom w:val="single" w:sz="4" w:space="0" w:color="0B3D85"/>
            </w:tcBorders>
            <w:shd w:val="clear" w:color="auto" w:fill="FFFFFF" w:themeFill="background1"/>
            <w:vAlign w:val="center"/>
          </w:tcPr>
          <w:p w14:paraId="0A4028A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w:t>
            </w:r>
          </w:p>
        </w:tc>
        <w:tc>
          <w:tcPr>
            <w:tcW w:w="1342" w:type="dxa"/>
            <w:tcBorders>
              <w:top w:val="single" w:sz="4" w:space="0" w:color="0B3D85"/>
              <w:bottom w:val="single" w:sz="4" w:space="0" w:color="0B3D85"/>
            </w:tcBorders>
            <w:shd w:val="clear" w:color="auto" w:fill="FFFFFF" w:themeFill="background1"/>
            <w:vAlign w:val="center"/>
          </w:tcPr>
          <w:p w14:paraId="5A6430A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w:t>
            </w:r>
          </w:p>
        </w:tc>
        <w:tc>
          <w:tcPr>
            <w:tcW w:w="984" w:type="dxa"/>
            <w:tcBorders>
              <w:top w:val="single" w:sz="4" w:space="0" w:color="0B3D85"/>
              <w:bottom w:val="single" w:sz="4" w:space="0" w:color="0B3D85"/>
            </w:tcBorders>
            <w:shd w:val="clear" w:color="auto" w:fill="FFFFFF" w:themeFill="background1"/>
            <w:vAlign w:val="center"/>
          </w:tcPr>
          <w:p w14:paraId="50AC953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0.9%</w:t>
            </w:r>
          </w:p>
        </w:tc>
        <w:tc>
          <w:tcPr>
            <w:tcW w:w="704" w:type="dxa"/>
            <w:tcBorders>
              <w:top w:val="single" w:sz="4" w:space="0" w:color="0B3D85"/>
              <w:bottom w:val="single" w:sz="4" w:space="0" w:color="0B3D85"/>
            </w:tcBorders>
            <w:shd w:val="clear" w:color="auto" w:fill="FFFFFF" w:themeFill="background1"/>
            <w:vAlign w:val="center"/>
          </w:tcPr>
          <w:p w14:paraId="07E66C6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(0.5)</w:t>
            </w:r>
          </w:p>
        </w:tc>
        <w:tc>
          <w:tcPr>
            <w:tcW w:w="694" w:type="dxa"/>
            <w:tcBorders>
              <w:top w:val="single" w:sz="4" w:space="0" w:color="0B3D85"/>
              <w:bottom w:val="single" w:sz="4" w:space="0" w:color="0B3D85"/>
            </w:tcBorders>
            <w:shd w:val="clear" w:color="auto" w:fill="FFFFFF" w:themeFill="background1"/>
            <w:vAlign w:val="center"/>
          </w:tcPr>
          <w:p w14:paraId="2DD96F1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694" w:type="dxa"/>
            <w:tcBorders>
              <w:top w:val="single" w:sz="4" w:space="0" w:color="0B3D85"/>
              <w:bottom w:val="single" w:sz="4" w:space="0" w:color="0B3D85"/>
            </w:tcBorders>
            <w:shd w:val="clear" w:color="auto" w:fill="FFFFFF" w:themeFill="background1"/>
            <w:vAlign w:val="center"/>
          </w:tcPr>
          <w:p w14:paraId="09872CE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(0.6)</w:t>
            </w:r>
          </w:p>
        </w:tc>
        <w:tc>
          <w:tcPr>
            <w:tcW w:w="936" w:type="dxa"/>
            <w:tcBorders>
              <w:top w:val="single" w:sz="4" w:space="0" w:color="0B3D85"/>
              <w:bottom w:val="single" w:sz="4" w:space="0" w:color="0B3D85"/>
            </w:tcBorders>
            <w:shd w:val="clear" w:color="auto" w:fill="FFFFFF" w:themeFill="background1"/>
            <w:vAlign w:val="center"/>
          </w:tcPr>
          <w:p w14:paraId="21D3780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0.9%</w:t>
            </w:r>
          </w:p>
        </w:tc>
        <w:tc>
          <w:tcPr>
            <w:tcW w:w="936" w:type="dxa"/>
            <w:tcBorders>
              <w:top w:val="single" w:sz="4" w:space="0" w:color="0B3D85"/>
              <w:bottom w:val="single" w:sz="4" w:space="0" w:color="0B3D85"/>
            </w:tcBorders>
            <w:shd w:val="clear" w:color="auto" w:fill="FFFFFF" w:themeFill="background1"/>
            <w:vAlign w:val="center"/>
          </w:tcPr>
          <w:p w14:paraId="48B1A9D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w:t>
            </w:r>
          </w:p>
        </w:tc>
        <w:tc>
          <w:tcPr>
            <w:tcW w:w="687" w:type="dxa"/>
            <w:tcBorders>
              <w:top w:val="single" w:sz="4" w:space="0" w:color="0B3D85"/>
              <w:bottom w:val="single" w:sz="4" w:space="0" w:color="0B3D85"/>
            </w:tcBorders>
            <w:shd w:val="clear" w:color="auto" w:fill="FFFFFF" w:themeFill="background1"/>
            <w:vAlign w:val="center"/>
          </w:tcPr>
          <w:p w14:paraId="62CEA25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r>
      <w:tr w:rsidR="00900056" w:rsidRPr="00900056" w14:paraId="47ACA943" w14:textId="77777777" w:rsidTr="00922116">
        <w:trPr>
          <w:trHeight w:val="20"/>
        </w:trPr>
        <w:tc>
          <w:tcPr>
            <w:tcW w:w="1340" w:type="dxa"/>
            <w:tcBorders>
              <w:top w:val="single" w:sz="4" w:space="0" w:color="0B3D85"/>
              <w:bottom w:val="single" w:sz="4" w:space="0" w:color="0B3D85"/>
            </w:tcBorders>
            <w:shd w:val="clear" w:color="auto" w:fill="FFFFFF" w:themeFill="background1"/>
            <w:vAlign w:val="center"/>
          </w:tcPr>
          <w:p w14:paraId="65A27DF8"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أتعاب</w:t>
            </w:r>
            <w:r w:rsidRPr="00B934CE">
              <w:rPr>
                <w:rFonts w:ascii="Traditional Arabic" w:eastAsia="Calibri" w:hAnsi="Traditional Arabic" w:cs="Traditional Arabic"/>
                <w:sz w:val="24"/>
                <w:rtl/>
              </w:rPr>
              <w:t xml:space="preserve"> إدارة السفن </w:t>
            </w:r>
          </w:p>
        </w:tc>
        <w:tc>
          <w:tcPr>
            <w:tcW w:w="1060" w:type="dxa"/>
            <w:tcBorders>
              <w:top w:val="single" w:sz="4" w:space="0" w:color="0B3D85"/>
              <w:bottom w:val="single" w:sz="4" w:space="0" w:color="0B3D85"/>
            </w:tcBorders>
            <w:shd w:val="clear" w:color="auto" w:fill="FFFFFF" w:themeFill="background1"/>
            <w:vAlign w:val="center"/>
          </w:tcPr>
          <w:p w14:paraId="25C7889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1342" w:type="dxa"/>
            <w:tcBorders>
              <w:top w:val="single" w:sz="4" w:space="0" w:color="0B3D85"/>
              <w:bottom w:val="single" w:sz="4" w:space="0" w:color="0B3D85"/>
            </w:tcBorders>
            <w:shd w:val="clear" w:color="auto" w:fill="FFFFFF" w:themeFill="background1"/>
            <w:vAlign w:val="center"/>
          </w:tcPr>
          <w:p w14:paraId="72CF8EC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84" w:type="dxa"/>
            <w:tcBorders>
              <w:top w:val="single" w:sz="4" w:space="0" w:color="0B3D85"/>
              <w:bottom w:val="single" w:sz="4" w:space="0" w:color="0B3D85"/>
            </w:tcBorders>
            <w:shd w:val="clear" w:color="auto" w:fill="FFFFFF" w:themeFill="background1"/>
            <w:vAlign w:val="center"/>
          </w:tcPr>
          <w:p w14:paraId="1FA5292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704" w:type="dxa"/>
            <w:tcBorders>
              <w:top w:val="single" w:sz="4" w:space="0" w:color="0B3D85"/>
              <w:bottom w:val="single" w:sz="4" w:space="0" w:color="0B3D85"/>
            </w:tcBorders>
            <w:shd w:val="clear" w:color="auto" w:fill="FFFFFF" w:themeFill="background1"/>
            <w:vAlign w:val="center"/>
          </w:tcPr>
          <w:p w14:paraId="1E29AF3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694" w:type="dxa"/>
            <w:tcBorders>
              <w:top w:val="single" w:sz="4" w:space="0" w:color="0B3D85"/>
              <w:bottom w:val="single" w:sz="4" w:space="0" w:color="0B3D85"/>
            </w:tcBorders>
            <w:shd w:val="clear" w:color="auto" w:fill="FFFFFF" w:themeFill="background1"/>
            <w:vAlign w:val="center"/>
          </w:tcPr>
          <w:p w14:paraId="403495B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694" w:type="dxa"/>
            <w:tcBorders>
              <w:top w:val="single" w:sz="4" w:space="0" w:color="0B3D85"/>
              <w:bottom w:val="single" w:sz="4" w:space="0" w:color="0B3D85"/>
            </w:tcBorders>
            <w:shd w:val="clear" w:color="auto" w:fill="FFFFFF" w:themeFill="background1"/>
            <w:vAlign w:val="center"/>
          </w:tcPr>
          <w:p w14:paraId="3C60968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36" w:type="dxa"/>
            <w:tcBorders>
              <w:top w:val="single" w:sz="4" w:space="0" w:color="0B3D85"/>
              <w:bottom w:val="single" w:sz="4" w:space="0" w:color="0B3D85"/>
            </w:tcBorders>
            <w:shd w:val="clear" w:color="auto" w:fill="FFFFFF" w:themeFill="background1"/>
            <w:vAlign w:val="center"/>
          </w:tcPr>
          <w:p w14:paraId="607B74F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936" w:type="dxa"/>
            <w:tcBorders>
              <w:top w:val="single" w:sz="4" w:space="0" w:color="0B3D85"/>
              <w:bottom w:val="single" w:sz="4" w:space="0" w:color="0B3D85"/>
            </w:tcBorders>
            <w:shd w:val="clear" w:color="auto" w:fill="FFFFFF" w:themeFill="background1"/>
            <w:vAlign w:val="center"/>
          </w:tcPr>
          <w:p w14:paraId="7B43CD5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687" w:type="dxa"/>
            <w:tcBorders>
              <w:top w:val="single" w:sz="4" w:space="0" w:color="0B3D85"/>
              <w:bottom w:val="single" w:sz="4" w:space="0" w:color="0B3D85"/>
            </w:tcBorders>
            <w:shd w:val="clear" w:color="auto" w:fill="FFFFFF" w:themeFill="background1"/>
            <w:vAlign w:val="center"/>
          </w:tcPr>
          <w:p w14:paraId="732AAFF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r>
    </w:tbl>
    <w:p w14:paraId="45E63ACB"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 xml:space="preserve">استهلاك أصول حق الاستخدام </w:t>
      </w:r>
    </w:p>
    <w:p w14:paraId="2C6A5437"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 xml:space="preserve">ارتفع استهلاك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أصول حق الاستخدام </w:t>
      </w:r>
      <w:r w:rsidRPr="00B934CE">
        <w:rPr>
          <w:rFonts w:ascii="Traditional Arabic" w:eastAsia="Calibri" w:hAnsi="Traditional Arabic" w:cs="Traditional Arabic" w:hint="eastAsia"/>
          <w:sz w:val="30"/>
          <w:szCs w:val="30"/>
          <w:rtl/>
        </w:rPr>
        <w:t>بنسبة</w:t>
      </w:r>
      <w:r w:rsidRPr="00B934CE">
        <w:rPr>
          <w:rFonts w:ascii="Traditional Arabic" w:eastAsia="Calibri" w:hAnsi="Traditional Arabic" w:cs="Traditional Arabic"/>
          <w:sz w:val="30"/>
          <w:szCs w:val="30"/>
          <w:rtl/>
        </w:rPr>
        <w:t xml:space="preserve"> 149.0% من 9.9 مليون ريال عماني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السنة المالية 2021 الى 24.6 مليون ريال عماني في السنة المالية 2022، ويعود ذلك بشكل رئيسي إلى</w:t>
      </w:r>
      <w:r w:rsidRPr="00B934CE">
        <w:rPr>
          <w:rFonts w:ascii="Traditional Arabic" w:eastAsia="Calibri" w:hAnsi="Traditional Arabic" w:cs="Traditional Arabic"/>
          <w:sz w:val="30"/>
          <w:szCs w:val="30"/>
          <w:rtl/>
        </w:rPr>
        <w:t xml:space="preserve"> زيادة عدد السفن المستأجرة.</w:t>
      </w:r>
    </w:p>
    <w:p w14:paraId="062D8CFD"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 xml:space="preserve">ارتفع استهلاك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أصول حق الاستخدام </w:t>
      </w:r>
      <w:r w:rsidRPr="00B934CE">
        <w:rPr>
          <w:rFonts w:ascii="Traditional Arabic" w:eastAsia="Calibri" w:hAnsi="Traditional Arabic" w:cs="Traditional Arabic" w:hint="eastAsia"/>
          <w:sz w:val="30"/>
          <w:szCs w:val="30"/>
          <w:rtl/>
        </w:rPr>
        <w:t>بنسبة</w:t>
      </w:r>
      <w:r w:rsidRPr="00B934CE">
        <w:rPr>
          <w:rFonts w:ascii="Traditional Arabic" w:eastAsia="Calibri" w:hAnsi="Traditional Arabic" w:cs="Traditional Arabic"/>
          <w:sz w:val="30"/>
          <w:szCs w:val="30"/>
          <w:rtl/>
        </w:rPr>
        <w:t xml:space="preserve"> 180.3% من 24.6 مليون ريال عماني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السنة المالية 2022 الى 69.0 مليون ريال عماني في السنة المالية 2023، ويعود ذلك بشكل رئيسي إلى</w:t>
      </w:r>
      <w:r w:rsidRPr="00B934CE">
        <w:rPr>
          <w:rFonts w:ascii="Traditional Arabic" w:eastAsia="Calibri" w:hAnsi="Traditional Arabic" w:cs="Traditional Arabic"/>
          <w:sz w:val="30"/>
          <w:szCs w:val="30"/>
          <w:rtl/>
        </w:rPr>
        <w:t xml:space="preserve"> زيادة عدد السفن المستأجرة.</w:t>
      </w:r>
    </w:p>
    <w:p w14:paraId="1C867292"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lastRenderedPageBreak/>
        <w:t xml:space="preserve">ارتفع استهلاك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أصول حق الاستخدام بنسبة 24.6% من 47.4 مليون ريال عماني في فترة التسعة أشهر المنتهية في 30 سبتمبر 2023 إلى 59.1 مليون ريال عماني في فترة التسعة أشهر المنتهية في 30 سبتمبر 2024، ويعود ذلك بشكل كبير إلى الزيادة في السفن المؤجرة (خاصة للإيجارات قصيرة الأجل) من 33 سفينة إلى 40 سفينة خلال نفس الفترة.</w:t>
      </w:r>
    </w:p>
    <w:p w14:paraId="6CE60867"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استهلاك الأصول المملوكة</w:t>
      </w:r>
    </w:p>
    <w:p w14:paraId="4FDD4E8E"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ظل</w:t>
      </w:r>
      <w:r w:rsidRPr="00B934CE">
        <w:rPr>
          <w:rFonts w:ascii="Traditional Arabic" w:eastAsia="Calibri" w:hAnsi="Traditional Arabic" w:cs="Traditional Arabic"/>
          <w:sz w:val="30"/>
          <w:szCs w:val="30"/>
          <w:rtl/>
        </w:rPr>
        <w:t xml:space="preserve"> استهلاك الأصول المملوكة مستقرا عند </w:t>
      </w:r>
      <w:r w:rsidR="00102A8C">
        <w:rPr>
          <w:rFonts w:ascii="Traditional Arabic" w:eastAsia="Calibri" w:hAnsi="Traditional Arabic" w:cs="Traditional Arabic" w:hint="cs"/>
          <w:sz w:val="30"/>
          <w:szCs w:val="30"/>
          <w:rtl/>
        </w:rPr>
        <w:t>56.9</w:t>
      </w:r>
      <w:r w:rsidRPr="00B934CE">
        <w:rPr>
          <w:rFonts w:ascii="Traditional Arabic" w:eastAsia="Calibri" w:hAnsi="Traditional Arabic" w:cs="Traditional Arabic"/>
          <w:sz w:val="30"/>
          <w:szCs w:val="30"/>
          <w:rtl/>
        </w:rPr>
        <w:t xml:space="preserve"> مليون ريال عماني </w:t>
      </w:r>
      <w:r w:rsidR="006E61C7">
        <w:rPr>
          <w:rFonts w:ascii="Traditional Arabic" w:eastAsia="Calibri" w:hAnsi="Traditional Arabic" w:cs="Traditional Arabic" w:hint="cs"/>
          <w:sz w:val="30"/>
          <w:szCs w:val="30"/>
          <w:rtl/>
        </w:rPr>
        <w:t xml:space="preserve">و 56.6 مليون ريال عماني في </w:t>
      </w:r>
      <w:r w:rsidRPr="00B934CE">
        <w:rPr>
          <w:rFonts w:ascii="Traditional Arabic" w:eastAsia="Calibri" w:hAnsi="Traditional Arabic" w:cs="Traditional Arabic"/>
          <w:sz w:val="30"/>
          <w:szCs w:val="30"/>
          <w:rtl/>
        </w:rPr>
        <w:t>السنوات المالية 2021 و2022</w:t>
      </w:r>
      <w:r w:rsidR="006E61C7">
        <w:rPr>
          <w:rFonts w:ascii="Traditional Arabic" w:eastAsia="Calibri" w:hAnsi="Traditional Arabic" w:cs="Traditional Arabic" w:hint="cs"/>
          <w:sz w:val="30"/>
          <w:szCs w:val="30"/>
          <w:rtl/>
        </w:rPr>
        <w:t xml:space="preserve"> على التوالي</w:t>
      </w:r>
      <w:r w:rsidRPr="00B934CE">
        <w:rPr>
          <w:rFonts w:ascii="Traditional Arabic" w:eastAsia="Calibri" w:hAnsi="Traditional Arabic" w:cs="Traditional Arabic"/>
          <w:sz w:val="30"/>
          <w:szCs w:val="30"/>
          <w:rtl/>
        </w:rPr>
        <w:t>.</w:t>
      </w:r>
    </w:p>
    <w:p w14:paraId="781B703B"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انخفض</w:t>
      </w:r>
      <w:r w:rsidRPr="00B934CE">
        <w:rPr>
          <w:rFonts w:ascii="Traditional Arabic" w:eastAsia="Calibri" w:hAnsi="Traditional Arabic" w:cs="Traditional Arabic"/>
          <w:sz w:val="30"/>
          <w:szCs w:val="30"/>
          <w:rtl/>
        </w:rPr>
        <w:t xml:space="preserve"> استهلاك الأصول المملوكة بنسبة 6.9% من 56.5 مليون ريال عماني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السنة المالية 2022 الى 52.6 مليون ريال عماني في السنة المالية 2023، ويعود ذلك بشكل رئيسي إلى</w:t>
      </w:r>
      <w:r w:rsidRPr="00B934CE">
        <w:rPr>
          <w:rFonts w:ascii="Traditional Arabic" w:hAnsi="Traditional Arabic" w:cs="Traditional Arabic"/>
          <w:sz w:val="30"/>
          <w:szCs w:val="30"/>
          <w:rtl/>
        </w:rPr>
        <w:t xml:space="preserve"> </w:t>
      </w:r>
      <w:r w:rsidRPr="00B934CE">
        <w:rPr>
          <w:rFonts w:ascii="Traditional Arabic" w:eastAsia="Calibri" w:hAnsi="Traditional Arabic" w:cs="Traditional Arabic"/>
          <w:sz w:val="30"/>
          <w:szCs w:val="30"/>
          <w:rtl/>
        </w:rPr>
        <w:t xml:space="preserve">انخفاض عدد السفن بعد بيع </w:t>
      </w:r>
      <w:r w:rsidRPr="00B934CE">
        <w:rPr>
          <w:rFonts w:ascii="Traditional Arabic" w:eastAsia="Calibri" w:hAnsi="Traditional Arabic" w:cs="Traditional Arabic" w:hint="eastAsia"/>
          <w:sz w:val="30"/>
          <w:szCs w:val="30"/>
          <w:rtl/>
        </w:rPr>
        <w:t>ثلاثة</w:t>
      </w:r>
      <w:r w:rsidRPr="00B934CE">
        <w:rPr>
          <w:rFonts w:ascii="Traditional Arabic" w:eastAsia="Calibri" w:hAnsi="Traditional Arabic" w:cs="Traditional Arabic"/>
          <w:sz w:val="30"/>
          <w:szCs w:val="30"/>
          <w:rtl/>
        </w:rPr>
        <w:t xml:space="preserve"> سفن في السنة المالية 2022 و</w:t>
      </w:r>
      <w:r w:rsidRPr="00B934CE">
        <w:rPr>
          <w:rFonts w:ascii="Traditional Arabic" w:eastAsia="Calibri" w:hAnsi="Traditional Arabic" w:cs="Traditional Arabic" w:hint="eastAsia"/>
          <w:sz w:val="30"/>
          <w:szCs w:val="30"/>
          <w:rtl/>
        </w:rPr>
        <w:t>ثلاثة</w:t>
      </w:r>
      <w:r w:rsidRPr="00B934CE">
        <w:rPr>
          <w:rFonts w:ascii="Traditional Arabic" w:eastAsia="Calibri" w:hAnsi="Traditional Arabic" w:cs="Traditional Arabic"/>
          <w:sz w:val="30"/>
          <w:szCs w:val="30"/>
          <w:rtl/>
        </w:rPr>
        <w:t xml:space="preserve"> سفن اخرى في السنة المالية 2023.</w:t>
      </w:r>
    </w:p>
    <w:p w14:paraId="4FAD6EAF"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sz w:val="30"/>
          <w:szCs w:val="30"/>
          <w:rtl/>
        </w:rPr>
        <w:t xml:space="preserve">انخفض استهلاك الأصول المملوكة بنسبة 6.5٪ من 39.3 مليون ريال عماني في فترة التسعة أشهر المنتهية في 30 سبتمبر 2023 إلى 36.7 مليون ريال عماني في فترة التسعة أشهر المنتهية في 30 سبتمبر 2024 بسبب بيع </w:t>
      </w:r>
      <w:r w:rsidRPr="00B934CE">
        <w:rPr>
          <w:rFonts w:ascii="Traditional Arabic" w:eastAsia="Calibri" w:hAnsi="Traditional Arabic" w:cs="Traditional Arabic" w:hint="eastAsia"/>
          <w:sz w:val="30"/>
          <w:szCs w:val="30"/>
          <w:rtl/>
        </w:rPr>
        <w:t>السفن</w:t>
      </w:r>
      <w:r w:rsidRPr="00B934CE">
        <w:rPr>
          <w:rFonts w:ascii="Traditional Arabic" w:eastAsia="Calibri" w:hAnsi="Traditional Arabic" w:cs="Traditional Arabic"/>
          <w:sz w:val="30"/>
          <w:szCs w:val="30"/>
          <w:rtl/>
        </w:rPr>
        <w:t xml:space="preserve"> في </w:t>
      </w:r>
      <w:r w:rsidRPr="00B934CE">
        <w:rPr>
          <w:rFonts w:ascii="Traditional Arabic" w:eastAsia="Calibri" w:hAnsi="Traditional Arabic" w:cs="Traditional Arabic" w:hint="eastAsia"/>
          <w:sz w:val="30"/>
          <w:szCs w:val="30"/>
          <w:rtl/>
        </w:rPr>
        <w:t>السنة</w:t>
      </w:r>
      <w:r w:rsidRPr="00B934CE">
        <w:rPr>
          <w:rFonts w:ascii="Traditional Arabic" w:eastAsia="Calibri" w:hAnsi="Traditional Arabic" w:cs="Traditional Arabic"/>
          <w:sz w:val="30"/>
          <w:szCs w:val="30"/>
          <w:rtl/>
        </w:rPr>
        <w:t xml:space="preserve"> المالية 2023 حيث </w:t>
      </w:r>
      <w:r w:rsidRPr="00B934CE">
        <w:rPr>
          <w:rFonts w:ascii="Traditional Arabic" w:eastAsia="Calibri" w:hAnsi="Traditional Arabic" w:cs="Traditional Arabic" w:hint="eastAsia"/>
          <w:sz w:val="30"/>
          <w:szCs w:val="30"/>
          <w:rtl/>
        </w:rPr>
        <w:t>تم</w:t>
      </w:r>
      <w:r w:rsidRPr="00B934CE">
        <w:rPr>
          <w:rFonts w:ascii="Traditional Arabic" w:eastAsia="Calibri" w:hAnsi="Traditional Arabic" w:cs="Traditional Arabic"/>
          <w:sz w:val="30"/>
          <w:szCs w:val="30"/>
          <w:rtl/>
        </w:rPr>
        <w:t xml:space="preserve"> البيع في ديسمبر 2023. </w:t>
      </w:r>
    </w:p>
    <w:p w14:paraId="4B7C151A"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 xml:space="preserve">تكلفة توفير الطاقم </w:t>
      </w:r>
    </w:p>
    <w:p w14:paraId="72426501"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ظلت</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تكلفة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توفير</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الطاقم</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مستقرة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نسبيا</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عند</w:t>
      </w:r>
      <w:r w:rsidRPr="00B934CE">
        <w:rPr>
          <w:rFonts w:ascii="Traditional Arabic" w:eastAsia="Calibri" w:hAnsi="Traditional Arabic" w:cs="Traditional Arabic"/>
          <w:sz w:val="30"/>
          <w:szCs w:val="30"/>
          <w:rtl/>
        </w:rPr>
        <w:t xml:space="preserve"> </w:t>
      </w:r>
      <w:r w:rsidR="00BB4DE2">
        <w:rPr>
          <w:rFonts w:ascii="Traditional Arabic" w:eastAsia="Calibri" w:hAnsi="Traditional Arabic" w:cs="Traditional Arabic" w:hint="cs"/>
          <w:sz w:val="30"/>
          <w:szCs w:val="30"/>
          <w:rtl/>
        </w:rPr>
        <w:t xml:space="preserve"> 30.8 مليون </w:t>
      </w:r>
      <w:r w:rsidR="00272899">
        <w:rPr>
          <w:rFonts w:ascii="Traditional Arabic" w:eastAsia="Calibri" w:hAnsi="Traditional Arabic" w:cs="Traditional Arabic" w:hint="cs"/>
          <w:sz w:val="30"/>
          <w:szCs w:val="30"/>
          <w:rtl/>
        </w:rPr>
        <w:t>ريال عماني و</w:t>
      </w:r>
      <w:r w:rsidRPr="00B934CE">
        <w:rPr>
          <w:rFonts w:ascii="Traditional Arabic" w:eastAsia="Calibri" w:hAnsi="Traditional Arabic" w:cs="Traditional Arabic"/>
          <w:sz w:val="30"/>
          <w:szCs w:val="30"/>
          <w:rtl/>
        </w:rPr>
        <w:t>31.</w:t>
      </w:r>
      <w:r w:rsidR="00272899">
        <w:rPr>
          <w:rFonts w:ascii="Traditional Arabic" w:eastAsia="Calibri" w:hAnsi="Traditional Arabic" w:cs="Traditional Arabic" w:hint="cs"/>
          <w:sz w:val="30"/>
          <w:szCs w:val="30"/>
          <w:rtl/>
        </w:rPr>
        <w:t>9</w:t>
      </w:r>
      <w:r w:rsidR="00272899"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مليون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ريال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عماني</w:t>
      </w:r>
      <w:r w:rsidR="00272899">
        <w:rPr>
          <w:rFonts w:ascii="Traditional Arabic" w:eastAsia="Calibri" w:hAnsi="Traditional Arabic" w:cs="Traditional Arabic" w:hint="cs"/>
          <w:sz w:val="30"/>
          <w:szCs w:val="30"/>
          <w:rtl/>
        </w:rPr>
        <w:t xml:space="preserve"> و 30.4 ريال عماني</w:t>
      </w:r>
      <w:r w:rsidRPr="00B934CE">
        <w:rPr>
          <w:rFonts w:ascii="Traditional Arabic" w:eastAsia="Calibri" w:hAnsi="Traditional Arabic" w:cs="Traditional Arabic"/>
          <w:sz w:val="30"/>
          <w:szCs w:val="30"/>
          <w:rtl/>
        </w:rPr>
        <w:t xml:space="preserve"> </w:t>
      </w:r>
      <w:r w:rsidR="006F1097">
        <w:rPr>
          <w:rFonts w:ascii="Traditional Arabic" w:eastAsia="Calibri" w:hAnsi="Traditional Arabic" w:cs="Traditional Arabic" w:hint="cs"/>
          <w:sz w:val="30"/>
          <w:szCs w:val="30"/>
          <w:rtl/>
        </w:rPr>
        <w:t xml:space="preserve">في </w:t>
      </w:r>
      <w:r w:rsidRPr="00B934CE">
        <w:rPr>
          <w:rFonts w:ascii="Traditional Arabic" w:eastAsia="Calibri" w:hAnsi="Traditional Arabic" w:cs="Traditional Arabic" w:hint="eastAsia"/>
          <w:sz w:val="30"/>
          <w:szCs w:val="30"/>
          <w:rtl/>
        </w:rPr>
        <w:t>السنوات</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المالية</w:t>
      </w:r>
      <w:r w:rsidRPr="00B934CE">
        <w:rPr>
          <w:rFonts w:ascii="Traditional Arabic" w:eastAsia="Calibri" w:hAnsi="Traditional Arabic" w:cs="Traditional Arabic"/>
          <w:sz w:val="30"/>
          <w:szCs w:val="30"/>
          <w:rtl/>
        </w:rPr>
        <w:t xml:space="preserve"> 2021 </w:t>
      </w:r>
      <w:r w:rsidR="006F1097" w:rsidRPr="00B934CE">
        <w:rPr>
          <w:rFonts w:ascii="Traditional Arabic" w:eastAsia="Calibri" w:hAnsi="Traditional Arabic" w:cs="Traditional Arabic" w:hint="eastAsia"/>
          <w:sz w:val="30"/>
          <w:szCs w:val="30"/>
          <w:rtl/>
        </w:rPr>
        <w:t>و</w:t>
      </w:r>
      <w:r w:rsidR="006F1097">
        <w:rPr>
          <w:rFonts w:ascii="Traditional Arabic" w:eastAsia="Calibri" w:hAnsi="Traditional Arabic" w:cs="Traditional Arabic" w:hint="cs"/>
          <w:sz w:val="30"/>
          <w:szCs w:val="30"/>
          <w:rtl/>
        </w:rPr>
        <w:t>2022 و 2023 على التوالي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تمثل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هذه</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التكاليف</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طاقم</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البحارة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بما</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في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ذلك</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وكالات</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التوظيف</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وأفراد</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الطاقم</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العمانيين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الذين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يتقاضون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رواتب</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الشركة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وتتعلق</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هذه</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التكاليف</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إلى</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حد</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كبير</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بالسفن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المملوكة،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حيث</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تشمل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السفن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المستأجرة</w:t>
      </w:r>
      <w:r w:rsidRPr="00B934CE">
        <w:rPr>
          <w:rFonts w:ascii="Traditional Arabic" w:eastAsia="Calibri" w:hAnsi="Traditional Arabic" w:cs="Traditional Arabic"/>
          <w:sz w:val="30"/>
          <w:szCs w:val="30"/>
          <w:rtl/>
        </w:rPr>
        <w:t xml:space="preserve"> عادةً على طاقم البحارة.</w:t>
      </w:r>
    </w:p>
    <w:p w14:paraId="7829BA0A"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hint="eastAsia"/>
          <w:sz w:val="30"/>
          <w:szCs w:val="30"/>
          <w:rtl/>
        </w:rPr>
        <w:t>ار</w:t>
      </w:r>
      <w:r w:rsidRPr="00B934CE">
        <w:rPr>
          <w:rFonts w:ascii="Traditional Arabic" w:eastAsia="Calibri" w:hAnsi="Traditional Arabic" w:cs="Traditional Arabic"/>
          <w:sz w:val="30"/>
          <w:szCs w:val="30"/>
          <w:rtl/>
        </w:rPr>
        <w:t xml:space="preserve">تفعت </w:t>
      </w:r>
      <w:r w:rsidRPr="00B934CE">
        <w:rPr>
          <w:rFonts w:ascii="Traditional Arabic" w:eastAsia="Calibri" w:hAnsi="Traditional Arabic" w:cs="Traditional Arabic" w:hint="eastAsia"/>
          <w:sz w:val="30"/>
          <w:szCs w:val="30"/>
          <w:rtl/>
        </w:rPr>
        <w:t>تكلفة</w:t>
      </w:r>
      <w:r w:rsidRPr="00B934CE">
        <w:rPr>
          <w:rFonts w:ascii="Traditional Arabic" w:eastAsia="Calibri" w:hAnsi="Traditional Arabic" w:cs="Traditional Arabic"/>
          <w:sz w:val="30"/>
          <w:szCs w:val="30"/>
          <w:rtl/>
        </w:rPr>
        <w:t xml:space="preserve"> توفير الطاقم بنسبة 8.1% من 22.2 مليون ريال عماني في فترة التسعة أشهر المنتهية في 30 سبتمبر 2023 إلى 24.0 مليون ريال عماني في فترة التسعة أشهر المنتهية في 30 سبتمبر 2024 بسبب الزيادة في رواتب الطاقم العماني  ورواتب </w:t>
      </w:r>
      <w:r w:rsidRPr="00B934CE">
        <w:rPr>
          <w:rFonts w:ascii="Traditional Arabic" w:eastAsia="Calibri" w:hAnsi="Traditional Arabic" w:cs="Traditional Arabic" w:hint="eastAsia"/>
          <w:sz w:val="30"/>
          <w:szCs w:val="30"/>
          <w:rtl/>
        </w:rPr>
        <w:t>افراد</w:t>
      </w:r>
      <w:r w:rsidRPr="00B934CE">
        <w:rPr>
          <w:rFonts w:ascii="Traditional Arabic" w:eastAsia="Calibri" w:hAnsi="Traditional Arabic" w:cs="Traditional Arabic"/>
          <w:sz w:val="30"/>
          <w:szCs w:val="30"/>
          <w:rtl/>
        </w:rPr>
        <w:t xml:space="preserve"> الطاقم.</w:t>
      </w:r>
    </w:p>
    <w:p w14:paraId="73D31A60"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 xml:space="preserve">الصيانة والإصلاح </w:t>
      </w:r>
    </w:p>
    <w:p w14:paraId="04A7C1C0"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تت</w:t>
      </w:r>
      <w:r w:rsidRPr="00B934CE">
        <w:rPr>
          <w:rFonts w:ascii="Traditional Arabic" w:eastAsia="Calibri" w:hAnsi="Traditional Arabic" w:cs="Traditional Arabic"/>
          <w:sz w:val="30"/>
          <w:szCs w:val="30"/>
          <w:rtl/>
        </w:rPr>
        <w:t>علق بالنفقات التي هي مصاريف تشغيلية بطبيعتها</w:t>
      </w:r>
      <w:r w:rsidRPr="00B934CE">
        <w:rPr>
          <w:rFonts w:ascii="Traditional Arabic" w:eastAsia="Calibri" w:hAnsi="Traditional Arabic" w:cs="Traditional Arabic" w:hint="eastAsia"/>
          <w:sz w:val="30"/>
          <w:szCs w:val="30"/>
          <w:rtl/>
        </w:rPr>
        <w:t>،</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و</w:t>
      </w:r>
      <w:r w:rsidRPr="00B934CE">
        <w:rPr>
          <w:rFonts w:ascii="Traditional Arabic" w:eastAsia="Calibri" w:hAnsi="Traditional Arabic" w:cs="Traditional Arabic"/>
          <w:sz w:val="30"/>
          <w:szCs w:val="30"/>
          <w:rtl/>
        </w:rPr>
        <w:t>تشمل نفقات مثل قطع غيار المحرك والسطح، وتكاليف برامج تكنولوجيا المعلومات والخدمات، وتكاليف معدات الملاحة، وتكاليف المسح، وتكاليف إزالة النفايات وما إلى ذلك.</w:t>
      </w:r>
    </w:p>
    <w:p w14:paraId="32C09361"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ارتفعت</w:t>
      </w:r>
      <w:r w:rsidRPr="00B934CE">
        <w:rPr>
          <w:rFonts w:ascii="Traditional Arabic" w:eastAsia="Calibri" w:hAnsi="Traditional Arabic" w:cs="Traditional Arabic"/>
          <w:sz w:val="30"/>
          <w:szCs w:val="30"/>
          <w:rtl/>
        </w:rPr>
        <w:t xml:space="preserve"> تكاليف الصيانة والإصلاح بنسبة 74.3% من 9.1 مليون ريال عماني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السنة المالية 2021 الى 15.8 مليون ريال عماني في السنة المالية 2022، ويعود ذلك بشكل رئيسي إلى</w:t>
      </w:r>
      <w:r w:rsidRPr="00B934CE">
        <w:rPr>
          <w:rFonts w:ascii="Traditional Arabic" w:eastAsia="Calibri" w:hAnsi="Traditional Arabic" w:cs="Traditional Arabic"/>
          <w:sz w:val="30"/>
          <w:szCs w:val="30"/>
          <w:rtl/>
        </w:rPr>
        <w:t xml:space="preserve"> </w:t>
      </w:r>
      <w:r w:rsidRPr="00B934CE">
        <w:rPr>
          <w:rFonts w:ascii="Traditional Arabic" w:eastAsiaTheme="majorEastAsia" w:hAnsi="Traditional Arabic" w:cs="Traditional Arabic"/>
          <w:sz w:val="30"/>
          <w:szCs w:val="30"/>
          <w:rtl/>
        </w:rPr>
        <w:t>التغيير في سياسة الرسملة في السنة المالية 2022</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حيث</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قامت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الشركة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بإدخال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مصروف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أقل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200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ضمن</w:t>
      </w:r>
      <w:r w:rsidRPr="00B934CE">
        <w:rPr>
          <w:rFonts w:ascii="Traditional Arabic" w:eastAsiaTheme="majorEastAsia" w:hAnsi="Traditional Arabic" w:cs="Traditional Arabic"/>
          <w:sz w:val="30"/>
          <w:szCs w:val="30"/>
          <w:rtl/>
        </w:rPr>
        <w:t xml:space="preserve"> المصاريف </w:t>
      </w:r>
      <w:r w:rsidRPr="00B934CE">
        <w:rPr>
          <w:rFonts w:ascii="Traditional Arabic" w:eastAsia="Calibri" w:hAnsi="Traditional Arabic" w:cs="Traditional Arabic" w:hint="eastAsia"/>
          <w:sz w:val="30"/>
          <w:szCs w:val="30"/>
          <w:rtl/>
        </w:rPr>
        <w:t>بدلا</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رسملتة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على</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الأصول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الثابتة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ثم</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مراجعة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lastRenderedPageBreak/>
        <w:t>أصول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الشركة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في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السنة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المالية</w:t>
      </w:r>
      <w:r w:rsidRPr="00B934CE">
        <w:rPr>
          <w:rFonts w:ascii="Traditional Arabic" w:eastAsia="Calibri" w:hAnsi="Traditional Arabic" w:cs="Traditional Arabic"/>
          <w:sz w:val="30"/>
          <w:szCs w:val="30"/>
          <w:rtl/>
        </w:rPr>
        <w:t xml:space="preserve"> 2022 </w:t>
      </w:r>
      <w:r w:rsidRPr="00B934CE">
        <w:rPr>
          <w:rFonts w:ascii="Traditional Arabic" w:eastAsia="Calibri" w:hAnsi="Traditional Arabic" w:cs="Traditional Arabic" w:hint="eastAsia"/>
          <w:sz w:val="30"/>
          <w:szCs w:val="30"/>
          <w:rtl/>
        </w:rPr>
        <w:t>واستبعاد</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جميع</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الأصول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الناتجة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عن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تطبيق</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سياسة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الرسملة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الجديدة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مما</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أدى</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إلى</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الزيادة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في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مصاريف</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الصيانة</w:t>
      </w:r>
      <w:r w:rsidRPr="00B934CE">
        <w:rPr>
          <w:rFonts w:ascii="Traditional Arabic" w:eastAsia="Calibri" w:hAnsi="Traditional Arabic" w:cs="Traditional Arabic"/>
          <w:sz w:val="30"/>
          <w:szCs w:val="30"/>
          <w:rtl/>
        </w:rPr>
        <w:t xml:space="preserve"> والإصلاح للسنة المالية 2022 بمقدار 6.7 مليون ريال عماني.</w:t>
      </w:r>
    </w:p>
    <w:p w14:paraId="20E2C5A9"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انخفضت</w:t>
      </w:r>
      <w:r w:rsidRPr="00B934CE">
        <w:rPr>
          <w:rFonts w:ascii="Traditional Arabic" w:eastAsia="Calibri" w:hAnsi="Traditional Arabic" w:cs="Traditional Arabic"/>
          <w:sz w:val="30"/>
          <w:szCs w:val="30"/>
          <w:rtl/>
        </w:rPr>
        <w:t xml:space="preserve"> تكاليف الصيانة والإصلاح بنسبة 38.3% من 15.8 مليون ريال عماني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السنة المالية 2022 الى 9.8 مليون ريال عماني في السنة المالية 2023، حيث </w:t>
      </w:r>
      <w:r w:rsidRPr="00B934CE">
        <w:rPr>
          <w:rFonts w:ascii="Traditional Arabic" w:eastAsia="Calibri" w:hAnsi="Traditional Arabic" w:cs="Traditional Arabic"/>
          <w:sz w:val="30"/>
          <w:szCs w:val="30"/>
          <w:rtl/>
        </w:rPr>
        <w:t xml:space="preserve">كان تأثير </w:t>
      </w:r>
      <w:r w:rsidRPr="00B934CE">
        <w:rPr>
          <w:rFonts w:ascii="Traditional Arabic" w:eastAsiaTheme="majorEastAsia" w:hAnsi="Traditional Arabic" w:cs="Traditional Arabic"/>
          <w:sz w:val="30"/>
          <w:szCs w:val="30"/>
          <w:rtl/>
        </w:rPr>
        <w:t xml:space="preserve">التغيير في سياسة الرسملة </w:t>
      </w:r>
      <w:r w:rsidRPr="00B934CE">
        <w:rPr>
          <w:rFonts w:ascii="Traditional Arabic" w:eastAsia="Calibri" w:hAnsi="Traditional Arabic" w:cs="Traditional Arabic" w:hint="eastAsia"/>
          <w:sz w:val="30"/>
          <w:szCs w:val="30"/>
          <w:rtl/>
        </w:rPr>
        <w:t>أقل</w:t>
      </w:r>
      <w:r w:rsidRPr="00B934CE">
        <w:rPr>
          <w:rFonts w:ascii="Traditional Arabic" w:eastAsia="Calibri" w:hAnsi="Traditional Arabic" w:cs="Traditional Arabic"/>
          <w:sz w:val="30"/>
          <w:szCs w:val="30"/>
          <w:rtl/>
        </w:rPr>
        <w:t xml:space="preserve"> نسبيًا في السنة المالية 2023. </w:t>
      </w:r>
    </w:p>
    <w:p w14:paraId="36C59A92"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hint="eastAsia"/>
          <w:sz w:val="30"/>
          <w:szCs w:val="30"/>
          <w:rtl/>
        </w:rPr>
        <w:t>ارت</w:t>
      </w:r>
      <w:r w:rsidRPr="00B934CE">
        <w:rPr>
          <w:rFonts w:ascii="Traditional Arabic" w:eastAsia="Calibri" w:hAnsi="Traditional Arabic" w:cs="Traditional Arabic"/>
          <w:sz w:val="30"/>
          <w:szCs w:val="30"/>
          <w:rtl/>
        </w:rPr>
        <w:t xml:space="preserve">فعت تكاليف الإصلاح والصيانة بنسبة 14.5% من 7.4 مليون ريال عماني في فترة التسعة أشهر المنتهية في 30 سبتمبر 2023 إلى 8.4 مليون ريال عماني في فترة التسعة أشهر المنتهية في 30 سبتمبر 2024، ويرجع ذلك </w:t>
      </w:r>
      <w:r w:rsidRPr="00B934CE">
        <w:rPr>
          <w:rFonts w:ascii="Traditional Arabic" w:eastAsia="Calibri" w:hAnsi="Traditional Arabic" w:cs="Traditional Arabic" w:hint="eastAsia"/>
          <w:sz w:val="30"/>
          <w:szCs w:val="30"/>
          <w:rtl/>
        </w:rPr>
        <w:t>بشكل</w:t>
      </w:r>
      <w:r w:rsidRPr="00B934CE">
        <w:rPr>
          <w:rFonts w:ascii="Traditional Arabic" w:eastAsia="Calibri" w:hAnsi="Traditional Arabic" w:cs="Traditional Arabic"/>
          <w:sz w:val="30"/>
          <w:szCs w:val="30"/>
          <w:rtl/>
        </w:rPr>
        <w:t xml:space="preserve"> أساسي إلى إعادة تصنيف رسوم السفن التي تم تسجيلها سابقًا ضمن نفقات الرحل</w:t>
      </w:r>
      <w:r w:rsidRPr="00B934CE">
        <w:rPr>
          <w:rFonts w:ascii="Traditional Arabic" w:eastAsia="Calibri" w:hAnsi="Traditional Arabic" w:cs="Traditional Arabic" w:hint="eastAsia"/>
          <w:sz w:val="30"/>
          <w:szCs w:val="30"/>
          <w:rtl/>
        </w:rPr>
        <w:t>ات</w:t>
      </w:r>
      <w:r w:rsidRPr="00B934CE">
        <w:rPr>
          <w:rFonts w:ascii="Traditional Arabic" w:eastAsia="Calibri" w:hAnsi="Traditional Arabic" w:cs="Traditional Arabic"/>
          <w:sz w:val="30"/>
          <w:szCs w:val="30"/>
          <w:rtl/>
        </w:rPr>
        <w:t>. وتشمل نفقات اتصالات السفن ورسوم الوكالة وضريبة الحمولة.</w:t>
      </w:r>
    </w:p>
    <w:p w14:paraId="55C79307" w14:textId="77777777" w:rsidR="00563389" w:rsidRPr="00B934CE" w:rsidRDefault="00563389" w:rsidP="00B934CE">
      <w:pPr>
        <w:bidi/>
        <w:spacing w:after="120"/>
        <w:jc w:val="both"/>
        <w:rPr>
          <w:rFonts w:ascii="Traditional Arabic" w:eastAsia="Calibri" w:hAnsi="Traditional Arabic" w:cs="Traditional Arabic"/>
          <w:b/>
          <w:bCs/>
          <w:sz w:val="30"/>
          <w:szCs w:val="30"/>
        </w:rPr>
      </w:pPr>
      <w:r w:rsidRPr="00B934CE">
        <w:rPr>
          <w:rFonts w:ascii="Traditional Arabic" w:eastAsia="Calibri" w:hAnsi="Traditional Arabic" w:cs="Traditional Arabic"/>
          <w:b/>
          <w:bCs/>
          <w:sz w:val="30"/>
          <w:szCs w:val="30"/>
          <w:rtl/>
        </w:rPr>
        <w:t>مواد استهلاكية ومخازن</w:t>
      </w:r>
    </w:p>
    <w:p w14:paraId="64605207"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تتعلق المواد الاستهلاكية بالزيوت والشحوم والمواد الكيميائية والأدوية والحبال والطلاء وقطع الغيار الاستهلاكية وغيرها.</w:t>
      </w:r>
    </w:p>
    <w:p w14:paraId="5E37B241"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ارتفعت</w:t>
      </w:r>
      <w:r w:rsidRPr="00B934CE">
        <w:rPr>
          <w:rFonts w:ascii="Traditional Arabic" w:eastAsia="Calibri" w:hAnsi="Traditional Arabic" w:cs="Traditional Arabic"/>
          <w:sz w:val="30"/>
          <w:szCs w:val="30"/>
          <w:rtl/>
        </w:rPr>
        <w:t xml:space="preserve"> تكلفة المواد الاستهلاكية </w:t>
      </w:r>
      <w:r w:rsidRPr="00B934CE">
        <w:rPr>
          <w:rFonts w:ascii="Traditional Arabic" w:eastAsia="Calibri" w:hAnsi="Traditional Arabic" w:cs="Traditional Arabic" w:hint="eastAsia"/>
          <w:sz w:val="30"/>
          <w:szCs w:val="30"/>
          <w:rtl/>
        </w:rPr>
        <w:t>والمخازن</w:t>
      </w:r>
      <w:r w:rsidRPr="00B934CE">
        <w:rPr>
          <w:rFonts w:ascii="Traditional Arabic" w:eastAsia="Calibri" w:hAnsi="Traditional Arabic" w:cs="Traditional Arabic"/>
          <w:sz w:val="30"/>
          <w:szCs w:val="30"/>
          <w:rtl/>
        </w:rPr>
        <w:t xml:space="preserve"> بنسبة 14.3% من 4.8 مليون ريال عماني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السنة المالية 2021 الى 5.5 مليون ريال عماني في السنة المالية 2022، ويعود ذلك بشكل رئيسي إلى</w:t>
      </w:r>
      <w:r w:rsidRPr="00B934CE">
        <w:rPr>
          <w:rFonts w:ascii="Traditional Arabic" w:eastAsiaTheme="majorEastAsia" w:hAnsi="Traditional Arabic" w:cs="Traditional Arabic"/>
          <w:sz w:val="30"/>
          <w:szCs w:val="30"/>
        </w:rPr>
        <w:t xml:space="preserve"> </w:t>
      </w:r>
      <w:r w:rsidRPr="00B934CE">
        <w:rPr>
          <w:rFonts w:ascii="Traditional Arabic" w:eastAsia="Calibri" w:hAnsi="Traditional Arabic" w:cs="Traditional Arabic" w:hint="eastAsia"/>
          <w:sz w:val="30"/>
          <w:szCs w:val="30"/>
          <w:rtl/>
          <w:lang w:bidi="ar-JO"/>
        </w:rPr>
        <w:t>ال</w:t>
      </w:r>
      <w:r w:rsidRPr="00B934CE">
        <w:rPr>
          <w:rFonts w:ascii="Traditional Arabic" w:eastAsia="Calibri" w:hAnsi="Traditional Arabic" w:cs="Traditional Arabic"/>
          <w:sz w:val="30"/>
          <w:szCs w:val="30"/>
          <w:rtl/>
        </w:rPr>
        <w:t xml:space="preserve">زيادة </w:t>
      </w:r>
      <w:r w:rsidRPr="00B934CE">
        <w:rPr>
          <w:rFonts w:ascii="Traditional Arabic" w:eastAsia="Calibri" w:hAnsi="Traditional Arabic" w:cs="Traditional Arabic" w:hint="eastAsia"/>
          <w:sz w:val="30"/>
          <w:szCs w:val="30"/>
          <w:rtl/>
        </w:rPr>
        <w:t>في</w:t>
      </w:r>
      <w:r w:rsidRPr="00B934CE">
        <w:rPr>
          <w:rFonts w:ascii="Traditional Arabic" w:eastAsia="Calibri" w:hAnsi="Traditional Arabic" w:cs="Traditional Arabic"/>
          <w:sz w:val="30"/>
          <w:szCs w:val="30"/>
          <w:rtl/>
        </w:rPr>
        <w:t xml:space="preserve"> بعض أنواع التكاليف مثل: متجر السفن لتكنولوجيا المعلومات، الخرائط والمطبوعات، والحبال والأسلاك.</w:t>
      </w:r>
    </w:p>
    <w:p w14:paraId="19BE4E0B"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انخفضت</w:t>
      </w:r>
      <w:r w:rsidRPr="00B934CE">
        <w:rPr>
          <w:rFonts w:ascii="Traditional Arabic" w:eastAsia="Calibri" w:hAnsi="Traditional Arabic" w:cs="Traditional Arabic"/>
          <w:sz w:val="30"/>
          <w:szCs w:val="30"/>
          <w:rtl/>
        </w:rPr>
        <w:t xml:space="preserve"> تكلفة المواد الاستهلاكية </w:t>
      </w:r>
      <w:r w:rsidRPr="00B934CE">
        <w:rPr>
          <w:rFonts w:ascii="Traditional Arabic" w:eastAsia="Calibri" w:hAnsi="Traditional Arabic" w:cs="Traditional Arabic" w:hint="eastAsia"/>
          <w:sz w:val="30"/>
          <w:szCs w:val="30"/>
          <w:rtl/>
        </w:rPr>
        <w:t>والمخازن</w:t>
      </w:r>
      <w:r w:rsidRPr="00B934CE">
        <w:rPr>
          <w:rFonts w:ascii="Traditional Arabic" w:eastAsia="Calibri" w:hAnsi="Traditional Arabic" w:cs="Traditional Arabic"/>
          <w:sz w:val="30"/>
          <w:szCs w:val="30"/>
          <w:rtl/>
        </w:rPr>
        <w:t xml:space="preserve"> بنسبة 3.8% من 5.5 مليون ريال عماني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5.2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2023،</w:t>
      </w:r>
      <w:r w:rsidRPr="00B934CE">
        <w:rPr>
          <w:rFonts w:ascii="Traditional Arabic" w:eastAsia="Calibri"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ويعود</w:t>
      </w:r>
      <w:r w:rsidRPr="00B934CE">
        <w:rPr>
          <w:rFonts w:ascii="Traditional Arabic" w:eastAsiaTheme="majorEastAsia" w:hAnsi="Traditional Arabic" w:cs="Traditional Arabic"/>
          <w:sz w:val="30"/>
          <w:szCs w:val="30"/>
          <w:rtl/>
        </w:rPr>
        <w:t xml:space="preserve"> ذلك إلى تقليص بعض تكاليف زيوت التشحيم وتكاليف الوقود التشغيلي.</w:t>
      </w:r>
    </w:p>
    <w:p w14:paraId="34C4BB16" w14:textId="77777777" w:rsidR="006B4D9E"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انخ</w:t>
      </w:r>
      <w:r w:rsidRPr="00B934CE">
        <w:rPr>
          <w:rFonts w:ascii="Traditional Arabic" w:eastAsia="Calibri" w:hAnsi="Traditional Arabic" w:cs="Traditional Arabic"/>
          <w:sz w:val="30"/>
          <w:szCs w:val="30"/>
          <w:rtl/>
        </w:rPr>
        <w:t xml:space="preserve">فضت تكلفة المواد الاستهلاكية والمخازن بنسبة 22.0% من 4.1 مليون ريال عماني في فترة التسعة أشهر المنتهية في 30 سبتمبر 2023 إلى 3.2 مليون ريال عماني في فترة التسعة أشهر المنتهية في 30 سبتمبر 2024 بعد بيع ثلاث </w:t>
      </w:r>
      <w:r w:rsidRPr="00B934CE">
        <w:rPr>
          <w:rFonts w:ascii="Traditional Arabic" w:eastAsia="Calibri" w:hAnsi="Traditional Arabic" w:cs="Traditional Arabic" w:hint="eastAsia"/>
          <w:sz w:val="30"/>
          <w:szCs w:val="30"/>
          <w:rtl/>
        </w:rPr>
        <w:t>ناقلات</w:t>
      </w:r>
      <w:r w:rsidRPr="00B934CE">
        <w:rPr>
          <w:rFonts w:ascii="Traditional Arabic" w:eastAsia="Calibri" w:hAnsi="Traditional Arabic" w:cs="Traditional Arabic"/>
          <w:sz w:val="30"/>
          <w:szCs w:val="30"/>
          <w:rtl/>
        </w:rPr>
        <w:t xml:space="preserve"> نفط </w:t>
      </w:r>
      <w:r w:rsidRPr="00B934CE">
        <w:rPr>
          <w:rFonts w:ascii="Traditional Arabic" w:eastAsia="Calibri" w:hAnsi="Traditional Arabic" w:cs="Traditional Arabic" w:hint="eastAsia"/>
          <w:sz w:val="30"/>
          <w:szCs w:val="30"/>
          <w:rtl/>
        </w:rPr>
        <w:t>خام</w:t>
      </w:r>
      <w:r w:rsidRPr="00B934CE">
        <w:rPr>
          <w:rFonts w:ascii="Traditional Arabic" w:eastAsia="Calibri" w:hAnsi="Traditional Arabic" w:cs="Traditional Arabic"/>
          <w:sz w:val="30"/>
          <w:szCs w:val="30"/>
          <w:rtl/>
        </w:rPr>
        <w:t xml:space="preserve"> عملاقة في ديسمبر 2023، إلى جانب انخفاض تكلفة المواد الاستهلاكية لبعض </w:t>
      </w:r>
      <w:r w:rsidRPr="00B934CE">
        <w:rPr>
          <w:rFonts w:ascii="Traditional Arabic" w:eastAsia="Calibri" w:hAnsi="Traditional Arabic" w:cs="Traditional Arabic" w:hint="eastAsia"/>
          <w:sz w:val="30"/>
          <w:szCs w:val="30"/>
          <w:rtl/>
        </w:rPr>
        <w:t>ناقلات</w:t>
      </w:r>
      <w:r w:rsidRPr="00B934CE">
        <w:rPr>
          <w:rFonts w:ascii="Traditional Arabic" w:eastAsia="Calibri" w:hAnsi="Traditional Arabic" w:cs="Traditional Arabic"/>
          <w:sz w:val="30"/>
          <w:szCs w:val="30"/>
          <w:rtl/>
        </w:rPr>
        <w:t xml:space="preserve"> النفط </w:t>
      </w:r>
      <w:r w:rsidRPr="00B934CE">
        <w:rPr>
          <w:rFonts w:ascii="Traditional Arabic" w:eastAsia="Calibri" w:hAnsi="Traditional Arabic" w:cs="Traditional Arabic" w:hint="eastAsia"/>
          <w:sz w:val="30"/>
          <w:szCs w:val="30"/>
          <w:rtl/>
        </w:rPr>
        <w:t>الخام</w:t>
      </w:r>
      <w:r w:rsidRPr="00B934CE">
        <w:rPr>
          <w:rFonts w:ascii="Traditional Arabic" w:eastAsia="Calibri" w:hAnsi="Traditional Arabic" w:cs="Traditional Arabic"/>
          <w:sz w:val="30"/>
          <w:szCs w:val="30"/>
          <w:rtl/>
        </w:rPr>
        <w:t xml:space="preserve"> العملاقة. </w:t>
      </w:r>
    </w:p>
    <w:p w14:paraId="7A4A1295" w14:textId="77777777" w:rsidR="00563389" w:rsidRPr="00B934CE" w:rsidRDefault="00563389" w:rsidP="00B934CE">
      <w:pPr>
        <w:pStyle w:val="4"/>
        <w:spacing w:before="0" w:after="120"/>
        <w:rPr>
          <w:rFonts w:ascii="Traditional Arabic" w:hAnsi="Traditional Arabic" w:cs="Traditional Arabic"/>
          <w:b w:val="0"/>
          <w:bCs w:val="0"/>
          <w:i/>
          <w:iCs/>
          <w:color w:val="auto"/>
          <w:sz w:val="30"/>
          <w:szCs w:val="30"/>
        </w:rPr>
      </w:pPr>
      <w:r w:rsidRPr="00B934CE">
        <w:rPr>
          <w:rFonts w:ascii="Traditional Arabic" w:hAnsi="Traditional Arabic" w:cs="Traditional Arabic" w:hint="eastAsia"/>
          <w:b w:val="0"/>
          <w:bCs w:val="0"/>
          <w:i/>
          <w:iCs/>
          <w:color w:val="auto"/>
          <w:sz w:val="30"/>
          <w:szCs w:val="30"/>
          <w:rtl/>
        </w:rPr>
        <w:t>تكاليف</w:t>
      </w:r>
      <w:r w:rsidRPr="00B934CE">
        <w:rPr>
          <w:rFonts w:ascii="Traditional Arabic" w:hAnsi="Traditional Arabic" w:cs="Traditional Arabic"/>
          <w:b w:val="0"/>
          <w:bCs w:val="0"/>
          <w:i/>
          <w:iCs/>
          <w:color w:val="auto"/>
          <w:sz w:val="30"/>
          <w:szCs w:val="30"/>
          <w:rtl/>
        </w:rPr>
        <w:t xml:space="preserve"> تشغيل الرحلات </w:t>
      </w:r>
    </w:p>
    <w:p w14:paraId="06B7C4EF" w14:textId="77777777" w:rsidR="00563389" w:rsidRPr="00B934CE" w:rsidRDefault="00563389" w:rsidP="00B934CE">
      <w:pPr>
        <w:bidi/>
        <w:jc w:val="both"/>
        <w:rPr>
          <w:rFonts w:ascii="Traditional Arabic" w:eastAsia="Calibri" w:hAnsi="Traditional Arabic" w:cs="Traditional Arabic"/>
          <w:i/>
          <w:iCs/>
          <w:sz w:val="30"/>
          <w:szCs w:val="30"/>
          <w:rtl/>
        </w:rPr>
      </w:pPr>
      <w:r w:rsidRPr="00B934CE">
        <w:rPr>
          <w:rFonts w:ascii="Traditional Arabic" w:eastAsia="Calibri" w:hAnsi="Traditional Arabic" w:cs="Traditional Arabic"/>
          <w:i/>
          <w:iCs/>
          <w:sz w:val="30"/>
          <w:szCs w:val="30"/>
          <w:rtl/>
        </w:rPr>
        <w:t>الجدول‏ ‏:</w:t>
      </w:r>
      <w:r w:rsidRPr="00B934CE">
        <w:rPr>
          <w:rFonts w:ascii="Traditional Arabic" w:eastAsia="Calibri" w:hAnsi="Traditional Arabic" w:cs="Traditional Arabic"/>
          <w:b/>
          <w:bCs/>
          <w:i/>
          <w:iCs/>
          <w:sz w:val="30"/>
          <w:szCs w:val="30"/>
          <w:rtl/>
        </w:rPr>
        <w:t xml:space="preserve"> </w:t>
      </w:r>
      <w:r w:rsidRPr="00B934CE">
        <w:rPr>
          <w:rFonts w:ascii="Traditional Arabic" w:eastAsia="Calibri" w:hAnsi="Traditional Arabic" w:cs="Traditional Arabic"/>
          <w:i/>
          <w:iCs/>
          <w:sz w:val="30"/>
          <w:szCs w:val="30"/>
          <w:rtl/>
        </w:rPr>
        <w:t xml:space="preserve">تكاليف تشغيل </w:t>
      </w:r>
      <w:r w:rsidRPr="00B934CE">
        <w:rPr>
          <w:rFonts w:ascii="Traditional Arabic" w:eastAsia="Calibri" w:hAnsi="Traditional Arabic" w:cs="Traditional Arabic" w:hint="eastAsia"/>
          <w:i/>
          <w:iCs/>
          <w:sz w:val="30"/>
          <w:szCs w:val="30"/>
          <w:rtl/>
        </w:rPr>
        <w:t>الرحلات</w:t>
      </w:r>
      <w:r w:rsidRPr="00B934CE">
        <w:rPr>
          <w:rFonts w:ascii="Traditional Arabic" w:eastAsia="Calibri" w:hAnsi="Traditional Arabic" w:cs="Traditional Arabic"/>
          <w:i/>
          <w:iCs/>
          <w:sz w:val="30"/>
          <w:szCs w:val="30"/>
          <w:rtl/>
        </w:rPr>
        <w:t xml:space="preserve"> للسنوات المالية المنتهية في 31 ديسمبر 2021، 2022، و2023، وفترتي التسعة أشهر المنتهيتين في 30 سبتمبر 2023 و2024:</w:t>
      </w:r>
    </w:p>
    <w:tbl>
      <w:tblPr>
        <w:bidiVisual/>
        <w:tblW w:w="9377" w:type="dxa"/>
        <w:tblLook w:val="04A0" w:firstRow="1" w:lastRow="0" w:firstColumn="1" w:lastColumn="0" w:noHBand="0" w:noVBand="1"/>
      </w:tblPr>
      <w:tblGrid>
        <w:gridCol w:w="1051"/>
        <w:gridCol w:w="958"/>
        <w:gridCol w:w="1084"/>
        <w:gridCol w:w="924"/>
        <w:gridCol w:w="839"/>
        <w:gridCol w:w="881"/>
        <w:gridCol w:w="839"/>
        <w:gridCol w:w="960"/>
        <w:gridCol w:w="960"/>
        <w:gridCol w:w="881"/>
      </w:tblGrid>
      <w:tr w:rsidR="00900056" w:rsidRPr="00900056" w14:paraId="78F15AED" w14:textId="77777777" w:rsidTr="00922116">
        <w:trPr>
          <w:trHeight w:val="20"/>
        </w:trPr>
        <w:tc>
          <w:tcPr>
            <w:tcW w:w="1330" w:type="dxa"/>
            <w:shd w:val="clear" w:color="auto" w:fill="0B3D85"/>
            <w:vAlign w:val="center"/>
          </w:tcPr>
          <w:p w14:paraId="530AC064"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 xml:space="preserve">بآلاف الريالات </w:t>
            </w:r>
            <w:r w:rsidRPr="00B934CE">
              <w:rPr>
                <w:rFonts w:ascii="Traditional Arabic" w:hAnsi="Traditional Arabic" w:cs="Traditional Arabic" w:hint="eastAsia"/>
                <w:b/>
                <w:bCs/>
                <w:sz w:val="24"/>
                <w:rtl/>
              </w:rPr>
              <w:t>العمانية</w:t>
            </w:r>
          </w:p>
        </w:tc>
        <w:tc>
          <w:tcPr>
            <w:tcW w:w="1056" w:type="dxa"/>
            <w:shd w:val="clear" w:color="auto" w:fill="0B3D85"/>
            <w:vAlign w:val="center"/>
          </w:tcPr>
          <w:p w14:paraId="5E83A5AD"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2021</w:t>
            </w:r>
          </w:p>
          <w:p w14:paraId="7B77C68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1333" w:type="dxa"/>
            <w:shd w:val="clear" w:color="auto" w:fill="0B3D85"/>
            <w:vAlign w:val="center"/>
          </w:tcPr>
          <w:p w14:paraId="3D07D301"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2022</w:t>
            </w:r>
          </w:p>
          <w:p w14:paraId="70369C6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981" w:type="dxa"/>
            <w:shd w:val="clear" w:color="auto" w:fill="0B3D85"/>
            <w:vAlign w:val="center"/>
          </w:tcPr>
          <w:p w14:paraId="7A1B5A2F"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2023</w:t>
            </w:r>
          </w:p>
          <w:p w14:paraId="065FA89A"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704" w:type="dxa"/>
            <w:shd w:val="clear" w:color="auto" w:fill="0B3D85"/>
            <w:vAlign w:val="center"/>
          </w:tcPr>
          <w:p w14:paraId="1ED3C23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2021- 2022</w:t>
            </w:r>
          </w:p>
        </w:tc>
        <w:tc>
          <w:tcPr>
            <w:tcW w:w="705" w:type="dxa"/>
            <w:shd w:val="clear" w:color="auto" w:fill="0B3D85"/>
            <w:vAlign w:val="center"/>
          </w:tcPr>
          <w:p w14:paraId="3CCF4AA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2022- 2023</w:t>
            </w:r>
          </w:p>
        </w:tc>
        <w:tc>
          <w:tcPr>
            <w:tcW w:w="694" w:type="dxa"/>
            <w:shd w:val="clear" w:color="auto" w:fill="0B3D85"/>
            <w:vAlign w:val="center"/>
          </w:tcPr>
          <w:p w14:paraId="777057E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معدل النمو المركب 2021-2023</w:t>
            </w:r>
          </w:p>
        </w:tc>
        <w:tc>
          <w:tcPr>
            <w:tcW w:w="936" w:type="dxa"/>
            <w:shd w:val="clear" w:color="auto" w:fill="0B3D85"/>
            <w:vAlign w:val="center"/>
          </w:tcPr>
          <w:p w14:paraId="2BE98506"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2023</w:t>
            </w:r>
          </w:p>
          <w:p w14:paraId="38A108ED"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936" w:type="dxa"/>
            <w:shd w:val="clear" w:color="auto" w:fill="0B3D85"/>
            <w:vAlign w:val="center"/>
          </w:tcPr>
          <w:p w14:paraId="14E04C75"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2024</w:t>
            </w:r>
          </w:p>
          <w:p w14:paraId="7BE1EE9B"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702" w:type="dxa"/>
            <w:shd w:val="clear" w:color="auto" w:fill="0B3D85"/>
            <w:vAlign w:val="center"/>
          </w:tcPr>
          <w:p w14:paraId="258BA2CD"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التغير للفترة 2023-2024</w:t>
            </w:r>
          </w:p>
        </w:tc>
      </w:tr>
      <w:tr w:rsidR="00900056" w:rsidRPr="00900056" w14:paraId="39F36358" w14:textId="77777777" w:rsidTr="00922116">
        <w:trPr>
          <w:trHeight w:val="20"/>
        </w:trPr>
        <w:tc>
          <w:tcPr>
            <w:tcW w:w="1330" w:type="dxa"/>
            <w:tcBorders>
              <w:top w:val="single" w:sz="4" w:space="0" w:color="0B3D85"/>
              <w:bottom w:val="single" w:sz="4" w:space="0" w:color="0B3D85"/>
            </w:tcBorders>
            <w:shd w:val="clear" w:color="auto" w:fill="FFFFFF" w:themeFill="background1"/>
            <w:vAlign w:val="center"/>
          </w:tcPr>
          <w:p w14:paraId="5E3A28BD"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lastRenderedPageBreak/>
              <w:t>تكاليف</w:t>
            </w:r>
            <w:r w:rsidRPr="00B934CE">
              <w:rPr>
                <w:rFonts w:ascii="Traditional Arabic" w:eastAsia="Calibri" w:hAnsi="Traditional Arabic" w:cs="Traditional Arabic"/>
                <w:sz w:val="24"/>
                <w:rtl/>
              </w:rPr>
              <w:t xml:space="preserve"> المحروقات -استهلاك المخزون </w:t>
            </w:r>
          </w:p>
        </w:tc>
        <w:tc>
          <w:tcPr>
            <w:tcW w:w="1056" w:type="dxa"/>
            <w:tcBorders>
              <w:top w:val="single" w:sz="4" w:space="0" w:color="0B3D85"/>
              <w:bottom w:val="single" w:sz="4" w:space="0" w:color="0B3D85"/>
            </w:tcBorders>
            <w:shd w:val="clear" w:color="auto" w:fill="FFFFFF" w:themeFill="background1"/>
            <w:vAlign w:val="center"/>
          </w:tcPr>
          <w:p w14:paraId="7839B13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38,131</w:t>
            </w:r>
          </w:p>
        </w:tc>
        <w:tc>
          <w:tcPr>
            <w:tcW w:w="1333" w:type="dxa"/>
            <w:tcBorders>
              <w:top w:val="single" w:sz="4" w:space="0" w:color="0B3D85"/>
              <w:bottom w:val="single" w:sz="4" w:space="0" w:color="0B3D85"/>
            </w:tcBorders>
            <w:shd w:val="clear" w:color="auto" w:fill="FFFFFF" w:themeFill="background1"/>
            <w:vAlign w:val="center"/>
          </w:tcPr>
          <w:p w14:paraId="584FE9D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70,758</w:t>
            </w:r>
          </w:p>
        </w:tc>
        <w:tc>
          <w:tcPr>
            <w:tcW w:w="981" w:type="dxa"/>
            <w:tcBorders>
              <w:top w:val="single" w:sz="4" w:space="0" w:color="0B3D85"/>
              <w:bottom w:val="single" w:sz="4" w:space="0" w:color="0B3D85"/>
            </w:tcBorders>
            <w:shd w:val="clear" w:color="auto" w:fill="FFFFFF" w:themeFill="background1"/>
            <w:vAlign w:val="center"/>
          </w:tcPr>
          <w:p w14:paraId="0CCB925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43,061</w:t>
            </w:r>
          </w:p>
        </w:tc>
        <w:tc>
          <w:tcPr>
            <w:tcW w:w="704" w:type="dxa"/>
            <w:tcBorders>
              <w:top w:val="single" w:sz="4" w:space="0" w:color="0B3D85"/>
              <w:bottom w:val="single" w:sz="4" w:space="0" w:color="0B3D85"/>
            </w:tcBorders>
            <w:shd w:val="clear" w:color="auto" w:fill="FFFFFF" w:themeFill="background1"/>
            <w:vAlign w:val="center"/>
          </w:tcPr>
          <w:p w14:paraId="78B9B8E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85.6%</w:t>
            </w:r>
          </w:p>
        </w:tc>
        <w:tc>
          <w:tcPr>
            <w:tcW w:w="705" w:type="dxa"/>
            <w:tcBorders>
              <w:top w:val="single" w:sz="4" w:space="0" w:color="0B3D85"/>
              <w:bottom w:val="single" w:sz="4" w:space="0" w:color="0B3D85"/>
            </w:tcBorders>
            <w:shd w:val="clear" w:color="auto" w:fill="FFFFFF" w:themeFill="background1"/>
            <w:vAlign w:val="center"/>
          </w:tcPr>
          <w:p w14:paraId="07F7FAB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(39.1%)</w:t>
            </w:r>
          </w:p>
        </w:tc>
        <w:tc>
          <w:tcPr>
            <w:tcW w:w="694" w:type="dxa"/>
            <w:tcBorders>
              <w:top w:val="single" w:sz="4" w:space="0" w:color="0B3D85"/>
              <w:bottom w:val="single" w:sz="4" w:space="0" w:color="0B3D85"/>
            </w:tcBorders>
            <w:shd w:val="clear" w:color="auto" w:fill="FFFFFF" w:themeFill="background1"/>
            <w:vAlign w:val="center"/>
          </w:tcPr>
          <w:p w14:paraId="4F5B301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6.3%</w:t>
            </w:r>
          </w:p>
        </w:tc>
        <w:tc>
          <w:tcPr>
            <w:tcW w:w="936" w:type="dxa"/>
            <w:tcBorders>
              <w:top w:val="single" w:sz="4" w:space="0" w:color="0B3D85"/>
              <w:bottom w:val="single" w:sz="4" w:space="0" w:color="0B3D85"/>
            </w:tcBorders>
            <w:shd w:val="clear" w:color="auto" w:fill="FFFFFF" w:themeFill="background1"/>
            <w:vAlign w:val="center"/>
          </w:tcPr>
          <w:p w14:paraId="7851308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32,447</w:t>
            </w:r>
          </w:p>
        </w:tc>
        <w:tc>
          <w:tcPr>
            <w:tcW w:w="936" w:type="dxa"/>
            <w:tcBorders>
              <w:top w:val="single" w:sz="4" w:space="0" w:color="0B3D85"/>
              <w:bottom w:val="single" w:sz="4" w:space="0" w:color="0B3D85"/>
            </w:tcBorders>
            <w:shd w:val="clear" w:color="auto" w:fill="FFFFFF" w:themeFill="background1"/>
            <w:vAlign w:val="center"/>
          </w:tcPr>
          <w:p w14:paraId="5DC0B2F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17,479</w:t>
            </w:r>
          </w:p>
        </w:tc>
        <w:tc>
          <w:tcPr>
            <w:tcW w:w="702" w:type="dxa"/>
            <w:tcBorders>
              <w:top w:val="single" w:sz="4" w:space="0" w:color="0B3D85"/>
              <w:bottom w:val="single" w:sz="4" w:space="0" w:color="0B3D85"/>
            </w:tcBorders>
            <w:shd w:val="clear" w:color="auto" w:fill="FFFFFF" w:themeFill="background1"/>
            <w:vAlign w:val="center"/>
          </w:tcPr>
          <w:p w14:paraId="449F9A6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(46.1%)</w:t>
            </w:r>
          </w:p>
        </w:tc>
      </w:tr>
      <w:tr w:rsidR="00900056" w:rsidRPr="00900056" w14:paraId="4C42DAA1" w14:textId="77777777" w:rsidTr="00922116">
        <w:trPr>
          <w:trHeight w:val="20"/>
        </w:trPr>
        <w:tc>
          <w:tcPr>
            <w:tcW w:w="1330" w:type="dxa"/>
            <w:tcBorders>
              <w:top w:val="single" w:sz="4" w:space="0" w:color="0B3D85"/>
              <w:bottom w:val="single" w:sz="4" w:space="0" w:color="0B3D85"/>
            </w:tcBorders>
            <w:shd w:val="clear" w:color="auto" w:fill="FFFFFF" w:themeFill="background1"/>
            <w:vAlign w:val="center"/>
          </w:tcPr>
          <w:p w14:paraId="4936FF75"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الرحلات </w:t>
            </w:r>
          </w:p>
        </w:tc>
        <w:tc>
          <w:tcPr>
            <w:tcW w:w="1056" w:type="dxa"/>
            <w:tcBorders>
              <w:top w:val="single" w:sz="4" w:space="0" w:color="0B3D85"/>
              <w:bottom w:val="single" w:sz="4" w:space="0" w:color="0B3D85"/>
            </w:tcBorders>
            <w:shd w:val="clear" w:color="auto" w:fill="FFFFFF" w:themeFill="background1"/>
            <w:vAlign w:val="center"/>
          </w:tcPr>
          <w:p w14:paraId="5DF3193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13,052</w:t>
            </w:r>
          </w:p>
        </w:tc>
        <w:tc>
          <w:tcPr>
            <w:tcW w:w="1333" w:type="dxa"/>
            <w:tcBorders>
              <w:top w:val="single" w:sz="4" w:space="0" w:color="0B3D85"/>
              <w:bottom w:val="single" w:sz="4" w:space="0" w:color="0B3D85"/>
            </w:tcBorders>
            <w:shd w:val="clear" w:color="auto" w:fill="FFFFFF" w:themeFill="background1"/>
            <w:vAlign w:val="center"/>
          </w:tcPr>
          <w:p w14:paraId="521A905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13,253</w:t>
            </w:r>
          </w:p>
        </w:tc>
        <w:tc>
          <w:tcPr>
            <w:tcW w:w="981" w:type="dxa"/>
            <w:tcBorders>
              <w:top w:val="single" w:sz="4" w:space="0" w:color="0B3D85"/>
              <w:bottom w:val="single" w:sz="4" w:space="0" w:color="0B3D85"/>
            </w:tcBorders>
            <w:shd w:val="clear" w:color="auto" w:fill="FFFFFF" w:themeFill="background1"/>
            <w:vAlign w:val="center"/>
          </w:tcPr>
          <w:p w14:paraId="602153F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24,427</w:t>
            </w:r>
          </w:p>
        </w:tc>
        <w:tc>
          <w:tcPr>
            <w:tcW w:w="704" w:type="dxa"/>
            <w:tcBorders>
              <w:top w:val="single" w:sz="4" w:space="0" w:color="0B3D85"/>
              <w:bottom w:val="single" w:sz="4" w:space="0" w:color="0B3D85"/>
            </w:tcBorders>
            <w:shd w:val="clear" w:color="auto" w:fill="FFFFFF" w:themeFill="background1"/>
            <w:vAlign w:val="center"/>
          </w:tcPr>
          <w:p w14:paraId="79A01C0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w:t>
            </w:r>
          </w:p>
        </w:tc>
        <w:tc>
          <w:tcPr>
            <w:tcW w:w="705" w:type="dxa"/>
            <w:tcBorders>
              <w:top w:val="single" w:sz="4" w:space="0" w:color="0B3D85"/>
              <w:bottom w:val="single" w:sz="4" w:space="0" w:color="0B3D85"/>
            </w:tcBorders>
            <w:shd w:val="clear" w:color="auto" w:fill="FFFFFF" w:themeFill="background1"/>
            <w:vAlign w:val="center"/>
          </w:tcPr>
          <w:p w14:paraId="0E61045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84.3%</w:t>
            </w:r>
          </w:p>
        </w:tc>
        <w:tc>
          <w:tcPr>
            <w:tcW w:w="694" w:type="dxa"/>
            <w:tcBorders>
              <w:top w:val="single" w:sz="4" w:space="0" w:color="0B3D85"/>
              <w:bottom w:val="single" w:sz="4" w:space="0" w:color="0B3D85"/>
            </w:tcBorders>
            <w:shd w:val="clear" w:color="auto" w:fill="FFFFFF" w:themeFill="background1"/>
            <w:vAlign w:val="center"/>
          </w:tcPr>
          <w:p w14:paraId="3AEFC9A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36.8%</w:t>
            </w:r>
          </w:p>
        </w:tc>
        <w:tc>
          <w:tcPr>
            <w:tcW w:w="936" w:type="dxa"/>
            <w:tcBorders>
              <w:top w:val="single" w:sz="4" w:space="0" w:color="0B3D85"/>
              <w:bottom w:val="single" w:sz="4" w:space="0" w:color="0B3D85"/>
            </w:tcBorders>
            <w:shd w:val="clear" w:color="auto" w:fill="FFFFFF" w:themeFill="background1"/>
            <w:vAlign w:val="center"/>
          </w:tcPr>
          <w:p w14:paraId="1C18F6C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18,443</w:t>
            </w:r>
          </w:p>
        </w:tc>
        <w:tc>
          <w:tcPr>
            <w:tcW w:w="936" w:type="dxa"/>
            <w:tcBorders>
              <w:top w:val="single" w:sz="4" w:space="0" w:color="0B3D85"/>
              <w:bottom w:val="single" w:sz="4" w:space="0" w:color="0B3D85"/>
            </w:tcBorders>
            <w:shd w:val="clear" w:color="auto" w:fill="FFFFFF" w:themeFill="background1"/>
            <w:vAlign w:val="center"/>
          </w:tcPr>
          <w:p w14:paraId="04BFC64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16,380</w:t>
            </w:r>
          </w:p>
        </w:tc>
        <w:tc>
          <w:tcPr>
            <w:tcW w:w="702" w:type="dxa"/>
            <w:tcBorders>
              <w:top w:val="single" w:sz="4" w:space="0" w:color="0B3D85"/>
              <w:bottom w:val="single" w:sz="4" w:space="0" w:color="0B3D85"/>
            </w:tcBorders>
            <w:shd w:val="clear" w:color="auto" w:fill="FFFFFF" w:themeFill="background1"/>
            <w:vAlign w:val="center"/>
          </w:tcPr>
          <w:p w14:paraId="4C25413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(11.2%)</w:t>
            </w:r>
          </w:p>
        </w:tc>
      </w:tr>
      <w:tr w:rsidR="00900056" w:rsidRPr="00900056" w14:paraId="6EDDF5A1" w14:textId="77777777" w:rsidTr="00922116">
        <w:trPr>
          <w:trHeight w:val="58"/>
        </w:trPr>
        <w:tc>
          <w:tcPr>
            <w:tcW w:w="1330" w:type="dxa"/>
            <w:tcBorders>
              <w:top w:val="single" w:sz="4" w:space="0" w:color="0B3D85"/>
              <w:bottom w:val="single" w:sz="4" w:space="0" w:color="0B3D85"/>
            </w:tcBorders>
            <w:shd w:val="clear" w:color="auto" w:fill="FFFFFF" w:themeFill="background1"/>
            <w:vAlign w:val="center"/>
          </w:tcPr>
          <w:p w14:paraId="3BCA268F"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تكاليف</w:t>
            </w:r>
            <w:r w:rsidRPr="00B934CE">
              <w:rPr>
                <w:rFonts w:ascii="Traditional Arabic" w:eastAsia="Calibri" w:hAnsi="Traditional Arabic" w:cs="Traditional Arabic"/>
                <w:sz w:val="24"/>
                <w:rtl/>
              </w:rPr>
              <w:t xml:space="preserve"> الموانئ </w:t>
            </w:r>
          </w:p>
        </w:tc>
        <w:tc>
          <w:tcPr>
            <w:tcW w:w="1056" w:type="dxa"/>
            <w:tcBorders>
              <w:top w:val="single" w:sz="4" w:space="0" w:color="0B3D85"/>
              <w:bottom w:val="single" w:sz="4" w:space="0" w:color="0B3D85"/>
            </w:tcBorders>
            <w:shd w:val="clear" w:color="auto" w:fill="FFFFFF" w:themeFill="background1"/>
            <w:vAlign w:val="center"/>
          </w:tcPr>
          <w:p w14:paraId="55360E2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11,561</w:t>
            </w:r>
          </w:p>
        </w:tc>
        <w:tc>
          <w:tcPr>
            <w:tcW w:w="1333" w:type="dxa"/>
            <w:tcBorders>
              <w:top w:val="single" w:sz="4" w:space="0" w:color="0B3D85"/>
              <w:bottom w:val="single" w:sz="4" w:space="0" w:color="0B3D85"/>
            </w:tcBorders>
            <w:shd w:val="clear" w:color="auto" w:fill="FFFFFF" w:themeFill="background1"/>
            <w:vAlign w:val="center"/>
          </w:tcPr>
          <w:p w14:paraId="15C9854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14,042</w:t>
            </w:r>
          </w:p>
        </w:tc>
        <w:tc>
          <w:tcPr>
            <w:tcW w:w="981" w:type="dxa"/>
            <w:tcBorders>
              <w:top w:val="single" w:sz="4" w:space="0" w:color="0B3D85"/>
              <w:bottom w:val="single" w:sz="4" w:space="0" w:color="0B3D85"/>
            </w:tcBorders>
            <w:shd w:val="clear" w:color="auto" w:fill="FFFFFF" w:themeFill="background1"/>
            <w:vAlign w:val="center"/>
          </w:tcPr>
          <w:p w14:paraId="6F0999A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14,213</w:t>
            </w:r>
          </w:p>
        </w:tc>
        <w:tc>
          <w:tcPr>
            <w:tcW w:w="704" w:type="dxa"/>
            <w:tcBorders>
              <w:top w:val="single" w:sz="4" w:space="0" w:color="0B3D85"/>
              <w:bottom w:val="single" w:sz="4" w:space="0" w:color="0B3D85"/>
            </w:tcBorders>
            <w:shd w:val="clear" w:color="auto" w:fill="FFFFFF" w:themeFill="background1"/>
            <w:vAlign w:val="center"/>
          </w:tcPr>
          <w:p w14:paraId="5E5783D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21.5%</w:t>
            </w:r>
          </w:p>
        </w:tc>
        <w:tc>
          <w:tcPr>
            <w:tcW w:w="705" w:type="dxa"/>
            <w:tcBorders>
              <w:top w:val="single" w:sz="4" w:space="0" w:color="0B3D85"/>
              <w:bottom w:val="single" w:sz="4" w:space="0" w:color="0B3D85"/>
            </w:tcBorders>
            <w:shd w:val="clear" w:color="auto" w:fill="FFFFFF" w:themeFill="background1"/>
            <w:vAlign w:val="center"/>
          </w:tcPr>
          <w:p w14:paraId="5E6A8F1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w:t>
            </w:r>
          </w:p>
        </w:tc>
        <w:tc>
          <w:tcPr>
            <w:tcW w:w="694" w:type="dxa"/>
            <w:tcBorders>
              <w:top w:val="single" w:sz="4" w:space="0" w:color="0B3D85"/>
              <w:bottom w:val="single" w:sz="4" w:space="0" w:color="0B3D85"/>
            </w:tcBorders>
            <w:shd w:val="clear" w:color="auto" w:fill="FFFFFF" w:themeFill="background1"/>
            <w:vAlign w:val="center"/>
          </w:tcPr>
          <w:p w14:paraId="3901904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10.9%</w:t>
            </w:r>
          </w:p>
        </w:tc>
        <w:tc>
          <w:tcPr>
            <w:tcW w:w="936" w:type="dxa"/>
            <w:tcBorders>
              <w:top w:val="single" w:sz="4" w:space="0" w:color="0B3D85"/>
              <w:bottom w:val="single" w:sz="4" w:space="0" w:color="0B3D85"/>
            </w:tcBorders>
            <w:shd w:val="clear" w:color="auto" w:fill="FFFFFF" w:themeFill="background1"/>
            <w:vAlign w:val="center"/>
          </w:tcPr>
          <w:p w14:paraId="0C098D0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11,345</w:t>
            </w:r>
          </w:p>
        </w:tc>
        <w:tc>
          <w:tcPr>
            <w:tcW w:w="936" w:type="dxa"/>
            <w:tcBorders>
              <w:top w:val="single" w:sz="4" w:space="0" w:color="0B3D85"/>
              <w:bottom w:val="single" w:sz="4" w:space="0" w:color="0B3D85"/>
            </w:tcBorders>
            <w:shd w:val="clear" w:color="auto" w:fill="FFFFFF" w:themeFill="background1"/>
            <w:vAlign w:val="center"/>
          </w:tcPr>
          <w:p w14:paraId="6573073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4,904</w:t>
            </w:r>
          </w:p>
        </w:tc>
        <w:tc>
          <w:tcPr>
            <w:tcW w:w="702" w:type="dxa"/>
            <w:tcBorders>
              <w:top w:val="single" w:sz="4" w:space="0" w:color="0B3D85"/>
              <w:bottom w:val="single" w:sz="4" w:space="0" w:color="0B3D85"/>
            </w:tcBorders>
            <w:shd w:val="clear" w:color="auto" w:fill="FFFFFF" w:themeFill="background1"/>
            <w:vAlign w:val="center"/>
          </w:tcPr>
          <w:p w14:paraId="08E907D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(56.8%)</w:t>
            </w:r>
          </w:p>
        </w:tc>
      </w:tr>
      <w:tr w:rsidR="00900056" w:rsidRPr="00900056" w14:paraId="373C013C" w14:textId="77777777" w:rsidTr="00922116">
        <w:trPr>
          <w:trHeight w:val="20"/>
        </w:trPr>
        <w:tc>
          <w:tcPr>
            <w:tcW w:w="1330" w:type="dxa"/>
            <w:tcBorders>
              <w:top w:val="single" w:sz="4" w:space="0" w:color="0B3D85"/>
              <w:bottom w:val="single" w:sz="4" w:space="0" w:color="0B3D85"/>
            </w:tcBorders>
            <w:shd w:val="clear" w:color="auto" w:fill="FFFFFF" w:themeFill="background1"/>
            <w:vAlign w:val="center"/>
          </w:tcPr>
          <w:p w14:paraId="5425025F"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b/>
                <w:bCs/>
                <w:sz w:val="24"/>
                <w:rtl/>
              </w:rPr>
              <w:t>الإجمالي</w:t>
            </w:r>
          </w:p>
        </w:tc>
        <w:tc>
          <w:tcPr>
            <w:tcW w:w="1056" w:type="dxa"/>
            <w:tcBorders>
              <w:top w:val="single" w:sz="4" w:space="0" w:color="0B3D85"/>
              <w:bottom w:val="single" w:sz="4" w:space="0" w:color="0B3D85"/>
            </w:tcBorders>
            <w:shd w:val="clear" w:color="auto" w:fill="FFFFFF" w:themeFill="background1"/>
            <w:vAlign w:val="center"/>
          </w:tcPr>
          <w:p w14:paraId="2AD8CB1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62,744</w:t>
            </w:r>
          </w:p>
        </w:tc>
        <w:tc>
          <w:tcPr>
            <w:tcW w:w="1333" w:type="dxa"/>
            <w:tcBorders>
              <w:top w:val="single" w:sz="4" w:space="0" w:color="0B3D85"/>
              <w:bottom w:val="single" w:sz="4" w:space="0" w:color="0B3D85"/>
            </w:tcBorders>
            <w:shd w:val="clear" w:color="auto" w:fill="FFFFFF" w:themeFill="background1"/>
            <w:vAlign w:val="center"/>
          </w:tcPr>
          <w:p w14:paraId="59F4A76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98,053</w:t>
            </w:r>
          </w:p>
        </w:tc>
        <w:tc>
          <w:tcPr>
            <w:tcW w:w="981" w:type="dxa"/>
            <w:tcBorders>
              <w:top w:val="single" w:sz="4" w:space="0" w:color="0B3D85"/>
              <w:bottom w:val="single" w:sz="4" w:space="0" w:color="0B3D85"/>
            </w:tcBorders>
            <w:shd w:val="clear" w:color="auto" w:fill="FFFFFF" w:themeFill="background1"/>
            <w:vAlign w:val="center"/>
          </w:tcPr>
          <w:p w14:paraId="19C7A13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81,701</w:t>
            </w:r>
          </w:p>
        </w:tc>
        <w:tc>
          <w:tcPr>
            <w:tcW w:w="704" w:type="dxa"/>
            <w:tcBorders>
              <w:top w:val="single" w:sz="4" w:space="0" w:color="0B3D85"/>
              <w:bottom w:val="single" w:sz="4" w:space="0" w:color="0B3D85"/>
            </w:tcBorders>
            <w:shd w:val="clear" w:color="auto" w:fill="FFFFFF" w:themeFill="background1"/>
            <w:vAlign w:val="center"/>
          </w:tcPr>
          <w:p w14:paraId="1A7FAF2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56.3%</w:t>
            </w:r>
          </w:p>
        </w:tc>
        <w:tc>
          <w:tcPr>
            <w:tcW w:w="705" w:type="dxa"/>
            <w:tcBorders>
              <w:top w:val="single" w:sz="4" w:space="0" w:color="0B3D85"/>
              <w:bottom w:val="single" w:sz="4" w:space="0" w:color="0B3D85"/>
            </w:tcBorders>
            <w:shd w:val="clear" w:color="auto" w:fill="FFFFFF" w:themeFill="background1"/>
            <w:vAlign w:val="center"/>
          </w:tcPr>
          <w:p w14:paraId="2F6FBA5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(16.7%)</w:t>
            </w:r>
          </w:p>
        </w:tc>
        <w:tc>
          <w:tcPr>
            <w:tcW w:w="694" w:type="dxa"/>
            <w:tcBorders>
              <w:top w:val="single" w:sz="4" w:space="0" w:color="0B3D85"/>
              <w:bottom w:val="single" w:sz="4" w:space="0" w:color="0B3D85"/>
            </w:tcBorders>
            <w:shd w:val="clear" w:color="auto" w:fill="FFFFFF" w:themeFill="background1"/>
            <w:vAlign w:val="center"/>
          </w:tcPr>
          <w:p w14:paraId="6C4CA4D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14.1%</w:t>
            </w:r>
          </w:p>
        </w:tc>
        <w:tc>
          <w:tcPr>
            <w:tcW w:w="936" w:type="dxa"/>
            <w:tcBorders>
              <w:top w:val="single" w:sz="4" w:space="0" w:color="0B3D85"/>
              <w:bottom w:val="single" w:sz="4" w:space="0" w:color="0B3D85"/>
            </w:tcBorders>
            <w:shd w:val="clear" w:color="auto" w:fill="FFFFFF" w:themeFill="background1"/>
            <w:vAlign w:val="center"/>
          </w:tcPr>
          <w:p w14:paraId="535DF63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62,235</w:t>
            </w:r>
          </w:p>
        </w:tc>
        <w:tc>
          <w:tcPr>
            <w:tcW w:w="936" w:type="dxa"/>
            <w:tcBorders>
              <w:top w:val="single" w:sz="4" w:space="0" w:color="0B3D85"/>
              <w:bottom w:val="single" w:sz="4" w:space="0" w:color="0B3D85"/>
            </w:tcBorders>
            <w:shd w:val="clear" w:color="auto" w:fill="FFFFFF" w:themeFill="background1"/>
            <w:vAlign w:val="center"/>
          </w:tcPr>
          <w:p w14:paraId="56BBC23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38,763</w:t>
            </w:r>
          </w:p>
        </w:tc>
        <w:tc>
          <w:tcPr>
            <w:tcW w:w="702" w:type="dxa"/>
            <w:tcBorders>
              <w:top w:val="single" w:sz="4" w:space="0" w:color="0B3D85"/>
              <w:bottom w:val="single" w:sz="4" w:space="0" w:color="0B3D85"/>
            </w:tcBorders>
            <w:shd w:val="clear" w:color="auto" w:fill="FFFFFF" w:themeFill="background1"/>
            <w:vAlign w:val="center"/>
          </w:tcPr>
          <w:p w14:paraId="7C17C70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(37.7%)</w:t>
            </w:r>
          </w:p>
        </w:tc>
      </w:tr>
      <w:tr w:rsidR="00900056" w:rsidRPr="00900056" w14:paraId="63E4EA42" w14:textId="77777777" w:rsidTr="00922116">
        <w:trPr>
          <w:trHeight w:val="179"/>
        </w:trPr>
        <w:tc>
          <w:tcPr>
            <w:tcW w:w="1330" w:type="dxa"/>
            <w:tcBorders>
              <w:top w:val="single" w:sz="4" w:space="0" w:color="0B3D85"/>
              <w:bottom w:val="single" w:sz="4" w:space="0" w:color="0B3D85"/>
            </w:tcBorders>
            <w:shd w:val="clear" w:color="auto" w:fill="F2F2F2" w:themeFill="background1" w:themeFillShade="F2"/>
            <w:vAlign w:val="center"/>
          </w:tcPr>
          <w:p w14:paraId="1408279A" w14:textId="77777777" w:rsidR="00563389" w:rsidRPr="00B934CE" w:rsidRDefault="00563389" w:rsidP="00B934CE">
            <w:pPr>
              <w:bidi/>
              <w:rPr>
                <w:rFonts w:ascii="Traditional Arabic" w:eastAsia="Calibri" w:hAnsi="Traditional Arabic" w:cs="Traditional Arabic"/>
                <w:b/>
                <w:bCs/>
                <w:sz w:val="24"/>
                <w:rtl/>
              </w:rPr>
            </w:pPr>
          </w:p>
        </w:tc>
        <w:tc>
          <w:tcPr>
            <w:tcW w:w="3370" w:type="dxa"/>
            <w:gridSpan w:val="3"/>
            <w:tcBorders>
              <w:top w:val="single" w:sz="4" w:space="0" w:color="0B3D85"/>
              <w:bottom w:val="single" w:sz="4" w:space="0" w:color="0B3D85"/>
            </w:tcBorders>
            <w:shd w:val="clear" w:color="auto" w:fill="F2F2F2" w:themeFill="background1" w:themeFillShade="F2"/>
            <w:vAlign w:val="center"/>
          </w:tcPr>
          <w:p w14:paraId="17E3F964" w14:textId="77777777" w:rsidR="00563389" w:rsidRPr="00B934CE" w:rsidRDefault="00563389" w:rsidP="00B934CE">
            <w:pPr>
              <w:bidi/>
              <w:jc w:val="center"/>
              <w:rPr>
                <w:rFonts w:ascii="Traditional Arabic" w:hAnsi="Traditional Arabic" w:cs="Traditional Arabic"/>
                <w:sz w:val="24"/>
              </w:rPr>
            </w:pPr>
            <w:r w:rsidRPr="00B934CE">
              <w:rPr>
                <w:rFonts w:ascii="Traditional Arabic" w:hAnsi="Traditional Arabic" w:cs="Traditional Arabic"/>
                <w:sz w:val="24"/>
                <w:rtl/>
              </w:rPr>
              <w:t>كنسبة مئوية من إجمالي الإيرادات</w:t>
            </w:r>
          </w:p>
        </w:tc>
        <w:tc>
          <w:tcPr>
            <w:tcW w:w="2103" w:type="dxa"/>
            <w:gridSpan w:val="3"/>
            <w:tcBorders>
              <w:top w:val="single" w:sz="4" w:space="0" w:color="0B3D85"/>
              <w:bottom w:val="single" w:sz="4" w:space="0" w:color="0B3D85"/>
            </w:tcBorders>
            <w:shd w:val="clear" w:color="auto" w:fill="F2F2F2" w:themeFill="background1" w:themeFillShade="F2"/>
            <w:vAlign w:val="center"/>
          </w:tcPr>
          <w:p w14:paraId="1FE33EE2" w14:textId="77777777" w:rsidR="00563389" w:rsidRPr="00B934CE" w:rsidRDefault="00563389"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c>
          <w:tcPr>
            <w:tcW w:w="1872" w:type="dxa"/>
            <w:gridSpan w:val="2"/>
            <w:tcBorders>
              <w:top w:val="single" w:sz="4" w:space="0" w:color="0B3D85"/>
              <w:bottom w:val="single" w:sz="4" w:space="0" w:color="0B3D85"/>
            </w:tcBorders>
            <w:shd w:val="clear" w:color="auto" w:fill="F2F2F2" w:themeFill="background1" w:themeFillShade="F2"/>
            <w:vAlign w:val="center"/>
          </w:tcPr>
          <w:p w14:paraId="6BF01780" w14:textId="77777777" w:rsidR="00563389" w:rsidRPr="00B934CE" w:rsidRDefault="00563389" w:rsidP="00B934CE">
            <w:pPr>
              <w:bidi/>
              <w:jc w:val="both"/>
              <w:rPr>
                <w:rFonts w:ascii="Traditional Arabic" w:hAnsi="Traditional Arabic" w:cs="Traditional Arabic"/>
                <w:sz w:val="24"/>
                <w:rtl/>
              </w:rPr>
            </w:pPr>
            <w:r w:rsidRPr="00B934CE">
              <w:rPr>
                <w:rFonts w:ascii="Traditional Arabic" w:hAnsi="Traditional Arabic" w:cs="Traditional Arabic"/>
                <w:sz w:val="24"/>
                <w:rtl/>
              </w:rPr>
              <w:t>كنسبة مئوية من إجمالي الإيرادات</w:t>
            </w:r>
          </w:p>
        </w:tc>
        <w:tc>
          <w:tcPr>
            <w:tcW w:w="702" w:type="dxa"/>
            <w:tcBorders>
              <w:top w:val="single" w:sz="4" w:space="0" w:color="0B3D85"/>
              <w:bottom w:val="single" w:sz="4" w:space="0" w:color="0B3D85"/>
            </w:tcBorders>
            <w:shd w:val="clear" w:color="auto" w:fill="F2F2F2" w:themeFill="background1" w:themeFillShade="F2"/>
            <w:vAlign w:val="center"/>
          </w:tcPr>
          <w:p w14:paraId="74C27A90" w14:textId="77777777" w:rsidR="00563389" w:rsidRPr="00B934CE" w:rsidRDefault="00563389"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r>
      <w:tr w:rsidR="00900056" w:rsidRPr="00900056" w14:paraId="48856B4C" w14:textId="77777777" w:rsidTr="00922116">
        <w:trPr>
          <w:trHeight w:val="20"/>
        </w:trPr>
        <w:tc>
          <w:tcPr>
            <w:tcW w:w="1330" w:type="dxa"/>
            <w:tcBorders>
              <w:top w:val="single" w:sz="4" w:space="0" w:color="0B3D85"/>
              <w:bottom w:val="single" w:sz="4" w:space="0" w:color="0B3D85"/>
            </w:tcBorders>
            <w:shd w:val="clear" w:color="auto" w:fill="FFFFFF" w:themeFill="background1"/>
            <w:vAlign w:val="center"/>
          </w:tcPr>
          <w:p w14:paraId="5FFBE13B"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تكاليف</w:t>
            </w:r>
            <w:r w:rsidRPr="00B934CE">
              <w:rPr>
                <w:rFonts w:ascii="Traditional Arabic" w:eastAsia="Calibri" w:hAnsi="Traditional Arabic" w:cs="Traditional Arabic"/>
                <w:sz w:val="24"/>
                <w:rtl/>
              </w:rPr>
              <w:t xml:space="preserve"> المحروقات - استهلاك المخزون </w:t>
            </w:r>
          </w:p>
        </w:tc>
        <w:tc>
          <w:tcPr>
            <w:tcW w:w="1056" w:type="dxa"/>
            <w:tcBorders>
              <w:top w:val="single" w:sz="4" w:space="0" w:color="0B3D85"/>
              <w:bottom w:val="single" w:sz="4" w:space="0" w:color="0B3D85"/>
            </w:tcBorders>
            <w:shd w:val="clear" w:color="auto" w:fill="FFFFFF" w:themeFill="background1"/>
            <w:vAlign w:val="center"/>
          </w:tcPr>
          <w:p w14:paraId="5CFC8CEB" w14:textId="77777777" w:rsidR="00563389" w:rsidRPr="00B934CE" w:rsidRDefault="00563389"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15.6%</w:t>
            </w:r>
          </w:p>
        </w:tc>
        <w:tc>
          <w:tcPr>
            <w:tcW w:w="1333" w:type="dxa"/>
            <w:tcBorders>
              <w:top w:val="single" w:sz="4" w:space="0" w:color="0B3D85"/>
              <w:bottom w:val="single" w:sz="4" w:space="0" w:color="0B3D85"/>
            </w:tcBorders>
            <w:shd w:val="clear" w:color="auto" w:fill="FFFFFF" w:themeFill="background1"/>
            <w:vAlign w:val="center"/>
          </w:tcPr>
          <w:p w14:paraId="5FB6F03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20.3%</w:t>
            </w:r>
          </w:p>
        </w:tc>
        <w:tc>
          <w:tcPr>
            <w:tcW w:w="981" w:type="dxa"/>
            <w:tcBorders>
              <w:top w:val="single" w:sz="4" w:space="0" w:color="0B3D85"/>
              <w:bottom w:val="single" w:sz="4" w:space="0" w:color="0B3D85"/>
            </w:tcBorders>
            <w:shd w:val="clear" w:color="auto" w:fill="FFFFFF" w:themeFill="background1"/>
            <w:vAlign w:val="center"/>
          </w:tcPr>
          <w:p w14:paraId="0829FD1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11.8%</w:t>
            </w:r>
          </w:p>
        </w:tc>
        <w:tc>
          <w:tcPr>
            <w:tcW w:w="704" w:type="dxa"/>
            <w:tcBorders>
              <w:top w:val="single" w:sz="4" w:space="0" w:color="0B3D85"/>
              <w:bottom w:val="single" w:sz="4" w:space="0" w:color="0B3D85"/>
            </w:tcBorders>
            <w:shd w:val="clear" w:color="auto" w:fill="FFFFFF" w:themeFill="background1"/>
            <w:vAlign w:val="center"/>
          </w:tcPr>
          <w:p w14:paraId="4DE035E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w:t>
            </w:r>
          </w:p>
        </w:tc>
        <w:tc>
          <w:tcPr>
            <w:tcW w:w="705" w:type="dxa"/>
            <w:tcBorders>
              <w:top w:val="single" w:sz="4" w:space="0" w:color="0B3D85"/>
              <w:bottom w:val="single" w:sz="4" w:space="0" w:color="0B3D85"/>
            </w:tcBorders>
            <w:shd w:val="clear" w:color="auto" w:fill="FFFFFF" w:themeFill="background1"/>
            <w:vAlign w:val="center"/>
          </w:tcPr>
          <w:p w14:paraId="2D8095C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(8.5)</w:t>
            </w:r>
          </w:p>
        </w:tc>
        <w:tc>
          <w:tcPr>
            <w:tcW w:w="694" w:type="dxa"/>
            <w:tcBorders>
              <w:top w:val="single" w:sz="4" w:space="0" w:color="0B3D85"/>
              <w:bottom w:val="single" w:sz="4" w:space="0" w:color="0B3D85"/>
            </w:tcBorders>
            <w:shd w:val="clear" w:color="auto" w:fill="FFFFFF" w:themeFill="background1"/>
            <w:vAlign w:val="center"/>
          </w:tcPr>
          <w:p w14:paraId="38FE588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(3.8)</w:t>
            </w:r>
          </w:p>
        </w:tc>
        <w:tc>
          <w:tcPr>
            <w:tcW w:w="936" w:type="dxa"/>
            <w:tcBorders>
              <w:top w:val="single" w:sz="4" w:space="0" w:color="0B3D85"/>
              <w:bottom w:val="single" w:sz="4" w:space="0" w:color="0B3D85"/>
            </w:tcBorders>
            <w:shd w:val="clear" w:color="auto" w:fill="FFFFFF" w:themeFill="background1"/>
            <w:vAlign w:val="center"/>
          </w:tcPr>
          <w:p w14:paraId="1097AC4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11.8%</w:t>
            </w:r>
          </w:p>
        </w:tc>
        <w:tc>
          <w:tcPr>
            <w:tcW w:w="936" w:type="dxa"/>
            <w:tcBorders>
              <w:top w:val="single" w:sz="4" w:space="0" w:color="0B3D85"/>
              <w:bottom w:val="single" w:sz="4" w:space="0" w:color="0B3D85"/>
            </w:tcBorders>
            <w:shd w:val="clear" w:color="auto" w:fill="FFFFFF" w:themeFill="background1"/>
            <w:vAlign w:val="center"/>
          </w:tcPr>
          <w:p w14:paraId="25B818B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6.4%</w:t>
            </w:r>
          </w:p>
        </w:tc>
        <w:tc>
          <w:tcPr>
            <w:tcW w:w="702" w:type="dxa"/>
            <w:tcBorders>
              <w:top w:val="single" w:sz="4" w:space="0" w:color="0B3D85"/>
              <w:bottom w:val="single" w:sz="4" w:space="0" w:color="0B3D85"/>
            </w:tcBorders>
            <w:shd w:val="clear" w:color="auto" w:fill="FFFFFF" w:themeFill="background1"/>
            <w:vAlign w:val="center"/>
          </w:tcPr>
          <w:p w14:paraId="229851C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r w:rsidR="005662CF">
              <w:rPr>
                <w:rFonts w:ascii="Traditional Arabic" w:eastAsia="Calibri" w:hAnsi="Traditional Arabic" w:cs="Traditional Arabic" w:hint="cs"/>
                <w:sz w:val="24"/>
                <w:rtl/>
              </w:rPr>
              <w:t>5.4</w:t>
            </w:r>
            <w:r w:rsidRPr="00B934CE">
              <w:rPr>
                <w:rFonts w:ascii="Traditional Arabic" w:eastAsia="Calibri" w:hAnsi="Traditional Arabic" w:cs="Traditional Arabic"/>
                <w:sz w:val="24"/>
                <w:rtl/>
              </w:rPr>
              <w:t>)</w:t>
            </w:r>
          </w:p>
        </w:tc>
      </w:tr>
      <w:tr w:rsidR="00900056" w:rsidRPr="00900056" w14:paraId="7937FB8E" w14:textId="77777777" w:rsidTr="00922116">
        <w:trPr>
          <w:trHeight w:val="170"/>
        </w:trPr>
        <w:tc>
          <w:tcPr>
            <w:tcW w:w="1330" w:type="dxa"/>
            <w:tcBorders>
              <w:top w:val="single" w:sz="4" w:space="0" w:color="0B3D85"/>
              <w:bottom w:val="single" w:sz="4" w:space="0" w:color="0B3D85"/>
            </w:tcBorders>
            <w:shd w:val="clear" w:color="auto" w:fill="FFFFFF" w:themeFill="background1"/>
            <w:vAlign w:val="center"/>
          </w:tcPr>
          <w:p w14:paraId="41722B0F"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الرحلات </w:t>
            </w:r>
          </w:p>
        </w:tc>
        <w:tc>
          <w:tcPr>
            <w:tcW w:w="1056" w:type="dxa"/>
            <w:tcBorders>
              <w:top w:val="single" w:sz="4" w:space="0" w:color="0B3D85"/>
              <w:bottom w:val="single" w:sz="4" w:space="0" w:color="0B3D85"/>
            </w:tcBorders>
            <w:shd w:val="clear" w:color="auto" w:fill="FFFFFF" w:themeFill="background1"/>
            <w:vAlign w:val="center"/>
          </w:tcPr>
          <w:p w14:paraId="53EAC03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5.4%</w:t>
            </w:r>
          </w:p>
        </w:tc>
        <w:tc>
          <w:tcPr>
            <w:tcW w:w="1333" w:type="dxa"/>
            <w:tcBorders>
              <w:top w:val="single" w:sz="4" w:space="0" w:color="0B3D85"/>
              <w:bottom w:val="single" w:sz="4" w:space="0" w:color="0B3D85"/>
            </w:tcBorders>
            <w:shd w:val="clear" w:color="auto" w:fill="FFFFFF" w:themeFill="background1"/>
            <w:vAlign w:val="center"/>
          </w:tcPr>
          <w:p w14:paraId="6FDD72D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3.8%</w:t>
            </w:r>
          </w:p>
        </w:tc>
        <w:tc>
          <w:tcPr>
            <w:tcW w:w="981" w:type="dxa"/>
            <w:tcBorders>
              <w:top w:val="single" w:sz="4" w:space="0" w:color="0B3D85"/>
              <w:bottom w:val="single" w:sz="4" w:space="0" w:color="0B3D85"/>
            </w:tcBorders>
            <w:shd w:val="clear" w:color="auto" w:fill="FFFFFF" w:themeFill="background1"/>
            <w:vAlign w:val="center"/>
          </w:tcPr>
          <w:p w14:paraId="1D8BB96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6.7%</w:t>
            </w:r>
          </w:p>
        </w:tc>
        <w:tc>
          <w:tcPr>
            <w:tcW w:w="704" w:type="dxa"/>
            <w:tcBorders>
              <w:top w:val="single" w:sz="4" w:space="0" w:color="0B3D85"/>
              <w:bottom w:val="single" w:sz="4" w:space="0" w:color="0B3D85"/>
            </w:tcBorders>
            <w:shd w:val="clear" w:color="auto" w:fill="FFFFFF" w:themeFill="background1"/>
            <w:vAlign w:val="center"/>
          </w:tcPr>
          <w:p w14:paraId="1453DA9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w:t>
            </w:r>
          </w:p>
        </w:tc>
        <w:tc>
          <w:tcPr>
            <w:tcW w:w="705" w:type="dxa"/>
            <w:tcBorders>
              <w:top w:val="single" w:sz="4" w:space="0" w:color="0B3D85"/>
              <w:bottom w:val="single" w:sz="4" w:space="0" w:color="0B3D85"/>
            </w:tcBorders>
            <w:shd w:val="clear" w:color="auto" w:fill="FFFFFF" w:themeFill="background1"/>
            <w:vAlign w:val="center"/>
          </w:tcPr>
          <w:p w14:paraId="6FF6961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2.9</w:t>
            </w:r>
          </w:p>
        </w:tc>
        <w:tc>
          <w:tcPr>
            <w:tcW w:w="694" w:type="dxa"/>
            <w:tcBorders>
              <w:top w:val="single" w:sz="4" w:space="0" w:color="0B3D85"/>
              <w:bottom w:val="single" w:sz="4" w:space="0" w:color="0B3D85"/>
            </w:tcBorders>
            <w:shd w:val="clear" w:color="auto" w:fill="FFFFFF" w:themeFill="background1"/>
            <w:vAlign w:val="center"/>
          </w:tcPr>
          <w:p w14:paraId="61E9077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w:t>
            </w:r>
          </w:p>
        </w:tc>
        <w:tc>
          <w:tcPr>
            <w:tcW w:w="936" w:type="dxa"/>
            <w:tcBorders>
              <w:top w:val="single" w:sz="4" w:space="0" w:color="0B3D85"/>
              <w:bottom w:val="single" w:sz="4" w:space="0" w:color="0B3D85"/>
            </w:tcBorders>
            <w:shd w:val="clear" w:color="auto" w:fill="FFFFFF" w:themeFill="background1"/>
            <w:vAlign w:val="center"/>
          </w:tcPr>
          <w:p w14:paraId="43D1081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6.7%</w:t>
            </w:r>
          </w:p>
        </w:tc>
        <w:tc>
          <w:tcPr>
            <w:tcW w:w="936" w:type="dxa"/>
            <w:tcBorders>
              <w:top w:val="single" w:sz="4" w:space="0" w:color="0B3D85"/>
              <w:bottom w:val="single" w:sz="4" w:space="0" w:color="0B3D85"/>
            </w:tcBorders>
            <w:shd w:val="clear" w:color="auto" w:fill="FFFFFF" w:themeFill="background1"/>
            <w:vAlign w:val="center"/>
          </w:tcPr>
          <w:p w14:paraId="4531729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6.0%</w:t>
            </w:r>
          </w:p>
        </w:tc>
        <w:tc>
          <w:tcPr>
            <w:tcW w:w="702" w:type="dxa"/>
            <w:tcBorders>
              <w:top w:val="single" w:sz="4" w:space="0" w:color="0B3D85"/>
              <w:bottom w:val="single" w:sz="4" w:space="0" w:color="0B3D85"/>
            </w:tcBorders>
            <w:shd w:val="clear" w:color="auto" w:fill="FFFFFF" w:themeFill="background1"/>
            <w:vAlign w:val="center"/>
          </w:tcPr>
          <w:p w14:paraId="1504EE5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r w:rsidR="005662CF">
              <w:rPr>
                <w:rFonts w:ascii="Traditional Arabic" w:eastAsia="Calibri" w:hAnsi="Traditional Arabic" w:cs="Traditional Arabic" w:hint="cs"/>
                <w:sz w:val="24"/>
                <w:rtl/>
              </w:rPr>
              <w:t>0.7</w:t>
            </w:r>
            <w:r w:rsidRPr="00B934CE">
              <w:rPr>
                <w:rFonts w:ascii="Traditional Arabic" w:eastAsia="Calibri" w:hAnsi="Traditional Arabic" w:cs="Traditional Arabic"/>
                <w:sz w:val="24"/>
                <w:rtl/>
              </w:rPr>
              <w:t>)</w:t>
            </w:r>
          </w:p>
        </w:tc>
      </w:tr>
      <w:tr w:rsidR="00900056" w:rsidRPr="00900056" w14:paraId="7EB0868F" w14:textId="77777777" w:rsidTr="00922116">
        <w:trPr>
          <w:trHeight w:val="20"/>
        </w:trPr>
        <w:tc>
          <w:tcPr>
            <w:tcW w:w="1330" w:type="dxa"/>
            <w:tcBorders>
              <w:top w:val="single" w:sz="4" w:space="0" w:color="0B3D85"/>
              <w:bottom w:val="single" w:sz="4" w:space="0" w:color="0B3D85"/>
            </w:tcBorders>
            <w:shd w:val="clear" w:color="auto" w:fill="FFFFFF" w:themeFill="background1"/>
            <w:vAlign w:val="center"/>
          </w:tcPr>
          <w:p w14:paraId="73BA7E21"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تكاليف</w:t>
            </w:r>
            <w:r w:rsidRPr="00B934CE">
              <w:rPr>
                <w:rFonts w:ascii="Traditional Arabic" w:eastAsia="Calibri" w:hAnsi="Traditional Arabic" w:cs="Traditional Arabic"/>
                <w:sz w:val="24"/>
                <w:rtl/>
              </w:rPr>
              <w:t xml:space="preserve"> الموانئ </w:t>
            </w:r>
          </w:p>
        </w:tc>
        <w:tc>
          <w:tcPr>
            <w:tcW w:w="1056" w:type="dxa"/>
            <w:tcBorders>
              <w:top w:val="single" w:sz="4" w:space="0" w:color="0B3D85"/>
              <w:bottom w:val="single" w:sz="4" w:space="0" w:color="0B3D85"/>
            </w:tcBorders>
            <w:shd w:val="clear" w:color="auto" w:fill="FFFFFF" w:themeFill="background1"/>
            <w:vAlign w:val="center"/>
          </w:tcPr>
          <w:p w14:paraId="5485A87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w:t>
            </w:r>
          </w:p>
        </w:tc>
        <w:tc>
          <w:tcPr>
            <w:tcW w:w="1333" w:type="dxa"/>
            <w:tcBorders>
              <w:top w:val="single" w:sz="4" w:space="0" w:color="0B3D85"/>
              <w:bottom w:val="single" w:sz="4" w:space="0" w:color="0B3D85"/>
            </w:tcBorders>
            <w:shd w:val="clear" w:color="auto" w:fill="FFFFFF" w:themeFill="background1"/>
            <w:vAlign w:val="center"/>
          </w:tcPr>
          <w:p w14:paraId="269C5CB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w:t>
            </w:r>
          </w:p>
        </w:tc>
        <w:tc>
          <w:tcPr>
            <w:tcW w:w="981" w:type="dxa"/>
            <w:tcBorders>
              <w:top w:val="single" w:sz="4" w:space="0" w:color="0B3D85"/>
              <w:bottom w:val="single" w:sz="4" w:space="0" w:color="0B3D85"/>
            </w:tcBorders>
            <w:shd w:val="clear" w:color="auto" w:fill="FFFFFF" w:themeFill="background1"/>
            <w:vAlign w:val="center"/>
          </w:tcPr>
          <w:p w14:paraId="579D5B2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w:t>
            </w:r>
          </w:p>
        </w:tc>
        <w:tc>
          <w:tcPr>
            <w:tcW w:w="704" w:type="dxa"/>
            <w:tcBorders>
              <w:top w:val="single" w:sz="4" w:space="0" w:color="0B3D85"/>
              <w:bottom w:val="single" w:sz="4" w:space="0" w:color="0B3D85"/>
            </w:tcBorders>
            <w:shd w:val="clear" w:color="auto" w:fill="FFFFFF" w:themeFill="background1"/>
            <w:vAlign w:val="center"/>
          </w:tcPr>
          <w:p w14:paraId="4ABFBBD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(0.7)</w:t>
            </w:r>
          </w:p>
        </w:tc>
        <w:tc>
          <w:tcPr>
            <w:tcW w:w="705" w:type="dxa"/>
            <w:tcBorders>
              <w:top w:val="single" w:sz="4" w:space="0" w:color="0B3D85"/>
              <w:bottom w:val="single" w:sz="4" w:space="0" w:color="0B3D85"/>
            </w:tcBorders>
            <w:shd w:val="clear" w:color="auto" w:fill="FFFFFF" w:themeFill="background1"/>
            <w:vAlign w:val="center"/>
          </w:tcPr>
          <w:p w14:paraId="38970A6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694" w:type="dxa"/>
            <w:tcBorders>
              <w:top w:val="single" w:sz="4" w:space="0" w:color="0B3D85"/>
              <w:bottom w:val="single" w:sz="4" w:space="0" w:color="0B3D85"/>
            </w:tcBorders>
            <w:shd w:val="clear" w:color="auto" w:fill="FFFFFF" w:themeFill="background1"/>
            <w:vAlign w:val="center"/>
          </w:tcPr>
          <w:p w14:paraId="15776B6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(0.8)</w:t>
            </w:r>
          </w:p>
        </w:tc>
        <w:tc>
          <w:tcPr>
            <w:tcW w:w="936" w:type="dxa"/>
            <w:tcBorders>
              <w:top w:val="single" w:sz="4" w:space="0" w:color="0B3D85"/>
              <w:bottom w:val="single" w:sz="4" w:space="0" w:color="0B3D85"/>
            </w:tcBorders>
            <w:shd w:val="clear" w:color="auto" w:fill="FFFFFF" w:themeFill="background1"/>
            <w:vAlign w:val="center"/>
          </w:tcPr>
          <w:p w14:paraId="215F7781"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4.1%</w:t>
            </w:r>
          </w:p>
        </w:tc>
        <w:tc>
          <w:tcPr>
            <w:tcW w:w="936" w:type="dxa"/>
            <w:tcBorders>
              <w:top w:val="single" w:sz="4" w:space="0" w:color="0B3D85"/>
              <w:bottom w:val="single" w:sz="4" w:space="0" w:color="0B3D85"/>
            </w:tcBorders>
            <w:shd w:val="clear" w:color="auto" w:fill="FFFFFF" w:themeFill="background1"/>
            <w:vAlign w:val="center"/>
          </w:tcPr>
          <w:p w14:paraId="66784EBA"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1.8%</w:t>
            </w:r>
          </w:p>
        </w:tc>
        <w:tc>
          <w:tcPr>
            <w:tcW w:w="702" w:type="dxa"/>
            <w:tcBorders>
              <w:top w:val="single" w:sz="4" w:space="0" w:color="0B3D85"/>
              <w:bottom w:val="single" w:sz="4" w:space="0" w:color="0B3D85"/>
            </w:tcBorders>
            <w:shd w:val="clear" w:color="auto" w:fill="FFFFFF" w:themeFill="background1"/>
            <w:vAlign w:val="center"/>
          </w:tcPr>
          <w:p w14:paraId="30711E9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w:t>
            </w:r>
            <w:r w:rsidR="005662CF">
              <w:rPr>
                <w:rFonts w:ascii="Traditional Arabic" w:eastAsia="Calibri" w:hAnsi="Traditional Arabic" w:cs="Traditional Arabic" w:hint="cs"/>
                <w:sz w:val="24"/>
                <w:rtl/>
              </w:rPr>
              <w:t>2.3</w:t>
            </w:r>
            <w:r w:rsidRPr="00B934CE">
              <w:rPr>
                <w:rFonts w:ascii="Traditional Arabic" w:eastAsia="Calibri" w:hAnsi="Traditional Arabic" w:cs="Traditional Arabic"/>
                <w:sz w:val="24"/>
                <w:rtl/>
              </w:rPr>
              <w:t>)</w:t>
            </w:r>
          </w:p>
        </w:tc>
      </w:tr>
    </w:tbl>
    <w:p w14:paraId="5527231E"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 xml:space="preserve">تكاليف المحروقات -استهلاك المخزون </w:t>
      </w:r>
    </w:p>
    <w:p w14:paraId="597B29D0"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تكاليف المحروقات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85.6% من 38.1 مليون ريال عماني في السنة المالية 2021 الى 70.8 مليون ريال عماني في السنة المالية 2022، تماشيا مع ارتفاع أسعار الوقود في السنة المالية 2022 لتصل إلى متوسط </w:t>
      </w:r>
      <w:r w:rsidRPr="00B934CE">
        <w:rPr>
          <w:rFonts w:eastAsiaTheme="majorEastAsia" w:cs="Times New Roman"/>
          <w:sz w:val="30"/>
          <w:szCs w:val="30"/>
        </w:rPr>
        <w:t>​​</w:t>
      </w:r>
      <w:r w:rsidRPr="00B934CE">
        <w:rPr>
          <w:rFonts w:ascii="Traditional Arabic" w:eastAsiaTheme="majorEastAsia" w:hAnsi="Traditional Arabic" w:cs="Traditional Arabic"/>
          <w:sz w:val="30"/>
          <w:szCs w:val="30"/>
          <w:rtl/>
        </w:rPr>
        <w:t xml:space="preserve">835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للطن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المتري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مقابل</w:t>
      </w:r>
      <w:r w:rsidRPr="00B934CE">
        <w:rPr>
          <w:rFonts w:ascii="Traditional Arabic" w:eastAsiaTheme="majorEastAsia" w:hAnsi="Traditional Arabic" w:cs="Traditional Arabic"/>
          <w:sz w:val="30"/>
          <w:szCs w:val="30"/>
          <w:rtl/>
        </w:rPr>
        <w:t xml:space="preserve"> 509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للطن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المتري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2021</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جانب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زيادة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الكمية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المشتراة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بمقدار</w:t>
      </w:r>
      <w:r w:rsidRPr="00B934CE">
        <w:rPr>
          <w:rFonts w:ascii="Traditional Arabic" w:eastAsiaTheme="majorEastAsia" w:hAnsi="Traditional Arabic" w:cs="Traditional Arabic"/>
          <w:sz w:val="30"/>
          <w:szCs w:val="30"/>
          <w:rtl/>
        </w:rPr>
        <w:t xml:space="preserve"> 33,397 </w:t>
      </w:r>
      <w:r w:rsidRPr="00B934CE">
        <w:rPr>
          <w:rFonts w:ascii="Traditional Arabic" w:eastAsiaTheme="majorEastAsia" w:hAnsi="Traditional Arabic" w:cs="Traditional Arabic" w:hint="eastAsia"/>
          <w:sz w:val="30"/>
          <w:szCs w:val="30"/>
          <w:rtl/>
        </w:rPr>
        <w:t>طن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متري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 xml:space="preserve">. </w:t>
      </w:r>
    </w:p>
    <w:p w14:paraId="64FFEA53"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تكاليف المحروقات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39.1% من 70.8 مليون ريال عماني في السنة المالية 2022 الى 43.1 مليون ريال عماني في السنة المالية 2023، تماشيا مع انخفاض أسعار الوقود إلى متوسط </w:t>
      </w:r>
      <w:r w:rsidRPr="00B934CE">
        <w:rPr>
          <w:rFonts w:eastAsiaTheme="majorEastAsia" w:cs="Times New Roman"/>
          <w:sz w:val="30"/>
          <w:szCs w:val="30"/>
        </w:rPr>
        <w:t>​​</w:t>
      </w:r>
      <w:r w:rsidRPr="00B934CE">
        <w:rPr>
          <w:rFonts w:ascii="Traditional Arabic" w:eastAsiaTheme="majorEastAsia" w:hAnsi="Traditional Arabic" w:cs="Traditional Arabic"/>
          <w:sz w:val="30"/>
          <w:szCs w:val="30"/>
          <w:rtl/>
        </w:rPr>
        <w:t xml:space="preserve">658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للطن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المتري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جانب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انخفاض</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الكمية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المشتراة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بمقدار</w:t>
      </w:r>
      <w:r w:rsidRPr="00B934CE">
        <w:rPr>
          <w:rFonts w:ascii="Traditional Arabic" w:eastAsiaTheme="majorEastAsia" w:hAnsi="Traditional Arabic" w:cs="Traditional Arabic"/>
          <w:sz w:val="30"/>
          <w:szCs w:val="30"/>
          <w:rtl/>
        </w:rPr>
        <w:t xml:space="preserve"> 117,597 </w:t>
      </w:r>
      <w:r w:rsidRPr="00B934CE">
        <w:rPr>
          <w:rFonts w:ascii="Traditional Arabic" w:eastAsiaTheme="majorEastAsia" w:hAnsi="Traditional Arabic" w:cs="Traditional Arabic" w:hint="eastAsia"/>
          <w:sz w:val="30"/>
          <w:szCs w:val="30"/>
          <w:rtl/>
        </w:rPr>
        <w:t>طن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متري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خلال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نفس</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الفترة</w:t>
      </w:r>
      <w:r w:rsidRPr="00B934CE">
        <w:rPr>
          <w:rFonts w:ascii="Traditional Arabic" w:eastAsiaTheme="majorEastAsia" w:hAnsi="Traditional Arabic" w:cs="Traditional Arabic"/>
          <w:sz w:val="30"/>
          <w:szCs w:val="30"/>
          <w:rtl/>
        </w:rPr>
        <w:t>.</w:t>
      </w:r>
    </w:p>
    <w:p w14:paraId="48CD6338"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ا</w:t>
      </w:r>
      <w:r w:rsidRPr="00B934CE">
        <w:rPr>
          <w:rFonts w:ascii="Traditional Arabic" w:eastAsia="Calibri" w:hAnsi="Traditional Arabic" w:cs="Traditional Arabic"/>
          <w:sz w:val="30"/>
          <w:szCs w:val="30"/>
          <w:rtl/>
        </w:rPr>
        <w:t xml:space="preserve">نخفضت </w:t>
      </w:r>
      <w:r w:rsidRPr="00B934CE">
        <w:rPr>
          <w:rFonts w:ascii="Traditional Arabic" w:eastAsiaTheme="majorEastAsia" w:hAnsi="Traditional Arabic" w:cs="Traditional Arabic"/>
          <w:sz w:val="30"/>
          <w:szCs w:val="30"/>
          <w:rtl/>
        </w:rPr>
        <w:t xml:space="preserve">تكاليف المحروقات </w:t>
      </w:r>
      <w:r w:rsidRPr="00B934CE">
        <w:rPr>
          <w:rFonts w:ascii="Traditional Arabic" w:eastAsia="Calibri" w:hAnsi="Traditional Arabic" w:cs="Traditional Arabic"/>
          <w:sz w:val="30"/>
          <w:szCs w:val="30"/>
          <w:rtl/>
        </w:rPr>
        <w:t xml:space="preserve">بنسبة 46.1٪ من 32.4 مليون ريال عماني في فترة التسعة </w:t>
      </w:r>
      <w:r w:rsidRPr="00B934CE">
        <w:rPr>
          <w:rFonts w:ascii="Traditional Arabic" w:eastAsia="Calibri" w:hAnsi="Traditional Arabic" w:cs="Traditional Arabic" w:hint="eastAsia"/>
          <w:sz w:val="30"/>
          <w:szCs w:val="30"/>
          <w:rtl/>
        </w:rPr>
        <w:t>أشهر</w:t>
      </w:r>
      <w:r w:rsidRPr="00B934CE">
        <w:rPr>
          <w:rFonts w:ascii="Traditional Arabic" w:eastAsia="Calibri" w:hAnsi="Traditional Arabic" w:cs="Traditional Arabic"/>
          <w:sz w:val="30"/>
          <w:szCs w:val="30"/>
          <w:rtl/>
        </w:rPr>
        <w:t xml:space="preserve"> المنتهية في 30 سبتمبر 2023 إلى 17.5 مليون ريال عماني في فترة التسعة </w:t>
      </w:r>
      <w:r w:rsidRPr="00B934CE">
        <w:rPr>
          <w:rFonts w:ascii="Traditional Arabic" w:eastAsia="Calibri" w:hAnsi="Traditional Arabic" w:cs="Traditional Arabic" w:hint="eastAsia"/>
          <w:sz w:val="30"/>
          <w:szCs w:val="30"/>
          <w:rtl/>
        </w:rPr>
        <w:t>أشهر</w:t>
      </w:r>
      <w:r w:rsidRPr="00B934CE">
        <w:rPr>
          <w:rFonts w:ascii="Traditional Arabic" w:eastAsia="Calibri" w:hAnsi="Traditional Arabic" w:cs="Traditional Arabic"/>
          <w:sz w:val="30"/>
          <w:szCs w:val="30"/>
          <w:rtl/>
        </w:rPr>
        <w:t xml:space="preserve"> المنتهية في 30 سبتمبر 2024 مدفوعة بزيادة أنشطة تأجير السفن حيث لا تتكبد الشركة رسوم الوقود، وقد اقترن ذلك بانخفاض رسوم الوقود العالمية من متوسط </w:t>
      </w:r>
      <w:r w:rsidRPr="00B934CE">
        <w:rPr>
          <w:rFonts w:eastAsia="Calibri" w:cs="Times New Roman"/>
          <w:sz w:val="30"/>
          <w:szCs w:val="30"/>
        </w:rPr>
        <w:t>​​</w:t>
      </w:r>
      <w:r w:rsidRPr="00B934CE">
        <w:rPr>
          <w:rFonts w:ascii="Traditional Arabic" w:eastAsia="Calibri" w:hAnsi="Traditional Arabic" w:cs="Traditional Arabic"/>
          <w:sz w:val="30"/>
          <w:szCs w:val="30"/>
          <w:rtl/>
        </w:rPr>
        <w:t xml:space="preserve">653 </w:t>
      </w:r>
      <w:r w:rsidRPr="00B934CE">
        <w:rPr>
          <w:rFonts w:ascii="Traditional Arabic" w:eastAsia="Calibri" w:hAnsi="Traditional Arabic" w:cs="Traditional Arabic" w:hint="eastAsia"/>
          <w:sz w:val="30"/>
          <w:szCs w:val="30"/>
          <w:rtl/>
        </w:rPr>
        <w:t>دولارًا</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أمريكيًا</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للطن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المتري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إلى</w:t>
      </w:r>
      <w:r w:rsidRPr="00B934CE">
        <w:rPr>
          <w:rFonts w:ascii="Traditional Arabic" w:eastAsia="Calibri" w:hAnsi="Traditional Arabic" w:cs="Traditional Arabic"/>
          <w:sz w:val="30"/>
          <w:szCs w:val="30"/>
          <w:rtl/>
        </w:rPr>
        <w:t xml:space="preserve"> 639 </w:t>
      </w:r>
      <w:r w:rsidRPr="00B934CE">
        <w:rPr>
          <w:rFonts w:ascii="Traditional Arabic" w:eastAsia="Calibri" w:hAnsi="Traditional Arabic" w:cs="Traditional Arabic" w:hint="eastAsia"/>
          <w:sz w:val="30"/>
          <w:szCs w:val="30"/>
          <w:rtl/>
        </w:rPr>
        <w:t>دولارًا</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أمريكيًا</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للطن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المتري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خلال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نفس</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الفترة</w:t>
      </w:r>
      <w:r w:rsidRPr="00B934CE">
        <w:rPr>
          <w:rFonts w:ascii="Traditional Arabic" w:eastAsia="Calibri" w:hAnsi="Traditional Arabic" w:cs="Traditional Arabic"/>
          <w:sz w:val="30"/>
          <w:szCs w:val="30"/>
          <w:rtl/>
        </w:rPr>
        <w:t xml:space="preserve">. </w:t>
      </w:r>
    </w:p>
    <w:p w14:paraId="0A6438DC" w14:textId="77777777" w:rsidR="00563389" w:rsidRPr="00B934CE" w:rsidRDefault="00563389" w:rsidP="00B934CE">
      <w:pPr>
        <w:bidi/>
        <w:spacing w:after="120"/>
        <w:jc w:val="both"/>
        <w:rPr>
          <w:rFonts w:ascii="Traditional Arabic" w:eastAsia="Calibri" w:hAnsi="Traditional Arabic" w:cs="Traditional Arabic"/>
          <w:b/>
          <w:bCs/>
          <w:sz w:val="30"/>
          <w:szCs w:val="30"/>
        </w:rPr>
      </w:pPr>
      <w:r w:rsidRPr="00B934CE">
        <w:rPr>
          <w:rFonts w:ascii="Traditional Arabic" w:eastAsia="Calibri" w:hAnsi="Traditional Arabic" w:cs="Traditional Arabic"/>
          <w:b/>
          <w:bCs/>
          <w:sz w:val="30"/>
          <w:szCs w:val="30"/>
          <w:rtl/>
        </w:rPr>
        <w:lastRenderedPageBreak/>
        <w:t>مصروفات الرحلات</w:t>
      </w:r>
    </w:p>
    <w:p w14:paraId="41E5F769"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مصروفات الرحلات بشكل طفيف بنسبة 1.5% من 13.1 مليون ريال عماني في السنة المالية 2021 الى 13.3 مليون ريال عماني في السنة المالية 2022، تماشيا مع النمو في الإيرادات والعمليات التجارية.</w:t>
      </w:r>
    </w:p>
    <w:p w14:paraId="2E51466C"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مصروفات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الرحلات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84.3%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13.3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24.4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2023</w:t>
      </w:r>
      <w:r w:rsidRPr="00B934CE">
        <w:rPr>
          <w:rFonts w:ascii="Traditional Arabic" w:eastAsia="Calibri" w:hAnsi="Traditional Arabic" w:cs="Traditional Arabic"/>
          <w:b/>
          <w:bCs/>
          <w:sz w:val="30"/>
          <w:szCs w:val="30"/>
          <w:rtl/>
        </w:rPr>
        <w:t xml:space="preserve"> </w:t>
      </w:r>
      <w:r w:rsidRPr="00B934CE">
        <w:rPr>
          <w:rFonts w:ascii="Traditional Arabic" w:eastAsiaTheme="majorEastAsia" w:hAnsi="Traditional Arabic" w:cs="Traditional Arabic" w:hint="eastAsia"/>
          <w:sz w:val="30"/>
          <w:szCs w:val="30"/>
          <w:rtl/>
        </w:rPr>
        <w:t>ب</w:t>
      </w:r>
      <w:r w:rsidRPr="00B934CE">
        <w:rPr>
          <w:rFonts w:ascii="Traditional Arabic" w:eastAsiaTheme="majorEastAsia" w:hAnsi="Traditional Arabic" w:cs="Traditional Arabic"/>
          <w:sz w:val="30"/>
          <w:szCs w:val="30"/>
          <w:rtl/>
        </w:rPr>
        <w:t xml:space="preserve">سبب تشغيل </w:t>
      </w:r>
      <w:r w:rsidR="00281471">
        <w:rPr>
          <w:rFonts w:ascii="Traditional Arabic" w:eastAsiaTheme="majorEastAsia" w:hAnsi="Traditional Arabic" w:cs="Traditional Arabic" w:hint="cs"/>
          <w:sz w:val="30"/>
          <w:szCs w:val="30"/>
          <w:rtl/>
        </w:rPr>
        <w:t xml:space="preserve">شركة </w:t>
      </w:r>
      <w:r w:rsidRPr="00B934CE">
        <w:rPr>
          <w:rFonts w:ascii="Traditional Arabic" w:eastAsiaTheme="majorEastAsia" w:hAnsi="Traditional Arabic" w:cs="Traditional Arabic"/>
          <w:sz w:val="30"/>
          <w:szCs w:val="30"/>
          <w:rtl/>
        </w:rPr>
        <w:t xml:space="preserve">خط أسياد </w:t>
      </w:r>
      <w:r w:rsidR="00281471">
        <w:rPr>
          <w:rFonts w:ascii="Traditional Arabic" w:eastAsiaTheme="majorEastAsia" w:hAnsi="Traditional Arabic" w:cs="Traditional Arabic" w:hint="cs"/>
          <w:sz w:val="30"/>
          <w:szCs w:val="30"/>
          <w:rtl/>
        </w:rPr>
        <w:t xml:space="preserve">ش م م </w:t>
      </w:r>
      <w:r w:rsidRPr="00B934CE">
        <w:rPr>
          <w:rFonts w:ascii="Traditional Arabic" w:eastAsiaTheme="majorEastAsia" w:hAnsi="Traditional Arabic" w:cs="Traditional Arabic"/>
          <w:sz w:val="30"/>
          <w:szCs w:val="30"/>
          <w:rtl/>
        </w:rPr>
        <w:t xml:space="preserve">مما أدى إلى ارتفاع تكاليف ساحة الحاويات بالإضافة إلى نفقات رسو ناقلات المعادن الخام العملاقة في الحوض الجاف.  </w:t>
      </w:r>
    </w:p>
    <w:p w14:paraId="7F075773"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w:t>
      </w:r>
      <w:r w:rsidRPr="00B934CE">
        <w:rPr>
          <w:rFonts w:ascii="Traditional Arabic" w:eastAsiaTheme="majorEastAsia" w:hAnsi="Traditional Arabic" w:cs="Traditional Arabic"/>
          <w:sz w:val="30"/>
          <w:szCs w:val="30"/>
          <w:rtl/>
        </w:rPr>
        <w:t xml:space="preserve">خفضت </w:t>
      </w:r>
      <w:r w:rsidRPr="00B934CE">
        <w:rPr>
          <w:rFonts w:ascii="Traditional Arabic" w:eastAsiaTheme="majorEastAsia" w:hAnsi="Traditional Arabic" w:cs="Traditional Arabic" w:hint="eastAsia"/>
          <w:sz w:val="30"/>
          <w:szCs w:val="30"/>
          <w:rtl/>
        </w:rPr>
        <w:t>مصروفات</w:t>
      </w:r>
      <w:r w:rsidRPr="00B934CE">
        <w:rPr>
          <w:rFonts w:ascii="Traditional Arabic" w:eastAsiaTheme="majorEastAsia" w:hAnsi="Traditional Arabic" w:cs="Traditional Arabic"/>
          <w:sz w:val="30"/>
          <w:szCs w:val="30"/>
          <w:rtl/>
        </w:rPr>
        <w:t xml:space="preserve"> الرحلات بنسبة 11.2% من 18.4 مليون ريال عماني في فترة </w:t>
      </w:r>
      <w:r w:rsidRPr="00B934CE">
        <w:rPr>
          <w:rFonts w:ascii="Traditional Arabic" w:eastAsia="Calibri" w:hAnsi="Traditional Arabic" w:cs="Traditional Arabic"/>
          <w:sz w:val="30"/>
          <w:szCs w:val="30"/>
          <w:rtl/>
        </w:rPr>
        <w:t xml:space="preserve">التسعة </w:t>
      </w:r>
      <w:r w:rsidRPr="00B934CE">
        <w:rPr>
          <w:rFonts w:ascii="Traditional Arabic" w:eastAsia="Calibri"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إلى 16.4 مليون ريال عماني في </w:t>
      </w:r>
      <w:r w:rsidRPr="00B934CE">
        <w:rPr>
          <w:rFonts w:ascii="Traditional Arabic" w:eastAsia="Calibri" w:hAnsi="Traditional Arabic" w:cs="Traditional Arabic"/>
          <w:sz w:val="30"/>
          <w:szCs w:val="30"/>
          <w:rtl/>
        </w:rPr>
        <w:t xml:space="preserve">فترة التسعة </w:t>
      </w:r>
      <w:r w:rsidRPr="00B934CE">
        <w:rPr>
          <w:rFonts w:ascii="Traditional Arabic" w:eastAsia="Calibri"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2024، حيث كانت السفن في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حوض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جاف خلال </w:t>
      </w:r>
      <w:r w:rsidRPr="00B934CE">
        <w:rPr>
          <w:rFonts w:ascii="Traditional Arabic" w:eastAsia="Calibri" w:hAnsi="Traditional Arabic" w:cs="Traditional Arabic"/>
          <w:sz w:val="30"/>
          <w:szCs w:val="30"/>
          <w:rtl/>
        </w:rPr>
        <w:t xml:space="preserve">فترة التسعة </w:t>
      </w:r>
      <w:r w:rsidRPr="00B934CE">
        <w:rPr>
          <w:rFonts w:ascii="Traditional Arabic" w:eastAsia="Calibri"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مما أدى إلى ارتفاع المصاريف خلال تلك الفترة. ومع ذلك، في </w:t>
      </w:r>
      <w:r w:rsidRPr="00B934CE">
        <w:rPr>
          <w:rFonts w:ascii="Traditional Arabic" w:eastAsia="Calibri" w:hAnsi="Traditional Arabic" w:cs="Traditional Arabic"/>
          <w:sz w:val="30"/>
          <w:szCs w:val="30"/>
          <w:rtl/>
        </w:rPr>
        <w:t xml:space="preserve">فترة التسعة </w:t>
      </w:r>
      <w:r w:rsidRPr="00B934CE">
        <w:rPr>
          <w:rFonts w:ascii="Traditional Arabic" w:eastAsia="Calibri"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2024، نظرًا لعدم توقف تأجير السفن، انخفضت المصاريف.</w:t>
      </w:r>
    </w:p>
    <w:p w14:paraId="57B2DC26"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 xml:space="preserve">تكاليف الموانئ </w:t>
      </w:r>
    </w:p>
    <w:p w14:paraId="03B483F0"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تكاليف الموانئ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21.5% من 11.6 مليون ريال عماني في السنة المالية 2021 الى 14.0 مليون ريال عماني في السنة المالية 2022، تماشيا مع ز</w:t>
      </w:r>
      <w:r w:rsidRPr="00B934CE">
        <w:rPr>
          <w:rFonts w:ascii="Traditional Arabic" w:eastAsiaTheme="majorEastAsia" w:hAnsi="Traditional Arabic" w:cs="Traditional Arabic" w:hint="eastAsia"/>
          <w:sz w:val="30"/>
          <w:szCs w:val="30"/>
          <w:rtl/>
        </w:rPr>
        <w:t>يادة</w:t>
      </w:r>
      <w:r w:rsidRPr="00B934CE">
        <w:rPr>
          <w:rFonts w:ascii="Traditional Arabic" w:eastAsiaTheme="majorEastAsia" w:hAnsi="Traditional Arabic" w:cs="Traditional Arabic"/>
          <w:sz w:val="30"/>
          <w:szCs w:val="30"/>
          <w:rtl/>
        </w:rPr>
        <w:t xml:space="preserve"> رسوم السحب والإرشاد والحمولة والرسو والموانئ بالتزامن مع زيادة </w:t>
      </w:r>
      <w:r w:rsidRPr="00B934CE">
        <w:rPr>
          <w:rFonts w:ascii="Traditional Arabic" w:eastAsiaTheme="majorEastAsia" w:hAnsi="Traditional Arabic" w:cs="Traditional Arabic" w:hint="eastAsia"/>
          <w:sz w:val="30"/>
          <w:szCs w:val="30"/>
          <w:rtl/>
        </w:rPr>
        <w:t>إيرادات</w:t>
      </w:r>
      <w:r w:rsidRPr="00B934CE">
        <w:rPr>
          <w:rFonts w:ascii="Traditional Arabic" w:eastAsiaTheme="majorEastAsia" w:hAnsi="Traditional Arabic" w:cs="Traditional Arabic"/>
          <w:sz w:val="30"/>
          <w:szCs w:val="30"/>
          <w:rtl/>
        </w:rPr>
        <w:t xml:space="preserve"> ال</w:t>
      </w:r>
      <w:r w:rsidR="00607B02">
        <w:rPr>
          <w:rFonts w:ascii="Traditional Arabic" w:eastAsiaTheme="majorEastAsia" w:hAnsi="Traditional Arabic" w:cs="Traditional Arabic"/>
          <w:sz w:val="30"/>
          <w:szCs w:val="30"/>
          <w:rtl/>
        </w:rPr>
        <w:t>نقل</w:t>
      </w:r>
      <w:r w:rsidRPr="00B934CE">
        <w:rPr>
          <w:rFonts w:ascii="Traditional Arabic" w:eastAsiaTheme="majorEastAsia" w:hAnsi="Traditional Arabic" w:cs="Traditional Arabic"/>
          <w:sz w:val="30"/>
          <w:szCs w:val="30"/>
          <w:rtl/>
        </w:rPr>
        <w:t xml:space="preserve"> في السنة المالية 2022</w:t>
      </w:r>
      <w:r w:rsidRPr="00B934CE">
        <w:rPr>
          <w:rFonts w:ascii="Traditional Arabic" w:eastAsiaTheme="majorEastAsia" w:hAnsi="Traditional Arabic" w:cs="Traditional Arabic" w:hint="eastAsia"/>
          <w:sz w:val="30"/>
          <w:szCs w:val="30"/>
          <w:rtl/>
        </w:rPr>
        <w:t>،</w:t>
      </w:r>
      <w:r w:rsidRPr="00B934CE">
        <w:rPr>
          <w:rFonts w:ascii="Traditional Arabic" w:eastAsiaTheme="majorEastAsia" w:hAnsi="Traditional Arabic" w:cs="Traditional Arabic"/>
          <w:sz w:val="30"/>
          <w:szCs w:val="30"/>
          <w:rtl/>
        </w:rPr>
        <w:t xml:space="preserve"> وبالأخص بعد تشغيل </w:t>
      </w:r>
      <w:r w:rsidR="00281471">
        <w:rPr>
          <w:rFonts w:ascii="Traditional Arabic" w:eastAsiaTheme="majorEastAsia" w:hAnsi="Traditional Arabic" w:cs="Traditional Arabic" w:hint="cs"/>
          <w:sz w:val="30"/>
          <w:szCs w:val="30"/>
          <w:rtl/>
        </w:rPr>
        <w:t xml:space="preserve">شركة </w:t>
      </w:r>
      <w:r w:rsidRPr="00B934CE">
        <w:rPr>
          <w:rFonts w:ascii="Traditional Arabic" w:eastAsiaTheme="majorEastAsia" w:hAnsi="Traditional Arabic" w:cs="Traditional Arabic"/>
          <w:sz w:val="30"/>
          <w:szCs w:val="30"/>
          <w:rtl/>
        </w:rPr>
        <w:t xml:space="preserve">خط أسياد </w:t>
      </w:r>
      <w:r w:rsidR="00281471">
        <w:rPr>
          <w:rFonts w:ascii="Traditional Arabic" w:eastAsiaTheme="majorEastAsia" w:hAnsi="Traditional Arabic" w:cs="Traditional Arabic" w:hint="cs"/>
          <w:sz w:val="30"/>
          <w:szCs w:val="30"/>
          <w:rtl/>
        </w:rPr>
        <w:t xml:space="preserve">ش م م </w:t>
      </w:r>
      <w:r w:rsidRPr="00B934CE">
        <w:rPr>
          <w:rFonts w:ascii="Traditional Arabic" w:eastAsiaTheme="majorEastAsia" w:hAnsi="Traditional Arabic" w:cs="Traditional Arabic"/>
          <w:sz w:val="30"/>
          <w:szCs w:val="30"/>
          <w:rtl/>
        </w:rPr>
        <w:t>والتي أدت إلى الزيادة في معظم تكاليف الموانئ.</w:t>
      </w:r>
    </w:p>
    <w:p w14:paraId="3F363167"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تكاليف الموانئ بشكل طفيف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1.2%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14.0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14.2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2023</w:t>
      </w:r>
      <w:r w:rsidRPr="00B934CE">
        <w:rPr>
          <w:rFonts w:ascii="Traditional Arabic" w:eastAsia="Calibri" w:hAnsi="Traditional Arabic" w:cs="Traditional Arabic"/>
          <w:b/>
          <w:bCs/>
          <w:sz w:val="30"/>
          <w:szCs w:val="30"/>
          <w:rtl/>
        </w:rPr>
        <w:t xml:space="preserve"> </w:t>
      </w:r>
      <w:r w:rsidRPr="00B934CE">
        <w:rPr>
          <w:rFonts w:ascii="Traditional Arabic" w:eastAsiaTheme="majorEastAsia" w:hAnsi="Traditional Arabic" w:cs="Traditional Arabic" w:hint="eastAsia"/>
          <w:sz w:val="30"/>
          <w:szCs w:val="30"/>
          <w:rtl/>
        </w:rPr>
        <w:t>ب</w:t>
      </w:r>
      <w:r w:rsidRPr="00B934CE">
        <w:rPr>
          <w:rFonts w:ascii="Traditional Arabic" w:eastAsiaTheme="majorEastAsia" w:hAnsi="Traditional Arabic" w:cs="Traditional Arabic"/>
          <w:sz w:val="30"/>
          <w:szCs w:val="30"/>
          <w:rtl/>
        </w:rPr>
        <w:t xml:space="preserve">سبب </w:t>
      </w:r>
      <w:r w:rsidRPr="00B934CE">
        <w:rPr>
          <w:rFonts w:ascii="Traditional Arabic" w:eastAsiaTheme="majorEastAsia" w:hAnsi="Traditional Arabic" w:cs="Traditional Arabic" w:hint="eastAsia"/>
          <w:sz w:val="30"/>
          <w:szCs w:val="30"/>
          <w:rtl/>
        </w:rPr>
        <w:t>ارتفاع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w:t>
      </w:r>
      <w:r w:rsidRPr="00B934CE">
        <w:rPr>
          <w:rFonts w:ascii="Traditional Arabic" w:eastAsiaTheme="majorEastAsia" w:hAnsi="Traditional Arabic" w:cs="Traditional Arabic"/>
          <w:sz w:val="30"/>
          <w:szCs w:val="30"/>
          <w:rtl/>
        </w:rPr>
        <w:t>صاريف الموانئ (+3.</w:t>
      </w:r>
      <w:r w:rsidR="006B4E82">
        <w:rPr>
          <w:rFonts w:ascii="Traditional Arabic" w:eastAsiaTheme="majorEastAsia" w:hAnsi="Traditional Arabic" w:cs="Traditional Arabic" w:hint="cs"/>
          <w:sz w:val="30"/>
          <w:szCs w:val="30"/>
          <w:rtl/>
        </w:rPr>
        <w:t>1</w:t>
      </w:r>
      <w:r w:rsidR="006B4E82"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sz w:val="30"/>
          <w:szCs w:val="30"/>
          <w:rtl/>
        </w:rPr>
        <w:t xml:space="preserve">مليون ريال عماني)، والناتج عن تشغيل </w:t>
      </w:r>
      <w:r w:rsidR="00E96224">
        <w:rPr>
          <w:rFonts w:ascii="Traditional Arabic" w:eastAsiaTheme="majorEastAsia" w:hAnsi="Traditional Arabic" w:cs="Traditional Arabic" w:hint="cs"/>
          <w:sz w:val="30"/>
          <w:szCs w:val="30"/>
          <w:rtl/>
        </w:rPr>
        <w:t xml:space="preserve">شركة </w:t>
      </w:r>
      <w:r w:rsidRPr="00B934CE">
        <w:rPr>
          <w:rFonts w:ascii="Traditional Arabic" w:eastAsiaTheme="majorEastAsia" w:hAnsi="Traditional Arabic" w:cs="Traditional Arabic"/>
          <w:sz w:val="30"/>
          <w:szCs w:val="30"/>
          <w:rtl/>
        </w:rPr>
        <w:t xml:space="preserve">خط أسياد </w:t>
      </w:r>
      <w:r w:rsidR="00E96224">
        <w:rPr>
          <w:rFonts w:ascii="Traditional Arabic" w:eastAsiaTheme="majorEastAsia" w:hAnsi="Traditional Arabic" w:cs="Traditional Arabic" w:hint="cs"/>
          <w:sz w:val="30"/>
          <w:szCs w:val="30"/>
          <w:rtl/>
        </w:rPr>
        <w:t xml:space="preserve">ش م م </w:t>
      </w:r>
      <w:r w:rsidRPr="00B934CE">
        <w:rPr>
          <w:rFonts w:ascii="Traditional Arabic" w:eastAsiaTheme="majorEastAsia" w:hAnsi="Traditional Arabic" w:cs="Traditional Arabic"/>
          <w:sz w:val="30"/>
          <w:szCs w:val="30"/>
          <w:rtl/>
        </w:rPr>
        <w:t xml:space="preserve">لمدة سنة كاملة في السنة المالية 2023 مقابل فترة أقل في السنة المالية 2022. قابلها انخفاض في رسوم السحب والإرشاد والحمولة والرسو والموانئ حيث ترتبط هذه الرسوم </w:t>
      </w:r>
      <w:r w:rsidRPr="00B934CE">
        <w:rPr>
          <w:rFonts w:ascii="Traditional Arabic" w:eastAsiaTheme="majorEastAsia" w:hAnsi="Traditional Arabic" w:cs="Traditional Arabic" w:hint="eastAsia"/>
          <w:sz w:val="30"/>
          <w:szCs w:val="30"/>
          <w:rtl/>
        </w:rPr>
        <w:t>بالعناصر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المكونة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للإيراد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ونسبتها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مجموع</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الإيرادات</w:t>
      </w:r>
      <w:r w:rsidRPr="00B934CE">
        <w:rPr>
          <w:rFonts w:ascii="Traditional Arabic" w:eastAsiaTheme="majorEastAsia" w:hAnsi="Traditional Arabic" w:cs="Traditional Arabic"/>
          <w:sz w:val="30"/>
          <w:szCs w:val="30"/>
          <w:rtl/>
        </w:rPr>
        <w:t xml:space="preserve"> (المزيج).</w:t>
      </w:r>
    </w:p>
    <w:p w14:paraId="1D12247F"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w:t>
      </w:r>
      <w:r w:rsidRPr="00B934CE">
        <w:rPr>
          <w:rFonts w:ascii="Traditional Arabic" w:eastAsiaTheme="majorEastAsia" w:hAnsi="Traditional Arabic" w:cs="Traditional Arabic"/>
          <w:sz w:val="30"/>
          <w:szCs w:val="30"/>
          <w:rtl/>
        </w:rPr>
        <w:t xml:space="preserve">خفضت تكاليف الموانئ بنسبة 56.8% من 11.3 مليون ريال عماني في فترة التسعة أشهر المنتهية في 30 سبتمبر 2023 إلى 4.9 مليون ريال عماني في فترة التسعة أشهر المنتهية في 30 سبتمبر 2024، ويعود ذلك بشكل رئيسي إلى انخفاض نفقات الموانئ بسبب انخفاض عدد السفن التي ترسو في </w:t>
      </w:r>
      <w:r w:rsidRPr="00B934CE">
        <w:rPr>
          <w:rFonts w:ascii="Traditional Arabic" w:eastAsiaTheme="majorEastAsia" w:hAnsi="Traditional Arabic" w:cs="Traditional Arabic" w:hint="eastAsia"/>
          <w:sz w:val="30"/>
          <w:szCs w:val="30"/>
          <w:rtl/>
        </w:rPr>
        <w:t>الموانئ،</w:t>
      </w:r>
      <w:r w:rsidRPr="00B934CE">
        <w:rPr>
          <w:rFonts w:ascii="Traditional Arabic" w:eastAsiaTheme="majorEastAsia" w:hAnsi="Traditional Arabic" w:cs="Traditional Arabic"/>
          <w:sz w:val="30"/>
          <w:szCs w:val="30"/>
          <w:rtl/>
        </w:rPr>
        <w:t xml:space="preserve"> حيث بلغ متوسط عدد السفن الراسية في الموانئ في فترة التسعة أشهر المنتهية في 30 سبتمبر 2023 </w:t>
      </w:r>
      <w:r w:rsidRPr="00B934CE">
        <w:rPr>
          <w:rFonts w:ascii="Traditional Arabic" w:eastAsiaTheme="majorEastAsia" w:hAnsi="Traditional Arabic" w:cs="Traditional Arabic" w:hint="eastAsia"/>
          <w:sz w:val="30"/>
          <w:szCs w:val="30"/>
          <w:rtl/>
        </w:rPr>
        <w:t>عشرة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سفن</w:t>
      </w:r>
      <w:r w:rsidRPr="00B934CE">
        <w:rPr>
          <w:rFonts w:ascii="Traditional Arabic" w:eastAsiaTheme="majorEastAsia" w:hAnsi="Traditional Arabic" w:cs="Traditional Arabic"/>
          <w:sz w:val="30"/>
          <w:szCs w:val="30"/>
          <w:rtl/>
        </w:rPr>
        <w:t xml:space="preserve"> مقابل </w:t>
      </w:r>
      <w:r w:rsidRPr="00B934CE">
        <w:rPr>
          <w:rFonts w:ascii="Traditional Arabic" w:eastAsiaTheme="majorEastAsia" w:hAnsi="Traditional Arabic" w:cs="Traditional Arabic" w:hint="eastAsia"/>
          <w:sz w:val="30"/>
          <w:szCs w:val="30"/>
          <w:rtl/>
        </w:rPr>
        <w:t>ثلاثة</w:t>
      </w:r>
      <w:r w:rsidRPr="00B934CE">
        <w:rPr>
          <w:rFonts w:ascii="Traditional Arabic" w:eastAsiaTheme="majorEastAsia" w:hAnsi="Traditional Arabic" w:cs="Traditional Arabic"/>
          <w:sz w:val="30"/>
          <w:szCs w:val="30"/>
          <w:rtl/>
        </w:rPr>
        <w:t xml:space="preserve"> في فترة التسعة أشهر الفترة المنتهية في 30 سبتمبر 2024.</w:t>
      </w:r>
    </w:p>
    <w:p w14:paraId="5C0EDB13" w14:textId="77777777" w:rsidR="00563389" w:rsidRPr="00B934CE" w:rsidRDefault="00563389" w:rsidP="00B934CE">
      <w:pPr>
        <w:pStyle w:val="4"/>
        <w:spacing w:before="0"/>
        <w:rPr>
          <w:rFonts w:ascii="Traditional Arabic" w:hAnsi="Traditional Arabic" w:cs="Traditional Arabic"/>
          <w:b w:val="0"/>
          <w:bCs w:val="0"/>
          <w:i/>
          <w:iCs/>
          <w:color w:val="auto"/>
          <w:sz w:val="30"/>
          <w:szCs w:val="30"/>
          <w:rtl/>
        </w:rPr>
      </w:pPr>
      <w:r w:rsidRPr="00B934CE">
        <w:rPr>
          <w:rFonts w:ascii="Traditional Arabic" w:hAnsi="Traditional Arabic" w:cs="Traditional Arabic" w:hint="eastAsia"/>
          <w:b w:val="0"/>
          <w:bCs w:val="0"/>
          <w:i/>
          <w:iCs/>
          <w:color w:val="auto"/>
          <w:sz w:val="30"/>
          <w:szCs w:val="30"/>
          <w:rtl/>
        </w:rPr>
        <w:t>مصاريف</w:t>
      </w:r>
      <w:r w:rsidRPr="00B934CE">
        <w:rPr>
          <w:rFonts w:ascii="Traditional Arabic" w:hAnsi="Traditional Arabic" w:cs="Traditional Arabic"/>
          <w:b w:val="0"/>
          <w:bCs w:val="0"/>
          <w:i/>
          <w:iCs/>
          <w:color w:val="auto"/>
          <w:sz w:val="30"/>
          <w:szCs w:val="30"/>
          <w:rtl/>
        </w:rPr>
        <w:t xml:space="preserve"> عمومية وإدارية </w:t>
      </w:r>
    </w:p>
    <w:p w14:paraId="40F757EC" w14:textId="77777777" w:rsidR="00563389" w:rsidRPr="00B934CE" w:rsidRDefault="00563389" w:rsidP="00B934CE">
      <w:pPr>
        <w:bidi/>
        <w:jc w:val="both"/>
        <w:rPr>
          <w:rFonts w:ascii="Traditional Arabic" w:eastAsia="Calibri" w:hAnsi="Traditional Arabic" w:cs="Traditional Arabic"/>
          <w:i/>
          <w:iCs/>
          <w:sz w:val="30"/>
          <w:szCs w:val="30"/>
          <w:rtl/>
        </w:rPr>
      </w:pPr>
      <w:bookmarkStart w:id="31" w:name="_Hlk182407517"/>
      <w:r w:rsidRPr="00B934CE">
        <w:rPr>
          <w:rFonts w:ascii="Traditional Arabic" w:eastAsia="Calibri" w:hAnsi="Traditional Arabic" w:cs="Traditional Arabic"/>
          <w:i/>
          <w:iCs/>
          <w:sz w:val="30"/>
          <w:szCs w:val="30"/>
          <w:rtl/>
        </w:rPr>
        <w:t>الجدول‏ ‏:</w:t>
      </w:r>
      <w:r w:rsidRPr="00B934CE">
        <w:rPr>
          <w:rFonts w:ascii="Traditional Arabic" w:eastAsia="Calibri" w:hAnsi="Traditional Arabic" w:cs="Traditional Arabic"/>
          <w:b/>
          <w:bCs/>
          <w:i/>
          <w:iCs/>
          <w:sz w:val="30"/>
          <w:szCs w:val="30"/>
          <w:rtl/>
        </w:rPr>
        <w:t xml:space="preserve"> </w:t>
      </w:r>
      <w:r w:rsidRPr="00B934CE">
        <w:rPr>
          <w:rFonts w:ascii="Traditional Arabic" w:eastAsia="Calibri" w:hAnsi="Traditional Arabic" w:cs="Traditional Arabic" w:hint="eastAsia"/>
          <w:i/>
          <w:iCs/>
          <w:sz w:val="30"/>
          <w:szCs w:val="30"/>
          <w:rtl/>
        </w:rPr>
        <w:t>مصاريف</w:t>
      </w:r>
      <w:r w:rsidRPr="00B934CE">
        <w:rPr>
          <w:rFonts w:ascii="Traditional Arabic" w:eastAsia="Calibri" w:hAnsi="Traditional Arabic" w:cs="Traditional Arabic"/>
          <w:i/>
          <w:iCs/>
          <w:sz w:val="30"/>
          <w:szCs w:val="30"/>
          <w:rtl/>
        </w:rPr>
        <w:t xml:space="preserve"> عمومية وإدارية للسنوات المالية المنتهية في 31 ديسمبر 2021، 2022، و2023، وفترتي التسعة أشهر المنتهيتين في 30 سبتمبر 2023 و2024:</w:t>
      </w:r>
    </w:p>
    <w:tbl>
      <w:tblPr>
        <w:bidiVisual/>
        <w:tblW w:w="9377" w:type="dxa"/>
        <w:tblLook w:val="04A0" w:firstRow="1" w:lastRow="0" w:firstColumn="1" w:lastColumn="0" w:noHBand="0" w:noVBand="1"/>
      </w:tblPr>
      <w:tblGrid>
        <w:gridCol w:w="1041"/>
        <w:gridCol w:w="918"/>
        <w:gridCol w:w="1054"/>
        <w:gridCol w:w="914"/>
        <w:gridCol w:w="937"/>
        <w:gridCol w:w="839"/>
        <w:gridCol w:w="839"/>
        <w:gridCol w:w="960"/>
        <w:gridCol w:w="960"/>
        <w:gridCol w:w="915"/>
      </w:tblGrid>
      <w:tr w:rsidR="00900056" w:rsidRPr="00900056" w14:paraId="0FE1BCAB" w14:textId="77777777" w:rsidTr="00922116">
        <w:trPr>
          <w:trHeight w:val="20"/>
        </w:trPr>
        <w:tc>
          <w:tcPr>
            <w:tcW w:w="1261" w:type="dxa"/>
            <w:shd w:val="clear" w:color="auto" w:fill="0B3D85"/>
            <w:vAlign w:val="center"/>
          </w:tcPr>
          <w:p w14:paraId="6BF4C16A" w14:textId="77777777" w:rsidR="00563389" w:rsidRPr="00B934CE" w:rsidRDefault="00563389" w:rsidP="00B934CE">
            <w:pPr>
              <w:bidi/>
              <w:jc w:val="center"/>
              <w:rPr>
                <w:rFonts w:ascii="Traditional Arabic" w:eastAsia="Calibri" w:hAnsi="Traditional Arabic" w:cs="Traditional Arabic"/>
                <w:b/>
                <w:bCs/>
                <w:sz w:val="24"/>
                <w:rtl/>
              </w:rPr>
            </w:pPr>
            <w:bookmarkStart w:id="32" w:name="_Hlk175039079"/>
            <w:r w:rsidRPr="00B934CE">
              <w:rPr>
                <w:rFonts w:ascii="Traditional Arabic" w:hAnsi="Traditional Arabic" w:cs="Traditional Arabic"/>
                <w:b/>
                <w:bCs/>
                <w:sz w:val="24"/>
                <w:rtl/>
              </w:rPr>
              <w:lastRenderedPageBreak/>
              <w:t xml:space="preserve">بآلاف الريالات </w:t>
            </w:r>
            <w:r w:rsidRPr="00B934CE">
              <w:rPr>
                <w:rFonts w:ascii="Traditional Arabic" w:hAnsi="Traditional Arabic" w:cs="Traditional Arabic" w:hint="eastAsia"/>
                <w:b/>
                <w:bCs/>
                <w:sz w:val="24"/>
                <w:rtl/>
              </w:rPr>
              <w:t>العمانية</w:t>
            </w:r>
          </w:p>
        </w:tc>
        <w:tc>
          <w:tcPr>
            <w:tcW w:w="1022" w:type="dxa"/>
            <w:shd w:val="clear" w:color="auto" w:fill="0B3D85"/>
            <w:vAlign w:val="center"/>
          </w:tcPr>
          <w:p w14:paraId="27ACE0B1"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2021</w:t>
            </w:r>
          </w:p>
          <w:p w14:paraId="2E34B06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1262" w:type="dxa"/>
            <w:shd w:val="clear" w:color="auto" w:fill="0B3D85"/>
            <w:vAlign w:val="center"/>
          </w:tcPr>
          <w:p w14:paraId="366051E9"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2022</w:t>
            </w:r>
          </w:p>
          <w:p w14:paraId="2833201A"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958" w:type="dxa"/>
            <w:shd w:val="clear" w:color="auto" w:fill="0B3D85"/>
            <w:vAlign w:val="center"/>
          </w:tcPr>
          <w:p w14:paraId="4C6351B9"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2023</w:t>
            </w:r>
          </w:p>
          <w:p w14:paraId="1942FC9A"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772" w:type="dxa"/>
            <w:shd w:val="clear" w:color="auto" w:fill="0B3D85"/>
            <w:vAlign w:val="center"/>
          </w:tcPr>
          <w:p w14:paraId="39E163F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2021- 2022</w:t>
            </w:r>
          </w:p>
        </w:tc>
        <w:tc>
          <w:tcPr>
            <w:tcW w:w="704" w:type="dxa"/>
            <w:shd w:val="clear" w:color="auto" w:fill="0B3D85"/>
            <w:vAlign w:val="center"/>
          </w:tcPr>
          <w:p w14:paraId="16C56B54"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2022- 2023</w:t>
            </w:r>
          </w:p>
        </w:tc>
        <w:tc>
          <w:tcPr>
            <w:tcW w:w="768" w:type="dxa"/>
            <w:shd w:val="clear" w:color="auto" w:fill="0B3D85"/>
            <w:vAlign w:val="center"/>
          </w:tcPr>
          <w:p w14:paraId="2EB3328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معدل النمو المركب 2021-2023</w:t>
            </w:r>
          </w:p>
        </w:tc>
        <w:tc>
          <w:tcPr>
            <w:tcW w:w="935" w:type="dxa"/>
            <w:shd w:val="clear" w:color="auto" w:fill="0B3D85"/>
            <w:vAlign w:val="center"/>
          </w:tcPr>
          <w:p w14:paraId="2BA57986"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2023</w:t>
            </w:r>
          </w:p>
          <w:p w14:paraId="0633CA6C"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935" w:type="dxa"/>
            <w:shd w:val="clear" w:color="auto" w:fill="0B3D85"/>
            <w:vAlign w:val="center"/>
          </w:tcPr>
          <w:p w14:paraId="0BE94251"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2024</w:t>
            </w:r>
          </w:p>
          <w:p w14:paraId="0EA1CFEE"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760" w:type="dxa"/>
            <w:shd w:val="clear" w:color="auto" w:fill="0B3D85"/>
            <w:vAlign w:val="center"/>
          </w:tcPr>
          <w:p w14:paraId="70B2A145"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التغير للفترة 2023-2024</w:t>
            </w:r>
          </w:p>
        </w:tc>
      </w:tr>
      <w:tr w:rsidR="00900056" w:rsidRPr="00900056" w14:paraId="0A59C44B" w14:textId="77777777" w:rsidTr="00922116">
        <w:trPr>
          <w:trHeight w:val="20"/>
        </w:trPr>
        <w:tc>
          <w:tcPr>
            <w:tcW w:w="1261" w:type="dxa"/>
            <w:tcBorders>
              <w:bottom w:val="single" w:sz="4" w:space="0" w:color="0B3D85"/>
            </w:tcBorders>
            <w:shd w:val="clear" w:color="auto" w:fill="FFFFFF" w:themeFill="background1"/>
            <w:vAlign w:val="center"/>
          </w:tcPr>
          <w:p w14:paraId="620FB579"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تكاليف</w:t>
            </w:r>
            <w:r w:rsidRPr="00B934CE">
              <w:rPr>
                <w:rFonts w:ascii="Traditional Arabic" w:eastAsia="Calibri" w:hAnsi="Traditional Arabic" w:cs="Traditional Arabic"/>
                <w:sz w:val="24"/>
                <w:rtl/>
              </w:rPr>
              <w:t xml:space="preserve"> الموظفين الإدارية  </w:t>
            </w:r>
          </w:p>
        </w:tc>
        <w:tc>
          <w:tcPr>
            <w:tcW w:w="1022" w:type="dxa"/>
            <w:tcBorders>
              <w:bottom w:val="single" w:sz="4" w:space="0" w:color="0B3D85"/>
            </w:tcBorders>
            <w:shd w:val="clear" w:color="auto" w:fill="FFFFFF" w:themeFill="background1"/>
            <w:vAlign w:val="center"/>
          </w:tcPr>
          <w:p w14:paraId="0FB1DC7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7,167</w:t>
            </w:r>
          </w:p>
        </w:tc>
        <w:tc>
          <w:tcPr>
            <w:tcW w:w="1262" w:type="dxa"/>
            <w:tcBorders>
              <w:bottom w:val="single" w:sz="4" w:space="0" w:color="0B3D85"/>
            </w:tcBorders>
            <w:shd w:val="clear" w:color="auto" w:fill="FFFFFF" w:themeFill="background1"/>
            <w:vAlign w:val="center"/>
          </w:tcPr>
          <w:p w14:paraId="3564991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9,323</w:t>
            </w:r>
          </w:p>
        </w:tc>
        <w:tc>
          <w:tcPr>
            <w:tcW w:w="958" w:type="dxa"/>
            <w:tcBorders>
              <w:bottom w:val="single" w:sz="4" w:space="0" w:color="0B3D85"/>
            </w:tcBorders>
            <w:shd w:val="clear" w:color="auto" w:fill="FFFFFF" w:themeFill="background1"/>
            <w:vAlign w:val="center"/>
          </w:tcPr>
          <w:p w14:paraId="6F515CCB" w14:textId="77777777" w:rsidR="00563389" w:rsidRPr="00B934CE" w:rsidRDefault="00563389"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10,687</w:t>
            </w:r>
          </w:p>
        </w:tc>
        <w:tc>
          <w:tcPr>
            <w:tcW w:w="772" w:type="dxa"/>
            <w:tcBorders>
              <w:bottom w:val="single" w:sz="4" w:space="0" w:color="0B3D85"/>
            </w:tcBorders>
            <w:shd w:val="clear" w:color="auto" w:fill="FFFFFF" w:themeFill="background1"/>
            <w:vAlign w:val="center"/>
          </w:tcPr>
          <w:p w14:paraId="1F61D15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30.1%</w:t>
            </w:r>
          </w:p>
        </w:tc>
        <w:tc>
          <w:tcPr>
            <w:tcW w:w="704" w:type="dxa"/>
            <w:tcBorders>
              <w:bottom w:val="single" w:sz="4" w:space="0" w:color="0B3D85"/>
            </w:tcBorders>
            <w:shd w:val="clear" w:color="auto" w:fill="FFFFFF" w:themeFill="background1"/>
            <w:vAlign w:val="center"/>
          </w:tcPr>
          <w:p w14:paraId="06A9626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14.6%</w:t>
            </w:r>
          </w:p>
        </w:tc>
        <w:tc>
          <w:tcPr>
            <w:tcW w:w="768" w:type="dxa"/>
            <w:tcBorders>
              <w:bottom w:val="single" w:sz="4" w:space="0" w:color="0B3D85"/>
            </w:tcBorders>
            <w:shd w:val="clear" w:color="auto" w:fill="FFFFFF" w:themeFill="background1"/>
            <w:vAlign w:val="center"/>
          </w:tcPr>
          <w:p w14:paraId="2B30FB2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22.1%</w:t>
            </w:r>
          </w:p>
        </w:tc>
        <w:tc>
          <w:tcPr>
            <w:tcW w:w="935" w:type="dxa"/>
            <w:tcBorders>
              <w:bottom w:val="single" w:sz="4" w:space="0" w:color="0B3D85"/>
            </w:tcBorders>
            <w:shd w:val="clear" w:color="auto" w:fill="FFFFFF" w:themeFill="background1"/>
            <w:vAlign w:val="center"/>
          </w:tcPr>
          <w:p w14:paraId="1120236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6,713</w:t>
            </w:r>
          </w:p>
        </w:tc>
        <w:tc>
          <w:tcPr>
            <w:tcW w:w="935" w:type="dxa"/>
            <w:tcBorders>
              <w:bottom w:val="single" w:sz="4" w:space="0" w:color="0B3D85"/>
            </w:tcBorders>
            <w:shd w:val="clear" w:color="auto" w:fill="FFFFFF" w:themeFill="background1"/>
            <w:vAlign w:val="center"/>
          </w:tcPr>
          <w:p w14:paraId="18FAA8D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6,940</w:t>
            </w:r>
          </w:p>
        </w:tc>
        <w:tc>
          <w:tcPr>
            <w:tcW w:w="760" w:type="dxa"/>
            <w:tcBorders>
              <w:bottom w:val="single" w:sz="4" w:space="0" w:color="0B3D85"/>
            </w:tcBorders>
            <w:shd w:val="clear" w:color="auto" w:fill="FFFFFF" w:themeFill="background1"/>
            <w:vAlign w:val="center"/>
          </w:tcPr>
          <w:p w14:paraId="632B2C9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3.4%</w:t>
            </w:r>
          </w:p>
        </w:tc>
      </w:tr>
      <w:tr w:rsidR="00900056" w:rsidRPr="00900056" w14:paraId="4C47909B"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30CC3043"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قانونية ومهنية </w:t>
            </w:r>
          </w:p>
        </w:tc>
        <w:tc>
          <w:tcPr>
            <w:tcW w:w="1022" w:type="dxa"/>
            <w:tcBorders>
              <w:top w:val="single" w:sz="4" w:space="0" w:color="0B3D85"/>
              <w:bottom w:val="single" w:sz="4" w:space="0" w:color="0B3D85"/>
            </w:tcBorders>
            <w:shd w:val="clear" w:color="auto" w:fill="FFFFFF" w:themeFill="background1"/>
            <w:vAlign w:val="center"/>
          </w:tcPr>
          <w:p w14:paraId="24644AF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301</w:t>
            </w:r>
          </w:p>
        </w:tc>
        <w:tc>
          <w:tcPr>
            <w:tcW w:w="1262" w:type="dxa"/>
            <w:tcBorders>
              <w:top w:val="single" w:sz="4" w:space="0" w:color="0B3D85"/>
              <w:bottom w:val="single" w:sz="4" w:space="0" w:color="0B3D85"/>
            </w:tcBorders>
            <w:shd w:val="clear" w:color="auto" w:fill="FFFFFF" w:themeFill="background1"/>
            <w:vAlign w:val="center"/>
          </w:tcPr>
          <w:p w14:paraId="369CAA4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420</w:t>
            </w:r>
          </w:p>
        </w:tc>
        <w:tc>
          <w:tcPr>
            <w:tcW w:w="958" w:type="dxa"/>
            <w:tcBorders>
              <w:top w:val="single" w:sz="4" w:space="0" w:color="0B3D85"/>
              <w:bottom w:val="single" w:sz="4" w:space="0" w:color="0B3D85"/>
            </w:tcBorders>
            <w:shd w:val="clear" w:color="auto" w:fill="FFFFFF" w:themeFill="background1"/>
            <w:vAlign w:val="center"/>
          </w:tcPr>
          <w:p w14:paraId="333DBA7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336</w:t>
            </w:r>
          </w:p>
        </w:tc>
        <w:tc>
          <w:tcPr>
            <w:tcW w:w="772" w:type="dxa"/>
            <w:tcBorders>
              <w:top w:val="single" w:sz="4" w:space="0" w:color="0B3D85"/>
              <w:bottom w:val="single" w:sz="4" w:space="0" w:color="0B3D85"/>
            </w:tcBorders>
            <w:shd w:val="clear" w:color="auto" w:fill="FFFFFF" w:themeFill="background1"/>
            <w:vAlign w:val="center"/>
          </w:tcPr>
          <w:p w14:paraId="6226478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39.4%</w:t>
            </w:r>
          </w:p>
        </w:tc>
        <w:tc>
          <w:tcPr>
            <w:tcW w:w="704" w:type="dxa"/>
            <w:tcBorders>
              <w:top w:val="single" w:sz="4" w:space="0" w:color="0B3D85"/>
              <w:bottom w:val="single" w:sz="4" w:space="0" w:color="0B3D85"/>
            </w:tcBorders>
            <w:shd w:val="clear" w:color="auto" w:fill="FFFFFF" w:themeFill="background1"/>
            <w:vAlign w:val="center"/>
          </w:tcPr>
          <w:p w14:paraId="71940FD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(20.0%)</w:t>
            </w:r>
          </w:p>
        </w:tc>
        <w:tc>
          <w:tcPr>
            <w:tcW w:w="768" w:type="dxa"/>
            <w:tcBorders>
              <w:top w:val="single" w:sz="4" w:space="0" w:color="0B3D85"/>
              <w:bottom w:val="single" w:sz="4" w:space="0" w:color="0B3D85"/>
            </w:tcBorders>
            <w:shd w:val="clear" w:color="auto" w:fill="FFFFFF" w:themeFill="background1"/>
            <w:vAlign w:val="center"/>
          </w:tcPr>
          <w:p w14:paraId="5831861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5.6%</w:t>
            </w:r>
          </w:p>
        </w:tc>
        <w:tc>
          <w:tcPr>
            <w:tcW w:w="935" w:type="dxa"/>
            <w:tcBorders>
              <w:top w:val="single" w:sz="4" w:space="0" w:color="0B3D85"/>
              <w:bottom w:val="single" w:sz="4" w:space="0" w:color="0B3D85"/>
            </w:tcBorders>
            <w:shd w:val="clear" w:color="auto" w:fill="FFFFFF" w:themeFill="background1"/>
            <w:vAlign w:val="center"/>
          </w:tcPr>
          <w:p w14:paraId="7EF24DD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186</w:t>
            </w:r>
          </w:p>
        </w:tc>
        <w:tc>
          <w:tcPr>
            <w:tcW w:w="935" w:type="dxa"/>
            <w:tcBorders>
              <w:top w:val="single" w:sz="4" w:space="0" w:color="0B3D85"/>
              <w:bottom w:val="single" w:sz="4" w:space="0" w:color="0B3D85"/>
            </w:tcBorders>
            <w:shd w:val="clear" w:color="auto" w:fill="FFFFFF" w:themeFill="background1"/>
            <w:vAlign w:val="center"/>
          </w:tcPr>
          <w:p w14:paraId="30A0118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147</w:t>
            </w:r>
          </w:p>
        </w:tc>
        <w:tc>
          <w:tcPr>
            <w:tcW w:w="760" w:type="dxa"/>
            <w:tcBorders>
              <w:top w:val="single" w:sz="4" w:space="0" w:color="0B3D85"/>
              <w:bottom w:val="single" w:sz="4" w:space="0" w:color="0B3D85"/>
            </w:tcBorders>
            <w:shd w:val="clear" w:color="auto" w:fill="FFFFFF" w:themeFill="background1"/>
            <w:vAlign w:val="center"/>
          </w:tcPr>
          <w:p w14:paraId="07CC864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(20.8%)</w:t>
            </w:r>
          </w:p>
        </w:tc>
      </w:tr>
      <w:tr w:rsidR="00900056" w:rsidRPr="00900056" w14:paraId="04DAB78F"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70836319"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إصلاحات</w:t>
            </w:r>
            <w:r w:rsidRPr="00B934CE">
              <w:rPr>
                <w:rFonts w:ascii="Traditional Arabic" w:eastAsia="Calibri" w:hAnsi="Traditional Arabic" w:cs="Traditional Arabic"/>
                <w:sz w:val="24"/>
                <w:rtl/>
              </w:rPr>
              <w:t xml:space="preserve"> وصيانة </w:t>
            </w:r>
          </w:p>
        </w:tc>
        <w:tc>
          <w:tcPr>
            <w:tcW w:w="1022" w:type="dxa"/>
            <w:tcBorders>
              <w:top w:val="single" w:sz="4" w:space="0" w:color="0B3D85"/>
              <w:bottom w:val="single" w:sz="4" w:space="0" w:color="0B3D85"/>
            </w:tcBorders>
            <w:shd w:val="clear" w:color="auto" w:fill="FFFFFF" w:themeFill="background1"/>
            <w:vAlign w:val="center"/>
          </w:tcPr>
          <w:p w14:paraId="7B7D994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377</w:t>
            </w:r>
          </w:p>
        </w:tc>
        <w:tc>
          <w:tcPr>
            <w:tcW w:w="1262" w:type="dxa"/>
            <w:tcBorders>
              <w:top w:val="single" w:sz="4" w:space="0" w:color="0B3D85"/>
              <w:bottom w:val="single" w:sz="4" w:space="0" w:color="0B3D85"/>
            </w:tcBorders>
            <w:shd w:val="clear" w:color="auto" w:fill="FFFFFF" w:themeFill="background1"/>
            <w:vAlign w:val="center"/>
          </w:tcPr>
          <w:p w14:paraId="1C6E723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308</w:t>
            </w:r>
          </w:p>
        </w:tc>
        <w:tc>
          <w:tcPr>
            <w:tcW w:w="958" w:type="dxa"/>
            <w:tcBorders>
              <w:top w:val="single" w:sz="4" w:space="0" w:color="0B3D85"/>
              <w:bottom w:val="single" w:sz="4" w:space="0" w:color="0B3D85"/>
            </w:tcBorders>
            <w:shd w:val="clear" w:color="auto" w:fill="FFFFFF" w:themeFill="background1"/>
            <w:vAlign w:val="center"/>
          </w:tcPr>
          <w:p w14:paraId="54217D9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w:t>
            </w:r>
          </w:p>
        </w:tc>
        <w:tc>
          <w:tcPr>
            <w:tcW w:w="772" w:type="dxa"/>
            <w:tcBorders>
              <w:top w:val="single" w:sz="4" w:space="0" w:color="0B3D85"/>
              <w:bottom w:val="single" w:sz="4" w:space="0" w:color="0B3D85"/>
            </w:tcBorders>
            <w:shd w:val="clear" w:color="auto" w:fill="FFFFFF" w:themeFill="background1"/>
            <w:vAlign w:val="center"/>
          </w:tcPr>
          <w:p w14:paraId="23DB746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(18.2%)</w:t>
            </w:r>
          </w:p>
        </w:tc>
        <w:tc>
          <w:tcPr>
            <w:tcW w:w="704" w:type="dxa"/>
            <w:tcBorders>
              <w:top w:val="single" w:sz="4" w:space="0" w:color="0B3D85"/>
              <w:bottom w:val="single" w:sz="4" w:space="0" w:color="0B3D85"/>
            </w:tcBorders>
            <w:shd w:val="clear" w:color="auto" w:fill="FFFFFF" w:themeFill="background1"/>
            <w:vAlign w:val="center"/>
          </w:tcPr>
          <w:p w14:paraId="350E556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(98.8%)</w:t>
            </w:r>
          </w:p>
        </w:tc>
        <w:tc>
          <w:tcPr>
            <w:tcW w:w="768" w:type="dxa"/>
            <w:tcBorders>
              <w:top w:val="single" w:sz="4" w:space="0" w:color="0B3D85"/>
              <w:bottom w:val="single" w:sz="4" w:space="0" w:color="0B3D85"/>
            </w:tcBorders>
            <w:shd w:val="clear" w:color="auto" w:fill="FFFFFF" w:themeFill="background1"/>
            <w:vAlign w:val="center"/>
          </w:tcPr>
          <w:p w14:paraId="01EE7E0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(90.2%)</w:t>
            </w:r>
          </w:p>
        </w:tc>
        <w:tc>
          <w:tcPr>
            <w:tcW w:w="935" w:type="dxa"/>
            <w:tcBorders>
              <w:top w:val="single" w:sz="4" w:space="0" w:color="0B3D85"/>
              <w:bottom w:val="single" w:sz="4" w:space="0" w:color="0B3D85"/>
            </w:tcBorders>
            <w:shd w:val="clear" w:color="auto" w:fill="FFFFFF" w:themeFill="background1"/>
            <w:vAlign w:val="center"/>
          </w:tcPr>
          <w:p w14:paraId="356480F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274</w:t>
            </w:r>
          </w:p>
        </w:tc>
        <w:tc>
          <w:tcPr>
            <w:tcW w:w="935" w:type="dxa"/>
            <w:tcBorders>
              <w:top w:val="single" w:sz="4" w:space="0" w:color="0B3D85"/>
              <w:bottom w:val="single" w:sz="4" w:space="0" w:color="0B3D85"/>
            </w:tcBorders>
            <w:shd w:val="clear" w:color="auto" w:fill="FFFFFF" w:themeFill="background1"/>
            <w:vAlign w:val="center"/>
          </w:tcPr>
          <w:p w14:paraId="6BB4820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29</w:t>
            </w:r>
          </w:p>
        </w:tc>
        <w:tc>
          <w:tcPr>
            <w:tcW w:w="760" w:type="dxa"/>
            <w:tcBorders>
              <w:top w:val="single" w:sz="4" w:space="0" w:color="0B3D85"/>
              <w:bottom w:val="single" w:sz="4" w:space="0" w:color="0B3D85"/>
            </w:tcBorders>
            <w:shd w:val="clear" w:color="auto" w:fill="FFFFFF" w:themeFill="background1"/>
            <w:vAlign w:val="center"/>
          </w:tcPr>
          <w:p w14:paraId="06EE73B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(89.5%)</w:t>
            </w:r>
          </w:p>
        </w:tc>
      </w:tr>
      <w:tr w:rsidR="00900056" w:rsidRPr="00900056" w14:paraId="609F8F7F"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55C0AEA2" w14:textId="77777777" w:rsidR="00563389" w:rsidRPr="00B934CE" w:rsidRDefault="00563389" w:rsidP="00B934CE">
            <w:pPr>
              <w:bidi/>
              <w:rPr>
                <w:rFonts w:ascii="Traditional Arabic" w:eastAsia="Calibri" w:hAnsi="Traditional Arabic" w:cs="Traditional Arabic"/>
                <w:sz w:val="24"/>
              </w:rPr>
            </w:pPr>
            <w:r w:rsidRPr="00B934CE">
              <w:rPr>
                <w:rFonts w:ascii="Traditional Arabic" w:eastAsia="Calibri" w:hAnsi="Traditional Arabic" w:cs="Traditional Arabic" w:hint="eastAsia"/>
                <w:sz w:val="24"/>
                <w:rtl/>
              </w:rPr>
              <w:t>خدمات</w:t>
            </w:r>
            <w:r w:rsidRPr="00B934CE">
              <w:rPr>
                <w:rFonts w:ascii="Traditional Arabic" w:eastAsia="Calibri" w:hAnsi="Traditional Arabic" w:cs="Traditional Arabic"/>
                <w:sz w:val="24"/>
                <w:rtl/>
              </w:rPr>
              <w:t xml:space="preserve"> تكنولوجيا المعلومات </w:t>
            </w:r>
          </w:p>
        </w:tc>
        <w:tc>
          <w:tcPr>
            <w:tcW w:w="1022" w:type="dxa"/>
            <w:tcBorders>
              <w:top w:val="single" w:sz="4" w:space="0" w:color="0B3D85"/>
              <w:bottom w:val="single" w:sz="4" w:space="0" w:color="0B3D85"/>
            </w:tcBorders>
            <w:shd w:val="clear" w:color="auto" w:fill="FFFFFF" w:themeFill="background1"/>
            <w:vAlign w:val="center"/>
          </w:tcPr>
          <w:p w14:paraId="5BF853D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405</w:t>
            </w:r>
          </w:p>
        </w:tc>
        <w:tc>
          <w:tcPr>
            <w:tcW w:w="1262" w:type="dxa"/>
            <w:tcBorders>
              <w:top w:val="single" w:sz="4" w:space="0" w:color="0B3D85"/>
              <w:bottom w:val="single" w:sz="4" w:space="0" w:color="0B3D85"/>
            </w:tcBorders>
            <w:shd w:val="clear" w:color="auto" w:fill="FFFFFF" w:themeFill="background1"/>
            <w:vAlign w:val="center"/>
          </w:tcPr>
          <w:p w14:paraId="60B55AE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415</w:t>
            </w:r>
          </w:p>
        </w:tc>
        <w:tc>
          <w:tcPr>
            <w:tcW w:w="958" w:type="dxa"/>
            <w:tcBorders>
              <w:top w:val="single" w:sz="4" w:space="0" w:color="0B3D85"/>
              <w:bottom w:val="single" w:sz="4" w:space="0" w:color="0B3D85"/>
            </w:tcBorders>
            <w:shd w:val="clear" w:color="auto" w:fill="FFFFFF" w:themeFill="background1"/>
            <w:vAlign w:val="center"/>
          </w:tcPr>
          <w:p w14:paraId="286C930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368</w:t>
            </w:r>
          </w:p>
        </w:tc>
        <w:tc>
          <w:tcPr>
            <w:tcW w:w="772" w:type="dxa"/>
            <w:tcBorders>
              <w:top w:val="single" w:sz="4" w:space="0" w:color="0B3D85"/>
              <w:bottom w:val="single" w:sz="4" w:space="0" w:color="0B3D85"/>
            </w:tcBorders>
            <w:shd w:val="clear" w:color="auto" w:fill="FFFFFF" w:themeFill="background1"/>
            <w:vAlign w:val="center"/>
          </w:tcPr>
          <w:p w14:paraId="68504D5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w:t>
            </w:r>
          </w:p>
        </w:tc>
        <w:tc>
          <w:tcPr>
            <w:tcW w:w="704" w:type="dxa"/>
            <w:tcBorders>
              <w:top w:val="single" w:sz="4" w:space="0" w:color="0B3D85"/>
              <w:bottom w:val="single" w:sz="4" w:space="0" w:color="0B3D85"/>
            </w:tcBorders>
            <w:shd w:val="clear" w:color="auto" w:fill="FFFFFF" w:themeFill="background1"/>
            <w:vAlign w:val="center"/>
          </w:tcPr>
          <w:p w14:paraId="6BB4542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(11.2%)</w:t>
            </w:r>
          </w:p>
        </w:tc>
        <w:tc>
          <w:tcPr>
            <w:tcW w:w="768" w:type="dxa"/>
            <w:tcBorders>
              <w:top w:val="single" w:sz="4" w:space="0" w:color="0B3D85"/>
              <w:bottom w:val="single" w:sz="4" w:space="0" w:color="0B3D85"/>
            </w:tcBorders>
            <w:shd w:val="clear" w:color="auto" w:fill="FFFFFF" w:themeFill="background1"/>
            <w:vAlign w:val="center"/>
          </w:tcPr>
          <w:p w14:paraId="000E446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w:t>
            </w:r>
          </w:p>
        </w:tc>
        <w:tc>
          <w:tcPr>
            <w:tcW w:w="935" w:type="dxa"/>
            <w:tcBorders>
              <w:top w:val="single" w:sz="4" w:space="0" w:color="0B3D85"/>
              <w:bottom w:val="single" w:sz="4" w:space="0" w:color="0B3D85"/>
            </w:tcBorders>
            <w:shd w:val="clear" w:color="auto" w:fill="FFFFFF" w:themeFill="background1"/>
            <w:vAlign w:val="center"/>
          </w:tcPr>
          <w:p w14:paraId="3E63C9A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165</w:t>
            </w:r>
          </w:p>
        </w:tc>
        <w:tc>
          <w:tcPr>
            <w:tcW w:w="935" w:type="dxa"/>
            <w:tcBorders>
              <w:top w:val="single" w:sz="4" w:space="0" w:color="0B3D85"/>
              <w:bottom w:val="single" w:sz="4" w:space="0" w:color="0B3D85"/>
            </w:tcBorders>
            <w:shd w:val="clear" w:color="auto" w:fill="FFFFFF" w:themeFill="background1"/>
            <w:vAlign w:val="center"/>
          </w:tcPr>
          <w:p w14:paraId="153C3DD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345</w:t>
            </w:r>
          </w:p>
        </w:tc>
        <w:tc>
          <w:tcPr>
            <w:tcW w:w="760" w:type="dxa"/>
            <w:tcBorders>
              <w:top w:val="single" w:sz="4" w:space="0" w:color="0B3D85"/>
              <w:bottom w:val="single" w:sz="4" w:space="0" w:color="0B3D85"/>
            </w:tcBorders>
            <w:shd w:val="clear" w:color="auto" w:fill="FFFFFF" w:themeFill="background1"/>
            <w:vAlign w:val="center"/>
          </w:tcPr>
          <w:p w14:paraId="431D930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108.6%</w:t>
            </w:r>
          </w:p>
        </w:tc>
      </w:tr>
      <w:tr w:rsidR="00900056" w:rsidRPr="00900056" w14:paraId="2B7BC7A8"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6450EE4D"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استهلاك</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الأصول</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المملوكة</w:t>
            </w:r>
          </w:p>
        </w:tc>
        <w:tc>
          <w:tcPr>
            <w:tcW w:w="1022" w:type="dxa"/>
            <w:tcBorders>
              <w:top w:val="single" w:sz="4" w:space="0" w:color="0B3D85"/>
              <w:bottom w:val="single" w:sz="4" w:space="0" w:color="0B3D85"/>
            </w:tcBorders>
            <w:shd w:val="clear" w:color="auto" w:fill="FFFFFF" w:themeFill="background1"/>
            <w:vAlign w:val="center"/>
          </w:tcPr>
          <w:p w14:paraId="0FD2E0C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262" w:type="dxa"/>
            <w:tcBorders>
              <w:top w:val="single" w:sz="4" w:space="0" w:color="0B3D85"/>
              <w:bottom w:val="single" w:sz="4" w:space="0" w:color="0B3D85"/>
            </w:tcBorders>
            <w:shd w:val="clear" w:color="auto" w:fill="FFFFFF" w:themeFill="background1"/>
            <w:vAlign w:val="center"/>
          </w:tcPr>
          <w:p w14:paraId="2806263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281</w:t>
            </w:r>
          </w:p>
        </w:tc>
        <w:tc>
          <w:tcPr>
            <w:tcW w:w="958" w:type="dxa"/>
            <w:tcBorders>
              <w:top w:val="single" w:sz="4" w:space="0" w:color="0B3D85"/>
              <w:bottom w:val="single" w:sz="4" w:space="0" w:color="0B3D85"/>
            </w:tcBorders>
            <w:shd w:val="clear" w:color="auto" w:fill="FFFFFF" w:themeFill="background1"/>
            <w:vAlign w:val="center"/>
          </w:tcPr>
          <w:p w14:paraId="0EF4990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265</w:t>
            </w:r>
          </w:p>
        </w:tc>
        <w:tc>
          <w:tcPr>
            <w:tcW w:w="772" w:type="dxa"/>
            <w:tcBorders>
              <w:top w:val="single" w:sz="4" w:space="0" w:color="0B3D85"/>
              <w:bottom w:val="single" w:sz="4" w:space="0" w:color="0B3D85"/>
            </w:tcBorders>
            <w:shd w:val="clear" w:color="auto" w:fill="FFFFFF" w:themeFill="background1"/>
            <w:vAlign w:val="center"/>
          </w:tcPr>
          <w:p w14:paraId="589F1F8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c>
          <w:tcPr>
            <w:tcW w:w="704" w:type="dxa"/>
            <w:tcBorders>
              <w:top w:val="single" w:sz="4" w:space="0" w:color="0B3D85"/>
              <w:bottom w:val="single" w:sz="4" w:space="0" w:color="0B3D85"/>
            </w:tcBorders>
            <w:shd w:val="clear" w:color="auto" w:fill="FFFFFF" w:themeFill="background1"/>
            <w:vAlign w:val="center"/>
          </w:tcPr>
          <w:p w14:paraId="6B890ED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(5.7%)</w:t>
            </w:r>
          </w:p>
        </w:tc>
        <w:tc>
          <w:tcPr>
            <w:tcW w:w="768" w:type="dxa"/>
            <w:tcBorders>
              <w:top w:val="single" w:sz="4" w:space="0" w:color="0B3D85"/>
              <w:bottom w:val="single" w:sz="4" w:space="0" w:color="0B3D85"/>
            </w:tcBorders>
            <w:shd w:val="clear" w:color="auto" w:fill="FFFFFF" w:themeFill="background1"/>
            <w:vAlign w:val="center"/>
          </w:tcPr>
          <w:p w14:paraId="040AA8D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c>
          <w:tcPr>
            <w:tcW w:w="935" w:type="dxa"/>
            <w:tcBorders>
              <w:top w:val="single" w:sz="4" w:space="0" w:color="0B3D85"/>
              <w:bottom w:val="single" w:sz="4" w:space="0" w:color="0B3D85"/>
            </w:tcBorders>
            <w:shd w:val="clear" w:color="auto" w:fill="FFFFFF" w:themeFill="background1"/>
            <w:vAlign w:val="center"/>
          </w:tcPr>
          <w:p w14:paraId="27FD1C0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199</w:t>
            </w:r>
          </w:p>
        </w:tc>
        <w:tc>
          <w:tcPr>
            <w:tcW w:w="935" w:type="dxa"/>
            <w:tcBorders>
              <w:top w:val="single" w:sz="4" w:space="0" w:color="0B3D85"/>
              <w:bottom w:val="single" w:sz="4" w:space="0" w:color="0B3D85"/>
            </w:tcBorders>
            <w:shd w:val="clear" w:color="auto" w:fill="FFFFFF" w:themeFill="background1"/>
            <w:vAlign w:val="center"/>
          </w:tcPr>
          <w:p w14:paraId="3427ED3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195</w:t>
            </w:r>
          </w:p>
        </w:tc>
        <w:tc>
          <w:tcPr>
            <w:tcW w:w="760" w:type="dxa"/>
            <w:tcBorders>
              <w:top w:val="single" w:sz="4" w:space="0" w:color="0B3D85"/>
              <w:bottom w:val="single" w:sz="4" w:space="0" w:color="0B3D85"/>
            </w:tcBorders>
            <w:shd w:val="clear" w:color="auto" w:fill="FFFFFF" w:themeFill="background1"/>
            <w:vAlign w:val="center"/>
          </w:tcPr>
          <w:p w14:paraId="7AC3255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w:t>
            </w:r>
          </w:p>
        </w:tc>
      </w:tr>
      <w:tr w:rsidR="00900056" w:rsidRPr="00900056" w14:paraId="0AD50597"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46A73E17"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استهلاك</w:t>
            </w:r>
            <w:r w:rsidRPr="00B934CE">
              <w:rPr>
                <w:rFonts w:ascii="Traditional Arabic" w:eastAsia="Calibri" w:hAnsi="Traditional Arabic" w:cs="Traditional Arabic"/>
                <w:sz w:val="24"/>
                <w:rtl/>
              </w:rPr>
              <w:t xml:space="preserve"> أصول حق الاستخدام </w:t>
            </w:r>
          </w:p>
        </w:tc>
        <w:tc>
          <w:tcPr>
            <w:tcW w:w="1022" w:type="dxa"/>
            <w:tcBorders>
              <w:top w:val="single" w:sz="4" w:space="0" w:color="0B3D85"/>
              <w:bottom w:val="single" w:sz="4" w:space="0" w:color="0B3D85"/>
            </w:tcBorders>
            <w:shd w:val="clear" w:color="auto" w:fill="FFFFFF" w:themeFill="background1"/>
            <w:vAlign w:val="center"/>
          </w:tcPr>
          <w:p w14:paraId="1905CBD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w:t>
            </w:r>
          </w:p>
        </w:tc>
        <w:tc>
          <w:tcPr>
            <w:tcW w:w="1262" w:type="dxa"/>
            <w:tcBorders>
              <w:top w:val="single" w:sz="4" w:space="0" w:color="0B3D85"/>
              <w:bottom w:val="single" w:sz="4" w:space="0" w:color="0B3D85"/>
            </w:tcBorders>
            <w:shd w:val="clear" w:color="auto" w:fill="FFFFFF" w:themeFill="background1"/>
            <w:vAlign w:val="center"/>
          </w:tcPr>
          <w:p w14:paraId="0E6944D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w:t>
            </w:r>
          </w:p>
        </w:tc>
        <w:tc>
          <w:tcPr>
            <w:tcW w:w="958" w:type="dxa"/>
            <w:tcBorders>
              <w:top w:val="single" w:sz="4" w:space="0" w:color="0B3D85"/>
              <w:bottom w:val="single" w:sz="4" w:space="0" w:color="0B3D85"/>
            </w:tcBorders>
            <w:shd w:val="clear" w:color="auto" w:fill="FFFFFF" w:themeFill="background1"/>
            <w:vAlign w:val="center"/>
          </w:tcPr>
          <w:p w14:paraId="7782576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65</w:t>
            </w:r>
          </w:p>
        </w:tc>
        <w:tc>
          <w:tcPr>
            <w:tcW w:w="772" w:type="dxa"/>
            <w:tcBorders>
              <w:top w:val="single" w:sz="4" w:space="0" w:color="0B3D85"/>
              <w:bottom w:val="single" w:sz="4" w:space="0" w:color="0B3D85"/>
            </w:tcBorders>
            <w:shd w:val="clear" w:color="auto" w:fill="FFFFFF" w:themeFill="background1"/>
            <w:vAlign w:val="center"/>
          </w:tcPr>
          <w:p w14:paraId="5E60C55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339.9%</w:t>
            </w:r>
          </w:p>
        </w:tc>
        <w:tc>
          <w:tcPr>
            <w:tcW w:w="704" w:type="dxa"/>
            <w:tcBorders>
              <w:top w:val="single" w:sz="4" w:space="0" w:color="0B3D85"/>
              <w:bottom w:val="single" w:sz="4" w:space="0" w:color="0B3D85"/>
            </w:tcBorders>
            <w:shd w:val="clear" w:color="auto" w:fill="FFFFFF" w:themeFill="background1"/>
            <w:vAlign w:val="center"/>
          </w:tcPr>
          <w:p w14:paraId="417F853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466.5%</w:t>
            </w:r>
          </w:p>
        </w:tc>
        <w:tc>
          <w:tcPr>
            <w:tcW w:w="768" w:type="dxa"/>
            <w:tcBorders>
              <w:top w:val="single" w:sz="4" w:space="0" w:color="0B3D85"/>
              <w:bottom w:val="single" w:sz="4" w:space="0" w:color="0B3D85"/>
            </w:tcBorders>
            <w:shd w:val="clear" w:color="auto" w:fill="FFFFFF" w:themeFill="background1"/>
            <w:vAlign w:val="center"/>
          </w:tcPr>
          <w:p w14:paraId="5426EE1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399.2%</w:t>
            </w:r>
          </w:p>
        </w:tc>
        <w:tc>
          <w:tcPr>
            <w:tcW w:w="935" w:type="dxa"/>
            <w:tcBorders>
              <w:top w:val="single" w:sz="4" w:space="0" w:color="0B3D85"/>
              <w:bottom w:val="single" w:sz="4" w:space="0" w:color="0B3D85"/>
            </w:tcBorders>
            <w:shd w:val="clear" w:color="auto" w:fill="FFFFFF" w:themeFill="background1"/>
            <w:vAlign w:val="center"/>
          </w:tcPr>
          <w:p w14:paraId="7489CBE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50</w:t>
            </w:r>
          </w:p>
        </w:tc>
        <w:tc>
          <w:tcPr>
            <w:tcW w:w="935" w:type="dxa"/>
            <w:tcBorders>
              <w:top w:val="single" w:sz="4" w:space="0" w:color="0B3D85"/>
              <w:bottom w:val="single" w:sz="4" w:space="0" w:color="0B3D85"/>
            </w:tcBorders>
            <w:shd w:val="clear" w:color="auto" w:fill="FFFFFF" w:themeFill="background1"/>
            <w:vAlign w:val="center"/>
          </w:tcPr>
          <w:p w14:paraId="655FBF3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49</w:t>
            </w:r>
          </w:p>
        </w:tc>
        <w:tc>
          <w:tcPr>
            <w:tcW w:w="760" w:type="dxa"/>
            <w:tcBorders>
              <w:top w:val="single" w:sz="4" w:space="0" w:color="0B3D85"/>
              <w:bottom w:val="single" w:sz="4" w:space="0" w:color="0B3D85"/>
            </w:tcBorders>
            <w:shd w:val="clear" w:color="auto" w:fill="FFFFFF" w:themeFill="background1"/>
            <w:vAlign w:val="center"/>
          </w:tcPr>
          <w:p w14:paraId="2538B06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r>
      <w:tr w:rsidR="00900056" w:rsidRPr="00900056" w14:paraId="30C69349"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294429FA"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إط</w:t>
            </w:r>
            <w:r w:rsidRPr="00B934CE">
              <w:rPr>
                <w:rFonts w:ascii="Traditional Arabic" w:eastAsia="Calibri" w:hAnsi="Traditional Arabic" w:cs="Traditional Arabic"/>
                <w:sz w:val="24"/>
                <w:rtl/>
              </w:rPr>
              <w:t>فاء – الأصول غير الملموسة</w:t>
            </w:r>
          </w:p>
        </w:tc>
        <w:tc>
          <w:tcPr>
            <w:tcW w:w="1022" w:type="dxa"/>
            <w:tcBorders>
              <w:top w:val="single" w:sz="4" w:space="0" w:color="0B3D85"/>
              <w:bottom w:val="single" w:sz="4" w:space="0" w:color="0B3D85"/>
            </w:tcBorders>
            <w:shd w:val="clear" w:color="auto" w:fill="FFFFFF" w:themeFill="background1"/>
            <w:vAlign w:val="center"/>
          </w:tcPr>
          <w:p w14:paraId="370B378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262" w:type="dxa"/>
            <w:tcBorders>
              <w:top w:val="single" w:sz="4" w:space="0" w:color="0B3D85"/>
              <w:bottom w:val="single" w:sz="4" w:space="0" w:color="0B3D85"/>
            </w:tcBorders>
            <w:shd w:val="clear" w:color="auto" w:fill="FFFFFF" w:themeFill="background1"/>
            <w:vAlign w:val="center"/>
          </w:tcPr>
          <w:p w14:paraId="445E42D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58" w:type="dxa"/>
            <w:tcBorders>
              <w:top w:val="single" w:sz="4" w:space="0" w:color="0B3D85"/>
              <w:bottom w:val="single" w:sz="4" w:space="0" w:color="0B3D85"/>
            </w:tcBorders>
            <w:shd w:val="clear" w:color="auto" w:fill="FFFFFF" w:themeFill="background1"/>
            <w:vAlign w:val="center"/>
          </w:tcPr>
          <w:p w14:paraId="6F36CAD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772" w:type="dxa"/>
            <w:tcBorders>
              <w:top w:val="single" w:sz="4" w:space="0" w:color="0B3D85"/>
              <w:bottom w:val="single" w:sz="4" w:space="0" w:color="0B3D85"/>
            </w:tcBorders>
            <w:shd w:val="clear" w:color="auto" w:fill="FFFFFF" w:themeFill="background1"/>
            <w:vAlign w:val="center"/>
          </w:tcPr>
          <w:p w14:paraId="241024F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c>
          <w:tcPr>
            <w:tcW w:w="704" w:type="dxa"/>
            <w:tcBorders>
              <w:top w:val="single" w:sz="4" w:space="0" w:color="0B3D85"/>
              <w:bottom w:val="single" w:sz="4" w:space="0" w:color="0B3D85"/>
            </w:tcBorders>
            <w:shd w:val="clear" w:color="auto" w:fill="FFFFFF" w:themeFill="background1"/>
            <w:vAlign w:val="center"/>
          </w:tcPr>
          <w:p w14:paraId="1A6724F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c>
          <w:tcPr>
            <w:tcW w:w="768" w:type="dxa"/>
            <w:tcBorders>
              <w:top w:val="single" w:sz="4" w:space="0" w:color="0B3D85"/>
              <w:bottom w:val="single" w:sz="4" w:space="0" w:color="0B3D85"/>
            </w:tcBorders>
            <w:shd w:val="clear" w:color="auto" w:fill="FFFFFF" w:themeFill="background1"/>
            <w:vAlign w:val="center"/>
          </w:tcPr>
          <w:p w14:paraId="020226F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c>
          <w:tcPr>
            <w:tcW w:w="935" w:type="dxa"/>
            <w:tcBorders>
              <w:top w:val="single" w:sz="4" w:space="0" w:color="0B3D85"/>
              <w:bottom w:val="single" w:sz="4" w:space="0" w:color="0B3D85"/>
            </w:tcBorders>
            <w:shd w:val="clear" w:color="auto" w:fill="FFFFFF" w:themeFill="background1"/>
            <w:vAlign w:val="center"/>
          </w:tcPr>
          <w:p w14:paraId="279EC38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35" w:type="dxa"/>
            <w:tcBorders>
              <w:top w:val="single" w:sz="4" w:space="0" w:color="0B3D85"/>
              <w:bottom w:val="single" w:sz="4" w:space="0" w:color="0B3D85"/>
            </w:tcBorders>
            <w:shd w:val="clear" w:color="auto" w:fill="FFFFFF" w:themeFill="background1"/>
            <w:vAlign w:val="center"/>
          </w:tcPr>
          <w:p w14:paraId="10BEEE8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w:t>
            </w:r>
          </w:p>
        </w:tc>
        <w:tc>
          <w:tcPr>
            <w:tcW w:w="760" w:type="dxa"/>
            <w:tcBorders>
              <w:top w:val="single" w:sz="4" w:space="0" w:color="0B3D85"/>
              <w:bottom w:val="single" w:sz="4" w:space="0" w:color="0B3D85"/>
            </w:tcBorders>
            <w:shd w:val="clear" w:color="auto" w:fill="FFFFFF" w:themeFill="background1"/>
            <w:vAlign w:val="center"/>
          </w:tcPr>
          <w:p w14:paraId="07D27B0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r>
      <w:tr w:rsidR="00900056" w:rsidRPr="00900056" w14:paraId="21D6ABA2"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4D0D25E5"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إدارية أخرى </w:t>
            </w:r>
          </w:p>
        </w:tc>
        <w:tc>
          <w:tcPr>
            <w:tcW w:w="1022" w:type="dxa"/>
            <w:tcBorders>
              <w:top w:val="single" w:sz="4" w:space="0" w:color="0B3D85"/>
              <w:bottom w:val="single" w:sz="4" w:space="0" w:color="0B3D85"/>
            </w:tcBorders>
            <w:shd w:val="clear" w:color="auto" w:fill="FFFFFF" w:themeFill="background1"/>
            <w:vAlign w:val="center"/>
          </w:tcPr>
          <w:p w14:paraId="0C739BE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152</w:t>
            </w:r>
          </w:p>
        </w:tc>
        <w:tc>
          <w:tcPr>
            <w:tcW w:w="1262" w:type="dxa"/>
            <w:tcBorders>
              <w:top w:val="single" w:sz="4" w:space="0" w:color="0B3D85"/>
              <w:bottom w:val="single" w:sz="4" w:space="0" w:color="0B3D85"/>
            </w:tcBorders>
            <w:shd w:val="clear" w:color="auto" w:fill="FFFFFF" w:themeFill="background1"/>
            <w:vAlign w:val="center"/>
          </w:tcPr>
          <w:p w14:paraId="4A2FF0D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96</w:t>
            </w:r>
          </w:p>
        </w:tc>
        <w:tc>
          <w:tcPr>
            <w:tcW w:w="958" w:type="dxa"/>
            <w:tcBorders>
              <w:top w:val="single" w:sz="4" w:space="0" w:color="0B3D85"/>
              <w:bottom w:val="single" w:sz="4" w:space="0" w:color="0B3D85"/>
            </w:tcBorders>
            <w:shd w:val="clear" w:color="auto" w:fill="FFFFFF" w:themeFill="background1"/>
            <w:vAlign w:val="center"/>
          </w:tcPr>
          <w:p w14:paraId="2C37236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810</w:t>
            </w:r>
          </w:p>
        </w:tc>
        <w:tc>
          <w:tcPr>
            <w:tcW w:w="772" w:type="dxa"/>
            <w:tcBorders>
              <w:top w:val="single" w:sz="4" w:space="0" w:color="0B3D85"/>
              <w:bottom w:val="single" w:sz="4" w:space="0" w:color="0B3D85"/>
            </w:tcBorders>
            <w:shd w:val="clear" w:color="auto" w:fill="FFFFFF" w:themeFill="background1"/>
            <w:vAlign w:val="center"/>
          </w:tcPr>
          <w:p w14:paraId="5A54E75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(36.5%)</w:t>
            </w:r>
          </w:p>
        </w:tc>
        <w:tc>
          <w:tcPr>
            <w:tcW w:w="704" w:type="dxa"/>
            <w:tcBorders>
              <w:top w:val="single" w:sz="4" w:space="0" w:color="0B3D85"/>
              <w:bottom w:val="single" w:sz="4" w:space="0" w:color="0B3D85"/>
            </w:tcBorders>
            <w:shd w:val="clear" w:color="auto" w:fill="FFFFFF" w:themeFill="background1"/>
            <w:vAlign w:val="center"/>
          </w:tcPr>
          <w:p w14:paraId="063C3A7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739.9%</w:t>
            </w:r>
          </w:p>
        </w:tc>
        <w:tc>
          <w:tcPr>
            <w:tcW w:w="768" w:type="dxa"/>
            <w:tcBorders>
              <w:top w:val="single" w:sz="4" w:space="0" w:color="0B3D85"/>
              <w:bottom w:val="single" w:sz="4" w:space="0" w:color="0B3D85"/>
            </w:tcBorders>
            <w:shd w:val="clear" w:color="auto" w:fill="FFFFFF" w:themeFill="background1"/>
            <w:vAlign w:val="center"/>
          </w:tcPr>
          <w:p w14:paraId="4F9CC29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131.0%</w:t>
            </w:r>
          </w:p>
        </w:tc>
        <w:tc>
          <w:tcPr>
            <w:tcW w:w="935" w:type="dxa"/>
            <w:tcBorders>
              <w:top w:val="single" w:sz="4" w:space="0" w:color="0B3D85"/>
              <w:bottom w:val="single" w:sz="4" w:space="0" w:color="0B3D85"/>
            </w:tcBorders>
            <w:shd w:val="clear" w:color="auto" w:fill="FFFFFF" w:themeFill="background1"/>
            <w:vAlign w:val="center"/>
          </w:tcPr>
          <w:p w14:paraId="4BE244B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189</w:t>
            </w:r>
          </w:p>
        </w:tc>
        <w:tc>
          <w:tcPr>
            <w:tcW w:w="935" w:type="dxa"/>
            <w:tcBorders>
              <w:top w:val="single" w:sz="4" w:space="0" w:color="0B3D85"/>
              <w:bottom w:val="single" w:sz="4" w:space="0" w:color="0B3D85"/>
            </w:tcBorders>
            <w:shd w:val="clear" w:color="auto" w:fill="FFFFFF" w:themeFill="background1"/>
            <w:vAlign w:val="center"/>
          </w:tcPr>
          <w:p w14:paraId="4273183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3,257</w:t>
            </w:r>
          </w:p>
        </w:tc>
        <w:tc>
          <w:tcPr>
            <w:tcW w:w="760" w:type="dxa"/>
            <w:tcBorders>
              <w:top w:val="single" w:sz="4" w:space="0" w:color="0B3D85"/>
              <w:bottom w:val="single" w:sz="4" w:space="0" w:color="0B3D85"/>
            </w:tcBorders>
            <w:shd w:val="clear" w:color="auto" w:fill="FFFFFF" w:themeFill="background1"/>
            <w:vAlign w:val="center"/>
          </w:tcPr>
          <w:p w14:paraId="5474D9D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1626.1%</w:t>
            </w:r>
          </w:p>
        </w:tc>
      </w:tr>
      <w:tr w:rsidR="00900056" w:rsidRPr="00900056" w14:paraId="214D1C29"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4383301B"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ضريبة مستقطعة </w:t>
            </w:r>
          </w:p>
        </w:tc>
        <w:tc>
          <w:tcPr>
            <w:tcW w:w="1022" w:type="dxa"/>
            <w:tcBorders>
              <w:top w:val="single" w:sz="4" w:space="0" w:color="0B3D85"/>
              <w:bottom w:val="single" w:sz="4" w:space="0" w:color="0B3D85"/>
            </w:tcBorders>
            <w:shd w:val="clear" w:color="auto" w:fill="FFFFFF" w:themeFill="background1"/>
            <w:vAlign w:val="center"/>
          </w:tcPr>
          <w:p w14:paraId="1AD955E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81</w:t>
            </w:r>
          </w:p>
        </w:tc>
        <w:tc>
          <w:tcPr>
            <w:tcW w:w="1262" w:type="dxa"/>
            <w:tcBorders>
              <w:top w:val="single" w:sz="4" w:space="0" w:color="0B3D85"/>
              <w:bottom w:val="single" w:sz="4" w:space="0" w:color="0B3D85"/>
            </w:tcBorders>
            <w:shd w:val="clear" w:color="auto" w:fill="FFFFFF" w:themeFill="background1"/>
            <w:vAlign w:val="center"/>
          </w:tcPr>
          <w:p w14:paraId="1EC0329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58" w:type="dxa"/>
            <w:tcBorders>
              <w:top w:val="single" w:sz="4" w:space="0" w:color="0B3D85"/>
              <w:bottom w:val="single" w:sz="4" w:space="0" w:color="0B3D85"/>
            </w:tcBorders>
            <w:shd w:val="clear" w:color="auto" w:fill="FFFFFF" w:themeFill="background1"/>
            <w:vAlign w:val="center"/>
          </w:tcPr>
          <w:p w14:paraId="4E6197E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62</w:t>
            </w:r>
          </w:p>
        </w:tc>
        <w:tc>
          <w:tcPr>
            <w:tcW w:w="772" w:type="dxa"/>
            <w:tcBorders>
              <w:top w:val="single" w:sz="4" w:space="0" w:color="0B3D85"/>
              <w:bottom w:val="single" w:sz="4" w:space="0" w:color="0B3D85"/>
            </w:tcBorders>
            <w:shd w:val="clear" w:color="auto" w:fill="FFFFFF" w:themeFill="background1"/>
            <w:vAlign w:val="center"/>
          </w:tcPr>
          <w:p w14:paraId="110C887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(100.0%)</w:t>
            </w:r>
          </w:p>
        </w:tc>
        <w:tc>
          <w:tcPr>
            <w:tcW w:w="704" w:type="dxa"/>
            <w:tcBorders>
              <w:top w:val="single" w:sz="4" w:space="0" w:color="0B3D85"/>
              <w:bottom w:val="single" w:sz="4" w:space="0" w:color="0B3D85"/>
            </w:tcBorders>
            <w:shd w:val="clear" w:color="auto" w:fill="FFFFFF" w:themeFill="background1"/>
            <w:vAlign w:val="center"/>
          </w:tcPr>
          <w:p w14:paraId="28DB8B5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c>
          <w:tcPr>
            <w:tcW w:w="768" w:type="dxa"/>
            <w:tcBorders>
              <w:top w:val="single" w:sz="4" w:space="0" w:color="0B3D85"/>
              <w:bottom w:val="single" w:sz="4" w:space="0" w:color="0B3D85"/>
            </w:tcBorders>
            <w:shd w:val="clear" w:color="auto" w:fill="FFFFFF" w:themeFill="background1"/>
            <w:vAlign w:val="center"/>
          </w:tcPr>
          <w:p w14:paraId="097CF06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(12.7%)</w:t>
            </w:r>
          </w:p>
        </w:tc>
        <w:tc>
          <w:tcPr>
            <w:tcW w:w="935" w:type="dxa"/>
            <w:tcBorders>
              <w:top w:val="single" w:sz="4" w:space="0" w:color="0B3D85"/>
              <w:bottom w:val="single" w:sz="4" w:space="0" w:color="0B3D85"/>
            </w:tcBorders>
            <w:shd w:val="clear" w:color="auto" w:fill="FFFFFF" w:themeFill="background1"/>
            <w:vAlign w:val="center"/>
          </w:tcPr>
          <w:p w14:paraId="191F85E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31</w:t>
            </w:r>
          </w:p>
        </w:tc>
        <w:tc>
          <w:tcPr>
            <w:tcW w:w="935" w:type="dxa"/>
            <w:tcBorders>
              <w:top w:val="single" w:sz="4" w:space="0" w:color="0B3D85"/>
              <w:bottom w:val="single" w:sz="4" w:space="0" w:color="0B3D85"/>
            </w:tcBorders>
            <w:shd w:val="clear" w:color="auto" w:fill="FFFFFF" w:themeFill="background1"/>
            <w:vAlign w:val="center"/>
          </w:tcPr>
          <w:p w14:paraId="696174C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58</w:t>
            </w:r>
          </w:p>
        </w:tc>
        <w:tc>
          <w:tcPr>
            <w:tcW w:w="760" w:type="dxa"/>
            <w:tcBorders>
              <w:top w:val="single" w:sz="4" w:space="0" w:color="0B3D85"/>
              <w:bottom w:val="single" w:sz="4" w:space="0" w:color="0B3D85"/>
            </w:tcBorders>
            <w:shd w:val="clear" w:color="auto" w:fill="FFFFFF" w:themeFill="background1"/>
            <w:vAlign w:val="center"/>
          </w:tcPr>
          <w:p w14:paraId="5ACA633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86.4%</w:t>
            </w:r>
          </w:p>
        </w:tc>
      </w:tr>
      <w:tr w:rsidR="00900056" w:rsidRPr="00900056" w14:paraId="42DD782D" w14:textId="77777777" w:rsidTr="00922116">
        <w:trPr>
          <w:trHeight w:val="20"/>
        </w:trPr>
        <w:tc>
          <w:tcPr>
            <w:tcW w:w="1261" w:type="dxa"/>
            <w:tcBorders>
              <w:top w:val="single" w:sz="4" w:space="0" w:color="0B3D85"/>
              <w:bottom w:val="single" w:sz="4" w:space="0" w:color="0B3D85"/>
            </w:tcBorders>
            <w:shd w:val="clear" w:color="auto" w:fill="FFFFFF" w:themeFill="background1"/>
          </w:tcPr>
          <w:p w14:paraId="263E08F1"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b/>
                <w:bCs/>
                <w:sz w:val="24"/>
                <w:rtl/>
              </w:rPr>
              <w:t>الإجمالي</w:t>
            </w:r>
            <w:r w:rsidRPr="00B934CE">
              <w:rPr>
                <w:rFonts w:ascii="Traditional Arabic" w:eastAsia="Calibri" w:hAnsi="Traditional Arabic" w:cs="Traditional Arabic"/>
                <w:b/>
                <w:bCs/>
                <w:sz w:val="24"/>
                <w:rtl/>
              </w:rPr>
              <w:t xml:space="preserve"> </w:t>
            </w:r>
          </w:p>
        </w:tc>
        <w:tc>
          <w:tcPr>
            <w:tcW w:w="1022" w:type="dxa"/>
            <w:tcBorders>
              <w:top w:val="single" w:sz="4" w:space="0" w:color="0B3D85"/>
              <w:bottom w:val="single" w:sz="4" w:space="0" w:color="0B3D85"/>
            </w:tcBorders>
            <w:shd w:val="clear" w:color="auto" w:fill="FFFFFF" w:themeFill="background1"/>
            <w:vAlign w:val="center"/>
          </w:tcPr>
          <w:p w14:paraId="34E9DA4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8,485</w:t>
            </w:r>
          </w:p>
        </w:tc>
        <w:tc>
          <w:tcPr>
            <w:tcW w:w="1262" w:type="dxa"/>
            <w:tcBorders>
              <w:top w:val="single" w:sz="4" w:space="0" w:color="0B3D85"/>
              <w:bottom w:val="single" w:sz="4" w:space="0" w:color="0B3D85"/>
            </w:tcBorders>
            <w:shd w:val="clear" w:color="auto" w:fill="FFFFFF" w:themeFill="background1"/>
            <w:vAlign w:val="center"/>
          </w:tcPr>
          <w:p w14:paraId="0A6859C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10,856</w:t>
            </w:r>
          </w:p>
        </w:tc>
        <w:tc>
          <w:tcPr>
            <w:tcW w:w="958" w:type="dxa"/>
            <w:tcBorders>
              <w:top w:val="single" w:sz="4" w:space="0" w:color="0B3D85"/>
              <w:bottom w:val="single" w:sz="4" w:space="0" w:color="0B3D85"/>
            </w:tcBorders>
            <w:shd w:val="clear" w:color="auto" w:fill="FFFFFF" w:themeFill="background1"/>
            <w:vAlign w:val="center"/>
          </w:tcPr>
          <w:p w14:paraId="6049A5D3"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12,597</w:t>
            </w:r>
          </w:p>
        </w:tc>
        <w:tc>
          <w:tcPr>
            <w:tcW w:w="772" w:type="dxa"/>
            <w:tcBorders>
              <w:top w:val="single" w:sz="4" w:space="0" w:color="0B3D85"/>
              <w:bottom w:val="single" w:sz="4" w:space="0" w:color="0B3D85"/>
            </w:tcBorders>
            <w:shd w:val="clear" w:color="auto" w:fill="FFFFFF" w:themeFill="background1"/>
            <w:vAlign w:val="center"/>
          </w:tcPr>
          <w:p w14:paraId="046B6AC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27.9%</w:t>
            </w:r>
          </w:p>
        </w:tc>
        <w:tc>
          <w:tcPr>
            <w:tcW w:w="704" w:type="dxa"/>
            <w:tcBorders>
              <w:top w:val="single" w:sz="4" w:space="0" w:color="0B3D85"/>
              <w:bottom w:val="single" w:sz="4" w:space="0" w:color="0B3D85"/>
            </w:tcBorders>
            <w:shd w:val="clear" w:color="auto" w:fill="FFFFFF" w:themeFill="background1"/>
            <w:vAlign w:val="center"/>
          </w:tcPr>
          <w:p w14:paraId="27EBB640"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16.0%</w:t>
            </w:r>
          </w:p>
        </w:tc>
        <w:tc>
          <w:tcPr>
            <w:tcW w:w="768" w:type="dxa"/>
            <w:tcBorders>
              <w:top w:val="single" w:sz="4" w:space="0" w:color="0B3D85"/>
              <w:bottom w:val="single" w:sz="4" w:space="0" w:color="0B3D85"/>
            </w:tcBorders>
            <w:shd w:val="clear" w:color="auto" w:fill="FFFFFF" w:themeFill="background1"/>
            <w:vAlign w:val="center"/>
          </w:tcPr>
          <w:p w14:paraId="18BB6EF3"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21.8%</w:t>
            </w:r>
          </w:p>
        </w:tc>
        <w:tc>
          <w:tcPr>
            <w:tcW w:w="935" w:type="dxa"/>
            <w:tcBorders>
              <w:top w:val="single" w:sz="4" w:space="0" w:color="0B3D85"/>
              <w:bottom w:val="single" w:sz="4" w:space="0" w:color="0B3D85"/>
            </w:tcBorders>
            <w:shd w:val="clear" w:color="auto" w:fill="FFFFFF" w:themeFill="background1"/>
            <w:vAlign w:val="center"/>
          </w:tcPr>
          <w:p w14:paraId="699C0E8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7,808</w:t>
            </w:r>
          </w:p>
        </w:tc>
        <w:tc>
          <w:tcPr>
            <w:tcW w:w="935" w:type="dxa"/>
            <w:tcBorders>
              <w:top w:val="single" w:sz="4" w:space="0" w:color="0B3D85"/>
              <w:bottom w:val="single" w:sz="4" w:space="0" w:color="0B3D85"/>
            </w:tcBorders>
            <w:shd w:val="clear" w:color="auto" w:fill="FFFFFF" w:themeFill="background1"/>
            <w:vAlign w:val="center"/>
          </w:tcPr>
          <w:p w14:paraId="22E56DD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11,034</w:t>
            </w:r>
          </w:p>
        </w:tc>
        <w:tc>
          <w:tcPr>
            <w:tcW w:w="760" w:type="dxa"/>
            <w:tcBorders>
              <w:top w:val="single" w:sz="4" w:space="0" w:color="0B3D85"/>
              <w:bottom w:val="single" w:sz="4" w:space="0" w:color="0B3D85"/>
            </w:tcBorders>
            <w:shd w:val="clear" w:color="auto" w:fill="FFFFFF" w:themeFill="background1"/>
            <w:vAlign w:val="center"/>
          </w:tcPr>
          <w:p w14:paraId="56B39810"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41.3%</w:t>
            </w:r>
          </w:p>
        </w:tc>
      </w:tr>
      <w:tr w:rsidR="00900056" w:rsidRPr="00900056" w14:paraId="3FFFA8B6" w14:textId="77777777" w:rsidTr="00922116">
        <w:trPr>
          <w:trHeight w:val="179"/>
        </w:trPr>
        <w:tc>
          <w:tcPr>
            <w:tcW w:w="1261" w:type="dxa"/>
            <w:tcBorders>
              <w:top w:val="single" w:sz="4" w:space="0" w:color="0B3D85"/>
              <w:bottom w:val="single" w:sz="4" w:space="0" w:color="0B3D85"/>
            </w:tcBorders>
            <w:shd w:val="clear" w:color="auto" w:fill="F2F2F2" w:themeFill="background1" w:themeFillShade="F2"/>
            <w:vAlign w:val="center"/>
          </w:tcPr>
          <w:p w14:paraId="4558326F" w14:textId="77777777" w:rsidR="00563389" w:rsidRPr="00B934CE" w:rsidRDefault="00563389" w:rsidP="00B934CE">
            <w:pPr>
              <w:bidi/>
              <w:rPr>
                <w:rFonts w:ascii="Traditional Arabic" w:eastAsia="Calibri" w:hAnsi="Traditional Arabic" w:cs="Traditional Arabic"/>
                <w:b/>
                <w:bCs/>
                <w:sz w:val="24"/>
                <w:rtl/>
              </w:rPr>
            </w:pPr>
          </w:p>
        </w:tc>
        <w:tc>
          <w:tcPr>
            <w:tcW w:w="3242" w:type="dxa"/>
            <w:gridSpan w:val="3"/>
            <w:tcBorders>
              <w:top w:val="single" w:sz="4" w:space="0" w:color="0B3D85"/>
              <w:bottom w:val="single" w:sz="4" w:space="0" w:color="0B3D85"/>
            </w:tcBorders>
            <w:shd w:val="clear" w:color="auto" w:fill="F2F2F2" w:themeFill="background1" w:themeFillShade="F2"/>
            <w:vAlign w:val="center"/>
          </w:tcPr>
          <w:p w14:paraId="6393AF3A" w14:textId="77777777" w:rsidR="00563389" w:rsidRPr="00B934CE" w:rsidRDefault="00563389" w:rsidP="00B934CE">
            <w:pPr>
              <w:bidi/>
              <w:jc w:val="center"/>
              <w:rPr>
                <w:rFonts w:ascii="Traditional Arabic" w:hAnsi="Traditional Arabic" w:cs="Traditional Arabic"/>
                <w:sz w:val="24"/>
              </w:rPr>
            </w:pPr>
            <w:r w:rsidRPr="00B934CE">
              <w:rPr>
                <w:rFonts w:ascii="Traditional Arabic" w:hAnsi="Traditional Arabic" w:cs="Traditional Arabic"/>
                <w:sz w:val="24"/>
                <w:rtl/>
              </w:rPr>
              <w:t>كنسبة مئوية من إجمالي الإيرادات</w:t>
            </w:r>
          </w:p>
        </w:tc>
        <w:tc>
          <w:tcPr>
            <w:tcW w:w="2244" w:type="dxa"/>
            <w:gridSpan w:val="3"/>
            <w:tcBorders>
              <w:top w:val="single" w:sz="4" w:space="0" w:color="0B3D85"/>
              <w:bottom w:val="single" w:sz="4" w:space="0" w:color="0B3D85"/>
            </w:tcBorders>
            <w:shd w:val="clear" w:color="auto" w:fill="F2F2F2" w:themeFill="background1" w:themeFillShade="F2"/>
            <w:vAlign w:val="center"/>
          </w:tcPr>
          <w:p w14:paraId="33B63B48" w14:textId="77777777" w:rsidR="00563389" w:rsidRPr="00B934CE" w:rsidRDefault="00563389"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c>
          <w:tcPr>
            <w:tcW w:w="1870" w:type="dxa"/>
            <w:gridSpan w:val="2"/>
            <w:tcBorders>
              <w:top w:val="single" w:sz="4" w:space="0" w:color="0B3D85"/>
              <w:bottom w:val="single" w:sz="4" w:space="0" w:color="0B3D85"/>
            </w:tcBorders>
            <w:shd w:val="clear" w:color="auto" w:fill="F2F2F2" w:themeFill="background1" w:themeFillShade="F2"/>
            <w:vAlign w:val="center"/>
          </w:tcPr>
          <w:p w14:paraId="710D129E" w14:textId="77777777" w:rsidR="00563389" w:rsidRPr="00B934CE" w:rsidRDefault="00563389" w:rsidP="00B934CE">
            <w:pPr>
              <w:bidi/>
              <w:jc w:val="both"/>
              <w:rPr>
                <w:rFonts w:ascii="Traditional Arabic" w:hAnsi="Traditional Arabic" w:cs="Traditional Arabic"/>
                <w:sz w:val="24"/>
                <w:rtl/>
              </w:rPr>
            </w:pPr>
            <w:r w:rsidRPr="00B934CE">
              <w:rPr>
                <w:rFonts w:ascii="Traditional Arabic" w:hAnsi="Traditional Arabic" w:cs="Traditional Arabic"/>
                <w:sz w:val="24"/>
                <w:rtl/>
              </w:rPr>
              <w:t>كنسبة مئوية من إجمالي الإيرادات</w:t>
            </w:r>
          </w:p>
        </w:tc>
        <w:tc>
          <w:tcPr>
            <w:tcW w:w="760" w:type="dxa"/>
            <w:tcBorders>
              <w:top w:val="single" w:sz="4" w:space="0" w:color="0B3D85"/>
              <w:bottom w:val="single" w:sz="4" w:space="0" w:color="0B3D85"/>
            </w:tcBorders>
            <w:shd w:val="clear" w:color="auto" w:fill="F2F2F2" w:themeFill="background1" w:themeFillShade="F2"/>
            <w:vAlign w:val="center"/>
          </w:tcPr>
          <w:p w14:paraId="1D9032F5" w14:textId="77777777" w:rsidR="00563389" w:rsidRPr="00B934CE" w:rsidRDefault="00563389" w:rsidP="00B934CE">
            <w:pPr>
              <w:bidi/>
              <w:jc w:val="center"/>
              <w:rPr>
                <w:rFonts w:ascii="Traditional Arabic" w:hAnsi="Traditional Arabic" w:cs="Traditional Arabic"/>
                <w:sz w:val="24"/>
                <w:rtl/>
              </w:rPr>
            </w:pPr>
            <w:r w:rsidRPr="00B934CE">
              <w:rPr>
                <w:rFonts w:ascii="Traditional Arabic" w:hAnsi="Traditional Arabic" w:cs="Traditional Arabic"/>
                <w:sz w:val="24"/>
                <w:rtl/>
              </w:rPr>
              <w:t>نقطة مئوية</w:t>
            </w:r>
          </w:p>
        </w:tc>
      </w:tr>
      <w:tr w:rsidR="00900056" w:rsidRPr="00900056" w14:paraId="6F5DFDCA"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4DF82170"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تكاليف</w:t>
            </w:r>
            <w:r w:rsidRPr="00B934CE">
              <w:rPr>
                <w:rFonts w:ascii="Traditional Arabic" w:eastAsia="Calibri" w:hAnsi="Traditional Arabic" w:cs="Traditional Arabic"/>
                <w:sz w:val="24"/>
                <w:rtl/>
              </w:rPr>
              <w:t xml:space="preserve"> الموظفين الإدارية </w:t>
            </w:r>
          </w:p>
        </w:tc>
        <w:tc>
          <w:tcPr>
            <w:tcW w:w="1022" w:type="dxa"/>
            <w:tcBorders>
              <w:top w:val="single" w:sz="4" w:space="0" w:color="0B3D85"/>
              <w:bottom w:val="single" w:sz="4" w:space="0" w:color="0B3D85"/>
            </w:tcBorders>
            <w:shd w:val="clear" w:color="auto" w:fill="FFFFFF" w:themeFill="background1"/>
            <w:vAlign w:val="center"/>
          </w:tcPr>
          <w:p w14:paraId="43279EE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2.9%</w:t>
            </w:r>
          </w:p>
        </w:tc>
        <w:tc>
          <w:tcPr>
            <w:tcW w:w="1262" w:type="dxa"/>
            <w:tcBorders>
              <w:top w:val="single" w:sz="4" w:space="0" w:color="0B3D85"/>
              <w:bottom w:val="single" w:sz="4" w:space="0" w:color="0B3D85"/>
            </w:tcBorders>
            <w:shd w:val="clear" w:color="auto" w:fill="FFFFFF" w:themeFill="background1"/>
            <w:vAlign w:val="center"/>
          </w:tcPr>
          <w:p w14:paraId="6208D0B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2.7%</w:t>
            </w:r>
          </w:p>
        </w:tc>
        <w:tc>
          <w:tcPr>
            <w:tcW w:w="958" w:type="dxa"/>
            <w:tcBorders>
              <w:top w:val="single" w:sz="4" w:space="0" w:color="0B3D85"/>
              <w:bottom w:val="single" w:sz="4" w:space="0" w:color="0B3D85"/>
            </w:tcBorders>
            <w:shd w:val="clear" w:color="auto" w:fill="FFFFFF" w:themeFill="background1"/>
            <w:vAlign w:val="center"/>
          </w:tcPr>
          <w:p w14:paraId="073D29C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2.9%</w:t>
            </w:r>
          </w:p>
        </w:tc>
        <w:tc>
          <w:tcPr>
            <w:tcW w:w="772" w:type="dxa"/>
            <w:tcBorders>
              <w:top w:val="single" w:sz="4" w:space="0" w:color="0B3D85"/>
              <w:bottom w:val="single" w:sz="4" w:space="0" w:color="0B3D85"/>
            </w:tcBorders>
            <w:shd w:val="clear" w:color="auto" w:fill="FFFFFF" w:themeFill="background1"/>
            <w:vAlign w:val="center"/>
          </w:tcPr>
          <w:p w14:paraId="50774F9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(0.3)</w:t>
            </w:r>
          </w:p>
        </w:tc>
        <w:tc>
          <w:tcPr>
            <w:tcW w:w="704" w:type="dxa"/>
            <w:tcBorders>
              <w:top w:val="single" w:sz="4" w:space="0" w:color="0B3D85"/>
              <w:bottom w:val="single" w:sz="4" w:space="0" w:color="0B3D85"/>
            </w:tcBorders>
            <w:shd w:val="clear" w:color="auto" w:fill="FFFFFF" w:themeFill="background1"/>
            <w:vAlign w:val="center"/>
          </w:tcPr>
          <w:p w14:paraId="0C3621F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0.3</w:t>
            </w:r>
          </w:p>
        </w:tc>
        <w:tc>
          <w:tcPr>
            <w:tcW w:w="768" w:type="dxa"/>
            <w:tcBorders>
              <w:top w:val="single" w:sz="4" w:space="0" w:color="0B3D85"/>
              <w:bottom w:val="single" w:sz="4" w:space="0" w:color="0B3D85"/>
            </w:tcBorders>
            <w:shd w:val="clear" w:color="auto" w:fill="FFFFFF" w:themeFill="background1"/>
            <w:vAlign w:val="center"/>
          </w:tcPr>
          <w:p w14:paraId="13C1B1B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935" w:type="dxa"/>
            <w:tcBorders>
              <w:top w:val="single" w:sz="4" w:space="0" w:color="0B3D85"/>
              <w:bottom w:val="single" w:sz="4" w:space="0" w:color="0B3D85"/>
            </w:tcBorders>
            <w:shd w:val="clear" w:color="auto" w:fill="FFFFFF" w:themeFill="background1"/>
            <w:vAlign w:val="center"/>
          </w:tcPr>
          <w:p w14:paraId="08CC4B3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w:t>
            </w:r>
          </w:p>
        </w:tc>
        <w:tc>
          <w:tcPr>
            <w:tcW w:w="935" w:type="dxa"/>
            <w:tcBorders>
              <w:top w:val="single" w:sz="4" w:space="0" w:color="0B3D85"/>
              <w:bottom w:val="single" w:sz="4" w:space="0" w:color="0B3D85"/>
            </w:tcBorders>
            <w:shd w:val="clear" w:color="auto" w:fill="FFFFFF" w:themeFill="background1"/>
            <w:vAlign w:val="center"/>
          </w:tcPr>
          <w:p w14:paraId="206D851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 xml:space="preserve">2.5% </w:t>
            </w:r>
          </w:p>
        </w:tc>
        <w:tc>
          <w:tcPr>
            <w:tcW w:w="760" w:type="dxa"/>
            <w:tcBorders>
              <w:top w:val="single" w:sz="4" w:space="0" w:color="0B3D85"/>
              <w:bottom w:val="single" w:sz="4" w:space="0" w:color="0B3D85"/>
            </w:tcBorders>
            <w:shd w:val="clear" w:color="auto" w:fill="FFFFFF" w:themeFill="background1"/>
            <w:vAlign w:val="center"/>
          </w:tcPr>
          <w:p w14:paraId="2497D1F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r>
      <w:tr w:rsidR="00900056" w:rsidRPr="00900056" w14:paraId="7B28F412"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03DE162A"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lastRenderedPageBreak/>
              <w:t>مصروفات</w:t>
            </w:r>
            <w:r w:rsidRPr="00B934CE">
              <w:rPr>
                <w:rFonts w:ascii="Traditional Arabic" w:eastAsia="Calibri" w:hAnsi="Traditional Arabic" w:cs="Traditional Arabic"/>
                <w:sz w:val="24"/>
                <w:rtl/>
              </w:rPr>
              <w:t xml:space="preserve"> قانونية ومهنية </w:t>
            </w:r>
          </w:p>
        </w:tc>
        <w:tc>
          <w:tcPr>
            <w:tcW w:w="1022" w:type="dxa"/>
            <w:tcBorders>
              <w:top w:val="single" w:sz="4" w:space="0" w:color="0B3D85"/>
              <w:bottom w:val="single" w:sz="4" w:space="0" w:color="0B3D85"/>
            </w:tcBorders>
            <w:shd w:val="clear" w:color="auto" w:fill="FFFFFF" w:themeFill="background1"/>
            <w:vAlign w:val="center"/>
          </w:tcPr>
          <w:p w14:paraId="7A04EC6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1262" w:type="dxa"/>
            <w:tcBorders>
              <w:top w:val="single" w:sz="4" w:space="0" w:color="0B3D85"/>
              <w:bottom w:val="single" w:sz="4" w:space="0" w:color="0B3D85"/>
            </w:tcBorders>
            <w:shd w:val="clear" w:color="auto" w:fill="FFFFFF" w:themeFill="background1"/>
            <w:vAlign w:val="center"/>
          </w:tcPr>
          <w:p w14:paraId="29EDE62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58" w:type="dxa"/>
            <w:tcBorders>
              <w:top w:val="single" w:sz="4" w:space="0" w:color="0B3D85"/>
              <w:bottom w:val="single" w:sz="4" w:space="0" w:color="0B3D85"/>
            </w:tcBorders>
            <w:shd w:val="clear" w:color="auto" w:fill="FFFFFF" w:themeFill="background1"/>
            <w:vAlign w:val="center"/>
          </w:tcPr>
          <w:p w14:paraId="26A39C5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772" w:type="dxa"/>
            <w:tcBorders>
              <w:top w:val="single" w:sz="4" w:space="0" w:color="0B3D85"/>
              <w:bottom w:val="single" w:sz="4" w:space="0" w:color="0B3D85"/>
            </w:tcBorders>
            <w:shd w:val="clear" w:color="auto" w:fill="FFFFFF" w:themeFill="background1"/>
            <w:vAlign w:val="center"/>
          </w:tcPr>
          <w:p w14:paraId="6DB0BF1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04" w:type="dxa"/>
            <w:tcBorders>
              <w:top w:val="single" w:sz="4" w:space="0" w:color="0B3D85"/>
              <w:bottom w:val="single" w:sz="4" w:space="0" w:color="0B3D85"/>
            </w:tcBorders>
            <w:shd w:val="clear" w:color="auto" w:fill="FFFFFF" w:themeFill="background1"/>
            <w:vAlign w:val="center"/>
          </w:tcPr>
          <w:p w14:paraId="309EE1B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8" w:type="dxa"/>
            <w:tcBorders>
              <w:top w:val="single" w:sz="4" w:space="0" w:color="0B3D85"/>
              <w:bottom w:val="single" w:sz="4" w:space="0" w:color="0B3D85"/>
            </w:tcBorders>
            <w:shd w:val="clear" w:color="auto" w:fill="FFFFFF" w:themeFill="background1"/>
            <w:vAlign w:val="center"/>
          </w:tcPr>
          <w:p w14:paraId="5A47058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935" w:type="dxa"/>
            <w:tcBorders>
              <w:top w:val="single" w:sz="4" w:space="0" w:color="0B3D85"/>
              <w:bottom w:val="single" w:sz="4" w:space="0" w:color="0B3D85"/>
            </w:tcBorders>
            <w:shd w:val="clear" w:color="auto" w:fill="FFFFFF" w:themeFill="background1"/>
            <w:vAlign w:val="center"/>
          </w:tcPr>
          <w:p w14:paraId="71ABB4C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35" w:type="dxa"/>
            <w:tcBorders>
              <w:top w:val="single" w:sz="4" w:space="0" w:color="0B3D85"/>
              <w:bottom w:val="single" w:sz="4" w:space="0" w:color="0B3D85"/>
            </w:tcBorders>
            <w:shd w:val="clear" w:color="auto" w:fill="FFFFFF" w:themeFill="background1"/>
            <w:vAlign w:val="center"/>
          </w:tcPr>
          <w:p w14:paraId="6344157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760" w:type="dxa"/>
            <w:tcBorders>
              <w:top w:val="single" w:sz="4" w:space="0" w:color="0B3D85"/>
              <w:bottom w:val="single" w:sz="4" w:space="0" w:color="0B3D85"/>
            </w:tcBorders>
            <w:shd w:val="clear" w:color="auto" w:fill="FFFFFF" w:themeFill="background1"/>
            <w:vAlign w:val="center"/>
          </w:tcPr>
          <w:p w14:paraId="45F8F70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r>
      <w:tr w:rsidR="00900056" w:rsidRPr="00900056" w14:paraId="3D265826"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6D284967"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إصلاحات</w:t>
            </w:r>
            <w:r w:rsidRPr="00B934CE">
              <w:rPr>
                <w:rFonts w:ascii="Traditional Arabic" w:eastAsia="Calibri" w:hAnsi="Traditional Arabic" w:cs="Traditional Arabic"/>
                <w:sz w:val="24"/>
                <w:rtl/>
              </w:rPr>
              <w:t xml:space="preserve"> وصيانة </w:t>
            </w:r>
          </w:p>
        </w:tc>
        <w:tc>
          <w:tcPr>
            <w:tcW w:w="1022" w:type="dxa"/>
            <w:tcBorders>
              <w:top w:val="single" w:sz="4" w:space="0" w:color="0B3D85"/>
              <w:bottom w:val="single" w:sz="4" w:space="0" w:color="0B3D85"/>
            </w:tcBorders>
            <w:shd w:val="clear" w:color="auto" w:fill="FFFFFF" w:themeFill="background1"/>
            <w:vAlign w:val="center"/>
          </w:tcPr>
          <w:p w14:paraId="3D94DFC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c>
          <w:tcPr>
            <w:tcW w:w="1262" w:type="dxa"/>
            <w:tcBorders>
              <w:top w:val="single" w:sz="4" w:space="0" w:color="0B3D85"/>
              <w:bottom w:val="single" w:sz="4" w:space="0" w:color="0B3D85"/>
            </w:tcBorders>
            <w:shd w:val="clear" w:color="auto" w:fill="FFFFFF" w:themeFill="background1"/>
            <w:vAlign w:val="center"/>
          </w:tcPr>
          <w:p w14:paraId="135A2D7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58" w:type="dxa"/>
            <w:tcBorders>
              <w:top w:val="single" w:sz="4" w:space="0" w:color="0B3D85"/>
              <w:bottom w:val="single" w:sz="4" w:space="0" w:color="0B3D85"/>
            </w:tcBorders>
            <w:shd w:val="clear" w:color="auto" w:fill="FFFFFF" w:themeFill="background1"/>
            <w:vAlign w:val="center"/>
          </w:tcPr>
          <w:p w14:paraId="058EE2F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72" w:type="dxa"/>
            <w:tcBorders>
              <w:top w:val="single" w:sz="4" w:space="0" w:color="0B3D85"/>
              <w:bottom w:val="single" w:sz="4" w:space="0" w:color="0B3D85"/>
            </w:tcBorders>
            <w:shd w:val="clear" w:color="auto" w:fill="FFFFFF" w:themeFill="background1"/>
            <w:vAlign w:val="center"/>
          </w:tcPr>
          <w:p w14:paraId="55A68C3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704" w:type="dxa"/>
            <w:tcBorders>
              <w:top w:val="single" w:sz="4" w:space="0" w:color="0B3D85"/>
              <w:bottom w:val="single" w:sz="4" w:space="0" w:color="0B3D85"/>
            </w:tcBorders>
            <w:shd w:val="clear" w:color="auto" w:fill="FFFFFF" w:themeFill="background1"/>
            <w:vAlign w:val="center"/>
          </w:tcPr>
          <w:p w14:paraId="715E6D2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768" w:type="dxa"/>
            <w:tcBorders>
              <w:top w:val="single" w:sz="4" w:space="0" w:color="0B3D85"/>
              <w:bottom w:val="single" w:sz="4" w:space="0" w:color="0B3D85"/>
            </w:tcBorders>
            <w:shd w:val="clear" w:color="auto" w:fill="FFFFFF" w:themeFill="background1"/>
            <w:vAlign w:val="center"/>
          </w:tcPr>
          <w:p w14:paraId="4E8D5F9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c>
          <w:tcPr>
            <w:tcW w:w="935" w:type="dxa"/>
            <w:tcBorders>
              <w:top w:val="single" w:sz="4" w:space="0" w:color="0B3D85"/>
              <w:bottom w:val="single" w:sz="4" w:space="0" w:color="0B3D85"/>
            </w:tcBorders>
            <w:shd w:val="clear" w:color="auto" w:fill="FFFFFF" w:themeFill="background1"/>
            <w:vAlign w:val="center"/>
          </w:tcPr>
          <w:p w14:paraId="2098B3D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35" w:type="dxa"/>
            <w:tcBorders>
              <w:top w:val="single" w:sz="4" w:space="0" w:color="0B3D85"/>
              <w:bottom w:val="single" w:sz="4" w:space="0" w:color="0B3D85"/>
            </w:tcBorders>
            <w:shd w:val="clear" w:color="auto" w:fill="FFFFFF" w:themeFill="background1"/>
            <w:vAlign w:val="center"/>
          </w:tcPr>
          <w:p w14:paraId="1D3726D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0" w:type="dxa"/>
            <w:tcBorders>
              <w:top w:val="single" w:sz="4" w:space="0" w:color="0B3D85"/>
              <w:bottom w:val="single" w:sz="4" w:space="0" w:color="0B3D85"/>
            </w:tcBorders>
            <w:shd w:val="clear" w:color="auto" w:fill="FFFFFF" w:themeFill="background1"/>
            <w:vAlign w:val="center"/>
          </w:tcPr>
          <w:p w14:paraId="67DA4F7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r>
      <w:tr w:rsidR="00900056" w:rsidRPr="00900056" w14:paraId="479BD9BA"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03108931"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خدمات</w:t>
            </w:r>
            <w:r w:rsidRPr="00B934CE">
              <w:rPr>
                <w:rFonts w:ascii="Traditional Arabic" w:eastAsia="Calibri" w:hAnsi="Traditional Arabic" w:cs="Traditional Arabic"/>
                <w:sz w:val="24"/>
                <w:rtl/>
              </w:rPr>
              <w:t xml:space="preserve"> تكنولوجيا المعلومات </w:t>
            </w:r>
          </w:p>
        </w:tc>
        <w:tc>
          <w:tcPr>
            <w:tcW w:w="1022" w:type="dxa"/>
            <w:tcBorders>
              <w:top w:val="single" w:sz="4" w:space="0" w:color="0B3D85"/>
              <w:bottom w:val="single" w:sz="4" w:space="0" w:color="0B3D85"/>
            </w:tcBorders>
            <w:shd w:val="clear" w:color="auto" w:fill="FFFFFF" w:themeFill="background1"/>
            <w:vAlign w:val="center"/>
          </w:tcPr>
          <w:p w14:paraId="2C6BD90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c>
          <w:tcPr>
            <w:tcW w:w="1262" w:type="dxa"/>
            <w:tcBorders>
              <w:top w:val="single" w:sz="4" w:space="0" w:color="0B3D85"/>
              <w:bottom w:val="single" w:sz="4" w:space="0" w:color="0B3D85"/>
            </w:tcBorders>
            <w:shd w:val="clear" w:color="auto" w:fill="FFFFFF" w:themeFill="background1"/>
            <w:vAlign w:val="center"/>
          </w:tcPr>
          <w:p w14:paraId="4072565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58" w:type="dxa"/>
            <w:tcBorders>
              <w:top w:val="single" w:sz="4" w:space="0" w:color="0B3D85"/>
              <w:bottom w:val="single" w:sz="4" w:space="0" w:color="0B3D85"/>
            </w:tcBorders>
            <w:shd w:val="clear" w:color="auto" w:fill="FFFFFF" w:themeFill="background1"/>
            <w:vAlign w:val="center"/>
          </w:tcPr>
          <w:p w14:paraId="7D66FBD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772" w:type="dxa"/>
            <w:tcBorders>
              <w:top w:val="single" w:sz="4" w:space="0" w:color="0B3D85"/>
              <w:bottom w:val="single" w:sz="4" w:space="0" w:color="0B3D85"/>
            </w:tcBorders>
            <w:shd w:val="clear" w:color="auto" w:fill="FFFFFF" w:themeFill="background1"/>
            <w:vAlign w:val="center"/>
          </w:tcPr>
          <w:p w14:paraId="72D7E50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04" w:type="dxa"/>
            <w:tcBorders>
              <w:top w:val="single" w:sz="4" w:space="0" w:color="0B3D85"/>
              <w:bottom w:val="single" w:sz="4" w:space="0" w:color="0B3D85"/>
            </w:tcBorders>
            <w:shd w:val="clear" w:color="auto" w:fill="FFFFFF" w:themeFill="background1"/>
            <w:vAlign w:val="center"/>
          </w:tcPr>
          <w:p w14:paraId="5F79544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8" w:type="dxa"/>
            <w:tcBorders>
              <w:top w:val="single" w:sz="4" w:space="0" w:color="0B3D85"/>
              <w:bottom w:val="single" w:sz="4" w:space="0" w:color="0B3D85"/>
            </w:tcBorders>
            <w:shd w:val="clear" w:color="auto" w:fill="FFFFFF" w:themeFill="background1"/>
            <w:vAlign w:val="center"/>
          </w:tcPr>
          <w:p w14:paraId="4CA2AD1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35" w:type="dxa"/>
            <w:tcBorders>
              <w:top w:val="single" w:sz="4" w:space="0" w:color="0B3D85"/>
              <w:bottom w:val="single" w:sz="4" w:space="0" w:color="0B3D85"/>
            </w:tcBorders>
            <w:shd w:val="clear" w:color="auto" w:fill="FFFFFF" w:themeFill="background1"/>
            <w:vAlign w:val="center"/>
          </w:tcPr>
          <w:p w14:paraId="17D8076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35" w:type="dxa"/>
            <w:tcBorders>
              <w:top w:val="single" w:sz="4" w:space="0" w:color="0B3D85"/>
              <w:bottom w:val="single" w:sz="4" w:space="0" w:color="0B3D85"/>
            </w:tcBorders>
            <w:shd w:val="clear" w:color="auto" w:fill="FFFFFF" w:themeFill="background1"/>
            <w:vAlign w:val="center"/>
          </w:tcPr>
          <w:p w14:paraId="55A0DA6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760" w:type="dxa"/>
            <w:tcBorders>
              <w:top w:val="single" w:sz="4" w:space="0" w:color="0B3D85"/>
              <w:bottom w:val="single" w:sz="4" w:space="0" w:color="0B3D85"/>
            </w:tcBorders>
            <w:shd w:val="clear" w:color="auto" w:fill="FFFFFF" w:themeFill="background1"/>
            <w:vAlign w:val="center"/>
          </w:tcPr>
          <w:p w14:paraId="16E76F0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r>
      <w:tr w:rsidR="00900056" w:rsidRPr="00900056" w14:paraId="2C600A9B"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40FCA184"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استهلاك</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الأصول</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المملوكة</w:t>
            </w:r>
          </w:p>
        </w:tc>
        <w:tc>
          <w:tcPr>
            <w:tcW w:w="1022" w:type="dxa"/>
            <w:tcBorders>
              <w:top w:val="single" w:sz="4" w:space="0" w:color="0B3D85"/>
              <w:bottom w:val="single" w:sz="4" w:space="0" w:color="0B3D85"/>
            </w:tcBorders>
            <w:shd w:val="clear" w:color="auto" w:fill="FFFFFF" w:themeFill="background1"/>
            <w:vAlign w:val="center"/>
          </w:tcPr>
          <w:p w14:paraId="36CD22D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262" w:type="dxa"/>
            <w:tcBorders>
              <w:top w:val="single" w:sz="4" w:space="0" w:color="0B3D85"/>
              <w:bottom w:val="single" w:sz="4" w:space="0" w:color="0B3D85"/>
            </w:tcBorders>
            <w:shd w:val="clear" w:color="auto" w:fill="FFFFFF" w:themeFill="background1"/>
            <w:vAlign w:val="center"/>
          </w:tcPr>
          <w:p w14:paraId="76BE5C6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58" w:type="dxa"/>
            <w:tcBorders>
              <w:top w:val="single" w:sz="4" w:space="0" w:color="0B3D85"/>
              <w:bottom w:val="single" w:sz="4" w:space="0" w:color="0B3D85"/>
            </w:tcBorders>
            <w:shd w:val="clear" w:color="auto" w:fill="FFFFFF" w:themeFill="background1"/>
            <w:vAlign w:val="center"/>
          </w:tcPr>
          <w:p w14:paraId="7FECEF5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772" w:type="dxa"/>
            <w:tcBorders>
              <w:top w:val="single" w:sz="4" w:space="0" w:color="0B3D85"/>
              <w:bottom w:val="single" w:sz="4" w:space="0" w:color="0B3D85"/>
            </w:tcBorders>
            <w:shd w:val="clear" w:color="auto" w:fill="FFFFFF" w:themeFill="background1"/>
            <w:vAlign w:val="center"/>
          </w:tcPr>
          <w:p w14:paraId="3FA7589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704" w:type="dxa"/>
            <w:tcBorders>
              <w:top w:val="single" w:sz="4" w:space="0" w:color="0B3D85"/>
              <w:bottom w:val="single" w:sz="4" w:space="0" w:color="0B3D85"/>
            </w:tcBorders>
            <w:shd w:val="clear" w:color="auto" w:fill="FFFFFF" w:themeFill="background1"/>
            <w:vAlign w:val="center"/>
          </w:tcPr>
          <w:p w14:paraId="11FE6D4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8" w:type="dxa"/>
            <w:tcBorders>
              <w:top w:val="single" w:sz="4" w:space="0" w:color="0B3D85"/>
              <w:bottom w:val="single" w:sz="4" w:space="0" w:color="0B3D85"/>
            </w:tcBorders>
            <w:shd w:val="clear" w:color="auto" w:fill="FFFFFF" w:themeFill="background1"/>
            <w:vAlign w:val="center"/>
          </w:tcPr>
          <w:p w14:paraId="68B3F1A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35" w:type="dxa"/>
            <w:tcBorders>
              <w:top w:val="single" w:sz="4" w:space="0" w:color="0B3D85"/>
              <w:bottom w:val="single" w:sz="4" w:space="0" w:color="0B3D85"/>
            </w:tcBorders>
            <w:shd w:val="clear" w:color="auto" w:fill="FFFFFF" w:themeFill="background1"/>
            <w:vAlign w:val="center"/>
          </w:tcPr>
          <w:p w14:paraId="5A4A3C8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35" w:type="dxa"/>
            <w:tcBorders>
              <w:top w:val="single" w:sz="4" w:space="0" w:color="0B3D85"/>
              <w:bottom w:val="single" w:sz="4" w:space="0" w:color="0B3D85"/>
            </w:tcBorders>
            <w:shd w:val="clear" w:color="auto" w:fill="FFFFFF" w:themeFill="background1"/>
            <w:vAlign w:val="center"/>
          </w:tcPr>
          <w:p w14:paraId="6CFFFA7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760" w:type="dxa"/>
            <w:tcBorders>
              <w:top w:val="single" w:sz="4" w:space="0" w:color="0B3D85"/>
              <w:bottom w:val="single" w:sz="4" w:space="0" w:color="0B3D85"/>
            </w:tcBorders>
            <w:shd w:val="clear" w:color="auto" w:fill="FFFFFF" w:themeFill="background1"/>
            <w:vAlign w:val="center"/>
          </w:tcPr>
          <w:p w14:paraId="3338FD7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r>
      <w:tr w:rsidR="00900056" w:rsidRPr="00900056" w14:paraId="2A0D129F"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7B83B060"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استهلاك</w:t>
            </w:r>
            <w:r w:rsidRPr="00B934CE">
              <w:rPr>
                <w:rFonts w:ascii="Traditional Arabic" w:eastAsia="Calibri" w:hAnsi="Traditional Arabic" w:cs="Traditional Arabic"/>
                <w:sz w:val="24"/>
                <w:rtl/>
              </w:rPr>
              <w:t xml:space="preserve"> أصول حق الاستخدام </w:t>
            </w:r>
          </w:p>
        </w:tc>
        <w:tc>
          <w:tcPr>
            <w:tcW w:w="1022" w:type="dxa"/>
            <w:tcBorders>
              <w:top w:val="single" w:sz="4" w:space="0" w:color="0B3D85"/>
              <w:bottom w:val="single" w:sz="4" w:space="0" w:color="0B3D85"/>
            </w:tcBorders>
            <w:shd w:val="clear" w:color="auto" w:fill="FFFFFF" w:themeFill="background1"/>
            <w:vAlign w:val="center"/>
          </w:tcPr>
          <w:p w14:paraId="06124B7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1262" w:type="dxa"/>
            <w:tcBorders>
              <w:top w:val="single" w:sz="4" w:space="0" w:color="0B3D85"/>
              <w:bottom w:val="single" w:sz="4" w:space="0" w:color="0B3D85"/>
            </w:tcBorders>
            <w:shd w:val="clear" w:color="auto" w:fill="FFFFFF" w:themeFill="background1"/>
            <w:vAlign w:val="center"/>
          </w:tcPr>
          <w:p w14:paraId="06E4C53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958" w:type="dxa"/>
            <w:tcBorders>
              <w:top w:val="single" w:sz="4" w:space="0" w:color="0B3D85"/>
              <w:bottom w:val="single" w:sz="4" w:space="0" w:color="0B3D85"/>
            </w:tcBorders>
            <w:shd w:val="clear" w:color="auto" w:fill="FFFFFF" w:themeFill="background1"/>
            <w:vAlign w:val="center"/>
          </w:tcPr>
          <w:p w14:paraId="116E3A9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72" w:type="dxa"/>
            <w:tcBorders>
              <w:top w:val="single" w:sz="4" w:space="0" w:color="0B3D85"/>
              <w:bottom w:val="single" w:sz="4" w:space="0" w:color="0B3D85"/>
            </w:tcBorders>
            <w:shd w:val="clear" w:color="auto" w:fill="FFFFFF" w:themeFill="background1"/>
            <w:vAlign w:val="center"/>
          </w:tcPr>
          <w:p w14:paraId="4CCAF03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04" w:type="dxa"/>
            <w:tcBorders>
              <w:top w:val="single" w:sz="4" w:space="0" w:color="0B3D85"/>
              <w:bottom w:val="single" w:sz="4" w:space="0" w:color="0B3D85"/>
            </w:tcBorders>
            <w:shd w:val="clear" w:color="auto" w:fill="FFFFFF" w:themeFill="background1"/>
            <w:vAlign w:val="center"/>
          </w:tcPr>
          <w:p w14:paraId="206DAE9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8" w:type="dxa"/>
            <w:tcBorders>
              <w:top w:val="single" w:sz="4" w:space="0" w:color="0B3D85"/>
              <w:bottom w:val="single" w:sz="4" w:space="0" w:color="0B3D85"/>
            </w:tcBorders>
            <w:shd w:val="clear" w:color="auto" w:fill="FFFFFF" w:themeFill="background1"/>
            <w:vAlign w:val="center"/>
          </w:tcPr>
          <w:p w14:paraId="2ACFBD6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935" w:type="dxa"/>
            <w:tcBorders>
              <w:top w:val="single" w:sz="4" w:space="0" w:color="0B3D85"/>
              <w:bottom w:val="single" w:sz="4" w:space="0" w:color="0B3D85"/>
            </w:tcBorders>
            <w:shd w:val="clear" w:color="auto" w:fill="FFFFFF" w:themeFill="background1"/>
            <w:vAlign w:val="center"/>
          </w:tcPr>
          <w:p w14:paraId="7EA3185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935" w:type="dxa"/>
            <w:tcBorders>
              <w:top w:val="single" w:sz="4" w:space="0" w:color="0B3D85"/>
              <w:bottom w:val="single" w:sz="4" w:space="0" w:color="0B3D85"/>
            </w:tcBorders>
            <w:shd w:val="clear" w:color="auto" w:fill="FFFFFF" w:themeFill="background1"/>
            <w:vAlign w:val="center"/>
          </w:tcPr>
          <w:p w14:paraId="51EA040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0" w:type="dxa"/>
            <w:tcBorders>
              <w:top w:val="single" w:sz="4" w:space="0" w:color="0B3D85"/>
              <w:bottom w:val="single" w:sz="4" w:space="0" w:color="0B3D85"/>
            </w:tcBorders>
            <w:shd w:val="clear" w:color="auto" w:fill="FFFFFF" w:themeFill="background1"/>
            <w:vAlign w:val="center"/>
          </w:tcPr>
          <w:p w14:paraId="19AA01A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r>
      <w:tr w:rsidR="00900056" w:rsidRPr="00900056" w14:paraId="1B29BB0E"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529019C7"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إط</w:t>
            </w:r>
            <w:r w:rsidRPr="00B934CE">
              <w:rPr>
                <w:rFonts w:ascii="Traditional Arabic" w:eastAsia="Calibri" w:hAnsi="Traditional Arabic" w:cs="Traditional Arabic"/>
                <w:sz w:val="24"/>
                <w:rtl/>
              </w:rPr>
              <w:t>فاء – الأصول غير الملموسة</w:t>
            </w:r>
          </w:p>
        </w:tc>
        <w:tc>
          <w:tcPr>
            <w:tcW w:w="1022" w:type="dxa"/>
            <w:tcBorders>
              <w:top w:val="single" w:sz="4" w:space="0" w:color="0B3D85"/>
              <w:bottom w:val="single" w:sz="4" w:space="0" w:color="0B3D85"/>
            </w:tcBorders>
            <w:shd w:val="clear" w:color="auto" w:fill="FFFFFF" w:themeFill="background1"/>
            <w:vAlign w:val="center"/>
          </w:tcPr>
          <w:p w14:paraId="7D39D41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262" w:type="dxa"/>
            <w:tcBorders>
              <w:top w:val="single" w:sz="4" w:space="0" w:color="0B3D85"/>
              <w:bottom w:val="single" w:sz="4" w:space="0" w:color="0B3D85"/>
            </w:tcBorders>
            <w:shd w:val="clear" w:color="auto" w:fill="FFFFFF" w:themeFill="background1"/>
            <w:vAlign w:val="center"/>
          </w:tcPr>
          <w:p w14:paraId="2E8A464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58" w:type="dxa"/>
            <w:tcBorders>
              <w:top w:val="single" w:sz="4" w:space="0" w:color="0B3D85"/>
              <w:bottom w:val="single" w:sz="4" w:space="0" w:color="0B3D85"/>
            </w:tcBorders>
            <w:shd w:val="clear" w:color="auto" w:fill="FFFFFF" w:themeFill="background1"/>
            <w:vAlign w:val="center"/>
          </w:tcPr>
          <w:p w14:paraId="09B7F0F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772" w:type="dxa"/>
            <w:tcBorders>
              <w:top w:val="single" w:sz="4" w:space="0" w:color="0B3D85"/>
              <w:bottom w:val="single" w:sz="4" w:space="0" w:color="0B3D85"/>
            </w:tcBorders>
            <w:shd w:val="clear" w:color="auto" w:fill="FFFFFF" w:themeFill="background1"/>
            <w:vAlign w:val="center"/>
          </w:tcPr>
          <w:p w14:paraId="70A4B46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04" w:type="dxa"/>
            <w:tcBorders>
              <w:top w:val="single" w:sz="4" w:space="0" w:color="0B3D85"/>
              <w:bottom w:val="single" w:sz="4" w:space="0" w:color="0B3D85"/>
            </w:tcBorders>
            <w:shd w:val="clear" w:color="auto" w:fill="FFFFFF" w:themeFill="background1"/>
            <w:vAlign w:val="center"/>
          </w:tcPr>
          <w:p w14:paraId="79AAEBB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8" w:type="dxa"/>
            <w:tcBorders>
              <w:top w:val="single" w:sz="4" w:space="0" w:color="0B3D85"/>
              <w:bottom w:val="single" w:sz="4" w:space="0" w:color="0B3D85"/>
            </w:tcBorders>
            <w:shd w:val="clear" w:color="auto" w:fill="FFFFFF" w:themeFill="background1"/>
            <w:vAlign w:val="center"/>
          </w:tcPr>
          <w:p w14:paraId="2D21291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35" w:type="dxa"/>
            <w:tcBorders>
              <w:top w:val="single" w:sz="4" w:space="0" w:color="0B3D85"/>
              <w:bottom w:val="single" w:sz="4" w:space="0" w:color="0B3D85"/>
            </w:tcBorders>
            <w:shd w:val="clear" w:color="auto" w:fill="FFFFFF" w:themeFill="background1"/>
            <w:vAlign w:val="center"/>
          </w:tcPr>
          <w:p w14:paraId="6C3222F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35" w:type="dxa"/>
            <w:tcBorders>
              <w:top w:val="single" w:sz="4" w:space="0" w:color="0B3D85"/>
              <w:bottom w:val="single" w:sz="4" w:space="0" w:color="0B3D85"/>
            </w:tcBorders>
            <w:shd w:val="clear" w:color="auto" w:fill="FFFFFF" w:themeFill="background1"/>
            <w:vAlign w:val="center"/>
          </w:tcPr>
          <w:p w14:paraId="5A73F56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0" w:type="dxa"/>
            <w:tcBorders>
              <w:top w:val="single" w:sz="4" w:space="0" w:color="0B3D85"/>
              <w:bottom w:val="single" w:sz="4" w:space="0" w:color="0B3D85"/>
            </w:tcBorders>
            <w:shd w:val="clear" w:color="auto" w:fill="FFFFFF" w:themeFill="background1"/>
            <w:vAlign w:val="center"/>
          </w:tcPr>
          <w:p w14:paraId="2D9A7FE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r>
      <w:tr w:rsidR="00900056" w:rsidRPr="00900056" w14:paraId="293CFF14"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2AF9BE69"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إدارية أخرى </w:t>
            </w:r>
          </w:p>
        </w:tc>
        <w:tc>
          <w:tcPr>
            <w:tcW w:w="1022" w:type="dxa"/>
            <w:tcBorders>
              <w:top w:val="single" w:sz="4" w:space="0" w:color="0B3D85"/>
              <w:bottom w:val="single" w:sz="4" w:space="0" w:color="0B3D85"/>
            </w:tcBorders>
            <w:shd w:val="clear" w:color="auto" w:fill="FFFFFF" w:themeFill="background1"/>
            <w:vAlign w:val="center"/>
          </w:tcPr>
          <w:p w14:paraId="4A0A901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1262" w:type="dxa"/>
            <w:tcBorders>
              <w:top w:val="single" w:sz="4" w:space="0" w:color="0B3D85"/>
              <w:bottom w:val="single" w:sz="4" w:space="0" w:color="0B3D85"/>
            </w:tcBorders>
            <w:shd w:val="clear" w:color="auto" w:fill="FFFFFF" w:themeFill="background1"/>
            <w:vAlign w:val="center"/>
          </w:tcPr>
          <w:p w14:paraId="1245D8C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958" w:type="dxa"/>
            <w:tcBorders>
              <w:top w:val="single" w:sz="4" w:space="0" w:color="0B3D85"/>
              <w:bottom w:val="single" w:sz="4" w:space="0" w:color="0B3D85"/>
            </w:tcBorders>
            <w:shd w:val="clear" w:color="auto" w:fill="FFFFFF" w:themeFill="background1"/>
            <w:vAlign w:val="center"/>
          </w:tcPr>
          <w:p w14:paraId="1C9A4D1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c>
          <w:tcPr>
            <w:tcW w:w="772" w:type="dxa"/>
            <w:tcBorders>
              <w:top w:val="single" w:sz="4" w:space="0" w:color="0B3D85"/>
              <w:bottom w:val="single" w:sz="4" w:space="0" w:color="0B3D85"/>
            </w:tcBorders>
            <w:shd w:val="clear" w:color="auto" w:fill="FFFFFF" w:themeFill="background1"/>
            <w:vAlign w:val="center"/>
          </w:tcPr>
          <w:p w14:paraId="668D574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04" w:type="dxa"/>
            <w:tcBorders>
              <w:top w:val="single" w:sz="4" w:space="0" w:color="0B3D85"/>
              <w:bottom w:val="single" w:sz="4" w:space="0" w:color="0B3D85"/>
            </w:tcBorders>
            <w:shd w:val="clear" w:color="auto" w:fill="FFFFFF" w:themeFill="background1"/>
            <w:vAlign w:val="center"/>
          </w:tcPr>
          <w:p w14:paraId="575A47C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c>
          <w:tcPr>
            <w:tcW w:w="768" w:type="dxa"/>
            <w:tcBorders>
              <w:top w:val="single" w:sz="4" w:space="0" w:color="0B3D85"/>
              <w:bottom w:val="single" w:sz="4" w:space="0" w:color="0B3D85"/>
            </w:tcBorders>
            <w:shd w:val="clear" w:color="auto" w:fill="FFFFFF" w:themeFill="background1"/>
            <w:vAlign w:val="center"/>
          </w:tcPr>
          <w:p w14:paraId="3D7FDF2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0.2</w:t>
            </w:r>
          </w:p>
        </w:tc>
        <w:tc>
          <w:tcPr>
            <w:tcW w:w="935" w:type="dxa"/>
            <w:tcBorders>
              <w:top w:val="single" w:sz="4" w:space="0" w:color="0B3D85"/>
              <w:bottom w:val="single" w:sz="4" w:space="0" w:color="0B3D85"/>
            </w:tcBorders>
            <w:shd w:val="clear" w:color="auto" w:fill="FFFFFF" w:themeFill="background1"/>
            <w:vAlign w:val="center"/>
          </w:tcPr>
          <w:p w14:paraId="6DA1AB4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35" w:type="dxa"/>
            <w:tcBorders>
              <w:top w:val="single" w:sz="4" w:space="0" w:color="0B3D85"/>
              <w:bottom w:val="single" w:sz="4" w:space="0" w:color="0B3D85"/>
            </w:tcBorders>
            <w:shd w:val="clear" w:color="auto" w:fill="FFFFFF" w:themeFill="background1"/>
            <w:vAlign w:val="center"/>
          </w:tcPr>
          <w:p w14:paraId="6E35564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0" w:type="dxa"/>
            <w:tcBorders>
              <w:top w:val="single" w:sz="4" w:space="0" w:color="0B3D85"/>
              <w:bottom w:val="single" w:sz="4" w:space="0" w:color="0B3D85"/>
            </w:tcBorders>
            <w:shd w:val="clear" w:color="auto" w:fill="FFFFFF" w:themeFill="background1"/>
            <w:vAlign w:val="center"/>
          </w:tcPr>
          <w:p w14:paraId="0F3CC42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r>
      <w:tr w:rsidR="00900056" w:rsidRPr="00900056" w14:paraId="763FB5D1"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24127AFC"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ضريبة مستقطعة </w:t>
            </w:r>
          </w:p>
        </w:tc>
        <w:tc>
          <w:tcPr>
            <w:tcW w:w="1022" w:type="dxa"/>
            <w:tcBorders>
              <w:top w:val="single" w:sz="4" w:space="0" w:color="0B3D85"/>
              <w:bottom w:val="single" w:sz="4" w:space="0" w:color="0B3D85"/>
            </w:tcBorders>
            <w:shd w:val="clear" w:color="auto" w:fill="FFFFFF" w:themeFill="background1"/>
            <w:vAlign w:val="center"/>
          </w:tcPr>
          <w:p w14:paraId="7404CB6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1262" w:type="dxa"/>
            <w:tcBorders>
              <w:top w:val="single" w:sz="4" w:space="0" w:color="0B3D85"/>
              <w:bottom w:val="single" w:sz="4" w:space="0" w:color="0B3D85"/>
            </w:tcBorders>
            <w:shd w:val="clear" w:color="auto" w:fill="FFFFFF" w:themeFill="background1"/>
            <w:vAlign w:val="center"/>
          </w:tcPr>
          <w:p w14:paraId="76FCB8B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58" w:type="dxa"/>
            <w:tcBorders>
              <w:top w:val="single" w:sz="4" w:space="0" w:color="0B3D85"/>
              <w:bottom w:val="single" w:sz="4" w:space="0" w:color="0B3D85"/>
            </w:tcBorders>
            <w:shd w:val="clear" w:color="auto" w:fill="FFFFFF" w:themeFill="background1"/>
            <w:vAlign w:val="center"/>
          </w:tcPr>
          <w:p w14:paraId="58470D3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72" w:type="dxa"/>
            <w:tcBorders>
              <w:top w:val="single" w:sz="4" w:space="0" w:color="0B3D85"/>
              <w:bottom w:val="single" w:sz="4" w:space="0" w:color="0B3D85"/>
            </w:tcBorders>
            <w:shd w:val="clear" w:color="auto" w:fill="FFFFFF" w:themeFill="background1"/>
            <w:vAlign w:val="center"/>
          </w:tcPr>
          <w:p w14:paraId="38D39F0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04" w:type="dxa"/>
            <w:tcBorders>
              <w:top w:val="single" w:sz="4" w:space="0" w:color="0B3D85"/>
              <w:bottom w:val="single" w:sz="4" w:space="0" w:color="0B3D85"/>
            </w:tcBorders>
            <w:shd w:val="clear" w:color="auto" w:fill="FFFFFF" w:themeFill="background1"/>
            <w:vAlign w:val="center"/>
          </w:tcPr>
          <w:p w14:paraId="2988760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768" w:type="dxa"/>
            <w:tcBorders>
              <w:top w:val="single" w:sz="4" w:space="0" w:color="0B3D85"/>
              <w:bottom w:val="single" w:sz="4" w:space="0" w:color="0B3D85"/>
            </w:tcBorders>
            <w:shd w:val="clear" w:color="auto" w:fill="FFFFFF" w:themeFill="background1"/>
            <w:vAlign w:val="center"/>
          </w:tcPr>
          <w:p w14:paraId="7325DED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935" w:type="dxa"/>
            <w:tcBorders>
              <w:top w:val="single" w:sz="4" w:space="0" w:color="0B3D85"/>
              <w:bottom w:val="single" w:sz="4" w:space="0" w:color="0B3D85"/>
            </w:tcBorders>
            <w:shd w:val="clear" w:color="auto" w:fill="FFFFFF" w:themeFill="background1"/>
            <w:vAlign w:val="center"/>
          </w:tcPr>
          <w:p w14:paraId="0EE38DB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0.1%</w:t>
            </w:r>
          </w:p>
        </w:tc>
        <w:tc>
          <w:tcPr>
            <w:tcW w:w="935" w:type="dxa"/>
            <w:tcBorders>
              <w:top w:val="single" w:sz="4" w:space="0" w:color="0B3D85"/>
              <w:bottom w:val="single" w:sz="4" w:space="0" w:color="0B3D85"/>
            </w:tcBorders>
            <w:shd w:val="clear" w:color="auto" w:fill="FFFFFF" w:themeFill="background1"/>
            <w:vAlign w:val="center"/>
          </w:tcPr>
          <w:p w14:paraId="4AC07F9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w:t>
            </w:r>
          </w:p>
        </w:tc>
        <w:tc>
          <w:tcPr>
            <w:tcW w:w="760" w:type="dxa"/>
            <w:tcBorders>
              <w:top w:val="single" w:sz="4" w:space="0" w:color="0B3D85"/>
              <w:bottom w:val="single" w:sz="4" w:space="0" w:color="0B3D85"/>
            </w:tcBorders>
            <w:shd w:val="clear" w:color="auto" w:fill="FFFFFF" w:themeFill="background1"/>
            <w:vAlign w:val="center"/>
          </w:tcPr>
          <w:p w14:paraId="55ECBDF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w:t>
            </w:r>
          </w:p>
        </w:tc>
      </w:tr>
      <w:tr w:rsidR="00900056" w:rsidRPr="00900056" w14:paraId="03D2A08C" w14:textId="77777777" w:rsidTr="00922116">
        <w:trPr>
          <w:trHeight w:val="20"/>
        </w:trPr>
        <w:tc>
          <w:tcPr>
            <w:tcW w:w="1261" w:type="dxa"/>
            <w:tcBorders>
              <w:top w:val="single" w:sz="4" w:space="0" w:color="0B3D85"/>
              <w:bottom w:val="single" w:sz="4" w:space="0" w:color="0B3D85"/>
            </w:tcBorders>
            <w:shd w:val="clear" w:color="auto" w:fill="F2F2F2" w:themeFill="background1" w:themeFillShade="F2"/>
            <w:vAlign w:val="center"/>
          </w:tcPr>
          <w:p w14:paraId="052F0904"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b/>
                <w:bCs/>
                <w:sz w:val="24"/>
                <w:rtl/>
              </w:rPr>
              <w:t>مؤشرات</w:t>
            </w:r>
            <w:r w:rsidRPr="00B934CE">
              <w:rPr>
                <w:rFonts w:ascii="Traditional Arabic" w:eastAsia="Calibri" w:hAnsi="Traditional Arabic" w:cs="Traditional Arabic"/>
                <w:b/>
                <w:bCs/>
                <w:sz w:val="24"/>
                <w:rtl/>
              </w:rPr>
              <w:t xml:space="preserve"> </w:t>
            </w:r>
            <w:r w:rsidRPr="00B934CE">
              <w:rPr>
                <w:rFonts w:ascii="Traditional Arabic" w:eastAsia="Calibri" w:hAnsi="Traditional Arabic" w:cs="Traditional Arabic" w:hint="eastAsia"/>
                <w:b/>
                <w:bCs/>
                <w:sz w:val="24"/>
                <w:rtl/>
              </w:rPr>
              <w:t>الأداء</w:t>
            </w:r>
            <w:r w:rsidRPr="00B934CE">
              <w:rPr>
                <w:rFonts w:ascii="Traditional Arabic" w:eastAsia="Calibri" w:hAnsi="Traditional Arabic" w:cs="Traditional Arabic"/>
                <w:b/>
                <w:bCs/>
                <w:sz w:val="24"/>
                <w:rtl/>
              </w:rPr>
              <w:t xml:space="preserve"> </w:t>
            </w:r>
            <w:r w:rsidRPr="00B934CE">
              <w:rPr>
                <w:rFonts w:ascii="Traditional Arabic" w:eastAsia="Calibri" w:hAnsi="Traditional Arabic" w:cs="Traditional Arabic" w:hint="eastAsia"/>
                <w:b/>
                <w:bCs/>
                <w:sz w:val="24"/>
                <w:rtl/>
              </w:rPr>
              <w:t>الرئيسية</w:t>
            </w:r>
          </w:p>
        </w:tc>
        <w:tc>
          <w:tcPr>
            <w:tcW w:w="1022" w:type="dxa"/>
            <w:tcBorders>
              <w:top w:val="single" w:sz="4" w:space="0" w:color="0B3D85"/>
              <w:bottom w:val="single" w:sz="4" w:space="0" w:color="0B3D85"/>
            </w:tcBorders>
            <w:shd w:val="clear" w:color="auto" w:fill="F2F2F2" w:themeFill="background1" w:themeFillShade="F2"/>
            <w:vAlign w:val="center"/>
          </w:tcPr>
          <w:p w14:paraId="78799C1E" w14:textId="77777777" w:rsidR="00563389" w:rsidRPr="00B934CE" w:rsidRDefault="00563389" w:rsidP="00B934CE">
            <w:pPr>
              <w:bidi/>
              <w:jc w:val="center"/>
              <w:rPr>
                <w:rFonts w:ascii="Traditional Arabic" w:eastAsia="Calibri" w:hAnsi="Traditional Arabic" w:cs="Traditional Arabic"/>
                <w:sz w:val="24"/>
                <w:rtl/>
              </w:rPr>
            </w:pPr>
          </w:p>
        </w:tc>
        <w:tc>
          <w:tcPr>
            <w:tcW w:w="1262" w:type="dxa"/>
            <w:tcBorders>
              <w:top w:val="single" w:sz="4" w:space="0" w:color="0B3D85"/>
              <w:bottom w:val="single" w:sz="4" w:space="0" w:color="0B3D85"/>
            </w:tcBorders>
            <w:shd w:val="clear" w:color="auto" w:fill="F2F2F2" w:themeFill="background1" w:themeFillShade="F2"/>
          </w:tcPr>
          <w:p w14:paraId="6C67178B" w14:textId="77777777" w:rsidR="00563389" w:rsidRPr="00B934CE" w:rsidRDefault="00563389" w:rsidP="00B934CE">
            <w:pPr>
              <w:bidi/>
              <w:jc w:val="center"/>
              <w:rPr>
                <w:rFonts w:ascii="Traditional Arabic" w:eastAsia="Calibri" w:hAnsi="Traditional Arabic" w:cs="Traditional Arabic"/>
                <w:sz w:val="24"/>
                <w:rtl/>
              </w:rPr>
            </w:pPr>
          </w:p>
        </w:tc>
        <w:tc>
          <w:tcPr>
            <w:tcW w:w="958" w:type="dxa"/>
            <w:tcBorders>
              <w:top w:val="single" w:sz="4" w:space="0" w:color="0B3D85"/>
              <w:bottom w:val="single" w:sz="4" w:space="0" w:color="0B3D85"/>
            </w:tcBorders>
            <w:shd w:val="clear" w:color="auto" w:fill="F2F2F2" w:themeFill="background1" w:themeFillShade="F2"/>
          </w:tcPr>
          <w:p w14:paraId="49FF1805" w14:textId="77777777" w:rsidR="00563389" w:rsidRPr="00B934CE" w:rsidRDefault="00563389" w:rsidP="00B934CE">
            <w:pPr>
              <w:bidi/>
              <w:jc w:val="center"/>
              <w:rPr>
                <w:rFonts w:ascii="Traditional Arabic" w:eastAsia="Calibri" w:hAnsi="Traditional Arabic" w:cs="Traditional Arabic"/>
                <w:sz w:val="24"/>
                <w:rtl/>
              </w:rPr>
            </w:pPr>
          </w:p>
        </w:tc>
        <w:tc>
          <w:tcPr>
            <w:tcW w:w="772" w:type="dxa"/>
            <w:tcBorders>
              <w:top w:val="single" w:sz="4" w:space="0" w:color="0B3D85"/>
              <w:bottom w:val="single" w:sz="4" w:space="0" w:color="0B3D85"/>
            </w:tcBorders>
            <w:shd w:val="clear" w:color="auto" w:fill="F2F2F2" w:themeFill="background1" w:themeFillShade="F2"/>
            <w:vAlign w:val="center"/>
          </w:tcPr>
          <w:p w14:paraId="5A4960A4" w14:textId="77777777" w:rsidR="00563389" w:rsidRPr="00B934CE" w:rsidRDefault="00563389" w:rsidP="00B934CE">
            <w:pPr>
              <w:bidi/>
              <w:jc w:val="center"/>
              <w:rPr>
                <w:rFonts w:ascii="Traditional Arabic" w:eastAsia="Calibri" w:hAnsi="Traditional Arabic" w:cs="Traditional Arabic"/>
                <w:sz w:val="24"/>
                <w:rtl/>
              </w:rPr>
            </w:pPr>
          </w:p>
        </w:tc>
        <w:tc>
          <w:tcPr>
            <w:tcW w:w="704" w:type="dxa"/>
            <w:tcBorders>
              <w:top w:val="single" w:sz="4" w:space="0" w:color="0B3D85"/>
              <w:bottom w:val="single" w:sz="4" w:space="0" w:color="0B3D85"/>
            </w:tcBorders>
            <w:shd w:val="clear" w:color="auto" w:fill="F2F2F2" w:themeFill="background1" w:themeFillShade="F2"/>
          </w:tcPr>
          <w:p w14:paraId="4C0D51D6" w14:textId="77777777" w:rsidR="00563389" w:rsidRPr="00B934CE" w:rsidRDefault="00563389" w:rsidP="00B934CE">
            <w:pPr>
              <w:bidi/>
              <w:jc w:val="center"/>
              <w:rPr>
                <w:rFonts w:ascii="Traditional Arabic" w:eastAsia="Calibri" w:hAnsi="Traditional Arabic" w:cs="Traditional Arabic"/>
                <w:sz w:val="24"/>
                <w:rtl/>
              </w:rPr>
            </w:pPr>
          </w:p>
        </w:tc>
        <w:tc>
          <w:tcPr>
            <w:tcW w:w="768" w:type="dxa"/>
            <w:tcBorders>
              <w:top w:val="single" w:sz="4" w:space="0" w:color="0B3D85"/>
              <w:bottom w:val="single" w:sz="4" w:space="0" w:color="0B3D85"/>
            </w:tcBorders>
            <w:shd w:val="clear" w:color="auto" w:fill="F2F2F2" w:themeFill="background1" w:themeFillShade="F2"/>
            <w:vAlign w:val="center"/>
          </w:tcPr>
          <w:p w14:paraId="36096BEA" w14:textId="77777777" w:rsidR="00563389" w:rsidRPr="00B934CE" w:rsidRDefault="00563389" w:rsidP="00B934CE">
            <w:pPr>
              <w:bidi/>
              <w:jc w:val="center"/>
              <w:rPr>
                <w:rFonts w:ascii="Traditional Arabic" w:eastAsia="Calibri" w:hAnsi="Traditional Arabic" w:cs="Traditional Arabic"/>
                <w:sz w:val="24"/>
                <w:rtl/>
              </w:rPr>
            </w:pPr>
          </w:p>
        </w:tc>
        <w:tc>
          <w:tcPr>
            <w:tcW w:w="935" w:type="dxa"/>
            <w:tcBorders>
              <w:top w:val="single" w:sz="4" w:space="0" w:color="0B3D85"/>
              <w:bottom w:val="single" w:sz="4" w:space="0" w:color="0B3D85"/>
            </w:tcBorders>
            <w:shd w:val="clear" w:color="auto" w:fill="F2F2F2" w:themeFill="background1" w:themeFillShade="F2"/>
            <w:vAlign w:val="center"/>
          </w:tcPr>
          <w:p w14:paraId="227DBC70" w14:textId="77777777" w:rsidR="00563389" w:rsidRPr="00B934CE" w:rsidRDefault="00563389" w:rsidP="00B934CE">
            <w:pPr>
              <w:bidi/>
              <w:jc w:val="center"/>
              <w:rPr>
                <w:rFonts w:ascii="Traditional Arabic" w:eastAsia="Calibri" w:hAnsi="Traditional Arabic" w:cs="Traditional Arabic"/>
                <w:b/>
                <w:bCs/>
                <w:sz w:val="24"/>
                <w:rtl/>
              </w:rPr>
            </w:pPr>
          </w:p>
        </w:tc>
        <w:tc>
          <w:tcPr>
            <w:tcW w:w="935" w:type="dxa"/>
            <w:tcBorders>
              <w:top w:val="single" w:sz="4" w:space="0" w:color="0B3D85"/>
              <w:bottom w:val="single" w:sz="4" w:space="0" w:color="0B3D85"/>
            </w:tcBorders>
            <w:shd w:val="clear" w:color="auto" w:fill="F2F2F2" w:themeFill="background1" w:themeFillShade="F2"/>
            <w:vAlign w:val="center"/>
          </w:tcPr>
          <w:p w14:paraId="4CB2D2A7" w14:textId="77777777" w:rsidR="00563389" w:rsidRPr="00B934CE" w:rsidRDefault="00563389" w:rsidP="00B934CE">
            <w:pPr>
              <w:bidi/>
              <w:jc w:val="center"/>
              <w:rPr>
                <w:rFonts w:ascii="Traditional Arabic" w:eastAsia="Calibri" w:hAnsi="Traditional Arabic" w:cs="Traditional Arabic"/>
                <w:b/>
                <w:bCs/>
                <w:sz w:val="24"/>
                <w:rtl/>
              </w:rPr>
            </w:pPr>
          </w:p>
        </w:tc>
        <w:tc>
          <w:tcPr>
            <w:tcW w:w="760" w:type="dxa"/>
            <w:tcBorders>
              <w:top w:val="single" w:sz="4" w:space="0" w:color="0B3D85"/>
              <w:bottom w:val="single" w:sz="4" w:space="0" w:color="0B3D85"/>
            </w:tcBorders>
            <w:shd w:val="clear" w:color="auto" w:fill="F2F2F2" w:themeFill="background1" w:themeFillShade="F2"/>
            <w:vAlign w:val="center"/>
          </w:tcPr>
          <w:p w14:paraId="034832D4" w14:textId="77777777" w:rsidR="00563389" w:rsidRPr="00B934CE" w:rsidRDefault="00563389" w:rsidP="00B934CE">
            <w:pPr>
              <w:bidi/>
              <w:jc w:val="center"/>
              <w:rPr>
                <w:rFonts w:ascii="Traditional Arabic" w:eastAsia="Calibri" w:hAnsi="Traditional Arabic" w:cs="Traditional Arabic"/>
                <w:b/>
                <w:bCs/>
                <w:sz w:val="24"/>
                <w:rtl/>
              </w:rPr>
            </w:pPr>
          </w:p>
        </w:tc>
      </w:tr>
      <w:tr w:rsidR="00900056" w:rsidRPr="00900056" w14:paraId="68E6EDAD"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4265D0CF"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عدد</w:t>
            </w:r>
            <w:r w:rsidRPr="00B934CE">
              <w:rPr>
                <w:rFonts w:ascii="Traditional Arabic" w:eastAsia="Calibri" w:hAnsi="Traditional Arabic" w:cs="Traditional Arabic"/>
                <w:sz w:val="24"/>
                <w:rtl/>
              </w:rPr>
              <w:t xml:space="preserve"> الموظفين </w:t>
            </w:r>
          </w:p>
        </w:tc>
        <w:tc>
          <w:tcPr>
            <w:tcW w:w="1022" w:type="dxa"/>
            <w:tcBorders>
              <w:top w:val="single" w:sz="4" w:space="0" w:color="0B3D85"/>
              <w:bottom w:val="single" w:sz="4" w:space="0" w:color="0B3D85"/>
            </w:tcBorders>
            <w:shd w:val="clear" w:color="auto" w:fill="FFFFFF" w:themeFill="background1"/>
            <w:vAlign w:val="center"/>
          </w:tcPr>
          <w:p w14:paraId="57087DA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376</w:t>
            </w:r>
          </w:p>
        </w:tc>
        <w:tc>
          <w:tcPr>
            <w:tcW w:w="1262" w:type="dxa"/>
            <w:tcBorders>
              <w:top w:val="single" w:sz="4" w:space="0" w:color="0B3D85"/>
              <w:bottom w:val="single" w:sz="4" w:space="0" w:color="0B3D85"/>
            </w:tcBorders>
            <w:shd w:val="clear" w:color="auto" w:fill="FFFFFF" w:themeFill="background1"/>
            <w:vAlign w:val="center"/>
          </w:tcPr>
          <w:p w14:paraId="7BC8CF1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413</w:t>
            </w:r>
          </w:p>
        </w:tc>
        <w:tc>
          <w:tcPr>
            <w:tcW w:w="958" w:type="dxa"/>
            <w:tcBorders>
              <w:top w:val="single" w:sz="4" w:space="0" w:color="0B3D85"/>
              <w:bottom w:val="single" w:sz="4" w:space="0" w:color="0B3D85"/>
            </w:tcBorders>
            <w:shd w:val="clear" w:color="auto" w:fill="FFFFFF" w:themeFill="background1"/>
            <w:vAlign w:val="center"/>
          </w:tcPr>
          <w:p w14:paraId="61BCE53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403</w:t>
            </w:r>
          </w:p>
        </w:tc>
        <w:tc>
          <w:tcPr>
            <w:tcW w:w="772" w:type="dxa"/>
            <w:tcBorders>
              <w:top w:val="single" w:sz="4" w:space="0" w:color="0B3D85"/>
              <w:bottom w:val="single" w:sz="4" w:space="0" w:color="0B3D85"/>
            </w:tcBorders>
            <w:shd w:val="clear" w:color="auto" w:fill="FFFFFF" w:themeFill="background1"/>
            <w:vAlign w:val="center"/>
          </w:tcPr>
          <w:p w14:paraId="26B25C9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37.0</w:t>
            </w:r>
          </w:p>
        </w:tc>
        <w:tc>
          <w:tcPr>
            <w:tcW w:w="704" w:type="dxa"/>
            <w:tcBorders>
              <w:top w:val="single" w:sz="4" w:space="0" w:color="0B3D85"/>
              <w:bottom w:val="single" w:sz="4" w:space="0" w:color="0B3D85"/>
            </w:tcBorders>
            <w:shd w:val="clear" w:color="auto" w:fill="FFFFFF" w:themeFill="background1"/>
            <w:vAlign w:val="center"/>
          </w:tcPr>
          <w:p w14:paraId="23974FD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(10.0)</w:t>
            </w:r>
          </w:p>
        </w:tc>
        <w:tc>
          <w:tcPr>
            <w:tcW w:w="768" w:type="dxa"/>
            <w:tcBorders>
              <w:top w:val="single" w:sz="4" w:space="0" w:color="0B3D85"/>
              <w:bottom w:val="single" w:sz="4" w:space="0" w:color="0B3D85"/>
            </w:tcBorders>
            <w:shd w:val="clear" w:color="auto" w:fill="FFFFFF" w:themeFill="background1"/>
            <w:vAlign w:val="center"/>
          </w:tcPr>
          <w:p w14:paraId="7EDDF6E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27</w:t>
            </w:r>
          </w:p>
        </w:tc>
        <w:tc>
          <w:tcPr>
            <w:tcW w:w="935" w:type="dxa"/>
            <w:tcBorders>
              <w:top w:val="single" w:sz="4" w:space="0" w:color="0B3D85"/>
              <w:bottom w:val="single" w:sz="4" w:space="0" w:color="0B3D85"/>
            </w:tcBorders>
            <w:shd w:val="clear" w:color="auto" w:fill="FFFFFF" w:themeFill="background1"/>
            <w:vAlign w:val="center"/>
          </w:tcPr>
          <w:p w14:paraId="24556D3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401</w:t>
            </w:r>
          </w:p>
        </w:tc>
        <w:tc>
          <w:tcPr>
            <w:tcW w:w="935" w:type="dxa"/>
            <w:tcBorders>
              <w:top w:val="single" w:sz="4" w:space="0" w:color="0B3D85"/>
              <w:bottom w:val="single" w:sz="4" w:space="0" w:color="0B3D85"/>
            </w:tcBorders>
            <w:shd w:val="clear" w:color="auto" w:fill="FFFFFF" w:themeFill="background1"/>
            <w:vAlign w:val="center"/>
          </w:tcPr>
          <w:p w14:paraId="7C4C598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445</w:t>
            </w:r>
          </w:p>
        </w:tc>
        <w:tc>
          <w:tcPr>
            <w:tcW w:w="760" w:type="dxa"/>
            <w:tcBorders>
              <w:top w:val="single" w:sz="4" w:space="0" w:color="0B3D85"/>
              <w:bottom w:val="single" w:sz="4" w:space="0" w:color="0B3D85"/>
            </w:tcBorders>
            <w:shd w:val="clear" w:color="auto" w:fill="FFFFFF" w:themeFill="background1"/>
            <w:vAlign w:val="center"/>
          </w:tcPr>
          <w:p w14:paraId="181496B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44</w:t>
            </w:r>
          </w:p>
        </w:tc>
      </w:tr>
      <w:tr w:rsidR="00900056" w:rsidRPr="00900056" w14:paraId="2668D336" w14:textId="77777777" w:rsidTr="00922116">
        <w:trPr>
          <w:trHeight w:val="20"/>
        </w:trPr>
        <w:tc>
          <w:tcPr>
            <w:tcW w:w="1261" w:type="dxa"/>
            <w:tcBorders>
              <w:top w:val="single" w:sz="4" w:space="0" w:color="0B3D85"/>
              <w:bottom w:val="single" w:sz="4" w:space="0" w:color="0B3D85"/>
            </w:tcBorders>
            <w:shd w:val="clear" w:color="auto" w:fill="FFFFFF" w:themeFill="background1"/>
            <w:vAlign w:val="center"/>
          </w:tcPr>
          <w:p w14:paraId="7E390812"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sz w:val="24"/>
                <w:rtl/>
              </w:rPr>
              <w:t>متوسط التكلفة السنوية للفرد (</w:t>
            </w:r>
            <w:r w:rsidRPr="00B934CE">
              <w:rPr>
                <w:rFonts w:ascii="Traditional Arabic" w:eastAsia="Calibri" w:hAnsi="Traditional Arabic" w:cs="Traditional Arabic" w:hint="eastAsia"/>
                <w:sz w:val="24"/>
                <w:rtl/>
              </w:rPr>
              <w:t>ألف</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ر</w:t>
            </w:r>
            <w:r w:rsidRPr="00B934CE">
              <w:rPr>
                <w:rFonts w:ascii="Traditional Arabic" w:eastAsia="Calibri" w:hAnsi="Traditional Arabic" w:cs="Traditional Arabic"/>
                <w:sz w:val="24"/>
                <w:rtl/>
              </w:rPr>
              <w:t xml:space="preserve">يال </w:t>
            </w:r>
            <w:r w:rsidRPr="00B934CE">
              <w:rPr>
                <w:rFonts w:ascii="Traditional Arabic" w:eastAsia="Calibri" w:hAnsi="Traditional Arabic" w:cs="Traditional Arabic" w:hint="eastAsia"/>
                <w:sz w:val="24"/>
                <w:rtl/>
              </w:rPr>
              <w:t>ع</w:t>
            </w:r>
            <w:r w:rsidRPr="00B934CE">
              <w:rPr>
                <w:rFonts w:ascii="Traditional Arabic" w:eastAsia="Calibri" w:hAnsi="Traditional Arabic" w:cs="Traditional Arabic"/>
                <w:sz w:val="24"/>
                <w:rtl/>
              </w:rPr>
              <w:t>ماني)</w:t>
            </w:r>
          </w:p>
        </w:tc>
        <w:tc>
          <w:tcPr>
            <w:tcW w:w="1022" w:type="dxa"/>
            <w:tcBorders>
              <w:top w:val="single" w:sz="4" w:space="0" w:color="0B3D85"/>
              <w:bottom w:val="single" w:sz="4" w:space="0" w:color="0B3D85"/>
            </w:tcBorders>
            <w:shd w:val="clear" w:color="auto" w:fill="FFFFFF" w:themeFill="background1"/>
            <w:vAlign w:val="center"/>
          </w:tcPr>
          <w:p w14:paraId="6CF78EE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19.1</w:t>
            </w:r>
          </w:p>
        </w:tc>
        <w:tc>
          <w:tcPr>
            <w:tcW w:w="1262" w:type="dxa"/>
            <w:tcBorders>
              <w:top w:val="single" w:sz="4" w:space="0" w:color="0B3D85"/>
              <w:bottom w:val="single" w:sz="4" w:space="0" w:color="0B3D85"/>
            </w:tcBorders>
            <w:shd w:val="clear" w:color="auto" w:fill="FFFFFF" w:themeFill="background1"/>
            <w:vAlign w:val="center"/>
          </w:tcPr>
          <w:p w14:paraId="7032113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22.6</w:t>
            </w:r>
          </w:p>
        </w:tc>
        <w:tc>
          <w:tcPr>
            <w:tcW w:w="958" w:type="dxa"/>
            <w:tcBorders>
              <w:top w:val="single" w:sz="4" w:space="0" w:color="0B3D85"/>
              <w:bottom w:val="single" w:sz="4" w:space="0" w:color="0B3D85"/>
            </w:tcBorders>
            <w:shd w:val="clear" w:color="auto" w:fill="FFFFFF" w:themeFill="background1"/>
            <w:vAlign w:val="center"/>
          </w:tcPr>
          <w:p w14:paraId="4BCAD74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26.5</w:t>
            </w:r>
          </w:p>
        </w:tc>
        <w:tc>
          <w:tcPr>
            <w:tcW w:w="772" w:type="dxa"/>
            <w:tcBorders>
              <w:top w:val="single" w:sz="4" w:space="0" w:color="0B3D85"/>
              <w:bottom w:val="single" w:sz="4" w:space="0" w:color="0B3D85"/>
            </w:tcBorders>
            <w:shd w:val="clear" w:color="auto" w:fill="FFFFFF" w:themeFill="background1"/>
            <w:vAlign w:val="center"/>
          </w:tcPr>
          <w:p w14:paraId="3FB17B1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3.5</w:t>
            </w:r>
          </w:p>
        </w:tc>
        <w:tc>
          <w:tcPr>
            <w:tcW w:w="704" w:type="dxa"/>
            <w:tcBorders>
              <w:top w:val="single" w:sz="4" w:space="0" w:color="0B3D85"/>
              <w:bottom w:val="single" w:sz="4" w:space="0" w:color="0B3D85"/>
            </w:tcBorders>
            <w:shd w:val="clear" w:color="auto" w:fill="FFFFFF" w:themeFill="background1"/>
            <w:vAlign w:val="center"/>
          </w:tcPr>
          <w:p w14:paraId="16CCC37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w:t>
            </w:r>
          </w:p>
        </w:tc>
        <w:tc>
          <w:tcPr>
            <w:tcW w:w="768" w:type="dxa"/>
            <w:tcBorders>
              <w:top w:val="single" w:sz="4" w:space="0" w:color="0B3D85"/>
              <w:bottom w:val="single" w:sz="4" w:space="0" w:color="0B3D85"/>
            </w:tcBorders>
            <w:shd w:val="clear" w:color="auto" w:fill="FFFFFF" w:themeFill="background1"/>
            <w:vAlign w:val="center"/>
          </w:tcPr>
          <w:p w14:paraId="4874052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7.5</w:t>
            </w:r>
          </w:p>
        </w:tc>
        <w:tc>
          <w:tcPr>
            <w:tcW w:w="935" w:type="dxa"/>
            <w:tcBorders>
              <w:top w:val="single" w:sz="4" w:space="0" w:color="0B3D85"/>
              <w:bottom w:val="single" w:sz="4" w:space="0" w:color="0B3D85"/>
            </w:tcBorders>
            <w:shd w:val="clear" w:color="auto" w:fill="FFFFFF" w:themeFill="background1"/>
            <w:vAlign w:val="center"/>
          </w:tcPr>
          <w:p w14:paraId="25F656E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22.3</w:t>
            </w:r>
          </w:p>
        </w:tc>
        <w:tc>
          <w:tcPr>
            <w:tcW w:w="935" w:type="dxa"/>
            <w:tcBorders>
              <w:top w:val="single" w:sz="4" w:space="0" w:color="0B3D85"/>
              <w:bottom w:val="single" w:sz="4" w:space="0" w:color="0B3D85"/>
            </w:tcBorders>
            <w:shd w:val="clear" w:color="auto" w:fill="FFFFFF" w:themeFill="background1"/>
            <w:vAlign w:val="center"/>
          </w:tcPr>
          <w:p w14:paraId="766FA19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20.8</w:t>
            </w:r>
          </w:p>
        </w:tc>
        <w:tc>
          <w:tcPr>
            <w:tcW w:w="760" w:type="dxa"/>
            <w:tcBorders>
              <w:top w:val="single" w:sz="4" w:space="0" w:color="0B3D85"/>
              <w:bottom w:val="single" w:sz="4" w:space="0" w:color="0B3D85"/>
            </w:tcBorders>
            <w:shd w:val="clear" w:color="auto" w:fill="FFFFFF" w:themeFill="background1"/>
            <w:vAlign w:val="center"/>
          </w:tcPr>
          <w:p w14:paraId="339641D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w:t>
            </w:r>
          </w:p>
        </w:tc>
      </w:tr>
    </w:tbl>
    <w:p w14:paraId="1E7B8CFF"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bookmarkStart w:id="33" w:name="_Hlk183093904"/>
      <w:r w:rsidRPr="00B934CE">
        <w:rPr>
          <w:rFonts w:ascii="Traditional Arabic" w:eastAsia="Calibri" w:hAnsi="Traditional Arabic" w:cs="Traditional Arabic"/>
          <w:b/>
          <w:bCs/>
          <w:sz w:val="30"/>
          <w:szCs w:val="30"/>
          <w:rtl/>
        </w:rPr>
        <w:t xml:space="preserve">تكاليف الموظفين الإدارية </w:t>
      </w:r>
    </w:p>
    <w:bookmarkEnd w:id="33"/>
    <w:p w14:paraId="04DCC5F7"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تكاليف الموظفين الإدارية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30.1% من 7.2 مليون ريال عماني في السنة المالية 2021 الى 9.3 مليون ريال عماني في السنة المالية 2022، ويعود ذلك بشكل رئيسي إلى</w:t>
      </w:r>
      <w:r w:rsidRPr="00B934CE">
        <w:rPr>
          <w:rFonts w:ascii="Traditional Arabic" w:eastAsia="Calibri"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ارتفاع</w:t>
      </w:r>
      <w:r w:rsidRPr="00B934CE">
        <w:rPr>
          <w:rFonts w:ascii="Traditional Arabic" w:eastAsiaTheme="majorEastAsia" w:hAnsi="Traditional Arabic" w:cs="Traditional Arabic"/>
          <w:sz w:val="30"/>
          <w:szCs w:val="30"/>
          <w:rtl/>
        </w:rPr>
        <w:t xml:space="preserve"> الرواتب  </w:t>
      </w:r>
      <w:r w:rsidRPr="00B934CE">
        <w:rPr>
          <w:rFonts w:ascii="Traditional Arabic" w:eastAsia="Calibri" w:hAnsi="Traditional Arabic" w:cs="Traditional Arabic"/>
          <w:sz w:val="30"/>
          <w:szCs w:val="30"/>
          <w:rtl/>
        </w:rPr>
        <w:t xml:space="preserve">تماشياً مع النمو في إجمالي عدد الموظفين  </w:t>
      </w:r>
      <w:r w:rsidRPr="00B934CE">
        <w:rPr>
          <w:rFonts w:ascii="Traditional Arabic" w:eastAsia="Calibri" w:hAnsi="Traditional Arabic" w:cs="Traditional Arabic" w:hint="eastAsia"/>
          <w:sz w:val="30"/>
          <w:szCs w:val="30"/>
          <w:rtl/>
        </w:rPr>
        <w:t>وارتفاع</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متوسط</w:t>
      </w:r>
      <w:r w:rsidRPr="00B934CE">
        <w:rPr>
          <w:rFonts w:ascii="Traditional Arabic" w:eastAsia="Calibri" w:hAnsi="Traditional Arabic" w:cs="Traditional Arabic"/>
          <w:sz w:val="30"/>
          <w:szCs w:val="30"/>
          <w:rtl/>
        </w:rPr>
        <w:t xml:space="preserve"> </w:t>
      </w:r>
      <w:r w:rsidRPr="00B934CE">
        <w:rPr>
          <w:rFonts w:eastAsia="Calibri" w:cs="Times New Roman"/>
          <w:sz w:val="30"/>
          <w:szCs w:val="30"/>
        </w:rPr>
        <w:t>​​</w:t>
      </w:r>
      <w:r w:rsidRPr="00B934CE">
        <w:rPr>
          <w:rFonts w:ascii="Traditional Arabic" w:eastAsia="Calibri" w:hAnsi="Traditional Arabic" w:cs="Traditional Arabic" w:hint="eastAsia"/>
          <w:sz w:val="30"/>
          <w:szCs w:val="30"/>
          <w:rtl/>
        </w:rPr>
        <w:t>الراتب</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السنوي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للفرد</w:t>
      </w:r>
      <w:r w:rsidRPr="00B934CE">
        <w:rPr>
          <w:rFonts w:ascii="Traditional Arabic" w:eastAsia="Calibri" w:hAnsi="Traditional Arabic" w:cs="Traditional Arabic"/>
          <w:sz w:val="30"/>
          <w:szCs w:val="30"/>
          <w:rtl/>
        </w:rPr>
        <w:t xml:space="preserve"> ، إلى جانب </w:t>
      </w:r>
      <w:r w:rsidRPr="00B934CE">
        <w:rPr>
          <w:rFonts w:ascii="Traditional Arabic" w:eastAsia="Calibri" w:hAnsi="Traditional Arabic" w:cs="Traditional Arabic" w:hint="eastAsia"/>
          <w:sz w:val="30"/>
          <w:szCs w:val="30"/>
          <w:rtl/>
        </w:rPr>
        <w:t>ارتفاع</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مكافآت</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الموظفين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خلال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نفس</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الفترة</w:t>
      </w:r>
      <w:r w:rsidRPr="00B934CE">
        <w:rPr>
          <w:rFonts w:ascii="Traditional Arabic" w:eastAsia="Calibri" w:hAnsi="Traditional Arabic" w:cs="Traditional Arabic"/>
          <w:sz w:val="30"/>
          <w:szCs w:val="30"/>
          <w:rtl/>
        </w:rPr>
        <w:t>.</w:t>
      </w:r>
    </w:p>
    <w:p w14:paraId="24A35878"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lastRenderedPageBreak/>
        <w:t>ارتفعت</w:t>
      </w:r>
      <w:r w:rsidRPr="00B934CE">
        <w:rPr>
          <w:rFonts w:ascii="Traditional Arabic" w:eastAsiaTheme="majorEastAsia" w:hAnsi="Traditional Arabic" w:cs="Traditional Arabic"/>
          <w:sz w:val="30"/>
          <w:szCs w:val="30"/>
          <w:rtl/>
        </w:rPr>
        <w:t xml:space="preserve"> تكاليف الموظفين الإدارية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14.6% من 9.3 مليون ريال عماني في السنة المالية 2022 الى 10.7 مليون ريال عماني في السنة المالية 2023، ويعود ذلك بشكل رئيسي إلى</w:t>
      </w:r>
      <w:r w:rsidRPr="00B934CE">
        <w:rPr>
          <w:rFonts w:ascii="Traditional Arabic" w:eastAsia="Calibri" w:hAnsi="Traditional Arabic" w:cs="Traditional Arabic"/>
          <w:sz w:val="30"/>
          <w:szCs w:val="30"/>
          <w:rtl/>
        </w:rPr>
        <w:t xml:space="preserve"> </w:t>
      </w:r>
      <w:r w:rsidRPr="00B934CE">
        <w:rPr>
          <w:rFonts w:ascii="Traditional Arabic" w:eastAsiaTheme="majorEastAsia" w:hAnsi="Traditional Arabic" w:cs="Traditional Arabic"/>
          <w:sz w:val="30"/>
          <w:szCs w:val="30"/>
          <w:rtl/>
        </w:rPr>
        <w:t xml:space="preserve">رسوم الخدمة المشتركة التي </w:t>
      </w:r>
      <w:r w:rsidRPr="00B934CE">
        <w:rPr>
          <w:rFonts w:ascii="Traditional Arabic" w:eastAsiaTheme="majorEastAsia" w:hAnsi="Traditional Arabic" w:cs="Traditional Arabic" w:hint="eastAsia"/>
          <w:sz w:val="30"/>
          <w:szCs w:val="30"/>
          <w:rtl/>
        </w:rPr>
        <w:t>فرضتها</w:t>
      </w:r>
      <w:r w:rsidRPr="00B934CE">
        <w:rPr>
          <w:rFonts w:ascii="Traditional Arabic" w:eastAsiaTheme="majorEastAsia" w:hAnsi="Traditional Arabic" w:cs="Traditional Arabic"/>
          <w:sz w:val="30"/>
          <w:szCs w:val="30"/>
          <w:rtl/>
        </w:rPr>
        <w:t xml:space="preserve"> مجموعة أسياد اعتبارًا من السنة المالية 2023 ، بالإضافة إلى </w:t>
      </w:r>
      <w:r w:rsidRPr="00B934CE">
        <w:rPr>
          <w:rFonts w:ascii="Traditional Arabic" w:eastAsia="Calibri" w:hAnsi="Traditional Arabic" w:cs="Traditional Arabic" w:hint="eastAsia"/>
          <w:sz w:val="30"/>
          <w:szCs w:val="30"/>
          <w:rtl/>
        </w:rPr>
        <w:t>ارتفاع</w:t>
      </w:r>
      <w:r w:rsidRPr="00B934CE">
        <w:rPr>
          <w:rFonts w:ascii="Traditional Arabic" w:eastAsia="Calibri" w:hAnsi="Traditional Arabic" w:cs="Traditional Arabic"/>
          <w:sz w:val="30"/>
          <w:szCs w:val="30"/>
          <w:rtl/>
        </w:rPr>
        <w:t xml:space="preserve"> مكافآت الموظفين </w:t>
      </w:r>
      <w:r w:rsidRPr="00B934CE">
        <w:rPr>
          <w:rFonts w:ascii="Traditional Arabic" w:eastAsiaTheme="majorEastAsia" w:hAnsi="Traditional Arabic" w:cs="Traditional Arabic"/>
          <w:sz w:val="30"/>
          <w:szCs w:val="30"/>
          <w:rtl/>
        </w:rPr>
        <w:t xml:space="preserve"> والرواتب </w:t>
      </w:r>
      <w:r w:rsidRPr="00B934CE">
        <w:rPr>
          <w:rFonts w:ascii="Traditional Arabic" w:eastAsia="Calibri" w:hAnsi="Traditional Arabic" w:cs="Traditional Arabic"/>
          <w:sz w:val="30"/>
          <w:szCs w:val="30"/>
          <w:rtl/>
        </w:rPr>
        <w:t xml:space="preserve"> خلال نفس الفترة</w:t>
      </w:r>
      <w:r w:rsidRPr="00B934CE">
        <w:rPr>
          <w:rFonts w:ascii="Traditional Arabic" w:eastAsiaTheme="majorEastAsia" w:hAnsi="Traditional Arabic" w:cs="Traditional Arabic"/>
          <w:sz w:val="30"/>
          <w:szCs w:val="30"/>
          <w:rtl/>
        </w:rPr>
        <w:t xml:space="preserve">. </w:t>
      </w:r>
    </w:p>
    <w:p w14:paraId="2985AEDD" w14:textId="77777777" w:rsidR="00563389" w:rsidRPr="00B934CE" w:rsidRDefault="00563389" w:rsidP="00B934CE">
      <w:pPr>
        <w:bidi/>
        <w:spacing w:after="120"/>
        <w:jc w:val="both"/>
        <w:rPr>
          <w:rFonts w:ascii="Traditional Arabic" w:eastAsiaTheme="majorEastAsia" w:hAnsi="Traditional Arabic" w:cs="Traditional Arabic"/>
          <w:sz w:val="30"/>
          <w:szCs w:val="30"/>
        </w:rPr>
      </w:pPr>
      <w:r w:rsidRPr="00B934CE">
        <w:rPr>
          <w:rFonts w:ascii="Traditional Arabic" w:eastAsiaTheme="majorEastAsia" w:hAnsi="Traditional Arabic" w:cs="Traditional Arabic" w:hint="eastAsia"/>
          <w:sz w:val="30"/>
          <w:szCs w:val="30"/>
          <w:rtl/>
        </w:rPr>
        <w:t>ا</w:t>
      </w:r>
      <w:r w:rsidRPr="00B934CE">
        <w:rPr>
          <w:rFonts w:ascii="Traditional Arabic" w:eastAsiaTheme="majorEastAsia" w:hAnsi="Traditional Arabic" w:cs="Traditional Arabic"/>
          <w:sz w:val="30"/>
          <w:szCs w:val="30"/>
          <w:rtl/>
        </w:rPr>
        <w:t xml:space="preserve">رتفعت تكاليف الموظفين </w:t>
      </w:r>
      <w:r w:rsidRPr="00B934CE">
        <w:rPr>
          <w:rFonts w:ascii="Traditional Arabic" w:eastAsiaTheme="majorEastAsia" w:hAnsi="Traditional Arabic" w:cs="Traditional Arabic" w:hint="eastAsia"/>
          <w:sz w:val="30"/>
          <w:szCs w:val="30"/>
          <w:rtl/>
        </w:rPr>
        <w:t>الإدارية</w:t>
      </w:r>
      <w:r w:rsidRPr="00B934CE">
        <w:rPr>
          <w:rFonts w:ascii="Traditional Arabic" w:eastAsiaTheme="majorEastAsia" w:hAnsi="Traditional Arabic" w:cs="Traditional Arabic"/>
          <w:sz w:val="30"/>
          <w:szCs w:val="30"/>
          <w:rtl/>
        </w:rPr>
        <w:t xml:space="preserve"> بنسبة 3.4% من 6.7 مليون ريال عماني في فترة التسعة </w:t>
      </w:r>
      <w:r w:rsidRPr="00B934CE">
        <w:rPr>
          <w:rFonts w:ascii="Traditional Arabic" w:eastAsiaTheme="majorEastAsia" w:hAnsi="Traditional Arabic" w:cs="Traditional Arabic" w:hint="eastAsia"/>
          <w:sz w:val="30"/>
          <w:szCs w:val="30"/>
          <w:rtl/>
        </w:rPr>
        <w:t>أشهر</w:t>
      </w:r>
      <w:r w:rsidRPr="00B934CE">
        <w:rPr>
          <w:rFonts w:ascii="Traditional Arabic" w:eastAsiaTheme="majorEastAsia" w:hAnsi="Traditional Arabic" w:cs="Traditional Arabic"/>
          <w:sz w:val="30"/>
          <w:szCs w:val="30"/>
          <w:rtl/>
        </w:rPr>
        <w:t xml:space="preserve"> المنتهية في 30 سبتمبر 2023 إلى 6.9 مليون ريال عماني في فترة التسعة أشهر المنتهية في 30 سبتمبر 2024، ويرجع ذلك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أساسي إلى ارتفاع الرواتب  تماشيًا مع النمو في إجمالي عدد الموظفين ، ومكافآت الموظفين ، والتوظيف والتدريب. وقد تم تعويض ذلك جزئيًا من خلال الانخفاض في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الراتب</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للفرد</w:t>
      </w:r>
      <w:r w:rsidRPr="00B934CE">
        <w:rPr>
          <w:rFonts w:ascii="Traditional Arabic" w:eastAsiaTheme="majorEastAsia" w:hAnsi="Traditional Arabic" w:cs="Traditional Arabic"/>
          <w:sz w:val="30"/>
          <w:szCs w:val="30"/>
          <w:rtl/>
        </w:rPr>
        <w:t>.</w:t>
      </w:r>
    </w:p>
    <w:bookmarkEnd w:id="31"/>
    <w:bookmarkEnd w:id="32"/>
    <w:p w14:paraId="089221C4" w14:textId="77777777" w:rsidR="00563389" w:rsidRPr="00B934CE" w:rsidRDefault="00563389" w:rsidP="00B934CE">
      <w:pPr>
        <w:pStyle w:val="4"/>
        <w:spacing w:before="0"/>
        <w:rPr>
          <w:rFonts w:ascii="Traditional Arabic" w:hAnsi="Traditional Arabic" w:cs="Traditional Arabic"/>
          <w:b w:val="0"/>
          <w:bCs w:val="0"/>
          <w:i/>
          <w:iCs/>
          <w:color w:val="auto"/>
          <w:sz w:val="30"/>
          <w:szCs w:val="30"/>
        </w:rPr>
      </w:pPr>
    </w:p>
    <w:p w14:paraId="692608A2" w14:textId="77777777" w:rsidR="00563389" w:rsidRPr="00B934CE" w:rsidRDefault="00563389" w:rsidP="00B934CE">
      <w:pPr>
        <w:pStyle w:val="4"/>
        <w:spacing w:before="0"/>
        <w:rPr>
          <w:rFonts w:ascii="Traditional Arabic" w:hAnsi="Traditional Arabic" w:cs="Traditional Arabic"/>
          <w:b w:val="0"/>
          <w:bCs w:val="0"/>
          <w:i/>
          <w:iCs/>
          <w:color w:val="auto"/>
          <w:sz w:val="30"/>
          <w:szCs w:val="30"/>
        </w:rPr>
      </w:pPr>
      <w:r w:rsidRPr="00B934CE">
        <w:rPr>
          <w:rFonts w:ascii="Traditional Arabic" w:hAnsi="Traditional Arabic" w:cs="Traditional Arabic" w:hint="eastAsia"/>
          <w:b w:val="0"/>
          <w:bCs w:val="0"/>
          <w:i/>
          <w:iCs/>
          <w:color w:val="auto"/>
          <w:sz w:val="30"/>
          <w:szCs w:val="30"/>
          <w:rtl/>
        </w:rPr>
        <w:t>تكاليف</w:t>
      </w:r>
      <w:r w:rsidRPr="00B934CE">
        <w:rPr>
          <w:rFonts w:ascii="Traditional Arabic" w:hAnsi="Traditional Arabic" w:cs="Traditional Arabic"/>
          <w:b w:val="0"/>
          <w:bCs w:val="0"/>
          <w:i/>
          <w:iCs/>
          <w:color w:val="auto"/>
          <w:sz w:val="30"/>
          <w:szCs w:val="30"/>
          <w:rtl/>
        </w:rPr>
        <w:t xml:space="preserve"> التمويل </w:t>
      </w:r>
    </w:p>
    <w:p w14:paraId="73262409" w14:textId="77777777" w:rsidR="00563389" w:rsidRPr="00B934CE" w:rsidRDefault="00563389" w:rsidP="00B934CE">
      <w:pPr>
        <w:bidi/>
        <w:jc w:val="both"/>
        <w:rPr>
          <w:rFonts w:ascii="Traditional Arabic" w:eastAsia="Calibri" w:hAnsi="Traditional Arabic" w:cs="Traditional Arabic"/>
          <w:i/>
          <w:iCs/>
          <w:sz w:val="30"/>
          <w:szCs w:val="30"/>
          <w:rtl/>
        </w:rPr>
      </w:pPr>
      <w:bookmarkStart w:id="34" w:name="_Hlk164949219"/>
      <w:r w:rsidRPr="00B934CE">
        <w:rPr>
          <w:rFonts w:ascii="Traditional Arabic" w:eastAsia="Calibri" w:hAnsi="Traditional Arabic" w:cs="Traditional Arabic"/>
          <w:i/>
          <w:iCs/>
          <w:sz w:val="30"/>
          <w:szCs w:val="30"/>
          <w:rtl/>
        </w:rPr>
        <w:t>الجدول‏:</w:t>
      </w:r>
      <w:r w:rsidRPr="00B934CE">
        <w:rPr>
          <w:rFonts w:ascii="Traditional Arabic" w:eastAsia="Calibri" w:hAnsi="Traditional Arabic" w:cs="Traditional Arabic"/>
          <w:b/>
          <w:bCs/>
          <w:i/>
          <w:iCs/>
          <w:sz w:val="30"/>
          <w:szCs w:val="30"/>
          <w:rtl/>
        </w:rPr>
        <w:t xml:space="preserve"> </w:t>
      </w:r>
      <w:r w:rsidRPr="00B934CE">
        <w:rPr>
          <w:rFonts w:ascii="Traditional Arabic" w:eastAsia="Calibri" w:hAnsi="Traditional Arabic" w:cs="Traditional Arabic" w:hint="eastAsia"/>
          <w:i/>
          <w:iCs/>
          <w:sz w:val="30"/>
          <w:szCs w:val="30"/>
          <w:rtl/>
        </w:rPr>
        <w:t>تكاليف</w:t>
      </w:r>
      <w:r w:rsidRPr="00B934CE">
        <w:rPr>
          <w:rFonts w:ascii="Traditional Arabic" w:eastAsia="Calibri" w:hAnsi="Traditional Arabic" w:cs="Traditional Arabic"/>
          <w:i/>
          <w:iCs/>
          <w:sz w:val="30"/>
          <w:szCs w:val="30"/>
          <w:rtl/>
        </w:rPr>
        <w:t xml:space="preserve"> التمويل للسنوات المالية المنتهية في 31 ديسمبر 2021، 2022، و2023، وفترتي التسعة أشهر المنتهيتين في 30 سبتمبر 2023 و2024:</w:t>
      </w:r>
    </w:p>
    <w:tbl>
      <w:tblPr>
        <w:bidiVisual/>
        <w:tblW w:w="9377" w:type="dxa"/>
        <w:tblLook w:val="04A0" w:firstRow="1" w:lastRow="0" w:firstColumn="1" w:lastColumn="0" w:noHBand="0" w:noVBand="1"/>
      </w:tblPr>
      <w:tblGrid>
        <w:gridCol w:w="1046"/>
        <w:gridCol w:w="956"/>
        <w:gridCol w:w="1079"/>
        <w:gridCol w:w="922"/>
        <w:gridCol w:w="839"/>
        <w:gridCol w:w="937"/>
        <w:gridCol w:w="839"/>
        <w:gridCol w:w="960"/>
        <w:gridCol w:w="960"/>
        <w:gridCol w:w="839"/>
      </w:tblGrid>
      <w:tr w:rsidR="00900056" w:rsidRPr="00900056" w14:paraId="270D87A7" w14:textId="77777777" w:rsidTr="00922116">
        <w:trPr>
          <w:trHeight w:val="20"/>
        </w:trPr>
        <w:tc>
          <w:tcPr>
            <w:tcW w:w="1311" w:type="dxa"/>
            <w:shd w:val="clear" w:color="auto" w:fill="0B3D85"/>
            <w:vAlign w:val="center"/>
          </w:tcPr>
          <w:p w14:paraId="194170C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 xml:space="preserve">بآلاف الريالات </w:t>
            </w:r>
            <w:r w:rsidRPr="00B934CE">
              <w:rPr>
                <w:rFonts w:ascii="Traditional Arabic" w:hAnsi="Traditional Arabic" w:cs="Traditional Arabic" w:hint="eastAsia"/>
                <w:b/>
                <w:bCs/>
                <w:sz w:val="24"/>
                <w:rtl/>
              </w:rPr>
              <w:t>العمانية</w:t>
            </w:r>
          </w:p>
        </w:tc>
        <w:tc>
          <w:tcPr>
            <w:tcW w:w="1048" w:type="dxa"/>
            <w:shd w:val="clear" w:color="auto" w:fill="0B3D85"/>
            <w:vAlign w:val="center"/>
          </w:tcPr>
          <w:p w14:paraId="7E900703"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2021</w:t>
            </w:r>
          </w:p>
          <w:p w14:paraId="7669E8E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1315" w:type="dxa"/>
            <w:shd w:val="clear" w:color="auto" w:fill="0B3D85"/>
            <w:vAlign w:val="center"/>
          </w:tcPr>
          <w:p w14:paraId="581A19ED"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2022</w:t>
            </w:r>
          </w:p>
          <w:p w14:paraId="7C6171B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975" w:type="dxa"/>
            <w:shd w:val="clear" w:color="auto" w:fill="0B3D85"/>
            <w:vAlign w:val="center"/>
          </w:tcPr>
          <w:p w14:paraId="415534EE"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2023</w:t>
            </w:r>
          </w:p>
          <w:p w14:paraId="7CDC5D3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703" w:type="dxa"/>
            <w:shd w:val="clear" w:color="auto" w:fill="0B3D85"/>
            <w:vAlign w:val="center"/>
          </w:tcPr>
          <w:p w14:paraId="2CF0B6C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2021- 2022</w:t>
            </w:r>
          </w:p>
        </w:tc>
        <w:tc>
          <w:tcPr>
            <w:tcW w:w="772" w:type="dxa"/>
            <w:shd w:val="clear" w:color="auto" w:fill="0B3D85"/>
            <w:vAlign w:val="center"/>
          </w:tcPr>
          <w:p w14:paraId="29A112AA"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2022- 2023</w:t>
            </w:r>
          </w:p>
        </w:tc>
        <w:tc>
          <w:tcPr>
            <w:tcW w:w="694" w:type="dxa"/>
            <w:shd w:val="clear" w:color="auto" w:fill="0B3D85"/>
            <w:vAlign w:val="center"/>
          </w:tcPr>
          <w:p w14:paraId="2355CED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معدل النمو المركب 2021-2023</w:t>
            </w:r>
          </w:p>
        </w:tc>
        <w:tc>
          <w:tcPr>
            <w:tcW w:w="936" w:type="dxa"/>
            <w:shd w:val="clear" w:color="auto" w:fill="0B3D85"/>
            <w:vAlign w:val="center"/>
          </w:tcPr>
          <w:p w14:paraId="2DECC1BC"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2023</w:t>
            </w:r>
          </w:p>
          <w:p w14:paraId="6ED1028A"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936" w:type="dxa"/>
            <w:shd w:val="clear" w:color="auto" w:fill="0B3D85"/>
            <w:vAlign w:val="center"/>
          </w:tcPr>
          <w:p w14:paraId="635B5FA4"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2024</w:t>
            </w:r>
          </w:p>
          <w:p w14:paraId="43710BFE"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687" w:type="dxa"/>
            <w:shd w:val="clear" w:color="auto" w:fill="0B3D85"/>
            <w:vAlign w:val="center"/>
          </w:tcPr>
          <w:p w14:paraId="62E5DAF3"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التغير للفترة 2023-2024</w:t>
            </w:r>
          </w:p>
        </w:tc>
      </w:tr>
      <w:tr w:rsidR="00900056" w:rsidRPr="00900056" w14:paraId="60F24524" w14:textId="77777777" w:rsidTr="00922116">
        <w:trPr>
          <w:trHeight w:val="20"/>
        </w:trPr>
        <w:tc>
          <w:tcPr>
            <w:tcW w:w="1311" w:type="dxa"/>
            <w:tcBorders>
              <w:top w:val="single" w:sz="4" w:space="0" w:color="0B3D85"/>
              <w:bottom w:val="single" w:sz="4" w:space="0" w:color="0B3D85"/>
            </w:tcBorders>
            <w:shd w:val="clear" w:color="auto" w:fill="FFFFFF" w:themeFill="background1"/>
            <w:vAlign w:val="center"/>
          </w:tcPr>
          <w:p w14:paraId="4D19D04F"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فوائد</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على</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قروض</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وسلفيات</w:t>
            </w:r>
          </w:p>
        </w:tc>
        <w:tc>
          <w:tcPr>
            <w:tcW w:w="1048" w:type="dxa"/>
            <w:tcBorders>
              <w:top w:val="single" w:sz="4" w:space="0" w:color="0B3D85"/>
              <w:bottom w:val="single" w:sz="4" w:space="0" w:color="0B3D85"/>
            </w:tcBorders>
            <w:shd w:val="clear" w:color="auto" w:fill="FFFFFF" w:themeFill="background1"/>
            <w:vAlign w:val="center"/>
          </w:tcPr>
          <w:p w14:paraId="72593AD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18,589</w:t>
            </w:r>
          </w:p>
        </w:tc>
        <w:tc>
          <w:tcPr>
            <w:tcW w:w="1315" w:type="dxa"/>
            <w:tcBorders>
              <w:top w:val="single" w:sz="4" w:space="0" w:color="0B3D85"/>
              <w:bottom w:val="single" w:sz="4" w:space="0" w:color="0B3D85"/>
            </w:tcBorders>
            <w:shd w:val="clear" w:color="auto" w:fill="FFFFFF" w:themeFill="background1"/>
            <w:vAlign w:val="center"/>
          </w:tcPr>
          <w:p w14:paraId="643349A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21,755</w:t>
            </w:r>
          </w:p>
        </w:tc>
        <w:tc>
          <w:tcPr>
            <w:tcW w:w="975" w:type="dxa"/>
            <w:tcBorders>
              <w:top w:val="single" w:sz="4" w:space="0" w:color="0B3D85"/>
              <w:bottom w:val="single" w:sz="4" w:space="0" w:color="0B3D85"/>
            </w:tcBorders>
            <w:shd w:val="clear" w:color="auto" w:fill="FFFFFF" w:themeFill="background1"/>
            <w:vAlign w:val="center"/>
          </w:tcPr>
          <w:p w14:paraId="1E9CABB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33,075</w:t>
            </w:r>
          </w:p>
        </w:tc>
        <w:tc>
          <w:tcPr>
            <w:tcW w:w="703" w:type="dxa"/>
            <w:tcBorders>
              <w:top w:val="single" w:sz="4" w:space="0" w:color="0B3D85"/>
              <w:bottom w:val="single" w:sz="4" w:space="0" w:color="0B3D85"/>
            </w:tcBorders>
            <w:shd w:val="clear" w:color="auto" w:fill="FFFFFF" w:themeFill="background1"/>
            <w:vAlign w:val="center"/>
          </w:tcPr>
          <w:p w14:paraId="7B733EA0" w14:textId="77777777" w:rsidR="00563389" w:rsidRPr="00B934CE" w:rsidRDefault="00563389"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17.0%</w:t>
            </w:r>
          </w:p>
        </w:tc>
        <w:tc>
          <w:tcPr>
            <w:tcW w:w="772" w:type="dxa"/>
            <w:tcBorders>
              <w:top w:val="single" w:sz="4" w:space="0" w:color="0B3D85"/>
              <w:bottom w:val="single" w:sz="4" w:space="0" w:color="0B3D85"/>
            </w:tcBorders>
            <w:shd w:val="clear" w:color="auto" w:fill="FFFFFF" w:themeFill="background1"/>
            <w:vAlign w:val="center"/>
          </w:tcPr>
          <w:p w14:paraId="0F36691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52.0%</w:t>
            </w:r>
          </w:p>
        </w:tc>
        <w:tc>
          <w:tcPr>
            <w:tcW w:w="694" w:type="dxa"/>
            <w:tcBorders>
              <w:top w:val="single" w:sz="4" w:space="0" w:color="0B3D85"/>
              <w:bottom w:val="single" w:sz="4" w:space="0" w:color="0B3D85"/>
            </w:tcBorders>
            <w:shd w:val="clear" w:color="auto" w:fill="FFFFFF" w:themeFill="background1"/>
            <w:vAlign w:val="center"/>
          </w:tcPr>
          <w:p w14:paraId="356AD05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33.4%</w:t>
            </w:r>
          </w:p>
        </w:tc>
        <w:tc>
          <w:tcPr>
            <w:tcW w:w="936" w:type="dxa"/>
            <w:tcBorders>
              <w:top w:val="single" w:sz="4" w:space="0" w:color="0B3D85"/>
              <w:bottom w:val="single" w:sz="4" w:space="0" w:color="0B3D85"/>
            </w:tcBorders>
            <w:shd w:val="clear" w:color="auto" w:fill="FFFFFF" w:themeFill="background1"/>
            <w:vAlign w:val="center"/>
          </w:tcPr>
          <w:p w14:paraId="5DC7F89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24,543</w:t>
            </w:r>
          </w:p>
        </w:tc>
        <w:tc>
          <w:tcPr>
            <w:tcW w:w="936" w:type="dxa"/>
            <w:tcBorders>
              <w:top w:val="single" w:sz="4" w:space="0" w:color="0B3D85"/>
              <w:bottom w:val="single" w:sz="4" w:space="0" w:color="0B3D85"/>
            </w:tcBorders>
            <w:shd w:val="clear" w:color="auto" w:fill="FFFFFF" w:themeFill="background1"/>
            <w:vAlign w:val="center"/>
          </w:tcPr>
          <w:p w14:paraId="5B98A84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22,920</w:t>
            </w:r>
          </w:p>
        </w:tc>
        <w:tc>
          <w:tcPr>
            <w:tcW w:w="687" w:type="dxa"/>
            <w:tcBorders>
              <w:top w:val="single" w:sz="4" w:space="0" w:color="0B3D85"/>
              <w:bottom w:val="single" w:sz="4" w:space="0" w:color="0B3D85"/>
            </w:tcBorders>
            <w:shd w:val="clear" w:color="auto" w:fill="FFFFFF" w:themeFill="background1"/>
            <w:vAlign w:val="center"/>
          </w:tcPr>
          <w:p w14:paraId="0A7C631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(6.6%)</w:t>
            </w:r>
          </w:p>
        </w:tc>
      </w:tr>
      <w:tr w:rsidR="00900056" w:rsidRPr="00900056" w14:paraId="6C8CE1E6" w14:textId="77777777" w:rsidTr="00922116">
        <w:trPr>
          <w:trHeight w:val="20"/>
        </w:trPr>
        <w:tc>
          <w:tcPr>
            <w:tcW w:w="1311" w:type="dxa"/>
            <w:tcBorders>
              <w:top w:val="single" w:sz="4" w:space="0" w:color="0B3D85"/>
              <w:bottom w:val="single" w:sz="4" w:space="0" w:color="0B3D85"/>
            </w:tcBorders>
            <w:shd w:val="clear" w:color="auto" w:fill="FFFFFF" w:themeFill="background1"/>
            <w:vAlign w:val="center"/>
          </w:tcPr>
          <w:p w14:paraId="49536379"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فوائد على عقود مقايضة أسعار الفائدة </w:t>
            </w:r>
          </w:p>
        </w:tc>
        <w:tc>
          <w:tcPr>
            <w:tcW w:w="1048" w:type="dxa"/>
            <w:tcBorders>
              <w:top w:val="single" w:sz="4" w:space="0" w:color="0B3D85"/>
              <w:bottom w:val="single" w:sz="4" w:space="0" w:color="0B3D85"/>
            </w:tcBorders>
            <w:shd w:val="clear" w:color="auto" w:fill="FFFFFF" w:themeFill="background1"/>
            <w:vAlign w:val="center"/>
          </w:tcPr>
          <w:p w14:paraId="1F1BFA4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4,333</w:t>
            </w:r>
          </w:p>
        </w:tc>
        <w:tc>
          <w:tcPr>
            <w:tcW w:w="1315" w:type="dxa"/>
            <w:tcBorders>
              <w:top w:val="single" w:sz="4" w:space="0" w:color="0B3D85"/>
              <w:bottom w:val="single" w:sz="4" w:space="0" w:color="0B3D85"/>
            </w:tcBorders>
            <w:shd w:val="clear" w:color="auto" w:fill="FFFFFF" w:themeFill="background1"/>
            <w:vAlign w:val="center"/>
          </w:tcPr>
          <w:p w14:paraId="0F5DC0D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342</w:t>
            </w:r>
          </w:p>
        </w:tc>
        <w:tc>
          <w:tcPr>
            <w:tcW w:w="975" w:type="dxa"/>
            <w:tcBorders>
              <w:top w:val="single" w:sz="4" w:space="0" w:color="0B3D85"/>
              <w:bottom w:val="single" w:sz="4" w:space="0" w:color="0B3D85"/>
            </w:tcBorders>
            <w:shd w:val="clear" w:color="auto" w:fill="FFFFFF" w:themeFill="background1"/>
            <w:vAlign w:val="center"/>
          </w:tcPr>
          <w:p w14:paraId="1ABC281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703" w:type="dxa"/>
            <w:tcBorders>
              <w:top w:val="single" w:sz="4" w:space="0" w:color="0B3D85"/>
              <w:bottom w:val="single" w:sz="4" w:space="0" w:color="0B3D85"/>
            </w:tcBorders>
            <w:shd w:val="clear" w:color="auto" w:fill="FFFFFF" w:themeFill="background1"/>
            <w:vAlign w:val="center"/>
          </w:tcPr>
          <w:p w14:paraId="3F5BADD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(92.1%)</w:t>
            </w:r>
          </w:p>
        </w:tc>
        <w:tc>
          <w:tcPr>
            <w:tcW w:w="772" w:type="dxa"/>
            <w:tcBorders>
              <w:top w:val="single" w:sz="4" w:space="0" w:color="0B3D85"/>
              <w:bottom w:val="single" w:sz="4" w:space="0" w:color="0B3D85"/>
            </w:tcBorders>
            <w:shd w:val="clear" w:color="auto" w:fill="FFFFFF" w:themeFill="background1"/>
            <w:vAlign w:val="center"/>
          </w:tcPr>
          <w:p w14:paraId="3B29BC2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(100.0%)</w:t>
            </w:r>
          </w:p>
        </w:tc>
        <w:tc>
          <w:tcPr>
            <w:tcW w:w="694" w:type="dxa"/>
            <w:tcBorders>
              <w:top w:val="single" w:sz="4" w:space="0" w:color="0B3D85"/>
              <w:bottom w:val="single" w:sz="4" w:space="0" w:color="0B3D85"/>
            </w:tcBorders>
            <w:shd w:val="clear" w:color="auto" w:fill="FFFFFF" w:themeFill="background1"/>
            <w:vAlign w:val="center"/>
          </w:tcPr>
          <w:p w14:paraId="4B23AE8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100.0%</w:t>
            </w:r>
          </w:p>
        </w:tc>
        <w:tc>
          <w:tcPr>
            <w:tcW w:w="936" w:type="dxa"/>
            <w:tcBorders>
              <w:top w:val="single" w:sz="4" w:space="0" w:color="0B3D85"/>
              <w:bottom w:val="single" w:sz="4" w:space="0" w:color="0B3D85"/>
            </w:tcBorders>
            <w:shd w:val="clear" w:color="auto" w:fill="FFFFFF" w:themeFill="background1"/>
            <w:vAlign w:val="center"/>
          </w:tcPr>
          <w:p w14:paraId="32EA8D9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36" w:type="dxa"/>
            <w:tcBorders>
              <w:top w:val="single" w:sz="4" w:space="0" w:color="0B3D85"/>
              <w:bottom w:val="single" w:sz="4" w:space="0" w:color="0B3D85"/>
            </w:tcBorders>
            <w:shd w:val="clear" w:color="auto" w:fill="FFFFFF" w:themeFill="background1"/>
            <w:vAlign w:val="center"/>
          </w:tcPr>
          <w:p w14:paraId="6B47987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687" w:type="dxa"/>
            <w:tcBorders>
              <w:top w:val="single" w:sz="4" w:space="0" w:color="0B3D85"/>
              <w:bottom w:val="single" w:sz="4" w:space="0" w:color="0B3D85"/>
            </w:tcBorders>
            <w:shd w:val="clear" w:color="auto" w:fill="FFFFFF" w:themeFill="background1"/>
            <w:vAlign w:val="center"/>
          </w:tcPr>
          <w:p w14:paraId="34B05A8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r>
      <w:tr w:rsidR="00900056" w:rsidRPr="00900056" w14:paraId="798EFD30" w14:textId="77777777" w:rsidTr="00922116">
        <w:trPr>
          <w:trHeight w:val="20"/>
        </w:trPr>
        <w:tc>
          <w:tcPr>
            <w:tcW w:w="1311" w:type="dxa"/>
            <w:tcBorders>
              <w:top w:val="single" w:sz="4" w:space="0" w:color="0B3D85"/>
              <w:bottom w:val="single" w:sz="4" w:space="0" w:color="0B3D85"/>
            </w:tcBorders>
            <w:shd w:val="clear" w:color="auto" w:fill="FFFFFF" w:themeFill="background1"/>
            <w:vAlign w:val="center"/>
          </w:tcPr>
          <w:p w14:paraId="73C328FE"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مصروفات</w:t>
            </w:r>
            <w:r w:rsidRPr="00B934CE">
              <w:rPr>
                <w:rFonts w:ascii="Traditional Arabic" w:eastAsia="Calibri" w:hAnsi="Traditional Arabic" w:cs="Traditional Arabic"/>
                <w:sz w:val="24"/>
                <w:rtl/>
              </w:rPr>
              <w:t xml:space="preserve"> فوائد على التزامات إيجار </w:t>
            </w:r>
          </w:p>
        </w:tc>
        <w:tc>
          <w:tcPr>
            <w:tcW w:w="1048" w:type="dxa"/>
            <w:tcBorders>
              <w:top w:val="single" w:sz="4" w:space="0" w:color="0B3D85"/>
              <w:bottom w:val="single" w:sz="4" w:space="0" w:color="0B3D85"/>
            </w:tcBorders>
            <w:shd w:val="clear" w:color="auto" w:fill="FFFFFF" w:themeFill="background1"/>
            <w:vAlign w:val="center"/>
          </w:tcPr>
          <w:p w14:paraId="21087C9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1,419</w:t>
            </w:r>
          </w:p>
        </w:tc>
        <w:tc>
          <w:tcPr>
            <w:tcW w:w="1315" w:type="dxa"/>
            <w:tcBorders>
              <w:top w:val="single" w:sz="4" w:space="0" w:color="0B3D85"/>
              <w:bottom w:val="single" w:sz="4" w:space="0" w:color="0B3D85"/>
            </w:tcBorders>
            <w:shd w:val="clear" w:color="auto" w:fill="FFFFFF" w:themeFill="background1"/>
            <w:vAlign w:val="center"/>
          </w:tcPr>
          <w:p w14:paraId="5DA1022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2,861</w:t>
            </w:r>
          </w:p>
        </w:tc>
        <w:tc>
          <w:tcPr>
            <w:tcW w:w="975" w:type="dxa"/>
            <w:tcBorders>
              <w:top w:val="single" w:sz="4" w:space="0" w:color="0B3D85"/>
              <w:bottom w:val="single" w:sz="4" w:space="0" w:color="0B3D85"/>
            </w:tcBorders>
            <w:shd w:val="clear" w:color="auto" w:fill="FFFFFF" w:themeFill="background1"/>
            <w:vAlign w:val="center"/>
          </w:tcPr>
          <w:p w14:paraId="04DD573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8,447</w:t>
            </w:r>
          </w:p>
        </w:tc>
        <w:tc>
          <w:tcPr>
            <w:tcW w:w="703" w:type="dxa"/>
            <w:tcBorders>
              <w:top w:val="single" w:sz="4" w:space="0" w:color="0B3D85"/>
              <w:bottom w:val="single" w:sz="4" w:space="0" w:color="0B3D85"/>
            </w:tcBorders>
            <w:shd w:val="clear" w:color="auto" w:fill="FFFFFF" w:themeFill="background1"/>
            <w:vAlign w:val="center"/>
          </w:tcPr>
          <w:p w14:paraId="3A67647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101.5%</w:t>
            </w:r>
          </w:p>
        </w:tc>
        <w:tc>
          <w:tcPr>
            <w:tcW w:w="772" w:type="dxa"/>
            <w:tcBorders>
              <w:top w:val="single" w:sz="4" w:space="0" w:color="0B3D85"/>
              <w:bottom w:val="single" w:sz="4" w:space="0" w:color="0B3D85"/>
            </w:tcBorders>
            <w:shd w:val="clear" w:color="auto" w:fill="FFFFFF" w:themeFill="background1"/>
            <w:vAlign w:val="center"/>
          </w:tcPr>
          <w:p w14:paraId="2B853B3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195.3%</w:t>
            </w:r>
          </w:p>
        </w:tc>
        <w:tc>
          <w:tcPr>
            <w:tcW w:w="694" w:type="dxa"/>
            <w:tcBorders>
              <w:top w:val="single" w:sz="4" w:space="0" w:color="0B3D85"/>
              <w:bottom w:val="single" w:sz="4" w:space="0" w:color="0B3D85"/>
            </w:tcBorders>
            <w:shd w:val="clear" w:color="auto" w:fill="FFFFFF" w:themeFill="background1"/>
            <w:vAlign w:val="center"/>
          </w:tcPr>
          <w:p w14:paraId="313E542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144.0%</w:t>
            </w:r>
          </w:p>
        </w:tc>
        <w:tc>
          <w:tcPr>
            <w:tcW w:w="936" w:type="dxa"/>
            <w:tcBorders>
              <w:top w:val="single" w:sz="4" w:space="0" w:color="0B3D85"/>
              <w:bottom w:val="single" w:sz="4" w:space="0" w:color="0B3D85"/>
            </w:tcBorders>
            <w:shd w:val="clear" w:color="auto" w:fill="FFFFFF" w:themeFill="background1"/>
            <w:vAlign w:val="center"/>
          </w:tcPr>
          <w:p w14:paraId="3F2E159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6,428</w:t>
            </w:r>
          </w:p>
        </w:tc>
        <w:tc>
          <w:tcPr>
            <w:tcW w:w="936" w:type="dxa"/>
            <w:tcBorders>
              <w:top w:val="single" w:sz="4" w:space="0" w:color="0B3D85"/>
              <w:bottom w:val="single" w:sz="4" w:space="0" w:color="0B3D85"/>
            </w:tcBorders>
            <w:shd w:val="clear" w:color="auto" w:fill="FFFFFF" w:themeFill="background1"/>
            <w:vAlign w:val="center"/>
          </w:tcPr>
          <w:p w14:paraId="65FFCE2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6,586</w:t>
            </w:r>
          </w:p>
        </w:tc>
        <w:tc>
          <w:tcPr>
            <w:tcW w:w="687" w:type="dxa"/>
            <w:tcBorders>
              <w:top w:val="single" w:sz="4" w:space="0" w:color="0B3D85"/>
              <w:bottom w:val="single" w:sz="4" w:space="0" w:color="0B3D85"/>
            </w:tcBorders>
            <w:shd w:val="clear" w:color="auto" w:fill="FFFFFF" w:themeFill="background1"/>
            <w:vAlign w:val="center"/>
          </w:tcPr>
          <w:p w14:paraId="2195594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r>
      <w:tr w:rsidR="00900056" w:rsidRPr="00900056" w14:paraId="29EA15B9" w14:textId="77777777" w:rsidTr="00922116">
        <w:trPr>
          <w:trHeight w:val="20"/>
        </w:trPr>
        <w:tc>
          <w:tcPr>
            <w:tcW w:w="1311" w:type="dxa"/>
            <w:tcBorders>
              <w:top w:val="single" w:sz="4" w:space="0" w:color="0B3D85"/>
              <w:bottom w:val="single" w:sz="4" w:space="0" w:color="0B3D85"/>
            </w:tcBorders>
            <w:shd w:val="clear" w:color="auto" w:fill="FFFFFF" w:themeFill="background1"/>
            <w:vAlign w:val="center"/>
          </w:tcPr>
          <w:p w14:paraId="7D941910"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إطفاء</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تكلفة</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تمويل</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مؤجلة</w:t>
            </w:r>
          </w:p>
        </w:tc>
        <w:tc>
          <w:tcPr>
            <w:tcW w:w="1048" w:type="dxa"/>
            <w:tcBorders>
              <w:top w:val="single" w:sz="4" w:space="0" w:color="0B3D85"/>
              <w:bottom w:val="single" w:sz="4" w:space="0" w:color="0B3D85"/>
            </w:tcBorders>
            <w:shd w:val="clear" w:color="auto" w:fill="FFFFFF" w:themeFill="background1"/>
            <w:vAlign w:val="center"/>
          </w:tcPr>
          <w:p w14:paraId="35927A1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1,058</w:t>
            </w:r>
          </w:p>
        </w:tc>
        <w:tc>
          <w:tcPr>
            <w:tcW w:w="1315" w:type="dxa"/>
            <w:tcBorders>
              <w:top w:val="single" w:sz="4" w:space="0" w:color="0B3D85"/>
              <w:bottom w:val="single" w:sz="4" w:space="0" w:color="0B3D85"/>
            </w:tcBorders>
            <w:shd w:val="clear" w:color="auto" w:fill="FFFFFF" w:themeFill="background1"/>
            <w:vAlign w:val="center"/>
          </w:tcPr>
          <w:p w14:paraId="4F639BC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841</w:t>
            </w:r>
          </w:p>
        </w:tc>
        <w:tc>
          <w:tcPr>
            <w:tcW w:w="975" w:type="dxa"/>
            <w:tcBorders>
              <w:top w:val="single" w:sz="4" w:space="0" w:color="0B3D85"/>
              <w:bottom w:val="single" w:sz="4" w:space="0" w:color="0B3D85"/>
            </w:tcBorders>
            <w:shd w:val="clear" w:color="auto" w:fill="FFFFFF" w:themeFill="background1"/>
            <w:vAlign w:val="center"/>
          </w:tcPr>
          <w:p w14:paraId="3B5B003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831</w:t>
            </w:r>
          </w:p>
        </w:tc>
        <w:tc>
          <w:tcPr>
            <w:tcW w:w="703" w:type="dxa"/>
            <w:tcBorders>
              <w:top w:val="single" w:sz="4" w:space="0" w:color="0B3D85"/>
              <w:bottom w:val="single" w:sz="4" w:space="0" w:color="0B3D85"/>
            </w:tcBorders>
            <w:shd w:val="clear" w:color="auto" w:fill="FFFFFF" w:themeFill="background1"/>
            <w:vAlign w:val="center"/>
          </w:tcPr>
          <w:p w14:paraId="2D236A2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(20.5%)</w:t>
            </w:r>
          </w:p>
        </w:tc>
        <w:tc>
          <w:tcPr>
            <w:tcW w:w="772" w:type="dxa"/>
            <w:tcBorders>
              <w:top w:val="single" w:sz="4" w:space="0" w:color="0B3D85"/>
              <w:bottom w:val="single" w:sz="4" w:space="0" w:color="0B3D85"/>
            </w:tcBorders>
            <w:shd w:val="clear" w:color="auto" w:fill="FFFFFF" w:themeFill="background1"/>
            <w:vAlign w:val="center"/>
          </w:tcPr>
          <w:p w14:paraId="42AB90B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w:t>
            </w:r>
          </w:p>
        </w:tc>
        <w:tc>
          <w:tcPr>
            <w:tcW w:w="694" w:type="dxa"/>
            <w:tcBorders>
              <w:top w:val="single" w:sz="4" w:space="0" w:color="0B3D85"/>
              <w:bottom w:val="single" w:sz="4" w:space="0" w:color="0B3D85"/>
            </w:tcBorders>
            <w:shd w:val="clear" w:color="auto" w:fill="FFFFFF" w:themeFill="background1"/>
            <w:vAlign w:val="center"/>
          </w:tcPr>
          <w:p w14:paraId="4ADC7C3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(11.4%)</w:t>
            </w:r>
          </w:p>
        </w:tc>
        <w:tc>
          <w:tcPr>
            <w:tcW w:w="936" w:type="dxa"/>
            <w:tcBorders>
              <w:top w:val="single" w:sz="4" w:space="0" w:color="0B3D85"/>
              <w:bottom w:val="single" w:sz="4" w:space="0" w:color="0B3D85"/>
            </w:tcBorders>
            <w:shd w:val="clear" w:color="auto" w:fill="FFFFFF" w:themeFill="background1"/>
            <w:vAlign w:val="center"/>
          </w:tcPr>
          <w:p w14:paraId="07958CB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521</w:t>
            </w:r>
          </w:p>
        </w:tc>
        <w:tc>
          <w:tcPr>
            <w:tcW w:w="936" w:type="dxa"/>
            <w:tcBorders>
              <w:top w:val="single" w:sz="4" w:space="0" w:color="0B3D85"/>
              <w:bottom w:val="single" w:sz="4" w:space="0" w:color="0B3D85"/>
            </w:tcBorders>
            <w:shd w:val="clear" w:color="auto" w:fill="FFFFFF" w:themeFill="background1"/>
            <w:vAlign w:val="center"/>
          </w:tcPr>
          <w:p w14:paraId="0F4325D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396</w:t>
            </w:r>
          </w:p>
        </w:tc>
        <w:tc>
          <w:tcPr>
            <w:tcW w:w="687" w:type="dxa"/>
            <w:tcBorders>
              <w:top w:val="single" w:sz="4" w:space="0" w:color="0B3D85"/>
              <w:bottom w:val="single" w:sz="4" w:space="0" w:color="0B3D85"/>
            </w:tcBorders>
            <w:shd w:val="clear" w:color="auto" w:fill="FFFFFF" w:themeFill="background1"/>
            <w:vAlign w:val="center"/>
          </w:tcPr>
          <w:p w14:paraId="1E0E694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(24.0%)</w:t>
            </w:r>
          </w:p>
        </w:tc>
      </w:tr>
      <w:tr w:rsidR="00900056" w:rsidRPr="00900056" w14:paraId="2DFFA7E7" w14:textId="77777777" w:rsidTr="00922116">
        <w:trPr>
          <w:trHeight w:val="20"/>
        </w:trPr>
        <w:tc>
          <w:tcPr>
            <w:tcW w:w="1311" w:type="dxa"/>
            <w:tcBorders>
              <w:top w:val="single" w:sz="4" w:space="0" w:color="0B3D85"/>
              <w:bottom w:val="single" w:sz="4" w:space="0" w:color="0B3D85"/>
            </w:tcBorders>
            <w:shd w:val="clear" w:color="auto" w:fill="FFFFFF" w:themeFill="background1"/>
            <w:vAlign w:val="center"/>
          </w:tcPr>
          <w:p w14:paraId="14502BE2"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b/>
                <w:bCs/>
                <w:sz w:val="24"/>
                <w:rtl/>
              </w:rPr>
              <w:t>الإجمالي</w:t>
            </w:r>
            <w:r w:rsidRPr="00B934CE">
              <w:rPr>
                <w:rFonts w:ascii="Traditional Arabic" w:eastAsia="Calibri" w:hAnsi="Traditional Arabic" w:cs="Traditional Arabic"/>
                <w:b/>
                <w:bCs/>
                <w:sz w:val="24"/>
                <w:rtl/>
              </w:rPr>
              <w:t xml:space="preserve"> </w:t>
            </w:r>
          </w:p>
        </w:tc>
        <w:tc>
          <w:tcPr>
            <w:tcW w:w="1048" w:type="dxa"/>
            <w:tcBorders>
              <w:top w:val="single" w:sz="4" w:space="0" w:color="0B3D85"/>
              <w:bottom w:val="single" w:sz="4" w:space="0" w:color="0B3D85"/>
            </w:tcBorders>
            <w:shd w:val="clear" w:color="auto" w:fill="FFFFFF" w:themeFill="background1"/>
            <w:vAlign w:val="center"/>
          </w:tcPr>
          <w:p w14:paraId="62B03020"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25,399</w:t>
            </w:r>
          </w:p>
        </w:tc>
        <w:tc>
          <w:tcPr>
            <w:tcW w:w="1315" w:type="dxa"/>
            <w:tcBorders>
              <w:top w:val="single" w:sz="4" w:space="0" w:color="0B3D85"/>
              <w:bottom w:val="single" w:sz="4" w:space="0" w:color="0B3D85"/>
            </w:tcBorders>
            <w:shd w:val="clear" w:color="auto" w:fill="FFFFFF" w:themeFill="background1"/>
            <w:vAlign w:val="center"/>
          </w:tcPr>
          <w:p w14:paraId="1C33303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25,800</w:t>
            </w:r>
          </w:p>
        </w:tc>
        <w:tc>
          <w:tcPr>
            <w:tcW w:w="975" w:type="dxa"/>
            <w:tcBorders>
              <w:top w:val="single" w:sz="4" w:space="0" w:color="0B3D85"/>
              <w:bottom w:val="single" w:sz="4" w:space="0" w:color="0B3D85"/>
            </w:tcBorders>
            <w:shd w:val="clear" w:color="auto" w:fill="FFFFFF" w:themeFill="background1"/>
            <w:vAlign w:val="center"/>
          </w:tcPr>
          <w:p w14:paraId="72CD79B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42,354</w:t>
            </w:r>
          </w:p>
        </w:tc>
        <w:tc>
          <w:tcPr>
            <w:tcW w:w="703" w:type="dxa"/>
            <w:tcBorders>
              <w:top w:val="single" w:sz="4" w:space="0" w:color="0B3D85"/>
              <w:bottom w:val="single" w:sz="4" w:space="0" w:color="0B3D85"/>
            </w:tcBorders>
            <w:shd w:val="clear" w:color="auto" w:fill="FFFFFF" w:themeFill="background1"/>
            <w:vAlign w:val="center"/>
          </w:tcPr>
          <w:p w14:paraId="4FC3ED4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1.6%</w:t>
            </w:r>
          </w:p>
        </w:tc>
        <w:tc>
          <w:tcPr>
            <w:tcW w:w="772" w:type="dxa"/>
            <w:tcBorders>
              <w:top w:val="single" w:sz="4" w:space="0" w:color="0B3D85"/>
              <w:bottom w:val="single" w:sz="4" w:space="0" w:color="0B3D85"/>
            </w:tcBorders>
            <w:shd w:val="clear" w:color="auto" w:fill="FFFFFF" w:themeFill="background1"/>
            <w:vAlign w:val="center"/>
          </w:tcPr>
          <w:p w14:paraId="2A72777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64.2%</w:t>
            </w:r>
          </w:p>
        </w:tc>
        <w:tc>
          <w:tcPr>
            <w:tcW w:w="694" w:type="dxa"/>
            <w:tcBorders>
              <w:top w:val="single" w:sz="4" w:space="0" w:color="0B3D85"/>
              <w:bottom w:val="single" w:sz="4" w:space="0" w:color="0B3D85"/>
            </w:tcBorders>
            <w:shd w:val="clear" w:color="auto" w:fill="FFFFFF" w:themeFill="background1"/>
            <w:vAlign w:val="center"/>
          </w:tcPr>
          <w:p w14:paraId="045DCC54"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29.1%</w:t>
            </w:r>
          </w:p>
        </w:tc>
        <w:tc>
          <w:tcPr>
            <w:tcW w:w="936" w:type="dxa"/>
            <w:tcBorders>
              <w:top w:val="single" w:sz="4" w:space="0" w:color="0B3D85"/>
              <w:bottom w:val="single" w:sz="4" w:space="0" w:color="0B3D85"/>
            </w:tcBorders>
            <w:shd w:val="clear" w:color="auto" w:fill="FFFFFF" w:themeFill="background1"/>
            <w:vAlign w:val="center"/>
          </w:tcPr>
          <w:p w14:paraId="1D74598E"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31,491</w:t>
            </w:r>
          </w:p>
        </w:tc>
        <w:tc>
          <w:tcPr>
            <w:tcW w:w="936" w:type="dxa"/>
            <w:tcBorders>
              <w:top w:val="single" w:sz="4" w:space="0" w:color="0B3D85"/>
              <w:bottom w:val="single" w:sz="4" w:space="0" w:color="0B3D85"/>
            </w:tcBorders>
            <w:shd w:val="clear" w:color="auto" w:fill="FFFFFF" w:themeFill="background1"/>
            <w:vAlign w:val="center"/>
          </w:tcPr>
          <w:p w14:paraId="139C686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29,901</w:t>
            </w:r>
          </w:p>
        </w:tc>
        <w:tc>
          <w:tcPr>
            <w:tcW w:w="687" w:type="dxa"/>
            <w:tcBorders>
              <w:top w:val="single" w:sz="4" w:space="0" w:color="0B3D85"/>
              <w:bottom w:val="single" w:sz="4" w:space="0" w:color="0B3D85"/>
            </w:tcBorders>
            <w:shd w:val="clear" w:color="auto" w:fill="FFFFFF" w:themeFill="background1"/>
            <w:vAlign w:val="center"/>
          </w:tcPr>
          <w:p w14:paraId="725E7D73"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(5.0%)</w:t>
            </w:r>
          </w:p>
        </w:tc>
      </w:tr>
    </w:tbl>
    <w:p w14:paraId="43D91DF6"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فوائد على قروض وسلفيات</w:t>
      </w:r>
    </w:p>
    <w:p w14:paraId="7B5F466C"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Theme="majorEastAsia" w:hAnsi="Traditional Arabic" w:cs="Traditional Arabic" w:hint="eastAsia"/>
          <w:sz w:val="30"/>
          <w:szCs w:val="30"/>
          <w:rtl/>
        </w:rPr>
        <w:lastRenderedPageBreak/>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فوائد على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قروض و</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سلفيات</w:t>
      </w:r>
      <w:r w:rsidRPr="00B934CE">
        <w:rPr>
          <w:rFonts w:ascii="Traditional Arabic" w:eastAsiaTheme="majorEastAsia" w:hAnsi="Traditional Arabic" w:cs="Traditional Arabic"/>
          <w:sz w:val="30"/>
          <w:szCs w:val="30"/>
          <w:rtl/>
        </w:rPr>
        <w:t xml:space="preserve"> بنسبة 17.0% من 18.6 مليون ريال عماني في السنة المالية 2021 الى 21.8 مليون ريال عماني في السنة المالية 2022، </w:t>
      </w:r>
      <w:r w:rsidRPr="00B934CE">
        <w:rPr>
          <w:rFonts w:ascii="Traditional Arabic" w:eastAsia="Calibri" w:hAnsi="Traditional Arabic" w:cs="Traditional Arabic"/>
          <w:sz w:val="30"/>
          <w:szCs w:val="30"/>
          <w:rtl/>
        </w:rPr>
        <w:t>ويع</w:t>
      </w:r>
      <w:r w:rsidRPr="00B934CE">
        <w:rPr>
          <w:rFonts w:ascii="Traditional Arabic" w:eastAsia="Calibri" w:hAnsi="Traditional Arabic" w:cs="Traditional Arabic" w:hint="eastAsia"/>
          <w:sz w:val="30"/>
          <w:szCs w:val="30"/>
          <w:rtl/>
        </w:rPr>
        <w:t>ود</w:t>
      </w:r>
      <w:r w:rsidRPr="00B934CE">
        <w:rPr>
          <w:rFonts w:ascii="Traditional Arabic" w:eastAsia="Calibri" w:hAnsi="Traditional Arabic" w:cs="Traditional Arabic"/>
          <w:sz w:val="30"/>
          <w:szCs w:val="30"/>
          <w:rtl/>
        </w:rPr>
        <w:t xml:space="preserve"> ذلك بشكل أساسي إلى</w:t>
      </w:r>
      <w:r w:rsidRPr="00B934CE">
        <w:rPr>
          <w:rFonts w:ascii="Traditional Arabic" w:eastAsia="Calibri" w:hAnsi="Traditional Arabic" w:cs="Traditional Arabic"/>
          <w:b/>
          <w:bCs/>
          <w:sz w:val="30"/>
          <w:szCs w:val="30"/>
          <w:rtl/>
        </w:rPr>
        <w:t xml:space="preserve"> </w:t>
      </w:r>
      <w:r w:rsidRPr="00B934CE">
        <w:rPr>
          <w:rFonts w:ascii="Traditional Arabic" w:eastAsia="Calibri" w:hAnsi="Traditional Arabic" w:cs="Traditional Arabic"/>
          <w:sz w:val="30"/>
          <w:szCs w:val="30"/>
          <w:rtl/>
        </w:rPr>
        <w:t xml:space="preserve">زيادة الفائدة على القروض طويلة الأجل بمقدار 2.7 مليون ريال عماني </w:t>
      </w:r>
      <w:r w:rsidRPr="00B934CE">
        <w:rPr>
          <w:rFonts w:ascii="Traditional Arabic" w:eastAsia="Calibri" w:hAnsi="Traditional Arabic" w:cs="Traditional Arabic" w:hint="eastAsia"/>
          <w:sz w:val="30"/>
          <w:szCs w:val="30"/>
          <w:rtl/>
        </w:rPr>
        <w:t>مدفوعة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ب</w:t>
      </w:r>
      <w:r w:rsidRPr="00B934CE">
        <w:rPr>
          <w:rFonts w:ascii="Traditional Arabic" w:eastAsia="Calibri" w:hAnsi="Traditional Arabic" w:cs="Traditional Arabic"/>
          <w:sz w:val="30"/>
          <w:szCs w:val="30"/>
          <w:rtl/>
        </w:rPr>
        <w:t xml:space="preserve">زيادة متوسط </w:t>
      </w:r>
      <w:r w:rsidRPr="00B934CE">
        <w:rPr>
          <w:rFonts w:eastAsia="Calibri" w:cs="Times New Roman"/>
          <w:sz w:val="30"/>
          <w:szCs w:val="30"/>
        </w:rPr>
        <w:t>​​</w:t>
      </w:r>
      <w:r w:rsidRPr="00B934CE">
        <w:rPr>
          <w:rFonts w:ascii="Traditional Arabic" w:eastAsia="Calibri" w:hAnsi="Traditional Arabic" w:cs="Traditional Arabic" w:hint="eastAsia"/>
          <w:sz w:val="30"/>
          <w:szCs w:val="30"/>
          <w:rtl/>
        </w:rPr>
        <w:t>أسعار</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الفائدة</w:t>
      </w:r>
      <w:r w:rsidRPr="00B934CE">
        <w:rPr>
          <w:rFonts w:ascii="Traditional Arabic" w:eastAsia="Calibri" w:hAnsi="Traditional Arabic" w:cs="Traditional Arabic"/>
          <w:sz w:val="30"/>
          <w:szCs w:val="30"/>
          <w:rtl/>
        </w:rPr>
        <w:t>.</w:t>
      </w:r>
    </w:p>
    <w:p w14:paraId="111D9832"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فوائد على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قروض و</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سلفيات</w:t>
      </w:r>
      <w:r w:rsidRPr="00B934CE">
        <w:rPr>
          <w:rFonts w:ascii="Traditional Arabic" w:eastAsiaTheme="majorEastAsia" w:hAnsi="Traditional Arabic" w:cs="Traditional Arabic"/>
          <w:sz w:val="30"/>
          <w:szCs w:val="30"/>
          <w:rtl/>
        </w:rPr>
        <w:t xml:space="preserve"> بنسبة 52.0% من 21.8 مليون ريال عماني في السنة المالية 2022 الى 33.1 مليون ريال عماني في السنة المالية 2023، </w:t>
      </w:r>
      <w:r w:rsidRPr="00B934CE">
        <w:rPr>
          <w:rFonts w:ascii="Traditional Arabic" w:eastAsia="Calibri" w:hAnsi="Traditional Arabic" w:cs="Traditional Arabic"/>
          <w:sz w:val="30"/>
          <w:szCs w:val="30"/>
          <w:rtl/>
        </w:rPr>
        <w:t>ويع</w:t>
      </w:r>
      <w:r w:rsidRPr="00B934CE">
        <w:rPr>
          <w:rFonts w:ascii="Traditional Arabic" w:eastAsia="Calibri" w:hAnsi="Traditional Arabic" w:cs="Traditional Arabic" w:hint="eastAsia"/>
          <w:sz w:val="30"/>
          <w:szCs w:val="30"/>
          <w:rtl/>
        </w:rPr>
        <w:t>ود</w:t>
      </w:r>
      <w:r w:rsidRPr="00B934CE">
        <w:rPr>
          <w:rFonts w:ascii="Traditional Arabic" w:eastAsia="Calibri" w:hAnsi="Traditional Arabic" w:cs="Traditional Arabic"/>
          <w:sz w:val="30"/>
          <w:szCs w:val="30"/>
          <w:rtl/>
        </w:rPr>
        <w:t xml:space="preserve"> ذلك بشكل أساسي إلى</w:t>
      </w:r>
      <w:r w:rsidRPr="00B934CE">
        <w:rPr>
          <w:rFonts w:ascii="Traditional Arabic" w:eastAsia="Calibri" w:hAnsi="Traditional Arabic" w:cs="Traditional Arabic"/>
          <w:b/>
          <w:bCs/>
          <w:sz w:val="30"/>
          <w:szCs w:val="30"/>
          <w:rtl/>
        </w:rPr>
        <w:t xml:space="preserve"> </w:t>
      </w:r>
      <w:r w:rsidRPr="00B934CE">
        <w:rPr>
          <w:rFonts w:ascii="Traditional Arabic" w:eastAsia="Calibri" w:hAnsi="Traditional Arabic" w:cs="Traditional Arabic"/>
          <w:sz w:val="30"/>
          <w:szCs w:val="30"/>
          <w:rtl/>
        </w:rPr>
        <w:t xml:space="preserve">زيادة الفائدة على القروض طويلة الأجل بمقدار 9.6 مليون ريال عماني </w:t>
      </w:r>
      <w:r w:rsidRPr="00B934CE">
        <w:rPr>
          <w:rFonts w:ascii="Traditional Arabic" w:eastAsia="Calibri" w:hAnsi="Traditional Arabic" w:cs="Traditional Arabic" w:hint="eastAsia"/>
          <w:sz w:val="30"/>
          <w:szCs w:val="30"/>
          <w:rtl/>
        </w:rPr>
        <w:t>مدفوعة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ب</w:t>
      </w:r>
      <w:r w:rsidRPr="00B934CE">
        <w:rPr>
          <w:rFonts w:ascii="Traditional Arabic" w:eastAsia="Calibri" w:hAnsi="Traditional Arabic" w:cs="Traditional Arabic"/>
          <w:sz w:val="30"/>
          <w:szCs w:val="30"/>
          <w:rtl/>
        </w:rPr>
        <w:t xml:space="preserve">زيادة متوسط </w:t>
      </w:r>
      <w:r w:rsidRPr="00B934CE">
        <w:rPr>
          <w:rFonts w:eastAsia="Calibri" w:cs="Times New Roman"/>
          <w:sz w:val="30"/>
          <w:szCs w:val="30"/>
        </w:rPr>
        <w:t>​​</w:t>
      </w:r>
      <w:r w:rsidRPr="00B934CE">
        <w:rPr>
          <w:rFonts w:ascii="Traditional Arabic" w:eastAsia="Calibri" w:hAnsi="Traditional Arabic" w:cs="Traditional Arabic" w:hint="eastAsia"/>
          <w:sz w:val="30"/>
          <w:szCs w:val="30"/>
          <w:rtl/>
        </w:rPr>
        <w:t>أسعار</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الفائدة،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بالإضافة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إلى</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الفائدة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على</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تسهيلات</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بنك</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مسقط</w:t>
      </w:r>
      <w:r w:rsidRPr="00B934CE">
        <w:rPr>
          <w:rFonts w:ascii="Traditional Arabic" w:eastAsia="Calibri" w:hAnsi="Traditional Arabic" w:cs="Traditional Arabic"/>
          <w:sz w:val="30"/>
          <w:szCs w:val="30"/>
          <w:rtl/>
        </w:rPr>
        <w:t>.</w:t>
      </w:r>
    </w:p>
    <w:p w14:paraId="37646C7D" w14:textId="7FF66434"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sz w:val="30"/>
          <w:szCs w:val="30"/>
          <w:rtl/>
        </w:rPr>
        <w:t xml:space="preserve">انخفضت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فوائد على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قروض و</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سلفيات</w:t>
      </w:r>
      <w:r w:rsidRPr="00B934CE">
        <w:rPr>
          <w:rFonts w:ascii="Traditional Arabic" w:eastAsiaTheme="majorEastAsia" w:hAnsi="Traditional Arabic" w:cs="Traditional Arabic"/>
          <w:sz w:val="30"/>
          <w:szCs w:val="30"/>
          <w:rtl/>
        </w:rPr>
        <w:t xml:space="preserve"> </w:t>
      </w:r>
      <w:r w:rsidRPr="00B934CE">
        <w:rPr>
          <w:rFonts w:ascii="Traditional Arabic" w:eastAsia="Calibri" w:hAnsi="Traditional Arabic" w:cs="Traditional Arabic"/>
          <w:sz w:val="30"/>
          <w:szCs w:val="30"/>
          <w:rtl/>
        </w:rPr>
        <w:t xml:space="preserve">بنسبة 6.6% من 24.5 مليون ريال عماني في فترة التسعة أشهر المنتهية في 30 سبتمبر 2023 إلى 22.9 مليون ريال عماني في فترة التسعة أشهر المنتهية في 30 سبتمبر 2024 بعد تسوية ثلاثة قروض بقيمة إجمالية </w:t>
      </w:r>
      <w:r w:rsidR="009A7B9E">
        <w:rPr>
          <w:rFonts w:ascii="Traditional Arabic" w:eastAsia="Calibri" w:hAnsi="Traditional Arabic" w:cs="Traditional Arabic" w:hint="cs"/>
          <w:sz w:val="30"/>
          <w:szCs w:val="30"/>
          <w:rtl/>
        </w:rPr>
        <w:t>215.5</w:t>
      </w:r>
      <w:r w:rsidRPr="00B934CE">
        <w:rPr>
          <w:rFonts w:ascii="Traditional Arabic" w:eastAsia="Calibri" w:hAnsi="Traditional Arabic" w:cs="Traditional Arabic"/>
          <w:sz w:val="30"/>
          <w:szCs w:val="30"/>
          <w:rtl/>
        </w:rPr>
        <w:t xml:space="preserve"> مليون ريال عماني </w:t>
      </w:r>
      <w:r w:rsidR="009A7B9E">
        <w:rPr>
          <w:rFonts w:ascii="Traditional Arabic" w:eastAsia="Calibri" w:hAnsi="Traditional Arabic" w:cs="Traditional Arabic" w:hint="cs"/>
          <w:sz w:val="30"/>
          <w:szCs w:val="30"/>
          <w:rtl/>
        </w:rPr>
        <w:t>في 2024</w:t>
      </w:r>
      <w:r w:rsidRPr="00B934CE">
        <w:rPr>
          <w:rFonts w:ascii="Traditional Arabic" w:eastAsia="Calibri" w:hAnsi="Traditional Arabic" w:cs="Traditional Arabic"/>
          <w:sz w:val="30"/>
          <w:szCs w:val="30"/>
          <w:rtl/>
        </w:rPr>
        <w:t>.</w:t>
      </w:r>
    </w:p>
    <w:p w14:paraId="22A2C556"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 xml:space="preserve">مصروفات فوائد على عقود مقايضة أسعار الفائدة </w:t>
      </w:r>
    </w:p>
    <w:p w14:paraId="59794A7C"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w:t>
      </w:r>
      <w:r w:rsidRPr="00B934CE">
        <w:rPr>
          <w:rFonts w:ascii="Traditional Arabic" w:eastAsia="Calibri" w:hAnsi="Traditional Arabic" w:cs="Traditional Arabic"/>
          <w:sz w:val="30"/>
          <w:szCs w:val="30"/>
          <w:rtl/>
        </w:rPr>
        <w:t xml:space="preserve">مصروفات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فوائد على عقود مقايضة أسعار الفائدة</w:t>
      </w:r>
      <w:r w:rsidRPr="00B934CE">
        <w:rPr>
          <w:rFonts w:ascii="Traditional Arabic" w:eastAsia="Calibri" w:hAnsi="Traditional Arabic" w:cs="Traditional Arabic"/>
          <w:b/>
          <w:bCs/>
          <w:sz w:val="30"/>
          <w:szCs w:val="30"/>
          <w:rtl/>
        </w:rPr>
        <w:t xml:space="preserve">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92.1%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4.3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2021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342 </w:t>
      </w:r>
      <w:r w:rsidRPr="00B934CE">
        <w:rPr>
          <w:rFonts w:ascii="Traditional Arabic" w:eastAsiaTheme="majorEastAsia" w:hAnsi="Traditional Arabic" w:cs="Traditional Arabic" w:hint="eastAsia"/>
          <w:sz w:val="30"/>
          <w:szCs w:val="30"/>
          <w:rtl/>
        </w:rPr>
        <w:t>ألف</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w:t>
      </w:r>
      <w:r w:rsidRPr="00B934CE">
        <w:rPr>
          <w:rFonts w:ascii="Traditional Arabic" w:eastAsiaTheme="majorEastAsia" w:hAnsi="Traditional Arabic" w:cs="Traditional Arabic" w:hint="eastAsia"/>
          <w:sz w:val="30"/>
          <w:szCs w:val="30"/>
          <w:rtl/>
        </w:rPr>
        <w:t>ثم</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انخفضت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لتصل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صفر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2023، </w:t>
      </w:r>
      <w:r w:rsidRPr="00B934CE">
        <w:rPr>
          <w:rFonts w:ascii="Traditional Arabic" w:eastAsiaTheme="majorEastAsia" w:hAnsi="Traditional Arabic" w:cs="Traditional Arabic" w:hint="eastAsia"/>
          <w:sz w:val="30"/>
          <w:szCs w:val="30"/>
          <w:rtl/>
        </w:rPr>
        <w:t>حيث</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استطاعت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الشركة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تسجيل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أرباح</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موقفها</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عقود</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المقايضة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نتيجة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تغيير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الأسعار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لصلحها</w:t>
      </w:r>
      <w:r w:rsidRPr="00B934CE">
        <w:rPr>
          <w:rFonts w:ascii="Traditional Arabic" w:eastAsiaTheme="majorEastAsia" w:hAnsi="Traditional Arabic" w:cs="Traditional Arabic"/>
          <w:sz w:val="30"/>
          <w:szCs w:val="30"/>
          <w:rtl/>
        </w:rPr>
        <w:t>.</w:t>
      </w:r>
    </w:p>
    <w:p w14:paraId="1D2B5383"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 xml:space="preserve">مصروفات فوائد على التزامات إيجار </w:t>
      </w:r>
      <w:r w:rsidRPr="00B934CE">
        <w:rPr>
          <w:rFonts w:ascii="Traditional Arabic" w:eastAsiaTheme="majorEastAsia" w:hAnsi="Traditional Arabic" w:cs="Traditional Arabic"/>
          <w:sz w:val="30"/>
          <w:szCs w:val="30"/>
          <w:rtl/>
        </w:rPr>
        <w:t xml:space="preserve"> </w:t>
      </w:r>
    </w:p>
    <w:p w14:paraId="222F819D"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hint="eastAsia"/>
          <w:sz w:val="30"/>
          <w:szCs w:val="30"/>
          <w:rtl/>
        </w:rPr>
        <w:t>ارتفعت</w:t>
      </w:r>
      <w:r w:rsidRPr="00B934CE">
        <w:rPr>
          <w:rFonts w:ascii="Traditional Arabic" w:eastAsia="Calibri" w:hAnsi="Traditional Arabic" w:cs="Traditional Arabic"/>
          <w:sz w:val="30"/>
          <w:szCs w:val="30"/>
          <w:rtl/>
        </w:rPr>
        <w:t xml:space="preserve"> مصروفات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فوائد على التزامات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إيجار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101.5% من 1.4 مليون ريال عماني في السنة المالية 2021 الى 2.9 مليون ريال عماني في السنة المالية 2022، تماشياً مع الزيادة في التزامات الإيجار</w:t>
      </w:r>
      <w:r w:rsidRPr="00B934CE">
        <w:rPr>
          <w:rFonts w:ascii="Traditional Arabic" w:eastAsia="Calibri" w:hAnsi="Traditional Arabic" w:cs="Traditional Arabic"/>
          <w:b/>
          <w:bCs/>
          <w:sz w:val="30"/>
          <w:szCs w:val="30"/>
          <w:rtl/>
        </w:rPr>
        <w:t>.</w:t>
      </w:r>
    </w:p>
    <w:p w14:paraId="138C2048"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Calibri" w:hAnsi="Traditional Arabic" w:cs="Traditional Arabic"/>
          <w:sz w:val="30"/>
          <w:szCs w:val="30"/>
          <w:rtl/>
        </w:rPr>
        <w:t xml:space="preserve">مصروفات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فوائد على التزامات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إيجار </w:t>
      </w:r>
      <w:r w:rsidRPr="00B934CE">
        <w:rPr>
          <w:rFonts w:ascii="Traditional Arabic" w:eastAsiaTheme="majorEastAsia" w:hAnsi="Traditional Arabic" w:cs="Traditional Arabic" w:hint="eastAsia"/>
          <w:sz w:val="30"/>
          <w:szCs w:val="30"/>
          <w:rtl/>
        </w:rPr>
        <w:t>بنسبة</w:t>
      </w:r>
      <w:r w:rsidRPr="00B934CE">
        <w:rPr>
          <w:rFonts w:ascii="Traditional Arabic" w:eastAsiaTheme="majorEastAsia" w:hAnsi="Traditional Arabic" w:cs="Traditional Arabic"/>
          <w:sz w:val="30"/>
          <w:szCs w:val="30"/>
          <w:rtl/>
        </w:rPr>
        <w:t xml:space="preserve"> 195.3% من 2.9 مليون ريال عماني في السنة المالية 2022 الى 8.4 مليون ريال عماني في السنة المالية 2023، </w:t>
      </w:r>
      <w:r w:rsidRPr="00B934CE">
        <w:rPr>
          <w:rFonts w:ascii="Traditional Arabic" w:eastAsia="Calibri" w:hAnsi="Traditional Arabic" w:cs="Traditional Arabic"/>
          <w:sz w:val="30"/>
          <w:szCs w:val="30"/>
          <w:rtl/>
        </w:rPr>
        <w:t>ويعزى ذلك بشكل أساسي إلى</w:t>
      </w:r>
      <w:r w:rsidRPr="00B934CE">
        <w:rPr>
          <w:rFonts w:ascii="Traditional Arabic" w:eastAsia="Calibri" w:hAnsi="Traditional Arabic" w:cs="Traditional Arabic"/>
          <w:b/>
          <w:bCs/>
          <w:sz w:val="30"/>
          <w:szCs w:val="30"/>
          <w:rtl/>
        </w:rPr>
        <w:t xml:space="preserve">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زيادة </w:t>
      </w:r>
      <w:r w:rsidRPr="00B934CE">
        <w:rPr>
          <w:rFonts w:ascii="Traditional Arabic" w:eastAsiaTheme="majorEastAsia" w:hAnsi="Traditional Arabic" w:cs="Traditional Arabic" w:hint="eastAsia"/>
          <w:sz w:val="30"/>
          <w:szCs w:val="30"/>
          <w:rtl/>
        </w:rPr>
        <w:t>ال</w:t>
      </w:r>
      <w:r w:rsidRPr="00B934CE">
        <w:rPr>
          <w:rFonts w:ascii="Traditional Arabic" w:eastAsiaTheme="majorEastAsia" w:hAnsi="Traditional Arabic" w:cs="Traditional Arabic"/>
          <w:sz w:val="30"/>
          <w:szCs w:val="30"/>
          <w:rtl/>
        </w:rPr>
        <w:t xml:space="preserve">كبيرة في متوسط </w:t>
      </w:r>
      <w:r w:rsidRPr="00B934CE">
        <w:rPr>
          <w:rFonts w:eastAsiaTheme="majorEastAsia" w:cs="Times New Roman"/>
          <w:sz w:val="30"/>
          <w:szCs w:val="30"/>
        </w:rPr>
        <w:t>​​</w:t>
      </w:r>
      <w:r w:rsidRPr="00B934CE">
        <w:rPr>
          <w:rFonts w:ascii="Traditional Arabic" w:eastAsiaTheme="majorEastAsia" w:hAnsi="Traditional Arabic" w:cs="Traditional Arabic" w:hint="eastAsia"/>
          <w:sz w:val="30"/>
          <w:szCs w:val="30"/>
          <w:rtl/>
        </w:rPr>
        <w:t>التزامات</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الإيجار</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w:t>
      </w:r>
      <w:r w:rsidR="00D93BB8">
        <w:rPr>
          <w:rFonts w:ascii="Traditional Arabic" w:eastAsiaTheme="majorEastAsia" w:hAnsi="Traditional Arabic" w:cs="Traditional Arabic" w:hint="cs"/>
          <w:sz w:val="30"/>
          <w:szCs w:val="30"/>
          <w:rtl/>
        </w:rPr>
        <w:t>91.9</w:t>
      </w:r>
      <w:r w:rsidR="00D93BB8"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w:t>
      </w:r>
      <w:r w:rsidRPr="00B934CE">
        <w:rPr>
          <w:rFonts w:ascii="Traditional Arabic" w:eastAsiaTheme="majorEastAsia" w:hAnsi="Traditional Arabic" w:cs="Traditional Arabic" w:hint="eastAsia"/>
          <w:sz w:val="30"/>
          <w:szCs w:val="30"/>
          <w:rtl/>
        </w:rPr>
        <w:t>إلى</w:t>
      </w:r>
      <w:r w:rsidRPr="00B934CE">
        <w:rPr>
          <w:rFonts w:ascii="Traditional Arabic" w:eastAsiaTheme="majorEastAsia" w:hAnsi="Traditional Arabic" w:cs="Traditional Arabic"/>
          <w:sz w:val="30"/>
          <w:szCs w:val="30"/>
          <w:rtl/>
        </w:rPr>
        <w:t xml:space="preserve"> </w:t>
      </w:r>
      <w:r w:rsidR="00D93BB8">
        <w:rPr>
          <w:rFonts w:ascii="Traditional Arabic" w:eastAsiaTheme="majorEastAsia" w:hAnsi="Traditional Arabic" w:cs="Traditional Arabic" w:hint="cs"/>
          <w:sz w:val="30"/>
          <w:szCs w:val="30"/>
          <w:rtl/>
        </w:rPr>
        <w:t>160.5</w:t>
      </w:r>
      <w:r w:rsidR="00D93BB8"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2023.</w:t>
      </w:r>
    </w:p>
    <w:p w14:paraId="01BF1F22"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sz w:val="30"/>
          <w:szCs w:val="30"/>
          <w:rtl/>
        </w:rPr>
        <w:t xml:space="preserve">ارتفعت مصروفات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فوائد على التزامات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إيجار بنسبة 2.5٪ من 6.4 مليون ريال عماني في فترة الأشهر التسعة المنتهية في 30 سبتمبر 2023 إلى 6.6 مليون ريال عماني في فترة الأشهر التسعة المنتهية في 30 سبتمبر 2024 بسبب الإضافات التي بلغت 58.0 مليون ريال عماني في </w:t>
      </w:r>
      <w:r w:rsidRPr="00B934CE">
        <w:rPr>
          <w:rFonts w:ascii="Traditional Arabic" w:eastAsia="Calibri" w:hAnsi="Traditional Arabic" w:cs="Traditional Arabic" w:hint="eastAsia"/>
          <w:sz w:val="30"/>
          <w:szCs w:val="30"/>
          <w:rtl/>
        </w:rPr>
        <w:t>الأصول</w:t>
      </w:r>
      <w:r w:rsidRPr="00B934CE">
        <w:rPr>
          <w:rFonts w:ascii="Traditional Arabic" w:eastAsia="Calibri" w:hAnsi="Traditional Arabic" w:cs="Traditional Arabic"/>
          <w:sz w:val="30"/>
          <w:szCs w:val="30"/>
          <w:rtl/>
        </w:rPr>
        <w:t xml:space="preserve"> حقوق الاستخدام المتعلقة بالسفن.</w:t>
      </w:r>
    </w:p>
    <w:p w14:paraId="1C1A1EF0"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إطفاء تكلفة تمويل مؤجلة</w:t>
      </w:r>
    </w:p>
    <w:p w14:paraId="3121B0E3"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يم</w:t>
      </w:r>
      <w:r w:rsidRPr="00B934CE">
        <w:rPr>
          <w:rFonts w:ascii="Traditional Arabic" w:eastAsiaTheme="majorEastAsia" w:hAnsi="Traditional Arabic" w:cs="Traditional Arabic"/>
          <w:sz w:val="30"/>
          <w:szCs w:val="30"/>
          <w:rtl/>
        </w:rPr>
        <w:t xml:space="preserve">ثل الرسوم المتعلقة بالقروض المطفأة على مدى عمر </w:t>
      </w:r>
      <w:r w:rsidRPr="00B934CE">
        <w:rPr>
          <w:rFonts w:ascii="Traditional Arabic" w:eastAsiaTheme="majorEastAsia" w:hAnsi="Traditional Arabic" w:cs="Traditional Arabic" w:hint="eastAsia"/>
          <w:sz w:val="30"/>
          <w:szCs w:val="30"/>
          <w:rtl/>
        </w:rPr>
        <w:t>التسهيلات</w:t>
      </w:r>
      <w:r w:rsidRPr="00B934CE">
        <w:rPr>
          <w:rFonts w:ascii="Traditional Arabic" w:eastAsiaTheme="majorEastAsia" w:hAnsi="Traditional Arabic" w:cs="Traditional Arabic"/>
          <w:sz w:val="30"/>
          <w:szCs w:val="30"/>
          <w:rtl/>
        </w:rPr>
        <w:t xml:space="preserve"> ذات الصلة. </w:t>
      </w:r>
    </w:p>
    <w:p w14:paraId="748BBAD2"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lastRenderedPageBreak/>
        <w:t>انخفض</w:t>
      </w:r>
      <w:r w:rsidRPr="00B934CE">
        <w:rPr>
          <w:rFonts w:ascii="Traditional Arabic" w:eastAsiaTheme="majorEastAsia" w:hAnsi="Traditional Arabic" w:cs="Traditional Arabic"/>
          <w:sz w:val="30"/>
          <w:szCs w:val="30"/>
          <w:rtl/>
        </w:rPr>
        <w:t xml:space="preserve"> </w:t>
      </w:r>
      <w:r w:rsidRPr="00B934CE">
        <w:rPr>
          <w:rFonts w:ascii="Traditional Arabic" w:eastAsia="Calibri" w:hAnsi="Traditional Arabic" w:cs="Traditional Arabic"/>
          <w:sz w:val="30"/>
          <w:szCs w:val="30"/>
          <w:rtl/>
        </w:rPr>
        <w:t xml:space="preserve">إطفاء تكلفة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تمويل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مؤجلة</w:t>
      </w:r>
      <w:r w:rsidRPr="00B934CE">
        <w:rPr>
          <w:rFonts w:ascii="Traditional Arabic" w:eastAsiaTheme="majorEastAsia" w:hAnsi="Traditional Arabic" w:cs="Traditional Arabic"/>
          <w:sz w:val="30"/>
          <w:szCs w:val="30"/>
          <w:rtl/>
        </w:rPr>
        <w:t xml:space="preserve"> من 1.1 مليون ريال عماني في السنة المالية 2021 الى 841 ألف ريال عماني في السنة المالية 2022 و831 ألف ريال عماني في السنة المالية 2023، </w:t>
      </w:r>
      <w:r w:rsidRPr="00B934CE">
        <w:rPr>
          <w:rFonts w:ascii="Traditional Arabic" w:eastAsia="Calibri" w:hAnsi="Traditional Arabic" w:cs="Traditional Arabic" w:hint="eastAsia"/>
          <w:sz w:val="30"/>
          <w:szCs w:val="30"/>
          <w:rtl/>
        </w:rPr>
        <w:t>ويعود</w:t>
      </w:r>
      <w:r w:rsidRPr="00B934CE">
        <w:rPr>
          <w:rFonts w:ascii="Traditional Arabic" w:eastAsia="Calibri" w:hAnsi="Traditional Arabic" w:cs="Traditional Arabic"/>
          <w:sz w:val="30"/>
          <w:szCs w:val="30"/>
          <w:rtl/>
        </w:rPr>
        <w:t xml:space="preserve"> ذلك بشكل أساسي إلى</w:t>
      </w:r>
      <w:r w:rsidRPr="00B934CE">
        <w:rPr>
          <w:rFonts w:ascii="Traditional Arabic" w:eastAsiaTheme="majorEastAsia" w:hAnsi="Traditional Arabic" w:cs="Traditional Arabic"/>
          <w:sz w:val="30"/>
          <w:szCs w:val="30"/>
          <w:rtl/>
        </w:rPr>
        <w:t xml:space="preserve"> الاستهلاك مع عدم سحب أي قروض جديدة رئيسية.</w:t>
      </w:r>
    </w:p>
    <w:p w14:paraId="2F8AF9A2"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r w:rsidRPr="00B934CE">
        <w:rPr>
          <w:rFonts w:ascii="Traditional Arabic" w:eastAsiaTheme="majorEastAsia" w:hAnsi="Traditional Arabic" w:cs="Traditional Arabic" w:hint="eastAsia"/>
          <w:sz w:val="30"/>
          <w:szCs w:val="30"/>
          <w:rtl/>
        </w:rPr>
        <w:t>ان</w:t>
      </w:r>
      <w:r w:rsidRPr="00B934CE">
        <w:rPr>
          <w:rFonts w:ascii="Traditional Arabic" w:eastAsiaTheme="majorEastAsia" w:hAnsi="Traditional Arabic" w:cs="Traditional Arabic"/>
          <w:sz w:val="30"/>
          <w:szCs w:val="30"/>
          <w:rtl/>
        </w:rPr>
        <w:t xml:space="preserve">خفض </w:t>
      </w:r>
      <w:r w:rsidRPr="00B934CE">
        <w:rPr>
          <w:rFonts w:ascii="Traditional Arabic" w:eastAsia="Calibri" w:hAnsi="Traditional Arabic" w:cs="Traditional Arabic"/>
          <w:sz w:val="30"/>
          <w:szCs w:val="30"/>
          <w:rtl/>
        </w:rPr>
        <w:t xml:space="preserve">إطفاء </w:t>
      </w:r>
      <w:r w:rsidRPr="00B934CE">
        <w:rPr>
          <w:rFonts w:ascii="Traditional Arabic" w:eastAsiaTheme="majorEastAsia" w:hAnsi="Traditional Arabic" w:cs="Traditional Arabic"/>
          <w:sz w:val="30"/>
          <w:szCs w:val="30"/>
          <w:rtl/>
        </w:rPr>
        <w:t xml:space="preserve">تكلفة التمويل </w:t>
      </w:r>
      <w:r w:rsidRPr="00B934CE">
        <w:rPr>
          <w:rFonts w:ascii="Traditional Arabic" w:eastAsiaTheme="majorEastAsia" w:hAnsi="Traditional Arabic" w:cs="Traditional Arabic" w:hint="eastAsia"/>
          <w:sz w:val="30"/>
          <w:szCs w:val="30"/>
          <w:rtl/>
        </w:rPr>
        <w:t>المؤجلة</w:t>
      </w:r>
      <w:r w:rsidRPr="00B934CE">
        <w:rPr>
          <w:rFonts w:ascii="Traditional Arabic" w:eastAsiaTheme="majorEastAsia" w:hAnsi="Traditional Arabic" w:cs="Traditional Arabic"/>
          <w:sz w:val="30"/>
          <w:szCs w:val="30"/>
          <w:rtl/>
        </w:rPr>
        <w:t xml:space="preserve"> بنسبة 24.0% من 521 ألف ريال عماني في فترة التسعة أشهر المنتهية في 30 سبتمبر 2023 إلى 396 ألف ريال عماني في فترة التسعة أشهر المنتهية في 30 سبتمبر 2024، ويرجع ذلك </w:t>
      </w:r>
      <w:r w:rsidRPr="00B934CE">
        <w:rPr>
          <w:rFonts w:ascii="Traditional Arabic" w:eastAsiaTheme="majorEastAsia" w:hAnsi="Traditional Arabic" w:cs="Traditional Arabic" w:hint="eastAsia"/>
          <w:sz w:val="30"/>
          <w:szCs w:val="30"/>
          <w:rtl/>
        </w:rPr>
        <w:t>بشكل</w:t>
      </w:r>
      <w:r w:rsidRPr="00B934CE">
        <w:rPr>
          <w:rFonts w:ascii="Traditional Arabic" w:eastAsiaTheme="majorEastAsia" w:hAnsi="Traditional Arabic" w:cs="Traditional Arabic"/>
          <w:sz w:val="30"/>
          <w:szCs w:val="30"/>
          <w:rtl/>
        </w:rPr>
        <w:t xml:space="preserve"> أساسي إلى الاستهلاك مع عدم الحصول على قروض كبيرة جديدة.</w:t>
      </w:r>
    </w:p>
    <w:bookmarkEnd w:id="34"/>
    <w:p w14:paraId="019792B3" w14:textId="77777777" w:rsidR="00563389" w:rsidRPr="00B934CE" w:rsidRDefault="00563389" w:rsidP="00B934CE">
      <w:pPr>
        <w:pStyle w:val="4"/>
        <w:rPr>
          <w:rFonts w:ascii="Traditional Arabic" w:hAnsi="Traditional Arabic" w:cs="Traditional Arabic"/>
          <w:b w:val="0"/>
          <w:bCs w:val="0"/>
          <w:i/>
          <w:iCs/>
          <w:color w:val="auto"/>
          <w:sz w:val="30"/>
          <w:szCs w:val="30"/>
        </w:rPr>
      </w:pPr>
      <w:r w:rsidRPr="00B934CE">
        <w:rPr>
          <w:rFonts w:ascii="Traditional Arabic" w:hAnsi="Traditional Arabic" w:cs="Traditional Arabic"/>
          <w:b w:val="0"/>
          <w:bCs w:val="0"/>
          <w:i/>
          <w:iCs/>
          <w:color w:val="auto"/>
          <w:sz w:val="30"/>
          <w:szCs w:val="30"/>
          <w:rtl/>
        </w:rPr>
        <w:t xml:space="preserve">إيرادات </w:t>
      </w:r>
      <w:r w:rsidRPr="00B934CE">
        <w:rPr>
          <w:rFonts w:ascii="Traditional Arabic" w:hAnsi="Traditional Arabic" w:cs="Traditional Arabic" w:hint="eastAsia"/>
          <w:b w:val="0"/>
          <w:bCs w:val="0"/>
          <w:i/>
          <w:iCs/>
          <w:color w:val="auto"/>
          <w:sz w:val="30"/>
          <w:szCs w:val="30"/>
          <w:rtl/>
        </w:rPr>
        <w:t>ال</w:t>
      </w:r>
      <w:r w:rsidRPr="00B934CE">
        <w:rPr>
          <w:rFonts w:ascii="Traditional Arabic" w:hAnsi="Traditional Arabic" w:cs="Traditional Arabic"/>
          <w:b w:val="0"/>
          <w:bCs w:val="0"/>
          <w:i/>
          <w:iCs/>
          <w:color w:val="auto"/>
          <w:sz w:val="30"/>
          <w:szCs w:val="30"/>
          <w:rtl/>
        </w:rPr>
        <w:t>تمويل</w:t>
      </w:r>
    </w:p>
    <w:p w14:paraId="2EE37E26" w14:textId="77777777" w:rsidR="00563389" w:rsidRPr="00B934CE" w:rsidRDefault="00563389" w:rsidP="00B934CE">
      <w:pPr>
        <w:bidi/>
        <w:jc w:val="both"/>
        <w:rPr>
          <w:rFonts w:ascii="Traditional Arabic" w:eastAsia="Calibri" w:hAnsi="Traditional Arabic" w:cs="Traditional Arabic"/>
          <w:i/>
          <w:iCs/>
          <w:sz w:val="24"/>
          <w:rtl/>
        </w:rPr>
      </w:pPr>
      <w:r w:rsidRPr="00B934CE">
        <w:rPr>
          <w:rFonts w:ascii="Traditional Arabic" w:eastAsia="Calibri" w:hAnsi="Traditional Arabic" w:cs="Traditional Arabic"/>
          <w:i/>
          <w:iCs/>
          <w:sz w:val="30"/>
          <w:szCs w:val="30"/>
          <w:rtl/>
        </w:rPr>
        <w:t xml:space="preserve">الجدول‏: إيرادات </w:t>
      </w:r>
      <w:r w:rsidRPr="00B934CE">
        <w:rPr>
          <w:rFonts w:ascii="Traditional Arabic" w:eastAsia="Calibri" w:hAnsi="Traditional Arabic" w:cs="Traditional Arabic" w:hint="eastAsia"/>
          <w:i/>
          <w:iCs/>
          <w:sz w:val="30"/>
          <w:szCs w:val="30"/>
          <w:rtl/>
        </w:rPr>
        <w:t>ال</w:t>
      </w:r>
      <w:r w:rsidRPr="00B934CE">
        <w:rPr>
          <w:rFonts w:ascii="Traditional Arabic" w:eastAsia="Calibri" w:hAnsi="Traditional Arabic" w:cs="Traditional Arabic"/>
          <w:i/>
          <w:iCs/>
          <w:sz w:val="30"/>
          <w:szCs w:val="30"/>
          <w:rtl/>
        </w:rPr>
        <w:t>تموي</w:t>
      </w:r>
      <w:r w:rsidRPr="00B934CE">
        <w:rPr>
          <w:rFonts w:ascii="Traditional Arabic" w:eastAsia="Calibri" w:hAnsi="Traditional Arabic" w:cs="Traditional Arabic" w:hint="eastAsia"/>
          <w:i/>
          <w:iCs/>
          <w:sz w:val="30"/>
          <w:szCs w:val="30"/>
          <w:rtl/>
        </w:rPr>
        <w:t>ل</w:t>
      </w:r>
      <w:r w:rsidRPr="00B934CE">
        <w:rPr>
          <w:rFonts w:ascii="Traditional Arabic" w:eastAsia="Calibri" w:hAnsi="Traditional Arabic" w:cs="Traditional Arabic"/>
          <w:i/>
          <w:iCs/>
          <w:sz w:val="30"/>
          <w:szCs w:val="30"/>
          <w:rtl/>
        </w:rPr>
        <w:t xml:space="preserve"> للسنوات المالية المنتهية في 31 ديسمبر 2021، 2022، و2023، وفترتي التسعة أشهر المنتهيتين في 30 سبتمبر 2023 و2024</w:t>
      </w:r>
      <w:r w:rsidRPr="00B934CE">
        <w:rPr>
          <w:rFonts w:ascii="Traditional Arabic" w:eastAsia="Calibri" w:hAnsi="Traditional Arabic" w:cs="Traditional Arabic"/>
          <w:i/>
          <w:iCs/>
          <w:sz w:val="24"/>
          <w:rtl/>
        </w:rPr>
        <w:t>:</w:t>
      </w:r>
    </w:p>
    <w:tbl>
      <w:tblPr>
        <w:bidiVisual/>
        <w:tblW w:w="9377" w:type="dxa"/>
        <w:tblLook w:val="04A0" w:firstRow="1" w:lastRow="0" w:firstColumn="1" w:lastColumn="0" w:noHBand="0" w:noVBand="1"/>
      </w:tblPr>
      <w:tblGrid>
        <w:gridCol w:w="1040"/>
        <w:gridCol w:w="941"/>
        <w:gridCol w:w="1079"/>
        <w:gridCol w:w="924"/>
        <w:gridCol w:w="881"/>
        <w:gridCol w:w="872"/>
        <w:gridCol w:w="839"/>
        <w:gridCol w:w="960"/>
        <w:gridCol w:w="960"/>
        <w:gridCol w:w="881"/>
      </w:tblGrid>
      <w:tr w:rsidR="00900056" w:rsidRPr="00900056" w14:paraId="7D6547D1" w14:textId="77777777" w:rsidTr="00922116">
        <w:trPr>
          <w:trHeight w:val="20"/>
        </w:trPr>
        <w:tc>
          <w:tcPr>
            <w:tcW w:w="1255" w:type="dxa"/>
            <w:shd w:val="clear" w:color="auto" w:fill="0B3D85"/>
            <w:vAlign w:val="center"/>
          </w:tcPr>
          <w:p w14:paraId="686B363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 xml:space="preserve">بآلاف الريالات </w:t>
            </w:r>
            <w:r w:rsidRPr="00B934CE">
              <w:rPr>
                <w:rFonts w:ascii="Traditional Arabic" w:hAnsi="Traditional Arabic" w:cs="Traditional Arabic" w:hint="eastAsia"/>
                <w:b/>
                <w:bCs/>
                <w:sz w:val="24"/>
                <w:rtl/>
              </w:rPr>
              <w:t>العمانية</w:t>
            </w:r>
          </w:p>
        </w:tc>
        <w:tc>
          <w:tcPr>
            <w:tcW w:w="1023" w:type="dxa"/>
            <w:shd w:val="clear" w:color="auto" w:fill="0B3D85"/>
            <w:vAlign w:val="center"/>
          </w:tcPr>
          <w:p w14:paraId="740BF372"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2021</w:t>
            </w:r>
          </w:p>
          <w:p w14:paraId="0987508E"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1262" w:type="dxa"/>
            <w:shd w:val="clear" w:color="auto" w:fill="0B3D85"/>
            <w:vAlign w:val="center"/>
          </w:tcPr>
          <w:p w14:paraId="272A200B"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2022</w:t>
            </w:r>
          </w:p>
          <w:p w14:paraId="161C124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958" w:type="dxa"/>
            <w:shd w:val="clear" w:color="auto" w:fill="0B3D85"/>
            <w:vAlign w:val="center"/>
          </w:tcPr>
          <w:p w14:paraId="4DF5DDD2"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2023</w:t>
            </w:r>
          </w:p>
          <w:p w14:paraId="6C4BABA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(المراجعة)</w:t>
            </w:r>
          </w:p>
        </w:tc>
        <w:tc>
          <w:tcPr>
            <w:tcW w:w="790" w:type="dxa"/>
            <w:shd w:val="clear" w:color="auto" w:fill="0B3D85"/>
            <w:vAlign w:val="center"/>
          </w:tcPr>
          <w:p w14:paraId="2E06561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2021- 2022</w:t>
            </w:r>
          </w:p>
        </w:tc>
        <w:tc>
          <w:tcPr>
            <w:tcW w:w="841" w:type="dxa"/>
            <w:shd w:val="clear" w:color="auto" w:fill="0B3D85"/>
            <w:vAlign w:val="center"/>
          </w:tcPr>
          <w:p w14:paraId="442120B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التغير السنوي 2022- 2023</w:t>
            </w:r>
          </w:p>
        </w:tc>
        <w:tc>
          <w:tcPr>
            <w:tcW w:w="692" w:type="dxa"/>
            <w:shd w:val="clear" w:color="auto" w:fill="0B3D85"/>
            <w:vAlign w:val="center"/>
          </w:tcPr>
          <w:p w14:paraId="45F027ED"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معدل النمو المركب 2021-2023</w:t>
            </w:r>
          </w:p>
        </w:tc>
        <w:tc>
          <w:tcPr>
            <w:tcW w:w="935" w:type="dxa"/>
            <w:shd w:val="clear" w:color="auto" w:fill="0B3D85"/>
            <w:vAlign w:val="center"/>
          </w:tcPr>
          <w:p w14:paraId="29389214"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2023</w:t>
            </w:r>
          </w:p>
          <w:p w14:paraId="7A48E114"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935" w:type="dxa"/>
            <w:shd w:val="clear" w:color="auto" w:fill="0B3D85"/>
            <w:vAlign w:val="center"/>
          </w:tcPr>
          <w:p w14:paraId="58EFB7F9"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30 سبتمبر 2024</w:t>
            </w:r>
          </w:p>
          <w:p w14:paraId="7F71A119"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(المفحوصة)</w:t>
            </w:r>
          </w:p>
        </w:tc>
        <w:tc>
          <w:tcPr>
            <w:tcW w:w="686" w:type="dxa"/>
            <w:shd w:val="clear" w:color="auto" w:fill="0B3D85"/>
            <w:vAlign w:val="center"/>
          </w:tcPr>
          <w:p w14:paraId="453E2D86" w14:textId="77777777" w:rsidR="00563389" w:rsidRPr="00B934CE" w:rsidRDefault="00563389" w:rsidP="00B934CE">
            <w:pPr>
              <w:bidi/>
              <w:jc w:val="center"/>
              <w:rPr>
                <w:rFonts w:ascii="Traditional Arabic" w:hAnsi="Traditional Arabic" w:cs="Traditional Arabic"/>
                <w:b/>
                <w:bCs/>
                <w:sz w:val="24"/>
                <w:rtl/>
              </w:rPr>
            </w:pPr>
            <w:r w:rsidRPr="00B934CE">
              <w:rPr>
                <w:rFonts w:ascii="Traditional Arabic" w:hAnsi="Traditional Arabic" w:cs="Traditional Arabic"/>
                <w:b/>
                <w:bCs/>
                <w:sz w:val="24"/>
                <w:rtl/>
              </w:rPr>
              <w:t>التغير للفترة 2023-2024</w:t>
            </w:r>
          </w:p>
        </w:tc>
      </w:tr>
      <w:tr w:rsidR="00900056" w:rsidRPr="00900056" w14:paraId="429C96CB" w14:textId="77777777" w:rsidTr="00922116">
        <w:trPr>
          <w:trHeight w:val="20"/>
        </w:trPr>
        <w:tc>
          <w:tcPr>
            <w:tcW w:w="1255" w:type="dxa"/>
            <w:tcBorders>
              <w:bottom w:val="single" w:sz="4" w:space="0" w:color="0B3D85"/>
            </w:tcBorders>
            <w:shd w:val="clear" w:color="auto" w:fill="FFFFFF" w:themeFill="background1"/>
            <w:vAlign w:val="center"/>
          </w:tcPr>
          <w:p w14:paraId="31810A79"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إيرادات</w:t>
            </w:r>
            <w:r w:rsidRPr="00B934CE">
              <w:rPr>
                <w:rFonts w:ascii="Traditional Arabic" w:eastAsia="Calibri" w:hAnsi="Traditional Arabic" w:cs="Traditional Arabic"/>
                <w:sz w:val="24"/>
                <w:rtl/>
              </w:rPr>
              <w:t xml:space="preserve"> الفوائد على </w:t>
            </w:r>
            <w:r w:rsidRPr="00B934CE">
              <w:rPr>
                <w:rFonts w:ascii="Traditional Arabic" w:eastAsia="Calibri" w:hAnsi="Traditional Arabic" w:cs="Traditional Arabic" w:hint="eastAsia"/>
                <w:sz w:val="24"/>
                <w:rtl/>
              </w:rPr>
              <w:t>القروض</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والودائع</w:t>
            </w:r>
            <w:r w:rsidRPr="00B934CE">
              <w:rPr>
                <w:rFonts w:ascii="Traditional Arabic" w:eastAsia="Calibri" w:hAnsi="Traditional Arabic" w:cs="Traditional Arabic"/>
                <w:sz w:val="24"/>
                <w:rtl/>
              </w:rPr>
              <w:t xml:space="preserve"> المصرفية </w:t>
            </w:r>
          </w:p>
        </w:tc>
        <w:tc>
          <w:tcPr>
            <w:tcW w:w="1023" w:type="dxa"/>
            <w:tcBorders>
              <w:bottom w:val="single" w:sz="4" w:space="0" w:color="0B3D85"/>
            </w:tcBorders>
            <w:shd w:val="clear" w:color="auto" w:fill="FFFFFF" w:themeFill="background1"/>
            <w:vAlign w:val="center"/>
          </w:tcPr>
          <w:p w14:paraId="3E7B8D0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3,760</w:t>
            </w:r>
          </w:p>
        </w:tc>
        <w:tc>
          <w:tcPr>
            <w:tcW w:w="1262" w:type="dxa"/>
            <w:tcBorders>
              <w:bottom w:val="single" w:sz="4" w:space="0" w:color="0B3D85"/>
            </w:tcBorders>
            <w:shd w:val="clear" w:color="auto" w:fill="FFFFFF" w:themeFill="background1"/>
            <w:vAlign w:val="center"/>
          </w:tcPr>
          <w:p w14:paraId="24DD89C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2,010</w:t>
            </w:r>
          </w:p>
        </w:tc>
        <w:tc>
          <w:tcPr>
            <w:tcW w:w="958" w:type="dxa"/>
            <w:tcBorders>
              <w:bottom w:val="single" w:sz="4" w:space="0" w:color="0B3D85"/>
            </w:tcBorders>
            <w:shd w:val="clear" w:color="auto" w:fill="FFFFFF" w:themeFill="background1"/>
            <w:vAlign w:val="center"/>
          </w:tcPr>
          <w:p w14:paraId="61FA6689" w14:textId="77777777" w:rsidR="00563389" w:rsidRPr="00B934CE" w:rsidRDefault="00563389"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5,308</w:t>
            </w:r>
          </w:p>
        </w:tc>
        <w:tc>
          <w:tcPr>
            <w:tcW w:w="790" w:type="dxa"/>
            <w:tcBorders>
              <w:bottom w:val="single" w:sz="4" w:space="0" w:color="0B3D85"/>
            </w:tcBorders>
            <w:shd w:val="clear" w:color="auto" w:fill="FFFFFF" w:themeFill="background1"/>
            <w:vAlign w:val="center"/>
          </w:tcPr>
          <w:p w14:paraId="5E3C832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(46.5%)</w:t>
            </w:r>
          </w:p>
        </w:tc>
        <w:tc>
          <w:tcPr>
            <w:tcW w:w="841" w:type="dxa"/>
            <w:tcBorders>
              <w:bottom w:val="single" w:sz="4" w:space="0" w:color="0B3D85"/>
            </w:tcBorders>
            <w:shd w:val="clear" w:color="auto" w:fill="FFFFFF" w:themeFill="background1"/>
            <w:vAlign w:val="center"/>
          </w:tcPr>
          <w:p w14:paraId="5280C39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164.1%</w:t>
            </w:r>
          </w:p>
        </w:tc>
        <w:tc>
          <w:tcPr>
            <w:tcW w:w="692" w:type="dxa"/>
            <w:tcBorders>
              <w:bottom w:val="single" w:sz="4" w:space="0" w:color="0B3D85"/>
            </w:tcBorders>
            <w:shd w:val="clear" w:color="auto" w:fill="FFFFFF" w:themeFill="background1"/>
            <w:vAlign w:val="center"/>
          </w:tcPr>
          <w:p w14:paraId="30DC4FD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18.8%</w:t>
            </w:r>
          </w:p>
        </w:tc>
        <w:tc>
          <w:tcPr>
            <w:tcW w:w="935" w:type="dxa"/>
            <w:tcBorders>
              <w:bottom w:val="single" w:sz="4" w:space="0" w:color="0B3D85"/>
            </w:tcBorders>
            <w:shd w:val="clear" w:color="auto" w:fill="FFFFFF" w:themeFill="background1"/>
            <w:vAlign w:val="center"/>
          </w:tcPr>
          <w:p w14:paraId="0EEF0E9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4,066</w:t>
            </w:r>
          </w:p>
        </w:tc>
        <w:tc>
          <w:tcPr>
            <w:tcW w:w="935" w:type="dxa"/>
            <w:tcBorders>
              <w:bottom w:val="single" w:sz="4" w:space="0" w:color="0B3D85"/>
            </w:tcBorders>
            <w:shd w:val="clear" w:color="auto" w:fill="FFFFFF" w:themeFill="background1"/>
            <w:vAlign w:val="center"/>
          </w:tcPr>
          <w:p w14:paraId="040EC45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5,215</w:t>
            </w:r>
          </w:p>
        </w:tc>
        <w:tc>
          <w:tcPr>
            <w:tcW w:w="686" w:type="dxa"/>
            <w:tcBorders>
              <w:bottom w:val="single" w:sz="4" w:space="0" w:color="0B3D85"/>
            </w:tcBorders>
            <w:shd w:val="clear" w:color="auto" w:fill="FFFFFF" w:themeFill="background1"/>
            <w:vAlign w:val="center"/>
          </w:tcPr>
          <w:p w14:paraId="45900F0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28.3%</w:t>
            </w:r>
          </w:p>
        </w:tc>
      </w:tr>
      <w:tr w:rsidR="00900056" w:rsidRPr="00900056" w14:paraId="1A0207C6" w14:textId="77777777" w:rsidTr="00922116">
        <w:trPr>
          <w:trHeight w:val="20"/>
        </w:trPr>
        <w:tc>
          <w:tcPr>
            <w:tcW w:w="1255" w:type="dxa"/>
            <w:tcBorders>
              <w:top w:val="single" w:sz="4" w:space="0" w:color="0B3D85"/>
              <w:bottom w:val="single" w:sz="4" w:space="0" w:color="0B3D85"/>
            </w:tcBorders>
            <w:shd w:val="clear" w:color="auto" w:fill="FFFFFF" w:themeFill="background1"/>
            <w:vAlign w:val="center"/>
          </w:tcPr>
          <w:p w14:paraId="0C51C623"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إيرادات</w:t>
            </w:r>
            <w:r w:rsidRPr="00B934CE">
              <w:rPr>
                <w:rFonts w:ascii="Traditional Arabic" w:eastAsia="Calibri" w:hAnsi="Traditional Arabic" w:cs="Traditional Arabic"/>
                <w:sz w:val="24"/>
                <w:rtl/>
              </w:rPr>
              <w:t xml:space="preserve"> الفوائد على عقود مقايضة أسعار الفائدة </w:t>
            </w:r>
          </w:p>
        </w:tc>
        <w:tc>
          <w:tcPr>
            <w:tcW w:w="1023" w:type="dxa"/>
            <w:tcBorders>
              <w:top w:val="single" w:sz="4" w:space="0" w:color="0B3D85"/>
              <w:bottom w:val="single" w:sz="4" w:space="0" w:color="0B3D85"/>
            </w:tcBorders>
            <w:shd w:val="clear" w:color="auto" w:fill="FFFFFF" w:themeFill="background1"/>
            <w:vAlign w:val="center"/>
          </w:tcPr>
          <w:p w14:paraId="382ADEC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262" w:type="dxa"/>
            <w:tcBorders>
              <w:top w:val="single" w:sz="4" w:space="0" w:color="0B3D85"/>
              <w:bottom w:val="single" w:sz="4" w:space="0" w:color="0B3D85"/>
            </w:tcBorders>
            <w:shd w:val="clear" w:color="auto" w:fill="FFFFFF" w:themeFill="background1"/>
            <w:vAlign w:val="center"/>
          </w:tcPr>
          <w:p w14:paraId="5FB0EBE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58" w:type="dxa"/>
            <w:tcBorders>
              <w:top w:val="single" w:sz="4" w:space="0" w:color="0B3D85"/>
              <w:bottom w:val="single" w:sz="4" w:space="0" w:color="0B3D85"/>
            </w:tcBorders>
            <w:shd w:val="clear" w:color="auto" w:fill="FFFFFF" w:themeFill="background1"/>
            <w:vAlign w:val="center"/>
          </w:tcPr>
          <w:p w14:paraId="2157E46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4,388</w:t>
            </w:r>
          </w:p>
        </w:tc>
        <w:tc>
          <w:tcPr>
            <w:tcW w:w="790" w:type="dxa"/>
            <w:tcBorders>
              <w:top w:val="single" w:sz="4" w:space="0" w:color="0B3D85"/>
              <w:bottom w:val="single" w:sz="4" w:space="0" w:color="0B3D85"/>
            </w:tcBorders>
            <w:shd w:val="clear" w:color="auto" w:fill="FFFFFF" w:themeFill="background1"/>
            <w:vAlign w:val="center"/>
          </w:tcPr>
          <w:p w14:paraId="43E2F0B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c>
          <w:tcPr>
            <w:tcW w:w="841" w:type="dxa"/>
            <w:tcBorders>
              <w:top w:val="single" w:sz="4" w:space="0" w:color="0B3D85"/>
              <w:bottom w:val="single" w:sz="4" w:space="0" w:color="0B3D85"/>
            </w:tcBorders>
            <w:shd w:val="clear" w:color="auto" w:fill="FFFFFF" w:themeFill="background1"/>
            <w:vAlign w:val="center"/>
          </w:tcPr>
          <w:p w14:paraId="743911B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c>
          <w:tcPr>
            <w:tcW w:w="692" w:type="dxa"/>
            <w:tcBorders>
              <w:top w:val="single" w:sz="4" w:space="0" w:color="0B3D85"/>
              <w:bottom w:val="single" w:sz="4" w:space="0" w:color="0B3D85"/>
            </w:tcBorders>
            <w:shd w:val="clear" w:color="auto" w:fill="FFFFFF" w:themeFill="background1"/>
            <w:vAlign w:val="center"/>
          </w:tcPr>
          <w:p w14:paraId="4C68872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935" w:type="dxa"/>
            <w:tcBorders>
              <w:top w:val="single" w:sz="4" w:space="0" w:color="0B3D85"/>
              <w:bottom w:val="single" w:sz="4" w:space="0" w:color="0B3D85"/>
            </w:tcBorders>
            <w:shd w:val="clear" w:color="auto" w:fill="FFFFFF" w:themeFill="background1"/>
            <w:vAlign w:val="center"/>
          </w:tcPr>
          <w:p w14:paraId="61157A2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3,574</w:t>
            </w:r>
          </w:p>
        </w:tc>
        <w:tc>
          <w:tcPr>
            <w:tcW w:w="935" w:type="dxa"/>
            <w:tcBorders>
              <w:top w:val="single" w:sz="4" w:space="0" w:color="0B3D85"/>
              <w:bottom w:val="single" w:sz="4" w:space="0" w:color="0B3D85"/>
            </w:tcBorders>
            <w:shd w:val="clear" w:color="auto" w:fill="FFFFFF" w:themeFill="background1"/>
            <w:vAlign w:val="center"/>
          </w:tcPr>
          <w:p w14:paraId="0FFCBAC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1,949</w:t>
            </w:r>
          </w:p>
        </w:tc>
        <w:tc>
          <w:tcPr>
            <w:tcW w:w="686" w:type="dxa"/>
            <w:tcBorders>
              <w:top w:val="single" w:sz="4" w:space="0" w:color="0B3D85"/>
              <w:bottom w:val="single" w:sz="4" w:space="0" w:color="0B3D85"/>
            </w:tcBorders>
            <w:shd w:val="clear" w:color="auto" w:fill="FFFFFF" w:themeFill="background1"/>
            <w:vAlign w:val="center"/>
          </w:tcPr>
          <w:p w14:paraId="6D9576F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(45.5%)</w:t>
            </w:r>
          </w:p>
        </w:tc>
      </w:tr>
      <w:tr w:rsidR="00900056" w:rsidRPr="00900056" w14:paraId="4AAAD0FC" w14:textId="77777777" w:rsidTr="00922116">
        <w:trPr>
          <w:trHeight w:val="20"/>
        </w:trPr>
        <w:tc>
          <w:tcPr>
            <w:tcW w:w="1255" w:type="dxa"/>
            <w:tcBorders>
              <w:top w:val="single" w:sz="4" w:space="0" w:color="0B3D85"/>
              <w:bottom w:val="single" w:sz="4" w:space="0" w:color="0B3D85"/>
            </w:tcBorders>
            <w:shd w:val="clear" w:color="auto" w:fill="FFFFFF" w:themeFill="background1"/>
            <w:vAlign w:val="center"/>
          </w:tcPr>
          <w:p w14:paraId="5AF0FE2F"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الربح</w:t>
            </w:r>
            <w:r w:rsidRPr="00B934CE">
              <w:rPr>
                <w:rFonts w:ascii="Traditional Arabic" w:eastAsia="Calibri" w:hAnsi="Traditional Arabic" w:cs="Traditional Arabic"/>
                <w:sz w:val="24"/>
                <w:rtl/>
              </w:rPr>
              <w:t xml:space="preserve"> على كسر المقايضة </w:t>
            </w:r>
          </w:p>
        </w:tc>
        <w:tc>
          <w:tcPr>
            <w:tcW w:w="1023" w:type="dxa"/>
            <w:tcBorders>
              <w:top w:val="single" w:sz="4" w:space="0" w:color="0B3D85"/>
              <w:bottom w:val="single" w:sz="4" w:space="0" w:color="0B3D85"/>
            </w:tcBorders>
            <w:shd w:val="clear" w:color="auto" w:fill="FFFFFF" w:themeFill="background1"/>
            <w:vAlign w:val="center"/>
          </w:tcPr>
          <w:p w14:paraId="6A54474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262" w:type="dxa"/>
            <w:tcBorders>
              <w:top w:val="single" w:sz="4" w:space="0" w:color="0B3D85"/>
              <w:bottom w:val="single" w:sz="4" w:space="0" w:color="0B3D85"/>
            </w:tcBorders>
            <w:shd w:val="clear" w:color="auto" w:fill="FFFFFF" w:themeFill="background1"/>
            <w:vAlign w:val="center"/>
          </w:tcPr>
          <w:p w14:paraId="3E4093A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958" w:type="dxa"/>
            <w:tcBorders>
              <w:top w:val="single" w:sz="4" w:space="0" w:color="0B3D85"/>
              <w:bottom w:val="single" w:sz="4" w:space="0" w:color="0B3D85"/>
            </w:tcBorders>
            <w:shd w:val="clear" w:color="auto" w:fill="FFFFFF" w:themeFill="background1"/>
            <w:vAlign w:val="center"/>
          </w:tcPr>
          <w:p w14:paraId="4E6DC52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3,409</w:t>
            </w:r>
          </w:p>
        </w:tc>
        <w:tc>
          <w:tcPr>
            <w:tcW w:w="790" w:type="dxa"/>
            <w:tcBorders>
              <w:top w:val="single" w:sz="4" w:space="0" w:color="0B3D85"/>
              <w:bottom w:val="single" w:sz="4" w:space="0" w:color="0B3D85"/>
            </w:tcBorders>
            <w:shd w:val="clear" w:color="auto" w:fill="FFFFFF" w:themeFill="background1"/>
            <w:vAlign w:val="center"/>
          </w:tcPr>
          <w:p w14:paraId="64319F0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c>
          <w:tcPr>
            <w:tcW w:w="841" w:type="dxa"/>
            <w:tcBorders>
              <w:top w:val="single" w:sz="4" w:space="0" w:color="0B3D85"/>
              <w:bottom w:val="single" w:sz="4" w:space="0" w:color="0B3D85"/>
            </w:tcBorders>
            <w:shd w:val="clear" w:color="auto" w:fill="FFFFFF" w:themeFill="background1"/>
            <w:vAlign w:val="center"/>
          </w:tcPr>
          <w:p w14:paraId="5EAE569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c>
          <w:tcPr>
            <w:tcW w:w="692" w:type="dxa"/>
            <w:tcBorders>
              <w:top w:val="single" w:sz="4" w:space="0" w:color="0B3D85"/>
              <w:bottom w:val="single" w:sz="4" w:space="0" w:color="0B3D85"/>
            </w:tcBorders>
            <w:shd w:val="clear" w:color="auto" w:fill="FFFFFF" w:themeFill="background1"/>
            <w:vAlign w:val="center"/>
          </w:tcPr>
          <w:p w14:paraId="613C952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0.0%</w:t>
            </w:r>
          </w:p>
        </w:tc>
        <w:tc>
          <w:tcPr>
            <w:tcW w:w="935" w:type="dxa"/>
            <w:tcBorders>
              <w:top w:val="single" w:sz="4" w:space="0" w:color="0B3D85"/>
              <w:bottom w:val="single" w:sz="4" w:space="0" w:color="0B3D85"/>
            </w:tcBorders>
            <w:shd w:val="clear" w:color="auto" w:fill="FFFFFF" w:themeFill="background1"/>
            <w:vAlign w:val="center"/>
          </w:tcPr>
          <w:p w14:paraId="6C33D3A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3,409</w:t>
            </w:r>
          </w:p>
        </w:tc>
        <w:tc>
          <w:tcPr>
            <w:tcW w:w="935" w:type="dxa"/>
            <w:tcBorders>
              <w:top w:val="single" w:sz="4" w:space="0" w:color="0B3D85"/>
              <w:bottom w:val="single" w:sz="4" w:space="0" w:color="0B3D85"/>
            </w:tcBorders>
            <w:shd w:val="clear" w:color="auto" w:fill="FFFFFF" w:themeFill="background1"/>
            <w:vAlign w:val="center"/>
          </w:tcPr>
          <w:p w14:paraId="1B4AEA7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686" w:type="dxa"/>
            <w:tcBorders>
              <w:top w:val="single" w:sz="4" w:space="0" w:color="0B3D85"/>
              <w:bottom w:val="single" w:sz="4" w:space="0" w:color="0B3D85"/>
            </w:tcBorders>
            <w:shd w:val="clear" w:color="auto" w:fill="FFFFFF" w:themeFill="background1"/>
            <w:vAlign w:val="center"/>
          </w:tcPr>
          <w:p w14:paraId="2411670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لا</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ينطبق</w:t>
            </w:r>
          </w:p>
        </w:tc>
      </w:tr>
      <w:tr w:rsidR="00900056" w:rsidRPr="00900056" w14:paraId="7A932D2D" w14:textId="77777777" w:rsidTr="00922116">
        <w:trPr>
          <w:trHeight w:val="20"/>
        </w:trPr>
        <w:tc>
          <w:tcPr>
            <w:tcW w:w="1255" w:type="dxa"/>
            <w:tcBorders>
              <w:top w:val="single" w:sz="4" w:space="0" w:color="0B3D85"/>
              <w:bottom w:val="single" w:sz="4" w:space="0" w:color="0B3D85"/>
            </w:tcBorders>
            <w:shd w:val="clear" w:color="auto" w:fill="FFFFFF" w:themeFill="background1"/>
            <w:vAlign w:val="center"/>
          </w:tcPr>
          <w:p w14:paraId="16203209"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b/>
                <w:bCs/>
                <w:sz w:val="24"/>
                <w:rtl/>
              </w:rPr>
              <w:t>الإجمالي</w:t>
            </w:r>
          </w:p>
        </w:tc>
        <w:tc>
          <w:tcPr>
            <w:tcW w:w="1023" w:type="dxa"/>
            <w:tcBorders>
              <w:top w:val="single" w:sz="4" w:space="0" w:color="0B3D85"/>
              <w:bottom w:val="single" w:sz="4" w:space="0" w:color="0B3D85"/>
            </w:tcBorders>
            <w:shd w:val="clear" w:color="auto" w:fill="FFFFFF" w:themeFill="background1"/>
            <w:vAlign w:val="center"/>
          </w:tcPr>
          <w:p w14:paraId="6C2C389E"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3,760</w:t>
            </w:r>
          </w:p>
        </w:tc>
        <w:tc>
          <w:tcPr>
            <w:tcW w:w="1262" w:type="dxa"/>
            <w:tcBorders>
              <w:top w:val="single" w:sz="4" w:space="0" w:color="0B3D85"/>
              <w:bottom w:val="single" w:sz="4" w:space="0" w:color="0B3D85"/>
            </w:tcBorders>
            <w:shd w:val="clear" w:color="auto" w:fill="FFFFFF" w:themeFill="background1"/>
            <w:vAlign w:val="center"/>
          </w:tcPr>
          <w:p w14:paraId="7784EBD3"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2,010</w:t>
            </w:r>
          </w:p>
        </w:tc>
        <w:tc>
          <w:tcPr>
            <w:tcW w:w="958" w:type="dxa"/>
            <w:tcBorders>
              <w:top w:val="single" w:sz="4" w:space="0" w:color="0B3D85"/>
              <w:bottom w:val="single" w:sz="4" w:space="0" w:color="0B3D85"/>
            </w:tcBorders>
            <w:shd w:val="clear" w:color="auto" w:fill="FFFFFF" w:themeFill="background1"/>
            <w:vAlign w:val="center"/>
          </w:tcPr>
          <w:p w14:paraId="4157E32E"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13,105</w:t>
            </w:r>
          </w:p>
        </w:tc>
        <w:tc>
          <w:tcPr>
            <w:tcW w:w="790" w:type="dxa"/>
            <w:tcBorders>
              <w:top w:val="single" w:sz="4" w:space="0" w:color="0B3D85"/>
              <w:bottom w:val="single" w:sz="4" w:space="0" w:color="0B3D85"/>
            </w:tcBorders>
            <w:shd w:val="clear" w:color="auto" w:fill="FFFFFF" w:themeFill="background1"/>
            <w:vAlign w:val="center"/>
          </w:tcPr>
          <w:p w14:paraId="63B33A5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(46.5%)</w:t>
            </w:r>
          </w:p>
        </w:tc>
        <w:tc>
          <w:tcPr>
            <w:tcW w:w="841" w:type="dxa"/>
            <w:tcBorders>
              <w:top w:val="single" w:sz="4" w:space="0" w:color="0B3D85"/>
              <w:bottom w:val="single" w:sz="4" w:space="0" w:color="0B3D85"/>
            </w:tcBorders>
            <w:shd w:val="clear" w:color="auto" w:fill="FFFFFF" w:themeFill="background1"/>
            <w:vAlign w:val="center"/>
          </w:tcPr>
          <w:p w14:paraId="6DD22B9D"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552.1%</w:t>
            </w:r>
          </w:p>
        </w:tc>
        <w:tc>
          <w:tcPr>
            <w:tcW w:w="692" w:type="dxa"/>
            <w:tcBorders>
              <w:top w:val="single" w:sz="4" w:space="0" w:color="0B3D85"/>
              <w:bottom w:val="single" w:sz="4" w:space="0" w:color="0B3D85"/>
            </w:tcBorders>
            <w:shd w:val="clear" w:color="auto" w:fill="FFFFFF" w:themeFill="background1"/>
            <w:vAlign w:val="center"/>
          </w:tcPr>
          <w:p w14:paraId="32E02A9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86.7%</w:t>
            </w:r>
          </w:p>
        </w:tc>
        <w:tc>
          <w:tcPr>
            <w:tcW w:w="935" w:type="dxa"/>
            <w:tcBorders>
              <w:top w:val="single" w:sz="4" w:space="0" w:color="0B3D85"/>
              <w:bottom w:val="single" w:sz="4" w:space="0" w:color="0B3D85"/>
            </w:tcBorders>
            <w:shd w:val="clear" w:color="auto" w:fill="FFFFFF" w:themeFill="background1"/>
            <w:vAlign w:val="center"/>
          </w:tcPr>
          <w:p w14:paraId="5CCE7C6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11,050</w:t>
            </w:r>
          </w:p>
        </w:tc>
        <w:tc>
          <w:tcPr>
            <w:tcW w:w="935" w:type="dxa"/>
            <w:tcBorders>
              <w:top w:val="single" w:sz="4" w:space="0" w:color="0B3D85"/>
              <w:bottom w:val="single" w:sz="4" w:space="0" w:color="0B3D85"/>
            </w:tcBorders>
            <w:shd w:val="clear" w:color="auto" w:fill="FFFFFF" w:themeFill="background1"/>
            <w:vAlign w:val="center"/>
          </w:tcPr>
          <w:p w14:paraId="7887794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7,165</w:t>
            </w:r>
          </w:p>
        </w:tc>
        <w:tc>
          <w:tcPr>
            <w:tcW w:w="686" w:type="dxa"/>
            <w:tcBorders>
              <w:top w:val="single" w:sz="4" w:space="0" w:color="0B3D85"/>
              <w:bottom w:val="single" w:sz="4" w:space="0" w:color="0B3D85"/>
            </w:tcBorders>
            <w:shd w:val="clear" w:color="auto" w:fill="FFFFFF" w:themeFill="background1"/>
            <w:vAlign w:val="center"/>
          </w:tcPr>
          <w:p w14:paraId="0045387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(35.2%)</w:t>
            </w:r>
          </w:p>
        </w:tc>
      </w:tr>
    </w:tbl>
    <w:p w14:paraId="7B39074A" w14:textId="77777777" w:rsidR="00C14C69" w:rsidRDefault="00C14C69" w:rsidP="00B934CE">
      <w:pPr>
        <w:bidi/>
        <w:spacing w:after="120"/>
        <w:jc w:val="both"/>
        <w:rPr>
          <w:rFonts w:ascii="Traditional Arabic" w:eastAsia="Calibri" w:hAnsi="Traditional Arabic" w:cs="Traditional Arabic"/>
          <w:b/>
          <w:bCs/>
          <w:sz w:val="30"/>
          <w:szCs w:val="30"/>
        </w:rPr>
      </w:pPr>
      <w:bookmarkStart w:id="35" w:name="_Hlk183089897"/>
    </w:p>
    <w:p w14:paraId="55D99858" w14:textId="77777777" w:rsidR="00563389" w:rsidRPr="00B934CE" w:rsidRDefault="00563389" w:rsidP="00C14C69">
      <w:pPr>
        <w:bidi/>
        <w:spacing w:after="120"/>
        <w:jc w:val="both"/>
        <w:rPr>
          <w:rFonts w:ascii="Traditional Arabic" w:eastAsia="Calibri" w:hAnsi="Traditional Arabic" w:cs="Traditional Arabic"/>
          <w:b/>
          <w:bCs/>
          <w:sz w:val="30"/>
          <w:szCs w:val="30"/>
        </w:rPr>
      </w:pPr>
      <w:r w:rsidRPr="00B934CE">
        <w:rPr>
          <w:rFonts w:ascii="Traditional Arabic" w:eastAsia="Calibri" w:hAnsi="Traditional Arabic" w:cs="Traditional Arabic"/>
          <w:b/>
          <w:bCs/>
          <w:sz w:val="30"/>
          <w:szCs w:val="30"/>
          <w:rtl/>
        </w:rPr>
        <w:t xml:space="preserve">إيرادات الفوائد على القروض والودائع المصرفية </w:t>
      </w:r>
    </w:p>
    <w:bookmarkEnd w:id="35"/>
    <w:p w14:paraId="17B6488E"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 xml:space="preserve"> تكسب الشركة إيرادات الفوائد بشكل أساسي على ودائعها لأجل وعلى القروض المقدمة إلى شركة المصنعة (مشروع مشترك).</w:t>
      </w:r>
    </w:p>
    <w:p w14:paraId="470A283B"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Theme="majorEastAsia" w:hAnsi="Traditional Arabic" w:cs="Traditional Arabic" w:hint="eastAsia"/>
          <w:sz w:val="30"/>
          <w:szCs w:val="30"/>
          <w:rtl/>
        </w:rPr>
        <w:lastRenderedPageBreak/>
        <w:t>انخفضت</w:t>
      </w:r>
      <w:r w:rsidRPr="00B934CE">
        <w:rPr>
          <w:rFonts w:ascii="Traditional Arabic" w:eastAsiaTheme="majorEastAsia" w:hAnsi="Traditional Arabic" w:cs="Traditional Arabic"/>
          <w:sz w:val="30"/>
          <w:szCs w:val="30"/>
          <w:rtl/>
        </w:rPr>
        <w:t xml:space="preserve"> </w:t>
      </w:r>
      <w:r w:rsidRPr="00B934CE">
        <w:rPr>
          <w:rFonts w:ascii="Traditional Arabic" w:eastAsia="Calibri" w:hAnsi="Traditional Arabic" w:cs="Traditional Arabic"/>
          <w:sz w:val="30"/>
          <w:szCs w:val="30"/>
          <w:rtl/>
        </w:rPr>
        <w:t>إيرادات الفوائد على القروض والودائع المصرفية بنسبة 46.5% من</w:t>
      </w:r>
      <w:r w:rsidRPr="00B934CE">
        <w:rPr>
          <w:rFonts w:ascii="Traditional Arabic" w:eastAsiaTheme="majorEastAsia" w:hAnsi="Traditional Arabic" w:cs="Traditional Arabic"/>
          <w:sz w:val="30"/>
          <w:szCs w:val="30"/>
          <w:rtl/>
        </w:rPr>
        <w:t xml:space="preserve"> 3.8 مليون ريال عماني في السنة المالية 2021 الى 2.0 مليون ريال عماني في السنة المالية 2022،</w:t>
      </w:r>
      <w:r w:rsidRPr="00B934CE">
        <w:rPr>
          <w:rFonts w:ascii="Traditional Arabic" w:eastAsia="Calibri" w:hAnsi="Traditional Arabic" w:cs="Traditional Arabic"/>
          <w:sz w:val="30"/>
          <w:szCs w:val="30"/>
          <w:rtl/>
        </w:rPr>
        <w:t xml:space="preserve"> مدفوع</w:t>
      </w:r>
      <w:r w:rsidRPr="00B934CE">
        <w:rPr>
          <w:rFonts w:ascii="Traditional Arabic" w:eastAsia="Calibri" w:hAnsi="Traditional Arabic" w:cs="Traditional Arabic" w:hint="eastAsia"/>
          <w:sz w:val="30"/>
          <w:szCs w:val="30"/>
          <w:rtl/>
        </w:rPr>
        <w:t>ة</w:t>
      </w:r>
      <w:r w:rsidRPr="00B934CE">
        <w:rPr>
          <w:rFonts w:ascii="Traditional Arabic" w:eastAsia="Calibri" w:hAnsi="Traditional Arabic" w:cs="Traditional Arabic"/>
          <w:sz w:val="30"/>
          <w:szCs w:val="30"/>
          <w:rtl/>
        </w:rPr>
        <w:t xml:space="preserve"> بانخفاض الفائدة المكتسبة على الودائع لأجل بما يتماشى مع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انخفاض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 xml:space="preserve">طفيف في متوسط </w:t>
      </w:r>
      <w:r w:rsidRPr="00B934CE">
        <w:rPr>
          <w:rFonts w:eastAsia="Calibri" w:cs="Times New Roman"/>
          <w:sz w:val="30"/>
          <w:szCs w:val="30"/>
        </w:rPr>
        <w:t>​​</w:t>
      </w:r>
      <w:r w:rsidRPr="00B934CE">
        <w:rPr>
          <w:rFonts w:ascii="Traditional Arabic" w:eastAsia="Calibri" w:hAnsi="Traditional Arabic" w:cs="Traditional Arabic" w:hint="eastAsia"/>
          <w:sz w:val="30"/>
          <w:szCs w:val="30"/>
          <w:rtl/>
        </w:rPr>
        <w:t>الودائع</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الثابتة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وأسعار</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الفائدة</w:t>
      </w:r>
      <w:r w:rsidRPr="00B934CE">
        <w:rPr>
          <w:rFonts w:ascii="Traditional Arabic" w:eastAsia="Calibri" w:hAnsi="Traditional Arabic" w:cs="Traditional Arabic"/>
          <w:sz w:val="30"/>
          <w:szCs w:val="30"/>
          <w:rtl/>
        </w:rPr>
        <w:t xml:space="preserve">. </w:t>
      </w:r>
    </w:p>
    <w:p w14:paraId="6BB6458F"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Calibri" w:hAnsi="Traditional Arabic" w:cs="Traditional Arabic"/>
          <w:sz w:val="30"/>
          <w:szCs w:val="30"/>
          <w:rtl/>
        </w:rPr>
        <w:t xml:space="preserve">إيرادات الفوائد على القروض والودائع المصرفية بنسبة 164.1% </w:t>
      </w:r>
      <w:r w:rsidRPr="00B934CE">
        <w:rPr>
          <w:rFonts w:ascii="Traditional Arabic" w:eastAsiaTheme="majorEastAsia" w:hAnsi="Traditional Arabic" w:cs="Traditional Arabic" w:hint="eastAsia"/>
          <w:sz w:val="30"/>
          <w:szCs w:val="30"/>
          <w:rtl/>
        </w:rPr>
        <w:t>من</w:t>
      </w:r>
      <w:r w:rsidRPr="00B934CE">
        <w:rPr>
          <w:rFonts w:ascii="Traditional Arabic" w:eastAsiaTheme="majorEastAsia" w:hAnsi="Traditional Arabic" w:cs="Traditional Arabic"/>
          <w:sz w:val="30"/>
          <w:szCs w:val="30"/>
          <w:rtl/>
        </w:rPr>
        <w:t xml:space="preserve"> 2.0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2022 </w:t>
      </w:r>
      <w:r w:rsidRPr="00B934CE">
        <w:rPr>
          <w:rFonts w:ascii="Traditional Arabic" w:eastAsiaTheme="majorEastAsia" w:hAnsi="Traditional Arabic" w:cs="Traditional Arabic" w:hint="eastAsia"/>
          <w:sz w:val="30"/>
          <w:szCs w:val="30"/>
          <w:rtl/>
        </w:rPr>
        <w:t>الى</w:t>
      </w:r>
      <w:r w:rsidRPr="00B934CE">
        <w:rPr>
          <w:rFonts w:ascii="Traditional Arabic" w:eastAsiaTheme="majorEastAsia" w:hAnsi="Traditional Arabic" w:cs="Traditional Arabic"/>
          <w:sz w:val="30"/>
          <w:szCs w:val="30"/>
          <w:rtl/>
        </w:rPr>
        <w:t xml:space="preserve"> 5.3 </w:t>
      </w:r>
      <w:r w:rsidRPr="00B934CE">
        <w:rPr>
          <w:rFonts w:ascii="Traditional Arabic" w:eastAsiaTheme="majorEastAsia" w:hAnsi="Traditional Arabic" w:cs="Traditional Arabic" w:hint="eastAsia"/>
          <w:sz w:val="30"/>
          <w:szCs w:val="30"/>
          <w:rtl/>
        </w:rPr>
        <w:t>مليون</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ريال</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عماني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في</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السنة</w:t>
      </w:r>
      <w:r w:rsidRPr="00B934CE">
        <w:rPr>
          <w:rFonts w:ascii="Traditional Arabic" w:eastAsiaTheme="majorEastAsia" w:hAnsi="Traditional Arabic" w:cs="Traditional Arabic"/>
          <w:sz w:val="30"/>
          <w:szCs w:val="30"/>
          <w:rtl/>
        </w:rPr>
        <w:t xml:space="preserve"> </w:t>
      </w:r>
      <w:r w:rsidRPr="00B934CE">
        <w:rPr>
          <w:rFonts w:ascii="Traditional Arabic" w:eastAsiaTheme="majorEastAsia" w:hAnsi="Traditional Arabic" w:cs="Traditional Arabic" w:hint="eastAsia"/>
          <w:sz w:val="30"/>
          <w:szCs w:val="30"/>
          <w:rtl/>
        </w:rPr>
        <w:t>المالية</w:t>
      </w:r>
      <w:r w:rsidRPr="00B934CE">
        <w:rPr>
          <w:rFonts w:ascii="Traditional Arabic" w:eastAsiaTheme="majorEastAsia" w:hAnsi="Traditional Arabic" w:cs="Traditional Arabic"/>
          <w:sz w:val="30"/>
          <w:szCs w:val="30"/>
          <w:rtl/>
        </w:rPr>
        <w:t xml:space="preserve"> 2023</w:t>
      </w:r>
      <w:r w:rsidRPr="00B934CE">
        <w:rPr>
          <w:rFonts w:ascii="Traditional Arabic" w:eastAsia="Calibri" w:hAnsi="Traditional Arabic" w:cs="Traditional Arabic" w:hint="eastAsia"/>
          <w:sz w:val="30"/>
          <w:szCs w:val="30"/>
          <w:rtl/>
        </w:rPr>
        <w:t>،</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مدفوعة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ب</w:t>
      </w:r>
      <w:r w:rsidRPr="00B934CE">
        <w:rPr>
          <w:rFonts w:ascii="Traditional Arabic" w:eastAsia="Calibri" w:hAnsi="Traditional Arabic" w:cs="Traditional Arabic"/>
          <w:sz w:val="30"/>
          <w:szCs w:val="30"/>
          <w:rtl/>
        </w:rPr>
        <w:t xml:space="preserve">زيادة الفائدة على الودائع لأجل بما يتماشى مع زيادة متوسط </w:t>
      </w:r>
      <w:r w:rsidRPr="00B934CE">
        <w:rPr>
          <w:rFonts w:eastAsia="Calibri" w:cs="Times New Roman"/>
          <w:sz w:val="30"/>
          <w:szCs w:val="30"/>
        </w:rPr>
        <w:t>​​</w:t>
      </w:r>
      <w:r w:rsidRPr="00B934CE">
        <w:rPr>
          <w:rFonts w:ascii="Traditional Arabic" w:eastAsia="Calibri" w:hAnsi="Traditional Arabic" w:cs="Traditional Arabic" w:hint="eastAsia"/>
          <w:sz w:val="30"/>
          <w:szCs w:val="30"/>
          <w:rtl/>
        </w:rPr>
        <w:t>الودائع</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لأجل</w:t>
      </w:r>
      <w:r w:rsidRPr="00B934CE">
        <w:rPr>
          <w:rFonts w:ascii="Traditional Arabic" w:eastAsia="Calibri" w:hAnsi="Traditional Arabic" w:cs="Traditional Arabic"/>
          <w:sz w:val="30"/>
          <w:szCs w:val="30"/>
          <w:rtl/>
        </w:rPr>
        <w:t>.</w:t>
      </w:r>
    </w:p>
    <w:p w14:paraId="4A976EE4"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Theme="majorEastAsia" w:hAnsi="Traditional Arabic" w:cs="Traditional Arabic" w:hint="eastAsia"/>
          <w:sz w:val="30"/>
          <w:szCs w:val="30"/>
          <w:rtl/>
        </w:rPr>
        <w:t>ارتفعت</w:t>
      </w:r>
      <w:r w:rsidRPr="00B934CE">
        <w:rPr>
          <w:rFonts w:ascii="Traditional Arabic" w:eastAsiaTheme="majorEastAsia" w:hAnsi="Traditional Arabic" w:cs="Traditional Arabic"/>
          <w:sz w:val="30"/>
          <w:szCs w:val="30"/>
          <w:rtl/>
        </w:rPr>
        <w:t xml:space="preserve"> </w:t>
      </w:r>
      <w:r w:rsidRPr="00B934CE">
        <w:rPr>
          <w:rFonts w:ascii="Traditional Arabic" w:eastAsia="Calibri" w:hAnsi="Traditional Arabic" w:cs="Traditional Arabic"/>
          <w:sz w:val="30"/>
          <w:szCs w:val="30"/>
          <w:rtl/>
        </w:rPr>
        <w:t xml:space="preserve">إيرادات الفوائد على القروض والودائع المصرفية بنسبة 28.3٪ من 4.1 مليون ريال عماني في فترة التسعة أشهر المنتهية في 30 سبتمبر 2023 إلى 5.2 مليون ريال عماني في فترة التسعة </w:t>
      </w:r>
      <w:r w:rsidRPr="00B934CE">
        <w:rPr>
          <w:rFonts w:ascii="Traditional Arabic" w:eastAsia="Calibri" w:hAnsi="Traditional Arabic" w:cs="Traditional Arabic" w:hint="eastAsia"/>
          <w:sz w:val="30"/>
          <w:szCs w:val="30"/>
          <w:rtl/>
        </w:rPr>
        <w:t>أشهر</w:t>
      </w:r>
      <w:r w:rsidRPr="00B934CE">
        <w:rPr>
          <w:rFonts w:ascii="Traditional Arabic" w:eastAsia="Calibri" w:hAnsi="Traditional Arabic" w:cs="Traditional Arabic"/>
          <w:sz w:val="30"/>
          <w:szCs w:val="30"/>
          <w:rtl/>
        </w:rPr>
        <w:t xml:space="preserve"> المنتهية في 30 سبتمبر 2024 </w:t>
      </w:r>
      <w:r w:rsidRPr="00B934CE">
        <w:rPr>
          <w:rFonts w:ascii="Traditional Arabic" w:eastAsia="Calibri" w:hAnsi="Traditional Arabic" w:cs="Traditional Arabic" w:hint="eastAsia"/>
          <w:sz w:val="30"/>
          <w:szCs w:val="30"/>
          <w:rtl/>
        </w:rPr>
        <w:t>مدفوعة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ب</w:t>
      </w:r>
      <w:r w:rsidRPr="00B934CE">
        <w:rPr>
          <w:rFonts w:ascii="Traditional Arabic" w:eastAsia="Calibri" w:hAnsi="Traditional Arabic" w:cs="Traditional Arabic"/>
          <w:sz w:val="30"/>
          <w:szCs w:val="30"/>
          <w:rtl/>
        </w:rPr>
        <w:t xml:space="preserve">زيادة الفائدة على الودائع لأجل الناتجة عن زيادة معدل </w:t>
      </w:r>
      <w:r w:rsidRPr="00B934CE">
        <w:rPr>
          <w:rFonts w:ascii="Traditional Arabic" w:eastAsia="Calibri" w:hAnsi="Traditional Arabic" w:cs="Traditional Arabic" w:hint="eastAsia"/>
          <w:sz w:val="30"/>
          <w:szCs w:val="30"/>
          <w:rtl/>
        </w:rPr>
        <w:t>السوفر</w:t>
      </w:r>
      <w:r w:rsidRPr="00B934CE">
        <w:rPr>
          <w:rFonts w:ascii="Traditional Arabic" w:eastAsia="Calibri" w:hAnsi="Traditional Arabic" w:cs="Traditional Arabic"/>
          <w:sz w:val="30"/>
          <w:szCs w:val="30"/>
          <w:rtl/>
        </w:rPr>
        <w:t xml:space="preserve"> من متوسط </w:t>
      </w:r>
      <w:r w:rsidRPr="00B934CE">
        <w:rPr>
          <w:rFonts w:eastAsia="Calibri" w:cs="Times New Roman"/>
          <w:sz w:val="30"/>
          <w:szCs w:val="30"/>
        </w:rPr>
        <w:t>​​</w:t>
      </w:r>
      <w:r w:rsidRPr="00B934CE">
        <w:rPr>
          <w:rFonts w:ascii="Traditional Arabic" w:eastAsia="Calibri" w:hAnsi="Traditional Arabic" w:cs="Traditional Arabic"/>
          <w:sz w:val="30"/>
          <w:szCs w:val="30"/>
          <w:rtl/>
        </w:rPr>
        <w:t xml:space="preserve">5.05٪ </w:t>
      </w:r>
      <w:r w:rsidRPr="00B934CE">
        <w:rPr>
          <w:rFonts w:ascii="Traditional Arabic" w:eastAsia="Calibri" w:hAnsi="Traditional Arabic" w:cs="Traditional Arabic" w:hint="eastAsia"/>
          <w:sz w:val="30"/>
          <w:szCs w:val="30"/>
          <w:rtl/>
        </w:rPr>
        <w:t>إلى</w:t>
      </w:r>
      <w:r w:rsidRPr="00B934CE">
        <w:rPr>
          <w:rFonts w:ascii="Traditional Arabic" w:eastAsia="Calibri" w:hAnsi="Traditional Arabic" w:cs="Traditional Arabic"/>
          <w:sz w:val="30"/>
          <w:szCs w:val="30"/>
          <w:rtl/>
        </w:rPr>
        <w:t xml:space="preserve"> 5.75٪.</w:t>
      </w:r>
    </w:p>
    <w:p w14:paraId="2E86090E"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 xml:space="preserve">إيرادات الفوائد على عقود مقايضة أسعار الفائدة </w:t>
      </w:r>
    </w:p>
    <w:p w14:paraId="67162AF6"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بلغت</w:t>
      </w:r>
      <w:r w:rsidRPr="00B934CE">
        <w:rPr>
          <w:rFonts w:ascii="Traditional Arabic" w:eastAsia="Calibri" w:hAnsi="Traditional Arabic" w:cs="Traditional Arabic"/>
          <w:sz w:val="30"/>
          <w:szCs w:val="30"/>
          <w:rtl/>
        </w:rPr>
        <w:t xml:space="preserve"> إيرادات الفوائد على عقود مقايضة أسعار الفائدة 4.4 مليون ريال عماني في السنة المالية 2023، وتمثل الأرباح المكتسبة من إغلاق اتفاقية التحوط لثلاث شركات تابعة. </w:t>
      </w:r>
    </w:p>
    <w:p w14:paraId="587B0724"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hint="eastAsia"/>
          <w:sz w:val="30"/>
          <w:szCs w:val="30"/>
          <w:rtl/>
        </w:rPr>
        <w:t>ان</w:t>
      </w:r>
      <w:r w:rsidRPr="00B934CE">
        <w:rPr>
          <w:rFonts w:ascii="Traditional Arabic" w:eastAsia="Calibri" w:hAnsi="Traditional Arabic" w:cs="Traditional Arabic"/>
          <w:sz w:val="30"/>
          <w:szCs w:val="30"/>
          <w:rtl/>
        </w:rPr>
        <w:t xml:space="preserve">خفضت إيرادات الفوائد على عقود مقايضة أسعار الفائدة بنسبة 45.5٪ من 3.6 مليون ريال عماني في فترة التسعة أشهر المنتهية في 30 سبتمبر 2023 إلى 1.9 مليون ريال عماني في فترة التسعة أشهر المنتهية في 30 سبتمبر 2024 </w:t>
      </w:r>
      <w:r w:rsidRPr="00B934CE">
        <w:rPr>
          <w:rFonts w:ascii="Traditional Arabic" w:eastAsia="Calibri" w:hAnsi="Traditional Arabic" w:cs="Traditional Arabic" w:hint="eastAsia"/>
          <w:sz w:val="30"/>
          <w:szCs w:val="30"/>
          <w:rtl/>
        </w:rPr>
        <w:t>وي</w:t>
      </w:r>
      <w:r w:rsidRPr="00B934CE">
        <w:rPr>
          <w:rFonts w:ascii="Traditional Arabic" w:eastAsia="Calibri" w:hAnsi="Traditional Arabic" w:cs="Traditional Arabic"/>
          <w:sz w:val="30"/>
          <w:szCs w:val="30"/>
          <w:rtl/>
        </w:rPr>
        <w:t>عزى ذلك إلى كسر 4 تحوطات مقايضة خلال فترة التسعة أشهر المنتهية في 30 سبتمبر 2023.</w:t>
      </w:r>
    </w:p>
    <w:p w14:paraId="02CDDFE0"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الربح على كسر المقايضة</w:t>
      </w:r>
    </w:p>
    <w:p w14:paraId="2F124827"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من أجل إدارة مخاطر أسعار الفائدة بسبب حجم الديون المستحقة بأسعار فائدة متغيرة، تدخل الشركة في مقايضات أسعار فائدة، حيث توافق الشركة على تبادل الفرق بين مبالغ الفائدة الثابتة والمتغيرة المحسوبة بالإشارة إلى مبلغ رأس المال الاسمي المتفق عليه.</w:t>
      </w:r>
    </w:p>
    <w:p w14:paraId="6B66C75A"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بلغ</w:t>
      </w:r>
      <w:r w:rsidRPr="00B934CE">
        <w:rPr>
          <w:rFonts w:ascii="Traditional Arabic" w:eastAsia="Calibri" w:hAnsi="Traditional Arabic" w:cs="Traditional Arabic"/>
          <w:sz w:val="30"/>
          <w:szCs w:val="30"/>
          <w:rtl/>
        </w:rPr>
        <w:t xml:space="preserve"> الربح على كسر المقايضة 3.4 مليون ريال عماني في السنة المالية 2023، حيث كان اتجاه أسعار الفائدة تصاعديًا مقارنة </w:t>
      </w:r>
      <w:r w:rsidRPr="00B934CE">
        <w:rPr>
          <w:rFonts w:ascii="Traditional Arabic" w:eastAsia="Calibri" w:hAnsi="Traditional Arabic" w:cs="Traditional Arabic" w:hint="eastAsia"/>
          <w:sz w:val="30"/>
          <w:szCs w:val="30"/>
          <w:rtl/>
        </w:rPr>
        <w:t>بمعدل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التحوط</w:t>
      </w:r>
      <w:r w:rsidRPr="00B934CE">
        <w:rPr>
          <w:rFonts w:ascii="Traditional Arabic" w:eastAsia="Calibri" w:hAnsi="Traditional Arabic" w:cs="Traditional Arabic"/>
          <w:sz w:val="30"/>
          <w:szCs w:val="30"/>
          <w:rtl/>
        </w:rPr>
        <w:t>.</w:t>
      </w:r>
    </w:p>
    <w:p w14:paraId="60FAA79A"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hint="eastAsia"/>
          <w:sz w:val="30"/>
          <w:szCs w:val="30"/>
          <w:rtl/>
        </w:rPr>
        <w:t>ا</w:t>
      </w:r>
      <w:r w:rsidRPr="00B934CE">
        <w:rPr>
          <w:rFonts w:ascii="Traditional Arabic" w:eastAsia="Calibri" w:hAnsi="Traditional Arabic" w:cs="Traditional Arabic"/>
          <w:sz w:val="30"/>
          <w:szCs w:val="30"/>
          <w:rtl/>
        </w:rPr>
        <w:t xml:space="preserve">نخفض الربح </w:t>
      </w:r>
      <w:r w:rsidRPr="00B934CE">
        <w:rPr>
          <w:rFonts w:ascii="Traditional Arabic" w:eastAsia="Calibri" w:hAnsi="Traditional Arabic" w:cs="Traditional Arabic" w:hint="eastAsia"/>
          <w:sz w:val="30"/>
          <w:szCs w:val="30"/>
          <w:rtl/>
        </w:rPr>
        <w:t>على</w:t>
      </w:r>
      <w:r w:rsidRPr="00B934CE">
        <w:rPr>
          <w:rFonts w:ascii="Traditional Arabic" w:eastAsia="Calibri" w:hAnsi="Traditional Arabic" w:cs="Traditional Arabic"/>
          <w:sz w:val="30"/>
          <w:szCs w:val="30"/>
          <w:rtl/>
        </w:rPr>
        <w:t xml:space="preserve"> كسر </w:t>
      </w:r>
      <w:r w:rsidRPr="00B934CE">
        <w:rPr>
          <w:rFonts w:ascii="Traditional Arabic" w:eastAsia="Calibri" w:hAnsi="Traditional Arabic" w:cs="Traditional Arabic" w:hint="eastAsia"/>
          <w:sz w:val="30"/>
          <w:szCs w:val="30"/>
          <w:rtl/>
        </w:rPr>
        <w:t>المقايضة</w:t>
      </w:r>
      <w:r w:rsidRPr="00B934CE">
        <w:rPr>
          <w:rFonts w:ascii="Traditional Arabic" w:eastAsia="Calibri" w:hAnsi="Traditional Arabic" w:cs="Traditional Arabic"/>
          <w:sz w:val="30"/>
          <w:szCs w:val="30"/>
          <w:rtl/>
        </w:rPr>
        <w:t xml:space="preserve"> بنسبة 100.0٪ من 3.4 مليون ريال عماني في فترة التسعة أشهر المنتهية في 30 سبتمبر 2023 إلى صفر في فترة التسعة أشهر المنتهية في 30 سبتمبر 2024 بسبب المكاسب المسجلة عند إغلاق </w:t>
      </w:r>
      <w:r w:rsidRPr="00B934CE">
        <w:rPr>
          <w:rFonts w:ascii="Traditional Arabic" w:eastAsia="Calibri" w:hAnsi="Traditional Arabic" w:cs="Traditional Arabic" w:hint="eastAsia"/>
          <w:sz w:val="30"/>
          <w:szCs w:val="30"/>
          <w:rtl/>
        </w:rPr>
        <w:t>اربعة</w:t>
      </w:r>
      <w:r w:rsidRPr="00B934CE">
        <w:rPr>
          <w:rFonts w:ascii="Traditional Arabic" w:eastAsia="Calibri" w:hAnsi="Traditional Arabic" w:cs="Traditional Arabic"/>
          <w:sz w:val="30"/>
          <w:szCs w:val="30"/>
          <w:rtl/>
        </w:rPr>
        <w:t xml:space="preserve"> اتفاقيات </w:t>
      </w:r>
      <w:r w:rsidRPr="00B934CE">
        <w:rPr>
          <w:rFonts w:ascii="Traditional Arabic" w:eastAsia="Calibri" w:hAnsi="Traditional Arabic" w:cs="Traditional Arabic" w:hint="eastAsia"/>
          <w:sz w:val="30"/>
          <w:szCs w:val="30"/>
          <w:rtl/>
        </w:rPr>
        <w:t>المقايضة</w:t>
      </w:r>
      <w:r w:rsidRPr="00B934CE">
        <w:rPr>
          <w:rFonts w:ascii="Traditional Arabic" w:eastAsia="Calibri" w:hAnsi="Traditional Arabic" w:cs="Traditional Arabic"/>
          <w:sz w:val="30"/>
          <w:szCs w:val="30"/>
          <w:rtl/>
        </w:rPr>
        <w:t xml:space="preserve"> التحوطية (3.4 مليون ريال عماني) في فترة التسعة أشهر المنتهية في 30 سبتمبر 2023.</w:t>
      </w:r>
    </w:p>
    <w:p w14:paraId="0AFCABF8" w14:textId="77777777" w:rsidR="00563389" w:rsidRPr="00B934CE" w:rsidRDefault="00563389" w:rsidP="00B934CE">
      <w:pPr>
        <w:pStyle w:val="4"/>
        <w:spacing w:before="0"/>
        <w:rPr>
          <w:rFonts w:ascii="Traditional Arabic" w:hAnsi="Traditional Arabic" w:cs="Traditional Arabic"/>
          <w:i/>
          <w:iCs/>
          <w:color w:val="auto"/>
          <w:sz w:val="30"/>
          <w:szCs w:val="30"/>
          <w:rtl/>
        </w:rPr>
      </w:pPr>
      <w:r w:rsidRPr="00B934CE">
        <w:rPr>
          <w:rFonts w:ascii="Traditional Arabic" w:hAnsi="Traditional Arabic" w:cs="Traditional Arabic" w:hint="eastAsia"/>
          <w:i/>
          <w:iCs/>
          <w:color w:val="auto"/>
          <w:sz w:val="30"/>
          <w:szCs w:val="30"/>
          <w:rtl/>
        </w:rPr>
        <w:t>الديون</w:t>
      </w:r>
      <w:r w:rsidRPr="00B934CE">
        <w:rPr>
          <w:rFonts w:ascii="Traditional Arabic" w:hAnsi="Traditional Arabic" w:cs="Traditional Arabic"/>
          <w:i/>
          <w:iCs/>
          <w:color w:val="auto"/>
          <w:sz w:val="30"/>
          <w:szCs w:val="30"/>
          <w:rtl/>
        </w:rPr>
        <w:t xml:space="preserve"> </w:t>
      </w:r>
      <w:r w:rsidRPr="00B934CE">
        <w:rPr>
          <w:rFonts w:ascii="Traditional Arabic" w:hAnsi="Traditional Arabic" w:cs="Traditional Arabic"/>
          <w:i/>
          <w:iCs/>
          <w:color w:val="auto"/>
          <w:sz w:val="30"/>
          <w:szCs w:val="30"/>
        </w:rPr>
        <w:t>/</w:t>
      </w:r>
      <w:r w:rsidRPr="00B934CE">
        <w:rPr>
          <w:rFonts w:ascii="Traditional Arabic" w:hAnsi="Traditional Arabic" w:cs="Traditional Arabic"/>
          <w:i/>
          <w:iCs/>
          <w:color w:val="auto"/>
          <w:sz w:val="30"/>
          <w:szCs w:val="30"/>
          <w:rtl/>
          <w:lang w:bidi="ar-JO"/>
        </w:rPr>
        <w:t xml:space="preserve"> الالتزامات</w:t>
      </w:r>
    </w:p>
    <w:p w14:paraId="1A5E0796" w14:textId="77777777" w:rsidR="00563389" w:rsidRPr="00B934CE" w:rsidRDefault="00563389" w:rsidP="00B934CE">
      <w:pPr>
        <w:bidi/>
        <w:jc w:val="lowKashida"/>
        <w:rPr>
          <w:rFonts w:ascii="Traditional Arabic" w:eastAsiaTheme="majorEastAsia" w:hAnsi="Traditional Arabic" w:cs="Traditional Arabic"/>
          <w:i/>
          <w:iCs/>
          <w:sz w:val="30"/>
          <w:szCs w:val="30"/>
        </w:rPr>
      </w:pPr>
      <w:bookmarkStart w:id="36" w:name="_Hlk182493948"/>
      <w:r w:rsidRPr="00B934CE">
        <w:rPr>
          <w:rFonts w:ascii="Traditional Arabic" w:eastAsiaTheme="majorEastAsia" w:hAnsi="Traditional Arabic" w:cs="Traditional Arabic"/>
          <w:i/>
          <w:iCs/>
          <w:sz w:val="30"/>
          <w:szCs w:val="30"/>
          <w:rtl/>
        </w:rPr>
        <w:t xml:space="preserve">أصول مالية بالتكلفة المطفأة </w:t>
      </w:r>
    </w:p>
    <w:p w14:paraId="2455CBB4" w14:textId="77777777" w:rsidR="00563389" w:rsidRPr="00B934CE" w:rsidRDefault="00563389" w:rsidP="00B934CE">
      <w:pPr>
        <w:bidi/>
        <w:jc w:val="both"/>
        <w:rPr>
          <w:rFonts w:ascii="Traditional Arabic" w:eastAsia="Calibri" w:hAnsi="Traditional Arabic" w:cs="Traditional Arabic"/>
          <w:i/>
          <w:iCs/>
          <w:sz w:val="30"/>
          <w:szCs w:val="30"/>
        </w:rPr>
      </w:pPr>
      <w:r w:rsidRPr="00B934CE">
        <w:rPr>
          <w:rFonts w:ascii="Traditional Arabic" w:eastAsia="Calibri" w:hAnsi="Traditional Arabic" w:cs="Traditional Arabic"/>
          <w:i/>
          <w:iCs/>
          <w:sz w:val="30"/>
          <w:szCs w:val="30"/>
          <w:rtl/>
        </w:rPr>
        <w:lastRenderedPageBreak/>
        <w:t>الجدول‏:</w:t>
      </w:r>
      <w:r w:rsidRPr="00B934CE">
        <w:rPr>
          <w:rFonts w:ascii="Traditional Arabic" w:eastAsia="Calibri" w:hAnsi="Traditional Arabic" w:cs="Traditional Arabic"/>
          <w:b/>
          <w:bCs/>
          <w:i/>
          <w:iCs/>
          <w:sz w:val="30"/>
          <w:szCs w:val="30"/>
          <w:rtl/>
        </w:rPr>
        <w:t xml:space="preserve"> </w:t>
      </w:r>
      <w:r w:rsidRPr="00B934CE">
        <w:rPr>
          <w:rFonts w:ascii="Traditional Arabic" w:eastAsia="Calibri" w:hAnsi="Traditional Arabic" w:cs="Traditional Arabic" w:hint="eastAsia"/>
          <w:i/>
          <w:iCs/>
          <w:sz w:val="30"/>
          <w:szCs w:val="30"/>
          <w:rtl/>
        </w:rPr>
        <w:t>أصول</w:t>
      </w:r>
      <w:r w:rsidRPr="00B934CE">
        <w:rPr>
          <w:rFonts w:ascii="Traditional Arabic" w:eastAsia="Calibri" w:hAnsi="Traditional Arabic" w:cs="Traditional Arabic"/>
          <w:i/>
          <w:iCs/>
          <w:sz w:val="30"/>
          <w:szCs w:val="30"/>
          <w:rtl/>
        </w:rPr>
        <w:t xml:space="preserve"> </w:t>
      </w:r>
      <w:r w:rsidRPr="00B934CE">
        <w:rPr>
          <w:rFonts w:ascii="Traditional Arabic" w:eastAsia="Calibri" w:hAnsi="Traditional Arabic" w:cs="Traditional Arabic" w:hint="eastAsia"/>
          <w:i/>
          <w:iCs/>
          <w:sz w:val="30"/>
          <w:szCs w:val="30"/>
          <w:rtl/>
        </w:rPr>
        <w:t>مالية</w:t>
      </w:r>
      <w:r w:rsidRPr="00B934CE">
        <w:rPr>
          <w:rFonts w:ascii="Traditional Arabic" w:eastAsia="Calibri" w:hAnsi="Traditional Arabic" w:cs="Traditional Arabic"/>
          <w:i/>
          <w:iCs/>
          <w:sz w:val="30"/>
          <w:szCs w:val="30"/>
          <w:rtl/>
        </w:rPr>
        <w:t xml:space="preserve"> </w:t>
      </w:r>
      <w:r w:rsidRPr="00B934CE">
        <w:rPr>
          <w:rFonts w:ascii="Traditional Arabic" w:eastAsia="Calibri" w:hAnsi="Traditional Arabic" w:cs="Traditional Arabic" w:hint="eastAsia"/>
          <w:i/>
          <w:iCs/>
          <w:sz w:val="30"/>
          <w:szCs w:val="30"/>
          <w:rtl/>
        </w:rPr>
        <w:t>بالتكلفة</w:t>
      </w:r>
      <w:r w:rsidRPr="00B934CE">
        <w:rPr>
          <w:rFonts w:ascii="Traditional Arabic" w:eastAsia="Calibri" w:hAnsi="Traditional Arabic" w:cs="Traditional Arabic"/>
          <w:i/>
          <w:iCs/>
          <w:sz w:val="30"/>
          <w:szCs w:val="30"/>
          <w:rtl/>
        </w:rPr>
        <w:t xml:space="preserve"> </w:t>
      </w:r>
      <w:r w:rsidRPr="00B934CE">
        <w:rPr>
          <w:rFonts w:ascii="Traditional Arabic" w:eastAsia="Calibri" w:hAnsi="Traditional Arabic" w:cs="Traditional Arabic" w:hint="eastAsia"/>
          <w:i/>
          <w:iCs/>
          <w:sz w:val="30"/>
          <w:szCs w:val="30"/>
          <w:rtl/>
        </w:rPr>
        <w:t>المطفأة</w:t>
      </w:r>
      <w:r w:rsidRPr="00B934CE">
        <w:rPr>
          <w:rFonts w:ascii="Traditional Arabic" w:eastAsia="Calibri" w:hAnsi="Traditional Arabic" w:cs="Traditional Arabic"/>
          <w:i/>
          <w:iCs/>
          <w:sz w:val="30"/>
          <w:szCs w:val="30"/>
          <w:rtl/>
        </w:rPr>
        <w:t xml:space="preserve"> </w:t>
      </w:r>
      <w:r w:rsidRPr="00B934CE">
        <w:rPr>
          <w:rFonts w:ascii="Traditional Arabic" w:eastAsia="Calibri" w:hAnsi="Traditional Arabic" w:cs="Traditional Arabic" w:hint="eastAsia"/>
          <w:i/>
          <w:iCs/>
          <w:sz w:val="30"/>
          <w:szCs w:val="30"/>
          <w:rtl/>
        </w:rPr>
        <w:t>كما</w:t>
      </w:r>
      <w:r w:rsidRPr="00B934CE">
        <w:rPr>
          <w:rFonts w:ascii="Traditional Arabic" w:eastAsia="Calibri" w:hAnsi="Traditional Arabic" w:cs="Traditional Arabic"/>
          <w:i/>
          <w:iCs/>
          <w:sz w:val="30"/>
          <w:szCs w:val="30"/>
          <w:rtl/>
        </w:rPr>
        <w:t xml:space="preserve"> في 31 ديسمبر 2021، و2022، و2023، وكما في 30 سبتمبر 2024</w:t>
      </w:r>
      <w:r w:rsidRPr="00B934CE">
        <w:rPr>
          <w:rFonts w:ascii="Traditional Arabic" w:eastAsia="Calibri" w:hAnsi="Traditional Arabic" w:cs="Traditional Arabic"/>
          <w:i/>
          <w:iCs/>
          <w:sz w:val="30"/>
          <w:szCs w:val="30"/>
        </w:rPr>
        <w:t>:</w:t>
      </w:r>
    </w:p>
    <w:tbl>
      <w:tblPr>
        <w:bidiVisual/>
        <w:tblW w:w="93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440"/>
        <w:gridCol w:w="1440"/>
        <w:gridCol w:w="1440"/>
        <w:gridCol w:w="1440"/>
      </w:tblGrid>
      <w:tr w:rsidR="00563389" w:rsidRPr="00B934CE" w14:paraId="05C47C18" w14:textId="77777777" w:rsidTr="00922116">
        <w:tc>
          <w:tcPr>
            <w:tcW w:w="3600" w:type="dxa"/>
            <w:tcBorders>
              <w:top w:val="nil"/>
              <w:bottom w:val="single" w:sz="4" w:space="0" w:color="0B3D85"/>
              <w:right w:val="nil"/>
            </w:tcBorders>
            <w:shd w:val="clear" w:color="auto" w:fill="0B3D85"/>
            <w:vAlign w:val="center"/>
          </w:tcPr>
          <w:p w14:paraId="0A747370"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hAnsi="Traditional Arabic" w:cs="Traditional Arabic"/>
                <w:b/>
                <w:bCs/>
                <w:sz w:val="24"/>
                <w:rtl/>
              </w:rPr>
              <w:t>بآلاف الريالات العمانية</w:t>
            </w:r>
          </w:p>
        </w:tc>
        <w:tc>
          <w:tcPr>
            <w:tcW w:w="1440" w:type="dxa"/>
            <w:tcBorders>
              <w:top w:val="nil"/>
              <w:left w:val="nil"/>
              <w:bottom w:val="single" w:sz="4" w:space="0" w:color="0B3D85"/>
              <w:right w:val="nil"/>
            </w:tcBorders>
            <w:shd w:val="clear" w:color="auto" w:fill="0B3D85"/>
            <w:vAlign w:val="center"/>
          </w:tcPr>
          <w:p w14:paraId="307D4842"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31 ديسمبر 2021</w:t>
            </w:r>
          </w:p>
          <w:p w14:paraId="5149EB2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t>(المراجعة)</w:t>
            </w:r>
          </w:p>
        </w:tc>
        <w:tc>
          <w:tcPr>
            <w:tcW w:w="1440" w:type="dxa"/>
            <w:tcBorders>
              <w:top w:val="nil"/>
              <w:left w:val="nil"/>
              <w:bottom w:val="single" w:sz="4" w:space="0" w:color="0B3D85"/>
              <w:right w:val="nil"/>
            </w:tcBorders>
            <w:shd w:val="clear" w:color="auto" w:fill="0B3D85"/>
            <w:vAlign w:val="center"/>
          </w:tcPr>
          <w:p w14:paraId="1BCE6B6B"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31 ديسمبر 2022</w:t>
            </w:r>
          </w:p>
          <w:p w14:paraId="58FBA93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t>(المراجعة)</w:t>
            </w:r>
          </w:p>
        </w:tc>
        <w:tc>
          <w:tcPr>
            <w:tcW w:w="1440" w:type="dxa"/>
            <w:tcBorders>
              <w:top w:val="nil"/>
              <w:left w:val="nil"/>
              <w:bottom w:val="single" w:sz="4" w:space="0" w:color="0B3D85"/>
              <w:right w:val="nil"/>
            </w:tcBorders>
            <w:shd w:val="clear" w:color="auto" w:fill="0B3D85"/>
            <w:vAlign w:val="center"/>
          </w:tcPr>
          <w:p w14:paraId="49973F14"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31 ديسمبر 2023</w:t>
            </w:r>
          </w:p>
          <w:p w14:paraId="4A5BC08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t>(المراجعة)</w:t>
            </w:r>
          </w:p>
        </w:tc>
        <w:tc>
          <w:tcPr>
            <w:tcW w:w="1440" w:type="dxa"/>
            <w:tcBorders>
              <w:top w:val="nil"/>
              <w:left w:val="nil"/>
              <w:bottom w:val="single" w:sz="4" w:space="0" w:color="0B3D85"/>
              <w:right w:val="nil"/>
            </w:tcBorders>
            <w:shd w:val="clear" w:color="auto" w:fill="0B3D85"/>
            <w:vAlign w:val="center"/>
          </w:tcPr>
          <w:p w14:paraId="3CF5C1DA"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30 سبتمبر 2024</w:t>
            </w:r>
          </w:p>
          <w:p w14:paraId="3B1A949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(المفحوصة)</w:t>
            </w:r>
          </w:p>
        </w:tc>
      </w:tr>
      <w:tr w:rsidR="00563389" w:rsidRPr="00B934CE" w14:paraId="64AA560E" w14:textId="77777777" w:rsidTr="00922116">
        <w:tc>
          <w:tcPr>
            <w:tcW w:w="3600" w:type="dxa"/>
            <w:tcBorders>
              <w:top w:val="single" w:sz="4" w:space="0" w:color="0B3D85"/>
              <w:bottom w:val="single" w:sz="4" w:space="0" w:color="0B3D85"/>
              <w:right w:val="nil"/>
            </w:tcBorders>
          </w:tcPr>
          <w:p w14:paraId="5DD96083"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الأصول المالية - التأجير التمويلي</w:t>
            </w:r>
          </w:p>
        </w:tc>
        <w:tc>
          <w:tcPr>
            <w:tcW w:w="1440" w:type="dxa"/>
            <w:tcBorders>
              <w:top w:val="single" w:sz="4" w:space="0" w:color="0B3D85"/>
              <w:left w:val="nil"/>
              <w:bottom w:val="single" w:sz="4" w:space="0" w:color="0B3D85"/>
              <w:right w:val="nil"/>
            </w:tcBorders>
            <w:vAlign w:val="center"/>
          </w:tcPr>
          <w:p w14:paraId="7758597A"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136DA000"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6F9FCB15"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603ECF7A" w14:textId="77777777" w:rsidR="00563389" w:rsidRPr="00B934CE" w:rsidRDefault="00563389" w:rsidP="00B934CE">
            <w:pPr>
              <w:bidi/>
              <w:jc w:val="center"/>
              <w:rPr>
                <w:rFonts w:ascii="Traditional Arabic" w:eastAsia="Calibri" w:hAnsi="Traditional Arabic" w:cs="Traditional Arabic"/>
                <w:b/>
                <w:bCs/>
                <w:sz w:val="24"/>
                <w:rtl/>
              </w:rPr>
            </w:pPr>
          </w:p>
        </w:tc>
      </w:tr>
      <w:tr w:rsidR="00563389" w:rsidRPr="00B934CE" w14:paraId="1838FB4F" w14:textId="77777777" w:rsidTr="00922116">
        <w:tc>
          <w:tcPr>
            <w:tcW w:w="3600" w:type="dxa"/>
            <w:tcBorders>
              <w:top w:val="single" w:sz="4" w:space="0" w:color="0B3D85"/>
              <w:bottom w:val="single" w:sz="4" w:space="0" w:color="0B3D85"/>
              <w:right w:val="nil"/>
            </w:tcBorders>
          </w:tcPr>
          <w:p w14:paraId="75B45603"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sz w:val="24"/>
                <w:rtl/>
              </w:rPr>
              <w:t>مستحقات الإيجار التمويلي</w:t>
            </w:r>
          </w:p>
        </w:tc>
        <w:tc>
          <w:tcPr>
            <w:tcW w:w="1440" w:type="dxa"/>
            <w:tcBorders>
              <w:top w:val="single" w:sz="4" w:space="0" w:color="0B3D85"/>
              <w:left w:val="nil"/>
              <w:bottom w:val="single" w:sz="4" w:space="0" w:color="0B3D85"/>
              <w:right w:val="nil"/>
            </w:tcBorders>
            <w:vAlign w:val="center"/>
          </w:tcPr>
          <w:p w14:paraId="2254A5C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144,389</w:t>
            </w:r>
          </w:p>
        </w:tc>
        <w:tc>
          <w:tcPr>
            <w:tcW w:w="1440" w:type="dxa"/>
            <w:tcBorders>
              <w:top w:val="single" w:sz="4" w:space="0" w:color="0B3D85"/>
              <w:left w:val="nil"/>
              <w:bottom w:val="single" w:sz="4" w:space="0" w:color="0B3D85"/>
              <w:right w:val="nil"/>
            </w:tcBorders>
            <w:vAlign w:val="center"/>
          </w:tcPr>
          <w:p w14:paraId="2467AFE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138,197</w:t>
            </w:r>
          </w:p>
        </w:tc>
        <w:tc>
          <w:tcPr>
            <w:tcW w:w="1440" w:type="dxa"/>
            <w:tcBorders>
              <w:top w:val="single" w:sz="4" w:space="0" w:color="0B3D85"/>
              <w:left w:val="nil"/>
              <w:bottom w:val="single" w:sz="4" w:space="0" w:color="0B3D85"/>
              <w:right w:val="nil"/>
            </w:tcBorders>
            <w:vAlign w:val="center"/>
          </w:tcPr>
          <w:p w14:paraId="38D44C7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131,234</w:t>
            </w:r>
          </w:p>
        </w:tc>
        <w:tc>
          <w:tcPr>
            <w:tcW w:w="1440" w:type="dxa"/>
            <w:tcBorders>
              <w:top w:val="single" w:sz="4" w:space="0" w:color="0B3D85"/>
              <w:left w:val="nil"/>
              <w:bottom w:val="single" w:sz="4" w:space="0" w:color="0B3D85"/>
              <w:right w:val="nil"/>
            </w:tcBorders>
            <w:vAlign w:val="center"/>
          </w:tcPr>
          <w:p w14:paraId="438674B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125,345</w:t>
            </w:r>
          </w:p>
        </w:tc>
      </w:tr>
      <w:tr w:rsidR="00563389" w:rsidRPr="00B934CE" w14:paraId="3470DF05" w14:textId="77777777" w:rsidTr="00922116">
        <w:tc>
          <w:tcPr>
            <w:tcW w:w="3600" w:type="dxa"/>
            <w:tcBorders>
              <w:top w:val="single" w:sz="4" w:space="0" w:color="0B3D85"/>
              <w:bottom w:val="single" w:sz="4" w:space="0" w:color="0B3D85"/>
              <w:right w:val="nil"/>
            </w:tcBorders>
          </w:tcPr>
          <w:p w14:paraId="5D0DC337"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sz w:val="24"/>
                <w:rtl/>
              </w:rPr>
              <w:t>مخصص الخسائر الائتمانية المتوقعة</w:t>
            </w:r>
          </w:p>
        </w:tc>
        <w:tc>
          <w:tcPr>
            <w:tcW w:w="1440" w:type="dxa"/>
            <w:tcBorders>
              <w:top w:val="single" w:sz="4" w:space="0" w:color="0B3D85"/>
              <w:left w:val="nil"/>
              <w:bottom w:val="single" w:sz="4" w:space="0" w:color="0B3D85"/>
              <w:right w:val="nil"/>
            </w:tcBorders>
            <w:vAlign w:val="center"/>
          </w:tcPr>
          <w:p w14:paraId="7406F3B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(182)</w:t>
            </w:r>
          </w:p>
        </w:tc>
        <w:tc>
          <w:tcPr>
            <w:tcW w:w="1440" w:type="dxa"/>
            <w:tcBorders>
              <w:top w:val="single" w:sz="4" w:space="0" w:color="0B3D85"/>
              <w:left w:val="nil"/>
              <w:bottom w:val="single" w:sz="4" w:space="0" w:color="0B3D85"/>
              <w:right w:val="nil"/>
            </w:tcBorders>
            <w:vAlign w:val="center"/>
          </w:tcPr>
          <w:p w14:paraId="49BF978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(137)</w:t>
            </w:r>
          </w:p>
        </w:tc>
        <w:tc>
          <w:tcPr>
            <w:tcW w:w="1440" w:type="dxa"/>
            <w:tcBorders>
              <w:top w:val="single" w:sz="4" w:space="0" w:color="0B3D85"/>
              <w:left w:val="nil"/>
              <w:bottom w:val="single" w:sz="4" w:space="0" w:color="0B3D85"/>
              <w:right w:val="nil"/>
            </w:tcBorders>
            <w:vAlign w:val="center"/>
          </w:tcPr>
          <w:p w14:paraId="5625FCB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(177)</w:t>
            </w:r>
          </w:p>
        </w:tc>
        <w:tc>
          <w:tcPr>
            <w:tcW w:w="1440" w:type="dxa"/>
            <w:tcBorders>
              <w:top w:val="single" w:sz="4" w:space="0" w:color="0B3D85"/>
              <w:left w:val="nil"/>
              <w:bottom w:val="single" w:sz="4" w:space="0" w:color="0B3D85"/>
              <w:right w:val="nil"/>
            </w:tcBorders>
            <w:vAlign w:val="center"/>
          </w:tcPr>
          <w:p w14:paraId="0A5D32C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(169)</w:t>
            </w:r>
          </w:p>
        </w:tc>
      </w:tr>
      <w:tr w:rsidR="00563389" w:rsidRPr="00B934CE" w14:paraId="7F43142A" w14:textId="77777777" w:rsidTr="00922116">
        <w:tc>
          <w:tcPr>
            <w:tcW w:w="3600" w:type="dxa"/>
            <w:tcBorders>
              <w:top w:val="single" w:sz="4" w:space="0" w:color="0B3D85"/>
              <w:bottom w:val="single" w:sz="4" w:space="0" w:color="0B3D85"/>
              <w:right w:val="nil"/>
            </w:tcBorders>
          </w:tcPr>
          <w:p w14:paraId="6928928A"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 xml:space="preserve">الإجمالي </w:t>
            </w:r>
          </w:p>
        </w:tc>
        <w:tc>
          <w:tcPr>
            <w:tcW w:w="1440" w:type="dxa"/>
            <w:tcBorders>
              <w:top w:val="single" w:sz="4" w:space="0" w:color="0B3D85"/>
              <w:left w:val="nil"/>
              <w:bottom w:val="single" w:sz="4" w:space="0" w:color="0B3D85"/>
              <w:right w:val="nil"/>
            </w:tcBorders>
            <w:vAlign w:val="center"/>
          </w:tcPr>
          <w:p w14:paraId="548A9C2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144,207</w:t>
            </w:r>
          </w:p>
        </w:tc>
        <w:tc>
          <w:tcPr>
            <w:tcW w:w="1440" w:type="dxa"/>
            <w:tcBorders>
              <w:top w:val="single" w:sz="4" w:space="0" w:color="0B3D85"/>
              <w:left w:val="nil"/>
              <w:bottom w:val="single" w:sz="4" w:space="0" w:color="0B3D85"/>
              <w:right w:val="nil"/>
            </w:tcBorders>
            <w:vAlign w:val="center"/>
          </w:tcPr>
          <w:p w14:paraId="6495BD8A"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138,060</w:t>
            </w:r>
          </w:p>
        </w:tc>
        <w:tc>
          <w:tcPr>
            <w:tcW w:w="1440" w:type="dxa"/>
            <w:tcBorders>
              <w:top w:val="single" w:sz="4" w:space="0" w:color="0B3D85"/>
              <w:left w:val="nil"/>
              <w:bottom w:val="single" w:sz="4" w:space="0" w:color="0B3D85"/>
              <w:right w:val="nil"/>
            </w:tcBorders>
            <w:vAlign w:val="center"/>
          </w:tcPr>
          <w:p w14:paraId="5F953F8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131,057</w:t>
            </w:r>
          </w:p>
        </w:tc>
        <w:tc>
          <w:tcPr>
            <w:tcW w:w="1440" w:type="dxa"/>
            <w:tcBorders>
              <w:top w:val="single" w:sz="4" w:space="0" w:color="0B3D85"/>
              <w:left w:val="nil"/>
              <w:bottom w:val="single" w:sz="4" w:space="0" w:color="0B3D85"/>
              <w:right w:val="nil"/>
            </w:tcBorders>
            <w:vAlign w:val="center"/>
          </w:tcPr>
          <w:p w14:paraId="7BB2390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125,175</w:t>
            </w:r>
          </w:p>
        </w:tc>
      </w:tr>
      <w:tr w:rsidR="00563389" w:rsidRPr="00B934CE" w14:paraId="5F2EE813" w14:textId="77777777" w:rsidTr="00922116">
        <w:tc>
          <w:tcPr>
            <w:tcW w:w="3600" w:type="dxa"/>
            <w:tcBorders>
              <w:top w:val="single" w:sz="4" w:space="0" w:color="0B3D85"/>
              <w:bottom w:val="single" w:sz="4" w:space="0" w:color="0B3D85"/>
              <w:right w:val="nil"/>
            </w:tcBorders>
          </w:tcPr>
          <w:p w14:paraId="4B697FE0"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b/>
                <w:bCs/>
                <w:sz w:val="24"/>
                <w:rtl/>
              </w:rPr>
              <w:t>الأصول المالية - مستحقات القروض</w:t>
            </w:r>
          </w:p>
        </w:tc>
        <w:tc>
          <w:tcPr>
            <w:tcW w:w="1440" w:type="dxa"/>
            <w:tcBorders>
              <w:top w:val="single" w:sz="4" w:space="0" w:color="0B3D85"/>
              <w:left w:val="nil"/>
              <w:bottom w:val="single" w:sz="4" w:space="0" w:color="0B3D85"/>
              <w:right w:val="nil"/>
            </w:tcBorders>
            <w:vAlign w:val="center"/>
          </w:tcPr>
          <w:p w14:paraId="295B8E84"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38772523"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4DD8789F"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04983B7D" w14:textId="77777777" w:rsidR="00563389" w:rsidRPr="00B934CE" w:rsidRDefault="00563389" w:rsidP="00B934CE">
            <w:pPr>
              <w:bidi/>
              <w:jc w:val="center"/>
              <w:rPr>
                <w:rFonts w:ascii="Traditional Arabic" w:eastAsia="Calibri" w:hAnsi="Traditional Arabic" w:cs="Traditional Arabic"/>
                <w:b/>
                <w:bCs/>
                <w:sz w:val="24"/>
                <w:rtl/>
              </w:rPr>
            </w:pPr>
          </w:p>
        </w:tc>
      </w:tr>
      <w:tr w:rsidR="00563389" w:rsidRPr="00B934CE" w14:paraId="19A4386C" w14:textId="77777777" w:rsidTr="00922116">
        <w:tc>
          <w:tcPr>
            <w:tcW w:w="3600" w:type="dxa"/>
            <w:tcBorders>
              <w:top w:val="single" w:sz="4" w:space="0" w:color="0B3D85"/>
              <w:bottom w:val="single" w:sz="4" w:space="0" w:color="0B3D85"/>
              <w:right w:val="nil"/>
            </w:tcBorders>
          </w:tcPr>
          <w:p w14:paraId="258A0D8D"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sz w:val="24"/>
                <w:rtl/>
              </w:rPr>
              <w:t xml:space="preserve">قرض لائتلاف مشترك </w:t>
            </w:r>
          </w:p>
        </w:tc>
        <w:tc>
          <w:tcPr>
            <w:tcW w:w="1440" w:type="dxa"/>
            <w:tcBorders>
              <w:top w:val="single" w:sz="4" w:space="0" w:color="0B3D85"/>
              <w:left w:val="nil"/>
              <w:bottom w:val="single" w:sz="4" w:space="0" w:color="0B3D85"/>
              <w:right w:val="nil"/>
            </w:tcBorders>
            <w:vAlign w:val="center"/>
          </w:tcPr>
          <w:p w14:paraId="3C369C3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5,498</w:t>
            </w:r>
          </w:p>
        </w:tc>
        <w:tc>
          <w:tcPr>
            <w:tcW w:w="1440" w:type="dxa"/>
            <w:tcBorders>
              <w:top w:val="single" w:sz="4" w:space="0" w:color="0B3D85"/>
              <w:left w:val="nil"/>
              <w:bottom w:val="single" w:sz="4" w:space="0" w:color="0B3D85"/>
              <w:right w:val="nil"/>
            </w:tcBorders>
            <w:vAlign w:val="center"/>
          </w:tcPr>
          <w:p w14:paraId="1614849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5,498</w:t>
            </w:r>
          </w:p>
        </w:tc>
        <w:tc>
          <w:tcPr>
            <w:tcW w:w="1440" w:type="dxa"/>
            <w:tcBorders>
              <w:top w:val="single" w:sz="4" w:space="0" w:color="0B3D85"/>
              <w:left w:val="nil"/>
              <w:bottom w:val="single" w:sz="4" w:space="0" w:color="0B3D85"/>
              <w:right w:val="nil"/>
            </w:tcBorders>
            <w:vAlign w:val="center"/>
          </w:tcPr>
          <w:p w14:paraId="2C30343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5,553</w:t>
            </w:r>
          </w:p>
        </w:tc>
        <w:tc>
          <w:tcPr>
            <w:tcW w:w="1440" w:type="dxa"/>
            <w:tcBorders>
              <w:top w:val="single" w:sz="4" w:space="0" w:color="0B3D85"/>
              <w:left w:val="nil"/>
              <w:bottom w:val="single" w:sz="4" w:space="0" w:color="0B3D85"/>
              <w:right w:val="nil"/>
            </w:tcBorders>
            <w:vAlign w:val="center"/>
          </w:tcPr>
          <w:p w14:paraId="504F9F6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5,661</w:t>
            </w:r>
          </w:p>
        </w:tc>
      </w:tr>
      <w:tr w:rsidR="00563389" w:rsidRPr="00B934CE" w14:paraId="23B5C573" w14:textId="77777777" w:rsidTr="00922116">
        <w:tc>
          <w:tcPr>
            <w:tcW w:w="3600" w:type="dxa"/>
            <w:tcBorders>
              <w:top w:val="single" w:sz="4" w:space="0" w:color="0B3D85"/>
              <w:bottom w:val="single" w:sz="4" w:space="0" w:color="0B3D85"/>
              <w:right w:val="nil"/>
            </w:tcBorders>
          </w:tcPr>
          <w:p w14:paraId="4C154B92"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sz w:val="24"/>
                <w:rtl/>
              </w:rPr>
              <w:t xml:space="preserve">قرض الى أو جية في 3 </w:t>
            </w:r>
          </w:p>
        </w:tc>
        <w:tc>
          <w:tcPr>
            <w:tcW w:w="1440" w:type="dxa"/>
            <w:tcBorders>
              <w:top w:val="single" w:sz="4" w:space="0" w:color="0B3D85"/>
              <w:left w:val="nil"/>
              <w:bottom w:val="single" w:sz="4" w:space="0" w:color="0B3D85"/>
              <w:right w:val="nil"/>
            </w:tcBorders>
            <w:vAlign w:val="center"/>
          </w:tcPr>
          <w:p w14:paraId="6800ECB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2,386</w:t>
            </w:r>
          </w:p>
        </w:tc>
        <w:tc>
          <w:tcPr>
            <w:tcW w:w="1440" w:type="dxa"/>
            <w:tcBorders>
              <w:top w:val="single" w:sz="4" w:space="0" w:color="0B3D85"/>
              <w:left w:val="nil"/>
              <w:bottom w:val="single" w:sz="4" w:space="0" w:color="0B3D85"/>
              <w:right w:val="nil"/>
            </w:tcBorders>
            <w:vAlign w:val="center"/>
          </w:tcPr>
          <w:p w14:paraId="0685152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2,137</w:t>
            </w:r>
          </w:p>
        </w:tc>
        <w:tc>
          <w:tcPr>
            <w:tcW w:w="1440" w:type="dxa"/>
            <w:tcBorders>
              <w:top w:val="single" w:sz="4" w:space="0" w:color="0B3D85"/>
              <w:left w:val="nil"/>
              <w:bottom w:val="single" w:sz="4" w:space="0" w:color="0B3D85"/>
              <w:right w:val="nil"/>
            </w:tcBorders>
            <w:vAlign w:val="center"/>
          </w:tcPr>
          <w:p w14:paraId="3A8A0EC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1,994</w:t>
            </w:r>
          </w:p>
        </w:tc>
        <w:tc>
          <w:tcPr>
            <w:tcW w:w="1440" w:type="dxa"/>
            <w:tcBorders>
              <w:top w:val="single" w:sz="4" w:space="0" w:color="0B3D85"/>
              <w:left w:val="nil"/>
              <w:bottom w:val="single" w:sz="4" w:space="0" w:color="0B3D85"/>
              <w:right w:val="nil"/>
            </w:tcBorders>
            <w:vAlign w:val="center"/>
          </w:tcPr>
          <w:p w14:paraId="5D65C14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1,995</w:t>
            </w:r>
          </w:p>
        </w:tc>
      </w:tr>
      <w:tr w:rsidR="00563389" w:rsidRPr="00B934CE" w14:paraId="33852A0B" w14:textId="77777777" w:rsidTr="00922116">
        <w:tc>
          <w:tcPr>
            <w:tcW w:w="3600" w:type="dxa"/>
            <w:tcBorders>
              <w:top w:val="single" w:sz="4" w:space="0" w:color="0B3D85"/>
              <w:bottom w:val="single" w:sz="4" w:space="0" w:color="0B3D85"/>
              <w:right w:val="nil"/>
            </w:tcBorders>
          </w:tcPr>
          <w:p w14:paraId="0F6486C6"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sz w:val="24"/>
                <w:rtl/>
              </w:rPr>
              <w:t xml:space="preserve">مخصص الخسائر الائتمانية المتوقعة </w:t>
            </w:r>
          </w:p>
        </w:tc>
        <w:tc>
          <w:tcPr>
            <w:tcW w:w="1440" w:type="dxa"/>
            <w:tcBorders>
              <w:top w:val="single" w:sz="4" w:space="0" w:color="0B3D85"/>
              <w:left w:val="nil"/>
              <w:bottom w:val="single" w:sz="4" w:space="0" w:color="0B3D85"/>
              <w:right w:val="nil"/>
            </w:tcBorders>
            <w:vAlign w:val="center"/>
          </w:tcPr>
          <w:p w14:paraId="1E93240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c>
          <w:tcPr>
            <w:tcW w:w="1440" w:type="dxa"/>
            <w:tcBorders>
              <w:top w:val="single" w:sz="4" w:space="0" w:color="0B3D85"/>
              <w:left w:val="nil"/>
              <w:bottom w:val="single" w:sz="4" w:space="0" w:color="0B3D85"/>
              <w:right w:val="nil"/>
            </w:tcBorders>
            <w:vAlign w:val="center"/>
          </w:tcPr>
          <w:p w14:paraId="0DDA396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c>
          <w:tcPr>
            <w:tcW w:w="1440" w:type="dxa"/>
            <w:tcBorders>
              <w:top w:val="single" w:sz="4" w:space="0" w:color="0B3D85"/>
              <w:left w:val="nil"/>
              <w:bottom w:val="single" w:sz="4" w:space="0" w:color="0B3D85"/>
              <w:right w:val="nil"/>
            </w:tcBorders>
            <w:vAlign w:val="center"/>
          </w:tcPr>
          <w:p w14:paraId="07D8C68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c>
          <w:tcPr>
            <w:tcW w:w="1440" w:type="dxa"/>
            <w:tcBorders>
              <w:top w:val="single" w:sz="4" w:space="0" w:color="0B3D85"/>
              <w:left w:val="nil"/>
              <w:bottom w:val="single" w:sz="4" w:space="0" w:color="0B3D85"/>
              <w:right w:val="nil"/>
            </w:tcBorders>
            <w:vAlign w:val="center"/>
          </w:tcPr>
          <w:p w14:paraId="22445BD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w:t>
            </w:r>
          </w:p>
        </w:tc>
      </w:tr>
      <w:tr w:rsidR="00563389" w:rsidRPr="00B934CE" w14:paraId="0900825A" w14:textId="77777777" w:rsidTr="00922116">
        <w:tc>
          <w:tcPr>
            <w:tcW w:w="3600" w:type="dxa"/>
            <w:tcBorders>
              <w:top w:val="single" w:sz="4" w:space="0" w:color="0B3D85"/>
              <w:bottom w:val="single" w:sz="4" w:space="0" w:color="0B3D85"/>
              <w:right w:val="nil"/>
            </w:tcBorders>
            <w:vAlign w:val="center"/>
          </w:tcPr>
          <w:p w14:paraId="16AAAC09" w14:textId="77777777" w:rsidR="00563389" w:rsidRPr="00B934CE" w:rsidRDefault="00563389" w:rsidP="00B934CE">
            <w:pPr>
              <w:bidi/>
              <w:rPr>
                <w:rFonts w:ascii="Traditional Arabic" w:eastAsia="Calibri" w:hAnsi="Traditional Arabic" w:cs="Traditional Arabic"/>
                <w:b/>
                <w:bCs/>
                <w:sz w:val="24"/>
              </w:rPr>
            </w:pPr>
            <w:r w:rsidRPr="00B934CE">
              <w:rPr>
                <w:rFonts w:ascii="Traditional Arabic" w:eastAsia="Calibri" w:hAnsi="Traditional Arabic" w:cs="Traditional Arabic"/>
                <w:b/>
                <w:bCs/>
                <w:sz w:val="24"/>
                <w:rtl/>
              </w:rPr>
              <w:t xml:space="preserve">الإجمالي </w:t>
            </w:r>
          </w:p>
        </w:tc>
        <w:tc>
          <w:tcPr>
            <w:tcW w:w="1440" w:type="dxa"/>
            <w:tcBorders>
              <w:top w:val="single" w:sz="4" w:space="0" w:color="0B3D85"/>
              <w:left w:val="nil"/>
              <w:bottom w:val="single" w:sz="4" w:space="0" w:color="0B3D85"/>
              <w:right w:val="nil"/>
            </w:tcBorders>
            <w:vAlign w:val="center"/>
          </w:tcPr>
          <w:p w14:paraId="2C96860D"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7,859</w:t>
            </w:r>
          </w:p>
        </w:tc>
        <w:tc>
          <w:tcPr>
            <w:tcW w:w="1440" w:type="dxa"/>
            <w:tcBorders>
              <w:top w:val="single" w:sz="4" w:space="0" w:color="0B3D85"/>
              <w:left w:val="nil"/>
              <w:bottom w:val="single" w:sz="4" w:space="0" w:color="0B3D85"/>
              <w:right w:val="nil"/>
            </w:tcBorders>
            <w:vAlign w:val="center"/>
          </w:tcPr>
          <w:p w14:paraId="25A15DB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7,610</w:t>
            </w:r>
          </w:p>
        </w:tc>
        <w:tc>
          <w:tcPr>
            <w:tcW w:w="1440" w:type="dxa"/>
            <w:tcBorders>
              <w:top w:val="single" w:sz="4" w:space="0" w:color="0B3D85"/>
              <w:left w:val="nil"/>
              <w:bottom w:val="single" w:sz="4" w:space="0" w:color="0B3D85"/>
              <w:right w:val="nil"/>
            </w:tcBorders>
            <w:vAlign w:val="center"/>
          </w:tcPr>
          <w:p w14:paraId="3A9509C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7,522</w:t>
            </w:r>
          </w:p>
        </w:tc>
        <w:tc>
          <w:tcPr>
            <w:tcW w:w="1440" w:type="dxa"/>
            <w:tcBorders>
              <w:top w:val="single" w:sz="4" w:space="0" w:color="0B3D85"/>
              <w:left w:val="nil"/>
              <w:bottom w:val="single" w:sz="4" w:space="0" w:color="0B3D85"/>
              <w:right w:val="nil"/>
            </w:tcBorders>
            <w:vAlign w:val="center"/>
          </w:tcPr>
          <w:p w14:paraId="02A4D80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7,631</w:t>
            </w:r>
          </w:p>
        </w:tc>
      </w:tr>
      <w:tr w:rsidR="00563389" w:rsidRPr="00B934CE" w14:paraId="68C857B8" w14:textId="77777777" w:rsidTr="00922116">
        <w:tc>
          <w:tcPr>
            <w:tcW w:w="3600" w:type="dxa"/>
            <w:tcBorders>
              <w:top w:val="single" w:sz="4" w:space="0" w:color="0B3D85"/>
              <w:bottom w:val="single" w:sz="4" w:space="0" w:color="0B3D85"/>
              <w:right w:val="nil"/>
            </w:tcBorders>
            <w:vAlign w:val="center"/>
          </w:tcPr>
          <w:p w14:paraId="73956932"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sz w:val="24"/>
                <w:rtl/>
              </w:rPr>
              <w:t xml:space="preserve">متداولة </w:t>
            </w:r>
          </w:p>
        </w:tc>
        <w:tc>
          <w:tcPr>
            <w:tcW w:w="1440" w:type="dxa"/>
            <w:tcBorders>
              <w:top w:val="single" w:sz="4" w:space="0" w:color="0B3D85"/>
              <w:left w:val="nil"/>
              <w:bottom w:val="single" w:sz="4" w:space="0" w:color="0B3D85"/>
              <w:right w:val="nil"/>
            </w:tcBorders>
            <w:vAlign w:val="center"/>
          </w:tcPr>
          <w:p w14:paraId="45F1A45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6,011</w:t>
            </w:r>
          </w:p>
        </w:tc>
        <w:tc>
          <w:tcPr>
            <w:tcW w:w="1440" w:type="dxa"/>
            <w:tcBorders>
              <w:top w:val="single" w:sz="4" w:space="0" w:color="0B3D85"/>
              <w:left w:val="nil"/>
              <w:bottom w:val="single" w:sz="4" w:space="0" w:color="0B3D85"/>
              <w:right w:val="nil"/>
            </w:tcBorders>
            <w:vAlign w:val="center"/>
          </w:tcPr>
          <w:p w14:paraId="623A214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6,842</w:t>
            </w:r>
          </w:p>
        </w:tc>
        <w:tc>
          <w:tcPr>
            <w:tcW w:w="1440" w:type="dxa"/>
            <w:tcBorders>
              <w:top w:val="single" w:sz="4" w:space="0" w:color="0B3D85"/>
              <w:left w:val="nil"/>
              <w:bottom w:val="single" w:sz="4" w:space="0" w:color="0B3D85"/>
              <w:right w:val="nil"/>
            </w:tcBorders>
            <w:vAlign w:val="center"/>
          </w:tcPr>
          <w:p w14:paraId="6B1B76C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7,685</w:t>
            </w:r>
          </w:p>
        </w:tc>
        <w:tc>
          <w:tcPr>
            <w:tcW w:w="1440" w:type="dxa"/>
            <w:tcBorders>
              <w:top w:val="single" w:sz="4" w:space="0" w:color="0B3D85"/>
              <w:left w:val="nil"/>
              <w:bottom w:val="single" w:sz="4" w:space="0" w:color="0B3D85"/>
              <w:right w:val="nil"/>
            </w:tcBorders>
            <w:vAlign w:val="center"/>
          </w:tcPr>
          <w:p w14:paraId="17A9D11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13,833</w:t>
            </w:r>
          </w:p>
        </w:tc>
      </w:tr>
      <w:tr w:rsidR="00563389" w:rsidRPr="00B934CE" w14:paraId="5AB08CC5" w14:textId="77777777" w:rsidTr="00922116">
        <w:tc>
          <w:tcPr>
            <w:tcW w:w="3600" w:type="dxa"/>
            <w:tcBorders>
              <w:top w:val="single" w:sz="4" w:space="0" w:color="0B3D85"/>
              <w:bottom w:val="single" w:sz="4" w:space="0" w:color="0B3D85"/>
              <w:right w:val="nil"/>
            </w:tcBorders>
            <w:vAlign w:val="center"/>
          </w:tcPr>
          <w:p w14:paraId="68DA164B"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sz w:val="24"/>
                <w:rtl/>
              </w:rPr>
              <w:t xml:space="preserve">غير متداولة </w:t>
            </w:r>
          </w:p>
        </w:tc>
        <w:tc>
          <w:tcPr>
            <w:tcW w:w="1440" w:type="dxa"/>
            <w:tcBorders>
              <w:top w:val="single" w:sz="4" w:space="0" w:color="0B3D85"/>
              <w:left w:val="nil"/>
              <w:bottom w:val="single" w:sz="4" w:space="0" w:color="0B3D85"/>
              <w:right w:val="nil"/>
            </w:tcBorders>
            <w:vAlign w:val="center"/>
          </w:tcPr>
          <w:p w14:paraId="11961D0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146,055</w:t>
            </w:r>
          </w:p>
        </w:tc>
        <w:tc>
          <w:tcPr>
            <w:tcW w:w="1440" w:type="dxa"/>
            <w:tcBorders>
              <w:top w:val="single" w:sz="4" w:space="0" w:color="0B3D85"/>
              <w:left w:val="nil"/>
              <w:bottom w:val="single" w:sz="4" w:space="0" w:color="0B3D85"/>
              <w:right w:val="nil"/>
            </w:tcBorders>
            <w:vAlign w:val="center"/>
          </w:tcPr>
          <w:p w14:paraId="46E470F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138,828</w:t>
            </w:r>
          </w:p>
        </w:tc>
        <w:tc>
          <w:tcPr>
            <w:tcW w:w="1440" w:type="dxa"/>
            <w:tcBorders>
              <w:top w:val="single" w:sz="4" w:space="0" w:color="0B3D85"/>
              <w:left w:val="nil"/>
              <w:bottom w:val="single" w:sz="4" w:space="0" w:color="0B3D85"/>
              <w:right w:val="nil"/>
            </w:tcBorders>
            <w:vAlign w:val="center"/>
          </w:tcPr>
          <w:p w14:paraId="44CE318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sz w:val="24"/>
                <w:rtl/>
              </w:rPr>
              <w:t>130,894</w:t>
            </w:r>
          </w:p>
        </w:tc>
        <w:tc>
          <w:tcPr>
            <w:tcW w:w="1440" w:type="dxa"/>
            <w:tcBorders>
              <w:top w:val="single" w:sz="4" w:space="0" w:color="0B3D85"/>
              <w:left w:val="nil"/>
              <w:bottom w:val="single" w:sz="4" w:space="0" w:color="0B3D85"/>
              <w:right w:val="nil"/>
            </w:tcBorders>
            <w:vAlign w:val="center"/>
          </w:tcPr>
          <w:p w14:paraId="35500A8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118,973</w:t>
            </w:r>
          </w:p>
        </w:tc>
      </w:tr>
    </w:tbl>
    <w:p w14:paraId="42155674" w14:textId="77777777" w:rsidR="00563389" w:rsidRPr="000952B1" w:rsidRDefault="00563389">
      <w:pPr>
        <w:bidi/>
        <w:spacing w:after="120"/>
        <w:jc w:val="both"/>
        <w:rPr>
          <w:rFonts w:ascii="Traditional Arabic" w:eastAsia="Calibri" w:hAnsi="Traditional Arabic" w:cs="Traditional Arabic"/>
          <w:i/>
          <w:iCs/>
          <w:sz w:val="22"/>
          <w:szCs w:val="22"/>
        </w:rPr>
      </w:pPr>
      <w:r w:rsidRPr="00B934CE">
        <w:rPr>
          <w:rFonts w:ascii="Traditional Arabic" w:eastAsia="Calibri" w:hAnsi="Traditional Arabic" w:cs="Traditional Arabic"/>
          <w:i/>
          <w:iCs/>
          <w:sz w:val="22"/>
          <w:szCs w:val="22"/>
          <w:rtl/>
        </w:rPr>
        <w:t>.</w:t>
      </w:r>
    </w:p>
    <w:p w14:paraId="47A287C4" w14:textId="77777777" w:rsidR="005E2FDF" w:rsidRPr="00B934CE" w:rsidRDefault="005E2FDF" w:rsidP="00B934CE">
      <w:pPr>
        <w:bidi/>
        <w:spacing w:after="120"/>
        <w:jc w:val="both"/>
        <w:rPr>
          <w:rFonts w:ascii="Traditional Arabic" w:eastAsia="Calibri" w:hAnsi="Traditional Arabic" w:cs="Traditional Arabic"/>
          <w:i/>
          <w:iCs/>
          <w:sz w:val="22"/>
          <w:szCs w:val="22"/>
          <w:rtl/>
        </w:rPr>
      </w:pPr>
    </w:p>
    <w:p w14:paraId="413F4C0F"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الأصول المالية - التأجير التمويلي</w:t>
      </w:r>
    </w:p>
    <w:p w14:paraId="3455BDD5"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ا</w:t>
      </w:r>
      <w:r w:rsidRPr="00B934CE">
        <w:rPr>
          <w:rFonts w:ascii="Traditional Arabic" w:eastAsia="Calibri" w:hAnsi="Traditional Arabic" w:cs="Traditional Arabic"/>
          <w:sz w:val="30"/>
          <w:szCs w:val="30"/>
          <w:rtl/>
        </w:rPr>
        <w:t>لأصول المالية - ال</w:t>
      </w:r>
      <w:r w:rsidRPr="00B934CE">
        <w:rPr>
          <w:rFonts w:ascii="Traditional Arabic" w:eastAsia="Calibri" w:hAnsi="Traditional Arabic" w:cs="Traditional Arabic" w:hint="eastAsia"/>
          <w:sz w:val="30"/>
          <w:szCs w:val="30"/>
          <w:rtl/>
        </w:rPr>
        <w:t>تأ</w:t>
      </w:r>
      <w:r w:rsidRPr="00B934CE">
        <w:rPr>
          <w:rFonts w:ascii="Traditional Arabic" w:eastAsia="Calibri" w:hAnsi="Traditional Arabic" w:cs="Traditional Arabic"/>
          <w:sz w:val="30"/>
          <w:szCs w:val="30"/>
          <w:rtl/>
        </w:rPr>
        <w:t>ج</w:t>
      </w:r>
      <w:r w:rsidRPr="00B934CE">
        <w:rPr>
          <w:rFonts w:ascii="Traditional Arabic" w:eastAsia="Calibri" w:hAnsi="Traditional Arabic" w:cs="Traditional Arabic" w:hint="eastAsia"/>
          <w:sz w:val="30"/>
          <w:szCs w:val="30"/>
          <w:rtl/>
        </w:rPr>
        <w:t>ير</w:t>
      </w:r>
      <w:r w:rsidRPr="00B934CE">
        <w:rPr>
          <w:rFonts w:ascii="Traditional Arabic" w:eastAsia="Calibri" w:hAnsi="Traditional Arabic" w:cs="Traditional Arabic"/>
          <w:sz w:val="30"/>
          <w:szCs w:val="30"/>
          <w:rtl/>
        </w:rPr>
        <w:t xml:space="preserve"> التمويلي (125.</w:t>
      </w:r>
      <w:r w:rsidR="004F4988">
        <w:rPr>
          <w:rFonts w:ascii="Traditional Arabic" w:eastAsia="Calibri" w:hAnsi="Traditional Arabic" w:cs="Traditional Arabic" w:hint="cs"/>
          <w:sz w:val="30"/>
          <w:szCs w:val="30"/>
          <w:rtl/>
        </w:rPr>
        <w:t>3</w:t>
      </w:r>
      <w:r w:rsidR="004F4988"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sz w:val="30"/>
          <w:szCs w:val="30"/>
          <w:rtl/>
        </w:rPr>
        <w:t xml:space="preserve">مليون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30 سبتمبر 2024) </w:t>
      </w:r>
      <w:r w:rsidRPr="00B934CE">
        <w:rPr>
          <w:rFonts w:ascii="Traditional Arabic" w:eastAsia="Calibri" w:hAnsi="Traditional Arabic" w:cs="Traditional Arabic" w:hint="eastAsia"/>
          <w:sz w:val="30"/>
          <w:szCs w:val="30"/>
          <w:rtl/>
        </w:rPr>
        <w:t>تتألف</w:t>
      </w:r>
      <w:r w:rsidRPr="00B934CE">
        <w:rPr>
          <w:rFonts w:ascii="Traditional Arabic" w:eastAsia="Calibri" w:hAnsi="Traditional Arabic" w:cs="Traditional Arabic"/>
          <w:sz w:val="30"/>
          <w:szCs w:val="30"/>
          <w:rtl/>
        </w:rPr>
        <w:t xml:space="preserve"> من اتفاقيات إيجار مدتها 20 عامًا لأربع </w:t>
      </w:r>
      <w:r w:rsidRPr="00B934CE">
        <w:rPr>
          <w:rFonts w:ascii="Traditional Arabic" w:eastAsiaTheme="majorEastAsia" w:hAnsi="Traditional Arabic" w:cs="Traditional Arabic"/>
          <w:sz w:val="30"/>
          <w:szCs w:val="30"/>
          <w:rtl/>
        </w:rPr>
        <w:t>ناقلات</w:t>
      </w:r>
      <w:r w:rsidRPr="00B934CE">
        <w:rPr>
          <w:rFonts w:ascii="Traditional Arabic" w:eastAsiaTheme="majorEastAsia" w:hAnsi="Traditional Arabic" w:cs="Traditional Arabic"/>
          <w:sz w:val="30"/>
          <w:szCs w:val="30"/>
        </w:rPr>
        <w:t xml:space="preserve"> </w:t>
      </w:r>
      <w:r w:rsidRPr="00B934CE">
        <w:rPr>
          <w:rFonts w:ascii="Traditional Arabic" w:eastAsiaTheme="majorEastAsia" w:hAnsi="Traditional Arabic" w:cs="Traditional Arabic"/>
          <w:sz w:val="30"/>
          <w:szCs w:val="30"/>
          <w:rtl/>
          <w:lang w:bidi="ar-JO"/>
        </w:rPr>
        <w:t xml:space="preserve"> معادن</w:t>
      </w:r>
      <w:r w:rsidRPr="00B934CE">
        <w:rPr>
          <w:rFonts w:ascii="Traditional Arabic" w:eastAsiaTheme="majorEastAsia" w:hAnsi="Traditional Arabic" w:cs="Traditional Arabic"/>
          <w:sz w:val="30"/>
          <w:szCs w:val="30"/>
          <w:rtl/>
        </w:rPr>
        <w:t xml:space="preserve"> خام </w:t>
      </w:r>
      <w:r w:rsidRPr="00B934CE">
        <w:rPr>
          <w:rFonts w:ascii="Traditional Arabic" w:eastAsiaTheme="majorEastAsia" w:hAnsi="Traditional Arabic" w:cs="Traditional Arabic" w:hint="eastAsia"/>
          <w:sz w:val="30"/>
          <w:szCs w:val="30"/>
          <w:rtl/>
        </w:rPr>
        <w:t>عملاقة</w:t>
      </w:r>
      <w:r w:rsidRPr="00B934CE">
        <w:rPr>
          <w:rFonts w:ascii="Traditional Arabic" w:eastAsiaTheme="majorEastAsia" w:hAnsi="Traditional Arabic" w:cs="Traditional Arabic"/>
          <w:sz w:val="30"/>
          <w:szCs w:val="30"/>
          <w:rtl/>
        </w:rPr>
        <w:t xml:space="preserve"> </w:t>
      </w:r>
      <w:r w:rsidRPr="00B934CE">
        <w:rPr>
          <w:rFonts w:ascii="Traditional Arabic" w:eastAsia="Calibri" w:hAnsi="Traditional Arabic" w:cs="Traditional Arabic"/>
          <w:sz w:val="30"/>
          <w:szCs w:val="30"/>
        </w:rPr>
        <w:t>VLOC)</w:t>
      </w:r>
      <w:r w:rsidRPr="00B934CE">
        <w:rPr>
          <w:rFonts w:ascii="Traditional Arabic" w:eastAsia="Calibri" w:hAnsi="Traditional Arabic" w:cs="Traditional Arabic"/>
          <w:sz w:val="30"/>
          <w:szCs w:val="30"/>
          <w:rtl/>
        </w:rPr>
        <w:t>)</w:t>
      </w:r>
      <w:r w:rsidRPr="00B934CE">
        <w:rPr>
          <w:rFonts w:ascii="Traditional Arabic" w:eastAsiaTheme="majorEastAsia" w:hAnsi="Traditional Arabic" w:cs="Traditional Arabic"/>
          <w:sz w:val="30"/>
          <w:szCs w:val="30"/>
          <w:rtl/>
        </w:rPr>
        <w:t xml:space="preserve"> مع أحد </w:t>
      </w:r>
      <w:r w:rsidRPr="00B934CE">
        <w:rPr>
          <w:rFonts w:ascii="Traditional Arabic" w:eastAsia="Calibri" w:hAnsi="Traditional Arabic" w:cs="Traditional Arabic"/>
          <w:sz w:val="30"/>
          <w:szCs w:val="30"/>
          <w:rtl/>
        </w:rPr>
        <w:t>أكبر منتجي الخام على مستوى العالم و</w:t>
      </w:r>
      <w:r w:rsidRPr="00B934CE">
        <w:rPr>
          <w:rFonts w:ascii="Traditional Arabic" w:eastAsia="Calibri" w:hAnsi="Traditional Arabic" w:cs="Traditional Arabic" w:hint="eastAsia"/>
          <w:sz w:val="30"/>
          <w:szCs w:val="30"/>
          <w:rtl/>
        </w:rPr>
        <w:t>ي</w:t>
      </w:r>
      <w:r w:rsidRPr="00B934CE">
        <w:rPr>
          <w:rFonts w:ascii="Traditional Arabic" w:eastAsia="Calibri" w:hAnsi="Traditional Arabic" w:cs="Traditional Arabic"/>
          <w:sz w:val="30"/>
          <w:szCs w:val="30"/>
          <w:rtl/>
        </w:rPr>
        <w:t xml:space="preserve">تمتع بسمعة ائتمانية جيدة. لا توجد مستحقات إيجار تمويلي متأخرة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30 سبتمبر 2024.</w:t>
      </w:r>
    </w:p>
    <w:p w14:paraId="58605ACF"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b/>
          <w:bCs/>
          <w:sz w:val="30"/>
          <w:szCs w:val="30"/>
          <w:rtl/>
        </w:rPr>
        <w:t>الأصول المالية - مستحقات القروض</w:t>
      </w:r>
    </w:p>
    <w:p w14:paraId="0388AD84"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 xml:space="preserve">الأصول المالية - مستحقات القروض (7.6 مليون ريال عماني كما في 30 سبتمبر 2024) تتعلق بالقروض المقومة بالدولار الأمريكي المقدمة إلى المشاريع المشتركة المصنعة للنقل البحري </w:t>
      </w:r>
      <w:r w:rsidRPr="00B934CE">
        <w:rPr>
          <w:rFonts w:ascii="Traditional Arabic" w:eastAsia="Calibri" w:hAnsi="Traditional Arabic" w:cs="Traditional Arabic" w:hint="eastAsia"/>
          <w:sz w:val="30"/>
          <w:szCs w:val="30"/>
          <w:rtl/>
        </w:rPr>
        <w:t>و</w:t>
      </w:r>
      <w:r w:rsidRPr="00B934CE">
        <w:rPr>
          <w:rFonts w:ascii="Traditional Arabic" w:eastAsia="Calibri" w:hAnsi="Traditional Arabic" w:cs="Traditional Arabic"/>
          <w:sz w:val="30"/>
          <w:szCs w:val="30"/>
          <w:rtl/>
        </w:rPr>
        <w:t>أو جيه في 3 وهي مضمونة جزئيًا بحصة ملكية شريك المشروع المشترك.</w:t>
      </w:r>
    </w:p>
    <w:p w14:paraId="2D754D2A"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 xml:space="preserve">القروض المقدمة إلى شركة المصنعة للنقل البحري اس ايه، وهي ائتلاف مشترك، تحمل معدل فائدة سنوي فعلي مضمون لليلة واحدة </w:t>
      </w:r>
      <w:r w:rsidRPr="00B934CE">
        <w:rPr>
          <w:rFonts w:ascii="Traditional Arabic" w:eastAsia="Calibri" w:hAnsi="Traditional Arabic" w:cs="Traditional Arabic"/>
          <w:sz w:val="30"/>
          <w:szCs w:val="30"/>
        </w:rPr>
        <w:t>(SOFR)</w:t>
      </w:r>
      <w:r w:rsidRPr="00B934CE">
        <w:rPr>
          <w:rFonts w:ascii="Traditional Arabic" w:eastAsia="Calibri" w:hAnsi="Traditional Arabic" w:cs="Traditional Arabic"/>
          <w:sz w:val="30"/>
          <w:szCs w:val="30"/>
          <w:rtl/>
        </w:rPr>
        <w:t xml:space="preserve"> زائد 2٪ (2023 - ليبور زائد 2٪). وتشمل ذمم القروض المدينة أيضا فائدة مستحقة بقيمة 162.7 ألف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30 سبتمبر 2024 (55.2 ألف ريال عماني كما في 31 ديسمبر 2023). لم يتغير القرض المستحق بشكل </w:t>
      </w:r>
      <w:r w:rsidRPr="00B934CE">
        <w:rPr>
          <w:rFonts w:ascii="Traditional Arabic" w:eastAsia="Calibri" w:hAnsi="Traditional Arabic" w:cs="Traditional Arabic" w:hint="eastAsia"/>
          <w:sz w:val="30"/>
          <w:szCs w:val="30"/>
          <w:rtl/>
        </w:rPr>
        <w:t>جوهري</w:t>
      </w:r>
      <w:r w:rsidRPr="00B934CE">
        <w:rPr>
          <w:rFonts w:ascii="Traditional Arabic" w:eastAsia="Calibri" w:hAnsi="Traditional Arabic" w:cs="Traditional Arabic"/>
          <w:sz w:val="30"/>
          <w:szCs w:val="30"/>
          <w:rtl/>
        </w:rPr>
        <w:t xml:space="preserve"> على مدى السنوات الثلاث الماضية وأن المشروع المشترك يتكبد خسائر. سيتم تسوية القرض المستحق في نهاية عام 2024 وفقًا لشروط الاتفاقية.</w:t>
      </w:r>
    </w:p>
    <w:p w14:paraId="081DFE2E"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lastRenderedPageBreak/>
        <w:t xml:space="preserve">منحت المجموعة قرض إلى أو جيه في 3 مقوم بالين الياباني بقيمة 2.0 </w:t>
      </w:r>
      <w:r w:rsidRPr="00B934CE">
        <w:rPr>
          <w:rFonts w:ascii="Traditional Arabic" w:eastAsia="Calibri" w:hAnsi="Traditional Arabic" w:cs="Traditional Arabic" w:hint="eastAsia"/>
          <w:sz w:val="30"/>
          <w:szCs w:val="30"/>
          <w:rtl/>
        </w:rPr>
        <w:t>مليون</w:t>
      </w:r>
      <w:r w:rsidRPr="00B934CE">
        <w:rPr>
          <w:rFonts w:ascii="Traditional Arabic" w:eastAsia="Calibri" w:hAnsi="Traditional Arabic" w:cs="Traditional Arabic"/>
          <w:sz w:val="30"/>
          <w:szCs w:val="30"/>
          <w:rtl/>
        </w:rPr>
        <w:t xml:space="preserve"> ريال عماني (2023 – 2.0 </w:t>
      </w:r>
      <w:r w:rsidRPr="00B934CE">
        <w:rPr>
          <w:rFonts w:ascii="Traditional Arabic" w:eastAsia="Calibri" w:hAnsi="Traditional Arabic" w:cs="Traditional Arabic" w:hint="eastAsia"/>
          <w:sz w:val="30"/>
          <w:szCs w:val="30"/>
          <w:rtl/>
        </w:rPr>
        <w:t>مليون</w:t>
      </w:r>
      <w:r w:rsidRPr="00B934CE">
        <w:rPr>
          <w:rFonts w:ascii="Traditional Arabic" w:eastAsia="Calibri" w:hAnsi="Traditional Arabic" w:cs="Traditional Arabic"/>
          <w:sz w:val="30"/>
          <w:szCs w:val="30"/>
          <w:rtl/>
        </w:rPr>
        <w:t xml:space="preserve"> ريال عماني)، والذي يحمل معدل فائدة قدره 4٪ (2023 – 4٪). تشمل ذمم القرض المدينة أيضا فائدة مستحقة بقيمة 28 ألف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30 سبتمبر 2024 (4 </w:t>
      </w:r>
      <w:r w:rsidRPr="00B934CE">
        <w:rPr>
          <w:rFonts w:ascii="Traditional Arabic" w:eastAsia="Calibri" w:hAnsi="Traditional Arabic" w:cs="Traditional Arabic" w:hint="eastAsia"/>
          <w:sz w:val="30"/>
          <w:szCs w:val="30"/>
          <w:rtl/>
        </w:rPr>
        <w:t>آلاف</w:t>
      </w:r>
      <w:r w:rsidRPr="00B934CE">
        <w:rPr>
          <w:rFonts w:ascii="Traditional Arabic" w:eastAsia="Calibri" w:hAnsi="Traditional Arabic" w:cs="Traditional Arabic"/>
          <w:sz w:val="30"/>
          <w:szCs w:val="30"/>
          <w:rtl/>
        </w:rPr>
        <w:t xml:space="preserve">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31 ديسمب</w:t>
      </w:r>
      <w:r w:rsidRPr="00B934CE">
        <w:rPr>
          <w:rFonts w:ascii="Traditional Arabic" w:eastAsia="Calibri" w:hAnsi="Traditional Arabic" w:cs="Traditional Arabic" w:hint="eastAsia"/>
          <w:sz w:val="30"/>
          <w:szCs w:val="30"/>
          <w:rtl/>
        </w:rPr>
        <w:t>ر</w:t>
      </w:r>
      <w:r w:rsidRPr="00B934CE">
        <w:rPr>
          <w:rFonts w:ascii="Traditional Arabic" w:eastAsia="Calibri" w:hAnsi="Traditional Arabic" w:cs="Traditional Arabic"/>
          <w:sz w:val="30"/>
          <w:szCs w:val="30"/>
          <w:rtl/>
        </w:rPr>
        <w:t xml:space="preserve">2023). ومن المتوقع سداد القرض خلال السنة المالية 2025. </w:t>
      </w:r>
    </w:p>
    <w:p w14:paraId="01ACEDDA" w14:textId="77777777" w:rsidR="00563389" w:rsidRPr="00B934CE" w:rsidRDefault="00563389" w:rsidP="00B934CE">
      <w:pPr>
        <w:pStyle w:val="4"/>
        <w:spacing w:before="0" w:after="120"/>
        <w:rPr>
          <w:rFonts w:ascii="Traditional Arabic" w:hAnsi="Traditional Arabic" w:cs="Traditional Arabic"/>
          <w:b w:val="0"/>
          <w:bCs w:val="0"/>
          <w:i/>
          <w:iCs/>
          <w:color w:val="auto"/>
          <w:sz w:val="32"/>
          <w:szCs w:val="32"/>
        </w:rPr>
      </w:pPr>
      <w:bookmarkStart w:id="37" w:name="_Hlk165543222"/>
      <w:bookmarkEnd w:id="36"/>
      <w:r w:rsidRPr="00B934CE">
        <w:rPr>
          <w:rFonts w:ascii="Traditional Arabic" w:hAnsi="Traditional Arabic" w:cs="Traditional Arabic" w:hint="eastAsia"/>
          <w:b w:val="0"/>
          <w:bCs w:val="0"/>
          <w:i/>
          <w:iCs/>
          <w:color w:val="auto"/>
          <w:sz w:val="32"/>
          <w:szCs w:val="32"/>
          <w:rtl/>
        </w:rPr>
        <w:t>قروض</w:t>
      </w:r>
      <w:r w:rsidRPr="00B934CE">
        <w:rPr>
          <w:rFonts w:ascii="Traditional Arabic" w:hAnsi="Traditional Arabic" w:cs="Traditional Arabic"/>
          <w:b w:val="0"/>
          <w:bCs w:val="0"/>
          <w:i/>
          <w:iCs/>
          <w:color w:val="auto"/>
          <w:sz w:val="32"/>
          <w:szCs w:val="32"/>
          <w:rtl/>
        </w:rPr>
        <w:t xml:space="preserve"> وسلفيات </w:t>
      </w:r>
    </w:p>
    <w:bookmarkEnd w:id="37"/>
    <w:p w14:paraId="622D6E14" w14:textId="77777777" w:rsidR="00563389" w:rsidRPr="00B934CE" w:rsidRDefault="00563389" w:rsidP="00B934CE">
      <w:pPr>
        <w:bidi/>
        <w:jc w:val="both"/>
        <w:rPr>
          <w:rFonts w:ascii="Traditional Arabic" w:eastAsia="Calibri" w:hAnsi="Traditional Arabic" w:cs="Traditional Arabic"/>
          <w:i/>
          <w:iCs/>
          <w:sz w:val="32"/>
          <w:szCs w:val="32"/>
        </w:rPr>
      </w:pPr>
      <w:r w:rsidRPr="00B934CE">
        <w:rPr>
          <w:rFonts w:ascii="Traditional Arabic" w:eastAsia="Calibri" w:hAnsi="Traditional Arabic" w:cs="Traditional Arabic"/>
          <w:i/>
          <w:iCs/>
          <w:sz w:val="32"/>
          <w:szCs w:val="32"/>
          <w:rtl/>
        </w:rPr>
        <w:t xml:space="preserve">الجدول‏: </w:t>
      </w:r>
      <w:r w:rsidRPr="00B934CE">
        <w:rPr>
          <w:rFonts w:ascii="Traditional Arabic" w:eastAsia="Calibri" w:hAnsi="Traditional Arabic" w:cs="Traditional Arabic" w:hint="eastAsia"/>
          <w:i/>
          <w:iCs/>
          <w:sz w:val="32"/>
          <w:szCs w:val="32"/>
          <w:rtl/>
        </w:rPr>
        <w:t>قروض</w:t>
      </w:r>
      <w:r w:rsidRPr="00B934CE">
        <w:rPr>
          <w:rFonts w:ascii="Traditional Arabic" w:eastAsia="Calibri" w:hAnsi="Traditional Arabic" w:cs="Traditional Arabic"/>
          <w:i/>
          <w:iCs/>
          <w:sz w:val="32"/>
          <w:szCs w:val="32"/>
          <w:rtl/>
        </w:rPr>
        <w:t xml:space="preserve"> وسلفيات كما في 31 ديسمبر 2021، و2022، و2023، وكما في 30 سبتمبر 2024</w:t>
      </w:r>
      <w:r w:rsidRPr="00B934CE">
        <w:rPr>
          <w:rFonts w:ascii="Traditional Arabic" w:eastAsia="Calibri" w:hAnsi="Traditional Arabic" w:cs="Traditional Arabic"/>
          <w:i/>
          <w:iCs/>
          <w:sz w:val="32"/>
          <w:szCs w:val="32"/>
        </w:rPr>
        <w:t>:</w:t>
      </w:r>
    </w:p>
    <w:tbl>
      <w:tblPr>
        <w:bidiVisual/>
        <w:tblW w:w="93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440"/>
        <w:gridCol w:w="1440"/>
        <w:gridCol w:w="1440"/>
        <w:gridCol w:w="1440"/>
      </w:tblGrid>
      <w:tr w:rsidR="00563389" w:rsidRPr="00563389" w14:paraId="7213266C" w14:textId="77777777" w:rsidTr="00922116">
        <w:tc>
          <w:tcPr>
            <w:tcW w:w="3600" w:type="dxa"/>
            <w:tcBorders>
              <w:top w:val="nil"/>
              <w:bottom w:val="single" w:sz="4" w:space="0" w:color="0B3D85"/>
              <w:right w:val="nil"/>
            </w:tcBorders>
            <w:shd w:val="clear" w:color="auto" w:fill="0B3D85"/>
            <w:vAlign w:val="center"/>
          </w:tcPr>
          <w:p w14:paraId="03E4E3B7"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hAnsi="Traditional Arabic" w:cs="Traditional Arabic"/>
                <w:b/>
                <w:bCs/>
                <w:sz w:val="24"/>
                <w:rtl/>
              </w:rPr>
              <w:t xml:space="preserve">بآلاف الريالات </w:t>
            </w:r>
            <w:r w:rsidRPr="00B934CE">
              <w:rPr>
                <w:rFonts w:ascii="Traditional Arabic" w:hAnsi="Traditional Arabic" w:cs="Traditional Arabic" w:hint="eastAsia"/>
                <w:b/>
                <w:bCs/>
                <w:sz w:val="24"/>
                <w:rtl/>
              </w:rPr>
              <w:t>العمانية</w:t>
            </w:r>
          </w:p>
        </w:tc>
        <w:tc>
          <w:tcPr>
            <w:tcW w:w="1440" w:type="dxa"/>
            <w:tcBorders>
              <w:top w:val="nil"/>
              <w:left w:val="nil"/>
              <w:bottom w:val="single" w:sz="4" w:space="0" w:color="0B3D85"/>
              <w:right w:val="nil"/>
            </w:tcBorders>
            <w:shd w:val="clear" w:color="auto" w:fill="0B3D85"/>
            <w:vAlign w:val="center"/>
          </w:tcPr>
          <w:p w14:paraId="7F00A3EA"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31 ديسمبر 2021</w:t>
            </w:r>
          </w:p>
          <w:p w14:paraId="569D504D"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t>(المراجعة)</w:t>
            </w:r>
          </w:p>
        </w:tc>
        <w:tc>
          <w:tcPr>
            <w:tcW w:w="1440" w:type="dxa"/>
            <w:tcBorders>
              <w:top w:val="nil"/>
              <w:left w:val="nil"/>
              <w:bottom w:val="single" w:sz="4" w:space="0" w:color="0B3D85"/>
              <w:right w:val="nil"/>
            </w:tcBorders>
            <w:shd w:val="clear" w:color="auto" w:fill="0B3D85"/>
            <w:vAlign w:val="center"/>
          </w:tcPr>
          <w:p w14:paraId="6C1E8365"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31 ديسمبر 2022</w:t>
            </w:r>
          </w:p>
          <w:p w14:paraId="69A3A95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t>(المراجعة)</w:t>
            </w:r>
          </w:p>
        </w:tc>
        <w:tc>
          <w:tcPr>
            <w:tcW w:w="1440" w:type="dxa"/>
            <w:tcBorders>
              <w:top w:val="nil"/>
              <w:left w:val="nil"/>
              <w:bottom w:val="single" w:sz="4" w:space="0" w:color="0B3D85"/>
              <w:right w:val="nil"/>
            </w:tcBorders>
            <w:shd w:val="clear" w:color="auto" w:fill="0B3D85"/>
            <w:vAlign w:val="center"/>
          </w:tcPr>
          <w:p w14:paraId="46A41498"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31 ديسمبر 2023</w:t>
            </w:r>
          </w:p>
          <w:p w14:paraId="1FB6E89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t>(المراجعة)</w:t>
            </w:r>
          </w:p>
        </w:tc>
        <w:tc>
          <w:tcPr>
            <w:tcW w:w="1440" w:type="dxa"/>
            <w:tcBorders>
              <w:top w:val="nil"/>
              <w:left w:val="nil"/>
              <w:bottom w:val="single" w:sz="4" w:space="0" w:color="0B3D85"/>
              <w:right w:val="nil"/>
            </w:tcBorders>
            <w:shd w:val="clear" w:color="auto" w:fill="0B3D85"/>
            <w:vAlign w:val="center"/>
          </w:tcPr>
          <w:p w14:paraId="47055C0B"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30 سبتمبر 2024</w:t>
            </w:r>
          </w:p>
          <w:p w14:paraId="33A8E983"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(المفحوصة)</w:t>
            </w:r>
          </w:p>
        </w:tc>
      </w:tr>
      <w:tr w:rsidR="00563389" w:rsidRPr="00563389" w14:paraId="5EF12E07" w14:textId="77777777" w:rsidTr="00922116">
        <w:tc>
          <w:tcPr>
            <w:tcW w:w="3600" w:type="dxa"/>
            <w:tcBorders>
              <w:top w:val="single" w:sz="4" w:space="0" w:color="0B3D85"/>
              <w:bottom w:val="single" w:sz="4" w:space="0" w:color="0B3D85"/>
              <w:right w:val="nil"/>
            </w:tcBorders>
          </w:tcPr>
          <w:p w14:paraId="63B5E349"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قرض لأجل</w:t>
            </w:r>
            <w:r w:rsidRPr="00B934CE">
              <w:rPr>
                <w:rFonts w:ascii="Traditional Arabic" w:hAnsi="Traditional Arabic" w:cs="Traditional Arabic"/>
                <w:color w:val="000000"/>
                <w:sz w:val="24"/>
              </w:rPr>
              <w:t xml:space="preserve"> </w:t>
            </w:r>
          </w:p>
        </w:tc>
        <w:tc>
          <w:tcPr>
            <w:tcW w:w="1440" w:type="dxa"/>
            <w:tcBorders>
              <w:top w:val="single" w:sz="4" w:space="0" w:color="0B3D85"/>
              <w:left w:val="nil"/>
              <w:bottom w:val="single" w:sz="4" w:space="0" w:color="0B3D85"/>
              <w:right w:val="nil"/>
            </w:tcBorders>
            <w:vAlign w:val="center"/>
          </w:tcPr>
          <w:p w14:paraId="53DD50A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609,413</w:t>
            </w:r>
          </w:p>
        </w:tc>
        <w:tc>
          <w:tcPr>
            <w:tcW w:w="1440" w:type="dxa"/>
            <w:tcBorders>
              <w:top w:val="single" w:sz="4" w:space="0" w:color="0B3D85"/>
              <w:left w:val="nil"/>
              <w:bottom w:val="single" w:sz="4" w:space="0" w:color="0B3D85"/>
              <w:right w:val="nil"/>
            </w:tcBorders>
            <w:vAlign w:val="center"/>
          </w:tcPr>
          <w:p w14:paraId="6C6B9DB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558,932</w:t>
            </w:r>
          </w:p>
        </w:tc>
        <w:tc>
          <w:tcPr>
            <w:tcW w:w="1440" w:type="dxa"/>
            <w:tcBorders>
              <w:top w:val="single" w:sz="4" w:space="0" w:color="0B3D85"/>
              <w:left w:val="nil"/>
              <w:bottom w:val="single" w:sz="4" w:space="0" w:color="0B3D85"/>
              <w:right w:val="nil"/>
            </w:tcBorders>
            <w:vAlign w:val="center"/>
          </w:tcPr>
          <w:p w14:paraId="778E2BC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493,031</w:t>
            </w:r>
          </w:p>
        </w:tc>
        <w:tc>
          <w:tcPr>
            <w:tcW w:w="1440" w:type="dxa"/>
            <w:tcBorders>
              <w:top w:val="single" w:sz="4" w:space="0" w:color="0B3D85"/>
              <w:left w:val="nil"/>
              <w:bottom w:val="single" w:sz="4" w:space="0" w:color="0B3D85"/>
              <w:right w:val="nil"/>
            </w:tcBorders>
            <w:vAlign w:val="center"/>
          </w:tcPr>
          <w:p w14:paraId="24334BD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458,466</w:t>
            </w:r>
          </w:p>
        </w:tc>
      </w:tr>
      <w:tr w:rsidR="00563389" w:rsidRPr="00563389" w14:paraId="39A99BD5" w14:textId="77777777" w:rsidTr="00922116">
        <w:tc>
          <w:tcPr>
            <w:tcW w:w="3600" w:type="dxa"/>
            <w:tcBorders>
              <w:top w:val="single" w:sz="4" w:space="0" w:color="0B3D85"/>
              <w:bottom w:val="single" w:sz="4" w:space="0" w:color="0B3D85"/>
              <w:right w:val="nil"/>
            </w:tcBorders>
          </w:tcPr>
          <w:p w14:paraId="657FA1DA"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الفوائد المستحقة</w:t>
            </w:r>
          </w:p>
        </w:tc>
        <w:tc>
          <w:tcPr>
            <w:tcW w:w="1440" w:type="dxa"/>
            <w:tcBorders>
              <w:top w:val="single" w:sz="4" w:space="0" w:color="0B3D85"/>
              <w:left w:val="nil"/>
              <w:bottom w:val="single" w:sz="4" w:space="0" w:color="0B3D85"/>
              <w:right w:val="nil"/>
            </w:tcBorders>
            <w:vAlign w:val="center"/>
          </w:tcPr>
          <w:p w14:paraId="6C7103D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2,802</w:t>
            </w:r>
          </w:p>
        </w:tc>
        <w:tc>
          <w:tcPr>
            <w:tcW w:w="1440" w:type="dxa"/>
            <w:tcBorders>
              <w:top w:val="single" w:sz="4" w:space="0" w:color="0B3D85"/>
              <w:left w:val="nil"/>
              <w:bottom w:val="single" w:sz="4" w:space="0" w:color="0B3D85"/>
              <w:right w:val="nil"/>
            </w:tcBorders>
            <w:vAlign w:val="center"/>
          </w:tcPr>
          <w:p w14:paraId="46ACE1D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4,056</w:t>
            </w:r>
          </w:p>
        </w:tc>
        <w:tc>
          <w:tcPr>
            <w:tcW w:w="1440" w:type="dxa"/>
            <w:tcBorders>
              <w:top w:val="single" w:sz="4" w:space="0" w:color="0B3D85"/>
              <w:left w:val="nil"/>
              <w:bottom w:val="single" w:sz="4" w:space="0" w:color="0B3D85"/>
              <w:right w:val="nil"/>
            </w:tcBorders>
            <w:vAlign w:val="center"/>
          </w:tcPr>
          <w:p w14:paraId="7160B87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4,863</w:t>
            </w:r>
          </w:p>
        </w:tc>
        <w:tc>
          <w:tcPr>
            <w:tcW w:w="1440" w:type="dxa"/>
            <w:tcBorders>
              <w:top w:val="single" w:sz="4" w:space="0" w:color="0B3D85"/>
              <w:left w:val="nil"/>
              <w:bottom w:val="single" w:sz="4" w:space="0" w:color="0B3D85"/>
              <w:right w:val="nil"/>
            </w:tcBorders>
            <w:vAlign w:val="center"/>
          </w:tcPr>
          <w:p w14:paraId="2691926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8,892</w:t>
            </w:r>
          </w:p>
        </w:tc>
      </w:tr>
      <w:tr w:rsidR="00563389" w:rsidRPr="00563389" w14:paraId="13F74F95" w14:textId="77777777" w:rsidTr="00922116">
        <w:tc>
          <w:tcPr>
            <w:tcW w:w="3600" w:type="dxa"/>
            <w:tcBorders>
              <w:top w:val="single" w:sz="4" w:space="0" w:color="0B3D85"/>
              <w:bottom w:val="single" w:sz="4" w:space="0" w:color="0B3D85"/>
              <w:right w:val="nil"/>
            </w:tcBorders>
          </w:tcPr>
          <w:p w14:paraId="3ACC193D"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سحوبات بنكية على المكشوف</w:t>
            </w:r>
          </w:p>
        </w:tc>
        <w:tc>
          <w:tcPr>
            <w:tcW w:w="1440" w:type="dxa"/>
            <w:tcBorders>
              <w:top w:val="single" w:sz="4" w:space="0" w:color="0B3D85"/>
              <w:left w:val="nil"/>
              <w:bottom w:val="single" w:sz="4" w:space="0" w:color="0B3D85"/>
              <w:right w:val="nil"/>
            </w:tcBorders>
            <w:vAlign w:val="center"/>
          </w:tcPr>
          <w:p w14:paraId="42F1115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1,762</w:t>
            </w:r>
          </w:p>
        </w:tc>
        <w:tc>
          <w:tcPr>
            <w:tcW w:w="1440" w:type="dxa"/>
            <w:tcBorders>
              <w:top w:val="single" w:sz="4" w:space="0" w:color="0B3D85"/>
              <w:left w:val="nil"/>
              <w:bottom w:val="single" w:sz="4" w:space="0" w:color="0B3D85"/>
              <w:right w:val="nil"/>
            </w:tcBorders>
            <w:vAlign w:val="center"/>
          </w:tcPr>
          <w:p w14:paraId="35337B8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w:t>
            </w:r>
          </w:p>
        </w:tc>
        <w:tc>
          <w:tcPr>
            <w:tcW w:w="1440" w:type="dxa"/>
            <w:tcBorders>
              <w:top w:val="single" w:sz="4" w:space="0" w:color="0B3D85"/>
              <w:left w:val="nil"/>
              <w:bottom w:val="single" w:sz="4" w:space="0" w:color="0B3D85"/>
              <w:right w:val="nil"/>
            </w:tcBorders>
            <w:vAlign w:val="center"/>
          </w:tcPr>
          <w:p w14:paraId="13165E4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8,235</w:t>
            </w:r>
          </w:p>
        </w:tc>
        <w:tc>
          <w:tcPr>
            <w:tcW w:w="1440" w:type="dxa"/>
            <w:tcBorders>
              <w:top w:val="single" w:sz="4" w:space="0" w:color="0B3D85"/>
              <w:left w:val="nil"/>
              <w:bottom w:val="single" w:sz="4" w:space="0" w:color="0B3D85"/>
              <w:right w:val="nil"/>
            </w:tcBorders>
            <w:vAlign w:val="center"/>
          </w:tcPr>
          <w:p w14:paraId="5C2BB62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r>
      <w:tr w:rsidR="00563389" w:rsidRPr="00563389" w14:paraId="10236FB4" w14:textId="77777777" w:rsidTr="00922116">
        <w:tc>
          <w:tcPr>
            <w:tcW w:w="3600" w:type="dxa"/>
            <w:tcBorders>
              <w:top w:val="single" w:sz="4" w:space="0" w:color="0B3D85"/>
              <w:bottom w:val="single" w:sz="4" w:space="0" w:color="0B3D85"/>
              <w:right w:val="nil"/>
            </w:tcBorders>
          </w:tcPr>
          <w:p w14:paraId="11B4CC11"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قرض من وزارة المالية</w:t>
            </w:r>
          </w:p>
        </w:tc>
        <w:tc>
          <w:tcPr>
            <w:tcW w:w="1440" w:type="dxa"/>
            <w:tcBorders>
              <w:top w:val="single" w:sz="4" w:space="0" w:color="0B3D85"/>
              <w:left w:val="nil"/>
              <w:bottom w:val="single" w:sz="4" w:space="0" w:color="0B3D85"/>
              <w:right w:val="nil"/>
            </w:tcBorders>
            <w:vAlign w:val="center"/>
          </w:tcPr>
          <w:p w14:paraId="60055FD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11,977</w:t>
            </w:r>
          </w:p>
        </w:tc>
        <w:tc>
          <w:tcPr>
            <w:tcW w:w="1440" w:type="dxa"/>
            <w:tcBorders>
              <w:top w:val="single" w:sz="4" w:space="0" w:color="0B3D85"/>
              <w:left w:val="nil"/>
              <w:bottom w:val="single" w:sz="4" w:space="0" w:color="0B3D85"/>
              <w:right w:val="nil"/>
            </w:tcBorders>
            <w:vAlign w:val="center"/>
          </w:tcPr>
          <w:p w14:paraId="493AE01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72B3F7D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7D39093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r>
      <w:tr w:rsidR="00563389" w:rsidRPr="00563389" w14:paraId="7C9F2294" w14:textId="77777777" w:rsidTr="00922116">
        <w:tc>
          <w:tcPr>
            <w:tcW w:w="3600" w:type="dxa"/>
            <w:tcBorders>
              <w:top w:val="single" w:sz="4" w:space="0" w:color="0B3D85"/>
              <w:bottom w:val="single" w:sz="4" w:space="0" w:color="0B3D85"/>
              <w:right w:val="nil"/>
            </w:tcBorders>
          </w:tcPr>
          <w:p w14:paraId="3A811572"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hAnsi="Traditional Arabic" w:cs="Traditional Arabic" w:hint="eastAsia"/>
                <w:b/>
                <w:bCs/>
                <w:color w:val="000000"/>
                <w:sz w:val="24"/>
                <w:rtl/>
              </w:rPr>
              <w:t>ال</w:t>
            </w:r>
            <w:r w:rsidRPr="00B934CE">
              <w:rPr>
                <w:rFonts w:ascii="Traditional Arabic" w:hAnsi="Traditional Arabic" w:cs="Traditional Arabic"/>
                <w:b/>
                <w:bCs/>
                <w:color w:val="000000"/>
                <w:sz w:val="24"/>
                <w:rtl/>
              </w:rPr>
              <w:t xml:space="preserve">إجمالي </w:t>
            </w:r>
          </w:p>
        </w:tc>
        <w:tc>
          <w:tcPr>
            <w:tcW w:w="1440" w:type="dxa"/>
            <w:tcBorders>
              <w:top w:val="single" w:sz="4" w:space="0" w:color="0B3D85"/>
              <w:left w:val="nil"/>
              <w:bottom w:val="single" w:sz="4" w:space="0" w:color="0B3D85"/>
              <w:right w:val="nil"/>
            </w:tcBorders>
            <w:vAlign w:val="center"/>
          </w:tcPr>
          <w:p w14:paraId="05209414"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625,954</w:t>
            </w:r>
          </w:p>
        </w:tc>
        <w:tc>
          <w:tcPr>
            <w:tcW w:w="1440" w:type="dxa"/>
            <w:tcBorders>
              <w:top w:val="single" w:sz="4" w:space="0" w:color="0B3D85"/>
              <w:left w:val="nil"/>
              <w:bottom w:val="single" w:sz="4" w:space="0" w:color="0B3D85"/>
              <w:right w:val="nil"/>
            </w:tcBorders>
            <w:vAlign w:val="center"/>
          </w:tcPr>
          <w:p w14:paraId="4DDD78B0"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563,028</w:t>
            </w:r>
          </w:p>
        </w:tc>
        <w:tc>
          <w:tcPr>
            <w:tcW w:w="1440" w:type="dxa"/>
            <w:tcBorders>
              <w:top w:val="single" w:sz="4" w:space="0" w:color="0B3D85"/>
              <w:left w:val="nil"/>
              <w:bottom w:val="single" w:sz="4" w:space="0" w:color="0B3D85"/>
              <w:right w:val="nil"/>
            </w:tcBorders>
            <w:vAlign w:val="center"/>
          </w:tcPr>
          <w:p w14:paraId="446BE55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506,129</w:t>
            </w:r>
          </w:p>
        </w:tc>
        <w:tc>
          <w:tcPr>
            <w:tcW w:w="1440" w:type="dxa"/>
            <w:tcBorders>
              <w:top w:val="single" w:sz="4" w:space="0" w:color="0B3D85"/>
              <w:left w:val="nil"/>
              <w:bottom w:val="single" w:sz="4" w:space="0" w:color="0B3D85"/>
              <w:right w:val="nil"/>
            </w:tcBorders>
            <w:vAlign w:val="center"/>
          </w:tcPr>
          <w:p w14:paraId="7A49CF3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467,358</w:t>
            </w:r>
          </w:p>
        </w:tc>
      </w:tr>
      <w:tr w:rsidR="00563389" w:rsidRPr="00563389" w14:paraId="67789144" w14:textId="77777777" w:rsidTr="00922116">
        <w:tc>
          <w:tcPr>
            <w:tcW w:w="3600" w:type="dxa"/>
            <w:tcBorders>
              <w:top w:val="single" w:sz="4" w:space="0" w:color="0B3D85"/>
              <w:bottom w:val="single" w:sz="4" w:space="0" w:color="0B3D85"/>
              <w:right w:val="nil"/>
            </w:tcBorders>
            <w:vAlign w:val="center"/>
          </w:tcPr>
          <w:p w14:paraId="7FFE918E"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hAnsi="Traditional Arabic" w:cs="Traditional Arabic"/>
                <w:color w:val="000000"/>
                <w:sz w:val="24"/>
                <w:rtl/>
              </w:rPr>
              <w:t>تكاليف التمويل المؤجلة</w:t>
            </w:r>
          </w:p>
        </w:tc>
        <w:tc>
          <w:tcPr>
            <w:tcW w:w="1440" w:type="dxa"/>
            <w:tcBorders>
              <w:top w:val="single" w:sz="4" w:space="0" w:color="0B3D85"/>
              <w:left w:val="nil"/>
              <w:bottom w:val="single" w:sz="4" w:space="0" w:color="0B3D85"/>
              <w:right w:val="nil"/>
            </w:tcBorders>
            <w:vAlign w:val="center"/>
          </w:tcPr>
          <w:p w14:paraId="6422F64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(3,432)</w:t>
            </w:r>
          </w:p>
        </w:tc>
        <w:tc>
          <w:tcPr>
            <w:tcW w:w="1440" w:type="dxa"/>
            <w:tcBorders>
              <w:top w:val="single" w:sz="4" w:space="0" w:color="0B3D85"/>
              <w:left w:val="nil"/>
              <w:bottom w:val="single" w:sz="4" w:space="0" w:color="0B3D85"/>
              <w:right w:val="nil"/>
            </w:tcBorders>
            <w:vAlign w:val="center"/>
          </w:tcPr>
          <w:p w14:paraId="2C4F388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(2,591)</w:t>
            </w:r>
          </w:p>
        </w:tc>
        <w:tc>
          <w:tcPr>
            <w:tcW w:w="1440" w:type="dxa"/>
            <w:tcBorders>
              <w:top w:val="single" w:sz="4" w:space="0" w:color="0B3D85"/>
              <w:left w:val="nil"/>
              <w:bottom w:val="single" w:sz="4" w:space="0" w:color="0B3D85"/>
              <w:right w:val="nil"/>
            </w:tcBorders>
            <w:vAlign w:val="center"/>
          </w:tcPr>
          <w:p w14:paraId="7639072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(1,760)</w:t>
            </w:r>
          </w:p>
        </w:tc>
        <w:tc>
          <w:tcPr>
            <w:tcW w:w="1440" w:type="dxa"/>
            <w:tcBorders>
              <w:top w:val="single" w:sz="4" w:space="0" w:color="0B3D85"/>
              <w:left w:val="nil"/>
              <w:bottom w:val="single" w:sz="4" w:space="0" w:color="0B3D85"/>
              <w:right w:val="nil"/>
            </w:tcBorders>
            <w:vAlign w:val="center"/>
          </w:tcPr>
          <w:p w14:paraId="04D4817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(1,613)</w:t>
            </w:r>
          </w:p>
        </w:tc>
      </w:tr>
      <w:tr w:rsidR="00563389" w:rsidRPr="00563389" w14:paraId="0A3BD051" w14:textId="77777777" w:rsidTr="00922116">
        <w:tc>
          <w:tcPr>
            <w:tcW w:w="3600" w:type="dxa"/>
            <w:tcBorders>
              <w:top w:val="single" w:sz="4" w:space="0" w:color="0B3D85"/>
              <w:bottom w:val="single" w:sz="4" w:space="0" w:color="0B3D85"/>
              <w:right w:val="nil"/>
            </w:tcBorders>
            <w:vAlign w:val="center"/>
          </w:tcPr>
          <w:p w14:paraId="1769DD62"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eastAsia="Calibri" w:hAnsi="Traditional Arabic" w:cs="Traditional Arabic" w:hint="eastAsia"/>
                <w:b/>
                <w:bCs/>
                <w:sz w:val="24"/>
                <w:rtl/>
              </w:rPr>
              <w:t>الإجمالي</w:t>
            </w:r>
            <w:r w:rsidRPr="00B934CE">
              <w:rPr>
                <w:rFonts w:ascii="Traditional Arabic" w:eastAsia="Calibri" w:hAnsi="Traditional Arabic" w:cs="Traditional Arabic"/>
                <w:b/>
                <w:bCs/>
                <w:sz w:val="24"/>
                <w:rtl/>
              </w:rPr>
              <w:t xml:space="preserve"> </w:t>
            </w:r>
          </w:p>
        </w:tc>
        <w:tc>
          <w:tcPr>
            <w:tcW w:w="1440" w:type="dxa"/>
            <w:tcBorders>
              <w:top w:val="single" w:sz="4" w:space="0" w:color="0B3D85"/>
              <w:left w:val="nil"/>
              <w:bottom w:val="single" w:sz="4" w:space="0" w:color="0B3D85"/>
              <w:right w:val="nil"/>
            </w:tcBorders>
            <w:vAlign w:val="center"/>
          </w:tcPr>
          <w:p w14:paraId="535EBFD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622,522</w:t>
            </w:r>
          </w:p>
        </w:tc>
        <w:tc>
          <w:tcPr>
            <w:tcW w:w="1440" w:type="dxa"/>
            <w:tcBorders>
              <w:top w:val="single" w:sz="4" w:space="0" w:color="0B3D85"/>
              <w:left w:val="nil"/>
              <w:bottom w:val="single" w:sz="4" w:space="0" w:color="0B3D85"/>
              <w:right w:val="nil"/>
            </w:tcBorders>
            <w:vAlign w:val="center"/>
          </w:tcPr>
          <w:p w14:paraId="74F32AC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560,437</w:t>
            </w:r>
          </w:p>
        </w:tc>
        <w:tc>
          <w:tcPr>
            <w:tcW w:w="1440" w:type="dxa"/>
            <w:tcBorders>
              <w:top w:val="single" w:sz="4" w:space="0" w:color="0B3D85"/>
              <w:left w:val="nil"/>
              <w:bottom w:val="single" w:sz="4" w:space="0" w:color="0B3D85"/>
              <w:right w:val="nil"/>
            </w:tcBorders>
            <w:vAlign w:val="center"/>
          </w:tcPr>
          <w:p w14:paraId="2FBD9FB7" w14:textId="77777777" w:rsidR="00563389" w:rsidRPr="00B934CE" w:rsidRDefault="00563389" w:rsidP="00B934CE">
            <w:pPr>
              <w:bidi/>
              <w:jc w:val="center"/>
              <w:rPr>
                <w:rFonts w:ascii="Traditional Arabic" w:eastAsia="Calibri" w:hAnsi="Traditional Arabic" w:cs="Traditional Arabic"/>
                <w:b/>
                <w:bCs/>
                <w:sz w:val="24"/>
              </w:rPr>
            </w:pPr>
            <w:r w:rsidRPr="00B934CE">
              <w:rPr>
                <w:rFonts w:ascii="Traditional Arabic" w:eastAsia="Calibri" w:hAnsi="Traditional Arabic" w:cs="Traditional Arabic"/>
                <w:b/>
                <w:bCs/>
                <w:sz w:val="24"/>
                <w:rtl/>
              </w:rPr>
              <w:t>504,370</w:t>
            </w:r>
          </w:p>
        </w:tc>
        <w:tc>
          <w:tcPr>
            <w:tcW w:w="1440" w:type="dxa"/>
            <w:tcBorders>
              <w:top w:val="single" w:sz="4" w:space="0" w:color="0B3D85"/>
              <w:left w:val="nil"/>
              <w:bottom w:val="single" w:sz="4" w:space="0" w:color="0B3D85"/>
              <w:right w:val="nil"/>
            </w:tcBorders>
            <w:vAlign w:val="center"/>
          </w:tcPr>
          <w:p w14:paraId="18A4ED9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465,745</w:t>
            </w:r>
          </w:p>
        </w:tc>
      </w:tr>
      <w:tr w:rsidR="00563389" w:rsidRPr="00563389" w14:paraId="1F24C9E2" w14:textId="77777777" w:rsidTr="00922116">
        <w:tc>
          <w:tcPr>
            <w:tcW w:w="3600" w:type="dxa"/>
            <w:tcBorders>
              <w:top w:val="single" w:sz="4" w:space="0" w:color="0B3D85"/>
              <w:bottom w:val="single" w:sz="4" w:space="0" w:color="0B3D85"/>
              <w:right w:val="nil"/>
            </w:tcBorders>
            <w:vAlign w:val="center"/>
          </w:tcPr>
          <w:p w14:paraId="33B35CB6"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الجزء</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المتداول</w:t>
            </w:r>
            <w:r w:rsidRPr="00B934CE">
              <w:rPr>
                <w:rFonts w:ascii="Traditional Arabic" w:eastAsia="Calibri" w:hAnsi="Traditional Arabic" w:cs="Traditional Arabic"/>
                <w:sz w:val="24"/>
                <w:rtl/>
              </w:rPr>
              <w:t xml:space="preserve"> </w:t>
            </w:r>
          </w:p>
        </w:tc>
        <w:tc>
          <w:tcPr>
            <w:tcW w:w="1440" w:type="dxa"/>
            <w:tcBorders>
              <w:top w:val="single" w:sz="4" w:space="0" w:color="0B3D85"/>
              <w:left w:val="nil"/>
              <w:bottom w:val="single" w:sz="4" w:space="0" w:color="0B3D85"/>
              <w:right w:val="nil"/>
            </w:tcBorders>
            <w:vAlign w:val="center"/>
          </w:tcPr>
          <w:p w14:paraId="02F88F2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68,715</w:t>
            </w:r>
          </w:p>
        </w:tc>
        <w:tc>
          <w:tcPr>
            <w:tcW w:w="1440" w:type="dxa"/>
            <w:tcBorders>
              <w:top w:val="single" w:sz="4" w:space="0" w:color="0B3D85"/>
              <w:left w:val="nil"/>
              <w:bottom w:val="single" w:sz="4" w:space="0" w:color="0B3D85"/>
              <w:right w:val="nil"/>
            </w:tcBorders>
            <w:vAlign w:val="center"/>
          </w:tcPr>
          <w:p w14:paraId="1499A21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58,314</w:t>
            </w:r>
          </w:p>
        </w:tc>
        <w:tc>
          <w:tcPr>
            <w:tcW w:w="1440" w:type="dxa"/>
            <w:tcBorders>
              <w:top w:val="single" w:sz="4" w:space="0" w:color="0B3D85"/>
              <w:left w:val="nil"/>
              <w:bottom w:val="single" w:sz="4" w:space="0" w:color="0B3D85"/>
              <w:right w:val="nil"/>
            </w:tcBorders>
            <w:vAlign w:val="center"/>
          </w:tcPr>
          <w:p w14:paraId="64ED1A8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68,428</w:t>
            </w:r>
          </w:p>
        </w:tc>
        <w:tc>
          <w:tcPr>
            <w:tcW w:w="1440" w:type="dxa"/>
            <w:tcBorders>
              <w:top w:val="single" w:sz="4" w:space="0" w:color="0B3D85"/>
              <w:left w:val="nil"/>
              <w:bottom w:val="single" w:sz="4" w:space="0" w:color="0B3D85"/>
              <w:right w:val="nil"/>
            </w:tcBorders>
            <w:vAlign w:val="center"/>
          </w:tcPr>
          <w:p w14:paraId="771FEF1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53,426</w:t>
            </w:r>
          </w:p>
        </w:tc>
      </w:tr>
      <w:tr w:rsidR="00563389" w:rsidRPr="00563389" w14:paraId="0E0220A7" w14:textId="77777777" w:rsidTr="00922116">
        <w:tc>
          <w:tcPr>
            <w:tcW w:w="3600" w:type="dxa"/>
            <w:tcBorders>
              <w:top w:val="single" w:sz="4" w:space="0" w:color="0B3D85"/>
              <w:bottom w:val="single" w:sz="4" w:space="0" w:color="0B3D85"/>
              <w:right w:val="nil"/>
            </w:tcBorders>
            <w:vAlign w:val="center"/>
          </w:tcPr>
          <w:p w14:paraId="6161AC4E" w14:textId="77777777" w:rsidR="00563389" w:rsidRPr="00B934CE" w:rsidRDefault="00563389" w:rsidP="00B934CE">
            <w:pPr>
              <w:bidi/>
              <w:rPr>
                <w:rFonts w:ascii="Traditional Arabic" w:eastAsia="Calibri" w:hAnsi="Traditional Arabic" w:cs="Traditional Arabic"/>
                <w:sz w:val="24"/>
                <w:rtl/>
              </w:rPr>
            </w:pPr>
            <w:r w:rsidRPr="00B934CE">
              <w:rPr>
                <w:rFonts w:ascii="Traditional Arabic" w:eastAsia="Calibri" w:hAnsi="Traditional Arabic" w:cs="Traditional Arabic" w:hint="eastAsia"/>
                <w:sz w:val="24"/>
                <w:rtl/>
              </w:rPr>
              <w:t>الجزء</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غير</w:t>
            </w:r>
            <w:r w:rsidRPr="00B934CE">
              <w:rPr>
                <w:rFonts w:ascii="Traditional Arabic" w:eastAsia="Calibri" w:hAnsi="Traditional Arabic" w:cs="Traditional Arabic"/>
                <w:sz w:val="24"/>
                <w:rtl/>
              </w:rPr>
              <w:t xml:space="preserve"> </w:t>
            </w:r>
            <w:r w:rsidRPr="00B934CE">
              <w:rPr>
                <w:rFonts w:ascii="Traditional Arabic" w:eastAsia="Calibri" w:hAnsi="Traditional Arabic" w:cs="Traditional Arabic" w:hint="eastAsia"/>
                <w:sz w:val="24"/>
                <w:rtl/>
              </w:rPr>
              <w:t>المتداول</w:t>
            </w:r>
          </w:p>
        </w:tc>
        <w:tc>
          <w:tcPr>
            <w:tcW w:w="1440" w:type="dxa"/>
            <w:tcBorders>
              <w:top w:val="single" w:sz="4" w:space="0" w:color="0B3D85"/>
              <w:left w:val="nil"/>
              <w:bottom w:val="single" w:sz="4" w:space="0" w:color="0B3D85"/>
              <w:right w:val="nil"/>
            </w:tcBorders>
            <w:vAlign w:val="center"/>
          </w:tcPr>
          <w:p w14:paraId="7B1C17E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553,807</w:t>
            </w:r>
          </w:p>
        </w:tc>
        <w:tc>
          <w:tcPr>
            <w:tcW w:w="1440" w:type="dxa"/>
            <w:tcBorders>
              <w:top w:val="single" w:sz="4" w:space="0" w:color="0B3D85"/>
              <w:left w:val="nil"/>
              <w:bottom w:val="single" w:sz="4" w:space="0" w:color="0B3D85"/>
              <w:right w:val="nil"/>
            </w:tcBorders>
            <w:vAlign w:val="center"/>
          </w:tcPr>
          <w:p w14:paraId="7FCEFF5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502,123</w:t>
            </w:r>
          </w:p>
        </w:tc>
        <w:tc>
          <w:tcPr>
            <w:tcW w:w="1440" w:type="dxa"/>
            <w:tcBorders>
              <w:top w:val="single" w:sz="4" w:space="0" w:color="0B3D85"/>
              <w:left w:val="nil"/>
              <w:bottom w:val="single" w:sz="4" w:space="0" w:color="0B3D85"/>
              <w:right w:val="nil"/>
            </w:tcBorders>
            <w:vAlign w:val="center"/>
          </w:tcPr>
          <w:p w14:paraId="4327A75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435,942</w:t>
            </w:r>
          </w:p>
        </w:tc>
        <w:tc>
          <w:tcPr>
            <w:tcW w:w="1440" w:type="dxa"/>
            <w:tcBorders>
              <w:top w:val="single" w:sz="4" w:space="0" w:color="0B3D85"/>
              <w:left w:val="nil"/>
              <w:bottom w:val="single" w:sz="4" w:space="0" w:color="0B3D85"/>
              <w:right w:val="nil"/>
            </w:tcBorders>
            <w:vAlign w:val="center"/>
          </w:tcPr>
          <w:p w14:paraId="634CA27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412,320</w:t>
            </w:r>
          </w:p>
        </w:tc>
      </w:tr>
    </w:tbl>
    <w:p w14:paraId="02AB6397" w14:textId="0288F406" w:rsidR="00563389" w:rsidRPr="00B934CE" w:rsidRDefault="00563389" w:rsidP="00B934CE">
      <w:pPr>
        <w:bidi/>
        <w:spacing w:after="120"/>
        <w:jc w:val="both"/>
        <w:rPr>
          <w:rFonts w:ascii="Traditional Arabic" w:eastAsia="Calibri" w:hAnsi="Traditional Arabic" w:cs="Traditional Arabic"/>
          <w:sz w:val="30"/>
          <w:szCs w:val="30"/>
          <w:rtl/>
        </w:rPr>
      </w:pPr>
      <w:r w:rsidRPr="00025D1E">
        <w:rPr>
          <w:rFonts w:ascii="Traditional Arabic" w:eastAsia="Calibri" w:hAnsi="Traditional Arabic" w:cs="Traditional Arabic" w:hint="eastAsia"/>
          <w:sz w:val="30"/>
          <w:szCs w:val="30"/>
          <w:rtl/>
        </w:rPr>
        <w:t>تتعلق</w:t>
      </w:r>
      <w:r w:rsidRPr="00025D1E">
        <w:rPr>
          <w:rFonts w:ascii="Traditional Arabic" w:eastAsia="Calibri" w:hAnsi="Traditional Arabic" w:cs="Traditional Arabic"/>
          <w:sz w:val="30"/>
          <w:szCs w:val="30"/>
          <w:rtl/>
        </w:rPr>
        <w:t xml:space="preserve"> </w:t>
      </w:r>
      <w:r w:rsidRPr="00025D1E">
        <w:rPr>
          <w:rFonts w:ascii="Traditional Arabic" w:eastAsia="Calibri" w:hAnsi="Traditional Arabic" w:cs="Traditional Arabic" w:hint="eastAsia"/>
          <w:sz w:val="30"/>
          <w:szCs w:val="30"/>
          <w:rtl/>
        </w:rPr>
        <w:t>الق</w:t>
      </w:r>
      <w:r w:rsidRPr="00025D1E">
        <w:rPr>
          <w:rFonts w:ascii="Traditional Arabic" w:eastAsia="Calibri" w:hAnsi="Traditional Arabic" w:cs="Traditional Arabic"/>
          <w:sz w:val="30"/>
          <w:szCs w:val="30"/>
          <w:rtl/>
        </w:rPr>
        <w:t xml:space="preserve">روض والسلفيات (465.7 مليون ريال عماني كما في 30 سبتمبر 2024) بالقروض المضمونة إلى حد كبير بالسفن (333.9 مليون ريال عماني </w:t>
      </w:r>
      <w:r w:rsidRPr="00025D1E">
        <w:rPr>
          <w:rFonts w:ascii="Traditional Arabic" w:eastAsia="Calibri" w:hAnsi="Traditional Arabic" w:cs="Traditional Arabic" w:hint="eastAsia"/>
          <w:sz w:val="30"/>
          <w:szCs w:val="30"/>
          <w:rtl/>
        </w:rPr>
        <w:t>كما</w:t>
      </w:r>
      <w:r w:rsidRPr="00025D1E">
        <w:rPr>
          <w:rFonts w:ascii="Traditional Arabic" w:eastAsia="Calibri" w:hAnsi="Traditional Arabic" w:cs="Traditional Arabic"/>
          <w:sz w:val="30"/>
          <w:szCs w:val="30"/>
          <w:rtl/>
        </w:rPr>
        <w:t xml:space="preserve"> </w:t>
      </w:r>
      <w:r w:rsidRPr="00025D1E">
        <w:rPr>
          <w:rFonts w:ascii="Traditional Arabic" w:eastAsia="Calibri" w:hAnsi="Traditional Arabic" w:cs="Traditional Arabic" w:hint="eastAsia"/>
          <w:sz w:val="30"/>
          <w:szCs w:val="30"/>
          <w:rtl/>
        </w:rPr>
        <w:t>في</w:t>
      </w:r>
      <w:r w:rsidRPr="00025D1E">
        <w:rPr>
          <w:rFonts w:ascii="Traditional Arabic" w:eastAsia="Calibri" w:hAnsi="Traditional Arabic" w:cs="Traditional Arabic"/>
          <w:sz w:val="30"/>
          <w:szCs w:val="30"/>
          <w:rtl/>
        </w:rPr>
        <w:t xml:space="preserve"> 30 </w:t>
      </w:r>
      <w:r w:rsidRPr="00025D1E">
        <w:rPr>
          <w:rFonts w:ascii="Traditional Arabic" w:eastAsia="Calibri" w:hAnsi="Traditional Arabic" w:cs="Traditional Arabic" w:hint="eastAsia"/>
          <w:sz w:val="30"/>
          <w:szCs w:val="30"/>
          <w:rtl/>
        </w:rPr>
        <w:t>سبتمبر</w:t>
      </w:r>
      <w:r w:rsidRPr="00025D1E">
        <w:rPr>
          <w:rFonts w:ascii="Traditional Arabic" w:eastAsia="Calibri" w:hAnsi="Traditional Arabic" w:cs="Traditional Arabic"/>
          <w:sz w:val="30"/>
          <w:szCs w:val="30"/>
          <w:rtl/>
        </w:rPr>
        <w:t xml:space="preserve"> 2024)، والتي يتم الحصول عليها بشكل أساسي من خمسة بنوك. القروض مقومة بالريال العماني (55.7٪) والدولار الأمريكي (44.3٪)، مع </w:t>
      </w:r>
      <w:r w:rsidR="00F842EC">
        <w:rPr>
          <w:rFonts w:ascii="Traditional Arabic" w:eastAsia="Calibri" w:hAnsi="Traditional Arabic" w:cs="Traditional Arabic" w:hint="cs"/>
          <w:sz w:val="30"/>
          <w:szCs w:val="30"/>
          <w:rtl/>
        </w:rPr>
        <w:t>35.0</w:t>
      </w:r>
      <w:r w:rsidRPr="00025D1E">
        <w:rPr>
          <w:rFonts w:ascii="Traditional Arabic" w:eastAsia="Calibri" w:hAnsi="Traditional Arabic" w:cs="Traditional Arabic"/>
          <w:sz w:val="30"/>
          <w:szCs w:val="30"/>
          <w:rtl/>
        </w:rPr>
        <w:t xml:space="preserve">٪ بأسعار متغيرة مرتبطة </w:t>
      </w:r>
      <w:r w:rsidR="004C23AE">
        <w:rPr>
          <w:rFonts w:ascii="Traditional Arabic" w:eastAsia="Calibri" w:hAnsi="Traditional Arabic" w:cs="Traditional Arabic" w:hint="cs"/>
          <w:sz w:val="30"/>
          <w:szCs w:val="30"/>
          <w:rtl/>
        </w:rPr>
        <w:t>بمعدل</w:t>
      </w:r>
      <w:r w:rsidR="00CF5F6C">
        <w:rPr>
          <w:rFonts w:ascii="Traditional Arabic" w:eastAsia="Calibri" w:hAnsi="Traditional Arabic" w:cs="Traditional Arabic" w:hint="cs"/>
          <w:sz w:val="30"/>
          <w:szCs w:val="30"/>
          <w:rtl/>
        </w:rPr>
        <w:t>ات</w:t>
      </w:r>
      <w:r w:rsidR="00F80609">
        <w:rPr>
          <w:rFonts w:ascii="Traditional Arabic" w:eastAsia="Calibri" w:hAnsi="Traditional Arabic" w:cs="Traditional Arabic" w:hint="cs"/>
          <w:sz w:val="30"/>
          <w:szCs w:val="30"/>
          <w:rtl/>
        </w:rPr>
        <w:t xml:space="preserve"> التمويل الليلي المضمون</w:t>
      </w:r>
      <w:r w:rsidR="0057073A">
        <w:rPr>
          <w:rFonts w:ascii="Traditional Arabic" w:eastAsia="Calibri" w:hAnsi="Traditional Arabic" w:cs="Traditional Arabic"/>
          <w:sz w:val="30"/>
          <w:szCs w:val="30"/>
          <w:lang w:val="en-GB"/>
        </w:rPr>
        <w:t>(SOF</w:t>
      </w:r>
      <w:r w:rsidR="00CA5C64">
        <w:rPr>
          <w:rFonts w:ascii="Traditional Arabic" w:eastAsia="Calibri" w:hAnsi="Traditional Arabic" w:cs="Traditional Arabic"/>
          <w:sz w:val="30"/>
          <w:szCs w:val="30"/>
          <w:lang w:val="en-GB"/>
        </w:rPr>
        <w:t xml:space="preserve">R) </w:t>
      </w:r>
      <w:r w:rsidRPr="00025D1E">
        <w:rPr>
          <w:rFonts w:ascii="Traditional Arabic" w:eastAsia="Calibri" w:hAnsi="Traditional Arabic" w:cs="Traditional Arabic"/>
          <w:sz w:val="30"/>
          <w:szCs w:val="30"/>
          <w:rtl/>
        </w:rPr>
        <w:t>. تستخدم الشركة أيضًا التحوط من أسعار الفائدة وتخضع لشروط مختلفة.</w:t>
      </w:r>
    </w:p>
    <w:p w14:paraId="04183ED2" w14:textId="77777777" w:rsidR="00563389" w:rsidRPr="00B934CE" w:rsidRDefault="00563389" w:rsidP="00562D2C">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تسدد</w:t>
      </w:r>
      <w:r w:rsidRPr="00B934CE">
        <w:rPr>
          <w:rFonts w:ascii="Traditional Arabic" w:eastAsia="Calibri" w:hAnsi="Traditional Arabic" w:cs="Traditional Arabic"/>
          <w:sz w:val="30"/>
          <w:szCs w:val="30"/>
          <w:rtl/>
        </w:rPr>
        <w:t xml:space="preserve"> القروض والسلفيات على أقساط تتراوح بين دفعات ربع سنوية ونصف سنوية. القروض مضمونة برهن مسجل على سفن بقيمة 333.9 مليون ريال عماني (ديسمبر 2023: 339.8 مليون ريال عماني). </w:t>
      </w:r>
    </w:p>
    <w:p w14:paraId="312EC327" w14:textId="18899271"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 xml:space="preserve">تحمل القروض معدلات فائدة متغيرة </w:t>
      </w:r>
      <w:r w:rsidRPr="00B934CE">
        <w:rPr>
          <w:rFonts w:ascii="Traditional Arabic" w:eastAsia="Calibri" w:hAnsi="Traditional Arabic" w:cs="Traditional Arabic" w:hint="eastAsia"/>
          <w:sz w:val="30"/>
          <w:szCs w:val="30"/>
          <w:rtl/>
        </w:rPr>
        <w:t>اعتمادا</w:t>
      </w:r>
      <w:r w:rsidRPr="00B934CE">
        <w:rPr>
          <w:rFonts w:ascii="Traditional Arabic" w:eastAsia="Calibri" w:hAnsi="Traditional Arabic" w:cs="Traditional Arabic"/>
          <w:sz w:val="30"/>
          <w:szCs w:val="30"/>
          <w:rtl/>
        </w:rPr>
        <w:t xml:space="preserve"> على </w:t>
      </w:r>
      <w:r w:rsidR="00F86DEC">
        <w:rPr>
          <w:rFonts w:ascii="Traditional Arabic" w:eastAsia="Calibri" w:hAnsi="Traditional Arabic" w:cs="Traditional Arabic" w:hint="cs"/>
          <w:sz w:val="30"/>
          <w:szCs w:val="30"/>
          <w:rtl/>
        </w:rPr>
        <w:t xml:space="preserve">معدلات التمويل الليلي المضمون </w:t>
      </w:r>
      <w:r w:rsidR="00F86DEC">
        <w:rPr>
          <w:rFonts w:ascii="Traditional Arabic" w:eastAsia="Calibri" w:hAnsi="Traditional Arabic" w:cs="Traditional Arabic"/>
          <w:sz w:val="30"/>
          <w:szCs w:val="30"/>
          <w:lang w:val="en-GB"/>
        </w:rPr>
        <w:t>(SOFR)</w:t>
      </w:r>
      <w:r w:rsidRPr="00B934CE">
        <w:rPr>
          <w:rFonts w:ascii="Traditional Arabic" w:eastAsia="Calibri" w:hAnsi="Traditional Arabic" w:cs="Traditional Arabic"/>
          <w:sz w:val="30"/>
          <w:szCs w:val="30"/>
          <w:rtl/>
        </w:rPr>
        <w:t xml:space="preserve"> مع هامش يتراوح من 1.7% إلى 5.7% سنويًا (السنة المالية 2023: ليبور 1.7% إلى 4.35%). تتضمن القروض </w:t>
      </w:r>
      <w:r w:rsidRPr="00B934CE">
        <w:rPr>
          <w:rFonts w:ascii="Traditional Arabic" w:eastAsia="Calibri" w:hAnsi="Traditional Arabic" w:cs="Traditional Arabic" w:hint="eastAsia"/>
          <w:sz w:val="30"/>
          <w:szCs w:val="30"/>
          <w:rtl/>
        </w:rPr>
        <w:t>لأجل</w:t>
      </w:r>
      <w:r w:rsidRPr="00B934CE">
        <w:rPr>
          <w:rFonts w:ascii="Traditional Arabic" w:eastAsia="Calibri" w:hAnsi="Traditional Arabic" w:cs="Traditional Arabic"/>
          <w:sz w:val="30"/>
          <w:szCs w:val="30"/>
          <w:rtl/>
        </w:rPr>
        <w:t xml:space="preserve"> فائدة مستحقة بقيمة 8.9 مليون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30 سبتمبر 2024 (31 ديسمبر 2023: 4.8 مليون ريال عماني). </w:t>
      </w:r>
      <w:r w:rsidRPr="00B934CE">
        <w:rPr>
          <w:rFonts w:ascii="Traditional Arabic" w:eastAsia="Calibri" w:hAnsi="Traditional Arabic" w:cs="Traditional Arabic" w:hint="eastAsia"/>
          <w:sz w:val="30"/>
          <w:szCs w:val="30"/>
          <w:rtl/>
        </w:rPr>
        <w:t>بهدف</w:t>
      </w:r>
      <w:r w:rsidRPr="00B934CE">
        <w:rPr>
          <w:rFonts w:ascii="Traditional Arabic" w:eastAsia="Calibri" w:hAnsi="Traditional Arabic" w:cs="Traditional Arabic"/>
          <w:sz w:val="30"/>
          <w:szCs w:val="30"/>
          <w:rtl/>
        </w:rPr>
        <w:t xml:space="preserve"> إدارة مخاطر </w:t>
      </w:r>
      <w:r w:rsidRPr="00B934CE">
        <w:rPr>
          <w:rFonts w:ascii="Traditional Arabic" w:eastAsia="Calibri" w:hAnsi="Traditional Arabic" w:cs="Traditional Arabic" w:hint="eastAsia"/>
          <w:sz w:val="30"/>
          <w:szCs w:val="30"/>
          <w:rtl/>
        </w:rPr>
        <w:t>معدل</w:t>
      </w:r>
      <w:r w:rsidRPr="00B934CE">
        <w:rPr>
          <w:rFonts w:ascii="Traditional Arabic" w:eastAsia="Calibri" w:hAnsi="Traditional Arabic" w:cs="Traditional Arabic"/>
          <w:sz w:val="30"/>
          <w:szCs w:val="30"/>
          <w:rtl/>
        </w:rPr>
        <w:t xml:space="preserve"> الفائدة، </w:t>
      </w:r>
      <w:r w:rsidRPr="00B934CE">
        <w:rPr>
          <w:rFonts w:ascii="Traditional Arabic" w:eastAsia="Calibri" w:hAnsi="Traditional Arabic" w:cs="Traditional Arabic" w:hint="eastAsia"/>
          <w:sz w:val="30"/>
          <w:szCs w:val="30"/>
          <w:rtl/>
        </w:rPr>
        <w:t>أبرمت</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المجموعة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بعض</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الاتفاقيات</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ل</w:t>
      </w:r>
      <w:r w:rsidRPr="00B934CE">
        <w:rPr>
          <w:rFonts w:ascii="Traditional Arabic" w:eastAsia="Calibri" w:hAnsi="Traditional Arabic" w:cs="Traditional Arabic"/>
          <w:sz w:val="30"/>
          <w:szCs w:val="30"/>
          <w:rtl/>
        </w:rPr>
        <w:t xml:space="preserve">تحوط </w:t>
      </w:r>
      <w:r w:rsidRPr="00B934CE">
        <w:rPr>
          <w:rFonts w:ascii="Traditional Arabic" w:eastAsia="Calibri" w:hAnsi="Traditional Arabic" w:cs="Traditional Arabic" w:hint="eastAsia"/>
          <w:sz w:val="30"/>
          <w:szCs w:val="30"/>
          <w:rtl/>
        </w:rPr>
        <w:t>معدل</w:t>
      </w:r>
      <w:r w:rsidRPr="00B934CE">
        <w:rPr>
          <w:rFonts w:ascii="Traditional Arabic" w:eastAsia="Calibri" w:hAnsi="Traditional Arabic" w:cs="Traditional Arabic"/>
          <w:sz w:val="30"/>
          <w:szCs w:val="30"/>
          <w:rtl/>
        </w:rPr>
        <w:t xml:space="preserve"> الفائدة</w:t>
      </w:r>
      <w:r w:rsidRPr="00B934CE">
        <w:rPr>
          <w:rFonts w:ascii="Traditional Arabic" w:eastAsia="Calibri" w:hAnsi="Traditional Arabic" w:cs="Traditional Arabic" w:hint="eastAsia"/>
          <w:sz w:val="30"/>
          <w:szCs w:val="30"/>
          <w:rtl/>
        </w:rPr>
        <w:t>،</w:t>
      </w:r>
      <w:r w:rsidRPr="00B934CE">
        <w:rPr>
          <w:rFonts w:ascii="Traditional Arabic" w:eastAsia="Calibri" w:hAnsi="Traditional Arabic" w:cs="Traditional Arabic"/>
          <w:sz w:val="30"/>
          <w:szCs w:val="30"/>
          <w:rtl/>
        </w:rPr>
        <w:t xml:space="preserve"> والتي كانت مواتية في السنة المالية 2023 مما أدى إلى مكاسب مقايضة أسعار الفائدة.</w:t>
      </w:r>
    </w:p>
    <w:p w14:paraId="6A0176DD"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lastRenderedPageBreak/>
        <w:t>تحتوي اتفاقيات القروض على شروط تقييدية، مثل حدود الدين الصافي، والنسبة الحالية، والقيمة الصافية الملموسة، وخدمة الدين، ونسبة حقوق الملكية في الدين، ونمط ملكية الأسهم، ودفع الأرباح، وا</w:t>
      </w:r>
      <w:r w:rsidRPr="00B934CE">
        <w:rPr>
          <w:rFonts w:ascii="Traditional Arabic" w:eastAsia="Calibri" w:hAnsi="Traditional Arabic" w:cs="Traditional Arabic" w:hint="eastAsia"/>
          <w:sz w:val="30"/>
          <w:szCs w:val="30"/>
          <w:rtl/>
        </w:rPr>
        <w:t>لتصرف</w:t>
      </w:r>
      <w:r w:rsidRPr="00B934CE">
        <w:rPr>
          <w:rFonts w:ascii="Traditional Arabic" w:eastAsia="Calibri" w:hAnsi="Traditional Arabic" w:cs="Traditional Arabic"/>
          <w:sz w:val="30"/>
          <w:szCs w:val="30"/>
          <w:rtl/>
        </w:rPr>
        <w:t xml:space="preserve"> في السفينة، وتعديل اتفاقية عقد الإيجار المحدد المدة وإنشاء رسوم على الضمانات المصرح بها. وفقًا للبيانات المالية المدققة، كانت الشركة ملتزمة بجميع شروط القروض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30 سبتمبر 2024.</w:t>
      </w:r>
    </w:p>
    <w:p w14:paraId="5539E6B8" w14:textId="70C3BFDB"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 xml:space="preserve">يتم سحب القروض إلى حد كبير من </w:t>
      </w:r>
      <w:r w:rsidRPr="00B934CE">
        <w:rPr>
          <w:rFonts w:ascii="Traditional Arabic" w:eastAsia="Calibri" w:hAnsi="Traditional Arabic" w:cs="Traditional Arabic" w:hint="eastAsia"/>
          <w:sz w:val="30"/>
          <w:szCs w:val="30"/>
          <w:rtl/>
        </w:rPr>
        <w:t>مجموعة</w:t>
      </w:r>
      <w:r w:rsidRPr="00B934CE">
        <w:rPr>
          <w:rFonts w:ascii="Traditional Arabic" w:eastAsia="Calibri" w:hAnsi="Traditional Arabic" w:cs="Traditional Arabic"/>
          <w:sz w:val="30"/>
          <w:szCs w:val="30"/>
          <w:rtl/>
        </w:rPr>
        <w:t xml:space="preserve"> اسياد (21.7% كما في 30 سبتمبر 2024)، بنك مسقط (19.8٪)، وميثاق للخدمات المصرفية الإسلامية (9.</w:t>
      </w:r>
      <w:r w:rsidR="00650D98">
        <w:rPr>
          <w:rFonts w:ascii="Traditional Arabic" w:eastAsia="Calibri" w:hAnsi="Traditional Arabic" w:cs="Traditional Arabic" w:hint="cs"/>
          <w:sz w:val="30"/>
          <w:szCs w:val="30"/>
          <w:rtl/>
        </w:rPr>
        <w:t>3</w:t>
      </w:r>
      <w:r w:rsidRPr="00B934CE">
        <w:rPr>
          <w:rFonts w:ascii="Traditional Arabic" w:eastAsia="Calibri" w:hAnsi="Traditional Arabic" w:cs="Traditional Arabic"/>
          <w:sz w:val="30"/>
          <w:szCs w:val="30"/>
          <w:rtl/>
        </w:rPr>
        <w:t>٪)، وستاندرد تشارترد (9.3٪). كما حصلت الشركة على تسهيلات ائتمانية متجددة مع بنك مسقط والخدمات المصرفية الإسلامية ميثاق.</w:t>
      </w:r>
    </w:p>
    <w:p w14:paraId="29550EB1"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 xml:space="preserve">استخدمت الشركة تسهيلات السحب على المكشوف من البنك بمبلغ 8.2 مليون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31 ديسمبر 2023 لرأس المال العامل. تم تسوية المبلغ </w:t>
      </w:r>
      <w:r w:rsidRPr="00B934CE">
        <w:rPr>
          <w:rFonts w:ascii="Traditional Arabic" w:eastAsia="Calibri" w:hAnsi="Traditional Arabic" w:cs="Traditional Arabic" w:hint="eastAsia"/>
          <w:sz w:val="30"/>
          <w:szCs w:val="30"/>
          <w:rtl/>
        </w:rPr>
        <w:t>في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مارس</w:t>
      </w:r>
      <w:r w:rsidRPr="00B934CE">
        <w:rPr>
          <w:rFonts w:ascii="Traditional Arabic" w:eastAsia="Calibri" w:hAnsi="Traditional Arabic" w:cs="Traditional Arabic"/>
          <w:sz w:val="30"/>
          <w:szCs w:val="30"/>
          <w:rtl/>
        </w:rPr>
        <w:t xml:space="preserve"> 2024.</w:t>
      </w:r>
    </w:p>
    <w:p w14:paraId="3F215AB7"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ح</w:t>
      </w:r>
      <w:r w:rsidRPr="00B934CE">
        <w:rPr>
          <w:rFonts w:ascii="Traditional Arabic" w:eastAsia="Calibri" w:hAnsi="Traditional Arabic" w:cs="Traditional Arabic"/>
          <w:sz w:val="30"/>
          <w:szCs w:val="30"/>
          <w:rtl/>
        </w:rPr>
        <w:t xml:space="preserve">صلت الشركة على قرض من مجموعة أسياد (الشركة الأم) بقيمة 100 مليون ريال عماني كما في 30 سبتمبر 2024 لغرض إعادة تمويل التسهيلات الحالية </w:t>
      </w:r>
      <w:r w:rsidRPr="00B934CE">
        <w:rPr>
          <w:rFonts w:ascii="Traditional Arabic" w:eastAsia="Calibri" w:hAnsi="Traditional Arabic" w:cs="Traditional Arabic" w:hint="eastAsia"/>
          <w:sz w:val="30"/>
          <w:szCs w:val="30"/>
          <w:rtl/>
        </w:rPr>
        <w:t>للشركة</w:t>
      </w:r>
      <w:r w:rsidRPr="00B934CE">
        <w:rPr>
          <w:rFonts w:ascii="Traditional Arabic" w:eastAsia="Calibri" w:hAnsi="Traditional Arabic" w:cs="Traditional Arabic"/>
          <w:sz w:val="30"/>
          <w:szCs w:val="30"/>
          <w:rtl/>
        </w:rPr>
        <w:t xml:space="preserve"> مع بنك مسقط وميثاق وإطلاق الضمانات الحكومية ذات الصلة. القرض مستحق السداد على مدى 131 </w:t>
      </w:r>
      <w:r w:rsidRPr="00B934CE">
        <w:rPr>
          <w:rFonts w:ascii="Traditional Arabic" w:eastAsia="Calibri" w:hAnsi="Traditional Arabic" w:cs="Traditional Arabic" w:hint="eastAsia"/>
          <w:sz w:val="30"/>
          <w:szCs w:val="30"/>
          <w:rtl/>
        </w:rPr>
        <w:t>شهر</w:t>
      </w:r>
      <w:r w:rsidRPr="00B934CE">
        <w:rPr>
          <w:rFonts w:ascii="Traditional Arabic" w:eastAsia="Calibri" w:hAnsi="Traditional Arabic" w:cs="Traditional Arabic"/>
          <w:sz w:val="30"/>
          <w:szCs w:val="30"/>
          <w:rtl/>
        </w:rPr>
        <w:t xml:space="preserve"> بمعدل فائدة 5.7%. </w:t>
      </w:r>
    </w:p>
    <w:p w14:paraId="7DA20414" w14:textId="77777777" w:rsidR="00563389" w:rsidRPr="00B934CE" w:rsidRDefault="00563389" w:rsidP="00B934CE">
      <w:pPr>
        <w:pStyle w:val="4"/>
        <w:spacing w:before="0" w:after="120"/>
        <w:rPr>
          <w:rFonts w:ascii="Traditional Arabic" w:hAnsi="Traditional Arabic" w:cs="Traditional Arabic"/>
          <w:b w:val="0"/>
          <w:bCs w:val="0"/>
          <w:i/>
          <w:iCs/>
          <w:color w:val="auto"/>
          <w:sz w:val="30"/>
          <w:szCs w:val="30"/>
        </w:rPr>
      </w:pPr>
      <w:r w:rsidRPr="00B934CE">
        <w:rPr>
          <w:rFonts w:ascii="Traditional Arabic" w:hAnsi="Traditional Arabic" w:cs="Traditional Arabic"/>
          <w:b w:val="0"/>
          <w:bCs w:val="0"/>
          <w:i/>
          <w:iCs/>
          <w:color w:val="auto"/>
          <w:sz w:val="30"/>
          <w:szCs w:val="30"/>
          <w:rtl/>
        </w:rPr>
        <w:t>التزامات الإيجار</w:t>
      </w:r>
    </w:p>
    <w:p w14:paraId="4B837F28" w14:textId="77777777" w:rsidR="00563389" w:rsidRPr="00B934CE" w:rsidRDefault="00563389" w:rsidP="00B934CE">
      <w:pPr>
        <w:bidi/>
        <w:jc w:val="both"/>
        <w:rPr>
          <w:rFonts w:ascii="Traditional Arabic" w:eastAsia="Calibri" w:hAnsi="Traditional Arabic" w:cs="Traditional Arabic"/>
          <w:i/>
          <w:iCs/>
          <w:sz w:val="30"/>
          <w:szCs w:val="30"/>
        </w:rPr>
      </w:pPr>
      <w:r w:rsidRPr="00B934CE">
        <w:rPr>
          <w:rFonts w:ascii="Traditional Arabic" w:eastAsia="Calibri" w:hAnsi="Traditional Arabic" w:cs="Traditional Arabic"/>
          <w:i/>
          <w:iCs/>
          <w:sz w:val="30"/>
          <w:szCs w:val="30"/>
          <w:highlight w:val="lightGray"/>
          <w:rtl/>
        </w:rPr>
        <w:t>الجدول‏ ‏:</w:t>
      </w:r>
      <w:r w:rsidRPr="00B934CE">
        <w:rPr>
          <w:rFonts w:ascii="Traditional Arabic" w:eastAsia="Calibri" w:hAnsi="Traditional Arabic" w:cs="Traditional Arabic" w:hint="eastAsia"/>
          <w:i/>
          <w:iCs/>
          <w:sz w:val="30"/>
          <w:szCs w:val="30"/>
          <w:rtl/>
        </w:rPr>
        <w:t>الحركة</w:t>
      </w:r>
      <w:r w:rsidRPr="00B934CE">
        <w:rPr>
          <w:rFonts w:ascii="Traditional Arabic" w:eastAsia="Calibri" w:hAnsi="Traditional Arabic" w:cs="Traditional Arabic"/>
          <w:i/>
          <w:iCs/>
          <w:sz w:val="30"/>
          <w:szCs w:val="30"/>
          <w:rtl/>
        </w:rPr>
        <w:t xml:space="preserve"> في التزام</w:t>
      </w:r>
      <w:r w:rsidRPr="00B934CE">
        <w:rPr>
          <w:rFonts w:ascii="Traditional Arabic" w:eastAsia="Calibri" w:hAnsi="Traditional Arabic" w:cs="Traditional Arabic" w:hint="eastAsia"/>
          <w:i/>
          <w:iCs/>
          <w:sz w:val="30"/>
          <w:szCs w:val="30"/>
          <w:rtl/>
        </w:rPr>
        <w:t>ات</w:t>
      </w:r>
      <w:r w:rsidRPr="00B934CE">
        <w:rPr>
          <w:rFonts w:ascii="Traditional Arabic" w:eastAsia="Calibri" w:hAnsi="Traditional Arabic" w:cs="Traditional Arabic"/>
          <w:i/>
          <w:iCs/>
          <w:sz w:val="30"/>
          <w:szCs w:val="30"/>
          <w:rtl/>
        </w:rPr>
        <w:t xml:space="preserve"> الإيجار كما في 31 ديسمبر 2021، و2022، و2023، </w:t>
      </w:r>
      <w:r w:rsidR="00C451ED">
        <w:rPr>
          <w:rFonts w:ascii="Traditional Arabic" w:eastAsia="Calibri" w:hAnsi="Traditional Arabic" w:cs="Traditional Arabic" w:hint="cs"/>
          <w:i/>
          <w:iCs/>
          <w:sz w:val="30"/>
          <w:szCs w:val="30"/>
          <w:rtl/>
        </w:rPr>
        <w:t>وحتى</w:t>
      </w:r>
      <w:r w:rsidRPr="00B934CE">
        <w:rPr>
          <w:rFonts w:ascii="Traditional Arabic" w:eastAsia="Calibri" w:hAnsi="Traditional Arabic" w:cs="Traditional Arabic"/>
          <w:i/>
          <w:iCs/>
          <w:sz w:val="30"/>
          <w:szCs w:val="30"/>
          <w:rtl/>
        </w:rPr>
        <w:t xml:space="preserve"> 30 سبتمبر 2024</w:t>
      </w:r>
      <w:r w:rsidRPr="00B934CE">
        <w:rPr>
          <w:rFonts w:ascii="Traditional Arabic" w:eastAsia="Calibri" w:hAnsi="Traditional Arabic" w:cs="Traditional Arabic"/>
          <w:i/>
          <w:iCs/>
          <w:sz w:val="30"/>
          <w:szCs w:val="30"/>
        </w:rPr>
        <w:t>:</w:t>
      </w:r>
    </w:p>
    <w:tbl>
      <w:tblPr>
        <w:bidiVisual/>
        <w:tblW w:w="93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440"/>
        <w:gridCol w:w="1440"/>
        <w:gridCol w:w="1440"/>
        <w:gridCol w:w="1440"/>
      </w:tblGrid>
      <w:tr w:rsidR="00563389" w:rsidRPr="00563389" w14:paraId="7A8E987C" w14:textId="77777777" w:rsidTr="00922116">
        <w:tc>
          <w:tcPr>
            <w:tcW w:w="3600" w:type="dxa"/>
            <w:tcBorders>
              <w:top w:val="nil"/>
              <w:bottom w:val="single" w:sz="4" w:space="0" w:color="0B3D85"/>
              <w:right w:val="nil"/>
            </w:tcBorders>
            <w:shd w:val="clear" w:color="auto" w:fill="0B3D85"/>
            <w:vAlign w:val="center"/>
          </w:tcPr>
          <w:p w14:paraId="0EB2002B"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hAnsi="Traditional Arabic" w:cs="Traditional Arabic"/>
                <w:b/>
                <w:bCs/>
                <w:sz w:val="24"/>
                <w:rtl/>
              </w:rPr>
              <w:t xml:space="preserve">بآلاف الريالات </w:t>
            </w:r>
            <w:r w:rsidRPr="00B934CE">
              <w:rPr>
                <w:rFonts w:ascii="Traditional Arabic" w:hAnsi="Traditional Arabic" w:cs="Traditional Arabic" w:hint="eastAsia"/>
                <w:b/>
                <w:bCs/>
                <w:sz w:val="24"/>
                <w:rtl/>
              </w:rPr>
              <w:t>العمانية</w:t>
            </w:r>
          </w:p>
        </w:tc>
        <w:tc>
          <w:tcPr>
            <w:tcW w:w="1440" w:type="dxa"/>
            <w:tcBorders>
              <w:top w:val="nil"/>
              <w:left w:val="nil"/>
              <w:bottom w:val="single" w:sz="4" w:space="0" w:color="0B3D85"/>
              <w:right w:val="nil"/>
            </w:tcBorders>
            <w:shd w:val="clear" w:color="auto" w:fill="0B3D85"/>
            <w:vAlign w:val="center"/>
          </w:tcPr>
          <w:p w14:paraId="5DBD34E8"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31 ديسمبر 2021</w:t>
            </w:r>
          </w:p>
          <w:p w14:paraId="3EA3867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t>(المراجعة)</w:t>
            </w:r>
          </w:p>
        </w:tc>
        <w:tc>
          <w:tcPr>
            <w:tcW w:w="1440" w:type="dxa"/>
            <w:tcBorders>
              <w:top w:val="nil"/>
              <w:left w:val="nil"/>
              <w:bottom w:val="single" w:sz="4" w:space="0" w:color="0B3D85"/>
              <w:right w:val="nil"/>
            </w:tcBorders>
            <w:shd w:val="clear" w:color="auto" w:fill="0B3D85"/>
            <w:vAlign w:val="center"/>
          </w:tcPr>
          <w:p w14:paraId="226A696F"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31 ديسمبر 2022</w:t>
            </w:r>
          </w:p>
          <w:p w14:paraId="675B97D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t>(المراجعة)</w:t>
            </w:r>
          </w:p>
        </w:tc>
        <w:tc>
          <w:tcPr>
            <w:tcW w:w="1440" w:type="dxa"/>
            <w:tcBorders>
              <w:top w:val="nil"/>
              <w:left w:val="nil"/>
              <w:bottom w:val="single" w:sz="4" w:space="0" w:color="0B3D85"/>
              <w:right w:val="nil"/>
            </w:tcBorders>
            <w:shd w:val="clear" w:color="auto" w:fill="0B3D85"/>
            <w:vAlign w:val="center"/>
          </w:tcPr>
          <w:p w14:paraId="3FDE29F7"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31 ديسمبر 2023</w:t>
            </w:r>
          </w:p>
          <w:p w14:paraId="48FCCE6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t>(المراجعة)</w:t>
            </w:r>
          </w:p>
        </w:tc>
        <w:tc>
          <w:tcPr>
            <w:tcW w:w="1440" w:type="dxa"/>
            <w:tcBorders>
              <w:top w:val="nil"/>
              <w:left w:val="nil"/>
              <w:bottom w:val="single" w:sz="4" w:space="0" w:color="0B3D85"/>
              <w:right w:val="nil"/>
            </w:tcBorders>
            <w:shd w:val="clear" w:color="auto" w:fill="0B3D85"/>
            <w:vAlign w:val="center"/>
          </w:tcPr>
          <w:p w14:paraId="25875848"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كما في 30 سبتمبر 2024</w:t>
            </w:r>
          </w:p>
          <w:p w14:paraId="5452763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t>(المفحوصة)</w:t>
            </w:r>
          </w:p>
        </w:tc>
      </w:tr>
      <w:tr w:rsidR="00563389" w:rsidRPr="00563389" w14:paraId="591F1073" w14:textId="77777777" w:rsidTr="00922116">
        <w:tc>
          <w:tcPr>
            <w:tcW w:w="3600" w:type="dxa"/>
            <w:tcBorders>
              <w:top w:val="single" w:sz="4" w:space="0" w:color="0B3D85"/>
              <w:bottom w:val="single" w:sz="4" w:space="0" w:color="0B3D85"/>
              <w:right w:val="nil"/>
            </w:tcBorders>
            <w:shd w:val="clear" w:color="auto" w:fill="FFFFFF" w:themeFill="background1"/>
          </w:tcPr>
          <w:p w14:paraId="4B7CD232"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الرصيد في 1 يناير</w:t>
            </w:r>
          </w:p>
        </w:tc>
        <w:tc>
          <w:tcPr>
            <w:tcW w:w="1440" w:type="dxa"/>
            <w:tcBorders>
              <w:top w:val="single" w:sz="4" w:space="0" w:color="0B3D85"/>
              <w:left w:val="nil"/>
              <w:bottom w:val="single" w:sz="4" w:space="0" w:color="0B3D85"/>
              <w:right w:val="nil"/>
            </w:tcBorders>
            <w:shd w:val="clear" w:color="auto" w:fill="FFFFFF" w:themeFill="background1"/>
            <w:vAlign w:val="center"/>
          </w:tcPr>
          <w:p w14:paraId="0E989977"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shd w:val="clear" w:color="auto" w:fill="FFFFFF" w:themeFill="background1"/>
            <w:vAlign w:val="center"/>
          </w:tcPr>
          <w:p w14:paraId="0F4420C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42,099</w:t>
            </w:r>
          </w:p>
        </w:tc>
        <w:tc>
          <w:tcPr>
            <w:tcW w:w="1440" w:type="dxa"/>
            <w:tcBorders>
              <w:top w:val="single" w:sz="4" w:space="0" w:color="0B3D85"/>
              <w:left w:val="nil"/>
              <w:bottom w:val="single" w:sz="4" w:space="0" w:color="0B3D85"/>
              <w:right w:val="nil"/>
            </w:tcBorders>
            <w:shd w:val="clear" w:color="auto" w:fill="FFFFFF" w:themeFill="background1"/>
            <w:vAlign w:val="center"/>
          </w:tcPr>
          <w:p w14:paraId="43AA552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91,092</w:t>
            </w:r>
          </w:p>
        </w:tc>
        <w:tc>
          <w:tcPr>
            <w:tcW w:w="1440" w:type="dxa"/>
            <w:tcBorders>
              <w:top w:val="single" w:sz="4" w:space="0" w:color="0B3D85"/>
              <w:left w:val="nil"/>
              <w:bottom w:val="single" w:sz="4" w:space="0" w:color="0B3D85"/>
              <w:right w:val="nil"/>
            </w:tcBorders>
            <w:shd w:val="clear" w:color="auto" w:fill="FFFFFF" w:themeFill="background1"/>
            <w:vAlign w:val="center"/>
          </w:tcPr>
          <w:p w14:paraId="7890768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160,576</w:t>
            </w:r>
          </w:p>
        </w:tc>
      </w:tr>
      <w:tr w:rsidR="00563389" w:rsidRPr="00563389" w14:paraId="76255074" w14:textId="77777777" w:rsidTr="00922116">
        <w:tc>
          <w:tcPr>
            <w:tcW w:w="3600" w:type="dxa"/>
            <w:tcBorders>
              <w:top w:val="single" w:sz="4" w:space="0" w:color="0B3D85"/>
              <w:bottom w:val="single" w:sz="4" w:space="0" w:color="0B3D85"/>
              <w:right w:val="nil"/>
            </w:tcBorders>
            <w:shd w:val="clear" w:color="auto" w:fill="FFFFFF" w:themeFill="background1"/>
          </w:tcPr>
          <w:p w14:paraId="17C6E0AD"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الإضافات خلال الفترة</w:t>
            </w:r>
          </w:p>
        </w:tc>
        <w:tc>
          <w:tcPr>
            <w:tcW w:w="1440" w:type="dxa"/>
            <w:tcBorders>
              <w:top w:val="single" w:sz="4" w:space="0" w:color="0B3D85"/>
              <w:left w:val="nil"/>
              <w:bottom w:val="single" w:sz="4" w:space="0" w:color="0B3D85"/>
              <w:right w:val="nil"/>
            </w:tcBorders>
            <w:shd w:val="clear" w:color="auto" w:fill="FFFFFF" w:themeFill="background1"/>
            <w:vAlign w:val="center"/>
          </w:tcPr>
          <w:p w14:paraId="43A5F89B"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shd w:val="clear" w:color="auto" w:fill="FFFFFF" w:themeFill="background1"/>
            <w:vAlign w:val="center"/>
          </w:tcPr>
          <w:p w14:paraId="513F2F2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72,332</w:t>
            </w:r>
          </w:p>
        </w:tc>
        <w:tc>
          <w:tcPr>
            <w:tcW w:w="1440" w:type="dxa"/>
            <w:tcBorders>
              <w:top w:val="single" w:sz="4" w:space="0" w:color="0B3D85"/>
              <w:left w:val="nil"/>
              <w:bottom w:val="single" w:sz="4" w:space="0" w:color="0B3D85"/>
              <w:right w:val="nil"/>
            </w:tcBorders>
            <w:shd w:val="clear" w:color="auto" w:fill="FFFFFF" w:themeFill="background1"/>
            <w:vAlign w:val="center"/>
          </w:tcPr>
          <w:p w14:paraId="00007A4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137,967</w:t>
            </w:r>
          </w:p>
        </w:tc>
        <w:tc>
          <w:tcPr>
            <w:tcW w:w="1440" w:type="dxa"/>
            <w:tcBorders>
              <w:top w:val="single" w:sz="4" w:space="0" w:color="0B3D85"/>
              <w:left w:val="nil"/>
              <w:bottom w:val="single" w:sz="4" w:space="0" w:color="0B3D85"/>
              <w:right w:val="nil"/>
            </w:tcBorders>
            <w:shd w:val="clear" w:color="auto" w:fill="FFFFFF" w:themeFill="background1"/>
            <w:vAlign w:val="center"/>
          </w:tcPr>
          <w:p w14:paraId="2D60D05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58,433</w:t>
            </w:r>
          </w:p>
        </w:tc>
      </w:tr>
      <w:tr w:rsidR="00563389" w:rsidRPr="00563389" w14:paraId="5B55282E" w14:textId="77777777" w:rsidTr="00922116">
        <w:tc>
          <w:tcPr>
            <w:tcW w:w="3600" w:type="dxa"/>
            <w:tcBorders>
              <w:top w:val="single" w:sz="4" w:space="0" w:color="0B3D85"/>
              <w:bottom w:val="single" w:sz="4" w:space="0" w:color="0B3D85"/>
              <w:right w:val="nil"/>
            </w:tcBorders>
            <w:shd w:val="clear" w:color="auto" w:fill="FFFFFF" w:themeFill="background1"/>
          </w:tcPr>
          <w:p w14:paraId="108C5845"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تسوية التزامات الإيجار</w:t>
            </w:r>
          </w:p>
        </w:tc>
        <w:tc>
          <w:tcPr>
            <w:tcW w:w="1440" w:type="dxa"/>
            <w:tcBorders>
              <w:top w:val="single" w:sz="4" w:space="0" w:color="0B3D85"/>
              <w:left w:val="nil"/>
              <w:bottom w:val="single" w:sz="4" w:space="0" w:color="0B3D85"/>
              <w:right w:val="nil"/>
            </w:tcBorders>
            <w:shd w:val="clear" w:color="auto" w:fill="FFFFFF" w:themeFill="background1"/>
            <w:vAlign w:val="center"/>
          </w:tcPr>
          <w:p w14:paraId="732318B8"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shd w:val="clear" w:color="auto" w:fill="FFFFFF" w:themeFill="background1"/>
            <w:vAlign w:val="center"/>
          </w:tcPr>
          <w:p w14:paraId="247839E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482</w:t>
            </w:r>
          </w:p>
        </w:tc>
        <w:tc>
          <w:tcPr>
            <w:tcW w:w="1440" w:type="dxa"/>
            <w:tcBorders>
              <w:top w:val="single" w:sz="4" w:space="0" w:color="0B3D85"/>
              <w:left w:val="nil"/>
              <w:bottom w:val="single" w:sz="4" w:space="0" w:color="0B3D85"/>
              <w:right w:val="nil"/>
            </w:tcBorders>
            <w:shd w:val="clear" w:color="auto" w:fill="FFFFFF" w:themeFill="background1"/>
            <w:vAlign w:val="center"/>
          </w:tcPr>
          <w:p w14:paraId="33519AC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1,080</w:t>
            </w:r>
          </w:p>
        </w:tc>
        <w:tc>
          <w:tcPr>
            <w:tcW w:w="1440" w:type="dxa"/>
            <w:tcBorders>
              <w:top w:val="single" w:sz="4" w:space="0" w:color="0B3D85"/>
              <w:left w:val="nil"/>
              <w:bottom w:val="single" w:sz="4" w:space="0" w:color="0B3D85"/>
              <w:right w:val="nil"/>
            </w:tcBorders>
            <w:shd w:val="clear" w:color="auto" w:fill="FFFFFF" w:themeFill="background1"/>
            <w:vAlign w:val="center"/>
          </w:tcPr>
          <w:p w14:paraId="5CAC5C1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r>
      <w:tr w:rsidR="00563389" w:rsidRPr="00563389" w14:paraId="385C0C35" w14:textId="77777777" w:rsidTr="00922116">
        <w:tc>
          <w:tcPr>
            <w:tcW w:w="3600" w:type="dxa"/>
            <w:tcBorders>
              <w:top w:val="single" w:sz="4" w:space="0" w:color="0B3D85"/>
              <w:bottom w:val="single" w:sz="4" w:space="0" w:color="0B3D85"/>
              <w:right w:val="nil"/>
            </w:tcBorders>
            <w:shd w:val="clear" w:color="auto" w:fill="FFFFFF" w:themeFill="background1"/>
          </w:tcPr>
          <w:p w14:paraId="6CF36066"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المدفوعات خلال الفترة</w:t>
            </w:r>
          </w:p>
        </w:tc>
        <w:tc>
          <w:tcPr>
            <w:tcW w:w="1440" w:type="dxa"/>
            <w:tcBorders>
              <w:top w:val="single" w:sz="4" w:space="0" w:color="0B3D85"/>
              <w:left w:val="nil"/>
              <w:bottom w:val="single" w:sz="4" w:space="0" w:color="0B3D85"/>
              <w:right w:val="nil"/>
            </w:tcBorders>
            <w:shd w:val="clear" w:color="auto" w:fill="FFFFFF" w:themeFill="background1"/>
            <w:vAlign w:val="center"/>
          </w:tcPr>
          <w:p w14:paraId="4FC61447" w14:textId="77777777" w:rsidR="00563389" w:rsidRPr="00B934CE" w:rsidRDefault="00563389" w:rsidP="00B934CE">
            <w:pPr>
              <w:bidi/>
              <w:jc w:val="center"/>
              <w:rPr>
                <w:rFonts w:ascii="Traditional Arabic" w:eastAsia="Calibri" w:hAnsi="Traditional Arabic" w:cs="Traditional Arabic"/>
                <w:b/>
                <w:bCs/>
                <w:sz w:val="24"/>
                <w:rtl/>
              </w:rPr>
            </w:pPr>
          </w:p>
        </w:tc>
        <w:tc>
          <w:tcPr>
            <w:tcW w:w="1440" w:type="dxa"/>
            <w:tcBorders>
              <w:top w:val="single" w:sz="4" w:space="0" w:color="0B3D85"/>
              <w:left w:val="nil"/>
              <w:bottom w:val="single" w:sz="4" w:space="0" w:color="0B3D85"/>
              <w:right w:val="nil"/>
            </w:tcBorders>
            <w:shd w:val="clear" w:color="auto" w:fill="FFFFFF" w:themeFill="background1"/>
            <w:vAlign w:val="center"/>
          </w:tcPr>
          <w:p w14:paraId="7D04BEE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(26,681)</w:t>
            </w:r>
          </w:p>
        </w:tc>
        <w:tc>
          <w:tcPr>
            <w:tcW w:w="1440" w:type="dxa"/>
            <w:tcBorders>
              <w:top w:val="single" w:sz="4" w:space="0" w:color="0B3D85"/>
              <w:left w:val="nil"/>
              <w:bottom w:val="single" w:sz="4" w:space="0" w:color="0B3D85"/>
              <w:right w:val="nil"/>
            </w:tcBorders>
            <w:shd w:val="clear" w:color="auto" w:fill="FFFFFF" w:themeFill="background1"/>
            <w:vAlign w:val="center"/>
          </w:tcPr>
          <w:p w14:paraId="3A1DBA2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(78,011)</w:t>
            </w:r>
          </w:p>
        </w:tc>
        <w:tc>
          <w:tcPr>
            <w:tcW w:w="1440" w:type="dxa"/>
            <w:tcBorders>
              <w:top w:val="single" w:sz="4" w:space="0" w:color="0B3D85"/>
              <w:left w:val="nil"/>
              <w:bottom w:val="single" w:sz="4" w:space="0" w:color="0B3D85"/>
              <w:right w:val="nil"/>
            </w:tcBorders>
            <w:shd w:val="clear" w:color="auto" w:fill="FFFFFF" w:themeFill="background1"/>
            <w:vAlign w:val="center"/>
          </w:tcPr>
          <w:p w14:paraId="217C4B2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(74,607)</w:t>
            </w:r>
          </w:p>
        </w:tc>
      </w:tr>
      <w:tr w:rsidR="00563389" w:rsidRPr="00563389" w14:paraId="3515A983" w14:textId="77777777" w:rsidTr="00922116">
        <w:trPr>
          <w:trHeight w:val="58"/>
        </w:trPr>
        <w:tc>
          <w:tcPr>
            <w:tcW w:w="3600" w:type="dxa"/>
            <w:tcBorders>
              <w:top w:val="single" w:sz="4" w:space="0" w:color="0B3D85"/>
              <w:bottom w:val="single" w:sz="4" w:space="0" w:color="0B3D85"/>
              <w:right w:val="nil"/>
            </w:tcBorders>
            <w:shd w:val="clear" w:color="auto" w:fill="FFFFFF" w:themeFill="background1"/>
          </w:tcPr>
          <w:p w14:paraId="3E4D1C74"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مصروفات الفائدة للفترة</w:t>
            </w:r>
          </w:p>
        </w:tc>
        <w:tc>
          <w:tcPr>
            <w:tcW w:w="1440" w:type="dxa"/>
            <w:tcBorders>
              <w:top w:val="single" w:sz="4" w:space="0" w:color="0B3D85"/>
              <w:left w:val="nil"/>
              <w:bottom w:val="single" w:sz="4" w:space="0" w:color="0B3D85"/>
              <w:right w:val="nil"/>
            </w:tcBorders>
            <w:shd w:val="clear" w:color="auto" w:fill="FFFFFF" w:themeFill="background1"/>
            <w:vAlign w:val="center"/>
          </w:tcPr>
          <w:p w14:paraId="2F4967C2"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shd w:val="clear" w:color="auto" w:fill="FFFFFF" w:themeFill="background1"/>
            <w:vAlign w:val="center"/>
          </w:tcPr>
          <w:p w14:paraId="2E1E3A3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2,861</w:t>
            </w:r>
          </w:p>
        </w:tc>
        <w:tc>
          <w:tcPr>
            <w:tcW w:w="1440" w:type="dxa"/>
            <w:tcBorders>
              <w:top w:val="single" w:sz="4" w:space="0" w:color="0B3D85"/>
              <w:left w:val="nil"/>
              <w:bottom w:val="single" w:sz="4" w:space="0" w:color="0B3D85"/>
              <w:right w:val="nil"/>
            </w:tcBorders>
            <w:shd w:val="clear" w:color="auto" w:fill="FFFFFF" w:themeFill="background1"/>
            <w:vAlign w:val="center"/>
          </w:tcPr>
          <w:p w14:paraId="58AD424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8,447</w:t>
            </w:r>
          </w:p>
        </w:tc>
        <w:tc>
          <w:tcPr>
            <w:tcW w:w="1440" w:type="dxa"/>
            <w:tcBorders>
              <w:top w:val="single" w:sz="4" w:space="0" w:color="0B3D85"/>
              <w:left w:val="nil"/>
              <w:bottom w:val="single" w:sz="4" w:space="0" w:color="0B3D85"/>
              <w:right w:val="nil"/>
            </w:tcBorders>
            <w:shd w:val="clear" w:color="auto" w:fill="FFFFFF" w:themeFill="background1"/>
            <w:vAlign w:val="center"/>
          </w:tcPr>
          <w:p w14:paraId="09D46AE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6,586</w:t>
            </w:r>
          </w:p>
        </w:tc>
      </w:tr>
      <w:tr w:rsidR="00563389" w:rsidRPr="00563389" w14:paraId="23E026C5" w14:textId="77777777" w:rsidTr="00922116">
        <w:trPr>
          <w:trHeight w:val="62"/>
        </w:trPr>
        <w:tc>
          <w:tcPr>
            <w:tcW w:w="3600" w:type="dxa"/>
            <w:tcBorders>
              <w:top w:val="single" w:sz="4" w:space="0" w:color="0B3D85"/>
              <w:bottom w:val="single" w:sz="4" w:space="0" w:color="0B3D85"/>
              <w:right w:val="nil"/>
            </w:tcBorders>
            <w:shd w:val="clear" w:color="auto" w:fill="FFFFFF" w:themeFill="background1"/>
          </w:tcPr>
          <w:p w14:paraId="1B14C3A9"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 xml:space="preserve">الرصيد في 31 ديسمبر/ 30 سبتمبر </w:t>
            </w:r>
          </w:p>
        </w:tc>
        <w:tc>
          <w:tcPr>
            <w:tcW w:w="1440" w:type="dxa"/>
            <w:tcBorders>
              <w:top w:val="single" w:sz="4" w:space="0" w:color="0B3D85"/>
              <w:left w:val="nil"/>
              <w:bottom w:val="single" w:sz="4" w:space="0" w:color="0B3D85"/>
              <w:right w:val="nil"/>
            </w:tcBorders>
            <w:shd w:val="clear" w:color="auto" w:fill="FFFFFF" w:themeFill="background1"/>
            <w:vAlign w:val="center"/>
          </w:tcPr>
          <w:p w14:paraId="06A2DF4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42,099</w:t>
            </w:r>
          </w:p>
        </w:tc>
        <w:tc>
          <w:tcPr>
            <w:tcW w:w="1440" w:type="dxa"/>
            <w:tcBorders>
              <w:top w:val="single" w:sz="4" w:space="0" w:color="0B3D85"/>
              <w:left w:val="nil"/>
              <w:bottom w:val="single" w:sz="4" w:space="0" w:color="0B3D85"/>
              <w:right w:val="nil"/>
            </w:tcBorders>
            <w:shd w:val="clear" w:color="auto" w:fill="FFFFFF" w:themeFill="background1"/>
            <w:vAlign w:val="center"/>
          </w:tcPr>
          <w:p w14:paraId="315D233A"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91,092</w:t>
            </w:r>
          </w:p>
        </w:tc>
        <w:tc>
          <w:tcPr>
            <w:tcW w:w="1440" w:type="dxa"/>
            <w:tcBorders>
              <w:top w:val="single" w:sz="4" w:space="0" w:color="0B3D85"/>
              <w:left w:val="nil"/>
              <w:bottom w:val="single" w:sz="4" w:space="0" w:color="0B3D85"/>
              <w:right w:val="nil"/>
            </w:tcBorders>
            <w:shd w:val="clear" w:color="auto" w:fill="FFFFFF" w:themeFill="background1"/>
            <w:vAlign w:val="center"/>
          </w:tcPr>
          <w:p w14:paraId="5D1D3FE3"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160,576</w:t>
            </w:r>
          </w:p>
        </w:tc>
        <w:tc>
          <w:tcPr>
            <w:tcW w:w="1440" w:type="dxa"/>
            <w:tcBorders>
              <w:top w:val="single" w:sz="4" w:space="0" w:color="0B3D85"/>
              <w:left w:val="nil"/>
              <w:bottom w:val="single" w:sz="4" w:space="0" w:color="0B3D85"/>
              <w:right w:val="nil"/>
            </w:tcBorders>
            <w:shd w:val="clear" w:color="auto" w:fill="FFFFFF" w:themeFill="background1"/>
            <w:vAlign w:val="center"/>
          </w:tcPr>
          <w:p w14:paraId="4628BCC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150,987</w:t>
            </w:r>
          </w:p>
        </w:tc>
      </w:tr>
      <w:tr w:rsidR="00563389" w:rsidRPr="00563389" w14:paraId="3C42937E" w14:textId="77777777" w:rsidTr="00922116">
        <w:tc>
          <w:tcPr>
            <w:tcW w:w="3600" w:type="dxa"/>
            <w:tcBorders>
              <w:top w:val="single" w:sz="4" w:space="0" w:color="0B3D85"/>
              <w:bottom w:val="single" w:sz="4" w:space="0" w:color="0B3D85"/>
              <w:right w:val="nil"/>
            </w:tcBorders>
            <w:shd w:val="clear" w:color="auto" w:fill="FFFFFF" w:themeFill="background1"/>
          </w:tcPr>
          <w:p w14:paraId="693C17AD"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التزامات الايجار المتداولة</w:t>
            </w:r>
            <w:r w:rsidRPr="00B934CE">
              <w:rPr>
                <w:rFonts w:ascii="Traditional Arabic" w:hAnsi="Traditional Arabic" w:cs="Traditional Arabic"/>
                <w:color w:val="000000"/>
                <w:sz w:val="24"/>
              </w:rPr>
              <w:t xml:space="preserve"> </w:t>
            </w:r>
          </w:p>
        </w:tc>
        <w:tc>
          <w:tcPr>
            <w:tcW w:w="1440" w:type="dxa"/>
            <w:tcBorders>
              <w:top w:val="single" w:sz="4" w:space="0" w:color="0B3D85"/>
              <w:left w:val="nil"/>
              <w:bottom w:val="single" w:sz="4" w:space="0" w:color="0B3D85"/>
              <w:right w:val="nil"/>
            </w:tcBorders>
            <w:shd w:val="clear" w:color="auto" w:fill="FFFFFF" w:themeFill="background1"/>
            <w:vAlign w:val="center"/>
          </w:tcPr>
          <w:p w14:paraId="416525F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17,298</w:t>
            </w:r>
          </w:p>
        </w:tc>
        <w:tc>
          <w:tcPr>
            <w:tcW w:w="1440" w:type="dxa"/>
            <w:tcBorders>
              <w:top w:val="single" w:sz="4" w:space="0" w:color="0B3D85"/>
              <w:left w:val="nil"/>
              <w:bottom w:val="single" w:sz="4" w:space="0" w:color="0B3D85"/>
              <w:right w:val="nil"/>
            </w:tcBorders>
            <w:shd w:val="clear" w:color="auto" w:fill="FFFFFF" w:themeFill="background1"/>
            <w:vAlign w:val="center"/>
          </w:tcPr>
          <w:p w14:paraId="606E073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32,308</w:t>
            </w:r>
          </w:p>
        </w:tc>
        <w:tc>
          <w:tcPr>
            <w:tcW w:w="1440" w:type="dxa"/>
            <w:tcBorders>
              <w:top w:val="single" w:sz="4" w:space="0" w:color="0B3D85"/>
              <w:left w:val="nil"/>
              <w:bottom w:val="single" w:sz="4" w:space="0" w:color="0B3D85"/>
              <w:right w:val="nil"/>
            </w:tcBorders>
            <w:shd w:val="clear" w:color="auto" w:fill="FFFFFF" w:themeFill="background1"/>
            <w:vAlign w:val="center"/>
          </w:tcPr>
          <w:p w14:paraId="781883D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84,438</w:t>
            </w:r>
          </w:p>
        </w:tc>
        <w:tc>
          <w:tcPr>
            <w:tcW w:w="1440" w:type="dxa"/>
            <w:tcBorders>
              <w:top w:val="single" w:sz="4" w:space="0" w:color="0B3D85"/>
              <w:left w:val="nil"/>
              <w:bottom w:val="single" w:sz="4" w:space="0" w:color="0B3D85"/>
              <w:right w:val="nil"/>
            </w:tcBorders>
            <w:shd w:val="clear" w:color="auto" w:fill="FFFFFF" w:themeFill="background1"/>
            <w:vAlign w:val="center"/>
          </w:tcPr>
          <w:p w14:paraId="5F863F9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79,099</w:t>
            </w:r>
          </w:p>
        </w:tc>
      </w:tr>
      <w:tr w:rsidR="00563389" w:rsidRPr="00563389" w14:paraId="341BBD88" w14:textId="77777777" w:rsidTr="00922116">
        <w:tc>
          <w:tcPr>
            <w:tcW w:w="3600" w:type="dxa"/>
            <w:tcBorders>
              <w:top w:val="single" w:sz="4" w:space="0" w:color="0B3D85"/>
              <w:bottom w:val="single" w:sz="4" w:space="0" w:color="0B3D85"/>
              <w:right w:val="nil"/>
            </w:tcBorders>
            <w:shd w:val="clear" w:color="auto" w:fill="FFFFFF" w:themeFill="background1"/>
          </w:tcPr>
          <w:p w14:paraId="61212A7A"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التزامات الايجار غير المتداولة</w:t>
            </w:r>
            <w:r w:rsidRPr="00B934CE">
              <w:rPr>
                <w:rFonts w:ascii="Traditional Arabic" w:hAnsi="Traditional Arabic" w:cs="Traditional Arabic"/>
                <w:color w:val="000000"/>
                <w:sz w:val="24"/>
              </w:rPr>
              <w:t xml:space="preserve"> </w:t>
            </w:r>
          </w:p>
        </w:tc>
        <w:tc>
          <w:tcPr>
            <w:tcW w:w="1440" w:type="dxa"/>
            <w:tcBorders>
              <w:top w:val="single" w:sz="4" w:space="0" w:color="0B3D85"/>
              <w:left w:val="nil"/>
              <w:bottom w:val="single" w:sz="4" w:space="0" w:color="0B3D85"/>
              <w:right w:val="nil"/>
            </w:tcBorders>
            <w:shd w:val="clear" w:color="auto" w:fill="FFFFFF" w:themeFill="background1"/>
            <w:vAlign w:val="center"/>
          </w:tcPr>
          <w:p w14:paraId="5067852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24,801</w:t>
            </w:r>
          </w:p>
        </w:tc>
        <w:tc>
          <w:tcPr>
            <w:tcW w:w="1440" w:type="dxa"/>
            <w:tcBorders>
              <w:top w:val="single" w:sz="4" w:space="0" w:color="0B3D85"/>
              <w:left w:val="nil"/>
              <w:bottom w:val="single" w:sz="4" w:space="0" w:color="0B3D85"/>
              <w:right w:val="nil"/>
            </w:tcBorders>
            <w:shd w:val="clear" w:color="auto" w:fill="FFFFFF" w:themeFill="background1"/>
            <w:vAlign w:val="center"/>
          </w:tcPr>
          <w:p w14:paraId="2E6B11A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58,784</w:t>
            </w:r>
          </w:p>
        </w:tc>
        <w:tc>
          <w:tcPr>
            <w:tcW w:w="1440" w:type="dxa"/>
            <w:tcBorders>
              <w:top w:val="single" w:sz="4" w:space="0" w:color="0B3D85"/>
              <w:left w:val="nil"/>
              <w:bottom w:val="single" w:sz="4" w:space="0" w:color="0B3D85"/>
              <w:right w:val="nil"/>
            </w:tcBorders>
            <w:shd w:val="clear" w:color="auto" w:fill="FFFFFF" w:themeFill="background1"/>
            <w:vAlign w:val="center"/>
          </w:tcPr>
          <w:p w14:paraId="5C9175F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76,138</w:t>
            </w:r>
          </w:p>
        </w:tc>
        <w:tc>
          <w:tcPr>
            <w:tcW w:w="1440" w:type="dxa"/>
            <w:tcBorders>
              <w:top w:val="single" w:sz="4" w:space="0" w:color="0B3D85"/>
              <w:left w:val="nil"/>
              <w:bottom w:val="single" w:sz="4" w:space="0" w:color="0B3D85"/>
              <w:right w:val="nil"/>
            </w:tcBorders>
            <w:shd w:val="clear" w:color="auto" w:fill="FFFFFF" w:themeFill="background1"/>
            <w:vAlign w:val="center"/>
          </w:tcPr>
          <w:p w14:paraId="5367119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71,889</w:t>
            </w:r>
          </w:p>
        </w:tc>
      </w:tr>
    </w:tbl>
    <w:p w14:paraId="2742C9CC"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تتعل</w:t>
      </w:r>
      <w:r w:rsidRPr="00B934CE">
        <w:rPr>
          <w:rFonts w:ascii="Traditional Arabic" w:eastAsia="Calibri" w:hAnsi="Traditional Arabic" w:cs="Traditional Arabic"/>
          <w:sz w:val="30"/>
          <w:szCs w:val="30"/>
          <w:rtl/>
        </w:rPr>
        <w:t>ق التزامات الإيجار (</w:t>
      </w:r>
      <w:r w:rsidR="00207895">
        <w:rPr>
          <w:rFonts w:ascii="Traditional Arabic" w:eastAsia="Calibri" w:hAnsi="Traditional Arabic" w:cs="Traditional Arabic" w:hint="cs"/>
          <w:sz w:val="30"/>
          <w:szCs w:val="30"/>
          <w:rtl/>
        </w:rPr>
        <w:t>151.0</w:t>
      </w:r>
      <w:r w:rsidRPr="00B934CE">
        <w:rPr>
          <w:rFonts w:ascii="Traditional Arabic" w:eastAsia="Calibri" w:hAnsi="Traditional Arabic" w:cs="Traditional Arabic"/>
          <w:sz w:val="30"/>
          <w:szCs w:val="30"/>
          <w:rtl/>
        </w:rPr>
        <w:t xml:space="preserve"> مليون ريال عماني كما في 30 سبتمبر 2024) بالسفن المستأجرة. ووفقًا لمتطلبات المعيار الدولي لإعداد التقارير المالية رقم 16، يتم خصم التزامات الإيجار إما بسعر الفائدة الضمني في الإيجار أو بمعدل الاقتراض التدريجي للمجموعة ("</w:t>
      </w:r>
      <w:r w:rsidRPr="00B934CE">
        <w:rPr>
          <w:rFonts w:ascii="Traditional Arabic" w:eastAsia="Calibri" w:hAnsi="Traditional Arabic" w:cs="Traditional Arabic"/>
          <w:b/>
          <w:bCs/>
          <w:sz w:val="30"/>
          <w:szCs w:val="30"/>
        </w:rPr>
        <w:t>IBR</w:t>
      </w:r>
      <w:r w:rsidRPr="00B934CE">
        <w:rPr>
          <w:rFonts w:ascii="Traditional Arabic" w:eastAsia="Calibri" w:hAnsi="Traditional Arabic" w:cs="Traditional Arabic"/>
          <w:sz w:val="30"/>
          <w:szCs w:val="30"/>
          <w:rtl/>
        </w:rPr>
        <w:t>")، والذي يتراوح بين 2.75% و7.5%.</w:t>
      </w:r>
    </w:p>
    <w:p w14:paraId="48446436"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lastRenderedPageBreak/>
        <w:t>ارتفعت</w:t>
      </w:r>
      <w:r w:rsidRPr="00B934CE">
        <w:rPr>
          <w:rFonts w:ascii="Traditional Arabic" w:eastAsia="Calibri" w:hAnsi="Traditional Arabic" w:cs="Traditional Arabic"/>
          <w:sz w:val="30"/>
          <w:szCs w:val="30"/>
          <w:rtl/>
        </w:rPr>
        <w:t xml:space="preserve"> التزامات الإيجار </w:t>
      </w:r>
      <w:r w:rsidRPr="00B934CE">
        <w:rPr>
          <w:rFonts w:ascii="Traditional Arabic" w:eastAsia="Calibri" w:hAnsi="Traditional Arabic" w:cs="Traditional Arabic" w:hint="eastAsia"/>
          <w:sz w:val="30"/>
          <w:szCs w:val="30"/>
          <w:rtl/>
        </w:rPr>
        <w:t>من</w:t>
      </w:r>
      <w:r w:rsidRPr="00B934CE">
        <w:rPr>
          <w:rFonts w:ascii="Traditional Arabic" w:eastAsia="Calibri" w:hAnsi="Traditional Arabic" w:cs="Traditional Arabic"/>
          <w:sz w:val="30"/>
          <w:szCs w:val="30"/>
          <w:rtl/>
        </w:rPr>
        <w:t xml:space="preserve"> 42.1 مليون ريال عماني كما في 31 ديسمبر 2021 الى 91.1 مليون ريال عماني كما في 31 ديسمبر 2022، ويرجع ذلك </w:t>
      </w:r>
      <w:r w:rsidRPr="00B934CE">
        <w:rPr>
          <w:rFonts w:ascii="Traditional Arabic" w:eastAsia="Calibri" w:hAnsi="Traditional Arabic" w:cs="Traditional Arabic" w:hint="eastAsia"/>
          <w:sz w:val="30"/>
          <w:szCs w:val="30"/>
          <w:rtl/>
        </w:rPr>
        <w:t>بشكل</w:t>
      </w:r>
      <w:r w:rsidRPr="00B934CE">
        <w:rPr>
          <w:rFonts w:ascii="Traditional Arabic" w:eastAsia="Calibri" w:hAnsi="Traditional Arabic" w:cs="Traditional Arabic"/>
          <w:sz w:val="30"/>
          <w:szCs w:val="30"/>
          <w:rtl/>
        </w:rPr>
        <w:t xml:space="preserve"> رئيسي إلى استئجار </w:t>
      </w:r>
      <w:r w:rsidRPr="00B934CE">
        <w:rPr>
          <w:rFonts w:ascii="Traditional Arabic" w:eastAsia="Calibri" w:hAnsi="Traditional Arabic" w:cs="Traditional Arabic" w:hint="eastAsia"/>
          <w:sz w:val="30"/>
          <w:szCs w:val="30"/>
          <w:rtl/>
        </w:rPr>
        <w:t>اربعة</w:t>
      </w:r>
      <w:r w:rsidRPr="00B934CE">
        <w:rPr>
          <w:rFonts w:ascii="Traditional Arabic" w:eastAsia="Calibri" w:hAnsi="Traditional Arabic" w:cs="Traditional Arabic"/>
          <w:sz w:val="30"/>
          <w:szCs w:val="30"/>
          <w:rtl/>
        </w:rPr>
        <w:t xml:space="preserve"> سفن إضافية تماشيًا مع النمو في العمليات وبدء تشغيل خط أسياد في السنة المالية 2022.</w:t>
      </w:r>
    </w:p>
    <w:p w14:paraId="02C541F0" w14:textId="77777777" w:rsidR="00563389" w:rsidRPr="00B934CE" w:rsidRDefault="00563389" w:rsidP="00B934CE">
      <w:pPr>
        <w:bidi/>
        <w:spacing w:after="120"/>
        <w:jc w:val="both"/>
        <w:rPr>
          <w:rFonts w:ascii="Traditional Arabic" w:eastAsia="Calibri" w:hAnsi="Traditional Arabic" w:cs="Traditional Arabic"/>
          <w:b/>
          <w:bCs/>
          <w:sz w:val="30"/>
          <w:szCs w:val="30"/>
          <w:rtl/>
        </w:rPr>
      </w:pPr>
      <w:r w:rsidRPr="00B934CE">
        <w:rPr>
          <w:rFonts w:ascii="Traditional Arabic" w:eastAsia="Calibri" w:hAnsi="Traditional Arabic" w:cs="Traditional Arabic" w:hint="eastAsia"/>
          <w:sz w:val="30"/>
          <w:szCs w:val="30"/>
          <w:rtl/>
        </w:rPr>
        <w:t>ارتفعت</w:t>
      </w:r>
      <w:r w:rsidRPr="00B934CE">
        <w:rPr>
          <w:rFonts w:ascii="Traditional Arabic" w:eastAsia="Calibri" w:hAnsi="Traditional Arabic" w:cs="Traditional Arabic"/>
          <w:sz w:val="30"/>
          <w:szCs w:val="30"/>
          <w:rtl/>
        </w:rPr>
        <w:t xml:space="preserve"> التزامات الإيجار </w:t>
      </w:r>
      <w:r w:rsidRPr="00B934CE">
        <w:rPr>
          <w:rFonts w:ascii="Traditional Arabic" w:eastAsia="Calibri" w:hAnsi="Traditional Arabic" w:cs="Traditional Arabic" w:hint="eastAsia"/>
          <w:sz w:val="30"/>
          <w:szCs w:val="30"/>
          <w:rtl/>
        </w:rPr>
        <w:t>من</w:t>
      </w:r>
      <w:r w:rsidRPr="00B934CE">
        <w:rPr>
          <w:rFonts w:ascii="Traditional Arabic" w:eastAsia="Calibri" w:hAnsi="Traditional Arabic" w:cs="Traditional Arabic"/>
          <w:sz w:val="30"/>
          <w:szCs w:val="30"/>
          <w:rtl/>
        </w:rPr>
        <w:t xml:space="preserve"> 91.1 </w:t>
      </w:r>
      <w:r w:rsidRPr="00B934CE">
        <w:rPr>
          <w:rFonts w:ascii="Traditional Arabic" w:eastAsia="Calibri" w:hAnsi="Traditional Arabic" w:cs="Traditional Arabic" w:hint="eastAsia"/>
          <w:sz w:val="30"/>
          <w:szCs w:val="30"/>
          <w:rtl/>
        </w:rPr>
        <w:t>مليون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ريال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عماني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في</w:t>
      </w:r>
      <w:r w:rsidRPr="00B934CE">
        <w:rPr>
          <w:rFonts w:ascii="Traditional Arabic" w:eastAsia="Calibri" w:hAnsi="Traditional Arabic" w:cs="Traditional Arabic"/>
          <w:sz w:val="30"/>
          <w:szCs w:val="30"/>
          <w:rtl/>
        </w:rPr>
        <w:t xml:space="preserve"> 31 </w:t>
      </w:r>
      <w:r w:rsidRPr="00B934CE">
        <w:rPr>
          <w:rFonts w:ascii="Traditional Arabic" w:eastAsia="Calibri" w:hAnsi="Traditional Arabic" w:cs="Traditional Arabic" w:hint="eastAsia"/>
          <w:sz w:val="30"/>
          <w:szCs w:val="30"/>
          <w:rtl/>
        </w:rPr>
        <w:t>ديسمبر</w:t>
      </w:r>
      <w:r w:rsidRPr="00B934CE">
        <w:rPr>
          <w:rFonts w:ascii="Traditional Arabic" w:eastAsia="Calibri" w:hAnsi="Traditional Arabic" w:cs="Traditional Arabic"/>
          <w:sz w:val="30"/>
          <w:szCs w:val="30"/>
          <w:rtl/>
        </w:rPr>
        <w:t xml:space="preserve"> 2022 </w:t>
      </w:r>
      <w:r w:rsidRPr="00B934CE">
        <w:rPr>
          <w:rFonts w:ascii="Traditional Arabic" w:eastAsia="Calibri" w:hAnsi="Traditional Arabic" w:cs="Traditional Arabic" w:hint="eastAsia"/>
          <w:sz w:val="30"/>
          <w:szCs w:val="30"/>
          <w:rtl/>
        </w:rPr>
        <w:t>الى</w:t>
      </w:r>
      <w:r w:rsidRPr="00B934CE">
        <w:rPr>
          <w:rFonts w:ascii="Traditional Arabic" w:eastAsia="Calibri" w:hAnsi="Traditional Arabic" w:cs="Traditional Arabic"/>
          <w:sz w:val="30"/>
          <w:szCs w:val="30"/>
          <w:rtl/>
        </w:rPr>
        <w:t xml:space="preserve"> 160.6 </w:t>
      </w:r>
      <w:r w:rsidRPr="00B934CE">
        <w:rPr>
          <w:rFonts w:ascii="Traditional Arabic" w:eastAsia="Calibri" w:hAnsi="Traditional Arabic" w:cs="Traditional Arabic" w:hint="eastAsia"/>
          <w:sz w:val="30"/>
          <w:szCs w:val="30"/>
          <w:rtl/>
        </w:rPr>
        <w:t>مليون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ريال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عماني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في</w:t>
      </w:r>
      <w:r w:rsidRPr="00B934CE">
        <w:rPr>
          <w:rFonts w:ascii="Traditional Arabic" w:eastAsia="Calibri" w:hAnsi="Traditional Arabic" w:cs="Traditional Arabic"/>
          <w:sz w:val="30"/>
          <w:szCs w:val="30"/>
          <w:rtl/>
        </w:rPr>
        <w:t xml:space="preserve"> 31 </w:t>
      </w:r>
      <w:r w:rsidRPr="00B934CE">
        <w:rPr>
          <w:rFonts w:ascii="Traditional Arabic" w:eastAsia="Calibri" w:hAnsi="Traditional Arabic" w:cs="Traditional Arabic" w:hint="eastAsia"/>
          <w:sz w:val="30"/>
          <w:szCs w:val="30"/>
          <w:rtl/>
        </w:rPr>
        <w:t>ديسمبر</w:t>
      </w:r>
      <w:r w:rsidRPr="00B934CE">
        <w:rPr>
          <w:rFonts w:ascii="Traditional Arabic" w:eastAsia="Calibri" w:hAnsi="Traditional Arabic" w:cs="Traditional Arabic"/>
          <w:sz w:val="30"/>
          <w:szCs w:val="30"/>
          <w:rtl/>
        </w:rPr>
        <w:t xml:space="preserve"> 2023،</w:t>
      </w:r>
      <w:r w:rsidRPr="00B934CE">
        <w:rPr>
          <w:rFonts w:ascii="Traditional Arabic" w:eastAsia="Calibri" w:hAnsi="Traditional Arabic" w:cs="Traditional Arabic"/>
          <w:b/>
          <w:bCs/>
          <w:sz w:val="30"/>
          <w:szCs w:val="30"/>
          <w:rtl/>
        </w:rPr>
        <w:t xml:space="preserve"> </w:t>
      </w:r>
      <w:r w:rsidRPr="00B934CE">
        <w:rPr>
          <w:rFonts w:ascii="Traditional Arabic" w:eastAsia="Calibri" w:hAnsi="Traditional Arabic" w:cs="Traditional Arabic" w:hint="eastAsia"/>
          <w:sz w:val="30"/>
          <w:szCs w:val="30"/>
          <w:rtl/>
        </w:rPr>
        <w:t>نتيجة</w:t>
      </w:r>
      <w:r w:rsidRPr="00B934CE">
        <w:rPr>
          <w:rFonts w:ascii="Traditional Arabic" w:eastAsia="Calibri" w:hAnsi="Traditional Arabic" w:cs="Traditional Arabic"/>
          <w:b/>
          <w:bCs/>
          <w:sz w:val="30"/>
          <w:szCs w:val="30"/>
          <w:rtl/>
        </w:rPr>
        <w:t xml:space="preserve"> </w:t>
      </w:r>
      <w:r w:rsidRPr="00B934CE">
        <w:rPr>
          <w:rFonts w:ascii="Traditional Arabic" w:eastAsia="Calibri" w:hAnsi="Traditional Arabic" w:cs="Traditional Arabic"/>
          <w:sz w:val="30"/>
          <w:szCs w:val="30"/>
          <w:rtl/>
        </w:rPr>
        <w:t xml:space="preserve">استئجار 14 سفينة جديدة في السنة المالية 2023 تماشيًا مع التوسع في العمليات، بالإضافة إلى </w:t>
      </w:r>
      <w:r w:rsidRPr="00B934CE">
        <w:rPr>
          <w:rFonts w:ascii="Traditional Arabic" w:eastAsia="Calibri" w:hAnsi="Traditional Arabic" w:cs="Traditional Arabic" w:hint="eastAsia"/>
          <w:sz w:val="30"/>
          <w:szCs w:val="30"/>
          <w:rtl/>
        </w:rPr>
        <w:t>استئجار</w:t>
      </w:r>
      <w:r w:rsidRPr="00B934CE">
        <w:rPr>
          <w:rFonts w:ascii="Traditional Arabic" w:eastAsia="Calibri" w:hAnsi="Traditional Arabic" w:cs="Traditional Arabic"/>
          <w:sz w:val="30"/>
          <w:szCs w:val="30"/>
          <w:rtl/>
        </w:rPr>
        <w:t xml:space="preserve"> عقار جديد.</w:t>
      </w:r>
    </w:p>
    <w:p w14:paraId="647F5141"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sz w:val="30"/>
          <w:szCs w:val="30"/>
          <w:rtl/>
        </w:rPr>
        <w:t xml:space="preserve">انخفضت التزامات الإيجار من 160.6 مليون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31 ديسمبر 2023 إلى 151.0 مليون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30 سبتمبر 2024 حيث تم تعويض الإضافات المتعلقة بخمس سفن مستأجرة جديدة من خلال مدفوعات الإيجار التي تم دفعها خلال الفترة.</w:t>
      </w:r>
    </w:p>
    <w:p w14:paraId="035D05E2" w14:textId="77777777" w:rsidR="00563389" w:rsidRPr="00B934CE" w:rsidRDefault="00563389" w:rsidP="00B934CE">
      <w:pPr>
        <w:pStyle w:val="4"/>
        <w:spacing w:before="0" w:after="120"/>
        <w:rPr>
          <w:rFonts w:ascii="Traditional Arabic" w:hAnsi="Traditional Arabic" w:cs="Traditional Arabic"/>
          <w:color w:val="auto"/>
          <w:sz w:val="30"/>
          <w:szCs w:val="30"/>
        </w:rPr>
      </w:pPr>
      <w:r w:rsidRPr="00B934CE">
        <w:rPr>
          <w:rFonts w:ascii="Traditional Arabic" w:hAnsi="Traditional Arabic" w:cs="Traditional Arabic" w:hint="eastAsia"/>
          <w:color w:val="auto"/>
          <w:sz w:val="30"/>
          <w:szCs w:val="30"/>
          <w:rtl/>
        </w:rPr>
        <w:t>مب</w:t>
      </w:r>
      <w:r w:rsidRPr="00B934CE">
        <w:rPr>
          <w:rFonts w:ascii="Traditional Arabic" w:hAnsi="Traditional Arabic" w:cs="Traditional Arabic"/>
          <w:color w:val="auto"/>
          <w:sz w:val="30"/>
          <w:szCs w:val="30"/>
          <w:rtl/>
        </w:rPr>
        <w:t>الغ مستحقة لأطراف ذات علاقة</w:t>
      </w:r>
    </w:p>
    <w:p w14:paraId="22B75C5C"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انخفضت</w:t>
      </w:r>
      <w:r w:rsidRPr="00B934CE">
        <w:rPr>
          <w:rFonts w:ascii="Traditional Arabic" w:eastAsia="Calibri" w:hAnsi="Traditional Arabic" w:cs="Traditional Arabic"/>
          <w:sz w:val="30"/>
          <w:szCs w:val="30"/>
          <w:rtl/>
        </w:rPr>
        <w:t xml:space="preserve"> المبالغ المستحقة للأطراف ذات </w:t>
      </w:r>
      <w:r w:rsidRPr="00B934CE">
        <w:rPr>
          <w:rFonts w:ascii="Traditional Arabic" w:eastAsia="Calibri" w:hAnsi="Traditional Arabic" w:cs="Traditional Arabic" w:hint="eastAsia"/>
          <w:sz w:val="30"/>
          <w:szCs w:val="30"/>
          <w:rtl/>
        </w:rPr>
        <w:t>العلاقة</w:t>
      </w:r>
      <w:r w:rsidRPr="00B934CE">
        <w:rPr>
          <w:rFonts w:ascii="Traditional Arabic" w:eastAsia="Calibri" w:hAnsi="Traditional Arabic" w:cs="Traditional Arabic"/>
          <w:sz w:val="30"/>
          <w:szCs w:val="30"/>
          <w:rtl/>
        </w:rPr>
        <w:t xml:space="preserve"> من 1.9 مليون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31 ديسمبر 2021 إلى 1.3 مليون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31 ديسمبر 2022</w:t>
      </w:r>
      <w:r w:rsidRPr="00B934CE">
        <w:rPr>
          <w:rFonts w:ascii="Traditional Arabic" w:eastAsia="Calibri" w:hAnsi="Traditional Arabic" w:cs="Traditional Arabic" w:hint="eastAsia"/>
          <w:sz w:val="30"/>
          <w:szCs w:val="30"/>
          <w:rtl/>
        </w:rPr>
        <w:t>،</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بعد</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سداد</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جزء</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مستحقات</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عُمان</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دري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دوك،</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شركة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ريسوت</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للنقل</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البحري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وشركة</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انيرجي</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سبرنج</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لنج</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كاريير</w:t>
      </w:r>
      <w:r w:rsidRPr="00B934CE">
        <w:rPr>
          <w:rFonts w:ascii="Traditional Arabic" w:eastAsia="Calibri" w:hAnsi="Traditional Arabic" w:cs="Traditional Arabic"/>
          <w:sz w:val="30"/>
          <w:szCs w:val="30"/>
          <w:rtl/>
        </w:rPr>
        <w:t>.</w:t>
      </w:r>
    </w:p>
    <w:p w14:paraId="6F5F042B" w14:textId="77777777" w:rsidR="00563389" w:rsidRPr="00B934CE" w:rsidRDefault="00563389" w:rsidP="00B934CE">
      <w:pPr>
        <w:bidi/>
        <w:spacing w:after="120"/>
        <w:jc w:val="both"/>
        <w:rPr>
          <w:rFonts w:ascii="Traditional Arabic" w:eastAsia="Calibri" w:hAnsi="Traditional Arabic" w:cs="Traditional Arabic"/>
          <w:sz w:val="30"/>
          <w:szCs w:val="30"/>
          <w:rtl/>
        </w:rPr>
      </w:pPr>
      <w:r w:rsidRPr="00B934CE">
        <w:rPr>
          <w:rFonts w:ascii="Traditional Arabic" w:eastAsia="Calibri" w:hAnsi="Traditional Arabic" w:cs="Traditional Arabic" w:hint="eastAsia"/>
          <w:sz w:val="30"/>
          <w:szCs w:val="30"/>
          <w:rtl/>
        </w:rPr>
        <w:t>ارتفعت</w:t>
      </w:r>
      <w:r w:rsidRPr="00B934CE">
        <w:rPr>
          <w:rFonts w:ascii="Traditional Arabic" w:eastAsia="Calibri" w:hAnsi="Traditional Arabic" w:cs="Traditional Arabic"/>
          <w:sz w:val="30"/>
          <w:szCs w:val="30"/>
          <w:rtl/>
        </w:rPr>
        <w:t xml:space="preserve"> المبالغ المستحقة للأطراف ذات </w:t>
      </w:r>
      <w:r w:rsidRPr="00B934CE">
        <w:rPr>
          <w:rFonts w:ascii="Traditional Arabic" w:eastAsia="Calibri" w:hAnsi="Traditional Arabic" w:cs="Traditional Arabic" w:hint="eastAsia"/>
          <w:sz w:val="30"/>
          <w:szCs w:val="30"/>
          <w:rtl/>
        </w:rPr>
        <w:t>العلاقة</w:t>
      </w:r>
      <w:r w:rsidRPr="00B934CE">
        <w:rPr>
          <w:rFonts w:ascii="Traditional Arabic" w:eastAsia="Calibri" w:hAnsi="Traditional Arabic" w:cs="Traditional Arabic"/>
          <w:sz w:val="30"/>
          <w:szCs w:val="30"/>
          <w:rtl/>
        </w:rPr>
        <w:t xml:space="preserve"> من 1.3 مليون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31 ديسمبر 2022 إلى 19.9 مليون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31 ديسمبر 2023</w:t>
      </w:r>
      <w:r w:rsidRPr="00B934CE">
        <w:rPr>
          <w:rFonts w:ascii="Traditional Arabic" w:eastAsia="Calibri" w:hAnsi="Traditional Arabic" w:cs="Traditional Arabic" w:hint="eastAsia"/>
          <w:sz w:val="30"/>
          <w:szCs w:val="30"/>
          <w:rtl/>
        </w:rPr>
        <w:t>،</w:t>
      </w:r>
      <w:r w:rsidRPr="00B934CE">
        <w:rPr>
          <w:rFonts w:ascii="Traditional Arabic" w:eastAsia="Calibri" w:hAnsi="Traditional Arabic" w:cs="Traditional Arabic"/>
          <w:sz w:val="30"/>
          <w:szCs w:val="30"/>
          <w:rtl/>
        </w:rPr>
        <w:t xml:space="preserve"> بشكل أساسي من المبالغ المستحقة للشركة الأم مجموعة أسياد (18.0 مليون ريال عماني) مقابل أرباح غير مدفوعة سيتم دفعها في السنة المالية 2024. الرصيد المتبقي يخص شركة عمان </w:t>
      </w:r>
      <w:r w:rsidRPr="00B934CE">
        <w:rPr>
          <w:rFonts w:ascii="Traditional Arabic" w:eastAsia="Calibri" w:hAnsi="Traditional Arabic" w:cs="Traditional Arabic" w:hint="eastAsia"/>
          <w:sz w:val="30"/>
          <w:szCs w:val="30"/>
          <w:rtl/>
        </w:rPr>
        <w:t>للأحواض</w:t>
      </w:r>
      <w:r w:rsidRPr="00B934CE">
        <w:rPr>
          <w:rFonts w:ascii="Traditional Arabic" w:eastAsia="Calibri" w:hAnsi="Traditional Arabic" w:cs="Traditional Arabic"/>
          <w:sz w:val="30"/>
          <w:szCs w:val="30"/>
          <w:rtl/>
        </w:rPr>
        <w:t xml:space="preserve"> الجاف</w:t>
      </w:r>
      <w:r w:rsidRPr="00B934CE">
        <w:rPr>
          <w:rFonts w:ascii="Traditional Arabic" w:eastAsia="Calibri" w:hAnsi="Traditional Arabic" w:cs="Traditional Arabic" w:hint="eastAsia"/>
          <w:sz w:val="30"/>
          <w:szCs w:val="30"/>
          <w:rtl/>
        </w:rPr>
        <w:t>ة</w:t>
      </w:r>
      <w:r w:rsidRPr="00B934CE">
        <w:rPr>
          <w:rFonts w:ascii="Traditional Arabic" w:eastAsia="Calibri" w:hAnsi="Traditional Arabic" w:cs="Traditional Arabic"/>
          <w:sz w:val="30"/>
          <w:szCs w:val="30"/>
          <w:rtl/>
        </w:rPr>
        <w:t xml:space="preserve"> (1.7 مليون ريال عماني) ووزارة المالية (0.3 مليون ريال عماني). </w:t>
      </w:r>
    </w:p>
    <w:p w14:paraId="2B2FE227" w14:textId="77777777" w:rsidR="00563389" w:rsidRDefault="00563389" w:rsidP="00563389">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hint="eastAsia"/>
          <w:sz w:val="30"/>
          <w:szCs w:val="30"/>
          <w:rtl/>
        </w:rPr>
        <w:t>انخ</w:t>
      </w:r>
      <w:r w:rsidRPr="00B934CE">
        <w:rPr>
          <w:rFonts w:ascii="Traditional Arabic" w:eastAsia="Calibri" w:hAnsi="Traditional Arabic" w:cs="Traditional Arabic"/>
          <w:sz w:val="30"/>
          <w:szCs w:val="30"/>
          <w:rtl/>
        </w:rPr>
        <w:t xml:space="preserve">فضت المبالغ المستحقة للأطراف ذات </w:t>
      </w:r>
      <w:r w:rsidRPr="00B934CE">
        <w:rPr>
          <w:rFonts w:ascii="Traditional Arabic" w:eastAsia="Calibri" w:hAnsi="Traditional Arabic" w:cs="Traditional Arabic" w:hint="eastAsia"/>
          <w:sz w:val="30"/>
          <w:szCs w:val="30"/>
          <w:rtl/>
        </w:rPr>
        <w:t>العلاقة</w:t>
      </w:r>
      <w:r w:rsidRPr="00B934CE">
        <w:rPr>
          <w:rFonts w:ascii="Traditional Arabic" w:eastAsia="Calibri" w:hAnsi="Traditional Arabic" w:cs="Traditional Arabic"/>
          <w:sz w:val="30"/>
          <w:szCs w:val="30"/>
          <w:rtl/>
        </w:rPr>
        <w:t xml:space="preserve"> من 19.9 مليون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31 ديسمبر 2023 إلى 261 ألف ريال عماني </w:t>
      </w:r>
      <w:r w:rsidRPr="00B934CE">
        <w:rPr>
          <w:rFonts w:ascii="Traditional Arabic" w:eastAsia="Calibri" w:hAnsi="Traditional Arabic" w:cs="Traditional Arabic" w:hint="eastAsia"/>
          <w:sz w:val="30"/>
          <w:szCs w:val="30"/>
          <w:rtl/>
        </w:rPr>
        <w:t>كما</w:t>
      </w:r>
      <w:r w:rsidRPr="00B934CE">
        <w:rPr>
          <w:rFonts w:ascii="Traditional Arabic" w:eastAsia="Calibri" w:hAnsi="Traditional Arabic" w:cs="Traditional Arabic"/>
          <w:sz w:val="30"/>
          <w:szCs w:val="30"/>
          <w:rtl/>
        </w:rPr>
        <w:t xml:space="preserve"> في 30 سبتمبر 2024، ويرجع ذلك </w:t>
      </w:r>
      <w:r w:rsidRPr="00B934CE">
        <w:rPr>
          <w:rFonts w:ascii="Traditional Arabic" w:eastAsia="Calibri" w:hAnsi="Traditional Arabic" w:cs="Traditional Arabic" w:hint="eastAsia"/>
          <w:sz w:val="30"/>
          <w:szCs w:val="30"/>
          <w:rtl/>
        </w:rPr>
        <w:t>بشكل</w:t>
      </w:r>
      <w:r w:rsidRPr="00B934CE">
        <w:rPr>
          <w:rFonts w:ascii="Traditional Arabic" w:eastAsia="Calibri" w:hAnsi="Traditional Arabic" w:cs="Traditional Arabic"/>
          <w:sz w:val="30"/>
          <w:szCs w:val="30"/>
          <w:rtl/>
        </w:rPr>
        <w:t xml:space="preserve"> أساسي إلى تسوية رصيد مجموعة أسياد ش.م.ع.م (-18 مليون ريال عماني)، وشركة عمان للحوض الجاف ش.م.ع.م (-1.7 مليون ريال عماني).</w:t>
      </w:r>
    </w:p>
    <w:p w14:paraId="6703C7CF" w14:textId="77777777" w:rsidR="00E715E9" w:rsidRPr="00B934CE" w:rsidRDefault="00E715E9" w:rsidP="00B934CE">
      <w:pPr>
        <w:bidi/>
        <w:spacing w:after="120"/>
        <w:jc w:val="both"/>
        <w:rPr>
          <w:rFonts w:ascii="Traditional Arabic" w:eastAsia="Calibri" w:hAnsi="Traditional Arabic" w:cs="Traditional Arabic"/>
          <w:sz w:val="30"/>
          <w:szCs w:val="30"/>
        </w:rPr>
      </w:pPr>
    </w:p>
    <w:p w14:paraId="171541A5" w14:textId="77777777" w:rsidR="00563389" w:rsidRPr="00B934CE" w:rsidRDefault="00563389" w:rsidP="00B934CE">
      <w:pPr>
        <w:pStyle w:val="4"/>
        <w:spacing w:before="0" w:after="120"/>
        <w:rPr>
          <w:rFonts w:ascii="Traditional Arabic" w:hAnsi="Traditional Arabic" w:cs="Traditional Arabic"/>
          <w:i/>
          <w:iCs/>
          <w:color w:val="auto"/>
          <w:sz w:val="30"/>
          <w:szCs w:val="30"/>
        </w:rPr>
      </w:pPr>
      <w:r w:rsidRPr="00B934CE">
        <w:rPr>
          <w:rFonts w:ascii="Traditional Arabic" w:hAnsi="Traditional Arabic" w:cs="Traditional Arabic"/>
          <w:i/>
          <w:iCs/>
          <w:color w:val="auto"/>
          <w:sz w:val="30"/>
          <w:szCs w:val="30"/>
          <w:rtl/>
        </w:rPr>
        <w:t xml:space="preserve">قائمة التدفقات </w:t>
      </w:r>
    </w:p>
    <w:p w14:paraId="25840A92" w14:textId="77777777" w:rsidR="00563389" w:rsidRPr="00B934CE" w:rsidRDefault="00563389" w:rsidP="00B934CE">
      <w:pPr>
        <w:bidi/>
        <w:jc w:val="both"/>
        <w:rPr>
          <w:rFonts w:ascii="Traditional Arabic" w:eastAsia="Calibri" w:hAnsi="Traditional Arabic" w:cs="Traditional Arabic"/>
          <w:i/>
          <w:iCs/>
          <w:sz w:val="30"/>
          <w:szCs w:val="30"/>
          <w:rtl/>
        </w:rPr>
      </w:pPr>
      <w:bookmarkStart w:id="38" w:name="_Hlk183617798"/>
      <w:r w:rsidRPr="00B934CE">
        <w:rPr>
          <w:rFonts w:ascii="Traditional Arabic" w:eastAsia="Calibri" w:hAnsi="Traditional Arabic" w:cs="Traditional Arabic"/>
          <w:i/>
          <w:iCs/>
          <w:sz w:val="30"/>
          <w:szCs w:val="30"/>
          <w:rtl/>
        </w:rPr>
        <w:t>الجدول‏ ‏: قائمة التدفقات النقدية للسنوات المالية المنتهية في 31 ديسمبر 2021، 2022، و2023، و</w:t>
      </w:r>
      <w:r w:rsidR="00BA69A8">
        <w:rPr>
          <w:rFonts w:ascii="Traditional Arabic" w:eastAsia="Calibri" w:hAnsi="Traditional Arabic" w:cs="Traditional Arabic" w:hint="cs"/>
          <w:i/>
          <w:iCs/>
          <w:sz w:val="30"/>
          <w:szCs w:val="30"/>
          <w:rtl/>
        </w:rPr>
        <w:t>حتى</w:t>
      </w:r>
      <w:r w:rsidRPr="00B934CE">
        <w:rPr>
          <w:rFonts w:ascii="Traditional Arabic" w:eastAsia="Calibri" w:hAnsi="Traditional Arabic" w:cs="Traditional Arabic"/>
          <w:i/>
          <w:iCs/>
          <w:sz w:val="30"/>
          <w:szCs w:val="30"/>
          <w:rtl/>
        </w:rPr>
        <w:t xml:space="preserve"> 30 سبتمبر 2024:</w:t>
      </w:r>
    </w:p>
    <w:tbl>
      <w:tblPr>
        <w:bidiVisual/>
        <w:tblW w:w="93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440"/>
        <w:gridCol w:w="1440"/>
        <w:gridCol w:w="1440"/>
        <w:gridCol w:w="1440"/>
      </w:tblGrid>
      <w:tr w:rsidR="00563389" w:rsidRPr="00563389" w14:paraId="7F80C181" w14:textId="77777777" w:rsidTr="00922116">
        <w:tc>
          <w:tcPr>
            <w:tcW w:w="3600" w:type="dxa"/>
            <w:tcBorders>
              <w:top w:val="nil"/>
              <w:bottom w:val="single" w:sz="4" w:space="0" w:color="0B3D85"/>
              <w:right w:val="nil"/>
            </w:tcBorders>
            <w:shd w:val="clear" w:color="auto" w:fill="0B3D85"/>
            <w:vAlign w:val="center"/>
          </w:tcPr>
          <w:bookmarkEnd w:id="38"/>
          <w:p w14:paraId="55963C49" w14:textId="77777777" w:rsidR="00563389" w:rsidRPr="00B934CE" w:rsidRDefault="00563389" w:rsidP="00B934CE">
            <w:pPr>
              <w:bidi/>
              <w:rPr>
                <w:rFonts w:ascii="Traditional Arabic" w:eastAsia="Calibri" w:hAnsi="Traditional Arabic" w:cs="Traditional Arabic"/>
                <w:b/>
                <w:bCs/>
                <w:sz w:val="24"/>
                <w:rtl/>
              </w:rPr>
            </w:pPr>
            <w:r w:rsidRPr="00B934CE">
              <w:rPr>
                <w:rFonts w:ascii="Traditional Arabic" w:hAnsi="Traditional Arabic" w:cs="Traditional Arabic"/>
                <w:b/>
                <w:bCs/>
                <w:sz w:val="24"/>
                <w:rtl/>
              </w:rPr>
              <w:t xml:space="preserve">بآلاف الريالات </w:t>
            </w:r>
            <w:r w:rsidRPr="00B934CE">
              <w:rPr>
                <w:rFonts w:ascii="Traditional Arabic" w:hAnsi="Traditional Arabic" w:cs="Traditional Arabic" w:hint="eastAsia"/>
                <w:b/>
                <w:bCs/>
                <w:sz w:val="24"/>
                <w:rtl/>
              </w:rPr>
              <w:t>العمانية</w:t>
            </w:r>
            <w:r w:rsidRPr="00B934CE">
              <w:rPr>
                <w:rFonts w:ascii="Traditional Arabic" w:hAnsi="Traditional Arabic" w:cs="Traditional Arabic"/>
                <w:b/>
                <w:bCs/>
                <w:sz w:val="24"/>
                <w:rtl/>
              </w:rPr>
              <w:t xml:space="preserve"> </w:t>
            </w:r>
          </w:p>
        </w:tc>
        <w:tc>
          <w:tcPr>
            <w:tcW w:w="1440" w:type="dxa"/>
            <w:tcBorders>
              <w:top w:val="nil"/>
              <w:left w:val="nil"/>
              <w:bottom w:val="single" w:sz="4" w:space="0" w:color="0B3D85"/>
              <w:right w:val="nil"/>
            </w:tcBorders>
            <w:shd w:val="clear" w:color="auto" w:fill="0B3D85"/>
            <w:vAlign w:val="center"/>
          </w:tcPr>
          <w:p w14:paraId="7F938DAA"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31 ديسمبر</w:t>
            </w:r>
          </w:p>
          <w:p w14:paraId="5AAEA818"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 xml:space="preserve"> 2021</w:t>
            </w:r>
          </w:p>
          <w:p w14:paraId="79738BF0"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lastRenderedPageBreak/>
              <w:t>(المراجعة)</w:t>
            </w:r>
          </w:p>
        </w:tc>
        <w:tc>
          <w:tcPr>
            <w:tcW w:w="1440" w:type="dxa"/>
            <w:tcBorders>
              <w:top w:val="nil"/>
              <w:left w:val="nil"/>
              <w:bottom w:val="single" w:sz="4" w:space="0" w:color="0B3D85"/>
              <w:right w:val="nil"/>
            </w:tcBorders>
            <w:shd w:val="clear" w:color="auto" w:fill="0B3D85"/>
            <w:vAlign w:val="center"/>
          </w:tcPr>
          <w:p w14:paraId="60CC739E"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lastRenderedPageBreak/>
              <w:t>31 ديسمبر</w:t>
            </w:r>
          </w:p>
          <w:p w14:paraId="1E7C50F0"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 xml:space="preserve"> 2022</w:t>
            </w:r>
          </w:p>
          <w:p w14:paraId="2239C72E"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lastRenderedPageBreak/>
              <w:t>(المراجعة)</w:t>
            </w:r>
          </w:p>
        </w:tc>
        <w:tc>
          <w:tcPr>
            <w:tcW w:w="1440" w:type="dxa"/>
            <w:tcBorders>
              <w:top w:val="nil"/>
              <w:left w:val="nil"/>
              <w:bottom w:val="single" w:sz="4" w:space="0" w:color="0B3D85"/>
              <w:right w:val="nil"/>
            </w:tcBorders>
            <w:shd w:val="clear" w:color="auto" w:fill="0B3D85"/>
            <w:vAlign w:val="center"/>
          </w:tcPr>
          <w:p w14:paraId="1D9AE7D6"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lastRenderedPageBreak/>
              <w:t xml:space="preserve">31 ديسمبر </w:t>
            </w:r>
          </w:p>
          <w:p w14:paraId="5ABCB217"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2023</w:t>
            </w:r>
          </w:p>
          <w:p w14:paraId="140902C9"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ourier New" w:hAnsi="Traditional Arabic" w:cs="Traditional Arabic"/>
                <w:b/>
                <w:bCs/>
                <w:sz w:val="24"/>
                <w:rtl/>
              </w:rPr>
              <w:lastRenderedPageBreak/>
              <w:t>(المراجعة)</w:t>
            </w:r>
          </w:p>
        </w:tc>
        <w:tc>
          <w:tcPr>
            <w:tcW w:w="1440" w:type="dxa"/>
            <w:tcBorders>
              <w:top w:val="nil"/>
              <w:left w:val="nil"/>
              <w:bottom w:val="single" w:sz="4" w:space="0" w:color="0B3D85"/>
              <w:right w:val="nil"/>
            </w:tcBorders>
            <w:shd w:val="clear" w:color="auto" w:fill="0B3D85"/>
            <w:vAlign w:val="center"/>
          </w:tcPr>
          <w:p w14:paraId="38BC981C"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lastRenderedPageBreak/>
              <w:t xml:space="preserve">30 سبتمبر </w:t>
            </w:r>
          </w:p>
          <w:p w14:paraId="362441C4" w14:textId="77777777" w:rsidR="00563389" w:rsidRPr="00B934CE" w:rsidRDefault="00563389" w:rsidP="00B934CE">
            <w:pPr>
              <w:bidi/>
              <w:jc w:val="center"/>
              <w:rPr>
                <w:rFonts w:ascii="Traditional Arabic" w:eastAsia="Courier New" w:hAnsi="Traditional Arabic" w:cs="Traditional Arabic"/>
                <w:b/>
                <w:bCs/>
                <w:sz w:val="24"/>
                <w:rtl/>
              </w:rPr>
            </w:pPr>
            <w:r w:rsidRPr="00B934CE">
              <w:rPr>
                <w:rFonts w:ascii="Traditional Arabic" w:eastAsia="Courier New" w:hAnsi="Traditional Arabic" w:cs="Traditional Arabic"/>
                <w:b/>
                <w:bCs/>
                <w:sz w:val="24"/>
                <w:rtl/>
              </w:rPr>
              <w:t xml:space="preserve"> 2024</w:t>
            </w:r>
          </w:p>
          <w:p w14:paraId="27FBBCA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hAnsi="Traditional Arabic" w:cs="Traditional Arabic"/>
                <w:b/>
                <w:bCs/>
                <w:sz w:val="24"/>
                <w:rtl/>
              </w:rPr>
              <w:lastRenderedPageBreak/>
              <w:t>(المفحوصة)</w:t>
            </w:r>
          </w:p>
        </w:tc>
      </w:tr>
      <w:tr w:rsidR="00563389" w:rsidRPr="00563389" w14:paraId="2532A6E6" w14:textId="77777777" w:rsidTr="00922116">
        <w:tc>
          <w:tcPr>
            <w:tcW w:w="3600" w:type="dxa"/>
            <w:tcBorders>
              <w:top w:val="single" w:sz="4" w:space="0" w:color="0B3D85"/>
              <w:bottom w:val="single" w:sz="4" w:space="0" w:color="0B3D85"/>
              <w:right w:val="nil"/>
            </w:tcBorders>
          </w:tcPr>
          <w:p w14:paraId="098C8194"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eastAsia="Calibri" w:hAnsi="Traditional Arabic" w:cs="Traditional Arabic" w:hint="eastAsia"/>
                <w:b/>
                <w:bCs/>
                <w:sz w:val="24"/>
                <w:rtl/>
              </w:rPr>
              <w:lastRenderedPageBreak/>
              <w:t>التدفقات</w:t>
            </w:r>
            <w:r w:rsidRPr="00B934CE">
              <w:rPr>
                <w:rFonts w:ascii="Traditional Arabic" w:eastAsia="Calibri" w:hAnsi="Traditional Arabic" w:cs="Traditional Arabic"/>
                <w:b/>
                <w:bCs/>
                <w:sz w:val="24"/>
                <w:rtl/>
              </w:rPr>
              <w:t xml:space="preserve"> </w:t>
            </w:r>
            <w:r w:rsidRPr="00B934CE">
              <w:rPr>
                <w:rFonts w:ascii="Traditional Arabic" w:eastAsia="Calibri" w:hAnsi="Traditional Arabic" w:cs="Traditional Arabic" w:hint="eastAsia"/>
                <w:b/>
                <w:bCs/>
                <w:sz w:val="24"/>
                <w:rtl/>
              </w:rPr>
              <w:t>النقدية</w:t>
            </w:r>
            <w:r w:rsidRPr="00B934CE">
              <w:rPr>
                <w:rFonts w:ascii="Traditional Arabic" w:eastAsia="Calibri" w:hAnsi="Traditional Arabic" w:cs="Traditional Arabic"/>
                <w:b/>
                <w:bCs/>
                <w:sz w:val="24"/>
                <w:rtl/>
              </w:rPr>
              <w:t xml:space="preserve"> </w:t>
            </w:r>
            <w:r w:rsidRPr="00B934CE">
              <w:rPr>
                <w:rFonts w:ascii="Traditional Arabic" w:eastAsia="Calibri" w:hAnsi="Traditional Arabic" w:cs="Traditional Arabic" w:hint="eastAsia"/>
                <w:b/>
                <w:bCs/>
                <w:sz w:val="24"/>
                <w:rtl/>
              </w:rPr>
              <w:t>من</w:t>
            </w:r>
            <w:r w:rsidRPr="00B934CE">
              <w:rPr>
                <w:rFonts w:ascii="Traditional Arabic" w:eastAsia="Calibri" w:hAnsi="Traditional Arabic" w:cs="Traditional Arabic"/>
                <w:b/>
                <w:bCs/>
                <w:sz w:val="24"/>
                <w:rtl/>
              </w:rPr>
              <w:t xml:space="preserve"> </w:t>
            </w:r>
            <w:r w:rsidRPr="00B934CE">
              <w:rPr>
                <w:rFonts w:ascii="Traditional Arabic" w:eastAsia="Calibri" w:hAnsi="Traditional Arabic" w:cs="Traditional Arabic" w:hint="eastAsia"/>
                <w:b/>
                <w:bCs/>
                <w:sz w:val="24"/>
                <w:rtl/>
              </w:rPr>
              <w:t>الأنشطة</w:t>
            </w:r>
            <w:r w:rsidRPr="00B934CE">
              <w:rPr>
                <w:rFonts w:ascii="Traditional Arabic" w:eastAsia="Calibri" w:hAnsi="Traditional Arabic" w:cs="Traditional Arabic"/>
                <w:b/>
                <w:bCs/>
                <w:sz w:val="24"/>
                <w:rtl/>
              </w:rPr>
              <w:t xml:space="preserve"> </w:t>
            </w:r>
            <w:r w:rsidRPr="00B934CE">
              <w:rPr>
                <w:rFonts w:ascii="Traditional Arabic" w:eastAsia="Calibri" w:hAnsi="Traditional Arabic" w:cs="Traditional Arabic" w:hint="eastAsia"/>
                <w:b/>
                <w:bCs/>
                <w:sz w:val="24"/>
                <w:rtl/>
              </w:rPr>
              <w:t>التشغيلية</w:t>
            </w:r>
          </w:p>
        </w:tc>
        <w:tc>
          <w:tcPr>
            <w:tcW w:w="1440" w:type="dxa"/>
            <w:tcBorders>
              <w:top w:val="single" w:sz="4" w:space="0" w:color="0B3D85"/>
              <w:left w:val="nil"/>
              <w:bottom w:val="single" w:sz="4" w:space="0" w:color="0B3D85"/>
              <w:right w:val="nil"/>
            </w:tcBorders>
            <w:vAlign w:val="center"/>
          </w:tcPr>
          <w:p w14:paraId="6E53CD39"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1FF50855"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tcPr>
          <w:p w14:paraId="164D6BD7"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332ECB1B" w14:textId="77777777" w:rsidR="00563389" w:rsidRPr="00B934CE" w:rsidRDefault="00563389" w:rsidP="00B934CE">
            <w:pPr>
              <w:bidi/>
              <w:jc w:val="center"/>
              <w:rPr>
                <w:rFonts w:ascii="Traditional Arabic" w:eastAsia="Calibri" w:hAnsi="Traditional Arabic" w:cs="Traditional Arabic"/>
                <w:sz w:val="24"/>
                <w:rtl/>
              </w:rPr>
            </w:pPr>
          </w:p>
        </w:tc>
      </w:tr>
      <w:tr w:rsidR="00563389" w:rsidRPr="00563389" w14:paraId="0EC56060" w14:textId="77777777" w:rsidTr="00922116">
        <w:tc>
          <w:tcPr>
            <w:tcW w:w="3600" w:type="dxa"/>
            <w:tcBorders>
              <w:top w:val="single" w:sz="4" w:space="0" w:color="0B3D85"/>
              <w:bottom w:val="single" w:sz="4" w:space="0" w:color="0B3D85"/>
              <w:right w:val="nil"/>
            </w:tcBorders>
          </w:tcPr>
          <w:p w14:paraId="23398219"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الربح</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قبل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الضريبة</w:t>
            </w:r>
          </w:p>
        </w:tc>
        <w:tc>
          <w:tcPr>
            <w:tcW w:w="1440" w:type="dxa"/>
            <w:tcBorders>
              <w:top w:val="single" w:sz="4" w:space="0" w:color="0B3D85"/>
              <w:left w:val="nil"/>
              <w:bottom w:val="single" w:sz="4" w:space="0" w:color="0B3D85"/>
              <w:right w:val="nil"/>
            </w:tcBorders>
            <w:vAlign w:val="center"/>
          </w:tcPr>
          <w:p w14:paraId="7040C9E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21,157</w:t>
            </w:r>
          </w:p>
        </w:tc>
        <w:tc>
          <w:tcPr>
            <w:tcW w:w="1440" w:type="dxa"/>
            <w:tcBorders>
              <w:top w:val="single" w:sz="4" w:space="0" w:color="0B3D85"/>
              <w:left w:val="nil"/>
              <w:bottom w:val="single" w:sz="4" w:space="0" w:color="0B3D85"/>
              <w:right w:val="nil"/>
            </w:tcBorders>
            <w:vAlign w:val="center"/>
          </w:tcPr>
          <w:p w14:paraId="008F88E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41,083</w:t>
            </w:r>
          </w:p>
        </w:tc>
        <w:tc>
          <w:tcPr>
            <w:tcW w:w="1440" w:type="dxa"/>
            <w:tcBorders>
              <w:top w:val="single" w:sz="4" w:space="0" w:color="0B3D85"/>
              <w:left w:val="nil"/>
              <w:bottom w:val="single" w:sz="4" w:space="0" w:color="0B3D85"/>
              <w:right w:val="nil"/>
            </w:tcBorders>
            <w:vAlign w:val="center"/>
          </w:tcPr>
          <w:p w14:paraId="1D84C17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37,310</w:t>
            </w:r>
          </w:p>
        </w:tc>
        <w:tc>
          <w:tcPr>
            <w:tcW w:w="1440" w:type="dxa"/>
            <w:tcBorders>
              <w:top w:val="single" w:sz="4" w:space="0" w:color="0B3D85"/>
              <w:left w:val="nil"/>
              <w:bottom w:val="single" w:sz="4" w:space="0" w:color="0B3D85"/>
              <w:right w:val="nil"/>
            </w:tcBorders>
            <w:vAlign w:val="center"/>
          </w:tcPr>
          <w:p w14:paraId="08FDE1A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45,108</w:t>
            </w:r>
          </w:p>
        </w:tc>
      </w:tr>
      <w:tr w:rsidR="00563389" w:rsidRPr="00563389" w14:paraId="1B5EF7F5" w14:textId="77777777" w:rsidTr="00922116">
        <w:tc>
          <w:tcPr>
            <w:tcW w:w="3600" w:type="dxa"/>
            <w:tcBorders>
              <w:top w:val="single" w:sz="4" w:space="0" w:color="0B3D85"/>
              <w:bottom w:val="single" w:sz="4" w:space="0" w:color="0B3D85"/>
              <w:right w:val="nil"/>
            </w:tcBorders>
            <w:vAlign w:val="center"/>
          </w:tcPr>
          <w:p w14:paraId="450F0945" w14:textId="77777777" w:rsidR="00563389" w:rsidRPr="00B934CE" w:rsidRDefault="00563389" w:rsidP="00B934CE">
            <w:pPr>
              <w:bidi/>
              <w:rPr>
                <w:rFonts w:ascii="Traditional Arabic" w:eastAsia="Calibri" w:hAnsi="Traditional Arabic" w:cs="Traditional Arabic"/>
                <w:b/>
                <w:bCs/>
                <w:sz w:val="24"/>
              </w:rPr>
            </w:pPr>
            <w:r w:rsidRPr="00B934CE">
              <w:rPr>
                <w:rFonts w:ascii="Traditional Arabic" w:eastAsia="Calibri" w:hAnsi="Traditional Arabic" w:cs="Traditional Arabic"/>
                <w:b/>
                <w:bCs/>
                <w:sz w:val="24"/>
                <w:rtl/>
              </w:rPr>
              <w:t xml:space="preserve">تسويات </w:t>
            </w:r>
            <w:r w:rsidRPr="00B934CE">
              <w:rPr>
                <w:rFonts w:ascii="Traditional Arabic" w:eastAsia="Calibri" w:hAnsi="Traditional Arabic" w:cs="Traditional Arabic" w:hint="eastAsia"/>
                <w:b/>
                <w:bCs/>
                <w:sz w:val="24"/>
                <w:rtl/>
              </w:rPr>
              <w:t>لـ</w:t>
            </w:r>
            <w:r w:rsidRPr="00B934CE">
              <w:rPr>
                <w:rFonts w:ascii="Traditional Arabic" w:eastAsia="Calibri" w:hAnsi="Traditional Arabic" w:cs="Traditional Arabic"/>
                <w:b/>
                <w:bCs/>
                <w:sz w:val="24"/>
                <w:rtl/>
              </w:rPr>
              <w:t>:</w:t>
            </w:r>
          </w:p>
        </w:tc>
        <w:tc>
          <w:tcPr>
            <w:tcW w:w="1440" w:type="dxa"/>
            <w:tcBorders>
              <w:top w:val="single" w:sz="4" w:space="0" w:color="0B3D85"/>
              <w:left w:val="nil"/>
              <w:bottom w:val="single" w:sz="4" w:space="0" w:color="0B3D85"/>
              <w:right w:val="nil"/>
            </w:tcBorders>
            <w:vAlign w:val="center"/>
          </w:tcPr>
          <w:p w14:paraId="6CE37BB6"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6E0DDCF7"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24E2E6A5"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2FB7059C" w14:textId="77777777" w:rsidR="00563389" w:rsidRPr="00B934CE" w:rsidRDefault="00563389" w:rsidP="00B934CE">
            <w:pPr>
              <w:bidi/>
              <w:jc w:val="center"/>
              <w:rPr>
                <w:rFonts w:ascii="Traditional Arabic" w:eastAsia="Calibri" w:hAnsi="Traditional Arabic" w:cs="Traditional Arabic"/>
                <w:b/>
                <w:bCs/>
                <w:sz w:val="24"/>
                <w:rtl/>
              </w:rPr>
            </w:pPr>
          </w:p>
        </w:tc>
      </w:tr>
      <w:tr w:rsidR="00563389" w:rsidRPr="00563389" w14:paraId="745CAFCC" w14:textId="77777777" w:rsidTr="00922116">
        <w:tc>
          <w:tcPr>
            <w:tcW w:w="3600" w:type="dxa"/>
            <w:tcBorders>
              <w:top w:val="single" w:sz="4" w:space="0" w:color="0B3D85"/>
              <w:bottom w:val="single" w:sz="4" w:space="0" w:color="0B3D85"/>
              <w:right w:val="nil"/>
            </w:tcBorders>
            <w:vAlign w:val="center"/>
          </w:tcPr>
          <w:p w14:paraId="255B3405"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عكس</w:t>
            </w:r>
            <w:r w:rsidRPr="00B934CE">
              <w:rPr>
                <w:rFonts w:ascii="Traditional Arabic" w:hAnsi="Traditional Arabic" w:cs="Traditional Arabic"/>
                <w:color w:val="000000"/>
                <w:sz w:val="24"/>
                <w:rtl/>
              </w:rPr>
              <w:t xml:space="preserve">/(خسائر) </w:t>
            </w:r>
            <w:r w:rsidRPr="00B934CE">
              <w:rPr>
                <w:rFonts w:ascii="Traditional Arabic" w:hAnsi="Traditional Arabic" w:cs="Traditional Arabic" w:hint="eastAsia"/>
                <w:color w:val="000000"/>
                <w:sz w:val="24"/>
                <w:rtl/>
              </w:rPr>
              <w:t>الانخفاض</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في</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قيمة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الأصول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المالية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وأصول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العقود</w:t>
            </w:r>
          </w:p>
        </w:tc>
        <w:tc>
          <w:tcPr>
            <w:tcW w:w="1440" w:type="dxa"/>
            <w:tcBorders>
              <w:top w:val="single" w:sz="4" w:space="0" w:color="0B3D85"/>
              <w:left w:val="nil"/>
              <w:bottom w:val="single" w:sz="4" w:space="0" w:color="0B3D85"/>
              <w:right w:val="nil"/>
            </w:tcBorders>
            <w:vAlign w:val="center"/>
          </w:tcPr>
          <w:p w14:paraId="36E7584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215</w:t>
            </w:r>
          </w:p>
        </w:tc>
        <w:tc>
          <w:tcPr>
            <w:tcW w:w="1440" w:type="dxa"/>
            <w:tcBorders>
              <w:top w:val="single" w:sz="4" w:space="0" w:color="0B3D85"/>
              <w:left w:val="nil"/>
              <w:bottom w:val="single" w:sz="4" w:space="0" w:color="0B3D85"/>
              <w:right w:val="nil"/>
            </w:tcBorders>
            <w:vAlign w:val="center"/>
          </w:tcPr>
          <w:p w14:paraId="6432083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248</w:t>
            </w:r>
          </w:p>
        </w:tc>
        <w:tc>
          <w:tcPr>
            <w:tcW w:w="1440" w:type="dxa"/>
            <w:tcBorders>
              <w:top w:val="single" w:sz="4" w:space="0" w:color="0B3D85"/>
              <w:left w:val="nil"/>
              <w:bottom w:val="single" w:sz="4" w:space="0" w:color="0B3D85"/>
              <w:right w:val="nil"/>
            </w:tcBorders>
            <w:vAlign w:val="center"/>
          </w:tcPr>
          <w:p w14:paraId="6E72D65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(105)</w:t>
            </w:r>
          </w:p>
        </w:tc>
        <w:tc>
          <w:tcPr>
            <w:tcW w:w="1440" w:type="dxa"/>
            <w:tcBorders>
              <w:top w:val="single" w:sz="4" w:space="0" w:color="0B3D85"/>
              <w:left w:val="nil"/>
              <w:bottom w:val="single" w:sz="4" w:space="0" w:color="0B3D85"/>
              <w:right w:val="nil"/>
            </w:tcBorders>
            <w:vAlign w:val="center"/>
          </w:tcPr>
          <w:p w14:paraId="46959AB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282</w:t>
            </w:r>
          </w:p>
        </w:tc>
      </w:tr>
      <w:tr w:rsidR="00563389" w:rsidRPr="00563389" w14:paraId="639A8ED5" w14:textId="77777777" w:rsidTr="00922116">
        <w:tc>
          <w:tcPr>
            <w:tcW w:w="3600" w:type="dxa"/>
            <w:tcBorders>
              <w:top w:val="single" w:sz="4" w:space="0" w:color="0B3D85"/>
              <w:bottom w:val="single" w:sz="4" w:space="0" w:color="0B3D85"/>
              <w:right w:val="nil"/>
            </w:tcBorders>
            <w:vAlign w:val="center"/>
          </w:tcPr>
          <w:p w14:paraId="22D11F18"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أرباح</w:t>
            </w:r>
            <w:r w:rsidRPr="00B934CE">
              <w:rPr>
                <w:rFonts w:ascii="Traditional Arabic" w:hAnsi="Traditional Arabic" w:cs="Traditional Arabic"/>
                <w:color w:val="000000"/>
                <w:sz w:val="24"/>
                <w:rtl/>
              </w:rPr>
              <w:t xml:space="preserve"> / (خسائر) </w:t>
            </w:r>
            <w:r w:rsidRPr="00B934CE">
              <w:rPr>
                <w:rFonts w:ascii="Traditional Arabic" w:hAnsi="Traditional Arabic" w:cs="Traditional Arabic" w:hint="eastAsia"/>
                <w:color w:val="000000"/>
                <w:sz w:val="24"/>
                <w:rtl/>
              </w:rPr>
              <w:t>من</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بيع</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ممتلكات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وسفن</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ومعدات</w:t>
            </w:r>
          </w:p>
        </w:tc>
        <w:tc>
          <w:tcPr>
            <w:tcW w:w="1440" w:type="dxa"/>
            <w:tcBorders>
              <w:top w:val="single" w:sz="4" w:space="0" w:color="0B3D85"/>
              <w:left w:val="nil"/>
              <w:bottom w:val="single" w:sz="4" w:space="0" w:color="0B3D85"/>
              <w:right w:val="nil"/>
            </w:tcBorders>
            <w:vAlign w:val="center"/>
          </w:tcPr>
          <w:p w14:paraId="4BA2AA7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3A7293C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280</w:t>
            </w:r>
          </w:p>
        </w:tc>
        <w:tc>
          <w:tcPr>
            <w:tcW w:w="1440" w:type="dxa"/>
            <w:tcBorders>
              <w:top w:val="single" w:sz="4" w:space="0" w:color="0B3D85"/>
              <w:left w:val="nil"/>
              <w:bottom w:val="single" w:sz="4" w:space="0" w:color="0B3D85"/>
              <w:right w:val="nil"/>
            </w:tcBorders>
            <w:vAlign w:val="center"/>
          </w:tcPr>
          <w:p w14:paraId="589B755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(18,041)</w:t>
            </w:r>
          </w:p>
        </w:tc>
        <w:tc>
          <w:tcPr>
            <w:tcW w:w="1440" w:type="dxa"/>
            <w:tcBorders>
              <w:top w:val="single" w:sz="4" w:space="0" w:color="0B3D85"/>
              <w:left w:val="nil"/>
              <w:bottom w:val="single" w:sz="4" w:space="0" w:color="0B3D85"/>
              <w:right w:val="nil"/>
            </w:tcBorders>
            <w:vAlign w:val="center"/>
          </w:tcPr>
          <w:p w14:paraId="5EF1216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w:t>
            </w:r>
          </w:p>
        </w:tc>
      </w:tr>
      <w:tr w:rsidR="00563389" w:rsidRPr="00563389" w14:paraId="30EF0A95" w14:textId="77777777" w:rsidTr="00922116">
        <w:tc>
          <w:tcPr>
            <w:tcW w:w="3600" w:type="dxa"/>
            <w:tcBorders>
              <w:top w:val="single" w:sz="4" w:space="0" w:color="0B3D85"/>
              <w:bottom w:val="single" w:sz="4" w:space="0" w:color="0B3D85"/>
              <w:right w:val="nil"/>
            </w:tcBorders>
            <w:vAlign w:val="center"/>
          </w:tcPr>
          <w:p w14:paraId="3B66603D"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خسائر</w:t>
            </w:r>
            <w:r w:rsidRPr="00B934CE">
              <w:rPr>
                <w:rFonts w:ascii="Traditional Arabic" w:hAnsi="Traditional Arabic" w:cs="Traditional Arabic"/>
                <w:color w:val="000000"/>
                <w:sz w:val="24"/>
                <w:rtl/>
              </w:rPr>
              <w:t xml:space="preserve"> انخفاض قيمة أصول حق الاستخدام </w:t>
            </w:r>
          </w:p>
        </w:tc>
        <w:tc>
          <w:tcPr>
            <w:tcW w:w="1440" w:type="dxa"/>
            <w:tcBorders>
              <w:top w:val="single" w:sz="4" w:space="0" w:color="0B3D85"/>
              <w:left w:val="nil"/>
              <w:bottom w:val="single" w:sz="4" w:space="0" w:color="0B3D85"/>
              <w:right w:val="nil"/>
            </w:tcBorders>
            <w:vAlign w:val="center"/>
          </w:tcPr>
          <w:p w14:paraId="6186DC5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0DC03A8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2291C14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22,326</w:t>
            </w:r>
          </w:p>
        </w:tc>
        <w:tc>
          <w:tcPr>
            <w:tcW w:w="1440" w:type="dxa"/>
            <w:tcBorders>
              <w:top w:val="single" w:sz="4" w:space="0" w:color="0B3D85"/>
              <w:left w:val="nil"/>
              <w:bottom w:val="single" w:sz="4" w:space="0" w:color="0B3D85"/>
              <w:right w:val="nil"/>
            </w:tcBorders>
            <w:vAlign w:val="center"/>
          </w:tcPr>
          <w:p w14:paraId="4CB0AD2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r>
      <w:tr w:rsidR="00563389" w:rsidRPr="00563389" w14:paraId="5344B2B3" w14:textId="77777777" w:rsidTr="00922116">
        <w:tc>
          <w:tcPr>
            <w:tcW w:w="3600" w:type="dxa"/>
            <w:tcBorders>
              <w:top w:val="single" w:sz="4" w:space="0" w:color="0B3D85"/>
              <w:bottom w:val="single" w:sz="4" w:space="0" w:color="0B3D85"/>
              <w:right w:val="nil"/>
            </w:tcBorders>
            <w:vAlign w:val="center"/>
          </w:tcPr>
          <w:p w14:paraId="5D75BB10" w14:textId="77777777" w:rsidR="00563389" w:rsidRPr="00B934CE" w:rsidRDefault="00563389" w:rsidP="00B934CE">
            <w:pPr>
              <w:bidi/>
              <w:rPr>
                <w:rFonts w:ascii="Traditional Arabic" w:hAnsi="Traditional Arabic" w:cs="Traditional Arabic"/>
                <w:color w:val="000000"/>
                <w:sz w:val="24"/>
              </w:rPr>
            </w:pPr>
            <w:r w:rsidRPr="00B934CE">
              <w:rPr>
                <w:rFonts w:ascii="Traditional Arabic" w:hAnsi="Traditional Arabic" w:cs="Traditional Arabic" w:hint="eastAsia"/>
                <w:color w:val="000000"/>
                <w:sz w:val="24"/>
                <w:rtl/>
              </w:rPr>
              <w:t>استهلاك</w:t>
            </w:r>
            <w:r w:rsidRPr="00B934CE">
              <w:rPr>
                <w:rFonts w:ascii="Traditional Arabic" w:hAnsi="Traditional Arabic" w:cs="Traditional Arabic"/>
                <w:color w:val="000000"/>
                <w:sz w:val="24"/>
                <w:rtl/>
              </w:rPr>
              <w:t xml:space="preserve"> </w:t>
            </w:r>
          </w:p>
        </w:tc>
        <w:tc>
          <w:tcPr>
            <w:tcW w:w="1440" w:type="dxa"/>
            <w:tcBorders>
              <w:top w:val="single" w:sz="4" w:space="0" w:color="0B3D85"/>
              <w:left w:val="nil"/>
              <w:bottom w:val="single" w:sz="4" w:space="0" w:color="0B3D85"/>
              <w:right w:val="nil"/>
            </w:tcBorders>
            <w:vAlign w:val="center"/>
          </w:tcPr>
          <w:p w14:paraId="089632D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66,900</w:t>
            </w:r>
          </w:p>
        </w:tc>
        <w:tc>
          <w:tcPr>
            <w:tcW w:w="1440" w:type="dxa"/>
            <w:tcBorders>
              <w:top w:val="single" w:sz="4" w:space="0" w:color="0B3D85"/>
              <w:left w:val="nil"/>
              <w:bottom w:val="single" w:sz="4" w:space="0" w:color="0B3D85"/>
              <w:right w:val="nil"/>
            </w:tcBorders>
            <w:vAlign w:val="center"/>
          </w:tcPr>
          <w:p w14:paraId="0529871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81,223</w:t>
            </w:r>
          </w:p>
        </w:tc>
        <w:tc>
          <w:tcPr>
            <w:tcW w:w="1440" w:type="dxa"/>
            <w:tcBorders>
              <w:top w:val="single" w:sz="4" w:space="0" w:color="0B3D85"/>
              <w:left w:val="nil"/>
              <w:bottom w:val="single" w:sz="4" w:space="0" w:color="0B3D85"/>
              <w:right w:val="nil"/>
            </w:tcBorders>
            <w:vAlign w:val="center"/>
          </w:tcPr>
          <w:p w14:paraId="2530A2E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121,897</w:t>
            </w:r>
          </w:p>
        </w:tc>
        <w:tc>
          <w:tcPr>
            <w:tcW w:w="1440" w:type="dxa"/>
            <w:tcBorders>
              <w:top w:val="single" w:sz="4" w:space="0" w:color="0B3D85"/>
              <w:left w:val="nil"/>
              <w:bottom w:val="single" w:sz="4" w:space="0" w:color="0B3D85"/>
              <w:right w:val="nil"/>
            </w:tcBorders>
            <w:vAlign w:val="center"/>
          </w:tcPr>
          <w:p w14:paraId="55E5283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96,095</w:t>
            </w:r>
          </w:p>
        </w:tc>
      </w:tr>
      <w:tr w:rsidR="00563389" w:rsidRPr="00563389" w14:paraId="17E86AAE" w14:textId="77777777" w:rsidTr="00922116">
        <w:tc>
          <w:tcPr>
            <w:tcW w:w="3600" w:type="dxa"/>
            <w:tcBorders>
              <w:top w:val="single" w:sz="4" w:space="0" w:color="0B3D85"/>
              <w:bottom w:val="single" w:sz="4" w:space="0" w:color="0B3D85"/>
              <w:right w:val="nil"/>
            </w:tcBorders>
            <w:vAlign w:val="center"/>
          </w:tcPr>
          <w:p w14:paraId="0D886C60"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الحصة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من</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نتائج</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ائتلافات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مشتركة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وشركات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زميلة</w:t>
            </w:r>
          </w:p>
        </w:tc>
        <w:tc>
          <w:tcPr>
            <w:tcW w:w="1440" w:type="dxa"/>
            <w:tcBorders>
              <w:top w:val="single" w:sz="4" w:space="0" w:color="0B3D85"/>
              <w:left w:val="nil"/>
              <w:bottom w:val="single" w:sz="4" w:space="0" w:color="0B3D85"/>
              <w:right w:val="nil"/>
            </w:tcBorders>
            <w:vAlign w:val="center"/>
          </w:tcPr>
          <w:p w14:paraId="45B24F3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(3,268)</w:t>
            </w:r>
          </w:p>
        </w:tc>
        <w:tc>
          <w:tcPr>
            <w:tcW w:w="1440" w:type="dxa"/>
            <w:tcBorders>
              <w:top w:val="single" w:sz="4" w:space="0" w:color="0B3D85"/>
              <w:left w:val="nil"/>
              <w:bottom w:val="single" w:sz="4" w:space="0" w:color="0B3D85"/>
              <w:right w:val="nil"/>
            </w:tcBorders>
            <w:vAlign w:val="center"/>
          </w:tcPr>
          <w:p w14:paraId="64955DC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6,777</w:t>
            </w:r>
          </w:p>
        </w:tc>
        <w:tc>
          <w:tcPr>
            <w:tcW w:w="1440" w:type="dxa"/>
            <w:tcBorders>
              <w:top w:val="single" w:sz="4" w:space="0" w:color="0B3D85"/>
              <w:left w:val="nil"/>
              <w:bottom w:val="single" w:sz="4" w:space="0" w:color="0B3D85"/>
              <w:right w:val="nil"/>
            </w:tcBorders>
            <w:vAlign w:val="center"/>
          </w:tcPr>
          <w:p w14:paraId="513C482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(998)</w:t>
            </w:r>
          </w:p>
        </w:tc>
        <w:tc>
          <w:tcPr>
            <w:tcW w:w="1440" w:type="dxa"/>
            <w:tcBorders>
              <w:top w:val="single" w:sz="4" w:space="0" w:color="0B3D85"/>
              <w:left w:val="nil"/>
              <w:bottom w:val="single" w:sz="4" w:space="0" w:color="0B3D85"/>
              <w:right w:val="nil"/>
            </w:tcBorders>
            <w:vAlign w:val="center"/>
          </w:tcPr>
          <w:p w14:paraId="10A7FED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(942)</w:t>
            </w:r>
          </w:p>
        </w:tc>
      </w:tr>
      <w:tr w:rsidR="00563389" w:rsidRPr="00563389" w14:paraId="03F5E57F" w14:textId="77777777" w:rsidTr="00922116">
        <w:tc>
          <w:tcPr>
            <w:tcW w:w="3600" w:type="dxa"/>
            <w:tcBorders>
              <w:top w:val="single" w:sz="4" w:space="0" w:color="0B3D85"/>
              <w:bottom w:val="single" w:sz="4" w:space="0" w:color="0B3D85"/>
              <w:right w:val="nil"/>
            </w:tcBorders>
            <w:vAlign w:val="center"/>
          </w:tcPr>
          <w:p w14:paraId="4A515041"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ممتلكات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وسفن</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ومعدات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مشطوبة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خلال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السنة</w:t>
            </w:r>
          </w:p>
        </w:tc>
        <w:tc>
          <w:tcPr>
            <w:tcW w:w="1440" w:type="dxa"/>
            <w:tcBorders>
              <w:top w:val="single" w:sz="4" w:space="0" w:color="0B3D85"/>
              <w:left w:val="nil"/>
              <w:bottom w:val="single" w:sz="4" w:space="0" w:color="0B3D85"/>
              <w:right w:val="nil"/>
            </w:tcBorders>
            <w:vAlign w:val="center"/>
          </w:tcPr>
          <w:p w14:paraId="2C80AC8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5F68560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3,560</w:t>
            </w:r>
          </w:p>
        </w:tc>
        <w:tc>
          <w:tcPr>
            <w:tcW w:w="1440" w:type="dxa"/>
            <w:tcBorders>
              <w:top w:val="single" w:sz="4" w:space="0" w:color="0B3D85"/>
              <w:left w:val="nil"/>
              <w:bottom w:val="single" w:sz="4" w:space="0" w:color="0B3D85"/>
              <w:right w:val="nil"/>
            </w:tcBorders>
            <w:vAlign w:val="center"/>
          </w:tcPr>
          <w:p w14:paraId="40B8CB8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0C646EA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r>
      <w:tr w:rsidR="00563389" w:rsidRPr="00563389" w14:paraId="7EE199B3" w14:textId="77777777" w:rsidTr="00922116">
        <w:tc>
          <w:tcPr>
            <w:tcW w:w="3600" w:type="dxa"/>
            <w:tcBorders>
              <w:top w:val="single" w:sz="4" w:space="0" w:color="0B3D85"/>
              <w:bottom w:val="single" w:sz="4" w:space="0" w:color="0B3D85"/>
              <w:right w:val="nil"/>
            </w:tcBorders>
            <w:vAlign w:val="center"/>
          </w:tcPr>
          <w:p w14:paraId="0B71F109"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مخصص</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مكافآت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نهاية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الخدمة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للموظفين</w:t>
            </w:r>
          </w:p>
        </w:tc>
        <w:tc>
          <w:tcPr>
            <w:tcW w:w="1440" w:type="dxa"/>
            <w:tcBorders>
              <w:top w:val="single" w:sz="4" w:space="0" w:color="0B3D85"/>
              <w:left w:val="nil"/>
              <w:bottom w:val="single" w:sz="4" w:space="0" w:color="0B3D85"/>
              <w:right w:val="nil"/>
            </w:tcBorders>
            <w:vAlign w:val="center"/>
          </w:tcPr>
          <w:p w14:paraId="2D38AD1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w:t>
            </w:r>
          </w:p>
        </w:tc>
        <w:tc>
          <w:tcPr>
            <w:tcW w:w="1440" w:type="dxa"/>
            <w:tcBorders>
              <w:top w:val="single" w:sz="4" w:space="0" w:color="0B3D85"/>
              <w:left w:val="nil"/>
              <w:bottom w:val="single" w:sz="4" w:space="0" w:color="0B3D85"/>
              <w:right w:val="nil"/>
            </w:tcBorders>
            <w:vAlign w:val="center"/>
          </w:tcPr>
          <w:p w14:paraId="7254A4B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208</w:t>
            </w:r>
          </w:p>
        </w:tc>
        <w:tc>
          <w:tcPr>
            <w:tcW w:w="1440" w:type="dxa"/>
            <w:tcBorders>
              <w:top w:val="single" w:sz="4" w:space="0" w:color="0B3D85"/>
              <w:left w:val="nil"/>
              <w:bottom w:val="single" w:sz="4" w:space="0" w:color="0B3D85"/>
              <w:right w:val="nil"/>
            </w:tcBorders>
            <w:vAlign w:val="center"/>
          </w:tcPr>
          <w:p w14:paraId="343EFEA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397</w:t>
            </w:r>
          </w:p>
        </w:tc>
        <w:tc>
          <w:tcPr>
            <w:tcW w:w="1440" w:type="dxa"/>
            <w:tcBorders>
              <w:top w:val="single" w:sz="4" w:space="0" w:color="0B3D85"/>
              <w:left w:val="nil"/>
              <w:bottom w:val="single" w:sz="4" w:space="0" w:color="0B3D85"/>
              <w:right w:val="nil"/>
            </w:tcBorders>
            <w:vAlign w:val="center"/>
          </w:tcPr>
          <w:p w14:paraId="6FBB48B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104</w:t>
            </w:r>
          </w:p>
        </w:tc>
      </w:tr>
      <w:tr w:rsidR="00563389" w:rsidRPr="00563389" w14:paraId="596F64DD" w14:textId="77777777" w:rsidTr="00922116">
        <w:tc>
          <w:tcPr>
            <w:tcW w:w="3600" w:type="dxa"/>
            <w:tcBorders>
              <w:top w:val="single" w:sz="4" w:space="0" w:color="0B3D85"/>
              <w:bottom w:val="single" w:sz="4" w:space="0" w:color="0B3D85"/>
              <w:right w:val="nil"/>
            </w:tcBorders>
            <w:vAlign w:val="center"/>
          </w:tcPr>
          <w:p w14:paraId="2FD266BB"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إيرادات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التمويل</w:t>
            </w:r>
          </w:p>
        </w:tc>
        <w:tc>
          <w:tcPr>
            <w:tcW w:w="1440" w:type="dxa"/>
            <w:tcBorders>
              <w:top w:val="single" w:sz="4" w:space="0" w:color="0B3D85"/>
              <w:left w:val="nil"/>
              <w:bottom w:val="single" w:sz="4" w:space="0" w:color="0B3D85"/>
              <w:right w:val="nil"/>
            </w:tcBorders>
            <w:vAlign w:val="center"/>
          </w:tcPr>
          <w:p w14:paraId="35BBF3C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(3,760)</w:t>
            </w:r>
          </w:p>
        </w:tc>
        <w:tc>
          <w:tcPr>
            <w:tcW w:w="1440" w:type="dxa"/>
            <w:tcBorders>
              <w:top w:val="single" w:sz="4" w:space="0" w:color="0B3D85"/>
              <w:left w:val="nil"/>
              <w:bottom w:val="single" w:sz="4" w:space="0" w:color="0B3D85"/>
              <w:right w:val="nil"/>
            </w:tcBorders>
            <w:vAlign w:val="center"/>
          </w:tcPr>
          <w:p w14:paraId="06838C4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(2,010)</w:t>
            </w:r>
          </w:p>
        </w:tc>
        <w:tc>
          <w:tcPr>
            <w:tcW w:w="1440" w:type="dxa"/>
            <w:tcBorders>
              <w:top w:val="single" w:sz="4" w:space="0" w:color="0B3D85"/>
              <w:left w:val="nil"/>
              <w:bottom w:val="single" w:sz="4" w:space="0" w:color="0B3D85"/>
              <w:right w:val="nil"/>
            </w:tcBorders>
            <w:vAlign w:val="center"/>
          </w:tcPr>
          <w:p w14:paraId="7FA8829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(13,105)</w:t>
            </w:r>
          </w:p>
        </w:tc>
        <w:tc>
          <w:tcPr>
            <w:tcW w:w="1440" w:type="dxa"/>
            <w:tcBorders>
              <w:top w:val="single" w:sz="4" w:space="0" w:color="0B3D85"/>
              <w:left w:val="nil"/>
              <w:bottom w:val="single" w:sz="4" w:space="0" w:color="0B3D85"/>
              <w:right w:val="nil"/>
            </w:tcBorders>
            <w:vAlign w:val="center"/>
          </w:tcPr>
          <w:p w14:paraId="7EA6A0A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(7,165)</w:t>
            </w:r>
          </w:p>
        </w:tc>
      </w:tr>
      <w:tr w:rsidR="00563389" w:rsidRPr="00563389" w14:paraId="096CD673" w14:textId="77777777" w:rsidTr="00922116">
        <w:tc>
          <w:tcPr>
            <w:tcW w:w="3600" w:type="dxa"/>
            <w:tcBorders>
              <w:top w:val="single" w:sz="4" w:space="0" w:color="0B3D85"/>
              <w:bottom w:val="single" w:sz="4" w:space="0" w:color="0B3D85"/>
              <w:right w:val="nil"/>
            </w:tcBorders>
            <w:vAlign w:val="center"/>
          </w:tcPr>
          <w:p w14:paraId="217D65E7"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تكاليف</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التمويل</w:t>
            </w:r>
          </w:p>
        </w:tc>
        <w:tc>
          <w:tcPr>
            <w:tcW w:w="1440" w:type="dxa"/>
            <w:tcBorders>
              <w:top w:val="single" w:sz="4" w:space="0" w:color="0B3D85"/>
              <w:left w:val="nil"/>
              <w:bottom w:val="single" w:sz="4" w:space="0" w:color="0B3D85"/>
              <w:right w:val="nil"/>
            </w:tcBorders>
            <w:vAlign w:val="center"/>
          </w:tcPr>
          <w:p w14:paraId="62BB0CC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25,400</w:t>
            </w:r>
          </w:p>
        </w:tc>
        <w:tc>
          <w:tcPr>
            <w:tcW w:w="1440" w:type="dxa"/>
            <w:tcBorders>
              <w:top w:val="single" w:sz="4" w:space="0" w:color="0B3D85"/>
              <w:left w:val="nil"/>
              <w:bottom w:val="single" w:sz="4" w:space="0" w:color="0B3D85"/>
              <w:right w:val="nil"/>
            </w:tcBorders>
            <w:vAlign w:val="center"/>
          </w:tcPr>
          <w:p w14:paraId="3CE73C6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25,800</w:t>
            </w:r>
          </w:p>
        </w:tc>
        <w:tc>
          <w:tcPr>
            <w:tcW w:w="1440" w:type="dxa"/>
            <w:tcBorders>
              <w:top w:val="single" w:sz="4" w:space="0" w:color="0B3D85"/>
              <w:left w:val="nil"/>
              <w:bottom w:val="single" w:sz="4" w:space="0" w:color="0B3D85"/>
              <w:right w:val="nil"/>
            </w:tcBorders>
            <w:vAlign w:val="center"/>
          </w:tcPr>
          <w:p w14:paraId="0E047DF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42,354</w:t>
            </w:r>
          </w:p>
        </w:tc>
        <w:tc>
          <w:tcPr>
            <w:tcW w:w="1440" w:type="dxa"/>
            <w:tcBorders>
              <w:top w:val="single" w:sz="4" w:space="0" w:color="0B3D85"/>
              <w:left w:val="nil"/>
              <w:bottom w:val="single" w:sz="4" w:space="0" w:color="0B3D85"/>
              <w:right w:val="nil"/>
            </w:tcBorders>
            <w:vAlign w:val="center"/>
          </w:tcPr>
          <w:p w14:paraId="5D61BBC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29,901</w:t>
            </w:r>
          </w:p>
        </w:tc>
      </w:tr>
      <w:tr w:rsidR="00563389" w:rsidRPr="00563389" w14:paraId="4676791E" w14:textId="77777777" w:rsidTr="00922116">
        <w:tc>
          <w:tcPr>
            <w:tcW w:w="3600" w:type="dxa"/>
            <w:tcBorders>
              <w:top w:val="single" w:sz="4" w:space="0" w:color="0B3D85"/>
              <w:bottom w:val="single" w:sz="4" w:space="0" w:color="0B3D85"/>
              <w:right w:val="nil"/>
            </w:tcBorders>
            <w:vAlign w:val="center"/>
          </w:tcPr>
          <w:p w14:paraId="2F6BAC81"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إيرادات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توزيعات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الأرباح</w:t>
            </w:r>
          </w:p>
        </w:tc>
        <w:tc>
          <w:tcPr>
            <w:tcW w:w="1440" w:type="dxa"/>
            <w:tcBorders>
              <w:top w:val="single" w:sz="4" w:space="0" w:color="0B3D85"/>
              <w:left w:val="nil"/>
              <w:bottom w:val="single" w:sz="4" w:space="0" w:color="0B3D85"/>
              <w:right w:val="nil"/>
            </w:tcBorders>
            <w:vAlign w:val="center"/>
          </w:tcPr>
          <w:p w14:paraId="50C5A994"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w:t>
            </w:r>
          </w:p>
        </w:tc>
        <w:tc>
          <w:tcPr>
            <w:tcW w:w="1440" w:type="dxa"/>
            <w:tcBorders>
              <w:top w:val="single" w:sz="4" w:space="0" w:color="0B3D85"/>
              <w:left w:val="nil"/>
              <w:bottom w:val="single" w:sz="4" w:space="0" w:color="0B3D85"/>
              <w:right w:val="nil"/>
            </w:tcBorders>
            <w:vAlign w:val="center"/>
          </w:tcPr>
          <w:p w14:paraId="4A076F0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(960)</w:t>
            </w:r>
          </w:p>
        </w:tc>
        <w:tc>
          <w:tcPr>
            <w:tcW w:w="1440" w:type="dxa"/>
            <w:tcBorders>
              <w:top w:val="single" w:sz="4" w:space="0" w:color="0B3D85"/>
              <w:left w:val="nil"/>
              <w:bottom w:val="single" w:sz="4" w:space="0" w:color="0B3D85"/>
              <w:right w:val="nil"/>
            </w:tcBorders>
            <w:vAlign w:val="center"/>
          </w:tcPr>
          <w:p w14:paraId="1A3A43D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(148)</w:t>
            </w:r>
          </w:p>
        </w:tc>
        <w:tc>
          <w:tcPr>
            <w:tcW w:w="1440" w:type="dxa"/>
            <w:tcBorders>
              <w:top w:val="single" w:sz="4" w:space="0" w:color="0B3D85"/>
              <w:left w:val="nil"/>
              <w:bottom w:val="single" w:sz="4" w:space="0" w:color="0B3D85"/>
              <w:right w:val="nil"/>
            </w:tcBorders>
            <w:vAlign w:val="center"/>
          </w:tcPr>
          <w:p w14:paraId="48497E13"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(131)</w:t>
            </w:r>
          </w:p>
        </w:tc>
      </w:tr>
      <w:tr w:rsidR="00563389" w:rsidRPr="00563389" w14:paraId="599CF392" w14:textId="77777777" w:rsidTr="00922116">
        <w:tc>
          <w:tcPr>
            <w:tcW w:w="3600" w:type="dxa"/>
            <w:tcBorders>
              <w:top w:val="single" w:sz="4" w:space="0" w:color="0B3D85"/>
              <w:bottom w:val="single" w:sz="4" w:space="0" w:color="0B3D85"/>
              <w:right w:val="nil"/>
            </w:tcBorders>
          </w:tcPr>
          <w:p w14:paraId="4A11420C"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hAnsi="Traditional Arabic" w:cs="Traditional Arabic" w:hint="eastAsia"/>
                <w:b/>
                <w:bCs/>
                <w:color w:val="000000"/>
                <w:sz w:val="24"/>
                <w:rtl/>
              </w:rPr>
              <w:t>الإجمالي</w:t>
            </w:r>
            <w:r w:rsidRPr="00B934CE">
              <w:rPr>
                <w:rFonts w:ascii="Traditional Arabic" w:hAnsi="Traditional Arabic" w:cs="Traditional Arabic"/>
                <w:b/>
                <w:bCs/>
                <w:color w:val="000000"/>
                <w:sz w:val="24"/>
                <w:rtl/>
              </w:rPr>
              <w:t xml:space="preserve"> </w:t>
            </w:r>
          </w:p>
        </w:tc>
        <w:tc>
          <w:tcPr>
            <w:tcW w:w="1440" w:type="dxa"/>
            <w:tcBorders>
              <w:top w:val="single" w:sz="4" w:space="0" w:color="0B3D85"/>
              <w:left w:val="nil"/>
              <w:bottom w:val="single" w:sz="4" w:space="0" w:color="0B3D85"/>
              <w:right w:val="nil"/>
            </w:tcBorders>
            <w:vAlign w:val="center"/>
          </w:tcPr>
          <w:p w14:paraId="131FB183"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106,648</w:t>
            </w:r>
          </w:p>
        </w:tc>
        <w:tc>
          <w:tcPr>
            <w:tcW w:w="1440" w:type="dxa"/>
            <w:tcBorders>
              <w:top w:val="single" w:sz="4" w:space="0" w:color="0B3D85"/>
              <w:left w:val="nil"/>
              <w:bottom w:val="single" w:sz="4" w:space="0" w:color="0B3D85"/>
              <w:right w:val="nil"/>
            </w:tcBorders>
            <w:vAlign w:val="center"/>
          </w:tcPr>
          <w:p w14:paraId="41E99853"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156,209</w:t>
            </w:r>
          </w:p>
        </w:tc>
        <w:tc>
          <w:tcPr>
            <w:tcW w:w="1440" w:type="dxa"/>
            <w:tcBorders>
              <w:top w:val="single" w:sz="4" w:space="0" w:color="0B3D85"/>
              <w:left w:val="nil"/>
              <w:bottom w:val="single" w:sz="4" w:space="0" w:color="0B3D85"/>
              <w:right w:val="nil"/>
            </w:tcBorders>
            <w:vAlign w:val="center"/>
          </w:tcPr>
          <w:p w14:paraId="398588A9"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eastAsia="Calibri" w:hAnsi="Traditional Arabic" w:cs="Traditional Arabic"/>
                <w:b/>
                <w:bCs/>
                <w:sz w:val="24"/>
                <w:rtl/>
              </w:rPr>
              <w:t>191,886</w:t>
            </w:r>
          </w:p>
        </w:tc>
        <w:tc>
          <w:tcPr>
            <w:tcW w:w="1440" w:type="dxa"/>
            <w:tcBorders>
              <w:top w:val="single" w:sz="4" w:space="0" w:color="0B3D85"/>
              <w:left w:val="nil"/>
              <w:bottom w:val="single" w:sz="4" w:space="0" w:color="0B3D85"/>
              <w:right w:val="nil"/>
            </w:tcBorders>
            <w:vAlign w:val="center"/>
          </w:tcPr>
          <w:p w14:paraId="52D8936F"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163,249</w:t>
            </w:r>
          </w:p>
        </w:tc>
      </w:tr>
      <w:tr w:rsidR="00563389" w:rsidRPr="00563389" w14:paraId="2C49B940" w14:textId="77777777" w:rsidTr="00922116">
        <w:tc>
          <w:tcPr>
            <w:tcW w:w="3600" w:type="dxa"/>
            <w:tcBorders>
              <w:top w:val="single" w:sz="4" w:space="0" w:color="0B3D85"/>
              <w:bottom w:val="single" w:sz="4" w:space="0" w:color="0B3D85"/>
              <w:right w:val="nil"/>
            </w:tcBorders>
          </w:tcPr>
          <w:p w14:paraId="7539179B"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hAnsi="Traditional Arabic" w:cs="Traditional Arabic" w:hint="eastAsia"/>
                <w:b/>
                <w:bCs/>
                <w:color w:val="000000"/>
                <w:sz w:val="24"/>
                <w:rtl/>
              </w:rPr>
              <w:t>تغيرات</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في</w:t>
            </w:r>
            <w:r w:rsidRPr="00B934CE">
              <w:rPr>
                <w:rFonts w:ascii="Traditional Arabic" w:hAnsi="Traditional Arabic" w:cs="Traditional Arabic"/>
                <w:b/>
                <w:bCs/>
                <w:color w:val="000000"/>
                <w:sz w:val="24"/>
                <w:rtl/>
              </w:rPr>
              <w:t>:</w:t>
            </w:r>
          </w:p>
        </w:tc>
        <w:tc>
          <w:tcPr>
            <w:tcW w:w="1440" w:type="dxa"/>
            <w:tcBorders>
              <w:top w:val="single" w:sz="4" w:space="0" w:color="0B3D85"/>
              <w:left w:val="nil"/>
              <w:bottom w:val="single" w:sz="4" w:space="0" w:color="0B3D85"/>
              <w:right w:val="nil"/>
            </w:tcBorders>
            <w:vAlign w:val="center"/>
          </w:tcPr>
          <w:p w14:paraId="2A4B80E8" w14:textId="77777777" w:rsidR="00563389" w:rsidRPr="00B934CE" w:rsidRDefault="00563389" w:rsidP="00B934CE">
            <w:pPr>
              <w:bidi/>
              <w:jc w:val="center"/>
              <w:rPr>
                <w:rFonts w:ascii="Traditional Arabic" w:hAnsi="Traditional Arabic" w:cs="Traditional Arabic"/>
                <w:b/>
                <w:bCs/>
                <w:color w:val="000000"/>
                <w:sz w:val="24"/>
                <w:rtl/>
              </w:rPr>
            </w:pPr>
          </w:p>
        </w:tc>
        <w:tc>
          <w:tcPr>
            <w:tcW w:w="1440" w:type="dxa"/>
            <w:tcBorders>
              <w:top w:val="single" w:sz="4" w:space="0" w:color="0B3D85"/>
              <w:left w:val="nil"/>
              <w:bottom w:val="single" w:sz="4" w:space="0" w:color="0B3D85"/>
              <w:right w:val="nil"/>
            </w:tcBorders>
            <w:vAlign w:val="center"/>
          </w:tcPr>
          <w:p w14:paraId="2D9D17D4"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7EA7E7CB" w14:textId="77777777" w:rsidR="00563389" w:rsidRPr="00B934CE" w:rsidRDefault="00563389" w:rsidP="00B934CE">
            <w:pPr>
              <w:bidi/>
              <w:jc w:val="center"/>
              <w:rPr>
                <w:rFonts w:ascii="Traditional Arabic" w:hAnsi="Traditional Arabic" w:cs="Traditional Arabic"/>
                <w:b/>
                <w:bCs/>
                <w:color w:val="000000"/>
                <w:sz w:val="24"/>
                <w:rtl/>
              </w:rPr>
            </w:pPr>
          </w:p>
        </w:tc>
        <w:tc>
          <w:tcPr>
            <w:tcW w:w="1440" w:type="dxa"/>
            <w:tcBorders>
              <w:top w:val="single" w:sz="4" w:space="0" w:color="0B3D85"/>
              <w:left w:val="nil"/>
              <w:bottom w:val="single" w:sz="4" w:space="0" w:color="0B3D85"/>
              <w:right w:val="nil"/>
            </w:tcBorders>
            <w:vAlign w:val="center"/>
          </w:tcPr>
          <w:p w14:paraId="0A745767" w14:textId="77777777" w:rsidR="00563389" w:rsidRPr="00B934CE" w:rsidRDefault="00563389" w:rsidP="00B934CE">
            <w:pPr>
              <w:bidi/>
              <w:jc w:val="center"/>
              <w:rPr>
                <w:rFonts w:ascii="Traditional Arabic" w:hAnsi="Traditional Arabic" w:cs="Traditional Arabic"/>
                <w:b/>
                <w:bCs/>
                <w:color w:val="000000"/>
                <w:sz w:val="24"/>
                <w:rtl/>
              </w:rPr>
            </w:pPr>
          </w:p>
        </w:tc>
      </w:tr>
      <w:tr w:rsidR="00563389" w:rsidRPr="00563389" w14:paraId="1ACFEDD1" w14:textId="77777777" w:rsidTr="00922116">
        <w:tc>
          <w:tcPr>
            <w:tcW w:w="3600" w:type="dxa"/>
            <w:tcBorders>
              <w:top w:val="single" w:sz="4" w:space="0" w:color="0B3D85"/>
              <w:bottom w:val="single" w:sz="4" w:space="0" w:color="0B3D85"/>
              <w:right w:val="nil"/>
            </w:tcBorders>
            <w:vAlign w:val="center"/>
          </w:tcPr>
          <w:p w14:paraId="235493E2"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مخزون</w:t>
            </w:r>
            <w:r w:rsidRPr="00B934CE">
              <w:rPr>
                <w:rFonts w:ascii="Traditional Arabic" w:hAnsi="Traditional Arabic" w:cs="Traditional Arabic"/>
                <w:color w:val="000000"/>
                <w:sz w:val="24"/>
                <w:rtl/>
              </w:rPr>
              <w:t xml:space="preserve"> </w:t>
            </w:r>
          </w:p>
        </w:tc>
        <w:tc>
          <w:tcPr>
            <w:tcW w:w="1440" w:type="dxa"/>
            <w:tcBorders>
              <w:top w:val="single" w:sz="4" w:space="0" w:color="0B3D85"/>
              <w:left w:val="nil"/>
              <w:bottom w:val="single" w:sz="4" w:space="0" w:color="0B3D85"/>
              <w:right w:val="nil"/>
            </w:tcBorders>
            <w:vAlign w:val="center"/>
          </w:tcPr>
          <w:p w14:paraId="7EBA1173"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(4,993)</w:t>
            </w:r>
          </w:p>
        </w:tc>
        <w:tc>
          <w:tcPr>
            <w:tcW w:w="1440" w:type="dxa"/>
            <w:tcBorders>
              <w:top w:val="single" w:sz="4" w:space="0" w:color="0B3D85"/>
              <w:left w:val="nil"/>
              <w:bottom w:val="single" w:sz="4" w:space="0" w:color="0B3D85"/>
              <w:right w:val="nil"/>
            </w:tcBorders>
            <w:vAlign w:val="center"/>
          </w:tcPr>
          <w:p w14:paraId="433C6C8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2,500</w:t>
            </w:r>
          </w:p>
        </w:tc>
        <w:tc>
          <w:tcPr>
            <w:tcW w:w="1440" w:type="dxa"/>
            <w:tcBorders>
              <w:top w:val="single" w:sz="4" w:space="0" w:color="0B3D85"/>
              <w:left w:val="nil"/>
              <w:bottom w:val="single" w:sz="4" w:space="0" w:color="0B3D85"/>
              <w:right w:val="nil"/>
            </w:tcBorders>
            <w:vAlign w:val="center"/>
          </w:tcPr>
          <w:p w14:paraId="001B50E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2,891</w:t>
            </w:r>
          </w:p>
        </w:tc>
        <w:tc>
          <w:tcPr>
            <w:tcW w:w="1440" w:type="dxa"/>
            <w:tcBorders>
              <w:top w:val="single" w:sz="4" w:space="0" w:color="0B3D85"/>
              <w:left w:val="nil"/>
              <w:bottom w:val="single" w:sz="4" w:space="0" w:color="0B3D85"/>
              <w:right w:val="nil"/>
            </w:tcBorders>
            <w:vAlign w:val="center"/>
          </w:tcPr>
          <w:p w14:paraId="32FC798D"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1,280</w:t>
            </w:r>
          </w:p>
        </w:tc>
      </w:tr>
      <w:tr w:rsidR="00563389" w:rsidRPr="00563389" w14:paraId="15C22337" w14:textId="77777777" w:rsidTr="00922116">
        <w:tc>
          <w:tcPr>
            <w:tcW w:w="3600" w:type="dxa"/>
            <w:tcBorders>
              <w:top w:val="single" w:sz="4" w:space="0" w:color="0B3D85"/>
              <w:bottom w:val="single" w:sz="4" w:space="0" w:color="0B3D85"/>
              <w:right w:val="nil"/>
            </w:tcBorders>
            <w:vAlign w:val="center"/>
          </w:tcPr>
          <w:p w14:paraId="35E339C0" w14:textId="77777777" w:rsidR="00563389" w:rsidRPr="00B934CE" w:rsidRDefault="00563389" w:rsidP="00B934CE">
            <w:pPr>
              <w:bidi/>
              <w:rPr>
                <w:rFonts w:ascii="Traditional Arabic" w:hAnsi="Traditional Arabic" w:cs="Traditional Arabic"/>
                <w:color w:val="000000"/>
                <w:sz w:val="24"/>
              </w:rPr>
            </w:pPr>
            <w:r w:rsidRPr="00B934CE">
              <w:rPr>
                <w:rFonts w:ascii="Traditional Arabic" w:hAnsi="Traditional Arabic" w:cs="Traditional Arabic" w:hint="eastAsia"/>
                <w:color w:val="000000"/>
                <w:sz w:val="24"/>
                <w:rtl/>
              </w:rPr>
              <w:t>ذمم</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مدينة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تجارية</w:t>
            </w:r>
          </w:p>
        </w:tc>
        <w:tc>
          <w:tcPr>
            <w:tcW w:w="1440" w:type="dxa"/>
            <w:tcBorders>
              <w:top w:val="single" w:sz="4" w:space="0" w:color="0B3D85"/>
              <w:left w:val="nil"/>
              <w:bottom w:val="single" w:sz="4" w:space="0" w:color="0B3D85"/>
              <w:right w:val="nil"/>
            </w:tcBorders>
            <w:vAlign w:val="center"/>
          </w:tcPr>
          <w:p w14:paraId="692B57E2"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(4,193)</w:t>
            </w:r>
          </w:p>
        </w:tc>
        <w:tc>
          <w:tcPr>
            <w:tcW w:w="1440" w:type="dxa"/>
            <w:tcBorders>
              <w:top w:val="single" w:sz="4" w:space="0" w:color="0B3D85"/>
              <w:left w:val="nil"/>
              <w:bottom w:val="single" w:sz="4" w:space="0" w:color="0B3D85"/>
              <w:right w:val="nil"/>
            </w:tcBorders>
            <w:vAlign w:val="center"/>
          </w:tcPr>
          <w:p w14:paraId="3ED770D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(6,020)</w:t>
            </w:r>
          </w:p>
        </w:tc>
        <w:tc>
          <w:tcPr>
            <w:tcW w:w="1440" w:type="dxa"/>
            <w:tcBorders>
              <w:top w:val="single" w:sz="4" w:space="0" w:color="0B3D85"/>
              <w:left w:val="nil"/>
              <w:bottom w:val="single" w:sz="4" w:space="0" w:color="0B3D85"/>
              <w:right w:val="nil"/>
            </w:tcBorders>
            <w:vAlign w:val="center"/>
          </w:tcPr>
          <w:p w14:paraId="6A10A59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5,873</w:t>
            </w:r>
          </w:p>
        </w:tc>
        <w:tc>
          <w:tcPr>
            <w:tcW w:w="1440" w:type="dxa"/>
            <w:tcBorders>
              <w:top w:val="single" w:sz="4" w:space="0" w:color="0B3D85"/>
              <w:left w:val="nil"/>
              <w:bottom w:val="single" w:sz="4" w:space="0" w:color="0B3D85"/>
              <w:right w:val="nil"/>
            </w:tcBorders>
            <w:vAlign w:val="center"/>
          </w:tcPr>
          <w:p w14:paraId="1BAEA379"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(8,554)</w:t>
            </w:r>
          </w:p>
        </w:tc>
      </w:tr>
      <w:tr w:rsidR="00563389" w:rsidRPr="00563389" w14:paraId="082F9E0C" w14:textId="77777777" w:rsidTr="00922116">
        <w:tc>
          <w:tcPr>
            <w:tcW w:w="3600" w:type="dxa"/>
            <w:tcBorders>
              <w:top w:val="single" w:sz="4" w:space="0" w:color="0B3D85"/>
              <w:bottom w:val="single" w:sz="4" w:space="0" w:color="0B3D85"/>
              <w:right w:val="nil"/>
            </w:tcBorders>
          </w:tcPr>
          <w:p w14:paraId="53CDA8AE"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أصول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العقود</w:t>
            </w:r>
          </w:p>
        </w:tc>
        <w:tc>
          <w:tcPr>
            <w:tcW w:w="1440" w:type="dxa"/>
            <w:tcBorders>
              <w:top w:val="single" w:sz="4" w:space="0" w:color="0B3D85"/>
              <w:left w:val="nil"/>
              <w:bottom w:val="single" w:sz="4" w:space="0" w:color="0B3D85"/>
              <w:right w:val="nil"/>
            </w:tcBorders>
            <w:vAlign w:val="center"/>
          </w:tcPr>
          <w:p w14:paraId="13CD01CA"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(2,625)</w:t>
            </w:r>
          </w:p>
        </w:tc>
        <w:tc>
          <w:tcPr>
            <w:tcW w:w="1440" w:type="dxa"/>
            <w:tcBorders>
              <w:top w:val="single" w:sz="4" w:space="0" w:color="0B3D85"/>
              <w:left w:val="nil"/>
              <w:bottom w:val="single" w:sz="4" w:space="0" w:color="0B3D85"/>
              <w:right w:val="nil"/>
            </w:tcBorders>
            <w:vAlign w:val="center"/>
          </w:tcPr>
          <w:p w14:paraId="3ACA6F6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(4,058)</w:t>
            </w:r>
          </w:p>
        </w:tc>
        <w:tc>
          <w:tcPr>
            <w:tcW w:w="1440" w:type="dxa"/>
            <w:tcBorders>
              <w:top w:val="single" w:sz="4" w:space="0" w:color="0B3D85"/>
              <w:left w:val="nil"/>
              <w:bottom w:val="single" w:sz="4" w:space="0" w:color="0B3D85"/>
              <w:right w:val="nil"/>
            </w:tcBorders>
            <w:vAlign w:val="center"/>
          </w:tcPr>
          <w:p w14:paraId="0320DE7F" w14:textId="77777777" w:rsidR="00563389" w:rsidRPr="00B934CE" w:rsidRDefault="00563389" w:rsidP="00B934CE">
            <w:pPr>
              <w:bidi/>
              <w:jc w:val="center"/>
              <w:rPr>
                <w:rFonts w:ascii="Traditional Arabic" w:eastAsia="Calibri" w:hAnsi="Traditional Arabic" w:cs="Traditional Arabic"/>
                <w:sz w:val="24"/>
              </w:rPr>
            </w:pPr>
            <w:r w:rsidRPr="00B934CE">
              <w:rPr>
                <w:rFonts w:ascii="Traditional Arabic" w:eastAsia="Calibri" w:hAnsi="Traditional Arabic" w:cs="Traditional Arabic"/>
                <w:sz w:val="24"/>
                <w:rtl/>
              </w:rPr>
              <w:t>6,033</w:t>
            </w:r>
          </w:p>
        </w:tc>
        <w:tc>
          <w:tcPr>
            <w:tcW w:w="1440" w:type="dxa"/>
            <w:tcBorders>
              <w:top w:val="single" w:sz="4" w:space="0" w:color="0B3D85"/>
              <w:left w:val="nil"/>
              <w:bottom w:val="single" w:sz="4" w:space="0" w:color="0B3D85"/>
              <w:right w:val="nil"/>
            </w:tcBorders>
            <w:vAlign w:val="center"/>
          </w:tcPr>
          <w:p w14:paraId="1F046F54" w14:textId="77777777" w:rsidR="00563389" w:rsidRPr="00B934CE" w:rsidRDefault="00563389" w:rsidP="00B934CE">
            <w:pPr>
              <w:bidi/>
              <w:jc w:val="center"/>
              <w:rPr>
                <w:rFonts w:ascii="Traditional Arabic" w:hAnsi="Traditional Arabic" w:cs="Traditional Arabic"/>
                <w:color w:val="000000"/>
                <w:sz w:val="24"/>
              </w:rPr>
            </w:pPr>
            <w:r w:rsidRPr="00B934CE">
              <w:rPr>
                <w:rFonts w:ascii="Traditional Arabic" w:hAnsi="Traditional Arabic" w:cs="Traditional Arabic"/>
                <w:color w:val="000000"/>
                <w:sz w:val="24"/>
                <w:rtl/>
              </w:rPr>
              <w:t>543</w:t>
            </w:r>
          </w:p>
        </w:tc>
      </w:tr>
      <w:tr w:rsidR="00563389" w:rsidRPr="00563389" w14:paraId="2DC27B7E" w14:textId="77777777" w:rsidTr="00922116">
        <w:tc>
          <w:tcPr>
            <w:tcW w:w="3600" w:type="dxa"/>
            <w:tcBorders>
              <w:top w:val="single" w:sz="4" w:space="0" w:color="0B3D85"/>
              <w:bottom w:val="single" w:sz="4" w:space="0" w:color="0B3D85"/>
              <w:right w:val="nil"/>
            </w:tcBorders>
          </w:tcPr>
          <w:p w14:paraId="25CEE324"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أصول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مالية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أخرى</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بالتكلفة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المطفأة</w:t>
            </w:r>
          </w:p>
        </w:tc>
        <w:tc>
          <w:tcPr>
            <w:tcW w:w="1440" w:type="dxa"/>
            <w:tcBorders>
              <w:top w:val="single" w:sz="4" w:space="0" w:color="0B3D85"/>
              <w:left w:val="nil"/>
              <w:bottom w:val="single" w:sz="4" w:space="0" w:color="0B3D85"/>
              <w:right w:val="nil"/>
            </w:tcBorders>
            <w:vAlign w:val="center"/>
          </w:tcPr>
          <w:p w14:paraId="0CEC9913"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(133)</w:t>
            </w:r>
          </w:p>
        </w:tc>
        <w:tc>
          <w:tcPr>
            <w:tcW w:w="1440" w:type="dxa"/>
            <w:tcBorders>
              <w:top w:val="single" w:sz="4" w:space="0" w:color="0B3D85"/>
              <w:left w:val="nil"/>
              <w:bottom w:val="single" w:sz="4" w:space="0" w:color="0B3D85"/>
              <w:right w:val="nil"/>
            </w:tcBorders>
            <w:vAlign w:val="center"/>
          </w:tcPr>
          <w:p w14:paraId="6BB91BD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(3,234)</w:t>
            </w:r>
          </w:p>
        </w:tc>
        <w:tc>
          <w:tcPr>
            <w:tcW w:w="1440" w:type="dxa"/>
            <w:tcBorders>
              <w:top w:val="single" w:sz="4" w:space="0" w:color="0B3D85"/>
              <w:left w:val="nil"/>
              <w:bottom w:val="single" w:sz="4" w:space="0" w:color="0B3D85"/>
              <w:right w:val="nil"/>
            </w:tcBorders>
            <w:vAlign w:val="center"/>
          </w:tcPr>
          <w:p w14:paraId="376DA17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447</w:t>
            </w:r>
          </w:p>
        </w:tc>
        <w:tc>
          <w:tcPr>
            <w:tcW w:w="1440" w:type="dxa"/>
            <w:tcBorders>
              <w:top w:val="single" w:sz="4" w:space="0" w:color="0B3D85"/>
              <w:left w:val="nil"/>
              <w:bottom w:val="single" w:sz="4" w:space="0" w:color="0B3D85"/>
              <w:right w:val="nil"/>
            </w:tcBorders>
            <w:vAlign w:val="center"/>
          </w:tcPr>
          <w:p w14:paraId="03D8C321" w14:textId="77777777" w:rsidR="00563389" w:rsidRPr="00B934CE" w:rsidRDefault="00563389" w:rsidP="00B934CE">
            <w:pPr>
              <w:bidi/>
              <w:jc w:val="center"/>
              <w:rPr>
                <w:rFonts w:ascii="Traditional Arabic" w:hAnsi="Traditional Arabic" w:cs="Traditional Arabic"/>
                <w:color w:val="000000"/>
                <w:sz w:val="24"/>
              </w:rPr>
            </w:pPr>
            <w:r w:rsidRPr="00B934CE">
              <w:rPr>
                <w:rFonts w:ascii="Traditional Arabic" w:hAnsi="Traditional Arabic" w:cs="Traditional Arabic"/>
                <w:color w:val="000000"/>
                <w:sz w:val="24"/>
                <w:rtl/>
              </w:rPr>
              <w:t>660</w:t>
            </w:r>
          </w:p>
        </w:tc>
      </w:tr>
      <w:tr w:rsidR="00563389" w:rsidRPr="00563389" w14:paraId="54FD87C0" w14:textId="77777777" w:rsidTr="00922116">
        <w:tc>
          <w:tcPr>
            <w:tcW w:w="3600" w:type="dxa"/>
            <w:tcBorders>
              <w:top w:val="single" w:sz="4" w:space="0" w:color="0B3D85"/>
              <w:bottom w:val="single" w:sz="4" w:space="0" w:color="0B3D85"/>
              <w:right w:val="nil"/>
            </w:tcBorders>
          </w:tcPr>
          <w:p w14:paraId="19085496"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أصول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متداولة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أخرى</w:t>
            </w:r>
          </w:p>
        </w:tc>
        <w:tc>
          <w:tcPr>
            <w:tcW w:w="1440" w:type="dxa"/>
            <w:tcBorders>
              <w:top w:val="single" w:sz="4" w:space="0" w:color="0B3D85"/>
              <w:left w:val="nil"/>
              <w:bottom w:val="single" w:sz="4" w:space="0" w:color="0B3D85"/>
              <w:right w:val="nil"/>
            </w:tcBorders>
            <w:vAlign w:val="center"/>
          </w:tcPr>
          <w:p w14:paraId="6FA1C0BA"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(1,847)</w:t>
            </w:r>
          </w:p>
        </w:tc>
        <w:tc>
          <w:tcPr>
            <w:tcW w:w="1440" w:type="dxa"/>
            <w:tcBorders>
              <w:top w:val="single" w:sz="4" w:space="0" w:color="0B3D85"/>
              <w:left w:val="nil"/>
              <w:bottom w:val="single" w:sz="4" w:space="0" w:color="0B3D85"/>
              <w:right w:val="nil"/>
            </w:tcBorders>
            <w:vAlign w:val="center"/>
          </w:tcPr>
          <w:p w14:paraId="2B6B8F4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(8,685)</w:t>
            </w:r>
          </w:p>
        </w:tc>
        <w:tc>
          <w:tcPr>
            <w:tcW w:w="1440" w:type="dxa"/>
            <w:tcBorders>
              <w:top w:val="single" w:sz="4" w:space="0" w:color="0B3D85"/>
              <w:left w:val="nil"/>
              <w:bottom w:val="single" w:sz="4" w:space="0" w:color="0B3D85"/>
              <w:right w:val="nil"/>
            </w:tcBorders>
            <w:vAlign w:val="center"/>
          </w:tcPr>
          <w:p w14:paraId="5864DD2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643</w:t>
            </w:r>
          </w:p>
        </w:tc>
        <w:tc>
          <w:tcPr>
            <w:tcW w:w="1440" w:type="dxa"/>
            <w:tcBorders>
              <w:top w:val="single" w:sz="4" w:space="0" w:color="0B3D85"/>
              <w:left w:val="nil"/>
              <w:bottom w:val="single" w:sz="4" w:space="0" w:color="0B3D85"/>
              <w:right w:val="nil"/>
            </w:tcBorders>
            <w:vAlign w:val="center"/>
          </w:tcPr>
          <w:p w14:paraId="30840D43"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435</w:t>
            </w:r>
          </w:p>
        </w:tc>
      </w:tr>
      <w:tr w:rsidR="00563389" w:rsidRPr="00563389" w14:paraId="58041590" w14:textId="77777777" w:rsidTr="00922116">
        <w:tc>
          <w:tcPr>
            <w:tcW w:w="3600" w:type="dxa"/>
            <w:tcBorders>
              <w:top w:val="single" w:sz="4" w:space="0" w:color="0B3D85"/>
              <w:bottom w:val="single" w:sz="4" w:space="0" w:color="0B3D85"/>
              <w:right w:val="nil"/>
            </w:tcBorders>
            <w:vAlign w:val="center"/>
          </w:tcPr>
          <w:p w14:paraId="1D4DA45F"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ذمم</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دائنة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تجارية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وأخرى</w:t>
            </w:r>
          </w:p>
        </w:tc>
        <w:tc>
          <w:tcPr>
            <w:tcW w:w="1440" w:type="dxa"/>
            <w:tcBorders>
              <w:top w:val="single" w:sz="4" w:space="0" w:color="0B3D85"/>
              <w:left w:val="nil"/>
              <w:bottom w:val="single" w:sz="4" w:space="0" w:color="0B3D85"/>
              <w:right w:val="nil"/>
            </w:tcBorders>
            <w:vAlign w:val="center"/>
          </w:tcPr>
          <w:p w14:paraId="46A79F43"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(748)</w:t>
            </w:r>
          </w:p>
        </w:tc>
        <w:tc>
          <w:tcPr>
            <w:tcW w:w="1440" w:type="dxa"/>
            <w:tcBorders>
              <w:top w:val="single" w:sz="4" w:space="0" w:color="0B3D85"/>
              <w:left w:val="nil"/>
              <w:bottom w:val="single" w:sz="4" w:space="0" w:color="0B3D85"/>
              <w:right w:val="nil"/>
            </w:tcBorders>
            <w:vAlign w:val="center"/>
          </w:tcPr>
          <w:p w14:paraId="2795A38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(35,156)</w:t>
            </w:r>
          </w:p>
        </w:tc>
        <w:tc>
          <w:tcPr>
            <w:tcW w:w="1440" w:type="dxa"/>
            <w:tcBorders>
              <w:top w:val="single" w:sz="4" w:space="0" w:color="0B3D85"/>
              <w:left w:val="nil"/>
              <w:bottom w:val="single" w:sz="4" w:space="0" w:color="0B3D85"/>
              <w:right w:val="nil"/>
            </w:tcBorders>
            <w:vAlign w:val="center"/>
          </w:tcPr>
          <w:p w14:paraId="32AE87B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6,785</w:t>
            </w:r>
          </w:p>
        </w:tc>
        <w:tc>
          <w:tcPr>
            <w:tcW w:w="1440" w:type="dxa"/>
            <w:tcBorders>
              <w:top w:val="single" w:sz="4" w:space="0" w:color="0B3D85"/>
              <w:left w:val="nil"/>
              <w:bottom w:val="single" w:sz="4" w:space="0" w:color="0B3D85"/>
              <w:right w:val="nil"/>
            </w:tcBorders>
            <w:vAlign w:val="center"/>
          </w:tcPr>
          <w:p w14:paraId="6C998159"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(2,371)</w:t>
            </w:r>
          </w:p>
        </w:tc>
      </w:tr>
      <w:tr w:rsidR="00563389" w:rsidRPr="00563389" w14:paraId="184265C0" w14:textId="77777777" w:rsidTr="00922116">
        <w:tc>
          <w:tcPr>
            <w:tcW w:w="3600" w:type="dxa"/>
            <w:tcBorders>
              <w:top w:val="single" w:sz="4" w:space="0" w:color="0B3D85"/>
              <w:bottom w:val="single" w:sz="4" w:space="0" w:color="0B3D85"/>
              <w:right w:val="nil"/>
            </w:tcBorders>
            <w:vAlign w:val="center"/>
          </w:tcPr>
          <w:p w14:paraId="2FBC143F"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التزام</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العقود</w:t>
            </w:r>
          </w:p>
        </w:tc>
        <w:tc>
          <w:tcPr>
            <w:tcW w:w="1440" w:type="dxa"/>
            <w:tcBorders>
              <w:top w:val="single" w:sz="4" w:space="0" w:color="0B3D85"/>
              <w:left w:val="nil"/>
              <w:bottom w:val="single" w:sz="4" w:space="0" w:color="0B3D85"/>
              <w:right w:val="nil"/>
            </w:tcBorders>
            <w:vAlign w:val="center"/>
          </w:tcPr>
          <w:p w14:paraId="5D61940B"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(679)</w:t>
            </w:r>
          </w:p>
        </w:tc>
        <w:tc>
          <w:tcPr>
            <w:tcW w:w="1440" w:type="dxa"/>
            <w:tcBorders>
              <w:top w:val="single" w:sz="4" w:space="0" w:color="0B3D85"/>
              <w:left w:val="nil"/>
              <w:bottom w:val="single" w:sz="4" w:space="0" w:color="0B3D85"/>
              <w:right w:val="nil"/>
            </w:tcBorders>
            <w:vAlign w:val="center"/>
          </w:tcPr>
          <w:p w14:paraId="03795E1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425</w:t>
            </w:r>
          </w:p>
        </w:tc>
        <w:tc>
          <w:tcPr>
            <w:tcW w:w="1440" w:type="dxa"/>
            <w:tcBorders>
              <w:top w:val="single" w:sz="4" w:space="0" w:color="0B3D85"/>
              <w:left w:val="nil"/>
              <w:bottom w:val="single" w:sz="4" w:space="0" w:color="0B3D85"/>
              <w:right w:val="nil"/>
            </w:tcBorders>
            <w:vAlign w:val="center"/>
          </w:tcPr>
          <w:p w14:paraId="621A4D2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9,736</w:t>
            </w:r>
          </w:p>
        </w:tc>
        <w:tc>
          <w:tcPr>
            <w:tcW w:w="1440" w:type="dxa"/>
            <w:tcBorders>
              <w:top w:val="single" w:sz="4" w:space="0" w:color="0B3D85"/>
              <w:left w:val="nil"/>
              <w:bottom w:val="single" w:sz="4" w:space="0" w:color="0B3D85"/>
              <w:right w:val="nil"/>
            </w:tcBorders>
            <w:vAlign w:val="center"/>
          </w:tcPr>
          <w:p w14:paraId="260E93A2"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2,658</w:t>
            </w:r>
          </w:p>
        </w:tc>
      </w:tr>
      <w:tr w:rsidR="00563389" w:rsidRPr="00563389" w14:paraId="57CF128F" w14:textId="77777777" w:rsidTr="00922116">
        <w:tc>
          <w:tcPr>
            <w:tcW w:w="3600" w:type="dxa"/>
            <w:tcBorders>
              <w:top w:val="single" w:sz="4" w:space="0" w:color="0B3D85"/>
              <w:bottom w:val="single" w:sz="4" w:space="0" w:color="0B3D85"/>
              <w:right w:val="nil"/>
            </w:tcBorders>
            <w:vAlign w:val="center"/>
          </w:tcPr>
          <w:p w14:paraId="46463D8F"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hAnsi="Traditional Arabic" w:cs="Traditional Arabic" w:hint="eastAsia"/>
                <w:b/>
                <w:bCs/>
                <w:color w:val="000000"/>
                <w:sz w:val="24"/>
                <w:rtl/>
              </w:rPr>
              <w:t>النقد</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الناتج</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من</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الأنشطة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التشغيلية</w:t>
            </w:r>
          </w:p>
        </w:tc>
        <w:tc>
          <w:tcPr>
            <w:tcW w:w="1440" w:type="dxa"/>
            <w:tcBorders>
              <w:top w:val="single" w:sz="4" w:space="0" w:color="0B3D85"/>
              <w:left w:val="nil"/>
              <w:bottom w:val="single" w:sz="4" w:space="0" w:color="0B3D85"/>
              <w:right w:val="nil"/>
            </w:tcBorders>
            <w:vAlign w:val="center"/>
          </w:tcPr>
          <w:p w14:paraId="0FB46361"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91,430</w:t>
            </w:r>
          </w:p>
        </w:tc>
        <w:tc>
          <w:tcPr>
            <w:tcW w:w="1440" w:type="dxa"/>
            <w:tcBorders>
              <w:top w:val="single" w:sz="4" w:space="0" w:color="0B3D85"/>
              <w:left w:val="nil"/>
              <w:bottom w:val="single" w:sz="4" w:space="0" w:color="0B3D85"/>
              <w:right w:val="nil"/>
            </w:tcBorders>
            <w:vAlign w:val="center"/>
          </w:tcPr>
          <w:p w14:paraId="16553E3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101,982</w:t>
            </w:r>
          </w:p>
        </w:tc>
        <w:tc>
          <w:tcPr>
            <w:tcW w:w="1440" w:type="dxa"/>
            <w:tcBorders>
              <w:top w:val="single" w:sz="4" w:space="0" w:color="0B3D85"/>
              <w:left w:val="nil"/>
              <w:bottom w:val="single" w:sz="4" w:space="0" w:color="0B3D85"/>
              <w:right w:val="nil"/>
            </w:tcBorders>
            <w:vAlign w:val="center"/>
          </w:tcPr>
          <w:p w14:paraId="5F40330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224,294</w:t>
            </w:r>
          </w:p>
        </w:tc>
        <w:tc>
          <w:tcPr>
            <w:tcW w:w="1440" w:type="dxa"/>
            <w:tcBorders>
              <w:top w:val="single" w:sz="4" w:space="0" w:color="0B3D85"/>
              <w:left w:val="nil"/>
              <w:bottom w:val="single" w:sz="4" w:space="0" w:color="0B3D85"/>
              <w:right w:val="nil"/>
            </w:tcBorders>
            <w:vAlign w:val="center"/>
          </w:tcPr>
          <w:p w14:paraId="3CF32B40" w14:textId="77777777" w:rsidR="00563389" w:rsidRPr="00B934CE" w:rsidRDefault="00263DD4" w:rsidP="00B934CE">
            <w:pPr>
              <w:bidi/>
              <w:jc w:val="center"/>
              <w:rPr>
                <w:rFonts w:ascii="Traditional Arabic" w:hAnsi="Traditional Arabic" w:cs="Traditional Arabic"/>
                <w:b/>
                <w:bCs/>
                <w:color w:val="000000"/>
                <w:sz w:val="24"/>
                <w:rtl/>
              </w:rPr>
            </w:pPr>
            <w:r>
              <w:rPr>
                <w:rFonts w:ascii="Traditional Arabic" w:hAnsi="Traditional Arabic" w:cs="Traditional Arabic" w:hint="cs"/>
                <w:b/>
                <w:bCs/>
                <w:color w:val="000000"/>
                <w:sz w:val="24"/>
                <w:rtl/>
              </w:rPr>
              <w:t>139</w:t>
            </w:r>
            <w:r w:rsidR="00563389" w:rsidRPr="00B934CE">
              <w:rPr>
                <w:rFonts w:ascii="Traditional Arabic" w:hAnsi="Traditional Arabic" w:cs="Traditional Arabic"/>
                <w:b/>
                <w:bCs/>
                <w:color w:val="000000"/>
                <w:sz w:val="24"/>
                <w:rtl/>
              </w:rPr>
              <w:t>,900</w:t>
            </w:r>
          </w:p>
        </w:tc>
      </w:tr>
      <w:tr w:rsidR="00563389" w:rsidRPr="00563389" w14:paraId="09BE0F98" w14:textId="77777777" w:rsidTr="00922116">
        <w:tc>
          <w:tcPr>
            <w:tcW w:w="3600" w:type="dxa"/>
            <w:tcBorders>
              <w:top w:val="single" w:sz="4" w:space="0" w:color="0B3D85"/>
              <w:bottom w:val="single" w:sz="4" w:space="0" w:color="0B3D85"/>
              <w:right w:val="nil"/>
            </w:tcBorders>
            <w:vAlign w:val="center"/>
          </w:tcPr>
          <w:p w14:paraId="3E07EFC3"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تكلفة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تمويل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مدفوعة</w:t>
            </w:r>
            <w:r w:rsidRPr="00B934CE">
              <w:rPr>
                <w:rFonts w:ascii="Traditional Arabic" w:hAnsi="Traditional Arabic" w:cs="Traditional Arabic"/>
                <w:color w:val="000000"/>
                <w:sz w:val="24"/>
                <w:rtl/>
              </w:rPr>
              <w:t xml:space="preserve"> (بما </w:t>
            </w:r>
            <w:r w:rsidRPr="00B934CE">
              <w:rPr>
                <w:rFonts w:ascii="Traditional Arabic" w:hAnsi="Traditional Arabic" w:cs="Traditional Arabic" w:hint="eastAsia"/>
                <w:color w:val="000000"/>
                <w:sz w:val="24"/>
                <w:rtl/>
              </w:rPr>
              <w:t>في</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ذلك</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استحقاق</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الفائدة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لالتزامات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الايجار</w:t>
            </w:r>
            <w:r w:rsidRPr="00B934CE">
              <w:rPr>
                <w:rFonts w:ascii="Traditional Arabic" w:hAnsi="Traditional Arabic" w:cs="Traditional Arabic"/>
                <w:color w:val="000000"/>
                <w:sz w:val="24"/>
                <w:rtl/>
              </w:rPr>
              <w:t>)</w:t>
            </w:r>
          </w:p>
        </w:tc>
        <w:tc>
          <w:tcPr>
            <w:tcW w:w="1440" w:type="dxa"/>
            <w:tcBorders>
              <w:top w:val="single" w:sz="4" w:space="0" w:color="0B3D85"/>
              <w:left w:val="nil"/>
              <w:bottom w:val="single" w:sz="4" w:space="0" w:color="0B3D85"/>
              <w:right w:val="nil"/>
            </w:tcBorders>
            <w:vAlign w:val="center"/>
          </w:tcPr>
          <w:p w14:paraId="5185D053"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(24,341)</w:t>
            </w:r>
          </w:p>
        </w:tc>
        <w:tc>
          <w:tcPr>
            <w:tcW w:w="1440" w:type="dxa"/>
            <w:tcBorders>
              <w:top w:val="single" w:sz="4" w:space="0" w:color="0B3D85"/>
              <w:left w:val="nil"/>
              <w:bottom w:val="single" w:sz="4" w:space="0" w:color="0B3D85"/>
              <w:right w:val="nil"/>
            </w:tcBorders>
            <w:vAlign w:val="center"/>
          </w:tcPr>
          <w:p w14:paraId="1595DABE"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(23,705)</w:t>
            </w:r>
          </w:p>
        </w:tc>
        <w:tc>
          <w:tcPr>
            <w:tcW w:w="1440" w:type="dxa"/>
            <w:tcBorders>
              <w:top w:val="single" w:sz="4" w:space="0" w:color="0B3D85"/>
              <w:left w:val="nil"/>
              <w:bottom w:val="single" w:sz="4" w:space="0" w:color="0B3D85"/>
              <w:right w:val="nil"/>
            </w:tcBorders>
            <w:vAlign w:val="center"/>
          </w:tcPr>
          <w:p w14:paraId="30F575A7"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(41,674)</w:t>
            </w:r>
          </w:p>
        </w:tc>
        <w:tc>
          <w:tcPr>
            <w:tcW w:w="1440" w:type="dxa"/>
            <w:tcBorders>
              <w:top w:val="single" w:sz="4" w:space="0" w:color="0B3D85"/>
              <w:left w:val="nil"/>
              <w:bottom w:val="single" w:sz="4" w:space="0" w:color="0B3D85"/>
              <w:right w:val="nil"/>
            </w:tcBorders>
            <w:vAlign w:val="center"/>
          </w:tcPr>
          <w:p w14:paraId="53AF5E36"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(25,477)</w:t>
            </w:r>
          </w:p>
        </w:tc>
      </w:tr>
      <w:tr w:rsidR="00563389" w:rsidRPr="00563389" w14:paraId="02B8A0EB" w14:textId="77777777" w:rsidTr="00922116">
        <w:tc>
          <w:tcPr>
            <w:tcW w:w="3600" w:type="dxa"/>
            <w:tcBorders>
              <w:top w:val="single" w:sz="4" w:space="0" w:color="0B3D85"/>
              <w:bottom w:val="single" w:sz="4" w:space="0" w:color="0B3D85"/>
              <w:right w:val="nil"/>
            </w:tcBorders>
            <w:vAlign w:val="center"/>
          </w:tcPr>
          <w:p w14:paraId="5B68E2C1"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مكافآت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نهاية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الخدمة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المدفوعة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للموظفين</w:t>
            </w:r>
          </w:p>
        </w:tc>
        <w:tc>
          <w:tcPr>
            <w:tcW w:w="1440" w:type="dxa"/>
            <w:tcBorders>
              <w:top w:val="single" w:sz="4" w:space="0" w:color="0B3D85"/>
              <w:left w:val="nil"/>
              <w:bottom w:val="single" w:sz="4" w:space="0" w:color="0B3D85"/>
              <w:right w:val="nil"/>
            </w:tcBorders>
            <w:vAlign w:val="center"/>
          </w:tcPr>
          <w:p w14:paraId="61CFEA37"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(41)</w:t>
            </w:r>
          </w:p>
        </w:tc>
        <w:tc>
          <w:tcPr>
            <w:tcW w:w="1440" w:type="dxa"/>
            <w:tcBorders>
              <w:top w:val="single" w:sz="4" w:space="0" w:color="0B3D85"/>
              <w:left w:val="nil"/>
              <w:bottom w:val="single" w:sz="4" w:space="0" w:color="0B3D85"/>
              <w:right w:val="nil"/>
            </w:tcBorders>
            <w:vAlign w:val="center"/>
          </w:tcPr>
          <w:p w14:paraId="00593399"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(42)</w:t>
            </w:r>
          </w:p>
        </w:tc>
        <w:tc>
          <w:tcPr>
            <w:tcW w:w="1440" w:type="dxa"/>
            <w:tcBorders>
              <w:top w:val="single" w:sz="4" w:space="0" w:color="0B3D85"/>
              <w:left w:val="nil"/>
              <w:bottom w:val="single" w:sz="4" w:space="0" w:color="0B3D85"/>
              <w:right w:val="nil"/>
            </w:tcBorders>
            <w:vAlign w:val="center"/>
          </w:tcPr>
          <w:p w14:paraId="791D3278"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(91)</w:t>
            </w:r>
          </w:p>
        </w:tc>
        <w:tc>
          <w:tcPr>
            <w:tcW w:w="1440" w:type="dxa"/>
            <w:tcBorders>
              <w:top w:val="single" w:sz="4" w:space="0" w:color="0B3D85"/>
              <w:left w:val="nil"/>
              <w:bottom w:val="single" w:sz="4" w:space="0" w:color="0B3D85"/>
              <w:right w:val="nil"/>
            </w:tcBorders>
            <w:vAlign w:val="center"/>
          </w:tcPr>
          <w:p w14:paraId="70262725"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(120)</w:t>
            </w:r>
          </w:p>
        </w:tc>
      </w:tr>
      <w:tr w:rsidR="00563389" w:rsidRPr="00563389" w14:paraId="28F44332" w14:textId="77777777" w:rsidTr="00922116">
        <w:tc>
          <w:tcPr>
            <w:tcW w:w="3600" w:type="dxa"/>
            <w:tcBorders>
              <w:top w:val="single" w:sz="4" w:space="0" w:color="0B3D85"/>
              <w:bottom w:val="single" w:sz="4" w:space="0" w:color="0B3D85"/>
              <w:right w:val="nil"/>
            </w:tcBorders>
            <w:vAlign w:val="center"/>
          </w:tcPr>
          <w:p w14:paraId="00020F32"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ضريبة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دخل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مدفوعة</w:t>
            </w:r>
          </w:p>
        </w:tc>
        <w:tc>
          <w:tcPr>
            <w:tcW w:w="1440" w:type="dxa"/>
            <w:tcBorders>
              <w:top w:val="single" w:sz="4" w:space="0" w:color="0B3D85"/>
              <w:left w:val="nil"/>
              <w:bottom w:val="single" w:sz="4" w:space="0" w:color="0B3D85"/>
              <w:right w:val="nil"/>
            </w:tcBorders>
            <w:vAlign w:val="center"/>
          </w:tcPr>
          <w:p w14:paraId="6A0DB101"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(214)</w:t>
            </w:r>
          </w:p>
        </w:tc>
        <w:tc>
          <w:tcPr>
            <w:tcW w:w="1440" w:type="dxa"/>
            <w:tcBorders>
              <w:top w:val="single" w:sz="4" w:space="0" w:color="0B3D85"/>
              <w:left w:val="nil"/>
              <w:bottom w:val="single" w:sz="4" w:space="0" w:color="0B3D85"/>
              <w:right w:val="nil"/>
            </w:tcBorders>
            <w:vAlign w:val="center"/>
          </w:tcPr>
          <w:p w14:paraId="2A4C5AE9"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(177)</w:t>
            </w:r>
          </w:p>
        </w:tc>
        <w:tc>
          <w:tcPr>
            <w:tcW w:w="1440" w:type="dxa"/>
            <w:tcBorders>
              <w:top w:val="single" w:sz="4" w:space="0" w:color="0B3D85"/>
              <w:left w:val="nil"/>
              <w:bottom w:val="single" w:sz="4" w:space="0" w:color="0B3D85"/>
              <w:right w:val="nil"/>
            </w:tcBorders>
            <w:vAlign w:val="center"/>
          </w:tcPr>
          <w:p w14:paraId="4E4866C0"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(73)</w:t>
            </w:r>
          </w:p>
        </w:tc>
        <w:tc>
          <w:tcPr>
            <w:tcW w:w="1440" w:type="dxa"/>
            <w:tcBorders>
              <w:top w:val="single" w:sz="4" w:space="0" w:color="0B3D85"/>
              <w:left w:val="nil"/>
              <w:bottom w:val="single" w:sz="4" w:space="0" w:color="0B3D85"/>
              <w:right w:val="nil"/>
            </w:tcBorders>
            <w:vAlign w:val="center"/>
          </w:tcPr>
          <w:p w14:paraId="4A9A9FE0"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w:t>
            </w:r>
          </w:p>
        </w:tc>
      </w:tr>
      <w:tr w:rsidR="00563389" w:rsidRPr="00563389" w14:paraId="067D66DE" w14:textId="77777777" w:rsidTr="00922116">
        <w:tc>
          <w:tcPr>
            <w:tcW w:w="3600" w:type="dxa"/>
            <w:tcBorders>
              <w:top w:val="single" w:sz="4" w:space="0" w:color="0B3D85"/>
              <w:bottom w:val="single" w:sz="4" w:space="0" w:color="0B3D85"/>
              <w:right w:val="nil"/>
            </w:tcBorders>
          </w:tcPr>
          <w:p w14:paraId="3DC2A171"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hAnsi="Traditional Arabic" w:cs="Traditional Arabic" w:hint="eastAsia"/>
                <w:b/>
                <w:bCs/>
                <w:color w:val="000000"/>
                <w:sz w:val="24"/>
                <w:rtl/>
              </w:rPr>
              <w:t>صافي</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التدفقات</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النقدية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الناتجة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من</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الأنشطة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التشغيلية</w:t>
            </w:r>
          </w:p>
        </w:tc>
        <w:tc>
          <w:tcPr>
            <w:tcW w:w="1440" w:type="dxa"/>
            <w:tcBorders>
              <w:top w:val="single" w:sz="4" w:space="0" w:color="0B3D85"/>
              <w:left w:val="nil"/>
              <w:bottom w:val="single" w:sz="4" w:space="0" w:color="0B3D85"/>
              <w:right w:val="nil"/>
            </w:tcBorders>
            <w:vAlign w:val="center"/>
          </w:tcPr>
          <w:p w14:paraId="6EB84271"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66,833</w:t>
            </w:r>
          </w:p>
        </w:tc>
        <w:tc>
          <w:tcPr>
            <w:tcW w:w="1440" w:type="dxa"/>
            <w:tcBorders>
              <w:top w:val="single" w:sz="4" w:space="0" w:color="0B3D85"/>
              <w:left w:val="nil"/>
              <w:bottom w:val="single" w:sz="4" w:space="0" w:color="0B3D85"/>
              <w:right w:val="nil"/>
            </w:tcBorders>
            <w:vAlign w:val="center"/>
          </w:tcPr>
          <w:p w14:paraId="2DD9D373"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78,057</w:t>
            </w:r>
          </w:p>
        </w:tc>
        <w:tc>
          <w:tcPr>
            <w:tcW w:w="1440" w:type="dxa"/>
            <w:tcBorders>
              <w:top w:val="single" w:sz="4" w:space="0" w:color="0B3D85"/>
              <w:left w:val="nil"/>
              <w:bottom w:val="single" w:sz="4" w:space="0" w:color="0B3D85"/>
              <w:right w:val="nil"/>
            </w:tcBorders>
            <w:vAlign w:val="center"/>
          </w:tcPr>
          <w:p w14:paraId="1891B9EC"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182,457</w:t>
            </w:r>
          </w:p>
        </w:tc>
        <w:tc>
          <w:tcPr>
            <w:tcW w:w="1440" w:type="dxa"/>
            <w:tcBorders>
              <w:top w:val="single" w:sz="4" w:space="0" w:color="0B3D85"/>
              <w:left w:val="nil"/>
              <w:bottom w:val="single" w:sz="4" w:space="0" w:color="0B3D85"/>
              <w:right w:val="nil"/>
            </w:tcBorders>
            <w:vAlign w:val="center"/>
          </w:tcPr>
          <w:p w14:paraId="29964FBA" w14:textId="77777777" w:rsidR="00563389" w:rsidRPr="00B934CE" w:rsidRDefault="00326A25" w:rsidP="00B934CE">
            <w:pPr>
              <w:bidi/>
              <w:jc w:val="center"/>
              <w:rPr>
                <w:rFonts w:ascii="Traditional Arabic" w:hAnsi="Traditional Arabic" w:cs="Traditional Arabic"/>
                <w:b/>
                <w:bCs/>
                <w:color w:val="000000"/>
                <w:sz w:val="24"/>
                <w:rtl/>
              </w:rPr>
            </w:pPr>
            <w:r>
              <w:rPr>
                <w:rFonts w:ascii="Traditional Arabic" w:hAnsi="Traditional Arabic" w:cs="Traditional Arabic" w:hint="cs"/>
                <w:b/>
                <w:bCs/>
                <w:color w:val="000000"/>
                <w:sz w:val="24"/>
                <w:rtl/>
              </w:rPr>
              <w:t>114,302</w:t>
            </w:r>
          </w:p>
        </w:tc>
      </w:tr>
      <w:tr w:rsidR="00563389" w:rsidRPr="00563389" w14:paraId="20B56312" w14:textId="77777777" w:rsidTr="00922116">
        <w:tc>
          <w:tcPr>
            <w:tcW w:w="3600" w:type="dxa"/>
            <w:tcBorders>
              <w:top w:val="single" w:sz="4" w:space="0" w:color="0B3D85"/>
              <w:bottom w:val="single" w:sz="4" w:space="0" w:color="0B3D85"/>
              <w:right w:val="nil"/>
            </w:tcBorders>
          </w:tcPr>
          <w:p w14:paraId="13E01364"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eastAsia="Calibri" w:hAnsi="Traditional Arabic" w:cs="Traditional Arabic" w:hint="eastAsia"/>
                <w:b/>
                <w:bCs/>
                <w:sz w:val="24"/>
                <w:rtl/>
              </w:rPr>
              <w:t>التدفقات</w:t>
            </w:r>
            <w:r w:rsidRPr="00B934CE">
              <w:rPr>
                <w:rFonts w:ascii="Traditional Arabic" w:eastAsia="Calibri" w:hAnsi="Traditional Arabic" w:cs="Traditional Arabic"/>
                <w:b/>
                <w:bCs/>
                <w:sz w:val="24"/>
                <w:rtl/>
              </w:rPr>
              <w:t xml:space="preserve"> النقدية من </w:t>
            </w:r>
            <w:r w:rsidRPr="00B934CE">
              <w:rPr>
                <w:rFonts w:ascii="Traditional Arabic" w:hAnsi="Traditional Arabic" w:cs="Traditional Arabic" w:hint="eastAsia"/>
                <w:b/>
                <w:bCs/>
                <w:color w:val="000000"/>
                <w:sz w:val="24"/>
                <w:rtl/>
              </w:rPr>
              <w:t>الأنشطة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الاستثمارية</w:t>
            </w:r>
          </w:p>
        </w:tc>
        <w:tc>
          <w:tcPr>
            <w:tcW w:w="1440" w:type="dxa"/>
            <w:tcBorders>
              <w:top w:val="single" w:sz="4" w:space="0" w:color="0B3D85"/>
              <w:left w:val="nil"/>
              <w:bottom w:val="single" w:sz="4" w:space="0" w:color="0B3D85"/>
              <w:right w:val="nil"/>
            </w:tcBorders>
            <w:vAlign w:val="center"/>
          </w:tcPr>
          <w:p w14:paraId="16549469"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45CE32A5"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1279CE1E" w14:textId="77777777" w:rsidR="00563389" w:rsidRPr="00B934CE" w:rsidRDefault="00563389" w:rsidP="00B934CE">
            <w:pPr>
              <w:bidi/>
              <w:jc w:val="center"/>
              <w:rPr>
                <w:rFonts w:ascii="Traditional Arabic" w:eastAsia="Calibri" w:hAnsi="Traditional Arabic" w:cs="Traditional Arabic"/>
                <w:sz w:val="24"/>
                <w:rtl/>
              </w:rPr>
            </w:pPr>
          </w:p>
        </w:tc>
        <w:tc>
          <w:tcPr>
            <w:tcW w:w="1440" w:type="dxa"/>
            <w:tcBorders>
              <w:top w:val="single" w:sz="4" w:space="0" w:color="0B3D85"/>
              <w:left w:val="nil"/>
              <w:bottom w:val="single" w:sz="4" w:space="0" w:color="0B3D85"/>
              <w:right w:val="nil"/>
            </w:tcBorders>
            <w:vAlign w:val="center"/>
          </w:tcPr>
          <w:p w14:paraId="65E51722" w14:textId="77777777" w:rsidR="00563389" w:rsidRPr="00B934CE" w:rsidRDefault="00563389" w:rsidP="00B934CE">
            <w:pPr>
              <w:bidi/>
              <w:jc w:val="center"/>
              <w:rPr>
                <w:rFonts w:ascii="Traditional Arabic" w:eastAsia="Calibri" w:hAnsi="Traditional Arabic" w:cs="Traditional Arabic"/>
                <w:sz w:val="24"/>
                <w:rtl/>
              </w:rPr>
            </w:pPr>
          </w:p>
        </w:tc>
      </w:tr>
      <w:tr w:rsidR="00563389" w:rsidRPr="00563389" w14:paraId="365F8F22" w14:textId="77777777" w:rsidTr="00922116">
        <w:tc>
          <w:tcPr>
            <w:tcW w:w="3600" w:type="dxa"/>
            <w:tcBorders>
              <w:top w:val="single" w:sz="4" w:space="0" w:color="0B3D85"/>
              <w:bottom w:val="single" w:sz="4" w:space="0" w:color="0B3D85"/>
              <w:right w:val="nil"/>
            </w:tcBorders>
            <w:vAlign w:val="center"/>
          </w:tcPr>
          <w:p w14:paraId="69A67CB5"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شراء</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ممتلكات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وسفن</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ومعدات</w:t>
            </w:r>
          </w:p>
        </w:tc>
        <w:tc>
          <w:tcPr>
            <w:tcW w:w="1440" w:type="dxa"/>
            <w:tcBorders>
              <w:top w:val="single" w:sz="4" w:space="0" w:color="0B3D85"/>
              <w:left w:val="nil"/>
              <w:bottom w:val="single" w:sz="4" w:space="0" w:color="0B3D85"/>
              <w:right w:val="nil"/>
            </w:tcBorders>
            <w:vAlign w:val="center"/>
          </w:tcPr>
          <w:p w14:paraId="330B1D6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(58,533)</w:t>
            </w:r>
          </w:p>
        </w:tc>
        <w:tc>
          <w:tcPr>
            <w:tcW w:w="1440" w:type="dxa"/>
            <w:tcBorders>
              <w:top w:val="single" w:sz="4" w:space="0" w:color="0B3D85"/>
              <w:left w:val="nil"/>
              <w:bottom w:val="single" w:sz="4" w:space="0" w:color="0B3D85"/>
              <w:right w:val="nil"/>
            </w:tcBorders>
            <w:vAlign w:val="center"/>
          </w:tcPr>
          <w:p w14:paraId="4C7480C4"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(16,905)</w:t>
            </w:r>
          </w:p>
        </w:tc>
        <w:tc>
          <w:tcPr>
            <w:tcW w:w="1440" w:type="dxa"/>
            <w:tcBorders>
              <w:top w:val="single" w:sz="4" w:space="0" w:color="0B3D85"/>
              <w:left w:val="nil"/>
              <w:bottom w:val="single" w:sz="4" w:space="0" w:color="0B3D85"/>
              <w:right w:val="nil"/>
            </w:tcBorders>
            <w:vAlign w:val="center"/>
          </w:tcPr>
          <w:p w14:paraId="2C7CB273"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(64,305)</w:t>
            </w:r>
          </w:p>
        </w:tc>
        <w:tc>
          <w:tcPr>
            <w:tcW w:w="1440" w:type="dxa"/>
            <w:tcBorders>
              <w:top w:val="single" w:sz="4" w:space="0" w:color="0B3D85"/>
              <w:left w:val="nil"/>
              <w:bottom w:val="single" w:sz="4" w:space="0" w:color="0B3D85"/>
              <w:right w:val="nil"/>
            </w:tcBorders>
            <w:vAlign w:val="center"/>
          </w:tcPr>
          <w:p w14:paraId="46D6B80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(26,662)</w:t>
            </w:r>
          </w:p>
        </w:tc>
      </w:tr>
      <w:tr w:rsidR="00563389" w:rsidRPr="00563389" w14:paraId="6E806E21" w14:textId="77777777" w:rsidTr="00922116">
        <w:tc>
          <w:tcPr>
            <w:tcW w:w="3600" w:type="dxa"/>
            <w:tcBorders>
              <w:top w:val="single" w:sz="4" w:space="0" w:color="0B3D85"/>
              <w:bottom w:val="single" w:sz="4" w:space="0" w:color="0B3D85"/>
              <w:right w:val="nil"/>
            </w:tcBorders>
            <w:vAlign w:val="center"/>
          </w:tcPr>
          <w:p w14:paraId="0B02DEFA"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متحصلات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من</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بيع</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ممتلكات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وسفن</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ومعدات</w:t>
            </w:r>
          </w:p>
        </w:tc>
        <w:tc>
          <w:tcPr>
            <w:tcW w:w="1440" w:type="dxa"/>
            <w:tcBorders>
              <w:top w:val="single" w:sz="4" w:space="0" w:color="0B3D85"/>
              <w:left w:val="nil"/>
              <w:bottom w:val="single" w:sz="4" w:space="0" w:color="0B3D85"/>
              <w:right w:val="nil"/>
            </w:tcBorders>
            <w:vAlign w:val="center"/>
          </w:tcPr>
          <w:p w14:paraId="0830C536"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520A586C"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51,033</w:t>
            </w:r>
          </w:p>
        </w:tc>
        <w:tc>
          <w:tcPr>
            <w:tcW w:w="1440" w:type="dxa"/>
            <w:tcBorders>
              <w:top w:val="single" w:sz="4" w:space="0" w:color="0B3D85"/>
              <w:left w:val="nil"/>
              <w:bottom w:val="single" w:sz="4" w:space="0" w:color="0B3D85"/>
              <w:right w:val="nil"/>
            </w:tcBorders>
            <w:vAlign w:val="center"/>
          </w:tcPr>
          <w:p w14:paraId="71EEFCBA"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74,821</w:t>
            </w:r>
          </w:p>
        </w:tc>
        <w:tc>
          <w:tcPr>
            <w:tcW w:w="1440" w:type="dxa"/>
            <w:tcBorders>
              <w:top w:val="single" w:sz="4" w:space="0" w:color="0B3D85"/>
              <w:left w:val="nil"/>
              <w:bottom w:val="single" w:sz="4" w:space="0" w:color="0B3D85"/>
              <w:right w:val="nil"/>
            </w:tcBorders>
            <w:vAlign w:val="center"/>
          </w:tcPr>
          <w:p w14:paraId="78624F12"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11</w:t>
            </w:r>
          </w:p>
        </w:tc>
      </w:tr>
      <w:tr w:rsidR="00563389" w:rsidRPr="00563389" w14:paraId="34DB633F" w14:textId="77777777" w:rsidTr="00922116">
        <w:tc>
          <w:tcPr>
            <w:tcW w:w="3600" w:type="dxa"/>
            <w:tcBorders>
              <w:top w:val="single" w:sz="4" w:space="0" w:color="0B3D85"/>
              <w:bottom w:val="single" w:sz="4" w:space="0" w:color="0B3D85"/>
              <w:right w:val="nil"/>
            </w:tcBorders>
            <w:vAlign w:val="center"/>
          </w:tcPr>
          <w:p w14:paraId="500DED49"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الودائع</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الثابتة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والودائع</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الهامشية</w:t>
            </w:r>
            <w:r w:rsidRPr="00B934CE">
              <w:rPr>
                <w:rFonts w:ascii="Traditional Arabic" w:hAnsi="Traditional Arabic" w:cs="Traditional Arabic"/>
                <w:color w:val="000000"/>
                <w:sz w:val="24"/>
                <w:rtl/>
              </w:rPr>
              <w:t xml:space="preserve"> (مستثمرة)</w:t>
            </w:r>
          </w:p>
        </w:tc>
        <w:tc>
          <w:tcPr>
            <w:tcW w:w="1440" w:type="dxa"/>
            <w:tcBorders>
              <w:top w:val="single" w:sz="4" w:space="0" w:color="0B3D85"/>
              <w:left w:val="nil"/>
              <w:bottom w:val="single" w:sz="4" w:space="0" w:color="0B3D85"/>
              <w:right w:val="nil"/>
            </w:tcBorders>
            <w:vAlign w:val="center"/>
          </w:tcPr>
          <w:p w14:paraId="4154E8C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(12,494)</w:t>
            </w:r>
          </w:p>
        </w:tc>
        <w:tc>
          <w:tcPr>
            <w:tcW w:w="1440" w:type="dxa"/>
            <w:tcBorders>
              <w:top w:val="single" w:sz="4" w:space="0" w:color="0B3D85"/>
              <w:left w:val="nil"/>
              <w:bottom w:val="single" w:sz="4" w:space="0" w:color="0B3D85"/>
              <w:right w:val="nil"/>
            </w:tcBorders>
            <w:vAlign w:val="center"/>
          </w:tcPr>
          <w:p w14:paraId="717208C8"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1,603</w:t>
            </w:r>
          </w:p>
        </w:tc>
        <w:tc>
          <w:tcPr>
            <w:tcW w:w="1440" w:type="dxa"/>
            <w:tcBorders>
              <w:top w:val="single" w:sz="4" w:space="0" w:color="0B3D85"/>
              <w:left w:val="nil"/>
              <w:bottom w:val="single" w:sz="4" w:space="0" w:color="0B3D85"/>
              <w:right w:val="nil"/>
            </w:tcBorders>
            <w:vAlign w:val="center"/>
          </w:tcPr>
          <w:p w14:paraId="3EC7C43D"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(44,531)</w:t>
            </w:r>
          </w:p>
        </w:tc>
        <w:tc>
          <w:tcPr>
            <w:tcW w:w="1440" w:type="dxa"/>
            <w:tcBorders>
              <w:top w:val="single" w:sz="4" w:space="0" w:color="0B3D85"/>
              <w:left w:val="nil"/>
              <w:bottom w:val="single" w:sz="4" w:space="0" w:color="0B3D85"/>
              <w:right w:val="nil"/>
            </w:tcBorders>
            <w:vAlign w:val="center"/>
          </w:tcPr>
          <w:p w14:paraId="10C01B1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(45,258)</w:t>
            </w:r>
          </w:p>
        </w:tc>
      </w:tr>
      <w:tr w:rsidR="00563389" w:rsidRPr="00563389" w14:paraId="50659503" w14:textId="77777777" w:rsidTr="00922116">
        <w:tc>
          <w:tcPr>
            <w:tcW w:w="3600" w:type="dxa"/>
            <w:tcBorders>
              <w:top w:val="single" w:sz="4" w:space="0" w:color="0B3D85"/>
              <w:bottom w:val="single" w:sz="4" w:space="0" w:color="0B3D85"/>
              <w:right w:val="nil"/>
            </w:tcBorders>
            <w:vAlign w:val="center"/>
          </w:tcPr>
          <w:p w14:paraId="5F7B3C54"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الودائع</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الثابتة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والودائع</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الهامشية</w:t>
            </w:r>
            <w:r w:rsidRPr="00B934CE">
              <w:rPr>
                <w:rFonts w:ascii="Traditional Arabic" w:hAnsi="Traditional Arabic" w:cs="Traditional Arabic"/>
                <w:color w:val="000000"/>
                <w:sz w:val="24"/>
                <w:rtl/>
              </w:rPr>
              <w:t xml:space="preserve"> (مستحقة)</w:t>
            </w:r>
          </w:p>
        </w:tc>
        <w:tc>
          <w:tcPr>
            <w:tcW w:w="1440" w:type="dxa"/>
            <w:tcBorders>
              <w:top w:val="single" w:sz="4" w:space="0" w:color="0B3D85"/>
              <w:left w:val="nil"/>
              <w:bottom w:val="single" w:sz="4" w:space="0" w:color="0B3D85"/>
              <w:right w:val="nil"/>
            </w:tcBorders>
            <w:vAlign w:val="center"/>
          </w:tcPr>
          <w:p w14:paraId="15C6578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7519B1C8"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w:t>
            </w:r>
          </w:p>
        </w:tc>
        <w:tc>
          <w:tcPr>
            <w:tcW w:w="1440" w:type="dxa"/>
            <w:tcBorders>
              <w:top w:val="single" w:sz="4" w:space="0" w:color="0B3D85"/>
              <w:left w:val="nil"/>
              <w:bottom w:val="single" w:sz="4" w:space="0" w:color="0B3D85"/>
              <w:right w:val="nil"/>
            </w:tcBorders>
            <w:vAlign w:val="center"/>
          </w:tcPr>
          <w:p w14:paraId="75C645A1"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w:t>
            </w:r>
          </w:p>
        </w:tc>
        <w:tc>
          <w:tcPr>
            <w:tcW w:w="1440" w:type="dxa"/>
            <w:tcBorders>
              <w:top w:val="single" w:sz="4" w:space="0" w:color="0B3D85"/>
              <w:left w:val="nil"/>
              <w:bottom w:val="single" w:sz="4" w:space="0" w:color="0B3D85"/>
              <w:right w:val="nil"/>
            </w:tcBorders>
            <w:vAlign w:val="center"/>
          </w:tcPr>
          <w:p w14:paraId="526A3AF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59,843</w:t>
            </w:r>
          </w:p>
        </w:tc>
      </w:tr>
      <w:tr w:rsidR="00563389" w:rsidRPr="00563389" w14:paraId="6A28799F" w14:textId="77777777" w:rsidTr="00922116">
        <w:tc>
          <w:tcPr>
            <w:tcW w:w="3600" w:type="dxa"/>
            <w:tcBorders>
              <w:top w:val="single" w:sz="4" w:space="0" w:color="0B3D85"/>
              <w:bottom w:val="single" w:sz="4" w:space="0" w:color="0B3D85"/>
              <w:right w:val="nil"/>
            </w:tcBorders>
            <w:vAlign w:val="center"/>
          </w:tcPr>
          <w:p w14:paraId="64126828"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lastRenderedPageBreak/>
              <w:t>توزيعات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الأرباح</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المستلمة</w:t>
            </w:r>
          </w:p>
        </w:tc>
        <w:tc>
          <w:tcPr>
            <w:tcW w:w="1440" w:type="dxa"/>
            <w:tcBorders>
              <w:top w:val="single" w:sz="4" w:space="0" w:color="0B3D85"/>
              <w:left w:val="nil"/>
              <w:bottom w:val="single" w:sz="4" w:space="0" w:color="0B3D85"/>
              <w:right w:val="nil"/>
            </w:tcBorders>
            <w:vAlign w:val="center"/>
          </w:tcPr>
          <w:p w14:paraId="3132BF1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270</w:t>
            </w:r>
          </w:p>
        </w:tc>
        <w:tc>
          <w:tcPr>
            <w:tcW w:w="1440" w:type="dxa"/>
            <w:tcBorders>
              <w:top w:val="single" w:sz="4" w:space="0" w:color="0B3D85"/>
              <w:left w:val="nil"/>
              <w:bottom w:val="single" w:sz="4" w:space="0" w:color="0B3D85"/>
              <w:right w:val="nil"/>
            </w:tcBorders>
            <w:vAlign w:val="center"/>
          </w:tcPr>
          <w:p w14:paraId="02D9B92A"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1,981</w:t>
            </w:r>
          </w:p>
        </w:tc>
        <w:tc>
          <w:tcPr>
            <w:tcW w:w="1440" w:type="dxa"/>
            <w:tcBorders>
              <w:top w:val="single" w:sz="4" w:space="0" w:color="0B3D85"/>
              <w:left w:val="nil"/>
              <w:bottom w:val="single" w:sz="4" w:space="0" w:color="0B3D85"/>
              <w:right w:val="nil"/>
            </w:tcBorders>
            <w:vAlign w:val="center"/>
          </w:tcPr>
          <w:p w14:paraId="75A131A2"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2,458</w:t>
            </w:r>
          </w:p>
        </w:tc>
        <w:tc>
          <w:tcPr>
            <w:tcW w:w="1440" w:type="dxa"/>
            <w:tcBorders>
              <w:top w:val="single" w:sz="4" w:space="0" w:color="0B3D85"/>
              <w:left w:val="nil"/>
              <w:bottom w:val="single" w:sz="4" w:space="0" w:color="0B3D85"/>
              <w:right w:val="nil"/>
            </w:tcBorders>
            <w:vAlign w:val="center"/>
          </w:tcPr>
          <w:p w14:paraId="43FA0898"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285</w:t>
            </w:r>
          </w:p>
        </w:tc>
      </w:tr>
      <w:tr w:rsidR="00563389" w:rsidRPr="00563389" w14:paraId="73C9CEAC" w14:textId="77777777" w:rsidTr="00922116">
        <w:tc>
          <w:tcPr>
            <w:tcW w:w="3600" w:type="dxa"/>
            <w:tcBorders>
              <w:top w:val="single" w:sz="4" w:space="0" w:color="0B3D85"/>
              <w:bottom w:val="single" w:sz="4" w:space="0" w:color="0B3D85"/>
              <w:right w:val="nil"/>
            </w:tcBorders>
            <w:vAlign w:val="center"/>
          </w:tcPr>
          <w:p w14:paraId="2DCEB0C3"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أصول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مالية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بالتكلفة</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المطفأة</w:t>
            </w:r>
          </w:p>
        </w:tc>
        <w:tc>
          <w:tcPr>
            <w:tcW w:w="1440" w:type="dxa"/>
            <w:tcBorders>
              <w:top w:val="single" w:sz="4" w:space="0" w:color="0B3D85"/>
              <w:left w:val="nil"/>
              <w:bottom w:val="single" w:sz="4" w:space="0" w:color="0B3D85"/>
              <w:right w:val="nil"/>
            </w:tcBorders>
            <w:vAlign w:val="center"/>
          </w:tcPr>
          <w:p w14:paraId="6D60072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5,710</w:t>
            </w:r>
          </w:p>
        </w:tc>
        <w:tc>
          <w:tcPr>
            <w:tcW w:w="1440" w:type="dxa"/>
            <w:tcBorders>
              <w:top w:val="single" w:sz="4" w:space="0" w:color="0B3D85"/>
              <w:left w:val="nil"/>
              <w:bottom w:val="single" w:sz="4" w:space="0" w:color="0B3D85"/>
              <w:right w:val="nil"/>
            </w:tcBorders>
            <w:vAlign w:val="center"/>
          </w:tcPr>
          <w:p w14:paraId="18001720"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6,396</w:t>
            </w:r>
          </w:p>
        </w:tc>
        <w:tc>
          <w:tcPr>
            <w:tcW w:w="1440" w:type="dxa"/>
            <w:tcBorders>
              <w:top w:val="single" w:sz="4" w:space="0" w:color="0B3D85"/>
              <w:left w:val="nil"/>
              <w:bottom w:val="single" w:sz="4" w:space="0" w:color="0B3D85"/>
              <w:right w:val="nil"/>
            </w:tcBorders>
            <w:vAlign w:val="center"/>
          </w:tcPr>
          <w:p w14:paraId="5683EF14"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7,051</w:t>
            </w:r>
          </w:p>
        </w:tc>
        <w:tc>
          <w:tcPr>
            <w:tcW w:w="1440" w:type="dxa"/>
            <w:tcBorders>
              <w:top w:val="single" w:sz="4" w:space="0" w:color="0B3D85"/>
              <w:left w:val="nil"/>
              <w:bottom w:val="single" w:sz="4" w:space="0" w:color="0B3D85"/>
              <w:right w:val="nil"/>
            </w:tcBorders>
            <w:vAlign w:val="center"/>
          </w:tcPr>
          <w:p w14:paraId="1E77C4E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5,780</w:t>
            </w:r>
          </w:p>
        </w:tc>
      </w:tr>
      <w:tr w:rsidR="00563389" w:rsidRPr="00563389" w14:paraId="35A2362B" w14:textId="77777777" w:rsidTr="00922116">
        <w:tc>
          <w:tcPr>
            <w:tcW w:w="3600" w:type="dxa"/>
            <w:tcBorders>
              <w:top w:val="single" w:sz="4" w:space="0" w:color="0B3D85"/>
              <w:bottom w:val="single" w:sz="4" w:space="0" w:color="0B3D85"/>
              <w:right w:val="nil"/>
            </w:tcBorders>
            <w:vAlign w:val="center"/>
          </w:tcPr>
          <w:p w14:paraId="200A86E3"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إيرادات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التمويل</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المستلمة</w:t>
            </w:r>
          </w:p>
        </w:tc>
        <w:tc>
          <w:tcPr>
            <w:tcW w:w="1440" w:type="dxa"/>
            <w:tcBorders>
              <w:top w:val="single" w:sz="4" w:space="0" w:color="0B3D85"/>
              <w:left w:val="nil"/>
              <w:bottom w:val="single" w:sz="4" w:space="0" w:color="0B3D85"/>
              <w:right w:val="nil"/>
            </w:tcBorders>
            <w:vAlign w:val="center"/>
          </w:tcPr>
          <w:p w14:paraId="4EE5633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3,760</w:t>
            </w:r>
          </w:p>
        </w:tc>
        <w:tc>
          <w:tcPr>
            <w:tcW w:w="1440" w:type="dxa"/>
            <w:tcBorders>
              <w:top w:val="single" w:sz="4" w:space="0" w:color="0B3D85"/>
              <w:left w:val="nil"/>
              <w:bottom w:val="single" w:sz="4" w:space="0" w:color="0B3D85"/>
              <w:right w:val="nil"/>
            </w:tcBorders>
            <w:vAlign w:val="center"/>
          </w:tcPr>
          <w:p w14:paraId="511D24E1"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2,053</w:t>
            </w:r>
          </w:p>
        </w:tc>
        <w:tc>
          <w:tcPr>
            <w:tcW w:w="1440" w:type="dxa"/>
            <w:tcBorders>
              <w:top w:val="single" w:sz="4" w:space="0" w:color="0B3D85"/>
              <w:left w:val="nil"/>
              <w:bottom w:val="single" w:sz="4" w:space="0" w:color="0B3D85"/>
              <w:right w:val="nil"/>
            </w:tcBorders>
            <w:vAlign w:val="center"/>
          </w:tcPr>
          <w:p w14:paraId="661CA008"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13,105</w:t>
            </w:r>
          </w:p>
        </w:tc>
        <w:tc>
          <w:tcPr>
            <w:tcW w:w="1440" w:type="dxa"/>
            <w:tcBorders>
              <w:top w:val="single" w:sz="4" w:space="0" w:color="0B3D85"/>
              <w:left w:val="nil"/>
              <w:bottom w:val="single" w:sz="4" w:space="0" w:color="0B3D85"/>
              <w:right w:val="nil"/>
            </w:tcBorders>
            <w:vAlign w:val="center"/>
          </w:tcPr>
          <w:p w14:paraId="73343A0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6,022</w:t>
            </w:r>
          </w:p>
        </w:tc>
      </w:tr>
      <w:tr w:rsidR="00563389" w:rsidRPr="00563389" w14:paraId="7A0A0642" w14:textId="77777777" w:rsidTr="00922116">
        <w:tc>
          <w:tcPr>
            <w:tcW w:w="3600" w:type="dxa"/>
            <w:tcBorders>
              <w:top w:val="single" w:sz="4" w:space="0" w:color="0B3D85"/>
              <w:bottom w:val="single" w:sz="4" w:space="0" w:color="0B3D85"/>
              <w:right w:val="nil"/>
            </w:tcBorders>
          </w:tcPr>
          <w:p w14:paraId="2B04E890"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hAnsi="Traditional Arabic" w:cs="Traditional Arabic" w:hint="eastAsia"/>
                <w:b/>
                <w:bCs/>
                <w:color w:val="000000"/>
                <w:sz w:val="24"/>
                <w:rtl/>
              </w:rPr>
              <w:t>صافي</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التدفقات</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النقدية</w:t>
            </w:r>
            <w:r w:rsidRPr="00B934CE">
              <w:rPr>
                <w:rFonts w:ascii="Traditional Arabic" w:hAnsi="Traditional Arabic" w:cs="Traditional Arabic"/>
                <w:b/>
                <w:bCs/>
                <w:color w:val="000000"/>
                <w:sz w:val="24"/>
                <w:rtl/>
              </w:rPr>
              <w:t xml:space="preserve"> (المستخدمة </w:t>
            </w:r>
            <w:r w:rsidRPr="00B934CE">
              <w:rPr>
                <w:rFonts w:ascii="Traditional Arabic" w:hAnsi="Traditional Arabic" w:cs="Traditional Arabic" w:hint="eastAsia"/>
                <w:b/>
                <w:bCs/>
                <w:color w:val="000000"/>
                <w:sz w:val="24"/>
                <w:rtl/>
              </w:rPr>
              <w:t>في</w:t>
            </w:r>
            <w:r w:rsidRPr="00B934CE">
              <w:rPr>
                <w:rFonts w:ascii="Traditional Arabic" w:hAnsi="Traditional Arabic" w:cs="Traditional Arabic"/>
                <w:b/>
                <w:bCs/>
                <w:color w:val="000000"/>
                <w:sz w:val="24"/>
                <w:rtl/>
              </w:rPr>
              <w:t>) /</w:t>
            </w:r>
            <w:r w:rsidRPr="00B934CE">
              <w:rPr>
                <w:rFonts w:ascii="Traditional Arabic" w:hAnsi="Traditional Arabic" w:cs="Traditional Arabic" w:hint="eastAsia"/>
                <w:b/>
                <w:bCs/>
                <w:color w:val="000000"/>
                <w:sz w:val="24"/>
                <w:rtl/>
              </w:rPr>
              <w:t>الناتجة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من</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الأنشطة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الاستثمارية</w:t>
            </w:r>
            <w:r w:rsidRPr="00B934CE">
              <w:rPr>
                <w:rFonts w:ascii="Traditional Arabic" w:hAnsi="Traditional Arabic" w:cs="Traditional Arabic"/>
                <w:b/>
                <w:bCs/>
                <w:color w:val="000000"/>
                <w:sz w:val="24"/>
                <w:rtl/>
              </w:rPr>
              <w:t xml:space="preserve"> </w:t>
            </w:r>
          </w:p>
        </w:tc>
        <w:tc>
          <w:tcPr>
            <w:tcW w:w="1440" w:type="dxa"/>
            <w:tcBorders>
              <w:top w:val="single" w:sz="4" w:space="0" w:color="0B3D85"/>
              <w:left w:val="nil"/>
              <w:bottom w:val="single" w:sz="4" w:space="0" w:color="0B3D85"/>
              <w:right w:val="nil"/>
            </w:tcBorders>
            <w:vAlign w:val="center"/>
          </w:tcPr>
          <w:p w14:paraId="765AA717"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(61,288)</w:t>
            </w:r>
          </w:p>
        </w:tc>
        <w:tc>
          <w:tcPr>
            <w:tcW w:w="1440" w:type="dxa"/>
            <w:tcBorders>
              <w:top w:val="single" w:sz="4" w:space="0" w:color="0B3D85"/>
              <w:left w:val="nil"/>
              <w:bottom w:val="single" w:sz="4" w:space="0" w:color="0B3D85"/>
              <w:right w:val="nil"/>
            </w:tcBorders>
            <w:vAlign w:val="center"/>
          </w:tcPr>
          <w:p w14:paraId="0EC901D6"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46,162</w:t>
            </w:r>
          </w:p>
        </w:tc>
        <w:tc>
          <w:tcPr>
            <w:tcW w:w="1440" w:type="dxa"/>
            <w:tcBorders>
              <w:top w:val="single" w:sz="4" w:space="0" w:color="0B3D85"/>
              <w:left w:val="nil"/>
              <w:bottom w:val="single" w:sz="4" w:space="0" w:color="0B3D85"/>
              <w:right w:val="nil"/>
            </w:tcBorders>
            <w:vAlign w:val="center"/>
          </w:tcPr>
          <w:p w14:paraId="5058388C"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(11,401)</w:t>
            </w:r>
          </w:p>
        </w:tc>
        <w:tc>
          <w:tcPr>
            <w:tcW w:w="1440" w:type="dxa"/>
            <w:tcBorders>
              <w:top w:val="single" w:sz="4" w:space="0" w:color="0B3D85"/>
              <w:left w:val="nil"/>
              <w:bottom w:val="single" w:sz="4" w:space="0" w:color="0B3D85"/>
              <w:right w:val="nil"/>
            </w:tcBorders>
            <w:vAlign w:val="center"/>
          </w:tcPr>
          <w:p w14:paraId="637E297A"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20</w:t>
            </w:r>
          </w:p>
        </w:tc>
      </w:tr>
      <w:tr w:rsidR="00563389" w:rsidRPr="00563389" w14:paraId="6C810856" w14:textId="77777777" w:rsidTr="00922116">
        <w:tc>
          <w:tcPr>
            <w:tcW w:w="3600" w:type="dxa"/>
            <w:tcBorders>
              <w:top w:val="single" w:sz="4" w:space="0" w:color="0B3D85"/>
              <w:bottom w:val="single" w:sz="4" w:space="0" w:color="0B3D85"/>
              <w:right w:val="nil"/>
            </w:tcBorders>
          </w:tcPr>
          <w:p w14:paraId="6D9F031E"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eastAsia="Calibri" w:hAnsi="Traditional Arabic" w:cs="Traditional Arabic" w:hint="eastAsia"/>
                <w:b/>
                <w:bCs/>
                <w:sz w:val="24"/>
                <w:rtl/>
              </w:rPr>
              <w:t>التدفقات</w:t>
            </w:r>
            <w:r w:rsidRPr="00B934CE">
              <w:rPr>
                <w:rFonts w:ascii="Traditional Arabic" w:eastAsia="Calibri" w:hAnsi="Traditional Arabic" w:cs="Traditional Arabic"/>
                <w:b/>
                <w:bCs/>
                <w:sz w:val="24"/>
                <w:rtl/>
              </w:rPr>
              <w:t xml:space="preserve"> النقدية </w:t>
            </w:r>
            <w:r w:rsidRPr="00B934CE">
              <w:rPr>
                <w:rFonts w:ascii="Traditional Arabic" w:hAnsi="Traditional Arabic" w:cs="Traditional Arabic" w:hint="eastAsia"/>
                <w:b/>
                <w:bCs/>
                <w:color w:val="000000"/>
                <w:sz w:val="24"/>
                <w:rtl/>
              </w:rPr>
              <w:t>من</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الأنشطة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التمويلية</w:t>
            </w:r>
          </w:p>
        </w:tc>
        <w:tc>
          <w:tcPr>
            <w:tcW w:w="1440" w:type="dxa"/>
            <w:tcBorders>
              <w:top w:val="single" w:sz="4" w:space="0" w:color="0B3D85"/>
              <w:left w:val="nil"/>
              <w:bottom w:val="single" w:sz="4" w:space="0" w:color="0B3D85"/>
              <w:right w:val="nil"/>
            </w:tcBorders>
            <w:vAlign w:val="center"/>
          </w:tcPr>
          <w:p w14:paraId="08477A88" w14:textId="77777777" w:rsidR="00563389" w:rsidRPr="00B934CE" w:rsidRDefault="00563389" w:rsidP="00B934CE">
            <w:pPr>
              <w:bidi/>
              <w:jc w:val="center"/>
              <w:rPr>
                <w:rFonts w:ascii="Traditional Arabic" w:eastAsia="Calibri" w:hAnsi="Traditional Arabic" w:cs="Traditional Arabic"/>
                <w:b/>
                <w:bCs/>
                <w:sz w:val="24"/>
                <w:rtl/>
              </w:rPr>
            </w:pPr>
          </w:p>
        </w:tc>
        <w:tc>
          <w:tcPr>
            <w:tcW w:w="1440" w:type="dxa"/>
            <w:tcBorders>
              <w:top w:val="single" w:sz="4" w:space="0" w:color="0B3D85"/>
              <w:left w:val="nil"/>
              <w:bottom w:val="single" w:sz="4" w:space="0" w:color="0B3D85"/>
              <w:right w:val="nil"/>
            </w:tcBorders>
            <w:vAlign w:val="center"/>
          </w:tcPr>
          <w:p w14:paraId="393464C9" w14:textId="77777777" w:rsidR="00563389" w:rsidRPr="00B934CE" w:rsidRDefault="00563389" w:rsidP="00B934CE">
            <w:pPr>
              <w:bidi/>
              <w:jc w:val="center"/>
              <w:rPr>
                <w:rFonts w:ascii="Traditional Arabic" w:hAnsi="Traditional Arabic" w:cs="Traditional Arabic"/>
                <w:color w:val="000000"/>
                <w:sz w:val="24"/>
                <w:rtl/>
              </w:rPr>
            </w:pPr>
          </w:p>
        </w:tc>
        <w:tc>
          <w:tcPr>
            <w:tcW w:w="1440" w:type="dxa"/>
            <w:tcBorders>
              <w:top w:val="single" w:sz="4" w:space="0" w:color="0B3D85"/>
              <w:left w:val="nil"/>
              <w:bottom w:val="single" w:sz="4" w:space="0" w:color="0B3D85"/>
              <w:right w:val="nil"/>
            </w:tcBorders>
            <w:vAlign w:val="center"/>
          </w:tcPr>
          <w:p w14:paraId="2A0B4165" w14:textId="77777777" w:rsidR="00563389" w:rsidRPr="00B934CE" w:rsidRDefault="00563389" w:rsidP="00B934CE">
            <w:pPr>
              <w:bidi/>
              <w:jc w:val="center"/>
              <w:rPr>
                <w:rFonts w:ascii="Traditional Arabic" w:eastAsia="Calibri" w:hAnsi="Traditional Arabic" w:cs="Traditional Arabic"/>
                <w:b/>
                <w:bCs/>
                <w:sz w:val="24"/>
                <w:rtl/>
              </w:rPr>
            </w:pPr>
          </w:p>
        </w:tc>
        <w:tc>
          <w:tcPr>
            <w:tcW w:w="1440" w:type="dxa"/>
            <w:tcBorders>
              <w:top w:val="single" w:sz="4" w:space="0" w:color="0B3D85"/>
              <w:left w:val="nil"/>
              <w:bottom w:val="single" w:sz="4" w:space="0" w:color="0B3D85"/>
              <w:right w:val="nil"/>
            </w:tcBorders>
            <w:vAlign w:val="center"/>
          </w:tcPr>
          <w:p w14:paraId="0CD89962" w14:textId="77777777" w:rsidR="00563389" w:rsidRPr="00B934CE" w:rsidRDefault="00563389" w:rsidP="00B934CE">
            <w:pPr>
              <w:bidi/>
              <w:jc w:val="center"/>
              <w:rPr>
                <w:rFonts w:ascii="Traditional Arabic" w:eastAsia="Calibri" w:hAnsi="Traditional Arabic" w:cs="Traditional Arabic"/>
                <w:b/>
                <w:bCs/>
                <w:sz w:val="24"/>
                <w:rtl/>
              </w:rPr>
            </w:pPr>
          </w:p>
        </w:tc>
      </w:tr>
      <w:tr w:rsidR="00563389" w:rsidRPr="00563389" w14:paraId="3B973B16" w14:textId="77777777" w:rsidTr="00922116">
        <w:tc>
          <w:tcPr>
            <w:tcW w:w="3600" w:type="dxa"/>
            <w:tcBorders>
              <w:top w:val="single" w:sz="4" w:space="0" w:color="0B3D85"/>
              <w:bottom w:val="single" w:sz="4" w:space="0" w:color="0B3D85"/>
              <w:right w:val="nil"/>
            </w:tcBorders>
            <w:vAlign w:val="center"/>
          </w:tcPr>
          <w:p w14:paraId="2D29ACE0"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متحصلات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من</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قروض</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وسلفيات</w:t>
            </w:r>
          </w:p>
        </w:tc>
        <w:tc>
          <w:tcPr>
            <w:tcW w:w="1440" w:type="dxa"/>
            <w:tcBorders>
              <w:top w:val="single" w:sz="4" w:space="0" w:color="0B3D85"/>
              <w:left w:val="nil"/>
              <w:bottom w:val="single" w:sz="4" w:space="0" w:color="0B3D85"/>
              <w:right w:val="nil"/>
            </w:tcBorders>
            <w:vAlign w:val="center"/>
          </w:tcPr>
          <w:p w14:paraId="32D9DAE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64,200</w:t>
            </w:r>
          </w:p>
        </w:tc>
        <w:tc>
          <w:tcPr>
            <w:tcW w:w="1440" w:type="dxa"/>
            <w:tcBorders>
              <w:top w:val="single" w:sz="4" w:space="0" w:color="0B3D85"/>
              <w:left w:val="nil"/>
              <w:bottom w:val="single" w:sz="4" w:space="0" w:color="0B3D85"/>
              <w:right w:val="nil"/>
            </w:tcBorders>
            <w:vAlign w:val="center"/>
          </w:tcPr>
          <w:p w14:paraId="6AB08FDC"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w:t>
            </w:r>
          </w:p>
        </w:tc>
        <w:tc>
          <w:tcPr>
            <w:tcW w:w="1440" w:type="dxa"/>
            <w:tcBorders>
              <w:top w:val="single" w:sz="4" w:space="0" w:color="0B3D85"/>
              <w:left w:val="nil"/>
              <w:bottom w:val="single" w:sz="4" w:space="0" w:color="0B3D85"/>
              <w:right w:val="nil"/>
            </w:tcBorders>
            <w:vAlign w:val="center"/>
          </w:tcPr>
          <w:p w14:paraId="128BDBFE"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6,930</w:t>
            </w:r>
          </w:p>
        </w:tc>
        <w:tc>
          <w:tcPr>
            <w:tcW w:w="1440" w:type="dxa"/>
            <w:tcBorders>
              <w:top w:val="single" w:sz="4" w:space="0" w:color="0B3D85"/>
              <w:left w:val="nil"/>
              <w:bottom w:val="single" w:sz="4" w:space="0" w:color="0B3D85"/>
              <w:right w:val="nil"/>
            </w:tcBorders>
            <w:vAlign w:val="center"/>
          </w:tcPr>
          <w:p w14:paraId="1A83566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222,911</w:t>
            </w:r>
          </w:p>
        </w:tc>
      </w:tr>
      <w:tr w:rsidR="00563389" w:rsidRPr="00563389" w14:paraId="0B3F5064" w14:textId="77777777" w:rsidTr="00922116">
        <w:tc>
          <w:tcPr>
            <w:tcW w:w="3600" w:type="dxa"/>
            <w:tcBorders>
              <w:top w:val="single" w:sz="4" w:space="0" w:color="0B3D85"/>
              <w:bottom w:val="single" w:sz="4" w:space="0" w:color="0B3D85"/>
              <w:right w:val="nil"/>
            </w:tcBorders>
            <w:vAlign w:val="center"/>
          </w:tcPr>
          <w:p w14:paraId="33C28A44"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سداد</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قروض</w:t>
            </w:r>
          </w:p>
        </w:tc>
        <w:tc>
          <w:tcPr>
            <w:tcW w:w="1440" w:type="dxa"/>
            <w:tcBorders>
              <w:top w:val="single" w:sz="4" w:space="0" w:color="0B3D85"/>
              <w:left w:val="nil"/>
              <w:bottom w:val="single" w:sz="4" w:space="0" w:color="0B3D85"/>
              <w:right w:val="nil"/>
            </w:tcBorders>
            <w:vAlign w:val="center"/>
          </w:tcPr>
          <w:p w14:paraId="493F334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(144,053)</w:t>
            </w:r>
          </w:p>
        </w:tc>
        <w:tc>
          <w:tcPr>
            <w:tcW w:w="1440" w:type="dxa"/>
            <w:tcBorders>
              <w:top w:val="single" w:sz="4" w:space="0" w:color="0B3D85"/>
              <w:left w:val="nil"/>
              <w:bottom w:val="single" w:sz="4" w:space="0" w:color="0B3D85"/>
              <w:right w:val="nil"/>
            </w:tcBorders>
            <w:vAlign w:val="center"/>
          </w:tcPr>
          <w:p w14:paraId="189F5688"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(61,164)</w:t>
            </w:r>
          </w:p>
        </w:tc>
        <w:tc>
          <w:tcPr>
            <w:tcW w:w="1440" w:type="dxa"/>
            <w:tcBorders>
              <w:top w:val="single" w:sz="4" w:space="0" w:color="0B3D85"/>
              <w:left w:val="nil"/>
              <w:bottom w:val="single" w:sz="4" w:space="0" w:color="0B3D85"/>
              <w:right w:val="nil"/>
            </w:tcBorders>
            <w:vAlign w:val="center"/>
          </w:tcPr>
          <w:p w14:paraId="33C75F2C"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(72,831)</w:t>
            </w:r>
          </w:p>
        </w:tc>
        <w:tc>
          <w:tcPr>
            <w:tcW w:w="1440" w:type="dxa"/>
            <w:tcBorders>
              <w:top w:val="single" w:sz="4" w:space="0" w:color="0B3D85"/>
              <w:left w:val="nil"/>
              <w:bottom w:val="single" w:sz="4" w:space="0" w:color="0B3D85"/>
              <w:right w:val="nil"/>
            </w:tcBorders>
            <w:vAlign w:val="center"/>
          </w:tcPr>
          <w:p w14:paraId="029AE491"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(257,476)</w:t>
            </w:r>
          </w:p>
        </w:tc>
      </w:tr>
      <w:tr w:rsidR="00563389" w:rsidRPr="00563389" w14:paraId="21BE4BD8" w14:textId="77777777" w:rsidTr="00922116">
        <w:tc>
          <w:tcPr>
            <w:tcW w:w="3600" w:type="dxa"/>
            <w:tcBorders>
              <w:top w:val="single" w:sz="4" w:space="0" w:color="0B3D85"/>
              <w:bottom w:val="single" w:sz="4" w:space="0" w:color="0B3D85"/>
              <w:right w:val="nil"/>
            </w:tcBorders>
            <w:vAlign w:val="center"/>
          </w:tcPr>
          <w:p w14:paraId="16FBCB46"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دفعات</w:t>
            </w:r>
            <w:r w:rsidRPr="00B934CE">
              <w:rPr>
                <w:rFonts w:ascii="Traditional Arabic" w:hAnsi="Traditional Arabic" w:cs="Traditional Arabic"/>
                <w:color w:val="000000"/>
                <w:sz w:val="24"/>
                <w:rtl/>
              </w:rPr>
              <w:t xml:space="preserve"> الايجار – المبلغ الأصلي </w:t>
            </w:r>
          </w:p>
        </w:tc>
        <w:tc>
          <w:tcPr>
            <w:tcW w:w="1440" w:type="dxa"/>
            <w:tcBorders>
              <w:top w:val="single" w:sz="4" w:space="0" w:color="0B3D85"/>
              <w:left w:val="nil"/>
              <w:bottom w:val="single" w:sz="4" w:space="0" w:color="0B3D85"/>
              <w:right w:val="nil"/>
            </w:tcBorders>
            <w:vAlign w:val="center"/>
          </w:tcPr>
          <w:p w14:paraId="54B1F6B7"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(9,470)</w:t>
            </w:r>
          </w:p>
        </w:tc>
        <w:tc>
          <w:tcPr>
            <w:tcW w:w="1440" w:type="dxa"/>
            <w:tcBorders>
              <w:top w:val="single" w:sz="4" w:space="0" w:color="0B3D85"/>
              <w:left w:val="nil"/>
              <w:bottom w:val="single" w:sz="4" w:space="0" w:color="0B3D85"/>
              <w:right w:val="nil"/>
            </w:tcBorders>
            <w:vAlign w:val="center"/>
          </w:tcPr>
          <w:p w14:paraId="4A52A136"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(23,821)</w:t>
            </w:r>
          </w:p>
        </w:tc>
        <w:tc>
          <w:tcPr>
            <w:tcW w:w="1440" w:type="dxa"/>
            <w:tcBorders>
              <w:top w:val="single" w:sz="4" w:space="0" w:color="0B3D85"/>
              <w:left w:val="nil"/>
              <w:bottom w:val="single" w:sz="4" w:space="0" w:color="0B3D85"/>
              <w:right w:val="nil"/>
            </w:tcBorders>
            <w:vAlign w:val="center"/>
          </w:tcPr>
          <w:p w14:paraId="5EFF64CA"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(69,564)</w:t>
            </w:r>
          </w:p>
        </w:tc>
        <w:tc>
          <w:tcPr>
            <w:tcW w:w="1440" w:type="dxa"/>
            <w:tcBorders>
              <w:top w:val="single" w:sz="4" w:space="0" w:color="0B3D85"/>
              <w:left w:val="nil"/>
              <w:bottom w:val="single" w:sz="4" w:space="0" w:color="0B3D85"/>
              <w:right w:val="nil"/>
            </w:tcBorders>
            <w:vAlign w:val="center"/>
          </w:tcPr>
          <w:p w14:paraId="06CA80D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(68,022)</w:t>
            </w:r>
          </w:p>
        </w:tc>
      </w:tr>
      <w:tr w:rsidR="00563389" w:rsidRPr="00563389" w14:paraId="7CBF2815" w14:textId="77777777" w:rsidTr="00922116">
        <w:tc>
          <w:tcPr>
            <w:tcW w:w="3600" w:type="dxa"/>
            <w:tcBorders>
              <w:top w:val="single" w:sz="4" w:space="0" w:color="0B3D85"/>
              <w:bottom w:val="single" w:sz="4" w:space="0" w:color="0B3D85"/>
              <w:right w:val="nil"/>
            </w:tcBorders>
            <w:vAlign w:val="center"/>
          </w:tcPr>
          <w:p w14:paraId="1C7061BB"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توزيعات</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أرباح</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hint="eastAsia"/>
                <w:color w:val="000000"/>
                <w:sz w:val="24"/>
                <w:rtl/>
              </w:rPr>
              <w:t>مدفوعة</w:t>
            </w:r>
          </w:p>
        </w:tc>
        <w:tc>
          <w:tcPr>
            <w:tcW w:w="1440" w:type="dxa"/>
            <w:tcBorders>
              <w:top w:val="single" w:sz="4" w:space="0" w:color="0B3D85"/>
              <w:left w:val="nil"/>
              <w:bottom w:val="single" w:sz="4" w:space="0" w:color="0B3D85"/>
              <w:right w:val="nil"/>
            </w:tcBorders>
            <w:vAlign w:val="center"/>
          </w:tcPr>
          <w:p w14:paraId="1E62089F"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(4,188)</w:t>
            </w:r>
          </w:p>
        </w:tc>
        <w:tc>
          <w:tcPr>
            <w:tcW w:w="1440" w:type="dxa"/>
            <w:tcBorders>
              <w:top w:val="single" w:sz="4" w:space="0" w:color="0B3D85"/>
              <w:left w:val="nil"/>
              <w:bottom w:val="single" w:sz="4" w:space="0" w:color="0B3D85"/>
              <w:right w:val="nil"/>
            </w:tcBorders>
            <w:vAlign w:val="center"/>
          </w:tcPr>
          <w:p w14:paraId="31F16C64"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(3,981)</w:t>
            </w:r>
          </w:p>
        </w:tc>
        <w:tc>
          <w:tcPr>
            <w:tcW w:w="1440" w:type="dxa"/>
            <w:tcBorders>
              <w:top w:val="single" w:sz="4" w:space="0" w:color="0B3D85"/>
              <w:left w:val="nil"/>
              <w:bottom w:val="single" w:sz="4" w:space="0" w:color="0B3D85"/>
              <w:right w:val="nil"/>
            </w:tcBorders>
            <w:vAlign w:val="center"/>
          </w:tcPr>
          <w:p w14:paraId="15D80DC0"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(42,158)</w:t>
            </w:r>
          </w:p>
        </w:tc>
        <w:tc>
          <w:tcPr>
            <w:tcW w:w="1440" w:type="dxa"/>
            <w:tcBorders>
              <w:top w:val="single" w:sz="4" w:space="0" w:color="0B3D85"/>
              <w:left w:val="nil"/>
              <w:bottom w:val="single" w:sz="4" w:space="0" w:color="0B3D85"/>
              <w:right w:val="nil"/>
            </w:tcBorders>
            <w:vAlign w:val="center"/>
          </w:tcPr>
          <w:p w14:paraId="1C9434E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(39,906)</w:t>
            </w:r>
          </w:p>
        </w:tc>
      </w:tr>
      <w:tr w:rsidR="00563389" w:rsidRPr="00563389" w14:paraId="696D5AC3" w14:textId="77777777" w:rsidTr="00922116">
        <w:tc>
          <w:tcPr>
            <w:tcW w:w="3600" w:type="dxa"/>
            <w:tcBorders>
              <w:top w:val="single" w:sz="4" w:space="0" w:color="0B3D85"/>
              <w:bottom w:val="single" w:sz="4" w:space="0" w:color="0B3D85"/>
              <w:right w:val="nil"/>
            </w:tcBorders>
            <w:vAlign w:val="center"/>
          </w:tcPr>
          <w:p w14:paraId="4C71B27A"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color w:val="000000"/>
                <w:sz w:val="24"/>
                <w:rtl/>
              </w:rPr>
              <w:t>نقد</w:t>
            </w:r>
            <w:r w:rsidRPr="00B934CE">
              <w:rPr>
                <w:rFonts w:ascii="Traditional Arabic" w:hAnsi="Traditional Arabic" w:cs="Traditional Arabic"/>
                <w:color w:val="000000"/>
                <w:sz w:val="24"/>
                <w:rtl/>
              </w:rPr>
              <w:t xml:space="preserve"> مقيد </w:t>
            </w:r>
          </w:p>
        </w:tc>
        <w:tc>
          <w:tcPr>
            <w:tcW w:w="1440" w:type="dxa"/>
            <w:tcBorders>
              <w:top w:val="single" w:sz="4" w:space="0" w:color="0B3D85"/>
              <w:left w:val="nil"/>
              <w:bottom w:val="single" w:sz="4" w:space="0" w:color="0B3D85"/>
              <w:right w:val="nil"/>
            </w:tcBorders>
            <w:vAlign w:val="center"/>
          </w:tcPr>
          <w:p w14:paraId="40D8CE1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5,112</w:t>
            </w:r>
          </w:p>
        </w:tc>
        <w:tc>
          <w:tcPr>
            <w:tcW w:w="1440" w:type="dxa"/>
            <w:tcBorders>
              <w:top w:val="single" w:sz="4" w:space="0" w:color="0B3D85"/>
              <w:left w:val="nil"/>
              <w:bottom w:val="single" w:sz="4" w:space="0" w:color="0B3D85"/>
              <w:right w:val="nil"/>
            </w:tcBorders>
            <w:vAlign w:val="center"/>
          </w:tcPr>
          <w:p w14:paraId="5867CF34"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w:t>
            </w:r>
          </w:p>
        </w:tc>
        <w:tc>
          <w:tcPr>
            <w:tcW w:w="1440" w:type="dxa"/>
            <w:tcBorders>
              <w:top w:val="single" w:sz="4" w:space="0" w:color="0B3D85"/>
              <w:left w:val="nil"/>
              <w:bottom w:val="single" w:sz="4" w:space="0" w:color="0B3D85"/>
              <w:right w:val="nil"/>
            </w:tcBorders>
            <w:vAlign w:val="center"/>
          </w:tcPr>
          <w:p w14:paraId="2184DF3A"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w:t>
            </w:r>
          </w:p>
        </w:tc>
        <w:tc>
          <w:tcPr>
            <w:tcW w:w="1440" w:type="dxa"/>
            <w:tcBorders>
              <w:top w:val="single" w:sz="4" w:space="0" w:color="0B3D85"/>
              <w:left w:val="nil"/>
              <w:bottom w:val="single" w:sz="4" w:space="0" w:color="0B3D85"/>
              <w:right w:val="nil"/>
            </w:tcBorders>
            <w:vAlign w:val="center"/>
          </w:tcPr>
          <w:p w14:paraId="017465AD"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r>
      <w:tr w:rsidR="00563389" w:rsidRPr="00563389" w14:paraId="3809B458" w14:textId="77777777" w:rsidTr="00922116">
        <w:tc>
          <w:tcPr>
            <w:tcW w:w="3600" w:type="dxa"/>
            <w:tcBorders>
              <w:top w:val="single" w:sz="4" w:space="0" w:color="0B3D85"/>
              <w:bottom w:val="single" w:sz="4" w:space="0" w:color="0B3D85"/>
              <w:right w:val="nil"/>
            </w:tcBorders>
            <w:vAlign w:val="center"/>
          </w:tcPr>
          <w:p w14:paraId="233FDE88"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color w:val="000000"/>
                <w:sz w:val="24"/>
                <w:rtl/>
              </w:rPr>
              <w:t>تكاليف التمويل المؤجلة المدفوعة</w:t>
            </w:r>
          </w:p>
        </w:tc>
        <w:tc>
          <w:tcPr>
            <w:tcW w:w="1440" w:type="dxa"/>
            <w:tcBorders>
              <w:top w:val="single" w:sz="4" w:space="0" w:color="0B3D85"/>
              <w:left w:val="nil"/>
              <w:bottom w:val="single" w:sz="4" w:space="0" w:color="0B3D85"/>
              <w:right w:val="nil"/>
            </w:tcBorders>
            <w:vAlign w:val="center"/>
          </w:tcPr>
          <w:p w14:paraId="6448D7BA"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(706)</w:t>
            </w:r>
          </w:p>
        </w:tc>
        <w:tc>
          <w:tcPr>
            <w:tcW w:w="1440" w:type="dxa"/>
            <w:tcBorders>
              <w:top w:val="single" w:sz="4" w:space="0" w:color="0B3D85"/>
              <w:left w:val="nil"/>
              <w:bottom w:val="single" w:sz="4" w:space="0" w:color="0B3D85"/>
              <w:right w:val="nil"/>
            </w:tcBorders>
            <w:vAlign w:val="center"/>
          </w:tcPr>
          <w:p w14:paraId="5988EFFB"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w:t>
            </w:r>
          </w:p>
        </w:tc>
        <w:tc>
          <w:tcPr>
            <w:tcW w:w="1440" w:type="dxa"/>
            <w:tcBorders>
              <w:top w:val="single" w:sz="4" w:space="0" w:color="0B3D85"/>
              <w:left w:val="nil"/>
              <w:bottom w:val="single" w:sz="4" w:space="0" w:color="0B3D85"/>
              <w:right w:val="nil"/>
            </w:tcBorders>
            <w:vAlign w:val="center"/>
          </w:tcPr>
          <w:p w14:paraId="756B6239"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w:t>
            </w:r>
          </w:p>
        </w:tc>
        <w:tc>
          <w:tcPr>
            <w:tcW w:w="1440" w:type="dxa"/>
            <w:tcBorders>
              <w:top w:val="single" w:sz="4" w:space="0" w:color="0B3D85"/>
              <w:left w:val="nil"/>
              <w:bottom w:val="single" w:sz="4" w:space="0" w:color="0B3D85"/>
              <w:right w:val="nil"/>
            </w:tcBorders>
            <w:vAlign w:val="center"/>
          </w:tcPr>
          <w:p w14:paraId="33A4101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(249)</w:t>
            </w:r>
          </w:p>
        </w:tc>
      </w:tr>
      <w:tr w:rsidR="00563389" w:rsidRPr="00563389" w14:paraId="7B5A130C" w14:textId="77777777" w:rsidTr="00922116">
        <w:tc>
          <w:tcPr>
            <w:tcW w:w="3600" w:type="dxa"/>
            <w:tcBorders>
              <w:top w:val="single" w:sz="4" w:space="0" w:color="0B3D85"/>
              <w:bottom w:val="single" w:sz="4" w:space="0" w:color="0B3D85"/>
              <w:right w:val="nil"/>
            </w:tcBorders>
          </w:tcPr>
          <w:p w14:paraId="67586F14"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hint="eastAsia"/>
                <w:b/>
                <w:bCs/>
                <w:color w:val="000000"/>
                <w:sz w:val="24"/>
                <w:rtl/>
              </w:rPr>
              <w:t>صافي</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التدفقات</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النقدية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الناتجة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من</w:t>
            </w:r>
            <w:r w:rsidRPr="00B934CE">
              <w:rPr>
                <w:rFonts w:ascii="Traditional Arabic" w:hAnsi="Traditional Arabic" w:cs="Traditional Arabic"/>
                <w:b/>
                <w:bCs/>
                <w:color w:val="000000"/>
                <w:sz w:val="24"/>
                <w:rtl/>
              </w:rPr>
              <w:t xml:space="preserve">/ (المستخدمة </w:t>
            </w:r>
            <w:r w:rsidRPr="00B934CE">
              <w:rPr>
                <w:rFonts w:ascii="Traditional Arabic" w:hAnsi="Traditional Arabic" w:cs="Traditional Arabic" w:hint="eastAsia"/>
                <w:b/>
                <w:bCs/>
                <w:color w:val="000000"/>
                <w:sz w:val="24"/>
                <w:rtl/>
              </w:rPr>
              <w:t>في</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الأنشطة</w:t>
            </w:r>
            <w:r w:rsidRPr="00B934CE">
              <w:rPr>
                <w:rFonts w:ascii="Traditional Arabic" w:hAnsi="Traditional Arabic" w:cs="Traditional Arabic"/>
                <w:b/>
                <w:bCs/>
                <w:color w:val="000000"/>
                <w:sz w:val="24"/>
                <w:rtl/>
              </w:rPr>
              <w:t xml:space="preserve"> </w:t>
            </w:r>
            <w:r w:rsidRPr="00B934CE">
              <w:rPr>
                <w:rFonts w:ascii="Traditional Arabic" w:hAnsi="Traditional Arabic" w:cs="Traditional Arabic" w:hint="eastAsia"/>
                <w:b/>
                <w:bCs/>
                <w:color w:val="000000"/>
                <w:sz w:val="24"/>
                <w:rtl/>
              </w:rPr>
              <w:t>التمويلية</w:t>
            </w:r>
          </w:p>
        </w:tc>
        <w:tc>
          <w:tcPr>
            <w:tcW w:w="1440" w:type="dxa"/>
            <w:tcBorders>
              <w:top w:val="single" w:sz="4" w:space="0" w:color="0B3D85"/>
              <w:left w:val="nil"/>
              <w:bottom w:val="single" w:sz="4" w:space="0" w:color="0B3D85"/>
              <w:right w:val="nil"/>
            </w:tcBorders>
            <w:vAlign w:val="center"/>
          </w:tcPr>
          <w:p w14:paraId="46AA4DAC"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(89,107)</w:t>
            </w:r>
          </w:p>
        </w:tc>
        <w:tc>
          <w:tcPr>
            <w:tcW w:w="1440" w:type="dxa"/>
            <w:tcBorders>
              <w:top w:val="single" w:sz="4" w:space="0" w:color="0B3D85"/>
              <w:left w:val="nil"/>
              <w:bottom w:val="single" w:sz="4" w:space="0" w:color="0B3D85"/>
              <w:right w:val="nil"/>
            </w:tcBorders>
            <w:vAlign w:val="center"/>
          </w:tcPr>
          <w:p w14:paraId="0E729F8C"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(88,966)</w:t>
            </w:r>
          </w:p>
        </w:tc>
        <w:tc>
          <w:tcPr>
            <w:tcW w:w="1440" w:type="dxa"/>
            <w:tcBorders>
              <w:top w:val="single" w:sz="4" w:space="0" w:color="0B3D85"/>
              <w:left w:val="nil"/>
              <w:bottom w:val="single" w:sz="4" w:space="0" w:color="0B3D85"/>
              <w:right w:val="nil"/>
            </w:tcBorders>
            <w:vAlign w:val="center"/>
          </w:tcPr>
          <w:p w14:paraId="5E5F6C17"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(177,623)</w:t>
            </w:r>
          </w:p>
        </w:tc>
        <w:tc>
          <w:tcPr>
            <w:tcW w:w="1440" w:type="dxa"/>
            <w:tcBorders>
              <w:top w:val="single" w:sz="4" w:space="0" w:color="0B3D85"/>
              <w:left w:val="nil"/>
              <w:bottom w:val="single" w:sz="4" w:space="0" w:color="0B3D85"/>
              <w:right w:val="nil"/>
            </w:tcBorders>
            <w:vAlign w:val="center"/>
          </w:tcPr>
          <w:p w14:paraId="0DC28AF8" w14:textId="77777777" w:rsidR="00563389" w:rsidRPr="00B934CE" w:rsidRDefault="00FB1133" w:rsidP="00B934CE">
            <w:pPr>
              <w:bidi/>
              <w:jc w:val="center"/>
              <w:rPr>
                <w:rFonts w:ascii="Traditional Arabic" w:eastAsia="Calibri" w:hAnsi="Traditional Arabic" w:cs="Traditional Arabic"/>
                <w:b/>
                <w:bCs/>
                <w:sz w:val="24"/>
                <w:rtl/>
              </w:rPr>
            </w:pPr>
            <w:r>
              <w:rPr>
                <w:rFonts w:ascii="Traditional Arabic" w:eastAsia="Calibri" w:hAnsi="Traditional Arabic" w:cs="Traditional Arabic" w:hint="cs"/>
                <w:b/>
                <w:bCs/>
                <w:sz w:val="24"/>
                <w:rtl/>
              </w:rPr>
              <w:t>(</w:t>
            </w:r>
            <w:r w:rsidR="003E76F8">
              <w:rPr>
                <w:rFonts w:ascii="Traditional Arabic" w:eastAsia="Calibri" w:hAnsi="Traditional Arabic" w:cs="Traditional Arabic" w:hint="cs"/>
                <w:b/>
                <w:bCs/>
                <w:sz w:val="24"/>
                <w:rtl/>
              </w:rPr>
              <w:t>124.742</w:t>
            </w:r>
            <w:r>
              <w:rPr>
                <w:rFonts w:ascii="Traditional Arabic" w:eastAsia="Calibri" w:hAnsi="Traditional Arabic" w:cs="Traditional Arabic" w:hint="cs"/>
                <w:b/>
                <w:bCs/>
                <w:sz w:val="24"/>
                <w:rtl/>
              </w:rPr>
              <w:t>)</w:t>
            </w:r>
          </w:p>
        </w:tc>
      </w:tr>
      <w:tr w:rsidR="00563389" w:rsidRPr="00563389" w14:paraId="04727467" w14:textId="77777777" w:rsidTr="00922116">
        <w:tc>
          <w:tcPr>
            <w:tcW w:w="3600" w:type="dxa"/>
            <w:tcBorders>
              <w:top w:val="single" w:sz="4" w:space="0" w:color="0B3D85"/>
              <w:bottom w:val="single" w:sz="4" w:space="0" w:color="0B3D85"/>
              <w:right w:val="nil"/>
            </w:tcBorders>
            <w:vAlign w:val="center"/>
          </w:tcPr>
          <w:p w14:paraId="4999B416"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 xml:space="preserve">صافي (النقص) / الزيادة في النقد وما يعادله </w:t>
            </w:r>
          </w:p>
        </w:tc>
        <w:tc>
          <w:tcPr>
            <w:tcW w:w="1440" w:type="dxa"/>
            <w:tcBorders>
              <w:top w:val="single" w:sz="4" w:space="0" w:color="0B3D85"/>
              <w:left w:val="nil"/>
              <w:bottom w:val="single" w:sz="4" w:space="0" w:color="0B3D85"/>
              <w:right w:val="nil"/>
            </w:tcBorders>
            <w:vAlign w:val="center"/>
          </w:tcPr>
          <w:p w14:paraId="289E8C3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(83,561)</w:t>
            </w:r>
          </w:p>
        </w:tc>
        <w:tc>
          <w:tcPr>
            <w:tcW w:w="1440" w:type="dxa"/>
            <w:tcBorders>
              <w:top w:val="single" w:sz="4" w:space="0" w:color="0B3D85"/>
              <w:left w:val="nil"/>
              <w:bottom w:val="single" w:sz="4" w:space="0" w:color="0B3D85"/>
              <w:right w:val="nil"/>
            </w:tcBorders>
          </w:tcPr>
          <w:p w14:paraId="65767DE9"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35,252</w:t>
            </w:r>
          </w:p>
        </w:tc>
        <w:tc>
          <w:tcPr>
            <w:tcW w:w="1440" w:type="dxa"/>
            <w:tcBorders>
              <w:top w:val="single" w:sz="4" w:space="0" w:color="0B3D85"/>
              <w:left w:val="nil"/>
              <w:bottom w:val="single" w:sz="4" w:space="0" w:color="0B3D85"/>
              <w:right w:val="nil"/>
            </w:tcBorders>
          </w:tcPr>
          <w:p w14:paraId="0DC9429E"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(6,568)</w:t>
            </w:r>
          </w:p>
        </w:tc>
        <w:tc>
          <w:tcPr>
            <w:tcW w:w="1440" w:type="dxa"/>
            <w:tcBorders>
              <w:top w:val="single" w:sz="4" w:space="0" w:color="0B3D85"/>
              <w:left w:val="nil"/>
              <w:bottom w:val="single" w:sz="4" w:space="0" w:color="0B3D85"/>
              <w:right w:val="nil"/>
            </w:tcBorders>
            <w:vAlign w:val="center"/>
          </w:tcPr>
          <w:p w14:paraId="7D0D5B3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(10,419)</w:t>
            </w:r>
          </w:p>
        </w:tc>
      </w:tr>
      <w:tr w:rsidR="00563389" w:rsidRPr="00563389" w14:paraId="4AC8654E" w14:textId="77777777" w:rsidTr="00922116">
        <w:tc>
          <w:tcPr>
            <w:tcW w:w="3600" w:type="dxa"/>
            <w:tcBorders>
              <w:top w:val="single" w:sz="4" w:space="0" w:color="0B3D85"/>
              <w:bottom w:val="single" w:sz="4" w:space="0" w:color="0B3D85"/>
              <w:right w:val="nil"/>
            </w:tcBorders>
            <w:vAlign w:val="center"/>
          </w:tcPr>
          <w:p w14:paraId="35E85847" w14:textId="77777777" w:rsidR="00563389" w:rsidRPr="00B934CE" w:rsidRDefault="00563389" w:rsidP="00B934CE">
            <w:pPr>
              <w:bidi/>
              <w:rPr>
                <w:rFonts w:ascii="Traditional Arabic" w:hAnsi="Traditional Arabic" w:cs="Traditional Arabic"/>
                <w:b/>
                <w:bCs/>
                <w:color w:val="000000"/>
                <w:sz w:val="24"/>
                <w:rtl/>
                <w:lang w:bidi="ar"/>
              </w:rPr>
            </w:pPr>
            <w:r w:rsidRPr="00B934CE">
              <w:rPr>
                <w:rFonts w:ascii="Traditional Arabic" w:hAnsi="Traditional Arabic" w:cs="Traditional Arabic"/>
                <w:color w:val="000000"/>
                <w:sz w:val="24"/>
                <w:rtl/>
              </w:rPr>
              <w:t xml:space="preserve">النقد وما يعادله في بداية السنة/ الفترة </w:t>
            </w:r>
          </w:p>
        </w:tc>
        <w:tc>
          <w:tcPr>
            <w:tcW w:w="1440" w:type="dxa"/>
            <w:tcBorders>
              <w:top w:val="single" w:sz="4" w:space="0" w:color="0B3D85"/>
              <w:left w:val="nil"/>
              <w:bottom w:val="single" w:sz="4" w:space="0" w:color="0B3D85"/>
              <w:right w:val="nil"/>
            </w:tcBorders>
            <w:vAlign w:val="center"/>
          </w:tcPr>
          <w:p w14:paraId="2D8F72DC"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98,638</w:t>
            </w:r>
          </w:p>
        </w:tc>
        <w:tc>
          <w:tcPr>
            <w:tcW w:w="1440" w:type="dxa"/>
            <w:tcBorders>
              <w:top w:val="single" w:sz="4" w:space="0" w:color="0B3D85"/>
              <w:left w:val="nil"/>
              <w:bottom w:val="single" w:sz="4" w:space="0" w:color="0B3D85"/>
              <w:right w:val="nil"/>
            </w:tcBorders>
          </w:tcPr>
          <w:p w14:paraId="73363E4E"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15,077</w:t>
            </w:r>
          </w:p>
        </w:tc>
        <w:tc>
          <w:tcPr>
            <w:tcW w:w="1440" w:type="dxa"/>
            <w:tcBorders>
              <w:top w:val="single" w:sz="4" w:space="0" w:color="0B3D85"/>
              <w:left w:val="nil"/>
              <w:bottom w:val="single" w:sz="4" w:space="0" w:color="0B3D85"/>
              <w:right w:val="nil"/>
            </w:tcBorders>
          </w:tcPr>
          <w:p w14:paraId="0301351E" w14:textId="77777777" w:rsidR="00563389" w:rsidRPr="00B934CE" w:rsidRDefault="00563389" w:rsidP="00B934CE">
            <w:pPr>
              <w:bidi/>
              <w:jc w:val="center"/>
              <w:rPr>
                <w:rFonts w:ascii="Traditional Arabic" w:hAnsi="Traditional Arabic" w:cs="Traditional Arabic"/>
                <w:color w:val="000000"/>
                <w:sz w:val="24"/>
                <w:rtl/>
              </w:rPr>
            </w:pPr>
            <w:r w:rsidRPr="00B934CE">
              <w:rPr>
                <w:rFonts w:ascii="Traditional Arabic" w:hAnsi="Traditional Arabic" w:cs="Traditional Arabic"/>
                <w:color w:val="000000"/>
                <w:sz w:val="24"/>
                <w:rtl/>
              </w:rPr>
              <w:t>50,329</w:t>
            </w:r>
          </w:p>
        </w:tc>
        <w:tc>
          <w:tcPr>
            <w:tcW w:w="1440" w:type="dxa"/>
            <w:tcBorders>
              <w:top w:val="single" w:sz="4" w:space="0" w:color="0B3D85"/>
              <w:left w:val="nil"/>
              <w:bottom w:val="single" w:sz="4" w:space="0" w:color="0B3D85"/>
              <w:right w:val="nil"/>
            </w:tcBorders>
            <w:vAlign w:val="center"/>
          </w:tcPr>
          <w:p w14:paraId="605F804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43,762</w:t>
            </w:r>
          </w:p>
        </w:tc>
      </w:tr>
      <w:tr w:rsidR="00563389" w:rsidRPr="00563389" w14:paraId="0789AF56" w14:textId="77777777" w:rsidTr="00922116">
        <w:trPr>
          <w:trHeight w:val="58"/>
        </w:trPr>
        <w:tc>
          <w:tcPr>
            <w:tcW w:w="3600" w:type="dxa"/>
            <w:tcBorders>
              <w:top w:val="single" w:sz="4" w:space="0" w:color="0B3D85"/>
              <w:bottom w:val="single" w:sz="4" w:space="0" w:color="0B3D85"/>
              <w:right w:val="nil"/>
            </w:tcBorders>
            <w:vAlign w:val="center"/>
          </w:tcPr>
          <w:p w14:paraId="04E33F73" w14:textId="77777777" w:rsidR="00563389" w:rsidRPr="00B934CE" w:rsidRDefault="00563389" w:rsidP="00B934CE">
            <w:pPr>
              <w:bidi/>
              <w:rPr>
                <w:rFonts w:ascii="Traditional Arabic" w:hAnsi="Traditional Arabic" w:cs="Traditional Arabic"/>
                <w:b/>
                <w:bCs/>
                <w:color w:val="000000"/>
                <w:sz w:val="24"/>
                <w:rtl/>
                <w:lang w:bidi="ar"/>
              </w:rPr>
            </w:pPr>
            <w:r w:rsidRPr="00B934CE">
              <w:rPr>
                <w:rFonts w:ascii="Traditional Arabic" w:hAnsi="Traditional Arabic" w:cs="Traditional Arabic"/>
                <w:b/>
                <w:bCs/>
                <w:color w:val="000000"/>
                <w:sz w:val="24"/>
                <w:rtl/>
              </w:rPr>
              <w:t>النقد وما يعادله</w:t>
            </w:r>
            <w:r w:rsidRPr="00B934CE">
              <w:rPr>
                <w:rFonts w:ascii="Traditional Arabic" w:hAnsi="Traditional Arabic" w:cs="Traditional Arabic"/>
                <w:color w:val="000000"/>
                <w:sz w:val="24"/>
                <w:rtl/>
              </w:rPr>
              <w:t xml:space="preserve"> </w:t>
            </w:r>
            <w:r w:rsidRPr="00B934CE">
              <w:rPr>
                <w:rFonts w:ascii="Traditional Arabic" w:hAnsi="Traditional Arabic" w:cs="Traditional Arabic"/>
                <w:b/>
                <w:bCs/>
                <w:color w:val="000000"/>
                <w:sz w:val="24"/>
                <w:rtl/>
              </w:rPr>
              <w:t>في نهاية السنة</w:t>
            </w:r>
            <w:r w:rsidRPr="00B934CE">
              <w:rPr>
                <w:rFonts w:ascii="Traditional Arabic" w:hAnsi="Traditional Arabic" w:cs="Traditional Arabic"/>
                <w:b/>
                <w:bCs/>
                <w:color w:val="000000"/>
                <w:sz w:val="24"/>
                <w:rtl/>
                <w:lang w:bidi="ar"/>
              </w:rPr>
              <w:t xml:space="preserve">/ </w:t>
            </w:r>
            <w:r w:rsidRPr="00240371">
              <w:rPr>
                <w:rFonts w:ascii="Traditional Arabic" w:hAnsi="Traditional Arabic" w:cs="Traditional Arabic" w:hint="eastAsia"/>
                <w:b/>
                <w:bCs/>
                <w:color w:val="000000"/>
                <w:sz w:val="24"/>
                <w:rtl/>
                <w:lang w:bidi="ar"/>
              </w:rPr>
              <w:t>الفترة</w:t>
            </w:r>
          </w:p>
        </w:tc>
        <w:tc>
          <w:tcPr>
            <w:tcW w:w="1440" w:type="dxa"/>
            <w:tcBorders>
              <w:top w:val="single" w:sz="4" w:space="0" w:color="0B3D85"/>
              <w:left w:val="nil"/>
              <w:bottom w:val="single" w:sz="4" w:space="0" w:color="0B3D85"/>
              <w:right w:val="nil"/>
            </w:tcBorders>
            <w:vAlign w:val="center"/>
          </w:tcPr>
          <w:p w14:paraId="1D05D7A6"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15,077</w:t>
            </w:r>
          </w:p>
        </w:tc>
        <w:tc>
          <w:tcPr>
            <w:tcW w:w="1440" w:type="dxa"/>
            <w:tcBorders>
              <w:top w:val="single" w:sz="4" w:space="0" w:color="0B3D85"/>
              <w:left w:val="nil"/>
              <w:bottom w:val="single" w:sz="4" w:space="0" w:color="0B3D85"/>
              <w:right w:val="nil"/>
            </w:tcBorders>
          </w:tcPr>
          <w:p w14:paraId="042ECFFA"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50,329</w:t>
            </w:r>
          </w:p>
        </w:tc>
        <w:tc>
          <w:tcPr>
            <w:tcW w:w="1440" w:type="dxa"/>
            <w:tcBorders>
              <w:top w:val="single" w:sz="4" w:space="0" w:color="0B3D85"/>
              <w:left w:val="nil"/>
              <w:bottom w:val="single" w:sz="4" w:space="0" w:color="0B3D85"/>
              <w:right w:val="nil"/>
            </w:tcBorders>
          </w:tcPr>
          <w:p w14:paraId="12ED670A" w14:textId="77777777" w:rsidR="00563389" w:rsidRPr="00B934CE" w:rsidRDefault="00563389" w:rsidP="00B934CE">
            <w:pPr>
              <w:bidi/>
              <w:jc w:val="center"/>
              <w:rPr>
                <w:rFonts w:ascii="Traditional Arabic" w:hAnsi="Traditional Arabic" w:cs="Traditional Arabic"/>
                <w:b/>
                <w:bCs/>
                <w:color w:val="000000"/>
                <w:sz w:val="24"/>
                <w:rtl/>
              </w:rPr>
            </w:pPr>
            <w:r w:rsidRPr="00B934CE">
              <w:rPr>
                <w:rFonts w:ascii="Traditional Arabic" w:hAnsi="Traditional Arabic" w:cs="Traditional Arabic"/>
                <w:b/>
                <w:bCs/>
                <w:color w:val="000000"/>
                <w:sz w:val="24"/>
                <w:rtl/>
              </w:rPr>
              <w:t>43,762</w:t>
            </w:r>
          </w:p>
        </w:tc>
        <w:tc>
          <w:tcPr>
            <w:tcW w:w="1440" w:type="dxa"/>
            <w:tcBorders>
              <w:top w:val="single" w:sz="4" w:space="0" w:color="0B3D85"/>
              <w:left w:val="nil"/>
              <w:bottom w:val="single" w:sz="4" w:space="0" w:color="0B3D85"/>
              <w:right w:val="nil"/>
            </w:tcBorders>
            <w:vAlign w:val="center"/>
          </w:tcPr>
          <w:p w14:paraId="3896AD78"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33,343</w:t>
            </w:r>
          </w:p>
        </w:tc>
      </w:tr>
    </w:tbl>
    <w:p w14:paraId="48182872" w14:textId="77777777" w:rsidR="00563389" w:rsidRPr="00B934CE" w:rsidRDefault="00563389" w:rsidP="00B934CE">
      <w:pPr>
        <w:bidi/>
        <w:spacing w:after="120"/>
        <w:jc w:val="both"/>
        <w:rPr>
          <w:rFonts w:ascii="Traditional Arabic" w:eastAsia="Calibri" w:hAnsi="Traditional Arabic" w:cs="Traditional Arabic"/>
          <w:i/>
          <w:iCs/>
          <w:sz w:val="22"/>
          <w:szCs w:val="22"/>
          <w:rtl/>
        </w:rPr>
      </w:pPr>
      <w:r w:rsidRPr="00B934CE">
        <w:rPr>
          <w:rFonts w:ascii="Traditional Arabic" w:eastAsia="Calibri" w:hAnsi="Traditional Arabic" w:cs="Traditional Arabic"/>
          <w:i/>
          <w:iCs/>
          <w:sz w:val="22"/>
          <w:szCs w:val="22"/>
          <w:rtl/>
        </w:rPr>
        <w:t>.</w:t>
      </w:r>
    </w:p>
    <w:p w14:paraId="61D46BB6"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sz w:val="30"/>
          <w:szCs w:val="30"/>
          <w:rtl/>
        </w:rPr>
        <w:t>ارتفعت التدفقات النقدية من العمليات بمقدار 11.2 مليون ريال عماني بين 31 ديسمبر 2021 و31 ديسمبر 2022 نتيجة لزيادة الأرباح قبل الفوائد والضرائب والاستهلاك والإطفاء بمقدار 46.8 مليون ريال عماني خلال نفس الفترة، تم تعويضها جزئيًا بانخفاض في حسابات الدائنين التجاريين وغيرهم بمقدار 35.2 مليون ريال عماني نتيجة لتسوية رصيد حساب مستحقات مجموعة أسعد ش.م.ع.ع بعد إلغاء تسجيل رأس المال</w:t>
      </w:r>
      <w:r w:rsidRPr="00B934CE">
        <w:rPr>
          <w:rFonts w:ascii="Traditional Arabic" w:eastAsia="Calibri" w:hAnsi="Traditional Arabic" w:cs="Traditional Arabic"/>
          <w:sz w:val="30"/>
          <w:szCs w:val="30"/>
        </w:rPr>
        <w:t>.</w:t>
      </w:r>
    </w:p>
    <w:p w14:paraId="2D351E34"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sz w:val="30"/>
          <w:szCs w:val="30"/>
          <w:rtl/>
        </w:rPr>
        <w:t xml:space="preserve">كما ارتفعت التدفقات النقدية من العمليات بمقدار 104.4 مليون ريال عماني في عام 2023 لتصل إلى 182.5 مليون ريال عماني في 31 ديسمبر 2023، مدفوعة بزيادة الأرباح قبل الفوائد والضرائب والاستهلاك والإطفاء بمقدار </w:t>
      </w:r>
      <w:r w:rsidR="007256CC">
        <w:rPr>
          <w:rFonts w:ascii="Traditional Arabic" w:eastAsia="Calibri" w:hAnsi="Traditional Arabic" w:cs="Traditional Arabic" w:hint="cs"/>
          <w:sz w:val="30"/>
          <w:szCs w:val="30"/>
          <w:rtl/>
        </w:rPr>
        <w:t>34.4</w:t>
      </w:r>
      <w:r w:rsidRPr="00B934CE">
        <w:rPr>
          <w:rFonts w:ascii="Traditional Arabic" w:eastAsia="Calibri" w:hAnsi="Traditional Arabic" w:cs="Traditional Arabic"/>
          <w:sz w:val="30"/>
          <w:szCs w:val="30"/>
          <w:rtl/>
        </w:rPr>
        <w:t xml:space="preserve"> مليون ريال عماني خلال نفس الفترة، إلى جانب زيادة في الحسابات الدائنة التجارية التي تعكس بشكل رئيسي توزيعات أرباح غير مدفوعة إلى الشركة الأم، مجموعة أسعد ش.م.ع.ع، </w:t>
      </w:r>
      <w:r w:rsidRPr="00B934CE">
        <w:rPr>
          <w:rFonts w:ascii="Traditional Arabic" w:eastAsia="Calibri" w:hAnsi="Traditional Arabic" w:cs="Traditional Arabic" w:hint="eastAsia"/>
          <w:sz w:val="30"/>
          <w:szCs w:val="30"/>
          <w:rtl/>
        </w:rPr>
        <w:t>وكذلك</w:t>
      </w:r>
      <w:r w:rsidRPr="00B934CE">
        <w:rPr>
          <w:rFonts w:ascii="Traditional Arabic" w:eastAsia="Calibri" w:hAnsi="Traditional Arabic" w:cs="Traditional Arabic"/>
          <w:sz w:val="30"/>
          <w:szCs w:val="30"/>
          <w:rtl/>
        </w:rPr>
        <w:t xml:space="preserve"> </w:t>
      </w:r>
      <w:r w:rsidRPr="00B934CE">
        <w:rPr>
          <w:rFonts w:ascii="Traditional Arabic" w:eastAsia="Calibri" w:hAnsi="Traditional Arabic" w:cs="Traditional Arabic" w:hint="eastAsia"/>
          <w:sz w:val="30"/>
          <w:szCs w:val="30"/>
          <w:rtl/>
        </w:rPr>
        <w:t>ال</w:t>
      </w:r>
      <w:r w:rsidRPr="00B934CE">
        <w:rPr>
          <w:rFonts w:ascii="Traditional Arabic" w:eastAsia="Calibri" w:hAnsi="Traditional Arabic" w:cs="Traditional Arabic"/>
          <w:sz w:val="30"/>
          <w:szCs w:val="30"/>
          <w:rtl/>
        </w:rPr>
        <w:t>انخفاض في الحسابات المدينة التجارية نتيجة للتحسن في التحصيلات</w:t>
      </w:r>
      <w:r w:rsidRPr="00B934CE">
        <w:rPr>
          <w:rFonts w:ascii="Traditional Arabic" w:eastAsia="Calibri" w:hAnsi="Traditional Arabic" w:cs="Traditional Arabic"/>
          <w:sz w:val="30"/>
          <w:szCs w:val="30"/>
        </w:rPr>
        <w:t>.</w:t>
      </w:r>
    </w:p>
    <w:p w14:paraId="69D478BF"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sz w:val="30"/>
          <w:szCs w:val="30"/>
          <w:rtl/>
        </w:rPr>
        <w:t xml:space="preserve">بلغت التدفقات النقدية من العمليات </w:t>
      </w:r>
      <w:r w:rsidR="002A6FFF">
        <w:rPr>
          <w:rFonts w:ascii="Traditional Arabic" w:eastAsia="Calibri" w:hAnsi="Traditional Arabic" w:cs="Traditional Arabic" w:hint="cs"/>
          <w:sz w:val="30"/>
          <w:szCs w:val="30"/>
          <w:rtl/>
        </w:rPr>
        <w:t>114</w:t>
      </w:r>
      <w:r w:rsidRPr="00B934CE">
        <w:rPr>
          <w:rFonts w:ascii="Traditional Arabic" w:eastAsia="Calibri" w:hAnsi="Traditional Arabic" w:cs="Traditional Arabic"/>
          <w:sz w:val="30"/>
          <w:szCs w:val="30"/>
          <w:rtl/>
        </w:rPr>
        <w:t>.3 مليون ريال عماني في فترة التسعة أشهر المنتهية في 30 سبتمبر 2024، نتيجة للأرباح قبل الفوائد والضرائب والاستهلاك والإطفاء بمقدار 163.0 مليون ريال عماني، تم تعويضها جزئيًا بزيادة في الحسابات المدينة التجارية</w:t>
      </w:r>
      <w:r w:rsidRPr="00B934CE">
        <w:rPr>
          <w:rFonts w:ascii="Traditional Arabic" w:eastAsia="Calibri" w:hAnsi="Traditional Arabic" w:cs="Traditional Arabic"/>
          <w:sz w:val="30"/>
          <w:szCs w:val="30"/>
        </w:rPr>
        <w:t>.</w:t>
      </w:r>
    </w:p>
    <w:p w14:paraId="172918A5"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sz w:val="30"/>
          <w:szCs w:val="30"/>
          <w:rtl/>
        </w:rPr>
        <w:lastRenderedPageBreak/>
        <w:t>ارتفعت التدفقات النقدية من الأنشطة الاستثمارية بمقدار 107.5 مليون ريال عماني بين 31 ديسمبر 2021 و31 ديسمبر 2022 نتيجة للإيرادات من بيع السفن (51.0 مليون ريال عماني) إلى جانب انخفاض في استثمارات</w:t>
      </w:r>
      <w:r w:rsidR="00CA438E">
        <w:rPr>
          <w:rFonts w:ascii="Traditional Arabic" w:eastAsia="Calibri" w:hAnsi="Traditional Arabic" w:cs="Traditional Arabic" w:hint="cs"/>
          <w:sz w:val="30"/>
          <w:szCs w:val="30"/>
          <w:rtl/>
        </w:rPr>
        <w:t xml:space="preserve"> و</w:t>
      </w:r>
      <w:r w:rsidRPr="00B934CE">
        <w:rPr>
          <w:rFonts w:ascii="Traditional Arabic" w:eastAsia="Calibri" w:hAnsi="Traditional Arabic" w:cs="Traditional Arabic"/>
          <w:sz w:val="30"/>
          <w:szCs w:val="30"/>
          <w:rtl/>
        </w:rPr>
        <w:t>مشتريات رأس المال (</w:t>
      </w:r>
      <w:r w:rsidRPr="00B934CE">
        <w:rPr>
          <w:rFonts w:ascii="Traditional Arabic" w:eastAsia="Calibri" w:hAnsi="Traditional Arabic" w:cs="Traditional Arabic" w:hint="eastAsia"/>
          <w:sz w:val="30"/>
          <w:szCs w:val="30"/>
          <w:rtl/>
        </w:rPr>
        <w:t>انخفاض</w:t>
      </w:r>
      <w:r w:rsidRPr="00B934CE">
        <w:rPr>
          <w:rFonts w:ascii="Traditional Arabic" w:eastAsia="Calibri" w:hAnsi="Traditional Arabic" w:cs="Traditional Arabic"/>
          <w:sz w:val="30"/>
          <w:szCs w:val="30"/>
          <w:rtl/>
        </w:rPr>
        <w:t xml:space="preserve"> بقيمة -41.6 مليون ريال عماني) خلال الفترة</w:t>
      </w:r>
      <w:r w:rsidRPr="00B934CE">
        <w:rPr>
          <w:rFonts w:ascii="Traditional Arabic" w:eastAsia="Calibri" w:hAnsi="Traditional Arabic" w:cs="Traditional Arabic"/>
          <w:sz w:val="30"/>
          <w:szCs w:val="30"/>
        </w:rPr>
        <w:t>.</w:t>
      </w:r>
    </w:p>
    <w:p w14:paraId="1EA342F1"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sz w:val="30"/>
          <w:szCs w:val="30"/>
          <w:rtl/>
        </w:rPr>
        <w:t xml:space="preserve">انخفضت التدفقات النقدية من الأنشطة الاستثمارية بمقدار 57.6 مليون ريال عماني بين 31 ديسمبر 2022 و31 ديسمبر 2023 نتيجة لشراء الأصول/السفن (64.3 مليون ريال عماني) إلى جانب استثمار نقدي في الودائع الثابتة (-44.5 مليون ريال عماني) </w:t>
      </w:r>
      <w:r w:rsidRPr="00B934CE">
        <w:rPr>
          <w:rFonts w:ascii="Traditional Arabic" w:eastAsia="Calibri" w:hAnsi="Traditional Arabic" w:cs="Traditional Arabic" w:hint="eastAsia"/>
          <w:sz w:val="30"/>
          <w:szCs w:val="30"/>
          <w:rtl/>
        </w:rPr>
        <w:t>والذي</w:t>
      </w:r>
      <w:r w:rsidRPr="00B934CE">
        <w:rPr>
          <w:rFonts w:ascii="Traditional Arabic" w:eastAsia="Calibri" w:hAnsi="Traditional Arabic" w:cs="Traditional Arabic"/>
          <w:sz w:val="30"/>
          <w:szCs w:val="30"/>
          <w:rtl/>
        </w:rPr>
        <w:t xml:space="preserve"> تم تعويضه جزئيًا بالإيرادات من مبيعات السفن (74.8 مليون ريال عماني)</w:t>
      </w:r>
      <w:r w:rsidRPr="00B934CE">
        <w:rPr>
          <w:rFonts w:ascii="Traditional Arabic" w:eastAsia="Calibri" w:hAnsi="Traditional Arabic" w:cs="Traditional Arabic"/>
          <w:sz w:val="30"/>
          <w:szCs w:val="30"/>
        </w:rPr>
        <w:t>.</w:t>
      </w:r>
    </w:p>
    <w:p w14:paraId="784BD896" w14:textId="77777777" w:rsidR="00563389" w:rsidRPr="00B934CE" w:rsidRDefault="00563389" w:rsidP="00B934CE">
      <w:pPr>
        <w:bidi/>
        <w:spacing w:after="120"/>
        <w:jc w:val="both"/>
        <w:rPr>
          <w:rFonts w:ascii="Traditional Arabic" w:eastAsia="Calibri" w:hAnsi="Traditional Arabic" w:cs="Traditional Arabic"/>
          <w:sz w:val="30"/>
          <w:szCs w:val="30"/>
        </w:rPr>
      </w:pPr>
      <w:r w:rsidRPr="00B934CE">
        <w:rPr>
          <w:rFonts w:ascii="Traditional Arabic" w:eastAsia="Calibri" w:hAnsi="Traditional Arabic" w:cs="Traditional Arabic"/>
          <w:sz w:val="30"/>
          <w:szCs w:val="30"/>
          <w:rtl/>
        </w:rPr>
        <w:t>أنشأت الشركة تدفقات نقدية ضئيلة من الأنشطة الاستثمارية في فترة التسعة أشهر المنتهية في 30 سبتمبر 2024 حيث تم تعويض صافي الأموال المستثمرة في الودائع الثابتة إلى جانب الدخل من الودائع الثابتة بالكامل من خلال مشتريات العقارات والسفن والمعدات خلال الفترة</w:t>
      </w:r>
      <w:r w:rsidRPr="00B934CE">
        <w:rPr>
          <w:rFonts w:ascii="Traditional Arabic" w:eastAsia="Calibri" w:hAnsi="Traditional Arabic" w:cs="Traditional Arabic"/>
          <w:sz w:val="30"/>
          <w:szCs w:val="30"/>
        </w:rPr>
        <w:t>.</w:t>
      </w:r>
    </w:p>
    <w:p w14:paraId="10C0E5CF" w14:textId="77777777" w:rsidR="00563389" w:rsidRPr="00B934CE" w:rsidRDefault="00986042" w:rsidP="00B934CE">
      <w:pPr>
        <w:bidi/>
        <w:spacing w:after="120"/>
        <w:jc w:val="both"/>
        <w:rPr>
          <w:rFonts w:ascii="Traditional Arabic" w:eastAsia="Calibri" w:hAnsi="Traditional Arabic" w:cs="Traditional Arabic"/>
          <w:sz w:val="30"/>
          <w:szCs w:val="30"/>
          <w:rtl/>
        </w:rPr>
      </w:pPr>
      <w:r>
        <w:rPr>
          <w:rFonts w:ascii="Traditional Arabic" w:eastAsia="Calibri" w:hAnsi="Traditional Arabic" w:cs="Traditional Arabic" w:hint="cs"/>
          <w:sz w:val="30"/>
          <w:szCs w:val="30"/>
          <w:rtl/>
        </w:rPr>
        <w:t>تعكس</w:t>
      </w:r>
      <w:r w:rsidRPr="00B934CE">
        <w:rPr>
          <w:rFonts w:ascii="Traditional Arabic" w:eastAsia="Calibri" w:hAnsi="Traditional Arabic" w:cs="Traditional Arabic"/>
          <w:sz w:val="30"/>
          <w:szCs w:val="30"/>
          <w:rtl/>
        </w:rPr>
        <w:t xml:space="preserve"> </w:t>
      </w:r>
      <w:r w:rsidR="00563389" w:rsidRPr="00B934CE">
        <w:rPr>
          <w:rFonts w:ascii="Traditional Arabic" w:eastAsia="Calibri" w:hAnsi="Traditional Arabic" w:cs="Traditional Arabic"/>
          <w:sz w:val="30"/>
          <w:szCs w:val="30"/>
          <w:rtl/>
        </w:rPr>
        <w:t>التدفقات النقدية المستخدمة في الأنشطة التمويلية</w:t>
      </w:r>
      <w:r w:rsidR="00A86B26">
        <w:rPr>
          <w:rFonts w:ascii="Traditional Arabic" w:eastAsia="Calibri" w:hAnsi="Traditional Arabic" w:cs="Traditional Arabic" w:hint="cs"/>
          <w:sz w:val="30"/>
          <w:szCs w:val="30"/>
          <w:rtl/>
        </w:rPr>
        <w:t xml:space="preserve"> </w:t>
      </w:r>
      <w:r w:rsidR="00563389" w:rsidRPr="00B934CE">
        <w:rPr>
          <w:rFonts w:ascii="Traditional Arabic" w:eastAsia="Calibri" w:hAnsi="Traditional Arabic" w:cs="Traditional Arabic"/>
          <w:sz w:val="30"/>
          <w:szCs w:val="30"/>
          <w:rtl/>
        </w:rPr>
        <w:t xml:space="preserve">في عامي 2021 و2022 بشكل رئيسي المدفوعات الصافية على القروض وخصوم الإيجار. كما ارتفعت التدفقات النقدية المستخدمة في الأنشطة التمويلية بمقدار 88.7 مليون ريال عماني بين 31 ديسمبر 2022 و31 ديسمبر 2023 بسبب سداد إضافي على القروض والإيجارات بالإضافة إلى دفع توزيعات أرباح بلغت 42.1 مليون ريال عماني. بلغت التدفقات النقدية المستخدمة في الأنشطة التمويلية </w:t>
      </w:r>
      <w:r w:rsidR="009B06A5">
        <w:rPr>
          <w:rFonts w:ascii="Traditional Arabic" w:eastAsia="Calibri" w:hAnsi="Traditional Arabic" w:cs="Traditional Arabic" w:hint="cs"/>
          <w:sz w:val="30"/>
          <w:szCs w:val="30"/>
          <w:rtl/>
        </w:rPr>
        <w:t>142</w:t>
      </w:r>
      <w:r w:rsidR="00563389" w:rsidRPr="00B934CE">
        <w:rPr>
          <w:rFonts w:ascii="Traditional Arabic" w:eastAsia="Calibri" w:hAnsi="Traditional Arabic" w:cs="Traditional Arabic"/>
          <w:sz w:val="30"/>
          <w:szCs w:val="30"/>
          <w:rtl/>
        </w:rPr>
        <w:t>.7 مليون ريال عماني في فترة التسعة أشهر المنتهية في 30 سبتمبر 2024، وتعكس بشكل رئيسي المدفوعات الصافية على القروض بمقدار 34.6 مليون ريال عماني بعد احتساب العوائد من القروض الجديدة بالإضافة إلى مدفوعات الإيجار ودفع توزيعات الأرباح (39.9 مليون ريال عماني)</w:t>
      </w:r>
      <w:r w:rsidR="00563389" w:rsidRPr="00B934CE">
        <w:rPr>
          <w:rFonts w:ascii="Traditional Arabic" w:eastAsia="Calibri" w:hAnsi="Traditional Arabic" w:cs="Traditional Arabic"/>
          <w:sz w:val="30"/>
          <w:szCs w:val="30"/>
        </w:rPr>
        <w:t>.</w:t>
      </w:r>
    </w:p>
    <w:p w14:paraId="533CFEA7" w14:textId="77777777" w:rsidR="00563389" w:rsidRPr="00B934CE" w:rsidRDefault="00563389" w:rsidP="00B934CE">
      <w:pPr>
        <w:pStyle w:val="4"/>
        <w:spacing w:before="0" w:after="120"/>
        <w:rPr>
          <w:rFonts w:ascii="Traditional Arabic" w:hAnsi="Traditional Arabic" w:cs="Traditional Arabic"/>
          <w:i/>
          <w:iCs/>
          <w:color w:val="auto"/>
          <w:sz w:val="30"/>
          <w:szCs w:val="30"/>
        </w:rPr>
      </w:pPr>
      <w:bookmarkStart w:id="39" w:name="_Hlk174978004"/>
      <w:r w:rsidRPr="00B934CE">
        <w:rPr>
          <w:rFonts w:ascii="Traditional Arabic" w:hAnsi="Traditional Arabic" w:cs="Traditional Arabic" w:hint="eastAsia"/>
          <w:i/>
          <w:iCs/>
          <w:color w:val="auto"/>
          <w:sz w:val="30"/>
          <w:szCs w:val="30"/>
          <w:rtl/>
        </w:rPr>
        <w:t>ارتباطات</w:t>
      </w:r>
      <w:r w:rsidRPr="00B934CE">
        <w:rPr>
          <w:rFonts w:ascii="Traditional Arabic" w:hAnsi="Traditional Arabic" w:cs="Traditional Arabic"/>
          <w:i/>
          <w:iCs/>
          <w:color w:val="auto"/>
          <w:sz w:val="30"/>
          <w:szCs w:val="30"/>
          <w:rtl/>
        </w:rPr>
        <w:t xml:space="preserve"> والتزامات طارئة </w:t>
      </w:r>
    </w:p>
    <w:p w14:paraId="66023F4E" w14:textId="77777777" w:rsidR="00563389" w:rsidRPr="00B934CE" w:rsidRDefault="00563389" w:rsidP="00B934CE">
      <w:pPr>
        <w:bidi/>
        <w:rPr>
          <w:rFonts w:ascii="Traditional Arabic" w:eastAsia="Arial" w:hAnsi="Traditional Arabic" w:cs="Traditional Arabic"/>
          <w:i/>
          <w:iCs/>
          <w:sz w:val="30"/>
          <w:szCs w:val="30"/>
          <w:lang w:val="en-GB" w:eastAsia="ar-SA"/>
        </w:rPr>
      </w:pPr>
      <w:r w:rsidRPr="00B934CE">
        <w:rPr>
          <w:rFonts w:ascii="Traditional Arabic" w:eastAsia="Arial" w:hAnsi="Traditional Arabic" w:cs="Traditional Arabic"/>
          <w:i/>
          <w:iCs/>
          <w:sz w:val="30"/>
          <w:szCs w:val="30"/>
          <w:rtl/>
          <w:lang w:val="en-GB" w:eastAsia="ar-SA"/>
        </w:rPr>
        <w:t xml:space="preserve">الجدول‏ ‏: </w:t>
      </w:r>
      <w:r w:rsidRPr="00B934CE">
        <w:rPr>
          <w:rFonts w:ascii="Traditional Arabic" w:eastAsia="Arial" w:hAnsi="Traditional Arabic" w:cs="Traditional Arabic" w:hint="eastAsia"/>
          <w:i/>
          <w:iCs/>
          <w:sz w:val="30"/>
          <w:szCs w:val="30"/>
          <w:rtl/>
          <w:lang w:val="en-GB" w:eastAsia="ar-SA"/>
        </w:rPr>
        <w:t>ارتباطات</w:t>
      </w:r>
      <w:r w:rsidRPr="00B934CE">
        <w:rPr>
          <w:rFonts w:ascii="Traditional Arabic" w:eastAsia="Arial" w:hAnsi="Traditional Arabic" w:cs="Traditional Arabic"/>
          <w:i/>
          <w:iCs/>
          <w:sz w:val="30"/>
          <w:szCs w:val="30"/>
          <w:rtl/>
          <w:lang w:val="en-GB" w:eastAsia="ar-SA"/>
        </w:rPr>
        <w:t xml:space="preserve"> والتزامات طارئة للسنوات المالية المنتهية في 31 ديسمبر 2021، 2022، و2023، وفترة التسعة أشهر المنتهية في 30 سبتمبر 2024:</w:t>
      </w:r>
    </w:p>
    <w:tbl>
      <w:tblPr>
        <w:bidiVisual/>
        <w:tblW w:w="93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440"/>
        <w:gridCol w:w="1440"/>
        <w:gridCol w:w="1440"/>
        <w:gridCol w:w="1440"/>
      </w:tblGrid>
      <w:tr w:rsidR="00563389" w:rsidRPr="00563389" w14:paraId="66DFB286" w14:textId="77777777" w:rsidTr="00922116">
        <w:tc>
          <w:tcPr>
            <w:tcW w:w="3600" w:type="dxa"/>
            <w:tcBorders>
              <w:top w:val="nil"/>
              <w:bottom w:val="single" w:sz="4" w:space="0" w:color="0B3D85"/>
              <w:right w:val="nil"/>
            </w:tcBorders>
            <w:shd w:val="clear" w:color="auto" w:fill="0B3D85"/>
            <w:vAlign w:val="center"/>
          </w:tcPr>
          <w:p w14:paraId="7F439017" w14:textId="77777777" w:rsidR="00563389" w:rsidRPr="00B934CE" w:rsidRDefault="00563389" w:rsidP="00B934CE">
            <w:pPr>
              <w:bidi/>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 xml:space="preserve">بآلاف الريالات </w:t>
            </w:r>
            <w:r w:rsidRPr="00B934CE">
              <w:rPr>
                <w:rFonts w:ascii="Traditional Arabic" w:eastAsia="Arial" w:hAnsi="Traditional Arabic" w:cs="Traditional Arabic" w:hint="eastAsia"/>
                <w:b/>
                <w:bCs/>
                <w:sz w:val="24"/>
                <w:rtl/>
                <w:lang w:val="en-GB" w:eastAsia="ar-SA"/>
              </w:rPr>
              <w:t>العمانية</w:t>
            </w:r>
            <w:r w:rsidRPr="00B934CE">
              <w:rPr>
                <w:rFonts w:ascii="Traditional Arabic" w:eastAsia="Arial" w:hAnsi="Traditional Arabic" w:cs="Traditional Arabic"/>
                <w:b/>
                <w:bCs/>
                <w:sz w:val="24"/>
                <w:rtl/>
                <w:lang w:val="en-GB" w:eastAsia="ar-SA"/>
              </w:rPr>
              <w:t xml:space="preserve"> </w:t>
            </w:r>
          </w:p>
        </w:tc>
        <w:tc>
          <w:tcPr>
            <w:tcW w:w="1440" w:type="dxa"/>
            <w:tcBorders>
              <w:top w:val="nil"/>
              <w:left w:val="nil"/>
              <w:bottom w:val="single" w:sz="4" w:space="0" w:color="0B3D85"/>
              <w:right w:val="nil"/>
            </w:tcBorders>
            <w:shd w:val="clear" w:color="auto" w:fill="0B3D85"/>
            <w:vAlign w:val="center"/>
          </w:tcPr>
          <w:p w14:paraId="5DFBACC1"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31 ديسمبر</w:t>
            </w:r>
          </w:p>
          <w:p w14:paraId="1B1F3F42"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 xml:space="preserve"> 2021</w:t>
            </w:r>
          </w:p>
          <w:p w14:paraId="18CA83F9"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(المراجعة)</w:t>
            </w:r>
          </w:p>
        </w:tc>
        <w:tc>
          <w:tcPr>
            <w:tcW w:w="1440" w:type="dxa"/>
            <w:tcBorders>
              <w:top w:val="nil"/>
              <w:left w:val="nil"/>
              <w:bottom w:val="single" w:sz="4" w:space="0" w:color="0B3D85"/>
              <w:right w:val="nil"/>
            </w:tcBorders>
            <w:shd w:val="clear" w:color="auto" w:fill="0B3D85"/>
            <w:vAlign w:val="center"/>
          </w:tcPr>
          <w:p w14:paraId="2C359564"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31 ديسمبر</w:t>
            </w:r>
          </w:p>
          <w:p w14:paraId="1EB0DE12"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 xml:space="preserve"> 2022</w:t>
            </w:r>
          </w:p>
          <w:p w14:paraId="0244099F"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(المراجعة)</w:t>
            </w:r>
          </w:p>
        </w:tc>
        <w:tc>
          <w:tcPr>
            <w:tcW w:w="1440" w:type="dxa"/>
            <w:tcBorders>
              <w:top w:val="nil"/>
              <w:left w:val="nil"/>
              <w:bottom w:val="single" w:sz="4" w:space="0" w:color="0B3D85"/>
              <w:right w:val="nil"/>
            </w:tcBorders>
            <w:shd w:val="clear" w:color="auto" w:fill="0B3D85"/>
            <w:vAlign w:val="center"/>
          </w:tcPr>
          <w:p w14:paraId="0731CB44"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 xml:space="preserve">31 ديسمبر </w:t>
            </w:r>
          </w:p>
          <w:p w14:paraId="1C4FB385"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2023</w:t>
            </w:r>
          </w:p>
          <w:p w14:paraId="38A6A82F"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(المراجعة)</w:t>
            </w:r>
          </w:p>
        </w:tc>
        <w:tc>
          <w:tcPr>
            <w:tcW w:w="1440" w:type="dxa"/>
            <w:tcBorders>
              <w:top w:val="nil"/>
              <w:left w:val="nil"/>
              <w:bottom w:val="single" w:sz="4" w:space="0" w:color="0B3D85"/>
              <w:right w:val="nil"/>
            </w:tcBorders>
            <w:shd w:val="clear" w:color="auto" w:fill="0B3D85"/>
            <w:vAlign w:val="center"/>
          </w:tcPr>
          <w:p w14:paraId="6C8EEA7A"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 xml:space="preserve">30 سبتمبر </w:t>
            </w:r>
          </w:p>
          <w:p w14:paraId="41C632EC"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 xml:space="preserve"> 2024</w:t>
            </w:r>
          </w:p>
          <w:p w14:paraId="6B9C5116" w14:textId="77777777" w:rsidR="00563389" w:rsidRPr="00B934CE" w:rsidRDefault="00563389" w:rsidP="00B934CE">
            <w:pPr>
              <w:bidi/>
              <w:jc w:val="center"/>
              <w:rPr>
                <w:rFonts w:ascii="Traditional Arabic" w:eastAsia="Arial" w:hAnsi="Traditional Arabic" w:cs="Traditional Arabic"/>
                <w:b/>
                <w:bCs/>
                <w:sz w:val="24"/>
                <w:rtl/>
                <w:lang w:val="en-GB" w:eastAsia="ar-SA"/>
              </w:rPr>
            </w:pPr>
            <w:r w:rsidRPr="00B934CE">
              <w:rPr>
                <w:rFonts w:ascii="Traditional Arabic" w:eastAsia="Arial" w:hAnsi="Traditional Arabic" w:cs="Traditional Arabic"/>
                <w:b/>
                <w:bCs/>
                <w:sz w:val="24"/>
                <w:rtl/>
                <w:lang w:val="en-GB" w:eastAsia="ar-SA"/>
              </w:rPr>
              <w:t>(المفحوصة)</w:t>
            </w:r>
          </w:p>
        </w:tc>
      </w:tr>
      <w:tr w:rsidR="00563389" w:rsidRPr="00563389" w14:paraId="53B47632" w14:textId="77777777" w:rsidTr="00922116">
        <w:tc>
          <w:tcPr>
            <w:tcW w:w="3600" w:type="dxa"/>
            <w:tcBorders>
              <w:top w:val="single" w:sz="4" w:space="0" w:color="0B3D85"/>
              <w:bottom w:val="single" w:sz="4" w:space="0" w:color="0B3D85"/>
              <w:right w:val="nil"/>
            </w:tcBorders>
          </w:tcPr>
          <w:p w14:paraId="2ED0B07F"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sz w:val="24"/>
                <w:rtl/>
              </w:rPr>
              <w:t>ضمانات القروض</w:t>
            </w:r>
          </w:p>
        </w:tc>
        <w:tc>
          <w:tcPr>
            <w:tcW w:w="1440" w:type="dxa"/>
            <w:tcBorders>
              <w:top w:val="single" w:sz="4" w:space="0" w:color="0B3D85"/>
              <w:left w:val="nil"/>
              <w:bottom w:val="single" w:sz="4" w:space="0" w:color="0B3D85"/>
              <w:right w:val="nil"/>
            </w:tcBorders>
            <w:vAlign w:val="center"/>
          </w:tcPr>
          <w:p w14:paraId="170FCE9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5475DB5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230,034</w:t>
            </w:r>
          </w:p>
        </w:tc>
        <w:tc>
          <w:tcPr>
            <w:tcW w:w="1440" w:type="dxa"/>
            <w:tcBorders>
              <w:top w:val="single" w:sz="4" w:space="0" w:color="0B3D85"/>
              <w:left w:val="nil"/>
              <w:bottom w:val="single" w:sz="4" w:space="0" w:color="0B3D85"/>
              <w:right w:val="nil"/>
            </w:tcBorders>
          </w:tcPr>
          <w:p w14:paraId="486B5F15"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199,493</w:t>
            </w:r>
          </w:p>
        </w:tc>
        <w:tc>
          <w:tcPr>
            <w:tcW w:w="1440" w:type="dxa"/>
            <w:tcBorders>
              <w:top w:val="single" w:sz="4" w:space="0" w:color="0B3D85"/>
              <w:left w:val="nil"/>
              <w:bottom w:val="single" w:sz="4" w:space="0" w:color="0B3D85"/>
              <w:right w:val="nil"/>
            </w:tcBorders>
            <w:vAlign w:val="center"/>
          </w:tcPr>
          <w:p w14:paraId="5A2B8C5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176,179</w:t>
            </w:r>
          </w:p>
        </w:tc>
      </w:tr>
      <w:tr w:rsidR="00563389" w:rsidRPr="00563389" w14:paraId="43235CDC" w14:textId="77777777" w:rsidTr="00922116">
        <w:tc>
          <w:tcPr>
            <w:tcW w:w="3600" w:type="dxa"/>
            <w:tcBorders>
              <w:top w:val="single" w:sz="4" w:space="0" w:color="0B3D85"/>
              <w:bottom w:val="single" w:sz="4" w:space="0" w:color="0B3D85"/>
              <w:right w:val="nil"/>
            </w:tcBorders>
          </w:tcPr>
          <w:p w14:paraId="4D272EA9"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hAnsi="Traditional Arabic" w:cs="Traditional Arabic"/>
                <w:b/>
                <w:bCs/>
                <w:sz w:val="24"/>
                <w:rtl/>
              </w:rPr>
              <w:t xml:space="preserve">التزامات طارئة </w:t>
            </w:r>
          </w:p>
        </w:tc>
        <w:tc>
          <w:tcPr>
            <w:tcW w:w="1440" w:type="dxa"/>
            <w:tcBorders>
              <w:top w:val="single" w:sz="4" w:space="0" w:color="0B3D85"/>
              <w:left w:val="nil"/>
              <w:bottom w:val="single" w:sz="4" w:space="0" w:color="0B3D85"/>
              <w:right w:val="nil"/>
            </w:tcBorders>
            <w:vAlign w:val="center"/>
          </w:tcPr>
          <w:p w14:paraId="7335E2B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w:t>
            </w:r>
          </w:p>
        </w:tc>
        <w:tc>
          <w:tcPr>
            <w:tcW w:w="1440" w:type="dxa"/>
            <w:tcBorders>
              <w:top w:val="single" w:sz="4" w:space="0" w:color="0B3D85"/>
              <w:left w:val="nil"/>
              <w:bottom w:val="single" w:sz="4" w:space="0" w:color="0B3D85"/>
              <w:right w:val="nil"/>
            </w:tcBorders>
            <w:vAlign w:val="center"/>
          </w:tcPr>
          <w:p w14:paraId="7547275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230,034</w:t>
            </w:r>
          </w:p>
        </w:tc>
        <w:tc>
          <w:tcPr>
            <w:tcW w:w="1440" w:type="dxa"/>
            <w:tcBorders>
              <w:top w:val="single" w:sz="4" w:space="0" w:color="0B3D85"/>
              <w:left w:val="nil"/>
              <w:bottom w:val="single" w:sz="4" w:space="0" w:color="0B3D85"/>
              <w:right w:val="nil"/>
            </w:tcBorders>
          </w:tcPr>
          <w:p w14:paraId="45BE5DD3"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199,493</w:t>
            </w:r>
          </w:p>
        </w:tc>
        <w:tc>
          <w:tcPr>
            <w:tcW w:w="1440" w:type="dxa"/>
            <w:tcBorders>
              <w:top w:val="single" w:sz="4" w:space="0" w:color="0B3D85"/>
              <w:left w:val="nil"/>
              <w:bottom w:val="single" w:sz="4" w:space="0" w:color="0B3D85"/>
              <w:right w:val="nil"/>
            </w:tcBorders>
            <w:vAlign w:val="center"/>
          </w:tcPr>
          <w:p w14:paraId="33223A4D"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176,179</w:t>
            </w:r>
          </w:p>
        </w:tc>
      </w:tr>
      <w:tr w:rsidR="00563389" w:rsidRPr="00563389" w14:paraId="6514961F" w14:textId="77777777" w:rsidTr="00922116">
        <w:tc>
          <w:tcPr>
            <w:tcW w:w="3600" w:type="dxa"/>
            <w:tcBorders>
              <w:top w:val="single" w:sz="4" w:space="0" w:color="0B3D85"/>
              <w:bottom w:val="single" w:sz="4" w:space="0" w:color="0B3D85"/>
              <w:right w:val="nil"/>
            </w:tcBorders>
          </w:tcPr>
          <w:p w14:paraId="3EAE494D" w14:textId="77777777" w:rsidR="00563389" w:rsidRPr="00B934CE" w:rsidRDefault="00563389" w:rsidP="00B934CE">
            <w:pPr>
              <w:bidi/>
              <w:rPr>
                <w:rFonts w:ascii="Traditional Arabic" w:eastAsia="Calibri" w:hAnsi="Traditional Arabic" w:cs="Traditional Arabic"/>
                <w:sz w:val="24"/>
              </w:rPr>
            </w:pPr>
            <w:r w:rsidRPr="00B934CE">
              <w:rPr>
                <w:rFonts w:ascii="Traditional Arabic" w:hAnsi="Traditional Arabic" w:cs="Traditional Arabic"/>
                <w:sz w:val="24"/>
                <w:rtl/>
              </w:rPr>
              <w:t>التزامات شراء السفن</w:t>
            </w:r>
          </w:p>
        </w:tc>
        <w:tc>
          <w:tcPr>
            <w:tcW w:w="1440" w:type="dxa"/>
            <w:tcBorders>
              <w:top w:val="single" w:sz="4" w:space="0" w:color="0B3D85"/>
              <w:left w:val="nil"/>
              <w:bottom w:val="single" w:sz="4" w:space="0" w:color="0B3D85"/>
              <w:right w:val="nil"/>
            </w:tcBorders>
            <w:vAlign w:val="center"/>
          </w:tcPr>
          <w:p w14:paraId="3F3EDF9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6A14B52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86,255</w:t>
            </w:r>
          </w:p>
        </w:tc>
        <w:tc>
          <w:tcPr>
            <w:tcW w:w="1440" w:type="dxa"/>
            <w:tcBorders>
              <w:top w:val="single" w:sz="4" w:space="0" w:color="0B3D85"/>
              <w:left w:val="nil"/>
              <w:bottom w:val="single" w:sz="4" w:space="0" w:color="0B3D85"/>
              <w:right w:val="nil"/>
            </w:tcBorders>
            <w:vAlign w:val="center"/>
          </w:tcPr>
          <w:p w14:paraId="377607A3"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155,186</w:t>
            </w:r>
          </w:p>
        </w:tc>
        <w:tc>
          <w:tcPr>
            <w:tcW w:w="1440" w:type="dxa"/>
            <w:tcBorders>
              <w:top w:val="single" w:sz="4" w:space="0" w:color="0B3D85"/>
              <w:left w:val="nil"/>
              <w:bottom w:val="single" w:sz="4" w:space="0" w:color="0B3D85"/>
              <w:right w:val="nil"/>
            </w:tcBorders>
            <w:vAlign w:val="center"/>
          </w:tcPr>
          <w:p w14:paraId="460FBEB9"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334,670</w:t>
            </w:r>
          </w:p>
        </w:tc>
      </w:tr>
      <w:tr w:rsidR="00563389" w:rsidRPr="00563389" w14:paraId="1A427465" w14:textId="77777777" w:rsidTr="00922116">
        <w:tc>
          <w:tcPr>
            <w:tcW w:w="3600" w:type="dxa"/>
            <w:tcBorders>
              <w:top w:val="single" w:sz="4" w:space="0" w:color="0B3D85"/>
              <w:bottom w:val="single" w:sz="4" w:space="0" w:color="0B3D85"/>
              <w:right w:val="nil"/>
            </w:tcBorders>
          </w:tcPr>
          <w:p w14:paraId="61D01813" w14:textId="77777777" w:rsidR="00563389" w:rsidRPr="00B934CE" w:rsidRDefault="00563389" w:rsidP="00B934CE">
            <w:pPr>
              <w:bidi/>
              <w:rPr>
                <w:rFonts w:ascii="Traditional Arabic" w:hAnsi="Traditional Arabic" w:cs="Traditional Arabic"/>
                <w:color w:val="000000"/>
                <w:sz w:val="24"/>
                <w:rtl/>
              </w:rPr>
            </w:pPr>
            <w:r w:rsidRPr="00B934CE">
              <w:rPr>
                <w:rFonts w:ascii="Traditional Arabic" w:hAnsi="Traditional Arabic" w:cs="Traditional Arabic"/>
                <w:sz w:val="24"/>
                <w:rtl/>
              </w:rPr>
              <w:t>أخرى</w:t>
            </w:r>
          </w:p>
        </w:tc>
        <w:tc>
          <w:tcPr>
            <w:tcW w:w="1440" w:type="dxa"/>
            <w:tcBorders>
              <w:top w:val="single" w:sz="4" w:space="0" w:color="0B3D85"/>
              <w:left w:val="nil"/>
              <w:bottom w:val="single" w:sz="4" w:space="0" w:color="0B3D85"/>
              <w:right w:val="nil"/>
            </w:tcBorders>
            <w:vAlign w:val="center"/>
          </w:tcPr>
          <w:p w14:paraId="07387190"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4,733</w:t>
            </w:r>
          </w:p>
        </w:tc>
        <w:tc>
          <w:tcPr>
            <w:tcW w:w="1440" w:type="dxa"/>
            <w:tcBorders>
              <w:top w:val="single" w:sz="4" w:space="0" w:color="0B3D85"/>
              <w:left w:val="nil"/>
              <w:bottom w:val="single" w:sz="4" w:space="0" w:color="0B3D85"/>
              <w:right w:val="nil"/>
            </w:tcBorders>
            <w:vAlign w:val="center"/>
          </w:tcPr>
          <w:p w14:paraId="1B6960EE"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12</w:t>
            </w:r>
          </w:p>
        </w:tc>
        <w:tc>
          <w:tcPr>
            <w:tcW w:w="1440" w:type="dxa"/>
            <w:tcBorders>
              <w:top w:val="single" w:sz="4" w:space="0" w:color="0B3D85"/>
              <w:left w:val="nil"/>
              <w:bottom w:val="single" w:sz="4" w:space="0" w:color="0B3D85"/>
              <w:right w:val="nil"/>
            </w:tcBorders>
            <w:vAlign w:val="center"/>
          </w:tcPr>
          <w:p w14:paraId="34B8461B"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c>
          <w:tcPr>
            <w:tcW w:w="1440" w:type="dxa"/>
            <w:tcBorders>
              <w:top w:val="single" w:sz="4" w:space="0" w:color="0B3D85"/>
              <w:left w:val="nil"/>
              <w:bottom w:val="single" w:sz="4" w:space="0" w:color="0B3D85"/>
              <w:right w:val="nil"/>
            </w:tcBorders>
            <w:vAlign w:val="center"/>
          </w:tcPr>
          <w:p w14:paraId="1C6643C4" w14:textId="77777777" w:rsidR="00563389" w:rsidRPr="00B934CE" w:rsidRDefault="00563389" w:rsidP="00B934CE">
            <w:pPr>
              <w:bidi/>
              <w:jc w:val="center"/>
              <w:rPr>
                <w:rFonts w:ascii="Traditional Arabic" w:eastAsia="Calibri" w:hAnsi="Traditional Arabic" w:cs="Traditional Arabic"/>
                <w:sz w:val="24"/>
                <w:rtl/>
              </w:rPr>
            </w:pPr>
            <w:r w:rsidRPr="00B934CE">
              <w:rPr>
                <w:rFonts w:ascii="Traditional Arabic" w:eastAsia="Calibri" w:hAnsi="Traditional Arabic" w:cs="Traditional Arabic"/>
                <w:sz w:val="24"/>
                <w:rtl/>
              </w:rPr>
              <w:t>-</w:t>
            </w:r>
          </w:p>
        </w:tc>
      </w:tr>
      <w:tr w:rsidR="00563389" w:rsidRPr="00563389" w14:paraId="409B0CC2" w14:textId="77777777" w:rsidTr="00922116">
        <w:tc>
          <w:tcPr>
            <w:tcW w:w="3600" w:type="dxa"/>
            <w:tcBorders>
              <w:top w:val="single" w:sz="4" w:space="0" w:color="0B3D85"/>
              <w:bottom w:val="single" w:sz="4" w:space="0" w:color="0B3D85"/>
              <w:right w:val="nil"/>
            </w:tcBorders>
          </w:tcPr>
          <w:p w14:paraId="02781765" w14:textId="77777777" w:rsidR="00563389" w:rsidRPr="00B934CE" w:rsidRDefault="00563389" w:rsidP="00B934CE">
            <w:pPr>
              <w:bidi/>
              <w:rPr>
                <w:rFonts w:ascii="Traditional Arabic" w:hAnsi="Traditional Arabic" w:cs="Traditional Arabic"/>
                <w:b/>
                <w:bCs/>
                <w:color w:val="000000"/>
                <w:sz w:val="24"/>
                <w:rtl/>
              </w:rPr>
            </w:pPr>
            <w:r w:rsidRPr="00B934CE">
              <w:rPr>
                <w:rFonts w:ascii="Traditional Arabic" w:hAnsi="Traditional Arabic" w:cs="Traditional Arabic"/>
                <w:b/>
                <w:bCs/>
                <w:sz w:val="24"/>
                <w:rtl/>
              </w:rPr>
              <w:t xml:space="preserve">ارتباطات رأس المال </w:t>
            </w:r>
          </w:p>
        </w:tc>
        <w:tc>
          <w:tcPr>
            <w:tcW w:w="1440" w:type="dxa"/>
            <w:tcBorders>
              <w:top w:val="single" w:sz="4" w:space="0" w:color="0B3D85"/>
              <w:left w:val="nil"/>
              <w:bottom w:val="single" w:sz="4" w:space="0" w:color="0B3D85"/>
              <w:right w:val="nil"/>
            </w:tcBorders>
            <w:vAlign w:val="center"/>
          </w:tcPr>
          <w:p w14:paraId="542622DB"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4,733</w:t>
            </w:r>
          </w:p>
        </w:tc>
        <w:tc>
          <w:tcPr>
            <w:tcW w:w="1440" w:type="dxa"/>
            <w:tcBorders>
              <w:top w:val="single" w:sz="4" w:space="0" w:color="0B3D85"/>
              <w:left w:val="nil"/>
              <w:bottom w:val="single" w:sz="4" w:space="0" w:color="0B3D85"/>
              <w:right w:val="nil"/>
            </w:tcBorders>
            <w:vAlign w:val="center"/>
          </w:tcPr>
          <w:p w14:paraId="561408FF"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86,267</w:t>
            </w:r>
          </w:p>
        </w:tc>
        <w:tc>
          <w:tcPr>
            <w:tcW w:w="1440" w:type="dxa"/>
            <w:tcBorders>
              <w:top w:val="single" w:sz="4" w:space="0" w:color="0B3D85"/>
              <w:left w:val="nil"/>
              <w:bottom w:val="single" w:sz="4" w:space="0" w:color="0B3D85"/>
              <w:right w:val="nil"/>
            </w:tcBorders>
            <w:vAlign w:val="center"/>
          </w:tcPr>
          <w:p w14:paraId="59A9FC85"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155,186</w:t>
            </w:r>
          </w:p>
        </w:tc>
        <w:tc>
          <w:tcPr>
            <w:tcW w:w="1440" w:type="dxa"/>
            <w:tcBorders>
              <w:top w:val="single" w:sz="4" w:space="0" w:color="0B3D85"/>
              <w:left w:val="nil"/>
              <w:bottom w:val="single" w:sz="4" w:space="0" w:color="0B3D85"/>
              <w:right w:val="nil"/>
            </w:tcBorders>
            <w:vAlign w:val="center"/>
          </w:tcPr>
          <w:p w14:paraId="69496B02" w14:textId="77777777" w:rsidR="00563389" w:rsidRPr="00B934CE" w:rsidRDefault="00563389" w:rsidP="00B934CE">
            <w:pPr>
              <w:bidi/>
              <w:jc w:val="center"/>
              <w:rPr>
                <w:rFonts w:ascii="Traditional Arabic" w:eastAsia="Calibri" w:hAnsi="Traditional Arabic" w:cs="Traditional Arabic"/>
                <w:b/>
                <w:bCs/>
                <w:sz w:val="24"/>
                <w:rtl/>
              </w:rPr>
            </w:pPr>
            <w:r w:rsidRPr="00B934CE">
              <w:rPr>
                <w:rFonts w:ascii="Traditional Arabic" w:eastAsia="Calibri" w:hAnsi="Traditional Arabic" w:cs="Traditional Arabic"/>
                <w:b/>
                <w:bCs/>
                <w:sz w:val="24"/>
                <w:rtl/>
              </w:rPr>
              <w:t>334,670</w:t>
            </w:r>
          </w:p>
        </w:tc>
      </w:tr>
    </w:tbl>
    <w:p w14:paraId="174550EF" w14:textId="77777777" w:rsidR="00563389" w:rsidRPr="00B934CE" w:rsidRDefault="00563389" w:rsidP="00B934CE">
      <w:pPr>
        <w:pStyle w:val="4"/>
        <w:spacing w:before="0" w:after="120"/>
        <w:rPr>
          <w:rFonts w:ascii="Traditional Arabic" w:hAnsi="Traditional Arabic" w:cs="Traditional Arabic"/>
          <w:b w:val="0"/>
          <w:bCs w:val="0"/>
          <w:i/>
          <w:iCs/>
          <w:color w:val="auto"/>
          <w:sz w:val="30"/>
          <w:szCs w:val="30"/>
        </w:rPr>
      </w:pPr>
      <w:r w:rsidRPr="00B934CE">
        <w:rPr>
          <w:rFonts w:ascii="Traditional Arabic" w:hAnsi="Traditional Arabic" w:cs="Traditional Arabic"/>
          <w:b w:val="0"/>
          <w:bCs w:val="0"/>
          <w:i/>
          <w:iCs/>
          <w:color w:val="auto"/>
          <w:sz w:val="30"/>
          <w:szCs w:val="30"/>
          <w:rtl/>
        </w:rPr>
        <w:lastRenderedPageBreak/>
        <w:t>التزامات طارئة</w:t>
      </w:r>
    </w:p>
    <w:p w14:paraId="593EAE39" w14:textId="77777777" w:rsidR="00563389" w:rsidRPr="00B934CE" w:rsidRDefault="00563389" w:rsidP="00050991">
      <w:pPr>
        <w:pStyle w:val="DefaultText"/>
        <w:bidi/>
        <w:spacing w:after="240"/>
        <w:rPr>
          <w:rFonts w:ascii="Traditional Arabic" w:hAnsi="Traditional Arabic" w:cs="Traditional Arabic"/>
          <w:b/>
          <w:bCs/>
          <w:sz w:val="30"/>
          <w:szCs w:val="30"/>
        </w:rPr>
      </w:pPr>
      <w:r w:rsidRPr="00B934CE">
        <w:rPr>
          <w:rFonts w:ascii="Traditional Arabic" w:hAnsi="Traditional Arabic" w:cs="Traditional Arabic"/>
          <w:sz w:val="30"/>
          <w:szCs w:val="30"/>
          <w:rtl/>
        </w:rPr>
        <w:t xml:space="preserve">لدى المجموعة ارتباطات شراء سفن بقيمة 176.2 </w:t>
      </w:r>
      <w:r w:rsidRPr="00B934CE">
        <w:rPr>
          <w:rFonts w:ascii="Traditional Arabic" w:hAnsi="Traditional Arabic" w:cs="Traditional Arabic" w:hint="eastAsia"/>
          <w:sz w:val="30"/>
          <w:szCs w:val="30"/>
          <w:rtl/>
        </w:rPr>
        <w:t>مليون</w:t>
      </w:r>
      <w:r w:rsidRPr="00B934CE">
        <w:rPr>
          <w:rFonts w:ascii="Traditional Arabic" w:hAnsi="Traditional Arabic" w:cs="Traditional Arabic"/>
          <w:sz w:val="30"/>
          <w:szCs w:val="30"/>
          <w:rtl/>
        </w:rPr>
        <w:t xml:space="preserve"> ريال عماني كما في 30 سبتمبر 2024 (</w:t>
      </w:r>
      <w:r w:rsidRPr="00B934CE">
        <w:rPr>
          <w:rFonts w:ascii="Traditional Arabic" w:hAnsi="Traditional Arabic" w:cs="Traditional Arabic" w:hint="eastAsia"/>
          <w:sz w:val="30"/>
          <w:szCs w:val="30"/>
          <w:rtl/>
        </w:rPr>
        <w:t>كما</w:t>
      </w:r>
      <w:r w:rsidRPr="00B934CE">
        <w:rPr>
          <w:rFonts w:ascii="Traditional Arabic" w:hAnsi="Traditional Arabic" w:cs="Traditional Arabic"/>
          <w:sz w:val="30"/>
          <w:szCs w:val="30"/>
          <w:rtl/>
        </w:rPr>
        <w:t xml:space="preserve"> </w:t>
      </w:r>
      <w:r w:rsidRPr="00B934CE">
        <w:rPr>
          <w:rFonts w:ascii="Traditional Arabic" w:hAnsi="Traditional Arabic" w:cs="Traditional Arabic" w:hint="eastAsia"/>
          <w:sz w:val="30"/>
          <w:szCs w:val="30"/>
          <w:rtl/>
        </w:rPr>
        <w:t>في</w:t>
      </w:r>
      <w:r w:rsidRPr="00B934CE">
        <w:rPr>
          <w:rFonts w:ascii="Traditional Arabic" w:hAnsi="Traditional Arabic" w:cs="Traditional Arabic"/>
          <w:sz w:val="30"/>
          <w:szCs w:val="30"/>
          <w:rtl/>
        </w:rPr>
        <w:t xml:space="preserve"> 31 </w:t>
      </w:r>
      <w:r w:rsidRPr="00B934CE">
        <w:rPr>
          <w:rFonts w:ascii="Traditional Arabic" w:hAnsi="Traditional Arabic" w:cs="Traditional Arabic" w:hint="eastAsia"/>
          <w:sz w:val="30"/>
          <w:szCs w:val="30"/>
          <w:rtl/>
        </w:rPr>
        <w:t>ديسمبر</w:t>
      </w:r>
      <w:r w:rsidRPr="00B934CE">
        <w:rPr>
          <w:rFonts w:ascii="Traditional Arabic" w:hAnsi="Traditional Arabic" w:cs="Traditional Arabic"/>
          <w:sz w:val="30"/>
          <w:szCs w:val="30"/>
          <w:rtl/>
        </w:rPr>
        <w:t xml:space="preserve"> 2023 – 199.5 </w:t>
      </w:r>
      <w:r w:rsidRPr="00B934CE">
        <w:rPr>
          <w:rFonts w:ascii="Traditional Arabic" w:hAnsi="Traditional Arabic" w:cs="Traditional Arabic" w:hint="eastAsia"/>
          <w:sz w:val="30"/>
          <w:szCs w:val="30"/>
          <w:rtl/>
        </w:rPr>
        <w:t>مليون</w:t>
      </w:r>
      <w:r w:rsidRPr="00B934CE">
        <w:rPr>
          <w:rFonts w:ascii="Traditional Arabic" w:hAnsi="Traditional Arabic" w:cs="Traditional Arabic"/>
          <w:sz w:val="30"/>
          <w:szCs w:val="30"/>
          <w:rtl/>
        </w:rPr>
        <w:t xml:space="preserve"> ريال عماني و كما في 31 ديسمبر 2022 – 230.0 </w:t>
      </w:r>
      <w:r w:rsidRPr="00B934CE">
        <w:rPr>
          <w:rFonts w:ascii="Traditional Arabic" w:hAnsi="Traditional Arabic" w:cs="Traditional Arabic" w:hint="eastAsia"/>
          <w:sz w:val="30"/>
          <w:szCs w:val="30"/>
          <w:rtl/>
        </w:rPr>
        <w:t>مليون</w:t>
      </w:r>
      <w:r w:rsidRPr="00B934CE">
        <w:rPr>
          <w:rFonts w:ascii="Traditional Arabic" w:hAnsi="Traditional Arabic" w:cs="Traditional Arabic"/>
          <w:sz w:val="30"/>
          <w:szCs w:val="30"/>
          <w:rtl/>
        </w:rPr>
        <w:t xml:space="preserve"> ريال عماني).</w:t>
      </w:r>
      <w:r w:rsidRPr="00B934CE">
        <w:rPr>
          <w:rFonts w:ascii="Traditional Arabic" w:hAnsi="Traditional Arabic" w:cs="Traditional Arabic"/>
          <w:b/>
          <w:bCs/>
          <w:sz w:val="30"/>
          <w:szCs w:val="30"/>
          <w:rtl/>
        </w:rPr>
        <w:t xml:space="preserve"> </w:t>
      </w:r>
    </w:p>
    <w:p w14:paraId="54AEB2E6" w14:textId="77777777" w:rsidR="00563389" w:rsidRPr="00B934CE" w:rsidRDefault="00563389" w:rsidP="00B934CE">
      <w:pPr>
        <w:pStyle w:val="4"/>
        <w:spacing w:before="0" w:after="120"/>
        <w:rPr>
          <w:rFonts w:ascii="Traditional Arabic" w:hAnsi="Traditional Arabic" w:cs="Traditional Arabic"/>
          <w:b w:val="0"/>
          <w:bCs w:val="0"/>
          <w:i/>
          <w:iCs/>
          <w:color w:val="auto"/>
          <w:sz w:val="30"/>
          <w:szCs w:val="30"/>
        </w:rPr>
      </w:pPr>
      <w:r w:rsidRPr="00B934CE">
        <w:rPr>
          <w:rFonts w:ascii="Traditional Arabic" w:hAnsi="Traditional Arabic" w:cs="Traditional Arabic"/>
          <w:b w:val="0"/>
          <w:bCs w:val="0"/>
          <w:i/>
          <w:iCs/>
          <w:color w:val="auto"/>
          <w:sz w:val="30"/>
          <w:szCs w:val="30"/>
          <w:rtl/>
        </w:rPr>
        <w:t xml:space="preserve">ارتباطات رأس المال </w:t>
      </w:r>
    </w:p>
    <w:bookmarkEnd w:id="39"/>
    <w:p w14:paraId="4D11F480" w14:textId="77777777" w:rsidR="00563389" w:rsidRPr="00B934CE" w:rsidRDefault="00563389" w:rsidP="00B934CE">
      <w:pPr>
        <w:tabs>
          <w:tab w:val="left" w:pos="720"/>
        </w:tabs>
        <w:bidi/>
        <w:jc w:val="both"/>
        <w:rPr>
          <w:rFonts w:ascii="Traditional Arabic" w:eastAsia="Arial" w:hAnsi="Traditional Arabic" w:cs="Traditional Arabic"/>
          <w:sz w:val="30"/>
          <w:szCs w:val="30"/>
          <w:rtl/>
          <w:lang w:val="en-GB" w:eastAsia="ar-SA"/>
        </w:rPr>
      </w:pPr>
      <w:r w:rsidRPr="00B934CE">
        <w:rPr>
          <w:rFonts w:ascii="Traditional Arabic" w:eastAsia="Arial" w:hAnsi="Traditional Arabic" w:cs="Traditional Arabic"/>
          <w:sz w:val="30"/>
          <w:szCs w:val="30"/>
          <w:rtl/>
          <w:lang w:val="en-GB" w:eastAsia="ar-SA"/>
        </w:rPr>
        <w:t xml:space="preserve">لدى المجموعة التزامات بشراء السفن </w:t>
      </w:r>
      <w:r w:rsidRPr="00B934CE">
        <w:rPr>
          <w:rFonts w:ascii="Traditional Arabic" w:eastAsia="Arial" w:hAnsi="Traditional Arabic" w:cs="Traditional Arabic" w:hint="eastAsia"/>
          <w:sz w:val="30"/>
          <w:szCs w:val="30"/>
          <w:rtl/>
          <w:lang w:val="en-GB" w:eastAsia="ar-SA"/>
        </w:rPr>
        <w:t>بقيمة</w:t>
      </w:r>
      <w:r w:rsidRPr="00B934CE">
        <w:rPr>
          <w:rFonts w:ascii="Traditional Arabic" w:eastAsia="Arial" w:hAnsi="Traditional Arabic" w:cs="Traditional Arabic"/>
          <w:sz w:val="30"/>
          <w:szCs w:val="30"/>
          <w:rtl/>
          <w:lang w:val="en-GB" w:eastAsia="ar-SA"/>
        </w:rPr>
        <w:t xml:space="preserve"> 334.7 </w:t>
      </w:r>
      <w:r w:rsidRPr="00B934CE">
        <w:rPr>
          <w:rFonts w:ascii="Traditional Arabic" w:eastAsia="Arial" w:hAnsi="Traditional Arabic" w:cs="Traditional Arabic" w:hint="eastAsia"/>
          <w:sz w:val="30"/>
          <w:szCs w:val="30"/>
          <w:rtl/>
          <w:lang w:val="en-GB" w:eastAsia="ar-SA"/>
        </w:rPr>
        <w:t>مليون</w:t>
      </w:r>
      <w:r w:rsidRPr="00B934CE">
        <w:rPr>
          <w:rFonts w:ascii="Traditional Arabic" w:eastAsia="Arial" w:hAnsi="Traditional Arabic" w:cs="Traditional Arabic"/>
          <w:sz w:val="30"/>
          <w:szCs w:val="30"/>
          <w:rtl/>
          <w:lang w:val="en-GB" w:eastAsia="ar-SA"/>
        </w:rPr>
        <w:t xml:space="preserve"> ريال عماني (</w:t>
      </w:r>
      <w:r w:rsidRPr="00B934CE">
        <w:rPr>
          <w:rFonts w:ascii="Traditional Arabic" w:hAnsi="Traditional Arabic" w:cs="Traditional Arabic" w:hint="eastAsia"/>
          <w:sz w:val="30"/>
          <w:szCs w:val="30"/>
          <w:rtl/>
        </w:rPr>
        <w:t>كما</w:t>
      </w:r>
      <w:r w:rsidRPr="00B934CE">
        <w:rPr>
          <w:rFonts w:ascii="Traditional Arabic" w:hAnsi="Traditional Arabic" w:cs="Traditional Arabic"/>
          <w:sz w:val="30"/>
          <w:szCs w:val="30"/>
          <w:rtl/>
        </w:rPr>
        <w:t xml:space="preserve"> </w:t>
      </w:r>
      <w:r w:rsidRPr="00B934CE">
        <w:rPr>
          <w:rFonts w:ascii="Traditional Arabic" w:hAnsi="Traditional Arabic" w:cs="Traditional Arabic" w:hint="eastAsia"/>
          <w:sz w:val="30"/>
          <w:szCs w:val="30"/>
          <w:rtl/>
        </w:rPr>
        <w:t>في</w:t>
      </w:r>
      <w:r w:rsidRPr="00B934CE">
        <w:rPr>
          <w:rFonts w:ascii="Traditional Arabic" w:hAnsi="Traditional Arabic" w:cs="Traditional Arabic"/>
          <w:sz w:val="30"/>
          <w:szCs w:val="30"/>
          <w:rtl/>
        </w:rPr>
        <w:t xml:space="preserve"> 31 </w:t>
      </w:r>
      <w:r w:rsidRPr="00B934CE">
        <w:rPr>
          <w:rFonts w:ascii="Traditional Arabic" w:hAnsi="Traditional Arabic" w:cs="Traditional Arabic" w:hint="eastAsia"/>
          <w:sz w:val="30"/>
          <w:szCs w:val="30"/>
          <w:rtl/>
        </w:rPr>
        <w:t>ديسمبر</w:t>
      </w:r>
      <w:r w:rsidRPr="00B934CE">
        <w:rPr>
          <w:rFonts w:ascii="Traditional Arabic" w:hAnsi="Traditional Arabic" w:cs="Traditional Arabic"/>
          <w:sz w:val="30"/>
          <w:szCs w:val="30"/>
          <w:rtl/>
        </w:rPr>
        <w:t xml:space="preserve"> 2023</w:t>
      </w:r>
      <w:r w:rsidRPr="00B934CE">
        <w:rPr>
          <w:rFonts w:ascii="Traditional Arabic" w:eastAsia="Arial" w:hAnsi="Traditional Arabic" w:cs="Traditional Arabic"/>
          <w:sz w:val="30"/>
          <w:szCs w:val="30"/>
          <w:rtl/>
          <w:lang w:val="en-GB" w:eastAsia="ar-SA"/>
        </w:rPr>
        <w:t xml:space="preserve">: 155.2 </w:t>
      </w:r>
      <w:r w:rsidRPr="00B934CE">
        <w:rPr>
          <w:rFonts w:ascii="Traditional Arabic" w:eastAsia="Arial" w:hAnsi="Traditional Arabic" w:cs="Traditional Arabic" w:hint="eastAsia"/>
          <w:sz w:val="30"/>
          <w:szCs w:val="30"/>
          <w:rtl/>
          <w:lang w:val="en-GB" w:eastAsia="ar-SA"/>
        </w:rPr>
        <w:t>مليون</w:t>
      </w:r>
      <w:r w:rsidRPr="00B934CE">
        <w:rPr>
          <w:rFonts w:ascii="Traditional Arabic" w:eastAsia="Arial" w:hAnsi="Traditional Arabic" w:cs="Traditional Arabic"/>
          <w:sz w:val="30"/>
          <w:szCs w:val="30"/>
          <w:rtl/>
          <w:lang w:val="en-GB" w:eastAsia="ar-SA"/>
        </w:rPr>
        <w:t xml:space="preserve"> ريال عماني و</w:t>
      </w:r>
      <w:r w:rsidRPr="00B934CE">
        <w:rPr>
          <w:rFonts w:ascii="Traditional Arabic" w:hAnsi="Traditional Arabic" w:cs="Traditional Arabic"/>
          <w:sz w:val="30"/>
          <w:szCs w:val="30"/>
          <w:rtl/>
        </w:rPr>
        <w:t xml:space="preserve"> كما في 31 ديسمبر 2022 – 86.3 </w:t>
      </w:r>
      <w:r w:rsidRPr="00B934CE">
        <w:rPr>
          <w:rFonts w:ascii="Traditional Arabic" w:hAnsi="Traditional Arabic" w:cs="Traditional Arabic" w:hint="eastAsia"/>
          <w:sz w:val="30"/>
          <w:szCs w:val="30"/>
          <w:rtl/>
        </w:rPr>
        <w:t>مليون</w:t>
      </w:r>
      <w:r w:rsidRPr="00B934CE">
        <w:rPr>
          <w:rFonts w:ascii="Traditional Arabic" w:hAnsi="Traditional Arabic" w:cs="Traditional Arabic"/>
          <w:sz w:val="30"/>
          <w:szCs w:val="30"/>
          <w:rtl/>
        </w:rPr>
        <w:t xml:space="preserve"> ريال عماني</w:t>
      </w:r>
      <w:r w:rsidRPr="00B934CE">
        <w:rPr>
          <w:rFonts w:ascii="Traditional Arabic" w:eastAsia="Arial" w:hAnsi="Traditional Arabic" w:cs="Traditional Arabic"/>
          <w:sz w:val="30"/>
          <w:szCs w:val="30"/>
          <w:rtl/>
          <w:lang w:val="en-GB" w:eastAsia="ar-SA"/>
        </w:rPr>
        <w:t>) كما في 30 سبتمبر 2024 والتي تتعلق بسفينتين للغاز الطبيعي المسال قيد البناء والتي بلغت تكلفتها 96.4 مليون ريال عماني</w:t>
      </w:r>
      <w:r w:rsidR="00035D24">
        <w:rPr>
          <w:rFonts w:ascii="Traditional Arabic" w:eastAsia="Arial" w:hAnsi="Traditional Arabic" w:cs="Traditional Arabic" w:hint="cs"/>
          <w:sz w:val="30"/>
          <w:szCs w:val="30"/>
          <w:rtl/>
          <w:lang w:val="en-GB" w:eastAsia="ar-SA"/>
        </w:rPr>
        <w:t xml:space="preserve"> </w:t>
      </w:r>
      <w:r w:rsidRPr="00B934CE">
        <w:rPr>
          <w:rFonts w:ascii="Traditional Arabic" w:eastAsia="Arial" w:hAnsi="Traditional Arabic" w:cs="Traditional Arabic"/>
          <w:sz w:val="30"/>
          <w:szCs w:val="30"/>
          <w:rtl/>
          <w:lang w:val="en-GB" w:eastAsia="ar-SA"/>
        </w:rPr>
        <w:t>لكل سفينة،</w:t>
      </w:r>
      <w:r w:rsidR="00035D24">
        <w:rPr>
          <w:rFonts w:ascii="Traditional Arabic" w:eastAsia="Arial" w:hAnsi="Traditional Arabic" w:cs="Traditional Arabic" w:hint="cs"/>
          <w:sz w:val="30"/>
          <w:szCs w:val="30"/>
          <w:rtl/>
          <w:lang w:val="en-GB" w:eastAsia="ar-SA"/>
        </w:rPr>
        <w:t xml:space="preserve"> واربعة ناقلات </w:t>
      </w:r>
      <w:r w:rsidR="00035D24">
        <w:rPr>
          <w:rFonts w:ascii="Traditional Arabic" w:eastAsia="Arial" w:hAnsi="Traditional Arabic" w:cs="Traditional Arabic" w:hint="cs"/>
          <w:sz w:val="30"/>
          <w:szCs w:val="30"/>
          <w:rtl/>
          <w:lang w:eastAsia="ar-SA"/>
        </w:rPr>
        <w:t xml:space="preserve">نفط صخمة قيد البناء </w:t>
      </w:r>
      <w:r w:rsidR="008E14D1">
        <w:rPr>
          <w:rFonts w:ascii="Traditional Arabic" w:eastAsia="Arial" w:hAnsi="Traditional Arabic" w:cs="Traditional Arabic" w:hint="cs"/>
          <w:sz w:val="30"/>
          <w:szCs w:val="30"/>
          <w:rtl/>
          <w:lang w:eastAsia="ar-SA"/>
        </w:rPr>
        <w:t>والتي تبلغت تكلف</w:t>
      </w:r>
      <w:r w:rsidR="00DD74F8">
        <w:rPr>
          <w:rFonts w:ascii="Traditional Arabic" w:eastAsia="Arial" w:hAnsi="Traditional Arabic" w:cs="Traditional Arabic" w:hint="cs"/>
          <w:sz w:val="30"/>
          <w:szCs w:val="30"/>
          <w:rtl/>
          <w:lang w:eastAsia="ar-SA"/>
        </w:rPr>
        <w:t xml:space="preserve">ة كل منها مقدار </w:t>
      </w:r>
      <w:r w:rsidR="00ED1993">
        <w:rPr>
          <w:rFonts w:ascii="Traditional Arabic" w:eastAsia="Arial" w:hAnsi="Traditional Arabic" w:cs="Traditional Arabic" w:hint="cs"/>
          <w:sz w:val="30"/>
          <w:szCs w:val="30"/>
          <w:rtl/>
          <w:lang w:eastAsia="ar-SA"/>
        </w:rPr>
        <w:t>49.8 مليون ريال عماني</w:t>
      </w:r>
      <w:r w:rsidR="000843A2">
        <w:rPr>
          <w:rFonts w:ascii="Traditional Arabic" w:eastAsia="Arial" w:hAnsi="Traditional Arabic" w:cs="Traditional Arabic" w:hint="cs"/>
          <w:sz w:val="30"/>
          <w:szCs w:val="30"/>
          <w:rtl/>
          <w:lang w:eastAsia="ar-SA"/>
        </w:rPr>
        <w:t xml:space="preserve">، </w:t>
      </w:r>
      <w:r w:rsidRPr="00B934CE">
        <w:rPr>
          <w:rFonts w:ascii="Traditional Arabic" w:eastAsia="Arial" w:hAnsi="Traditional Arabic" w:cs="Traditional Arabic"/>
          <w:sz w:val="30"/>
          <w:szCs w:val="30"/>
          <w:rtl/>
          <w:lang w:val="en-GB" w:eastAsia="ar-SA"/>
        </w:rPr>
        <w:t xml:space="preserve"> </w:t>
      </w:r>
      <w:r w:rsidR="000843A2">
        <w:rPr>
          <w:rFonts w:ascii="Traditional Arabic" w:eastAsia="Arial" w:hAnsi="Traditional Arabic" w:cs="Traditional Arabic" w:hint="cs"/>
          <w:sz w:val="30"/>
          <w:szCs w:val="30"/>
          <w:rtl/>
          <w:lang w:val="en-GB" w:eastAsia="ar-SA"/>
        </w:rPr>
        <w:t>و</w:t>
      </w:r>
      <w:r w:rsidRPr="00B934CE">
        <w:rPr>
          <w:rFonts w:ascii="Traditional Arabic" w:eastAsia="Arial" w:hAnsi="Traditional Arabic" w:cs="Traditional Arabic"/>
          <w:sz w:val="30"/>
          <w:szCs w:val="30"/>
          <w:rtl/>
          <w:lang w:val="en-GB" w:eastAsia="ar-SA"/>
        </w:rPr>
        <w:t xml:space="preserve">دفعت الشركة منها </w:t>
      </w:r>
      <w:r w:rsidR="00185739">
        <w:rPr>
          <w:rFonts w:ascii="Traditional Arabic" w:eastAsia="Arial" w:hAnsi="Traditional Arabic" w:cs="Traditional Arabic" w:hint="cs"/>
          <w:sz w:val="30"/>
          <w:szCs w:val="30"/>
          <w:rtl/>
          <w:lang w:val="en-GB" w:eastAsia="ar-SA"/>
        </w:rPr>
        <w:t>57.7</w:t>
      </w:r>
      <w:r w:rsidRPr="00B934CE">
        <w:rPr>
          <w:rFonts w:ascii="Traditional Arabic" w:eastAsia="Arial" w:hAnsi="Traditional Arabic" w:cs="Traditional Arabic"/>
          <w:sz w:val="30"/>
          <w:szCs w:val="30"/>
          <w:rtl/>
          <w:lang w:val="en-GB" w:eastAsia="ar-SA"/>
        </w:rPr>
        <w:t xml:space="preserve"> مليون ريال عماني. ومن المتوقع تسليم هذه السفن في السنة المالية 2026</w:t>
      </w:r>
      <w:r w:rsidR="00056A5E">
        <w:rPr>
          <w:rFonts w:ascii="Traditional Arabic" w:eastAsia="Arial" w:hAnsi="Traditional Arabic" w:cs="Traditional Arabic" w:hint="cs"/>
          <w:sz w:val="30"/>
          <w:szCs w:val="30"/>
          <w:rtl/>
          <w:lang w:val="en-GB" w:eastAsia="ar-SA"/>
        </w:rPr>
        <w:t xml:space="preserve"> و2027</w:t>
      </w:r>
      <w:r w:rsidRPr="00B934CE">
        <w:rPr>
          <w:rFonts w:ascii="Traditional Arabic" w:eastAsia="Arial" w:hAnsi="Traditional Arabic" w:cs="Traditional Arabic"/>
          <w:sz w:val="30"/>
          <w:szCs w:val="30"/>
          <w:rtl/>
          <w:lang w:val="en-GB" w:eastAsia="ar-SA"/>
        </w:rPr>
        <w:t>.</w:t>
      </w:r>
    </w:p>
    <w:p w14:paraId="44DDAF43" w14:textId="77777777" w:rsidR="00563389" w:rsidRPr="00B934CE" w:rsidRDefault="00563389" w:rsidP="00B934CE">
      <w:pPr>
        <w:tabs>
          <w:tab w:val="left" w:pos="720"/>
        </w:tabs>
        <w:bidi/>
        <w:jc w:val="both"/>
        <w:rPr>
          <w:rFonts w:ascii="Traditional Arabic" w:eastAsia="Arial" w:hAnsi="Traditional Arabic" w:cs="Traditional Arabic"/>
          <w:sz w:val="30"/>
          <w:szCs w:val="30"/>
          <w:rtl/>
          <w:lang w:val="en-GB" w:eastAsia="ar-SA"/>
        </w:rPr>
      </w:pPr>
    </w:p>
    <w:p w14:paraId="0799723D" w14:textId="77777777" w:rsidR="00563389" w:rsidRPr="00B934CE" w:rsidRDefault="00563389" w:rsidP="00B934CE">
      <w:pPr>
        <w:pStyle w:val="4"/>
        <w:tabs>
          <w:tab w:val="left" w:pos="720"/>
        </w:tabs>
        <w:spacing w:before="0"/>
        <w:rPr>
          <w:rFonts w:ascii="Traditional Arabic" w:eastAsia="Arial" w:hAnsi="Traditional Arabic" w:cs="Traditional Arabic"/>
          <w:color w:val="auto"/>
          <w:sz w:val="30"/>
          <w:szCs w:val="30"/>
          <w:lang w:val="en-GB" w:eastAsia="ar-SA"/>
        </w:rPr>
      </w:pPr>
      <w:r w:rsidRPr="00B934CE">
        <w:rPr>
          <w:rFonts w:ascii="Traditional Arabic" w:hAnsi="Traditional Arabic" w:cs="Traditional Arabic" w:hint="eastAsia"/>
          <w:color w:val="auto"/>
          <w:sz w:val="30"/>
          <w:szCs w:val="30"/>
          <w:rtl/>
        </w:rPr>
        <w:t>ا</w:t>
      </w:r>
      <w:r w:rsidRPr="00B934CE">
        <w:rPr>
          <w:rFonts w:ascii="Traditional Arabic" w:hAnsi="Traditional Arabic" w:cs="Traditional Arabic"/>
          <w:color w:val="auto"/>
          <w:sz w:val="30"/>
          <w:szCs w:val="30"/>
          <w:rtl/>
        </w:rPr>
        <w:t>لإفصاحات الكمية والنوعية حول المخاطر السوقية</w:t>
      </w:r>
    </w:p>
    <w:p w14:paraId="24C039EC" w14:textId="77777777" w:rsidR="00563389" w:rsidRPr="00B934CE" w:rsidRDefault="00563389" w:rsidP="00050991">
      <w:pPr>
        <w:pStyle w:val="4"/>
        <w:tabs>
          <w:tab w:val="left" w:pos="720"/>
        </w:tabs>
        <w:spacing w:before="0"/>
        <w:rPr>
          <w:rFonts w:ascii="Traditional Arabic" w:eastAsia="Arial" w:hAnsi="Traditional Arabic" w:cs="Traditional Arabic"/>
          <w:b w:val="0"/>
          <w:bCs w:val="0"/>
          <w:color w:val="auto"/>
          <w:sz w:val="30"/>
          <w:szCs w:val="30"/>
          <w:rtl/>
          <w:lang w:val="en-GB" w:eastAsia="ar-SA"/>
        </w:rPr>
      </w:pPr>
      <w:r w:rsidRPr="00B934CE">
        <w:rPr>
          <w:rFonts w:ascii="Traditional Arabic" w:eastAsia="Arial" w:hAnsi="Traditional Arabic" w:cs="Traditional Arabic"/>
          <w:b w:val="0"/>
          <w:bCs w:val="0"/>
          <w:color w:val="auto"/>
          <w:sz w:val="30"/>
          <w:szCs w:val="30"/>
          <w:rtl/>
          <w:lang w:val="en-GB" w:eastAsia="ar-SA"/>
        </w:rPr>
        <w:t>الفئات الرئيسية للمخاطر المالية التي تتعرض لها الشركة هي مخاطر الائتمان، ومخاطر السيولة، والمخاطر السوقية (بما في ذلك مخاطر أسعار الفائدة ومخاطر العملات الأجنبية). لوصف إدارة الشركة لهذه المخاطر، راجع الملاحظة 4 من القوائم المالية المجمعة السنوية لعام 2023 والقوائم المالية المؤقتة.</w:t>
      </w:r>
    </w:p>
    <w:p w14:paraId="7D7AC934" w14:textId="77777777" w:rsidR="00563389" w:rsidRPr="00B934CE" w:rsidRDefault="00563389" w:rsidP="00B934CE">
      <w:pPr>
        <w:pStyle w:val="4"/>
        <w:tabs>
          <w:tab w:val="left" w:pos="720"/>
        </w:tabs>
        <w:rPr>
          <w:rFonts w:ascii="Traditional Arabic" w:eastAsia="Arial" w:hAnsi="Traditional Arabic" w:cs="Traditional Arabic"/>
          <w:color w:val="auto"/>
          <w:sz w:val="30"/>
          <w:szCs w:val="30"/>
          <w:rtl/>
          <w:lang w:val="en-GB" w:eastAsia="ar-SA"/>
        </w:rPr>
      </w:pPr>
      <w:r w:rsidRPr="00B934CE">
        <w:rPr>
          <w:rFonts w:ascii="Traditional Arabic" w:eastAsia="Arial" w:hAnsi="Traditional Arabic" w:cs="Traditional Arabic"/>
          <w:color w:val="auto"/>
          <w:sz w:val="30"/>
          <w:szCs w:val="30"/>
          <w:rtl/>
          <w:lang w:val="en-GB" w:eastAsia="ar-SA"/>
        </w:rPr>
        <w:t>الأحكام المحاسبية الحاسمة، التقديرات ومصادر عدم اليقين</w:t>
      </w:r>
    </w:p>
    <w:p w14:paraId="6A85D21D" w14:textId="77777777" w:rsidR="00563389" w:rsidRPr="00B934CE" w:rsidRDefault="00563389" w:rsidP="00050991">
      <w:pPr>
        <w:pStyle w:val="4"/>
        <w:tabs>
          <w:tab w:val="left" w:pos="720"/>
        </w:tabs>
        <w:spacing w:before="0"/>
        <w:rPr>
          <w:rFonts w:ascii="Traditional Arabic" w:eastAsia="Arial" w:hAnsi="Traditional Arabic" w:cs="Traditional Arabic"/>
          <w:b w:val="0"/>
          <w:bCs w:val="0"/>
          <w:color w:val="auto"/>
          <w:sz w:val="30"/>
          <w:szCs w:val="30"/>
          <w:rtl/>
          <w:lang w:val="en-GB" w:eastAsia="ar-SA"/>
        </w:rPr>
      </w:pPr>
      <w:r w:rsidRPr="00B934CE">
        <w:rPr>
          <w:rFonts w:ascii="Traditional Arabic" w:eastAsia="Arial" w:hAnsi="Traditional Arabic" w:cs="Traditional Arabic"/>
          <w:b w:val="0"/>
          <w:bCs w:val="0"/>
          <w:color w:val="auto"/>
          <w:sz w:val="30"/>
          <w:szCs w:val="30"/>
          <w:rtl/>
          <w:lang w:val="en-GB" w:eastAsia="ar-SA"/>
        </w:rPr>
        <w:t>تم إعداد القوائم المالية المجمعة وفقًا للمعايير الدولية لإعداد التقارير المالية (</w:t>
      </w:r>
      <w:r w:rsidRPr="00B934CE">
        <w:rPr>
          <w:rFonts w:ascii="Traditional Arabic" w:eastAsia="Arial" w:hAnsi="Traditional Arabic" w:cs="Traditional Arabic"/>
          <w:b w:val="0"/>
          <w:bCs w:val="0"/>
          <w:color w:val="auto"/>
          <w:sz w:val="30"/>
          <w:szCs w:val="30"/>
          <w:lang w:val="en-GB" w:eastAsia="ar-SA"/>
        </w:rPr>
        <w:t>IFRS</w:t>
      </w:r>
      <w:r w:rsidRPr="00B934CE">
        <w:rPr>
          <w:rFonts w:ascii="Traditional Arabic" w:eastAsia="Arial" w:hAnsi="Traditional Arabic" w:cs="Traditional Arabic"/>
          <w:b w:val="0"/>
          <w:bCs w:val="0"/>
          <w:color w:val="auto"/>
          <w:sz w:val="30"/>
          <w:szCs w:val="30"/>
          <w:rtl/>
          <w:lang w:val="en-GB" w:eastAsia="ar-SA"/>
        </w:rPr>
        <w:t>). لمناقشة السياسات المحاسبية الحاسمة التي تطبقها الشركة، راجع الملاحظة 3 من القوائم المالية المجمعة السنوية لعام 2023 والقوائم المالية المؤقتة.</w:t>
      </w:r>
    </w:p>
    <w:p w14:paraId="2ADA970D" w14:textId="77777777" w:rsidR="00563389" w:rsidRPr="00B934CE" w:rsidRDefault="00563389" w:rsidP="00B934CE">
      <w:pPr>
        <w:tabs>
          <w:tab w:val="left" w:pos="720"/>
        </w:tabs>
        <w:bidi/>
        <w:jc w:val="both"/>
        <w:rPr>
          <w:rFonts w:ascii="Traditional Arabic" w:eastAsia="Arial" w:hAnsi="Traditional Arabic" w:cs="Traditional Arabic"/>
          <w:sz w:val="30"/>
          <w:szCs w:val="30"/>
          <w:rtl/>
          <w:lang w:val="en-GB" w:eastAsia="ar-SA"/>
        </w:rPr>
      </w:pPr>
      <w:r w:rsidRPr="00B934CE">
        <w:rPr>
          <w:rFonts w:ascii="Traditional Arabic" w:eastAsia="Arial" w:hAnsi="Traditional Arabic" w:cs="Traditional Arabic"/>
          <w:sz w:val="30"/>
          <w:szCs w:val="30"/>
          <w:rtl/>
          <w:lang w:val="en-GB" w:eastAsia="ar-SA"/>
        </w:rPr>
        <w:t>في تطبيق السياسات المحاسبية للشركة، يتعين على الإدارة اتخاذ أحكام وتقديرات وافتراضات بشأن قيم الأصول والالتزامات التي لا تكون واضحة من مصادر أخرى. يتم استناد التقديرات والافتراضات المرتبطة بها إلى الخبرة التاريخية وعوامل أخرى يُعتقد أنها ذات صلة. قد تختلف النتائج الفعلية عن هذه التقديرات. يتم مراجعة التقديرات والافتراضات الأساسية بشكل مستمر. يتم الاعتراف بتعديلات التقديرات المحاسبية في الفترة التي يتم فيها تعديل التقدير إذا كان التعديل يؤثر فقط على تلك الفترة، أو في الفترة التي يتم فيها التعديل والفترات المستقبلية إذا كان التعديل يؤثر على كل من الفترات الحالية والمستقبلية. تتعلق التقديرات بتقييم الترتيبات التعاقدية، والضرائب، وانخفاض قيمة الأصول. للحصول على مزيد من المعلومات، راجع الملاحظة 5 من القوائم المالية المجمعة السنوية لعام 2023 والقوائم المالية المجمعة المؤقتة</w:t>
      </w:r>
      <w:r w:rsidR="00B1636A" w:rsidRPr="00B934CE">
        <w:rPr>
          <w:rFonts w:ascii="Traditional Arabic" w:eastAsia="Arial" w:hAnsi="Traditional Arabic" w:cs="Traditional Arabic"/>
          <w:sz w:val="30"/>
          <w:szCs w:val="30"/>
          <w:rtl/>
          <w:lang w:val="en-GB" w:eastAsia="ar-SA"/>
        </w:rPr>
        <w:t>.</w:t>
      </w:r>
    </w:p>
    <w:p w14:paraId="1EE19282" w14:textId="77777777" w:rsidR="00563389" w:rsidRPr="00B934CE" w:rsidRDefault="00563389" w:rsidP="00B934CE">
      <w:pPr>
        <w:bidi/>
        <w:spacing w:after="120"/>
        <w:jc w:val="both"/>
        <w:rPr>
          <w:rFonts w:ascii="Traditional Arabic" w:eastAsiaTheme="majorEastAsia" w:hAnsi="Traditional Arabic" w:cs="Traditional Arabic"/>
          <w:sz w:val="30"/>
          <w:szCs w:val="30"/>
          <w:rtl/>
        </w:rPr>
      </w:pPr>
    </w:p>
    <w:p w14:paraId="4EBE5553" w14:textId="77777777" w:rsidR="000C693A" w:rsidRPr="00B934CE" w:rsidRDefault="000C693A" w:rsidP="00150B31">
      <w:pPr>
        <w:bidi/>
        <w:spacing w:after="120"/>
        <w:jc w:val="both"/>
        <w:rPr>
          <w:rFonts w:ascii="Traditional Arabic" w:eastAsiaTheme="majorEastAsia" w:hAnsi="Traditional Arabic" w:cs="Traditional Arabic"/>
          <w:b/>
          <w:bCs/>
          <w:i/>
          <w:iCs/>
          <w:sz w:val="30"/>
          <w:szCs w:val="30"/>
          <w:rtl/>
        </w:rPr>
      </w:pPr>
    </w:p>
    <w:p w14:paraId="76DC31A8" w14:textId="77777777" w:rsidR="00A93B67" w:rsidRPr="00A93B67" w:rsidRDefault="00A93B67" w:rsidP="00150B31">
      <w:pPr>
        <w:bidi/>
        <w:jc w:val="both"/>
        <w:rPr>
          <w:rFonts w:ascii="Traditional Arabic" w:hAnsi="Traditional Arabic" w:cs="Traditional Arabic"/>
          <w:i/>
          <w:sz w:val="30"/>
          <w:szCs w:val="30"/>
          <w:rtl/>
        </w:rPr>
      </w:pPr>
    </w:p>
    <w:p w14:paraId="7869F86F" w14:textId="77777777" w:rsidR="008D58E0" w:rsidRPr="00EB5BCF" w:rsidRDefault="008D58E0" w:rsidP="00150B31">
      <w:pPr>
        <w:autoSpaceDE w:val="0"/>
        <w:autoSpaceDN w:val="0"/>
        <w:bidi/>
        <w:adjustRightInd w:val="0"/>
        <w:jc w:val="both"/>
        <w:rPr>
          <w:rFonts w:ascii="Traditional Arabic" w:hAnsi="Traditional Arabic" w:cs="Traditional Arabic"/>
          <w:sz w:val="30"/>
          <w:szCs w:val="30"/>
          <w:rtl/>
          <w:lang w:bidi="ar-EG"/>
        </w:rPr>
        <w:sectPr w:rsidR="008D58E0" w:rsidRPr="00EB5BCF">
          <w:pgSz w:w="12240" w:h="15840"/>
          <w:pgMar w:top="1440" w:right="1440" w:bottom="1440" w:left="1440" w:header="720" w:footer="720" w:gutter="0"/>
          <w:cols w:space="720"/>
          <w:docGrid w:linePitch="360"/>
        </w:sectPr>
      </w:pPr>
    </w:p>
    <w:p w14:paraId="146CA4A7" w14:textId="77777777" w:rsidR="004D1AA2" w:rsidRPr="00EB5BCF" w:rsidRDefault="00777EBD" w:rsidP="00050991">
      <w:pPr>
        <w:autoSpaceDE w:val="0"/>
        <w:autoSpaceDN w:val="0"/>
        <w:bidi/>
        <w:adjustRightInd w:val="0"/>
        <w:jc w:val="center"/>
        <w:rPr>
          <w:rFonts w:ascii="Traditional Arabic" w:hAnsi="Traditional Arabic" w:cs="Traditional Arabic"/>
          <w:b/>
          <w:bCs/>
          <w:sz w:val="30"/>
          <w:szCs w:val="30"/>
          <w:rtl/>
          <w:lang w:bidi="ar-EG"/>
        </w:rPr>
      </w:pPr>
      <w:r w:rsidRPr="00EB5BCF">
        <w:rPr>
          <w:rFonts w:ascii="Traditional Arabic" w:hAnsi="Traditional Arabic" w:cs="Traditional Arabic"/>
          <w:b/>
          <w:bCs/>
          <w:sz w:val="30"/>
          <w:szCs w:val="30"/>
          <w:rtl/>
          <w:lang w:bidi="ar-EG"/>
        </w:rPr>
        <w:lastRenderedPageBreak/>
        <w:t xml:space="preserve">الفصل </w:t>
      </w:r>
      <w:r w:rsidR="00A263F6" w:rsidRPr="00EB5BCF">
        <w:rPr>
          <w:rFonts w:ascii="Traditional Arabic" w:hAnsi="Traditional Arabic" w:cs="Traditional Arabic"/>
          <w:b/>
          <w:bCs/>
          <w:sz w:val="30"/>
          <w:szCs w:val="30"/>
          <w:rtl/>
          <w:lang w:bidi="ar-EG"/>
        </w:rPr>
        <w:t>ال</w:t>
      </w:r>
      <w:r w:rsidR="00A263F6">
        <w:rPr>
          <w:rFonts w:ascii="Traditional Arabic" w:hAnsi="Traditional Arabic" w:cs="Traditional Arabic" w:hint="cs"/>
          <w:b/>
          <w:bCs/>
          <w:sz w:val="30"/>
          <w:szCs w:val="30"/>
          <w:rtl/>
          <w:lang w:bidi="ar-EG"/>
        </w:rPr>
        <w:t>خامس</w:t>
      </w:r>
      <w:r w:rsidR="00A263F6" w:rsidRPr="00EB5BCF">
        <w:rPr>
          <w:rFonts w:ascii="Traditional Arabic" w:hAnsi="Traditional Arabic" w:cs="Traditional Arabic"/>
          <w:b/>
          <w:bCs/>
          <w:sz w:val="30"/>
          <w:szCs w:val="30"/>
          <w:rtl/>
          <w:lang w:bidi="ar-EG"/>
        </w:rPr>
        <w:t xml:space="preserve"> </w:t>
      </w:r>
      <w:r w:rsidRPr="00EB5BCF">
        <w:rPr>
          <w:rFonts w:ascii="Traditional Arabic" w:hAnsi="Traditional Arabic" w:cs="Traditional Arabic"/>
          <w:b/>
          <w:bCs/>
          <w:sz w:val="30"/>
          <w:szCs w:val="30"/>
          <w:rtl/>
          <w:lang w:bidi="ar-EG"/>
        </w:rPr>
        <w:t>عشر</w:t>
      </w:r>
    </w:p>
    <w:p w14:paraId="26F5448E" w14:textId="77777777" w:rsidR="0004574B" w:rsidRDefault="00777EBD" w:rsidP="008252E9">
      <w:pPr>
        <w:autoSpaceDE w:val="0"/>
        <w:autoSpaceDN w:val="0"/>
        <w:bidi/>
        <w:adjustRightInd w:val="0"/>
        <w:jc w:val="center"/>
        <w:rPr>
          <w:rFonts w:ascii="Traditional Arabic" w:hAnsi="Traditional Arabic" w:cs="Traditional Arabic"/>
          <w:b/>
          <w:bCs/>
          <w:sz w:val="30"/>
          <w:szCs w:val="30"/>
          <w:rtl/>
          <w:lang w:bidi="ar-EG"/>
        </w:rPr>
      </w:pPr>
      <w:r w:rsidRPr="00EB5BCF">
        <w:rPr>
          <w:rFonts w:ascii="Traditional Arabic" w:hAnsi="Traditional Arabic" w:cs="Traditional Arabic"/>
          <w:b/>
          <w:bCs/>
          <w:sz w:val="30"/>
          <w:szCs w:val="30"/>
          <w:rtl/>
          <w:lang w:bidi="ar-EG"/>
        </w:rPr>
        <w:t>سياسة توزيع الأرباح</w:t>
      </w:r>
    </w:p>
    <w:p w14:paraId="2A53C3AB" w14:textId="77777777" w:rsidR="00E90770" w:rsidRPr="00EB5BCF" w:rsidRDefault="00E90770" w:rsidP="00E90770">
      <w:pPr>
        <w:autoSpaceDE w:val="0"/>
        <w:autoSpaceDN w:val="0"/>
        <w:bidi/>
        <w:adjustRightInd w:val="0"/>
        <w:jc w:val="center"/>
        <w:rPr>
          <w:rFonts w:ascii="Traditional Arabic" w:hAnsi="Traditional Arabic" w:cs="Traditional Arabic"/>
          <w:sz w:val="30"/>
          <w:szCs w:val="30"/>
          <w:rtl/>
          <w:lang w:bidi="ar-EG"/>
        </w:rPr>
      </w:pPr>
    </w:p>
    <w:p w14:paraId="6A8646EB" w14:textId="77777777" w:rsidR="00772CA8" w:rsidRPr="00EB5BCF" w:rsidRDefault="00772CA8" w:rsidP="00772CA8">
      <w:pPr>
        <w:pStyle w:val="BodyText1"/>
        <w:keepNext/>
        <w:bidi/>
        <w:spacing w:after="0"/>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تتساوى الأسهم المطروحة عبر الاكتتاب العام</w:t>
      </w:r>
      <w:r w:rsidRPr="00EB5BCF" w:rsidDel="00080598">
        <w:rPr>
          <w:rFonts w:ascii="Traditional Arabic" w:hAnsi="Traditional Arabic" w:cs="Traditional Arabic"/>
          <w:sz w:val="30"/>
          <w:szCs w:val="30"/>
          <w:rtl/>
          <w:lang w:val="en-GB"/>
        </w:rPr>
        <w:t xml:space="preserve"> </w:t>
      </w:r>
      <w:r w:rsidRPr="00EB5BCF">
        <w:rPr>
          <w:rFonts w:ascii="Traditional Arabic" w:hAnsi="Traditional Arabic" w:cs="Traditional Arabic"/>
          <w:sz w:val="30"/>
          <w:szCs w:val="30"/>
          <w:rtl/>
          <w:lang w:val="en-GB"/>
        </w:rPr>
        <w:t xml:space="preserve">– طبقًا للنظام الأساسي - مع جميع الأسهم الأخرى في جميع الحقوق المرتبطة بالأرباح التي قد يتم الإعلان عنها ودفعها </w:t>
      </w:r>
      <w:r w:rsidR="006D61F3" w:rsidRPr="00EB5BCF">
        <w:rPr>
          <w:rFonts w:ascii="Traditional Arabic" w:hAnsi="Traditional Arabic" w:cs="Traditional Arabic"/>
          <w:sz w:val="30"/>
          <w:szCs w:val="30"/>
          <w:rtl/>
          <w:lang w:val="en-GB"/>
        </w:rPr>
        <w:t xml:space="preserve">عن </w:t>
      </w:r>
      <w:r w:rsidRPr="00EB5BCF">
        <w:rPr>
          <w:rFonts w:ascii="Traditional Arabic" w:hAnsi="Traditional Arabic" w:cs="Traditional Arabic"/>
          <w:sz w:val="30"/>
          <w:szCs w:val="30"/>
          <w:rtl/>
          <w:lang w:val="en-GB"/>
        </w:rPr>
        <w:t xml:space="preserve">السنة </w:t>
      </w:r>
      <w:r w:rsidR="009F7B0A">
        <w:rPr>
          <w:rFonts w:ascii="Traditional Arabic" w:hAnsi="Traditional Arabic" w:cs="Traditional Arabic" w:hint="cs"/>
          <w:sz w:val="30"/>
          <w:szCs w:val="30"/>
          <w:rtl/>
          <w:lang w:val="en-GB"/>
        </w:rPr>
        <w:t xml:space="preserve">المالية </w:t>
      </w:r>
      <w:r w:rsidRPr="00EB5BCF">
        <w:rPr>
          <w:rFonts w:ascii="Traditional Arabic" w:hAnsi="Traditional Arabic" w:cs="Traditional Arabic"/>
          <w:sz w:val="30"/>
          <w:szCs w:val="30"/>
          <w:rtl/>
          <w:lang w:val="en-GB"/>
        </w:rPr>
        <w:t xml:space="preserve">المنتهية في </w:t>
      </w:r>
      <w:r w:rsidR="009F7B0A">
        <w:rPr>
          <w:rFonts w:ascii="Traditional Arabic" w:hAnsi="Traditional Arabic" w:cs="Traditional Arabic" w:hint="cs"/>
          <w:sz w:val="30"/>
          <w:szCs w:val="30"/>
          <w:rtl/>
          <w:lang w:val="en-GB"/>
        </w:rPr>
        <w:t>2024</w:t>
      </w:r>
      <w:r w:rsidRPr="00EB5BCF">
        <w:rPr>
          <w:rFonts w:ascii="Traditional Arabic" w:hAnsi="Traditional Arabic" w:cs="Traditional Arabic"/>
          <w:sz w:val="30"/>
          <w:szCs w:val="30"/>
          <w:rtl/>
          <w:lang w:val="en-GB"/>
        </w:rPr>
        <w:t xml:space="preserve"> وأية أرباح عن السنوات التالي</w:t>
      </w:r>
      <w:r w:rsidR="006D61F3" w:rsidRPr="00EB5BCF">
        <w:rPr>
          <w:rFonts w:ascii="Traditional Arabic" w:hAnsi="Traditional Arabic" w:cs="Traditional Arabic"/>
          <w:sz w:val="30"/>
          <w:szCs w:val="30"/>
          <w:rtl/>
          <w:lang w:val="en-GB"/>
        </w:rPr>
        <w:t>ة،</w:t>
      </w:r>
      <w:r w:rsidRPr="00EB5BCF">
        <w:rPr>
          <w:rFonts w:ascii="Traditional Arabic" w:hAnsi="Traditional Arabic" w:cs="Traditional Arabic"/>
          <w:sz w:val="30"/>
          <w:szCs w:val="30"/>
          <w:rtl/>
          <w:lang w:val="en-GB"/>
        </w:rPr>
        <w:t xml:space="preserve"> </w:t>
      </w:r>
      <w:r w:rsidR="006D61F3" w:rsidRPr="00EB5BCF">
        <w:rPr>
          <w:rFonts w:ascii="Traditional Arabic" w:hAnsi="Traditional Arabic" w:cs="Traditional Arabic"/>
          <w:sz w:val="30"/>
          <w:szCs w:val="30"/>
          <w:rtl/>
          <w:lang w:val="en-GB"/>
        </w:rPr>
        <w:t>على أن يتم</w:t>
      </w:r>
      <w:r w:rsidRPr="00EB5BCF">
        <w:rPr>
          <w:rFonts w:ascii="Traditional Arabic" w:hAnsi="Traditional Arabic" w:cs="Traditional Arabic"/>
          <w:sz w:val="30"/>
          <w:szCs w:val="30"/>
          <w:rtl/>
          <w:lang w:val="en-GB"/>
        </w:rPr>
        <w:t xml:space="preserve"> بعد الاكتتاب العام تعديل سجل مساهمي </w:t>
      </w:r>
      <w:r w:rsidR="006D61F3" w:rsidRPr="00EB5BCF">
        <w:rPr>
          <w:rFonts w:ascii="Traditional Arabic" w:hAnsi="Traditional Arabic" w:cs="Traditional Arabic"/>
          <w:sz w:val="30"/>
          <w:szCs w:val="30"/>
          <w:rtl/>
          <w:lang w:val="en-GB"/>
        </w:rPr>
        <w:t>ال</w:t>
      </w:r>
      <w:r w:rsidRPr="00EB5BCF">
        <w:rPr>
          <w:rFonts w:ascii="Traditional Arabic" w:hAnsi="Traditional Arabic" w:cs="Traditional Arabic"/>
          <w:sz w:val="30"/>
          <w:szCs w:val="30"/>
          <w:rtl/>
          <w:lang w:val="en-GB"/>
        </w:rPr>
        <w:t xml:space="preserve">شركة لدى شركة مسقط للمقاصة والإيداع </w:t>
      </w:r>
      <w:r w:rsidR="00CD5CD6" w:rsidRPr="00EB5BCF">
        <w:rPr>
          <w:rFonts w:ascii="Traditional Arabic" w:hAnsi="Traditional Arabic" w:cs="Traditional Arabic"/>
          <w:sz w:val="30"/>
          <w:szCs w:val="30"/>
          <w:rtl/>
          <w:lang w:val="en-GB"/>
        </w:rPr>
        <w:t>ش.م.ع.</w:t>
      </w:r>
      <w:r w:rsidRPr="00EB5BCF">
        <w:rPr>
          <w:rFonts w:ascii="Traditional Arabic" w:hAnsi="Traditional Arabic" w:cs="Traditional Arabic"/>
          <w:sz w:val="30"/>
          <w:szCs w:val="30"/>
          <w:rtl/>
          <w:lang w:val="en-GB"/>
        </w:rPr>
        <w:t xml:space="preserve">م </w:t>
      </w:r>
      <w:r w:rsidR="008C7EEA">
        <w:rPr>
          <w:rFonts w:ascii="Traditional Arabic" w:hAnsi="Traditional Arabic" w:cs="Traditional Arabic" w:hint="cs"/>
          <w:sz w:val="30"/>
          <w:szCs w:val="30"/>
          <w:rtl/>
          <w:lang w:val="en-GB"/>
        </w:rPr>
        <w:t>لتسجيل ملكية جمهور المستثمرين لأسهم الطرح و</w:t>
      </w:r>
      <w:r w:rsidRPr="00EB5BCF">
        <w:rPr>
          <w:rFonts w:ascii="Traditional Arabic" w:hAnsi="Traditional Arabic" w:cs="Traditional Arabic"/>
          <w:sz w:val="30"/>
          <w:szCs w:val="30"/>
          <w:rtl/>
          <w:lang w:val="en-GB"/>
        </w:rPr>
        <w:t xml:space="preserve">لكي يتسنى للمساهمين الجدد استلام </w:t>
      </w:r>
      <w:r w:rsidR="006D61F3" w:rsidRPr="00EB5BCF">
        <w:rPr>
          <w:rFonts w:ascii="Traditional Arabic" w:hAnsi="Traditional Arabic" w:cs="Traditional Arabic"/>
          <w:sz w:val="30"/>
          <w:szCs w:val="30"/>
          <w:rtl/>
          <w:lang w:val="en-GB"/>
        </w:rPr>
        <w:t>ما قد يتم الإعلان عنه من أرباح</w:t>
      </w:r>
      <w:r w:rsidR="00374E4C">
        <w:rPr>
          <w:rFonts w:ascii="Traditional Arabic" w:hAnsi="Traditional Arabic" w:cs="Traditional Arabic" w:hint="cs"/>
          <w:sz w:val="30"/>
          <w:szCs w:val="30"/>
          <w:rtl/>
          <w:lang w:val="en-GB"/>
        </w:rPr>
        <w:t xml:space="preserve"> بحقوق متساوية</w:t>
      </w:r>
      <w:r w:rsidRPr="00EB5BCF">
        <w:rPr>
          <w:rFonts w:ascii="Traditional Arabic" w:hAnsi="Traditional Arabic" w:cs="Traditional Arabic"/>
          <w:sz w:val="30"/>
          <w:szCs w:val="30"/>
          <w:rtl/>
          <w:lang w:val="en-GB"/>
        </w:rPr>
        <w:t>.</w:t>
      </w:r>
    </w:p>
    <w:p w14:paraId="3C5B905F" w14:textId="77777777" w:rsidR="00777EBD" w:rsidRPr="00EB5BCF" w:rsidRDefault="00777EBD" w:rsidP="00777EBD">
      <w:pPr>
        <w:autoSpaceDE w:val="0"/>
        <w:autoSpaceDN w:val="0"/>
        <w:bidi/>
        <w:adjustRightInd w:val="0"/>
        <w:jc w:val="both"/>
        <w:rPr>
          <w:rFonts w:ascii="Traditional Arabic" w:hAnsi="Traditional Arabic" w:cs="Traditional Arabic"/>
          <w:sz w:val="30"/>
          <w:szCs w:val="30"/>
          <w:rtl/>
          <w:lang w:val="en-GB" w:bidi="ar-EG"/>
        </w:rPr>
      </w:pPr>
    </w:p>
    <w:p w14:paraId="1FBE4EAD" w14:textId="77777777" w:rsidR="00772CA8" w:rsidRPr="00EB5BCF" w:rsidRDefault="00772CA8" w:rsidP="00772CA8">
      <w:pPr>
        <w:pStyle w:val="BodyText1"/>
        <w:bidi/>
        <w:spacing w:after="0"/>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rPr>
        <w:t>سياسة توزيع الأرباح</w:t>
      </w:r>
    </w:p>
    <w:p w14:paraId="62DD053B" w14:textId="77777777" w:rsidR="002B7DA3" w:rsidRPr="002B7DA3" w:rsidRDefault="002B7DA3" w:rsidP="00CD53BC">
      <w:pPr>
        <w:pStyle w:val="BodyText1"/>
        <w:bidi/>
        <w:spacing w:after="0"/>
        <w:rPr>
          <w:rFonts w:ascii="Traditional Arabic" w:hAnsi="Traditional Arabic" w:cs="Traditional Arabic"/>
          <w:kern w:val="28"/>
          <w:sz w:val="30"/>
          <w:szCs w:val="30"/>
          <w:rtl/>
          <w:lang w:val="en-GB"/>
        </w:rPr>
      </w:pPr>
    </w:p>
    <w:p w14:paraId="541EA616" w14:textId="77777777" w:rsidR="002B7DA3" w:rsidRPr="002B7DA3" w:rsidRDefault="002B7DA3" w:rsidP="00CD53BC">
      <w:pPr>
        <w:pStyle w:val="BodyText1"/>
        <w:bidi/>
        <w:spacing w:after="0"/>
        <w:rPr>
          <w:rFonts w:ascii="Traditional Arabic" w:hAnsi="Traditional Arabic" w:cs="Traditional Arabic"/>
          <w:kern w:val="28"/>
          <w:sz w:val="30"/>
          <w:szCs w:val="30"/>
        </w:rPr>
      </w:pPr>
      <w:r w:rsidRPr="002B7DA3">
        <w:rPr>
          <w:rFonts w:ascii="Traditional Arabic" w:hAnsi="Traditional Arabic" w:cs="Traditional Arabic"/>
          <w:kern w:val="28"/>
          <w:sz w:val="30"/>
          <w:szCs w:val="30"/>
          <w:rtl/>
          <w:lang w:val="en-GB"/>
        </w:rPr>
        <w:t xml:space="preserve">تعتزم الشركة الحفاظ على سياسة قوية لتوزيع الأرباح تهدف إلى إعادة جميع تدفقاتها النقدية الحرة القابلة للتوزيع إلى المساهمين بشكل كبير بعد توفير فرص النمو مع </w:t>
      </w:r>
      <w:r w:rsidR="0057046F">
        <w:rPr>
          <w:rFonts w:ascii="Traditional Arabic" w:hAnsi="Traditional Arabic" w:cs="Traditional Arabic" w:hint="cs"/>
          <w:kern w:val="28"/>
          <w:sz w:val="30"/>
          <w:szCs w:val="30"/>
          <w:rtl/>
          <w:lang w:val="en-GB" w:bidi="ar-EG"/>
        </w:rPr>
        <w:t>مراعاة اعتبارات التصنيف الائتماني.</w:t>
      </w:r>
      <w:r w:rsidRPr="002B7DA3">
        <w:rPr>
          <w:rFonts w:ascii="Traditional Arabic" w:hAnsi="Traditional Arabic" w:cs="Traditional Arabic"/>
          <w:kern w:val="28"/>
          <w:sz w:val="30"/>
          <w:szCs w:val="30"/>
          <w:rtl/>
          <w:lang w:val="en-GB"/>
        </w:rPr>
        <w:t xml:space="preserve"> تعتمد قدرة الشركة على دفع أرباح الأسهم على عدد من العوامل، بما في ذلك توافر الاحتياطيات القابلة للتوزيع، وخطط الإنفاق الرأسمالي والمتطلبات النقدية الأخرى في الفترات المستقبلية، وليس هناك ما يضمن أن الشركة ستدفع أرباحا</w:t>
      </w:r>
      <w:r w:rsidR="0014613A">
        <w:rPr>
          <w:rFonts w:ascii="Traditional Arabic" w:hAnsi="Traditional Arabic" w:cs="Traditional Arabic" w:hint="cs"/>
          <w:kern w:val="28"/>
          <w:sz w:val="30"/>
          <w:szCs w:val="30"/>
          <w:rtl/>
          <w:lang w:val="en-GB"/>
        </w:rPr>
        <w:t>، و</w:t>
      </w:r>
      <w:r w:rsidRPr="002B7DA3">
        <w:rPr>
          <w:rFonts w:ascii="Traditional Arabic" w:hAnsi="Traditional Arabic" w:cs="Traditional Arabic"/>
          <w:kern w:val="28"/>
          <w:sz w:val="30"/>
          <w:szCs w:val="30"/>
          <w:rtl/>
          <w:lang w:val="en-GB"/>
        </w:rPr>
        <w:t xml:space="preserve">إذا تم دفع أرباح </w:t>
      </w:r>
      <w:r w:rsidR="008D3E4D">
        <w:rPr>
          <w:rFonts w:ascii="Traditional Arabic" w:hAnsi="Traditional Arabic" w:cs="Traditional Arabic" w:hint="cs"/>
          <w:kern w:val="28"/>
          <w:sz w:val="30"/>
          <w:szCs w:val="30"/>
          <w:rtl/>
          <w:lang w:val="en-GB"/>
        </w:rPr>
        <w:t>ف</w:t>
      </w:r>
      <w:r w:rsidRPr="002B7DA3">
        <w:rPr>
          <w:rFonts w:ascii="Traditional Arabic" w:hAnsi="Traditional Arabic" w:cs="Traditional Arabic"/>
          <w:kern w:val="28"/>
          <w:sz w:val="30"/>
          <w:szCs w:val="30"/>
          <w:rtl/>
          <w:lang w:val="en-GB"/>
        </w:rPr>
        <w:t>مبلغ هذه الأرباح</w:t>
      </w:r>
      <w:r w:rsidR="008D3E4D">
        <w:rPr>
          <w:rFonts w:ascii="Traditional Arabic" w:hAnsi="Traditional Arabic" w:cs="Traditional Arabic" w:hint="cs"/>
          <w:kern w:val="28"/>
          <w:sz w:val="30"/>
          <w:szCs w:val="30"/>
          <w:rtl/>
          <w:lang w:val="en-GB"/>
        </w:rPr>
        <w:t xml:space="preserve"> غير معلوم</w:t>
      </w:r>
      <w:r w:rsidRPr="002B7DA3">
        <w:rPr>
          <w:rFonts w:ascii="Traditional Arabic" w:hAnsi="Traditional Arabic" w:cs="Traditional Arabic"/>
          <w:kern w:val="28"/>
          <w:sz w:val="30"/>
          <w:szCs w:val="30"/>
          <w:rtl/>
          <w:lang w:val="en-GB"/>
        </w:rPr>
        <w:t>. يرجى الاطلاع على إلى "</w:t>
      </w:r>
      <w:r w:rsidRPr="002B7DA3">
        <w:rPr>
          <w:rFonts w:ascii="Traditional Arabic" w:hAnsi="Traditional Arabic" w:cs="Traditional Arabic"/>
          <w:i/>
          <w:iCs/>
          <w:kern w:val="28"/>
          <w:sz w:val="30"/>
          <w:szCs w:val="30"/>
          <w:rtl/>
          <w:lang w:val="en-GB"/>
        </w:rPr>
        <w:t>الفصل الرابع — عوامل المخاطرة- المخاطر المتعلقة بال</w:t>
      </w:r>
      <w:r w:rsidR="008D3E4D">
        <w:rPr>
          <w:rFonts w:ascii="Traditional Arabic" w:hAnsi="Traditional Arabic" w:cs="Traditional Arabic" w:hint="cs"/>
          <w:i/>
          <w:iCs/>
          <w:kern w:val="28"/>
          <w:sz w:val="30"/>
          <w:szCs w:val="30"/>
          <w:rtl/>
          <w:lang w:val="en-GB"/>
        </w:rPr>
        <w:t>طرح</w:t>
      </w:r>
      <w:r w:rsidRPr="002B7DA3">
        <w:rPr>
          <w:rFonts w:ascii="Traditional Arabic" w:hAnsi="Traditional Arabic" w:cs="Traditional Arabic"/>
          <w:i/>
          <w:iCs/>
          <w:kern w:val="28"/>
          <w:sz w:val="30"/>
          <w:szCs w:val="30"/>
          <w:rtl/>
          <w:lang w:val="en-GB"/>
        </w:rPr>
        <w:t xml:space="preserve"> والأسهم </w:t>
      </w:r>
      <w:r w:rsidR="00453E51" w:rsidRPr="002B7DA3">
        <w:rPr>
          <w:rFonts w:ascii="Traditional Arabic" w:hAnsi="Traditional Arabic" w:cs="Traditional Arabic"/>
          <w:i/>
          <w:iCs/>
          <w:kern w:val="28"/>
          <w:sz w:val="30"/>
          <w:szCs w:val="30"/>
          <w:rtl/>
          <w:lang w:val="en-GB"/>
        </w:rPr>
        <w:t>-</w:t>
      </w:r>
      <w:r w:rsidR="00453E51" w:rsidRPr="00842A44">
        <w:rPr>
          <w:rtl/>
        </w:rPr>
        <w:t xml:space="preserve"> </w:t>
      </w:r>
      <w:r w:rsidR="00453E51" w:rsidRPr="00842A44">
        <w:rPr>
          <w:rFonts w:ascii="Traditional Arabic" w:hAnsi="Traditional Arabic" w:cs="Traditional Arabic"/>
          <w:i/>
          <w:iCs/>
          <w:kern w:val="28"/>
          <w:sz w:val="30"/>
          <w:szCs w:val="30"/>
          <w:rtl/>
          <w:lang w:val="en-GB"/>
        </w:rPr>
        <w:t>من المحتمل ألا توزع الشركة أنصبة الأرباح وألا تعلن عن توزيعات الأرباح في المستقبل</w:t>
      </w:r>
      <w:r w:rsidR="00453E51" w:rsidRPr="002B7DA3" w:rsidDel="00453E51">
        <w:rPr>
          <w:rFonts w:ascii="Traditional Arabic" w:hAnsi="Traditional Arabic" w:cs="Traditional Arabic"/>
          <w:i/>
          <w:iCs/>
          <w:kern w:val="28"/>
          <w:sz w:val="30"/>
          <w:szCs w:val="30"/>
          <w:rtl/>
          <w:lang w:val="en-GB"/>
        </w:rPr>
        <w:t xml:space="preserve"> </w:t>
      </w:r>
      <w:r w:rsidRPr="002B7DA3">
        <w:rPr>
          <w:rFonts w:ascii="Traditional Arabic" w:hAnsi="Traditional Arabic" w:cs="Traditional Arabic"/>
          <w:kern w:val="28"/>
          <w:sz w:val="30"/>
          <w:szCs w:val="30"/>
          <w:rtl/>
          <w:lang w:val="en-GB"/>
        </w:rPr>
        <w:t xml:space="preserve">." </w:t>
      </w:r>
      <w:r w:rsidR="008D3E4D">
        <w:rPr>
          <w:rFonts w:ascii="Traditional Arabic" w:hAnsi="Traditional Arabic" w:cs="Traditional Arabic" w:hint="cs"/>
          <w:kern w:val="28"/>
          <w:sz w:val="30"/>
          <w:szCs w:val="30"/>
          <w:rtl/>
          <w:lang w:val="en-GB"/>
        </w:rPr>
        <w:t>إن عملية</w:t>
      </w:r>
      <w:r w:rsidRPr="002B7DA3">
        <w:rPr>
          <w:rFonts w:ascii="Traditional Arabic" w:hAnsi="Traditional Arabic" w:cs="Traditional Arabic"/>
          <w:kern w:val="28"/>
          <w:sz w:val="30"/>
          <w:szCs w:val="30"/>
          <w:rtl/>
          <w:lang w:val="en-GB"/>
        </w:rPr>
        <w:t xml:space="preserve"> دفع</w:t>
      </w:r>
      <w:r w:rsidR="008D3E4D">
        <w:rPr>
          <w:rFonts w:ascii="Traditional Arabic" w:hAnsi="Traditional Arabic" w:cs="Traditional Arabic" w:hint="cs"/>
          <w:kern w:val="28"/>
          <w:sz w:val="30"/>
          <w:szCs w:val="30"/>
          <w:rtl/>
          <w:lang w:val="en-GB"/>
        </w:rPr>
        <w:t xml:space="preserve"> ال</w:t>
      </w:r>
      <w:r w:rsidRPr="002B7DA3">
        <w:rPr>
          <w:rFonts w:ascii="Traditional Arabic" w:hAnsi="Traditional Arabic" w:cs="Traditional Arabic"/>
          <w:kern w:val="28"/>
          <w:sz w:val="30"/>
          <w:szCs w:val="30"/>
          <w:rtl/>
          <w:lang w:val="en-GB"/>
        </w:rPr>
        <w:t>أرباح</w:t>
      </w:r>
      <w:r w:rsidR="002D3BCF">
        <w:rPr>
          <w:rFonts w:ascii="Traditional Arabic" w:hAnsi="Traditional Arabic" w:cs="Traditional Arabic" w:hint="cs"/>
          <w:kern w:val="28"/>
          <w:sz w:val="30"/>
          <w:szCs w:val="30"/>
          <w:rtl/>
          <w:lang w:val="en-GB"/>
        </w:rPr>
        <w:t xml:space="preserve"> لا شك تعتمد</w:t>
      </w:r>
      <w:r w:rsidRPr="002B7DA3">
        <w:rPr>
          <w:rFonts w:ascii="Traditional Arabic" w:hAnsi="Traditional Arabic" w:cs="Traditional Arabic"/>
          <w:kern w:val="28"/>
          <w:sz w:val="30"/>
          <w:szCs w:val="30"/>
          <w:rtl/>
          <w:lang w:val="en-GB"/>
        </w:rPr>
        <w:t xml:space="preserve"> على الأرباح المستقبلية وخطة عمل الشركة، و</w:t>
      </w:r>
      <w:r w:rsidR="002D3BCF">
        <w:rPr>
          <w:rFonts w:ascii="Traditional Arabic" w:hAnsi="Traditional Arabic" w:cs="Traditional Arabic" w:hint="cs"/>
          <w:kern w:val="28"/>
          <w:sz w:val="30"/>
          <w:szCs w:val="30"/>
          <w:rtl/>
          <w:lang w:val="en-GB"/>
        </w:rPr>
        <w:t>تخضع</w:t>
      </w:r>
      <w:r w:rsidRPr="002B7DA3">
        <w:rPr>
          <w:rFonts w:ascii="Traditional Arabic" w:hAnsi="Traditional Arabic" w:cs="Traditional Arabic"/>
          <w:kern w:val="28"/>
          <w:sz w:val="30"/>
          <w:szCs w:val="30"/>
          <w:rtl/>
          <w:lang w:val="en-GB"/>
        </w:rPr>
        <w:t xml:space="preserve"> لتقدير مجلس الإدارة و</w:t>
      </w:r>
      <w:r w:rsidR="006D744D">
        <w:rPr>
          <w:rFonts w:ascii="Traditional Arabic" w:hAnsi="Traditional Arabic" w:cs="Traditional Arabic" w:hint="cs"/>
          <w:kern w:val="28"/>
          <w:sz w:val="30"/>
          <w:szCs w:val="30"/>
          <w:rtl/>
          <w:lang w:val="en-GB"/>
        </w:rPr>
        <w:t>م</w:t>
      </w:r>
      <w:r w:rsidRPr="002B7DA3">
        <w:rPr>
          <w:rFonts w:ascii="Traditional Arabic" w:hAnsi="Traditional Arabic" w:cs="Traditional Arabic"/>
          <w:kern w:val="28"/>
          <w:sz w:val="30"/>
          <w:szCs w:val="30"/>
          <w:rtl/>
          <w:lang w:val="en-GB"/>
        </w:rPr>
        <w:t xml:space="preserve">وافقة </w:t>
      </w:r>
      <w:r w:rsidR="00A263F6">
        <w:rPr>
          <w:rFonts w:ascii="Traditional Arabic" w:hAnsi="Traditional Arabic" w:cs="Traditional Arabic" w:hint="cs"/>
          <w:kern w:val="28"/>
          <w:sz w:val="30"/>
          <w:szCs w:val="30"/>
          <w:rtl/>
          <w:lang w:val="en-GB"/>
        </w:rPr>
        <w:t>الجمعية العامة العادية.</w:t>
      </w:r>
    </w:p>
    <w:p w14:paraId="36D68B49" w14:textId="77777777" w:rsidR="002B7DA3" w:rsidRPr="002B7DA3" w:rsidRDefault="002B7DA3" w:rsidP="00887E9C">
      <w:pPr>
        <w:pStyle w:val="BodyText1"/>
        <w:bidi/>
        <w:spacing w:after="0"/>
        <w:rPr>
          <w:rFonts w:ascii="Traditional Arabic" w:hAnsi="Traditional Arabic" w:cs="Traditional Arabic"/>
          <w:kern w:val="28"/>
          <w:sz w:val="30"/>
          <w:szCs w:val="30"/>
        </w:rPr>
      </w:pPr>
    </w:p>
    <w:p w14:paraId="5FAA3B92" w14:textId="77777777" w:rsidR="00887E9C" w:rsidRPr="00887E9C" w:rsidRDefault="00887E9C" w:rsidP="00985281">
      <w:pPr>
        <w:pStyle w:val="BodyText1"/>
        <w:bidi/>
        <w:rPr>
          <w:rFonts w:ascii="Traditional Arabic" w:hAnsi="Traditional Arabic" w:cs="Traditional Arabic"/>
          <w:i/>
          <w:sz w:val="30"/>
          <w:szCs w:val="30"/>
          <w:rtl/>
        </w:rPr>
      </w:pPr>
      <w:r w:rsidRPr="00887E9C">
        <w:rPr>
          <w:rFonts w:ascii="Traditional Arabic" w:hAnsi="Traditional Arabic" w:cs="Traditional Arabic"/>
          <w:i/>
          <w:sz w:val="30"/>
          <w:szCs w:val="30"/>
          <w:rtl/>
        </w:rPr>
        <w:t>علاوة على ذلك، تخضع سياسة توزيعات أرباح الشركة للقيود الواردة في قانون الشركات التجارية، وتعهدات اتفاقيات التسهيلات. ويوجز الجدول التالي ذلك كما يلي</w:t>
      </w:r>
      <w:r w:rsidRPr="00887E9C">
        <w:rPr>
          <w:rFonts w:ascii="Traditional Arabic" w:hAnsi="Traditional Arabic" w:cs="Traditional Arabic"/>
          <w:i/>
          <w:sz w:val="30"/>
          <w:szCs w:val="30"/>
        </w:rPr>
        <w:t>:</w:t>
      </w:r>
    </w:p>
    <w:p w14:paraId="20BC37E4" w14:textId="77777777" w:rsidR="00887E9C" w:rsidRPr="00887E9C" w:rsidRDefault="00887E9C" w:rsidP="00985281">
      <w:pPr>
        <w:pStyle w:val="BodyText1"/>
        <w:bidi/>
        <w:rPr>
          <w:rFonts w:ascii="Traditional Arabic" w:hAnsi="Traditional Arabic" w:cs="Traditional Arabic"/>
          <w:i/>
          <w:sz w:val="30"/>
          <w:szCs w:val="30"/>
          <w:rtl/>
        </w:rPr>
      </w:pPr>
      <w:r w:rsidRPr="00887E9C">
        <w:rPr>
          <w:rFonts w:ascii="Traditional Arabic" w:hAnsi="Traditional Arabic" w:cs="Traditional Arabic"/>
          <w:i/>
          <w:sz w:val="30"/>
          <w:szCs w:val="30"/>
        </w:rPr>
        <w:t>•</w:t>
      </w:r>
      <w:r w:rsidRPr="00887E9C">
        <w:rPr>
          <w:rFonts w:ascii="Traditional Arabic" w:hAnsi="Traditional Arabic" w:cs="Traditional Arabic"/>
          <w:i/>
          <w:sz w:val="30"/>
          <w:szCs w:val="30"/>
        </w:rPr>
        <w:tab/>
      </w:r>
      <w:r w:rsidRPr="00887E9C">
        <w:rPr>
          <w:rFonts w:ascii="Traditional Arabic" w:hAnsi="Traditional Arabic" w:cs="Traditional Arabic"/>
          <w:i/>
          <w:sz w:val="30"/>
          <w:szCs w:val="30"/>
          <w:rtl/>
        </w:rPr>
        <w:t>وفقًا للمادة 132 من قانون الشركات التجارية، على مجلس إدارة الشركة أن يقتطع من الأرباح الصافية لكل سنة مالية – بعد خصم الضرائب – نسبة (١٠٪) عشرة في المائة لتكوين احتياطي قانوني إلى أن يبلغ ثلث رأس مال الشركة على الأقل، ويجوز استخدام هذا الاحتياطي في تغطية خسائر الشركة، وفي زيادة رأس مالها عن طريق إصدار أسهم، ولا يجوز توزيعه كأنصبة أرباح على المساهمين إلا في حالة قيام الشركة بتخفيض رأس مالها على ألا يقل الاحتياطي القانوني عن ثلث رأس المال بعد التخفيض</w:t>
      </w:r>
      <w:r w:rsidRPr="00887E9C">
        <w:rPr>
          <w:rFonts w:ascii="Traditional Arabic" w:hAnsi="Traditional Arabic" w:cs="Traditional Arabic"/>
          <w:i/>
          <w:sz w:val="30"/>
          <w:szCs w:val="30"/>
        </w:rPr>
        <w:t>.</w:t>
      </w:r>
    </w:p>
    <w:p w14:paraId="6FB8F639" w14:textId="77777777" w:rsidR="00887E9C" w:rsidRPr="00887E9C" w:rsidRDefault="00887E9C" w:rsidP="00985281">
      <w:pPr>
        <w:pStyle w:val="BodyText1"/>
        <w:bidi/>
        <w:rPr>
          <w:rFonts w:ascii="Traditional Arabic" w:hAnsi="Traditional Arabic" w:cs="Traditional Arabic"/>
          <w:i/>
          <w:sz w:val="30"/>
          <w:szCs w:val="30"/>
          <w:rtl/>
        </w:rPr>
      </w:pPr>
      <w:r w:rsidRPr="00887E9C">
        <w:rPr>
          <w:rFonts w:ascii="Traditional Arabic" w:hAnsi="Traditional Arabic" w:cs="Traditional Arabic"/>
          <w:i/>
          <w:sz w:val="30"/>
          <w:szCs w:val="30"/>
        </w:rPr>
        <w:lastRenderedPageBreak/>
        <w:t>•</w:t>
      </w:r>
      <w:r w:rsidRPr="00887E9C">
        <w:rPr>
          <w:rFonts w:ascii="Traditional Arabic" w:hAnsi="Traditional Arabic" w:cs="Traditional Arabic"/>
          <w:i/>
          <w:sz w:val="30"/>
          <w:szCs w:val="30"/>
        </w:rPr>
        <w:tab/>
      </w:r>
      <w:r w:rsidRPr="00887E9C">
        <w:rPr>
          <w:rFonts w:ascii="Traditional Arabic" w:hAnsi="Traditional Arabic" w:cs="Traditional Arabic"/>
          <w:i/>
          <w:sz w:val="30"/>
          <w:szCs w:val="30"/>
          <w:rtl/>
        </w:rPr>
        <w:t>لا يجوز إجراء أي توزيع إلا من الأرباح الصافية بعد خصم جميع التكاليف اللازمة وتجنيب الاستهلاكات والمخصصات والاحتياطيات التي يجب تجنيبها بما في ذلك ما تخصصه الشركة من الأرباح لزيادة رأس مالها، وفقًا للمادة 131 من قانون الشركات التجارية</w:t>
      </w:r>
      <w:r w:rsidRPr="00887E9C">
        <w:rPr>
          <w:rFonts w:ascii="Traditional Arabic" w:hAnsi="Traditional Arabic" w:cs="Traditional Arabic"/>
          <w:i/>
          <w:sz w:val="30"/>
          <w:szCs w:val="30"/>
        </w:rPr>
        <w:t>.</w:t>
      </w:r>
    </w:p>
    <w:p w14:paraId="25CAE517" w14:textId="1C547955" w:rsidR="00E62F46" w:rsidRPr="00240371" w:rsidRDefault="00834F43" w:rsidP="00887E9C">
      <w:pPr>
        <w:pStyle w:val="BodyText1"/>
        <w:bidi/>
        <w:spacing w:after="0"/>
        <w:rPr>
          <w:rFonts w:ascii="Traditional Arabic" w:hAnsi="Traditional Arabic" w:cs="Traditional Arabic"/>
          <w:i/>
          <w:sz w:val="30"/>
          <w:szCs w:val="30"/>
          <w:rtl/>
        </w:rPr>
      </w:pPr>
      <w:r>
        <w:rPr>
          <w:rFonts w:ascii="Traditional Arabic" w:hAnsi="Traditional Arabic" w:cs="Traditional Arabic" w:hint="cs"/>
          <w:i/>
          <w:sz w:val="30"/>
          <w:szCs w:val="30"/>
          <w:rtl/>
        </w:rPr>
        <w:t xml:space="preserve">أعلنت الشركة </w:t>
      </w:r>
      <w:r w:rsidR="0057002B">
        <w:rPr>
          <w:rFonts w:ascii="Traditional Arabic" w:hAnsi="Traditional Arabic" w:cs="Traditional Arabic" w:hint="cs"/>
          <w:i/>
          <w:sz w:val="30"/>
          <w:szCs w:val="30"/>
          <w:rtl/>
        </w:rPr>
        <w:t>انها قامت ب</w:t>
      </w:r>
      <w:r>
        <w:rPr>
          <w:rFonts w:ascii="Traditional Arabic" w:hAnsi="Traditional Arabic" w:cs="Traditional Arabic" w:hint="cs"/>
          <w:i/>
          <w:sz w:val="30"/>
          <w:szCs w:val="30"/>
          <w:rtl/>
        </w:rPr>
        <w:t xml:space="preserve">توزيع أرباح </w:t>
      </w:r>
      <w:r w:rsidR="004E042E">
        <w:rPr>
          <w:rFonts w:ascii="Traditional Arabic" w:hAnsi="Traditional Arabic" w:cs="Traditional Arabic" w:hint="cs"/>
          <w:i/>
          <w:sz w:val="30"/>
          <w:szCs w:val="30"/>
          <w:rtl/>
        </w:rPr>
        <w:t xml:space="preserve">بلغت </w:t>
      </w:r>
      <w:r w:rsidR="008C5940">
        <w:rPr>
          <w:rFonts w:ascii="Traditional Arabic" w:hAnsi="Traditional Arabic" w:cs="Traditional Arabic" w:hint="cs"/>
          <w:i/>
          <w:sz w:val="30"/>
          <w:szCs w:val="30"/>
          <w:rtl/>
        </w:rPr>
        <w:t>25.</w:t>
      </w:r>
      <w:r w:rsidR="00603021">
        <w:rPr>
          <w:rFonts w:ascii="Traditional Arabic" w:hAnsi="Traditional Arabic" w:cs="Traditional Arabic" w:hint="cs"/>
          <w:i/>
          <w:sz w:val="30"/>
          <w:szCs w:val="30"/>
          <w:rtl/>
        </w:rPr>
        <w:t>7</w:t>
      </w:r>
      <w:r w:rsidR="008C5940">
        <w:rPr>
          <w:rFonts w:ascii="Traditional Arabic" w:hAnsi="Traditional Arabic" w:cs="Traditional Arabic" w:hint="cs"/>
          <w:i/>
          <w:sz w:val="30"/>
          <w:szCs w:val="30"/>
          <w:rtl/>
        </w:rPr>
        <w:t xml:space="preserve"> مليون دولار أمريكي </w:t>
      </w:r>
      <w:r w:rsidR="00EE44A7">
        <w:rPr>
          <w:rFonts w:ascii="Traditional Arabic" w:hAnsi="Traditional Arabic" w:cs="Traditional Arabic" w:hint="cs"/>
          <w:i/>
          <w:sz w:val="30"/>
          <w:szCs w:val="30"/>
          <w:rtl/>
        </w:rPr>
        <w:t xml:space="preserve">( حوالي </w:t>
      </w:r>
      <w:r w:rsidR="00A53567">
        <w:rPr>
          <w:rFonts w:ascii="Traditional Arabic" w:hAnsi="Traditional Arabic" w:cs="Traditional Arabic" w:hint="cs"/>
          <w:i/>
          <w:sz w:val="30"/>
          <w:szCs w:val="30"/>
          <w:rtl/>
        </w:rPr>
        <w:t>9.9 مليون ر</w:t>
      </w:r>
      <w:r w:rsidR="00EF3916">
        <w:rPr>
          <w:rFonts w:ascii="Traditional Arabic" w:hAnsi="Traditional Arabic" w:cs="Traditional Arabic" w:hint="cs"/>
          <w:i/>
          <w:sz w:val="30"/>
          <w:szCs w:val="30"/>
          <w:rtl/>
        </w:rPr>
        <w:t>ي</w:t>
      </w:r>
      <w:r w:rsidR="00A53567">
        <w:rPr>
          <w:rFonts w:ascii="Traditional Arabic" w:hAnsi="Traditional Arabic" w:cs="Traditional Arabic" w:hint="cs"/>
          <w:i/>
          <w:sz w:val="30"/>
          <w:szCs w:val="30"/>
          <w:rtl/>
        </w:rPr>
        <w:t>ال عماني)</w:t>
      </w:r>
      <w:r w:rsidR="00A111C1">
        <w:rPr>
          <w:rFonts w:ascii="Traditional Arabic" w:hAnsi="Traditional Arabic" w:cs="Traditional Arabic" w:hint="cs"/>
          <w:i/>
          <w:sz w:val="30"/>
          <w:szCs w:val="30"/>
          <w:rtl/>
        </w:rPr>
        <w:t xml:space="preserve"> </w:t>
      </w:r>
      <w:r w:rsidR="006937C5">
        <w:rPr>
          <w:rFonts w:ascii="Traditional Arabic" w:hAnsi="Traditional Arabic" w:cs="Traditional Arabic" w:hint="cs"/>
          <w:i/>
          <w:sz w:val="30"/>
          <w:szCs w:val="30"/>
          <w:rtl/>
        </w:rPr>
        <w:t xml:space="preserve">في </w:t>
      </w:r>
      <w:r w:rsidR="002E2995">
        <w:rPr>
          <w:rFonts w:ascii="Traditional Arabic" w:hAnsi="Traditional Arabic" w:cs="Traditional Arabic" w:hint="cs"/>
          <w:i/>
          <w:sz w:val="30"/>
          <w:szCs w:val="30"/>
          <w:rtl/>
        </w:rPr>
        <w:t>فبراير 2025</w:t>
      </w:r>
      <w:r w:rsidR="00652563">
        <w:rPr>
          <w:rFonts w:ascii="Traditional Arabic" w:hAnsi="Traditional Arabic" w:cs="Traditional Arabic" w:hint="cs"/>
          <w:i/>
          <w:sz w:val="30"/>
          <w:szCs w:val="30"/>
          <w:rtl/>
        </w:rPr>
        <w:t xml:space="preserve"> </w:t>
      </w:r>
      <w:r w:rsidR="00EA1B9B">
        <w:rPr>
          <w:rFonts w:ascii="Traditional Arabic" w:hAnsi="Traditional Arabic" w:cs="Traditional Arabic" w:hint="cs"/>
          <w:i/>
          <w:sz w:val="30"/>
          <w:szCs w:val="30"/>
          <w:rtl/>
        </w:rPr>
        <w:t xml:space="preserve"> وذ</w:t>
      </w:r>
      <w:r w:rsidR="008B5ECA">
        <w:rPr>
          <w:rFonts w:ascii="Traditional Arabic" w:hAnsi="Traditional Arabic" w:cs="Traditional Arabic" w:hint="cs"/>
          <w:i/>
          <w:sz w:val="30"/>
          <w:szCs w:val="30"/>
          <w:rtl/>
        </w:rPr>
        <w:t>ل</w:t>
      </w:r>
      <w:r w:rsidR="00EA1B9B">
        <w:rPr>
          <w:rFonts w:ascii="Traditional Arabic" w:hAnsi="Traditional Arabic" w:cs="Traditional Arabic" w:hint="cs"/>
          <w:i/>
          <w:sz w:val="30"/>
          <w:szCs w:val="30"/>
          <w:rtl/>
        </w:rPr>
        <w:t xml:space="preserve">ك على أساس أداء الشركة </w:t>
      </w:r>
      <w:r w:rsidR="00C575D0">
        <w:rPr>
          <w:rFonts w:ascii="Traditional Arabic" w:hAnsi="Traditional Arabic" w:cs="Traditional Arabic" w:hint="cs"/>
          <w:i/>
          <w:sz w:val="30"/>
          <w:szCs w:val="30"/>
          <w:rtl/>
        </w:rPr>
        <w:t>قبل الطرح العام الأولي</w:t>
      </w:r>
      <w:r w:rsidR="00A07D17">
        <w:rPr>
          <w:rFonts w:ascii="Traditional Arabic" w:hAnsi="Traditional Arabic" w:cs="Traditional Arabic" w:hint="cs"/>
          <w:i/>
          <w:sz w:val="30"/>
          <w:szCs w:val="30"/>
          <w:rtl/>
        </w:rPr>
        <w:t xml:space="preserve">. وبعد اكتمال الطرح العام الأولي، </w:t>
      </w:r>
      <w:r w:rsidR="000D7318">
        <w:rPr>
          <w:rFonts w:ascii="Traditional Arabic" w:hAnsi="Traditional Arabic" w:cs="Traditional Arabic" w:hint="cs"/>
          <w:i/>
          <w:sz w:val="30"/>
          <w:szCs w:val="30"/>
          <w:rtl/>
        </w:rPr>
        <w:t>وعلى أساس من</w:t>
      </w:r>
      <w:r w:rsidR="0010054C">
        <w:rPr>
          <w:rFonts w:ascii="Traditional Arabic" w:hAnsi="Traditional Arabic" w:cs="Traditional Arabic" w:hint="cs"/>
          <w:i/>
          <w:sz w:val="30"/>
          <w:szCs w:val="30"/>
          <w:rtl/>
        </w:rPr>
        <w:t xml:space="preserve"> </w:t>
      </w:r>
      <w:r w:rsidR="000D7318">
        <w:rPr>
          <w:rFonts w:ascii="Traditional Arabic" w:hAnsi="Traditional Arabic" w:cs="Traditional Arabic" w:hint="cs"/>
          <w:i/>
          <w:sz w:val="30"/>
          <w:szCs w:val="30"/>
          <w:rtl/>
        </w:rPr>
        <w:t>ا</w:t>
      </w:r>
      <w:r w:rsidR="00FD44BE">
        <w:rPr>
          <w:rFonts w:ascii="Traditional Arabic" w:hAnsi="Traditional Arabic" w:cs="Traditional Arabic" w:hint="cs"/>
          <w:i/>
          <w:sz w:val="30"/>
          <w:szCs w:val="30"/>
          <w:rtl/>
        </w:rPr>
        <w:t>لقواعد المنصوص عليها أعلاه</w:t>
      </w:r>
      <w:r w:rsidR="007C0B83">
        <w:rPr>
          <w:rFonts w:ascii="Traditional Arabic" w:hAnsi="Traditional Arabic" w:cs="Traditional Arabic" w:hint="cs"/>
          <w:i/>
          <w:sz w:val="30"/>
          <w:szCs w:val="30"/>
          <w:rtl/>
        </w:rPr>
        <w:t>، تعتزم الشركة ال</w:t>
      </w:r>
      <w:r w:rsidR="00005A64">
        <w:rPr>
          <w:rFonts w:ascii="Traditional Arabic" w:hAnsi="Traditional Arabic" w:cs="Traditional Arabic" w:hint="cs"/>
          <w:i/>
          <w:sz w:val="30"/>
          <w:szCs w:val="30"/>
          <w:rtl/>
        </w:rPr>
        <w:t>إ</w:t>
      </w:r>
      <w:r w:rsidR="007C0B83">
        <w:rPr>
          <w:rFonts w:ascii="Traditional Arabic" w:hAnsi="Traditional Arabic" w:cs="Traditional Arabic" w:hint="cs"/>
          <w:i/>
          <w:sz w:val="30"/>
          <w:szCs w:val="30"/>
          <w:rtl/>
        </w:rPr>
        <w:t xml:space="preserve">علان عن توزيع ارباح بمقدار </w:t>
      </w:r>
      <w:r w:rsidR="00CF65BF">
        <w:rPr>
          <w:rFonts w:ascii="Traditional Arabic" w:hAnsi="Traditional Arabic" w:cs="Traditional Arabic" w:hint="cs"/>
          <w:i/>
          <w:sz w:val="30"/>
          <w:szCs w:val="30"/>
          <w:rtl/>
        </w:rPr>
        <w:t>58.0</w:t>
      </w:r>
      <w:r w:rsidR="00BC56B3">
        <w:rPr>
          <w:rFonts w:ascii="Traditional Arabic" w:hAnsi="Traditional Arabic" w:cs="Traditional Arabic" w:hint="cs"/>
          <w:i/>
          <w:sz w:val="30"/>
          <w:szCs w:val="30"/>
          <w:rtl/>
        </w:rPr>
        <w:t xml:space="preserve"> مليون دولار أمريكي</w:t>
      </w:r>
      <w:r w:rsidR="00117A1E">
        <w:rPr>
          <w:rFonts w:ascii="Traditional Arabic" w:hAnsi="Traditional Arabic" w:cs="Traditional Arabic" w:hint="cs"/>
          <w:i/>
          <w:sz w:val="30"/>
          <w:szCs w:val="30"/>
          <w:rtl/>
        </w:rPr>
        <w:t xml:space="preserve"> ( حوالي </w:t>
      </w:r>
      <w:r w:rsidR="00AB472B">
        <w:rPr>
          <w:rFonts w:ascii="Traditional Arabic" w:hAnsi="Traditional Arabic" w:cs="Traditional Arabic" w:hint="cs"/>
          <w:i/>
          <w:sz w:val="30"/>
          <w:szCs w:val="30"/>
          <w:rtl/>
        </w:rPr>
        <w:t>22.3</w:t>
      </w:r>
      <w:r w:rsidR="00E60734">
        <w:rPr>
          <w:rFonts w:ascii="Traditional Arabic" w:hAnsi="Traditional Arabic" w:cs="Traditional Arabic" w:hint="cs"/>
          <w:i/>
          <w:sz w:val="30"/>
          <w:szCs w:val="30"/>
          <w:rtl/>
        </w:rPr>
        <w:t xml:space="preserve"> مليون </w:t>
      </w:r>
      <w:r w:rsidR="00506032">
        <w:rPr>
          <w:rFonts w:ascii="Traditional Arabic" w:hAnsi="Traditional Arabic" w:cs="Traditional Arabic" w:hint="cs"/>
          <w:i/>
          <w:sz w:val="30"/>
          <w:szCs w:val="30"/>
          <w:rtl/>
        </w:rPr>
        <w:t>ريال عماني</w:t>
      </w:r>
      <w:r w:rsidR="00A25B1C">
        <w:rPr>
          <w:rFonts w:ascii="Traditional Arabic" w:hAnsi="Traditional Arabic" w:cs="Traditional Arabic" w:hint="cs"/>
          <w:i/>
          <w:sz w:val="30"/>
          <w:szCs w:val="30"/>
          <w:rtl/>
        </w:rPr>
        <w:t xml:space="preserve">) مستحقة الدفع </w:t>
      </w:r>
      <w:r w:rsidR="005D5BE2">
        <w:rPr>
          <w:rFonts w:ascii="Traditional Arabic" w:hAnsi="Traditional Arabic" w:cs="Traditional Arabic" w:hint="cs"/>
          <w:i/>
          <w:sz w:val="30"/>
          <w:szCs w:val="30"/>
          <w:rtl/>
        </w:rPr>
        <w:t>ل</w:t>
      </w:r>
      <w:r w:rsidR="00C32A91">
        <w:rPr>
          <w:rFonts w:ascii="Traditional Arabic" w:hAnsi="Traditional Arabic" w:cs="Traditional Arabic" w:hint="cs"/>
          <w:i/>
          <w:sz w:val="30"/>
          <w:szCs w:val="30"/>
          <w:rtl/>
        </w:rPr>
        <w:t xml:space="preserve">لمساهمين </w:t>
      </w:r>
      <w:r w:rsidR="00A25B1C">
        <w:rPr>
          <w:rFonts w:ascii="Traditional Arabic" w:hAnsi="Traditional Arabic" w:cs="Traditional Arabic" w:hint="cs"/>
          <w:i/>
          <w:sz w:val="30"/>
          <w:szCs w:val="30"/>
          <w:rtl/>
        </w:rPr>
        <w:t xml:space="preserve">في </w:t>
      </w:r>
      <w:r w:rsidR="00B63A43">
        <w:rPr>
          <w:rFonts w:ascii="Traditional Arabic" w:hAnsi="Traditional Arabic" w:cs="Traditional Arabic" w:hint="cs"/>
          <w:i/>
          <w:sz w:val="30"/>
          <w:szCs w:val="30"/>
          <w:rtl/>
        </w:rPr>
        <w:t>مارس 2025</w:t>
      </w:r>
      <w:r w:rsidR="00533AD3">
        <w:rPr>
          <w:rFonts w:ascii="Traditional Arabic" w:hAnsi="Traditional Arabic" w:cs="Traditional Arabic" w:hint="cs"/>
          <w:i/>
          <w:sz w:val="30"/>
          <w:szCs w:val="30"/>
          <w:rtl/>
        </w:rPr>
        <w:t xml:space="preserve"> </w:t>
      </w:r>
      <w:r w:rsidR="004202CA">
        <w:rPr>
          <w:rFonts w:ascii="Traditional Arabic" w:hAnsi="Traditional Arabic" w:cs="Traditional Arabic" w:hint="cs"/>
          <w:i/>
          <w:sz w:val="30"/>
          <w:szCs w:val="30"/>
          <w:rtl/>
        </w:rPr>
        <w:t xml:space="preserve">، وذلك على أساس أداء الشركة </w:t>
      </w:r>
      <w:r w:rsidR="00A465C8">
        <w:rPr>
          <w:rFonts w:ascii="Traditional Arabic" w:hAnsi="Traditional Arabic" w:cs="Traditional Arabic" w:hint="cs"/>
          <w:i/>
          <w:sz w:val="30"/>
          <w:szCs w:val="30"/>
          <w:rtl/>
        </w:rPr>
        <w:t>خلال</w:t>
      </w:r>
      <w:r w:rsidR="004202CA">
        <w:rPr>
          <w:rFonts w:ascii="Traditional Arabic" w:hAnsi="Traditional Arabic" w:cs="Traditional Arabic" w:hint="cs"/>
          <w:i/>
          <w:sz w:val="30"/>
          <w:szCs w:val="30"/>
          <w:rtl/>
        </w:rPr>
        <w:t xml:space="preserve"> السنة المالية المنتهية </w:t>
      </w:r>
      <w:r w:rsidR="00A465C8">
        <w:rPr>
          <w:rFonts w:ascii="Traditional Arabic" w:hAnsi="Traditional Arabic" w:cs="Traditional Arabic" w:hint="cs"/>
          <w:i/>
          <w:sz w:val="30"/>
          <w:szCs w:val="30"/>
          <w:rtl/>
        </w:rPr>
        <w:t>في 31 ديسمبر 2024</w:t>
      </w:r>
      <w:r w:rsidR="00F35C21">
        <w:rPr>
          <w:rFonts w:ascii="Traditional Arabic" w:hAnsi="Traditional Arabic" w:cs="Traditional Arabic" w:hint="cs"/>
          <w:i/>
          <w:sz w:val="30"/>
          <w:szCs w:val="30"/>
          <w:rtl/>
        </w:rPr>
        <w:t xml:space="preserve">، وكذلك </w:t>
      </w:r>
      <w:r w:rsidR="00825B3F">
        <w:rPr>
          <w:rFonts w:ascii="Traditional Arabic" w:hAnsi="Traditional Arabic" w:cs="Traditional Arabic" w:hint="cs"/>
          <w:i/>
          <w:sz w:val="30"/>
          <w:szCs w:val="30"/>
          <w:rtl/>
        </w:rPr>
        <w:t xml:space="preserve">الاعلان عن </w:t>
      </w:r>
      <w:r w:rsidR="00F35C21">
        <w:rPr>
          <w:rFonts w:ascii="Traditional Arabic" w:hAnsi="Traditional Arabic" w:cs="Traditional Arabic" w:hint="cs"/>
          <w:i/>
          <w:sz w:val="30"/>
          <w:szCs w:val="30"/>
          <w:rtl/>
        </w:rPr>
        <w:t xml:space="preserve">توزيع أرباح بقيمة </w:t>
      </w:r>
      <w:r w:rsidR="00CF5A7B">
        <w:rPr>
          <w:rFonts w:ascii="Traditional Arabic" w:hAnsi="Traditional Arabic" w:cs="Traditional Arabic" w:hint="cs"/>
          <w:i/>
          <w:sz w:val="30"/>
          <w:szCs w:val="30"/>
          <w:rtl/>
        </w:rPr>
        <w:t>75</w:t>
      </w:r>
      <w:r w:rsidR="00223A89">
        <w:rPr>
          <w:rFonts w:ascii="Traditional Arabic" w:hAnsi="Traditional Arabic" w:cs="Traditional Arabic" w:hint="cs"/>
          <w:i/>
          <w:sz w:val="30"/>
          <w:szCs w:val="30"/>
          <w:rtl/>
        </w:rPr>
        <w:t>.</w:t>
      </w:r>
      <w:r w:rsidR="00D16345">
        <w:rPr>
          <w:rFonts w:ascii="Traditional Arabic" w:hAnsi="Traditional Arabic" w:cs="Traditional Arabic" w:hint="cs"/>
          <w:i/>
          <w:sz w:val="30"/>
          <w:szCs w:val="30"/>
          <w:rtl/>
        </w:rPr>
        <w:t xml:space="preserve">0 مليون دولار أمريكي </w:t>
      </w:r>
      <w:r w:rsidR="006D0B50">
        <w:rPr>
          <w:rFonts w:ascii="Traditional Arabic" w:hAnsi="Traditional Arabic" w:cs="Traditional Arabic" w:hint="cs"/>
          <w:i/>
          <w:sz w:val="30"/>
          <w:szCs w:val="30"/>
          <w:rtl/>
        </w:rPr>
        <w:t xml:space="preserve">( حوالي </w:t>
      </w:r>
      <w:r w:rsidR="00627E9A">
        <w:rPr>
          <w:rFonts w:ascii="Traditional Arabic" w:hAnsi="Traditional Arabic" w:cs="Traditional Arabic" w:hint="cs"/>
          <w:i/>
          <w:sz w:val="30"/>
          <w:szCs w:val="30"/>
          <w:rtl/>
        </w:rPr>
        <w:t>29</w:t>
      </w:r>
      <w:r w:rsidR="007C6F3C">
        <w:rPr>
          <w:rFonts w:ascii="Traditional Arabic" w:hAnsi="Traditional Arabic" w:cs="Traditional Arabic" w:hint="cs"/>
          <w:i/>
          <w:sz w:val="30"/>
          <w:szCs w:val="30"/>
          <w:rtl/>
        </w:rPr>
        <w:t xml:space="preserve"> مليون </w:t>
      </w:r>
      <w:r w:rsidR="00506032">
        <w:rPr>
          <w:rFonts w:ascii="Traditional Arabic" w:hAnsi="Traditional Arabic" w:cs="Traditional Arabic" w:hint="cs"/>
          <w:i/>
          <w:sz w:val="30"/>
          <w:szCs w:val="30"/>
          <w:rtl/>
        </w:rPr>
        <w:t>ريال عماني</w:t>
      </w:r>
      <w:r w:rsidR="007C6F3C">
        <w:rPr>
          <w:rFonts w:ascii="Traditional Arabic" w:hAnsi="Traditional Arabic" w:cs="Traditional Arabic" w:hint="cs"/>
          <w:i/>
          <w:sz w:val="30"/>
          <w:szCs w:val="30"/>
          <w:rtl/>
        </w:rPr>
        <w:t>)</w:t>
      </w:r>
      <w:r w:rsidR="0013355D">
        <w:rPr>
          <w:rFonts w:ascii="Traditional Arabic" w:hAnsi="Traditional Arabic" w:cs="Traditional Arabic" w:hint="cs"/>
          <w:i/>
          <w:sz w:val="30"/>
          <w:szCs w:val="30"/>
          <w:rtl/>
        </w:rPr>
        <w:t xml:space="preserve"> مستحقة الدفع </w:t>
      </w:r>
      <w:r w:rsidR="00C32A91">
        <w:rPr>
          <w:rFonts w:ascii="Traditional Arabic" w:hAnsi="Traditional Arabic" w:cs="Traditional Arabic" w:hint="cs"/>
          <w:i/>
          <w:sz w:val="30"/>
          <w:szCs w:val="30"/>
          <w:rtl/>
        </w:rPr>
        <w:t>ل</w:t>
      </w:r>
      <w:r w:rsidR="0013355D">
        <w:rPr>
          <w:rFonts w:ascii="Traditional Arabic" w:hAnsi="Traditional Arabic" w:cs="Traditional Arabic" w:hint="cs"/>
          <w:i/>
          <w:sz w:val="30"/>
          <w:szCs w:val="30"/>
          <w:rtl/>
        </w:rPr>
        <w:t xml:space="preserve">لمساهمين </w:t>
      </w:r>
      <w:r w:rsidR="00C32A91">
        <w:rPr>
          <w:rFonts w:ascii="Traditional Arabic" w:hAnsi="Traditional Arabic" w:cs="Traditional Arabic" w:hint="cs"/>
          <w:i/>
          <w:sz w:val="30"/>
          <w:szCs w:val="30"/>
          <w:rtl/>
        </w:rPr>
        <w:t xml:space="preserve">في </w:t>
      </w:r>
      <w:r w:rsidR="00D36E75">
        <w:rPr>
          <w:rFonts w:ascii="Traditional Arabic" w:hAnsi="Traditional Arabic" w:cs="Traditional Arabic" w:hint="cs"/>
          <w:i/>
          <w:sz w:val="30"/>
          <w:szCs w:val="30"/>
          <w:rtl/>
        </w:rPr>
        <w:t>سبتمبر 2025</w:t>
      </w:r>
      <w:r w:rsidR="00FB2D68">
        <w:rPr>
          <w:rFonts w:ascii="Traditional Arabic" w:hAnsi="Traditional Arabic" w:cs="Traditional Arabic" w:hint="cs"/>
          <w:i/>
          <w:sz w:val="30"/>
          <w:szCs w:val="30"/>
          <w:rtl/>
        </w:rPr>
        <w:t xml:space="preserve"> وذلك على أساس أداء الشركة </w:t>
      </w:r>
      <w:r w:rsidR="00D944FD">
        <w:rPr>
          <w:rFonts w:ascii="Traditional Arabic" w:hAnsi="Traditional Arabic" w:cs="Traditional Arabic" w:hint="cs"/>
          <w:i/>
          <w:sz w:val="30"/>
          <w:szCs w:val="30"/>
          <w:rtl/>
        </w:rPr>
        <w:t>خلال</w:t>
      </w:r>
      <w:r w:rsidR="00FB2D68">
        <w:rPr>
          <w:rFonts w:ascii="Traditional Arabic" w:hAnsi="Traditional Arabic" w:cs="Traditional Arabic" w:hint="cs"/>
          <w:i/>
          <w:sz w:val="30"/>
          <w:szCs w:val="30"/>
          <w:rtl/>
        </w:rPr>
        <w:t xml:space="preserve"> الس</w:t>
      </w:r>
      <w:r w:rsidR="002967B3">
        <w:rPr>
          <w:rFonts w:ascii="Traditional Arabic" w:hAnsi="Traditional Arabic" w:cs="Traditional Arabic" w:hint="cs"/>
          <w:i/>
          <w:sz w:val="30"/>
          <w:szCs w:val="30"/>
          <w:rtl/>
        </w:rPr>
        <w:t>ت</w:t>
      </w:r>
      <w:r w:rsidR="00FB2D68">
        <w:rPr>
          <w:rFonts w:ascii="Traditional Arabic" w:hAnsi="Traditional Arabic" w:cs="Traditional Arabic" w:hint="cs"/>
          <w:i/>
          <w:sz w:val="30"/>
          <w:szCs w:val="30"/>
          <w:rtl/>
        </w:rPr>
        <w:t xml:space="preserve">ة أشهر المنتهية في </w:t>
      </w:r>
      <w:r w:rsidR="00021BE5">
        <w:rPr>
          <w:rFonts w:ascii="Traditional Arabic" w:hAnsi="Traditional Arabic" w:cs="Traditional Arabic" w:hint="cs"/>
          <w:i/>
          <w:sz w:val="30"/>
          <w:szCs w:val="30"/>
          <w:rtl/>
        </w:rPr>
        <w:t xml:space="preserve">30 يونيو </w:t>
      </w:r>
      <w:r w:rsidR="00897018">
        <w:rPr>
          <w:rFonts w:ascii="Traditional Arabic" w:hAnsi="Traditional Arabic" w:cs="Traditional Arabic" w:hint="cs"/>
          <w:i/>
          <w:sz w:val="30"/>
          <w:szCs w:val="30"/>
          <w:rtl/>
        </w:rPr>
        <w:t>2025</w:t>
      </w:r>
      <w:r w:rsidR="00147C35">
        <w:rPr>
          <w:rFonts w:ascii="Traditional Arabic" w:hAnsi="Traditional Arabic" w:cs="Traditional Arabic" w:hint="cs"/>
          <w:i/>
          <w:sz w:val="30"/>
          <w:szCs w:val="30"/>
          <w:rtl/>
        </w:rPr>
        <w:t>.</w:t>
      </w:r>
      <w:r w:rsidR="00050903">
        <w:rPr>
          <w:rFonts w:ascii="Traditional Arabic" w:hAnsi="Traditional Arabic" w:cs="Traditional Arabic" w:hint="cs"/>
          <w:i/>
          <w:sz w:val="30"/>
          <w:szCs w:val="30"/>
          <w:rtl/>
        </w:rPr>
        <w:t xml:space="preserve"> </w:t>
      </w:r>
      <w:r w:rsidR="000A13D6">
        <w:rPr>
          <w:rFonts w:ascii="Traditional Arabic" w:hAnsi="Traditional Arabic" w:cs="Traditional Arabic" w:hint="cs"/>
          <w:i/>
          <w:sz w:val="30"/>
          <w:szCs w:val="30"/>
          <w:rtl/>
        </w:rPr>
        <w:t xml:space="preserve">تتوقع الشركة الاعلان عن توزيع أرباح بقيمة </w:t>
      </w:r>
      <w:r w:rsidR="00283B62">
        <w:rPr>
          <w:rFonts w:ascii="Traditional Arabic" w:hAnsi="Traditional Arabic" w:cs="Traditional Arabic" w:hint="cs"/>
          <w:i/>
          <w:sz w:val="30"/>
          <w:szCs w:val="30"/>
          <w:rtl/>
        </w:rPr>
        <w:t>75 مليون دولار أمريكي</w:t>
      </w:r>
      <w:r w:rsidR="007937F6">
        <w:rPr>
          <w:rFonts w:ascii="Traditional Arabic" w:hAnsi="Traditional Arabic" w:cs="Traditional Arabic" w:hint="cs"/>
          <w:i/>
          <w:sz w:val="30"/>
          <w:szCs w:val="30"/>
          <w:rtl/>
        </w:rPr>
        <w:t xml:space="preserve"> ( حوالي 29 مليون ريال عماني )</w:t>
      </w:r>
      <w:r w:rsidR="001932C9">
        <w:rPr>
          <w:rFonts w:ascii="Traditional Arabic" w:hAnsi="Traditional Arabic" w:cs="Traditional Arabic" w:hint="cs"/>
          <w:i/>
          <w:sz w:val="30"/>
          <w:szCs w:val="30"/>
          <w:rtl/>
        </w:rPr>
        <w:t xml:space="preserve"> مستحقة الدفع في مارس 2026</w:t>
      </w:r>
      <w:r w:rsidR="002A692A">
        <w:rPr>
          <w:rFonts w:ascii="Traditional Arabic" w:hAnsi="Traditional Arabic" w:cs="Traditional Arabic" w:hint="cs"/>
          <w:i/>
          <w:sz w:val="30"/>
          <w:szCs w:val="30"/>
          <w:rtl/>
        </w:rPr>
        <w:t xml:space="preserve"> وذلك على أساس من أداء الشركة خلال ال</w:t>
      </w:r>
      <w:r w:rsidR="007853C5">
        <w:rPr>
          <w:rFonts w:ascii="Traditional Arabic" w:hAnsi="Traditional Arabic" w:cs="Traditional Arabic" w:hint="cs"/>
          <w:i/>
          <w:sz w:val="30"/>
          <w:szCs w:val="30"/>
          <w:rtl/>
        </w:rPr>
        <w:t>سن</w:t>
      </w:r>
      <w:r w:rsidR="002A692A">
        <w:rPr>
          <w:rFonts w:ascii="Traditional Arabic" w:hAnsi="Traditional Arabic" w:cs="Traditional Arabic" w:hint="cs"/>
          <w:i/>
          <w:sz w:val="30"/>
          <w:szCs w:val="30"/>
          <w:rtl/>
        </w:rPr>
        <w:t xml:space="preserve">ة المنتهية في </w:t>
      </w:r>
      <w:r w:rsidR="005D73BB">
        <w:rPr>
          <w:rFonts w:ascii="Traditional Arabic" w:hAnsi="Traditional Arabic" w:cs="Traditional Arabic" w:hint="cs"/>
          <w:i/>
          <w:sz w:val="30"/>
          <w:szCs w:val="30"/>
          <w:rtl/>
        </w:rPr>
        <w:t>31 د</w:t>
      </w:r>
      <w:r w:rsidR="004A49E8">
        <w:rPr>
          <w:rFonts w:ascii="Traditional Arabic" w:hAnsi="Traditional Arabic" w:cs="Traditional Arabic" w:hint="cs"/>
          <w:i/>
          <w:sz w:val="30"/>
          <w:szCs w:val="30"/>
          <w:rtl/>
        </w:rPr>
        <w:t>يسمبر 202</w:t>
      </w:r>
      <w:r w:rsidR="0014103D">
        <w:rPr>
          <w:rFonts w:ascii="Traditional Arabic" w:hAnsi="Traditional Arabic" w:cs="Traditional Arabic" w:hint="cs"/>
          <w:i/>
          <w:sz w:val="30"/>
          <w:szCs w:val="30"/>
          <w:rtl/>
        </w:rPr>
        <w:t xml:space="preserve">5. </w:t>
      </w:r>
      <w:r w:rsidR="00E310EA">
        <w:rPr>
          <w:rFonts w:ascii="Traditional Arabic" w:hAnsi="Traditional Arabic" w:cs="Traditional Arabic" w:hint="cs"/>
          <w:i/>
          <w:sz w:val="30"/>
          <w:szCs w:val="30"/>
          <w:rtl/>
        </w:rPr>
        <w:t>وفي سنة</w:t>
      </w:r>
      <w:r w:rsidR="00D30BEA" w:rsidRPr="00887E9C">
        <w:rPr>
          <w:rFonts w:ascii="Traditional Arabic" w:hAnsi="Traditional Arabic" w:cs="Traditional Arabic" w:hint="cs"/>
          <w:i/>
          <w:sz w:val="30"/>
          <w:szCs w:val="30"/>
          <w:rtl/>
        </w:rPr>
        <w:t>2026</w:t>
      </w:r>
      <w:r w:rsidR="00887E9C" w:rsidRPr="00887E9C">
        <w:rPr>
          <w:rFonts w:ascii="Traditional Arabic" w:hAnsi="Traditional Arabic" w:cs="Traditional Arabic"/>
          <w:i/>
          <w:sz w:val="30"/>
          <w:szCs w:val="30"/>
          <w:rtl/>
        </w:rPr>
        <w:t xml:space="preserve">، فإن الشركة تتوقع الإعلان عن توزيعات أرباح سنوية ثابتة قدرها 150 مليون دولار أمريكي (حوالي 58 مليون ريال عماني)، 50 في المائة منها، البالغة 75 مليون دولار أمريكي (حوالي 29 مليون ريال عماني)، من المتوقع دفعها في سبتمبر </w:t>
      </w:r>
      <w:r w:rsidR="00715948">
        <w:rPr>
          <w:rFonts w:ascii="Traditional Arabic" w:hAnsi="Traditional Arabic" w:cs="Traditional Arabic" w:hint="cs"/>
          <w:i/>
          <w:sz w:val="30"/>
          <w:szCs w:val="30"/>
          <w:rtl/>
        </w:rPr>
        <w:t>2026</w:t>
      </w:r>
      <w:r w:rsidR="00AC576A">
        <w:rPr>
          <w:rFonts w:ascii="Traditional Arabic" w:hAnsi="Traditional Arabic" w:cs="Traditional Arabic" w:hint="cs"/>
          <w:i/>
          <w:sz w:val="30"/>
          <w:szCs w:val="30"/>
          <w:rtl/>
        </w:rPr>
        <w:t xml:space="preserve"> على أساس من أداء الشركة في </w:t>
      </w:r>
      <w:r w:rsidR="00091D75">
        <w:rPr>
          <w:rFonts w:ascii="Traditional Arabic" w:hAnsi="Traditional Arabic" w:cs="Traditional Arabic" w:hint="cs"/>
          <w:i/>
          <w:sz w:val="30"/>
          <w:szCs w:val="30"/>
          <w:rtl/>
        </w:rPr>
        <w:t>ال</w:t>
      </w:r>
      <w:r w:rsidR="00B64567">
        <w:rPr>
          <w:rFonts w:ascii="Traditional Arabic" w:hAnsi="Traditional Arabic" w:cs="Traditional Arabic" w:hint="cs"/>
          <w:i/>
          <w:sz w:val="30"/>
          <w:szCs w:val="30"/>
          <w:rtl/>
        </w:rPr>
        <w:t>ست</w:t>
      </w:r>
      <w:r w:rsidR="00091D75">
        <w:rPr>
          <w:rFonts w:ascii="Traditional Arabic" w:hAnsi="Traditional Arabic" w:cs="Traditional Arabic" w:hint="cs"/>
          <w:i/>
          <w:sz w:val="30"/>
          <w:szCs w:val="30"/>
          <w:rtl/>
        </w:rPr>
        <w:t xml:space="preserve">ة أشهر المنتهية في </w:t>
      </w:r>
      <w:r w:rsidR="00B240AB">
        <w:rPr>
          <w:rFonts w:ascii="Traditional Arabic" w:hAnsi="Traditional Arabic" w:cs="Traditional Arabic" w:hint="cs"/>
          <w:i/>
          <w:sz w:val="30"/>
          <w:szCs w:val="30"/>
          <w:rtl/>
        </w:rPr>
        <w:t>30 يونيو 2026</w:t>
      </w:r>
      <w:r w:rsidR="00A263F6" w:rsidRPr="00A263F6">
        <w:rPr>
          <w:rFonts w:ascii="Traditional Arabic" w:hAnsi="Traditional Arabic" w:cs="Traditional Arabic"/>
          <w:i/>
          <w:sz w:val="30"/>
          <w:szCs w:val="30"/>
          <w:rtl/>
        </w:rPr>
        <w:t>.</w:t>
      </w:r>
      <w:r w:rsidR="00451B2A">
        <w:rPr>
          <w:rFonts w:ascii="Traditional Arabic" w:hAnsi="Traditional Arabic" w:cs="Traditional Arabic" w:hint="cs"/>
          <w:i/>
          <w:sz w:val="30"/>
          <w:szCs w:val="30"/>
          <w:rtl/>
        </w:rPr>
        <w:t xml:space="preserve">و الـ </w:t>
      </w:r>
      <w:r w:rsidR="00887E9C" w:rsidRPr="00887E9C">
        <w:rPr>
          <w:rFonts w:ascii="Traditional Arabic" w:hAnsi="Traditional Arabic" w:cs="Traditional Arabic"/>
          <w:i/>
          <w:sz w:val="30"/>
          <w:szCs w:val="30"/>
          <w:rtl/>
        </w:rPr>
        <w:t>50 في المائة المتبقية</w:t>
      </w:r>
      <w:r w:rsidR="00451B2A">
        <w:rPr>
          <w:rFonts w:ascii="Traditional Arabic" w:hAnsi="Traditional Arabic" w:cs="Traditional Arabic" w:hint="cs"/>
          <w:i/>
          <w:sz w:val="30"/>
          <w:szCs w:val="30"/>
          <w:rtl/>
        </w:rPr>
        <w:t xml:space="preserve"> منها</w:t>
      </w:r>
      <w:r w:rsidR="00887E9C" w:rsidRPr="00887E9C">
        <w:rPr>
          <w:rFonts w:ascii="Traditional Arabic" w:hAnsi="Traditional Arabic" w:cs="Traditional Arabic"/>
          <w:i/>
          <w:sz w:val="30"/>
          <w:szCs w:val="30"/>
          <w:rtl/>
        </w:rPr>
        <w:t xml:space="preserve">، البالغة 75 مليون دولار أمريكي (حوالي 29 مليون ريال عماني)، من المتوقع دفعها في مارس </w:t>
      </w:r>
      <w:r w:rsidR="00451B2A">
        <w:rPr>
          <w:rFonts w:ascii="Traditional Arabic" w:hAnsi="Traditional Arabic" w:cs="Traditional Arabic" w:hint="cs"/>
          <w:i/>
          <w:sz w:val="30"/>
          <w:szCs w:val="30"/>
          <w:rtl/>
        </w:rPr>
        <w:t>202</w:t>
      </w:r>
      <w:r w:rsidR="0059741C">
        <w:rPr>
          <w:rFonts w:ascii="Traditional Arabic" w:hAnsi="Traditional Arabic" w:cs="Traditional Arabic" w:hint="cs"/>
          <w:i/>
          <w:sz w:val="30"/>
          <w:szCs w:val="30"/>
          <w:rtl/>
        </w:rPr>
        <w:t>7</w:t>
      </w:r>
      <w:r w:rsidR="00451B2A">
        <w:rPr>
          <w:rFonts w:ascii="Traditional Arabic" w:hAnsi="Traditional Arabic" w:cs="Traditional Arabic" w:hint="cs"/>
          <w:i/>
          <w:sz w:val="30"/>
          <w:szCs w:val="30"/>
          <w:rtl/>
        </w:rPr>
        <w:t xml:space="preserve"> على أساس من أداء الشركة </w:t>
      </w:r>
      <w:r w:rsidR="00910A9D">
        <w:rPr>
          <w:rFonts w:ascii="Traditional Arabic" w:hAnsi="Traditional Arabic" w:cs="Traditional Arabic" w:hint="cs"/>
          <w:i/>
          <w:sz w:val="30"/>
          <w:szCs w:val="30"/>
          <w:rtl/>
        </w:rPr>
        <w:t>خلال السنة المنتهية</w:t>
      </w:r>
      <w:r w:rsidR="00A263F6" w:rsidRPr="00A263F6">
        <w:rPr>
          <w:rFonts w:ascii="Traditional Arabic" w:hAnsi="Traditional Arabic" w:cs="Traditional Arabic"/>
          <w:i/>
          <w:sz w:val="30"/>
          <w:szCs w:val="30"/>
          <w:rtl/>
        </w:rPr>
        <w:t xml:space="preserve"> في 31 ديسمبر</w:t>
      </w:r>
      <w:r w:rsidR="00E97809">
        <w:rPr>
          <w:rFonts w:ascii="Traditional Arabic" w:hAnsi="Traditional Arabic" w:cs="Traditional Arabic" w:hint="cs"/>
          <w:i/>
          <w:sz w:val="30"/>
          <w:szCs w:val="30"/>
          <w:rtl/>
        </w:rPr>
        <w:t xml:space="preserve"> 2026.</w:t>
      </w:r>
      <w:r w:rsidR="00451B2A">
        <w:rPr>
          <w:rFonts w:ascii="Traditional Arabic" w:hAnsi="Traditional Arabic" w:cs="Traditional Arabic" w:hint="cs"/>
          <w:i/>
          <w:sz w:val="30"/>
          <w:szCs w:val="30"/>
          <w:rtl/>
        </w:rPr>
        <w:t xml:space="preserve"> </w:t>
      </w:r>
      <w:r w:rsidR="00A263F6" w:rsidRPr="00A263F6">
        <w:rPr>
          <w:rFonts w:ascii="Traditional Arabic" w:hAnsi="Traditional Arabic" w:cs="Traditional Arabic"/>
          <w:i/>
          <w:sz w:val="30"/>
          <w:szCs w:val="30"/>
          <w:rtl/>
        </w:rPr>
        <w:t xml:space="preserve">وبالنسبة </w:t>
      </w:r>
      <w:r w:rsidR="00206D67">
        <w:rPr>
          <w:rFonts w:ascii="Traditional Arabic" w:hAnsi="Traditional Arabic" w:cs="Traditional Arabic" w:hint="cs"/>
          <w:i/>
          <w:sz w:val="30"/>
          <w:szCs w:val="30"/>
          <w:rtl/>
        </w:rPr>
        <w:t>لسنة</w:t>
      </w:r>
      <w:r w:rsidR="00A263F6" w:rsidRPr="00A263F6">
        <w:rPr>
          <w:rFonts w:ascii="Traditional Arabic" w:hAnsi="Traditional Arabic" w:cs="Traditional Arabic"/>
          <w:i/>
          <w:sz w:val="30"/>
          <w:szCs w:val="30"/>
          <w:rtl/>
        </w:rPr>
        <w:t xml:space="preserve"> 2027، تتوقع الشركة الإعلان عن توزيعات أرباح على أساس 95 في المائة من صافي الدخل المدقق للسنة المنتهية في 31 ديسمبر 2027. وتتوقع الشركة دفع 50 في المائة من توزيعات الأرباح هذه في سبتمبر 2027 </w:t>
      </w:r>
      <w:r w:rsidR="00D30BEA" w:rsidRPr="00A263F6">
        <w:rPr>
          <w:rFonts w:ascii="Traditional Arabic" w:hAnsi="Traditional Arabic" w:cs="Traditional Arabic" w:hint="cs"/>
          <w:i/>
          <w:sz w:val="30"/>
          <w:szCs w:val="30"/>
          <w:rtl/>
        </w:rPr>
        <w:t>و50</w:t>
      </w:r>
      <w:r w:rsidR="00A263F6" w:rsidRPr="00A263F6">
        <w:rPr>
          <w:rFonts w:ascii="Traditional Arabic" w:hAnsi="Traditional Arabic" w:cs="Traditional Arabic"/>
          <w:i/>
          <w:sz w:val="30"/>
          <w:szCs w:val="30"/>
          <w:rtl/>
        </w:rPr>
        <w:t xml:space="preserve"> في المائة في مارس 2028. كما تعتزم الشركة - بعد ذلك - الحفاظ على الاتساق في توزيع الأرباح، مع مراعاة استراتيجية النمو وتوليد التدفقات النقدية. وتعتزم الشركة دفع توزيعات الأرباح للأشهر الستة الأولى من العام في سبتمبر من ذلك العام وللأشهر الستة الأخيرة من العام في مارس من العام التالي.</w:t>
      </w:r>
    </w:p>
    <w:p w14:paraId="73C36AE9" w14:textId="77777777" w:rsidR="00BF795D" w:rsidRPr="00240371" w:rsidRDefault="00BF795D" w:rsidP="00240371">
      <w:pPr>
        <w:autoSpaceDE w:val="0"/>
        <w:autoSpaceDN w:val="0"/>
        <w:bidi/>
        <w:adjustRightInd w:val="0"/>
        <w:jc w:val="both"/>
        <w:rPr>
          <w:rFonts w:ascii="Traditional Arabic" w:hAnsi="Traditional Arabic" w:cs="Traditional Arabic"/>
          <w:sz w:val="30"/>
          <w:szCs w:val="30"/>
          <w:rtl/>
        </w:rPr>
      </w:pPr>
    </w:p>
    <w:p w14:paraId="54F0D5F5" w14:textId="77777777" w:rsidR="0025255A" w:rsidRDefault="00E839B6" w:rsidP="00CE7AE7">
      <w:pPr>
        <w:autoSpaceDE w:val="0"/>
        <w:autoSpaceDN w:val="0"/>
        <w:bidi/>
        <w:adjustRightInd w:val="0"/>
        <w:jc w:val="both"/>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وُضعت</w:t>
      </w:r>
      <w:r w:rsidRPr="00E839B6">
        <w:rPr>
          <w:rFonts w:ascii="Traditional Arabic" w:hAnsi="Traditional Arabic" w:cs="Traditional Arabic"/>
          <w:sz w:val="30"/>
          <w:szCs w:val="30"/>
          <w:rtl/>
          <w:lang w:val="en-GB"/>
        </w:rPr>
        <w:t xml:space="preserve"> سياسة توزيع الأرباح هذه لتعكس توقعات الشركة بتدفق نقدي قوي وأرباح محتملة متوقعة على المدى الطويل مع السماح للشركة بالاحتفاظ برأس مال كاف لتمويل متطلبات التشغيل المستمرة والاستثمار </w:t>
      </w:r>
      <w:r w:rsidR="00597A42">
        <w:rPr>
          <w:rFonts w:ascii="Traditional Arabic" w:hAnsi="Traditional Arabic" w:cs="Traditional Arabic" w:hint="cs"/>
          <w:sz w:val="30"/>
          <w:szCs w:val="30"/>
          <w:rtl/>
          <w:lang w:val="en-GB"/>
        </w:rPr>
        <w:t>في ا</w:t>
      </w:r>
      <w:r w:rsidRPr="00E839B6">
        <w:rPr>
          <w:rFonts w:ascii="Traditional Arabic" w:hAnsi="Traditional Arabic" w:cs="Traditional Arabic"/>
          <w:sz w:val="30"/>
          <w:szCs w:val="30"/>
          <w:rtl/>
          <w:lang w:val="en-GB"/>
        </w:rPr>
        <w:t>ل</w:t>
      </w:r>
      <w:r w:rsidR="008D6FC1">
        <w:rPr>
          <w:rFonts w:ascii="Traditional Arabic" w:hAnsi="Traditional Arabic" w:cs="Traditional Arabic" w:hint="cs"/>
          <w:sz w:val="30"/>
          <w:szCs w:val="30"/>
          <w:rtl/>
          <w:lang w:val="en-GB"/>
        </w:rPr>
        <w:t xml:space="preserve">نمو </w:t>
      </w:r>
      <w:r w:rsidRPr="00E839B6">
        <w:rPr>
          <w:rFonts w:ascii="Traditional Arabic" w:hAnsi="Traditional Arabic" w:cs="Traditional Arabic"/>
          <w:sz w:val="30"/>
          <w:szCs w:val="30"/>
          <w:rtl/>
          <w:lang w:val="en-GB"/>
        </w:rPr>
        <w:t>على المدى الطويل. تخضع سياسة توزيع الأرباح هذه ل</w:t>
      </w:r>
      <w:r w:rsidR="008D6FC1">
        <w:rPr>
          <w:rFonts w:ascii="Traditional Arabic" w:hAnsi="Traditional Arabic" w:cs="Traditional Arabic" w:hint="cs"/>
          <w:sz w:val="30"/>
          <w:szCs w:val="30"/>
          <w:rtl/>
          <w:lang w:val="en-GB"/>
        </w:rPr>
        <w:t>رؤية</w:t>
      </w:r>
      <w:r w:rsidRPr="00E839B6">
        <w:rPr>
          <w:rFonts w:ascii="Traditional Arabic" w:hAnsi="Traditional Arabic" w:cs="Traditional Arabic"/>
          <w:sz w:val="30"/>
          <w:szCs w:val="30"/>
          <w:rtl/>
          <w:lang w:val="en-GB"/>
        </w:rPr>
        <w:t xml:space="preserve"> مجلس الإدارة فيما يتعلق بمتطلبات إدارة النقد لأعمال الشركة للنفقات التشغيلية ونفقات التمويل والنفقات الرأسمالية المتوقعة. </w:t>
      </w:r>
      <w:r w:rsidR="001616F1">
        <w:rPr>
          <w:rFonts w:ascii="Traditional Arabic" w:hAnsi="Traditional Arabic" w:cs="Traditional Arabic" w:hint="cs"/>
          <w:sz w:val="30"/>
          <w:szCs w:val="30"/>
          <w:rtl/>
          <w:lang w:val="en-GB"/>
        </w:rPr>
        <w:t>هذا</w:t>
      </w:r>
      <w:r w:rsidRPr="00E839B6">
        <w:rPr>
          <w:rFonts w:ascii="Traditional Arabic" w:hAnsi="Traditional Arabic" w:cs="Traditional Arabic"/>
          <w:sz w:val="30"/>
          <w:szCs w:val="30"/>
          <w:rtl/>
          <w:lang w:val="en-GB"/>
        </w:rPr>
        <w:t xml:space="preserve">، </w:t>
      </w:r>
      <w:r w:rsidR="001616F1">
        <w:rPr>
          <w:rFonts w:ascii="Traditional Arabic" w:hAnsi="Traditional Arabic" w:cs="Traditional Arabic" w:hint="cs"/>
          <w:sz w:val="30"/>
          <w:szCs w:val="30"/>
          <w:rtl/>
          <w:lang w:val="en-GB"/>
        </w:rPr>
        <w:t>و</w:t>
      </w:r>
      <w:r w:rsidRPr="00E839B6">
        <w:rPr>
          <w:rFonts w:ascii="Traditional Arabic" w:hAnsi="Traditional Arabic" w:cs="Traditional Arabic"/>
          <w:sz w:val="30"/>
          <w:szCs w:val="30"/>
          <w:rtl/>
          <w:lang w:val="en-GB"/>
        </w:rPr>
        <w:t xml:space="preserve">تتوقع الشركة أن </w:t>
      </w:r>
      <w:r w:rsidR="008D6FC1">
        <w:rPr>
          <w:rFonts w:ascii="Traditional Arabic" w:hAnsi="Traditional Arabic" w:cs="Traditional Arabic" w:hint="cs"/>
          <w:sz w:val="30"/>
          <w:szCs w:val="30"/>
          <w:rtl/>
          <w:lang w:val="en-GB"/>
        </w:rPr>
        <w:t>يقف</w:t>
      </w:r>
      <w:r w:rsidRPr="00E839B6">
        <w:rPr>
          <w:rFonts w:ascii="Traditional Arabic" w:hAnsi="Traditional Arabic" w:cs="Traditional Arabic"/>
          <w:sz w:val="30"/>
          <w:szCs w:val="30"/>
          <w:rtl/>
          <w:lang w:val="en-GB"/>
        </w:rPr>
        <w:t xml:space="preserve"> مجلس الإدارة أيضا </w:t>
      </w:r>
      <w:r w:rsidR="008D6FC1">
        <w:rPr>
          <w:rFonts w:ascii="Traditional Arabic" w:hAnsi="Traditional Arabic" w:cs="Traditional Arabic" w:hint="cs"/>
          <w:sz w:val="30"/>
          <w:szCs w:val="30"/>
          <w:rtl/>
          <w:lang w:val="en-GB"/>
        </w:rPr>
        <w:t>على</w:t>
      </w:r>
      <w:r w:rsidRPr="00E839B6">
        <w:rPr>
          <w:rFonts w:ascii="Traditional Arabic" w:hAnsi="Traditional Arabic" w:cs="Traditional Arabic"/>
          <w:sz w:val="30"/>
          <w:szCs w:val="30"/>
          <w:rtl/>
          <w:lang w:val="en-GB"/>
        </w:rPr>
        <w:t xml:space="preserve"> </w:t>
      </w:r>
      <w:r w:rsidR="001616F1">
        <w:rPr>
          <w:rFonts w:ascii="Traditional Arabic" w:hAnsi="Traditional Arabic" w:cs="Traditional Arabic" w:hint="cs"/>
          <w:sz w:val="30"/>
          <w:szCs w:val="30"/>
          <w:rtl/>
          <w:lang w:val="en-GB"/>
        </w:rPr>
        <w:t>أوضاع</w:t>
      </w:r>
      <w:r w:rsidRPr="00E839B6">
        <w:rPr>
          <w:rFonts w:ascii="Traditional Arabic" w:hAnsi="Traditional Arabic" w:cs="Traditional Arabic"/>
          <w:sz w:val="30"/>
          <w:szCs w:val="30"/>
          <w:rtl/>
          <w:lang w:val="en-GB"/>
        </w:rPr>
        <w:t xml:space="preserve"> السوق، و</w:t>
      </w:r>
      <w:r w:rsidR="001616F1">
        <w:rPr>
          <w:rFonts w:ascii="Traditional Arabic" w:hAnsi="Traditional Arabic" w:cs="Traditional Arabic" w:hint="cs"/>
          <w:sz w:val="30"/>
          <w:szCs w:val="30"/>
          <w:rtl/>
          <w:lang w:val="en-GB"/>
        </w:rPr>
        <w:t>ظروف</w:t>
      </w:r>
      <w:r w:rsidRPr="00E839B6">
        <w:rPr>
          <w:rFonts w:ascii="Traditional Arabic" w:hAnsi="Traditional Arabic" w:cs="Traditional Arabic"/>
          <w:sz w:val="30"/>
          <w:szCs w:val="30"/>
          <w:rtl/>
          <w:lang w:val="en-GB"/>
        </w:rPr>
        <w:t xml:space="preserve"> التشغيل الحالية في </w:t>
      </w:r>
      <w:r w:rsidR="001616F1">
        <w:rPr>
          <w:rFonts w:ascii="Traditional Arabic" w:hAnsi="Traditional Arabic" w:cs="Traditional Arabic" w:hint="cs"/>
          <w:sz w:val="30"/>
          <w:szCs w:val="30"/>
          <w:rtl/>
          <w:lang w:val="en-GB"/>
        </w:rPr>
        <w:t>ال</w:t>
      </w:r>
      <w:r w:rsidRPr="00E839B6">
        <w:rPr>
          <w:rFonts w:ascii="Traditional Arabic" w:hAnsi="Traditional Arabic" w:cs="Traditional Arabic"/>
          <w:sz w:val="30"/>
          <w:szCs w:val="30"/>
          <w:rtl/>
          <w:lang w:val="en-GB"/>
        </w:rPr>
        <w:t xml:space="preserve">سوق </w:t>
      </w:r>
      <w:r w:rsidR="001616F1">
        <w:rPr>
          <w:rFonts w:ascii="Traditional Arabic" w:hAnsi="Traditional Arabic" w:cs="Traditional Arabic" w:hint="cs"/>
          <w:sz w:val="30"/>
          <w:szCs w:val="30"/>
          <w:rtl/>
          <w:lang w:val="en-GB"/>
        </w:rPr>
        <w:t xml:space="preserve">التي تعمل فيها </w:t>
      </w:r>
      <w:r w:rsidRPr="00E839B6">
        <w:rPr>
          <w:rFonts w:ascii="Traditional Arabic" w:hAnsi="Traditional Arabic" w:cs="Traditional Arabic"/>
          <w:sz w:val="30"/>
          <w:szCs w:val="30"/>
          <w:rtl/>
          <w:lang w:val="en-GB"/>
        </w:rPr>
        <w:t>الشركة،</w:t>
      </w:r>
      <w:r w:rsidR="001849D8">
        <w:rPr>
          <w:rFonts w:ascii="Traditional Arabic" w:hAnsi="Traditional Arabic" w:cs="Traditional Arabic" w:hint="cs"/>
          <w:sz w:val="30"/>
          <w:szCs w:val="30"/>
          <w:rtl/>
          <w:lang w:val="en-GB"/>
        </w:rPr>
        <w:t xml:space="preserve"> وهيكل رأس مال الشركة، </w:t>
      </w:r>
      <w:r w:rsidR="00BB059D" w:rsidRPr="00240371">
        <w:rPr>
          <w:rFonts w:ascii="Traditional Arabic" w:hAnsi="Traditional Arabic" w:cs="Traditional Arabic" w:hint="eastAsia"/>
          <w:sz w:val="30"/>
          <w:szCs w:val="30"/>
          <w:rtl/>
          <w:lang w:val="en-GB"/>
        </w:rPr>
        <w:t>ومحفظة</w:t>
      </w:r>
      <w:r w:rsidR="00BB059D" w:rsidRPr="00240371">
        <w:rPr>
          <w:rFonts w:ascii="Traditional Arabic" w:hAnsi="Traditional Arabic" w:cs="Traditional Arabic"/>
          <w:sz w:val="30"/>
          <w:szCs w:val="30"/>
          <w:rtl/>
          <w:lang w:val="en-GB"/>
        </w:rPr>
        <w:t xml:space="preserve"> </w:t>
      </w:r>
      <w:r w:rsidR="00BB059D" w:rsidRPr="00240371">
        <w:rPr>
          <w:rFonts w:ascii="Traditional Arabic" w:hAnsi="Traditional Arabic" w:cs="Traditional Arabic" w:hint="eastAsia"/>
          <w:sz w:val="30"/>
          <w:szCs w:val="30"/>
          <w:rtl/>
          <w:lang w:val="en-GB"/>
        </w:rPr>
        <w:t>توليد</w:t>
      </w:r>
      <w:r w:rsidR="00BB059D" w:rsidRPr="00240371">
        <w:rPr>
          <w:rFonts w:ascii="Traditional Arabic" w:hAnsi="Traditional Arabic" w:cs="Traditional Arabic"/>
          <w:sz w:val="30"/>
          <w:szCs w:val="30"/>
          <w:rtl/>
          <w:lang w:val="en-GB"/>
        </w:rPr>
        <w:t xml:space="preserve"> </w:t>
      </w:r>
      <w:r w:rsidR="00BB059D" w:rsidRPr="00240371">
        <w:rPr>
          <w:rFonts w:ascii="Traditional Arabic" w:hAnsi="Traditional Arabic" w:cs="Traditional Arabic" w:hint="eastAsia"/>
          <w:sz w:val="30"/>
          <w:szCs w:val="30"/>
          <w:rtl/>
          <w:lang w:val="en-GB"/>
        </w:rPr>
        <w:t>النقد</w:t>
      </w:r>
      <w:r w:rsidR="00BB059D">
        <w:rPr>
          <w:rFonts w:ascii="Traditional Arabic" w:hAnsi="Traditional Arabic" w:cs="Traditional Arabic" w:hint="cs"/>
          <w:sz w:val="30"/>
          <w:szCs w:val="30"/>
          <w:rtl/>
          <w:lang w:val="en-GB"/>
        </w:rPr>
        <w:t>، وغيرها من الموافقات اللازمة،</w:t>
      </w:r>
      <w:r w:rsidRPr="00E839B6">
        <w:rPr>
          <w:rFonts w:ascii="Traditional Arabic" w:hAnsi="Traditional Arabic" w:cs="Traditional Arabic"/>
          <w:sz w:val="30"/>
          <w:szCs w:val="30"/>
          <w:rtl/>
          <w:lang w:val="en-GB"/>
        </w:rPr>
        <w:t xml:space="preserve"> وتوقعات مجلس الإدارة لأعمال الشركة</w:t>
      </w:r>
      <w:r w:rsidR="00A263F6">
        <w:rPr>
          <w:rFonts w:ascii="Traditional Arabic" w:hAnsi="Traditional Arabic" w:cs="Traditional Arabic" w:hint="cs"/>
          <w:sz w:val="30"/>
          <w:szCs w:val="30"/>
          <w:rtl/>
          <w:lang w:val="en-GB"/>
        </w:rPr>
        <w:t xml:space="preserve"> والنمو</w:t>
      </w:r>
      <w:r w:rsidRPr="00E839B6">
        <w:rPr>
          <w:rFonts w:ascii="Traditional Arabic" w:hAnsi="Traditional Arabic" w:cs="Traditional Arabic"/>
          <w:sz w:val="30"/>
          <w:szCs w:val="30"/>
          <w:rtl/>
          <w:lang w:val="en-GB"/>
        </w:rPr>
        <w:t>.</w:t>
      </w:r>
    </w:p>
    <w:p w14:paraId="364D0BD8" w14:textId="77777777" w:rsidR="0025255A" w:rsidRDefault="0025255A" w:rsidP="0025255A">
      <w:pPr>
        <w:autoSpaceDE w:val="0"/>
        <w:autoSpaceDN w:val="0"/>
        <w:bidi/>
        <w:adjustRightInd w:val="0"/>
        <w:jc w:val="both"/>
        <w:rPr>
          <w:rFonts w:ascii="Traditional Arabic" w:hAnsi="Traditional Arabic" w:cs="Traditional Arabic"/>
          <w:sz w:val="30"/>
          <w:szCs w:val="30"/>
          <w:rtl/>
          <w:lang w:val="en-GB"/>
        </w:rPr>
      </w:pPr>
    </w:p>
    <w:p w14:paraId="44CC3044" w14:textId="77777777" w:rsidR="00DB35B3" w:rsidRPr="000B794B" w:rsidRDefault="00EE31F5" w:rsidP="00DB35B3">
      <w:pPr>
        <w:autoSpaceDE w:val="0"/>
        <w:autoSpaceDN w:val="0"/>
        <w:bidi/>
        <w:adjustRightInd w:val="0"/>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قامت</w:t>
      </w:r>
      <w:r w:rsidR="00887E9C" w:rsidRPr="00887E9C">
        <w:rPr>
          <w:rFonts w:ascii="Traditional Arabic" w:hAnsi="Traditional Arabic" w:cs="Traditional Arabic"/>
          <w:sz w:val="30"/>
          <w:szCs w:val="30"/>
          <w:rtl/>
        </w:rPr>
        <w:t xml:space="preserve"> الشركة </w:t>
      </w:r>
      <w:r>
        <w:rPr>
          <w:rFonts w:ascii="Traditional Arabic" w:hAnsi="Traditional Arabic" w:cs="Traditional Arabic" w:hint="cs"/>
          <w:sz w:val="30"/>
          <w:szCs w:val="30"/>
          <w:rtl/>
        </w:rPr>
        <w:t xml:space="preserve">بتوزيع </w:t>
      </w:r>
      <w:r w:rsidR="00887E9C" w:rsidRPr="00887E9C">
        <w:rPr>
          <w:rFonts w:ascii="Traditional Arabic" w:hAnsi="Traditional Arabic" w:cs="Traditional Arabic"/>
          <w:sz w:val="30"/>
          <w:szCs w:val="30"/>
          <w:rtl/>
        </w:rPr>
        <w:t xml:space="preserve">أرباح بقيمة </w:t>
      </w:r>
      <w:r w:rsidR="00687795">
        <w:rPr>
          <w:rFonts w:ascii="Traditional Arabic" w:hAnsi="Traditional Arabic" w:cs="Traditional Arabic" w:hint="cs"/>
          <w:sz w:val="30"/>
          <w:szCs w:val="30"/>
          <w:rtl/>
        </w:rPr>
        <w:t>4.2</w:t>
      </w:r>
      <w:r w:rsidR="00887E9C" w:rsidRPr="00887E9C">
        <w:rPr>
          <w:rFonts w:ascii="Traditional Arabic" w:hAnsi="Traditional Arabic" w:cs="Traditional Arabic"/>
          <w:sz w:val="30"/>
          <w:szCs w:val="30"/>
          <w:rtl/>
        </w:rPr>
        <w:t xml:space="preserve"> مليون ريال عماني (</w:t>
      </w:r>
      <w:r w:rsidR="00C46D42">
        <w:rPr>
          <w:rFonts w:ascii="Traditional Arabic" w:hAnsi="Traditional Arabic" w:cs="Traditional Arabic" w:hint="cs"/>
          <w:sz w:val="30"/>
          <w:szCs w:val="30"/>
          <w:rtl/>
        </w:rPr>
        <w:t>10.9</w:t>
      </w:r>
      <w:r w:rsidR="00887E9C" w:rsidRPr="00887E9C">
        <w:rPr>
          <w:rFonts w:ascii="Traditional Arabic" w:hAnsi="Traditional Arabic" w:cs="Traditional Arabic"/>
          <w:sz w:val="30"/>
          <w:szCs w:val="30"/>
          <w:rtl/>
        </w:rPr>
        <w:t xml:space="preserve"> مليون دولار أمريكي)</w:t>
      </w:r>
      <w:r w:rsidR="00C46D42">
        <w:rPr>
          <w:rFonts w:ascii="Traditional Arabic" w:hAnsi="Traditional Arabic" w:cs="Traditional Arabic" w:hint="cs"/>
          <w:sz w:val="30"/>
          <w:szCs w:val="30"/>
          <w:rtl/>
        </w:rPr>
        <w:t xml:space="preserve"> في سنة 2021</w:t>
      </w:r>
      <w:r w:rsidR="00887E9C" w:rsidRPr="00887E9C">
        <w:rPr>
          <w:rFonts w:ascii="Traditional Arabic" w:hAnsi="Traditional Arabic" w:cs="Traditional Arabic"/>
          <w:sz w:val="30"/>
          <w:szCs w:val="30"/>
          <w:rtl/>
        </w:rPr>
        <w:t>،</w:t>
      </w:r>
      <w:r w:rsidR="00C46D42">
        <w:rPr>
          <w:rFonts w:ascii="Traditional Arabic" w:hAnsi="Traditional Arabic" w:cs="Traditional Arabic" w:hint="cs"/>
          <w:sz w:val="30"/>
          <w:szCs w:val="30"/>
          <w:rtl/>
        </w:rPr>
        <w:t xml:space="preserve"> و 4.0 مليون ريال عماني (</w:t>
      </w:r>
      <w:r w:rsidR="001342C8">
        <w:rPr>
          <w:rFonts w:ascii="Traditional Arabic" w:hAnsi="Traditional Arabic" w:cs="Traditional Arabic" w:hint="cs"/>
          <w:sz w:val="30"/>
          <w:szCs w:val="30"/>
          <w:rtl/>
        </w:rPr>
        <w:t>10.3 مليون دولار أمريكي) في س</w:t>
      </w:r>
      <w:r w:rsidR="00E636F6">
        <w:rPr>
          <w:rFonts w:ascii="Traditional Arabic" w:hAnsi="Traditional Arabic" w:cs="Traditional Arabic" w:hint="cs"/>
          <w:sz w:val="30"/>
          <w:szCs w:val="30"/>
          <w:rtl/>
        </w:rPr>
        <w:t>ن</w:t>
      </w:r>
      <w:r w:rsidR="001342C8">
        <w:rPr>
          <w:rFonts w:ascii="Traditional Arabic" w:hAnsi="Traditional Arabic" w:cs="Traditional Arabic" w:hint="cs"/>
          <w:sz w:val="30"/>
          <w:szCs w:val="30"/>
          <w:rtl/>
        </w:rPr>
        <w:t>ة 2022، و42.2 مليون ريال عماني (</w:t>
      </w:r>
      <w:r w:rsidR="00287236">
        <w:rPr>
          <w:rFonts w:ascii="Traditional Arabic" w:hAnsi="Traditional Arabic" w:cs="Traditional Arabic" w:hint="cs"/>
          <w:sz w:val="30"/>
          <w:szCs w:val="30"/>
          <w:rtl/>
        </w:rPr>
        <w:t xml:space="preserve"> 109.5 مليون دولار أمريكي) في سنة 2023</w:t>
      </w:r>
      <w:r w:rsidR="00E636F6">
        <w:rPr>
          <w:rFonts w:ascii="Traditional Arabic" w:hAnsi="Traditional Arabic" w:cs="Traditional Arabic" w:hint="cs"/>
          <w:sz w:val="30"/>
          <w:szCs w:val="30"/>
          <w:rtl/>
        </w:rPr>
        <w:t xml:space="preserve">، </w:t>
      </w:r>
      <w:r w:rsidR="00287236">
        <w:rPr>
          <w:rFonts w:ascii="Traditional Arabic" w:hAnsi="Traditional Arabic" w:cs="Traditional Arabic" w:hint="cs"/>
          <w:sz w:val="30"/>
          <w:szCs w:val="30"/>
          <w:rtl/>
        </w:rPr>
        <w:t>و 21.9 مليون ريال عماني (56.9 مليون دولار أمريكي) في سنة 2024.</w:t>
      </w:r>
      <w:r w:rsidR="00887E9C" w:rsidRPr="00887E9C">
        <w:rPr>
          <w:rFonts w:ascii="Traditional Arabic" w:hAnsi="Traditional Arabic" w:cs="Traditional Arabic"/>
          <w:sz w:val="30"/>
          <w:szCs w:val="30"/>
          <w:rtl/>
        </w:rPr>
        <w:t xml:space="preserve"> </w:t>
      </w:r>
      <w:r w:rsidR="00BE5BE8">
        <w:rPr>
          <w:rFonts w:ascii="Traditional Arabic" w:hAnsi="Traditional Arabic" w:cs="Traditional Arabic" w:hint="cs"/>
          <w:sz w:val="30"/>
          <w:szCs w:val="30"/>
          <w:rtl/>
        </w:rPr>
        <w:t xml:space="preserve">قامت الشركة بتوزيع الأرباح في </w:t>
      </w:r>
      <w:r w:rsidR="00D7357D">
        <w:rPr>
          <w:rFonts w:ascii="Traditional Arabic" w:hAnsi="Traditional Arabic" w:cs="Traditional Arabic" w:hint="cs"/>
          <w:sz w:val="30"/>
          <w:szCs w:val="30"/>
          <w:rtl/>
        </w:rPr>
        <w:t>سنة ٢٠٢١ و</w:t>
      </w:r>
      <w:r w:rsidR="007E4F01">
        <w:rPr>
          <w:rFonts w:ascii="Traditional Arabic" w:hAnsi="Traditional Arabic" w:cs="Traditional Arabic" w:hint="cs"/>
          <w:sz w:val="30"/>
          <w:szCs w:val="30"/>
          <w:rtl/>
        </w:rPr>
        <w:t>سنة</w:t>
      </w:r>
      <w:r w:rsidR="00D7357D">
        <w:rPr>
          <w:rFonts w:ascii="Traditional Arabic" w:hAnsi="Traditional Arabic" w:cs="Traditional Arabic" w:hint="cs"/>
          <w:sz w:val="30"/>
          <w:szCs w:val="30"/>
          <w:rtl/>
        </w:rPr>
        <w:t xml:space="preserve"> ٢٠٢٢ </w:t>
      </w:r>
      <w:r w:rsidR="00BE5BE8">
        <w:rPr>
          <w:rFonts w:ascii="Traditional Arabic" w:hAnsi="Traditional Arabic" w:cs="Traditional Arabic" w:hint="cs"/>
          <w:sz w:val="30"/>
          <w:szCs w:val="30"/>
          <w:rtl/>
        </w:rPr>
        <w:t xml:space="preserve">عن طريق شركاتها التابعة </w:t>
      </w:r>
      <w:r w:rsidR="008B7341">
        <w:rPr>
          <w:rFonts w:ascii="Traditional Arabic" w:hAnsi="Traditional Arabic" w:cs="Traditional Arabic" w:hint="cs"/>
          <w:sz w:val="30"/>
          <w:szCs w:val="30"/>
          <w:rtl/>
        </w:rPr>
        <w:t xml:space="preserve">وذلك </w:t>
      </w:r>
      <w:r w:rsidR="00BE5BE8">
        <w:rPr>
          <w:rFonts w:ascii="Traditional Arabic" w:hAnsi="Traditional Arabic" w:cs="Traditional Arabic" w:hint="cs"/>
          <w:sz w:val="30"/>
          <w:szCs w:val="30"/>
          <w:rtl/>
        </w:rPr>
        <w:t>على الحصص غير المسيطرة في تلك الشركات</w:t>
      </w:r>
      <w:r w:rsidR="00D7357D">
        <w:rPr>
          <w:rFonts w:ascii="Traditional Arabic" w:hAnsi="Traditional Arabic" w:cs="Traditional Arabic" w:hint="cs"/>
          <w:sz w:val="30"/>
          <w:szCs w:val="30"/>
          <w:rtl/>
        </w:rPr>
        <w:t>.</w:t>
      </w:r>
    </w:p>
    <w:p w14:paraId="70176B2D" w14:textId="1FE4A019" w:rsidR="00E839B6" w:rsidRPr="00240371" w:rsidRDefault="00E839B6" w:rsidP="0025255A">
      <w:pPr>
        <w:autoSpaceDE w:val="0"/>
        <w:autoSpaceDN w:val="0"/>
        <w:bidi/>
        <w:adjustRightInd w:val="0"/>
        <w:jc w:val="both"/>
        <w:rPr>
          <w:rFonts w:ascii="Traditional Arabic" w:hAnsi="Traditional Arabic" w:cs="Traditional Arabic"/>
          <w:sz w:val="30"/>
          <w:szCs w:val="30"/>
          <w:lang w:val="en-GB"/>
        </w:rPr>
      </w:pPr>
    </w:p>
    <w:p w14:paraId="4D779515" w14:textId="77777777" w:rsidR="00E839B6" w:rsidRPr="00CD53BC" w:rsidRDefault="00E839B6" w:rsidP="00E839B6">
      <w:pPr>
        <w:autoSpaceDE w:val="0"/>
        <w:autoSpaceDN w:val="0"/>
        <w:bidi/>
        <w:adjustRightInd w:val="0"/>
        <w:jc w:val="both"/>
        <w:rPr>
          <w:rFonts w:ascii="Traditional Arabic" w:hAnsi="Traditional Arabic" w:cs="Traditional Arabic"/>
          <w:sz w:val="30"/>
          <w:szCs w:val="30"/>
          <w:rtl/>
          <w:lang w:bidi="ar-EG"/>
        </w:rPr>
      </w:pPr>
    </w:p>
    <w:p w14:paraId="7F9F2AA8" w14:textId="77777777" w:rsidR="009F1D7E" w:rsidRPr="00EB5BCF" w:rsidRDefault="009F1D7E" w:rsidP="00F71B93">
      <w:pPr>
        <w:autoSpaceDE w:val="0"/>
        <w:autoSpaceDN w:val="0"/>
        <w:bidi/>
        <w:adjustRightInd w:val="0"/>
        <w:jc w:val="both"/>
        <w:rPr>
          <w:rFonts w:ascii="Traditional Arabic" w:hAnsi="Traditional Arabic" w:cs="Traditional Arabic"/>
          <w:sz w:val="30"/>
          <w:szCs w:val="30"/>
          <w:rtl/>
          <w:lang w:val="en-GB" w:bidi="ar-EG"/>
        </w:rPr>
      </w:pPr>
    </w:p>
    <w:p w14:paraId="18345BAE" w14:textId="77777777" w:rsidR="008A2735" w:rsidRPr="00EB5BCF" w:rsidRDefault="008A2735" w:rsidP="008A2735">
      <w:pPr>
        <w:autoSpaceDE w:val="0"/>
        <w:autoSpaceDN w:val="0"/>
        <w:bidi/>
        <w:adjustRightInd w:val="0"/>
        <w:jc w:val="both"/>
        <w:rPr>
          <w:rFonts w:ascii="Traditional Arabic" w:hAnsi="Traditional Arabic" w:cs="Traditional Arabic"/>
          <w:sz w:val="30"/>
          <w:szCs w:val="30"/>
          <w:rtl/>
          <w:lang w:val="en-GB" w:bidi="ar-EG"/>
        </w:rPr>
      </w:pPr>
    </w:p>
    <w:p w14:paraId="2BADE460" w14:textId="77777777" w:rsidR="008A2735" w:rsidRPr="00EB5BCF" w:rsidRDefault="008A2735" w:rsidP="008A2735">
      <w:pPr>
        <w:autoSpaceDE w:val="0"/>
        <w:autoSpaceDN w:val="0"/>
        <w:bidi/>
        <w:adjustRightInd w:val="0"/>
        <w:jc w:val="both"/>
        <w:rPr>
          <w:rFonts w:ascii="Traditional Arabic" w:hAnsi="Traditional Arabic" w:cs="Traditional Arabic"/>
          <w:sz w:val="30"/>
          <w:szCs w:val="30"/>
          <w:rtl/>
          <w:lang w:val="en-GB" w:bidi="ar-EG"/>
        </w:rPr>
        <w:sectPr w:rsidR="008A2735" w:rsidRPr="00EB5BCF">
          <w:pgSz w:w="12240" w:h="15840"/>
          <w:pgMar w:top="1440" w:right="1440" w:bottom="1440" w:left="1440" w:header="720" w:footer="720" w:gutter="0"/>
          <w:cols w:space="720"/>
          <w:docGrid w:linePitch="360"/>
        </w:sectPr>
      </w:pPr>
    </w:p>
    <w:p w14:paraId="491EF943" w14:textId="77777777" w:rsidR="00585226" w:rsidRPr="00EB5BCF" w:rsidRDefault="008A2735" w:rsidP="00585226">
      <w:pPr>
        <w:autoSpaceDE w:val="0"/>
        <w:autoSpaceDN w:val="0"/>
        <w:bidi/>
        <w:adjustRightInd w:val="0"/>
        <w:jc w:val="center"/>
        <w:rPr>
          <w:rFonts w:ascii="Traditional Arabic" w:hAnsi="Traditional Arabic" w:cs="Traditional Arabic"/>
          <w:b/>
          <w:bCs/>
          <w:sz w:val="30"/>
          <w:szCs w:val="30"/>
          <w:rtl/>
          <w:lang w:val="en-GB" w:bidi="ar-EG"/>
        </w:rPr>
      </w:pPr>
      <w:r w:rsidRPr="00EB5BCF">
        <w:rPr>
          <w:rFonts w:ascii="Traditional Arabic" w:hAnsi="Traditional Arabic" w:cs="Traditional Arabic"/>
          <w:b/>
          <w:bCs/>
          <w:sz w:val="30"/>
          <w:szCs w:val="30"/>
          <w:rtl/>
          <w:lang w:val="en-GB" w:bidi="ar-EG"/>
        </w:rPr>
        <w:lastRenderedPageBreak/>
        <w:t xml:space="preserve">الفصل </w:t>
      </w:r>
      <w:r w:rsidR="009E21A1">
        <w:rPr>
          <w:rFonts w:ascii="Traditional Arabic" w:hAnsi="Traditional Arabic" w:cs="Traditional Arabic" w:hint="cs"/>
          <w:b/>
          <w:bCs/>
          <w:sz w:val="30"/>
          <w:szCs w:val="30"/>
          <w:rtl/>
          <w:lang w:val="en-GB" w:bidi="ar-EG"/>
        </w:rPr>
        <w:t xml:space="preserve">السادس </w:t>
      </w:r>
      <w:r w:rsidRPr="00EB5BCF">
        <w:rPr>
          <w:rFonts w:ascii="Traditional Arabic" w:hAnsi="Traditional Arabic" w:cs="Traditional Arabic"/>
          <w:b/>
          <w:bCs/>
          <w:sz w:val="30"/>
          <w:szCs w:val="30"/>
          <w:rtl/>
          <w:lang w:val="en-GB" w:bidi="ar-EG"/>
        </w:rPr>
        <w:t xml:space="preserve">عشر </w:t>
      </w:r>
    </w:p>
    <w:p w14:paraId="444D56A2" w14:textId="77777777" w:rsidR="008A2735" w:rsidRDefault="00CA5F08" w:rsidP="008252E9">
      <w:pPr>
        <w:autoSpaceDE w:val="0"/>
        <w:autoSpaceDN w:val="0"/>
        <w:bidi/>
        <w:adjustRightInd w:val="0"/>
        <w:jc w:val="center"/>
        <w:rPr>
          <w:rFonts w:ascii="Traditional Arabic" w:hAnsi="Traditional Arabic" w:cs="Traditional Arabic"/>
          <w:b/>
          <w:bCs/>
          <w:sz w:val="30"/>
          <w:szCs w:val="30"/>
          <w:rtl/>
          <w:lang w:val="en-GB" w:bidi="ar-EG"/>
        </w:rPr>
      </w:pPr>
      <w:r w:rsidRPr="00EB5BCF">
        <w:rPr>
          <w:rFonts w:ascii="Traditional Arabic" w:hAnsi="Traditional Arabic" w:cs="Traditional Arabic"/>
          <w:b/>
          <w:bCs/>
          <w:sz w:val="30"/>
          <w:szCs w:val="30"/>
          <w:rtl/>
          <w:lang w:val="en-GB" w:bidi="ar-EG"/>
        </w:rPr>
        <w:t>ت</w:t>
      </w:r>
      <w:r w:rsidR="00167CCA" w:rsidRPr="00EB5BCF">
        <w:rPr>
          <w:rFonts w:ascii="Traditional Arabic" w:hAnsi="Traditional Arabic" w:cs="Traditional Arabic"/>
          <w:b/>
          <w:bCs/>
          <w:sz w:val="30"/>
          <w:szCs w:val="30"/>
          <w:rtl/>
          <w:lang w:val="en-GB" w:bidi="ar-EG"/>
        </w:rPr>
        <w:t>عاملات الأطراف ذات العلاقة والعقود الرئيسة</w:t>
      </w:r>
    </w:p>
    <w:p w14:paraId="66014FC7" w14:textId="77777777" w:rsidR="009E21A1" w:rsidRPr="00EB5BCF" w:rsidRDefault="009E21A1" w:rsidP="009E21A1">
      <w:pPr>
        <w:autoSpaceDE w:val="0"/>
        <w:autoSpaceDN w:val="0"/>
        <w:bidi/>
        <w:adjustRightInd w:val="0"/>
        <w:jc w:val="center"/>
        <w:rPr>
          <w:rFonts w:ascii="Traditional Arabic" w:hAnsi="Traditional Arabic" w:cs="Traditional Arabic"/>
          <w:sz w:val="30"/>
          <w:szCs w:val="30"/>
          <w:rtl/>
          <w:lang w:val="en-GB" w:bidi="ar-EG"/>
        </w:rPr>
      </w:pPr>
    </w:p>
    <w:p w14:paraId="5B5E77B5" w14:textId="77777777" w:rsidR="004F7011" w:rsidRPr="004F7011" w:rsidRDefault="004F7011" w:rsidP="004F7011">
      <w:pPr>
        <w:widowControl w:val="0"/>
        <w:tabs>
          <w:tab w:val="left" w:pos="810"/>
          <w:tab w:val="right" w:pos="6660"/>
          <w:tab w:val="right" w:pos="8601"/>
          <w:tab w:val="right" w:pos="9540"/>
        </w:tabs>
        <w:bidi/>
        <w:ind w:right="-426"/>
        <w:jc w:val="both"/>
        <w:rPr>
          <w:rFonts w:ascii="Traditional Arabic" w:hAnsi="Traditional Arabic" w:cs="Traditional Arabic"/>
          <w:sz w:val="30"/>
          <w:szCs w:val="30"/>
        </w:rPr>
      </w:pPr>
      <w:r w:rsidRPr="004F7011">
        <w:rPr>
          <w:rFonts w:ascii="Traditional Arabic" w:hAnsi="Traditional Arabic" w:cs="Traditional Arabic" w:hint="eastAsia"/>
          <w:sz w:val="30"/>
          <w:szCs w:val="30"/>
          <w:rtl/>
          <w:lang w:val="en-GB"/>
        </w:rPr>
        <w:t>تُبرم</w:t>
      </w:r>
      <w:r w:rsidRPr="004F7011">
        <w:rPr>
          <w:rFonts w:ascii="Traditional Arabic" w:hAnsi="Traditional Arabic" w:cs="Traditional Arabic"/>
          <w:sz w:val="30"/>
          <w:szCs w:val="30"/>
          <w:rtl/>
          <w:lang w:val="en-GB"/>
        </w:rPr>
        <w:t xml:space="preserve"> الشركة معاملات مع الشركات والكيانات التي ينطبق عليها تعريف الطرف ذي العلاقة على النحو </w:t>
      </w:r>
      <w:r w:rsidRPr="004F7011">
        <w:rPr>
          <w:rFonts w:ascii="Traditional Arabic" w:hAnsi="Traditional Arabic" w:cs="Traditional Arabic" w:hint="eastAsia"/>
          <w:sz w:val="30"/>
          <w:szCs w:val="30"/>
          <w:rtl/>
          <w:lang w:val="en-GB"/>
        </w:rPr>
        <w:t>المحدد</w:t>
      </w:r>
      <w:r w:rsidRPr="004F7011">
        <w:rPr>
          <w:rFonts w:ascii="Traditional Arabic" w:hAnsi="Traditional Arabic" w:cs="Traditional Arabic"/>
          <w:sz w:val="30"/>
          <w:szCs w:val="30"/>
          <w:rtl/>
          <w:lang w:val="en-GB"/>
        </w:rPr>
        <w:t xml:space="preserve"> في معيار المحاسبة الدولي</w:t>
      </w:r>
      <w:r w:rsidR="004B1F4B">
        <w:rPr>
          <w:rFonts w:ascii="Traditional Arabic" w:hAnsi="Traditional Arabic" w:cs="Traditional Arabic" w:hint="cs"/>
          <w:sz w:val="30"/>
          <w:szCs w:val="30"/>
          <w:rtl/>
          <w:lang w:val="en-GB"/>
        </w:rPr>
        <w:t xml:space="preserve"> رقم</w:t>
      </w:r>
      <w:r w:rsidRPr="004F7011">
        <w:rPr>
          <w:rFonts w:ascii="Traditional Arabic" w:hAnsi="Traditional Arabic" w:cs="Traditional Arabic"/>
          <w:sz w:val="30"/>
          <w:szCs w:val="30"/>
          <w:rtl/>
          <w:lang w:val="en-GB"/>
        </w:rPr>
        <w:t xml:space="preserve"> 24 </w:t>
      </w:r>
      <w:r w:rsidRPr="004F7011">
        <w:rPr>
          <w:rFonts w:ascii="Traditional Arabic" w:hAnsi="Traditional Arabic" w:cs="Traditional Arabic"/>
          <w:i/>
          <w:iCs/>
          <w:sz w:val="30"/>
          <w:szCs w:val="30"/>
          <w:rtl/>
          <w:lang w:val="en-GB"/>
        </w:rPr>
        <w:t xml:space="preserve">إفصاحات الأطراف ذات </w:t>
      </w:r>
      <w:r w:rsidRPr="004F7011">
        <w:rPr>
          <w:rFonts w:ascii="Traditional Arabic" w:hAnsi="Traditional Arabic" w:cs="Traditional Arabic" w:hint="eastAsia"/>
          <w:i/>
          <w:iCs/>
          <w:sz w:val="30"/>
          <w:szCs w:val="30"/>
          <w:rtl/>
          <w:lang w:val="en-GB"/>
        </w:rPr>
        <w:t>العلاقة</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و</w:t>
      </w:r>
      <w:r w:rsidRPr="004F7011">
        <w:rPr>
          <w:rFonts w:ascii="Traditional Arabic" w:hAnsi="Traditional Arabic" w:cs="Traditional Arabic"/>
          <w:sz w:val="30"/>
          <w:szCs w:val="30"/>
          <w:rtl/>
          <w:lang w:val="en-GB"/>
        </w:rPr>
        <w:t xml:space="preserve">تشمل الأطراف ذات العلاقة </w:t>
      </w:r>
      <w:r w:rsidR="00111946">
        <w:rPr>
          <w:rFonts w:ascii="Traditional Arabic" w:hAnsi="Traditional Arabic" w:cs="Traditional Arabic" w:hint="cs"/>
          <w:sz w:val="30"/>
          <w:szCs w:val="30"/>
          <w:rtl/>
          <w:lang w:val="en-GB"/>
        </w:rPr>
        <w:t>المساهم البائع</w:t>
      </w:r>
      <w:r w:rsidR="00C159BF">
        <w:rPr>
          <w:rFonts w:ascii="Traditional Arabic" w:hAnsi="Traditional Arabic" w:cs="Traditional Arabic" w:hint="cs"/>
          <w:sz w:val="30"/>
          <w:szCs w:val="30"/>
          <w:rtl/>
          <w:lang w:val="en-GB"/>
        </w:rPr>
        <w:t xml:space="preserve"> وعضو مجموعة </w:t>
      </w:r>
      <w:r w:rsidR="001A7977">
        <w:rPr>
          <w:rFonts w:ascii="Traditional Arabic" w:hAnsi="Traditional Arabic" w:cs="Traditional Arabic" w:hint="cs"/>
          <w:sz w:val="30"/>
          <w:szCs w:val="30"/>
          <w:rtl/>
          <w:lang w:val="en-GB"/>
        </w:rPr>
        <w:t xml:space="preserve">أسياد </w:t>
      </w:r>
      <w:r w:rsidRPr="004F7011">
        <w:rPr>
          <w:rFonts w:ascii="Traditional Arabic" w:hAnsi="Traditional Arabic" w:cs="Traditional Arabic"/>
          <w:sz w:val="30"/>
          <w:szCs w:val="30"/>
          <w:rtl/>
          <w:lang w:val="en-GB"/>
        </w:rPr>
        <w:t>وأعضاء مجلس الإدارة والإدارة و</w:t>
      </w:r>
      <w:r w:rsidRPr="004F7011">
        <w:rPr>
          <w:rFonts w:ascii="Traditional Arabic" w:hAnsi="Traditional Arabic" w:cs="Traditional Arabic" w:hint="eastAsia"/>
          <w:sz w:val="30"/>
          <w:szCs w:val="30"/>
          <w:rtl/>
          <w:lang w:val="en-GB"/>
        </w:rPr>
        <w:t>ال</w:t>
      </w:r>
      <w:r w:rsidRPr="004F7011">
        <w:rPr>
          <w:rFonts w:ascii="Traditional Arabic" w:hAnsi="Traditional Arabic" w:cs="Traditional Arabic"/>
          <w:sz w:val="30"/>
          <w:szCs w:val="30"/>
          <w:rtl/>
          <w:lang w:val="en-GB"/>
        </w:rPr>
        <w:t xml:space="preserve">كيانات </w:t>
      </w:r>
      <w:r w:rsidRPr="004F7011">
        <w:rPr>
          <w:rFonts w:ascii="Traditional Arabic" w:hAnsi="Traditional Arabic" w:cs="Traditional Arabic" w:hint="eastAsia"/>
          <w:sz w:val="30"/>
          <w:szCs w:val="30"/>
          <w:rtl/>
          <w:lang w:val="en-GB"/>
        </w:rPr>
        <w:t>الاعتبارية</w:t>
      </w:r>
      <w:r w:rsidRPr="004F7011">
        <w:rPr>
          <w:rFonts w:ascii="Traditional Arabic" w:hAnsi="Traditional Arabic" w:cs="Traditional Arabic"/>
          <w:sz w:val="30"/>
          <w:szCs w:val="30"/>
          <w:rtl/>
          <w:lang w:val="en-GB"/>
        </w:rPr>
        <w:t xml:space="preserve"> التي لديها القدرة على </w:t>
      </w:r>
      <w:r w:rsidRPr="004F7011">
        <w:rPr>
          <w:rFonts w:ascii="Traditional Arabic" w:hAnsi="Traditional Arabic" w:cs="Traditional Arabic" w:hint="eastAsia"/>
          <w:sz w:val="30"/>
          <w:szCs w:val="30"/>
          <w:rtl/>
          <w:lang w:val="en-GB"/>
        </w:rPr>
        <w:t>السيطرة</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على</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الشركة</w:t>
      </w:r>
      <w:r w:rsidRPr="004F7011">
        <w:rPr>
          <w:rFonts w:ascii="Traditional Arabic" w:hAnsi="Traditional Arabic" w:cs="Traditional Arabic"/>
          <w:sz w:val="30"/>
          <w:szCs w:val="30"/>
          <w:rtl/>
          <w:lang w:val="en-GB"/>
        </w:rPr>
        <w:t xml:space="preserve"> أو ممارسة تأثير جوهري على القرارات المالية والتشغيلية لها. </w:t>
      </w:r>
      <w:r w:rsidRPr="004F7011">
        <w:rPr>
          <w:rFonts w:ascii="Traditional Arabic" w:hAnsi="Traditional Arabic" w:cs="Traditional Arabic" w:hint="eastAsia"/>
          <w:sz w:val="30"/>
          <w:szCs w:val="30"/>
          <w:rtl/>
          <w:lang w:val="en-GB"/>
        </w:rPr>
        <w:t>و</w:t>
      </w:r>
      <w:r w:rsidRPr="004F7011">
        <w:rPr>
          <w:rFonts w:ascii="Traditional Arabic" w:hAnsi="Traditional Arabic" w:cs="Traditional Arabic"/>
          <w:sz w:val="30"/>
          <w:szCs w:val="30"/>
          <w:rtl/>
          <w:lang w:val="en-GB"/>
        </w:rPr>
        <w:t xml:space="preserve">تحتفظ الشركة بأرصدة مع الأطراف ذات </w:t>
      </w:r>
      <w:r w:rsidRPr="004F7011">
        <w:rPr>
          <w:rFonts w:ascii="Traditional Arabic" w:hAnsi="Traditional Arabic" w:cs="Traditional Arabic" w:hint="eastAsia"/>
          <w:sz w:val="30"/>
          <w:szCs w:val="30"/>
          <w:rtl/>
          <w:lang w:val="en-GB"/>
        </w:rPr>
        <w:t>العلاقة</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المذكورة</w:t>
      </w:r>
      <w:r w:rsidRPr="004F7011">
        <w:rPr>
          <w:rFonts w:ascii="Traditional Arabic" w:hAnsi="Traditional Arabic" w:cs="Traditional Arabic"/>
          <w:sz w:val="30"/>
          <w:szCs w:val="30"/>
          <w:rtl/>
          <w:lang w:val="en-GB"/>
        </w:rPr>
        <w:t xml:space="preserve"> والتي تنشأ في سياق </w:t>
      </w:r>
      <w:r w:rsidRPr="004F7011">
        <w:rPr>
          <w:rFonts w:ascii="Traditional Arabic" w:hAnsi="Traditional Arabic" w:cs="Traditional Arabic" w:hint="eastAsia"/>
          <w:sz w:val="30"/>
          <w:szCs w:val="30"/>
          <w:rtl/>
          <w:lang w:val="en-GB"/>
        </w:rPr>
        <w:t>الأعمال</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المعتادة</w:t>
      </w:r>
      <w:r w:rsidRPr="004F7011">
        <w:rPr>
          <w:rFonts w:ascii="Traditional Arabic" w:hAnsi="Traditional Arabic" w:cs="Traditional Arabic"/>
          <w:sz w:val="30"/>
          <w:szCs w:val="30"/>
          <w:rtl/>
          <w:lang w:val="en-GB"/>
        </w:rPr>
        <w:t xml:space="preserve"> من المعاملات التجارية بشروط متفق عليها </w:t>
      </w:r>
      <w:r w:rsidRPr="004F7011">
        <w:rPr>
          <w:rFonts w:ascii="Traditional Arabic" w:hAnsi="Traditional Arabic" w:cs="Traditional Arabic" w:hint="eastAsia"/>
          <w:sz w:val="30"/>
          <w:szCs w:val="30"/>
          <w:rtl/>
          <w:lang w:val="en-GB"/>
        </w:rPr>
        <w:t>بين</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الطرفين</w:t>
      </w:r>
      <w:r w:rsidR="00C159BF">
        <w:rPr>
          <w:rFonts w:ascii="Traditional Arabic" w:hAnsi="Traditional Arabic" w:cs="Traditional Arabic" w:hint="cs"/>
          <w:sz w:val="30"/>
          <w:szCs w:val="30"/>
          <w:rtl/>
          <w:lang w:val="en-GB"/>
        </w:rPr>
        <w:t xml:space="preserve"> والتي يمكن مقارنتها مع الشروط التي تُبرم مع الكيانات الأخرى غير المرتبطة بالحكومة أو التي تسيطر عليها الحكومة</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كما</w:t>
      </w:r>
      <w:r w:rsidRPr="004F7011">
        <w:rPr>
          <w:rFonts w:ascii="Traditional Arabic" w:hAnsi="Traditional Arabic" w:cs="Traditional Arabic"/>
          <w:sz w:val="30"/>
          <w:szCs w:val="30"/>
          <w:rtl/>
          <w:lang w:val="en-GB"/>
        </w:rPr>
        <w:t xml:space="preserve"> أن الأرصدة المستحقة في نهاية العام غير مضمونة </w:t>
      </w:r>
      <w:r w:rsidRPr="004F7011">
        <w:rPr>
          <w:rFonts w:ascii="Traditional Arabic" w:hAnsi="Traditional Arabic" w:cs="Traditional Arabic" w:hint="eastAsia"/>
          <w:sz w:val="30"/>
          <w:szCs w:val="30"/>
          <w:rtl/>
          <w:lang w:val="en-GB"/>
        </w:rPr>
        <w:t>برهن</w:t>
      </w:r>
      <w:r w:rsidRPr="004F7011">
        <w:rPr>
          <w:rFonts w:ascii="Traditional Arabic" w:hAnsi="Traditional Arabic" w:cs="Traditional Arabic"/>
          <w:sz w:val="30"/>
          <w:szCs w:val="30"/>
          <w:rtl/>
          <w:lang w:val="en-GB"/>
        </w:rPr>
        <w:t xml:space="preserve"> ويتم </w:t>
      </w:r>
      <w:r w:rsidRPr="004F7011">
        <w:rPr>
          <w:rFonts w:ascii="Traditional Arabic" w:hAnsi="Traditional Arabic" w:cs="Traditional Arabic" w:hint="eastAsia"/>
          <w:sz w:val="30"/>
          <w:szCs w:val="30"/>
          <w:rtl/>
          <w:lang w:val="en-GB"/>
        </w:rPr>
        <w:t>تسويتها</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في</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صورة</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نقدية</w:t>
      </w:r>
      <w:r w:rsidRPr="004F7011">
        <w:rPr>
          <w:rFonts w:ascii="Traditional Arabic" w:hAnsi="Traditional Arabic" w:cs="Traditional Arabic"/>
          <w:sz w:val="30"/>
          <w:szCs w:val="30"/>
          <w:rtl/>
          <w:lang w:val="en-GB"/>
        </w:rPr>
        <w:t>.</w:t>
      </w:r>
    </w:p>
    <w:p w14:paraId="5223429B" w14:textId="77777777" w:rsidR="004F7011" w:rsidRPr="004F7011" w:rsidRDefault="004F7011" w:rsidP="004F7011">
      <w:pPr>
        <w:widowControl w:val="0"/>
        <w:tabs>
          <w:tab w:val="left" w:pos="810"/>
          <w:tab w:val="right" w:pos="6660"/>
          <w:tab w:val="right" w:pos="8601"/>
          <w:tab w:val="right" w:pos="9540"/>
        </w:tabs>
        <w:bidi/>
        <w:ind w:right="-426"/>
        <w:jc w:val="both"/>
        <w:rPr>
          <w:rFonts w:ascii="Traditional Arabic" w:hAnsi="Traditional Arabic" w:cs="Traditional Arabic"/>
          <w:sz w:val="30"/>
          <w:szCs w:val="30"/>
        </w:rPr>
      </w:pPr>
    </w:p>
    <w:p w14:paraId="2DBF04B5" w14:textId="77777777" w:rsidR="004F7011" w:rsidRDefault="004F7011" w:rsidP="004F7011">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lang w:val="en-GB"/>
        </w:rPr>
      </w:pPr>
      <w:r w:rsidRPr="004F7011">
        <w:rPr>
          <w:rFonts w:ascii="Traditional Arabic" w:hAnsi="Traditional Arabic" w:cs="Traditional Arabic" w:hint="eastAsia"/>
          <w:sz w:val="30"/>
          <w:szCs w:val="30"/>
          <w:rtl/>
          <w:lang w:val="en-GB"/>
        </w:rPr>
        <w:t>و</w:t>
      </w:r>
      <w:r w:rsidR="00951067">
        <w:rPr>
          <w:rFonts w:ascii="Traditional Arabic" w:hAnsi="Traditional Arabic" w:cs="Traditional Arabic" w:hint="cs"/>
          <w:sz w:val="30"/>
          <w:szCs w:val="30"/>
          <w:rtl/>
          <w:lang w:val="en-GB"/>
        </w:rPr>
        <w:t>قد</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قامت</w:t>
      </w:r>
      <w:r w:rsidRPr="004F7011">
        <w:rPr>
          <w:rFonts w:ascii="Traditional Arabic" w:hAnsi="Traditional Arabic" w:cs="Traditional Arabic"/>
          <w:sz w:val="30"/>
          <w:szCs w:val="30"/>
          <w:rtl/>
          <w:lang w:val="en-GB"/>
        </w:rPr>
        <w:t xml:space="preserve"> الشركة </w:t>
      </w:r>
      <w:r w:rsidRPr="004F7011">
        <w:rPr>
          <w:rFonts w:ascii="Traditional Arabic" w:hAnsi="Traditional Arabic" w:cs="Traditional Arabic" w:hint="eastAsia"/>
          <w:sz w:val="30"/>
          <w:szCs w:val="30"/>
          <w:rtl/>
          <w:lang w:val="en-GB"/>
        </w:rPr>
        <w:t>بتطبيق</w:t>
      </w:r>
      <w:r w:rsidRPr="004F7011">
        <w:rPr>
          <w:rFonts w:ascii="Traditional Arabic" w:hAnsi="Traditional Arabic" w:cs="Traditional Arabic"/>
          <w:sz w:val="30"/>
          <w:szCs w:val="30"/>
          <w:rtl/>
          <w:lang w:val="en-GB"/>
        </w:rPr>
        <w:t xml:space="preserve"> الإعفاءات الواردة في معيار المحاسبة الدولي رقم 24 ال</w:t>
      </w:r>
      <w:r w:rsidR="00951067">
        <w:rPr>
          <w:rFonts w:ascii="Traditional Arabic" w:hAnsi="Traditional Arabic" w:cs="Traditional Arabic" w:hint="cs"/>
          <w:sz w:val="30"/>
          <w:szCs w:val="30"/>
          <w:rtl/>
          <w:lang w:val="en-GB"/>
        </w:rPr>
        <w:t>خاص</w:t>
      </w:r>
      <w:r w:rsidRPr="004F7011">
        <w:rPr>
          <w:rFonts w:ascii="Traditional Arabic" w:hAnsi="Traditional Arabic" w:cs="Traditional Arabic"/>
          <w:sz w:val="30"/>
          <w:szCs w:val="30"/>
          <w:rtl/>
          <w:lang w:val="en-GB"/>
        </w:rPr>
        <w:t xml:space="preserve"> با</w:t>
      </w:r>
      <w:r w:rsidR="00951067">
        <w:rPr>
          <w:rFonts w:ascii="Traditional Arabic" w:hAnsi="Traditional Arabic" w:cs="Traditional Arabic" w:hint="cs"/>
          <w:sz w:val="30"/>
          <w:szCs w:val="30"/>
          <w:rtl/>
          <w:lang w:val="en-GB"/>
        </w:rPr>
        <w:t>لت</w:t>
      </w:r>
      <w:r w:rsidRPr="004F7011">
        <w:rPr>
          <w:rFonts w:ascii="Traditional Arabic" w:hAnsi="Traditional Arabic" w:cs="Traditional Arabic"/>
          <w:sz w:val="30"/>
          <w:szCs w:val="30"/>
          <w:rtl/>
          <w:lang w:val="en-GB"/>
        </w:rPr>
        <w:t xml:space="preserve">عاملات مع الحكومة والكيانات الأخرى التي تسيطر عليها الحكومة بصورة منفردة أو </w:t>
      </w:r>
      <w:r w:rsidRPr="004F7011">
        <w:rPr>
          <w:rFonts w:ascii="Traditional Arabic" w:hAnsi="Traditional Arabic" w:cs="Traditional Arabic" w:hint="eastAsia"/>
          <w:sz w:val="30"/>
          <w:szCs w:val="30"/>
          <w:rtl/>
          <w:lang w:val="en-GB"/>
        </w:rPr>
        <w:t>بالاشتراك</w:t>
      </w:r>
      <w:r w:rsidRPr="004F7011">
        <w:rPr>
          <w:rFonts w:ascii="Traditional Arabic" w:hAnsi="Traditional Arabic" w:cs="Traditional Arabic"/>
          <w:sz w:val="30"/>
          <w:szCs w:val="30"/>
          <w:rtl/>
          <w:lang w:val="en-GB"/>
        </w:rPr>
        <w:t xml:space="preserve"> مع الغير أو التي تمارس عليها </w:t>
      </w:r>
      <w:r w:rsidRPr="004F7011">
        <w:rPr>
          <w:rFonts w:ascii="Traditional Arabic" w:hAnsi="Traditional Arabic" w:cs="Traditional Arabic" w:hint="eastAsia"/>
          <w:sz w:val="30"/>
          <w:szCs w:val="30"/>
          <w:rtl/>
          <w:lang w:val="en-GB"/>
        </w:rPr>
        <w:t>الحكومة</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تأثيرا</w:t>
      </w:r>
      <w:r w:rsidRPr="004F7011">
        <w:rPr>
          <w:rFonts w:ascii="Traditional Arabic" w:hAnsi="Traditional Arabic" w:cs="Traditional Arabic"/>
          <w:sz w:val="30"/>
          <w:szCs w:val="30"/>
          <w:rtl/>
          <w:lang w:val="en-GB"/>
        </w:rPr>
        <w:t xml:space="preserve"> </w:t>
      </w:r>
      <w:r w:rsidRPr="004F7011">
        <w:rPr>
          <w:rFonts w:ascii="Traditional Arabic" w:hAnsi="Traditional Arabic" w:cs="Traditional Arabic" w:hint="eastAsia"/>
          <w:sz w:val="30"/>
          <w:szCs w:val="30"/>
          <w:rtl/>
          <w:lang w:val="en-GB"/>
        </w:rPr>
        <w:t>جوهريا</w:t>
      </w:r>
      <w:r w:rsidRPr="004F7011">
        <w:rPr>
          <w:rFonts w:ascii="Traditional Arabic" w:hAnsi="Traditional Arabic" w:cs="Traditional Arabic"/>
          <w:sz w:val="30"/>
          <w:szCs w:val="30"/>
          <w:rtl/>
          <w:lang w:val="en-GB"/>
        </w:rPr>
        <w:t>. وفي هذا الصدد، أفصحت الشركة عن بعض المعلومات في البيانات المالية، لتلبية متطلبات الإفصاح الواردة في معيار المحاسبة الدولي رقم 24.</w:t>
      </w:r>
    </w:p>
    <w:p w14:paraId="142469C6" w14:textId="77777777" w:rsidR="0096458C" w:rsidRDefault="0096458C" w:rsidP="0096458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lang w:val="en-GB"/>
        </w:rPr>
      </w:pPr>
    </w:p>
    <w:p w14:paraId="53FA987C" w14:textId="77777777" w:rsidR="0096458C" w:rsidRPr="0096458C" w:rsidRDefault="0096458C" w:rsidP="0096458C">
      <w:pPr>
        <w:widowControl w:val="0"/>
        <w:tabs>
          <w:tab w:val="left" w:pos="810"/>
          <w:tab w:val="right" w:pos="6660"/>
          <w:tab w:val="right" w:pos="8601"/>
          <w:tab w:val="right" w:pos="9540"/>
        </w:tabs>
        <w:bidi/>
        <w:ind w:right="-426"/>
        <w:jc w:val="both"/>
        <w:rPr>
          <w:rFonts w:ascii="Traditional Arabic" w:hAnsi="Traditional Arabic" w:cs="Traditional Arabic"/>
          <w:b/>
          <w:sz w:val="30"/>
          <w:szCs w:val="30"/>
        </w:rPr>
      </w:pPr>
      <w:r>
        <w:rPr>
          <w:rFonts w:ascii="Traditional Arabic" w:hAnsi="Traditional Arabic" w:cs="Traditional Arabic" w:hint="cs"/>
          <w:sz w:val="30"/>
          <w:szCs w:val="30"/>
          <w:rtl/>
          <w:lang w:val="en-GB"/>
        </w:rPr>
        <w:t xml:space="preserve">هذا، </w:t>
      </w:r>
      <w:r w:rsidR="00C159BF">
        <w:rPr>
          <w:rFonts w:ascii="Traditional Arabic" w:hAnsi="Traditional Arabic" w:cs="Traditional Arabic" w:hint="cs"/>
          <w:sz w:val="30"/>
          <w:szCs w:val="30"/>
          <w:rtl/>
          <w:lang w:val="en-GB"/>
        </w:rPr>
        <w:t xml:space="preserve">وخلال الفترات التي تشملها البيانات المالية، فإن الشركة قد أبرمت ولا تزال تُبرم </w:t>
      </w:r>
      <w:r w:rsidRPr="0096458C">
        <w:rPr>
          <w:rFonts w:ascii="Traditional Arabic" w:hAnsi="Traditional Arabic" w:cs="Traditional Arabic" w:hint="eastAsia"/>
          <w:sz w:val="30"/>
          <w:szCs w:val="30"/>
          <w:rtl/>
          <w:lang w:val="en-GB"/>
        </w:rPr>
        <w:t>ال</w:t>
      </w:r>
      <w:r w:rsidRPr="0096458C">
        <w:rPr>
          <w:rFonts w:ascii="Traditional Arabic" w:hAnsi="Traditional Arabic" w:cs="Traditional Arabic"/>
          <w:sz w:val="30"/>
          <w:szCs w:val="30"/>
          <w:rtl/>
          <w:lang w:val="en-GB"/>
        </w:rPr>
        <w:t xml:space="preserve">معاملات </w:t>
      </w:r>
      <w:r w:rsidRPr="0096458C">
        <w:rPr>
          <w:rFonts w:ascii="Traditional Arabic" w:hAnsi="Traditional Arabic" w:cs="Traditional Arabic" w:hint="eastAsia"/>
          <w:sz w:val="30"/>
          <w:szCs w:val="30"/>
          <w:rtl/>
          <w:lang w:val="en-GB"/>
        </w:rPr>
        <w:t>مع</w:t>
      </w:r>
      <w:r w:rsidRPr="0096458C">
        <w:rPr>
          <w:rFonts w:ascii="Traditional Arabic" w:hAnsi="Traditional Arabic" w:cs="Traditional Arabic"/>
          <w:sz w:val="30"/>
          <w:szCs w:val="30"/>
          <w:rtl/>
          <w:lang w:val="en-GB"/>
        </w:rPr>
        <w:t xml:space="preserve"> الأطراف ذات العلاقة مع </w:t>
      </w:r>
      <w:r w:rsidR="00C159BF">
        <w:rPr>
          <w:rFonts w:ascii="Traditional Arabic" w:hAnsi="Traditional Arabic" w:cs="Traditional Arabic" w:hint="cs"/>
          <w:sz w:val="30"/>
          <w:szCs w:val="30"/>
          <w:rtl/>
          <w:lang w:val="en-GB"/>
        </w:rPr>
        <w:t>ا</w:t>
      </w:r>
      <w:r w:rsidRPr="0096458C">
        <w:rPr>
          <w:rFonts w:ascii="Traditional Arabic" w:hAnsi="Traditional Arabic" w:cs="Traditional Arabic"/>
          <w:sz w:val="30"/>
          <w:szCs w:val="30"/>
          <w:rtl/>
          <w:lang w:val="en-GB"/>
        </w:rPr>
        <w:t>لحكومة</w:t>
      </w:r>
      <w:r w:rsidR="00C159BF">
        <w:rPr>
          <w:rFonts w:ascii="Traditional Arabic" w:hAnsi="Traditional Arabic" w:cs="Traditional Arabic" w:hint="cs"/>
          <w:sz w:val="30"/>
          <w:szCs w:val="30"/>
          <w:rtl/>
          <w:lang w:val="en-GB"/>
        </w:rPr>
        <w:t xml:space="preserve"> أو المرتبطة بمجموعة </w:t>
      </w:r>
      <w:r w:rsidR="001A7977">
        <w:rPr>
          <w:rFonts w:ascii="Traditional Arabic" w:hAnsi="Traditional Arabic" w:cs="Traditional Arabic" w:hint="cs"/>
          <w:sz w:val="30"/>
          <w:szCs w:val="30"/>
          <w:rtl/>
          <w:lang w:val="en-GB"/>
        </w:rPr>
        <w:t>أسياد</w:t>
      </w:r>
      <w:r w:rsidRPr="0096458C">
        <w:rPr>
          <w:rFonts w:ascii="Traditional Arabic" w:hAnsi="Traditional Arabic" w:cs="Traditional Arabic"/>
          <w:sz w:val="30"/>
          <w:szCs w:val="30"/>
          <w:rtl/>
          <w:lang w:val="en-GB"/>
        </w:rPr>
        <w:t>.</w:t>
      </w:r>
    </w:p>
    <w:p w14:paraId="4FB8B8CB" w14:textId="77777777" w:rsidR="0096458C" w:rsidRPr="004319EE" w:rsidRDefault="0096458C" w:rsidP="0096458C">
      <w:pPr>
        <w:widowControl w:val="0"/>
        <w:tabs>
          <w:tab w:val="left" w:pos="810"/>
          <w:tab w:val="right" w:pos="6660"/>
          <w:tab w:val="right" w:pos="8601"/>
          <w:tab w:val="right" w:pos="9540"/>
        </w:tabs>
        <w:bidi/>
        <w:ind w:right="-426"/>
        <w:jc w:val="both"/>
        <w:rPr>
          <w:rFonts w:ascii="Traditional Arabic" w:hAnsi="Traditional Arabic" w:cs="Traditional Arabic"/>
          <w:sz w:val="30"/>
          <w:szCs w:val="30"/>
        </w:rPr>
      </w:pPr>
    </w:p>
    <w:p w14:paraId="7C962539" w14:textId="77777777" w:rsidR="004C6F6B" w:rsidRDefault="004319EE" w:rsidP="00D42C9B">
      <w:pPr>
        <w:widowControl w:val="0"/>
        <w:tabs>
          <w:tab w:val="left" w:pos="810"/>
          <w:tab w:val="right" w:pos="6660"/>
          <w:tab w:val="right" w:pos="8601"/>
          <w:tab w:val="right" w:pos="9540"/>
        </w:tabs>
        <w:bidi/>
        <w:ind w:right="-426"/>
        <w:jc w:val="both"/>
        <w:rPr>
          <w:rFonts w:ascii="Traditional Arabic" w:hAnsi="Traditional Arabic" w:cs="Traditional Arabic"/>
          <w:b/>
          <w:bCs/>
          <w:sz w:val="30"/>
          <w:szCs w:val="30"/>
          <w:rtl/>
        </w:rPr>
      </w:pPr>
      <w:r>
        <w:rPr>
          <w:rFonts w:ascii="Traditional Arabic" w:hAnsi="Traditional Arabic" w:cs="Traditional Arabic" w:hint="cs"/>
          <w:b/>
          <w:bCs/>
          <w:sz w:val="30"/>
          <w:szCs w:val="30"/>
          <w:rtl/>
        </w:rPr>
        <w:t>وتشمل هذه المعاملات:</w:t>
      </w:r>
    </w:p>
    <w:p w14:paraId="271F07FA" w14:textId="77777777" w:rsidR="00F701BF" w:rsidRDefault="00D10E8D" w:rsidP="00922116">
      <w:pPr>
        <w:pStyle w:val="ListParagraph"/>
        <w:widowControl w:val="0"/>
        <w:numPr>
          <w:ilvl w:val="0"/>
          <w:numId w:val="47"/>
        </w:numPr>
        <w:tabs>
          <w:tab w:val="left" w:pos="810"/>
          <w:tab w:val="right" w:pos="6660"/>
          <w:tab w:val="right" w:pos="8601"/>
          <w:tab w:val="right" w:pos="9540"/>
        </w:tabs>
        <w:bidi/>
        <w:ind w:right="-426"/>
        <w:jc w:val="both"/>
        <w:rPr>
          <w:rFonts w:ascii="Traditional Arabic" w:hAnsi="Traditional Arabic" w:cs="Traditional Arabic"/>
          <w:sz w:val="30"/>
          <w:szCs w:val="30"/>
        </w:rPr>
      </w:pPr>
      <w:r w:rsidRPr="00D10E8D">
        <w:rPr>
          <w:rtl/>
        </w:rPr>
        <w:t xml:space="preserve"> </w:t>
      </w:r>
      <w:r w:rsidRPr="00D10E8D">
        <w:rPr>
          <w:rFonts w:ascii="Traditional Arabic" w:hAnsi="Traditional Arabic" w:cs="Traditional Arabic"/>
          <w:sz w:val="30"/>
          <w:szCs w:val="30"/>
          <w:rtl/>
        </w:rPr>
        <w:t xml:space="preserve">تقديم </w:t>
      </w:r>
      <w:r w:rsidR="00866CD8">
        <w:rPr>
          <w:rFonts w:ascii="Traditional Arabic" w:hAnsi="Traditional Arabic" w:cs="Traditional Arabic" w:hint="cs"/>
          <w:sz w:val="30"/>
          <w:szCs w:val="30"/>
          <w:rtl/>
        </w:rPr>
        <w:t>الخدمات والحص</w:t>
      </w:r>
      <w:r w:rsidR="007B4710">
        <w:rPr>
          <w:rFonts w:ascii="Traditional Arabic" w:hAnsi="Traditional Arabic" w:cs="Traditional Arabic" w:hint="cs"/>
          <w:sz w:val="30"/>
          <w:szCs w:val="30"/>
          <w:rtl/>
        </w:rPr>
        <w:t>ول عل</w:t>
      </w:r>
      <w:r w:rsidR="00FC3EFD">
        <w:rPr>
          <w:rFonts w:ascii="Traditional Arabic" w:hAnsi="Traditional Arabic" w:cs="Traditional Arabic" w:hint="cs"/>
          <w:sz w:val="30"/>
          <w:szCs w:val="30"/>
          <w:rtl/>
        </w:rPr>
        <w:t>يها</w:t>
      </w:r>
      <w:r w:rsidRPr="00D10E8D">
        <w:rPr>
          <w:rFonts w:ascii="Traditional Arabic" w:hAnsi="Traditional Arabic" w:cs="Traditional Arabic"/>
          <w:sz w:val="30"/>
          <w:szCs w:val="30"/>
          <w:rtl/>
        </w:rPr>
        <w:t xml:space="preserve">، بما في ذلك إدارة السفن </w:t>
      </w:r>
      <w:r w:rsidR="00FB59BB">
        <w:rPr>
          <w:rFonts w:ascii="Traditional Arabic" w:hAnsi="Traditional Arabic" w:cs="Traditional Arabic" w:hint="cs"/>
          <w:sz w:val="30"/>
          <w:szCs w:val="30"/>
          <w:rtl/>
        </w:rPr>
        <w:t>وال</w:t>
      </w:r>
      <w:r w:rsidR="00FC3EFD">
        <w:rPr>
          <w:rFonts w:ascii="Traditional Arabic" w:hAnsi="Traditional Arabic" w:cs="Traditional Arabic" w:hint="cs"/>
          <w:sz w:val="30"/>
          <w:szCs w:val="30"/>
          <w:rtl/>
        </w:rPr>
        <w:t>إ</w:t>
      </w:r>
      <w:r w:rsidR="00FB59BB">
        <w:rPr>
          <w:rFonts w:ascii="Traditional Arabic" w:hAnsi="Traditional Arabic" w:cs="Traditional Arabic" w:hint="cs"/>
          <w:sz w:val="30"/>
          <w:szCs w:val="30"/>
          <w:rtl/>
        </w:rPr>
        <w:t>رساء في الحوض</w:t>
      </w:r>
      <w:r w:rsidR="007B4710">
        <w:rPr>
          <w:rFonts w:ascii="Traditional Arabic" w:hAnsi="Traditional Arabic" w:cs="Traditional Arabic" w:hint="cs"/>
          <w:sz w:val="30"/>
          <w:szCs w:val="30"/>
          <w:rtl/>
        </w:rPr>
        <w:t xml:space="preserve"> الجاف</w:t>
      </w:r>
      <w:r w:rsidR="00FB59BB">
        <w:rPr>
          <w:rFonts w:ascii="Traditional Arabic" w:hAnsi="Traditional Arabic" w:cs="Traditional Arabic" w:hint="cs"/>
          <w:sz w:val="30"/>
          <w:szCs w:val="30"/>
          <w:rtl/>
        </w:rPr>
        <w:t>.</w:t>
      </w:r>
    </w:p>
    <w:p w14:paraId="6C81B67E" w14:textId="77777777" w:rsidR="00F11796" w:rsidRDefault="00CB3312" w:rsidP="00922116">
      <w:pPr>
        <w:pStyle w:val="ListParagraph"/>
        <w:widowControl w:val="0"/>
        <w:numPr>
          <w:ilvl w:val="0"/>
          <w:numId w:val="47"/>
        </w:numPr>
        <w:tabs>
          <w:tab w:val="left" w:pos="810"/>
          <w:tab w:val="right" w:pos="6660"/>
          <w:tab w:val="right" w:pos="8601"/>
          <w:tab w:val="right" w:pos="9540"/>
        </w:tabs>
        <w:bidi/>
        <w:ind w:right="-426"/>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تأجير </w:t>
      </w:r>
      <w:r w:rsidR="008414D7">
        <w:rPr>
          <w:rFonts w:ascii="Traditional Arabic" w:hAnsi="Traditional Arabic" w:cs="Traditional Arabic" w:hint="cs"/>
          <w:sz w:val="30"/>
          <w:szCs w:val="30"/>
          <w:rtl/>
        </w:rPr>
        <w:t xml:space="preserve"> الممتلكات</w:t>
      </w:r>
      <w:r w:rsidR="00C2043A">
        <w:rPr>
          <w:rFonts w:ascii="Traditional Arabic" w:hAnsi="Traditional Arabic" w:cs="Traditional Arabic" w:hint="cs"/>
          <w:sz w:val="30"/>
          <w:szCs w:val="30"/>
          <w:rtl/>
        </w:rPr>
        <w:t xml:space="preserve"> (المتمثلة في مبنى الشركة)</w:t>
      </w:r>
      <w:r w:rsidR="008414D7">
        <w:rPr>
          <w:rFonts w:ascii="Traditional Arabic" w:hAnsi="Traditional Arabic" w:cs="Traditional Arabic" w:hint="cs"/>
          <w:sz w:val="30"/>
          <w:szCs w:val="30"/>
          <w:rtl/>
        </w:rPr>
        <w:t xml:space="preserve"> لمجموعة أس</w:t>
      </w:r>
      <w:r w:rsidR="003A7A90">
        <w:rPr>
          <w:rFonts w:ascii="Traditional Arabic" w:hAnsi="Traditional Arabic" w:cs="Traditional Arabic" w:hint="cs"/>
          <w:sz w:val="30"/>
          <w:szCs w:val="30"/>
          <w:rtl/>
        </w:rPr>
        <w:t>ياد</w:t>
      </w:r>
      <w:r w:rsidR="003F2981">
        <w:rPr>
          <w:rFonts w:ascii="Traditional Arabic" w:hAnsi="Traditional Arabic" w:cs="Traditional Arabic" w:hint="cs"/>
          <w:sz w:val="30"/>
          <w:szCs w:val="30"/>
          <w:rtl/>
        </w:rPr>
        <w:t xml:space="preserve"> وشركة اسياد للحوض الجاف .</w:t>
      </w:r>
    </w:p>
    <w:p w14:paraId="4742F436" w14:textId="77777777" w:rsidR="005E403A" w:rsidRDefault="00F11796" w:rsidP="00922116">
      <w:pPr>
        <w:pStyle w:val="ListParagraph"/>
        <w:widowControl w:val="0"/>
        <w:numPr>
          <w:ilvl w:val="0"/>
          <w:numId w:val="47"/>
        </w:numPr>
        <w:tabs>
          <w:tab w:val="left" w:pos="810"/>
          <w:tab w:val="right" w:pos="6660"/>
          <w:tab w:val="right" w:pos="8601"/>
          <w:tab w:val="right" w:pos="9540"/>
        </w:tabs>
        <w:bidi/>
        <w:ind w:right="-426"/>
        <w:jc w:val="both"/>
        <w:rPr>
          <w:rFonts w:ascii="Traditional Arabic" w:hAnsi="Traditional Arabic" w:cs="Traditional Arabic"/>
          <w:sz w:val="30"/>
          <w:szCs w:val="30"/>
        </w:rPr>
      </w:pPr>
      <w:r>
        <w:rPr>
          <w:rFonts w:ascii="Traditional Arabic" w:hAnsi="Traditional Arabic" w:cs="Traditional Arabic"/>
          <w:sz w:val="30"/>
          <w:szCs w:val="30"/>
          <w:rtl/>
        </w:rPr>
        <w:t>ا</w:t>
      </w:r>
      <w:r>
        <w:rPr>
          <w:rFonts w:ascii="Traditional Arabic" w:hAnsi="Traditional Arabic" w:cs="Traditional Arabic" w:hint="cs"/>
          <w:sz w:val="30"/>
          <w:szCs w:val="30"/>
          <w:rtl/>
        </w:rPr>
        <w:t>لتعاملات</w:t>
      </w:r>
      <w:r w:rsidRPr="00F11796">
        <w:rPr>
          <w:rFonts w:ascii="Traditional Arabic" w:hAnsi="Traditional Arabic" w:cs="Traditional Arabic"/>
          <w:sz w:val="30"/>
          <w:szCs w:val="30"/>
          <w:rtl/>
        </w:rPr>
        <w:t xml:space="preserve"> العادية مع كبار موظفي الإدارة، بما في ذلك التعويضات والمزايا</w:t>
      </w:r>
      <w:r w:rsidR="008B07EA">
        <w:rPr>
          <w:rFonts w:ascii="Traditional Arabic" w:hAnsi="Traditional Arabic" w:cs="Traditional Arabic" w:hint="cs"/>
          <w:sz w:val="30"/>
          <w:szCs w:val="30"/>
          <w:rtl/>
        </w:rPr>
        <w:t>.</w:t>
      </w:r>
      <w:r w:rsidRPr="00F11796">
        <w:rPr>
          <w:rFonts w:ascii="Traditional Arabic" w:hAnsi="Traditional Arabic" w:cs="Traditional Arabic"/>
          <w:sz w:val="30"/>
          <w:szCs w:val="30"/>
          <w:rtl/>
        </w:rPr>
        <w:t xml:space="preserve"> </w:t>
      </w:r>
    </w:p>
    <w:p w14:paraId="6E9F9FF2" w14:textId="77777777" w:rsidR="00EF0917" w:rsidRDefault="005E403A" w:rsidP="00922116">
      <w:pPr>
        <w:pStyle w:val="ListParagraph"/>
        <w:widowControl w:val="0"/>
        <w:numPr>
          <w:ilvl w:val="0"/>
          <w:numId w:val="47"/>
        </w:numPr>
        <w:tabs>
          <w:tab w:val="left" w:pos="810"/>
          <w:tab w:val="right" w:pos="6660"/>
          <w:tab w:val="right" w:pos="8601"/>
          <w:tab w:val="right" w:pos="9540"/>
        </w:tabs>
        <w:bidi/>
        <w:ind w:right="-426"/>
        <w:jc w:val="both"/>
        <w:rPr>
          <w:rFonts w:ascii="Traditional Arabic" w:hAnsi="Traditional Arabic" w:cs="Traditional Arabic"/>
          <w:sz w:val="30"/>
          <w:szCs w:val="30"/>
        </w:rPr>
      </w:pPr>
      <w:r>
        <w:rPr>
          <w:rFonts w:ascii="Traditional Arabic" w:hAnsi="Traditional Arabic" w:cs="Traditional Arabic" w:hint="cs"/>
          <w:sz w:val="30"/>
          <w:szCs w:val="30"/>
          <w:rtl/>
        </w:rPr>
        <w:t>اتفاقية اقراض المساهمين</w:t>
      </w:r>
      <w:r w:rsidR="00EF0917">
        <w:rPr>
          <w:rFonts w:ascii="Traditional Arabic" w:hAnsi="Traditional Arabic" w:cs="Traditional Arabic" w:hint="cs"/>
          <w:sz w:val="30"/>
          <w:szCs w:val="30"/>
          <w:rtl/>
        </w:rPr>
        <w:t>.</w:t>
      </w:r>
    </w:p>
    <w:p w14:paraId="7CC7E911" w14:textId="77777777" w:rsidR="00EF0917" w:rsidRPr="00B934CE" w:rsidRDefault="00EF0917" w:rsidP="00B934CE">
      <w:pPr>
        <w:widowControl w:val="0"/>
        <w:tabs>
          <w:tab w:val="left" w:pos="810"/>
          <w:tab w:val="right" w:pos="6660"/>
          <w:tab w:val="right" w:pos="8601"/>
          <w:tab w:val="right" w:pos="9540"/>
        </w:tabs>
        <w:bidi/>
        <w:ind w:left="360" w:right="-426"/>
        <w:jc w:val="both"/>
        <w:rPr>
          <w:rFonts w:ascii="Traditional Arabic" w:hAnsi="Traditional Arabic" w:cs="Traditional Arabic"/>
          <w:sz w:val="30"/>
          <w:szCs w:val="30"/>
        </w:rPr>
      </w:pPr>
    </w:p>
    <w:p w14:paraId="1C452F95" w14:textId="77777777" w:rsidR="00F701BF" w:rsidRPr="00B934CE" w:rsidRDefault="00EF0917" w:rsidP="00B934CE">
      <w:pPr>
        <w:widowControl w:val="0"/>
        <w:tabs>
          <w:tab w:val="left" w:pos="810"/>
          <w:tab w:val="right" w:pos="6660"/>
          <w:tab w:val="right" w:pos="8601"/>
          <w:tab w:val="right" w:pos="9540"/>
        </w:tabs>
        <w:bidi/>
        <w:ind w:left="360" w:right="-426"/>
        <w:jc w:val="both"/>
        <w:rPr>
          <w:rFonts w:ascii="Traditional Arabic" w:hAnsi="Traditional Arabic" w:cs="Traditional Arabic"/>
          <w:sz w:val="30"/>
          <w:szCs w:val="30"/>
        </w:rPr>
      </w:pPr>
      <w:r w:rsidRPr="00B934CE">
        <w:rPr>
          <w:rFonts w:ascii="Traditional Arabic" w:hAnsi="Traditional Arabic" w:cs="Traditional Arabic"/>
          <w:sz w:val="30"/>
          <w:szCs w:val="30"/>
          <w:rtl/>
        </w:rPr>
        <w:t xml:space="preserve">للحصول على تفاصيل حول تأثير </w:t>
      </w:r>
      <w:r>
        <w:rPr>
          <w:rFonts w:ascii="Traditional Arabic" w:hAnsi="Traditional Arabic" w:cs="Traditional Arabic" w:hint="cs"/>
          <w:sz w:val="30"/>
          <w:szCs w:val="30"/>
          <w:rtl/>
        </w:rPr>
        <w:t>تعاملات</w:t>
      </w:r>
      <w:r w:rsidRPr="00B934CE">
        <w:rPr>
          <w:rFonts w:ascii="Traditional Arabic" w:hAnsi="Traditional Arabic" w:cs="Traditional Arabic"/>
          <w:sz w:val="30"/>
          <w:szCs w:val="30"/>
          <w:rtl/>
        </w:rPr>
        <w:t xml:space="preserve"> الأطراف ذات </w:t>
      </w:r>
      <w:r>
        <w:rPr>
          <w:rFonts w:ascii="Traditional Arabic" w:hAnsi="Traditional Arabic" w:cs="Traditional Arabic" w:hint="cs"/>
          <w:sz w:val="30"/>
          <w:szCs w:val="30"/>
          <w:rtl/>
        </w:rPr>
        <w:t>العلاقة</w:t>
      </w:r>
      <w:r w:rsidRPr="00B934CE">
        <w:rPr>
          <w:rFonts w:ascii="Traditional Arabic" w:hAnsi="Traditional Arabic" w:cs="Traditional Arabic"/>
          <w:sz w:val="30"/>
          <w:szCs w:val="30"/>
          <w:rtl/>
        </w:rPr>
        <w:t xml:space="preserve"> على المركز المالي للشركة ونتائجها المالية، يرجى الرجوع إلى الملاحظة رقم 18 من البيانات المالية السنوية لعام 2023، والملاحظة رقم 18 من البيانات المالية السنوية لعام 2022، والملاحظة رقم 18 من البيانات المالية </w:t>
      </w:r>
      <w:r w:rsidR="00CB7F49">
        <w:rPr>
          <w:rFonts w:ascii="Traditional Arabic" w:hAnsi="Traditional Arabic" w:cs="Traditional Arabic" w:hint="cs"/>
          <w:sz w:val="30"/>
          <w:szCs w:val="30"/>
          <w:rtl/>
        </w:rPr>
        <w:t>المرحلية</w:t>
      </w:r>
      <w:r w:rsidRPr="00B934CE">
        <w:rPr>
          <w:rFonts w:ascii="Traditional Arabic" w:hAnsi="Traditional Arabic" w:cs="Traditional Arabic"/>
          <w:sz w:val="30"/>
          <w:szCs w:val="30"/>
          <w:rtl/>
        </w:rPr>
        <w:t>، والتي تم تضمين</w:t>
      </w:r>
      <w:r w:rsidR="002E4F65">
        <w:rPr>
          <w:rFonts w:ascii="Traditional Arabic" w:hAnsi="Traditional Arabic" w:cs="Traditional Arabic" w:hint="cs"/>
          <w:sz w:val="30"/>
          <w:szCs w:val="30"/>
          <w:rtl/>
        </w:rPr>
        <w:t xml:space="preserve"> كل منها </w:t>
      </w:r>
      <w:r w:rsidRPr="00B934CE">
        <w:rPr>
          <w:rFonts w:ascii="Traditional Arabic" w:hAnsi="Traditional Arabic" w:cs="Traditional Arabic"/>
          <w:sz w:val="30"/>
          <w:szCs w:val="30"/>
          <w:rtl/>
        </w:rPr>
        <w:t xml:space="preserve">في مكان آخر </w:t>
      </w:r>
      <w:r w:rsidR="002E4F65">
        <w:rPr>
          <w:rFonts w:ascii="Traditional Arabic" w:hAnsi="Traditional Arabic" w:cs="Traditional Arabic" w:hint="cs"/>
          <w:sz w:val="30"/>
          <w:szCs w:val="30"/>
          <w:rtl/>
        </w:rPr>
        <w:t>من هذه النشرة.</w:t>
      </w:r>
    </w:p>
    <w:p w14:paraId="253F2B17" w14:textId="77777777" w:rsidR="00BD12BB" w:rsidRDefault="00BD12BB" w:rsidP="00BD12BB">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0364E188" w14:textId="77777777" w:rsidR="00BD12BB" w:rsidRPr="00BD12BB" w:rsidRDefault="00BD12BB" w:rsidP="00BD12BB">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502CDF85" w14:textId="77777777" w:rsidR="00D42C9B" w:rsidRPr="00EB5BCF" w:rsidRDefault="00DF1418" w:rsidP="00BD12BB">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r w:rsidRPr="00A34F0A">
        <w:rPr>
          <w:rFonts w:ascii="Traditional Arabic" w:hAnsi="Traditional Arabic" w:cs="Traditional Arabic"/>
          <w:b/>
          <w:bCs/>
          <w:sz w:val="30"/>
          <w:szCs w:val="30"/>
          <w:rtl/>
        </w:rPr>
        <w:lastRenderedPageBreak/>
        <w:t>العقود الأساسية</w:t>
      </w:r>
      <w:r w:rsidR="00053FF1" w:rsidRPr="00A34F0A">
        <w:rPr>
          <w:rFonts w:ascii="Traditional Arabic" w:hAnsi="Traditional Arabic" w:cs="Traditional Arabic"/>
          <w:b/>
          <w:bCs/>
          <w:sz w:val="30"/>
          <w:szCs w:val="30"/>
          <w:rtl/>
        </w:rPr>
        <w:t xml:space="preserve"> </w:t>
      </w:r>
      <w:r w:rsidR="001B279A" w:rsidRPr="00A34F0A">
        <w:rPr>
          <w:rFonts w:ascii="Traditional Arabic" w:hAnsi="Traditional Arabic" w:cs="Traditional Arabic" w:hint="eastAsia"/>
          <w:b/>
          <w:bCs/>
          <w:sz w:val="30"/>
          <w:szCs w:val="30"/>
          <w:rtl/>
        </w:rPr>
        <w:t>الأخرى</w:t>
      </w:r>
      <w:r w:rsidR="001B279A" w:rsidRPr="00A34F0A">
        <w:rPr>
          <w:rFonts w:ascii="Traditional Arabic" w:hAnsi="Traditional Arabic" w:cs="Traditional Arabic"/>
          <w:b/>
          <w:bCs/>
          <w:sz w:val="30"/>
          <w:szCs w:val="30"/>
          <w:rtl/>
        </w:rPr>
        <w:t xml:space="preserve"> </w:t>
      </w:r>
      <w:r w:rsidR="004C6F6B" w:rsidRPr="00A34F0A">
        <w:rPr>
          <w:rFonts w:ascii="Traditional Arabic" w:hAnsi="Traditional Arabic" w:cs="Traditional Arabic" w:hint="eastAsia"/>
          <w:b/>
          <w:bCs/>
          <w:sz w:val="30"/>
          <w:szCs w:val="30"/>
          <w:rtl/>
        </w:rPr>
        <w:t>مع</w:t>
      </w:r>
      <w:r w:rsidR="004C6F6B" w:rsidRPr="00A34F0A">
        <w:rPr>
          <w:rFonts w:ascii="Traditional Arabic" w:hAnsi="Traditional Arabic" w:cs="Traditional Arabic"/>
          <w:b/>
          <w:bCs/>
          <w:sz w:val="30"/>
          <w:szCs w:val="30"/>
          <w:rtl/>
        </w:rPr>
        <w:t xml:space="preserve"> </w:t>
      </w:r>
      <w:r w:rsidR="004C6F6B" w:rsidRPr="00A34F0A">
        <w:rPr>
          <w:rFonts w:ascii="Traditional Arabic" w:hAnsi="Traditional Arabic" w:cs="Traditional Arabic" w:hint="eastAsia"/>
          <w:b/>
          <w:bCs/>
          <w:sz w:val="30"/>
          <w:szCs w:val="30"/>
          <w:rtl/>
        </w:rPr>
        <w:t>الأطراف</w:t>
      </w:r>
      <w:r w:rsidR="004C6F6B" w:rsidRPr="00A34F0A">
        <w:rPr>
          <w:rFonts w:ascii="Traditional Arabic" w:hAnsi="Traditional Arabic" w:cs="Traditional Arabic"/>
          <w:b/>
          <w:bCs/>
          <w:sz w:val="30"/>
          <w:szCs w:val="30"/>
          <w:rtl/>
        </w:rPr>
        <w:t xml:space="preserve"> </w:t>
      </w:r>
      <w:r w:rsidR="004C6F6B" w:rsidRPr="00A34F0A">
        <w:rPr>
          <w:rFonts w:ascii="Traditional Arabic" w:hAnsi="Traditional Arabic" w:cs="Traditional Arabic" w:hint="eastAsia"/>
          <w:b/>
          <w:bCs/>
          <w:sz w:val="30"/>
          <w:szCs w:val="30"/>
          <w:rtl/>
        </w:rPr>
        <w:t>ذات</w:t>
      </w:r>
      <w:r w:rsidR="004C6F6B" w:rsidRPr="00A34F0A">
        <w:rPr>
          <w:rFonts w:ascii="Traditional Arabic" w:hAnsi="Traditional Arabic" w:cs="Traditional Arabic"/>
          <w:b/>
          <w:bCs/>
          <w:sz w:val="30"/>
          <w:szCs w:val="30"/>
          <w:rtl/>
        </w:rPr>
        <w:t xml:space="preserve"> </w:t>
      </w:r>
      <w:r w:rsidR="004C6F6B" w:rsidRPr="00A34F0A">
        <w:rPr>
          <w:rFonts w:ascii="Traditional Arabic" w:hAnsi="Traditional Arabic" w:cs="Traditional Arabic" w:hint="eastAsia"/>
          <w:b/>
          <w:bCs/>
          <w:sz w:val="30"/>
          <w:szCs w:val="30"/>
          <w:rtl/>
        </w:rPr>
        <w:t>العلاقة</w:t>
      </w:r>
      <w:r w:rsidRPr="00A34F0A">
        <w:rPr>
          <w:rFonts w:ascii="Traditional Arabic" w:hAnsi="Traditional Arabic" w:cs="Traditional Arabic"/>
          <w:b/>
          <w:bCs/>
          <w:sz w:val="30"/>
          <w:szCs w:val="30"/>
          <w:rtl/>
        </w:rPr>
        <w:t>:</w:t>
      </w:r>
    </w:p>
    <w:p w14:paraId="6487C53C" w14:textId="77777777" w:rsidR="00B907A6" w:rsidRDefault="00B907A6" w:rsidP="00E5724F">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47A6796B" w14:textId="77777777" w:rsidR="00EF4A86" w:rsidRPr="00B934CE" w:rsidRDefault="00EF4A86" w:rsidP="00EF4A86">
      <w:pPr>
        <w:widowControl w:val="0"/>
        <w:tabs>
          <w:tab w:val="left" w:pos="810"/>
          <w:tab w:val="right" w:pos="6660"/>
          <w:tab w:val="right" w:pos="8601"/>
          <w:tab w:val="right" w:pos="9540"/>
        </w:tabs>
        <w:bidi/>
        <w:ind w:right="-426"/>
        <w:jc w:val="both"/>
        <w:rPr>
          <w:rFonts w:ascii="Traditional Arabic" w:hAnsi="Traditional Arabic" w:cs="Traditional Arabic"/>
          <w:i/>
          <w:iCs/>
          <w:sz w:val="30"/>
          <w:szCs w:val="30"/>
        </w:rPr>
      </w:pPr>
      <w:r w:rsidRPr="00EF4A86">
        <w:rPr>
          <w:rFonts w:ascii="Traditional Arabic" w:hAnsi="Traditional Arabic" w:cs="Traditional Arabic"/>
          <w:sz w:val="30"/>
          <w:szCs w:val="30"/>
          <w:rtl/>
        </w:rPr>
        <w:t xml:space="preserve">أبرمت الشركة </w:t>
      </w:r>
      <w:r w:rsidR="001B279A">
        <w:rPr>
          <w:rFonts w:ascii="Traditional Arabic" w:hAnsi="Traditional Arabic" w:cs="Traditional Arabic" w:hint="cs"/>
          <w:sz w:val="30"/>
          <w:szCs w:val="30"/>
          <w:rtl/>
        </w:rPr>
        <w:t xml:space="preserve">أو ستبرم </w:t>
      </w:r>
      <w:r w:rsidRPr="00EF4A86">
        <w:rPr>
          <w:rFonts w:ascii="Traditional Arabic" w:hAnsi="Traditional Arabic" w:cs="Traditional Arabic"/>
          <w:sz w:val="30"/>
          <w:szCs w:val="30"/>
          <w:rtl/>
        </w:rPr>
        <w:t>عقودًا أساسية مع أطراف ذات علاقة وتمت مناقشتها بالتفصيل في "</w:t>
      </w:r>
      <w:bookmarkStart w:id="40" w:name="_Hlk170825678"/>
      <w:r w:rsidRPr="00EF4A86">
        <w:rPr>
          <w:rFonts w:ascii="Traditional Arabic" w:hAnsi="Traditional Arabic" w:cs="Traditional Arabic"/>
          <w:i/>
          <w:sz w:val="30"/>
          <w:szCs w:val="30"/>
          <w:rtl/>
        </w:rPr>
        <w:t xml:space="preserve">الفصل </w:t>
      </w:r>
      <w:r w:rsidR="00A31FD5">
        <w:rPr>
          <w:rFonts w:ascii="Traditional Arabic" w:hAnsi="Traditional Arabic" w:cs="Traditional Arabic" w:hint="cs"/>
          <w:i/>
          <w:sz w:val="30"/>
          <w:szCs w:val="30"/>
          <w:rtl/>
        </w:rPr>
        <w:t>الثاني</w:t>
      </w:r>
      <w:r w:rsidR="00A31FD5" w:rsidRPr="00EF4A86">
        <w:rPr>
          <w:rFonts w:ascii="Traditional Arabic" w:hAnsi="Traditional Arabic" w:cs="Traditional Arabic"/>
          <w:i/>
          <w:sz w:val="30"/>
          <w:szCs w:val="30"/>
          <w:rtl/>
        </w:rPr>
        <w:t xml:space="preserve"> </w:t>
      </w:r>
      <w:r w:rsidRPr="00EF4A86">
        <w:rPr>
          <w:rFonts w:ascii="Traditional Arabic" w:hAnsi="Traditional Arabic" w:cs="Traditional Arabic"/>
          <w:i/>
          <w:sz w:val="30"/>
          <w:szCs w:val="30"/>
          <w:rtl/>
        </w:rPr>
        <w:t>عشر - وصف الشركة ونظرة عامة على الأعمال - العقود الأساسية</w:t>
      </w:r>
      <w:bookmarkEnd w:id="40"/>
      <w:r w:rsidRPr="00EF4A86">
        <w:rPr>
          <w:rFonts w:ascii="Traditional Arabic" w:hAnsi="Traditional Arabic" w:cs="Traditional Arabic"/>
          <w:i/>
          <w:sz w:val="30"/>
          <w:szCs w:val="30"/>
          <w:rtl/>
        </w:rPr>
        <w:t xml:space="preserve"> ".</w:t>
      </w:r>
      <w:r w:rsidRPr="00EF4A86">
        <w:rPr>
          <w:rFonts w:ascii="Traditional Arabic" w:hAnsi="Traditional Arabic" w:cs="Traditional Arabic"/>
          <w:sz w:val="30"/>
          <w:szCs w:val="30"/>
          <w:rtl/>
        </w:rPr>
        <w:t xml:space="preserve"> وتشمل عقود الأطراف ذات العلاقة الموضحة في هذا القسم</w:t>
      </w:r>
      <w:r w:rsidR="00E47BAC">
        <w:rPr>
          <w:rFonts w:ascii="Traditional Arabic" w:hAnsi="Traditional Arabic" w:cs="Traditional Arabic"/>
          <w:sz w:val="30"/>
          <w:szCs w:val="30"/>
        </w:rPr>
        <w:t>:</w:t>
      </w:r>
      <w:r w:rsidRPr="00EF4A86">
        <w:rPr>
          <w:rFonts w:ascii="Traditional Arabic" w:hAnsi="Traditional Arabic" w:cs="Traditional Arabic"/>
          <w:sz w:val="30"/>
          <w:szCs w:val="30"/>
          <w:rtl/>
        </w:rPr>
        <w:t xml:space="preserve"> </w:t>
      </w:r>
      <w:r w:rsidR="00AD7EEF" w:rsidRPr="00B934CE">
        <w:rPr>
          <w:rFonts w:ascii="Traditional Arabic" w:hAnsi="Traditional Arabic" w:cs="Traditional Arabic"/>
          <w:i/>
          <w:iCs/>
          <w:sz w:val="30"/>
          <w:szCs w:val="30"/>
          <w:rtl/>
        </w:rPr>
        <w:t>اتفاقيات المشاريع المشتركة</w:t>
      </w:r>
      <w:r w:rsidR="00AD7EEF" w:rsidRPr="00B934CE">
        <w:rPr>
          <w:rFonts w:ascii="Traditional Arabic" w:hAnsi="Traditional Arabic" w:cs="Traditional Arabic" w:hint="eastAsia"/>
          <w:i/>
          <w:iCs/>
          <w:sz w:val="30"/>
          <w:szCs w:val="30"/>
          <w:rtl/>
        </w:rPr>
        <w:t>،</w:t>
      </w:r>
      <w:r w:rsidR="00AD7EEF" w:rsidRPr="00B934CE">
        <w:rPr>
          <w:rFonts w:ascii="Traditional Arabic" w:hAnsi="Traditional Arabic" w:cs="Traditional Arabic"/>
          <w:i/>
          <w:iCs/>
          <w:sz w:val="30"/>
          <w:szCs w:val="30"/>
          <w:rtl/>
        </w:rPr>
        <w:t xml:space="preserve"> عقود إيجار سفينة مجهزة بالمدة</w:t>
      </w:r>
      <w:r w:rsidR="00AD7EEF" w:rsidRPr="00B934CE">
        <w:rPr>
          <w:rFonts w:ascii="Traditional Arabic" w:hAnsi="Traditional Arabic" w:cs="Traditional Arabic" w:hint="eastAsia"/>
          <w:i/>
          <w:iCs/>
          <w:sz w:val="30"/>
          <w:szCs w:val="30"/>
          <w:rtl/>
        </w:rPr>
        <w:t>،</w:t>
      </w:r>
      <w:r w:rsidR="00AD7EEF" w:rsidRPr="00B934CE">
        <w:rPr>
          <w:rFonts w:ascii="Traditional Arabic" w:hAnsi="Traditional Arabic" w:cs="Traditional Arabic"/>
          <w:i/>
          <w:iCs/>
          <w:sz w:val="30"/>
          <w:szCs w:val="30"/>
          <w:rtl/>
        </w:rPr>
        <w:t xml:space="preserve"> اتفاقيات </w:t>
      </w:r>
      <w:r w:rsidR="00AD7EEF" w:rsidRPr="00B934CE">
        <w:rPr>
          <w:rFonts w:ascii="Traditional Arabic" w:hAnsi="Traditional Arabic" w:cs="Traditional Arabic" w:hint="eastAsia"/>
          <w:i/>
          <w:iCs/>
          <w:sz w:val="30"/>
          <w:szCs w:val="30"/>
          <w:rtl/>
        </w:rPr>
        <w:t>بناء</w:t>
      </w:r>
      <w:r w:rsidR="00AD7EEF" w:rsidRPr="00B934CE">
        <w:rPr>
          <w:rFonts w:ascii="Traditional Arabic" w:hAnsi="Traditional Arabic" w:cs="Traditional Arabic"/>
          <w:i/>
          <w:iCs/>
          <w:sz w:val="30"/>
          <w:szCs w:val="30"/>
          <w:rtl/>
        </w:rPr>
        <w:t xml:space="preserve"> </w:t>
      </w:r>
      <w:r w:rsidR="00AD7EEF" w:rsidRPr="00B934CE">
        <w:rPr>
          <w:rFonts w:ascii="Traditional Arabic" w:hAnsi="Traditional Arabic" w:cs="Traditional Arabic" w:hint="eastAsia"/>
          <w:i/>
          <w:iCs/>
          <w:sz w:val="30"/>
          <w:szCs w:val="30"/>
          <w:rtl/>
        </w:rPr>
        <w:t>السفن،</w:t>
      </w:r>
      <w:r w:rsidR="00AD7EEF" w:rsidRPr="00B934CE">
        <w:rPr>
          <w:rFonts w:ascii="Traditional Arabic" w:hAnsi="Traditional Arabic" w:cs="Traditional Arabic"/>
          <w:i/>
          <w:iCs/>
          <w:sz w:val="30"/>
          <w:szCs w:val="30"/>
          <w:rtl/>
        </w:rPr>
        <w:t xml:space="preserve"> اتفاقية مستوى الخدمة</w:t>
      </w:r>
      <w:r w:rsidR="00AD7EEF" w:rsidRPr="00B934CE">
        <w:rPr>
          <w:rFonts w:ascii="Traditional Arabic" w:hAnsi="Traditional Arabic" w:cs="Traditional Arabic" w:hint="eastAsia"/>
          <w:i/>
          <w:iCs/>
          <w:sz w:val="30"/>
          <w:szCs w:val="30"/>
          <w:rtl/>
        </w:rPr>
        <w:t>،</w:t>
      </w:r>
      <w:r w:rsidR="00AD7EEF" w:rsidRPr="00B934CE">
        <w:rPr>
          <w:rFonts w:ascii="Traditional Arabic" w:hAnsi="Traditional Arabic" w:cs="Traditional Arabic"/>
          <w:i/>
          <w:iCs/>
          <w:sz w:val="30"/>
          <w:szCs w:val="30"/>
          <w:rtl/>
        </w:rPr>
        <w:t xml:space="preserve"> اتفاقية خدمات الإرساء في الحوض الجاف وإصلاح السفن</w:t>
      </w:r>
    </w:p>
    <w:p w14:paraId="588CE9EB" w14:textId="77777777" w:rsidR="004319EE" w:rsidRPr="00EF4A86" w:rsidRDefault="004319EE" w:rsidP="004319EE">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30F6B35D" w14:textId="77777777" w:rsidR="004319EE" w:rsidRDefault="004319EE" w:rsidP="004C6F6B">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034BCC35" w14:textId="77777777" w:rsidR="004319EE" w:rsidRDefault="004319EE" w:rsidP="004319EE">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0DE5C36E"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428712F4"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52EEE9C4"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328AD6DA"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13612A16"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11984D03"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1ACF165A"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15993F42"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331C822C"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67BA987D"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7C78F0B0"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46B684C0"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630F9A7B"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68A64DA1"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4EFCF75F"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59AAE834"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0C9AF3ED"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2F8C8731"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3D2B3034"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3CE506B8"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393F93CA"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57158925" w14:textId="77777777" w:rsidR="00FC5CBC" w:rsidRDefault="00FC5CBC" w:rsidP="00FC5CBC">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703B2555"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2814265E" w14:textId="77777777" w:rsidR="005E3F3A" w:rsidRDefault="005E3F3A" w:rsidP="005E3F3A">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28109AA0" w14:textId="77777777" w:rsidR="004D1AA2" w:rsidRPr="00EB5BCF" w:rsidRDefault="00B907A6" w:rsidP="004D1AA2">
      <w:pPr>
        <w:widowControl w:val="0"/>
        <w:tabs>
          <w:tab w:val="left" w:pos="810"/>
          <w:tab w:val="right" w:pos="6660"/>
          <w:tab w:val="right" w:pos="8601"/>
          <w:tab w:val="right" w:pos="9540"/>
        </w:tabs>
        <w:bidi/>
        <w:ind w:right="-426"/>
        <w:jc w:val="center"/>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t>الفصل</w:t>
      </w:r>
      <w:r w:rsidR="001604DB">
        <w:rPr>
          <w:rFonts w:ascii="Traditional Arabic" w:hAnsi="Traditional Arabic" w:cs="Traditional Arabic" w:hint="cs"/>
          <w:b/>
          <w:bCs/>
          <w:sz w:val="30"/>
          <w:szCs w:val="30"/>
          <w:rtl/>
        </w:rPr>
        <w:t xml:space="preserve"> </w:t>
      </w:r>
      <w:r w:rsidR="00EA193A">
        <w:rPr>
          <w:rFonts w:ascii="Traditional Arabic" w:hAnsi="Traditional Arabic" w:cs="Traditional Arabic" w:hint="cs"/>
          <w:b/>
          <w:bCs/>
          <w:sz w:val="30"/>
          <w:szCs w:val="30"/>
          <w:rtl/>
        </w:rPr>
        <w:t>السابع</w:t>
      </w:r>
      <w:r w:rsidR="00EA193A" w:rsidRPr="00EB5BCF">
        <w:rPr>
          <w:rFonts w:ascii="Traditional Arabic" w:hAnsi="Traditional Arabic" w:cs="Traditional Arabic"/>
          <w:b/>
          <w:bCs/>
          <w:sz w:val="30"/>
          <w:szCs w:val="30"/>
          <w:rtl/>
        </w:rPr>
        <w:t xml:space="preserve"> </w:t>
      </w:r>
      <w:r w:rsidRPr="00EB5BCF">
        <w:rPr>
          <w:rFonts w:ascii="Traditional Arabic" w:hAnsi="Traditional Arabic" w:cs="Traditional Arabic"/>
          <w:b/>
          <w:bCs/>
          <w:sz w:val="30"/>
          <w:szCs w:val="30"/>
          <w:rtl/>
        </w:rPr>
        <w:t>عشر</w:t>
      </w:r>
    </w:p>
    <w:p w14:paraId="2008A1A0" w14:textId="77777777" w:rsidR="00E5724F" w:rsidRPr="00EB5BCF" w:rsidRDefault="00B907A6" w:rsidP="008252E9">
      <w:pPr>
        <w:widowControl w:val="0"/>
        <w:tabs>
          <w:tab w:val="left" w:pos="810"/>
          <w:tab w:val="right" w:pos="6660"/>
          <w:tab w:val="right" w:pos="8601"/>
          <w:tab w:val="right" w:pos="9540"/>
        </w:tabs>
        <w:bidi/>
        <w:ind w:right="-426"/>
        <w:jc w:val="center"/>
        <w:rPr>
          <w:rFonts w:ascii="Traditional Arabic" w:hAnsi="Traditional Arabic" w:cs="Traditional Arabic"/>
          <w:sz w:val="30"/>
          <w:szCs w:val="30"/>
          <w:rtl/>
        </w:rPr>
      </w:pPr>
      <w:r w:rsidRPr="00EB5BCF">
        <w:rPr>
          <w:rFonts w:ascii="Traditional Arabic" w:hAnsi="Traditional Arabic" w:cs="Traditional Arabic"/>
          <w:b/>
          <w:bCs/>
          <w:sz w:val="30"/>
          <w:szCs w:val="30"/>
          <w:rtl/>
        </w:rPr>
        <w:t>تنظيم الشركة وإدارتها</w:t>
      </w:r>
    </w:p>
    <w:p w14:paraId="062D4521" w14:textId="77777777" w:rsidR="00E93A02" w:rsidRPr="00EB5BCF" w:rsidRDefault="00E93A02" w:rsidP="00E93A02">
      <w:pPr>
        <w:pStyle w:val="BodyText1"/>
        <w:keepNext/>
        <w:bidi/>
        <w:spacing w:after="0"/>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تُلخص بعض أقسام هذا الفصل الجوانب المتعلقة بتنظيم الشركة وإدارتها بناء</w:t>
      </w:r>
      <w:r w:rsidR="004D1AA2"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 xml:space="preserve"> على نظامها الأساسي وقانون الشركات التجارية والقوانين واللوائح الصادرة من </w:t>
      </w:r>
      <w:r w:rsidR="002D7E14">
        <w:rPr>
          <w:rFonts w:ascii="Traditional Arabic" w:hAnsi="Traditional Arabic" w:cs="Traditional Arabic"/>
          <w:sz w:val="30"/>
          <w:szCs w:val="30"/>
          <w:rtl/>
          <w:lang w:val="en-GB"/>
        </w:rPr>
        <w:t>هيئة الخدمات المالية</w:t>
      </w:r>
      <w:r w:rsidR="004D1AA2" w:rsidRPr="00EB5BCF">
        <w:rPr>
          <w:rFonts w:ascii="Traditional Arabic" w:hAnsi="Traditional Arabic" w:cs="Traditional Arabic"/>
          <w:sz w:val="30"/>
          <w:szCs w:val="30"/>
          <w:rtl/>
          <w:lang w:val="en-GB"/>
        </w:rPr>
        <w:t xml:space="preserve">، وعلى وجه الخصوص </w:t>
      </w:r>
      <w:r w:rsidRPr="00EB5BCF">
        <w:rPr>
          <w:rFonts w:ascii="Traditional Arabic" w:hAnsi="Traditional Arabic" w:cs="Traditional Arabic"/>
          <w:sz w:val="30"/>
          <w:szCs w:val="30"/>
          <w:rtl/>
          <w:lang w:val="en-GB"/>
        </w:rPr>
        <w:t>ميثاق حوكمة وإدارة الشركات المساهمة، ولائحة الشركات المساهمة العامة</w:t>
      </w:r>
      <w:r w:rsidR="008B063E"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 xml:space="preserve"> ويُعتبر ما يرد في هذا الفصل مجرد ملخص ولا يُفهم منه بأنه وصف شامل للنظام الأساسي للشركة أو لأحكام قانون الشركات التجارية أو لميثاق حوكمة وإدارة الشركات المساهمة أو للائحة الشركات المساهمة العامة أو للقوانين واللوائح </w:t>
      </w:r>
      <w:r w:rsidR="00F51760" w:rsidRPr="00EB5BCF">
        <w:rPr>
          <w:rFonts w:ascii="Traditional Arabic" w:hAnsi="Traditional Arabic" w:cs="Traditional Arabic"/>
          <w:sz w:val="30"/>
          <w:szCs w:val="30"/>
          <w:rtl/>
          <w:lang w:val="en-GB"/>
        </w:rPr>
        <w:t xml:space="preserve">ذات الصلة </w:t>
      </w:r>
      <w:r w:rsidRPr="00EB5BCF">
        <w:rPr>
          <w:rFonts w:ascii="Traditional Arabic" w:hAnsi="Traditional Arabic" w:cs="Traditional Arabic"/>
          <w:sz w:val="30"/>
          <w:szCs w:val="30"/>
          <w:rtl/>
          <w:lang w:val="en-GB"/>
        </w:rPr>
        <w:t xml:space="preserve">الصادرة </w:t>
      </w:r>
      <w:r w:rsidR="007846B7" w:rsidRPr="00EB5BCF">
        <w:rPr>
          <w:rFonts w:ascii="Traditional Arabic" w:hAnsi="Traditional Arabic" w:cs="Traditional Arabic"/>
          <w:sz w:val="30"/>
          <w:szCs w:val="30"/>
          <w:rtl/>
          <w:lang w:val="en-GB"/>
        </w:rPr>
        <w:t>عن</w:t>
      </w:r>
      <w:r w:rsidRPr="00EB5BCF">
        <w:rPr>
          <w:rFonts w:ascii="Traditional Arabic" w:hAnsi="Traditional Arabic" w:cs="Traditional Arabic"/>
          <w:sz w:val="30"/>
          <w:szCs w:val="30"/>
          <w:rtl/>
          <w:lang w:val="en-GB"/>
        </w:rPr>
        <w:t xml:space="preserve"> </w:t>
      </w:r>
      <w:r w:rsidR="002D7E14">
        <w:rPr>
          <w:rFonts w:ascii="Traditional Arabic" w:hAnsi="Traditional Arabic" w:cs="Traditional Arabic"/>
          <w:sz w:val="30"/>
          <w:szCs w:val="30"/>
          <w:rtl/>
          <w:lang w:val="en-GB"/>
        </w:rPr>
        <w:t>هيئة الخدمات المالية</w:t>
      </w:r>
      <w:r w:rsidR="00F51760" w:rsidRPr="00EB5BCF">
        <w:rPr>
          <w:rFonts w:ascii="Traditional Arabic" w:hAnsi="Traditional Arabic" w:cs="Traditional Arabic"/>
          <w:sz w:val="30"/>
          <w:szCs w:val="30"/>
          <w:rtl/>
          <w:lang w:val="en-GB"/>
        </w:rPr>
        <w:t>.</w:t>
      </w:r>
    </w:p>
    <w:p w14:paraId="11C1B9D7" w14:textId="77777777" w:rsidR="00E93A02" w:rsidRPr="00EB5BCF" w:rsidRDefault="00E93A02" w:rsidP="00E93A02">
      <w:pPr>
        <w:pStyle w:val="BodyText1"/>
        <w:bidi/>
        <w:spacing w:after="0"/>
        <w:rPr>
          <w:rFonts w:ascii="Traditional Arabic" w:hAnsi="Traditional Arabic" w:cs="Traditional Arabic"/>
          <w:b/>
          <w:bCs/>
          <w:sz w:val="30"/>
          <w:szCs w:val="30"/>
          <w:rtl/>
          <w:lang w:val="en-GB"/>
        </w:rPr>
      </w:pPr>
    </w:p>
    <w:p w14:paraId="50031F15" w14:textId="77777777" w:rsidR="00E93A02" w:rsidRPr="00EB5BCF" w:rsidRDefault="00E93A02" w:rsidP="00E93A02">
      <w:pPr>
        <w:pStyle w:val="BodyText1"/>
        <w:bidi/>
        <w:spacing w:after="0"/>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lang w:val="en-GB"/>
        </w:rPr>
        <w:t>نظرة عامة</w:t>
      </w:r>
    </w:p>
    <w:p w14:paraId="22CC4864" w14:textId="77777777" w:rsidR="00E93A02" w:rsidRPr="00EB5BCF" w:rsidRDefault="00E93A02" w:rsidP="00E93A02">
      <w:pPr>
        <w:pStyle w:val="BodyText1"/>
        <w:keepNext/>
        <w:bidi/>
        <w:spacing w:after="0"/>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يتضمن هذا القسم تفاصيل تشكيل مجلس الإدارة واللجان المختلفة المنبثقة عن المجلس والإدارة</w:t>
      </w:r>
      <w:r w:rsidR="00F51760"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 xml:space="preserve"> ويسلط الضوء</w:t>
      </w:r>
      <w:r w:rsidR="00F51760" w:rsidRPr="00EB5BCF">
        <w:rPr>
          <w:rFonts w:ascii="Traditional Arabic" w:hAnsi="Traditional Arabic" w:cs="Traditional Arabic"/>
          <w:sz w:val="30"/>
          <w:szCs w:val="30"/>
          <w:rtl/>
          <w:lang w:val="en-GB"/>
        </w:rPr>
        <w:t xml:space="preserve"> أيضا</w:t>
      </w:r>
      <w:r w:rsidRPr="00EB5BCF">
        <w:rPr>
          <w:rFonts w:ascii="Traditional Arabic" w:hAnsi="Traditional Arabic" w:cs="Traditional Arabic"/>
          <w:sz w:val="30"/>
          <w:szCs w:val="30"/>
          <w:rtl/>
          <w:lang w:val="en-GB"/>
        </w:rPr>
        <w:t xml:space="preserve"> على ممارسات الحوكمة والإدارة التي تتبعها الشركة حاليًا أو التي ستضعها </w:t>
      </w:r>
      <w:r w:rsidR="000C56EC">
        <w:rPr>
          <w:rFonts w:ascii="Traditional Arabic" w:hAnsi="Traditional Arabic" w:cs="Traditional Arabic" w:hint="cs"/>
          <w:sz w:val="30"/>
          <w:szCs w:val="30"/>
          <w:rtl/>
          <w:lang w:val="en-GB"/>
        </w:rPr>
        <w:t>قبل عملية الإدراج</w:t>
      </w:r>
      <w:r w:rsidRPr="00EB5BCF">
        <w:rPr>
          <w:rFonts w:ascii="Traditional Arabic" w:hAnsi="Traditional Arabic" w:cs="Traditional Arabic"/>
          <w:sz w:val="30"/>
          <w:szCs w:val="30"/>
          <w:rtl/>
          <w:lang w:val="en-GB"/>
        </w:rPr>
        <w:t>.</w:t>
      </w:r>
    </w:p>
    <w:p w14:paraId="1201DD0D" w14:textId="77777777" w:rsidR="00E93A02" w:rsidRPr="00EB5BCF" w:rsidRDefault="00E93A02" w:rsidP="00E93A02">
      <w:pPr>
        <w:pStyle w:val="BodyText1"/>
        <w:bidi/>
        <w:spacing w:after="0"/>
        <w:rPr>
          <w:rFonts w:ascii="Traditional Arabic" w:hAnsi="Traditional Arabic" w:cs="Traditional Arabic"/>
          <w:b/>
          <w:bCs/>
          <w:sz w:val="30"/>
          <w:szCs w:val="30"/>
          <w:rtl/>
          <w:lang w:val="en-GB"/>
        </w:rPr>
      </w:pPr>
    </w:p>
    <w:p w14:paraId="6C8A0274" w14:textId="77777777" w:rsidR="00E93A02" w:rsidRPr="00EB5BCF" w:rsidRDefault="00E93A02" w:rsidP="00E93A02">
      <w:pPr>
        <w:pStyle w:val="BodyText1"/>
        <w:bidi/>
        <w:spacing w:after="0"/>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lang w:val="en-GB"/>
        </w:rPr>
        <w:t>مجلس الإدارة</w:t>
      </w:r>
    </w:p>
    <w:p w14:paraId="058D07F7" w14:textId="77777777" w:rsidR="00A30EAD" w:rsidRPr="00A30EAD" w:rsidRDefault="00A30EAD" w:rsidP="00CD53BC">
      <w:pPr>
        <w:pStyle w:val="BodyText1"/>
        <w:bidi/>
        <w:spacing w:after="0"/>
        <w:rPr>
          <w:rFonts w:ascii="Traditional Arabic" w:hAnsi="Traditional Arabic" w:cs="Traditional Arabic"/>
          <w:b/>
          <w:bCs/>
          <w:sz w:val="30"/>
          <w:szCs w:val="30"/>
          <w:rtl/>
          <w:lang w:val="en-GB"/>
        </w:rPr>
      </w:pPr>
      <w:r w:rsidRPr="00A30EAD">
        <w:rPr>
          <w:rFonts w:ascii="Traditional Arabic" w:hAnsi="Traditional Arabic" w:cs="Traditional Arabic"/>
          <w:b/>
          <w:bCs/>
          <w:sz w:val="30"/>
          <w:szCs w:val="30"/>
          <w:rtl/>
          <w:lang w:val="en-GB"/>
        </w:rPr>
        <w:t>أعضاء مجلس الإدارة الحالي</w:t>
      </w:r>
    </w:p>
    <w:p w14:paraId="0E7750E5" w14:textId="77777777" w:rsidR="00A30EAD" w:rsidRPr="00A30EAD" w:rsidRDefault="00834314" w:rsidP="00F944D6">
      <w:pPr>
        <w:pStyle w:val="BodyText1"/>
        <w:bidi/>
        <w:spacing w:after="0"/>
        <w:rPr>
          <w:rFonts w:ascii="Traditional Arabic" w:hAnsi="Traditional Arabic" w:cs="Traditional Arabic"/>
          <w:sz w:val="30"/>
          <w:szCs w:val="30"/>
          <w:lang w:val="en-GB"/>
        </w:rPr>
      </w:pPr>
      <w:r>
        <w:rPr>
          <w:rFonts w:ascii="Traditional Arabic" w:hAnsi="Traditional Arabic" w:cs="Traditional Arabic" w:hint="cs"/>
          <w:sz w:val="30"/>
          <w:szCs w:val="30"/>
          <w:rtl/>
          <w:lang w:val="en-GB"/>
        </w:rPr>
        <w:t>الجدول أدناه</w:t>
      </w:r>
      <w:r w:rsidR="008C451B">
        <w:rPr>
          <w:rFonts w:ascii="Traditional Arabic" w:hAnsi="Traditional Arabic" w:cs="Traditional Arabic" w:hint="cs"/>
          <w:sz w:val="30"/>
          <w:szCs w:val="30"/>
          <w:rtl/>
          <w:lang w:val="en-GB"/>
        </w:rPr>
        <w:t xml:space="preserve"> يوضح أسماء</w:t>
      </w:r>
      <w:r w:rsidR="00A30EAD" w:rsidRPr="00A30EAD">
        <w:rPr>
          <w:rFonts w:ascii="Traditional Arabic" w:hAnsi="Traditional Arabic" w:cs="Traditional Arabic"/>
          <w:sz w:val="30"/>
          <w:szCs w:val="30"/>
          <w:rtl/>
          <w:lang w:val="en-GB"/>
        </w:rPr>
        <w:t xml:space="preserve"> أعضاء مجلس الإدارة الحالي ، و</w:t>
      </w:r>
      <w:r w:rsidR="000974AE">
        <w:rPr>
          <w:rFonts w:ascii="Traditional Arabic" w:hAnsi="Traditional Arabic" w:cs="Traditional Arabic" w:hint="cs"/>
          <w:sz w:val="30"/>
          <w:szCs w:val="30"/>
          <w:rtl/>
          <w:lang w:val="en-GB"/>
        </w:rPr>
        <w:t>تسري عضويتهم</w:t>
      </w:r>
      <w:r w:rsidR="00A30EAD" w:rsidRPr="00A30EAD">
        <w:rPr>
          <w:rFonts w:ascii="Traditional Arabic" w:hAnsi="Traditional Arabic" w:cs="Traditional Arabic"/>
          <w:sz w:val="30"/>
          <w:szCs w:val="30"/>
          <w:rtl/>
          <w:lang w:val="en-GB"/>
        </w:rPr>
        <w:t xml:space="preserve"> </w:t>
      </w:r>
      <w:r w:rsidR="002023D5">
        <w:rPr>
          <w:rFonts w:ascii="Traditional Arabic" w:hAnsi="Traditional Arabic" w:cs="Traditional Arabic" w:hint="cs"/>
          <w:sz w:val="30"/>
          <w:szCs w:val="30"/>
          <w:rtl/>
          <w:lang w:val="en-GB"/>
        </w:rPr>
        <w:t xml:space="preserve">الى تاريخ الجمعية العامة السنوية </w:t>
      </w:r>
      <w:r w:rsidR="00F944D6">
        <w:rPr>
          <w:rFonts w:ascii="Traditional Arabic" w:hAnsi="Traditional Arabic" w:cs="Traditional Arabic" w:hint="cs"/>
          <w:sz w:val="30"/>
          <w:szCs w:val="30"/>
          <w:rtl/>
          <w:lang w:val="en-GB"/>
        </w:rPr>
        <w:t>القادمة.</w:t>
      </w:r>
      <w:r w:rsidR="00A30EAD" w:rsidRPr="00A30EAD">
        <w:rPr>
          <w:rFonts w:ascii="Traditional Arabic" w:hAnsi="Traditional Arabic" w:cs="Traditional Arabic"/>
          <w:sz w:val="30"/>
          <w:szCs w:val="30"/>
          <w:rtl/>
          <w:lang w:val="en-GB"/>
        </w:rPr>
        <w:t xml:space="preserve"> </w:t>
      </w:r>
    </w:p>
    <w:p w14:paraId="12672395" w14:textId="77777777" w:rsidR="00A30EAD" w:rsidRDefault="00A30EAD" w:rsidP="00E93A02">
      <w:pPr>
        <w:pStyle w:val="BodyText1"/>
        <w:bidi/>
        <w:spacing w:after="0"/>
        <w:rPr>
          <w:rFonts w:ascii="Traditional Arabic" w:hAnsi="Traditional Arabic" w:cs="Traditional Arabic"/>
          <w:sz w:val="30"/>
          <w:szCs w:val="30"/>
          <w:rtl/>
          <w:lang w:val="en-GB"/>
        </w:rPr>
      </w:pPr>
    </w:p>
    <w:tbl>
      <w:tblPr>
        <w:bidiVisual/>
        <w:tblW w:w="4307" w:type="pct"/>
        <w:tblLook w:val="00A0" w:firstRow="1" w:lastRow="0" w:firstColumn="1" w:lastColumn="0" w:noHBand="0" w:noVBand="0"/>
      </w:tblPr>
      <w:tblGrid>
        <w:gridCol w:w="540"/>
        <w:gridCol w:w="3590"/>
        <w:gridCol w:w="2396"/>
        <w:gridCol w:w="1537"/>
      </w:tblGrid>
      <w:tr w:rsidR="001B279A" w:rsidRPr="00E63A87" w14:paraId="58AFADB2" w14:textId="77777777" w:rsidTr="00826D63">
        <w:tc>
          <w:tcPr>
            <w:tcW w:w="334" w:type="pct"/>
          </w:tcPr>
          <w:p w14:paraId="19CCBC0F" w14:textId="77777777" w:rsidR="001B279A" w:rsidRPr="006D20B6" w:rsidRDefault="001B279A" w:rsidP="006D20B6">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sidRPr="006D20B6">
              <w:rPr>
                <w:rFonts w:ascii="Traditional Arabic" w:hAnsi="Traditional Arabic" w:cs="Traditional Arabic"/>
                <w:sz w:val="24"/>
                <w:rtl/>
              </w:rPr>
              <w:t>م</w:t>
            </w:r>
          </w:p>
        </w:tc>
        <w:tc>
          <w:tcPr>
            <w:tcW w:w="2226" w:type="pct"/>
          </w:tcPr>
          <w:p w14:paraId="5E575660" w14:textId="77777777" w:rsidR="001B279A" w:rsidRPr="00E63A87" w:rsidRDefault="001B279A" w:rsidP="006D20B6">
            <w:pPr>
              <w:widowControl w:val="0"/>
              <w:tabs>
                <w:tab w:val="left" w:pos="810"/>
                <w:tab w:val="right" w:pos="6660"/>
                <w:tab w:val="right" w:pos="8601"/>
                <w:tab w:val="right" w:pos="9540"/>
              </w:tabs>
              <w:bidi/>
              <w:ind w:right="-426"/>
              <w:jc w:val="both"/>
              <w:rPr>
                <w:rFonts w:ascii="Traditional Arabic" w:hAnsi="Traditional Arabic" w:cs="Traditional Arabic"/>
                <w:b/>
                <w:bCs/>
                <w:sz w:val="24"/>
                <w:rtl/>
              </w:rPr>
            </w:pPr>
            <w:r w:rsidRPr="00E63A87">
              <w:rPr>
                <w:rFonts w:ascii="Traditional Arabic" w:hAnsi="Traditional Arabic" w:cs="Traditional Arabic"/>
                <w:b/>
                <w:bCs/>
                <w:sz w:val="24"/>
                <w:rtl/>
              </w:rPr>
              <w:t>الاسم</w:t>
            </w:r>
          </w:p>
        </w:tc>
        <w:tc>
          <w:tcPr>
            <w:tcW w:w="1486" w:type="pct"/>
          </w:tcPr>
          <w:p w14:paraId="5799934A" w14:textId="77777777" w:rsidR="001B279A" w:rsidRPr="00E63A87" w:rsidRDefault="001B279A" w:rsidP="006D20B6">
            <w:pPr>
              <w:widowControl w:val="0"/>
              <w:tabs>
                <w:tab w:val="left" w:pos="810"/>
                <w:tab w:val="right" w:pos="6660"/>
                <w:tab w:val="right" w:pos="8601"/>
                <w:tab w:val="right" w:pos="9540"/>
              </w:tabs>
              <w:bidi/>
              <w:ind w:right="-426"/>
              <w:jc w:val="both"/>
              <w:rPr>
                <w:rFonts w:ascii="Traditional Arabic" w:hAnsi="Traditional Arabic" w:cs="Traditional Arabic"/>
                <w:b/>
                <w:bCs/>
                <w:sz w:val="24"/>
                <w:rtl/>
              </w:rPr>
            </w:pPr>
            <w:r w:rsidRPr="00E63A87">
              <w:rPr>
                <w:rFonts w:ascii="Traditional Arabic" w:hAnsi="Traditional Arabic" w:cs="Traditional Arabic"/>
                <w:b/>
                <w:bCs/>
                <w:sz w:val="24"/>
                <w:rtl/>
              </w:rPr>
              <w:t>المنصب</w:t>
            </w:r>
          </w:p>
        </w:tc>
        <w:tc>
          <w:tcPr>
            <w:tcW w:w="953" w:type="pct"/>
          </w:tcPr>
          <w:p w14:paraId="39B465BC" w14:textId="77777777" w:rsidR="001B279A" w:rsidRPr="00E63A87" w:rsidRDefault="001B279A" w:rsidP="006D20B6">
            <w:pPr>
              <w:widowControl w:val="0"/>
              <w:tabs>
                <w:tab w:val="left" w:pos="810"/>
                <w:tab w:val="right" w:pos="6660"/>
                <w:tab w:val="right" w:pos="8601"/>
                <w:tab w:val="right" w:pos="9540"/>
              </w:tabs>
              <w:bidi/>
              <w:ind w:right="-426"/>
              <w:jc w:val="both"/>
              <w:rPr>
                <w:rFonts w:ascii="Traditional Arabic" w:hAnsi="Traditional Arabic" w:cs="Traditional Arabic"/>
                <w:b/>
                <w:bCs/>
                <w:sz w:val="24"/>
                <w:rtl/>
              </w:rPr>
            </w:pPr>
            <w:r w:rsidRPr="00E63A87">
              <w:rPr>
                <w:rFonts w:ascii="Traditional Arabic" w:hAnsi="Traditional Arabic" w:cs="Traditional Arabic"/>
                <w:b/>
                <w:bCs/>
                <w:sz w:val="24"/>
                <w:rtl/>
              </w:rPr>
              <w:t>مستقل</w:t>
            </w:r>
            <w:r w:rsidRPr="00E63A87">
              <w:rPr>
                <w:rFonts w:ascii="Traditional Arabic" w:hAnsi="Traditional Arabic" w:cs="Traditional Arabic" w:hint="cs"/>
                <w:b/>
                <w:bCs/>
                <w:sz w:val="24"/>
                <w:vertAlign w:val="superscript"/>
                <w:rtl/>
              </w:rPr>
              <w:t>(1)</w:t>
            </w:r>
            <w:r w:rsidRPr="00E63A87">
              <w:rPr>
                <w:rFonts w:ascii="Traditional Arabic" w:hAnsi="Traditional Arabic" w:cs="Traditional Arabic"/>
                <w:b/>
                <w:bCs/>
                <w:sz w:val="24"/>
                <w:rtl/>
              </w:rPr>
              <w:t>/غير مستقل</w:t>
            </w:r>
          </w:p>
        </w:tc>
      </w:tr>
      <w:tr w:rsidR="001B279A" w:rsidRPr="00E63A87" w14:paraId="3CFB4632" w14:textId="77777777" w:rsidTr="00826D63">
        <w:tc>
          <w:tcPr>
            <w:tcW w:w="334" w:type="pct"/>
          </w:tcPr>
          <w:p w14:paraId="66A75BAE" w14:textId="77777777" w:rsidR="001B279A" w:rsidRPr="006D20B6" w:rsidRDefault="001B279A" w:rsidP="006D20B6">
            <w:pPr>
              <w:widowControl w:val="0"/>
              <w:tabs>
                <w:tab w:val="left" w:pos="810"/>
                <w:tab w:val="right" w:pos="6660"/>
                <w:tab w:val="right" w:pos="8601"/>
                <w:tab w:val="right" w:pos="9540"/>
              </w:tabs>
              <w:bidi/>
              <w:ind w:right="-426"/>
              <w:jc w:val="both"/>
              <w:rPr>
                <w:rFonts w:ascii="Traditional Arabic" w:hAnsi="Traditional Arabic" w:cs="Traditional Arabic"/>
                <w:sz w:val="24"/>
                <w:lang w:val="en-GB"/>
              </w:rPr>
            </w:pPr>
            <w:r w:rsidRPr="006D20B6">
              <w:rPr>
                <w:rFonts w:ascii="Traditional Arabic" w:hAnsi="Traditional Arabic" w:cs="Traditional Arabic"/>
                <w:sz w:val="24"/>
                <w:rtl/>
              </w:rPr>
              <w:t>1</w:t>
            </w:r>
          </w:p>
        </w:tc>
        <w:tc>
          <w:tcPr>
            <w:tcW w:w="2226" w:type="pct"/>
          </w:tcPr>
          <w:p w14:paraId="3D751022" w14:textId="77777777" w:rsidR="001B279A" w:rsidRPr="00E63A87" w:rsidRDefault="00BF5225" w:rsidP="006D20B6">
            <w:pPr>
              <w:widowControl w:val="0"/>
              <w:tabs>
                <w:tab w:val="left" w:pos="810"/>
                <w:tab w:val="right" w:pos="6660"/>
                <w:tab w:val="right" w:pos="8601"/>
                <w:tab w:val="right" w:pos="9540"/>
              </w:tabs>
              <w:bidi/>
              <w:ind w:right="-426"/>
              <w:jc w:val="both"/>
              <w:rPr>
                <w:rFonts w:ascii="Traditional Arabic" w:hAnsi="Traditional Arabic" w:cs="Traditional Arabic"/>
                <w:sz w:val="24"/>
                <w:lang w:val="en-GB" w:bidi="ar-EG"/>
              </w:rPr>
            </w:pPr>
            <w:r w:rsidRPr="00E63A87">
              <w:rPr>
                <w:rFonts w:ascii="Traditional Arabic" w:hAnsi="Traditional Arabic" w:cs="Traditional Arabic" w:hint="eastAsia"/>
                <w:sz w:val="24"/>
                <w:rtl/>
                <w:lang w:bidi="ar-EG"/>
              </w:rPr>
              <w:t>عبد</w:t>
            </w:r>
            <w:r w:rsidRPr="00E63A87">
              <w:rPr>
                <w:rFonts w:ascii="Traditional Arabic" w:hAnsi="Traditional Arabic" w:cs="Traditional Arabic"/>
                <w:sz w:val="24"/>
                <w:rtl/>
                <w:lang w:bidi="ar-EG"/>
              </w:rPr>
              <w:t xml:space="preserve"> الرحمن الحاتمي </w:t>
            </w:r>
          </w:p>
        </w:tc>
        <w:tc>
          <w:tcPr>
            <w:tcW w:w="1486" w:type="pct"/>
          </w:tcPr>
          <w:p w14:paraId="4EF8ADBC" w14:textId="77777777" w:rsidR="001B279A" w:rsidRPr="00E63A87" w:rsidRDefault="001B279A" w:rsidP="006D20B6">
            <w:pPr>
              <w:widowControl w:val="0"/>
              <w:tabs>
                <w:tab w:val="left" w:pos="810"/>
                <w:tab w:val="right" w:pos="6660"/>
                <w:tab w:val="right" w:pos="8601"/>
                <w:tab w:val="right" w:pos="9540"/>
              </w:tabs>
              <w:bidi/>
              <w:ind w:right="-426"/>
              <w:jc w:val="both"/>
              <w:rPr>
                <w:rFonts w:ascii="Traditional Arabic" w:hAnsi="Traditional Arabic" w:cs="Traditional Arabic"/>
                <w:sz w:val="24"/>
                <w:lang w:val="en-GB"/>
              </w:rPr>
            </w:pPr>
            <w:r w:rsidRPr="00E63A87">
              <w:rPr>
                <w:rFonts w:ascii="Traditional Arabic" w:hAnsi="Traditional Arabic" w:cs="Traditional Arabic" w:hint="eastAsia"/>
                <w:sz w:val="24"/>
                <w:rtl/>
              </w:rPr>
              <w:t>رئيس</w:t>
            </w:r>
            <w:r w:rsidRPr="00E63A87">
              <w:rPr>
                <w:rFonts w:ascii="Traditional Arabic" w:hAnsi="Traditional Arabic" w:cs="Traditional Arabic"/>
                <w:sz w:val="24"/>
                <w:rtl/>
              </w:rPr>
              <w:t xml:space="preserve"> </w:t>
            </w:r>
            <w:r w:rsidRPr="00E63A87">
              <w:rPr>
                <w:rFonts w:ascii="Traditional Arabic" w:hAnsi="Traditional Arabic" w:cs="Traditional Arabic" w:hint="eastAsia"/>
                <w:sz w:val="24"/>
                <w:rtl/>
              </w:rPr>
              <w:t>مجلس</w:t>
            </w:r>
            <w:r w:rsidRPr="00E63A87">
              <w:rPr>
                <w:rFonts w:ascii="Traditional Arabic" w:hAnsi="Traditional Arabic" w:cs="Traditional Arabic"/>
                <w:sz w:val="24"/>
                <w:rtl/>
              </w:rPr>
              <w:t xml:space="preserve"> </w:t>
            </w:r>
            <w:r w:rsidRPr="00E63A87">
              <w:rPr>
                <w:rFonts w:ascii="Traditional Arabic" w:hAnsi="Traditional Arabic" w:cs="Traditional Arabic" w:hint="eastAsia"/>
                <w:sz w:val="24"/>
                <w:rtl/>
              </w:rPr>
              <w:t>الإدارة</w:t>
            </w:r>
          </w:p>
        </w:tc>
        <w:tc>
          <w:tcPr>
            <w:tcW w:w="953" w:type="pct"/>
          </w:tcPr>
          <w:p w14:paraId="352DE6C8" w14:textId="77777777" w:rsidR="001B279A" w:rsidRPr="00E63A87" w:rsidRDefault="001B279A" w:rsidP="006D20B6">
            <w:pPr>
              <w:widowControl w:val="0"/>
              <w:tabs>
                <w:tab w:val="left" w:pos="810"/>
                <w:tab w:val="right" w:pos="6660"/>
                <w:tab w:val="right" w:pos="8601"/>
                <w:tab w:val="right" w:pos="9540"/>
              </w:tabs>
              <w:bidi/>
              <w:ind w:right="-426"/>
              <w:jc w:val="both"/>
              <w:rPr>
                <w:rFonts w:ascii="Traditional Arabic" w:hAnsi="Traditional Arabic" w:cs="Traditional Arabic"/>
                <w:sz w:val="24"/>
                <w:lang w:val="en-GB"/>
              </w:rPr>
            </w:pPr>
            <w:r w:rsidRPr="00E63A87">
              <w:rPr>
                <w:rFonts w:ascii="Traditional Arabic" w:hAnsi="Traditional Arabic" w:cs="Traditional Arabic" w:hint="cs"/>
                <w:sz w:val="24"/>
                <w:rtl/>
              </w:rPr>
              <w:t>غير مستقل</w:t>
            </w:r>
          </w:p>
        </w:tc>
      </w:tr>
      <w:tr w:rsidR="001B279A" w:rsidRPr="00E63A87" w14:paraId="7E0DD26A" w14:textId="77777777" w:rsidTr="00826D63">
        <w:tc>
          <w:tcPr>
            <w:tcW w:w="334" w:type="pct"/>
          </w:tcPr>
          <w:p w14:paraId="0EC0C735" w14:textId="77777777" w:rsidR="001B279A" w:rsidRPr="006D20B6" w:rsidRDefault="001B279A" w:rsidP="006D20B6">
            <w:pPr>
              <w:widowControl w:val="0"/>
              <w:tabs>
                <w:tab w:val="left" w:pos="810"/>
                <w:tab w:val="right" w:pos="6660"/>
                <w:tab w:val="right" w:pos="8601"/>
                <w:tab w:val="right" w:pos="9540"/>
              </w:tabs>
              <w:bidi/>
              <w:ind w:right="-426"/>
              <w:jc w:val="both"/>
              <w:rPr>
                <w:rFonts w:ascii="Traditional Arabic" w:hAnsi="Traditional Arabic" w:cs="Traditional Arabic"/>
                <w:sz w:val="24"/>
                <w:lang w:val="en-GB"/>
              </w:rPr>
            </w:pPr>
            <w:r w:rsidRPr="006D20B6">
              <w:rPr>
                <w:rFonts w:ascii="Traditional Arabic" w:hAnsi="Traditional Arabic" w:cs="Traditional Arabic"/>
                <w:sz w:val="24"/>
                <w:rtl/>
              </w:rPr>
              <w:t>2</w:t>
            </w:r>
          </w:p>
        </w:tc>
        <w:tc>
          <w:tcPr>
            <w:tcW w:w="2226" w:type="pct"/>
          </w:tcPr>
          <w:p w14:paraId="14A6E3F8" w14:textId="77777777" w:rsidR="001B279A" w:rsidRPr="00E63A87" w:rsidRDefault="00760E1A" w:rsidP="006D20B6">
            <w:pPr>
              <w:widowControl w:val="0"/>
              <w:tabs>
                <w:tab w:val="left" w:pos="810"/>
                <w:tab w:val="right" w:pos="6660"/>
                <w:tab w:val="right" w:pos="8601"/>
                <w:tab w:val="right" w:pos="9540"/>
              </w:tabs>
              <w:bidi/>
              <w:ind w:right="-426"/>
              <w:jc w:val="both"/>
              <w:rPr>
                <w:rFonts w:ascii="Traditional Arabic" w:hAnsi="Traditional Arabic" w:cs="Traditional Arabic"/>
                <w:sz w:val="24"/>
                <w:lang w:val="en-GB"/>
              </w:rPr>
            </w:pPr>
            <w:r>
              <w:rPr>
                <w:rFonts w:ascii="Traditional Arabic" w:hAnsi="Traditional Arabic" w:cs="Traditional Arabic" w:hint="cs"/>
                <w:sz w:val="24"/>
                <w:rtl/>
              </w:rPr>
              <w:t xml:space="preserve">محسن </w:t>
            </w:r>
            <w:r w:rsidR="00C529CF">
              <w:rPr>
                <w:rFonts w:ascii="Traditional Arabic" w:hAnsi="Traditional Arabic" w:cs="Traditional Arabic" w:hint="cs"/>
                <w:sz w:val="24"/>
                <w:rtl/>
              </w:rPr>
              <w:t>ال</w:t>
            </w:r>
            <w:r>
              <w:rPr>
                <w:rFonts w:ascii="Traditional Arabic" w:hAnsi="Traditional Arabic" w:cs="Traditional Arabic" w:hint="cs"/>
                <w:sz w:val="24"/>
                <w:rtl/>
              </w:rPr>
              <w:t>رستم</w:t>
            </w:r>
          </w:p>
        </w:tc>
        <w:tc>
          <w:tcPr>
            <w:tcW w:w="1486" w:type="pct"/>
          </w:tcPr>
          <w:p w14:paraId="61845EE8" w14:textId="77777777" w:rsidR="001B279A" w:rsidRPr="00E63A87" w:rsidRDefault="001B279A" w:rsidP="006D20B6">
            <w:pPr>
              <w:widowControl w:val="0"/>
              <w:tabs>
                <w:tab w:val="left" w:pos="810"/>
                <w:tab w:val="right" w:pos="6660"/>
                <w:tab w:val="right" w:pos="8601"/>
                <w:tab w:val="right" w:pos="9540"/>
              </w:tabs>
              <w:bidi/>
              <w:ind w:right="-426"/>
              <w:jc w:val="both"/>
              <w:rPr>
                <w:rFonts w:ascii="Traditional Arabic" w:hAnsi="Traditional Arabic" w:cs="Traditional Arabic"/>
                <w:sz w:val="24"/>
                <w:lang w:val="en-GB"/>
              </w:rPr>
            </w:pPr>
            <w:r w:rsidRPr="00E63A87">
              <w:rPr>
                <w:rFonts w:ascii="Traditional Arabic" w:hAnsi="Traditional Arabic" w:cs="Traditional Arabic" w:hint="cs"/>
                <w:sz w:val="24"/>
                <w:rtl/>
              </w:rPr>
              <w:t>نائب رئيس المجلس</w:t>
            </w:r>
          </w:p>
        </w:tc>
        <w:tc>
          <w:tcPr>
            <w:tcW w:w="953" w:type="pct"/>
          </w:tcPr>
          <w:p w14:paraId="2E39E4DE" w14:textId="77777777" w:rsidR="001B279A" w:rsidRPr="00E63A87" w:rsidRDefault="001B279A" w:rsidP="006D20B6">
            <w:pPr>
              <w:widowControl w:val="0"/>
              <w:tabs>
                <w:tab w:val="left" w:pos="810"/>
                <w:tab w:val="right" w:pos="6660"/>
                <w:tab w:val="right" w:pos="8601"/>
                <w:tab w:val="right" w:pos="9540"/>
              </w:tabs>
              <w:bidi/>
              <w:ind w:right="-426"/>
              <w:jc w:val="both"/>
              <w:rPr>
                <w:rFonts w:ascii="Traditional Arabic" w:hAnsi="Traditional Arabic" w:cs="Traditional Arabic"/>
                <w:sz w:val="24"/>
                <w:lang w:val="en-GB"/>
              </w:rPr>
            </w:pPr>
            <w:r w:rsidRPr="00E63A87">
              <w:rPr>
                <w:rFonts w:ascii="Traditional Arabic" w:hAnsi="Traditional Arabic" w:cs="Traditional Arabic" w:hint="cs"/>
                <w:sz w:val="24"/>
                <w:rtl/>
              </w:rPr>
              <w:t>غير مستقل</w:t>
            </w:r>
          </w:p>
        </w:tc>
      </w:tr>
      <w:tr w:rsidR="001B279A" w:rsidRPr="00E63A87" w14:paraId="46366D11" w14:textId="77777777" w:rsidTr="00826D63">
        <w:tc>
          <w:tcPr>
            <w:tcW w:w="334" w:type="pct"/>
          </w:tcPr>
          <w:p w14:paraId="734E2E6E" w14:textId="77777777" w:rsidR="001B279A" w:rsidRPr="006D20B6" w:rsidRDefault="001B279A"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Pr>
                <w:rFonts w:ascii="Traditional Arabic" w:hAnsi="Traditional Arabic" w:cs="Traditional Arabic" w:hint="cs"/>
                <w:sz w:val="24"/>
                <w:rtl/>
              </w:rPr>
              <w:t>3</w:t>
            </w:r>
          </w:p>
        </w:tc>
        <w:tc>
          <w:tcPr>
            <w:tcW w:w="2226" w:type="pct"/>
          </w:tcPr>
          <w:p w14:paraId="195830F8" w14:textId="77777777" w:rsidR="001B279A" w:rsidRPr="00E63A87" w:rsidDel="009D299C" w:rsidRDefault="00BF5225"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sidRPr="00E63A87">
              <w:rPr>
                <w:rFonts w:ascii="Traditional Arabic" w:hAnsi="Traditional Arabic" w:cs="Traditional Arabic" w:hint="eastAsia"/>
                <w:sz w:val="24"/>
                <w:rtl/>
              </w:rPr>
              <w:t>ديفيد</w:t>
            </w:r>
            <w:r w:rsidRPr="00E63A87">
              <w:rPr>
                <w:rFonts w:ascii="Traditional Arabic" w:hAnsi="Traditional Arabic" w:cs="Traditional Arabic"/>
                <w:sz w:val="24"/>
                <w:rtl/>
              </w:rPr>
              <w:t xml:space="preserve"> </w:t>
            </w:r>
            <w:r w:rsidRPr="00E63A87">
              <w:rPr>
                <w:rFonts w:ascii="Traditional Arabic" w:hAnsi="Traditional Arabic" w:cs="Traditional Arabic" w:hint="eastAsia"/>
                <w:sz w:val="24"/>
                <w:rtl/>
              </w:rPr>
              <w:t>ستوكلي</w:t>
            </w:r>
          </w:p>
        </w:tc>
        <w:tc>
          <w:tcPr>
            <w:tcW w:w="1486" w:type="pct"/>
          </w:tcPr>
          <w:p w14:paraId="675B4912" w14:textId="77777777" w:rsidR="001B279A" w:rsidRPr="00E63A87" w:rsidRDefault="001B279A"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sidRPr="00E63A87">
              <w:rPr>
                <w:rFonts w:ascii="Traditional Arabic" w:hAnsi="Traditional Arabic" w:cs="Traditional Arabic" w:hint="cs"/>
                <w:sz w:val="24"/>
                <w:rtl/>
              </w:rPr>
              <w:t>عضو مجلس الإدارة</w:t>
            </w:r>
          </w:p>
        </w:tc>
        <w:tc>
          <w:tcPr>
            <w:tcW w:w="953" w:type="pct"/>
          </w:tcPr>
          <w:p w14:paraId="340F3379" w14:textId="77777777" w:rsidR="001B279A" w:rsidRPr="00E63A87" w:rsidDel="00896062" w:rsidRDefault="001B279A"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sidRPr="00E63A87">
              <w:rPr>
                <w:rFonts w:ascii="Traditional Arabic" w:hAnsi="Traditional Arabic" w:cs="Traditional Arabic" w:hint="cs"/>
                <w:sz w:val="24"/>
                <w:rtl/>
              </w:rPr>
              <w:t>مستقل</w:t>
            </w:r>
          </w:p>
        </w:tc>
      </w:tr>
      <w:tr w:rsidR="001B279A" w:rsidRPr="00E63A87" w14:paraId="14B11113" w14:textId="77777777" w:rsidTr="00826D63">
        <w:tc>
          <w:tcPr>
            <w:tcW w:w="334" w:type="pct"/>
          </w:tcPr>
          <w:p w14:paraId="31030349" w14:textId="77777777" w:rsidR="001B279A" w:rsidRPr="006D20B6" w:rsidRDefault="001B279A"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Pr>
                <w:rFonts w:ascii="Traditional Arabic" w:hAnsi="Traditional Arabic" w:cs="Traditional Arabic" w:hint="cs"/>
                <w:sz w:val="24"/>
                <w:rtl/>
              </w:rPr>
              <w:t>4</w:t>
            </w:r>
          </w:p>
        </w:tc>
        <w:tc>
          <w:tcPr>
            <w:tcW w:w="2226" w:type="pct"/>
          </w:tcPr>
          <w:p w14:paraId="5BA1E6C1" w14:textId="77777777" w:rsidR="001B279A" w:rsidRPr="00E63A87" w:rsidDel="001C4BAE" w:rsidRDefault="00C529CF"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Pr>
                <w:rFonts w:ascii="Traditional Arabic" w:hAnsi="Traditional Arabic" w:cs="Traditional Arabic" w:hint="cs"/>
                <w:sz w:val="24"/>
                <w:rtl/>
              </w:rPr>
              <w:t>سليم خلاف</w:t>
            </w:r>
          </w:p>
        </w:tc>
        <w:tc>
          <w:tcPr>
            <w:tcW w:w="1486" w:type="pct"/>
          </w:tcPr>
          <w:p w14:paraId="6D1E4EC8" w14:textId="77777777" w:rsidR="001B279A" w:rsidRPr="00E63A87" w:rsidDel="001C4BAE" w:rsidRDefault="001B279A"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sidRPr="00E63A87">
              <w:rPr>
                <w:rFonts w:ascii="Traditional Arabic" w:hAnsi="Traditional Arabic" w:cs="Traditional Arabic" w:hint="cs"/>
                <w:sz w:val="24"/>
                <w:rtl/>
              </w:rPr>
              <w:t>عضو مجلس الإدارة</w:t>
            </w:r>
          </w:p>
        </w:tc>
        <w:tc>
          <w:tcPr>
            <w:tcW w:w="953" w:type="pct"/>
          </w:tcPr>
          <w:p w14:paraId="3EC1323D" w14:textId="77777777" w:rsidR="001B279A" w:rsidRPr="00E63A87" w:rsidRDefault="001B279A"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sidRPr="00E63A87">
              <w:rPr>
                <w:rFonts w:ascii="Traditional Arabic" w:hAnsi="Traditional Arabic" w:cs="Traditional Arabic" w:hint="cs"/>
                <w:sz w:val="24"/>
                <w:rtl/>
              </w:rPr>
              <w:t>غير مستقل</w:t>
            </w:r>
          </w:p>
        </w:tc>
      </w:tr>
      <w:tr w:rsidR="001B279A" w:rsidRPr="00E63A87" w14:paraId="448203A2" w14:textId="77777777" w:rsidTr="00826D63">
        <w:tc>
          <w:tcPr>
            <w:tcW w:w="334" w:type="pct"/>
          </w:tcPr>
          <w:p w14:paraId="67E8C13E" w14:textId="77777777" w:rsidR="001B279A" w:rsidRDefault="001B279A"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Pr>
                <w:rFonts w:ascii="Traditional Arabic" w:hAnsi="Traditional Arabic" w:cs="Traditional Arabic" w:hint="cs"/>
                <w:sz w:val="24"/>
                <w:rtl/>
              </w:rPr>
              <w:t>5</w:t>
            </w:r>
          </w:p>
        </w:tc>
        <w:tc>
          <w:tcPr>
            <w:tcW w:w="2226" w:type="pct"/>
          </w:tcPr>
          <w:p w14:paraId="674A6254" w14:textId="77777777" w:rsidR="001B279A" w:rsidRPr="00E63A87" w:rsidDel="00896062" w:rsidRDefault="00BF5225" w:rsidP="00896062">
            <w:pPr>
              <w:widowControl w:val="0"/>
              <w:tabs>
                <w:tab w:val="left" w:pos="810"/>
                <w:tab w:val="right" w:pos="6660"/>
                <w:tab w:val="right" w:pos="8601"/>
                <w:tab w:val="right" w:pos="9540"/>
              </w:tabs>
              <w:bidi/>
              <w:ind w:right="-426"/>
              <w:jc w:val="both"/>
              <w:rPr>
                <w:rFonts w:ascii="Traditional Arabic" w:hAnsi="Traditional Arabic" w:cs="Traditional Arabic"/>
                <w:sz w:val="24"/>
              </w:rPr>
            </w:pPr>
            <w:r w:rsidRPr="00E63A87">
              <w:rPr>
                <w:rFonts w:ascii="Traditional Arabic" w:hAnsi="Traditional Arabic" w:cs="Traditional Arabic" w:hint="eastAsia"/>
                <w:sz w:val="24"/>
                <w:rtl/>
              </w:rPr>
              <w:t>بيدر</w:t>
            </w:r>
            <w:r w:rsidRPr="00E63A87">
              <w:rPr>
                <w:rFonts w:ascii="Traditional Arabic" w:hAnsi="Traditional Arabic" w:cs="Traditional Arabic"/>
                <w:sz w:val="24"/>
                <w:rtl/>
              </w:rPr>
              <w:t xml:space="preserve"> </w:t>
            </w:r>
            <w:r w:rsidRPr="00E63A87">
              <w:rPr>
                <w:rFonts w:ascii="Traditional Arabic" w:hAnsi="Traditional Arabic" w:cs="Traditional Arabic" w:hint="eastAsia"/>
                <w:sz w:val="24"/>
                <w:rtl/>
              </w:rPr>
              <w:t>سوندجراد</w:t>
            </w:r>
          </w:p>
        </w:tc>
        <w:tc>
          <w:tcPr>
            <w:tcW w:w="1486" w:type="pct"/>
          </w:tcPr>
          <w:p w14:paraId="2BAB258E" w14:textId="77777777" w:rsidR="001B279A" w:rsidRPr="00E63A87" w:rsidRDefault="001B279A"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sidRPr="00E63A87">
              <w:rPr>
                <w:rFonts w:ascii="Traditional Arabic" w:hAnsi="Traditional Arabic" w:cs="Traditional Arabic" w:hint="cs"/>
                <w:sz w:val="24"/>
                <w:rtl/>
              </w:rPr>
              <w:t>عضو مجلس الإدارة</w:t>
            </w:r>
          </w:p>
        </w:tc>
        <w:tc>
          <w:tcPr>
            <w:tcW w:w="953" w:type="pct"/>
          </w:tcPr>
          <w:p w14:paraId="5FCC87C9" w14:textId="77777777" w:rsidR="001B279A" w:rsidRPr="00E63A87" w:rsidRDefault="001B279A" w:rsidP="00896062">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sidRPr="00E63A87">
              <w:rPr>
                <w:rFonts w:ascii="Traditional Arabic" w:hAnsi="Traditional Arabic" w:cs="Traditional Arabic" w:hint="cs"/>
                <w:sz w:val="24"/>
                <w:rtl/>
              </w:rPr>
              <w:t>مستقل</w:t>
            </w:r>
          </w:p>
        </w:tc>
      </w:tr>
    </w:tbl>
    <w:p w14:paraId="4AD240FB" w14:textId="77777777" w:rsidR="00B825F6" w:rsidRDefault="00B825F6" w:rsidP="00B825F6">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p>
    <w:p w14:paraId="7F13C2EF" w14:textId="77777777" w:rsidR="00737C9C" w:rsidRDefault="009066C3" w:rsidP="009066C3">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rPr>
      </w:pPr>
      <w:r>
        <w:rPr>
          <w:rFonts w:ascii="Traditional Arabic" w:hAnsi="Traditional Arabic" w:cs="Traditional Arabic" w:hint="cs"/>
          <w:sz w:val="30"/>
          <w:szCs w:val="30"/>
          <w:rtl/>
        </w:rPr>
        <w:t>____________</w:t>
      </w:r>
    </w:p>
    <w:p w14:paraId="342A3E4A" w14:textId="77777777" w:rsidR="00737C9C" w:rsidRPr="00272B36" w:rsidRDefault="00B825F6" w:rsidP="00B825F6">
      <w:pPr>
        <w:widowControl w:val="0"/>
        <w:tabs>
          <w:tab w:val="left" w:pos="810"/>
          <w:tab w:val="right" w:pos="6660"/>
          <w:tab w:val="right" w:pos="8601"/>
          <w:tab w:val="right" w:pos="9540"/>
        </w:tabs>
        <w:bidi/>
        <w:ind w:right="-426"/>
        <w:jc w:val="both"/>
        <w:rPr>
          <w:rFonts w:ascii="Traditional Arabic" w:hAnsi="Traditional Arabic" w:cs="Traditional Arabic"/>
          <w:sz w:val="24"/>
          <w:rtl/>
        </w:rPr>
      </w:pPr>
      <w:r w:rsidRPr="00272B36">
        <w:rPr>
          <w:rFonts w:ascii="Traditional Arabic" w:hAnsi="Traditional Arabic" w:cs="Traditional Arabic"/>
          <w:sz w:val="24"/>
          <w:rtl/>
        </w:rPr>
        <w:t>ملاحظة</w:t>
      </w:r>
    </w:p>
    <w:p w14:paraId="53A47346" w14:textId="77777777" w:rsidR="00B825F6" w:rsidRPr="00272B36" w:rsidRDefault="00B825F6" w:rsidP="00737C9C">
      <w:pPr>
        <w:widowControl w:val="0"/>
        <w:tabs>
          <w:tab w:val="left" w:pos="810"/>
          <w:tab w:val="right" w:pos="6660"/>
          <w:tab w:val="right" w:pos="8601"/>
          <w:tab w:val="right" w:pos="9540"/>
        </w:tabs>
        <w:bidi/>
        <w:ind w:right="-426"/>
        <w:jc w:val="both"/>
        <w:rPr>
          <w:rFonts w:ascii="Traditional Arabic" w:hAnsi="Traditional Arabic" w:cs="Traditional Arabic"/>
          <w:sz w:val="24"/>
          <w:lang w:val="en-GB"/>
        </w:rPr>
      </w:pPr>
      <w:r w:rsidRPr="00272B36">
        <w:rPr>
          <w:rFonts w:ascii="Traditional Arabic" w:hAnsi="Traditional Arabic" w:cs="Traditional Arabic"/>
          <w:sz w:val="24"/>
          <w:rtl/>
        </w:rPr>
        <w:lastRenderedPageBreak/>
        <w:t xml:space="preserve"> </w:t>
      </w:r>
      <w:r w:rsidR="00737C9C" w:rsidRPr="00272B36">
        <w:rPr>
          <w:rFonts w:ascii="Traditional Arabic" w:hAnsi="Traditional Arabic" w:cs="Traditional Arabic" w:hint="cs"/>
          <w:sz w:val="24"/>
          <w:rtl/>
        </w:rPr>
        <w:t>(١)</w:t>
      </w:r>
      <w:r w:rsidRPr="00272B36">
        <w:rPr>
          <w:rFonts w:ascii="Traditional Arabic" w:hAnsi="Traditional Arabic" w:cs="Traditional Arabic"/>
          <w:sz w:val="24"/>
          <w:rtl/>
        </w:rPr>
        <w:t xml:space="preserve"> يعد العضو مستقلًا وفقا لقوانين ولوائح </w:t>
      </w:r>
      <w:r w:rsidR="00D65257" w:rsidRPr="00272B36">
        <w:rPr>
          <w:rFonts w:ascii="Traditional Arabic" w:hAnsi="Traditional Arabic" w:cs="Traditional Arabic" w:hint="cs"/>
          <w:sz w:val="24"/>
          <w:rtl/>
        </w:rPr>
        <w:t>حوكمة</w:t>
      </w:r>
      <w:r w:rsidR="00D65257" w:rsidRPr="00272B36">
        <w:rPr>
          <w:rFonts w:ascii="Traditional Arabic" w:hAnsi="Traditional Arabic" w:cs="Traditional Arabic"/>
          <w:sz w:val="24"/>
          <w:rtl/>
        </w:rPr>
        <w:t xml:space="preserve"> </w:t>
      </w:r>
      <w:r w:rsidRPr="00272B36">
        <w:rPr>
          <w:rFonts w:ascii="Traditional Arabic" w:hAnsi="Traditional Arabic" w:cs="Traditional Arabic"/>
          <w:sz w:val="24"/>
          <w:rtl/>
        </w:rPr>
        <w:t>الشركات التي نصت عليها</w:t>
      </w:r>
      <w:r w:rsidR="006C0378" w:rsidRPr="00272B36">
        <w:rPr>
          <w:rFonts w:ascii="Traditional Arabic" w:hAnsi="Traditional Arabic" w:cs="Traditional Arabic" w:hint="cs"/>
          <w:sz w:val="24"/>
          <w:rtl/>
        </w:rPr>
        <w:t xml:space="preserve"> هيئة الخدمات المالية</w:t>
      </w:r>
      <w:r w:rsidRPr="00272B36">
        <w:rPr>
          <w:rFonts w:ascii="Traditional Arabic" w:hAnsi="Traditional Arabic" w:cs="Traditional Arabic"/>
          <w:sz w:val="24"/>
          <w:rtl/>
        </w:rPr>
        <w:t>.</w:t>
      </w:r>
    </w:p>
    <w:p w14:paraId="66E72ED3" w14:textId="77777777" w:rsidR="00B907A6" w:rsidRPr="00CD53BC" w:rsidRDefault="00B907A6" w:rsidP="00B907A6">
      <w:pPr>
        <w:widowControl w:val="0"/>
        <w:tabs>
          <w:tab w:val="left" w:pos="810"/>
          <w:tab w:val="right" w:pos="6660"/>
          <w:tab w:val="right" w:pos="8601"/>
          <w:tab w:val="right" w:pos="9540"/>
        </w:tabs>
        <w:bidi/>
        <w:ind w:right="-426"/>
        <w:jc w:val="both"/>
        <w:rPr>
          <w:rFonts w:ascii="Traditional Arabic" w:hAnsi="Traditional Arabic" w:cs="Traditional Arabic"/>
          <w:sz w:val="30"/>
          <w:szCs w:val="30"/>
          <w:rtl/>
          <w:lang w:val="en-GB"/>
        </w:rPr>
      </w:pPr>
    </w:p>
    <w:p w14:paraId="4DFC5228" w14:textId="77777777" w:rsidR="006D20B6" w:rsidRPr="00B825F6" w:rsidRDefault="006D20B6" w:rsidP="006D20B6">
      <w:pPr>
        <w:widowControl w:val="0"/>
        <w:tabs>
          <w:tab w:val="left" w:pos="810"/>
          <w:tab w:val="right" w:pos="6660"/>
          <w:tab w:val="right" w:pos="8601"/>
          <w:tab w:val="right" w:pos="9540"/>
        </w:tabs>
        <w:bidi/>
        <w:ind w:right="-426"/>
        <w:jc w:val="both"/>
        <w:rPr>
          <w:rFonts w:ascii="Traditional Arabic" w:hAnsi="Traditional Arabic" w:cs="Traditional Arabic"/>
          <w:sz w:val="30"/>
          <w:szCs w:val="30"/>
          <w:lang w:val="en-GB"/>
        </w:rPr>
      </w:pPr>
    </w:p>
    <w:p w14:paraId="63E8ABE2" w14:textId="77777777" w:rsidR="00167CCA" w:rsidRPr="00EB5BCF" w:rsidRDefault="00167CCA" w:rsidP="00167CCA">
      <w:pPr>
        <w:autoSpaceDE w:val="0"/>
        <w:autoSpaceDN w:val="0"/>
        <w:bidi/>
        <w:adjustRightInd w:val="0"/>
        <w:jc w:val="both"/>
        <w:rPr>
          <w:rFonts w:ascii="Traditional Arabic" w:hAnsi="Traditional Arabic" w:cs="Traditional Arabic"/>
          <w:sz w:val="30"/>
          <w:szCs w:val="30"/>
          <w:rtl/>
          <w:lang w:val="en-GB"/>
        </w:rPr>
      </w:pPr>
    </w:p>
    <w:p w14:paraId="7016F7C2" w14:textId="77777777" w:rsidR="00697C1E" w:rsidRDefault="00697C1E" w:rsidP="00697C1E">
      <w:pPr>
        <w:pStyle w:val="BodyText1"/>
        <w:bidi/>
        <w:spacing w:after="0"/>
        <w:rPr>
          <w:rFonts w:ascii="Traditional Arabic" w:hAnsi="Traditional Arabic" w:cs="Traditional Arabic"/>
          <w:bCs/>
          <w:i/>
          <w:sz w:val="30"/>
          <w:szCs w:val="30"/>
          <w:rtl/>
          <w:lang w:val="en-GB"/>
        </w:rPr>
      </w:pPr>
      <w:r w:rsidRPr="00EB5BCF">
        <w:rPr>
          <w:rFonts w:ascii="Traditional Arabic" w:hAnsi="Traditional Arabic" w:cs="Traditional Arabic"/>
          <w:bCs/>
          <w:i/>
          <w:sz w:val="30"/>
          <w:szCs w:val="30"/>
          <w:rtl/>
          <w:lang w:val="en-GB"/>
        </w:rPr>
        <w:t>نُبذة عن أعضاء مجلس الإدارة</w:t>
      </w:r>
    </w:p>
    <w:p w14:paraId="3C2BB494" w14:textId="77777777" w:rsidR="002500D4" w:rsidRPr="00E663A6" w:rsidRDefault="002500D4" w:rsidP="00E07F3D">
      <w:pPr>
        <w:pStyle w:val="BodyText1"/>
        <w:bidi/>
        <w:spacing w:after="0"/>
        <w:rPr>
          <w:rFonts w:ascii="Traditional Arabic" w:hAnsi="Traditional Arabic" w:cs="Traditional Arabic"/>
          <w:bCs/>
          <w:iCs/>
          <w:sz w:val="30"/>
          <w:szCs w:val="30"/>
          <w:rtl/>
          <w:lang w:val="en-GB"/>
        </w:rPr>
      </w:pPr>
    </w:p>
    <w:p w14:paraId="73BB6934" w14:textId="77777777" w:rsidR="003E03A2" w:rsidRPr="003E03A2" w:rsidRDefault="00E663A6" w:rsidP="00E663A6">
      <w:pPr>
        <w:pStyle w:val="BodyText1"/>
        <w:bidi/>
        <w:rPr>
          <w:rFonts w:ascii="Traditional Arabic" w:hAnsi="Traditional Arabic" w:cs="Traditional Arabic"/>
          <w:bCs/>
          <w:i/>
          <w:sz w:val="30"/>
          <w:szCs w:val="30"/>
          <w:rtl/>
          <w:lang w:val="en-GB" w:bidi="ar-EG"/>
        </w:rPr>
      </w:pPr>
      <w:r w:rsidRPr="003E03A2">
        <w:rPr>
          <w:rFonts w:ascii="Traditional Arabic" w:hAnsi="Traditional Arabic" w:cs="Traditional Arabic" w:hint="cs"/>
          <w:bCs/>
          <w:i/>
          <w:sz w:val="30"/>
          <w:szCs w:val="30"/>
          <w:rtl/>
          <w:lang w:val="en-GB" w:bidi="ar-EG"/>
        </w:rPr>
        <w:t xml:space="preserve">عبد الرحمن </w:t>
      </w:r>
      <w:r w:rsidR="003E03A2" w:rsidRPr="003E03A2">
        <w:rPr>
          <w:rFonts w:ascii="Traditional Arabic" w:hAnsi="Traditional Arabic" w:cs="Traditional Arabic" w:hint="cs"/>
          <w:bCs/>
          <w:i/>
          <w:sz w:val="30"/>
          <w:szCs w:val="30"/>
          <w:rtl/>
          <w:lang w:val="en-GB" w:bidi="ar-EG"/>
        </w:rPr>
        <w:t>الحاتمي (رئيس مجلس الإدارة)</w:t>
      </w:r>
    </w:p>
    <w:p w14:paraId="77BFEF1E" w14:textId="77777777" w:rsidR="00E663A6" w:rsidRPr="00E663A6" w:rsidRDefault="008E56AD" w:rsidP="003E03A2">
      <w:pPr>
        <w:pStyle w:val="BodyText1"/>
        <w:bidi/>
        <w:rPr>
          <w:rFonts w:ascii="Traditional Arabic" w:hAnsi="Traditional Arabic" w:cs="Traditional Arabic"/>
          <w:b/>
          <w:i/>
          <w:sz w:val="30"/>
          <w:szCs w:val="30"/>
          <w:rtl/>
          <w:lang w:val="en-GB"/>
        </w:rPr>
      </w:pPr>
      <w:r w:rsidRPr="008E56AD">
        <w:rPr>
          <w:rFonts w:ascii="Traditional Arabic" w:hAnsi="Traditional Arabic" w:cs="Traditional Arabic"/>
          <w:b/>
          <w:i/>
          <w:sz w:val="30"/>
          <w:szCs w:val="30"/>
          <w:rtl/>
          <w:lang w:val="en-GB"/>
        </w:rPr>
        <w:t>يتمتع عبد الرحمن الحاتمي بأكثر من 25 عامًا من الخبرة في قطاع النفط والغاز وأعمال البنية الأساسية.</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وهو</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الرئيس</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التنفيذي</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لمجموعة</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أسياد،</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ويعمل</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في</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مجالس</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إدارة</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شركة</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حفيت</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للقطارات</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وشركة</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أوكيو</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وقبل</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انضمامه</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إلى</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مجموعة</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أسياد،</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قضى</w:t>
      </w:r>
      <w:r w:rsidR="00E663A6" w:rsidRPr="00E663A6">
        <w:rPr>
          <w:rFonts w:ascii="Traditional Arabic" w:hAnsi="Traditional Arabic" w:cs="Traditional Arabic"/>
          <w:b/>
          <w:i/>
          <w:sz w:val="30"/>
          <w:szCs w:val="30"/>
          <w:rtl/>
          <w:lang w:val="en-GB"/>
        </w:rPr>
        <w:t xml:space="preserve"> 14 </w:t>
      </w:r>
      <w:r w:rsidR="00E663A6" w:rsidRPr="00E663A6">
        <w:rPr>
          <w:rFonts w:ascii="Traditional Arabic" w:hAnsi="Traditional Arabic" w:cs="Traditional Arabic" w:hint="cs"/>
          <w:b/>
          <w:i/>
          <w:sz w:val="30"/>
          <w:szCs w:val="30"/>
          <w:rtl/>
          <w:lang w:val="en-GB"/>
        </w:rPr>
        <w:t>عامًا</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كمهندس</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ميكانيكي</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في</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قطاع</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النفط</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والغاز،</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وأسس</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شركتين</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ناشئتين</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ناجحتين،</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وشغل</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منصب</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الرئيس</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التنفيذي</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لشركة</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قطارات</w:t>
      </w:r>
      <w:r w:rsidR="00E663A6" w:rsidRPr="00E663A6">
        <w:rPr>
          <w:rFonts w:ascii="Traditional Arabic" w:hAnsi="Traditional Arabic" w:cs="Traditional Arabic"/>
          <w:b/>
          <w:i/>
          <w:sz w:val="30"/>
          <w:szCs w:val="30"/>
          <w:rtl/>
          <w:lang w:val="en-GB"/>
        </w:rPr>
        <w:t xml:space="preserve"> </w:t>
      </w:r>
      <w:r w:rsidR="00E663A6" w:rsidRPr="00E663A6">
        <w:rPr>
          <w:rFonts w:ascii="Traditional Arabic" w:hAnsi="Traditional Arabic" w:cs="Traditional Arabic" w:hint="cs"/>
          <w:b/>
          <w:i/>
          <w:sz w:val="30"/>
          <w:szCs w:val="30"/>
          <w:rtl/>
          <w:lang w:val="en-GB"/>
        </w:rPr>
        <w:t>عُمان</w:t>
      </w:r>
      <w:r w:rsidR="00E663A6" w:rsidRPr="00E663A6">
        <w:rPr>
          <w:rFonts w:ascii="Traditional Arabic" w:hAnsi="Traditional Arabic" w:cs="Traditional Arabic"/>
          <w:b/>
          <w:i/>
          <w:sz w:val="30"/>
          <w:szCs w:val="30"/>
          <w:lang w:val="en-GB"/>
        </w:rPr>
        <w:t xml:space="preserve">. </w:t>
      </w:r>
    </w:p>
    <w:p w14:paraId="19453C39" w14:textId="77777777" w:rsidR="00E663A6" w:rsidRDefault="00E663A6" w:rsidP="00E663A6">
      <w:pPr>
        <w:pStyle w:val="BodyText1"/>
        <w:bidi/>
        <w:rPr>
          <w:rFonts w:ascii="Traditional Arabic" w:hAnsi="Traditional Arabic" w:cs="Traditional Arabic"/>
          <w:b/>
          <w:i/>
          <w:sz w:val="30"/>
          <w:szCs w:val="30"/>
          <w:rtl/>
          <w:lang w:val="en-GB"/>
        </w:rPr>
      </w:pPr>
      <w:r w:rsidRPr="00E663A6">
        <w:rPr>
          <w:rFonts w:ascii="Traditional Arabic" w:hAnsi="Traditional Arabic" w:cs="Traditional Arabic"/>
          <w:b/>
          <w:i/>
          <w:sz w:val="30"/>
          <w:szCs w:val="30"/>
          <w:rtl/>
          <w:lang w:val="en-GB"/>
        </w:rPr>
        <w:t>حصل على درجة البكالوريوس في الهندسة من جامعة برادفورد (المملكة المتحدة)</w:t>
      </w:r>
      <w:r w:rsidRPr="00E663A6">
        <w:rPr>
          <w:rFonts w:ascii="Traditional Arabic" w:hAnsi="Traditional Arabic" w:cs="Traditional Arabic"/>
          <w:b/>
          <w:i/>
          <w:sz w:val="30"/>
          <w:szCs w:val="30"/>
          <w:lang w:val="en-GB"/>
        </w:rPr>
        <w:t xml:space="preserve">. </w:t>
      </w:r>
    </w:p>
    <w:p w14:paraId="102426F5" w14:textId="77777777" w:rsidR="00D924D6" w:rsidRDefault="00567ED1" w:rsidP="00985281">
      <w:pPr>
        <w:pStyle w:val="BodyText1"/>
        <w:bidi/>
        <w:rPr>
          <w:rFonts w:ascii="Traditional Arabic" w:hAnsi="Traditional Arabic" w:cs="Traditional Arabic"/>
          <w:bCs/>
          <w:i/>
          <w:sz w:val="30"/>
          <w:szCs w:val="30"/>
          <w:rtl/>
          <w:lang w:val="en-GB"/>
        </w:rPr>
      </w:pPr>
      <w:r>
        <w:rPr>
          <w:rFonts w:ascii="Traditional Arabic" w:hAnsi="Traditional Arabic" w:cs="Traditional Arabic" w:hint="cs"/>
          <w:bCs/>
          <w:i/>
          <w:sz w:val="30"/>
          <w:szCs w:val="30"/>
          <w:rtl/>
          <w:lang w:val="en-GB"/>
        </w:rPr>
        <w:t>محسن الرستم</w:t>
      </w:r>
      <w:r w:rsidR="00D924D6" w:rsidRPr="00985281">
        <w:rPr>
          <w:rFonts w:ascii="Traditional Arabic" w:hAnsi="Traditional Arabic" w:cs="Traditional Arabic"/>
          <w:bCs/>
          <w:i/>
          <w:sz w:val="30"/>
          <w:szCs w:val="30"/>
          <w:rtl/>
          <w:lang w:val="en-GB"/>
        </w:rPr>
        <w:t xml:space="preserve"> (نائب رئيس مجلس الإدارة)</w:t>
      </w:r>
    </w:p>
    <w:p w14:paraId="55F74D15" w14:textId="77777777" w:rsidR="009813B1" w:rsidRPr="00E663A6" w:rsidRDefault="009813B1" w:rsidP="009813B1">
      <w:pPr>
        <w:pStyle w:val="BodyText1"/>
        <w:bidi/>
        <w:rPr>
          <w:rFonts w:ascii="Traditional Arabic" w:hAnsi="Traditional Arabic" w:cs="Traditional Arabic"/>
          <w:b/>
          <w:i/>
          <w:sz w:val="30"/>
          <w:szCs w:val="30"/>
          <w:rtl/>
          <w:lang w:val="en-GB"/>
        </w:rPr>
      </w:pPr>
      <w:r w:rsidRPr="00E663A6">
        <w:rPr>
          <w:rFonts w:ascii="Traditional Arabic" w:hAnsi="Traditional Arabic" w:cs="Traditional Arabic"/>
          <w:b/>
          <w:i/>
          <w:sz w:val="30"/>
          <w:szCs w:val="30"/>
          <w:rtl/>
          <w:lang w:val="en-GB"/>
        </w:rPr>
        <w:t>يتمتع الفاضل/ محسن الرستم بخبرة تزيد عن 15 عامًا في قطاعي الخدمات اللوجستية والبحرية، وهو متخصص في الشؤون المالية يركز على القيمة المستدامة والتميز المالي. وهو الرئيس المالي في مجموعة أسياد، حيث نجح في تشغيل وتطوير العمليات والأنظمة المالية وإدارة احتياجات تمويل الشركات والتحوط والسيولة. ويشغل منصب عضو مجلس إدارة شركة صلالة لخدمات الموانئ، وعضو مجلس الإدارة، ومستشار مجلس الإدارة، ورئيس لجنة التدقيق في شركة أبراج لخدمات الطاقة. وقد شغل، قبل توليه منصبه الحالي، منصب المدير العام للمالية في الشركة، بعد فترة في دبي كمدير للمالية في شركة عمان الدولية للتجارة، وعمل قبل ذلك في مناصب مختلفة في موانئ دبي العالمية</w:t>
      </w:r>
      <w:r w:rsidRPr="00E663A6">
        <w:rPr>
          <w:rFonts w:ascii="Traditional Arabic" w:hAnsi="Traditional Arabic" w:cs="Traditional Arabic"/>
          <w:b/>
          <w:i/>
          <w:sz w:val="30"/>
          <w:szCs w:val="30"/>
          <w:lang w:val="en-GB"/>
        </w:rPr>
        <w:t>.</w:t>
      </w:r>
    </w:p>
    <w:p w14:paraId="0B5514CB" w14:textId="77777777" w:rsidR="009813B1" w:rsidRDefault="009813B1" w:rsidP="009813B1">
      <w:pPr>
        <w:pStyle w:val="BodyText1"/>
        <w:bidi/>
        <w:rPr>
          <w:rFonts w:ascii="Traditional Arabic" w:hAnsi="Traditional Arabic" w:cs="Traditional Arabic"/>
          <w:b/>
          <w:i/>
          <w:sz w:val="30"/>
          <w:szCs w:val="30"/>
          <w:rtl/>
          <w:lang w:val="en-GB"/>
        </w:rPr>
      </w:pPr>
      <w:r w:rsidRPr="00E663A6">
        <w:rPr>
          <w:rFonts w:ascii="Traditional Arabic" w:hAnsi="Traditional Arabic" w:cs="Traditional Arabic"/>
          <w:b/>
          <w:i/>
          <w:sz w:val="30"/>
          <w:szCs w:val="30"/>
          <w:rtl/>
          <w:lang w:val="en-GB"/>
        </w:rPr>
        <w:t>حصل على درجة البكالوريوس في التجارة والاقتصاد (المحاسبة) من جامعة السلطان قابوس (سلطنة عمان)، وهو أيضًا محاسب قانوني وأمين صندوق. بالإضافة إلى ذلك، حصل على دبلوم في تمويل السفن وشراء السفن من أكاديمية لويدز البحرية (المملكة المتحدة). وهو عضو في المجلس الاستشاري للشرق الأوسط لرابطة أمناء صناديق الشركات وعضو في مجموعة الرؤساء الماليين المتقدمة في ائتلاف الرؤساء الماليين للاتفاق العالمي للأمم المتحدة من أجل أهداف التنمية المستدامة</w:t>
      </w:r>
      <w:r w:rsidRPr="00E663A6">
        <w:rPr>
          <w:rFonts w:ascii="Traditional Arabic" w:hAnsi="Traditional Arabic" w:cs="Traditional Arabic"/>
          <w:b/>
          <w:i/>
          <w:sz w:val="30"/>
          <w:szCs w:val="30"/>
          <w:lang w:val="en-GB"/>
        </w:rPr>
        <w:t>.</w:t>
      </w:r>
    </w:p>
    <w:p w14:paraId="5A0B7461" w14:textId="77777777" w:rsidR="00D87832" w:rsidRDefault="00D87832" w:rsidP="00D87832">
      <w:pPr>
        <w:pStyle w:val="BodyText1"/>
        <w:bidi/>
        <w:rPr>
          <w:rFonts w:ascii="Traditional Arabic" w:hAnsi="Traditional Arabic" w:cs="Traditional Arabic"/>
          <w:b/>
          <w:i/>
          <w:sz w:val="30"/>
          <w:szCs w:val="30"/>
          <w:rtl/>
          <w:lang w:val="en-GB"/>
        </w:rPr>
      </w:pPr>
    </w:p>
    <w:p w14:paraId="047C95C4" w14:textId="77777777" w:rsidR="00D87832" w:rsidRPr="00E663A6" w:rsidRDefault="00D87832" w:rsidP="00D87832">
      <w:pPr>
        <w:pStyle w:val="BodyText1"/>
        <w:bidi/>
        <w:rPr>
          <w:rFonts w:ascii="Traditional Arabic" w:hAnsi="Traditional Arabic" w:cs="Traditional Arabic"/>
          <w:b/>
          <w:i/>
          <w:sz w:val="30"/>
          <w:szCs w:val="30"/>
          <w:rtl/>
          <w:lang w:val="en-GB"/>
        </w:rPr>
      </w:pPr>
    </w:p>
    <w:p w14:paraId="3A8A4297" w14:textId="77777777" w:rsidR="009813B1" w:rsidRPr="00985281" w:rsidRDefault="00567ED1" w:rsidP="009813B1">
      <w:pPr>
        <w:pStyle w:val="BodyText1"/>
        <w:bidi/>
        <w:rPr>
          <w:rFonts w:ascii="Traditional Arabic" w:hAnsi="Traditional Arabic" w:cs="Traditional Arabic"/>
          <w:bCs/>
          <w:i/>
          <w:sz w:val="30"/>
          <w:szCs w:val="30"/>
          <w:rtl/>
          <w:lang w:val="en-GB"/>
        </w:rPr>
      </w:pPr>
      <w:r>
        <w:rPr>
          <w:rFonts w:ascii="Traditional Arabic" w:hAnsi="Traditional Arabic" w:cs="Traditional Arabic" w:hint="cs"/>
          <w:bCs/>
          <w:i/>
          <w:sz w:val="30"/>
          <w:szCs w:val="30"/>
          <w:rtl/>
          <w:lang w:val="en-GB"/>
        </w:rPr>
        <w:lastRenderedPageBreak/>
        <w:t>سليم خلاف</w:t>
      </w:r>
      <w:r w:rsidR="009813B1" w:rsidRPr="003E03A2">
        <w:rPr>
          <w:rFonts w:ascii="Traditional Arabic" w:hAnsi="Traditional Arabic" w:cs="Traditional Arabic"/>
          <w:bCs/>
          <w:i/>
          <w:sz w:val="30"/>
          <w:szCs w:val="30"/>
          <w:rtl/>
          <w:lang w:val="en-GB"/>
        </w:rPr>
        <w:t xml:space="preserve"> (</w:t>
      </w:r>
      <w:r w:rsidR="009813B1">
        <w:rPr>
          <w:rFonts w:ascii="Traditional Arabic" w:hAnsi="Traditional Arabic" w:cs="Traditional Arabic" w:hint="cs"/>
          <w:bCs/>
          <w:i/>
          <w:sz w:val="30"/>
          <w:szCs w:val="30"/>
          <w:rtl/>
          <w:lang w:val="en-GB"/>
        </w:rPr>
        <w:t>عضوا</w:t>
      </w:r>
      <w:r w:rsidR="009813B1" w:rsidRPr="003E03A2">
        <w:rPr>
          <w:rFonts w:ascii="Traditional Arabic" w:hAnsi="Traditional Arabic" w:cs="Traditional Arabic"/>
          <w:bCs/>
          <w:i/>
          <w:sz w:val="30"/>
          <w:szCs w:val="30"/>
          <w:rtl/>
          <w:lang w:val="en-GB"/>
        </w:rPr>
        <w:t>)</w:t>
      </w:r>
    </w:p>
    <w:p w14:paraId="65297225" w14:textId="77777777" w:rsidR="00D924D6" w:rsidRPr="00D924D6" w:rsidRDefault="00D924D6" w:rsidP="00985281">
      <w:pPr>
        <w:pStyle w:val="BodyText1"/>
        <w:bidi/>
        <w:rPr>
          <w:rFonts w:ascii="Traditional Arabic" w:hAnsi="Traditional Arabic" w:cs="Traditional Arabic"/>
          <w:b/>
          <w:i/>
          <w:sz w:val="30"/>
          <w:szCs w:val="30"/>
          <w:rtl/>
          <w:lang w:val="en-GB"/>
        </w:rPr>
      </w:pPr>
      <w:r w:rsidRPr="00D924D6">
        <w:rPr>
          <w:rFonts w:ascii="Traditional Arabic" w:hAnsi="Traditional Arabic" w:cs="Traditional Arabic"/>
          <w:b/>
          <w:i/>
          <w:sz w:val="30"/>
          <w:szCs w:val="30"/>
          <w:rtl/>
          <w:lang w:val="en-GB"/>
        </w:rPr>
        <w:t xml:space="preserve">يتمتع الفاضل/ سليم خلاف بخبرة تزيد على 20 عامًا في المعاملات، مع سجل حافل في الإشراف على معاملات </w:t>
      </w:r>
      <w:r w:rsidR="000D0428">
        <w:rPr>
          <w:rFonts w:ascii="Traditional Arabic" w:hAnsi="Traditional Arabic" w:cs="Traditional Arabic" w:hint="cs"/>
          <w:b/>
          <w:i/>
          <w:sz w:val="30"/>
          <w:szCs w:val="30"/>
          <w:rtl/>
          <w:lang w:val="en-GB"/>
        </w:rPr>
        <w:t>الدمج</w:t>
      </w:r>
      <w:r w:rsidR="000D0428" w:rsidRPr="00D924D6">
        <w:rPr>
          <w:rFonts w:ascii="Traditional Arabic" w:hAnsi="Traditional Arabic" w:cs="Traditional Arabic"/>
          <w:b/>
          <w:i/>
          <w:sz w:val="30"/>
          <w:szCs w:val="30"/>
          <w:rtl/>
          <w:lang w:val="en-GB"/>
        </w:rPr>
        <w:t xml:space="preserve"> </w:t>
      </w:r>
      <w:r w:rsidRPr="00D924D6">
        <w:rPr>
          <w:rFonts w:ascii="Traditional Arabic" w:hAnsi="Traditional Arabic" w:cs="Traditional Arabic"/>
          <w:b/>
          <w:i/>
          <w:sz w:val="30"/>
          <w:szCs w:val="30"/>
          <w:rtl/>
          <w:lang w:val="en-GB"/>
        </w:rPr>
        <w:t xml:space="preserve">والاستحواذ سواء من جانب الشراء أو البيع. ويشغل منصب رئيس مجموعة عمليات </w:t>
      </w:r>
      <w:r w:rsidR="00C32750">
        <w:rPr>
          <w:rFonts w:ascii="Traditional Arabic" w:hAnsi="Traditional Arabic" w:cs="Traditional Arabic" w:hint="cs"/>
          <w:b/>
          <w:i/>
          <w:sz w:val="30"/>
          <w:szCs w:val="30"/>
          <w:rtl/>
          <w:lang w:val="en-GB"/>
        </w:rPr>
        <w:t>الدمج</w:t>
      </w:r>
      <w:r w:rsidR="00C32750" w:rsidRPr="00D924D6">
        <w:rPr>
          <w:rFonts w:ascii="Traditional Arabic" w:hAnsi="Traditional Arabic" w:cs="Traditional Arabic"/>
          <w:b/>
          <w:i/>
          <w:sz w:val="30"/>
          <w:szCs w:val="30"/>
          <w:rtl/>
          <w:lang w:val="en-GB"/>
        </w:rPr>
        <w:t xml:space="preserve"> </w:t>
      </w:r>
      <w:r w:rsidRPr="00D924D6">
        <w:rPr>
          <w:rFonts w:ascii="Traditional Arabic" w:hAnsi="Traditional Arabic" w:cs="Traditional Arabic"/>
          <w:b/>
          <w:i/>
          <w:sz w:val="30"/>
          <w:szCs w:val="30"/>
          <w:rtl/>
          <w:lang w:val="en-GB"/>
        </w:rPr>
        <w:t>والاستحواذ وتطوير المحافظ في مجموعة أسياد، حيث يقود الأنشطة الاستثمارية لمجموعة أسياد ضمن أنشطة الاستثمار اللوجستي المتكامل. وقبل انضمامه إلى مجموعة أسياد، شغل منصب نائب الرئيس الأول للاستثمارات المباشرة في صندوق الاستثمارات العامة في المملكة العربية السعودية ومدير الاستثمار – الأسهم الخاصة في جهاز الاستثمار العماني. كما شغل سابقًا مناصب في بنك العز الإسلامي، وبرايس ووترهاوس كوبرز الشرق الأوسط، وإرنست ويونغ، وشركة فينكورب القابضة للاستثمار</w:t>
      </w:r>
      <w:r w:rsidRPr="00D924D6">
        <w:rPr>
          <w:rFonts w:ascii="Traditional Arabic" w:hAnsi="Traditional Arabic" w:cs="Traditional Arabic"/>
          <w:b/>
          <w:i/>
          <w:sz w:val="30"/>
          <w:szCs w:val="30"/>
          <w:lang w:val="en-GB"/>
        </w:rPr>
        <w:t>.</w:t>
      </w:r>
    </w:p>
    <w:p w14:paraId="020CE6BD" w14:textId="77777777" w:rsidR="00D924D6" w:rsidRPr="00E663A6" w:rsidRDefault="00D924D6" w:rsidP="00D924D6">
      <w:pPr>
        <w:pStyle w:val="BodyText1"/>
        <w:bidi/>
        <w:rPr>
          <w:rFonts w:ascii="Traditional Arabic" w:hAnsi="Traditional Arabic" w:cs="Traditional Arabic"/>
          <w:b/>
          <w:i/>
          <w:sz w:val="30"/>
          <w:szCs w:val="30"/>
          <w:rtl/>
          <w:lang w:val="en-GB"/>
        </w:rPr>
      </w:pPr>
      <w:r w:rsidRPr="00D924D6">
        <w:rPr>
          <w:rFonts w:ascii="Traditional Arabic" w:hAnsi="Traditional Arabic" w:cs="Traditional Arabic"/>
          <w:b/>
          <w:i/>
          <w:sz w:val="30"/>
          <w:szCs w:val="30"/>
          <w:rtl/>
          <w:lang w:val="en-GB"/>
        </w:rPr>
        <w:t>حصل على درجة البكالوريوس في إدارة الأعمال من جامعة القاهرة (مصر) ودرجة الماجستير في الشؤون المالية من جامعة ليستر (المملكة المتحدة).</w:t>
      </w:r>
    </w:p>
    <w:p w14:paraId="43FC8659" w14:textId="77777777" w:rsidR="00E663A6" w:rsidRPr="003E03A2" w:rsidRDefault="00E663A6" w:rsidP="00E663A6">
      <w:pPr>
        <w:pStyle w:val="BodyText1"/>
        <w:bidi/>
        <w:rPr>
          <w:rFonts w:ascii="Traditional Arabic" w:hAnsi="Traditional Arabic" w:cs="Traditional Arabic"/>
          <w:bCs/>
          <w:i/>
          <w:sz w:val="30"/>
          <w:szCs w:val="30"/>
          <w:rtl/>
          <w:lang w:val="en-GB"/>
        </w:rPr>
      </w:pPr>
      <w:r w:rsidRPr="003E03A2">
        <w:rPr>
          <w:rFonts w:ascii="Traditional Arabic" w:hAnsi="Traditional Arabic" w:cs="Traditional Arabic"/>
          <w:bCs/>
          <w:i/>
          <w:sz w:val="30"/>
          <w:szCs w:val="30"/>
          <w:rtl/>
          <w:lang w:val="en-GB"/>
        </w:rPr>
        <w:t>ديفيد ستوكلي (عضواً)</w:t>
      </w:r>
    </w:p>
    <w:p w14:paraId="49BAEC2F" w14:textId="77777777" w:rsidR="00E663A6" w:rsidRPr="00E663A6" w:rsidRDefault="00E663A6" w:rsidP="00E663A6">
      <w:pPr>
        <w:pStyle w:val="BodyText1"/>
        <w:bidi/>
        <w:rPr>
          <w:rFonts w:ascii="Traditional Arabic" w:hAnsi="Traditional Arabic" w:cs="Traditional Arabic"/>
          <w:b/>
          <w:i/>
          <w:sz w:val="30"/>
          <w:szCs w:val="30"/>
          <w:rtl/>
          <w:lang w:val="en-GB"/>
        </w:rPr>
      </w:pPr>
      <w:r w:rsidRPr="00E663A6">
        <w:rPr>
          <w:rFonts w:ascii="Traditional Arabic" w:hAnsi="Traditional Arabic" w:cs="Traditional Arabic"/>
          <w:b/>
          <w:i/>
          <w:sz w:val="30"/>
          <w:szCs w:val="30"/>
          <w:rtl/>
          <w:lang w:val="en-GB"/>
        </w:rPr>
        <w:t>يتمتع ديفيد ستوكلي بخبرة تزيد على 45 عامًا في مجال النقل البحري. وهو الشريك المؤسس لشركة سي تي سي مارين سولوشنز</w:t>
      </w:r>
      <w:r w:rsidRPr="00E663A6">
        <w:rPr>
          <w:rFonts w:ascii="Traditional Arabic" w:hAnsi="Traditional Arabic" w:cs="Traditional Arabic"/>
          <w:b/>
          <w:i/>
          <w:sz w:val="30"/>
          <w:szCs w:val="30"/>
          <w:lang w:val="en-GB"/>
        </w:rPr>
        <w:t xml:space="preserve"> (CTC Marine Solutions)</w:t>
      </w:r>
      <w:r w:rsidRPr="00E663A6">
        <w:rPr>
          <w:rFonts w:ascii="Traditional Arabic" w:hAnsi="Traditional Arabic" w:cs="Traditional Arabic"/>
          <w:b/>
          <w:i/>
          <w:sz w:val="30"/>
          <w:szCs w:val="30"/>
          <w:rtl/>
          <w:lang w:val="en-GB"/>
        </w:rPr>
        <w:t>، وهي شركة استشارية في مجال النقل البحري. وقد شغل، قبل توليه منصبه الحالي، منصب كبير المستشارين البحريين في مجموعة أسياد، والرئيس التنفيذي للعمليات في الشركة، والرئيس التنفيذي للعمليات في شركة ستيلث ماريتايم كوربوريشن، ومدير العمليات في جينيرال ماريتيم كوربوريشن. بدأ ديفيد مسيرته البحرية كمساعد ملاحة، ثم تدرج في الترقية إلى قبطان لسفن مختلفة يصل وزنها إلى 500,000 طن</w:t>
      </w:r>
      <w:r w:rsidRPr="00E663A6">
        <w:rPr>
          <w:rFonts w:ascii="Traditional Arabic" w:hAnsi="Traditional Arabic" w:cs="Traditional Arabic"/>
          <w:b/>
          <w:i/>
          <w:sz w:val="30"/>
          <w:szCs w:val="30"/>
          <w:lang w:val="en-GB"/>
        </w:rPr>
        <w:t>.</w:t>
      </w:r>
    </w:p>
    <w:p w14:paraId="2303AE7A" w14:textId="77777777" w:rsidR="00E663A6" w:rsidRPr="00E663A6" w:rsidRDefault="00E663A6" w:rsidP="00E663A6">
      <w:pPr>
        <w:pStyle w:val="BodyText1"/>
        <w:bidi/>
        <w:rPr>
          <w:rFonts w:ascii="Traditional Arabic" w:hAnsi="Traditional Arabic" w:cs="Traditional Arabic"/>
          <w:b/>
          <w:i/>
          <w:sz w:val="30"/>
          <w:szCs w:val="30"/>
          <w:rtl/>
          <w:lang w:val="en-GB"/>
        </w:rPr>
      </w:pPr>
      <w:r w:rsidRPr="00E663A6">
        <w:rPr>
          <w:rFonts w:ascii="Traditional Arabic" w:hAnsi="Traditional Arabic" w:cs="Traditional Arabic"/>
          <w:b/>
          <w:i/>
          <w:sz w:val="30"/>
          <w:szCs w:val="30"/>
          <w:rtl/>
          <w:lang w:val="en-GB"/>
        </w:rPr>
        <w:t>تخرج ديفيد من مدرسة هال البحرية مع درجة الماجستير، وحصل على شهادة "قائد سفينة في الرحلات الدولية من الدرجة الأولى" من وكالة البحرية وخفر السواحل</w:t>
      </w:r>
      <w:r w:rsidR="00EA41DB">
        <w:rPr>
          <w:rFonts w:ascii="Traditional Arabic" w:hAnsi="Traditional Arabic" w:cs="Traditional Arabic" w:hint="cs"/>
          <w:b/>
          <w:i/>
          <w:sz w:val="30"/>
          <w:szCs w:val="30"/>
          <w:rtl/>
          <w:lang w:val="en-GB"/>
        </w:rPr>
        <w:t xml:space="preserve"> بالمملكة المتحدة</w:t>
      </w:r>
      <w:r w:rsidRPr="00E663A6">
        <w:rPr>
          <w:rFonts w:ascii="Traditional Arabic" w:hAnsi="Traditional Arabic" w:cs="Traditional Arabic"/>
          <w:b/>
          <w:i/>
          <w:sz w:val="30"/>
          <w:szCs w:val="30"/>
          <w:lang w:val="en-GB"/>
        </w:rPr>
        <w:t>.</w:t>
      </w:r>
    </w:p>
    <w:p w14:paraId="5F494B45" w14:textId="77777777" w:rsidR="00E663A6" w:rsidRPr="003E03A2" w:rsidRDefault="00E663A6" w:rsidP="00E663A6">
      <w:pPr>
        <w:pStyle w:val="BodyText1"/>
        <w:bidi/>
        <w:rPr>
          <w:rFonts w:ascii="Traditional Arabic" w:hAnsi="Traditional Arabic" w:cs="Traditional Arabic"/>
          <w:bCs/>
          <w:i/>
          <w:sz w:val="30"/>
          <w:szCs w:val="30"/>
          <w:rtl/>
          <w:lang w:val="en-GB"/>
        </w:rPr>
      </w:pPr>
      <w:r w:rsidRPr="003E03A2">
        <w:rPr>
          <w:rFonts w:ascii="Traditional Arabic" w:hAnsi="Traditional Arabic" w:cs="Traditional Arabic"/>
          <w:bCs/>
          <w:i/>
          <w:sz w:val="30"/>
          <w:szCs w:val="30"/>
          <w:rtl/>
          <w:lang w:val="en-GB"/>
        </w:rPr>
        <w:t>بيدر سوندرجارد (عضواً)</w:t>
      </w:r>
    </w:p>
    <w:p w14:paraId="19D984D0" w14:textId="77777777" w:rsidR="00E663A6" w:rsidRPr="00E663A6" w:rsidRDefault="00E663A6" w:rsidP="00E663A6">
      <w:pPr>
        <w:pStyle w:val="BodyText1"/>
        <w:bidi/>
        <w:rPr>
          <w:rFonts w:ascii="Traditional Arabic" w:hAnsi="Traditional Arabic" w:cs="Traditional Arabic"/>
          <w:b/>
          <w:i/>
          <w:sz w:val="30"/>
          <w:szCs w:val="30"/>
          <w:rtl/>
          <w:lang w:val="en-GB"/>
        </w:rPr>
      </w:pPr>
      <w:r w:rsidRPr="00E663A6">
        <w:rPr>
          <w:rFonts w:ascii="Traditional Arabic" w:hAnsi="Traditional Arabic" w:cs="Traditional Arabic"/>
          <w:b/>
          <w:i/>
          <w:sz w:val="30"/>
          <w:szCs w:val="30"/>
          <w:rtl/>
          <w:lang w:val="en-GB"/>
        </w:rPr>
        <w:t>يتمتع الفاضل/ بيدر سوندرجارد بخبرة تزيد على 40 عامًا في قطاع الملاحة البحرية. وهو الرئيس التنفيذي لشركة أنكورد بي في، وهي شركة استشارية هولندية نشطة في قطاع الملاحة البحرية، ويعمل في مجالس إدارة شركة كاريكس، والموانئ العالمية، وموانئ دبي العالمية السخنة</w:t>
      </w:r>
      <w:r w:rsidRPr="00E663A6">
        <w:rPr>
          <w:rFonts w:ascii="Traditional Arabic" w:hAnsi="Traditional Arabic" w:cs="Traditional Arabic"/>
          <w:b/>
          <w:i/>
          <w:sz w:val="30"/>
          <w:szCs w:val="30"/>
          <w:lang w:val="en-GB"/>
        </w:rPr>
        <w:t xml:space="preserve">. </w:t>
      </w:r>
    </w:p>
    <w:p w14:paraId="48C8E4DF" w14:textId="77777777" w:rsidR="00E663A6" w:rsidRPr="003E03A2" w:rsidRDefault="00D16F38" w:rsidP="00E663A6">
      <w:pPr>
        <w:pStyle w:val="BodyText1"/>
        <w:bidi/>
        <w:spacing w:after="0"/>
        <w:rPr>
          <w:rFonts w:ascii="Traditional Arabic" w:hAnsi="Traditional Arabic" w:cs="Traditional Arabic"/>
          <w:b/>
          <w:i/>
          <w:sz w:val="30"/>
          <w:szCs w:val="30"/>
          <w:lang w:val="en-GB"/>
        </w:rPr>
      </w:pPr>
      <w:r w:rsidRPr="00D16F38">
        <w:rPr>
          <w:rFonts w:ascii="Traditional Arabic" w:hAnsi="Traditional Arabic" w:cs="Traditional Arabic"/>
          <w:b/>
          <w:i/>
          <w:sz w:val="30"/>
          <w:szCs w:val="30"/>
          <w:rtl/>
          <w:lang w:val="en-GB"/>
        </w:rPr>
        <w:t>حصل بيدر على درجة ماجستير في البحرية التجارية من جامعة كوبنهاغن البحرية (الدنمارك) وأكمل عددًا من برامج التعليم التنفيذي، بما في ذلك في كلية لندن للأعمال (المملكة المتحدة)، وكلية أي إم دي للإدارة (سويسرا)، وجامعة كورنيل (الولايات المتحدة الأمريكية) وكلية هارفارد للأعمال (الولايات المتحدة الأمريكية).</w:t>
      </w:r>
    </w:p>
    <w:p w14:paraId="5E011986" w14:textId="77777777" w:rsidR="00E07F3D" w:rsidRPr="003E03A2" w:rsidRDefault="00E07F3D" w:rsidP="003E03A2">
      <w:pPr>
        <w:pStyle w:val="BodyText1"/>
        <w:bidi/>
        <w:spacing w:after="0"/>
        <w:rPr>
          <w:rFonts w:ascii="Traditional Arabic" w:hAnsi="Traditional Arabic" w:cs="Traditional Arabic"/>
          <w:b/>
          <w:i/>
          <w:sz w:val="30"/>
          <w:szCs w:val="30"/>
        </w:rPr>
      </w:pPr>
    </w:p>
    <w:p w14:paraId="6B3D13B3" w14:textId="77777777" w:rsidR="00F74FFA" w:rsidRPr="00EB5BCF" w:rsidRDefault="00F74FFA" w:rsidP="00F74FFA">
      <w:pPr>
        <w:autoSpaceDE w:val="0"/>
        <w:autoSpaceDN w:val="0"/>
        <w:bidi/>
        <w:adjustRightInd w:val="0"/>
        <w:jc w:val="both"/>
        <w:rPr>
          <w:rFonts w:ascii="Traditional Arabic" w:hAnsi="Traditional Arabic" w:cs="Traditional Arabic"/>
          <w:sz w:val="30"/>
          <w:szCs w:val="30"/>
          <w:rtl/>
        </w:rPr>
      </w:pPr>
    </w:p>
    <w:p w14:paraId="2129BB0E" w14:textId="77777777" w:rsidR="00F64E29" w:rsidRPr="00EB5BCF" w:rsidRDefault="00F64E29" w:rsidP="00F64E29">
      <w:pPr>
        <w:bidi/>
        <w:jc w:val="both"/>
        <w:rPr>
          <w:rFonts w:ascii="Traditional Arabic" w:hAnsi="Traditional Arabic" w:cs="Traditional Arabic"/>
          <w:b/>
          <w:bCs/>
          <w:sz w:val="30"/>
          <w:szCs w:val="30"/>
          <w:rtl/>
          <w:lang w:val="en-GB" w:bidi="ar"/>
        </w:rPr>
      </w:pPr>
      <w:r w:rsidRPr="00EB5BCF">
        <w:rPr>
          <w:rFonts w:ascii="Traditional Arabic" w:hAnsi="Traditional Arabic" w:cs="Traditional Arabic"/>
          <w:b/>
          <w:bCs/>
          <w:sz w:val="30"/>
          <w:szCs w:val="30"/>
          <w:rtl/>
          <w:lang w:val="en-GB"/>
        </w:rPr>
        <w:t>الامتثال للقوانين السارية</w:t>
      </w:r>
    </w:p>
    <w:p w14:paraId="58F9D9D5" w14:textId="77777777" w:rsidR="00F12012" w:rsidRDefault="00F64E29" w:rsidP="00F12012">
      <w:pPr>
        <w:bidi/>
        <w:jc w:val="both"/>
        <w:rPr>
          <w:rFonts w:ascii="Traditional Arabic" w:hAnsi="Traditional Arabic" w:cs="Traditional Arabic"/>
          <w:sz w:val="30"/>
          <w:szCs w:val="30"/>
          <w:rtl/>
        </w:rPr>
      </w:pPr>
      <w:r w:rsidRPr="00EB5BCF">
        <w:rPr>
          <w:rFonts w:ascii="Traditional Arabic" w:hAnsi="Traditional Arabic" w:cs="Traditional Arabic"/>
          <w:sz w:val="30"/>
          <w:szCs w:val="30"/>
          <w:rtl/>
          <w:lang w:val="en-GB"/>
        </w:rPr>
        <w:t>تأسست الشركة كشركة مساهمة عمانية مقفلة</w:t>
      </w:r>
      <w:r w:rsidR="00444FE7">
        <w:rPr>
          <w:rFonts w:ascii="Traditional Arabic" w:hAnsi="Traditional Arabic" w:cs="Traditional Arabic" w:hint="cs"/>
          <w:sz w:val="30"/>
          <w:szCs w:val="30"/>
          <w:rtl/>
          <w:lang w:val="en-GB"/>
        </w:rPr>
        <w:t xml:space="preserve"> </w:t>
      </w:r>
      <w:r w:rsidRPr="00EB5BCF">
        <w:rPr>
          <w:rFonts w:ascii="Traditional Arabic" w:hAnsi="Traditional Arabic" w:cs="Traditional Arabic"/>
          <w:sz w:val="30"/>
          <w:szCs w:val="30"/>
          <w:rtl/>
          <w:lang w:val="en-GB"/>
        </w:rPr>
        <w:t xml:space="preserve">وهي قيد التحول </w:t>
      </w:r>
      <w:r w:rsidR="00444FE7">
        <w:rPr>
          <w:rFonts w:ascii="Traditional Arabic" w:hAnsi="Traditional Arabic" w:cs="Traditional Arabic" w:hint="cs"/>
          <w:sz w:val="30"/>
          <w:szCs w:val="30"/>
          <w:rtl/>
          <w:lang w:val="en-GB"/>
        </w:rPr>
        <w:t xml:space="preserve">إلى </w:t>
      </w:r>
      <w:r w:rsidRPr="00EB5BCF">
        <w:rPr>
          <w:rFonts w:ascii="Traditional Arabic" w:hAnsi="Traditional Arabic" w:cs="Traditional Arabic"/>
          <w:sz w:val="30"/>
          <w:szCs w:val="30"/>
          <w:rtl/>
          <w:lang w:val="en-GB"/>
        </w:rPr>
        <w:t>شركة مساهمة عمانية عامة</w:t>
      </w:r>
      <w:r w:rsidR="00444FE7">
        <w:rPr>
          <w:rFonts w:ascii="Traditional Arabic" w:hAnsi="Traditional Arabic" w:cs="Traditional Arabic" w:hint="cs"/>
          <w:sz w:val="30"/>
          <w:szCs w:val="30"/>
          <w:rtl/>
          <w:lang w:val="en-GB"/>
        </w:rPr>
        <w:t xml:space="preserve">، </w:t>
      </w:r>
      <w:r w:rsidR="00F12012" w:rsidRPr="00CD53BC">
        <w:rPr>
          <w:rFonts w:ascii="Traditional Arabic" w:hAnsi="Traditional Arabic" w:cs="Traditional Arabic"/>
          <w:sz w:val="30"/>
          <w:szCs w:val="30"/>
          <w:rtl/>
        </w:rPr>
        <w:t xml:space="preserve">وقد </w:t>
      </w:r>
      <w:r w:rsidR="00F12012" w:rsidRPr="00CD53BC">
        <w:rPr>
          <w:rFonts w:ascii="Traditional Arabic" w:hAnsi="Traditional Arabic" w:cs="Traditional Arabic" w:hint="eastAsia"/>
          <w:sz w:val="30"/>
          <w:szCs w:val="30"/>
          <w:rtl/>
        </w:rPr>
        <w:t>انتخبت</w:t>
      </w:r>
      <w:r w:rsidR="00F12012" w:rsidRPr="00CD53BC">
        <w:rPr>
          <w:rFonts w:ascii="Traditional Arabic" w:hAnsi="Traditional Arabic" w:cs="Traditional Arabic"/>
          <w:sz w:val="30"/>
          <w:szCs w:val="30"/>
          <w:rtl/>
        </w:rPr>
        <w:t xml:space="preserve"> مجلس </w:t>
      </w:r>
      <w:r w:rsidR="00F12012" w:rsidRPr="00CD53BC">
        <w:rPr>
          <w:rFonts w:ascii="Traditional Arabic" w:hAnsi="Traditional Arabic" w:cs="Traditional Arabic" w:hint="eastAsia"/>
          <w:sz w:val="30"/>
          <w:szCs w:val="30"/>
          <w:rtl/>
        </w:rPr>
        <w:t>إدارتها</w:t>
      </w:r>
      <w:r w:rsidR="00F12012" w:rsidRPr="00CD53BC">
        <w:rPr>
          <w:rFonts w:ascii="Traditional Arabic" w:hAnsi="Traditional Arabic" w:cs="Traditional Arabic"/>
          <w:sz w:val="30"/>
          <w:szCs w:val="30"/>
          <w:rtl/>
        </w:rPr>
        <w:t xml:space="preserve"> وفقاً لمتطلبات </w:t>
      </w:r>
      <w:r w:rsidR="00F12012">
        <w:rPr>
          <w:rFonts w:ascii="Traditional Arabic" w:hAnsi="Traditional Arabic" w:cs="Traditional Arabic" w:hint="cs"/>
          <w:sz w:val="30"/>
          <w:szCs w:val="30"/>
          <w:rtl/>
        </w:rPr>
        <w:t>هيئة الخدمات المالية</w:t>
      </w:r>
      <w:r w:rsidR="00F12012" w:rsidRPr="00CD53BC">
        <w:rPr>
          <w:rFonts w:ascii="Traditional Arabic" w:hAnsi="Traditional Arabic" w:cs="Traditional Arabic"/>
          <w:sz w:val="30"/>
          <w:szCs w:val="30"/>
          <w:rtl/>
        </w:rPr>
        <w:t xml:space="preserve"> وقانون الشركات التجارية وتعديلاته، بما في ذلك الشرط الخاص بالأعضاء المستقلين؛ وهو مجلس يخدم مصالح جميع المساهمين ويتألف من </w:t>
      </w:r>
      <w:r w:rsidR="00EA41DB">
        <w:rPr>
          <w:rFonts w:ascii="Traditional Arabic" w:hAnsi="Traditional Arabic" w:cs="Traditional Arabic" w:hint="cs"/>
          <w:sz w:val="30"/>
          <w:szCs w:val="30"/>
          <w:rtl/>
          <w:lang w:bidi="ar-OM"/>
        </w:rPr>
        <w:t>خمسة</w:t>
      </w:r>
      <w:r w:rsidR="00EA41DB" w:rsidRPr="00CD53BC">
        <w:rPr>
          <w:rFonts w:ascii="Traditional Arabic" w:hAnsi="Traditional Arabic" w:cs="Traditional Arabic"/>
          <w:sz w:val="30"/>
          <w:szCs w:val="30"/>
          <w:rtl/>
          <w:lang w:bidi="ar-OM"/>
        </w:rPr>
        <w:t xml:space="preserve"> </w:t>
      </w:r>
      <w:r w:rsidR="00F12012" w:rsidRPr="00CD53BC">
        <w:rPr>
          <w:rFonts w:ascii="Traditional Arabic" w:hAnsi="Traditional Arabic" w:cs="Traditional Arabic"/>
          <w:sz w:val="30"/>
          <w:szCs w:val="30"/>
          <w:rtl/>
          <w:lang w:bidi="ar-OM"/>
        </w:rPr>
        <w:t>أعضاء</w:t>
      </w:r>
      <w:r w:rsidR="00F12012" w:rsidRPr="00CD53BC">
        <w:rPr>
          <w:rFonts w:ascii="Traditional Arabic" w:hAnsi="Traditional Arabic" w:cs="Traditional Arabic"/>
          <w:sz w:val="30"/>
          <w:szCs w:val="30"/>
          <w:rtl/>
        </w:rPr>
        <w:t xml:space="preserve">؛ منهم </w:t>
      </w:r>
      <w:r w:rsidR="00EA41DB">
        <w:rPr>
          <w:rFonts w:ascii="Traditional Arabic" w:hAnsi="Traditional Arabic" w:cs="Traditional Arabic" w:hint="cs"/>
          <w:sz w:val="30"/>
          <w:szCs w:val="30"/>
          <w:rtl/>
        </w:rPr>
        <w:t>عضوان</w:t>
      </w:r>
      <w:r w:rsidR="00EA41DB" w:rsidRPr="00CD53BC">
        <w:rPr>
          <w:rFonts w:ascii="Traditional Arabic" w:hAnsi="Traditional Arabic" w:cs="Traditional Arabic"/>
          <w:sz w:val="30"/>
          <w:szCs w:val="30"/>
          <w:rtl/>
        </w:rPr>
        <w:t xml:space="preserve"> </w:t>
      </w:r>
      <w:r w:rsidR="003E5E4D">
        <w:rPr>
          <w:rFonts w:ascii="Traditional Arabic" w:hAnsi="Traditional Arabic" w:cs="Traditional Arabic" w:hint="cs"/>
          <w:sz w:val="30"/>
          <w:szCs w:val="30"/>
          <w:rtl/>
        </w:rPr>
        <w:t>مستقلان</w:t>
      </w:r>
      <w:r w:rsidR="00F12012" w:rsidRPr="00CD53BC">
        <w:rPr>
          <w:rFonts w:ascii="Traditional Arabic" w:hAnsi="Traditional Arabic" w:cs="Traditional Arabic"/>
          <w:sz w:val="30"/>
          <w:szCs w:val="30"/>
          <w:rtl/>
        </w:rPr>
        <w:t xml:space="preserve"> وذلك طبقًا لتعريف "العضو المستقل" الوارد في المبدأ الثامن من ميثاق تنظيم وإدارة شركات المساهمة.</w:t>
      </w:r>
    </w:p>
    <w:p w14:paraId="0426A0BE" w14:textId="77777777" w:rsidR="00F64E29" w:rsidRPr="00EB5BCF" w:rsidRDefault="00F64E29" w:rsidP="00F64E29">
      <w:pPr>
        <w:bidi/>
        <w:jc w:val="both"/>
        <w:rPr>
          <w:rFonts w:ascii="Traditional Arabic" w:hAnsi="Traditional Arabic" w:cs="Traditional Arabic"/>
          <w:sz w:val="30"/>
          <w:szCs w:val="30"/>
          <w:rtl/>
          <w:lang w:val="en-GB" w:bidi="ar"/>
        </w:rPr>
      </w:pPr>
    </w:p>
    <w:p w14:paraId="58F13CC3" w14:textId="77777777" w:rsidR="00A5232A" w:rsidRPr="00EB5BCF" w:rsidRDefault="00A5232A" w:rsidP="00F64E29">
      <w:pPr>
        <w:bidi/>
        <w:mirrorIndents/>
        <w:jc w:val="both"/>
        <w:rPr>
          <w:rFonts w:ascii="Traditional Arabic" w:hAnsi="Traditional Arabic" w:cs="Traditional Arabic"/>
          <w:b/>
          <w:bCs/>
          <w:sz w:val="30"/>
          <w:szCs w:val="30"/>
          <w:rtl/>
          <w:lang w:val="en-GB"/>
        </w:rPr>
      </w:pPr>
      <w:r w:rsidRPr="00EB5BCF">
        <w:rPr>
          <w:rFonts w:ascii="Traditional Arabic" w:hAnsi="Traditional Arabic" w:cs="Traditional Arabic"/>
          <w:b/>
          <w:bCs/>
          <w:sz w:val="30"/>
          <w:szCs w:val="30"/>
          <w:rtl/>
          <w:lang w:val="en-GB"/>
        </w:rPr>
        <w:t>انتخاب أعضاء مجلس الإدارة</w:t>
      </w:r>
    </w:p>
    <w:p w14:paraId="39B4F755" w14:textId="77777777" w:rsidR="00F64E29" w:rsidRPr="00EB5BCF" w:rsidRDefault="00F64E29" w:rsidP="00A5232A">
      <w:pPr>
        <w:bidi/>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يتم انتخاب أعضاء مجلس الإدارة من قبل المساهمين في اجتماع الجمعية العامة العادية عبر اقتراع سري، حيث يتمتع كل مساهم بعدد من الأصوات مساوياً لعدد الأسهم التي يمتلكها بالشركة ويحق له التصويت بها جميعاً لمرشح واحد أو تقسيمها بين من يختارهم من المرشحين عبر بطاقة التصويت بحيث لا يتجاوز إجمالي الأصوات التي تم منحها لكل المرشحين عدد إجمالي الأسهم التي يملكها</w:t>
      </w:r>
      <w:r w:rsidR="008B7DDC" w:rsidRPr="00EB5BCF">
        <w:rPr>
          <w:rFonts w:ascii="Traditional Arabic" w:hAnsi="Traditional Arabic" w:cs="Traditional Arabic"/>
          <w:sz w:val="30"/>
          <w:szCs w:val="30"/>
          <w:rtl/>
          <w:lang w:val="en-GB"/>
        </w:rPr>
        <w:t>، على أن ي</w:t>
      </w:r>
      <w:r w:rsidRPr="00EB5BCF">
        <w:rPr>
          <w:rFonts w:ascii="Traditional Arabic" w:hAnsi="Traditional Arabic" w:cs="Traditional Arabic"/>
          <w:sz w:val="30"/>
          <w:szCs w:val="30"/>
          <w:rtl/>
          <w:lang w:val="en-GB"/>
        </w:rPr>
        <w:t>تم إعلان الأشخاص المرشحين الذين يحصلون على أعلى الأصوات أعضاء</w:t>
      </w:r>
      <w:r w:rsidR="008B7DDC"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 xml:space="preserve"> منتخبين في مجلس الإدارة.</w:t>
      </w:r>
    </w:p>
    <w:p w14:paraId="6E814055" w14:textId="77777777" w:rsidR="00F64E29" w:rsidRPr="00EB5BCF" w:rsidRDefault="00F64E29" w:rsidP="00F64E29">
      <w:pPr>
        <w:bidi/>
        <w:mirrorIndents/>
        <w:jc w:val="both"/>
        <w:rPr>
          <w:rFonts w:ascii="Traditional Arabic" w:hAnsi="Traditional Arabic" w:cs="Traditional Arabic"/>
          <w:sz w:val="30"/>
          <w:szCs w:val="30"/>
          <w:rtl/>
          <w:lang w:val="en-GB"/>
        </w:rPr>
      </w:pPr>
    </w:p>
    <w:p w14:paraId="6F8DEF84" w14:textId="77777777" w:rsidR="00F64E29" w:rsidRPr="00EB5BCF" w:rsidRDefault="008B7DDC" w:rsidP="00F64E29">
      <w:pPr>
        <w:bidi/>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و</w:t>
      </w:r>
      <w:r w:rsidR="00F64E29" w:rsidRPr="00EB5BCF">
        <w:rPr>
          <w:rFonts w:ascii="Traditional Arabic" w:hAnsi="Traditional Arabic" w:cs="Traditional Arabic"/>
          <w:sz w:val="30"/>
          <w:szCs w:val="30"/>
          <w:rtl/>
          <w:lang w:val="en-GB"/>
        </w:rPr>
        <w:t xml:space="preserve">استناداً إلى أحكام المادة 115 من لائحة الشركات المساهمة العامة، ودون الإخلال بأحكام </w:t>
      </w:r>
      <w:r w:rsidR="001D0B43">
        <w:rPr>
          <w:rFonts w:ascii="Traditional Arabic" w:hAnsi="Traditional Arabic" w:cs="Traditional Arabic" w:hint="cs"/>
          <w:sz w:val="30"/>
          <w:szCs w:val="30"/>
          <w:rtl/>
          <w:lang w:val="en-GB"/>
        </w:rPr>
        <w:t>قانون الشركات التجارية و</w:t>
      </w:r>
      <w:r w:rsidR="00F64E29" w:rsidRPr="00EB5BCF">
        <w:rPr>
          <w:rFonts w:ascii="Traditional Arabic" w:hAnsi="Traditional Arabic" w:cs="Traditional Arabic"/>
          <w:sz w:val="30"/>
          <w:szCs w:val="30"/>
          <w:rtl/>
          <w:lang w:val="en-GB"/>
        </w:rPr>
        <w:t>ميثاق حوكمة وإدارة الشركات المساهمة، يُشترط فيمن يرغب في الترشح لعضوية مجلس إدارة الشركة تقديم ما يفيد استيفاء الشروط الآتية:</w:t>
      </w:r>
    </w:p>
    <w:p w14:paraId="332A97DC" w14:textId="77777777" w:rsidR="00F64E29" w:rsidRPr="00EB5BCF" w:rsidRDefault="00F64E29" w:rsidP="00F64E29">
      <w:pPr>
        <w:bidi/>
        <w:mirrorIndents/>
        <w:jc w:val="both"/>
        <w:rPr>
          <w:rFonts w:ascii="Traditional Arabic" w:hAnsi="Traditional Arabic" w:cs="Traditional Arabic"/>
          <w:sz w:val="30"/>
          <w:szCs w:val="30"/>
          <w:lang w:val="en-GB"/>
        </w:rPr>
      </w:pPr>
    </w:p>
    <w:p w14:paraId="0410A4F9" w14:textId="77777777" w:rsidR="00F64E29" w:rsidRPr="00EB5BCF"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أن يكون شخصا طبيعيا.</w:t>
      </w:r>
    </w:p>
    <w:p w14:paraId="0D9593F7" w14:textId="77777777" w:rsidR="00F64E29" w:rsidRPr="00EB5BCF"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أن يكون حسن السيرة والسمعة</w:t>
      </w:r>
      <w:r w:rsidRPr="00EB5BCF">
        <w:rPr>
          <w:rFonts w:ascii="Traditional Arabic" w:hAnsi="Traditional Arabic" w:cs="Traditional Arabic"/>
          <w:sz w:val="30"/>
          <w:szCs w:val="30"/>
          <w:lang w:val="en-GB"/>
        </w:rPr>
        <w:t xml:space="preserve">  </w:t>
      </w:r>
    </w:p>
    <w:p w14:paraId="3E5A245A" w14:textId="77777777" w:rsidR="00F64E29" w:rsidRPr="00EB5BCF"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ألا يقل عمره عن (25) خمس وعشرين سن</w:t>
      </w:r>
      <w:r w:rsidR="00D359D6" w:rsidRPr="00EB5BCF">
        <w:rPr>
          <w:rFonts w:ascii="Traditional Arabic" w:hAnsi="Traditional Arabic" w:cs="Traditional Arabic"/>
          <w:sz w:val="30"/>
          <w:szCs w:val="30"/>
          <w:rtl/>
          <w:lang w:val="en-GB"/>
        </w:rPr>
        <w:t>ة.</w:t>
      </w:r>
    </w:p>
    <w:p w14:paraId="23315E53" w14:textId="77777777" w:rsidR="00F64E29" w:rsidRPr="00EB5BCF"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أن يكون لديه رقم مساهم مسجل لدى شركة مسقط للمقاصة والإيداع.</w:t>
      </w:r>
    </w:p>
    <w:p w14:paraId="37FC5086" w14:textId="77777777" w:rsidR="00F64E29" w:rsidRPr="00EB5BCF"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 xml:space="preserve">ألا يكون عاجزاً عن سداد مديونيته </w:t>
      </w:r>
      <w:r w:rsidR="00F57D90" w:rsidRPr="00EB5BCF">
        <w:rPr>
          <w:rFonts w:ascii="Traditional Arabic" w:hAnsi="Traditional Arabic" w:cs="Traditional Arabic"/>
          <w:sz w:val="30"/>
          <w:szCs w:val="30"/>
          <w:rtl/>
          <w:lang w:val="en-GB"/>
        </w:rPr>
        <w:t>للشركة.</w:t>
      </w:r>
    </w:p>
    <w:p w14:paraId="65A9EB43" w14:textId="77777777" w:rsidR="00F64E29" w:rsidRPr="00EB5BCF"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 xml:space="preserve">ألا يكون قد حُكم عليه في جناية أو جريمة مخلة بالشرف والأمانة ما لم يكن قد رُد إليه اعتباره، أو بالإفلاس أو بالإعسار </w:t>
      </w:r>
    </w:p>
    <w:p w14:paraId="42B3473A" w14:textId="77777777" w:rsidR="00F64E29" w:rsidRPr="00EB5BCF"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ألا يكون متسببا بتصرفات فردية أو ضمن المسؤولية الجماعية لمجلس الإدارة في إفلاس إحدى الشركات.</w:t>
      </w:r>
    </w:p>
    <w:p w14:paraId="72C04665" w14:textId="77777777" w:rsidR="00F64E29" w:rsidRPr="00EB5BCF"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إذا كان مترشحا بصفته عضوا مستقلا فيقدم إقرارا بذلك وبأنه ستسقط عضويته إذا فقد صفة الاستقلالية.</w:t>
      </w:r>
    </w:p>
    <w:p w14:paraId="55599816" w14:textId="77777777" w:rsidR="00E77F2C"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ألا يترتب على اكتسابه العضوية أن يصبح عضوا في أكثر من (4) أربع شركات مساهمة عامة مركز عملها الرئيسي في السلطنة</w:t>
      </w:r>
    </w:p>
    <w:p w14:paraId="692C6685" w14:textId="77777777" w:rsidR="00F64E29" w:rsidRPr="00EB5BCF"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وألا يكون رئيسا لمجلس إدارة أكثر من شركتين.</w:t>
      </w:r>
      <w:r w:rsidRPr="00EB5BCF">
        <w:rPr>
          <w:rFonts w:ascii="Traditional Arabic" w:hAnsi="Traditional Arabic" w:cs="Traditional Arabic"/>
          <w:sz w:val="30"/>
          <w:szCs w:val="30"/>
          <w:lang w:val="en-GB"/>
        </w:rPr>
        <w:t xml:space="preserve"> </w:t>
      </w:r>
    </w:p>
    <w:p w14:paraId="6765F70C" w14:textId="77777777" w:rsidR="00F64E29" w:rsidRPr="00EB5BCF" w:rsidRDefault="00F64E29" w:rsidP="00922116">
      <w:pPr>
        <w:pStyle w:val="ListParagraph"/>
        <w:numPr>
          <w:ilvl w:val="0"/>
          <w:numId w:val="9"/>
        </w:numPr>
        <w:bidi/>
        <w:ind w:left="380" w:hanging="425"/>
        <w:contextualSpacing w:val="0"/>
        <w:mirrorIndents/>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lastRenderedPageBreak/>
        <w:t>ألا يكون عاملًا أو عضوا في مجلس إدارة شركة مساهمة عامة أو مقفلة تمارس أغراضًا مشابهة لأغراض الشركة التي يتقدم للترشيح لعضوية مجلس إدارتها.</w:t>
      </w:r>
    </w:p>
    <w:p w14:paraId="4DC3756E" w14:textId="77777777" w:rsidR="00F64E29" w:rsidRPr="00EB5BCF" w:rsidRDefault="00F64E29" w:rsidP="00F64E29">
      <w:pPr>
        <w:bidi/>
        <w:mirrorIndents/>
        <w:jc w:val="both"/>
        <w:rPr>
          <w:rFonts w:ascii="Traditional Arabic" w:hAnsi="Traditional Arabic" w:cs="Traditional Arabic"/>
          <w:sz w:val="30"/>
          <w:szCs w:val="30"/>
          <w:rtl/>
          <w:lang w:val="en-GB"/>
        </w:rPr>
      </w:pPr>
    </w:p>
    <w:p w14:paraId="5E7CD048" w14:textId="77777777" w:rsidR="00F64E29" w:rsidRPr="00EB5BCF" w:rsidRDefault="00F64E29" w:rsidP="00F64E29">
      <w:pPr>
        <w:bidi/>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 xml:space="preserve">ومع عدم الإخلال بأي من أحكام </w:t>
      </w:r>
      <w:r w:rsidR="00D739DC" w:rsidRPr="00EB5BCF">
        <w:rPr>
          <w:rFonts w:ascii="Traditional Arabic" w:hAnsi="Traditional Arabic" w:cs="Traditional Arabic"/>
          <w:sz w:val="30"/>
          <w:szCs w:val="30"/>
          <w:rtl/>
          <w:lang w:val="en-GB"/>
        </w:rPr>
        <w:t>اللائحة</w:t>
      </w:r>
      <w:r w:rsidRPr="00EB5BCF">
        <w:rPr>
          <w:rFonts w:ascii="Traditional Arabic" w:hAnsi="Traditional Arabic" w:cs="Traditional Arabic"/>
          <w:sz w:val="30"/>
          <w:szCs w:val="30"/>
          <w:rtl/>
          <w:lang w:val="en-GB"/>
        </w:rPr>
        <w:t xml:space="preserve"> </w:t>
      </w:r>
      <w:r w:rsidR="00E77F2C">
        <w:rPr>
          <w:rFonts w:ascii="Traditional Arabic" w:hAnsi="Traditional Arabic" w:cs="Traditional Arabic" w:hint="cs"/>
          <w:sz w:val="30"/>
          <w:szCs w:val="30"/>
          <w:rtl/>
          <w:lang w:val="en-GB"/>
        </w:rPr>
        <w:t xml:space="preserve">وقانون الشركات التجارية </w:t>
      </w:r>
      <w:r w:rsidRPr="00EB5BCF">
        <w:rPr>
          <w:rFonts w:ascii="Traditional Arabic" w:hAnsi="Traditional Arabic" w:cs="Traditional Arabic"/>
          <w:sz w:val="30"/>
          <w:szCs w:val="30"/>
          <w:rtl/>
          <w:lang w:val="en-GB"/>
        </w:rPr>
        <w:t>المذكورة أعلاه، يتعين مراعاة ما يلي عند تشكيل مجلس إدارة الشركة:</w:t>
      </w:r>
    </w:p>
    <w:p w14:paraId="754F3365" w14:textId="77777777" w:rsidR="00F64E29" w:rsidRPr="00EB5BCF" w:rsidRDefault="00F64E29" w:rsidP="00F64E29">
      <w:pPr>
        <w:bidi/>
        <w:mirrorIndents/>
        <w:jc w:val="both"/>
        <w:rPr>
          <w:rFonts w:ascii="Traditional Arabic" w:hAnsi="Traditional Arabic" w:cs="Traditional Arabic"/>
          <w:sz w:val="30"/>
          <w:szCs w:val="30"/>
          <w:lang w:val="en-GB"/>
        </w:rPr>
      </w:pPr>
    </w:p>
    <w:p w14:paraId="7A739057" w14:textId="77777777" w:rsidR="00F64E29" w:rsidRPr="00EB5BCF" w:rsidRDefault="00F64E29" w:rsidP="00922116">
      <w:pPr>
        <w:pStyle w:val="ListParagraph"/>
        <w:numPr>
          <w:ilvl w:val="0"/>
          <w:numId w:val="10"/>
        </w:numPr>
        <w:bidi/>
        <w:ind w:left="207" w:hanging="270"/>
        <w:contextualSpacing w:val="0"/>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أن يكون جميع أعضاء المجلس من الأعضاء غير التنفيذيين.</w:t>
      </w:r>
    </w:p>
    <w:p w14:paraId="3E75541D" w14:textId="77777777" w:rsidR="00F64E29" w:rsidRPr="00EB5BCF" w:rsidRDefault="00F64E29" w:rsidP="00922116">
      <w:pPr>
        <w:pStyle w:val="ListParagraph"/>
        <w:numPr>
          <w:ilvl w:val="0"/>
          <w:numId w:val="10"/>
        </w:numPr>
        <w:tabs>
          <w:tab w:val="left" w:pos="720"/>
          <w:tab w:val="left" w:pos="1440"/>
          <w:tab w:val="left" w:pos="2160"/>
          <w:tab w:val="left" w:pos="2880"/>
          <w:tab w:val="left" w:pos="3600"/>
          <w:tab w:val="left" w:pos="4320"/>
          <w:tab w:val="left" w:pos="5040"/>
          <w:tab w:val="right" w:pos="9027"/>
        </w:tabs>
        <w:bidi/>
        <w:ind w:left="207" w:hanging="270"/>
        <w:contextualSpacing w:val="0"/>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 xml:space="preserve">أن يكون ثلث أعضاء المجلس </w:t>
      </w:r>
      <w:r w:rsidRPr="00EB5BCF">
        <w:rPr>
          <w:rFonts w:ascii="Traditional Arabic" w:hAnsi="Traditional Arabic" w:cs="Traditional Arabic"/>
          <w:sz w:val="30"/>
          <w:szCs w:val="30"/>
          <w:rtl/>
          <w:lang w:val="en-GB" w:bidi="ar-OM"/>
        </w:rPr>
        <w:t xml:space="preserve">(اثنان على الأقل) </w:t>
      </w:r>
      <w:r w:rsidRPr="00EB5BCF">
        <w:rPr>
          <w:rFonts w:ascii="Traditional Arabic" w:hAnsi="Traditional Arabic" w:cs="Traditional Arabic"/>
          <w:sz w:val="30"/>
          <w:szCs w:val="30"/>
          <w:rtl/>
          <w:lang w:val="en-GB"/>
        </w:rPr>
        <w:t xml:space="preserve">من الأعضاء المستقلين وفقاً </w:t>
      </w:r>
      <w:r w:rsidR="00D15585" w:rsidRPr="00D15585">
        <w:rPr>
          <w:rFonts w:ascii="Traditional Arabic" w:hAnsi="Traditional Arabic" w:cs="Traditional Arabic"/>
          <w:sz w:val="30"/>
          <w:szCs w:val="30"/>
          <w:rtl/>
          <w:lang w:val="en-GB"/>
        </w:rPr>
        <w:t xml:space="preserve">للقواعد والشروط التي تصدرها </w:t>
      </w:r>
      <w:r w:rsidR="002D7E14">
        <w:rPr>
          <w:rFonts w:ascii="Traditional Arabic" w:hAnsi="Traditional Arabic" w:cs="Traditional Arabic"/>
          <w:sz w:val="30"/>
          <w:szCs w:val="30"/>
          <w:rtl/>
          <w:lang w:val="en-GB"/>
        </w:rPr>
        <w:t>هيئة الخدمات المالية</w:t>
      </w:r>
      <w:r w:rsidR="00D15585" w:rsidRPr="00D15585">
        <w:rPr>
          <w:rFonts w:ascii="Traditional Arabic" w:hAnsi="Traditional Arabic" w:cs="Traditional Arabic"/>
          <w:sz w:val="30"/>
          <w:szCs w:val="30"/>
          <w:rtl/>
          <w:lang w:val="en-GB"/>
        </w:rPr>
        <w:t xml:space="preserve"> طبقًا لما هو منصوص عليه في ميثاق تنظيم وإدارة شركات المساهمة</w:t>
      </w:r>
      <w:r w:rsidR="003320F5">
        <w:rPr>
          <w:rFonts w:ascii="Traditional Arabic" w:hAnsi="Traditional Arabic" w:cs="Traditional Arabic" w:hint="cs"/>
          <w:sz w:val="30"/>
          <w:szCs w:val="30"/>
          <w:rtl/>
          <w:lang w:val="en-GB"/>
        </w:rPr>
        <w:t xml:space="preserve"> و</w:t>
      </w:r>
      <w:r w:rsidR="003320F5" w:rsidRPr="00D15585">
        <w:rPr>
          <w:rFonts w:ascii="Traditional Arabic" w:hAnsi="Traditional Arabic" w:cs="Traditional Arabic"/>
          <w:sz w:val="30"/>
          <w:szCs w:val="30"/>
          <w:rtl/>
          <w:lang w:val="en-GB"/>
        </w:rPr>
        <w:t>لائحة الشركات المساهمة العامة</w:t>
      </w:r>
      <w:r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lang w:val="en-GB"/>
        </w:rPr>
        <w:tab/>
      </w:r>
    </w:p>
    <w:p w14:paraId="3628B5C7" w14:textId="77777777" w:rsidR="00F64E29" w:rsidRPr="00EB5BCF" w:rsidRDefault="00F64E29" w:rsidP="00F64E29">
      <w:pPr>
        <w:bidi/>
        <w:mirrorIndents/>
        <w:jc w:val="both"/>
        <w:rPr>
          <w:rFonts w:ascii="Traditional Arabic" w:hAnsi="Traditional Arabic" w:cs="Traditional Arabic"/>
          <w:sz w:val="30"/>
          <w:szCs w:val="30"/>
          <w:rtl/>
          <w:lang w:val="en-GB"/>
        </w:rPr>
      </w:pPr>
    </w:p>
    <w:p w14:paraId="52D25395" w14:textId="77777777" w:rsidR="00F64E29" w:rsidRPr="00EB5BCF" w:rsidRDefault="008F7054" w:rsidP="00F64E29">
      <w:pPr>
        <w:bidi/>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وطبقا لأحكام المادة (188) من قانون الشركات التجارية فإنه</w:t>
      </w:r>
      <w:r w:rsidR="00133FE6"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 xml:space="preserve"> </w:t>
      </w:r>
      <w:r w:rsidR="00F64E29" w:rsidRPr="00EB5BCF">
        <w:rPr>
          <w:rFonts w:ascii="Traditional Arabic" w:hAnsi="Traditional Arabic" w:cs="Traditional Arabic"/>
          <w:sz w:val="30"/>
          <w:szCs w:val="30"/>
          <w:rtl/>
          <w:lang w:val="en-GB"/>
        </w:rPr>
        <w:t>تسقط العضوية بحكم القانون إذا فقد عضو مجلس الإدارة أحد الشروط اللازمة للعضوية، وعلى العضو أن يبلغ المجلس على الفور بذلك، وتبطل القرارات التي شارك في التصويت عليها بعد سقوط العضوية، إلا إذا كانت حائزة على نسبة التصويت المطلوبة لصحتها بدون احتساب صوت هذا العضو.</w:t>
      </w:r>
    </w:p>
    <w:p w14:paraId="69DD4F1F" w14:textId="77777777" w:rsidR="00F64E29" w:rsidRPr="00EB5BCF" w:rsidRDefault="00F64E29" w:rsidP="00F64E29">
      <w:pPr>
        <w:bidi/>
        <w:mirrorIndents/>
        <w:jc w:val="both"/>
        <w:rPr>
          <w:rFonts w:ascii="Traditional Arabic" w:hAnsi="Traditional Arabic" w:cs="Traditional Arabic"/>
          <w:sz w:val="30"/>
          <w:szCs w:val="30"/>
          <w:rtl/>
          <w:lang w:val="en-GB"/>
        </w:rPr>
      </w:pPr>
    </w:p>
    <w:p w14:paraId="6A3149DA" w14:textId="77777777" w:rsidR="00D94EB7" w:rsidRPr="00EB5BCF" w:rsidRDefault="00D94EB7" w:rsidP="00816B1A">
      <w:pPr>
        <w:bidi/>
        <w:mirrorIndents/>
        <w:jc w:val="both"/>
        <w:rPr>
          <w:rFonts w:ascii="Traditional Arabic" w:hAnsi="Traditional Arabic" w:cs="Traditional Arabic"/>
          <w:sz w:val="30"/>
          <w:szCs w:val="30"/>
          <w:lang w:bidi="ar-EG"/>
        </w:rPr>
      </w:pPr>
      <w:r w:rsidRPr="00EB5BCF">
        <w:rPr>
          <w:rFonts w:ascii="Traditional Arabic" w:hAnsi="Traditional Arabic" w:cs="Traditional Arabic"/>
          <w:sz w:val="30"/>
          <w:szCs w:val="30"/>
          <w:rtl/>
          <w:lang w:val="en-GB"/>
        </w:rPr>
        <w:t xml:space="preserve">وإذا شغر </w:t>
      </w:r>
      <w:r w:rsidR="0054353C" w:rsidRPr="00EB5BCF">
        <w:rPr>
          <w:rFonts w:ascii="Traditional Arabic" w:hAnsi="Traditional Arabic" w:cs="Traditional Arabic"/>
          <w:sz w:val="30"/>
          <w:szCs w:val="30"/>
          <w:rtl/>
          <w:lang w:val="en-GB"/>
        </w:rPr>
        <w:t xml:space="preserve">– </w:t>
      </w:r>
      <w:r w:rsidR="00D15585">
        <w:rPr>
          <w:rFonts w:ascii="Traditional Arabic" w:hAnsi="Traditional Arabic" w:cs="Traditional Arabic" w:hint="cs"/>
          <w:sz w:val="30"/>
          <w:szCs w:val="30"/>
          <w:rtl/>
          <w:lang w:val="en-GB"/>
        </w:rPr>
        <w:t>لأي سبب من الأسباب</w:t>
      </w:r>
      <w:r w:rsidR="0054353C" w:rsidRPr="00EB5BCF">
        <w:rPr>
          <w:rFonts w:ascii="Traditional Arabic" w:hAnsi="Traditional Arabic" w:cs="Traditional Arabic"/>
          <w:sz w:val="30"/>
          <w:szCs w:val="30"/>
          <w:rtl/>
          <w:lang w:val="en-GB"/>
        </w:rPr>
        <w:t xml:space="preserve">- </w:t>
      </w:r>
      <w:r w:rsidRPr="00EB5BCF">
        <w:rPr>
          <w:rFonts w:ascii="Traditional Arabic" w:hAnsi="Traditional Arabic" w:cs="Traditional Arabic"/>
          <w:sz w:val="30"/>
          <w:szCs w:val="30"/>
          <w:rtl/>
          <w:lang w:val="en-GB"/>
        </w:rPr>
        <w:t>مركز عضو من أعضاء مجلس الإدارة</w:t>
      </w:r>
      <w:r w:rsidR="00F57E37" w:rsidRPr="00EB5BCF">
        <w:rPr>
          <w:rFonts w:ascii="Traditional Arabic" w:hAnsi="Traditional Arabic" w:cs="Traditional Arabic"/>
          <w:sz w:val="30"/>
          <w:szCs w:val="30"/>
          <w:rtl/>
          <w:lang w:val="en-GB"/>
        </w:rPr>
        <w:t xml:space="preserve">، </w:t>
      </w:r>
      <w:r w:rsidR="00D44F26" w:rsidRPr="00EB5BCF">
        <w:rPr>
          <w:rFonts w:ascii="Traditional Arabic" w:hAnsi="Traditional Arabic" w:cs="Traditional Arabic"/>
          <w:sz w:val="30"/>
          <w:szCs w:val="30"/>
          <w:rtl/>
          <w:lang w:val="en-GB"/>
        </w:rPr>
        <w:t xml:space="preserve">أو </w:t>
      </w:r>
      <w:r w:rsidR="00BC0658" w:rsidRPr="00EB5BCF">
        <w:rPr>
          <w:rFonts w:ascii="Traditional Arabic" w:hAnsi="Traditional Arabic" w:cs="Traditional Arabic"/>
          <w:sz w:val="30"/>
          <w:szCs w:val="30"/>
          <w:rtl/>
          <w:lang w:val="en-GB"/>
        </w:rPr>
        <w:t>وإذا شغر مركز عضو من أعضاء مجلس الإدارة</w:t>
      </w:r>
      <w:r w:rsidRPr="00EB5BCF">
        <w:rPr>
          <w:rFonts w:ascii="Traditional Arabic" w:hAnsi="Traditional Arabic" w:cs="Traditional Arabic"/>
          <w:sz w:val="30"/>
          <w:szCs w:val="30"/>
          <w:rtl/>
          <w:lang w:val="en-GB"/>
        </w:rPr>
        <w:t xml:space="preserve"> في الفترة التي تقع بين جمعيتين عامتين عاديتين، يكون للمجل</w:t>
      </w:r>
      <w:r w:rsidR="000725DA" w:rsidRPr="00EB5BCF">
        <w:rPr>
          <w:rFonts w:ascii="Traditional Arabic" w:hAnsi="Traditional Arabic" w:cs="Traditional Arabic"/>
          <w:sz w:val="30"/>
          <w:szCs w:val="30"/>
          <w:rtl/>
          <w:lang w:val="en-GB" w:bidi="ar-EG"/>
        </w:rPr>
        <w:t xml:space="preserve">س </w:t>
      </w:r>
      <w:r w:rsidRPr="00EB5BCF">
        <w:rPr>
          <w:rFonts w:ascii="Traditional Arabic" w:hAnsi="Traditional Arabic" w:cs="Traditional Arabic"/>
          <w:sz w:val="30"/>
          <w:szCs w:val="30"/>
          <w:rtl/>
          <w:lang w:val="en-GB"/>
        </w:rPr>
        <w:t xml:space="preserve">أن </w:t>
      </w:r>
      <w:r w:rsidR="00910052" w:rsidRPr="00EB5BCF">
        <w:rPr>
          <w:rFonts w:ascii="Traditional Arabic" w:hAnsi="Traditional Arabic" w:cs="Traditional Arabic"/>
          <w:sz w:val="30"/>
          <w:szCs w:val="30"/>
          <w:rtl/>
          <w:lang w:val="en-GB"/>
        </w:rPr>
        <w:t xml:space="preserve">يختار عضوا مؤقتا </w:t>
      </w:r>
      <w:r w:rsidRPr="00EB5BCF">
        <w:rPr>
          <w:rFonts w:ascii="Traditional Arabic" w:hAnsi="Traditional Arabic" w:cs="Traditional Arabic"/>
          <w:sz w:val="30"/>
          <w:szCs w:val="30"/>
          <w:rtl/>
          <w:lang w:val="en-GB"/>
        </w:rPr>
        <w:t>يشغل ذلك المقعد لحين انعقاد أقرب جمعية عاد</w:t>
      </w:r>
      <w:r w:rsidR="00132741" w:rsidRPr="00EB5BCF">
        <w:rPr>
          <w:rFonts w:ascii="Traditional Arabic" w:hAnsi="Traditional Arabic" w:cs="Traditional Arabic"/>
          <w:sz w:val="30"/>
          <w:szCs w:val="30"/>
          <w:rtl/>
          <w:lang w:val="en-GB"/>
        </w:rPr>
        <w:t>ية</w:t>
      </w:r>
      <w:r w:rsidR="00D44F26" w:rsidRPr="00EB5BCF">
        <w:rPr>
          <w:rFonts w:ascii="Traditional Arabic" w:hAnsi="Traditional Arabic" w:cs="Traditional Arabic"/>
          <w:sz w:val="30"/>
          <w:szCs w:val="30"/>
          <w:rtl/>
          <w:lang w:val="en-GB"/>
        </w:rPr>
        <w:t xml:space="preserve"> وذلك </w:t>
      </w:r>
      <w:r w:rsidR="00D15585">
        <w:rPr>
          <w:rFonts w:ascii="Traditional Arabic" w:hAnsi="Traditional Arabic" w:cs="Traditional Arabic" w:hint="cs"/>
          <w:sz w:val="30"/>
          <w:szCs w:val="30"/>
          <w:rtl/>
          <w:lang w:val="en-GB"/>
        </w:rPr>
        <w:t>و</w:t>
      </w:r>
      <w:r w:rsidR="00D15585" w:rsidRPr="00D15585">
        <w:rPr>
          <w:rFonts w:ascii="Traditional Arabic" w:hAnsi="Traditional Arabic" w:cs="Traditional Arabic"/>
          <w:sz w:val="30"/>
          <w:szCs w:val="30"/>
          <w:rtl/>
          <w:lang w:val="en-GB"/>
        </w:rPr>
        <w:t xml:space="preserve">فق أحكام </w:t>
      </w:r>
      <w:r w:rsidR="00C3348F">
        <w:rPr>
          <w:rFonts w:ascii="Traditional Arabic" w:hAnsi="Traditional Arabic" w:cs="Traditional Arabic" w:hint="cs"/>
          <w:sz w:val="30"/>
          <w:szCs w:val="30"/>
          <w:rtl/>
          <w:lang w:val="en-GB"/>
        </w:rPr>
        <w:t xml:space="preserve">المادة 7 من </w:t>
      </w:r>
      <w:r w:rsidR="00D15585" w:rsidRPr="00D15585">
        <w:rPr>
          <w:rFonts w:ascii="Traditional Arabic" w:hAnsi="Traditional Arabic" w:cs="Traditional Arabic"/>
          <w:sz w:val="30"/>
          <w:szCs w:val="30"/>
          <w:rtl/>
          <w:lang w:val="en-GB"/>
        </w:rPr>
        <w:t>النظام الأساسي للشرك</w:t>
      </w:r>
      <w:r w:rsidR="00D15585">
        <w:rPr>
          <w:rFonts w:ascii="Traditional Arabic" w:hAnsi="Traditional Arabic" w:cs="Traditional Arabic" w:hint="cs"/>
          <w:sz w:val="30"/>
          <w:szCs w:val="30"/>
          <w:rtl/>
          <w:lang w:val="en-GB"/>
        </w:rPr>
        <w:t>ة</w:t>
      </w:r>
      <w:r w:rsidR="00D44F26" w:rsidRPr="00EB5BCF">
        <w:rPr>
          <w:rFonts w:ascii="Traditional Arabic" w:hAnsi="Traditional Arabic" w:cs="Traditional Arabic"/>
          <w:sz w:val="30"/>
          <w:szCs w:val="30"/>
          <w:rtl/>
          <w:lang w:val="en-GB"/>
        </w:rPr>
        <w:t>،</w:t>
      </w:r>
      <w:r w:rsidR="00132741" w:rsidRPr="00EB5BCF">
        <w:rPr>
          <w:rFonts w:ascii="Traditional Arabic" w:hAnsi="Traditional Arabic" w:cs="Traditional Arabic"/>
          <w:sz w:val="30"/>
          <w:szCs w:val="30"/>
          <w:rtl/>
          <w:lang w:val="en-GB"/>
        </w:rPr>
        <w:t xml:space="preserve"> و</w:t>
      </w:r>
      <w:r w:rsidRPr="00EB5BCF">
        <w:rPr>
          <w:rFonts w:ascii="Traditional Arabic" w:hAnsi="Traditional Arabic" w:cs="Traditional Arabic"/>
          <w:sz w:val="30"/>
          <w:szCs w:val="30"/>
          <w:rtl/>
          <w:lang w:val="en-GB"/>
        </w:rPr>
        <w:t>إذا بلغت المراكز الشاغرة أو عدد الأعضاء المعينين من قبل مجلس الإدارة نصف عدد أعضاء المجلس المنتخبين، وجب على المجلس أن يدعو الجمعية العامة العادية لانتخاب أعضاء جدد خلال مدة (٦٠) ستين يوما من تاريخ شغور آخر مركز، وذلك لشغل المراكز الشاغرة</w:t>
      </w:r>
      <w:r w:rsidRPr="00EB5BCF">
        <w:rPr>
          <w:rFonts w:ascii="Traditional Arabic" w:hAnsi="Traditional Arabic" w:cs="Traditional Arabic"/>
          <w:sz w:val="30"/>
          <w:szCs w:val="30"/>
        </w:rPr>
        <w:t>.</w:t>
      </w:r>
      <w:r w:rsidR="00816B1A" w:rsidRPr="00EB5BCF">
        <w:rPr>
          <w:rFonts w:ascii="Traditional Arabic" w:hAnsi="Traditional Arabic" w:cs="Traditional Arabic"/>
          <w:sz w:val="30"/>
          <w:szCs w:val="30"/>
          <w:rtl/>
          <w:lang w:bidi="ar-EG"/>
        </w:rPr>
        <w:t xml:space="preserve"> </w:t>
      </w:r>
      <w:r w:rsidRPr="00EB5BCF">
        <w:rPr>
          <w:rFonts w:ascii="Traditional Arabic" w:hAnsi="Traditional Arabic" w:cs="Traditional Arabic"/>
          <w:sz w:val="30"/>
          <w:szCs w:val="30"/>
          <w:rtl/>
          <w:lang w:val="en-GB"/>
        </w:rPr>
        <w:t>وفي جميع الأحوال، يكمل الأعضاء الذين تم اختيارهم لشغل المراكز الشاغرة مدة أسلافهم المتبقية</w:t>
      </w:r>
      <w:r w:rsidRPr="00EB5BCF">
        <w:rPr>
          <w:rFonts w:ascii="Traditional Arabic" w:hAnsi="Traditional Arabic" w:cs="Traditional Arabic"/>
          <w:sz w:val="30"/>
          <w:szCs w:val="30"/>
        </w:rPr>
        <w:t>.</w:t>
      </w:r>
    </w:p>
    <w:p w14:paraId="7FEB181E" w14:textId="77777777" w:rsidR="00D94EB7" w:rsidRPr="00EB5BCF" w:rsidRDefault="00D94EB7" w:rsidP="00D94EB7">
      <w:pPr>
        <w:bidi/>
        <w:mirrorIndents/>
        <w:jc w:val="both"/>
        <w:rPr>
          <w:rFonts w:ascii="Traditional Arabic" w:hAnsi="Traditional Arabic" w:cs="Traditional Arabic"/>
          <w:sz w:val="30"/>
          <w:szCs w:val="30"/>
          <w:rtl/>
        </w:rPr>
      </w:pPr>
    </w:p>
    <w:p w14:paraId="790934A0" w14:textId="77777777" w:rsidR="00F64E29" w:rsidRPr="00EB5BCF" w:rsidRDefault="00816B1A" w:rsidP="00F64E29">
      <w:pPr>
        <w:bidi/>
        <w:mirrorIndents/>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و</w:t>
      </w:r>
      <w:r w:rsidR="00F64E29" w:rsidRPr="00EB5BCF">
        <w:rPr>
          <w:rFonts w:ascii="Traditional Arabic" w:hAnsi="Traditional Arabic" w:cs="Traditional Arabic"/>
          <w:sz w:val="30"/>
          <w:szCs w:val="30"/>
          <w:rtl/>
          <w:lang w:val="en-GB"/>
        </w:rPr>
        <w:t>يقوم مجلس الإدارة بانتخاب رئيس ونائب رئيس للمجلس من بين أعضائه ويحل نائب الرئيس محل الرئيس في حال غيابه</w:t>
      </w:r>
      <w:r w:rsidR="001173A1" w:rsidRPr="00EB5BCF">
        <w:rPr>
          <w:rFonts w:ascii="Traditional Arabic" w:hAnsi="Traditional Arabic" w:cs="Traditional Arabic"/>
          <w:sz w:val="30"/>
          <w:szCs w:val="30"/>
          <w:rtl/>
          <w:lang w:val="en-GB"/>
        </w:rPr>
        <w:t>،</w:t>
      </w:r>
      <w:r w:rsidR="00F64E29" w:rsidRPr="00EB5BCF">
        <w:rPr>
          <w:rFonts w:ascii="Traditional Arabic" w:hAnsi="Traditional Arabic" w:cs="Traditional Arabic"/>
          <w:sz w:val="30"/>
          <w:szCs w:val="30"/>
          <w:rtl/>
          <w:lang w:val="en-GB"/>
        </w:rPr>
        <w:t xml:space="preserve"> ويجب على رئيس مجلس الإدارة تنفيذ قرارات المجلس</w:t>
      </w:r>
      <w:r w:rsidR="001173A1" w:rsidRPr="00EB5BCF">
        <w:rPr>
          <w:rFonts w:ascii="Traditional Arabic" w:hAnsi="Traditional Arabic" w:cs="Traditional Arabic"/>
          <w:sz w:val="30"/>
          <w:szCs w:val="30"/>
          <w:rtl/>
          <w:lang w:val="en-GB"/>
        </w:rPr>
        <w:t>،</w:t>
      </w:r>
      <w:r w:rsidR="00F64E29" w:rsidRPr="00EB5BCF">
        <w:rPr>
          <w:rFonts w:ascii="Traditional Arabic" w:hAnsi="Traditional Arabic" w:cs="Traditional Arabic"/>
          <w:sz w:val="30"/>
          <w:szCs w:val="30"/>
          <w:rtl/>
          <w:lang w:val="en-GB"/>
        </w:rPr>
        <w:t xml:space="preserve"> ويتولى مجلس الإدارة الإشراف على سير الأعمال الاعتيادية للشركة وفقاً </w:t>
      </w:r>
      <w:r w:rsidR="00634BBB">
        <w:rPr>
          <w:rFonts w:ascii="Traditional Arabic" w:hAnsi="Traditional Arabic" w:cs="Traditional Arabic" w:hint="cs"/>
          <w:sz w:val="30"/>
          <w:szCs w:val="30"/>
          <w:rtl/>
          <w:lang w:val="en-GB"/>
        </w:rPr>
        <w:t>للصلاحيات المحددة</w:t>
      </w:r>
      <w:r w:rsidR="00F64E29" w:rsidRPr="00EB5BCF">
        <w:rPr>
          <w:rFonts w:ascii="Traditional Arabic" w:hAnsi="Traditional Arabic" w:cs="Traditional Arabic"/>
          <w:sz w:val="30"/>
          <w:szCs w:val="30"/>
          <w:rtl/>
          <w:lang w:val="en-GB"/>
        </w:rPr>
        <w:t xml:space="preserve"> في النظام الأساسي واللوائح الداخلية للشركة.</w:t>
      </w:r>
    </w:p>
    <w:p w14:paraId="7134D688" w14:textId="77777777" w:rsidR="00F64E29" w:rsidRPr="00EB5BCF" w:rsidRDefault="00F64E29" w:rsidP="00922116">
      <w:pPr>
        <w:numPr>
          <w:ilvl w:val="2"/>
          <w:numId w:val="8"/>
        </w:numPr>
        <w:bidi/>
        <w:mirrorIndents/>
        <w:jc w:val="both"/>
        <w:rPr>
          <w:rFonts w:ascii="Traditional Arabic" w:hAnsi="Traditional Arabic" w:cs="Traditional Arabic"/>
          <w:b/>
          <w:color w:val="000000"/>
          <w:sz w:val="30"/>
          <w:szCs w:val="30"/>
          <w:lang w:val="en-GB"/>
        </w:rPr>
      </w:pPr>
    </w:p>
    <w:p w14:paraId="13171BB7" w14:textId="77777777" w:rsidR="00F64E29" w:rsidRPr="00EB5BCF" w:rsidRDefault="00F64E29" w:rsidP="00922116">
      <w:pPr>
        <w:numPr>
          <w:ilvl w:val="2"/>
          <w:numId w:val="8"/>
        </w:numPr>
        <w:bidi/>
        <w:mirrorIndents/>
        <w:jc w:val="both"/>
        <w:rPr>
          <w:rFonts w:ascii="Traditional Arabic" w:hAnsi="Traditional Arabic" w:cs="Traditional Arabic"/>
          <w:b/>
          <w:color w:val="000000"/>
          <w:sz w:val="30"/>
          <w:szCs w:val="30"/>
          <w:lang w:val="en-GB"/>
        </w:rPr>
      </w:pPr>
      <w:r w:rsidRPr="00EB5BCF">
        <w:rPr>
          <w:rFonts w:ascii="Traditional Arabic" w:hAnsi="Traditional Arabic" w:cs="Traditional Arabic"/>
          <w:bCs/>
          <w:color w:val="000000"/>
          <w:sz w:val="30"/>
          <w:szCs w:val="30"/>
          <w:rtl/>
          <w:lang w:val="en-GB"/>
        </w:rPr>
        <w:t>دور مجلس الإدارة</w:t>
      </w:r>
    </w:p>
    <w:p w14:paraId="788EFC24" w14:textId="77777777" w:rsidR="001173A1" w:rsidRPr="00EB5BCF" w:rsidRDefault="00591EA0" w:rsidP="001173A1">
      <w:pPr>
        <w:bidi/>
        <w:mirrorIndents/>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lastRenderedPageBreak/>
        <w:t>ولا شك أن</w:t>
      </w:r>
      <w:r w:rsidR="005B7A98" w:rsidRPr="00EB5BCF">
        <w:rPr>
          <w:rFonts w:ascii="Traditional Arabic" w:hAnsi="Traditional Arabic" w:cs="Traditional Arabic"/>
          <w:sz w:val="30"/>
          <w:szCs w:val="30"/>
          <w:rtl/>
          <w:lang w:val="en-GB"/>
        </w:rPr>
        <w:t xml:space="preserve"> </w:t>
      </w:r>
      <w:r w:rsidR="001173A1" w:rsidRPr="00EB5BCF">
        <w:rPr>
          <w:rFonts w:ascii="Traditional Arabic" w:hAnsi="Traditional Arabic" w:cs="Traditional Arabic"/>
          <w:sz w:val="30"/>
          <w:szCs w:val="30"/>
          <w:rtl/>
          <w:lang w:val="en-GB"/>
        </w:rPr>
        <w:t xml:space="preserve">الدور الرئيسي الذي يقوم به مجلس الإدارة هو إدارة </w:t>
      </w:r>
      <w:r w:rsidR="004630D4" w:rsidRPr="00EB5BCF">
        <w:rPr>
          <w:rFonts w:ascii="Traditional Arabic" w:hAnsi="Traditional Arabic" w:cs="Traditional Arabic"/>
          <w:sz w:val="30"/>
          <w:szCs w:val="30"/>
          <w:rtl/>
          <w:lang w:val="en-GB"/>
        </w:rPr>
        <w:t>أنشطة الشركة</w:t>
      </w:r>
      <w:r w:rsidR="001173A1" w:rsidRPr="00EB5BCF">
        <w:rPr>
          <w:rFonts w:ascii="Traditional Arabic" w:hAnsi="Traditional Arabic" w:cs="Traditional Arabic"/>
          <w:sz w:val="30"/>
          <w:szCs w:val="30"/>
          <w:rtl/>
          <w:lang w:val="en-GB"/>
        </w:rPr>
        <w:t xml:space="preserve"> وأعمال</w:t>
      </w:r>
      <w:r w:rsidR="004630D4" w:rsidRPr="00EB5BCF">
        <w:rPr>
          <w:rFonts w:ascii="Traditional Arabic" w:hAnsi="Traditional Arabic" w:cs="Traditional Arabic"/>
          <w:sz w:val="30"/>
          <w:szCs w:val="30"/>
          <w:rtl/>
          <w:lang w:val="en-GB"/>
        </w:rPr>
        <w:t>ها</w:t>
      </w:r>
      <w:r w:rsidR="001173A1" w:rsidRPr="00EB5BCF">
        <w:rPr>
          <w:rFonts w:ascii="Traditional Arabic" w:hAnsi="Traditional Arabic" w:cs="Traditional Arabic"/>
          <w:sz w:val="30"/>
          <w:szCs w:val="30"/>
          <w:rtl/>
          <w:lang w:val="en-GB"/>
        </w:rPr>
        <w:t xml:space="preserve"> التجارية </w:t>
      </w:r>
      <w:r w:rsidR="000518F3">
        <w:rPr>
          <w:rFonts w:ascii="Traditional Arabic" w:hAnsi="Traditional Arabic" w:cs="Traditional Arabic" w:hint="cs"/>
          <w:sz w:val="30"/>
          <w:szCs w:val="30"/>
          <w:rtl/>
          <w:lang w:val="en-GB"/>
        </w:rPr>
        <w:t>ضمن</w:t>
      </w:r>
      <w:r w:rsidR="000518F3" w:rsidRPr="00EB5BCF">
        <w:rPr>
          <w:rFonts w:ascii="Traditional Arabic" w:hAnsi="Traditional Arabic" w:cs="Traditional Arabic"/>
          <w:sz w:val="30"/>
          <w:szCs w:val="30"/>
          <w:rtl/>
          <w:lang w:val="en-GB"/>
        </w:rPr>
        <w:t xml:space="preserve"> </w:t>
      </w:r>
      <w:r w:rsidR="001173A1" w:rsidRPr="00EB5BCF">
        <w:rPr>
          <w:rFonts w:ascii="Traditional Arabic" w:hAnsi="Traditional Arabic" w:cs="Traditional Arabic"/>
          <w:sz w:val="30"/>
          <w:szCs w:val="30"/>
          <w:rtl/>
          <w:lang w:val="en-GB"/>
        </w:rPr>
        <w:t xml:space="preserve">إطار </w:t>
      </w:r>
      <w:r w:rsidR="000518F3">
        <w:rPr>
          <w:rFonts w:ascii="Traditional Arabic" w:hAnsi="Traditional Arabic" w:cs="Traditional Arabic" w:hint="cs"/>
          <w:sz w:val="30"/>
          <w:szCs w:val="30"/>
          <w:rtl/>
          <w:lang w:val="en-GB"/>
        </w:rPr>
        <w:t xml:space="preserve">عمل من الضوابط الرشيدة والفعالة </w:t>
      </w:r>
      <w:r w:rsidR="001173A1" w:rsidRPr="00EB5BCF">
        <w:rPr>
          <w:rFonts w:ascii="Traditional Arabic" w:hAnsi="Traditional Arabic" w:cs="Traditional Arabic"/>
          <w:sz w:val="30"/>
          <w:szCs w:val="30"/>
          <w:rtl/>
          <w:lang w:val="en-GB"/>
        </w:rPr>
        <w:t xml:space="preserve">التي تمكنه من تقييم وإدارة المخاطر التي قد تتعرض لها الشركة </w:t>
      </w:r>
      <w:r w:rsidR="009D67FB" w:rsidRPr="00EB5BCF">
        <w:rPr>
          <w:rFonts w:ascii="Traditional Arabic" w:hAnsi="Traditional Arabic" w:cs="Traditional Arabic"/>
          <w:sz w:val="30"/>
          <w:szCs w:val="30"/>
          <w:rtl/>
          <w:lang w:val="en-GB"/>
        </w:rPr>
        <w:t>لكي تستطيع</w:t>
      </w:r>
      <w:r w:rsidR="001173A1" w:rsidRPr="00EB5BCF">
        <w:rPr>
          <w:rFonts w:ascii="Traditional Arabic" w:hAnsi="Traditional Arabic" w:cs="Traditional Arabic"/>
          <w:sz w:val="30"/>
          <w:szCs w:val="30"/>
          <w:rtl/>
          <w:lang w:val="en-GB"/>
        </w:rPr>
        <w:t xml:space="preserve"> </w:t>
      </w:r>
      <w:r w:rsidR="00D44F26" w:rsidRPr="00EB5BCF">
        <w:rPr>
          <w:rFonts w:ascii="Traditional Arabic" w:hAnsi="Traditional Arabic" w:cs="Traditional Arabic"/>
          <w:sz w:val="30"/>
          <w:szCs w:val="30"/>
          <w:rtl/>
          <w:lang w:val="en-GB"/>
        </w:rPr>
        <w:t xml:space="preserve">القيام </w:t>
      </w:r>
      <w:r w:rsidR="001173A1" w:rsidRPr="00EB5BCF">
        <w:rPr>
          <w:rFonts w:ascii="Traditional Arabic" w:hAnsi="Traditional Arabic" w:cs="Traditional Arabic"/>
          <w:sz w:val="30"/>
          <w:szCs w:val="30"/>
          <w:rtl/>
          <w:lang w:val="en-GB"/>
        </w:rPr>
        <w:t>بالتزاماتها القانونية والتنظيمية وفقا للقانون واللوائح المعمول بها</w:t>
      </w:r>
      <w:r w:rsidR="001173A1" w:rsidRPr="00EB5BCF">
        <w:rPr>
          <w:rFonts w:ascii="Traditional Arabic" w:hAnsi="Traditional Arabic" w:cs="Traditional Arabic"/>
          <w:sz w:val="30"/>
          <w:szCs w:val="30"/>
          <w:rtl/>
          <w:lang w:val="en-GB" w:bidi="ar"/>
        </w:rPr>
        <w:t>.</w:t>
      </w:r>
    </w:p>
    <w:p w14:paraId="206BE7EB" w14:textId="77777777" w:rsidR="001173A1" w:rsidRPr="00EB5BCF" w:rsidRDefault="001173A1" w:rsidP="00922116">
      <w:pPr>
        <w:numPr>
          <w:ilvl w:val="2"/>
          <w:numId w:val="8"/>
        </w:numPr>
        <w:bidi/>
        <w:mirrorIndents/>
        <w:jc w:val="both"/>
        <w:rPr>
          <w:rFonts w:ascii="Traditional Arabic" w:hAnsi="Traditional Arabic" w:cs="Traditional Arabic"/>
          <w:b/>
          <w:color w:val="000000"/>
          <w:sz w:val="30"/>
          <w:szCs w:val="30"/>
          <w:lang w:val="en-GB"/>
        </w:rPr>
      </w:pPr>
    </w:p>
    <w:p w14:paraId="66ACD924" w14:textId="77777777" w:rsidR="001173A1" w:rsidRPr="00EB5BCF" w:rsidRDefault="00C1663D" w:rsidP="00922116">
      <w:pPr>
        <w:numPr>
          <w:ilvl w:val="2"/>
          <w:numId w:val="8"/>
        </w:numPr>
        <w:bidi/>
        <w:mirrorIndents/>
        <w:jc w:val="both"/>
        <w:rPr>
          <w:rFonts w:ascii="Traditional Arabic" w:hAnsi="Traditional Arabic" w:cs="Traditional Arabic"/>
          <w:b/>
          <w:color w:val="000000"/>
          <w:sz w:val="30"/>
          <w:szCs w:val="30"/>
          <w:lang w:val="en-GB"/>
        </w:rPr>
      </w:pPr>
      <w:r w:rsidRPr="00EB5BCF">
        <w:rPr>
          <w:rFonts w:ascii="Traditional Arabic" w:hAnsi="Traditional Arabic" w:cs="Traditional Arabic"/>
          <w:bCs/>
          <w:color w:val="000000"/>
          <w:sz w:val="30"/>
          <w:szCs w:val="30"/>
          <w:rtl/>
          <w:lang w:val="en-GB"/>
        </w:rPr>
        <w:t>صلاحيات</w:t>
      </w:r>
      <w:r w:rsidR="001173A1" w:rsidRPr="00EB5BCF">
        <w:rPr>
          <w:rFonts w:ascii="Traditional Arabic" w:hAnsi="Traditional Arabic" w:cs="Traditional Arabic"/>
          <w:bCs/>
          <w:color w:val="000000"/>
          <w:sz w:val="30"/>
          <w:szCs w:val="30"/>
          <w:rtl/>
          <w:lang w:val="en-GB"/>
        </w:rPr>
        <w:t xml:space="preserve"> مجلس الإدارة</w:t>
      </w:r>
    </w:p>
    <w:p w14:paraId="101331D1" w14:textId="77777777" w:rsidR="00123848" w:rsidRDefault="001173A1" w:rsidP="001173A1">
      <w:pPr>
        <w:bidi/>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يتمتع مجلس الإدارة ب</w:t>
      </w:r>
      <w:r w:rsidR="00C1663D" w:rsidRPr="00EB5BCF">
        <w:rPr>
          <w:rFonts w:ascii="Traditional Arabic" w:hAnsi="Traditional Arabic" w:cs="Traditional Arabic"/>
          <w:sz w:val="30"/>
          <w:szCs w:val="30"/>
          <w:rtl/>
          <w:lang w:val="en-GB"/>
        </w:rPr>
        <w:t>صلاحيات</w:t>
      </w:r>
      <w:r w:rsidRPr="00EB5BCF">
        <w:rPr>
          <w:rFonts w:ascii="Traditional Arabic" w:hAnsi="Traditional Arabic" w:cs="Traditional Arabic"/>
          <w:sz w:val="30"/>
          <w:szCs w:val="30"/>
          <w:rtl/>
          <w:lang w:val="en-GB"/>
        </w:rPr>
        <w:t xml:space="preserve"> كاملة للقيام بجميع الأمور المطلوبة لإدارة الشركة وفق الأغراض التي تأسست من أجلها؛ وأهمها تحقيق قيمة ربحية للمساهمين فيها، ولن تكون هذه ال</w:t>
      </w:r>
      <w:r w:rsidR="00C42DB5" w:rsidRPr="00EB5BCF">
        <w:rPr>
          <w:rFonts w:ascii="Traditional Arabic" w:hAnsi="Traditional Arabic" w:cs="Traditional Arabic"/>
          <w:sz w:val="30"/>
          <w:szCs w:val="30"/>
          <w:rtl/>
          <w:lang w:val="en-GB"/>
        </w:rPr>
        <w:t>صلاحيات</w:t>
      </w:r>
      <w:r w:rsidRPr="00EB5BCF">
        <w:rPr>
          <w:rFonts w:ascii="Traditional Arabic" w:hAnsi="Traditional Arabic" w:cs="Traditional Arabic"/>
          <w:sz w:val="30"/>
          <w:szCs w:val="30"/>
          <w:rtl/>
          <w:lang w:val="en-GB"/>
        </w:rPr>
        <w:t xml:space="preserve"> مقيدة أو محظورة باستثناء الحالات المنصوص عليها في القانون الواجب التطبيق أو النظام الأساسي للشركة أو وفق القرارات التي تصدرها الجمعية العامة للمساهمين من حين لآخر</w:t>
      </w:r>
      <w:r w:rsidR="00C42DB5" w:rsidRPr="00EB5BCF">
        <w:rPr>
          <w:rFonts w:ascii="Traditional Arabic" w:hAnsi="Traditional Arabic" w:cs="Traditional Arabic"/>
          <w:sz w:val="30"/>
          <w:szCs w:val="30"/>
          <w:rtl/>
          <w:lang w:val="en-GB"/>
        </w:rPr>
        <w:t>،</w:t>
      </w:r>
      <w:r w:rsidRPr="00EB5BCF">
        <w:rPr>
          <w:rFonts w:ascii="Traditional Arabic" w:hAnsi="Traditional Arabic" w:cs="Traditional Arabic"/>
          <w:sz w:val="30"/>
          <w:szCs w:val="30"/>
          <w:rtl/>
          <w:lang w:val="en-GB"/>
        </w:rPr>
        <w:t xml:space="preserve"> وتتولى إدارة الشركة إدارة الشؤون اليومية </w:t>
      </w:r>
      <w:r w:rsidR="00C42DB5" w:rsidRPr="00EB5BCF">
        <w:rPr>
          <w:rFonts w:ascii="Traditional Arabic" w:hAnsi="Traditional Arabic" w:cs="Traditional Arabic"/>
          <w:sz w:val="30"/>
          <w:szCs w:val="30"/>
          <w:rtl/>
          <w:lang w:val="en-GB"/>
        </w:rPr>
        <w:t>لها</w:t>
      </w:r>
      <w:r w:rsidRPr="00EB5BCF">
        <w:rPr>
          <w:rFonts w:ascii="Traditional Arabic" w:hAnsi="Traditional Arabic" w:cs="Traditional Arabic"/>
          <w:sz w:val="30"/>
          <w:szCs w:val="30"/>
          <w:rtl/>
          <w:lang w:val="en-GB"/>
        </w:rPr>
        <w:t xml:space="preserve"> على النحو المبين في الفقرات المذكورة أدناه من هذا الفصل</w:t>
      </w:r>
      <w:r w:rsidR="00123848">
        <w:rPr>
          <w:rFonts w:ascii="Traditional Arabic" w:hAnsi="Traditional Arabic" w:cs="Traditional Arabic" w:hint="cs"/>
          <w:sz w:val="30"/>
          <w:szCs w:val="30"/>
          <w:rtl/>
          <w:lang w:val="en-GB"/>
        </w:rPr>
        <w:t>.</w:t>
      </w:r>
    </w:p>
    <w:p w14:paraId="4B6ADC71" w14:textId="77777777" w:rsidR="001173A1" w:rsidRPr="00EB5BCF" w:rsidRDefault="00502E19" w:rsidP="00123848">
      <w:pPr>
        <w:bidi/>
        <w:mirrorIndents/>
        <w:jc w:val="both"/>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 xml:space="preserve">يتولى </w:t>
      </w:r>
      <w:r w:rsidR="001173A1" w:rsidRPr="00EB5BCF">
        <w:rPr>
          <w:rFonts w:ascii="Traditional Arabic" w:hAnsi="Traditional Arabic" w:cs="Traditional Arabic"/>
          <w:sz w:val="30"/>
          <w:szCs w:val="30"/>
          <w:rtl/>
          <w:lang w:val="en-GB"/>
        </w:rPr>
        <w:t xml:space="preserve">مجلس الإدارة </w:t>
      </w:r>
      <w:r w:rsidR="00264A0C">
        <w:rPr>
          <w:rFonts w:ascii="Traditional Arabic" w:hAnsi="Traditional Arabic" w:cs="Traditional Arabic" w:hint="cs"/>
          <w:sz w:val="30"/>
          <w:szCs w:val="30"/>
          <w:rtl/>
          <w:lang w:val="en-GB"/>
        </w:rPr>
        <w:t>وفقا</w:t>
      </w:r>
      <w:r w:rsidR="001173A1" w:rsidRPr="00EB5BCF">
        <w:rPr>
          <w:rFonts w:ascii="Traditional Arabic" w:hAnsi="Traditional Arabic" w:cs="Traditional Arabic"/>
          <w:sz w:val="30"/>
          <w:szCs w:val="30"/>
          <w:rtl/>
          <w:lang w:val="en-GB"/>
        </w:rPr>
        <w:t xml:space="preserve"> نص المادة 1</w:t>
      </w:r>
      <w:r w:rsidR="001173A1" w:rsidRPr="00EB5BCF">
        <w:rPr>
          <w:rFonts w:ascii="Traditional Arabic" w:hAnsi="Traditional Arabic" w:cs="Traditional Arabic"/>
          <w:sz w:val="30"/>
          <w:szCs w:val="30"/>
          <w:rtl/>
          <w:lang w:val="en-GB" w:bidi="ar-OM"/>
        </w:rPr>
        <w:t>2</w:t>
      </w:r>
      <w:r w:rsidR="001173A1" w:rsidRPr="00EB5BCF">
        <w:rPr>
          <w:rFonts w:ascii="Traditional Arabic" w:hAnsi="Traditional Arabic" w:cs="Traditional Arabic"/>
          <w:sz w:val="30"/>
          <w:szCs w:val="30"/>
          <w:rtl/>
          <w:lang w:val="en-GB"/>
        </w:rPr>
        <w:t>2 من لائحة الشركات المساهمة العامة:</w:t>
      </w:r>
    </w:p>
    <w:p w14:paraId="5D97B9C2" w14:textId="77777777" w:rsidR="001173A1" w:rsidRPr="00EB5BCF" w:rsidRDefault="001173A1" w:rsidP="001173A1">
      <w:pPr>
        <w:bidi/>
        <w:mirrorIndents/>
        <w:jc w:val="both"/>
        <w:rPr>
          <w:rFonts w:ascii="Traditional Arabic" w:hAnsi="Traditional Arabic" w:cs="Traditional Arabic"/>
          <w:sz w:val="30"/>
          <w:szCs w:val="30"/>
          <w:rtl/>
          <w:lang w:val="en-GB"/>
        </w:rPr>
      </w:pPr>
    </w:p>
    <w:p w14:paraId="20BE3819" w14:textId="77777777" w:rsidR="001173A1" w:rsidRPr="00B40FD7" w:rsidRDefault="001173A1" w:rsidP="00922116">
      <w:pPr>
        <w:pStyle w:val="ListParagraph"/>
        <w:numPr>
          <w:ilvl w:val="0"/>
          <w:numId w:val="36"/>
        </w:numPr>
        <w:bidi/>
        <w:mirrorIndents/>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تعيين الرئيس التنفيذي أو من في حكمه والعاملين الذين يتبعونه تبعية مباشرة ويرفعون تقاريرهم إليه وفق الهيكل التنظيمي للشركة وتحديد اختصاصاتهم وحقوقهم</w:t>
      </w:r>
      <w:r w:rsidRPr="00B40FD7">
        <w:rPr>
          <w:rFonts w:ascii="Traditional Arabic" w:hAnsi="Traditional Arabic" w:cs="Traditional Arabic"/>
          <w:sz w:val="30"/>
          <w:szCs w:val="30"/>
        </w:rPr>
        <w:t>.</w:t>
      </w:r>
    </w:p>
    <w:p w14:paraId="3C7ACAC8" w14:textId="77777777" w:rsidR="001173A1" w:rsidRPr="00B40FD7" w:rsidRDefault="001173A1" w:rsidP="00922116">
      <w:pPr>
        <w:pStyle w:val="ListParagraph"/>
        <w:numPr>
          <w:ilvl w:val="0"/>
          <w:numId w:val="36"/>
        </w:numPr>
        <w:bidi/>
        <w:mirrorIndents/>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تشكيل اللجان المنبثقة عن مجلس الإدارة للقيام ببعض الأعمال ويتضمن قرار التشكيل تسمية الأعضاء وتحديد مهامهم وحقوقهم وواجباتهم</w:t>
      </w:r>
      <w:r w:rsidRPr="00B40FD7">
        <w:rPr>
          <w:rFonts w:ascii="Traditional Arabic" w:hAnsi="Traditional Arabic" w:cs="Traditional Arabic"/>
          <w:sz w:val="30"/>
          <w:szCs w:val="30"/>
        </w:rPr>
        <w:t>.</w:t>
      </w:r>
    </w:p>
    <w:p w14:paraId="4DC2413C" w14:textId="77777777" w:rsidR="001173A1" w:rsidRPr="00B40FD7" w:rsidRDefault="001173A1" w:rsidP="00922116">
      <w:pPr>
        <w:pStyle w:val="ListParagraph"/>
        <w:numPr>
          <w:ilvl w:val="0"/>
          <w:numId w:val="36"/>
        </w:numPr>
        <w:bidi/>
        <w:mirrorIndents/>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تقييم أداء العاملين المنصوص عليهم في البند (١) من هذه المادة، وتقييم الأعمال التي تقوم بها اللجان المنبثقة عن مجلس الإدارة</w:t>
      </w:r>
      <w:r w:rsidRPr="00B40FD7">
        <w:rPr>
          <w:rFonts w:ascii="Traditional Arabic" w:hAnsi="Traditional Arabic" w:cs="Traditional Arabic"/>
          <w:sz w:val="30"/>
          <w:szCs w:val="30"/>
        </w:rPr>
        <w:t>.</w:t>
      </w:r>
    </w:p>
    <w:p w14:paraId="304D67D3" w14:textId="77777777" w:rsidR="001173A1" w:rsidRPr="00B40FD7" w:rsidRDefault="001173A1" w:rsidP="00922116">
      <w:pPr>
        <w:pStyle w:val="ListParagraph"/>
        <w:numPr>
          <w:ilvl w:val="0"/>
          <w:numId w:val="36"/>
        </w:numPr>
        <w:bidi/>
        <w:mirrorIndents/>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تضمين التقرير السنوي المقدم للجمعية العامة مسوغات مقدرة الشركة على الاستمرار في ممارسة الأنشطة المحددة لها وتحقيق أهدافها</w:t>
      </w:r>
      <w:r w:rsidRPr="00B40FD7">
        <w:rPr>
          <w:rFonts w:ascii="Traditional Arabic" w:hAnsi="Traditional Arabic" w:cs="Traditional Arabic"/>
          <w:sz w:val="30"/>
          <w:szCs w:val="30"/>
        </w:rPr>
        <w:t>.</w:t>
      </w:r>
    </w:p>
    <w:p w14:paraId="2494D901" w14:textId="77777777" w:rsidR="001173A1" w:rsidRPr="00B40FD7" w:rsidRDefault="001173A1" w:rsidP="00922116">
      <w:pPr>
        <w:pStyle w:val="ListParagraph"/>
        <w:numPr>
          <w:ilvl w:val="0"/>
          <w:numId w:val="36"/>
        </w:numPr>
        <w:bidi/>
        <w:mirrorIndents/>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تعيين أمين سر مجلس الإدارة في أول اجتماع له</w:t>
      </w:r>
      <w:r w:rsidRPr="00B40FD7">
        <w:rPr>
          <w:rFonts w:ascii="Traditional Arabic" w:hAnsi="Traditional Arabic" w:cs="Traditional Arabic"/>
          <w:sz w:val="30"/>
          <w:szCs w:val="30"/>
        </w:rPr>
        <w:t>.</w:t>
      </w:r>
    </w:p>
    <w:p w14:paraId="7D55BC8C" w14:textId="77777777" w:rsidR="001173A1" w:rsidRPr="00B40FD7" w:rsidRDefault="001173A1" w:rsidP="00922116">
      <w:pPr>
        <w:pStyle w:val="ListParagraph"/>
        <w:numPr>
          <w:ilvl w:val="0"/>
          <w:numId w:val="36"/>
        </w:numPr>
        <w:bidi/>
        <w:mirrorIndents/>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تضمين تقرير الحوكمة بيانا كاملا عن جميع المبالغ التي يكون قد تلقاها أي عضو من الشركة خلال السنة</w:t>
      </w:r>
      <w:r w:rsidRPr="00B40FD7">
        <w:rPr>
          <w:rFonts w:ascii="Traditional Arabic" w:hAnsi="Traditional Arabic" w:cs="Traditional Arabic"/>
          <w:sz w:val="30"/>
          <w:szCs w:val="30"/>
        </w:rPr>
        <w:t>.</w:t>
      </w:r>
    </w:p>
    <w:p w14:paraId="5D2F481C" w14:textId="77777777" w:rsidR="001173A1" w:rsidRPr="00B40FD7" w:rsidRDefault="001173A1" w:rsidP="00922116">
      <w:pPr>
        <w:pStyle w:val="ListParagraph"/>
        <w:numPr>
          <w:ilvl w:val="0"/>
          <w:numId w:val="36"/>
        </w:numPr>
        <w:bidi/>
        <w:mirrorIndents/>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التأكد من استيفاء أي قرار للمتطلبات القانونية قبل الإفصاح عنه للجمهور</w:t>
      </w:r>
      <w:r w:rsidRPr="00B40FD7">
        <w:rPr>
          <w:rFonts w:ascii="Traditional Arabic" w:hAnsi="Traditional Arabic" w:cs="Traditional Arabic"/>
          <w:sz w:val="30"/>
          <w:szCs w:val="30"/>
        </w:rPr>
        <w:t>.</w:t>
      </w:r>
    </w:p>
    <w:p w14:paraId="79EE40BF" w14:textId="77777777" w:rsidR="001173A1" w:rsidRPr="00B40FD7" w:rsidRDefault="001173A1" w:rsidP="00922116">
      <w:pPr>
        <w:pStyle w:val="ListParagraph"/>
        <w:numPr>
          <w:ilvl w:val="0"/>
          <w:numId w:val="36"/>
        </w:numPr>
        <w:bidi/>
        <w:mirrorIndents/>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تحديد مبلغ مقابل الحصول على نسخة مطابقة للأصل من النظام الأساسي، بما لا يتجاوز (٢٠) عشرين ريالا عمانيا</w:t>
      </w:r>
      <w:r w:rsidRPr="00B40FD7">
        <w:rPr>
          <w:rFonts w:ascii="Traditional Arabic" w:hAnsi="Traditional Arabic" w:cs="Traditional Arabic"/>
          <w:sz w:val="30"/>
          <w:szCs w:val="30"/>
        </w:rPr>
        <w:t>.</w:t>
      </w:r>
    </w:p>
    <w:p w14:paraId="4436D2C7" w14:textId="77777777" w:rsidR="001173A1" w:rsidRPr="00EB5BCF" w:rsidRDefault="001173A1" w:rsidP="001173A1">
      <w:pPr>
        <w:tabs>
          <w:tab w:val="left" w:pos="27"/>
        </w:tabs>
        <w:bidi/>
        <w:mirrorIndents/>
        <w:jc w:val="both"/>
        <w:rPr>
          <w:rFonts w:ascii="Traditional Arabic" w:hAnsi="Traditional Arabic" w:cs="Traditional Arabic"/>
          <w:sz w:val="30"/>
          <w:szCs w:val="30"/>
          <w:rtl/>
          <w:lang w:val="en-GB"/>
        </w:rPr>
      </w:pPr>
    </w:p>
    <w:p w14:paraId="0640EBA5" w14:textId="77777777" w:rsidR="001173A1" w:rsidRPr="00EB5BCF" w:rsidRDefault="001173A1" w:rsidP="001173A1">
      <w:pPr>
        <w:tabs>
          <w:tab w:val="left" w:pos="27"/>
        </w:tabs>
        <w:bidi/>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وطبقًا للمادة (185) من قانون الشركات التجارية، فإنه يحظر على مجلس الإدارة القيام بالأعمال الآتية ما لم يرخص له صراحة بموجب النظام الأساسي للشركة أو بقرار من الجمعية العامة العادية:</w:t>
      </w:r>
    </w:p>
    <w:p w14:paraId="039CDA22" w14:textId="77777777" w:rsidR="001173A1" w:rsidRPr="00EB5BCF" w:rsidRDefault="001173A1" w:rsidP="00922116">
      <w:pPr>
        <w:pStyle w:val="ListParagraph"/>
        <w:numPr>
          <w:ilvl w:val="0"/>
          <w:numId w:val="11"/>
        </w:numPr>
        <w:bidi/>
        <w:ind w:left="387"/>
        <w:contextualSpacing w:val="0"/>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تقديم التبرعات، ماعدا التبرعات التي تتطلبها مصلحة العمل متى كانت ضئيلة القيمة وعادية</w:t>
      </w:r>
      <w:r w:rsidRPr="00EB5BCF">
        <w:rPr>
          <w:rFonts w:ascii="Traditional Arabic" w:hAnsi="Traditional Arabic" w:cs="Traditional Arabic"/>
          <w:sz w:val="30"/>
          <w:szCs w:val="30"/>
          <w:lang w:val="en-GB"/>
        </w:rPr>
        <w:t>.</w:t>
      </w:r>
    </w:p>
    <w:p w14:paraId="3368FEE1" w14:textId="77777777" w:rsidR="001173A1" w:rsidRPr="00EB5BCF" w:rsidRDefault="001173A1" w:rsidP="00922116">
      <w:pPr>
        <w:pStyle w:val="ListParagraph"/>
        <w:numPr>
          <w:ilvl w:val="0"/>
          <w:numId w:val="11"/>
        </w:numPr>
        <w:bidi/>
        <w:ind w:left="387"/>
        <w:contextualSpacing w:val="0"/>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lastRenderedPageBreak/>
        <w:t>إجراء الرهن على موجودات الشركة أو التأمين عليها إلا لضمان ديونها المترتبة في سياق أعمالها الاعتيادية</w:t>
      </w:r>
      <w:r w:rsidRPr="00EB5BCF">
        <w:rPr>
          <w:rFonts w:ascii="Traditional Arabic" w:hAnsi="Traditional Arabic" w:cs="Traditional Arabic"/>
          <w:sz w:val="30"/>
          <w:szCs w:val="30"/>
          <w:lang w:val="en-GB"/>
        </w:rPr>
        <w:t>.</w:t>
      </w:r>
    </w:p>
    <w:p w14:paraId="5E06BDE0" w14:textId="77777777" w:rsidR="002733C0" w:rsidRPr="00EB5BCF" w:rsidRDefault="001173A1" w:rsidP="00922116">
      <w:pPr>
        <w:pStyle w:val="ListParagraph"/>
        <w:numPr>
          <w:ilvl w:val="0"/>
          <w:numId w:val="11"/>
        </w:numPr>
        <w:bidi/>
        <w:ind w:left="380"/>
        <w:contextualSpacing w:val="0"/>
        <w:mirrorIndents/>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كفالة ديون الغير، ما عدا الكفالات المعقودة في سياق العمل الاعتيادي من أجل تحقيق أغراض الشركة.</w:t>
      </w:r>
    </w:p>
    <w:p w14:paraId="43AF26CC" w14:textId="77777777" w:rsidR="002733C0" w:rsidRPr="00EB5BCF" w:rsidRDefault="002733C0" w:rsidP="002733C0">
      <w:pPr>
        <w:pStyle w:val="ListParagraph"/>
        <w:bidi/>
        <w:ind w:left="380"/>
        <w:contextualSpacing w:val="0"/>
        <w:mirrorIndents/>
        <w:jc w:val="both"/>
        <w:rPr>
          <w:rFonts w:ascii="Traditional Arabic" w:hAnsi="Traditional Arabic" w:cs="Traditional Arabic"/>
          <w:sz w:val="30"/>
          <w:szCs w:val="30"/>
          <w:rtl/>
          <w:lang w:val="en-GB"/>
        </w:rPr>
      </w:pPr>
    </w:p>
    <w:p w14:paraId="31703395" w14:textId="77777777" w:rsidR="001173A1" w:rsidRPr="00EB5BCF" w:rsidRDefault="001173A1" w:rsidP="002733C0">
      <w:pPr>
        <w:pStyle w:val="ListParagraph"/>
        <w:bidi/>
        <w:ind w:left="380"/>
        <w:contextualSpacing w:val="0"/>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وطبقًا للمادة (176) من القانون ذاته فإن الجمعية العامة غير العادية تختص بالتصرف في موجودات الشركة الثابتة، أو في جزء منها تشكل قيمته (25%) خمسة وعشرين في المائة فأكثر من صافي قيمة أصول الشركة، وفي تعديل نظامها الأساسي وفي تحولها أو اندماجها أو حلها وتصفيتها.</w:t>
      </w:r>
    </w:p>
    <w:p w14:paraId="38779BF1" w14:textId="77777777" w:rsidR="001173A1" w:rsidRPr="00EB5BCF" w:rsidRDefault="001173A1" w:rsidP="001173A1">
      <w:pPr>
        <w:bidi/>
        <w:mirrorIndents/>
        <w:jc w:val="both"/>
        <w:rPr>
          <w:rFonts w:ascii="Traditional Arabic" w:hAnsi="Traditional Arabic" w:cs="Traditional Arabic"/>
          <w:sz w:val="30"/>
          <w:szCs w:val="30"/>
          <w:rtl/>
          <w:lang w:val="en-GB"/>
        </w:rPr>
      </w:pPr>
    </w:p>
    <w:p w14:paraId="5FA64AF5" w14:textId="77777777" w:rsidR="001173A1" w:rsidRPr="00EB5BCF" w:rsidRDefault="00333121" w:rsidP="001173A1">
      <w:pPr>
        <w:bidi/>
        <w:mirrorIndents/>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و</w:t>
      </w:r>
      <w:r w:rsidR="001173A1" w:rsidRPr="00EB5BCF">
        <w:rPr>
          <w:rFonts w:ascii="Traditional Arabic" w:hAnsi="Traditional Arabic" w:cs="Traditional Arabic"/>
          <w:sz w:val="30"/>
          <w:szCs w:val="30"/>
          <w:rtl/>
          <w:lang w:val="en-GB"/>
        </w:rPr>
        <w:t xml:space="preserve">يتعين على الشركة </w:t>
      </w:r>
      <w:r w:rsidRPr="00EB5BCF">
        <w:rPr>
          <w:rFonts w:ascii="Traditional Arabic" w:hAnsi="Traditional Arabic" w:cs="Traditional Arabic"/>
          <w:sz w:val="30"/>
          <w:szCs w:val="30"/>
          <w:rtl/>
          <w:lang w:val="en-GB"/>
        </w:rPr>
        <w:t>الا</w:t>
      </w:r>
      <w:r w:rsidR="001173A1" w:rsidRPr="00EB5BCF">
        <w:rPr>
          <w:rFonts w:ascii="Traditional Arabic" w:hAnsi="Traditional Arabic" w:cs="Traditional Arabic"/>
          <w:sz w:val="30"/>
          <w:szCs w:val="30"/>
          <w:rtl/>
          <w:lang w:val="en-GB"/>
        </w:rPr>
        <w:t>لتزام بجميع الأعمال التي يقوم بها مجلس الإدارة ورئيس مجلس الإدارة وجميع أعضاء الإدارة العليا الآخرين، طالما أنهم يعملون باسم الشركة وفي حدود صلاحياتهم.</w:t>
      </w:r>
    </w:p>
    <w:p w14:paraId="0996941D" w14:textId="77777777" w:rsidR="001173A1" w:rsidRPr="00EB5BCF" w:rsidRDefault="001173A1" w:rsidP="001173A1">
      <w:pPr>
        <w:bidi/>
        <w:mirrorIndents/>
        <w:jc w:val="both"/>
        <w:rPr>
          <w:rFonts w:ascii="Traditional Arabic" w:hAnsi="Traditional Arabic" w:cs="Traditional Arabic"/>
          <w:sz w:val="30"/>
          <w:szCs w:val="30"/>
          <w:rtl/>
          <w:lang w:val="en-GB"/>
        </w:rPr>
      </w:pPr>
    </w:p>
    <w:p w14:paraId="70BCE0B8" w14:textId="77777777" w:rsidR="000C096E" w:rsidRPr="000C096E" w:rsidRDefault="00864759" w:rsidP="000C096E">
      <w:pPr>
        <w:autoSpaceDE w:val="0"/>
        <w:autoSpaceDN w:val="0"/>
        <w:bidi/>
        <w:adjustRightInd w:val="0"/>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 xml:space="preserve">ويجوز لمجلس الإدارة – </w:t>
      </w:r>
      <w:r w:rsidR="000C096E" w:rsidRPr="000C096E">
        <w:rPr>
          <w:rFonts w:ascii="Traditional Arabic" w:hAnsi="Traditional Arabic" w:cs="Traditional Arabic"/>
          <w:sz w:val="30"/>
          <w:szCs w:val="30"/>
          <w:rtl/>
          <w:lang w:val="en-GB"/>
        </w:rPr>
        <w:t>طبقاً للمادة 193 من قانون الشركات التجارية، أن</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يصدر</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في</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الحالات</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وبالضوابط</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التي</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تحددها</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لائحة الشركات المساهمة العامة</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أيا</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من</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قراراته عن</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طريق</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محضر</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بالتمرير، وفي</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هذه</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الحالة،</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يجب</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على أمين سر</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المجلس</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إدراج</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القرارات</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التي</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تم</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اعتمادها</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بالتمرير في</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محضر</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اجتماع</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مجلس الإدارة</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التالي</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على</w:t>
      </w:r>
      <w:r w:rsidR="000C096E" w:rsidRPr="000C096E">
        <w:rPr>
          <w:rFonts w:ascii="Traditional Arabic" w:hAnsi="Traditional Arabic" w:cs="Traditional Arabic"/>
          <w:sz w:val="30"/>
          <w:szCs w:val="30"/>
          <w:lang w:val="en-GB"/>
        </w:rPr>
        <w:t xml:space="preserve"> </w:t>
      </w:r>
      <w:r w:rsidR="000C096E" w:rsidRPr="000C096E">
        <w:rPr>
          <w:rFonts w:ascii="Traditional Arabic" w:hAnsi="Traditional Arabic" w:cs="Traditional Arabic"/>
          <w:sz w:val="30"/>
          <w:szCs w:val="30"/>
          <w:rtl/>
          <w:lang w:val="en-GB"/>
        </w:rPr>
        <w:t>اعتمادها.</w:t>
      </w:r>
    </w:p>
    <w:p w14:paraId="1905D7ED" w14:textId="77777777" w:rsidR="001173A1" w:rsidRPr="00EB5BCF" w:rsidRDefault="001173A1" w:rsidP="001173A1">
      <w:pPr>
        <w:autoSpaceDE w:val="0"/>
        <w:autoSpaceDN w:val="0"/>
        <w:bidi/>
        <w:adjustRightInd w:val="0"/>
        <w:rPr>
          <w:rFonts w:ascii="Traditional Arabic" w:hAnsi="Traditional Arabic" w:cs="Traditional Arabic"/>
          <w:sz w:val="30"/>
          <w:szCs w:val="30"/>
          <w:rtl/>
        </w:rPr>
      </w:pPr>
    </w:p>
    <w:p w14:paraId="103953ED" w14:textId="77777777" w:rsidR="00301FDF" w:rsidRPr="00EB5BCF" w:rsidRDefault="00301FDF" w:rsidP="009D2E8B">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ووفقا لأحكام المادة 202 من قانون الشركات التجارية </w:t>
      </w:r>
      <w:r w:rsidR="00512228" w:rsidRPr="00EB5BCF">
        <w:rPr>
          <w:rFonts w:ascii="Traditional Arabic" w:hAnsi="Traditional Arabic" w:cs="Traditional Arabic"/>
          <w:sz w:val="30"/>
          <w:szCs w:val="30"/>
          <w:rtl/>
        </w:rPr>
        <w:t xml:space="preserve">فإنه لا يجوز لأي من أعضاء مجلس الإدارة أو الإدارة التنفيذية استغلال مركزه لتحقيق مكاسب لشخصه أو لأي شخص آخر، كما تنص </w:t>
      </w:r>
      <w:r w:rsidR="009D2E8B" w:rsidRPr="00EB5BCF">
        <w:rPr>
          <w:rFonts w:ascii="Traditional Arabic" w:hAnsi="Traditional Arabic" w:cs="Traditional Arabic"/>
          <w:sz w:val="30"/>
          <w:szCs w:val="30"/>
          <w:rtl/>
        </w:rPr>
        <w:t xml:space="preserve">المادة 203 من ذات القانون على أنه: </w:t>
      </w:r>
      <w:r w:rsidR="00512228" w:rsidRPr="00EB5BCF">
        <w:rPr>
          <w:rFonts w:ascii="Traditional Arabic" w:hAnsi="Traditional Arabic" w:cs="Traditional Arabic"/>
          <w:sz w:val="30"/>
          <w:szCs w:val="30"/>
          <w:rtl/>
        </w:rPr>
        <w:t>لا يجوز لعضو مجلس إدارة الشركة أن يشارك في إدارة شركة أخرى تمارس أعمالا مشابهة</w:t>
      </w:r>
      <w:r w:rsidR="00512228" w:rsidRPr="00EB5BCF">
        <w:rPr>
          <w:rFonts w:ascii="Traditional Arabic" w:hAnsi="Traditional Arabic" w:cs="Traditional Arabic"/>
          <w:sz w:val="30"/>
          <w:szCs w:val="30"/>
        </w:rPr>
        <w:t>.</w:t>
      </w:r>
      <w:r w:rsidR="00512228" w:rsidRPr="00EB5BCF">
        <w:rPr>
          <w:rFonts w:ascii="Traditional Arabic" w:hAnsi="Traditional Arabic" w:cs="Traditional Arabic"/>
          <w:sz w:val="30"/>
          <w:szCs w:val="30"/>
          <w:rtl/>
        </w:rPr>
        <w:t xml:space="preserve"> ولا يجوز لأعضاء مجلس الإدارة والإدارة التنفيذية في الشركة أن يقوموا لحسابهم أو لحساب الغير بأعمال مشابهة لأعمال الشركة، ولا أن يستعملوا موجودات الشركة أو أموالها لمصلحتهم أو لمصلحة الغير دون موافقة مسبقة من الجمعية العامة العادي</w:t>
      </w:r>
      <w:r w:rsidR="009D2E8B" w:rsidRPr="00EB5BCF">
        <w:rPr>
          <w:rFonts w:ascii="Traditional Arabic" w:hAnsi="Traditional Arabic" w:cs="Traditional Arabic"/>
          <w:sz w:val="30"/>
          <w:szCs w:val="30"/>
          <w:rtl/>
        </w:rPr>
        <w:t>ة.</w:t>
      </w:r>
    </w:p>
    <w:p w14:paraId="025560C0" w14:textId="77777777" w:rsidR="00F64E29" w:rsidRPr="00EB5BCF" w:rsidRDefault="00F64E29" w:rsidP="00F64E29">
      <w:pPr>
        <w:autoSpaceDE w:val="0"/>
        <w:autoSpaceDN w:val="0"/>
        <w:bidi/>
        <w:adjustRightInd w:val="0"/>
        <w:jc w:val="both"/>
        <w:rPr>
          <w:rFonts w:ascii="Traditional Arabic" w:hAnsi="Traditional Arabic" w:cs="Traditional Arabic"/>
          <w:sz w:val="30"/>
          <w:szCs w:val="30"/>
          <w:rtl/>
        </w:rPr>
      </w:pPr>
    </w:p>
    <w:p w14:paraId="206D5B53" w14:textId="77777777" w:rsidR="008E4B1E" w:rsidRPr="00EB5BCF" w:rsidRDefault="005215CE" w:rsidP="008E4B1E">
      <w:pPr>
        <w:autoSpaceDE w:val="0"/>
        <w:autoSpaceDN w:val="0"/>
        <w:bidi/>
        <w:adjustRightInd w:val="0"/>
        <w:jc w:val="both"/>
        <w:rPr>
          <w:rFonts w:ascii="Traditional Arabic" w:hAnsi="Traditional Arabic" w:cs="Traditional Arabic"/>
          <w:sz w:val="30"/>
          <w:szCs w:val="30"/>
          <w:rtl/>
        </w:rPr>
      </w:pPr>
      <w:r>
        <w:rPr>
          <w:rFonts w:ascii="Traditional Arabic" w:hAnsi="Traditional Arabic" w:cs="Traditional Arabic" w:hint="cs"/>
          <w:sz w:val="30"/>
          <w:szCs w:val="30"/>
          <w:rtl/>
        </w:rPr>
        <w:t>تتضمن</w:t>
      </w:r>
      <w:r w:rsidR="008E4B1E" w:rsidRPr="00EB5BCF">
        <w:rPr>
          <w:rFonts w:ascii="Traditional Arabic" w:hAnsi="Traditional Arabic" w:cs="Traditional Arabic"/>
          <w:sz w:val="30"/>
          <w:szCs w:val="30"/>
          <w:rtl/>
        </w:rPr>
        <w:t xml:space="preserve"> اللائحة التنفيذية لقانون سوق رأس المال </w:t>
      </w:r>
      <w:r>
        <w:rPr>
          <w:rFonts w:ascii="Traditional Arabic" w:hAnsi="Traditional Arabic" w:cs="Traditional Arabic" w:hint="cs"/>
          <w:sz w:val="30"/>
          <w:szCs w:val="30"/>
          <w:rtl/>
        </w:rPr>
        <w:t>أحكاما تتعلق</w:t>
      </w:r>
      <w:r w:rsidRPr="00EB5BCF">
        <w:rPr>
          <w:rFonts w:ascii="Traditional Arabic" w:hAnsi="Traditional Arabic" w:cs="Traditional Arabic"/>
          <w:sz w:val="30"/>
          <w:szCs w:val="30"/>
          <w:rtl/>
        </w:rPr>
        <w:t xml:space="preserve"> </w:t>
      </w:r>
      <w:r>
        <w:rPr>
          <w:rFonts w:ascii="Traditional Arabic" w:hAnsi="Traditional Arabic" w:cs="Traditional Arabic" w:hint="cs"/>
          <w:sz w:val="30"/>
          <w:szCs w:val="30"/>
          <w:rtl/>
        </w:rPr>
        <w:t>"</w:t>
      </w:r>
      <w:r w:rsidR="008E4B1E" w:rsidRPr="00EB5BCF">
        <w:rPr>
          <w:rFonts w:ascii="Traditional Arabic" w:hAnsi="Traditional Arabic" w:cs="Traditional Arabic"/>
          <w:sz w:val="30"/>
          <w:szCs w:val="30"/>
          <w:rtl/>
        </w:rPr>
        <w:t>بتعاملات الأشخاص المطلعين</w:t>
      </w:r>
      <w:r>
        <w:rPr>
          <w:rFonts w:ascii="Traditional Arabic" w:hAnsi="Traditional Arabic" w:cs="Traditional Arabic" w:hint="cs"/>
          <w:sz w:val="30"/>
          <w:szCs w:val="30"/>
          <w:rtl/>
        </w:rPr>
        <w:t>"</w:t>
      </w:r>
      <w:r w:rsidR="008E4B1E" w:rsidRPr="00EB5BCF">
        <w:rPr>
          <w:rFonts w:ascii="Traditional Arabic" w:hAnsi="Traditional Arabic" w:cs="Traditional Arabic"/>
          <w:sz w:val="30"/>
          <w:szCs w:val="30"/>
          <w:rtl/>
        </w:rPr>
        <w:t xml:space="preserve"> وذلك على النحو التالي:</w:t>
      </w:r>
    </w:p>
    <w:p w14:paraId="1E555420"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rtl/>
        </w:rPr>
      </w:pPr>
    </w:p>
    <w:p w14:paraId="4A89195B" w14:textId="77777777" w:rsidR="008E4B1E" w:rsidRPr="00EB5BCF" w:rsidRDefault="008E4B1E" w:rsidP="00922116">
      <w:pPr>
        <w:numPr>
          <w:ilvl w:val="0"/>
          <w:numId w:val="12"/>
        </w:num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يقصد بالشخص المطلع كل شخص يمكنه الاطلاع على المعلومات الجوهرية غير المفصح عنها بحكم منصبه أو وظيفته ويشمل أعضاء مجلس الإدارة والإدارة التنفيذية، وكل شخص يحصل على هذه المعلومات من خلال علاقاته العائلية أو الشخصية أو علاقات العمل أو غيرها.</w:t>
      </w:r>
    </w:p>
    <w:p w14:paraId="089E87B6"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lang w:val="en-GB"/>
        </w:rPr>
      </w:pPr>
    </w:p>
    <w:p w14:paraId="44C907D1" w14:textId="77777777" w:rsidR="008E4B1E" w:rsidRPr="00EB5BCF" w:rsidRDefault="008E4B1E" w:rsidP="00922116">
      <w:pPr>
        <w:numPr>
          <w:ilvl w:val="0"/>
          <w:numId w:val="12"/>
        </w:num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xml:space="preserve">تلتزم الجهة المصدرة بتزويد دائرة الرقابة على التداول </w:t>
      </w:r>
      <w:r w:rsidR="005600DE">
        <w:rPr>
          <w:rFonts w:ascii="Traditional Arabic" w:hAnsi="Traditional Arabic" w:cs="Traditional Arabic" w:hint="cs"/>
          <w:sz w:val="30"/>
          <w:szCs w:val="30"/>
          <w:rtl/>
        </w:rPr>
        <w:t>بالبورصة</w:t>
      </w:r>
      <w:r w:rsidR="005600DE" w:rsidRPr="00EB5BCF" w:rsidDel="005600DE">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قائمة بأسماء أعضاء مجلس إدارتها والإدارة التنفيذية فيها وأزواجهم وأقاربهم حتى الدرجة الأولى كما تلتزم أيضًا بإبلاغ الدائرة المذكورة بأي تغيير يحدث في هذه القائمة.</w:t>
      </w:r>
    </w:p>
    <w:p w14:paraId="6F3DA754"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rtl/>
        </w:rPr>
      </w:pPr>
    </w:p>
    <w:p w14:paraId="2B492985" w14:textId="77777777" w:rsidR="00446C8A" w:rsidRPr="00EB5BCF" w:rsidRDefault="008E4B1E" w:rsidP="008E4B1E">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يخضع الأشخاص المطلعون لعقوبات تتضمن الغرامة والسجن وفقاً لأحكام قانون الشركات التجارية </w:t>
      </w:r>
      <w:r w:rsidR="005600DE" w:rsidRPr="00EB5BCF">
        <w:rPr>
          <w:rFonts w:ascii="Traditional Arabic" w:hAnsi="Traditional Arabic" w:cs="Traditional Arabic"/>
          <w:sz w:val="30"/>
          <w:szCs w:val="30"/>
          <w:rtl/>
        </w:rPr>
        <w:t>و</w:t>
      </w:r>
      <w:r w:rsidR="005600DE">
        <w:rPr>
          <w:rFonts w:ascii="Traditional Arabic" w:hAnsi="Traditional Arabic" w:cs="Traditional Arabic" w:hint="cs"/>
          <w:sz w:val="30"/>
          <w:szCs w:val="30"/>
          <w:rtl/>
        </w:rPr>
        <w:t>ال</w:t>
      </w:r>
      <w:r w:rsidR="005600DE" w:rsidRPr="00EB5BCF">
        <w:rPr>
          <w:rFonts w:ascii="Traditional Arabic" w:hAnsi="Traditional Arabic" w:cs="Traditional Arabic"/>
          <w:sz w:val="30"/>
          <w:szCs w:val="30"/>
          <w:rtl/>
        </w:rPr>
        <w:t>لائح</w:t>
      </w:r>
      <w:r w:rsidR="005600DE">
        <w:rPr>
          <w:rFonts w:ascii="Traditional Arabic" w:hAnsi="Traditional Arabic" w:cs="Traditional Arabic" w:hint="cs"/>
          <w:sz w:val="30"/>
          <w:szCs w:val="30"/>
          <w:rtl/>
        </w:rPr>
        <w:t>ة</w:t>
      </w:r>
      <w:r w:rsidR="005600DE" w:rsidRPr="00EB5BCF">
        <w:rPr>
          <w:rFonts w:ascii="Traditional Arabic" w:hAnsi="Traditional Arabic" w:cs="Traditional Arabic"/>
          <w:sz w:val="30"/>
          <w:szCs w:val="30"/>
          <w:rtl/>
        </w:rPr>
        <w:t xml:space="preserve"> التنفيذية </w:t>
      </w:r>
      <w:r w:rsidR="005600DE">
        <w:rPr>
          <w:rFonts w:ascii="Traditional Arabic" w:hAnsi="Traditional Arabic" w:cs="Traditional Arabic" w:hint="cs"/>
          <w:sz w:val="30"/>
          <w:szCs w:val="30"/>
          <w:rtl/>
        </w:rPr>
        <w:t>ل</w:t>
      </w:r>
      <w:r w:rsidRPr="00EB5BCF">
        <w:rPr>
          <w:rFonts w:ascii="Traditional Arabic" w:hAnsi="Traditional Arabic" w:cs="Traditional Arabic"/>
          <w:sz w:val="30"/>
          <w:szCs w:val="30"/>
          <w:rtl/>
        </w:rPr>
        <w:t>قانون سوق رأس المال.</w:t>
      </w:r>
    </w:p>
    <w:p w14:paraId="30CA8B4A" w14:textId="77777777" w:rsidR="007A614C" w:rsidRPr="00EB5BCF" w:rsidRDefault="007A614C" w:rsidP="007A614C">
      <w:pPr>
        <w:autoSpaceDE w:val="0"/>
        <w:autoSpaceDN w:val="0"/>
        <w:bidi/>
        <w:adjustRightInd w:val="0"/>
        <w:jc w:val="both"/>
        <w:rPr>
          <w:rFonts w:ascii="Traditional Arabic" w:hAnsi="Traditional Arabic" w:cs="Traditional Arabic"/>
          <w:sz w:val="30"/>
          <w:szCs w:val="30"/>
          <w:rtl/>
        </w:rPr>
      </w:pPr>
    </w:p>
    <w:p w14:paraId="654E63A8" w14:textId="77777777" w:rsidR="008E4B1E" w:rsidRPr="00EB5BCF" w:rsidRDefault="008E4B1E" w:rsidP="00446C8A">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ولا يجوز أن يكون لعضو مجلس الإدارة أو الإدارة العليا أو الأطراف الأخرى ذات العلاقة ب</w:t>
      </w:r>
      <w:r w:rsidR="00446C8A" w:rsidRPr="00EB5BCF">
        <w:rPr>
          <w:rFonts w:ascii="Traditional Arabic" w:hAnsi="Traditional Arabic" w:cs="Traditional Arabic"/>
          <w:sz w:val="30"/>
          <w:szCs w:val="30"/>
          <w:rtl/>
        </w:rPr>
        <w:t>ال</w:t>
      </w:r>
      <w:r w:rsidRPr="00EB5BCF">
        <w:rPr>
          <w:rFonts w:ascii="Traditional Arabic" w:hAnsi="Traditional Arabic" w:cs="Traditional Arabic"/>
          <w:sz w:val="30"/>
          <w:szCs w:val="30"/>
          <w:rtl/>
        </w:rPr>
        <w:t xml:space="preserve">شركة أي مصلحة مباشرة أو غير مباشرة في الصفقات والعقود التي تبرمها الشركة لحسابها باستثناء العقود والصفقات التي تتم وفقا للقواعد واللوائح التي تصدرها </w:t>
      </w:r>
      <w:r w:rsidR="002D7E14">
        <w:rPr>
          <w:rFonts w:ascii="Traditional Arabic" w:hAnsi="Traditional Arabic" w:cs="Traditional Arabic"/>
          <w:sz w:val="30"/>
          <w:szCs w:val="30"/>
          <w:rtl/>
        </w:rPr>
        <w:t>هيئة الخدمات المالية</w:t>
      </w:r>
      <w:r w:rsidRPr="00EB5BCF">
        <w:rPr>
          <w:rFonts w:ascii="Traditional Arabic" w:hAnsi="Traditional Arabic" w:cs="Traditional Arabic"/>
          <w:sz w:val="30"/>
          <w:szCs w:val="30"/>
          <w:rtl/>
        </w:rPr>
        <w:t>.</w:t>
      </w:r>
    </w:p>
    <w:p w14:paraId="0B5212B4"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rtl/>
          <w:lang w:val="en-GB"/>
        </w:rPr>
      </w:pPr>
    </w:p>
    <w:p w14:paraId="66A441BB" w14:textId="77777777" w:rsidR="008E4B1E" w:rsidRPr="00EB5BCF" w:rsidRDefault="00446C8A" w:rsidP="008E4B1E">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w:t>
      </w:r>
      <w:r w:rsidR="008E4B1E" w:rsidRPr="00EB5BCF">
        <w:rPr>
          <w:rFonts w:ascii="Traditional Arabic" w:hAnsi="Traditional Arabic" w:cs="Traditional Arabic"/>
          <w:sz w:val="30"/>
          <w:szCs w:val="30"/>
          <w:rtl/>
        </w:rPr>
        <w:t>يكون أعضاء مجلس الإدارة مسؤولين أمام الشركة والمساهمين والغير عن الأضرار الناتجة عن أعمالهم المخالفة للقانون وعن أعمالهم التي تتجاوز حدود صلاحياتهم وعن أي غش أو إهمال يرتكبونه في أداء مهامهم وكذلك عن عدم تصرفهم تصرف الشخص المتبصر في ظروف معينة.</w:t>
      </w:r>
    </w:p>
    <w:p w14:paraId="467A8191" w14:textId="77777777" w:rsidR="00446C8A" w:rsidRPr="00EB5BCF" w:rsidRDefault="00446C8A" w:rsidP="008E4B1E">
      <w:pPr>
        <w:autoSpaceDE w:val="0"/>
        <w:autoSpaceDN w:val="0"/>
        <w:bidi/>
        <w:adjustRightInd w:val="0"/>
        <w:jc w:val="both"/>
        <w:rPr>
          <w:rFonts w:ascii="Traditional Arabic" w:hAnsi="Traditional Arabic" w:cs="Traditional Arabic"/>
          <w:sz w:val="30"/>
          <w:szCs w:val="30"/>
          <w:rtl/>
        </w:rPr>
      </w:pPr>
    </w:p>
    <w:p w14:paraId="64C98153" w14:textId="77777777" w:rsidR="008E4B1E" w:rsidRPr="00EB5BCF" w:rsidRDefault="00003D64" w:rsidP="00446C8A">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w:t>
      </w:r>
      <w:r w:rsidR="003D3E22">
        <w:rPr>
          <w:rFonts w:ascii="Traditional Arabic" w:hAnsi="Traditional Arabic" w:cs="Traditional Arabic" w:hint="cs"/>
          <w:sz w:val="30"/>
          <w:szCs w:val="30"/>
          <w:rtl/>
        </w:rPr>
        <w:t xml:space="preserve">فقا للمادة 18 </w:t>
      </w:r>
      <w:r w:rsidR="008E4B1E" w:rsidRPr="00EB5BCF">
        <w:rPr>
          <w:rFonts w:ascii="Traditional Arabic" w:hAnsi="Traditional Arabic" w:cs="Traditional Arabic"/>
          <w:sz w:val="30"/>
          <w:szCs w:val="30"/>
          <w:rtl/>
        </w:rPr>
        <w:t>من قانون الشركات التجارية:</w:t>
      </w:r>
    </w:p>
    <w:p w14:paraId="21732B57"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lang w:bidi="ar-OM"/>
        </w:rPr>
        <w:t>"</w:t>
      </w:r>
      <w:r w:rsidRPr="00EB5BCF">
        <w:rPr>
          <w:rFonts w:ascii="Traditional Arabic" w:hAnsi="Traditional Arabic" w:cs="Traditional Arabic"/>
          <w:sz w:val="30"/>
          <w:szCs w:val="30"/>
          <w:rtl/>
        </w:rPr>
        <w:t>لا تقبل الدعوى على مديري الشركة أو أعضاء مجلس إدارتها أو مراقبي حساباتها أو مصفيها أو على ورثة أو خلفاء أي من المذكورين بسبب الأعمال التي قاموا بها في أثناء ممارستهم مهامهم إلا إذا أقيمت خلال (5) خمس سنوات تبدأ من أحدث تاريخ من التواريخ الآتية:</w:t>
      </w:r>
    </w:p>
    <w:p w14:paraId="5A526871" w14:textId="77777777" w:rsidR="008E4B1E" w:rsidRPr="00EB5BCF" w:rsidRDefault="008E4B1E" w:rsidP="00922116">
      <w:pPr>
        <w:numPr>
          <w:ilvl w:val="0"/>
          <w:numId w:val="13"/>
        </w:num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تاريخ تسجيل الشركة لدى المسجل.</w:t>
      </w:r>
    </w:p>
    <w:p w14:paraId="267DADF7" w14:textId="77777777" w:rsidR="008E4B1E" w:rsidRPr="00EB5BCF" w:rsidRDefault="008E4B1E" w:rsidP="00922116">
      <w:pPr>
        <w:numPr>
          <w:ilvl w:val="0"/>
          <w:numId w:val="13"/>
        </w:num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تاريخ حدوث الفعل أو التقصير الذي هو سبب الدعوى.</w:t>
      </w:r>
    </w:p>
    <w:p w14:paraId="3E879A52" w14:textId="77777777" w:rsidR="008E4B1E" w:rsidRPr="00EB5BCF" w:rsidRDefault="008E4B1E" w:rsidP="00922116">
      <w:pPr>
        <w:numPr>
          <w:ilvl w:val="0"/>
          <w:numId w:val="13"/>
        </w:num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تاريخ موافقة الشركاء أو انعقاد الجمعية العامة للشركة التي قدم المدير أو مجلس الإدارة حسابا عن عمليات الشركة عن المدة التي تشمل الفعل أو التقصير الذي هو سبب الدعوى المقامة ضد المديرين أو مجلس الإدارة أو أحد أعضائه." </w:t>
      </w:r>
    </w:p>
    <w:p w14:paraId="73382177"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lang w:val="en-GB"/>
        </w:rPr>
      </w:pPr>
    </w:p>
    <w:p w14:paraId="4B68BEBA" w14:textId="77777777" w:rsidR="008E4B1E" w:rsidRPr="00EB5BCF" w:rsidRDefault="008E4B1E" w:rsidP="008E4B1E">
      <w:pPr>
        <w:autoSpaceDE w:val="0"/>
        <w:autoSpaceDN w:val="0"/>
        <w:bidi/>
        <w:adjustRightInd w:val="0"/>
        <w:jc w:val="both"/>
        <w:rPr>
          <w:rFonts w:ascii="Traditional Arabic" w:hAnsi="Traditional Arabic" w:cs="Traditional Arabic"/>
          <w:b/>
          <w:sz w:val="30"/>
          <w:szCs w:val="30"/>
          <w:lang w:val="en-GB"/>
        </w:rPr>
      </w:pPr>
      <w:r w:rsidRPr="00EB5BCF">
        <w:rPr>
          <w:rFonts w:ascii="Traditional Arabic" w:hAnsi="Traditional Arabic" w:cs="Traditional Arabic"/>
          <w:b/>
          <w:bCs/>
          <w:sz w:val="30"/>
          <w:szCs w:val="30"/>
          <w:rtl/>
        </w:rPr>
        <w:t>مكافآت أعضاء مجلس الإدارة</w:t>
      </w:r>
    </w:p>
    <w:p w14:paraId="0C69C003" w14:textId="77777777" w:rsidR="008E4B1E" w:rsidRPr="00EB5BCF" w:rsidRDefault="008E4B1E" w:rsidP="007A614C">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تحدد الجمعية العامة </w:t>
      </w:r>
      <w:r w:rsidR="002346BD">
        <w:rPr>
          <w:rFonts w:ascii="Traditional Arabic" w:hAnsi="Traditional Arabic" w:cs="Traditional Arabic" w:hint="cs"/>
          <w:sz w:val="30"/>
          <w:szCs w:val="30"/>
          <w:rtl/>
        </w:rPr>
        <w:t>العادية</w:t>
      </w:r>
      <w:r w:rsidR="002346BD"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 xml:space="preserve">المكافآت السنوية وبدل حضور جلسات اجتماعات مجلس إدارة الشركة لرئيس وأعضاء المجلس طبقا للضوابط الصادرة عن </w:t>
      </w:r>
      <w:r w:rsidR="002D7E14">
        <w:rPr>
          <w:rFonts w:ascii="Traditional Arabic" w:hAnsi="Traditional Arabic" w:cs="Traditional Arabic"/>
          <w:sz w:val="30"/>
          <w:szCs w:val="30"/>
          <w:rtl/>
        </w:rPr>
        <w:t>هيئة الخدمات المالية</w:t>
      </w:r>
      <w:r w:rsidRPr="00EB5BCF">
        <w:rPr>
          <w:rFonts w:ascii="Traditional Arabic" w:hAnsi="Traditional Arabic" w:cs="Traditional Arabic"/>
          <w:sz w:val="30"/>
          <w:szCs w:val="30"/>
          <w:rtl/>
        </w:rPr>
        <w:t xml:space="preserve"> ووفقاً لأحكام المادة 197 من قانون الشركات التجارية</w:t>
      </w:r>
      <w:r w:rsidR="007A614C"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w:t>
      </w:r>
      <w:r w:rsidR="007A614C" w:rsidRPr="00EB5BCF">
        <w:rPr>
          <w:rFonts w:ascii="Traditional Arabic" w:hAnsi="Traditional Arabic" w:cs="Traditional Arabic"/>
          <w:sz w:val="30"/>
          <w:szCs w:val="30"/>
          <w:rtl/>
        </w:rPr>
        <w:t>ووفقاً ل</w:t>
      </w:r>
      <w:r w:rsidRPr="00EB5BCF">
        <w:rPr>
          <w:rFonts w:ascii="Traditional Arabic" w:hAnsi="Traditional Arabic" w:cs="Traditional Arabic"/>
          <w:sz w:val="30"/>
          <w:szCs w:val="30"/>
          <w:rtl/>
        </w:rPr>
        <w:t>لأحكام الخاصة "بالمكافآت" و"بدل حضور الجلسات" تحت الفرع الثاني (ثالثا) من لائحة الشركات المساهمة العامة. ويُدفع بدل حضور الجلسات إلى أعضاء مجلس الإدارة على أساس عدد جلسات المجلس ولجانه التي حضروها في السنة المالية الواحدة، على ألا يتجاوز بدل حضور الجلسات (10,000) عشرة آلاف ريال عماني لكل عضو خلال السنة الواحدة طبقا للمادة (129) من اللائحة المشار إليها.</w:t>
      </w:r>
    </w:p>
    <w:p w14:paraId="4FF7EFC8"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rtl/>
        </w:rPr>
      </w:pPr>
    </w:p>
    <w:p w14:paraId="75B6AA70"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وقد حددت مواد اللائحة (130 – 133) آلية حساب وتوزيع مكافآت أعضاء مجلس الإدارة حيث يكون توزيع مكافآت أعضاء مجلس الإدارة من الأرباح الصافية للشركة بعد خصم الضرائب واستقطاع الاحتياطي القانوني والحسابات الاحتياطية الاختيارية، وما تخصصه الشركة من الأرباح لزيادة رأس مالها أو لتوزيعه على مساهميها.</w:t>
      </w:r>
    </w:p>
    <w:p w14:paraId="7BB58245"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rtl/>
        </w:rPr>
      </w:pPr>
    </w:p>
    <w:p w14:paraId="7D538D5E"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وتحدد الجمعية العامة مكافآت أعضاء مجلس الإدارة وفقا للقواعد الآتية:</w:t>
      </w:r>
    </w:p>
    <w:p w14:paraId="09635C8B" w14:textId="77777777" w:rsidR="008E4B1E" w:rsidRPr="00EB5BCF" w:rsidRDefault="008E4B1E" w:rsidP="00922116">
      <w:pPr>
        <w:numPr>
          <w:ilvl w:val="0"/>
          <w:numId w:val="14"/>
        </w:num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ألا تتجاوز المكافآت مبلغ (300,000) ثلاثمائة ألف ريال عماني للشركة التي حققت أرباحا</w:t>
      </w:r>
      <w:r w:rsidR="007A614C"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صافية مساوية أو تفوق الأرباح المحققة في سنتها المالية السابقة ولا توجد خسائر متراكمة ولم يلحق برأس مالها خسارة.</w:t>
      </w:r>
    </w:p>
    <w:p w14:paraId="43E1EAAE" w14:textId="77777777" w:rsidR="008E4B1E" w:rsidRPr="00EB5BCF" w:rsidRDefault="008E4B1E" w:rsidP="00922116">
      <w:pPr>
        <w:numPr>
          <w:ilvl w:val="0"/>
          <w:numId w:val="14"/>
        </w:num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ألا تتجاوز المكافآت مبلغ (150,000) مائة وخمسين ألف ريال عماني للشركة التي حققت أرباحا</w:t>
      </w:r>
      <w:r w:rsidR="007A614C"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صافية أقل عن الأرباح المحققة في سنتها المالية السابقة ولم يلحق برأس مالها خسارة.  </w:t>
      </w:r>
    </w:p>
    <w:p w14:paraId="4CF4F92A"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w:t>
      </w:r>
      <w:r w:rsidR="003C790A" w:rsidRPr="00EB5BCF">
        <w:rPr>
          <w:rFonts w:ascii="Traditional Arabic" w:hAnsi="Traditional Arabic" w:cs="Traditional Arabic"/>
          <w:sz w:val="30"/>
          <w:szCs w:val="30"/>
          <w:rtl/>
        </w:rPr>
        <w:t>س</w:t>
      </w:r>
      <w:r w:rsidRPr="00EB5BCF">
        <w:rPr>
          <w:rFonts w:ascii="Traditional Arabic" w:hAnsi="Traditional Arabic" w:cs="Traditional Arabic"/>
          <w:sz w:val="30"/>
          <w:szCs w:val="30"/>
          <w:rtl/>
        </w:rPr>
        <w:t>يتم توزيع المكافآت بين أعضاء مجلس الإدارة بالنسبة والكيفية</w:t>
      </w:r>
      <w:r w:rsidR="007A614C" w:rsidRPr="00EB5BCF">
        <w:rPr>
          <w:rFonts w:ascii="Traditional Arabic" w:hAnsi="Traditional Arabic" w:cs="Traditional Arabic"/>
          <w:sz w:val="30"/>
          <w:szCs w:val="30"/>
          <w:rtl/>
        </w:rPr>
        <w:t xml:space="preserve"> </w:t>
      </w:r>
      <w:r w:rsidR="003C790A" w:rsidRPr="00EB5BCF">
        <w:rPr>
          <w:rFonts w:ascii="Traditional Arabic" w:hAnsi="Traditional Arabic" w:cs="Traditional Arabic"/>
          <w:sz w:val="30"/>
          <w:szCs w:val="30"/>
          <w:rtl/>
        </w:rPr>
        <w:t xml:space="preserve">التي تيم </w:t>
      </w:r>
      <w:r w:rsidR="00F6351D" w:rsidRPr="00EB5BCF">
        <w:rPr>
          <w:rFonts w:ascii="Traditional Arabic" w:hAnsi="Traditional Arabic" w:cs="Traditional Arabic"/>
          <w:sz w:val="30"/>
          <w:szCs w:val="30"/>
          <w:rtl/>
        </w:rPr>
        <w:t>الاتفاق</w:t>
      </w:r>
      <w:r w:rsidR="003C790A" w:rsidRPr="00EB5BCF">
        <w:rPr>
          <w:rFonts w:ascii="Traditional Arabic" w:hAnsi="Traditional Arabic" w:cs="Traditional Arabic"/>
          <w:sz w:val="30"/>
          <w:szCs w:val="30"/>
          <w:rtl/>
        </w:rPr>
        <w:t xml:space="preserve"> عليها</w:t>
      </w:r>
      <w:r w:rsidR="007A614C"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وفي </w:t>
      </w:r>
      <w:r w:rsidR="003C790A" w:rsidRPr="00EB5BCF">
        <w:rPr>
          <w:rFonts w:ascii="Traditional Arabic" w:hAnsi="Traditional Arabic" w:cs="Traditional Arabic"/>
          <w:sz w:val="30"/>
          <w:szCs w:val="30"/>
          <w:rtl/>
        </w:rPr>
        <w:t xml:space="preserve">حال </w:t>
      </w:r>
      <w:r w:rsidRPr="00EB5BCF">
        <w:rPr>
          <w:rFonts w:ascii="Traditional Arabic" w:hAnsi="Traditional Arabic" w:cs="Traditional Arabic"/>
          <w:sz w:val="30"/>
          <w:szCs w:val="30"/>
          <w:rtl/>
        </w:rPr>
        <w:t>غياب هذا الاتفاق</w:t>
      </w:r>
      <w:r w:rsidR="003C790A"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w:t>
      </w:r>
      <w:r w:rsidR="003C790A" w:rsidRPr="00EB5BCF">
        <w:rPr>
          <w:rFonts w:ascii="Traditional Arabic" w:hAnsi="Traditional Arabic" w:cs="Traditional Arabic"/>
          <w:sz w:val="30"/>
          <w:szCs w:val="30"/>
          <w:rtl/>
        </w:rPr>
        <w:t>س</w:t>
      </w:r>
      <w:r w:rsidRPr="00EB5BCF">
        <w:rPr>
          <w:rFonts w:ascii="Traditional Arabic" w:hAnsi="Traditional Arabic" w:cs="Traditional Arabic"/>
          <w:sz w:val="30"/>
          <w:szCs w:val="30"/>
          <w:rtl/>
        </w:rPr>
        <w:t xml:space="preserve">يتم توزيع المبلغ بالتساوي بين الأعضاء. ويكون عضو مجلس الإدارة مؤهلاً للحصول على تعويض عن خدماته إذا كُلف بعمل ما أو بسفر أو قام </w:t>
      </w:r>
      <w:r w:rsidR="00F6351D" w:rsidRPr="00EB5BCF">
        <w:rPr>
          <w:rFonts w:ascii="Traditional Arabic" w:hAnsi="Traditional Arabic" w:cs="Traditional Arabic"/>
          <w:sz w:val="30"/>
          <w:szCs w:val="30"/>
          <w:rtl/>
        </w:rPr>
        <w:t>بشيء</w:t>
      </w:r>
      <w:r w:rsidRPr="00EB5BCF">
        <w:rPr>
          <w:rFonts w:ascii="Traditional Arabic" w:hAnsi="Traditional Arabic" w:cs="Traditional Arabic"/>
          <w:sz w:val="30"/>
          <w:szCs w:val="30"/>
          <w:rtl/>
        </w:rPr>
        <w:t xml:space="preserve"> يتعلق بعمل الشركة. </w:t>
      </w:r>
    </w:p>
    <w:p w14:paraId="6D07A5EF" w14:textId="77777777" w:rsidR="008E4B1E" w:rsidRPr="00EB5BCF" w:rsidRDefault="008E4B1E" w:rsidP="008E4B1E">
      <w:pPr>
        <w:autoSpaceDE w:val="0"/>
        <w:autoSpaceDN w:val="0"/>
        <w:bidi/>
        <w:adjustRightInd w:val="0"/>
        <w:jc w:val="both"/>
        <w:rPr>
          <w:rFonts w:ascii="Traditional Arabic" w:hAnsi="Traditional Arabic" w:cs="Traditional Arabic"/>
          <w:sz w:val="30"/>
          <w:szCs w:val="30"/>
          <w:rtl/>
        </w:rPr>
      </w:pPr>
    </w:p>
    <w:p w14:paraId="5975AE52" w14:textId="77777777" w:rsidR="00BC7A08" w:rsidRPr="00EB5BCF" w:rsidRDefault="00BC7A08" w:rsidP="00BC7A08">
      <w:pPr>
        <w:autoSpaceDE w:val="0"/>
        <w:autoSpaceDN w:val="0"/>
        <w:bidi/>
        <w:adjustRightInd w:val="0"/>
        <w:jc w:val="both"/>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t>لجان المجلس</w:t>
      </w:r>
    </w:p>
    <w:p w14:paraId="12AD5A3B" w14:textId="77777777" w:rsidR="008614C8" w:rsidRPr="00EB5BCF" w:rsidRDefault="008614C8" w:rsidP="008614C8">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يجوز لمجلس الإدارة، بغرض مساعدته في أداء واجباته والتزاماته، تشكيل لجان لتقديم النصح والتوصيات له بشأن أمور معينة</w:t>
      </w:r>
      <w:r w:rsidR="00652304"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وقد شك</w:t>
      </w:r>
      <w:r w:rsidR="00595F27" w:rsidRPr="00EB5BCF">
        <w:rPr>
          <w:rFonts w:ascii="Traditional Arabic" w:hAnsi="Traditional Arabic" w:cs="Traditional Arabic" w:hint="eastAsia"/>
          <w:sz w:val="30"/>
          <w:szCs w:val="30"/>
          <w:rtl/>
        </w:rPr>
        <w:t>َّ</w:t>
      </w:r>
      <w:r w:rsidRPr="00EB5BCF">
        <w:rPr>
          <w:rFonts w:ascii="Traditional Arabic" w:hAnsi="Traditional Arabic" w:cs="Traditional Arabic"/>
          <w:sz w:val="30"/>
          <w:szCs w:val="30"/>
          <w:rtl/>
        </w:rPr>
        <w:t>ل مجلس الإدارة طبقًا للمادة (196) من قانون الشركات التجارية وميثاق حوكمة الشركات ولائحة الشركات المساهمة العامة</w:t>
      </w:r>
      <w:r w:rsidR="003C790A"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w:t>
      </w:r>
      <w:r w:rsidR="006722A6">
        <w:rPr>
          <w:rFonts w:ascii="Traditional Arabic" w:hAnsi="Traditional Arabic" w:cs="Traditional Arabic"/>
          <w:sz w:val="30"/>
          <w:szCs w:val="30"/>
          <w:rtl/>
        </w:rPr>
        <w:t xml:space="preserve">لجنة التدقيق </w:t>
      </w:r>
      <w:r w:rsidRPr="00EB5BCF">
        <w:rPr>
          <w:rFonts w:ascii="Traditional Arabic" w:hAnsi="Traditional Arabic" w:cs="Traditional Arabic"/>
          <w:sz w:val="30"/>
          <w:szCs w:val="30"/>
          <w:rtl/>
        </w:rPr>
        <w:t>ولجنة الترشيحات والمكافآت</w:t>
      </w:r>
      <w:r w:rsidR="00595F27" w:rsidRPr="00EB5BCF">
        <w:rPr>
          <w:rFonts w:ascii="Traditional Arabic" w:hAnsi="Traditional Arabic" w:cs="Traditional Arabic" w:hint="eastAsia"/>
          <w:sz w:val="30"/>
          <w:szCs w:val="30"/>
          <w:rtl/>
        </w:rPr>
        <w:t>،</w:t>
      </w:r>
      <w:r w:rsidR="00595F27"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 xml:space="preserve">حيث تتألف كل لجنة من ثلاثة أعضاء. هذا، ويجوز لمجلس الإدارة تشكيل لجان أخرى من حين لآخر على أن يتم ذلك طبقًا لأحكام ميثاق تنظيم وإدارة شركات المساهمة. </w:t>
      </w:r>
    </w:p>
    <w:p w14:paraId="1F6B4621" w14:textId="77777777" w:rsidR="008614C8" w:rsidRPr="00EB5BCF" w:rsidRDefault="008614C8" w:rsidP="008614C8">
      <w:pPr>
        <w:autoSpaceDE w:val="0"/>
        <w:autoSpaceDN w:val="0"/>
        <w:bidi/>
        <w:adjustRightInd w:val="0"/>
        <w:jc w:val="both"/>
        <w:rPr>
          <w:rFonts w:ascii="Traditional Arabic" w:hAnsi="Traditional Arabic" w:cs="Traditional Arabic"/>
          <w:sz w:val="30"/>
          <w:szCs w:val="30"/>
          <w:rtl/>
        </w:rPr>
      </w:pPr>
    </w:p>
    <w:p w14:paraId="716E1868" w14:textId="77777777" w:rsidR="00040C09" w:rsidRPr="00EB5BCF" w:rsidRDefault="00040C09" w:rsidP="008614C8">
      <w:pPr>
        <w:autoSpaceDE w:val="0"/>
        <w:autoSpaceDN w:val="0"/>
        <w:bidi/>
        <w:adjustRightInd w:val="0"/>
        <w:jc w:val="both"/>
        <w:rPr>
          <w:rFonts w:ascii="Traditional Arabic" w:hAnsi="Traditional Arabic" w:cs="Traditional Arabic"/>
          <w:b/>
          <w:bCs/>
          <w:sz w:val="30"/>
          <w:szCs w:val="30"/>
          <w:rtl/>
        </w:rPr>
      </w:pPr>
    </w:p>
    <w:p w14:paraId="27AB455E" w14:textId="77777777" w:rsidR="008614C8" w:rsidRPr="00EB5BCF" w:rsidRDefault="006722A6" w:rsidP="00040C09">
      <w:pPr>
        <w:autoSpaceDE w:val="0"/>
        <w:autoSpaceDN w:val="0"/>
        <w:bidi/>
        <w:adjustRightInd w:val="0"/>
        <w:jc w:val="both"/>
        <w:rPr>
          <w:rFonts w:ascii="Traditional Arabic" w:hAnsi="Traditional Arabic" w:cs="Traditional Arabic"/>
          <w:b/>
          <w:bCs/>
          <w:sz w:val="30"/>
          <w:szCs w:val="30"/>
        </w:rPr>
      </w:pPr>
      <w:r>
        <w:rPr>
          <w:rFonts w:ascii="Traditional Arabic" w:hAnsi="Traditional Arabic" w:cs="Traditional Arabic"/>
          <w:b/>
          <w:bCs/>
          <w:sz w:val="30"/>
          <w:szCs w:val="30"/>
          <w:rtl/>
        </w:rPr>
        <w:t xml:space="preserve">لجنة التدقيق </w:t>
      </w:r>
    </w:p>
    <w:p w14:paraId="7090FD17" w14:textId="77777777" w:rsidR="008614C8" w:rsidRPr="00EB5BCF" w:rsidRDefault="008614C8" w:rsidP="008614C8">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تُشكل </w:t>
      </w:r>
      <w:r w:rsidR="006722A6">
        <w:rPr>
          <w:rFonts w:ascii="Traditional Arabic" w:hAnsi="Traditional Arabic" w:cs="Traditional Arabic"/>
          <w:sz w:val="30"/>
          <w:szCs w:val="30"/>
          <w:rtl/>
        </w:rPr>
        <w:t xml:space="preserve">لجنة التدقيق </w:t>
      </w:r>
      <w:r w:rsidRPr="00EB5BCF">
        <w:rPr>
          <w:rFonts w:ascii="Traditional Arabic" w:hAnsi="Traditional Arabic" w:cs="Traditional Arabic"/>
          <w:sz w:val="30"/>
          <w:szCs w:val="30"/>
          <w:rtl/>
        </w:rPr>
        <w:t>من الأعضاء التالية أسماؤهم:</w:t>
      </w:r>
    </w:p>
    <w:p w14:paraId="054A4250" w14:textId="77777777" w:rsidR="00EA41DB" w:rsidRPr="00EA41DB" w:rsidRDefault="00EA41DB" w:rsidP="00922116">
      <w:pPr>
        <w:pStyle w:val="ListParagraph"/>
        <w:numPr>
          <w:ilvl w:val="0"/>
          <w:numId w:val="3"/>
        </w:numPr>
        <w:autoSpaceDE w:val="0"/>
        <w:autoSpaceDN w:val="0"/>
        <w:bidi/>
        <w:adjustRightInd w:val="0"/>
        <w:jc w:val="both"/>
        <w:rPr>
          <w:rFonts w:ascii="Traditional Arabic" w:hAnsi="Traditional Arabic" w:cs="Traditional Arabic"/>
          <w:sz w:val="30"/>
          <w:szCs w:val="30"/>
          <w:rtl/>
        </w:rPr>
      </w:pPr>
      <w:r w:rsidRPr="00EA41DB">
        <w:rPr>
          <w:rFonts w:ascii="Traditional Arabic" w:hAnsi="Traditional Arabic" w:cs="Traditional Arabic"/>
          <w:sz w:val="30"/>
          <w:szCs w:val="30"/>
          <w:rtl/>
        </w:rPr>
        <w:t>بيدر سوندرجارد – رئيس مجلس الإدارة</w:t>
      </w:r>
    </w:p>
    <w:p w14:paraId="0CDE9A5B" w14:textId="77777777" w:rsidR="00EA41DB" w:rsidRPr="00EA41DB" w:rsidRDefault="00EA41DB" w:rsidP="00922116">
      <w:pPr>
        <w:pStyle w:val="ListParagraph"/>
        <w:numPr>
          <w:ilvl w:val="0"/>
          <w:numId w:val="3"/>
        </w:numPr>
        <w:autoSpaceDE w:val="0"/>
        <w:autoSpaceDN w:val="0"/>
        <w:bidi/>
        <w:adjustRightInd w:val="0"/>
        <w:jc w:val="both"/>
        <w:rPr>
          <w:rFonts w:ascii="Traditional Arabic" w:hAnsi="Traditional Arabic" w:cs="Traditional Arabic"/>
          <w:sz w:val="30"/>
          <w:szCs w:val="30"/>
          <w:rtl/>
        </w:rPr>
      </w:pPr>
      <w:r w:rsidRPr="00EA41DB">
        <w:rPr>
          <w:rFonts w:ascii="Traditional Arabic" w:hAnsi="Traditional Arabic" w:cs="Traditional Arabic"/>
          <w:sz w:val="30"/>
          <w:szCs w:val="30"/>
          <w:rtl/>
        </w:rPr>
        <w:t>ديفيد ستوكلي – عضواً</w:t>
      </w:r>
    </w:p>
    <w:p w14:paraId="52D45DBD" w14:textId="77777777" w:rsidR="00EA41DB" w:rsidRPr="00EA41DB" w:rsidRDefault="00EA41DB" w:rsidP="00922116">
      <w:pPr>
        <w:pStyle w:val="ListParagraph"/>
        <w:numPr>
          <w:ilvl w:val="0"/>
          <w:numId w:val="3"/>
        </w:numPr>
        <w:autoSpaceDE w:val="0"/>
        <w:autoSpaceDN w:val="0"/>
        <w:bidi/>
        <w:adjustRightInd w:val="0"/>
        <w:jc w:val="both"/>
        <w:rPr>
          <w:rFonts w:ascii="Traditional Arabic" w:hAnsi="Traditional Arabic" w:cs="Traditional Arabic"/>
          <w:sz w:val="30"/>
          <w:szCs w:val="30"/>
          <w:rtl/>
        </w:rPr>
      </w:pPr>
      <w:r w:rsidRPr="00EA41DB">
        <w:rPr>
          <w:rFonts w:ascii="Traditional Arabic" w:hAnsi="Traditional Arabic" w:cs="Traditional Arabic"/>
          <w:sz w:val="30"/>
          <w:szCs w:val="30"/>
          <w:rtl/>
        </w:rPr>
        <w:t xml:space="preserve">محسن الرستم </w:t>
      </w:r>
      <w:r>
        <w:rPr>
          <w:rFonts w:ascii="Traditional Arabic" w:hAnsi="Traditional Arabic" w:cs="Traditional Arabic" w:hint="cs"/>
          <w:sz w:val="30"/>
          <w:szCs w:val="30"/>
          <w:rtl/>
        </w:rPr>
        <w:t xml:space="preserve">- </w:t>
      </w:r>
      <w:r w:rsidRPr="00EA41DB">
        <w:rPr>
          <w:rFonts w:ascii="Traditional Arabic" w:hAnsi="Traditional Arabic" w:cs="Traditional Arabic"/>
          <w:sz w:val="30"/>
          <w:szCs w:val="30"/>
          <w:rtl/>
        </w:rPr>
        <w:t>عضواً</w:t>
      </w:r>
    </w:p>
    <w:p w14:paraId="381CFCD8" w14:textId="77777777" w:rsidR="002C0CD3" w:rsidRPr="00EB5BCF" w:rsidRDefault="002C0CD3" w:rsidP="002C0CD3">
      <w:pPr>
        <w:autoSpaceDE w:val="0"/>
        <w:autoSpaceDN w:val="0"/>
        <w:bidi/>
        <w:adjustRightInd w:val="0"/>
        <w:jc w:val="both"/>
        <w:rPr>
          <w:rFonts w:ascii="Traditional Arabic" w:hAnsi="Traditional Arabic" w:cs="Traditional Arabic"/>
          <w:sz w:val="30"/>
          <w:szCs w:val="30"/>
          <w:rtl/>
        </w:rPr>
      </w:pPr>
    </w:p>
    <w:p w14:paraId="4B1CB47F" w14:textId="77777777" w:rsidR="00DC106F" w:rsidRPr="00EB5BCF" w:rsidRDefault="00DC106F" w:rsidP="00DC106F">
      <w:p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 xml:space="preserve">وتتولى </w:t>
      </w:r>
      <w:r w:rsidR="006722A6">
        <w:rPr>
          <w:rFonts w:ascii="Traditional Arabic" w:hAnsi="Traditional Arabic" w:cs="Traditional Arabic"/>
          <w:sz w:val="30"/>
          <w:szCs w:val="30"/>
          <w:rtl/>
        </w:rPr>
        <w:t xml:space="preserve">لجنة التدقيق </w:t>
      </w:r>
      <w:r w:rsidRPr="00EB5BCF">
        <w:rPr>
          <w:rFonts w:ascii="Traditional Arabic" w:hAnsi="Traditional Arabic" w:cs="Traditional Arabic"/>
          <w:sz w:val="30"/>
          <w:szCs w:val="30"/>
          <w:rtl/>
        </w:rPr>
        <w:t>المهام والمسؤوليات الآتية</w:t>
      </w:r>
      <w:r w:rsidRPr="00EB5BCF">
        <w:rPr>
          <w:rFonts w:ascii="Traditional Arabic" w:hAnsi="Traditional Arabic" w:cs="Traditional Arabic"/>
          <w:sz w:val="30"/>
          <w:szCs w:val="30"/>
        </w:rPr>
        <w:t>:</w:t>
      </w:r>
    </w:p>
    <w:p w14:paraId="274557A9" w14:textId="77777777" w:rsidR="00DC106F" w:rsidRPr="00B40FD7" w:rsidRDefault="00DC106F" w:rsidP="00922116">
      <w:pPr>
        <w:pStyle w:val="ListParagraph"/>
        <w:numPr>
          <w:ilvl w:val="0"/>
          <w:numId w:val="37"/>
        </w:numPr>
        <w:autoSpaceDE w:val="0"/>
        <w:autoSpaceDN w:val="0"/>
        <w:bidi/>
        <w:adjustRightInd w:val="0"/>
        <w:jc w:val="both"/>
        <w:rPr>
          <w:rFonts w:ascii="Traditional Arabic" w:hAnsi="Traditional Arabic" w:cs="Traditional Arabic"/>
          <w:sz w:val="30"/>
          <w:szCs w:val="30"/>
        </w:rPr>
      </w:pPr>
      <w:r w:rsidRPr="00B40FD7">
        <w:rPr>
          <w:rFonts w:ascii="Traditional Arabic" w:hAnsi="Traditional Arabic" w:cs="Traditional Arabic"/>
          <w:sz w:val="30"/>
          <w:szCs w:val="30"/>
        </w:rPr>
        <w:lastRenderedPageBreak/>
        <w:t xml:space="preserve"> </w:t>
      </w:r>
      <w:r w:rsidRPr="00B40FD7">
        <w:rPr>
          <w:rFonts w:ascii="Traditional Arabic" w:hAnsi="Traditional Arabic" w:cs="Traditional Arabic"/>
          <w:sz w:val="30"/>
          <w:szCs w:val="30"/>
          <w:rtl/>
        </w:rPr>
        <w:t>بحث ودراسة الجوانب المتعلقة بتعيين مكاتب مراقبي الحسابات، وأتعابهم، وشروط الاستعانة بهم</w:t>
      </w:r>
      <w:r w:rsidRPr="00B40FD7">
        <w:rPr>
          <w:rFonts w:ascii="Traditional Arabic" w:hAnsi="Traditional Arabic" w:cs="Traditional Arabic"/>
          <w:sz w:val="30"/>
          <w:szCs w:val="30"/>
        </w:rPr>
        <w:t>.</w:t>
      </w:r>
    </w:p>
    <w:p w14:paraId="2A40BAF9" w14:textId="77777777" w:rsidR="00DC106F" w:rsidRPr="00B40FD7" w:rsidRDefault="00DC106F" w:rsidP="00922116">
      <w:pPr>
        <w:pStyle w:val="ListParagraph"/>
        <w:numPr>
          <w:ilvl w:val="0"/>
          <w:numId w:val="37"/>
        </w:numPr>
        <w:autoSpaceDE w:val="0"/>
        <w:autoSpaceDN w:val="0"/>
        <w:bidi/>
        <w:adjustRightInd w:val="0"/>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مراجعة تفاصيل خطة عمل مكاتب مراقبي الحسابات ونتائج عملية التدقيق، والتأكد من إعطاء مراقب الحسابات حق الاطلاع الكامل على جميع المستندات اللازمة لتنفيذ مهامه</w:t>
      </w:r>
      <w:r w:rsidRPr="00B40FD7">
        <w:rPr>
          <w:rFonts w:ascii="Traditional Arabic" w:hAnsi="Traditional Arabic" w:cs="Traditional Arabic"/>
          <w:sz w:val="30"/>
          <w:szCs w:val="30"/>
        </w:rPr>
        <w:t>.</w:t>
      </w:r>
    </w:p>
    <w:p w14:paraId="1051AE5D" w14:textId="77777777" w:rsidR="00DC106F" w:rsidRPr="00B40FD7" w:rsidRDefault="00DC106F" w:rsidP="00922116">
      <w:pPr>
        <w:pStyle w:val="ListParagraph"/>
        <w:numPr>
          <w:ilvl w:val="0"/>
          <w:numId w:val="37"/>
        </w:numPr>
        <w:autoSpaceDE w:val="0"/>
        <w:autoSpaceDN w:val="0"/>
        <w:bidi/>
        <w:adjustRightInd w:val="0"/>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التأكد من وجود إجراءات كافية لمنع واكتشاف أي حالة احتيال أو تزوير مالي وتضمن الالتزام بالمبادئ المحاسبية وفقا للمعايير المحاسبية الدولية، والتي تظهر المركز المالي الحقيقي للشركة</w:t>
      </w:r>
      <w:r w:rsidRPr="00B40FD7">
        <w:rPr>
          <w:rFonts w:ascii="Traditional Arabic" w:hAnsi="Traditional Arabic" w:cs="Traditional Arabic"/>
          <w:sz w:val="30"/>
          <w:szCs w:val="30"/>
        </w:rPr>
        <w:t>.</w:t>
      </w:r>
    </w:p>
    <w:p w14:paraId="289AD956" w14:textId="77777777" w:rsidR="00DC106F" w:rsidRPr="00B40FD7" w:rsidRDefault="00DC106F" w:rsidP="00922116">
      <w:pPr>
        <w:pStyle w:val="ListParagraph"/>
        <w:numPr>
          <w:ilvl w:val="0"/>
          <w:numId w:val="37"/>
        </w:numPr>
        <w:autoSpaceDE w:val="0"/>
        <w:autoSpaceDN w:val="0"/>
        <w:bidi/>
        <w:adjustRightInd w:val="0"/>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الإشراف على أعمال التدقيق الداخلي، وذلك من خلال خطة عمل التدقيق المعتمدة، ودراسة تقارير المراقب الداخلي، وضمان اطلاع المراقب الداخلي الكامل على جميع المستندات ذات العلاقة، ومراجعة وبحث مدى فعالية وكفاءة عملية التدقيق الداخلي بشكل دوري</w:t>
      </w:r>
      <w:r w:rsidRPr="00B40FD7">
        <w:rPr>
          <w:rFonts w:ascii="Traditional Arabic" w:hAnsi="Traditional Arabic" w:cs="Traditional Arabic"/>
          <w:sz w:val="30"/>
          <w:szCs w:val="30"/>
        </w:rPr>
        <w:t>.</w:t>
      </w:r>
    </w:p>
    <w:p w14:paraId="579090E2" w14:textId="77777777" w:rsidR="00DC106F" w:rsidRPr="00B40FD7" w:rsidRDefault="00DC106F" w:rsidP="00922116">
      <w:pPr>
        <w:pStyle w:val="ListParagraph"/>
        <w:numPr>
          <w:ilvl w:val="0"/>
          <w:numId w:val="37"/>
        </w:numPr>
        <w:autoSpaceDE w:val="0"/>
        <w:autoSpaceDN w:val="0"/>
        <w:bidi/>
        <w:adjustRightInd w:val="0"/>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مراجعة سياسات الشركة المتعلقة بإدارة المخاطر، والتأكد من مدى ملاءمة وكفاية أنظمة الرقابة الداخلية بالشركة من واقع التقارير الدورية للمراقب الداخلي ومراقب الحسابات أو الاستعانة بجهات استشارية متخصصة في هذا المجال</w:t>
      </w:r>
      <w:r w:rsidRPr="00B40FD7">
        <w:rPr>
          <w:rFonts w:ascii="Traditional Arabic" w:hAnsi="Traditional Arabic" w:cs="Traditional Arabic"/>
          <w:sz w:val="30"/>
          <w:szCs w:val="30"/>
        </w:rPr>
        <w:t>.</w:t>
      </w:r>
    </w:p>
    <w:p w14:paraId="6013035E" w14:textId="77777777" w:rsidR="00DC106F" w:rsidRPr="00B40FD7" w:rsidRDefault="00DC106F" w:rsidP="00922116">
      <w:pPr>
        <w:pStyle w:val="ListParagraph"/>
        <w:numPr>
          <w:ilvl w:val="0"/>
          <w:numId w:val="37"/>
        </w:numPr>
        <w:autoSpaceDE w:val="0"/>
        <w:autoSpaceDN w:val="0"/>
        <w:bidi/>
        <w:adjustRightInd w:val="0"/>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مراجعة القوائم المالية الفصلية والسنوية قبل إصدارها، ومراجعة تحفظات مراقب الحسابات على مسودة القوائم المالية – إن وجدت -، والتأكد من التزام الشركة بمعايير المحاسبة الدولية، ومتطلبات الإفصاح الصادرة من الهيئة</w:t>
      </w:r>
      <w:r w:rsidRPr="00B40FD7">
        <w:rPr>
          <w:rFonts w:ascii="Traditional Arabic" w:hAnsi="Traditional Arabic" w:cs="Traditional Arabic"/>
          <w:sz w:val="30"/>
          <w:szCs w:val="30"/>
        </w:rPr>
        <w:t>.</w:t>
      </w:r>
    </w:p>
    <w:p w14:paraId="5475221C" w14:textId="77777777" w:rsidR="00DC106F" w:rsidRPr="00B40FD7" w:rsidRDefault="00DC106F" w:rsidP="00922116">
      <w:pPr>
        <w:pStyle w:val="ListParagraph"/>
        <w:numPr>
          <w:ilvl w:val="0"/>
          <w:numId w:val="37"/>
        </w:numPr>
        <w:autoSpaceDE w:val="0"/>
        <w:autoSpaceDN w:val="0"/>
        <w:bidi/>
        <w:adjustRightInd w:val="0"/>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العمل كقناة اتصال بين مجلس الإدارة، وكل من مراقب الحسابات، والمراقب الداخلي</w:t>
      </w:r>
      <w:r w:rsidRPr="00B40FD7">
        <w:rPr>
          <w:rFonts w:ascii="Traditional Arabic" w:hAnsi="Traditional Arabic" w:cs="Traditional Arabic"/>
          <w:sz w:val="30"/>
          <w:szCs w:val="30"/>
        </w:rPr>
        <w:t>.</w:t>
      </w:r>
    </w:p>
    <w:p w14:paraId="2CAA7AC4" w14:textId="77777777" w:rsidR="00DC106F" w:rsidRPr="00B40FD7" w:rsidRDefault="00DC106F" w:rsidP="00922116">
      <w:pPr>
        <w:pStyle w:val="ListParagraph"/>
        <w:numPr>
          <w:ilvl w:val="0"/>
          <w:numId w:val="37"/>
        </w:numPr>
        <w:autoSpaceDE w:val="0"/>
        <w:autoSpaceDN w:val="0"/>
        <w:bidi/>
        <w:adjustRightInd w:val="0"/>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مراجعة الصفقات والتعاملات المقترح أن تقوم بها الشركة مع الأطراف ذات العلاقة، وتقديم التوصيات المناسبة بشأنها إلى مجلس الإدارة</w:t>
      </w:r>
      <w:r w:rsidRPr="00B40FD7">
        <w:rPr>
          <w:rFonts w:ascii="Traditional Arabic" w:hAnsi="Traditional Arabic" w:cs="Traditional Arabic"/>
          <w:sz w:val="30"/>
          <w:szCs w:val="30"/>
        </w:rPr>
        <w:t>.</w:t>
      </w:r>
    </w:p>
    <w:p w14:paraId="23348EF1" w14:textId="77777777" w:rsidR="00DC106F" w:rsidRPr="00B40FD7" w:rsidRDefault="00DC106F" w:rsidP="00922116">
      <w:pPr>
        <w:pStyle w:val="ListParagraph"/>
        <w:numPr>
          <w:ilvl w:val="0"/>
          <w:numId w:val="37"/>
        </w:numPr>
        <w:autoSpaceDE w:val="0"/>
        <w:autoSpaceDN w:val="0"/>
        <w:bidi/>
        <w:adjustRightInd w:val="0"/>
        <w:jc w:val="both"/>
        <w:rPr>
          <w:rFonts w:ascii="Traditional Arabic" w:hAnsi="Traditional Arabic" w:cs="Traditional Arabic"/>
          <w:sz w:val="30"/>
          <w:szCs w:val="30"/>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مراجعة تقرير المقيم الخارجي للمراقب الداخلي، وتقديمه إلى مجلس الإدارة مشفوعا بتوصياتها، والإفصاح عن ملخص لنتائج عملية التقييم كجزء من تقرير الحوكمة</w:t>
      </w:r>
      <w:r w:rsidRPr="00B40FD7">
        <w:rPr>
          <w:rFonts w:ascii="Traditional Arabic" w:hAnsi="Traditional Arabic" w:cs="Traditional Arabic"/>
          <w:sz w:val="30"/>
          <w:szCs w:val="30"/>
        </w:rPr>
        <w:t>.</w:t>
      </w:r>
    </w:p>
    <w:p w14:paraId="325C6FF2" w14:textId="77777777" w:rsidR="00F64E29" w:rsidRPr="00B40FD7" w:rsidRDefault="00DC106F" w:rsidP="00922116">
      <w:pPr>
        <w:pStyle w:val="ListParagraph"/>
        <w:numPr>
          <w:ilvl w:val="0"/>
          <w:numId w:val="37"/>
        </w:numPr>
        <w:autoSpaceDE w:val="0"/>
        <w:autoSpaceDN w:val="0"/>
        <w:bidi/>
        <w:adjustRightInd w:val="0"/>
        <w:jc w:val="both"/>
        <w:rPr>
          <w:rFonts w:ascii="Traditional Arabic" w:hAnsi="Traditional Arabic" w:cs="Traditional Arabic"/>
          <w:sz w:val="30"/>
          <w:szCs w:val="30"/>
          <w:rtl/>
        </w:rPr>
      </w:pPr>
      <w:r w:rsidRPr="00B40FD7">
        <w:rPr>
          <w:rFonts w:ascii="Traditional Arabic" w:hAnsi="Traditional Arabic" w:cs="Traditional Arabic"/>
          <w:sz w:val="30"/>
          <w:szCs w:val="30"/>
        </w:rPr>
        <w:t xml:space="preserve"> </w:t>
      </w:r>
      <w:r w:rsidRPr="00B40FD7">
        <w:rPr>
          <w:rFonts w:ascii="Traditional Arabic" w:hAnsi="Traditional Arabic" w:cs="Traditional Arabic"/>
          <w:sz w:val="30"/>
          <w:szCs w:val="30"/>
          <w:rtl/>
        </w:rPr>
        <w:t>اقتراح الأجور والمكافآت والمزايا المالية والعينية للعاملين في وحدة التدقيق الداخلي</w:t>
      </w:r>
      <w:r w:rsidRPr="00B40FD7">
        <w:rPr>
          <w:rFonts w:ascii="Traditional Arabic" w:hAnsi="Traditional Arabic" w:cs="Traditional Arabic"/>
          <w:sz w:val="30"/>
          <w:szCs w:val="30"/>
        </w:rPr>
        <w:t>.</w:t>
      </w:r>
    </w:p>
    <w:p w14:paraId="1F3F59D4"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rtl/>
        </w:rPr>
      </w:pPr>
    </w:p>
    <w:p w14:paraId="5C65D55C" w14:textId="77777777" w:rsidR="004741BF" w:rsidRPr="00EB5BCF" w:rsidRDefault="00DC4055" w:rsidP="004741BF">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w:t>
      </w:r>
      <w:r w:rsidR="0062672B">
        <w:rPr>
          <w:rFonts w:ascii="Traditional Arabic" w:hAnsi="Traditional Arabic" w:cs="Traditional Arabic" w:hint="cs"/>
          <w:sz w:val="30"/>
          <w:szCs w:val="30"/>
          <w:rtl/>
          <w:lang w:bidi="ar-EG"/>
        </w:rPr>
        <w:t xml:space="preserve">امتثالا لميثاق حوكمة الشركات، </w:t>
      </w:r>
      <w:r w:rsidRPr="00EB5BCF">
        <w:rPr>
          <w:rFonts w:ascii="Traditional Arabic" w:hAnsi="Traditional Arabic" w:cs="Traditional Arabic"/>
          <w:sz w:val="30"/>
          <w:szCs w:val="30"/>
          <w:rtl/>
        </w:rPr>
        <w:t>ستتألف</w:t>
      </w:r>
      <w:r w:rsidR="004741BF" w:rsidRPr="00EB5BCF">
        <w:rPr>
          <w:rFonts w:ascii="Traditional Arabic" w:hAnsi="Traditional Arabic" w:cs="Traditional Arabic"/>
          <w:sz w:val="30"/>
          <w:szCs w:val="30"/>
          <w:rtl/>
        </w:rPr>
        <w:t xml:space="preserve"> </w:t>
      </w:r>
      <w:r w:rsidR="006722A6">
        <w:rPr>
          <w:rFonts w:ascii="Traditional Arabic" w:hAnsi="Traditional Arabic" w:cs="Traditional Arabic"/>
          <w:sz w:val="30"/>
          <w:szCs w:val="30"/>
          <w:rtl/>
        </w:rPr>
        <w:t xml:space="preserve">لجنة التدقيق </w:t>
      </w:r>
      <w:r w:rsidR="004741BF" w:rsidRPr="00EB5BCF">
        <w:rPr>
          <w:rFonts w:ascii="Traditional Arabic" w:hAnsi="Traditional Arabic" w:cs="Traditional Arabic"/>
          <w:sz w:val="30"/>
          <w:szCs w:val="30"/>
          <w:rtl/>
        </w:rPr>
        <w:t xml:space="preserve">من الأعضاء المستقلين، </w:t>
      </w:r>
      <w:r w:rsidRPr="00EB5BCF">
        <w:rPr>
          <w:rFonts w:ascii="Traditional Arabic" w:hAnsi="Traditional Arabic" w:cs="Traditional Arabic"/>
          <w:sz w:val="30"/>
          <w:szCs w:val="30"/>
          <w:rtl/>
        </w:rPr>
        <w:t>وس</w:t>
      </w:r>
      <w:r w:rsidR="004741BF" w:rsidRPr="00EB5BCF">
        <w:rPr>
          <w:rFonts w:ascii="Traditional Arabic" w:hAnsi="Traditional Arabic" w:cs="Traditional Arabic"/>
          <w:sz w:val="30"/>
          <w:szCs w:val="30"/>
          <w:rtl/>
        </w:rPr>
        <w:t xml:space="preserve">يرأس </w:t>
      </w:r>
      <w:r w:rsidR="006722A6">
        <w:rPr>
          <w:rFonts w:ascii="Traditional Arabic" w:hAnsi="Traditional Arabic" w:cs="Traditional Arabic"/>
          <w:sz w:val="30"/>
          <w:szCs w:val="30"/>
          <w:rtl/>
        </w:rPr>
        <w:t>لجنة التدقيق والمخاطر</w:t>
      </w:r>
      <w:r w:rsidR="004741BF" w:rsidRPr="00EB5BCF">
        <w:rPr>
          <w:rFonts w:ascii="Traditional Arabic" w:hAnsi="Traditional Arabic" w:cs="Traditional Arabic"/>
          <w:sz w:val="30"/>
          <w:szCs w:val="30"/>
          <w:rtl/>
        </w:rPr>
        <w:t xml:space="preserve"> عضو من الأعضاء المستقلين </w:t>
      </w:r>
      <w:r w:rsidR="00291802" w:rsidRPr="00EB5BCF">
        <w:rPr>
          <w:rFonts w:ascii="Traditional Arabic" w:hAnsi="Traditional Arabic" w:cs="Traditional Arabic"/>
          <w:sz w:val="30"/>
          <w:szCs w:val="30"/>
          <w:rtl/>
        </w:rPr>
        <w:t>على</w:t>
      </w:r>
      <w:r w:rsidR="004741BF" w:rsidRPr="00EB5BCF">
        <w:rPr>
          <w:rFonts w:ascii="Traditional Arabic" w:hAnsi="Traditional Arabic" w:cs="Traditional Arabic"/>
          <w:sz w:val="30"/>
          <w:szCs w:val="30"/>
          <w:rtl/>
        </w:rPr>
        <w:t xml:space="preserve"> أن يكون أحد أعضاء </w:t>
      </w:r>
      <w:r w:rsidR="006722A6">
        <w:rPr>
          <w:rFonts w:ascii="Traditional Arabic" w:hAnsi="Traditional Arabic" w:cs="Traditional Arabic"/>
          <w:sz w:val="30"/>
          <w:szCs w:val="30"/>
          <w:rtl/>
        </w:rPr>
        <w:t>لجنة التدقيق</w:t>
      </w:r>
      <w:r w:rsidR="004741BF" w:rsidRPr="00EB5BCF">
        <w:rPr>
          <w:rFonts w:ascii="Traditional Arabic" w:hAnsi="Traditional Arabic" w:cs="Traditional Arabic"/>
          <w:sz w:val="30"/>
          <w:szCs w:val="30"/>
          <w:rtl/>
        </w:rPr>
        <w:t xml:space="preserve"> على الأقل من ذوي الخبرة والدراية بالشؤون المحاسبية والمالية</w:t>
      </w:r>
      <w:r w:rsidR="00291802" w:rsidRPr="00EB5BCF">
        <w:rPr>
          <w:rFonts w:ascii="Traditional Arabic" w:hAnsi="Traditional Arabic" w:cs="Traditional Arabic"/>
          <w:sz w:val="30"/>
          <w:szCs w:val="30"/>
          <w:rtl/>
        </w:rPr>
        <w:t>،</w:t>
      </w:r>
      <w:r w:rsidR="004741BF" w:rsidRPr="00EB5BCF">
        <w:rPr>
          <w:rFonts w:ascii="Traditional Arabic" w:hAnsi="Traditional Arabic" w:cs="Traditional Arabic"/>
          <w:sz w:val="30"/>
          <w:szCs w:val="30"/>
          <w:rtl/>
        </w:rPr>
        <w:t xml:space="preserve"> </w:t>
      </w:r>
      <w:r w:rsidR="00291802" w:rsidRPr="00EB5BCF">
        <w:rPr>
          <w:rFonts w:ascii="Traditional Arabic" w:hAnsi="Traditional Arabic" w:cs="Traditional Arabic"/>
          <w:sz w:val="30"/>
          <w:szCs w:val="30"/>
          <w:rtl/>
        </w:rPr>
        <w:t>و</w:t>
      </w:r>
      <w:r w:rsidR="004741BF" w:rsidRPr="00EB5BCF">
        <w:rPr>
          <w:rFonts w:ascii="Traditional Arabic" w:hAnsi="Traditional Arabic" w:cs="Traditional Arabic"/>
          <w:sz w:val="30"/>
          <w:szCs w:val="30"/>
          <w:rtl/>
        </w:rPr>
        <w:t xml:space="preserve">تكون </w:t>
      </w:r>
      <w:r w:rsidR="00C03EFB">
        <w:rPr>
          <w:rFonts w:ascii="Traditional Arabic" w:hAnsi="Traditional Arabic" w:cs="Traditional Arabic"/>
          <w:sz w:val="30"/>
          <w:szCs w:val="30"/>
          <w:rtl/>
        </w:rPr>
        <w:t xml:space="preserve">لجنة التدقيق </w:t>
      </w:r>
      <w:r w:rsidR="004741BF" w:rsidRPr="00EB5BCF">
        <w:rPr>
          <w:rFonts w:ascii="Traditional Arabic" w:hAnsi="Traditional Arabic" w:cs="Traditional Arabic"/>
          <w:sz w:val="30"/>
          <w:szCs w:val="30"/>
          <w:rtl/>
        </w:rPr>
        <w:t xml:space="preserve">أيضاً مسؤولة عن اقتراح تعيين </w:t>
      </w:r>
      <w:r w:rsidR="00196922" w:rsidRPr="00EB5BCF">
        <w:rPr>
          <w:rFonts w:ascii="Traditional Arabic" w:hAnsi="Traditional Arabic" w:cs="Traditional Arabic"/>
          <w:sz w:val="30"/>
          <w:szCs w:val="30"/>
          <w:rtl/>
        </w:rPr>
        <w:t>مدير ل</w:t>
      </w:r>
      <w:r w:rsidR="004741BF" w:rsidRPr="00EB5BCF">
        <w:rPr>
          <w:rFonts w:ascii="Traditional Arabic" w:hAnsi="Traditional Arabic" w:cs="Traditional Arabic"/>
          <w:sz w:val="30"/>
          <w:szCs w:val="30"/>
          <w:rtl/>
        </w:rPr>
        <w:t>وحدة التدقيق الداخلي ل</w:t>
      </w:r>
      <w:r w:rsidR="00196922" w:rsidRPr="00EB5BCF">
        <w:rPr>
          <w:rFonts w:ascii="Traditional Arabic" w:hAnsi="Traditional Arabic" w:cs="Traditional Arabic"/>
          <w:sz w:val="30"/>
          <w:szCs w:val="30"/>
          <w:rtl/>
        </w:rPr>
        <w:t>ي</w:t>
      </w:r>
      <w:r w:rsidR="00291802" w:rsidRPr="00EB5BCF">
        <w:rPr>
          <w:rFonts w:ascii="Traditional Arabic" w:hAnsi="Traditional Arabic" w:cs="Traditional Arabic"/>
          <w:sz w:val="30"/>
          <w:szCs w:val="30"/>
          <w:rtl/>
        </w:rPr>
        <w:t>ت</w:t>
      </w:r>
      <w:r w:rsidR="004741BF" w:rsidRPr="00EB5BCF">
        <w:rPr>
          <w:rFonts w:ascii="Traditional Arabic" w:hAnsi="Traditional Arabic" w:cs="Traditional Arabic"/>
          <w:sz w:val="30"/>
          <w:szCs w:val="30"/>
          <w:rtl/>
        </w:rPr>
        <w:t>ول</w:t>
      </w:r>
      <w:r w:rsidR="00196922" w:rsidRPr="00EB5BCF">
        <w:rPr>
          <w:rFonts w:ascii="Traditional Arabic" w:hAnsi="Traditional Arabic" w:cs="Traditional Arabic"/>
          <w:sz w:val="30"/>
          <w:szCs w:val="30"/>
          <w:rtl/>
        </w:rPr>
        <w:t>ى</w:t>
      </w:r>
      <w:r w:rsidR="004741BF" w:rsidRPr="00EB5BCF">
        <w:rPr>
          <w:rFonts w:ascii="Traditional Arabic" w:hAnsi="Traditional Arabic" w:cs="Traditional Arabic"/>
          <w:sz w:val="30"/>
          <w:szCs w:val="30"/>
          <w:rtl/>
        </w:rPr>
        <w:t xml:space="preserve"> إدارة التدقيق الداخلي بالشركة</w:t>
      </w:r>
      <w:r w:rsidR="00196922" w:rsidRPr="00EB5BCF">
        <w:rPr>
          <w:rFonts w:ascii="Traditional Arabic" w:hAnsi="Traditional Arabic" w:cs="Traditional Arabic"/>
          <w:sz w:val="30"/>
          <w:szCs w:val="30"/>
          <w:rtl/>
        </w:rPr>
        <w:t>،</w:t>
      </w:r>
      <w:r w:rsidR="004741BF" w:rsidRPr="00EB5BCF">
        <w:rPr>
          <w:rFonts w:ascii="Traditional Arabic" w:hAnsi="Traditional Arabic" w:cs="Traditional Arabic"/>
          <w:sz w:val="30"/>
          <w:szCs w:val="30"/>
          <w:rtl/>
        </w:rPr>
        <w:t xml:space="preserve"> واقتراح مخصصاته، </w:t>
      </w:r>
      <w:r w:rsidR="004741BF" w:rsidRPr="00EB5BCF">
        <w:rPr>
          <w:rFonts w:ascii="Traditional Arabic" w:hAnsi="Traditional Arabic" w:cs="Traditional Arabic"/>
          <w:sz w:val="30"/>
          <w:szCs w:val="30"/>
          <w:rtl/>
          <w:lang w:bidi="ar-OM"/>
        </w:rPr>
        <w:t>وتكون هذه الوحدة مسؤولة</w:t>
      </w:r>
      <w:r w:rsidR="004741BF" w:rsidRPr="00EB5BCF">
        <w:rPr>
          <w:rFonts w:ascii="Traditional Arabic" w:hAnsi="Traditional Arabic" w:cs="Traditional Arabic"/>
          <w:sz w:val="30"/>
          <w:szCs w:val="30"/>
          <w:rtl/>
        </w:rPr>
        <w:t xml:space="preserve"> عن التالي:</w:t>
      </w:r>
    </w:p>
    <w:p w14:paraId="49B6FEDE"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rtl/>
        </w:rPr>
      </w:pPr>
    </w:p>
    <w:p w14:paraId="0C5C5954" w14:textId="77777777" w:rsidR="004741BF" w:rsidRPr="00EB5BCF" w:rsidRDefault="004741BF" w:rsidP="00922116">
      <w:pPr>
        <w:numPr>
          <w:ilvl w:val="0"/>
          <w:numId w:val="16"/>
        </w:num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 xml:space="preserve">وضع </w:t>
      </w:r>
      <w:r w:rsidR="00196922" w:rsidRPr="00EB5BCF">
        <w:rPr>
          <w:rFonts w:ascii="Traditional Arabic" w:hAnsi="Traditional Arabic" w:cs="Traditional Arabic"/>
          <w:sz w:val="30"/>
          <w:szCs w:val="30"/>
          <w:rtl/>
        </w:rPr>
        <w:t>استراتيجية</w:t>
      </w:r>
      <w:r w:rsidRPr="00EB5BCF">
        <w:rPr>
          <w:rFonts w:ascii="Traditional Arabic" w:hAnsi="Traditional Arabic" w:cs="Traditional Arabic"/>
          <w:sz w:val="30"/>
          <w:szCs w:val="30"/>
          <w:rtl/>
        </w:rPr>
        <w:t xml:space="preserve"> التدقيق الداخلي للشركة.</w:t>
      </w:r>
    </w:p>
    <w:p w14:paraId="4DDB945A" w14:textId="77777777" w:rsidR="004741BF" w:rsidRPr="00EB5BCF" w:rsidRDefault="004741BF" w:rsidP="00922116">
      <w:pPr>
        <w:numPr>
          <w:ilvl w:val="0"/>
          <w:numId w:val="16"/>
        </w:num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التدقيق على العمليات والبيانات المالية للشركة.</w:t>
      </w:r>
    </w:p>
    <w:p w14:paraId="7BD71A4E" w14:textId="77777777" w:rsidR="004741BF" w:rsidRPr="00EB5BCF" w:rsidRDefault="004741BF" w:rsidP="00922116">
      <w:pPr>
        <w:numPr>
          <w:ilvl w:val="0"/>
          <w:numId w:val="16"/>
        </w:num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 xml:space="preserve">التحقق من </w:t>
      </w:r>
      <w:r w:rsidR="00196922" w:rsidRPr="00EB5BCF">
        <w:rPr>
          <w:rFonts w:ascii="Traditional Arabic" w:hAnsi="Traditional Arabic" w:cs="Traditional Arabic"/>
          <w:sz w:val="30"/>
          <w:szCs w:val="30"/>
          <w:rtl/>
        </w:rPr>
        <w:t>امتثال</w:t>
      </w:r>
      <w:r w:rsidRPr="00EB5BCF">
        <w:rPr>
          <w:rFonts w:ascii="Traditional Arabic" w:hAnsi="Traditional Arabic" w:cs="Traditional Arabic"/>
          <w:sz w:val="30"/>
          <w:szCs w:val="30"/>
          <w:rtl/>
        </w:rPr>
        <w:t xml:space="preserve"> الشركة للقوانين واللوائح التي تسري على الشركة.</w:t>
      </w:r>
    </w:p>
    <w:p w14:paraId="06192BD5" w14:textId="77777777" w:rsidR="004741BF" w:rsidRPr="00EB5BCF" w:rsidRDefault="004741BF" w:rsidP="00922116">
      <w:pPr>
        <w:numPr>
          <w:ilvl w:val="0"/>
          <w:numId w:val="16"/>
        </w:numPr>
        <w:autoSpaceDE w:val="0"/>
        <w:autoSpaceDN w:val="0"/>
        <w:bidi/>
        <w:adjustRightInd w:val="0"/>
        <w:jc w:val="both"/>
        <w:rPr>
          <w:rFonts w:ascii="Traditional Arabic" w:hAnsi="Traditional Arabic" w:cs="Traditional Arabic"/>
          <w:b/>
          <w:sz w:val="30"/>
          <w:szCs w:val="30"/>
          <w:lang w:val="en-GB"/>
        </w:rPr>
      </w:pPr>
      <w:r w:rsidRPr="00EB5BCF">
        <w:rPr>
          <w:rFonts w:ascii="Traditional Arabic" w:hAnsi="Traditional Arabic" w:cs="Traditional Arabic"/>
          <w:sz w:val="30"/>
          <w:szCs w:val="30"/>
          <w:rtl/>
        </w:rPr>
        <w:lastRenderedPageBreak/>
        <w:t xml:space="preserve">إعداد التقارير الدورية ورفعها لمجلس الإدارة فيما يتعلق بدقة وفعالية نظم الرقابة الداخلية بالشركة والضوابط الإدارية والمحاسبية والمالية والأمور الأخرى التي ينبغي على مدير التدقيق الداخلي إعداد تقارير بشأنها </w:t>
      </w:r>
      <w:r w:rsidR="00DD1396">
        <w:rPr>
          <w:rFonts w:ascii="Traditional Arabic" w:hAnsi="Traditional Arabic" w:cs="Traditional Arabic" w:hint="cs"/>
          <w:sz w:val="30"/>
          <w:szCs w:val="30"/>
          <w:rtl/>
        </w:rPr>
        <w:t xml:space="preserve">للجنة التدقيق المنبثقة عن </w:t>
      </w:r>
      <w:r w:rsidR="00DD1396" w:rsidRPr="00EB5BCF">
        <w:rPr>
          <w:rFonts w:ascii="Traditional Arabic" w:hAnsi="Traditional Arabic" w:cs="Traditional Arabic"/>
          <w:sz w:val="30"/>
          <w:szCs w:val="30"/>
          <w:rtl/>
        </w:rPr>
        <w:t xml:space="preserve">مجلس </w:t>
      </w:r>
      <w:r w:rsidRPr="00EB5BCF">
        <w:rPr>
          <w:rFonts w:ascii="Traditional Arabic" w:hAnsi="Traditional Arabic" w:cs="Traditional Arabic"/>
          <w:sz w:val="30"/>
          <w:szCs w:val="30"/>
          <w:rtl/>
        </w:rPr>
        <w:t>الإدارة.</w:t>
      </w:r>
    </w:p>
    <w:p w14:paraId="0EB349D9" w14:textId="77777777" w:rsidR="004741BF" w:rsidRDefault="004741BF" w:rsidP="004741BF">
      <w:pPr>
        <w:autoSpaceDE w:val="0"/>
        <w:autoSpaceDN w:val="0"/>
        <w:bidi/>
        <w:adjustRightInd w:val="0"/>
        <w:jc w:val="both"/>
        <w:rPr>
          <w:rFonts w:ascii="Traditional Arabic" w:hAnsi="Traditional Arabic" w:cs="Traditional Arabic"/>
          <w:sz w:val="30"/>
          <w:szCs w:val="30"/>
          <w:rtl/>
        </w:rPr>
      </w:pPr>
    </w:p>
    <w:p w14:paraId="0F24B78B" w14:textId="77777777" w:rsidR="00B52D34" w:rsidRDefault="00B52D34" w:rsidP="00B52D34">
      <w:pPr>
        <w:autoSpaceDE w:val="0"/>
        <w:autoSpaceDN w:val="0"/>
        <w:bidi/>
        <w:adjustRightInd w:val="0"/>
        <w:jc w:val="both"/>
        <w:rPr>
          <w:rFonts w:ascii="Traditional Arabic" w:hAnsi="Traditional Arabic" w:cs="Traditional Arabic"/>
          <w:sz w:val="30"/>
          <w:szCs w:val="30"/>
          <w:rtl/>
        </w:rPr>
      </w:pPr>
      <w:r w:rsidRPr="00B52D34">
        <w:rPr>
          <w:rFonts w:ascii="Traditional Arabic" w:hAnsi="Traditional Arabic" w:cs="Traditional Arabic"/>
          <w:sz w:val="30"/>
          <w:szCs w:val="30"/>
          <w:rtl/>
        </w:rPr>
        <w:t xml:space="preserve">بالتشاور مع لجنة التدقيق، يقوم قسم التدقيق الداخلي الأوسع للشركة (" </w:t>
      </w:r>
      <w:r w:rsidRPr="00B52D34">
        <w:rPr>
          <w:rFonts w:ascii="Traditional Arabic" w:hAnsi="Traditional Arabic" w:cs="Traditional Arabic"/>
          <w:sz w:val="30"/>
          <w:szCs w:val="30"/>
        </w:rPr>
        <w:t>GIA</w:t>
      </w:r>
      <w:r w:rsidRPr="00B52D34">
        <w:rPr>
          <w:rFonts w:ascii="Traditional Arabic" w:hAnsi="Traditional Arabic" w:cs="Traditional Arabic"/>
          <w:sz w:val="30"/>
          <w:szCs w:val="30"/>
          <w:rtl/>
        </w:rPr>
        <w:t xml:space="preserve"> ") أيضًا بتقديم المشورة ومراجعة السياسات المتعلقة بإجراءات الضمان الداخلي للشركة واستراتيجية التدقيق. ويتمثل دور قسم التدقيق الداخلي في مراجعة جميع الضوابط والحوكمة على مستوى الشركة، بالإضافة إلى التشاور مع الأقسام الأخرى في الشركة، بما في ذلك ما يتعلق بإدارة سلسلة التوريد، والإيرادات التجارية من الذمم المدينة، ونسبة المخزون إلى الاستهلاك، وصيانة الأسطول والحوض الجاف، والصحة والسلامة والبيئة، والعمليات والوقود، وإعداد تقارير التمويل، والأقسام المالية، وإدارة الأصول والاستثمار، وإدارة الطاقم، والموارد البشرية، والشؤون القانونية، والتأمين، وتخطيط الشركات والميزانية، وأنظمة المعلومات والبنية التحتية، والأمن السيبراني، ونفقات التشغيل. هذا، ويتبع قسم التدقيق الداخلي نهج التدقيق القائم على المخاطر، حيث يتم إعداد الخطة السنوية بالتشاور مع الإدارة ثم تقديمها إلى لجنة التدقيق للموافقة عليها.</w:t>
      </w:r>
    </w:p>
    <w:p w14:paraId="0326D007" w14:textId="77777777" w:rsidR="009F5168" w:rsidRPr="00B52D34" w:rsidRDefault="009F5168" w:rsidP="009F5168">
      <w:pPr>
        <w:autoSpaceDE w:val="0"/>
        <w:autoSpaceDN w:val="0"/>
        <w:bidi/>
        <w:adjustRightInd w:val="0"/>
        <w:jc w:val="both"/>
        <w:rPr>
          <w:rFonts w:ascii="Traditional Arabic" w:hAnsi="Traditional Arabic" w:cs="Traditional Arabic"/>
          <w:sz w:val="30"/>
          <w:szCs w:val="30"/>
          <w:rtl/>
        </w:rPr>
      </w:pPr>
    </w:p>
    <w:p w14:paraId="4DB5C7C8" w14:textId="77777777" w:rsidR="009F5168" w:rsidRPr="009F5168" w:rsidRDefault="009F5168" w:rsidP="009F5168">
      <w:pPr>
        <w:autoSpaceDE w:val="0"/>
        <w:autoSpaceDN w:val="0"/>
        <w:bidi/>
        <w:adjustRightInd w:val="0"/>
        <w:jc w:val="both"/>
        <w:rPr>
          <w:rFonts w:ascii="Traditional Arabic" w:hAnsi="Traditional Arabic" w:cs="Traditional Arabic"/>
          <w:b/>
          <w:bCs/>
          <w:sz w:val="30"/>
          <w:szCs w:val="30"/>
          <w:rtl/>
        </w:rPr>
      </w:pPr>
      <w:r w:rsidRPr="009F5168">
        <w:rPr>
          <w:rFonts w:ascii="Traditional Arabic" w:hAnsi="Traditional Arabic" w:cs="Traditional Arabic"/>
          <w:b/>
          <w:bCs/>
          <w:sz w:val="30"/>
          <w:szCs w:val="30"/>
          <w:rtl/>
        </w:rPr>
        <w:t>إنشاء دائرة تدقيق داخلي في الشركة</w:t>
      </w:r>
    </w:p>
    <w:p w14:paraId="51BE3433" w14:textId="77777777" w:rsidR="009F5168" w:rsidRPr="009F5168" w:rsidRDefault="009F5168" w:rsidP="009F5168">
      <w:pPr>
        <w:autoSpaceDE w:val="0"/>
        <w:autoSpaceDN w:val="0"/>
        <w:bidi/>
        <w:adjustRightInd w:val="0"/>
        <w:jc w:val="both"/>
        <w:rPr>
          <w:rFonts w:ascii="Traditional Arabic" w:hAnsi="Traditional Arabic" w:cs="Traditional Arabic"/>
          <w:sz w:val="30"/>
          <w:szCs w:val="30"/>
          <w:rtl/>
        </w:rPr>
      </w:pPr>
      <w:r w:rsidRPr="009F5168">
        <w:rPr>
          <w:rFonts w:ascii="Traditional Arabic" w:hAnsi="Traditional Arabic" w:cs="Traditional Arabic"/>
          <w:sz w:val="30"/>
          <w:szCs w:val="30"/>
          <w:rtl/>
        </w:rPr>
        <w:t>تعتزم الشركة بعد الاكتتاب العام تخصيص موارد لإنشاء دائرة تدقيق داخلي مستقلة. ولذا ستوصي لجنة التدقيق في الشركة بهيكل دائرة التدقيق الداخلي في أول اجتماع لمجلس الإدارة بعد الاكتتاب العام، والذي من المتوقع أن ينعقد في شهر مارس 2025</w:t>
      </w:r>
      <w:r w:rsidRPr="009F5168">
        <w:rPr>
          <w:rFonts w:ascii="Traditional Arabic" w:hAnsi="Traditional Arabic" w:cs="Traditional Arabic"/>
          <w:sz w:val="30"/>
          <w:szCs w:val="30"/>
        </w:rPr>
        <w:t>.</w:t>
      </w:r>
    </w:p>
    <w:p w14:paraId="08E55BA0" w14:textId="77777777" w:rsidR="009F5168" w:rsidRPr="009F5168" w:rsidRDefault="009F5168" w:rsidP="009F5168">
      <w:pPr>
        <w:autoSpaceDE w:val="0"/>
        <w:autoSpaceDN w:val="0"/>
        <w:bidi/>
        <w:adjustRightInd w:val="0"/>
        <w:jc w:val="both"/>
        <w:rPr>
          <w:rFonts w:ascii="Traditional Arabic" w:hAnsi="Traditional Arabic" w:cs="Traditional Arabic"/>
          <w:sz w:val="30"/>
          <w:szCs w:val="30"/>
          <w:rtl/>
        </w:rPr>
      </w:pPr>
      <w:r w:rsidRPr="009F5168">
        <w:rPr>
          <w:rFonts w:ascii="Traditional Arabic" w:hAnsi="Traditional Arabic" w:cs="Traditional Arabic"/>
          <w:sz w:val="30"/>
          <w:szCs w:val="30"/>
          <w:rtl/>
        </w:rPr>
        <w:t>ستوافق لجنة التدقيق على خطة تدقيق خاصة بالشركة، وسيتم رفع ما يُحرز من تقدم في الخطة إلى لجنة التدقيق على أساس ربع سنوي، على أن تتوافق خطة التدقيق وتمتثل دائرة التدقيق الداخلي للشركة لمتطلبات دوائر التدقيق الداخلي المعتمدة لدى هيئة الخدمات المالية، بما في ذلك مراجعة البيانات المالية</w:t>
      </w:r>
      <w:r w:rsidRPr="009F5168">
        <w:rPr>
          <w:rFonts w:ascii="Traditional Arabic" w:hAnsi="Traditional Arabic" w:cs="Traditional Arabic"/>
          <w:sz w:val="30"/>
          <w:szCs w:val="30"/>
        </w:rPr>
        <w:t>.</w:t>
      </w:r>
    </w:p>
    <w:p w14:paraId="76536949" w14:textId="18B471B8" w:rsidR="009F5168" w:rsidRDefault="009F5168" w:rsidP="009F5168">
      <w:pPr>
        <w:autoSpaceDE w:val="0"/>
        <w:autoSpaceDN w:val="0"/>
        <w:bidi/>
        <w:adjustRightInd w:val="0"/>
        <w:jc w:val="both"/>
        <w:rPr>
          <w:rFonts w:ascii="Traditional Arabic" w:hAnsi="Traditional Arabic" w:cs="Traditional Arabic"/>
          <w:sz w:val="30"/>
          <w:szCs w:val="30"/>
          <w:rtl/>
        </w:rPr>
      </w:pPr>
    </w:p>
    <w:p w14:paraId="20EEF485" w14:textId="2A1EB005" w:rsidR="009F5168" w:rsidRPr="009F5168" w:rsidRDefault="009F5168" w:rsidP="009F5168">
      <w:pPr>
        <w:autoSpaceDE w:val="0"/>
        <w:autoSpaceDN w:val="0"/>
        <w:bidi/>
        <w:adjustRightInd w:val="0"/>
        <w:jc w:val="both"/>
        <w:rPr>
          <w:rFonts w:ascii="Traditional Arabic" w:hAnsi="Traditional Arabic" w:cs="Traditional Arabic"/>
          <w:b/>
          <w:bCs/>
          <w:sz w:val="30"/>
          <w:szCs w:val="30"/>
          <w:rtl/>
        </w:rPr>
      </w:pPr>
      <w:r w:rsidRPr="009F5168">
        <w:rPr>
          <w:rFonts w:ascii="Traditional Arabic" w:hAnsi="Traditional Arabic" w:cs="Traditional Arabic"/>
          <w:b/>
          <w:bCs/>
          <w:sz w:val="30"/>
          <w:szCs w:val="30"/>
          <w:rtl/>
        </w:rPr>
        <w:t>دور التدقيق الداخلي للمجموعة</w:t>
      </w:r>
    </w:p>
    <w:p w14:paraId="0A276531" w14:textId="77777777" w:rsidR="009F5168" w:rsidRPr="009F5168" w:rsidRDefault="009F5168" w:rsidP="009F5168">
      <w:pPr>
        <w:autoSpaceDE w:val="0"/>
        <w:autoSpaceDN w:val="0"/>
        <w:bidi/>
        <w:adjustRightInd w:val="0"/>
        <w:jc w:val="both"/>
        <w:rPr>
          <w:rFonts w:ascii="Traditional Arabic" w:hAnsi="Traditional Arabic" w:cs="Traditional Arabic"/>
          <w:sz w:val="30"/>
          <w:szCs w:val="30"/>
          <w:rtl/>
        </w:rPr>
      </w:pPr>
      <w:r w:rsidRPr="009F5168">
        <w:rPr>
          <w:rFonts w:ascii="Traditional Arabic" w:hAnsi="Traditional Arabic" w:cs="Traditional Arabic"/>
          <w:sz w:val="30"/>
          <w:szCs w:val="30"/>
          <w:rtl/>
        </w:rPr>
        <w:t>ستواصل الشركة الاستفادة من بعض الخدمات التي تقدمها دائرة التدقيق الداخلي للمجموعة في مجموعة أسياد على نحو ما هو محدد في اتفاقية مستوى الخدمات الجديدة. وتشمل خدمات دائرة التدقيق الداخلي للمجموعة ما يلي</w:t>
      </w:r>
      <w:r w:rsidRPr="009F5168">
        <w:rPr>
          <w:rFonts w:ascii="Traditional Arabic" w:hAnsi="Traditional Arabic" w:cs="Traditional Arabic"/>
          <w:sz w:val="30"/>
          <w:szCs w:val="30"/>
        </w:rPr>
        <w:t>:</w:t>
      </w:r>
    </w:p>
    <w:p w14:paraId="2461B83B" w14:textId="03A60BD4" w:rsidR="009F5168" w:rsidRPr="009F5168" w:rsidRDefault="009F5168" w:rsidP="009F5168">
      <w:pPr>
        <w:numPr>
          <w:ilvl w:val="0"/>
          <w:numId w:val="16"/>
        </w:numPr>
        <w:autoSpaceDE w:val="0"/>
        <w:autoSpaceDN w:val="0"/>
        <w:bidi/>
        <w:adjustRightInd w:val="0"/>
        <w:jc w:val="both"/>
        <w:rPr>
          <w:rFonts w:ascii="Traditional Arabic" w:hAnsi="Traditional Arabic" w:cs="Traditional Arabic"/>
          <w:sz w:val="30"/>
          <w:szCs w:val="30"/>
          <w:rtl/>
        </w:rPr>
      </w:pPr>
      <w:r w:rsidRPr="009F5168">
        <w:rPr>
          <w:rFonts w:ascii="Traditional Arabic" w:hAnsi="Traditional Arabic" w:cs="Traditional Arabic"/>
          <w:sz w:val="30"/>
          <w:szCs w:val="30"/>
          <w:rtl/>
        </w:rPr>
        <w:t>تقديم المساندة فيما يتعلق بوضع استراتيجية تدقيق قائمة على المخاطر، وتحديد المجالات ذات الأولوية (المجالات العامة والمجالات الخاصة بقطاع الشحن البحري)</w:t>
      </w:r>
      <w:r w:rsidRPr="009F5168">
        <w:rPr>
          <w:rFonts w:ascii="Traditional Arabic" w:hAnsi="Traditional Arabic" w:cs="Traditional Arabic"/>
          <w:sz w:val="30"/>
          <w:szCs w:val="30"/>
        </w:rPr>
        <w:t>.</w:t>
      </w:r>
    </w:p>
    <w:p w14:paraId="53E58873" w14:textId="2C21CC94" w:rsidR="009F5168" w:rsidRPr="009F5168" w:rsidRDefault="009F5168" w:rsidP="009F5168">
      <w:pPr>
        <w:numPr>
          <w:ilvl w:val="0"/>
          <w:numId w:val="16"/>
        </w:numPr>
        <w:autoSpaceDE w:val="0"/>
        <w:autoSpaceDN w:val="0"/>
        <w:bidi/>
        <w:adjustRightInd w:val="0"/>
        <w:jc w:val="both"/>
        <w:rPr>
          <w:rFonts w:ascii="Traditional Arabic" w:hAnsi="Traditional Arabic" w:cs="Traditional Arabic"/>
          <w:sz w:val="30"/>
          <w:szCs w:val="30"/>
          <w:rtl/>
        </w:rPr>
      </w:pPr>
      <w:r w:rsidRPr="009F5168">
        <w:rPr>
          <w:rFonts w:ascii="Traditional Arabic" w:hAnsi="Traditional Arabic" w:cs="Traditional Arabic"/>
          <w:sz w:val="30"/>
          <w:szCs w:val="30"/>
          <w:rtl/>
        </w:rPr>
        <w:t>التوافق مع استراتيجية التدقيق الداخلي العامة لمجموعة أسياد</w:t>
      </w:r>
      <w:r w:rsidRPr="009F5168">
        <w:rPr>
          <w:rFonts w:ascii="Traditional Arabic" w:hAnsi="Traditional Arabic" w:cs="Traditional Arabic"/>
          <w:sz w:val="30"/>
          <w:szCs w:val="30"/>
        </w:rPr>
        <w:t>.</w:t>
      </w:r>
    </w:p>
    <w:p w14:paraId="27B07587" w14:textId="3C73B2DA" w:rsidR="009F5168" w:rsidRPr="009F5168" w:rsidRDefault="009F5168" w:rsidP="009F5168">
      <w:pPr>
        <w:numPr>
          <w:ilvl w:val="0"/>
          <w:numId w:val="16"/>
        </w:numPr>
        <w:autoSpaceDE w:val="0"/>
        <w:autoSpaceDN w:val="0"/>
        <w:bidi/>
        <w:adjustRightInd w:val="0"/>
        <w:jc w:val="both"/>
        <w:rPr>
          <w:rFonts w:ascii="Traditional Arabic" w:hAnsi="Traditional Arabic" w:cs="Traditional Arabic"/>
          <w:sz w:val="30"/>
          <w:szCs w:val="30"/>
          <w:rtl/>
        </w:rPr>
      </w:pPr>
      <w:r w:rsidRPr="009F5168">
        <w:rPr>
          <w:rFonts w:ascii="Traditional Arabic" w:hAnsi="Traditional Arabic" w:cs="Traditional Arabic"/>
          <w:sz w:val="30"/>
          <w:szCs w:val="30"/>
          <w:rtl/>
        </w:rPr>
        <w:t>تقديم المساعدة المتخصصة حسب طلب لجنة التدقيق في الشركة</w:t>
      </w:r>
      <w:r w:rsidRPr="009F5168">
        <w:rPr>
          <w:rFonts w:ascii="Traditional Arabic" w:hAnsi="Traditional Arabic" w:cs="Traditional Arabic"/>
          <w:sz w:val="30"/>
          <w:szCs w:val="30"/>
        </w:rPr>
        <w:t>.</w:t>
      </w:r>
    </w:p>
    <w:p w14:paraId="3799760A" w14:textId="59AAFBFD" w:rsidR="009F5168" w:rsidRPr="009F5168" w:rsidRDefault="009F5168" w:rsidP="009F5168">
      <w:pPr>
        <w:numPr>
          <w:ilvl w:val="0"/>
          <w:numId w:val="16"/>
        </w:numPr>
        <w:autoSpaceDE w:val="0"/>
        <w:autoSpaceDN w:val="0"/>
        <w:bidi/>
        <w:adjustRightInd w:val="0"/>
        <w:jc w:val="both"/>
        <w:rPr>
          <w:rFonts w:ascii="Traditional Arabic" w:hAnsi="Traditional Arabic" w:cs="Traditional Arabic"/>
          <w:sz w:val="30"/>
          <w:szCs w:val="30"/>
          <w:rtl/>
        </w:rPr>
      </w:pPr>
      <w:r w:rsidRPr="009F5168">
        <w:rPr>
          <w:rFonts w:ascii="Traditional Arabic" w:hAnsi="Traditional Arabic" w:cs="Traditional Arabic"/>
          <w:sz w:val="30"/>
          <w:szCs w:val="30"/>
          <w:rtl/>
        </w:rPr>
        <w:lastRenderedPageBreak/>
        <w:t>دعم إعداد خطة التدقيق الداخلي السنوية للشركة المبنية على المخاطر</w:t>
      </w:r>
      <w:r w:rsidRPr="009F5168">
        <w:rPr>
          <w:rFonts w:ascii="Traditional Arabic" w:hAnsi="Traditional Arabic" w:cs="Traditional Arabic"/>
          <w:sz w:val="30"/>
          <w:szCs w:val="30"/>
        </w:rPr>
        <w:t>.</w:t>
      </w:r>
    </w:p>
    <w:p w14:paraId="155227BD" w14:textId="0A4EC161" w:rsidR="009F5168" w:rsidRPr="009F5168" w:rsidRDefault="009F5168" w:rsidP="009F5168">
      <w:pPr>
        <w:numPr>
          <w:ilvl w:val="0"/>
          <w:numId w:val="16"/>
        </w:numPr>
        <w:autoSpaceDE w:val="0"/>
        <w:autoSpaceDN w:val="0"/>
        <w:bidi/>
        <w:adjustRightInd w:val="0"/>
        <w:jc w:val="both"/>
        <w:rPr>
          <w:rFonts w:ascii="Traditional Arabic" w:hAnsi="Traditional Arabic" w:cs="Traditional Arabic"/>
          <w:sz w:val="30"/>
          <w:szCs w:val="30"/>
          <w:rtl/>
        </w:rPr>
      </w:pPr>
      <w:r w:rsidRPr="009F5168">
        <w:rPr>
          <w:rFonts w:ascii="Traditional Arabic" w:hAnsi="Traditional Arabic" w:cs="Traditional Arabic"/>
          <w:sz w:val="30"/>
          <w:szCs w:val="30"/>
          <w:rtl/>
        </w:rPr>
        <w:t>تقديم المشورة بشأن مسائل عامة في التدقيق الداخلي للاستفادة من المعرفة الصناعية والخبرة الوظيفية وأدوات التدقيق الحالية</w:t>
      </w:r>
      <w:r w:rsidRPr="009F5168">
        <w:rPr>
          <w:rFonts w:ascii="Traditional Arabic" w:hAnsi="Traditional Arabic" w:cs="Traditional Arabic"/>
          <w:sz w:val="30"/>
          <w:szCs w:val="30"/>
        </w:rPr>
        <w:t>.</w:t>
      </w:r>
    </w:p>
    <w:p w14:paraId="0EA1FB55" w14:textId="095E772C" w:rsidR="004741BF" w:rsidRPr="009F5168" w:rsidRDefault="009F5168" w:rsidP="009F5168">
      <w:pPr>
        <w:numPr>
          <w:ilvl w:val="0"/>
          <w:numId w:val="16"/>
        </w:numPr>
        <w:autoSpaceDE w:val="0"/>
        <w:autoSpaceDN w:val="0"/>
        <w:bidi/>
        <w:adjustRightInd w:val="0"/>
        <w:jc w:val="both"/>
        <w:rPr>
          <w:rFonts w:ascii="Traditional Arabic" w:hAnsi="Traditional Arabic" w:cs="Traditional Arabic"/>
          <w:sz w:val="30"/>
          <w:szCs w:val="30"/>
          <w:rtl/>
        </w:rPr>
      </w:pPr>
      <w:r w:rsidRPr="009F5168">
        <w:rPr>
          <w:rFonts w:ascii="Traditional Arabic" w:hAnsi="Traditional Arabic" w:cs="Traditional Arabic"/>
          <w:sz w:val="30"/>
          <w:szCs w:val="30"/>
          <w:rtl/>
        </w:rPr>
        <w:t>تقديم الدعم لتنفيذ المشاريع بحسب طلب فريق التدقيق الداخلي للشركة.</w:t>
      </w:r>
    </w:p>
    <w:p w14:paraId="12C3E051" w14:textId="77777777" w:rsidR="00E856DD" w:rsidRDefault="00E856DD" w:rsidP="004741BF">
      <w:pPr>
        <w:autoSpaceDE w:val="0"/>
        <w:autoSpaceDN w:val="0"/>
        <w:bidi/>
        <w:adjustRightInd w:val="0"/>
        <w:jc w:val="both"/>
        <w:rPr>
          <w:rFonts w:ascii="Traditional Arabic" w:hAnsi="Traditional Arabic" w:cs="Traditional Arabic"/>
          <w:b/>
          <w:bCs/>
          <w:sz w:val="30"/>
          <w:szCs w:val="30"/>
          <w:rtl/>
        </w:rPr>
      </w:pPr>
    </w:p>
    <w:p w14:paraId="7733A951" w14:textId="0EE8C46A" w:rsidR="004741BF" w:rsidRPr="00EB5BCF" w:rsidRDefault="004741BF" w:rsidP="00E856DD">
      <w:pPr>
        <w:autoSpaceDE w:val="0"/>
        <w:autoSpaceDN w:val="0"/>
        <w:bidi/>
        <w:adjustRightInd w:val="0"/>
        <w:jc w:val="both"/>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t>لجنة الترشيحات والمكافآت</w:t>
      </w:r>
    </w:p>
    <w:p w14:paraId="13F38688"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تُشكل لجنة الترشيحات والمكافآت من الأعضاء التالية أسماؤهم:</w:t>
      </w:r>
    </w:p>
    <w:p w14:paraId="007CDDDC"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rtl/>
        </w:rPr>
      </w:pPr>
    </w:p>
    <w:p w14:paraId="5157FB37" w14:textId="77777777" w:rsidR="004741BF" w:rsidRDefault="004741BF" w:rsidP="00922116">
      <w:pPr>
        <w:numPr>
          <w:ilvl w:val="0"/>
          <w:numId w:val="15"/>
        </w:num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lang w:bidi="ar-OM"/>
        </w:rPr>
        <w:t xml:space="preserve">الفاضل/ </w:t>
      </w:r>
      <w:r w:rsidR="006879F9">
        <w:rPr>
          <w:rFonts w:ascii="Traditional Arabic" w:hAnsi="Traditional Arabic" w:cs="Traditional Arabic" w:hint="cs"/>
          <w:sz w:val="30"/>
          <w:szCs w:val="30"/>
          <w:rtl/>
          <w:lang w:bidi="ar-EG"/>
        </w:rPr>
        <w:t>محسن الرستم</w:t>
      </w:r>
      <w:r w:rsidR="006879F9" w:rsidRPr="00EB5BCF">
        <w:rPr>
          <w:rFonts w:ascii="Traditional Arabic" w:hAnsi="Traditional Arabic" w:cs="Traditional Arabic"/>
          <w:sz w:val="30"/>
          <w:szCs w:val="30"/>
          <w:rtl/>
          <w:lang w:bidi="ar-EG"/>
        </w:rPr>
        <w:t xml:space="preserve"> </w:t>
      </w:r>
      <w:r w:rsidR="007011BB" w:rsidRPr="00EB5BCF">
        <w:rPr>
          <w:rFonts w:ascii="Traditional Arabic" w:hAnsi="Traditional Arabic" w:cs="Traditional Arabic"/>
          <w:sz w:val="30"/>
          <w:szCs w:val="30"/>
          <w:rtl/>
          <w:lang w:bidi="ar-EG"/>
        </w:rPr>
        <w:t>(رئيس اللجنة)</w:t>
      </w:r>
    </w:p>
    <w:p w14:paraId="374D52F6" w14:textId="77777777" w:rsidR="00C92659" w:rsidRPr="006879F9" w:rsidRDefault="00944CBD" w:rsidP="006879F9">
      <w:pPr>
        <w:numPr>
          <w:ilvl w:val="0"/>
          <w:numId w:val="15"/>
        </w:numPr>
        <w:autoSpaceDE w:val="0"/>
        <w:autoSpaceDN w:val="0"/>
        <w:bidi/>
        <w:adjustRightInd w:val="0"/>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الفاضل/ </w:t>
      </w:r>
      <w:r w:rsidR="006879F9">
        <w:rPr>
          <w:rFonts w:ascii="Traditional Arabic" w:hAnsi="Traditional Arabic" w:cs="Traditional Arabic" w:hint="cs"/>
          <w:sz w:val="30"/>
          <w:szCs w:val="30"/>
          <w:rtl/>
        </w:rPr>
        <w:t>ديفيد ستوكلي</w:t>
      </w:r>
      <w:r w:rsidR="006879F9" w:rsidRPr="006879F9">
        <w:rPr>
          <w:rFonts w:ascii="Traditional Arabic" w:hAnsi="Traditional Arabic" w:cs="Traditional Arabic" w:hint="cs"/>
          <w:sz w:val="30"/>
          <w:szCs w:val="30"/>
          <w:rtl/>
        </w:rPr>
        <w:t xml:space="preserve"> </w:t>
      </w:r>
      <w:r w:rsidRPr="006879F9">
        <w:rPr>
          <w:rFonts w:ascii="Traditional Arabic" w:hAnsi="Traditional Arabic" w:cs="Traditional Arabic" w:hint="cs"/>
          <w:sz w:val="30"/>
          <w:szCs w:val="30"/>
          <w:rtl/>
        </w:rPr>
        <w:t>(عضوا)</w:t>
      </w:r>
    </w:p>
    <w:p w14:paraId="2C746E7A" w14:textId="77777777" w:rsidR="004741BF" w:rsidRPr="00272B36" w:rsidRDefault="004741BF" w:rsidP="00922116">
      <w:pPr>
        <w:pStyle w:val="ListParagraph"/>
        <w:numPr>
          <w:ilvl w:val="0"/>
          <w:numId w:val="15"/>
        </w:numPr>
        <w:autoSpaceDE w:val="0"/>
        <w:autoSpaceDN w:val="0"/>
        <w:bidi/>
        <w:adjustRightInd w:val="0"/>
        <w:jc w:val="both"/>
        <w:rPr>
          <w:rFonts w:ascii="Traditional Arabic" w:hAnsi="Traditional Arabic" w:cs="Traditional Arabic"/>
          <w:b/>
          <w:sz w:val="30"/>
          <w:szCs w:val="30"/>
          <w:rtl/>
        </w:rPr>
      </w:pPr>
      <w:r w:rsidRPr="00272B36">
        <w:rPr>
          <w:rFonts w:ascii="Traditional Arabic" w:hAnsi="Traditional Arabic" w:cs="Traditional Arabic"/>
          <w:sz w:val="30"/>
          <w:szCs w:val="30"/>
          <w:rtl/>
          <w:lang w:bidi="ar-OM"/>
        </w:rPr>
        <w:t xml:space="preserve">الفاضل/ </w:t>
      </w:r>
      <w:r w:rsidR="00F7796F">
        <w:rPr>
          <w:rFonts w:ascii="Traditional Arabic" w:hAnsi="Traditional Arabic" w:cs="Traditional Arabic" w:hint="cs"/>
          <w:sz w:val="30"/>
          <w:szCs w:val="30"/>
          <w:rtl/>
          <w:lang w:bidi="ar-OM"/>
        </w:rPr>
        <w:t xml:space="preserve">سليم اسماعيل </w:t>
      </w:r>
      <w:r w:rsidR="00944CBD">
        <w:rPr>
          <w:rFonts w:ascii="Traditional Arabic" w:hAnsi="Traditional Arabic" w:cs="Traditional Arabic" w:hint="cs"/>
          <w:sz w:val="30"/>
          <w:szCs w:val="30"/>
          <w:rtl/>
          <w:lang w:bidi="ar-OM"/>
        </w:rPr>
        <w:t>(عضوا)</w:t>
      </w:r>
    </w:p>
    <w:p w14:paraId="09BF0043" w14:textId="77777777" w:rsidR="004741BF" w:rsidRPr="00EB5BCF" w:rsidRDefault="004741BF" w:rsidP="004741BF">
      <w:pPr>
        <w:autoSpaceDE w:val="0"/>
        <w:autoSpaceDN w:val="0"/>
        <w:bidi/>
        <w:adjustRightInd w:val="0"/>
        <w:jc w:val="both"/>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rPr>
        <w:t>ويتضمن دور لجنة الترشيحات والمكافآت</w:t>
      </w:r>
      <w:r w:rsidR="00ED089A" w:rsidRPr="00EB5BCF">
        <w:rPr>
          <w:rFonts w:ascii="Traditional Arabic" w:hAnsi="Traditional Arabic" w:cs="Traditional Arabic"/>
          <w:b/>
          <w:bCs/>
          <w:sz w:val="30"/>
          <w:szCs w:val="30"/>
          <w:rtl/>
        </w:rPr>
        <w:t xml:space="preserve"> القيام بما يلي</w:t>
      </w:r>
      <w:r w:rsidRPr="00EB5BCF">
        <w:rPr>
          <w:rFonts w:ascii="Traditional Arabic" w:hAnsi="Traditional Arabic" w:cs="Traditional Arabic"/>
          <w:b/>
          <w:bCs/>
          <w:sz w:val="30"/>
          <w:szCs w:val="30"/>
          <w:rtl/>
        </w:rPr>
        <w:t>:</w:t>
      </w:r>
    </w:p>
    <w:p w14:paraId="7F79B7D1"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p>
    <w:p w14:paraId="7B8DD6F1"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مساعدة المساهمين – وقت انتخاب المجلس في الجمعية العامة - في ترشيح أعضاء مجلس الإدارة الأكفاء وانتخاب الأكثر ملاءمة للغرض المرجو منه.</w:t>
      </w:r>
    </w:p>
    <w:p w14:paraId="0B7BCBDF"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مساعدة المجلس في اختيار المديرين التنفيذيين المناسبين واللازمين للإدارة التنفيذية للشركة.</w:t>
      </w:r>
    </w:p>
    <w:p w14:paraId="2748E847"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مساعدة الشركة في صياغة سياسات واضحة وذات مصداقية ويسهل الوصول إليها لإعلام المساهمين بمكافآت أعضاء مجلس الإدارة والمديرين التنفيذيين، مع مراعاة</w:t>
      </w:r>
      <w:r w:rsidR="00D97062" w:rsidRPr="00EB5BCF">
        <w:rPr>
          <w:rFonts w:ascii="Traditional Arabic" w:hAnsi="Traditional Arabic" w:cs="Traditional Arabic"/>
          <w:sz w:val="30"/>
          <w:szCs w:val="30"/>
          <w:rtl/>
        </w:rPr>
        <w:t xml:space="preserve"> ضوابط</w:t>
      </w:r>
      <w:r w:rsidRPr="00EB5BCF">
        <w:rPr>
          <w:rFonts w:ascii="Traditional Arabic" w:hAnsi="Traditional Arabic" w:cs="Traditional Arabic"/>
          <w:sz w:val="30"/>
          <w:szCs w:val="30"/>
          <w:rtl/>
        </w:rPr>
        <w:t xml:space="preserve"> المكافآت وبدل حضور الجلسات لأعضاء مجالس إدارات شركات المساهمة العامة.</w:t>
      </w:r>
    </w:p>
    <w:p w14:paraId="3303C376"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وضع وتنفيذ معايير إضافية تستند إلى الأداء لتحديد حوافز ومكافآت الرئيس التنفيذي والإدارة التنفيذية العليا للشركة.</w:t>
      </w:r>
    </w:p>
    <w:p w14:paraId="326E4D46"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p>
    <w:p w14:paraId="4C97543D"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وضع خطة التعاقب للإدارة التنفيذية.</w:t>
      </w:r>
    </w:p>
    <w:p w14:paraId="648791E2"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وضع خطة تعاقب لمجلس الإدارة أو على الأقل لرئيس المجلس</w:t>
      </w:r>
      <w:r w:rsidR="003C790A" w:rsidRPr="00EB5BCF">
        <w:rPr>
          <w:rFonts w:ascii="Traditional Arabic" w:hAnsi="Traditional Arabic" w:cs="Traditional Arabic"/>
          <w:sz w:val="30"/>
          <w:szCs w:val="30"/>
          <w:rtl/>
        </w:rPr>
        <w:t>.</w:t>
      </w:r>
    </w:p>
    <w:p w14:paraId="3FF47041"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إعداد توصيفات وظيفية مفصلة لدور ومسؤوليات أعضاء مجلس الإدارة بما في ذلك رئيس المجلس.</w:t>
      </w:r>
    </w:p>
    <w:p w14:paraId="1F834FB2"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تحديد وترشيح الأشخاص المؤهلين للعمل كأعضاء مجلس إدارة مؤقتين في حالة شغور المنصب.</w:t>
      </w:r>
    </w:p>
    <w:p w14:paraId="0B953097"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ترشيح أشخاص مؤهلين لتولي مناصب تنفيذية عليا حسب متطلبات المجلس وتوصياته.</w:t>
      </w:r>
    </w:p>
    <w:p w14:paraId="7575CAEC"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إعداد سياسة العلاوات والبدلات وسياسات حوافز للإدارة التنفيذية.</w:t>
      </w:r>
    </w:p>
    <w:p w14:paraId="42F6B72C"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 مراجعة هذه السياسات دوريًا مع مراعاة ظروف السوق وأداء الشركة.</w:t>
      </w:r>
    </w:p>
    <w:p w14:paraId="0DDDDB25" w14:textId="77777777" w:rsidR="004741BF" w:rsidRPr="00EB5BCF" w:rsidRDefault="004741BF" w:rsidP="004741BF">
      <w:pPr>
        <w:autoSpaceDE w:val="0"/>
        <w:autoSpaceDN w:val="0"/>
        <w:bidi/>
        <w:adjustRightInd w:val="0"/>
        <w:jc w:val="both"/>
        <w:rPr>
          <w:rFonts w:ascii="Traditional Arabic" w:hAnsi="Traditional Arabic" w:cs="Traditional Arabic"/>
          <w:sz w:val="30"/>
          <w:szCs w:val="30"/>
          <w:rtl/>
          <w:lang w:val="en-GB"/>
        </w:rPr>
      </w:pPr>
    </w:p>
    <w:p w14:paraId="132CCAD9" w14:textId="77777777" w:rsidR="00D81458" w:rsidRPr="00EB5BCF" w:rsidRDefault="00D81458" w:rsidP="00D81458">
      <w:pPr>
        <w:autoSpaceDE w:val="0"/>
        <w:autoSpaceDN w:val="0"/>
        <w:bidi/>
        <w:adjustRightInd w:val="0"/>
        <w:jc w:val="both"/>
        <w:rPr>
          <w:rFonts w:ascii="Traditional Arabic" w:hAnsi="Traditional Arabic" w:cs="Traditional Arabic"/>
          <w:sz w:val="30"/>
          <w:szCs w:val="30"/>
          <w:rtl/>
          <w:lang w:val="en-GB"/>
        </w:rPr>
      </w:pPr>
    </w:p>
    <w:p w14:paraId="386EA759" w14:textId="77777777" w:rsidR="004741BF" w:rsidRPr="00EB5BCF" w:rsidRDefault="004741BF" w:rsidP="004741BF">
      <w:pPr>
        <w:autoSpaceDE w:val="0"/>
        <w:autoSpaceDN w:val="0"/>
        <w:bidi/>
        <w:adjustRightInd w:val="0"/>
        <w:jc w:val="both"/>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rPr>
        <w:t>فريق الإدارة العليا</w:t>
      </w:r>
    </w:p>
    <w:p w14:paraId="0816C3DF" w14:textId="77777777" w:rsidR="004741BF" w:rsidRPr="00EB5BCF" w:rsidRDefault="004741BF" w:rsidP="00C253FF">
      <w:pPr>
        <w:autoSpaceDE w:val="0"/>
        <w:autoSpaceDN w:val="0"/>
        <w:bidi/>
        <w:adjustRightInd w:val="0"/>
        <w:jc w:val="both"/>
        <w:rPr>
          <w:rFonts w:ascii="Traditional Arabic" w:hAnsi="Traditional Arabic" w:cs="Traditional Arabic"/>
          <w:sz w:val="30"/>
          <w:szCs w:val="30"/>
          <w:rtl/>
          <w:lang w:bidi="ar-EG"/>
        </w:rPr>
      </w:pPr>
      <w:r w:rsidRPr="00EB5BCF">
        <w:rPr>
          <w:rFonts w:ascii="Traditional Arabic" w:hAnsi="Traditional Arabic" w:cs="Traditional Arabic"/>
          <w:sz w:val="30"/>
          <w:szCs w:val="30"/>
          <w:rtl/>
        </w:rPr>
        <w:t>يتألف فريق الإدارة من الموظفين المذكورين أدناه</w:t>
      </w:r>
      <w:r w:rsidR="00395DDE" w:rsidRPr="00EB5BCF">
        <w:rPr>
          <w:rFonts w:ascii="Traditional Arabic" w:hAnsi="Traditional Arabic" w:cs="Traditional Arabic"/>
          <w:sz w:val="30"/>
          <w:szCs w:val="30"/>
          <w:rtl/>
        </w:rPr>
        <w:t>:</w:t>
      </w:r>
    </w:p>
    <w:tbl>
      <w:tblPr>
        <w:tblStyle w:val="TableGrid"/>
        <w:bidiVisual/>
        <w:tblW w:w="0" w:type="auto"/>
        <w:tblLook w:val="04A0" w:firstRow="1" w:lastRow="0" w:firstColumn="1" w:lastColumn="0" w:noHBand="0" w:noVBand="1"/>
      </w:tblPr>
      <w:tblGrid>
        <w:gridCol w:w="4675"/>
        <w:gridCol w:w="4675"/>
      </w:tblGrid>
      <w:tr w:rsidR="006D15B9" w:rsidRPr="00EB5BCF" w14:paraId="0D68748D" w14:textId="77777777" w:rsidTr="006D15B9">
        <w:tc>
          <w:tcPr>
            <w:tcW w:w="4675" w:type="dxa"/>
          </w:tcPr>
          <w:p w14:paraId="6C6500E0" w14:textId="77777777" w:rsidR="006D15B9" w:rsidRPr="00B40FD7" w:rsidRDefault="006D15B9" w:rsidP="006D15B9">
            <w:pPr>
              <w:autoSpaceDE w:val="0"/>
              <w:autoSpaceDN w:val="0"/>
              <w:bidi/>
              <w:adjustRightInd w:val="0"/>
              <w:jc w:val="both"/>
              <w:rPr>
                <w:rFonts w:ascii="Traditional Arabic" w:hAnsi="Traditional Arabic" w:cs="Traditional Arabic"/>
                <w:b/>
                <w:bCs/>
                <w:sz w:val="30"/>
                <w:szCs w:val="30"/>
                <w:rtl/>
                <w:lang w:bidi="ar-EG"/>
              </w:rPr>
            </w:pPr>
            <w:r w:rsidRPr="00B40FD7">
              <w:rPr>
                <w:rFonts w:ascii="Traditional Arabic" w:hAnsi="Traditional Arabic" w:cs="Traditional Arabic"/>
                <w:b/>
                <w:bCs/>
                <w:sz w:val="30"/>
                <w:szCs w:val="30"/>
                <w:rtl/>
                <w:lang w:bidi="ar-EG"/>
              </w:rPr>
              <w:t>الاسم</w:t>
            </w:r>
          </w:p>
        </w:tc>
        <w:tc>
          <w:tcPr>
            <w:tcW w:w="4675" w:type="dxa"/>
          </w:tcPr>
          <w:p w14:paraId="79DF7A6C" w14:textId="77777777" w:rsidR="006D15B9" w:rsidRPr="00B40FD7" w:rsidRDefault="006D15B9" w:rsidP="006D15B9">
            <w:pPr>
              <w:autoSpaceDE w:val="0"/>
              <w:autoSpaceDN w:val="0"/>
              <w:bidi/>
              <w:adjustRightInd w:val="0"/>
              <w:jc w:val="both"/>
              <w:rPr>
                <w:rFonts w:ascii="Traditional Arabic" w:hAnsi="Traditional Arabic" w:cs="Traditional Arabic"/>
                <w:b/>
                <w:bCs/>
                <w:sz w:val="30"/>
                <w:szCs w:val="30"/>
                <w:rtl/>
                <w:lang w:bidi="ar-EG"/>
              </w:rPr>
            </w:pPr>
            <w:r w:rsidRPr="00B40FD7">
              <w:rPr>
                <w:rFonts w:ascii="Traditional Arabic" w:hAnsi="Traditional Arabic" w:cs="Traditional Arabic"/>
                <w:b/>
                <w:bCs/>
                <w:sz w:val="30"/>
                <w:szCs w:val="30"/>
                <w:rtl/>
                <w:lang w:bidi="ar-EG"/>
              </w:rPr>
              <w:t>الوظيفة</w:t>
            </w:r>
          </w:p>
        </w:tc>
      </w:tr>
      <w:tr w:rsidR="006D15B9" w:rsidRPr="00EB5BCF" w14:paraId="64A7C9F3" w14:textId="77777777" w:rsidTr="006D15B9">
        <w:tc>
          <w:tcPr>
            <w:tcW w:w="4675" w:type="dxa"/>
          </w:tcPr>
          <w:p w14:paraId="7B4C0DAD" w14:textId="77777777" w:rsidR="006D15B9" w:rsidRPr="00EB5BCF" w:rsidRDefault="00F04819" w:rsidP="006D15B9">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إبراهيم النظيري</w:t>
            </w:r>
          </w:p>
        </w:tc>
        <w:tc>
          <w:tcPr>
            <w:tcW w:w="4675" w:type="dxa"/>
          </w:tcPr>
          <w:p w14:paraId="2FB5987D" w14:textId="77777777" w:rsidR="006D15B9" w:rsidRPr="00EB5BCF" w:rsidRDefault="00757F9D" w:rsidP="006D15B9">
            <w:pPr>
              <w:autoSpaceDE w:val="0"/>
              <w:autoSpaceDN w:val="0"/>
              <w:bidi/>
              <w:adjustRightInd w:val="0"/>
              <w:jc w:val="both"/>
              <w:rPr>
                <w:rFonts w:ascii="Traditional Arabic" w:hAnsi="Traditional Arabic" w:cs="Traditional Arabic"/>
                <w:sz w:val="30"/>
                <w:szCs w:val="30"/>
                <w:rtl/>
                <w:lang w:bidi="ar-EG"/>
              </w:rPr>
            </w:pPr>
            <w:r w:rsidRPr="00EB5BCF">
              <w:rPr>
                <w:rFonts w:ascii="Traditional Arabic" w:hAnsi="Traditional Arabic" w:cs="Traditional Arabic"/>
                <w:sz w:val="30"/>
                <w:szCs w:val="30"/>
                <w:rtl/>
                <w:lang w:bidi="ar-EG"/>
              </w:rPr>
              <w:t>الرئيس التنفيذي</w:t>
            </w:r>
          </w:p>
        </w:tc>
      </w:tr>
      <w:tr w:rsidR="006D15B9" w:rsidRPr="00EB5BCF" w14:paraId="007074EF" w14:textId="77777777" w:rsidTr="006D15B9">
        <w:tc>
          <w:tcPr>
            <w:tcW w:w="4675" w:type="dxa"/>
          </w:tcPr>
          <w:p w14:paraId="13FB679D" w14:textId="77777777" w:rsidR="006D15B9" w:rsidRPr="00EB5BCF" w:rsidRDefault="00F04819" w:rsidP="006D15B9">
            <w:pPr>
              <w:autoSpaceDE w:val="0"/>
              <w:autoSpaceDN w:val="0"/>
              <w:bidi/>
              <w:adjustRightInd w:val="0"/>
              <w:jc w:val="both"/>
              <w:rPr>
                <w:rFonts w:ascii="Traditional Arabic" w:hAnsi="Traditional Arabic" w:cs="Traditional Arabic"/>
                <w:sz w:val="30"/>
                <w:szCs w:val="30"/>
                <w:lang w:bidi="ar-EG"/>
              </w:rPr>
            </w:pPr>
            <w:r>
              <w:rPr>
                <w:rFonts w:ascii="Traditional Arabic" w:hAnsi="Traditional Arabic" w:cs="Traditional Arabic" w:hint="cs"/>
                <w:sz w:val="30"/>
                <w:szCs w:val="30"/>
                <w:rtl/>
                <w:lang w:bidi="ar-EG"/>
              </w:rPr>
              <w:t>عماد ال</w:t>
            </w:r>
            <w:r w:rsidR="003165DE">
              <w:rPr>
                <w:rFonts w:ascii="Traditional Arabic" w:hAnsi="Traditional Arabic" w:cs="Traditional Arabic" w:hint="cs"/>
                <w:sz w:val="30"/>
                <w:szCs w:val="30"/>
                <w:rtl/>
                <w:lang w:bidi="ar-EG"/>
              </w:rPr>
              <w:t>خضوري</w:t>
            </w:r>
          </w:p>
        </w:tc>
        <w:tc>
          <w:tcPr>
            <w:tcW w:w="4675" w:type="dxa"/>
          </w:tcPr>
          <w:p w14:paraId="2EC2C0F0" w14:textId="77777777" w:rsidR="006D15B9" w:rsidRPr="00EB5BCF" w:rsidRDefault="0082659A" w:rsidP="006D15B9">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الرئيس التنفيذي للشؤون التجارية</w:t>
            </w:r>
          </w:p>
        </w:tc>
      </w:tr>
      <w:tr w:rsidR="00003FC4" w:rsidRPr="00EB5BCF" w14:paraId="51A9183D" w14:textId="77777777" w:rsidTr="006D15B9">
        <w:tc>
          <w:tcPr>
            <w:tcW w:w="4675" w:type="dxa"/>
          </w:tcPr>
          <w:p w14:paraId="75429BB6" w14:textId="77777777" w:rsidR="00003FC4" w:rsidRPr="00EB5BCF" w:rsidRDefault="00003FC4" w:rsidP="00003FC4">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فرانك قيصر</w:t>
            </w:r>
          </w:p>
        </w:tc>
        <w:tc>
          <w:tcPr>
            <w:tcW w:w="4675" w:type="dxa"/>
          </w:tcPr>
          <w:p w14:paraId="175C7960" w14:textId="77777777" w:rsidR="00003FC4" w:rsidRPr="00EB5BCF" w:rsidRDefault="00003FC4" w:rsidP="00003FC4">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الرئيس التنفيذي للعمليات</w:t>
            </w:r>
          </w:p>
        </w:tc>
      </w:tr>
      <w:tr w:rsidR="00FA5838" w:rsidRPr="00EB5BCF" w14:paraId="49CCA73C" w14:textId="77777777" w:rsidTr="006D15B9">
        <w:tc>
          <w:tcPr>
            <w:tcW w:w="4675" w:type="dxa"/>
          </w:tcPr>
          <w:p w14:paraId="5F13B71F" w14:textId="77777777" w:rsidR="00FA5838" w:rsidRPr="00EB5BCF" w:rsidRDefault="00FA5838" w:rsidP="00FA5838">
            <w:pPr>
              <w:autoSpaceDE w:val="0"/>
              <w:autoSpaceDN w:val="0"/>
              <w:bidi/>
              <w:adjustRightInd w:val="0"/>
              <w:jc w:val="both"/>
              <w:rPr>
                <w:rFonts w:ascii="Traditional Arabic" w:hAnsi="Traditional Arabic" w:cs="Traditional Arabic"/>
                <w:sz w:val="30"/>
                <w:szCs w:val="30"/>
                <w:lang w:bidi="ar-EG"/>
              </w:rPr>
            </w:pPr>
            <w:r>
              <w:rPr>
                <w:rFonts w:ascii="Traditional Arabic" w:hAnsi="Traditional Arabic" w:cs="Traditional Arabic" w:hint="cs"/>
                <w:sz w:val="30"/>
                <w:szCs w:val="30"/>
                <w:rtl/>
                <w:lang w:bidi="ar-EG"/>
              </w:rPr>
              <w:t>أحمد الشكيلي</w:t>
            </w:r>
          </w:p>
        </w:tc>
        <w:tc>
          <w:tcPr>
            <w:tcW w:w="4675" w:type="dxa"/>
          </w:tcPr>
          <w:p w14:paraId="12650DBC" w14:textId="77777777" w:rsidR="00FA5838" w:rsidRPr="00EB5BCF" w:rsidRDefault="00FA5838" w:rsidP="00FA5838">
            <w:pPr>
              <w:autoSpaceDE w:val="0"/>
              <w:autoSpaceDN w:val="0"/>
              <w:bidi/>
              <w:adjustRightInd w:val="0"/>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نائب الرئيس التنفيذي للشؤون المالية</w:t>
            </w:r>
          </w:p>
        </w:tc>
      </w:tr>
    </w:tbl>
    <w:p w14:paraId="4B387CA4" w14:textId="77777777" w:rsidR="006D15B9" w:rsidRPr="00EB5BCF" w:rsidRDefault="006D15B9" w:rsidP="006D15B9">
      <w:pPr>
        <w:autoSpaceDE w:val="0"/>
        <w:autoSpaceDN w:val="0"/>
        <w:bidi/>
        <w:adjustRightInd w:val="0"/>
        <w:jc w:val="both"/>
        <w:rPr>
          <w:rFonts w:ascii="Traditional Arabic" w:hAnsi="Traditional Arabic" w:cs="Traditional Arabic"/>
          <w:sz w:val="30"/>
          <w:szCs w:val="30"/>
          <w:rtl/>
          <w:lang w:bidi="ar-EG"/>
        </w:rPr>
      </w:pPr>
    </w:p>
    <w:p w14:paraId="5112833B" w14:textId="77777777" w:rsidR="00AE0105" w:rsidRPr="00EB5BCF" w:rsidRDefault="00AE0105" w:rsidP="00AE0105">
      <w:pPr>
        <w:autoSpaceDE w:val="0"/>
        <w:autoSpaceDN w:val="0"/>
        <w:bidi/>
        <w:adjustRightInd w:val="0"/>
        <w:jc w:val="both"/>
        <w:rPr>
          <w:rFonts w:ascii="Traditional Arabic" w:hAnsi="Traditional Arabic" w:cs="Traditional Arabic"/>
          <w:sz w:val="30"/>
          <w:szCs w:val="30"/>
          <w:rtl/>
          <w:lang w:bidi="ar-EG"/>
        </w:rPr>
      </w:pPr>
      <w:r w:rsidRPr="00EB5BCF">
        <w:rPr>
          <w:rFonts w:ascii="Traditional Arabic" w:hAnsi="Traditional Arabic" w:cs="Traditional Arabic"/>
          <w:sz w:val="30"/>
          <w:szCs w:val="30"/>
          <w:rtl/>
          <w:lang w:bidi="ar-EG"/>
        </w:rPr>
        <w:t>نُبذة عن فريق الإدارة العليا</w:t>
      </w:r>
    </w:p>
    <w:p w14:paraId="4E415E9A" w14:textId="77777777" w:rsidR="00EA41DB" w:rsidRPr="00985281" w:rsidRDefault="00EA41DB" w:rsidP="00985281">
      <w:pPr>
        <w:autoSpaceDE w:val="0"/>
        <w:autoSpaceDN w:val="0"/>
        <w:bidi/>
        <w:adjustRightInd w:val="0"/>
        <w:jc w:val="both"/>
        <w:rPr>
          <w:rFonts w:ascii="Traditional Arabic" w:hAnsi="Traditional Arabic" w:cs="Traditional Arabic"/>
          <w:bCs/>
          <w:sz w:val="30"/>
          <w:szCs w:val="30"/>
          <w:rtl/>
          <w:lang w:bidi="ar-EG"/>
        </w:rPr>
      </w:pPr>
      <w:r w:rsidRPr="00985281">
        <w:rPr>
          <w:rFonts w:ascii="Traditional Arabic" w:hAnsi="Traditional Arabic" w:cs="Traditional Arabic"/>
          <w:bCs/>
          <w:sz w:val="30"/>
          <w:szCs w:val="30"/>
          <w:rtl/>
          <w:lang w:bidi="ar-EG"/>
        </w:rPr>
        <w:t>إبراهيم النظيري (الرئيس التنفيذي)</w:t>
      </w:r>
    </w:p>
    <w:p w14:paraId="3CD71090" w14:textId="77777777" w:rsidR="00EA41DB" w:rsidRPr="00EA41DB" w:rsidRDefault="00EA41DB" w:rsidP="00985281">
      <w:pPr>
        <w:autoSpaceDE w:val="0"/>
        <w:autoSpaceDN w:val="0"/>
        <w:bidi/>
        <w:adjustRightInd w:val="0"/>
        <w:jc w:val="both"/>
        <w:rPr>
          <w:rFonts w:ascii="Traditional Arabic" w:hAnsi="Traditional Arabic" w:cs="Traditional Arabic"/>
          <w:b/>
          <w:sz w:val="30"/>
          <w:szCs w:val="30"/>
          <w:rtl/>
          <w:lang w:bidi="ar-EG"/>
        </w:rPr>
      </w:pPr>
      <w:r w:rsidRPr="00EA41DB">
        <w:rPr>
          <w:rFonts w:ascii="Traditional Arabic" w:hAnsi="Traditional Arabic" w:cs="Traditional Arabic"/>
          <w:b/>
          <w:sz w:val="30"/>
          <w:szCs w:val="30"/>
          <w:rtl/>
          <w:lang w:bidi="ar-EG"/>
        </w:rPr>
        <w:t xml:space="preserve">يتمتع إبراهيم بخبرة 23 عامًا في هذا المجال، بما في ذلك عمله كمهندس بحري في شركة رويال لليخوت وكمدير عمليات ومدير سفن في الشركة العمانية لإدارة السفن. ومنذ عام 2020، شغل إبراهيم منصب الرئيس التنفيذي للشركة وشركة أسياد للحوض الجاف. </w:t>
      </w:r>
      <w:r w:rsidR="00566622" w:rsidRPr="00566622">
        <w:rPr>
          <w:rFonts w:ascii="Traditional Arabic" w:hAnsi="Traditional Arabic" w:cs="Traditional Arabic"/>
          <w:b/>
          <w:sz w:val="30"/>
          <w:szCs w:val="30"/>
          <w:rtl/>
          <w:lang w:bidi="ar-EG"/>
        </w:rPr>
        <w:t>وهو رئيس مجلس إدارة شركة ميناء الدقم وعضو مجلس إدارة نادي يو كيه بي آند أي، ونادي الدفاع في المملكة المتحدة، وهما ناديان للتأمين البحري على المسؤولية المتبادلة.</w:t>
      </w:r>
    </w:p>
    <w:p w14:paraId="21A33D41" w14:textId="77777777" w:rsidR="00EA41DB" w:rsidRDefault="00EA41DB" w:rsidP="00EA41DB">
      <w:pPr>
        <w:autoSpaceDE w:val="0"/>
        <w:autoSpaceDN w:val="0"/>
        <w:bidi/>
        <w:adjustRightInd w:val="0"/>
        <w:jc w:val="both"/>
        <w:rPr>
          <w:rFonts w:ascii="Traditional Arabic" w:hAnsi="Traditional Arabic" w:cs="Traditional Arabic"/>
          <w:b/>
          <w:sz w:val="30"/>
          <w:szCs w:val="30"/>
          <w:rtl/>
          <w:lang w:bidi="ar-EG"/>
        </w:rPr>
      </w:pPr>
    </w:p>
    <w:p w14:paraId="0E71B165" w14:textId="77777777" w:rsidR="00EA41DB" w:rsidRPr="00EA41DB" w:rsidRDefault="00EA41DB" w:rsidP="00985281">
      <w:pPr>
        <w:autoSpaceDE w:val="0"/>
        <w:autoSpaceDN w:val="0"/>
        <w:bidi/>
        <w:adjustRightInd w:val="0"/>
        <w:jc w:val="both"/>
        <w:rPr>
          <w:rFonts w:ascii="Traditional Arabic" w:hAnsi="Traditional Arabic" w:cs="Traditional Arabic"/>
          <w:b/>
          <w:sz w:val="30"/>
          <w:szCs w:val="30"/>
          <w:rtl/>
          <w:lang w:bidi="ar-EG"/>
        </w:rPr>
      </w:pPr>
      <w:r w:rsidRPr="00EA41DB">
        <w:rPr>
          <w:rFonts w:ascii="Traditional Arabic" w:hAnsi="Traditional Arabic" w:cs="Traditional Arabic"/>
          <w:b/>
          <w:sz w:val="30"/>
          <w:szCs w:val="30"/>
          <w:rtl/>
          <w:lang w:bidi="ar-EG"/>
        </w:rPr>
        <w:t>حصل إبراهيم على الدبلوم الوطني العالي في الهندسة البحرية من كلية جنوب تينيسايد (المملكة المتحدة)، وماجستير في إدارة الأعمال من جامعة برادفورد (المملكة المتحدة)، ودرجة الدكتوراه في الاستراتيجيات واللوجستيات من جامعة بيناري (ماليزيا). كما أنه حاصل على شهادة كبير المهندسين، وشهادة المعايير الدولية للتدريب والشهادات والنوبات للبحارة من الفئة الأولى للهندسة البحرية من الوكالة البحرية وخفر السواحل (المملكة المتحدة)</w:t>
      </w:r>
      <w:r w:rsidRPr="00EA41DB">
        <w:rPr>
          <w:rFonts w:ascii="Traditional Arabic" w:hAnsi="Traditional Arabic" w:cs="Traditional Arabic"/>
          <w:b/>
          <w:sz w:val="30"/>
          <w:szCs w:val="30"/>
          <w:lang w:bidi="ar-EG"/>
        </w:rPr>
        <w:t>.</w:t>
      </w:r>
    </w:p>
    <w:p w14:paraId="3AAF2DCF" w14:textId="77777777" w:rsidR="00EA41DB" w:rsidRDefault="00EA41DB" w:rsidP="00EA41DB">
      <w:pPr>
        <w:autoSpaceDE w:val="0"/>
        <w:autoSpaceDN w:val="0"/>
        <w:bidi/>
        <w:adjustRightInd w:val="0"/>
        <w:jc w:val="both"/>
        <w:rPr>
          <w:rFonts w:ascii="Traditional Arabic" w:hAnsi="Traditional Arabic" w:cs="Traditional Arabic"/>
          <w:b/>
          <w:sz w:val="30"/>
          <w:szCs w:val="30"/>
          <w:rtl/>
          <w:lang w:bidi="ar-EG"/>
        </w:rPr>
      </w:pPr>
    </w:p>
    <w:p w14:paraId="6D7D27ED" w14:textId="77777777" w:rsidR="00EA41DB" w:rsidRPr="00985281" w:rsidRDefault="00EA41DB" w:rsidP="00985281">
      <w:pPr>
        <w:autoSpaceDE w:val="0"/>
        <w:autoSpaceDN w:val="0"/>
        <w:bidi/>
        <w:adjustRightInd w:val="0"/>
        <w:jc w:val="both"/>
        <w:rPr>
          <w:rFonts w:ascii="Traditional Arabic" w:hAnsi="Traditional Arabic" w:cs="Traditional Arabic"/>
          <w:bCs/>
          <w:sz w:val="30"/>
          <w:szCs w:val="30"/>
          <w:rtl/>
          <w:lang w:bidi="ar-EG"/>
        </w:rPr>
      </w:pPr>
      <w:r w:rsidRPr="00985281">
        <w:rPr>
          <w:rFonts w:ascii="Traditional Arabic" w:hAnsi="Traditional Arabic" w:cs="Traditional Arabic"/>
          <w:bCs/>
          <w:sz w:val="30"/>
          <w:szCs w:val="30"/>
          <w:rtl/>
          <w:lang w:bidi="ar-EG"/>
        </w:rPr>
        <w:t xml:space="preserve">عماد </w:t>
      </w:r>
      <w:r w:rsidRPr="00FF6051">
        <w:rPr>
          <w:rFonts w:ascii="Traditional Arabic" w:hAnsi="Traditional Arabic" w:cs="Traditional Arabic"/>
          <w:bCs/>
          <w:sz w:val="30"/>
          <w:szCs w:val="30"/>
          <w:rtl/>
          <w:lang w:bidi="ar-EG"/>
        </w:rPr>
        <w:t>الخضري (</w:t>
      </w:r>
      <w:r w:rsidR="00BA2E3B" w:rsidRPr="00272B36">
        <w:rPr>
          <w:rFonts w:ascii="Traditional Arabic" w:hAnsi="Traditional Arabic" w:cs="Traditional Arabic" w:hint="cs"/>
          <w:bCs/>
          <w:sz w:val="30"/>
          <w:szCs w:val="30"/>
          <w:rtl/>
          <w:lang w:bidi="ar-EG"/>
        </w:rPr>
        <w:t>الرئيس التنفيذي للشؤون التجارية</w:t>
      </w:r>
      <w:r w:rsidRPr="00FF6051">
        <w:rPr>
          <w:rFonts w:ascii="Traditional Arabic" w:hAnsi="Traditional Arabic" w:cs="Traditional Arabic"/>
          <w:bCs/>
          <w:sz w:val="30"/>
          <w:szCs w:val="30"/>
          <w:rtl/>
          <w:lang w:bidi="ar-EG"/>
        </w:rPr>
        <w:t>)</w:t>
      </w:r>
    </w:p>
    <w:p w14:paraId="7571A51B" w14:textId="77777777" w:rsidR="00EA41DB" w:rsidRPr="00EA41DB" w:rsidRDefault="00EA41DB" w:rsidP="00985281">
      <w:pPr>
        <w:autoSpaceDE w:val="0"/>
        <w:autoSpaceDN w:val="0"/>
        <w:bidi/>
        <w:adjustRightInd w:val="0"/>
        <w:jc w:val="both"/>
        <w:rPr>
          <w:rFonts w:ascii="Traditional Arabic" w:hAnsi="Traditional Arabic" w:cs="Traditional Arabic"/>
          <w:b/>
          <w:sz w:val="30"/>
          <w:szCs w:val="30"/>
          <w:rtl/>
          <w:lang w:bidi="ar-EG"/>
        </w:rPr>
      </w:pPr>
      <w:r w:rsidRPr="00EA41DB">
        <w:rPr>
          <w:rFonts w:ascii="Traditional Arabic" w:hAnsi="Traditional Arabic" w:cs="Traditional Arabic"/>
          <w:b/>
          <w:sz w:val="30"/>
          <w:szCs w:val="30"/>
          <w:rtl/>
          <w:lang w:bidi="ar-EG"/>
        </w:rPr>
        <w:t>يتمتع عماد الخضري بأكثر من 23 عامًا من الخبرة في قطاعات النقل البحري واللوجستيات والطاقة، حيث قضى 14 عامًا منها في الشركة. ويعمل في مجالس إدارة موانئ هتشيسون صحار وشركة مسندم العالمية للاستثمار</w:t>
      </w:r>
      <w:r w:rsidRPr="00EA41DB">
        <w:rPr>
          <w:rFonts w:ascii="Traditional Arabic" w:hAnsi="Traditional Arabic" w:cs="Traditional Arabic"/>
          <w:b/>
          <w:sz w:val="30"/>
          <w:szCs w:val="30"/>
          <w:lang w:bidi="ar-EG"/>
        </w:rPr>
        <w:t>.</w:t>
      </w:r>
    </w:p>
    <w:p w14:paraId="23D8004F" w14:textId="77777777" w:rsidR="00EA41DB" w:rsidRDefault="00EA41DB" w:rsidP="00EA41DB">
      <w:pPr>
        <w:autoSpaceDE w:val="0"/>
        <w:autoSpaceDN w:val="0"/>
        <w:bidi/>
        <w:adjustRightInd w:val="0"/>
        <w:jc w:val="both"/>
        <w:rPr>
          <w:rFonts w:ascii="Traditional Arabic" w:hAnsi="Traditional Arabic" w:cs="Traditional Arabic"/>
          <w:b/>
          <w:sz w:val="30"/>
          <w:szCs w:val="30"/>
          <w:rtl/>
          <w:lang w:bidi="ar-EG"/>
        </w:rPr>
      </w:pPr>
    </w:p>
    <w:p w14:paraId="3090A826" w14:textId="77777777" w:rsidR="00EA41DB" w:rsidRPr="00EA41DB" w:rsidRDefault="00EA41DB" w:rsidP="00985281">
      <w:pPr>
        <w:autoSpaceDE w:val="0"/>
        <w:autoSpaceDN w:val="0"/>
        <w:bidi/>
        <w:adjustRightInd w:val="0"/>
        <w:jc w:val="both"/>
        <w:rPr>
          <w:rFonts w:ascii="Traditional Arabic" w:hAnsi="Traditional Arabic" w:cs="Traditional Arabic"/>
          <w:b/>
          <w:sz w:val="30"/>
          <w:szCs w:val="30"/>
          <w:rtl/>
          <w:lang w:bidi="ar-EG"/>
        </w:rPr>
      </w:pPr>
      <w:r w:rsidRPr="00EA41DB">
        <w:rPr>
          <w:rFonts w:ascii="Traditional Arabic" w:hAnsi="Traditional Arabic" w:cs="Traditional Arabic"/>
          <w:b/>
          <w:sz w:val="30"/>
          <w:szCs w:val="30"/>
          <w:rtl/>
          <w:lang w:bidi="ar-EG"/>
        </w:rPr>
        <w:t>حصل عماد على درجة البكالوريوس في علوم القرار ونظم المعلومات الإدارية من جامعة جورج ماسون (الولايات المتحدة الأمريكية)، ودرجة الماجستير في إدارة الأعمال من جامعة ستراثكلايد (المملكة المتحدة)، وأكمل برنامج الرئيس التنفيذي الوطني مع المعهد الدولي للتنمية الإدارية</w:t>
      </w:r>
      <w:r w:rsidRPr="00EA41DB">
        <w:rPr>
          <w:rFonts w:ascii="Traditional Arabic" w:hAnsi="Traditional Arabic" w:cs="Traditional Arabic"/>
          <w:b/>
          <w:sz w:val="30"/>
          <w:szCs w:val="30"/>
          <w:lang w:bidi="ar-EG"/>
        </w:rPr>
        <w:t xml:space="preserve"> (IMD). </w:t>
      </w:r>
    </w:p>
    <w:p w14:paraId="388F7E4A" w14:textId="77777777" w:rsidR="00EA41DB" w:rsidRDefault="00EA41DB" w:rsidP="00EA41DB">
      <w:pPr>
        <w:autoSpaceDE w:val="0"/>
        <w:autoSpaceDN w:val="0"/>
        <w:bidi/>
        <w:adjustRightInd w:val="0"/>
        <w:jc w:val="both"/>
        <w:rPr>
          <w:rFonts w:ascii="Traditional Arabic" w:hAnsi="Traditional Arabic" w:cs="Traditional Arabic"/>
          <w:b/>
          <w:sz w:val="30"/>
          <w:szCs w:val="30"/>
          <w:rtl/>
          <w:lang w:bidi="ar-EG"/>
        </w:rPr>
      </w:pPr>
    </w:p>
    <w:p w14:paraId="73ECB778" w14:textId="77777777" w:rsidR="00EA41DB" w:rsidRPr="00985281" w:rsidRDefault="00EA41DB" w:rsidP="00985281">
      <w:pPr>
        <w:autoSpaceDE w:val="0"/>
        <w:autoSpaceDN w:val="0"/>
        <w:bidi/>
        <w:adjustRightInd w:val="0"/>
        <w:jc w:val="both"/>
        <w:rPr>
          <w:rFonts w:ascii="Traditional Arabic" w:hAnsi="Traditional Arabic" w:cs="Traditional Arabic"/>
          <w:bCs/>
          <w:sz w:val="30"/>
          <w:szCs w:val="30"/>
          <w:rtl/>
          <w:lang w:bidi="ar-EG"/>
        </w:rPr>
      </w:pPr>
      <w:r w:rsidRPr="00985281">
        <w:rPr>
          <w:rFonts w:ascii="Traditional Arabic" w:hAnsi="Traditional Arabic" w:cs="Traditional Arabic"/>
          <w:bCs/>
          <w:sz w:val="30"/>
          <w:szCs w:val="30"/>
          <w:rtl/>
          <w:lang w:bidi="ar-EG"/>
        </w:rPr>
        <w:t>فرانك قيصر (</w:t>
      </w:r>
      <w:r w:rsidR="00FF6051">
        <w:rPr>
          <w:rFonts w:ascii="Traditional Arabic" w:hAnsi="Traditional Arabic" w:cs="Traditional Arabic" w:hint="cs"/>
          <w:bCs/>
          <w:sz w:val="30"/>
          <w:szCs w:val="30"/>
          <w:rtl/>
        </w:rPr>
        <w:t>الرئيس التنفيذي للعمليات</w:t>
      </w:r>
      <w:r w:rsidR="00FF6051" w:rsidRPr="00985281" w:rsidDel="00FF6051">
        <w:rPr>
          <w:rFonts w:ascii="Traditional Arabic" w:hAnsi="Traditional Arabic" w:cs="Traditional Arabic"/>
          <w:bCs/>
          <w:sz w:val="30"/>
          <w:szCs w:val="30"/>
          <w:rtl/>
          <w:lang w:bidi="ar-EG"/>
        </w:rPr>
        <w:t xml:space="preserve"> </w:t>
      </w:r>
      <w:r w:rsidRPr="00985281">
        <w:rPr>
          <w:rFonts w:ascii="Traditional Arabic" w:hAnsi="Traditional Arabic" w:cs="Traditional Arabic"/>
          <w:bCs/>
          <w:sz w:val="30"/>
          <w:szCs w:val="30"/>
          <w:rtl/>
          <w:lang w:bidi="ar-EG"/>
        </w:rPr>
        <w:t>)</w:t>
      </w:r>
    </w:p>
    <w:p w14:paraId="5B476796" w14:textId="77777777" w:rsidR="00EA41DB" w:rsidRPr="00EA41DB" w:rsidRDefault="00EA41DB" w:rsidP="00985281">
      <w:pPr>
        <w:autoSpaceDE w:val="0"/>
        <w:autoSpaceDN w:val="0"/>
        <w:bidi/>
        <w:adjustRightInd w:val="0"/>
        <w:jc w:val="both"/>
        <w:rPr>
          <w:rFonts w:ascii="Traditional Arabic" w:hAnsi="Traditional Arabic" w:cs="Traditional Arabic"/>
          <w:b/>
          <w:sz w:val="30"/>
          <w:szCs w:val="30"/>
          <w:rtl/>
          <w:lang w:bidi="ar-EG"/>
        </w:rPr>
      </w:pPr>
      <w:r w:rsidRPr="00EA41DB">
        <w:rPr>
          <w:rFonts w:ascii="Traditional Arabic" w:hAnsi="Traditional Arabic" w:cs="Traditional Arabic"/>
          <w:b/>
          <w:sz w:val="30"/>
          <w:szCs w:val="30"/>
          <w:rtl/>
          <w:lang w:bidi="ar-EG"/>
        </w:rPr>
        <w:t xml:space="preserve">عمل فرانك في القطاع البحري منذ عام 1982 ولديه خبرة في الملاحة البحرية والعمليات البحرية وعمليات الموانئ والمحطات والسكك الحديدية والإدارة الفنية للسفن وإدارة المشاريع والاستثمارات في الأصول. ويشغل حاليا منصب الرئيس التنفيذي للعمليات في الشركة العمانية لإدارة السفن، وشغل سابقًا منصب الرئيس التنفيذي لإدارة السفن في مجموعة </w:t>
      </w:r>
      <w:r w:rsidR="0029724F">
        <w:rPr>
          <w:rFonts w:ascii="Traditional Arabic" w:hAnsi="Traditional Arabic" w:cs="Traditional Arabic" w:hint="cs"/>
          <w:b/>
          <w:sz w:val="30"/>
          <w:szCs w:val="30"/>
          <w:rtl/>
          <w:lang w:bidi="ar-EG"/>
        </w:rPr>
        <w:t>ف</w:t>
      </w:r>
      <w:r w:rsidRPr="00EA41DB">
        <w:rPr>
          <w:rFonts w:ascii="Traditional Arabic" w:hAnsi="Traditional Arabic" w:cs="Traditional Arabic"/>
          <w:b/>
          <w:sz w:val="30"/>
          <w:szCs w:val="30"/>
          <w:rtl/>
          <w:lang w:bidi="ar-EG"/>
        </w:rPr>
        <w:t>ي جروب. كما شغل عضوية مجالس إدارات شركة إدارة الناقلات الدولية، وشركة اتش شولدت شيببروكرز، وترأس مجلس إدارة شركة دانيا شيب مانجمنت. كما أنه قبطان بحري</w:t>
      </w:r>
      <w:r w:rsidRPr="00EA41DB">
        <w:rPr>
          <w:rFonts w:ascii="Traditional Arabic" w:hAnsi="Traditional Arabic" w:cs="Traditional Arabic"/>
          <w:b/>
          <w:sz w:val="30"/>
          <w:szCs w:val="30"/>
          <w:lang w:bidi="ar-EG"/>
        </w:rPr>
        <w:t>.</w:t>
      </w:r>
    </w:p>
    <w:p w14:paraId="5D5DBC08" w14:textId="77777777" w:rsidR="00EA41DB" w:rsidRDefault="00EA41DB" w:rsidP="00EA41DB">
      <w:pPr>
        <w:autoSpaceDE w:val="0"/>
        <w:autoSpaceDN w:val="0"/>
        <w:bidi/>
        <w:adjustRightInd w:val="0"/>
        <w:jc w:val="both"/>
        <w:rPr>
          <w:rFonts w:ascii="Traditional Arabic" w:hAnsi="Traditional Arabic" w:cs="Traditional Arabic"/>
          <w:b/>
          <w:sz w:val="30"/>
          <w:szCs w:val="30"/>
          <w:rtl/>
          <w:lang w:bidi="ar-EG"/>
        </w:rPr>
      </w:pPr>
    </w:p>
    <w:p w14:paraId="7003773D" w14:textId="77777777" w:rsidR="00EA41DB" w:rsidRPr="00EA41DB" w:rsidRDefault="00EA41DB" w:rsidP="00985281">
      <w:pPr>
        <w:autoSpaceDE w:val="0"/>
        <w:autoSpaceDN w:val="0"/>
        <w:bidi/>
        <w:adjustRightInd w:val="0"/>
        <w:jc w:val="both"/>
        <w:rPr>
          <w:rFonts w:ascii="Traditional Arabic" w:hAnsi="Traditional Arabic" w:cs="Traditional Arabic"/>
          <w:b/>
          <w:sz w:val="30"/>
          <w:szCs w:val="30"/>
          <w:rtl/>
          <w:lang w:bidi="ar-EG"/>
        </w:rPr>
      </w:pPr>
      <w:r w:rsidRPr="00EA41DB">
        <w:rPr>
          <w:rFonts w:ascii="Traditional Arabic" w:hAnsi="Traditional Arabic" w:cs="Traditional Arabic"/>
          <w:b/>
          <w:sz w:val="30"/>
          <w:szCs w:val="30"/>
          <w:rtl/>
          <w:lang w:bidi="ar-EG"/>
        </w:rPr>
        <w:t>وقد حصل فرانك على درجة البكالوريوس من أكاديمية كوبنهاغن البحرية (الدنمارك)، وأكمل برنامج المديرين الشباب في إنسياد (فرنسا) وبرنامج التعليم الإداري المتقدم في جامعة ديوك (الولايات المتحدة الأمريكية)</w:t>
      </w:r>
      <w:r w:rsidRPr="00EA41DB">
        <w:rPr>
          <w:rFonts w:ascii="Traditional Arabic" w:hAnsi="Traditional Arabic" w:cs="Traditional Arabic"/>
          <w:b/>
          <w:sz w:val="30"/>
          <w:szCs w:val="30"/>
          <w:lang w:bidi="ar-EG"/>
        </w:rPr>
        <w:t>.</w:t>
      </w:r>
    </w:p>
    <w:p w14:paraId="5002546C" w14:textId="77777777" w:rsidR="00EA41DB" w:rsidRDefault="00EA41DB" w:rsidP="00EA41DB">
      <w:pPr>
        <w:autoSpaceDE w:val="0"/>
        <w:autoSpaceDN w:val="0"/>
        <w:bidi/>
        <w:adjustRightInd w:val="0"/>
        <w:jc w:val="both"/>
        <w:rPr>
          <w:rFonts w:ascii="Traditional Arabic" w:hAnsi="Traditional Arabic" w:cs="Traditional Arabic"/>
          <w:b/>
          <w:sz w:val="30"/>
          <w:szCs w:val="30"/>
          <w:rtl/>
          <w:lang w:bidi="ar-EG"/>
        </w:rPr>
      </w:pPr>
    </w:p>
    <w:p w14:paraId="046D976B" w14:textId="77777777" w:rsidR="00EA41DB" w:rsidRPr="00985281" w:rsidRDefault="00EA41DB" w:rsidP="00985281">
      <w:pPr>
        <w:autoSpaceDE w:val="0"/>
        <w:autoSpaceDN w:val="0"/>
        <w:bidi/>
        <w:adjustRightInd w:val="0"/>
        <w:jc w:val="both"/>
        <w:rPr>
          <w:rFonts w:ascii="Traditional Arabic" w:hAnsi="Traditional Arabic" w:cs="Traditional Arabic"/>
          <w:bCs/>
          <w:sz w:val="30"/>
          <w:szCs w:val="30"/>
          <w:rtl/>
          <w:lang w:bidi="ar-EG"/>
        </w:rPr>
      </w:pPr>
      <w:r w:rsidRPr="00985281">
        <w:rPr>
          <w:rFonts w:ascii="Traditional Arabic" w:hAnsi="Traditional Arabic" w:cs="Traditional Arabic"/>
          <w:bCs/>
          <w:sz w:val="30"/>
          <w:szCs w:val="30"/>
          <w:rtl/>
          <w:lang w:bidi="ar-EG"/>
        </w:rPr>
        <w:t>أحمد الشكيلي (</w:t>
      </w:r>
      <w:r w:rsidR="00325789">
        <w:rPr>
          <w:rFonts w:ascii="Traditional Arabic" w:hAnsi="Traditional Arabic" w:cs="Traditional Arabic" w:hint="cs"/>
          <w:bCs/>
          <w:sz w:val="30"/>
          <w:szCs w:val="30"/>
          <w:rtl/>
        </w:rPr>
        <w:t>نائب الرئيس التنفيذي للشؤون المالية</w:t>
      </w:r>
      <w:r w:rsidR="00325789" w:rsidRPr="00985281" w:rsidDel="00325789">
        <w:rPr>
          <w:rFonts w:ascii="Traditional Arabic" w:hAnsi="Traditional Arabic" w:cs="Traditional Arabic"/>
          <w:bCs/>
          <w:sz w:val="30"/>
          <w:szCs w:val="30"/>
          <w:rtl/>
          <w:lang w:bidi="ar-EG"/>
        </w:rPr>
        <w:t xml:space="preserve"> </w:t>
      </w:r>
      <w:r w:rsidRPr="00985281">
        <w:rPr>
          <w:rFonts w:ascii="Traditional Arabic" w:hAnsi="Traditional Arabic" w:cs="Traditional Arabic"/>
          <w:bCs/>
          <w:sz w:val="30"/>
          <w:szCs w:val="30"/>
          <w:rtl/>
          <w:lang w:bidi="ar-EG"/>
        </w:rPr>
        <w:t>)</w:t>
      </w:r>
    </w:p>
    <w:p w14:paraId="7B5691B9" w14:textId="77777777" w:rsidR="00EA41DB" w:rsidRPr="00EA41DB" w:rsidRDefault="00EA41DB" w:rsidP="00985281">
      <w:pPr>
        <w:autoSpaceDE w:val="0"/>
        <w:autoSpaceDN w:val="0"/>
        <w:bidi/>
        <w:adjustRightInd w:val="0"/>
        <w:jc w:val="both"/>
        <w:rPr>
          <w:rFonts w:ascii="Traditional Arabic" w:hAnsi="Traditional Arabic" w:cs="Traditional Arabic"/>
          <w:b/>
          <w:sz w:val="30"/>
          <w:szCs w:val="30"/>
          <w:rtl/>
          <w:lang w:bidi="ar-EG"/>
        </w:rPr>
      </w:pPr>
      <w:r w:rsidRPr="00EA41DB">
        <w:rPr>
          <w:rFonts w:ascii="Traditional Arabic" w:hAnsi="Traditional Arabic" w:cs="Traditional Arabic"/>
          <w:b/>
          <w:sz w:val="30"/>
          <w:szCs w:val="30"/>
          <w:rtl/>
          <w:lang w:bidi="ar-EG"/>
        </w:rPr>
        <w:t>يتمتع أحمد الشكيلي بخبرة مهنية تزيد على 22 عامًا وعمل في مجال النقل البحري لمدة 16 عامًا. عمل سابقًا كمدير عام للحسابات في الشركة ومدير الشؤون المالية وخدمات الشركات في شركة مسقط الوطنية للتطوير والاستثمار (أساس). شغل أحمد منصب رئيس لجنة التدقيق ونائب رئيس بريد عمان/أسياد إكسبريس</w:t>
      </w:r>
      <w:r w:rsidRPr="00EA41DB">
        <w:rPr>
          <w:rFonts w:ascii="Traditional Arabic" w:hAnsi="Traditional Arabic" w:cs="Traditional Arabic"/>
          <w:b/>
          <w:sz w:val="30"/>
          <w:szCs w:val="30"/>
          <w:lang w:bidi="ar-EG"/>
        </w:rPr>
        <w:t>.</w:t>
      </w:r>
    </w:p>
    <w:p w14:paraId="43216CB4" w14:textId="77777777" w:rsidR="00EA41DB" w:rsidRDefault="00EA41DB" w:rsidP="00EA41DB">
      <w:pPr>
        <w:autoSpaceDE w:val="0"/>
        <w:autoSpaceDN w:val="0"/>
        <w:bidi/>
        <w:adjustRightInd w:val="0"/>
        <w:jc w:val="both"/>
        <w:rPr>
          <w:rFonts w:ascii="Traditional Arabic" w:hAnsi="Traditional Arabic" w:cs="Traditional Arabic"/>
          <w:b/>
          <w:sz w:val="30"/>
          <w:szCs w:val="30"/>
          <w:rtl/>
          <w:lang w:bidi="ar-EG"/>
        </w:rPr>
      </w:pPr>
    </w:p>
    <w:p w14:paraId="74541106" w14:textId="77777777" w:rsidR="00EA41DB" w:rsidRPr="00EA41DB" w:rsidRDefault="00EA41DB" w:rsidP="00985281">
      <w:pPr>
        <w:autoSpaceDE w:val="0"/>
        <w:autoSpaceDN w:val="0"/>
        <w:bidi/>
        <w:adjustRightInd w:val="0"/>
        <w:jc w:val="both"/>
        <w:rPr>
          <w:rFonts w:ascii="Traditional Arabic" w:hAnsi="Traditional Arabic" w:cs="Traditional Arabic"/>
          <w:b/>
          <w:sz w:val="30"/>
          <w:szCs w:val="30"/>
          <w:rtl/>
          <w:lang w:bidi="ar-EG"/>
        </w:rPr>
      </w:pPr>
      <w:r w:rsidRPr="00EA41DB">
        <w:rPr>
          <w:rFonts w:ascii="Traditional Arabic" w:hAnsi="Traditional Arabic" w:cs="Traditional Arabic"/>
          <w:b/>
          <w:sz w:val="30"/>
          <w:szCs w:val="30"/>
          <w:rtl/>
          <w:lang w:bidi="ar-EG"/>
        </w:rPr>
        <w:t>حصل أحمد على بكالوريوس العلوم المالية من جامعة السلطان قابوس (سلطنة عمان)، ودرجة الماجستير في إدارة الأعمال من جامعة ستراثكلايد (المملكة المتحدة)، وأكمل برنامج المدير المالي العالمي في كلية لندن للأعمال (المملكة المتحدة). وهو أيضًا مدقق داخلي معتمد</w:t>
      </w:r>
      <w:r w:rsidRPr="00EA41DB">
        <w:rPr>
          <w:rFonts w:ascii="Traditional Arabic" w:hAnsi="Traditional Arabic" w:cs="Traditional Arabic"/>
          <w:b/>
          <w:sz w:val="30"/>
          <w:szCs w:val="30"/>
          <w:lang w:bidi="ar-EG"/>
        </w:rPr>
        <w:t xml:space="preserve"> (CIA).</w:t>
      </w:r>
    </w:p>
    <w:p w14:paraId="15B1FEBA" w14:textId="77777777" w:rsidR="0036786C" w:rsidRPr="0036786C" w:rsidRDefault="0036786C" w:rsidP="0036786C">
      <w:pPr>
        <w:autoSpaceDE w:val="0"/>
        <w:autoSpaceDN w:val="0"/>
        <w:bidi/>
        <w:adjustRightInd w:val="0"/>
        <w:jc w:val="both"/>
        <w:rPr>
          <w:rFonts w:ascii="Traditional Arabic" w:hAnsi="Traditional Arabic" w:cs="Traditional Arabic"/>
          <w:sz w:val="30"/>
          <w:szCs w:val="30"/>
          <w:lang w:bidi="ar-EG"/>
        </w:rPr>
      </w:pPr>
    </w:p>
    <w:p w14:paraId="6885E45C" w14:textId="77777777" w:rsidR="00A940D9" w:rsidRPr="0036786C" w:rsidRDefault="00A940D9" w:rsidP="00A940D9">
      <w:pPr>
        <w:autoSpaceDE w:val="0"/>
        <w:autoSpaceDN w:val="0"/>
        <w:bidi/>
        <w:adjustRightInd w:val="0"/>
        <w:jc w:val="both"/>
        <w:rPr>
          <w:rFonts w:ascii="Traditional Arabic" w:hAnsi="Traditional Arabic" w:cs="Traditional Arabic"/>
          <w:sz w:val="30"/>
          <w:szCs w:val="30"/>
          <w:rtl/>
          <w:lang w:bidi="ar-EG"/>
        </w:rPr>
      </w:pPr>
    </w:p>
    <w:p w14:paraId="73967F80" w14:textId="77777777" w:rsidR="009105A4" w:rsidRPr="00EB5BCF" w:rsidRDefault="009105A4" w:rsidP="009105A4">
      <w:pPr>
        <w:pStyle w:val="BodyText1"/>
        <w:bidi/>
        <w:spacing w:after="0"/>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lang w:val="en-GB"/>
        </w:rPr>
        <w:t>اللوائح الداخلية</w:t>
      </w:r>
    </w:p>
    <w:p w14:paraId="6FA648C9" w14:textId="77777777" w:rsidR="009105A4" w:rsidRPr="00EB5BCF" w:rsidRDefault="009105A4" w:rsidP="009105A4">
      <w:pPr>
        <w:bidi/>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وفقاً لأحكام المادة 117 من قانون الشركات التجارية</w:t>
      </w:r>
      <w:r w:rsidR="00B749CA" w:rsidRPr="00EB5BCF">
        <w:rPr>
          <w:rFonts w:ascii="Traditional Arabic" w:hAnsi="Traditional Arabic" w:cs="Traditional Arabic"/>
          <w:sz w:val="30"/>
          <w:szCs w:val="30"/>
          <w:rtl/>
        </w:rPr>
        <w:t xml:space="preserve"> فإنه</w:t>
      </w:r>
      <w:r w:rsidRPr="00EB5BCF">
        <w:rPr>
          <w:rFonts w:ascii="Traditional Arabic" w:hAnsi="Traditional Arabic" w:cs="Traditional Arabic"/>
          <w:sz w:val="30"/>
          <w:szCs w:val="30"/>
          <w:rtl/>
        </w:rPr>
        <w:t xml:space="preserve"> </w:t>
      </w:r>
      <w:r w:rsidR="00B749CA" w:rsidRPr="00EB5BCF">
        <w:rPr>
          <w:rFonts w:ascii="Traditional Arabic" w:hAnsi="Traditional Arabic" w:cs="Traditional Arabic"/>
          <w:sz w:val="30"/>
          <w:szCs w:val="30"/>
          <w:rtl/>
        </w:rPr>
        <w:t>يتعين</w:t>
      </w:r>
      <w:r w:rsidRPr="00EB5BCF">
        <w:rPr>
          <w:rFonts w:ascii="Traditional Arabic" w:hAnsi="Traditional Arabic" w:cs="Traditional Arabic"/>
          <w:sz w:val="30"/>
          <w:szCs w:val="30"/>
          <w:rtl/>
        </w:rPr>
        <w:t xml:space="preserve"> على مجلس إدارة </w:t>
      </w:r>
      <w:r w:rsidR="00B749CA" w:rsidRPr="00EB5BCF">
        <w:rPr>
          <w:rFonts w:ascii="Traditional Arabic" w:hAnsi="Traditional Arabic" w:cs="Traditional Arabic"/>
          <w:sz w:val="30"/>
          <w:szCs w:val="30"/>
          <w:rtl/>
        </w:rPr>
        <w:t>ال</w:t>
      </w:r>
      <w:r w:rsidRPr="00EB5BCF">
        <w:rPr>
          <w:rFonts w:ascii="Traditional Arabic" w:hAnsi="Traditional Arabic" w:cs="Traditional Arabic"/>
          <w:sz w:val="30"/>
          <w:szCs w:val="30"/>
          <w:rtl/>
        </w:rPr>
        <w:t xml:space="preserve">شركة وضع اللوائح الداخلية اللازمة لتنظيم </w:t>
      </w:r>
      <w:r w:rsidR="00B749CA" w:rsidRPr="00EB5BCF">
        <w:rPr>
          <w:rFonts w:ascii="Traditional Arabic" w:hAnsi="Traditional Arabic" w:cs="Traditional Arabic"/>
          <w:sz w:val="30"/>
          <w:szCs w:val="30"/>
          <w:rtl/>
        </w:rPr>
        <w:t xml:space="preserve">الشركة </w:t>
      </w:r>
      <w:r w:rsidRPr="00EB5BCF">
        <w:rPr>
          <w:rFonts w:ascii="Traditional Arabic" w:hAnsi="Traditional Arabic" w:cs="Traditional Arabic"/>
          <w:sz w:val="30"/>
          <w:szCs w:val="30"/>
          <w:rtl/>
        </w:rPr>
        <w:t xml:space="preserve">وإدارة </w:t>
      </w:r>
      <w:r w:rsidR="00B749CA" w:rsidRPr="00EB5BCF">
        <w:rPr>
          <w:rFonts w:ascii="Traditional Arabic" w:hAnsi="Traditional Arabic" w:cs="Traditional Arabic"/>
          <w:sz w:val="30"/>
          <w:szCs w:val="30"/>
          <w:rtl/>
        </w:rPr>
        <w:t xml:space="preserve">أعمالها </w:t>
      </w:r>
      <w:r w:rsidRPr="00EB5BCF">
        <w:rPr>
          <w:rFonts w:ascii="Traditional Arabic" w:hAnsi="Traditional Arabic" w:cs="Traditional Arabic"/>
          <w:sz w:val="30"/>
          <w:szCs w:val="30"/>
          <w:rtl/>
        </w:rPr>
        <w:t>وشؤون العاملين فيها</w:t>
      </w:r>
      <w:r w:rsidR="00FB7173" w:rsidRPr="00EB5BCF">
        <w:rPr>
          <w:rFonts w:ascii="Traditional Arabic" w:hAnsi="Traditional Arabic" w:cs="Traditional Arabic"/>
          <w:sz w:val="30"/>
          <w:szCs w:val="30"/>
          <w:rtl/>
        </w:rPr>
        <w:t xml:space="preserve">، على أن تقوم </w:t>
      </w:r>
      <w:r w:rsidRPr="00EB5BCF">
        <w:rPr>
          <w:rFonts w:ascii="Traditional Arabic" w:hAnsi="Traditional Arabic" w:cs="Traditional Arabic"/>
          <w:sz w:val="30"/>
          <w:szCs w:val="30"/>
          <w:rtl/>
        </w:rPr>
        <w:t xml:space="preserve">الشركة بوضع عدد من السياسات للوفاء بمتطلبات اللوائح التي أصدرتها </w:t>
      </w:r>
      <w:r w:rsidR="002D7E14">
        <w:rPr>
          <w:rFonts w:ascii="Traditional Arabic" w:hAnsi="Traditional Arabic" w:cs="Traditional Arabic"/>
          <w:sz w:val="30"/>
          <w:szCs w:val="30"/>
          <w:rtl/>
        </w:rPr>
        <w:t>هيئة الخدمات المالية</w:t>
      </w:r>
      <w:r w:rsidRPr="00EB5BCF">
        <w:rPr>
          <w:rFonts w:ascii="Traditional Arabic" w:hAnsi="Traditional Arabic" w:cs="Traditional Arabic"/>
          <w:sz w:val="30"/>
          <w:szCs w:val="30"/>
          <w:rtl/>
        </w:rPr>
        <w:t xml:space="preserve"> ذات الصلة بإدارة وحوكمة شركات المساهمة العامة</w:t>
      </w:r>
      <w:r w:rsidR="00FB7173"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وستقوم</w:t>
      </w:r>
      <w:r w:rsidR="00FB7173" w:rsidRPr="00EB5BCF">
        <w:rPr>
          <w:rFonts w:ascii="Traditional Arabic" w:hAnsi="Traditional Arabic" w:cs="Traditional Arabic"/>
          <w:sz w:val="30"/>
          <w:szCs w:val="30"/>
          <w:rtl/>
        </w:rPr>
        <w:t xml:space="preserve"> أيضا</w:t>
      </w:r>
      <w:r w:rsidRPr="00EB5BCF">
        <w:rPr>
          <w:rFonts w:ascii="Traditional Arabic" w:hAnsi="Traditional Arabic" w:cs="Traditional Arabic"/>
          <w:sz w:val="30"/>
          <w:szCs w:val="30"/>
          <w:rtl/>
        </w:rPr>
        <w:t xml:space="preserve"> بإدخال التعديلات المناسبة المطلوبة في ضوء خطتها للتحول إلى شركة مساهمة عمانية عامة</w:t>
      </w:r>
      <w:r w:rsidR="00FB7173"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w:t>
      </w:r>
      <w:r w:rsidR="004F610B" w:rsidRPr="00EB5BCF">
        <w:rPr>
          <w:rFonts w:ascii="Traditional Arabic" w:hAnsi="Traditional Arabic" w:cs="Traditional Arabic"/>
          <w:sz w:val="30"/>
          <w:szCs w:val="30"/>
          <w:rtl/>
        </w:rPr>
        <w:t>و</w:t>
      </w:r>
      <w:r w:rsidRPr="00EB5BCF">
        <w:rPr>
          <w:rFonts w:ascii="Traditional Arabic" w:hAnsi="Traditional Arabic" w:cs="Traditional Arabic"/>
          <w:sz w:val="30"/>
          <w:szCs w:val="30"/>
          <w:rtl/>
        </w:rPr>
        <w:t>سوف تغطي هذه اللوائح</w:t>
      </w:r>
      <w:r w:rsidR="00D74A43" w:rsidRPr="00EB5BCF">
        <w:rPr>
          <w:rFonts w:ascii="Traditional Arabic" w:hAnsi="Traditional Arabic" w:cs="Traditional Arabic"/>
          <w:sz w:val="30"/>
          <w:szCs w:val="30"/>
          <w:rtl/>
        </w:rPr>
        <w:t xml:space="preserve"> ما يلي</w:t>
      </w:r>
      <w:r w:rsidRPr="00EB5BCF">
        <w:rPr>
          <w:rFonts w:ascii="Traditional Arabic" w:hAnsi="Traditional Arabic" w:cs="Traditional Arabic"/>
          <w:sz w:val="30"/>
          <w:szCs w:val="30"/>
          <w:rtl/>
        </w:rPr>
        <w:t>:</w:t>
      </w:r>
    </w:p>
    <w:p w14:paraId="59432773" w14:textId="77777777" w:rsidR="009105A4" w:rsidRPr="00EB5BCF" w:rsidRDefault="009105A4" w:rsidP="009105A4">
      <w:pPr>
        <w:bidi/>
        <w:jc w:val="both"/>
        <w:rPr>
          <w:rFonts w:ascii="Traditional Arabic" w:hAnsi="Traditional Arabic" w:cs="Traditional Arabic"/>
          <w:sz w:val="30"/>
          <w:szCs w:val="30"/>
          <w:rtl/>
        </w:rPr>
      </w:pPr>
    </w:p>
    <w:p w14:paraId="004D5E4B" w14:textId="77777777" w:rsidR="009105A4" w:rsidRPr="00EB5BCF" w:rsidRDefault="009105A4" w:rsidP="00922116">
      <w:pPr>
        <w:pStyle w:val="ListParagraph"/>
        <w:numPr>
          <w:ilvl w:val="0"/>
          <w:numId w:val="17"/>
        </w:numPr>
        <w:bidi/>
        <w:ind w:left="297" w:hanging="342"/>
        <w:contextualSpacing w:val="0"/>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الهيكل التنظيمي ل</w:t>
      </w:r>
      <w:r w:rsidR="00D74A43" w:rsidRPr="00EB5BCF">
        <w:rPr>
          <w:rFonts w:ascii="Traditional Arabic" w:hAnsi="Traditional Arabic" w:cs="Traditional Arabic"/>
          <w:sz w:val="30"/>
          <w:szCs w:val="30"/>
          <w:rtl/>
          <w:lang w:val="en-GB"/>
        </w:rPr>
        <w:t>ل</w:t>
      </w:r>
      <w:r w:rsidRPr="00EB5BCF">
        <w:rPr>
          <w:rFonts w:ascii="Traditional Arabic" w:hAnsi="Traditional Arabic" w:cs="Traditional Arabic"/>
          <w:sz w:val="30"/>
          <w:szCs w:val="30"/>
          <w:rtl/>
          <w:lang w:val="en-GB"/>
        </w:rPr>
        <w:t xml:space="preserve">شركة بما في ذلك المسؤوليات المتعلقة بالوظائف المختلفة بالشركة وطريقة وإجراءات رفع التقارير. </w:t>
      </w:r>
    </w:p>
    <w:p w14:paraId="33270BDC" w14:textId="77777777" w:rsidR="009105A4" w:rsidRPr="00EB5BCF" w:rsidRDefault="009105A4" w:rsidP="00922116">
      <w:pPr>
        <w:pStyle w:val="ListParagraph"/>
        <w:numPr>
          <w:ilvl w:val="0"/>
          <w:numId w:val="17"/>
        </w:numPr>
        <w:bidi/>
        <w:ind w:left="297" w:hanging="342"/>
        <w:contextualSpacing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lastRenderedPageBreak/>
        <w:t>تحديد مدى الصلاحيات الممنوحة لكل منصب فيما يتعلق بالموافقة على المصروفات.</w:t>
      </w:r>
    </w:p>
    <w:p w14:paraId="7BFEBBA1" w14:textId="77777777" w:rsidR="009105A4" w:rsidRPr="00EB5BCF" w:rsidRDefault="009105A4" w:rsidP="00922116">
      <w:pPr>
        <w:pStyle w:val="ListParagraph"/>
        <w:numPr>
          <w:ilvl w:val="0"/>
          <w:numId w:val="17"/>
        </w:numPr>
        <w:bidi/>
        <w:ind w:left="297" w:hanging="342"/>
        <w:contextualSpacing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تحديد أتعاب حضور الجلسات والمكافآت والمزايا الأخرى المقررة لأعضاء مجلس إدارة الشركة واللجان المنبثقة عنه وكيفية حسابها.</w:t>
      </w:r>
    </w:p>
    <w:p w14:paraId="76710D5D" w14:textId="77777777" w:rsidR="009105A4" w:rsidRPr="00EB5BCF" w:rsidRDefault="009105A4" w:rsidP="00922116">
      <w:pPr>
        <w:pStyle w:val="ListParagraph"/>
        <w:numPr>
          <w:ilvl w:val="0"/>
          <w:numId w:val="17"/>
        </w:numPr>
        <w:bidi/>
        <w:ind w:left="295" w:hanging="340"/>
        <w:contextualSpacing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السياسات المتعلقة بعقود الشراء (دليل العمل والشراء) والخدمات بالشركة.</w:t>
      </w:r>
    </w:p>
    <w:p w14:paraId="6A1AAEFB" w14:textId="77777777" w:rsidR="009105A4" w:rsidRPr="00EB5BCF" w:rsidRDefault="009105A4" w:rsidP="00922116">
      <w:pPr>
        <w:pStyle w:val="ListParagraph"/>
        <w:numPr>
          <w:ilvl w:val="0"/>
          <w:numId w:val="17"/>
        </w:numPr>
        <w:bidi/>
        <w:ind w:left="295" w:hanging="340"/>
        <w:contextualSpacing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السلطات والمهام والمسؤوليات المتعلقة بالإدارة التنفيذية ومجلس إدارة الشركة.</w:t>
      </w:r>
    </w:p>
    <w:p w14:paraId="1CB7B950" w14:textId="77777777" w:rsidR="009105A4" w:rsidRPr="00EB5BCF" w:rsidRDefault="009105A4" w:rsidP="00922116">
      <w:pPr>
        <w:pStyle w:val="ListParagraph"/>
        <w:numPr>
          <w:ilvl w:val="0"/>
          <w:numId w:val="17"/>
        </w:numPr>
        <w:bidi/>
        <w:ind w:left="295" w:hanging="340"/>
        <w:contextualSpacing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السياسات المتعلقة بالموارد البشرية بما في ذلك الرواتب والتعيين والتطوير والتدريب والترقيات وإنهاء الخدمات</w:t>
      </w:r>
      <w:r w:rsidR="008830AE" w:rsidRPr="00EB5BCF">
        <w:rPr>
          <w:rFonts w:ascii="Traditional Arabic" w:hAnsi="Traditional Arabic" w:cs="Traditional Arabic"/>
          <w:sz w:val="30"/>
          <w:szCs w:val="30"/>
          <w:rtl/>
          <w:lang w:val="en-GB"/>
        </w:rPr>
        <w:t>.</w:t>
      </w:r>
    </w:p>
    <w:p w14:paraId="4F4CFBA4" w14:textId="77777777" w:rsidR="00830C8C" w:rsidRPr="00CD53BC" w:rsidRDefault="009105A4" w:rsidP="00922116">
      <w:pPr>
        <w:pStyle w:val="ListParagraph"/>
        <w:numPr>
          <w:ilvl w:val="0"/>
          <w:numId w:val="17"/>
        </w:numPr>
        <w:bidi/>
        <w:ind w:left="295" w:hanging="340"/>
        <w:contextualSpacing w:val="0"/>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السياسات الاستثمارية بالشركة.</w:t>
      </w:r>
      <w:r w:rsidR="00830C8C" w:rsidRPr="00830C8C">
        <w:rPr>
          <w:rFonts w:ascii="Sakkal Majalla" w:eastAsia="MS Mincho" w:hAnsi="Sakkal Majalla" w:cs="Sakkal Majalla"/>
          <w:sz w:val="28"/>
          <w:szCs w:val="28"/>
          <w:rtl/>
          <w:lang w:val="en-GB"/>
          <w14:ligatures w14:val="standardContextual"/>
        </w:rPr>
        <w:t xml:space="preserve"> </w:t>
      </w:r>
    </w:p>
    <w:p w14:paraId="575EAAA7" w14:textId="77777777" w:rsidR="00830C8C" w:rsidRPr="00830C8C" w:rsidRDefault="00830C8C" w:rsidP="00922116">
      <w:pPr>
        <w:pStyle w:val="ListParagraph"/>
        <w:numPr>
          <w:ilvl w:val="0"/>
          <w:numId w:val="17"/>
        </w:numPr>
        <w:bidi/>
        <w:ind w:left="295" w:hanging="340"/>
        <w:contextualSpacing w:val="0"/>
        <w:jc w:val="both"/>
        <w:rPr>
          <w:rFonts w:ascii="Traditional Arabic" w:hAnsi="Traditional Arabic" w:cs="Traditional Arabic"/>
          <w:sz w:val="30"/>
          <w:szCs w:val="30"/>
          <w:lang w:val="en-GB"/>
        </w:rPr>
      </w:pPr>
      <w:r w:rsidRPr="00830C8C">
        <w:rPr>
          <w:rFonts w:ascii="Traditional Arabic" w:hAnsi="Traditional Arabic" w:cs="Traditional Arabic"/>
          <w:sz w:val="30"/>
          <w:szCs w:val="30"/>
          <w:rtl/>
          <w:lang w:val="en-GB"/>
        </w:rPr>
        <w:t>الشروط المرجعية الخاصة ب</w:t>
      </w:r>
      <w:r w:rsidR="00C03EFB">
        <w:rPr>
          <w:rFonts w:ascii="Traditional Arabic" w:hAnsi="Traditional Arabic" w:cs="Traditional Arabic"/>
          <w:sz w:val="30"/>
          <w:szCs w:val="30"/>
          <w:rtl/>
          <w:lang w:val="en-GB"/>
        </w:rPr>
        <w:t>لجنة التدقيق والمخاطر</w:t>
      </w:r>
      <w:r>
        <w:rPr>
          <w:rFonts w:ascii="Traditional Arabic" w:hAnsi="Traditional Arabic" w:cs="Traditional Arabic" w:hint="cs"/>
          <w:sz w:val="30"/>
          <w:szCs w:val="30"/>
          <w:rtl/>
          <w:lang w:val="en-GB"/>
        </w:rPr>
        <w:t>.</w:t>
      </w:r>
    </w:p>
    <w:p w14:paraId="65C5ADF8" w14:textId="77777777" w:rsidR="00830C8C" w:rsidRPr="00830C8C" w:rsidRDefault="00830C8C" w:rsidP="00922116">
      <w:pPr>
        <w:pStyle w:val="ListParagraph"/>
        <w:numPr>
          <w:ilvl w:val="0"/>
          <w:numId w:val="17"/>
        </w:numPr>
        <w:bidi/>
        <w:ind w:left="295" w:hanging="340"/>
        <w:contextualSpacing w:val="0"/>
        <w:rPr>
          <w:rFonts w:ascii="Traditional Arabic" w:hAnsi="Traditional Arabic" w:cs="Traditional Arabic"/>
          <w:sz w:val="30"/>
          <w:szCs w:val="30"/>
          <w:lang w:val="en-GB"/>
        </w:rPr>
      </w:pPr>
      <w:r w:rsidRPr="00830C8C">
        <w:rPr>
          <w:rFonts w:ascii="Traditional Arabic" w:hAnsi="Traditional Arabic" w:cs="Traditional Arabic"/>
          <w:sz w:val="30"/>
          <w:szCs w:val="30"/>
          <w:rtl/>
          <w:lang w:val="en-GB"/>
        </w:rPr>
        <w:t>سياسة لجنة الترشيحات والمكافآت والشروط المرجعية</w:t>
      </w:r>
      <w:r>
        <w:rPr>
          <w:rFonts w:ascii="Traditional Arabic" w:hAnsi="Traditional Arabic" w:cs="Traditional Arabic" w:hint="cs"/>
          <w:sz w:val="30"/>
          <w:szCs w:val="30"/>
          <w:rtl/>
          <w:lang w:val="en-GB"/>
        </w:rPr>
        <w:t>.</w:t>
      </w:r>
    </w:p>
    <w:p w14:paraId="6BAFF31C" w14:textId="77777777" w:rsidR="00830C8C" w:rsidRPr="00CD53BC" w:rsidRDefault="00830C8C" w:rsidP="00985281">
      <w:pPr>
        <w:bidi/>
        <w:jc w:val="both"/>
        <w:rPr>
          <w:rFonts w:ascii="Traditional Arabic" w:hAnsi="Traditional Arabic" w:cs="Traditional Arabic"/>
          <w:sz w:val="30"/>
          <w:szCs w:val="30"/>
          <w:lang w:val="en-GB"/>
        </w:rPr>
      </w:pPr>
    </w:p>
    <w:p w14:paraId="580E6837" w14:textId="77777777" w:rsidR="00606033" w:rsidRPr="00CD53BC" w:rsidRDefault="009105A4" w:rsidP="00922116">
      <w:pPr>
        <w:pStyle w:val="ListParagraph"/>
        <w:numPr>
          <w:ilvl w:val="0"/>
          <w:numId w:val="17"/>
        </w:numPr>
        <w:bidi/>
        <w:ind w:left="295" w:hanging="340"/>
        <w:contextualSpacing w:val="0"/>
        <w:jc w:val="both"/>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السياسات ذات العلاقة بتعاملات الأطراف ذات العلاقة.</w:t>
      </w:r>
      <w:r w:rsidR="00606033" w:rsidRPr="00606033">
        <w:rPr>
          <w:rFonts w:ascii="Sakkal Majalla" w:eastAsia="MS Mincho" w:hAnsi="Sakkal Majalla" w:cs="Sakkal Majalla"/>
          <w:sz w:val="28"/>
          <w:szCs w:val="28"/>
          <w:rtl/>
          <w:lang w:val="en-GB"/>
          <w14:ligatures w14:val="standardContextual"/>
        </w:rPr>
        <w:t xml:space="preserve"> </w:t>
      </w:r>
    </w:p>
    <w:p w14:paraId="3BC0E750" w14:textId="77777777" w:rsidR="009105A4" w:rsidRPr="00985281" w:rsidRDefault="00606033" w:rsidP="00922116">
      <w:pPr>
        <w:pStyle w:val="ListParagraph"/>
        <w:numPr>
          <w:ilvl w:val="0"/>
          <w:numId w:val="17"/>
        </w:numPr>
        <w:bidi/>
        <w:ind w:left="295" w:hanging="340"/>
        <w:contextualSpacing w:val="0"/>
        <w:jc w:val="both"/>
        <w:rPr>
          <w:rFonts w:ascii="Traditional Arabic" w:hAnsi="Traditional Arabic" w:cs="Traditional Arabic"/>
          <w:sz w:val="30"/>
          <w:szCs w:val="30"/>
          <w:lang w:val="en-GB"/>
        </w:rPr>
      </w:pPr>
      <w:r w:rsidRPr="00606033">
        <w:rPr>
          <w:rFonts w:ascii="Traditional Arabic" w:hAnsi="Traditional Arabic" w:cs="Traditional Arabic"/>
          <w:sz w:val="30"/>
          <w:szCs w:val="30"/>
          <w:rtl/>
          <w:lang w:val="en-GB"/>
        </w:rPr>
        <w:t>سياسة مجلس الإدارة.</w:t>
      </w:r>
    </w:p>
    <w:p w14:paraId="7276C007" w14:textId="77777777" w:rsidR="00A64963" w:rsidRPr="00EB5BCF" w:rsidRDefault="00A64963" w:rsidP="00922116">
      <w:pPr>
        <w:pStyle w:val="ListParagraph"/>
        <w:numPr>
          <w:ilvl w:val="0"/>
          <w:numId w:val="17"/>
        </w:numPr>
        <w:bidi/>
        <w:ind w:left="295" w:hanging="340"/>
        <w:contextualSpacing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الحد الأدنى من المعلومات الواجب تقديمها لمجلس إدارة الشركة.</w:t>
      </w:r>
    </w:p>
    <w:p w14:paraId="50B1AFD3" w14:textId="77777777" w:rsidR="00A64963" w:rsidRPr="00CD53BC" w:rsidRDefault="00A64963" w:rsidP="00985281">
      <w:pPr>
        <w:bidi/>
        <w:jc w:val="both"/>
        <w:rPr>
          <w:rFonts w:ascii="Traditional Arabic" w:hAnsi="Traditional Arabic" w:cs="Traditional Arabic"/>
          <w:sz w:val="30"/>
          <w:szCs w:val="30"/>
          <w:lang w:val="en-GB"/>
        </w:rPr>
      </w:pPr>
    </w:p>
    <w:p w14:paraId="4BB2FF0E" w14:textId="77777777" w:rsidR="009105A4" w:rsidRPr="00EB5BCF" w:rsidRDefault="009105A4" w:rsidP="00922116">
      <w:pPr>
        <w:pStyle w:val="ListParagraph"/>
        <w:numPr>
          <w:ilvl w:val="0"/>
          <w:numId w:val="17"/>
        </w:numPr>
        <w:bidi/>
        <w:ind w:left="295" w:hanging="340"/>
        <w:contextualSpacing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 xml:space="preserve">سياسات وإجراءات الإفصاح عن المعلومات الجوهرية التي تقدم </w:t>
      </w:r>
      <w:r w:rsidR="002D7E14">
        <w:rPr>
          <w:rFonts w:ascii="Traditional Arabic" w:hAnsi="Traditional Arabic" w:cs="Traditional Arabic"/>
          <w:sz w:val="30"/>
          <w:szCs w:val="30"/>
          <w:rtl/>
          <w:lang w:val="en-GB"/>
        </w:rPr>
        <w:t>هيئة الخدمات المالية</w:t>
      </w:r>
      <w:r w:rsidRPr="00EB5BCF">
        <w:rPr>
          <w:rFonts w:ascii="Traditional Arabic" w:hAnsi="Traditional Arabic" w:cs="Traditional Arabic"/>
          <w:sz w:val="30"/>
          <w:szCs w:val="30"/>
          <w:rtl/>
          <w:lang w:val="en-GB"/>
        </w:rPr>
        <w:t xml:space="preserve"> وبورصة مسقط في الوقت المحدد بما في ذلك تعريف المعلومات الجوهرية.</w:t>
      </w:r>
    </w:p>
    <w:p w14:paraId="2CEF87EA" w14:textId="77777777" w:rsidR="009105A4" w:rsidRPr="00EB5BCF" w:rsidRDefault="009105A4" w:rsidP="00922116">
      <w:pPr>
        <w:pStyle w:val="BodyText1"/>
        <w:numPr>
          <w:ilvl w:val="0"/>
          <w:numId w:val="17"/>
        </w:numPr>
        <w:bidi/>
        <w:spacing w:after="0"/>
        <w:ind w:left="295" w:hanging="340"/>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أية لوائح أخرى يرى مجلس إدارة الشركة أنها ضرورية لتحقيق تنظيم وإدارة الشركة.</w:t>
      </w:r>
    </w:p>
    <w:p w14:paraId="7C3DEEF3" w14:textId="77777777" w:rsidR="00395DDE" w:rsidRPr="00EB5BCF" w:rsidRDefault="00395DDE" w:rsidP="00395DDE">
      <w:pPr>
        <w:autoSpaceDE w:val="0"/>
        <w:autoSpaceDN w:val="0"/>
        <w:bidi/>
        <w:adjustRightInd w:val="0"/>
        <w:jc w:val="both"/>
        <w:rPr>
          <w:rFonts w:ascii="Traditional Arabic" w:hAnsi="Traditional Arabic" w:cs="Traditional Arabic"/>
          <w:sz w:val="30"/>
          <w:szCs w:val="30"/>
          <w:rtl/>
          <w:lang w:val="en-GB"/>
        </w:rPr>
      </w:pPr>
    </w:p>
    <w:p w14:paraId="6F04E366" w14:textId="77777777" w:rsidR="009A684A" w:rsidRPr="00EB5BCF" w:rsidRDefault="009A684A" w:rsidP="004741BF">
      <w:pPr>
        <w:autoSpaceDE w:val="0"/>
        <w:autoSpaceDN w:val="0"/>
        <w:bidi/>
        <w:adjustRightInd w:val="0"/>
        <w:jc w:val="both"/>
        <w:rPr>
          <w:rFonts w:ascii="Traditional Arabic" w:hAnsi="Traditional Arabic" w:cs="Traditional Arabic"/>
          <w:sz w:val="30"/>
          <w:szCs w:val="30"/>
          <w:rtl/>
        </w:rPr>
        <w:sectPr w:rsidR="009A684A" w:rsidRPr="00EB5BCF">
          <w:pgSz w:w="12240" w:h="15840"/>
          <w:pgMar w:top="1440" w:right="1440" w:bottom="1440" w:left="1440" w:header="720" w:footer="720" w:gutter="0"/>
          <w:cols w:space="720"/>
          <w:docGrid w:linePitch="360"/>
        </w:sectPr>
      </w:pPr>
    </w:p>
    <w:p w14:paraId="2994BB77" w14:textId="77777777" w:rsidR="00AA3892" w:rsidRPr="00EB5BCF" w:rsidRDefault="009A684A" w:rsidP="00AA3892">
      <w:pPr>
        <w:autoSpaceDE w:val="0"/>
        <w:autoSpaceDN w:val="0"/>
        <w:bidi/>
        <w:adjustRightInd w:val="0"/>
        <w:jc w:val="center"/>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lastRenderedPageBreak/>
        <w:t xml:space="preserve">الفصل </w:t>
      </w:r>
      <w:r w:rsidR="009E21A1">
        <w:rPr>
          <w:rFonts w:ascii="Traditional Arabic" w:hAnsi="Traditional Arabic" w:cs="Traditional Arabic" w:hint="cs"/>
          <w:b/>
          <w:bCs/>
          <w:sz w:val="30"/>
          <w:szCs w:val="30"/>
          <w:rtl/>
        </w:rPr>
        <w:t>الثامن</w:t>
      </w:r>
      <w:r w:rsidR="009E21A1" w:rsidRPr="00EB5BCF">
        <w:rPr>
          <w:rFonts w:ascii="Traditional Arabic" w:hAnsi="Traditional Arabic" w:cs="Traditional Arabic"/>
          <w:b/>
          <w:bCs/>
          <w:sz w:val="30"/>
          <w:szCs w:val="30"/>
          <w:rtl/>
        </w:rPr>
        <w:t xml:space="preserve"> </w:t>
      </w:r>
      <w:r w:rsidRPr="00EB5BCF">
        <w:rPr>
          <w:rFonts w:ascii="Traditional Arabic" w:hAnsi="Traditional Arabic" w:cs="Traditional Arabic"/>
          <w:b/>
          <w:bCs/>
          <w:sz w:val="30"/>
          <w:szCs w:val="30"/>
          <w:rtl/>
        </w:rPr>
        <w:t>عشر</w:t>
      </w:r>
    </w:p>
    <w:p w14:paraId="49E87E00" w14:textId="77777777" w:rsidR="004741BF" w:rsidRPr="00EB5BCF" w:rsidRDefault="009A684A" w:rsidP="008252E9">
      <w:pPr>
        <w:autoSpaceDE w:val="0"/>
        <w:autoSpaceDN w:val="0"/>
        <w:bidi/>
        <w:adjustRightInd w:val="0"/>
        <w:jc w:val="center"/>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t>حقوق ومسؤوليات المساهمين</w:t>
      </w:r>
    </w:p>
    <w:p w14:paraId="7736A18F" w14:textId="77777777" w:rsidR="009A684A" w:rsidRPr="00EB5BCF" w:rsidRDefault="009A684A" w:rsidP="009A684A">
      <w:pPr>
        <w:autoSpaceDE w:val="0"/>
        <w:autoSpaceDN w:val="0"/>
        <w:bidi/>
        <w:adjustRightInd w:val="0"/>
        <w:jc w:val="both"/>
        <w:rPr>
          <w:rFonts w:ascii="Traditional Arabic" w:hAnsi="Traditional Arabic" w:cs="Traditional Arabic"/>
          <w:sz w:val="30"/>
          <w:szCs w:val="30"/>
        </w:rPr>
      </w:pPr>
    </w:p>
    <w:p w14:paraId="05E0E9CF" w14:textId="77777777" w:rsidR="00A818C2" w:rsidRPr="00EB5BCF" w:rsidRDefault="00A818C2" w:rsidP="00A818C2">
      <w:pPr>
        <w:autoSpaceDE w:val="0"/>
        <w:autoSpaceDN w:val="0"/>
        <w:bidi/>
        <w:adjustRightInd w:val="0"/>
        <w:jc w:val="both"/>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t xml:space="preserve">مسؤوليات المساهم </w:t>
      </w:r>
    </w:p>
    <w:p w14:paraId="20764B3F" w14:textId="77777777" w:rsidR="00A818C2" w:rsidRPr="00EB5BCF" w:rsidRDefault="00A818C2" w:rsidP="00A818C2">
      <w:pPr>
        <w:autoSpaceDE w:val="0"/>
        <w:autoSpaceDN w:val="0"/>
        <w:bidi/>
        <w:adjustRightInd w:val="0"/>
        <w:jc w:val="both"/>
        <w:rPr>
          <w:rFonts w:ascii="Traditional Arabic" w:hAnsi="Traditional Arabic" w:cs="Traditional Arabic"/>
          <w:b/>
          <w:sz w:val="30"/>
          <w:szCs w:val="30"/>
          <w:rtl/>
          <w:lang w:bidi="ar-OM"/>
        </w:rPr>
      </w:pPr>
      <w:r w:rsidRPr="00EB5BCF">
        <w:rPr>
          <w:rFonts w:ascii="Traditional Arabic" w:hAnsi="Traditional Arabic" w:cs="Traditional Arabic"/>
          <w:b/>
          <w:sz w:val="30"/>
          <w:szCs w:val="30"/>
          <w:rtl/>
          <w:lang w:bidi="ar-OM"/>
        </w:rPr>
        <w:t xml:space="preserve">تقتصر مسؤولية المساهم على </w:t>
      </w:r>
      <w:r w:rsidRPr="00EB5BCF">
        <w:rPr>
          <w:rFonts w:ascii="Traditional Arabic" w:hAnsi="Traditional Arabic" w:cs="Traditional Arabic"/>
          <w:b/>
          <w:sz w:val="30"/>
          <w:szCs w:val="30"/>
          <w:rtl/>
        </w:rPr>
        <w:t>سداد</w:t>
      </w:r>
      <w:r w:rsidRPr="00EB5BCF">
        <w:rPr>
          <w:rFonts w:ascii="Traditional Arabic" w:hAnsi="Traditional Arabic" w:cs="Traditional Arabic"/>
          <w:b/>
          <w:sz w:val="30"/>
          <w:szCs w:val="30"/>
          <w:rtl/>
          <w:lang w:bidi="ar-OM"/>
        </w:rPr>
        <w:t xml:space="preserve"> قيمة الأسهم التي اكتتب فيها ولن يكون مسؤولاً عن ديون </w:t>
      </w:r>
      <w:r w:rsidR="00AB265B" w:rsidRPr="00EB5BCF">
        <w:rPr>
          <w:rFonts w:ascii="Traditional Arabic" w:hAnsi="Traditional Arabic" w:cs="Traditional Arabic"/>
          <w:b/>
          <w:sz w:val="30"/>
          <w:szCs w:val="30"/>
          <w:rtl/>
          <w:lang w:bidi="ar-OM"/>
        </w:rPr>
        <w:t>ال</w:t>
      </w:r>
      <w:r w:rsidRPr="00EB5BCF">
        <w:rPr>
          <w:rFonts w:ascii="Traditional Arabic" w:hAnsi="Traditional Arabic" w:cs="Traditional Arabic"/>
          <w:b/>
          <w:sz w:val="30"/>
          <w:szCs w:val="30"/>
          <w:rtl/>
          <w:lang w:bidi="ar-OM"/>
        </w:rPr>
        <w:t>شركة إلا في حدود قيمة الأسهم التي اكتتب فيها.</w:t>
      </w:r>
    </w:p>
    <w:p w14:paraId="75316755" w14:textId="77777777" w:rsidR="00A818C2" w:rsidRPr="00EB5BCF" w:rsidRDefault="00A818C2" w:rsidP="00A818C2">
      <w:pPr>
        <w:autoSpaceDE w:val="0"/>
        <w:autoSpaceDN w:val="0"/>
        <w:bidi/>
        <w:adjustRightInd w:val="0"/>
        <w:jc w:val="both"/>
        <w:rPr>
          <w:rFonts w:ascii="Traditional Arabic" w:hAnsi="Traditional Arabic" w:cs="Traditional Arabic"/>
          <w:b/>
          <w:sz w:val="30"/>
          <w:szCs w:val="30"/>
          <w:rtl/>
          <w:lang w:bidi="ar-OM"/>
        </w:rPr>
      </w:pPr>
    </w:p>
    <w:p w14:paraId="0356119B" w14:textId="77777777" w:rsidR="00A818C2" w:rsidRPr="00EB5BCF" w:rsidRDefault="00A818C2" w:rsidP="00A818C2">
      <w:pPr>
        <w:autoSpaceDE w:val="0"/>
        <w:autoSpaceDN w:val="0"/>
        <w:bidi/>
        <w:adjustRightInd w:val="0"/>
        <w:jc w:val="both"/>
        <w:rPr>
          <w:rFonts w:ascii="Traditional Arabic" w:hAnsi="Traditional Arabic" w:cs="Traditional Arabic"/>
          <w:bCs/>
          <w:sz w:val="30"/>
          <w:szCs w:val="30"/>
          <w:rtl/>
          <w:lang w:bidi="ar-OM"/>
        </w:rPr>
      </w:pPr>
      <w:r w:rsidRPr="00EB5BCF">
        <w:rPr>
          <w:rFonts w:ascii="Traditional Arabic" w:hAnsi="Traditional Arabic" w:cs="Traditional Arabic"/>
          <w:bCs/>
          <w:sz w:val="30"/>
          <w:szCs w:val="30"/>
          <w:rtl/>
          <w:lang w:bidi="ar-OM"/>
        </w:rPr>
        <w:t>حقوق المساهم</w:t>
      </w:r>
    </w:p>
    <w:p w14:paraId="17EE262D"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تتمتع جميع أسهم الشركة بحقوق متساوية وملازمة لحق ملكيتها وفقاً لأحكام قانون الشركات التجارية، وهي:</w:t>
      </w:r>
    </w:p>
    <w:p w14:paraId="263B4F09"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lang w:val="en-GB"/>
        </w:rPr>
      </w:pPr>
    </w:p>
    <w:p w14:paraId="4C53D912" w14:textId="77777777" w:rsidR="00A818C2" w:rsidRPr="00EB5BCF" w:rsidRDefault="00A818C2" w:rsidP="00922116">
      <w:pPr>
        <w:numPr>
          <w:ilvl w:val="0"/>
          <w:numId w:val="18"/>
        </w:numPr>
        <w:autoSpaceDE w:val="0"/>
        <w:autoSpaceDN w:val="0"/>
        <w:bidi/>
        <w:adjustRightInd w:val="0"/>
        <w:jc w:val="both"/>
        <w:rPr>
          <w:rFonts w:ascii="Traditional Arabic" w:hAnsi="Traditional Arabic" w:cs="Traditional Arabic"/>
          <w:b/>
          <w:sz w:val="30"/>
          <w:szCs w:val="30"/>
          <w:lang w:val="en-GB"/>
        </w:rPr>
      </w:pPr>
      <w:r w:rsidRPr="00EB5BCF">
        <w:rPr>
          <w:rFonts w:ascii="Traditional Arabic" w:hAnsi="Traditional Arabic" w:cs="Traditional Arabic"/>
          <w:b/>
          <w:sz w:val="30"/>
          <w:szCs w:val="30"/>
          <w:rtl/>
        </w:rPr>
        <w:t>الحق في قبض أنصبة الأرباح النقدية المعلن عنها في الجمعية العامة.</w:t>
      </w:r>
    </w:p>
    <w:p w14:paraId="47BB6859" w14:textId="77777777" w:rsidR="00A818C2" w:rsidRPr="00EB5BCF" w:rsidRDefault="00A818C2" w:rsidP="00922116">
      <w:pPr>
        <w:numPr>
          <w:ilvl w:val="0"/>
          <w:numId w:val="18"/>
        </w:numPr>
        <w:autoSpaceDE w:val="0"/>
        <w:autoSpaceDN w:val="0"/>
        <w:bidi/>
        <w:adjustRightInd w:val="0"/>
        <w:jc w:val="both"/>
        <w:rPr>
          <w:rFonts w:ascii="Traditional Arabic" w:hAnsi="Traditional Arabic" w:cs="Traditional Arabic"/>
          <w:b/>
          <w:sz w:val="30"/>
          <w:szCs w:val="30"/>
          <w:lang w:val="en-GB"/>
        </w:rPr>
      </w:pPr>
      <w:r w:rsidRPr="00EB5BCF">
        <w:rPr>
          <w:rFonts w:ascii="Traditional Arabic" w:hAnsi="Traditional Arabic" w:cs="Traditional Arabic"/>
          <w:b/>
          <w:sz w:val="30"/>
          <w:szCs w:val="30"/>
          <w:rtl/>
        </w:rPr>
        <w:t>حق الأفضلية في الاكتتاب بأسهم جديدة.</w:t>
      </w:r>
    </w:p>
    <w:p w14:paraId="7B9EEBE1" w14:textId="77777777" w:rsidR="00A818C2" w:rsidRPr="00EB5BCF" w:rsidRDefault="00A818C2" w:rsidP="00922116">
      <w:pPr>
        <w:numPr>
          <w:ilvl w:val="0"/>
          <w:numId w:val="18"/>
        </w:numPr>
        <w:autoSpaceDE w:val="0"/>
        <w:autoSpaceDN w:val="0"/>
        <w:bidi/>
        <w:adjustRightInd w:val="0"/>
        <w:jc w:val="both"/>
        <w:rPr>
          <w:rFonts w:ascii="Traditional Arabic" w:hAnsi="Traditional Arabic" w:cs="Traditional Arabic"/>
          <w:b/>
          <w:sz w:val="30"/>
          <w:szCs w:val="30"/>
          <w:lang w:val="en-GB"/>
        </w:rPr>
      </w:pPr>
      <w:r w:rsidRPr="00EB5BCF">
        <w:rPr>
          <w:rFonts w:ascii="Traditional Arabic" w:hAnsi="Traditional Arabic" w:cs="Traditional Arabic"/>
          <w:b/>
          <w:sz w:val="30"/>
          <w:szCs w:val="30"/>
          <w:rtl/>
        </w:rPr>
        <w:t xml:space="preserve">الحق في مقاسمة توزيع </w:t>
      </w:r>
      <w:r w:rsidR="00AB265B" w:rsidRPr="00EB5BCF">
        <w:rPr>
          <w:rFonts w:ascii="Traditional Arabic" w:hAnsi="Traditional Arabic" w:cs="Traditional Arabic"/>
          <w:b/>
          <w:sz w:val="30"/>
          <w:szCs w:val="30"/>
          <w:rtl/>
          <w:lang w:bidi="ar-OM"/>
        </w:rPr>
        <w:t>عائدات</w:t>
      </w:r>
      <w:r w:rsidRPr="00EB5BCF">
        <w:rPr>
          <w:rFonts w:ascii="Traditional Arabic" w:hAnsi="Traditional Arabic" w:cs="Traditional Arabic"/>
          <w:b/>
          <w:sz w:val="30"/>
          <w:szCs w:val="30"/>
          <w:rtl/>
          <w:lang w:bidi="ar-OM"/>
        </w:rPr>
        <w:t xml:space="preserve"> و</w:t>
      </w:r>
      <w:r w:rsidRPr="00EB5BCF">
        <w:rPr>
          <w:rFonts w:ascii="Traditional Arabic" w:hAnsi="Traditional Arabic" w:cs="Traditional Arabic"/>
          <w:b/>
          <w:sz w:val="30"/>
          <w:szCs w:val="30"/>
          <w:rtl/>
        </w:rPr>
        <w:t>أصول الشركة عند التصفية.</w:t>
      </w:r>
    </w:p>
    <w:p w14:paraId="1ACC16DE" w14:textId="77777777" w:rsidR="00A818C2" w:rsidRPr="00EB5BCF" w:rsidRDefault="00A818C2" w:rsidP="00922116">
      <w:pPr>
        <w:numPr>
          <w:ilvl w:val="0"/>
          <w:numId w:val="18"/>
        </w:numPr>
        <w:autoSpaceDE w:val="0"/>
        <w:autoSpaceDN w:val="0"/>
        <w:bidi/>
        <w:adjustRightInd w:val="0"/>
        <w:jc w:val="both"/>
        <w:rPr>
          <w:rFonts w:ascii="Traditional Arabic" w:hAnsi="Traditional Arabic" w:cs="Traditional Arabic"/>
          <w:b/>
          <w:sz w:val="30"/>
          <w:szCs w:val="30"/>
          <w:lang w:val="en-GB"/>
        </w:rPr>
      </w:pPr>
      <w:r w:rsidRPr="00EB5BCF">
        <w:rPr>
          <w:rFonts w:ascii="Traditional Arabic" w:hAnsi="Traditional Arabic" w:cs="Traditional Arabic"/>
          <w:b/>
          <w:sz w:val="30"/>
          <w:szCs w:val="30"/>
          <w:rtl/>
        </w:rPr>
        <w:t>الحق في التنازل عن الأسهم وتحويلها وفقا للقانون الواجب التطبيق.</w:t>
      </w:r>
    </w:p>
    <w:p w14:paraId="22960D81" w14:textId="77777777" w:rsidR="00A818C2" w:rsidRPr="00EB5BCF" w:rsidRDefault="00A818C2" w:rsidP="00922116">
      <w:pPr>
        <w:numPr>
          <w:ilvl w:val="0"/>
          <w:numId w:val="18"/>
        </w:numPr>
        <w:autoSpaceDE w:val="0"/>
        <w:autoSpaceDN w:val="0"/>
        <w:bidi/>
        <w:adjustRightInd w:val="0"/>
        <w:jc w:val="both"/>
        <w:rPr>
          <w:rFonts w:ascii="Traditional Arabic" w:hAnsi="Traditional Arabic" w:cs="Traditional Arabic"/>
          <w:b/>
          <w:sz w:val="30"/>
          <w:szCs w:val="30"/>
          <w:lang w:val="en-GB"/>
        </w:rPr>
      </w:pPr>
      <w:r w:rsidRPr="00EB5BCF">
        <w:rPr>
          <w:rFonts w:ascii="Traditional Arabic" w:hAnsi="Traditional Arabic" w:cs="Traditional Arabic"/>
          <w:b/>
          <w:sz w:val="30"/>
          <w:szCs w:val="30"/>
          <w:rtl/>
        </w:rPr>
        <w:t xml:space="preserve">الحق في </w:t>
      </w:r>
      <w:r w:rsidR="00D9645E" w:rsidRPr="00EB5BCF">
        <w:rPr>
          <w:rFonts w:ascii="Traditional Arabic" w:hAnsi="Traditional Arabic" w:cs="Traditional Arabic"/>
          <w:b/>
          <w:sz w:val="30"/>
          <w:szCs w:val="30"/>
          <w:rtl/>
        </w:rPr>
        <w:t>الاطلاع</w:t>
      </w:r>
      <w:r w:rsidRPr="00EB5BCF">
        <w:rPr>
          <w:rFonts w:ascii="Traditional Arabic" w:hAnsi="Traditional Arabic" w:cs="Traditional Arabic"/>
          <w:b/>
          <w:sz w:val="30"/>
          <w:szCs w:val="30"/>
          <w:rtl/>
        </w:rPr>
        <w:t xml:space="preserve"> على الميزانية العمومية للشركة وحساب الأرباح والخسائر وسجل المساهمين.</w:t>
      </w:r>
    </w:p>
    <w:p w14:paraId="7190D2F2" w14:textId="77777777" w:rsidR="00A818C2" w:rsidRPr="00EB5BCF" w:rsidRDefault="00A818C2" w:rsidP="00922116">
      <w:pPr>
        <w:numPr>
          <w:ilvl w:val="0"/>
          <w:numId w:val="18"/>
        </w:numPr>
        <w:autoSpaceDE w:val="0"/>
        <w:autoSpaceDN w:val="0"/>
        <w:bidi/>
        <w:adjustRightInd w:val="0"/>
        <w:jc w:val="both"/>
        <w:rPr>
          <w:rFonts w:ascii="Traditional Arabic" w:hAnsi="Traditional Arabic" w:cs="Traditional Arabic"/>
          <w:b/>
          <w:sz w:val="30"/>
          <w:szCs w:val="30"/>
          <w:lang w:val="en-GB"/>
        </w:rPr>
      </w:pPr>
      <w:r w:rsidRPr="00EB5BCF">
        <w:rPr>
          <w:rFonts w:ascii="Traditional Arabic" w:hAnsi="Traditional Arabic" w:cs="Traditional Arabic"/>
          <w:b/>
          <w:sz w:val="30"/>
          <w:szCs w:val="30"/>
          <w:rtl/>
        </w:rPr>
        <w:t xml:space="preserve">الحق في استلام دعوة لحضور الجمعيات العامة </w:t>
      </w:r>
      <w:r w:rsidR="00D9645E" w:rsidRPr="00EB5BCF">
        <w:rPr>
          <w:rFonts w:ascii="Traditional Arabic" w:hAnsi="Traditional Arabic" w:cs="Traditional Arabic"/>
          <w:b/>
          <w:sz w:val="30"/>
          <w:szCs w:val="30"/>
          <w:rtl/>
        </w:rPr>
        <w:t>والاقتراع</w:t>
      </w:r>
      <w:r w:rsidRPr="00EB5BCF">
        <w:rPr>
          <w:rFonts w:ascii="Traditional Arabic" w:hAnsi="Traditional Arabic" w:cs="Traditional Arabic"/>
          <w:b/>
          <w:sz w:val="30"/>
          <w:szCs w:val="30"/>
          <w:rtl/>
        </w:rPr>
        <w:t xml:space="preserve"> فيها شخصيا أو بواسطة وكيل (يكون له صوت واحد مقابل كل سهم يمتلكه في الشركة). </w:t>
      </w:r>
    </w:p>
    <w:p w14:paraId="5BF979E2" w14:textId="77777777" w:rsidR="00A818C2" w:rsidRPr="00EB5BCF" w:rsidRDefault="00A818C2" w:rsidP="00922116">
      <w:pPr>
        <w:numPr>
          <w:ilvl w:val="0"/>
          <w:numId w:val="18"/>
        </w:numPr>
        <w:autoSpaceDE w:val="0"/>
        <w:autoSpaceDN w:val="0"/>
        <w:bidi/>
        <w:adjustRightInd w:val="0"/>
        <w:jc w:val="both"/>
        <w:rPr>
          <w:rFonts w:ascii="Traditional Arabic" w:hAnsi="Traditional Arabic" w:cs="Traditional Arabic"/>
          <w:b/>
          <w:sz w:val="30"/>
          <w:szCs w:val="30"/>
          <w:lang w:val="en-GB"/>
        </w:rPr>
      </w:pPr>
      <w:r w:rsidRPr="00EB5BCF">
        <w:rPr>
          <w:rFonts w:ascii="Traditional Arabic" w:hAnsi="Traditional Arabic" w:cs="Traditional Arabic"/>
          <w:b/>
          <w:sz w:val="30"/>
          <w:szCs w:val="30"/>
          <w:rtl/>
        </w:rPr>
        <w:t>الحق في التقدم بطلب إبطال أي قرار تتخذه الجمعية العامة أو مجلس الإدارة إذا كان مخالفا للقانون أو النظام الأساسي للشركة</w:t>
      </w:r>
      <w:r w:rsidR="00E35196">
        <w:rPr>
          <w:rFonts w:ascii="Traditional Arabic" w:hAnsi="Traditional Arabic" w:cs="Traditional Arabic" w:hint="cs"/>
          <w:b/>
          <w:sz w:val="30"/>
          <w:szCs w:val="30"/>
          <w:rtl/>
        </w:rPr>
        <w:t>.</w:t>
      </w:r>
    </w:p>
    <w:p w14:paraId="0CC5C991" w14:textId="77777777" w:rsidR="00EC4973" w:rsidRPr="00CD53BC" w:rsidRDefault="00A818C2" w:rsidP="00922116">
      <w:pPr>
        <w:numPr>
          <w:ilvl w:val="0"/>
          <w:numId w:val="18"/>
        </w:numPr>
        <w:autoSpaceDE w:val="0"/>
        <w:autoSpaceDN w:val="0"/>
        <w:bidi/>
        <w:adjustRightInd w:val="0"/>
        <w:jc w:val="both"/>
        <w:rPr>
          <w:rFonts w:ascii="Traditional Arabic" w:hAnsi="Traditional Arabic" w:cs="Traditional Arabic"/>
          <w:b/>
          <w:sz w:val="30"/>
          <w:szCs w:val="30"/>
          <w:rtl/>
        </w:rPr>
      </w:pPr>
      <w:r w:rsidRPr="00EB5BCF">
        <w:rPr>
          <w:rFonts w:ascii="Traditional Arabic" w:hAnsi="Traditional Arabic" w:cs="Traditional Arabic"/>
          <w:b/>
          <w:sz w:val="30"/>
          <w:szCs w:val="30"/>
          <w:rtl/>
        </w:rPr>
        <w:t xml:space="preserve">الحق في مقاضاة أعضاء مجلس الإدارة ومراقبي حسابات الشركة نيابة عن المساهمين أو نيابة عن الشركة عملا بأحكام </w:t>
      </w:r>
      <w:r w:rsidR="00AD317B">
        <w:rPr>
          <w:rFonts w:ascii="Traditional Arabic" w:hAnsi="Traditional Arabic" w:cs="Traditional Arabic" w:hint="cs"/>
          <w:b/>
          <w:sz w:val="30"/>
          <w:szCs w:val="30"/>
          <w:rtl/>
        </w:rPr>
        <w:t>ال</w:t>
      </w:r>
      <w:r w:rsidRPr="00EB5BCF">
        <w:rPr>
          <w:rFonts w:ascii="Traditional Arabic" w:hAnsi="Traditional Arabic" w:cs="Traditional Arabic"/>
          <w:b/>
          <w:sz w:val="30"/>
          <w:szCs w:val="30"/>
          <w:rtl/>
        </w:rPr>
        <w:t xml:space="preserve">قانون </w:t>
      </w:r>
      <w:r w:rsidR="00AD317B">
        <w:rPr>
          <w:rFonts w:ascii="Traditional Arabic" w:hAnsi="Traditional Arabic" w:cs="Traditional Arabic" w:hint="cs"/>
          <w:b/>
          <w:sz w:val="30"/>
          <w:szCs w:val="30"/>
          <w:rtl/>
        </w:rPr>
        <w:t>المعمول به</w:t>
      </w:r>
      <w:r w:rsidRPr="00EB5BCF">
        <w:rPr>
          <w:rFonts w:ascii="Traditional Arabic" w:hAnsi="Traditional Arabic" w:cs="Traditional Arabic"/>
          <w:b/>
          <w:sz w:val="30"/>
          <w:szCs w:val="30"/>
          <w:rtl/>
        </w:rPr>
        <w:t>.</w:t>
      </w:r>
    </w:p>
    <w:p w14:paraId="1AD279D3" w14:textId="77777777" w:rsidR="00EC4973" w:rsidRPr="00EC4973" w:rsidRDefault="00EC4973" w:rsidP="00922116">
      <w:pPr>
        <w:numPr>
          <w:ilvl w:val="0"/>
          <w:numId w:val="18"/>
        </w:numPr>
        <w:autoSpaceDE w:val="0"/>
        <w:autoSpaceDN w:val="0"/>
        <w:bidi/>
        <w:adjustRightInd w:val="0"/>
        <w:jc w:val="both"/>
        <w:rPr>
          <w:rFonts w:ascii="Traditional Arabic" w:hAnsi="Traditional Arabic" w:cs="Traditional Arabic"/>
          <w:b/>
          <w:sz w:val="30"/>
          <w:szCs w:val="30"/>
          <w:rtl/>
        </w:rPr>
      </w:pPr>
      <w:r w:rsidRPr="00EC4973">
        <w:rPr>
          <w:rFonts w:ascii="Traditional Arabic" w:hAnsi="Traditional Arabic" w:cs="Traditional Arabic"/>
          <w:b/>
          <w:sz w:val="30"/>
          <w:szCs w:val="30"/>
          <w:rtl/>
        </w:rPr>
        <w:t>حق (المساهمين المالكين منفردين أو مجتمعين لنسبة لا تقل عن 5% من أسهم الشركة) في التقدم بطلب لإلغاء أي قرار صادر عن الجمعية العامة أو مجلس الإدارة، إذا كان هذا القرار (القرارات) تمثل ضررًا للمساهمين أو يمنح الأفضلية لفئة معينة من المساهمين أو تحقيق منفعة خاصة لأعضاء مجلس الإدارة، خلافًا للقانون المعمول به، أو النظام الأساسي أو اللوائح الداخلية للشركة، وفقًا للمادة ١٧٤ والمادة ٢٠٧ من قانون الشركات التجارية.</w:t>
      </w:r>
    </w:p>
    <w:p w14:paraId="17984555" w14:textId="77777777" w:rsidR="00A818C2" w:rsidRPr="00EB5BCF" w:rsidRDefault="00A818C2" w:rsidP="00CD53BC">
      <w:pPr>
        <w:autoSpaceDE w:val="0"/>
        <w:autoSpaceDN w:val="0"/>
        <w:bidi/>
        <w:adjustRightInd w:val="0"/>
        <w:ind w:left="720"/>
        <w:jc w:val="both"/>
        <w:rPr>
          <w:rFonts w:ascii="Traditional Arabic" w:hAnsi="Traditional Arabic" w:cs="Traditional Arabic"/>
          <w:b/>
          <w:sz w:val="30"/>
          <w:szCs w:val="30"/>
          <w:rtl/>
        </w:rPr>
      </w:pPr>
    </w:p>
    <w:p w14:paraId="47A891C4" w14:textId="77777777" w:rsidR="00A818C2" w:rsidRPr="00EB5BCF" w:rsidRDefault="00A818C2" w:rsidP="00A818C2">
      <w:pPr>
        <w:autoSpaceDE w:val="0"/>
        <w:autoSpaceDN w:val="0"/>
        <w:bidi/>
        <w:adjustRightInd w:val="0"/>
        <w:jc w:val="both"/>
        <w:rPr>
          <w:rFonts w:ascii="Traditional Arabic" w:hAnsi="Traditional Arabic" w:cs="Traditional Arabic"/>
          <w:b/>
          <w:bCs/>
          <w:sz w:val="30"/>
          <w:szCs w:val="30"/>
          <w:rtl/>
        </w:rPr>
      </w:pPr>
    </w:p>
    <w:p w14:paraId="28ECD569" w14:textId="77777777" w:rsidR="00A818C2" w:rsidRPr="00EB5BCF" w:rsidRDefault="00A818C2" w:rsidP="00A818C2">
      <w:pPr>
        <w:autoSpaceDE w:val="0"/>
        <w:autoSpaceDN w:val="0"/>
        <w:bidi/>
        <w:adjustRightInd w:val="0"/>
        <w:jc w:val="both"/>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rPr>
        <w:t>التقارير والبيانات</w:t>
      </w:r>
    </w:p>
    <w:p w14:paraId="20C3E261"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lastRenderedPageBreak/>
        <w:t xml:space="preserve">يُعد مجلس الإدارة بيانات مالية ربع سنوية غير مدققة عن الربع الأول والثاني والثالث من كل سنة مالية ويُعد كذلك تقريراً سنوياً خلال </w:t>
      </w:r>
      <w:r w:rsidRPr="00EB5BCF">
        <w:rPr>
          <w:rFonts w:ascii="Traditional Arabic" w:hAnsi="Traditional Arabic" w:cs="Traditional Arabic"/>
          <w:sz w:val="30"/>
          <w:szCs w:val="30"/>
          <w:rtl/>
          <w:lang w:bidi="ar-OM"/>
        </w:rPr>
        <w:t>(60) ستين يوما</w:t>
      </w:r>
      <w:r w:rsidRPr="00EB5BCF">
        <w:rPr>
          <w:rFonts w:ascii="Traditional Arabic" w:hAnsi="Traditional Arabic" w:cs="Traditional Arabic"/>
          <w:sz w:val="30"/>
          <w:szCs w:val="30"/>
          <w:rtl/>
        </w:rPr>
        <w:t xml:space="preserve"> من نهاية السنة المالية يحوي ميزانية عمومية مدققة وبيان الأرباح والخسائر وبيان التدفقات النقدية والتغيير في حقوق المساهمين وتقريراً لمجلس الإدارة وتقرير حول مناقشات المجلس وتحليلا</w:t>
      </w:r>
      <w:r w:rsidR="00982591"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لما دار في تلك المناقشات وتقريراً حول تنظيم وإدارة الشركة. هذا، وينبغي نشر هذه البيانات عبر نظام النشر</w:t>
      </w:r>
      <w:r w:rsidR="00C903E0"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 xml:space="preserve">الإلكتروني لمركز المعلومات في بورصة مسقط وذلك قبل (15) خمسة عشر يوما من موعد انعقاد الجمعية العامة العادية السنوية. </w:t>
      </w:r>
    </w:p>
    <w:p w14:paraId="15D076C9"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rPr>
      </w:pPr>
    </w:p>
    <w:p w14:paraId="7969C4CC" w14:textId="77777777" w:rsidR="00A818C2" w:rsidRPr="00EB5BCF" w:rsidRDefault="00C903E0" w:rsidP="00A818C2">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وعلى الشركة</w:t>
      </w:r>
      <w:r w:rsidR="00A818C2" w:rsidRPr="00EB5BCF">
        <w:rPr>
          <w:rFonts w:ascii="Traditional Arabic" w:hAnsi="Traditional Arabic" w:cs="Traditional Arabic"/>
          <w:sz w:val="30"/>
          <w:szCs w:val="30"/>
          <w:rtl/>
        </w:rPr>
        <w:t xml:space="preserve"> أيضاً إرسال بيانات مالية فصلية غير مدققة إلى مركز المعلومات من خلال نظام النشر</w:t>
      </w:r>
      <w:r w:rsidRPr="00EB5BCF">
        <w:rPr>
          <w:rFonts w:ascii="Traditional Arabic" w:hAnsi="Traditional Arabic" w:cs="Traditional Arabic"/>
          <w:sz w:val="30"/>
          <w:szCs w:val="30"/>
          <w:rtl/>
        </w:rPr>
        <w:t xml:space="preserve"> </w:t>
      </w:r>
      <w:r w:rsidR="00A818C2" w:rsidRPr="00EB5BCF">
        <w:rPr>
          <w:rFonts w:ascii="Traditional Arabic" w:hAnsi="Traditional Arabic" w:cs="Traditional Arabic"/>
          <w:sz w:val="30"/>
          <w:szCs w:val="30"/>
          <w:rtl/>
        </w:rPr>
        <w:t xml:space="preserve">الإلكتروني الخاص وذلك بعد موافقة مجلس الإدارة عليها خلال 30 يوماً من نهاية كل ربع سنة أو أي مدة قانونية أخرى تحددها قواعد وشروط الإفصاح الصادرة عن </w:t>
      </w:r>
      <w:r w:rsidR="002D7E14">
        <w:rPr>
          <w:rFonts w:ascii="Traditional Arabic" w:hAnsi="Traditional Arabic" w:cs="Traditional Arabic"/>
          <w:sz w:val="30"/>
          <w:szCs w:val="30"/>
          <w:rtl/>
        </w:rPr>
        <w:t>هيئة الخدمات المالية</w:t>
      </w:r>
      <w:r w:rsidR="00A818C2" w:rsidRPr="00EB5BCF">
        <w:rPr>
          <w:rFonts w:ascii="Traditional Arabic" w:hAnsi="Traditional Arabic" w:cs="Traditional Arabic"/>
          <w:sz w:val="30"/>
          <w:szCs w:val="30"/>
          <w:rtl/>
        </w:rPr>
        <w:t xml:space="preserve">. ويجب على مجلس الإدارة تزويد مركز المعلومات المذكور بنسختين معتمدتين حسب الأصول. كما يجب على الشركة أن </w:t>
      </w:r>
      <w:r w:rsidR="004239E6" w:rsidRPr="00EB5BCF">
        <w:rPr>
          <w:rFonts w:ascii="Traditional Arabic" w:hAnsi="Traditional Arabic" w:cs="Traditional Arabic" w:hint="eastAsia"/>
          <w:sz w:val="30"/>
          <w:szCs w:val="30"/>
          <w:rtl/>
        </w:rPr>
        <w:t>تنشر</w:t>
      </w:r>
      <w:r w:rsidR="004239E6" w:rsidRPr="00EB5BCF">
        <w:rPr>
          <w:rFonts w:ascii="Traditional Arabic" w:hAnsi="Traditional Arabic" w:cs="Traditional Arabic"/>
          <w:sz w:val="30"/>
          <w:szCs w:val="30"/>
          <w:rtl/>
        </w:rPr>
        <w:t xml:space="preserve"> </w:t>
      </w:r>
      <w:r w:rsidR="004239E6" w:rsidRPr="00EB5BCF">
        <w:rPr>
          <w:rFonts w:ascii="Traditional Arabic" w:hAnsi="Traditional Arabic" w:cs="Traditional Arabic" w:hint="eastAsia"/>
          <w:sz w:val="30"/>
          <w:szCs w:val="30"/>
          <w:rtl/>
        </w:rPr>
        <w:t>بياناتها</w:t>
      </w:r>
      <w:r w:rsidR="004239E6" w:rsidRPr="00EB5BCF">
        <w:rPr>
          <w:rFonts w:ascii="Traditional Arabic" w:hAnsi="Traditional Arabic" w:cs="Traditional Arabic"/>
          <w:sz w:val="30"/>
          <w:szCs w:val="30"/>
          <w:rtl/>
        </w:rPr>
        <w:t xml:space="preserve"> </w:t>
      </w:r>
      <w:r w:rsidR="004239E6" w:rsidRPr="00EB5BCF">
        <w:rPr>
          <w:rFonts w:ascii="Traditional Arabic" w:hAnsi="Traditional Arabic" w:cs="Traditional Arabic" w:hint="eastAsia"/>
          <w:sz w:val="30"/>
          <w:szCs w:val="30"/>
          <w:rtl/>
        </w:rPr>
        <w:t>المالية</w:t>
      </w:r>
      <w:r w:rsidR="00A818C2" w:rsidRPr="00EB5BCF">
        <w:rPr>
          <w:rFonts w:ascii="Traditional Arabic" w:hAnsi="Traditional Arabic" w:cs="Traditional Arabic"/>
          <w:sz w:val="30"/>
          <w:szCs w:val="30"/>
          <w:rtl/>
        </w:rPr>
        <w:t xml:space="preserve"> خلال المدة المذكورة.</w:t>
      </w:r>
    </w:p>
    <w:p w14:paraId="69AFC6C2"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rPr>
      </w:pPr>
    </w:p>
    <w:p w14:paraId="1768FC09" w14:textId="77777777" w:rsidR="00E76DF2" w:rsidRPr="00E76DF2" w:rsidRDefault="00E76DF2" w:rsidP="00E76DF2">
      <w:pPr>
        <w:autoSpaceDE w:val="0"/>
        <w:autoSpaceDN w:val="0"/>
        <w:bidi/>
        <w:adjustRightInd w:val="0"/>
        <w:jc w:val="both"/>
        <w:rPr>
          <w:rFonts w:ascii="Traditional Arabic" w:hAnsi="Traditional Arabic" w:cs="Traditional Arabic"/>
          <w:sz w:val="30"/>
          <w:szCs w:val="30"/>
          <w:rtl/>
        </w:rPr>
      </w:pPr>
      <w:r w:rsidRPr="00E76DF2">
        <w:rPr>
          <w:rFonts w:ascii="Traditional Arabic" w:hAnsi="Traditional Arabic" w:cs="Traditional Arabic"/>
          <w:sz w:val="30"/>
          <w:szCs w:val="30"/>
          <w:rtl/>
        </w:rPr>
        <w:t>وبوصفها شركة مساهمة عامة، فإنه يتعين على الشركة وفقاً لأحكام المادة</w:t>
      </w:r>
      <w:r w:rsidRPr="00E76DF2">
        <w:rPr>
          <w:rFonts w:ascii="Traditional Arabic" w:hAnsi="Traditional Arabic" w:cs="Traditional Arabic" w:hint="cs"/>
          <w:sz w:val="30"/>
          <w:szCs w:val="30"/>
          <w:rtl/>
        </w:rPr>
        <w:t xml:space="preserve"> 279 والمادة</w:t>
      </w:r>
      <w:r w:rsidRPr="00E76DF2">
        <w:rPr>
          <w:rFonts w:ascii="Traditional Arabic" w:hAnsi="Traditional Arabic" w:cs="Traditional Arabic"/>
          <w:sz w:val="30"/>
          <w:szCs w:val="30"/>
          <w:rtl/>
        </w:rPr>
        <w:t xml:space="preserve"> 280 من اللائحة التنفيذية لقانون سوق رأس المال الالتزام بالإفصاح عن النتائج المالية ربع السنوية غير المدققة فور </w:t>
      </w:r>
      <w:r w:rsidRPr="00E76DF2">
        <w:rPr>
          <w:rFonts w:ascii="Traditional Arabic" w:hAnsi="Traditional Arabic" w:cs="Traditional Arabic" w:hint="cs"/>
          <w:sz w:val="30"/>
          <w:szCs w:val="30"/>
          <w:rtl/>
        </w:rPr>
        <w:t xml:space="preserve">اعتمادها من </w:t>
      </w:r>
      <w:r w:rsidRPr="00E76DF2">
        <w:rPr>
          <w:rFonts w:ascii="Traditional Arabic" w:hAnsi="Traditional Arabic" w:cs="Traditional Arabic"/>
          <w:sz w:val="30"/>
          <w:szCs w:val="30"/>
          <w:rtl/>
        </w:rPr>
        <w:t xml:space="preserve">قبل مجلس الإدارة وذلك </w:t>
      </w:r>
      <w:r w:rsidRPr="00E76DF2">
        <w:rPr>
          <w:rFonts w:ascii="Traditional Arabic" w:hAnsi="Traditional Arabic" w:cs="Traditional Arabic" w:hint="cs"/>
          <w:sz w:val="30"/>
          <w:szCs w:val="30"/>
          <w:rtl/>
        </w:rPr>
        <w:t>في فترة لا تتجاوز</w:t>
      </w:r>
      <w:r w:rsidRPr="00E76DF2">
        <w:rPr>
          <w:rFonts w:ascii="Traditional Arabic" w:hAnsi="Traditional Arabic" w:cs="Traditional Arabic"/>
          <w:sz w:val="30"/>
          <w:szCs w:val="30"/>
          <w:rtl/>
        </w:rPr>
        <w:t xml:space="preserve"> </w:t>
      </w:r>
      <w:r w:rsidRPr="00E76DF2">
        <w:rPr>
          <w:rFonts w:ascii="Traditional Arabic" w:hAnsi="Traditional Arabic" w:cs="Traditional Arabic" w:hint="cs"/>
          <w:sz w:val="30"/>
          <w:szCs w:val="30"/>
          <w:rtl/>
        </w:rPr>
        <w:t>30</w:t>
      </w:r>
      <w:r w:rsidRPr="00E76DF2">
        <w:rPr>
          <w:rFonts w:ascii="Traditional Arabic" w:hAnsi="Traditional Arabic" w:cs="Traditional Arabic"/>
          <w:sz w:val="30"/>
          <w:szCs w:val="30"/>
          <w:rtl/>
        </w:rPr>
        <w:t xml:space="preserve"> يوماً من </w:t>
      </w:r>
      <w:r w:rsidRPr="00E76DF2">
        <w:rPr>
          <w:rFonts w:ascii="Traditional Arabic" w:hAnsi="Traditional Arabic" w:cs="Traditional Arabic" w:hint="cs"/>
          <w:sz w:val="30"/>
          <w:szCs w:val="30"/>
          <w:rtl/>
        </w:rPr>
        <w:t xml:space="preserve">تاريخ </w:t>
      </w:r>
      <w:r w:rsidRPr="00E76DF2">
        <w:rPr>
          <w:rFonts w:ascii="Traditional Arabic" w:hAnsi="Traditional Arabic" w:cs="Traditional Arabic"/>
          <w:sz w:val="30"/>
          <w:szCs w:val="30"/>
          <w:rtl/>
        </w:rPr>
        <w:t xml:space="preserve">نهاية الربع السنوي المعني. </w:t>
      </w:r>
    </w:p>
    <w:p w14:paraId="3199ACE7"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rPr>
      </w:pPr>
    </w:p>
    <w:p w14:paraId="6F8AE644" w14:textId="77777777" w:rsidR="00A818C2" w:rsidRPr="00EB5BCF" w:rsidRDefault="00A818C2" w:rsidP="00A818C2">
      <w:pPr>
        <w:autoSpaceDE w:val="0"/>
        <w:autoSpaceDN w:val="0"/>
        <w:bidi/>
        <w:adjustRightInd w:val="0"/>
        <w:jc w:val="both"/>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rPr>
        <w:t>اجتماعات الجمعية العامة السنوية والجمعية العامة العادية</w:t>
      </w:r>
    </w:p>
    <w:p w14:paraId="3EB0C26D"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تنعقد</w:t>
      </w:r>
      <w:r w:rsidR="00D4723D"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الجمعية العامة السنوية خلال (90) تسعين يوما</w:t>
      </w:r>
      <w:r w:rsidR="00307B49">
        <w:rPr>
          <w:rFonts w:ascii="Traditional Arabic" w:hAnsi="Traditional Arabic" w:cs="Traditional Arabic" w:hint="cs"/>
          <w:sz w:val="30"/>
          <w:szCs w:val="30"/>
          <w:rtl/>
        </w:rPr>
        <w:t>ً على الأكثر</w:t>
      </w:r>
      <w:r w:rsidRPr="00EB5BCF">
        <w:rPr>
          <w:rFonts w:ascii="Traditional Arabic" w:hAnsi="Traditional Arabic" w:cs="Traditional Arabic"/>
          <w:sz w:val="30"/>
          <w:szCs w:val="30"/>
          <w:rtl/>
        </w:rPr>
        <w:t xml:space="preserve"> من تاريخ </w:t>
      </w:r>
      <w:r w:rsidR="008760A7" w:rsidRPr="00EB5BCF">
        <w:rPr>
          <w:rFonts w:ascii="Traditional Arabic" w:hAnsi="Traditional Arabic" w:cs="Traditional Arabic"/>
          <w:sz w:val="30"/>
          <w:szCs w:val="30"/>
          <w:rtl/>
        </w:rPr>
        <w:t>انتهاء</w:t>
      </w:r>
      <w:r w:rsidRPr="00EB5BCF">
        <w:rPr>
          <w:rFonts w:ascii="Traditional Arabic" w:hAnsi="Traditional Arabic" w:cs="Traditional Arabic"/>
          <w:sz w:val="30"/>
          <w:szCs w:val="30"/>
          <w:rtl/>
        </w:rPr>
        <w:t xml:space="preserve"> السنة المالية للشركة - وذلك طبقا لنص المادة (172) من قانون الشركات التجارية - في المكان واليوم والوقت المحدد في الدعوة لحضور الاجتماع</w:t>
      </w:r>
      <w:r w:rsidR="008760A7"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 xml:space="preserve">ويجوز دعوة المساهمين لحضور اجتماع الجمعية العامة </w:t>
      </w:r>
      <w:r w:rsidR="002335EE">
        <w:rPr>
          <w:rFonts w:ascii="Traditional Arabic" w:hAnsi="Traditional Arabic" w:cs="Traditional Arabic" w:hint="cs"/>
          <w:sz w:val="30"/>
          <w:szCs w:val="30"/>
          <w:rtl/>
        </w:rPr>
        <w:t xml:space="preserve">العادية </w:t>
      </w:r>
      <w:r w:rsidRPr="00EB5BCF">
        <w:rPr>
          <w:rFonts w:ascii="Traditional Arabic" w:hAnsi="Traditional Arabic" w:cs="Traditional Arabic"/>
          <w:sz w:val="30"/>
          <w:szCs w:val="30"/>
          <w:rtl/>
        </w:rPr>
        <w:t>في أي وقت خلال العام بناءً على طلب مجلس الإدارة أو في حالات أخرى غير ذلك</w:t>
      </w:r>
      <w:r w:rsidR="00AD4A50">
        <w:rPr>
          <w:rFonts w:ascii="Traditional Arabic" w:hAnsi="Traditional Arabic" w:cs="Traditional Arabic" w:hint="cs"/>
          <w:sz w:val="30"/>
          <w:szCs w:val="30"/>
          <w:rtl/>
        </w:rPr>
        <w:t xml:space="preserve"> وفقا لقانون الشركات التجارية</w:t>
      </w:r>
      <w:r w:rsidRPr="00EB5BCF">
        <w:rPr>
          <w:rFonts w:ascii="Traditional Arabic" w:hAnsi="Traditional Arabic" w:cs="Traditional Arabic"/>
          <w:sz w:val="30"/>
          <w:szCs w:val="30"/>
          <w:rtl/>
        </w:rPr>
        <w:t>.</w:t>
      </w:r>
    </w:p>
    <w:p w14:paraId="1E1FB607" w14:textId="77777777" w:rsidR="00053CD8" w:rsidRPr="00EB5BCF" w:rsidRDefault="00053CD8" w:rsidP="00053CD8">
      <w:pPr>
        <w:autoSpaceDE w:val="0"/>
        <w:autoSpaceDN w:val="0"/>
        <w:bidi/>
        <w:adjustRightInd w:val="0"/>
        <w:jc w:val="both"/>
        <w:rPr>
          <w:rFonts w:ascii="Traditional Arabic" w:hAnsi="Traditional Arabic" w:cs="Traditional Arabic"/>
          <w:sz w:val="30"/>
          <w:szCs w:val="30"/>
          <w:rtl/>
        </w:rPr>
      </w:pPr>
    </w:p>
    <w:p w14:paraId="4196E9A2" w14:textId="77777777" w:rsidR="00053CD8" w:rsidRPr="00EB5BCF" w:rsidRDefault="00A818C2" w:rsidP="00053CD8">
      <w:p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وتختص الجمعية العامة العادية السنوية بما يأتي طبقا لنص المادة (172) من قانون الشركات التجارية:</w:t>
      </w:r>
    </w:p>
    <w:p w14:paraId="558DC371"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١</w:t>
      </w:r>
      <w:r w:rsidRPr="00EB5BCF">
        <w:rPr>
          <w:rFonts w:ascii="Traditional Arabic" w:hAnsi="Traditional Arabic" w:cs="Traditional Arabic"/>
          <w:sz w:val="30"/>
          <w:szCs w:val="30"/>
        </w:rPr>
        <w:t xml:space="preserve">- </w:t>
      </w:r>
      <w:r w:rsidRPr="00EB5BCF">
        <w:rPr>
          <w:rFonts w:ascii="Traditional Arabic" w:hAnsi="Traditional Arabic" w:cs="Traditional Arabic"/>
          <w:sz w:val="30"/>
          <w:szCs w:val="30"/>
          <w:rtl/>
        </w:rPr>
        <w:t>دراسة تقرير مجلس الإدارة عن نشاط الشركة ومركزها المالي خلال السنة المالية المنتهية، والموافقة عليه</w:t>
      </w:r>
      <w:r w:rsidRPr="00EB5BCF">
        <w:rPr>
          <w:rFonts w:ascii="Traditional Arabic" w:hAnsi="Traditional Arabic" w:cs="Traditional Arabic"/>
          <w:sz w:val="30"/>
          <w:szCs w:val="30"/>
        </w:rPr>
        <w:t>.</w:t>
      </w:r>
    </w:p>
    <w:p w14:paraId="3A8FACDA"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٢</w:t>
      </w:r>
      <w:r w:rsidRPr="00EB5BCF">
        <w:rPr>
          <w:rFonts w:ascii="Traditional Arabic" w:hAnsi="Traditional Arabic" w:cs="Traditional Arabic"/>
          <w:sz w:val="30"/>
          <w:szCs w:val="30"/>
        </w:rPr>
        <w:t xml:space="preserve">- </w:t>
      </w:r>
      <w:r w:rsidRPr="00EB5BCF">
        <w:rPr>
          <w:rFonts w:ascii="Traditional Arabic" w:hAnsi="Traditional Arabic" w:cs="Traditional Arabic"/>
          <w:sz w:val="30"/>
          <w:szCs w:val="30"/>
          <w:rtl/>
        </w:rPr>
        <w:t>دراسة تقرير مجلس الإدارة عن تنظيم وإدارة الشركة خلال السنة المالية المنتهية، والموافقة عليه</w:t>
      </w:r>
      <w:r w:rsidRPr="00EB5BCF">
        <w:rPr>
          <w:rFonts w:ascii="Traditional Arabic" w:hAnsi="Traditional Arabic" w:cs="Traditional Arabic"/>
          <w:sz w:val="30"/>
          <w:szCs w:val="30"/>
        </w:rPr>
        <w:t>.</w:t>
      </w:r>
    </w:p>
    <w:p w14:paraId="34E70921"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٣</w:t>
      </w:r>
      <w:r w:rsidRPr="00EB5BCF">
        <w:rPr>
          <w:rFonts w:ascii="Traditional Arabic" w:hAnsi="Traditional Arabic" w:cs="Traditional Arabic"/>
          <w:sz w:val="30"/>
          <w:szCs w:val="30"/>
        </w:rPr>
        <w:t xml:space="preserve">- </w:t>
      </w:r>
      <w:r w:rsidRPr="00EB5BCF">
        <w:rPr>
          <w:rFonts w:ascii="Traditional Arabic" w:hAnsi="Traditional Arabic" w:cs="Traditional Arabic"/>
          <w:sz w:val="30"/>
          <w:szCs w:val="30"/>
          <w:rtl/>
        </w:rPr>
        <w:t>دراسة تقرير مراقب الحسابات عن البيانات المالية المدققة للشركة عن السنة المالية المنتهية والموافقة عليه</w:t>
      </w:r>
      <w:r w:rsidRPr="00EB5BCF">
        <w:rPr>
          <w:rFonts w:ascii="Traditional Arabic" w:hAnsi="Traditional Arabic" w:cs="Traditional Arabic"/>
          <w:sz w:val="30"/>
          <w:szCs w:val="30"/>
        </w:rPr>
        <w:t>.</w:t>
      </w:r>
    </w:p>
    <w:p w14:paraId="1E55F9FA"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٤</w:t>
      </w:r>
      <w:r w:rsidRPr="00EB5BCF">
        <w:rPr>
          <w:rFonts w:ascii="Traditional Arabic" w:hAnsi="Traditional Arabic" w:cs="Traditional Arabic"/>
          <w:sz w:val="30"/>
          <w:szCs w:val="30"/>
        </w:rPr>
        <w:t xml:space="preserve">- </w:t>
      </w:r>
      <w:r w:rsidRPr="00EB5BCF">
        <w:rPr>
          <w:rFonts w:ascii="Traditional Arabic" w:hAnsi="Traditional Arabic" w:cs="Traditional Arabic"/>
          <w:sz w:val="30"/>
          <w:szCs w:val="30"/>
          <w:rtl/>
        </w:rPr>
        <w:t>انتخاب أعضاء مجلس الإدارة، وعزلهم</w:t>
      </w:r>
      <w:r w:rsidRPr="00EB5BCF">
        <w:rPr>
          <w:rFonts w:ascii="Traditional Arabic" w:hAnsi="Traditional Arabic" w:cs="Traditional Arabic"/>
          <w:sz w:val="30"/>
          <w:szCs w:val="30"/>
        </w:rPr>
        <w:t>.</w:t>
      </w:r>
    </w:p>
    <w:p w14:paraId="6363AE21"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٥</w:t>
      </w:r>
      <w:r w:rsidRPr="00EB5BCF">
        <w:rPr>
          <w:rFonts w:ascii="Traditional Arabic" w:hAnsi="Traditional Arabic" w:cs="Traditional Arabic"/>
          <w:sz w:val="30"/>
          <w:szCs w:val="30"/>
        </w:rPr>
        <w:t xml:space="preserve">- </w:t>
      </w:r>
      <w:r w:rsidRPr="00EB5BCF">
        <w:rPr>
          <w:rFonts w:ascii="Traditional Arabic" w:hAnsi="Traditional Arabic" w:cs="Traditional Arabic"/>
          <w:sz w:val="30"/>
          <w:szCs w:val="30"/>
          <w:rtl/>
        </w:rPr>
        <w:t>دراسة مقترح توزيع أنصبة الأرباح على المساهمين، والموافقة عليه</w:t>
      </w:r>
      <w:r w:rsidRPr="00EB5BCF">
        <w:rPr>
          <w:rFonts w:ascii="Traditional Arabic" w:hAnsi="Traditional Arabic" w:cs="Traditional Arabic"/>
          <w:sz w:val="30"/>
          <w:szCs w:val="30"/>
        </w:rPr>
        <w:t>.</w:t>
      </w:r>
    </w:p>
    <w:p w14:paraId="021C1EAE"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t>٦</w:t>
      </w:r>
      <w:r w:rsidRPr="00EB5BCF">
        <w:rPr>
          <w:rFonts w:ascii="Traditional Arabic" w:hAnsi="Traditional Arabic" w:cs="Traditional Arabic"/>
          <w:sz w:val="30"/>
          <w:szCs w:val="30"/>
        </w:rPr>
        <w:t xml:space="preserve">- </w:t>
      </w:r>
      <w:r w:rsidRPr="00EB5BCF">
        <w:rPr>
          <w:rFonts w:ascii="Traditional Arabic" w:hAnsi="Traditional Arabic" w:cs="Traditional Arabic"/>
          <w:sz w:val="30"/>
          <w:szCs w:val="30"/>
          <w:rtl/>
        </w:rPr>
        <w:t>الموافقة على مكافآت أعضاء مجلس الإدارة، وبدل حضور الجلسات</w:t>
      </w:r>
      <w:r w:rsidRPr="00EB5BCF">
        <w:rPr>
          <w:rFonts w:ascii="Traditional Arabic" w:hAnsi="Traditional Arabic" w:cs="Traditional Arabic"/>
          <w:sz w:val="30"/>
          <w:szCs w:val="30"/>
        </w:rPr>
        <w:t>.</w:t>
      </w:r>
    </w:p>
    <w:p w14:paraId="0BD1A1E7"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Pr>
      </w:pPr>
      <w:r w:rsidRPr="00EB5BCF">
        <w:rPr>
          <w:rFonts w:ascii="Traditional Arabic" w:hAnsi="Traditional Arabic" w:cs="Traditional Arabic"/>
          <w:sz w:val="30"/>
          <w:szCs w:val="30"/>
          <w:rtl/>
        </w:rPr>
        <w:lastRenderedPageBreak/>
        <w:t>٧</w:t>
      </w:r>
      <w:r w:rsidRPr="00EB5BCF">
        <w:rPr>
          <w:rFonts w:ascii="Traditional Arabic" w:hAnsi="Traditional Arabic" w:cs="Traditional Arabic"/>
          <w:sz w:val="30"/>
          <w:szCs w:val="30"/>
        </w:rPr>
        <w:t xml:space="preserve">- </w:t>
      </w:r>
      <w:r w:rsidRPr="00EB5BCF">
        <w:rPr>
          <w:rFonts w:ascii="Traditional Arabic" w:hAnsi="Traditional Arabic" w:cs="Traditional Arabic"/>
          <w:sz w:val="30"/>
          <w:szCs w:val="30"/>
          <w:rtl/>
        </w:rPr>
        <w:t>تعيين مراقب الحسابات للسنة المالية الجديدة، وتحديد أتعابه</w:t>
      </w:r>
      <w:r w:rsidRPr="00EB5BCF">
        <w:rPr>
          <w:rFonts w:ascii="Traditional Arabic" w:hAnsi="Traditional Arabic" w:cs="Traditional Arabic"/>
          <w:sz w:val="30"/>
          <w:szCs w:val="30"/>
        </w:rPr>
        <w:t>.</w:t>
      </w:r>
    </w:p>
    <w:p w14:paraId="043CC03D"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Pr>
      </w:pPr>
    </w:p>
    <w:p w14:paraId="29A799CD"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يضع مجلس الإدارة جدول أعمال الجمعية العامة العادية والجمعية العامة السنوية، أو مراقبو الحسابات إذا كانت الدعوة للجمعية صادرة من قبلهم</w:t>
      </w:r>
      <w:r w:rsidR="00380E89" w:rsidRPr="00EB5BCF">
        <w:rPr>
          <w:rFonts w:ascii="Traditional Arabic" w:hAnsi="Traditional Arabic" w:cs="Traditional Arabic"/>
          <w:sz w:val="30"/>
          <w:szCs w:val="30"/>
          <w:rtl/>
        </w:rPr>
        <w:t>،</w:t>
      </w:r>
      <w:r w:rsidRPr="00EB5BCF">
        <w:rPr>
          <w:rFonts w:ascii="Traditional Arabic" w:hAnsi="Traditional Arabic" w:cs="Traditional Arabic"/>
          <w:sz w:val="30"/>
          <w:szCs w:val="30"/>
          <w:rtl/>
        </w:rPr>
        <w:t xml:space="preserve"> وعلى مجلس الإدارة أو مراقبي الحسابات، بحسب الحال، أن يدرجوا في جدول الأعمال أي </w:t>
      </w:r>
      <w:r w:rsidR="00380E89" w:rsidRPr="00EB5BCF">
        <w:rPr>
          <w:rFonts w:ascii="Traditional Arabic" w:hAnsi="Traditional Arabic" w:cs="Traditional Arabic"/>
          <w:sz w:val="30"/>
          <w:szCs w:val="30"/>
          <w:rtl/>
        </w:rPr>
        <w:t>اقتراح</w:t>
      </w:r>
      <w:r w:rsidRPr="00EB5BCF">
        <w:rPr>
          <w:rFonts w:ascii="Traditional Arabic" w:hAnsi="Traditional Arabic" w:cs="Traditional Arabic"/>
          <w:sz w:val="30"/>
          <w:szCs w:val="30"/>
          <w:rtl/>
        </w:rPr>
        <w:t xml:space="preserve"> يقدمه مساهمون يمثلون أكثر من (5%) خمسة بالمائة من رأس المال المصدر للشركة، شريطة أن يرد هذا </w:t>
      </w:r>
      <w:r w:rsidR="00380E89" w:rsidRPr="00EB5BCF">
        <w:rPr>
          <w:rFonts w:ascii="Traditional Arabic" w:hAnsi="Traditional Arabic" w:cs="Traditional Arabic"/>
          <w:sz w:val="30"/>
          <w:szCs w:val="30"/>
          <w:rtl/>
        </w:rPr>
        <w:t>الاقتراح</w:t>
      </w:r>
      <w:r w:rsidRPr="00EB5BCF">
        <w:rPr>
          <w:rFonts w:ascii="Traditional Arabic" w:hAnsi="Traditional Arabic" w:cs="Traditional Arabic"/>
          <w:sz w:val="30"/>
          <w:szCs w:val="30"/>
          <w:rtl/>
        </w:rPr>
        <w:t xml:space="preserve"> لإدراجه في جدول الأعمال قبل الموعد المحدد للجمعية بعشرين (20) يوما على الأقل.</w:t>
      </w:r>
    </w:p>
    <w:p w14:paraId="1DC41A28"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rPr>
      </w:pPr>
    </w:p>
    <w:p w14:paraId="072C2476" w14:textId="77777777" w:rsidR="00A818C2" w:rsidRPr="00EB5BCF" w:rsidRDefault="00380E89" w:rsidP="00A818C2">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w:t>
      </w:r>
      <w:r w:rsidR="00A818C2" w:rsidRPr="00EB5BCF">
        <w:rPr>
          <w:rFonts w:ascii="Traditional Arabic" w:hAnsi="Traditional Arabic" w:cs="Traditional Arabic"/>
          <w:sz w:val="30"/>
          <w:szCs w:val="30"/>
          <w:rtl/>
        </w:rPr>
        <w:t xml:space="preserve">لا </w:t>
      </w:r>
      <w:r w:rsidR="007837A3" w:rsidRPr="00EB5BCF">
        <w:rPr>
          <w:rFonts w:ascii="Traditional Arabic" w:hAnsi="Traditional Arabic" w:cs="Traditional Arabic"/>
          <w:sz w:val="30"/>
          <w:szCs w:val="30"/>
          <w:rtl/>
        </w:rPr>
        <w:t xml:space="preserve">يكون انعقاد </w:t>
      </w:r>
      <w:r w:rsidR="00A818C2" w:rsidRPr="00EB5BCF">
        <w:rPr>
          <w:rFonts w:ascii="Traditional Arabic" w:hAnsi="Traditional Arabic" w:cs="Traditional Arabic"/>
          <w:sz w:val="30"/>
          <w:szCs w:val="30"/>
          <w:rtl/>
        </w:rPr>
        <w:t xml:space="preserve">الجمعية العامة العادية والجمعية العامة السنوية </w:t>
      </w:r>
      <w:r w:rsidR="007837A3" w:rsidRPr="00EB5BCF">
        <w:rPr>
          <w:rFonts w:ascii="Traditional Arabic" w:hAnsi="Traditional Arabic" w:cs="Traditional Arabic"/>
          <w:sz w:val="30"/>
          <w:szCs w:val="30"/>
          <w:rtl/>
        </w:rPr>
        <w:t>صحيحاً</w:t>
      </w:r>
      <w:r w:rsidR="00A818C2" w:rsidRPr="00EB5BCF">
        <w:rPr>
          <w:rFonts w:ascii="Traditional Arabic" w:hAnsi="Traditional Arabic" w:cs="Traditional Arabic"/>
          <w:sz w:val="30"/>
          <w:szCs w:val="30"/>
          <w:rtl/>
        </w:rPr>
        <w:t xml:space="preserve"> إلا إذا حضر الاجتماع، شخصيا</w:t>
      </w:r>
      <w:r w:rsidR="00982591" w:rsidRPr="00EB5BCF">
        <w:rPr>
          <w:rFonts w:ascii="Traditional Arabic" w:hAnsi="Traditional Arabic" w:cs="Traditional Arabic"/>
          <w:sz w:val="30"/>
          <w:szCs w:val="30"/>
          <w:rtl/>
        </w:rPr>
        <w:t>ً</w:t>
      </w:r>
      <w:r w:rsidR="00A818C2" w:rsidRPr="00EB5BCF">
        <w:rPr>
          <w:rFonts w:ascii="Traditional Arabic" w:hAnsi="Traditional Arabic" w:cs="Traditional Arabic"/>
          <w:sz w:val="30"/>
          <w:szCs w:val="30"/>
          <w:rtl/>
        </w:rPr>
        <w:t xml:space="preserve"> أو بالوكالة، مساهمون يمثلون نصف رأس المال المصدر للشركة على الأقل</w:t>
      </w:r>
      <w:r w:rsidR="00E30067" w:rsidRPr="00EB5BCF">
        <w:rPr>
          <w:rFonts w:ascii="Traditional Arabic" w:hAnsi="Traditional Arabic" w:cs="Traditional Arabic"/>
          <w:sz w:val="30"/>
          <w:szCs w:val="30"/>
          <w:rtl/>
        </w:rPr>
        <w:t>،</w:t>
      </w:r>
      <w:r w:rsidR="00A818C2" w:rsidRPr="00EB5BCF">
        <w:rPr>
          <w:rFonts w:ascii="Traditional Arabic" w:hAnsi="Traditional Arabic" w:cs="Traditional Arabic"/>
          <w:sz w:val="30"/>
          <w:szCs w:val="30"/>
          <w:rtl/>
        </w:rPr>
        <w:t xml:space="preserve"> وإذا لم يتو</w:t>
      </w:r>
      <w:r w:rsidR="00E30067" w:rsidRPr="00EB5BCF">
        <w:rPr>
          <w:rFonts w:ascii="Traditional Arabic" w:hAnsi="Traditional Arabic" w:cs="Traditional Arabic"/>
          <w:sz w:val="30"/>
          <w:szCs w:val="30"/>
          <w:rtl/>
        </w:rPr>
        <w:t>ا</w:t>
      </w:r>
      <w:r w:rsidR="00A818C2" w:rsidRPr="00EB5BCF">
        <w:rPr>
          <w:rFonts w:ascii="Traditional Arabic" w:hAnsi="Traditional Arabic" w:cs="Traditional Arabic"/>
          <w:sz w:val="30"/>
          <w:szCs w:val="30"/>
          <w:rtl/>
        </w:rPr>
        <w:t xml:space="preserve">فر هذا النصاب، وجب انعقاد الجمعية الثانية خلال سبعة أيام على الأكثر من تاريخ الجمعية الأولى لمناقشة نفس جدول الأعمال ويكون التاريخ المحدد في الدعوة الموجهة لحضور الاجتماع الأول. وتكون قرارات الجمعية الثانية قانونية مهما كان عدد الأسهم الممثلة شريطة أن تكون هذه الجمعية قد عقدت خلال سبعة (7) أيام من تاريخ الجمعية الأولى، وتتخذ الجمعية العامة العادية والجمعية العامة السنوية قراراتها بالأغلبية المطلقة للأصوات التي اقترعت </w:t>
      </w:r>
      <w:r w:rsidR="00E30067" w:rsidRPr="00EB5BCF">
        <w:rPr>
          <w:rFonts w:ascii="Traditional Arabic" w:hAnsi="Traditional Arabic" w:cs="Traditional Arabic"/>
          <w:sz w:val="30"/>
          <w:szCs w:val="30"/>
          <w:rtl/>
        </w:rPr>
        <w:t>بشأن</w:t>
      </w:r>
      <w:r w:rsidR="00A818C2" w:rsidRPr="00EB5BCF">
        <w:rPr>
          <w:rFonts w:ascii="Traditional Arabic" w:hAnsi="Traditional Arabic" w:cs="Traditional Arabic"/>
          <w:sz w:val="30"/>
          <w:szCs w:val="30"/>
          <w:rtl/>
        </w:rPr>
        <w:t xml:space="preserve"> قرار معين.</w:t>
      </w:r>
    </w:p>
    <w:p w14:paraId="437F719F"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rPr>
      </w:pPr>
    </w:p>
    <w:p w14:paraId="0B36C7CB" w14:textId="77777777" w:rsidR="00A818C2" w:rsidRPr="00EB5BCF" w:rsidRDefault="00A818C2" w:rsidP="00A818C2">
      <w:pPr>
        <w:autoSpaceDE w:val="0"/>
        <w:autoSpaceDN w:val="0"/>
        <w:bidi/>
        <w:adjustRightInd w:val="0"/>
        <w:jc w:val="both"/>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rPr>
        <w:t>اجتماعات الجمعية العامة غير العادية</w:t>
      </w:r>
    </w:p>
    <w:p w14:paraId="4F9B60DB" w14:textId="77777777" w:rsidR="00757427" w:rsidRPr="00EB5BCF" w:rsidRDefault="00A818C2" w:rsidP="00757427">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تختص الجمعية العامة غير العادية طبقًا للمادة (176) من قانون الشركات التجارية بالآتي:</w:t>
      </w:r>
      <w:r w:rsidRPr="00EB5BCF" w:rsidDel="006327E5">
        <w:rPr>
          <w:rFonts w:ascii="Traditional Arabic" w:hAnsi="Traditional Arabic" w:cs="Traditional Arabic"/>
          <w:sz w:val="30"/>
          <w:szCs w:val="30"/>
          <w:rtl/>
        </w:rPr>
        <w:t xml:space="preserve"> </w:t>
      </w:r>
    </w:p>
    <w:p w14:paraId="16DF8E8C" w14:textId="77777777" w:rsidR="007837A3" w:rsidRPr="00EB5BCF" w:rsidRDefault="007837A3" w:rsidP="00922116">
      <w:pPr>
        <w:pStyle w:val="ListParagraph"/>
        <w:numPr>
          <w:ilvl w:val="0"/>
          <w:numId w:val="19"/>
        </w:num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تعديل النظام الأساسي للشركة.</w:t>
      </w:r>
    </w:p>
    <w:p w14:paraId="196C544C" w14:textId="77777777" w:rsidR="00A818C2" w:rsidRPr="00EB5BCF" w:rsidRDefault="00A818C2" w:rsidP="00922116">
      <w:pPr>
        <w:pStyle w:val="ListParagraph"/>
        <w:numPr>
          <w:ilvl w:val="0"/>
          <w:numId w:val="19"/>
        </w:num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التصرف في موجودات الشركة الثابتة، أو في جزء منها تشكل قيمته (25%) خمسة وعشرين في المائة فأكثر من صافي قيمة أصول الشركة.</w:t>
      </w:r>
    </w:p>
    <w:p w14:paraId="6BEAAD5E" w14:textId="77777777" w:rsidR="00A818C2" w:rsidRPr="00EB5BCF" w:rsidRDefault="00A818C2" w:rsidP="00922116">
      <w:pPr>
        <w:numPr>
          <w:ilvl w:val="0"/>
          <w:numId w:val="19"/>
        </w:num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تحول الشركة أو اندماجها أو حلها </w:t>
      </w:r>
      <w:r w:rsidR="004239E6" w:rsidRPr="00EB5BCF">
        <w:rPr>
          <w:rFonts w:ascii="Traditional Arabic" w:hAnsi="Traditional Arabic" w:cs="Traditional Arabic" w:hint="eastAsia"/>
          <w:sz w:val="30"/>
          <w:szCs w:val="30"/>
          <w:rtl/>
        </w:rPr>
        <w:t>أو</w:t>
      </w:r>
      <w:r w:rsidR="004239E6" w:rsidRPr="00EB5BCF">
        <w:rPr>
          <w:rFonts w:ascii="Traditional Arabic" w:hAnsi="Traditional Arabic" w:cs="Traditional Arabic"/>
          <w:sz w:val="30"/>
          <w:szCs w:val="30"/>
          <w:rtl/>
        </w:rPr>
        <w:t xml:space="preserve"> </w:t>
      </w:r>
      <w:r w:rsidR="004239E6" w:rsidRPr="00EB5BCF">
        <w:rPr>
          <w:rFonts w:ascii="Traditional Arabic" w:hAnsi="Traditional Arabic" w:cs="Traditional Arabic" w:hint="eastAsia"/>
          <w:sz w:val="30"/>
          <w:szCs w:val="30"/>
          <w:rtl/>
        </w:rPr>
        <w:t>ت</w:t>
      </w:r>
      <w:r w:rsidRPr="00EB5BCF">
        <w:rPr>
          <w:rFonts w:ascii="Traditional Arabic" w:hAnsi="Traditional Arabic" w:cs="Traditional Arabic"/>
          <w:sz w:val="30"/>
          <w:szCs w:val="30"/>
          <w:rtl/>
        </w:rPr>
        <w:t xml:space="preserve">صفيتها. </w:t>
      </w:r>
    </w:p>
    <w:p w14:paraId="2509CD1C" w14:textId="77777777" w:rsidR="00BB2574" w:rsidRDefault="00BB2574" w:rsidP="00BB2574">
      <w:pPr>
        <w:autoSpaceDE w:val="0"/>
        <w:autoSpaceDN w:val="0"/>
        <w:bidi/>
        <w:adjustRightInd w:val="0"/>
        <w:ind w:left="360"/>
        <w:jc w:val="both"/>
        <w:rPr>
          <w:rFonts w:ascii="Traditional Arabic" w:hAnsi="Traditional Arabic" w:cs="Traditional Arabic"/>
          <w:sz w:val="30"/>
          <w:szCs w:val="30"/>
          <w:rtl/>
        </w:rPr>
      </w:pPr>
    </w:p>
    <w:p w14:paraId="040E7C9F" w14:textId="77777777" w:rsidR="00A818C2" w:rsidRPr="00EB5BCF" w:rsidRDefault="00A818C2" w:rsidP="00CD53BC">
      <w:pPr>
        <w:autoSpaceDE w:val="0"/>
        <w:autoSpaceDN w:val="0"/>
        <w:bidi/>
        <w:adjustRightInd w:val="0"/>
        <w:ind w:left="36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وتُعقد الجمعية العامة غير العادية للنظر والبت في أي أمور أخرى يعود إليها حصرًا أمر البت فيها بموجب </w:t>
      </w:r>
      <w:r w:rsidR="007517FB">
        <w:rPr>
          <w:rFonts w:ascii="Traditional Arabic" w:hAnsi="Traditional Arabic" w:cs="Traditional Arabic" w:hint="cs"/>
          <w:sz w:val="30"/>
          <w:szCs w:val="30"/>
          <w:rtl/>
        </w:rPr>
        <w:t>قانون الشركات التجارية</w:t>
      </w:r>
      <w:r w:rsidR="007517FB"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أو نظام الشركة.</w:t>
      </w:r>
    </w:p>
    <w:p w14:paraId="3ACFA43F"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rPr>
      </w:pPr>
    </w:p>
    <w:p w14:paraId="4ADCDF7A" w14:textId="77777777" w:rsidR="00A818C2" w:rsidRPr="00EB5BCF" w:rsidRDefault="0099315F" w:rsidP="00A818C2">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w:t>
      </w:r>
      <w:r w:rsidR="00A818C2" w:rsidRPr="00EB5BCF">
        <w:rPr>
          <w:rFonts w:ascii="Traditional Arabic" w:hAnsi="Traditional Arabic" w:cs="Traditional Arabic"/>
          <w:sz w:val="30"/>
          <w:szCs w:val="30"/>
          <w:rtl/>
        </w:rPr>
        <w:t>لا تكون قرار</w:t>
      </w:r>
      <w:r w:rsidRPr="00EB5BCF">
        <w:rPr>
          <w:rFonts w:ascii="Traditional Arabic" w:hAnsi="Traditional Arabic" w:cs="Traditional Arabic"/>
          <w:sz w:val="30"/>
          <w:szCs w:val="30"/>
          <w:rtl/>
        </w:rPr>
        <w:t>ا</w:t>
      </w:r>
      <w:r w:rsidR="00A818C2" w:rsidRPr="00EB5BCF">
        <w:rPr>
          <w:rFonts w:ascii="Traditional Arabic" w:hAnsi="Traditional Arabic" w:cs="Traditional Arabic"/>
          <w:sz w:val="30"/>
          <w:szCs w:val="30"/>
          <w:rtl/>
        </w:rPr>
        <w:t>ت الجمعية العامة غير العادية قانونية إلا إذا حضر الاجتماع، شخصياً أو بالوكالة، مساهمون يمثلون خمسة وسبعون في المائة (75%) من رأس المال للشركة على الأقل</w:t>
      </w:r>
      <w:r w:rsidRPr="00EB5BCF">
        <w:rPr>
          <w:rFonts w:ascii="Traditional Arabic" w:hAnsi="Traditional Arabic" w:cs="Traditional Arabic"/>
          <w:sz w:val="30"/>
          <w:szCs w:val="30"/>
          <w:rtl/>
        </w:rPr>
        <w:t>،</w:t>
      </w:r>
      <w:r w:rsidR="00A818C2"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و</w:t>
      </w:r>
      <w:r w:rsidR="00A818C2" w:rsidRPr="00EB5BCF">
        <w:rPr>
          <w:rFonts w:ascii="Traditional Arabic" w:hAnsi="Traditional Arabic" w:cs="Traditional Arabic"/>
          <w:sz w:val="30"/>
          <w:szCs w:val="30"/>
          <w:rtl/>
        </w:rPr>
        <w:t>إذا لم يتو</w:t>
      </w:r>
      <w:r w:rsidRPr="00EB5BCF">
        <w:rPr>
          <w:rFonts w:ascii="Traditional Arabic" w:hAnsi="Traditional Arabic" w:cs="Traditional Arabic"/>
          <w:sz w:val="30"/>
          <w:szCs w:val="30"/>
          <w:rtl/>
        </w:rPr>
        <w:t>ا</w:t>
      </w:r>
      <w:r w:rsidR="00A818C2" w:rsidRPr="00EB5BCF">
        <w:rPr>
          <w:rFonts w:ascii="Traditional Arabic" w:hAnsi="Traditional Arabic" w:cs="Traditional Arabic"/>
          <w:sz w:val="30"/>
          <w:szCs w:val="30"/>
          <w:rtl/>
        </w:rPr>
        <w:t xml:space="preserve">فر هذا النصاب، وجب انعقاد الجمعية في اجتماع ثان في التاريخ المحدد في الدعوة الموجهة لحضور الاجتماع الأول وذلك خلال (7) سبعة أيام على الأكثر من التاريخ المحدد للاجتماع الأول. </w:t>
      </w:r>
    </w:p>
    <w:p w14:paraId="167615F4"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rPr>
      </w:pPr>
    </w:p>
    <w:p w14:paraId="4B34E1D2"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lastRenderedPageBreak/>
        <w:t>تكون قرارات الجمعية الثانية قانونية إذا حضر الاجتماع، شخصياً أو بالوكالة، مساهمون يمثلون</w:t>
      </w:r>
      <w:r w:rsidRPr="00EB5BCF">
        <w:rPr>
          <w:rFonts w:ascii="Traditional Arabic" w:hAnsi="Traditional Arabic" w:cs="Traditional Arabic"/>
          <w:sz w:val="30"/>
          <w:szCs w:val="30"/>
          <w:rtl/>
          <w:lang w:bidi="ar-OM"/>
        </w:rPr>
        <w:t xml:space="preserve"> أكثر من</w:t>
      </w:r>
      <w:r w:rsidRPr="00EB5BCF">
        <w:rPr>
          <w:rFonts w:ascii="Traditional Arabic" w:hAnsi="Traditional Arabic" w:cs="Traditional Arabic"/>
          <w:sz w:val="30"/>
          <w:szCs w:val="30"/>
          <w:rtl/>
        </w:rPr>
        <w:t xml:space="preserve"> نصف رأس المال المصدر للشركة على الأقل، شريطة أن تكون هذه الجمعية قد عقدت خلال سبعة أيام على الأكثر من تاريخ الجمعية الأولى. </w:t>
      </w:r>
    </w:p>
    <w:p w14:paraId="46C80743" w14:textId="77777777" w:rsidR="00A818C2" w:rsidRPr="00EB5BCF" w:rsidRDefault="00A818C2" w:rsidP="00A818C2">
      <w:pPr>
        <w:autoSpaceDE w:val="0"/>
        <w:autoSpaceDN w:val="0"/>
        <w:bidi/>
        <w:adjustRightInd w:val="0"/>
        <w:jc w:val="both"/>
        <w:rPr>
          <w:rFonts w:ascii="Traditional Arabic" w:hAnsi="Traditional Arabic" w:cs="Traditional Arabic"/>
          <w:sz w:val="30"/>
          <w:szCs w:val="30"/>
          <w:rtl/>
          <w:lang w:val="en-GB"/>
        </w:rPr>
      </w:pPr>
    </w:p>
    <w:p w14:paraId="02CB643E" w14:textId="77777777" w:rsidR="00A818C2" w:rsidRPr="00EB5BCF" w:rsidRDefault="00A44440" w:rsidP="00A818C2">
      <w:pPr>
        <w:autoSpaceDE w:val="0"/>
        <w:autoSpaceDN w:val="0"/>
        <w:bidi/>
        <w:adjustRightInd w:val="0"/>
        <w:jc w:val="both"/>
        <w:rPr>
          <w:rFonts w:ascii="Traditional Arabic" w:hAnsi="Traditional Arabic" w:cs="Traditional Arabic"/>
          <w:sz w:val="30"/>
          <w:szCs w:val="30"/>
          <w:lang w:val="en-GB"/>
        </w:rPr>
      </w:pPr>
      <w:r w:rsidRPr="00EB5BCF">
        <w:rPr>
          <w:rFonts w:ascii="Traditional Arabic" w:hAnsi="Traditional Arabic" w:cs="Traditional Arabic"/>
          <w:sz w:val="30"/>
          <w:szCs w:val="30"/>
          <w:rtl/>
        </w:rPr>
        <w:t>و</w:t>
      </w:r>
      <w:r w:rsidR="00A818C2" w:rsidRPr="00EB5BCF">
        <w:rPr>
          <w:rFonts w:ascii="Traditional Arabic" w:hAnsi="Traditional Arabic" w:cs="Traditional Arabic"/>
          <w:sz w:val="30"/>
          <w:szCs w:val="30"/>
          <w:rtl/>
        </w:rPr>
        <w:t>تتخذ الجمعية العامة غير العادية قراراتها بأكثرية ثلاثة أرباع الأصوات التي اقترعت بشأن قرار معين، شريطة أن ينال هذا القرار أصواتا</w:t>
      </w:r>
      <w:r w:rsidR="007837A3" w:rsidRPr="00EB5BCF">
        <w:rPr>
          <w:rFonts w:ascii="Traditional Arabic" w:hAnsi="Traditional Arabic" w:cs="Traditional Arabic"/>
          <w:sz w:val="30"/>
          <w:szCs w:val="30"/>
          <w:rtl/>
        </w:rPr>
        <w:t>ً</w:t>
      </w:r>
      <w:r w:rsidR="00A818C2" w:rsidRPr="00EB5BCF">
        <w:rPr>
          <w:rFonts w:ascii="Traditional Arabic" w:hAnsi="Traditional Arabic" w:cs="Traditional Arabic"/>
          <w:sz w:val="30"/>
          <w:szCs w:val="30"/>
          <w:rtl/>
        </w:rPr>
        <w:t xml:space="preserve"> تزيد عن نصف أسهم رأس مال الشركة غير أن هذه القرارات لا تكون نافذة إلا إذا وافقت عليها </w:t>
      </w:r>
      <w:r w:rsidR="002D7E14">
        <w:rPr>
          <w:rFonts w:ascii="Traditional Arabic" w:hAnsi="Traditional Arabic" w:cs="Traditional Arabic"/>
          <w:sz w:val="30"/>
          <w:szCs w:val="30"/>
          <w:rtl/>
        </w:rPr>
        <w:t>هيئة الخدمات المالية</w:t>
      </w:r>
      <w:r w:rsidR="00A818C2" w:rsidRPr="00EB5BCF">
        <w:rPr>
          <w:rFonts w:ascii="Traditional Arabic" w:hAnsi="Traditional Arabic" w:cs="Traditional Arabic"/>
          <w:sz w:val="30"/>
          <w:szCs w:val="30"/>
          <w:rtl/>
        </w:rPr>
        <w:t xml:space="preserve"> وقُيدت حسب الأصول.</w:t>
      </w:r>
    </w:p>
    <w:p w14:paraId="4FD15C44" w14:textId="77777777" w:rsidR="00A818C2" w:rsidRDefault="00A818C2" w:rsidP="00A818C2">
      <w:pPr>
        <w:autoSpaceDE w:val="0"/>
        <w:autoSpaceDN w:val="0"/>
        <w:bidi/>
        <w:adjustRightInd w:val="0"/>
        <w:jc w:val="both"/>
        <w:rPr>
          <w:rFonts w:ascii="Traditional Arabic" w:hAnsi="Traditional Arabic" w:cs="Traditional Arabic"/>
          <w:sz w:val="30"/>
          <w:szCs w:val="30"/>
          <w:rtl/>
          <w:lang w:val="en-GB"/>
        </w:rPr>
      </w:pPr>
    </w:p>
    <w:p w14:paraId="2DCD69F5" w14:textId="77777777" w:rsidR="0076016B" w:rsidRDefault="0076016B" w:rsidP="001E04E8">
      <w:pPr>
        <w:autoSpaceDE w:val="0"/>
        <w:autoSpaceDN w:val="0"/>
        <w:bidi/>
        <w:adjustRightInd w:val="0"/>
        <w:jc w:val="both"/>
        <w:rPr>
          <w:rFonts w:ascii="Traditional Arabic" w:hAnsi="Traditional Arabic" w:cs="Traditional Arabic"/>
          <w:sz w:val="30"/>
          <w:szCs w:val="30"/>
          <w:rtl/>
          <w:lang w:val="en-GB"/>
        </w:rPr>
      </w:pPr>
      <w:r>
        <w:rPr>
          <w:rFonts w:ascii="Traditional Arabic" w:hAnsi="Traditional Arabic" w:cs="Traditional Arabic" w:hint="cs"/>
          <w:b/>
          <w:bCs/>
          <w:sz w:val="30"/>
          <w:szCs w:val="30"/>
          <w:rtl/>
          <w:lang w:val="en-GB"/>
        </w:rPr>
        <w:t xml:space="preserve">التظلم من قرارات </w:t>
      </w:r>
      <w:r w:rsidRPr="0076016B">
        <w:rPr>
          <w:rFonts w:ascii="Traditional Arabic" w:hAnsi="Traditional Arabic" w:cs="Traditional Arabic" w:hint="cs"/>
          <w:b/>
          <w:bCs/>
          <w:sz w:val="30"/>
          <w:szCs w:val="30"/>
          <w:rtl/>
          <w:lang w:val="en-GB"/>
        </w:rPr>
        <w:t>المساهمين</w:t>
      </w:r>
    </w:p>
    <w:p w14:paraId="3C66B0E6" w14:textId="77777777" w:rsidR="0076016B" w:rsidRDefault="0076016B" w:rsidP="00EF2C0D">
      <w:pPr>
        <w:autoSpaceDE w:val="0"/>
        <w:autoSpaceDN w:val="0"/>
        <w:bidi/>
        <w:adjustRightInd w:val="0"/>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لهيئة الخدمات المالية</w:t>
      </w:r>
      <w:r w:rsidR="001E04E8" w:rsidRPr="001E04E8">
        <w:rPr>
          <w:rFonts w:ascii="Traditional Arabic" w:hAnsi="Traditional Arabic" w:cs="Traditional Arabic"/>
          <w:sz w:val="30"/>
          <w:szCs w:val="30"/>
          <w:rtl/>
          <w:lang w:val="en-GB"/>
        </w:rPr>
        <w:t xml:space="preserve"> – بناء على طلب المساهمين الذين يملكون نسبة لا تقل عن (٥٪) خمسة في المائة من أسهم الشركة – إصدار قرار بوقف قرارات الجمعية العامة للشركة الصادرة إضرارا بهم، أو الصادرة لصالح فئة معينة من المساهمين، أو لجلب نفع خاص لأعضاء مجلس الإدارة أو غيرهم، متى ثبت لها جدية أسباب الطلب</w:t>
      </w:r>
      <w:r w:rsidR="001E04E8" w:rsidRPr="001E04E8">
        <w:rPr>
          <w:rFonts w:ascii="Traditional Arabic" w:hAnsi="Traditional Arabic" w:cs="Traditional Arabic"/>
          <w:sz w:val="30"/>
          <w:szCs w:val="30"/>
        </w:rPr>
        <w:t>.</w:t>
      </w:r>
      <w:r w:rsidR="001E04E8" w:rsidRPr="001E04E8">
        <w:rPr>
          <w:rFonts w:ascii="Traditional Arabic" w:hAnsi="Traditional Arabic" w:cs="Traditional Arabic"/>
          <w:sz w:val="30"/>
          <w:szCs w:val="30"/>
        </w:rPr>
        <w:br/>
      </w:r>
    </w:p>
    <w:p w14:paraId="4A9D39AD" w14:textId="77777777" w:rsidR="00AC20DD" w:rsidRDefault="001E04E8" w:rsidP="0076016B">
      <w:pPr>
        <w:autoSpaceDE w:val="0"/>
        <w:autoSpaceDN w:val="0"/>
        <w:bidi/>
        <w:adjustRightInd w:val="0"/>
        <w:jc w:val="both"/>
        <w:rPr>
          <w:rFonts w:ascii="Traditional Arabic" w:hAnsi="Traditional Arabic" w:cs="Traditional Arabic"/>
          <w:sz w:val="30"/>
          <w:szCs w:val="30"/>
          <w:rtl/>
        </w:rPr>
      </w:pPr>
      <w:r w:rsidRPr="001E04E8">
        <w:rPr>
          <w:rFonts w:ascii="Traditional Arabic" w:hAnsi="Traditional Arabic" w:cs="Traditional Arabic"/>
          <w:sz w:val="30"/>
          <w:szCs w:val="30"/>
          <w:rtl/>
          <w:lang w:val="en-GB"/>
        </w:rPr>
        <w:t>ولا يقبل طلب إيقاف تنفيذ قرارات الجمعية العامة بعد مضي (٥) خمسة أيام عمل من تاريخ صدور تلك القرارات</w:t>
      </w:r>
      <w:r w:rsidRPr="001E04E8">
        <w:rPr>
          <w:rFonts w:ascii="Traditional Arabic" w:hAnsi="Traditional Arabic" w:cs="Traditional Arabic"/>
          <w:sz w:val="30"/>
          <w:szCs w:val="30"/>
        </w:rPr>
        <w:t>.</w:t>
      </w:r>
    </w:p>
    <w:p w14:paraId="0CBA7EB0" w14:textId="77777777" w:rsidR="00A0031A" w:rsidRDefault="001E04E8" w:rsidP="00EF2C0D">
      <w:pPr>
        <w:autoSpaceDE w:val="0"/>
        <w:autoSpaceDN w:val="0"/>
        <w:bidi/>
        <w:adjustRightInd w:val="0"/>
        <w:rPr>
          <w:rFonts w:ascii="Traditional Arabic" w:hAnsi="Traditional Arabic" w:cs="Traditional Arabic"/>
          <w:sz w:val="30"/>
          <w:szCs w:val="30"/>
          <w:rtl/>
          <w:lang w:val="en-GB"/>
        </w:rPr>
      </w:pPr>
      <w:r w:rsidRPr="001E04E8">
        <w:rPr>
          <w:rFonts w:ascii="Traditional Arabic" w:hAnsi="Traditional Arabic" w:cs="Traditional Arabic"/>
          <w:sz w:val="30"/>
          <w:szCs w:val="30"/>
        </w:rPr>
        <w:br/>
      </w:r>
      <w:r w:rsidRPr="001E04E8">
        <w:rPr>
          <w:rFonts w:ascii="Traditional Arabic" w:hAnsi="Traditional Arabic" w:cs="Traditional Arabic"/>
          <w:sz w:val="30"/>
          <w:szCs w:val="30"/>
          <w:rtl/>
          <w:lang w:val="en-GB"/>
        </w:rPr>
        <w:t>وعلى كل ذي مصلحة إقامة الدعوى لطلب إبطال القرارات المنصوص عليها في الفقرة الأولى من هذه المادة أمام المحكمة المختصة وإخطار الجهة المختصة بنسخة منها خلال (٥) خمسة أيام عمل من تاريخ صدور قرار إيقاف تنفيذ قرارات الجمعية العامة، وإلا اعتبر الوقف كأن لم يكن</w:t>
      </w:r>
      <w:r w:rsidRPr="001E04E8">
        <w:rPr>
          <w:rFonts w:ascii="Traditional Arabic" w:hAnsi="Traditional Arabic" w:cs="Traditional Arabic"/>
          <w:sz w:val="30"/>
          <w:szCs w:val="30"/>
        </w:rPr>
        <w:t>.</w:t>
      </w:r>
      <w:r w:rsidRPr="001E04E8">
        <w:rPr>
          <w:rFonts w:ascii="Traditional Arabic" w:hAnsi="Traditional Arabic" w:cs="Traditional Arabic"/>
          <w:sz w:val="30"/>
          <w:szCs w:val="30"/>
        </w:rPr>
        <w:br/>
      </w:r>
    </w:p>
    <w:p w14:paraId="699ADB6F" w14:textId="77777777" w:rsidR="001E04E8" w:rsidRPr="00EB5BCF" w:rsidRDefault="001E04E8" w:rsidP="00A0031A">
      <w:pPr>
        <w:autoSpaceDE w:val="0"/>
        <w:autoSpaceDN w:val="0"/>
        <w:bidi/>
        <w:adjustRightInd w:val="0"/>
        <w:jc w:val="both"/>
        <w:rPr>
          <w:rFonts w:ascii="Traditional Arabic" w:hAnsi="Traditional Arabic" w:cs="Traditional Arabic"/>
          <w:sz w:val="30"/>
          <w:szCs w:val="30"/>
          <w:rtl/>
          <w:lang w:val="en-GB"/>
        </w:rPr>
      </w:pPr>
      <w:r w:rsidRPr="001E04E8">
        <w:rPr>
          <w:rFonts w:ascii="Traditional Arabic" w:hAnsi="Traditional Arabic" w:cs="Traditional Arabic"/>
          <w:sz w:val="30"/>
          <w:szCs w:val="30"/>
          <w:rtl/>
          <w:lang w:val="en-GB"/>
        </w:rPr>
        <w:t>وتنظر المحكمة دعوى بطلان قرارات الجمعية العامة، ولها أن تأمر على وجه الاستعجال بوقف تنفيذ قرار الجهة المختصة بناء على طلب الخصم لحين البت في موضوع الدعوى</w:t>
      </w:r>
      <w:r w:rsidRPr="001E04E8">
        <w:rPr>
          <w:rFonts w:ascii="Traditional Arabic" w:hAnsi="Traditional Arabic" w:cs="Traditional Arabic"/>
          <w:sz w:val="30"/>
          <w:szCs w:val="30"/>
        </w:rPr>
        <w:t>.</w:t>
      </w:r>
    </w:p>
    <w:p w14:paraId="74E125AF" w14:textId="77777777" w:rsidR="00A0031A" w:rsidRDefault="00A0031A" w:rsidP="001E04E8">
      <w:pPr>
        <w:autoSpaceDE w:val="0"/>
        <w:autoSpaceDN w:val="0"/>
        <w:bidi/>
        <w:adjustRightInd w:val="0"/>
        <w:jc w:val="both"/>
        <w:rPr>
          <w:rFonts w:ascii="Traditional Arabic" w:hAnsi="Traditional Arabic" w:cs="Traditional Arabic"/>
          <w:b/>
          <w:sz w:val="30"/>
          <w:szCs w:val="30"/>
          <w:rtl/>
        </w:rPr>
      </w:pPr>
    </w:p>
    <w:p w14:paraId="7C6FAE25" w14:textId="77777777" w:rsidR="001E04E8" w:rsidRDefault="001E04E8" w:rsidP="00A818C2">
      <w:pPr>
        <w:autoSpaceDE w:val="0"/>
        <w:autoSpaceDN w:val="0"/>
        <w:bidi/>
        <w:adjustRightInd w:val="0"/>
        <w:jc w:val="both"/>
        <w:rPr>
          <w:rFonts w:ascii="Traditional Arabic" w:hAnsi="Traditional Arabic" w:cs="Traditional Arabic"/>
          <w:sz w:val="30"/>
          <w:szCs w:val="30"/>
          <w:rtl/>
        </w:rPr>
      </w:pPr>
    </w:p>
    <w:p w14:paraId="6378C025" w14:textId="77777777" w:rsidR="00A818C2" w:rsidRPr="00EB5BCF" w:rsidRDefault="00A44440" w:rsidP="001E04E8">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w:t>
      </w:r>
      <w:r w:rsidR="00A818C2" w:rsidRPr="00EB5BCF">
        <w:rPr>
          <w:rFonts w:ascii="Traditional Arabic" w:hAnsi="Traditional Arabic" w:cs="Traditional Arabic"/>
          <w:sz w:val="30"/>
          <w:szCs w:val="30"/>
          <w:rtl/>
        </w:rPr>
        <w:t>خلال خمس</w:t>
      </w:r>
      <w:r w:rsidR="005778AB">
        <w:rPr>
          <w:rFonts w:ascii="Traditional Arabic" w:hAnsi="Traditional Arabic" w:cs="Traditional Arabic" w:hint="cs"/>
          <w:sz w:val="30"/>
          <w:szCs w:val="30"/>
          <w:rtl/>
        </w:rPr>
        <w:t>ة أيام</w:t>
      </w:r>
      <w:r w:rsidR="00041567" w:rsidRPr="00EB5BCF">
        <w:rPr>
          <w:rFonts w:ascii="Traditional Arabic" w:hAnsi="Traditional Arabic" w:cs="Traditional Arabic"/>
          <w:sz w:val="30"/>
          <w:szCs w:val="30"/>
          <w:rtl/>
        </w:rPr>
        <w:t xml:space="preserve"> </w:t>
      </w:r>
      <w:r w:rsidR="00A818C2" w:rsidRPr="00EB5BCF">
        <w:rPr>
          <w:rFonts w:ascii="Traditional Arabic" w:hAnsi="Traditional Arabic" w:cs="Traditional Arabic"/>
          <w:sz w:val="30"/>
          <w:szCs w:val="30"/>
          <w:rtl/>
        </w:rPr>
        <w:t xml:space="preserve">من تاريخ </w:t>
      </w:r>
      <w:r w:rsidR="00F40EAC" w:rsidRPr="00EB5BCF">
        <w:rPr>
          <w:rFonts w:ascii="Traditional Arabic" w:hAnsi="Traditional Arabic" w:cs="Traditional Arabic"/>
          <w:sz w:val="30"/>
          <w:szCs w:val="30"/>
          <w:rtl/>
        </w:rPr>
        <w:t xml:space="preserve">صدور قرارات </w:t>
      </w:r>
      <w:r w:rsidR="00A818C2" w:rsidRPr="00EB5BCF">
        <w:rPr>
          <w:rFonts w:ascii="Traditional Arabic" w:hAnsi="Traditional Arabic" w:cs="Traditional Arabic"/>
          <w:sz w:val="30"/>
          <w:szCs w:val="30"/>
          <w:rtl/>
        </w:rPr>
        <w:t xml:space="preserve">الجمعية العامة، يحق لكل مساهم أو أي شخص آخر ذي مصلحة أن يراجع المحكمة التجارية (الدائرة المختصة) لتقضي ببطلان أي قرار إذا كان قد اتخذ خلال هذه الجمعية بصورة مخالفة لأحكام قانون الشركات التجارية أو لأحكام النظام الأساسي للشركة أو لوائحها الداخلية أو عن طريق الغش أو إساءة </w:t>
      </w:r>
      <w:r w:rsidRPr="00EB5BCF">
        <w:rPr>
          <w:rFonts w:ascii="Traditional Arabic" w:hAnsi="Traditional Arabic" w:cs="Traditional Arabic"/>
          <w:sz w:val="30"/>
          <w:szCs w:val="30"/>
          <w:rtl/>
        </w:rPr>
        <w:t>استعمال</w:t>
      </w:r>
      <w:r w:rsidR="00A818C2" w:rsidRPr="00EB5BCF">
        <w:rPr>
          <w:rFonts w:ascii="Traditional Arabic" w:hAnsi="Traditional Arabic" w:cs="Traditional Arabic"/>
          <w:sz w:val="30"/>
          <w:szCs w:val="30"/>
          <w:rtl/>
        </w:rPr>
        <w:t xml:space="preserve"> السلطة.</w:t>
      </w:r>
    </w:p>
    <w:p w14:paraId="2A702B47" w14:textId="77777777" w:rsidR="002E142B" w:rsidRPr="00EB5BCF" w:rsidRDefault="002E142B" w:rsidP="002E142B">
      <w:pPr>
        <w:autoSpaceDE w:val="0"/>
        <w:autoSpaceDN w:val="0"/>
        <w:bidi/>
        <w:adjustRightInd w:val="0"/>
        <w:jc w:val="both"/>
        <w:rPr>
          <w:rFonts w:ascii="Traditional Arabic" w:hAnsi="Traditional Arabic" w:cs="Traditional Arabic"/>
          <w:b/>
          <w:bCs/>
          <w:sz w:val="30"/>
          <w:szCs w:val="30"/>
          <w:rtl/>
        </w:rPr>
      </w:pPr>
    </w:p>
    <w:p w14:paraId="2C39027C" w14:textId="77777777" w:rsidR="002E142B" w:rsidRPr="00EB5BCF" w:rsidRDefault="002E142B" w:rsidP="002E142B">
      <w:pPr>
        <w:autoSpaceDE w:val="0"/>
        <w:autoSpaceDN w:val="0"/>
        <w:bidi/>
        <w:adjustRightInd w:val="0"/>
        <w:jc w:val="both"/>
        <w:rPr>
          <w:rFonts w:ascii="Traditional Arabic" w:hAnsi="Traditional Arabic" w:cs="Traditional Arabic"/>
          <w:b/>
          <w:bCs/>
          <w:sz w:val="30"/>
          <w:szCs w:val="30"/>
          <w:rtl/>
        </w:rPr>
      </w:pPr>
      <w:r w:rsidRPr="00EB5BCF">
        <w:rPr>
          <w:rFonts w:ascii="Traditional Arabic" w:hAnsi="Traditional Arabic" w:cs="Traditional Arabic"/>
          <w:b/>
          <w:bCs/>
          <w:sz w:val="30"/>
          <w:szCs w:val="30"/>
          <w:rtl/>
        </w:rPr>
        <w:t>فترة حجز الأسهم - تطبيق المادة 127 من قانون الشركات التجارية</w:t>
      </w:r>
    </w:p>
    <w:p w14:paraId="222111A9" w14:textId="77777777" w:rsidR="0085639C" w:rsidRPr="0085639C" w:rsidRDefault="0085639C" w:rsidP="00516585">
      <w:pPr>
        <w:autoSpaceDE w:val="0"/>
        <w:autoSpaceDN w:val="0"/>
        <w:bidi/>
        <w:adjustRightInd w:val="0"/>
        <w:jc w:val="both"/>
        <w:rPr>
          <w:rFonts w:ascii="Traditional Arabic" w:hAnsi="Traditional Arabic" w:cs="Traditional Arabic"/>
          <w:sz w:val="30"/>
          <w:szCs w:val="30"/>
          <w:rtl/>
        </w:rPr>
      </w:pPr>
      <w:r w:rsidRPr="0085639C">
        <w:rPr>
          <w:rFonts w:ascii="Traditional Arabic" w:hAnsi="Traditional Arabic" w:cs="Traditional Arabic"/>
          <w:sz w:val="30"/>
          <w:szCs w:val="30"/>
          <w:rtl/>
        </w:rPr>
        <w:lastRenderedPageBreak/>
        <w:t>تُلزم المادة (127) من قانون الشركات التجارية مؤسسي الشركة المساهمة العامة</w:t>
      </w:r>
      <w:r w:rsidR="00516585" w:rsidRPr="00516585">
        <w:rPr>
          <w:rFonts w:ascii="Tajawal" w:hAnsi="Tajawal"/>
          <w:color w:val="000000"/>
          <w:sz w:val="32"/>
          <w:szCs w:val="32"/>
          <w:shd w:val="clear" w:color="auto" w:fill="F2F2F2"/>
          <w:rtl/>
        </w:rPr>
        <w:t xml:space="preserve"> </w:t>
      </w:r>
      <w:r w:rsidR="00030746">
        <w:rPr>
          <w:rFonts w:ascii="Traditional Arabic" w:hAnsi="Traditional Arabic" w:cs="Traditional Arabic" w:hint="cs"/>
          <w:sz w:val="30"/>
          <w:szCs w:val="30"/>
          <w:rtl/>
        </w:rPr>
        <w:t>بعدم</w:t>
      </w:r>
      <w:r w:rsidR="00516585" w:rsidRPr="00516585">
        <w:rPr>
          <w:rFonts w:ascii="Traditional Arabic" w:hAnsi="Traditional Arabic" w:cs="Traditional Arabic"/>
          <w:sz w:val="30"/>
          <w:szCs w:val="30"/>
          <w:rtl/>
        </w:rPr>
        <w:t xml:space="preserve"> التصرف في أسهمهم قبل قيام الشركة بنشر ميزانيتين عن (٢) سنتين ماليتين متتاليتين اعتبارا من تاريخ تسجيله</w:t>
      </w:r>
      <w:r w:rsidR="00030746">
        <w:rPr>
          <w:rFonts w:ascii="Traditional Arabic" w:hAnsi="Traditional Arabic" w:cs="Traditional Arabic" w:hint="cs"/>
          <w:sz w:val="30"/>
          <w:szCs w:val="30"/>
          <w:rtl/>
        </w:rPr>
        <w:t>ا.</w:t>
      </w:r>
      <w:r w:rsidR="00516585">
        <w:rPr>
          <w:rFonts w:ascii="Traditional Arabic" w:hAnsi="Traditional Arabic" w:cs="Traditional Arabic" w:hint="cs"/>
          <w:sz w:val="30"/>
          <w:szCs w:val="30"/>
          <w:rtl/>
        </w:rPr>
        <w:t xml:space="preserve"> </w:t>
      </w:r>
      <w:r w:rsidR="00516585" w:rsidRPr="00516585">
        <w:rPr>
          <w:rFonts w:ascii="Traditional Arabic" w:hAnsi="Traditional Arabic" w:cs="Traditional Arabic"/>
          <w:sz w:val="30"/>
          <w:szCs w:val="30"/>
          <w:rtl/>
        </w:rPr>
        <w:t>ويستثنى من ذلك حالات التنازل عن الأسهم المملوكة للدولة، أو التنازل عن الأسهم بين المؤسسين أنفسهم، وحالات الإرث، وكذلك شركة المساهمة العامة التي تنشأ عن طريق تحول شركة قائمة، شريطة أن تكون قد أكملت (٢) سنتين على الأقل قبل تاريخ التحول</w:t>
      </w:r>
      <w:r w:rsidRPr="0085639C">
        <w:rPr>
          <w:rFonts w:ascii="Traditional Arabic" w:hAnsi="Traditional Arabic" w:cs="Traditional Arabic"/>
          <w:sz w:val="30"/>
          <w:szCs w:val="30"/>
          <w:rtl/>
        </w:rPr>
        <w:t xml:space="preserve">. </w:t>
      </w:r>
      <w:r w:rsidR="00030746">
        <w:rPr>
          <w:rFonts w:ascii="Traditional Arabic" w:hAnsi="Traditional Arabic" w:cs="Traditional Arabic" w:hint="cs"/>
          <w:sz w:val="30"/>
          <w:szCs w:val="30"/>
          <w:rtl/>
        </w:rPr>
        <w:t>و</w:t>
      </w:r>
      <w:r w:rsidRPr="0085639C">
        <w:rPr>
          <w:rFonts w:ascii="Traditional Arabic" w:hAnsi="Traditional Arabic" w:cs="Traditional Arabic"/>
          <w:sz w:val="30"/>
          <w:szCs w:val="30"/>
          <w:rtl/>
        </w:rPr>
        <w:t xml:space="preserve">نظرًا لأن الشركة مسجلة في السجل التجاري في </w:t>
      </w:r>
      <w:r w:rsidR="009E286B">
        <w:rPr>
          <w:rFonts w:ascii="Traditional Arabic" w:hAnsi="Traditional Arabic" w:cs="Traditional Arabic" w:hint="cs"/>
          <w:sz w:val="30"/>
          <w:szCs w:val="30"/>
          <w:rtl/>
        </w:rPr>
        <w:t>20 مايو 2003</w:t>
      </w:r>
      <w:r w:rsidRPr="0085639C">
        <w:rPr>
          <w:rFonts w:ascii="Traditional Arabic" w:hAnsi="Traditional Arabic" w:cs="Traditional Arabic"/>
          <w:sz w:val="30"/>
          <w:szCs w:val="30"/>
          <w:rtl/>
        </w:rPr>
        <w:t xml:space="preserve"> فإن المادة 127 من قانون الشركات التجارية لا </w:t>
      </w:r>
      <w:r w:rsidR="00030746">
        <w:rPr>
          <w:rFonts w:ascii="Traditional Arabic" w:hAnsi="Traditional Arabic" w:cs="Traditional Arabic" w:hint="cs"/>
          <w:sz w:val="30"/>
          <w:szCs w:val="30"/>
          <w:rtl/>
        </w:rPr>
        <w:t>تمنع</w:t>
      </w:r>
      <w:r w:rsidRPr="0085639C">
        <w:rPr>
          <w:rFonts w:ascii="Traditional Arabic" w:hAnsi="Traditional Arabic" w:cs="Traditional Arabic"/>
          <w:sz w:val="30"/>
          <w:szCs w:val="30"/>
          <w:rtl/>
        </w:rPr>
        <w:t xml:space="preserve"> المؤسسين من التصرف في أسهمهم بعد الاكتتاب العام. </w:t>
      </w:r>
    </w:p>
    <w:p w14:paraId="69AF463A" w14:textId="77777777" w:rsidR="00265B4D" w:rsidRPr="00EB5BCF" w:rsidRDefault="00265B4D" w:rsidP="00265B4D">
      <w:pPr>
        <w:autoSpaceDE w:val="0"/>
        <w:autoSpaceDN w:val="0"/>
        <w:bidi/>
        <w:adjustRightInd w:val="0"/>
        <w:jc w:val="both"/>
        <w:rPr>
          <w:rFonts w:ascii="Traditional Arabic" w:hAnsi="Traditional Arabic" w:cs="Traditional Arabic"/>
          <w:sz w:val="30"/>
          <w:szCs w:val="30"/>
          <w:rtl/>
        </w:rPr>
      </w:pPr>
    </w:p>
    <w:p w14:paraId="04260401" w14:textId="77777777" w:rsidR="00265B4D" w:rsidRPr="00EB5BCF" w:rsidRDefault="00265B4D" w:rsidP="00265B4D">
      <w:pPr>
        <w:pStyle w:val="BodyText1"/>
        <w:bidi/>
        <w:spacing w:after="0"/>
        <w:mirrorIndents/>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lang w:val="en-GB"/>
        </w:rPr>
        <w:t>القيود العامة المفروضة على تحويل ملكية الأسهم</w:t>
      </w:r>
    </w:p>
    <w:p w14:paraId="4174412D" w14:textId="77777777" w:rsidR="001E2F6F" w:rsidRDefault="00B132DD" w:rsidP="00797D0E">
      <w:pPr>
        <w:pStyle w:val="BodyText1"/>
        <w:bidi/>
        <w:spacing w:after="0"/>
        <w:mirrorIndents/>
        <w:rPr>
          <w:rFonts w:ascii="Traditional Arabic" w:hAnsi="Traditional Arabic" w:cs="Traditional Arabic"/>
          <w:sz w:val="30"/>
          <w:szCs w:val="30"/>
          <w:rtl/>
          <w:lang w:val="en-GB"/>
        </w:rPr>
      </w:pPr>
      <w:r>
        <w:rPr>
          <w:rFonts w:ascii="Traditional Arabic" w:hAnsi="Traditional Arabic" w:cs="Traditional Arabic" w:hint="cs"/>
          <w:sz w:val="30"/>
          <w:szCs w:val="30"/>
          <w:rtl/>
          <w:lang w:val="en-GB"/>
        </w:rPr>
        <w:t xml:space="preserve">على المساهمين والراغبين في شراء الأسهم الالتزام بأنظمة هيئة الخدمات المالية المعمول بها في شأن الإفصاح </w:t>
      </w:r>
      <w:r w:rsidRPr="00B546D4">
        <w:rPr>
          <w:rFonts w:ascii="Traditional Arabic" w:hAnsi="Traditional Arabic" w:cs="Traditional Arabic" w:hint="cs"/>
          <w:sz w:val="30"/>
          <w:szCs w:val="30"/>
          <w:rtl/>
          <w:lang w:val="en-GB"/>
        </w:rPr>
        <w:t>عن</w:t>
      </w:r>
      <w:r w:rsidR="00E22489" w:rsidRPr="00B546D4">
        <w:rPr>
          <w:rFonts w:ascii="Traditional Arabic" w:hAnsi="Traditional Arabic" w:cs="Traditional Arabic" w:hint="cs"/>
          <w:sz w:val="30"/>
          <w:szCs w:val="30"/>
          <w:rtl/>
          <w:lang w:val="en-GB"/>
        </w:rPr>
        <w:t xml:space="preserve"> </w:t>
      </w:r>
      <w:r w:rsidR="00E22489" w:rsidRPr="00240371">
        <w:rPr>
          <w:rFonts w:ascii="Traditional Arabic" w:hAnsi="Traditional Arabic" w:cs="Traditional Arabic" w:hint="eastAsia"/>
          <w:sz w:val="30"/>
          <w:szCs w:val="30"/>
          <w:rtl/>
          <w:lang w:val="en-GB"/>
        </w:rPr>
        <w:t>الحصص</w:t>
      </w:r>
      <w:r w:rsidR="00E22489" w:rsidRPr="00240371">
        <w:rPr>
          <w:rFonts w:ascii="Traditional Arabic" w:hAnsi="Traditional Arabic" w:cs="Traditional Arabic"/>
          <w:sz w:val="30"/>
          <w:szCs w:val="30"/>
          <w:rtl/>
          <w:lang w:val="en-GB"/>
        </w:rPr>
        <w:t xml:space="preserve"> </w:t>
      </w:r>
      <w:r w:rsidR="00E22489" w:rsidRPr="00240371">
        <w:rPr>
          <w:rFonts w:ascii="Traditional Arabic" w:hAnsi="Traditional Arabic" w:cs="Traditional Arabic" w:hint="eastAsia"/>
          <w:sz w:val="30"/>
          <w:szCs w:val="30"/>
          <w:rtl/>
          <w:lang w:val="en-GB"/>
        </w:rPr>
        <w:t>الجوهرية</w:t>
      </w:r>
      <w:r w:rsidR="00E22489">
        <w:rPr>
          <w:rFonts w:ascii="Traditional Arabic" w:hAnsi="Traditional Arabic" w:cs="Traditional Arabic" w:hint="cs"/>
          <w:sz w:val="30"/>
          <w:szCs w:val="30"/>
          <w:rtl/>
          <w:lang w:val="en-GB"/>
        </w:rPr>
        <w:t xml:space="preserve"> في الشركات المساهمة العامة، و</w:t>
      </w:r>
      <w:r w:rsidR="00027D8E">
        <w:rPr>
          <w:rFonts w:ascii="Traditional Arabic" w:hAnsi="Traditional Arabic" w:cs="Traditional Arabic" w:hint="cs"/>
          <w:sz w:val="30"/>
          <w:szCs w:val="30"/>
          <w:rtl/>
          <w:lang w:val="en-GB"/>
        </w:rPr>
        <w:t xml:space="preserve">الاستحواذ على </w:t>
      </w:r>
      <w:r w:rsidR="00D65856">
        <w:rPr>
          <w:rFonts w:ascii="Traditional Arabic" w:hAnsi="Traditional Arabic" w:cs="Traditional Arabic" w:hint="cs"/>
          <w:sz w:val="30"/>
          <w:szCs w:val="30"/>
          <w:rtl/>
          <w:lang w:val="en-GB"/>
        </w:rPr>
        <w:t>عدد كبير من الأسهم بشكل مباشر وغير مباشر في الشركات المساهمة العامة على النحو الوارد في قانون الأوراق المالية ولائحة الاستحواذ والسيطرة.</w:t>
      </w:r>
    </w:p>
    <w:p w14:paraId="23F538A3" w14:textId="77777777" w:rsidR="008934C8" w:rsidRDefault="008934C8" w:rsidP="008934C8">
      <w:pPr>
        <w:pStyle w:val="BodyText1"/>
        <w:bidi/>
        <w:spacing w:after="0"/>
        <w:mirrorIndents/>
        <w:rPr>
          <w:rFonts w:ascii="Traditional Arabic" w:hAnsi="Traditional Arabic" w:cs="Traditional Arabic"/>
          <w:sz w:val="30"/>
          <w:szCs w:val="30"/>
          <w:rtl/>
          <w:lang w:val="en-GB"/>
        </w:rPr>
      </w:pPr>
    </w:p>
    <w:p w14:paraId="118A7E2A" w14:textId="77777777" w:rsidR="00797D0E" w:rsidRDefault="00797D0E" w:rsidP="001E2F6F">
      <w:pPr>
        <w:pStyle w:val="BodyText1"/>
        <w:bidi/>
        <w:spacing w:after="0"/>
        <w:mirrorIndents/>
        <w:rPr>
          <w:rFonts w:ascii="Traditional Arabic" w:hAnsi="Traditional Arabic" w:cs="Traditional Arabic"/>
          <w:sz w:val="30"/>
          <w:szCs w:val="30"/>
          <w:rtl/>
        </w:rPr>
      </w:pPr>
      <w:r w:rsidRPr="00797D0E">
        <w:rPr>
          <w:rFonts w:ascii="Traditional Arabic" w:hAnsi="Traditional Arabic" w:cs="Traditional Arabic"/>
          <w:sz w:val="30"/>
          <w:szCs w:val="30"/>
          <w:rtl/>
          <w:lang w:val="en-GB"/>
        </w:rPr>
        <w:t>يكون انتقال ملكية أسهم الشركة بإثباته في سجل المساهمين</w:t>
      </w:r>
      <w:r w:rsidR="001E2F6F">
        <w:rPr>
          <w:rFonts w:ascii="Traditional Arabic" w:hAnsi="Traditional Arabic" w:cs="Traditional Arabic" w:hint="cs"/>
          <w:sz w:val="30"/>
          <w:szCs w:val="30"/>
          <w:rtl/>
          <w:lang w:val="en-GB"/>
        </w:rPr>
        <w:t xml:space="preserve"> المودع لدى شركة مسقط للمقاصة والإيداع</w:t>
      </w:r>
      <w:r w:rsidRPr="00797D0E">
        <w:rPr>
          <w:rFonts w:ascii="Traditional Arabic" w:hAnsi="Traditional Arabic" w:cs="Traditional Arabic"/>
          <w:sz w:val="30"/>
          <w:szCs w:val="30"/>
          <w:rtl/>
          <w:lang w:val="en-GB"/>
        </w:rPr>
        <w:t>، ولا تعتد الشركة بملكية أي مساهم لأي سهم ما لم تسجل بسجل المساهمين الخاص بها</w:t>
      </w:r>
      <w:r w:rsidRPr="00797D0E">
        <w:rPr>
          <w:rFonts w:ascii="Traditional Arabic" w:hAnsi="Traditional Arabic" w:cs="Traditional Arabic"/>
          <w:sz w:val="30"/>
          <w:szCs w:val="30"/>
        </w:rPr>
        <w:t>.</w:t>
      </w:r>
    </w:p>
    <w:p w14:paraId="0916C689" w14:textId="77777777" w:rsidR="00775045" w:rsidRDefault="00775045" w:rsidP="00775045">
      <w:pPr>
        <w:pStyle w:val="BodyText1"/>
        <w:bidi/>
        <w:spacing w:after="0"/>
        <w:mirrorIndents/>
        <w:rPr>
          <w:rFonts w:ascii="Traditional Arabic" w:hAnsi="Traditional Arabic" w:cs="Traditional Arabic"/>
          <w:sz w:val="30"/>
          <w:szCs w:val="30"/>
          <w:rtl/>
          <w:lang w:val="en-GB"/>
        </w:rPr>
      </w:pPr>
    </w:p>
    <w:p w14:paraId="49CB2EDD" w14:textId="77777777" w:rsidR="001D523F" w:rsidRDefault="00265B4D" w:rsidP="00797D0E">
      <w:pPr>
        <w:pStyle w:val="BodyText1"/>
        <w:bidi/>
        <w:spacing w:after="0"/>
        <w:mirrorIndents/>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يجب ألا تتجاوز ملكية الأسهم من قبل أي مساهم</w:t>
      </w:r>
      <w:r w:rsidR="001D523F">
        <w:rPr>
          <w:rFonts w:ascii="Traditional Arabic" w:hAnsi="Traditional Arabic" w:cs="Traditional Arabic" w:hint="cs"/>
          <w:sz w:val="30"/>
          <w:szCs w:val="30"/>
          <w:rtl/>
          <w:lang w:val="en-GB"/>
        </w:rPr>
        <w:t xml:space="preserve"> بائع</w:t>
      </w:r>
      <w:r w:rsidRPr="00EB5BCF">
        <w:rPr>
          <w:rFonts w:ascii="Traditional Arabic" w:hAnsi="Traditional Arabic" w:cs="Traditional Arabic"/>
          <w:sz w:val="30"/>
          <w:szCs w:val="30"/>
          <w:rtl/>
          <w:lang w:val="en-GB"/>
        </w:rPr>
        <w:t xml:space="preserve"> الحد الأقصى المقرر والمنصوص عليه في النظام الأساسي للشركة وقانون الشركات التجارية، ما لم يتم الحصول على الموافقات اللازمة من الجهات المختصة.</w:t>
      </w:r>
    </w:p>
    <w:p w14:paraId="12D1BDDD" w14:textId="77777777" w:rsidR="00265B4D" w:rsidRPr="00EB5BCF" w:rsidRDefault="00265B4D" w:rsidP="001D523F">
      <w:pPr>
        <w:pStyle w:val="BodyText1"/>
        <w:bidi/>
        <w:spacing w:after="0"/>
        <w:mirrorIndents/>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 xml:space="preserve"> </w:t>
      </w:r>
    </w:p>
    <w:p w14:paraId="136D7824" w14:textId="77777777" w:rsidR="00265B4D" w:rsidRPr="00EB5BCF" w:rsidRDefault="0032027A" w:rsidP="0032027A">
      <w:pPr>
        <w:autoSpaceDE w:val="0"/>
        <w:autoSpaceDN w:val="0"/>
        <w:bidi/>
        <w:adjustRightInd w:val="0"/>
        <w:jc w:val="both"/>
        <w:rPr>
          <w:rFonts w:ascii="Traditional Arabic" w:hAnsi="Traditional Arabic" w:cs="Traditional Arabic"/>
          <w:sz w:val="30"/>
          <w:szCs w:val="30"/>
          <w:rtl/>
        </w:rPr>
      </w:pPr>
      <w:r w:rsidRPr="00EB5BCF">
        <w:rPr>
          <w:rFonts w:ascii="Traditional Arabic" w:hAnsi="Traditional Arabic" w:cs="Traditional Arabic"/>
          <w:sz w:val="30"/>
          <w:szCs w:val="30"/>
          <w:rtl/>
        </w:rPr>
        <w:t>وتنص المادة (100) من قانون الشركات التجارية على أنه: على المؤسسين في شركة المساهمة العامة أن يكتتبوا بنسبة لا تقل عن (٣٠٪) ثلاثين في المائة، ولا تزيد على (٦٠٪) ستين في المائة من رأس المال، ويطرح الباقي للاكتتاب العام، إلا في حالة التحول إلى شركة مساهمة عامة، فإنه يجوز للمساهمين أو الشركاء في الشركة قبل التحول أن يحتفظوا بنسبة (٧٥٪) خمسة وسبعين في المائة من رأس الما</w:t>
      </w:r>
      <w:r w:rsidR="00D577D4" w:rsidRPr="00EB5BCF">
        <w:rPr>
          <w:rFonts w:ascii="Traditional Arabic" w:hAnsi="Traditional Arabic" w:cs="Traditional Arabic"/>
          <w:sz w:val="30"/>
          <w:szCs w:val="30"/>
          <w:rtl/>
        </w:rPr>
        <w:t>ل،</w:t>
      </w:r>
      <w:r w:rsidRPr="00EB5BCF">
        <w:rPr>
          <w:rFonts w:ascii="Traditional Arabic" w:hAnsi="Traditional Arabic" w:cs="Traditional Arabic"/>
          <w:sz w:val="30"/>
          <w:szCs w:val="30"/>
          <w:rtl/>
        </w:rPr>
        <w:t xml:space="preserve"> وللهيئة السماح للمؤسسين في الشركة المتحولة إلى شركة مساهمة عامة تملك نسبة أعلى من النسبة المحددة في الفقرة السابقة</w:t>
      </w:r>
      <w:r w:rsidR="00D577D4" w:rsidRPr="00EB5BCF">
        <w:rPr>
          <w:rFonts w:ascii="Traditional Arabic" w:hAnsi="Traditional Arabic" w:cs="Traditional Arabic"/>
          <w:sz w:val="30"/>
          <w:szCs w:val="30"/>
          <w:rtl/>
        </w:rPr>
        <w:t xml:space="preserve">، </w:t>
      </w:r>
      <w:r w:rsidRPr="00EB5BCF">
        <w:rPr>
          <w:rFonts w:ascii="Traditional Arabic" w:hAnsi="Traditional Arabic" w:cs="Traditional Arabic"/>
          <w:sz w:val="30"/>
          <w:szCs w:val="30"/>
          <w:rtl/>
        </w:rPr>
        <w:t>ولا يجوز للمؤسس الواحد أن يغطي أكثر من (٢٠٪) عشرين في المائة من رأس المال سواء باسمه أو بأسماء أبنائه القصر الذين تقل أعمارهم عن (١٨) ثماني عشرة سنة، إلا في حالة التحول، فيجوز للمؤسسين في هذه الحالة الاحتفاظ بحصتهم فيما لو زادت على النسبة المقررة لكل مؤسس، كما تستثنى الشركات المملوكة بالكامل للدولة والشركات القابضة من النسب المقررة</w:t>
      </w:r>
      <w:r w:rsidRPr="00EB5BCF">
        <w:rPr>
          <w:rFonts w:ascii="Traditional Arabic" w:hAnsi="Traditional Arabic" w:cs="Traditional Arabic"/>
          <w:sz w:val="30"/>
          <w:szCs w:val="30"/>
        </w:rPr>
        <w:t>.</w:t>
      </w:r>
    </w:p>
    <w:p w14:paraId="69A6C109" w14:textId="77777777" w:rsidR="001A0324" w:rsidRPr="00EB5BCF" w:rsidRDefault="001A0324" w:rsidP="001A0324">
      <w:pPr>
        <w:autoSpaceDE w:val="0"/>
        <w:autoSpaceDN w:val="0"/>
        <w:bidi/>
        <w:adjustRightInd w:val="0"/>
        <w:jc w:val="both"/>
        <w:rPr>
          <w:rFonts w:ascii="Traditional Arabic" w:hAnsi="Traditional Arabic" w:cs="Traditional Arabic"/>
          <w:sz w:val="30"/>
          <w:szCs w:val="30"/>
          <w:rtl/>
        </w:rPr>
      </w:pPr>
    </w:p>
    <w:p w14:paraId="3D486CCE" w14:textId="77777777" w:rsidR="001A0324" w:rsidRPr="00EB5BCF" w:rsidRDefault="001A0324" w:rsidP="001A0324">
      <w:pPr>
        <w:pStyle w:val="BodyText1"/>
        <w:bidi/>
        <w:spacing w:after="0"/>
        <w:mirrorIndents/>
        <w:rPr>
          <w:rFonts w:ascii="Traditional Arabic" w:hAnsi="Traditional Arabic" w:cs="Traditional Arabic"/>
          <w:b/>
          <w:sz w:val="30"/>
          <w:szCs w:val="30"/>
          <w:rtl/>
          <w:lang w:val="en-GB" w:bidi="ar-OM"/>
        </w:rPr>
      </w:pPr>
    </w:p>
    <w:p w14:paraId="1E830250" w14:textId="77777777" w:rsidR="001A0324" w:rsidRPr="00EB5BCF" w:rsidRDefault="00F00C51" w:rsidP="001A0324">
      <w:pPr>
        <w:pStyle w:val="BodyText1"/>
        <w:bidi/>
        <w:spacing w:after="0"/>
        <w:mirrorIndents/>
        <w:rPr>
          <w:rFonts w:ascii="Traditional Arabic" w:hAnsi="Traditional Arabic" w:cs="Traditional Arabic"/>
          <w:b/>
          <w:sz w:val="30"/>
          <w:szCs w:val="30"/>
          <w:rtl/>
          <w:lang w:val="en-GB" w:bidi="ar-OM"/>
        </w:rPr>
      </w:pPr>
      <w:r w:rsidRPr="00EB5BCF">
        <w:rPr>
          <w:rFonts w:ascii="Traditional Arabic" w:hAnsi="Traditional Arabic" w:cs="Traditional Arabic"/>
          <w:b/>
          <w:sz w:val="30"/>
          <w:szCs w:val="30"/>
          <w:rtl/>
          <w:lang w:val="en-GB" w:bidi="ar-OM"/>
        </w:rPr>
        <w:lastRenderedPageBreak/>
        <w:t>و</w:t>
      </w:r>
      <w:r w:rsidR="001A0324" w:rsidRPr="00EB5BCF">
        <w:rPr>
          <w:rFonts w:ascii="Traditional Arabic" w:hAnsi="Traditional Arabic" w:cs="Traditional Arabic"/>
          <w:b/>
          <w:sz w:val="30"/>
          <w:szCs w:val="30"/>
          <w:rtl/>
          <w:lang w:val="en-GB" w:bidi="ar-OM"/>
        </w:rPr>
        <w:t xml:space="preserve">لا يجوز لأي شخص أو أحد أقاربه حتى الدرجة الثانية أن يمتلك أو يشتري 25 % أو أكثر من أسهم رأسمال شركة مساهمة عامة إلا وفقاً لما تحدده قوانين </w:t>
      </w:r>
      <w:r w:rsidR="002D7E14">
        <w:rPr>
          <w:rFonts w:ascii="Traditional Arabic" w:hAnsi="Traditional Arabic" w:cs="Traditional Arabic"/>
          <w:b/>
          <w:sz w:val="30"/>
          <w:szCs w:val="30"/>
          <w:rtl/>
          <w:lang w:val="en-GB" w:bidi="ar-OM"/>
        </w:rPr>
        <w:t>هيئة الخدمات المالية</w:t>
      </w:r>
      <w:r w:rsidR="001A0324" w:rsidRPr="00EB5BCF">
        <w:rPr>
          <w:rFonts w:ascii="Traditional Arabic" w:hAnsi="Traditional Arabic" w:cs="Traditional Arabic"/>
          <w:b/>
          <w:sz w:val="30"/>
          <w:szCs w:val="30"/>
          <w:rtl/>
          <w:lang w:val="en-GB" w:bidi="ar-OM"/>
        </w:rPr>
        <w:t xml:space="preserve"> فيما يتعلق بضوابط هذا التملك.</w:t>
      </w:r>
    </w:p>
    <w:p w14:paraId="22FC8AFC" w14:textId="77777777" w:rsidR="00F00C51" w:rsidRPr="00EB5BCF" w:rsidRDefault="00F00C51" w:rsidP="00F00C51">
      <w:pPr>
        <w:pStyle w:val="BodyText1"/>
        <w:bidi/>
        <w:spacing w:after="0"/>
        <w:mirrorIndents/>
        <w:rPr>
          <w:rFonts w:ascii="Traditional Arabic" w:hAnsi="Traditional Arabic" w:cs="Traditional Arabic"/>
          <w:b/>
          <w:sz w:val="30"/>
          <w:szCs w:val="30"/>
          <w:rtl/>
          <w:lang w:val="en-GB" w:bidi="ar-OM"/>
        </w:rPr>
      </w:pPr>
    </w:p>
    <w:p w14:paraId="4D6CA9CE" w14:textId="77777777" w:rsidR="00F00C51" w:rsidRPr="00EB5BCF" w:rsidRDefault="00F00C51" w:rsidP="00F00C51">
      <w:pPr>
        <w:pStyle w:val="BodyText1"/>
        <w:bidi/>
        <w:spacing w:after="0"/>
        <w:mirrorIndents/>
        <w:rPr>
          <w:rFonts w:ascii="Traditional Arabic" w:hAnsi="Traditional Arabic" w:cs="Traditional Arabic"/>
          <w:b/>
          <w:sz w:val="30"/>
          <w:szCs w:val="30"/>
          <w:rtl/>
          <w:lang w:val="en-GB" w:bidi="ar-OM"/>
        </w:rPr>
      </w:pPr>
      <w:r w:rsidRPr="00EB5BCF">
        <w:rPr>
          <w:rFonts w:ascii="Traditional Arabic" w:hAnsi="Traditional Arabic" w:cs="Traditional Arabic"/>
          <w:b/>
          <w:sz w:val="30"/>
          <w:szCs w:val="30"/>
          <w:rtl/>
          <w:lang w:val="en-GB" w:bidi="ar-OM"/>
        </w:rPr>
        <w:t xml:space="preserve">ولو أراد أحد المساهمين أو مجموعة من المساهمين بيع أسهمهم لمساهم آخر فقد تُطبق لائحة الاستحواذ والسيطرة الصادرة عن </w:t>
      </w:r>
      <w:r w:rsidR="002D7E14">
        <w:rPr>
          <w:rFonts w:ascii="Traditional Arabic" w:hAnsi="Traditional Arabic" w:cs="Traditional Arabic"/>
          <w:b/>
          <w:sz w:val="30"/>
          <w:szCs w:val="30"/>
          <w:rtl/>
          <w:lang w:val="en-GB" w:bidi="ar-OM"/>
        </w:rPr>
        <w:t>هيئة الخدمات المالية</w:t>
      </w:r>
      <w:r w:rsidR="002E61D6" w:rsidRPr="00EB5BCF">
        <w:rPr>
          <w:rFonts w:ascii="Traditional Arabic" w:hAnsi="Traditional Arabic" w:cs="Traditional Arabic"/>
          <w:b/>
          <w:sz w:val="30"/>
          <w:szCs w:val="30"/>
          <w:rtl/>
          <w:lang w:val="en-GB" w:bidi="ar-OM"/>
        </w:rPr>
        <w:t>، حيث</w:t>
      </w:r>
      <w:r w:rsidRPr="00EB5BCF">
        <w:rPr>
          <w:rFonts w:ascii="Traditional Arabic" w:hAnsi="Traditional Arabic" w:cs="Traditional Arabic"/>
          <w:b/>
          <w:sz w:val="30"/>
          <w:szCs w:val="30"/>
          <w:rtl/>
          <w:lang w:val="en-GB" w:bidi="ar-OM"/>
        </w:rPr>
        <w:t xml:space="preserve"> تم تعريف "السيطرة" في اللائحة على أنها: عرض مقدم من شخص بمفرده أو بالاشتراك مع آخرين لامتلاك (25%) خمسة وعشرين بالمائة أو أكثر من أسهم التصويت للشركة المساهمة العامة، وفي هذه الحالة يتعين على المشتري الالتزام بأحكام اللائحة والحصول على موافقة </w:t>
      </w:r>
      <w:r w:rsidR="002D7E14">
        <w:rPr>
          <w:rFonts w:ascii="Traditional Arabic" w:hAnsi="Traditional Arabic" w:cs="Traditional Arabic"/>
          <w:b/>
          <w:sz w:val="30"/>
          <w:szCs w:val="30"/>
          <w:rtl/>
          <w:lang w:val="en-GB" w:bidi="ar-OM"/>
        </w:rPr>
        <w:t>هيئة الخدمات المالية</w:t>
      </w:r>
      <w:r w:rsidRPr="00EB5BCF">
        <w:rPr>
          <w:rFonts w:ascii="Traditional Arabic" w:hAnsi="Traditional Arabic" w:cs="Traditional Arabic"/>
          <w:b/>
          <w:sz w:val="30"/>
          <w:szCs w:val="30"/>
          <w:rtl/>
          <w:lang w:val="en-GB" w:bidi="ar-OM"/>
        </w:rPr>
        <w:t xml:space="preserve"> على الاستحواذ وتقديم عرض </w:t>
      </w:r>
      <w:r w:rsidR="0029623E">
        <w:rPr>
          <w:rFonts w:ascii="Traditional Arabic" w:hAnsi="Traditional Arabic" w:cs="Traditional Arabic" w:hint="cs"/>
          <w:b/>
          <w:sz w:val="30"/>
          <w:szCs w:val="30"/>
          <w:rtl/>
          <w:lang w:val="en-GB" w:bidi="ar-OM"/>
        </w:rPr>
        <w:t>الاستحواذ الإجباري</w:t>
      </w:r>
      <w:r w:rsidR="0029623E" w:rsidRPr="00EB5BCF">
        <w:rPr>
          <w:rFonts w:ascii="Traditional Arabic" w:hAnsi="Traditional Arabic" w:cs="Traditional Arabic"/>
          <w:b/>
          <w:sz w:val="30"/>
          <w:szCs w:val="30"/>
          <w:rtl/>
          <w:lang w:val="en-GB" w:bidi="ar-OM"/>
        </w:rPr>
        <w:t xml:space="preserve"> </w:t>
      </w:r>
      <w:r w:rsidRPr="00EB5BCF">
        <w:rPr>
          <w:rFonts w:ascii="Traditional Arabic" w:hAnsi="Traditional Arabic" w:cs="Traditional Arabic"/>
          <w:b/>
          <w:sz w:val="30"/>
          <w:szCs w:val="30"/>
          <w:rtl/>
          <w:lang w:val="en-GB" w:bidi="ar-OM"/>
        </w:rPr>
        <w:t>إلى المساهمين الآخرين في الشركة.</w:t>
      </w:r>
    </w:p>
    <w:p w14:paraId="5CBB2FE2" w14:textId="77777777" w:rsidR="00F00C51" w:rsidRPr="00EB5BCF" w:rsidRDefault="00F00C51" w:rsidP="00F00C51">
      <w:pPr>
        <w:pStyle w:val="BodyText1"/>
        <w:bidi/>
        <w:spacing w:after="0"/>
        <w:mirrorIndents/>
        <w:rPr>
          <w:rFonts w:ascii="Traditional Arabic" w:hAnsi="Traditional Arabic" w:cs="Traditional Arabic"/>
          <w:b/>
          <w:sz w:val="30"/>
          <w:szCs w:val="30"/>
          <w:rtl/>
          <w:lang w:val="en-GB" w:bidi="ar-OM"/>
        </w:rPr>
      </w:pPr>
    </w:p>
    <w:p w14:paraId="1428C819" w14:textId="77777777" w:rsidR="00C92544" w:rsidRPr="00EB5BCF" w:rsidRDefault="00C92544" w:rsidP="001A0324">
      <w:pPr>
        <w:autoSpaceDE w:val="0"/>
        <w:autoSpaceDN w:val="0"/>
        <w:bidi/>
        <w:adjustRightInd w:val="0"/>
        <w:jc w:val="both"/>
        <w:rPr>
          <w:rFonts w:ascii="Traditional Arabic" w:hAnsi="Traditional Arabic" w:cs="Traditional Arabic"/>
          <w:sz w:val="30"/>
          <w:szCs w:val="30"/>
          <w:rtl/>
          <w:lang w:bidi="ar-OM"/>
        </w:rPr>
        <w:sectPr w:rsidR="00C92544" w:rsidRPr="00EB5BCF">
          <w:pgSz w:w="12240" w:h="15840"/>
          <w:pgMar w:top="1440" w:right="1440" w:bottom="1440" w:left="1440" w:header="720" w:footer="720" w:gutter="0"/>
          <w:cols w:space="720"/>
          <w:docGrid w:linePitch="360"/>
        </w:sectPr>
      </w:pPr>
    </w:p>
    <w:p w14:paraId="7B911622" w14:textId="77777777" w:rsidR="00B32090" w:rsidRPr="00EB5BCF" w:rsidRDefault="00C92544" w:rsidP="00B32090">
      <w:pPr>
        <w:autoSpaceDE w:val="0"/>
        <w:autoSpaceDN w:val="0"/>
        <w:bidi/>
        <w:adjustRightInd w:val="0"/>
        <w:jc w:val="center"/>
        <w:rPr>
          <w:rFonts w:ascii="Traditional Arabic" w:hAnsi="Traditional Arabic" w:cs="Traditional Arabic"/>
          <w:b/>
          <w:bCs/>
          <w:sz w:val="30"/>
          <w:szCs w:val="30"/>
          <w:rtl/>
          <w:lang w:bidi="ar-OM"/>
        </w:rPr>
      </w:pPr>
      <w:r w:rsidRPr="00EB5BCF">
        <w:rPr>
          <w:rFonts w:ascii="Traditional Arabic" w:hAnsi="Traditional Arabic" w:cs="Traditional Arabic"/>
          <w:b/>
          <w:bCs/>
          <w:sz w:val="30"/>
          <w:szCs w:val="30"/>
          <w:rtl/>
          <w:lang w:bidi="ar-OM"/>
        </w:rPr>
        <w:lastRenderedPageBreak/>
        <w:t xml:space="preserve">الفصل </w:t>
      </w:r>
      <w:r w:rsidR="00272B36">
        <w:rPr>
          <w:rFonts w:ascii="Traditional Arabic" w:hAnsi="Traditional Arabic" w:cs="Traditional Arabic" w:hint="cs"/>
          <w:b/>
          <w:bCs/>
          <w:sz w:val="30"/>
          <w:szCs w:val="30"/>
          <w:rtl/>
          <w:lang w:bidi="ar-OM"/>
        </w:rPr>
        <w:t>التاسع عشر</w:t>
      </w:r>
    </w:p>
    <w:p w14:paraId="080B1941" w14:textId="77777777" w:rsidR="001A0324" w:rsidRPr="00EB5BCF" w:rsidRDefault="00F622CE" w:rsidP="008252E9">
      <w:pPr>
        <w:autoSpaceDE w:val="0"/>
        <w:autoSpaceDN w:val="0"/>
        <w:bidi/>
        <w:adjustRightInd w:val="0"/>
        <w:jc w:val="center"/>
        <w:rPr>
          <w:rFonts w:ascii="Traditional Arabic" w:hAnsi="Traditional Arabic" w:cs="Traditional Arabic"/>
          <w:sz w:val="30"/>
          <w:szCs w:val="30"/>
          <w:rtl/>
          <w:lang w:bidi="ar-OM"/>
        </w:rPr>
      </w:pPr>
      <w:r w:rsidRPr="00EB5BCF">
        <w:rPr>
          <w:rFonts w:ascii="Traditional Arabic" w:hAnsi="Traditional Arabic" w:cs="Traditional Arabic"/>
          <w:b/>
          <w:bCs/>
          <w:sz w:val="30"/>
          <w:szCs w:val="30"/>
          <w:rtl/>
          <w:lang w:bidi="ar-OM"/>
        </w:rPr>
        <w:t>شروط الاكتتاب وإجراءاته</w:t>
      </w:r>
    </w:p>
    <w:p w14:paraId="2CD492AE" w14:textId="77777777" w:rsidR="00C53B7B" w:rsidRPr="00CA4D73" w:rsidRDefault="00C53B7B" w:rsidP="00C53B7B">
      <w:pPr>
        <w:bidi/>
        <w:rPr>
          <w:rFonts w:ascii="Traditional Arabic" w:hAnsi="Traditional Arabic" w:cs="Traditional Arabic"/>
          <w:b/>
          <w:bCs/>
          <w:sz w:val="30"/>
          <w:szCs w:val="30"/>
          <w:vertAlign w:val="superscript"/>
          <w:rtl/>
        </w:rPr>
      </w:pPr>
      <w:r w:rsidRPr="00785453">
        <w:rPr>
          <w:rFonts w:ascii="Traditional Arabic" w:hAnsi="Traditional Arabic" w:cs="Traditional Arabic"/>
          <w:b/>
          <w:bCs/>
          <w:sz w:val="30"/>
          <w:szCs w:val="30"/>
          <w:rtl/>
        </w:rPr>
        <w:t>هيكل الاكتتاب</w:t>
      </w:r>
      <w:r w:rsidR="00FD6967">
        <w:rPr>
          <w:rFonts w:ascii="Traditional Arabic" w:hAnsi="Traditional Arabic" w:cs="Traditional Arabic" w:hint="cs"/>
          <w:b/>
          <w:bCs/>
          <w:sz w:val="30"/>
          <w:szCs w:val="30"/>
          <w:vertAlign w:val="superscript"/>
          <w:rtl/>
        </w:rPr>
        <w:t>(</w:t>
      </w:r>
      <w:r w:rsidR="006A4401">
        <w:rPr>
          <w:rFonts w:ascii="Traditional Arabic" w:hAnsi="Traditional Arabic" w:cs="Traditional Arabic"/>
          <w:b/>
          <w:bCs/>
          <w:sz w:val="30"/>
          <w:szCs w:val="30"/>
          <w:vertAlign w:val="superscript"/>
        </w:rPr>
        <w:t>5</w:t>
      </w:r>
      <w:r w:rsidR="00FD6967">
        <w:rPr>
          <w:rFonts w:ascii="Traditional Arabic" w:hAnsi="Traditional Arabic" w:cs="Traditional Arabic" w:hint="cs"/>
          <w:b/>
          <w:bCs/>
          <w:sz w:val="30"/>
          <w:szCs w:val="30"/>
          <w:vertAlign w:val="superscript"/>
          <w:rtl/>
        </w:rPr>
        <w:t>)</w:t>
      </w:r>
    </w:p>
    <w:p w14:paraId="720BDC4C" w14:textId="77777777" w:rsidR="00C53B7B" w:rsidRPr="00785453" w:rsidRDefault="00C53B7B" w:rsidP="00C53B7B">
      <w:pPr>
        <w:bidi/>
        <w:rPr>
          <w:rFonts w:ascii="Traditional Arabic" w:hAnsi="Traditional Arabic" w:cs="Traditional Arabic"/>
          <w:b/>
          <w:sz w:val="30"/>
          <w:szCs w:val="30"/>
        </w:rPr>
      </w:pPr>
    </w:p>
    <w:tbl>
      <w:tblPr>
        <w:bidiVisual/>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5"/>
        <w:gridCol w:w="2110"/>
        <w:gridCol w:w="1945"/>
        <w:gridCol w:w="1947"/>
        <w:gridCol w:w="1945"/>
      </w:tblGrid>
      <w:tr w:rsidR="00C53B7B" w:rsidRPr="00785453" w14:paraId="239CB508" w14:textId="77777777" w:rsidTr="00AD382A">
        <w:tc>
          <w:tcPr>
            <w:tcW w:w="751" w:type="pct"/>
            <w:shd w:val="clear" w:color="auto" w:fill="D9D9D9" w:themeFill="background1" w:themeFillShade="D9"/>
          </w:tcPr>
          <w:p w14:paraId="4C0F4D90" w14:textId="77777777" w:rsidR="00C53B7B" w:rsidRPr="00785453" w:rsidRDefault="00C53B7B" w:rsidP="00922116">
            <w:pPr>
              <w:bidi/>
              <w:rPr>
                <w:rFonts w:ascii="Traditional Arabic" w:hAnsi="Traditional Arabic" w:cs="Traditional Arabic"/>
                <w:b/>
                <w:sz w:val="24"/>
              </w:rPr>
            </w:pPr>
          </w:p>
        </w:tc>
        <w:tc>
          <w:tcPr>
            <w:tcW w:w="1128" w:type="pct"/>
            <w:shd w:val="clear" w:color="auto" w:fill="D9D9D9" w:themeFill="background1" w:themeFillShade="D9"/>
          </w:tcPr>
          <w:p w14:paraId="021F7431" w14:textId="77777777" w:rsidR="00C53B7B" w:rsidRPr="00785453" w:rsidRDefault="00C53B7B" w:rsidP="00922116">
            <w:pPr>
              <w:bidi/>
              <w:jc w:val="both"/>
              <w:rPr>
                <w:rFonts w:ascii="Traditional Arabic" w:hAnsi="Traditional Arabic" w:cs="Traditional Arabic"/>
                <w:b/>
                <w:sz w:val="24"/>
              </w:rPr>
            </w:pPr>
            <w:r w:rsidRPr="00785453">
              <w:rPr>
                <w:rFonts w:ascii="Traditional Arabic" w:hAnsi="Traditional Arabic" w:cs="Traditional Arabic"/>
                <w:b/>
                <w:bCs/>
                <w:sz w:val="24"/>
                <w:rtl/>
              </w:rPr>
              <w:t>طرح الفئة الأولى (المؤسس</w:t>
            </w:r>
            <w:r w:rsidRPr="00785453">
              <w:rPr>
                <w:rFonts w:ascii="Traditional Arabic" w:hAnsi="Traditional Arabic" w:cs="Traditional Arabic" w:hint="cs"/>
                <w:b/>
                <w:bCs/>
                <w:sz w:val="24"/>
                <w:rtl/>
              </w:rPr>
              <w:t>ات المحلية و</w:t>
            </w:r>
            <w:r w:rsidR="00D00C41">
              <w:rPr>
                <w:rFonts w:ascii="Traditional Arabic" w:hAnsi="Traditional Arabic" w:cs="Traditional Arabic" w:hint="cs"/>
                <w:b/>
                <w:bCs/>
                <w:sz w:val="24"/>
                <w:rtl/>
              </w:rPr>
              <w:t>الإقليمية و</w:t>
            </w:r>
            <w:r w:rsidRPr="00785453">
              <w:rPr>
                <w:rFonts w:ascii="Traditional Arabic" w:hAnsi="Traditional Arabic" w:cs="Traditional Arabic" w:hint="cs"/>
                <w:b/>
                <w:bCs/>
                <w:sz w:val="24"/>
                <w:rtl/>
              </w:rPr>
              <w:t>ال</w:t>
            </w:r>
            <w:r w:rsidR="00D00E9B">
              <w:rPr>
                <w:rFonts w:ascii="Traditional Arabic" w:hAnsi="Traditional Arabic" w:cs="Traditional Arabic" w:hint="cs"/>
                <w:b/>
                <w:bCs/>
                <w:sz w:val="24"/>
                <w:rtl/>
              </w:rPr>
              <w:t>أ</w:t>
            </w:r>
            <w:r w:rsidRPr="00785453">
              <w:rPr>
                <w:rFonts w:ascii="Traditional Arabic" w:hAnsi="Traditional Arabic" w:cs="Traditional Arabic" w:hint="cs"/>
                <w:b/>
                <w:bCs/>
                <w:sz w:val="24"/>
                <w:rtl/>
              </w:rPr>
              <w:t>جنبية</w:t>
            </w:r>
            <w:r w:rsidRPr="00785453">
              <w:rPr>
                <w:rFonts w:ascii="Traditional Arabic" w:hAnsi="Traditional Arabic" w:cs="Traditional Arabic"/>
                <w:b/>
                <w:bCs/>
                <w:sz w:val="24"/>
                <w:rtl/>
                <w:lang w:bidi="ar-OM"/>
              </w:rPr>
              <w:t>)</w:t>
            </w:r>
          </w:p>
        </w:tc>
        <w:tc>
          <w:tcPr>
            <w:tcW w:w="1040" w:type="pct"/>
            <w:shd w:val="clear" w:color="auto" w:fill="D9D9D9" w:themeFill="background1" w:themeFillShade="D9"/>
          </w:tcPr>
          <w:p w14:paraId="0BB93E57" w14:textId="77777777" w:rsidR="00C53B7B" w:rsidRPr="00785453" w:rsidRDefault="00C53B7B" w:rsidP="00922116">
            <w:pPr>
              <w:bidi/>
              <w:jc w:val="both"/>
              <w:rPr>
                <w:rFonts w:ascii="Traditional Arabic" w:hAnsi="Traditional Arabic" w:cs="Traditional Arabic"/>
                <w:b/>
                <w:bCs/>
                <w:sz w:val="24"/>
              </w:rPr>
            </w:pPr>
            <w:r w:rsidRPr="00785453">
              <w:rPr>
                <w:rFonts w:ascii="Traditional Arabic" w:hAnsi="Traditional Arabic" w:cs="Traditional Arabic"/>
                <w:b/>
                <w:bCs/>
                <w:sz w:val="24"/>
                <w:rtl/>
                <w:lang w:bidi="ar-OM"/>
              </w:rPr>
              <w:t xml:space="preserve">طرح المستثمرين الرئيسين </w:t>
            </w:r>
          </w:p>
        </w:tc>
        <w:tc>
          <w:tcPr>
            <w:tcW w:w="1041" w:type="pct"/>
            <w:shd w:val="clear" w:color="auto" w:fill="D9D9D9" w:themeFill="background1" w:themeFillShade="D9"/>
          </w:tcPr>
          <w:p w14:paraId="5C994E79" w14:textId="77777777" w:rsidR="00C53B7B" w:rsidRPr="00785453" w:rsidRDefault="00C53B7B" w:rsidP="00922116">
            <w:pPr>
              <w:bidi/>
              <w:jc w:val="both"/>
              <w:rPr>
                <w:rFonts w:ascii="Traditional Arabic" w:hAnsi="Traditional Arabic" w:cs="Traditional Arabic"/>
                <w:b/>
                <w:sz w:val="24"/>
              </w:rPr>
            </w:pPr>
            <w:r w:rsidRPr="00785453">
              <w:rPr>
                <w:rFonts w:ascii="Traditional Arabic" w:hAnsi="Traditional Arabic" w:cs="Traditional Arabic"/>
                <w:b/>
                <w:bCs/>
                <w:sz w:val="24"/>
                <w:rtl/>
              </w:rPr>
              <w:t xml:space="preserve">طرح الفئة الثانية </w:t>
            </w:r>
            <w:r w:rsidRPr="00785453">
              <w:rPr>
                <w:rFonts w:ascii="Traditional Arabic" w:hAnsi="Traditional Arabic" w:cs="Traditional Arabic" w:hint="cs"/>
                <w:b/>
                <w:bCs/>
                <w:sz w:val="24"/>
                <w:rtl/>
              </w:rPr>
              <w:t xml:space="preserve">(صغار المستثمرين) </w:t>
            </w:r>
            <w:r w:rsidRPr="00785453">
              <w:rPr>
                <w:rFonts w:ascii="Traditional Arabic" w:hAnsi="Traditional Arabic" w:cs="Traditional Arabic"/>
                <w:b/>
                <w:bCs/>
                <w:sz w:val="24"/>
                <w:rtl/>
              </w:rPr>
              <w:t>(الأفراد)</w:t>
            </w:r>
          </w:p>
        </w:tc>
        <w:tc>
          <w:tcPr>
            <w:tcW w:w="1040" w:type="pct"/>
            <w:shd w:val="clear" w:color="auto" w:fill="D9D9D9" w:themeFill="background1" w:themeFillShade="D9"/>
          </w:tcPr>
          <w:p w14:paraId="006451A4" w14:textId="77777777" w:rsidR="00C53B7B" w:rsidRPr="00785453" w:rsidRDefault="00C53B7B" w:rsidP="00922116">
            <w:pPr>
              <w:bidi/>
              <w:jc w:val="both"/>
              <w:rPr>
                <w:rFonts w:ascii="Traditional Arabic" w:hAnsi="Traditional Arabic" w:cs="Traditional Arabic"/>
                <w:b/>
                <w:bCs/>
                <w:sz w:val="24"/>
                <w:rtl/>
              </w:rPr>
            </w:pPr>
            <w:r w:rsidRPr="00785453">
              <w:rPr>
                <w:rFonts w:ascii="Traditional Arabic" w:hAnsi="Traditional Arabic" w:cs="Traditional Arabic"/>
                <w:b/>
                <w:bCs/>
                <w:sz w:val="24"/>
                <w:rtl/>
              </w:rPr>
              <w:t xml:space="preserve">طرح الفئة الثانية </w:t>
            </w:r>
            <w:r w:rsidRPr="00785453">
              <w:rPr>
                <w:rFonts w:ascii="Traditional Arabic" w:hAnsi="Traditional Arabic" w:cs="Traditional Arabic" w:hint="cs"/>
                <w:b/>
                <w:bCs/>
                <w:sz w:val="24"/>
                <w:rtl/>
              </w:rPr>
              <w:t xml:space="preserve">(كبار المستثمرين) </w:t>
            </w:r>
            <w:r w:rsidRPr="00785453">
              <w:rPr>
                <w:rFonts w:ascii="Traditional Arabic" w:hAnsi="Traditional Arabic" w:cs="Traditional Arabic"/>
                <w:b/>
                <w:bCs/>
                <w:sz w:val="24"/>
                <w:rtl/>
              </w:rPr>
              <w:t>(الأفراد)</w:t>
            </w:r>
          </w:p>
        </w:tc>
      </w:tr>
      <w:tr w:rsidR="00C53B7B" w:rsidRPr="00785453" w14:paraId="02D93ABF" w14:textId="77777777" w:rsidTr="00AD382A">
        <w:tc>
          <w:tcPr>
            <w:tcW w:w="751" w:type="pct"/>
          </w:tcPr>
          <w:p w14:paraId="4DD9AD14" w14:textId="77777777" w:rsidR="00C53B7B" w:rsidRPr="00785453" w:rsidRDefault="00C53B7B" w:rsidP="00922116">
            <w:pPr>
              <w:bidi/>
              <w:rPr>
                <w:rFonts w:ascii="Traditional Arabic" w:hAnsi="Traditional Arabic" w:cs="Traditional Arabic"/>
                <w:b/>
                <w:bCs/>
                <w:sz w:val="24"/>
                <w:rtl/>
                <w:lang w:bidi="ar-EG"/>
              </w:rPr>
            </w:pPr>
            <w:r w:rsidRPr="00785453">
              <w:rPr>
                <w:rFonts w:ascii="Traditional Arabic" w:hAnsi="Traditional Arabic" w:cs="Traditional Arabic"/>
                <w:b/>
                <w:bCs/>
                <w:sz w:val="24"/>
                <w:rtl/>
                <w:lang w:bidi="ar-EG"/>
              </w:rPr>
              <w:t>حجم الطرح</w:t>
            </w:r>
          </w:p>
          <w:p w14:paraId="32D1B0D5" w14:textId="77777777" w:rsidR="00C53B7B" w:rsidRPr="00785453" w:rsidRDefault="00C53B7B" w:rsidP="00922116">
            <w:pPr>
              <w:bidi/>
              <w:rPr>
                <w:rFonts w:ascii="Traditional Arabic" w:hAnsi="Traditional Arabic" w:cs="Traditional Arabic"/>
                <w:b/>
                <w:sz w:val="24"/>
              </w:rPr>
            </w:pPr>
          </w:p>
        </w:tc>
        <w:tc>
          <w:tcPr>
            <w:tcW w:w="1128" w:type="pct"/>
          </w:tcPr>
          <w:p w14:paraId="3179A9AE" w14:textId="77777777" w:rsidR="00C53B7B" w:rsidRPr="00D925C8" w:rsidRDefault="002F78EE" w:rsidP="00E21BCF">
            <w:pPr>
              <w:bidi/>
              <w:rPr>
                <w:rFonts w:ascii="Traditional Arabic" w:hAnsi="Traditional Arabic" w:cs="Traditional Arabic"/>
                <w:sz w:val="30"/>
                <w:szCs w:val="30"/>
                <w:lang w:bidi="ar-OM"/>
              </w:rPr>
            </w:pPr>
            <w:r>
              <w:rPr>
                <w:rFonts w:ascii="Traditional Arabic" w:hAnsi="Traditional Arabic" w:cs="Traditional Arabic" w:hint="cs"/>
                <w:sz w:val="24"/>
                <w:rtl/>
                <w:lang w:bidi="ar-OM"/>
              </w:rPr>
              <w:t>468.786.985</w:t>
            </w:r>
            <w:r w:rsidR="00E21BCF">
              <w:rPr>
                <w:rFonts w:ascii="Traditional Arabic" w:hAnsi="Traditional Arabic" w:cs="Traditional Arabic"/>
                <w:sz w:val="30"/>
                <w:szCs w:val="30"/>
                <w:lang w:val="en-GB" w:bidi="ar-OM"/>
              </w:rPr>
              <w:t xml:space="preserve"> </w:t>
            </w:r>
            <w:r w:rsidR="00C53B7B" w:rsidRPr="00785453">
              <w:rPr>
                <w:rFonts w:ascii="Traditional Arabic" w:hAnsi="Traditional Arabic" w:cs="Traditional Arabic"/>
                <w:sz w:val="24"/>
                <w:rtl/>
              </w:rPr>
              <w:t>سهم</w:t>
            </w:r>
          </w:p>
        </w:tc>
        <w:tc>
          <w:tcPr>
            <w:tcW w:w="1040" w:type="pct"/>
          </w:tcPr>
          <w:p w14:paraId="236F4AEF" w14:textId="77777777" w:rsidR="00C53B7B" w:rsidRPr="00785453" w:rsidRDefault="006C6A74" w:rsidP="00082A74">
            <w:pPr>
              <w:bidi/>
              <w:rPr>
                <w:rFonts w:ascii="Traditional Arabic" w:hAnsi="Traditional Arabic" w:cs="Traditional Arabic"/>
                <w:sz w:val="24"/>
                <w:rtl/>
                <w:lang w:bidi="ar-OM"/>
              </w:rPr>
            </w:pPr>
            <w:r>
              <w:rPr>
                <w:rFonts w:ascii="Traditional Arabic" w:hAnsi="Traditional Arabic" w:cs="Traditional Arabic" w:hint="cs"/>
                <w:sz w:val="24"/>
                <w:rtl/>
                <w:lang w:bidi="ar-OM"/>
              </w:rPr>
              <w:t xml:space="preserve">312.524.657 </w:t>
            </w:r>
            <w:r w:rsidR="00A15ECC">
              <w:rPr>
                <w:rFonts w:ascii="Traditional Arabic" w:hAnsi="Traditional Arabic" w:cs="Traditional Arabic" w:hint="cs"/>
                <w:sz w:val="24"/>
                <w:rtl/>
              </w:rPr>
              <w:t>سهم</w:t>
            </w:r>
          </w:p>
        </w:tc>
        <w:tc>
          <w:tcPr>
            <w:tcW w:w="1041" w:type="pct"/>
          </w:tcPr>
          <w:p w14:paraId="7F9A7AAD" w14:textId="77777777" w:rsidR="00C65F70" w:rsidRPr="00785453" w:rsidRDefault="00C65F70" w:rsidP="00C65F70">
            <w:pPr>
              <w:bidi/>
              <w:rPr>
                <w:rFonts w:ascii="Traditional Arabic" w:hAnsi="Traditional Arabic" w:cs="Traditional Arabic"/>
                <w:sz w:val="24"/>
              </w:rPr>
            </w:pPr>
            <w:r w:rsidRPr="00C65F70">
              <w:rPr>
                <w:rFonts w:ascii="Traditional Arabic" w:hAnsi="Traditional Arabic" w:cs="Traditional Arabic"/>
                <w:sz w:val="24"/>
                <w:rtl/>
              </w:rPr>
              <w:t>١٣٠,٢١٨,٦٠٧</w:t>
            </w:r>
            <w:r>
              <w:rPr>
                <w:rFonts w:ascii="Traditional Arabic" w:hAnsi="Traditional Arabic" w:cs="Traditional Arabic" w:hint="cs"/>
                <w:sz w:val="24"/>
                <w:rtl/>
              </w:rPr>
              <w:t xml:space="preserve"> سهم</w:t>
            </w:r>
          </w:p>
        </w:tc>
        <w:tc>
          <w:tcPr>
            <w:tcW w:w="1040" w:type="pct"/>
          </w:tcPr>
          <w:p w14:paraId="64614677" w14:textId="77777777" w:rsidR="00C53B7B" w:rsidRPr="00785453" w:rsidRDefault="00C65F70" w:rsidP="00922116">
            <w:pPr>
              <w:bidi/>
              <w:rPr>
                <w:rFonts w:ascii="Traditional Arabic" w:hAnsi="Traditional Arabic" w:cs="Traditional Arabic"/>
                <w:sz w:val="24"/>
                <w:rtl/>
              </w:rPr>
            </w:pPr>
            <w:r w:rsidRPr="00C65F70">
              <w:rPr>
                <w:rFonts w:ascii="Traditional Arabic" w:hAnsi="Traditional Arabic" w:cs="Traditional Arabic"/>
                <w:sz w:val="24"/>
                <w:rtl/>
              </w:rPr>
              <w:t>١٣٠,٢١٨,٦٠٧</w:t>
            </w:r>
            <w:r>
              <w:rPr>
                <w:rFonts w:ascii="Traditional Arabic" w:hAnsi="Traditional Arabic" w:cs="Traditional Arabic" w:hint="cs"/>
                <w:sz w:val="24"/>
                <w:rtl/>
              </w:rPr>
              <w:t xml:space="preserve"> سهم</w:t>
            </w:r>
          </w:p>
        </w:tc>
      </w:tr>
      <w:tr w:rsidR="00C53B7B" w:rsidRPr="00785453" w14:paraId="13E63442" w14:textId="77777777" w:rsidTr="00AD382A">
        <w:tc>
          <w:tcPr>
            <w:tcW w:w="751" w:type="pct"/>
          </w:tcPr>
          <w:p w14:paraId="62AF59FF" w14:textId="77777777" w:rsidR="00C53B7B" w:rsidRPr="00785453" w:rsidRDefault="00C53B7B" w:rsidP="00922116">
            <w:pPr>
              <w:bidi/>
              <w:rPr>
                <w:rFonts w:ascii="Traditional Arabic" w:hAnsi="Traditional Arabic" w:cs="Traditional Arabic"/>
                <w:b/>
                <w:sz w:val="24"/>
              </w:rPr>
            </w:pPr>
            <w:r w:rsidRPr="00785453">
              <w:rPr>
                <w:rFonts w:ascii="Traditional Arabic" w:hAnsi="Traditional Arabic" w:cs="Traditional Arabic"/>
                <w:b/>
                <w:bCs/>
                <w:sz w:val="24"/>
                <w:rtl/>
              </w:rPr>
              <w:t>نسبة أسهم الطرح</w:t>
            </w:r>
          </w:p>
        </w:tc>
        <w:tc>
          <w:tcPr>
            <w:tcW w:w="1128" w:type="pct"/>
          </w:tcPr>
          <w:p w14:paraId="7C1C76B5" w14:textId="20DEAE95" w:rsidR="00C53B7B" w:rsidRPr="00785453" w:rsidRDefault="002F78EE" w:rsidP="00922116">
            <w:pPr>
              <w:bidi/>
              <w:jc w:val="both"/>
              <w:rPr>
                <w:rFonts w:ascii="Traditional Arabic" w:hAnsi="Traditional Arabic" w:cs="Traditional Arabic"/>
                <w:sz w:val="24"/>
              </w:rPr>
            </w:pPr>
            <w:r>
              <w:rPr>
                <w:rFonts w:ascii="Traditional Arabic" w:hAnsi="Traditional Arabic" w:cs="Traditional Arabic" w:hint="cs"/>
                <w:sz w:val="24"/>
                <w:rtl/>
              </w:rPr>
              <w:t>45</w:t>
            </w:r>
            <w:r w:rsidR="00944CBD">
              <w:rPr>
                <w:rFonts w:ascii="Traditional Arabic" w:hAnsi="Traditional Arabic" w:cs="Traditional Arabic" w:hint="cs"/>
                <w:sz w:val="24"/>
                <w:rtl/>
              </w:rPr>
              <w:t>%</w:t>
            </w:r>
          </w:p>
        </w:tc>
        <w:tc>
          <w:tcPr>
            <w:tcW w:w="1040" w:type="pct"/>
          </w:tcPr>
          <w:p w14:paraId="6B03043F" w14:textId="19DC5941" w:rsidR="00C53B7B" w:rsidRPr="00785453" w:rsidRDefault="002F78EE" w:rsidP="00922116">
            <w:pPr>
              <w:bidi/>
              <w:rPr>
                <w:rFonts w:ascii="Traditional Arabic" w:hAnsi="Traditional Arabic" w:cs="Traditional Arabic"/>
                <w:sz w:val="24"/>
                <w:rtl/>
              </w:rPr>
            </w:pPr>
            <w:r>
              <w:rPr>
                <w:rFonts w:ascii="Traditional Arabic" w:hAnsi="Traditional Arabic" w:cs="Traditional Arabic" w:hint="cs"/>
                <w:sz w:val="24"/>
                <w:rtl/>
              </w:rPr>
              <w:t>30</w:t>
            </w:r>
            <w:r w:rsidR="00944CBD">
              <w:rPr>
                <w:rFonts w:ascii="Traditional Arabic" w:hAnsi="Traditional Arabic" w:cs="Traditional Arabic" w:hint="cs"/>
                <w:sz w:val="24"/>
                <w:rtl/>
              </w:rPr>
              <w:t>%</w:t>
            </w:r>
          </w:p>
        </w:tc>
        <w:tc>
          <w:tcPr>
            <w:tcW w:w="1041" w:type="pct"/>
          </w:tcPr>
          <w:p w14:paraId="6DC6E6E3" w14:textId="77777777" w:rsidR="00C53B7B" w:rsidRPr="00785453" w:rsidRDefault="00C65F70" w:rsidP="00922116">
            <w:pPr>
              <w:bidi/>
              <w:rPr>
                <w:rFonts w:ascii="Traditional Arabic" w:hAnsi="Traditional Arabic" w:cs="Traditional Arabic"/>
                <w:sz w:val="24"/>
              </w:rPr>
            </w:pPr>
            <w:r>
              <w:rPr>
                <w:rFonts w:ascii="Traditional Arabic" w:hAnsi="Traditional Arabic" w:cs="Traditional Arabic" w:hint="cs"/>
                <w:sz w:val="24"/>
                <w:rtl/>
              </w:rPr>
              <w:t>١٢.٥</w:t>
            </w:r>
            <w:r w:rsidR="00944CBD">
              <w:rPr>
                <w:rFonts w:ascii="Traditional Arabic" w:hAnsi="Traditional Arabic" w:cs="Traditional Arabic" w:hint="cs"/>
                <w:sz w:val="24"/>
                <w:rtl/>
              </w:rPr>
              <w:t>%</w:t>
            </w:r>
          </w:p>
        </w:tc>
        <w:tc>
          <w:tcPr>
            <w:tcW w:w="1040" w:type="pct"/>
          </w:tcPr>
          <w:p w14:paraId="02947201" w14:textId="77777777" w:rsidR="00C53B7B" w:rsidRPr="00785453" w:rsidRDefault="00C65F70" w:rsidP="00922116">
            <w:pPr>
              <w:bidi/>
              <w:rPr>
                <w:rFonts w:ascii="Traditional Arabic" w:hAnsi="Traditional Arabic" w:cs="Traditional Arabic"/>
                <w:sz w:val="24"/>
                <w:rtl/>
              </w:rPr>
            </w:pPr>
            <w:r>
              <w:rPr>
                <w:rFonts w:ascii="Traditional Arabic" w:hAnsi="Traditional Arabic" w:cs="Traditional Arabic" w:hint="cs"/>
                <w:sz w:val="24"/>
                <w:rtl/>
              </w:rPr>
              <w:t>١٢.٥</w:t>
            </w:r>
            <w:r w:rsidR="00944CBD">
              <w:rPr>
                <w:rFonts w:ascii="Traditional Arabic" w:hAnsi="Traditional Arabic" w:cs="Traditional Arabic" w:hint="cs"/>
                <w:sz w:val="24"/>
                <w:rtl/>
              </w:rPr>
              <w:t>%</w:t>
            </w:r>
          </w:p>
        </w:tc>
      </w:tr>
      <w:tr w:rsidR="00C53B7B" w:rsidRPr="00785453" w14:paraId="58616C9F" w14:textId="77777777" w:rsidTr="00AD382A">
        <w:tc>
          <w:tcPr>
            <w:tcW w:w="751" w:type="pct"/>
          </w:tcPr>
          <w:p w14:paraId="016F7BAF" w14:textId="77777777" w:rsidR="00C53B7B" w:rsidRPr="00785453" w:rsidRDefault="00C53B7B" w:rsidP="00922116">
            <w:pPr>
              <w:bidi/>
              <w:rPr>
                <w:rFonts w:ascii="Traditional Arabic" w:hAnsi="Traditional Arabic" w:cs="Traditional Arabic"/>
                <w:b/>
                <w:sz w:val="24"/>
              </w:rPr>
            </w:pPr>
            <w:r w:rsidRPr="00785453">
              <w:rPr>
                <w:rFonts w:ascii="Traditional Arabic" w:hAnsi="Traditional Arabic" w:cs="Traditional Arabic"/>
                <w:b/>
                <w:bCs/>
                <w:sz w:val="24"/>
                <w:rtl/>
              </w:rPr>
              <w:t>أساس التخصيص</w:t>
            </w:r>
          </w:p>
        </w:tc>
        <w:tc>
          <w:tcPr>
            <w:tcW w:w="1128" w:type="pct"/>
          </w:tcPr>
          <w:p w14:paraId="2CE8996E" w14:textId="77777777" w:rsidR="00C53B7B" w:rsidRPr="00785453" w:rsidRDefault="00D00C41" w:rsidP="00922116">
            <w:pPr>
              <w:bidi/>
              <w:rPr>
                <w:rFonts w:ascii="Traditional Arabic" w:hAnsi="Traditional Arabic" w:cs="Traditional Arabic"/>
                <w:sz w:val="24"/>
              </w:rPr>
            </w:pPr>
            <w:r>
              <w:rPr>
                <w:rFonts w:ascii="Traditional Arabic" w:hAnsi="Traditional Arabic" w:cs="Traditional Arabic" w:hint="cs"/>
                <w:sz w:val="24"/>
                <w:rtl/>
              </w:rPr>
              <w:t xml:space="preserve">بالنسبة لمستثمري الفئة الأولى </w:t>
            </w:r>
            <w:r w:rsidR="007C1DCC">
              <w:rPr>
                <w:rFonts w:ascii="Traditional Arabic" w:hAnsi="Traditional Arabic" w:cs="Traditional Arabic" w:hint="cs"/>
                <w:sz w:val="24"/>
                <w:rtl/>
              </w:rPr>
              <w:t>فيكون التخصيص بحسب تقرير المساهم البائع بالتشاور مع المنسق العالمي المشترك.</w:t>
            </w:r>
            <w:r w:rsidR="00C53B7B" w:rsidRPr="00785453">
              <w:rPr>
                <w:rFonts w:ascii="Traditional Arabic" w:hAnsi="Traditional Arabic" w:cs="Traditional Arabic"/>
                <w:sz w:val="24"/>
                <w:rtl/>
              </w:rPr>
              <w:t xml:space="preserve"> يرجى الاطلاع على فقرة ’</w:t>
            </w:r>
            <w:r w:rsidR="00C53B7B" w:rsidRPr="00785453">
              <w:rPr>
                <w:rFonts w:ascii="Traditional Arabic" w:hAnsi="Traditional Arabic" w:cs="Traditional Arabic"/>
                <w:b/>
                <w:bCs/>
                <w:sz w:val="24"/>
                <w:rtl/>
              </w:rPr>
              <w:t>أساس التخصيص</w:t>
            </w:r>
            <w:r w:rsidR="00C53B7B" w:rsidRPr="00785453">
              <w:rPr>
                <w:rFonts w:ascii="Traditional Arabic" w:hAnsi="Traditional Arabic" w:cs="Traditional Arabic"/>
                <w:sz w:val="24"/>
                <w:rtl/>
                <w:lang w:bidi="ar-OM"/>
              </w:rPr>
              <w:t>‘ للمزيد</w:t>
            </w:r>
            <w:r w:rsidR="00C53B7B" w:rsidRPr="00785453">
              <w:rPr>
                <w:rFonts w:ascii="Traditional Arabic" w:hAnsi="Traditional Arabic" w:cs="Traditional Arabic"/>
                <w:sz w:val="24"/>
                <w:rtl/>
              </w:rPr>
              <w:t xml:space="preserve"> من التفاصيل. </w:t>
            </w:r>
          </w:p>
        </w:tc>
        <w:tc>
          <w:tcPr>
            <w:tcW w:w="1040" w:type="pct"/>
          </w:tcPr>
          <w:p w14:paraId="7252D4EB" w14:textId="77777777" w:rsidR="00C53B7B" w:rsidRPr="00785453" w:rsidRDefault="00C53B7B" w:rsidP="00922116">
            <w:pPr>
              <w:bidi/>
              <w:jc w:val="both"/>
              <w:rPr>
                <w:rFonts w:ascii="Traditional Arabic" w:hAnsi="Traditional Arabic" w:cs="Traditional Arabic"/>
                <w:sz w:val="24"/>
                <w:rtl/>
              </w:rPr>
            </w:pPr>
            <w:r w:rsidRPr="00785453">
              <w:rPr>
                <w:rFonts w:ascii="Traditional Arabic" w:hAnsi="Traditional Arabic" w:cs="Traditional Arabic"/>
                <w:sz w:val="24"/>
                <w:rtl/>
              </w:rPr>
              <w:t xml:space="preserve">أقر </w:t>
            </w:r>
            <w:r w:rsidR="007C1DCC">
              <w:rPr>
                <w:rFonts w:ascii="Traditional Arabic" w:hAnsi="Traditional Arabic" w:cs="Traditional Arabic" w:hint="cs"/>
                <w:sz w:val="24"/>
                <w:rtl/>
              </w:rPr>
              <w:t>المساهم البائع</w:t>
            </w:r>
            <w:r w:rsidRPr="00785453">
              <w:rPr>
                <w:rFonts w:ascii="Traditional Arabic" w:hAnsi="Traditional Arabic" w:cs="Traditional Arabic"/>
                <w:sz w:val="24"/>
                <w:rtl/>
              </w:rPr>
              <w:t xml:space="preserve"> هذا التخصيص قبل بداية الاكتتاب. لمزيد من المعلومات، يرجى الاطلاع على "الفصل العشرين – الاكتتاب والبيع" </w:t>
            </w:r>
          </w:p>
        </w:tc>
        <w:tc>
          <w:tcPr>
            <w:tcW w:w="1041" w:type="pct"/>
          </w:tcPr>
          <w:p w14:paraId="6EBF3D68" w14:textId="77777777" w:rsidR="00C53B7B" w:rsidRPr="00785453" w:rsidRDefault="00C53B7B" w:rsidP="00922116">
            <w:pPr>
              <w:bidi/>
              <w:jc w:val="both"/>
              <w:rPr>
                <w:rFonts w:ascii="Traditional Arabic" w:hAnsi="Traditional Arabic" w:cs="Traditional Arabic"/>
                <w:sz w:val="24"/>
              </w:rPr>
            </w:pPr>
            <w:r w:rsidRPr="00785453">
              <w:rPr>
                <w:rFonts w:ascii="Traditional Arabic" w:hAnsi="Traditional Arabic" w:cs="Traditional Arabic"/>
                <w:sz w:val="24"/>
                <w:rtl/>
              </w:rPr>
              <w:t>بالنسبة والتناسب. يرجى الاطلاع على فقرة "</w:t>
            </w:r>
            <w:r w:rsidRPr="00785453">
              <w:rPr>
                <w:rFonts w:ascii="Traditional Arabic" w:hAnsi="Traditional Arabic" w:cs="Traditional Arabic"/>
                <w:b/>
                <w:bCs/>
                <w:sz w:val="24"/>
                <w:rtl/>
              </w:rPr>
              <w:t>أساس التخصيص</w:t>
            </w:r>
            <w:r w:rsidRPr="00785453">
              <w:rPr>
                <w:rFonts w:ascii="Traditional Arabic" w:hAnsi="Traditional Arabic" w:cs="Traditional Arabic"/>
                <w:sz w:val="24"/>
                <w:rtl/>
              </w:rPr>
              <w:t xml:space="preserve">" لمزيد من التفاصيل. ويجوز للهيئة أن تقرر توزيع حد أدنى من الأسهم المطروحة للاكتتاب العام </w:t>
            </w:r>
            <w:r w:rsidRPr="00785453">
              <w:rPr>
                <w:rFonts w:ascii="Traditional Arabic" w:hAnsi="Traditional Arabic" w:cs="Traditional Arabic" w:hint="cs"/>
                <w:sz w:val="24"/>
                <w:rtl/>
              </w:rPr>
              <w:t>على مستثمري</w:t>
            </w:r>
            <w:r w:rsidRPr="00785453">
              <w:rPr>
                <w:rFonts w:ascii="Traditional Arabic" w:hAnsi="Traditional Arabic" w:cs="Traditional Arabic"/>
                <w:sz w:val="24"/>
                <w:rtl/>
              </w:rPr>
              <w:t xml:space="preserve"> الفئة الثانية</w:t>
            </w:r>
            <w:r w:rsidRPr="00785453">
              <w:rPr>
                <w:rFonts w:ascii="Traditional Arabic" w:hAnsi="Traditional Arabic" w:cs="Traditional Arabic" w:hint="cs"/>
                <w:sz w:val="24"/>
                <w:rtl/>
              </w:rPr>
              <w:t xml:space="preserve"> (صغار المستثمرين)</w:t>
            </w:r>
            <w:r w:rsidRPr="00785453">
              <w:rPr>
                <w:rFonts w:ascii="Traditional Arabic" w:hAnsi="Traditional Arabic" w:cs="Traditional Arabic"/>
                <w:sz w:val="24"/>
                <w:rtl/>
              </w:rPr>
              <w:t xml:space="preserve"> بالتساوي، ثم يجري توزيع باقي الأسهم بينهم بالتناسب </w:t>
            </w:r>
          </w:p>
        </w:tc>
        <w:tc>
          <w:tcPr>
            <w:tcW w:w="1040" w:type="pct"/>
          </w:tcPr>
          <w:p w14:paraId="39A3B4F2" w14:textId="77777777" w:rsidR="00C53B7B" w:rsidRPr="00785453" w:rsidRDefault="00C53B7B" w:rsidP="00922116">
            <w:pPr>
              <w:bidi/>
              <w:jc w:val="both"/>
              <w:rPr>
                <w:rFonts w:ascii="Traditional Arabic" w:hAnsi="Traditional Arabic" w:cs="Traditional Arabic"/>
                <w:sz w:val="24"/>
                <w:rtl/>
              </w:rPr>
            </w:pPr>
            <w:r w:rsidRPr="00785453">
              <w:rPr>
                <w:rFonts w:ascii="Traditional Arabic" w:hAnsi="Traditional Arabic" w:cs="Traditional Arabic"/>
                <w:sz w:val="24"/>
                <w:rtl/>
              </w:rPr>
              <w:t>بالنسبة والتناسب. يرجى الاطلاع على فقرة "</w:t>
            </w:r>
            <w:r w:rsidRPr="00785453">
              <w:rPr>
                <w:rFonts w:ascii="Traditional Arabic" w:hAnsi="Traditional Arabic" w:cs="Traditional Arabic"/>
                <w:b/>
                <w:bCs/>
                <w:sz w:val="24"/>
                <w:rtl/>
              </w:rPr>
              <w:t>أساس التخصيص</w:t>
            </w:r>
            <w:r w:rsidRPr="00785453">
              <w:rPr>
                <w:rFonts w:ascii="Traditional Arabic" w:hAnsi="Traditional Arabic" w:cs="Traditional Arabic"/>
                <w:sz w:val="24"/>
                <w:rtl/>
              </w:rPr>
              <w:t xml:space="preserve">" لمزيد من التفاصيل. </w:t>
            </w:r>
          </w:p>
        </w:tc>
      </w:tr>
      <w:tr w:rsidR="00464EC7" w:rsidRPr="00785453" w14:paraId="14935C68" w14:textId="77777777" w:rsidTr="00AD382A">
        <w:tc>
          <w:tcPr>
            <w:tcW w:w="751" w:type="pct"/>
          </w:tcPr>
          <w:p w14:paraId="397644E6" w14:textId="77777777" w:rsidR="00464EC7" w:rsidRPr="00785453" w:rsidRDefault="00464EC7" w:rsidP="00922116">
            <w:pPr>
              <w:bidi/>
              <w:rPr>
                <w:rFonts w:ascii="Traditional Arabic" w:hAnsi="Traditional Arabic" w:cs="Traditional Arabic"/>
                <w:b/>
                <w:bCs/>
                <w:sz w:val="24"/>
                <w:rtl/>
              </w:rPr>
            </w:pPr>
          </w:p>
        </w:tc>
        <w:tc>
          <w:tcPr>
            <w:tcW w:w="1128" w:type="pct"/>
          </w:tcPr>
          <w:p w14:paraId="093DF5D0" w14:textId="77777777" w:rsidR="00464EC7" w:rsidRDefault="00464EC7" w:rsidP="00922116">
            <w:pPr>
              <w:bidi/>
              <w:rPr>
                <w:rFonts w:ascii="Traditional Arabic" w:hAnsi="Traditional Arabic" w:cs="Traditional Arabic"/>
                <w:sz w:val="24"/>
                <w:rtl/>
              </w:rPr>
            </w:pPr>
          </w:p>
        </w:tc>
        <w:tc>
          <w:tcPr>
            <w:tcW w:w="1040" w:type="pct"/>
          </w:tcPr>
          <w:p w14:paraId="290BE044" w14:textId="77777777" w:rsidR="00464EC7" w:rsidRPr="00785453" w:rsidRDefault="00464EC7" w:rsidP="00922116">
            <w:pPr>
              <w:bidi/>
              <w:jc w:val="both"/>
              <w:rPr>
                <w:rFonts w:ascii="Traditional Arabic" w:hAnsi="Traditional Arabic" w:cs="Traditional Arabic"/>
                <w:sz w:val="24"/>
                <w:rtl/>
              </w:rPr>
            </w:pPr>
          </w:p>
        </w:tc>
        <w:tc>
          <w:tcPr>
            <w:tcW w:w="1041" w:type="pct"/>
          </w:tcPr>
          <w:p w14:paraId="47A750EB" w14:textId="77777777" w:rsidR="00464EC7" w:rsidRPr="00785453" w:rsidRDefault="00464EC7" w:rsidP="00922116">
            <w:pPr>
              <w:bidi/>
              <w:jc w:val="both"/>
              <w:rPr>
                <w:rFonts w:ascii="Traditional Arabic" w:hAnsi="Traditional Arabic" w:cs="Traditional Arabic"/>
                <w:sz w:val="24"/>
                <w:rtl/>
              </w:rPr>
            </w:pPr>
          </w:p>
        </w:tc>
        <w:tc>
          <w:tcPr>
            <w:tcW w:w="1040" w:type="pct"/>
          </w:tcPr>
          <w:p w14:paraId="78D81465" w14:textId="77777777" w:rsidR="00464EC7" w:rsidRPr="00785453" w:rsidRDefault="00464EC7" w:rsidP="00922116">
            <w:pPr>
              <w:bidi/>
              <w:jc w:val="both"/>
              <w:rPr>
                <w:rFonts w:ascii="Traditional Arabic" w:hAnsi="Traditional Arabic" w:cs="Traditional Arabic"/>
                <w:sz w:val="24"/>
                <w:rtl/>
              </w:rPr>
            </w:pPr>
          </w:p>
        </w:tc>
      </w:tr>
      <w:tr w:rsidR="00C53B7B" w:rsidRPr="00785453" w14:paraId="272ED88A" w14:textId="77777777" w:rsidTr="00AD382A">
        <w:tc>
          <w:tcPr>
            <w:tcW w:w="751" w:type="pct"/>
          </w:tcPr>
          <w:p w14:paraId="2C90FF42" w14:textId="77777777" w:rsidR="00C53B7B" w:rsidRPr="00785453" w:rsidRDefault="00C53B7B" w:rsidP="00922116">
            <w:pPr>
              <w:bidi/>
              <w:rPr>
                <w:rFonts w:ascii="Traditional Arabic" w:hAnsi="Traditional Arabic" w:cs="Traditional Arabic"/>
                <w:b/>
                <w:sz w:val="24"/>
              </w:rPr>
            </w:pPr>
            <w:r w:rsidRPr="00785453">
              <w:rPr>
                <w:rFonts w:ascii="Traditional Arabic" w:hAnsi="Traditional Arabic" w:cs="Traditional Arabic"/>
                <w:b/>
                <w:bCs/>
                <w:sz w:val="24"/>
                <w:rtl/>
              </w:rPr>
              <w:t>الحد الأدنى للاكتتاب</w:t>
            </w:r>
          </w:p>
        </w:tc>
        <w:tc>
          <w:tcPr>
            <w:tcW w:w="1128" w:type="pct"/>
          </w:tcPr>
          <w:p w14:paraId="519D453E" w14:textId="77777777" w:rsidR="00C53B7B" w:rsidRPr="00785453" w:rsidRDefault="00D814CF" w:rsidP="00922116">
            <w:pPr>
              <w:bidi/>
              <w:jc w:val="both"/>
              <w:rPr>
                <w:rFonts w:ascii="Traditional Arabic" w:hAnsi="Traditional Arabic" w:cs="Traditional Arabic"/>
                <w:sz w:val="24"/>
              </w:rPr>
            </w:pPr>
            <w:r>
              <w:rPr>
                <w:rFonts w:ascii="Traditional Arabic" w:hAnsi="Traditional Arabic" w:cs="Traditional Arabic" w:hint="cs"/>
                <w:sz w:val="24"/>
                <w:rtl/>
              </w:rPr>
              <w:t>100.000</w:t>
            </w:r>
            <w:r w:rsidRPr="00785453">
              <w:rPr>
                <w:rFonts w:ascii="Traditional Arabic" w:hAnsi="Traditional Arabic" w:cs="Traditional Arabic"/>
                <w:sz w:val="24"/>
                <w:rtl/>
              </w:rPr>
              <w:t xml:space="preserve"> </w:t>
            </w:r>
            <w:r w:rsidR="00C53B7B" w:rsidRPr="00785453">
              <w:rPr>
                <w:rFonts w:ascii="Traditional Arabic" w:hAnsi="Traditional Arabic" w:cs="Traditional Arabic" w:hint="cs"/>
                <w:sz w:val="24"/>
                <w:rtl/>
              </w:rPr>
              <w:t>سهم، و</w:t>
            </w:r>
            <w:r w:rsidR="00C53B7B" w:rsidRPr="00785453">
              <w:rPr>
                <w:rFonts w:ascii="Traditional Arabic" w:hAnsi="Traditional Arabic" w:cs="Traditional Arabic"/>
                <w:sz w:val="24"/>
                <w:rtl/>
              </w:rPr>
              <w:t xml:space="preserve">بمضاعفات </w:t>
            </w:r>
            <w:r w:rsidR="00C53B7B" w:rsidRPr="00785453">
              <w:rPr>
                <w:rFonts w:ascii="Traditional Arabic" w:hAnsi="Traditional Arabic" w:cs="Traditional Arabic" w:hint="cs"/>
                <w:sz w:val="24"/>
                <w:rtl/>
              </w:rPr>
              <w:t>100</w:t>
            </w:r>
            <w:r w:rsidR="00C53B7B" w:rsidRPr="00785453">
              <w:rPr>
                <w:rFonts w:ascii="Traditional Arabic" w:hAnsi="Traditional Arabic" w:cs="Traditional Arabic"/>
                <w:sz w:val="24"/>
                <w:rtl/>
              </w:rPr>
              <w:t xml:space="preserve"> </w:t>
            </w:r>
            <w:r w:rsidR="00C53B7B" w:rsidRPr="00785453">
              <w:rPr>
                <w:rFonts w:ascii="Traditional Arabic" w:hAnsi="Traditional Arabic" w:cs="Traditional Arabic" w:hint="cs"/>
                <w:sz w:val="24"/>
                <w:rtl/>
              </w:rPr>
              <w:t xml:space="preserve">سهم </w:t>
            </w:r>
            <w:r w:rsidR="00C53B7B" w:rsidRPr="00785453">
              <w:rPr>
                <w:rFonts w:ascii="Traditional Arabic" w:hAnsi="Traditional Arabic" w:cs="Traditional Arabic"/>
                <w:sz w:val="24"/>
                <w:rtl/>
                <w:lang w:bidi="ar-OM"/>
              </w:rPr>
              <w:t>من أ</w:t>
            </w:r>
            <w:r w:rsidR="00C53B7B" w:rsidRPr="00785453">
              <w:rPr>
                <w:rFonts w:ascii="Traditional Arabic" w:hAnsi="Traditional Arabic" w:cs="Traditional Arabic"/>
                <w:sz w:val="24"/>
                <w:rtl/>
              </w:rPr>
              <w:t>سهم الطرح</w:t>
            </w:r>
            <w:r w:rsidR="00C53B7B" w:rsidRPr="00785453">
              <w:rPr>
                <w:rFonts w:ascii="Traditional Arabic" w:hAnsi="Traditional Arabic" w:cs="Traditional Arabic" w:hint="cs"/>
                <w:sz w:val="24"/>
                <w:rtl/>
              </w:rPr>
              <w:t xml:space="preserve"> بعد ذلك</w:t>
            </w:r>
          </w:p>
        </w:tc>
        <w:tc>
          <w:tcPr>
            <w:tcW w:w="1040" w:type="pct"/>
          </w:tcPr>
          <w:p w14:paraId="19763331" w14:textId="77777777" w:rsidR="00C53B7B" w:rsidRPr="00785453" w:rsidRDefault="00C53B7B" w:rsidP="00922116">
            <w:pPr>
              <w:bidi/>
              <w:jc w:val="both"/>
              <w:rPr>
                <w:rFonts w:ascii="Traditional Arabic" w:hAnsi="Traditional Arabic" w:cs="Traditional Arabic"/>
                <w:sz w:val="24"/>
                <w:rtl/>
              </w:rPr>
            </w:pPr>
            <w:r w:rsidRPr="00785453">
              <w:rPr>
                <w:rFonts w:ascii="Traditional Arabic" w:hAnsi="Traditional Arabic" w:cs="Traditional Arabic" w:hint="cs"/>
                <w:sz w:val="24"/>
                <w:rtl/>
              </w:rPr>
              <w:t>لا ينطبق</w:t>
            </w:r>
          </w:p>
        </w:tc>
        <w:tc>
          <w:tcPr>
            <w:tcW w:w="1041" w:type="pct"/>
          </w:tcPr>
          <w:p w14:paraId="6696A635" w14:textId="77777777" w:rsidR="00C53B7B" w:rsidRPr="00785453" w:rsidRDefault="00D814CF" w:rsidP="00922116">
            <w:pPr>
              <w:bidi/>
              <w:jc w:val="both"/>
              <w:rPr>
                <w:rFonts w:ascii="Traditional Arabic" w:hAnsi="Traditional Arabic" w:cs="Traditional Arabic"/>
                <w:sz w:val="24"/>
              </w:rPr>
            </w:pPr>
            <w:r>
              <w:rPr>
                <w:rFonts w:ascii="Traditional Arabic" w:hAnsi="Traditional Arabic" w:cs="Traditional Arabic" w:hint="cs"/>
                <w:sz w:val="24"/>
                <w:rtl/>
              </w:rPr>
              <w:t>1.000</w:t>
            </w:r>
            <w:r w:rsidRPr="00785453">
              <w:rPr>
                <w:rFonts w:ascii="Traditional Arabic" w:hAnsi="Traditional Arabic" w:cs="Traditional Arabic" w:hint="cs"/>
                <w:sz w:val="24"/>
                <w:rtl/>
              </w:rPr>
              <w:t xml:space="preserve"> </w:t>
            </w:r>
            <w:r w:rsidR="00C53B7B" w:rsidRPr="00785453">
              <w:rPr>
                <w:rFonts w:ascii="Traditional Arabic" w:hAnsi="Traditional Arabic" w:cs="Traditional Arabic" w:hint="cs"/>
                <w:sz w:val="24"/>
                <w:rtl/>
              </w:rPr>
              <w:t>سهم،</w:t>
            </w:r>
            <w:r w:rsidR="00C53B7B" w:rsidRPr="00785453">
              <w:rPr>
                <w:rFonts w:ascii="Traditional Arabic" w:hAnsi="Traditional Arabic" w:cs="Traditional Arabic"/>
                <w:sz w:val="24"/>
                <w:rtl/>
              </w:rPr>
              <w:t xml:space="preserve"> </w:t>
            </w:r>
            <w:r w:rsidR="00C53B7B" w:rsidRPr="00785453">
              <w:rPr>
                <w:rFonts w:ascii="Traditional Arabic" w:hAnsi="Traditional Arabic" w:cs="Traditional Arabic" w:hint="cs"/>
                <w:sz w:val="24"/>
                <w:rtl/>
              </w:rPr>
              <w:t>و</w:t>
            </w:r>
            <w:r w:rsidR="00C53B7B" w:rsidRPr="00785453">
              <w:rPr>
                <w:rFonts w:ascii="Traditional Arabic" w:hAnsi="Traditional Arabic" w:cs="Traditional Arabic"/>
                <w:sz w:val="24"/>
                <w:rtl/>
              </w:rPr>
              <w:t xml:space="preserve">بمضاعفات </w:t>
            </w:r>
            <w:r w:rsidR="00C53B7B" w:rsidRPr="00785453">
              <w:rPr>
                <w:rFonts w:ascii="Traditional Arabic" w:hAnsi="Traditional Arabic" w:cs="Traditional Arabic" w:hint="cs"/>
                <w:sz w:val="24"/>
                <w:rtl/>
              </w:rPr>
              <w:t xml:space="preserve">100 سهم </w:t>
            </w:r>
            <w:r w:rsidR="00C53B7B" w:rsidRPr="00785453">
              <w:rPr>
                <w:rFonts w:ascii="Traditional Arabic" w:hAnsi="Traditional Arabic" w:cs="Traditional Arabic"/>
                <w:sz w:val="24"/>
                <w:rtl/>
                <w:lang w:bidi="ar-OM"/>
              </w:rPr>
              <w:t>من أ</w:t>
            </w:r>
            <w:r w:rsidR="00C53B7B" w:rsidRPr="00785453">
              <w:rPr>
                <w:rFonts w:ascii="Traditional Arabic" w:hAnsi="Traditional Arabic" w:cs="Traditional Arabic"/>
                <w:sz w:val="24"/>
                <w:rtl/>
              </w:rPr>
              <w:t>سهم الطرح</w:t>
            </w:r>
            <w:r w:rsidR="00C53B7B" w:rsidRPr="00785453">
              <w:rPr>
                <w:rFonts w:ascii="Traditional Arabic" w:hAnsi="Traditional Arabic" w:cs="Traditional Arabic" w:hint="cs"/>
                <w:sz w:val="24"/>
                <w:rtl/>
              </w:rPr>
              <w:t xml:space="preserve"> بعد ذلك</w:t>
            </w:r>
          </w:p>
        </w:tc>
        <w:tc>
          <w:tcPr>
            <w:tcW w:w="1040" w:type="pct"/>
          </w:tcPr>
          <w:p w14:paraId="3C731D11" w14:textId="77777777" w:rsidR="00C53B7B" w:rsidRPr="00785453" w:rsidRDefault="00D814CF" w:rsidP="00922116">
            <w:pPr>
              <w:bidi/>
              <w:jc w:val="both"/>
              <w:rPr>
                <w:rFonts w:ascii="Traditional Arabic" w:hAnsi="Traditional Arabic" w:cs="Traditional Arabic"/>
                <w:sz w:val="24"/>
                <w:rtl/>
              </w:rPr>
            </w:pPr>
            <w:r>
              <w:rPr>
                <w:rFonts w:ascii="Traditional Arabic" w:hAnsi="Traditional Arabic" w:cs="Traditional Arabic" w:hint="cs"/>
                <w:sz w:val="24"/>
                <w:rtl/>
              </w:rPr>
              <w:t>81.400</w:t>
            </w:r>
            <w:r w:rsidRPr="00785453">
              <w:rPr>
                <w:rFonts w:ascii="Traditional Arabic" w:hAnsi="Traditional Arabic" w:cs="Traditional Arabic" w:hint="cs"/>
                <w:sz w:val="24"/>
                <w:rtl/>
              </w:rPr>
              <w:t xml:space="preserve"> </w:t>
            </w:r>
            <w:r w:rsidR="00C53B7B" w:rsidRPr="00785453">
              <w:rPr>
                <w:rFonts w:ascii="Traditional Arabic" w:hAnsi="Traditional Arabic" w:cs="Traditional Arabic" w:hint="cs"/>
                <w:sz w:val="24"/>
                <w:rtl/>
              </w:rPr>
              <w:t>سهم، و</w:t>
            </w:r>
            <w:r w:rsidR="00C53B7B" w:rsidRPr="00785453">
              <w:rPr>
                <w:rFonts w:ascii="Traditional Arabic" w:hAnsi="Traditional Arabic" w:cs="Traditional Arabic"/>
                <w:sz w:val="24"/>
                <w:rtl/>
              </w:rPr>
              <w:t xml:space="preserve">بمضاعفات </w:t>
            </w:r>
            <w:r w:rsidR="00C53B7B" w:rsidRPr="00785453">
              <w:rPr>
                <w:rFonts w:ascii="Traditional Arabic" w:hAnsi="Traditional Arabic" w:cs="Traditional Arabic" w:hint="cs"/>
                <w:sz w:val="24"/>
                <w:rtl/>
              </w:rPr>
              <w:t xml:space="preserve">100 سهم </w:t>
            </w:r>
            <w:r w:rsidR="00C53B7B" w:rsidRPr="00785453">
              <w:rPr>
                <w:rFonts w:ascii="Traditional Arabic" w:hAnsi="Traditional Arabic" w:cs="Traditional Arabic"/>
                <w:sz w:val="24"/>
                <w:rtl/>
              </w:rPr>
              <w:t>من أسهم الطرح</w:t>
            </w:r>
            <w:r w:rsidR="00C53B7B" w:rsidRPr="00785453">
              <w:rPr>
                <w:rFonts w:ascii="Traditional Arabic" w:hAnsi="Traditional Arabic" w:cs="Traditional Arabic" w:hint="cs"/>
                <w:sz w:val="24"/>
                <w:rtl/>
              </w:rPr>
              <w:t xml:space="preserve"> بعد ذلك</w:t>
            </w:r>
          </w:p>
        </w:tc>
      </w:tr>
      <w:tr w:rsidR="00C53B7B" w:rsidRPr="00785453" w14:paraId="425E7173" w14:textId="77777777" w:rsidTr="00AD382A">
        <w:tc>
          <w:tcPr>
            <w:tcW w:w="751" w:type="pct"/>
          </w:tcPr>
          <w:p w14:paraId="4B35E4EC" w14:textId="77777777" w:rsidR="00C53B7B" w:rsidRPr="00785453" w:rsidRDefault="00C53B7B" w:rsidP="00922116">
            <w:pPr>
              <w:bidi/>
              <w:rPr>
                <w:rFonts w:ascii="Traditional Arabic" w:hAnsi="Traditional Arabic" w:cs="Traditional Arabic"/>
                <w:b/>
                <w:sz w:val="24"/>
              </w:rPr>
            </w:pPr>
            <w:r w:rsidRPr="00785453">
              <w:rPr>
                <w:rFonts w:ascii="Traditional Arabic" w:hAnsi="Traditional Arabic" w:cs="Traditional Arabic"/>
                <w:b/>
                <w:bCs/>
                <w:sz w:val="24"/>
                <w:rtl/>
              </w:rPr>
              <w:t xml:space="preserve">الحد الأقصى للاكتتاب </w:t>
            </w:r>
          </w:p>
        </w:tc>
        <w:tc>
          <w:tcPr>
            <w:tcW w:w="1128" w:type="pct"/>
          </w:tcPr>
          <w:p w14:paraId="6D9C13D0" w14:textId="77777777" w:rsidR="00C53B7B" w:rsidRPr="00785453" w:rsidRDefault="00C53B7B" w:rsidP="00922116">
            <w:pPr>
              <w:bidi/>
              <w:jc w:val="both"/>
              <w:rPr>
                <w:rFonts w:ascii="Traditional Arabic" w:hAnsi="Traditional Arabic" w:cs="Traditional Arabic"/>
                <w:sz w:val="24"/>
              </w:rPr>
            </w:pPr>
            <w:r w:rsidRPr="00785453">
              <w:rPr>
                <w:rFonts w:ascii="Traditional Arabic" w:hAnsi="Traditional Arabic" w:cs="Traditional Arabic"/>
                <w:sz w:val="24"/>
                <w:rtl/>
              </w:rPr>
              <w:t>لا يوجد حد أقصى لحجم الاكتتاب</w:t>
            </w:r>
          </w:p>
        </w:tc>
        <w:tc>
          <w:tcPr>
            <w:tcW w:w="1040" w:type="pct"/>
          </w:tcPr>
          <w:p w14:paraId="17B109DA" w14:textId="3558E543" w:rsidR="00C53B7B" w:rsidRPr="00785453" w:rsidRDefault="00D814CF" w:rsidP="00FD6967">
            <w:pPr>
              <w:bidi/>
              <w:jc w:val="both"/>
              <w:rPr>
                <w:rFonts w:ascii="Traditional Arabic" w:hAnsi="Traditional Arabic" w:cs="Traditional Arabic"/>
                <w:sz w:val="24"/>
                <w:rtl/>
              </w:rPr>
            </w:pPr>
            <w:r>
              <w:rPr>
                <w:rFonts w:ascii="Traditional Arabic" w:hAnsi="Traditional Arabic" w:cs="Traditional Arabic" w:hint="cs"/>
                <w:sz w:val="24"/>
                <w:rtl/>
                <w:lang w:bidi="ar-OM"/>
              </w:rPr>
              <w:t xml:space="preserve">312.524.657 </w:t>
            </w:r>
            <w:r w:rsidR="00C53B7B" w:rsidRPr="00785453">
              <w:rPr>
                <w:rFonts w:ascii="Traditional Arabic" w:hAnsi="Traditional Arabic" w:cs="Traditional Arabic"/>
                <w:sz w:val="24"/>
                <w:rtl/>
              </w:rPr>
              <w:t xml:space="preserve">سهم </w:t>
            </w:r>
            <w:r w:rsidR="006378B5" w:rsidRPr="00785453">
              <w:rPr>
                <w:rFonts w:ascii="Traditional Arabic" w:hAnsi="Traditional Arabic" w:cs="Traditional Arabic"/>
                <w:sz w:val="24"/>
                <w:rtl/>
              </w:rPr>
              <w:t>(</w:t>
            </w:r>
            <w:r>
              <w:rPr>
                <w:rFonts w:ascii="Traditional Arabic" w:hAnsi="Traditional Arabic" w:cs="Traditional Arabic" w:hint="cs"/>
                <w:sz w:val="24"/>
                <w:rtl/>
              </w:rPr>
              <w:t>30</w:t>
            </w:r>
            <w:r w:rsidR="006378B5" w:rsidRPr="00785453">
              <w:rPr>
                <w:rFonts w:ascii="Traditional Arabic" w:hAnsi="Traditional Arabic" w:cs="Traditional Arabic"/>
                <w:sz w:val="24"/>
                <w:rtl/>
              </w:rPr>
              <w:t xml:space="preserve">% </w:t>
            </w:r>
            <w:r w:rsidR="00C53B7B" w:rsidRPr="00785453">
              <w:rPr>
                <w:rFonts w:ascii="Traditional Arabic" w:hAnsi="Traditional Arabic" w:cs="Traditional Arabic"/>
                <w:sz w:val="24"/>
                <w:rtl/>
              </w:rPr>
              <w:t>من حجم الطرح)</w:t>
            </w:r>
          </w:p>
        </w:tc>
        <w:tc>
          <w:tcPr>
            <w:tcW w:w="1041" w:type="pct"/>
          </w:tcPr>
          <w:p w14:paraId="7DD3AA43" w14:textId="77777777" w:rsidR="00C53B7B" w:rsidRPr="00785453" w:rsidRDefault="00D814CF" w:rsidP="00922116">
            <w:pPr>
              <w:bidi/>
              <w:jc w:val="both"/>
              <w:rPr>
                <w:rFonts w:ascii="Traditional Arabic" w:hAnsi="Traditional Arabic" w:cs="Traditional Arabic"/>
                <w:sz w:val="24"/>
              </w:rPr>
            </w:pPr>
            <w:r>
              <w:rPr>
                <w:rFonts w:ascii="Traditional Arabic" w:hAnsi="Traditional Arabic" w:cs="Traditional Arabic" w:hint="cs"/>
                <w:sz w:val="24"/>
                <w:rtl/>
              </w:rPr>
              <w:t>81.300</w:t>
            </w:r>
            <w:r w:rsidRPr="00785453">
              <w:rPr>
                <w:rFonts w:ascii="Traditional Arabic" w:hAnsi="Traditional Arabic" w:cs="Traditional Arabic"/>
                <w:sz w:val="24"/>
                <w:rtl/>
              </w:rPr>
              <w:t xml:space="preserve"> </w:t>
            </w:r>
            <w:r w:rsidR="00C53B7B" w:rsidRPr="00785453">
              <w:rPr>
                <w:rFonts w:ascii="Traditional Arabic" w:hAnsi="Traditional Arabic" w:cs="Traditional Arabic" w:hint="cs"/>
                <w:sz w:val="24"/>
                <w:rtl/>
              </w:rPr>
              <w:t>سهم</w:t>
            </w:r>
          </w:p>
        </w:tc>
        <w:tc>
          <w:tcPr>
            <w:tcW w:w="1040" w:type="pct"/>
          </w:tcPr>
          <w:p w14:paraId="3C37C3C7" w14:textId="77777777" w:rsidR="00C53B7B" w:rsidRPr="00785453" w:rsidRDefault="00C53B7B" w:rsidP="00922116">
            <w:pPr>
              <w:bidi/>
              <w:jc w:val="both"/>
              <w:rPr>
                <w:rFonts w:ascii="Traditional Arabic" w:hAnsi="Traditional Arabic" w:cs="Traditional Arabic"/>
                <w:sz w:val="24"/>
                <w:rtl/>
              </w:rPr>
            </w:pPr>
            <w:r w:rsidRPr="00785453">
              <w:rPr>
                <w:rFonts w:ascii="Traditional Arabic" w:hAnsi="Traditional Arabic" w:cs="Traditional Arabic"/>
                <w:sz w:val="24"/>
                <w:rtl/>
              </w:rPr>
              <w:t>لا يوجد حد أقصى لحجم الاكتتاب</w:t>
            </w:r>
          </w:p>
        </w:tc>
      </w:tr>
      <w:tr w:rsidR="00C53B7B" w:rsidRPr="00785453" w14:paraId="3322521D" w14:textId="77777777" w:rsidTr="00AD382A">
        <w:tc>
          <w:tcPr>
            <w:tcW w:w="751" w:type="pct"/>
          </w:tcPr>
          <w:p w14:paraId="3C331F8B" w14:textId="77777777" w:rsidR="00C53B7B" w:rsidRPr="00785453" w:rsidRDefault="00C53B7B" w:rsidP="00922116">
            <w:pPr>
              <w:bidi/>
              <w:rPr>
                <w:rFonts w:ascii="Traditional Arabic" w:hAnsi="Traditional Arabic" w:cs="Traditional Arabic"/>
                <w:b/>
                <w:sz w:val="24"/>
              </w:rPr>
            </w:pPr>
            <w:r w:rsidRPr="00785453">
              <w:rPr>
                <w:rFonts w:ascii="Traditional Arabic" w:hAnsi="Traditional Arabic" w:cs="Traditional Arabic"/>
                <w:b/>
                <w:bCs/>
                <w:sz w:val="24"/>
                <w:rtl/>
              </w:rPr>
              <w:t>شروط الدفع</w:t>
            </w:r>
          </w:p>
        </w:tc>
        <w:tc>
          <w:tcPr>
            <w:tcW w:w="1128" w:type="pct"/>
          </w:tcPr>
          <w:p w14:paraId="104DFE60" w14:textId="77777777" w:rsidR="00C53B7B" w:rsidRPr="00785453" w:rsidRDefault="00C53B7B" w:rsidP="00922116">
            <w:pPr>
              <w:bidi/>
              <w:jc w:val="both"/>
              <w:rPr>
                <w:rFonts w:ascii="Traditional Arabic" w:hAnsi="Traditional Arabic" w:cs="Traditional Arabic"/>
                <w:sz w:val="24"/>
              </w:rPr>
            </w:pPr>
            <w:r w:rsidRPr="00785453">
              <w:rPr>
                <w:rFonts w:ascii="Traditional Arabic" w:hAnsi="Traditional Arabic" w:cs="Traditional Arabic"/>
                <w:sz w:val="24"/>
                <w:rtl/>
              </w:rPr>
              <w:t>يجب على مقدم الطلب إجراء الدفع إلى</w:t>
            </w:r>
            <w:r w:rsidRPr="00785453">
              <w:rPr>
                <w:rFonts w:ascii="Traditional Arabic" w:hAnsi="Traditional Arabic" w:cs="Traditional Arabic" w:hint="cs"/>
                <w:sz w:val="24"/>
                <w:rtl/>
              </w:rPr>
              <w:t xml:space="preserve"> </w:t>
            </w:r>
            <w:r w:rsidRPr="00785453">
              <w:rPr>
                <w:rFonts w:ascii="Traditional Arabic" w:hAnsi="Traditional Arabic" w:cs="Traditional Arabic"/>
                <w:sz w:val="24"/>
                <w:rtl/>
              </w:rPr>
              <w:t>الحساب المصرفي المعين</w:t>
            </w:r>
            <w:r w:rsidRPr="00785453">
              <w:rPr>
                <w:rFonts w:ascii="Traditional Arabic" w:hAnsi="Traditional Arabic" w:cs="Traditional Arabic" w:hint="cs"/>
                <w:sz w:val="24"/>
                <w:rtl/>
              </w:rPr>
              <w:t xml:space="preserve"> لأحد </w:t>
            </w:r>
            <w:r w:rsidRPr="00785453">
              <w:rPr>
                <w:rFonts w:ascii="Traditional Arabic" w:hAnsi="Traditional Arabic" w:cs="Traditional Arabic"/>
                <w:sz w:val="24"/>
                <w:rtl/>
              </w:rPr>
              <w:t>وكلاء التحصيل</w:t>
            </w:r>
            <w:r w:rsidRPr="00785453">
              <w:rPr>
                <w:rFonts w:ascii="Traditional Arabic" w:hAnsi="Traditional Arabic" w:cs="Traditional Arabic" w:hint="cs"/>
                <w:sz w:val="24"/>
                <w:rtl/>
              </w:rPr>
              <w:t xml:space="preserve"> أو </w:t>
            </w:r>
            <w:r w:rsidR="001B1AD7">
              <w:rPr>
                <w:rFonts w:ascii="Traditional Arabic" w:hAnsi="Traditional Arabic" w:cs="Traditional Arabic" w:hint="cs"/>
                <w:sz w:val="24"/>
                <w:rtl/>
              </w:rPr>
              <w:t xml:space="preserve">مدير الإصدار أو </w:t>
            </w:r>
            <w:r w:rsidR="008D1F7B">
              <w:rPr>
                <w:rFonts w:ascii="Traditional Arabic" w:hAnsi="Traditional Arabic" w:cs="Traditional Arabic" w:hint="cs"/>
                <w:sz w:val="24"/>
                <w:rtl/>
                <w:lang w:bidi="ar-EG"/>
              </w:rPr>
              <w:t>مد</w:t>
            </w:r>
            <w:r w:rsidR="001B1AD7">
              <w:rPr>
                <w:rFonts w:ascii="Traditional Arabic" w:hAnsi="Traditional Arabic" w:cs="Traditional Arabic" w:hint="cs"/>
                <w:sz w:val="24"/>
                <w:rtl/>
                <w:lang w:bidi="ar-EG"/>
              </w:rPr>
              <w:t>ير</w:t>
            </w:r>
            <w:r w:rsidR="008D1F7B">
              <w:rPr>
                <w:rFonts w:ascii="Traditional Arabic" w:hAnsi="Traditional Arabic" w:cs="Traditional Arabic" w:hint="cs"/>
                <w:sz w:val="24"/>
                <w:rtl/>
                <w:lang w:bidi="ar-EG"/>
              </w:rPr>
              <w:t xml:space="preserve"> سجل الاكتتاب</w:t>
            </w:r>
            <w:r w:rsidR="008C7414">
              <w:rPr>
                <w:rFonts w:ascii="Traditional Arabic" w:hAnsi="Traditional Arabic" w:cs="Traditional Arabic" w:hint="cs"/>
                <w:sz w:val="24"/>
                <w:rtl/>
                <w:lang w:bidi="ar-EG"/>
              </w:rPr>
              <w:t xml:space="preserve"> المشترك قبل </w:t>
            </w:r>
            <w:r w:rsidR="00AA7FD8">
              <w:rPr>
                <w:rFonts w:ascii="Traditional Arabic" w:hAnsi="Traditional Arabic" w:cs="Traditional Arabic" w:hint="cs"/>
                <w:sz w:val="24"/>
                <w:rtl/>
                <w:lang w:bidi="ar-EG"/>
              </w:rPr>
              <w:t>تاريخ التسوية ب</w:t>
            </w:r>
            <w:r w:rsidR="008C7414">
              <w:rPr>
                <w:rFonts w:ascii="Traditional Arabic" w:hAnsi="Traditional Arabic" w:cs="Traditional Arabic" w:hint="cs"/>
                <w:sz w:val="24"/>
                <w:rtl/>
                <w:lang w:bidi="ar-EG"/>
              </w:rPr>
              <w:t>يومي عمل بتوقيت سلطنة عمان</w:t>
            </w:r>
            <w:r w:rsidRPr="00785453">
              <w:rPr>
                <w:rFonts w:ascii="Traditional Arabic" w:hAnsi="Traditional Arabic" w:cs="Traditional Arabic" w:hint="cs"/>
                <w:sz w:val="24"/>
                <w:rtl/>
              </w:rPr>
              <w:t>،</w:t>
            </w:r>
            <w:r w:rsidRPr="00785453">
              <w:rPr>
                <w:rFonts w:ascii="Traditional Arabic" w:hAnsi="Traditional Arabic" w:cs="Traditional Arabic"/>
                <w:sz w:val="24"/>
                <w:rtl/>
              </w:rPr>
              <w:t xml:space="preserve"> وسيقوم وكلاء التحصيل </w:t>
            </w:r>
            <w:r w:rsidR="006A08D2">
              <w:rPr>
                <w:rFonts w:ascii="Traditional Arabic" w:hAnsi="Traditional Arabic" w:cs="Traditional Arabic" w:hint="cs"/>
                <w:sz w:val="24"/>
                <w:rtl/>
              </w:rPr>
              <w:t>أ</w:t>
            </w:r>
            <w:r w:rsidRPr="00785453">
              <w:rPr>
                <w:rFonts w:ascii="Traditional Arabic" w:hAnsi="Traditional Arabic" w:cs="Traditional Arabic" w:hint="cs"/>
                <w:sz w:val="24"/>
                <w:rtl/>
              </w:rPr>
              <w:t xml:space="preserve">و </w:t>
            </w:r>
            <w:r w:rsidR="001B1AD7">
              <w:rPr>
                <w:rFonts w:ascii="Traditional Arabic" w:hAnsi="Traditional Arabic" w:cs="Traditional Arabic" w:hint="cs"/>
                <w:sz w:val="24"/>
                <w:rtl/>
              </w:rPr>
              <w:t xml:space="preserve">مدير الإصدار أو </w:t>
            </w:r>
            <w:r w:rsidR="008D1F7B">
              <w:rPr>
                <w:rFonts w:ascii="Traditional Arabic" w:hAnsi="Traditional Arabic" w:cs="Traditional Arabic" w:hint="cs"/>
                <w:sz w:val="24"/>
                <w:rtl/>
              </w:rPr>
              <w:t>مد</w:t>
            </w:r>
            <w:r w:rsidR="001B1AD7">
              <w:rPr>
                <w:rFonts w:ascii="Traditional Arabic" w:hAnsi="Traditional Arabic" w:cs="Traditional Arabic" w:hint="cs"/>
                <w:sz w:val="24"/>
                <w:rtl/>
              </w:rPr>
              <w:t>ير</w:t>
            </w:r>
            <w:r w:rsidR="006A08D2">
              <w:rPr>
                <w:rFonts w:ascii="Traditional Arabic" w:hAnsi="Traditional Arabic" w:cs="Traditional Arabic" w:hint="cs"/>
                <w:sz w:val="24"/>
                <w:rtl/>
              </w:rPr>
              <w:t xml:space="preserve"> سجل الاكتتاب</w:t>
            </w:r>
            <w:r w:rsidRPr="00785453">
              <w:rPr>
                <w:rFonts w:ascii="Traditional Arabic" w:hAnsi="Traditional Arabic" w:cs="Traditional Arabic" w:hint="cs"/>
                <w:sz w:val="24"/>
                <w:rtl/>
              </w:rPr>
              <w:t xml:space="preserve"> </w:t>
            </w:r>
            <w:r w:rsidRPr="00785453">
              <w:rPr>
                <w:rFonts w:ascii="Traditional Arabic" w:hAnsi="Traditional Arabic" w:cs="Traditional Arabic"/>
                <w:sz w:val="24"/>
                <w:rtl/>
              </w:rPr>
              <w:t xml:space="preserve">بتحويل </w:t>
            </w:r>
            <w:r w:rsidRPr="00785453">
              <w:rPr>
                <w:rFonts w:ascii="Traditional Arabic" w:hAnsi="Traditional Arabic" w:cs="Traditional Arabic"/>
                <w:sz w:val="24"/>
                <w:rtl/>
              </w:rPr>
              <w:lastRenderedPageBreak/>
              <w:t xml:space="preserve">مبلغ الاكتتاب المستحق مقابل أسهم الطرح المخصصة، قبل </w:t>
            </w:r>
            <w:r w:rsidRPr="00785453">
              <w:rPr>
                <w:rFonts w:ascii="Traditional Arabic" w:hAnsi="Traditional Arabic" w:cs="Traditional Arabic" w:hint="cs"/>
                <w:sz w:val="24"/>
                <w:rtl/>
              </w:rPr>
              <w:t>يوم</w:t>
            </w:r>
            <w:r w:rsidRPr="00785453">
              <w:rPr>
                <w:rFonts w:ascii="Traditional Arabic" w:hAnsi="Traditional Arabic" w:cs="Traditional Arabic"/>
                <w:sz w:val="24"/>
                <w:rtl/>
              </w:rPr>
              <w:t xml:space="preserve"> عمل على الأقل (بتوقيت سلطنة عمان) من تاريخ التسوية إلى الحساب المصرفي المعين لمدير الإصدار. أما فيما يتعلق بمستثمري</w:t>
            </w:r>
            <w:r w:rsidRPr="00785453">
              <w:rPr>
                <w:rFonts w:ascii="Traditional Arabic" w:hAnsi="Traditional Arabic" w:cs="Traditional Arabic" w:hint="cs"/>
                <w:sz w:val="24"/>
                <w:rtl/>
              </w:rPr>
              <w:t xml:space="preserve"> الفئة الأولى</w:t>
            </w:r>
            <w:r w:rsidRPr="00785453">
              <w:rPr>
                <w:rFonts w:ascii="Traditional Arabic" w:hAnsi="Traditional Arabic" w:cs="Traditional Arabic"/>
                <w:sz w:val="24"/>
                <w:rtl/>
              </w:rPr>
              <w:t xml:space="preserve"> الراغبين في تقديم طلبات من خلال </w:t>
            </w:r>
            <w:r w:rsidR="00AA7FD8">
              <w:rPr>
                <w:rFonts w:ascii="Traditional Arabic" w:hAnsi="Traditional Arabic" w:cs="Traditional Arabic" w:hint="cs"/>
                <w:sz w:val="24"/>
                <w:rtl/>
              </w:rPr>
              <w:t>مدير سجل الاكتتاب</w:t>
            </w:r>
            <w:r w:rsidRPr="00785453">
              <w:rPr>
                <w:rFonts w:ascii="Traditional Arabic" w:hAnsi="Traditional Arabic" w:cs="Traditional Arabic"/>
                <w:sz w:val="24"/>
                <w:rtl/>
              </w:rPr>
              <w:t xml:space="preserve"> المشترك، فيرجى الاطلاع على فقرة: </w:t>
            </w:r>
            <w:r w:rsidRPr="00785453">
              <w:rPr>
                <w:rFonts w:ascii="Traditional Arabic" w:hAnsi="Traditional Arabic" w:cs="Traditional Arabic" w:hint="cs"/>
                <w:b/>
                <w:bCs/>
                <w:sz w:val="24"/>
                <w:rtl/>
              </w:rPr>
              <w:t>"</w:t>
            </w:r>
            <w:r w:rsidRPr="00785453">
              <w:rPr>
                <w:rFonts w:ascii="Traditional Arabic" w:hAnsi="Traditional Arabic" w:cs="Traditional Arabic"/>
                <w:b/>
                <w:bCs/>
                <w:sz w:val="24"/>
                <w:rtl/>
              </w:rPr>
              <w:t>شروط السداد للفئة الأولى من الطرح</w:t>
            </w:r>
            <w:r w:rsidRPr="00785453">
              <w:rPr>
                <w:rFonts w:ascii="Traditional Arabic" w:hAnsi="Traditional Arabic" w:cs="Traditional Arabic" w:hint="cs"/>
                <w:b/>
                <w:bCs/>
                <w:sz w:val="24"/>
                <w:rtl/>
              </w:rPr>
              <w:t>"</w:t>
            </w:r>
            <w:r w:rsidRPr="00785453">
              <w:rPr>
                <w:rFonts w:ascii="Traditional Arabic" w:hAnsi="Traditional Arabic" w:cs="Traditional Arabic"/>
                <w:b/>
                <w:bCs/>
                <w:sz w:val="24"/>
                <w:rtl/>
              </w:rPr>
              <w:t xml:space="preserve"> </w:t>
            </w:r>
            <w:r w:rsidRPr="00785453">
              <w:rPr>
                <w:rFonts w:ascii="Traditional Arabic" w:hAnsi="Traditional Arabic" w:cs="Traditional Arabic"/>
                <w:sz w:val="24"/>
                <w:rtl/>
              </w:rPr>
              <w:t xml:space="preserve">للحصول على المزيد من التفاصيل الخاصة بشروط السداد. </w:t>
            </w:r>
          </w:p>
        </w:tc>
        <w:tc>
          <w:tcPr>
            <w:tcW w:w="1040" w:type="pct"/>
          </w:tcPr>
          <w:p w14:paraId="1B246B6A" w14:textId="77777777" w:rsidR="00C53B7B" w:rsidRPr="00785453" w:rsidRDefault="00C53B7B" w:rsidP="00922116">
            <w:pPr>
              <w:bidi/>
              <w:jc w:val="both"/>
              <w:rPr>
                <w:rFonts w:ascii="Traditional Arabic" w:hAnsi="Traditional Arabic" w:cs="Traditional Arabic"/>
                <w:sz w:val="24"/>
                <w:rtl/>
              </w:rPr>
            </w:pPr>
            <w:r w:rsidRPr="00785453">
              <w:rPr>
                <w:rFonts w:ascii="Traditional Arabic" w:hAnsi="Traditional Arabic" w:cs="Traditional Arabic"/>
                <w:sz w:val="24"/>
                <w:rtl/>
              </w:rPr>
              <w:lastRenderedPageBreak/>
              <w:t xml:space="preserve">يتعين على المستثمرين الرئيسين إيداع مبالغ الاكتتاب في حسابات وكلاء التحصيل البنكية المحددة، على أن يحول وكلاء التحصيل مبالغ الاكتتاب المستحقة مقابل أسهم الطرح المخصصة إلى حساب مدير الإصدار البنكي، وذلك قبل تاريخ </w:t>
            </w:r>
            <w:r w:rsidRPr="00785453">
              <w:rPr>
                <w:rFonts w:ascii="Traditional Arabic" w:hAnsi="Traditional Arabic" w:cs="Traditional Arabic"/>
                <w:sz w:val="24"/>
                <w:rtl/>
              </w:rPr>
              <w:lastRenderedPageBreak/>
              <w:t xml:space="preserve">التسوية بيوم عمل على الأقل (بتوقيت سلطنة عمان) </w:t>
            </w:r>
          </w:p>
        </w:tc>
        <w:tc>
          <w:tcPr>
            <w:tcW w:w="1041" w:type="pct"/>
          </w:tcPr>
          <w:p w14:paraId="5F39805F" w14:textId="77777777" w:rsidR="00C53B7B" w:rsidRPr="00785453" w:rsidRDefault="00C53B7B" w:rsidP="00922116">
            <w:pPr>
              <w:bidi/>
              <w:jc w:val="both"/>
              <w:rPr>
                <w:rFonts w:ascii="Traditional Arabic" w:hAnsi="Traditional Arabic" w:cs="Traditional Arabic"/>
                <w:sz w:val="24"/>
              </w:rPr>
            </w:pPr>
            <w:r w:rsidRPr="00785453">
              <w:rPr>
                <w:rFonts w:ascii="Traditional Arabic" w:hAnsi="Traditional Arabic" w:cs="Traditional Arabic"/>
                <w:sz w:val="24"/>
                <w:rtl/>
              </w:rPr>
              <w:lastRenderedPageBreak/>
              <w:t>100% من قيمة مبلغ الطلب المقدم من مستثمر الفئة الثانية</w:t>
            </w:r>
            <w:r w:rsidRPr="00785453">
              <w:rPr>
                <w:rFonts w:ascii="Traditional Arabic" w:hAnsi="Traditional Arabic" w:cs="Traditional Arabic" w:hint="cs"/>
                <w:sz w:val="24"/>
                <w:rtl/>
              </w:rPr>
              <w:t xml:space="preserve"> (صغار المستثمرين)</w:t>
            </w:r>
            <w:r w:rsidRPr="00785453">
              <w:rPr>
                <w:rFonts w:ascii="Traditional Arabic" w:hAnsi="Traditional Arabic" w:cs="Traditional Arabic"/>
                <w:sz w:val="24"/>
                <w:rtl/>
              </w:rPr>
              <w:t xml:space="preserve"> التي يتعين دفعها في وقت تقديم الطلب </w:t>
            </w:r>
          </w:p>
        </w:tc>
        <w:tc>
          <w:tcPr>
            <w:tcW w:w="1040" w:type="pct"/>
          </w:tcPr>
          <w:p w14:paraId="3BFEA590" w14:textId="77777777" w:rsidR="00C53B7B" w:rsidRPr="00785453" w:rsidRDefault="00C53B7B" w:rsidP="00922116">
            <w:pPr>
              <w:bidi/>
              <w:jc w:val="both"/>
              <w:rPr>
                <w:rFonts w:ascii="Traditional Arabic" w:hAnsi="Traditional Arabic" w:cs="Traditional Arabic"/>
                <w:sz w:val="24"/>
                <w:rtl/>
              </w:rPr>
            </w:pPr>
            <w:r w:rsidRPr="00785453">
              <w:rPr>
                <w:rFonts w:ascii="Traditional Arabic" w:hAnsi="Traditional Arabic" w:cs="Traditional Arabic"/>
                <w:sz w:val="24"/>
                <w:rtl/>
              </w:rPr>
              <w:t xml:space="preserve">100% من قيمة مبلغ الطلب المقدم من مستثمر الفئة الثانية </w:t>
            </w:r>
            <w:r w:rsidRPr="00785453">
              <w:rPr>
                <w:rFonts w:ascii="Traditional Arabic" w:hAnsi="Traditional Arabic" w:cs="Traditional Arabic" w:hint="cs"/>
                <w:sz w:val="24"/>
                <w:rtl/>
              </w:rPr>
              <w:t xml:space="preserve">(كبار المستثمرين) </w:t>
            </w:r>
            <w:r w:rsidRPr="00785453">
              <w:rPr>
                <w:rFonts w:ascii="Traditional Arabic" w:hAnsi="Traditional Arabic" w:cs="Traditional Arabic"/>
                <w:sz w:val="24"/>
                <w:rtl/>
              </w:rPr>
              <w:t xml:space="preserve">التي يتعين دفعها في وقت تقديم الطلب </w:t>
            </w:r>
          </w:p>
        </w:tc>
      </w:tr>
      <w:tr w:rsidR="00AD382A" w:rsidRPr="00785453" w14:paraId="72A6682D" w14:textId="77777777" w:rsidTr="00AD382A">
        <w:tc>
          <w:tcPr>
            <w:tcW w:w="751" w:type="pct"/>
          </w:tcPr>
          <w:p w14:paraId="46B50358" w14:textId="77777777" w:rsidR="00AD382A" w:rsidRPr="00785453" w:rsidRDefault="00AD382A" w:rsidP="00AD382A">
            <w:pPr>
              <w:bidi/>
              <w:rPr>
                <w:rFonts w:ascii="Traditional Arabic" w:hAnsi="Traditional Arabic" w:cs="Traditional Arabic"/>
                <w:b/>
                <w:sz w:val="24"/>
              </w:rPr>
            </w:pPr>
            <w:r w:rsidRPr="00785453">
              <w:rPr>
                <w:rFonts w:ascii="Traditional Arabic" w:hAnsi="Traditional Arabic" w:cs="Traditional Arabic"/>
                <w:b/>
                <w:bCs/>
                <w:sz w:val="24"/>
                <w:rtl/>
              </w:rPr>
              <w:t xml:space="preserve">فترة الاكتتاب </w:t>
            </w:r>
          </w:p>
        </w:tc>
        <w:tc>
          <w:tcPr>
            <w:tcW w:w="1128" w:type="pct"/>
          </w:tcPr>
          <w:p w14:paraId="294E1485" w14:textId="77777777" w:rsidR="00AD382A" w:rsidRPr="00785453" w:rsidRDefault="00AD382A" w:rsidP="00AD382A">
            <w:pPr>
              <w:bidi/>
              <w:jc w:val="both"/>
              <w:rPr>
                <w:rFonts w:ascii="Traditional Arabic" w:hAnsi="Traditional Arabic" w:cs="Traditional Arabic"/>
                <w:sz w:val="24"/>
              </w:rPr>
            </w:pPr>
            <w:r>
              <w:rPr>
                <w:rFonts w:ascii="Traditional Arabic" w:hAnsi="Traditional Arabic" w:cs="Traditional Arabic" w:hint="cs"/>
                <w:sz w:val="24"/>
                <w:rtl/>
              </w:rPr>
              <w:t>من</w:t>
            </w:r>
            <w:r w:rsidR="007C3F07">
              <w:rPr>
                <w:rFonts w:ascii="Traditional Arabic" w:hAnsi="Traditional Arabic" w:cs="Traditional Arabic" w:hint="cs"/>
                <w:sz w:val="24"/>
                <w:rtl/>
              </w:rPr>
              <w:t xml:space="preserve"> </w:t>
            </w:r>
            <w:r w:rsidR="00386BE8">
              <w:rPr>
                <w:rFonts w:ascii="Traditional Arabic" w:hAnsi="Traditional Arabic" w:cs="Traditional Arabic" w:hint="cs"/>
                <w:sz w:val="24"/>
                <w:rtl/>
              </w:rPr>
              <w:t xml:space="preserve">20 </w:t>
            </w:r>
            <w:r w:rsidR="007C3F07">
              <w:rPr>
                <w:rFonts w:ascii="Traditional Arabic" w:hAnsi="Traditional Arabic" w:cs="Traditional Arabic" w:hint="cs"/>
                <w:sz w:val="24"/>
                <w:rtl/>
              </w:rPr>
              <w:t xml:space="preserve">فبراير ٢٠٢٥ </w:t>
            </w:r>
            <w:r>
              <w:rPr>
                <w:rFonts w:ascii="Traditional Arabic" w:hAnsi="Traditional Arabic" w:cs="Traditional Arabic" w:hint="cs"/>
                <w:sz w:val="24"/>
                <w:rtl/>
              </w:rPr>
              <w:t xml:space="preserve">الى </w:t>
            </w:r>
            <w:r w:rsidR="00386BE8">
              <w:rPr>
                <w:rFonts w:ascii="Traditional Arabic" w:hAnsi="Traditional Arabic" w:cs="Traditional Arabic" w:hint="cs"/>
                <w:sz w:val="24"/>
                <w:rtl/>
              </w:rPr>
              <w:t xml:space="preserve">27 </w:t>
            </w:r>
            <w:r w:rsidR="007C3F07">
              <w:rPr>
                <w:rFonts w:ascii="Traditional Arabic" w:hAnsi="Traditional Arabic" w:cs="Traditional Arabic" w:hint="cs"/>
                <w:sz w:val="24"/>
                <w:rtl/>
              </w:rPr>
              <w:t xml:space="preserve">فبراير </w:t>
            </w:r>
            <w:r>
              <w:rPr>
                <w:rFonts w:ascii="Traditional Arabic" w:hAnsi="Traditional Arabic" w:cs="Traditional Arabic" w:hint="cs"/>
                <w:sz w:val="24"/>
                <w:rtl/>
              </w:rPr>
              <w:t>٢٠٢٥</w:t>
            </w:r>
          </w:p>
        </w:tc>
        <w:tc>
          <w:tcPr>
            <w:tcW w:w="1040" w:type="pct"/>
          </w:tcPr>
          <w:p w14:paraId="33760C15" w14:textId="77777777" w:rsidR="00AD382A" w:rsidRPr="00785453" w:rsidRDefault="00AD382A" w:rsidP="00AD382A">
            <w:pPr>
              <w:bidi/>
              <w:jc w:val="both"/>
              <w:rPr>
                <w:rFonts w:ascii="Traditional Arabic" w:hAnsi="Traditional Arabic" w:cs="Traditional Arabic"/>
                <w:sz w:val="24"/>
                <w:rtl/>
              </w:rPr>
            </w:pPr>
            <w:r>
              <w:rPr>
                <w:rFonts w:ascii="Traditional Arabic" w:hAnsi="Traditional Arabic" w:cs="Traditional Arabic" w:hint="cs"/>
                <w:sz w:val="24"/>
                <w:rtl/>
              </w:rPr>
              <w:t>لا ينطبق</w:t>
            </w:r>
          </w:p>
        </w:tc>
        <w:tc>
          <w:tcPr>
            <w:tcW w:w="1041" w:type="pct"/>
          </w:tcPr>
          <w:p w14:paraId="52BA4C55" w14:textId="77777777" w:rsidR="00AD382A" w:rsidRPr="00785453" w:rsidRDefault="00AD382A" w:rsidP="00AD382A">
            <w:pPr>
              <w:bidi/>
              <w:jc w:val="both"/>
              <w:rPr>
                <w:rFonts w:ascii="Traditional Arabic" w:hAnsi="Traditional Arabic" w:cs="Traditional Arabic"/>
                <w:sz w:val="24"/>
              </w:rPr>
            </w:pPr>
            <w:r>
              <w:rPr>
                <w:rFonts w:ascii="Traditional Arabic" w:hAnsi="Traditional Arabic" w:cs="Traditional Arabic" w:hint="cs"/>
                <w:sz w:val="24"/>
                <w:rtl/>
              </w:rPr>
              <w:t>من</w:t>
            </w:r>
            <w:r w:rsidR="007C3F07">
              <w:rPr>
                <w:rFonts w:ascii="Traditional Arabic" w:hAnsi="Traditional Arabic" w:cs="Traditional Arabic" w:hint="cs"/>
                <w:sz w:val="24"/>
                <w:rtl/>
              </w:rPr>
              <w:t xml:space="preserve"> </w:t>
            </w:r>
            <w:r w:rsidR="00386BE8">
              <w:rPr>
                <w:rFonts w:ascii="Traditional Arabic" w:hAnsi="Traditional Arabic" w:cs="Traditional Arabic" w:hint="cs"/>
                <w:sz w:val="24"/>
                <w:rtl/>
              </w:rPr>
              <w:t xml:space="preserve">20 </w:t>
            </w:r>
            <w:r w:rsidR="007C3F07">
              <w:rPr>
                <w:rFonts w:ascii="Traditional Arabic" w:hAnsi="Traditional Arabic" w:cs="Traditional Arabic" w:hint="cs"/>
                <w:sz w:val="24"/>
                <w:rtl/>
              </w:rPr>
              <w:t xml:space="preserve">فبراير ٢٠٢٥ </w:t>
            </w:r>
            <w:r>
              <w:rPr>
                <w:rFonts w:ascii="Traditional Arabic" w:hAnsi="Traditional Arabic" w:cs="Traditional Arabic" w:hint="cs"/>
                <w:sz w:val="24"/>
                <w:rtl/>
              </w:rPr>
              <w:t>الى</w:t>
            </w:r>
            <w:r w:rsidR="00386BE8">
              <w:rPr>
                <w:rFonts w:ascii="Traditional Arabic" w:hAnsi="Traditional Arabic" w:cs="Traditional Arabic" w:hint="cs"/>
                <w:sz w:val="24"/>
                <w:rtl/>
              </w:rPr>
              <w:t xml:space="preserve">26 </w:t>
            </w:r>
            <w:r w:rsidR="007C3F07">
              <w:rPr>
                <w:rFonts w:ascii="Traditional Arabic" w:hAnsi="Traditional Arabic" w:cs="Traditional Arabic" w:hint="cs"/>
                <w:sz w:val="24"/>
                <w:rtl/>
              </w:rPr>
              <w:t>فبراير ٢٠٢٥</w:t>
            </w:r>
          </w:p>
        </w:tc>
        <w:tc>
          <w:tcPr>
            <w:tcW w:w="1040" w:type="pct"/>
          </w:tcPr>
          <w:p w14:paraId="500F3664" w14:textId="77777777" w:rsidR="00AD382A" w:rsidRPr="00785453" w:rsidRDefault="00891427" w:rsidP="00AD382A">
            <w:pPr>
              <w:bidi/>
              <w:jc w:val="both"/>
              <w:rPr>
                <w:rFonts w:ascii="Traditional Arabic" w:hAnsi="Traditional Arabic" w:cs="Traditional Arabic"/>
                <w:sz w:val="24"/>
                <w:rtl/>
              </w:rPr>
            </w:pPr>
            <w:r>
              <w:rPr>
                <w:rFonts w:ascii="Traditional Arabic" w:hAnsi="Traditional Arabic" w:cs="Traditional Arabic" w:hint="cs"/>
                <w:sz w:val="24"/>
                <w:rtl/>
              </w:rPr>
              <w:t xml:space="preserve">من </w:t>
            </w:r>
            <w:r w:rsidR="00386BE8">
              <w:rPr>
                <w:rFonts w:ascii="Traditional Arabic" w:hAnsi="Traditional Arabic" w:cs="Traditional Arabic" w:hint="cs"/>
                <w:sz w:val="24"/>
                <w:rtl/>
              </w:rPr>
              <w:t xml:space="preserve">20 </w:t>
            </w:r>
            <w:r>
              <w:rPr>
                <w:rFonts w:ascii="Traditional Arabic" w:hAnsi="Traditional Arabic" w:cs="Traditional Arabic" w:hint="cs"/>
                <w:sz w:val="24"/>
                <w:rtl/>
              </w:rPr>
              <w:t xml:space="preserve">فبراير ٢٠٢٥ </w:t>
            </w:r>
            <w:r w:rsidR="00386BE8">
              <w:rPr>
                <w:rFonts w:ascii="Traditional Arabic" w:hAnsi="Traditional Arabic" w:cs="Traditional Arabic" w:hint="cs"/>
                <w:sz w:val="24"/>
                <w:rtl/>
              </w:rPr>
              <w:t>ا</w:t>
            </w:r>
            <w:r>
              <w:rPr>
                <w:rFonts w:ascii="Traditional Arabic" w:hAnsi="Traditional Arabic" w:cs="Traditional Arabic" w:hint="cs"/>
                <w:sz w:val="24"/>
                <w:rtl/>
              </w:rPr>
              <w:t>لى</w:t>
            </w:r>
            <w:r w:rsidR="00386BE8">
              <w:rPr>
                <w:rFonts w:ascii="Traditional Arabic" w:hAnsi="Traditional Arabic" w:cs="Traditional Arabic" w:hint="cs"/>
                <w:sz w:val="24"/>
                <w:rtl/>
              </w:rPr>
              <w:t xml:space="preserve"> 26 </w:t>
            </w:r>
            <w:r>
              <w:rPr>
                <w:rFonts w:ascii="Traditional Arabic" w:hAnsi="Traditional Arabic" w:cs="Traditional Arabic" w:hint="cs"/>
                <w:sz w:val="24"/>
                <w:rtl/>
              </w:rPr>
              <w:t>فبراير ٢٠٢٥</w:t>
            </w:r>
          </w:p>
        </w:tc>
      </w:tr>
    </w:tbl>
    <w:p w14:paraId="74F77BFB" w14:textId="77777777" w:rsidR="00C53B7B" w:rsidRPr="00785453" w:rsidRDefault="00C53B7B" w:rsidP="00C53B7B">
      <w:pPr>
        <w:bidi/>
        <w:rPr>
          <w:rFonts w:ascii="Traditional Arabic" w:hAnsi="Traditional Arabic" w:cs="Traditional Arabic"/>
          <w:sz w:val="30"/>
          <w:szCs w:val="30"/>
          <w:rtl/>
        </w:rPr>
      </w:pPr>
    </w:p>
    <w:p w14:paraId="555C5347" w14:textId="77777777" w:rsidR="00C53B7B" w:rsidRDefault="00FD6967" w:rsidP="00C53B7B">
      <w:pPr>
        <w:bidi/>
        <w:rPr>
          <w:rFonts w:ascii="Traditional Arabic" w:hAnsi="Traditional Arabic" w:cs="Traditional Arabic"/>
          <w:sz w:val="30"/>
          <w:szCs w:val="30"/>
          <w:rtl/>
        </w:rPr>
      </w:pPr>
      <w:r>
        <w:rPr>
          <w:rFonts w:ascii="Traditional Arabic" w:hAnsi="Traditional Arabic" w:cs="Traditional Arabic" w:hint="cs"/>
          <w:sz w:val="30"/>
          <w:szCs w:val="3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1F3B7D0" w14:textId="77777777" w:rsidR="00FD6967" w:rsidRPr="00CA4D73" w:rsidRDefault="005F2869" w:rsidP="00FD6967">
      <w:pPr>
        <w:bidi/>
        <w:rPr>
          <w:rFonts w:ascii="Traditional Arabic" w:hAnsi="Traditional Arabic" w:cs="Traditional Arabic"/>
          <w:sz w:val="24"/>
          <w:rtl/>
        </w:rPr>
      </w:pPr>
      <w:r w:rsidRPr="00D925C8">
        <w:rPr>
          <w:rFonts w:ascii="Traditional Arabic" w:hAnsi="Traditional Arabic" w:cs="Traditional Arabic"/>
          <w:sz w:val="22"/>
          <w:szCs w:val="22"/>
          <w:rtl/>
        </w:rPr>
        <w:t>(</w:t>
      </w:r>
      <w:r w:rsidR="006A4401" w:rsidRPr="00D925C8">
        <w:rPr>
          <w:rFonts w:ascii="Traditional Arabic" w:hAnsi="Traditional Arabic" w:cs="Traditional Arabic"/>
          <w:sz w:val="22"/>
          <w:szCs w:val="22"/>
        </w:rPr>
        <w:t>5</w:t>
      </w:r>
      <w:r w:rsidRPr="00D925C8">
        <w:rPr>
          <w:rFonts w:ascii="Traditional Arabic" w:hAnsi="Traditional Arabic" w:cs="Traditional Arabic"/>
          <w:sz w:val="22"/>
          <w:szCs w:val="22"/>
          <w:rtl/>
        </w:rPr>
        <w:t xml:space="preserve">) </w:t>
      </w:r>
      <w:r w:rsidRPr="00CA4D73">
        <w:rPr>
          <w:rFonts w:ascii="Traditional Arabic" w:hAnsi="Traditional Arabic" w:cs="Traditional Arabic"/>
          <w:sz w:val="24"/>
          <w:rtl/>
        </w:rPr>
        <w:t xml:space="preserve">قد يزيد </w:t>
      </w:r>
      <w:r w:rsidR="001D3B60" w:rsidRPr="00CA4D73">
        <w:rPr>
          <w:rFonts w:ascii="Traditional Arabic" w:hAnsi="Traditional Arabic" w:cs="Traditional Arabic" w:hint="eastAsia"/>
          <w:sz w:val="24"/>
          <w:rtl/>
        </w:rPr>
        <w:t>عدد</w:t>
      </w:r>
      <w:r w:rsidRPr="00CA4D73">
        <w:rPr>
          <w:rFonts w:ascii="Traditional Arabic" w:hAnsi="Traditional Arabic" w:cs="Traditional Arabic"/>
          <w:sz w:val="24"/>
          <w:rtl/>
        </w:rPr>
        <w:t xml:space="preserve"> الأسهم المطروحة لل</w:t>
      </w:r>
      <w:r w:rsidR="00AA02D4">
        <w:rPr>
          <w:rFonts w:ascii="Traditional Arabic" w:hAnsi="Traditional Arabic" w:cs="Traditional Arabic" w:hint="cs"/>
          <w:sz w:val="24"/>
          <w:rtl/>
        </w:rPr>
        <w:t>ا</w:t>
      </w:r>
      <w:r w:rsidRPr="00CA4D73">
        <w:rPr>
          <w:rFonts w:ascii="Traditional Arabic" w:hAnsi="Traditional Arabic" w:cs="Traditional Arabic" w:hint="eastAsia"/>
          <w:sz w:val="24"/>
          <w:rtl/>
        </w:rPr>
        <w:t>كتتاب</w:t>
      </w:r>
      <w:r w:rsidRPr="00CA4D73">
        <w:rPr>
          <w:rFonts w:ascii="Traditional Arabic" w:hAnsi="Traditional Arabic" w:cs="Traditional Arabic"/>
          <w:sz w:val="24"/>
          <w:rtl/>
        </w:rPr>
        <w:t xml:space="preserve"> </w:t>
      </w:r>
      <w:r w:rsidR="00074A95">
        <w:rPr>
          <w:rFonts w:ascii="Traditional Arabic" w:hAnsi="Traditional Arabic" w:cs="Traditional Arabic" w:hint="cs"/>
          <w:sz w:val="24"/>
          <w:rtl/>
        </w:rPr>
        <w:t>ل</w:t>
      </w:r>
      <w:r w:rsidR="0059174B" w:rsidRPr="00CA4D73">
        <w:rPr>
          <w:rFonts w:ascii="Traditional Arabic" w:hAnsi="Traditional Arabic" w:cs="Traditional Arabic"/>
          <w:sz w:val="24"/>
          <w:rtl/>
        </w:rPr>
        <w:t>مقدمي الطلبات من الفئة الأولى والثانية</w:t>
      </w:r>
      <w:r w:rsidR="001D3B60" w:rsidRPr="00CA4D73">
        <w:rPr>
          <w:rFonts w:ascii="Traditional Arabic" w:hAnsi="Traditional Arabic" w:cs="Traditional Arabic"/>
          <w:sz w:val="24"/>
          <w:rtl/>
        </w:rPr>
        <w:t xml:space="preserve"> وذلك تبعا لممارسة </w:t>
      </w:r>
      <w:r w:rsidR="00E77C87" w:rsidRPr="00CA4D73">
        <w:rPr>
          <w:rFonts w:ascii="Traditional Arabic" w:hAnsi="Traditional Arabic" w:cs="Traditional Arabic" w:hint="eastAsia"/>
          <w:sz w:val="24"/>
          <w:rtl/>
        </w:rPr>
        <w:t>المساهم</w:t>
      </w:r>
      <w:r w:rsidR="00E77C87" w:rsidRPr="00CA4D73">
        <w:rPr>
          <w:rFonts w:ascii="Traditional Arabic" w:hAnsi="Traditional Arabic" w:cs="Traditional Arabic"/>
          <w:sz w:val="24"/>
          <w:rtl/>
        </w:rPr>
        <w:t xml:space="preserve"> </w:t>
      </w:r>
      <w:r w:rsidR="00E77C87" w:rsidRPr="00CA4D73">
        <w:rPr>
          <w:rFonts w:ascii="Traditional Arabic" w:hAnsi="Traditional Arabic" w:cs="Traditional Arabic" w:hint="eastAsia"/>
          <w:sz w:val="24"/>
          <w:rtl/>
        </w:rPr>
        <w:t>البائع</w:t>
      </w:r>
      <w:r w:rsidR="001D3B60" w:rsidRPr="00CA4D73">
        <w:rPr>
          <w:rFonts w:ascii="Traditional Arabic" w:hAnsi="Traditional Arabic" w:cs="Traditional Arabic"/>
          <w:sz w:val="24"/>
          <w:rtl/>
        </w:rPr>
        <w:t xml:space="preserve"> لخيار زيا</w:t>
      </w:r>
      <w:r w:rsidR="001D3B60" w:rsidRPr="00CA4D73">
        <w:rPr>
          <w:rFonts w:ascii="Traditional Arabic" w:hAnsi="Traditional Arabic" w:cs="Traditional Arabic" w:hint="eastAsia"/>
          <w:sz w:val="24"/>
          <w:rtl/>
        </w:rPr>
        <w:t>دة</w:t>
      </w:r>
      <w:r w:rsidR="001D3B60" w:rsidRPr="00CA4D73">
        <w:rPr>
          <w:rFonts w:ascii="Traditional Arabic" w:hAnsi="Traditional Arabic" w:cs="Traditional Arabic"/>
          <w:sz w:val="24"/>
          <w:rtl/>
        </w:rPr>
        <w:t xml:space="preserve"> </w:t>
      </w:r>
      <w:r w:rsidR="001D3B60" w:rsidRPr="00CA4D73">
        <w:rPr>
          <w:rFonts w:ascii="Traditional Arabic" w:hAnsi="Traditional Arabic" w:cs="Traditional Arabic" w:hint="eastAsia"/>
          <w:sz w:val="24"/>
          <w:rtl/>
        </w:rPr>
        <w:t>حجم</w:t>
      </w:r>
      <w:r w:rsidR="001D3B60" w:rsidRPr="00CA4D73">
        <w:rPr>
          <w:rFonts w:ascii="Traditional Arabic" w:hAnsi="Traditional Arabic" w:cs="Traditional Arabic"/>
          <w:sz w:val="24"/>
          <w:rtl/>
        </w:rPr>
        <w:t xml:space="preserve"> </w:t>
      </w:r>
      <w:r w:rsidR="001D3B60" w:rsidRPr="00CA4D73">
        <w:rPr>
          <w:rFonts w:ascii="Traditional Arabic" w:hAnsi="Traditional Arabic" w:cs="Traditional Arabic" w:hint="eastAsia"/>
          <w:sz w:val="24"/>
          <w:rtl/>
        </w:rPr>
        <w:t>الاكتتاب</w:t>
      </w:r>
      <w:r w:rsidR="00F408BC" w:rsidRPr="00CA4D73">
        <w:rPr>
          <w:rFonts w:ascii="Traditional Arabic" w:hAnsi="Traditional Arabic" w:cs="Traditional Arabic"/>
          <w:sz w:val="24"/>
          <w:rtl/>
        </w:rPr>
        <w:t xml:space="preserve">. إذا اختار المساهم البائع ممارسة خيار </w:t>
      </w:r>
      <w:r w:rsidR="00F408BC" w:rsidRPr="00CA4D73">
        <w:rPr>
          <w:rFonts w:ascii="Traditional Arabic" w:hAnsi="Traditional Arabic" w:cs="Traditional Arabic" w:hint="eastAsia"/>
          <w:sz w:val="24"/>
          <w:rtl/>
        </w:rPr>
        <w:t>زيادة</w:t>
      </w:r>
      <w:r w:rsidR="00F408BC" w:rsidRPr="00CA4D73">
        <w:rPr>
          <w:rFonts w:ascii="Traditional Arabic" w:hAnsi="Traditional Arabic" w:cs="Traditional Arabic"/>
          <w:sz w:val="24"/>
          <w:rtl/>
        </w:rPr>
        <w:t xml:space="preserve"> </w:t>
      </w:r>
      <w:r w:rsidR="00F408BC" w:rsidRPr="00CA4D73">
        <w:rPr>
          <w:rFonts w:ascii="Traditional Arabic" w:hAnsi="Traditional Arabic" w:cs="Traditional Arabic" w:hint="eastAsia"/>
          <w:sz w:val="24"/>
          <w:rtl/>
        </w:rPr>
        <w:t>حجم</w:t>
      </w:r>
      <w:r w:rsidR="00F408BC" w:rsidRPr="00CA4D73">
        <w:rPr>
          <w:rFonts w:ascii="Traditional Arabic" w:hAnsi="Traditional Arabic" w:cs="Traditional Arabic"/>
          <w:sz w:val="24"/>
          <w:rtl/>
        </w:rPr>
        <w:t xml:space="preserve"> </w:t>
      </w:r>
      <w:r w:rsidR="00F408BC" w:rsidRPr="00CA4D73">
        <w:rPr>
          <w:rFonts w:ascii="Traditional Arabic" w:hAnsi="Traditional Arabic" w:cs="Traditional Arabic" w:hint="eastAsia"/>
          <w:sz w:val="24"/>
          <w:rtl/>
        </w:rPr>
        <w:t>الاكتتاب</w:t>
      </w:r>
      <w:r w:rsidR="00F408BC" w:rsidRPr="00CA4D73">
        <w:rPr>
          <w:rFonts w:ascii="Traditional Arabic" w:hAnsi="Traditional Arabic" w:cs="Traditional Arabic"/>
          <w:sz w:val="24"/>
          <w:rtl/>
        </w:rPr>
        <w:t xml:space="preserve">، فسيتم </w:t>
      </w:r>
      <w:r w:rsidR="00CA7BA1">
        <w:rPr>
          <w:rFonts w:ascii="Traditional Arabic" w:hAnsi="Traditional Arabic" w:cs="Traditional Arabic" w:hint="cs"/>
          <w:sz w:val="24"/>
          <w:rtl/>
        </w:rPr>
        <w:t>اتا</w:t>
      </w:r>
      <w:r w:rsidR="00824298">
        <w:rPr>
          <w:rFonts w:ascii="Traditional Arabic" w:hAnsi="Traditional Arabic" w:cs="Traditional Arabic" w:hint="cs"/>
          <w:sz w:val="24"/>
          <w:rtl/>
        </w:rPr>
        <w:t>حة</w:t>
      </w:r>
      <w:r w:rsidR="00CA7BA1" w:rsidRPr="00CA4D73">
        <w:rPr>
          <w:rFonts w:ascii="Traditional Arabic" w:hAnsi="Traditional Arabic" w:cs="Traditional Arabic"/>
          <w:sz w:val="24"/>
          <w:rtl/>
        </w:rPr>
        <w:t xml:space="preserve"> </w:t>
      </w:r>
      <w:r w:rsidR="00F408BC" w:rsidRPr="00CA4D73">
        <w:rPr>
          <w:rFonts w:ascii="Traditional Arabic" w:hAnsi="Traditional Arabic" w:cs="Traditional Arabic"/>
          <w:sz w:val="24"/>
          <w:rtl/>
        </w:rPr>
        <w:t xml:space="preserve">أي أسهم إضافية </w:t>
      </w:r>
      <w:r w:rsidR="00824298">
        <w:rPr>
          <w:rFonts w:ascii="Traditional Arabic" w:hAnsi="Traditional Arabic" w:cs="Traditional Arabic" w:hint="cs"/>
          <w:sz w:val="24"/>
          <w:rtl/>
        </w:rPr>
        <w:t>بالنسبة والتناسب</w:t>
      </w:r>
      <w:r w:rsidR="00824298" w:rsidRPr="00CA4D73">
        <w:rPr>
          <w:rFonts w:ascii="Traditional Arabic" w:hAnsi="Traditional Arabic" w:cs="Traditional Arabic"/>
          <w:sz w:val="24"/>
          <w:rtl/>
        </w:rPr>
        <w:t xml:space="preserve"> </w:t>
      </w:r>
      <w:r w:rsidR="00F408BC" w:rsidRPr="00CA4D73">
        <w:rPr>
          <w:rFonts w:ascii="Traditional Arabic" w:hAnsi="Traditional Arabic" w:cs="Traditional Arabic"/>
          <w:sz w:val="24"/>
          <w:rtl/>
        </w:rPr>
        <w:t xml:space="preserve">بين </w:t>
      </w:r>
      <w:r w:rsidR="00F408BC" w:rsidRPr="00CA4D73">
        <w:rPr>
          <w:rFonts w:ascii="Traditional Arabic" w:hAnsi="Traditional Arabic" w:cs="Traditional Arabic" w:hint="eastAsia"/>
          <w:sz w:val="24"/>
          <w:rtl/>
        </w:rPr>
        <w:t>مقدمي</w:t>
      </w:r>
      <w:r w:rsidR="00F408BC" w:rsidRPr="00CA4D73">
        <w:rPr>
          <w:rFonts w:ascii="Traditional Arabic" w:hAnsi="Traditional Arabic" w:cs="Traditional Arabic"/>
          <w:sz w:val="24"/>
          <w:rtl/>
        </w:rPr>
        <w:t xml:space="preserve"> الطلبات من الفئة </w:t>
      </w:r>
      <w:r w:rsidR="00F408BC" w:rsidRPr="00CA4D73">
        <w:rPr>
          <w:rFonts w:ascii="Traditional Arabic" w:hAnsi="Traditional Arabic" w:cs="Traditional Arabic" w:hint="eastAsia"/>
          <w:sz w:val="24"/>
          <w:rtl/>
        </w:rPr>
        <w:t>الأولى</w:t>
      </w:r>
      <w:r w:rsidR="00F408BC" w:rsidRPr="00CA4D73">
        <w:rPr>
          <w:rFonts w:ascii="Traditional Arabic" w:hAnsi="Traditional Arabic" w:cs="Traditional Arabic"/>
          <w:sz w:val="24"/>
          <w:rtl/>
        </w:rPr>
        <w:t xml:space="preserve"> </w:t>
      </w:r>
      <w:r w:rsidR="00F408BC" w:rsidRPr="00CA4D73">
        <w:rPr>
          <w:rFonts w:ascii="Traditional Arabic" w:hAnsi="Traditional Arabic" w:cs="Traditional Arabic" w:hint="eastAsia"/>
          <w:sz w:val="24"/>
          <w:rtl/>
        </w:rPr>
        <w:t>والثانية</w:t>
      </w:r>
      <w:r w:rsidR="00F408BC" w:rsidRPr="00CA4D73">
        <w:rPr>
          <w:rFonts w:ascii="Traditional Arabic" w:hAnsi="Traditional Arabic" w:cs="Traditional Arabic"/>
          <w:sz w:val="24"/>
          <w:rtl/>
        </w:rPr>
        <w:t>.</w:t>
      </w:r>
    </w:p>
    <w:p w14:paraId="0DDF8B6B" w14:textId="77777777" w:rsidR="00836704" w:rsidRPr="00785453" w:rsidRDefault="00836704" w:rsidP="00836704">
      <w:pPr>
        <w:bidi/>
        <w:rPr>
          <w:rFonts w:ascii="Traditional Arabic" w:hAnsi="Traditional Arabic" w:cs="Traditional Arabic"/>
          <w:sz w:val="30"/>
          <w:szCs w:val="30"/>
          <w:rtl/>
        </w:rPr>
      </w:pPr>
    </w:p>
    <w:p w14:paraId="53F44E14" w14:textId="77777777" w:rsidR="00C53B7B" w:rsidRPr="00785453" w:rsidRDefault="00C53B7B" w:rsidP="00C53B7B">
      <w:pPr>
        <w:bidi/>
        <w:rPr>
          <w:rFonts w:ascii="Traditional Arabic" w:hAnsi="Traditional Arabic" w:cs="Traditional Arabic"/>
          <w:sz w:val="30"/>
          <w:szCs w:val="30"/>
          <w:rtl/>
        </w:rPr>
      </w:pPr>
      <w:r w:rsidRPr="00785453">
        <w:rPr>
          <w:rFonts w:ascii="Traditional Arabic" w:hAnsi="Traditional Arabic" w:cs="Traditional Arabic"/>
          <w:b/>
          <w:sz w:val="30"/>
          <w:szCs w:val="30"/>
          <w:rtl/>
        </w:rPr>
        <w:t xml:space="preserve">للحصول على تفاصيل إضافية حول الظروف التي يمكن أن تتغير فيها التخصيصات بين مقدمي الطلبات من الفئة الأولى ومقدمي الطلبات من الفئة الثانية، يرجى الاطلاع على </w:t>
      </w:r>
      <w:r w:rsidRPr="00785453">
        <w:rPr>
          <w:rFonts w:ascii="Traditional Arabic" w:hAnsi="Traditional Arabic" w:cs="Traditional Arabic"/>
          <w:b/>
          <w:sz w:val="30"/>
          <w:szCs w:val="30"/>
          <w:rtl/>
          <w:lang w:bidi="ar-OM"/>
        </w:rPr>
        <w:t xml:space="preserve">فقرة </w:t>
      </w:r>
      <w:r w:rsidRPr="00785453">
        <w:rPr>
          <w:rFonts w:ascii="Traditional Arabic" w:hAnsi="Traditional Arabic" w:cs="Traditional Arabic"/>
          <w:b/>
          <w:sz w:val="30"/>
          <w:szCs w:val="30"/>
          <w:rtl/>
        </w:rPr>
        <w:t>"</w:t>
      </w:r>
      <w:r w:rsidRPr="00785453">
        <w:rPr>
          <w:rFonts w:ascii="Traditional Arabic" w:hAnsi="Traditional Arabic" w:cs="Traditional Arabic"/>
          <w:b/>
          <w:i/>
          <w:iCs/>
          <w:sz w:val="30"/>
          <w:szCs w:val="30"/>
          <w:rtl/>
        </w:rPr>
        <w:t>أساس التخصيص</w:t>
      </w:r>
      <w:r w:rsidRPr="00785453">
        <w:rPr>
          <w:rFonts w:ascii="Traditional Arabic" w:hAnsi="Traditional Arabic" w:cs="Traditional Arabic"/>
          <w:b/>
          <w:sz w:val="30"/>
          <w:szCs w:val="30"/>
          <w:rtl/>
        </w:rPr>
        <w:t>".</w:t>
      </w:r>
    </w:p>
    <w:p w14:paraId="5E6436AC" w14:textId="77777777" w:rsidR="00C53B7B" w:rsidRPr="00785453" w:rsidRDefault="00C53B7B" w:rsidP="00C53B7B">
      <w:pPr>
        <w:bidi/>
        <w:rPr>
          <w:rFonts w:ascii="Traditional Arabic" w:hAnsi="Traditional Arabic" w:cs="Traditional Arabic"/>
          <w:b/>
          <w:bCs/>
          <w:sz w:val="30"/>
          <w:szCs w:val="30"/>
          <w:rtl/>
        </w:rPr>
      </w:pPr>
    </w:p>
    <w:p w14:paraId="4592436B" w14:textId="77777777" w:rsidR="00C53B7B" w:rsidRPr="00785453" w:rsidRDefault="00C53B7B" w:rsidP="00C53B7B">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الطرح</w:t>
      </w:r>
    </w:p>
    <w:p w14:paraId="17313F08"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يتوفر هذا الطرح للمستثمرين في الفئة الأولى </w:t>
      </w:r>
      <w:r w:rsidRPr="00785453">
        <w:rPr>
          <w:rFonts w:ascii="Traditional Arabic" w:hAnsi="Traditional Arabic" w:cs="Traditional Arabic" w:hint="cs"/>
          <w:sz w:val="30"/>
          <w:szCs w:val="30"/>
          <w:rtl/>
        </w:rPr>
        <w:t xml:space="preserve">(فئة المؤسسات المحلية والأجنبية) </w:t>
      </w:r>
      <w:r w:rsidRPr="00785453">
        <w:rPr>
          <w:rFonts w:ascii="Traditional Arabic" w:hAnsi="Traditional Arabic" w:cs="Traditional Arabic"/>
          <w:sz w:val="30"/>
          <w:szCs w:val="30"/>
          <w:rtl/>
        </w:rPr>
        <w:t>من خلال عملية بناء سجل الأوامر (سيأتي بيانها لاحقا</w:t>
      </w:r>
      <w:r w:rsidRPr="00785453">
        <w:rPr>
          <w:rFonts w:ascii="Traditional Arabic" w:hAnsi="Traditional Arabic" w:cs="Traditional Arabic" w:hint="cs"/>
          <w:sz w:val="30"/>
          <w:szCs w:val="30"/>
          <w:rtl/>
        </w:rPr>
        <w:t xml:space="preserve"> في الفصل الواحد والعشرين </w:t>
      </w:r>
      <w:r w:rsidRPr="00785453">
        <w:rPr>
          <w:rFonts w:ascii="Traditional Arabic" w:hAnsi="Traditional Arabic" w:cs="Traditional Arabic"/>
          <w:sz w:val="30"/>
          <w:szCs w:val="30"/>
          <w:rtl/>
        </w:rPr>
        <w:t>–</w:t>
      </w:r>
      <w:r w:rsidRPr="00785453">
        <w:rPr>
          <w:rFonts w:ascii="Traditional Arabic" w:hAnsi="Traditional Arabic" w:cs="Traditional Arabic" w:hint="cs"/>
          <w:sz w:val="30"/>
          <w:szCs w:val="30"/>
          <w:rtl/>
        </w:rPr>
        <w:t xml:space="preserve"> عملية بناء سجل الأوامر</w:t>
      </w:r>
      <w:r w:rsidR="006378B5">
        <w:rPr>
          <w:rFonts w:ascii="Traditional Arabic" w:hAnsi="Traditional Arabic" w:cs="Traditional Arabic" w:hint="cs"/>
          <w:sz w:val="30"/>
          <w:szCs w:val="30"/>
          <w:rtl/>
        </w:rPr>
        <w:t>) و</w:t>
      </w:r>
      <w:r w:rsidR="00AB130C">
        <w:rPr>
          <w:rFonts w:ascii="Traditional Arabic" w:hAnsi="Traditional Arabic" w:cs="Traditional Arabic" w:hint="cs"/>
          <w:sz w:val="30"/>
          <w:szCs w:val="30"/>
          <w:rtl/>
        </w:rPr>
        <w:t>ل</w:t>
      </w:r>
      <w:r w:rsidRPr="00785453">
        <w:rPr>
          <w:rFonts w:ascii="Traditional Arabic" w:hAnsi="Traditional Arabic" w:cs="Traditional Arabic" w:hint="cs"/>
          <w:sz w:val="30"/>
          <w:szCs w:val="30"/>
          <w:rtl/>
        </w:rPr>
        <w:t xml:space="preserve">مستثمري الفئة الثانية </w:t>
      </w:r>
      <w:r w:rsidR="00AB130C">
        <w:rPr>
          <w:rFonts w:ascii="Traditional Arabic" w:hAnsi="Traditional Arabic" w:cs="Traditional Arabic" w:hint="cs"/>
          <w:sz w:val="30"/>
          <w:szCs w:val="30"/>
          <w:rtl/>
        </w:rPr>
        <w:t>بسعر الطرح</w:t>
      </w:r>
      <w:r w:rsidRPr="00785453">
        <w:rPr>
          <w:rFonts w:ascii="Traditional Arabic" w:hAnsi="Traditional Arabic" w:cs="Traditional Arabic" w:hint="cs"/>
          <w:sz w:val="30"/>
          <w:szCs w:val="30"/>
          <w:rtl/>
        </w:rPr>
        <w:t xml:space="preserve">. </w:t>
      </w:r>
      <w:r w:rsidRPr="00785453">
        <w:rPr>
          <w:rFonts w:ascii="Traditional Arabic" w:hAnsi="Traditional Arabic" w:cs="Traditional Arabic"/>
          <w:sz w:val="30"/>
          <w:szCs w:val="30"/>
          <w:rtl/>
        </w:rPr>
        <w:t>يكون سعر الطرح هو السعر النهائي الذي ستُطرح به الأسهم وسيتم تخصيصها وفق شروط هذه النشرة، وسيتم تحديد سعر الطرح في موعد التسعير</w:t>
      </w:r>
      <w:r w:rsidR="00F849EE">
        <w:rPr>
          <w:rFonts w:ascii="Traditional Arabic" w:hAnsi="Traditional Arabic" w:cs="Traditional Arabic" w:hint="cs"/>
          <w:sz w:val="30"/>
          <w:szCs w:val="30"/>
          <w:rtl/>
        </w:rPr>
        <w:t xml:space="preserve"> </w:t>
      </w:r>
      <w:r w:rsidR="001929A8">
        <w:rPr>
          <w:rFonts w:ascii="Traditional Arabic" w:hAnsi="Traditional Arabic" w:cs="Traditional Arabic" w:hint="cs"/>
          <w:sz w:val="30"/>
          <w:szCs w:val="30"/>
          <w:rtl/>
        </w:rPr>
        <w:t>، والذي سيكون من ضمن النطاق السعري،</w:t>
      </w:r>
      <w:r w:rsidRPr="00785453">
        <w:rPr>
          <w:rFonts w:ascii="Traditional Arabic" w:hAnsi="Traditional Arabic" w:cs="Traditional Arabic"/>
          <w:sz w:val="30"/>
          <w:szCs w:val="30"/>
          <w:rtl/>
        </w:rPr>
        <w:t xml:space="preserve"> من قبل </w:t>
      </w:r>
      <w:r w:rsidR="000861C6">
        <w:rPr>
          <w:rFonts w:ascii="Traditional Arabic" w:hAnsi="Traditional Arabic" w:cs="Traditional Arabic"/>
          <w:sz w:val="30"/>
          <w:szCs w:val="30"/>
          <w:rtl/>
        </w:rPr>
        <w:t>المساهم البائع</w:t>
      </w:r>
      <w:r w:rsidRPr="00785453">
        <w:rPr>
          <w:rFonts w:ascii="Traditional Arabic" w:hAnsi="Traditional Arabic" w:cs="Traditional Arabic"/>
          <w:sz w:val="30"/>
          <w:szCs w:val="30"/>
          <w:rtl/>
        </w:rPr>
        <w:t xml:space="preserve"> بالتشاور مع المنسق العالمي المشترك.</w:t>
      </w:r>
    </w:p>
    <w:p w14:paraId="574BE39B" w14:textId="77777777" w:rsidR="00C53B7B" w:rsidRPr="00785453" w:rsidRDefault="00C53B7B" w:rsidP="00C53B7B">
      <w:pPr>
        <w:bidi/>
        <w:jc w:val="both"/>
        <w:rPr>
          <w:rFonts w:ascii="Traditional Arabic" w:hAnsi="Traditional Arabic" w:cs="Traditional Arabic"/>
          <w:sz w:val="30"/>
          <w:szCs w:val="30"/>
          <w:rtl/>
        </w:rPr>
      </w:pPr>
    </w:p>
    <w:p w14:paraId="15679903" w14:textId="77777777" w:rsidR="00C53B7B" w:rsidRPr="00785453" w:rsidRDefault="00C53B7B" w:rsidP="00C53B7B">
      <w:pPr>
        <w:bidi/>
        <w:rPr>
          <w:rFonts w:ascii="Traditional Arabic" w:hAnsi="Traditional Arabic" w:cs="Traditional Arabic"/>
          <w:b/>
          <w:bCs/>
          <w:sz w:val="30"/>
          <w:szCs w:val="30"/>
        </w:rPr>
      </w:pPr>
      <w:r w:rsidRPr="00785453">
        <w:rPr>
          <w:rFonts w:ascii="Traditional Arabic" w:hAnsi="Traditional Arabic" w:cs="Traditional Arabic"/>
          <w:b/>
          <w:bCs/>
          <w:sz w:val="30"/>
          <w:szCs w:val="30"/>
          <w:rtl/>
        </w:rPr>
        <w:t>أهلية الاكتتاب في أسهم الطرح للفئة الأولى</w:t>
      </w:r>
    </w:p>
    <w:p w14:paraId="4265CA8D" w14:textId="77777777" w:rsidR="00C53B7B"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lastRenderedPageBreak/>
        <w:t xml:space="preserve">سوف يُفتح الاكتتاب في أسهم الطرح للفئة </w:t>
      </w:r>
      <w:r w:rsidRPr="00785453">
        <w:rPr>
          <w:rFonts w:ascii="Traditional Arabic" w:hAnsi="Traditional Arabic" w:cs="Traditional Arabic" w:hint="cs"/>
          <w:sz w:val="30"/>
          <w:szCs w:val="30"/>
          <w:rtl/>
        </w:rPr>
        <w:t xml:space="preserve">الأولى </w:t>
      </w:r>
      <w:r w:rsidRPr="00785453">
        <w:rPr>
          <w:rFonts w:ascii="Traditional Arabic" w:hAnsi="Traditional Arabic" w:cs="Traditional Arabic"/>
          <w:sz w:val="30"/>
          <w:szCs w:val="30"/>
          <w:rtl/>
        </w:rPr>
        <w:t>ل</w:t>
      </w:r>
      <w:r w:rsidR="00E6711F">
        <w:rPr>
          <w:rFonts w:ascii="Traditional Arabic" w:hAnsi="Traditional Arabic" w:cs="Traditional Arabic" w:hint="cs"/>
          <w:sz w:val="30"/>
          <w:szCs w:val="30"/>
          <w:rtl/>
        </w:rPr>
        <w:t>لم</w:t>
      </w:r>
      <w:r w:rsidRPr="00785453">
        <w:rPr>
          <w:rFonts w:ascii="Traditional Arabic" w:hAnsi="Traditional Arabic" w:cs="Traditional Arabic"/>
          <w:sz w:val="30"/>
          <w:szCs w:val="30"/>
          <w:rtl/>
        </w:rPr>
        <w:t>ستثمري</w:t>
      </w:r>
      <w:r w:rsidR="0004448F">
        <w:rPr>
          <w:rFonts w:ascii="Traditional Arabic" w:hAnsi="Traditional Arabic" w:cs="Traditional Arabic" w:hint="cs"/>
          <w:sz w:val="30"/>
          <w:szCs w:val="30"/>
          <w:rtl/>
        </w:rPr>
        <w:t>ن</w:t>
      </w:r>
      <w:r w:rsidRPr="00785453">
        <w:rPr>
          <w:rFonts w:ascii="Traditional Arabic" w:hAnsi="Traditional Arabic" w:cs="Traditional Arabic" w:hint="cs"/>
          <w:sz w:val="30"/>
          <w:szCs w:val="30"/>
          <w:rtl/>
        </w:rPr>
        <w:t xml:space="preserve"> </w:t>
      </w:r>
      <w:r w:rsidR="0004448F">
        <w:rPr>
          <w:rFonts w:ascii="Traditional Arabic" w:hAnsi="Traditional Arabic" w:cs="Traditional Arabic" w:hint="cs"/>
          <w:sz w:val="30"/>
          <w:szCs w:val="30"/>
          <w:rtl/>
        </w:rPr>
        <w:t>المؤ</w:t>
      </w:r>
      <w:r w:rsidR="00A139FC">
        <w:rPr>
          <w:rFonts w:ascii="Traditional Arabic" w:hAnsi="Traditional Arabic" w:cs="Traditional Arabic" w:hint="cs"/>
          <w:sz w:val="30"/>
          <w:szCs w:val="30"/>
          <w:rtl/>
        </w:rPr>
        <w:t xml:space="preserve">سسيين </w:t>
      </w:r>
      <w:r w:rsidRPr="00785453">
        <w:rPr>
          <w:rFonts w:ascii="Traditional Arabic" w:hAnsi="Traditional Arabic" w:cs="Traditional Arabic"/>
          <w:sz w:val="30"/>
          <w:szCs w:val="30"/>
          <w:rtl/>
        </w:rPr>
        <w:t xml:space="preserve">الذين لديهم حسابات مع شركة مسقط للمقاصة والإيداع فقط. </w:t>
      </w:r>
    </w:p>
    <w:p w14:paraId="5618617B" w14:textId="77777777" w:rsidR="00DF69BF" w:rsidRPr="00785453" w:rsidRDefault="00DF69BF" w:rsidP="00DF69BF">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يجب على مقدمي الطلبات </w:t>
      </w:r>
      <w:r w:rsidRPr="00785453">
        <w:rPr>
          <w:rFonts w:ascii="Traditional Arabic" w:hAnsi="Traditional Arabic" w:cs="Traditional Arabic" w:hint="cs"/>
          <w:sz w:val="30"/>
          <w:szCs w:val="30"/>
          <w:rtl/>
        </w:rPr>
        <w:t xml:space="preserve">الاخذ في الاعتبار </w:t>
      </w:r>
      <w:r w:rsidRPr="00785453">
        <w:rPr>
          <w:rFonts w:ascii="Traditional Arabic" w:hAnsi="Traditional Arabic" w:cs="Traditional Arabic"/>
          <w:sz w:val="30"/>
          <w:szCs w:val="30"/>
          <w:rtl/>
        </w:rPr>
        <w:t xml:space="preserve">الحد الأدنى للاكتتاب </w:t>
      </w:r>
      <w:r w:rsidRPr="00785453">
        <w:rPr>
          <w:rFonts w:ascii="Traditional Arabic" w:hAnsi="Traditional Arabic" w:cs="Traditional Arabic" w:hint="cs"/>
          <w:sz w:val="30"/>
          <w:szCs w:val="30"/>
          <w:rtl/>
        </w:rPr>
        <w:t xml:space="preserve">والحد </w:t>
      </w:r>
      <w:r w:rsidRPr="00785453">
        <w:rPr>
          <w:rFonts w:ascii="Traditional Arabic" w:hAnsi="Traditional Arabic" w:cs="Traditional Arabic"/>
          <w:sz w:val="30"/>
          <w:szCs w:val="30"/>
          <w:rtl/>
        </w:rPr>
        <w:t xml:space="preserve">الأقصى المطبق </w:t>
      </w:r>
      <w:r w:rsidRPr="00785453">
        <w:rPr>
          <w:rFonts w:ascii="Traditional Arabic" w:hAnsi="Traditional Arabic" w:cs="Traditional Arabic" w:hint="cs"/>
          <w:sz w:val="30"/>
          <w:szCs w:val="30"/>
          <w:rtl/>
        </w:rPr>
        <w:t xml:space="preserve">لكل فئة </w:t>
      </w:r>
      <w:r w:rsidRPr="00785453">
        <w:rPr>
          <w:rFonts w:ascii="Traditional Arabic" w:hAnsi="Traditional Arabic" w:cs="Traditional Arabic"/>
          <w:sz w:val="30"/>
          <w:szCs w:val="30"/>
          <w:rtl/>
        </w:rPr>
        <w:t>عند تقديم طلب</w:t>
      </w:r>
      <w:r w:rsidRPr="00785453">
        <w:rPr>
          <w:rFonts w:ascii="Traditional Arabic" w:hAnsi="Traditional Arabic" w:cs="Traditional Arabic" w:hint="cs"/>
          <w:sz w:val="30"/>
          <w:szCs w:val="30"/>
          <w:rtl/>
        </w:rPr>
        <w:t xml:space="preserve"> الاكتتاب</w:t>
      </w:r>
      <w:r w:rsidRPr="00785453">
        <w:rPr>
          <w:rFonts w:ascii="Traditional Arabic" w:hAnsi="Traditional Arabic" w:cs="Traditional Arabic"/>
          <w:sz w:val="30"/>
          <w:szCs w:val="30"/>
          <w:rtl/>
        </w:rPr>
        <w:t xml:space="preserve">. لا يجوز تخصيص أكثر من </w:t>
      </w:r>
      <w:r>
        <w:rPr>
          <w:rFonts w:ascii="Traditional Arabic" w:hAnsi="Traditional Arabic" w:cs="Traditional Arabic" w:hint="cs"/>
          <w:sz w:val="30"/>
          <w:szCs w:val="30"/>
          <w:rtl/>
        </w:rPr>
        <w:t>٢٠</w:t>
      </w:r>
      <w:r w:rsidR="0060477A">
        <w:rPr>
          <w:rFonts w:ascii="Traditional Arabic" w:hAnsi="Traditional Arabic" w:cs="Traditional Arabic" w:hint="cs"/>
          <w:sz w:val="30"/>
          <w:szCs w:val="30"/>
          <w:rtl/>
        </w:rPr>
        <w:t xml:space="preserve">٪  </w:t>
      </w:r>
      <w:r w:rsidRPr="00785453">
        <w:rPr>
          <w:rFonts w:ascii="Traditional Arabic" w:hAnsi="Traditional Arabic" w:cs="Traditional Arabic"/>
          <w:sz w:val="30"/>
          <w:szCs w:val="30"/>
          <w:rtl/>
        </w:rPr>
        <w:t xml:space="preserve">من </w:t>
      </w:r>
      <w:r w:rsidRPr="00785453">
        <w:rPr>
          <w:rFonts w:ascii="Traditional Arabic" w:hAnsi="Traditional Arabic" w:cs="Traditional Arabic"/>
          <w:sz w:val="30"/>
          <w:szCs w:val="30"/>
          <w:rtl/>
          <w:lang w:bidi="ar-OM"/>
        </w:rPr>
        <w:t>حجم</w:t>
      </w:r>
      <w:r w:rsidRPr="00785453">
        <w:rPr>
          <w:rFonts w:ascii="Traditional Arabic" w:hAnsi="Traditional Arabic" w:cs="Traditional Arabic"/>
          <w:sz w:val="30"/>
          <w:szCs w:val="30"/>
          <w:rtl/>
        </w:rPr>
        <w:t xml:space="preserve"> الطرح لأي </w:t>
      </w:r>
      <w:r>
        <w:rPr>
          <w:rFonts w:ascii="Traditional Arabic" w:hAnsi="Traditional Arabic" w:cs="Traditional Arabic" w:hint="cs"/>
          <w:sz w:val="30"/>
          <w:szCs w:val="30"/>
          <w:rtl/>
        </w:rPr>
        <w:t>من المستثمرين الرئيسيين</w:t>
      </w:r>
      <w:r>
        <w:rPr>
          <w:rFonts w:ascii="Traditional Arabic" w:hAnsi="Traditional Arabic" w:cs="Traditional Arabic"/>
          <w:sz w:val="30"/>
          <w:szCs w:val="30"/>
        </w:rPr>
        <w:t>.</w:t>
      </w:r>
      <w:r>
        <w:rPr>
          <w:rFonts w:ascii="Traditional Arabic" w:hAnsi="Traditional Arabic" w:cs="Traditional Arabic" w:hint="cs"/>
          <w:sz w:val="30"/>
          <w:szCs w:val="30"/>
          <w:rtl/>
        </w:rPr>
        <w:t>كما أنه يمكن أن يتم تخصيص أكثر من ١٠٪ من حجم الطرح ل</w:t>
      </w:r>
      <w:r w:rsidRPr="00785453">
        <w:rPr>
          <w:rFonts w:ascii="Traditional Arabic" w:hAnsi="Traditional Arabic" w:cs="Traditional Arabic"/>
          <w:sz w:val="30"/>
          <w:szCs w:val="30"/>
          <w:rtl/>
        </w:rPr>
        <w:t>مقدم</w:t>
      </w:r>
      <w:r>
        <w:rPr>
          <w:rFonts w:ascii="Traditional Arabic" w:hAnsi="Traditional Arabic" w:cs="Traditional Arabic" w:hint="cs"/>
          <w:sz w:val="30"/>
          <w:szCs w:val="30"/>
          <w:rtl/>
        </w:rPr>
        <w:t>ي</w:t>
      </w:r>
      <w:r w:rsidRPr="00785453">
        <w:rPr>
          <w:rFonts w:ascii="Traditional Arabic" w:hAnsi="Traditional Arabic" w:cs="Traditional Arabic"/>
          <w:sz w:val="30"/>
          <w:szCs w:val="30"/>
          <w:rtl/>
        </w:rPr>
        <w:t xml:space="preserve"> </w:t>
      </w:r>
      <w:r>
        <w:rPr>
          <w:rFonts w:ascii="Traditional Arabic" w:hAnsi="Traditional Arabic" w:cs="Traditional Arabic" w:hint="cs"/>
          <w:sz w:val="30"/>
          <w:szCs w:val="30"/>
          <w:rtl/>
        </w:rPr>
        <w:t>ال</w:t>
      </w:r>
      <w:r w:rsidRPr="00785453">
        <w:rPr>
          <w:rFonts w:ascii="Traditional Arabic" w:hAnsi="Traditional Arabic" w:cs="Traditional Arabic"/>
          <w:sz w:val="30"/>
          <w:szCs w:val="30"/>
          <w:rtl/>
        </w:rPr>
        <w:t>طلب</w:t>
      </w:r>
      <w:r>
        <w:rPr>
          <w:rFonts w:ascii="Traditional Arabic" w:hAnsi="Traditional Arabic" w:cs="Traditional Arabic" w:hint="cs"/>
          <w:sz w:val="30"/>
          <w:szCs w:val="30"/>
          <w:rtl/>
        </w:rPr>
        <w:t>ات من الفئة الأولى.</w:t>
      </w:r>
      <w:r w:rsidRPr="00785453">
        <w:rPr>
          <w:rFonts w:ascii="Traditional Arabic" w:hAnsi="Traditional Arabic" w:cs="Traditional Arabic"/>
          <w:sz w:val="30"/>
          <w:szCs w:val="30"/>
          <w:rtl/>
        </w:rPr>
        <w:t xml:space="preserve"> </w:t>
      </w:r>
    </w:p>
    <w:p w14:paraId="006098DC" w14:textId="77777777" w:rsidR="00C53B7B" w:rsidRPr="00785453" w:rsidRDefault="00C53B7B" w:rsidP="00C53B7B">
      <w:pPr>
        <w:bidi/>
        <w:jc w:val="both"/>
        <w:rPr>
          <w:rFonts w:ascii="Traditional Arabic" w:hAnsi="Traditional Arabic" w:cs="Traditional Arabic"/>
          <w:sz w:val="30"/>
          <w:szCs w:val="30"/>
          <w:rtl/>
        </w:rPr>
      </w:pPr>
    </w:p>
    <w:p w14:paraId="14D4D5FD"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b/>
          <w:bCs/>
          <w:sz w:val="30"/>
          <w:szCs w:val="30"/>
          <w:rtl/>
        </w:rPr>
        <w:t>أهلية الاكتتاب في أسهم الطرح للفئة الثانية</w:t>
      </w:r>
    </w:p>
    <w:p w14:paraId="442208E1" w14:textId="77777777" w:rsidR="00C53B7B" w:rsidRPr="00785453" w:rsidRDefault="00C53B7B" w:rsidP="00C53B7B">
      <w:pPr>
        <w:bidi/>
        <w:jc w:val="both"/>
        <w:rPr>
          <w:rFonts w:ascii="Traditional Arabic" w:hAnsi="Traditional Arabic" w:cs="Traditional Arabic"/>
          <w:sz w:val="30"/>
          <w:szCs w:val="30"/>
          <w:lang w:val="en-GB"/>
        </w:rPr>
      </w:pPr>
      <w:r w:rsidRPr="00785453">
        <w:rPr>
          <w:rFonts w:ascii="Traditional Arabic" w:hAnsi="Traditional Arabic" w:cs="Traditional Arabic"/>
          <w:sz w:val="30"/>
          <w:szCs w:val="30"/>
          <w:rtl/>
        </w:rPr>
        <w:t xml:space="preserve">سوف يفتح الاكتتاب في أسهم الفئة الثانية في سلطنة عُمان </w:t>
      </w:r>
      <w:r w:rsidR="00B6147F">
        <w:rPr>
          <w:rFonts w:ascii="Traditional Arabic" w:hAnsi="Traditional Arabic" w:cs="Traditional Arabic" w:hint="cs"/>
          <w:sz w:val="30"/>
          <w:szCs w:val="30"/>
          <w:rtl/>
        </w:rPr>
        <w:t>للمستثمرين الأفراد</w:t>
      </w:r>
      <w:r w:rsidRPr="00785453">
        <w:rPr>
          <w:rFonts w:ascii="Traditional Arabic" w:hAnsi="Traditional Arabic" w:cs="Traditional Arabic"/>
          <w:sz w:val="30"/>
          <w:szCs w:val="30"/>
          <w:rtl/>
        </w:rPr>
        <w:t xml:space="preserve"> الذين لديهم حسابات مع شركة مسقط للمقاصة والإيداع.</w:t>
      </w:r>
    </w:p>
    <w:p w14:paraId="68BB69E5" w14:textId="77777777" w:rsidR="00C53B7B" w:rsidRPr="00785453" w:rsidRDefault="00C53B7B" w:rsidP="00C53B7B">
      <w:pPr>
        <w:bidi/>
        <w:rPr>
          <w:rFonts w:ascii="Traditional Arabic" w:hAnsi="Traditional Arabic" w:cs="Traditional Arabic"/>
          <w:sz w:val="30"/>
          <w:szCs w:val="30"/>
          <w:rtl/>
        </w:rPr>
      </w:pPr>
    </w:p>
    <w:p w14:paraId="78DA7784" w14:textId="77777777" w:rsidR="00C53B7B" w:rsidRPr="00785453" w:rsidRDefault="00C53B7B" w:rsidP="002C7362">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يجب على مقدمي الطلبات </w:t>
      </w:r>
      <w:r w:rsidRPr="00785453">
        <w:rPr>
          <w:rFonts w:ascii="Traditional Arabic" w:hAnsi="Traditional Arabic" w:cs="Traditional Arabic" w:hint="cs"/>
          <w:sz w:val="30"/>
          <w:szCs w:val="30"/>
          <w:rtl/>
        </w:rPr>
        <w:t xml:space="preserve">الاخذ في الاعتبار </w:t>
      </w:r>
      <w:r w:rsidRPr="00785453">
        <w:rPr>
          <w:rFonts w:ascii="Traditional Arabic" w:hAnsi="Traditional Arabic" w:cs="Traditional Arabic"/>
          <w:sz w:val="30"/>
          <w:szCs w:val="30"/>
          <w:rtl/>
        </w:rPr>
        <w:t xml:space="preserve">الحد الأدنى للاكتتاب </w:t>
      </w:r>
      <w:r w:rsidRPr="00785453">
        <w:rPr>
          <w:rFonts w:ascii="Traditional Arabic" w:hAnsi="Traditional Arabic" w:cs="Traditional Arabic" w:hint="cs"/>
          <w:sz w:val="30"/>
          <w:szCs w:val="30"/>
          <w:rtl/>
        </w:rPr>
        <w:t xml:space="preserve">والحد </w:t>
      </w:r>
      <w:r w:rsidRPr="00785453">
        <w:rPr>
          <w:rFonts w:ascii="Traditional Arabic" w:hAnsi="Traditional Arabic" w:cs="Traditional Arabic"/>
          <w:sz w:val="30"/>
          <w:szCs w:val="30"/>
          <w:rtl/>
        </w:rPr>
        <w:t xml:space="preserve">الأقصى المطبق </w:t>
      </w:r>
      <w:r w:rsidRPr="00785453">
        <w:rPr>
          <w:rFonts w:ascii="Traditional Arabic" w:hAnsi="Traditional Arabic" w:cs="Traditional Arabic" w:hint="cs"/>
          <w:sz w:val="30"/>
          <w:szCs w:val="30"/>
          <w:rtl/>
        </w:rPr>
        <w:t xml:space="preserve">لكل فئة </w:t>
      </w:r>
      <w:r w:rsidRPr="00785453">
        <w:rPr>
          <w:rFonts w:ascii="Traditional Arabic" w:hAnsi="Traditional Arabic" w:cs="Traditional Arabic"/>
          <w:sz w:val="30"/>
          <w:szCs w:val="30"/>
          <w:rtl/>
        </w:rPr>
        <w:t>عند تقديم طلب</w:t>
      </w:r>
      <w:r w:rsidRPr="00785453">
        <w:rPr>
          <w:rFonts w:ascii="Traditional Arabic" w:hAnsi="Traditional Arabic" w:cs="Traditional Arabic" w:hint="cs"/>
          <w:sz w:val="30"/>
          <w:szCs w:val="30"/>
          <w:rtl/>
        </w:rPr>
        <w:t xml:space="preserve"> الاكتتاب</w:t>
      </w:r>
      <w:r w:rsidRPr="00785453">
        <w:rPr>
          <w:rFonts w:ascii="Traditional Arabic" w:hAnsi="Traditional Arabic" w:cs="Traditional Arabic"/>
          <w:sz w:val="30"/>
          <w:szCs w:val="30"/>
          <w:rtl/>
        </w:rPr>
        <w:t xml:space="preserve">. </w:t>
      </w:r>
      <w:r w:rsidR="0060477A">
        <w:rPr>
          <w:rFonts w:ascii="Traditional Arabic" w:hAnsi="Traditional Arabic" w:cs="Traditional Arabic" w:hint="cs"/>
          <w:sz w:val="30"/>
          <w:szCs w:val="30"/>
          <w:rtl/>
        </w:rPr>
        <w:t xml:space="preserve">لن </w:t>
      </w:r>
      <w:r w:rsidR="00C905A9">
        <w:rPr>
          <w:rFonts w:ascii="Traditional Arabic" w:hAnsi="Traditional Arabic" w:cs="Traditional Arabic" w:hint="cs"/>
          <w:sz w:val="30"/>
          <w:szCs w:val="30"/>
          <w:rtl/>
        </w:rPr>
        <w:t xml:space="preserve">يتم تخصيص </w:t>
      </w:r>
      <w:r w:rsidR="00284726">
        <w:rPr>
          <w:rFonts w:ascii="Traditional Arabic" w:hAnsi="Traditional Arabic" w:cs="Traditional Arabic" w:hint="cs"/>
          <w:sz w:val="30"/>
          <w:szCs w:val="30"/>
          <w:rtl/>
        </w:rPr>
        <w:t xml:space="preserve">أكثر من </w:t>
      </w:r>
      <w:r w:rsidR="00C905A9">
        <w:rPr>
          <w:rFonts w:ascii="Traditional Arabic" w:hAnsi="Traditional Arabic" w:cs="Traditional Arabic" w:hint="cs"/>
          <w:sz w:val="30"/>
          <w:szCs w:val="30"/>
          <w:rtl/>
        </w:rPr>
        <w:t>١٠</w:t>
      </w:r>
      <w:r w:rsidR="00284726">
        <w:rPr>
          <w:rFonts w:ascii="Traditional Arabic" w:hAnsi="Traditional Arabic" w:cs="Traditional Arabic" w:hint="cs"/>
          <w:sz w:val="30"/>
          <w:szCs w:val="30"/>
          <w:rtl/>
        </w:rPr>
        <w:t>٪</w:t>
      </w:r>
      <w:r w:rsidR="0044595A">
        <w:rPr>
          <w:rFonts w:ascii="Traditional Arabic" w:hAnsi="Traditional Arabic" w:cs="Traditional Arabic" w:hint="cs"/>
          <w:sz w:val="30"/>
          <w:szCs w:val="30"/>
          <w:rtl/>
        </w:rPr>
        <w:t xml:space="preserve"> من حجم الطرح </w:t>
      </w:r>
      <w:r w:rsidR="002C7362">
        <w:rPr>
          <w:rFonts w:ascii="Traditional Arabic" w:hAnsi="Traditional Arabic" w:cs="Traditional Arabic" w:hint="cs"/>
          <w:sz w:val="30"/>
          <w:szCs w:val="30"/>
          <w:rtl/>
        </w:rPr>
        <w:t>ل</w:t>
      </w:r>
      <w:r w:rsidRPr="00785453">
        <w:rPr>
          <w:rFonts w:ascii="Traditional Arabic" w:hAnsi="Traditional Arabic" w:cs="Traditional Arabic"/>
          <w:sz w:val="30"/>
          <w:szCs w:val="30"/>
          <w:rtl/>
        </w:rPr>
        <w:t>مقدم</w:t>
      </w:r>
      <w:r w:rsidR="0044595A">
        <w:rPr>
          <w:rFonts w:ascii="Traditional Arabic" w:hAnsi="Traditional Arabic" w:cs="Traditional Arabic" w:hint="cs"/>
          <w:sz w:val="30"/>
          <w:szCs w:val="30"/>
          <w:rtl/>
        </w:rPr>
        <w:t>ي</w:t>
      </w:r>
      <w:r w:rsidRPr="00785453">
        <w:rPr>
          <w:rFonts w:ascii="Traditional Arabic" w:hAnsi="Traditional Arabic" w:cs="Traditional Arabic"/>
          <w:sz w:val="30"/>
          <w:szCs w:val="30"/>
          <w:rtl/>
        </w:rPr>
        <w:t xml:space="preserve"> </w:t>
      </w:r>
      <w:r w:rsidR="0044595A">
        <w:rPr>
          <w:rFonts w:ascii="Traditional Arabic" w:hAnsi="Traditional Arabic" w:cs="Traditional Arabic" w:hint="cs"/>
          <w:sz w:val="30"/>
          <w:szCs w:val="30"/>
          <w:rtl/>
        </w:rPr>
        <w:t>ال</w:t>
      </w:r>
      <w:r w:rsidRPr="00785453">
        <w:rPr>
          <w:rFonts w:ascii="Traditional Arabic" w:hAnsi="Traditional Arabic" w:cs="Traditional Arabic"/>
          <w:sz w:val="30"/>
          <w:szCs w:val="30"/>
          <w:rtl/>
        </w:rPr>
        <w:t>طلب</w:t>
      </w:r>
      <w:r w:rsidR="002C7362">
        <w:rPr>
          <w:rFonts w:ascii="Traditional Arabic" w:hAnsi="Traditional Arabic" w:cs="Traditional Arabic" w:hint="cs"/>
          <w:sz w:val="30"/>
          <w:szCs w:val="30"/>
          <w:rtl/>
        </w:rPr>
        <w:t>ات</w:t>
      </w:r>
      <w:r w:rsidR="0044595A">
        <w:rPr>
          <w:rFonts w:ascii="Traditional Arabic" w:hAnsi="Traditional Arabic" w:cs="Traditional Arabic" w:hint="cs"/>
          <w:sz w:val="30"/>
          <w:szCs w:val="30"/>
          <w:rtl/>
        </w:rPr>
        <w:t xml:space="preserve"> من الفئة </w:t>
      </w:r>
      <w:r w:rsidR="002C7362">
        <w:rPr>
          <w:rFonts w:ascii="Traditional Arabic" w:hAnsi="Traditional Arabic" w:cs="Traditional Arabic" w:hint="cs"/>
          <w:sz w:val="30"/>
          <w:szCs w:val="30"/>
          <w:rtl/>
        </w:rPr>
        <w:t>الثانية.</w:t>
      </w:r>
      <w:r w:rsidRPr="00785453">
        <w:rPr>
          <w:rFonts w:ascii="Traditional Arabic" w:hAnsi="Traditional Arabic" w:cs="Traditional Arabic"/>
          <w:sz w:val="30"/>
          <w:szCs w:val="30"/>
          <w:rtl/>
        </w:rPr>
        <w:t xml:space="preserve"> </w:t>
      </w:r>
    </w:p>
    <w:p w14:paraId="7027F06C" w14:textId="77777777" w:rsidR="00C53B7B" w:rsidRPr="00785453" w:rsidRDefault="00C53B7B" w:rsidP="00C53B7B">
      <w:pPr>
        <w:bidi/>
        <w:rPr>
          <w:rFonts w:ascii="Traditional Arabic" w:hAnsi="Traditional Arabic" w:cs="Traditional Arabic"/>
          <w:sz w:val="30"/>
          <w:szCs w:val="30"/>
          <w:rtl/>
        </w:rPr>
      </w:pPr>
    </w:p>
    <w:p w14:paraId="473F479C" w14:textId="77777777" w:rsidR="00C53B7B" w:rsidRPr="00785453" w:rsidRDefault="00C53B7B" w:rsidP="00C53B7B">
      <w:pPr>
        <w:bidi/>
        <w:rPr>
          <w:rFonts w:ascii="Traditional Arabic" w:hAnsi="Traditional Arabic" w:cs="Traditional Arabic"/>
          <w:b/>
          <w:bCs/>
          <w:sz w:val="30"/>
          <w:szCs w:val="30"/>
        </w:rPr>
      </w:pPr>
      <w:r w:rsidRPr="00785453">
        <w:rPr>
          <w:rFonts w:ascii="Traditional Arabic" w:hAnsi="Traditional Arabic" w:cs="Traditional Arabic"/>
          <w:b/>
          <w:bCs/>
          <w:sz w:val="30"/>
          <w:szCs w:val="30"/>
          <w:rtl/>
        </w:rPr>
        <w:t>طلبات الاكتتاب المحظورة</w:t>
      </w:r>
    </w:p>
    <w:p w14:paraId="61AB068F"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لا يُسمح للمستثمرين المذكورين أدناه بالاكتتاب في أسهم الطرح:</w:t>
      </w:r>
    </w:p>
    <w:p w14:paraId="79278273" w14:textId="77777777" w:rsidR="00C53B7B" w:rsidRPr="00785453" w:rsidRDefault="00C53B7B" w:rsidP="00C53B7B">
      <w:pPr>
        <w:bidi/>
        <w:rPr>
          <w:rFonts w:ascii="Traditional Arabic" w:hAnsi="Traditional Arabic" w:cs="Traditional Arabic"/>
          <w:sz w:val="30"/>
          <w:szCs w:val="30"/>
        </w:rPr>
      </w:pPr>
    </w:p>
    <w:p w14:paraId="7BC46232" w14:textId="77777777" w:rsidR="00C53B7B" w:rsidRPr="00785453" w:rsidRDefault="00C53B7B" w:rsidP="00922116">
      <w:pPr>
        <w:pStyle w:val="ListParagraph"/>
        <w:numPr>
          <w:ilvl w:val="0"/>
          <w:numId w:val="34"/>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المؤسسات الفردية: يتعين على صاحب المؤسسة الفردية الاكتتاب باسمه فقط</w:t>
      </w:r>
      <w:r w:rsidRPr="00785453">
        <w:rPr>
          <w:rFonts w:ascii="Traditional Arabic" w:hAnsi="Traditional Arabic" w:cs="Traditional Arabic"/>
          <w:sz w:val="30"/>
          <w:szCs w:val="30"/>
        </w:rPr>
        <w:t>.</w:t>
      </w:r>
    </w:p>
    <w:p w14:paraId="37F81213" w14:textId="77777777" w:rsidR="00C53B7B" w:rsidRPr="00785453" w:rsidRDefault="00C53B7B" w:rsidP="00922116">
      <w:pPr>
        <w:pStyle w:val="ListParagraph"/>
        <w:numPr>
          <w:ilvl w:val="0"/>
          <w:numId w:val="34"/>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حسابات العهدة: يتعين على المستثمرين المقيدين تحت حسابات العهدة الاكتتاب في الأسهم المطروحة بأسمائهم الشخصية (باستثناء التفصيل الوارد أدناه).</w:t>
      </w:r>
    </w:p>
    <w:p w14:paraId="42DA2AC2" w14:textId="77777777" w:rsidR="00C53B7B" w:rsidRPr="00785453" w:rsidRDefault="00C53B7B" w:rsidP="00922116">
      <w:pPr>
        <w:pStyle w:val="ListParagraph"/>
        <w:numPr>
          <w:ilvl w:val="0"/>
          <w:numId w:val="34"/>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طلبات الاكتتاب المتكررة: يحظر على أي شخص التقدم بأكثر من طلب اكتتاب واحد باسمه</w:t>
      </w:r>
      <w:r w:rsidRPr="00785453">
        <w:rPr>
          <w:rFonts w:ascii="Traditional Arabic" w:hAnsi="Traditional Arabic" w:cs="Traditional Arabic"/>
          <w:sz w:val="30"/>
          <w:szCs w:val="30"/>
        </w:rPr>
        <w:t>.</w:t>
      </w:r>
    </w:p>
    <w:p w14:paraId="46A735BC" w14:textId="77777777" w:rsidR="00C53B7B" w:rsidRPr="00785453" w:rsidRDefault="00C53B7B" w:rsidP="00922116">
      <w:pPr>
        <w:pStyle w:val="ListParagraph"/>
        <w:numPr>
          <w:ilvl w:val="0"/>
          <w:numId w:val="34"/>
        </w:numPr>
        <w:bidi/>
        <w:rPr>
          <w:rFonts w:ascii="Traditional Arabic" w:hAnsi="Traditional Arabic" w:cs="Traditional Arabic"/>
          <w:sz w:val="30"/>
          <w:szCs w:val="30"/>
        </w:rPr>
      </w:pPr>
      <w:r w:rsidRPr="00785453">
        <w:rPr>
          <w:rFonts w:ascii="Traditional Arabic" w:hAnsi="Traditional Arabic" w:cs="Traditional Arabic"/>
          <w:sz w:val="30"/>
          <w:szCs w:val="30"/>
          <w:rtl/>
        </w:rPr>
        <w:t>طلبات الاكتتاب المشتركة: لا يجوز للمستثمرين تقديم طلب اكتتاب في الأسهم المطروحة بأكثر من اسم واحد بما في ذلك الطلبات المقدمة باسم الورثة</w:t>
      </w:r>
      <w:r w:rsidRPr="00785453">
        <w:rPr>
          <w:rFonts w:ascii="Traditional Arabic" w:hAnsi="Traditional Arabic" w:cs="Traditional Arabic"/>
          <w:sz w:val="30"/>
          <w:szCs w:val="30"/>
        </w:rPr>
        <w:t>.</w:t>
      </w:r>
    </w:p>
    <w:p w14:paraId="17C53E4C" w14:textId="77777777" w:rsidR="00C53B7B" w:rsidRPr="00785453" w:rsidRDefault="000861C6" w:rsidP="00922116">
      <w:pPr>
        <w:pStyle w:val="ListParagraph"/>
        <w:numPr>
          <w:ilvl w:val="0"/>
          <w:numId w:val="34"/>
        </w:numPr>
        <w:bidi/>
        <w:rPr>
          <w:rFonts w:ascii="Traditional Arabic" w:hAnsi="Traditional Arabic" w:cs="Traditional Arabic"/>
          <w:sz w:val="30"/>
          <w:szCs w:val="30"/>
        </w:rPr>
      </w:pPr>
      <w:r>
        <w:rPr>
          <w:rFonts w:ascii="Traditional Arabic" w:hAnsi="Traditional Arabic" w:cs="Traditional Arabic"/>
          <w:sz w:val="30"/>
          <w:szCs w:val="30"/>
          <w:rtl/>
        </w:rPr>
        <w:t>المساهم البائع</w:t>
      </w:r>
      <w:r w:rsidR="00C53B7B" w:rsidRPr="00785453">
        <w:rPr>
          <w:rFonts w:ascii="Traditional Arabic" w:hAnsi="Traditional Arabic" w:cs="Traditional Arabic"/>
          <w:sz w:val="30"/>
          <w:szCs w:val="30"/>
          <w:rtl/>
        </w:rPr>
        <w:t>: لا يجوز للمساهم البائع تقديم أي طلب لهذا الاكتتاب.</w:t>
      </w:r>
    </w:p>
    <w:p w14:paraId="04F3AAA7" w14:textId="77777777" w:rsidR="00C53B7B" w:rsidRPr="00785453" w:rsidRDefault="00C53B7B" w:rsidP="00922116">
      <w:pPr>
        <w:pStyle w:val="ListParagraph"/>
        <w:numPr>
          <w:ilvl w:val="0"/>
          <w:numId w:val="34"/>
        </w:num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الأطراف ذات العلاقة: لا يجوز للأطراف ذات صله بالشركة المشاركة في مرحلة البناء الدفتري إلا إذا كانت هذه العلاقة ناتجه عن ملكية مشتركة أو سيطرة تمارسها أي من الأجهزة الإدارية للدولة،</w:t>
      </w:r>
      <w:r w:rsidRPr="00785453">
        <w:rPr>
          <w:rFonts w:ascii="Traditional Arabic" w:eastAsiaTheme="minorHAnsi" w:hAnsi="Traditional Arabic" w:cs="Traditional Arabic"/>
          <w:sz w:val="28"/>
          <w:szCs w:val="28"/>
          <w:rtl/>
          <w:lang w:val="en-GB"/>
          <w14:ligatures w14:val="standardContextual"/>
        </w:rPr>
        <w:t xml:space="preserve"> </w:t>
      </w:r>
      <w:r w:rsidRPr="00785453">
        <w:rPr>
          <w:rFonts w:ascii="Traditional Arabic" w:hAnsi="Traditional Arabic" w:cs="Traditional Arabic"/>
          <w:sz w:val="30"/>
          <w:szCs w:val="30"/>
          <w:rtl/>
        </w:rPr>
        <w:t>شريطة أن يكون نشاطها الرئيسي هو الاستثمار.</w:t>
      </w:r>
    </w:p>
    <w:p w14:paraId="12E66F42" w14:textId="77777777" w:rsidR="00C53B7B" w:rsidRPr="00785453" w:rsidRDefault="00C53B7B" w:rsidP="00C53B7B">
      <w:pPr>
        <w:pStyle w:val="ListParagraph"/>
        <w:bidi/>
        <w:jc w:val="both"/>
        <w:rPr>
          <w:rFonts w:ascii="Traditional Arabic" w:hAnsi="Traditional Arabic" w:cs="Traditional Arabic"/>
          <w:sz w:val="30"/>
          <w:szCs w:val="30"/>
          <w:rtl/>
        </w:rPr>
      </w:pPr>
    </w:p>
    <w:p w14:paraId="2D46FF5C"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lastRenderedPageBreak/>
        <w:t xml:space="preserve">سيتم رفض جميع الطلبات المقدمة من قبل الأشخاص المحظورين المذكورين أعلاه دون الاتصال بمقدم الطلب، ويُستثنى من ذلك طلبات حسابات العهدة حسب </w:t>
      </w:r>
      <w:r w:rsidR="00572B02">
        <w:rPr>
          <w:rFonts w:ascii="Traditional Arabic" w:hAnsi="Traditional Arabic" w:cs="Traditional Arabic" w:hint="cs"/>
          <w:sz w:val="30"/>
          <w:szCs w:val="30"/>
          <w:rtl/>
        </w:rPr>
        <w:t>مدير سجل الاكتتاب</w:t>
      </w:r>
      <w:r w:rsidR="006C0653">
        <w:rPr>
          <w:rFonts w:ascii="Traditional Arabic" w:hAnsi="Traditional Arabic" w:cs="Traditional Arabic" w:hint="cs"/>
          <w:sz w:val="30"/>
          <w:szCs w:val="30"/>
          <w:rtl/>
        </w:rPr>
        <w:t xml:space="preserve"> المشترك</w:t>
      </w:r>
      <w:r w:rsidRPr="00785453">
        <w:rPr>
          <w:rFonts w:ascii="Traditional Arabic" w:hAnsi="Traditional Arabic" w:cs="Traditional Arabic"/>
          <w:sz w:val="30"/>
          <w:szCs w:val="30"/>
          <w:rtl/>
        </w:rPr>
        <w:t xml:space="preserve"> أو</w:t>
      </w:r>
      <w:r w:rsidR="00C13237">
        <w:rPr>
          <w:rFonts w:ascii="Traditional Arabic" w:hAnsi="Traditional Arabic" w:cs="Traditional Arabic" w:hint="cs"/>
          <w:sz w:val="30"/>
          <w:szCs w:val="30"/>
          <w:rtl/>
        </w:rPr>
        <w:t xml:space="preserve"> مدير الإصدار أو</w:t>
      </w:r>
      <w:r w:rsidRPr="00785453">
        <w:rPr>
          <w:rFonts w:ascii="Traditional Arabic" w:hAnsi="Traditional Arabic" w:cs="Traditional Arabic"/>
          <w:sz w:val="30"/>
          <w:szCs w:val="30"/>
          <w:rtl/>
        </w:rPr>
        <w:t xml:space="preserve"> وكيل التحصيل (بحسب الأحوال) وذلك بعد تأكدهم من عدم قيام أصحاب هذه الحسابات بتقديم طلبات أخرى بأسمائهم أو مؤسساتهم الشخصية، على أنه يجوز </w:t>
      </w:r>
      <w:r w:rsidR="00572B02">
        <w:rPr>
          <w:rFonts w:ascii="Traditional Arabic" w:hAnsi="Traditional Arabic" w:cs="Traditional Arabic" w:hint="cs"/>
          <w:sz w:val="30"/>
          <w:szCs w:val="30"/>
          <w:rtl/>
        </w:rPr>
        <w:t>لمدير سجل الاكتتاب</w:t>
      </w:r>
      <w:r w:rsidR="006C0653">
        <w:rPr>
          <w:rFonts w:ascii="Traditional Arabic" w:hAnsi="Traditional Arabic" w:cs="Traditional Arabic" w:hint="cs"/>
          <w:sz w:val="30"/>
          <w:szCs w:val="30"/>
          <w:rtl/>
        </w:rPr>
        <w:t xml:space="preserve"> المشترك</w:t>
      </w:r>
      <w:r w:rsidR="00FD1A48">
        <w:rPr>
          <w:rFonts w:ascii="Traditional Arabic" w:hAnsi="Traditional Arabic" w:cs="Traditional Arabic" w:hint="cs"/>
          <w:sz w:val="30"/>
          <w:szCs w:val="30"/>
          <w:rtl/>
        </w:rPr>
        <w:t xml:space="preserve"> أو مدير الإصدار</w:t>
      </w:r>
      <w:r w:rsidRPr="00785453">
        <w:rPr>
          <w:rFonts w:ascii="Traditional Arabic" w:hAnsi="Traditional Arabic" w:cs="Traditional Arabic"/>
          <w:sz w:val="30"/>
          <w:szCs w:val="30"/>
          <w:rtl/>
        </w:rPr>
        <w:t xml:space="preserve"> أو وكيل التحصيل (بحسب الأحوال) رفض ذلك الطلب إذا علم بوجود طلبات متكررة من المستثمرين المتقدمين بطلبات اكتتاب تحت حسابات العهدة.</w:t>
      </w:r>
    </w:p>
    <w:p w14:paraId="17BF31BC" w14:textId="77777777" w:rsidR="00C53B7B" w:rsidRPr="00785453" w:rsidRDefault="00C53B7B" w:rsidP="00C53B7B">
      <w:pPr>
        <w:bidi/>
        <w:rPr>
          <w:rFonts w:ascii="Traditional Arabic" w:hAnsi="Traditional Arabic" w:cs="Traditional Arabic"/>
          <w:sz w:val="30"/>
          <w:szCs w:val="30"/>
          <w:rtl/>
        </w:rPr>
      </w:pPr>
    </w:p>
    <w:p w14:paraId="1CE3AD73" w14:textId="2E5FFC3B"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من الضروري </w:t>
      </w:r>
      <w:r w:rsidR="00C40CCE">
        <w:rPr>
          <w:rFonts w:ascii="Traditional Arabic" w:hAnsi="Traditional Arabic" w:cs="Traditional Arabic" w:hint="cs"/>
          <w:sz w:val="30"/>
          <w:szCs w:val="30"/>
          <w:rtl/>
        </w:rPr>
        <w:t>ل</w:t>
      </w:r>
      <w:r w:rsidR="00572B02">
        <w:rPr>
          <w:rFonts w:ascii="Traditional Arabic" w:hAnsi="Traditional Arabic" w:cs="Traditional Arabic" w:hint="cs"/>
          <w:sz w:val="30"/>
          <w:szCs w:val="30"/>
          <w:rtl/>
        </w:rPr>
        <w:t>مدير سجل الاكتتاب</w:t>
      </w:r>
      <w:r w:rsidR="006C0653">
        <w:rPr>
          <w:rFonts w:ascii="Traditional Arabic" w:hAnsi="Traditional Arabic" w:cs="Traditional Arabic" w:hint="cs"/>
          <w:sz w:val="30"/>
          <w:szCs w:val="30"/>
          <w:rtl/>
        </w:rPr>
        <w:t xml:space="preserve"> المشترك</w:t>
      </w:r>
      <w:r w:rsidRPr="00785453">
        <w:rPr>
          <w:rFonts w:ascii="Traditional Arabic" w:hAnsi="Traditional Arabic" w:cs="Traditional Arabic"/>
          <w:sz w:val="30"/>
          <w:szCs w:val="30"/>
          <w:rtl/>
        </w:rPr>
        <w:t xml:space="preserve"> أو </w:t>
      </w:r>
      <w:r w:rsidR="00FD1A48">
        <w:rPr>
          <w:rFonts w:ascii="Traditional Arabic" w:hAnsi="Traditional Arabic" w:cs="Traditional Arabic" w:hint="cs"/>
          <w:sz w:val="30"/>
          <w:szCs w:val="30"/>
          <w:rtl/>
        </w:rPr>
        <w:t>مدير الإصدار</w:t>
      </w:r>
      <w:r w:rsidR="00FD1A48" w:rsidRPr="00785453">
        <w:rPr>
          <w:rFonts w:ascii="Traditional Arabic" w:hAnsi="Traditional Arabic" w:cs="Traditional Arabic"/>
          <w:sz w:val="30"/>
          <w:szCs w:val="30"/>
          <w:rtl/>
        </w:rPr>
        <w:t xml:space="preserve"> </w:t>
      </w:r>
      <w:r w:rsidR="00FD1A48">
        <w:rPr>
          <w:rFonts w:ascii="Traditional Arabic" w:hAnsi="Traditional Arabic" w:cs="Traditional Arabic" w:hint="cs"/>
          <w:sz w:val="30"/>
          <w:szCs w:val="30"/>
          <w:rtl/>
        </w:rPr>
        <w:t xml:space="preserve">أو </w:t>
      </w:r>
      <w:r w:rsidR="00FD1A48" w:rsidRPr="00785453">
        <w:rPr>
          <w:rFonts w:ascii="Traditional Arabic" w:hAnsi="Traditional Arabic" w:cs="Traditional Arabic"/>
          <w:sz w:val="30"/>
          <w:szCs w:val="30"/>
          <w:rtl/>
        </w:rPr>
        <w:t xml:space="preserve">وكيل التحصيل </w:t>
      </w:r>
      <w:r w:rsidRPr="00785453">
        <w:rPr>
          <w:rFonts w:ascii="Traditional Arabic" w:hAnsi="Traditional Arabic" w:cs="Traditional Arabic"/>
          <w:sz w:val="30"/>
          <w:szCs w:val="30"/>
          <w:rtl/>
        </w:rPr>
        <w:t xml:space="preserve">(بحسب الأحوال) الذي يقبل الطلبات من قبل حسابات العهدة أن يحصل على تعهد موقع من قبل مقدم الطلب يوضح المزيد من التفاصيل عن المستثمرين / المستفيدين الأساسيين الذين تم تقديم الطلب نيابة عنهم، على أن يُبلّغ مقدم الطلب بوضوح أنه في حالة تعدد الطلبات من قبل حساب العهدة والمستثمر الأساسي في مؤسساتهم الشخصية، فإن جميع الطلبات ستكون عرضة للرفض حسب تقدير </w:t>
      </w:r>
      <w:r w:rsidR="006C0653">
        <w:rPr>
          <w:rFonts w:ascii="Traditional Arabic" w:hAnsi="Traditional Arabic" w:cs="Traditional Arabic" w:hint="cs"/>
          <w:sz w:val="30"/>
          <w:szCs w:val="30"/>
          <w:rtl/>
        </w:rPr>
        <w:t>المنسق العالمي المشترك</w:t>
      </w:r>
      <w:r w:rsidRPr="00785453">
        <w:rPr>
          <w:rFonts w:ascii="Traditional Arabic" w:hAnsi="Traditional Arabic" w:cs="Traditional Arabic"/>
          <w:sz w:val="30"/>
          <w:szCs w:val="30"/>
          <w:rtl/>
        </w:rPr>
        <w:t xml:space="preserve"> أو </w:t>
      </w:r>
      <w:r w:rsidR="00E07E09">
        <w:rPr>
          <w:rFonts w:ascii="Traditional Arabic" w:hAnsi="Traditional Arabic" w:cs="Traditional Arabic" w:hint="cs"/>
          <w:sz w:val="30"/>
          <w:szCs w:val="30"/>
          <w:rtl/>
        </w:rPr>
        <w:t>مدير الإصدار</w:t>
      </w:r>
      <w:r w:rsidR="00FD1A48" w:rsidRPr="00785453">
        <w:rPr>
          <w:rFonts w:ascii="Traditional Arabic" w:hAnsi="Traditional Arabic" w:cs="Traditional Arabic"/>
          <w:sz w:val="30"/>
          <w:szCs w:val="30"/>
          <w:rtl/>
        </w:rPr>
        <w:t xml:space="preserve"> </w:t>
      </w:r>
      <w:r w:rsidR="00FD1A48">
        <w:rPr>
          <w:rFonts w:ascii="Traditional Arabic" w:hAnsi="Traditional Arabic" w:cs="Traditional Arabic" w:hint="cs"/>
          <w:sz w:val="30"/>
          <w:szCs w:val="30"/>
          <w:rtl/>
        </w:rPr>
        <w:t xml:space="preserve">أو </w:t>
      </w:r>
      <w:r w:rsidRPr="00785453">
        <w:rPr>
          <w:rFonts w:ascii="Traditional Arabic" w:hAnsi="Traditional Arabic" w:cs="Traditional Arabic"/>
          <w:sz w:val="30"/>
          <w:szCs w:val="30"/>
          <w:rtl/>
        </w:rPr>
        <w:t>وكيل التحصيل (بحسب الأحوال).</w:t>
      </w:r>
    </w:p>
    <w:p w14:paraId="6581D870" w14:textId="77777777" w:rsidR="00C53B7B" w:rsidRPr="00785453" w:rsidRDefault="00C53B7B" w:rsidP="00C53B7B">
      <w:pPr>
        <w:bidi/>
        <w:rPr>
          <w:rFonts w:ascii="Traditional Arabic" w:hAnsi="Traditional Arabic" w:cs="Traditional Arabic"/>
          <w:sz w:val="30"/>
          <w:szCs w:val="30"/>
          <w:rtl/>
        </w:rPr>
      </w:pPr>
    </w:p>
    <w:p w14:paraId="41591B5A" w14:textId="77777777" w:rsidR="00C53B7B" w:rsidRPr="00785453" w:rsidRDefault="00C53B7B" w:rsidP="00C53B7B">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الاكتتاب في الأسهم المطروحة نيابة عن الأطفال القصر (بالنسبة لطرح الفئة الثانية)</w:t>
      </w:r>
    </w:p>
    <w:p w14:paraId="127B1D4C" w14:textId="77777777" w:rsidR="00C53B7B" w:rsidRPr="00785453" w:rsidRDefault="00C53B7B" w:rsidP="00C53B7B">
      <w:pPr>
        <w:bidi/>
        <w:rPr>
          <w:rFonts w:ascii="Traditional Arabic" w:hAnsi="Traditional Arabic" w:cs="Traditional Arabic"/>
          <w:sz w:val="30"/>
          <w:szCs w:val="30"/>
          <w:rtl/>
        </w:rPr>
      </w:pPr>
      <w:r w:rsidRPr="00785453">
        <w:rPr>
          <w:rFonts w:ascii="Traditional Arabic" w:hAnsi="Traditional Arabic" w:cs="Traditional Arabic"/>
          <w:sz w:val="30"/>
          <w:szCs w:val="30"/>
          <w:rtl/>
        </w:rPr>
        <w:t>لأغراض هذا الاكتتاب، يعتبر قاصراً كل شخص تحت سن 18 عاماً عند تقديم الطلب في تاريخ إغلاق باب الاكتتاب</w:t>
      </w:r>
      <w:r w:rsidRPr="00785453">
        <w:rPr>
          <w:rFonts w:ascii="Traditional Arabic" w:hAnsi="Traditional Arabic" w:cs="Traditional Arabic"/>
          <w:sz w:val="30"/>
          <w:szCs w:val="30"/>
        </w:rPr>
        <w:t>.</w:t>
      </w:r>
    </w:p>
    <w:p w14:paraId="181F98AC" w14:textId="77777777" w:rsidR="00C53B7B" w:rsidRPr="00785453" w:rsidRDefault="00C53B7B" w:rsidP="00C53B7B">
      <w:pPr>
        <w:bidi/>
        <w:rPr>
          <w:rFonts w:ascii="Traditional Arabic" w:hAnsi="Traditional Arabic" w:cs="Traditional Arabic"/>
          <w:sz w:val="30"/>
          <w:szCs w:val="30"/>
          <w:rtl/>
        </w:rPr>
      </w:pPr>
      <w:r w:rsidRPr="00785453">
        <w:rPr>
          <w:rFonts w:ascii="Traditional Arabic" w:hAnsi="Traditional Arabic" w:cs="Traditional Arabic"/>
          <w:sz w:val="30"/>
          <w:szCs w:val="30"/>
          <w:rtl/>
        </w:rPr>
        <w:t>يجوز للأب فقط الاكتتاب نيابة عن أطفاله القاصرين.</w:t>
      </w:r>
    </w:p>
    <w:p w14:paraId="0F30AA78"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إذا تم الاكتتاب نيابة عن الطفل القاصر من قبل أي شخص آخر غير الأب، فإنه يجب عليه أن يرفق بالطلب وكالة شرعية سارية المفعول صادرة من الجهات المختصة تخول له حق التصرف في أموال الطفل القاصر بيعًا وشراءً واستثمارًا.</w:t>
      </w:r>
    </w:p>
    <w:p w14:paraId="590888F8" w14:textId="77777777" w:rsidR="00C53B7B" w:rsidRPr="00785453" w:rsidRDefault="00C53B7B" w:rsidP="00C53B7B">
      <w:pPr>
        <w:bidi/>
        <w:rPr>
          <w:rFonts w:ascii="Traditional Arabic" w:hAnsi="Traditional Arabic" w:cs="Traditional Arabic"/>
          <w:sz w:val="30"/>
          <w:szCs w:val="30"/>
          <w:rtl/>
        </w:rPr>
      </w:pPr>
    </w:p>
    <w:p w14:paraId="377B87F5" w14:textId="77777777" w:rsidR="00C53B7B" w:rsidRPr="00785453" w:rsidRDefault="00C53B7B" w:rsidP="00C53B7B">
      <w:pPr>
        <w:bidi/>
        <w:rPr>
          <w:rFonts w:ascii="Traditional Arabic" w:hAnsi="Traditional Arabic" w:cs="Traditional Arabic"/>
          <w:b/>
          <w:bCs/>
          <w:sz w:val="30"/>
          <w:szCs w:val="30"/>
        </w:rPr>
      </w:pPr>
      <w:r w:rsidRPr="00785453">
        <w:rPr>
          <w:rFonts w:ascii="Traditional Arabic" w:hAnsi="Traditional Arabic" w:cs="Traditional Arabic"/>
          <w:b/>
          <w:bCs/>
          <w:sz w:val="30"/>
          <w:szCs w:val="30"/>
          <w:rtl/>
        </w:rPr>
        <w:t>رقم المستثمر لدى شركة مسقط للمقاصة والإيداع</w:t>
      </w:r>
    </w:p>
    <w:p w14:paraId="191B9122"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يتعين على كل شخص يرغب في الاكتتاب في الأسهم أن يكون له حساب أو رقم المستثمر لدى شركة مسقط للمقاصة والإيداع. ويجوز للمكتتب التقدم بطلب للحصول على رقم المستثمر وفتح الحساب من خلال تعبئة استمارة الطلب المعدة لهذا الغرض المتوفرة بمقر شركة مسقط للمقاصة والإيداع أو عبر موقعها الإلكتروني (</w:t>
      </w:r>
      <w:r w:rsidRPr="00785453">
        <w:rPr>
          <w:rFonts w:ascii="Traditional Arabic" w:hAnsi="Traditional Arabic" w:cs="Traditional Arabic"/>
          <w:sz w:val="30"/>
          <w:szCs w:val="30"/>
        </w:rPr>
        <w:t>www.mcd.gov.om</w:t>
      </w:r>
      <w:r w:rsidRPr="00785453">
        <w:rPr>
          <w:rFonts w:ascii="Traditional Arabic" w:hAnsi="Traditional Arabic" w:cs="Traditional Arabic"/>
          <w:sz w:val="30"/>
          <w:szCs w:val="30"/>
          <w:rtl/>
        </w:rPr>
        <w:t xml:space="preserve">) </w:t>
      </w:r>
      <w:r w:rsidR="00B912F6">
        <w:rPr>
          <w:rFonts w:ascii="Traditional Arabic" w:hAnsi="Traditional Arabic" w:cs="Traditional Arabic" w:hint="cs"/>
          <w:sz w:val="30"/>
          <w:szCs w:val="30"/>
          <w:rtl/>
        </w:rPr>
        <w:t>تطبيق أسهم عمان</w:t>
      </w:r>
      <w:r w:rsidR="00D703E1">
        <w:rPr>
          <w:rFonts w:ascii="Traditional Arabic" w:hAnsi="Traditional Arabic" w:cs="Traditional Arabic" w:hint="cs"/>
          <w:sz w:val="30"/>
          <w:szCs w:val="30"/>
          <w:rtl/>
        </w:rPr>
        <w:t xml:space="preserve"> </w:t>
      </w:r>
      <w:r w:rsidR="00D703E1" w:rsidRPr="00272B36">
        <w:rPr>
          <w:rFonts w:ascii="Traditional Arabic" w:hAnsi="Traditional Arabic" w:cs="Traditional Arabic"/>
          <w:sz w:val="30"/>
          <w:szCs w:val="30"/>
        </w:rPr>
        <w:t>Oman Stoc</w:t>
      </w:r>
      <w:r w:rsidR="00D703E1">
        <w:rPr>
          <w:rFonts w:ascii="Traditional Arabic" w:hAnsi="Traditional Arabic" w:cs="Traditional Arabic"/>
          <w:sz w:val="30"/>
          <w:szCs w:val="30"/>
        </w:rPr>
        <w:t>ks)</w:t>
      </w:r>
      <w:r w:rsidR="00D703E1">
        <w:rPr>
          <w:rFonts w:hint="cs"/>
          <w:rtl/>
        </w:rPr>
        <w:t>)</w:t>
      </w:r>
      <w:r w:rsidR="00B912F6">
        <w:rPr>
          <w:rFonts w:ascii="Traditional Arabic" w:hAnsi="Traditional Arabic" w:cs="Traditional Arabic" w:hint="cs"/>
          <w:sz w:val="30"/>
          <w:szCs w:val="30"/>
          <w:rtl/>
        </w:rPr>
        <w:t xml:space="preserve"> </w:t>
      </w:r>
      <w:r w:rsidRPr="00785453">
        <w:rPr>
          <w:rFonts w:ascii="Traditional Arabic" w:hAnsi="Traditional Arabic" w:cs="Traditional Arabic"/>
          <w:sz w:val="30"/>
          <w:szCs w:val="30"/>
          <w:rtl/>
        </w:rPr>
        <w:t>أو عن طريق شركات الوساطة المرخص لها من قبل هيئة الخدمات المالية. هذا، ويجوز لكل مكتتب تسليم استمارة الطلب بعد استيفاء جميع متطلباتها إلى أحد العناوين الآتية:</w:t>
      </w:r>
    </w:p>
    <w:p w14:paraId="519B71A2" w14:textId="77777777" w:rsidR="00C53B7B" w:rsidRPr="00785453" w:rsidRDefault="00C53B7B" w:rsidP="00C53B7B">
      <w:pPr>
        <w:bidi/>
        <w:rPr>
          <w:rFonts w:ascii="Traditional Arabic" w:hAnsi="Traditional Arabic" w:cs="Traditional Arabic"/>
          <w:sz w:val="30"/>
          <w:szCs w:val="30"/>
        </w:rPr>
      </w:pPr>
    </w:p>
    <w:p w14:paraId="53633B1A" w14:textId="77777777" w:rsidR="00C53B7B" w:rsidRPr="00785453" w:rsidRDefault="00C53B7B" w:rsidP="00922116">
      <w:pPr>
        <w:pStyle w:val="ListParagraph"/>
        <w:numPr>
          <w:ilvl w:val="0"/>
          <w:numId w:val="35"/>
        </w:num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المكتب الرئيسي لشركة مسقط للمقاصة والإيداع، ص ب 952، الرمز البريدي 112 روي، مسقط، سلطنة عمان</w:t>
      </w:r>
      <w:r w:rsidRPr="00785453">
        <w:rPr>
          <w:rFonts w:ascii="Traditional Arabic" w:hAnsi="Traditional Arabic" w:cs="Traditional Arabic"/>
          <w:sz w:val="30"/>
          <w:szCs w:val="30"/>
        </w:rPr>
        <w:t>.</w:t>
      </w:r>
    </w:p>
    <w:p w14:paraId="20DF39D3" w14:textId="77777777" w:rsidR="00C53B7B" w:rsidRPr="00785453" w:rsidRDefault="00C53B7B" w:rsidP="00922116">
      <w:pPr>
        <w:pStyle w:val="ListParagraph"/>
        <w:numPr>
          <w:ilvl w:val="0"/>
          <w:numId w:val="35"/>
        </w:num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مكاتب شركات الوساطة المرخص لها من قبل هيئة الخدمات المالية</w:t>
      </w:r>
      <w:r w:rsidRPr="00785453">
        <w:rPr>
          <w:rFonts w:ascii="Traditional Arabic" w:hAnsi="Traditional Arabic" w:cs="Traditional Arabic"/>
          <w:sz w:val="30"/>
          <w:szCs w:val="30"/>
        </w:rPr>
        <w:t>.</w:t>
      </w:r>
    </w:p>
    <w:p w14:paraId="2EBA2447" w14:textId="77777777" w:rsidR="00C53B7B" w:rsidRPr="00785453" w:rsidRDefault="00C53B7B" w:rsidP="00922116">
      <w:pPr>
        <w:pStyle w:val="ListParagraph"/>
        <w:numPr>
          <w:ilvl w:val="0"/>
          <w:numId w:val="35"/>
        </w:num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إرسال طلب إلى شركة مسقط للمقاصة والإيداع عبر الفاكس رقم 24817491 968+</w:t>
      </w:r>
    </w:p>
    <w:p w14:paraId="360E7C5A" w14:textId="77777777" w:rsidR="00C53B7B" w:rsidRPr="00785453" w:rsidRDefault="00C53B7B" w:rsidP="00922116">
      <w:pPr>
        <w:pStyle w:val="ListParagraph"/>
        <w:numPr>
          <w:ilvl w:val="0"/>
          <w:numId w:val="35"/>
        </w:num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lastRenderedPageBreak/>
        <w:t xml:space="preserve">فتح الحساب عبر موقع الشركة الإلكتروني  </w:t>
      </w:r>
      <w:r w:rsidRPr="00785453">
        <w:rPr>
          <w:rFonts w:ascii="Traditional Arabic" w:hAnsi="Traditional Arabic" w:cs="Traditional Arabic"/>
          <w:sz w:val="30"/>
          <w:szCs w:val="30"/>
        </w:rPr>
        <w:t xml:space="preserve"> www.mcd.gov.om</w:t>
      </w:r>
    </w:p>
    <w:p w14:paraId="64C56A40" w14:textId="77777777" w:rsidR="00C53B7B" w:rsidRPr="00785453" w:rsidRDefault="00C53B7B" w:rsidP="00C53B7B">
      <w:pPr>
        <w:bidi/>
        <w:jc w:val="both"/>
        <w:rPr>
          <w:rFonts w:ascii="Traditional Arabic" w:hAnsi="Traditional Arabic" w:cs="Traditional Arabic"/>
          <w:sz w:val="30"/>
          <w:szCs w:val="30"/>
        </w:rPr>
      </w:pPr>
    </w:p>
    <w:p w14:paraId="048A0620" w14:textId="77777777" w:rsidR="00C53B7B" w:rsidRPr="00785453" w:rsidRDefault="00C53B7B" w:rsidP="00C53B7B">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rtl/>
        </w:rPr>
        <w:t>يتعين على الجهات الاعتبارية الراغبة في فتح حساب لدى شركة مسقط للمقاصة والإيداع أو الحصول على رقم المستثمر تقديم نسخة من مستندات التسجيل حسب متطلبات شركة مسقط للمقاصة والإيداع، بالإضافة إلى نموذج الطلب المعد لهذا الغرض بعد استيفاء جميع بياناته.</w:t>
      </w:r>
      <w:r w:rsidRPr="00785453">
        <w:rPr>
          <w:rFonts w:ascii="Traditional Arabic" w:eastAsiaTheme="minorHAnsi" w:hAnsi="Traditional Arabic" w:cs="Traditional Arabic"/>
          <w:sz w:val="28"/>
          <w:szCs w:val="28"/>
          <w:rtl/>
          <w:lang w:val="en-GB"/>
          <w14:ligatures w14:val="standardContextual"/>
        </w:rPr>
        <w:t xml:space="preserve"> </w:t>
      </w:r>
      <w:r w:rsidRPr="00785453">
        <w:rPr>
          <w:rFonts w:ascii="Traditional Arabic" w:hAnsi="Traditional Arabic" w:cs="Traditional Arabic"/>
          <w:sz w:val="30"/>
          <w:szCs w:val="30"/>
          <w:rtl/>
        </w:rPr>
        <w:t>هذا، وقد يُطلب من الأجنبي (أفرادا ومؤسسات) المزيد من المتطلبات والإجراءات عند فتحه الحساب، حسب تحديد شركة مسقط للمقاصة والإيداع</w:t>
      </w:r>
      <w:r w:rsidRPr="00785453">
        <w:rPr>
          <w:rFonts w:ascii="Traditional Arabic" w:hAnsi="Traditional Arabic" w:cs="Traditional Arabic"/>
          <w:sz w:val="30"/>
          <w:szCs w:val="30"/>
          <w:rtl/>
          <w:lang w:bidi="ar-EG"/>
        </w:rPr>
        <w:t>.</w:t>
      </w:r>
    </w:p>
    <w:p w14:paraId="3E19AA2E" w14:textId="77777777" w:rsidR="00C53B7B" w:rsidRPr="00785453" w:rsidRDefault="00C53B7B" w:rsidP="00C53B7B">
      <w:pPr>
        <w:bidi/>
        <w:jc w:val="both"/>
        <w:rPr>
          <w:rFonts w:ascii="Traditional Arabic" w:hAnsi="Traditional Arabic" w:cs="Traditional Arabic"/>
          <w:sz w:val="30"/>
          <w:szCs w:val="30"/>
        </w:rPr>
      </w:pPr>
    </w:p>
    <w:p w14:paraId="79A27528"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يتعين على الأشخاص الذين لديهم مسبقاً حسابات لدى شركة مسقط للمقاصة والإيداع التأكد - قبل الاكتتاب - من كتابة بياناتهم بالكامل باستمارة الطلب، ويمكن لكل مستثمر تحديث بياناته من خلال المنافذ المشار إليها أعلاه.</w:t>
      </w:r>
    </w:p>
    <w:p w14:paraId="6875868D" w14:textId="77777777" w:rsidR="00C53B7B" w:rsidRPr="00785453" w:rsidRDefault="00C53B7B" w:rsidP="00C53B7B">
      <w:pPr>
        <w:bidi/>
        <w:jc w:val="both"/>
        <w:rPr>
          <w:rFonts w:ascii="Traditional Arabic" w:hAnsi="Traditional Arabic" w:cs="Traditional Arabic"/>
          <w:sz w:val="30"/>
          <w:szCs w:val="30"/>
        </w:rPr>
      </w:pPr>
    </w:p>
    <w:p w14:paraId="7FB7B559"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يتم إرسال جميع المراسلات للمكتتب بما في ذلك إخطارات التخصيص وما يُسترد من مبالغ ومدفوعات الأرباح لعناوينهم المسجلة لدى شركة مسقط للمقاصة والإيداع ولذلك يتعين على المكتتبين التأكد من صحة عناوينهم المسجلة لديها.</w:t>
      </w:r>
    </w:p>
    <w:p w14:paraId="45B50746" w14:textId="77777777" w:rsidR="00C53B7B" w:rsidRPr="00785453" w:rsidRDefault="00C53B7B" w:rsidP="00C53B7B">
      <w:pPr>
        <w:bidi/>
        <w:jc w:val="both"/>
        <w:rPr>
          <w:rFonts w:ascii="Traditional Arabic" w:hAnsi="Traditional Arabic" w:cs="Traditional Arabic"/>
          <w:sz w:val="30"/>
          <w:szCs w:val="30"/>
        </w:rPr>
      </w:pPr>
    </w:p>
    <w:p w14:paraId="4CE4F0A8"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يتعين على كل مستثمر الحصول على رقم مستثمر من شركة مسقط للمقاصة والإيداع؛ نظراً لأن رقم المستثمر مطلوب عند تعبئة الطلب. وتقع مسؤولية التحقق من صحة رقم المستثمر المدون في طلب الاكتتاب على المكتتب نفسه، وسيتم رفض طلبات الاكتتاب التي لا تحمل أرقام حسابات صحيحة، وذلك دون الرجوع للمكتتبين.</w:t>
      </w:r>
    </w:p>
    <w:p w14:paraId="05F129E9" w14:textId="77777777" w:rsidR="00C53B7B" w:rsidRPr="00785453" w:rsidRDefault="00C53B7B" w:rsidP="00C53B7B">
      <w:pPr>
        <w:bidi/>
        <w:jc w:val="both"/>
        <w:rPr>
          <w:rFonts w:ascii="Traditional Arabic" w:hAnsi="Traditional Arabic" w:cs="Traditional Arabic"/>
          <w:sz w:val="30"/>
          <w:szCs w:val="30"/>
        </w:rPr>
      </w:pPr>
    </w:p>
    <w:p w14:paraId="0FE1910F"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للاستفسار أو لمزيد من المعلومات عن هذه الإجراءات، يرجى الاتصال بالعنوان التالي:</w:t>
      </w:r>
    </w:p>
    <w:p w14:paraId="5B86B5E1" w14:textId="77777777" w:rsidR="00C53B7B" w:rsidRPr="00785453" w:rsidRDefault="00C53B7B" w:rsidP="00C53B7B">
      <w:pPr>
        <w:bidi/>
        <w:rPr>
          <w:rFonts w:ascii="Traditional Arabic" w:hAnsi="Traditional Arabic" w:cs="Traditional Arabic"/>
          <w:sz w:val="30"/>
          <w:szCs w:val="30"/>
        </w:rPr>
      </w:pPr>
    </w:p>
    <w:p w14:paraId="59FC52E0" w14:textId="77777777" w:rsidR="00C53B7B" w:rsidRPr="00785453" w:rsidRDefault="00C53B7B" w:rsidP="00C53B7B">
      <w:pPr>
        <w:bidi/>
        <w:rPr>
          <w:rFonts w:ascii="Traditional Arabic" w:hAnsi="Traditional Arabic" w:cs="Traditional Arabic"/>
          <w:sz w:val="30"/>
          <w:szCs w:val="30"/>
          <w:rtl/>
        </w:rPr>
      </w:pPr>
      <w:r w:rsidRPr="00785453">
        <w:rPr>
          <w:rFonts w:ascii="Traditional Arabic" w:hAnsi="Traditional Arabic" w:cs="Traditional Arabic"/>
          <w:sz w:val="30"/>
          <w:szCs w:val="30"/>
          <w:rtl/>
        </w:rPr>
        <w:t>شركة مسقط للمقاصة والإيداع ش</w:t>
      </w:r>
      <w:r w:rsidR="00B5214C">
        <w:rPr>
          <w:rFonts w:ascii="Traditional Arabic" w:hAnsi="Traditional Arabic" w:cs="Traditional Arabic" w:hint="cs"/>
          <w:sz w:val="30"/>
          <w:szCs w:val="30"/>
          <w:rtl/>
        </w:rPr>
        <w:t xml:space="preserve"> م ع م</w:t>
      </w:r>
    </w:p>
    <w:p w14:paraId="400448EC" w14:textId="77777777" w:rsidR="00C53B7B" w:rsidRPr="00785453" w:rsidRDefault="00C53B7B" w:rsidP="00C53B7B">
      <w:pPr>
        <w:bidi/>
        <w:rPr>
          <w:rFonts w:ascii="Traditional Arabic" w:hAnsi="Traditional Arabic" w:cs="Traditional Arabic"/>
          <w:sz w:val="30"/>
          <w:szCs w:val="30"/>
        </w:rPr>
      </w:pPr>
      <w:r w:rsidRPr="00785453">
        <w:rPr>
          <w:rFonts w:ascii="Traditional Arabic" w:hAnsi="Traditional Arabic" w:cs="Traditional Arabic"/>
          <w:sz w:val="30"/>
          <w:szCs w:val="30"/>
          <w:rtl/>
        </w:rPr>
        <w:t>صندوق بريد رقم 952، الرمز البريدي 112 روي، مسقط، سلطنة عمان</w:t>
      </w:r>
    </w:p>
    <w:p w14:paraId="7F6E4EA3" w14:textId="77777777" w:rsidR="00C53B7B" w:rsidRPr="00785453" w:rsidRDefault="00C53B7B" w:rsidP="00C53B7B">
      <w:pPr>
        <w:bidi/>
        <w:rPr>
          <w:rFonts w:ascii="Traditional Arabic" w:hAnsi="Traditional Arabic" w:cs="Traditional Arabic"/>
          <w:sz w:val="30"/>
          <w:szCs w:val="30"/>
          <w:rtl/>
        </w:rPr>
      </w:pPr>
      <w:r w:rsidRPr="00785453">
        <w:rPr>
          <w:rFonts w:ascii="Traditional Arabic" w:hAnsi="Traditional Arabic" w:cs="Traditional Arabic"/>
          <w:sz w:val="30"/>
          <w:szCs w:val="30"/>
          <w:rtl/>
        </w:rPr>
        <w:t>هاتف رقم: 2222 2482 968 +</w:t>
      </w:r>
    </w:p>
    <w:p w14:paraId="45CBB94D" w14:textId="77777777" w:rsidR="00C53B7B" w:rsidRPr="00785453" w:rsidRDefault="00C53B7B" w:rsidP="00C53B7B">
      <w:pPr>
        <w:bidi/>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موقع الشركة على شبكة المعلومات الدولية </w:t>
      </w:r>
      <w:r w:rsidRPr="00785453">
        <w:rPr>
          <w:rFonts w:ascii="Traditional Arabic" w:hAnsi="Traditional Arabic" w:cs="Traditional Arabic"/>
          <w:sz w:val="30"/>
          <w:szCs w:val="30"/>
        </w:rPr>
        <w:t>www.mcd.</w:t>
      </w:r>
      <w:r w:rsidRPr="00785453" w:rsidDel="009E643F">
        <w:rPr>
          <w:rFonts w:ascii="Traditional Arabic" w:hAnsi="Traditional Arabic" w:cs="Traditional Arabic"/>
          <w:sz w:val="30"/>
          <w:szCs w:val="30"/>
        </w:rPr>
        <w:t xml:space="preserve"> </w:t>
      </w:r>
      <w:r w:rsidRPr="00785453">
        <w:rPr>
          <w:rFonts w:ascii="Traditional Arabic" w:hAnsi="Traditional Arabic" w:cs="Traditional Arabic"/>
          <w:sz w:val="30"/>
          <w:szCs w:val="30"/>
        </w:rPr>
        <w:t>om</w:t>
      </w:r>
    </w:p>
    <w:p w14:paraId="3390A301" w14:textId="77777777" w:rsidR="00C53B7B" w:rsidRPr="00785453" w:rsidRDefault="00C53B7B" w:rsidP="00C53B7B">
      <w:pPr>
        <w:bidi/>
        <w:rPr>
          <w:rFonts w:ascii="Traditional Arabic" w:hAnsi="Traditional Arabic" w:cs="Traditional Arabic"/>
          <w:sz w:val="30"/>
          <w:szCs w:val="30"/>
          <w:rtl/>
        </w:rPr>
      </w:pPr>
    </w:p>
    <w:p w14:paraId="4ECA23A5" w14:textId="77777777" w:rsidR="00C53B7B" w:rsidRPr="00785453" w:rsidRDefault="00C53B7B" w:rsidP="00C53B7B">
      <w:pPr>
        <w:bidi/>
        <w:rPr>
          <w:rFonts w:ascii="Traditional Arabic" w:hAnsi="Traditional Arabic" w:cs="Traditional Arabic"/>
          <w:b/>
          <w:bCs/>
          <w:sz w:val="30"/>
          <w:szCs w:val="30"/>
        </w:rPr>
      </w:pPr>
      <w:r w:rsidRPr="00785453">
        <w:rPr>
          <w:rFonts w:ascii="Traditional Arabic" w:hAnsi="Traditional Arabic" w:cs="Traditional Arabic"/>
          <w:b/>
          <w:bCs/>
          <w:sz w:val="30"/>
          <w:szCs w:val="30"/>
          <w:rtl/>
        </w:rPr>
        <w:t>الحد</w:t>
      </w:r>
      <w:r w:rsidRPr="00785453">
        <w:rPr>
          <w:rFonts w:ascii="Traditional Arabic" w:hAnsi="Traditional Arabic" w:cs="Traditional Arabic" w:hint="cs"/>
          <w:b/>
          <w:bCs/>
          <w:sz w:val="30"/>
          <w:szCs w:val="30"/>
          <w:rtl/>
        </w:rPr>
        <w:t xml:space="preserve"> الأدنى</w:t>
      </w:r>
      <w:r w:rsidRPr="00785453">
        <w:rPr>
          <w:rFonts w:ascii="Traditional Arabic" w:hAnsi="Traditional Arabic" w:cs="Traditional Arabic"/>
          <w:b/>
          <w:bCs/>
          <w:sz w:val="30"/>
          <w:szCs w:val="30"/>
          <w:rtl/>
        </w:rPr>
        <w:t xml:space="preserve"> </w:t>
      </w:r>
      <w:r w:rsidRPr="00785453">
        <w:rPr>
          <w:rFonts w:ascii="Traditional Arabic" w:hAnsi="Traditional Arabic" w:cs="Traditional Arabic" w:hint="cs"/>
          <w:b/>
          <w:bCs/>
          <w:sz w:val="30"/>
          <w:szCs w:val="30"/>
          <w:rtl/>
        </w:rPr>
        <w:t>و</w:t>
      </w:r>
      <w:r w:rsidRPr="00785453">
        <w:rPr>
          <w:rFonts w:ascii="Traditional Arabic" w:hAnsi="Traditional Arabic" w:cs="Traditional Arabic"/>
          <w:b/>
          <w:bCs/>
          <w:sz w:val="30"/>
          <w:szCs w:val="30"/>
          <w:rtl/>
        </w:rPr>
        <w:t>الأقصى للاكتتاب</w:t>
      </w:r>
      <w:r w:rsidRPr="00785453">
        <w:rPr>
          <w:rFonts w:ascii="Traditional Arabic" w:hAnsi="Traditional Arabic" w:cs="Traditional Arabic" w:hint="cs"/>
          <w:b/>
          <w:bCs/>
          <w:sz w:val="30"/>
          <w:szCs w:val="30"/>
          <w:rtl/>
        </w:rPr>
        <w:t xml:space="preserve"> </w:t>
      </w:r>
    </w:p>
    <w:p w14:paraId="3BC65951" w14:textId="77777777" w:rsidR="00C53B7B" w:rsidRPr="00785453" w:rsidRDefault="00C53B7B" w:rsidP="00C53B7B">
      <w:pPr>
        <w:bidi/>
        <w:rPr>
          <w:rFonts w:ascii="Traditional Arabic" w:hAnsi="Traditional Arabic" w:cs="Traditional Arabic"/>
          <w:b/>
          <w:bCs/>
          <w:sz w:val="30"/>
          <w:szCs w:val="30"/>
          <w:rtl/>
        </w:rPr>
      </w:pPr>
      <w:r w:rsidRPr="00785453">
        <w:rPr>
          <w:rFonts w:ascii="Traditional Arabic" w:hAnsi="Traditional Arabic" w:cs="Traditional Arabic" w:hint="cs"/>
          <w:b/>
          <w:bCs/>
          <w:sz w:val="30"/>
          <w:szCs w:val="30"/>
          <w:rtl/>
        </w:rPr>
        <w:t>للفئة الأولى</w:t>
      </w:r>
    </w:p>
    <w:p w14:paraId="435D533D" w14:textId="335C2273"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hint="cs"/>
          <w:sz w:val="30"/>
          <w:szCs w:val="30"/>
          <w:rtl/>
        </w:rPr>
        <w:t xml:space="preserve">يكون الحد الأدنى للاكتتاب في الفئة الأولى هو </w:t>
      </w:r>
      <w:r w:rsidR="00567622">
        <w:rPr>
          <w:rFonts w:ascii="Traditional Arabic" w:hAnsi="Traditional Arabic" w:cs="Traditional Arabic" w:hint="cs"/>
          <w:sz w:val="30"/>
          <w:szCs w:val="30"/>
          <w:rtl/>
        </w:rPr>
        <w:t>100.000</w:t>
      </w:r>
      <w:r w:rsidR="00567622" w:rsidRPr="00785453">
        <w:rPr>
          <w:rFonts w:ascii="Traditional Arabic" w:hAnsi="Traditional Arabic" w:cs="Traditional Arabic" w:hint="cs"/>
          <w:sz w:val="30"/>
          <w:szCs w:val="30"/>
          <w:rtl/>
        </w:rPr>
        <w:t xml:space="preserve"> </w:t>
      </w:r>
      <w:r w:rsidRPr="00785453">
        <w:rPr>
          <w:rFonts w:ascii="Traditional Arabic" w:hAnsi="Traditional Arabic" w:cs="Traditional Arabic" w:hint="cs"/>
          <w:sz w:val="30"/>
          <w:szCs w:val="30"/>
          <w:rtl/>
        </w:rPr>
        <w:t xml:space="preserve">سهم، بينما </w:t>
      </w:r>
      <w:r w:rsidRPr="00785453">
        <w:rPr>
          <w:rFonts w:ascii="Traditional Arabic" w:hAnsi="Traditional Arabic" w:cs="Traditional Arabic"/>
          <w:sz w:val="30"/>
          <w:szCs w:val="30"/>
          <w:rtl/>
        </w:rPr>
        <w:t xml:space="preserve">لا يوجد حد أقصى لعدد الأسهم التي يجوز لمستثمر الفئة الأولى الاكتتاب فيها، </w:t>
      </w:r>
      <w:r w:rsidR="00037BD0">
        <w:rPr>
          <w:rFonts w:ascii="Traditional Arabic" w:hAnsi="Traditional Arabic" w:cs="Traditional Arabic" w:hint="cs"/>
          <w:sz w:val="30"/>
          <w:szCs w:val="30"/>
          <w:rtl/>
        </w:rPr>
        <w:t>و</w:t>
      </w:r>
      <w:r w:rsidR="000238A2">
        <w:rPr>
          <w:rFonts w:ascii="Traditional Arabic" w:hAnsi="Traditional Arabic" w:cs="Traditional Arabic" w:hint="cs"/>
          <w:sz w:val="30"/>
          <w:szCs w:val="30"/>
          <w:rtl/>
        </w:rPr>
        <w:t xml:space="preserve"> يجوز تخصيص</w:t>
      </w:r>
      <w:r w:rsidR="006D1C0F">
        <w:rPr>
          <w:rFonts w:ascii="Traditional Arabic" w:hAnsi="Traditional Arabic" w:cs="Traditional Arabic" w:hint="cs"/>
          <w:sz w:val="30"/>
          <w:szCs w:val="30"/>
          <w:rtl/>
        </w:rPr>
        <w:t xml:space="preserve"> </w:t>
      </w:r>
      <w:r w:rsidRPr="00785453">
        <w:rPr>
          <w:rFonts w:ascii="Traditional Arabic" w:hAnsi="Traditional Arabic" w:cs="Traditional Arabic"/>
          <w:sz w:val="30"/>
          <w:szCs w:val="30"/>
          <w:rtl/>
        </w:rPr>
        <w:t xml:space="preserve">أكثر من </w:t>
      </w:r>
      <w:r w:rsidR="00862649">
        <w:rPr>
          <w:rFonts w:ascii="Traditional Arabic" w:hAnsi="Traditional Arabic" w:cs="Traditional Arabic" w:hint="cs"/>
          <w:sz w:val="30"/>
          <w:szCs w:val="30"/>
          <w:rtl/>
        </w:rPr>
        <w:t xml:space="preserve">١٠ </w:t>
      </w:r>
      <w:r w:rsidRPr="00785453">
        <w:rPr>
          <w:rFonts w:ascii="Traditional Arabic" w:hAnsi="Traditional Arabic" w:cs="Traditional Arabic"/>
          <w:sz w:val="30"/>
          <w:szCs w:val="30"/>
          <w:rtl/>
        </w:rPr>
        <w:t>% من أسهم الطرح</w:t>
      </w:r>
      <w:r w:rsidR="000238A2">
        <w:rPr>
          <w:rFonts w:ascii="Traditional Arabic" w:hAnsi="Traditional Arabic" w:cs="Traditional Arabic" w:hint="cs"/>
          <w:sz w:val="30"/>
          <w:szCs w:val="30"/>
          <w:rtl/>
        </w:rPr>
        <w:t xml:space="preserve"> لأي من مقدمي الطلبات من</w:t>
      </w:r>
      <w:r w:rsidR="000238A2" w:rsidRPr="00785453">
        <w:rPr>
          <w:rFonts w:ascii="Traditional Arabic" w:hAnsi="Traditional Arabic" w:cs="Traditional Arabic"/>
          <w:sz w:val="30"/>
          <w:szCs w:val="30"/>
          <w:rtl/>
        </w:rPr>
        <w:t xml:space="preserve"> الفئة الأولى</w:t>
      </w:r>
      <w:r w:rsidRPr="00785453">
        <w:rPr>
          <w:rFonts w:ascii="Traditional Arabic" w:hAnsi="Traditional Arabic" w:cs="Traditional Arabic"/>
          <w:sz w:val="30"/>
          <w:szCs w:val="30"/>
          <w:rtl/>
        </w:rPr>
        <w:t xml:space="preserve"> .</w:t>
      </w:r>
    </w:p>
    <w:p w14:paraId="6E4F2AB1" w14:textId="77777777" w:rsidR="00C53B7B" w:rsidRPr="00785453" w:rsidRDefault="00C53B7B" w:rsidP="00C53B7B">
      <w:pPr>
        <w:bidi/>
        <w:jc w:val="both"/>
        <w:rPr>
          <w:rFonts w:ascii="Traditional Arabic" w:hAnsi="Traditional Arabic" w:cs="Traditional Arabic"/>
          <w:sz w:val="30"/>
          <w:szCs w:val="30"/>
          <w:rtl/>
        </w:rPr>
      </w:pPr>
    </w:p>
    <w:p w14:paraId="6E25B8D7" w14:textId="77777777" w:rsidR="00C53B7B" w:rsidRPr="00785453" w:rsidRDefault="00C53B7B" w:rsidP="00C53B7B">
      <w:pPr>
        <w:bidi/>
        <w:jc w:val="both"/>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وبالنسبة للمستثمرين الرئيسين</w:t>
      </w:r>
    </w:p>
    <w:p w14:paraId="383109B7" w14:textId="77777777" w:rsidR="00C53B7B" w:rsidRPr="00785453" w:rsidRDefault="00C53B7B" w:rsidP="00D925C8">
      <w:pPr>
        <w:bidi/>
        <w:rPr>
          <w:rFonts w:ascii="Traditional Arabic" w:hAnsi="Traditional Arabic" w:cs="Traditional Arabic"/>
          <w:sz w:val="30"/>
          <w:szCs w:val="30"/>
        </w:rPr>
      </w:pPr>
      <w:r w:rsidRPr="00785453">
        <w:rPr>
          <w:rFonts w:ascii="Traditional Arabic" w:hAnsi="Traditional Arabic" w:cs="Traditional Arabic" w:hint="cs"/>
          <w:sz w:val="30"/>
          <w:szCs w:val="30"/>
          <w:rtl/>
          <w:lang w:bidi="ar-OM"/>
        </w:rPr>
        <w:t>لا يوجد حد أدنى، و</w:t>
      </w:r>
      <w:r w:rsidRPr="00785453">
        <w:rPr>
          <w:rFonts w:ascii="Traditional Arabic" w:hAnsi="Traditional Arabic" w:cs="Traditional Arabic"/>
          <w:sz w:val="30"/>
          <w:szCs w:val="30"/>
          <w:rtl/>
        </w:rPr>
        <w:t xml:space="preserve">يبلغ الحد الأقصى لعدد أسهم الطرح التي يمكن الاكتتاب فيها من قبل المستثمرين الرئيسيين بشكل إجمالي ما نسبته </w:t>
      </w:r>
      <w:r w:rsidR="00CC7808">
        <w:rPr>
          <w:rFonts w:ascii="Traditional Arabic" w:hAnsi="Traditional Arabic" w:cs="Traditional Arabic" w:hint="cs"/>
          <w:sz w:val="30"/>
          <w:szCs w:val="30"/>
          <w:rtl/>
        </w:rPr>
        <w:t xml:space="preserve">30 </w:t>
      </w:r>
      <w:r w:rsidRPr="00785453">
        <w:rPr>
          <w:rFonts w:ascii="Traditional Arabic" w:hAnsi="Traditional Arabic" w:cs="Traditional Arabic"/>
          <w:sz w:val="30"/>
          <w:szCs w:val="30"/>
          <w:rtl/>
        </w:rPr>
        <w:t>% من الطرح، أي ما يعادل</w:t>
      </w:r>
      <w:r w:rsidR="00CC7808">
        <w:rPr>
          <w:rFonts w:ascii="Traditional Arabic" w:hAnsi="Traditional Arabic" w:cs="Traditional Arabic" w:hint="cs"/>
          <w:sz w:val="30"/>
          <w:szCs w:val="30"/>
          <w:rtl/>
        </w:rPr>
        <w:t xml:space="preserve"> 312.524.657 </w:t>
      </w:r>
      <w:r w:rsidRPr="00785453">
        <w:rPr>
          <w:rFonts w:ascii="Traditional Arabic" w:hAnsi="Traditional Arabic" w:cs="Traditional Arabic"/>
          <w:sz w:val="30"/>
          <w:szCs w:val="30"/>
          <w:rtl/>
        </w:rPr>
        <w:t xml:space="preserve">سهم. ولا يجوز لأي مستثمر رئيسي الاكتتاب في أكثر من </w:t>
      </w:r>
      <w:r w:rsidR="00ED18D4">
        <w:rPr>
          <w:rFonts w:ascii="Traditional Arabic" w:hAnsi="Traditional Arabic" w:cs="Traditional Arabic" w:hint="cs"/>
          <w:sz w:val="30"/>
          <w:szCs w:val="30"/>
          <w:rtl/>
        </w:rPr>
        <w:t>٧٧١</w:t>
      </w:r>
      <w:r w:rsidR="00ED18D4">
        <w:rPr>
          <w:rFonts w:ascii="Traditional Arabic" w:hAnsi="Traditional Arabic" w:cs="Traditional Arabic"/>
          <w:sz w:val="30"/>
          <w:szCs w:val="30"/>
        </w:rPr>
        <w:t>,</w:t>
      </w:r>
      <w:r w:rsidR="00ED18D4">
        <w:rPr>
          <w:rFonts w:ascii="Traditional Arabic" w:hAnsi="Traditional Arabic" w:cs="Traditional Arabic" w:hint="cs"/>
          <w:sz w:val="30"/>
          <w:szCs w:val="30"/>
          <w:rtl/>
        </w:rPr>
        <w:t>٣٤٩</w:t>
      </w:r>
      <w:r w:rsidR="00ED18D4">
        <w:rPr>
          <w:rFonts w:ascii="Traditional Arabic" w:hAnsi="Traditional Arabic" w:cs="Traditional Arabic"/>
          <w:sz w:val="30"/>
          <w:szCs w:val="30"/>
        </w:rPr>
        <w:t>,</w:t>
      </w:r>
      <w:r w:rsidR="00ED18D4">
        <w:rPr>
          <w:rFonts w:ascii="Traditional Arabic" w:hAnsi="Traditional Arabic" w:cs="Traditional Arabic" w:hint="cs"/>
          <w:sz w:val="30"/>
          <w:szCs w:val="30"/>
          <w:rtl/>
        </w:rPr>
        <w:t>٢٠٨</w:t>
      </w:r>
      <w:r w:rsidR="00ED18D4" w:rsidRPr="00785453">
        <w:rPr>
          <w:rFonts w:ascii="Traditional Arabic" w:hAnsi="Traditional Arabic" w:cs="Traditional Arabic"/>
          <w:sz w:val="30"/>
          <w:szCs w:val="30"/>
          <w:rtl/>
        </w:rPr>
        <w:t>سهم</w:t>
      </w:r>
      <w:r w:rsidRPr="00785453">
        <w:rPr>
          <w:rFonts w:ascii="Traditional Arabic" w:hAnsi="Traditional Arabic" w:cs="Traditional Arabic"/>
          <w:sz w:val="30"/>
          <w:szCs w:val="30"/>
          <w:rtl/>
        </w:rPr>
        <w:t>.</w:t>
      </w:r>
    </w:p>
    <w:p w14:paraId="4C4E83D4" w14:textId="77777777" w:rsidR="00D900F9" w:rsidRDefault="00D900F9" w:rsidP="00C53B7B">
      <w:pPr>
        <w:bidi/>
        <w:jc w:val="both"/>
        <w:rPr>
          <w:rFonts w:ascii="Traditional Arabic" w:hAnsi="Traditional Arabic" w:cs="Traditional Arabic"/>
          <w:b/>
          <w:bCs/>
          <w:sz w:val="30"/>
          <w:szCs w:val="30"/>
          <w:rtl/>
        </w:rPr>
      </w:pPr>
    </w:p>
    <w:p w14:paraId="7B242764" w14:textId="77777777" w:rsidR="00C53B7B" w:rsidRPr="00785453" w:rsidRDefault="00C53B7B" w:rsidP="00D900F9">
      <w:pPr>
        <w:bidi/>
        <w:jc w:val="both"/>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لمقدمي الطلبات من الفئة الثانية</w:t>
      </w:r>
      <w:r w:rsidRPr="00785453">
        <w:rPr>
          <w:rFonts w:ascii="Traditional Arabic" w:hAnsi="Traditional Arabic" w:cs="Traditional Arabic" w:hint="cs"/>
          <w:b/>
          <w:bCs/>
          <w:sz w:val="30"/>
          <w:szCs w:val="30"/>
          <w:rtl/>
        </w:rPr>
        <w:t xml:space="preserve"> </w:t>
      </w:r>
    </w:p>
    <w:p w14:paraId="35081D31" w14:textId="77777777" w:rsidR="00F61955" w:rsidRPr="00785453" w:rsidRDefault="00F61955" w:rsidP="00F61955">
      <w:pPr>
        <w:bidi/>
        <w:jc w:val="both"/>
        <w:rPr>
          <w:rFonts w:ascii="Traditional Arabic" w:hAnsi="Traditional Arabic" w:cs="Traditional Arabic"/>
          <w:sz w:val="30"/>
          <w:szCs w:val="30"/>
          <w:rtl/>
        </w:rPr>
      </w:pPr>
      <w:r w:rsidRPr="00785453">
        <w:rPr>
          <w:rFonts w:ascii="Traditional Arabic" w:hAnsi="Traditional Arabic" w:cs="Traditional Arabic"/>
          <w:b/>
          <w:bCs/>
          <w:sz w:val="30"/>
          <w:szCs w:val="30"/>
          <w:rtl/>
        </w:rPr>
        <w:t>(صغار المستثمرين)</w:t>
      </w:r>
    </w:p>
    <w:p w14:paraId="1354B001" w14:textId="77777777" w:rsidR="00F61955" w:rsidRPr="00785453" w:rsidRDefault="00F61955" w:rsidP="00F61955">
      <w:pPr>
        <w:bidi/>
        <w:jc w:val="both"/>
        <w:rPr>
          <w:rFonts w:ascii="Traditional Arabic" w:hAnsi="Traditional Arabic" w:cs="Traditional Arabic"/>
          <w:sz w:val="30"/>
          <w:szCs w:val="30"/>
          <w:rtl/>
        </w:rPr>
      </w:pPr>
      <w:r w:rsidRPr="00785453">
        <w:rPr>
          <w:rFonts w:ascii="Traditional Arabic" w:hAnsi="Traditional Arabic" w:cs="Traditional Arabic" w:hint="cs"/>
          <w:sz w:val="30"/>
          <w:szCs w:val="30"/>
          <w:rtl/>
        </w:rPr>
        <w:t xml:space="preserve">يكون الحد الأدنى لصغار المستثمرين هو </w:t>
      </w:r>
      <w:r w:rsidR="00D900F9">
        <w:rPr>
          <w:rFonts w:ascii="Traditional Arabic" w:hAnsi="Traditional Arabic" w:cs="Traditional Arabic" w:hint="cs"/>
          <w:sz w:val="30"/>
          <w:szCs w:val="30"/>
          <w:rtl/>
        </w:rPr>
        <w:t>100</w:t>
      </w:r>
      <w:r w:rsidR="00D900F9" w:rsidRPr="00785453">
        <w:rPr>
          <w:rFonts w:ascii="Traditional Arabic" w:hAnsi="Traditional Arabic" w:cs="Traditional Arabic" w:hint="cs"/>
          <w:sz w:val="30"/>
          <w:szCs w:val="30"/>
          <w:rtl/>
        </w:rPr>
        <w:t xml:space="preserve"> </w:t>
      </w:r>
      <w:r w:rsidRPr="00785453">
        <w:rPr>
          <w:rFonts w:ascii="Traditional Arabic" w:hAnsi="Traditional Arabic" w:cs="Traditional Arabic" w:hint="cs"/>
          <w:sz w:val="30"/>
          <w:szCs w:val="30"/>
          <w:rtl/>
        </w:rPr>
        <w:t>سهم، بينما يكون ال</w:t>
      </w:r>
      <w:r w:rsidRPr="00785453">
        <w:rPr>
          <w:rFonts w:ascii="Traditional Arabic" w:hAnsi="Traditional Arabic" w:cs="Traditional Arabic"/>
          <w:sz w:val="30"/>
          <w:szCs w:val="30"/>
          <w:rtl/>
        </w:rPr>
        <w:t xml:space="preserve">حد </w:t>
      </w:r>
      <w:r w:rsidRPr="00785453">
        <w:rPr>
          <w:rFonts w:ascii="Traditional Arabic" w:hAnsi="Traditional Arabic" w:cs="Traditional Arabic" w:hint="cs"/>
          <w:sz w:val="30"/>
          <w:szCs w:val="30"/>
          <w:rtl/>
        </w:rPr>
        <w:t>ال</w:t>
      </w:r>
      <w:r w:rsidRPr="00785453">
        <w:rPr>
          <w:rFonts w:ascii="Traditional Arabic" w:hAnsi="Traditional Arabic" w:cs="Traditional Arabic"/>
          <w:sz w:val="30"/>
          <w:szCs w:val="30"/>
          <w:rtl/>
        </w:rPr>
        <w:t xml:space="preserve">أقصى </w:t>
      </w:r>
      <w:r w:rsidRPr="00785453">
        <w:rPr>
          <w:rFonts w:ascii="Traditional Arabic" w:hAnsi="Traditional Arabic" w:cs="Traditional Arabic" w:hint="cs"/>
          <w:sz w:val="30"/>
          <w:szCs w:val="30"/>
          <w:rtl/>
        </w:rPr>
        <w:t>ل</w:t>
      </w:r>
      <w:r w:rsidRPr="00785453">
        <w:rPr>
          <w:rFonts w:ascii="Traditional Arabic" w:hAnsi="Traditional Arabic" w:cs="Traditional Arabic"/>
          <w:sz w:val="30"/>
          <w:szCs w:val="30"/>
          <w:rtl/>
        </w:rPr>
        <w:t>عدد أسهم الطرح التي يجوز الاكتتاب فيها بموجب طلب الاكتتاب المقدم من قبل مستثمري الفئة الثانية</w:t>
      </w:r>
      <w:r w:rsidRPr="00785453">
        <w:rPr>
          <w:rFonts w:ascii="Traditional Arabic" w:hAnsi="Traditional Arabic" w:cs="Traditional Arabic" w:hint="cs"/>
          <w:sz w:val="30"/>
          <w:szCs w:val="30"/>
          <w:rtl/>
        </w:rPr>
        <w:t xml:space="preserve"> (صغار المستثمرين) بما لا يتجاوز </w:t>
      </w:r>
      <w:r w:rsidR="00D900F9">
        <w:rPr>
          <w:rFonts w:ascii="Traditional Arabic" w:hAnsi="Traditional Arabic" w:cs="Traditional Arabic" w:hint="cs"/>
          <w:sz w:val="30"/>
          <w:szCs w:val="30"/>
          <w:rtl/>
        </w:rPr>
        <w:t>81.300</w:t>
      </w:r>
      <w:r w:rsidR="00D900F9" w:rsidRPr="00785453">
        <w:rPr>
          <w:rFonts w:ascii="Traditional Arabic" w:hAnsi="Traditional Arabic" w:cs="Traditional Arabic"/>
          <w:sz w:val="30"/>
          <w:szCs w:val="30"/>
        </w:rPr>
        <w:t xml:space="preserve"> </w:t>
      </w:r>
      <w:r w:rsidRPr="00785453">
        <w:rPr>
          <w:rFonts w:ascii="Traditional Arabic" w:hAnsi="Traditional Arabic" w:cs="Traditional Arabic" w:hint="cs"/>
          <w:sz w:val="30"/>
          <w:szCs w:val="30"/>
          <w:rtl/>
        </w:rPr>
        <w:t>سهم.</w:t>
      </w:r>
    </w:p>
    <w:p w14:paraId="32F0C99E" w14:textId="77777777" w:rsidR="00F61955" w:rsidRDefault="00F61955" w:rsidP="00C53B7B">
      <w:pPr>
        <w:bidi/>
        <w:jc w:val="both"/>
        <w:rPr>
          <w:rFonts w:ascii="Traditional Arabic" w:hAnsi="Traditional Arabic" w:cs="Traditional Arabic"/>
          <w:b/>
          <w:bCs/>
          <w:sz w:val="30"/>
          <w:szCs w:val="30"/>
          <w:rtl/>
        </w:rPr>
      </w:pPr>
    </w:p>
    <w:p w14:paraId="5A736F2A" w14:textId="77777777" w:rsidR="00C53B7B" w:rsidRPr="00785453" w:rsidRDefault="00C53B7B" w:rsidP="00F61955">
      <w:pPr>
        <w:bidi/>
        <w:jc w:val="both"/>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 xml:space="preserve">(كبار المستثمرين) </w:t>
      </w:r>
    </w:p>
    <w:p w14:paraId="197C8403"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hint="cs"/>
          <w:sz w:val="30"/>
          <w:szCs w:val="30"/>
          <w:rtl/>
        </w:rPr>
        <w:t xml:space="preserve">يكون الحد الأدنى لكبار المستثمرين هو </w:t>
      </w:r>
      <w:r w:rsidR="005B25D8">
        <w:rPr>
          <w:rFonts w:ascii="Traditional Arabic" w:hAnsi="Traditional Arabic" w:cs="Traditional Arabic" w:hint="cs"/>
          <w:sz w:val="30"/>
          <w:szCs w:val="30"/>
          <w:rtl/>
        </w:rPr>
        <w:t>81.400</w:t>
      </w:r>
      <w:r w:rsidR="005B25D8" w:rsidRPr="00785453">
        <w:rPr>
          <w:rFonts w:ascii="Traditional Arabic" w:hAnsi="Traditional Arabic" w:cs="Traditional Arabic" w:hint="cs"/>
          <w:sz w:val="30"/>
          <w:szCs w:val="30"/>
          <w:rtl/>
        </w:rPr>
        <w:t xml:space="preserve"> </w:t>
      </w:r>
      <w:r w:rsidRPr="00785453">
        <w:rPr>
          <w:rFonts w:ascii="Traditional Arabic" w:hAnsi="Traditional Arabic" w:cs="Traditional Arabic" w:hint="cs"/>
          <w:sz w:val="30"/>
          <w:szCs w:val="30"/>
          <w:rtl/>
        </w:rPr>
        <w:t>سهم، و</w:t>
      </w:r>
      <w:r w:rsidRPr="00785453">
        <w:rPr>
          <w:rFonts w:ascii="Traditional Arabic" w:hAnsi="Traditional Arabic" w:cs="Traditional Arabic"/>
          <w:sz w:val="30"/>
          <w:szCs w:val="30"/>
          <w:rtl/>
        </w:rPr>
        <w:t>لا يوجد حد أقصى على عدد أسهم الطرح التي يجوز الاكتتاب فيها بموجب طلب الاكتتاب المقدم من قبل مستثمري الفئة الثانية</w:t>
      </w:r>
      <w:r w:rsidRPr="00785453">
        <w:rPr>
          <w:rFonts w:ascii="Traditional Arabic" w:hAnsi="Traditional Arabic" w:cs="Traditional Arabic" w:hint="cs"/>
          <w:sz w:val="30"/>
          <w:szCs w:val="30"/>
          <w:rtl/>
        </w:rPr>
        <w:t xml:space="preserve"> (كبار المستثمرين).</w:t>
      </w:r>
    </w:p>
    <w:p w14:paraId="58E13431" w14:textId="77777777" w:rsidR="00C53B7B" w:rsidRPr="00785453" w:rsidRDefault="00C53B7B" w:rsidP="00C53B7B">
      <w:pPr>
        <w:bidi/>
        <w:jc w:val="both"/>
        <w:rPr>
          <w:rFonts w:ascii="Traditional Arabic" w:hAnsi="Traditional Arabic" w:cs="Traditional Arabic"/>
          <w:sz w:val="30"/>
          <w:szCs w:val="30"/>
          <w:rtl/>
        </w:rPr>
      </w:pPr>
    </w:p>
    <w:p w14:paraId="529C121E" w14:textId="77777777" w:rsidR="00C53B7B" w:rsidRPr="00785453" w:rsidRDefault="00C53B7B" w:rsidP="00C53B7B">
      <w:pPr>
        <w:bidi/>
        <w:jc w:val="both"/>
        <w:rPr>
          <w:rFonts w:ascii="Traditional Arabic" w:hAnsi="Traditional Arabic" w:cs="Traditional Arabic"/>
          <w:sz w:val="30"/>
          <w:szCs w:val="30"/>
          <w:lang w:val="en-GB"/>
        </w:rPr>
      </w:pPr>
      <w:r w:rsidRPr="00785453">
        <w:rPr>
          <w:rFonts w:ascii="Traditional Arabic" w:hAnsi="Traditional Arabic" w:cs="Traditional Arabic"/>
          <w:sz w:val="30"/>
          <w:szCs w:val="30"/>
          <w:rtl/>
        </w:rPr>
        <w:t xml:space="preserve"> </w:t>
      </w:r>
      <w:r w:rsidR="0010283A">
        <w:rPr>
          <w:rFonts w:ascii="Traditional Arabic" w:hAnsi="Traditional Arabic" w:cs="Traditional Arabic" w:hint="cs"/>
          <w:sz w:val="30"/>
          <w:szCs w:val="30"/>
          <w:rtl/>
        </w:rPr>
        <w:t xml:space="preserve">لن يتم </w:t>
      </w:r>
      <w:r w:rsidR="00744E72">
        <w:rPr>
          <w:rFonts w:ascii="Traditional Arabic" w:hAnsi="Traditional Arabic" w:cs="Traditional Arabic" w:hint="cs"/>
          <w:sz w:val="30"/>
          <w:szCs w:val="30"/>
          <w:rtl/>
        </w:rPr>
        <w:t xml:space="preserve">تخصيص أكثر من </w:t>
      </w:r>
      <w:r w:rsidR="00917678">
        <w:rPr>
          <w:rFonts w:ascii="Traditional Arabic" w:hAnsi="Traditional Arabic" w:cs="Traditional Arabic" w:hint="cs"/>
          <w:sz w:val="30"/>
          <w:szCs w:val="30"/>
          <w:rtl/>
        </w:rPr>
        <w:t>١٠</w:t>
      </w:r>
      <w:r w:rsidR="00744E72">
        <w:rPr>
          <w:rFonts w:ascii="Traditional Arabic" w:hAnsi="Traditional Arabic" w:cs="Traditional Arabic" w:hint="cs"/>
          <w:sz w:val="30"/>
          <w:szCs w:val="30"/>
          <w:rtl/>
        </w:rPr>
        <w:t xml:space="preserve">% من حجم الطرح لأي من </w:t>
      </w:r>
      <w:r w:rsidRPr="00785453">
        <w:rPr>
          <w:rFonts w:ascii="Traditional Arabic" w:hAnsi="Traditional Arabic" w:cs="Traditional Arabic"/>
          <w:sz w:val="30"/>
          <w:szCs w:val="30"/>
          <w:rtl/>
        </w:rPr>
        <w:t>مقدم</w:t>
      </w:r>
      <w:r w:rsidR="00744E72">
        <w:rPr>
          <w:rFonts w:ascii="Traditional Arabic" w:hAnsi="Traditional Arabic" w:cs="Traditional Arabic" w:hint="cs"/>
          <w:sz w:val="30"/>
          <w:szCs w:val="30"/>
          <w:rtl/>
        </w:rPr>
        <w:t>ي</w:t>
      </w:r>
      <w:r w:rsidRPr="00785453">
        <w:rPr>
          <w:rFonts w:ascii="Traditional Arabic" w:hAnsi="Traditional Arabic" w:cs="Traditional Arabic"/>
          <w:sz w:val="30"/>
          <w:szCs w:val="30"/>
          <w:rtl/>
        </w:rPr>
        <w:t xml:space="preserve"> </w:t>
      </w:r>
      <w:r w:rsidR="00744E72">
        <w:rPr>
          <w:rFonts w:ascii="Traditional Arabic" w:hAnsi="Traditional Arabic" w:cs="Traditional Arabic" w:hint="cs"/>
          <w:sz w:val="30"/>
          <w:szCs w:val="30"/>
          <w:rtl/>
        </w:rPr>
        <w:t>ال</w:t>
      </w:r>
      <w:r w:rsidRPr="00785453">
        <w:rPr>
          <w:rFonts w:ascii="Traditional Arabic" w:hAnsi="Traditional Arabic" w:cs="Traditional Arabic"/>
          <w:sz w:val="30"/>
          <w:szCs w:val="30"/>
          <w:rtl/>
        </w:rPr>
        <w:t>طلب</w:t>
      </w:r>
      <w:r w:rsidR="00744E72">
        <w:rPr>
          <w:rFonts w:ascii="Traditional Arabic" w:hAnsi="Traditional Arabic" w:cs="Traditional Arabic" w:hint="cs"/>
          <w:sz w:val="30"/>
          <w:szCs w:val="30"/>
          <w:rtl/>
        </w:rPr>
        <w:t>ات</w:t>
      </w:r>
      <w:r w:rsidR="002266EC">
        <w:rPr>
          <w:rFonts w:ascii="Traditional Arabic" w:hAnsi="Traditional Arabic" w:cs="Traditional Arabic" w:hint="cs"/>
          <w:sz w:val="30"/>
          <w:szCs w:val="30"/>
          <w:rtl/>
        </w:rPr>
        <w:t xml:space="preserve"> من الفئة </w:t>
      </w:r>
      <w:r w:rsidR="00084DCA">
        <w:rPr>
          <w:rFonts w:ascii="Traditional Arabic" w:hAnsi="Traditional Arabic" w:cs="Traditional Arabic" w:hint="cs"/>
          <w:sz w:val="30"/>
          <w:szCs w:val="30"/>
          <w:rtl/>
        </w:rPr>
        <w:t>الثانية</w:t>
      </w:r>
      <w:r w:rsidRPr="00785453">
        <w:rPr>
          <w:rFonts w:ascii="Traditional Arabic" w:hAnsi="Traditional Arabic" w:cs="Traditional Arabic"/>
          <w:sz w:val="30"/>
          <w:szCs w:val="30"/>
          <w:rtl/>
        </w:rPr>
        <w:t>.</w:t>
      </w:r>
    </w:p>
    <w:p w14:paraId="486FEC54" w14:textId="77777777" w:rsidR="00C53B7B" w:rsidRPr="008C57E0" w:rsidRDefault="00C53B7B" w:rsidP="00C53B7B">
      <w:pPr>
        <w:bidi/>
        <w:jc w:val="both"/>
        <w:rPr>
          <w:rFonts w:ascii="Traditional Arabic" w:hAnsi="Traditional Arabic" w:cs="Traditional Arabic"/>
          <w:sz w:val="30"/>
          <w:szCs w:val="30"/>
          <w:rtl/>
          <w:lang w:val="en-GB"/>
        </w:rPr>
      </w:pPr>
    </w:p>
    <w:p w14:paraId="08CA2DC8"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b/>
          <w:bCs/>
          <w:sz w:val="30"/>
          <w:szCs w:val="30"/>
          <w:rtl/>
        </w:rPr>
        <w:t>نطاق السعر</w:t>
      </w:r>
    </w:p>
    <w:p w14:paraId="4F4B0E46"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تم تحديد نطاق السعر عند </w:t>
      </w:r>
      <w:r w:rsidR="0010283A">
        <w:rPr>
          <w:rFonts w:ascii="Traditional Arabic" w:hAnsi="Traditional Arabic" w:cs="Traditional Arabic" w:hint="cs"/>
          <w:sz w:val="30"/>
          <w:szCs w:val="30"/>
          <w:rtl/>
          <w:lang w:bidi="ar-OM"/>
        </w:rPr>
        <w:t>117</w:t>
      </w:r>
      <w:r w:rsidR="0010283A"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 xml:space="preserve">بيسة إلى </w:t>
      </w:r>
      <w:r w:rsidR="0010283A">
        <w:rPr>
          <w:rFonts w:ascii="Traditional Arabic" w:hAnsi="Traditional Arabic" w:cs="Traditional Arabic" w:hint="cs"/>
          <w:sz w:val="30"/>
          <w:szCs w:val="30"/>
          <w:rtl/>
          <w:lang w:bidi="ar-OM"/>
        </w:rPr>
        <w:t>123</w:t>
      </w:r>
      <w:r w:rsidR="0010283A"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 xml:space="preserve">بيسة للسهم، على أن يكون </w:t>
      </w:r>
      <w:r w:rsidR="0010283A">
        <w:rPr>
          <w:rFonts w:ascii="Traditional Arabic" w:hAnsi="Traditional Arabic" w:cs="Traditional Arabic" w:hint="cs"/>
          <w:sz w:val="30"/>
          <w:szCs w:val="30"/>
          <w:rtl/>
          <w:lang w:bidi="ar-OM"/>
        </w:rPr>
        <w:t>117</w:t>
      </w:r>
      <w:r w:rsidR="0010283A"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 xml:space="preserve">بيسة هي الحد الأدنى للسعر، </w:t>
      </w:r>
      <w:r w:rsidR="0010283A">
        <w:rPr>
          <w:rFonts w:ascii="Traditional Arabic" w:hAnsi="Traditional Arabic" w:cs="Traditional Arabic" w:hint="cs"/>
          <w:sz w:val="30"/>
          <w:szCs w:val="30"/>
          <w:rtl/>
        </w:rPr>
        <w:t>123</w:t>
      </w:r>
      <w:r w:rsidR="0010283A" w:rsidRPr="00785453">
        <w:rPr>
          <w:rFonts w:ascii="Traditional Arabic" w:hAnsi="Traditional Arabic" w:cs="Traditional Arabic" w:hint="cs"/>
          <w:sz w:val="30"/>
          <w:szCs w:val="30"/>
          <w:rtl/>
        </w:rPr>
        <w:t xml:space="preserve"> </w:t>
      </w:r>
      <w:r w:rsidRPr="00785453">
        <w:rPr>
          <w:rFonts w:ascii="Traditional Arabic" w:hAnsi="Traditional Arabic" w:cs="Traditional Arabic"/>
          <w:sz w:val="30"/>
          <w:szCs w:val="30"/>
          <w:rtl/>
        </w:rPr>
        <w:t>بيسة هي الحد الأقصى للسعر.</w:t>
      </w:r>
    </w:p>
    <w:p w14:paraId="0D6F6B40" w14:textId="77777777" w:rsidR="00C53B7B" w:rsidRPr="00785453" w:rsidRDefault="00C53B7B" w:rsidP="00C53B7B">
      <w:pPr>
        <w:bidi/>
        <w:jc w:val="both"/>
        <w:rPr>
          <w:rFonts w:ascii="Traditional Arabic" w:hAnsi="Traditional Arabic" w:cs="Traditional Arabic"/>
          <w:sz w:val="30"/>
          <w:szCs w:val="30"/>
          <w:rtl/>
        </w:rPr>
      </w:pPr>
    </w:p>
    <w:p w14:paraId="0672253C" w14:textId="77777777" w:rsidR="00C53B7B" w:rsidRPr="00785453" w:rsidRDefault="00C53B7B" w:rsidP="00C53B7B">
      <w:pPr>
        <w:bidi/>
        <w:rPr>
          <w:rFonts w:ascii="Traditional Arabic" w:hAnsi="Traditional Arabic" w:cs="Traditional Arabic"/>
          <w:sz w:val="30"/>
          <w:szCs w:val="30"/>
          <w:rtl/>
        </w:rPr>
      </w:pPr>
      <w:r w:rsidRPr="00785453">
        <w:rPr>
          <w:rFonts w:ascii="Traditional Arabic" w:hAnsi="Traditional Arabic" w:cs="Traditional Arabic"/>
          <w:b/>
          <w:bCs/>
          <w:sz w:val="30"/>
          <w:szCs w:val="30"/>
          <w:rtl/>
        </w:rPr>
        <w:t>مدة الطرح</w:t>
      </w:r>
      <w:r w:rsidRPr="00785453">
        <w:rPr>
          <w:rFonts w:ascii="Traditional Arabic" w:hAnsi="Traditional Arabic" w:cs="Traditional Arabic"/>
          <w:sz w:val="30"/>
          <w:szCs w:val="30"/>
          <w:rtl/>
        </w:rPr>
        <w:t xml:space="preserve"> </w:t>
      </w:r>
    </w:p>
    <w:p w14:paraId="640B1E00" w14:textId="77777777" w:rsidR="00C53B7B" w:rsidRPr="00785453" w:rsidRDefault="00C53B7B" w:rsidP="00C53B7B">
      <w:pPr>
        <w:bidi/>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يبدأ الاكتتاب من قبل المستثمرين في أسهم الفئة الأولى في </w:t>
      </w:r>
      <w:r w:rsidR="00E5328D">
        <w:rPr>
          <w:rFonts w:ascii="Traditional Arabic" w:hAnsi="Traditional Arabic" w:cs="Traditional Arabic" w:hint="cs"/>
          <w:sz w:val="30"/>
          <w:szCs w:val="30"/>
          <w:rtl/>
          <w:lang w:bidi="ar-OM"/>
        </w:rPr>
        <w:t xml:space="preserve">20 </w:t>
      </w:r>
      <w:r w:rsidR="00DA4A9D">
        <w:rPr>
          <w:rFonts w:ascii="Traditional Arabic" w:hAnsi="Traditional Arabic" w:cs="Traditional Arabic" w:hint="cs"/>
          <w:sz w:val="30"/>
          <w:szCs w:val="30"/>
          <w:rtl/>
          <w:lang w:bidi="ar-OM"/>
        </w:rPr>
        <w:t>فبراير ٢٠٢٥</w:t>
      </w:r>
      <w:r w:rsidR="00DA4A9D"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 xml:space="preserve">وينتهي في </w:t>
      </w:r>
      <w:r w:rsidR="00E5328D">
        <w:rPr>
          <w:rFonts w:ascii="Traditional Arabic" w:hAnsi="Traditional Arabic" w:cs="Traditional Arabic" w:hint="cs"/>
          <w:sz w:val="30"/>
          <w:szCs w:val="30"/>
          <w:rtl/>
          <w:lang w:bidi="ar-OM"/>
        </w:rPr>
        <w:t xml:space="preserve">27 </w:t>
      </w:r>
      <w:r w:rsidR="00DA4A9D">
        <w:rPr>
          <w:rFonts w:ascii="Traditional Arabic" w:hAnsi="Traditional Arabic" w:cs="Traditional Arabic" w:hint="cs"/>
          <w:sz w:val="30"/>
          <w:szCs w:val="30"/>
          <w:rtl/>
          <w:lang w:bidi="ar-OM"/>
        </w:rPr>
        <w:t>فبراير ٢٠٢٥</w:t>
      </w:r>
    </w:p>
    <w:p w14:paraId="198AD07A" w14:textId="77777777" w:rsidR="00C53B7B" w:rsidRPr="00785453" w:rsidRDefault="00C53B7B" w:rsidP="00C53B7B">
      <w:pPr>
        <w:bidi/>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ويبدأ الاكتتاب من قبل المستثمرين في أسهم الفئة الثانية في </w:t>
      </w:r>
      <w:r w:rsidR="00362ED2">
        <w:rPr>
          <w:rFonts w:ascii="Traditional Arabic" w:hAnsi="Traditional Arabic" w:cs="Traditional Arabic" w:hint="cs"/>
          <w:sz w:val="30"/>
          <w:szCs w:val="30"/>
          <w:rtl/>
          <w:lang w:bidi="ar-OM"/>
        </w:rPr>
        <w:t xml:space="preserve">20 </w:t>
      </w:r>
      <w:r w:rsidR="00DA4A9D">
        <w:rPr>
          <w:rFonts w:ascii="Traditional Arabic" w:hAnsi="Traditional Arabic" w:cs="Traditional Arabic" w:hint="cs"/>
          <w:sz w:val="30"/>
          <w:szCs w:val="30"/>
          <w:rtl/>
          <w:lang w:bidi="ar-OM"/>
        </w:rPr>
        <w:t>فبراير ٢٠٢٥</w:t>
      </w:r>
      <w:r w:rsidR="00DA4A9D"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 xml:space="preserve">وينتهي في </w:t>
      </w:r>
      <w:r w:rsidR="00362ED2">
        <w:rPr>
          <w:rFonts w:ascii="Traditional Arabic" w:hAnsi="Traditional Arabic" w:cs="Traditional Arabic" w:hint="cs"/>
          <w:sz w:val="30"/>
          <w:szCs w:val="30"/>
          <w:rtl/>
          <w:lang w:bidi="ar-OM"/>
        </w:rPr>
        <w:t xml:space="preserve">26 </w:t>
      </w:r>
      <w:r w:rsidR="00DA4A9D">
        <w:rPr>
          <w:rFonts w:ascii="Traditional Arabic" w:hAnsi="Traditional Arabic" w:cs="Traditional Arabic" w:hint="cs"/>
          <w:sz w:val="30"/>
          <w:szCs w:val="30"/>
          <w:rtl/>
          <w:lang w:bidi="ar-OM"/>
        </w:rPr>
        <w:t>فبراير ٢٠٢٥</w:t>
      </w:r>
    </w:p>
    <w:p w14:paraId="7D6C9010" w14:textId="77777777" w:rsidR="00C53B7B" w:rsidRPr="00785453" w:rsidRDefault="00C53B7B" w:rsidP="00C53B7B">
      <w:pPr>
        <w:bidi/>
        <w:rPr>
          <w:rFonts w:ascii="Traditional Arabic" w:hAnsi="Traditional Arabic" w:cs="Traditional Arabic"/>
          <w:sz w:val="30"/>
          <w:szCs w:val="30"/>
          <w:rtl/>
        </w:rPr>
      </w:pPr>
    </w:p>
    <w:p w14:paraId="48DFBB69" w14:textId="77777777" w:rsidR="00C53B7B" w:rsidRPr="00785453" w:rsidRDefault="00C53B7B" w:rsidP="00C53B7B">
      <w:pPr>
        <w:bidi/>
        <w:rPr>
          <w:rFonts w:ascii="Traditional Arabic" w:hAnsi="Traditional Arabic" w:cs="Traditional Arabic"/>
          <w:b/>
          <w:bCs/>
          <w:sz w:val="30"/>
          <w:szCs w:val="30"/>
          <w:rtl/>
        </w:rPr>
      </w:pPr>
    </w:p>
    <w:p w14:paraId="4A257FE3" w14:textId="77777777" w:rsidR="00C53B7B" w:rsidRPr="00785453" w:rsidRDefault="00C53B7B" w:rsidP="00C53B7B">
      <w:pPr>
        <w:bidi/>
        <w:rPr>
          <w:rFonts w:ascii="Traditional Arabic" w:hAnsi="Traditional Arabic" w:cs="Traditional Arabic"/>
          <w:b/>
          <w:bCs/>
          <w:sz w:val="30"/>
          <w:szCs w:val="30"/>
        </w:rPr>
      </w:pPr>
      <w:r w:rsidRPr="00785453">
        <w:rPr>
          <w:rFonts w:ascii="Traditional Arabic" w:hAnsi="Traditional Arabic" w:cs="Traditional Arabic"/>
          <w:b/>
          <w:bCs/>
          <w:sz w:val="30"/>
          <w:szCs w:val="30"/>
          <w:rtl/>
        </w:rPr>
        <w:t xml:space="preserve">الطرح لمقدمي الطلبات من الفئة الأولى </w:t>
      </w:r>
    </w:p>
    <w:p w14:paraId="1BA81204" w14:textId="77777777" w:rsidR="00C53B7B" w:rsidRPr="00785453" w:rsidRDefault="00C53B7B" w:rsidP="00C53B7B">
      <w:pPr>
        <w:bidi/>
        <w:jc w:val="both"/>
        <w:rPr>
          <w:rFonts w:ascii="Traditional Arabic" w:hAnsi="Traditional Arabic" w:cs="Traditional Arabic"/>
          <w:sz w:val="30"/>
          <w:szCs w:val="30"/>
          <w:rtl/>
          <w:lang w:bidi="ar-OM"/>
        </w:rPr>
      </w:pPr>
      <w:r w:rsidRPr="00785453">
        <w:rPr>
          <w:rFonts w:ascii="Traditional Arabic" w:hAnsi="Traditional Arabic" w:cs="Traditional Arabic"/>
          <w:b/>
          <w:bCs/>
          <w:sz w:val="30"/>
          <w:szCs w:val="30"/>
          <w:rtl/>
        </w:rPr>
        <w:t xml:space="preserve"> </w:t>
      </w:r>
      <w:r w:rsidRPr="00785453">
        <w:rPr>
          <w:rFonts w:ascii="Traditional Arabic" w:hAnsi="Traditional Arabic" w:cs="Traditional Arabic"/>
          <w:sz w:val="30"/>
          <w:szCs w:val="30"/>
          <w:rtl/>
        </w:rPr>
        <w:t xml:space="preserve">سيتم حجز ما نسبته </w:t>
      </w:r>
      <w:r w:rsidR="00362ED2">
        <w:rPr>
          <w:rFonts w:ascii="Traditional Arabic" w:hAnsi="Traditional Arabic" w:cs="Traditional Arabic" w:hint="cs"/>
          <w:sz w:val="30"/>
          <w:szCs w:val="30"/>
          <w:rtl/>
          <w:lang w:bidi="ar-OM"/>
        </w:rPr>
        <w:t xml:space="preserve">45 </w:t>
      </w:r>
      <w:r w:rsidR="001E59D0">
        <w:rPr>
          <w:rFonts w:ascii="Traditional Arabic" w:hAnsi="Traditional Arabic" w:cs="Traditional Arabic" w:hint="cs"/>
          <w:sz w:val="30"/>
          <w:szCs w:val="30"/>
          <w:rtl/>
        </w:rPr>
        <w:t>%</w:t>
      </w:r>
      <w:r w:rsidR="001E59D0"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 xml:space="preserve">(أي </w:t>
      </w:r>
      <w:r w:rsidR="00C227C1">
        <w:rPr>
          <w:rFonts w:ascii="Traditional Arabic" w:hAnsi="Traditional Arabic" w:cs="Traditional Arabic" w:hint="cs"/>
          <w:sz w:val="30"/>
          <w:szCs w:val="30"/>
          <w:rtl/>
        </w:rPr>
        <w:t>468.786.985</w:t>
      </w:r>
      <w:r w:rsidR="006378B5"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سهم) من أسهم الطرح المخصصة للمستثمرين من الفئة الأولى</w:t>
      </w:r>
      <w:r w:rsidR="00B912F6" w:rsidRPr="00B912F6">
        <w:rPr>
          <w:rFonts w:ascii="Traditional Arabic" w:hAnsi="Traditional Arabic" w:cs="Traditional Arabic"/>
          <w:sz w:val="30"/>
          <w:szCs w:val="30"/>
          <w:rtl/>
        </w:rPr>
        <w:t>.</w:t>
      </w:r>
    </w:p>
    <w:p w14:paraId="19C7E22C" w14:textId="77777777" w:rsidR="00C53B7B" w:rsidRPr="00785453" w:rsidRDefault="00C53B7B" w:rsidP="00C53B7B">
      <w:pPr>
        <w:bidi/>
        <w:rPr>
          <w:rFonts w:ascii="Traditional Arabic" w:hAnsi="Traditional Arabic" w:cs="Traditional Arabic"/>
          <w:b/>
          <w:bCs/>
          <w:sz w:val="30"/>
          <w:szCs w:val="30"/>
          <w:rtl/>
        </w:rPr>
      </w:pPr>
    </w:p>
    <w:p w14:paraId="243C66BC" w14:textId="77777777" w:rsidR="00C53B7B" w:rsidRPr="00785453" w:rsidRDefault="00C53B7B" w:rsidP="00C53B7B">
      <w:pPr>
        <w:bidi/>
        <w:rPr>
          <w:rFonts w:ascii="Traditional Arabic" w:hAnsi="Traditional Arabic" w:cs="Traditional Arabic"/>
          <w:sz w:val="30"/>
          <w:szCs w:val="30"/>
          <w:rtl/>
        </w:rPr>
      </w:pPr>
      <w:r w:rsidRPr="00785453">
        <w:rPr>
          <w:rFonts w:ascii="Traditional Arabic" w:hAnsi="Traditional Arabic" w:cs="Traditional Arabic"/>
          <w:b/>
          <w:bCs/>
          <w:sz w:val="30"/>
          <w:szCs w:val="30"/>
          <w:rtl/>
        </w:rPr>
        <w:t>الفئة الأولى للطرح</w:t>
      </w:r>
    </w:p>
    <w:p w14:paraId="3C3E0F57" w14:textId="77777777" w:rsidR="00C53B7B" w:rsidRPr="00785453" w:rsidRDefault="00C53B7B" w:rsidP="00C53B7B">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إجراء الاكتتاب وطلبات الاكتتاب للمستثمرين من الفئة الأولى</w:t>
      </w:r>
    </w:p>
    <w:p w14:paraId="33DF5CAA" w14:textId="77777777" w:rsidR="00C53B7B" w:rsidRPr="00785453" w:rsidRDefault="00C53B7B" w:rsidP="00C53B7B">
      <w:pPr>
        <w:bidi/>
        <w:jc w:val="both"/>
        <w:rPr>
          <w:rFonts w:ascii="Traditional Arabic" w:hAnsi="Traditional Arabic" w:cs="Traditional Arabic"/>
          <w:b/>
          <w:sz w:val="30"/>
          <w:szCs w:val="30"/>
          <w:lang w:val="en-GB"/>
        </w:rPr>
      </w:pPr>
      <w:r w:rsidRPr="00785453">
        <w:rPr>
          <w:rFonts w:ascii="Traditional Arabic" w:hAnsi="Traditional Arabic" w:cs="Traditional Arabic"/>
          <w:sz w:val="30"/>
          <w:szCs w:val="30"/>
          <w:rtl/>
        </w:rPr>
        <w:t xml:space="preserve">يجوز للمتقدمين من الفئة الأولى تقديم الطلبات إلى أي من وكلاء التحصيل </w:t>
      </w:r>
      <w:r w:rsidRPr="00785453">
        <w:rPr>
          <w:rFonts w:ascii="Traditional Arabic" w:hAnsi="Traditional Arabic" w:cs="Traditional Arabic" w:hint="cs"/>
          <w:sz w:val="30"/>
          <w:szCs w:val="30"/>
          <w:rtl/>
        </w:rPr>
        <w:t>أو</w:t>
      </w:r>
      <w:r w:rsidR="00C71D18" w:rsidRPr="00C71D18">
        <w:rPr>
          <w:rFonts w:ascii="Traditional Arabic" w:hAnsi="Traditional Arabic" w:cs="Traditional Arabic"/>
          <w:sz w:val="30"/>
          <w:szCs w:val="30"/>
          <w:rtl/>
        </w:rPr>
        <w:t xml:space="preserve"> </w:t>
      </w:r>
      <w:r w:rsidR="00E07E09">
        <w:rPr>
          <w:rFonts w:ascii="Traditional Arabic" w:hAnsi="Traditional Arabic" w:cs="Traditional Arabic" w:hint="cs"/>
          <w:sz w:val="30"/>
          <w:szCs w:val="30"/>
          <w:rtl/>
        </w:rPr>
        <w:t>مدير الإصدار</w:t>
      </w:r>
      <w:r w:rsidR="00C71D18">
        <w:rPr>
          <w:rFonts w:ascii="Traditional Arabic" w:hAnsi="Traditional Arabic" w:cs="Traditional Arabic" w:hint="cs"/>
          <w:sz w:val="30"/>
          <w:szCs w:val="30"/>
          <w:rtl/>
        </w:rPr>
        <w:t xml:space="preserve"> أو</w:t>
      </w:r>
      <w:r w:rsidRPr="00785453">
        <w:rPr>
          <w:rFonts w:ascii="Traditional Arabic" w:hAnsi="Traditional Arabic" w:cs="Traditional Arabic" w:hint="cs"/>
          <w:sz w:val="30"/>
          <w:szCs w:val="30"/>
          <w:rtl/>
        </w:rPr>
        <w:t xml:space="preserve"> </w:t>
      </w:r>
      <w:r w:rsidR="0088775F">
        <w:rPr>
          <w:rFonts w:ascii="Traditional Arabic" w:hAnsi="Traditional Arabic" w:cs="Traditional Arabic" w:hint="cs"/>
          <w:sz w:val="30"/>
          <w:szCs w:val="30"/>
          <w:rtl/>
        </w:rPr>
        <w:t>مدير سجل الاكتتاب</w:t>
      </w:r>
      <w:r w:rsidR="00C37E20">
        <w:rPr>
          <w:rFonts w:ascii="Traditional Arabic" w:hAnsi="Traditional Arabic" w:cs="Traditional Arabic" w:hint="cs"/>
          <w:sz w:val="30"/>
          <w:szCs w:val="30"/>
          <w:rtl/>
        </w:rPr>
        <w:t xml:space="preserve"> المشترك</w:t>
      </w:r>
      <w:r w:rsidRPr="00785453">
        <w:rPr>
          <w:rFonts w:ascii="Traditional Arabic" w:hAnsi="Traditional Arabic" w:cs="Traditional Arabic" w:hint="cs"/>
          <w:sz w:val="30"/>
          <w:szCs w:val="30"/>
          <w:rtl/>
        </w:rPr>
        <w:t xml:space="preserve"> </w:t>
      </w:r>
      <w:r w:rsidRPr="00785453">
        <w:rPr>
          <w:rFonts w:ascii="Traditional Arabic" w:hAnsi="Traditional Arabic" w:cs="Traditional Arabic"/>
          <w:sz w:val="30"/>
          <w:szCs w:val="30"/>
          <w:rtl/>
        </w:rPr>
        <w:t>خلال ساعات العمل المصرفية الرسمية قبل تاريخ اغلاق الاكتتاب في الفئة الأولى. تعد الطلبات ملزمة بمجرد تقديمها، ولا يمكن تعديلها إلا مرة واحدة عن طريق تقديم استمارة تعديل طلب الاكتتاب</w:t>
      </w:r>
      <w:r w:rsidRPr="00785453" w:rsidDel="000B43AF">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وذلك للاكتتاب في عدد أكبر من الأسهم أو في سعر أعلى أو كليهما، في أو قبل تاريخ إغلاق الاكتتاب في الفئة الأولى.</w:t>
      </w:r>
    </w:p>
    <w:p w14:paraId="1AF2BA5B" w14:textId="77777777" w:rsidR="00C53B7B" w:rsidRPr="00785453" w:rsidRDefault="00C53B7B" w:rsidP="00C53B7B">
      <w:pPr>
        <w:bidi/>
        <w:jc w:val="both"/>
        <w:rPr>
          <w:rFonts w:ascii="Traditional Arabic" w:hAnsi="Traditional Arabic" w:cs="Traditional Arabic"/>
          <w:sz w:val="30"/>
          <w:szCs w:val="30"/>
          <w:rtl/>
          <w:lang w:val="en-GB"/>
        </w:rPr>
      </w:pPr>
    </w:p>
    <w:p w14:paraId="6CE3EB4E" w14:textId="77777777" w:rsidR="00C53B7B" w:rsidRPr="00785453" w:rsidRDefault="00C53B7B" w:rsidP="00C53B7B">
      <w:pPr>
        <w:bidi/>
        <w:jc w:val="both"/>
        <w:rPr>
          <w:rFonts w:ascii="Traditional Arabic" w:hAnsi="Traditional Arabic" w:cs="Traditional Arabic"/>
          <w:b/>
          <w:sz w:val="30"/>
          <w:szCs w:val="30"/>
          <w:lang w:val="en-GB"/>
        </w:rPr>
      </w:pPr>
      <w:r w:rsidRPr="00785453">
        <w:rPr>
          <w:rFonts w:ascii="Traditional Arabic" w:hAnsi="Traditional Arabic" w:cs="Traditional Arabic"/>
          <w:sz w:val="30"/>
          <w:szCs w:val="30"/>
          <w:rtl/>
        </w:rPr>
        <w:t>تتضمن الطلبات ثلاثة عروض بحد أقصى تجمع بين السعر مقابل عدد الأسهم. يقصد بم</w:t>
      </w:r>
      <w:r w:rsidRPr="00785453">
        <w:rPr>
          <w:rFonts w:ascii="Traditional Arabic" w:hAnsi="Traditional Arabic" w:cs="Traditional Arabic"/>
          <w:sz w:val="30"/>
          <w:szCs w:val="30"/>
          <w:rtl/>
          <w:lang w:bidi="ar-OM"/>
        </w:rPr>
        <w:t>بلغ</w:t>
      </w:r>
      <w:r w:rsidRPr="00785453">
        <w:rPr>
          <w:rFonts w:ascii="Traditional Arabic" w:hAnsi="Traditional Arabic" w:cs="Traditional Arabic"/>
          <w:sz w:val="30"/>
          <w:szCs w:val="30"/>
          <w:rtl/>
        </w:rPr>
        <w:t xml:space="preserve"> طلب الاكتتاب من الفئة الأولى: أعلى مبلغ عرض مستلم من جميع العروض المقدمة في طلب الاكتتاب في الفئة الأولى. ويكون كل وكيل تحصيل مسؤولا عن التحقق مما إذا كان الطلب يتوافق مع التعليمات المنصوص عليها في هذه النشرة.</w:t>
      </w:r>
    </w:p>
    <w:p w14:paraId="7EC6FCA7" w14:textId="77777777" w:rsidR="00C53B7B" w:rsidRPr="00785453" w:rsidRDefault="00C53B7B" w:rsidP="00C53B7B">
      <w:pPr>
        <w:bidi/>
        <w:jc w:val="both"/>
        <w:rPr>
          <w:rFonts w:ascii="Traditional Arabic" w:hAnsi="Traditional Arabic" w:cs="Traditional Arabic"/>
          <w:sz w:val="30"/>
          <w:szCs w:val="30"/>
          <w:rtl/>
        </w:rPr>
      </w:pPr>
    </w:p>
    <w:p w14:paraId="32D79379"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يتم دفع قيمة أسهم الطرح المكتتب بها من قبل المتقدمين من الفئة الأولى بالريال العُماني. سيطلب من مقدمي طلبات الاكتتاب في الفئة الأولى ان يقوموا بسداد كامل قيمة الأسهم المخصصة لهم إلى الحساب المصرفي المعين </w:t>
      </w:r>
      <w:r w:rsidRPr="00785453">
        <w:rPr>
          <w:rFonts w:ascii="Traditional Arabic" w:hAnsi="Traditional Arabic" w:cs="Traditional Arabic" w:hint="cs"/>
          <w:sz w:val="30"/>
          <w:szCs w:val="30"/>
          <w:rtl/>
        </w:rPr>
        <w:t xml:space="preserve">لأحد </w:t>
      </w:r>
      <w:r w:rsidRPr="00785453">
        <w:rPr>
          <w:rFonts w:ascii="Traditional Arabic" w:hAnsi="Traditional Arabic" w:cs="Traditional Arabic"/>
          <w:sz w:val="30"/>
          <w:szCs w:val="30"/>
          <w:rtl/>
        </w:rPr>
        <w:t>وكلاء التحصيل</w:t>
      </w:r>
      <w:r w:rsidRPr="00785453">
        <w:rPr>
          <w:rFonts w:ascii="Traditional Arabic" w:hAnsi="Traditional Arabic" w:cs="Traditional Arabic" w:hint="cs"/>
          <w:sz w:val="30"/>
          <w:szCs w:val="30"/>
          <w:rtl/>
        </w:rPr>
        <w:t xml:space="preserve"> أو</w:t>
      </w:r>
      <w:r w:rsidR="00563FCF" w:rsidRPr="00563FCF">
        <w:rPr>
          <w:rFonts w:ascii="Traditional Arabic" w:hAnsi="Traditional Arabic" w:cs="Traditional Arabic"/>
          <w:sz w:val="30"/>
          <w:szCs w:val="30"/>
          <w:rtl/>
        </w:rPr>
        <w:t xml:space="preserve"> </w:t>
      </w:r>
      <w:r w:rsidR="00E07E09">
        <w:rPr>
          <w:rFonts w:ascii="Traditional Arabic" w:hAnsi="Traditional Arabic" w:cs="Traditional Arabic" w:hint="cs"/>
          <w:sz w:val="30"/>
          <w:szCs w:val="30"/>
          <w:rtl/>
        </w:rPr>
        <w:t xml:space="preserve">مدير الإصدار </w:t>
      </w:r>
      <w:r w:rsidR="00563FCF">
        <w:rPr>
          <w:rFonts w:ascii="Traditional Arabic" w:hAnsi="Traditional Arabic" w:cs="Traditional Arabic" w:hint="cs"/>
          <w:sz w:val="30"/>
          <w:szCs w:val="30"/>
          <w:rtl/>
        </w:rPr>
        <w:t>أو</w:t>
      </w:r>
      <w:r w:rsidRPr="00785453">
        <w:rPr>
          <w:rFonts w:ascii="Traditional Arabic" w:hAnsi="Traditional Arabic" w:cs="Traditional Arabic" w:hint="cs"/>
          <w:sz w:val="30"/>
          <w:szCs w:val="30"/>
          <w:rtl/>
        </w:rPr>
        <w:t xml:space="preserve"> </w:t>
      </w:r>
      <w:r w:rsidR="005D13EA">
        <w:rPr>
          <w:rFonts w:ascii="Traditional Arabic" w:hAnsi="Traditional Arabic" w:cs="Traditional Arabic" w:hint="cs"/>
          <w:sz w:val="30"/>
          <w:szCs w:val="30"/>
          <w:rtl/>
        </w:rPr>
        <w:t>مدير</w:t>
      </w:r>
      <w:r w:rsidR="009113C5">
        <w:rPr>
          <w:rFonts w:ascii="Traditional Arabic" w:hAnsi="Traditional Arabic" w:cs="Traditional Arabic" w:hint="cs"/>
          <w:sz w:val="30"/>
          <w:szCs w:val="30"/>
          <w:rtl/>
        </w:rPr>
        <w:t xml:space="preserve"> سجل الاكتتاب</w:t>
      </w:r>
      <w:r w:rsidR="00C37E20">
        <w:rPr>
          <w:rFonts w:ascii="Traditional Arabic" w:hAnsi="Traditional Arabic" w:cs="Traditional Arabic" w:hint="cs"/>
          <w:sz w:val="30"/>
          <w:szCs w:val="30"/>
          <w:rtl/>
        </w:rPr>
        <w:t xml:space="preserve"> المشترك</w:t>
      </w:r>
      <w:r w:rsidRPr="00785453">
        <w:rPr>
          <w:rFonts w:ascii="Traditional Arabic" w:hAnsi="Traditional Arabic" w:cs="Traditional Arabic"/>
          <w:sz w:val="30"/>
          <w:szCs w:val="30"/>
          <w:rtl/>
        </w:rPr>
        <w:t xml:space="preserve">، وسيقوم وكلاء التحصيل </w:t>
      </w:r>
      <w:r w:rsidRPr="00785453">
        <w:rPr>
          <w:rFonts w:ascii="Traditional Arabic" w:hAnsi="Traditional Arabic" w:cs="Traditional Arabic" w:hint="cs"/>
          <w:sz w:val="30"/>
          <w:szCs w:val="30"/>
          <w:rtl/>
        </w:rPr>
        <w:t>أو</w:t>
      </w:r>
      <w:r w:rsidR="00563FCF">
        <w:rPr>
          <w:rFonts w:ascii="Traditional Arabic" w:hAnsi="Traditional Arabic" w:cs="Traditional Arabic" w:hint="cs"/>
          <w:sz w:val="30"/>
          <w:szCs w:val="30"/>
          <w:rtl/>
        </w:rPr>
        <w:t xml:space="preserve"> </w:t>
      </w:r>
      <w:r w:rsidR="00E07E09">
        <w:rPr>
          <w:rFonts w:ascii="Traditional Arabic" w:hAnsi="Traditional Arabic" w:cs="Traditional Arabic" w:hint="cs"/>
          <w:sz w:val="30"/>
          <w:szCs w:val="30"/>
          <w:rtl/>
        </w:rPr>
        <w:t>مدير الإصدار</w:t>
      </w:r>
      <w:r w:rsidR="00563FCF">
        <w:rPr>
          <w:rFonts w:ascii="Traditional Arabic" w:hAnsi="Traditional Arabic" w:cs="Traditional Arabic" w:hint="cs"/>
          <w:sz w:val="30"/>
          <w:szCs w:val="30"/>
          <w:rtl/>
        </w:rPr>
        <w:t xml:space="preserve"> أو</w:t>
      </w:r>
      <w:r w:rsidRPr="00785453">
        <w:rPr>
          <w:rFonts w:ascii="Traditional Arabic" w:hAnsi="Traditional Arabic" w:cs="Traditional Arabic" w:hint="cs"/>
          <w:sz w:val="30"/>
          <w:szCs w:val="30"/>
          <w:rtl/>
        </w:rPr>
        <w:t xml:space="preserve"> </w:t>
      </w:r>
      <w:r w:rsidR="005D13EA">
        <w:rPr>
          <w:rFonts w:ascii="Traditional Arabic" w:hAnsi="Traditional Arabic" w:cs="Traditional Arabic" w:hint="cs"/>
          <w:sz w:val="30"/>
          <w:szCs w:val="30"/>
          <w:rtl/>
        </w:rPr>
        <w:t>مدير سجل الاكتتاب</w:t>
      </w:r>
      <w:r w:rsidR="00C37E20">
        <w:rPr>
          <w:rFonts w:ascii="Traditional Arabic" w:hAnsi="Traditional Arabic" w:cs="Traditional Arabic" w:hint="cs"/>
          <w:sz w:val="30"/>
          <w:szCs w:val="30"/>
          <w:rtl/>
        </w:rPr>
        <w:t xml:space="preserve"> المشترك</w:t>
      </w:r>
      <w:r w:rsidRPr="00785453">
        <w:rPr>
          <w:rFonts w:ascii="Traditional Arabic" w:hAnsi="Traditional Arabic" w:cs="Traditional Arabic" w:hint="cs"/>
          <w:sz w:val="30"/>
          <w:szCs w:val="30"/>
          <w:rtl/>
        </w:rPr>
        <w:t xml:space="preserve"> </w:t>
      </w:r>
      <w:r w:rsidRPr="00785453">
        <w:rPr>
          <w:rFonts w:ascii="Traditional Arabic" w:hAnsi="Traditional Arabic" w:cs="Traditional Arabic"/>
          <w:sz w:val="30"/>
          <w:szCs w:val="30"/>
          <w:rtl/>
        </w:rPr>
        <w:t>بتحويل عائدات الاكتتاب قبل يوم عمل على الأقل (بتوقيت سلطنة عمان) من تاريخ التسوية إلى الحساب المصرفي المعين لمدير الإصدار وفقًا لأحكام "شروط السداد لمقدمي الطلبات في الفئة الأولى".</w:t>
      </w:r>
    </w:p>
    <w:p w14:paraId="134145BA" w14:textId="77777777" w:rsidR="00C53B7B" w:rsidRPr="00785453" w:rsidRDefault="00C53B7B" w:rsidP="00C53B7B">
      <w:pPr>
        <w:bidi/>
        <w:jc w:val="both"/>
        <w:rPr>
          <w:rFonts w:ascii="Traditional Arabic" w:hAnsi="Traditional Arabic" w:cs="Traditional Arabic"/>
          <w:sz w:val="30"/>
          <w:szCs w:val="30"/>
          <w:rtl/>
        </w:rPr>
      </w:pPr>
    </w:p>
    <w:p w14:paraId="4A1CAFF6"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يتعين على جميع مقدمي الطلبات الذين يتقدمون بطلباتهم عن طريق </w:t>
      </w:r>
      <w:r w:rsidR="0075553D">
        <w:rPr>
          <w:rFonts w:ascii="Traditional Arabic" w:hAnsi="Traditional Arabic" w:cs="Traditional Arabic" w:hint="cs"/>
          <w:sz w:val="30"/>
          <w:szCs w:val="30"/>
          <w:rtl/>
        </w:rPr>
        <w:t xml:space="preserve">مدير سجل الاكتتاب </w:t>
      </w:r>
      <w:r w:rsidR="00C37E20">
        <w:rPr>
          <w:rFonts w:ascii="Traditional Arabic" w:hAnsi="Traditional Arabic" w:cs="Traditional Arabic" w:hint="cs"/>
          <w:sz w:val="30"/>
          <w:szCs w:val="30"/>
          <w:rtl/>
        </w:rPr>
        <w:t>المشترك</w:t>
      </w:r>
      <w:r w:rsidRPr="00785453">
        <w:rPr>
          <w:rFonts w:ascii="Traditional Arabic" w:hAnsi="Traditional Arabic" w:cs="Traditional Arabic"/>
          <w:sz w:val="30"/>
          <w:szCs w:val="30"/>
          <w:rtl/>
        </w:rPr>
        <w:t xml:space="preserve"> أن يقوموا بسداد المبالغ إلى الحساب البنكي المخصص</w:t>
      </w:r>
      <w:r w:rsidRPr="00785453">
        <w:rPr>
          <w:rFonts w:ascii="Traditional Arabic" w:hAnsi="Traditional Arabic" w:cs="Traditional Arabic" w:hint="cs"/>
          <w:sz w:val="30"/>
          <w:szCs w:val="30"/>
          <w:rtl/>
        </w:rPr>
        <w:t xml:space="preserve"> </w:t>
      </w:r>
      <w:r w:rsidR="006A2183">
        <w:rPr>
          <w:rFonts w:ascii="Traditional Arabic" w:hAnsi="Traditional Arabic" w:cs="Traditional Arabic" w:hint="cs"/>
          <w:sz w:val="30"/>
          <w:szCs w:val="30"/>
          <w:rtl/>
        </w:rPr>
        <w:t>لمدير سجل الاكتتاب</w:t>
      </w:r>
      <w:r w:rsidR="00C37E20">
        <w:rPr>
          <w:rFonts w:ascii="Traditional Arabic" w:hAnsi="Traditional Arabic" w:cs="Traditional Arabic" w:hint="cs"/>
          <w:sz w:val="30"/>
          <w:szCs w:val="30"/>
          <w:rtl/>
        </w:rPr>
        <w:t xml:space="preserve"> المشترك</w:t>
      </w:r>
      <w:r w:rsidRPr="00785453">
        <w:rPr>
          <w:rFonts w:ascii="Traditional Arabic" w:hAnsi="Traditional Arabic" w:cs="Traditional Arabic" w:hint="cs"/>
          <w:sz w:val="30"/>
          <w:szCs w:val="30"/>
          <w:rtl/>
        </w:rPr>
        <w:t xml:space="preserve"> </w:t>
      </w:r>
      <w:r w:rsidRPr="00785453">
        <w:rPr>
          <w:rFonts w:ascii="Traditional Arabic" w:hAnsi="Traditional Arabic" w:cs="Traditional Arabic"/>
          <w:sz w:val="30"/>
          <w:szCs w:val="30"/>
          <w:rtl/>
        </w:rPr>
        <w:t xml:space="preserve">قبل يومي عمل (بتوقيت سلطنة عمان) من تاريخ التسوية. </w:t>
      </w:r>
    </w:p>
    <w:p w14:paraId="49973D78" w14:textId="77777777" w:rsidR="00C53B7B" w:rsidRPr="00785453" w:rsidRDefault="00C53B7B" w:rsidP="00C53B7B">
      <w:pPr>
        <w:bidi/>
        <w:jc w:val="both"/>
        <w:rPr>
          <w:rFonts w:ascii="Traditional Arabic" w:hAnsi="Traditional Arabic" w:cs="Traditional Arabic"/>
          <w:sz w:val="30"/>
          <w:szCs w:val="30"/>
          <w:rtl/>
        </w:rPr>
      </w:pPr>
    </w:p>
    <w:p w14:paraId="4A1DFAE9" w14:textId="77777777" w:rsidR="00C53B7B" w:rsidRPr="00785453" w:rsidRDefault="00C53B7B" w:rsidP="00C53B7B">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rtl/>
          <w:lang w:bidi="ar-EG"/>
        </w:rPr>
        <w:t>وإذا لم يتم الدفع في الموعد المحدد</w:t>
      </w:r>
      <w:r w:rsidRPr="00785453">
        <w:rPr>
          <w:rFonts w:ascii="Traditional Arabic" w:hAnsi="Traditional Arabic" w:cs="Traditional Arabic"/>
          <w:sz w:val="30"/>
          <w:szCs w:val="30"/>
          <w:rtl/>
        </w:rPr>
        <w:t xml:space="preserve">، فقد يتحمل مقدمو الطلبات من الفئة الأولى رسوما </w:t>
      </w:r>
      <w:r w:rsidRPr="00785453">
        <w:rPr>
          <w:rFonts w:ascii="Traditional Arabic" w:hAnsi="Traditional Arabic" w:cs="Traditional Arabic"/>
          <w:sz w:val="30"/>
          <w:szCs w:val="30"/>
          <w:rtl/>
          <w:lang w:bidi="ar-EG"/>
        </w:rPr>
        <w:t xml:space="preserve">عالية الكلفة أو يصدر بحقهم إجراء تنفيذ. </w:t>
      </w:r>
    </w:p>
    <w:p w14:paraId="7B2FA012" w14:textId="77777777" w:rsidR="00C53B7B" w:rsidRPr="00785453" w:rsidRDefault="00C53B7B" w:rsidP="00C53B7B">
      <w:pPr>
        <w:bidi/>
        <w:jc w:val="both"/>
        <w:rPr>
          <w:rFonts w:ascii="Traditional Arabic" w:hAnsi="Traditional Arabic" w:cs="Traditional Arabic"/>
          <w:sz w:val="30"/>
          <w:szCs w:val="30"/>
          <w:rtl/>
          <w:lang w:val="en-GB" w:bidi="ar-EG"/>
        </w:rPr>
      </w:pPr>
    </w:p>
    <w:p w14:paraId="6D1CD42A" w14:textId="77777777" w:rsidR="00C53B7B" w:rsidRPr="00785453" w:rsidRDefault="00C53B7B" w:rsidP="00C53B7B">
      <w:pPr>
        <w:bidi/>
        <w:jc w:val="both"/>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 xml:space="preserve">المثال التوضيحي للعروض المقدمة في الطلب: </w:t>
      </w:r>
    </w:p>
    <w:p w14:paraId="06043264" w14:textId="77777777" w:rsidR="00C53B7B" w:rsidRPr="00785453" w:rsidRDefault="00C53B7B" w:rsidP="00C53B7B">
      <w:pPr>
        <w:bidi/>
        <w:jc w:val="both"/>
        <w:rPr>
          <w:rFonts w:ascii="Traditional Arabic" w:hAnsi="Traditional Arabic" w:cs="Traditional Arabic"/>
          <w:b/>
          <w:sz w:val="30"/>
          <w:szCs w:val="30"/>
          <w:rtl/>
          <w:lang w:val="en-GB" w:bidi="ar-EG"/>
        </w:rPr>
      </w:pPr>
      <w:r w:rsidRPr="00785453">
        <w:rPr>
          <w:rFonts w:ascii="Traditional Arabic" w:hAnsi="Traditional Arabic" w:cs="Traditional Arabic"/>
          <w:b/>
          <w:sz w:val="30"/>
          <w:szCs w:val="30"/>
          <w:rtl/>
          <w:lang w:val="en-GB" w:bidi="ar-EG"/>
        </w:rPr>
        <w:t>يعرض الجدول التالي مثالا توضيحيا لبعض العروض التي يجوز أو لا يجوز لمستثمري الفئة الأولى تقديمها.</w:t>
      </w:r>
    </w:p>
    <w:p w14:paraId="6A0DE5CA" w14:textId="77777777" w:rsidR="00C53B7B" w:rsidRPr="00785453" w:rsidRDefault="00C53B7B" w:rsidP="00C53B7B">
      <w:pPr>
        <w:bidi/>
        <w:jc w:val="both"/>
        <w:rPr>
          <w:rFonts w:ascii="Traditional Arabic" w:hAnsi="Traditional Arabic" w:cs="Traditional Arabic"/>
          <w:b/>
          <w:sz w:val="30"/>
          <w:szCs w:val="30"/>
          <w:rtl/>
          <w:lang w:val="en-GB"/>
        </w:rPr>
      </w:pPr>
    </w:p>
    <w:tbl>
      <w:tblPr>
        <w:tblStyle w:val="TableGrid34"/>
        <w:bidiVisual/>
        <w:tblW w:w="8453" w:type="dxa"/>
        <w:tblInd w:w="535" w:type="dxa"/>
        <w:tblCellMar>
          <w:left w:w="0" w:type="dxa"/>
          <w:right w:w="0" w:type="dxa"/>
        </w:tblCellMar>
        <w:tblLook w:val="04A0" w:firstRow="1" w:lastRow="0" w:firstColumn="1" w:lastColumn="0" w:noHBand="0" w:noVBand="1"/>
      </w:tblPr>
      <w:tblGrid>
        <w:gridCol w:w="2813"/>
        <w:gridCol w:w="2676"/>
        <w:gridCol w:w="2964"/>
      </w:tblGrid>
      <w:tr w:rsidR="00C53B7B" w:rsidRPr="00785453" w14:paraId="5D8B9CEA" w14:textId="77777777" w:rsidTr="00922116">
        <w:trPr>
          <w:trHeight w:val="186"/>
        </w:trPr>
        <w:tc>
          <w:tcPr>
            <w:tcW w:w="28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323570D1" w14:textId="77777777" w:rsidR="00C53B7B" w:rsidRPr="00785453" w:rsidRDefault="00C53B7B" w:rsidP="00922116">
            <w:pPr>
              <w:bidi/>
              <w:ind w:right="300"/>
              <w:jc w:val="both"/>
              <w:rPr>
                <w:rFonts w:ascii="Traditional Arabic" w:hAnsi="Traditional Arabic" w:cs="Traditional Arabic"/>
                <w:b/>
                <w:sz w:val="30"/>
                <w:szCs w:val="30"/>
                <w:lang w:val="en-GB"/>
              </w:rPr>
            </w:pPr>
            <w:r w:rsidRPr="00785453">
              <w:rPr>
                <w:rFonts w:ascii="Traditional Arabic" w:hAnsi="Traditional Arabic" w:cs="Traditional Arabic"/>
                <w:b/>
                <w:sz w:val="30"/>
                <w:szCs w:val="30"/>
                <w:rtl/>
                <w:lang w:val="en-GB"/>
              </w:rPr>
              <w:t>اسم المستثمر</w:t>
            </w:r>
          </w:p>
        </w:tc>
        <w:tc>
          <w:tcPr>
            <w:tcW w:w="26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4735D41F" w14:textId="77777777" w:rsidR="00C53B7B" w:rsidRPr="00785453" w:rsidRDefault="00C53B7B" w:rsidP="00922116">
            <w:pPr>
              <w:bidi/>
              <w:jc w:val="both"/>
              <w:rPr>
                <w:rFonts w:ascii="Traditional Arabic" w:hAnsi="Traditional Arabic" w:cs="Traditional Arabic"/>
                <w:b/>
                <w:sz w:val="30"/>
                <w:szCs w:val="30"/>
                <w:lang w:val="en-GB"/>
              </w:rPr>
            </w:pPr>
            <w:r w:rsidRPr="00785453">
              <w:rPr>
                <w:rFonts w:ascii="Traditional Arabic" w:hAnsi="Traditional Arabic" w:cs="Traditional Arabic"/>
                <w:b/>
                <w:sz w:val="30"/>
                <w:szCs w:val="30"/>
                <w:rtl/>
                <w:lang w:val="en-GB"/>
              </w:rPr>
              <w:t>المستثمر (أ)</w:t>
            </w:r>
          </w:p>
        </w:tc>
        <w:tc>
          <w:tcPr>
            <w:tcW w:w="2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77178D10" w14:textId="77777777" w:rsidR="00C53B7B" w:rsidRPr="00785453" w:rsidRDefault="00C53B7B" w:rsidP="00922116">
            <w:pPr>
              <w:bidi/>
              <w:jc w:val="both"/>
              <w:rPr>
                <w:rFonts w:ascii="Traditional Arabic" w:hAnsi="Traditional Arabic" w:cs="Traditional Arabic"/>
                <w:b/>
                <w:sz w:val="30"/>
                <w:szCs w:val="30"/>
                <w:lang w:val="en-GB"/>
              </w:rPr>
            </w:pPr>
            <w:r w:rsidRPr="00785453">
              <w:rPr>
                <w:rFonts w:ascii="Traditional Arabic" w:hAnsi="Traditional Arabic" w:cs="Traditional Arabic"/>
                <w:b/>
                <w:sz w:val="30"/>
                <w:szCs w:val="30"/>
                <w:rtl/>
                <w:lang w:val="en-GB"/>
              </w:rPr>
              <w:t>المستثمر (ب)</w:t>
            </w:r>
          </w:p>
        </w:tc>
      </w:tr>
      <w:tr w:rsidR="00C53B7B" w:rsidRPr="00785453" w14:paraId="5EDE0E37" w14:textId="77777777" w:rsidTr="00922116">
        <w:trPr>
          <w:trHeight w:val="612"/>
        </w:trPr>
        <w:tc>
          <w:tcPr>
            <w:tcW w:w="2813" w:type="dxa"/>
            <w:tcBorders>
              <w:top w:val="single" w:sz="4" w:space="0" w:color="auto"/>
              <w:left w:val="single" w:sz="4" w:space="0" w:color="auto"/>
              <w:bottom w:val="single" w:sz="4" w:space="0" w:color="auto"/>
              <w:right w:val="single" w:sz="4" w:space="0" w:color="auto"/>
            </w:tcBorders>
            <w:hideMark/>
          </w:tcPr>
          <w:p w14:paraId="500FB1D2" w14:textId="77777777" w:rsidR="00C53B7B" w:rsidRPr="00785453" w:rsidRDefault="00C53B7B" w:rsidP="00922116">
            <w:pPr>
              <w:bidi/>
              <w:ind w:right="300"/>
              <w:jc w:val="both"/>
              <w:rPr>
                <w:rFonts w:ascii="Traditional Arabic" w:hAnsi="Traditional Arabic" w:cs="Traditional Arabic"/>
                <w:b/>
                <w:sz w:val="30"/>
                <w:szCs w:val="30"/>
                <w:lang w:val="en-GB"/>
              </w:rPr>
            </w:pPr>
            <w:r w:rsidRPr="00785453">
              <w:rPr>
                <w:rFonts w:ascii="Traditional Arabic" w:hAnsi="Traditional Arabic" w:cs="Traditional Arabic"/>
                <w:b/>
                <w:sz w:val="30"/>
                <w:szCs w:val="30"/>
                <w:rtl/>
                <w:lang w:val="en-GB"/>
              </w:rPr>
              <w:lastRenderedPageBreak/>
              <w:t>عدد أسهم الطرح لكل سعر عرض</w:t>
            </w:r>
          </w:p>
        </w:tc>
        <w:tc>
          <w:tcPr>
            <w:tcW w:w="2676" w:type="dxa"/>
            <w:tcBorders>
              <w:top w:val="single" w:sz="4" w:space="0" w:color="auto"/>
              <w:left w:val="single" w:sz="4" w:space="0" w:color="auto"/>
              <w:bottom w:val="single" w:sz="4" w:space="0" w:color="auto"/>
              <w:right w:val="single" w:sz="4" w:space="0" w:color="auto"/>
            </w:tcBorders>
            <w:hideMark/>
          </w:tcPr>
          <w:p w14:paraId="0525A5F3" w14:textId="77777777" w:rsidR="00C53B7B" w:rsidRPr="00785453" w:rsidRDefault="00C53B7B" w:rsidP="00922116">
            <w:pPr>
              <w:bidi/>
              <w:ind w:right="285"/>
              <w:jc w:val="both"/>
              <w:rPr>
                <w:rFonts w:ascii="Traditional Arabic" w:hAnsi="Traditional Arabic" w:cs="Traditional Arabic"/>
                <w:b/>
                <w:sz w:val="30"/>
                <w:szCs w:val="30"/>
                <w:lang w:val="en-GB"/>
              </w:rPr>
            </w:pPr>
            <w:r w:rsidRPr="00785453">
              <w:rPr>
                <w:rFonts w:ascii="Traditional Arabic" w:hAnsi="Traditional Arabic" w:cs="Traditional Arabic"/>
                <w:b/>
                <w:sz w:val="30"/>
                <w:szCs w:val="30"/>
                <w:rtl/>
                <w:lang w:val="en-GB"/>
              </w:rPr>
              <w:t xml:space="preserve">10,000,000 بسعر </w:t>
            </w:r>
            <w:r w:rsidR="00905246">
              <w:rPr>
                <w:rFonts w:ascii="Traditional Arabic" w:hAnsi="Traditional Arabic" w:cs="Traditional Arabic" w:hint="cs"/>
                <w:sz w:val="30"/>
                <w:szCs w:val="30"/>
                <w:rtl/>
                <w:lang w:bidi="ar-OM"/>
              </w:rPr>
              <w:t>123</w:t>
            </w:r>
            <w:r w:rsidR="00905246"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b/>
                <w:sz w:val="30"/>
                <w:szCs w:val="30"/>
                <w:rtl/>
                <w:lang w:val="en-GB"/>
              </w:rPr>
              <w:t>بيسة للسهم</w:t>
            </w:r>
          </w:p>
          <w:p w14:paraId="105C1AE5" w14:textId="77777777" w:rsidR="00C53B7B" w:rsidRPr="00785453" w:rsidRDefault="00C53B7B" w:rsidP="00922116">
            <w:pPr>
              <w:bidi/>
              <w:ind w:right="285"/>
              <w:jc w:val="both"/>
              <w:rPr>
                <w:rFonts w:ascii="Traditional Arabic" w:hAnsi="Traditional Arabic" w:cs="Traditional Arabic"/>
                <w:b/>
                <w:sz w:val="30"/>
                <w:szCs w:val="30"/>
                <w:lang w:val="en-GB"/>
              </w:rPr>
            </w:pPr>
          </w:p>
        </w:tc>
        <w:tc>
          <w:tcPr>
            <w:tcW w:w="2964" w:type="dxa"/>
            <w:tcBorders>
              <w:top w:val="single" w:sz="4" w:space="0" w:color="auto"/>
              <w:left w:val="single" w:sz="4" w:space="0" w:color="auto"/>
              <w:bottom w:val="single" w:sz="4" w:space="0" w:color="auto"/>
              <w:right w:val="single" w:sz="4" w:space="0" w:color="auto"/>
            </w:tcBorders>
            <w:hideMark/>
          </w:tcPr>
          <w:p w14:paraId="38807ED6" w14:textId="77777777" w:rsidR="00C53B7B" w:rsidRPr="00785453" w:rsidRDefault="00C53B7B" w:rsidP="00922116">
            <w:pPr>
              <w:bidi/>
              <w:ind w:right="127"/>
              <w:jc w:val="both"/>
              <w:rPr>
                <w:rFonts w:ascii="Traditional Arabic" w:hAnsi="Traditional Arabic" w:cs="Traditional Arabic"/>
                <w:b/>
                <w:sz w:val="30"/>
                <w:szCs w:val="30"/>
                <w:lang w:val="en-GB"/>
              </w:rPr>
            </w:pPr>
            <w:r w:rsidRPr="00785453">
              <w:rPr>
                <w:rFonts w:ascii="Traditional Arabic" w:hAnsi="Traditional Arabic" w:cs="Traditional Arabic"/>
                <w:b/>
                <w:sz w:val="30"/>
                <w:szCs w:val="30"/>
                <w:rtl/>
                <w:lang w:val="en-GB"/>
              </w:rPr>
              <w:t xml:space="preserve">5,000,000 بسعر </w:t>
            </w:r>
            <w:r w:rsidR="00905246">
              <w:rPr>
                <w:rFonts w:ascii="Traditional Arabic" w:hAnsi="Traditional Arabic" w:cs="Traditional Arabic" w:hint="cs"/>
                <w:sz w:val="30"/>
                <w:szCs w:val="30"/>
                <w:rtl/>
                <w:lang w:bidi="ar-OM"/>
              </w:rPr>
              <w:t>123</w:t>
            </w:r>
            <w:r w:rsidR="00905246"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b/>
                <w:sz w:val="30"/>
                <w:szCs w:val="30"/>
                <w:rtl/>
                <w:lang w:val="en-GB"/>
              </w:rPr>
              <w:t>بيسة للسهم</w:t>
            </w:r>
          </w:p>
          <w:p w14:paraId="348EA1B3" w14:textId="77777777" w:rsidR="00C53B7B" w:rsidRPr="00785453" w:rsidRDefault="00C53B7B" w:rsidP="00922116">
            <w:pPr>
              <w:bidi/>
              <w:ind w:right="127"/>
              <w:jc w:val="both"/>
              <w:rPr>
                <w:rFonts w:ascii="Traditional Arabic" w:hAnsi="Traditional Arabic" w:cs="Traditional Arabic"/>
                <w:b/>
                <w:sz w:val="30"/>
                <w:szCs w:val="30"/>
                <w:lang w:val="en-GB"/>
              </w:rPr>
            </w:pPr>
          </w:p>
        </w:tc>
      </w:tr>
      <w:tr w:rsidR="00C53B7B" w:rsidRPr="00785453" w14:paraId="4F482EEC" w14:textId="77777777" w:rsidTr="00922116">
        <w:trPr>
          <w:trHeight w:val="612"/>
        </w:trPr>
        <w:tc>
          <w:tcPr>
            <w:tcW w:w="2813" w:type="dxa"/>
            <w:tcBorders>
              <w:top w:val="single" w:sz="4" w:space="0" w:color="auto"/>
              <w:left w:val="single" w:sz="4" w:space="0" w:color="auto"/>
              <w:bottom w:val="single" w:sz="4" w:space="0" w:color="auto"/>
              <w:right w:val="single" w:sz="4" w:space="0" w:color="auto"/>
            </w:tcBorders>
          </w:tcPr>
          <w:p w14:paraId="07D44B0C" w14:textId="77777777" w:rsidR="00C53B7B" w:rsidRPr="00785453" w:rsidRDefault="00C53B7B" w:rsidP="00922116">
            <w:pPr>
              <w:bidi/>
              <w:ind w:right="300"/>
              <w:jc w:val="both"/>
              <w:rPr>
                <w:rFonts w:ascii="Traditional Arabic" w:hAnsi="Traditional Arabic" w:cs="Traditional Arabic"/>
                <w:b/>
                <w:sz w:val="30"/>
                <w:szCs w:val="30"/>
                <w:rtl/>
                <w:lang w:val="en-GB"/>
              </w:rPr>
            </w:pPr>
          </w:p>
        </w:tc>
        <w:tc>
          <w:tcPr>
            <w:tcW w:w="2676" w:type="dxa"/>
            <w:tcBorders>
              <w:top w:val="single" w:sz="4" w:space="0" w:color="auto"/>
              <w:left w:val="single" w:sz="4" w:space="0" w:color="auto"/>
              <w:bottom w:val="single" w:sz="4" w:space="0" w:color="auto"/>
              <w:right w:val="single" w:sz="4" w:space="0" w:color="auto"/>
            </w:tcBorders>
          </w:tcPr>
          <w:p w14:paraId="764FB085" w14:textId="77777777" w:rsidR="00C53B7B" w:rsidRPr="00785453" w:rsidRDefault="00C53B7B" w:rsidP="00922116">
            <w:pPr>
              <w:bidi/>
              <w:ind w:right="285"/>
              <w:jc w:val="both"/>
              <w:rPr>
                <w:rFonts w:ascii="Traditional Arabic" w:hAnsi="Traditional Arabic" w:cs="Traditional Arabic"/>
                <w:b/>
                <w:sz w:val="30"/>
                <w:szCs w:val="30"/>
                <w:rtl/>
                <w:lang w:val="en-GB"/>
              </w:rPr>
            </w:pPr>
            <w:r w:rsidRPr="00785453">
              <w:rPr>
                <w:rFonts w:ascii="Traditional Arabic" w:hAnsi="Traditional Arabic" w:cs="Traditional Arabic"/>
                <w:b/>
                <w:sz w:val="30"/>
                <w:szCs w:val="30"/>
                <w:rtl/>
                <w:lang w:val="en-GB"/>
              </w:rPr>
              <w:t xml:space="preserve">5,000,000 بسعر </w:t>
            </w:r>
            <w:r w:rsidR="00905246">
              <w:rPr>
                <w:rFonts w:ascii="Traditional Arabic" w:hAnsi="Traditional Arabic" w:cs="Traditional Arabic" w:hint="cs"/>
                <w:sz w:val="30"/>
                <w:szCs w:val="30"/>
                <w:rtl/>
                <w:lang w:bidi="ar-OM"/>
              </w:rPr>
              <w:t xml:space="preserve">119 </w:t>
            </w:r>
            <w:r w:rsidRPr="00785453">
              <w:rPr>
                <w:rFonts w:ascii="Traditional Arabic" w:hAnsi="Traditional Arabic" w:cs="Traditional Arabic"/>
                <w:b/>
                <w:sz w:val="30"/>
                <w:szCs w:val="30"/>
                <w:rtl/>
                <w:lang w:val="en-GB"/>
              </w:rPr>
              <w:t>بيسة للسهم</w:t>
            </w:r>
          </w:p>
        </w:tc>
        <w:tc>
          <w:tcPr>
            <w:tcW w:w="2964" w:type="dxa"/>
            <w:tcBorders>
              <w:top w:val="single" w:sz="4" w:space="0" w:color="auto"/>
              <w:left w:val="single" w:sz="4" w:space="0" w:color="auto"/>
              <w:bottom w:val="single" w:sz="4" w:space="0" w:color="auto"/>
              <w:right w:val="single" w:sz="4" w:space="0" w:color="auto"/>
            </w:tcBorders>
          </w:tcPr>
          <w:p w14:paraId="6A33E21D" w14:textId="77777777" w:rsidR="00C53B7B" w:rsidRPr="00785453" w:rsidRDefault="00C53B7B" w:rsidP="00922116">
            <w:pPr>
              <w:bidi/>
              <w:ind w:right="127"/>
              <w:jc w:val="both"/>
              <w:rPr>
                <w:rFonts w:ascii="Traditional Arabic" w:hAnsi="Traditional Arabic" w:cs="Traditional Arabic"/>
                <w:b/>
                <w:sz w:val="30"/>
                <w:szCs w:val="30"/>
                <w:rtl/>
                <w:lang w:val="en-GB"/>
              </w:rPr>
            </w:pPr>
            <w:r w:rsidRPr="00785453">
              <w:rPr>
                <w:rFonts w:ascii="Traditional Arabic" w:hAnsi="Traditional Arabic" w:cs="Traditional Arabic"/>
                <w:b/>
                <w:sz w:val="30"/>
                <w:szCs w:val="30"/>
                <w:rtl/>
                <w:lang w:val="en-GB"/>
              </w:rPr>
              <w:t xml:space="preserve">10,000,000 بسعر </w:t>
            </w:r>
            <w:r w:rsidR="00905246">
              <w:rPr>
                <w:rFonts w:ascii="Traditional Arabic" w:hAnsi="Traditional Arabic" w:cs="Traditional Arabic" w:hint="cs"/>
                <w:sz w:val="30"/>
                <w:szCs w:val="30"/>
                <w:rtl/>
                <w:lang w:bidi="ar-OM"/>
              </w:rPr>
              <w:t>121</w:t>
            </w:r>
            <w:r w:rsidR="00905246"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b/>
                <w:sz w:val="30"/>
                <w:szCs w:val="30"/>
                <w:rtl/>
                <w:lang w:val="en-GB"/>
              </w:rPr>
              <w:t>بيسة للسهم</w:t>
            </w:r>
          </w:p>
          <w:p w14:paraId="63765FDB" w14:textId="77777777" w:rsidR="00C53B7B" w:rsidRPr="00785453" w:rsidRDefault="00C53B7B" w:rsidP="00922116">
            <w:pPr>
              <w:bidi/>
              <w:ind w:right="127"/>
              <w:jc w:val="both"/>
              <w:rPr>
                <w:rFonts w:ascii="Traditional Arabic" w:hAnsi="Traditional Arabic" w:cs="Traditional Arabic"/>
                <w:b/>
                <w:sz w:val="30"/>
                <w:szCs w:val="30"/>
                <w:rtl/>
                <w:lang w:val="en-GB"/>
              </w:rPr>
            </w:pPr>
          </w:p>
        </w:tc>
      </w:tr>
      <w:tr w:rsidR="00C53B7B" w:rsidRPr="00785453" w14:paraId="23131DA2" w14:textId="77777777" w:rsidTr="00922116">
        <w:trPr>
          <w:trHeight w:val="612"/>
        </w:trPr>
        <w:tc>
          <w:tcPr>
            <w:tcW w:w="2813" w:type="dxa"/>
            <w:tcBorders>
              <w:top w:val="single" w:sz="4" w:space="0" w:color="auto"/>
              <w:left w:val="single" w:sz="4" w:space="0" w:color="auto"/>
              <w:bottom w:val="single" w:sz="4" w:space="0" w:color="auto"/>
              <w:right w:val="single" w:sz="4" w:space="0" w:color="auto"/>
            </w:tcBorders>
          </w:tcPr>
          <w:p w14:paraId="1F3CEFD3" w14:textId="77777777" w:rsidR="00C53B7B" w:rsidRPr="00785453" w:rsidRDefault="00C53B7B" w:rsidP="00922116">
            <w:pPr>
              <w:bidi/>
              <w:ind w:right="300"/>
              <w:jc w:val="both"/>
              <w:rPr>
                <w:rFonts w:ascii="Traditional Arabic" w:hAnsi="Traditional Arabic" w:cs="Traditional Arabic"/>
                <w:b/>
                <w:sz w:val="30"/>
                <w:szCs w:val="30"/>
                <w:rtl/>
                <w:lang w:val="en-GB"/>
              </w:rPr>
            </w:pPr>
          </w:p>
        </w:tc>
        <w:tc>
          <w:tcPr>
            <w:tcW w:w="2676" w:type="dxa"/>
            <w:tcBorders>
              <w:top w:val="single" w:sz="4" w:space="0" w:color="auto"/>
              <w:left w:val="single" w:sz="4" w:space="0" w:color="auto"/>
              <w:bottom w:val="single" w:sz="4" w:space="0" w:color="auto"/>
              <w:right w:val="single" w:sz="4" w:space="0" w:color="auto"/>
            </w:tcBorders>
          </w:tcPr>
          <w:p w14:paraId="7FC92E31" w14:textId="77777777" w:rsidR="00C53B7B" w:rsidRPr="00785453" w:rsidRDefault="00C53B7B" w:rsidP="00922116">
            <w:pPr>
              <w:bidi/>
              <w:ind w:right="285"/>
              <w:jc w:val="both"/>
              <w:rPr>
                <w:rFonts w:ascii="Traditional Arabic" w:hAnsi="Traditional Arabic" w:cs="Traditional Arabic"/>
                <w:b/>
                <w:sz w:val="30"/>
                <w:szCs w:val="30"/>
                <w:rtl/>
                <w:lang w:val="en-GB"/>
              </w:rPr>
            </w:pPr>
          </w:p>
        </w:tc>
        <w:tc>
          <w:tcPr>
            <w:tcW w:w="2964" w:type="dxa"/>
            <w:tcBorders>
              <w:top w:val="single" w:sz="4" w:space="0" w:color="auto"/>
              <w:left w:val="single" w:sz="4" w:space="0" w:color="auto"/>
              <w:bottom w:val="single" w:sz="4" w:space="0" w:color="auto"/>
              <w:right w:val="single" w:sz="4" w:space="0" w:color="auto"/>
            </w:tcBorders>
          </w:tcPr>
          <w:p w14:paraId="63FE0503" w14:textId="77777777" w:rsidR="00C53B7B" w:rsidRPr="00785453" w:rsidRDefault="00C53B7B" w:rsidP="00922116">
            <w:pPr>
              <w:bidi/>
              <w:ind w:right="127"/>
              <w:jc w:val="both"/>
              <w:rPr>
                <w:rFonts w:ascii="Traditional Arabic" w:hAnsi="Traditional Arabic" w:cs="Traditional Arabic"/>
                <w:b/>
                <w:sz w:val="30"/>
                <w:szCs w:val="30"/>
                <w:rtl/>
                <w:lang w:val="en-GB"/>
              </w:rPr>
            </w:pPr>
            <w:r w:rsidRPr="00785453">
              <w:rPr>
                <w:rFonts w:ascii="Traditional Arabic" w:hAnsi="Traditional Arabic" w:cs="Traditional Arabic"/>
                <w:b/>
                <w:sz w:val="30"/>
                <w:szCs w:val="30"/>
                <w:rtl/>
                <w:lang w:val="en-GB"/>
              </w:rPr>
              <w:t xml:space="preserve">15,000,000 بسعر </w:t>
            </w:r>
            <w:r w:rsidR="00905246">
              <w:rPr>
                <w:rFonts w:ascii="Traditional Arabic" w:hAnsi="Traditional Arabic" w:cs="Traditional Arabic" w:hint="cs"/>
                <w:sz w:val="30"/>
                <w:szCs w:val="30"/>
                <w:rtl/>
                <w:lang w:bidi="ar-OM"/>
              </w:rPr>
              <w:t>119</w:t>
            </w:r>
            <w:r w:rsidR="00905246"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b/>
                <w:sz w:val="30"/>
                <w:szCs w:val="30"/>
                <w:rtl/>
                <w:lang w:val="en-GB"/>
              </w:rPr>
              <w:t>بيسة للسهم</w:t>
            </w:r>
          </w:p>
        </w:tc>
      </w:tr>
    </w:tbl>
    <w:p w14:paraId="2F6485A7" w14:textId="77777777" w:rsidR="00C53B7B" w:rsidRPr="00785453" w:rsidRDefault="00C53B7B" w:rsidP="00C53B7B">
      <w:pPr>
        <w:bidi/>
        <w:jc w:val="both"/>
        <w:rPr>
          <w:rFonts w:ascii="Traditional Arabic" w:hAnsi="Traditional Arabic" w:cs="Traditional Arabic"/>
          <w:b/>
          <w:sz w:val="30"/>
          <w:szCs w:val="30"/>
          <w:rtl/>
        </w:rPr>
      </w:pPr>
    </w:p>
    <w:p w14:paraId="3E681B2E"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 xml:space="preserve">في المثال التوضيحي أعلاه، تم استلام طلبين في طرح الفئة الأولى، حيث قدم كل مستثمر عروضا مختلفة، بالنسبة للمستثمر أ ، في حالة رغبة المستثمر (أ) بالشراء بسعر </w:t>
      </w:r>
      <w:r w:rsidR="00905246">
        <w:rPr>
          <w:rFonts w:ascii="Traditional Arabic" w:hAnsi="Traditional Arabic" w:cs="Traditional Arabic" w:hint="cs"/>
          <w:sz w:val="30"/>
          <w:szCs w:val="30"/>
          <w:rtl/>
          <w:lang w:bidi="ar-OM"/>
        </w:rPr>
        <w:t>119</w:t>
      </w:r>
      <w:r w:rsidR="00905246"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sz w:val="30"/>
          <w:szCs w:val="30"/>
          <w:rtl/>
        </w:rPr>
        <w:t xml:space="preserve">بيسة للسهم، كان يتعين عليه التقدم بعرض لشراء عدد من الأسهم يزيد عن 10,000,000 سهم حيث أن هذا المستثمر (أ) كان مستعدًا لشراء 10,000,000 سهم بسعر </w:t>
      </w:r>
      <w:r w:rsidR="00905246">
        <w:rPr>
          <w:rFonts w:ascii="Traditional Arabic" w:hAnsi="Traditional Arabic" w:cs="Traditional Arabic" w:hint="cs"/>
          <w:sz w:val="30"/>
          <w:szCs w:val="30"/>
          <w:rtl/>
          <w:lang w:bidi="ar-OM"/>
        </w:rPr>
        <w:t>123</w:t>
      </w:r>
      <w:r w:rsidR="00905246"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sz w:val="30"/>
          <w:szCs w:val="30"/>
          <w:rtl/>
        </w:rPr>
        <w:t xml:space="preserve">بيسة للسهم، وبناء على ذلك، يُرفض العرض بقيمة </w:t>
      </w:r>
      <w:r w:rsidR="009E160E">
        <w:rPr>
          <w:rFonts w:ascii="Traditional Arabic" w:hAnsi="Traditional Arabic" w:cs="Traditional Arabic" w:hint="cs"/>
          <w:sz w:val="30"/>
          <w:szCs w:val="30"/>
          <w:rtl/>
          <w:lang w:bidi="ar-OM"/>
        </w:rPr>
        <w:t>119</w:t>
      </w:r>
      <w:r w:rsidR="009E160E"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sz w:val="30"/>
          <w:szCs w:val="30"/>
          <w:rtl/>
        </w:rPr>
        <w:t xml:space="preserve">بيسة للسهم للحصول على 5,000,000 سهم، بينما قدم المستثمر (ب) عروضًا سليمة وفيها عدد أسهم العرض المطلوبة أعلى من حد السعر الأدنى لها، علاوة على ذلك، في حالة تحديد سعر الطرح النهائي بقيمة </w:t>
      </w:r>
      <w:r w:rsidR="009E160E">
        <w:rPr>
          <w:rFonts w:ascii="Traditional Arabic" w:hAnsi="Traditional Arabic" w:cs="Traditional Arabic" w:hint="cs"/>
          <w:sz w:val="30"/>
          <w:szCs w:val="30"/>
          <w:rtl/>
          <w:lang w:bidi="ar-OM"/>
        </w:rPr>
        <w:t>121</w:t>
      </w:r>
      <w:r w:rsidR="009E160E"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sz w:val="30"/>
          <w:szCs w:val="30"/>
          <w:rtl/>
        </w:rPr>
        <w:t xml:space="preserve">بيسة للسهم، يحصل المستثمر (ب) على أساس التخصيص على العرض الخاص فقط بعدد 10,000,000 سهم بقيمة </w:t>
      </w:r>
      <w:r w:rsidR="00F87923">
        <w:rPr>
          <w:rFonts w:ascii="Traditional Arabic" w:hAnsi="Traditional Arabic" w:cs="Traditional Arabic" w:hint="cs"/>
          <w:sz w:val="30"/>
          <w:szCs w:val="30"/>
          <w:rtl/>
        </w:rPr>
        <w:t>121</w:t>
      </w:r>
      <w:r w:rsidR="00F87923"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 xml:space="preserve">بيسة للسهم ولن يتم النظر في العرض الخاص بعدد 5,000,000 بقيمة </w:t>
      </w:r>
      <w:r w:rsidR="00F87923">
        <w:rPr>
          <w:rFonts w:ascii="Traditional Arabic" w:hAnsi="Traditional Arabic" w:cs="Traditional Arabic" w:hint="cs"/>
          <w:sz w:val="30"/>
          <w:szCs w:val="30"/>
          <w:rtl/>
          <w:lang w:bidi="ar-OM"/>
        </w:rPr>
        <w:t>123</w:t>
      </w:r>
      <w:r w:rsidR="00F87923"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بيسة لكل سهم.</w:t>
      </w:r>
    </w:p>
    <w:p w14:paraId="3AE78070" w14:textId="77777777" w:rsidR="00C53B7B" w:rsidRPr="00785453" w:rsidRDefault="00C53B7B" w:rsidP="00C53B7B">
      <w:pPr>
        <w:bidi/>
        <w:jc w:val="both"/>
        <w:rPr>
          <w:rFonts w:ascii="Traditional Arabic" w:hAnsi="Traditional Arabic" w:cs="Traditional Arabic"/>
          <w:b/>
          <w:sz w:val="30"/>
          <w:szCs w:val="30"/>
          <w:rtl/>
        </w:rPr>
      </w:pPr>
    </w:p>
    <w:p w14:paraId="5E372286" w14:textId="77777777" w:rsidR="00C53B7B" w:rsidRPr="00785453" w:rsidRDefault="00C53B7B" w:rsidP="00C53B7B">
      <w:pPr>
        <w:bidi/>
        <w:jc w:val="both"/>
        <w:rPr>
          <w:rFonts w:ascii="Traditional Arabic" w:hAnsi="Traditional Arabic" w:cs="Traditional Arabic"/>
          <w:b/>
          <w:sz w:val="30"/>
          <w:szCs w:val="30"/>
          <w:rtl/>
          <w:lang w:val="en-GB"/>
        </w:rPr>
      </w:pPr>
      <w:r w:rsidRPr="00785453">
        <w:rPr>
          <w:rFonts w:ascii="Traditional Arabic" w:hAnsi="Traditional Arabic" w:cs="Traditional Arabic"/>
          <w:bCs/>
          <w:sz w:val="30"/>
          <w:szCs w:val="30"/>
          <w:rtl/>
          <w:lang w:val="en-GB"/>
        </w:rPr>
        <w:t>الجدول التالي يوضح العروض التي تُقدم في استمارة طلب الاكتتاب</w:t>
      </w:r>
    </w:p>
    <w:tbl>
      <w:tblPr>
        <w:tblStyle w:val="TableGrid34"/>
        <w:bidiVisual/>
        <w:tblW w:w="0" w:type="auto"/>
        <w:tblLook w:val="04A0" w:firstRow="1" w:lastRow="0" w:firstColumn="1" w:lastColumn="0" w:noHBand="0" w:noVBand="1"/>
      </w:tblPr>
      <w:tblGrid>
        <w:gridCol w:w="1418"/>
        <w:gridCol w:w="1985"/>
        <w:gridCol w:w="1701"/>
        <w:gridCol w:w="1843"/>
        <w:gridCol w:w="2264"/>
      </w:tblGrid>
      <w:tr w:rsidR="00B912F6" w:rsidRPr="00785453" w14:paraId="657327D0" w14:textId="77777777" w:rsidTr="00272B36">
        <w:tc>
          <w:tcPr>
            <w:tcW w:w="1418" w:type="dxa"/>
            <w:shd w:val="clear" w:color="auto" w:fill="AEAAAA" w:themeFill="background2" w:themeFillShade="BF"/>
            <w:vAlign w:val="center"/>
          </w:tcPr>
          <w:p w14:paraId="043466B8" w14:textId="77777777" w:rsidR="00B912F6" w:rsidRPr="00785453" w:rsidRDefault="00B912F6" w:rsidP="00922116">
            <w:pPr>
              <w:bidi/>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العروض</w:t>
            </w:r>
          </w:p>
        </w:tc>
        <w:tc>
          <w:tcPr>
            <w:tcW w:w="1985" w:type="dxa"/>
            <w:shd w:val="clear" w:color="auto" w:fill="AEAAAA" w:themeFill="background2" w:themeFillShade="BF"/>
            <w:vAlign w:val="center"/>
          </w:tcPr>
          <w:p w14:paraId="695553DE" w14:textId="77777777" w:rsidR="00B912F6" w:rsidRPr="00785453" w:rsidRDefault="00B912F6" w:rsidP="00922116">
            <w:pPr>
              <w:bidi/>
              <w:jc w:val="center"/>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سعر العرض (بيسة)</w:t>
            </w:r>
          </w:p>
          <w:p w14:paraId="097F603E" w14:textId="77777777" w:rsidR="00B912F6" w:rsidRPr="00785453" w:rsidRDefault="00B912F6" w:rsidP="00922116">
            <w:pPr>
              <w:bidi/>
              <w:jc w:val="center"/>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w:t>
            </w:r>
            <w:r w:rsidRPr="00785453">
              <w:rPr>
                <w:rFonts w:ascii="Traditional Arabic" w:hAnsi="Traditional Arabic" w:cs="Traditional Arabic" w:hint="eastAsia"/>
                <w:bCs/>
                <w:sz w:val="30"/>
                <w:szCs w:val="30"/>
                <w:rtl/>
                <w:lang w:val="en-GB"/>
              </w:rPr>
              <w:t>أ</w:t>
            </w:r>
            <w:r w:rsidRPr="00785453">
              <w:rPr>
                <w:rFonts w:ascii="Traditional Arabic" w:hAnsi="Traditional Arabic" w:cs="Traditional Arabic"/>
                <w:bCs/>
                <w:sz w:val="30"/>
                <w:szCs w:val="30"/>
                <w:rtl/>
                <w:lang w:val="en-GB"/>
              </w:rPr>
              <w:t>)</w:t>
            </w:r>
          </w:p>
        </w:tc>
        <w:tc>
          <w:tcPr>
            <w:tcW w:w="1701" w:type="dxa"/>
            <w:shd w:val="clear" w:color="auto" w:fill="AEAAAA" w:themeFill="background2" w:themeFillShade="BF"/>
            <w:vAlign w:val="center"/>
          </w:tcPr>
          <w:p w14:paraId="769BCFE9" w14:textId="77777777" w:rsidR="00B912F6" w:rsidRPr="00785453" w:rsidRDefault="00B912F6" w:rsidP="00922116">
            <w:pPr>
              <w:bidi/>
              <w:jc w:val="center"/>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عدد الأسهم التي يُراد الاكتتاب بها</w:t>
            </w:r>
          </w:p>
          <w:p w14:paraId="52840FFC" w14:textId="77777777" w:rsidR="00B912F6" w:rsidRPr="00785453" w:rsidRDefault="00B912F6" w:rsidP="00922116">
            <w:pPr>
              <w:bidi/>
              <w:jc w:val="center"/>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(ب)</w:t>
            </w:r>
          </w:p>
        </w:tc>
        <w:tc>
          <w:tcPr>
            <w:tcW w:w="1843" w:type="dxa"/>
            <w:shd w:val="clear" w:color="auto" w:fill="AEAAAA" w:themeFill="background2" w:themeFillShade="BF"/>
            <w:vAlign w:val="center"/>
          </w:tcPr>
          <w:p w14:paraId="2F661795" w14:textId="77777777" w:rsidR="00B912F6" w:rsidRPr="00785453" w:rsidRDefault="00B912F6" w:rsidP="00922116">
            <w:pPr>
              <w:bidi/>
              <w:jc w:val="center"/>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قيمة العرض (ر.ع)</w:t>
            </w:r>
          </w:p>
          <w:p w14:paraId="7AA36B38" w14:textId="77777777" w:rsidR="00B912F6" w:rsidRPr="00785453" w:rsidRDefault="00B912F6" w:rsidP="00922116">
            <w:pPr>
              <w:bidi/>
              <w:jc w:val="center"/>
              <w:rPr>
                <w:rFonts w:ascii="Traditional Arabic" w:hAnsi="Traditional Arabic" w:cs="Traditional Arabic"/>
                <w:bCs/>
                <w:sz w:val="30"/>
                <w:szCs w:val="30"/>
                <w:rtl/>
                <w:lang w:val="en-GB"/>
              </w:rPr>
            </w:pPr>
            <w:r w:rsidRPr="00785453">
              <w:rPr>
                <w:rFonts w:ascii="Traditional Arabic" w:hAnsi="Traditional Arabic" w:cs="Traditional Arabic" w:hint="eastAsia"/>
                <w:bCs/>
                <w:sz w:val="30"/>
                <w:szCs w:val="30"/>
                <w:rtl/>
                <w:lang w:val="en-GB"/>
              </w:rPr>
              <w:t>ج</w:t>
            </w:r>
            <w:r w:rsidRPr="00785453">
              <w:rPr>
                <w:rFonts w:ascii="Traditional Arabic" w:hAnsi="Traditional Arabic" w:cs="Traditional Arabic"/>
                <w:bCs/>
                <w:sz w:val="30"/>
                <w:szCs w:val="30"/>
                <w:rtl/>
                <w:lang w:val="en-GB"/>
              </w:rPr>
              <w:t xml:space="preserve">= </w:t>
            </w:r>
            <w:r w:rsidRPr="00785453">
              <w:rPr>
                <w:rFonts w:ascii="Traditional Arabic" w:hAnsi="Traditional Arabic" w:cs="Traditional Arabic" w:hint="eastAsia"/>
                <w:bCs/>
                <w:sz w:val="30"/>
                <w:szCs w:val="30"/>
                <w:rtl/>
                <w:lang w:val="en-GB"/>
              </w:rPr>
              <w:t>أ</w:t>
            </w:r>
            <w:r w:rsidRPr="00785453">
              <w:rPr>
                <w:rFonts w:ascii="Traditional Arabic" w:hAnsi="Traditional Arabic" w:cs="Traditional Arabic"/>
                <w:bCs/>
                <w:sz w:val="30"/>
                <w:szCs w:val="30"/>
                <w:lang w:val="en-GB"/>
              </w:rPr>
              <w:t>x</w:t>
            </w:r>
            <w:r w:rsidRPr="00785453">
              <w:rPr>
                <w:rFonts w:ascii="Traditional Arabic" w:hAnsi="Traditional Arabic" w:cs="Traditional Arabic" w:hint="eastAsia"/>
                <w:bCs/>
                <w:sz w:val="30"/>
                <w:szCs w:val="30"/>
                <w:rtl/>
                <w:lang w:val="en-GB"/>
              </w:rPr>
              <w:t>ب</w:t>
            </w:r>
            <w:r w:rsidRPr="00785453">
              <w:rPr>
                <w:rFonts w:ascii="Traditional Arabic" w:hAnsi="Traditional Arabic" w:cs="Traditional Arabic" w:hint="cs"/>
                <w:bCs/>
                <w:sz w:val="30"/>
                <w:szCs w:val="30"/>
                <w:rtl/>
                <w:lang w:val="en-GB"/>
              </w:rPr>
              <w:t>/1,000</w:t>
            </w:r>
          </w:p>
        </w:tc>
        <w:tc>
          <w:tcPr>
            <w:tcW w:w="2264" w:type="dxa"/>
            <w:shd w:val="clear" w:color="auto" w:fill="AEAAAA" w:themeFill="background2" w:themeFillShade="BF"/>
            <w:vAlign w:val="center"/>
          </w:tcPr>
          <w:p w14:paraId="6A55371B" w14:textId="77777777" w:rsidR="00B912F6" w:rsidRPr="00785453" w:rsidRDefault="00B912F6" w:rsidP="00922116">
            <w:pPr>
              <w:bidi/>
              <w:jc w:val="center"/>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المبلغ المستحق الدفع</w:t>
            </w:r>
          </w:p>
          <w:p w14:paraId="622FF913" w14:textId="77777777" w:rsidR="00B912F6" w:rsidRPr="00785453" w:rsidRDefault="00B912F6" w:rsidP="00922116">
            <w:pPr>
              <w:bidi/>
              <w:jc w:val="center"/>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(د) = الحد الأقصى (ج)</w:t>
            </w:r>
          </w:p>
        </w:tc>
      </w:tr>
      <w:tr w:rsidR="00B912F6" w:rsidRPr="00785453" w14:paraId="2D270A08" w14:textId="77777777" w:rsidTr="00272B36">
        <w:tc>
          <w:tcPr>
            <w:tcW w:w="1418" w:type="dxa"/>
            <w:vAlign w:val="center"/>
          </w:tcPr>
          <w:p w14:paraId="0DCB5592" w14:textId="77777777" w:rsidR="00B912F6" w:rsidRPr="00785453" w:rsidRDefault="00B912F6" w:rsidP="00922116">
            <w:pPr>
              <w:bidi/>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العرض الأول</w:t>
            </w:r>
          </w:p>
        </w:tc>
        <w:tc>
          <w:tcPr>
            <w:tcW w:w="1985" w:type="dxa"/>
            <w:vAlign w:val="center"/>
          </w:tcPr>
          <w:p w14:paraId="4C9E70F2" w14:textId="77777777" w:rsidR="00B912F6" w:rsidRPr="00785453" w:rsidRDefault="00F87923" w:rsidP="00922116">
            <w:pPr>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123</w:t>
            </w:r>
          </w:p>
        </w:tc>
        <w:tc>
          <w:tcPr>
            <w:tcW w:w="1701" w:type="dxa"/>
            <w:vAlign w:val="center"/>
          </w:tcPr>
          <w:p w14:paraId="755FC283" w14:textId="77777777" w:rsidR="00B912F6" w:rsidRPr="00785453" w:rsidRDefault="00F87923" w:rsidP="00922116">
            <w:pPr>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5.000.000</w:t>
            </w:r>
          </w:p>
        </w:tc>
        <w:tc>
          <w:tcPr>
            <w:tcW w:w="1843" w:type="dxa"/>
            <w:vAlign w:val="center"/>
          </w:tcPr>
          <w:p w14:paraId="75B60A2E" w14:textId="77777777" w:rsidR="00B912F6" w:rsidRPr="00785453" w:rsidRDefault="00F87923" w:rsidP="00922116">
            <w:pPr>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615.000</w:t>
            </w:r>
          </w:p>
        </w:tc>
        <w:tc>
          <w:tcPr>
            <w:tcW w:w="2264" w:type="dxa"/>
            <w:vMerge w:val="restart"/>
            <w:vAlign w:val="center"/>
          </w:tcPr>
          <w:p w14:paraId="63B18ACF" w14:textId="77777777" w:rsidR="00B912F6" w:rsidRPr="00785453" w:rsidRDefault="00F87923" w:rsidP="00922116">
            <w:pPr>
              <w:bidi/>
              <w:jc w:val="center"/>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1.785.000</w:t>
            </w:r>
          </w:p>
        </w:tc>
      </w:tr>
      <w:tr w:rsidR="00B912F6" w:rsidRPr="00785453" w14:paraId="796654C1" w14:textId="77777777" w:rsidTr="00272B36">
        <w:tc>
          <w:tcPr>
            <w:tcW w:w="1418" w:type="dxa"/>
            <w:vAlign w:val="center"/>
          </w:tcPr>
          <w:p w14:paraId="4DB89EC9" w14:textId="77777777" w:rsidR="00B912F6" w:rsidRPr="00785453" w:rsidRDefault="00B912F6" w:rsidP="00922116">
            <w:pPr>
              <w:bidi/>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العرض الثاني</w:t>
            </w:r>
          </w:p>
        </w:tc>
        <w:tc>
          <w:tcPr>
            <w:tcW w:w="1985" w:type="dxa"/>
            <w:vAlign w:val="center"/>
          </w:tcPr>
          <w:p w14:paraId="3EB0629B" w14:textId="77777777" w:rsidR="00B912F6" w:rsidRPr="00785453" w:rsidRDefault="00F87923" w:rsidP="00922116">
            <w:pPr>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121</w:t>
            </w:r>
          </w:p>
        </w:tc>
        <w:tc>
          <w:tcPr>
            <w:tcW w:w="1701" w:type="dxa"/>
            <w:vAlign w:val="center"/>
          </w:tcPr>
          <w:p w14:paraId="0FC3A921" w14:textId="77777777" w:rsidR="00B912F6" w:rsidRPr="00785453" w:rsidRDefault="00F87923" w:rsidP="00922116">
            <w:pPr>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10.000.000</w:t>
            </w:r>
          </w:p>
        </w:tc>
        <w:tc>
          <w:tcPr>
            <w:tcW w:w="1843" w:type="dxa"/>
            <w:vAlign w:val="center"/>
          </w:tcPr>
          <w:p w14:paraId="603C2224" w14:textId="77777777" w:rsidR="00B912F6" w:rsidRPr="00785453" w:rsidRDefault="00F87923" w:rsidP="00922116">
            <w:pPr>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1.210.000</w:t>
            </w:r>
          </w:p>
        </w:tc>
        <w:tc>
          <w:tcPr>
            <w:tcW w:w="2264" w:type="dxa"/>
            <w:vMerge/>
            <w:vAlign w:val="center"/>
          </w:tcPr>
          <w:p w14:paraId="7DF6A008" w14:textId="77777777" w:rsidR="00B912F6" w:rsidRPr="00785453" w:rsidRDefault="00B912F6" w:rsidP="00922116">
            <w:pPr>
              <w:bidi/>
              <w:jc w:val="center"/>
              <w:rPr>
                <w:rFonts w:ascii="Traditional Arabic" w:hAnsi="Traditional Arabic" w:cs="Traditional Arabic"/>
                <w:sz w:val="30"/>
                <w:szCs w:val="30"/>
                <w:rtl/>
                <w:lang w:bidi="ar-OM"/>
              </w:rPr>
            </w:pPr>
          </w:p>
        </w:tc>
      </w:tr>
      <w:tr w:rsidR="00B912F6" w:rsidRPr="00785453" w14:paraId="0AB383CF" w14:textId="77777777" w:rsidTr="00272B36">
        <w:tc>
          <w:tcPr>
            <w:tcW w:w="1418" w:type="dxa"/>
            <w:vAlign w:val="center"/>
          </w:tcPr>
          <w:p w14:paraId="65CE6812" w14:textId="77777777" w:rsidR="00B912F6" w:rsidRPr="00785453" w:rsidRDefault="00B912F6" w:rsidP="00922116">
            <w:pPr>
              <w:bidi/>
              <w:rPr>
                <w:rFonts w:ascii="Traditional Arabic" w:hAnsi="Traditional Arabic" w:cs="Traditional Arabic"/>
                <w:bCs/>
                <w:sz w:val="30"/>
                <w:szCs w:val="30"/>
                <w:rtl/>
                <w:lang w:val="en-GB"/>
              </w:rPr>
            </w:pPr>
            <w:r w:rsidRPr="00785453">
              <w:rPr>
                <w:rFonts w:ascii="Traditional Arabic" w:hAnsi="Traditional Arabic" w:cs="Traditional Arabic"/>
                <w:bCs/>
                <w:sz w:val="30"/>
                <w:szCs w:val="30"/>
                <w:rtl/>
                <w:lang w:val="en-GB"/>
              </w:rPr>
              <w:t>العرض الثالث</w:t>
            </w:r>
          </w:p>
        </w:tc>
        <w:tc>
          <w:tcPr>
            <w:tcW w:w="1985" w:type="dxa"/>
            <w:vAlign w:val="center"/>
          </w:tcPr>
          <w:p w14:paraId="3A7B7366" w14:textId="77777777" w:rsidR="00B912F6" w:rsidRPr="00785453" w:rsidRDefault="00F87923" w:rsidP="00922116">
            <w:pPr>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119</w:t>
            </w:r>
          </w:p>
        </w:tc>
        <w:tc>
          <w:tcPr>
            <w:tcW w:w="1701" w:type="dxa"/>
            <w:vAlign w:val="center"/>
          </w:tcPr>
          <w:p w14:paraId="2D06E95F" w14:textId="77777777" w:rsidR="00B912F6" w:rsidRPr="00785453" w:rsidRDefault="00F87923" w:rsidP="00922116">
            <w:pPr>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15.000.000</w:t>
            </w:r>
          </w:p>
        </w:tc>
        <w:tc>
          <w:tcPr>
            <w:tcW w:w="1843" w:type="dxa"/>
            <w:vAlign w:val="center"/>
          </w:tcPr>
          <w:p w14:paraId="7D33A8C4" w14:textId="77777777" w:rsidR="00B912F6" w:rsidRPr="00785453" w:rsidRDefault="00F87923" w:rsidP="00922116">
            <w:pPr>
              <w:bidi/>
              <w:jc w:val="center"/>
              <w:rPr>
                <w:rFonts w:ascii="Traditional Arabic" w:hAnsi="Traditional Arabic" w:cs="Traditional Arabic"/>
                <w:b/>
                <w:sz w:val="30"/>
                <w:szCs w:val="30"/>
                <w:rtl/>
                <w:lang w:val="en-GB"/>
              </w:rPr>
            </w:pPr>
            <w:r>
              <w:rPr>
                <w:rFonts w:ascii="Traditional Arabic" w:hAnsi="Traditional Arabic" w:cs="Traditional Arabic" w:hint="cs"/>
                <w:b/>
                <w:sz w:val="30"/>
                <w:szCs w:val="30"/>
                <w:rtl/>
                <w:lang w:val="en-GB"/>
              </w:rPr>
              <w:t>1.785.000</w:t>
            </w:r>
          </w:p>
        </w:tc>
        <w:tc>
          <w:tcPr>
            <w:tcW w:w="2264" w:type="dxa"/>
            <w:vMerge/>
            <w:vAlign w:val="center"/>
          </w:tcPr>
          <w:p w14:paraId="41DE5D71" w14:textId="77777777" w:rsidR="00B912F6" w:rsidRPr="00785453" w:rsidRDefault="00B912F6" w:rsidP="00922116">
            <w:pPr>
              <w:bidi/>
              <w:jc w:val="center"/>
              <w:rPr>
                <w:rFonts w:ascii="Traditional Arabic" w:hAnsi="Traditional Arabic" w:cs="Traditional Arabic"/>
                <w:sz w:val="30"/>
                <w:szCs w:val="30"/>
                <w:rtl/>
                <w:lang w:bidi="ar-OM"/>
              </w:rPr>
            </w:pPr>
          </w:p>
        </w:tc>
      </w:tr>
    </w:tbl>
    <w:p w14:paraId="23D441D1" w14:textId="77777777" w:rsidR="00C53B7B" w:rsidRPr="00785453" w:rsidRDefault="00C53B7B" w:rsidP="00C53B7B">
      <w:pPr>
        <w:bidi/>
        <w:ind w:left="720"/>
        <w:jc w:val="both"/>
        <w:rPr>
          <w:rFonts w:ascii="Traditional Arabic" w:hAnsi="Traditional Arabic" w:cs="Traditional Arabic"/>
          <w:b/>
          <w:sz w:val="30"/>
          <w:szCs w:val="30"/>
          <w:lang w:val="en-GB"/>
        </w:rPr>
      </w:pPr>
    </w:p>
    <w:p w14:paraId="20EDA972" w14:textId="77777777" w:rsidR="00C53B7B" w:rsidRPr="00785453" w:rsidRDefault="00C53B7B" w:rsidP="00C53B7B">
      <w:pPr>
        <w:rPr>
          <w:rFonts w:ascii="Traditional Arabic" w:hAnsi="Traditional Arabic" w:cs="Traditional Arabic"/>
        </w:rPr>
      </w:pPr>
    </w:p>
    <w:p w14:paraId="588A4EEF" w14:textId="77777777" w:rsidR="00C53B7B" w:rsidRPr="00785453" w:rsidRDefault="00C53B7B" w:rsidP="00C53B7B">
      <w:pPr>
        <w:bidi/>
        <w:jc w:val="both"/>
        <w:rPr>
          <w:rFonts w:ascii="Traditional Arabic" w:hAnsi="Traditional Arabic" w:cs="Traditional Arabic"/>
          <w:b/>
          <w:bCs/>
          <w:sz w:val="30"/>
          <w:szCs w:val="30"/>
          <w:rtl/>
          <w:lang w:bidi="ar-EG"/>
        </w:rPr>
      </w:pPr>
      <w:r w:rsidRPr="00785453">
        <w:rPr>
          <w:rFonts w:ascii="Traditional Arabic" w:hAnsi="Traditional Arabic" w:cs="Traditional Arabic"/>
          <w:b/>
          <w:bCs/>
          <w:sz w:val="30"/>
          <w:szCs w:val="30"/>
          <w:rtl/>
          <w:lang w:bidi="ar-EG"/>
        </w:rPr>
        <w:t>عروض الأسعار وتحديد سعر الطرح وتخصيص الأسهم</w:t>
      </w:r>
    </w:p>
    <w:p w14:paraId="4D02FC77"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بعد تاريخ إغلاق الاكتتاب في الفئة الأولى، وبمجرد تقديم جميع الطلبات إلى مدير الإصدار من قبل وكلاء التحصيل</w:t>
      </w:r>
      <w:r w:rsidRPr="00785453">
        <w:rPr>
          <w:rFonts w:ascii="Traditional Arabic" w:hAnsi="Traditional Arabic" w:cs="Traditional Arabic" w:hint="cs"/>
          <w:sz w:val="30"/>
          <w:szCs w:val="30"/>
          <w:rtl/>
        </w:rPr>
        <w:t xml:space="preserve"> </w:t>
      </w:r>
      <w:r w:rsidR="00AF09AC">
        <w:rPr>
          <w:rFonts w:ascii="Traditional Arabic" w:hAnsi="Traditional Arabic" w:cs="Traditional Arabic" w:hint="cs"/>
          <w:sz w:val="30"/>
          <w:szCs w:val="30"/>
          <w:rtl/>
        </w:rPr>
        <w:t>ومدراء سجل الاكتتاب</w:t>
      </w:r>
      <w:r w:rsidRPr="00785453">
        <w:rPr>
          <w:rFonts w:ascii="Traditional Arabic" w:hAnsi="Traditional Arabic" w:cs="Traditional Arabic"/>
          <w:sz w:val="30"/>
          <w:szCs w:val="30"/>
          <w:rtl/>
        </w:rPr>
        <w:t xml:space="preserve">، سيحدد </w:t>
      </w:r>
      <w:r w:rsidR="000861C6">
        <w:rPr>
          <w:rFonts w:ascii="Traditional Arabic" w:hAnsi="Traditional Arabic" w:cs="Traditional Arabic"/>
          <w:sz w:val="30"/>
          <w:szCs w:val="30"/>
          <w:rtl/>
        </w:rPr>
        <w:t>المساهم البائع</w:t>
      </w:r>
      <w:r w:rsidRPr="00785453">
        <w:rPr>
          <w:rFonts w:ascii="Traditional Arabic" w:hAnsi="Traditional Arabic" w:cs="Traditional Arabic"/>
          <w:sz w:val="30"/>
          <w:szCs w:val="30"/>
          <w:rtl/>
        </w:rPr>
        <w:t xml:space="preserve"> بالتشاور مع المنسق العالمي المشترك سعر الطرح، والذي سيكون ضمن النطاق السعري. </w:t>
      </w:r>
    </w:p>
    <w:p w14:paraId="069C52AD" w14:textId="77777777" w:rsidR="00C53B7B" w:rsidRPr="00785453" w:rsidRDefault="00C53B7B" w:rsidP="00C53B7B">
      <w:pPr>
        <w:bidi/>
        <w:jc w:val="both"/>
        <w:rPr>
          <w:rFonts w:ascii="Traditional Arabic" w:hAnsi="Traditional Arabic" w:cs="Traditional Arabic"/>
          <w:sz w:val="30"/>
          <w:szCs w:val="30"/>
          <w:rtl/>
        </w:rPr>
      </w:pPr>
    </w:p>
    <w:p w14:paraId="361C6A79" w14:textId="77777777" w:rsidR="00117696" w:rsidRPr="00117696" w:rsidRDefault="00117696" w:rsidP="00985281">
      <w:pPr>
        <w:bidi/>
        <w:jc w:val="both"/>
        <w:rPr>
          <w:rFonts w:ascii="Traditional Arabic" w:hAnsi="Traditional Arabic" w:cs="Traditional Arabic"/>
          <w:sz w:val="30"/>
          <w:szCs w:val="30"/>
          <w:rtl/>
        </w:rPr>
      </w:pPr>
      <w:r w:rsidRPr="00117696">
        <w:rPr>
          <w:rFonts w:ascii="Traditional Arabic" w:hAnsi="Traditional Arabic" w:cs="Traditional Arabic"/>
          <w:sz w:val="30"/>
          <w:szCs w:val="30"/>
          <w:rtl/>
        </w:rPr>
        <w:t>سيتم تحديد تخصيص أسهم الطرح لمقدمي الطلبات من الفئة الأولى من قبل المساهم البائع بالتشاور مع المنسق العالمي المشترك، ويجب أن تستند إلى معايير معينة وآلية تخصيص. ستشمل المعايير التي سينظر فيها المنسق العالمي المشترك والمساهم البائع ما يلي: (1) نوع المستثمر، بما في ذلك ملف الاستثمار وحصة الاستثمار في القطاع الذي تعمل فيه الشركة؛ (2) حجم المستثمر، بما في ذلك الأصول الخاضعة للإدارة؛ (3) الرؤى النوعية حول سلوك المستثمر، بما في ذلك المشاركة في الطروحات السابقة وأنماط الملكية في الطروحات السابقة؛ (4) مشاركة المستثمرين ومشاركتهم في عملية تسويق العرض؛ و (5) إمكانية خلق سيولة ما بعد الطرح. قد تؤثر المعايير المذكورة أعلاه، بالإضافة إلى مستوى الطلب في طرح الفئة الأولى، على النسبة المئوية لتخصيص إجمالي الطلبات لمقدمي طلبات الفئة الأولى</w:t>
      </w:r>
      <w:r w:rsidRPr="00117696">
        <w:rPr>
          <w:rFonts w:ascii="Traditional Arabic" w:hAnsi="Traditional Arabic" w:cs="Traditional Arabic"/>
          <w:sz w:val="30"/>
          <w:szCs w:val="30"/>
        </w:rPr>
        <w:t>.</w:t>
      </w:r>
    </w:p>
    <w:p w14:paraId="7B2D8390" w14:textId="77777777" w:rsidR="00117696" w:rsidRDefault="00117696" w:rsidP="00117696">
      <w:pPr>
        <w:bidi/>
        <w:jc w:val="both"/>
        <w:rPr>
          <w:rFonts w:ascii="Traditional Arabic" w:hAnsi="Traditional Arabic" w:cs="Traditional Arabic"/>
          <w:sz w:val="30"/>
          <w:szCs w:val="30"/>
          <w:rtl/>
        </w:rPr>
      </w:pPr>
    </w:p>
    <w:p w14:paraId="1C1D22D3" w14:textId="77777777" w:rsidR="00117696" w:rsidRPr="00117696" w:rsidRDefault="00EC0E7A" w:rsidP="0056330E">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في حالة وجود نقص في طلبات الاكتتاب في طرح الفئة الثانية </w:t>
      </w:r>
      <w:r w:rsidR="00117696" w:rsidRPr="00117696">
        <w:rPr>
          <w:rFonts w:ascii="Traditional Arabic" w:hAnsi="Traditional Arabic" w:cs="Traditional Arabic"/>
          <w:sz w:val="30"/>
          <w:szCs w:val="30"/>
          <w:rtl/>
        </w:rPr>
        <w:t xml:space="preserve">(بحيث يشمل أقل من </w:t>
      </w:r>
      <w:r w:rsidR="003540E0">
        <w:rPr>
          <w:rFonts w:ascii="Traditional Arabic" w:hAnsi="Traditional Arabic" w:cs="Traditional Arabic" w:hint="cs"/>
          <w:sz w:val="30"/>
          <w:szCs w:val="30"/>
          <w:rtl/>
        </w:rPr>
        <w:t>٢٥</w:t>
      </w:r>
      <w:r w:rsidR="003540E0"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في</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المائة</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من</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الطرح</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وشريطة</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أن</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يكون</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هناك</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اكتتاب</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زائد</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في</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طرح</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الفئة</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الأولى،</w:t>
      </w:r>
      <w:r w:rsidR="00117696" w:rsidRPr="00117696">
        <w:rPr>
          <w:rFonts w:ascii="Traditional Arabic" w:hAnsi="Traditional Arabic" w:cs="Traditional Arabic"/>
          <w:sz w:val="30"/>
          <w:szCs w:val="30"/>
          <w:rtl/>
        </w:rPr>
        <w:t xml:space="preserve"> </w:t>
      </w:r>
      <w:r w:rsidR="000E31FD" w:rsidRPr="00785453">
        <w:rPr>
          <w:rFonts w:ascii="Traditional Arabic" w:hAnsi="Traditional Arabic" w:cs="Traditional Arabic"/>
          <w:sz w:val="30"/>
          <w:szCs w:val="30"/>
          <w:rtl/>
        </w:rPr>
        <w:t xml:space="preserve">فسيقوم </w:t>
      </w:r>
      <w:r w:rsidR="00117696" w:rsidRPr="00117696">
        <w:rPr>
          <w:rFonts w:ascii="Traditional Arabic" w:hAnsi="Traditional Arabic" w:cs="Traditional Arabic" w:hint="cs"/>
          <w:sz w:val="30"/>
          <w:szCs w:val="30"/>
          <w:rtl/>
        </w:rPr>
        <w:t>المساهم</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البائع</w:t>
      </w:r>
      <w:r w:rsidR="0056330E">
        <w:rPr>
          <w:rFonts w:ascii="Traditional Arabic" w:hAnsi="Traditional Arabic" w:cs="Traditional Arabic" w:hint="cs"/>
          <w:sz w:val="30"/>
          <w:szCs w:val="30"/>
          <w:rtl/>
        </w:rPr>
        <w:t xml:space="preserve"> </w:t>
      </w:r>
      <w:r w:rsidR="0056330E" w:rsidRPr="00785453">
        <w:rPr>
          <w:rFonts w:ascii="Traditional Arabic" w:hAnsi="Traditional Arabic" w:cs="Traditional Arabic"/>
          <w:sz w:val="30"/>
          <w:szCs w:val="30"/>
          <w:rtl/>
        </w:rPr>
        <w:t>بتخصيص أي أسهم طرح غير مكتتب بها من الفئة الثانية لمستثمري</w:t>
      </w:r>
      <w:r w:rsidR="0056330E" w:rsidRPr="00785453">
        <w:rPr>
          <w:rFonts w:ascii="Traditional Arabic" w:hAnsi="Traditional Arabic" w:cs="Traditional Arabic" w:hint="cs"/>
          <w:sz w:val="30"/>
          <w:szCs w:val="30"/>
          <w:rtl/>
        </w:rPr>
        <w:t xml:space="preserve"> الفئة الأولى</w:t>
      </w:r>
      <w:r w:rsidR="0056330E">
        <w:rPr>
          <w:rFonts w:ascii="Traditional Arabic" w:hAnsi="Traditional Arabic" w:cs="Traditional Arabic" w:hint="cs"/>
          <w:sz w:val="30"/>
          <w:szCs w:val="30"/>
          <w:rtl/>
        </w:rPr>
        <w:t xml:space="preserve"> </w:t>
      </w:r>
      <w:r w:rsidR="00117696" w:rsidRPr="00117696">
        <w:rPr>
          <w:rFonts w:ascii="Traditional Arabic" w:hAnsi="Traditional Arabic" w:cs="Traditional Arabic" w:hint="cs"/>
          <w:sz w:val="30"/>
          <w:szCs w:val="30"/>
          <w:rtl/>
        </w:rPr>
        <w:t>بالنسب</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المذكورة</w:t>
      </w:r>
      <w:r w:rsidR="00117696" w:rsidRPr="00117696">
        <w:rPr>
          <w:rFonts w:ascii="Traditional Arabic" w:hAnsi="Traditional Arabic" w:cs="Traditional Arabic"/>
          <w:sz w:val="30"/>
          <w:szCs w:val="30"/>
          <w:rtl/>
        </w:rPr>
        <w:t xml:space="preserve"> </w:t>
      </w:r>
      <w:r w:rsidR="00117696" w:rsidRPr="00117696">
        <w:rPr>
          <w:rFonts w:ascii="Traditional Arabic" w:hAnsi="Traditional Arabic" w:cs="Traditional Arabic" w:hint="cs"/>
          <w:sz w:val="30"/>
          <w:szCs w:val="30"/>
          <w:rtl/>
        </w:rPr>
        <w:t>أعلاه</w:t>
      </w:r>
      <w:r w:rsidR="00117696" w:rsidRPr="00117696">
        <w:rPr>
          <w:rFonts w:ascii="Traditional Arabic" w:hAnsi="Traditional Arabic" w:cs="Traditional Arabic"/>
          <w:sz w:val="30"/>
          <w:szCs w:val="30"/>
        </w:rPr>
        <w:t xml:space="preserve">. </w:t>
      </w:r>
    </w:p>
    <w:p w14:paraId="24CDC7B4" w14:textId="77777777" w:rsidR="00117696" w:rsidRDefault="00117696" w:rsidP="00117696">
      <w:pPr>
        <w:bidi/>
        <w:jc w:val="both"/>
        <w:rPr>
          <w:rFonts w:ascii="Traditional Arabic" w:hAnsi="Traditional Arabic" w:cs="Traditional Arabic"/>
          <w:sz w:val="30"/>
          <w:szCs w:val="30"/>
          <w:rtl/>
        </w:rPr>
      </w:pPr>
    </w:p>
    <w:p w14:paraId="05731012" w14:textId="77777777" w:rsidR="00A3057C" w:rsidRPr="000932D8" w:rsidRDefault="00A3057C" w:rsidP="00A3057C">
      <w:pPr>
        <w:bidi/>
        <w:jc w:val="both"/>
        <w:rPr>
          <w:rFonts w:ascii="Traditional Arabic" w:hAnsi="Traditional Arabic" w:cs="Traditional Arabic"/>
          <w:sz w:val="30"/>
          <w:szCs w:val="30"/>
          <w:rtl/>
          <w:lang w:val="en-GB"/>
        </w:rPr>
      </w:pPr>
      <w:r w:rsidRPr="009630F0">
        <w:rPr>
          <w:rFonts w:ascii="Traditional Arabic" w:hAnsi="Traditional Arabic" w:cs="Traditional Arabic"/>
          <w:sz w:val="30"/>
          <w:szCs w:val="30"/>
          <w:rtl/>
        </w:rPr>
        <w:t xml:space="preserve">وإذا لم </w:t>
      </w:r>
      <w:r w:rsidRPr="009630F0">
        <w:rPr>
          <w:rFonts w:ascii="Traditional Arabic" w:hAnsi="Traditional Arabic" w:cs="Traditional Arabic" w:hint="cs"/>
          <w:sz w:val="30"/>
          <w:szCs w:val="30"/>
          <w:rtl/>
        </w:rPr>
        <w:t>تتم تغطية الأسهم المطروحة للاكتتاب العام والمخصصة ل</w:t>
      </w:r>
      <w:r w:rsidRPr="009630F0">
        <w:rPr>
          <w:rFonts w:ascii="Traditional Arabic" w:hAnsi="Traditional Arabic" w:cs="Traditional Arabic"/>
          <w:sz w:val="30"/>
          <w:szCs w:val="30"/>
          <w:rtl/>
        </w:rPr>
        <w:t>مقدمي الطلبات من</w:t>
      </w:r>
      <w:r w:rsidRPr="009630F0">
        <w:rPr>
          <w:rFonts w:ascii="Traditional Arabic" w:hAnsi="Traditional Arabic" w:cs="Traditional Arabic" w:hint="cs"/>
          <w:sz w:val="30"/>
          <w:szCs w:val="30"/>
          <w:rtl/>
        </w:rPr>
        <w:t xml:space="preserve"> الفئة الأولى</w:t>
      </w:r>
      <w:r w:rsidRPr="009630F0">
        <w:rPr>
          <w:rFonts w:ascii="Traditional Arabic" w:hAnsi="Traditional Arabic" w:cs="Traditional Arabic"/>
          <w:sz w:val="30"/>
          <w:szCs w:val="30"/>
          <w:rtl/>
        </w:rPr>
        <w:t xml:space="preserve"> في</w:t>
      </w:r>
      <w:r w:rsidRPr="009630F0">
        <w:rPr>
          <w:rFonts w:ascii="Traditional Arabic" w:hAnsi="Traditional Arabic" w:cs="Traditional Arabic" w:hint="cs"/>
          <w:sz w:val="30"/>
          <w:szCs w:val="30"/>
          <w:rtl/>
        </w:rPr>
        <w:t xml:space="preserve"> مرحلة بناء سجل الأوامر ، يجب على مدير الإصدار الانتهاء من الجولة الثانية من البناء السعري خلال (15) يوما من نهاية الجولة الأولى ، ويتم من خلالها </w:t>
      </w:r>
      <w:r w:rsidR="00A94E64">
        <w:rPr>
          <w:rFonts w:ascii="Traditional Arabic" w:hAnsi="Traditional Arabic" w:cs="Traditional Arabic"/>
          <w:sz w:val="30"/>
          <w:szCs w:val="30"/>
        </w:rPr>
        <w:t xml:space="preserve"> </w:t>
      </w:r>
      <w:r w:rsidRPr="009630F0">
        <w:rPr>
          <w:rFonts w:ascii="Traditional Arabic" w:hAnsi="Traditional Arabic" w:cs="Traditional Arabic" w:hint="cs"/>
          <w:sz w:val="30"/>
          <w:szCs w:val="30"/>
          <w:rtl/>
        </w:rPr>
        <w:t xml:space="preserve"> السعر  وفقاً لمتطلبات المادة (25) من ضوابط تحديد سعر الاكتتاب العام في الأسهم</w:t>
      </w:r>
      <w:r w:rsidRPr="009630F0">
        <w:rPr>
          <w:rFonts w:ascii="Traditional Arabic" w:hAnsi="Traditional Arabic" w:cs="Traditional Arabic"/>
          <w:sz w:val="30"/>
          <w:szCs w:val="30"/>
          <w:rtl/>
        </w:rPr>
        <w:t>،</w:t>
      </w:r>
      <w:r w:rsidRPr="009630F0">
        <w:rPr>
          <w:rFonts w:ascii="Traditional Arabic" w:hAnsi="Traditional Arabic" w:cs="Traditional Arabic" w:hint="cs"/>
          <w:sz w:val="30"/>
          <w:szCs w:val="30"/>
          <w:rtl/>
        </w:rPr>
        <w:t xml:space="preserve"> </w:t>
      </w:r>
      <w:r w:rsidRPr="009630F0">
        <w:rPr>
          <w:rFonts w:ascii="Traditional Arabic" w:hAnsi="Traditional Arabic" w:cs="Traditional Arabic"/>
          <w:sz w:val="30"/>
          <w:szCs w:val="30"/>
          <w:rtl/>
        </w:rPr>
        <w:t xml:space="preserve">إلى الحد الذي لم يتم فيه تلبية </w:t>
      </w:r>
      <w:r w:rsidRPr="009630F0">
        <w:rPr>
          <w:rFonts w:ascii="Traditional Arabic" w:hAnsi="Traditional Arabic" w:cs="Traditional Arabic" w:hint="cs"/>
          <w:sz w:val="30"/>
          <w:szCs w:val="30"/>
          <w:rtl/>
        </w:rPr>
        <w:t>ال</w:t>
      </w:r>
      <w:r w:rsidRPr="009630F0">
        <w:rPr>
          <w:rFonts w:ascii="Traditional Arabic" w:hAnsi="Traditional Arabic" w:cs="Traditional Arabic"/>
          <w:sz w:val="30"/>
          <w:szCs w:val="30"/>
          <w:rtl/>
        </w:rPr>
        <w:t>زيادة في طلبات الاكتتاب لديهم</w:t>
      </w:r>
      <w:r w:rsidRPr="009630F0" w:rsidDel="005C3900">
        <w:rPr>
          <w:rFonts w:ascii="Traditional Arabic" w:hAnsi="Traditional Arabic" w:cs="Traditional Arabic" w:hint="cs"/>
          <w:sz w:val="30"/>
          <w:szCs w:val="30"/>
          <w:rtl/>
        </w:rPr>
        <w:t xml:space="preserve"> </w:t>
      </w:r>
      <w:r w:rsidRPr="009630F0">
        <w:rPr>
          <w:rFonts w:ascii="Traditional Arabic" w:hAnsi="Traditional Arabic" w:cs="Traditional Arabic" w:hint="cs"/>
          <w:sz w:val="30"/>
          <w:szCs w:val="30"/>
          <w:rtl/>
        </w:rPr>
        <w:t>.</w:t>
      </w:r>
      <w:r w:rsidRPr="009630F0">
        <w:rPr>
          <w:rFonts w:ascii="Traditional Arabic" w:hAnsi="Traditional Arabic" w:cs="Traditional Arabic"/>
          <w:sz w:val="30"/>
          <w:szCs w:val="30"/>
          <w:rtl/>
        </w:rPr>
        <w:t xml:space="preserve">وإذا كانت الطلبات المقدمة من </w:t>
      </w:r>
      <w:r w:rsidRPr="009630F0">
        <w:rPr>
          <w:rFonts w:ascii="Traditional Arabic" w:hAnsi="Traditional Arabic" w:cs="Traditional Arabic" w:hint="cs"/>
          <w:sz w:val="30"/>
          <w:szCs w:val="30"/>
          <w:rtl/>
        </w:rPr>
        <w:t>مقدمي الطلبات من</w:t>
      </w:r>
      <w:r w:rsidRPr="009630F0">
        <w:rPr>
          <w:rFonts w:ascii="Traditional Arabic" w:hAnsi="Traditional Arabic" w:cs="Traditional Arabic"/>
          <w:sz w:val="30"/>
          <w:szCs w:val="30"/>
          <w:rtl/>
        </w:rPr>
        <w:t xml:space="preserve"> الفئة الأولى أقل من الأسهم المطروحة في الفئة الأولى، </w:t>
      </w:r>
      <w:r w:rsidRPr="009630F0">
        <w:rPr>
          <w:rFonts w:ascii="Traditional Arabic" w:hAnsi="Traditional Arabic" w:cs="Traditional Arabic" w:hint="cs"/>
          <w:sz w:val="30"/>
          <w:szCs w:val="30"/>
          <w:rtl/>
        </w:rPr>
        <w:t>يعتبر الاكتتاب غير ناجح</w:t>
      </w:r>
      <w:r w:rsidRPr="009630F0">
        <w:rPr>
          <w:rFonts w:ascii="Traditional Arabic" w:hAnsi="Traditional Arabic" w:cs="Traditional Arabic"/>
          <w:sz w:val="30"/>
          <w:szCs w:val="30"/>
        </w:rPr>
        <w:t xml:space="preserve"> </w:t>
      </w:r>
      <w:r w:rsidRPr="009630F0">
        <w:rPr>
          <w:rFonts w:ascii="Traditional Arabic" w:hAnsi="Traditional Arabic" w:cs="Traditional Arabic" w:hint="cs"/>
          <w:sz w:val="30"/>
          <w:szCs w:val="30"/>
          <w:rtl/>
        </w:rPr>
        <w:t xml:space="preserve"> ويجب على الشركة سحب الطرح وتقديم طلب جديد اذا ما رغبت في الاستمرار.</w:t>
      </w:r>
    </w:p>
    <w:p w14:paraId="2A3C478D" w14:textId="77777777" w:rsidR="00C53B7B" w:rsidRDefault="00C53B7B" w:rsidP="00C53B7B">
      <w:pPr>
        <w:bidi/>
        <w:jc w:val="both"/>
        <w:rPr>
          <w:rFonts w:ascii="Traditional Arabic" w:hAnsi="Traditional Arabic" w:cs="Traditional Arabic"/>
          <w:sz w:val="30"/>
          <w:szCs w:val="30"/>
          <w:rtl/>
        </w:rPr>
      </w:pPr>
    </w:p>
    <w:p w14:paraId="6591AADC" w14:textId="77777777" w:rsidR="00F128FB" w:rsidRDefault="00F128FB" w:rsidP="00F128FB">
      <w:pPr>
        <w:bidi/>
        <w:spacing w:after="160" w:line="259" w:lineRule="auto"/>
        <w:jc w:val="both"/>
        <w:rPr>
          <w:rFonts w:ascii="Traditional Arabic" w:hAnsi="Traditional Arabic" w:cs="Traditional Arabic"/>
          <w:sz w:val="30"/>
          <w:szCs w:val="30"/>
          <w:rtl/>
        </w:rPr>
      </w:pPr>
      <w:r w:rsidRPr="00F408BC">
        <w:rPr>
          <w:rFonts w:ascii="Traditional Arabic" w:hAnsi="Traditional Arabic" w:cs="Traditional Arabic"/>
          <w:sz w:val="30"/>
          <w:szCs w:val="30"/>
          <w:rtl/>
        </w:rPr>
        <w:t xml:space="preserve">إذا اختار المساهم البائع ممارسة خيار </w:t>
      </w:r>
      <w:r>
        <w:rPr>
          <w:rFonts w:ascii="Traditional Arabic" w:hAnsi="Traditional Arabic" w:cs="Traditional Arabic" w:hint="cs"/>
          <w:sz w:val="30"/>
          <w:szCs w:val="30"/>
          <w:rtl/>
        </w:rPr>
        <w:t>زيادة حجم الاكتتاب</w:t>
      </w:r>
      <w:r w:rsidRPr="00F408BC">
        <w:rPr>
          <w:rFonts w:ascii="Traditional Arabic" w:hAnsi="Traditional Arabic" w:cs="Traditional Arabic"/>
          <w:sz w:val="30"/>
          <w:szCs w:val="30"/>
          <w:rtl/>
        </w:rPr>
        <w:t xml:space="preserve">، فسيتم </w:t>
      </w:r>
      <w:r w:rsidR="00761551">
        <w:rPr>
          <w:rFonts w:ascii="Traditional Arabic" w:hAnsi="Traditional Arabic" w:cs="Traditional Arabic" w:hint="cs"/>
          <w:sz w:val="30"/>
          <w:szCs w:val="30"/>
          <w:rtl/>
        </w:rPr>
        <w:t>اتاحة</w:t>
      </w:r>
      <w:r w:rsidR="00761551" w:rsidRPr="00F408BC">
        <w:rPr>
          <w:rFonts w:ascii="Traditional Arabic" w:hAnsi="Traditional Arabic" w:cs="Traditional Arabic"/>
          <w:sz w:val="30"/>
          <w:szCs w:val="30"/>
          <w:rtl/>
        </w:rPr>
        <w:t xml:space="preserve"> </w:t>
      </w:r>
      <w:r w:rsidRPr="00F408BC">
        <w:rPr>
          <w:rFonts w:ascii="Traditional Arabic" w:hAnsi="Traditional Arabic" w:cs="Traditional Arabic"/>
          <w:sz w:val="30"/>
          <w:szCs w:val="30"/>
          <w:rtl/>
        </w:rPr>
        <w:t xml:space="preserve">أي أسهم إضافية </w:t>
      </w:r>
      <w:r>
        <w:rPr>
          <w:rFonts w:ascii="Traditional Arabic" w:hAnsi="Traditional Arabic" w:cs="Traditional Arabic" w:hint="cs"/>
          <w:sz w:val="30"/>
          <w:szCs w:val="30"/>
          <w:rtl/>
        </w:rPr>
        <w:t>بالنسبة والتناسب</w:t>
      </w:r>
      <w:r w:rsidRPr="00F408BC">
        <w:rPr>
          <w:rFonts w:ascii="Traditional Arabic" w:hAnsi="Traditional Arabic" w:cs="Traditional Arabic"/>
          <w:sz w:val="30"/>
          <w:szCs w:val="30"/>
          <w:rtl/>
        </w:rPr>
        <w:t xml:space="preserve"> بين </w:t>
      </w:r>
      <w:r>
        <w:rPr>
          <w:rFonts w:ascii="Traditional Arabic" w:hAnsi="Traditional Arabic" w:cs="Traditional Arabic" w:hint="cs"/>
          <w:sz w:val="30"/>
          <w:szCs w:val="30"/>
          <w:rtl/>
        </w:rPr>
        <w:t>مقدمي الطلبات من الفئة الأولى والثانية.</w:t>
      </w:r>
    </w:p>
    <w:p w14:paraId="2054B46F" w14:textId="77777777" w:rsidR="00F128FB" w:rsidRPr="00CA4D73" w:rsidRDefault="00F128FB" w:rsidP="00CA4D73">
      <w:pPr>
        <w:bidi/>
        <w:spacing w:after="160" w:line="259" w:lineRule="auto"/>
        <w:jc w:val="both"/>
        <w:rPr>
          <w:rFonts w:ascii="Traditional Arabic" w:hAnsi="Traditional Arabic" w:cs="Traditional Arabic"/>
          <w:b/>
          <w:sz w:val="30"/>
          <w:szCs w:val="30"/>
          <w:rtl/>
        </w:rPr>
      </w:pPr>
    </w:p>
    <w:p w14:paraId="6C9AB920"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بمجرد استلام موافقة هيئة الخدمات المالية على التخصيص المقترح، (1) سيتم الإعلان عن سعر الطرح من قبل الشركة على </w:t>
      </w:r>
      <w:r w:rsidRPr="00785453">
        <w:rPr>
          <w:rFonts w:ascii="Traditional Arabic" w:hAnsi="Traditional Arabic" w:cs="Traditional Arabic" w:hint="cs"/>
          <w:sz w:val="30"/>
          <w:szCs w:val="30"/>
          <w:rtl/>
        </w:rPr>
        <w:t>الموقع الالكتروني ل</w:t>
      </w:r>
      <w:r w:rsidRPr="00785453">
        <w:rPr>
          <w:rFonts w:ascii="Traditional Arabic" w:hAnsi="Traditional Arabic" w:cs="Traditional Arabic"/>
          <w:sz w:val="30"/>
          <w:szCs w:val="30"/>
          <w:rtl/>
        </w:rPr>
        <w:t xml:space="preserve">بورصة مسقط، و(2) سيقوم مدير الإصدار بإرسال تفاصيل التخصيص لكل مستثمر إلى شركة مسقط للمقاصة والإيداع والمنسق العالمي المشترك، وبعد ذلك سيقوم </w:t>
      </w:r>
      <w:r w:rsidR="009E2F0F">
        <w:rPr>
          <w:rFonts w:ascii="Traditional Arabic" w:hAnsi="Traditional Arabic" w:cs="Traditional Arabic" w:hint="cs"/>
          <w:sz w:val="30"/>
          <w:szCs w:val="30"/>
          <w:rtl/>
        </w:rPr>
        <w:t>مدير سجل الاكتتاب المشترك و</w:t>
      </w:r>
      <w:r w:rsidR="00290AD3">
        <w:rPr>
          <w:rFonts w:ascii="Traditional Arabic" w:hAnsi="Traditional Arabic" w:cs="Traditional Arabic" w:hint="cs"/>
          <w:sz w:val="30"/>
          <w:szCs w:val="30"/>
          <w:rtl/>
        </w:rPr>
        <w:t xml:space="preserve"> مدير الإصدار </w:t>
      </w:r>
      <w:r w:rsidR="00E07E09">
        <w:rPr>
          <w:rFonts w:ascii="Traditional Arabic" w:hAnsi="Traditional Arabic" w:cs="Traditional Arabic" w:hint="cs"/>
          <w:sz w:val="30"/>
          <w:szCs w:val="30"/>
          <w:rtl/>
        </w:rPr>
        <w:t>و</w:t>
      </w:r>
      <w:r w:rsidR="009E2F0F">
        <w:rPr>
          <w:rFonts w:ascii="Traditional Arabic" w:hAnsi="Traditional Arabic" w:cs="Traditional Arabic" w:hint="cs"/>
          <w:sz w:val="30"/>
          <w:szCs w:val="30"/>
          <w:rtl/>
        </w:rPr>
        <w:t>وكلاء التحصيل</w:t>
      </w:r>
      <w:r w:rsidRPr="00785453">
        <w:rPr>
          <w:rFonts w:ascii="Traditional Arabic" w:hAnsi="Traditional Arabic" w:cs="Traditional Arabic"/>
          <w:sz w:val="30"/>
          <w:szCs w:val="30"/>
          <w:rtl/>
        </w:rPr>
        <w:t xml:space="preserve"> بإخطار مستثمري الفئة الأولى بمخصصاتهم.</w:t>
      </w:r>
    </w:p>
    <w:p w14:paraId="06BCE050" w14:textId="77777777" w:rsidR="00C53B7B" w:rsidRPr="00785453" w:rsidRDefault="00C53B7B" w:rsidP="00C53B7B">
      <w:pPr>
        <w:bidi/>
        <w:jc w:val="both"/>
        <w:rPr>
          <w:rFonts w:ascii="Traditional Arabic" w:hAnsi="Traditional Arabic" w:cs="Traditional Arabic"/>
          <w:sz w:val="30"/>
          <w:szCs w:val="30"/>
          <w:rtl/>
          <w:lang w:bidi="ar-EG"/>
        </w:rPr>
      </w:pPr>
    </w:p>
    <w:p w14:paraId="16F60EE5" w14:textId="77777777" w:rsidR="00C53B7B" w:rsidRPr="00785453" w:rsidRDefault="00C53B7B" w:rsidP="00C53B7B">
      <w:pPr>
        <w:bidi/>
        <w:jc w:val="both"/>
        <w:rPr>
          <w:rFonts w:ascii="Traditional Arabic" w:hAnsi="Traditional Arabic" w:cs="Traditional Arabic"/>
          <w:b/>
          <w:bCs/>
          <w:sz w:val="30"/>
          <w:szCs w:val="30"/>
          <w:rtl/>
          <w:lang w:bidi="ar-EG"/>
        </w:rPr>
      </w:pPr>
      <w:r w:rsidRPr="00785453">
        <w:rPr>
          <w:rFonts w:ascii="Traditional Arabic" w:hAnsi="Traditional Arabic" w:cs="Traditional Arabic"/>
          <w:b/>
          <w:bCs/>
          <w:sz w:val="30"/>
          <w:szCs w:val="30"/>
          <w:rtl/>
          <w:lang w:bidi="ar-EG"/>
        </w:rPr>
        <w:lastRenderedPageBreak/>
        <w:t>شروط دفع القيمة عن الاكتتاب في الفئة الأولى:</w:t>
      </w:r>
    </w:p>
    <w:p w14:paraId="78A612A6"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سيقوم كل وكيل تحصيل بفتح حساب عهدة باسم حساب "الاكتتاب العام لشركة </w:t>
      </w:r>
      <w:r w:rsidR="00936F1F">
        <w:rPr>
          <w:rFonts w:ascii="Traditional Arabic" w:hAnsi="Traditional Arabic" w:cs="Traditional Arabic" w:hint="cs"/>
          <w:sz w:val="30"/>
          <w:szCs w:val="30"/>
          <w:rtl/>
        </w:rPr>
        <w:t>أسياد للنقل البحري</w:t>
      </w:r>
      <w:r w:rsidRPr="00785453">
        <w:rPr>
          <w:rFonts w:ascii="Traditional Arabic" w:hAnsi="Traditional Arabic" w:cs="Traditional Arabic"/>
          <w:sz w:val="30"/>
          <w:szCs w:val="30"/>
          <w:rtl/>
        </w:rPr>
        <w:t xml:space="preserve">- </w:t>
      </w:r>
      <w:r w:rsidR="00176DD6">
        <w:rPr>
          <w:rFonts w:ascii="Traditional Arabic" w:hAnsi="Traditional Arabic" w:cs="Traditional Arabic" w:hint="cs"/>
          <w:sz w:val="30"/>
          <w:szCs w:val="30"/>
          <w:rtl/>
        </w:rPr>
        <w:t>وكيل التحصيل</w:t>
      </w:r>
      <w:r w:rsidRPr="00785453">
        <w:rPr>
          <w:rFonts w:ascii="Traditional Arabic" w:hAnsi="Traditional Arabic" w:cs="Traditional Arabic"/>
          <w:sz w:val="30"/>
          <w:szCs w:val="30"/>
          <w:rtl/>
        </w:rPr>
        <w:t>" وذلك لتحصيل أموال الطلبات المقدمة من الفئة الأولى.</w:t>
      </w:r>
    </w:p>
    <w:p w14:paraId="162651A2" w14:textId="77777777" w:rsidR="00C53B7B" w:rsidRPr="00785453" w:rsidRDefault="00C53B7B" w:rsidP="00C53B7B">
      <w:pPr>
        <w:bidi/>
        <w:jc w:val="both"/>
        <w:rPr>
          <w:rFonts w:ascii="Traditional Arabic" w:hAnsi="Traditional Arabic" w:cs="Traditional Arabic"/>
          <w:sz w:val="30"/>
          <w:szCs w:val="30"/>
        </w:rPr>
      </w:pPr>
    </w:p>
    <w:p w14:paraId="571679E9" w14:textId="77777777" w:rsidR="00C53B7B" w:rsidRPr="00785453" w:rsidRDefault="00C53B7B" w:rsidP="00C53B7B">
      <w:pPr>
        <w:bidi/>
        <w:jc w:val="both"/>
        <w:rPr>
          <w:rFonts w:ascii="Traditional Arabic" w:hAnsi="Traditional Arabic" w:cs="Traditional Arabic"/>
          <w:sz w:val="30"/>
          <w:szCs w:val="30"/>
          <w:lang w:bidi="ar-EG"/>
        </w:rPr>
      </w:pPr>
      <w:r w:rsidRPr="00785453">
        <w:rPr>
          <w:rFonts w:ascii="Traditional Arabic" w:hAnsi="Traditional Arabic" w:cs="Traditional Arabic"/>
          <w:sz w:val="30"/>
          <w:szCs w:val="30"/>
          <w:rtl/>
        </w:rPr>
        <w:t>سيقوم مدير الإصدار بفتح حساب عهدة باسم حساب "الاكتتاب العام لشركة</w:t>
      </w:r>
      <w:r w:rsidRPr="00785453">
        <w:rPr>
          <w:rFonts w:ascii="Traditional Arabic" w:hAnsi="Traditional Arabic" w:cs="Traditional Arabic" w:hint="cs"/>
          <w:sz w:val="30"/>
          <w:szCs w:val="30"/>
          <w:rtl/>
        </w:rPr>
        <w:t xml:space="preserve"> </w:t>
      </w:r>
      <w:r w:rsidR="00936F1F">
        <w:rPr>
          <w:rFonts w:ascii="Traditional Arabic" w:hAnsi="Traditional Arabic" w:cs="Traditional Arabic" w:hint="cs"/>
          <w:sz w:val="30"/>
          <w:szCs w:val="30"/>
          <w:rtl/>
        </w:rPr>
        <w:t>أسياد للنقل البحري</w:t>
      </w:r>
      <w:r w:rsidR="00CD405E"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 xml:space="preserve">– </w:t>
      </w:r>
      <w:r w:rsidRPr="00785453">
        <w:rPr>
          <w:rFonts w:ascii="Traditional Arabic" w:hAnsi="Traditional Arabic" w:cs="Traditional Arabic" w:hint="cs"/>
          <w:sz w:val="30"/>
          <w:szCs w:val="30"/>
          <w:rtl/>
        </w:rPr>
        <w:t>مدير الاصدار</w:t>
      </w:r>
      <w:r w:rsidRPr="00785453">
        <w:rPr>
          <w:rFonts w:ascii="Traditional Arabic" w:hAnsi="Traditional Arabic" w:cs="Traditional Arabic"/>
          <w:sz w:val="30"/>
          <w:szCs w:val="30"/>
          <w:rtl/>
        </w:rPr>
        <w:t>" لاستلام عائدات الاكتتاب من وكلاء التحصيل قبل يوم عمل على الأقل (بتوقيت سلطنة عمان) من تاريخ التسوية، على أن تتم إدارة هذا الحساب من قبل مدير الإصدار بالنسبة لطرح الفئة الأولى. وبعد خصم جميع الرسوم المطبقة</w:t>
      </w:r>
      <w:r w:rsidR="00936F1F">
        <w:rPr>
          <w:rFonts w:ascii="Traditional Arabic" w:hAnsi="Traditional Arabic" w:cs="Traditional Arabic" w:hint="cs"/>
          <w:sz w:val="30"/>
          <w:szCs w:val="30"/>
          <w:rtl/>
        </w:rPr>
        <w:t xml:space="preserve"> والمصروفات</w:t>
      </w:r>
      <w:r w:rsidRPr="00785453">
        <w:rPr>
          <w:rFonts w:ascii="Traditional Arabic" w:hAnsi="Traditional Arabic" w:cs="Traditional Arabic"/>
          <w:sz w:val="30"/>
          <w:szCs w:val="30"/>
          <w:rtl/>
        </w:rPr>
        <w:t xml:space="preserve"> وضريبة القيمة المضافة المحددة حتى ذلك التاريخ، سيقوم مدير الإصدار</w:t>
      </w:r>
      <w:r w:rsidRPr="00785453">
        <w:rPr>
          <w:rFonts w:ascii="Traditional Arabic" w:hAnsi="Traditional Arabic" w:cs="Traditional Arabic"/>
          <w:sz w:val="30"/>
          <w:szCs w:val="30"/>
          <w:lang w:bidi="ar-EG"/>
        </w:rPr>
        <w:t xml:space="preserve"> </w:t>
      </w:r>
      <w:r w:rsidRPr="00785453">
        <w:rPr>
          <w:rFonts w:ascii="Traditional Arabic" w:hAnsi="Traditional Arabic" w:cs="Traditional Arabic"/>
          <w:sz w:val="30"/>
          <w:szCs w:val="30"/>
          <w:rtl/>
        </w:rPr>
        <w:t>للفئة الأولى بتحويل صافي العائدات في هذا الحساب إلى حساب العهدة الخاص بشركة مسقط للمقاصة والإيداع في تاريخ التسوية.</w:t>
      </w:r>
    </w:p>
    <w:p w14:paraId="144FB31E" w14:textId="77777777" w:rsidR="00C53B7B" w:rsidRPr="00785453" w:rsidRDefault="00C53B7B" w:rsidP="00C53B7B">
      <w:pPr>
        <w:bidi/>
        <w:jc w:val="both"/>
        <w:rPr>
          <w:rFonts w:ascii="Traditional Arabic" w:hAnsi="Traditional Arabic" w:cs="Traditional Arabic"/>
          <w:sz w:val="30"/>
          <w:szCs w:val="30"/>
          <w:rtl/>
        </w:rPr>
      </w:pPr>
    </w:p>
    <w:p w14:paraId="509746B6" w14:textId="2D570424"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ويتعين على كل مقدم طلب من الفئة الأولى سداد كامل قيمة أسهم الطرح المخصصة له إلى الحساب المصرفي المعين </w:t>
      </w:r>
      <w:r w:rsidRPr="00785453">
        <w:rPr>
          <w:rFonts w:ascii="Traditional Arabic" w:hAnsi="Traditional Arabic" w:cs="Traditional Arabic" w:hint="cs"/>
          <w:sz w:val="30"/>
          <w:szCs w:val="30"/>
          <w:rtl/>
        </w:rPr>
        <w:t xml:space="preserve">لأحد </w:t>
      </w:r>
      <w:r w:rsidRPr="00785453">
        <w:rPr>
          <w:rFonts w:ascii="Traditional Arabic" w:hAnsi="Traditional Arabic" w:cs="Traditional Arabic"/>
          <w:sz w:val="30"/>
          <w:szCs w:val="30"/>
          <w:rtl/>
        </w:rPr>
        <w:t>وكلاء التحصيل</w:t>
      </w:r>
      <w:r w:rsidR="00E07E09">
        <w:rPr>
          <w:rFonts w:ascii="Traditional Arabic" w:hAnsi="Traditional Arabic" w:cs="Traditional Arabic" w:hint="cs"/>
          <w:sz w:val="30"/>
          <w:szCs w:val="30"/>
          <w:rtl/>
        </w:rPr>
        <w:t xml:space="preserve"> أو</w:t>
      </w:r>
      <w:r w:rsidR="00E07E09" w:rsidRPr="00E07E09">
        <w:rPr>
          <w:rFonts w:ascii="Traditional Arabic" w:hAnsi="Traditional Arabic" w:cs="Traditional Arabic" w:hint="cs"/>
          <w:sz w:val="30"/>
          <w:szCs w:val="30"/>
          <w:rtl/>
        </w:rPr>
        <w:t xml:space="preserve"> </w:t>
      </w:r>
      <w:r w:rsidR="00E07E09">
        <w:rPr>
          <w:rFonts w:ascii="Traditional Arabic" w:hAnsi="Traditional Arabic" w:cs="Traditional Arabic" w:hint="cs"/>
          <w:sz w:val="30"/>
          <w:szCs w:val="30"/>
          <w:rtl/>
        </w:rPr>
        <w:t>مدير الإصدار</w:t>
      </w:r>
      <w:r w:rsidRPr="00785453">
        <w:rPr>
          <w:rFonts w:ascii="Traditional Arabic" w:hAnsi="Traditional Arabic" w:cs="Traditional Arabic" w:hint="cs"/>
          <w:sz w:val="30"/>
          <w:szCs w:val="30"/>
          <w:rtl/>
        </w:rPr>
        <w:t xml:space="preserve"> </w:t>
      </w:r>
      <w:r w:rsidR="00E07E09">
        <w:rPr>
          <w:rFonts w:ascii="Traditional Arabic" w:hAnsi="Traditional Arabic" w:cs="Traditional Arabic" w:hint="cs"/>
          <w:sz w:val="30"/>
          <w:szCs w:val="30"/>
          <w:rtl/>
        </w:rPr>
        <w:t>أ</w:t>
      </w:r>
      <w:r w:rsidR="007E1A6E">
        <w:rPr>
          <w:rFonts w:ascii="Traditional Arabic" w:hAnsi="Traditional Arabic" w:cs="Traditional Arabic" w:hint="cs"/>
          <w:sz w:val="30"/>
          <w:szCs w:val="30"/>
          <w:rtl/>
        </w:rPr>
        <w:t>و</w:t>
      </w:r>
      <w:r w:rsidR="00B546D4">
        <w:rPr>
          <w:rFonts w:ascii="Traditional Arabic" w:hAnsi="Traditional Arabic" w:cs="Traditional Arabic" w:hint="cs"/>
          <w:sz w:val="30"/>
          <w:szCs w:val="30"/>
          <w:rtl/>
        </w:rPr>
        <w:t xml:space="preserve"> </w:t>
      </w:r>
      <w:r w:rsidR="00C37E20">
        <w:rPr>
          <w:rFonts w:ascii="Traditional Arabic" w:hAnsi="Traditional Arabic" w:cs="Traditional Arabic" w:hint="cs"/>
          <w:sz w:val="30"/>
          <w:szCs w:val="30"/>
          <w:rtl/>
        </w:rPr>
        <w:t>المنسق العالمي المشترك</w:t>
      </w:r>
      <w:r w:rsidR="00830606">
        <w:rPr>
          <w:rFonts w:ascii="Traditional Arabic" w:hAnsi="Traditional Arabic" w:cs="Traditional Arabic" w:hint="cs"/>
          <w:sz w:val="30"/>
          <w:szCs w:val="30"/>
          <w:rtl/>
        </w:rPr>
        <w:t xml:space="preserve"> قبل تاريخ التسوية بيومي عمل على الأقل (بتوقيت سلطنة عمان)</w:t>
      </w:r>
      <w:r w:rsidRPr="00785453">
        <w:rPr>
          <w:rFonts w:ascii="Traditional Arabic" w:hAnsi="Traditional Arabic" w:cs="Traditional Arabic"/>
          <w:sz w:val="30"/>
          <w:szCs w:val="30"/>
          <w:rtl/>
        </w:rPr>
        <w:t xml:space="preserve">. ومع ذلك، يجوز لوكيل التحصيل – وقت قبول الطلب - </w:t>
      </w:r>
      <w:r w:rsidRPr="00785453">
        <w:rPr>
          <w:rFonts w:ascii="Traditional Arabic" w:hAnsi="Traditional Arabic" w:cs="Traditional Arabic"/>
          <w:sz w:val="30"/>
          <w:szCs w:val="30"/>
          <w:rtl/>
          <w:lang w:bidi="ar-OM"/>
        </w:rPr>
        <w:t>حجز مبلغ مساوي لقيمة طلب الاكتتاب المقدم في الفئة الأولى من</w:t>
      </w:r>
      <w:r w:rsidRPr="00785453">
        <w:rPr>
          <w:rFonts w:ascii="Traditional Arabic" w:hAnsi="Traditional Arabic" w:cs="Traditional Arabic"/>
          <w:sz w:val="30"/>
          <w:szCs w:val="30"/>
          <w:rtl/>
        </w:rPr>
        <w:t xml:space="preserve"> حساب مقدم الطلب المسجل لدى وكيل التحصيل.</w:t>
      </w:r>
    </w:p>
    <w:p w14:paraId="56809287" w14:textId="77777777" w:rsidR="00C53B7B" w:rsidRPr="00785453" w:rsidRDefault="00C53B7B" w:rsidP="00C53B7B">
      <w:pPr>
        <w:bidi/>
        <w:jc w:val="both"/>
        <w:rPr>
          <w:rFonts w:ascii="Traditional Arabic" w:hAnsi="Traditional Arabic" w:cs="Traditional Arabic"/>
          <w:sz w:val="30"/>
          <w:szCs w:val="30"/>
          <w:lang w:bidi="ar-EG"/>
        </w:rPr>
      </w:pPr>
      <w:r w:rsidRPr="00785453">
        <w:rPr>
          <w:rFonts w:ascii="Traditional Arabic" w:hAnsi="Traditional Arabic" w:cs="Traditional Arabic"/>
          <w:sz w:val="30"/>
          <w:szCs w:val="30"/>
          <w:rtl/>
        </w:rPr>
        <w:t xml:space="preserve"> </w:t>
      </w:r>
    </w:p>
    <w:p w14:paraId="1D8219CA" w14:textId="70A26666" w:rsidR="00C53B7B" w:rsidRPr="00785453" w:rsidRDefault="00C53B7B" w:rsidP="00C53B7B">
      <w:pPr>
        <w:bidi/>
        <w:jc w:val="both"/>
        <w:rPr>
          <w:rFonts w:ascii="Traditional Arabic" w:hAnsi="Traditional Arabic" w:cs="Traditional Arabic"/>
          <w:sz w:val="30"/>
          <w:szCs w:val="30"/>
          <w:lang w:bidi="ar-EG"/>
        </w:rPr>
      </w:pPr>
      <w:r w:rsidRPr="00785453">
        <w:rPr>
          <w:rFonts w:ascii="Traditional Arabic" w:hAnsi="Traditional Arabic" w:cs="Traditional Arabic"/>
          <w:sz w:val="30"/>
          <w:szCs w:val="30"/>
          <w:rtl/>
        </w:rPr>
        <w:t>يقوم وكلاء التحصيل</w:t>
      </w:r>
      <w:r w:rsidR="00830606">
        <w:rPr>
          <w:rFonts w:ascii="Traditional Arabic" w:hAnsi="Traditional Arabic" w:cs="Traditional Arabic" w:hint="cs"/>
          <w:sz w:val="30"/>
          <w:szCs w:val="30"/>
          <w:rtl/>
        </w:rPr>
        <w:t xml:space="preserve"> أو </w:t>
      </w:r>
      <w:r w:rsidR="00E07E09">
        <w:rPr>
          <w:rFonts w:ascii="Traditional Arabic" w:hAnsi="Traditional Arabic" w:cs="Traditional Arabic" w:hint="cs"/>
          <w:sz w:val="30"/>
          <w:szCs w:val="30"/>
          <w:rtl/>
        </w:rPr>
        <w:t xml:space="preserve">مدير الإصدار أو </w:t>
      </w:r>
      <w:r w:rsidR="00830606">
        <w:rPr>
          <w:rFonts w:ascii="Traditional Arabic" w:hAnsi="Traditional Arabic" w:cs="Traditional Arabic" w:hint="cs"/>
          <w:sz w:val="30"/>
          <w:szCs w:val="30"/>
          <w:rtl/>
        </w:rPr>
        <w:t>مدير سجل الاكتتاب المشترك</w:t>
      </w:r>
      <w:r w:rsidRPr="00785453">
        <w:rPr>
          <w:rFonts w:ascii="Traditional Arabic" w:hAnsi="Traditional Arabic" w:cs="Traditional Arabic"/>
          <w:sz w:val="30"/>
          <w:szCs w:val="30"/>
          <w:rtl/>
        </w:rPr>
        <w:t xml:space="preserve"> بتحويل عائدات الاكتتاب قبل يوم عمل على الأقل (بتوقيت سلطنة عمان) من تاريخ التسوية إلى الحساب المصرفي المعين لمدير الإصدار. وفي حالة إخفاق مقدم الطلب من الفئة الأولى في السداد في الوقت المناسب، قد يتحمل مقدم الطلب المعني من الفئة الأولى غرامات كبيرة و/ أو إجراءات تنفيذيه ضده. يمكن للمستثمرين دفع قيمة اكتتابهم عن طريق حوالة بنكية تحت الطلب صادرة من بنك في </w:t>
      </w:r>
      <w:r w:rsidRPr="00785453">
        <w:rPr>
          <w:rFonts w:ascii="Traditional Arabic" w:hAnsi="Traditional Arabic" w:cs="Traditional Arabic"/>
          <w:sz w:val="30"/>
          <w:szCs w:val="30"/>
          <w:rtl/>
          <w:lang w:bidi="ar-OM"/>
        </w:rPr>
        <w:t xml:space="preserve">سلطنة </w:t>
      </w:r>
      <w:r w:rsidRPr="00785453">
        <w:rPr>
          <w:rFonts w:ascii="Traditional Arabic" w:hAnsi="Traditional Arabic" w:cs="Traditional Arabic"/>
          <w:sz w:val="30"/>
          <w:szCs w:val="30"/>
          <w:rtl/>
        </w:rPr>
        <w:t>عُمان أو عن طريق تحويل من الحساب بالمبلغ مستحق الدفع في الوقت المذكور أعلاه.</w:t>
      </w:r>
    </w:p>
    <w:p w14:paraId="23241E92" w14:textId="77777777" w:rsidR="00C53B7B" w:rsidRPr="00785453" w:rsidRDefault="00C53B7B" w:rsidP="00C53B7B">
      <w:pPr>
        <w:bidi/>
        <w:jc w:val="both"/>
        <w:rPr>
          <w:rFonts w:ascii="Traditional Arabic" w:hAnsi="Traditional Arabic" w:cs="Traditional Arabic"/>
          <w:sz w:val="30"/>
          <w:szCs w:val="30"/>
          <w:rtl/>
        </w:rPr>
      </w:pPr>
    </w:p>
    <w:p w14:paraId="3BB585C1" w14:textId="77777777" w:rsidR="00C53B7B" w:rsidRPr="00785453" w:rsidRDefault="00C53B7B" w:rsidP="00C53B7B">
      <w:pPr>
        <w:bidi/>
        <w:jc w:val="both"/>
        <w:rPr>
          <w:rFonts w:ascii="Traditional Arabic" w:hAnsi="Traditional Arabic" w:cs="Traditional Arabic"/>
          <w:sz w:val="30"/>
          <w:szCs w:val="30"/>
          <w:lang w:bidi="ar-EG"/>
        </w:rPr>
      </w:pPr>
      <w:r w:rsidRPr="00785453">
        <w:rPr>
          <w:rFonts w:ascii="Traditional Arabic" w:hAnsi="Traditional Arabic" w:cs="Traditional Arabic"/>
          <w:sz w:val="30"/>
          <w:szCs w:val="30"/>
          <w:rtl/>
        </w:rPr>
        <w:t xml:space="preserve">يتعين على جميع مقدمي الطلبات من خلال </w:t>
      </w:r>
      <w:r w:rsidR="00687762">
        <w:rPr>
          <w:rFonts w:ascii="Traditional Arabic" w:hAnsi="Traditional Arabic" w:cs="Traditional Arabic" w:hint="cs"/>
          <w:sz w:val="30"/>
          <w:szCs w:val="30"/>
          <w:rtl/>
        </w:rPr>
        <w:t>مدير سجل الاكتتاب المشترك</w:t>
      </w:r>
      <w:r w:rsidRPr="00785453">
        <w:rPr>
          <w:rFonts w:ascii="Traditional Arabic" w:hAnsi="Traditional Arabic" w:cs="Traditional Arabic"/>
          <w:sz w:val="30"/>
          <w:szCs w:val="30"/>
          <w:rtl/>
        </w:rPr>
        <w:t xml:space="preserve"> سداد مبالغ الاكتتاب</w:t>
      </w:r>
      <w:r w:rsidRPr="00785453">
        <w:rPr>
          <w:rFonts w:ascii="Traditional Arabic" w:hAnsi="Traditional Arabic" w:cs="Traditional Arabic" w:hint="cs"/>
          <w:sz w:val="30"/>
          <w:szCs w:val="30"/>
          <w:rtl/>
        </w:rPr>
        <w:t xml:space="preserve"> </w:t>
      </w:r>
      <w:r w:rsidR="00EB5EE5">
        <w:rPr>
          <w:rFonts w:ascii="Traditional Arabic" w:hAnsi="Traditional Arabic" w:cs="Traditional Arabic" w:hint="cs"/>
          <w:sz w:val="30"/>
          <w:szCs w:val="30"/>
          <w:rtl/>
        </w:rPr>
        <w:t>لأحد مدراء سجل الاكتتاب</w:t>
      </w:r>
      <w:r w:rsidR="00C37E20">
        <w:rPr>
          <w:rFonts w:ascii="Traditional Arabic" w:hAnsi="Traditional Arabic" w:cs="Traditional Arabic" w:hint="cs"/>
          <w:sz w:val="30"/>
          <w:szCs w:val="30"/>
          <w:rtl/>
        </w:rPr>
        <w:t xml:space="preserve"> المشترك</w:t>
      </w:r>
      <w:r w:rsidRPr="00785453">
        <w:rPr>
          <w:rFonts w:ascii="Traditional Arabic" w:hAnsi="Traditional Arabic" w:cs="Traditional Arabic"/>
          <w:sz w:val="30"/>
          <w:szCs w:val="30"/>
          <w:rtl/>
        </w:rPr>
        <w:t xml:space="preserve"> في سلطنة عمان قبل يومي عمل على الأقل من تاريخ التسوية، والذي سيقوم بعد ذلك بت</w:t>
      </w:r>
      <w:r w:rsidRPr="00785453">
        <w:rPr>
          <w:rFonts w:ascii="Traditional Arabic" w:hAnsi="Traditional Arabic" w:cs="Traditional Arabic" w:hint="cs"/>
          <w:sz w:val="30"/>
          <w:szCs w:val="30"/>
          <w:rtl/>
        </w:rPr>
        <w:t>ح</w:t>
      </w:r>
      <w:r w:rsidRPr="00785453">
        <w:rPr>
          <w:rFonts w:ascii="Traditional Arabic" w:hAnsi="Traditional Arabic" w:cs="Traditional Arabic"/>
          <w:sz w:val="30"/>
          <w:szCs w:val="30"/>
          <w:rtl/>
        </w:rPr>
        <w:t xml:space="preserve">ويل </w:t>
      </w:r>
      <w:r w:rsidRPr="00785453">
        <w:rPr>
          <w:rFonts w:ascii="Traditional Arabic" w:hAnsi="Traditional Arabic" w:cs="Traditional Arabic" w:hint="cs"/>
          <w:sz w:val="30"/>
          <w:szCs w:val="30"/>
          <w:rtl/>
        </w:rPr>
        <w:t xml:space="preserve">المبالغ إلى </w:t>
      </w:r>
      <w:r w:rsidRPr="00785453">
        <w:rPr>
          <w:rFonts w:ascii="Traditional Arabic" w:hAnsi="Traditional Arabic" w:cs="Traditional Arabic"/>
          <w:sz w:val="30"/>
          <w:szCs w:val="30"/>
          <w:rtl/>
        </w:rPr>
        <w:t>حساب العهدة باسم "الاكتتاب العام لشركة</w:t>
      </w:r>
      <w:r w:rsidRPr="00785453">
        <w:rPr>
          <w:rFonts w:ascii="Traditional Arabic" w:hAnsi="Traditional Arabic" w:cs="Traditional Arabic" w:hint="cs"/>
          <w:sz w:val="30"/>
          <w:szCs w:val="30"/>
          <w:rtl/>
        </w:rPr>
        <w:t xml:space="preserve"> </w:t>
      </w:r>
      <w:r w:rsidR="00936F1F">
        <w:rPr>
          <w:rFonts w:ascii="Traditional Arabic" w:hAnsi="Traditional Arabic" w:cs="Traditional Arabic" w:hint="cs"/>
          <w:sz w:val="30"/>
          <w:szCs w:val="30"/>
          <w:rtl/>
        </w:rPr>
        <w:t>أسياد للنقل البحري</w:t>
      </w:r>
      <w:r w:rsidR="007E1A6E"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 xml:space="preserve">– </w:t>
      </w:r>
      <w:r w:rsidRPr="00785453">
        <w:rPr>
          <w:rFonts w:ascii="Traditional Arabic" w:hAnsi="Traditional Arabic" w:cs="Traditional Arabic" w:hint="cs"/>
          <w:sz w:val="30"/>
          <w:szCs w:val="30"/>
          <w:rtl/>
        </w:rPr>
        <w:t>مدير الاصدار</w:t>
      </w:r>
      <w:r w:rsidRPr="00785453">
        <w:rPr>
          <w:rFonts w:ascii="Traditional Arabic" w:hAnsi="Traditional Arabic" w:cs="Traditional Arabic"/>
          <w:sz w:val="30"/>
          <w:szCs w:val="30"/>
          <w:rtl/>
        </w:rPr>
        <w:t>" الذي يحتفظ به مدير الإصدار وذلك</w:t>
      </w:r>
      <w:r w:rsidRPr="00785453">
        <w:rPr>
          <w:rFonts w:ascii="Traditional Arabic" w:hAnsi="Traditional Arabic" w:cs="Traditional Arabic" w:hint="cs"/>
          <w:sz w:val="30"/>
          <w:szCs w:val="30"/>
          <w:rtl/>
        </w:rPr>
        <w:t xml:space="preserve"> في فترة</w:t>
      </w:r>
      <w:r w:rsidRPr="00785453">
        <w:rPr>
          <w:rFonts w:ascii="Traditional Arabic" w:hAnsi="Traditional Arabic" w:cs="Traditional Arabic"/>
          <w:sz w:val="30"/>
          <w:szCs w:val="30"/>
          <w:rtl/>
        </w:rPr>
        <w:t xml:space="preserve"> لا </w:t>
      </w:r>
      <w:r w:rsidRPr="00785453">
        <w:rPr>
          <w:rFonts w:ascii="Traditional Arabic" w:hAnsi="Traditional Arabic" w:cs="Traditional Arabic" w:hint="cs"/>
          <w:sz w:val="30"/>
          <w:szCs w:val="30"/>
          <w:rtl/>
        </w:rPr>
        <w:t>ت</w:t>
      </w:r>
      <w:r w:rsidRPr="00785453">
        <w:rPr>
          <w:rFonts w:ascii="Traditional Arabic" w:hAnsi="Traditional Arabic" w:cs="Traditional Arabic"/>
          <w:sz w:val="30"/>
          <w:szCs w:val="30"/>
          <w:rtl/>
        </w:rPr>
        <w:t xml:space="preserve">تجاوز يوم </w:t>
      </w:r>
      <w:r w:rsidRPr="00785453">
        <w:rPr>
          <w:rFonts w:ascii="Traditional Arabic" w:hAnsi="Traditional Arabic" w:cs="Traditional Arabic" w:hint="cs"/>
          <w:sz w:val="30"/>
          <w:szCs w:val="30"/>
          <w:rtl/>
        </w:rPr>
        <w:t xml:space="preserve">عمل </w:t>
      </w:r>
      <w:r w:rsidRPr="00785453">
        <w:rPr>
          <w:rFonts w:ascii="Traditional Arabic" w:hAnsi="Traditional Arabic" w:cs="Traditional Arabic"/>
          <w:sz w:val="30"/>
          <w:szCs w:val="30"/>
          <w:rtl/>
        </w:rPr>
        <w:t>واحد</w:t>
      </w:r>
      <w:r w:rsidRPr="00785453" w:rsidDel="00D92C06">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 xml:space="preserve">(بتوقيت سلطنة عمان) من تاريخ التسوية. </w:t>
      </w:r>
    </w:p>
    <w:p w14:paraId="3DD9183A" w14:textId="77777777" w:rsidR="00C53B7B" w:rsidRPr="00785453" w:rsidRDefault="00C53B7B" w:rsidP="00C53B7B">
      <w:pPr>
        <w:bidi/>
        <w:jc w:val="both"/>
        <w:rPr>
          <w:rFonts w:ascii="Traditional Arabic" w:hAnsi="Traditional Arabic" w:cs="Traditional Arabic"/>
          <w:sz w:val="30"/>
          <w:szCs w:val="30"/>
          <w:rtl/>
        </w:rPr>
      </w:pPr>
    </w:p>
    <w:p w14:paraId="4C833E1D"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ومن المتوقع أن يتم تسليم أسهم الطرح في تاريخ التسوية إلى حسابات مستثمري الفئة الأولى من خلال خاصية القيد الدفتري التي تديرها شركة مسقط للمقاصة والإيداع. </w:t>
      </w:r>
    </w:p>
    <w:p w14:paraId="61F2BE97" w14:textId="77777777" w:rsidR="00C53B7B" w:rsidRPr="00785453" w:rsidRDefault="00C53B7B" w:rsidP="00C53B7B">
      <w:pPr>
        <w:bidi/>
        <w:jc w:val="both"/>
        <w:rPr>
          <w:rFonts w:ascii="Traditional Arabic" w:hAnsi="Traditional Arabic" w:cs="Traditional Arabic"/>
          <w:sz w:val="30"/>
          <w:szCs w:val="30"/>
          <w:rtl/>
        </w:rPr>
      </w:pPr>
    </w:p>
    <w:p w14:paraId="3886A1D0" w14:textId="77777777" w:rsidR="00C53B7B" w:rsidRPr="00785453" w:rsidRDefault="00C53B7B" w:rsidP="00C53B7B">
      <w:pPr>
        <w:bidi/>
        <w:jc w:val="both"/>
        <w:rPr>
          <w:rFonts w:ascii="Traditional Arabic" w:hAnsi="Traditional Arabic" w:cs="Traditional Arabic"/>
          <w:sz w:val="30"/>
          <w:szCs w:val="30"/>
          <w:rtl/>
          <w:lang w:bidi="ar-EG"/>
        </w:rPr>
      </w:pPr>
      <w:r w:rsidRPr="00785453">
        <w:rPr>
          <w:rFonts w:ascii="Traditional Arabic" w:hAnsi="Traditional Arabic" w:cs="Traditional Arabic"/>
          <w:b/>
          <w:bCs/>
          <w:sz w:val="30"/>
          <w:szCs w:val="30"/>
          <w:rtl/>
          <w:lang w:bidi="ar-EG"/>
        </w:rPr>
        <w:t>تفاصيل الحساب البنكي لمستثمري الفئة الأولى</w:t>
      </w:r>
      <w:r w:rsidRPr="00785453">
        <w:rPr>
          <w:rFonts w:ascii="Traditional Arabic" w:hAnsi="Traditional Arabic" w:cs="Traditional Arabic" w:hint="cs"/>
          <w:b/>
          <w:bCs/>
          <w:sz w:val="30"/>
          <w:szCs w:val="30"/>
          <w:rtl/>
          <w:lang w:bidi="ar-EG"/>
        </w:rPr>
        <w:t xml:space="preserve"> </w:t>
      </w:r>
      <w:r w:rsidRPr="00785453">
        <w:rPr>
          <w:rFonts w:ascii="Traditional Arabic" w:hAnsi="Traditional Arabic" w:cs="Traditional Arabic"/>
          <w:b/>
          <w:bCs/>
          <w:sz w:val="30"/>
          <w:szCs w:val="30"/>
          <w:rtl/>
          <w:lang w:bidi="ar-EG"/>
        </w:rPr>
        <w:t xml:space="preserve">الذين يقدمون الطلبات </w:t>
      </w:r>
      <w:r w:rsidRPr="00785453">
        <w:rPr>
          <w:rFonts w:ascii="Traditional Arabic" w:hAnsi="Traditional Arabic" w:cs="Traditional Arabic" w:hint="cs"/>
          <w:b/>
          <w:bCs/>
          <w:sz w:val="30"/>
          <w:szCs w:val="30"/>
          <w:rtl/>
          <w:lang w:bidi="ar-EG"/>
        </w:rPr>
        <w:t>عن طريق وكلاء التحصيل</w:t>
      </w:r>
      <w:r w:rsidRPr="00785453">
        <w:rPr>
          <w:rFonts w:ascii="Traditional Arabic" w:hAnsi="Traditional Arabic" w:cs="Traditional Arabic"/>
          <w:b/>
          <w:bCs/>
          <w:sz w:val="30"/>
          <w:szCs w:val="30"/>
          <w:rtl/>
          <w:lang w:bidi="ar-EG"/>
        </w:rPr>
        <w:t xml:space="preserve"> </w:t>
      </w:r>
    </w:p>
    <w:p w14:paraId="1FFA852D" w14:textId="77777777" w:rsidR="00C53B7B" w:rsidRPr="00785453" w:rsidRDefault="00C53B7B" w:rsidP="00C53B7B">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rtl/>
          <w:lang w:bidi="ar-EG"/>
        </w:rPr>
        <w:t>يتعين على كل مستثمر أن يقدم تفاصيل حسابه البنكي (المسجل باسمه)، ويُحظر عليه استخدام أي حساب بنكي لأي شخص أو كيان قانوني آخر.</w:t>
      </w:r>
    </w:p>
    <w:p w14:paraId="68D3D64D" w14:textId="77777777" w:rsidR="00C53B7B" w:rsidRPr="00785453" w:rsidRDefault="00C53B7B" w:rsidP="00C53B7B">
      <w:pPr>
        <w:bidi/>
        <w:jc w:val="both"/>
        <w:rPr>
          <w:rFonts w:ascii="Traditional Arabic" w:hAnsi="Traditional Arabic" w:cs="Traditional Arabic"/>
          <w:sz w:val="30"/>
          <w:szCs w:val="30"/>
          <w:rtl/>
          <w:lang w:bidi="ar-EG"/>
        </w:rPr>
      </w:pPr>
    </w:p>
    <w:p w14:paraId="21D148B4" w14:textId="77777777" w:rsidR="00C53B7B" w:rsidRPr="00785453" w:rsidRDefault="00C53B7B" w:rsidP="00C53B7B">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rtl/>
          <w:lang w:bidi="ar-EG"/>
        </w:rPr>
        <w:t>إذا كان الحساب البنكي للمستثمر مسجلا في بنك آخر غير وكلاء التحصيل، فسيتعين على المستثمر تقديم ما يفيد تفاصيل حسابه البنكي التي دونها في الطلب، ويقوم مقام هذه الإفادة أي مستند صادر من بنك المستثمر يفيد برقم الحساب البنكي واسم مالك الحساب، وتُقبل في هذا الشأن كشوفات الحساب أو أي خطاب أو مستند يصدر عن البنك ويؤكد هذه المعلومات. ويتعين على المستثمر ضمان أن تكون الإفادة المقدمة مقروءة وتحوي المعلومات المطلوبة، ولا يُلزم المستثمر بتقديم أي شيء طالما أن حسابه البنكي لدى وكيل التحصيل الذي يكتتب من خلاله، وفي هذه الحالة سيتعين على وكيل التحصيل أن يتحقق من صحة الحساب البنكي للمستثمر عن طريق نظامه وإجراءاته الخاصة أو عن طريق إفادة يقدمها المستثمر له.</w:t>
      </w:r>
    </w:p>
    <w:p w14:paraId="74DED71C" w14:textId="77777777" w:rsidR="00C53B7B" w:rsidRPr="00785453" w:rsidRDefault="00C53B7B" w:rsidP="00C53B7B">
      <w:pPr>
        <w:bidi/>
        <w:jc w:val="both"/>
        <w:rPr>
          <w:rFonts w:ascii="Traditional Arabic" w:hAnsi="Traditional Arabic" w:cs="Traditional Arabic"/>
          <w:sz w:val="30"/>
          <w:szCs w:val="30"/>
          <w:rtl/>
          <w:lang w:bidi="ar-EG"/>
        </w:rPr>
      </w:pPr>
    </w:p>
    <w:p w14:paraId="23EF5671" w14:textId="77777777" w:rsidR="00C53B7B" w:rsidRPr="00785453" w:rsidRDefault="00C53B7B" w:rsidP="00C53B7B">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rtl/>
          <w:lang w:bidi="ar-EG"/>
        </w:rPr>
        <w:t>وسيتم رفض الطلبات التي تتضمن حسابات بنكية لأي شخص أو كيان قانوني غير المستثمر.</w:t>
      </w:r>
    </w:p>
    <w:p w14:paraId="2FD3FDE6" w14:textId="77777777" w:rsidR="00C53B7B" w:rsidRPr="00785453" w:rsidRDefault="00C53B7B" w:rsidP="00C53B7B">
      <w:pPr>
        <w:bidi/>
        <w:jc w:val="both"/>
        <w:rPr>
          <w:rFonts w:ascii="Traditional Arabic" w:hAnsi="Traditional Arabic" w:cs="Traditional Arabic"/>
          <w:b/>
          <w:bCs/>
          <w:sz w:val="30"/>
          <w:szCs w:val="30"/>
          <w:rtl/>
          <w:lang w:bidi="ar-EG"/>
        </w:rPr>
      </w:pPr>
    </w:p>
    <w:p w14:paraId="72C03A04" w14:textId="77777777" w:rsidR="00C53B7B" w:rsidRPr="00785453" w:rsidRDefault="00C53B7B" w:rsidP="00C53B7B">
      <w:pPr>
        <w:bidi/>
        <w:jc w:val="both"/>
        <w:rPr>
          <w:rFonts w:ascii="Traditional Arabic" w:hAnsi="Traditional Arabic" w:cs="Traditional Arabic"/>
          <w:b/>
          <w:sz w:val="30"/>
          <w:szCs w:val="30"/>
          <w:lang w:bidi="ar-EG"/>
        </w:rPr>
      </w:pPr>
      <w:r w:rsidRPr="00785453">
        <w:rPr>
          <w:rFonts w:ascii="Traditional Arabic" w:hAnsi="Traditional Arabic" w:cs="Traditional Arabic"/>
          <w:b/>
          <w:bCs/>
          <w:sz w:val="30"/>
          <w:szCs w:val="30"/>
          <w:rtl/>
        </w:rPr>
        <w:t>طرح الفئة الثانية</w:t>
      </w:r>
    </w:p>
    <w:p w14:paraId="537EA702" w14:textId="77777777" w:rsidR="00C53B7B" w:rsidRPr="00785453" w:rsidRDefault="00C53B7B" w:rsidP="00C53B7B">
      <w:pPr>
        <w:bidi/>
        <w:spacing w:after="160"/>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تم تخصيص نسبة </w:t>
      </w:r>
      <w:r w:rsidR="008C6796">
        <w:rPr>
          <w:rFonts w:ascii="Traditional Arabic" w:hAnsi="Traditional Arabic" w:cs="Traditional Arabic" w:hint="cs"/>
          <w:sz w:val="30"/>
          <w:szCs w:val="30"/>
          <w:rtl/>
          <w:lang w:bidi="ar-OM"/>
        </w:rPr>
        <w:t xml:space="preserve">٢٥ </w:t>
      </w:r>
      <w:r w:rsidRPr="00785453">
        <w:rPr>
          <w:rFonts w:ascii="Traditional Arabic" w:hAnsi="Traditional Arabic" w:cs="Traditional Arabic" w:hint="cs"/>
          <w:sz w:val="30"/>
          <w:szCs w:val="30"/>
          <w:rtl/>
          <w:lang w:bidi="ar-OM"/>
        </w:rPr>
        <w:t>%</w:t>
      </w:r>
      <w:r w:rsidRPr="00785453">
        <w:rPr>
          <w:rFonts w:ascii="Traditional Arabic" w:hAnsi="Traditional Arabic" w:cs="Traditional Arabic"/>
          <w:sz w:val="30"/>
          <w:szCs w:val="30"/>
          <w:rtl/>
        </w:rPr>
        <w:t xml:space="preserve"> من حجم الطرح </w:t>
      </w:r>
      <w:r w:rsidRPr="00785453">
        <w:rPr>
          <w:rFonts w:ascii="Traditional Arabic" w:hAnsi="Traditional Arabic" w:cs="Traditional Arabic" w:hint="cs"/>
          <w:sz w:val="30"/>
          <w:szCs w:val="30"/>
          <w:rtl/>
        </w:rPr>
        <w:t xml:space="preserve">الكلي </w:t>
      </w:r>
      <w:r w:rsidRPr="00785453">
        <w:rPr>
          <w:rFonts w:ascii="Traditional Arabic" w:hAnsi="Traditional Arabic" w:cs="Traditional Arabic"/>
          <w:sz w:val="30"/>
          <w:szCs w:val="30"/>
          <w:rtl/>
        </w:rPr>
        <w:t xml:space="preserve">(أي ما يعادل </w:t>
      </w:r>
      <w:r w:rsidR="00FF6AE0" w:rsidRPr="00FF6AE0">
        <w:rPr>
          <w:rFonts w:ascii="Traditional Arabic" w:hAnsi="Traditional Arabic" w:cs="Traditional Arabic"/>
          <w:sz w:val="30"/>
          <w:szCs w:val="30"/>
          <w:rtl/>
        </w:rPr>
        <w:t>٢٦٠,٤٣٧,٢١٤</w:t>
      </w:r>
      <w:r w:rsidR="004B55BA" w:rsidRPr="00785453">
        <w:rPr>
          <w:rFonts w:ascii="Traditional Arabic" w:hAnsi="Traditional Arabic" w:cs="Traditional Arabic"/>
          <w:sz w:val="30"/>
          <w:szCs w:val="30"/>
          <w:rtl/>
        </w:rPr>
        <w:t xml:space="preserve"> </w:t>
      </w:r>
      <w:r w:rsidRPr="00785453">
        <w:rPr>
          <w:rFonts w:ascii="Traditional Arabic" w:hAnsi="Traditional Arabic" w:cs="Traditional Arabic"/>
          <w:sz w:val="30"/>
          <w:szCs w:val="30"/>
          <w:rtl/>
        </w:rPr>
        <w:t>سهم) للاكتتاب من قبل مقدمي طلبات الفئة الثانية وتخصيصها لهم</w:t>
      </w:r>
      <w:r w:rsidRPr="00785453">
        <w:rPr>
          <w:rFonts w:ascii="Traditional Arabic" w:hAnsi="Traditional Arabic" w:cs="Traditional Arabic" w:hint="cs"/>
          <w:sz w:val="30"/>
          <w:szCs w:val="30"/>
          <w:rtl/>
        </w:rPr>
        <w:t>، موزعه بالتساوي بين كبار المستثمرين وصغار المستثمرين من مقدمي الطلبات من الفئة الثانية</w:t>
      </w:r>
      <w:r w:rsidRPr="00785453">
        <w:rPr>
          <w:rFonts w:ascii="Traditional Arabic" w:hAnsi="Traditional Arabic" w:cs="Traditional Arabic"/>
          <w:sz w:val="30"/>
          <w:szCs w:val="30"/>
          <w:rtl/>
          <w:lang w:bidi="ar-OM"/>
        </w:rPr>
        <w:t>.</w:t>
      </w:r>
      <w:r w:rsidRPr="00785453">
        <w:rPr>
          <w:rFonts w:ascii="Traditional Arabic" w:hAnsi="Traditional Arabic" w:cs="Traditional Arabic"/>
          <w:sz w:val="30"/>
          <w:szCs w:val="30"/>
          <w:rtl/>
        </w:rPr>
        <w:t xml:space="preserve"> </w:t>
      </w:r>
      <w:r w:rsidRPr="00785453">
        <w:rPr>
          <w:rFonts w:ascii="Traditional Arabic" w:hAnsi="Traditional Arabic" w:cs="Traditional Arabic" w:hint="cs"/>
          <w:sz w:val="30"/>
          <w:szCs w:val="30"/>
          <w:rtl/>
        </w:rPr>
        <w:t>وما سيحدد إذا كان المستثمر يعتبر من ضمن كبار المستثمرين أو صغار المستثمرين من مقدمي الطلبات من الفئة الثانية هو عدد ال</w:t>
      </w:r>
      <w:r w:rsidR="00C94A29">
        <w:rPr>
          <w:rFonts w:ascii="Traditional Arabic" w:hAnsi="Traditional Arabic" w:cs="Traditional Arabic" w:hint="cs"/>
          <w:sz w:val="30"/>
          <w:szCs w:val="30"/>
          <w:rtl/>
        </w:rPr>
        <w:t>أ</w:t>
      </w:r>
      <w:r w:rsidRPr="00785453">
        <w:rPr>
          <w:rFonts w:ascii="Traditional Arabic" w:hAnsi="Traditional Arabic" w:cs="Traditional Arabic" w:hint="cs"/>
          <w:sz w:val="30"/>
          <w:szCs w:val="30"/>
          <w:rtl/>
        </w:rPr>
        <w:t xml:space="preserve">سهم، فإذا كان الطلب لا يتجاوز </w:t>
      </w:r>
      <w:r w:rsidR="004E6024">
        <w:rPr>
          <w:rFonts w:ascii="Traditional Arabic" w:hAnsi="Traditional Arabic" w:cs="Traditional Arabic" w:hint="cs"/>
          <w:sz w:val="30"/>
          <w:szCs w:val="30"/>
          <w:rtl/>
        </w:rPr>
        <w:t>81.300</w:t>
      </w:r>
      <w:r w:rsidR="004E6024" w:rsidRPr="00785453">
        <w:rPr>
          <w:rFonts w:ascii="Traditional Arabic" w:hAnsi="Traditional Arabic" w:cs="Traditional Arabic" w:hint="cs"/>
          <w:sz w:val="30"/>
          <w:szCs w:val="30"/>
          <w:rtl/>
        </w:rPr>
        <w:t xml:space="preserve"> </w:t>
      </w:r>
      <w:r w:rsidRPr="00785453">
        <w:rPr>
          <w:rFonts w:ascii="Traditional Arabic" w:hAnsi="Traditional Arabic" w:cs="Traditional Arabic" w:hint="cs"/>
          <w:sz w:val="30"/>
          <w:szCs w:val="30"/>
          <w:rtl/>
        </w:rPr>
        <w:t xml:space="preserve">سهم فإن المستثمر سيكون من ضمن فئة صغار المستثمرين، </w:t>
      </w:r>
      <w:r w:rsidR="007E1A6E">
        <w:rPr>
          <w:rFonts w:ascii="Traditional Arabic" w:hAnsi="Traditional Arabic" w:cs="Traditional Arabic" w:hint="cs"/>
          <w:sz w:val="30"/>
          <w:szCs w:val="30"/>
          <w:rtl/>
        </w:rPr>
        <w:t>أ</w:t>
      </w:r>
      <w:r w:rsidRPr="00785453">
        <w:rPr>
          <w:rFonts w:ascii="Traditional Arabic" w:hAnsi="Traditional Arabic" w:cs="Traditional Arabic" w:hint="cs"/>
          <w:sz w:val="30"/>
          <w:szCs w:val="30"/>
          <w:rtl/>
        </w:rPr>
        <w:t xml:space="preserve">ما </w:t>
      </w:r>
      <w:r w:rsidR="007E1A6E">
        <w:rPr>
          <w:rFonts w:ascii="Traditional Arabic" w:hAnsi="Traditional Arabic" w:cs="Traditional Arabic" w:hint="cs"/>
          <w:sz w:val="30"/>
          <w:szCs w:val="30"/>
          <w:rtl/>
        </w:rPr>
        <w:t>إ</w:t>
      </w:r>
      <w:r w:rsidRPr="00785453">
        <w:rPr>
          <w:rFonts w:ascii="Traditional Arabic" w:hAnsi="Traditional Arabic" w:cs="Traditional Arabic" w:hint="cs"/>
          <w:sz w:val="30"/>
          <w:szCs w:val="30"/>
          <w:rtl/>
        </w:rPr>
        <w:t xml:space="preserve">ذا كان الطلب </w:t>
      </w:r>
      <w:r w:rsidR="00762E43">
        <w:rPr>
          <w:rFonts w:ascii="Traditional Arabic" w:hAnsi="Traditional Arabic" w:cs="Traditional Arabic" w:hint="cs"/>
          <w:sz w:val="30"/>
          <w:szCs w:val="30"/>
          <w:rtl/>
        </w:rPr>
        <w:t>81.400</w:t>
      </w:r>
      <w:r w:rsidR="00762E43" w:rsidRPr="00785453">
        <w:rPr>
          <w:rFonts w:ascii="Traditional Arabic" w:hAnsi="Traditional Arabic" w:cs="Traditional Arabic" w:hint="cs"/>
          <w:sz w:val="30"/>
          <w:szCs w:val="30"/>
          <w:rtl/>
        </w:rPr>
        <w:t xml:space="preserve"> </w:t>
      </w:r>
      <w:r w:rsidRPr="00785453">
        <w:rPr>
          <w:rFonts w:ascii="Traditional Arabic" w:hAnsi="Traditional Arabic" w:cs="Traditional Arabic" w:hint="cs"/>
          <w:sz w:val="30"/>
          <w:szCs w:val="30"/>
          <w:rtl/>
        </w:rPr>
        <w:t>سهم أو اكثر فإن المستثمر سيكون من ضمن فئة كبار المستثمرين.</w:t>
      </w:r>
    </w:p>
    <w:p w14:paraId="3CD9E5CC" w14:textId="77777777" w:rsidR="00C53B7B" w:rsidRPr="00785453" w:rsidRDefault="00C53B7B" w:rsidP="00C53B7B">
      <w:pPr>
        <w:bidi/>
        <w:spacing w:after="160"/>
        <w:jc w:val="both"/>
        <w:rPr>
          <w:rFonts w:ascii="Traditional Arabic" w:hAnsi="Traditional Arabic" w:cs="Traditional Arabic"/>
          <w:sz w:val="30"/>
          <w:szCs w:val="30"/>
          <w:rtl/>
        </w:rPr>
      </w:pPr>
      <w:r w:rsidRPr="00785453">
        <w:rPr>
          <w:rFonts w:ascii="Traditional Arabic" w:hAnsi="Traditional Arabic" w:cs="Traditional Arabic" w:hint="cs"/>
          <w:sz w:val="30"/>
          <w:szCs w:val="30"/>
          <w:rtl/>
        </w:rPr>
        <w:t>لا يجوز للمستثمر أن يتقدم بأكثر من طلب للاكتتاب، وسيتم تحديده إما ضمن مستثمري الفئة الثانية (صغار المستثمرين) أو ضمن مستثمري الفئة الثانية (كبار المستثمرين)، ولكن ليس كلاهما.</w:t>
      </w:r>
    </w:p>
    <w:p w14:paraId="0E51966F" w14:textId="77777777" w:rsidR="00C53B7B" w:rsidRPr="00785453" w:rsidRDefault="00C53B7B" w:rsidP="00C53B7B">
      <w:pPr>
        <w:bidi/>
        <w:jc w:val="both"/>
        <w:rPr>
          <w:rFonts w:ascii="Traditional Arabic" w:hAnsi="Traditional Arabic" w:cs="Traditional Arabic"/>
          <w:sz w:val="30"/>
          <w:szCs w:val="30"/>
        </w:rPr>
      </w:pPr>
    </w:p>
    <w:p w14:paraId="6B04D333" w14:textId="77777777" w:rsidR="00C53B7B" w:rsidRPr="00785453" w:rsidRDefault="00C53B7B" w:rsidP="00C53B7B">
      <w:pPr>
        <w:bidi/>
        <w:jc w:val="both"/>
        <w:rPr>
          <w:rFonts w:ascii="Traditional Arabic" w:hAnsi="Traditional Arabic" w:cs="Traditional Arabic"/>
          <w:b/>
          <w:sz w:val="30"/>
          <w:szCs w:val="30"/>
          <w:lang w:bidi="ar-EG"/>
        </w:rPr>
      </w:pPr>
      <w:r w:rsidRPr="00785453">
        <w:rPr>
          <w:rFonts w:ascii="Traditional Arabic" w:hAnsi="Traditional Arabic" w:cs="Traditional Arabic"/>
          <w:b/>
          <w:bCs/>
          <w:sz w:val="30"/>
          <w:szCs w:val="30"/>
          <w:rtl/>
        </w:rPr>
        <w:t>عملية الاكتتاب الخاصة بمقدمي الطلبات من الفئة الثانية</w:t>
      </w:r>
    </w:p>
    <w:p w14:paraId="3327322E" w14:textId="77777777" w:rsidR="00C53B7B" w:rsidRPr="00785453" w:rsidRDefault="00C53B7B" w:rsidP="00C53B7B">
      <w:pPr>
        <w:bidi/>
        <w:jc w:val="both"/>
        <w:rPr>
          <w:rFonts w:ascii="Traditional Arabic" w:hAnsi="Traditional Arabic" w:cs="Traditional Arabic"/>
          <w:sz w:val="30"/>
          <w:szCs w:val="30"/>
          <w:lang w:bidi="ar-EG"/>
        </w:rPr>
      </w:pPr>
      <w:r w:rsidRPr="00785453">
        <w:rPr>
          <w:rFonts w:ascii="Traditional Arabic" w:hAnsi="Traditional Arabic" w:cs="Traditional Arabic"/>
          <w:sz w:val="30"/>
          <w:szCs w:val="30"/>
          <w:rtl/>
        </w:rPr>
        <w:t>طريقة التقدم بالطلب: سيتم إجراء عملية الطرح للفئة الثانية من خلال آلية الاكتتاب الإلكتروني.</w:t>
      </w:r>
    </w:p>
    <w:p w14:paraId="01BCE2DC" w14:textId="77777777" w:rsidR="00C53B7B" w:rsidRPr="00785453" w:rsidRDefault="00C53B7B" w:rsidP="00C53B7B">
      <w:pPr>
        <w:bidi/>
        <w:jc w:val="both"/>
        <w:rPr>
          <w:rFonts w:ascii="Traditional Arabic" w:hAnsi="Traditional Arabic" w:cs="Traditional Arabic"/>
          <w:b/>
          <w:bCs/>
          <w:sz w:val="30"/>
          <w:szCs w:val="30"/>
          <w:rtl/>
        </w:rPr>
      </w:pPr>
    </w:p>
    <w:p w14:paraId="4657C4B9" w14:textId="77777777" w:rsidR="00C53B7B" w:rsidRPr="00785453" w:rsidRDefault="00C53B7B" w:rsidP="00C53B7B">
      <w:pPr>
        <w:bidi/>
        <w:jc w:val="both"/>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نظام الاكتتاب الإلكتروني</w:t>
      </w:r>
      <w:r w:rsidR="00B00454">
        <w:rPr>
          <w:rFonts w:ascii="Traditional Arabic" w:hAnsi="Traditional Arabic" w:cs="Traditional Arabic"/>
          <w:b/>
          <w:bCs/>
          <w:sz w:val="30"/>
          <w:szCs w:val="30"/>
        </w:rPr>
        <w:t xml:space="preserve"> </w:t>
      </w:r>
      <w:r w:rsidR="00B00454">
        <w:rPr>
          <w:rFonts w:ascii="Traditional Arabic" w:hAnsi="Traditional Arabic" w:cs="Traditional Arabic" w:hint="cs"/>
          <w:b/>
          <w:bCs/>
          <w:sz w:val="30"/>
          <w:szCs w:val="30"/>
          <w:rtl/>
        </w:rPr>
        <w:t xml:space="preserve">لوكلاء </w:t>
      </w:r>
      <w:r w:rsidR="00B00454" w:rsidRPr="00785453">
        <w:rPr>
          <w:rFonts w:ascii="Traditional Arabic" w:hAnsi="Traditional Arabic" w:cs="Traditional Arabic"/>
          <w:b/>
          <w:bCs/>
          <w:sz w:val="30"/>
          <w:szCs w:val="30"/>
          <w:rtl/>
        </w:rPr>
        <w:t>التحصيل</w:t>
      </w:r>
    </w:p>
    <w:p w14:paraId="3022CCE5"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lastRenderedPageBreak/>
        <w:t>سيتمكن مقدمو الطلبات من تقديم الطلبات إلى وكلاء التحصيل خلال ساعات عمل المصارف الرسمية في أو قبل تاريخ اغلاق الاكتتاب في الفئة الثانية. سيحتاج المستثمرون إلى التواصل مع وكيل التحصيل للحصول على مزيد من الإرشادات حول نظام الاكتتاب الإلكتروني التي يوفرها وكيل التحصيل المعني.</w:t>
      </w:r>
    </w:p>
    <w:p w14:paraId="421B35F2" w14:textId="77777777" w:rsidR="00C53B7B" w:rsidRPr="00785453" w:rsidRDefault="00C53B7B" w:rsidP="00C53B7B">
      <w:pPr>
        <w:bidi/>
        <w:jc w:val="both"/>
        <w:rPr>
          <w:rFonts w:ascii="Traditional Arabic" w:hAnsi="Traditional Arabic" w:cs="Traditional Arabic"/>
          <w:sz w:val="30"/>
          <w:szCs w:val="30"/>
          <w:lang w:bidi="ar-EG"/>
        </w:rPr>
      </w:pPr>
    </w:p>
    <w:p w14:paraId="28F16D11" w14:textId="77777777" w:rsidR="00C53B7B" w:rsidRPr="00785453" w:rsidRDefault="00C53B7B" w:rsidP="00C53B7B">
      <w:pPr>
        <w:bidi/>
        <w:jc w:val="both"/>
        <w:rPr>
          <w:rFonts w:ascii="Traditional Arabic" w:hAnsi="Traditional Arabic" w:cs="Traditional Arabic"/>
          <w:sz w:val="30"/>
          <w:szCs w:val="30"/>
          <w:lang w:bidi="ar-EG"/>
        </w:rPr>
      </w:pPr>
      <w:r w:rsidRPr="00785453">
        <w:rPr>
          <w:rFonts w:ascii="Traditional Arabic" w:hAnsi="Traditional Arabic" w:cs="Traditional Arabic"/>
          <w:sz w:val="30"/>
          <w:szCs w:val="30"/>
          <w:rtl/>
        </w:rPr>
        <w:t xml:space="preserve">سيطلب من مقدم الطلب، قبل إكمال الطلب من خلال نظام الاكتتاب الإلكتروني، قراءة هذه النشرة بعناية، بما في ذلك الشروط والإجراءات التي تحكم طلب الاكتتاب الإلكتروني. ستكون نسخ من هذه النشرة متاحة لمقدمي الطلبات من خلال وكلاء التحصيل على الموقع المخصص للاكتتاب العام للشركة، أو يمكن تنزيلها من الموقع الإلكتروني </w:t>
      </w:r>
      <w:r w:rsidR="00493834">
        <w:rPr>
          <w:rFonts w:ascii="Traditional Arabic" w:hAnsi="Traditional Arabic" w:cs="Traditional Arabic" w:hint="cs"/>
          <w:sz w:val="30"/>
          <w:szCs w:val="30"/>
          <w:rtl/>
        </w:rPr>
        <w:t>لهيئة الخدمات المالية</w:t>
      </w:r>
      <w:r w:rsidRPr="00785453">
        <w:rPr>
          <w:rFonts w:ascii="Traditional Arabic" w:hAnsi="Traditional Arabic" w:cs="Traditional Arabic"/>
          <w:sz w:val="30"/>
          <w:szCs w:val="30"/>
          <w:rtl/>
        </w:rPr>
        <w:t xml:space="preserve"> وبورصة مسقط عبر الرابطين التاليين: </w:t>
      </w:r>
      <w:r w:rsidRPr="00785453">
        <w:rPr>
          <w:rFonts w:ascii="Traditional Arabic" w:hAnsi="Traditional Arabic" w:cs="Traditional Arabic"/>
          <w:sz w:val="30"/>
          <w:szCs w:val="30"/>
          <w:lang w:bidi="ar-EG"/>
        </w:rPr>
        <w:t>www.fsa.gov.om</w:t>
      </w:r>
      <w:r w:rsidRPr="00785453">
        <w:rPr>
          <w:rFonts w:ascii="Traditional Arabic" w:hAnsi="Traditional Arabic" w:cs="Traditional Arabic"/>
          <w:sz w:val="30"/>
          <w:szCs w:val="30"/>
          <w:rtl/>
        </w:rPr>
        <w:t xml:space="preserve"> و</w:t>
      </w:r>
      <w:r w:rsidRPr="00785453">
        <w:rPr>
          <w:rFonts w:ascii="Traditional Arabic" w:hAnsi="Traditional Arabic" w:cs="Traditional Arabic"/>
          <w:sz w:val="30"/>
          <w:szCs w:val="30"/>
          <w:lang w:bidi="ar-EG"/>
        </w:rPr>
        <w:t>www.msx.om</w:t>
      </w:r>
      <w:r w:rsidRPr="00785453">
        <w:rPr>
          <w:rFonts w:ascii="Traditional Arabic" w:hAnsi="Traditional Arabic" w:cs="Traditional Arabic"/>
          <w:sz w:val="30"/>
          <w:szCs w:val="30"/>
          <w:rtl/>
        </w:rPr>
        <w:t>، على التوالي.</w:t>
      </w:r>
    </w:p>
    <w:p w14:paraId="50F1EB15" w14:textId="77777777" w:rsidR="00C53B7B" w:rsidRPr="00785453" w:rsidRDefault="00C53B7B" w:rsidP="00C53B7B">
      <w:pPr>
        <w:bidi/>
        <w:jc w:val="both"/>
        <w:rPr>
          <w:rFonts w:ascii="Traditional Arabic" w:hAnsi="Traditional Arabic" w:cs="Traditional Arabic"/>
          <w:sz w:val="30"/>
          <w:szCs w:val="30"/>
          <w:rtl/>
        </w:rPr>
      </w:pPr>
    </w:p>
    <w:p w14:paraId="6BD47086" w14:textId="77777777" w:rsidR="00C53B7B" w:rsidRPr="00785453" w:rsidRDefault="00C53B7B" w:rsidP="00C53B7B">
      <w:pPr>
        <w:bidi/>
        <w:jc w:val="both"/>
        <w:rPr>
          <w:rFonts w:ascii="Traditional Arabic" w:hAnsi="Traditional Arabic" w:cs="Traditional Arabic"/>
          <w:sz w:val="30"/>
          <w:szCs w:val="30"/>
          <w:lang w:bidi="ar-EG"/>
        </w:rPr>
      </w:pPr>
      <w:r w:rsidRPr="00785453">
        <w:rPr>
          <w:rFonts w:ascii="Traditional Arabic" w:hAnsi="Traditional Arabic" w:cs="Traditional Arabic"/>
          <w:sz w:val="30"/>
          <w:szCs w:val="30"/>
          <w:rtl/>
        </w:rPr>
        <w:t>يدفع المستثمر مبالغ طلب الاكتتاب في الفئة الثانية وفقًا لشروط آلية الاكتتاب الإلكتروني التي يستخدمها وكلاء التحصيل.</w:t>
      </w:r>
    </w:p>
    <w:p w14:paraId="4FEDB419" w14:textId="77777777" w:rsidR="00C53B7B" w:rsidRPr="00785453" w:rsidRDefault="00C53B7B" w:rsidP="00C53B7B">
      <w:pPr>
        <w:bidi/>
        <w:jc w:val="both"/>
        <w:rPr>
          <w:rFonts w:ascii="Traditional Arabic" w:hAnsi="Traditional Arabic" w:cs="Traditional Arabic"/>
          <w:b/>
          <w:sz w:val="30"/>
          <w:szCs w:val="30"/>
          <w:lang w:bidi="ar-EG"/>
        </w:rPr>
      </w:pPr>
    </w:p>
    <w:p w14:paraId="6D2300D1" w14:textId="77777777" w:rsidR="00C53B7B" w:rsidRPr="00785453" w:rsidRDefault="00C53B7B" w:rsidP="00C53B7B">
      <w:pPr>
        <w:bidi/>
        <w:jc w:val="both"/>
        <w:rPr>
          <w:rFonts w:ascii="Traditional Arabic" w:hAnsi="Traditional Arabic" w:cs="Traditional Arabic"/>
          <w:b/>
          <w:sz w:val="30"/>
          <w:szCs w:val="30"/>
          <w:lang w:bidi="ar-EG"/>
        </w:rPr>
      </w:pPr>
      <w:r w:rsidRPr="00785453">
        <w:rPr>
          <w:rFonts w:ascii="Traditional Arabic" w:hAnsi="Traditional Arabic" w:cs="Traditional Arabic"/>
          <w:b/>
          <w:bCs/>
          <w:sz w:val="30"/>
          <w:szCs w:val="30"/>
          <w:rtl/>
        </w:rPr>
        <w:t>نظام الاكتتاب الإلكتروني لشركة مسقط للمقاصة والإيداع</w:t>
      </w:r>
    </w:p>
    <w:p w14:paraId="72E334AE"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يمكن لمقدمي الطلبات تقديم بياناتهم في النظام الإلكتروني للاكتتاب العام على موقع شركة مسقط للمقاصة والإيداع (</w:t>
      </w:r>
      <w:hyperlink r:id="rId79" w:history="1">
        <w:r w:rsidRPr="00785453">
          <w:rPr>
            <w:rStyle w:val="Hyperlink"/>
            <w:rFonts w:ascii="Traditional Arabic" w:hAnsi="Traditional Arabic" w:cs="Traditional Arabic"/>
            <w:color w:val="auto"/>
            <w:sz w:val="30"/>
            <w:szCs w:val="30"/>
            <w:lang w:bidi="ar-EG"/>
          </w:rPr>
          <w:t>www.mcd.om</w:t>
        </w:r>
      </w:hyperlink>
      <w:r w:rsidRPr="00785453">
        <w:rPr>
          <w:rFonts w:ascii="Traditional Arabic" w:hAnsi="Traditional Arabic" w:cs="Traditional Arabic"/>
          <w:sz w:val="30"/>
          <w:szCs w:val="30"/>
          <w:rtl/>
        </w:rPr>
        <w:t>).</w:t>
      </w:r>
    </w:p>
    <w:p w14:paraId="1168E0A3" w14:textId="77777777" w:rsidR="00C53B7B" w:rsidRPr="00785453" w:rsidRDefault="00C53B7B" w:rsidP="00C53B7B">
      <w:pPr>
        <w:bidi/>
        <w:jc w:val="both"/>
        <w:rPr>
          <w:rFonts w:ascii="Traditional Arabic" w:hAnsi="Traditional Arabic" w:cs="Traditional Arabic"/>
          <w:sz w:val="30"/>
          <w:szCs w:val="30"/>
          <w:lang w:bidi="ar-EG"/>
        </w:rPr>
      </w:pPr>
    </w:p>
    <w:p w14:paraId="7F7E9691"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بعد التحقق من جميع البيانات، سيتعين على مقدم الطلب طباعة طلب الاكتتاب الإلكتروني، ثم تقديمة مع المستندات الداعمة وقيمة طلبات الاكتتاب في الفئة الثانية إلى أحد وكلاء التحصيل. سيحتاج مقدم الطلب إلى الاتصال بوكيل التحصيل المعني للحصول على مزيد من الإرشادات حول قناة الاكتتاب الإلكتروني التي يوفرها وكيل التحصيل المعني. وسيتم سداد أموال طلب الفئة الثانية من قبل مقدم الطلب وفقًا لشروط عملية تحصيل الاكتتاب الإلكتروني التي يستخدمها كل وكيل تحصيل. وسيقوم وكيل التحصيل، بعد التحقق من المستندات الداعمة وتأكيد استلام مبالغ طلب الفئة الثانية، بالتحقق من صحة طلب الاكتتاب الإلكتروني في نظام الاكتتاب الإلكتروني ومشاركة نسخة من إثبات استكمال طلب الاكتتاب الإلكتروني مع كل مقدم طلب. </w:t>
      </w:r>
    </w:p>
    <w:p w14:paraId="36633236" w14:textId="77777777" w:rsidR="00C53B7B" w:rsidRPr="00785453" w:rsidRDefault="00C53B7B" w:rsidP="00C53B7B">
      <w:pPr>
        <w:bidi/>
        <w:jc w:val="both"/>
        <w:rPr>
          <w:rFonts w:ascii="Traditional Arabic" w:hAnsi="Traditional Arabic" w:cs="Traditional Arabic"/>
          <w:sz w:val="30"/>
          <w:szCs w:val="30"/>
          <w:lang w:bidi="ar-EG"/>
        </w:rPr>
      </w:pPr>
      <w:r w:rsidRPr="00785453">
        <w:rPr>
          <w:rFonts w:ascii="Traditional Arabic" w:hAnsi="Traditional Arabic" w:cs="Traditional Arabic"/>
          <w:sz w:val="30"/>
          <w:szCs w:val="30"/>
          <w:rtl/>
        </w:rPr>
        <w:t>يحتاج مقدم الطلب إلى التأكد من حصوله على نسخة من اثبات الاستكمال من وكيل التحصيل كدليل صالح على طلبه.</w:t>
      </w:r>
    </w:p>
    <w:p w14:paraId="168A0D13" w14:textId="77777777" w:rsidR="00C53B7B" w:rsidRPr="00785453" w:rsidRDefault="00C53B7B" w:rsidP="00C53B7B">
      <w:pPr>
        <w:bidi/>
        <w:jc w:val="both"/>
        <w:rPr>
          <w:rFonts w:ascii="Traditional Arabic" w:hAnsi="Traditional Arabic" w:cs="Traditional Arabic"/>
          <w:b/>
          <w:sz w:val="30"/>
          <w:szCs w:val="30"/>
          <w:lang w:bidi="ar-EG"/>
        </w:rPr>
      </w:pPr>
    </w:p>
    <w:p w14:paraId="49244202" w14:textId="77777777" w:rsidR="00C53B7B" w:rsidRPr="00785453" w:rsidRDefault="00C53B7B" w:rsidP="00C53B7B">
      <w:pPr>
        <w:bidi/>
        <w:jc w:val="both"/>
        <w:rPr>
          <w:rFonts w:ascii="Traditional Arabic" w:hAnsi="Traditional Arabic" w:cs="Traditional Arabic"/>
          <w:b/>
          <w:sz w:val="30"/>
          <w:szCs w:val="30"/>
          <w:lang w:bidi="ar-EG"/>
        </w:rPr>
      </w:pPr>
      <w:r w:rsidRPr="00785453">
        <w:rPr>
          <w:rFonts w:ascii="Traditional Arabic" w:hAnsi="Traditional Arabic" w:cs="Traditional Arabic"/>
          <w:b/>
          <w:bCs/>
          <w:sz w:val="30"/>
          <w:szCs w:val="30"/>
          <w:rtl/>
        </w:rPr>
        <w:t>الطلبات</w:t>
      </w:r>
    </w:p>
    <w:p w14:paraId="0F0511BC"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يجب إكمال الطلب بالكامل وفقًا للتعليمات الواردة في هذه النشرة، وقد يتم رفض الطلبات غير المكتملة. </w:t>
      </w:r>
    </w:p>
    <w:p w14:paraId="508605F4" w14:textId="77777777" w:rsidR="00C53B7B" w:rsidRPr="00785453" w:rsidRDefault="00C53B7B" w:rsidP="00C53B7B">
      <w:pPr>
        <w:bidi/>
        <w:jc w:val="both"/>
        <w:rPr>
          <w:rFonts w:ascii="Traditional Arabic" w:hAnsi="Traditional Arabic" w:cs="Traditional Arabic"/>
          <w:sz w:val="30"/>
          <w:szCs w:val="30"/>
          <w:lang w:bidi="ar-EG"/>
        </w:rPr>
      </w:pPr>
    </w:p>
    <w:p w14:paraId="409F455F" w14:textId="77777777" w:rsidR="00C53B7B" w:rsidRPr="00785453" w:rsidRDefault="00C53B7B" w:rsidP="00C53B7B">
      <w:pPr>
        <w:bidi/>
        <w:jc w:val="both"/>
        <w:rPr>
          <w:rFonts w:ascii="Traditional Arabic" w:hAnsi="Traditional Arabic" w:cs="Traditional Arabic"/>
          <w:sz w:val="30"/>
          <w:szCs w:val="30"/>
          <w:lang w:bidi="ar-EG"/>
        </w:rPr>
      </w:pPr>
      <w:r w:rsidRPr="00785453">
        <w:rPr>
          <w:rFonts w:ascii="Traditional Arabic" w:hAnsi="Traditional Arabic" w:cs="Traditional Arabic"/>
          <w:sz w:val="30"/>
          <w:szCs w:val="30"/>
          <w:rtl/>
        </w:rPr>
        <w:t xml:space="preserve">لا يحق لأي مقدم طلب تقديم أكثر من طلب واحد، وبمجرد تقديم الطلبات لا يمكن بأي حال من الأحوال إلغاء الطلب من قبل مقدمه. وفي حال تقديم مقدم الطلب طلباً ثان إما إلى نفس وكيل التحصيل أو إلى وكيل تحصيل آخر، فسيتم معاملة </w:t>
      </w:r>
      <w:r w:rsidRPr="00785453">
        <w:rPr>
          <w:rFonts w:ascii="Traditional Arabic" w:hAnsi="Traditional Arabic" w:cs="Traditional Arabic"/>
          <w:sz w:val="30"/>
          <w:szCs w:val="30"/>
          <w:rtl/>
        </w:rPr>
        <w:lastRenderedPageBreak/>
        <w:t>المستثمر على انه تقدم بطلبات متعددة وقد يؤدي ذلك إلى رفض جميع الطلبات المقدمة من قبله في أي وقت قبل تخصيص أسهم الطرح.</w:t>
      </w:r>
    </w:p>
    <w:p w14:paraId="39351E49" w14:textId="77777777" w:rsidR="00C53B7B" w:rsidRPr="00785453" w:rsidRDefault="00C53B7B" w:rsidP="00C53B7B">
      <w:pPr>
        <w:bidi/>
        <w:jc w:val="both"/>
        <w:rPr>
          <w:rFonts w:ascii="Traditional Arabic" w:hAnsi="Traditional Arabic" w:cs="Traditional Arabic"/>
          <w:sz w:val="30"/>
          <w:szCs w:val="30"/>
          <w:rtl/>
          <w:lang w:bidi="ar-EG"/>
        </w:rPr>
      </w:pPr>
    </w:p>
    <w:p w14:paraId="45D7A904" w14:textId="77777777" w:rsidR="00C53B7B" w:rsidRPr="00785453" w:rsidRDefault="00C53B7B" w:rsidP="00C53B7B">
      <w:pPr>
        <w:bidi/>
        <w:rPr>
          <w:rFonts w:ascii="Traditional Arabic" w:hAnsi="Traditional Arabic" w:cs="Traditional Arabic"/>
          <w:b/>
          <w:bCs/>
          <w:sz w:val="30"/>
          <w:szCs w:val="30"/>
        </w:rPr>
      </w:pPr>
      <w:r w:rsidRPr="00785453">
        <w:rPr>
          <w:rFonts w:ascii="Traditional Arabic" w:hAnsi="Traditional Arabic" w:cs="Traditional Arabic"/>
          <w:b/>
          <w:bCs/>
          <w:sz w:val="30"/>
          <w:szCs w:val="30"/>
          <w:rtl/>
        </w:rPr>
        <w:t>الوثائق الثبوتية المطلوبة</w:t>
      </w:r>
    </w:p>
    <w:p w14:paraId="7D7BD7C4" w14:textId="77777777" w:rsidR="00C53B7B" w:rsidRPr="00785453" w:rsidRDefault="00C53B7B" w:rsidP="00C53B7B">
      <w:pPr>
        <w:bidi/>
        <w:rPr>
          <w:rFonts w:ascii="Traditional Arabic" w:hAnsi="Traditional Arabic" w:cs="Traditional Arabic"/>
          <w:sz w:val="30"/>
          <w:szCs w:val="30"/>
        </w:rPr>
      </w:pPr>
      <w:r w:rsidRPr="00785453">
        <w:rPr>
          <w:rFonts w:ascii="Traditional Arabic" w:hAnsi="Traditional Arabic" w:cs="Traditional Arabic"/>
          <w:sz w:val="30"/>
          <w:szCs w:val="30"/>
          <w:rtl/>
        </w:rPr>
        <w:t>نسخة من وكالة قانونية معتمدة حسب الأصول من السلطات القانونية المختصة في حال تم الاكتتاب نيابة عن شخص آخر (باستثناء اكتتاب الأب عن أطفاله القاصرين).</w:t>
      </w:r>
    </w:p>
    <w:p w14:paraId="131167D4" w14:textId="77777777" w:rsidR="00C53B7B" w:rsidRPr="00785453" w:rsidRDefault="00C53B7B" w:rsidP="00C53B7B">
      <w:pPr>
        <w:bidi/>
        <w:rPr>
          <w:rFonts w:ascii="Traditional Arabic" w:hAnsi="Traditional Arabic" w:cs="Traditional Arabic"/>
          <w:b/>
          <w:bCs/>
          <w:sz w:val="30"/>
          <w:szCs w:val="30"/>
          <w:rtl/>
        </w:rPr>
      </w:pPr>
    </w:p>
    <w:p w14:paraId="1DC8D99A" w14:textId="77777777" w:rsidR="00C53B7B" w:rsidRPr="00785453" w:rsidRDefault="00C53B7B" w:rsidP="00C53B7B">
      <w:pPr>
        <w:bidi/>
        <w:rPr>
          <w:rFonts w:ascii="Traditional Arabic" w:hAnsi="Traditional Arabic" w:cs="Traditional Arabic"/>
          <w:b/>
          <w:sz w:val="30"/>
          <w:szCs w:val="30"/>
        </w:rPr>
      </w:pPr>
      <w:r w:rsidRPr="00785453">
        <w:rPr>
          <w:rFonts w:ascii="Traditional Arabic" w:hAnsi="Traditional Arabic" w:cs="Traditional Arabic"/>
          <w:b/>
          <w:bCs/>
          <w:sz w:val="30"/>
          <w:szCs w:val="30"/>
          <w:rtl/>
        </w:rPr>
        <w:t>مبلغ طلب الاكتتاب</w:t>
      </w:r>
    </w:p>
    <w:p w14:paraId="3D50BB84"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يجب على جميع المتقدمين من الفئة الثانية</w:t>
      </w:r>
      <w:r w:rsidR="006F112C">
        <w:rPr>
          <w:rFonts w:ascii="Traditional Arabic" w:hAnsi="Traditional Arabic" w:cs="Traditional Arabic" w:hint="cs"/>
          <w:sz w:val="30"/>
          <w:szCs w:val="30"/>
          <w:rtl/>
        </w:rPr>
        <w:t xml:space="preserve"> ، الي جانب تقديم الطلب،</w:t>
      </w:r>
      <w:r w:rsidRPr="00785453">
        <w:rPr>
          <w:rFonts w:ascii="Traditional Arabic" w:hAnsi="Traditional Arabic" w:cs="Traditional Arabic"/>
          <w:sz w:val="30"/>
          <w:szCs w:val="30"/>
          <w:rtl/>
        </w:rPr>
        <w:t xml:space="preserve"> دفع كامل مبلغ الاكتتاب</w:t>
      </w:r>
      <w:r w:rsidR="007A0A11">
        <w:rPr>
          <w:rFonts w:ascii="Traditional Arabic" w:hAnsi="Traditional Arabic" w:cs="Traditional Arabic" w:hint="cs"/>
          <w:sz w:val="30"/>
          <w:szCs w:val="30"/>
          <w:rtl/>
        </w:rPr>
        <w:t xml:space="preserve">، ويُحسب على أنه إجمالي عدد الأسهم المراد الاكتتاب بها مضروبا في </w:t>
      </w:r>
      <w:r w:rsidR="00E2698E">
        <w:rPr>
          <w:rFonts w:ascii="Traditional Arabic" w:hAnsi="Traditional Arabic" w:cs="Traditional Arabic" w:hint="cs"/>
          <w:sz w:val="30"/>
          <w:szCs w:val="30"/>
          <w:rtl/>
        </w:rPr>
        <w:t xml:space="preserve">123 </w:t>
      </w:r>
      <w:r w:rsidR="007A0A11">
        <w:rPr>
          <w:rFonts w:ascii="Traditional Arabic" w:hAnsi="Traditional Arabic" w:cs="Traditional Arabic" w:hint="cs"/>
          <w:sz w:val="30"/>
          <w:szCs w:val="30"/>
          <w:rtl/>
        </w:rPr>
        <w:t>بيسة للسهم (مبلغ الاكتتاب في الفئة الثانية)</w:t>
      </w:r>
      <w:r w:rsidRPr="00785453">
        <w:rPr>
          <w:rFonts w:ascii="Traditional Arabic" w:hAnsi="Traditional Arabic" w:cs="Traditional Arabic" w:hint="cs"/>
          <w:sz w:val="30"/>
          <w:szCs w:val="30"/>
          <w:rtl/>
        </w:rPr>
        <w:t>.</w:t>
      </w:r>
      <w:r w:rsidRPr="00785453">
        <w:rPr>
          <w:rFonts w:ascii="Traditional Arabic" w:hAnsi="Traditional Arabic" w:cs="Traditional Arabic"/>
          <w:sz w:val="30"/>
          <w:szCs w:val="30"/>
          <w:rtl/>
        </w:rPr>
        <w:t xml:space="preserve"> </w:t>
      </w:r>
    </w:p>
    <w:p w14:paraId="5D36973C" w14:textId="77777777" w:rsidR="00C53B7B" w:rsidRPr="00785453" w:rsidRDefault="00C53B7B" w:rsidP="00C53B7B">
      <w:pPr>
        <w:bidi/>
        <w:jc w:val="both"/>
        <w:rPr>
          <w:rFonts w:ascii="Traditional Arabic" w:hAnsi="Traditional Arabic" w:cs="Traditional Arabic"/>
          <w:sz w:val="30"/>
          <w:szCs w:val="30"/>
          <w:rtl/>
        </w:rPr>
      </w:pPr>
    </w:p>
    <w:p w14:paraId="1254C24D" w14:textId="77777777" w:rsidR="00C53B7B" w:rsidRPr="00785453" w:rsidRDefault="00C53B7B" w:rsidP="00C53B7B">
      <w:pPr>
        <w:bidi/>
        <w:jc w:val="both"/>
        <w:rPr>
          <w:rFonts w:ascii="Traditional Arabic" w:hAnsi="Traditional Arabic" w:cs="Traditional Arabic"/>
          <w:b/>
          <w:sz w:val="30"/>
          <w:szCs w:val="30"/>
        </w:rPr>
      </w:pPr>
    </w:p>
    <w:p w14:paraId="58AEADDB" w14:textId="77777777" w:rsidR="00C53B7B" w:rsidRPr="00785453" w:rsidRDefault="00C53B7B" w:rsidP="00C53B7B">
      <w:pPr>
        <w:bidi/>
        <w:jc w:val="both"/>
        <w:rPr>
          <w:rFonts w:ascii="Traditional Arabic" w:hAnsi="Traditional Arabic" w:cs="Traditional Arabic"/>
          <w:b/>
          <w:sz w:val="30"/>
          <w:szCs w:val="30"/>
        </w:rPr>
      </w:pPr>
      <w:r w:rsidRPr="00785453">
        <w:rPr>
          <w:rFonts w:ascii="Traditional Arabic" w:hAnsi="Traditional Arabic" w:cs="Traditional Arabic"/>
          <w:b/>
          <w:bCs/>
          <w:sz w:val="30"/>
          <w:szCs w:val="30"/>
          <w:rtl/>
        </w:rPr>
        <w:t>شروط سداد قيمة الاكتتاب للفئة الثانية</w:t>
      </w:r>
    </w:p>
    <w:p w14:paraId="40509901"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 xml:space="preserve">سيفتح وكلاء التحصيل حساب </w:t>
      </w:r>
      <w:r w:rsidRPr="00785453">
        <w:rPr>
          <w:rFonts w:ascii="Traditional Arabic" w:hAnsi="Traditional Arabic" w:cs="Traditional Arabic"/>
          <w:sz w:val="30"/>
          <w:szCs w:val="30"/>
          <w:rtl/>
          <w:lang w:bidi="ar-OM"/>
        </w:rPr>
        <w:t>عهدة</w:t>
      </w:r>
      <w:r w:rsidRPr="00785453">
        <w:rPr>
          <w:rFonts w:ascii="Traditional Arabic" w:hAnsi="Traditional Arabic" w:cs="Traditional Arabic"/>
          <w:sz w:val="30"/>
          <w:szCs w:val="30"/>
          <w:rtl/>
        </w:rPr>
        <w:t xml:space="preserve"> لتحصيل أموال طلبات الفئة الثانية.</w:t>
      </w:r>
    </w:p>
    <w:p w14:paraId="6F0A8B29"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 xml:space="preserve">سوف يتولى كل وكيل تحصيل إدارة حسابه الخاص، والذي سوف يقوم بتحويل عائدات التحصيل إلى حساب العهدة المشترك الذي تحتفظ به شركة مسقط للمقاصة والإيداع في غضون </w:t>
      </w:r>
      <w:r w:rsidR="00F66A24">
        <w:rPr>
          <w:rFonts w:ascii="Traditional Arabic" w:hAnsi="Traditional Arabic" w:cs="Traditional Arabic" w:hint="cs"/>
          <w:sz w:val="30"/>
          <w:szCs w:val="30"/>
          <w:rtl/>
        </w:rPr>
        <w:t>يومي عمل</w:t>
      </w:r>
      <w:r w:rsidRPr="00785453">
        <w:rPr>
          <w:rFonts w:ascii="Traditional Arabic" w:hAnsi="Traditional Arabic" w:cs="Traditional Arabic"/>
          <w:sz w:val="30"/>
          <w:szCs w:val="30"/>
          <w:rtl/>
        </w:rPr>
        <w:t xml:space="preserve"> (بتوقيت سلطنة عمان) بعد استلام طلب الفئة الثانية.</w:t>
      </w:r>
    </w:p>
    <w:p w14:paraId="02898EE5" w14:textId="77777777" w:rsidR="00C43064" w:rsidRDefault="00C43064" w:rsidP="00C53B7B">
      <w:pPr>
        <w:bidi/>
        <w:jc w:val="both"/>
        <w:rPr>
          <w:rFonts w:ascii="Traditional Arabic" w:hAnsi="Traditional Arabic" w:cs="Traditional Arabic"/>
          <w:sz w:val="30"/>
          <w:szCs w:val="30"/>
          <w:rtl/>
        </w:rPr>
      </w:pPr>
    </w:p>
    <w:p w14:paraId="723BA95A" w14:textId="77777777" w:rsidR="00C53B7B" w:rsidRPr="00785453" w:rsidRDefault="00C53B7B" w:rsidP="00C43064">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يمكن لكل مقدم طلب من الفئة الثانية الدفع نقدا، أو حوالة بنكية تحت الطلب صادرة من بنك في سلطنة عُمان أو تحويل من الحساب بالمبلغ المستحق الدفع في وقت تقديم الطلب.</w:t>
      </w:r>
    </w:p>
    <w:p w14:paraId="75DCCA72" w14:textId="77777777" w:rsidR="00C53B7B" w:rsidRPr="00785453" w:rsidRDefault="00C53B7B" w:rsidP="00C53B7B">
      <w:pPr>
        <w:bidi/>
        <w:jc w:val="both"/>
        <w:rPr>
          <w:rFonts w:ascii="Traditional Arabic" w:hAnsi="Traditional Arabic" w:cs="Traditional Arabic"/>
          <w:b/>
          <w:bCs/>
          <w:sz w:val="30"/>
          <w:szCs w:val="30"/>
          <w:rtl/>
        </w:rPr>
      </w:pPr>
    </w:p>
    <w:p w14:paraId="324F65C9" w14:textId="77777777" w:rsidR="00C53B7B" w:rsidRPr="00785453" w:rsidRDefault="00C53B7B" w:rsidP="00C53B7B">
      <w:pPr>
        <w:bidi/>
        <w:jc w:val="both"/>
        <w:rPr>
          <w:rFonts w:ascii="Traditional Arabic" w:hAnsi="Traditional Arabic" w:cs="Traditional Arabic"/>
          <w:b/>
          <w:sz w:val="30"/>
          <w:szCs w:val="30"/>
        </w:rPr>
      </w:pPr>
      <w:r w:rsidRPr="00785453">
        <w:rPr>
          <w:rFonts w:ascii="Traditional Arabic" w:hAnsi="Traditional Arabic" w:cs="Traditional Arabic"/>
          <w:b/>
          <w:bCs/>
          <w:sz w:val="30"/>
          <w:szCs w:val="30"/>
          <w:rtl/>
        </w:rPr>
        <w:t>رد المبالغ الفائضة</w:t>
      </w:r>
    </w:p>
    <w:p w14:paraId="2B0098ED" w14:textId="213F41FB" w:rsidR="00C53B7B" w:rsidRPr="00785453" w:rsidRDefault="00C53B7B" w:rsidP="00383924">
      <w:pPr>
        <w:bidi/>
        <w:jc w:val="both"/>
        <w:rPr>
          <w:rFonts w:ascii="Traditional Arabic" w:hAnsi="Traditional Arabic" w:cs="Traditional Arabic"/>
          <w:sz w:val="30"/>
          <w:szCs w:val="30"/>
          <w:rtl/>
        </w:rPr>
      </w:pPr>
      <w:r w:rsidRPr="00785453" w:rsidDel="003F5A07">
        <w:rPr>
          <w:rFonts w:ascii="Traditional Arabic" w:hAnsi="Traditional Arabic" w:cs="Traditional Arabic"/>
          <w:sz w:val="30"/>
          <w:szCs w:val="30"/>
          <w:rtl/>
        </w:rPr>
        <w:t xml:space="preserve">سيتم تخصيص أسهم </w:t>
      </w:r>
      <w:r w:rsidRPr="00785453">
        <w:rPr>
          <w:rFonts w:ascii="Traditional Arabic" w:hAnsi="Traditional Arabic" w:cs="Traditional Arabic"/>
          <w:sz w:val="30"/>
          <w:szCs w:val="30"/>
          <w:rtl/>
        </w:rPr>
        <w:t>ال</w:t>
      </w:r>
      <w:r w:rsidRPr="00785453" w:rsidDel="003F5A07">
        <w:rPr>
          <w:rFonts w:ascii="Traditional Arabic" w:hAnsi="Traditional Arabic" w:cs="Traditional Arabic"/>
          <w:sz w:val="30"/>
          <w:szCs w:val="30"/>
          <w:rtl/>
        </w:rPr>
        <w:t xml:space="preserve">طرح لمقدمي الطلبات </w:t>
      </w:r>
      <w:r w:rsidRPr="00785453">
        <w:rPr>
          <w:rFonts w:ascii="Traditional Arabic" w:hAnsi="Traditional Arabic" w:cs="Traditional Arabic" w:hint="cs"/>
          <w:sz w:val="30"/>
          <w:szCs w:val="30"/>
          <w:rtl/>
        </w:rPr>
        <w:t>، و</w:t>
      </w:r>
      <w:r w:rsidRPr="00785453" w:rsidDel="003F5A07">
        <w:rPr>
          <w:rFonts w:ascii="Traditional Arabic" w:hAnsi="Traditional Arabic" w:cs="Traditional Arabic"/>
          <w:sz w:val="30"/>
          <w:szCs w:val="30"/>
          <w:rtl/>
        </w:rPr>
        <w:t xml:space="preserve">سيتم تحديد سعر الطرح من خلال نتيجة بناء سجل الأوامر لمقدمي الطلبات من الفئة الأولى. </w:t>
      </w:r>
      <w:r w:rsidR="00383924">
        <w:rPr>
          <w:rFonts w:ascii="Traditional Arabic" w:hAnsi="Traditional Arabic" w:cs="Traditional Arabic" w:hint="cs"/>
          <w:sz w:val="30"/>
          <w:szCs w:val="30"/>
          <w:rtl/>
        </w:rPr>
        <w:t>و</w:t>
      </w:r>
      <w:r w:rsidRPr="00785453">
        <w:rPr>
          <w:rFonts w:ascii="Traditional Arabic" w:hAnsi="Traditional Arabic" w:cs="Traditional Arabic"/>
          <w:sz w:val="30"/>
          <w:szCs w:val="30"/>
          <w:rtl/>
        </w:rPr>
        <w:t xml:space="preserve">سيتم احتساب أي مبالغ مستردة مستحقة لمقدم طلب من </w:t>
      </w:r>
      <w:r w:rsidRPr="00785453">
        <w:rPr>
          <w:rFonts w:ascii="Traditional Arabic" w:hAnsi="Traditional Arabic" w:cs="Traditional Arabic" w:hint="cs"/>
          <w:sz w:val="30"/>
          <w:szCs w:val="30"/>
          <w:rtl/>
        </w:rPr>
        <w:t xml:space="preserve">الأفراد من مستثمري </w:t>
      </w:r>
      <w:r w:rsidRPr="00785453">
        <w:rPr>
          <w:rFonts w:ascii="Traditional Arabic" w:hAnsi="Traditional Arabic" w:cs="Traditional Arabic"/>
          <w:sz w:val="30"/>
          <w:szCs w:val="30"/>
          <w:rtl/>
        </w:rPr>
        <w:t>الفئة الثانية بناء على الفرق بين (1) مبلغ طلب الاكتتاب التي دفعها مقدم الطلب من الفئة الثانية، و(2) عدد أسهم الطرح المخصصة لمقدم الطلب من الفئة الثانية مضروبا في سعر الطرح</w:t>
      </w:r>
      <w:r w:rsidR="00383924">
        <w:rPr>
          <w:rFonts w:ascii="Traditional Arabic" w:hAnsi="Traditional Arabic" w:cs="Traditional Arabic" w:hint="cs"/>
          <w:sz w:val="30"/>
          <w:szCs w:val="30"/>
          <w:rtl/>
        </w:rPr>
        <w:t>.</w:t>
      </w:r>
    </w:p>
    <w:p w14:paraId="50F78BD2" w14:textId="77777777" w:rsidR="00C53B7B" w:rsidRPr="00785453" w:rsidRDefault="00C53B7B" w:rsidP="00C53B7B">
      <w:pPr>
        <w:bidi/>
        <w:jc w:val="both"/>
        <w:rPr>
          <w:rFonts w:ascii="Traditional Arabic" w:hAnsi="Traditional Arabic" w:cs="Traditional Arabic"/>
          <w:sz w:val="30"/>
          <w:szCs w:val="30"/>
        </w:rPr>
      </w:pPr>
    </w:p>
    <w:p w14:paraId="43BBDB52" w14:textId="77777777" w:rsidR="00C53B7B" w:rsidRPr="00785453" w:rsidRDefault="00C53B7B" w:rsidP="00C53B7B">
      <w:pPr>
        <w:bidi/>
        <w:jc w:val="both"/>
        <w:rPr>
          <w:rFonts w:ascii="Traditional Arabic" w:hAnsi="Traditional Arabic" w:cs="Traditional Arabic"/>
          <w:b/>
          <w:sz w:val="30"/>
          <w:szCs w:val="30"/>
        </w:rPr>
      </w:pPr>
      <w:r w:rsidRPr="00785453">
        <w:rPr>
          <w:rFonts w:ascii="Traditional Arabic" w:hAnsi="Traditional Arabic" w:cs="Traditional Arabic"/>
          <w:b/>
          <w:bCs/>
          <w:sz w:val="30"/>
          <w:szCs w:val="30"/>
          <w:rtl/>
        </w:rPr>
        <w:t>تفاصيل الحساب البنكي لمقدمي الطلبات من الفئة الثانية</w:t>
      </w:r>
    </w:p>
    <w:p w14:paraId="18D99F13"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lastRenderedPageBreak/>
        <w:t>سوف يتم استخدام تفاصيل الحساب البنكي لمقدم الطلب والمدرجة في سجلات شركة مسقط للمقاصة والإيداع لتحويل أي مبالغ فائضة، وفي حال حصل مقدم الطلب على تسهيلات مالية للاكتتاب العام من أحد وكلاء التحصيل، فسيتم رد المبالغ الفائضة إلى حساب قرض مقدم الطلب مع وكيل التحصيل المعني.</w:t>
      </w:r>
    </w:p>
    <w:p w14:paraId="6FB85DE9" w14:textId="77777777" w:rsidR="00C53B7B" w:rsidRPr="00785453" w:rsidRDefault="00C53B7B" w:rsidP="00C53B7B">
      <w:pPr>
        <w:bidi/>
        <w:jc w:val="both"/>
        <w:rPr>
          <w:rFonts w:ascii="Traditional Arabic" w:hAnsi="Traditional Arabic" w:cs="Traditional Arabic"/>
          <w:b/>
          <w:sz w:val="30"/>
          <w:szCs w:val="30"/>
        </w:rPr>
      </w:pPr>
    </w:p>
    <w:p w14:paraId="0EF7B4D3" w14:textId="77777777" w:rsidR="00C53B7B" w:rsidRPr="00785453" w:rsidRDefault="00C53B7B" w:rsidP="00C53B7B">
      <w:pPr>
        <w:bidi/>
        <w:jc w:val="both"/>
        <w:rPr>
          <w:rFonts w:ascii="Traditional Arabic" w:hAnsi="Traditional Arabic" w:cs="Traditional Arabic"/>
          <w:b/>
          <w:sz w:val="30"/>
          <w:szCs w:val="30"/>
        </w:rPr>
      </w:pPr>
      <w:r w:rsidRPr="00785453">
        <w:rPr>
          <w:rFonts w:ascii="Traditional Arabic" w:hAnsi="Traditional Arabic" w:cs="Traditional Arabic"/>
          <w:b/>
          <w:bCs/>
          <w:sz w:val="30"/>
          <w:szCs w:val="30"/>
          <w:rtl/>
        </w:rPr>
        <w:t>أساس التخصيص</w:t>
      </w:r>
    </w:p>
    <w:p w14:paraId="4FE0BBD2"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 xml:space="preserve">سيتم تجميع الطلبات المستلمة من مقدمي الطلبات من الفئة الثانية </w:t>
      </w:r>
      <w:r w:rsidRPr="00785453">
        <w:rPr>
          <w:rFonts w:ascii="Traditional Arabic" w:hAnsi="Traditional Arabic" w:cs="Traditional Arabic" w:hint="cs"/>
          <w:sz w:val="30"/>
          <w:szCs w:val="30"/>
          <w:rtl/>
        </w:rPr>
        <w:t xml:space="preserve">(كبار المستثمرين وصغار المستثمرين) </w:t>
      </w:r>
      <w:r w:rsidRPr="00785453">
        <w:rPr>
          <w:rFonts w:ascii="Traditional Arabic" w:hAnsi="Traditional Arabic" w:cs="Traditional Arabic"/>
          <w:sz w:val="30"/>
          <w:szCs w:val="30"/>
          <w:rtl/>
        </w:rPr>
        <w:t xml:space="preserve">معاً لتحديد إجمالي الطلب بموجب الطرح للفئة الثانية. سيتم التخصيص </w:t>
      </w:r>
      <w:r w:rsidRPr="00785453">
        <w:rPr>
          <w:rFonts w:ascii="Traditional Arabic" w:hAnsi="Traditional Arabic" w:cs="Traditional Arabic" w:hint="cs"/>
          <w:sz w:val="30"/>
          <w:szCs w:val="30"/>
          <w:rtl/>
        </w:rPr>
        <w:t>ل</w:t>
      </w:r>
      <w:r w:rsidRPr="00785453">
        <w:rPr>
          <w:rFonts w:ascii="Traditional Arabic" w:hAnsi="Traditional Arabic" w:cs="Traditional Arabic"/>
          <w:sz w:val="30"/>
          <w:szCs w:val="30"/>
          <w:rtl/>
        </w:rPr>
        <w:t xml:space="preserve">لمتقدمين من </w:t>
      </w:r>
      <w:r w:rsidRPr="00785453">
        <w:rPr>
          <w:rFonts w:ascii="Traditional Arabic" w:hAnsi="Traditional Arabic" w:cs="Traditional Arabic" w:hint="cs"/>
          <w:sz w:val="30"/>
          <w:szCs w:val="30"/>
          <w:rtl/>
        </w:rPr>
        <w:t xml:space="preserve">مستثمري </w:t>
      </w:r>
      <w:r w:rsidRPr="00785453">
        <w:rPr>
          <w:rFonts w:ascii="Traditional Arabic" w:hAnsi="Traditional Arabic" w:cs="Traditional Arabic"/>
          <w:sz w:val="30"/>
          <w:szCs w:val="30"/>
          <w:rtl/>
        </w:rPr>
        <w:t>الفئة الثانية بـسعر الطرح</w:t>
      </w:r>
      <w:r w:rsidRPr="00785453">
        <w:rPr>
          <w:rFonts w:ascii="Traditional Arabic" w:hAnsi="Traditional Arabic" w:cs="Traditional Arabic" w:hint="cs"/>
          <w:sz w:val="30"/>
          <w:szCs w:val="30"/>
          <w:rtl/>
        </w:rPr>
        <w:t>.</w:t>
      </w:r>
    </w:p>
    <w:p w14:paraId="7B9257D4" w14:textId="77777777" w:rsidR="00C53B7B" w:rsidRPr="00785453" w:rsidRDefault="00C53B7B" w:rsidP="00C53B7B">
      <w:pPr>
        <w:bidi/>
        <w:jc w:val="both"/>
        <w:rPr>
          <w:rFonts w:ascii="Traditional Arabic" w:hAnsi="Traditional Arabic" w:cs="Traditional Arabic"/>
          <w:b/>
          <w:sz w:val="30"/>
          <w:szCs w:val="30"/>
        </w:rPr>
      </w:pPr>
    </w:p>
    <w:p w14:paraId="3840597A"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إذا قل إجمالي الطلب بالنسبة للطرح من الفئة الثانية أو كان مساويًا لما نسبته </w:t>
      </w:r>
      <w:r w:rsidR="00321675">
        <w:rPr>
          <w:rFonts w:ascii="Traditional Arabic" w:hAnsi="Traditional Arabic" w:cs="Traditional Arabic" w:hint="cs"/>
          <w:sz w:val="30"/>
          <w:szCs w:val="30"/>
          <w:rtl/>
          <w:lang w:bidi="ar-OM"/>
        </w:rPr>
        <w:t xml:space="preserve">٢٥ </w:t>
      </w:r>
      <w:r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sz w:val="30"/>
          <w:szCs w:val="30"/>
          <w:rtl/>
        </w:rPr>
        <w:t xml:space="preserve">من الطرح للفئة الثانية (أي ما يعادل </w:t>
      </w:r>
      <w:r w:rsidR="00D2525C" w:rsidRPr="00D2525C">
        <w:rPr>
          <w:rFonts w:ascii="Traditional Arabic" w:hAnsi="Traditional Arabic" w:cs="Traditional Arabic"/>
          <w:sz w:val="30"/>
          <w:szCs w:val="30"/>
          <w:rtl/>
        </w:rPr>
        <w:t>٢٦٠,٤٣٧,٢١٤</w:t>
      </w:r>
      <w:r w:rsidR="00407E2A">
        <w:rPr>
          <w:rFonts w:ascii="Traditional Arabic" w:hAnsi="Traditional Arabic" w:cs="Traditional Arabic" w:hint="cs"/>
          <w:sz w:val="30"/>
          <w:szCs w:val="30"/>
          <w:rtl/>
        </w:rPr>
        <w:t xml:space="preserve"> </w:t>
      </w:r>
      <w:r w:rsidRPr="00785453">
        <w:rPr>
          <w:rFonts w:ascii="Traditional Arabic" w:hAnsi="Traditional Arabic" w:cs="Traditional Arabic"/>
          <w:sz w:val="30"/>
          <w:szCs w:val="30"/>
          <w:rtl/>
        </w:rPr>
        <w:t>سهم) ففي هذه الحالة سوف يتم تخصيص جميع الأسهم في الطرح لمقدمي الطلبات في الفئة الثانية إلى عدد أسهم الطرح الموضحة في طلبات اكتتابهم الصحيحة. وإذا زادت عدد طلبات الاكتتاب في طرح الفئة الأولى</w:t>
      </w:r>
      <w:r w:rsidRPr="00785453" w:rsidDel="009A3573">
        <w:rPr>
          <w:rFonts w:ascii="Traditional Arabic" w:hAnsi="Traditional Arabic" w:cs="Traditional Arabic"/>
          <w:sz w:val="30"/>
          <w:szCs w:val="30"/>
          <w:rtl/>
        </w:rPr>
        <w:t xml:space="preserve"> </w:t>
      </w:r>
      <w:r w:rsidRPr="00785453">
        <w:rPr>
          <w:rFonts w:ascii="Traditional Arabic" w:hAnsi="Traditional Arabic" w:cs="Traditional Arabic" w:hint="cs"/>
          <w:sz w:val="30"/>
          <w:szCs w:val="30"/>
          <w:rtl/>
        </w:rPr>
        <w:t xml:space="preserve">وكان </w:t>
      </w:r>
      <w:r w:rsidRPr="00785453">
        <w:rPr>
          <w:rFonts w:ascii="Traditional Arabic" w:hAnsi="Traditional Arabic" w:cs="Traditional Arabic"/>
          <w:sz w:val="30"/>
          <w:szCs w:val="30"/>
          <w:rtl/>
        </w:rPr>
        <w:t xml:space="preserve">إجمالي الطلب بالنسبة للطرح </w:t>
      </w:r>
      <w:r w:rsidRPr="00785453">
        <w:rPr>
          <w:rFonts w:ascii="Traditional Arabic" w:hAnsi="Traditional Arabic" w:cs="Traditional Arabic" w:hint="cs"/>
          <w:sz w:val="30"/>
          <w:szCs w:val="30"/>
          <w:rtl/>
        </w:rPr>
        <w:t>في</w:t>
      </w:r>
      <w:r w:rsidRPr="00785453">
        <w:rPr>
          <w:rFonts w:ascii="Traditional Arabic" w:hAnsi="Traditional Arabic" w:cs="Traditional Arabic"/>
          <w:sz w:val="30"/>
          <w:szCs w:val="30"/>
          <w:rtl/>
        </w:rPr>
        <w:t xml:space="preserve"> الفئة الثانية</w:t>
      </w:r>
      <w:r w:rsidRPr="00785453">
        <w:rPr>
          <w:rFonts w:ascii="Traditional Arabic" w:hAnsi="Traditional Arabic" w:cs="Traditional Arabic" w:hint="cs"/>
          <w:sz w:val="30"/>
          <w:szCs w:val="30"/>
          <w:rtl/>
        </w:rPr>
        <w:t xml:space="preserve"> يقل</w:t>
      </w:r>
      <w:r w:rsidRPr="00785453">
        <w:rPr>
          <w:rFonts w:ascii="Traditional Arabic" w:hAnsi="Traditional Arabic" w:cs="Traditional Arabic"/>
          <w:sz w:val="30"/>
          <w:szCs w:val="30"/>
          <w:rtl/>
        </w:rPr>
        <w:t xml:space="preserve"> عن نسبة </w:t>
      </w:r>
      <w:r w:rsidR="00C60389">
        <w:rPr>
          <w:rFonts w:ascii="Traditional Arabic" w:hAnsi="Traditional Arabic" w:cs="Traditional Arabic" w:hint="cs"/>
          <w:sz w:val="30"/>
          <w:szCs w:val="30"/>
          <w:rtl/>
          <w:lang w:bidi="ar-OM"/>
        </w:rPr>
        <w:t xml:space="preserve">٢٥ </w:t>
      </w:r>
      <w:r w:rsidRPr="00785453">
        <w:rPr>
          <w:rFonts w:ascii="Traditional Arabic" w:hAnsi="Traditional Arabic" w:cs="Traditional Arabic" w:hint="cs"/>
          <w:sz w:val="30"/>
          <w:szCs w:val="30"/>
          <w:rtl/>
          <w:lang w:bidi="ar-OM"/>
        </w:rPr>
        <w:t xml:space="preserve">% </w:t>
      </w:r>
      <w:r w:rsidRPr="00785453">
        <w:rPr>
          <w:rFonts w:ascii="Traditional Arabic" w:hAnsi="Traditional Arabic" w:cs="Traditional Arabic"/>
          <w:sz w:val="30"/>
          <w:szCs w:val="30"/>
          <w:rtl/>
        </w:rPr>
        <w:t xml:space="preserve">من الطرح، فبعد أن يتم التخصيص </w:t>
      </w:r>
      <w:r w:rsidRPr="00785453">
        <w:rPr>
          <w:rFonts w:ascii="Traditional Arabic" w:hAnsi="Traditional Arabic" w:cs="Traditional Arabic" w:hint="cs"/>
          <w:sz w:val="30"/>
          <w:szCs w:val="30"/>
          <w:rtl/>
        </w:rPr>
        <w:t>بالكامل على مستثمري الفئة الثانية</w:t>
      </w:r>
      <w:r w:rsidRPr="00785453">
        <w:rPr>
          <w:rFonts w:ascii="Traditional Arabic" w:hAnsi="Traditional Arabic" w:cs="Traditional Arabic"/>
          <w:sz w:val="30"/>
          <w:szCs w:val="30"/>
          <w:rtl/>
        </w:rPr>
        <w:t xml:space="preserve"> يُطرح عدد الأسهم المتبقي من أسهم الطرح لمقدمي الطلبات في الفئة الأولى بسعر الطرح.</w:t>
      </w:r>
    </w:p>
    <w:p w14:paraId="17B561BC" w14:textId="77777777" w:rsidR="00C53B7B" w:rsidRPr="00785453" w:rsidRDefault="00C53B7B" w:rsidP="00C53B7B">
      <w:pPr>
        <w:bidi/>
        <w:jc w:val="both"/>
        <w:rPr>
          <w:rFonts w:ascii="Traditional Arabic" w:hAnsi="Traditional Arabic" w:cs="Traditional Arabic"/>
          <w:sz w:val="30"/>
          <w:szCs w:val="30"/>
          <w:rtl/>
        </w:rPr>
      </w:pPr>
    </w:p>
    <w:p w14:paraId="2473168E" w14:textId="77777777" w:rsidR="00C53B7B" w:rsidRPr="00785453" w:rsidRDefault="00C53B7B" w:rsidP="00C53B7B">
      <w:pPr>
        <w:bidi/>
        <w:jc w:val="both"/>
        <w:rPr>
          <w:rFonts w:ascii="Traditional Arabic" w:hAnsi="Traditional Arabic" w:cs="Traditional Arabic"/>
          <w:sz w:val="30"/>
          <w:szCs w:val="30"/>
          <w:rtl/>
          <w:lang w:bidi="ar-OM"/>
        </w:rPr>
      </w:pPr>
      <w:r w:rsidRPr="00785453">
        <w:rPr>
          <w:rFonts w:ascii="Traditional Arabic" w:hAnsi="Traditional Arabic" w:cs="Traditional Arabic"/>
          <w:sz w:val="30"/>
          <w:szCs w:val="30"/>
          <w:rtl/>
          <w:lang w:bidi="ar-OM"/>
        </w:rPr>
        <w:t xml:space="preserve">وإذا زاد الطلب الإجمالي في الفئة الثانية عن </w:t>
      </w:r>
      <w:r w:rsidR="00D2525C">
        <w:rPr>
          <w:rFonts w:ascii="Traditional Arabic" w:hAnsi="Traditional Arabic" w:cs="Traditional Arabic" w:hint="cs"/>
          <w:sz w:val="30"/>
          <w:szCs w:val="30"/>
          <w:rtl/>
          <w:lang w:bidi="ar-OM"/>
        </w:rPr>
        <w:t xml:space="preserve">٢٥ </w:t>
      </w:r>
      <w:r w:rsidRPr="00785453">
        <w:rPr>
          <w:rFonts w:ascii="Traditional Arabic" w:hAnsi="Traditional Arabic" w:cs="Traditional Arabic"/>
          <w:sz w:val="30"/>
          <w:szCs w:val="30"/>
          <w:rtl/>
          <w:lang w:bidi="ar-OM"/>
        </w:rPr>
        <w:t>% من أسهم الطرح</w:t>
      </w:r>
      <w:r w:rsidR="00360952">
        <w:rPr>
          <w:rFonts w:ascii="Traditional Arabic" w:hAnsi="Traditional Arabic" w:cs="Traditional Arabic" w:hint="cs"/>
          <w:sz w:val="30"/>
          <w:szCs w:val="30"/>
          <w:rtl/>
          <w:lang w:bidi="ar-OM"/>
        </w:rPr>
        <w:t xml:space="preserve"> فسيتم تخصيص الأسهم بالنسبة والتناسب</w:t>
      </w:r>
      <w:r w:rsidRPr="00785453">
        <w:rPr>
          <w:rFonts w:ascii="Traditional Arabic" w:hAnsi="Traditional Arabic" w:cs="Traditional Arabic" w:hint="cs"/>
          <w:sz w:val="30"/>
          <w:szCs w:val="30"/>
          <w:rtl/>
          <w:lang w:bidi="ar-OM"/>
        </w:rPr>
        <w:t>،</w:t>
      </w:r>
      <w:r w:rsidRPr="00785453">
        <w:rPr>
          <w:rFonts w:ascii="Traditional Arabic" w:hAnsi="Traditional Arabic" w:cs="Traditional Arabic"/>
          <w:sz w:val="30"/>
          <w:szCs w:val="30"/>
          <w:rtl/>
          <w:lang w:bidi="ar-OM"/>
        </w:rPr>
        <w:t xml:space="preserve"> </w:t>
      </w:r>
      <w:r w:rsidR="00AE2EC3">
        <w:rPr>
          <w:rFonts w:ascii="Traditional Arabic" w:hAnsi="Traditional Arabic" w:cs="Traditional Arabic" w:hint="cs"/>
          <w:sz w:val="30"/>
          <w:szCs w:val="30"/>
          <w:rtl/>
          <w:lang w:bidi="ar-OM"/>
        </w:rPr>
        <w:t>و</w:t>
      </w:r>
      <w:r w:rsidRPr="00785453">
        <w:rPr>
          <w:rFonts w:ascii="Traditional Arabic" w:hAnsi="Traditional Arabic" w:cs="Traditional Arabic"/>
          <w:sz w:val="30"/>
          <w:szCs w:val="30"/>
          <w:rtl/>
          <w:lang w:bidi="ar-OM"/>
        </w:rPr>
        <w:t xml:space="preserve">لهيئة الخدمات المالية </w:t>
      </w:r>
      <w:r w:rsidRPr="00785453">
        <w:rPr>
          <w:rFonts w:ascii="Traditional Arabic" w:hAnsi="Traditional Arabic" w:cs="Traditional Arabic" w:hint="cs"/>
          <w:sz w:val="30"/>
          <w:szCs w:val="30"/>
          <w:rtl/>
          <w:lang w:bidi="ar-OM"/>
        </w:rPr>
        <w:t>ان تقرر</w:t>
      </w:r>
      <w:r w:rsidRPr="00785453">
        <w:rPr>
          <w:rFonts w:ascii="Traditional Arabic" w:hAnsi="Traditional Arabic" w:cs="Traditional Arabic"/>
          <w:sz w:val="30"/>
          <w:szCs w:val="30"/>
          <w:rtl/>
          <w:lang w:bidi="ar-OM"/>
        </w:rPr>
        <w:t xml:space="preserve"> توزيع حد أدنى من الأسهم المطروحة </w:t>
      </w:r>
      <w:r w:rsidRPr="00785453">
        <w:rPr>
          <w:rFonts w:ascii="Traditional Arabic" w:hAnsi="Traditional Arabic" w:cs="Traditional Arabic" w:hint="cs"/>
          <w:sz w:val="30"/>
          <w:szCs w:val="30"/>
          <w:rtl/>
          <w:lang w:bidi="ar-OM"/>
        </w:rPr>
        <w:t xml:space="preserve">على مقدمي الطلبات </w:t>
      </w:r>
      <w:r w:rsidRPr="00785453">
        <w:rPr>
          <w:rFonts w:ascii="Traditional Arabic" w:hAnsi="Traditional Arabic" w:cs="Traditional Arabic"/>
          <w:sz w:val="30"/>
          <w:szCs w:val="30"/>
          <w:rtl/>
          <w:lang w:bidi="ar-OM"/>
        </w:rPr>
        <w:t xml:space="preserve">في الفئة الثانية </w:t>
      </w:r>
      <w:r w:rsidRPr="00785453">
        <w:rPr>
          <w:rFonts w:ascii="Traditional Arabic" w:hAnsi="Traditional Arabic" w:cs="Traditional Arabic" w:hint="cs"/>
          <w:sz w:val="30"/>
          <w:szCs w:val="30"/>
          <w:rtl/>
          <w:lang w:bidi="ar-OM"/>
        </w:rPr>
        <w:t>(صغار المستثمرين) فقط بالتساوي</w:t>
      </w:r>
      <w:r w:rsidRPr="00785453">
        <w:rPr>
          <w:rFonts w:ascii="Traditional Arabic" w:hAnsi="Traditional Arabic" w:cs="Traditional Arabic"/>
          <w:sz w:val="30"/>
          <w:szCs w:val="30"/>
          <w:rtl/>
          <w:lang w:bidi="ar-OM"/>
        </w:rPr>
        <w:t xml:space="preserve">، وتُخصص الأسهم </w:t>
      </w:r>
      <w:r w:rsidR="001C3C06">
        <w:rPr>
          <w:rFonts w:ascii="Traditional Arabic" w:hAnsi="Traditional Arabic" w:cs="Traditional Arabic" w:hint="cs"/>
          <w:sz w:val="30"/>
          <w:szCs w:val="30"/>
          <w:rtl/>
          <w:lang w:bidi="ar-OM"/>
        </w:rPr>
        <w:t>المتبقية</w:t>
      </w:r>
      <w:r w:rsidR="001C3C06" w:rsidRPr="00785453">
        <w:rPr>
          <w:rFonts w:ascii="Traditional Arabic" w:hAnsi="Traditional Arabic" w:cs="Traditional Arabic"/>
          <w:sz w:val="30"/>
          <w:szCs w:val="30"/>
          <w:rtl/>
          <w:lang w:bidi="ar-OM"/>
        </w:rPr>
        <w:t xml:space="preserve"> </w:t>
      </w:r>
      <w:r w:rsidRPr="00785453">
        <w:rPr>
          <w:rFonts w:ascii="Traditional Arabic" w:hAnsi="Traditional Arabic" w:cs="Traditional Arabic"/>
          <w:sz w:val="30"/>
          <w:szCs w:val="30"/>
          <w:rtl/>
          <w:lang w:bidi="ar-OM"/>
        </w:rPr>
        <w:t>في الفئة الثانية لمقدمي الطلبات في ذات الفئة بالنسبة والتناسب</w:t>
      </w:r>
      <w:r w:rsidRPr="00785453">
        <w:rPr>
          <w:rFonts w:ascii="Traditional Arabic" w:hAnsi="Traditional Arabic" w:cs="Traditional Arabic" w:hint="cs"/>
          <w:sz w:val="30"/>
          <w:szCs w:val="30"/>
          <w:rtl/>
          <w:lang w:bidi="ar-OM"/>
        </w:rPr>
        <w:t xml:space="preserve">. </w:t>
      </w:r>
    </w:p>
    <w:p w14:paraId="6E351455" w14:textId="77777777" w:rsidR="00C53B7B" w:rsidRDefault="00C53B7B" w:rsidP="00C53B7B">
      <w:pPr>
        <w:bidi/>
        <w:jc w:val="both"/>
        <w:rPr>
          <w:rFonts w:ascii="Traditional Arabic" w:hAnsi="Traditional Arabic" w:cs="Traditional Arabic"/>
          <w:sz w:val="30"/>
          <w:szCs w:val="30"/>
          <w:rtl/>
        </w:rPr>
      </w:pPr>
    </w:p>
    <w:p w14:paraId="0559FD6A" w14:textId="77777777" w:rsidR="00DC61E2" w:rsidRPr="00A1314E" w:rsidRDefault="00DC61E2" w:rsidP="00DC61E2">
      <w:pPr>
        <w:bidi/>
        <w:spacing w:after="160" w:line="259" w:lineRule="auto"/>
        <w:jc w:val="both"/>
        <w:rPr>
          <w:rFonts w:ascii="Traditional Arabic" w:hAnsi="Traditional Arabic" w:cs="Traditional Arabic"/>
          <w:b/>
          <w:sz w:val="30"/>
          <w:szCs w:val="30"/>
          <w:rtl/>
        </w:rPr>
      </w:pPr>
      <w:r w:rsidRPr="00F408BC">
        <w:rPr>
          <w:rFonts w:ascii="Traditional Arabic" w:hAnsi="Traditional Arabic" w:cs="Traditional Arabic"/>
          <w:sz w:val="30"/>
          <w:szCs w:val="30"/>
          <w:rtl/>
        </w:rPr>
        <w:t xml:space="preserve">إذا اختار المساهم البائع ممارسة خيار </w:t>
      </w:r>
      <w:r>
        <w:rPr>
          <w:rFonts w:ascii="Traditional Arabic" w:hAnsi="Traditional Arabic" w:cs="Traditional Arabic" w:hint="cs"/>
          <w:sz w:val="30"/>
          <w:szCs w:val="30"/>
          <w:rtl/>
        </w:rPr>
        <w:t>زيادة حجم الاكتتاب</w:t>
      </w:r>
      <w:r w:rsidRPr="00F408BC">
        <w:rPr>
          <w:rFonts w:ascii="Traditional Arabic" w:hAnsi="Traditional Arabic" w:cs="Traditional Arabic"/>
          <w:sz w:val="30"/>
          <w:szCs w:val="30"/>
          <w:rtl/>
        </w:rPr>
        <w:t xml:space="preserve">، فسيتم </w:t>
      </w:r>
      <w:r w:rsidR="000B0D6C">
        <w:rPr>
          <w:rFonts w:ascii="Traditional Arabic" w:hAnsi="Traditional Arabic" w:cs="Traditional Arabic" w:hint="cs"/>
          <w:sz w:val="30"/>
          <w:szCs w:val="30"/>
          <w:rtl/>
        </w:rPr>
        <w:t>إتاحة</w:t>
      </w:r>
      <w:r w:rsidR="000B0D6C" w:rsidRPr="00F408BC">
        <w:rPr>
          <w:rFonts w:ascii="Traditional Arabic" w:hAnsi="Traditional Arabic" w:cs="Traditional Arabic"/>
          <w:sz w:val="30"/>
          <w:szCs w:val="30"/>
          <w:rtl/>
        </w:rPr>
        <w:t xml:space="preserve"> </w:t>
      </w:r>
      <w:r w:rsidRPr="00F408BC">
        <w:rPr>
          <w:rFonts w:ascii="Traditional Arabic" w:hAnsi="Traditional Arabic" w:cs="Traditional Arabic"/>
          <w:sz w:val="30"/>
          <w:szCs w:val="30"/>
          <w:rtl/>
        </w:rPr>
        <w:t xml:space="preserve">أي أسهم إضافية </w:t>
      </w:r>
      <w:r>
        <w:rPr>
          <w:rFonts w:ascii="Traditional Arabic" w:hAnsi="Traditional Arabic" w:cs="Traditional Arabic" w:hint="cs"/>
          <w:sz w:val="30"/>
          <w:szCs w:val="30"/>
          <w:rtl/>
        </w:rPr>
        <w:t>بالنسبة والتناسب</w:t>
      </w:r>
      <w:r w:rsidRPr="00F408BC">
        <w:rPr>
          <w:rFonts w:ascii="Traditional Arabic" w:hAnsi="Traditional Arabic" w:cs="Traditional Arabic"/>
          <w:sz w:val="30"/>
          <w:szCs w:val="30"/>
          <w:rtl/>
        </w:rPr>
        <w:t xml:space="preserve"> بين </w:t>
      </w:r>
      <w:r>
        <w:rPr>
          <w:rFonts w:ascii="Traditional Arabic" w:hAnsi="Traditional Arabic" w:cs="Traditional Arabic" w:hint="cs"/>
          <w:sz w:val="30"/>
          <w:szCs w:val="30"/>
          <w:rtl/>
        </w:rPr>
        <w:t>مقدمي الطلبات من الفئة الأولى والثانية.</w:t>
      </w:r>
    </w:p>
    <w:p w14:paraId="685B7AC9" w14:textId="77777777" w:rsidR="00DC61E2" w:rsidRPr="00785453" w:rsidRDefault="00DC61E2" w:rsidP="00DC61E2">
      <w:pPr>
        <w:bidi/>
        <w:jc w:val="both"/>
        <w:rPr>
          <w:rFonts w:ascii="Traditional Arabic" w:hAnsi="Traditional Arabic" w:cs="Traditional Arabic"/>
          <w:sz w:val="30"/>
          <w:szCs w:val="30"/>
          <w:rtl/>
        </w:rPr>
      </w:pPr>
    </w:p>
    <w:p w14:paraId="18826277" w14:textId="77777777" w:rsidR="00C53B7B" w:rsidRPr="00785453" w:rsidRDefault="00C53B7B" w:rsidP="00C53B7B">
      <w:pPr>
        <w:bidi/>
        <w:jc w:val="both"/>
        <w:rPr>
          <w:rFonts w:ascii="Traditional Arabic" w:hAnsi="Traditional Arabic" w:cs="Traditional Arabic"/>
          <w:b/>
          <w:sz w:val="30"/>
          <w:szCs w:val="30"/>
        </w:rPr>
      </w:pPr>
      <w:r w:rsidRPr="00785453">
        <w:rPr>
          <w:rFonts w:ascii="Traditional Arabic" w:hAnsi="Traditional Arabic" w:cs="Traditional Arabic"/>
          <w:b/>
          <w:bCs/>
          <w:sz w:val="30"/>
          <w:szCs w:val="30"/>
          <w:rtl/>
        </w:rPr>
        <w:t>تأكيد التخصيص و</w:t>
      </w:r>
      <w:r w:rsidRPr="00785453">
        <w:rPr>
          <w:rFonts w:ascii="Traditional Arabic" w:hAnsi="Traditional Arabic" w:cs="Traditional Arabic" w:hint="cs"/>
          <w:b/>
          <w:bCs/>
          <w:sz w:val="30"/>
          <w:szCs w:val="30"/>
          <w:rtl/>
        </w:rPr>
        <w:t>رد</w:t>
      </w:r>
      <w:r w:rsidRPr="00785453">
        <w:rPr>
          <w:rFonts w:ascii="Traditional Arabic" w:hAnsi="Traditional Arabic" w:cs="Traditional Arabic"/>
          <w:b/>
          <w:bCs/>
          <w:sz w:val="30"/>
          <w:szCs w:val="30"/>
          <w:rtl/>
        </w:rPr>
        <w:t xml:space="preserve"> المبالغ للفئة الثانية</w:t>
      </w:r>
    </w:p>
    <w:p w14:paraId="5D0822DB" w14:textId="77777777" w:rsidR="00C53B7B" w:rsidRPr="00785453" w:rsidRDefault="00C53B7B" w:rsidP="00C53B7B">
      <w:pPr>
        <w:bidi/>
        <w:jc w:val="both"/>
        <w:rPr>
          <w:rFonts w:ascii="Traditional Arabic" w:hAnsi="Traditional Arabic" w:cs="Traditional Arabic"/>
          <w:sz w:val="30"/>
          <w:szCs w:val="30"/>
        </w:rPr>
      </w:pPr>
      <w:r w:rsidRPr="00785453">
        <w:rPr>
          <w:rFonts w:ascii="Traditional Arabic" w:hAnsi="Traditional Arabic" w:cs="Traditional Arabic"/>
          <w:sz w:val="30"/>
          <w:szCs w:val="30"/>
          <w:rtl/>
        </w:rPr>
        <w:t>ستقوم شركة مسقط للمقاصة والإيداع بإرسال رسالة نصية إلى المستثمرين الذين تم تخصيص أسهم لهم على رقم هاتفهم المحمول المسجل لدى شركة مسقط للمقاصة والإيداع بعد انتهاء فترة طرح الفئة الثانية وبعد استلام موافقة الهيئة على التخصيصات المقترحة. كما من المتوقع أن تبدأ شركة مسقط للمقاصة والإيداع في رد أي أموال فائضة للمستثمرين المؤهلين خلال ثلاثة أيام عمل (بتوقيت سلطنة عمان بعد الحصول على موافقة هيئة الخدمات المالية على التخصيصات المقترحة.</w:t>
      </w:r>
    </w:p>
    <w:p w14:paraId="1C2E0B2B" w14:textId="77777777" w:rsidR="00C53B7B" w:rsidRPr="00785453" w:rsidRDefault="00C53B7B" w:rsidP="00C53B7B">
      <w:pPr>
        <w:bidi/>
        <w:rPr>
          <w:rFonts w:ascii="Traditional Arabic" w:hAnsi="Traditional Arabic" w:cs="Traditional Arabic"/>
          <w:sz w:val="30"/>
          <w:szCs w:val="30"/>
        </w:rPr>
      </w:pPr>
    </w:p>
    <w:p w14:paraId="2D6F41C5" w14:textId="77777777" w:rsidR="00C53B7B" w:rsidRPr="00785453" w:rsidRDefault="00C53B7B" w:rsidP="00C53B7B">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وكلاء التحصيل المستلمين للطلبات</w:t>
      </w:r>
    </w:p>
    <w:p w14:paraId="203AF18B" w14:textId="77777777" w:rsidR="00382270" w:rsidRPr="00CA4D73" w:rsidRDefault="00382270" w:rsidP="00D925C8">
      <w:pPr>
        <w:pStyle w:val="ListParagraph"/>
        <w:numPr>
          <w:ilvl w:val="0"/>
          <w:numId w:val="71"/>
        </w:numPr>
        <w:bidi/>
        <w:jc w:val="both"/>
        <w:rPr>
          <w:rFonts w:ascii="Traditional Arabic" w:hAnsi="Traditional Arabic" w:cs="Traditional Arabic"/>
          <w:b/>
          <w:sz w:val="30"/>
          <w:szCs w:val="30"/>
          <w:rtl/>
          <w:lang w:val="en-GB"/>
        </w:rPr>
      </w:pPr>
      <w:r w:rsidRPr="00CA4D73">
        <w:rPr>
          <w:rFonts w:ascii="Traditional Arabic" w:hAnsi="Traditional Arabic" w:cs="Traditional Arabic" w:hint="eastAsia"/>
          <w:b/>
          <w:sz w:val="30"/>
          <w:szCs w:val="30"/>
          <w:rtl/>
          <w:lang w:val="en-GB"/>
        </w:rPr>
        <w:lastRenderedPageBreak/>
        <w:t>بنك</w:t>
      </w:r>
      <w:r w:rsidRPr="00CA4D73">
        <w:rPr>
          <w:rFonts w:ascii="Traditional Arabic" w:hAnsi="Traditional Arabic" w:cs="Traditional Arabic"/>
          <w:b/>
          <w:sz w:val="30"/>
          <w:szCs w:val="30"/>
          <w:rtl/>
          <w:lang w:val="en-GB"/>
        </w:rPr>
        <w:t xml:space="preserve"> صحار الدولي ش.م.ع.ع </w:t>
      </w:r>
    </w:p>
    <w:p w14:paraId="10512635" w14:textId="77777777" w:rsidR="00382270" w:rsidRPr="00CA4D73" w:rsidRDefault="00382270" w:rsidP="00D925C8">
      <w:pPr>
        <w:pStyle w:val="ListParagraph"/>
        <w:numPr>
          <w:ilvl w:val="0"/>
          <w:numId w:val="71"/>
        </w:numPr>
        <w:bidi/>
        <w:jc w:val="both"/>
        <w:rPr>
          <w:rFonts w:ascii="Traditional Arabic" w:hAnsi="Traditional Arabic" w:cs="Traditional Arabic"/>
          <w:b/>
          <w:sz w:val="30"/>
          <w:szCs w:val="30"/>
          <w:rtl/>
          <w:lang w:val="en-GB" w:bidi="ar-EG"/>
        </w:rPr>
      </w:pPr>
      <w:r w:rsidRPr="00CA4D73">
        <w:rPr>
          <w:rFonts w:ascii="Traditional Arabic" w:hAnsi="Traditional Arabic" w:cs="Traditional Arabic" w:hint="eastAsia"/>
          <w:b/>
          <w:sz w:val="30"/>
          <w:szCs w:val="30"/>
          <w:rtl/>
          <w:lang w:val="en-GB" w:bidi="ar-EG"/>
        </w:rPr>
        <w:t>بنك</w:t>
      </w:r>
      <w:r w:rsidRPr="00CA4D73">
        <w:rPr>
          <w:rFonts w:ascii="Traditional Arabic" w:hAnsi="Traditional Arabic" w:cs="Traditional Arabic"/>
          <w:b/>
          <w:sz w:val="30"/>
          <w:szCs w:val="30"/>
          <w:rtl/>
          <w:lang w:val="en-GB" w:bidi="ar-EG"/>
        </w:rPr>
        <w:t xml:space="preserve"> </w:t>
      </w:r>
      <w:r w:rsidRPr="00CA4D73">
        <w:rPr>
          <w:rFonts w:ascii="Traditional Arabic" w:hAnsi="Traditional Arabic" w:cs="Traditional Arabic" w:hint="eastAsia"/>
          <w:b/>
          <w:sz w:val="30"/>
          <w:szCs w:val="30"/>
          <w:rtl/>
          <w:lang w:val="en-GB" w:bidi="ar-EG"/>
        </w:rPr>
        <w:t>مسقط</w:t>
      </w:r>
      <w:r w:rsidRPr="00CA4D73">
        <w:rPr>
          <w:rFonts w:ascii="Traditional Arabic" w:hAnsi="Traditional Arabic" w:cs="Traditional Arabic"/>
          <w:b/>
          <w:sz w:val="30"/>
          <w:szCs w:val="30"/>
          <w:rtl/>
          <w:lang w:val="en-GB" w:bidi="ar-EG"/>
        </w:rPr>
        <w:t xml:space="preserve"> </w:t>
      </w:r>
      <w:r w:rsidRPr="00CA4D73">
        <w:rPr>
          <w:rFonts w:ascii="Traditional Arabic" w:hAnsi="Traditional Arabic" w:cs="Traditional Arabic" w:hint="eastAsia"/>
          <w:b/>
          <w:sz w:val="30"/>
          <w:szCs w:val="30"/>
          <w:rtl/>
          <w:lang w:val="en-GB" w:bidi="ar-EG"/>
        </w:rPr>
        <w:t>ش</w:t>
      </w:r>
      <w:r w:rsidRPr="00CA4D73">
        <w:rPr>
          <w:rFonts w:ascii="Traditional Arabic" w:hAnsi="Traditional Arabic" w:cs="Traditional Arabic"/>
          <w:b/>
          <w:sz w:val="30"/>
          <w:szCs w:val="30"/>
          <w:rtl/>
          <w:lang w:val="en-GB" w:bidi="ar-EG"/>
        </w:rPr>
        <w:t>.م.ع.ع</w:t>
      </w:r>
    </w:p>
    <w:p w14:paraId="14338863" w14:textId="3E8B6FB2" w:rsidR="00382270" w:rsidRPr="00CA4D73" w:rsidRDefault="009A709D" w:rsidP="00D925C8">
      <w:pPr>
        <w:pStyle w:val="ListParagraph"/>
        <w:numPr>
          <w:ilvl w:val="0"/>
          <w:numId w:val="71"/>
        </w:numPr>
        <w:bidi/>
        <w:jc w:val="both"/>
        <w:rPr>
          <w:rFonts w:ascii="Traditional Arabic" w:hAnsi="Traditional Arabic" w:cs="Traditional Arabic"/>
          <w:b/>
          <w:sz w:val="30"/>
          <w:szCs w:val="30"/>
          <w:rtl/>
          <w:lang w:val="en-GB" w:bidi="ar-EG"/>
        </w:rPr>
      </w:pPr>
      <w:r>
        <w:rPr>
          <w:rFonts w:ascii="Traditional Arabic" w:hAnsi="Traditional Arabic" w:cs="Traditional Arabic" w:hint="cs"/>
          <w:b/>
          <w:sz w:val="30"/>
          <w:szCs w:val="30"/>
          <w:rtl/>
          <w:lang w:val="en-GB" w:bidi="ar-EG"/>
        </w:rPr>
        <w:t>ال</w:t>
      </w:r>
      <w:r w:rsidR="00382270" w:rsidRPr="00CA4D73">
        <w:rPr>
          <w:rFonts w:ascii="Traditional Arabic" w:hAnsi="Traditional Arabic" w:cs="Traditional Arabic" w:hint="eastAsia"/>
          <w:b/>
          <w:sz w:val="30"/>
          <w:szCs w:val="30"/>
          <w:rtl/>
          <w:lang w:val="en-GB" w:bidi="ar-EG"/>
        </w:rPr>
        <w:t>بنك</w:t>
      </w:r>
      <w:r w:rsidR="00382270" w:rsidRPr="00CA4D73">
        <w:rPr>
          <w:rFonts w:ascii="Traditional Arabic" w:hAnsi="Traditional Arabic" w:cs="Traditional Arabic"/>
          <w:b/>
          <w:sz w:val="30"/>
          <w:szCs w:val="30"/>
          <w:rtl/>
          <w:lang w:val="en-GB" w:bidi="ar-EG"/>
        </w:rPr>
        <w:t xml:space="preserve"> </w:t>
      </w:r>
      <w:r w:rsidR="00382270" w:rsidRPr="00CA4D73">
        <w:rPr>
          <w:rFonts w:ascii="Traditional Arabic" w:hAnsi="Traditional Arabic" w:cs="Traditional Arabic" w:hint="eastAsia"/>
          <w:b/>
          <w:sz w:val="30"/>
          <w:szCs w:val="30"/>
          <w:rtl/>
          <w:lang w:val="en-GB" w:bidi="ar-EG"/>
        </w:rPr>
        <w:t>الاهلي</w:t>
      </w:r>
      <w:r w:rsidR="00382270" w:rsidRPr="00CA4D73">
        <w:rPr>
          <w:rFonts w:ascii="Traditional Arabic" w:hAnsi="Traditional Arabic" w:cs="Traditional Arabic"/>
          <w:b/>
          <w:sz w:val="30"/>
          <w:szCs w:val="30"/>
          <w:rtl/>
          <w:lang w:val="en-GB" w:bidi="ar-EG"/>
        </w:rPr>
        <w:t xml:space="preserve"> </w:t>
      </w:r>
      <w:r w:rsidR="00382270" w:rsidRPr="00CA4D73">
        <w:rPr>
          <w:rFonts w:ascii="Traditional Arabic" w:hAnsi="Traditional Arabic" w:cs="Traditional Arabic" w:hint="eastAsia"/>
          <w:b/>
          <w:sz w:val="30"/>
          <w:szCs w:val="30"/>
          <w:rtl/>
          <w:lang w:val="en-GB" w:bidi="ar-EG"/>
        </w:rPr>
        <w:t>ش</w:t>
      </w:r>
      <w:r w:rsidR="00382270" w:rsidRPr="00CA4D73">
        <w:rPr>
          <w:rFonts w:ascii="Traditional Arabic" w:hAnsi="Traditional Arabic" w:cs="Traditional Arabic"/>
          <w:b/>
          <w:sz w:val="30"/>
          <w:szCs w:val="30"/>
          <w:rtl/>
          <w:lang w:val="en-GB" w:bidi="ar-EG"/>
        </w:rPr>
        <w:t>.م.ع.ع</w:t>
      </w:r>
    </w:p>
    <w:p w14:paraId="1803FC3C" w14:textId="77777777" w:rsidR="00382270" w:rsidRPr="00CA4D73" w:rsidRDefault="00382270" w:rsidP="00D925C8">
      <w:pPr>
        <w:pStyle w:val="ListParagraph"/>
        <w:numPr>
          <w:ilvl w:val="0"/>
          <w:numId w:val="71"/>
        </w:numPr>
        <w:bidi/>
        <w:jc w:val="both"/>
        <w:rPr>
          <w:rFonts w:ascii="Traditional Arabic" w:hAnsi="Traditional Arabic" w:cs="Traditional Arabic"/>
          <w:b/>
          <w:sz w:val="30"/>
          <w:szCs w:val="30"/>
          <w:rtl/>
          <w:lang w:val="en-GB" w:bidi="ar-EG"/>
        </w:rPr>
      </w:pPr>
      <w:r w:rsidRPr="00CA4D73">
        <w:rPr>
          <w:rFonts w:ascii="Traditional Arabic" w:hAnsi="Traditional Arabic" w:cs="Traditional Arabic" w:hint="eastAsia"/>
          <w:b/>
          <w:sz w:val="30"/>
          <w:szCs w:val="30"/>
          <w:rtl/>
          <w:lang w:val="en-GB" w:bidi="ar-EG"/>
        </w:rPr>
        <w:t>بنك</w:t>
      </w:r>
      <w:r w:rsidRPr="00CA4D73">
        <w:rPr>
          <w:rFonts w:ascii="Traditional Arabic" w:hAnsi="Traditional Arabic" w:cs="Traditional Arabic"/>
          <w:b/>
          <w:sz w:val="30"/>
          <w:szCs w:val="30"/>
          <w:rtl/>
          <w:lang w:val="en-GB" w:bidi="ar-EG"/>
        </w:rPr>
        <w:t xml:space="preserve"> </w:t>
      </w:r>
      <w:r w:rsidRPr="00CA4D73">
        <w:rPr>
          <w:rFonts w:ascii="Traditional Arabic" w:hAnsi="Traditional Arabic" w:cs="Traditional Arabic" w:hint="eastAsia"/>
          <w:b/>
          <w:sz w:val="30"/>
          <w:szCs w:val="30"/>
          <w:rtl/>
          <w:lang w:val="en-GB" w:bidi="ar-EG"/>
        </w:rPr>
        <w:t>ظفار</w:t>
      </w:r>
      <w:r w:rsidRPr="00CA4D73">
        <w:rPr>
          <w:rFonts w:ascii="Traditional Arabic" w:hAnsi="Traditional Arabic" w:cs="Traditional Arabic"/>
          <w:b/>
          <w:sz w:val="30"/>
          <w:szCs w:val="30"/>
          <w:rtl/>
          <w:lang w:val="en-GB" w:bidi="ar-EG"/>
        </w:rPr>
        <w:t xml:space="preserve"> </w:t>
      </w:r>
      <w:r w:rsidRPr="00CA4D73">
        <w:rPr>
          <w:rFonts w:ascii="Traditional Arabic" w:hAnsi="Traditional Arabic" w:cs="Traditional Arabic" w:hint="eastAsia"/>
          <w:b/>
          <w:sz w:val="30"/>
          <w:szCs w:val="30"/>
          <w:rtl/>
          <w:lang w:val="en-GB" w:bidi="ar-EG"/>
        </w:rPr>
        <w:t>ش</w:t>
      </w:r>
      <w:r w:rsidRPr="00CA4D73">
        <w:rPr>
          <w:rFonts w:ascii="Traditional Arabic" w:hAnsi="Traditional Arabic" w:cs="Traditional Arabic"/>
          <w:b/>
          <w:sz w:val="30"/>
          <w:szCs w:val="30"/>
          <w:rtl/>
          <w:lang w:val="en-GB" w:bidi="ar-EG"/>
        </w:rPr>
        <w:t>.م.ع.ع</w:t>
      </w:r>
    </w:p>
    <w:p w14:paraId="6BF03B19" w14:textId="77777777" w:rsidR="00382270" w:rsidRPr="00CA4D73" w:rsidRDefault="00382270" w:rsidP="00D925C8">
      <w:pPr>
        <w:pStyle w:val="ListParagraph"/>
        <w:numPr>
          <w:ilvl w:val="0"/>
          <w:numId w:val="71"/>
        </w:numPr>
        <w:bidi/>
        <w:jc w:val="both"/>
        <w:rPr>
          <w:rFonts w:ascii="Traditional Arabic" w:hAnsi="Traditional Arabic" w:cs="Traditional Arabic"/>
          <w:b/>
          <w:sz w:val="30"/>
          <w:szCs w:val="30"/>
          <w:rtl/>
          <w:lang w:val="en-GB" w:bidi="ar-EG"/>
        </w:rPr>
      </w:pPr>
      <w:r w:rsidRPr="00CA4D73">
        <w:rPr>
          <w:rFonts w:ascii="Traditional Arabic" w:hAnsi="Traditional Arabic" w:cs="Traditional Arabic" w:hint="eastAsia"/>
          <w:b/>
          <w:sz w:val="30"/>
          <w:szCs w:val="30"/>
          <w:rtl/>
          <w:lang w:val="en-GB" w:bidi="ar-EG"/>
        </w:rPr>
        <w:t>البنك</w:t>
      </w:r>
      <w:r w:rsidRPr="00CA4D73">
        <w:rPr>
          <w:rFonts w:ascii="Traditional Arabic" w:hAnsi="Traditional Arabic" w:cs="Traditional Arabic"/>
          <w:b/>
          <w:sz w:val="30"/>
          <w:szCs w:val="30"/>
          <w:rtl/>
          <w:lang w:val="en-GB" w:bidi="ar-EG"/>
        </w:rPr>
        <w:t xml:space="preserve"> </w:t>
      </w:r>
      <w:r w:rsidRPr="00CA4D73">
        <w:rPr>
          <w:rFonts w:ascii="Traditional Arabic" w:hAnsi="Traditional Arabic" w:cs="Traditional Arabic" w:hint="eastAsia"/>
          <w:b/>
          <w:sz w:val="30"/>
          <w:szCs w:val="30"/>
          <w:rtl/>
          <w:lang w:val="en-GB" w:bidi="ar-EG"/>
        </w:rPr>
        <w:t>الوطني</w:t>
      </w:r>
      <w:r w:rsidRPr="00CA4D73">
        <w:rPr>
          <w:rFonts w:ascii="Traditional Arabic" w:hAnsi="Traditional Arabic" w:cs="Traditional Arabic"/>
          <w:b/>
          <w:sz w:val="30"/>
          <w:szCs w:val="30"/>
          <w:rtl/>
          <w:lang w:val="en-GB" w:bidi="ar-EG"/>
        </w:rPr>
        <w:t xml:space="preserve"> </w:t>
      </w:r>
      <w:r w:rsidRPr="00CA4D73">
        <w:rPr>
          <w:rFonts w:ascii="Traditional Arabic" w:hAnsi="Traditional Arabic" w:cs="Traditional Arabic" w:hint="eastAsia"/>
          <w:b/>
          <w:sz w:val="30"/>
          <w:szCs w:val="30"/>
          <w:rtl/>
          <w:lang w:val="en-GB" w:bidi="ar-EG"/>
        </w:rPr>
        <w:t>العماني</w:t>
      </w:r>
      <w:r w:rsidRPr="00CA4D73">
        <w:rPr>
          <w:rFonts w:ascii="Traditional Arabic" w:hAnsi="Traditional Arabic" w:cs="Traditional Arabic"/>
          <w:b/>
          <w:sz w:val="30"/>
          <w:szCs w:val="30"/>
          <w:rtl/>
          <w:lang w:val="en-GB" w:bidi="ar-EG"/>
        </w:rPr>
        <w:t xml:space="preserve"> </w:t>
      </w:r>
      <w:r w:rsidRPr="00CA4D73">
        <w:rPr>
          <w:rFonts w:ascii="Traditional Arabic" w:hAnsi="Traditional Arabic" w:cs="Traditional Arabic" w:hint="eastAsia"/>
          <w:b/>
          <w:sz w:val="30"/>
          <w:szCs w:val="30"/>
          <w:rtl/>
          <w:lang w:val="en-GB" w:bidi="ar-EG"/>
        </w:rPr>
        <w:t>ش</w:t>
      </w:r>
      <w:r w:rsidRPr="00CA4D73">
        <w:rPr>
          <w:rFonts w:ascii="Traditional Arabic" w:hAnsi="Traditional Arabic" w:cs="Traditional Arabic"/>
          <w:b/>
          <w:sz w:val="30"/>
          <w:szCs w:val="30"/>
          <w:rtl/>
          <w:lang w:val="en-GB" w:bidi="ar-EG"/>
        </w:rPr>
        <w:t>.م.ع.ع</w:t>
      </w:r>
    </w:p>
    <w:p w14:paraId="7A181BD9" w14:textId="77777777" w:rsidR="00382270" w:rsidRPr="00CA4D73" w:rsidRDefault="00382270" w:rsidP="00D925C8">
      <w:pPr>
        <w:pStyle w:val="ListParagraph"/>
        <w:numPr>
          <w:ilvl w:val="0"/>
          <w:numId w:val="71"/>
        </w:numPr>
        <w:bidi/>
        <w:jc w:val="both"/>
        <w:rPr>
          <w:rFonts w:ascii="Traditional Arabic" w:hAnsi="Traditional Arabic" w:cs="Traditional Arabic"/>
          <w:b/>
          <w:sz w:val="30"/>
          <w:szCs w:val="30"/>
          <w:rtl/>
        </w:rPr>
      </w:pPr>
      <w:r w:rsidRPr="00CA4D73">
        <w:rPr>
          <w:rFonts w:ascii="Traditional Arabic" w:hAnsi="Traditional Arabic" w:cs="Traditional Arabic" w:hint="eastAsia"/>
          <w:b/>
          <w:sz w:val="30"/>
          <w:szCs w:val="30"/>
          <w:rtl/>
          <w:lang w:val="en-GB" w:bidi="ar-EG"/>
        </w:rPr>
        <w:t>بنك</w:t>
      </w:r>
      <w:r w:rsidRPr="00CA4D73">
        <w:rPr>
          <w:rFonts w:ascii="Traditional Arabic" w:hAnsi="Traditional Arabic" w:cs="Traditional Arabic"/>
          <w:b/>
          <w:sz w:val="30"/>
          <w:szCs w:val="30"/>
          <w:rtl/>
          <w:lang w:val="en-GB" w:bidi="ar-EG"/>
        </w:rPr>
        <w:t xml:space="preserve"> </w:t>
      </w:r>
      <w:r w:rsidRPr="00CA4D73">
        <w:rPr>
          <w:rFonts w:ascii="Traditional Arabic" w:hAnsi="Traditional Arabic" w:cs="Traditional Arabic" w:hint="eastAsia"/>
          <w:b/>
          <w:sz w:val="30"/>
          <w:szCs w:val="30"/>
          <w:rtl/>
          <w:lang w:val="en-GB" w:bidi="ar-EG"/>
        </w:rPr>
        <w:t>عمان</w:t>
      </w:r>
      <w:r w:rsidRPr="00CA4D73">
        <w:rPr>
          <w:rFonts w:ascii="Traditional Arabic" w:hAnsi="Traditional Arabic" w:cs="Traditional Arabic"/>
          <w:b/>
          <w:sz w:val="30"/>
          <w:szCs w:val="30"/>
          <w:rtl/>
          <w:lang w:val="en-GB" w:bidi="ar-EG"/>
        </w:rPr>
        <w:t xml:space="preserve"> </w:t>
      </w:r>
      <w:r w:rsidRPr="00CA4D73">
        <w:rPr>
          <w:rFonts w:ascii="Traditional Arabic" w:hAnsi="Traditional Arabic" w:cs="Traditional Arabic" w:hint="eastAsia"/>
          <w:b/>
          <w:sz w:val="30"/>
          <w:szCs w:val="30"/>
          <w:rtl/>
          <w:lang w:val="en-GB" w:bidi="ar-EG"/>
        </w:rPr>
        <w:t>العربي</w:t>
      </w:r>
      <w:r w:rsidRPr="00CA4D73">
        <w:rPr>
          <w:rFonts w:ascii="Traditional Arabic" w:hAnsi="Traditional Arabic" w:cs="Traditional Arabic"/>
          <w:b/>
          <w:sz w:val="30"/>
          <w:szCs w:val="30"/>
          <w:rtl/>
          <w:lang w:val="en-GB" w:bidi="ar-EG"/>
        </w:rPr>
        <w:t xml:space="preserve"> </w:t>
      </w:r>
      <w:r w:rsidRPr="00CA4D73">
        <w:rPr>
          <w:rFonts w:ascii="Traditional Arabic" w:hAnsi="Traditional Arabic" w:cs="Traditional Arabic" w:hint="eastAsia"/>
          <w:b/>
          <w:sz w:val="30"/>
          <w:szCs w:val="30"/>
          <w:rtl/>
          <w:lang w:val="en-GB" w:bidi="ar-EG"/>
        </w:rPr>
        <w:t>ش</w:t>
      </w:r>
      <w:r w:rsidRPr="00CA4D73">
        <w:rPr>
          <w:rFonts w:ascii="Traditional Arabic" w:hAnsi="Traditional Arabic" w:cs="Traditional Arabic"/>
          <w:b/>
          <w:sz w:val="30"/>
          <w:szCs w:val="30"/>
          <w:rtl/>
          <w:lang w:val="en-GB" w:bidi="ar-EG"/>
        </w:rPr>
        <w:t>.م.ع.ع</w:t>
      </w:r>
    </w:p>
    <w:p w14:paraId="09F15816" w14:textId="77777777" w:rsidR="00382270" w:rsidRPr="00CA4D73" w:rsidRDefault="00382270" w:rsidP="00D925C8">
      <w:pPr>
        <w:pStyle w:val="ListParagraph"/>
        <w:numPr>
          <w:ilvl w:val="0"/>
          <w:numId w:val="71"/>
        </w:numPr>
        <w:bidi/>
        <w:jc w:val="both"/>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الافاق</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لأسواق</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المال</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.م.ع.م</w:t>
      </w:r>
    </w:p>
    <w:p w14:paraId="0ACCE809" w14:textId="77777777" w:rsidR="00382270" w:rsidRPr="00CA4D73" w:rsidRDefault="00382270" w:rsidP="00D925C8">
      <w:pPr>
        <w:pStyle w:val="ListParagraph"/>
        <w:numPr>
          <w:ilvl w:val="0"/>
          <w:numId w:val="71"/>
        </w:numPr>
        <w:bidi/>
        <w:jc w:val="both"/>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جبل</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لإدارة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الأصول</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.م.م</w:t>
      </w:r>
    </w:p>
    <w:p w14:paraId="71EE62E7" w14:textId="77777777" w:rsidR="00382270" w:rsidRPr="00CA4D73" w:rsidRDefault="00382270" w:rsidP="00D925C8">
      <w:pPr>
        <w:pStyle w:val="ListParagraph"/>
        <w:numPr>
          <w:ilvl w:val="0"/>
          <w:numId w:val="71"/>
        </w:numPr>
        <w:bidi/>
        <w:jc w:val="both"/>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شركة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اوبار</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للاستثمارات</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المالية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.م.ع.م</w:t>
      </w:r>
    </w:p>
    <w:p w14:paraId="61553C9D" w14:textId="77777777" w:rsidR="00382270" w:rsidRPr="00CA4D73" w:rsidRDefault="00382270" w:rsidP="00D925C8">
      <w:pPr>
        <w:pStyle w:val="ListParagraph"/>
        <w:numPr>
          <w:ilvl w:val="0"/>
          <w:numId w:val="71"/>
        </w:numPr>
        <w:bidi/>
        <w:jc w:val="both"/>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الشركة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المتحدة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للأوراق</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المالية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.م.م</w:t>
      </w:r>
    </w:p>
    <w:p w14:paraId="1E034740" w14:textId="77777777" w:rsidR="00382270" w:rsidRPr="00CA4D73" w:rsidRDefault="00382270" w:rsidP="00D925C8">
      <w:pPr>
        <w:pStyle w:val="ListParagraph"/>
        <w:numPr>
          <w:ilvl w:val="0"/>
          <w:numId w:val="71"/>
        </w:numPr>
        <w:bidi/>
        <w:jc w:val="both"/>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الرؤية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للأوراق</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المالية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.م.م</w:t>
      </w:r>
    </w:p>
    <w:p w14:paraId="7ED13185" w14:textId="77777777" w:rsidR="00382270" w:rsidRPr="003832A3" w:rsidRDefault="00382270" w:rsidP="00D925C8">
      <w:pPr>
        <w:pStyle w:val="ListParagraph"/>
        <w:numPr>
          <w:ilvl w:val="0"/>
          <w:numId w:val="71"/>
        </w:numPr>
        <w:bidi/>
        <w:jc w:val="both"/>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سي</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اف</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اي</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المالية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.م.م</w:t>
      </w:r>
      <w:r w:rsidRPr="00CA4D73">
        <w:rPr>
          <w:rFonts w:ascii="Traditional Arabic" w:hAnsi="Traditional Arabic" w:cs="Traditional Arabic"/>
          <w:b/>
          <w:sz w:val="30"/>
          <w:szCs w:val="30"/>
          <w:rtl/>
          <w:lang w:val="en-GB" w:bidi="ar-EG"/>
        </w:rPr>
        <w:t xml:space="preserve">  </w:t>
      </w:r>
    </w:p>
    <w:p w14:paraId="3A65C243" w14:textId="77777777" w:rsidR="00FD251E" w:rsidRPr="00CA4D73" w:rsidRDefault="00397020" w:rsidP="00D925C8">
      <w:pPr>
        <w:pStyle w:val="ListParagraph"/>
        <w:numPr>
          <w:ilvl w:val="0"/>
          <w:numId w:val="71"/>
        </w:numPr>
        <w:bidi/>
        <w:jc w:val="both"/>
        <w:rPr>
          <w:rFonts w:ascii="Traditional Arabic" w:hAnsi="Traditional Arabic" w:cs="Traditional Arabic"/>
          <w:sz w:val="30"/>
          <w:szCs w:val="30"/>
          <w:rtl/>
        </w:rPr>
      </w:pPr>
      <w:r w:rsidRPr="0080296D">
        <w:rPr>
          <w:rFonts w:ascii="Traditional Arabic" w:hAnsi="Traditional Arabic" w:cs="Traditional Arabic"/>
          <w:sz w:val="30"/>
          <w:szCs w:val="30"/>
          <w:rtl/>
        </w:rPr>
        <w:t>شركة الخدمات المالية ش</w:t>
      </w:r>
      <w:r>
        <w:rPr>
          <w:rFonts w:ascii="Traditional Arabic" w:hAnsi="Traditional Arabic" w:cs="Traditional Arabic" w:hint="cs"/>
          <w:sz w:val="30"/>
          <w:szCs w:val="30"/>
          <w:rtl/>
        </w:rPr>
        <w:t>.</w:t>
      </w:r>
      <w:r w:rsidRPr="0080296D">
        <w:rPr>
          <w:rFonts w:ascii="Traditional Arabic" w:hAnsi="Traditional Arabic" w:cs="Traditional Arabic"/>
          <w:sz w:val="30"/>
          <w:szCs w:val="30"/>
          <w:rtl/>
        </w:rPr>
        <w:t>م</w:t>
      </w:r>
      <w:r>
        <w:rPr>
          <w:rFonts w:ascii="Traditional Arabic" w:hAnsi="Traditional Arabic" w:cs="Traditional Arabic" w:hint="cs"/>
          <w:sz w:val="30"/>
          <w:szCs w:val="30"/>
          <w:rtl/>
        </w:rPr>
        <w:t>.</w:t>
      </w:r>
      <w:r w:rsidRPr="0080296D">
        <w:rPr>
          <w:rFonts w:ascii="Traditional Arabic" w:hAnsi="Traditional Arabic" w:cs="Traditional Arabic"/>
          <w:sz w:val="30"/>
          <w:szCs w:val="30"/>
          <w:rtl/>
        </w:rPr>
        <w:t>ع</w:t>
      </w:r>
      <w:r>
        <w:rPr>
          <w:rFonts w:ascii="Traditional Arabic" w:hAnsi="Traditional Arabic" w:cs="Traditional Arabic" w:hint="cs"/>
          <w:sz w:val="30"/>
          <w:szCs w:val="30"/>
          <w:rtl/>
        </w:rPr>
        <w:t>.</w:t>
      </w:r>
      <w:r w:rsidRPr="0080296D">
        <w:rPr>
          <w:rFonts w:ascii="Traditional Arabic" w:hAnsi="Traditional Arabic" w:cs="Traditional Arabic"/>
          <w:sz w:val="30"/>
          <w:szCs w:val="30"/>
          <w:rtl/>
        </w:rPr>
        <w:t>ع</w:t>
      </w:r>
    </w:p>
    <w:p w14:paraId="6CDA636C" w14:textId="77777777" w:rsidR="00C53B7B" w:rsidRPr="00785453" w:rsidRDefault="00C53B7B" w:rsidP="00C53B7B">
      <w:pPr>
        <w:bidi/>
        <w:rPr>
          <w:rFonts w:ascii="Traditional Arabic" w:hAnsi="Traditional Arabic" w:cs="Traditional Arabic"/>
          <w:sz w:val="30"/>
          <w:szCs w:val="30"/>
          <w:rtl/>
        </w:rPr>
      </w:pPr>
    </w:p>
    <w:p w14:paraId="11251355" w14:textId="77777777" w:rsidR="00C53B7B" w:rsidRPr="00785453" w:rsidRDefault="00C53B7B" w:rsidP="00C53B7B">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قبول طلبات الاكتتاب</w:t>
      </w:r>
    </w:p>
    <w:p w14:paraId="56636956" w14:textId="77777777" w:rsidR="00C53B7B" w:rsidRPr="00785453" w:rsidRDefault="00C53B7B" w:rsidP="00C53B7B">
      <w:pPr>
        <w:bidi/>
        <w:rPr>
          <w:rFonts w:ascii="Traditional Arabic" w:hAnsi="Traditional Arabic" w:cs="Traditional Arabic"/>
          <w:sz w:val="30"/>
          <w:szCs w:val="30"/>
        </w:rPr>
      </w:pPr>
      <w:r w:rsidRPr="00785453">
        <w:rPr>
          <w:rFonts w:ascii="Traditional Arabic" w:hAnsi="Traditional Arabic" w:cs="Traditional Arabic"/>
          <w:sz w:val="30"/>
          <w:szCs w:val="30"/>
          <w:rtl/>
        </w:rPr>
        <w:t xml:space="preserve">لن يقبل </w:t>
      </w:r>
      <w:r w:rsidRPr="00785453">
        <w:rPr>
          <w:rFonts w:ascii="Traditional Arabic" w:hAnsi="Traditional Arabic" w:cs="Traditional Arabic"/>
          <w:sz w:val="30"/>
          <w:szCs w:val="30"/>
          <w:rtl/>
          <w:lang w:bidi="ar-EG"/>
        </w:rPr>
        <w:t>مدير الإصدار أو وكلاء الاكتتاب</w:t>
      </w:r>
      <w:r w:rsidRPr="00785453">
        <w:rPr>
          <w:rFonts w:ascii="Traditional Arabic" w:hAnsi="Traditional Arabic" w:cs="Traditional Arabic"/>
          <w:sz w:val="30"/>
          <w:szCs w:val="30"/>
          <w:rtl/>
        </w:rPr>
        <w:t xml:space="preserve"> طلبات الاكتتاب في الحالات التالية:</w:t>
      </w:r>
    </w:p>
    <w:tbl>
      <w:tblPr>
        <w:tblW w:w="10652" w:type="dxa"/>
        <w:tblLook w:val="01E0" w:firstRow="1" w:lastRow="1" w:firstColumn="1" w:lastColumn="1" w:noHBand="0" w:noVBand="0"/>
      </w:tblPr>
      <w:tblGrid>
        <w:gridCol w:w="9356"/>
        <w:gridCol w:w="1296"/>
      </w:tblGrid>
      <w:tr w:rsidR="00C53B7B" w:rsidRPr="00785453" w14:paraId="7DE9390A" w14:textId="77777777" w:rsidTr="00826D63">
        <w:tc>
          <w:tcPr>
            <w:tcW w:w="9356" w:type="dxa"/>
          </w:tcPr>
          <w:p w14:paraId="3ECCF0B1" w14:textId="77777777" w:rsidR="00C53B7B" w:rsidRPr="00785453" w:rsidRDefault="00C53B7B" w:rsidP="00922116">
            <w:pPr>
              <w:pStyle w:val="ListParagraph"/>
              <w:numPr>
                <w:ilvl w:val="0"/>
                <w:numId w:val="38"/>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إذا لم يكن طلب الاكتتاب موقعاً من قبل المكتتب.</w:t>
            </w:r>
          </w:p>
        </w:tc>
        <w:tc>
          <w:tcPr>
            <w:tcW w:w="1296" w:type="dxa"/>
          </w:tcPr>
          <w:p w14:paraId="573A9815" w14:textId="77777777" w:rsidR="00C53B7B" w:rsidRPr="00785453" w:rsidRDefault="00C53B7B" w:rsidP="00922116">
            <w:pPr>
              <w:bidi/>
              <w:rPr>
                <w:rFonts w:ascii="Traditional Arabic" w:hAnsi="Traditional Arabic" w:cs="Traditional Arabic"/>
                <w:sz w:val="30"/>
                <w:szCs w:val="30"/>
                <w:rtl/>
              </w:rPr>
            </w:pPr>
          </w:p>
        </w:tc>
      </w:tr>
      <w:tr w:rsidR="00C53B7B" w:rsidRPr="00785453" w14:paraId="1C3E8526" w14:textId="77777777" w:rsidTr="00826D63">
        <w:tc>
          <w:tcPr>
            <w:tcW w:w="9356" w:type="dxa"/>
          </w:tcPr>
          <w:p w14:paraId="773E258C" w14:textId="77777777" w:rsidR="00C53B7B" w:rsidRPr="00785453" w:rsidRDefault="00C53B7B" w:rsidP="00922116">
            <w:pPr>
              <w:pStyle w:val="ListParagraph"/>
              <w:numPr>
                <w:ilvl w:val="0"/>
                <w:numId w:val="38"/>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إذا لم تُسدد قيمة الأسهم المكتتب بها طبقاً للشروط الواردة في هذه النشرة.</w:t>
            </w:r>
          </w:p>
        </w:tc>
        <w:tc>
          <w:tcPr>
            <w:tcW w:w="1296" w:type="dxa"/>
          </w:tcPr>
          <w:p w14:paraId="263361E0" w14:textId="77777777" w:rsidR="00C53B7B" w:rsidRPr="00785453" w:rsidRDefault="00C53B7B" w:rsidP="00922116">
            <w:pPr>
              <w:bidi/>
              <w:rPr>
                <w:rFonts w:ascii="Traditional Arabic" w:hAnsi="Traditional Arabic" w:cs="Traditional Arabic"/>
                <w:sz w:val="30"/>
                <w:szCs w:val="30"/>
                <w:rtl/>
              </w:rPr>
            </w:pPr>
          </w:p>
        </w:tc>
      </w:tr>
      <w:tr w:rsidR="00C53B7B" w:rsidRPr="00785453" w14:paraId="08A3DDC9" w14:textId="77777777" w:rsidTr="00826D63">
        <w:tc>
          <w:tcPr>
            <w:tcW w:w="9356" w:type="dxa"/>
          </w:tcPr>
          <w:p w14:paraId="2586D42E" w14:textId="77777777" w:rsidR="00C53B7B" w:rsidRPr="00785453" w:rsidRDefault="00C53B7B" w:rsidP="00922116">
            <w:pPr>
              <w:pStyle w:val="ListParagraph"/>
              <w:numPr>
                <w:ilvl w:val="0"/>
                <w:numId w:val="38"/>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إذا لم يتضمن الطلب رقم المستثمر المقيد لدى شركة مسقط للمقاصة والإيداع.</w:t>
            </w:r>
          </w:p>
        </w:tc>
        <w:tc>
          <w:tcPr>
            <w:tcW w:w="1296" w:type="dxa"/>
          </w:tcPr>
          <w:p w14:paraId="4086A63A" w14:textId="77777777" w:rsidR="00C53B7B" w:rsidRPr="00785453" w:rsidRDefault="00C53B7B" w:rsidP="00922116">
            <w:pPr>
              <w:bidi/>
              <w:rPr>
                <w:rFonts w:ascii="Traditional Arabic" w:hAnsi="Traditional Arabic" w:cs="Traditional Arabic"/>
                <w:sz w:val="30"/>
                <w:szCs w:val="30"/>
                <w:rtl/>
              </w:rPr>
            </w:pPr>
          </w:p>
        </w:tc>
      </w:tr>
      <w:tr w:rsidR="00C53B7B" w:rsidRPr="00785453" w14:paraId="0D41DD56" w14:textId="77777777" w:rsidTr="00826D63">
        <w:tc>
          <w:tcPr>
            <w:tcW w:w="9356" w:type="dxa"/>
          </w:tcPr>
          <w:p w14:paraId="11800BEA" w14:textId="77777777" w:rsidR="00C53B7B" w:rsidRPr="00785453" w:rsidRDefault="00C53B7B" w:rsidP="00922116">
            <w:pPr>
              <w:pStyle w:val="ListParagraph"/>
              <w:numPr>
                <w:ilvl w:val="0"/>
                <w:numId w:val="38"/>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إذا قُدم طلب الاكتتاب بأكثر من اسم.</w:t>
            </w:r>
          </w:p>
        </w:tc>
        <w:tc>
          <w:tcPr>
            <w:tcW w:w="1296" w:type="dxa"/>
          </w:tcPr>
          <w:p w14:paraId="7855C3B5" w14:textId="77777777" w:rsidR="00C53B7B" w:rsidRPr="00785453" w:rsidRDefault="00C53B7B" w:rsidP="00922116">
            <w:pPr>
              <w:bidi/>
              <w:rPr>
                <w:rFonts w:ascii="Traditional Arabic" w:hAnsi="Traditional Arabic" w:cs="Traditional Arabic"/>
                <w:sz w:val="30"/>
                <w:szCs w:val="30"/>
                <w:rtl/>
              </w:rPr>
            </w:pPr>
          </w:p>
        </w:tc>
      </w:tr>
      <w:tr w:rsidR="00C53B7B" w:rsidRPr="00785453" w14:paraId="2FA8BAEE" w14:textId="77777777" w:rsidTr="00826D63">
        <w:tc>
          <w:tcPr>
            <w:tcW w:w="9356" w:type="dxa"/>
          </w:tcPr>
          <w:p w14:paraId="32D4D2FB" w14:textId="77777777" w:rsidR="00C53B7B" w:rsidRPr="00785453" w:rsidRDefault="00C53B7B" w:rsidP="00922116">
            <w:pPr>
              <w:pStyle w:val="ListParagraph"/>
              <w:numPr>
                <w:ilvl w:val="0"/>
                <w:numId w:val="38"/>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إذا كان المكتتب مؤسسة فردية أو حساب عهدة.</w:t>
            </w:r>
          </w:p>
        </w:tc>
        <w:tc>
          <w:tcPr>
            <w:tcW w:w="1296" w:type="dxa"/>
          </w:tcPr>
          <w:p w14:paraId="29AEBD81" w14:textId="77777777" w:rsidR="00C53B7B" w:rsidRPr="00785453" w:rsidRDefault="00C53B7B" w:rsidP="00922116">
            <w:pPr>
              <w:bidi/>
              <w:rPr>
                <w:rFonts w:ascii="Traditional Arabic" w:hAnsi="Traditional Arabic" w:cs="Traditional Arabic"/>
                <w:sz w:val="30"/>
                <w:szCs w:val="30"/>
                <w:rtl/>
              </w:rPr>
            </w:pPr>
          </w:p>
        </w:tc>
      </w:tr>
      <w:tr w:rsidR="00C53B7B" w:rsidRPr="00785453" w14:paraId="73E1C453" w14:textId="77777777" w:rsidTr="00826D63">
        <w:tc>
          <w:tcPr>
            <w:tcW w:w="9356" w:type="dxa"/>
          </w:tcPr>
          <w:p w14:paraId="771817B8" w14:textId="77777777" w:rsidR="00C53B7B" w:rsidRPr="00785453" w:rsidRDefault="00C53B7B" w:rsidP="00922116">
            <w:pPr>
              <w:pStyle w:val="ListParagraph"/>
              <w:numPr>
                <w:ilvl w:val="0"/>
                <w:numId w:val="38"/>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إذا تبين أن رقم المستثمر المقيد بطلب الاكتتاب غير صحيح.</w:t>
            </w:r>
          </w:p>
        </w:tc>
        <w:tc>
          <w:tcPr>
            <w:tcW w:w="1296" w:type="dxa"/>
          </w:tcPr>
          <w:p w14:paraId="7252F72F" w14:textId="77777777" w:rsidR="00C53B7B" w:rsidRPr="00785453" w:rsidRDefault="00C53B7B" w:rsidP="00922116">
            <w:pPr>
              <w:bidi/>
              <w:rPr>
                <w:rFonts w:ascii="Traditional Arabic" w:hAnsi="Traditional Arabic" w:cs="Traditional Arabic"/>
                <w:sz w:val="30"/>
                <w:szCs w:val="30"/>
                <w:rtl/>
              </w:rPr>
            </w:pPr>
          </w:p>
        </w:tc>
      </w:tr>
      <w:tr w:rsidR="00C53B7B" w:rsidRPr="00785453" w14:paraId="558BB77A" w14:textId="77777777" w:rsidTr="00826D63">
        <w:trPr>
          <w:trHeight w:val="666"/>
        </w:trPr>
        <w:tc>
          <w:tcPr>
            <w:tcW w:w="9356" w:type="dxa"/>
          </w:tcPr>
          <w:p w14:paraId="3735A6E7" w14:textId="77777777" w:rsidR="00C53B7B" w:rsidRPr="00785453" w:rsidRDefault="00C53B7B" w:rsidP="00922116">
            <w:pPr>
              <w:pStyle w:val="ListParagraph"/>
              <w:numPr>
                <w:ilvl w:val="0"/>
                <w:numId w:val="38"/>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إذا تبين إن الشخص قد تقدم بأكثر من طلب اكتتاب واحد بنفس الاسم، وفي هذه الحالة سوف تُرفض جميع الطلبات.</w:t>
            </w:r>
          </w:p>
        </w:tc>
        <w:tc>
          <w:tcPr>
            <w:tcW w:w="1296" w:type="dxa"/>
          </w:tcPr>
          <w:p w14:paraId="2050C469" w14:textId="77777777" w:rsidR="00C53B7B" w:rsidRPr="00785453" w:rsidRDefault="00C53B7B" w:rsidP="00922116">
            <w:pPr>
              <w:bidi/>
              <w:rPr>
                <w:rFonts w:ascii="Traditional Arabic" w:hAnsi="Traditional Arabic" w:cs="Traditional Arabic"/>
                <w:sz w:val="30"/>
                <w:szCs w:val="30"/>
                <w:rtl/>
              </w:rPr>
            </w:pPr>
          </w:p>
        </w:tc>
      </w:tr>
      <w:tr w:rsidR="00C53B7B" w:rsidRPr="00785453" w14:paraId="53C7AB96" w14:textId="77777777" w:rsidTr="00826D63">
        <w:tc>
          <w:tcPr>
            <w:tcW w:w="9356" w:type="dxa"/>
          </w:tcPr>
          <w:p w14:paraId="6C0A9A29" w14:textId="77777777" w:rsidR="00C53B7B" w:rsidRPr="00785453" w:rsidRDefault="00C53B7B" w:rsidP="00922116">
            <w:pPr>
              <w:pStyle w:val="ListParagraph"/>
              <w:numPr>
                <w:ilvl w:val="0"/>
                <w:numId w:val="38"/>
              </w:numPr>
              <w:bidi/>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إذا لم يُرفق بالطلب الوثائق الثبوتية المنصوص عليها في هذه النشرة. </w:t>
            </w:r>
          </w:p>
        </w:tc>
        <w:tc>
          <w:tcPr>
            <w:tcW w:w="1296" w:type="dxa"/>
          </w:tcPr>
          <w:p w14:paraId="6DC904BD" w14:textId="77777777" w:rsidR="00C53B7B" w:rsidRPr="00785453" w:rsidRDefault="00C53B7B" w:rsidP="00922116">
            <w:pPr>
              <w:bidi/>
              <w:rPr>
                <w:rFonts w:ascii="Traditional Arabic" w:hAnsi="Traditional Arabic" w:cs="Traditional Arabic"/>
                <w:sz w:val="30"/>
                <w:szCs w:val="30"/>
                <w:rtl/>
              </w:rPr>
            </w:pPr>
          </w:p>
        </w:tc>
      </w:tr>
      <w:tr w:rsidR="00C53B7B" w:rsidRPr="00785453" w14:paraId="002AAA17" w14:textId="77777777" w:rsidTr="00826D63">
        <w:tc>
          <w:tcPr>
            <w:tcW w:w="9356" w:type="dxa"/>
          </w:tcPr>
          <w:p w14:paraId="2E0E8D1C" w14:textId="77777777" w:rsidR="00C53B7B" w:rsidRPr="00785453" w:rsidRDefault="00C53B7B" w:rsidP="00922116">
            <w:pPr>
              <w:pStyle w:val="ListParagraph"/>
              <w:numPr>
                <w:ilvl w:val="0"/>
                <w:numId w:val="38"/>
              </w:numPr>
              <w:bidi/>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إذا لم يتضمن الطلب جميع تفاصيل الحساب المصرفي للمكتتب. </w:t>
            </w:r>
          </w:p>
          <w:p w14:paraId="7F48290F" w14:textId="77777777" w:rsidR="00C53B7B" w:rsidRPr="00785453" w:rsidRDefault="00C53B7B" w:rsidP="00922116">
            <w:pPr>
              <w:pStyle w:val="ListParagraph"/>
              <w:numPr>
                <w:ilvl w:val="0"/>
                <w:numId w:val="38"/>
              </w:numPr>
              <w:bidi/>
              <w:rPr>
                <w:rFonts w:ascii="Traditional Arabic" w:hAnsi="Traditional Arabic" w:cs="Traditional Arabic"/>
                <w:sz w:val="30"/>
                <w:szCs w:val="30"/>
                <w:rtl/>
              </w:rPr>
            </w:pPr>
            <w:r w:rsidRPr="00785453">
              <w:rPr>
                <w:rFonts w:ascii="Traditional Arabic" w:hAnsi="Traditional Arabic" w:cs="Traditional Arabic"/>
                <w:sz w:val="30"/>
                <w:szCs w:val="30"/>
                <w:rtl/>
              </w:rPr>
              <w:t>إذا تبين أن تفاصيل الحساب البنكي التي تم تقديمها في الطلب غير صحيحة أو ليست ذات صلة فيما عدا الطلبات المقدمة بأسماء القاصرين المسموح لهم باستخدام تفاصيل الحسابات البنكية المملوكة لوالديهم.</w:t>
            </w:r>
          </w:p>
        </w:tc>
        <w:tc>
          <w:tcPr>
            <w:tcW w:w="1296" w:type="dxa"/>
          </w:tcPr>
          <w:p w14:paraId="0E5C2601" w14:textId="77777777" w:rsidR="00C53B7B" w:rsidRPr="00785453" w:rsidRDefault="00C53B7B" w:rsidP="00922116">
            <w:pPr>
              <w:bidi/>
              <w:rPr>
                <w:rFonts w:ascii="Traditional Arabic" w:hAnsi="Traditional Arabic" w:cs="Traditional Arabic"/>
                <w:sz w:val="30"/>
                <w:szCs w:val="30"/>
                <w:rtl/>
              </w:rPr>
            </w:pPr>
          </w:p>
        </w:tc>
      </w:tr>
      <w:tr w:rsidR="00C53B7B" w:rsidRPr="00785453" w14:paraId="224EE74A" w14:textId="77777777" w:rsidTr="00826D63">
        <w:tc>
          <w:tcPr>
            <w:tcW w:w="9356" w:type="dxa"/>
          </w:tcPr>
          <w:p w14:paraId="7FCBF0E5" w14:textId="77777777" w:rsidR="00C53B7B" w:rsidRPr="00785453" w:rsidRDefault="00C53B7B" w:rsidP="00922116">
            <w:pPr>
              <w:pStyle w:val="ListParagraph"/>
              <w:numPr>
                <w:ilvl w:val="0"/>
                <w:numId w:val="38"/>
              </w:numPr>
              <w:bidi/>
              <w:rPr>
                <w:rFonts w:ascii="Traditional Arabic" w:hAnsi="Traditional Arabic" w:cs="Traditional Arabic"/>
                <w:sz w:val="30"/>
                <w:szCs w:val="30"/>
              </w:rPr>
            </w:pPr>
            <w:r w:rsidRPr="00785453">
              <w:rPr>
                <w:rFonts w:ascii="Traditional Arabic" w:hAnsi="Traditional Arabic" w:cs="Traditional Arabic"/>
                <w:sz w:val="30"/>
                <w:szCs w:val="30"/>
                <w:rtl/>
              </w:rPr>
              <w:lastRenderedPageBreak/>
              <w:t>إذا لم يُرفق بالطلب الوكالة القانونية للمكتتب الذي يتقدم بطلب الاكتتاب نيابة عن شخص آخر (باستثناء الآباء الذين يكتتبون نيابة عن أطفالهم القاصرين).</w:t>
            </w:r>
          </w:p>
          <w:p w14:paraId="4DE57867" w14:textId="77777777" w:rsidR="00C53B7B" w:rsidRPr="00785453" w:rsidRDefault="00C53B7B" w:rsidP="00922116">
            <w:pPr>
              <w:pStyle w:val="ListParagraph"/>
              <w:numPr>
                <w:ilvl w:val="0"/>
                <w:numId w:val="38"/>
              </w:numPr>
              <w:bidi/>
              <w:rPr>
                <w:rFonts w:ascii="Traditional Arabic" w:hAnsi="Traditional Arabic" w:cs="Traditional Arabic"/>
                <w:sz w:val="30"/>
                <w:szCs w:val="30"/>
                <w:lang w:val="en-GB"/>
              </w:rPr>
            </w:pPr>
            <w:r w:rsidRPr="00785453">
              <w:rPr>
                <w:rFonts w:ascii="Traditional Arabic" w:hAnsi="Traditional Arabic" w:cs="Traditional Arabic"/>
                <w:sz w:val="30"/>
                <w:szCs w:val="30"/>
                <w:rtl/>
              </w:rPr>
              <w:t xml:space="preserve"> إذا لم يتوافق الطلب مع المتطلبات القانونية على النحو المنصوص عليه في هذه النشرة.</w:t>
            </w:r>
          </w:p>
          <w:p w14:paraId="7748EF57" w14:textId="77777777" w:rsidR="00C53B7B" w:rsidRPr="00785453" w:rsidRDefault="00C53B7B" w:rsidP="00922116">
            <w:pPr>
              <w:pStyle w:val="ListParagraph"/>
              <w:bidi/>
              <w:rPr>
                <w:rFonts w:ascii="Traditional Arabic" w:hAnsi="Traditional Arabic" w:cs="Traditional Arabic"/>
                <w:sz w:val="30"/>
                <w:szCs w:val="30"/>
                <w:rtl/>
                <w:lang w:val="en-GB"/>
              </w:rPr>
            </w:pPr>
          </w:p>
        </w:tc>
        <w:tc>
          <w:tcPr>
            <w:tcW w:w="1296" w:type="dxa"/>
          </w:tcPr>
          <w:p w14:paraId="4412DA56" w14:textId="77777777" w:rsidR="00C53B7B" w:rsidRPr="00785453" w:rsidRDefault="00C53B7B" w:rsidP="00922116">
            <w:pPr>
              <w:bidi/>
              <w:rPr>
                <w:rFonts w:ascii="Traditional Arabic" w:hAnsi="Traditional Arabic" w:cs="Traditional Arabic"/>
                <w:sz w:val="30"/>
                <w:szCs w:val="30"/>
                <w:rtl/>
              </w:rPr>
            </w:pPr>
          </w:p>
        </w:tc>
      </w:tr>
    </w:tbl>
    <w:p w14:paraId="480BD7C0" w14:textId="77777777" w:rsidR="00C53B7B" w:rsidRPr="00785453" w:rsidRDefault="00C53B7B" w:rsidP="00C53B7B">
      <w:pPr>
        <w:bidi/>
        <w:rPr>
          <w:rFonts w:ascii="Traditional Arabic" w:hAnsi="Traditional Arabic" w:cs="Traditional Arabic"/>
          <w:sz w:val="30"/>
          <w:szCs w:val="30"/>
          <w:rtl/>
        </w:rPr>
      </w:pPr>
    </w:p>
    <w:p w14:paraId="0960C0BD"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إذا تلقى مدير الإصدار أو وكيل التحصيل طلب اكتتاب غير مستوفٍ للشروط والإجراءات الواردة في هذه النشرة، تعين عليه الاتصال بالمكتتب لجبر الخطأ، وإذا تعذر جبر الخطأ خلال الفترة المذكورة، جاز لمدير الإصدار أو وكيل التحصيل إعادة الطلب ورد قيمة الأسهم المكتتب بها إلى المكتتب.</w:t>
      </w:r>
    </w:p>
    <w:p w14:paraId="5FCEB9EC" w14:textId="77777777" w:rsidR="00C53B7B" w:rsidRPr="00785453" w:rsidRDefault="00C53B7B" w:rsidP="00C53B7B">
      <w:pPr>
        <w:bidi/>
        <w:rPr>
          <w:rFonts w:ascii="Traditional Arabic" w:hAnsi="Traditional Arabic" w:cs="Traditional Arabic"/>
          <w:sz w:val="30"/>
          <w:szCs w:val="30"/>
          <w:rtl/>
        </w:rPr>
      </w:pPr>
    </w:p>
    <w:p w14:paraId="18BF7378" w14:textId="77777777" w:rsidR="00C53B7B" w:rsidRPr="00785453" w:rsidRDefault="00C53B7B" w:rsidP="00C53B7B">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رفض طلبات الاكتتاب</w:t>
      </w:r>
    </w:p>
    <w:p w14:paraId="03BD892E"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يجوز لمدير الإصدار رفض طلبات الاكتتاب في أي من الحالات المشار إليها أعلاه مع مراعاة الحصول على موافقة هيئة الخدمات المالية بعد تقديم تقرير مفصل للهيئة يوضح تفاصيل طلبات الاكتتاب المراد رفضها وأسباب الرفض.</w:t>
      </w:r>
    </w:p>
    <w:p w14:paraId="1944613C" w14:textId="77777777" w:rsidR="00C53B7B" w:rsidRPr="00785453" w:rsidRDefault="00C53B7B" w:rsidP="00C53B7B">
      <w:pPr>
        <w:bidi/>
        <w:rPr>
          <w:rFonts w:ascii="Traditional Arabic" w:hAnsi="Traditional Arabic" w:cs="Traditional Arabic"/>
          <w:sz w:val="30"/>
          <w:szCs w:val="30"/>
          <w:rtl/>
        </w:rPr>
      </w:pPr>
    </w:p>
    <w:p w14:paraId="6F530520" w14:textId="77777777" w:rsidR="00C53B7B" w:rsidRPr="00785453" w:rsidRDefault="00C53B7B" w:rsidP="00C53B7B">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الاستعلام والشكاوى</w:t>
      </w:r>
    </w:p>
    <w:p w14:paraId="5EF87DA8"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يتعين على المستثمرين الذين يرغبون في الاستفسار أو تقديم شكاوى حول الأمور المتعلقة بتخصيص الأسهم أو الطلبات المرفوضة أو رد المبالغ الفائضة، ان يقوموا بالاتصال بوكيل التحصيل الذي تم الاكتتاب عن طريقة. تفاصيل التواصل الخاصة بوكيل الاكتتاب هي كالتالية:</w:t>
      </w:r>
    </w:p>
    <w:p w14:paraId="7DF9788F" w14:textId="77777777" w:rsidR="00C53B7B" w:rsidRPr="00785453" w:rsidRDefault="00C53B7B" w:rsidP="00C53B7B">
      <w:pPr>
        <w:bidi/>
        <w:rPr>
          <w:rFonts w:ascii="Traditional Arabic" w:hAnsi="Traditional Arabic" w:cs="Traditional Arabic"/>
          <w:sz w:val="30"/>
          <w:szCs w:val="30"/>
        </w:rPr>
      </w:pPr>
    </w:p>
    <w:tbl>
      <w:tblPr>
        <w:bidiVisual/>
        <w:tblW w:w="9990"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14"/>
        <w:gridCol w:w="1986"/>
        <w:gridCol w:w="4877"/>
      </w:tblGrid>
      <w:tr w:rsidR="00930362" w:rsidRPr="00785453" w14:paraId="28F13C02" w14:textId="77777777" w:rsidTr="00CA4D73">
        <w:tc>
          <w:tcPr>
            <w:tcW w:w="1505" w:type="dxa"/>
          </w:tcPr>
          <w:p w14:paraId="669300AE" w14:textId="77777777" w:rsidR="00C53B7B" w:rsidRPr="00785453" w:rsidRDefault="00C53B7B" w:rsidP="00922116">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وكيل التحصيل</w:t>
            </w:r>
          </w:p>
        </w:tc>
        <w:tc>
          <w:tcPr>
            <w:tcW w:w="1972" w:type="dxa"/>
          </w:tcPr>
          <w:p w14:paraId="308E016F" w14:textId="77777777" w:rsidR="00C53B7B" w:rsidRPr="00785453" w:rsidRDefault="00C53B7B" w:rsidP="00922116">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الموظف المسؤول</w:t>
            </w:r>
          </w:p>
        </w:tc>
        <w:tc>
          <w:tcPr>
            <w:tcW w:w="2410" w:type="dxa"/>
          </w:tcPr>
          <w:p w14:paraId="52D9BA38" w14:textId="77777777" w:rsidR="00C53B7B" w:rsidRPr="00785453" w:rsidRDefault="00C53B7B" w:rsidP="00922116">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العنوان البريدي</w:t>
            </w:r>
          </w:p>
        </w:tc>
        <w:tc>
          <w:tcPr>
            <w:tcW w:w="4103" w:type="dxa"/>
          </w:tcPr>
          <w:p w14:paraId="05C9C758" w14:textId="77777777" w:rsidR="00C53B7B" w:rsidRPr="00785453" w:rsidRDefault="00C53B7B" w:rsidP="00922116">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rPr>
              <w:t>رقم الهاتف والفاكس والبريد الإلكتروني</w:t>
            </w:r>
          </w:p>
        </w:tc>
      </w:tr>
      <w:tr w:rsidR="00930362" w:rsidRPr="00785453" w14:paraId="6F5492C3" w14:textId="77777777" w:rsidTr="00CA4D73">
        <w:tc>
          <w:tcPr>
            <w:tcW w:w="1505" w:type="dxa"/>
          </w:tcPr>
          <w:p w14:paraId="4997E5AD" w14:textId="77777777" w:rsidR="00EB25E3" w:rsidRPr="00CA4D73" w:rsidRDefault="00EB25E3"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بنك</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صحار</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الدولي</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.م.ع.ع</w:t>
            </w:r>
          </w:p>
          <w:p w14:paraId="63530C97" w14:textId="77777777" w:rsidR="00C53B7B" w:rsidRPr="00785453" w:rsidRDefault="00C53B7B" w:rsidP="00C54F8B">
            <w:pPr>
              <w:bidi/>
              <w:rPr>
                <w:rFonts w:ascii="Traditional Arabic" w:hAnsi="Traditional Arabic" w:cs="Traditional Arabic"/>
                <w:sz w:val="30"/>
                <w:szCs w:val="30"/>
                <w:rtl/>
              </w:rPr>
            </w:pPr>
          </w:p>
        </w:tc>
        <w:tc>
          <w:tcPr>
            <w:tcW w:w="1972" w:type="dxa"/>
          </w:tcPr>
          <w:p w14:paraId="0416E888" w14:textId="77777777" w:rsidR="00C53B7B" w:rsidRDefault="00875540"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حسين علي اللواتي</w:t>
            </w:r>
          </w:p>
          <w:p w14:paraId="7DE35D8E" w14:textId="77777777" w:rsidR="00875540" w:rsidRDefault="00875540"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أمينة البوسعيدي</w:t>
            </w:r>
          </w:p>
          <w:p w14:paraId="1688FA9D" w14:textId="77777777" w:rsidR="00875540" w:rsidRPr="00785453" w:rsidDel="00107212" w:rsidRDefault="00875540"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محمد الشرجي</w:t>
            </w:r>
          </w:p>
        </w:tc>
        <w:tc>
          <w:tcPr>
            <w:tcW w:w="2410" w:type="dxa"/>
          </w:tcPr>
          <w:p w14:paraId="20030D6A" w14:textId="77777777" w:rsidR="00EB25E3" w:rsidRPr="00CA4D73" w:rsidRDefault="00EB25E3"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٤٤، </w:t>
            </w:r>
            <w:r w:rsidRPr="00CA4D73">
              <w:rPr>
                <w:rFonts w:ascii="Traditional Arabic" w:hAnsi="Traditional Arabic" w:cs="Traditional Arabic" w:hint="eastAsia"/>
                <w:sz w:val="30"/>
                <w:szCs w:val="30"/>
                <w:rtl/>
              </w:rPr>
              <w:t>حي</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الميناء،</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.ب ١١٤</w:t>
            </w:r>
          </w:p>
          <w:p w14:paraId="30264DB6" w14:textId="77777777" w:rsidR="00C53B7B" w:rsidRPr="00785453" w:rsidRDefault="00EB25E3"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48800D6B" w14:textId="77777777" w:rsidR="009F0753" w:rsidRPr="00CA4D73" w:rsidRDefault="009F0753" w:rsidP="00CA4D73">
            <w:pPr>
              <w:jc w:val="right"/>
              <w:rPr>
                <w:rFonts w:ascii="Traditional Arabic" w:hAnsi="Traditional Arabic" w:cs="Traditional Arabic"/>
                <w:color w:val="000000" w:themeColor="text1"/>
                <w:sz w:val="24"/>
                <w:lang w:bidi="ar-OM"/>
              </w:rPr>
            </w:pPr>
            <w:r w:rsidRPr="00CA4D73">
              <w:rPr>
                <w:rFonts w:ascii="Traditional Arabic" w:hAnsi="Traditional Arabic" w:cs="Traditional Arabic"/>
                <w:color w:val="000000" w:themeColor="text1"/>
                <w:sz w:val="24"/>
                <w:lang w:bidi="ar-OM"/>
              </w:rPr>
              <w:t>IPOSupport@soharinternational.com</w:t>
            </w:r>
            <w:r w:rsidRPr="00CA4D73">
              <w:rPr>
                <w:rFonts w:ascii="Traditional Arabic" w:hAnsi="Traditional Arabic" w:cs="Traditional Arabic"/>
                <w:color w:val="000000" w:themeColor="text1"/>
                <w:sz w:val="24"/>
                <w:rtl/>
                <w:lang w:bidi="ar-OM"/>
              </w:rPr>
              <w:t>;</w:t>
            </w:r>
          </w:p>
          <w:p w14:paraId="738F9497" w14:textId="77777777" w:rsidR="000128A3" w:rsidRPr="00CA4D73" w:rsidRDefault="000128A3" w:rsidP="00CA4D73">
            <w:pPr>
              <w:jc w:val="right"/>
              <w:rPr>
                <w:rFonts w:ascii="Traditional Arabic" w:hAnsi="Traditional Arabic" w:cs="Traditional Arabic"/>
                <w:color w:val="000000" w:themeColor="text1"/>
                <w:sz w:val="24"/>
                <w:rtl/>
                <w:lang w:bidi="ar-OM"/>
              </w:rPr>
            </w:pPr>
            <w:r w:rsidRPr="00CA4D73">
              <w:rPr>
                <w:rFonts w:ascii="Traditional Arabic" w:hAnsi="Traditional Arabic" w:cs="Traditional Arabic"/>
                <w:color w:val="000000" w:themeColor="text1"/>
                <w:sz w:val="24"/>
                <w:lang w:bidi="ar-OM"/>
              </w:rPr>
              <w:t>+968 2473 0372</w:t>
            </w:r>
          </w:p>
          <w:p w14:paraId="66445313" w14:textId="77777777" w:rsidR="00E1034B" w:rsidRPr="00CA4D73" w:rsidRDefault="00E1034B" w:rsidP="00CA4D73">
            <w:pPr>
              <w:jc w:val="right"/>
              <w:rPr>
                <w:rFonts w:ascii="Traditional Arabic" w:hAnsi="Traditional Arabic" w:cs="Traditional Arabic"/>
                <w:color w:val="000000" w:themeColor="text1"/>
                <w:sz w:val="24"/>
                <w:rtl/>
                <w:lang w:bidi="ar-OM"/>
              </w:rPr>
            </w:pPr>
            <w:r w:rsidRPr="00CA4D73">
              <w:rPr>
                <w:rFonts w:ascii="Traditional Arabic" w:hAnsi="Traditional Arabic" w:cs="Traditional Arabic"/>
                <w:color w:val="000000" w:themeColor="text1"/>
                <w:sz w:val="24"/>
                <w:lang w:bidi="ar-OM"/>
              </w:rPr>
              <w:t>+968 2473 0125</w:t>
            </w:r>
          </w:p>
          <w:p w14:paraId="6633E13B" w14:textId="77777777" w:rsidR="00C53B7B" w:rsidRPr="00CA4D73" w:rsidRDefault="00C53B7B" w:rsidP="00CA4D73">
            <w:pPr>
              <w:jc w:val="right"/>
              <w:rPr>
                <w:rFonts w:ascii="Traditional Arabic" w:hAnsi="Traditional Arabic" w:cs="Traditional Arabic"/>
                <w:color w:val="000000" w:themeColor="text1"/>
                <w:sz w:val="24"/>
                <w:rtl/>
                <w:lang w:bidi="ar-OM"/>
              </w:rPr>
            </w:pPr>
          </w:p>
        </w:tc>
      </w:tr>
      <w:tr w:rsidR="00930362" w:rsidRPr="00785453" w14:paraId="23FAE016" w14:textId="77777777" w:rsidTr="00CA4D73">
        <w:tc>
          <w:tcPr>
            <w:tcW w:w="1505" w:type="dxa"/>
          </w:tcPr>
          <w:p w14:paraId="1A8F261F" w14:textId="77777777" w:rsidR="003807D8" w:rsidRPr="00CA4D73" w:rsidRDefault="003807D8"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بنك</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.م.ع.ع</w:t>
            </w:r>
          </w:p>
          <w:p w14:paraId="00B640AB" w14:textId="77777777" w:rsidR="00C53B7B" w:rsidRPr="007501F1" w:rsidRDefault="00C53B7B" w:rsidP="00C54F8B">
            <w:pPr>
              <w:bidi/>
              <w:rPr>
                <w:rFonts w:ascii="Traditional Arabic" w:hAnsi="Traditional Arabic" w:cs="Traditional Arabic"/>
                <w:sz w:val="30"/>
                <w:szCs w:val="30"/>
                <w:rtl/>
              </w:rPr>
            </w:pPr>
          </w:p>
        </w:tc>
        <w:tc>
          <w:tcPr>
            <w:tcW w:w="1972" w:type="dxa"/>
          </w:tcPr>
          <w:p w14:paraId="6ADB8595" w14:textId="77777777" w:rsidR="00C53B7B" w:rsidRDefault="003807D8"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سارة الكلباني</w:t>
            </w:r>
          </w:p>
          <w:p w14:paraId="02A09E71" w14:textId="77777777" w:rsidR="003807D8" w:rsidRPr="00785453" w:rsidDel="00107212" w:rsidRDefault="003807D8"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المؤيد السبتي</w:t>
            </w:r>
          </w:p>
        </w:tc>
        <w:tc>
          <w:tcPr>
            <w:tcW w:w="2410" w:type="dxa"/>
          </w:tcPr>
          <w:p w14:paraId="66EB1710" w14:textId="77777777" w:rsidR="003807D8" w:rsidRPr="00CA4D73" w:rsidRDefault="003807D8"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١٣٤،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.ب ١١٢</w:t>
            </w:r>
          </w:p>
          <w:p w14:paraId="63E09BA0" w14:textId="77777777" w:rsidR="00C53B7B" w:rsidRPr="00785453" w:rsidRDefault="003807D8"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3ABF3FAA" w14:textId="77777777" w:rsidR="00C53B7B" w:rsidRPr="00CA4D73" w:rsidRDefault="000D5FB8" w:rsidP="00CA4D73">
            <w:pPr>
              <w:jc w:val="right"/>
              <w:rPr>
                <w:rFonts w:ascii="Traditional Arabic" w:hAnsi="Traditional Arabic" w:cs="Traditional Arabic"/>
                <w:color w:val="000000" w:themeColor="text1"/>
                <w:sz w:val="24"/>
                <w:rtl/>
                <w:lang w:bidi="ar-OM"/>
              </w:rPr>
            </w:pPr>
            <w:r w:rsidRPr="00CA4D73">
              <w:rPr>
                <w:rFonts w:ascii="Traditional Arabic" w:hAnsi="Traditional Arabic" w:cs="Traditional Arabic"/>
                <w:color w:val="000000" w:themeColor="text1"/>
                <w:sz w:val="24"/>
                <w:lang w:bidi="ar-OM"/>
              </w:rPr>
              <w:t xml:space="preserve">BrokerageBackOffice@bankmuscat.com; </w:t>
            </w:r>
            <w:r w:rsidRPr="00CA4D73">
              <w:rPr>
                <w:rFonts w:ascii="Traditional Arabic" w:hAnsi="Traditional Arabic" w:cs="Traditional Arabic"/>
                <w:color w:val="000000" w:themeColor="text1"/>
                <w:sz w:val="24"/>
                <w:lang w:bidi="ar-OM"/>
              </w:rPr>
              <w:br/>
              <w:t>+968 2476 8044</w:t>
            </w:r>
            <w:r w:rsidRPr="00CA4D73">
              <w:rPr>
                <w:rFonts w:ascii="Traditional Arabic" w:hAnsi="Traditional Arabic" w:cs="Traditional Arabic"/>
                <w:color w:val="000000" w:themeColor="text1"/>
                <w:sz w:val="24"/>
                <w:lang w:bidi="ar-OM"/>
              </w:rPr>
              <w:br/>
              <w:t>+968 2480 1065</w:t>
            </w:r>
          </w:p>
          <w:p w14:paraId="55FA1DDF" w14:textId="77777777" w:rsidR="000D5FB8" w:rsidRPr="00CA4D73" w:rsidRDefault="000D5FB8" w:rsidP="00CA4D73">
            <w:pPr>
              <w:jc w:val="right"/>
              <w:rPr>
                <w:rFonts w:ascii="Traditional Arabic" w:hAnsi="Traditional Arabic" w:cs="Traditional Arabic"/>
                <w:color w:val="000000" w:themeColor="text1"/>
                <w:sz w:val="24"/>
                <w:rtl/>
                <w:lang w:bidi="ar-OM"/>
              </w:rPr>
            </w:pPr>
          </w:p>
          <w:p w14:paraId="7758C7EE" w14:textId="77777777" w:rsidR="000D5FB8" w:rsidRPr="00CA4D73" w:rsidRDefault="000D5FB8" w:rsidP="00CA4D73">
            <w:pPr>
              <w:jc w:val="right"/>
              <w:rPr>
                <w:rFonts w:ascii="Traditional Arabic" w:hAnsi="Traditional Arabic" w:cs="Traditional Arabic"/>
                <w:color w:val="000000" w:themeColor="text1"/>
                <w:sz w:val="24"/>
                <w:rtl/>
                <w:lang w:bidi="ar-OM"/>
              </w:rPr>
            </w:pPr>
          </w:p>
        </w:tc>
      </w:tr>
      <w:tr w:rsidR="00930362" w:rsidRPr="00785453" w14:paraId="308717A3" w14:textId="77777777" w:rsidTr="00CA4D73">
        <w:tc>
          <w:tcPr>
            <w:tcW w:w="1505" w:type="dxa"/>
          </w:tcPr>
          <w:p w14:paraId="6A7371C0" w14:textId="110157EB" w:rsidR="00E21200" w:rsidRPr="00CA4D73" w:rsidRDefault="009A709D" w:rsidP="00CA4D73">
            <w:pPr>
              <w:tabs>
                <w:tab w:val="left" w:leader="dot" w:pos="3672"/>
              </w:tabs>
              <w:bidi/>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ال</w:t>
            </w:r>
            <w:r w:rsidR="00E21200" w:rsidRPr="00CA4D73">
              <w:rPr>
                <w:rFonts w:ascii="Traditional Arabic" w:hAnsi="Traditional Arabic" w:cs="Traditional Arabic" w:hint="eastAsia"/>
                <w:sz w:val="30"/>
                <w:szCs w:val="30"/>
                <w:rtl/>
              </w:rPr>
              <w:t>بنك</w:t>
            </w:r>
            <w:r w:rsidR="00E21200" w:rsidRPr="00CA4D73">
              <w:rPr>
                <w:rFonts w:ascii="Traditional Arabic" w:hAnsi="Traditional Arabic" w:cs="Traditional Arabic"/>
                <w:sz w:val="30"/>
                <w:szCs w:val="30"/>
                <w:rtl/>
              </w:rPr>
              <w:t xml:space="preserve"> </w:t>
            </w:r>
            <w:r w:rsidR="00E21200" w:rsidRPr="00CA4D73">
              <w:rPr>
                <w:rFonts w:ascii="Traditional Arabic" w:hAnsi="Traditional Arabic" w:cs="Traditional Arabic" w:hint="eastAsia"/>
                <w:sz w:val="30"/>
                <w:szCs w:val="30"/>
                <w:rtl/>
              </w:rPr>
              <w:t>الأهلي</w:t>
            </w:r>
            <w:r w:rsidR="00E21200" w:rsidRPr="00CA4D73">
              <w:rPr>
                <w:rFonts w:ascii="Traditional Arabic" w:hAnsi="Traditional Arabic" w:cs="Traditional Arabic"/>
                <w:sz w:val="30"/>
                <w:szCs w:val="30"/>
                <w:rtl/>
              </w:rPr>
              <w:t xml:space="preserve"> </w:t>
            </w:r>
            <w:r w:rsidR="00E21200" w:rsidRPr="00CA4D73">
              <w:rPr>
                <w:rFonts w:ascii="Traditional Arabic" w:hAnsi="Traditional Arabic" w:cs="Traditional Arabic" w:hint="eastAsia"/>
                <w:sz w:val="30"/>
                <w:szCs w:val="30"/>
                <w:rtl/>
              </w:rPr>
              <w:t>ش</w:t>
            </w:r>
            <w:r w:rsidR="00E21200" w:rsidRPr="00CA4D73">
              <w:rPr>
                <w:rFonts w:ascii="Traditional Arabic" w:hAnsi="Traditional Arabic" w:cs="Traditional Arabic"/>
                <w:sz w:val="30"/>
                <w:szCs w:val="30"/>
                <w:rtl/>
              </w:rPr>
              <w:t>.م.ع.ع</w:t>
            </w:r>
          </w:p>
          <w:p w14:paraId="69DFB0B5" w14:textId="77777777" w:rsidR="00C53B7B" w:rsidRPr="00785453" w:rsidRDefault="00C53B7B" w:rsidP="00C54F8B">
            <w:pPr>
              <w:bidi/>
              <w:rPr>
                <w:rFonts w:ascii="Traditional Arabic" w:hAnsi="Traditional Arabic" w:cs="Traditional Arabic"/>
                <w:sz w:val="30"/>
                <w:szCs w:val="30"/>
                <w:rtl/>
              </w:rPr>
            </w:pPr>
          </w:p>
        </w:tc>
        <w:tc>
          <w:tcPr>
            <w:tcW w:w="1972" w:type="dxa"/>
          </w:tcPr>
          <w:p w14:paraId="458B076A" w14:textId="77777777" w:rsidR="00C53B7B" w:rsidRDefault="00E21200"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محمد العبري</w:t>
            </w:r>
          </w:p>
          <w:p w14:paraId="01A84A6C" w14:textId="77777777" w:rsidR="00E21200" w:rsidRPr="00785453" w:rsidRDefault="00E21200"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خالد الريامي</w:t>
            </w:r>
          </w:p>
        </w:tc>
        <w:tc>
          <w:tcPr>
            <w:tcW w:w="2410" w:type="dxa"/>
          </w:tcPr>
          <w:p w14:paraId="303BCDB4" w14:textId="77777777" w:rsidR="00E21200" w:rsidRPr="00CA4D73" w:rsidRDefault="00E21200"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٥٤٥، </w:t>
            </w:r>
            <w:r w:rsidRPr="00CA4D73">
              <w:rPr>
                <w:rFonts w:ascii="Traditional Arabic" w:hAnsi="Traditional Arabic" w:cs="Traditional Arabic" w:hint="eastAsia"/>
                <w:sz w:val="30"/>
                <w:szCs w:val="30"/>
                <w:rtl/>
              </w:rPr>
              <w:t>الرمز</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البريدي</w:t>
            </w:r>
            <w:r w:rsidRPr="00CA4D73">
              <w:rPr>
                <w:rFonts w:ascii="Traditional Arabic" w:hAnsi="Traditional Arabic" w:cs="Traditional Arabic"/>
                <w:sz w:val="30"/>
                <w:szCs w:val="30"/>
                <w:rtl/>
              </w:rPr>
              <w:t xml:space="preserve"> ١١٦، </w:t>
            </w:r>
            <w:r w:rsidRPr="00CA4D73">
              <w:rPr>
                <w:rFonts w:ascii="Traditional Arabic" w:hAnsi="Traditional Arabic" w:cs="Traditional Arabic" w:hint="eastAsia"/>
                <w:sz w:val="30"/>
                <w:szCs w:val="30"/>
                <w:rtl/>
              </w:rPr>
              <w:t>ميناء</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الفحل</w:t>
            </w:r>
          </w:p>
          <w:p w14:paraId="014F3C46" w14:textId="77777777" w:rsidR="00C53B7B" w:rsidRPr="00785453" w:rsidRDefault="00E21200"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57C80C27" w14:textId="77777777" w:rsidR="00C53B7B" w:rsidRPr="00CA4D73" w:rsidRDefault="00BC3C4F" w:rsidP="00CA4D73">
            <w:pPr>
              <w:jc w:val="right"/>
              <w:rPr>
                <w:rFonts w:ascii="Traditional Arabic" w:hAnsi="Traditional Arabic" w:cs="Traditional Arabic"/>
                <w:color w:val="000000" w:themeColor="text1"/>
                <w:sz w:val="24"/>
                <w:rtl/>
              </w:rPr>
            </w:pPr>
            <w:r w:rsidRPr="00CA4D73">
              <w:rPr>
                <w:rFonts w:ascii="Traditional Arabic" w:hAnsi="Traditional Arabic" w:cs="Traditional Arabic"/>
                <w:color w:val="000000" w:themeColor="text1"/>
                <w:sz w:val="24"/>
                <w:lang w:eastAsia="en-ZW"/>
              </w:rPr>
              <w:t xml:space="preserve">khalid.alriyami@ahlibank.om; </w:t>
            </w:r>
            <w:r w:rsidRPr="00CA4D73">
              <w:rPr>
                <w:rFonts w:ascii="Traditional Arabic" w:hAnsi="Traditional Arabic" w:cs="Traditional Arabic"/>
                <w:color w:val="000000" w:themeColor="text1"/>
                <w:sz w:val="24"/>
                <w:lang w:eastAsia="en-ZW"/>
              </w:rPr>
              <w:br/>
              <w:t>+968 2457 7824</w:t>
            </w:r>
          </w:p>
        </w:tc>
      </w:tr>
      <w:tr w:rsidR="00930362" w:rsidRPr="00785453" w14:paraId="03521C9B" w14:textId="77777777" w:rsidTr="00CA4D73">
        <w:tc>
          <w:tcPr>
            <w:tcW w:w="1505" w:type="dxa"/>
          </w:tcPr>
          <w:p w14:paraId="49A29F48" w14:textId="77777777" w:rsidR="00B117F0" w:rsidRPr="00CA4D73" w:rsidRDefault="00B117F0"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بنك</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ظفار</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.م.ع.ع</w:t>
            </w:r>
          </w:p>
          <w:p w14:paraId="7EC5698A" w14:textId="77777777" w:rsidR="00C53B7B" w:rsidRPr="00785453" w:rsidRDefault="00C53B7B" w:rsidP="00C54F8B">
            <w:pPr>
              <w:bidi/>
              <w:rPr>
                <w:rFonts w:ascii="Traditional Arabic" w:hAnsi="Traditional Arabic" w:cs="Traditional Arabic"/>
                <w:sz w:val="30"/>
                <w:szCs w:val="30"/>
                <w:rtl/>
              </w:rPr>
            </w:pPr>
          </w:p>
        </w:tc>
        <w:tc>
          <w:tcPr>
            <w:tcW w:w="1972" w:type="dxa"/>
          </w:tcPr>
          <w:p w14:paraId="766ED1E9" w14:textId="77777777" w:rsidR="00C53B7B" w:rsidRDefault="00B117F0"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حامد سعيد حشمت</w:t>
            </w:r>
          </w:p>
          <w:p w14:paraId="1477BE60" w14:textId="77777777" w:rsidR="00B117F0" w:rsidRPr="00785453" w:rsidRDefault="00B117F0"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باراج ماثور</w:t>
            </w:r>
          </w:p>
        </w:tc>
        <w:tc>
          <w:tcPr>
            <w:tcW w:w="2410" w:type="dxa"/>
          </w:tcPr>
          <w:p w14:paraId="50CF1D8D" w14:textId="77777777" w:rsidR="00B117F0" w:rsidRPr="00CA4D73" w:rsidRDefault="00B117F0"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١٥٠٧،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 xml:space="preserve">.ب ١١٢، </w:t>
            </w:r>
            <w:r w:rsidRPr="00CA4D73">
              <w:rPr>
                <w:rFonts w:ascii="Traditional Arabic" w:hAnsi="Traditional Arabic" w:cs="Traditional Arabic" w:hint="eastAsia"/>
                <w:sz w:val="30"/>
                <w:szCs w:val="30"/>
                <w:rtl/>
              </w:rPr>
              <w:t>روي</w:t>
            </w:r>
          </w:p>
          <w:p w14:paraId="34AD784D" w14:textId="77777777" w:rsidR="00C53B7B" w:rsidRPr="00785453" w:rsidRDefault="00B117F0"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7DECDFC9" w14:textId="77777777" w:rsidR="00C53B7B" w:rsidRPr="00CA4D73" w:rsidRDefault="00EE2BAB" w:rsidP="00CA4D73">
            <w:pPr>
              <w:ind w:firstLine="720"/>
              <w:jc w:val="right"/>
              <w:rPr>
                <w:rFonts w:ascii="Traditional Arabic" w:hAnsi="Traditional Arabic" w:cs="Traditional Arabic"/>
                <w:color w:val="000000" w:themeColor="text1"/>
                <w:sz w:val="24"/>
                <w:rtl/>
              </w:rPr>
            </w:pPr>
            <w:hyperlink r:id="rId80" w:tooltip="mailto:InvestmentBackOffice@bankdhofar.com" w:history="1">
              <w:r w:rsidRPr="00CA4D73">
                <w:rPr>
                  <w:rStyle w:val="Hyperlink"/>
                  <w:rFonts w:ascii="Traditional Arabic" w:hAnsi="Traditional Arabic" w:cs="Traditional Arabic"/>
                  <w:color w:val="000000" w:themeColor="text1"/>
                  <w:sz w:val="24"/>
                  <w:u w:val="none"/>
                </w:rPr>
                <w:t>nvestmentBackOffice@bankdhofar.com</w:t>
              </w:r>
            </w:hyperlink>
            <w:r w:rsidRPr="00CA4D73">
              <w:rPr>
                <w:rFonts w:ascii="Traditional Arabic" w:hAnsi="Traditional Arabic" w:cs="Traditional Arabic"/>
                <w:color w:val="000000" w:themeColor="text1"/>
                <w:sz w:val="24"/>
                <w:shd w:val="clear" w:color="auto" w:fill="FFFFFF"/>
              </w:rPr>
              <w:t>;</w:t>
            </w:r>
            <w:r w:rsidRPr="00CA4D73">
              <w:rPr>
                <w:rStyle w:val="apple-converted-space"/>
                <w:rFonts w:ascii="Traditional Arabic" w:hAnsi="Traditional Arabic" w:cs="Traditional Arabic"/>
                <w:color w:val="000000" w:themeColor="text1"/>
                <w:sz w:val="24"/>
                <w:shd w:val="clear" w:color="auto" w:fill="FFFFFF"/>
              </w:rPr>
              <w:t> </w:t>
            </w:r>
            <w:r w:rsidRPr="00CA4D73">
              <w:rPr>
                <w:rFonts w:ascii="Traditional Arabic" w:hAnsi="Traditional Arabic" w:cs="Traditional Arabic"/>
                <w:color w:val="000000" w:themeColor="text1"/>
                <w:sz w:val="24"/>
              </w:rPr>
              <w:br/>
            </w:r>
            <w:hyperlink r:id="rId81" w:history="1">
              <w:r w:rsidRPr="00CA4D73">
                <w:rPr>
                  <w:rStyle w:val="Hyperlink"/>
                  <w:rFonts w:ascii="Traditional Arabic" w:hAnsi="Traditional Arabic" w:cs="Traditional Arabic"/>
                  <w:color w:val="000000" w:themeColor="text1"/>
                  <w:sz w:val="24"/>
                  <w:u w:val="none"/>
                </w:rPr>
                <w:t>+968 97027773</w:t>
              </w:r>
            </w:hyperlink>
            <w:r w:rsidRPr="00CA4D73">
              <w:rPr>
                <w:rFonts w:ascii="Traditional Arabic" w:hAnsi="Traditional Arabic" w:cs="Traditional Arabic"/>
                <w:color w:val="000000" w:themeColor="text1"/>
                <w:sz w:val="24"/>
              </w:rPr>
              <w:br/>
            </w:r>
            <w:hyperlink r:id="rId82" w:tooltip="mailto:p.mathur@bankdhofar.com" w:history="1">
              <w:r w:rsidRPr="00CA4D73">
                <w:rPr>
                  <w:rStyle w:val="Hyperlink"/>
                  <w:rFonts w:ascii="Traditional Arabic" w:hAnsi="Traditional Arabic" w:cs="Traditional Arabic"/>
                  <w:color w:val="000000" w:themeColor="text1"/>
                  <w:sz w:val="24"/>
                  <w:u w:val="none"/>
                </w:rPr>
                <w:t>p.mathur@bankdhofar.com</w:t>
              </w:r>
            </w:hyperlink>
          </w:p>
        </w:tc>
      </w:tr>
      <w:tr w:rsidR="00930362" w:rsidRPr="00785453" w14:paraId="77BBE706" w14:textId="77777777" w:rsidTr="00CA4D73">
        <w:tc>
          <w:tcPr>
            <w:tcW w:w="1505" w:type="dxa"/>
          </w:tcPr>
          <w:p w14:paraId="00202015" w14:textId="77777777" w:rsidR="004E36CB" w:rsidRPr="00CA4D73" w:rsidRDefault="004E36CB"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البنك</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الوطني</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العماني</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.م.ع.ع</w:t>
            </w:r>
          </w:p>
          <w:p w14:paraId="6B7B7AD4" w14:textId="77777777" w:rsidR="00C53B7B" w:rsidRPr="00785453" w:rsidRDefault="00C53B7B" w:rsidP="00CA4D73">
            <w:pPr>
              <w:tabs>
                <w:tab w:val="left" w:leader="dot" w:pos="3672"/>
              </w:tabs>
              <w:bidi/>
              <w:rPr>
                <w:rFonts w:ascii="Traditional Arabic" w:hAnsi="Traditional Arabic" w:cs="Traditional Arabic"/>
                <w:sz w:val="30"/>
                <w:szCs w:val="30"/>
                <w:rtl/>
              </w:rPr>
            </w:pPr>
          </w:p>
        </w:tc>
        <w:tc>
          <w:tcPr>
            <w:tcW w:w="1972" w:type="dxa"/>
          </w:tcPr>
          <w:p w14:paraId="7B240680" w14:textId="77777777" w:rsidR="004E36CB" w:rsidRDefault="004E36CB"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سالم المسلمي</w:t>
            </w:r>
          </w:p>
          <w:p w14:paraId="301A574F" w14:textId="77777777" w:rsidR="00C53B7B" w:rsidRPr="00785453" w:rsidRDefault="004E36CB"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وضحى الهوتي</w:t>
            </w:r>
          </w:p>
        </w:tc>
        <w:tc>
          <w:tcPr>
            <w:tcW w:w="2410" w:type="dxa"/>
          </w:tcPr>
          <w:p w14:paraId="7D944072" w14:textId="77777777" w:rsidR="004E36CB" w:rsidRPr="00CA4D73" w:rsidRDefault="004E36CB"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٧٥١،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 xml:space="preserve">.ب ١١٢، </w:t>
            </w:r>
            <w:r w:rsidRPr="00CA4D73">
              <w:rPr>
                <w:rFonts w:ascii="Traditional Arabic" w:hAnsi="Traditional Arabic" w:cs="Traditional Arabic" w:hint="eastAsia"/>
                <w:sz w:val="30"/>
                <w:szCs w:val="30"/>
                <w:rtl/>
              </w:rPr>
              <w:t>روي</w:t>
            </w:r>
          </w:p>
          <w:p w14:paraId="3B7951F2" w14:textId="77777777" w:rsidR="00C53B7B" w:rsidRPr="00785453" w:rsidRDefault="004E36CB"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3849868F" w14:textId="77777777" w:rsidR="004E36CB" w:rsidRPr="00CA4D73" w:rsidRDefault="003732BD" w:rsidP="00CA4D73">
            <w:pPr>
              <w:jc w:val="right"/>
              <w:rPr>
                <w:rFonts w:ascii="Traditional Arabic" w:hAnsi="Traditional Arabic" w:cs="Traditional Arabic"/>
                <w:color w:val="000000" w:themeColor="text1"/>
                <w:sz w:val="24"/>
                <w:rtl/>
                <w:lang w:bidi="ar-OM"/>
              </w:rPr>
            </w:pPr>
            <w:r w:rsidRPr="00CA4D73">
              <w:rPr>
                <w:rFonts w:ascii="Traditional Arabic" w:hAnsi="Traditional Arabic" w:cs="Traditional Arabic"/>
                <w:color w:val="000000" w:themeColor="text1"/>
                <w:sz w:val="24"/>
                <w:lang w:eastAsia="en-ZW"/>
              </w:rPr>
              <w:t xml:space="preserve">nbobackoffice@nbo.om; </w:t>
            </w:r>
            <w:r w:rsidRPr="00CA4D73">
              <w:rPr>
                <w:rFonts w:ascii="Traditional Arabic" w:hAnsi="Traditional Arabic" w:cs="Traditional Arabic"/>
                <w:color w:val="000000" w:themeColor="text1"/>
                <w:sz w:val="24"/>
                <w:lang w:eastAsia="en-ZW"/>
              </w:rPr>
              <w:br/>
              <w:t xml:space="preserve">+968 2477 8075 </w:t>
            </w:r>
            <w:r w:rsidRPr="00CA4D73">
              <w:rPr>
                <w:rFonts w:ascii="Traditional Arabic" w:hAnsi="Traditional Arabic" w:cs="Traditional Arabic"/>
                <w:color w:val="000000" w:themeColor="text1"/>
                <w:sz w:val="24"/>
                <w:lang w:eastAsia="en-ZW"/>
              </w:rPr>
              <w:br/>
              <w:t>+968 2477 8662</w:t>
            </w:r>
          </w:p>
        </w:tc>
      </w:tr>
      <w:tr w:rsidR="00930362" w:rsidRPr="00785453" w14:paraId="3FDAF55A" w14:textId="77777777" w:rsidTr="00CA4D73">
        <w:tc>
          <w:tcPr>
            <w:tcW w:w="1505" w:type="dxa"/>
          </w:tcPr>
          <w:p w14:paraId="7E9AD187" w14:textId="77777777" w:rsidR="005D65E5" w:rsidRPr="00CA4D73" w:rsidRDefault="005D65E5"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بنك</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العربي</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.م.ع.ع</w:t>
            </w:r>
          </w:p>
          <w:p w14:paraId="14652E18" w14:textId="77777777" w:rsidR="00C53B7B" w:rsidRPr="00785453" w:rsidRDefault="00C53B7B" w:rsidP="00C54F8B">
            <w:pPr>
              <w:bidi/>
              <w:rPr>
                <w:rFonts w:ascii="Traditional Arabic" w:hAnsi="Traditional Arabic" w:cs="Traditional Arabic"/>
                <w:sz w:val="30"/>
                <w:szCs w:val="30"/>
                <w:rtl/>
              </w:rPr>
            </w:pPr>
          </w:p>
        </w:tc>
        <w:tc>
          <w:tcPr>
            <w:tcW w:w="1972" w:type="dxa"/>
          </w:tcPr>
          <w:p w14:paraId="08A6008D" w14:textId="77777777" w:rsidR="00C53B7B" w:rsidRDefault="004173E0"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صقر الحراصي</w:t>
            </w:r>
          </w:p>
          <w:p w14:paraId="636FCCAE" w14:textId="77777777" w:rsidR="004173E0" w:rsidRPr="00785453" w:rsidRDefault="004173E0"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غادة الرئيسي</w:t>
            </w:r>
          </w:p>
        </w:tc>
        <w:tc>
          <w:tcPr>
            <w:tcW w:w="2410" w:type="dxa"/>
          </w:tcPr>
          <w:p w14:paraId="530C1689" w14:textId="77777777" w:rsidR="005D65E5" w:rsidRPr="00CA4D73" w:rsidRDefault="005D65E5"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٢٢٤٠،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 xml:space="preserve">.ب ١٣٠، </w:t>
            </w:r>
            <w:r w:rsidRPr="00CA4D73">
              <w:rPr>
                <w:rFonts w:ascii="Traditional Arabic" w:hAnsi="Traditional Arabic" w:cs="Traditional Arabic" w:hint="eastAsia"/>
                <w:sz w:val="30"/>
                <w:szCs w:val="30"/>
                <w:rtl/>
              </w:rPr>
              <w:t>الغبرة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الشمالية</w:t>
            </w:r>
          </w:p>
          <w:p w14:paraId="11C9721E" w14:textId="77777777" w:rsidR="00C53B7B" w:rsidRPr="00785453" w:rsidRDefault="005D65E5"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782BB566" w14:textId="77777777" w:rsidR="00C53B7B" w:rsidRPr="00CA4D73" w:rsidRDefault="00AD333C" w:rsidP="00CA4D73">
            <w:pPr>
              <w:ind w:firstLine="720"/>
              <w:jc w:val="right"/>
              <w:rPr>
                <w:rFonts w:ascii="Traditional Arabic" w:hAnsi="Traditional Arabic" w:cs="Traditional Arabic"/>
                <w:color w:val="000000" w:themeColor="text1"/>
                <w:sz w:val="24"/>
                <w:rtl/>
                <w:lang w:bidi="ar-OM"/>
              </w:rPr>
            </w:pPr>
            <w:hyperlink r:id="rId83" w:tooltip="mailto:Saker.AlHarasi@omanarabbank.com" w:history="1">
              <w:r w:rsidRPr="00CA4D73">
                <w:rPr>
                  <w:rStyle w:val="Hyperlink"/>
                  <w:rFonts w:ascii="Traditional Arabic" w:hAnsi="Traditional Arabic" w:cs="Traditional Arabic"/>
                  <w:color w:val="000000" w:themeColor="text1"/>
                  <w:sz w:val="24"/>
                  <w:u w:val="none"/>
                </w:rPr>
                <w:t>Saker.</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Harasi@omanarabbank.com</w:t>
              </w:r>
            </w:hyperlink>
            <w:r w:rsidRPr="00CA4D73">
              <w:rPr>
                <w:rFonts w:ascii="Traditional Arabic" w:hAnsi="Traditional Arabic" w:cs="Traditional Arabic"/>
                <w:color w:val="000000" w:themeColor="text1"/>
                <w:sz w:val="24"/>
                <w:shd w:val="clear" w:color="auto" w:fill="FFFFFF"/>
              </w:rPr>
              <w:t>;</w:t>
            </w:r>
            <w:r w:rsidRPr="00CA4D73">
              <w:rPr>
                <w:rFonts w:ascii="Traditional Arabic" w:hAnsi="Traditional Arabic" w:cs="Traditional Arabic"/>
                <w:color w:val="000000" w:themeColor="text1"/>
                <w:sz w:val="24"/>
              </w:rPr>
              <w:br/>
            </w:r>
            <w:hyperlink r:id="rId84" w:history="1">
              <w:r w:rsidRPr="00CA4D73">
                <w:rPr>
                  <w:rStyle w:val="Hyperlink"/>
                  <w:rFonts w:ascii="Traditional Arabic" w:hAnsi="Traditional Arabic" w:cs="Traditional Arabic"/>
                  <w:color w:val="000000" w:themeColor="text1"/>
                  <w:sz w:val="24"/>
                  <w:u w:val="none"/>
                </w:rPr>
                <w:t>+968 2475 4526</w:t>
              </w:r>
            </w:hyperlink>
            <w:r w:rsidRPr="00CA4D73">
              <w:rPr>
                <w:rFonts w:ascii="Traditional Arabic" w:hAnsi="Traditional Arabic" w:cs="Traditional Arabic"/>
                <w:color w:val="000000" w:themeColor="text1"/>
                <w:sz w:val="24"/>
              </w:rPr>
              <w:br/>
            </w:r>
            <w:hyperlink r:id="rId85" w:tooltip="mailto:Ghada.AlRaisi@oman-arabbank.com" w:history="1">
              <w:r w:rsidRPr="00CA4D73">
                <w:rPr>
                  <w:rStyle w:val="Hyperlink"/>
                  <w:rFonts w:ascii="Traditional Arabic" w:hAnsi="Traditional Arabic" w:cs="Traditional Arabic"/>
                  <w:color w:val="000000" w:themeColor="text1"/>
                  <w:sz w:val="24"/>
                  <w:u w:val="none"/>
                </w:rPr>
                <w:t>Ghada.</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Raisi@oman-arabbank.com</w:t>
              </w:r>
            </w:hyperlink>
            <w:r w:rsidRPr="00CA4D73">
              <w:rPr>
                <w:rFonts w:ascii="Traditional Arabic" w:hAnsi="Traditional Arabic" w:cs="Traditional Arabic"/>
                <w:color w:val="000000" w:themeColor="text1"/>
                <w:sz w:val="24"/>
                <w:shd w:val="clear" w:color="auto" w:fill="FFFFFF"/>
              </w:rPr>
              <w:t>;</w:t>
            </w:r>
            <w:r w:rsidRPr="00CA4D73">
              <w:rPr>
                <w:rFonts w:ascii="Traditional Arabic" w:hAnsi="Traditional Arabic" w:cs="Traditional Arabic"/>
                <w:color w:val="000000" w:themeColor="text1"/>
                <w:sz w:val="24"/>
              </w:rPr>
              <w:br/>
            </w:r>
            <w:hyperlink r:id="rId86" w:history="1">
              <w:r w:rsidRPr="00CA4D73">
                <w:rPr>
                  <w:rStyle w:val="Hyperlink"/>
                  <w:rFonts w:ascii="Traditional Arabic" w:hAnsi="Traditional Arabic" w:cs="Traditional Arabic"/>
                  <w:color w:val="000000" w:themeColor="text1"/>
                  <w:sz w:val="24"/>
                  <w:u w:val="none"/>
                </w:rPr>
                <w:t>+968 2475 4653</w:t>
              </w:r>
            </w:hyperlink>
          </w:p>
        </w:tc>
      </w:tr>
      <w:tr w:rsidR="00930362" w:rsidRPr="00785453" w14:paraId="6FC84DB4" w14:textId="77777777" w:rsidTr="00CA4D73">
        <w:tc>
          <w:tcPr>
            <w:tcW w:w="1505" w:type="dxa"/>
          </w:tcPr>
          <w:p w14:paraId="4E035BBB" w14:textId="77777777" w:rsidR="00CA07D3" w:rsidRPr="00CA4D73" w:rsidRDefault="00CA07D3"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الافاق</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لأسواق</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المال</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.م.ع.م</w:t>
            </w:r>
          </w:p>
          <w:p w14:paraId="71E2ED32" w14:textId="77777777" w:rsidR="00C53B7B" w:rsidRPr="00785453" w:rsidRDefault="00C53B7B" w:rsidP="00C54F8B">
            <w:pPr>
              <w:bidi/>
              <w:rPr>
                <w:rFonts w:ascii="Traditional Arabic" w:hAnsi="Traditional Arabic" w:cs="Traditional Arabic"/>
                <w:sz w:val="30"/>
                <w:szCs w:val="30"/>
                <w:rtl/>
              </w:rPr>
            </w:pPr>
          </w:p>
        </w:tc>
        <w:tc>
          <w:tcPr>
            <w:tcW w:w="1972" w:type="dxa"/>
          </w:tcPr>
          <w:p w14:paraId="29B29652" w14:textId="77777777" w:rsidR="00C53B7B" w:rsidRDefault="00CA07D3"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حمد الصلتي</w:t>
            </w:r>
          </w:p>
          <w:p w14:paraId="433D84B5" w14:textId="77777777" w:rsidR="00CA07D3" w:rsidRPr="00785453" w:rsidRDefault="00CA07D3"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لبنى اللواتي</w:t>
            </w:r>
          </w:p>
        </w:tc>
        <w:tc>
          <w:tcPr>
            <w:tcW w:w="2410" w:type="dxa"/>
          </w:tcPr>
          <w:p w14:paraId="2A18E115" w14:textId="77777777" w:rsidR="00CA07D3" w:rsidRPr="00CA4D73" w:rsidRDefault="00CA07D3"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٦٨٥،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 xml:space="preserve">.ب ١١٥، </w:t>
            </w:r>
            <w:r w:rsidRPr="00CA4D73">
              <w:rPr>
                <w:rFonts w:ascii="Traditional Arabic" w:hAnsi="Traditional Arabic" w:cs="Traditional Arabic" w:hint="eastAsia"/>
                <w:sz w:val="30"/>
                <w:szCs w:val="30"/>
                <w:rtl/>
              </w:rPr>
              <w:t>روي</w:t>
            </w:r>
          </w:p>
          <w:p w14:paraId="177FA77E" w14:textId="77777777" w:rsidR="00C53B7B" w:rsidRPr="00785453" w:rsidRDefault="00CA07D3"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17493D7B" w14:textId="77777777" w:rsidR="00C53B7B" w:rsidRPr="00CA4D73" w:rsidRDefault="00CD012B" w:rsidP="00CA4D73">
            <w:pPr>
              <w:jc w:val="right"/>
              <w:rPr>
                <w:rFonts w:ascii="Traditional Arabic" w:hAnsi="Traditional Arabic" w:cs="Traditional Arabic"/>
                <w:color w:val="000000" w:themeColor="text1"/>
                <w:sz w:val="24"/>
                <w:rtl/>
                <w:lang w:bidi="ar-OM"/>
              </w:rPr>
            </w:pPr>
            <w:hyperlink r:id="rId87" w:tooltip="mailto:hamed.mo@hcmoman.com" w:history="1">
              <w:r w:rsidRPr="00CA4D73">
                <w:rPr>
                  <w:rStyle w:val="Hyperlink"/>
                  <w:rFonts w:ascii="Traditional Arabic" w:hAnsi="Traditional Arabic" w:cs="Traditional Arabic"/>
                  <w:color w:val="000000" w:themeColor="text1"/>
                  <w:sz w:val="24"/>
                  <w:u w:val="none"/>
                </w:rPr>
                <w:t>hamed.mo@hcmoman.com</w:t>
              </w:r>
            </w:hyperlink>
            <w:r w:rsidRPr="00CA4D73">
              <w:rPr>
                <w:rFonts w:ascii="Traditional Arabic" w:hAnsi="Traditional Arabic" w:cs="Traditional Arabic"/>
                <w:color w:val="000000" w:themeColor="text1"/>
                <w:sz w:val="24"/>
                <w:shd w:val="clear" w:color="auto" w:fill="FFFFFF"/>
              </w:rPr>
              <w:t>;</w:t>
            </w:r>
            <w:r w:rsidRPr="00CA4D73">
              <w:rPr>
                <w:rFonts w:ascii="Traditional Arabic" w:hAnsi="Traditional Arabic" w:cs="Traditional Arabic"/>
                <w:color w:val="000000" w:themeColor="text1"/>
                <w:sz w:val="24"/>
              </w:rPr>
              <w:br/>
            </w:r>
            <w:hyperlink r:id="rId88" w:history="1">
              <w:r w:rsidRPr="00CA4D73">
                <w:rPr>
                  <w:rStyle w:val="Hyperlink"/>
                  <w:rFonts w:ascii="Traditional Arabic" w:hAnsi="Traditional Arabic" w:cs="Traditional Arabic"/>
                  <w:color w:val="000000" w:themeColor="text1"/>
                  <w:sz w:val="24"/>
                  <w:u w:val="none"/>
                </w:rPr>
                <w:t>+968 24826053</w:t>
              </w:r>
            </w:hyperlink>
            <w:r w:rsidRPr="00CA4D73">
              <w:rPr>
                <w:rFonts w:ascii="Traditional Arabic" w:hAnsi="Traditional Arabic" w:cs="Traditional Arabic"/>
                <w:color w:val="000000" w:themeColor="text1"/>
                <w:sz w:val="24"/>
              </w:rPr>
              <w:br/>
            </w:r>
            <w:hyperlink r:id="rId89" w:tooltip="mailto:lubna@hcmoman.com" w:history="1">
              <w:r w:rsidRPr="00CA4D73">
                <w:rPr>
                  <w:rStyle w:val="Hyperlink"/>
                  <w:rFonts w:ascii="Traditional Arabic" w:hAnsi="Traditional Arabic" w:cs="Traditional Arabic"/>
                  <w:color w:val="000000" w:themeColor="text1"/>
                  <w:sz w:val="24"/>
                  <w:u w:val="none"/>
                </w:rPr>
                <w:t>lubna@hcmoman.com</w:t>
              </w:r>
            </w:hyperlink>
            <w:r w:rsidRPr="00CA4D73">
              <w:rPr>
                <w:rFonts w:ascii="Traditional Arabic" w:hAnsi="Traditional Arabic" w:cs="Traditional Arabic"/>
                <w:color w:val="000000" w:themeColor="text1"/>
                <w:sz w:val="24"/>
                <w:shd w:val="clear" w:color="auto" w:fill="FFFFFF"/>
              </w:rPr>
              <w:t>;</w:t>
            </w:r>
            <w:r w:rsidRPr="00CA4D73">
              <w:rPr>
                <w:rStyle w:val="apple-converted-space"/>
                <w:rFonts w:ascii="Traditional Arabic" w:hAnsi="Traditional Arabic" w:cs="Traditional Arabic"/>
                <w:color w:val="000000" w:themeColor="text1"/>
                <w:sz w:val="24"/>
                <w:shd w:val="clear" w:color="auto" w:fill="FFFFFF"/>
              </w:rPr>
              <w:t> </w:t>
            </w:r>
            <w:r w:rsidRPr="00CA4D73">
              <w:rPr>
                <w:rFonts w:ascii="Traditional Arabic" w:hAnsi="Traditional Arabic" w:cs="Traditional Arabic"/>
                <w:color w:val="000000" w:themeColor="text1"/>
                <w:sz w:val="24"/>
              </w:rPr>
              <w:br/>
            </w:r>
            <w:hyperlink r:id="rId90" w:history="1">
              <w:r w:rsidRPr="00CA4D73">
                <w:rPr>
                  <w:rStyle w:val="Hyperlink"/>
                  <w:rFonts w:ascii="Traditional Arabic" w:hAnsi="Traditional Arabic" w:cs="Traditional Arabic"/>
                  <w:color w:val="000000" w:themeColor="text1"/>
                  <w:sz w:val="24"/>
                  <w:u w:val="none"/>
                </w:rPr>
                <w:t>+968 24826036</w:t>
              </w:r>
            </w:hyperlink>
          </w:p>
        </w:tc>
      </w:tr>
      <w:tr w:rsidR="00930362" w:rsidRPr="00785453" w14:paraId="42BC9924" w14:textId="77777777" w:rsidTr="00CA4D73">
        <w:tc>
          <w:tcPr>
            <w:tcW w:w="1505" w:type="dxa"/>
          </w:tcPr>
          <w:p w14:paraId="7259F12B" w14:textId="77777777" w:rsidR="00930362" w:rsidRPr="00CA4D73" w:rsidRDefault="00930362"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جبل</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لإدارة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الأصول</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.م.م</w:t>
            </w:r>
          </w:p>
          <w:p w14:paraId="7F85E558" w14:textId="77777777" w:rsidR="00C53B7B" w:rsidRPr="00785453" w:rsidRDefault="00C53B7B" w:rsidP="00C54F8B">
            <w:pPr>
              <w:bidi/>
              <w:rPr>
                <w:rFonts w:ascii="Traditional Arabic" w:hAnsi="Traditional Arabic" w:cs="Traditional Arabic"/>
                <w:sz w:val="30"/>
                <w:szCs w:val="30"/>
                <w:rtl/>
              </w:rPr>
            </w:pPr>
          </w:p>
        </w:tc>
        <w:tc>
          <w:tcPr>
            <w:tcW w:w="1972" w:type="dxa"/>
          </w:tcPr>
          <w:p w14:paraId="4EBC625F" w14:textId="77777777" w:rsidR="00C53B7B" w:rsidRDefault="00930362"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محمد سلطان سيف المحروقي</w:t>
            </w:r>
          </w:p>
          <w:p w14:paraId="2C16A4AA" w14:textId="77777777" w:rsidR="00930362" w:rsidRDefault="00930362"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فايز عبدالله البلوشي</w:t>
            </w:r>
          </w:p>
          <w:p w14:paraId="7BB7D28A" w14:textId="77777777" w:rsidR="00930362" w:rsidRDefault="00930362"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حنين البلوشي</w:t>
            </w:r>
          </w:p>
          <w:p w14:paraId="5614EE98" w14:textId="77777777" w:rsidR="00930362" w:rsidRPr="00785453" w:rsidRDefault="007A7CF6"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داوود العلي</w:t>
            </w:r>
          </w:p>
        </w:tc>
        <w:tc>
          <w:tcPr>
            <w:tcW w:w="2410" w:type="dxa"/>
          </w:tcPr>
          <w:p w14:paraId="7C121DCC" w14:textId="77777777" w:rsidR="00930362" w:rsidRPr="00CA4D73" w:rsidRDefault="00930362"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٢٢٠٩،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 xml:space="preserve">.ب ١٣٠، </w:t>
            </w:r>
            <w:r w:rsidRPr="00CA4D73">
              <w:rPr>
                <w:rFonts w:ascii="Traditional Arabic" w:hAnsi="Traditional Arabic" w:cs="Traditional Arabic" w:hint="eastAsia"/>
                <w:sz w:val="30"/>
                <w:szCs w:val="30"/>
                <w:rtl/>
              </w:rPr>
              <w:t>الخوير</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الشمالية</w:t>
            </w:r>
          </w:p>
          <w:p w14:paraId="5E0E207B" w14:textId="77777777" w:rsidR="00C53B7B" w:rsidRPr="00785453" w:rsidRDefault="00930362"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5F00F4CF" w14:textId="77777777" w:rsidR="00F97C98" w:rsidRPr="00CA4D73" w:rsidRDefault="00F97C98" w:rsidP="00CA4D73">
            <w:pPr>
              <w:tabs>
                <w:tab w:val="left" w:pos="1273"/>
              </w:tabs>
              <w:jc w:val="right"/>
              <w:rPr>
                <w:rFonts w:ascii="Traditional Arabic" w:hAnsi="Traditional Arabic" w:cs="Traditional Arabic"/>
                <w:color w:val="000000" w:themeColor="text1"/>
                <w:sz w:val="24"/>
                <w:rtl/>
                <w:lang w:bidi="ar-OM"/>
              </w:rPr>
            </w:pPr>
            <w:r w:rsidRPr="00CA4D73">
              <w:rPr>
                <w:rFonts w:ascii="Traditional Arabic" w:hAnsi="Traditional Arabic" w:cs="Traditional Arabic"/>
                <w:color w:val="000000" w:themeColor="text1"/>
                <w:sz w:val="24"/>
                <w:lang w:eastAsia="en-ZW"/>
              </w:rPr>
              <w:t>JAMOperations@jabal.om</w:t>
            </w:r>
            <w:r w:rsidRPr="00CA4D73">
              <w:rPr>
                <w:rFonts w:ascii="Traditional Arabic" w:hAnsi="Traditional Arabic" w:cs="Traditional Arabic"/>
                <w:color w:val="000000" w:themeColor="text1"/>
                <w:sz w:val="24"/>
                <w:lang w:eastAsia="en-ZW"/>
              </w:rPr>
              <w:br/>
              <w:t>brokerage.products@jabal.om;</w:t>
            </w:r>
            <w:r w:rsidRPr="00CA4D73">
              <w:rPr>
                <w:rFonts w:ascii="Traditional Arabic" w:hAnsi="Traditional Arabic" w:cs="Traditional Arabic"/>
                <w:color w:val="000000" w:themeColor="text1"/>
                <w:sz w:val="24"/>
                <w:lang w:eastAsia="en-ZW"/>
              </w:rPr>
              <w:br/>
              <w:t xml:space="preserve">+968 210207834 </w:t>
            </w:r>
            <w:r w:rsidRPr="00CA4D73">
              <w:rPr>
                <w:rFonts w:ascii="Traditional Arabic" w:hAnsi="Traditional Arabic" w:cs="Traditional Arabic"/>
                <w:color w:val="000000" w:themeColor="text1"/>
                <w:sz w:val="24"/>
                <w:lang w:eastAsia="en-ZW"/>
              </w:rPr>
              <w:br/>
              <w:t>+968 21027842 (trading desk)</w:t>
            </w:r>
          </w:p>
        </w:tc>
      </w:tr>
      <w:tr w:rsidR="00930362" w:rsidRPr="00785453" w14:paraId="762DC41D" w14:textId="77777777" w:rsidTr="00CA4D73">
        <w:tc>
          <w:tcPr>
            <w:tcW w:w="1505" w:type="dxa"/>
          </w:tcPr>
          <w:p w14:paraId="584BE227" w14:textId="77777777" w:rsidR="00800DF1" w:rsidRPr="00CA4D73" w:rsidRDefault="00800DF1"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شركة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اوبار</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للاستثمارات</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المالية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 xml:space="preserve">.م.ع.م </w:t>
            </w:r>
          </w:p>
          <w:p w14:paraId="722FD778" w14:textId="77777777" w:rsidR="00C53B7B" w:rsidRPr="00785453" w:rsidRDefault="00C53B7B" w:rsidP="00C54F8B">
            <w:pPr>
              <w:bidi/>
              <w:rPr>
                <w:rFonts w:ascii="Traditional Arabic" w:hAnsi="Traditional Arabic" w:cs="Traditional Arabic"/>
                <w:sz w:val="30"/>
                <w:szCs w:val="30"/>
                <w:rtl/>
              </w:rPr>
            </w:pPr>
          </w:p>
        </w:tc>
        <w:tc>
          <w:tcPr>
            <w:tcW w:w="1972" w:type="dxa"/>
          </w:tcPr>
          <w:p w14:paraId="306A069D" w14:textId="77777777" w:rsidR="00C53B7B" w:rsidRDefault="00812145"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 xml:space="preserve"> ابراهيم ناصر الحساني</w:t>
            </w:r>
          </w:p>
          <w:p w14:paraId="6E8C7DCA" w14:textId="77777777" w:rsidR="00812145" w:rsidRDefault="00812145"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أحمد العجمي</w:t>
            </w:r>
          </w:p>
          <w:p w14:paraId="1EC29689" w14:textId="77777777" w:rsidR="00812145" w:rsidRPr="00785453" w:rsidRDefault="00812145"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مسلم جعبوب</w:t>
            </w:r>
          </w:p>
        </w:tc>
        <w:tc>
          <w:tcPr>
            <w:tcW w:w="2410" w:type="dxa"/>
          </w:tcPr>
          <w:p w14:paraId="2A15CBD4" w14:textId="77777777" w:rsidR="00800DF1" w:rsidRPr="00CA4D73" w:rsidRDefault="00800DF1"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١١٣٧،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.ب ١١١</w:t>
            </w:r>
          </w:p>
          <w:p w14:paraId="2139577D" w14:textId="77777777" w:rsidR="00C53B7B" w:rsidRPr="00785453" w:rsidRDefault="00800DF1"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2FDE1739" w14:textId="77777777" w:rsidR="00C53B7B" w:rsidRPr="00CA4D73" w:rsidRDefault="00647493" w:rsidP="00CA4D73">
            <w:pPr>
              <w:jc w:val="right"/>
              <w:rPr>
                <w:rFonts w:ascii="Traditional Arabic" w:hAnsi="Traditional Arabic" w:cs="Traditional Arabic"/>
                <w:color w:val="000000" w:themeColor="text1"/>
                <w:sz w:val="24"/>
                <w:rtl/>
                <w:lang w:bidi="ar-OM"/>
              </w:rPr>
            </w:pPr>
            <w:hyperlink r:id="rId91" w:tooltip="mailto:i.al-hasani@u-capital.net" w:history="1">
              <w:r w:rsidRPr="00CA4D73">
                <w:rPr>
                  <w:rStyle w:val="Hyperlink"/>
                  <w:rFonts w:ascii="Traditional Arabic" w:hAnsi="Traditional Arabic" w:cs="Traditional Arabic"/>
                  <w:color w:val="000000" w:themeColor="text1"/>
                  <w:sz w:val="24"/>
                  <w:u w:val="none"/>
                </w:rPr>
                <w:t>i.</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-hasani@u-capit</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.net</w:t>
              </w:r>
            </w:hyperlink>
            <w:r w:rsidRPr="00CA4D73">
              <w:rPr>
                <w:rFonts w:ascii="Traditional Arabic" w:hAnsi="Traditional Arabic" w:cs="Traditional Arabic"/>
                <w:color w:val="000000" w:themeColor="text1"/>
                <w:sz w:val="24"/>
                <w:shd w:val="clear" w:color="auto" w:fill="FFFFFF"/>
              </w:rPr>
              <w:t>;</w:t>
            </w:r>
            <w:r w:rsidRPr="00CA4D73">
              <w:rPr>
                <w:rFonts w:ascii="Traditional Arabic" w:hAnsi="Traditional Arabic" w:cs="Traditional Arabic"/>
                <w:color w:val="000000" w:themeColor="text1"/>
                <w:sz w:val="24"/>
              </w:rPr>
              <w:br/>
            </w:r>
            <w:hyperlink r:id="rId92" w:history="1">
              <w:r w:rsidRPr="00CA4D73">
                <w:rPr>
                  <w:rStyle w:val="Hyperlink"/>
                  <w:rFonts w:ascii="Traditional Arabic" w:hAnsi="Traditional Arabic" w:cs="Traditional Arabic"/>
                  <w:color w:val="000000" w:themeColor="text1"/>
                  <w:sz w:val="24"/>
                  <w:u w:val="none"/>
                </w:rPr>
                <w:t>+968 24949004</w:t>
              </w:r>
            </w:hyperlink>
            <w:r w:rsidRPr="00CA4D73">
              <w:rPr>
                <w:rStyle w:val="apple-converted-space"/>
                <w:rFonts w:ascii="Traditional Arabic" w:hAnsi="Traditional Arabic" w:cs="Traditional Arabic"/>
                <w:color w:val="000000" w:themeColor="text1"/>
                <w:sz w:val="24"/>
              </w:rPr>
              <w:t> </w:t>
            </w:r>
            <w:r w:rsidRPr="00CA4D73">
              <w:rPr>
                <w:rFonts w:ascii="Traditional Arabic" w:hAnsi="Traditional Arabic" w:cs="Traditional Arabic"/>
                <w:color w:val="000000" w:themeColor="text1"/>
                <w:sz w:val="24"/>
              </w:rPr>
              <w:br/>
            </w:r>
            <w:hyperlink r:id="rId93" w:tooltip="mailto:ahmed.alajmi@ucapital.net" w:history="1">
              <w:r w:rsidRPr="00CA4D73">
                <w:rPr>
                  <w:rStyle w:val="Hyperlink"/>
                  <w:rFonts w:ascii="Traditional Arabic" w:hAnsi="Traditional Arabic" w:cs="Traditional Arabic"/>
                  <w:color w:val="000000" w:themeColor="text1"/>
                  <w:sz w:val="24"/>
                  <w:u w:val="none"/>
                </w:rPr>
                <w:t>ahmed.</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ajmi@ucapit</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.net</w:t>
              </w:r>
            </w:hyperlink>
            <w:r w:rsidRPr="00CA4D73">
              <w:rPr>
                <w:rFonts w:ascii="Traditional Arabic" w:hAnsi="Traditional Arabic" w:cs="Traditional Arabic"/>
                <w:color w:val="000000" w:themeColor="text1"/>
                <w:sz w:val="24"/>
                <w:shd w:val="clear" w:color="auto" w:fill="FFFFFF"/>
              </w:rPr>
              <w:t>;</w:t>
            </w:r>
            <w:r w:rsidRPr="00CA4D73">
              <w:rPr>
                <w:rFonts w:ascii="Traditional Arabic" w:hAnsi="Traditional Arabic" w:cs="Traditional Arabic"/>
                <w:color w:val="000000" w:themeColor="text1"/>
                <w:sz w:val="24"/>
              </w:rPr>
              <w:br/>
            </w:r>
            <w:hyperlink r:id="rId94" w:history="1">
              <w:r w:rsidRPr="00CA4D73">
                <w:rPr>
                  <w:rStyle w:val="Hyperlink"/>
                  <w:rFonts w:ascii="Traditional Arabic" w:hAnsi="Traditional Arabic" w:cs="Traditional Arabic"/>
                  <w:color w:val="000000" w:themeColor="text1"/>
                  <w:sz w:val="24"/>
                  <w:u w:val="none"/>
                </w:rPr>
                <w:t>+96824949060</w:t>
              </w:r>
            </w:hyperlink>
            <w:r w:rsidRPr="00CA4D73">
              <w:rPr>
                <w:rFonts w:ascii="Traditional Arabic" w:hAnsi="Traditional Arabic" w:cs="Traditional Arabic"/>
                <w:color w:val="000000" w:themeColor="text1"/>
                <w:sz w:val="24"/>
              </w:rPr>
              <w:br/>
            </w:r>
            <w:hyperlink r:id="rId95" w:tooltip="mailto:musallam@u-capital.net" w:history="1">
              <w:r w:rsidRPr="00CA4D73">
                <w:rPr>
                  <w:rStyle w:val="Hyperlink"/>
                  <w:rFonts w:ascii="Traditional Arabic" w:hAnsi="Traditional Arabic" w:cs="Traditional Arabic"/>
                  <w:color w:val="000000" w:themeColor="text1"/>
                  <w:sz w:val="24"/>
                  <w:u w:val="none"/>
                </w:rPr>
                <w:t>mus</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lam@u-capit</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.net</w:t>
              </w:r>
            </w:hyperlink>
            <w:r w:rsidRPr="00CA4D73">
              <w:rPr>
                <w:rFonts w:ascii="Traditional Arabic" w:hAnsi="Traditional Arabic" w:cs="Traditional Arabic"/>
                <w:color w:val="000000" w:themeColor="text1"/>
                <w:sz w:val="24"/>
              </w:rPr>
              <w:br/>
            </w:r>
            <w:hyperlink r:id="rId96" w:history="1">
              <w:r w:rsidRPr="00CA4D73">
                <w:rPr>
                  <w:rStyle w:val="Hyperlink"/>
                  <w:rFonts w:ascii="Traditional Arabic" w:hAnsi="Traditional Arabic" w:cs="Traditional Arabic"/>
                  <w:color w:val="000000" w:themeColor="text1"/>
                  <w:sz w:val="24"/>
                  <w:u w:val="none"/>
                </w:rPr>
                <w:t>+96824949065</w:t>
              </w:r>
            </w:hyperlink>
          </w:p>
        </w:tc>
      </w:tr>
      <w:tr w:rsidR="00897DDD" w:rsidRPr="00785453" w14:paraId="2F51DD4B" w14:textId="77777777" w:rsidTr="00CA4D73">
        <w:tc>
          <w:tcPr>
            <w:tcW w:w="1505" w:type="dxa"/>
          </w:tcPr>
          <w:p w14:paraId="54C987A4" w14:textId="77777777" w:rsidR="00897DDD" w:rsidRPr="00CA4D73" w:rsidRDefault="00897DDD"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lastRenderedPageBreak/>
              <w:t>الشركة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المتحدة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للأوراق</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المالية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.م.م</w:t>
            </w:r>
          </w:p>
          <w:p w14:paraId="52658933" w14:textId="77777777" w:rsidR="00897DDD" w:rsidRPr="00785453" w:rsidRDefault="00897DDD" w:rsidP="00C54F8B">
            <w:pPr>
              <w:bidi/>
              <w:rPr>
                <w:rFonts w:ascii="Traditional Arabic" w:hAnsi="Traditional Arabic" w:cs="Traditional Arabic"/>
                <w:sz w:val="30"/>
                <w:szCs w:val="30"/>
                <w:rtl/>
              </w:rPr>
            </w:pPr>
          </w:p>
        </w:tc>
        <w:tc>
          <w:tcPr>
            <w:tcW w:w="1972" w:type="dxa"/>
          </w:tcPr>
          <w:p w14:paraId="1C4D5594" w14:textId="77777777" w:rsidR="00897DDD" w:rsidRDefault="00812145"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أيمن اللواتي</w:t>
            </w:r>
          </w:p>
          <w:p w14:paraId="5DD8BF65" w14:textId="77777777" w:rsidR="00812145" w:rsidRPr="00785453" w:rsidRDefault="00812145"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أسامة شهاب</w:t>
            </w:r>
          </w:p>
        </w:tc>
        <w:tc>
          <w:tcPr>
            <w:tcW w:w="2410" w:type="dxa"/>
          </w:tcPr>
          <w:p w14:paraId="5F335B1C" w14:textId="77777777" w:rsidR="00897DDD" w:rsidRPr="00CA4D73" w:rsidRDefault="00897DDD"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٢٥٦٦،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.ب ١١٢</w:t>
            </w:r>
          </w:p>
          <w:p w14:paraId="503B1DB5" w14:textId="77777777" w:rsidR="00897DDD" w:rsidRPr="00785453" w:rsidRDefault="00897DDD"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06EF8F1C" w14:textId="77777777" w:rsidR="00897DDD" w:rsidRPr="00CA4D73" w:rsidRDefault="00023DF7" w:rsidP="00CA4D73">
            <w:pPr>
              <w:jc w:val="right"/>
              <w:rPr>
                <w:rFonts w:ascii="Traditional Arabic" w:hAnsi="Traditional Arabic" w:cs="Traditional Arabic"/>
                <w:color w:val="000000" w:themeColor="text1"/>
                <w:sz w:val="24"/>
                <w:rtl/>
                <w:lang w:bidi="ar-OM"/>
              </w:rPr>
            </w:pPr>
            <w:hyperlink r:id="rId97" w:tooltip="mailto:Ayman@usoman.com" w:history="1">
              <w:r w:rsidRPr="00CA4D73">
                <w:rPr>
                  <w:rStyle w:val="Hyperlink"/>
                  <w:rFonts w:ascii="Traditional Arabic" w:hAnsi="Traditional Arabic" w:cs="Traditional Arabic"/>
                  <w:color w:val="000000" w:themeColor="text1"/>
                  <w:sz w:val="24"/>
                  <w:u w:val="none"/>
                </w:rPr>
                <w:t>Ayman@usoman.com</w:t>
              </w:r>
            </w:hyperlink>
            <w:r w:rsidRPr="00CA4D73">
              <w:rPr>
                <w:rFonts w:ascii="Traditional Arabic" w:hAnsi="Traditional Arabic" w:cs="Traditional Arabic"/>
                <w:color w:val="000000" w:themeColor="text1"/>
                <w:sz w:val="24"/>
                <w:shd w:val="clear" w:color="auto" w:fill="FFFFFF"/>
              </w:rPr>
              <w:t>;</w:t>
            </w:r>
            <w:r w:rsidRPr="00CA4D73">
              <w:rPr>
                <w:rStyle w:val="apple-converted-space"/>
                <w:rFonts w:ascii="Traditional Arabic" w:hAnsi="Traditional Arabic" w:cs="Traditional Arabic"/>
                <w:color w:val="000000" w:themeColor="text1"/>
                <w:sz w:val="24"/>
                <w:shd w:val="clear" w:color="auto" w:fill="FFFFFF"/>
              </w:rPr>
              <w:t> </w:t>
            </w:r>
            <w:r w:rsidRPr="00CA4D73">
              <w:rPr>
                <w:rFonts w:ascii="Traditional Arabic" w:hAnsi="Traditional Arabic" w:cs="Traditional Arabic"/>
                <w:color w:val="000000" w:themeColor="text1"/>
                <w:sz w:val="24"/>
              </w:rPr>
              <w:br/>
            </w:r>
            <w:hyperlink r:id="rId98" w:history="1">
              <w:r w:rsidRPr="00CA4D73">
                <w:rPr>
                  <w:rStyle w:val="Hyperlink"/>
                  <w:rFonts w:ascii="Traditional Arabic" w:hAnsi="Traditional Arabic" w:cs="Traditional Arabic"/>
                  <w:color w:val="000000" w:themeColor="text1"/>
                  <w:sz w:val="24"/>
                  <w:u w:val="none"/>
                </w:rPr>
                <w:t>+968 2476 3337</w:t>
              </w:r>
            </w:hyperlink>
            <w:r w:rsidRPr="00CA4D73">
              <w:rPr>
                <w:rStyle w:val="apple-converted-space"/>
                <w:rFonts w:ascii="Traditional Arabic" w:hAnsi="Traditional Arabic" w:cs="Traditional Arabic"/>
                <w:color w:val="000000" w:themeColor="text1"/>
                <w:sz w:val="24"/>
              </w:rPr>
              <w:t> </w:t>
            </w:r>
            <w:r w:rsidRPr="00CA4D73">
              <w:rPr>
                <w:rFonts w:ascii="Traditional Arabic" w:hAnsi="Traditional Arabic" w:cs="Traditional Arabic"/>
                <w:color w:val="000000" w:themeColor="text1"/>
                <w:sz w:val="24"/>
              </w:rPr>
              <w:br/>
            </w:r>
            <w:hyperlink r:id="rId99" w:tooltip="mailto:Osama@usoman.com" w:history="1">
              <w:r w:rsidRPr="00CA4D73">
                <w:rPr>
                  <w:rStyle w:val="Hyperlink"/>
                  <w:rFonts w:ascii="Traditional Arabic" w:hAnsi="Traditional Arabic" w:cs="Traditional Arabic"/>
                  <w:color w:val="000000" w:themeColor="text1"/>
                  <w:sz w:val="24"/>
                  <w:u w:val="none"/>
                </w:rPr>
                <w:t>Osama@usoman.com</w:t>
              </w:r>
            </w:hyperlink>
            <w:r w:rsidRPr="00CA4D73">
              <w:rPr>
                <w:rFonts w:ascii="Traditional Arabic" w:hAnsi="Traditional Arabic" w:cs="Traditional Arabic"/>
                <w:color w:val="000000" w:themeColor="text1"/>
                <w:sz w:val="24"/>
                <w:shd w:val="clear" w:color="auto" w:fill="FFFFFF"/>
              </w:rPr>
              <w:t>;</w:t>
            </w:r>
            <w:r w:rsidRPr="00CA4D73">
              <w:rPr>
                <w:rStyle w:val="apple-converted-space"/>
                <w:rFonts w:ascii="Traditional Arabic" w:hAnsi="Traditional Arabic" w:cs="Traditional Arabic"/>
                <w:color w:val="000000" w:themeColor="text1"/>
                <w:sz w:val="24"/>
                <w:shd w:val="clear" w:color="auto" w:fill="FFFFFF"/>
              </w:rPr>
              <w:t> </w:t>
            </w:r>
            <w:r w:rsidRPr="00CA4D73">
              <w:rPr>
                <w:rFonts w:ascii="Traditional Arabic" w:hAnsi="Traditional Arabic" w:cs="Traditional Arabic"/>
                <w:color w:val="000000" w:themeColor="text1"/>
                <w:sz w:val="24"/>
              </w:rPr>
              <w:br/>
            </w:r>
            <w:hyperlink r:id="rId100" w:history="1">
              <w:r w:rsidRPr="00CA4D73">
                <w:rPr>
                  <w:rStyle w:val="Hyperlink"/>
                  <w:rFonts w:ascii="Traditional Arabic" w:hAnsi="Traditional Arabic" w:cs="Traditional Arabic"/>
                  <w:color w:val="000000" w:themeColor="text1"/>
                  <w:sz w:val="24"/>
                  <w:u w:val="none"/>
                </w:rPr>
                <w:t>+968 2476 3329</w:t>
              </w:r>
            </w:hyperlink>
          </w:p>
        </w:tc>
      </w:tr>
      <w:tr w:rsidR="00F97C98" w:rsidRPr="00785453" w14:paraId="5287EE38" w14:textId="77777777" w:rsidTr="00CA4D73">
        <w:tc>
          <w:tcPr>
            <w:tcW w:w="1505" w:type="dxa"/>
          </w:tcPr>
          <w:p w14:paraId="72A361F5" w14:textId="77777777" w:rsidR="00875027" w:rsidRPr="00CA4D73" w:rsidRDefault="00875027"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الرؤية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للأوراق</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المالية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.م.م</w:t>
            </w:r>
          </w:p>
          <w:p w14:paraId="00F1DA6F" w14:textId="77777777" w:rsidR="00F97C98" w:rsidRPr="00785453" w:rsidRDefault="00F97C98" w:rsidP="00C54F8B">
            <w:pPr>
              <w:bidi/>
              <w:rPr>
                <w:rFonts w:ascii="Traditional Arabic" w:hAnsi="Traditional Arabic" w:cs="Traditional Arabic"/>
                <w:sz w:val="30"/>
                <w:szCs w:val="30"/>
                <w:rtl/>
              </w:rPr>
            </w:pPr>
          </w:p>
        </w:tc>
        <w:tc>
          <w:tcPr>
            <w:tcW w:w="1972" w:type="dxa"/>
          </w:tcPr>
          <w:p w14:paraId="5955937D" w14:textId="77777777" w:rsidR="00F97C98" w:rsidRDefault="00D979E1"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محمد جودة</w:t>
            </w:r>
          </w:p>
          <w:p w14:paraId="430800F9" w14:textId="77777777" w:rsidR="00D979E1" w:rsidRPr="00785453" w:rsidRDefault="00D979E1"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محمد المحرزي</w:t>
            </w:r>
          </w:p>
        </w:tc>
        <w:tc>
          <w:tcPr>
            <w:tcW w:w="2410" w:type="dxa"/>
          </w:tcPr>
          <w:p w14:paraId="251A183E" w14:textId="77777777" w:rsidR="00875027" w:rsidRPr="00CA4D73" w:rsidRDefault="00875027"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٧١٢،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.ب ١٣١</w:t>
            </w:r>
          </w:p>
          <w:p w14:paraId="7520B672" w14:textId="77777777" w:rsidR="00F97C98" w:rsidRPr="00785453" w:rsidRDefault="00875027"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03042EE6" w14:textId="77777777" w:rsidR="00F97C98" w:rsidRPr="00CA4D73" w:rsidRDefault="0055169E" w:rsidP="00CA4D73">
            <w:pPr>
              <w:jc w:val="right"/>
              <w:rPr>
                <w:rFonts w:ascii="Traditional Arabic" w:hAnsi="Traditional Arabic" w:cs="Traditional Arabic"/>
                <w:color w:val="000000" w:themeColor="text1"/>
                <w:sz w:val="24"/>
                <w:rtl/>
                <w:lang w:bidi="ar-OM"/>
              </w:rPr>
            </w:pPr>
            <w:hyperlink r:id="rId101" w:tooltip="mailto:mohd.gouda@visioncapital.om" w:history="1">
              <w:r w:rsidRPr="00CA4D73">
                <w:rPr>
                  <w:rStyle w:val="Hyperlink"/>
                  <w:rFonts w:ascii="Traditional Arabic" w:hAnsi="Traditional Arabic" w:cs="Traditional Arabic"/>
                  <w:color w:val="000000" w:themeColor="text1"/>
                  <w:sz w:val="24"/>
                  <w:u w:val="none"/>
                </w:rPr>
                <w:t>mohd.gouda@visioncapit</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.om</w:t>
              </w:r>
            </w:hyperlink>
            <w:r w:rsidRPr="00CA4D73">
              <w:rPr>
                <w:rFonts w:ascii="Traditional Arabic" w:hAnsi="Traditional Arabic" w:cs="Traditional Arabic"/>
                <w:color w:val="000000" w:themeColor="text1"/>
                <w:sz w:val="24"/>
                <w:shd w:val="clear" w:color="auto" w:fill="FFFFFF"/>
              </w:rPr>
              <w:t>;</w:t>
            </w:r>
            <w:r w:rsidRPr="00CA4D73">
              <w:rPr>
                <w:rFonts w:ascii="Traditional Arabic" w:hAnsi="Traditional Arabic" w:cs="Traditional Arabic"/>
                <w:color w:val="000000" w:themeColor="text1"/>
                <w:sz w:val="24"/>
              </w:rPr>
              <w:br/>
            </w:r>
            <w:hyperlink r:id="rId102" w:history="1">
              <w:r w:rsidRPr="00CA4D73">
                <w:rPr>
                  <w:rStyle w:val="Hyperlink"/>
                  <w:rFonts w:ascii="Traditional Arabic" w:hAnsi="Traditional Arabic" w:cs="Traditional Arabic"/>
                  <w:color w:val="000000" w:themeColor="text1"/>
                  <w:sz w:val="24"/>
                  <w:u w:val="none"/>
                </w:rPr>
                <w:t>+968 2476 0017</w:t>
              </w:r>
            </w:hyperlink>
            <w:r w:rsidRPr="00CA4D73">
              <w:rPr>
                <w:rFonts w:ascii="Traditional Arabic" w:hAnsi="Traditional Arabic" w:cs="Traditional Arabic"/>
                <w:color w:val="000000" w:themeColor="text1"/>
                <w:sz w:val="24"/>
              </w:rPr>
              <w:br/>
            </w:r>
            <w:hyperlink r:id="rId103" w:tooltip="mailto:mohammed.m@visioncapital.om" w:history="1">
              <w:r w:rsidRPr="00CA4D73">
                <w:rPr>
                  <w:rStyle w:val="Hyperlink"/>
                  <w:rFonts w:ascii="Traditional Arabic" w:hAnsi="Traditional Arabic" w:cs="Traditional Arabic"/>
                  <w:color w:val="000000" w:themeColor="text1"/>
                  <w:sz w:val="24"/>
                  <w:u w:val="none"/>
                </w:rPr>
                <w:t>mohammed.m@visioncapit</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.om</w:t>
              </w:r>
            </w:hyperlink>
            <w:r w:rsidRPr="00CA4D73">
              <w:rPr>
                <w:rFonts w:ascii="Traditional Arabic" w:hAnsi="Traditional Arabic" w:cs="Traditional Arabic"/>
                <w:color w:val="000000" w:themeColor="text1"/>
                <w:sz w:val="24"/>
                <w:shd w:val="clear" w:color="auto" w:fill="FFFFFF"/>
              </w:rPr>
              <w:t>;</w:t>
            </w:r>
            <w:r w:rsidRPr="00CA4D73">
              <w:rPr>
                <w:rFonts w:ascii="Traditional Arabic" w:hAnsi="Traditional Arabic" w:cs="Traditional Arabic"/>
                <w:color w:val="000000" w:themeColor="text1"/>
                <w:sz w:val="24"/>
              </w:rPr>
              <w:br/>
            </w:r>
            <w:hyperlink r:id="rId104" w:history="1">
              <w:r w:rsidRPr="00CA4D73">
                <w:rPr>
                  <w:rStyle w:val="Hyperlink"/>
                  <w:rFonts w:ascii="Traditional Arabic" w:hAnsi="Traditional Arabic" w:cs="Traditional Arabic"/>
                  <w:color w:val="000000" w:themeColor="text1"/>
                  <w:sz w:val="24"/>
                  <w:u w:val="none"/>
                </w:rPr>
                <w:t>+968 2476 0015</w:t>
              </w:r>
            </w:hyperlink>
          </w:p>
        </w:tc>
      </w:tr>
      <w:tr w:rsidR="00F97C98" w:rsidRPr="00785453" w14:paraId="5F960ABD" w14:textId="77777777" w:rsidTr="00CA4D73">
        <w:tc>
          <w:tcPr>
            <w:tcW w:w="1505" w:type="dxa"/>
          </w:tcPr>
          <w:p w14:paraId="43CAAAD2" w14:textId="77777777" w:rsidR="00812145" w:rsidRPr="00CA4D73" w:rsidRDefault="00812145"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سي</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اف</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اي</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المالية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ش</w:t>
            </w:r>
            <w:r w:rsidRPr="00CA4D73">
              <w:rPr>
                <w:rFonts w:ascii="Traditional Arabic" w:hAnsi="Traditional Arabic" w:cs="Traditional Arabic"/>
                <w:sz w:val="30"/>
                <w:szCs w:val="30"/>
                <w:rtl/>
              </w:rPr>
              <w:t xml:space="preserve">.م.م </w:t>
            </w:r>
          </w:p>
          <w:p w14:paraId="510807EA" w14:textId="77777777" w:rsidR="00F97C98" w:rsidRPr="00785453" w:rsidRDefault="00F97C98" w:rsidP="00C54F8B">
            <w:pPr>
              <w:bidi/>
              <w:rPr>
                <w:rFonts w:ascii="Traditional Arabic" w:hAnsi="Traditional Arabic" w:cs="Traditional Arabic"/>
                <w:sz w:val="30"/>
                <w:szCs w:val="30"/>
                <w:rtl/>
              </w:rPr>
            </w:pPr>
          </w:p>
        </w:tc>
        <w:tc>
          <w:tcPr>
            <w:tcW w:w="1972" w:type="dxa"/>
          </w:tcPr>
          <w:p w14:paraId="3C247CBE" w14:textId="77777777" w:rsidR="00F97C98" w:rsidRDefault="00D979E1"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سلطان النعماني</w:t>
            </w:r>
          </w:p>
          <w:p w14:paraId="5ED24B9B" w14:textId="77777777" w:rsidR="00D979E1" w:rsidRPr="00785453" w:rsidRDefault="00D979E1"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خالد السناني</w:t>
            </w:r>
          </w:p>
        </w:tc>
        <w:tc>
          <w:tcPr>
            <w:tcW w:w="2410" w:type="dxa"/>
          </w:tcPr>
          <w:p w14:paraId="44AB5732" w14:textId="77777777" w:rsidR="00812145" w:rsidRPr="00CA4D73" w:rsidRDefault="00812145" w:rsidP="00CA4D73">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١٢٣،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.ب ١١٤</w:t>
            </w:r>
          </w:p>
          <w:p w14:paraId="7C3CE37D" w14:textId="77777777" w:rsidR="00F97C98" w:rsidRPr="00785453" w:rsidRDefault="00812145" w:rsidP="00C54F8B">
            <w:pPr>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مسقط،</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46F039CE" w14:textId="77777777" w:rsidR="009F53BC" w:rsidRPr="00CA4D73" w:rsidRDefault="009F53BC" w:rsidP="00CA4D73">
            <w:pPr>
              <w:shd w:val="clear" w:color="auto" w:fill="FFFFFF"/>
              <w:jc w:val="right"/>
              <w:rPr>
                <w:rFonts w:ascii="Traditional Arabic" w:hAnsi="Traditional Arabic" w:cs="Traditional Arabic"/>
                <w:color w:val="000000" w:themeColor="text1"/>
                <w:sz w:val="24"/>
              </w:rPr>
            </w:pPr>
            <w:hyperlink r:id="rId105" w:tooltip="mailto:s.alnuumani@cfi.trade" w:history="1">
              <w:r w:rsidRPr="00CA4D73">
                <w:rPr>
                  <w:rStyle w:val="Hyperlink"/>
                  <w:rFonts w:ascii="Traditional Arabic" w:hAnsi="Traditional Arabic" w:cs="Traditional Arabic"/>
                  <w:color w:val="000000" w:themeColor="text1"/>
                  <w:sz w:val="24"/>
                  <w:u w:val="none"/>
                </w:rPr>
                <w:t>s.</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nuumani@cfi.trade</w:t>
              </w:r>
            </w:hyperlink>
          </w:p>
          <w:p w14:paraId="08E6765F" w14:textId="77777777" w:rsidR="009F53BC" w:rsidRPr="00CA4D73" w:rsidRDefault="009F53BC" w:rsidP="00CA4D73">
            <w:pPr>
              <w:shd w:val="clear" w:color="auto" w:fill="FFFFFF"/>
              <w:jc w:val="right"/>
              <w:rPr>
                <w:rFonts w:ascii="Traditional Arabic" w:hAnsi="Traditional Arabic" w:cs="Traditional Arabic"/>
                <w:color w:val="000000" w:themeColor="text1"/>
                <w:sz w:val="24"/>
              </w:rPr>
            </w:pPr>
            <w:hyperlink r:id="rId106" w:history="1">
              <w:r w:rsidRPr="00CA4D73">
                <w:rPr>
                  <w:rStyle w:val="Hyperlink"/>
                  <w:rFonts w:ascii="Traditional Arabic" w:hAnsi="Traditional Arabic" w:cs="Traditional Arabic"/>
                  <w:color w:val="000000" w:themeColor="text1"/>
                  <w:sz w:val="24"/>
                  <w:u w:val="none"/>
                </w:rPr>
                <w:t>+968 9925 6619</w:t>
              </w:r>
            </w:hyperlink>
          </w:p>
          <w:p w14:paraId="0C57C885" w14:textId="77777777" w:rsidR="009F53BC" w:rsidRPr="00CA4D73" w:rsidRDefault="009F53BC" w:rsidP="00CA4D73">
            <w:pPr>
              <w:shd w:val="clear" w:color="auto" w:fill="FFFFFF"/>
              <w:jc w:val="right"/>
              <w:rPr>
                <w:rFonts w:ascii="Traditional Arabic" w:hAnsi="Traditional Arabic" w:cs="Traditional Arabic"/>
                <w:color w:val="000000" w:themeColor="text1"/>
                <w:sz w:val="24"/>
              </w:rPr>
            </w:pPr>
            <w:hyperlink r:id="rId107" w:tooltip="mailto:k.alsinani@cfi.trade" w:history="1">
              <w:r w:rsidRPr="00CA4D73">
                <w:rPr>
                  <w:rStyle w:val="Hyperlink"/>
                  <w:rFonts w:ascii="Traditional Arabic" w:hAnsi="Traditional Arabic" w:cs="Traditional Arabic"/>
                  <w:color w:val="000000" w:themeColor="text1"/>
                  <w:sz w:val="24"/>
                  <w:u w:val="none"/>
                </w:rPr>
                <w:t>k.</w:t>
              </w:r>
              <w:r w:rsidRPr="00CA4D73">
                <w:rPr>
                  <w:rStyle w:val="outlook-search-highlight"/>
                  <w:rFonts w:ascii="Traditional Arabic" w:hAnsi="Traditional Arabic" w:cs="Traditional Arabic"/>
                  <w:color w:val="000000" w:themeColor="text1"/>
                  <w:sz w:val="24"/>
                </w:rPr>
                <w:t>al</w:t>
              </w:r>
              <w:r w:rsidRPr="00CA4D73">
                <w:rPr>
                  <w:rStyle w:val="Hyperlink"/>
                  <w:rFonts w:ascii="Traditional Arabic" w:hAnsi="Traditional Arabic" w:cs="Traditional Arabic"/>
                  <w:color w:val="000000" w:themeColor="text1"/>
                  <w:sz w:val="24"/>
                  <w:u w:val="none"/>
                </w:rPr>
                <w:t>sinani@cfi.trade</w:t>
              </w:r>
            </w:hyperlink>
          </w:p>
          <w:p w14:paraId="1EB45E06" w14:textId="77777777" w:rsidR="009F53BC" w:rsidRPr="00CA4D73" w:rsidRDefault="009F53BC" w:rsidP="00CA4D73">
            <w:pPr>
              <w:shd w:val="clear" w:color="auto" w:fill="FFFFFF"/>
              <w:jc w:val="right"/>
              <w:rPr>
                <w:rFonts w:ascii="Traditional Arabic" w:hAnsi="Traditional Arabic" w:cs="Traditional Arabic"/>
                <w:color w:val="000000" w:themeColor="text1"/>
                <w:sz w:val="24"/>
              </w:rPr>
            </w:pPr>
            <w:hyperlink r:id="rId108" w:history="1">
              <w:r w:rsidRPr="00CA4D73">
                <w:rPr>
                  <w:rStyle w:val="Hyperlink"/>
                  <w:rFonts w:ascii="Traditional Arabic" w:hAnsi="Traditional Arabic" w:cs="Traditional Arabic"/>
                  <w:color w:val="000000" w:themeColor="text1"/>
                  <w:sz w:val="24"/>
                  <w:u w:val="none"/>
                </w:rPr>
                <w:t>+968 9775 6000</w:t>
              </w:r>
            </w:hyperlink>
          </w:p>
          <w:p w14:paraId="0887DF81" w14:textId="77777777" w:rsidR="00F97C98" w:rsidRPr="00CA4D73" w:rsidRDefault="00F97C98" w:rsidP="00CA4D73">
            <w:pPr>
              <w:jc w:val="right"/>
              <w:rPr>
                <w:rFonts w:ascii="Traditional Arabic" w:hAnsi="Traditional Arabic" w:cs="Traditional Arabic"/>
                <w:color w:val="000000" w:themeColor="text1"/>
                <w:sz w:val="24"/>
                <w:rtl/>
                <w:lang w:bidi="ar-OM"/>
              </w:rPr>
            </w:pPr>
          </w:p>
        </w:tc>
      </w:tr>
      <w:tr w:rsidR="00232AC0" w:rsidRPr="00785453" w14:paraId="30FEBE79" w14:textId="77777777" w:rsidTr="00CA4D73">
        <w:tc>
          <w:tcPr>
            <w:tcW w:w="1505" w:type="dxa"/>
          </w:tcPr>
          <w:p w14:paraId="1A26DB51" w14:textId="77777777" w:rsidR="00232AC0" w:rsidRPr="00CA4D73" w:rsidRDefault="00232AC0" w:rsidP="00CA4D73">
            <w:pPr>
              <w:tabs>
                <w:tab w:val="left" w:leader="dot" w:pos="3672"/>
              </w:tabs>
              <w:bidi/>
              <w:rPr>
                <w:rFonts w:ascii="Traditional Arabic" w:hAnsi="Traditional Arabic" w:cs="Traditional Arabic"/>
                <w:sz w:val="30"/>
                <w:szCs w:val="30"/>
                <w:rtl/>
              </w:rPr>
            </w:pPr>
            <w:r w:rsidRPr="0080296D">
              <w:rPr>
                <w:rFonts w:ascii="Traditional Arabic" w:hAnsi="Traditional Arabic" w:cs="Traditional Arabic"/>
                <w:sz w:val="30"/>
                <w:szCs w:val="30"/>
                <w:rtl/>
              </w:rPr>
              <w:t>شركة الخدمات المالية ش</w:t>
            </w:r>
            <w:r>
              <w:rPr>
                <w:rFonts w:ascii="Traditional Arabic" w:hAnsi="Traditional Arabic" w:cs="Traditional Arabic" w:hint="cs"/>
                <w:sz w:val="30"/>
                <w:szCs w:val="30"/>
                <w:rtl/>
              </w:rPr>
              <w:t>.</w:t>
            </w:r>
            <w:r w:rsidRPr="0080296D">
              <w:rPr>
                <w:rFonts w:ascii="Traditional Arabic" w:hAnsi="Traditional Arabic" w:cs="Traditional Arabic"/>
                <w:sz w:val="30"/>
                <w:szCs w:val="30"/>
                <w:rtl/>
              </w:rPr>
              <w:t>م</w:t>
            </w:r>
            <w:r>
              <w:rPr>
                <w:rFonts w:ascii="Traditional Arabic" w:hAnsi="Traditional Arabic" w:cs="Traditional Arabic" w:hint="cs"/>
                <w:sz w:val="30"/>
                <w:szCs w:val="30"/>
                <w:rtl/>
              </w:rPr>
              <w:t>.</w:t>
            </w:r>
            <w:r w:rsidRPr="0080296D">
              <w:rPr>
                <w:rFonts w:ascii="Traditional Arabic" w:hAnsi="Traditional Arabic" w:cs="Traditional Arabic"/>
                <w:sz w:val="30"/>
                <w:szCs w:val="30"/>
                <w:rtl/>
              </w:rPr>
              <w:t>ع</w:t>
            </w:r>
            <w:r>
              <w:rPr>
                <w:rFonts w:ascii="Traditional Arabic" w:hAnsi="Traditional Arabic" w:cs="Traditional Arabic" w:hint="cs"/>
                <w:sz w:val="30"/>
                <w:szCs w:val="30"/>
                <w:rtl/>
              </w:rPr>
              <w:t>.</w:t>
            </w:r>
            <w:r w:rsidRPr="0080296D">
              <w:rPr>
                <w:rFonts w:ascii="Traditional Arabic" w:hAnsi="Traditional Arabic" w:cs="Traditional Arabic"/>
                <w:sz w:val="30"/>
                <w:szCs w:val="30"/>
                <w:rtl/>
              </w:rPr>
              <w:t>ع</w:t>
            </w:r>
          </w:p>
        </w:tc>
        <w:tc>
          <w:tcPr>
            <w:tcW w:w="1972" w:type="dxa"/>
          </w:tcPr>
          <w:p w14:paraId="5FB8600E" w14:textId="77777777" w:rsidR="00232AC0" w:rsidRDefault="00B96B0F" w:rsidP="00C54F8B">
            <w:pPr>
              <w:bidi/>
              <w:rPr>
                <w:rFonts w:ascii="Traditional Arabic" w:hAnsi="Traditional Arabic" w:cs="Traditional Arabic"/>
                <w:sz w:val="30"/>
                <w:szCs w:val="30"/>
                <w:rtl/>
              </w:rPr>
            </w:pPr>
            <w:r>
              <w:rPr>
                <w:rFonts w:ascii="Traditional Arabic" w:hAnsi="Traditional Arabic" w:cs="Traditional Arabic" w:hint="cs"/>
                <w:sz w:val="30"/>
                <w:szCs w:val="30"/>
                <w:rtl/>
              </w:rPr>
              <w:t>إ</w:t>
            </w:r>
            <w:r w:rsidR="00FD63DF">
              <w:rPr>
                <w:rFonts w:ascii="Traditional Arabic" w:hAnsi="Traditional Arabic" w:cs="Traditional Arabic" w:hint="cs"/>
                <w:sz w:val="30"/>
                <w:szCs w:val="30"/>
                <w:rtl/>
              </w:rPr>
              <w:t>براهيم الحساني</w:t>
            </w:r>
          </w:p>
          <w:p w14:paraId="3F49EAAD" w14:textId="77777777" w:rsidR="00FD63DF" w:rsidRDefault="00FD63DF" w:rsidP="00FD63DF">
            <w:pPr>
              <w:bidi/>
              <w:rPr>
                <w:rFonts w:ascii="Traditional Arabic" w:hAnsi="Traditional Arabic" w:cs="Traditional Arabic"/>
                <w:sz w:val="30"/>
                <w:szCs w:val="30"/>
                <w:rtl/>
              </w:rPr>
            </w:pPr>
            <w:r>
              <w:rPr>
                <w:rFonts w:ascii="Traditional Arabic" w:hAnsi="Traditional Arabic" w:cs="Traditional Arabic" w:hint="cs"/>
                <w:sz w:val="30"/>
                <w:szCs w:val="30"/>
                <w:rtl/>
              </w:rPr>
              <w:t>نادر البلوشي</w:t>
            </w:r>
          </w:p>
        </w:tc>
        <w:tc>
          <w:tcPr>
            <w:tcW w:w="2410" w:type="dxa"/>
          </w:tcPr>
          <w:p w14:paraId="11BCD6C7" w14:textId="77777777" w:rsidR="00FD63DF" w:rsidRPr="00CA4D73" w:rsidRDefault="00FD63DF" w:rsidP="00FD63DF">
            <w:pPr>
              <w:tabs>
                <w:tab w:val="left" w:leader="dot" w:pos="3672"/>
              </w:tabs>
              <w:bidi/>
              <w:rPr>
                <w:rFonts w:ascii="Traditional Arabic" w:hAnsi="Traditional Arabic" w:cs="Traditional Arabic"/>
                <w:sz w:val="30"/>
                <w:szCs w:val="30"/>
                <w:rtl/>
              </w:rPr>
            </w:pPr>
            <w:r w:rsidRPr="00CA4D73">
              <w:rPr>
                <w:rFonts w:ascii="Traditional Arabic" w:hAnsi="Traditional Arabic" w:cs="Traditional Arabic" w:hint="eastAsia"/>
                <w:sz w:val="30"/>
                <w:szCs w:val="30"/>
                <w:rtl/>
              </w:rPr>
              <w:t>ص</w:t>
            </w:r>
            <w:r w:rsidRPr="00CA4D73">
              <w:rPr>
                <w:rFonts w:ascii="Traditional Arabic" w:hAnsi="Traditional Arabic" w:cs="Traditional Arabic"/>
                <w:sz w:val="30"/>
                <w:szCs w:val="30"/>
                <w:rtl/>
              </w:rPr>
              <w:t xml:space="preserve">.ب </w:t>
            </w:r>
            <w:r>
              <w:rPr>
                <w:rFonts w:ascii="Traditional Arabic" w:hAnsi="Traditional Arabic" w:cs="Traditional Arabic" w:hint="cs"/>
                <w:sz w:val="30"/>
                <w:szCs w:val="30"/>
                <w:rtl/>
              </w:rPr>
              <w:t>2777</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ر</w:t>
            </w:r>
            <w:r w:rsidRPr="00CA4D73">
              <w:rPr>
                <w:rFonts w:ascii="Traditional Arabic" w:hAnsi="Traditional Arabic" w:cs="Traditional Arabic"/>
                <w:sz w:val="30"/>
                <w:szCs w:val="30"/>
                <w:rtl/>
              </w:rPr>
              <w:t xml:space="preserve">.ب </w:t>
            </w:r>
            <w:r>
              <w:rPr>
                <w:rFonts w:ascii="Traditional Arabic" w:hAnsi="Traditional Arabic" w:cs="Traditional Arabic" w:hint="cs"/>
                <w:sz w:val="30"/>
                <w:szCs w:val="30"/>
                <w:rtl/>
              </w:rPr>
              <w:t>112</w:t>
            </w:r>
          </w:p>
          <w:p w14:paraId="1488414D" w14:textId="77777777" w:rsidR="00232AC0" w:rsidRPr="00CA4D73" w:rsidRDefault="00FD63DF" w:rsidP="00FD63DF">
            <w:pPr>
              <w:tabs>
                <w:tab w:val="left" w:leader="dot" w:pos="3672"/>
              </w:tabs>
              <w:bidi/>
              <w:rPr>
                <w:rFonts w:ascii="Traditional Arabic" w:hAnsi="Traditional Arabic" w:cs="Traditional Arabic"/>
                <w:sz w:val="30"/>
                <w:szCs w:val="30"/>
                <w:rtl/>
              </w:rPr>
            </w:pPr>
            <w:r>
              <w:rPr>
                <w:rFonts w:ascii="Traditional Arabic" w:hAnsi="Traditional Arabic" w:cs="Traditional Arabic" w:hint="cs"/>
                <w:sz w:val="30"/>
                <w:szCs w:val="30"/>
                <w:rtl/>
              </w:rPr>
              <w:t>روي</w:t>
            </w:r>
            <w:r w:rsidRPr="00CA4D73">
              <w:rPr>
                <w:rFonts w:ascii="Traditional Arabic" w:hAnsi="Traditional Arabic" w:cs="Traditional Arabic" w:hint="eastAsia"/>
                <w:sz w:val="30"/>
                <w:szCs w:val="30"/>
                <w:rtl/>
              </w:rPr>
              <w:t>،</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سلطنة</w:t>
            </w:r>
            <w:r w:rsidRPr="00CA4D73">
              <w:rPr>
                <w:rFonts w:ascii="Traditional Arabic" w:hAnsi="Traditional Arabic" w:cs="Traditional Arabic"/>
                <w:sz w:val="30"/>
                <w:szCs w:val="30"/>
                <w:rtl/>
              </w:rPr>
              <w:t xml:space="preserve"> </w:t>
            </w:r>
            <w:r w:rsidRPr="00CA4D73">
              <w:rPr>
                <w:rFonts w:ascii="Traditional Arabic" w:hAnsi="Traditional Arabic" w:cs="Traditional Arabic" w:hint="eastAsia"/>
                <w:sz w:val="30"/>
                <w:szCs w:val="30"/>
                <w:rtl/>
              </w:rPr>
              <w:t>عمان</w:t>
            </w:r>
          </w:p>
        </w:tc>
        <w:tc>
          <w:tcPr>
            <w:tcW w:w="4103" w:type="dxa"/>
          </w:tcPr>
          <w:p w14:paraId="4A3DD281" w14:textId="77777777" w:rsidR="00B96B0F" w:rsidRPr="003832A3" w:rsidRDefault="00B96B0F" w:rsidP="003832A3">
            <w:pPr>
              <w:shd w:val="clear" w:color="auto" w:fill="FFFFFF"/>
              <w:jc w:val="right"/>
              <w:rPr>
                <w:rStyle w:val="Hyperlink"/>
                <w:rFonts w:ascii="Traditional Arabic" w:hAnsi="Traditional Arabic" w:cs="Traditional Arabic"/>
                <w:color w:val="000000" w:themeColor="text1"/>
                <w:sz w:val="24"/>
                <w:u w:val="none"/>
              </w:rPr>
            </w:pPr>
            <w:r w:rsidRPr="003832A3">
              <w:rPr>
                <w:rStyle w:val="Hyperlink"/>
                <w:rFonts w:ascii="Traditional Arabic" w:hAnsi="Traditional Arabic" w:cs="Traditional Arabic"/>
                <w:color w:val="000000" w:themeColor="text1"/>
                <w:sz w:val="24"/>
                <w:u w:val="none"/>
              </w:rPr>
              <w:t>ibrahim.alhasani@fscoman.net</w:t>
            </w:r>
          </w:p>
          <w:p w14:paraId="40C18D28" w14:textId="77777777" w:rsidR="00B96B0F" w:rsidRPr="003832A3" w:rsidRDefault="00B96B0F" w:rsidP="003832A3">
            <w:pPr>
              <w:shd w:val="clear" w:color="auto" w:fill="FFFFFF"/>
              <w:jc w:val="right"/>
              <w:rPr>
                <w:rStyle w:val="Hyperlink"/>
                <w:rFonts w:ascii="Traditional Arabic" w:hAnsi="Traditional Arabic" w:cs="Traditional Arabic"/>
                <w:color w:val="000000" w:themeColor="text1"/>
                <w:sz w:val="24"/>
                <w:u w:val="none"/>
              </w:rPr>
            </w:pPr>
            <w:r w:rsidRPr="003832A3">
              <w:rPr>
                <w:rStyle w:val="Hyperlink"/>
                <w:rFonts w:ascii="Traditional Arabic" w:hAnsi="Traditional Arabic" w:cs="Traditional Arabic"/>
                <w:color w:val="000000" w:themeColor="text1"/>
                <w:sz w:val="24"/>
                <w:u w:val="none"/>
              </w:rPr>
              <w:t>+968 2482 5601</w:t>
            </w:r>
          </w:p>
          <w:p w14:paraId="5C511FC1" w14:textId="77777777" w:rsidR="00B96B0F" w:rsidRPr="003832A3" w:rsidRDefault="00B96B0F" w:rsidP="003832A3">
            <w:pPr>
              <w:shd w:val="clear" w:color="auto" w:fill="FFFFFF"/>
              <w:jc w:val="right"/>
              <w:rPr>
                <w:rStyle w:val="Hyperlink"/>
                <w:rFonts w:ascii="Traditional Arabic" w:hAnsi="Traditional Arabic" w:cs="Traditional Arabic"/>
                <w:color w:val="000000" w:themeColor="text1"/>
                <w:sz w:val="24"/>
                <w:u w:val="none"/>
              </w:rPr>
            </w:pPr>
            <w:r w:rsidRPr="003832A3">
              <w:rPr>
                <w:rStyle w:val="Hyperlink"/>
                <w:rFonts w:ascii="Traditional Arabic" w:hAnsi="Traditional Arabic" w:cs="Traditional Arabic"/>
                <w:color w:val="000000" w:themeColor="text1"/>
                <w:sz w:val="24"/>
                <w:u w:val="none"/>
              </w:rPr>
              <w:t>nadir.albalushi@fscoman.net</w:t>
            </w:r>
          </w:p>
          <w:p w14:paraId="2F3C225B" w14:textId="77777777" w:rsidR="00232AC0" w:rsidRPr="003832A3" w:rsidRDefault="00B96B0F" w:rsidP="00B96B0F">
            <w:pPr>
              <w:shd w:val="clear" w:color="auto" w:fill="FFFFFF"/>
              <w:jc w:val="right"/>
              <w:rPr>
                <w:rStyle w:val="Hyperlink"/>
                <w:rFonts w:ascii="Traditional Arabic" w:hAnsi="Traditional Arabic" w:cs="Traditional Arabic"/>
                <w:color w:val="000000" w:themeColor="text1"/>
                <w:sz w:val="24"/>
                <w:u w:val="none"/>
              </w:rPr>
            </w:pPr>
            <w:r w:rsidRPr="003832A3">
              <w:rPr>
                <w:rStyle w:val="Hyperlink"/>
                <w:rFonts w:ascii="Traditional Arabic" w:hAnsi="Traditional Arabic" w:cs="Traditional Arabic"/>
                <w:color w:val="000000" w:themeColor="text1"/>
                <w:sz w:val="24"/>
                <w:u w:val="none"/>
              </w:rPr>
              <w:t>+968 2482 5604</w:t>
            </w:r>
          </w:p>
        </w:tc>
      </w:tr>
    </w:tbl>
    <w:p w14:paraId="37DDF163" w14:textId="77777777" w:rsidR="00C53B7B" w:rsidRPr="00785453" w:rsidRDefault="00C53B7B" w:rsidP="00C53B7B">
      <w:pPr>
        <w:bidi/>
        <w:rPr>
          <w:rFonts w:ascii="Traditional Arabic" w:hAnsi="Traditional Arabic" w:cs="Traditional Arabic"/>
          <w:sz w:val="30"/>
          <w:szCs w:val="30"/>
          <w:rtl/>
        </w:rPr>
      </w:pPr>
    </w:p>
    <w:p w14:paraId="58823D1A" w14:textId="77777777" w:rsidR="00C53B7B" w:rsidRPr="00785453" w:rsidRDefault="00C53B7B" w:rsidP="00C53B7B">
      <w:pPr>
        <w:bidi/>
        <w:rPr>
          <w:rFonts w:ascii="Traditional Arabic" w:hAnsi="Traditional Arabic" w:cs="Traditional Arabic"/>
          <w:sz w:val="30"/>
          <w:szCs w:val="30"/>
          <w:rtl/>
        </w:rPr>
      </w:pPr>
    </w:p>
    <w:p w14:paraId="176EFBFE"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وفي حالة عدم تجاوب وكيل التحصيل يتعين عليه الاتصال بمد</w:t>
      </w:r>
      <w:r w:rsidRPr="00785453">
        <w:rPr>
          <w:rFonts w:ascii="Traditional Arabic" w:hAnsi="Traditional Arabic" w:cs="Traditional Arabic" w:hint="cs"/>
          <w:sz w:val="30"/>
          <w:szCs w:val="30"/>
          <w:rtl/>
        </w:rPr>
        <w:t>ير</w:t>
      </w:r>
      <w:r w:rsidRPr="00785453">
        <w:rPr>
          <w:rFonts w:ascii="Traditional Arabic" w:hAnsi="Traditional Arabic" w:cs="Traditional Arabic"/>
          <w:sz w:val="30"/>
          <w:szCs w:val="30"/>
          <w:rtl/>
        </w:rPr>
        <w:t xml:space="preserve"> الإصدار التالية تفاصيله:</w:t>
      </w:r>
    </w:p>
    <w:p w14:paraId="17C6082E" w14:textId="77777777" w:rsidR="00C53B7B" w:rsidRPr="00785453" w:rsidRDefault="00C53B7B" w:rsidP="00C53B7B">
      <w:pPr>
        <w:bidi/>
        <w:jc w:val="both"/>
        <w:rPr>
          <w:rFonts w:ascii="Traditional Arabic" w:hAnsi="Traditional Arabic" w:cs="Traditional Arabic"/>
          <w:sz w:val="30"/>
          <w:szCs w:val="30"/>
          <w:rtl/>
        </w:rPr>
      </w:pPr>
    </w:p>
    <w:p w14:paraId="23349C70" w14:textId="77777777" w:rsidR="00C53B7B"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بنك </w:t>
      </w:r>
      <w:r w:rsidR="00563D6D">
        <w:rPr>
          <w:rFonts w:ascii="Traditional Arabic" w:hAnsi="Traditional Arabic" w:cs="Traditional Arabic" w:hint="cs"/>
          <w:sz w:val="30"/>
          <w:szCs w:val="30"/>
          <w:rtl/>
        </w:rPr>
        <w:t>صحار الدولي ش م ع ع</w:t>
      </w:r>
    </w:p>
    <w:p w14:paraId="3462325B" w14:textId="77777777" w:rsidR="00563D6D" w:rsidRDefault="00563D6D" w:rsidP="00563D6D">
      <w:pPr>
        <w:bidi/>
        <w:jc w:val="both"/>
        <w:rPr>
          <w:rFonts w:ascii="Traditional Arabic" w:hAnsi="Traditional Arabic" w:cs="Traditional Arabic"/>
          <w:sz w:val="30"/>
          <w:szCs w:val="30"/>
          <w:rtl/>
        </w:rPr>
      </w:pPr>
      <w:r>
        <w:rPr>
          <w:rFonts w:ascii="Traditional Arabic" w:hAnsi="Traditional Arabic" w:cs="Traditional Arabic" w:hint="cs"/>
          <w:sz w:val="30"/>
          <w:szCs w:val="30"/>
          <w:rtl/>
        </w:rPr>
        <w:t>الفاضل/ المعتصم المطيري</w:t>
      </w:r>
    </w:p>
    <w:p w14:paraId="36329358" w14:textId="77777777" w:rsidR="0062396A" w:rsidRDefault="0062396A" w:rsidP="0062396A">
      <w:pPr>
        <w:bidi/>
        <w:jc w:val="both"/>
        <w:rPr>
          <w:rFonts w:ascii="Traditional Arabic" w:hAnsi="Traditional Arabic" w:cs="Traditional Arabic"/>
          <w:sz w:val="30"/>
          <w:szCs w:val="30"/>
          <w:rtl/>
        </w:rPr>
      </w:pPr>
      <w:r>
        <w:rPr>
          <w:rFonts w:ascii="Traditional Arabic" w:hAnsi="Traditional Arabic" w:cs="Traditional Arabic" w:hint="cs"/>
          <w:sz w:val="30"/>
          <w:szCs w:val="30"/>
          <w:rtl/>
        </w:rPr>
        <w:t>رئيس الخدمات المصرفية والاستثمارية الإسلامية بصحار الدولي</w:t>
      </w:r>
    </w:p>
    <w:p w14:paraId="4D4B58FB" w14:textId="77777777" w:rsidR="0062396A" w:rsidRDefault="0062396A" w:rsidP="0062396A">
      <w:pPr>
        <w:bidi/>
        <w:jc w:val="both"/>
        <w:rPr>
          <w:rFonts w:ascii="Traditional Arabic" w:hAnsi="Traditional Arabic" w:cs="Traditional Arabic"/>
          <w:sz w:val="30"/>
          <w:szCs w:val="30"/>
          <w:rtl/>
        </w:rPr>
      </w:pPr>
      <w:r>
        <w:rPr>
          <w:rFonts w:ascii="Traditional Arabic" w:hAnsi="Traditional Arabic" w:cs="Traditional Arabic" w:hint="cs"/>
          <w:sz w:val="30"/>
          <w:szCs w:val="30"/>
          <w:rtl/>
        </w:rPr>
        <w:t>ص.ب 44، والرمز البريدي 114</w:t>
      </w:r>
    </w:p>
    <w:p w14:paraId="5EA16FFF" w14:textId="77777777" w:rsidR="0062396A" w:rsidRDefault="0062396A" w:rsidP="0062396A">
      <w:pPr>
        <w:bidi/>
        <w:jc w:val="both"/>
        <w:rPr>
          <w:rFonts w:ascii="Traditional Arabic" w:hAnsi="Traditional Arabic" w:cs="Traditional Arabic"/>
          <w:sz w:val="30"/>
          <w:szCs w:val="30"/>
          <w:rtl/>
        </w:rPr>
      </w:pPr>
      <w:r>
        <w:rPr>
          <w:rFonts w:ascii="Traditional Arabic" w:hAnsi="Traditional Arabic" w:cs="Traditional Arabic" w:hint="cs"/>
          <w:sz w:val="30"/>
          <w:szCs w:val="30"/>
          <w:rtl/>
        </w:rPr>
        <w:t>روي، مسقط، سلطنة عمان</w:t>
      </w:r>
    </w:p>
    <w:p w14:paraId="7252692B" w14:textId="77777777" w:rsidR="0062396A" w:rsidRDefault="0062396A" w:rsidP="0062396A">
      <w:pPr>
        <w:bidi/>
        <w:jc w:val="both"/>
        <w:rPr>
          <w:rtl/>
        </w:rPr>
      </w:pPr>
      <w:r>
        <w:rPr>
          <w:rFonts w:ascii="Traditional Arabic" w:hAnsi="Traditional Arabic" w:cs="Traditional Arabic" w:hint="cs"/>
          <w:sz w:val="30"/>
          <w:szCs w:val="30"/>
          <w:rtl/>
        </w:rPr>
        <w:t xml:space="preserve">البريد الإلكتروني: </w:t>
      </w:r>
      <w:hyperlink r:id="rId109" w:history="1">
        <w:r w:rsidRPr="00E13135">
          <w:rPr>
            <w:rStyle w:val="Hyperlink"/>
          </w:rPr>
          <w:t>almuatasim.almutairi@soharinternational.com</w:t>
        </w:r>
      </w:hyperlink>
    </w:p>
    <w:p w14:paraId="5E998729" w14:textId="77777777" w:rsidR="0062396A" w:rsidRPr="00785453" w:rsidRDefault="0062396A" w:rsidP="0062396A">
      <w:pPr>
        <w:bidi/>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هاتف: </w:t>
      </w:r>
      <w:r>
        <w:t>968 2403 7306</w:t>
      </w:r>
    </w:p>
    <w:p w14:paraId="42E32981" w14:textId="77777777" w:rsidR="00C53B7B" w:rsidRPr="00785453" w:rsidRDefault="00C53B7B" w:rsidP="000B794B">
      <w:pPr>
        <w:bidi/>
        <w:jc w:val="both"/>
        <w:rPr>
          <w:rFonts w:ascii="Traditional Arabic" w:hAnsi="Traditional Arabic" w:cs="Traditional Arabic"/>
          <w:sz w:val="30"/>
          <w:szCs w:val="30"/>
          <w:rtl/>
        </w:rPr>
      </w:pPr>
      <w:r w:rsidRPr="00785453">
        <w:br/>
      </w:r>
    </w:p>
    <w:p w14:paraId="1FBC0C23" w14:textId="77777777" w:rsidR="00C53B7B" w:rsidRPr="00785453" w:rsidRDefault="00C53B7B" w:rsidP="00C53B7B">
      <w:pPr>
        <w:bidi/>
        <w:jc w:val="both"/>
        <w:rPr>
          <w:rFonts w:ascii="Traditional Arabic" w:hAnsi="Traditional Arabic" w:cs="Traditional Arabic"/>
          <w:sz w:val="30"/>
          <w:szCs w:val="30"/>
          <w:rtl/>
          <w:lang w:bidi="ar-OM"/>
        </w:rPr>
      </w:pPr>
    </w:p>
    <w:p w14:paraId="0C2A5F21" w14:textId="77777777" w:rsidR="00C53B7B" w:rsidRPr="00785453" w:rsidRDefault="00C53B7B" w:rsidP="00C53B7B">
      <w:pPr>
        <w:bidi/>
        <w:jc w:val="both"/>
        <w:rPr>
          <w:rFonts w:ascii="Traditional Arabic" w:hAnsi="Traditional Arabic" w:cs="Traditional Arabic"/>
          <w:b/>
          <w:bCs/>
          <w:sz w:val="30"/>
          <w:szCs w:val="30"/>
          <w:rtl/>
          <w:lang w:bidi="ar-EG"/>
        </w:rPr>
      </w:pPr>
      <w:r w:rsidRPr="00785453">
        <w:rPr>
          <w:rFonts w:ascii="Traditional Arabic" w:hAnsi="Traditional Arabic" w:cs="Traditional Arabic"/>
          <w:b/>
          <w:bCs/>
          <w:sz w:val="30"/>
          <w:szCs w:val="30"/>
          <w:rtl/>
          <w:lang w:bidi="ar-EG"/>
        </w:rPr>
        <w:lastRenderedPageBreak/>
        <w:t>الجدول الزمني</w:t>
      </w:r>
    </w:p>
    <w:p w14:paraId="5090223F" w14:textId="77777777" w:rsidR="00C53B7B" w:rsidRPr="00785453" w:rsidRDefault="00C53B7B" w:rsidP="00C53B7B">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rtl/>
          <w:lang w:bidi="ar-EG"/>
        </w:rPr>
        <w:t>يوضح الجدول التالي الجدول الزمني المتوقع لاستكمال إجراءات الاكتتاب:</w:t>
      </w:r>
    </w:p>
    <w:tbl>
      <w:tblPr>
        <w:tblStyle w:val="TableGrid"/>
        <w:bidiVisual/>
        <w:tblW w:w="0" w:type="auto"/>
        <w:tblLook w:val="04A0" w:firstRow="1" w:lastRow="0" w:firstColumn="1" w:lastColumn="0" w:noHBand="0" w:noVBand="1"/>
      </w:tblPr>
      <w:tblGrid>
        <w:gridCol w:w="5756"/>
        <w:gridCol w:w="3594"/>
      </w:tblGrid>
      <w:tr w:rsidR="00C53B7B" w:rsidRPr="00785453" w14:paraId="64F1FD18" w14:textId="77777777" w:rsidTr="00922116">
        <w:tc>
          <w:tcPr>
            <w:tcW w:w="5756" w:type="dxa"/>
          </w:tcPr>
          <w:p w14:paraId="447E99A3" w14:textId="77777777" w:rsidR="00C53B7B" w:rsidRPr="00785453" w:rsidRDefault="00C53B7B" w:rsidP="00922116">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rtl/>
                <w:lang w:bidi="ar-EG"/>
              </w:rPr>
              <w:t>الإجراء</w:t>
            </w:r>
          </w:p>
        </w:tc>
        <w:tc>
          <w:tcPr>
            <w:tcW w:w="3594" w:type="dxa"/>
          </w:tcPr>
          <w:p w14:paraId="47D8D862" w14:textId="77777777" w:rsidR="00C53B7B" w:rsidRPr="00785453" w:rsidRDefault="00C53B7B" w:rsidP="00922116">
            <w:pPr>
              <w:bidi/>
              <w:jc w:val="center"/>
              <w:rPr>
                <w:rFonts w:ascii="Traditional Arabic" w:hAnsi="Traditional Arabic" w:cs="Traditional Arabic"/>
                <w:sz w:val="30"/>
                <w:szCs w:val="30"/>
                <w:rtl/>
                <w:lang w:bidi="ar-EG"/>
              </w:rPr>
            </w:pPr>
            <w:r w:rsidRPr="00785453">
              <w:rPr>
                <w:rFonts w:ascii="Traditional Arabic" w:hAnsi="Traditional Arabic" w:cs="Traditional Arabic"/>
                <w:sz w:val="30"/>
                <w:szCs w:val="30"/>
                <w:rtl/>
                <w:lang w:bidi="ar-EG"/>
              </w:rPr>
              <w:t>التاريخ</w:t>
            </w:r>
          </w:p>
        </w:tc>
      </w:tr>
      <w:tr w:rsidR="00C53B7B" w:rsidRPr="00785453" w14:paraId="1CE05F0D" w14:textId="77777777" w:rsidTr="00922116">
        <w:tc>
          <w:tcPr>
            <w:tcW w:w="5756" w:type="dxa"/>
          </w:tcPr>
          <w:p w14:paraId="3287653A" w14:textId="77777777" w:rsidR="00C53B7B" w:rsidRPr="00785453" w:rsidRDefault="00C53B7B" w:rsidP="00922116">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تاريخ فتح باب الاكتتاب في الفئة الأولى</w:t>
            </w:r>
          </w:p>
        </w:tc>
        <w:tc>
          <w:tcPr>
            <w:tcW w:w="3594" w:type="dxa"/>
          </w:tcPr>
          <w:p w14:paraId="0F431DF1" w14:textId="77777777" w:rsidR="00C53B7B" w:rsidRPr="00785453" w:rsidRDefault="000C5AEC" w:rsidP="003832A3">
            <w:pPr>
              <w:tabs>
                <w:tab w:val="left" w:pos="789"/>
              </w:tabs>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 xml:space="preserve">20 </w:t>
            </w:r>
            <w:r w:rsidR="00FF769C">
              <w:rPr>
                <w:rFonts w:ascii="Traditional Arabic" w:hAnsi="Traditional Arabic" w:cs="Traditional Arabic" w:hint="cs"/>
                <w:sz w:val="30"/>
                <w:szCs w:val="30"/>
                <w:rtl/>
                <w:lang w:bidi="ar-EG"/>
              </w:rPr>
              <w:t>فبراير ٢٠٢٥</w:t>
            </w:r>
          </w:p>
        </w:tc>
      </w:tr>
      <w:tr w:rsidR="00FF769C" w:rsidRPr="00785453" w14:paraId="11A27353" w14:textId="77777777" w:rsidTr="00922116">
        <w:tc>
          <w:tcPr>
            <w:tcW w:w="5756" w:type="dxa"/>
          </w:tcPr>
          <w:p w14:paraId="66AB278C" w14:textId="77777777" w:rsidR="00FF769C" w:rsidRPr="00785453" w:rsidRDefault="00FF769C" w:rsidP="00FF769C">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تاريخ فتح باب الاكتتاب في الفئة الثانية</w:t>
            </w:r>
          </w:p>
        </w:tc>
        <w:tc>
          <w:tcPr>
            <w:tcW w:w="3594" w:type="dxa"/>
          </w:tcPr>
          <w:p w14:paraId="4F191E0B" w14:textId="77777777" w:rsidR="00FF769C" w:rsidRPr="00785453" w:rsidRDefault="000C5AEC" w:rsidP="00FF769C">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 xml:space="preserve">20 </w:t>
            </w:r>
            <w:r w:rsidR="00FF769C">
              <w:rPr>
                <w:rFonts w:ascii="Traditional Arabic" w:hAnsi="Traditional Arabic" w:cs="Traditional Arabic" w:hint="cs"/>
                <w:sz w:val="30"/>
                <w:szCs w:val="30"/>
                <w:rtl/>
                <w:lang w:bidi="ar-EG"/>
              </w:rPr>
              <w:t>فبراير ٢٠٢٥</w:t>
            </w:r>
          </w:p>
        </w:tc>
      </w:tr>
      <w:tr w:rsidR="00FF769C" w:rsidRPr="00785453" w14:paraId="56F2CD47" w14:textId="77777777" w:rsidTr="00922116">
        <w:tc>
          <w:tcPr>
            <w:tcW w:w="5756" w:type="dxa"/>
          </w:tcPr>
          <w:p w14:paraId="202EFD23" w14:textId="77777777" w:rsidR="00FF769C" w:rsidRPr="00785453" w:rsidRDefault="00FF769C" w:rsidP="00FF769C">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 xml:space="preserve">تاريخ إغلاق باب الاكتتاب في الفئة </w:t>
            </w:r>
            <w:r w:rsidR="00A21E3F">
              <w:rPr>
                <w:rFonts w:ascii="Traditional Arabic" w:hAnsi="Traditional Arabic" w:cs="Traditional Arabic" w:hint="cs"/>
                <w:sz w:val="30"/>
                <w:szCs w:val="30"/>
                <w:bdr w:val="none" w:sz="0" w:space="0" w:color="auto" w:frame="1"/>
                <w:rtl/>
                <w:lang w:bidi="ar-EG"/>
              </w:rPr>
              <w:t>الأولى</w:t>
            </w:r>
          </w:p>
        </w:tc>
        <w:tc>
          <w:tcPr>
            <w:tcW w:w="3594" w:type="dxa"/>
          </w:tcPr>
          <w:p w14:paraId="45B1F437" w14:textId="77777777" w:rsidR="00FF769C" w:rsidRPr="00785453" w:rsidRDefault="00A21E3F" w:rsidP="00FF769C">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27</w:t>
            </w:r>
            <w:r w:rsidR="000C5AEC">
              <w:rPr>
                <w:rFonts w:ascii="Traditional Arabic" w:hAnsi="Traditional Arabic" w:cs="Traditional Arabic" w:hint="cs"/>
                <w:sz w:val="30"/>
                <w:szCs w:val="30"/>
                <w:rtl/>
                <w:lang w:bidi="ar-EG"/>
              </w:rPr>
              <w:t xml:space="preserve"> </w:t>
            </w:r>
            <w:r w:rsidR="0074256E">
              <w:rPr>
                <w:rFonts w:ascii="Traditional Arabic" w:hAnsi="Traditional Arabic" w:cs="Traditional Arabic" w:hint="cs"/>
                <w:sz w:val="30"/>
                <w:szCs w:val="30"/>
                <w:rtl/>
                <w:lang w:bidi="ar-EG"/>
              </w:rPr>
              <w:t>فبراير ٢٠٢٥</w:t>
            </w:r>
          </w:p>
        </w:tc>
      </w:tr>
      <w:tr w:rsidR="0074256E" w:rsidRPr="00785453" w14:paraId="5231F5F2" w14:textId="77777777" w:rsidTr="00922116">
        <w:tc>
          <w:tcPr>
            <w:tcW w:w="5756" w:type="dxa"/>
          </w:tcPr>
          <w:p w14:paraId="3BB9FAD4" w14:textId="77777777" w:rsidR="0074256E" w:rsidRPr="00785453" w:rsidRDefault="0074256E" w:rsidP="0074256E">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 xml:space="preserve">تاريخ إغلاق باب الاكتتاب في الفئة </w:t>
            </w:r>
            <w:r w:rsidR="00A21E3F">
              <w:rPr>
                <w:rFonts w:ascii="Traditional Arabic" w:hAnsi="Traditional Arabic" w:cs="Traditional Arabic" w:hint="cs"/>
                <w:sz w:val="30"/>
                <w:szCs w:val="30"/>
                <w:bdr w:val="none" w:sz="0" w:space="0" w:color="auto" w:frame="1"/>
                <w:rtl/>
                <w:lang w:bidi="ar-EG"/>
              </w:rPr>
              <w:t>الثانية</w:t>
            </w:r>
          </w:p>
        </w:tc>
        <w:tc>
          <w:tcPr>
            <w:tcW w:w="3594" w:type="dxa"/>
          </w:tcPr>
          <w:p w14:paraId="68D86F47" w14:textId="77777777" w:rsidR="0074256E" w:rsidRPr="00785453" w:rsidRDefault="00A21E3F" w:rsidP="0074256E">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 xml:space="preserve">26 </w:t>
            </w:r>
            <w:r w:rsidR="0074256E">
              <w:rPr>
                <w:rFonts w:ascii="Traditional Arabic" w:hAnsi="Traditional Arabic" w:cs="Traditional Arabic" w:hint="cs"/>
                <w:sz w:val="30"/>
                <w:szCs w:val="30"/>
                <w:rtl/>
                <w:lang w:bidi="ar-EG"/>
              </w:rPr>
              <w:t>فبراير ٢٠٢٥</w:t>
            </w:r>
          </w:p>
        </w:tc>
      </w:tr>
      <w:tr w:rsidR="0074256E" w:rsidRPr="00785453" w14:paraId="541EE3BE" w14:textId="6BDB9C15" w:rsidTr="00922116">
        <w:tc>
          <w:tcPr>
            <w:tcW w:w="5756" w:type="dxa"/>
          </w:tcPr>
          <w:p w14:paraId="61B5281E" w14:textId="67D6F81D" w:rsidR="0074256E" w:rsidRPr="00785453" w:rsidRDefault="0074256E" w:rsidP="0074256E">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موعد استلام مدير الإصدار مبالغ الاكتتاب من مستثمري الفئة الثانية</w:t>
            </w:r>
          </w:p>
        </w:tc>
        <w:tc>
          <w:tcPr>
            <w:tcW w:w="3594" w:type="dxa"/>
          </w:tcPr>
          <w:p w14:paraId="7DD0F39E" w14:textId="639BD231" w:rsidR="0074256E" w:rsidRPr="00785453" w:rsidRDefault="00EE26FE" w:rsidP="0074256E">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2 مارس</w:t>
            </w:r>
            <w:r w:rsidR="0074256E">
              <w:rPr>
                <w:rFonts w:ascii="Traditional Arabic" w:hAnsi="Traditional Arabic" w:cs="Traditional Arabic" w:hint="cs"/>
                <w:sz w:val="30"/>
                <w:szCs w:val="30"/>
                <w:rtl/>
                <w:lang w:bidi="ar-EG"/>
              </w:rPr>
              <w:t xml:space="preserve"> ٢٠٢٥</w:t>
            </w:r>
          </w:p>
        </w:tc>
      </w:tr>
      <w:tr w:rsidR="001C783D" w:rsidRPr="00785453" w14:paraId="7348A8C4" w14:textId="77777777" w:rsidTr="00922116">
        <w:tc>
          <w:tcPr>
            <w:tcW w:w="5756" w:type="dxa"/>
          </w:tcPr>
          <w:p w14:paraId="4013C6DE" w14:textId="77777777" w:rsidR="001C783D" w:rsidRPr="00785453" w:rsidRDefault="001C783D" w:rsidP="001C783D">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موعد استلام مدير الإصدار بيانات الاكتتاب والسجلات النهائية من وكلاء التحصيل</w:t>
            </w:r>
          </w:p>
        </w:tc>
        <w:tc>
          <w:tcPr>
            <w:tcW w:w="3594" w:type="dxa"/>
          </w:tcPr>
          <w:p w14:paraId="51C0FA21" w14:textId="421F309E" w:rsidR="001C783D" w:rsidRPr="00785453" w:rsidRDefault="003D0AE1" w:rsidP="001C783D">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2 مارس</w:t>
            </w:r>
            <w:r w:rsidR="001C783D">
              <w:rPr>
                <w:rFonts w:ascii="Traditional Arabic" w:hAnsi="Traditional Arabic" w:cs="Traditional Arabic" w:hint="cs"/>
                <w:sz w:val="30"/>
                <w:szCs w:val="30"/>
                <w:rtl/>
                <w:lang w:bidi="ar-EG"/>
              </w:rPr>
              <w:t xml:space="preserve"> ٢٠٢٥</w:t>
            </w:r>
          </w:p>
        </w:tc>
      </w:tr>
      <w:tr w:rsidR="001C783D" w:rsidRPr="00785453" w14:paraId="3927AE58" w14:textId="77777777" w:rsidTr="00922116">
        <w:tc>
          <w:tcPr>
            <w:tcW w:w="5756" w:type="dxa"/>
          </w:tcPr>
          <w:p w14:paraId="457F4CCE" w14:textId="77777777" w:rsidR="001C783D" w:rsidRPr="00785453" w:rsidRDefault="001C783D" w:rsidP="001C783D">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تحديد سعر الطرح وإبلاغ هيئة الخدمات المالية بنتائج الاكتتاب والتخصيص المقترح</w:t>
            </w:r>
          </w:p>
        </w:tc>
        <w:tc>
          <w:tcPr>
            <w:tcW w:w="3594" w:type="dxa"/>
          </w:tcPr>
          <w:p w14:paraId="3FB2605D" w14:textId="77777777" w:rsidR="001C783D" w:rsidRPr="00785453" w:rsidRDefault="00EE26FE" w:rsidP="001C783D">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3 مارس</w:t>
            </w:r>
            <w:r w:rsidR="001C783D">
              <w:rPr>
                <w:rFonts w:ascii="Traditional Arabic" w:hAnsi="Traditional Arabic" w:cs="Traditional Arabic" w:hint="cs"/>
                <w:sz w:val="30"/>
                <w:szCs w:val="30"/>
                <w:rtl/>
                <w:lang w:bidi="ar-EG"/>
              </w:rPr>
              <w:t xml:space="preserve"> ٢٠٢٥</w:t>
            </w:r>
          </w:p>
        </w:tc>
      </w:tr>
      <w:tr w:rsidR="001C783D" w:rsidRPr="00785453" w14:paraId="0F204881" w14:textId="77777777" w:rsidTr="00922116">
        <w:tc>
          <w:tcPr>
            <w:tcW w:w="5756" w:type="dxa"/>
          </w:tcPr>
          <w:p w14:paraId="425848A6" w14:textId="77777777" w:rsidR="001C783D" w:rsidRPr="00785453" w:rsidRDefault="001C783D" w:rsidP="001C783D">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موافقة هيئة الخدمات المالية على التخصيص المقترح</w:t>
            </w:r>
          </w:p>
        </w:tc>
        <w:tc>
          <w:tcPr>
            <w:tcW w:w="3594" w:type="dxa"/>
          </w:tcPr>
          <w:p w14:paraId="4FE7EA9C" w14:textId="77777777" w:rsidR="001C783D" w:rsidRPr="00785453" w:rsidRDefault="00EA3616" w:rsidP="001C783D">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4 مارس</w:t>
            </w:r>
            <w:r w:rsidR="001C783D">
              <w:rPr>
                <w:rFonts w:ascii="Traditional Arabic" w:hAnsi="Traditional Arabic" w:cs="Traditional Arabic" w:hint="cs"/>
                <w:sz w:val="30"/>
                <w:szCs w:val="30"/>
                <w:rtl/>
                <w:lang w:bidi="ar-EG"/>
              </w:rPr>
              <w:t xml:space="preserve"> ٢٠٢٥</w:t>
            </w:r>
          </w:p>
        </w:tc>
      </w:tr>
      <w:tr w:rsidR="001C783D" w:rsidRPr="00785453" w14:paraId="64BFE299" w14:textId="77777777" w:rsidTr="00922116">
        <w:tc>
          <w:tcPr>
            <w:tcW w:w="5756" w:type="dxa"/>
          </w:tcPr>
          <w:p w14:paraId="648A2A91" w14:textId="77777777" w:rsidR="001C783D" w:rsidRPr="00785453" w:rsidRDefault="001C783D" w:rsidP="001C783D">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إعلان سعر الطرح في بورصة مسقط وإعلان المستثمرين بالتخصيص وتاريخ التسعير</w:t>
            </w:r>
          </w:p>
        </w:tc>
        <w:tc>
          <w:tcPr>
            <w:tcW w:w="3594" w:type="dxa"/>
          </w:tcPr>
          <w:p w14:paraId="238FF53D" w14:textId="77777777" w:rsidR="001C783D" w:rsidRPr="00785453" w:rsidRDefault="00EA3616" w:rsidP="001C783D">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4 مارس</w:t>
            </w:r>
            <w:r w:rsidR="001C783D">
              <w:rPr>
                <w:rFonts w:ascii="Traditional Arabic" w:hAnsi="Traditional Arabic" w:cs="Traditional Arabic" w:hint="cs"/>
                <w:sz w:val="30"/>
                <w:szCs w:val="30"/>
                <w:rtl/>
                <w:lang w:bidi="ar-EG"/>
              </w:rPr>
              <w:t xml:space="preserve"> ٢٠٢٥</w:t>
            </w:r>
          </w:p>
        </w:tc>
      </w:tr>
      <w:tr w:rsidR="003D0AE1" w:rsidRPr="00785453" w14:paraId="2CA0874F" w14:textId="77777777" w:rsidTr="00922116">
        <w:tc>
          <w:tcPr>
            <w:tcW w:w="5756" w:type="dxa"/>
          </w:tcPr>
          <w:p w14:paraId="5B389870" w14:textId="1E5C1691" w:rsidR="003D0AE1" w:rsidRPr="00785453" w:rsidRDefault="003D0AE1" w:rsidP="00290EF3">
            <w:pPr>
              <w:bidi/>
              <w:jc w:val="both"/>
              <w:rPr>
                <w:rFonts w:ascii="Traditional Arabic" w:hAnsi="Traditional Arabic" w:cs="Traditional Arabic"/>
                <w:sz w:val="30"/>
                <w:szCs w:val="30"/>
                <w:bdr w:val="none" w:sz="0" w:space="0" w:color="auto" w:frame="1"/>
                <w:rtl/>
                <w:lang w:bidi="ar-EG"/>
              </w:rPr>
            </w:pPr>
            <w:r w:rsidRPr="003D0AE1">
              <w:rPr>
                <w:rFonts w:ascii="Traditional Arabic" w:hAnsi="Traditional Arabic" w:cs="Traditional Arabic"/>
                <w:sz w:val="30"/>
                <w:szCs w:val="30"/>
                <w:bdr w:val="none" w:sz="0" w:space="0" w:color="auto" w:frame="1"/>
                <w:rtl/>
                <w:lang w:bidi="ar-EG"/>
              </w:rPr>
              <w:t>موعد إبلاغ المستثمرين من الفئة الأولى بنتائج التخصيص من قبل وكلاء التحصيل والمنسقين العالميين المشتركين</w:t>
            </w:r>
          </w:p>
        </w:tc>
        <w:tc>
          <w:tcPr>
            <w:tcW w:w="3594" w:type="dxa"/>
          </w:tcPr>
          <w:p w14:paraId="253CE817" w14:textId="1BF7E9C5" w:rsidR="003D0AE1" w:rsidRDefault="00290EF3" w:rsidP="001C783D">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4 مارس ٢٠٢٥</w:t>
            </w:r>
          </w:p>
        </w:tc>
      </w:tr>
      <w:tr w:rsidR="003D0AE1" w:rsidRPr="00785453" w14:paraId="2572036A" w14:textId="77777777" w:rsidTr="00922116">
        <w:tc>
          <w:tcPr>
            <w:tcW w:w="5756" w:type="dxa"/>
          </w:tcPr>
          <w:p w14:paraId="55C72DD7" w14:textId="61598D68" w:rsidR="003D0AE1" w:rsidRPr="00785453" w:rsidRDefault="003D0AE1" w:rsidP="00290EF3">
            <w:pPr>
              <w:bidi/>
              <w:jc w:val="both"/>
              <w:rPr>
                <w:rFonts w:ascii="Traditional Arabic" w:hAnsi="Traditional Arabic" w:cs="Traditional Arabic"/>
                <w:sz w:val="30"/>
                <w:szCs w:val="30"/>
                <w:bdr w:val="none" w:sz="0" w:space="0" w:color="auto" w:frame="1"/>
                <w:rtl/>
                <w:lang w:bidi="ar-EG"/>
              </w:rPr>
            </w:pPr>
            <w:r w:rsidRPr="003D0AE1">
              <w:rPr>
                <w:rFonts w:ascii="Traditional Arabic" w:hAnsi="Traditional Arabic" w:cs="Traditional Arabic"/>
                <w:sz w:val="30"/>
                <w:szCs w:val="30"/>
                <w:bdr w:val="none" w:sz="0" w:space="0" w:color="auto" w:frame="1"/>
                <w:rtl/>
                <w:lang w:bidi="ar-EG"/>
              </w:rPr>
              <w:t>موعد توقيع مذكرة التسعير من قبل المنسقين العالميين المشتركين ووكلاء التحصيل والمساهمين البائعين (كجزء من اتفاقية التسوية المؤسسية)</w:t>
            </w:r>
          </w:p>
        </w:tc>
        <w:tc>
          <w:tcPr>
            <w:tcW w:w="3594" w:type="dxa"/>
          </w:tcPr>
          <w:p w14:paraId="553676A2" w14:textId="3B9F42B4" w:rsidR="003D0AE1" w:rsidRDefault="00290EF3" w:rsidP="001C783D">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4 مارس ٢٠٢٥</w:t>
            </w:r>
          </w:p>
        </w:tc>
      </w:tr>
      <w:tr w:rsidR="003D0AE1" w:rsidRPr="00785453" w14:paraId="5959770B" w14:textId="77777777" w:rsidTr="00922116">
        <w:tc>
          <w:tcPr>
            <w:tcW w:w="5756" w:type="dxa"/>
          </w:tcPr>
          <w:p w14:paraId="71738581" w14:textId="1154A1D0" w:rsidR="003D0AE1" w:rsidRPr="00785453" w:rsidRDefault="003D0AE1" w:rsidP="00290EF3">
            <w:pPr>
              <w:bidi/>
              <w:jc w:val="both"/>
              <w:rPr>
                <w:rFonts w:ascii="Traditional Arabic" w:hAnsi="Traditional Arabic" w:cs="Traditional Arabic"/>
                <w:sz w:val="30"/>
                <w:szCs w:val="30"/>
                <w:bdr w:val="none" w:sz="0" w:space="0" w:color="auto" w:frame="1"/>
                <w:rtl/>
                <w:lang w:bidi="ar-EG"/>
              </w:rPr>
            </w:pPr>
            <w:r w:rsidRPr="003D0AE1">
              <w:rPr>
                <w:rFonts w:ascii="Traditional Arabic" w:hAnsi="Traditional Arabic" w:cs="Traditional Arabic"/>
                <w:sz w:val="30"/>
                <w:szCs w:val="30"/>
                <w:bdr w:val="none" w:sz="0" w:space="0" w:color="auto" w:frame="1"/>
                <w:rtl/>
                <w:lang w:bidi="ar-EG"/>
              </w:rPr>
              <w:t>بدء تحويل المبالغ من مستثمري الفئة الأولى مقابل الأسهم المخصصة لهم إلى المنسق العالمي المشترك أو وكيل التحصيل الخاص بهم</w:t>
            </w:r>
          </w:p>
        </w:tc>
        <w:tc>
          <w:tcPr>
            <w:tcW w:w="3594" w:type="dxa"/>
          </w:tcPr>
          <w:p w14:paraId="77D59F9E" w14:textId="7203E841" w:rsidR="003D0AE1" w:rsidRDefault="00290EF3" w:rsidP="001C783D">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4 مارس ٢٠٢٥</w:t>
            </w:r>
          </w:p>
        </w:tc>
      </w:tr>
      <w:tr w:rsidR="003D0AE1" w:rsidRPr="00785453" w14:paraId="1E48D600" w14:textId="77777777" w:rsidTr="00922116">
        <w:tc>
          <w:tcPr>
            <w:tcW w:w="5756" w:type="dxa"/>
          </w:tcPr>
          <w:p w14:paraId="7DDAFAA7" w14:textId="3573BD66" w:rsidR="003D0AE1" w:rsidRPr="00785453" w:rsidRDefault="003D0AE1" w:rsidP="001C783D">
            <w:pPr>
              <w:bidi/>
              <w:jc w:val="both"/>
              <w:rPr>
                <w:rFonts w:ascii="Traditional Arabic" w:hAnsi="Traditional Arabic" w:cs="Traditional Arabic"/>
                <w:sz w:val="30"/>
                <w:szCs w:val="30"/>
                <w:bdr w:val="none" w:sz="0" w:space="0" w:color="auto" w:frame="1"/>
                <w:rtl/>
                <w:lang w:bidi="ar-EG"/>
              </w:rPr>
            </w:pPr>
            <w:r w:rsidRPr="003D0AE1">
              <w:rPr>
                <w:rFonts w:ascii="Traditional Arabic" w:hAnsi="Traditional Arabic" w:cs="Traditional Arabic"/>
                <w:sz w:val="30"/>
                <w:szCs w:val="30"/>
                <w:bdr w:val="none" w:sz="0" w:space="0" w:color="auto" w:frame="1"/>
                <w:rtl/>
                <w:lang w:bidi="ar-EG"/>
              </w:rPr>
              <w:t>أخر موعد لتحويل المبالغ من مستثمري الفئة الأولى مقابل الأسهم المخصصة لهم إلى المنسق العالمي المشترك أو وكيل التحصيل الخاص بهم</w:t>
            </w:r>
          </w:p>
        </w:tc>
        <w:tc>
          <w:tcPr>
            <w:tcW w:w="3594" w:type="dxa"/>
          </w:tcPr>
          <w:p w14:paraId="54CED832" w14:textId="3B046333" w:rsidR="003D0AE1" w:rsidRDefault="00290EF3" w:rsidP="001C783D">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6 مارس ٢٠٢٥</w:t>
            </w:r>
          </w:p>
        </w:tc>
      </w:tr>
      <w:tr w:rsidR="001C783D" w:rsidRPr="00785453" w14:paraId="182A79C1" w14:textId="77777777" w:rsidTr="00922116">
        <w:tc>
          <w:tcPr>
            <w:tcW w:w="5756" w:type="dxa"/>
          </w:tcPr>
          <w:p w14:paraId="306505B0" w14:textId="7B3D2045" w:rsidR="001C783D" w:rsidRPr="00785453" w:rsidRDefault="001C783D" w:rsidP="001C783D">
            <w:pPr>
              <w:bidi/>
              <w:jc w:val="both"/>
              <w:rPr>
                <w:rFonts w:ascii="Traditional Arabic" w:hAnsi="Traditional Arabic" w:cs="Traditional Arabic"/>
                <w:sz w:val="30"/>
                <w:szCs w:val="30"/>
                <w:bdr w:val="none" w:sz="0" w:space="0" w:color="auto" w:frame="1"/>
                <w:rtl/>
              </w:rPr>
            </w:pPr>
            <w:r w:rsidRPr="00785453">
              <w:rPr>
                <w:rFonts w:ascii="Traditional Arabic" w:hAnsi="Traditional Arabic" w:cs="Traditional Arabic"/>
                <w:sz w:val="30"/>
                <w:szCs w:val="30"/>
                <w:bdr w:val="none" w:sz="0" w:space="0" w:color="auto" w:frame="1"/>
                <w:rtl/>
              </w:rPr>
              <w:t xml:space="preserve">الموعد النهائي لمدير الإصدار لتلقي مبالغ </w:t>
            </w:r>
            <w:r w:rsidRPr="00785453">
              <w:rPr>
                <w:rFonts w:ascii="Traditional Arabic" w:hAnsi="Traditional Arabic" w:cs="Traditional Arabic" w:hint="cs"/>
                <w:sz w:val="30"/>
                <w:szCs w:val="30"/>
                <w:bdr w:val="none" w:sz="0" w:space="0" w:color="auto" w:frame="1"/>
                <w:rtl/>
              </w:rPr>
              <w:t xml:space="preserve">الاكتتاب </w:t>
            </w:r>
            <w:r w:rsidRPr="00785453">
              <w:rPr>
                <w:rFonts w:ascii="Traditional Arabic" w:hAnsi="Traditional Arabic" w:cs="Traditional Arabic"/>
                <w:sz w:val="30"/>
                <w:szCs w:val="30"/>
                <w:bdr w:val="none" w:sz="0" w:space="0" w:color="auto" w:frame="1"/>
                <w:rtl/>
              </w:rPr>
              <w:t>من الفئة الأولى من وكلاء التحصيل</w:t>
            </w:r>
            <w:r w:rsidR="003D0AE1">
              <w:rPr>
                <w:rFonts w:ascii="Traditional Arabic" w:hAnsi="Traditional Arabic" w:cs="Traditional Arabic" w:hint="cs"/>
                <w:sz w:val="30"/>
                <w:szCs w:val="30"/>
                <w:bdr w:val="none" w:sz="0" w:space="0" w:color="auto" w:frame="1"/>
                <w:rtl/>
              </w:rPr>
              <w:t xml:space="preserve"> </w:t>
            </w:r>
            <w:r w:rsidR="003D0AE1" w:rsidRPr="003D0AE1">
              <w:rPr>
                <w:rFonts w:ascii="Traditional Arabic" w:hAnsi="Traditional Arabic" w:cs="Traditional Arabic"/>
                <w:sz w:val="30"/>
                <w:szCs w:val="30"/>
                <w:bdr w:val="none" w:sz="0" w:space="0" w:color="auto" w:frame="1"/>
                <w:rtl/>
              </w:rPr>
              <w:t>والمنسقين العالميين المشتركين</w:t>
            </w:r>
          </w:p>
        </w:tc>
        <w:tc>
          <w:tcPr>
            <w:tcW w:w="3594" w:type="dxa"/>
          </w:tcPr>
          <w:p w14:paraId="2E97FF50" w14:textId="3B9938B6" w:rsidR="001C783D" w:rsidRPr="00785453" w:rsidDel="00E96764" w:rsidRDefault="003D0AE1" w:rsidP="003D0AE1">
            <w:pPr>
              <w:bidi/>
              <w:jc w:val="center"/>
              <w:rPr>
                <w:rFonts w:ascii="Traditional Arabic" w:hAnsi="Traditional Arabic" w:cs="Traditional Arabic"/>
                <w:sz w:val="30"/>
                <w:szCs w:val="30"/>
                <w:bdr w:val="none" w:sz="0" w:space="0" w:color="auto" w:frame="1"/>
                <w:rtl/>
                <w:lang w:bidi="ar-OM"/>
              </w:rPr>
            </w:pPr>
            <w:r>
              <w:rPr>
                <w:rFonts w:ascii="Traditional Arabic" w:hAnsi="Traditional Arabic" w:cs="Traditional Arabic" w:hint="cs"/>
                <w:sz w:val="30"/>
                <w:szCs w:val="30"/>
                <w:bdr w:val="none" w:sz="0" w:space="0" w:color="auto" w:frame="1"/>
                <w:rtl/>
                <w:lang w:bidi="ar-OM"/>
              </w:rPr>
              <w:t>6-</w:t>
            </w:r>
            <w:r w:rsidR="005361F0">
              <w:rPr>
                <w:rFonts w:ascii="Traditional Arabic" w:hAnsi="Traditional Arabic" w:cs="Traditional Arabic" w:hint="cs"/>
                <w:sz w:val="30"/>
                <w:szCs w:val="30"/>
                <w:bdr w:val="none" w:sz="0" w:space="0" w:color="auto" w:frame="1"/>
                <w:rtl/>
                <w:lang w:bidi="ar-OM"/>
              </w:rPr>
              <w:t>9 مارس</w:t>
            </w:r>
            <w:r w:rsidR="00FA4F61">
              <w:rPr>
                <w:rFonts w:ascii="Traditional Arabic" w:hAnsi="Traditional Arabic" w:cs="Traditional Arabic" w:hint="cs"/>
                <w:sz w:val="30"/>
                <w:szCs w:val="30"/>
                <w:bdr w:val="none" w:sz="0" w:space="0" w:color="auto" w:frame="1"/>
                <w:rtl/>
                <w:lang w:bidi="ar-OM"/>
              </w:rPr>
              <w:t>2025</w:t>
            </w:r>
          </w:p>
        </w:tc>
      </w:tr>
      <w:tr w:rsidR="003D0AE1" w:rsidRPr="00785453" w14:paraId="01C6F3A8" w14:textId="77777777" w:rsidTr="00922116">
        <w:tc>
          <w:tcPr>
            <w:tcW w:w="5756" w:type="dxa"/>
          </w:tcPr>
          <w:p w14:paraId="3E705AF4" w14:textId="00ABFEB2" w:rsidR="003D0AE1" w:rsidRPr="003D0AE1" w:rsidRDefault="003D0AE1" w:rsidP="003D0AE1">
            <w:pPr>
              <w:bidi/>
              <w:jc w:val="both"/>
              <w:rPr>
                <w:rFonts w:ascii="Traditional Arabic" w:hAnsi="Traditional Arabic" w:cs="Traditional Arabic"/>
                <w:sz w:val="30"/>
                <w:szCs w:val="30"/>
                <w:bdr w:val="none" w:sz="0" w:space="0" w:color="auto" w:frame="1"/>
              </w:rPr>
            </w:pPr>
            <w:r w:rsidRPr="003D0AE1">
              <w:rPr>
                <w:rFonts w:ascii="Traditional Arabic" w:hAnsi="Traditional Arabic" w:cs="Traditional Arabic"/>
                <w:sz w:val="30"/>
                <w:szCs w:val="30"/>
                <w:bdr w:val="none" w:sz="0" w:space="0" w:color="auto" w:frame="1"/>
                <w:rtl/>
              </w:rPr>
              <w:t>موعد تحويل مدير الإصدار لصافي عائدات المستثمرين من الفئة الأولى (بعد خصم رسوم المنسقين العالميين المشتركين ووكلاء التحصيل) إلى شركة مسقط للمقاصة والمقاصة</w:t>
            </w:r>
            <w:r w:rsidR="000E1ED5">
              <w:rPr>
                <w:rFonts w:ascii="Traditional Arabic" w:hAnsi="Traditional Arabic" w:cs="Traditional Arabic" w:hint="cs"/>
                <w:sz w:val="30"/>
                <w:szCs w:val="30"/>
                <w:bdr w:val="none" w:sz="0" w:space="0" w:color="auto" w:frame="1"/>
                <w:rtl/>
              </w:rPr>
              <w:t xml:space="preserve"> (تاريخ التسوية)</w:t>
            </w:r>
          </w:p>
          <w:p w14:paraId="72DEBA0B" w14:textId="77777777" w:rsidR="003D0AE1" w:rsidRPr="00240371" w:rsidRDefault="003D0AE1" w:rsidP="001C783D">
            <w:pPr>
              <w:bidi/>
              <w:jc w:val="both"/>
              <w:rPr>
                <w:rFonts w:ascii="Traditional Arabic" w:hAnsi="Traditional Arabic" w:cs="Traditional Arabic"/>
                <w:sz w:val="30"/>
                <w:szCs w:val="30"/>
                <w:bdr w:val="none" w:sz="0" w:space="0" w:color="auto" w:frame="1"/>
                <w:rtl/>
              </w:rPr>
            </w:pPr>
          </w:p>
        </w:tc>
        <w:tc>
          <w:tcPr>
            <w:tcW w:w="3594" w:type="dxa"/>
          </w:tcPr>
          <w:p w14:paraId="65943520" w14:textId="51550620" w:rsidR="003D0AE1" w:rsidRDefault="00290EF3" w:rsidP="003D0AE1">
            <w:pPr>
              <w:bidi/>
              <w:jc w:val="center"/>
              <w:rPr>
                <w:rFonts w:ascii="Traditional Arabic" w:hAnsi="Traditional Arabic" w:cs="Traditional Arabic"/>
                <w:sz w:val="30"/>
                <w:szCs w:val="30"/>
                <w:bdr w:val="none" w:sz="0" w:space="0" w:color="auto" w:frame="1"/>
                <w:rtl/>
                <w:lang w:bidi="ar-OM"/>
              </w:rPr>
            </w:pPr>
            <w:r>
              <w:rPr>
                <w:rFonts w:ascii="Traditional Arabic" w:hAnsi="Traditional Arabic" w:cs="Traditional Arabic" w:hint="cs"/>
                <w:sz w:val="30"/>
                <w:szCs w:val="30"/>
                <w:rtl/>
                <w:lang w:bidi="ar-EG"/>
              </w:rPr>
              <w:lastRenderedPageBreak/>
              <w:t>10 مارس ٢٠٢٥</w:t>
            </w:r>
          </w:p>
        </w:tc>
      </w:tr>
      <w:tr w:rsidR="00290EF3" w:rsidRPr="00785453" w14:paraId="17353B2D" w14:textId="77777777" w:rsidTr="00922116">
        <w:tc>
          <w:tcPr>
            <w:tcW w:w="5756" w:type="dxa"/>
          </w:tcPr>
          <w:p w14:paraId="4B5EAB04" w14:textId="360CA0F6" w:rsidR="00290EF3" w:rsidRPr="00240371" w:rsidRDefault="00290EF3" w:rsidP="00290EF3">
            <w:pPr>
              <w:bidi/>
              <w:jc w:val="both"/>
              <w:rPr>
                <w:rFonts w:ascii="Traditional Arabic" w:hAnsi="Traditional Arabic" w:cs="Traditional Arabic"/>
                <w:sz w:val="30"/>
                <w:szCs w:val="30"/>
                <w:bdr w:val="none" w:sz="0" w:space="0" w:color="auto" w:frame="1"/>
                <w:rtl/>
              </w:rPr>
            </w:pPr>
            <w:r>
              <w:rPr>
                <w:rFonts w:ascii="Traditional Arabic" w:hAnsi="Traditional Arabic" w:cs="Traditional Arabic" w:hint="cs"/>
                <w:sz w:val="30"/>
                <w:szCs w:val="30"/>
                <w:bdr w:val="none" w:sz="0" w:space="0" w:color="auto" w:frame="1"/>
                <w:rtl/>
              </w:rPr>
              <w:t>تأكيد</w:t>
            </w:r>
            <w:r w:rsidRPr="003D0AE1">
              <w:rPr>
                <w:rFonts w:ascii="Traditional Arabic" w:hAnsi="Traditional Arabic" w:cs="Traditional Arabic"/>
                <w:sz w:val="30"/>
                <w:szCs w:val="30"/>
                <w:bdr w:val="none" w:sz="0" w:space="0" w:color="auto" w:frame="1"/>
                <w:rtl/>
              </w:rPr>
              <w:t xml:space="preserve"> شركة مسقط للمقاصة والإيداع استلام جميع عائدات الاكتتاب العام</w:t>
            </w:r>
          </w:p>
        </w:tc>
        <w:tc>
          <w:tcPr>
            <w:tcW w:w="3594" w:type="dxa"/>
          </w:tcPr>
          <w:p w14:paraId="09D3A387" w14:textId="56FA7BEF" w:rsidR="00290EF3" w:rsidRDefault="00290EF3" w:rsidP="00290EF3">
            <w:pPr>
              <w:bidi/>
              <w:jc w:val="center"/>
              <w:rPr>
                <w:rFonts w:ascii="Traditional Arabic" w:hAnsi="Traditional Arabic" w:cs="Traditional Arabic"/>
                <w:sz w:val="30"/>
                <w:szCs w:val="30"/>
                <w:bdr w:val="none" w:sz="0" w:space="0" w:color="auto" w:frame="1"/>
                <w:rtl/>
                <w:lang w:bidi="ar-OM"/>
              </w:rPr>
            </w:pPr>
            <w:r>
              <w:rPr>
                <w:rFonts w:ascii="Traditional Arabic" w:hAnsi="Traditional Arabic" w:cs="Traditional Arabic" w:hint="cs"/>
                <w:sz w:val="30"/>
                <w:szCs w:val="30"/>
                <w:rtl/>
                <w:lang w:bidi="ar-EG"/>
              </w:rPr>
              <w:t>10 مارس ٢٠٢٥</w:t>
            </w:r>
          </w:p>
        </w:tc>
      </w:tr>
      <w:tr w:rsidR="00290EF3" w:rsidRPr="00785453" w14:paraId="7DDE1F7E" w14:textId="4D873CC2" w:rsidTr="00922116">
        <w:tc>
          <w:tcPr>
            <w:tcW w:w="5756" w:type="dxa"/>
          </w:tcPr>
          <w:p w14:paraId="3D2C168D" w14:textId="60EF6D6F" w:rsidR="00290EF3" w:rsidRPr="00785453" w:rsidRDefault="00290EF3" w:rsidP="00290EF3">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بداية رد المبالغ </w:t>
            </w:r>
            <w:r w:rsidRPr="00785453">
              <w:rPr>
                <w:rFonts w:ascii="Traditional Arabic" w:hAnsi="Traditional Arabic" w:cs="Traditional Arabic"/>
                <w:sz w:val="30"/>
                <w:szCs w:val="30"/>
                <w:bdr w:val="none" w:sz="0" w:space="0" w:color="auto" w:frame="1"/>
                <w:rtl/>
              </w:rPr>
              <w:t xml:space="preserve">الزائدة لمقدمي الطلبات </w:t>
            </w:r>
            <w:r>
              <w:rPr>
                <w:rFonts w:ascii="Traditional Arabic" w:hAnsi="Traditional Arabic" w:cs="Traditional Arabic" w:hint="cs"/>
                <w:sz w:val="30"/>
                <w:szCs w:val="30"/>
                <w:bdr w:val="none" w:sz="0" w:space="0" w:color="auto" w:frame="1"/>
                <w:rtl/>
              </w:rPr>
              <w:t>من</w:t>
            </w:r>
            <w:r w:rsidRPr="00785453">
              <w:rPr>
                <w:rFonts w:ascii="Traditional Arabic" w:hAnsi="Traditional Arabic" w:cs="Traditional Arabic"/>
                <w:sz w:val="30"/>
                <w:szCs w:val="30"/>
                <w:bdr w:val="none" w:sz="0" w:space="0" w:color="auto" w:frame="1"/>
                <w:rtl/>
              </w:rPr>
              <w:t xml:space="preserve"> الفئة الأولى</w:t>
            </w:r>
            <w:r>
              <w:rPr>
                <w:rFonts w:ascii="Traditional Arabic" w:hAnsi="Traditional Arabic" w:cs="Traditional Arabic" w:hint="cs"/>
                <w:sz w:val="30"/>
                <w:szCs w:val="30"/>
                <w:bdr w:val="none" w:sz="0" w:space="0" w:color="auto" w:frame="1"/>
                <w:rtl/>
              </w:rPr>
              <w:t xml:space="preserve"> والثانية</w:t>
            </w:r>
            <w:r w:rsidRPr="00785453">
              <w:rPr>
                <w:rFonts w:ascii="Traditional Arabic" w:hAnsi="Traditional Arabic" w:cs="Traditional Arabic"/>
                <w:sz w:val="30"/>
                <w:szCs w:val="30"/>
                <w:bdr w:val="none" w:sz="0" w:space="0" w:color="auto" w:frame="1"/>
                <w:rtl/>
              </w:rPr>
              <w:t xml:space="preserve"> وإرسال إشعارات التخصيص</w:t>
            </w:r>
          </w:p>
        </w:tc>
        <w:tc>
          <w:tcPr>
            <w:tcW w:w="3594" w:type="dxa"/>
          </w:tcPr>
          <w:p w14:paraId="5F69EE0C" w14:textId="342D6BA4" w:rsidR="00290EF3" w:rsidRPr="00785453" w:rsidRDefault="00290EF3" w:rsidP="00290EF3">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10-11 مارس 2025</w:t>
            </w:r>
          </w:p>
        </w:tc>
      </w:tr>
      <w:tr w:rsidR="00290EF3" w:rsidRPr="00785453" w14:paraId="04B82943" w14:textId="77777777" w:rsidTr="00922116">
        <w:tc>
          <w:tcPr>
            <w:tcW w:w="5756" w:type="dxa"/>
          </w:tcPr>
          <w:p w14:paraId="4D6B1C82" w14:textId="77777777" w:rsidR="00290EF3" w:rsidRPr="00785453" w:rsidRDefault="00290EF3" w:rsidP="00290EF3">
            <w:pPr>
              <w:bidi/>
              <w:jc w:val="both"/>
              <w:rPr>
                <w:rFonts w:ascii="Traditional Arabic" w:hAnsi="Traditional Arabic" w:cs="Traditional Arabic"/>
                <w:sz w:val="30"/>
                <w:szCs w:val="30"/>
                <w:rtl/>
                <w:lang w:bidi="ar-EG"/>
              </w:rPr>
            </w:pPr>
            <w:r w:rsidRPr="00785453">
              <w:rPr>
                <w:rFonts w:ascii="Traditional Arabic" w:hAnsi="Traditional Arabic" w:cs="Traditional Arabic"/>
                <w:sz w:val="30"/>
                <w:szCs w:val="30"/>
                <w:bdr w:val="none" w:sz="0" w:space="0" w:color="auto" w:frame="1"/>
                <w:rtl/>
                <w:lang w:bidi="ar-EG"/>
              </w:rPr>
              <w:t>تاريخ الادراج</w:t>
            </w:r>
          </w:p>
        </w:tc>
        <w:tc>
          <w:tcPr>
            <w:tcW w:w="3594" w:type="dxa"/>
          </w:tcPr>
          <w:p w14:paraId="21318B42" w14:textId="77777777" w:rsidR="00290EF3" w:rsidRPr="00785453" w:rsidRDefault="00290EF3" w:rsidP="00290EF3">
            <w:pPr>
              <w:bidi/>
              <w:jc w:val="center"/>
              <w:rPr>
                <w:rFonts w:ascii="Traditional Arabic" w:hAnsi="Traditional Arabic" w:cs="Traditional Arabic"/>
                <w:sz w:val="30"/>
                <w:szCs w:val="30"/>
                <w:rtl/>
                <w:lang w:bidi="ar-EG"/>
              </w:rPr>
            </w:pPr>
            <w:r>
              <w:rPr>
                <w:rFonts w:ascii="Traditional Arabic" w:hAnsi="Traditional Arabic" w:cs="Traditional Arabic" w:hint="cs"/>
                <w:sz w:val="30"/>
                <w:szCs w:val="30"/>
                <w:rtl/>
                <w:lang w:bidi="ar-EG"/>
              </w:rPr>
              <w:t>12 مارس ٢٠٢٥</w:t>
            </w:r>
          </w:p>
        </w:tc>
      </w:tr>
    </w:tbl>
    <w:p w14:paraId="2813B15A" w14:textId="77777777" w:rsidR="00C53B7B" w:rsidRPr="00785453" w:rsidRDefault="00C53B7B" w:rsidP="00C53B7B">
      <w:pPr>
        <w:bidi/>
        <w:rPr>
          <w:rFonts w:ascii="Traditional Arabic" w:hAnsi="Traditional Arabic" w:cs="Traditional Arabic"/>
          <w:sz w:val="30"/>
          <w:szCs w:val="30"/>
          <w:rtl/>
        </w:rPr>
      </w:pPr>
    </w:p>
    <w:p w14:paraId="1687A483" w14:textId="77777777" w:rsidR="00C53B7B" w:rsidRPr="00785453" w:rsidRDefault="00C53B7B" w:rsidP="00C53B7B">
      <w:pPr>
        <w:bidi/>
        <w:rPr>
          <w:rFonts w:ascii="Traditional Arabic" w:hAnsi="Traditional Arabic" w:cs="Traditional Arabic"/>
          <w:sz w:val="30"/>
          <w:szCs w:val="30"/>
        </w:rPr>
      </w:pPr>
    </w:p>
    <w:p w14:paraId="6CBEEEC2" w14:textId="77777777" w:rsidR="00C53B7B" w:rsidRPr="00785453" w:rsidRDefault="00C53B7B" w:rsidP="00C53B7B">
      <w:pPr>
        <w:bidi/>
        <w:rPr>
          <w:rFonts w:ascii="Traditional Arabic" w:hAnsi="Traditional Arabic" w:cs="Traditional Arabic"/>
          <w:b/>
          <w:bCs/>
          <w:sz w:val="30"/>
          <w:szCs w:val="30"/>
          <w:rtl/>
        </w:rPr>
      </w:pPr>
      <w:r w:rsidRPr="00785453">
        <w:rPr>
          <w:rFonts w:ascii="Traditional Arabic" w:hAnsi="Traditional Arabic" w:cs="Traditional Arabic"/>
          <w:b/>
          <w:bCs/>
          <w:sz w:val="30"/>
          <w:szCs w:val="30"/>
          <w:rtl/>
          <w:lang w:bidi="ar-EG"/>
        </w:rPr>
        <w:t>إدراج</w:t>
      </w:r>
      <w:r w:rsidRPr="00785453">
        <w:rPr>
          <w:rFonts w:ascii="Traditional Arabic" w:hAnsi="Traditional Arabic" w:cs="Traditional Arabic"/>
          <w:b/>
          <w:bCs/>
          <w:sz w:val="30"/>
          <w:szCs w:val="30"/>
          <w:rtl/>
        </w:rPr>
        <w:t xml:space="preserve"> وتداول الأسهم </w:t>
      </w:r>
    </w:p>
    <w:p w14:paraId="73DA7904"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سيتم إدراج الأسهم للتداول في بورصة مسقط وفقًا للقوانين والإجراءات السارية وقت تقديم طلب الإدراج والتسجيل، وينبغي التنبيه إلى أن موعد الإدراج هو موعد تقديري، وسيتم الإعلان عن الموعد المحدد عبر الموقع الإلكتروني لبورصة مسقط.</w:t>
      </w:r>
    </w:p>
    <w:p w14:paraId="1F618810" w14:textId="77777777" w:rsidR="00C53B7B" w:rsidRPr="00785453" w:rsidRDefault="00C53B7B" w:rsidP="00C53B7B">
      <w:pPr>
        <w:bidi/>
        <w:rPr>
          <w:rFonts w:ascii="Traditional Arabic" w:hAnsi="Traditional Arabic" w:cs="Traditional Arabic"/>
          <w:sz w:val="30"/>
          <w:szCs w:val="30"/>
          <w:rtl/>
        </w:rPr>
      </w:pPr>
    </w:p>
    <w:p w14:paraId="7BADA028" w14:textId="77777777" w:rsidR="00C53B7B" w:rsidRPr="00785453" w:rsidRDefault="00C53B7B" w:rsidP="00C53B7B">
      <w:pPr>
        <w:bidi/>
        <w:rPr>
          <w:rFonts w:ascii="Traditional Arabic" w:hAnsi="Traditional Arabic" w:cs="Traditional Arabic"/>
          <w:b/>
          <w:bCs/>
          <w:sz w:val="30"/>
          <w:szCs w:val="30"/>
        </w:rPr>
      </w:pPr>
      <w:r w:rsidRPr="00785453">
        <w:rPr>
          <w:rFonts w:ascii="Traditional Arabic" w:hAnsi="Traditional Arabic" w:cs="Traditional Arabic"/>
          <w:b/>
          <w:bCs/>
          <w:sz w:val="30"/>
          <w:szCs w:val="30"/>
          <w:rtl/>
        </w:rPr>
        <w:t>المسؤوليات والالتزامات</w:t>
      </w:r>
    </w:p>
    <w:p w14:paraId="4EE61046"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 xml:space="preserve">يتعين على مدير الإصدار ووكلاء التحصيل وشركة مسقط للمقاصة والإيداع الالتزام بالمسؤوليات والالتزامات المحددة لهم بموجب القانون المعمول به والتوجيهات واللوائح الصادرة من هيئة الخدمات المالية. </w:t>
      </w:r>
    </w:p>
    <w:p w14:paraId="6B0B1D13" w14:textId="77777777" w:rsidR="00C53B7B" w:rsidRPr="00785453" w:rsidRDefault="00C53B7B" w:rsidP="00C53B7B">
      <w:pPr>
        <w:bidi/>
        <w:rPr>
          <w:rFonts w:ascii="Traditional Arabic" w:hAnsi="Traditional Arabic" w:cs="Traditional Arabic"/>
          <w:sz w:val="30"/>
          <w:szCs w:val="30"/>
          <w:rtl/>
        </w:rPr>
      </w:pPr>
    </w:p>
    <w:p w14:paraId="24676554"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sz w:val="30"/>
          <w:szCs w:val="30"/>
          <w:rtl/>
        </w:rPr>
        <w:t>هذا، ويتعين على الأطراف المعنية اتخاذ الترتيبات التصحيحية اللازمة فيما يتعلق بأي ضرر ينشأ عن أي إهمال يرتكبونه في أداء المهام والمسؤوليات الموكلة إليهم ويعتبر مدير الإصدار ووكلاء التحصيل الأطراف المسؤولة أمام الجهات الرقابية في اتخاذ الإجراءات والتدابير المناسبة واللازمة لجبر مثل تلك الأضرار.</w:t>
      </w:r>
    </w:p>
    <w:p w14:paraId="2DA71212" w14:textId="77777777" w:rsidR="00C53B7B" w:rsidRPr="00785453" w:rsidRDefault="00C53B7B" w:rsidP="00C53B7B">
      <w:pPr>
        <w:bidi/>
        <w:jc w:val="both"/>
        <w:rPr>
          <w:rFonts w:ascii="Traditional Arabic" w:hAnsi="Traditional Arabic" w:cs="Traditional Arabic"/>
          <w:sz w:val="30"/>
          <w:szCs w:val="30"/>
          <w:rtl/>
        </w:rPr>
      </w:pPr>
    </w:p>
    <w:p w14:paraId="7D6D0C1C" w14:textId="77777777" w:rsidR="00C53B7B" w:rsidRPr="00785453" w:rsidRDefault="00C53B7B" w:rsidP="00C53B7B">
      <w:pPr>
        <w:bidi/>
        <w:jc w:val="both"/>
        <w:rPr>
          <w:rFonts w:ascii="Traditional Arabic" w:hAnsi="Traditional Arabic" w:cs="Traditional Arabic"/>
          <w:sz w:val="30"/>
          <w:szCs w:val="30"/>
          <w:rtl/>
        </w:rPr>
      </w:pPr>
      <w:r w:rsidRPr="00785453">
        <w:rPr>
          <w:rFonts w:ascii="Traditional Arabic" w:hAnsi="Traditional Arabic" w:cs="Traditional Arabic"/>
          <w:b/>
          <w:bCs/>
          <w:sz w:val="30"/>
          <w:szCs w:val="30"/>
          <w:rtl/>
        </w:rPr>
        <w:t>المستثمرون المؤهلون</w:t>
      </w:r>
    </w:p>
    <w:p w14:paraId="5B768AA0" w14:textId="77777777" w:rsidR="00C53B7B" w:rsidRPr="00785453" w:rsidRDefault="00C53B7B" w:rsidP="00C53B7B">
      <w:pPr>
        <w:bidi/>
        <w:jc w:val="both"/>
        <w:rPr>
          <w:rFonts w:ascii="Traditional Arabic" w:hAnsi="Traditional Arabic" w:cs="Traditional Arabic"/>
          <w:b/>
          <w:sz w:val="30"/>
          <w:szCs w:val="30"/>
          <w:rtl/>
          <w:lang w:bidi="ar-EG"/>
        </w:rPr>
      </w:pPr>
      <w:r w:rsidRPr="00785453">
        <w:rPr>
          <w:rFonts w:ascii="Traditional Arabic" w:hAnsi="Traditional Arabic" w:cs="Traditional Arabic"/>
          <w:b/>
          <w:sz w:val="30"/>
          <w:szCs w:val="30"/>
          <w:rtl/>
          <w:lang w:bidi="ar-EG"/>
        </w:rPr>
        <w:t>لم يتم اتخاذ أي إجراء ولن يتم اتخاذ أي إجراء قد يسمح باكتتاب عام في الأسهم أو قد يسمح بتملك هذه النشرة أو توزيعها أو أي مواد أخرى تتعلق بالشركة أو بالأسهم في أي مكان يلزم فيه اتخاذ مثل هذا الإجراء باستثناء سلطنة عمان ومن ثم لا يجوز طرح هذه الأسهم ولا بيعها بصورة مباشرة أو غير مباشرة كما لا يجوز توزيع هذه النشرة ولا نشر أي إعلان أو ترويج خاص بالطرح أو أي مستند أو معلومات أخرى في أي بلد إلا بما يوافق القوانين واللوائح السارية في ذلك البلد (يرجى الاطلاع على قيود البيع).</w:t>
      </w:r>
    </w:p>
    <w:p w14:paraId="6DB11116" w14:textId="77777777" w:rsidR="00C53B7B" w:rsidRPr="00785453" w:rsidRDefault="00C53B7B" w:rsidP="00C53B7B">
      <w:pPr>
        <w:bidi/>
        <w:jc w:val="both"/>
        <w:rPr>
          <w:rFonts w:ascii="Traditional Arabic" w:hAnsi="Traditional Arabic" w:cs="Traditional Arabic"/>
          <w:b/>
          <w:sz w:val="30"/>
          <w:szCs w:val="30"/>
          <w:rtl/>
          <w:lang w:bidi="ar-EG"/>
        </w:rPr>
      </w:pPr>
    </w:p>
    <w:p w14:paraId="3CE96796" w14:textId="77777777" w:rsidR="00C53B7B" w:rsidRPr="00785453" w:rsidRDefault="00C53B7B" w:rsidP="00C53B7B">
      <w:pPr>
        <w:bidi/>
        <w:jc w:val="both"/>
        <w:rPr>
          <w:rFonts w:ascii="Traditional Arabic" w:hAnsi="Traditional Arabic" w:cs="Traditional Arabic"/>
          <w:b/>
          <w:sz w:val="30"/>
          <w:szCs w:val="30"/>
          <w:rtl/>
          <w:lang w:val="en-GB" w:bidi="ar-EG"/>
        </w:rPr>
      </w:pPr>
      <w:r w:rsidRPr="00785453">
        <w:rPr>
          <w:rFonts w:ascii="Traditional Arabic" w:hAnsi="Traditional Arabic" w:cs="Traditional Arabic"/>
          <w:b/>
          <w:sz w:val="30"/>
          <w:szCs w:val="30"/>
          <w:rtl/>
          <w:lang w:bidi="ar-EG"/>
        </w:rPr>
        <w:t xml:space="preserve">لم تُسجل الأسهم وفق قانون الأوراق المالية ولن تُسجل لدى أي جهة مختصة بتنظيم الأوراق المالية في أية ولاية أو مكان اختصاص آخر بالولايات المتحدة، ولن تُعرض أو تُباع في الولايات المتحدة مع مراعاة بعض الاستثناءات وفق قوانين الأوراق </w:t>
      </w:r>
      <w:r w:rsidRPr="00785453">
        <w:rPr>
          <w:rFonts w:ascii="Traditional Arabic" w:hAnsi="Traditional Arabic" w:cs="Traditional Arabic"/>
          <w:b/>
          <w:sz w:val="30"/>
          <w:szCs w:val="30"/>
          <w:rtl/>
          <w:lang w:bidi="ar-EG"/>
        </w:rPr>
        <w:lastRenderedPageBreak/>
        <w:t xml:space="preserve">المالية المعمول بها. </w:t>
      </w:r>
      <w:r w:rsidRPr="00785453">
        <w:rPr>
          <w:rFonts w:ascii="Traditional Arabic" w:hAnsi="Traditional Arabic" w:cs="Traditional Arabic"/>
          <w:b/>
          <w:sz w:val="30"/>
          <w:szCs w:val="30"/>
          <w:rtl/>
        </w:rPr>
        <w:t xml:space="preserve">سيتم عرض وبيع أسهم الطرح خارج الولايات المتحدة وفقًا للائحة </w:t>
      </w:r>
      <w:r w:rsidRPr="00785453">
        <w:rPr>
          <w:rFonts w:ascii="Traditional Arabic" w:hAnsi="Traditional Arabic" w:cs="Traditional Arabic"/>
          <w:b/>
          <w:sz w:val="30"/>
          <w:szCs w:val="30"/>
          <w:rtl/>
          <w:lang w:bidi="ar-OM"/>
        </w:rPr>
        <w:t xml:space="preserve">اس </w:t>
      </w:r>
      <w:r w:rsidRPr="00785453">
        <w:rPr>
          <w:rFonts w:ascii="Traditional Arabic" w:hAnsi="Traditional Arabic" w:cs="Traditional Arabic"/>
          <w:b/>
          <w:sz w:val="30"/>
          <w:szCs w:val="30"/>
          <w:rtl/>
        </w:rPr>
        <w:t>بموجب قانون الأوراق المالية ووفقا للقانون المعمول به.</w:t>
      </w:r>
    </w:p>
    <w:p w14:paraId="6137C33A" w14:textId="77777777" w:rsidR="00C53B7B" w:rsidRPr="00785453" w:rsidRDefault="00C53B7B" w:rsidP="00C53B7B">
      <w:pPr>
        <w:bidi/>
        <w:jc w:val="both"/>
        <w:rPr>
          <w:rFonts w:ascii="Traditional Arabic" w:hAnsi="Traditional Arabic" w:cs="Traditional Arabic"/>
          <w:b/>
          <w:sz w:val="30"/>
          <w:szCs w:val="30"/>
          <w:rtl/>
          <w:lang w:bidi="ar-EG"/>
        </w:rPr>
      </w:pPr>
    </w:p>
    <w:p w14:paraId="33496AD4" w14:textId="77777777" w:rsidR="00C53B7B" w:rsidRPr="00785453" w:rsidRDefault="00C53B7B" w:rsidP="00C53B7B">
      <w:pPr>
        <w:bidi/>
        <w:jc w:val="both"/>
        <w:rPr>
          <w:rFonts w:ascii="Traditional Arabic" w:hAnsi="Traditional Arabic" w:cs="Traditional Arabic"/>
          <w:b/>
          <w:sz w:val="30"/>
          <w:szCs w:val="30"/>
          <w:rtl/>
          <w:lang w:bidi="ar-EG"/>
        </w:rPr>
      </w:pPr>
      <w:r w:rsidRPr="00785453">
        <w:rPr>
          <w:rFonts w:ascii="Traditional Arabic" w:hAnsi="Traditional Arabic" w:cs="Traditional Arabic"/>
          <w:b/>
          <w:sz w:val="30"/>
          <w:szCs w:val="30"/>
          <w:rtl/>
          <w:lang w:bidi="ar-EG"/>
        </w:rPr>
        <w:t>يُعتبر المستثمر قد أقر باستلامه نسخة من هذه النشرة والمعلومات اللازمة لاتخاذ قرار بالاستثمار وأنه:</w:t>
      </w:r>
    </w:p>
    <w:p w14:paraId="229409EE" w14:textId="77777777" w:rsidR="00C53B7B" w:rsidRPr="00785453" w:rsidRDefault="00C53B7B" w:rsidP="00922116">
      <w:pPr>
        <w:pStyle w:val="ListParagraph"/>
        <w:numPr>
          <w:ilvl w:val="0"/>
          <w:numId w:val="31"/>
        </w:numPr>
        <w:bidi/>
        <w:spacing w:after="160" w:line="259" w:lineRule="auto"/>
        <w:ind w:hanging="450"/>
        <w:jc w:val="both"/>
        <w:rPr>
          <w:rFonts w:ascii="Traditional Arabic" w:hAnsi="Traditional Arabic" w:cs="Traditional Arabic"/>
          <w:b/>
          <w:sz w:val="30"/>
          <w:szCs w:val="30"/>
          <w:lang w:bidi="ar-EG"/>
        </w:rPr>
      </w:pPr>
      <w:r w:rsidRPr="00785453">
        <w:rPr>
          <w:rFonts w:ascii="Traditional Arabic" w:hAnsi="Traditional Arabic" w:cs="Traditional Arabic"/>
          <w:b/>
          <w:sz w:val="30"/>
          <w:szCs w:val="30"/>
          <w:rtl/>
          <w:lang w:bidi="ar-EG"/>
        </w:rPr>
        <w:t>مخول بالاستثمار في الأسهم وفق القوانين واللوائح المعمول بها.</w:t>
      </w:r>
    </w:p>
    <w:p w14:paraId="244DAACE" w14:textId="77777777" w:rsidR="00C53B7B" w:rsidRPr="00785453" w:rsidRDefault="00C53B7B" w:rsidP="00922116">
      <w:pPr>
        <w:pStyle w:val="ListParagraph"/>
        <w:numPr>
          <w:ilvl w:val="0"/>
          <w:numId w:val="31"/>
        </w:numPr>
        <w:bidi/>
        <w:spacing w:after="160" w:line="259" w:lineRule="auto"/>
        <w:ind w:hanging="450"/>
        <w:jc w:val="both"/>
        <w:rPr>
          <w:rFonts w:ascii="Traditional Arabic" w:hAnsi="Traditional Arabic" w:cs="Traditional Arabic"/>
          <w:b/>
          <w:sz w:val="30"/>
          <w:szCs w:val="30"/>
          <w:lang w:bidi="ar-EG"/>
        </w:rPr>
      </w:pPr>
      <w:r w:rsidRPr="00785453">
        <w:rPr>
          <w:rFonts w:ascii="Traditional Arabic" w:hAnsi="Traditional Arabic" w:cs="Traditional Arabic"/>
          <w:b/>
          <w:sz w:val="30"/>
          <w:szCs w:val="30"/>
          <w:rtl/>
          <w:lang w:bidi="ar-EG"/>
        </w:rPr>
        <w:t>يدرك بأن الأسهم لم تُسجل وفق قانون الأوراق المالية ولن تُسجل لدى أي جهة مختصة بتنظيم الأوراق المالية في أية ولاية أو مكان اختصاص آخر بالولايات المتحدة، ولن تُعرض أو تُباع في الولايات المتحدة مع مراعاة بعض الاستثناءات وفق قوانين الأوراق المالية المعمول بها.</w:t>
      </w:r>
    </w:p>
    <w:p w14:paraId="529E7548" w14:textId="77777777" w:rsidR="00C53B7B" w:rsidRPr="00785453" w:rsidRDefault="00C53B7B" w:rsidP="00922116">
      <w:pPr>
        <w:pStyle w:val="ListParagraph"/>
        <w:numPr>
          <w:ilvl w:val="0"/>
          <w:numId w:val="31"/>
        </w:numPr>
        <w:bidi/>
        <w:spacing w:after="160" w:line="259" w:lineRule="auto"/>
        <w:ind w:hanging="450"/>
        <w:jc w:val="both"/>
        <w:rPr>
          <w:rFonts w:ascii="Traditional Arabic" w:hAnsi="Traditional Arabic" w:cs="Traditional Arabic"/>
          <w:b/>
          <w:sz w:val="30"/>
          <w:szCs w:val="30"/>
          <w:lang w:bidi="ar-EG"/>
        </w:rPr>
      </w:pPr>
      <w:r w:rsidRPr="00785453">
        <w:rPr>
          <w:rFonts w:ascii="Traditional Arabic" w:hAnsi="Traditional Arabic" w:cs="Traditional Arabic"/>
          <w:b/>
          <w:sz w:val="30"/>
          <w:szCs w:val="30"/>
          <w:rtl/>
          <w:lang w:bidi="ar-EG"/>
        </w:rPr>
        <w:t xml:space="preserve">أو الشخص الذي يستثمر له الأسهم كان وسيظل خارج الولايات المتحدة وقت إجراء عملية الشراء </w:t>
      </w:r>
    </w:p>
    <w:p w14:paraId="240619D5" w14:textId="77777777" w:rsidR="00C53B7B" w:rsidRPr="00785453" w:rsidRDefault="00C53B7B" w:rsidP="00922116">
      <w:pPr>
        <w:pStyle w:val="ListParagraph"/>
        <w:numPr>
          <w:ilvl w:val="0"/>
          <w:numId w:val="31"/>
        </w:numPr>
        <w:bidi/>
        <w:spacing w:after="160" w:line="259" w:lineRule="auto"/>
        <w:ind w:hanging="450"/>
        <w:jc w:val="both"/>
        <w:rPr>
          <w:rFonts w:ascii="Traditional Arabic" w:hAnsi="Traditional Arabic" w:cs="Traditional Arabic"/>
          <w:b/>
          <w:sz w:val="30"/>
          <w:szCs w:val="30"/>
          <w:lang w:bidi="ar-EG"/>
        </w:rPr>
      </w:pPr>
      <w:r w:rsidRPr="00785453">
        <w:rPr>
          <w:rFonts w:ascii="Traditional Arabic" w:hAnsi="Traditional Arabic" w:cs="Traditional Arabic"/>
          <w:b/>
          <w:sz w:val="30"/>
          <w:szCs w:val="30"/>
          <w:rtl/>
          <w:lang w:bidi="ar-EG"/>
        </w:rPr>
        <w:t>غير تابع للشركة او لأي شخص ينوب عن شركة تابعة.</w:t>
      </w:r>
    </w:p>
    <w:p w14:paraId="1919CF95" w14:textId="77777777" w:rsidR="00C53B7B" w:rsidRPr="00785453" w:rsidRDefault="00C53B7B" w:rsidP="00922116">
      <w:pPr>
        <w:pStyle w:val="ListParagraph"/>
        <w:numPr>
          <w:ilvl w:val="0"/>
          <w:numId w:val="31"/>
        </w:numPr>
        <w:bidi/>
        <w:spacing w:after="160" w:line="259" w:lineRule="auto"/>
        <w:ind w:hanging="450"/>
        <w:jc w:val="both"/>
        <w:rPr>
          <w:rFonts w:ascii="Traditional Arabic" w:hAnsi="Traditional Arabic" w:cs="Traditional Arabic"/>
          <w:b/>
          <w:sz w:val="30"/>
          <w:szCs w:val="30"/>
          <w:lang w:bidi="ar-EG"/>
        </w:rPr>
      </w:pPr>
      <w:r w:rsidRPr="00785453">
        <w:rPr>
          <w:rFonts w:ascii="Traditional Arabic" w:hAnsi="Traditional Arabic" w:cs="Traditional Arabic"/>
          <w:b/>
          <w:sz w:val="30"/>
          <w:szCs w:val="30"/>
          <w:rtl/>
          <w:lang w:bidi="ar-EG"/>
        </w:rPr>
        <w:t>لم تُعرض عليه الأسهم "بالعرض المباشر" بحسب التعريف المحدد في اللائحة (س) من قانون الأوراق المالية.</w:t>
      </w:r>
    </w:p>
    <w:p w14:paraId="0E3D3A62" w14:textId="77777777" w:rsidR="00C53B7B" w:rsidRPr="00785453" w:rsidRDefault="00C53B7B" w:rsidP="00922116">
      <w:pPr>
        <w:pStyle w:val="ListParagraph"/>
        <w:numPr>
          <w:ilvl w:val="0"/>
          <w:numId w:val="31"/>
        </w:numPr>
        <w:bidi/>
        <w:spacing w:after="160" w:line="259" w:lineRule="auto"/>
        <w:ind w:hanging="450"/>
        <w:jc w:val="both"/>
        <w:rPr>
          <w:rFonts w:ascii="Traditional Arabic" w:hAnsi="Traditional Arabic" w:cs="Traditional Arabic"/>
          <w:b/>
          <w:sz w:val="30"/>
          <w:szCs w:val="30"/>
          <w:lang w:bidi="ar-EG"/>
        </w:rPr>
      </w:pPr>
      <w:r w:rsidRPr="00785453">
        <w:rPr>
          <w:rFonts w:ascii="Traditional Arabic" w:hAnsi="Traditional Arabic" w:cs="Traditional Arabic"/>
          <w:b/>
          <w:sz w:val="30"/>
          <w:szCs w:val="30"/>
          <w:rtl/>
          <w:lang w:bidi="ar-EG"/>
        </w:rPr>
        <w:t>بسلطته في الاستثمار إذا كان وكيلا في شراء الأسهم عن حساب أو أكثر، وبسلطته في إصدار الإقرارات السابقة نيابة عن كل حساب.</w:t>
      </w:r>
    </w:p>
    <w:p w14:paraId="5DF57E5E" w14:textId="77777777" w:rsidR="00C53B7B" w:rsidRPr="00785453" w:rsidRDefault="00C53B7B" w:rsidP="00922116">
      <w:pPr>
        <w:pStyle w:val="ListParagraph"/>
        <w:numPr>
          <w:ilvl w:val="0"/>
          <w:numId w:val="31"/>
        </w:numPr>
        <w:bidi/>
        <w:spacing w:after="160" w:line="259" w:lineRule="auto"/>
        <w:ind w:hanging="450"/>
        <w:jc w:val="both"/>
        <w:rPr>
          <w:rFonts w:ascii="Traditional Arabic" w:hAnsi="Traditional Arabic" w:cs="Traditional Arabic"/>
          <w:b/>
          <w:sz w:val="30"/>
          <w:szCs w:val="30"/>
          <w:lang w:bidi="ar-EG"/>
        </w:rPr>
      </w:pPr>
      <w:r w:rsidRPr="00785453">
        <w:rPr>
          <w:rFonts w:ascii="Traditional Arabic" w:hAnsi="Traditional Arabic" w:cs="Traditional Arabic"/>
          <w:b/>
          <w:sz w:val="30"/>
          <w:szCs w:val="30"/>
          <w:rtl/>
          <w:lang w:bidi="ar-EG"/>
        </w:rPr>
        <w:t>يُدرك أن أي عرض أو بيع أو رهن أو تحويل للأسهم بالمخالفة للقيود المذكورة أعلاه لن تتم الموافقة عليه من قبل الشركة.</w:t>
      </w:r>
    </w:p>
    <w:p w14:paraId="2DFDC1E7" w14:textId="77777777" w:rsidR="00C53B7B" w:rsidRPr="00785453" w:rsidRDefault="00C53B7B" w:rsidP="00922116">
      <w:pPr>
        <w:pStyle w:val="ListParagraph"/>
        <w:numPr>
          <w:ilvl w:val="0"/>
          <w:numId w:val="31"/>
        </w:numPr>
        <w:bidi/>
        <w:spacing w:after="160" w:line="259" w:lineRule="auto"/>
        <w:ind w:hanging="450"/>
        <w:jc w:val="both"/>
        <w:rPr>
          <w:rFonts w:ascii="Traditional Arabic" w:hAnsi="Traditional Arabic" w:cs="Traditional Arabic"/>
          <w:b/>
          <w:sz w:val="30"/>
          <w:szCs w:val="30"/>
          <w:lang w:bidi="ar-EG"/>
        </w:rPr>
      </w:pPr>
      <w:r w:rsidRPr="00785453">
        <w:rPr>
          <w:rFonts w:ascii="Traditional Arabic" w:hAnsi="Traditional Arabic" w:cs="Traditional Arabic"/>
          <w:b/>
          <w:sz w:val="30"/>
          <w:szCs w:val="30"/>
          <w:rtl/>
          <w:lang w:bidi="ar-EG"/>
        </w:rPr>
        <w:t xml:space="preserve">يُدرك بأن الشركة والمساهم البائع </w:t>
      </w:r>
      <w:r w:rsidR="00E92449">
        <w:rPr>
          <w:rFonts w:ascii="Traditional Arabic" w:hAnsi="Traditional Arabic" w:cs="Traditional Arabic" w:hint="cs"/>
          <w:b/>
          <w:sz w:val="30"/>
          <w:szCs w:val="30"/>
          <w:rtl/>
          <w:lang w:bidi="ar-EG"/>
        </w:rPr>
        <w:t>و</w:t>
      </w:r>
      <w:r w:rsidR="00C37E20">
        <w:rPr>
          <w:rFonts w:ascii="Traditional Arabic" w:hAnsi="Traditional Arabic" w:cs="Traditional Arabic" w:hint="cs"/>
          <w:b/>
          <w:sz w:val="30"/>
          <w:szCs w:val="30"/>
          <w:rtl/>
          <w:lang w:bidi="ar-EG"/>
        </w:rPr>
        <w:t>المنسق العالمي المشترك</w:t>
      </w:r>
      <w:r w:rsidRPr="00785453">
        <w:rPr>
          <w:rFonts w:ascii="Traditional Arabic" w:hAnsi="Traditional Arabic" w:cs="Traditional Arabic"/>
          <w:b/>
          <w:sz w:val="30"/>
          <w:szCs w:val="30"/>
          <w:rtl/>
          <w:lang w:bidi="ar-EG"/>
        </w:rPr>
        <w:t xml:space="preserve"> ومدير الإصدار ووكلاء التحصيل والتابعين لهم سيعتمدون على صحة الإقرارات والاتفاقات السابقة.</w:t>
      </w:r>
    </w:p>
    <w:p w14:paraId="7B048804" w14:textId="77777777" w:rsidR="00F35B85" w:rsidRPr="00C53B7B" w:rsidRDefault="00F35B85" w:rsidP="000B794B">
      <w:pPr>
        <w:bidi/>
        <w:jc w:val="both"/>
        <w:rPr>
          <w:rFonts w:ascii="Traditional Arabic" w:hAnsi="Traditional Arabic" w:cs="Traditional Arabic"/>
          <w:b/>
          <w:sz w:val="30"/>
          <w:szCs w:val="30"/>
        </w:rPr>
      </w:pPr>
    </w:p>
    <w:p w14:paraId="77E2FE21" w14:textId="77777777" w:rsidR="00922D6C" w:rsidRPr="00EB5BCF" w:rsidRDefault="00922D6C" w:rsidP="00C0446D">
      <w:pPr>
        <w:autoSpaceDE w:val="0"/>
        <w:autoSpaceDN w:val="0"/>
        <w:bidi/>
        <w:adjustRightInd w:val="0"/>
        <w:jc w:val="both"/>
        <w:rPr>
          <w:rFonts w:ascii="Traditional Arabic" w:hAnsi="Traditional Arabic" w:cs="Traditional Arabic"/>
          <w:b/>
          <w:sz w:val="30"/>
          <w:szCs w:val="30"/>
          <w:rtl/>
        </w:rPr>
        <w:sectPr w:rsidR="00922D6C" w:rsidRPr="00EB5BCF">
          <w:pgSz w:w="12240" w:h="15840"/>
          <w:pgMar w:top="1440" w:right="1440" w:bottom="1440" w:left="1440" w:header="720" w:footer="720" w:gutter="0"/>
          <w:cols w:space="720"/>
          <w:docGrid w:linePitch="360"/>
        </w:sectPr>
      </w:pPr>
    </w:p>
    <w:p w14:paraId="5A3C41C8" w14:textId="77777777" w:rsidR="00B32090" w:rsidRPr="00EB5BCF" w:rsidRDefault="00922D6C" w:rsidP="00B32090">
      <w:pPr>
        <w:autoSpaceDE w:val="0"/>
        <w:autoSpaceDN w:val="0"/>
        <w:bidi/>
        <w:adjustRightInd w:val="0"/>
        <w:jc w:val="center"/>
        <w:rPr>
          <w:rFonts w:ascii="Traditional Arabic" w:hAnsi="Traditional Arabic" w:cs="Traditional Arabic"/>
          <w:bCs/>
          <w:sz w:val="30"/>
          <w:szCs w:val="30"/>
          <w:rtl/>
        </w:rPr>
      </w:pPr>
      <w:r w:rsidRPr="00EB5BCF">
        <w:rPr>
          <w:rFonts w:ascii="Traditional Arabic" w:hAnsi="Traditional Arabic" w:cs="Traditional Arabic"/>
          <w:bCs/>
          <w:sz w:val="30"/>
          <w:szCs w:val="30"/>
          <w:rtl/>
        </w:rPr>
        <w:lastRenderedPageBreak/>
        <w:t xml:space="preserve">الفصل </w:t>
      </w:r>
      <w:r w:rsidR="00844810">
        <w:rPr>
          <w:rFonts w:ascii="Traditional Arabic" w:hAnsi="Traditional Arabic" w:cs="Traditional Arabic" w:hint="cs"/>
          <w:bCs/>
          <w:sz w:val="30"/>
          <w:szCs w:val="30"/>
          <w:rtl/>
        </w:rPr>
        <w:t>العشرون</w:t>
      </w:r>
    </w:p>
    <w:p w14:paraId="54B470FE" w14:textId="77777777" w:rsidR="001C32D3" w:rsidRPr="00EB5BCF" w:rsidRDefault="001C2AD1" w:rsidP="001C32D3">
      <w:pPr>
        <w:autoSpaceDE w:val="0"/>
        <w:autoSpaceDN w:val="0"/>
        <w:bidi/>
        <w:adjustRightInd w:val="0"/>
        <w:jc w:val="center"/>
        <w:rPr>
          <w:rFonts w:ascii="Traditional Arabic" w:hAnsi="Traditional Arabic" w:cs="Traditional Arabic"/>
          <w:bCs/>
          <w:sz w:val="30"/>
          <w:szCs w:val="30"/>
          <w:rtl/>
        </w:rPr>
      </w:pPr>
      <w:r w:rsidRPr="00EB5BCF">
        <w:rPr>
          <w:rFonts w:ascii="Traditional Arabic" w:hAnsi="Traditional Arabic" w:cs="Traditional Arabic"/>
          <w:bCs/>
          <w:sz w:val="30"/>
          <w:szCs w:val="30"/>
          <w:rtl/>
        </w:rPr>
        <w:t>الاكتتاب والبيع</w:t>
      </w:r>
    </w:p>
    <w:p w14:paraId="295FAA39" w14:textId="77777777" w:rsidR="001C32D3" w:rsidRPr="00EB5BCF" w:rsidRDefault="001C32D3" w:rsidP="001C32D3">
      <w:pPr>
        <w:autoSpaceDE w:val="0"/>
        <w:autoSpaceDN w:val="0"/>
        <w:bidi/>
        <w:adjustRightInd w:val="0"/>
        <w:jc w:val="center"/>
        <w:rPr>
          <w:rFonts w:ascii="Traditional Arabic" w:hAnsi="Traditional Arabic" w:cs="Traditional Arabic"/>
          <w:bCs/>
          <w:sz w:val="30"/>
          <w:szCs w:val="30"/>
          <w:rtl/>
        </w:rPr>
      </w:pPr>
    </w:p>
    <w:p w14:paraId="56122067" w14:textId="77777777" w:rsidR="001C2AD1" w:rsidRPr="00EB5BCF" w:rsidRDefault="001C2AD1" w:rsidP="00146108">
      <w:pPr>
        <w:bidi/>
        <w:spacing w:after="160" w:line="259" w:lineRule="auto"/>
        <w:jc w:val="lowKashida"/>
        <w:rPr>
          <w:rFonts w:ascii="Traditional Arabic" w:hAnsi="Traditional Arabic" w:cs="Traditional Arabic"/>
          <w:bCs/>
          <w:sz w:val="30"/>
          <w:szCs w:val="30"/>
          <w:rtl/>
          <w:lang w:bidi="ar-EG"/>
        </w:rPr>
      </w:pPr>
    </w:p>
    <w:p w14:paraId="1071E524" w14:textId="4198F032" w:rsidR="00695447" w:rsidRPr="00A1314E"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أبرمت الشركة و</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w:t>
      </w:r>
      <w:r w:rsidR="006273FF">
        <w:rPr>
          <w:rFonts w:ascii="Traditional Arabic" w:hAnsi="Traditional Arabic" w:cs="Traditional Arabic" w:hint="cs"/>
          <w:b/>
          <w:sz w:val="30"/>
          <w:szCs w:val="30"/>
          <w:rtl/>
        </w:rPr>
        <w:t xml:space="preserve">و </w:t>
      </w:r>
      <w:r w:rsidR="006273FF">
        <w:rPr>
          <w:rFonts w:ascii="Traditional Arabic" w:hAnsi="Traditional Arabic" w:cs="Traditional Arabic" w:hint="cs"/>
          <w:sz w:val="30"/>
          <w:szCs w:val="30"/>
          <w:rtl/>
        </w:rPr>
        <w:t xml:space="preserve">مدير الإصدار </w:t>
      </w:r>
      <w:r w:rsidRPr="00A1314E">
        <w:rPr>
          <w:rFonts w:ascii="Traditional Arabic" w:hAnsi="Traditional Arabic" w:cs="Traditional Arabic"/>
          <w:b/>
          <w:sz w:val="30"/>
          <w:szCs w:val="30"/>
          <w:rtl/>
        </w:rPr>
        <w:t>و</w:t>
      </w:r>
      <w:r w:rsidR="00C7022E">
        <w:rPr>
          <w:rFonts w:ascii="Traditional Arabic" w:hAnsi="Traditional Arabic" w:cs="Traditional Arabic"/>
          <w:b/>
          <w:sz w:val="30"/>
          <w:szCs w:val="30"/>
          <w:rtl/>
        </w:rPr>
        <w:t>المنسق العالمي المشترك</w:t>
      </w:r>
      <w:r w:rsidRPr="00A1314E">
        <w:rPr>
          <w:rFonts w:ascii="Traditional Arabic" w:hAnsi="Traditional Arabic" w:cs="Traditional Arabic"/>
          <w:b/>
          <w:sz w:val="30"/>
          <w:szCs w:val="30"/>
          <w:rtl/>
        </w:rPr>
        <w:t xml:space="preserve"> ووكلاء التحصيل اتفاقية التسوية المؤسسية مؤرخة في </w:t>
      </w:r>
      <w:r w:rsidR="00BB1A21" w:rsidRPr="00DA0B2B">
        <w:rPr>
          <w:rFonts w:ascii="Traditional Arabic" w:hAnsi="Traditional Arabic" w:cs="Traditional Arabic"/>
          <w:bCs/>
          <w:sz w:val="30"/>
          <w:szCs w:val="30"/>
        </w:rPr>
        <w:t>]</w:t>
      </w:r>
      <w:r w:rsidR="00BB1A21" w:rsidRPr="00BB1A21">
        <w:rPr>
          <w:rFonts w:ascii="Traditional Arabic" w:hAnsi="Traditional Arabic" w:cs="Traditional Arabic" w:hint="cs"/>
          <w:b/>
          <w:sz w:val="30"/>
          <w:szCs w:val="30"/>
          <w:rtl/>
        </w:rPr>
        <w:t>16</w:t>
      </w:r>
      <w:r w:rsidR="00BB1A21" w:rsidRPr="00DA0B2B">
        <w:rPr>
          <w:rFonts w:ascii="Traditional Arabic" w:hAnsi="Traditional Arabic" w:cs="Traditional Arabic"/>
          <w:bCs/>
          <w:sz w:val="30"/>
          <w:szCs w:val="30"/>
        </w:rPr>
        <w:t>[</w:t>
      </w:r>
      <w:r w:rsidR="00FA4F61">
        <w:rPr>
          <w:rFonts w:ascii="Traditional Arabic" w:hAnsi="Traditional Arabic" w:cs="Traditional Arabic" w:hint="cs"/>
          <w:b/>
          <w:sz w:val="30"/>
          <w:szCs w:val="30"/>
          <w:rtl/>
        </w:rPr>
        <w:t xml:space="preserve"> </w:t>
      </w:r>
      <w:r w:rsidR="00A97D14">
        <w:rPr>
          <w:rFonts w:ascii="Traditional Arabic" w:hAnsi="Traditional Arabic" w:cs="Traditional Arabic" w:hint="cs"/>
          <w:b/>
          <w:sz w:val="30"/>
          <w:szCs w:val="30"/>
          <w:rtl/>
        </w:rPr>
        <w:t>فبراير ٢٠٢٥</w:t>
      </w:r>
      <w:r w:rsidRPr="00A1314E">
        <w:rPr>
          <w:rFonts w:ascii="Traditional Arabic" w:hAnsi="Traditional Arabic" w:cs="Traditional Arabic"/>
          <w:b/>
          <w:sz w:val="30"/>
          <w:szCs w:val="30"/>
          <w:rtl/>
        </w:rPr>
        <w:t xml:space="preserve"> وذلك بخصوص أسهم</w:t>
      </w:r>
      <w:r>
        <w:rPr>
          <w:rFonts w:ascii="Traditional Arabic" w:hAnsi="Traditional Arabic" w:cs="Traditional Arabic" w:hint="cs"/>
          <w:b/>
          <w:sz w:val="30"/>
          <w:szCs w:val="30"/>
          <w:rtl/>
        </w:rPr>
        <w:t xml:space="preserve"> الطرح</w:t>
      </w:r>
      <w:r w:rsidRPr="00A1314E">
        <w:rPr>
          <w:rFonts w:ascii="Traditional Arabic" w:hAnsi="Traditional Arabic" w:cs="Traditional Arabic"/>
          <w:b/>
          <w:sz w:val="30"/>
          <w:szCs w:val="30"/>
          <w:rtl/>
        </w:rPr>
        <w:t xml:space="preserve"> ("اتفاقية التسوية المؤسسية")، ومع مراعاة الوفاء ببعض الشروط المنصوص عليها في اتفاقية التسوية المؤسسية وإبرام مذكرة التسعير (بتعريفها التالي) فقد وافق </w:t>
      </w:r>
      <w:r w:rsidR="00C7022E">
        <w:rPr>
          <w:rFonts w:ascii="Traditional Arabic" w:hAnsi="Traditional Arabic" w:cs="Traditional Arabic"/>
          <w:b/>
          <w:sz w:val="30"/>
          <w:szCs w:val="30"/>
          <w:rtl/>
        </w:rPr>
        <w:t>المنسق العالمي المشترك</w:t>
      </w:r>
      <w:r w:rsidRPr="00A1314E">
        <w:rPr>
          <w:rFonts w:ascii="Traditional Arabic" w:hAnsi="Traditional Arabic" w:cs="Traditional Arabic"/>
          <w:b/>
          <w:sz w:val="30"/>
          <w:szCs w:val="30"/>
          <w:rtl/>
        </w:rPr>
        <w:t xml:space="preserve"> و</w:t>
      </w:r>
      <w:r w:rsidR="006273FF" w:rsidRPr="006273FF">
        <w:rPr>
          <w:rFonts w:ascii="Traditional Arabic" w:hAnsi="Traditional Arabic" w:cs="Traditional Arabic" w:hint="cs"/>
          <w:sz w:val="30"/>
          <w:szCs w:val="30"/>
          <w:rtl/>
        </w:rPr>
        <w:t xml:space="preserve"> </w:t>
      </w:r>
      <w:r w:rsidR="006273FF">
        <w:rPr>
          <w:rFonts w:ascii="Traditional Arabic" w:hAnsi="Traditional Arabic" w:cs="Traditional Arabic" w:hint="cs"/>
          <w:sz w:val="30"/>
          <w:szCs w:val="30"/>
          <w:rtl/>
        </w:rPr>
        <w:t>مدير الإصدار و</w:t>
      </w:r>
      <w:r w:rsidRPr="00A1314E">
        <w:rPr>
          <w:rFonts w:ascii="Traditional Arabic" w:hAnsi="Traditional Arabic" w:cs="Traditional Arabic"/>
          <w:b/>
          <w:sz w:val="30"/>
          <w:szCs w:val="30"/>
          <w:rtl/>
        </w:rPr>
        <w:t>وكلاء التحصيل منفردين على الإتيان بمشترين لشراء الأسهم في فئة الطرح الأولى بالشروط الموضوعة في اتفاقية التسوية المؤسسية ومذكرة التسعير، على أن يتم تحديد عدد الأسهم في يوم التسعير المذكور في مذكرة التسعير، على أن يتم الإعلان عن عدد الأسهم في سبق صحفي تُصدره الشركة</w:t>
      </w:r>
      <w:r w:rsidRPr="00A1314E">
        <w:rPr>
          <w:rFonts w:ascii="Traditional Arabic" w:hAnsi="Traditional Arabic" w:cs="Traditional Arabic"/>
          <w:b/>
          <w:sz w:val="30"/>
          <w:szCs w:val="30"/>
        </w:rPr>
        <w:t>.</w:t>
      </w:r>
    </w:p>
    <w:p w14:paraId="7C7041C2" w14:textId="77777777" w:rsidR="00695447" w:rsidRPr="00A1314E"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النطاق السعري يبدأ من</w:t>
      </w:r>
      <w:r w:rsidR="00A24483">
        <w:rPr>
          <w:rFonts w:ascii="Traditional Arabic" w:hAnsi="Traditional Arabic" w:cs="Traditional Arabic" w:hint="cs"/>
          <w:b/>
          <w:sz w:val="30"/>
          <w:szCs w:val="30"/>
          <w:rtl/>
        </w:rPr>
        <w:t xml:space="preserve"> </w:t>
      </w:r>
      <w:r w:rsidR="00EC54A4">
        <w:rPr>
          <w:rFonts w:ascii="Traditional Arabic" w:hAnsi="Traditional Arabic" w:cs="Traditional Arabic" w:hint="cs"/>
          <w:b/>
          <w:sz w:val="30"/>
          <w:szCs w:val="30"/>
          <w:rtl/>
        </w:rPr>
        <w:t xml:space="preserve">117 </w:t>
      </w:r>
      <w:r w:rsidRPr="00A1314E">
        <w:rPr>
          <w:rFonts w:ascii="Traditional Arabic" w:hAnsi="Traditional Arabic" w:cs="Traditional Arabic"/>
          <w:b/>
          <w:sz w:val="30"/>
          <w:szCs w:val="30"/>
          <w:rtl/>
        </w:rPr>
        <w:t xml:space="preserve">بيسة إلى </w:t>
      </w:r>
      <w:r w:rsidR="00EC54A4">
        <w:rPr>
          <w:rFonts w:ascii="Traditional Arabic" w:hAnsi="Traditional Arabic" w:cs="Traditional Arabic" w:hint="cs"/>
          <w:b/>
          <w:sz w:val="30"/>
          <w:szCs w:val="30"/>
          <w:rtl/>
        </w:rPr>
        <w:t xml:space="preserve">123 </w:t>
      </w:r>
      <w:r w:rsidRPr="00A1314E">
        <w:rPr>
          <w:rFonts w:ascii="Traditional Arabic" w:hAnsi="Traditional Arabic" w:cs="Traditional Arabic"/>
          <w:b/>
          <w:sz w:val="30"/>
          <w:szCs w:val="30"/>
          <w:rtl/>
        </w:rPr>
        <w:t>بيسة للسهم</w:t>
      </w:r>
      <w:r w:rsidRPr="00A1314E">
        <w:rPr>
          <w:rFonts w:ascii="Traditional Arabic" w:hAnsi="Traditional Arabic" w:cs="Traditional Arabic"/>
          <w:b/>
          <w:sz w:val="30"/>
          <w:szCs w:val="30"/>
        </w:rPr>
        <w:t>.</w:t>
      </w:r>
    </w:p>
    <w:p w14:paraId="7997ABB4" w14:textId="77777777" w:rsidR="00695447" w:rsidRPr="00A1314E"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وسوف تتقدم الشركة بطلب لتسجيل الأسهم في بورصة مسقط تحت الرمز</w:t>
      </w:r>
      <w:r w:rsidR="00755E06">
        <w:rPr>
          <w:rFonts w:ascii="Traditional Arabic" w:hAnsi="Traditional Arabic" w:cs="Traditional Arabic" w:hint="cs"/>
          <w:bCs/>
          <w:sz w:val="30"/>
          <w:szCs w:val="30"/>
          <w:rtl/>
        </w:rPr>
        <w:t xml:space="preserve"> (</w:t>
      </w:r>
      <w:r w:rsidR="00755E06" w:rsidRPr="00CB188B">
        <w:rPr>
          <w:sz w:val="24"/>
          <w:szCs w:val="32"/>
        </w:rPr>
        <w:t>“ASCO”</w:t>
      </w:r>
      <w:r w:rsidR="00755E06" w:rsidRPr="00CB188B">
        <w:rPr>
          <w:rFonts w:asciiTheme="majorBidi" w:hAnsiTheme="majorBidi" w:cstheme="majorBidi"/>
          <w:sz w:val="22"/>
          <w:szCs w:val="28"/>
          <w:rtl/>
        </w:rPr>
        <w:t>)</w:t>
      </w:r>
    </w:p>
    <w:p w14:paraId="4AA31EE3" w14:textId="77777777" w:rsidR="00695447" w:rsidRPr="00A1314E"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 xml:space="preserve">سيدفع </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جميع العمولات إلى </w:t>
      </w:r>
      <w:r w:rsidR="00C7022E">
        <w:rPr>
          <w:rFonts w:ascii="Traditional Arabic" w:hAnsi="Traditional Arabic" w:cs="Traditional Arabic"/>
          <w:b/>
          <w:sz w:val="30"/>
          <w:szCs w:val="30"/>
          <w:rtl/>
        </w:rPr>
        <w:t>المنسق العالمي المشترك</w:t>
      </w:r>
      <w:r w:rsidR="00600179">
        <w:rPr>
          <w:rFonts w:ascii="Traditional Arabic" w:hAnsi="Traditional Arabic" w:cs="Traditional Arabic" w:hint="cs"/>
          <w:b/>
          <w:sz w:val="30"/>
          <w:szCs w:val="30"/>
          <w:rtl/>
        </w:rPr>
        <w:t xml:space="preserve"> و</w:t>
      </w:r>
      <w:r w:rsidR="00600179" w:rsidRPr="00600179">
        <w:rPr>
          <w:rFonts w:ascii="Traditional Arabic" w:hAnsi="Traditional Arabic" w:cs="Traditional Arabic" w:hint="cs"/>
          <w:sz w:val="30"/>
          <w:szCs w:val="30"/>
          <w:rtl/>
        </w:rPr>
        <w:t xml:space="preserve"> </w:t>
      </w:r>
      <w:r w:rsidR="00600179">
        <w:rPr>
          <w:rFonts w:ascii="Traditional Arabic" w:hAnsi="Traditional Arabic" w:cs="Traditional Arabic" w:hint="cs"/>
          <w:sz w:val="30"/>
          <w:szCs w:val="30"/>
          <w:rtl/>
        </w:rPr>
        <w:t>مدير الإصدار</w:t>
      </w:r>
      <w:r w:rsidRPr="00A1314E">
        <w:rPr>
          <w:rFonts w:ascii="Traditional Arabic" w:hAnsi="Traditional Arabic" w:cs="Traditional Arabic"/>
          <w:b/>
          <w:sz w:val="30"/>
          <w:szCs w:val="30"/>
          <w:rtl/>
        </w:rPr>
        <w:t xml:space="preserve"> ووكلاء التحصيل، كما سيتحمل </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مصاريف الطرح.</w:t>
      </w:r>
    </w:p>
    <w:p w14:paraId="6EE4C619" w14:textId="77777777" w:rsidR="00695447" w:rsidRPr="00A1314E" w:rsidRDefault="00695447" w:rsidP="00695447">
      <w:pPr>
        <w:bidi/>
        <w:spacing w:after="160" w:line="259" w:lineRule="auto"/>
        <w:jc w:val="both"/>
        <w:rPr>
          <w:rFonts w:ascii="Traditional Arabic" w:hAnsi="Traditional Arabic" w:cs="Traditional Arabic"/>
          <w:bCs/>
          <w:sz w:val="30"/>
          <w:szCs w:val="30"/>
          <w:rtl/>
        </w:rPr>
      </w:pPr>
    </w:p>
    <w:p w14:paraId="5990B2E7" w14:textId="77777777" w:rsidR="00695447" w:rsidRPr="00A1314E"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Cs/>
          <w:sz w:val="30"/>
          <w:szCs w:val="30"/>
          <w:rtl/>
        </w:rPr>
        <w:t>اتفاقية التسوية المؤسسية</w:t>
      </w:r>
    </w:p>
    <w:p w14:paraId="1F2C31A5" w14:textId="77777777" w:rsidR="00695447" w:rsidRPr="00A1314E"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أقرت الشركة و</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ببعض الإقرارات في اتفاقية التسوية المؤسسية ووافقت الشركة على إعفاء </w:t>
      </w:r>
      <w:r w:rsidR="00C7022E">
        <w:rPr>
          <w:rFonts w:ascii="Traditional Arabic" w:hAnsi="Traditional Arabic" w:cs="Traditional Arabic"/>
          <w:b/>
          <w:sz w:val="30"/>
          <w:szCs w:val="30"/>
          <w:rtl/>
        </w:rPr>
        <w:t>المنسق العالمي المشترك</w:t>
      </w:r>
      <w:r w:rsidRPr="00A1314E">
        <w:rPr>
          <w:rFonts w:ascii="Traditional Arabic" w:hAnsi="Traditional Arabic" w:cs="Traditional Arabic"/>
          <w:b/>
          <w:sz w:val="30"/>
          <w:szCs w:val="30"/>
          <w:rtl/>
        </w:rPr>
        <w:t xml:space="preserve"> </w:t>
      </w:r>
      <w:r w:rsidR="00795D8B">
        <w:rPr>
          <w:rFonts w:ascii="Traditional Arabic" w:hAnsi="Traditional Arabic" w:cs="Traditional Arabic" w:hint="cs"/>
          <w:b/>
          <w:sz w:val="30"/>
          <w:szCs w:val="30"/>
          <w:rtl/>
        </w:rPr>
        <w:t>و</w:t>
      </w:r>
      <w:r w:rsidR="00795D8B" w:rsidRPr="00795D8B">
        <w:rPr>
          <w:rFonts w:ascii="Traditional Arabic" w:hAnsi="Traditional Arabic" w:cs="Traditional Arabic" w:hint="cs"/>
          <w:sz w:val="30"/>
          <w:szCs w:val="30"/>
          <w:rtl/>
        </w:rPr>
        <w:t xml:space="preserve"> </w:t>
      </w:r>
      <w:r w:rsidR="00795D8B">
        <w:rPr>
          <w:rFonts w:ascii="Traditional Arabic" w:hAnsi="Traditional Arabic" w:cs="Traditional Arabic" w:hint="cs"/>
          <w:sz w:val="30"/>
          <w:szCs w:val="30"/>
          <w:rtl/>
        </w:rPr>
        <w:t xml:space="preserve">مدير الإصدار </w:t>
      </w:r>
      <w:r w:rsidRPr="00A1314E">
        <w:rPr>
          <w:rFonts w:ascii="Traditional Arabic" w:hAnsi="Traditional Arabic" w:cs="Traditional Arabic"/>
          <w:b/>
          <w:sz w:val="30"/>
          <w:szCs w:val="30"/>
          <w:rtl/>
        </w:rPr>
        <w:t xml:space="preserve">ووكلاء التحصيل من بعض الالتزامات بموجب قانون الأوراق المالية، حيث أن مسؤولية </w:t>
      </w:r>
      <w:r w:rsidR="00C7022E">
        <w:rPr>
          <w:rFonts w:ascii="Traditional Arabic" w:hAnsi="Traditional Arabic" w:cs="Traditional Arabic"/>
          <w:b/>
          <w:sz w:val="30"/>
          <w:szCs w:val="30"/>
          <w:rtl/>
        </w:rPr>
        <w:t>المنسق العالمي المشترك</w:t>
      </w:r>
      <w:r w:rsidRPr="00A1314E">
        <w:rPr>
          <w:rFonts w:ascii="Traditional Arabic" w:hAnsi="Traditional Arabic" w:cs="Traditional Arabic"/>
          <w:b/>
          <w:sz w:val="30"/>
          <w:szCs w:val="30"/>
          <w:rtl/>
        </w:rPr>
        <w:t xml:space="preserve"> ووكلاء التحصيل هي طرح الأسهم نيابة عن </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متى تم تسليمها لهم وقبولها منهم مع مراعاة موافقة وكيلهم القانوني على بعض الأمور القانونية بما في ذلك صحة الأسهم وبعض الشروط الأخرى المنصوص عليها في اتفاقية التسوية المؤسسية كتسجيل واستلام </w:t>
      </w:r>
      <w:r w:rsidR="00C7022E">
        <w:rPr>
          <w:rFonts w:ascii="Traditional Arabic" w:hAnsi="Traditional Arabic" w:cs="Traditional Arabic"/>
          <w:b/>
          <w:sz w:val="30"/>
          <w:szCs w:val="30"/>
          <w:rtl/>
        </w:rPr>
        <w:t>المنسق العالمي المشترك</w:t>
      </w:r>
      <w:r w:rsidRPr="00A1314E">
        <w:rPr>
          <w:rFonts w:ascii="Traditional Arabic" w:hAnsi="Traditional Arabic" w:cs="Traditional Arabic"/>
          <w:b/>
          <w:sz w:val="30"/>
          <w:szCs w:val="30"/>
          <w:rtl/>
        </w:rPr>
        <w:t xml:space="preserve"> </w:t>
      </w:r>
      <w:r w:rsidR="00795D8B">
        <w:rPr>
          <w:rFonts w:ascii="Traditional Arabic" w:hAnsi="Traditional Arabic" w:cs="Traditional Arabic" w:hint="cs"/>
          <w:b/>
          <w:sz w:val="30"/>
          <w:szCs w:val="30"/>
          <w:rtl/>
        </w:rPr>
        <w:t>و</w:t>
      </w:r>
      <w:r w:rsidR="00795D8B">
        <w:rPr>
          <w:rFonts w:ascii="Traditional Arabic" w:hAnsi="Traditional Arabic" w:cs="Traditional Arabic" w:hint="cs"/>
          <w:sz w:val="30"/>
          <w:szCs w:val="30"/>
          <w:rtl/>
        </w:rPr>
        <w:t xml:space="preserve">مدير الإصدار </w:t>
      </w:r>
      <w:r w:rsidRPr="00A1314E">
        <w:rPr>
          <w:rFonts w:ascii="Traditional Arabic" w:hAnsi="Traditional Arabic" w:cs="Traditional Arabic"/>
          <w:b/>
          <w:sz w:val="30"/>
          <w:szCs w:val="30"/>
          <w:rtl/>
        </w:rPr>
        <w:t>ووكلاء التحصيل لشهادات المسؤولين وآرائهم القانونية</w:t>
      </w:r>
      <w:r w:rsidRPr="00A1314E">
        <w:rPr>
          <w:rFonts w:ascii="Traditional Arabic" w:hAnsi="Traditional Arabic" w:cs="Traditional Arabic"/>
          <w:b/>
          <w:sz w:val="30"/>
          <w:szCs w:val="30"/>
        </w:rPr>
        <w:t>.</w:t>
      </w:r>
    </w:p>
    <w:p w14:paraId="7D7945BA" w14:textId="77777777" w:rsidR="00695447" w:rsidRPr="00A1314E"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 xml:space="preserve">يخضع التزام </w:t>
      </w:r>
      <w:r w:rsidR="00C7022E">
        <w:rPr>
          <w:rFonts w:ascii="Traditional Arabic" w:hAnsi="Traditional Arabic" w:cs="Traditional Arabic"/>
          <w:b/>
          <w:sz w:val="30"/>
          <w:szCs w:val="30"/>
          <w:rtl/>
        </w:rPr>
        <w:t>المنسق العالمي المشترك</w:t>
      </w:r>
      <w:r w:rsidR="00875375">
        <w:rPr>
          <w:rFonts w:ascii="Traditional Arabic" w:hAnsi="Traditional Arabic" w:cs="Traditional Arabic" w:hint="cs"/>
          <w:b/>
          <w:sz w:val="30"/>
          <w:szCs w:val="30"/>
          <w:rtl/>
        </w:rPr>
        <w:t xml:space="preserve"> و</w:t>
      </w:r>
      <w:r w:rsidR="00875375">
        <w:rPr>
          <w:rFonts w:ascii="Traditional Arabic" w:hAnsi="Traditional Arabic" w:cs="Traditional Arabic" w:hint="cs"/>
          <w:sz w:val="30"/>
          <w:szCs w:val="30"/>
          <w:rtl/>
        </w:rPr>
        <w:t>مدير الإصدار</w:t>
      </w:r>
      <w:r w:rsidRPr="00A1314E">
        <w:rPr>
          <w:rFonts w:ascii="Traditional Arabic" w:hAnsi="Traditional Arabic" w:cs="Traditional Arabic"/>
          <w:b/>
          <w:sz w:val="30"/>
          <w:szCs w:val="30"/>
          <w:rtl/>
        </w:rPr>
        <w:t xml:space="preserve"> ووكلاء التحصيل للحصول على م</w:t>
      </w:r>
      <w:r w:rsidR="000F184E">
        <w:rPr>
          <w:rFonts w:ascii="Traditional Arabic" w:hAnsi="Traditional Arabic" w:cs="Traditional Arabic" w:hint="cs"/>
          <w:b/>
          <w:sz w:val="30"/>
          <w:szCs w:val="30"/>
          <w:rtl/>
        </w:rPr>
        <w:t>ستثمرين</w:t>
      </w:r>
      <w:r w:rsidRPr="00A1314E">
        <w:rPr>
          <w:rFonts w:ascii="Traditional Arabic" w:hAnsi="Traditional Arabic" w:cs="Traditional Arabic"/>
          <w:b/>
          <w:sz w:val="30"/>
          <w:szCs w:val="30"/>
          <w:rtl/>
        </w:rPr>
        <w:t xml:space="preserve">، أو في حالة عدم </w:t>
      </w:r>
      <w:r w:rsidR="000F184E">
        <w:rPr>
          <w:rFonts w:ascii="Traditional Arabic" w:hAnsi="Traditional Arabic" w:cs="Traditional Arabic" w:hint="cs"/>
          <w:b/>
          <w:sz w:val="30"/>
          <w:szCs w:val="30"/>
          <w:rtl/>
        </w:rPr>
        <w:t>الاستثمار</w:t>
      </w:r>
      <w:r w:rsidRPr="00A1314E">
        <w:rPr>
          <w:rFonts w:ascii="Traditional Arabic" w:hAnsi="Traditional Arabic" w:cs="Traditional Arabic"/>
          <w:b/>
          <w:sz w:val="30"/>
          <w:szCs w:val="30"/>
          <w:rtl/>
        </w:rPr>
        <w:t>، ستخضع الأسهم في عرض الفئة الأولى لشروط مسبقة معينة، ، ومنها: إبرام مذكرة التسعير بموجب اتفاقية التسوية المؤسسية</w:t>
      </w:r>
      <w:r w:rsidRPr="00A1314E" w:rsidDel="00EF649B">
        <w:rPr>
          <w:rFonts w:ascii="Traditional Arabic" w:hAnsi="Traditional Arabic" w:cs="Traditional Arabic"/>
          <w:b/>
          <w:sz w:val="30"/>
          <w:szCs w:val="30"/>
          <w:rtl/>
        </w:rPr>
        <w:t xml:space="preserve"> </w:t>
      </w:r>
      <w:r w:rsidRPr="00A1314E">
        <w:rPr>
          <w:rFonts w:ascii="Traditional Arabic" w:hAnsi="Traditional Arabic" w:cs="Traditional Arabic"/>
          <w:b/>
          <w:sz w:val="30"/>
          <w:szCs w:val="30"/>
          <w:rtl/>
        </w:rPr>
        <w:t>من قبل الشركة و</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و</w:t>
      </w:r>
      <w:r w:rsidR="00C7022E">
        <w:rPr>
          <w:rFonts w:ascii="Traditional Arabic" w:hAnsi="Traditional Arabic" w:cs="Traditional Arabic"/>
          <w:b/>
          <w:sz w:val="30"/>
          <w:szCs w:val="30"/>
          <w:rtl/>
        </w:rPr>
        <w:t>المنسق العالمي المشترك</w:t>
      </w:r>
      <w:r w:rsidRPr="00A1314E">
        <w:rPr>
          <w:rFonts w:ascii="Traditional Arabic" w:hAnsi="Traditional Arabic" w:cs="Traditional Arabic"/>
          <w:b/>
          <w:sz w:val="30"/>
          <w:szCs w:val="30"/>
          <w:rtl/>
        </w:rPr>
        <w:t xml:space="preserve"> بحيث يتم فيها تحديد سعر طرح الأسهم والعدد النهائي للأسهم المطروحة، </w:t>
      </w:r>
      <w:r w:rsidRPr="00A1314E">
        <w:rPr>
          <w:rFonts w:ascii="Traditional Arabic" w:hAnsi="Traditional Arabic" w:cs="Traditional Arabic"/>
          <w:b/>
          <w:sz w:val="30"/>
          <w:szCs w:val="30"/>
          <w:rtl/>
        </w:rPr>
        <w:lastRenderedPageBreak/>
        <w:t>ويتوقع أن يتم توقيع مذكرة التسعير في يوم التسعير، ويجوز للمنسق العالمي المشترك إنهاء اتفاقية التسوية المؤسسية</w:t>
      </w:r>
      <w:r w:rsidRPr="00A1314E" w:rsidDel="00EF649B">
        <w:rPr>
          <w:rFonts w:ascii="Traditional Arabic" w:hAnsi="Traditional Arabic" w:cs="Traditional Arabic"/>
          <w:b/>
          <w:sz w:val="30"/>
          <w:szCs w:val="30"/>
          <w:rtl/>
        </w:rPr>
        <w:t xml:space="preserve"> </w:t>
      </w:r>
      <w:r w:rsidRPr="00A1314E">
        <w:rPr>
          <w:rFonts w:ascii="Traditional Arabic" w:hAnsi="Traditional Arabic" w:cs="Traditional Arabic"/>
          <w:b/>
          <w:sz w:val="30"/>
          <w:szCs w:val="30"/>
          <w:rtl/>
        </w:rPr>
        <w:t>قبل تاريخ التسوية وفق بعض الشروط الخاصة المعروفة لهذا النوع من الاتفاقيات. إذا لم يتم الوفاء بهذه الشروط أو لم يتم التنازل عنها أو تم إنهاء اتفاقية التسوية المؤسسية</w:t>
      </w:r>
      <w:r w:rsidRPr="00A1314E" w:rsidDel="00EF649B">
        <w:rPr>
          <w:rFonts w:ascii="Traditional Arabic" w:hAnsi="Traditional Arabic" w:cs="Traditional Arabic"/>
          <w:b/>
          <w:sz w:val="30"/>
          <w:szCs w:val="30"/>
          <w:rtl/>
        </w:rPr>
        <w:t xml:space="preserve"> </w:t>
      </w:r>
      <w:r w:rsidRPr="00A1314E">
        <w:rPr>
          <w:rFonts w:ascii="Traditional Arabic" w:hAnsi="Traditional Arabic" w:cs="Traditional Arabic"/>
          <w:b/>
          <w:sz w:val="30"/>
          <w:szCs w:val="30"/>
          <w:rtl/>
        </w:rPr>
        <w:t>قبل تاريخ التسوية فسوف ينقضي الطرح</w:t>
      </w:r>
      <w:r w:rsidRPr="00A1314E">
        <w:rPr>
          <w:rFonts w:ascii="Traditional Arabic" w:hAnsi="Traditional Arabic" w:cs="Traditional Arabic"/>
          <w:b/>
          <w:sz w:val="30"/>
          <w:szCs w:val="30"/>
        </w:rPr>
        <w:t>.</w:t>
      </w:r>
      <w:r w:rsidRPr="00A1314E">
        <w:rPr>
          <w:rFonts w:ascii="Traditional Arabic" w:hAnsi="Traditional Arabic" w:cs="Traditional Arabic"/>
          <w:rtl/>
        </w:rPr>
        <w:t xml:space="preserve"> </w:t>
      </w:r>
      <w:r w:rsidRPr="00A1314E">
        <w:rPr>
          <w:rFonts w:ascii="Traditional Arabic" w:hAnsi="Traditional Arabic" w:cs="Traditional Arabic"/>
          <w:b/>
          <w:sz w:val="30"/>
          <w:szCs w:val="30"/>
          <w:rtl/>
        </w:rPr>
        <w:t>يجب إنهاء اتفاقية التسوية المؤسسية</w:t>
      </w:r>
      <w:r w:rsidRPr="00A1314E" w:rsidDel="00EF649B">
        <w:rPr>
          <w:rFonts w:ascii="Traditional Arabic" w:hAnsi="Traditional Arabic" w:cs="Traditional Arabic"/>
          <w:b/>
          <w:sz w:val="30"/>
          <w:szCs w:val="30"/>
          <w:rtl/>
        </w:rPr>
        <w:t xml:space="preserve"> </w:t>
      </w:r>
      <w:r w:rsidRPr="00A1314E">
        <w:rPr>
          <w:rFonts w:ascii="Traditional Arabic" w:hAnsi="Traditional Arabic" w:cs="Traditional Arabic"/>
          <w:b/>
          <w:sz w:val="30"/>
          <w:szCs w:val="30"/>
          <w:rtl/>
        </w:rPr>
        <w:t xml:space="preserve">تلقائيًا إذا لم يصبح التسجيل ساريًا خلال سبعة أيام من تاريخ الإدراج المقترح. في حالة حدوث ذلك، (1) ينتهي الطرح تلقائيًا، و(2) يجب على </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رد جميع الأموال المستلمة من المستثمرين، و (3) يجب على المستثمرون الذين قاموا بشراء الأسهم في الطرح </w:t>
      </w:r>
      <w:r w:rsidR="008D419F">
        <w:rPr>
          <w:rFonts w:ascii="Traditional Arabic" w:hAnsi="Traditional Arabic" w:cs="Traditional Arabic" w:hint="cs"/>
          <w:b/>
          <w:sz w:val="30"/>
          <w:szCs w:val="30"/>
          <w:rtl/>
        </w:rPr>
        <w:t>أ</w:t>
      </w:r>
      <w:r w:rsidRPr="00A1314E">
        <w:rPr>
          <w:rFonts w:ascii="Traditional Arabic" w:hAnsi="Traditional Arabic" w:cs="Traditional Arabic"/>
          <w:b/>
          <w:sz w:val="30"/>
          <w:szCs w:val="30"/>
          <w:rtl/>
        </w:rPr>
        <w:t xml:space="preserve">ن يقوموا بإعادة الأسهم التي قاموا بشرائها </w:t>
      </w:r>
      <w:r w:rsidR="00C37AEC">
        <w:rPr>
          <w:rFonts w:ascii="Traditional Arabic" w:hAnsi="Traditional Arabic" w:cs="Traditional Arabic"/>
          <w:b/>
          <w:sz w:val="30"/>
          <w:szCs w:val="30"/>
          <w:rtl/>
        </w:rPr>
        <w:t>للمساهمين البائعين</w:t>
      </w:r>
      <w:r w:rsidRPr="00A1314E">
        <w:rPr>
          <w:rFonts w:ascii="Traditional Arabic" w:hAnsi="Traditional Arabic" w:cs="Traditional Arabic"/>
          <w:b/>
          <w:sz w:val="30"/>
          <w:szCs w:val="30"/>
          <w:rtl/>
        </w:rPr>
        <w:t>. لمزيد من التفاصيل، راجع "</w:t>
      </w:r>
      <w:r w:rsidRPr="00A1314E">
        <w:rPr>
          <w:rFonts w:ascii="Traditional Arabic" w:hAnsi="Traditional Arabic" w:cs="Traditional Arabic"/>
          <w:b/>
          <w:i/>
          <w:iCs/>
          <w:sz w:val="30"/>
          <w:szCs w:val="30"/>
          <w:rtl/>
        </w:rPr>
        <w:t xml:space="preserve">الفصل الرابع - عوامل المخاطرة </w:t>
      </w:r>
      <w:r w:rsidR="00782156">
        <w:rPr>
          <w:rFonts w:ascii="Traditional Arabic" w:hAnsi="Traditional Arabic" w:cs="Traditional Arabic"/>
          <w:b/>
          <w:i/>
          <w:iCs/>
          <w:sz w:val="30"/>
          <w:szCs w:val="30"/>
          <w:rtl/>
        </w:rPr>
        <w:t>–</w:t>
      </w:r>
      <w:r w:rsidRPr="00A1314E">
        <w:rPr>
          <w:rFonts w:ascii="Traditional Arabic" w:hAnsi="Traditional Arabic" w:cs="Traditional Arabic"/>
          <w:b/>
          <w:i/>
          <w:iCs/>
          <w:sz w:val="30"/>
          <w:szCs w:val="30"/>
          <w:rtl/>
        </w:rPr>
        <w:t xml:space="preserve"> </w:t>
      </w:r>
      <w:r w:rsidR="00782156">
        <w:rPr>
          <w:rFonts w:ascii="Traditional Arabic" w:hAnsi="Traditional Arabic" w:cs="Traditional Arabic" w:hint="cs"/>
          <w:b/>
          <w:i/>
          <w:iCs/>
          <w:sz w:val="30"/>
          <w:szCs w:val="30"/>
          <w:rtl/>
        </w:rPr>
        <w:t xml:space="preserve">المخاطر المتعلقة بالطرح والأسهم </w:t>
      </w:r>
      <w:r w:rsidR="006F5184">
        <w:rPr>
          <w:rFonts w:ascii="Traditional Arabic" w:hAnsi="Traditional Arabic" w:cs="Traditional Arabic" w:hint="cs"/>
          <w:b/>
          <w:i/>
          <w:iCs/>
          <w:sz w:val="30"/>
          <w:szCs w:val="30"/>
          <w:rtl/>
        </w:rPr>
        <w:t xml:space="preserve"> </w:t>
      </w:r>
      <w:r w:rsidR="00782156">
        <w:rPr>
          <w:rFonts w:ascii="Traditional Arabic" w:hAnsi="Traditional Arabic" w:cs="Traditional Arabic" w:hint="cs"/>
          <w:b/>
          <w:i/>
          <w:iCs/>
          <w:sz w:val="30"/>
          <w:szCs w:val="30"/>
          <w:rtl/>
        </w:rPr>
        <w:t xml:space="preserve"> </w:t>
      </w:r>
      <w:r w:rsidR="00172D8B" w:rsidRPr="00DC5368">
        <w:rPr>
          <w:rFonts w:ascii="Traditional Arabic" w:hAnsi="Traditional Arabic" w:cs="Traditional Arabic"/>
          <w:b/>
          <w:i/>
          <w:iCs/>
          <w:sz w:val="30"/>
          <w:szCs w:val="30"/>
        </w:rPr>
        <w:t>-</w:t>
      </w:r>
      <w:r w:rsidR="00172D8B" w:rsidRPr="00DC5368">
        <w:rPr>
          <w:rFonts w:ascii="Traditional Arabic" w:hAnsi="Traditional Arabic" w:cs="Traditional Arabic" w:hint="cs"/>
          <w:b/>
          <w:i/>
          <w:iCs/>
          <w:sz w:val="30"/>
          <w:szCs w:val="30"/>
          <w:rtl/>
        </w:rPr>
        <w:t xml:space="preserve">  </w:t>
      </w:r>
      <w:r w:rsidR="00172D8B" w:rsidRPr="008F5F3C">
        <w:rPr>
          <w:rFonts w:ascii="Traditional Arabic" w:hAnsi="Traditional Arabic" w:cs="Traditional Arabic"/>
          <w:b/>
          <w:i/>
          <w:iCs/>
          <w:sz w:val="30"/>
          <w:szCs w:val="30"/>
          <w:rtl/>
        </w:rPr>
        <w:t>قد لا يكون طلب إدراج الأسهم في بورصة مسقط ناجحا</w:t>
      </w:r>
      <w:r w:rsidR="00172D8B" w:rsidRPr="00A1314E" w:rsidDel="00172D8B">
        <w:rPr>
          <w:rFonts w:ascii="Traditional Arabic" w:hAnsi="Traditional Arabic" w:cs="Traditional Arabic"/>
          <w:b/>
          <w:i/>
          <w:iCs/>
          <w:sz w:val="30"/>
          <w:szCs w:val="30"/>
          <w:rtl/>
        </w:rPr>
        <w:t xml:space="preserve"> </w:t>
      </w:r>
      <w:r w:rsidRPr="00A1314E">
        <w:rPr>
          <w:rFonts w:ascii="Traditional Arabic" w:hAnsi="Traditional Arabic" w:cs="Traditional Arabic"/>
          <w:b/>
          <w:sz w:val="30"/>
          <w:szCs w:val="30"/>
          <w:rtl/>
        </w:rPr>
        <w:t>"</w:t>
      </w:r>
    </w:p>
    <w:p w14:paraId="3074F904" w14:textId="77777777" w:rsidR="00695447" w:rsidRPr="00A1314E" w:rsidRDefault="00695447" w:rsidP="00695447">
      <w:pPr>
        <w:bidi/>
        <w:spacing w:after="160" w:line="259" w:lineRule="auto"/>
        <w:jc w:val="both"/>
        <w:rPr>
          <w:rFonts w:ascii="Traditional Arabic" w:hAnsi="Traditional Arabic" w:cs="Traditional Arabic"/>
          <w:bCs/>
          <w:sz w:val="30"/>
          <w:szCs w:val="30"/>
        </w:rPr>
      </w:pPr>
    </w:p>
    <w:p w14:paraId="1281DF74" w14:textId="77777777" w:rsidR="00695447" w:rsidRPr="00A1314E" w:rsidRDefault="00695447" w:rsidP="00695447">
      <w:pPr>
        <w:bidi/>
        <w:spacing w:after="160" w:line="259" w:lineRule="auto"/>
        <w:jc w:val="both"/>
        <w:rPr>
          <w:rFonts w:ascii="Traditional Arabic" w:hAnsi="Traditional Arabic" w:cs="Traditional Arabic"/>
          <w:bCs/>
          <w:sz w:val="30"/>
          <w:szCs w:val="30"/>
          <w:rtl/>
        </w:rPr>
      </w:pPr>
      <w:r w:rsidRPr="00A1314E">
        <w:rPr>
          <w:rFonts w:ascii="Traditional Arabic" w:hAnsi="Traditional Arabic" w:cs="Traditional Arabic"/>
          <w:bCs/>
          <w:sz w:val="30"/>
          <w:szCs w:val="30"/>
          <w:rtl/>
        </w:rPr>
        <w:t>تسعير الطرح</w:t>
      </w:r>
    </w:p>
    <w:p w14:paraId="1B66262E" w14:textId="77777777" w:rsidR="00695447"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 xml:space="preserve">قبل تسعير الطرح لم تُطرح الأسهم في سوق عامة من قبل، ولا يوجد ضمان على وجود سيولة لسوق تداول الأسهم، وقد تم تحديد النطاق السعري من قبل </w:t>
      </w:r>
      <w:r w:rsidR="000861C6">
        <w:rPr>
          <w:rFonts w:ascii="Traditional Arabic" w:hAnsi="Traditional Arabic" w:cs="Traditional Arabic"/>
          <w:b/>
          <w:sz w:val="30"/>
          <w:szCs w:val="30"/>
          <w:rtl/>
        </w:rPr>
        <w:t>المساهم البائع</w:t>
      </w:r>
      <w:r w:rsidR="004B1B95">
        <w:rPr>
          <w:rFonts w:ascii="Traditional Arabic" w:hAnsi="Traditional Arabic" w:cs="Traditional Arabic" w:hint="cs"/>
          <w:b/>
          <w:sz w:val="30"/>
          <w:szCs w:val="30"/>
          <w:rtl/>
        </w:rPr>
        <w:t xml:space="preserve"> والشركة</w:t>
      </w:r>
      <w:r w:rsidRPr="00A1314E">
        <w:rPr>
          <w:rFonts w:ascii="Traditional Arabic" w:hAnsi="Traditional Arabic" w:cs="Traditional Arabic"/>
          <w:b/>
          <w:sz w:val="30"/>
          <w:szCs w:val="30"/>
          <w:rtl/>
        </w:rPr>
        <w:t xml:space="preserve"> بعد التشاور مع </w:t>
      </w:r>
      <w:r w:rsidR="00C7022E">
        <w:rPr>
          <w:rFonts w:ascii="Traditional Arabic" w:hAnsi="Traditional Arabic" w:cs="Traditional Arabic"/>
          <w:b/>
          <w:sz w:val="30"/>
          <w:szCs w:val="30"/>
          <w:rtl/>
        </w:rPr>
        <w:t>المنسق العالمي المشترك</w:t>
      </w:r>
      <w:r w:rsidRPr="00A1314E">
        <w:rPr>
          <w:rFonts w:ascii="Traditional Arabic" w:hAnsi="Traditional Arabic" w:cs="Traditional Arabic"/>
          <w:b/>
          <w:sz w:val="30"/>
          <w:szCs w:val="30"/>
        </w:rPr>
        <w:t>.</w:t>
      </w:r>
    </w:p>
    <w:p w14:paraId="38D37FAA" w14:textId="77777777" w:rsidR="00957D79" w:rsidRDefault="00957D79" w:rsidP="00957D79">
      <w:pPr>
        <w:bidi/>
        <w:spacing w:after="160" w:line="259" w:lineRule="auto"/>
        <w:jc w:val="both"/>
        <w:rPr>
          <w:rFonts w:ascii="Traditional Arabic" w:hAnsi="Traditional Arabic" w:cs="Traditional Arabic"/>
          <w:b/>
          <w:sz w:val="30"/>
          <w:szCs w:val="30"/>
        </w:rPr>
      </w:pPr>
    </w:p>
    <w:p w14:paraId="24D56524" w14:textId="77777777" w:rsidR="00126014" w:rsidRPr="00CA4D73" w:rsidRDefault="00126014" w:rsidP="00126014">
      <w:pPr>
        <w:bidi/>
        <w:spacing w:after="160" w:line="259" w:lineRule="auto"/>
        <w:jc w:val="both"/>
        <w:rPr>
          <w:rFonts w:ascii="Traditional Arabic" w:hAnsi="Traditional Arabic" w:cs="Traditional Arabic"/>
          <w:bCs/>
          <w:sz w:val="30"/>
          <w:szCs w:val="30"/>
          <w:rtl/>
        </w:rPr>
      </w:pPr>
      <w:r w:rsidRPr="00CA4D73">
        <w:rPr>
          <w:rFonts w:ascii="Traditional Arabic" w:hAnsi="Traditional Arabic" w:cs="Traditional Arabic" w:hint="eastAsia"/>
          <w:bCs/>
          <w:sz w:val="30"/>
          <w:szCs w:val="30"/>
          <w:rtl/>
        </w:rPr>
        <w:t>خيار</w:t>
      </w:r>
      <w:r w:rsidRPr="00CA4D73">
        <w:rPr>
          <w:rFonts w:ascii="Traditional Arabic" w:hAnsi="Traditional Arabic" w:cs="Traditional Arabic"/>
          <w:bCs/>
          <w:sz w:val="30"/>
          <w:szCs w:val="30"/>
          <w:rtl/>
        </w:rPr>
        <w:t xml:space="preserve"> </w:t>
      </w:r>
      <w:r w:rsidRPr="00CA4D73">
        <w:rPr>
          <w:rFonts w:ascii="Traditional Arabic" w:hAnsi="Traditional Arabic" w:cs="Traditional Arabic" w:hint="eastAsia"/>
          <w:bCs/>
          <w:sz w:val="30"/>
          <w:szCs w:val="30"/>
          <w:rtl/>
        </w:rPr>
        <w:t>زيادة</w:t>
      </w:r>
      <w:r w:rsidRPr="00CA4D73">
        <w:rPr>
          <w:rFonts w:ascii="Traditional Arabic" w:hAnsi="Traditional Arabic" w:cs="Traditional Arabic"/>
          <w:bCs/>
          <w:sz w:val="30"/>
          <w:szCs w:val="30"/>
          <w:rtl/>
        </w:rPr>
        <w:t xml:space="preserve"> </w:t>
      </w:r>
      <w:r w:rsidRPr="00CA4D73">
        <w:rPr>
          <w:rFonts w:ascii="Traditional Arabic" w:hAnsi="Traditional Arabic" w:cs="Traditional Arabic" w:hint="eastAsia"/>
          <w:bCs/>
          <w:sz w:val="30"/>
          <w:szCs w:val="30"/>
          <w:rtl/>
        </w:rPr>
        <w:t>حجم</w:t>
      </w:r>
      <w:r w:rsidRPr="00CA4D73">
        <w:rPr>
          <w:rFonts w:ascii="Traditional Arabic" w:hAnsi="Traditional Arabic" w:cs="Traditional Arabic"/>
          <w:bCs/>
          <w:sz w:val="30"/>
          <w:szCs w:val="30"/>
          <w:rtl/>
        </w:rPr>
        <w:t xml:space="preserve"> </w:t>
      </w:r>
      <w:r w:rsidRPr="00CA4D73">
        <w:rPr>
          <w:rFonts w:ascii="Traditional Arabic" w:hAnsi="Traditional Arabic" w:cs="Traditional Arabic" w:hint="eastAsia"/>
          <w:bCs/>
          <w:sz w:val="30"/>
          <w:szCs w:val="30"/>
          <w:rtl/>
        </w:rPr>
        <w:t>الطرح</w:t>
      </w:r>
    </w:p>
    <w:p w14:paraId="2995DB63" w14:textId="77777777" w:rsidR="00126014" w:rsidRPr="00A1314E" w:rsidRDefault="00126014" w:rsidP="00126014">
      <w:pPr>
        <w:bidi/>
        <w:spacing w:after="160" w:line="259" w:lineRule="auto"/>
        <w:jc w:val="both"/>
        <w:rPr>
          <w:rFonts w:ascii="Traditional Arabic" w:hAnsi="Traditional Arabic" w:cs="Traditional Arabic"/>
          <w:b/>
          <w:sz w:val="30"/>
          <w:szCs w:val="30"/>
          <w:rtl/>
        </w:rPr>
      </w:pPr>
      <w:r>
        <w:rPr>
          <w:rFonts w:ascii="Traditional Arabic" w:hAnsi="Traditional Arabic" w:cs="Traditional Arabic" w:hint="cs"/>
          <w:b/>
          <w:sz w:val="30"/>
          <w:szCs w:val="30"/>
          <w:rtl/>
        </w:rPr>
        <w:t>يحتفظ المساهم البائع بالحق في زيادة حج</w:t>
      </w:r>
      <w:r w:rsidR="00E30DC0">
        <w:rPr>
          <w:rFonts w:ascii="Traditional Arabic" w:hAnsi="Traditional Arabic" w:cs="Traditional Arabic" w:hint="cs"/>
          <w:b/>
          <w:sz w:val="30"/>
          <w:szCs w:val="30"/>
          <w:rtl/>
        </w:rPr>
        <w:t>م</w:t>
      </w:r>
      <w:r>
        <w:rPr>
          <w:rFonts w:ascii="Traditional Arabic" w:hAnsi="Traditional Arabic" w:cs="Traditional Arabic" w:hint="cs"/>
          <w:b/>
          <w:sz w:val="30"/>
          <w:szCs w:val="30"/>
          <w:rtl/>
        </w:rPr>
        <w:t xml:space="preserve"> الطرح </w:t>
      </w:r>
      <w:r w:rsidR="00E30DC0">
        <w:rPr>
          <w:rFonts w:ascii="Traditional Arabic" w:hAnsi="Traditional Arabic" w:cs="Traditional Arabic" w:hint="cs"/>
          <w:b/>
          <w:sz w:val="30"/>
          <w:szCs w:val="30"/>
          <w:rtl/>
        </w:rPr>
        <w:t>بنسبة تصل الى ١٥ ٪ من المجموع الكلي لأسهم الطرح</w:t>
      </w:r>
      <w:r w:rsidR="006F23A7">
        <w:rPr>
          <w:rFonts w:ascii="Traditional Arabic" w:hAnsi="Traditional Arabic" w:cs="Traditional Arabic" w:hint="cs"/>
          <w:b/>
          <w:sz w:val="30"/>
          <w:szCs w:val="30"/>
          <w:rtl/>
        </w:rPr>
        <w:t xml:space="preserve">، </w:t>
      </w:r>
      <w:r w:rsidR="00957D79">
        <w:rPr>
          <w:rFonts w:ascii="Traditional Arabic" w:hAnsi="Traditional Arabic" w:cs="Traditional Arabic" w:hint="cs"/>
          <w:b/>
          <w:sz w:val="30"/>
          <w:szCs w:val="30"/>
          <w:rtl/>
        </w:rPr>
        <w:t>إذا</w:t>
      </w:r>
      <w:r w:rsidR="006F23A7">
        <w:rPr>
          <w:rFonts w:ascii="Traditional Arabic" w:hAnsi="Traditional Arabic" w:cs="Traditional Arabic" w:hint="cs"/>
          <w:b/>
          <w:sz w:val="30"/>
          <w:szCs w:val="30"/>
          <w:rtl/>
        </w:rPr>
        <w:t xml:space="preserve"> ارتأى المساهم </w:t>
      </w:r>
      <w:r w:rsidR="00957D79">
        <w:rPr>
          <w:rFonts w:ascii="Traditional Arabic" w:hAnsi="Traditional Arabic" w:cs="Traditional Arabic" w:hint="cs"/>
          <w:b/>
          <w:sz w:val="30"/>
          <w:szCs w:val="30"/>
          <w:rtl/>
        </w:rPr>
        <w:t>البائع، وذلك</w:t>
      </w:r>
      <w:r w:rsidR="006F23A7">
        <w:rPr>
          <w:rFonts w:ascii="Traditional Arabic" w:hAnsi="Traditional Arabic" w:cs="Traditional Arabic" w:hint="cs"/>
          <w:b/>
          <w:sz w:val="30"/>
          <w:szCs w:val="30"/>
          <w:rtl/>
        </w:rPr>
        <w:t xml:space="preserve"> بعد </w:t>
      </w:r>
      <w:r w:rsidR="00957D79">
        <w:rPr>
          <w:rFonts w:ascii="Traditional Arabic" w:hAnsi="Traditional Arabic" w:cs="Traditional Arabic" w:hint="cs"/>
          <w:b/>
          <w:sz w:val="30"/>
          <w:szCs w:val="30"/>
          <w:rtl/>
        </w:rPr>
        <w:t>دراسة</w:t>
      </w:r>
      <w:r w:rsidR="00FC1C5E">
        <w:rPr>
          <w:rFonts w:ascii="Traditional Arabic" w:hAnsi="Traditional Arabic" w:cs="Traditional Arabic" w:hint="cs"/>
          <w:b/>
          <w:sz w:val="30"/>
          <w:szCs w:val="30"/>
          <w:rtl/>
        </w:rPr>
        <w:t xml:space="preserve"> حجم الطلب من قبل المستثمرين، ممارسة خيار </w:t>
      </w:r>
      <w:r w:rsidR="008908B4">
        <w:rPr>
          <w:rFonts w:ascii="Traditional Arabic" w:hAnsi="Traditional Arabic" w:cs="Traditional Arabic" w:hint="cs"/>
          <w:b/>
          <w:sz w:val="30"/>
          <w:szCs w:val="30"/>
          <w:rtl/>
        </w:rPr>
        <w:t xml:space="preserve">بيع او تخصيص أسهم إضافية. </w:t>
      </w:r>
      <w:r w:rsidR="00FD3915" w:rsidRPr="00F408BC">
        <w:rPr>
          <w:rFonts w:ascii="Traditional Arabic" w:hAnsi="Traditional Arabic" w:cs="Traditional Arabic"/>
          <w:sz w:val="30"/>
          <w:szCs w:val="30"/>
          <w:rtl/>
        </w:rPr>
        <w:t xml:space="preserve">إذا اختار المساهم البائع ممارسة خيار </w:t>
      </w:r>
      <w:r w:rsidR="00FD3915">
        <w:rPr>
          <w:rFonts w:ascii="Traditional Arabic" w:hAnsi="Traditional Arabic" w:cs="Traditional Arabic" w:hint="cs"/>
          <w:sz w:val="30"/>
          <w:szCs w:val="30"/>
          <w:rtl/>
        </w:rPr>
        <w:t>زيادة حجم الاكتتاب</w:t>
      </w:r>
      <w:r w:rsidR="00FD3915" w:rsidRPr="00F408BC">
        <w:rPr>
          <w:rFonts w:ascii="Traditional Arabic" w:hAnsi="Traditional Arabic" w:cs="Traditional Arabic"/>
          <w:sz w:val="30"/>
          <w:szCs w:val="30"/>
          <w:rtl/>
        </w:rPr>
        <w:t xml:space="preserve">، فسيتم </w:t>
      </w:r>
      <w:r w:rsidR="00613C6F">
        <w:rPr>
          <w:rFonts w:ascii="Traditional Arabic" w:hAnsi="Traditional Arabic" w:cs="Traditional Arabic" w:hint="cs"/>
          <w:sz w:val="30"/>
          <w:szCs w:val="30"/>
          <w:rtl/>
        </w:rPr>
        <w:t>اتاحة</w:t>
      </w:r>
      <w:r w:rsidR="00613C6F" w:rsidRPr="00F408BC">
        <w:rPr>
          <w:rFonts w:ascii="Traditional Arabic" w:hAnsi="Traditional Arabic" w:cs="Traditional Arabic"/>
          <w:sz w:val="30"/>
          <w:szCs w:val="30"/>
          <w:rtl/>
        </w:rPr>
        <w:t xml:space="preserve"> </w:t>
      </w:r>
      <w:r w:rsidR="00FD3915" w:rsidRPr="00F408BC">
        <w:rPr>
          <w:rFonts w:ascii="Traditional Arabic" w:hAnsi="Traditional Arabic" w:cs="Traditional Arabic"/>
          <w:sz w:val="30"/>
          <w:szCs w:val="30"/>
          <w:rtl/>
        </w:rPr>
        <w:t xml:space="preserve">أي أسهم إضافية </w:t>
      </w:r>
      <w:r w:rsidR="00DB7BC1">
        <w:rPr>
          <w:rFonts w:ascii="Traditional Arabic" w:hAnsi="Traditional Arabic" w:cs="Traditional Arabic" w:hint="cs"/>
          <w:sz w:val="30"/>
          <w:szCs w:val="30"/>
          <w:rtl/>
        </w:rPr>
        <w:t>بالنسبة والتناسب</w:t>
      </w:r>
      <w:r w:rsidR="00FD3915" w:rsidRPr="00F408BC">
        <w:rPr>
          <w:rFonts w:ascii="Traditional Arabic" w:hAnsi="Traditional Arabic" w:cs="Traditional Arabic"/>
          <w:sz w:val="30"/>
          <w:szCs w:val="30"/>
          <w:rtl/>
        </w:rPr>
        <w:t xml:space="preserve"> بين </w:t>
      </w:r>
      <w:r w:rsidR="00FD3915">
        <w:rPr>
          <w:rFonts w:ascii="Traditional Arabic" w:hAnsi="Traditional Arabic" w:cs="Traditional Arabic" w:hint="cs"/>
          <w:sz w:val="30"/>
          <w:szCs w:val="30"/>
          <w:rtl/>
        </w:rPr>
        <w:t>مقدمي الطلبات من الفئة الأولى والثانية.</w:t>
      </w:r>
    </w:p>
    <w:p w14:paraId="750E3F7A" w14:textId="77777777" w:rsidR="00695447" w:rsidRPr="00A1314E" w:rsidRDefault="00695447" w:rsidP="00695447">
      <w:pPr>
        <w:bidi/>
        <w:spacing w:after="160" w:line="259" w:lineRule="auto"/>
        <w:jc w:val="both"/>
        <w:rPr>
          <w:rFonts w:ascii="Traditional Arabic" w:hAnsi="Traditional Arabic" w:cs="Traditional Arabic"/>
          <w:bCs/>
          <w:sz w:val="30"/>
          <w:szCs w:val="30"/>
          <w:rtl/>
        </w:rPr>
      </w:pPr>
    </w:p>
    <w:p w14:paraId="3EA61558" w14:textId="77777777" w:rsidR="00695447" w:rsidRPr="00A1314E" w:rsidRDefault="00695447" w:rsidP="00695447">
      <w:pPr>
        <w:bidi/>
        <w:spacing w:after="160" w:line="259" w:lineRule="auto"/>
        <w:jc w:val="both"/>
        <w:rPr>
          <w:rFonts w:ascii="Traditional Arabic" w:hAnsi="Traditional Arabic" w:cs="Traditional Arabic"/>
          <w:bCs/>
          <w:sz w:val="30"/>
          <w:szCs w:val="30"/>
          <w:rtl/>
        </w:rPr>
      </w:pPr>
      <w:r w:rsidRPr="00A1314E">
        <w:rPr>
          <w:rFonts w:ascii="Traditional Arabic" w:hAnsi="Traditional Arabic" w:cs="Traditional Arabic"/>
          <w:bCs/>
          <w:sz w:val="30"/>
          <w:szCs w:val="30"/>
          <w:rtl/>
        </w:rPr>
        <w:t>ترتيبات فترة الحجز</w:t>
      </w:r>
    </w:p>
    <w:p w14:paraId="048DABB6" w14:textId="77777777" w:rsidR="00695447" w:rsidRPr="00A1314E"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وفق اتفاقية التسوية المؤسسية</w:t>
      </w:r>
      <w:r w:rsidRPr="00A1314E" w:rsidDel="00EF649B">
        <w:rPr>
          <w:rFonts w:ascii="Traditional Arabic" w:hAnsi="Traditional Arabic" w:cs="Traditional Arabic"/>
          <w:b/>
          <w:sz w:val="30"/>
          <w:szCs w:val="30"/>
          <w:rtl/>
        </w:rPr>
        <w:t xml:space="preserve"> </w:t>
      </w:r>
      <w:r w:rsidRPr="00A1314E">
        <w:rPr>
          <w:rFonts w:ascii="Traditional Arabic" w:hAnsi="Traditional Arabic" w:cs="Traditional Arabic"/>
          <w:b/>
          <w:sz w:val="30"/>
          <w:szCs w:val="30"/>
          <w:rtl/>
        </w:rPr>
        <w:t>، وافقت الشركة و</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تعاقديا على أنه لا يجوز - ولمدة 180 يوما ميلاديا من تاريخ التسجيل -: (1) إصدار أو طرح أو رهن أو بيع أو التعاقد لبيع أو بيع أو منح أي خيار أو حق أو ضمان أو عقد شراء أو ممارسة أي خيار بيع أو شراء أي خيار أو عقد لبيع، أو إقراض أو تحويل أو التصرف بصورة مباشرة أو غير مباشرة في الأسهم المكتتب بها أو في غيرها من أسهم الشركة أو الأوراق المالية القابلة للتحويل أو التداول أو لممارسة أي سهم أو ضمان أو حق </w:t>
      </w:r>
      <w:r w:rsidRPr="00A1314E">
        <w:rPr>
          <w:rFonts w:ascii="Traditional Arabic" w:hAnsi="Traditional Arabic" w:cs="Traditional Arabic"/>
          <w:b/>
          <w:sz w:val="30"/>
          <w:szCs w:val="30"/>
          <w:rtl/>
        </w:rPr>
        <w:lastRenderedPageBreak/>
        <w:t xml:space="preserve">آخر لشراء أسهم الطرح أو الأوراق المالية أو المنتجات المالية التي يتم تحديد قيمتها بشكل مباشر أو غير مباشر بالإشارة إلى سعر الأسهم. (2) إبرام أية مبادلة أو أي اتفاقية أخرى أو معاملة بما يكون بموجبها بيع التبيعة الاقتصادية لملكية الأسهم بالكامل أو في جزء منها بصورة مباشرة أو غير مباشرة، وسواء تمت تسوية كل معاملة عن طريق التنفيذ على أسهم الطرح أو الأوراق المالية الأخرى، أو بالنقد أو بخلاف ذلك. (3) الإعلان للجمهور عن النية في تنفيذ المعاملة، وفي كل حالة، بدون الحصول على موافقة خطية مسبقة من </w:t>
      </w:r>
      <w:r w:rsidR="00C7022E">
        <w:rPr>
          <w:rFonts w:ascii="Traditional Arabic" w:hAnsi="Traditional Arabic" w:cs="Traditional Arabic"/>
          <w:b/>
          <w:sz w:val="30"/>
          <w:szCs w:val="30"/>
          <w:rtl/>
        </w:rPr>
        <w:t>المنسق العالمي المشترك</w:t>
      </w:r>
      <w:r w:rsidRPr="00A1314E">
        <w:rPr>
          <w:rFonts w:ascii="Traditional Arabic" w:hAnsi="Traditional Arabic" w:cs="Traditional Arabic"/>
          <w:b/>
          <w:sz w:val="30"/>
          <w:szCs w:val="30"/>
        </w:rPr>
        <w:t>.</w:t>
      </w:r>
    </w:p>
    <w:p w14:paraId="4A011752" w14:textId="77777777" w:rsidR="00695447" w:rsidRPr="00A1314E"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وفيما يتعلق ب</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فقط، فإن القيود السابقة لن تُطبق على</w:t>
      </w:r>
      <w:r w:rsidRPr="00A1314E">
        <w:rPr>
          <w:rFonts w:ascii="Traditional Arabic" w:hAnsi="Traditional Arabic" w:cs="Traditional Arabic"/>
          <w:b/>
          <w:sz w:val="30"/>
          <w:szCs w:val="30"/>
        </w:rPr>
        <w:t>:</w:t>
      </w:r>
    </w:p>
    <w:p w14:paraId="26E87317" w14:textId="77777777" w:rsidR="00695447" w:rsidRPr="00A1314E" w:rsidRDefault="00695447" w:rsidP="00695447">
      <w:pPr>
        <w:bidi/>
        <w:spacing w:after="160" w:line="259" w:lineRule="auto"/>
        <w:ind w:left="540" w:hanging="540"/>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1</w:t>
      </w: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بيع الأسهم التي تُباع وفق الطرح</w:t>
      </w:r>
      <w:r w:rsidRPr="00A1314E">
        <w:rPr>
          <w:rFonts w:ascii="Traditional Arabic" w:hAnsi="Traditional Arabic" w:cs="Traditional Arabic"/>
          <w:b/>
          <w:sz w:val="30"/>
          <w:szCs w:val="30"/>
        </w:rPr>
        <w:t>.</w:t>
      </w:r>
    </w:p>
    <w:p w14:paraId="3E940C14" w14:textId="77777777" w:rsidR="00695447" w:rsidRPr="00A1314E" w:rsidRDefault="00695447" w:rsidP="00695447">
      <w:pPr>
        <w:bidi/>
        <w:spacing w:after="160" w:line="259" w:lineRule="auto"/>
        <w:ind w:left="540" w:hanging="540"/>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2</w:t>
      </w: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 xml:space="preserve">أي بيع للأسهم داخل الشركة يقوم به </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لمصلحة التابعين له (المحال إليهم)، بشرط: (</w:t>
      </w:r>
      <w:r w:rsidR="00F42A15">
        <w:rPr>
          <w:rFonts w:ascii="Traditional Arabic" w:hAnsi="Traditional Arabic" w:cs="Traditional Arabic" w:hint="cs"/>
          <w:b/>
          <w:sz w:val="30"/>
          <w:szCs w:val="30"/>
          <w:rtl/>
        </w:rPr>
        <w:t>أ</w:t>
      </w:r>
      <w:r w:rsidRPr="00A1314E">
        <w:rPr>
          <w:rFonts w:ascii="Traditional Arabic" w:hAnsi="Traditional Arabic" w:cs="Traditional Arabic"/>
          <w:b/>
          <w:sz w:val="30"/>
          <w:szCs w:val="30"/>
          <w:rtl/>
        </w:rPr>
        <w:t xml:space="preserve">) قبل البيع، يوافق المحال إليه على الالتزام بالتزامات </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في شأن فترة الاحتفاظ بالأسهم. (</w:t>
      </w:r>
      <w:r w:rsidR="00F42A15">
        <w:rPr>
          <w:rFonts w:ascii="Traditional Arabic" w:hAnsi="Traditional Arabic" w:cs="Traditional Arabic" w:hint="cs"/>
          <w:b/>
          <w:sz w:val="30"/>
          <w:szCs w:val="30"/>
          <w:rtl/>
        </w:rPr>
        <w:t>ب</w:t>
      </w:r>
      <w:r w:rsidRPr="00A1314E">
        <w:rPr>
          <w:rFonts w:ascii="Traditional Arabic" w:hAnsi="Traditional Arabic" w:cs="Traditional Arabic"/>
          <w:b/>
          <w:sz w:val="30"/>
          <w:szCs w:val="30"/>
          <w:rtl/>
        </w:rPr>
        <w:t>) أي محالة لبيع الأسهم داخل الشركة ستتم وفق شروط وأحكام لا تتعارض مع الطرح. (</w:t>
      </w:r>
      <w:r w:rsidR="00F42A15">
        <w:rPr>
          <w:rFonts w:ascii="Traditional Arabic" w:hAnsi="Traditional Arabic" w:cs="Traditional Arabic" w:hint="cs"/>
          <w:b/>
          <w:sz w:val="30"/>
          <w:szCs w:val="30"/>
          <w:rtl/>
        </w:rPr>
        <w:t>ج</w:t>
      </w:r>
      <w:r w:rsidRPr="00A1314E">
        <w:rPr>
          <w:rFonts w:ascii="Traditional Arabic" w:hAnsi="Traditional Arabic" w:cs="Traditional Arabic"/>
          <w:b/>
          <w:sz w:val="30"/>
          <w:szCs w:val="30"/>
          <w:rtl/>
        </w:rPr>
        <w:t xml:space="preserve">) إذا لم يعد المحال إليه تابعا للمساهم البائع فإن الأسهم المبيعة له ستُرد إلى </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قبل انفصال المحال إليه عن التبعية</w:t>
      </w:r>
      <w:r w:rsidRPr="00A1314E">
        <w:rPr>
          <w:rFonts w:ascii="Traditional Arabic" w:hAnsi="Traditional Arabic" w:cs="Traditional Arabic"/>
          <w:b/>
          <w:sz w:val="30"/>
          <w:szCs w:val="30"/>
        </w:rPr>
        <w:t>.</w:t>
      </w:r>
    </w:p>
    <w:p w14:paraId="50A0231F" w14:textId="77777777" w:rsidR="00695447" w:rsidRPr="00A1314E" w:rsidRDefault="00695447" w:rsidP="00695447">
      <w:pPr>
        <w:bidi/>
        <w:spacing w:after="160" w:line="259" w:lineRule="auto"/>
        <w:ind w:left="540" w:hanging="540"/>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3</w:t>
      </w: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قبول عرض عام موجه لجميع حاملي الأسهم قيد الإصدار (غير الأسهم المملوكة للشخص المقدم للعرض أو التابعين له) بشروط تحمل جميع حاملي الأسهم على قدم المساواة، أو توقيع وتسليم التزام أو تعهد بقبول العرض العام (بدون أية اتفاقية أخرى لبيع أو التصرف في الأسهم أو في أي مصلحة فيها)</w:t>
      </w:r>
      <w:r w:rsidRPr="00A1314E">
        <w:rPr>
          <w:rFonts w:ascii="Traditional Arabic" w:hAnsi="Traditional Arabic" w:cs="Traditional Arabic"/>
          <w:b/>
          <w:sz w:val="30"/>
          <w:szCs w:val="30"/>
        </w:rPr>
        <w:t>.</w:t>
      </w:r>
    </w:p>
    <w:p w14:paraId="2A703D85" w14:textId="77777777" w:rsidR="00695447" w:rsidRPr="00A1314E" w:rsidRDefault="00695447" w:rsidP="00695447">
      <w:pPr>
        <w:bidi/>
        <w:spacing w:after="160" w:line="259" w:lineRule="auto"/>
        <w:ind w:left="540" w:hanging="540"/>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4</w:t>
      </w: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قبول أي حق ممنوح بخصوص عرض الشركة لأسهم بنظام الأفضلية وذلك لبيع عدد كافٍ من حقوقها لتتمكن من شراء باقي حقوقها</w:t>
      </w:r>
      <w:r w:rsidRPr="00A1314E">
        <w:rPr>
          <w:rFonts w:ascii="Traditional Arabic" w:hAnsi="Traditional Arabic" w:cs="Traditional Arabic"/>
          <w:b/>
          <w:sz w:val="30"/>
          <w:szCs w:val="30"/>
        </w:rPr>
        <w:t>.</w:t>
      </w:r>
    </w:p>
    <w:p w14:paraId="2EF4E851" w14:textId="77777777" w:rsidR="00695447" w:rsidRPr="00A1314E" w:rsidRDefault="00695447" w:rsidP="00695447">
      <w:pPr>
        <w:bidi/>
        <w:spacing w:after="160" w:line="259" w:lineRule="auto"/>
        <w:ind w:left="540" w:hanging="540"/>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5</w:t>
      </w: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البيع أو التصرف في الأسهم بأي طريق من طرق التصرف وفق أي عرض للشركة لشراء أسهمها المعروضة بشروط مماثلة لجميع حاملي الأسهم في الشركة</w:t>
      </w:r>
      <w:r w:rsidRPr="00A1314E">
        <w:rPr>
          <w:rFonts w:ascii="Traditional Arabic" w:hAnsi="Traditional Arabic" w:cs="Traditional Arabic"/>
          <w:b/>
          <w:sz w:val="30"/>
          <w:szCs w:val="30"/>
        </w:rPr>
        <w:t>.</w:t>
      </w:r>
    </w:p>
    <w:p w14:paraId="04812C78" w14:textId="77777777" w:rsidR="00695447" w:rsidRPr="00A1314E" w:rsidRDefault="00695447" w:rsidP="00695447">
      <w:pPr>
        <w:bidi/>
        <w:spacing w:after="160" w:line="259" w:lineRule="auto"/>
        <w:ind w:left="540" w:hanging="540"/>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6</w:t>
      </w: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 xml:space="preserve">أي تصرف أو تخصيص أو إصدار لأسهم لأي مساهم بائع بموجب أي إعادة هيكلة لرأس المال فيما يتعلق بالأسهم المملوكة أو المحتفظ بها أو المسيطر عليها من قبل </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بشرط أن تخضع لقيود فترة الاحتفاظ بالأسهم - تلك الأسهم الصادرة </w:t>
      </w:r>
      <w:r w:rsidR="00C37AEC">
        <w:rPr>
          <w:rFonts w:ascii="Traditional Arabic" w:hAnsi="Traditional Arabic" w:cs="Traditional Arabic"/>
          <w:b/>
          <w:sz w:val="30"/>
          <w:szCs w:val="30"/>
          <w:rtl/>
        </w:rPr>
        <w:t>للمساهمين البائعين</w:t>
      </w:r>
      <w:r w:rsidRPr="00A1314E">
        <w:rPr>
          <w:rFonts w:ascii="Traditional Arabic" w:hAnsi="Traditional Arabic" w:cs="Traditional Arabic"/>
          <w:b/>
          <w:sz w:val="30"/>
          <w:szCs w:val="30"/>
          <w:rtl/>
        </w:rPr>
        <w:t xml:space="preserve"> أو التي يستحوذ عليها بموجب إعادة هيكلة رأس المال</w:t>
      </w:r>
      <w:r w:rsidRPr="00A1314E">
        <w:rPr>
          <w:rFonts w:ascii="Traditional Arabic" w:hAnsi="Traditional Arabic" w:cs="Traditional Arabic"/>
          <w:b/>
          <w:sz w:val="30"/>
          <w:szCs w:val="30"/>
        </w:rPr>
        <w:t>.</w:t>
      </w:r>
    </w:p>
    <w:p w14:paraId="6A939E2E" w14:textId="77777777" w:rsidR="00695447" w:rsidRPr="00A1314E" w:rsidRDefault="00695447" w:rsidP="00695447">
      <w:pPr>
        <w:bidi/>
        <w:spacing w:after="160" w:line="259" w:lineRule="auto"/>
        <w:ind w:left="540" w:hanging="540"/>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lastRenderedPageBreak/>
        <w:t>7-</w:t>
      </w:r>
      <w:r w:rsidRPr="00A1314E">
        <w:rPr>
          <w:rFonts w:ascii="Traditional Arabic" w:hAnsi="Traditional Arabic" w:cs="Traditional Arabic"/>
          <w:b/>
          <w:sz w:val="30"/>
          <w:szCs w:val="30"/>
          <w:rtl/>
        </w:rPr>
        <w:tab/>
        <w:t>بيع الأسهم أو التصرف فيها بأي طريق من طرق التصرف وفق أي تسوية أو ترتيب يتم بين الشركة وبين الدائنين أو أي مجموعة منهم أو بين الشركة وبين أعضائها أو أي مجموعة منهم بحيث يتم الموافقة عليها من قبل الدائن أو الأعضاء، ويتم اعتمادها (عند الاقتضاء) من قبل أية جهة مختصة.</w:t>
      </w:r>
    </w:p>
    <w:p w14:paraId="3C283975" w14:textId="77777777" w:rsidR="00695447" w:rsidRPr="00A1314E" w:rsidRDefault="00695447" w:rsidP="00695447">
      <w:pPr>
        <w:bidi/>
        <w:spacing w:after="160" w:line="259" w:lineRule="auto"/>
        <w:ind w:left="540" w:hanging="540"/>
        <w:jc w:val="both"/>
        <w:rPr>
          <w:rFonts w:ascii="Traditional Arabic" w:hAnsi="Traditional Arabic" w:cs="Traditional Arabic"/>
          <w:b/>
          <w:sz w:val="30"/>
          <w:szCs w:val="30"/>
          <w:rtl/>
        </w:rPr>
      </w:pPr>
    </w:p>
    <w:p w14:paraId="6E3102CF" w14:textId="77777777" w:rsidR="00695447" w:rsidRPr="00A1314E" w:rsidRDefault="00695447" w:rsidP="00695447">
      <w:pPr>
        <w:bidi/>
        <w:spacing w:after="160" w:line="259" w:lineRule="auto"/>
        <w:jc w:val="both"/>
        <w:rPr>
          <w:rFonts w:ascii="Traditional Arabic" w:hAnsi="Traditional Arabic" w:cs="Traditional Arabic"/>
          <w:bCs/>
          <w:sz w:val="30"/>
          <w:szCs w:val="30"/>
          <w:rtl/>
        </w:rPr>
      </w:pPr>
      <w:r w:rsidRPr="00A1314E">
        <w:rPr>
          <w:rFonts w:ascii="Traditional Arabic" w:hAnsi="Traditional Arabic" w:cs="Traditional Arabic"/>
          <w:bCs/>
          <w:sz w:val="30"/>
          <w:szCs w:val="30"/>
          <w:rtl/>
        </w:rPr>
        <w:t>المستثمرين الرئيسيين</w:t>
      </w:r>
    </w:p>
    <w:p w14:paraId="6945C013" w14:textId="77777777" w:rsidR="00695447" w:rsidRPr="00A1314E" w:rsidRDefault="00695447" w:rsidP="00695447">
      <w:pPr>
        <w:bidi/>
        <w:jc w:val="both"/>
        <w:rPr>
          <w:rFonts w:ascii="Traditional Arabic" w:hAnsi="Traditional Arabic" w:cs="Traditional Arabic"/>
          <w:sz w:val="30"/>
          <w:szCs w:val="30"/>
          <w:rtl/>
          <w:lang w:bidi="ar-EG"/>
        </w:rPr>
      </w:pPr>
      <w:r w:rsidRPr="00A1314E">
        <w:rPr>
          <w:rFonts w:ascii="Traditional Arabic" w:hAnsi="Traditional Arabic" w:cs="Traditional Arabic"/>
          <w:sz w:val="30"/>
          <w:szCs w:val="30"/>
          <w:rtl/>
          <w:lang w:bidi="ar-EG"/>
        </w:rPr>
        <w:t>أبرم كل مستثمر رئيسي اتفاقية استثمار رئيسي مع الشركة و</w:t>
      </w:r>
      <w:r w:rsidR="00176F9C">
        <w:rPr>
          <w:rFonts w:ascii="Traditional Arabic" w:hAnsi="Traditional Arabic" w:cs="Traditional Arabic" w:hint="cs"/>
          <w:sz w:val="30"/>
          <w:szCs w:val="30"/>
          <w:rtl/>
          <w:lang w:bidi="ar-EG"/>
        </w:rPr>
        <w:t xml:space="preserve">المساهم البائع </w:t>
      </w:r>
      <w:r w:rsidRPr="00A1314E">
        <w:rPr>
          <w:rFonts w:ascii="Traditional Arabic" w:hAnsi="Traditional Arabic" w:cs="Traditional Arabic"/>
          <w:sz w:val="30"/>
          <w:szCs w:val="30"/>
          <w:rtl/>
          <w:lang w:bidi="ar-EG"/>
        </w:rPr>
        <w:t>(بالجمع "اتفاقيات الاستثمار الرئيسي" وبالإفراد "اتفاقية الاستثمار الرئيسي").</w:t>
      </w:r>
    </w:p>
    <w:p w14:paraId="33E682ED" w14:textId="77777777" w:rsidR="00695447" w:rsidRPr="00A1314E" w:rsidRDefault="00695447" w:rsidP="00695447">
      <w:pPr>
        <w:bidi/>
        <w:jc w:val="both"/>
        <w:rPr>
          <w:rFonts w:ascii="Traditional Arabic" w:hAnsi="Traditional Arabic" w:cs="Traditional Arabic"/>
          <w:sz w:val="30"/>
          <w:szCs w:val="30"/>
          <w:rtl/>
          <w:lang w:bidi="ar-EG"/>
        </w:rPr>
      </w:pPr>
    </w:p>
    <w:p w14:paraId="2D3998C3" w14:textId="77777777" w:rsidR="00695447" w:rsidRPr="00A1314E" w:rsidRDefault="00695447" w:rsidP="00695447">
      <w:pPr>
        <w:bidi/>
        <w:jc w:val="both"/>
        <w:rPr>
          <w:rFonts w:ascii="Traditional Arabic" w:hAnsi="Traditional Arabic" w:cs="Traditional Arabic"/>
          <w:sz w:val="30"/>
          <w:szCs w:val="30"/>
          <w:rtl/>
          <w:lang w:bidi="ar-EG"/>
        </w:rPr>
      </w:pPr>
      <w:r w:rsidRPr="00A1314E">
        <w:rPr>
          <w:rFonts w:ascii="Traditional Arabic" w:hAnsi="Traditional Arabic" w:cs="Traditional Arabic"/>
          <w:sz w:val="30"/>
          <w:szCs w:val="30"/>
          <w:rtl/>
          <w:lang w:bidi="ar-EG"/>
        </w:rPr>
        <w:t xml:space="preserve">تلقت الشركة التزامات مؤكدة من المستثمرين الرئيسيين، مع مراعاة الشروط </w:t>
      </w:r>
      <w:r w:rsidR="00306257">
        <w:rPr>
          <w:rFonts w:ascii="Traditional Arabic" w:hAnsi="Traditional Arabic" w:cs="Traditional Arabic" w:hint="cs"/>
          <w:sz w:val="30"/>
          <w:szCs w:val="30"/>
          <w:rtl/>
          <w:lang w:bidi="ar-EG"/>
        </w:rPr>
        <w:t xml:space="preserve">والأحكام </w:t>
      </w:r>
      <w:r w:rsidRPr="00A1314E">
        <w:rPr>
          <w:rFonts w:ascii="Traditional Arabic" w:hAnsi="Traditional Arabic" w:cs="Traditional Arabic"/>
          <w:sz w:val="30"/>
          <w:szCs w:val="30"/>
          <w:rtl/>
          <w:lang w:bidi="ar-EG"/>
        </w:rPr>
        <w:t>الواردة في اتفاقيات الاستثمار الرئيسي</w:t>
      </w:r>
      <w:r w:rsidR="00D05CCE">
        <w:rPr>
          <w:rFonts w:ascii="Traditional Arabic" w:hAnsi="Traditional Arabic" w:cs="Traditional Arabic" w:hint="cs"/>
          <w:sz w:val="30"/>
          <w:szCs w:val="30"/>
          <w:rtl/>
          <w:lang w:bidi="ar-EG"/>
        </w:rPr>
        <w:t xml:space="preserve"> </w:t>
      </w:r>
      <w:r w:rsidRPr="00A1314E">
        <w:rPr>
          <w:rFonts w:ascii="Traditional Arabic" w:hAnsi="Traditional Arabic" w:cs="Traditional Arabic"/>
          <w:sz w:val="30"/>
          <w:szCs w:val="30"/>
          <w:rtl/>
          <w:lang w:bidi="ar-EG"/>
        </w:rPr>
        <w:t>، لغرض الاكتتاب في أسهم الطرح</w:t>
      </w:r>
      <w:r w:rsidR="0031077D">
        <w:rPr>
          <w:rFonts w:ascii="Traditional Arabic" w:hAnsi="Traditional Arabic" w:cs="Traditional Arabic" w:hint="cs"/>
          <w:sz w:val="30"/>
          <w:szCs w:val="30"/>
          <w:rtl/>
          <w:lang w:bidi="ar-EG"/>
        </w:rPr>
        <w:t xml:space="preserve"> </w:t>
      </w:r>
      <w:r w:rsidR="003C3827">
        <w:rPr>
          <w:rFonts w:ascii="Traditional Arabic" w:hAnsi="Traditional Arabic" w:cs="Traditional Arabic" w:hint="cs"/>
          <w:sz w:val="30"/>
          <w:szCs w:val="30"/>
          <w:rtl/>
          <w:lang w:bidi="ar-EG"/>
        </w:rPr>
        <w:t>بأعلى سعر ضمن النطاق السعري</w:t>
      </w:r>
      <w:r w:rsidR="0031077D">
        <w:rPr>
          <w:rFonts w:ascii="Traditional Arabic" w:hAnsi="Traditional Arabic" w:cs="Traditional Arabic" w:hint="cs"/>
          <w:sz w:val="30"/>
          <w:szCs w:val="30"/>
          <w:rtl/>
          <w:lang w:bidi="ar-EG"/>
        </w:rPr>
        <w:t xml:space="preserve"> </w:t>
      </w:r>
      <w:r w:rsidRPr="00A1314E">
        <w:rPr>
          <w:rFonts w:ascii="Traditional Arabic" w:hAnsi="Traditional Arabic" w:cs="Traditional Arabic"/>
          <w:sz w:val="30"/>
          <w:szCs w:val="30"/>
          <w:rtl/>
          <w:lang w:bidi="ar-EG"/>
        </w:rPr>
        <w:t>، ويوضح الجدول الآتي تفاصيل هذه الاسهم:</w:t>
      </w:r>
    </w:p>
    <w:p w14:paraId="15A64271" w14:textId="77777777" w:rsidR="00695447" w:rsidRPr="00A1314E" w:rsidRDefault="00695447" w:rsidP="00695447">
      <w:pPr>
        <w:bidi/>
        <w:jc w:val="both"/>
        <w:rPr>
          <w:rFonts w:ascii="Traditional Arabic" w:hAnsi="Traditional Arabic" w:cs="Traditional Arabic"/>
          <w:sz w:val="30"/>
          <w:szCs w:val="30"/>
          <w:rtl/>
          <w:lang w:bidi="ar-EG"/>
        </w:rPr>
      </w:pPr>
    </w:p>
    <w:p w14:paraId="264F951C" w14:textId="77777777" w:rsidR="00695447" w:rsidRPr="00A1314E" w:rsidRDefault="00695447" w:rsidP="00695447">
      <w:pPr>
        <w:bidi/>
        <w:jc w:val="both"/>
        <w:rPr>
          <w:rFonts w:ascii="Traditional Arabic" w:hAnsi="Traditional Arabic" w:cs="Traditional Arabic"/>
          <w:sz w:val="30"/>
          <w:szCs w:val="30"/>
          <w:rtl/>
          <w:lang w:bidi="ar-EG"/>
        </w:rPr>
      </w:pPr>
    </w:p>
    <w:tbl>
      <w:tblPr>
        <w:tblStyle w:val="TableGrid"/>
        <w:tblW w:w="5000" w:type="pct"/>
        <w:tblLayout w:type="fixed"/>
        <w:tblLook w:val="04A0" w:firstRow="1" w:lastRow="0" w:firstColumn="1" w:lastColumn="0" w:noHBand="0" w:noVBand="1"/>
      </w:tblPr>
      <w:tblGrid>
        <w:gridCol w:w="1535"/>
        <w:gridCol w:w="2996"/>
        <w:gridCol w:w="2854"/>
        <w:gridCol w:w="1965"/>
      </w:tblGrid>
      <w:tr w:rsidR="00695447" w:rsidRPr="00A1314E" w14:paraId="773C021D" w14:textId="77777777" w:rsidTr="00240371">
        <w:tc>
          <w:tcPr>
            <w:tcW w:w="821" w:type="pct"/>
            <w:tcBorders>
              <w:bottom w:val="single" w:sz="4" w:space="0" w:color="auto"/>
            </w:tcBorders>
            <w:hideMark/>
          </w:tcPr>
          <w:p w14:paraId="56182584" w14:textId="77777777" w:rsidR="00695447" w:rsidRPr="00A1314E" w:rsidRDefault="00695447" w:rsidP="00922116">
            <w:pPr>
              <w:bidi/>
              <w:jc w:val="both"/>
              <w:rPr>
                <w:rFonts w:ascii="Traditional Arabic" w:hAnsi="Traditional Arabic" w:cs="Traditional Arabic"/>
                <w:b/>
                <w:sz w:val="30"/>
                <w:szCs w:val="30"/>
              </w:rPr>
            </w:pPr>
            <w:r w:rsidRPr="00A1314E">
              <w:rPr>
                <w:rFonts w:ascii="Traditional Arabic" w:hAnsi="Traditional Arabic" w:cs="Traditional Arabic"/>
                <w:b/>
                <w:bCs/>
                <w:sz w:val="30"/>
                <w:szCs w:val="30"/>
                <w:rtl/>
              </w:rPr>
              <w:t xml:space="preserve">النسبة المئوية من إجمالي رأس مال الشركة </w:t>
            </w:r>
          </w:p>
        </w:tc>
        <w:tc>
          <w:tcPr>
            <w:tcW w:w="1602" w:type="pct"/>
            <w:tcBorders>
              <w:bottom w:val="single" w:sz="4" w:space="0" w:color="auto"/>
            </w:tcBorders>
            <w:hideMark/>
          </w:tcPr>
          <w:p w14:paraId="77642AB1" w14:textId="77777777" w:rsidR="00695447" w:rsidRPr="00CA4D73" w:rsidRDefault="00695447" w:rsidP="00922116">
            <w:pPr>
              <w:bidi/>
              <w:jc w:val="both"/>
              <w:rPr>
                <w:rFonts w:ascii="Traditional Arabic" w:hAnsi="Traditional Arabic" w:cs="Traditional Arabic"/>
                <w:b/>
                <w:sz w:val="30"/>
                <w:szCs w:val="30"/>
                <w:vertAlign w:val="superscript"/>
              </w:rPr>
            </w:pPr>
            <w:r w:rsidRPr="00A1314E">
              <w:rPr>
                <w:rFonts w:ascii="Traditional Arabic" w:hAnsi="Traditional Arabic" w:cs="Traditional Arabic"/>
                <w:b/>
                <w:bCs/>
                <w:sz w:val="30"/>
                <w:szCs w:val="30"/>
                <w:rtl/>
              </w:rPr>
              <w:t xml:space="preserve">مبلغ الاكتتاب </w:t>
            </w:r>
            <w:r w:rsidR="00840982">
              <w:rPr>
                <w:rFonts w:ascii="Traditional Arabic" w:hAnsi="Traditional Arabic" w:cs="Traditional Arabic" w:hint="cs"/>
                <w:b/>
                <w:bCs/>
                <w:sz w:val="30"/>
                <w:szCs w:val="30"/>
                <w:rtl/>
              </w:rPr>
              <w:t>بسعر الطرح</w:t>
            </w:r>
            <w:r w:rsidRPr="00A1314E">
              <w:rPr>
                <w:rFonts w:ascii="Traditional Arabic" w:hAnsi="Traditional Arabic" w:cs="Traditional Arabic"/>
                <w:b/>
                <w:bCs/>
                <w:sz w:val="30"/>
                <w:szCs w:val="30"/>
                <w:rtl/>
              </w:rPr>
              <w:t xml:space="preserve"> (الريال العماني)</w:t>
            </w:r>
            <w:r w:rsidR="00840982">
              <w:rPr>
                <w:rFonts w:ascii="Traditional Arabic" w:hAnsi="Traditional Arabic" w:cs="Traditional Arabic" w:hint="cs"/>
                <w:b/>
                <w:bCs/>
                <w:sz w:val="30"/>
                <w:szCs w:val="30"/>
                <w:vertAlign w:val="superscript"/>
                <w:rtl/>
              </w:rPr>
              <w:t>(١)</w:t>
            </w:r>
          </w:p>
        </w:tc>
        <w:tc>
          <w:tcPr>
            <w:tcW w:w="1526" w:type="pct"/>
            <w:tcBorders>
              <w:bottom w:val="single" w:sz="4" w:space="0" w:color="auto"/>
            </w:tcBorders>
            <w:hideMark/>
          </w:tcPr>
          <w:p w14:paraId="58C6BE29" w14:textId="77777777" w:rsidR="00695447" w:rsidRPr="00CA4D73" w:rsidRDefault="00695447" w:rsidP="00922116">
            <w:pPr>
              <w:bidi/>
              <w:jc w:val="both"/>
              <w:rPr>
                <w:rFonts w:ascii="Traditional Arabic" w:hAnsi="Traditional Arabic" w:cs="Traditional Arabic"/>
                <w:bCs/>
                <w:sz w:val="30"/>
                <w:szCs w:val="30"/>
                <w:vertAlign w:val="superscript"/>
                <w:rtl/>
              </w:rPr>
            </w:pPr>
            <w:r w:rsidRPr="00A1314E">
              <w:rPr>
                <w:rFonts w:ascii="Traditional Arabic" w:hAnsi="Traditional Arabic" w:cs="Traditional Arabic"/>
                <w:bCs/>
                <w:sz w:val="30"/>
                <w:szCs w:val="30"/>
                <w:rtl/>
              </w:rPr>
              <w:t xml:space="preserve">عدد الأسهم المكتتب </w:t>
            </w:r>
            <w:r w:rsidR="00840982">
              <w:rPr>
                <w:rFonts w:ascii="Traditional Arabic" w:hAnsi="Traditional Arabic" w:cs="Traditional Arabic" w:hint="cs"/>
                <w:bCs/>
                <w:sz w:val="30"/>
                <w:szCs w:val="30"/>
                <w:rtl/>
              </w:rPr>
              <w:t>بسعر الطرح</w:t>
            </w:r>
            <w:r w:rsidR="00840982">
              <w:rPr>
                <w:rFonts w:ascii="Traditional Arabic" w:hAnsi="Traditional Arabic" w:cs="Traditional Arabic" w:hint="cs"/>
                <w:bCs/>
                <w:sz w:val="30"/>
                <w:szCs w:val="30"/>
                <w:vertAlign w:val="superscript"/>
                <w:rtl/>
              </w:rPr>
              <w:t>(١)</w:t>
            </w:r>
          </w:p>
        </w:tc>
        <w:tc>
          <w:tcPr>
            <w:tcW w:w="1051" w:type="pct"/>
            <w:tcBorders>
              <w:bottom w:val="single" w:sz="4" w:space="0" w:color="auto"/>
            </w:tcBorders>
            <w:hideMark/>
          </w:tcPr>
          <w:p w14:paraId="5B7A2075" w14:textId="77777777" w:rsidR="00695447" w:rsidRPr="00A1314E" w:rsidRDefault="001E72E6" w:rsidP="00922116">
            <w:pPr>
              <w:bidi/>
              <w:jc w:val="both"/>
              <w:rPr>
                <w:rFonts w:ascii="Traditional Arabic" w:hAnsi="Traditional Arabic" w:cs="Traditional Arabic"/>
                <w:bCs/>
                <w:sz w:val="30"/>
                <w:szCs w:val="30"/>
              </w:rPr>
            </w:pPr>
            <w:r>
              <w:rPr>
                <w:rFonts w:ascii="Traditional Arabic" w:hAnsi="Traditional Arabic" w:cs="Traditional Arabic" w:hint="cs"/>
                <w:bCs/>
                <w:sz w:val="30"/>
                <w:szCs w:val="30"/>
                <w:rtl/>
              </w:rPr>
              <w:t>أ</w:t>
            </w:r>
            <w:r w:rsidRPr="00A1314E">
              <w:rPr>
                <w:rFonts w:ascii="Traditional Arabic" w:hAnsi="Traditional Arabic" w:cs="Traditional Arabic"/>
                <w:bCs/>
                <w:sz w:val="30"/>
                <w:szCs w:val="30"/>
                <w:rtl/>
              </w:rPr>
              <w:t xml:space="preserve">سماء </w:t>
            </w:r>
            <w:r w:rsidR="00695447" w:rsidRPr="00A1314E">
              <w:rPr>
                <w:rFonts w:ascii="Traditional Arabic" w:hAnsi="Traditional Arabic" w:cs="Traditional Arabic"/>
                <w:bCs/>
                <w:sz w:val="30"/>
                <w:szCs w:val="30"/>
                <w:rtl/>
              </w:rPr>
              <w:t>المستثمرين الرئيسيين</w:t>
            </w:r>
          </w:p>
        </w:tc>
      </w:tr>
      <w:tr w:rsidR="00E82CE0" w:rsidRPr="00A1314E" w14:paraId="6B9207B2" w14:textId="77777777" w:rsidTr="00240371">
        <w:trPr>
          <w:trHeight w:val="414"/>
        </w:trPr>
        <w:tc>
          <w:tcPr>
            <w:tcW w:w="821" w:type="pct"/>
            <w:tcBorders>
              <w:top w:val="single" w:sz="4" w:space="0" w:color="auto"/>
            </w:tcBorders>
          </w:tcPr>
          <w:p w14:paraId="542A1C07" w14:textId="77777777" w:rsidR="00E82CE0" w:rsidRPr="00A1314E" w:rsidRDefault="00E82CE0" w:rsidP="00E82CE0">
            <w:pPr>
              <w:bidi/>
              <w:jc w:val="both"/>
              <w:rPr>
                <w:rFonts w:ascii="Traditional Arabic" w:hAnsi="Traditional Arabic" w:cs="Traditional Arabic"/>
                <w:sz w:val="30"/>
                <w:szCs w:val="30"/>
              </w:rPr>
            </w:pPr>
            <w:r w:rsidRPr="003A3361">
              <w:rPr>
                <w:rFonts w:ascii="Traditional Arabic" w:hAnsi="Traditional Arabic" w:cs="Traditional Arabic" w:hint="cs"/>
                <w:b/>
                <w:sz w:val="30"/>
                <w:szCs w:val="30"/>
                <w:rtl/>
              </w:rPr>
              <w:t>20%</w:t>
            </w:r>
          </w:p>
        </w:tc>
        <w:tc>
          <w:tcPr>
            <w:tcW w:w="1602" w:type="pct"/>
            <w:tcBorders>
              <w:top w:val="single" w:sz="4" w:space="0" w:color="auto"/>
            </w:tcBorders>
          </w:tcPr>
          <w:p w14:paraId="6E821E5E" w14:textId="0C9344BC" w:rsidR="00E82CE0" w:rsidRPr="00A1314E" w:rsidRDefault="00791F26" w:rsidP="00E82CE0">
            <w:pPr>
              <w:jc w:val="right"/>
              <w:rPr>
                <w:rFonts w:ascii="Traditional Arabic" w:hAnsi="Traditional Arabic" w:cs="Traditional Arabic"/>
                <w:sz w:val="30"/>
                <w:szCs w:val="30"/>
              </w:rPr>
            </w:pPr>
            <w:r>
              <w:rPr>
                <w:rFonts w:ascii="Traditional Arabic" w:hAnsi="Traditional Arabic" w:cs="Traditional Arabic" w:hint="cs"/>
                <w:b/>
                <w:sz w:val="30"/>
                <w:szCs w:val="30"/>
                <w:rtl/>
              </w:rPr>
              <w:t>25.627.021</w:t>
            </w:r>
            <w:r>
              <w:rPr>
                <w:rFonts w:ascii="Traditional Arabic" w:hAnsi="Traditional Arabic" w:cs="Traditional Arabic"/>
                <w:b/>
                <w:sz w:val="30"/>
                <w:szCs w:val="30"/>
              </w:rPr>
              <w:t>.</w:t>
            </w:r>
            <w:r>
              <w:rPr>
                <w:rFonts w:ascii="Traditional Arabic" w:hAnsi="Traditional Arabic" w:cs="Traditional Arabic" w:hint="cs"/>
                <w:b/>
                <w:sz w:val="30"/>
                <w:szCs w:val="30"/>
                <w:rtl/>
              </w:rPr>
              <w:t>833</w:t>
            </w:r>
          </w:p>
        </w:tc>
        <w:tc>
          <w:tcPr>
            <w:tcW w:w="1526" w:type="pct"/>
            <w:tcBorders>
              <w:top w:val="single" w:sz="4" w:space="0" w:color="auto"/>
            </w:tcBorders>
          </w:tcPr>
          <w:p w14:paraId="10D3F696" w14:textId="77777777" w:rsidR="00E82CE0" w:rsidRPr="00A1314E" w:rsidRDefault="00E82CE0" w:rsidP="00E82CE0">
            <w:pPr>
              <w:tabs>
                <w:tab w:val="right" w:pos="3543"/>
              </w:tabs>
              <w:bidi/>
              <w:jc w:val="both"/>
              <w:rPr>
                <w:rFonts w:ascii="Traditional Arabic" w:hAnsi="Traditional Arabic" w:cs="Traditional Arabic"/>
                <w:sz w:val="30"/>
                <w:szCs w:val="30"/>
              </w:rPr>
            </w:pPr>
            <w:r w:rsidRPr="003A3361">
              <w:rPr>
                <w:rFonts w:ascii="Traditional Arabic" w:hAnsi="Traditional Arabic" w:cs="Traditional Arabic" w:hint="cs"/>
                <w:b/>
                <w:sz w:val="30"/>
                <w:szCs w:val="30"/>
                <w:rtl/>
              </w:rPr>
              <w:t>208.349.771</w:t>
            </w:r>
          </w:p>
        </w:tc>
        <w:tc>
          <w:tcPr>
            <w:tcW w:w="1051" w:type="pct"/>
            <w:tcBorders>
              <w:top w:val="single" w:sz="4" w:space="0" w:color="auto"/>
            </w:tcBorders>
          </w:tcPr>
          <w:p w14:paraId="2EA7847A" w14:textId="77777777" w:rsidR="00E82CE0" w:rsidRPr="00826D63" w:rsidRDefault="00E82CE0" w:rsidP="00E82CE0">
            <w:pPr>
              <w:tabs>
                <w:tab w:val="left" w:leader="dot" w:pos="4820"/>
              </w:tabs>
              <w:bidi/>
              <w:jc w:val="both"/>
              <w:rPr>
                <w:rFonts w:ascii="Traditional Arabic" w:hAnsi="Traditional Arabic" w:cs="Traditional Arabic"/>
                <w:sz w:val="30"/>
                <w:szCs w:val="30"/>
                <w:lang w:val="en-GB"/>
              </w:rPr>
            </w:pPr>
            <w:r w:rsidRPr="009630F0">
              <w:rPr>
                <w:rFonts w:ascii="Traditional Arabic" w:hAnsi="Traditional Arabic" w:cs="Traditional Arabic" w:hint="eastAsia"/>
                <w:b/>
                <w:sz w:val="30"/>
                <w:szCs w:val="30"/>
                <w:rtl/>
              </w:rPr>
              <w:t>فالكون</w:t>
            </w:r>
            <w:r w:rsidRPr="009630F0">
              <w:rPr>
                <w:rFonts w:ascii="Traditional Arabic" w:hAnsi="Traditional Arabic" w:cs="Traditional Arabic"/>
                <w:b/>
                <w:sz w:val="30"/>
                <w:szCs w:val="30"/>
                <w:rtl/>
              </w:rPr>
              <w:t xml:space="preserve"> </w:t>
            </w:r>
            <w:r w:rsidRPr="009630F0">
              <w:rPr>
                <w:rFonts w:ascii="Traditional Arabic" w:hAnsi="Traditional Arabic" w:cs="Traditional Arabic" w:hint="eastAsia"/>
                <w:b/>
                <w:sz w:val="30"/>
                <w:szCs w:val="30"/>
                <w:rtl/>
              </w:rPr>
              <w:t>للاستثمار</w:t>
            </w:r>
            <w:r w:rsidRPr="009630F0">
              <w:rPr>
                <w:rFonts w:ascii="Traditional Arabic" w:hAnsi="Traditional Arabic" w:cs="Traditional Arabic"/>
                <w:b/>
                <w:sz w:val="30"/>
                <w:szCs w:val="30"/>
                <w:rtl/>
              </w:rPr>
              <w:t xml:space="preserve"> </w:t>
            </w:r>
            <w:r>
              <w:rPr>
                <w:rFonts w:ascii="Traditional Arabic" w:hAnsi="Traditional Arabic" w:cs="Traditional Arabic" w:hint="cs"/>
                <w:b/>
                <w:sz w:val="30"/>
                <w:szCs w:val="30"/>
                <w:rtl/>
              </w:rPr>
              <w:t>ذ</w:t>
            </w:r>
            <w:r w:rsidRPr="009630F0">
              <w:rPr>
                <w:rFonts w:ascii="Traditional Arabic" w:hAnsi="Traditional Arabic" w:cs="Traditional Arabic"/>
                <w:b/>
                <w:sz w:val="30"/>
                <w:szCs w:val="30"/>
                <w:rtl/>
              </w:rPr>
              <w:t>.م.م</w:t>
            </w:r>
            <w:r>
              <w:rPr>
                <w:rFonts w:ascii="Traditional Arabic" w:hAnsi="Traditional Arabic" w:cs="Traditional Arabic" w:hint="cs"/>
                <w:b/>
                <w:sz w:val="30"/>
                <w:szCs w:val="30"/>
                <w:vertAlign w:val="superscript"/>
                <w:rtl/>
              </w:rPr>
              <w:t>(</w:t>
            </w:r>
            <w:r w:rsidRPr="009630F0">
              <w:rPr>
                <w:rFonts w:ascii="Traditional Arabic" w:hAnsi="Traditional Arabic" w:cs="Traditional Arabic" w:hint="cs"/>
                <w:b/>
                <w:sz w:val="30"/>
                <w:szCs w:val="30"/>
                <w:vertAlign w:val="superscript"/>
                <w:rtl/>
              </w:rPr>
              <w:t>2)</w:t>
            </w:r>
          </w:p>
        </w:tc>
      </w:tr>
      <w:tr w:rsidR="00E82CE0" w:rsidRPr="00A1314E" w14:paraId="22F27439" w14:textId="77777777" w:rsidTr="00240371">
        <w:trPr>
          <w:trHeight w:val="540"/>
        </w:trPr>
        <w:tc>
          <w:tcPr>
            <w:tcW w:w="821" w:type="pct"/>
          </w:tcPr>
          <w:p w14:paraId="5C3E2D86" w14:textId="77777777" w:rsidR="00E82CE0" w:rsidRPr="00A1314E" w:rsidRDefault="00E82CE0" w:rsidP="00E82CE0">
            <w:pPr>
              <w:bidi/>
              <w:jc w:val="both"/>
              <w:rPr>
                <w:rFonts w:ascii="Traditional Arabic" w:hAnsi="Traditional Arabic" w:cs="Traditional Arabic"/>
                <w:sz w:val="30"/>
                <w:szCs w:val="30"/>
              </w:rPr>
            </w:pPr>
            <w:r w:rsidRPr="003A3361">
              <w:rPr>
                <w:rFonts w:ascii="Traditional Arabic" w:hAnsi="Traditional Arabic" w:cs="Traditional Arabic" w:hint="cs"/>
                <w:b/>
                <w:sz w:val="30"/>
                <w:szCs w:val="30"/>
                <w:rtl/>
              </w:rPr>
              <w:t>10%</w:t>
            </w:r>
          </w:p>
        </w:tc>
        <w:tc>
          <w:tcPr>
            <w:tcW w:w="1602" w:type="pct"/>
          </w:tcPr>
          <w:p w14:paraId="5865633E" w14:textId="08C09DD1" w:rsidR="00E82CE0" w:rsidRPr="00A1314E" w:rsidRDefault="00791F26" w:rsidP="00E82CE0">
            <w:pPr>
              <w:jc w:val="right"/>
              <w:rPr>
                <w:rFonts w:ascii="Traditional Arabic" w:hAnsi="Traditional Arabic" w:cs="Traditional Arabic"/>
                <w:sz w:val="30"/>
                <w:szCs w:val="30"/>
              </w:rPr>
            </w:pPr>
            <w:r>
              <w:rPr>
                <w:rFonts w:ascii="Traditional Arabic" w:hAnsi="Traditional Arabic" w:cs="Traditional Arabic" w:hint="cs"/>
                <w:b/>
                <w:sz w:val="30"/>
                <w:szCs w:val="30"/>
                <w:rtl/>
              </w:rPr>
              <w:t>12.813.510</w:t>
            </w:r>
            <w:r>
              <w:rPr>
                <w:rFonts w:ascii="Traditional Arabic" w:hAnsi="Traditional Arabic" w:cs="Traditional Arabic"/>
                <w:b/>
                <w:sz w:val="30"/>
                <w:szCs w:val="30"/>
              </w:rPr>
              <w:t>.</w:t>
            </w:r>
            <w:r>
              <w:rPr>
                <w:rFonts w:ascii="Traditional Arabic" w:hAnsi="Traditional Arabic" w:cs="Traditional Arabic" w:hint="cs"/>
                <w:b/>
                <w:sz w:val="30"/>
                <w:szCs w:val="30"/>
                <w:rtl/>
              </w:rPr>
              <w:t>978</w:t>
            </w:r>
          </w:p>
        </w:tc>
        <w:tc>
          <w:tcPr>
            <w:tcW w:w="1526" w:type="pct"/>
          </w:tcPr>
          <w:p w14:paraId="449D1B23" w14:textId="77777777" w:rsidR="00E82CE0" w:rsidRPr="00A1314E" w:rsidRDefault="00E82CE0" w:rsidP="00E82CE0">
            <w:pPr>
              <w:bidi/>
              <w:jc w:val="both"/>
              <w:rPr>
                <w:rFonts w:ascii="Traditional Arabic" w:hAnsi="Traditional Arabic" w:cs="Traditional Arabic"/>
                <w:sz w:val="30"/>
                <w:szCs w:val="30"/>
              </w:rPr>
            </w:pPr>
            <w:r w:rsidRPr="003A3361">
              <w:rPr>
                <w:rFonts w:ascii="Traditional Arabic" w:hAnsi="Traditional Arabic" w:cs="Traditional Arabic" w:hint="cs"/>
                <w:b/>
                <w:sz w:val="30"/>
                <w:szCs w:val="30"/>
                <w:rtl/>
              </w:rPr>
              <w:t>104.174.886</w:t>
            </w:r>
          </w:p>
        </w:tc>
        <w:tc>
          <w:tcPr>
            <w:tcW w:w="1051" w:type="pct"/>
          </w:tcPr>
          <w:p w14:paraId="5A26F0D8" w14:textId="24F258CB" w:rsidR="00E82CE0" w:rsidRPr="00A1314E" w:rsidRDefault="00791F26" w:rsidP="00E82CE0">
            <w:pPr>
              <w:tabs>
                <w:tab w:val="left" w:leader="dot" w:pos="4820"/>
              </w:tabs>
              <w:bidi/>
              <w:jc w:val="both"/>
              <w:rPr>
                <w:rFonts w:ascii="Traditional Arabic" w:hAnsi="Traditional Arabic" w:cs="Traditional Arabic"/>
                <w:sz w:val="30"/>
                <w:szCs w:val="30"/>
              </w:rPr>
            </w:pPr>
            <w:r w:rsidRPr="002F1B80">
              <w:rPr>
                <w:rFonts w:ascii="Traditional Arabic" w:hAnsi="Traditional Arabic" w:cs="Traditional Arabic"/>
                <w:sz w:val="24"/>
                <w:rtl/>
              </w:rPr>
              <w:t xml:space="preserve">المريخ للتنمية والاستثمار </w:t>
            </w:r>
            <w:r>
              <w:rPr>
                <w:rFonts w:ascii="Traditional Arabic" w:hAnsi="Traditional Arabic" w:cs="Traditional Arabic" w:hint="cs"/>
                <w:sz w:val="24"/>
                <w:rtl/>
              </w:rPr>
              <w:t xml:space="preserve">ش.م.م </w:t>
            </w:r>
            <w:r>
              <w:rPr>
                <w:rFonts w:ascii="Traditional Arabic" w:hAnsi="Traditional Arabic" w:cs="Traditional Arabic" w:hint="cs"/>
                <w:sz w:val="24"/>
                <w:vertAlign w:val="superscript"/>
                <w:rtl/>
              </w:rPr>
              <w:t>(</w:t>
            </w:r>
            <w:r>
              <w:rPr>
                <w:rFonts w:ascii="Traditional Arabic" w:hAnsi="Traditional Arabic" w:cs="Traditional Arabic" w:hint="cs"/>
                <w:b/>
                <w:sz w:val="30"/>
                <w:szCs w:val="30"/>
                <w:vertAlign w:val="superscript"/>
                <w:rtl/>
              </w:rPr>
              <w:t>3)</w:t>
            </w:r>
          </w:p>
        </w:tc>
      </w:tr>
      <w:tr w:rsidR="00E82CE0" w:rsidRPr="00A1314E" w14:paraId="28961844" w14:textId="77777777" w:rsidTr="00240371">
        <w:tc>
          <w:tcPr>
            <w:tcW w:w="821" w:type="pct"/>
          </w:tcPr>
          <w:p w14:paraId="4A617BCF" w14:textId="77777777" w:rsidR="00E82CE0" w:rsidRPr="00D925C8" w:rsidRDefault="00E82CE0" w:rsidP="00E82CE0">
            <w:pPr>
              <w:bidi/>
              <w:jc w:val="both"/>
              <w:rPr>
                <w:rFonts w:ascii="Traditional Arabic" w:hAnsi="Traditional Arabic" w:cs="Traditional Arabic"/>
                <w:sz w:val="30"/>
                <w:szCs w:val="30"/>
              </w:rPr>
            </w:pPr>
            <w:r w:rsidRPr="003A3361">
              <w:rPr>
                <w:rFonts w:ascii="Traditional Arabic" w:hAnsi="Traditional Arabic" w:cs="Traditional Arabic" w:hint="cs"/>
                <w:b/>
                <w:sz w:val="30"/>
                <w:szCs w:val="30"/>
                <w:rtl/>
              </w:rPr>
              <w:t>30%</w:t>
            </w:r>
          </w:p>
        </w:tc>
        <w:tc>
          <w:tcPr>
            <w:tcW w:w="1602" w:type="pct"/>
          </w:tcPr>
          <w:p w14:paraId="18D78A85" w14:textId="004530C7" w:rsidR="00E82CE0" w:rsidRPr="00D925C8" w:rsidRDefault="00791F26" w:rsidP="00E82CE0">
            <w:pPr>
              <w:tabs>
                <w:tab w:val="decimal" w:pos="0"/>
              </w:tabs>
              <w:jc w:val="right"/>
              <w:rPr>
                <w:rFonts w:ascii="Traditional Arabic" w:hAnsi="Traditional Arabic" w:cs="Traditional Arabic"/>
                <w:sz w:val="30"/>
                <w:szCs w:val="30"/>
                <w:rtl/>
              </w:rPr>
            </w:pPr>
            <w:r>
              <w:rPr>
                <w:rFonts w:ascii="Traditional Arabic" w:hAnsi="Traditional Arabic" w:cs="Traditional Arabic" w:hint="cs"/>
                <w:b/>
                <w:sz w:val="30"/>
                <w:szCs w:val="30"/>
                <w:rtl/>
              </w:rPr>
              <w:t>38.440.533</w:t>
            </w:r>
          </w:p>
        </w:tc>
        <w:tc>
          <w:tcPr>
            <w:tcW w:w="1526" w:type="pct"/>
          </w:tcPr>
          <w:p w14:paraId="1FE9CD63" w14:textId="77777777" w:rsidR="00E82CE0" w:rsidRPr="00D925C8" w:rsidRDefault="00E82CE0" w:rsidP="00E82CE0">
            <w:pPr>
              <w:bidi/>
              <w:jc w:val="both"/>
              <w:rPr>
                <w:rFonts w:ascii="Traditional Arabic" w:hAnsi="Traditional Arabic" w:cs="Traditional Arabic"/>
                <w:sz w:val="30"/>
                <w:szCs w:val="30"/>
                <w:rtl/>
              </w:rPr>
            </w:pPr>
            <w:r w:rsidRPr="003A3361">
              <w:rPr>
                <w:rFonts w:ascii="Traditional Arabic" w:hAnsi="Traditional Arabic" w:cs="Traditional Arabic" w:hint="cs"/>
                <w:b/>
                <w:sz w:val="30"/>
                <w:szCs w:val="30"/>
                <w:rtl/>
              </w:rPr>
              <w:t>312.524.657</w:t>
            </w:r>
          </w:p>
        </w:tc>
        <w:tc>
          <w:tcPr>
            <w:tcW w:w="1051" w:type="pct"/>
            <w:vAlign w:val="bottom"/>
          </w:tcPr>
          <w:p w14:paraId="677903DD" w14:textId="77777777" w:rsidR="00E82CE0" w:rsidRPr="00A1314E" w:rsidRDefault="00E82CE0" w:rsidP="00E82CE0">
            <w:pPr>
              <w:tabs>
                <w:tab w:val="left" w:leader="dot" w:pos="4180"/>
              </w:tabs>
              <w:bidi/>
              <w:jc w:val="both"/>
              <w:rPr>
                <w:rFonts w:ascii="Traditional Arabic" w:hAnsi="Traditional Arabic" w:cs="Traditional Arabic"/>
                <w:b/>
                <w:bCs/>
                <w:sz w:val="30"/>
                <w:szCs w:val="30"/>
              </w:rPr>
            </w:pPr>
            <w:r w:rsidRPr="00EB5BCF">
              <w:rPr>
                <w:rFonts w:ascii="Traditional Arabic" w:hAnsi="Traditional Arabic" w:cs="Traditional Arabic" w:hint="eastAsia"/>
                <w:b/>
                <w:bCs/>
                <w:sz w:val="30"/>
                <w:szCs w:val="30"/>
                <w:rtl/>
              </w:rPr>
              <w:t>المجموع</w:t>
            </w:r>
          </w:p>
        </w:tc>
      </w:tr>
    </w:tbl>
    <w:p w14:paraId="212DC085" w14:textId="77777777" w:rsidR="00895B82" w:rsidRDefault="00AE40C1" w:rsidP="00D925C8">
      <w:pPr>
        <w:pStyle w:val="ListParagraph"/>
        <w:numPr>
          <w:ilvl w:val="0"/>
          <w:numId w:val="73"/>
        </w:numPr>
        <w:bidi/>
        <w:ind w:left="429" w:hanging="436"/>
        <w:jc w:val="both"/>
        <w:rPr>
          <w:rFonts w:ascii="Traditional Arabic" w:hAnsi="Traditional Arabic" w:cs="Traditional Arabic"/>
          <w:sz w:val="24"/>
          <w:lang w:bidi="ar-EG"/>
        </w:rPr>
      </w:pPr>
      <w:r w:rsidRPr="00D925C8">
        <w:rPr>
          <w:rFonts w:ascii="Traditional Arabic" w:hAnsi="Traditional Arabic" w:cs="Traditional Arabic" w:hint="cs"/>
          <w:sz w:val="24"/>
          <w:rtl/>
          <w:lang w:bidi="ar-EG"/>
        </w:rPr>
        <w:t>على افتراض ان سعر الطرح هو السعر الأعلى من النطاق السعري</w:t>
      </w:r>
    </w:p>
    <w:p w14:paraId="733F83A8" w14:textId="77777777" w:rsidR="00E37294" w:rsidRPr="00CB188B" w:rsidRDefault="00E37294" w:rsidP="00CB188B">
      <w:pPr>
        <w:bidi/>
        <w:rPr>
          <w:rFonts w:ascii="Traditional Arabic" w:hAnsi="Traditional Arabic" w:cs="Traditional Arabic"/>
          <w:b/>
          <w:sz w:val="24"/>
        </w:rPr>
      </w:pPr>
      <w:r w:rsidRPr="00CB188B">
        <w:rPr>
          <w:rFonts w:ascii="Traditional Arabic" w:hAnsi="Traditional Arabic" w:cs="Traditional Arabic"/>
          <w:b/>
          <w:sz w:val="24"/>
          <w:rtl/>
          <w:lang w:val="en-GB"/>
        </w:rPr>
        <w:t xml:space="preserve">(2) </w:t>
      </w:r>
      <w:r w:rsidRPr="00CB188B">
        <w:rPr>
          <w:rFonts w:ascii="Traditional Arabic" w:hAnsi="Traditional Arabic" w:cs="Traditional Arabic"/>
          <w:b/>
          <w:sz w:val="24"/>
          <w:rtl/>
        </w:rPr>
        <w:t>شركة فالكون للاستثمارات ذ</w:t>
      </w:r>
      <w:r w:rsidRPr="00CB188B">
        <w:rPr>
          <w:rFonts w:ascii="Traditional Arabic" w:hAnsi="Traditional Arabic" w:cs="Traditional Arabic"/>
          <w:b/>
          <w:sz w:val="24"/>
        </w:rPr>
        <w:t>.</w:t>
      </w:r>
      <w:r w:rsidRPr="00CB188B">
        <w:rPr>
          <w:rFonts w:ascii="Traditional Arabic" w:hAnsi="Traditional Arabic" w:cs="Traditional Arabic"/>
          <w:b/>
          <w:sz w:val="24"/>
          <w:rtl/>
        </w:rPr>
        <w:t>م</w:t>
      </w:r>
      <w:r w:rsidRPr="00CB188B">
        <w:rPr>
          <w:rFonts w:ascii="Traditional Arabic" w:hAnsi="Traditional Arabic" w:cs="Traditional Arabic"/>
          <w:b/>
          <w:sz w:val="24"/>
        </w:rPr>
        <w:t>.</w:t>
      </w:r>
      <w:r w:rsidRPr="00CB188B">
        <w:rPr>
          <w:rFonts w:ascii="Traditional Arabic" w:hAnsi="Traditional Arabic" w:cs="Traditional Arabic"/>
          <w:b/>
          <w:sz w:val="24"/>
          <w:rtl/>
        </w:rPr>
        <w:t>م هي شركة تابعة لجهاز قطر للاستثمار، وهو صندوق الثروة السيادي لدولة قطر.</w:t>
      </w:r>
    </w:p>
    <w:p w14:paraId="01283990" w14:textId="77777777" w:rsidR="00791F26" w:rsidRPr="00CB188B" w:rsidRDefault="00E37294" w:rsidP="00791F26">
      <w:pPr>
        <w:keepNext/>
        <w:bidi/>
        <w:jc w:val="both"/>
        <w:rPr>
          <w:rFonts w:ascii="Traditional Arabic" w:hAnsi="Traditional Arabic" w:cs="Traditional Arabic"/>
          <w:b/>
          <w:sz w:val="24"/>
          <w:rtl/>
        </w:rPr>
      </w:pPr>
      <w:r w:rsidRPr="00CB188B">
        <w:rPr>
          <w:rFonts w:ascii="Traditional Arabic" w:hAnsi="Traditional Arabic" w:cs="Traditional Arabic"/>
          <w:b/>
          <w:sz w:val="24"/>
          <w:rtl/>
        </w:rPr>
        <w:t>(3)</w:t>
      </w:r>
      <w:r w:rsidRPr="00CB188B">
        <w:rPr>
          <w:rFonts w:ascii="Traditional Arabic" w:hAnsi="Traditional Arabic" w:cs="Traditional Arabic"/>
          <w:sz w:val="24"/>
          <w:rtl/>
        </w:rPr>
        <w:t xml:space="preserve"> </w:t>
      </w:r>
      <w:r w:rsidR="00791F26" w:rsidRPr="002F1B80">
        <w:rPr>
          <w:rFonts w:ascii="Traditional Arabic" w:hAnsi="Traditional Arabic" w:cs="Traditional Arabic"/>
          <w:sz w:val="24"/>
          <w:rtl/>
        </w:rPr>
        <w:t xml:space="preserve">تأسست شركة المريخ للتنمية والاستثمار </w:t>
      </w:r>
      <w:r w:rsidR="00791F26">
        <w:rPr>
          <w:rFonts w:ascii="Traditional Arabic" w:hAnsi="Traditional Arabic" w:cs="Traditional Arabic" w:hint="cs"/>
          <w:sz w:val="24"/>
          <w:rtl/>
        </w:rPr>
        <w:t xml:space="preserve">ش.م.م </w:t>
      </w:r>
      <w:r w:rsidR="00791F26" w:rsidRPr="002F1B80">
        <w:rPr>
          <w:rFonts w:ascii="Traditional Arabic" w:hAnsi="Traditional Arabic" w:cs="Traditional Arabic"/>
          <w:sz w:val="24"/>
          <w:rtl/>
        </w:rPr>
        <w:t xml:space="preserve">في عام 2017 كشركة استثمارية مملوكة بالكامل للحكومة مسجلة في سلطنة عمان وتستثمر في فئات أصول وقطاعات متعددة محليًا ودوليًا. الشركة ديناميكية في نهجها </w:t>
      </w:r>
      <w:r w:rsidR="00791F26">
        <w:rPr>
          <w:rFonts w:ascii="Traditional Arabic" w:hAnsi="Traditional Arabic" w:cs="Traditional Arabic" w:hint="cs"/>
          <w:sz w:val="24"/>
          <w:rtl/>
        </w:rPr>
        <w:t>بغاية تتمثل</w:t>
      </w:r>
      <w:r w:rsidR="00791F26" w:rsidRPr="002F1B80">
        <w:rPr>
          <w:rFonts w:ascii="Traditional Arabic" w:hAnsi="Traditional Arabic" w:cs="Traditional Arabic"/>
          <w:sz w:val="24"/>
          <w:rtl/>
        </w:rPr>
        <w:t xml:space="preserve"> في توليد قيمة مباشرة وغير مباشرة لسلطنة عمان من خلال نقل المعرفة والتقدم التكنولوجي والتنمية الاجتماعية والاقتصادية.</w:t>
      </w:r>
    </w:p>
    <w:p w14:paraId="3F932AFE" w14:textId="77777777" w:rsidR="00E37294" w:rsidRPr="00D925C8" w:rsidRDefault="00E37294" w:rsidP="00240371">
      <w:pPr>
        <w:keepNext/>
        <w:bidi/>
        <w:jc w:val="both"/>
        <w:rPr>
          <w:rFonts w:ascii="Traditional Arabic" w:hAnsi="Traditional Arabic" w:cs="Traditional Arabic"/>
          <w:b/>
          <w:sz w:val="24"/>
          <w:rtl/>
        </w:rPr>
      </w:pPr>
    </w:p>
    <w:p w14:paraId="0BE517F6" w14:textId="77777777" w:rsidR="00F97570" w:rsidRPr="00A1314E" w:rsidRDefault="00F97570" w:rsidP="00F97570">
      <w:pPr>
        <w:bidi/>
        <w:jc w:val="both"/>
        <w:rPr>
          <w:rFonts w:ascii="Traditional Arabic" w:hAnsi="Traditional Arabic" w:cs="Traditional Arabic"/>
          <w:sz w:val="30"/>
          <w:szCs w:val="30"/>
          <w:rtl/>
        </w:rPr>
      </w:pPr>
    </w:p>
    <w:p w14:paraId="6ED4E8FE" w14:textId="77777777" w:rsidR="00695447" w:rsidRPr="00A1314E" w:rsidRDefault="00695447" w:rsidP="00695447">
      <w:pPr>
        <w:bidi/>
        <w:jc w:val="both"/>
        <w:rPr>
          <w:rFonts w:ascii="Traditional Arabic" w:hAnsi="Traditional Arabic" w:cs="Traditional Arabic"/>
          <w:sz w:val="30"/>
          <w:szCs w:val="30"/>
          <w:rtl/>
          <w:lang w:bidi="ar-EG"/>
        </w:rPr>
      </w:pPr>
      <w:r w:rsidRPr="00A1314E">
        <w:rPr>
          <w:rFonts w:ascii="Traditional Arabic" w:hAnsi="Traditional Arabic" w:cs="Traditional Arabic"/>
          <w:sz w:val="30"/>
          <w:szCs w:val="30"/>
          <w:rtl/>
          <w:lang w:bidi="ar-EG"/>
        </w:rPr>
        <w:lastRenderedPageBreak/>
        <w:t>تخضع اتفاقيات الاستثمار الرئيسي لبعض الشروط المسبقة المتعارف عليها التي يجب استيفاؤها بما فيها إبرام اتفاقية التسوية المؤسسية</w:t>
      </w:r>
      <w:r w:rsidRPr="00A1314E" w:rsidDel="007B0D24">
        <w:rPr>
          <w:rFonts w:ascii="Traditional Arabic" w:hAnsi="Traditional Arabic" w:cs="Traditional Arabic"/>
          <w:sz w:val="30"/>
          <w:szCs w:val="30"/>
          <w:rtl/>
          <w:lang w:bidi="ar-EG"/>
        </w:rPr>
        <w:t xml:space="preserve"> </w:t>
      </w:r>
      <w:r w:rsidRPr="00A1314E">
        <w:rPr>
          <w:rFonts w:ascii="Traditional Arabic" w:hAnsi="Traditional Arabic" w:cs="Traditional Arabic"/>
          <w:sz w:val="30"/>
          <w:szCs w:val="30"/>
          <w:rtl/>
          <w:lang w:bidi="ar-EG"/>
        </w:rPr>
        <w:t xml:space="preserve">من قبل الأطراف والموافقة على نسخة نشرة الإصدار من قبل </w:t>
      </w:r>
      <w:r w:rsidR="00DE0A6C">
        <w:rPr>
          <w:rFonts w:ascii="Traditional Arabic" w:hAnsi="Traditional Arabic" w:cs="Traditional Arabic" w:hint="cs"/>
          <w:sz w:val="30"/>
          <w:szCs w:val="30"/>
          <w:rtl/>
          <w:lang w:bidi="ar-EG"/>
        </w:rPr>
        <w:t>هيئة الخدمات المالية</w:t>
      </w:r>
      <w:r w:rsidRPr="00A1314E">
        <w:rPr>
          <w:rFonts w:ascii="Traditional Arabic" w:hAnsi="Traditional Arabic" w:cs="Traditional Arabic"/>
          <w:sz w:val="30"/>
          <w:szCs w:val="30"/>
          <w:rtl/>
          <w:lang w:bidi="ar-EG"/>
        </w:rPr>
        <w:t xml:space="preserve"> وقيام الشركة بإصدار نشرة الإصدار. وتنتهي اتفاقيات الاستثمار الرئيسي تلقائيا إذا انتهت اتفاقية التسوية المؤسسية</w:t>
      </w:r>
      <w:r w:rsidRPr="00A1314E" w:rsidDel="007B0D24">
        <w:rPr>
          <w:rFonts w:ascii="Traditional Arabic" w:hAnsi="Traditional Arabic" w:cs="Traditional Arabic"/>
          <w:sz w:val="30"/>
          <w:szCs w:val="30"/>
          <w:rtl/>
          <w:lang w:bidi="ar-EG"/>
        </w:rPr>
        <w:t xml:space="preserve"> </w:t>
      </w:r>
      <w:r w:rsidRPr="00A1314E">
        <w:rPr>
          <w:rFonts w:ascii="Traditional Arabic" w:hAnsi="Traditional Arabic" w:cs="Traditional Arabic"/>
          <w:sz w:val="30"/>
          <w:szCs w:val="30"/>
          <w:rtl/>
          <w:lang w:bidi="ar-EG"/>
        </w:rPr>
        <w:t xml:space="preserve">وفق شروطها، ويجوز إنهاء اتفاقيات الاستثمار الرئيسي إذا كان هناك مخالفة جوهرية لشرط أساسي فيها ويكون الإنهاء بتراضي أطرافها أو إذا لم يتم الوفاء بالشروط أو تم التنازل عنها قبل أو في تاريخ </w:t>
      </w:r>
      <w:r w:rsidR="00420DF7">
        <w:rPr>
          <w:rFonts w:ascii="Traditional Arabic" w:hAnsi="Traditional Arabic" w:cs="Traditional Arabic" w:hint="cs"/>
          <w:sz w:val="30"/>
          <w:szCs w:val="30"/>
          <w:rtl/>
          <w:lang w:bidi="ar-EG"/>
        </w:rPr>
        <w:t>٣١ مارس ٢٠٢٥</w:t>
      </w:r>
      <w:r w:rsidR="00420DF7" w:rsidRPr="00A1314E">
        <w:rPr>
          <w:rFonts w:ascii="Traditional Arabic" w:hAnsi="Traditional Arabic" w:cs="Traditional Arabic"/>
          <w:sz w:val="30"/>
          <w:szCs w:val="30"/>
          <w:rtl/>
          <w:lang w:bidi="ar-EG"/>
        </w:rPr>
        <w:t xml:space="preserve"> </w:t>
      </w:r>
      <w:r w:rsidRPr="00A1314E">
        <w:rPr>
          <w:rFonts w:ascii="Traditional Arabic" w:hAnsi="Traditional Arabic" w:cs="Traditional Arabic"/>
          <w:sz w:val="30"/>
          <w:szCs w:val="30"/>
          <w:rtl/>
          <w:lang w:bidi="ar-EG"/>
        </w:rPr>
        <w:t xml:space="preserve">أو بحسب ما يتم الاتفاق عليه بين الشركة </w:t>
      </w:r>
      <w:r w:rsidR="00AE40C1">
        <w:rPr>
          <w:rFonts w:ascii="Traditional Arabic" w:hAnsi="Traditional Arabic" w:cs="Traditional Arabic" w:hint="cs"/>
          <w:sz w:val="30"/>
          <w:szCs w:val="30"/>
          <w:rtl/>
          <w:lang w:bidi="ar-EG"/>
        </w:rPr>
        <w:t>والمساهم البائع</w:t>
      </w:r>
      <w:r w:rsidR="0031077D" w:rsidRPr="00A1314E">
        <w:rPr>
          <w:rFonts w:ascii="Traditional Arabic" w:hAnsi="Traditional Arabic" w:cs="Traditional Arabic"/>
          <w:sz w:val="30"/>
          <w:szCs w:val="30"/>
          <w:rtl/>
          <w:lang w:bidi="ar-EG"/>
        </w:rPr>
        <w:t xml:space="preserve"> </w:t>
      </w:r>
      <w:r w:rsidRPr="00A1314E">
        <w:rPr>
          <w:rFonts w:ascii="Traditional Arabic" w:hAnsi="Traditional Arabic" w:cs="Traditional Arabic"/>
          <w:sz w:val="30"/>
          <w:szCs w:val="30"/>
          <w:rtl/>
          <w:lang w:bidi="ar-EG"/>
        </w:rPr>
        <w:t>والمستثمرين الرئيسيين. وستحل الأسهم التي يتم شراؤها من قبل المستثمرين الرئيسيين بالتساوي مع جميع الأسهم الأخرى التي تم بيعها في الطرح.</w:t>
      </w:r>
    </w:p>
    <w:p w14:paraId="78FB540D" w14:textId="77777777" w:rsidR="00695447" w:rsidRPr="00A1314E" w:rsidRDefault="00695447" w:rsidP="00695447">
      <w:pPr>
        <w:bidi/>
        <w:jc w:val="both"/>
        <w:rPr>
          <w:rFonts w:ascii="Traditional Arabic" w:hAnsi="Traditional Arabic" w:cs="Traditional Arabic"/>
          <w:sz w:val="30"/>
          <w:szCs w:val="30"/>
          <w:rtl/>
          <w:lang w:bidi="ar-EG"/>
        </w:rPr>
      </w:pPr>
    </w:p>
    <w:p w14:paraId="5CD4799F" w14:textId="77777777" w:rsidR="00695447" w:rsidRPr="00A1314E" w:rsidRDefault="00695447" w:rsidP="00695447">
      <w:pPr>
        <w:bidi/>
        <w:jc w:val="both"/>
        <w:rPr>
          <w:rFonts w:ascii="Traditional Arabic" w:hAnsi="Traditional Arabic" w:cs="Traditional Arabic"/>
          <w:sz w:val="30"/>
          <w:szCs w:val="30"/>
          <w:rtl/>
          <w:lang w:bidi="ar-EG"/>
        </w:rPr>
      </w:pPr>
      <w:r w:rsidRPr="00A1314E">
        <w:rPr>
          <w:rFonts w:ascii="Traditional Arabic" w:hAnsi="Traditional Arabic" w:cs="Traditional Arabic"/>
          <w:sz w:val="30"/>
          <w:szCs w:val="30"/>
          <w:rtl/>
          <w:lang w:bidi="ar-EG"/>
        </w:rPr>
        <w:t xml:space="preserve">ووفق شروط اتفاقيات الاستثمار الرئيسي فقد وافق المستثمرون الرئيسيين وفق أمور أخرى على عدم عرض أو بيع أو التعاقد لبيع أو نقل أو التصرف بشكل مباشر أو غير مباشر أو الإعلان عن طرح أية أسهم استحوذوا عليها بموجب اتفاقيات الاستثمار الرئيسي (أو أي حصة فيها فيما يتعلق بها) أو إبرام أية معاملة لها نفس التأثير الاقتصادي لأي مما سبق، وذلك لمدة زمنية من تاريخ إبرام اتفاقيات الاستثمار الرئيسي إلى اليوم </w:t>
      </w:r>
      <w:r w:rsidR="00443628">
        <w:rPr>
          <w:rFonts w:ascii="Traditional Arabic" w:hAnsi="Traditional Arabic" w:cs="Traditional Arabic" w:hint="cs"/>
          <w:sz w:val="30"/>
          <w:szCs w:val="30"/>
          <w:rtl/>
          <w:lang w:bidi="ar-EG"/>
        </w:rPr>
        <w:t>التسعين (</w:t>
      </w:r>
      <w:r w:rsidR="00420DF7">
        <w:rPr>
          <w:rFonts w:ascii="Traditional Arabic" w:hAnsi="Traditional Arabic" w:cs="Traditional Arabic" w:hint="cs"/>
          <w:sz w:val="30"/>
          <w:szCs w:val="30"/>
          <w:rtl/>
          <w:lang w:bidi="ar-EG"/>
        </w:rPr>
        <w:t>٩٠</w:t>
      </w:r>
      <w:r w:rsidR="00443628">
        <w:rPr>
          <w:rFonts w:ascii="Traditional Arabic" w:hAnsi="Traditional Arabic" w:cs="Traditional Arabic" w:hint="cs"/>
          <w:sz w:val="30"/>
          <w:szCs w:val="30"/>
          <w:rtl/>
          <w:lang w:bidi="ar-EG"/>
        </w:rPr>
        <w:t>)</w:t>
      </w:r>
      <w:r w:rsidR="00420DF7" w:rsidRPr="00A1314E">
        <w:rPr>
          <w:rFonts w:ascii="Traditional Arabic" w:hAnsi="Traditional Arabic" w:cs="Traditional Arabic"/>
          <w:sz w:val="30"/>
          <w:szCs w:val="30"/>
          <w:rtl/>
          <w:lang w:bidi="ar-EG"/>
        </w:rPr>
        <w:t xml:space="preserve"> </w:t>
      </w:r>
      <w:r w:rsidRPr="00A1314E">
        <w:rPr>
          <w:rFonts w:ascii="Traditional Arabic" w:hAnsi="Traditional Arabic" w:cs="Traditional Arabic"/>
          <w:sz w:val="30"/>
          <w:szCs w:val="30"/>
          <w:rtl/>
          <w:lang w:bidi="ar-EG"/>
        </w:rPr>
        <w:t xml:space="preserve">من تاريخ التسجيل. سيتم الاحتفاظ وتقييد الأسهم التي تم شراؤها من قبل المستثمرين الرئيسيين في الطرح في حساب المستثمر الرئيسي هذا مع شركة مسقط للمقاصة والإيداع، وستكون مقيدة وغير قابلة للتداول لمدة </w:t>
      </w:r>
      <w:r w:rsidR="00443628">
        <w:rPr>
          <w:rFonts w:ascii="Traditional Arabic" w:hAnsi="Traditional Arabic" w:cs="Traditional Arabic" w:hint="cs"/>
          <w:sz w:val="30"/>
          <w:szCs w:val="30"/>
          <w:rtl/>
          <w:lang w:bidi="ar-EG"/>
        </w:rPr>
        <w:t>٩٠</w:t>
      </w:r>
      <w:r w:rsidR="00443628" w:rsidRPr="00A1314E">
        <w:rPr>
          <w:rFonts w:ascii="Traditional Arabic" w:hAnsi="Traditional Arabic" w:cs="Traditional Arabic"/>
          <w:sz w:val="30"/>
          <w:szCs w:val="30"/>
          <w:rtl/>
          <w:lang w:bidi="ar-EG"/>
        </w:rPr>
        <w:t xml:space="preserve"> </w:t>
      </w:r>
      <w:r w:rsidRPr="00A1314E">
        <w:rPr>
          <w:rFonts w:ascii="Traditional Arabic" w:hAnsi="Traditional Arabic" w:cs="Traditional Arabic"/>
          <w:sz w:val="30"/>
          <w:szCs w:val="30"/>
          <w:rtl/>
          <w:lang w:bidi="ar-EG"/>
        </w:rPr>
        <w:t>يومًا من فترة الإغلاق التي تبدأ من تاريخ التسجيل.</w:t>
      </w:r>
    </w:p>
    <w:p w14:paraId="5E4AAF30" w14:textId="77777777" w:rsidR="00695447" w:rsidRPr="00A1314E" w:rsidRDefault="00695447" w:rsidP="00695447">
      <w:pPr>
        <w:bidi/>
        <w:spacing w:after="160" w:line="259" w:lineRule="auto"/>
        <w:jc w:val="lowKashida"/>
        <w:rPr>
          <w:rFonts w:ascii="Traditional Arabic" w:hAnsi="Traditional Arabic" w:cs="Traditional Arabic"/>
          <w:b/>
          <w:sz w:val="30"/>
          <w:szCs w:val="30"/>
          <w:lang w:bidi="ar-EG"/>
        </w:rPr>
      </w:pPr>
    </w:p>
    <w:p w14:paraId="722FA9E3" w14:textId="77777777" w:rsidR="00695447" w:rsidRPr="00A1314E" w:rsidRDefault="00695447" w:rsidP="00695447">
      <w:pPr>
        <w:bidi/>
        <w:spacing w:after="160" w:line="259" w:lineRule="auto"/>
        <w:jc w:val="lowKashida"/>
        <w:rPr>
          <w:rFonts w:ascii="Traditional Arabic" w:hAnsi="Traditional Arabic" w:cs="Traditional Arabic"/>
          <w:bCs/>
          <w:sz w:val="30"/>
          <w:szCs w:val="30"/>
          <w:rtl/>
        </w:rPr>
      </w:pPr>
      <w:r w:rsidRPr="00A1314E">
        <w:rPr>
          <w:rFonts w:ascii="Traditional Arabic" w:hAnsi="Traditional Arabic" w:cs="Traditional Arabic"/>
          <w:bCs/>
          <w:sz w:val="30"/>
          <w:szCs w:val="30"/>
          <w:rtl/>
        </w:rPr>
        <w:t>العلاقات الأخرى</w:t>
      </w:r>
    </w:p>
    <w:p w14:paraId="2995676C" w14:textId="77777777" w:rsidR="00695447" w:rsidRPr="00A1314E" w:rsidRDefault="00695447" w:rsidP="00695447">
      <w:pPr>
        <w:bidi/>
        <w:spacing w:after="160" w:line="259" w:lineRule="auto"/>
        <w:jc w:val="both"/>
        <w:rPr>
          <w:rFonts w:ascii="Traditional Arabic" w:hAnsi="Traditional Arabic" w:cs="Traditional Arabic"/>
          <w:b/>
          <w:sz w:val="30"/>
          <w:szCs w:val="30"/>
          <w:rtl/>
        </w:rPr>
      </w:pPr>
      <w:r w:rsidRPr="00A1314E">
        <w:rPr>
          <w:rFonts w:ascii="Traditional Arabic" w:hAnsi="Traditional Arabic" w:cs="Traditional Arabic"/>
          <w:b/>
          <w:sz w:val="30"/>
          <w:szCs w:val="30"/>
          <w:rtl/>
        </w:rPr>
        <w:t>يجوز للمنسق العالمي المشترك</w:t>
      </w:r>
      <w:r w:rsidR="00D625FD">
        <w:rPr>
          <w:rFonts w:ascii="Traditional Arabic" w:hAnsi="Traditional Arabic" w:cs="Traditional Arabic" w:hint="cs"/>
          <w:b/>
          <w:sz w:val="30"/>
          <w:szCs w:val="30"/>
          <w:rtl/>
        </w:rPr>
        <w:t xml:space="preserve"> و</w:t>
      </w:r>
      <w:r w:rsidR="00D625FD">
        <w:rPr>
          <w:rFonts w:ascii="Traditional Arabic" w:hAnsi="Traditional Arabic" w:cs="Traditional Arabic" w:hint="cs"/>
          <w:sz w:val="30"/>
          <w:szCs w:val="30"/>
          <w:rtl/>
        </w:rPr>
        <w:t>مدير الإصدار</w:t>
      </w:r>
      <w:r w:rsidRPr="00A1314E">
        <w:rPr>
          <w:rFonts w:ascii="Traditional Arabic" w:hAnsi="Traditional Arabic" w:cs="Traditional Arabic"/>
          <w:b/>
          <w:sz w:val="30"/>
          <w:szCs w:val="30"/>
          <w:rtl/>
        </w:rPr>
        <w:t xml:space="preserve"> ووكلاء التحصيل وأي تابع </w:t>
      </w:r>
      <w:r w:rsidR="00484090">
        <w:rPr>
          <w:rFonts w:ascii="Traditional Arabic" w:hAnsi="Traditional Arabic" w:cs="Traditional Arabic" w:hint="cs"/>
          <w:b/>
          <w:sz w:val="30"/>
          <w:szCs w:val="30"/>
          <w:rtl/>
        </w:rPr>
        <w:t xml:space="preserve">- </w:t>
      </w:r>
      <w:r w:rsidRPr="00A1314E">
        <w:rPr>
          <w:rFonts w:ascii="Traditional Arabic" w:hAnsi="Traditional Arabic" w:cs="Traditional Arabic"/>
          <w:b/>
          <w:sz w:val="30"/>
          <w:szCs w:val="30"/>
          <w:rtl/>
        </w:rPr>
        <w:t xml:space="preserve">فيما يتعلق بالطرح </w:t>
      </w:r>
      <w:r w:rsidR="00484090">
        <w:rPr>
          <w:rFonts w:ascii="Traditional Arabic" w:hAnsi="Traditional Arabic" w:cs="Traditional Arabic" w:hint="cs"/>
          <w:b/>
          <w:sz w:val="30"/>
          <w:szCs w:val="30"/>
          <w:rtl/>
        </w:rPr>
        <w:t xml:space="preserve">- </w:t>
      </w:r>
      <w:r w:rsidRPr="00A1314E">
        <w:rPr>
          <w:rFonts w:ascii="Traditional Arabic" w:hAnsi="Traditional Arabic" w:cs="Traditional Arabic"/>
          <w:b/>
          <w:sz w:val="30"/>
          <w:szCs w:val="30"/>
          <w:rtl/>
        </w:rPr>
        <w:t>أن يشتري أسهما، وله بهذه الصفة أن يحتفظ أو يشتري أو يبيع لحسابه هذه الأسهم وأية استثمارات ذات صلة، وله طرحها وبيعها والاستثمارات الأخرى بما لا يتعارض مع الطرح. وعليه فإن الإشارة في هذه النشرة إلى طرح الأسهم أو عرضها يتضمن أي طرح أو عرض للأسهم للمنسق العالمي المشترك ووكلاء التحصيل وأي تابع يتصرف كمستثمر لحسابه</w:t>
      </w:r>
      <w:r w:rsidRPr="00A1314E">
        <w:rPr>
          <w:rFonts w:ascii="Traditional Arabic" w:hAnsi="Traditional Arabic" w:cs="Traditional Arabic"/>
          <w:b/>
          <w:sz w:val="30"/>
          <w:szCs w:val="30"/>
        </w:rPr>
        <w:t>.</w:t>
      </w:r>
      <w:r w:rsidR="00280650">
        <w:rPr>
          <w:rFonts w:ascii="Traditional Arabic" w:hAnsi="Traditional Arabic" w:cs="Traditional Arabic" w:hint="cs"/>
          <w:b/>
          <w:sz w:val="30"/>
          <w:szCs w:val="30"/>
          <w:rtl/>
        </w:rPr>
        <w:t xml:space="preserve"> </w:t>
      </w:r>
      <w:r w:rsidR="00280650" w:rsidRPr="00A1314E">
        <w:rPr>
          <w:rFonts w:ascii="Traditional Arabic" w:hAnsi="Traditional Arabic" w:cs="Traditional Arabic"/>
          <w:b/>
          <w:sz w:val="30"/>
          <w:szCs w:val="30"/>
          <w:rtl/>
        </w:rPr>
        <w:t xml:space="preserve">بالإضافة إلى ذلك، يجوز لبعض كيانات </w:t>
      </w:r>
      <w:r w:rsidR="00C7022E">
        <w:rPr>
          <w:rFonts w:ascii="Traditional Arabic" w:hAnsi="Traditional Arabic" w:cs="Traditional Arabic"/>
          <w:b/>
          <w:sz w:val="30"/>
          <w:szCs w:val="30"/>
          <w:rtl/>
        </w:rPr>
        <w:t>المنسق العالمي المشترك</w:t>
      </w:r>
      <w:r w:rsidR="00280650" w:rsidRPr="00A1314E">
        <w:rPr>
          <w:rFonts w:ascii="Traditional Arabic" w:hAnsi="Traditional Arabic" w:cs="Traditional Arabic"/>
          <w:b/>
          <w:sz w:val="30"/>
          <w:szCs w:val="30"/>
          <w:rtl/>
        </w:rPr>
        <w:t xml:space="preserve"> أو </w:t>
      </w:r>
      <w:r w:rsidR="00D625FD">
        <w:rPr>
          <w:rFonts w:ascii="Traditional Arabic" w:hAnsi="Traditional Arabic" w:cs="Traditional Arabic" w:hint="cs"/>
          <w:sz w:val="30"/>
          <w:szCs w:val="30"/>
          <w:rtl/>
        </w:rPr>
        <w:t>مدير الإصدار أو</w:t>
      </w:r>
      <w:r w:rsidR="00D625FD" w:rsidRPr="00A1314E">
        <w:rPr>
          <w:rFonts w:ascii="Traditional Arabic" w:hAnsi="Traditional Arabic" w:cs="Traditional Arabic"/>
          <w:b/>
          <w:sz w:val="30"/>
          <w:szCs w:val="30"/>
          <w:rtl/>
        </w:rPr>
        <w:t xml:space="preserve"> </w:t>
      </w:r>
      <w:r w:rsidR="00280650" w:rsidRPr="00A1314E">
        <w:rPr>
          <w:rFonts w:ascii="Traditional Arabic" w:hAnsi="Traditional Arabic" w:cs="Traditional Arabic"/>
          <w:b/>
          <w:sz w:val="30"/>
          <w:szCs w:val="30"/>
          <w:rtl/>
        </w:rPr>
        <w:t xml:space="preserve">وكلاء التحصيل إبرام ترتيبات تمويلية مع مستثمرين كترتيبات معاوضة الأسهم وترتيبات الإقراض إذا استُخدمت الأوراق المالية كضمان، بما قد ينتج عنه استحواذ </w:t>
      </w:r>
      <w:r w:rsidR="00C7022E">
        <w:rPr>
          <w:rFonts w:ascii="Traditional Arabic" w:hAnsi="Traditional Arabic" w:cs="Traditional Arabic"/>
          <w:b/>
          <w:sz w:val="30"/>
          <w:szCs w:val="30"/>
          <w:rtl/>
        </w:rPr>
        <w:t>المنسق العالمي المشترك</w:t>
      </w:r>
      <w:r w:rsidR="00280650" w:rsidRPr="00A1314E">
        <w:rPr>
          <w:rFonts w:ascii="Traditional Arabic" w:hAnsi="Traditional Arabic" w:cs="Traditional Arabic"/>
          <w:b/>
          <w:sz w:val="30"/>
          <w:szCs w:val="30"/>
          <w:rtl/>
        </w:rPr>
        <w:t xml:space="preserve"> أو</w:t>
      </w:r>
      <w:r w:rsidR="00D625FD">
        <w:rPr>
          <w:rFonts w:ascii="Traditional Arabic" w:hAnsi="Traditional Arabic" w:cs="Traditional Arabic" w:hint="cs"/>
          <w:b/>
          <w:sz w:val="30"/>
          <w:szCs w:val="30"/>
          <w:rtl/>
        </w:rPr>
        <w:t xml:space="preserve"> و</w:t>
      </w:r>
      <w:r w:rsidR="00D625FD">
        <w:rPr>
          <w:rFonts w:ascii="Traditional Arabic" w:hAnsi="Traditional Arabic" w:cs="Traditional Arabic" w:hint="cs"/>
          <w:sz w:val="30"/>
          <w:szCs w:val="30"/>
          <w:rtl/>
        </w:rPr>
        <w:t>مدير الإصدار أو</w:t>
      </w:r>
      <w:r w:rsidR="00280650" w:rsidRPr="00A1314E">
        <w:rPr>
          <w:rFonts w:ascii="Traditional Arabic" w:hAnsi="Traditional Arabic" w:cs="Traditional Arabic"/>
          <w:b/>
          <w:sz w:val="30"/>
          <w:szCs w:val="30"/>
          <w:rtl/>
        </w:rPr>
        <w:t xml:space="preserve"> وكلاء التحصيل على الأسهم.</w:t>
      </w:r>
      <w:r w:rsidR="00280650">
        <w:rPr>
          <w:rFonts w:ascii="Traditional Arabic" w:hAnsi="Traditional Arabic" w:cs="Traditional Arabic" w:hint="cs"/>
          <w:b/>
          <w:sz w:val="30"/>
          <w:szCs w:val="30"/>
          <w:rtl/>
        </w:rPr>
        <w:t xml:space="preserve"> </w:t>
      </w:r>
      <w:r w:rsidR="00280650" w:rsidRPr="00A1314E">
        <w:rPr>
          <w:rFonts w:ascii="Traditional Arabic" w:hAnsi="Traditional Arabic" w:cs="Traditional Arabic"/>
          <w:b/>
          <w:sz w:val="30"/>
          <w:szCs w:val="30"/>
          <w:rtl/>
        </w:rPr>
        <w:t xml:space="preserve">ولا يعتزم </w:t>
      </w:r>
      <w:r w:rsidR="00C7022E">
        <w:rPr>
          <w:rFonts w:ascii="Traditional Arabic" w:hAnsi="Traditional Arabic" w:cs="Traditional Arabic"/>
          <w:b/>
          <w:sz w:val="30"/>
          <w:szCs w:val="30"/>
          <w:rtl/>
        </w:rPr>
        <w:t>المنسق العالمي المشترك</w:t>
      </w:r>
      <w:r w:rsidR="00280650" w:rsidRPr="00A1314E">
        <w:rPr>
          <w:rFonts w:ascii="Traditional Arabic" w:hAnsi="Traditional Arabic" w:cs="Traditional Arabic"/>
          <w:b/>
          <w:sz w:val="30"/>
          <w:szCs w:val="30"/>
          <w:rtl/>
        </w:rPr>
        <w:t xml:space="preserve"> الإفصاح عن ماهية تلك الاستثمارات أو المعاملات إلا ما يكون بموجب التزام قانوني أو تنظيمي.</w:t>
      </w:r>
    </w:p>
    <w:p w14:paraId="63AD5ABF" w14:textId="77777777" w:rsidR="00695447" w:rsidRDefault="00695447" w:rsidP="00695447">
      <w:pPr>
        <w:bidi/>
        <w:spacing w:after="160" w:line="259" w:lineRule="auto"/>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 xml:space="preserve">علاوة على ذلك، وفي سياق عملهم المعتاد مع الشركة ومع أطراف تابعة للشركة (بما في ذلك </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فإن إبرام </w:t>
      </w:r>
      <w:r w:rsidR="00C7022E">
        <w:rPr>
          <w:rFonts w:ascii="Traditional Arabic" w:hAnsi="Traditional Arabic" w:cs="Traditional Arabic"/>
          <w:b/>
          <w:sz w:val="30"/>
          <w:szCs w:val="30"/>
          <w:rtl/>
        </w:rPr>
        <w:t>المنسق العالمي المشترك</w:t>
      </w:r>
      <w:r w:rsidR="00D625FD">
        <w:rPr>
          <w:rFonts w:ascii="Traditional Arabic" w:hAnsi="Traditional Arabic" w:cs="Traditional Arabic" w:hint="cs"/>
          <w:b/>
          <w:sz w:val="30"/>
          <w:szCs w:val="30"/>
          <w:rtl/>
        </w:rPr>
        <w:t xml:space="preserve">  و</w:t>
      </w:r>
      <w:r w:rsidR="00D625FD">
        <w:rPr>
          <w:rFonts w:ascii="Traditional Arabic" w:hAnsi="Traditional Arabic" w:cs="Traditional Arabic" w:hint="cs"/>
          <w:sz w:val="30"/>
          <w:szCs w:val="30"/>
          <w:rtl/>
        </w:rPr>
        <w:t>مدير الإصدار</w:t>
      </w:r>
      <w:r w:rsidRPr="00A1314E">
        <w:rPr>
          <w:rFonts w:ascii="Traditional Arabic" w:hAnsi="Traditional Arabic" w:cs="Traditional Arabic"/>
          <w:b/>
          <w:sz w:val="30"/>
          <w:szCs w:val="30"/>
          <w:rtl/>
        </w:rPr>
        <w:t xml:space="preserve"> ووكلاء التحصيل والتابعين له فيما مضى أو فيما يُستقبل من أنشطة مصرفية تجارية وأنشطة إقراض وأنشطة تداول وتحوط مالي واستثمارات مصرفية واستشارات مالية وأنشطة فرعية؛ واستلامهم عنها تعويضات اعتيادية </w:t>
      </w:r>
      <w:r w:rsidRPr="00A1314E">
        <w:rPr>
          <w:rFonts w:ascii="Traditional Arabic" w:hAnsi="Traditional Arabic" w:cs="Traditional Arabic"/>
          <w:b/>
          <w:sz w:val="30"/>
          <w:szCs w:val="30"/>
          <w:rtl/>
        </w:rPr>
        <w:lastRenderedPageBreak/>
        <w:t xml:space="preserve">أمر جائز. وعليه، فإن مشاركة المعلومات التي تخص ما سبق تكون مقيدة بوجه عام بسبب السرية والإجراءات الداخلية أو الضوابط واللوائح، وبالتالي وبسبب هذه المعاملات فقد يكون </w:t>
      </w:r>
      <w:r w:rsidR="001901CA">
        <w:rPr>
          <w:rFonts w:ascii="Traditional Arabic" w:hAnsi="Traditional Arabic" w:cs="Traditional Arabic" w:hint="cs"/>
          <w:b/>
          <w:sz w:val="30"/>
          <w:szCs w:val="30"/>
          <w:rtl/>
        </w:rPr>
        <w:t>ل</w:t>
      </w:r>
      <w:r w:rsidR="00C7022E">
        <w:rPr>
          <w:rFonts w:ascii="Traditional Arabic" w:hAnsi="Traditional Arabic" w:cs="Traditional Arabic"/>
          <w:b/>
          <w:sz w:val="30"/>
          <w:szCs w:val="30"/>
          <w:rtl/>
        </w:rPr>
        <w:t>لمنسق العالمي المشترك</w:t>
      </w:r>
      <w:r w:rsidRPr="00A1314E">
        <w:rPr>
          <w:rFonts w:ascii="Traditional Arabic" w:hAnsi="Traditional Arabic" w:cs="Traditional Arabic"/>
          <w:b/>
          <w:sz w:val="30"/>
          <w:szCs w:val="30"/>
          <w:rtl/>
        </w:rPr>
        <w:t xml:space="preserve"> </w:t>
      </w:r>
      <w:r w:rsidR="00D625FD">
        <w:rPr>
          <w:rFonts w:ascii="Traditional Arabic" w:hAnsi="Traditional Arabic" w:cs="Traditional Arabic" w:hint="cs"/>
          <w:b/>
          <w:sz w:val="30"/>
          <w:szCs w:val="30"/>
          <w:rtl/>
        </w:rPr>
        <w:t>أو</w:t>
      </w:r>
      <w:r w:rsidR="00D625FD" w:rsidRPr="00D625FD">
        <w:rPr>
          <w:rFonts w:ascii="Traditional Arabic" w:hAnsi="Traditional Arabic" w:cs="Traditional Arabic" w:hint="cs"/>
          <w:b/>
          <w:sz w:val="30"/>
          <w:szCs w:val="30"/>
          <w:rtl/>
        </w:rPr>
        <w:t xml:space="preserve"> </w:t>
      </w:r>
      <w:r w:rsidR="00D625FD">
        <w:rPr>
          <w:rFonts w:ascii="Traditional Arabic" w:hAnsi="Traditional Arabic" w:cs="Traditional Arabic" w:hint="cs"/>
          <w:sz w:val="30"/>
          <w:szCs w:val="30"/>
          <w:rtl/>
        </w:rPr>
        <w:t>مدير الإصدار</w:t>
      </w:r>
      <w:r w:rsidR="00D625FD" w:rsidRPr="00A1314E">
        <w:rPr>
          <w:rFonts w:ascii="Traditional Arabic" w:hAnsi="Traditional Arabic" w:cs="Traditional Arabic"/>
          <w:b/>
          <w:sz w:val="30"/>
          <w:szCs w:val="30"/>
          <w:rtl/>
        </w:rPr>
        <w:t xml:space="preserve"> </w:t>
      </w:r>
      <w:r w:rsidR="00D625FD">
        <w:rPr>
          <w:rFonts w:ascii="Traditional Arabic" w:hAnsi="Traditional Arabic" w:cs="Traditional Arabic" w:hint="cs"/>
          <w:b/>
          <w:sz w:val="30"/>
          <w:szCs w:val="30"/>
          <w:rtl/>
        </w:rPr>
        <w:t xml:space="preserve">أو وكلاء التحصيل </w:t>
      </w:r>
      <w:r w:rsidRPr="00A1314E">
        <w:rPr>
          <w:rFonts w:ascii="Traditional Arabic" w:hAnsi="Traditional Arabic" w:cs="Traditional Arabic"/>
          <w:b/>
          <w:sz w:val="30"/>
          <w:szCs w:val="30"/>
          <w:rtl/>
        </w:rPr>
        <w:t xml:space="preserve">مصالح لا تتماشى أو قد تتعارض مع مصالح حاملي الأسهم أو مع مصالح الشركة أو </w:t>
      </w:r>
      <w:r w:rsidR="000861C6">
        <w:rPr>
          <w:rFonts w:ascii="Traditional Arabic" w:hAnsi="Traditional Arabic" w:cs="Traditional Arabic"/>
          <w:b/>
          <w:sz w:val="30"/>
          <w:szCs w:val="30"/>
          <w:rtl/>
        </w:rPr>
        <w:t>المساهم البائع</w:t>
      </w:r>
      <w:r w:rsidRPr="00A1314E">
        <w:rPr>
          <w:rFonts w:ascii="Traditional Arabic" w:hAnsi="Traditional Arabic" w:cs="Traditional Arabic"/>
          <w:b/>
          <w:sz w:val="30"/>
          <w:szCs w:val="30"/>
          <w:rtl/>
        </w:rPr>
        <w:t xml:space="preserve">. </w:t>
      </w:r>
    </w:p>
    <w:p w14:paraId="0C7F3A4A" w14:textId="77777777" w:rsidR="001C32D3" w:rsidRPr="00EB5BCF" w:rsidRDefault="001C32D3" w:rsidP="00146108">
      <w:pPr>
        <w:bidi/>
        <w:spacing w:after="160" w:line="259" w:lineRule="auto"/>
        <w:jc w:val="lowKashida"/>
        <w:rPr>
          <w:rFonts w:ascii="Traditional Arabic" w:hAnsi="Traditional Arabic" w:cs="Traditional Arabic"/>
          <w:b/>
          <w:sz w:val="30"/>
          <w:szCs w:val="30"/>
          <w:rtl/>
        </w:rPr>
      </w:pPr>
      <w:r w:rsidRPr="00EB5BCF">
        <w:rPr>
          <w:rFonts w:ascii="Traditional Arabic" w:hAnsi="Traditional Arabic" w:cs="Traditional Arabic"/>
          <w:b/>
          <w:sz w:val="30"/>
          <w:szCs w:val="30"/>
          <w:rtl/>
        </w:rPr>
        <w:br w:type="page"/>
      </w:r>
    </w:p>
    <w:p w14:paraId="07EBE7C0" w14:textId="77777777" w:rsidR="001C32D3" w:rsidRPr="00EB5BCF" w:rsidRDefault="001C32D3" w:rsidP="001C32D3">
      <w:pPr>
        <w:autoSpaceDE w:val="0"/>
        <w:autoSpaceDN w:val="0"/>
        <w:bidi/>
        <w:adjustRightInd w:val="0"/>
        <w:jc w:val="center"/>
        <w:rPr>
          <w:rFonts w:ascii="Traditional Arabic" w:hAnsi="Traditional Arabic" w:cs="Traditional Arabic"/>
          <w:bCs/>
          <w:sz w:val="30"/>
          <w:szCs w:val="30"/>
          <w:rtl/>
        </w:rPr>
      </w:pPr>
      <w:r w:rsidRPr="00EB5BCF">
        <w:rPr>
          <w:rFonts w:ascii="Traditional Arabic" w:hAnsi="Traditional Arabic" w:cs="Traditional Arabic" w:hint="eastAsia"/>
          <w:bCs/>
          <w:sz w:val="30"/>
          <w:szCs w:val="30"/>
          <w:rtl/>
        </w:rPr>
        <w:lastRenderedPageBreak/>
        <w:t>الفصل</w:t>
      </w:r>
      <w:r w:rsidRPr="00EB5BCF">
        <w:rPr>
          <w:rFonts w:ascii="Traditional Arabic" w:hAnsi="Traditional Arabic" w:cs="Traditional Arabic"/>
          <w:bCs/>
          <w:sz w:val="30"/>
          <w:szCs w:val="30"/>
          <w:rtl/>
        </w:rPr>
        <w:t xml:space="preserve"> </w:t>
      </w:r>
      <w:r w:rsidR="00272B36">
        <w:rPr>
          <w:rFonts w:ascii="Traditional Arabic" w:hAnsi="Traditional Arabic" w:cs="Traditional Arabic" w:hint="cs"/>
          <w:bCs/>
          <w:sz w:val="30"/>
          <w:szCs w:val="30"/>
          <w:rtl/>
        </w:rPr>
        <w:t xml:space="preserve">الواحد </w:t>
      </w:r>
      <w:r w:rsidR="00844810">
        <w:rPr>
          <w:rFonts w:ascii="Traditional Arabic" w:hAnsi="Traditional Arabic" w:cs="Traditional Arabic" w:hint="cs"/>
          <w:bCs/>
          <w:sz w:val="30"/>
          <w:szCs w:val="30"/>
          <w:rtl/>
        </w:rPr>
        <w:t>والعشرون</w:t>
      </w:r>
    </w:p>
    <w:p w14:paraId="00267371" w14:textId="77777777" w:rsidR="001C32D3" w:rsidRPr="00EB5BCF" w:rsidRDefault="001C32D3" w:rsidP="001C32D3">
      <w:pPr>
        <w:bidi/>
        <w:jc w:val="center"/>
        <w:rPr>
          <w:rFonts w:ascii="Traditional Arabic" w:hAnsi="Traditional Arabic" w:cs="Traditional Arabic"/>
          <w:b/>
          <w:bCs/>
          <w:sz w:val="30"/>
          <w:szCs w:val="30"/>
          <w:rtl/>
          <w:lang w:bidi="ar-EG"/>
        </w:rPr>
      </w:pPr>
      <w:r w:rsidRPr="00EB5BCF">
        <w:rPr>
          <w:rFonts w:ascii="Traditional Arabic" w:hAnsi="Traditional Arabic" w:cs="Traditional Arabic"/>
          <w:b/>
          <w:bCs/>
          <w:sz w:val="30"/>
          <w:szCs w:val="30"/>
          <w:rtl/>
          <w:lang w:bidi="ar-EG"/>
        </w:rPr>
        <w:t>عملية بناء سجل الأوامر</w:t>
      </w:r>
    </w:p>
    <w:p w14:paraId="5E275C7D" w14:textId="77777777" w:rsidR="001C32D3" w:rsidRPr="00EB5BCF" w:rsidRDefault="001C32D3" w:rsidP="001C32D3">
      <w:pPr>
        <w:bidi/>
        <w:rPr>
          <w:rFonts w:ascii="Traditional Arabic" w:hAnsi="Traditional Arabic" w:cs="Traditional Arabic"/>
          <w:b/>
          <w:bCs/>
          <w:sz w:val="30"/>
          <w:szCs w:val="30"/>
          <w:rtl/>
          <w:lang w:bidi="ar-EG"/>
        </w:rPr>
      </w:pPr>
      <w:r w:rsidRPr="00EB5BCF">
        <w:rPr>
          <w:rFonts w:ascii="Traditional Arabic" w:hAnsi="Traditional Arabic" w:cs="Traditional Arabic"/>
          <w:b/>
          <w:bCs/>
          <w:sz w:val="30"/>
          <w:szCs w:val="30"/>
          <w:rtl/>
          <w:lang w:bidi="ar-EG"/>
        </w:rPr>
        <w:t>نُبذة</w:t>
      </w:r>
    </w:p>
    <w:p w14:paraId="27140839" w14:textId="77777777" w:rsidR="00DE646A" w:rsidRPr="00DE646A" w:rsidRDefault="00DE646A" w:rsidP="00DE646A">
      <w:pPr>
        <w:bidi/>
        <w:jc w:val="both"/>
        <w:rPr>
          <w:rFonts w:ascii="Traditional Arabic" w:hAnsi="Traditional Arabic" w:cs="Traditional Arabic"/>
          <w:sz w:val="30"/>
          <w:szCs w:val="30"/>
          <w:lang w:val="en-GB"/>
        </w:rPr>
      </w:pPr>
      <w:r w:rsidRPr="00DE646A">
        <w:rPr>
          <w:rFonts w:ascii="Traditional Arabic" w:hAnsi="Traditional Arabic" w:cs="Traditional Arabic"/>
          <w:sz w:val="30"/>
          <w:szCs w:val="30"/>
          <w:rtl/>
        </w:rPr>
        <w:t xml:space="preserve">تمت هيكلة الطرح على مرحلتين: مرحلة بناء سجل الأوامر وهي تستهدف مقدمي الطلبات من الفئة الأولى، ومرحلة الطرح بالسعر الثابت، وهي تستهدف مقدمي الطلبات من الفئة الثانية. وبالنسبة لموعد فترة طرح الفئة الأولى فسيبدأ من </w:t>
      </w:r>
      <w:r w:rsidR="008E04D8">
        <w:rPr>
          <w:rFonts w:ascii="Traditional Arabic" w:hAnsi="Traditional Arabic" w:cs="Traditional Arabic" w:hint="cs"/>
          <w:sz w:val="30"/>
          <w:szCs w:val="30"/>
          <w:rtl/>
        </w:rPr>
        <w:t xml:space="preserve">20 </w:t>
      </w:r>
      <w:r w:rsidR="00A76F19">
        <w:rPr>
          <w:rFonts w:ascii="Traditional Arabic" w:hAnsi="Traditional Arabic" w:cs="Traditional Arabic" w:hint="cs"/>
          <w:sz w:val="30"/>
          <w:szCs w:val="30"/>
          <w:rtl/>
        </w:rPr>
        <w:t>فبراير ٢٠٢٥</w:t>
      </w:r>
      <w:r w:rsidRPr="00DE646A">
        <w:rPr>
          <w:rFonts w:ascii="Traditional Arabic" w:hAnsi="Traditional Arabic" w:cs="Traditional Arabic"/>
          <w:sz w:val="30"/>
          <w:szCs w:val="30"/>
          <w:rtl/>
        </w:rPr>
        <w:t xml:space="preserve"> وينتهي في </w:t>
      </w:r>
      <w:r w:rsidR="008E04D8">
        <w:rPr>
          <w:rFonts w:ascii="Traditional Arabic" w:hAnsi="Traditional Arabic" w:cs="Traditional Arabic" w:hint="cs"/>
          <w:sz w:val="30"/>
          <w:szCs w:val="30"/>
          <w:rtl/>
        </w:rPr>
        <w:t xml:space="preserve">27 </w:t>
      </w:r>
      <w:r w:rsidR="00F40043">
        <w:rPr>
          <w:rFonts w:ascii="Traditional Arabic" w:hAnsi="Traditional Arabic" w:cs="Traditional Arabic" w:hint="cs"/>
          <w:sz w:val="30"/>
          <w:szCs w:val="30"/>
          <w:rtl/>
        </w:rPr>
        <w:t>فبراير ٢٠٢٥</w:t>
      </w:r>
      <w:r w:rsidRPr="00DE646A">
        <w:rPr>
          <w:rFonts w:ascii="Traditional Arabic" w:hAnsi="Traditional Arabic" w:cs="Traditional Arabic"/>
          <w:sz w:val="30"/>
          <w:szCs w:val="30"/>
          <w:rtl/>
        </w:rPr>
        <w:t xml:space="preserve">، بينما تبدأ فترة طرح الفئة الثانية من </w:t>
      </w:r>
      <w:r w:rsidR="008E04D8">
        <w:rPr>
          <w:rFonts w:ascii="Traditional Arabic" w:hAnsi="Traditional Arabic" w:cs="Traditional Arabic" w:hint="cs"/>
          <w:sz w:val="30"/>
          <w:szCs w:val="30"/>
          <w:rtl/>
        </w:rPr>
        <w:t xml:space="preserve">20 </w:t>
      </w:r>
      <w:r w:rsidR="00F40043">
        <w:rPr>
          <w:rFonts w:ascii="Traditional Arabic" w:hAnsi="Traditional Arabic" w:cs="Traditional Arabic" w:hint="cs"/>
          <w:sz w:val="30"/>
          <w:szCs w:val="30"/>
          <w:rtl/>
        </w:rPr>
        <w:t>فبراير ٢٠٢٥</w:t>
      </w:r>
      <w:r w:rsidRPr="00DE646A">
        <w:rPr>
          <w:rFonts w:ascii="Traditional Arabic" w:hAnsi="Traditional Arabic" w:cs="Traditional Arabic"/>
          <w:sz w:val="30"/>
          <w:szCs w:val="30"/>
          <w:rtl/>
        </w:rPr>
        <w:t xml:space="preserve"> وتنتهي في </w:t>
      </w:r>
      <w:r w:rsidR="008E04D8">
        <w:rPr>
          <w:rFonts w:ascii="Traditional Arabic" w:hAnsi="Traditional Arabic" w:cs="Traditional Arabic" w:hint="cs"/>
          <w:sz w:val="30"/>
          <w:szCs w:val="30"/>
          <w:rtl/>
        </w:rPr>
        <w:t xml:space="preserve">26 </w:t>
      </w:r>
      <w:r w:rsidR="00F40043">
        <w:rPr>
          <w:rFonts w:ascii="Traditional Arabic" w:hAnsi="Traditional Arabic" w:cs="Traditional Arabic" w:hint="cs"/>
          <w:sz w:val="30"/>
          <w:szCs w:val="30"/>
          <w:rtl/>
        </w:rPr>
        <w:t>فبراير ٢٠٢٥</w:t>
      </w:r>
    </w:p>
    <w:p w14:paraId="468C2848" w14:textId="77777777" w:rsidR="00DE646A" w:rsidRPr="00DE646A" w:rsidRDefault="00DE646A" w:rsidP="00DE646A">
      <w:pPr>
        <w:bidi/>
        <w:jc w:val="both"/>
        <w:rPr>
          <w:rFonts w:ascii="Traditional Arabic" w:hAnsi="Traditional Arabic" w:cs="Traditional Arabic"/>
          <w:sz w:val="30"/>
          <w:szCs w:val="30"/>
          <w:rtl/>
        </w:rPr>
      </w:pPr>
    </w:p>
    <w:p w14:paraId="09F22721" w14:textId="77777777" w:rsidR="00DE646A" w:rsidRPr="00DE646A" w:rsidRDefault="00DE646A" w:rsidP="00DE646A">
      <w:pPr>
        <w:bidi/>
        <w:jc w:val="both"/>
        <w:rPr>
          <w:rFonts w:ascii="Traditional Arabic" w:hAnsi="Traditional Arabic" w:cs="Traditional Arabic"/>
          <w:sz w:val="30"/>
          <w:szCs w:val="30"/>
          <w:rtl/>
        </w:rPr>
      </w:pPr>
      <w:r w:rsidRPr="00DE646A">
        <w:rPr>
          <w:rFonts w:ascii="Traditional Arabic" w:hAnsi="Traditional Arabic" w:cs="Traditional Arabic"/>
          <w:sz w:val="30"/>
          <w:szCs w:val="30"/>
          <w:rtl/>
        </w:rPr>
        <w:t>بناء سجل الأوامر هو إجراء يستخدم لتحديد سعر سهم الطرح بناء على الطلب الفعلي، فهي آلية تفاعلية ينقل من خلالها المستثمرون المؤسسيون مؤشرات الطلب والأسعار التي يفضلونها إلى مديري سجل الاكتتاب. و</w:t>
      </w:r>
      <w:r w:rsidRPr="00DE646A">
        <w:rPr>
          <w:rFonts w:ascii="Traditional Arabic" w:hAnsi="Traditional Arabic" w:cs="Traditional Arabic"/>
          <w:sz w:val="30"/>
          <w:szCs w:val="30"/>
          <w:rtl/>
          <w:lang w:bidi="ar-EG"/>
        </w:rPr>
        <w:t xml:space="preserve">على عكس "السعر الثابت" المحدد في أي إصدار على أنه سعر السهم، فمن المهم ملاحظة أن هذا الطرح قد تم على أساس النطاق السعري (أعلى سعر وأقل سعر لسهم الطرح)؛ وبها يتم تحديد سعر الطرح من خلال عملية بناء سجل الأوامر، وقد </w:t>
      </w:r>
      <w:r w:rsidRPr="00DE646A">
        <w:rPr>
          <w:rFonts w:ascii="Traditional Arabic" w:hAnsi="Traditional Arabic" w:cs="Traditional Arabic"/>
          <w:sz w:val="30"/>
          <w:szCs w:val="30"/>
          <w:rtl/>
        </w:rPr>
        <w:t xml:space="preserve">تم استخدم بناء سجل الأوامر على نطاق واسع في الأسواق الدولية الأخرى، وقد استُخدم داخل سلطنة عُمان في بعض طروحات الاكتتاب السابقة. </w:t>
      </w:r>
    </w:p>
    <w:p w14:paraId="29D3CFB7" w14:textId="77777777" w:rsidR="00DE646A" w:rsidRPr="00DE646A" w:rsidRDefault="00DE646A" w:rsidP="00DE646A">
      <w:pPr>
        <w:bidi/>
        <w:jc w:val="both"/>
        <w:rPr>
          <w:rFonts w:ascii="Traditional Arabic" w:hAnsi="Traditional Arabic" w:cs="Traditional Arabic"/>
          <w:sz w:val="30"/>
          <w:szCs w:val="30"/>
        </w:rPr>
      </w:pPr>
    </w:p>
    <w:p w14:paraId="3DD47832" w14:textId="77777777" w:rsidR="00DE646A" w:rsidRPr="00DE646A" w:rsidRDefault="00DE646A" w:rsidP="00DE646A">
      <w:pPr>
        <w:bidi/>
        <w:jc w:val="both"/>
        <w:rPr>
          <w:rFonts w:ascii="Traditional Arabic" w:hAnsi="Traditional Arabic" w:cs="Traditional Arabic"/>
          <w:sz w:val="30"/>
          <w:szCs w:val="30"/>
          <w:rtl/>
        </w:rPr>
      </w:pPr>
      <w:r w:rsidRPr="00DE646A">
        <w:rPr>
          <w:rFonts w:ascii="Traditional Arabic" w:hAnsi="Traditional Arabic" w:cs="Traditional Arabic"/>
          <w:sz w:val="30"/>
          <w:szCs w:val="30"/>
          <w:rtl/>
          <w:lang w:bidi="ar-OM"/>
        </w:rPr>
        <w:t xml:space="preserve">لقد </w:t>
      </w:r>
      <w:r w:rsidRPr="00DE646A">
        <w:rPr>
          <w:rFonts w:ascii="Traditional Arabic" w:hAnsi="Traditional Arabic" w:cs="Traditional Arabic"/>
          <w:sz w:val="30"/>
          <w:szCs w:val="30"/>
          <w:rtl/>
        </w:rPr>
        <w:t xml:space="preserve">جمع </w:t>
      </w:r>
      <w:r w:rsidR="00C7022E">
        <w:rPr>
          <w:rFonts w:ascii="Traditional Arabic" w:hAnsi="Traditional Arabic" w:cs="Traditional Arabic" w:hint="cs"/>
          <w:sz w:val="30"/>
          <w:szCs w:val="30"/>
          <w:rtl/>
        </w:rPr>
        <w:t>المنسق العالمي المشترك</w:t>
      </w:r>
      <w:r w:rsidRPr="00DE646A">
        <w:rPr>
          <w:rFonts w:ascii="Traditional Arabic" w:hAnsi="Traditional Arabic" w:cs="Traditional Arabic"/>
          <w:sz w:val="30"/>
          <w:szCs w:val="30"/>
          <w:rtl/>
        </w:rPr>
        <w:t xml:space="preserve"> تعليقات من مقدمي طلبات الفئة الأولى حول وجهات نظرهم حول وضع الشركة ونقاط قوتها وضعفها وتقييم الشركة، ثم قام </w:t>
      </w:r>
      <w:r w:rsidR="000861C6">
        <w:rPr>
          <w:rFonts w:ascii="Traditional Arabic" w:hAnsi="Traditional Arabic" w:cs="Traditional Arabic"/>
          <w:sz w:val="30"/>
          <w:szCs w:val="30"/>
          <w:rtl/>
        </w:rPr>
        <w:t>المساهم البائع</w:t>
      </w:r>
      <w:r w:rsidRPr="00DE646A">
        <w:rPr>
          <w:rFonts w:ascii="Traditional Arabic" w:hAnsi="Traditional Arabic" w:cs="Traditional Arabic"/>
          <w:sz w:val="30"/>
          <w:szCs w:val="30"/>
          <w:rtl/>
        </w:rPr>
        <w:t xml:space="preserve"> بتقييم المعلومات التي تم جمعها خلال هذه المرحلة مع المنسق العالمي المشترك لتحديد النطاق السعري.</w:t>
      </w:r>
    </w:p>
    <w:p w14:paraId="1B13F267" w14:textId="77777777" w:rsidR="00DE646A" w:rsidRPr="00DE646A" w:rsidRDefault="00DE646A" w:rsidP="00DE646A">
      <w:pPr>
        <w:bidi/>
        <w:jc w:val="both"/>
        <w:rPr>
          <w:rFonts w:ascii="Traditional Arabic" w:hAnsi="Traditional Arabic" w:cs="Traditional Arabic"/>
          <w:sz w:val="30"/>
          <w:szCs w:val="30"/>
          <w:lang w:val="en-GB"/>
        </w:rPr>
      </w:pPr>
    </w:p>
    <w:p w14:paraId="674723E5" w14:textId="77777777" w:rsidR="00DE646A" w:rsidRPr="00DE646A" w:rsidRDefault="00DE646A" w:rsidP="00DE646A">
      <w:pPr>
        <w:bidi/>
        <w:jc w:val="both"/>
        <w:rPr>
          <w:rFonts w:ascii="Traditional Arabic" w:hAnsi="Traditional Arabic" w:cs="Traditional Arabic"/>
          <w:sz w:val="30"/>
          <w:szCs w:val="30"/>
          <w:rtl/>
        </w:rPr>
      </w:pPr>
      <w:r w:rsidRPr="00DE646A">
        <w:rPr>
          <w:rFonts w:ascii="Traditional Arabic" w:hAnsi="Traditional Arabic" w:cs="Traditional Arabic"/>
          <w:sz w:val="30"/>
          <w:szCs w:val="30"/>
          <w:rtl/>
        </w:rPr>
        <w:t xml:space="preserve">خلال فترة طرح الفئة الأولى، سيستخدم </w:t>
      </w:r>
      <w:r w:rsidR="000861C6">
        <w:rPr>
          <w:rFonts w:ascii="Traditional Arabic" w:hAnsi="Traditional Arabic" w:cs="Traditional Arabic"/>
          <w:sz w:val="30"/>
          <w:szCs w:val="30"/>
          <w:rtl/>
        </w:rPr>
        <w:t>المساهم البائع</w:t>
      </w:r>
      <w:r w:rsidRPr="00DE646A">
        <w:rPr>
          <w:rFonts w:ascii="Traditional Arabic" w:hAnsi="Traditional Arabic" w:cs="Traditional Arabic"/>
          <w:sz w:val="30"/>
          <w:szCs w:val="30"/>
          <w:rtl/>
        </w:rPr>
        <w:t>، بالتشاور مع المنسق العالمي المشترك، المعلومات الواردة من مقدمي طلبات الفئة الأولى لتحديد سعر الطرح، وبالتالي تحقيق التوازن بين الطلب والسعر ومراعاة ظروف السوق وتقدير مقدمي طلبات الاكتتاب من الفئة الأولى لتقييم الشركة. وعند إغلاق الاكتتاب في الفئة الأولى، سيجتمع المنسق العالمي المشترك ب</w:t>
      </w:r>
      <w:r w:rsidR="000861C6">
        <w:rPr>
          <w:rFonts w:ascii="Traditional Arabic" w:hAnsi="Traditional Arabic" w:cs="Traditional Arabic"/>
          <w:sz w:val="30"/>
          <w:szCs w:val="30"/>
          <w:rtl/>
        </w:rPr>
        <w:t>المساهم البائع</w:t>
      </w:r>
      <w:r w:rsidRPr="00DE646A">
        <w:rPr>
          <w:rFonts w:ascii="Traditional Arabic" w:hAnsi="Traditional Arabic" w:cs="Traditional Arabic"/>
          <w:sz w:val="30"/>
          <w:szCs w:val="30"/>
          <w:rtl/>
        </w:rPr>
        <w:t xml:space="preserve"> لتحليل سجل الاكتتاب، بما في ذلك الطلب الإجمالي وعدد أسهم الطرح المطلوبة عند كل سعر ضمن النطاق السعري والاتفاق</w:t>
      </w:r>
      <w:r w:rsidR="00AE2056">
        <w:rPr>
          <w:rFonts w:ascii="Traditional Arabic" w:hAnsi="Traditional Arabic" w:cs="Traditional Arabic"/>
          <w:sz w:val="30"/>
          <w:szCs w:val="30"/>
        </w:rPr>
        <w:t xml:space="preserve"> </w:t>
      </w:r>
      <w:r w:rsidR="00AE2056">
        <w:rPr>
          <w:rFonts w:ascii="Traditional Arabic" w:hAnsi="Traditional Arabic" w:cs="Traditional Arabic" w:hint="cs"/>
          <w:sz w:val="30"/>
          <w:szCs w:val="30"/>
          <w:rtl/>
        </w:rPr>
        <w:t>مع الهيئة</w:t>
      </w:r>
      <w:r w:rsidR="007D108E">
        <w:rPr>
          <w:rFonts w:ascii="Traditional Arabic" w:hAnsi="Traditional Arabic" w:cs="Traditional Arabic" w:hint="cs"/>
          <w:sz w:val="30"/>
          <w:szCs w:val="30"/>
          <w:rtl/>
        </w:rPr>
        <w:t xml:space="preserve"> </w:t>
      </w:r>
      <w:r w:rsidRPr="00DE646A">
        <w:rPr>
          <w:rFonts w:ascii="Traditional Arabic" w:hAnsi="Traditional Arabic" w:cs="Traditional Arabic"/>
          <w:sz w:val="30"/>
          <w:szCs w:val="30"/>
          <w:rtl/>
        </w:rPr>
        <w:t>على سعر الطرح، والذي قد يكون بنفس السعر أو أقل منه إذا زاد الطلب الإجمالي على عدد الأسهم المطروحة.</w:t>
      </w:r>
    </w:p>
    <w:p w14:paraId="2F38F729" w14:textId="77777777" w:rsidR="00DE646A" w:rsidRPr="00DE646A" w:rsidRDefault="00DE646A" w:rsidP="00DE646A">
      <w:pPr>
        <w:bidi/>
        <w:jc w:val="both"/>
        <w:rPr>
          <w:rFonts w:ascii="Traditional Arabic" w:hAnsi="Traditional Arabic" w:cs="Traditional Arabic"/>
          <w:sz w:val="30"/>
          <w:szCs w:val="30"/>
          <w:lang w:val="en-GB"/>
        </w:rPr>
      </w:pPr>
      <w:r w:rsidRPr="00DE646A">
        <w:rPr>
          <w:rFonts w:ascii="Traditional Arabic" w:hAnsi="Traditional Arabic" w:cs="Traditional Arabic"/>
          <w:sz w:val="30"/>
          <w:szCs w:val="30"/>
          <w:rtl/>
        </w:rPr>
        <w:t xml:space="preserve"> </w:t>
      </w:r>
    </w:p>
    <w:p w14:paraId="376EBA1C" w14:textId="77777777" w:rsidR="00DE646A" w:rsidRPr="00DE646A" w:rsidRDefault="00DE646A" w:rsidP="00DE646A">
      <w:pPr>
        <w:bidi/>
        <w:jc w:val="both"/>
        <w:rPr>
          <w:rFonts w:ascii="Traditional Arabic" w:hAnsi="Traditional Arabic" w:cs="Traditional Arabic"/>
          <w:sz w:val="30"/>
          <w:szCs w:val="30"/>
          <w:lang w:val="en-GB"/>
        </w:rPr>
      </w:pPr>
      <w:r w:rsidRPr="00DE646A">
        <w:rPr>
          <w:rFonts w:ascii="Traditional Arabic" w:hAnsi="Traditional Arabic" w:cs="Traditional Arabic"/>
          <w:sz w:val="30"/>
          <w:szCs w:val="30"/>
          <w:rtl/>
        </w:rPr>
        <w:t>وأما بالنسبة لمستثمري الفئة الثانية فإنهم سيتبعون إجراءات الاكتتاب المعتادة بالسعر الثابت المحدد، باستثناء ما يلي:</w:t>
      </w:r>
    </w:p>
    <w:p w14:paraId="2DE69253" w14:textId="77777777" w:rsidR="00DE646A" w:rsidRPr="00DE646A" w:rsidRDefault="00DE646A" w:rsidP="00922116">
      <w:pPr>
        <w:numPr>
          <w:ilvl w:val="0"/>
          <w:numId w:val="41"/>
        </w:numPr>
        <w:bidi/>
        <w:jc w:val="both"/>
        <w:rPr>
          <w:rFonts w:ascii="Traditional Arabic" w:hAnsi="Traditional Arabic" w:cs="Traditional Arabic"/>
          <w:sz w:val="30"/>
          <w:szCs w:val="30"/>
          <w:lang w:val="en-GB"/>
        </w:rPr>
      </w:pPr>
      <w:r w:rsidRPr="00DE646A">
        <w:rPr>
          <w:rFonts w:ascii="Traditional Arabic" w:hAnsi="Traditional Arabic" w:cs="Traditional Arabic"/>
          <w:sz w:val="30"/>
          <w:szCs w:val="30"/>
          <w:rtl/>
        </w:rPr>
        <w:t xml:space="preserve">سيقدم </w:t>
      </w:r>
      <w:r w:rsidR="00BD1922" w:rsidRPr="00DE646A">
        <w:rPr>
          <w:rFonts w:ascii="Traditional Arabic" w:hAnsi="Traditional Arabic" w:cs="Traditional Arabic" w:hint="cs"/>
          <w:sz w:val="30"/>
          <w:szCs w:val="30"/>
          <w:rtl/>
        </w:rPr>
        <w:t>مستثمر</w:t>
      </w:r>
      <w:r w:rsidR="00BD1922">
        <w:rPr>
          <w:rFonts w:ascii="Traditional Arabic" w:hAnsi="Traditional Arabic" w:cs="Traditional Arabic" w:hint="cs"/>
          <w:sz w:val="30"/>
          <w:szCs w:val="30"/>
          <w:rtl/>
        </w:rPr>
        <w:t>و</w:t>
      </w:r>
      <w:r w:rsidR="00BD1922" w:rsidRPr="00DE646A">
        <w:rPr>
          <w:rFonts w:ascii="Traditional Arabic" w:hAnsi="Traditional Arabic" w:cs="Traditional Arabic" w:hint="cs"/>
          <w:sz w:val="30"/>
          <w:szCs w:val="30"/>
          <w:rtl/>
        </w:rPr>
        <w:t xml:space="preserve"> </w:t>
      </w:r>
      <w:r w:rsidRPr="00DE646A">
        <w:rPr>
          <w:rFonts w:ascii="Traditional Arabic" w:hAnsi="Traditional Arabic" w:cs="Traditional Arabic" w:hint="cs"/>
          <w:sz w:val="30"/>
          <w:szCs w:val="30"/>
          <w:rtl/>
        </w:rPr>
        <w:t xml:space="preserve">الفئة الثانية </w:t>
      </w:r>
      <w:r w:rsidRPr="00DE646A">
        <w:rPr>
          <w:rFonts w:ascii="Traditional Arabic" w:hAnsi="Traditional Arabic" w:cs="Traditional Arabic"/>
          <w:sz w:val="30"/>
          <w:szCs w:val="30"/>
          <w:rtl/>
        </w:rPr>
        <w:t xml:space="preserve">طلبات اكتتابهم إلى وكلاء التحصيل </w:t>
      </w:r>
      <w:r w:rsidR="00807674">
        <w:rPr>
          <w:rFonts w:ascii="Traditional Arabic" w:hAnsi="Traditional Arabic" w:cs="Traditional Arabic" w:hint="cs"/>
          <w:sz w:val="30"/>
          <w:szCs w:val="30"/>
          <w:rtl/>
        </w:rPr>
        <w:t>و</w:t>
      </w:r>
      <w:r w:rsidR="003F61A7">
        <w:rPr>
          <w:rFonts w:ascii="Traditional Arabic" w:hAnsi="Traditional Arabic" w:cs="Traditional Arabic" w:hint="cs"/>
          <w:sz w:val="30"/>
          <w:szCs w:val="30"/>
          <w:rtl/>
        </w:rPr>
        <w:t xml:space="preserve">سيشترون </w:t>
      </w:r>
      <w:r w:rsidR="00137D6E">
        <w:rPr>
          <w:rFonts w:ascii="Traditional Arabic" w:hAnsi="Traditional Arabic" w:cs="Traditional Arabic" w:hint="cs"/>
          <w:sz w:val="30"/>
          <w:szCs w:val="30"/>
          <w:rtl/>
        </w:rPr>
        <w:t>اسهم الطرح بسعر الطرح، والذي سيتم تحديده من قبل المساهم البائع</w:t>
      </w:r>
      <w:r w:rsidR="00C53C10">
        <w:rPr>
          <w:rFonts w:ascii="Traditional Arabic" w:hAnsi="Traditional Arabic" w:cs="Traditional Arabic" w:hint="cs"/>
          <w:sz w:val="30"/>
          <w:szCs w:val="30"/>
          <w:rtl/>
        </w:rPr>
        <w:t xml:space="preserve"> بالتشاور مع المنسق العالمي المشترك، وذلك بعد اكتمال عملية بناء سجل الاوامر لل</w:t>
      </w:r>
      <w:r w:rsidR="00742CBC">
        <w:rPr>
          <w:rFonts w:ascii="Traditional Arabic" w:hAnsi="Traditional Arabic" w:cs="Traditional Arabic" w:hint="cs"/>
          <w:sz w:val="30"/>
          <w:szCs w:val="30"/>
          <w:rtl/>
        </w:rPr>
        <w:t>فئة الأولى.</w:t>
      </w:r>
    </w:p>
    <w:p w14:paraId="01883EF1" w14:textId="77777777" w:rsidR="00DE646A" w:rsidRPr="00DE646A" w:rsidRDefault="00DE646A" w:rsidP="00922116">
      <w:pPr>
        <w:numPr>
          <w:ilvl w:val="0"/>
          <w:numId w:val="41"/>
        </w:numPr>
        <w:bidi/>
        <w:jc w:val="both"/>
        <w:rPr>
          <w:rFonts w:ascii="Traditional Arabic" w:hAnsi="Traditional Arabic" w:cs="Traditional Arabic"/>
          <w:b/>
          <w:bCs/>
          <w:sz w:val="30"/>
          <w:szCs w:val="30"/>
        </w:rPr>
      </w:pPr>
      <w:r w:rsidRPr="00DE646A">
        <w:rPr>
          <w:rFonts w:ascii="Traditional Arabic" w:hAnsi="Traditional Arabic" w:cs="Traditional Arabic"/>
          <w:sz w:val="30"/>
          <w:szCs w:val="30"/>
          <w:rtl/>
        </w:rPr>
        <w:lastRenderedPageBreak/>
        <w:t xml:space="preserve">يتم احتساب أي مبالغ مستردة مستحقة لكل مقدم طلب </w:t>
      </w:r>
      <w:r w:rsidRPr="00DE646A">
        <w:rPr>
          <w:rFonts w:ascii="Traditional Arabic" w:hAnsi="Traditional Arabic" w:cs="Traditional Arabic" w:hint="cs"/>
          <w:sz w:val="30"/>
          <w:szCs w:val="30"/>
          <w:rtl/>
        </w:rPr>
        <w:t xml:space="preserve">من </w:t>
      </w:r>
      <w:r w:rsidRPr="00DE646A">
        <w:rPr>
          <w:rFonts w:ascii="Traditional Arabic" w:hAnsi="Traditional Arabic" w:cs="Traditional Arabic"/>
          <w:sz w:val="30"/>
          <w:szCs w:val="30"/>
          <w:rtl/>
        </w:rPr>
        <w:t>الفئة الثانية</w:t>
      </w:r>
      <w:r w:rsidRPr="00DE646A">
        <w:rPr>
          <w:rFonts w:ascii="Traditional Arabic" w:hAnsi="Traditional Arabic" w:cs="Traditional Arabic" w:hint="cs"/>
          <w:sz w:val="30"/>
          <w:szCs w:val="30"/>
          <w:rtl/>
        </w:rPr>
        <w:t xml:space="preserve"> </w:t>
      </w:r>
      <w:r w:rsidRPr="00DE646A">
        <w:rPr>
          <w:rFonts w:ascii="Traditional Arabic" w:hAnsi="Traditional Arabic" w:cs="Traditional Arabic"/>
          <w:sz w:val="30"/>
          <w:szCs w:val="30"/>
          <w:rtl/>
        </w:rPr>
        <w:t>بناء على الفرق بين (1) مبلغ طلب الاكتتاب في الفئة الثانية الذي دفعه مقدم الطلب من الفئة الثانية، و(2) عدد أسهم الطرح المخصصة لمقدم الطلب من الفئة الثانية مضروبا في سعر الطرح</w:t>
      </w:r>
      <w:r w:rsidR="000D262B">
        <w:rPr>
          <w:rFonts w:ascii="Traditional Arabic" w:hAnsi="Traditional Arabic" w:cs="Traditional Arabic" w:hint="cs"/>
          <w:sz w:val="30"/>
          <w:szCs w:val="30"/>
          <w:rtl/>
        </w:rPr>
        <w:t>.</w:t>
      </w:r>
    </w:p>
    <w:p w14:paraId="62E34D49" w14:textId="77777777" w:rsidR="00DE646A" w:rsidRPr="00DE646A" w:rsidRDefault="00DE646A" w:rsidP="00DE646A">
      <w:pPr>
        <w:bidi/>
        <w:jc w:val="both"/>
        <w:rPr>
          <w:rFonts w:ascii="Traditional Arabic" w:hAnsi="Traditional Arabic" w:cs="Traditional Arabic"/>
          <w:b/>
          <w:bCs/>
          <w:sz w:val="30"/>
          <w:szCs w:val="30"/>
          <w:rtl/>
        </w:rPr>
      </w:pPr>
    </w:p>
    <w:p w14:paraId="4518CA07" w14:textId="77777777" w:rsidR="00DE646A" w:rsidRPr="00DE646A" w:rsidRDefault="00DE646A" w:rsidP="00DE646A">
      <w:pPr>
        <w:bidi/>
        <w:jc w:val="both"/>
        <w:rPr>
          <w:rFonts w:ascii="Traditional Arabic" w:hAnsi="Traditional Arabic" w:cs="Traditional Arabic"/>
          <w:b/>
          <w:sz w:val="30"/>
          <w:szCs w:val="30"/>
          <w:lang w:val="en-GB"/>
        </w:rPr>
      </w:pPr>
      <w:r w:rsidRPr="00DE646A">
        <w:rPr>
          <w:rFonts w:ascii="Traditional Arabic" w:hAnsi="Traditional Arabic" w:cs="Traditional Arabic"/>
          <w:b/>
          <w:bCs/>
          <w:sz w:val="30"/>
          <w:szCs w:val="30"/>
          <w:rtl/>
        </w:rPr>
        <w:t>عملية التخصيص</w:t>
      </w:r>
    </w:p>
    <w:p w14:paraId="630B520C" w14:textId="77777777" w:rsidR="00360952" w:rsidRDefault="00360952" w:rsidP="00DE646A">
      <w:pPr>
        <w:bidi/>
        <w:jc w:val="both"/>
        <w:rPr>
          <w:rFonts w:ascii="Traditional Arabic" w:hAnsi="Traditional Arabic" w:cs="Traditional Arabic"/>
          <w:sz w:val="30"/>
          <w:szCs w:val="30"/>
          <w:rtl/>
        </w:rPr>
      </w:pPr>
      <w:r w:rsidRPr="00360952">
        <w:rPr>
          <w:rFonts w:ascii="Traditional Arabic" w:hAnsi="Traditional Arabic" w:cs="Traditional Arabic"/>
          <w:sz w:val="30"/>
          <w:szCs w:val="30"/>
          <w:rtl/>
        </w:rPr>
        <w:t>وسيتم تخصيص أسهم الطرح لمقدمي الطلبات من الفئة الأولى من قبل المساهم البائع بالتشاور مع المنسق العالمي المشترك، ويجب أن تستند إلى معايير معينة وآلية تخصيص. ستشمل المعايير التي سينظر فيها المنسق العالمي المشترك والمساهم البائع ما يلي: (1) نوع المستثمر، بما في ذلك ملف الاستثمار وحصة الاستثمار في القطاع الذي تعمل فيه الشركة؛ (2) حجم المستثمر، بما في ذلك الأصول الخاضعة للإدارة؛ (3) الرؤى النوعية حول سلوك المستثمر، بما في ذلك المشاركة في الطروحات السابقة وأنماط الملكية في الطروحات السابقة؛ (4) مشاركة المستثمرين ومشاركتهم في عملية تسويق العرض؛ و (5) إمكانية خلق سيولة ما بعد الطرح. قد تؤثر المعايير المذكورة أعلاه، بالإضافة إلى مستوى الطلب في طرح الفئة الأولى، على النسبة المئوية لتخصيص إجمالي الطلبات لمقدمي طلبات الفئة الأولى.</w:t>
      </w:r>
    </w:p>
    <w:p w14:paraId="44577897" w14:textId="77777777" w:rsidR="00360952" w:rsidRDefault="00360952" w:rsidP="00360952">
      <w:pPr>
        <w:bidi/>
        <w:jc w:val="both"/>
        <w:rPr>
          <w:rFonts w:ascii="Traditional Arabic" w:hAnsi="Traditional Arabic" w:cs="Traditional Arabic"/>
          <w:sz w:val="30"/>
          <w:szCs w:val="30"/>
          <w:rtl/>
        </w:rPr>
      </w:pPr>
    </w:p>
    <w:p w14:paraId="6ABA17B6" w14:textId="77777777" w:rsidR="00DE646A" w:rsidRDefault="00DE646A" w:rsidP="00DE646A">
      <w:pPr>
        <w:bidi/>
        <w:jc w:val="both"/>
        <w:rPr>
          <w:rFonts w:ascii="Traditional Arabic" w:hAnsi="Traditional Arabic" w:cs="Traditional Arabic"/>
          <w:sz w:val="30"/>
          <w:szCs w:val="30"/>
          <w:rtl/>
        </w:rPr>
      </w:pPr>
      <w:r w:rsidRPr="00DE646A">
        <w:rPr>
          <w:rFonts w:ascii="Traditional Arabic" w:hAnsi="Traditional Arabic" w:cs="Traditional Arabic"/>
          <w:sz w:val="30"/>
          <w:szCs w:val="30"/>
          <w:rtl/>
        </w:rPr>
        <w:t xml:space="preserve">يرجى الرجوع إلى أساس التخصيص في </w:t>
      </w:r>
      <w:r w:rsidRPr="00DE646A">
        <w:rPr>
          <w:rFonts w:ascii="Traditional Arabic" w:hAnsi="Traditional Arabic" w:cs="Traditional Arabic"/>
          <w:i/>
          <w:iCs/>
          <w:sz w:val="30"/>
          <w:szCs w:val="30"/>
          <w:rtl/>
        </w:rPr>
        <w:t xml:space="preserve">الفصل </w:t>
      </w:r>
      <w:r w:rsidRPr="00DE646A">
        <w:rPr>
          <w:rFonts w:ascii="Traditional Arabic" w:hAnsi="Traditional Arabic" w:cs="Traditional Arabic" w:hint="cs"/>
          <w:i/>
          <w:iCs/>
          <w:sz w:val="30"/>
          <w:szCs w:val="30"/>
          <w:rtl/>
        </w:rPr>
        <w:t>التاسع عشر</w:t>
      </w:r>
      <w:r w:rsidRPr="00DE646A">
        <w:rPr>
          <w:rFonts w:ascii="Traditional Arabic" w:hAnsi="Traditional Arabic" w:cs="Traditional Arabic"/>
          <w:i/>
          <w:iCs/>
          <w:sz w:val="30"/>
          <w:szCs w:val="30"/>
          <w:rtl/>
        </w:rPr>
        <w:t xml:space="preserve"> بعنوان – شروط الاكتتاب</w:t>
      </w:r>
      <w:r w:rsidRPr="00DE646A">
        <w:rPr>
          <w:rFonts w:ascii="Traditional Arabic" w:hAnsi="Traditional Arabic" w:cs="Traditional Arabic"/>
          <w:sz w:val="30"/>
          <w:szCs w:val="30"/>
          <w:rtl/>
        </w:rPr>
        <w:t xml:space="preserve"> وإجراءاته لمزيد من التفاصيل حول إجراءات التخصيص للمستثمرين من الفئة الثانية.</w:t>
      </w:r>
    </w:p>
    <w:p w14:paraId="002C9FAD" w14:textId="77777777" w:rsidR="00DE646A" w:rsidRDefault="00DE646A" w:rsidP="00DE646A">
      <w:pPr>
        <w:bidi/>
        <w:jc w:val="both"/>
        <w:rPr>
          <w:rFonts w:ascii="Traditional Arabic" w:hAnsi="Traditional Arabic" w:cs="Traditional Arabic"/>
          <w:sz w:val="30"/>
          <w:szCs w:val="30"/>
          <w:rtl/>
        </w:rPr>
      </w:pPr>
    </w:p>
    <w:p w14:paraId="4AF65B4E" w14:textId="77777777" w:rsidR="00DC7BAE" w:rsidRDefault="00DC7BAE" w:rsidP="00DC7BAE">
      <w:pPr>
        <w:bidi/>
        <w:jc w:val="both"/>
        <w:rPr>
          <w:rFonts w:ascii="Traditional Arabic" w:hAnsi="Traditional Arabic" w:cs="Traditional Arabic"/>
          <w:sz w:val="30"/>
          <w:szCs w:val="30"/>
          <w:rtl/>
        </w:rPr>
      </w:pPr>
    </w:p>
    <w:p w14:paraId="6819A6A9" w14:textId="77777777" w:rsidR="001C32D3" w:rsidRPr="00EB5BCF" w:rsidRDefault="001C32D3">
      <w:pPr>
        <w:spacing w:after="160" w:line="259" w:lineRule="auto"/>
        <w:rPr>
          <w:rFonts w:ascii="Traditional Arabic" w:hAnsi="Traditional Arabic" w:cs="Traditional Arabic"/>
          <w:bCs/>
          <w:sz w:val="30"/>
          <w:szCs w:val="30"/>
          <w:rtl/>
          <w:lang w:bidi="ar-EG"/>
        </w:rPr>
      </w:pPr>
      <w:r w:rsidRPr="00EB5BCF">
        <w:rPr>
          <w:rFonts w:ascii="Traditional Arabic" w:hAnsi="Traditional Arabic" w:cs="Traditional Arabic"/>
          <w:bCs/>
          <w:sz w:val="30"/>
          <w:szCs w:val="30"/>
          <w:rtl/>
          <w:lang w:bidi="ar-EG"/>
        </w:rPr>
        <w:br w:type="page"/>
      </w:r>
    </w:p>
    <w:p w14:paraId="3B1B9C21" w14:textId="77777777" w:rsidR="007E4FC6" w:rsidRPr="00785453" w:rsidRDefault="007E4FC6" w:rsidP="007E4FC6">
      <w:pPr>
        <w:pStyle w:val="Title"/>
        <w:bidi/>
        <w:rPr>
          <w:rFonts w:ascii="Traditional Arabic" w:hAnsi="Traditional Arabic" w:cs="Traditional Arabic"/>
          <w:b w:val="0"/>
          <w:bCs/>
          <w:noProof/>
          <w:sz w:val="28"/>
          <w:szCs w:val="36"/>
        </w:rPr>
      </w:pPr>
      <w:r w:rsidRPr="00785453">
        <w:rPr>
          <w:rFonts w:ascii="Traditional Arabic" w:hAnsi="Traditional Arabic" w:cs="Traditional Arabic"/>
          <w:b w:val="0"/>
          <w:bCs/>
          <w:noProof/>
          <w:sz w:val="28"/>
          <w:szCs w:val="36"/>
          <w:rtl/>
        </w:rPr>
        <w:lastRenderedPageBreak/>
        <w:t xml:space="preserve">الفصل </w:t>
      </w:r>
      <w:r w:rsidR="00272B36">
        <w:rPr>
          <w:rFonts w:ascii="Traditional Arabic" w:hAnsi="Traditional Arabic" w:cs="Traditional Arabic" w:hint="cs"/>
          <w:b w:val="0"/>
          <w:bCs/>
          <w:noProof/>
          <w:sz w:val="28"/>
          <w:szCs w:val="36"/>
          <w:rtl/>
        </w:rPr>
        <w:t>الثاني</w:t>
      </w:r>
      <w:r w:rsidR="00272B36" w:rsidRPr="00785453">
        <w:rPr>
          <w:rFonts w:ascii="Traditional Arabic" w:hAnsi="Traditional Arabic" w:cs="Traditional Arabic"/>
          <w:b w:val="0"/>
          <w:bCs/>
          <w:noProof/>
          <w:sz w:val="28"/>
          <w:szCs w:val="36"/>
          <w:rtl/>
        </w:rPr>
        <w:t xml:space="preserve"> </w:t>
      </w:r>
      <w:r w:rsidRPr="00785453">
        <w:rPr>
          <w:rFonts w:ascii="Traditional Arabic" w:hAnsi="Traditional Arabic" w:cs="Traditional Arabic"/>
          <w:b w:val="0"/>
          <w:bCs/>
          <w:noProof/>
          <w:sz w:val="28"/>
          <w:szCs w:val="36"/>
          <w:rtl/>
        </w:rPr>
        <w:t>والعشرون</w:t>
      </w:r>
    </w:p>
    <w:p w14:paraId="2D4165B2" w14:textId="77777777" w:rsidR="007E4FC6" w:rsidRPr="00785453" w:rsidRDefault="007E4FC6" w:rsidP="007E4FC6">
      <w:pPr>
        <w:pStyle w:val="Heading2"/>
        <w:bidi/>
        <w:jc w:val="center"/>
        <w:rPr>
          <w:rFonts w:ascii="Traditional Arabic" w:hAnsi="Traditional Arabic" w:cs="Traditional Arabic"/>
          <w:b w:val="0"/>
          <w:bCs/>
          <w:color w:val="auto"/>
          <w:sz w:val="36"/>
          <w:szCs w:val="36"/>
        </w:rPr>
      </w:pPr>
      <w:bookmarkStart w:id="41" w:name="_Toc176782763"/>
      <w:r w:rsidRPr="00785453">
        <w:rPr>
          <w:rFonts w:ascii="Traditional Arabic" w:hAnsi="Traditional Arabic" w:cs="Traditional Arabic"/>
          <w:b w:val="0"/>
          <w:bCs/>
          <w:color w:val="auto"/>
          <w:sz w:val="36"/>
          <w:szCs w:val="36"/>
          <w:rtl/>
        </w:rPr>
        <w:t>منهجيات التقييم</w:t>
      </w:r>
      <w:bookmarkEnd w:id="41"/>
    </w:p>
    <w:p w14:paraId="40E730FC" w14:textId="77777777" w:rsidR="007E4FC6" w:rsidRPr="00785453" w:rsidRDefault="007E4FC6" w:rsidP="007E4FC6">
      <w:pPr>
        <w:bidi/>
        <w:jc w:val="both"/>
        <w:rPr>
          <w:rFonts w:cs="Times New Roman"/>
          <w:bCs/>
          <w:rtl/>
        </w:rPr>
      </w:pPr>
    </w:p>
    <w:p w14:paraId="004F0CCA" w14:textId="77777777" w:rsidR="007E4FC6" w:rsidRPr="00785453" w:rsidRDefault="007E4FC6" w:rsidP="007E4FC6">
      <w:pPr>
        <w:bidi/>
        <w:jc w:val="both"/>
        <w:rPr>
          <w:rFonts w:cs="Times New Roman"/>
          <w:bCs/>
          <w:rtl/>
        </w:rPr>
      </w:pPr>
    </w:p>
    <w:p w14:paraId="73AA61AB" w14:textId="77777777" w:rsidR="007E4FC6" w:rsidRPr="00785453" w:rsidRDefault="007E4FC6" w:rsidP="007E4FC6">
      <w:pPr>
        <w:bidi/>
        <w:spacing w:after="120"/>
        <w:jc w:val="both"/>
        <w:rPr>
          <w:rFonts w:ascii="Traditional Arabic" w:hAnsi="Traditional Arabic" w:cs="Traditional Arabic"/>
          <w:b/>
          <w:bCs/>
          <w:sz w:val="28"/>
          <w:szCs w:val="28"/>
        </w:rPr>
      </w:pPr>
      <w:r w:rsidRPr="00785453">
        <w:rPr>
          <w:rFonts w:ascii="Traditional Arabic" w:hAnsi="Traditional Arabic" w:cs="Traditional Arabic"/>
          <w:b/>
          <w:bCs/>
          <w:sz w:val="28"/>
          <w:szCs w:val="28"/>
          <w:rtl/>
        </w:rPr>
        <w:t>سعر الطرح</w:t>
      </w:r>
    </w:p>
    <w:p w14:paraId="6A71D77A"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 xml:space="preserve">قررت الشركة </w:t>
      </w:r>
      <w:r w:rsidR="002625BA">
        <w:rPr>
          <w:rFonts w:ascii="Traditional Arabic" w:hAnsi="Traditional Arabic" w:cs="Traditional Arabic" w:hint="cs"/>
          <w:sz w:val="28"/>
          <w:szCs w:val="28"/>
          <w:rtl/>
        </w:rPr>
        <w:t>والمساهم البائع</w:t>
      </w:r>
      <w:r w:rsidRPr="00785453">
        <w:rPr>
          <w:rFonts w:ascii="Traditional Arabic" w:hAnsi="Traditional Arabic" w:cs="Traditional Arabic"/>
          <w:sz w:val="28"/>
          <w:szCs w:val="28"/>
          <w:rtl/>
        </w:rPr>
        <w:t xml:space="preserve">، بالتشاور مع المنسق العالمي المشترك، أن يكون النطاق السعري ما بين </w:t>
      </w:r>
      <w:r w:rsidR="00B8539A">
        <w:rPr>
          <w:rFonts w:ascii="Traditional Arabic" w:hAnsi="Traditional Arabic" w:cs="Traditional Arabic" w:hint="cs"/>
          <w:sz w:val="28"/>
          <w:szCs w:val="28"/>
          <w:rtl/>
        </w:rPr>
        <w:t>117</w:t>
      </w:r>
      <w:r w:rsidR="00B8539A" w:rsidRPr="00785453">
        <w:rPr>
          <w:rFonts w:ascii="Traditional Arabic" w:hAnsi="Traditional Arabic" w:cs="Traditional Arabic"/>
          <w:sz w:val="28"/>
          <w:szCs w:val="28"/>
          <w:rtl/>
        </w:rPr>
        <w:t xml:space="preserve"> </w:t>
      </w:r>
      <w:r w:rsidRPr="00785453">
        <w:rPr>
          <w:rFonts w:ascii="Traditional Arabic" w:hAnsi="Traditional Arabic" w:cs="Traditional Arabic"/>
          <w:sz w:val="28"/>
          <w:szCs w:val="28"/>
          <w:rtl/>
        </w:rPr>
        <w:t xml:space="preserve">بيسة إلى </w:t>
      </w:r>
      <w:r w:rsidR="00B8539A">
        <w:rPr>
          <w:rFonts w:ascii="Traditional Arabic" w:hAnsi="Traditional Arabic" w:cs="Traditional Arabic" w:hint="cs"/>
          <w:sz w:val="28"/>
          <w:szCs w:val="28"/>
          <w:rtl/>
        </w:rPr>
        <w:t xml:space="preserve">123 </w:t>
      </w:r>
      <w:r w:rsidRPr="00785453">
        <w:rPr>
          <w:rFonts w:ascii="Traditional Arabic" w:hAnsi="Traditional Arabic" w:cs="Traditional Arabic"/>
          <w:sz w:val="28"/>
          <w:szCs w:val="28"/>
          <w:rtl/>
        </w:rPr>
        <w:t>بيسة لكل سهم من أسهم الطرح.</w:t>
      </w:r>
    </w:p>
    <w:p w14:paraId="2C646360"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 xml:space="preserve">قامت الشركة بعملية تثقيف وتسويق للمستثمرين مع مجموعة مختارة من المستثمرين المؤسسيين المحتملين في سلطنة عمان وعلى الصعيد الدولي من أجل الحصول على ملاحظات استرشدت بها في تحديد النطاق السعري للطرح، بالإضافة إلى عوامل أخرى منها: أهداف الشركة </w:t>
      </w:r>
      <w:r w:rsidR="002625BA">
        <w:rPr>
          <w:rFonts w:ascii="Traditional Arabic" w:hAnsi="Traditional Arabic" w:cs="Traditional Arabic" w:hint="cs"/>
          <w:sz w:val="28"/>
          <w:szCs w:val="28"/>
          <w:rtl/>
        </w:rPr>
        <w:t>والمساهم البائع</w:t>
      </w:r>
      <w:r w:rsidRPr="00785453">
        <w:rPr>
          <w:rFonts w:ascii="Traditional Arabic" w:hAnsi="Traditional Arabic" w:cs="Traditional Arabic"/>
          <w:sz w:val="28"/>
          <w:szCs w:val="28"/>
          <w:rtl/>
        </w:rPr>
        <w:t xml:space="preserve">. وعند تقديم هذه الملاحظات، أخذ هؤلاء المستثمرون المؤسسيون المحتملون في الاعتبار ظروف السوق الحالية ومجموعة من منهجيات التقييم التي يعتقدون أنها مناسبة في تقييم الشركة بشكل عادل أو التقييم الذي بموجبه سيكونون على استعداد للاكتتاب في أسهم الطرح. </w:t>
      </w:r>
    </w:p>
    <w:p w14:paraId="22451D9D" w14:textId="77777777" w:rsidR="007E4FC6" w:rsidRDefault="007E4FC6" w:rsidP="007E4FC6">
      <w:pPr>
        <w:bidi/>
        <w:spacing w:after="120"/>
        <w:jc w:val="both"/>
        <w:rPr>
          <w:rFonts w:ascii="Traditional Arabic" w:hAnsi="Traditional Arabic" w:cs="Traditional Arabic"/>
          <w:b/>
          <w:bCs/>
          <w:sz w:val="28"/>
          <w:szCs w:val="28"/>
          <w:rtl/>
        </w:rPr>
      </w:pPr>
    </w:p>
    <w:p w14:paraId="508DCB4E" w14:textId="77777777" w:rsidR="007E4FC6" w:rsidRPr="00785453" w:rsidRDefault="007E4FC6" w:rsidP="007E4FC6">
      <w:pPr>
        <w:bidi/>
        <w:spacing w:after="120"/>
        <w:jc w:val="both"/>
        <w:rPr>
          <w:rFonts w:ascii="Traditional Arabic" w:hAnsi="Traditional Arabic" w:cs="Traditional Arabic"/>
          <w:b/>
          <w:bCs/>
          <w:sz w:val="28"/>
          <w:szCs w:val="28"/>
        </w:rPr>
      </w:pPr>
      <w:r w:rsidRPr="00785453">
        <w:rPr>
          <w:rFonts w:ascii="Traditional Arabic" w:hAnsi="Traditional Arabic" w:cs="Traditional Arabic"/>
          <w:b/>
          <w:bCs/>
          <w:sz w:val="28"/>
          <w:szCs w:val="28"/>
          <w:rtl/>
        </w:rPr>
        <w:t xml:space="preserve">منهجيات التقييم </w:t>
      </w:r>
    </w:p>
    <w:p w14:paraId="6ABD3CCF"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 xml:space="preserve">هناك العديد من منهجيات التقييم التي يمكن استخدامها من قبل المستثمرين المحتملين. وقد ذكرنا فيما يلي بعض المنهجيات المحتملة - على سبيل المثال لا الحصر - التي يمكن للمستثمرين النظر فيها. </w:t>
      </w:r>
    </w:p>
    <w:p w14:paraId="78D2CA5B" w14:textId="77777777" w:rsidR="007E4FC6" w:rsidRDefault="007E4FC6" w:rsidP="007E4FC6">
      <w:pPr>
        <w:bidi/>
        <w:spacing w:after="120"/>
        <w:jc w:val="both"/>
        <w:rPr>
          <w:rFonts w:ascii="Traditional Arabic" w:hAnsi="Traditional Arabic" w:cs="Traditional Arabic"/>
          <w:b/>
          <w:bCs/>
          <w:sz w:val="28"/>
          <w:szCs w:val="28"/>
          <w:rtl/>
        </w:rPr>
      </w:pPr>
    </w:p>
    <w:p w14:paraId="49A9FA3F" w14:textId="77777777" w:rsidR="007E4FC6" w:rsidRPr="00785453" w:rsidRDefault="007E4FC6" w:rsidP="007E4FC6">
      <w:pPr>
        <w:bidi/>
        <w:spacing w:after="120"/>
        <w:jc w:val="both"/>
        <w:rPr>
          <w:rFonts w:ascii="Traditional Arabic" w:hAnsi="Traditional Arabic" w:cs="Traditional Arabic"/>
          <w:b/>
          <w:bCs/>
          <w:sz w:val="28"/>
          <w:szCs w:val="28"/>
        </w:rPr>
      </w:pPr>
      <w:r w:rsidRPr="00785453">
        <w:rPr>
          <w:rFonts w:ascii="Traditional Arabic" w:hAnsi="Traditional Arabic" w:cs="Traditional Arabic"/>
          <w:b/>
          <w:bCs/>
          <w:sz w:val="28"/>
          <w:szCs w:val="28"/>
          <w:rtl/>
        </w:rPr>
        <w:t>تحليل التدفقات النقدية المخصومة</w:t>
      </w:r>
    </w:p>
    <w:p w14:paraId="18F22006"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 xml:space="preserve">التدفقات المالية المخصومة هي طريقة تقييم تعمل على تقدير القيمة الحالية للشركة باستخدام وجهات نظر المستثمرين الخاصة عن التدفقات النقدية المستقبلية المتوقعة ومعدل الخصم. وتُخصم التدفقات النقدية المقدرة المستقبلية باستخدام معدل الخصم المفترض المشار إليه لحساب القيمة الحالية للشركة اليوم. هذا، ويتحمل المستثمرون مسؤولية تقدير افتراضاتهم الخاصة للتدفقات النقدية المستقبلية للشركة ومعدلات الخصم الخاصة بهم عند تقييم قيمة الشركة. وبالنسبة للفترات التي تتجاوز تقييمهم الخاص لفترة التدفق النقدي المتوقعة، فقد يلجأ المستثمرون إلى إجراء التقييم باستخدام معدل النمو الختامي الذي يمكن مقارنته مع الشركات النظيرة. </w:t>
      </w:r>
    </w:p>
    <w:p w14:paraId="1BC3578E" w14:textId="77777777" w:rsidR="007E4FC6" w:rsidRDefault="007E4FC6" w:rsidP="007E4FC6">
      <w:pPr>
        <w:bidi/>
        <w:spacing w:after="120"/>
        <w:jc w:val="both"/>
        <w:rPr>
          <w:rFonts w:ascii="Traditional Arabic" w:hAnsi="Traditional Arabic" w:cs="Traditional Arabic"/>
          <w:sz w:val="28"/>
          <w:szCs w:val="28"/>
          <w:rtl/>
        </w:rPr>
      </w:pPr>
    </w:p>
    <w:p w14:paraId="3002A01A"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وللمستثمر اختيار استخدام تحليل التدفقات النقدية المخصومة للأسباب التالية:</w:t>
      </w:r>
    </w:p>
    <w:p w14:paraId="6FC4E427"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يقوم هذا التحليل بتقييم القيمة الحقيقية للشركة، بالإضافة إلى قدرته على الإبانة عن عوامل الخاصة بالشركة وحدها.</w:t>
      </w:r>
    </w:p>
    <w:p w14:paraId="6F719CC8"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lastRenderedPageBreak/>
        <w:t>إنه تحليل يعتمد على النظرة المستقبلية وعلى التدفق النقدي، وبالتالي فهو قادر على مراعاة النمو المستقبلي المتوقع للشركة أو أي تغييرات متوقعة في أداء الشركة في المستقبل.</w:t>
      </w:r>
    </w:p>
    <w:p w14:paraId="7498A528"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وهو أقل تأثرًا بظروف السوق السائدة في أي فترة زمنية محددة.</w:t>
      </w:r>
    </w:p>
    <w:p w14:paraId="1F04DD27" w14:textId="77777777" w:rsidR="007E4FC6" w:rsidRDefault="007E4FC6" w:rsidP="007E4FC6">
      <w:pPr>
        <w:bidi/>
        <w:spacing w:after="120"/>
        <w:jc w:val="both"/>
        <w:rPr>
          <w:rFonts w:ascii="Traditional Arabic" w:hAnsi="Traditional Arabic" w:cs="Traditional Arabic"/>
          <w:sz w:val="28"/>
          <w:szCs w:val="28"/>
          <w:rtl/>
        </w:rPr>
      </w:pPr>
    </w:p>
    <w:p w14:paraId="18A4F11F"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يجب أن يكون المستثمرون على دراية بمخاطر معينة مرتبطة بتحليل التدفقات النقدية المخصومة، وهي تشمل على سبيل المثال لا الحصر:</w:t>
      </w:r>
    </w:p>
    <w:p w14:paraId="0AC2DE79"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التقييم حساس للغاية للافتراضات الأساسية المتعلقة بمصادر الإيرادات الرئيسية والتدفق النقدي والقيمة النهائية ومعدل الخصم.</w:t>
      </w:r>
    </w:p>
    <w:p w14:paraId="70DD81E0"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 xml:space="preserve">يعتمد التقييم على التوقعات طويلة الأجل التي قد لا يتم تقديرها بدقة أو التي قد لا تكون متاحة من محللي أبحاث الوسطاء في وقت معين. تخضع التوقعات أيضًا للتغيرات المستقبلية في عوامل الاقتصاد الكلي أو عوامل خاصة بالتقنية أو العوامل التنظيمية أو عوامل خاصة بالشركة. </w:t>
      </w:r>
    </w:p>
    <w:p w14:paraId="7CCC57DF"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يمكن أن تمثل القيمة النهائية جزءًا كبيرًا من إجمالي قيمة التدفقات النقدية المخصومة، مما يزيد من حساسية الافتراضات المتخذة لتوليد القيمة النهائية.</w:t>
      </w:r>
    </w:p>
    <w:p w14:paraId="4653FCA0" w14:textId="77777777" w:rsidR="007E4FC6" w:rsidRDefault="007E4FC6" w:rsidP="007E4FC6">
      <w:pPr>
        <w:bidi/>
        <w:spacing w:after="120"/>
        <w:jc w:val="both"/>
        <w:rPr>
          <w:rFonts w:ascii="Traditional Arabic" w:hAnsi="Traditional Arabic" w:cs="Traditional Arabic"/>
          <w:b/>
          <w:bCs/>
          <w:sz w:val="28"/>
          <w:szCs w:val="28"/>
          <w:rtl/>
        </w:rPr>
      </w:pPr>
    </w:p>
    <w:p w14:paraId="1F0F4E49" w14:textId="77777777" w:rsidR="007E4FC6" w:rsidRPr="00785453" w:rsidRDefault="007E4FC6" w:rsidP="007E4FC6">
      <w:pPr>
        <w:bidi/>
        <w:spacing w:after="120"/>
        <w:jc w:val="both"/>
        <w:rPr>
          <w:rFonts w:ascii="Traditional Arabic" w:hAnsi="Traditional Arabic" w:cs="Traditional Arabic"/>
          <w:b/>
          <w:bCs/>
          <w:sz w:val="28"/>
          <w:szCs w:val="28"/>
        </w:rPr>
      </w:pPr>
      <w:r w:rsidRPr="00785453">
        <w:rPr>
          <w:rFonts w:ascii="Traditional Arabic" w:hAnsi="Traditional Arabic" w:cs="Traditional Arabic"/>
          <w:b/>
          <w:bCs/>
          <w:sz w:val="28"/>
          <w:szCs w:val="28"/>
          <w:rtl/>
        </w:rPr>
        <w:t>تحليل الشركات المماثلة</w:t>
      </w:r>
    </w:p>
    <w:p w14:paraId="293AF6ED"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تحليل الشركات المماثلة هي منهجية تقييم نسبي تستخدم معايير التداول الحالية للشركات العامة المدرجة في البورصة والتي تعتبر قابلة للمقارنة لتحديد تقييم الشركة، حيث يمكن اتباع هذا النهج في قياس نسبة السعر إلى الأرباح، ونسبة قيمة المؤسسة إلى الأرباح قبل حساب الفوائد والضرائب والإهلاك والإطفاء، وقياس نسب أخرى. يمكن استخدام هذا النهج لقياس كل من الأداء التاريخي للشركة والأداء المقدر المستقبلي ومقارنته بالشركات المحتملة المماثلة التي يتم تحديدها (على سبيل المثال، تطبيق نسبة الشركات المماثلة لعام 2025 (بناءً على التقديرات المالية لعام 2025 للشركات المماثلة الصادرة عن محلل أو أكثر من محللي الأبحاث التابعين للوسطاء) على تقدير المستثمرين للأداء المالي للشركة لعام 2025)</w:t>
      </w:r>
    </w:p>
    <w:p w14:paraId="561FA29C" w14:textId="77777777" w:rsidR="007E4FC6" w:rsidRDefault="007E4FC6" w:rsidP="007E4FC6">
      <w:pPr>
        <w:bidi/>
        <w:spacing w:after="120"/>
        <w:jc w:val="both"/>
        <w:rPr>
          <w:rFonts w:ascii="Traditional Arabic" w:hAnsi="Traditional Arabic" w:cs="Traditional Arabic"/>
          <w:sz w:val="28"/>
          <w:szCs w:val="28"/>
          <w:rtl/>
        </w:rPr>
      </w:pPr>
    </w:p>
    <w:p w14:paraId="16AE2393"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وللمستثمر اختيار استخدام تحليل الشركات المماثلة لأنه:</w:t>
      </w:r>
    </w:p>
    <w:p w14:paraId="31977D45"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نهج أبسط يستخدم المعلومات المتاحة للجمهور.</w:t>
      </w:r>
    </w:p>
    <w:p w14:paraId="1BAD82C1"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يعتمد على نظرية كفاءة السوق (مع توقع إبانة تقييم التداول عن جميع المعلومات المتاحة للجمهور حول الشركات المماثلة).</w:t>
      </w:r>
    </w:p>
    <w:p w14:paraId="6A7DF2EA"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يأخذ في الاعتبار ظروف السوق السائدة.</w:t>
      </w:r>
    </w:p>
    <w:p w14:paraId="7CDCDBD0" w14:textId="77777777" w:rsidR="007E4FC6" w:rsidRDefault="007E4FC6" w:rsidP="007E4FC6">
      <w:pPr>
        <w:bidi/>
        <w:spacing w:after="120"/>
        <w:jc w:val="both"/>
        <w:rPr>
          <w:rFonts w:ascii="Traditional Arabic" w:hAnsi="Traditional Arabic" w:cs="Traditional Arabic"/>
          <w:sz w:val="28"/>
          <w:szCs w:val="28"/>
          <w:rtl/>
        </w:rPr>
      </w:pPr>
    </w:p>
    <w:p w14:paraId="3FE9AE7A"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lastRenderedPageBreak/>
        <w:t>يجب أن يكون المستثمرون على دراية بمخاطر معينة مرتبطة بتحليل الشركات المماثلة، وهي تشمل على سبيل المثال لا الحصر:</w:t>
      </w:r>
    </w:p>
    <w:p w14:paraId="02D7582A"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قد لا يكون من الممكن العثور على قائمة دقيقة بالشركات المماثلة.</w:t>
      </w:r>
    </w:p>
    <w:p w14:paraId="1A5DEE92"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سيعكس الأداء المالي لأي شركة فردية نضوج أصولها والشروط المالية التي تعمل بموجبها، والتي قد تختلف اختلافًا جوهريًا عن أي شركة مدرجة في البورصة.</w:t>
      </w:r>
    </w:p>
    <w:p w14:paraId="20960A12"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قد تتأثر نسب التداول الحالية للشركة بعوامل مرتبطة بالأسهم أو من خلال أسعار التداول الحالية غير الدقيقة بسبب انخفاض السيولة، وصغر حجم القيمة السوقية، ومحدودية الأبحاث، وتقديرات عام 2025، وغير ذلك.</w:t>
      </w:r>
    </w:p>
    <w:p w14:paraId="370D1368"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وقد لا يؤخذ في الاعتبار توقعات النمو المستقبلية (سواء كانت طبيعية أو غير طبيعية وعمليات الاندماج والاستحواذ) للشركات المماثلة.</w:t>
      </w:r>
    </w:p>
    <w:p w14:paraId="0BAE3F79"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قد يحتاج المستثمرون إلى إجراء تعديلات بسبب الاختلافات في المعايير أو السياسات المحاسبية، والبيئة الضريبية للشركات، وما إلى ذلك عبر الشركات المماثلة.</w:t>
      </w:r>
    </w:p>
    <w:p w14:paraId="36C5AB65" w14:textId="77777777" w:rsidR="007E4FC6" w:rsidRDefault="007E4FC6" w:rsidP="007E4FC6">
      <w:pPr>
        <w:bidi/>
        <w:spacing w:after="120"/>
        <w:jc w:val="both"/>
        <w:rPr>
          <w:rFonts w:ascii="Traditional Arabic" w:hAnsi="Traditional Arabic" w:cs="Traditional Arabic"/>
          <w:b/>
          <w:bCs/>
          <w:sz w:val="28"/>
          <w:szCs w:val="28"/>
          <w:rtl/>
        </w:rPr>
      </w:pPr>
    </w:p>
    <w:p w14:paraId="584D227F" w14:textId="77777777" w:rsidR="007E4FC6" w:rsidRPr="00785453" w:rsidRDefault="007E4FC6" w:rsidP="007E4FC6">
      <w:pPr>
        <w:bidi/>
        <w:spacing w:after="120"/>
        <w:jc w:val="both"/>
        <w:rPr>
          <w:rFonts w:ascii="Traditional Arabic" w:hAnsi="Traditional Arabic" w:cs="Traditional Arabic"/>
          <w:b/>
          <w:bCs/>
          <w:sz w:val="28"/>
          <w:szCs w:val="28"/>
        </w:rPr>
      </w:pPr>
      <w:r w:rsidRPr="00785453">
        <w:rPr>
          <w:rFonts w:ascii="Traditional Arabic" w:hAnsi="Traditional Arabic" w:cs="Traditional Arabic"/>
          <w:b/>
          <w:bCs/>
          <w:sz w:val="28"/>
          <w:szCs w:val="28"/>
          <w:rtl/>
        </w:rPr>
        <w:t xml:space="preserve">عائد توزيعات الأرباح </w:t>
      </w:r>
    </w:p>
    <w:p w14:paraId="2231560E"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عائد توزيعات الأرباح هو فرع عن منهجية تحليل الشركات المماثلة، حيث يأخذ المستثمر في الاعتبار عائد توزيعات الأرباح المتاح أو المتوقع الذي ستحققه الشركة. ويمكن مقارنة ذلك بعائد توزيعات الأرباح المتاحة من الشركات الأخرى المدرجة في البورصة أو مقارنته ب</w:t>
      </w:r>
      <w:r>
        <w:rPr>
          <w:rFonts w:ascii="Traditional Arabic" w:hAnsi="Traditional Arabic" w:cs="Traditional Arabic" w:hint="cs"/>
          <w:sz w:val="28"/>
          <w:szCs w:val="28"/>
          <w:rtl/>
        </w:rPr>
        <w:t>الأ</w:t>
      </w:r>
      <w:r w:rsidRPr="00785453">
        <w:rPr>
          <w:rFonts w:ascii="Traditional Arabic" w:hAnsi="Traditional Arabic" w:cs="Traditional Arabic"/>
          <w:sz w:val="28"/>
          <w:szCs w:val="28"/>
          <w:rtl/>
        </w:rPr>
        <w:t xml:space="preserve">دوات </w:t>
      </w:r>
      <w:r>
        <w:rPr>
          <w:rFonts w:ascii="Traditional Arabic" w:hAnsi="Traditional Arabic" w:cs="Traditional Arabic" w:hint="cs"/>
          <w:sz w:val="28"/>
          <w:szCs w:val="28"/>
          <w:rtl/>
        </w:rPr>
        <w:t xml:space="preserve">المالية </w:t>
      </w:r>
      <w:r w:rsidRPr="00785453">
        <w:rPr>
          <w:rFonts w:ascii="Traditional Arabic" w:hAnsi="Traditional Arabic" w:cs="Traditional Arabic"/>
          <w:sz w:val="28"/>
          <w:szCs w:val="28"/>
          <w:rtl/>
        </w:rPr>
        <w:t>المدرجة أو غيرها من فرص الاستثمار المحققة للفائدة. قد يتم استخدام عائد توزيعات الأرباح بشكل أكثر شيوعًا للشركات التي لديها سياسة توزيعات أرباح صريحة أو من المتوقع أن تقوم بتوزيع الأرباح على أساس منتظم في المستقبل.</w:t>
      </w:r>
    </w:p>
    <w:p w14:paraId="59BF0A7C" w14:textId="77777777" w:rsidR="007E4FC6" w:rsidRDefault="007E4FC6" w:rsidP="007E4FC6">
      <w:pPr>
        <w:bidi/>
        <w:spacing w:after="120"/>
        <w:jc w:val="both"/>
        <w:rPr>
          <w:rFonts w:ascii="Traditional Arabic" w:hAnsi="Traditional Arabic" w:cs="Traditional Arabic"/>
          <w:sz w:val="28"/>
          <w:szCs w:val="28"/>
          <w:rtl/>
        </w:rPr>
      </w:pPr>
    </w:p>
    <w:p w14:paraId="1102281E"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وللمستثمر اختيار استخدام عائد توزيعات الأرباح لأنه:</w:t>
      </w:r>
    </w:p>
    <w:p w14:paraId="1AC9BE0C"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يقدم نهجًا أبسط إذا وضعت الشركة سياسة توزيعات أرباح واضحة.</w:t>
      </w:r>
    </w:p>
    <w:p w14:paraId="488CA036"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قد يسمح أيضًا بإجراء مقارنة أبسط بين الشركات العامة الأخرى المدرجة بالإضافة إلى الأدوات المالية الأخرى المولدة للعائد.</w:t>
      </w:r>
    </w:p>
    <w:p w14:paraId="55EB06E4" w14:textId="77777777" w:rsidR="007E4FC6" w:rsidRDefault="007E4FC6" w:rsidP="007E4FC6">
      <w:pPr>
        <w:bidi/>
        <w:spacing w:after="120"/>
        <w:jc w:val="both"/>
        <w:rPr>
          <w:rFonts w:ascii="Traditional Arabic" w:hAnsi="Traditional Arabic" w:cs="Traditional Arabic"/>
          <w:sz w:val="28"/>
          <w:szCs w:val="28"/>
        </w:rPr>
      </w:pPr>
    </w:p>
    <w:p w14:paraId="34743969"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يجب أن يكون المستثمرون على دراية بمخاطر معينة مرتبطة بمنهجية عائد توزيعات الأرباح، وهي تشمل على سبيل المثال لا الحصر:</w:t>
      </w:r>
    </w:p>
    <w:p w14:paraId="69CB5027"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مدفوعات توزيعات الأرباح غير مضمونة في المستقبل، وقد تزيد أو تنخفض مقابل التوقعات أو التوجيهات من الشركة بناءً على عوامل السوق السائدة أو عوامل خاصة بالشركة.</w:t>
      </w:r>
    </w:p>
    <w:p w14:paraId="37CECE4C"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قد لا يأخذ في الحسبان النمو المتوقع في الشركة والذي يمثل قيمة زائدة بالإضافة إلى توزيع الأرباح.</w:t>
      </w:r>
    </w:p>
    <w:p w14:paraId="13CD0331"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lastRenderedPageBreak/>
        <w:t xml:space="preserve">قد يتأثر عائد توزيعات الأرباح بعوامل خارجية، بما في ذلك العائد الحالي المتاح من فرص الاستثمار الأخرى المحققة للعائد </w:t>
      </w:r>
    </w:p>
    <w:p w14:paraId="3B003083" w14:textId="77777777" w:rsidR="007E4FC6" w:rsidRPr="00785453" w:rsidRDefault="007E4FC6" w:rsidP="00922116">
      <w:pPr>
        <w:numPr>
          <w:ilvl w:val="0"/>
          <w:numId w:val="45"/>
        </w:numPr>
        <w:bidi/>
        <w:spacing w:after="120" w:line="259" w:lineRule="auto"/>
        <w:jc w:val="both"/>
        <w:rPr>
          <w:rFonts w:ascii="Traditional Arabic" w:hAnsi="Traditional Arabic" w:cs="Traditional Arabic"/>
          <w:sz w:val="28"/>
          <w:szCs w:val="28"/>
        </w:rPr>
      </w:pPr>
      <w:r w:rsidRPr="00785453">
        <w:rPr>
          <w:rFonts w:ascii="Traditional Arabic" w:hAnsi="Traditional Arabic" w:cs="Traditional Arabic"/>
          <w:sz w:val="28"/>
          <w:szCs w:val="28"/>
          <w:rtl/>
        </w:rPr>
        <w:t xml:space="preserve">غالبًا ما تكون سياسات توزيع الأرباح ونسب العوائد المرتبطة بها مخصصة للشركات الفردية، وبالتالي قد لا تكون قابلة للمقارنة. </w:t>
      </w:r>
    </w:p>
    <w:p w14:paraId="1151F6E5" w14:textId="77777777" w:rsidR="007E4FC6" w:rsidRDefault="007E4FC6" w:rsidP="007E4FC6">
      <w:pPr>
        <w:bidi/>
        <w:spacing w:after="120"/>
        <w:jc w:val="both"/>
        <w:rPr>
          <w:rFonts w:ascii="Traditional Arabic" w:hAnsi="Traditional Arabic" w:cs="Traditional Arabic"/>
          <w:b/>
          <w:bCs/>
          <w:sz w:val="28"/>
          <w:szCs w:val="28"/>
          <w:rtl/>
        </w:rPr>
      </w:pPr>
    </w:p>
    <w:p w14:paraId="107978D9" w14:textId="77777777" w:rsidR="007E4FC6" w:rsidRPr="00785453" w:rsidRDefault="007E4FC6" w:rsidP="007E4FC6">
      <w:pPr>
        <w:bidi/>
        <w:spacing w:after="120"/>
        <w:jc w:val="both"/>
        <w:rPr>
          <w:rFonts w:ascii="Traditional Arabic" w:hAnsi="Traditional Arabic" w:cs="Traditional Arabic"/>
          <w:b/>
          <w:bCs/>
          <w:sz w:val="28"/>
          <w:szCs w:val="28"/>
        </w:rPr>
      </w:pPr>
      <w:r w:rsidRPr="00785453">
        <w:rPr>
          <w:rFonts w:ascii="Traditional Arabic" w:hAnsi="Traditional Arabic" w:cs="Traditional Arabic"/>
          <w:b/>
          <w:bCs/>
          <w:sz w:val="28"/>
          <w:szCs w:val="28"/>
          <w:rtl/>
        </w:rPr>
        <w:t>إشعار مهم</w:t>
      </w:r>
    </w:p>
    <w:p w14:paraId="1F1DE584" w14:textId="77777777" w:rsidR="007E4FC6" w:rsidRPr="00785453" w:rsidRDefault="007E4FC6" w:rsidP="007E4FC6">
      <w:pPr>
        <w:bidi/>
        <w:spacing w:after="120"/>
        <w:jc w:val="both"/>
        <w:rPr>
          <w:rFonts w:ascii="Traditional Arabic" w:hAnsi="Traditional Arabic" w:cs="Traditional Arabic"/>
          <w:sz w:val="28"/>
          <w:szCs w:val="28"/>
        </w:rPr>
      </w:pPr>
      <w:r w:rsidRPr="00785453">
        <w:rPr>
          <w:rFonts w:ascii="Traditional Arabic" w:hAnsi="Traditional Arabic" w:cs="Traditional Arabic"/>
          <w:sz w:val="28"/>
          <w:szCs w:val="28"/>
          <w:rtl/>
        </w:rPr>
        <w:t xml:space="preserve">كل مستثمر مسؤول عن الحصول على الاستشارة المهنية المستقلة بشأن استثماره في أسهم الطرح، وإجراء تقييم مستقل للمعلومات والافتراضات الواردة هنا باستخدام التحليل المناسب. هذا، وتنطوي جميع الاستثمارات في الأسهم على مخاطر السوق، لكنها مخاطر بدرجات متفاوتة. وقد تنخفض قيمة أي ورقة مالية أو ترتفع، بناءً على ظروف السوق. </w:t>
      </w:r>
    </w:p>
    <w:p w14:paraId="58FAB3C5" w14:textId="77777777" w:rsidR="007E4FC6" w:rsidRDefault="007E4FC6" w:rsidP="007E4FC6">
      <w:pPr>
        <w:autoSpaceDE w:val="0"/>
        <w:autoSpaceDN w:val="0"/>
        <w:bidi/>
        <w:adjustRightInd w:val="0"/>
        <w:jc w:val="both"/>
        <w:rPr>
          <w:rFonts w:ascii="Traditional Arabic" w:hAnsi="Traditional Arabic" w:cs="Traditional Arabic"/>
          <w:sz w:val="28"/>
          <w:szCs w:val="28"/>
          <w:rtl/>
        </w:rPr>
      </w:pPr>
    </w:p>
    <w:p w14:paraId="24CF7CF6" w14:textId="77777777" w:rsidR="007E4FC6" w:rsidRPr="00785453" w:rsidRDefault="007E4FC6" w:rsidP="007E4FC6">
      <w:pPr>
        <w:autoSpaceDE w:val="0"/>
        <w:autoSpaceDN w:val="0"/>
        <w:bidi/>
        <w:adjustRightInd w:val="0"/>
        <w:jc w:val="both"/>
        <w:rPr>
          <w:rFonts w:ascii="Traditional Arabic" w:hAnsi="Traditional Arabic" w:cs="Traditional Arabic"/>
          <w:sz w:val="30"/>
          <w:szCs w:val="30"/>
          <w:rtl/>
        </w:rPr>
      </w:pPr>
      <w:r w:rsidRPr="00785453">
        <w:rPr>
          <w:rFonts w:ascii="Traditional Arabic" w:hAnsi="Traditional Arabic" w:cs="Traditional Arabic"/>
          <w:sz w:val="28"/>
          <w:szCs w:val="28"/>
          <w:rtl/>
        </w:rPr>
        <w:t>وعلى المستثمرين المحتملين الاعتماد على مراجعاتهم وتحليلاتهم واستفساراتهم عن الشركة وبنود هذه النشرة والطرح، بما في ذلك المزايا والمخاطر التي ينطوي عليها الاستثمار.</w:t>
      </w:r>
    </w:p>
    <w:p w14:paraId="46F9AE87" w14:textId="77777777" w:rsidR="007E4FC6" w:rsidRDefault="007E4FC6" w:rsidP="008252E9">
      <w:pPr>
        <w:autoSpaceDE w:val="0"/>
        <w:autoSpaceDN w:val="0"/>
        <w:bidi/>
        <w:adjustRightInd w:val="0"/>
        <w:jc w:val="center"/>
        <w:rPr>
          <w:rFonts w:ascii="Traditional Arabic" w:hAnsi="Traditional Arabic" w:cs="Traditional Arabic"/>
          <w:bCs/>
          <w:sz w:val="30"/>
          <w:szCs w:val="30"/>
        </w:rPr>
      </w:pPr>
    </w:p>
    <w:p w14:paraId="73A93D9E"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3EADC8AA"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2BF7FBC0"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6381ADFE"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00FCE0CA"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00484E00"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70E4F458"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1A7ECEF7"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0DD6929B"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7BC2F29C"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00E2549E"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05D4F450"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55AD5C68"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76BEE1B8"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13E64BEE"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04FB9526" w14:textId="77777777" w:rsidR="00700AFF" w:rsidRDefault="00700AFF" w:rsidP="00700AFF">
      <w:pPr>
        <w:autoSpaceDE w:val="0"/>
        <w:autoSpaceDN w:val="0"/>
        <w:bidi/>
        <w:adjustRightInd w:val="0"/>
        <w:jc w:val="center"/>
        <w:rPr>
          <w:rFonts w:ascii="Traditional Arabic" w:hAnsi="Traditional Arabic" w:cs="Traditional Arabic"/>
          <w:bCs/>
          <w:sz w:val="30"/>
          <w:szCs w:val="30"/>
        </w:rPr>
      </w:pPr>
    </w:p>
    <w:p w14:paraId="4295824F" w14:textId="77777777" w:rsidR="00700AFF" w:rsidRDefault="00700AFF" w:rsidP="00700AFF">
      <w:pPr>
        <w:autoSpaceDE w:val="0"/>
        <w:autoSpaceDN w:val="0"/>
        <w:bidi/>
        <w:adjustRightInd w:val="0"/>
        <w:jc w:val="center"/>
        <w:rPr>
          <w:rFonts w:ascii="Traditional Arabic" w:hAnsi="Traditional Arabic" w:cs="Traditional Arabic"/>
          <w:bCs/>
          <w:sz w:val="30"/>
          <w:szCs w:val="30"/>
          <w:rtl/>
        </w:rPr>
      </w:pPr>
    </w:p>
    <w:p w14:paraId="7CB4F0AE" w14:textId="77777777" w:rsidR="001C32D3" w:rsidRPr="00EB5BCF" w:rsidRDefault="001C32D3" w:rsidP="007E4FC6">
      <w:pPr>
        <w:autoSpaceDE w:val="0"/>
        <w:autoSpaceDN w:val="0"/>
        <w:bidi/>
        <w:adjustRightInd w:val="0"/>
        <w:jc w:val="center"/>
        <w:rPr>
          <w:rFonts w:ascii="Traditional Arabic" w:hAnsi="Traditional Arabic" w:cs="Traditional Arabic"/>
          <w:bCs/>
          <w:sz w:val="30"/>
          <w:szCs w:val="30"/>
          <w:lang w:bidi="ar-EG"/>
        </w:rPr>
      </w:pPr>
      <w:r w:rsidRPr="00EB5BCF">
        <w:rPr>
          <w:rFonts w:ascii="Traditional Arabic" w:hAnsi="Traditional Arabic" w:cs="Traditional Arabic" w:hint="eastAsia"/>
          <w:bCs/>
          <w:sz w:val="30"/>
          <w:szCs w:val="30"/>
          <w:rtl/>
          <w:lang w:bidi="ar-EG"/>
        </w:rPr>
        <w:lastRenderedPageBreak/>
        <w:t>الفصل</w:t>
      </w:r>
      <w:r w:rsidRPr="00EB5BCF">
        <w:rPr>
          <w:rFonts w:ascii="Traditional Arabic" w:hAnsi="Traditional Arabic" w:cs="Traditional Arabic"/>
          <w:bCs/>
          <w:sz w:val="30"/>
          <w:szCs w:val="30"/>
          <w:rtl/>
          <w:lang w:bidi="ar-EG"/>
        </w:rPr>
        <w:t xml:space="preserve"> </w:t>
      </w:r>
      <w:r w:rsidR="00272B36">
        <w:rPr>
          <w:rFonts w:ascii="Traditional Arabic" w:hAnsi="Traditional Arabic" w:cs="Traditional Arabic" w:hint="cs"/>
          <w:bCs/>
          <w:sz w:val="30"/>
          <w:szCs w:val="30"/>
          <w:rtl/>
          <w:lang w:bidi="ar-EG"/>
        </w:rPr>
        <w:t>الثالث</w:t>
      </w:r>
      <w:r w:rsidR="00272B36" w:rsidRPr="00EB5BCF">
        <w:rPr>
          <w:rFonts w:ascii="Traditional Arabic" w:hAnsi="Traditional Arabic" w:cs="Traditional Arabic"/>
          <w:bCs/>
          <w:sz w:val="30"/>
          <w:szCs w:val="30"/>
          <w:rtl/>
          <w:lang w:bidi="ar-EG"/>
        </w:rPr>
        <w:t xml:space="preserve"> </w:t>
      </w:r>
      <w:r w:rsidRPr="00EB5BCF">
        <w:rPr>
          <w:rFonts w:ascii="Traditional Arabic" w:hAnsi="Traditional Arabic" w:cs="Traditional Arabic" w:hint="eastAsia"/>
          <w:bCs/>
          <w:sz w:val="30"/>
          <w:szCs w:val="30"/>
          <w:rtl/>
          <w:lang w:bidi="ar-EG"/>
        </w:rPr>
        <w:t>والعشر</w:t>
      </w:r>
      <w:r w:rsidR="00B059AE">
        <w:rPr>
          <w:rFonts w:ascii="Traditional Arabic" w:hAnsi="Traditional Arabic" w:cs="Traditional Arabic" w:hint="cs"/>
          <w:bCs/>
          <w:sz w:val="30"/>
          <w:szCs w:val="30"/>
          <w:rtl/>
          <w:lang w:bidi="ar-EG"/>
        </w:rPr>
        <w:t>ون</w:t>
      </w:r>
    </w:p>
    <w:p w14:paraId="44823733" w14:textId="77777777" w:rsidR="001C32D3" w:rsidRPr="00EB5BCF" w:rsidRDefault="001C32D3" w:rsidP="001C32D3">
      <w:pPr>
        <w:autoSpaceDE w:val="0"/>
        <w:autoSpaceDN w:val="0"/>
        <w:bidi/>
        <w:adjustRightInd w:val="0"/>
        <w:jc w:val="center"/>
        <w:rPr>
          <w:rFonts w:ascii="Traditional Arabic" w:hAnsi="Traditional Arabic" w:cs="Traditional Arabic"/>
          <w:bCs/>
          <w:sz w:val="30"/>
          <w:szCs w:val="30"/>
          <w:rtl/>
        </w:rPr>
      </w:pPr>
      <w:r w:rsidRPr="00EB5BCF">
        <w:rPr>
          <w:rFonts w:ascii="Traditional Arabic" w:hAnsi="Traditional Arabic" w:cs="Traditional Arabic" w:hint="eastAsia"/>
          <w:bCs/>
          <w:sz w:val="30"/>
          <w:szCs w:val="30"/>
          <w:rtl/>
        </w:rPr>
        <w:t>الضرائب</w:t>
      </w:r>
    </w:p>
    <w:p w14:paraId="528C8042" w14:textId="77777777" w:rsidR="001C2AD1" w:rsidRPr="00EB5BCF" w:rsidRDefault="001C2AD1" w:rsidP="00146108">
      <w:pPr>
        <w:autoSpaceDE w:val="0"/>
        <w:autoSpaceDN w:val="0"/>
        <w:bidi/>
        <w:adjustRightInd w:val="0"/>
        <w:jc w:val="lowKashida"/>
        <w:rPr>
          <w:rFonts w:ascii="Traditional Arabic" w:hAnsi="Traditional Arabic" w:cs="Traditional Arabic"/>
          <w:bCs/>
          <w:sz w:val="30"/>
          <w:szCs w:val="30"/>
          <w:rtl/>
        </w:rPr>
      </w:pPr>
    </w:p>
    <w:p w14:paraId="732150EB" w14:textId="77777777" w:rsidR="006633BD" w:rsidRPr="00A1314E" w:rsidRDefault="006633BD" w:rsidP="006633BD">
      <w:pPr>
        <w:autoSpaceDE w:val="0"/>
        <w:autoSpaceDN w:val="0"/>
        <w:bidi/>
        <w:adjustRightInd w:val="0"/>
        <w:jc w:val="lowKashida"/>
        <w:rPr>
          <w:rFonts w:ascii="Traditional Arabic" w:hAnsi="Traditional Arabic" w:cs="Traditional Arabic"/>
          <w:bCs/>
          <w:sz w:val="30"/>
          <w:szCs w:val="30"/>
          <w:rtl/>
        </w:rPr>
      </w:pPr>
      <w:r w:rsidRPr="00A1314E">
        <w:rPr>
          <w:rFonts w:ascii="Traditional Arabic" w:hAnsi="Traditional Arabic" w:cs="Traditional Arabic"/>
          <w:bCs/>
          <w:sz w:val="30"/>
          <w:szCs w:val="30"/>
          <w:rtl/>
        </w:rPr>
        <w:t>نبذة عامة</w:t>
      </w:r>
    </w:p>
    <w:p w14:paraId="602A4B9E"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نوجه عناية المستثمرين الكرام إلى ضرورة الحصول على استشارات ضريبية عن نتائج الاستثمار في الشركة وفي أسهمها في ضوء القوانين الضريبية لبلدانهم ومحل إقامتهم وإقامتهم العادية أو محلهم المختار، فهذا الملخص مبني على القانون الساري حتى تاريخ هذه النشرة ويخضع لأي تغيير يطرأ عليه بعد التاريخ المذكور</w:t>
      </w:r>
      <w:r w:rsidRPr="00A1314E">
        <w:rPr>
          <w:rFonts w:ascii="Traditional Arabic" w:hAnsi="Traditional Arabic" w:cs="Traditional Arabic"/>
          <w:b/>
          <w:sz w:val="30"/>
          <w:szCs w:val="30"/>
        </w:rPr>
        <w:t>.</w:t>
      </w:r>
    </w:p>
    <w:p w14:paraId="51A3DD2A" w14:textId="77777777" w:rsidR="006633BD" w:rsidRPr="00A1314E" w:rsidRDefault="006633BD" w:rsidP="006633BD">
      <w:pPr>
        <w:autoSpaceDE w:val="0"/>
        <w:autoSpaceDN w:val="0"/>
        <w:bidi/>
        <w:adjustRightInd w:val="0"/>
        <w:jc w:val="lowKashida"/>
        <w:rPr>
          <w:rFonts w:ascii="Traditional Arabic" w:hAnsi="Traditional Arabic" w:cs="Traditional Arabic"/>
          <w:bCs/>
          <w:sz w:val="30"/>
          <w:szCs w:val="30"/>
          <w:rtl/>
        </w:rPr>
      </w:pPr>
    </w:p>
    <w:p w14:paraId="16687C43" w14:textId="77777777" w:rsidR="006633BD" w:rsidRPr="00A1314E" w:rsidRDefault="006633BD" w:rsidP="006633BD">
      <w:pPr>
        <w:autoSpaceDE w:val="0"/>
        <w:autoSpaceDN w:val="0"/>
        <w:bidi/>
        <w:adjustRightInd w:val="0"/>
        <w:jc w:val="lowKashida"/>
        <w:rPr>
          <w:rFonts w:ascii="Traditional Arabic" w:hAnsi="Traditional Arabic" w:cs="Traditional Arabic"/>
          <w:bCs/>
          <w:sz w:val="30"/>
          <w:szCs w:val="30"/>
          <w:rtl/>
        </w:rPr>
      </w:pPr>
      <w:r w:rsidRPr="00A1314E">
        <w:rPr>
          <w:rFonts w:ascii="Traditional Arabic" w:hAnsi="Traditional Arabic" w:cs="Traditional Arabic"/>
          <w:bCs/>
          <w:sz w:val="30"/>
          <w:szCs w:val="30"/>
          <w:rtl/>
        </w:rPr>
        <w:t>سلطنة عمان</w:t>
      </w:r>
    </w:p>
    <w:p w14:paraId="4173CE50" w14:textId="77777777" w:rsidR="006633BD" w:rsidRPr="00A1314E" w:rsidRDefault="006633BD" w:rsidP="000E06C2">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 xml:space="preserve">البيانات الضريبية المذكورة في هذه النشرة مبنية على </w:t>
      </w:r>
      <w:r w:rsidR="000E06C2" w:rsidRPr="000E06C2">
        <w:rPr>
          <w:rFonts w:ascii="Traditional Arabic" w:hAnsi="Traditional Arabic" w:cs="Traditional Arabic"/>
          <w:b/>
          <w:sz w:val="30"/>
          <w:szCs w:val="30"/>
          <w:rtl/>
        </w:rPr>
        <w:t xml:space="preserve">قوانين </w:t>
      </w:r>
      <w:r w:rsidR="000E06C2" w:rsidRPr="000E06C2">
        <w:rPr>
          <w:rFonts w:ascii="Traditional Arabic" w:hAnsi="Traditional Arabic" w:cs="Traditional Arabic"/>
          <w:b/>
          <w:sz w:val="30"/>
          <w:szCs w:val="30"/>
          <w:rtl/>
          <w:lang w:bidi="ar-OM"/>
        </w:rPr>
        <w:t xml:space="preserve">الضرائب (خاصة قانون ضريبة الدخل العُماني الصادر بالمرسوم السلطاني 28/2009 " </w:t>
      </w:r>
      <w:r w:rsidR="000E06C2" w:rsidRPr="000E06C2">
        <w:rPr>
          <w:rFonts w:ascii="Traditional Arabic" w:hAnsi="Traditional Arabic" w:cs="Traditional Arabic"/>
          <w:b/>
          <w:bCs/>
          <w:sz w:val="30"/>
          <w:szCs w:val="30"/>
          <w:rtl/>
          <w:lang w:bidi="ar-OM"/>
        </w:rPr>
        <w:t>قانون ضريبة الدخل</w:t>
      </w:r>
      <w:r w:rsidR="000E06C2" w:rsidRPr="000E06C2">
        <w:rPr>
          <w:rFonts w:ascii="Traditional Arabic" w:hAnsi="Traditional Arabic" w:cs="Traditional Arabic"/>
          <w:b/>
          <w:sz w:val="30"/>
          <w:szCs w:val="30"/>
          <w:rtl/>
          <w:lang w:bidi="ar-OM"/>
        </w:rPr>
        <w:t>"، المعدل بالمرسوم السلطاني 9/2017 وبموجب المرسوم السلطاني 118/2020، "</w:t>
      </w:r>
      <w:r w:rsidR="000E06C2" w:rsidRPr="000E06C2">
        <w:rPr>
          <w:rFonts w:ascii="Traditional Arabic" w:hAnsi="Traditional Arabic" w:cs="Traditional Arabic" w:hint="eastAsia"/>
          <w:b/>
          <w:bCs/>
          <w:sz w:val="30"/>
          <w:szCs w:val="30"/>
          <w:rtl/>
          <w:lang w:bidi="ar-OM"/>
        </w:rPr>
        <w:t>ال</w:t>
      </w:r>
      <w:r w:rsidR="000E06C2" w:rsidRPr="000E06C2">
        <w:rPr>
          <w:rFonts w:ascii="Traditional Arabic" w:hAnsi="Traditional Arabic" w:cs="Traditional Arabic"/>
          <w:b/>
          <w:bCs/>
          <w:sz w:val="30"/>
          <w:szCs w:val="30"/>
          <w:rtl/>
          <w:lang w:bidi="ar-OM"/>
        </w:rPr>
        <w:t>تعديلات الضريب</w:t>
      </w:r>
      <w:r w:rsidR="000E06C2" w:rsidRPr="000E06C2">
        <w:rPr>
          <w:rFonts w:ascii="Traditional Arabic" w:hAnsi="Traditional Arabic" w:cs="Traditional Arabic" w:hint="eastAsia"/>
          <w:b/>
          <w:bCs/>
          <w:sz w:val="30"/>
          <w:szCs w:val="30"/>
          <w:rtl/>
          <w:lang w:bidi="ar-OM"/>
        </w:rPr>
        <w:t>ي</w:t>
      </w:r>
      <w:r w:rsidR="000E06C2" w:rsidRPr="000E06C2">
        <w:rPr>
          <w:rFonts w:ascii="Traditional Arabic" w:hAnsi="Traditional Arabic" w:cs="Traditional Arabic"/>
          <w:b/>
          <w:bCs/>
          <w:sz w:val="30"/>
          <w:szCs w:val="30"/>
          <w:rtl/>
          <w:lang w:bidi="ar-OM"/>
        </w:rPr>
        <w:t>ة</w:t>
      </w:r>
      <w:r w:rsidR="000E06C2" w:rsidRPr="000E06C2">
        <w:rPr>
          <w:rFonts w:ascii="Traditional Arabic" w:hAnsi="Traditional Arabic" w:cs="Traditional Arabic"/>
          <w:b/>
          <w:sz w:val="30"/>
          <w:szCs w:val="30"/>
          <w:rtl/>
          <w:lang w:bidi="ar-OM"/>
        </w:rPr>
        <w:t xml:space="preserve">"، واللائحة التنفيذية لقانون ضريبة الدخل العُماني الصادرة </w:t>
      </w:r>
      <w:r w:rsidR="000E06C2" w:rsidRPr="000E06C2">
        <w:rPr>
          <w:rFonts w:ascii="Traditional Arabic" w:hAnsi="Traditional Arabic" w:cs="Traditional Arabic" w:hint="eastAsia"/>
          <w:b/>
          <w:sz w:val="30"/>
          <w:szCs w:val="30"/>
          <w:rtl/>
          <w:lang w:bidi="ar-OM"/>
        </w:rPr>
        <w:t>ب</w:t>
      </w:r>
      <w:r w:rsidR="000E06C2" w:rsidRPr="000E06C2">
        <w:rPr>
          <w:rFonts w:ascii="Traditional Arabic" w:hAnsi="Traditional Arabic" w:cs="Traditional Arabic"/>
          <w:b/>
          <w:sz w:val="30"/>
          <w:szCs w:val="30"/>
          <w:rtl/>
          <w:lang w:bidi="ar-OM"/>
        </w:rPr>
        <w:t>القرار الوزاري رقم 30/2012)</w:t>
      </w:r>
      <w:r w:rsidR="000E06C2">
        <w:rPr>
          <w:rFonts w:ascii="Traditional Arabic" w:hAnsi="Traditional Arabic" w:cs="Traditional Arabic"/>
          <w:b/>
          <w:sz w:val="30"/>
          <w:szCs w:val="30"/>
          <w:lang w:bidi="ar-OM"/>
        </w:rPr>
        <w:t xml:space="preserve"> </w:t>
      </w:r>
      <w:r w:rsidRPr="00A1314E">
        <w:rPr>
          <w:rFonts w:ascii="Traditional Arabic" w:hAnsi="Traditional Arabic" w:cs="Traditional Arabic"/>
          <w:b/>
          <w:sz w:val="30"/>
          <w:szCs w:val="30"/>
          <w:rtl/>
        </w:rPr>
        <w:t>السارية في سلطنة عمان حتى تاريخه، وتخضع لأي تغيير يطرأ عليها بعد تاريخه، والملخص التالي يعرض فقط النتائج الخاصة بتملك المستثمرين لأسهم الشركة من غير الخاضعين للضريبة العمانية (بحسب التعريف التالي)</w:t>
      </w:r>
      <w:r w:rsidRPr="00A1314E">
        <w:rPr>
          <w:rFonts w:ascii="Traditional Arabic" w:hAnsi="Traditional Arabic" w:cs="Traditional Arabic"/>
          <w:b/>
          <w:sz w:val="30"/>
          <w:szCs w:val="30"/>
        </w:rPr>
        <w:t>.</w:t>
      </w:r>
    </w:p>
    <w:p w14:paraId="12BEA0D7"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362D206A"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لا يُفهم من الملخص التالي أن يكون شرحا وافيا لجميع التصورات الضريبية ولا يُفهم منه عرض لحالات فردية من حيث كونها متصلة بقرار شراء أو تملك أو التصرف في الأسهم، ولا تُعنى بشرح النتائج الضريبية التي تؤثر على جميع شرائح المستثمرين، فقد يخضع بعضهم لضوابط خاصة. هذا الملخص مبني على القوانين واللوائح والضوابط والقرارات السارية في الوقت الحالي وقد تتغير في المستقبل، ولذا يُنصح المستثمرون بضرورة الحصول على استشارة ضريبية بخصوص النتيجة الإجمالية للضرائب على شرائهم أو تملكهم أو تصرفهم في الأسهم بما في ذلك أثر القوانين المحلية</w:t>
      </w:r>
      <w:r w:rsidRPr="00A1314E">
        <w:rPr>
          <w:rFonts w:ascii="Traditional Arabic" w:hAnsi="Traditional Arabic" w:cs="Traditional Arabic"/>
          <w:b/>
          <w:sz w:val="30"/>
          <w:szCs w:val="30"/>
        </w:rPr>
        <w:t>.</w:t>
      </w:r>
    </w:p>
    <w:p w14:paraId="7C4140D8" w14:textId="77777777" w:rsidR="006633BD" w:rsidRPr="00A1314E" w:rsidRDefault="006633BD" w:rsidP="006633BD">
      <w:pPr>
        <w:autoSpaceDE w:val="0"/>
        <w:autoSpaceDN w:val="0"/>
        <w:bidi/>
        <w:adjustRightInd w:val="0"/>
        <w:jc w:val="lowKashida"/>
        <w:rPr>
          <w:rFonts w:ascii="Traditional Arabic" w:hAnsi="Traditional Arabic" w:cs="Traditional Arabic"/>
          <w:bCs/>
          <w:sz w:val="30"/>
          <w:szCs w:val="30"/>
          <w:rtl/>
        </w:rPr>
      </w:pPr>
    </w:p>
    <w:p w14:paraId="6E61A377" w14:textId="77777777" w:rsidR="006633BD" w:rsidRPr="00A1314E" w:rsidRDefault="006633BD" w:rsidP="006633BD">
      <w:pPr>
        <w:autoSpaceDE w:val="0"/>
        <w:autoSpaceDN w:val="0"/>
        <w:bidi/>
        <w:adjustRightInd w:val="0"/>
        <w:jc w:val="lowKashida"/>
        <w:rPr>
          <w:rFonts w:ascii="Traditional Arabic" w:hAnsi="Traditional Arabic" w:cs="Traditional Arabic"/>
          <w:bCs/>
          <w:sz w:val="30"/>
          <w:szCs w:val="30"/>
          <w:rtl/>
        </w:rPr>
      </w:pPr>
      <w:r w:rsidRPr="00A1314E">
        <w:rPr>
          <w:rFonts w:ascii="Traditional Arabic" w:hAnsi="Traditional Arabic" w:cs="Traditional Arabic"/>
          <w:bCs/>
          <w:sz w:val="30"/>
          <w:szCs w:val="30"/>
          <w:rtl/>
        </w:rPr>
        <w:t>ضريبة الخصم من المنبع في السلطنة</w:t>
      </w:r>
    </w:p>
    <w:p w14:paraId="32C8F5F5"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 xml:space="preserve">وفق المادة 52 من قانون ضريبة الدخل العماني، فتُفرض الضريبة على الأنواع التالية من الدخل الذي يتحقق في </w:t>
      </w:r>
      <w:r w:rsidR="0026010D">
        <w:rPr>
          <w:rFonts w:ascii="Traditional Arabic" w:hAnsi="Traditional Arabic" w:cs="Traditional Arabic" w:hint="cs"/>
          <w:b/>
          <w:sz w:val="30"/>
          <w:szCs w:val="30"/>
          <w:rtl/>
        </w:rPr>
        <w:t xml:space="preserve">سلطنة </w:t>
      </w:r>
      <w:r w:rsidRPr="00A1314E">
        <w:rPr>
          <w:rFonts w:ascii="Traditional Arabic" w:hAnsi="Traditional Arabic" w:cs="Traditional Arabic"/>
          <w:b/>
          <w:sz w:val="30"/>
          <w:szCs w:val="30"/>
          <w:rtl/>
        </w:rPr>
        <w:t>عمان</w:t>
      </w:r>
      <w:r w:rsidRPr="00A1314E">
        <w:rPr>
          <w:rFonts w:ascii="Traditional Arabic" w:hAnsi="Traditional Arabic" w:cs="Traditional Arabic"/>
          <w:b/>
          <w:sz w:val="30"/>
          <w:szCs w:val="30"/>
        </w:rPr>
        <w:t>:</w:t>
      </w:r>
    </w:p>
    <w:p w14:paraId="629076DE"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5B2D0BB2"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(أ‌)</w:t>
      </w:r>
      <w:r w:rsidRPr="00A1314E">
        <w:rPr>
          <w:rFonts w:ascii="Traditional Arabic" w:hAnsi="Traditional Arabic" w:cs="Traditional Arabic"/>
          <w:b/>
          <w:sz w:val="30"/>
          <w:szCs w:val="30"/>
        </w:rPr>
        <w:tab/>
      </w:r>
      <w:r w:rsidR="0026010D">
        <w:rPr>
          <w:rFonts w:ascii="Traditional Arabic" w:hAnsi="Traditional Arabic" w:cs="Traditional Arabic" w:hint="cs"/>
          <w:b/>
          <w:sz w:val="30"/>
          <w:szCs w:val="30"/>
          <w:rtl/>
        </w:rPr>
        <w:t>الإتاوات</w:t>
      </w:r>
    </w:p>
    <w:p w14:paraId="6A269ED4"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(ب‌)</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مقابل إجراء البحوث والتطوير</w:t>
      </w:r>
    </w:p>
    <w:p w14:paraId="66A80BD2"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(ت‌)</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مقابل استخدام أو الحق في استخدام برامج الحاسب الآلي</w:t>
      </w:r>
    </w:p>
    <w:p w14:paraId="57DA6B34"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lastRenderedPageBreak/>
        <w:t>(ث‌)</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الأتعاب مقابل الإدارة أو أداء الخدمات</w:t>
      </w:r>
    </w:p>
    <w:p w14:paraId="714F83A7"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(ج‌)</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دفع أرباح الأسهم والفوائد</w:t>
      </w:r>
    </w:p>
    <w:p w14:paraId="127A8EBD"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02C29FE3" w14:textId="77777777" w:rsidR="006633BD" w:rsidRPr="00A1314E" w:rsidRDefault="006633BD" w:rsidP="00C86760">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وبالمرسوم 9/2017 جرى تعديل قانون ضريبة الدخل العماني ليشمل المدفوعات إلى الأشخاص غير المقيمين "عن تقديم الخدمات" كجزء من المدفوعات الخاضعة للضريبة</w:t>
      </w:r>
      <w:r w:rsidR="00C86760">
        <w:rPr>
          <w:rFonts w:ascii="Traditional Arabic" w:hAnsi="Traditional Arabic" w:cs="Traditional Arabic" w:hint="cs"/>
          <w:b/>
          <w:sz w:val="30"/>
          <w:szCs w:val="30"/>
          <w:rtl/>
        </w:rPr>
        <w:t>.</w:t>
      </w:r>
      <w:r w:rsidRPr="00A1314E">
        <w:rPr>
          <w:rFonts w:ascii="Traditional Arabic" w:hAnsi="Traditional Arabic" w:cs="Traditional Arabic"/>
          <w:b/>
          <w:sz w:val="30"/>
          <w:szCs w:val="30"/>
          <w:rtl/>
        </w:rPr>
        <w:t xml:space="preserve"> </w:t>
      </w:r>
      <w:r w:rsidR="00C86760" w:rsidRPr="00C86760">
        <w:rPr>
          <w:rFonts w:ascii="Traditional Arabic" w:hAnsi="Traditional Arabic" w:cs="Traditional Arabic"/>
          <w:b/>
          <w:sz w:val="30"/>
          <w:szCs w:val="30"/>
          <w:rtl/>
        </w:rPr>
        <w:t xml:space="preserve">وبتاريخ 1 </w:t>
      </w:r>
      <w:r w:rsidR="00C86760" w:rsidRPr="00C86760">
        <w:rPr>
          <w:rFonts w:ascii="Traditional Arabic" w:hAnsi="Traditional Arabic" w:cs="Traditional Arabic" w:hint="eastAsia"/>
          <w:b/>
          <w:sz w:val="30"/>
          <w:szCs w:val="30"/>
          <w:rtl/>
        </w:rPr>
        <w:t>مارس</w:t>
      </w:r>
      <w:r w:rsidR="00C86760" w:rsidRPr="00C86760">
        <w:rPr>
          <w:rFonts w:ascii="Traditional Arabic" w:hAnsi="Traditional Arabic" w:cs="Traditional Arabic"/>
          <w:b/>
          <w:sz w:val="30"/>
          <w:szCs w:val="30"/>
          <w:rtl/>
        </w:rPr>
        <w:t xml:space="preserve"> 2018، أوضح جهاز الضرائب تطبيق ضريبة الخصم من المنبع على الخدمات </w:t>
      </w:r>
      <w:r w:rsidR="00C86760" w:rsidRPr="00C86760">
        <w:rPr>
          <w:rFonts w:ascii="Traditional Arabic" w:hAnsi="Traditional Arabic" w:cs="Traditional Arabic" w:hint="eastAsia"/>
          <w:b/>
          <w:sz w:val="30"/>
          <w:szCs w:val="30"/>
          <w:rtl/>
        </w:rPr>
        <w:t>سواء</w:t>
      </w:r>
      <w:r w:rsidR="00C86760" w:rsidRPr="00C86760">
        <w:rPr>
          <w:rFonts w:ascii="Traditional Arabic" w:hAnsi="Traditional Arabic" w:cs="Traditional Arabic"/>
          <w:b/>
          <w:sz w:val="30"/>
          <w:szCs w:val="30"/>
          <w:rtl/>
        </w:rPr>
        <w:t xml:space="preserve"> </w:t>
      </w:r>
      <w:r w:rsidR="00C86760" w:rsidRPr="00C86760">
        <w:rPr>
          <w:rFonts w:ascii="Traditional Arabic" w:hAnsi="Traditional Arabic" w:cs="Traditional Arabic" w:hint="eastAsia"/>
          <w:b/>
          <w:sz w:val="30"/>
          <w:szCs w:val="30"/>
          <w:rtl/>
        </w:rPr>
        <w:t>كانت</w:t>
      </w:r>
      <w:r w:rsidR="00C86760" w:rsidRPr="00C86760">
        <w:rPr>
          <w:rFonts w:ascii="Traditional Arabic" w:hAnsi="Traditional Arabic" w:cs="Traditional Arabic"/>
          <w:b/>
          <w:sz w:val="30"/>
          <w:szCs w:val="30"/>
          <w:rtl/>
        </w:rPr>
        <w:t xml:space="preserve"> خارج سلطنة عُمان </w:t>
      </w:r>
      <w:r w:rsidR="00C86760" w:rsidRPr="00C86760">
        <w:rPr>
          <w:rFonts w:ascii="Traditional Arabic" w:hAnsi="Traditional Arabic" w:cs="Traditional Arabic" w:hint="eastAsia"/>
          <w:b/>
          <w:sz w:val="30"/>
          <w:szCs w:val="30"/>
          <w:rtl/>
        </w:rPr>
        <w:t>أو</w:t>
      </w:r>
      <w:r w:rsidR="00C86760" w:rsidRPr="00C86760">
        <w:rPr>
          <w:rFonts w:ascii="Traditional Arabic" w:hAnsi="Traditional Arabic" w:cs="Traditional Arabic"/>
          <w:b/>
          <w:sz w:val="30"/>
          <w:szCs w:val="30"/>
          <w:rtl/>
        </w:rPr>
        <w:t xml:space="preserve"> </w:t>
      </w:r>
      <w:r w:rsidR="00C86760" w:rsidRPr="00C86760">
        <w:rPr>
          <w:rFonts w:ascii="Traditional Arabic" w:hAnsi="Traditional Arabic" w:cs="Traditional Arabic" w:hint="eastAsia"/>
          <w:b/>
          <w:sz w:val="30"/>
          <w:szCs w:val="30"/>
          <w:rtl/>
        </w:rPr>
        <w:t>داخلها</w:t>
      </w:r>
      <w:r w:rsidR="00C86760">
        <w:rPr>
          <w:rFonts w:ascii="Traditional Arabic" w:hAnsi="Traditional Arabic" w:cs="Traditional Arabic" w:hint="cs"/>
          <w:b/>
          <w:sz w:val="30"/>
          <w:szCs w:val="30"/>
          <w:rtl/>
        </w:rPr>
        <w:t>.</w:t>
      </w:r>
    </w:p>
    <w:p w14:paraId="7F7C75EB"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64C4A9E3"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وقد وضح القرار المعدل للائحة التنفيذية بعض التساؤلات السابقة، فمنها أنه تطرق لتعريف "التي يتم تحقيقها في عمان" لتعني "متى كان مصدر الأموال نابع من عمان"، وهو ما قد يعني</w:t>
      </w:r>
      <w:r w:rsidR="00E42786">
        <w:rPr>
          <w:rFonts w:ascii="Traditional Arabic" w:hAnsi="Traditional Arabic" w:cs="Traditional Arabic" w:hint="cs"/>
          <w:b/>
          <w:sz w:val="30"/>
          <w:szCs w:val="30"/>
          <w:rtl/>
        </w:rPr>
        <w:t xml:space="preserve"> أن يكون</w:t>
      </w:r>
      <w:r w:rsidRPr="00A1314E">
        <w:rPr>
          <w:rFonts w:ascii="Traditional Arabic" w:hAnsi="Traditional Arabic" w:cs="Traditional Arabic"/>
          <w:b/>
          <w:sz w:val="30"/>
          <w:szCs w:val="30"/>
          <w:rtl/>
        </w:rPr>
        <w:t xml:space="preserve"> الخاضع للضريبة </w:t>
      </w:r>
      <w:r w:rsidR="00E42786">
        <w:rPr>
          <w:rFonts w:ascii="Traditional Arabic" w:hAnsi="Traditional Arabic" w:cs="Traditional Arabic" w:hint="cs"/>
          <w:b/>
          <w:sz w:val="30"/>
          <w:szCs w:val="30"/>
          <w:rtl/>
        </w:rPr>
        <w:t>مقيم</w:t>
      </w:r>
      <w:r w:rsidRPr="00A1314E">
        <w:rPr>
          <w:rFonts w:ascii="Traditional Arabic" w:hAnsi="Traditional Arabic" w:cs="Traditional Arabic"/>
          <w:b/>
          <w:sz w:val="30"/>
          <w:szCs w:val="30"/>
          <w:rtl/>
        </w:rPr>
        <w:t xml:space="preserve"> في السلطنة. وقد استثنت اللائحة المشار إليها سبعة أنواع من الدفع من "الدفع مقابل الخدمات" وذلك لأغراض ضريبة الخصم من المنبع</w:t>
      </w:r>
      <w:r w:rsidRPr="00A1314E">
        <w:rPr>
          <w:rFonts w:ascii="Traditional Arabic" w:hAnsi="Traditional Arabic" w:cs="Traditional Arabic"/>
          <w:b/>
          <w:sz w:val="30"/>
          <w:szCs w:val="30"/>
        </w:rPr>
        <w:t>:</w:t>
      </w:r>
    </w:p>
    <w:p w14:paraId="67B6616C"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5AC46504"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المؤتمرات، والندوات، والمعارض</w:t>
      </w:r>
    </w:p>
    <w:p w14:paraId="3B64432A"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التدريب</w:t>
      </w:r>
    </w:p>
    <w:p w14:paraId="10716DA4"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النقل وشحن البضائع وتأمينها</w:t>
      </w:r>
    </w:p>
    <w:p w14:paraId="6A87D5B6"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تذاكر الطيران وتكلفة الإقامة في الخارج</w:t>
      </w:r>
    </w:p>
    <w:p w14:paraId="781E9C9A"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اجتماعات مجلس الإدارة</w:t>
      </w:r>
    </w:p>
    <w:p w14:paraId="496AB8F4"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الدفع مقابل إعادة التأمين</w:t>
      </w:r>
    </w:p>
    <w:p w14:paraId="1E464FF8"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Pr>
        <w:tab/>
      </w:r>
      <w:r w:rsidRPr="00A1314E">
        <w:rPr>
          <w:rFonts w:ascii="Traditional Arabic" w:hAnsi="Traditional Arabic" w:cs="Traditional Arabic"/>
          <w:b/>
          <w:sz w:val="30"/>
          <w:szCs w:val="30"/>
          <w:rtl/>
        </w:rPr>
        <w:t>الخدمات بخصوص أي نشاط أو عقار خارج سلطنة عمان</w:t>
      </w:r>
      <w:r w:rsidRPr="00A1314E">
        <w:rPr>
          <w:rFonts w:ascii="Traditional Arabic" w:hAnsi="Traditional Arabic" w:cs="Traditional Arabic"/>
          <w:b/>
          <w:sz w:val="30"/>
          <w:szCs w:val="30"/>
        </w:rPr>
        <w:t>.</w:t>
      </w:r>
    </w:p>
    <w:p w14:paraId="0A76A315"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045B02C5"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ومما يُفهم مما سبق أن أي خدمة بخلاف الخدمات السبع المذكورة أعلاه غير مستثنا</w:t>
      </w:r>
      <w:r w:rsidR="00F92C9F">
        <w:rPr>
          <w:rFonts w:ascii="Traditional Arabic" w:hAnsi="Traditional Arabic" w:cs="Traditional Arabic" w:hint="cs"/>
          <w:b/>
          <w:sz w:val="30"/>
          <w:szCs w:val="30"/>
          <w:rtl/>
        </w:rPr>
        <w:t>ة</w:t>
      </w:r>
      <w:r w:rsidRPr="00A1314E">
        <w:rPr>
          <w:rFonts w:ascii="Traditional Arabic" w:hAnsi="Traditional Arabic" w:cs="Traditional Arabic"/>
          <w:b/>
          <w:sz w:val="30"/>
          <w:szCs w:val="30"/>
          <w:rtl/>
        </w:rPr>
        <w:t xml:space="preserve"> من ضريبة الخصم من المنبع بغض النظر عن محل تقديم الخدمة</w:t>
      </w:r>
      <w:r w:rsidRPr="00A1314E">
        <w:rPr>
          <w:rFonts w:ascii="Traditional Arabic" w:hAnsi="Traditional Arabic" w:cs="Traditional Arabic"/>
          <w:b/>
          <w:sz w:val="30"/>
          <w:szCs w:val="30"/>
        </w:rPr>
        <w:t>.</w:t>
      </w:r>
    </w:p>
    <w:p w14:paraId="32860480"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5A678089"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لا تُطبق ضريبة الخصم من المنبع على إجمالي القيمة لأنواع الدخل السابق المدفوعة في حساب أحد المقيمين ضريبيا في السلطنة بالمعنى المحدد له في المادة (18) مكرر من قانون ضريبة الدخل العماني، والتي جرت على النحو التالي: يعد مقيما ضريبيا لأغراض تطبيق أحكام هذا القانون الآتي</w:t>
      </w:r>
      <w:r w:rsidRPr="00A1314E">
        <w:rPr>
          <w:rFonts w:ascii="Traditional Arabic" w:hAnsi="Traditional Arabic" w:cs="Traditional Arabic"/>
          <w:b/>
          <w:sz w:val="30"/>
          <w:szCs w:val="30"/>
        </w:rPr>
        <w:t>:</w:t>
      </w:r>
    </w:p>
    <w:p w14:paraId="4FBAE009"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4F31920F"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1</w:t>
      </w:r>
      <w:r w:rsidRPr="00A1314E">
        <w:rPr>
          <w:rFonts w:ascii="Traditional Arabic" w:hAnsi="Traditional Arabic" w:cs="Traditional Arabic"/>
          <w:b/>
          <w:sz w:val="30"/>
          <w:szCs w:val="30"/>
        </w:rPr>
        <w:t xml:space="preserve"> – </w:t>
      </w:r>
      <w:r w:rsidRPr="00A1314E">
        <w:rPr>
          <w:rFonts w:ascii="Traditional Arabic" w:hAnsi="Traditional Arabic" w:cs="Traditional Arabic"/>
          <w:b/>
          <w:sz w:val="30"/>
          <w:szCs w:val="30"/>
          <w:rtl/>
        </w:rPr>
        <w:t>الشخص الطبيعي المقيم في عمان خلال السنة الضريبية، إذا كان موجودا فيها لمدة لا تقل عن (183) مائة وثلاثة وثمانين يوما متصلة أو منقطعة خلال السنة الضريبية</w:t>
      </w:r>
      <w:r w:rsidRPr="00A1314E">
        <w:rPr>
          <w:rFonts w:ascii="Traditional Arabic" w:hAnsi="Traditional Arabic" w:cs="Traditional Arabic"/>
          <w:b/>
          <w:sz w:val="30"/>
          <w:szCs w:val="30"/>
        </w:rPr>
        <w:t>.</w:t>
      </w:r>
    </w:p>
    <w:p w14:paraId="3BBD2CA8"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lastRenderedPageBreak/>
        <w:t>2</w:t>
      </w:r>
      <w:r w:rsidRPr="00A1314E">
        <w:rPr>
          <w:rFonts w:ascii="Traditional Arabic" w:hAnsi="Traditional Arabic" w:cs="Traditional Arabic"/>
          <w:b/>
          <w:sz w:val="30"/>
          <w:szCs w:val="30"/>
        </w:rPr>
        <w:t xml:space="preserve"> – </w:t>
      </w:r>
      <w:r w:rsidRPr="00A1314E">
        <w:rPr>
          <w:rFonts w:ascii="Traditional Arabic" w:hAnsi="Traditional Arabic" w:cs="Traditional Arabic"/>
          <w:b/>
          <w:sz w:val="30"/>
          <w:szCs w:val="30"/>
          <w:rtl/>
        </w:rPr>
        <w:t>الشخص الاعتباري المقيم في عمان خلال السنة الضريبية إذا توافر فيه أي من الشرطين الآتيين</w:t>
      </w:r>
      <w:r w:rsidRPr="00A1314E">
        <w:rPr>
          <w:rFonts w:ascii="Traditional Arabic" w:hAnsi="Traditional Arabic" w:cs="Traditional Arabic"/>
          <w:b/>
          <w:sz w:val="30"/>
          <w:szCs w:val="30"/>
        </w:rPr>
        <w:t>:</w:t>
      </w:r>
    </w:p>
    <w:p w14:paraId="6366EF63"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أ – أن يكون قد تأسس في عمان وفق القوانين، والمراسيم السلطانية المعمول بها</w:t>
      </w:r>
      <w:r w:rsidRPr="00A1314E">
        <w:rPr>
          <w:rFonts w:ascii="Traditional Arabic" w:hAnsi="Traditional Arabic" w:cs="Traditional Arabic"/>
          <w:b/>
          <w:sz w:val="30"/>
          <w:szCs w:val="30"/>
        </w:rPr>
        <w:t>.</w:t>
      </w:r>
    </w:p>
    <w:p w14:paraId="7EFA984E"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ب – أن يكون مقر إدارته الرئيسي أو الفعلي في عمان</w:t>
      </w:r>
      <w:r w:rsidRPr="00A1314E">
        <w:rPr>
          <w:rFonts w:ascii="Traditional Arabic" w:hAnsi="Traditional Arabic" w:cs="Traditional Arabic"/>
          <w:b/>
          <w:sz w:val="30"/>
          <w:szCs w:val="30"/>
        </w:rPr>
        <w:t>.</w:t>
      </w:r>
    </w:p>
    <w:p w14:paraId="6EB1E564"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39BA0D50"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ومع ذلك تُفرض ضريبة الخصم من المنبع على إجمالي القيمة لأنواع الدخل المدفوعة في حساب غير المقيم ضريبيا في السلطنة في الحالات المحددة في المادة 40 والمادة 51 من قانون ضريبة الدخل العماني إذا لم يكن لذلك الشخص مؤسسة دائمة في السلطنة</w:t>
      </w:r>
      <w:r w:rsidRPr="00A1314E">
        <w:rPr>
          <w:rFonts w:ascii="Traditional Arabic" w:hAnsi="Traditional Arabic" w:cs="Traditional Arabic"/>
          <w:b/>
          <w:sz w:val="30"/>
          <w:szCs w:val="30"/>
        </w:rPr>
        <w:t>.</w:t>
      </w:r>
    </w:p>
    <w:p w14:paraId="319D83C4"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02D4B78B"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ويمتد التعديل ليشمل متطلبات خصم المبلغ الخاضع للضريبة وفق المادة 53 مكرر من أية وزارة أو هيئة أو مؤسسة عامة أو شخصية اعتبارية عامة أو وحدة من وحدات الجهاز الإداري للدولة، على أن يكون سعر الضريبة 10% من إجمالي المبلغ المدفوع أو المقيد في حساب الأشخاص المحددين سابقا</w:t>
      </w:r>
      <w:r w:rsidRPr="00A1314E">
        <w:rPr>
          <w:rFonts w:ascii="Traditional Arabic" w:hAnsi="Traditional Arabic" w:cs="Traditional Arabic"/>
          <w:b/>
          <w:sz w:val="30"/>
          <w:szCs w:val="30"/>
        </w:rPr>
        <w:t>.</w:t>
      </w:r>
    </w:p>
    <w:p w14:paraId="359211F5"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3FC7C244"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ويُعتبر كبار المستثمرين المسجلون في السلطنة مقيمون ضريبيا، ولذا لن ينطبق عليهم الخصم من المنبع، إلا أن كبار المستثمرين الخارجيين ممن ليسوا مقيمون ضريبيا سيخضعون لضريبة الخصم من المنبع وإن كان يملكهم مقيمون ضريبيا</w:t>
      </w:r>
      <w:r w:rsidRPr="00A1314E">
        <w:rPr>
          <w:rFonts w:ascii="Traditional Arabic" w:hAnsi="Traditional Arabic" w:cs="Traditional Arabic"/>
          <w:b/>
          <w:sz w:val="30"/>
          <w:szCs w:val="30"/>
        </w:rPr>
        <w:t>.</w:t>
      </w:r>
    </w:p>
    <w:p w14:paraId="6D748883"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2AA5F351"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 xml:space="preserve">وقد أعلنت </w:t>
      </w:r>
      <w:r w:rsidR="00F92C9F">
        <w:rPr>
          <w:rFonts w:ascii="Traditional Arabic" w:hAnsi="Traditional Arabic" w:cs="Traditional Arabic" w:hint="cs"/>
          <w:b/>
          <w:sz w:val="30"/>
          <w:szCs w:val="30"/>
          <w:rtl/>
        </w:rPr>
        <w:t>هيئة الخدمات المالية</w:t>
      </w:r>
      <w:r w:rsidRPr="00A1314E">
        <w:rPr>
          <w:rFonts w:ascii="Traditional Arabic" w:hAnsi="Traditional Arabic" w:cs="Traditional Arabic"/>
          <w:b/>
          <w:sz w:val="30"/>
          <w:szCs w:val="30"/>
          <w:rtl/>
        </w:rPr>
        <w:t xml:space="preserve"> في 15 مايو 2019 أنه بناء على أوامر سلطانية فقد تقرر تعليق العمل بضريبة الخصم من المنبع على الأرباح والفوائد على الاقتراض الأجنبي لمدة ثلاثة أعوام من تاريخ 6 مايو 2019، وعلى إثره أصدرت الأمانة العامة للضرائب (الآن جهاز الضرائب العماني) كتابا إلى إيرنست ويونغ في 11 يونيو 2019 يؤكد تعليق الضريبة لعام 2019، ولا يوجد للأمر السلطاني نسخة متاحة لاطلاع الجمهور</w:t>
      </w:r>
      <w:r w:rsidRPr="00A1314E">
        <w:rPr>
          <w:rFonts w:ascii="Traditional Arabic" w:hAnsi="Traditional Arabic" w:cs="Traditional Arabic"/>
          <w:b/>
          <w:sz w:val="30"/>
          <w:szCs w:val="30"/>
        </w:rPr>
        <w:t>.</w:t>
      </w:r>
    </w:p>
    <w:p w14:paraId="3B74294B"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7260E4EE"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ثم تم تمديد التعليق بموجب خطة تحفيز الاقتصاد التي وافق عليها مجلس الوزراء الذي يرأسه جلالة السلطان هيثم بن طارق في 9 مارس 2021، ورغم عدم صدوره في مرسوم سلطاني في الجريدة الرسمية في السلطنة إلا أن وسائل الإعلام تناقلت في 9 مارس 2021 تعليق تطبيق ضريبة الخصم من المنبع على الأرباح والفوائد لمدة خمس سنوات اعتبارا من 2020</w:t>
      </w:r>
      <w:r w:rsidRPr="00A1314E">
        <w:rPr>
          <w:rFonts w:ascii="Traditional Arabic" w:hAnsi="Traditional Arabic" w:cs="Traditional Arabic"/>
          <w:b/>
          <w:sz w:val="30"/>
          <w:szCs w:val="30"/>
        </w:rPr>
        <w:t>.</w:t>
      </w:r>
      <w:r w:rsidRPr="00A1314E">
        <w:rPr>
          <w:rFonts w:ascii="Traditional Arabic" w:hAnsi="Traditional Arabic" w:cs="Traditional Arabic"/>
          <w:b/>
          <w:sz w:val="30"/>
          <w:szCs w:val="30"/>
          <w:rtl/>
        </w:rPr>
        <w:t xml:space="preserve"> وفي 11 يناير 2023 أصدر جلالة السلطان هيثم بن طارق حفظه الله أوامره السلطانية معلنا عدم تطبيق ضريبة الخصم من المنبع على توزيعات الأرباح والفوائد، ورغم عدم صدور أي مرسوم سلطاني بتلك الأوامر إلا أن تفاصيلها قدم تم نشرها على موقع وزارة الداخلية العمانية.</w:t>
      </w:r>
    </w:p>
    <w:p w14:paraId="0A3B71A1"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2582E802"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lastRenderedPageBreak/>
        <w:t>وبناء عليه لن يتم تطبيق ضريبة الخصم على الأرباح التي تدفعها الشركة لحاملي الأسهم غير المقيمين ضريبيا ما دامت الأوامر السلطانية السامية المتعلقة بهذا الأمر سارية.</w:t>
      </w:r>
    </w:p>
    <w:p w14:paraId="2A0B693F"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12D16B88"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ومن غير الواضح ما إذا كانت الرسوم مقابل الإدارة أو أداء الخدمات تتضمن رسوم الترتيبات أو رسوم الالتزام او رسوم الوكالة، ومن غير الواضح أيضا ما إذا كانت هذه الرسوم ستُعامل معاملة الخدمة لأغراض ضريبة الخصم من المنبع، فإذا تمت معاملتها على أنها رسوم إدارة أو رسوم أداء خدمات فإن تعطيل ضريبة الخصم على الفائدة لن ينطبق على هذه الرسوم ومن ثم ستُصبح خاضعة لضريبة الخصم</w:t>
      </w:r>
      <w:r w:rsidRPr="00A1314E">
        <w:rPr>
          <w:rFonts w:ascii="Traditional Arabic" w:hAnsi="Traditional Arabic" w:cs="Traditional Arabic"/>
          <w:b/>
          <w:sz w:val="30"/>
          <w:szCs w:val="30"/>
        </w:rPr>
        <w:t>.</w:t>
      </w:r>
    </w:p>
    <w:p w14:paraId="07170B7D"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1A206E0A" w14:textId="77777777" w:rsidR="006633BD" w:rsidRPr="00A1314E" w:rsidRDefault="006633BD" w:rsidP="006633BD">
      <w:pPr>
        <w:autoSpaceDE w:val="0"/>
        <w:autoSpaceDN w:val="0"/>
        <w:bidi/>
        <w:adjustRightInd w:val="0"/>
        <w:jc w:val="lowKashida"/>
        <w:rPr>
          <w:rFonts w:ascii="Traditional Arabic" w:hAnsi="Traditional Arabic" w:cs="Traditional Arabic"/>
          <w:bCs/>
          <w:sz w:val="30"/>
          <w:szCs w:val="30"/>
          <w:rtl/>
        </w:rPr>
      </w:pPr>
      <w:r w:rsidRPr="00A1314E">
        <w:rPr>
          <w:rFonts w:ascii="Traditional Arabic" w:hAnsi="Traditional Arabic" w:cs="Traditional Arabic"/>
          <w:bCs/>
          <w:sz w:val="30"/>
          <w:szCs w:val="30"/>
          <w:rtl/>
        </w:rPr>
        <w:t>ضريبة الدخل على الشركات</w:t>
      </w:r>
    </w:p>
    <w:p w14:paraId="692A2EE0"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تخضع الضريبة في السلطنة لأحكام قانون ضريبة الدخل وغيره من المراسيم السلطانية والقرارات الوزارية</w:t>
      </w:r>
      <w:r w:rsidRPr="00A1314E">
        <w:rPr>
          <w:rFonts w:ascii="Traditional Arabic" w:hAnsi="Traditional Arabic" w:cs="Traditional Arabic"/>
          <w:b/>
          <w:sz w:val="30"/>
          <w:szCs w:val="30"/>
        </w:rPr>
        <w:t>.</w:t>
      </w:r>
    </w:p>
    <w:p w14:paraId="12553EE4"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6B5A5970" w14:textId="77777777" w:rsidR="006633BD"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وتُفرض الضريبة على المؤسسات التجارية التي يملكها الأفراد أو الشركات المسجلة في السلطنة أو المؤسسات الدائمة (الفروع المسجلة/ غير المسجلة) للشخص الأجنبي</w:t>
      </w:r>
      <w:r w:rsidRPr="00A1314E">
        <w:rPr>
          <w:rFonts w:ascii="Traditional Arabic" w:hAnsi="Traditional Arabic" w:cs="Traditional Arabic"/>
          <w:b/>
          <w:sz w:val="30"/>
          <w:szCs w:val="30"/>
        </w:rPr>
        <w:t>.</w:t>
      </w:r>
    </w:p>
    <w:p w14:paraId="042608C4" w14:textId="77777777" w:rsidR="002265B2" w:rsidRDefault="002265B2" w:rsidP="002265B2">
      <w:pPr>
        <w:autoSpaceDE w:val="0"/>
        <w:autoSpaceDN w:val="0"/>
        <w:bidi/>
        <w:adjustRightInd w:val="0"/>
        <w:jc w:val="lowKashida"/>
        <w:rPr>
          <w:rFonts w:ascii="Traditional Arabic" w:hAnsi="Traditional Arabic" w:cs="Traditional Arabic"/>
          <w:b/>
          <w:sz w:val="30"/>
          <w:szCs w:val="30"/>
          <w:rtl/>
        </w:rPr>
      </w:pPr>
    </w:p>
    <w:p w14:paraId="422AEA0C" w14:textId="77777777" w:rsidR="002265B2" w:rsidRPr="00A1314E" w:rsidRDefault="002265B2" w:rsidP="002265B2">
      <w:pPr>
        <w:autoSpaceDE w:val="0"/>
        <w:autoSpaceDN w:val="0"/>
        <w:bidi/>
        <w:adjustRightInd w:val="0"/>
        <w:jc w:val="lowKashida"/>
        <w:rPr>
          <w:rFonts w:ascii="Traditional Arabic" w:hAnsi="Traditional Arabic" w:cs="Traditional Arabic"/>
          <w:b/>
          <w:sz w:val="30"/>
          <w:szCs w:val="30"/>
          <w:rtl/>
        </w:rPr>
      </w:pPr>
      <w:r>
        <w:rPr>
          <w:rFonts w:ascii="Traditional Arabic" w:hAnsi="Traditional Arabic" w:cs="Traditional Arabic" w:hint="cs"/>
          <w:b/>
          <w:sz w:val="30"/>
          <w:szCs w:val="30"/>
          <w:rtl/>
        </w:rPr>
        <w:t>ووفقا لقانون ضريبة الدخل العماني فإن الشركة تخضع لضريبة الدخل على الشركات بمعدل 15 في المائة من دخلها.</w:t>
      </w:r>
    </w:p>
    <w:p w14:paraId="03619399"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516801C3"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ويكون على الجهة الخاضعة للضريبة تقديم إقرارات ضريبة الدخل النهائية عن كل سنة ضريبية بالإضافة إلى البيانات المالية والتي يجب إعدادها وفق المعايير الدولية لإعداد التقارير المالية</w:t>
      </w:r>
      <w:r w:rsidRPr="00A1314E">
        <w:rPr>
          <w:rFonts w:ascii="Traditional Arabic" w:hAnsi="Traditional Arabic" w:cs="Traditional Arabic"/>
          <w:b/>
          <w:sz w:val="30"/>
          <w:szCs w:val="30"/>
        </w:rPr>
        <w:t>.</w:t>
      </w:r>
    </w:p>
    <w:p w14:paraId="1E1883FD"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2D8C34D6" w14:textId="77777777" w:rsidR="006633BD"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وقد دخلت السلطنة في معاهدات الازدواج الضريبي مع 35 دولة، وتضم المملكة المتحدة وفرنسا وإسبانيا، وغيرهم</w:t>
      </w:r>
      <w:r w:rsidRPr="00A1314E">
        <w:rPr>
          <w:rFonts w:ascii="Traditional Arabic" w:hAnsi="Traditional Arabic" w:cs="Traditional Arabic"/>
          <w:b/>
          <w:sz w:val="30"/>
          <w:szCs w:val="30"/>
        </w:rPr>
        <w:t>.</w:t>
      </w:r>
    </w:p>
    <w:p w14:paraId="76D3CADC" w14:textId="77777777" w:rsidR="00C215DE" w:rsidRDefault="00C215DE" w:rsidP="00C215DE">
      <w:pPr>
        <w:autoSpaceDE w:val="0"/>
        <w:autoSpaceDN w:val="0"/>
        <w:bidi/>
        <w:adjustRightInd w:val="0"/>
        <w:jc w:val="lowKashida"/>
        <w:rPr>
          <w:rFonts w:ascii="Traditional Arabic" w:hAnsi="Traditional Arabic" w:cs="Traditional Arabic"/>
          <w:b/>
          <w:sz w:val="30"/>
          <w:szCs w:val="30"/>
          <w:rtl/>
        </w:rPr>
      </w:pPr>
    </w:p>
    <w:p w14:paraId="361A40F3"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283A7AD4" w14:textId="77777777" w:rsidR="006633BD" w:rsidRPr="00A1314E" w:rsidRDefault="006633BD" w:rsidP="006633BD">
      <w:pPr>
        <w:autoSpaceDE w:val="0"/>
        <w:autoSpaceDN w:val="0"/>
        <w:bidi/>
        <w:adjustRightInd w:val="0"/>
        <w:jc w:val="lowKashida"/>
        <w:rPr>
          <w:rFonts w:ascii="Traditional Arabic" w:hAnsi="Traditional Arabic" w:cs="Traditional Arabic"/>
          <w:bCs/>
          <w:sz w:val="30"/>
          <w:szCs w:val="30"/>
          <w:rtl/>
        </w:rPr>
      </w:pPr>
      <w:r w:rsidRPr="00A1314E">
        <w:rPr>
          <w:rFonts w:ascii="Traditional Arabic" w:hAnsi="Traditional Arabic" w:cs="Traditional Arabic"/>
          <w:bCs/>
          <w:sz w:val="30"/>
          <w:szCs w:val="30"/>
          <w:rtl/>
        </w:rPr>
        <w:t>الضرائب على الأرباح الرأسمالية في السلطنة</w:t>
      </w:r>
    </w:p>
    <w:p w14:paraId="6686D49B"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p>
    <w:p w14:paraId="5D9723FC" w14:textId="77777777" w:rsidR="006633BD" w:rsidRPr="00A1314E"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 xml:space="preserve">تخضع الأرباح من بيع الأسهم أو استهلاكها من قبل المساهمين المقيمين في السلطنة أو أصحاب المؤسسات الدائمة في السلطنة لضريبة بمقدار 15% من أرباحهم السنوية الخاضعة للضريبة من البيع أو الاستهلاك إذا كان الدخل: (1) يشكل جزءً من أرباح نشاط المساهم الذي يتحقق في السلطنة ويُسجل في بياناته المالية على أنه تحقق؛ (2) وعدم إعفاء المساهمين المذكورين بموجب قانون ضريبة الدخل العماني. وبناء عليه سيشكل الربح أو المكسب المتحقق من بيع المساهم لأسهمه جزءً </w:t>
      </w:r>
      <w:r w:rsidRPr="00A1314E">
        <w:rPr>
          <w:rFonts w:ascii="Traditional Arabic" w:hAnsi="Traditional Arabic" w:cs="Traditional Arabic"/>
          <w:b/>
          <w:sz w:val="30"/>
          <w:szCs w:val="30"/>
          <w:rtl/>
        </w:rPr>
        <w:lastRenderedPageBreak/>
        <w:t>من الدخل الخاضع للضريبة في السلطنة وذلك إذا كان العائد لشركة المساهم الدائمة في السلطنة وأن يتم تسجيله في البيانات المالية، وعليه لا يخضع لضريبة الدخل المساهم غير المقيم في السلطنة والمساهم الذي لا يملك مؤسسة دائمة في السلطنة. ودفعا للشك، لا يُعد المساهم مالكا لمؤسسة دائمة في السلطنة إذا كان يملك الأسهم فقط</w:t>
      </w:r>
      <w:r w:rsidRPr="00A1314E">
        <w:rPr>
          <w:rFonts w:ascii="Traditional Arabic" w:hAnsi="Traditional Arabic" w:cs="Traditional Arabic"/>
          <w:b/>
          <w:sz w:val="30"/>
          <w:szCs w:val="30"/>
        </w:rPr>
        <w:t>.</w:t>
      </w:r>
    </w:p>
    <w:p w14:paraId="0A4C670C" w14:textId="77777777" w:rsidR="006633BD" w:rsidRPr="00A1314E" w:rsidRDefault="006633BD" w:rsidP="006633BD">
      <w:pPr>
        <w:autoSpaceDE w:val="0"/>
        <w:autoSpaceDN w:val="0"/>
        <w:bidi/>
        <w:adjustRightInd w:val="0"/>
        <w:jc w:val="lowKashida"/>
        <w:rPr>
          <w:rFonts w:ascii="Traditional Arabic" w:hAnsi="Traditional Arabic" w:cs="Traditional Arabic"/>
          <w:bCs/>
          <w:sz w:val="30"/>
          <w:szCs w:val="30"/>
          <w:rtl/>
        </w:rPr>
      </w:pPr>
    </w:p>
    <w:p w14:paraId="3019EB70" w14:textId="77777777" w:rsidR="006633BD" w:rsidRPr="00A1314E" w:rsidRDefault="006633BD" w:rsidP="006633BD">
      <w:pPr>
        <w:autoSpaceDE w:val="0"/>
        <w:autoSpaceDN w:val="0"/>
        <w:bidi/>
        <w:adjustRightInd w:val="0"/>
        <w:jc w:val="lowKashida"/>
        <w:rPr>
          <w:rFonts w:ascii="Traditional Arabic" w:hAnsi="Traditional Arabic" w:cs="Traditional Arabic"/>
          <w:bCs/>
          <w:sz w:val="30"/>
          <w:szCs w:val="30"/>
          <w:rtl/>
        </w:rPr>
      </w:pPr>
      <w:r w:rsidRPr="00A1314E">
        <w:rPr>
          <w:rFonts w:ascii="Traditional Arabic" w:hAnsi="Traditional Arabic" w:cs="Traditional Arabic"/>
          <w:bCs/>
          <w:sz w:val="30"/>
          <w:szCs w:val="30"/>
          <w:rtl/>
        </w:rPr>
        <w:t>ضريبة القيمة المضافة في السلطنة</w:t>
      </w:r>
    </w:p>
    <w:p w14:paraId="6D69E461" w14:textId="77777777" w:rsidR="006633BD" w:rsidRDefault="006633BD" w:rsidP="006633BD">
      <w:pPr>
        <w:autoSpaceDE w:val="0"/>
        <w:autoSpaceDN w:val="0"/>
        <w:bidi/>
        <w:adjustRightInd w:val="0"/>
        <w:jc w:val="lowKashida"/>
        <w:rPr>
          <w:rFonts w:ascii="Traditional Arabic" w:hAnsi="Traditional Arabic" w:cs="Traditional Arabic"/>
          <w:b/>
          <w:sz w:val="30"/>
          <w:szCs w:val="30"/>
          <w:rtl/>
        </w:rPr>
      </w:pPr>
      <w:r w:rsidRPr="00A1314E">
        <w:rPr>
          <w:rFonts w:ascii="Traditional Arabic" w:hAnsi="Traditional Arabic" w:cs="Traditional Arabic"/>
          <w:b/>
          <w:sz w:val="30"/>
          <w:szCs w:val="30"/>
          <w:rtl/>
        </w:rPr>
        <w:t>أصدر جلالة السلطان هيثم بن طارق في 12 أكتوبر 2020 مرسوما سلطانيا برقم 121/2020 بإصدار ضريبة القيمة المضافة، ونُشر في الجريدة الرسمية في السلطنة في 18 أكتوبر 2020، وعُمل به في 16 إبريل 2021، وجاءت الضريبة بنسبة 5% على غالبية البضائع والخدمات المصدرة خارج السلطنة أو المستوردة لها، وبتاريخ 4 يناير 2021 أصدر جهاز الضرائب العماني ثلاثة قرارات بخصوص قانون ضريبة القيمة المضافة؛ أولها حدد الحد الأدنى المالي للتسجيل الإلزامي والاختياري، والثاني حدد قائمة الأغذية المطبق عليها الضريبة بمعدل صفر، والثالث حدد الموعد الزمني لتسجيل الضريبة للأشخاص الخاضعين للضريبة، وبتاريخ 10 مارس 2021 أصدر جهاز الضرائب العماني اللائحة التنفيذية لقانون ضريبة القيمة المضافة، ثم صدر في الفترة ما بين مارس وإبريل من عام 2021 قراران إضافيان بالرقم 59/2021 وبالرقم 65/2021، بالأغذية الإضافية الخاضع للضريبة بمعدل صفر، ثم صدر المرسوم السلطاني رقم 50/2021 بتاريخ 7 يوليو 2021 بالتصديق على الاتفاقية الموحدة لضريبة القيمة المضافة في دول مجلس التعاون الخليجي المؤرخة في 27 نوفمبر 2016</w:t>
      </w:r>
      <w:r w:rsidRPr="00A1314E">
        <w:rPr>
          <w:rFonts w:ascii="Traditional Arabic" w:hAnsi="Traditional Arabic" w:cs="Traditional Arabic"/>
          <w:b/>
          <w:sz w:val="30"/>
          <w:szCs w:val="30"/>
        </w:rPr>
        <w:t>.</w:t>
      </w:r>
    </w:p>
    <w:p w14:paraId="126B3C07" w14:textId="77777777" w:rsidR="00C215DE" w:rsidRDefault="00C215DE" w:rsidP="00C215DE">
      <w:pPr>
        <w:autoSpaceDE w:val="0"/>
        <w:autoSpaceDN w:val="0"/>
        <w:bidi/>
        <w:adjustRightInd w:val="0"/>
        <w:jc w:val="lowKashida"/>
        <w:rPr>
          <w:rFonts w:ascii="Traditional Arabic" w:hAnsi="Traditional Arabic" w:cs="Traditional Arabic"/>
          <w:b/>
          <w:sz w:val="30"/>
          <w:szCs w:val="30"/>
          <w:rtl/>
        </w:rPr>
      </w:pPr>
    </w:p>
    <w:p w14:paraId="36EA837A" w14:textId="77777777" w:rsidR="00C215DE" w:rsidRPr="00C215DE" w:rsidRDefault="00C215DE" w:rsidP="00C215DE">
      <w:pPr>
        <w:autoSpaceDE w:val="0"/>
        <w:autoSpaceDN w:val="0"/>
        <w:bidi/>
        <w:adjustRightInd w:val="0"/>
        <w:jc w:val="lowKashida"/>
        <w:rPr>
          <w:rFonts w:ascii="Traditional Arabic" w:hAnsi="Traditional Arabic" w:cs="Traditional Arabic"/>
          <w:b/>
          <w:sz w:val="30"/>
          <w:szCs w:val="30"/>
        </w:rPr>
      </w:pPr>
      <w:r>
        <w:rPr>
          <w:rFonts w:ascii="Traditional Arabic" w:hAnsi="Traditional Arabic" w:cs="Traditional Arabic" w:hint="cs"/>
          <w:b/>
          <w:sz w:val="30"/>
          <w:szCs w:val="30"/>
          <w:rtl/>
        </w:rPr>
        <w:t>هذا، و</w:t>
      </w:r>
      <w:r w:rsidRPr="00C215DE">
        <w:rPr>
          <w:rFonts w:ascii="Traditional Arabic" w:hAnsi="Traditional Arabic" w:cs="Traditional Arabic"/>
          <w:b/>
          <w:sz w:val="30"/>
          <w:szCs w:val="30"/>
          <w:rtl/>
        </w:rPr>
        <w:t>تخضع جميع مبيعات الشركة داخل سلطنة عمان لضريبة القيمة المضافة في حين أن صادراتها إلى البلدان الأخرى (التي تشكل في المتوسط ما يقرب من 95 في المائة من مبيعاتها) معفاة من ضريبة القيمة المضافة.</w:t>
      </w:r>
    </w:p>
    <w:p w14:paraId="5DC2BC3B" w14:textId="77777777" w:rsidR="00C215DE" w:rsidRPr="00C215DE" w:rsidRDefault="00C215DE" w:rsidP="00C215DE">
      <w:pPr>
        <w:autoSpaceDE w:val="0"/>
        <w:autoSpaceDN w:val="0"/>
        <w:bidi/>
        <w:adjustRightInd w:val="0"/>
        <w:jc w:val="lowKashida"/>
        <w:rPr>
          <w:rFonts w:ascii="Traditional Arabic" w:hAnsi="Traditional Arabic" w:cs="Traditional Arabic"/>
          <w:b/>
          <w:sz w:val="30"/>
          <w:szCs w:val="30"/>
        </w:rPr>
      </w:pPr>
    </w:p>
    <w:p w14:paraId="12BC0644" w14:textId="77777777" w:rsidR="006633BD" w:rsidRDefault="006633BD" w:rsidP="006633BD">
      <w:pPr>
        <w:autoSpaceDE w:val="0"/>
        <w:autoSpaceDN w:val="0"/>
        <w:bidi/>
        <w:adjustRightInd w:val="0"/>
        <w:jc w:val="lowKashida"/>
        <w:rPr>
          <w:rFonts w:ascii="Traditional Arabic" w:hAnsi="Traditional Arabic" w:cs="Traditional Arabic"/>
          <w:b/>
          <w:sz w:val="30"/>
          <w:szCs w:val="30"/>
        </w:rPr>
      </w:pPr>
    </w:p>
    <w:p w14:paraId="52492895" w14:textId="77777777" w:rsidR="001C2AD1" w:rsidRPr="00EB5BCF" w:rsidRDefault="001C2AD1" w:rsidP="00146108">
      <w:pPr>
        <w:autoSpaceDE w:val="0"/>
        <w:autoSpaceDN w:val="0"/>
        <w:bidi/>
        <w:adjustRightInd w:val="0"/>
        <w:jc w:val="lowKashida"/>
        <w:rPr>
          <w:rFonts w:ascii="Traditional Arabic" w:hAnsi="Traditional Arabic" w:cs="Traditional Arabic"/>
          <w:bCs/>
          <w:sz w:val="30"/>
          <w:szCs w:val="30"/>
          <w:rtl/>
        </w:rPr>
      </w:pPr>
    </w:p>
    <w:p w14:paraId="5BA6B9B7" w14:textId="77777777" w:rsidR="001C32D3" w:rsidRPr="00EB5BCF" w:rsidRDefault="001C32D3" w:rsidP="001C32D3">
      <w:pPr>
        <w:autoSpaceDE w:val="0"/>
        <w:autoSpaceDN w:val="0"/>
        <w:bidi/>
        <w:adjustRightInd w:val="0"/>
        <w:jc w:val="center"/>
        <w:rPr>
          <w:rFonts w:ascii="Traditional Arabic" w:hAnsi="Traditional Arabic" w:cs="Traditional Arabic"/>
          <w:bCs/>
          <w:sz w:val="30"/>
          <w:szCs w:val="30"/>
          <w:rtl/>
        </w:rPr>
      </w:pPr>
    </w:p>
    <w:p w14:paraId="262F764D" w14:textId="77777777" w:rsidR="001C32D3" w:rsidRPr="00EB5BCF" w:rsidRDefault="001C32D3" w:rsidP="001C32D3">
      <w:pPr>
        <w:autoSpaceDE w:val="0"/>
        <w:autoSpaceDN w:val="0"/>
        <w:bidi/>
        <w:adjustRightInd w:val="0"/>
        <w:jc w:val="center"/>
        <w:rPr>
          <w:rFonts w:ascii="Traditional Arabic" w:hAnsi="Traditional Arabic" w:cs="Traditional Arabic"/>
          <w:bCs/>
          <w:sz w:val="30"/>
          <w:szCs w:val="30"/>
          <w:rtl/>
        </w:rPr>
      </w:pPr>
    </w:p>
    <w:p w14:paraId="05DA3321" w14:textId="77777777" w:rsidR="001C32D3" w:rsidRPr="00EB5BCF" w:rsidRDefault="001C32D3">
      <w:pPr>
        <w:spacing w:after="160" w:line="259" w:lineRule="auto"/>
        <w:rPr>
          <w:rFonts w:ascii="Traditional Arabic" w:hAnsi="Traditional Arabic" w:cs="Traditional Arabic"/>
          <w:bCs/>
          <w:sz w:val="30"/>
          <w:szCs w:val="30"/>
          <w:rtl/>
        </w:rPr>
      </w:pPr>
      <w:r w:rsidRPr="00EB5BCF">
        <w:rPr>
          <w:rFonts w:ascii="Traditional Arabic" w:hAnsi="Traditional Arabic" w:cs="Traditional Arabic"/>
          <w:bCs/>
          <w:sz w:val="30"/>
          <w:szCs w:val="30"/>
          <w:rtl/>
        </w:rPr>
        <w:br w:type="page"/>
      </w:r>
    </w:p>
    <w:p w14:paraId="1EE83396" w14:textId="77777777" w:rsidR="001C32D3" w:rsidRPr="00EB5BCF" w:rsidRDefault="001C32D3" w:rsidP="001C32D3">
      <w:pPr>
        <w:autoSpaceDE w:val="0"/>
        <w:autoSpaceDN w:val="0"/>
        <w:bidi/>
        <w:adjustRightInd w:val="0"/>
        <w:jc w:val="center"/>
        <w:rPr>
          <w:rFonts w:ascii="Traditional Arabic" w:hAnsi="Traditional Arabic" w:cs="Traditional Arabic"/>
          <w:bCs/>
          <w:sz w:val="30"/>
          <w:szCs w:val="30"/>
          <w:rtl/>
        </w:rPr>
      </w:pPr>
      <w:r w:rsidRPr="00EB5BCF">
        <w:rPr>
          <w:rFonts w:ascii="Traditional Arabic" w:hAnsi="Traditional Arabic" w:cs="Traditional Arabic" w:hint="eastAsia"/>
          <w:bCs/>
          <w:sz w:val="30"/>
          <w:szCs w:val="30"/>
          <w:rtl/>
        </w:rPr>
        <w:lastRenderedPageBreak/>
        <w:t>الفصل</w:t>
      </w:r>
      <w:r w:rsidRPr="00EB5BCF">
        <w:rPr>
          <w:rFonts w:ascii="Traditional Arabic" w:hAnsi="Traditional Arabic" w:cs="Traditional Arabic"/>
          <w:bCs/>
          <w:sz w:val="30"/>
          <w:szCs w:val="30"/>
          <w:rtl/>
        </w:rPr>
        <w:t xml:space="preserve"> </w:t>
      </w:r>
      <w:r w:rsidR="00E204C9">
        <w:rPr>
          <w:rFonts w:ascii="Traditional Arabic" w:hAnsi="Traditional Arabic" w:cs="Traditional Arabic" w:hint="cs"/>
          <w:bCs/>
          <w:sz w:val="30"/>
          <w:szCs w:val="30"/>
          <w:rtl/>
        </w:rPr>
        <w:t>الرابع</w:t>
      </w:r>
      <w:r w:rsidR="00E204C9" w:rsidRPr="00EB5BCF">
        <w:rPr>
          <w:rFonts w:ascii="Traditional Arabic" w:hAnsi="Traditional Arabic" w:cs="Traditional Arabic"/>
          <w:bCs/>
          <w:sz w:val="30"/>
          <w:szCs w:val="30"/>
          <w:rtl/>
        </w:rPr>
        <w:t xml:space="preserve"> </w:t>
      </w:r>
      <w:r w:rsidRPr="00EB5BCF">
        <w:rPr>
          <w:rFonts w:ascii="Traditional Arabic" w:hAnsi="Traditional Arabic" w:cs="Traditional Arabic" w:hint="eastAsia"/>
          <w:bCs/>
          <w:sz w:val="30"/>
          <w:szCs w:val="30"/>
          <w:rtl/>
        </w:rPr>
        <w:t>والعشر</w:t>
      </w:r>
      <w:r w:rsidR="00B059AE">
        <w:rPr>
          <w:rFonts w:ascii="Traditional Arabic" w:hAnsi="Traditional Arabic" w:cs="Traditional Arabic" w:hint="cs"/>
          <w:bCs/>
          <w:sz w:val="30"/>
          <w:szCs w:val="30"/>
          <w:rtl/>
        </w:rPr>
        <w:t>ون</w:t>
      </w:r>
    </w:p>
    <w:p w14:paraId="4D0FB69E" w14:textId="77777777" w:rsidR="00C0446D" w:rsidRPr="00EB5BCF" w:rsidRDefault="005F60A4" w:rsidP="001C32D3">
      <w:pPr>
        <w:autoSpaceDE w:val="0"/>
        <w:autoSpaceDN w:val="0"/>
        <w:bidi/>
        <w:adjustRightInd w:val="0"/>
        <w:jc w:val="center"/>
        <w:rPr>
          <w:rFonts w:ascii="Traditional Arabic" w:hAnsi="Traditional Arabic" w:cs="Traditional Arabic"/>
          <w:bCs/>
          <w:sz w:val="30"/>
          <w:szCs w:val="30"/>
          <w:rtl/>
        </w:rPr>
      </w:pPr>
      <w:r w:rsidRPr="00EB5BCF">
        <w:rPr>
          <w:rFonts w:ascii="Traditional Arabic" w:hAnsi="Traditional Arabic" w:cs="Traditional Arabic" w:hint="eastAsia"/>
          <w:bCs/>
          <w:sz w:val="30"/>
          <w:szCs w:val="30"/>
          <w:rtl/>
        </w:rPr>
        <w:t>ال</w:t>
      </w:r>
      <w:r w:rsidR="001B54EC" w:rsidRPr="00EB5BCF">
        <w:rPr>
          <w:rFonts w:ascii="Traditional Arabic" w:hAnsi="Traditional Arabic" w:cs="Traditional Arabic"/>
          <w:bCs/>
          <w:sz w:val="30"/>
          <w:szCs w:val="30"/>
          <w:rtl/>
        </w:rPr>
        <w:t xml:space="preserve">مسائل </w:t>
      </w:r>
      <w:r w:rsidRPr="00EB5BCF">
        <w:rPr>
          <w:rFonts w:ascii="Traditional Arabic" w:hAnsi="Traditional Arabic" w:cs="Traditional Arabic" w:hint="eastAsia"/>
          <w:bCs/>
          <w:sz w:val="30"/>
          <w:szCs w:val="30"/>
          <w:rtl/>
        </w:rPr>
        <w:t>ال</w:t>
      </w:r>
      <w:r w:rsidR="001B54EC" w:rsidRPr="00EB5BCF">
        <w:rPr>
          <w:rFonts w:ascii="Traditional Arabic" w:hAnsi="Traditional Arabic" w:cs="Traditional Arabic"/>
          <w:bCs/>
          <w:sz w:val="30"/>
          <w:szCs w:val="30"/>
          <w:rtl/>
        </w:rPr>
        <w:t>قانونية</w:t>
      </w:r>
    </w:p>
    <w:p w14:paraId="6EDD9CEB" w14:textId="77777777" w:rsidR="00E8622E" w:rsidRPr="00EB5BCF" w:rsidRDefault="001B54EC" w:rsidP="00E8622E">
      <w:pPr>
        <w:autoSpaceDE w:val="0"/>
        <w:autoSpaceDN w:val="0"/>
        <w:bidi/>
        <w:adjustRightInd w:val="0"/>
        <w:jc w:val="both"/>
        <w:rPr>
          <w:rFonts w:ascii="Traditional Arabic" w:hAnsi="Traditional Arabic" w:cs="Traditional Arabic"/>
          <w:b/>
          <w:sz w:val="30"/>
          <w:szCs w:val="30"/>
          <w:rtl/>
        </w:rPr>
        <w:sectPr w:rsidR="00E8622E" w:rsidRPr="00EB5BCF">
          <w:pgSz w:w="12240" w:h="15840"/>
          <w:pgMar w:top="1440" w:right="1440" w:bottom="1440" w:left="1440" w:header="720" w:footer="720" w:gutter="0"/>
          <w:cols w:space="720"/>
          <w:docGrid w:linePitch="360"/>
        </w:sectPr>
      </w:pPr>
      <w:r w:rsidRPr="00EB5BCF">
        <w:rPr>
          <w:rFonts w:ascii="Traditional Arabic" w:hAnsi="Traditional Arabic" w:cs="Traditional Arabic"/>
          <w:b/>
          <w:sz w:val="30"/>
          <w:szCs w:val="30"/>
          <w:rtl/>
        </w:rPr>
        <w:t>سي</w:t>
      </w:r>
      <w:r w:rsidR="001B44BE" w:rsidRPr="00EB5BCF">
        <w:rPr>
          <w:rFonts w:ascii="Traditional Arabic" w:hAnsi="Traditional Arabic" w:cs="Traditional Arabic"/>
          <w:b/>
          <w:sz w:val="30"/>
          <w:szCs w:val="30"/>
          <w:rtl/>
        </w:rPr>
        <w:t>وضح</w:t>
      </w:r>
      <w:r w:rsidRPr="00EB5BCF">
        <w:rPr>
          <w:rFonts w:ascii="Traditional Arabic" w:hAnsi="Traditional Arabic" w:cs="Traditional Arabic"/>
          <w:b/>
          <w:sz w:val="30"/>
          <w:szCs w:val="30"/>
          <w:rtl/>
        </w:rPr>
        <w:t xml:space="preserve"> المستشار ال</w:t>
      </w:r>
      <w:r w:rsidR="001B44BE" w:rsidRPr="00EB5BCF">
        <w:rPr>
          <w:rFonts w:ascii="Traditional Arabic" w:hAnsi="Traditional Arabic" w:cs="Traditional Arabic"/>
          <w:b/>
          <w:sz w:val="30"/>
          <w:szCs w:val="30"/>
          <w:rtl/>
        </w:rPr>
        <w:t>قانوني</w:t>
      </w:r>
      <w:r w:rsidR="002F2210" w:rsidRPr="00EB5BCF">
        <w:rPr>
          <w:rFonts w:ascii="Traditional Arabic" w:hAnsi="Traditional Arabic" w:cs="Traditional Arabic"/>
          <w:b/>
          <w:sz w:val="30"/>
          <w:szCs w:val="30"/>
          <w:rtl/>
        </w:rPr>
        <w:t xml:space="preserve"> (مكتب المعمرية والعبري وشركاؤهم) (ومكتب لينكلاترز إل إل بي)</w:t>
      </w:r>
      <w:r w:rsidR="001B44BE" w:rsidRPr="00EB5BCF">
        <w:rPr>
          <w:rFonts w:ascii="Traditional Arabic" w:hAnsi="Traditional Arabic" w:cs="Traditional Arabic"/>
          <w:b/>
          <w:sz w:val="30"/>
          <w:szCs w:val="30"/>
          <w:rtl/>
        </w:rPr>
        <w:t xml:space="preserve"> للشركة بعض المسائل القانونية الخاصة بالطرح</w:t>
      </w:r>
      <w:r w:rsidR="002F2210" w:rsidRPr="00EB5BCF">
        <w:rPr>
          <w:rFonts w:ascii="Traditional Arabic" w:hAnsi="Traditional Arabic" w:cs="Traditional Arabic"/>
          <w:b/>
          <w:sz w:val="30"/>
          <w:szCs w:val="30"/>
          <w:rtl/>
        </w:rPr>
        <w:t>، كما سي</w:t>
      </w:r>
      <w:r w:rsidR="009B25F1" w:rsidRPr="00EB5BCF">
        <w:rPr>
          <w:rFonts w:ascii="Traditional Arabic" w:hAnsi="Traditional Arabic" w:cs="Traditional Arabic"/>
          <w:b/>
          <w:sz w:val="30"/>
          <w:szCs w:val="30"/>
          <w:rtl/>
        </w:rPr>
        <w:t xml:space="preserve">قوم مكتب </w:t>
      </w:r>
      <w:r w:rsidR="005F2673">
        <w:rPr>
          <w:rFonts w:ascii="Traditional Arabic" w:hAnsi="Traditional Arabic" w:cs="Traditional Arabic" w:hint="cs"/>
          <w:b/>
          <w:sz w:val="30"/>
          <w:szCs w:val="30"/>
          <w:rtl/>
        </w:rPr>
        <w:t>ألين أوفري شيرمان ستيرلينغ إل إل بي</w:t>
      </w:r>
      <w:r w:rsidR="008E6711">
        <w:rPr>
          <w:rFonts w:ascii="Traditional Arabic" w:hAnsi="Traditional Arabic" w:cs="Traditional Arabic" w:hint="cs"/>
          <w:b/>
          <w:sz w:val="30"/>
          <w:szCs w:val="30"/>
          <w:rtl/>
        </w:rPr>
        <w:t xml:space="preserve"> </w:t>
      </w:r>
      <w:r w:rsidR="009B25F1" w:rsidRPr="00EB5BCF">
        <w:rPr>
          <w:rFonts w:ascii="Traditional Arabic" w:hAnsi="Traditional Arabic" w:cs="Traditional Arabic"/>
          <w:b/>
          <w:sz w:val="30"/>
          <w:szCs w:val="30"/>
          <w:rtl/>
        </w:rPr>
        <w:t xml:space="preserve">بتوضيح بعض المسائل القانونية الخاصة بالطرح </w:t>
      </w:r>
      <w:r w:rsidR="002625BA">
        <w:rPr>
          <w:rFonts w:ascii="Traditional Arabic" w:hAnsi="Traditional Arabic" w:cs="Traditional Arabic" w:hint="cs"/>
          <w:b/>
          <w:sz w:val="30"/>
          <w:szCs w:val="30"/>
          <w:rtl/>
        </w:rPr>
        <w:t>لمدير سجل الاكتتاب المشترك</w:t>
      </w:r>
      <w:r w:rsidR="00BF7E25">
        <w:rPr>
          <w:rFonts w:ascii="Traditional Arabic" w:hAnsi="Traditional Arabic" w:cs="Traditional Arabic" w:hint="cs"/>
          <w:b/>
          <w:sz w:val="30"/>
          <w:szCs w:val="30"/>
          <w:rtl/>
        </w:rPr>
        <w:t xml:space="preserve"> </w:t>
      </w:r>
      <w:r w:rsidR="003A5F08">
        <w:rPr>
          <w:rFonts w:ascii="Traditional Arabic" w:hAnsi="Traditional Arabic" w:cs="Traditional Arabic" w:hint="cs"/>
          <w:b/>
          <w:sz w:val="30"/>
          <w:szCs w:val="30"/>
          <w:rtl/>
        </w:rPr>
        <w:t>و</w:t>
      </w:r>
      <w:r w:rsidR="003A5F08">
        <w:rPr>
          <w:rFonts w:ascii="Traditional Arabic" w:hAnsi="Traditional Arabic" w:cs="Traditional Arabic" w:hint="cs"/>
          <w:sz w:val="30"/>
          <w:szCs w:val="30"/>
          <w:rtl/>
        </w:rPr>
        <w:t>مدير الإصدار</w:t>
      </w:r>
      <w:r w:rsidR="003A5F08" w:rsidRPr="00A1314E">
        <w:rPr>
          <w:rFonts w:ascii="Traditional Arabic" w:hAnsi="Traditional Arabic" w:cs="Traditional Arabic"/>
          <w:b/>
          <w:sz w:val="30"/>
          <w:szCs w:val="30"/>
          <w:rtl/>
        </w:rPr>
        <w:t xml:space="preserve"> </w:t>
      </w:r>
      <w:r w:rsidR="00BF7E25">
        <w:rPr>
          <w:rFonts w:ascii="Traditional Arabic" w:hAnsi="Traditional Arabic" w:cs="Traditional Arabic" w:hint="cs"/>
          <w:b/>
          <w:sz w:val="30"/>
          <w:szCs w:val="30"/>
          <w:rtl/>
        </w:rPr>
        <w:t>والمنسق العالمي المشترك</w:t>
      </w:r>
      <w:r w:rsidR="0053089B" w:rsidRPr="00EB5BCF">
        <w:rPr>
          <w:rFonts w:ascii="Traditional Arabic" w:hAnsi="Traditional Arabic" w:cs="Traditional Arabic"/>
          <w:b/>
          <w:sz w:val="30"/>
          <w:szCs w:val="30"/>
          <w:rtl/>
        </w:rPr>
        <w:t xml:space="preserve"> ووكلاء التحصيل</w:t>
      </w:r>
      <w:r w:rsidR="009B25F1" w:rsidRPr="00EB5BCF">
        <w:rPr>
          <w:rFonts w:ascii="Traditional Arabic" w:hAnsi="Traditional Arabic" w:cs="Traditional Arabic"/>
          <w:b/>
          <w:sz w:val="30"/>
          <w:szCs w:val="30"/>
          <w:rtl/>
        </w:rPr>
        <w:t>.</w:t>
      </w:r>
    </w:p>
    <w:p w14:paraId="46D9D530" w14:textId="77777777" w:rsidR="001C32D3" w:rsidRPr="00EB5BCF" w:rsidRDefault="001C32D3" w:rsidP="001C32D3">
      <w:pPr>
        <w:autoSpaceDE w:val="0"/>
        <w:autoSpaceDN w:val="0"/>
        <w:bidi/>
        <w:adjustRightInd w:val="0"/>
        <w:jc w:val="center"/>
        <w:rPr>
          <w:rFonts w:ascii="Traditional Arabic" w:hAnsi="Traditional Arabic" w:cs="Traditional Arabic"/>
          <w:bCs/>
          <w:sz w:val="30"/>
          <w:szCs w:val="30"/>
          <w:rtl/>
        </w:rPr>
      </w:pPr>
      <w:r w:rsidRPr="00EB5BCF">
        <w:rPr>
          <w:rFonts w:ascii="Traditional Arabic" w:hAnsi="Traditional Arabic" w:cs="Traditional Arabic" w:hint="eastAsia"/>
          <w:bCs/>
          <w:sz w:val="30"/>
          <w:szCs w:val="30"/>
          <w:rtl/>
        </w:rPr>
        <w:lastRenderedPageBreak/>
        <w:t>الفصل</w:t>
      </w:r>
      <w:r w:rsidRPr="00EB5BCF">
        <w:rPr>
          <w:rFonts w:ascii="Traditional Arabic" w:hAnsi="Traditional Arabic" w:cs="Traditional Arabic"/>
          <w:bCs/>
          <w:sz w:val="30"/>
          <w:szCs w:val="30"/>
          <w:rtl/>
        </w:rPr>
        <w:t xml:space="preserve"> </w:t>
      </w:r>
      <w:r w:rsidR="00272B36">
        <w:rPr>
          <w:rFonts w:ascii="Traditional Arabic" w:hAnsi="Traditional Arabic" w:cs="Traditional Arabic" w:hint="cs"/>
          <w:bCs/>
          <w:sz w:val="30"/>
          <w:szCs w:val="30"/>
          <w:rtl/>
        </w:rPr>
        <w:t xml:space="preserve">الخامس </w:t>
      </w:r>
      <w:r w:rsidRPr="00EB5BCF">
        <w:rPr>
          <w:rFonts w:ascii="Traditional Arabic" w:hAnsi="Traditional Arabic" w:cs="Traditional Arabic" w:hint="eastAsia"/>
          <w:bCs/>
          <w:sz w:val="30"/>
          <w:szCs w:val="30"/>
          <w:rtl/>
        </w:rPr>
        <w:t>والعشر</w:t>
      </w:r>
      <w:r w:rsidR="00EA52E5">
        <w:rPr>
          <w:rFonts w:ascii="Traditional Arabic" w:hAnsi="Traditional Arabic" w:cs="Traditional Arabic" w:hint="cs"/>
          <w:bCs/>
          <w:sz w:val="30"/>
          <w:szCs w:val="30"/>
          <w:rtl/>
        </w:rPr>
        <w:t>ون</w:t>
      </w:r>
    </w:p>
    <w:p w14:paraId="2DD468FB" w14:textId="77777777" w:rsidR="00E8622E" w:rsidRPr="00EB5BCF" w:rsidRDefault="00EA52E5" w:rsidP="008252E9">
      <w:pPr>
        <w:autoSpaceDE w:val="0"/>
        <w:autoSpaceDN w:val="0"/>
        <w:bidi/>
        <w:adjustRightInd w:val="0"/>
        <w:jc w:val="center"/>
        <w:rPr>
          <w:rFonts w:ascii="Traditional Arabic" w:hAnsi="Traditional Arabic" w:cs="Traditional Arabic"/>
          <w:sz w:val="30"/>
          <w:szCs w:val="30"/>
          <w:rtl/>
          <w:lang w:bidi="ar-OM"/>
        </w:rPr>
      </w:pPr>
      <w:r w:rsidRPr="00EB5BCF">
        <w:rPr>
          <w:rFonts w:ascii="Traditional Arabic" w:hAnsi="Traditional Arabic" w:cs="Traditional Arabic" w:hint="eastAsia"/>
          <w:b/>
          <w:bCs/>
          <w:sz w:val="30"/>
          <w:szCs w:val="30"/>
          <w:rtl/>
          <w:lang w:bidi="ar-OM"/>
        </w:rPr>
        <w:t>م</w:t>
      </w:r>
      <w:r>
        <w:rPr>
          <w:rFonts w:ascii="Traditional Arabic" w:hAnsi="Traditional Arabic" w:cs="Traditional Arabic" w:hint="cs"/>
          <w:b/>
          <w:bCs/>
          <w:sz w:val="30"/>
          <w:szCs w:val="30"/>
          <w:rtl/>
          <w:lang w:bidi="ar-OM"/>
        </w:rPr>
        <w:t>راقب</w:t>
      </w:r>
      <w:r w:rsidRPr="00EB5BCF">
        <w:rPr>
          <w:rFonts w:ascii="Traditional Arabic" w:hAnsi="Traditional Arabic" w:cs="Traditional Arabic"/>
          <w:b/>
          <w:bCs/>
          <w:sz w:val="30"/>
          <w:szCs w:val="30"/>
          <w:rtl/>
          <w:lang w:bidi="ar-OM"/>
        </w:rPr>
        <w:t xml:space="preserve"> </w:t>
      </w:r>
      <w:r w:rsidR="005B0508" w:rsidRPr="00EB5BCF">
        <w:rPr>
          <w:rFonts w:ascii="Traditional Arabic" w:hAnsi="Traditional Arabic" w:cs="Traditional Arabic"/>
          <w:b/>
          <w:bCs/>
          <w:sz w:val="30"/>
          <w:szCs w:val="30"/>
          <w:rtl/>
          <w:lang w:bidi="ar-OM"/>
        </w:rPr>
        <w:t>الحسابات المستقل</w:t>
      </w:r>
    </w:p>
    <w:p w14:paraId="48CC3728" w14:textId="77777777" w:rsidR="005B0508" w:rsidRPr="00EB5BCF" w:rsidRDefault="005B0508" w:rsidP="005B0508">
      <w:pPr>
        <w:autoSpaceDE w:val="0"/>
        <w:autoSpaceDN w:val="0"/>
        <w:bidi/>
        <w:adjustRightInd w:val="0"/>
        <w:jc w:val="both"/>
        <w:rPr>
          <w:rFonts w:ascii="Traditional Arabic" w:hAnsi="Traditional Arabic" w:cs="Traditional Arabic"/>
          <w:sz w:val="30"/>
          <w:szCs w:val="30"/>
          <w:rtl/>
          <w:lang w:bidi="ar-OM"/>
        </w:rPr>
      </w:pPr>
    </w:p>
    <w:p w14:paraId="5D6CC86E" w14:textId="77777777" w:rsidR="006E5359" w:rsidRDefault="00C9752B" w:rsidP="006E5359">
      <w:pPr>
        <w:autoSpaceDE w:val="0"/>
        <w:autoSpaceDN w:val="0"/>
        <w:bidi/>
        <w:adjustRightInd w:val="0"/>
        <w:jc w:val="mediumKashida"/>
        <w:rPr>
          <w:rFonts w:ascii="Traditional Arabic" w:hAnsi="Traditional Arabic" w:cs="Traditional Arabic"/>
          <w:sz w:val="30"/>
          <w:szCs w:val="30"/>
          <w:rtl/>
        </w:rPr>
      </w:pPr>
      <w:r w:rsidRPr="00C9752B">
        <w:rPr>
          <w:rFonts w:ascii="Traditional Arabic" w:hAnsi="Traditional Arabic" w:cs="Traditional Arabic"/>
          <w:sz w:val="30"/>
          <w:szCs w:val="30"/>
          <w:rtl/>
        </w:rPr>
        <w:t>تم تدقيق البيانات المالية للشركة كما في وللسنوات المنتهية في 31 ديسمبر 2023 و 31 ديسمبر 2022، المدرجة في هذه النشرة، وفقًا للمعايير الدولية لإعداد التقارير المالية من قبل شركة كيه بي إم جي ش م م، مدققي الحسابات المستقلين، كما هو مذكور في تقاريرهم الواردة في هذه النشرة. تم تدقيق البيانات المالية للشركة كما في وللأشهر التسعة المنتهية في 31 سبتمبر 2024، المدرجة في هذه النشرة، وفقًا للمعايير الدولية لإعداد التقارير المالية من قبل شركة كيه بي إم جي ش م م. تمت مراجعة البيانات المالية المقارنة كما في وللأشهر التسعة المنتهية في 31 سبتمبر 2023 وفقًا لمعيار المحاسبة الدولي 34 من قبل شركة كيه بي إم جي ش م م.</w:t>
      </w:r>
    </w:p>
    <w:p w14:paraId="31520811" w14:textId="77777777" w:rsidR="00370341" w:rsidRPr="00EB5BCF" w:rsidRDefault="00370341">
      <w:pPr>
        <w:spacing w:after="160" w:line="259" w:lineRule="auto"/>
        <w:rPr>
          <w:rFonts w:ascii="Traditional Arabic" w:hAnsi="Traditional Arabic" w:cs="Traditional Arabic"/>
          <w:sz w:val="30"/>
          <w:szCs w:val="30"/>
          <w:lang w:bidi="ar-OM"/>
        </w:rPr>
      </w:pPr>
      <w:r w:rsidRPr="00EB5BCF">
        <w:rPr>
          <w:rFonts w:ascii="Traditional Arabic" w:hAnsi="Traditional Arabic" w:cs="Traditional Arabic"/>
          <w:sz w:val="30"/>
          <w:szCs w:val="30"/>
          <w:lang w:bidi="ar-OM"/>
        </w:rPr>
        <w:br w:type="page"/>
      </w:r>
    </w:p>
    <w:p w14:paraId="330C416E" w14:textId="77777777" w:rsidR="001C2AD1" w:rsidRPr="00EB5BCF" w:rsidRDefault="001C2AD1" w:rsidP="00146108">
      <w:pPr>
        <w:autoSpaceDE w:val="0"/>
        <w:autoSpaceDN w:val="0"/>
        <w:bidi/>
        <w:adjustRightInd w:val="0"/>
        <w:jc w:val="mediumKashida"/>
        <w:rPr>
          <w:rFonts w:ascii="Traditional Arabic" w:hAnsi="Traditional Arabic" w:cs="Traditional Arabic"/>
          <w:sz w:val="30"/>
          <w:szCs w:val="30"/>
          <w:rtl/>
          <w:lang w:bidi="ar-OM"/>
        </w:rPr>
      </w:pPr>
    </w:p>
    <w:p w14:paraId="7836D6D9" w14:textId="77777777" w:rsidR="00B32090" w:rsidRPr="00EB5BCF" w:rsidRDefault="00C0446D" w:rsidP="008252E9">
      <w:pPr>
        <w:autoSpaceDE w:val="0"/>
        <w:autoSpaceDN w:val="0"/>
        <w:bidi/>
        <w:adjustRightInd w:val="0"/>
        <w:jc w:val="center"/>
        <w:rPr>
          <w:rFonts w:ascii="Traditional Arabic" w:hAnsi="Traditional Arabic" w:cs="Traditional Arabic"/>
          <w:b/>
          <w:bCs/>
          <w:sz w:val="30"/>
          <w:szCs w:val="30"/>
          <w:rtl/>
          <w:lang w:bidi="ar-OM"/>
        </w:rPr>
      </w:pPr>
      <w:r w:rsidRPr="00EB5BCF">
        <w:rPr>
          <w:rFonts w:ascii="Traditional Arabic" w:hAnsi="Traditional Arabic" w:cs="Traditional Arabic"/>
          <w:b/>
          <w:bCs/>
          <w:sz w:val="30"/>
          <w:szCs w:val="30"/>
          <w:rtl/>
          <w:lang w:bidi="ar-OM"/>
        </w:rPr>
        <w:t xml:space="preserve">الفصل </w:t>
      </w:r>
      <w:r w:rsidR="00272B36">
        <w:rPr>
          <w:rFonts w:ascii="Traditional Arabic" w:hAnsi="Traditional Arabic" w:cs="Traditional Arabic" w:hint="cs"/>
          <w:b/>
          <w:bCs/>
          <w:sz w:val="30"/>
          <w:szCs w:val="30"/>
          <w:rtl/>
          <w:lang w:bidi="ar-EG"/>
        </w:rPr>
        <w:t>السادس</w:t>
      </w:r>
      <w:r w:rsidR="00272B36" w:rsidRPr="00EB5BCF">
        <w:rPr>
          <w:rFonts w:ascii="Traditional Arabic" w:hAnsi="Traditional Arabic" w:cs="Traditional Arabic"/>
          <w:b/>
          <w:bCs/>
          <w:sz w:val="30"/>
          <w:szCs w:val="30"/>
          <w:rtl/>
          <w:lang w:bidi="ar-OM"/>
        </w:rPr>
        <w:t xml:space="preserve"> </w:t>
      </w:r>
      <w:r w:rsidR="006D54D3" w:rsidRPr="00EB5BCF">
        <w:rPr>
          <w:rFonts w:ascii="Traditional Arabic" w:hAnsi="Traditional Arabic" w:cs="Traditional Arabic"/>
          <w:b/>
          <w:bCs/>
          <w:sz w:val="30"/>
          <w:szCs w:val="30"/>
          <w:rtl/>
          <w:lang w:bidi="ar-OM"/>
        </w:rPr>
        <w:t>والعشر</w:t>
      </w:r>
      <w:r w:rsidR="006D54D3">
        <w:rPr>
          <w:rFonts w:ascii="Traditional Arabic" w:hAnsi="Traditional Arabic" w:cs="Traditional Arabic" w:hint="cs"/>
          <w:b/>
          <w:bCs/>
          <w:sz w:val="30"/>
          <w:szCs w:val="30"/>
          <w:rtl/>
          <w:lang w:bidi="ar-OM"/>
        </w:rPr>
        <w:t>ون</w:t>
      </w:r>
    </w:p>
    <w:p w14:paraId="6ADD4461" w14:textId="77777777" w:rsidR="00C0446D" w:rsidRPr="00EB5BCF" w:rsidRDefault="00C0446D" w:rsidP="008252E9">
      <w:pPr>
        <w:autoSpaceDE w:val="0"/>
        <w:autoSpaceDN w:val="0"/>
        <w:bidi/>
        <w:adjustRightInd w:val="0"/>
        <w:jc w:val="center"/>
        <w:rPr>
          <w:rFonts w:ascii="Traditional Arabic" w:hAnsi="Traditional Arabic" w:cs="Traditional Arabic"/>
          <w:sz w:val="30"/>
          <w:szCs w:val="30"/>
          <w:rtl/>
          <w:lang w:bidi="ar-OM"/>
        </w:rPr>
      </w:pPr>
      <w:r w:rsidRPr="00EB5BCF">
        <w:rPr>
          <w:rFonts w:ascii="Traditional Arabic" w:hAnsi="Traditional Arabic" w:cs="Traditional Arabic"/>
          <w:b/>
          <w:bCs/>
          <w:sz w:val="30"/>
          <w:szCs w:val="30"/>
          <w:rtl/>
          <w:lang w:bidi="ar-OM"/>
        </w:rPr>
        <w:t>البيانات المالية التاريخية</w:t>
      </w:r>
    </w:p>
    <w:p w14:paraId="45953FB0" w14:textId="77777777" w:rsidR="00C0446D" w:rsidRPr="00EB5BCF" w:rsidRDefault="00C0446D" w:rsidP="00C0446D">
      <w:pPr>
        <w:autoSpaceDE w:val="0"/>
        <w:autoSpaceDN w:val="0"/>
        <w:bidi/>
        <w:adjustRightInd w:val="0"/>
        <w:jc w:val="both"/>
        <w:rPr>
          <w:rFonts w:ascii="Traditional Arabic" w:hAnsi="Traditional Arabic" w:cs="Traditional Arabic"/>
          <w:b/>
          <w:bCs/>
          <w:sz w:val="30"/>
          <w:szCs w:val="30"/>
          <w:rtl/>
          <w:lang w:bidi="ar-OM"/>
        </w:rPr>
      </w:pPr>
    </w:p>
    <w:tbl>
      <w:tblPr>
        <w:tblStyle w:val="TableGrid"/>
        <w:bidiVisual/>
        <w:tblW w:w="0" w:type="auto"/>
        <w:tblLook w:val="04A0" w:firstRow="1" w:lastRow="0" w:firstColumn="1" w:lastColumn="0" w:noHBand="0" w:noVBand="1"/>
      </w:tblPr>
      <w:tblGrid>
        <w:gridCol w:w="9350"/>
      </w:tblGrid>
      <w:tr w:rsidR="00B32090" w:rsidRPr="00EB5BCF" w14:paraId="1EF08030" w14:textId="77777777" w:rsidTr="00B02C3E">
        <w:tc>
          <w:tcPr>
            <w:tcW w:w="9350" w:type="dxa"/>
          </w:tcPr>
          <w:p w14:paraId="09B925EC" w14:textId="77777777" w:rsidR="00B32090" w:rsidRPr="00EB5BCF" w:rsidRDefault="00B32090" w:rsidP="006E7E6E">
            <w:pPr>
              <w:autoSpaceDE w:val="0"/>
              <w:autoSpaceDN w:val="0"/>
              <w:bidi/>
              <w:adjustRightInd w:val="0"/>
              <w:jc w:val="both"/>
              <w:rPr>
                <w:rFonts w:ascii="Traditional Arabic" w:hAnsi="Traditional Arabic" w:cs="Traditional Arabic"/>
                <w:sz w:val="30"/>
                <w:szCs w:val="30"/>
                <w:rtl/>
                <w:lang w:bidi="ar-OM"/>
              </w:rPr>
            </w:pPr>
            <w:r w:rsidRPr="00EB5BCF">
              <w:rPr>
                <w:rFonts w:ascii="Traditional Arabic" w:hAnsi="Traditional Arabic" w:cs="Traditional Arabic"/>
                <w:b/>
                <w:bCs/>
                <w:sz w:val="30"/>
                <w:szCs w:val="30"/>
                <w:rtl/>
                <w:lang w:bidi="ar-OM"/>
              </w:rPr>
              <w:t xml:space="preserve">البيانات المالية المرحلية </w:t>
            </w:r>
            <w:r w:rsidR="00397A38">
              <w:rPr>
                <w:rFonts w:ascii="Traditional Arabic" w:hAnsi="Traditional Arabic" w:cs="Traditional Arabic" w:hint="cs"/>
                <w:b/>
                <w:bCs/>
                <w:sz w:val="30"/>
                <w:szCs w:val="30"/>
                <w:rtl/>
                <w:lang w:bidi="ar-OM"/>
              </w:rPr>
              <w:t xml:space="preserve">الموحدة </w:t>
            </w:r>
            <w:r w:rsidRPr="00EB5BCF">
              <w:rPr>
                <w:rFonts w:ascii="Traditional Arabic" w:hAnsi="Traditional Arabic" w:cs="Traditional Arabic"/>
                <w:b/>
                <w:bCs/>
                <w:sz w:val="30"/>
                <w:szCs w:val="30"/>
                <w:rtl/>
                <w:lang w:bidi="ar-OM"/>
              </w:rPr>
              <w:t xml:space="preserve">المدققة عن فترة </w:t>
            </w:r>
            <w:r w:rsidR="00A877A7">
              <w:rPr>
                <w:rFonts w:ascii="Traditional Arabic" w:hAnsi="Traditional Arabic" w:cs="Traditional Arabic" w:hint="cs"/>
                <w:b/>
                <w:bCs/>
                <w:sz w:val="30"/>
                <w:szCs w:val="30"/>
                <w:rtl/>
                <w:lang w:bidi="ar-OM"/>
              </w:rPr>
              <w:t>التسعة</w:t>
            </w:r>
            <w:r w:rsidR="00A877A7" w:rsidRPr="00EB5BCF">
              <w:rPr>
                <w:rFonts w:ascii="Traditional Arabic" w:hAnsi="Traditional Arabic" w:cs="Traditional Arabic"/>
                <w:b/>
                <w:bCs/>
                <w:sz w:val="30"/>
                <w:szCs w:val="30"/>
                <w:rtl/>
                <w:lang w:bidi="ar-OM"/>
              </w:rPr>
              <w:t xml:space="preserve"> </w:t>
            </w:r>
            <w:r w:rsidRPr="00EB5BCF">
              <w:rPr>
                <w:rFonts w:ascii="Traditional Arabic" w:hAnsi="Traditional Arabic" w:cs="Traditional Arabic"/>
                <w:b/>
                <w:bCs/>
                <w:sz w:val="30"/>
                <w:szCs w:val="30"/>
                <w:rtl/>
                <w:lang w:bidi="ar-OM"/>
              </w:rPr>
              <w:t xml:space="preserve">أشهر المنتهية في </w:t>
            </w:r>
            <w:r w:rsidR="0049352D">
              <w:rPr>
                <w:rFonts w:ascii="Traditional Arabic" w:hAnsi="Traditional Arabic" w:cs="Traditional Arabic" w:hint="cs"/>
                <w:b/>
                <w:bCs/>
                <w:sz w:val="30"/>
                <w:szCs w:val="30"/>
                <w:rtl/>
                <w:lang w:bidi="ar-OM"/>
              </w:rPr>
              <w:t xml:space="preserve">30 </w:t>
            </w:r>
            <w:r w:rsidR="00A877A7">
              <w:rPr>
                <w:rFonts w:ascii="Traditional Arabic" w:hAnsi="Traditional Arabic" w:cs="Traditional Arabic" w:hint="cs"/>
                <w:b/>
                <w:bCs/>
                <w:sz w:val="30"/>
                <w:szCs w:val="30"/>
                <w:rtl/>
                <w:lang w:bidi="ar-OM"/>
              </w:rPr>
              <w:t xml:space="preserve">سبتمبر </w:t>
            </w:r>
            <w:r w:rsidR="0049352D">
              <w:rPr>
                <w:rFonts w:ascii="Traditional Arabic" w:hAnsi="Traditional Arabic" w:cs="Traditional Arabic" w:hint="cs"/>
                <w:b/>
                <w:bCs/>
                <w:sz w:val="30"/>
                <w:szCs w:val="30"/>
                <w:rtl/>
                <w:lang w:bidi="ar-OM"/>
              </w:rPr>
              <w:t xml:space="preserve">2024 </w:t>
            </w:r>
          </w:p>
        </w:tc>
      </w:tr>
      <w:tr w:rsidR="00AD355E" w:rsidRPr="00EB5BCF" w14:paraId="43A97C39" w14:textId="77777777" w:rsidTr="00C64EDB">
        <w:tc>
          <w:tcPr>
            <w:tcW w:w="9350" w:type="dxa"/>
          </w:tcPr>
          <w:p w14:paraId="0B7286C9"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EG"/>
              </w:rPr>
              <w:t xml:space="preserve">تقرير مراقب الحسابات المستقل </w:t>
            </w:r>
          </w:p>
        </w:tc>
      </w:tr>
      <w:tr w:rsidR="00AD355E" w:rsidRPr="00EB5BCF" w14:paraId="65DB9FD2" w14:textId="77777777" w:rsidTr="00C64EDB">
        <w:tc>
          <w:tcPr>
            <w:tcW w:w="9350" w:type="dxa"/>
          </w:tcPr>
          <w:p w14:paraId="580F812E" w14:textId="77777777" w:rsidR="00AD355E" w:rsidRPr="00EB5BCF" w:rsidRDefault="00AD355E" w:rsidP="001B5AED">
            <w:pPr>
              <w:autoSpaceDE w:val="0"/>
              <w:autoSpaceDN w:val="0"/>
              <w:bidi/>
              <w:adjustRightInd w:val="0"/>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البيانات المالية الموحدة ل</w:t>
            </w:r>
            <w:r w:rsidRPr="00EB5BCF">
              <w:rPr>
                <w:rFonts w:ascii="Traditional Arabic" w:hAnsi="Traditional Arabic" w:cs="Traditional Arabic"/>
                <w:sz w:val="30"/>
                <w:szCs w:val="30"/>
                <w:rtl/>
                <w:lang w:bidi="ar-OM"/>
              </w:rPr>
              <w:t xml:space="preserve">بيان </w:t>
            </w:r>
            <w:r>
              <w:rPr>
                <w:rFonts w:ascii="Traditional Arabic" w:hAnsi="Traditional Arabic" w:cs="Traditional Arabic" w:hint="cs"/>
                <w:sz w:val="30"/>
                <w:szCs w:val="30"/>
                <w:rtl/>
                <w:lang w:bidi="ar-OM"/>
              </w:rPr>
              <w:t>المركز المالي</w:t>
            </w:r>
          </w:p>
        </w:tc>
      </w:tr>
      <w:tr w:rsidR="00AD355E" w:rsidRPr="00EB5BCF" w14:paraId="4DF95B59" w14:textId="77777777" w:rsidTr="00C64EDB">
        <w:tc>
          <w:tcPr>
            <w:tcW w:w="9350" w:type="dxa"/>
          </w:tcPr>
          <w:p w14:paraId="358F1A86" w14:textId="77777777" w:rsidR="00AD355E" w:rsidRPr="00EB5BCF" w:rsidRDefault="00AD355E" w:rsidP="001B5AED">
            <w:pPr>
              <w:autoSpaceDE w:val="0"/>
              <w:autoSpaceDN w:val="0"/>
              <w:bidi/>
              <w:adjustRightInd w:val="0"/>
              <w:jc w:val="both"/>
              <w:rPr>
                <w:rFonts w:ascii="Traditional Arabic" w:hAnsi="Traditional Arabic" w:cs="Traditional Arabic"/>
                <w:sz w:val="30"/>
                <w:szCs w:val="30"/>
                <w:rtl/>
                <w:lang w:bidi="ar-OM"/>
              </w:rPr>
            </w:pPr>
            <w:r w:rsidRPr="009630F0">
              <w:rPr>
                <w:rFonts w:ascii="Traditional Arabic" w:hAnsi="Traditional Arabic" w:cs="Traditional Arabic"/>
                <w:sz w:val="30"/>
                <w:szCs w:val="30"/>
                <w:rtl/>
                <w:lang w:bidi="ar-OM"/>
              </w:rPr>
              <w:t xml:space="preserve">البيانات المالية الموحدة لبيان الربح والخسارة والدخل الشامل الآخر </w:t>
            </w:r>
          </w:p>
        </w:tc>
      </w:tr>
      <w:tr w:rsidR="00AD355E" w:rsidRPr="00EB5BCF" w14:paraId="0E23FBD9" w14:textId="77777777" w:rsidTr="00C64EDB">
        <w:tc>
          <w:tcPr>
            <w:tcW w:w="9350" w:type="dxa"/>
          </w:tcPr>
          <w:p w14:paraId="723248E9" w14:textId="77777777" w:rsidR="00AD355E" w:rsidRPr="00EB5BCF" w:rsidRDefault="00AD355E" w:rsidP="001B5AED">
            <w:pPr>
              <w:autoSpaceDE w:val="0"/>
              <w:autoSpaceDN w:val="0"/>
              <w:bidi/>
              <w:adjustRightInd w:val="0"/>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البيانات المالية الموحدة ل</w:t>
            </w:r>
            <w:r w:rsidRPr="00EB5BCF">
              <w:rPr>
                <w:rFonts w:ascii="Traditional Arabic" w:hAnsi="Traditional Arabic" w:cs="Traditional Arabic"/>
                <w:sz w:val="30"/>
                <w:szCs w:val="30"/>
                <w:rtl/>
                <w:lang w:bidi="ar-OM"/>
              </w:rPr>
              <w:t>بيان</w:t>
            </w:r>
            <w:r>
              <w:rPr>
                <w:rFonts w:ascii="Traditional Arabic" w:hAnsi="Traditional Arabic" w:cs="Traditional Arabic" w:hint="cs"/>
                <w:sz w:val="30"/>
                <w:szCs w:val="30"/>
                <w:rtl/>
                <w:lang w:bidi="ar-OM"/>
              </w:rPr>
              <w:t xml:space="preserve"> </w:t>
            </w:r>
            <w:r w:rsidRPr="00EB5BCF">
              <w:rPr>
                <w:rFonts w:ascii="Traditional Arabic" w:hAnsi="Traditional Arabic" w:cs="Traditional Arabic"/>
                <w:sz w:val="30"/>
                <w:szCs w:val="30"/>
                <w:rtl/>
                <w:lang w:bidi="ar-OM"/>
              </w:rPr>
              <w:t>تغير الملكية</w:t>
            </w:r>
            <w:r>
              <w:rPr>
                <w:rFonts w:ascii="Traditional Arabic" w:hAnsi="Traditional Arabic" w:cs="Traditional Arabic" w:hint="cs"/>
                <w:sz w:val="30"/>
                <w:szCs w:val="30"/>
                <w:rtl/>
                <w:lang w:bidi="ar-OM"/>
              </w:rPr>
              <w:t xml:space="preserve"> </w:t>
            </w:r>
          </w:p>
        </w:tc>
      </w:tr>
      <w:tr w:rsidR="00AD355E" w:rsidRPr="00EB5BCF" w14:paraId="208791D2" w14:textId="77777777" w:rsidTr="00C64EDB">
        <w:tc>
          <w:tcPr>
            <w:tcW w:w="9350" w:type="dxa"/>
          </w:tcPr>
          <w:p w14:paraId="15816836"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البيانات المالية الموحدة ل</w:t>
            </w:r>
            <w:r w:rsidRPr="00EB5BCF">
              <w:rPr>
                <w:rFonts w:ascii="Traditional Arabic" w:hAnsi="Traditional Arabic" w:cs="Traditional Arabic"/>
                <w:sz w:val="30"/>
                <w:szCs w:val="30"/>
                <w:rtl/>
                <w:lang w:bidi="ar-OM"/>
              </w:rPr>
              <w:t>بيان</w:t>
            </w:r>
            <w:r>
              <w:rPr>
                <w:rFonts w:ascii="Traditional Arabic" w:hAnsi="Traditional Arabic" w:cs="Traditional Arabic" w:hint="cs"/>
                <w:sz w:val="30"/>
                <w:szCs w:val="30"/>
                <w:rtl/>
                <w:lang w:bidi="ar-OM"/>
              </w:rPr>
              <w:t xml:space="preserve"> </w:t>
            </w:r>
            <w:r w:rsidRPr="00EB5BCF">
              <w:rPr>
                <w:rFonts w:ascii="Traditional Arabic" w:hAnsi="Traditional Arabic" w:cs="Traditional Arabic"/>
                <w:sz w:val="30"/>
                <w:szCs w:val="30"/>
                <w:rtl/>
                <w:lang w:bidi="ar-OM"/>
              </w:rPr>
              <w:t>التدفقات النقدية</w:t>
            </w:r>
            <w:r>
              <w:rPr>
                <w:rFonts w:ascii="Traditional Arabic" w:hAnsi="Traditional Arabic" w:cs="Traditional Arabic" w:hint="cs"/>
                <w:sz w:val="30"/>
                <w:szCs w:val="30"/>
                <w:rtl/>
                <w:lang w:bidi="ar-OM"/>
              </w:rPr>
              <w:t xml:space="preserve"> </w:t>
            </w:r>
          </w:p>
        </w:tc>
      </w:tr>
      <w:tr w:rsidR="00AD355E" w:rsidRPr="00EB5BCF" w14:paraId="5C1ABA93" w14:textId="77777777" w:rsidTr="00C64EDB">
        <w:tc>
          <w:tcPr>
            <w:tcW w:w="9350" w:type="dxa"/>
          </w:tcPr>
          <w:p w14:paraId="0BF1F398"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sidRPr="00EB5BCF">
              <w:rPr>
                <w:rFonts w:ascii="Traditional Arabic" w:hAnsi="Traditional Arabic" w:cs="Traditional Arabic"/>
                <w:sz w:val="30"/>
                <w:szCs w:val="30"/>
                <w:rtl/>
                <w:lang w:bidi="ar-OM"/>
              </w:rPr>
              <w:t xml:space="preserve">إيضاحات </w:t>
            </w:r>
            <w:r>
              <w:rPr>
                <w:rFonts w:ascii="Traditional Arabic" w:hAnsi="Traditional Arabic" w:cs="Traditional Arabic" w:hint="cs"/>
                <w:sz w:val="30"/>
                <w:szCs w:val="30"/>
                <w:rtl/>
                <w:lang w:bidi="ar-OM"/>
              </w:rPr>
              <w:t xml:space="preserve">حول </w:t>
            </w:r>
            <w:r w:rsidRPr="00EB5BCF">
              <w:rPr>
                <w:rFonts w:ascii="Traditional Arabic" w:hAnsi="Traditional Arabic" w:cs="Traditional Arabic"/>
                <w:sz w:val="30"/>
                <w:szCs w:val="30"/>
                <w:rtl/>
                <w:lang w:bidi="ar-OM"/>
              </w:rPr>
              <w:t>البيانات المالية</w:t>
            </w:r>
            <w:r>
              <w:rPr>
                <w:rFonts w:ascii="Traditional Arabic" w:hAnsi="Traditional Arabic" w:cs="Traditional Arabic" w:hint="cs"/>
                <w:sz w:val="30"/>
                <w:szCs w:val="30"/>
                <w:rtl/>
                <w:lang w:bidi="ar-OM"/>
              </w:rPr>
              <w:t xml:space="preserve"> الموحدة </w:t>
            </w:r>
          </w:p>
        </w:tc>
      </w:tr>
      <w:tr w:rsidR="001B5AED" w:rsidRPr="00EB5BCF" w14:paraId="7983C004" w14:textId="77777777" w:rsidTr="00B02C3E">
        <w:tc>
          <w:tcPr>
            <w:tcW w:w="9350" w:type="dxa"/>
          </w:tcPr>
          <w:p w14:paraId="087487A0" w14:textId="77777777" w:rsidR="001B5AED" w:rsidRPr="00EB5BCF" w:rsidRDefault="001B5AED" w:rsidP="001B5AED">
            <w:pPr>
              <w:autoSpaceDE w:val="0"/>
              <w:autoSpaceDN w:val="0"/>
              <w:bidi/>
              <w:adjustRightInd w:val="0"/>
              <w:jc w:val="both"/>
              <w:rPr>
                <w:rFonts w:ascii="Traditional Arabic" w:hAnsi="Traditional Arabic" w:cs="Traditional Arabic"/>
                <w:sz w:val="30"/>
                <w:szCs w:val="30"/>
                <w:rtl/>
                <w:lang w:bidi="ar-OM"/>
              </w:rPr>
            </w:pPr>
            <w:r w:rsidRPr="00EB5BCF">
              <w:rPr>
                <w:rFonts w:ascii="Traditional Arabic" w:hAnsi="Traditional Arabic" w:cs="Traditional Arabic"/>
                <w:b/>
                <w:bCs/>
                <w:sz w:val="30"/>
                <w:szCs w:val="30"/>
                <w:rtl/>
                <w:lang w:bidi="ar-OM"/>
              </w:rPr>
              <w:t>البيانات المالية</w:t>
            </w:r>
            <w:r>
              <w:rPr>
                <w:rFonts w:ascii="Traditional Arabic" w:hAnsi="Traditional Arabic" w:cs="Traditional Arabic" w:hint="cs"/>
                <w:b/>
                <w:bCs/>
                <w:sz w:val="30"/>
                <w:szCs w:val="30"/>
                <w:rtl/>
                <w:lang w:bidi="ar-OM"/>
              </w:rPr>
              <w:t xml:space="preserve"> </w:t>
            </w:r>
            <w:r w:rsidRPr="00EB5BCF">
              <w:rPr>
                <w:rFonts w:ascii="Traditional Arabic" w:hAnsi="Traditional Arabic" w:cs="Traditional Arabic"/>
                <w:b/>
                <w:bCs/>
                <w:sz w:val="30"/>
                <w:szCs w:val="30"/>
                <w:rtl/>
                <w:lang w:bidi="ar-OM"/>
              </w:rPr>
              <w:t xml:space="preserve">المدققة عن السنة المنتهية في 31 ديسمبر </w:t>
            </w:r>
            <w:r>
              <w:rPr>
                <w:rFonts w:ascii="Traditional Arabic" w:hAnsi="Traditional Arabic" w:cs="Traditional Arabic" w:hint="cs"/>
                <w:b/>
                <w:bCs/>
                <w:sz w:val="30"/>
                <w:szCs w:val="30"/>
                <w:rtl/>
                <w:lang w:bidi="ar-OM"/>
              </w:rPr>
              <w:t>2023</w:t>
            </w:r>
          </w:p>
        </w:tc>
      </w:tr>
      <w:tr w:rsidR="00AD355E" w:rsidRPr="00EB5BCF" w14:paraId="5FAB2309" w14:textId="77777777" w:rsidTr="00C64EDB">
        <w:tc>
          <w:tcPr>
            <w:tcW w:w="9350" w:type="dxa"/>
          </w:tcPr>
          <w:p w14:paraId="4E6A50D0"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sidRPr="00EB5BCF">
              <w:rPr>
                <w:rFonts w:ascii="Traditional Arabic" w:hAnsi="Traditional Arabic" w:cs="Traditional Arabic"/>
                <w:sz w:val="30"/>
                <w:szCs w:val="30"/>
                <w:rtl/>
                <w:lang w:bidi="ar-OM"/>
              </w:rPr>
              <w:t>تقرير مراقب الحسابات المستقل</w:t>
            </w:r>
          </w:p>
        </w:tc>
      </w:tr>
      <w:tr w:rsidR="00AD355E" w:rsidRPr="00EB5BCF" w14:paraId="22DDADD9" w14:textId="77777777" w:rsidTr="00C64EDB">
        <w:tc>
          <w:tcPr>
            <w:tcW w:w="9350" w:type="dxa"/>
          </w:tcPr>
          <w:p w14:paraId="436C0A8D"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sidRPr="009630F0">
              <w:rPr>
                <w:rFonts w:ascii="Traditional Arabic" w:hAnsi="Traditional Arabic" w:cs="Traditional Arabic"/>
                <w:sz w:val="30"/>
                <w:szCs w:val="30"/>
                <w:rtl/>
                <w:lang w:bidi="ar-OM"/>
              </w:rPr>
              <w:t>بيان المركز المالي الموحد</w:t>
            </w:r>
          </w:p>
        </w:tc>
      </w:tr>
      <w:tr w:rsidR="00AD355E" w:rsidRPr="00EB5BCF" w14:paraId="4F5655F2" w14:textId="77777777" w:rsidTr="00C64EDB">
        <w:tc>
          <w:tcPr>
            <w:tcW w:w="9350" w:type="dxa"/>
          </w:tcPr>
          <w:p w14:paraId="2D632384"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sidRPr="009630F0">
              <w:rPr>
                <w:rFonts w:ascii="Traditional Arabic" w:hAnsi="Traditional Arabic" w:cs="Traditional Arabic"/>
                <w:sz w:val="30"/>
                <w:szCs w:val="30"/>
                <w:rtl/>
                <w:lang w:bidi="ar-OM"/>
              </w:rPr>
              <w:t>البيانات المالية الموحدة لبيان الربح والخسارة والدخل الشامل الآخر</w:t>
            </w:r>
          </w:p>
        </w:tc>
      </w:tr>
      <w:tr w:rsidR="00AD355E" w:rsidRPr="00EB5BCF" w14:paraId="382F6B6B" w14:textId="77777777" w:rsidTr="00C64EDB">
        <w:tc>
          <w:tcPr>
            <w:tcW w:w="9350" w:type="dxa"/>
          </w:tcPr>
          <w:p w14:paraId="3E2BFA55"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البيانات المالية الموحدة ل</w:t>
            </w:r>
            <w:r w:rsidRPr="00EB5BCF">
              <w:rPr>
                <w:rFonts w:ascii="Traditional Arabic" w:hAnsi="Traditional Arabic" w:cs="Traditional Arabic"/>
                <w:sz w:val="30"/>
                <w:szCs w:val="30"/>
                <w:rtl/>
                <w:lang w:bidi="ar-OM"/>
              </w:rPr>
              <w:t>بيان</w:t>
            </w:r>
            <w:r>
              <w:rPr>
                <w:rFonts w:ascii="Traditional Arabic" w:hAnsi="Traditional Arabic" w:cs="Traditional Arabic" w:hint="cs"/>
                <w:sz w:val="30"/>
                <w:szCs w:val="30"/>
                <w:rtl/>
                <w:lang w:bidi="ar-OM"/>
              </w:rPr>
              <w:t xml:space="preserve"> </w:t>
            </w:r>
            <w:r w:rsidRPr="00EB5BCF">
              <w:rPr>
                <w:rFonts w:ascii="Traditional Arabic" w:hAnsi="Traditional Arabic" w:cs="Traditional Arabic"/>
                <w:sz w:val="30"/>
                <w:szCs w:val="30"/>
                <w:rtl/>
                <w:lang w:bidi="ar-OM"/>
              </w:rPr>
              <w:t>تغير الملكية</w:t>
            </w:r>
            <w:r>
              <w:rPr>
                <w:rFonts w:ascii="Traditional Arabic" w:hAnsi="Traditional Arabic" w:cs="Traditional Arabic" w:hint="cs"/>
                <w:sz w:val="30"/>
                <w:szCs w:val="30"/>
                <w:rtl/>
                <w:lang w:bidi="ar-OM"/>
              </w:rPr>
              <w:t xml:space="preserve"> </w:t>
            </w:r>
          </w:p>
        </w:tc>
      </w:tr>
      <w:tr w:rsidR="00AD355E" w:rsidRPr="00EB5BCF" w14:paraId="2E8C8168" w14:textId="77777777" w:rsidTr="00C64EDB">
        <w:tc>
          <w:tcPr>
            <w:tcW w:w="9350" w:type="dxa"/>
          </w:tcPr>
          <w:p w14:paraId="0E38A7DD"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البيانات المالية الموحدة ل</w:t>
            </w:r>
            <w:r w:rsidRPr="00EB5BCF">
              <w:rPr>
                <w:rFonts w:ascii="Traditional Arabic" w:hAnsi="Traditional Arabic" w:cs="Traditional Arabic"/>
                <w:sz w:val="30"/>
                <w:szCs w:val="30"/>
                <w:rtl/>
                <w:lang w:bidi="ar-OM"/>
              </w:rPr>
              <w:t>بيان</w:t>
            </w:r>
            <w:r>
              <w:rPr>
                <w:rFonts w:ascii="Traditional Arabic" w:hAnsi="Traditional Arabic" w:cs="Traditional Arabic" w:hint="cs"/>
                <w:sz w:val="30"/>
                <w:szCs w:val="30"/>
                <w:rtl/>
                <w:lang w:bidi="ar-OM"/>
              </w:rPr>
              <w:t xml:space="preserve"> </w:t>
            </w:r>
            <w:r w:rsidRPr="00EB5BCF">
              <w:rPr>
                <w:rFonts w:ascii="Traditional Arabic" w:hAnsi="Traditional Arabic" w:cs="Traditional Arabic"/>
                <w:sz w:val="30"/>
                <w:szCs w:val="30"/>
                <w:rtl/>
                <w:lang w:bidi="ar-OM"/>
              </w:rPr>
              <w:t>التدفقات النقدية</w:t>
            </w:r>
            <w:r>
              <w:rPr>
                <w:rFonts w:ascii="Traditional Arabic" w:hAnsi="Traditional Arabic" w:cs="Traditional Arabic" w:hint="cs"/>
                <w:sz w:val="30"/>
                <w:szCs w:val="30"/>
                <w:rtl/>
                <w:lang w:bidi="ar-OM"/>
              </w:rPr>
              <w:t xml:space="preserve"> </w:t>
            </w:r>
          </w:p>
        </w:tc>
      </w:tr>
      <w:tr w:rsidR="00AD355E" w:rsidRPr="00EB5BCF" w14:paraId="33C91E34" w14:textId="77777777" w:rsidTr="00C64EDB">
        <w:tc>
          <w:tcPr>
            <w:tcW w:w="9350" w:type="dxa"/>
          </w:tcPr>
          <w:p w14:paraId="5F4D4E7E"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sidRPr="00EB5BCF">
              <w:rPr>
                <w:rFonts w:ascii="Traditional Arabic" w:hAnsi="Traditional Arabic" w:cs="Traditional Arabic"/>
                <w:sz w:val="30"/>
                <w:szCs w:val="30"/>
                <w:rtl/>
                <w:lang w:bidi="ar-OM"/>
              </w:rPr>
              <w:t xml:space="preserve">إيضاحات </w:t>
            </w:r>
            <w:r>
              <w:rPr>
                <w:rFonts w:ascii="Traditional Arabic" w:hAnsi="Traditional Arabic" w:cs="Traditional Arabic" w:hint="cs"/>
                <w:sz w:val="30"/>
                <w:szCs w:val="30"/>
                <w:rtl/>
                <w:lang w:bidi="ar-OM"/>
              </w:rPr>
              <w:t xml:space="preserve">حول </w:t>
            </w:r>
            <w:r w:rsidRPr="00EB5BCF">
              <w:rPr>
                <w:rFonts w:ascii="Traditional Arabic" w:hAnsi="Traditional Arabic" w:cs="Traditional Arabic"/>
                <w:sz w:val="30"/>
                <w:szCs w:val="30"/>
                <w:rtl/>
                <w:lang w:bidi="ar-OM"/>
              </w:rPr>
              <w:t>البيانات المالية</w:t>
            </w:r>
            <w:r>
              <w:rPr>
                <w:rFonts w:ascii="Traditional Arabic" w:hAnsi="Traditional Arabic" w:cs="Traditional Arabic" w:hint="cs"/>
                <w:sz w:val="30"/>
                <w:szCs w:val="30"/>
                <w:rtl/>
                <w:lang w:bidi="ar-OM"/>
              </w:rPr>
              <w:t xml:space="preserve"> الموحدة </w:t>
            </w:r>
          </w:p>
        </w:tc>
      </w:tr>
      <w:tr w:rsidR="001B5AED" w:rsidRPr="00EB5BCF" w14:paraId="040CC7C7" w14:textId="77777777" w:rsidTr="00B02C3E">
        <w:tc>
          <w:tcPr>
            <w:tcW w:w="9350" w:type="dxa"/>
          </w:tcPr>
          <w:p w14:paraId="45986FFB" w14:textId="77777777" w:rsidR="001B5AED" w:rsidRPr="00EB5BCF" w:rsidRDefault="001B5AED" w:rsidP="001B5AED">
            <w:pPr>
              <w:autoSpaceDE w:val="0"/>
              <w:autoSpaceDN w:val="0"/>
              <w:bidi/>
              <w:adjustRightInd w:val="0"/>
              <w:jc w:val="both"/>
              <w:rPr>
                <w:rFonts w:ascii="Traditional Arabic" w:hAnsi="Traditional Arabic" w:cs="Traditional Arabic"/>
                <w:sz w:val="30"/>
                <w:szCs w:val="30"/>
                <w:rtl/>
                <w:lang w:bidi="ar-OM"/>
              </w:rPr>
            </w:pPr>
            <w:r w:rsidRPr="00EB5BCF">
              <w:rPr>
                <w:rFonts w:ascii="Traditional Arabic" w:hAnsi="Traditional Arabic" w:cs="Traditional Arabic"/>
                <w:b/>
                <w:bCs/>
                <w:sz w:val="30"/>
                <w:szCs w:val="30"/>
                <w:rtl/>
                <w:lang w:bidi="ar-OM"/>
              </w:rPr>
              <w:t xml:space="preserve">البيانات المالية المدققة عن السنة المنتهية في 31 ديسمبر </w:t>
            </w:r>
            <w:r>
              <w:rPr>
                <w:rFonts w:ascii="Traditional Arabic" w:hAnsi="Traditional Arabic" w:cs="Traditional Arabic" w:hint="cs"/>
                <w:b/>
                <w:bCs/>
                <w:sz w:val="30"/>
                <w:szCs w:val="30"/>
                <w:rtl/>
                <w:lang w:bidi="ar-OM"/>
              </w:rPr>
              <w:t>2022</w:t>
            </w:r>
          </w:p>
        </w:tc>
      </w:tr>
      <w:tr w:rsidR="00AD355E" w:rsidRPr="00EB5BCF" w14:paraId="613F30DD" w14:textId="77777777" w:rsidTr="00C64EDB">
        <w:tc>
          <w:tcPr>
            <w:tcW w:w="9350" w:type="dxa"/>
          </w:tcPr>
          <w:p w14:paraId="7958DDBA"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sidRPr="00EB5BCF">
              <w:rPr>
                <w:rFonts w:ascii="Traditional Arabic" w:hAnsi="Traditional Arabic" w:cs="Traditional Arabic"/>
                <w:sz w:val="30"/>
                <w:szCs w:val="30"/>
                <w:rtl/>
                <w:lang w:bidi="ar-OM"/>
              </w:rPr>
              <w:t>تقرير مراقب الحسابات المستقل</w:t>
            </w:r>
          </w:p>
        </w:tc>
      </w:tr>
      <w:tr w:rsidR="00AD355E" w:rsidRPr="00EB5BCF" w14:paraId="20F74A66" w14:textId="77777777" w:rsidTr="00C64EDB">
        <w:tc>
          <w:tcPr>
            <w:tcW w:w="9350" w:type="dxa"/>
          </w:tcPr>
          <w:p w14:paraId="504277B5"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sidRPr="009630F0">
              <w:rPr>
                <w:rFonts w:ascii="Traditional Arabic" w:hAnsi="Traditional Arabic" w:cs="Traditional Arabic"/>
                <w:sz w:val="30"/>
                <w:szCs w:val="30"/>
                <w:rtl/>
                <w:lang w:bidi="ar-OM"/>
              </w:rPr>
              <w:t>بيان المركز المالي الموحد</w:t>
            </w:r>
          </w:p>
        </w:tc>
      </w:tr>
      <w:tr w:rsidR="00AD355E" w:rsidRPr="00EB5BCF" w14:paraId="49336E66" w14:textId="77777777" w:rsidTr="00C64EDB">
        <w:tc>
          <w:tcPr>
            <w:tcW w:w="9350" w:type="dxa"/>
          </w:tcPr>
          <w:p w14:paraId="49EDF742"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sidRPr="009630F0">
              <w:rPr>
                <w:rFonts w:ascii="Traditional Arabic" w:hAnsi="Traditional Arabic" w:cs="Traditional Arabic"/>
                <w:sz w:val="30"/>
                <w:szCs w:val="30"/>
                <w:rtl/>
                <w:lang w:bidi="ar-OM"/>
              </w:rPr>
              <w:t>البيانات المالية الموحدة لبيان الربح والخسارة والدخل الشامل الآخر</w:t>
            </w:r>
          </w:p>
        </w:tc>
      </w:tr>
      <w:tr w:rsidR="00AD355E" w:rsidRPr="00EB5BCF" w14:paraId="2824372C" w14:textId="77777777" w:rsidTr="00C64EDB">
        <w:tc>
          <w:tcPr>
            <w:tcW w:w="9350" w:type="dxa"/>
          </w:tcPr>
          <w:p w14:paraId="551F2D93"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البيانات المالية الموحدة ل</w:t>
            </w:r>
            <w:r w:rsidRPr="00EB5BCF">
              <w:rPr>
                <w:rFonts w:ascii="Traditional Arabic" w:hAnsi="Traditional Arabic" w:cs="Traditional Arabic"/>
                <w:sz w:val="30"/>
                <w:szCs w:val="30"/>
                <w:rtl/>
                <w:lang w:bidi="ar-OM"/>
              </w:rPr>
              <w:t>بيان</w:t>
            </w:r>
            <w:r>
              <w:rPr>
                <w:rFonts w:ascii="Traditional Arabic" w:hAnsi="Traditional Arabic" w:cs="Traditional Arabic" w:hint="cs"/>
                <w:sz w:val="30"/>
                <w:szCs w:val="30"/>
                <w:rtl/>
                <w:lang w:bidi="ar-OM"/>
              </w:rPr>
              <w:t xml:space="preserve"> </w:t>
            </w:r>
            <w:r w:rsidRPr="00EB5BCF">
              <w:rPr>
                <w:rFonts w:ascii="Traditional Arabic" w:hAnsi="Traditional Arabic" w:cs="Traditional Arabic"/>
                <w:sz w:val="30"/>
                <w:szCs w:val="30"/>
                <w:rtl/>
                <w:lang w:bidi="ar-OM"/>
              </w:rPr>
              <w:t>تغير الملكية</w:t>
            </w:r>
            <w:r>
              <w:rPr>
                <w:rFonts w:ascii="Traditional Arabic" w:hAnsi="Traditional Arabic" w:cs="Traditional Arabic" w:hint="cs"/>
                <w:sz w:val="30"/>
                <w:szCs w:val="30"/>
                <w:rtl/>
                <w:lang w:bidi="ar-OM"/>
              </w:rPr>
              <w:t xml:space="preserve"> </w:t>
            </w:r>
          </w:p>
        </w:tc>
      </w:tr>
      <w:tr w:rsidR="00AD355E" w:rsidRPr="00EB5BCF" w14:paraId="1A41180A" w14:textId="77777777" w:rsidTr="00C64EDB">
        <w:tc>
          <w:tcPr>
            <w:tcW w:w="9350" w:type="dxa"/>
          </w:tcPr>
          <w:p w14:paraId="10655380" w14:textId="77777777" w:rsidR="00AD355E" w:rsidRPr="00EB5BCF" w:rsidRDefault="00AD355E" w:rsidP="00AD355E">
            <w:pPr>
              <w:autoSpaceDE w:val="0"/>
              <w:autoSpaceDN w:val="0"/>
              <w:bidi/>
              <w:adjustRightInd w:val="0"/>
              <w:jc w:val="both"/>
              <w:rPr>
                <w:rFonts w:ascii="Traditional Arabic" w:hAnsi="Traditional Arabic" w:cs="Traditional Arabic"/>
                <w:sz w:val="30"/>
                <w:szCs w:val="30"/>
                <w:rtl/>
                <w:lang w:bidi="ar-OM"/>
              </w:rPr>
            </w:pPr>
            <w:r>
              <w:rPr>
                <w:rFonts w:ascii="Traditional Arabic" w:hAnsi="Traditional Arabic" w:cs="Traditional Arabic" w:hint="cs"/>
                <w:sz w:val="30"/>
                <w:szCs w:val="30"/>
                <w:rtl/>
                <w:lang w:bidi="ar-OM"/>
              </w:rPr>
              <w:t>البيانات المالية الموحدة ل</w:t>
            </w:r>
            <w:r w:rsidRPr="00EB5BCF">
              <w:rPr>
                <w:rFonts w:ascii="Traditional Arabic" w:hAnsi="Traditional Arabic" w:cs="Traditional Arabic"/>
                <w:sz w:val="30"/>
                <w:szCs w:val="30"/>
                <w:rtl/>
                <w:lang w:bidi="ar-OM"/>
              </w:rPr>
              <w:t>بيان</w:t>
            </w:r>
            <w:r>
              <w:rPr>
                <w:rFonts w:ascii="Traditional Arabic" w:hAnsi="Traditional Arabic" w:cs="Traditional Arabic" w:hint="cs"/>
                <w:sz w:val="30"/>
                <w:szCs w:val="30"/>
                <w:rtl/>
                <w:lang w:bidi="ar-OM"/>
              </w:rPr>
              <w:t xml:space="preserve"> </w:t>
            </w:r>
            <w:r w:rsidRPr="00EB5BCF">
              <w:rPr>
                <w:rFonts w:ascii="Traditional Arabic" w:hAnsi="Traditional Arabic" w:cs="Traditional Arabic"/>
                <w:sz w:val="30"/>
                <w:szCs w:val="30"/>
                <w:rtl/>
                <w:lang w:bidi="ar-OM"/>
              </w:rPr>
              <w:t>التدفقات النقدية</w:t>
            </w:r>
            <w:r>
              <w:rPr>
                <w:rFonts w:ascii="Traditional Arabic" w:hAnsi="Traditional Arabic" w:cs="Traditional Arabic" w:hint="cs"/>
                <w:sz w:val="30"/>
                <w:szCs w:val="30"/>
                <w:rtl/>
                <w:lang w:bidi="ar-OM"/>
              </w:rPr>
              <w:t xml:space="preserve"> </w:t>
            </w:r>
          </w:p>
        </w:tc>
      </w:tr>
      <w:tr w:rsidR="00AD355E" w:rsidRPr="00EB5BCF" w14:paraId="20544F30" w14:textId="77777777" w:rsidTr="00C64EDB">
        <w:tc>
          <w:tcPr>
            <w:tcW w:w="9350" w:type="dxa"/>
          </w:tcPr>
          <w:p w14:paraId="4E43F67F" w14:textId="77777777" w:rsidR="00AD355E" w:rsidRPr="00EB5BCF" w:rsidRDefault="00AD355E" w:rsidP="00FB1D9E">
            <w:pPr>
              <w:autoSpaceDE w:val="0"/>
              <w:autoSpaceDN w:val="0"/>
              <w:bidi/>
              <w:adjustRightInd w:val="0"/>
              <w:jc w:val="both"/>
              <w:rPr>
                <w:rFonts w:ascii="Traditional Arabic" w:hAnsi="Traditional Arabic" w:cs="Traditional Arabic"/>
                <w:sz w:val="30"/>
                <w:szCs w:val="30"/>
                <w:rtl/>
                <w:lang w:bidi="ar-OM"/>
              </w:rPr>
            </w:pPr>
            <w:r w:rsidRPr="00EB5BCF">
              <w:rPr>
                <w:rFonts w:ascii="Traditional Arabic" w:hAnsi="Traditional Arabic" w:cs="Traditional Arabic"/>
                <w:sz w:val="30"/>
                <w:szCs w:val="30"/>
                <w:rtl/>
                <w:lang w:bidi="ar-OM"/>
              </w:rPr>
              <w:t xml:space="preserve">إيضاحات </w:t>
            </w:r>
            <w:r>
              <w:rPr>
                <w:rFonts w:ascii="Traditional Arabic" w:hAnsi="Traditional Arabic" w:cs="Traditional Arabic" w:hint="cs"/>
                <w:sz w:val="30"/>
                <w:szCs w:val="30"/>
                <w:rtl/>
                <w:lang w:bidi="ar-OM"/>
              </w:rPr>
              <w:t xml:space="preserve">حول </w:t>
            </w:r>
            <w:r w:rsidRPr="00EB5BCF">
              <w:rPr>
                <w:rFonts w:ascii="Traditional Arabic" w:hAnsi="Traditional Arabic" w:cs="Traditional Arabic"/>
                <w:sz w:val="30"/>
                <w:szCs w:val="30"/>
                <w:rtl/>
                <w:lang w:bidi="ar-OM"/>
              </w:rPr>
              <w:t>البيانات المالية</w:t>
            </w:r>
            <w:r>
              <w:rPr>
                <w:rFonts w:ascii="Traditional Arabic" w:hAnsi="Traditional Arabic" w:cs="Traditional Arabic" w:hint="cs"/>
                <w:sz w:val="30"/>
                <w:szCs w:val="30"/>
                <w:rtl/>
                <w:lang w:bidi="ar-OM"/>
              </w:rPr>
              <w:t xml:space="preserve"> الموحدة </w:t>
            </w:r>
          </w:p>
        </w:tc>
      </w:tr>
    </w:tbl>
    <w:p w14:paraId="5D6EB13D" w14:textId="77777777" w:rsidR="006E7E6E" w:rsidRPr="00EB5BCF" w:rsidRDefault="006E7E6E" w:rsidP="006E7E6E">
      <w:pPr>
        <w:autoSpaceDE w:val="0"/>
        <w:autoSpaceDN w:val="0"/>
        <w:bidi/>
        <w:adjustRightInd w:val="0"/>
        <w:jc w:val="both"/>
        <w:rPr>
          <w:rFonts w:ascii="Traditional Arabic" w:hAnsi="Traditional Arabic" w:cs="Traditional Arabic"/>
          <w:sz w:val="30"/>
          <w:szCs w:val="30"/>
          <w:rtl/>
          <w:lang w:bidi="ar-OM"/>
        </w:rPr>
      </w:pPr>
    </w:p>
    <w:p w14:paraId="7A9251F7" w14:textId="77777777" w:rsidR="007B39CA" w:rsidRPr="00EB5BCF" w:rsidRDefault="007B39CA" w:rsidP="007B39CA">
      <w:pPr>
        <w:autoSpaceDE w:val="0"/>
        <w:autoSpaceDN w:val="0"/>
        <w:bidi/>
        <w:adjustRightInd w:val="0"/>
        <w:jc w:val="both"/>
        <w:rPr>
          <w:rFonts w:ascii="Traditional Arabic" w:hAnsi="Traditional Arabic" w:cs="Traditional Arabic"/>
          <w:sz w:val="30"/>
          <w:szCs w:val="30"/>
          <w:rtl/>
          <w:lang w:bidi="ar-OM"/>
        </w:rPr>
        <w:sectPr w:rsidR="007B39CA" w:rsidRPr="00EB5BCF">
          <w:pgSz w:w="12240" w:h="15840"/>
          <w:pgMar w:top="1440" w:right="1440" w:bottom="1440" w:left="1440" w:header="720" w:footer="720" w:gutter="0"/>
          <w:cols w:space="720"/>
          <w:docGrid w:linePitch="360"/>
        </w:sectPr>
      </w:pPr>
    </w:p>
    <w:p w14:paraId="5A5F64A5" w14:textId="77777777" w:rsidR="00B32090" w:rsidRPr="00EB5BCF" w:rsidRDefault="007B39CA" w:rsidP="00B32090">
      <w:pPr>
        <w:autoSpaceDE w:val="0"/>
        <w:autoSpaceDN w:val="0"/>
        <w:bidi/>
        <w:adjustRightInd w:val="0"/>
        <w:jc w:val="center"/>
        <w:rPr>
          <w:rFonts w:ascii="Traditional Arabic" w:hAnsi="Traditional Arabic" w:cs="Traditional Arabic"/>
          <w:b/>
          <w:bCs/>
          <w:sz w:val="30"/>
          <w:szCs w:val="30"/>
          <w:rtl/>
          <w:lang w:bidi="ar-OM"/>
        </w:rPr>
      </w:pPr>
      <w:r w:rsidRPr="00EB5BCF">
        <w:rPr>
          <w:rFonts w:ascii="Traditional Arabic" w:hAnsi="Traditional Arabic" w:cs="Traditional Arabic"/>
          <w:b/>
          <w:bCs/>
          <w:sz w:val="30"/>
          <w:szCs w:val="30"/>
          <w:rtl/>
          <w:lang w:bidi="ar-OM"/>
        </w:rPr>
        <w:lastRenderedPageBreak/>
        <w:t xml:space="preserve">الفصل </w:t>
      </w:r>
      <w:r w:rsidR="00272B36">
        <w:rPr>
          <w:rFonts w:ascii="Traditional Arabic" w:hAnsi="Traditional Arabic" w:cs="Traditional Arabic" w:hint="cs"/>
          <w:b/>
          <w:bCs/>
          <w:sz w:val="30"/>
          <w:szCs w:val="30"/>
          <w:rtl/>
          <w:lang w:bidi="ar-OM"/>
        </w:rPr>
        <w:t>السابع</w:t>
      </w:r>
      <w:r w:rsidR="00272B36" w:rsidRPr="00EB5BCF">
        <w:rPr>
          <w:rFonts w:ascii="Traditional Arabic" w:hAnsi="Traditional Arabic" w:cs="Traditional Arabic"/>
          <w:b/>
          <w:bCs/>
          <w:sz w:val="30"/>
          <w:szCs w:val="30"/>
          <w:rtl/>
          <w:lang w:bidi="ar-EG"/>
        </w:rPr>
        <w:t xml:space="preserve"> </w:t>
      </w:r>
      <w:r w:rsidR="00F93B6C" w:rsidRPr="00EB5BCF">
        <w:rPr>
          <w:rFonts w:ascii="Traditional Arabic" w:hAnsi="Traditional Arabic" w:cs="Traditional Arabic"/>
          <w:b/>
          <w:bCs/>
          <w:sz w:val="30"/>
          <w:szCs w:val="30"/>
          <w:rtl/>
          <w:lang w:bidi="ar-EG"/>
        </w:rPr>
        <w:t>والعشر</w:t>
      </w:r>
      <w:r w:rsidR="0088775E">
        <w:rPr>
          <w:rFonts w:ascii="Traditional Arabic" w:hAnsi="Traditional Arabic" w:cs="Traditional Arabic" w:hint="cs"/>
          <w:b/>
          <w:bCs/>
          <w:sz w:val="30"/>
          <w:szCs w:val="30"/>
          <w:rtl/>
          <w:lang w:bidi="ar-EG"/>
        </w:rPr>
        <w:t>ون</w:t>
      </w:r>
    </w:p>
    <w:p w14:paraId="18A4E7C8" w14:textId="77777777" w:rsidR="007B39CA" w:rsidRPr="00EB5BCF" w:rsidRDefault="009676FE" w:rsidP="00B32090">
      <w:pPr>
        <w:autoSpaceDE w:val="0"/>
        <w:autoSpaceDN w:val="0"/>
        <w:bidi/>
        <w:adjustRightInd w:val="0"/>
        <w:jc w:val="center"/>
        <w:rPr>
          <w:rFonts w:ascii="Traditional Arabic" w:hAnsi="Traditional Arabic" w:cs="Traditional Arabic"/>
          <w:b/>
          <w:bCs/>
          <w:sz w:val="30"/>
          <w:szCs w:val="30"/>
          <w:rtl/>
          <w:lang w:bidi="ar-OM"/>
        </w:rPr>
      </w:pPr>
      <w:r w:rsidRPr="00EB5BCF">
        <w:rPr>
          <w:rFonts w:ascii="Traditional Arabic" w:hAnsi="Traditional Arabic" w:cs="Traditional Arabic"/>
          <w:b/>
          <w:bCs/>
          <w:sz w:val="30"/>
          <w:szCs w:val="30"/>
          <w:rtl/>
          <w:lang w:bidi="ar-OM"/>
        </w:rPr>
        <w:t>ال</w:t>
      </w:r>
      <w:r w:rsidR="007B39CA" w:rsidRPr="00EB5BCF">
        <w:rPr>
          <w:rFonts w:ascii="Traditional Arabic" w:hAnsi="Traditional Arabic" w:cs="Traditional Arabic"/>
          <w:b/>
          <w:bCs/>
          <w:sz w:val="30"/>
          <w:szCs w:val="30"/>
          <w:rtl/>
          <w:lang w:bidi="ar-OM"/>
        </w:rPr>
        <w:t>تعهدات</w:t>
      </w:r>
    </w:p>
    <w:p w14:paraId="095CB555" w14:textId="77777777" w:rsidR="00B32090" w:rsidRPr="00EB5BCF" w:rsidRDefault="00B32090" w:rsidP="008252E9">
      <w:pPr>
        <w:autoSpaceDE w:val="0"/>
        <w:autoSpaceDN w:val="0"/>
        <w:bidi/>
        <w:adjustRightInd w:val="0"/>
        <w:jc w:val="center"/>
        <w:rPr>
          <w:rFonts w:ascii="Traditional Arabic" w:hAnsi="Traditional Arabic" w:cs="Traditional Arabic"/>
          <w:b/>
          <w:bCs/>
          <w:sz w:val="30"/>
          <w:szCs w:val="30"/>
          <w:rtl/>
          <w:lang w:bidi="ar-OM"/>
        </w:rPr>
      </w:pPr>
    </w:p>
    <w:p w14:paraId="44A530E8" w14:textId="77777777" w:rsidR="003C4438" w:rsidRPr="00EB5BCF" w:rsidRDefault="003C4438" w:rsidP="003C4438">
      <w:pPr>
        <w:pStyle w:val="BodyText1"/>
        <w:bidi/>
        <w:spacing w:after="0"/>
        <w:rPr>
          <w:rFonts w:ascii="Traditional Arabic" w:hAnsi="Traditional Arabic" w:cs="Traditional Arabic"/>
          <w:b/>
          <w:bCs/>
          <w:sz w:val="30"/>
          <w:szCs w:val="30"/>
          <w:lang w:val="en-GB"/>
        </w:rPr>
      </w:pPr>
      <w:r w:rsidRPr="00EB5BCF">
        <w:rPr>
          <w:rFonts w:ascii="Traditional Arabic" w:hAnsi="Traditional Arabic" w:cs="Traditional Arabic"/>
          <w:b/>
          <w:bCs/>
          <w:sz w:val="30"/>
          <w:szCs w:val="30"/>
          <w:rtl/>
          <w:lang w:val="en-GB"/>
        </w:rPr>
        <w:t xml:space="preserve">(1) شركة </w:t>
      </w:r>
      <w:r w:rsidR="00A15C68">
        <w:rPr>
          <w:rFonts w:ascii="Traditional Arabic" w:hAnsi="Traditional Arabic" w:cs="Traditional Arabic"/>
          <w:b/>
          <w:bCs/>
          <w:sz w:val="30"/>
          <w:szCs w:val="30"/>
          <w:rtl/>
          <w:lang w:val="en-GB"/>
        </w:rPr>
        <w:t>أسياد للنقل البحري</w:t>
      </w:r>
      <w:r w:rsidR="0034195E">
        <w:rPr>
          <w:rFonts w:ascii="Traditional Arabic" w:hAnsi="Traditional Arabic" w:cs="Traditional Arabic"/>
          <w:b/>
          <w:bCs/>
          <w:sz w:val="30"/>
          <w:szCs w:val="30"/>
          <w:rtl/>
          <w:lang w:val="en-GB"/>
        </w:rPr>
        <w:t xml:space="preserve"> ش م ع ع (قيد التحول)</w:t>
      </w:r>
    </w:p>
    <w:p w14:paraId="10520282" w14:textId="77777777" w:rsidR="003C4438" w:rsidRPr="00EB5BCF" w:rsidRDefault="003C4438" w:rsidP="003C4438">
      <w:pPr>
        <w:bidi/>
        <w:jc w:val="both"/>
        <w:rPr>
          <w:rFonts w:ascii="Traditional Arabic" w:hAnsi="Traditional Arabic" w:cs="Traditional Arabic"/>
          <w:smallCaps/>
          <w:sz w:val="30"/>
          <w:szCs w:val="30"/>
          <w:rtl/>
          <w:lang w:val="en-GB"/>
        </w:rPr>
      </w:pPr>
      <w:r w:rsidRPr="00EB5BCF">
        <w:rPr>
          <w:rFonts w:ascii="Traditional Arabic" w:hAnsi="Traditional Arabic" w:cs="Traditional Arabic"/>
          <w:smallCaps/>
          <w:sz w:val="30"/>
          <w:szCs w:val="30"/>
          <w:rtl/>
          <w:lang w:val="en-GB"/>
        </w:rPr>
        <w:t>يقر أعضاء مجلس إدارة</w:t>
      </w:r>
      <w:r w:rsidRPr="00EB5BCF">
        <w:rPr>
          <w:rFonts w:ascii="Traditional Arabic" w:hAnsi="Traditional Arabic" w:cs="Traditional Arabic"/>
          <w:smallCaps/>
          <w:sz w:val="30"/>
          <w:szCs w:val="30"/>
          <w:rtl/>
          <w:lang w:val="en-GB" w:bidi="ar-IQ"/>
        </w:rPr>
        <w:t xml:space="preserve"> </w:t>
      </w:r>
      <w:r w:rsidR="009676FE" w:rsidRPr="00EB5BCF">
        <w:rPr>
          <w:rFonts w:ascii="Traditional Arabic" w:hAnsi="Traditional Arabic" w:cs="Traditional Arabic"/>
          <w:smallCaps/>
          <w:sz w:val="30"/>
          <w:szCs w:val="30"/>
          <w:rtl/>
          <w:lang w:val="en-GB" w:bidi="ar-IQ"/>
        </w:rPr>
        <w:t>ال</w:t>
      </w:r>
      <w:r w:rsidRPr="00EB5BCF">
        <w:rPr>
          <w:rFonts w:ascii="Traditional Arabic" w:hAnsi="Traditional Arabic" w:cs="Traditional Arabic"/>
          <w:smallCaps/>
          <w:sz w:val="30"/>
          <w:szCs w:val="30"/>
          <w:rtl/>
          <w:lang w:val="en-GB" w:bidi="ar-IQ"/>
        </w:rPr>
        <w:t xml:space="preserve">شركة </w:t>
      </w:r>
      <w:r w:rsidRPr="00EB5BCF">
        <w:rPr>
          <w:rFonts w:ascii="Traditional Arabic" w:hAnsi="Traditional Arabic" w:cs="Traditional Arabic"/>
          <w:smallCaps/>
          <w:sz w:val="30"/>
          <w:szCs w:val="30"/>
          <w:rtl/>
          <w:lang w:val="en-GB"/>
        </w:rPr>
        <w:t>(قيد التحول) إقرارًا تكافليًا وتضامنيًا بما يلي:</w:t>
      </w:r>
    </w:p>
    <w:p w14:paraId="353700FB" w14:textId="77777777" w:rsidR="003C4438" w:rsidRPr="00EB5BCF" w:rsidRDefault="003C4438" w:rsidP="00922116">
      <w:pPr>
        <w:pStyle w:val="BodyText1"/>
        <w:numPr>
          <w:ilvl w:val="0"/>
          <w:numId w:val="25"/>
        </w:numPr>
        <w:bidi/>
        <w:spacing w:after="0"/>
        <w:ind w:left="387"/>
        <w:rPr>
          <w:rFonts w:ascii="Traditional Arabic" w:hAnsi="Traditional Arabic" w:cs="Traditional Arabic"/>
          <w:sz w:val="30"/>
          <w:szCs w:val="30"/>
          <w:rtl/>
        </w:rPr>
      </w:pPr>
      <w:r w:rsidRPr="00EB5BCF">
        <w:rPr>
          <w:rFonts w:ascii="Traditional Arabic" w:hAnsi="Traditional Arabic" w:cs="Traditional Arabic"/>
          <w:sz w:val="30"/>
          <w:szCs w:val="30"/>
          <w:rtl/>
        </w:rPr>
        <w:t>إن المعلومات الواردة في هذه النشرة هي معلومات صحيحة وكاملة</w:t>
      </w:r>
      <w:r w:rsidRPr="00EB5BCF">
        <w:rPr>
          <w:rFonts w:ascii="Traditional Arabic" w:hAnsi="Traditional Arabic" w:cs="Traditional Arabic"/>
          <w:sz w:val="30"/>
          <w:szCs w:val="30"/>
        </w:rPr>
        <w:t>.</w:t>
      </w:r>
    </w:p>
    <w:p w14:paraId="1A2D692A" w14:textId="77777777" w:rsidR="003C4438" w:rsidRPr="00EB5BCF" w:rsidRDefault="003C4438" w:rsidP="00922116">
      <w:pPr>
        <w:pStyle w:val="BodyText1"/>
        <w:numPr>
          <w:ilvl w:val="0"/>
          <w:numId w:val="25"/>
        </w:numPr>
        <w:bidi/>
        <w:spacing w:after="0"/>
        <w:ind w:left="387"/>
        <w:rPr>
          <w:rFonts w:ascii="Traditional Arabic" w:hAnsi="Traditional Arabic" w:cs="Traditional Arabic"/>
          <w:sz w:val="30"/>
          <w:szCs w:val="30"/>
          <w:rtl/>
        </w:rPr>
      </w:pPr>
      <w:r w:rsidRPr="00EB5BCF">
        <w:rPr>
          <w:rFonts w:ascii="Traditional Arabic" w:hAnsi="Traditional Arabic" w:cs="Traditional Arabic"/>
          <w:sz w:val="30"/>
          <w:szCs w:val="30"/>
          <w:rtl/>
        </w:rPr>
        <w:t>أنه قد تم أخذ العناية الواجبة للتأكد من أنه لم يتم حذف أية حقائق أو معلومات هامة في هذه النشرة يمكن أن يؤدي حذفها أو إغفالها إلى التدليس على المستثمر</w:t>
      </w:r>
      <w:r w:rsidRPr="00EB5BCF">
        <w:rPr>
          <w:rFonts w:ascii="Traditional Arabic" w:hAnsi="Traditional Arabic" w:cs="Traditional Arabic"/>
          <w:sz w:val="30"/>
          <w:szCs w:val="30"/>
        </w:rPr>
        <w:t>.</w:t>
      </w:r>
    </w:p>
    <w:p w14:paraId="5B282AC7" w14:textId="77777777" w:rsidR="003C4438" w:rsidRPr="00EB5BCF" w:rsidRDefault="003C4438" w:rsidP="00922116">
      <w:pPr>
        <w:pStyle w:val="BodyText1"/>
        <w:numPr>
          <w:ilvl w:val="0"/>
          <w:numId w:val="25"/>
        </w:numPr>
        <w:bidi/>
        <w:spacing w:after="0"/>
        <w:ind w:left="387"/>
        <w:rPr>
          <w:rFonts w:ascii="Traditional Arabic" w:hAnsi="Traditional Arabic" w:cs="Traditional Arabic"/>
          <w:sz w:val="30"/>
          <w:szCs w:val="30"/>
          <w:rtl/>
        </w:rPr>
      </w:pPr>
      <w:r w:rsidRPr="00EB5BCF">
        <w:rPr>
          <w:rFonts w:ascii="Traditional Arabic" w:hAnsi="Traditional Arabic" w:cs="Traditional Arabic"/>
          <w:sz w:val="30"/>
          <w:szCs w:val="30"/>
          <w:rtl/>
        </w:rPr>
        <w:t xml:space="preserve">أنه قد تم الالتزام بجميع أحكام قانون </w:t>
      </w:r>
      <w:r w:rsidR="00FD677F" w:rsidRPr="00EB5BCF">
        <w:rPr>
          <w:rFonts w:ascii="Traditional Arabic" w:hAnsi="Traditional Arabic" w:cs="Traditional Arabic"/>
          <w:sz w:val="30"/>
          <w:szCs w:val="30"/>
          <w:rtl/>
        </w:rPr>
        <w:t>الأوراق المالية</w:t>
      </w:r>
      <w:r w:rsidRPr="00EB5BCF">
        <w:rPr>
          <w:rFonts w:ascii="Traditional Arabic" w:hAnsi="Traditional Arabic" w:cs="Traditional Arabic"/>
          <w:sz w:val="30"/>
          <w:szCs w:val="30"/>
          <w:rtl/>
        </w:rPr>
        <w:t xml:space="preserve"> وقانون الشركات التجارية واللوائح والتعليمات الصادرة بمقتضاها.</w:t>
      </w:r>
    </w:p>
    <w:p w14:paraId="2EFDE8D0" w14:textId="77777777" w:rsidR="003C4438" w:rsidRPr="00EB5BCF" w:rsidRDefault="003C4438" w:rsidP="003C4438">
      <w:pPr>
        <w:pStyle w:val="BodyText1"/>
        <w:bidi/>
        <w:spacing w:after="0"/>
        <w:rPr>
          <w:rFonts w:ascii="Traditional Arabic" w:hAnsi="Traditional Arabic" w:cs="Traditional Arabic"/>
          <w:sz w:val="30"/>
          <w:szCs w:val="30"/>
          <w:rtl/>
        </w:rPr>
      </w:pPr>
    </w:p>
    <w:p w14:paraId="5DD94934" w14:textId="77777777" w:rsidR="001B735D" w:rsidRPr="00EB5BCF" w:rsidRDefault="003C4438" w:rsidP="003C4438">
      <w:pPr>
        <w:autoSpaceDE w:val="0"/>
        <w:autoSpaceDN w:val="0"/>
        <w:bidi/>
        <w:adjustRightInd w:val="0"/>
        <w:jc w:val="both"/>
        <w:rPr>
          <w:rFonts w:ascii="Traditional Arabic" w:hAnsi="Traditional Arabic" w:cs="Traditional Arabic"/>
          <w:smallCaps/>
          <w:sz w:val="30"/>
          <w:szCs w:val="30"/>
          <w:rtl/>
          <w:lang w:val="en-GB" w:bidi="ar-EG"/>
        </w:rPr>
      </w:pPr>
      <w:r w:rsidRPr="00EB5BCF">
        <w:rPr>
          <w:rFonts w:ascii="Traditional Arabic" w:hAnsi="Traditional Arabic" w:cs="Traditional Arabic"/>
          <w:smallCaps/>
          <w:sz w:val="30"/>
          <w:szCs w:val="30"/>
          <w:rtl/>
          <w:lang w:val="en-GB" w:bidi="ar-IQ"/>
        </w:rPr>
        <w:t xml:space="preserve">فيما يلي الأشخاص </w:t>
      </w:r>
      <w:r w:rsidR="00FE235C" w:rsidRPr="00EB5BCF">
        <w:rPr>
          <w:rFonts w:ascii="Traditional Arabic" w:hAnsi="Traditional Arabic" w:cs="Traditional Arabic"/>
          <w:smallCaps/>
          <w:sz w:val="30"/>
          <w:szCs w:val="30"/>
          <w:rtl/>
          <w:lang w:val="en-GB" w:bidi="ar-IQ"/>
        </w:rPr>
        <w:t>المفوض</w:t>
      </w:r>
      <w:r w:rsidR="00FE235C">
        <w:rPr>
          <w:rFonts w:ascii="Traditional Arabic" w:hAnsi="Traditional Arabic" w:cs="Traditional Arabic" w:hint="cs"/>
          <w:smallCaps/>
          <w:sz w:val="30"/>
          <w:szCs w:val="30"/>
          <w:rtl/>
          <w:lang w:val="en-GB" w:bidi="ar-EG"/>
        </w:rPr>
        <w:t>ون</w:t>
      </w:r>
      <w:r w:rsidR="00FE235C" w:rsidRPr="00EB5BCF">
        <w:rPr>
          <w:rFonts w:ascii="Traditional Arabic" w:hAnsi="Traditional Arabic" w:cs="Traditional Arabic"/>
          <w:smallCaps/>
          <w:sz w:val="30"/>
          <w:szCs w:val="30"/>
          <w:rtl/>
          <w:lang w:val="en-GB" w:bidi="ar-IQ"/>
        </w:rPr>
        <w:t xml:space="preserve"> </w:t>
      </w:r>
      <w:r w:rsidRPr="00EB5BCF">
        <w:rPr>
          <w:rFonts w:ascii="Traditional Arabic" w:hAnsi="Traditional Arabic" w:cs="Traditional Arabic"/>
          <w:smallCaps/>
          <w:sz w:val="30"/>
          <w:szCs w:val="30"/>
          <w:rtl/>
          <w:lang w:val="en-GB" w:bidi="ar-IQ"/>
        </w:rPr>
        <w:t>بالتوقيع نيابة عن مجلس الإدارة</w:t>
      </w:r>
      <w:r w:rsidR="00FD0B9F" w:rsidRPr="00EB5BCF">
        <w:rPr>
          <w:rFonts w:ascii="Traditional Arabic" w:hAnsi="Traditional Arabic" w:cs="Traditional Arabic"/>
          <w:smallCaps/>
          <w:sz w:val="30"/>
          <w:szCs w:val="30"/>
          <w:rtl/>
          <w:lang w:val="en-GB" w:bidi="ar-EG"/>
        </w:rPr>
        <w:t>:</w:t>
      </w:r>
    </w:p>
    <w:tbl>
      <w:tblPr>
        <w:tblStyle w:val="TableGrid"/>
        <w:bidiVisual/>
        <w:tblW w:w="0" w:type="auto"/>
        <w:tblLook w:val="04A0" w:firstRow="1" w:lastRow="0" w:firstColumn="1" w:lastColumn="0" w:noHBand="0" w:noVBand="1"/>
      </w:tblPr>
      <w:tblGrid>
        <w:gridCol w:w="4675"/>
        <w:gridCol w:w="4675"/>
      </w:tblGrid>
      <w:tr w:rsidR="00FD677F" w:rsidRPr="00EB5BCF" w14:paraId="5717AB55" w14:textId="77777777" w:rsidTr="00FD677F">
        <w:tc>
          <w:tcPr>
            <w:tcW w:w="4675" w:type="dxa"/>
          </w:tcPr>
          <w:p w14:paraId="73DA4154" w14:textId="77777777" w:rsidR="00FD677F" w:rsidRPr="00EB5BCF" w:rsidRDefault="00FD677F" w:rsidP="00FD0B9F">
            <w:pPr>
              <w:autoSpaceDE w:val="0"/>
              <w:autoSpaceDN w:val="0"/>
              <w:bidi/>
              <w:adjustRightInd w:val="0"/>
              <w:jc w:val="both"/>
              <w:rPr>
                <w:rFonts w:ascii="Traditional Arabic" w:hAnsi="Traditional Arabic" w:cs="Traditional Arabic"/>
                <w:smallCaps/>
                <w:sz w:val="30"/>
                <w:szCs w:val="30"/>
                <w:rtl/>
                <w:lang w:val="en-GB" w:bidi="ar-EG"/>
              </w:rPr>
            </w:pPr>
            <w:r w:rsidRPr="00EB5BCF">
              <w:rPr>
                <w:rFonts w:ascii="Traditional Arabic" w:hAnsi="Traditional Arabic" w:cs="Traditional Arabic"/>
                <w:smallCaps/>
                <w:sz w:val="30"/>
                <w:szCs w:val="30"/>
                <w:rtl/>
                <w:lang w:val="en-GB" w:bidi="ar-EG"/>
              </w:rPr>
              <w:t>الاسم</w:t>
            </w:r>
          </w:p>
        </w:tc>
        <w:tc>
          <w:tcPr>
            <w:tcW w:w="4675" w:type="dxa"/>
          </w:tcPr>
          <w:p w14:paraId="170933DF" w14:textId="77777777" w:rsidR="00FD677F" w:rsidRPr="00EB5BCF" w:rsidRDefault="00FD677F" w:rsidP="00FD0B9F">
            <w:pPr>
              <w:autoSpaceDE w:val="0"/>
              <w:autoSpaceDN w:val="0"/>
              <w:bidi/>
              <w:adjustRightInd w:val="0"/>
              <w:jc w:val="both"/>
              <w:rPr>
                <w:rFonts w:ascii="Traditional Arabic" w:hAnsi="Traditional Arabic" w:cs="Traditional Arabic"/>
                <w:smallCaps/>
                <w:sz w:val="30"/>
                <w:szCs w:val="30"/>
                <w:rtl/>
                <w:lang w:val="en-GB" w:bidi="ar-EG"/>
              </w:rPr>
            </w:pPr>
            <w:r w:rsidRPr="00EB5BCF">
              <w:rPr>
                <w:rFonts w:ascii="Traditional Arabic" w:hAnsi="Traditional Arabic" w:cs="Traditional Arabic"/>
                <w:smallCaps/>
                <w:sz w:val="30"/>
                <w:szCs w:val="30"/>
                <w:rtl/>
                <w:lang w:val="en-GB" w:bidi="ar-EG"/>
              </w:rPr>
              <w:t>التوقيع</w:t>
            </w:r>
          </w:p>
        </w:tc>
      </w:tr>
      <w:tr w:rsidR="00FD677F" w:rsidRPr="00EB5BCF" w14:paraId="46348EDB" w14:textId="77777777" w:rsidTr="00FD677F">
        <w:tc>
          <w:tcPr>
            <w:tcW w:w="4675" w:type="dxa"/>
          </w:tcPr>
          <w:p w14:paraId="4214B3FF" w14:textId="77777777" w:rsidR="00FD677F" w:rsidRPr="00EB5BCF" w:rsidRDefault="00FD677F" w:rsidP="00FD0B9F">
            <w:pPr>
              <w:autoSpaceDE w:val="0"/>
              <w:autoSpaceDN w:val="0"/>
              <w:bidi/>
              <w:adjustRightInd w:val="0"/>
              <w:jc w:val="both"/>
              <w:rPr>
                <w:rFonts w:ascii="Traditional Arabic" w:hAnsi="Traditional Arabic" w:cs="Traditional Arabic"/>
                <w:smallCaps/>
                <w:sz w:val="30"/>
                <w:szCs w:val="30"/>
                <w:rtl/>
                <w:lang w:val="en-GB" w:bidi="ar-EG"/>
              </w:rPr>
            </w:pPr>
          </w:p>
        </w:tc>
        <w:tc>
          <w:tcPr>
            <w:tcW w:w="4675" w:type="dxa"/>
          </w:tcPr>
          <w:p w14:paraId="2F4A087E" w14:textId="77777777" w:rsidR="00FD677F" w:rsidRPr="00EB5BCF" w:rsidRDefault="00FD677F" w:rsidP="00FD0B9F">
            <w:pPr>
              <w:autoSpaceDE w:val="0"/>
              <w:autoSpaceDN w:val="0"/>
              <w:bidi/>
              <w:adjustRightInd w:val="0"/>
              <w:jc w:val="both"/>
              <w:rPr>
                <w:rFonts w:ascii="Traditional Arabic" w:hAnsi="Traditional Arabic" w:cs="Traditional Arabic"/>
                <w:smallCaps/>
                <w:sz w:val="30"/>
                <w:szCs w:val="30"/>
                <w:rtl/>
                <w:lang w:val="en-GB" w:bidi="ar-EG"/>
              </w:rPr>
            </w:pPr>
          </w:p>
        </w:tc>
      </w:tr>
      <w:tr w:rsidR="00DA6F8C" w:rsidRPr="00EB5BCF" w14:paraId="79DB4D7F" w14:textId="77777777" w:rsidTr="00FD677F">
        <w:tc>
          <w:tcPr>
            <w:tcW w:w="4675" w:type="dxa"/>
          </w:tcPr>
          <w:p w14:paraId="69595387" w14:textId="77777777" w:rsidR="00DA6F8C" w:rsidRPr="00EB5BCF" w:rsidRDefault="00DA6F8C" w:rsidP="00FD0B9F">
            <w:pPr>
              <w:autoSpaceDE w:val="0"/>
              <w:autoSpaceDN w:val="0"/>
              <w:bidi/>
              <w:adjustRightInd w:val="0"/>
              <w:jc w:val="both"/>
              <w:rPr>
                <w:rFonts w:ascii="Traditional Arabic" w:hAnsi="Traditional Arabic" w:cs="Traditional Arabic"/>
                <w:smallCaps/>
                <w:sz w:val="30"/>
                <w:szCs w:val="30"/>
                <w:rtl/>
                <w:lang w:val="en-GB" w:bidi="ar-EG"/>
              </w:rPr>
            </w:pPr>
          </w:p>
        </w:tc>
        <w:tc>
          <w:tcPr>
            <w:tcW w:w="4675" w:type="dxa"/>
          </w:tcPr>
          <w:p w14:paraId="22E6586F" w14:textId="77777777" w:rsidR="00DA6F8C" w:rsidRPr="00EB5BCF" w:rsidRDefault="00DA6F8C" w:rsidP="00FD0B9F">
            <w:pPr>
              <w:autoSpaceDE w:val="0"/>
              <w:autoSpaceDN w:val="0"/>
              <w:bidi/>
              <w:adjustRightInd w:val="0"/>
              <w:jc w:val="both"/>
              <w:rPr>
                <w:rFonts w:ascii="Traditional Arabic" w:hAnsi="Traditional Arabic" w:cs="Traditional Arabic"/>
                <w:smallCaps/>
                <w:sz w:val="30"/>
                <w:szCs w:val="30"/>
                <w:rtl/>
                <w:lang w:val="en-GB" w:bidi="ar-EG"/>
              </w:rPr>
            </w:pPr>
          </w:p>
        </w:tc>
      </w:tr>
    </w:tbl>
    <w:p w14:paraId="6D3903A9" w14:textId="77777777" w:rsidR="00DA6F8C" w:rsidRPr="00EB5BCF" w:rsidRDefault="00DA6F8C" w:rsidP="00FD0B9F">
      <w:pPr>
        <w:autoSpaceDE w:val="0"/>
        <w:autoSpaceDN w:val="0"/>
        <w:bidi/>
        <w:adjustRightInd w:val="0"/>
        <w:jc w:val="both"/>
        <w:rPr>
          <w:rFonts w:ascii="Traditional Arabic" w:hAnsi="Traditional Arabic" w:cs="Traditional Arabic"/>
          <w:smallCaps/>
          <w:sz w:val="30"/>
          <w:szCs w:val="30"/>
          <w:rtl/>
          <w:lang w:val="en-GB" w:bidi="ar-EG"/>
        </w:rPr>
        <w:sectPr w:rsidR="00DA6F8C" w:rsidRPr="00EB5BCF">
          <w:pgSz w:w="12240" w:h="15840"/>
          <w:pgMar w:top="1440" w:right="1440" w:bottom="1440" w:left="1440" w:header="720" w:footer="720" w:gutter="0"/>
          <w:cols w:space="720"/>
          <w:docGrid w:linePitch="360"/>
        </w:sectPr>
      </w:pPr>
    </w:p>
    <w:p w14:paraId="3F4E546B" w14:textId="77777777" w:rsidR="00FD0B9F" w:rsidRPr="00EB5BCF" w:rsidRDefault="00FD0B9F" w:rsidP="00FD0B9F">
      <w:pPr>
        <w:autoSpaceDE w:val="0"/>
        <w:autoSpaceDN w:val="0"/>
        <w:bidi/>
        <w:adjustRightInd w:val="0"/>
        <w:jc w:val="both"/>
        <w:rPr>
          <w:rFonts w:ascii="Traditional Arabic" w:hAnsi="Traditional Arabic" w:cs="Traditional Arabic"/>
          <w:smallCaps/>
          <w:sz w:val="30"/>
          <w:szCs w:val="30"/>
          <w:rtl/>
          <w:lang w:val="en-GB" w:bidi="ar-EG"/>
        </w:rPr>
      </w:pPr>
    </w:p>
    <w:p w14:paraId="3B09679C" w14:textId="77777777" w:rsidR="00FD0B9F" w:rsidRPr="00EB5BCF" w:rsidRDefault="00FD0B9F" w:rsidP="00FD0B9F">
      <w:pPr>
        <w:bidi/>
        <w:jc w:val="both"/>
        <w:rPr>
          <w:rFonts w:ascii="Traditional Arabic" w:hAnsi="Traditional Arabic" w:cs="Traditional Arabic"/>
          <w:b/>
          <w:bCs/>
          <w:smallCaps/>
          <w:sz w:val="30"/>
          <w:szCs w:val="30"/>
          <w:rtl/>
          <w:lang w:eastAsia="ar-SA"/>
        </w:rPr>
      </w:pPr>
      <w:r w:rsidRPr="00EB5BCF">
        <w:rPr>
          <w:rFonts w:ascii="Traditional Arabic" w:hAnsi="Traditional Arabic" w:cs="Traditional Arabic"/>
          <w:b/>
          <w:bCs/>
          <w:smallCaps/>
          <w:sz w:val="30"/>
          <w:szCs w:val="30"/>
          <w:rtl/>
          <w:lang w:eastAsia="ar-SA"/>
        </w:rPr>
        <w:t xml:space="preserve">(2) </w:t>
      </w:r>
      <w:r w:rsidR="00E92361" w:rsidRPr="00EB5BCF">
        <w:rPr>
          <w:rFonts w:ascii="Traditional Arabic" w:hAnsi="Traditional Arabic" w:cs="Traditional Arabic"/>
          <w:b/>
          <w:bCs/>
          <w:smallCaps/>
          <w:sz w:val="30"/>
          <w:szCs w:val="30"/>
          <w:rtl/>
          <w:lang w:eastAsia="ar-SA"/>
        </w:rPr>
        <w:t>مد</w:t>
      </w:r>
      <w:r w:rsidR="003272D1">
        <w:rPr>
          <w:rFonts w:ascii="Traditional Arabic" w:hAnsi="Traditional Arabic" w:cs="Traditional Arabic" w:hint="cs"/>
          <w:b/>
          <w:bCs/>
          <w:smallCaps/>
          <w:sz w:val="30"/>
          <w:szCs w:val="30"/>
          <w:rtl/>
          <w:lang w:eastAsia="ar-SA"/>
        </w:rPr>
        <w:t>ي</w:t>
      </w:r>
      <w:r w:rsidR="00E92361" w:rsidRPr="00EB5BCF">
        <w:rPr>
          <w:rFonts w:ascii="Traditional Arabic" w:hAnsi="Traditional Arabic" w:cs="Traditional Arabic"/>
          <w:b/>
          <w:bCs/>
          <w:smallCaps/>
          <w:sz w:val="30"/>
          <w:szCs w:val="30"/>
          <w:rtl/>
          <w:lang w:eastAsia="ar-SA"/>
        </w:rPr>
        <w:t xml:space="preserve">ر </w:t>
      </w:r>
      <w:r w:rsidR="003272D1">
        <w:rPr>
          <w:rFonts w:ascii="Traditional Arabic" w:hAnsi="Traditional Arabic" w:cs="Traditional Arabic" w:hint="cs"/>
          <w:b/>
          <w:bCs/>
          <w:smallCaps/>
          <w:sz w:val="30"/>
          <w:szCs w:val="30"/>
          <w:rtl/>
          <w:lang w:eastAsia="ar-SA"/>
        </w:rPr>
        <w:t>ال</w:t>
      </w:r>
      <w:r w:rsidR="00E92361" w:rsidRPr="00EB5BCF">
        <w:rPr>
          <w:rFonts w:ascii="Traditional Arabic" w:hAnsi="Traditional Arabic" w:cs="Traditional Arabic"/>
          <w:b/>
          <w:bCs/>
          <w:smallCaps/>
          <w:sz w:val="30"/>
          <w:szCs w:val="30"/>
          <w:rtl/>
          <w:lang w:eastAsia="ar-SA"/>
        </w:rPr>
        <w:t>إصدار</w:t>
      </w:r>
    </w:p>
    <w:p w14:paraId="72D8A43C" w14:textId="77777777" w:rsidR="00FD0B9F" w:rsidRPr="00EB5BCF" w:rsidRDefault="00FD0B9F" w:rsidP="00FD0B9F">
      <w:pPr>
        <w:pStyle w:val="BodyText1"/>
        <w:keepNext/>
        <w:bidi/>
        <w:spacing w:after="0"/>
        <w:rPr>
          <w:rFonts w:ascii="Traditional Arabic" w:hAnsi="Traditional Arabic" w:cs="Traditional Arabic"/>
          <w:sz w:val="30"/>
          <w:szCs w:val="30"/>
          <w:lang w:val="en-GB"/>
        </w:rPr>
      </w:pPr>
      <w:r w:rsidRPr="00EB5BCF">
        <w:rPr>
          <w:rFonts w:ascii="Traditional Arabic" w:hAnsi="Traditional Arabic" w:cs="Traditional Arabic"/>
          <w:smallCaps/>
          <w:sz w:val="30"/>
          <w:szCs w:val="30"/>
          <w:rtl/>
          <w:lang w:val="en-GB"/>
        </w:rPr>
        <w:t xml:space="preserve">استنادا إلى المسؤوليات المنوطة بنا بموجب أحكام قانون الشركات التجارية ولائحة الشركات المساهمة العامة، قمنا بمراجعة كل الوثائق ذات العلاقة والمواد الأخرى اللازمة لإعداد نشرة الإصدار المتعلقة بطرح أسهم </w:t>
      </w:r>
      <w:r w:rsidR="00E92361" w:rsidRPr="00EB5BCF">
        <w:rPr>
          <w:rFonts w:ascii="Traditional Arabic" w:hAnsi="Traditional Arabic" w:cs="Traditional Arabic"/>
          <w:smallCaps/>
          <w:sz w:val="30"/>
          <w:szCs w:val="30"/>
          <w:rtl/>
          <w:lang w:val="en-GB"/>
        </w:rPr>
        <w:t>ال</w:t>
      </w:r>
      <w:r w:rsidRPr="00EB5BCF">
        <w:rPr>
          <w:rFonts w:ascii="Traditional Arabic" w:hAnsi="Traditional Arabic" w:cs="Traditional Arabic"/>
          <w:smallCaps/>
          <w:sz w:val="30"/>
          <w:szCs w:val="30"/>
          <w:rtl/>
          <w:lang w:val="en-GB"/>
        </w:rPr>
        <w:t xml:space="preserve">شركة </w:t>
      </w:r>
      <w:r w:rsidRPr="00EB5BCF">
        <w:rPr>
          <w:rFonts w:ascii="Traditional Arabic" w:hAnsi="Traditional Arabic" w:cs="Traditional Arabic"/>
          <w:smallCaps/>
          <w:sz w:val="30"/>
          <w:szCs w:val="30"/>
          <w:rtl/>
          <w:lang w:val="en-GB" w:bidi="ar-IQ"/>
        </w:rPr>
        <w:t>للاكتتاب العام.</w:t>
      </w:r>
    </w:p>
    <w:p w14:paraId="7C218675" w14:textId="77777777" w:rsidR="00FD0B9F" w:rsidRPr="00EB5BCF" w:rsidRDefault="00FD0B9F" w:rsidP="00FD0B9F">
      <w:pPr>
        <w:bidi/>
        <w:jc w:val="lowKashida"/>
        <w:rPr>
          <w:rFonts w:ascii="Traditional Arabic" w:eastAsia="Arial Unicode MS" w:hAnsi="Traditional Arabic" w:cs="Traditional Arabic"/>
          <w:smallCaps/>
          <w:sz w:val="30"/>
          <w:szCs w:val="30"/>
          <w:rtl/>
          <w:lang w:val="en-GB" w:eastAsia="ar-SA" w:bidi="ar-OM"/>
        </w:rPr>
      </w:pPr>
    </w:p>
    <w:p w14:paraId="2D302FAA" w14:textId="77777777" w:rsidR="00FD0B9F" w:rsidRPr="00EB5BCF" w:rsidRDefault="00FD0B9F" w:rsidP="00FD0B9F">
      <w:pPr>
        <w:bidi/>
        <w:jc w:val="both"/>
        <w:rPr>
          <w:rFonts w:ascii="Traditional Arabic" w:eastAsia="Arial Unicode MS" w:hAnsi="Traditional Arabic" w:cs="Traditional Arabic"/>
          <w:smallCaps/>
          <w:sz w:val="30"/>
          <w:szCs w:val="30"/>
          <w:rtl/>
          <w:lang w:eastAsia="ar-SA" w:bidi="ar-OM"/>
        </w:rPr>
      </w:pPr>
      <w:r w:rsidRPr="00EB5BCF">
        <w:rPr>
          <w:rFonts w:ascii="Traditional Arabic" w:eastAsia="Arial Unicode MS" w:hAnsi="Traditional Arabic" w:cs="Traditional Arabic"/>
          <w:smallCaps/>
          <w:sz w:val="30"/>
          <w:szCs w:val="30"/>
          <w:rtl/>
          <w:lang w:eastAsia="ar-SA" w:bidi="ar-OM"/>
        </w:rPr>
        <w:t xml:space="preserve">ويتحمل مجلس إدارة </w:t>
      </w:r>
      <w:r w:rsidR="00917DC5" w:rsidRPr="00EB5BCF">
        <w:rPr>
          <w:rFonts w:ascii="Traditional Arabic" w:eastAsia="Arial Unicode MS" w:hAnsi="Traditional Arabic" w:cs="Traditional Arabic"/>
          <w:smallCaps/>
          <w:sz w:val="30"/>
          <w:szCs w:val="30"/>
          <w:rtl/>
          <w:lang w:eastAsia="ar-SA" w:bidi="ar-OM"/>
        </w:rPr>
        <w:t>ال</w:t>
      </w:r>
      <w:r w:rsidRPr="00EB5BCF">
        <w:rPr>
          <w:rFonts w:ascii="Traditional Arabic" w:eastAsia="Arial Unicode MS" w:hAnsi="Traditional Arabic" w:cs="Traditional Arabic"/>
          <w:smallCaps/>
          <w:sz w:val="30"/>
          <w:szCs w:val="30"/>
          <w:rtl/>
          <w:lang w:eastAsia="ar-SA"/>
        </w:rPr>
        <w:t xml:space="preserve">شركة </w:t>
      </w:r>
      <w:r w:rsidRPr="00EB5BCF">
        <w:rPr>
          <w:rFonts w:ascii="Traditional Arabic" w:eastAsia="Arial Unicode MS" w:hAnsi="Traditional Arabic" w:cs="Traditional Arabic"/>
          <w:smallCaps/>
          <w:sz w:val="30"/>
          <w:szCs w:val="30"/>
          <w:rtl/>
          <w:lang w:eastAsia="ar-SA" w:bidi="ar-OM"/>
        </w:rPr>
        <w:t>مسؤولية صحة المعلومات الواردة في نشرة الإصدار هذه والذين أكدوا على أنه لم يتم حذف أو إغفال أي معلومات جوهرية منها يمكن أن يؤدي حذفها أو إغفالها إلى التدليس على المستثمر.</w:t>
      </w:r>
    </w:p>
    <w:p w14:paraId="2CA15BA9" w14:textId="77777777" w:rsidR="00FD0B9F" w:rsidRPr="00EB5BCF" w:rsidRDefault="00FD0B9F" w:rsidP="00FD0B9F">
      <w:pPr>
        <w:bidi/>
        <w:jc w:val="both"/>
        <w:rPr>
          <w:rFonts w:ascii="Traditional Arabic" w:eastAsia="Arial Unicode MS" w:hAnsi="Traditional Arabic" w:cs="Traditional Arabic"/>
          <w:smallCaps/>
          <w:sz w:val="30"/>
          <w:szCs w:val="30"/>
          <w:rtl/>
          <w:lang w:eastAsia="ar-SA" w:bidi="ar-OM"/>
        </w:rPr>
      </w:pPr>
    </w:p>
    <w:p w14:paraId="45462023" w14:textId="77777777" w:rsidR="00FD0B9F" w:rsidRPr="00EB5BCF" w:rsidRDefault="00FD0B9F" w:rsidP="00FD0B9F">
      <w:pPr>
        <w:bidi/>
        <w:jc w:val="both"/>
        <w:rPr>
          <w:rFonts w:ascii="Traditional Arabic" w:eastAsia="Arial Unicode MS" w:hAnsi="Traditional Arabic" w:cs="Traditional Arabic"/>
          <w:smallCaps/>
          <w:sz w:val="30"/>
          <w:szCs w:val="30"/>
          <w:rtl/>
          <w:lang w:eastAsia="ar-SA"/>
        </w:rPr>
      </w:pPr>
      <w:r w:rsidRPr="00EB5BCF">
        <w:rPr>
          <w:rFonts w:ascii="Traditional Arabic" w:eastAsia="Arial Unicode MS" w:hAnsi="Traditional Arabic" w:cs="Traditional Arabic"/>
          <w:smallCaps/>
          <w:sz w:val="30"/>
          <w:szCs w:val="30"/>
          <w:rtl/>
          <w:lang w:eastAsia="ar-SA" w:bidi="ar-OM"/>
        </w:rPr>
        <w:t>ونؤكد بأننا قد بذلنا العناية الواجبة والمطلوبة التي تتطلبها المهنة فيما يتعلق بهذه النشرة التي تم إعدادها تحت إشرافنا، و</w:t>
      </w:r>
      <w:r w:rsidRPr="00EB5BCF">
        <w:rPr>
          <w:rFonts w:ascii="Traditional Arabic" w:eastAsia="Arial Unicode MS" w:hAnsi="Traditional Arabic" w:cs="Traditional Arabic"/>
          <w:smallCaps/>
          <w:sz w:val="30"/>
          <w:szCs w:val="30"/>
          <w:rtl/>
          <w:lang w:eastAsia="ar-SA"/>
        </w:rPr>
        <w:t xml:space="preserve">بناء على أعمال المراجعة والمناقشات مع </w:t>
      </w:r>
      <w:r w:rsidRPr="00EB5BCF">
        <w:rPr>
          <w:rFonts w:ascii="Traditional Arabic" w:eastAsia="Arial Unicode MS" w:hAnsi="Traditional Arabic" w:cs="Traditional Arabic"/>
          <w:smallCaps/>
          <w:sz w:val="30"/>
          <w:szCs w:val="30"/>
          <w:rtl/>
          <w:lang w:eastAsia="ar-SA" w:bidi="ar-OM"/>
        </w:rPr>
        <w:t>الشركة و</w:t>
      </w:r>
      <w:r w:rsidRPr="00EB5BCF">
        <w:rPr>
          <w:rFonts w:ascii="Traditional Arabic" w:eastAsia="Arial Unicode MS" w:hAnsi="Traditional Arabic" w:cs="Traditional Arabic"/>
          <w:smallCaps/>
          <w:sz w:val="30"/>
          <w:szCs w:val="30"/>
          <w:rtl/>
          <w:lang w:eastAsia="ar-SA"/>
        </w:rPr>
        <w:t>أعضاء مجلس إدارتها</w:t>
      </w:r>
      <w:r w:rsidRPr="00EB5BCF">
        <w:rPr>
          <w:rFonts w:ascii="Traditional Arabic" w:eastAsia="Arial Unicode MS" w:hAnsi="Traditional Arabic" w:cs="Traditional Arabic"/>
          <w:smallCaps/>
          <w:sz w:val="30"/>
          <w:szCs w:val="30"/>
          <w:rtl/>
          <w:lang w:eastAsia="ar-SA" w:bidi="ar-OM"/>
        </w:rPr>
        <w:t xml:space="preserve"> وموظفيها </w:t>
      </w:r>
      <w:r w:rsidRPr="00EB5BCF">
        <w:rPr>
          <w:rFonts w:ascii="Traditional Arabic" w:eastAsia="Arial Unicode MS" w:hAnsi="Traditional Arabic" w:cs="Traditional Arabic"/>
          <w:smallCaps/>
          <w:sz w:val="30"/>
          <w:szCs w:val="30"/>
          <w:rtl/>
          <w:lang w:eastAsia="ar-SA"/>
        </w:rPr>
        <w:t xml:space="preserve">والأطراف الأخرى ذات العلاقة. وعليه، نؤكد ما يلي:  </w:t>
      </w:r>
    </w:p>
    <w:p w14:paraId="2E4BABF8" w14:textId="77777777" w:rsidR="00FD0B9F" w:rsidRPr="00EB5BCF" w:rsidRDefault="00FD0B9F" w:rsidP="00922116">
      <w:pPr>
        <w:pStyle w:val="BodyText5"/>
        <w:numPr>
          <w:ilvl w:val="0"/>
          <w:numId w:val="26"/>
        </w:numPr>
        <w:bidi/>
        <w:spacing w:after="0"/>
        <w:ind w:left="387"/>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 xml:space="preserve">لقد قمنا بإيلاء العناية الواجبة والسائغة التي تضمن </w:t>
      </w:r>
      <w:r w:rsidR="00C70E8C" w:rsidRPr="00EB5BCF">
        <w:rPr>
          <w:rFonts w:ascii="Traditional Arabic" w:hAnsi="Traditional Arabic" w:cs="Traditional Arabic"/>
          <w:sz w:val="30"/>
          <w:szCs w:val="30"/>
          <w:rtl/>
          <w:lang w:val="en-GB"/>
        </w:rPr>
        <w:t>مطابقة</w:t>
      </w:r>
      <w:r w:rsidRPr="00EB5BCF">
        <w:rPr>
          <w:rFonts w:ascii="Traditional Arabic" w:hAnsi="Traditional Arabic" w:cs="Traditional Arabic"/>
          <w:sz w:val="30"/>
          <w:szCs w:val="30"/>
          <w:rtl/>
          <w:lang w:val="en-GB"/>
        </w:rPr>
        <w:t xml:space="preserve"> البيانات التي تلقيناها من </w:t>
      </w:r>
      <w:r w:rsidR="00917DC5" w:rsidRPr="00EB5BCF">
        <w:rPr>
          <w:rFonts w:ascii="Traditional Arabic" w:hAnsi="Traditional Arabic" w:cs="Traditional Arabic"/>
          <w:sz w:val="30"/>
          <w:szCs w:val="30"/>
          <w:rtl/>
          <w:lang w:val="en-GB"/>
        </w:rPr>
        <w:t>ال</w:t>
      </w:r>
      <w:r w:rsidRPr="00EB5BCF">
        <w:rPr>
          <w:rFonts w:ascii="Traditional Arabic" w:hAnsi="Traditional Arabic" w:cs="Traditional Arabic"/>
          <w:sz w:val="30"/>
          <w:szCs w:val="30"/>
          <w:rtl/>
          <w:lang w:val="en-GB"/>
        </w:rPr>
        <w:t xml:space="preserve">شركة </w:t>
      </w:r>
      <w:r w:rsidR="00C70E8C" w:rsidRPr="00EB5BCF">
        <w:rPr>
          <w:rFonts w:ascii="Traditional Arabic" w:hAnsi="Traditional Arabic" w:cs="Traditional Arabic"/>
          <w:sz w:val="30"/>
          <w:szCs w:val="30"/>
          <w:rtl/>
          <w:lang w:val="en-GB"/>
        </w:rPr>
        <w:t>المضمنة</w:t>
      </w:r>
      <w:r w:rsidRPr="00EB5BCF">
        <w:rPr>
          <w:rFonts w:ascii="Traditional Arabic" w:hAnsi="Traditional Arabic" w:cs="Traditional Arabic"/>
          <w:sz w:val="30"/>
          <w:szCs w:val="30"/>
          <w:rtl/>
          <w:lang w:val="en-GB"/>
        </w:rPr>
        <w:t xml:space="preserve"> في هذه النشرة </w:t>
      </w:r>
      <w:r w:rsidR="00C70E8C" w:rsidRPr="00EB5BCF">
        <w:rPr>
          <w:rFonts w:ascii="Traditional Arabic" w:hAnsi="Traditional Arabic" w:cs="Traditional Arabic"/>
          <w:sz w:val="30"/>
          <w:szCs w:val="30"/>
          <w:rtl/>
          <w:lang w:val="en-GB"/>
        </w:rPr>
        <w:t>ل</w:t>
      </w:r>
      <w:r w:rsidRPr="00EB5BCF">
        <w:rPr>
          <w:rFonts w:ascii="Traditional Arabic" w:hAnsi="Traditional Arabic" w:cs="Traditional Arabic"/>
          <w:sz w:val="30"/>
          <w:szCs w:val="30"/>
          <w:rtl/>
          <w:lang w:val="en-GB"/>
        </w:rPr>
        <w:t>لحقائق الواردة في الوثائق والمواد والمستندات الأخرى المتعلقة بالاكتتاب</w:t>
      </w:r>
      <w:r w:rsidRPr="00EB5BCF">
        <w:rPr>
          <w:rFonts w:ascii="Traditional Arabic" w:hAnsi="Traditional Arabic" w:cs="Traditional Arabic"/>
          <w:sz w:val="30"/>
          <w:szCs w:val="30"/>
          <w:lang w:val="en-GB"/>
        </w:rPr>
        <w:t>.</w:t>
      </w:r>
    </w:p>
    <w:p w14:paraId="281106FC" w14:textId="77777777" w:rsidR="00FD0B9F" w:rsidRPr="00EB5BCF" w:rsidRDefault="00FD0B9F" w:rsidP="00922116">
      <w:pPr>
        <w:pStyle w:val="BodyText5"/>
        <w:numPr>
          <w:ilvl w:val="0"/>
          <w:numId w:val="26"/>
        </w:numPr>
        <w:bidi/>
        <w:spacing w:after="0"/>
        <w:ind w:left="387"/>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لم تغفل</w:t>
      </w:r>
      <w:r w:rsidR="004E537F" w:rsidRPr="00EB5BCF">
        <w:rPr>
          <w:rFonts w:ascii="Traditional Arabic" w:hAnsi="Traditional Arabic" w:cs="Traditional Arabic"/>
          <w:sz w:val="30"/>
          <w:szCs w:val="30"/>
          <w:rtl/>
          <w:lang w:val="en-GB"/>
        </w:rPr>
        <w:t xml:space="preserve"> الشركة – حسب علمنا -</w:t>
      </w:r>
      <w:r w:rsidRPr="00EB5BCF">
        <w:rPr>
          <w:rFonts w:ascii="Traditional Arabic" w:hAnsi="Traditional Arabic" w:cs="Traditional Arabic"/>
          <w:sz w:val="30"/>
          <w:szCs w:val="30"/>
          <w:rtl/>
          <w:lang w:val="en-GB"/>
        </w:rPr>
        <w:t xml:space="preserve"> أية معلومات جوهرية يمكن أن يؤدي إغفالها إلى التدليس على المستثمر.</w:t>
      </w:r>
    </w:p>
    <w:p w14:paraId="3045CCBC" w14:textId="77777777" w:rsidR="00FD0B9F" w:rsidRPr="00EB5BCF" w:rsidRDefault="00FD0B9F" w:rsidP="00922116">
      <w:pPr>
        <w:pStyle w:val="BodyText5"/>
        <w:numPr>
          <w:ilvl w:val="0"/>
          <w:numId w:val="26"/>
        </w:numPr>
        <w:bidi/>
        <w:spacing w:after="0"/>
        <w:ind w:left="387"/>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 xml:space="preserve">إن نشرة الإصدار هذه والاكتتاب المتعلق بها تتفق مع جميع قواعد وشروط الإفصاح المنصوص عليها في قانون </w:t>
      </w:r>
      <w:r w:rsidR="006C09E4">
        <w:rPr>
          <w:rFonts w:ascii="Traditional Arabic" w:hAnsi="Traditional Arabic" w:cs="Traditional Arabic" w:hint="cs"/>
          <w:sz w:val="30"/>
          <w:szCs w:val="30"/>
          <w:rtl/>
          <w:lang w:val="en-GB"/>
        </w:rPr>
        <w:t>سوق رأس المال</w:t>
      </w:r>
      <w:r w:rsidRPr="00EB5BCF">
        <w:rPr>
          <w:rFonts w:ascii="Traditional Arabic" w:hAnsi="Traditional Arabic" w:cs="Traditional Arabic"/>
          <w:sz w:val="30"/>
          <w:szCs w:val="30"/>
          <w:rtl/>
          <w:lang w:val="en-GB"/>
        </w:rPr>
        <w:t xml:space="preserve"> وا</w:t>
      </w:r>
      <w:r w:rsidR="004E537F" w:rsidRPr="00EB5BCF">
        <w:rPr>
          <w:rFonts w:ascii="Traditional Arabic" w:hAnsi="Traditional Arabic" w:cs="Traditional Arabic"/>
          <w:sz w:val="30"/>
          <w:szCs w:val="30"/>
          <w:rtl/>
          <w:lang w:val="en-GB"/>
        </w:rPr>
        <w:t>للا</w:t>
      </w:r>
      <w:r w:rsidRPr="00EB5BCF">
        <w:rPr>
          <w:rFonts w:ascii="Traditional Arabic" w:hAnsi="Traditional Arabic" w:cs="Traditional Arabic"/>
          <w:sz w:val="30"/>
          <w:szCs w:val="30"/>
          <w:rtl/>
          <w:lang w:val="en-GB"/>
        </w:rPr>
        <w:t xml:space="preserve">ئحة التنفيذية </w:t>
      </w:r>
      <w:r w:rsidR="002C4C5E" w:rsidRPr="00EB5BCF">
        <w:rPr>
          <w:rFonts w:ascii="Traditional Arabic" w:hAnsi="Traditional Arabic" w:cs="Traditional Arabic"/>
          <w:sz w:val="30"/>
          <w:szCs w:val="30"/>
          <w:rtl/>
          <w:lang w:val="en-GB"/>
        </w:rPr>
        <w:t xml:space="preserve">لقانون سوق رأس المال </w:t>
      </w:r>
      <w:r w:rsidRPr="00EB5BCF">
        <w:rPr>
          <w:rFonts w:ascii="Traditional Arabic" w:hAnsi="Traditional Arabic" w:cs="Traditional Arabic"/>
          <w:sz w:val="30"/>
          <w:szCs w:val="30"/>
          <w:rtl/>
          <w:lang w:val="en-GB"/>
        </w:rPr>
        <w:t xml:space="preserve">ونموذج نشرة الإصدار المقرر من قبل </w:t>
      </w:r>
      <w:r w:rsidR="002D7E14">
        <w:rPr>
          <w:rFonts w:ascii="Traditional Arabic" w:hAnsi="Traditional Arabic" w:cs="Traditional Arabic"/>
          <w:sz w:val="30"/>
          <w:szCs w:val="30"/>
          <w:rtl/>
          <w:lang w:val="en-GB"/>
        </w:rPr>
        <w:t>هيئة الخدمات المالية</w:t>
      </w:r>
      <w:r w:rsidRPr="00EB5BCF">
        <w:rPr>
          <w:rFonts w:ascii="Traditional Arabic" w:hAnsi="Traditional Arabic" w:cs="Traditional Arabic"/>
          <w:sz w:val="30"/>
          <w:szCs w:val="30"/>
          <w:rtl/>
          <w:lang w:val="en-GB"/>
        </w:rPr>
        <w:t xml:space="preserve"> وأنها تتفق مع قانون الشركات التجارية ولائحة الشركات المساهمة العامة والتعليمات والقرارات الأخرى الصادرة في هذا الشأن</w:t>
      </w:r>
      <w:r w:rsidRPr="00EB5BCF">
        <w:rPr>
          <w:rFonts w:ascii="Traditional Arabic" w:hAnsi="Traditional Arabic" w:cs="Traditional Arabic"/>
          <w:sz w:val="30"/>
          <w:szCs w:val="30"/>
          <w:lang w:val="en-GB"/>
        </w:rPr>
        <w:t>.</w:t>
      </w:r>
    </w:p>
    <w:p w14:paraId="00CC2450" w14:textId="77777777" w:rsidR="00160265" w:rsidRPr="00EB5BCF" w:rsidRDefault="00FD0B9F" w:rsidP="00922116">
      <w:pPr>
        <w:pStyle w:val="BodyText5"/>
        <w:numPr>
          <w:ilvl w:val="0"/>
          <w:numId w:val="26"/>
        </w:numPr>
        <w:bidi/>
        <w:spacing w:after="0"/>
        <w:ind w:left="387"/>
        <w:rPr>
          <w:rFonts w:ascii="Traditional Arabic" w:hAnsi="Traditional Arabic" w:cs="Traditional Arabic"/>
          <w:sz w:val="30"/>
          <w:szCs w:val="30"/>
          <w:lang w:val="en-GB"/>
        </w:rPr>
      </w:pPr>
      <w:r w:rsidRPr="00EB5BCF">
        <w:rPr>
          <w:rFonts w:ascii="Traditional Arabic" w:hAnsi="Traditional Arabic" w:cs="Traditional Arabic"/>
          <w:sz w:val="30"/>
          <w:szCs w:val="30"/>
          <w:rtl/>
          <w:lang w:val="en-GB"/>
        </w:rPr>
        <w:t>إن البيانات والمعلومات التي تم عرضها في نشرة الإصدار هذه والمعدة باللغة العربية (وترجمتها غير الرسمية إلى اللغة الإنجليزية) هي بيانات ومعلومات حقيقية وصحيحة وكافية لمساعدة المستثمرين على اتخاذ القرار المناسب حول الاستثمار من عدمه في الأوراق المالية المطروحة للاكتتاب.</w:t>
      </w:r>
    </w:p>
    <w:p w14:paraId="3299C6A3" w14:textId="77777777" w:rsidR="00160265" w:rsidRPr="00EB5BCF" w:rsidRDefault="00160265" w:rsidP="00160265">
      <w:pPr>
        <w:pStyle w:val="BodyText5"/>
        <w:bidi/>
        <w:spacing w:after="0"/>
        <w:ind w:left="27"/>
        <w:rPr>
          <w:rFonts w:ascii="Traditional Arabic" w:hAnsi="Traditional Arabic" w:cs="Traditional Arabic"/>
          <w:sz w:val="30"/>
          <w:szCs w:val="30"/>
          <w:rtl/>
          <w:lang w:val="en-GB"/>
        </w:rPr>
      </w:pPr>
    </w:p>
    <w:p w14:paraId="5066302F" w14:textId="77777777" w:rsidR="00160265" w:rsidRPr="00EB5BCF" w:rsidRDefault="00160265" w:rsidP="00160265">
      <w:pPr>
        <w:pStyle w:val="BodyText5"/>
        <w:bidi/>
        <w:spacing w:after="0"/>
        <w:ind w:left="27"/>
        <w:rPr>
          <w:rFonts w:ascii="Traditional Arabic" w:hAnsi="Traditional Arabic" w:cs="Traditional Arabic"/>
          <w:sz w:val="30"/>
          <w:szCs w:val="30"/>
          <w:rtl/>
          <w:lang w:val="en-GB"/>
        </w:rPr>
      </w:pPr>
    </w:p>
    <w:p w14:paraId="7B535FAA" w14:textId="77777777" w:rsidR="00DA6F8C" w:rsidRPr="00EB5BCF" w:rsidRDefault="00DA6F8C" w:rsidP="00DA6F8C">
      <w:pPr>
        <w:pStyle w:val="BodyText5"/>
        <w:bidi/>
        <w:spacing w:after="0"/>
        <w:ind w:left="27"/>
        <w:rPr>
          <w:rFonts w:ascii="Traditional Arabic" w:hAnsi="Traditional Arabic" w:cs="Traditional Arabic"/>
          <w:sz w:val="30"/>
          <w:szCs w:val="30"/>
          <w:rtl/>
          <w:lang w:val="en-GB"/>
        </w:rPr>
      </w:pPr>
    </w:p>
    <w:p w14:paraId="4889E429" w14:textId="77777777" w:rsidR="00160265" w:rsidRPr="00EB5BCF" w:rsidRDefault="00160265" w:rsidP="006C09E4">
      <w:pPr>
        <w:pStyle w:val="BodyText5"/>
        <w:bidi/>
        <w:spacing w:after="0"/>
        <w:ind w:left="27"/>
        <w:rPr>
          <w:rFonts w:ascii="Traditional Arabic" w:hAnsi="Traditional Arabic" w:cs="Traditional Arabic"/>
          <w:b/>
          <w:bCs/>
          <w:sz w:val="30"/>
          <w:szCs w:val="30"/>
          <w:rtl/>
          <w:lang w:val="en-GB"/>
        </w:rPr>
      </w:pPr>
      <w:r w:rsidRPr="00EB5BCF">
        <w:rPr>
          <w:rFonts w:ascii="Traditional Arabic" w:hAnsi="Traditional Arabic" w:cs="Traditional Arabic"/>
          <w:sz w:val="30"/>
          <w:szCs w:val="30"/>
          <w:rtl/>
          <w:lang w:val="en-GB"/>
        </w:rPr>
        <w:t xml:space="preserve">_______________________ </w:t>
      </w:r>
      <w:r w:rsidRPr="00EB5BCF">
        <w:rPr>
          <w:rFonts w:ascii="Traditional Arabic" w:hAnsi="Traditional Arabic" w:cs="Traditional Arabic"/>
          <w:sz w:val="30"/>
          <w:szCs w:val="30"/>
          <w:rtl/>
          <w:lang w:val="en-GB"/>
        </w:rPr>
        <w:tab/>
      </w:r>
      <w:r w:rsidRPr="00EB5BCF">
        <w:rPr>
          <w:rFonts w:ascii="Traditional Arabic" w:hAnsi="Traditional Arabic" w:cs="Traditional Arabic"/>
          <w:sz w:val="30"/>
          <w:szCs w:val="30"/>
          <w:rtl/>
          <w:lang w:val="en-GB"/>
        </w:rPr>
        <w:tab/>
      </w:r>
    </w:p>
    <w:p w14:paraId="6D02C5D8" w14:textId="77777777" w:rsidR="0053089B" w:rsidRPr="00EB5BCF" w:rsidRDefault="0053089B">
      <w:pPr>
        <w:spacing w:after="160" w:line="259" w:lineRule="auto"/>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br w:type="page"/>
      </w:r>
    </w:p>
    <w:p w14:paraId="1E6CDE37" w14:textId="77777777" w:rsidR="0053089B" w:rsidRPr="00EB5BCF" w:rsidRDefault="0053089B" w:rsidP="0053089B">
      <w:pPr>
        <w:pStyle w:val="BodyText1"/>
        <w:bidi/>
        <w:spacing w:after="0"/>
        <w:rPr>
          <w:rFonts w:ascii="Traditional Arabic" w:hAnsi="Traditional Arabic" w:cs="Traditional Arabic"/>
          <w:bCs/>
          <w:sz w:val="30"/>
          <w:szCs w:val="30"/>
          <w:rtl/>
          <w:lang w:val="en-GB"/>
        </w:rPr>
      </w:pPr>
    </w:p>
    <w:p w14:paraId="5195A970" w14:textId="77777777" w:rsidR="00FD0B9F" w:rsidRPr="00EB5BCF" w:rsidRDefault="0053089B" w:rsidP="00146108">
      <w:pPr>
        <w:pStyle w:val="BodyText1"/>
        <w:bidi/>
        <w:spacing w:after="0"/>
        <w:rPr>
          <w:rFonts w:ascii="Traditional Arabic" w:hAnsi="Traditional Arabic" w:cs="Traditional Arabic"/>
          <w:bCs/>
          <w:sz w:val="30"/>
          <w:szCs w:val="30"/>
          <w:rtl/>
          <w:lang w:val="en-GB"/>
        </w:rPr>
      </w:pPr>
      <w:r w:rsidRPr="00EB5BCF">
        <w:rPr>
          <w:rFonts w:ascii="Traditional Arabic" w:hAnsi="Traditional Arabic" w:cs="Traditional Arabic"/>
          <w:bCs/>
          <w:sz w:val="30"/>
          <w:szCs w:val="30"/>
          <w:rtl/>
          <w:lang w:val="en-GB"/>
        </w:rPr>
        <w:t xml:space="preserve">(3) </w:t>
      </w:r>
      <w:r w:rsidR="00FD0B9F" w:rsidRPr="00EB5BCF">
        <w:rPr>
          <w:rFonts w:ascii="Traditional Arabic" w:hAnsi="Traditional Arabic" w:cs="Traditional Arabic"/>
          <w:bCs/>
          <w:sz w:val="30"/>
          <w:szCs w:val="30"/>
          <w:rtl/>
          <w:lang w:val="en-GB"/>
        </w:rPr>
        <w:t>المستشار القانوني ل</w:t>
      </w:r>
      <w:r w:rsidR="0013213C" w:rsidRPr="00EB5BCF">
        <w:rPr>
          <w:rFonts w:ascii="Traditional Arabic" w:hAnsi="Traditional Arabic" w:cs="Traditional Arabic"/>
          <w:bCs/>
          <w:sz w:val="30"/>
          <w:szCs w:val="30"/>
          <w:rtl/>
          <w:lang w:val="en-GB"/>
        </w:rPr>
        <w:t>ل</w:t>
      </w:r>
      <w:r w:rsidR="00FD0B9F" w:rsidRPr="00EB5BCF">
        <w:rPr>
          <w:rFonts w:ascii="Traditional Arabic" w:hAnsi="Traditional Arabic" w:cs="Traditional Arabic"/>
          <w:bCs/>
          <w:sz w:val="30"/>
          <w:szCs w:val="30"/>
          <w:rtl/>
          <w:lang w:val="en-GB"/>
        </w:rPr>
        <w:t xml:space="preserve">شركة </w:t>
      </w:r>
    </w:p>
    <w:p w14:paraId="75921622" w14:textId="77777777" w:rsidR="00FD0B9F" w:rsidRPr="00EB5BCF" w:rsidRDefault="00FD0B9F" w:rsidP="00FD0B9F">
      <w:pPr>
        <w:pStyle w:val="BodyText1"/>
        <w:bidi/>
        <w:spacing w:after="0"/>
        <w:ind w:left="765"/>
        <w:rPr>
          <w:rFonts w:ascii="Traditional Arabic" w:hAnsi="Traditional Arabic" w:cs="Traditional Arabic"/>
          <w:bCs/>
          <w:sz w:val="30"/>
          <w:szCs w:val="30"/>
          <w:lang w:val="en-GB"/>
        </w:rPr>
      </w:pPr>
    </w:p>
    <w:p w14:paraId="00681E80" w14:textId="77777777" w:rsidR="00FD0B9F" w:rsidRPr="00EB5BCF" w:rsidRDefault="00FD0B9F" w:rsidP="00FD0B9F">
      <w:pPr>
        <w:bidi/>
        <w:jc w:val="both"/>
        <w:rPr>
          <w:rFonts w:ascii="Traditional Arabic" w:hAnsi="Traditional Arabic" w:cs="Traditional Arabic"/>
          <w:smallCaps/>
          <w:sz w:val="30"/>
          <w:szCs w:val="30"/>
          <w:rtl/>
          <w:lang w:val="en-GB"/>
        </w:rPr>
      </w:pPr>
      <w:r w:rsidRPr="00EB5BCF">
        <w:rPr>
          <w:rFonts w:ascii="Traditional Arabic" w:hAnsi="Traditional Arabic" w:cs="Traditional Arabic"/>
          <w:smallCaps/>
          <w:sz w:val="30"/>
          <w:szCs w:val="30"/>
          <w:rtl/>
          <w:lang w:val="en-GB"/>
        </w:rPr>
        <w:t xml:space="preserve">يؤكد المستشار القانوني المبين اسمه أدناه أن جميع الإجراءات المتخذة بشأن طرح الأوراق المالية موضوع هذه النشرة تتفق مع أحكام القوانين والتشريعات ذات العلاقة بنشاط </w:t>
      </w:r>
      <w:r w:rsidR="004C189D" w:rsidRPr="00EB5BCF">
        <w:rPr>
          <w:rFonts w:ascii="Traditional Arabic" w:hAnsi="Traditional Arabic" w:cs="Traditional Arabic"/>
          <w:smallCaps/>
          <w:sz w:val="30"/>
          <w:szCs w:val="30"/>
          <w:rtl/>
          <w:lang w:val="en-GB"/>
        </w:rPr>
        <w:t>ال</w:t>
      </w:r>
      <w:r w:rsidRPr="00EB5BCF">
        <w:rPr>
          <w:rFonts w:ascii="Traditional Arabic" w:hAnsi="Traditional Arabic" w:cs="Traditional Arabic"/>
          <w:smallCaps/>
          <w:sz w:val="30"/>
          <w:szCs w:val="30"/>
          <w:rtl/>
          <w:lang w:val="en-GB"/>
        </w:rPr>
        <w:t xml:space="preserve">شركة وقانون الشركات التجارية وقانون </w:t>
      </w:r>
      <w:r w:rsidR="00BB2840" w:rsidRPr="00EB5BCF">
        <w:rPr>
          <w:rFonts w:ascii="Traditional Arabic" w:hAnsi="Traditional Arabic" w:cs="Traditional Arabic"/>
          <w:smallCaps/>
          <w:sz w:val="30"/>
          <w:szCs w:val="30"/>
          <w:rtl/>
          <w:lang w:val="en-GB"/>
        </w:rPr>
        <w:t>الأوراق المالية</w:t>
      </w:r>
      <w:r w:rsidRPr="00EB5BCF">
        <w:rPr>
          <w:rFonts w:ascii="Traditional Arabic" w:hAnsi="Traditional Arabic" w:cs="Traditional Arabic"/>
          <w:smallCaps/>
          <w:sz w:val="30"/>
          <w:szCs w:val="30"/>
          <w:rtl/>
          <w:lang w:val="en-GB"/>
        </w:rPr>
        <w:t xml:space="preserve"> </w:t>
      </w:r>
      <w:r w:rsidR="00637B51" w:rsidRPr="00EB5BCF">
        <w:rPr>
          <w:rFonts w:ascii="Traditional Arabic" w:hAnsi="Traditional Arabic" w:cs="Traditional Arabic"/>
          <w:smallCaps/>
          <w:sz w:val="30"/>
          <w:szCs w:val="30"/>
          <w:rtl/>
          <w:lang w:val="en-GB"/>
        </w:rPr>
        <w:t>و</w:t>
      </w:r>
      <w:r w:rsidR="00637B51">
        <w:rPr>
          <w:rFonts w:ascii="Traditional Arabic" w:hAnsi="Traditional Arabic" w:cs="Traditional Arabic" w:hint="cs"/>
          <w:smallCaps/>
          <w:sz w:val="30"/>
          <w:szCs w:val="30"/>
          <w:rtl/>
          <w:lang w:val="en-GB"/>
        </w:rPr>
        <w:t>اللائحة التنفيذية لقانون سوق رأس المال</w:t>
      </w:r>
      <w:r w:rsidR="00637B51" w:rsidRPr="00EB5BCF">
        <w:rPr>
          <w:rFonts w:ascii="Traditional Arabic" w:hAnsi="Traditional Arabic" w:cs="Traditional Arabic"/>
          <w:smallCaps/>
          <w:sz w:val="30"/>
          <w:szCs w:val="30"/>
          <w:rtl/>
          <w:lang w:val="en-GB"/>
        </w:rPr>
        <w:t xml:space="preserve"> </w:t>
      </w:r>
      <w:r w:rsidRPr="00EB5BCF">
        <w:rPr>
          <w:rFonts w:ascii="Traditional Arabic" w:hAnsi="Traditional Arabic" w:cs="Traditional Arabic"/>
          <w:smallCaps/>
          <w:sz w:val="30"/>
          <w:szCs w:val="30"/>
          <w:rtl/>
          <w:lang w:val="en-GB"/>
        </w:rPr>
        <w:t xml:space="preserve">والتعليمات الصادرة بمقتضاها ومتطلبات شروط إصدار الأسهم ونموذج نشرة الإصدار المقرر من قبل </w:t>
      </w:r>
      <w:r w:rsidR="002D7E14">
        <w:rPr>
          <w:rFonts w:ascii="Traditional Arabic" w:hAnsi="Traditional Arabic" w:cs="Traditional Arabic"/>
          <w:smallCaps/>
          <w:sz w:val="30"/>
          <w:szCs w:val="30"/>
          <w:rtl/>
          <w:lang w:val="en-GB"/>
        </w:rPr>
        <w:t>هيئة الخدمات المالية</w:t>
      </w:r>
      <w:r w:rsidRPr="00EB5BCF">
        <w:rPr>
          <w:rFonts w:ascii="Traditional Arabic" w:hAnsi="Traditional Arabic" w:cs="Traditional Arabic"/>
          <w:smallCaps/>
          <w:sz w:val="30"/>
          <w:szCs w:val="30"/>
          <w:rtl/>
          <w:lang w:val="en-GB"/>
        </w:rPr>
        <w:t xml:space="preserve"> والنظام الأساسي ل</w:t>
      </w:r>
      <w:r w:rsidR="004C189D" w:rsidRPr="00EB5BCF">
        <w:rPr>
          <w:rFonts w:ascii="Traditional Arabic" w:hAnsi="Traditional Arabic" w:cs="Traditional Arabic"/>
          <w:smallCaps/>
          <w:sz w:val="30"/>
          <w:szCs w:val="30"/>
          <w:rtl/>
          <w:lang w:val="en-GB"/>
        </w:rPr>
        <w:t>ل</w:t>
      </w:r>
      <w:r w:rsidRPr="00EB5BCF">
        <w:rPr>
          <w:rFonts w:ascii="Traditional Arabic" w:hAnsi="Traditional Arabic" w:cs="Traditional Arabic"/>
          <w:smallCaps/>
          <w:sz w:val="30"/>
          <w:szCs w:val="30"/>
          <w:rtl/>
          <w:lang w:val="en-GB"/>
        </w:rPr>
        <w:t xml:space="preserve">شركة وقرارات الجمعية العامة ومجلس إدارة الشركة، ولقد حصلت </w:t>
      </w:r>
      <w:r w:rsidR="004C189D" w:rsidRPr="00EB5BCF">
        <w:rPr>
          <w:rFonts w:ascii="Traditional Arabic" w:hAnsi="Traditional Arabic" w:cs="Traditional Arabic"/>
          <w:smallCaps/>
          <w:sz w:val="30"/>
          <w:szCs w:val="30"/>
          <w:rtl/>
          <w:lang w:val="en-GB"/>
        </w:rPr>
        <w:t>ال</w:t>
      </w:r>
      <w:r w:rsidRPr="00EB5BCF">
        <w:rPr>
          <w:rFonts w:ascii="Traditional Arabic" w:hAnsi="Traditional Arabic" w:cs="Traditional Arabic"/>
          <w:smallCaps/>
          <w:sz w:val="30"/>
          <w:szCs w:val="30"/>
          <w:rtl/>
          <w:lang w:val="en-GB"/>
        </w:rPr>
        <w:t>شركة على جميع التراخيص والموافقات الرسمية اللازمة لمباشرة الأنشطة الموضحة في هذه النشرة.</w:t>
      </w:r>
    </w:p>
    <w:p w14:paraId="3566C9A0" w14:textId="77777777" w:rsidR="00FD0B9F" w:rsidRPr="00EB5BCF" w:rsidRDefault="00FD0B9F" w:rsidP="004C189D">
      <w:pPr>
        <w:autoSpaceDE w:val="0"/>
        <w:autoSpaceDN w:val="0"/>
        <w:bidi/>
        <w:adjustRightInd w:val="0"/>
        <w:jc w:val="center"/>
        <w:rPr>
          <w:rFonts w:ascii="Traditional Arabic" w:hAnsi="Traditional Arabic" w:cs="Traditional Arabic"/>
          <w:sz w:val="30"/>
          <w:szCs w:val="30"/>
          <w:rtl/>
          <w:lang w:val="en-GB"/>
        </w:rPr>
      </w:pPr>
    </w:p>
    <w:p w14:paraId="4351D0A6" w14:textId="77777777" w:rsidR="004C189D" w:rsidRPr="00EB5BCF" w:rsidRDefault="004C189D" w:rsidP="004C189D">
      <w:pPr>
        <w:autoSpaceDE w:val="0"/>
        <w:autoSpaceDN w:val="0"/>
        <w:bidi/>
        <w:adjustRightInd w:val="0"/>
        <w:jc w:val="center"/>
        <w:rPr>
          <w:rFonts w:ascii="Traditional Arabic" w:hAnsi="Traditional Arabic" w:cs="Traditional Arabic"/>
          <w:sz w:val="30"/>
          <w:szCs w:val="30"/>
          <w:rtl/>
          <w:lang w:val="en-GB"/>
        </w:rPr>
      </w:pPr>
    </w:p>
    <w:p w14:paraId="34BE4A25" w14:textId="77777777" w:rsidR="004C189D" w:rsidRPr="00EB5BCF" w:rsidRDefault="004C189D" w:rsidP="004C189D">
      <w:pPr>
        <w:autoSpaceDE w:val="0"/>
        <w:autoSpaceDN w:val="0"/>
        <w:bidi/>
        <w:adjustRightInd w:val="0"/>
        <w:jc w:val="center"/>
        <w:rPr>
          <w:rFonts w:ascii="Traditional Arabic" w:hAnsi="Traditional Arabic" w:cs="Traditional Arabic"/>
          <w:sz w:val="30"/>
          <w:szCs w:val="30"/>
          <w:rtl/>
          <w:lang w:val="en-GB"/>
        </w:rPr>
      </w:pPr>
    </w:p>
    <w:p w14:paraId="032F3F1E" w14:textId="77777777" w:rsidR="004C189D" w:rsidRPr="00EB5BCF" w:rsidRDefault="004C189D" w:rsidP="008252E9">
      <w:pPr>
        <w:autoSpaceDE w:val="0"/>
        <w:autoSpaceDN w:val="0"/>
        <w:bidi/>
        <w:adjustRightInd w:val="0"/>
        <w:rPr>
          <w:rFonts w:ascii="Traditional Arabic" w:hAnsi="Traditional Arabic" w:cs="Traditional Arabic"/>
          <w:sz w:val="30"/>
          <w:szCs w:val="30"/>
          <w:rtl/>
          <w:lang w:val="en-GB"/>
        </w:rPr>
      </w:pPr>
      <w:r w:rsidRPr="00EB5BCF">
        <w:rPr>
          <w:rFonts w:ascii="Traditional Arabic" w:hAnsi="Traditional Arabic" w:cs="Traditional Arabic"/>
          <w:sz w:val="30"/>
          <w:szCs w:val="30"/>
          <w:rtl/>
          <w:lang w:val="en-GB"/>
        </w:rPr>
        <w:t xml:space="preserve">_____________________________ </w:t>
      </w:r>
    </w:p>
    <w:p w14:paraId="469514ED" w14:textId="77777777" w:rsidR="00637B51" w:rsidRDefault="00637B51" w:rsidP="008252E9">
      <w:pPr>
        <w:autoSpaceDE w:val="0"/>
        <w:autoSpaceDN w:val="0"/>
        <w:bidi/>
        <w:adjustRightInd w:val="0"/>
        <w:rPr>
          <w:rFonts w:ascii="Traditional Arabic" w:hAnsi="Traditional Arabic" w:cs="Traditional Arabic"/>
          <w:bCs/>
          <w:sz w:val="30"/>
          <w:szCs w:val="30"/>
          <w:rtl/>
          <w:lang w:val="en-GB"/>
        </w:rPr>
      </w:pPr>
      <w:r>
        <w:rPr>
          <w:rFonts w:ascii="Traditional Arabic" w:hAnsi="Traditional Arabic" w:cs="Traditional Arabic" w:hint="cs"/>
          <w:bCs/>
          <w:sz w:val="30"/>
          <w:szCs w:val="30"/>
          <w:rtl/>
          <w:lang w:val="en-GB"/>
        </w:rPr>
        <w:t xml:space="preserve">المستشار القانوني للشركة </w:t>
      </w:r>
    </w:p>
    <w:p w14:paraId="60509653" w14:textId="77777777" w:rsidR="004C189D" w:rsidRPr="00EB5BCF" w:rsidRDefault="004C189D" w:rsidP="00637B51">
      <w:pPr>
        <w:autoSpaceDE w:val="0"/>
        <w:autoSpaceDN w:val="0"/>
        <w:bidi/>
        <w:adjustRightInd w:val="0"/>
        <w:rPr>
          <w:rFonts w:ascii="Traditional Arabic" w:hAnsi="Traditional Arabic" w:cs="Traditional Arabic"/>
          <w:sz w:val="30"/>
          <w:szCs w:val="30"/>
          <w:rtl/>
          <w:lang w:val="en-GB"/>
        </w:rPr>
      </w:pPr>
      <w:r w:rsidRPr="00EB5BCF">
        <w:rPr>
          <w:rFonts w:ascii="Traditional Arabic" w:hAnsi="Traditional Arabic" w:cs="Traditional Arabic"/>
          <w:bCs/>
          <w:sz w:val="30"/>
          <w:szCs w:val="30"/>
          <w:rtl/>
          <w:lang w:val="en-GB"/>
        </w:rPr>
        <w:t>مكتب المعمرية والعبري وشركاؤهم للمحاماة والاستشارات القانونية</w:t>
      </w:r>
      <w:bookmarkEnd w:id="0"/>
    </w:p>
    <w:sectPr w:rsidR="004C189D" w:rsidRPr="00EB5B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45204" w14:textId="77777777" w:rsidR="00AC07C9" w:rsidRDefault="00AC07C9">
      <w:r>
        <w:separator/>
      </w:r>
    </w:p>
    <w:p w14:paraId="793B20E4" w14:textId="77777777" w:rsidR="00AC07C9" w:rsidRDefault="00AC07C9"/>
  </w:endnote>
  <w:endnote w:type="continuationSeparator" w:id="0">
    <w:p w14:paraId="314E4746" w14:textId="77777777" w:rsidR="00AC07C9" w:rsidRDefault="00AC07C9">
      <w:r>
        <w:continuationSeparator/>
      </w:r>
    </w:p>
    <w:p w14:paraId="2311292A" w14:textId="77777777" w:rsidR="00AC07C9" w:rsidRDefault="00AC07C9"/>
  </w:endnote>
  <w:endnote w:type="continuationNotice" w:id="1">
    <w:p w14:paraId="105E73FE" w14:textId="77777777" w:rsidR="00AC07C9" w:rsidRDefault="00AC07C9"/>
    <w:p w14:paraId="1294A19B" w14:textId="77777777" w:rsidR="00AC07C9" w:rsidRDefault="00AC07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imes New Roman Bold">
    <w:altName w:val="Times New Roman"/>
    <w:panose1 w:val="020208030705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Univers 45 Light">
    <w:altName w:val="Calibri"/>
    <w:charset w:val="00"/>
    <w:family w:val="auto"/>
    <w:pitch w:val="variable"/>
    <w:sig w:usb0="80000023" w:usb1="00000000" w:usb2="00000000" w:usb3="00000000" w:csb0="00000001" w:csb1="00000000"/>
  </w:font>
  <w:font w:name="Palatino">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charset w:val="00"/>
    <w:family w:val="roman"/>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Univers 55">
    <w:altName w:val="Calibri"/>
    <w:charset w:val="00"/>
    <w:family w:val="auto"/>
    <w:pitch w:val="variable"/>
    <w:sig w:usb0="80000023" w:usb1="00000000" w:usb2="00000000" w:usb3="00000000" w:csb0="00000001" w:csb1="00000000"/>
  </w:font>
  <w:font w:name="Univers LT Std 45 Light">
    <w:altName w:val="Calibri"/>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TimesNewRomanPS-BoldMT">
    <w:altName w:val="Arial"/>
    <w:charset w:val="B2"/>
    <w:family w:val="auto"/>
    <w:pitch w:val="default"/>
    <w:sig w:usb0="00002001" w:usb1="00000000" w:usb2="00000000" w:usb3="00000000" w:csb0="00000040" w:csb1="00000000"/>
  </w:font>
  <w:font w:name="Tajawal">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528280"/>
      <w:docPartObj>
        <w:docPartGallery w:val="Page Numbers (Bottom of Page)"/>
        <w:docPartUnique/>
      </w:docPartObj>
    </w:sdtPr>
    <w:sdtEndPr>
      <w:rPr>
        <w:noProof/>
      </w:rPr>
    </w:sdtEndPr>
    <w:sdtContent>
      <w:p w14:paraId="2D91CB7C" w14:textId="72EF1155" w:rsidR="00893A9A" w:rsidRDefault="00893A9A">
        <w:pPr>
          <w:pStyle w:val="Footer"/>
        </w:pPr>
        <w:r>
          <w:fldChar w:fldCharType="begin"/>
        </w:r>
        <w:r>
          <w:instrText xml:space="preserve"> PAGE   \* MERGEFORMAT </w:instrText>
        </w:r>
        <w:r>
          <w:fldChar w:fldCharType="separate"/>
        </w:r>
        <w:r w:rsidR="00075F2A">
          <w:rPr>
            <w:noProof/>
          </w:rPr>
          <w:t>1</w:t>
        </w:r>
        <w:r>
          <w:rPr>
            <w:noProof/>
          </w:rPr>
          <w:fldChar w:fldCharType="end"/>
        </w:r>
      </w:p>
    </w:sdtContent>
  </w:sdt>
  <w:p w14:paraId="4D382A83" w14:textId="504BAAA4" w:rsidR="00893A9A" w:rsidRDefault="0079324F">
    <w:pPr>
      <w:pStyle w:val="Footer"/>
    </w:pPr>
    <w:r>
      <w:rPr>
        <w:noProof/>
      </w:rPr>
      <mc:AlternateContent>
        <mc:Choice Requires="wps">
          <w:drawing>
            <wp:anchor distT="0" distB="0" distL="114300" distR="114300" simplePos="0" relativeHeight="251661312" behindDoc="0" locked="0" layoutInCell="1" allowOverlap="1" wp14:anchorId="53CD08C1" wp14:editId="7BD5A974">
              <wp:simplePos x="0" y="0"/>
              <wp:positionH relativeFrom="page">
                <wp:align>center</wp:align>
              </wp:positionH>
              <wp:positionV relativeFrom="page">
                <wp:align>bottom</wp:align>
              </wp:positionV>
              <wp:extent cx="7620000" cy="317500"/>
              <wp:effectExtent l="0" t="0" r="0" b="0"/>
              <wp:wrapNone/>
              <wp:docPr id="1257916376" name="GVFooter_Section1_11355584179"/>
              <wp:cNvGraphicFramePr/>
              <a:graphic xmlns:a="http://schemas.openxmlformats.org/drawingml/2006/main">
                <a:graphicData uri="http://schemas.microsoft.com/office/word/2010/wordprocessingShape">
                  <wps:wsp>
                    <wps:cNvSpPr txBox="1"/>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75379C" w14:textId="77777777" w:rsidR="0079324F" w:rsidRDefault="0079324F" w:rsidP="00545D4C">
                          <w:pPr>
                            <w:jc w:val="center"/>
                          </w:pPr>
                          <w:r w:rsidRPr="00545D4C">
                            <w:rPr>
                              <w:rFonts w:ascii="Calibri" w:hAnsi="Calibri" w:cs="Calibri"/>
                              <w:color w:val="000000"/>
                              <w:szCs w:val="20"/>
                            </w:rPr>
                            <w:t xml:space="preserve">Classified as: </w:t>
                          </w:r>
                          <w:r w:rsidRPr="00545D4C">
                            <w:rPr>
                              <w:rFonts w:ascii="Calibri" w:hAnsi="Calibri" w:cs="Calibri"/>
                              <w:color w:val="EB622C"/>
                              <w:szCs w:val="20"/>
                            </w:rPr>
                            <w:t>Internal - 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3CD08C1" id="_x0000_t202" coordsize="21600,21600" o:spt="202" path="m,l,21600r21600,l21600,xe">
              <v:stroke joinstyle="miter"/>
              <v:path gradientshapeok="t" o:connecttype="rect"/>
            </v:shapetype>
            <v:shape id="GVFooter_Section1_11355584179" o:spid="_x0000_s1027" type="#_x0000_t202" style="position:absolute;margin-left:0;margin-top:0;width:600pt;height:25pt;z-index:251661312;visibility:visible;mso-wrap-style:square;mso-wrap-distance-left:9pt;mso-wrap-distance-top:0;mso-wrap-distance-right:9pt;mso-wrap-distance-bottom:0;mso-position-horizontal:center;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" filled="f" stroked="f" strokeweight=".5pt">
              <v:textbox style="mso-fit-shape-to-text:t">
                <w:txbxContent>
                  <w:p w14:paraId="7875379C" w14:textId="77777777" w:rsidR="0079324F" w:rsidRDefault="0079324F" w:rsidP="00545D4C">
                    <w:pPr>
                      <w:jc w:val="center"/>
                    </w:pPr>
                    <w:r w:rsidRPr="00545D4C">
                      <w:rPr>
                        <w:rFonts w:ascii="Calibri" w:hAnsi="Calibri" w:cs="Calibri"/>
                        <w:color w:val="000000"/>
                        <w:szCs w:val="20"/>
                      </w:rPr>
                      <w:t xml:space="preserve">Classified as: </w:t>
                    </w:r>
                    <w:r w:rsidRPr="00545D4C">
                      <w:rPr>
                        <w:rFonts w:ascii="Calibri" w:hAnsi="Calibri" w:cs="Calibri"/>
                        <w:color w:val="EB622C"/>
                        <w:szCs w:val="20"/>
                      </w:rPr>
                      <w:t>Internal - Confidential</w:t>
                    </w:r>
                  </w:p>
                </w:txbxContent>
              </v:textbox>
              <w10:wrap anchorx="page" anchory="page"/>
            </v:shape>
          </w:pict>
        </mc:Fallback>
      </mc:AlternateContent>
    </w:r>
    <w:r w:rsidR="00893A9A">
      <w:rPr>
        <w:noProof/>
      </w:rPr>
      <mc:AlternateContent>
        <mc:Choice Requires="wps">
          <w:drawing>
            <wp:anchor distT="0" distB="0" distL="114300" distR="114300" simplePos="0" relativeHeight="251659264" behindDoc="0" locked="0" layoutInCell="1" allowOverlap="1" wp14:anchorId="1DCE5FE9" wp14:editId="11423E6C">
              <wp:simplePos x="0" y="0"/>
              <wp:positionH relativeFrom="page">
                <wp:align>center</wp:align>
              </wp:positionH>
              <wp:positionV relativeFrom="page">
                <wp:align>bottom</wp:align>
              </wp:positionV>
              <wp:extent cx="7620000" cy="317500"/>
              <wp:effectExtent l="0" t="0" r="0" b="0"/>
              <wp:wrapNone/>
              <wp:docPr id="282947241" name="GVFooter_Section1_11355584179"/>
              <wp:cNvGraphicFramePr/>
              <a:graphic xmlns:a="http://schemas.openxmlformats.org/drawingml/2006/main">
                <a:graphicData uri="http://schemas.microsoft.com/office/word/2010/wordprocessingShape">
                  <wps:wsp>
                    <wps:cNvSpPr txBox="1"/>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ADC35D" w14:textId="77777777" w:rsidR="00893A9A" w:rsidRDefault="00893A9A" w:rsidP="00545D4C">
                          <w:pPr>
                            <w:jc w:val="center"/>
                          </w:pPr>
                          <w:r w:rsidRPr="00545D4C">
                            <w:rPr>
                              <w:rFonts w:ascii="Calibri" w:hAnsi="Calibri" w:cs="Calibri"/>
                              <w:color w:val="000000"/>
                              <w:szCs w:val="20"/>
                            </w:rPr>
                            <w:t xml:space="preserve">Classified as: </w:t>
                          </w:r>
                          <w:r w:rsidRPr="00545D4C">
                            <w:rPr>
                              <w:rFonts w:ascii="Calibri" w:hAnsi="Calibri" w:cs="Calibri"/>
                              <w:color w:val="EB622C"/>
                              <w:szCs w:val="20"/>
                            </w:rPr>
                            <w:t>Internal - 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CE5FE9" id="_x0000_s1028" type="#_x0000_t202" style="position:absolute;margin-left:0;margin-top:0;width:600pt;height:25pt;z-index:251659264;visibility:visible;mso-wrap-style:square;mso-wrap-distance-left:9pt;mso-wrap-distance-top:0;mso-wrap-distance-right:9pt;mso-wrap-distance-bottom:0;mso-position-horizontal:center;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" filled="f" stroked="f" strokeweight=".5pt">
              <v:textbox style="mso-fit-shape-to-text:t">
                <w:txbxContent>
                  <w:p w14:paraId="0DADC35D" w14:textId="77777777" w:rsidR="00893A9A" w:rsidRDefault="00893A9A" w:rsidP="00545D4C">
                    <w:pPr>
                      <w:jc w:val="center"/>
                    </w:pPr>
                    <w:r w:rsidRPr="00545D4C">
                      <w:rPr>
                        <w:rFonts w:ascii="Calibri" w:hAnsi="Calibri" w:cs="Calibri"/>
                        <w:color w:val="000000"/>
                        <w:szCs w:val="20"/>
                      </w:rPr>
                      <w:t xml:space="preserve">Classified as: </w:t>
                    </w:r>
                    <w:r w:rsidRPr="00545D4C">
                      <w:rPr>
                        <w:rFonts w:ascii="Calibri" w:hAnsi="Calibri" w:cs="Calibri"/>
                        <w:color w:val="EB622C"/>
                        <w:szCs w:val="20"/>
                      </w:rPr>
                      <w:t>Internal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2D96E" w14:textId="77777777" w:rsidR="00AC07C9" w:rsidRDefault="00AC07C9">
      <w:r>
        <w:separator/>
      </w:r>
    </w:p>
    <w:p w14:paraId="60CC32AA" w14:textId="77777777" w:rsidR="00AC07C9" w:rsidRDefault="00AC07C9"/>
  </w:footnote>
  <w:footnote w:type="continuationSeparator" w:id="0">
    <w:p w14:paraId="3C8FEF5A" w14:textId="77777777" w:rsidR="00AC07C9" w:rsidRDefault="00AC07C9">
      <w:r>
        <w:continuationSeparator/>
      </w:r>
    </w:p>
    <w:p w14:paraId="78DE1EE4" w14:textId="77777777" w:rsidR="00AC07C9" w:rsidRDefault="00AC07C9"/>
  </w:footnote>
  <w:footnote w:type="continuationNotice" w:id="1">
    <w:p w14:paraId="401591F7" w14:textId="77777777" w:rsidR="00AC07C9" w:rsidRDefault="00AC07C9"/>
    <w:p w14:paraId="168D9690" w14:textId="77777777" w:rsidR="00AC07C9" w:rsidRDefault="00AC07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428"/>
    <w:multiLevelType w:val="hybridMultilevel"/>
    <w:tmpl w:val="FF6A0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D32CF"/>
    <w:multiLevelType w:val="hybridMultilevel"/>
    <w:tmpl w:val="2118EF6A"/>
    <w:lvl w:ilvl="0" w:tplc="4CF6124A">
      <w:start w:val="1"/>
      <w:numFmt w:val="decimal"/>
      <w:lvlText w:val="(%1)"/>
      <w:lvlJc w:val="left"/>
      <w:pPr>
        <w:ind w:left="785" w:hanging="360"/>
      </w:pPr>
      <w:rPr>
        <w:rFonts w:hint="default"/>
        <w:sz w:val="18"/>
        <w:szCs w:val="18"/>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0E8D6B8F"/>
    <w:multiLevelType w:val="hybridMultilevel"/>
    <w:tmpl w:val="3DD80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F3F0B"/>
    <w:multiLevelType w:val="hybridMultilevel"/>
    <w:tmpl w:val="9B465928"/>
    <w:lvl w:ilvl="0" w:tplc="04090019">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D70E8"/>
    <w:multiLevelType w:val="hybridMultilevel"/>
    <w:tmpl w:val="FBE06AAC"/>
    <w:lvl w:ilvl="0" w:tplc="7CEE41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51E28"/>
    <w:multiLevelType w:val="hybridMultilevel"/>
    <w:tmpl w:val="5348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44752"/>
    <w:multiLevelType w:val="hybridMultilevel"/>
    <w:tmpl w:val="D1A08A98"/>
    <w:lvl w:ilvl="0" w:tplc="04090019">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7FB1"/>
    <w:multiLevelType w:val="hybridMultilevel"/>
    <w:tmpl w:val="0736201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8" w15:restartNumberingAfterBreak="0">
    <w:nsid w:val="18B76C47"/>
    <w:multiLevelType w:val="hybridMultilevel"/>
    <w:tmpl w:val="70C2388E"/>
    <w:lvl w:ilvl="0" w:tplc="F3C45670">
      <w:start w:val="4"/>
      <w:numFmt w:val="bullet"/>
      <w:lvlText w:val="•"/>
      <w:lvlJc w:val="left"/>
      <w:pPr>
        <w:ind w:left="1500" w:hanging="1140"/>
      </w:pPr>
      <w:rPr>
        <w:rFonts w:ascii="Traditional Arabic" w:eastAsia="Sakkal Majall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EB21C9"/>
    <w:multiLevelType w:val="hybridMultilevel"/>
    <w:tmpl w:val="C7548534"/>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0" w15:restartNumberingAfterBreak="0">
    <w:nsid w:val="198D79E3"/>
    <w:multiLevelType w:val="hybridMultilevel"/>
    <w:tmpl w:val="8FA6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0012E"/>
    <w:multiLevelType w:val="hybridMultilevel"/>
    <w:tmpl w:val="F614F580"/>
    <w:name w:val="Note2"/>
    <w:lvl w:ilvl="0" w:tplc="F3C45670">
      <w:start w:val="4"/>
      <w:numFmt w:val="bullet"/>
      <w:lvlText w:val="•"/>
      <w:lvlJc w:val="left"/>
      <w:pPr>
        <w:ind w:left="1500" w:hanging="1140"/>
      </w:pPr>
      <w:rPr>
        <w:rFonts w:ascii="Traditional Arabic" w:eastAsia="Sakkal Majall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E73C0A"/>
    <w:multiLevelType w:val="hybridMultilevel"/>
    <w:tmpl w:val="EFC873A2"/>
    <w:lvl w:ilvl="0" w:tplc="04090011">
      <w:start w:val="1"/>
      <w:numFmt w:val="decimal"/>
      <w:lvlText w:val="%1)"/>
      <w:lvlJc w:val="left"/>
      <w:pPr>
        <w:ind w:left="720" w:hanging="720"/>
      </w:pPr>
      <w:rPr>
        <w:rFonts w:hint="default"/>
      </w:rPr>
    </w:lvl>
    <w:lvl w:ilvl="1" w:tplc="FFFFFFFF">
      <w:start w:val="1"/>
      <w:numFmt w:val="arabicAlpha"/>
      <w:lvlText w:val="%2."/>
      <w:lvlJc w:val="left"/>
      <w:pPr>
        <w:ind w:left="1080" w:hanging="360"/>
      </w:pPr>
    </w:lvl>
    <w:lvl w:ilvl="2" w:tplc="FFFFFFFF" w:tentative="1">
      <w:start w:val="1"/>
      <w:numFmt w:val="arabicAbjad"/>
      <w:lvlText w:val="%3."/>
      <w:lvlJc w:val="right"/>
      <w:pPr>
        <w:ind w:left="1800" w:hanging="180"/>
      </w:pPr>
    </w:lvl>
    <w:lvl w:ilvl="3" w:tplc="FFFFFFFF" w:tentative="1">
      <w:start w:val="1"/>
      <w:numFmt w:val="decimalFullWidth"/>
      <w:lvlText w:val="%4."/>
      <w:lvlJc w:val="left"/>
      <w:pPr>
        <w:ind w:left="2520" w:hanging="360"/>
      </w:pPr>
    </w:lvl>
    <w:lvl w:ilvl="4" w:tplc="FFFFFFFF" w:tentative="1">
      <w:start w:val="1"/>
      <w:numFmt w:val="arabicAlpha"/>
      <w:lvlText w:val="%5."/>
      <w:lvlJc w:val="left"/>
      <w:pPr>
        <w:ind w:left="3240" w:hanging="360"/>
      </w:pPr>
    </w:lvl>
    <w:lvl w:ilvl="5" w:tplc="FFFFFFFF" w:tentative="1">
      <w:start w:val="1"/>
      <w:numFmt w:val="arabicAbjad"/>
      <w:lvlText w:val="%6."/>
      <w:lvlJc w:val="right"/>
      <w:pPr>
        <w:ind w:left="3960" w:hanging="180"/>
      </w:pPr>
    </w:lvl>
    <w:lvl w:ilvl="6" w:tplc="FFFFFFFF" w:tentative="1">
      <w:start w:val="1"/>
      <w:numFmt w:val="decimalFullWidth"/>
      <w:lvlText w:val="%7."/>
      <w:lvlJc w:val="left"/>
      <w:pPr>
        <w:ind w:left="4680" w:hanging="360"/>
      </w:pPr>
    </w:lvl>
    <w:lvl w:ilvl="7" w:tplc="FFFFFFFF" w:tentative="1">
      <w:start w:val="1"/>
      <w:numFmt w:val="arabicAlpha"/>
      <w:lvlText w:val="%8."/>
      <w:lvlJc w:val="left"/>
      <w:pPr>
        <w:ind w:left="5400" w:hanging="360"/>
      </w:pPr>
    </w:lvl>
    <w:lvl w:ilvl="8" w:tplc="FFFFFFFF" w:tentative="1">
      <w:start w:val="1"/>
      <w:numFmt w:val="arabicAbjad"/>
      <w:lvlText w:val="%9."/>
      <w:lvlJc w:val="right"/>
      <w:pPr>
        <w:ind w:left="6120" w:hanging="180"/>
      </w:pPr>
    </w:lvl>
  </w:abstractNum>
  <w:abstractNum w:abstractNumId="13" w15:restartNumberingAfterBreak="0">
    <w:nsid w:val="1AF72A29"/>
    <w:multiLevelType w:val="hybridMultilevel"/>
    <w:tmpl w:val="77C2E0E0"/>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161D9E"/>
    <w:multiLevelType w:val="hybridMultilevel"/>
    <w:tmpl w:val="8C6A3612"/>
    <w:lvl w:ilvl="0" w:tplc="04090019">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70284F"/>
    <w:multiLevelType w:val="multilevel"/>
    <w:tmpl w:val="7FA65FD0"/>
    <w:lvl w:ilvl="0">
      <w:start w:val="1"/>
      <w:numFmt w:val="bullet"/>
      <w:pStyle w:val="ListBullet"/>
      <w:lvlText w:val=""/>
      <w:lvlJc w:val="left"/>
      <w:pPr>
        <w:tabs>
          <w:tab w:val="num" w:pos="720"/>
        </w:tabs>
        <w:ind w:left="720" w:hanging="720"/>
      </w:pPr>
      <w:rPr>
        <w:rFonts w:ascii="Symbol" w:hAnsi="Symbol" w:hint="default"/>
      </w:rPr>
    </w:lvl>
    <w:lvl w:ilvl="1">
      <w:start w:val="1"/>
      <w:numFmt w:val="bullet"/>
      <w:pStyle w:val="ListBullet2"/>
      <w:lvlText w:val=""/>
      <w:lvlJc w:val="left"/>
      <w:pPr>
        <w:tabs>
          <w:tab w:val="num" w:pos="1440"/>
        </w:tabs>
        <w:ind w:left="1440" w:hanging="720"/>
      </w:pPr>
      <w:rPr>
        <w:rFonts w:ascii="Symbol" w:hAnsi="Symbol" w:hint="default"/>
        <w:color w:val="000000"/>
      </w:rPr>
    </w:lvl>
    <w:lvl w:ilvl="2">
      <w:start w:val="1"/>
      <w:numFmt w:val="bullet"/>
      <w:pStyle w:val="ListBullet3"/>
      <w:lvlText w:val=""/>
      <w:lvlJc w:val="left"/>
      <w:pPr>
        <w:tabs>
          <w:tab w:val="num" w:pos="1440"/>
        </w:tabs>
        <w:ind w:left="1440" w:hanging="720"/>
      </w:pPr>
      <w:rPr>
        <w:rFonts w:ascii="Symbol" w:hAnsi="Symbol" w:hint="default"/>
        <w:color w:val="000000"/>
      </w:rPr>
    </w:lvl>
    <w:lvl w:ilvl="3">
      <w:start w:val="1"/>
      <w:numFmt w:val="bullet"/>
      <w:pStyle w:val="ListBullet4"/>
      <w:lvlText w:val=""/>
      <w:lvlJc w:val="left"/>
      <w:pPr>
        <w:tabs>
          <w:tab w:val="num" w:pos="1440"/>
        </w:tabs>
        <w:ind w:left="2160" w:hanging="720"/>
      </w:pPr>
      <w:rPr>
        <w:rFonts w:ascii="Symbol" w:hAnsi="Symbol" w:hint="default"/>
        <w:color w:val="000000"/>
      </w:rPr>
    </w:lvl>
    <w:lvl w:ilvl="4">
      <w:start w:val="1"/>
      <w:numFmt w:val="bullet"/>
      <w:pStyle w:val="ListBullet5"/>
      <w:lvlText w:val=""/>
      <w:lvlJc w:val="left"/>
      <w:pPr>
        <w:tabs>
          <w:tab w:val="num" w:pos="3600"/>
        </w:tabs>
        <w:ind w:left="3600" w:hanging="720"/>
      </w:pPr>
      <w:rPr>
        <w:rFonts w:ascii="Symbol" w:hAnsi="Symbol" w:hint="default"/>
        <w:color w:val="000000"/>
      </w:rPr>
    </w:lvl>
    <w:lvl w:ilvl="5">
      <w:start w:val="1"/>
      <w:numFmt w:val="bullet"/>
      <w:lvlText w:val=""/>
      <w:lvlJc w:val="left"/>
      <w:pPr>
        <w:tabs>
          <w:tab w:val="num" w:pos="4320"/>
        </w:tabs>
        <w:ind w:left="4320" w:hanging="720"/>
      </w:pPr>
      <w:rPr>
        <w:rFonts w:ascii="Symbol" w:hAnsi="Symbol" w:hint="default"/>
        <w:color w:val="000000"/>
      </w:rPr>
    </w:lvl>
    <w:lvl w:ilvl="6">
      <w:start w:val="1"/>
      <w:numFmt w:val="bullet"/>
      <w:lvlText w:val=""/>
      <w:lvlJc w:val="left"/>
      <w:pPr>
        <w:tabs>
          <w:tab w:val="num" w:pos="5040"/>
        </w:tabs>
        <w:ind w:left="5040" w:hanging="720"/>
      </w:pPr>
      <w:rPr>
        <w:rFonts w:ascii="Symbol" w:hAnsi="Symbol" w:hint="default"/>
        <w:color w:val="000000"/>
      </w:rPr>
    </w:lvl>
    <w:lvl w:ilvl="7">
      <w:start w:val="1"/>
      <w:numFmt w:val="bullet"/>
      <w:lvlText w:val=""/>
      <w:lvlJc w:val="left"/>
      <w:pPr>
        <w:tabs>
          <w:tab w:val="num" w:pos="5760"/>
        </w:tabs>
        <w:ind w:left="5760" w:hanging="720"/>
      </w:pPr>
      <w:rPr>
        <w:rFonts w:ascii="Symbol" w:hAnsi="Symbol" w:hint="default"/>
        <w:color w:val="000000"/>
      </w:rPr>
    </w:lvl>
    <w:lvl w:ilvl="8">
      <w:start w:val="1"/>
      <w:numFmt w:val="bullet"/>
      <w:lvlText w:val=""/>
      <w:lvlJc w:val="left"/>
      <w:pPr>
        <w:tabs>
          <w:tab w:val="num" w:pos="6480"/>
        </w:tabs>
        <w:ind w:left="6480" w:hanging="720"/>
      </w:pPr>
      <w:rPr>
        <w:rFonts w:ascii="Symbol" w:hAnsi="Symbol" w:hint="default"/>
        <w:color w:val="000000"/>
      </w:rPr>
    </w:lvl>
  </w:abstractNum>
  <w:abstractNum w:abstractNumId="16" w15:restartNumberingAfterBreak="0">
    <w:nsid w:val="1F6649EC"/>
    <w:multiLevelType w:val="hybridMultilevel"/>
    <w:tmpl w:val="EEB07068"/>
    <w:lvl w:ilvl="0" w:tplc="B4AA7F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6804AF"/>
    <w:multiLevelType w:val="hybridMultilevel"/>
    <w:tmpl w:val="7F545B4C"/>
    <w:lvl w:ilvl="0" w:tplc="F350EE02">
      <w:start w:val="1"/>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2C7326"/>
    <w:multiLevelType w:val="hybridMultilevel"/>
    <w:tmpl w:val="462A23DC"/>
    <w:lvl w:ilvl="0" w:tplc="47A287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2D5AF9"/>
    <w:multiLevelType w:val="hybridMultilevel"/>
    <w:tmpl w:val="384E78CA"/>
    <w:lvl w:ilvl="0" w:tplc="8730BF08">
      <w:start w:val="1"/>
      <w:numFmt w:val="decimal"/>
      <w:lvlText w:val="(%1)"/>
      <w:lvlJc w:val="left"/>
      <w:pPr>
        <w:ind w:left="720" w:hanging="360"/>
      </w:pPr>
      <w:rPr>
        <w:rFonts w:hint="default"/>
        <w:sz w:val="24"/>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0" w15:restartNumberingAfterBreak="0">
    <w:nsid w:val="24766A96"/>
    <w:multiLevelType w:val="hybridMultilevel"/>
    <w:tmpl w:val="B996398C"/>
    <w:lvl w:ilvl="0" w:tplc="8F424808">
      <w:start w:val="1"/>
      <w:numFmt w:val="decimal"/>
      <w:lvlText w:val="(%1)"/>
      <w:lvlJc w:val="left"/>
      <w:pPr>
        <w:ind w:left="1080" w:hanging="72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1" w15:restartNumberingAfterBreak="0">
    <w:nsid w:val="2562531C"/>
    <w:multiLevelType w:val="hybridMultilevel"/>
    <w:tmpl w:val="2118EF6A"/>
    <w:lvl w:ilvl="0" w:tplc="FFFFFFFF">
      <w:start w:val="1"/>
      <w:numFmt w:val="decimal"/>
      <w:lvlText w:val="(%1)"/>
      <w:lvlJc w:val="left"/>
      <w:pPr>
        <w:ind w:left="785" w:hanging="360"/>
      </w:pPr>
      <w:rPr>
        <w:rFonts w:hint="default"/>
        <w:sz w:val="18"/>
        <w:szCs w:val="18"/>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2" w15:restartNumberingAfterBreak="0">
    <w:nsid w:val="27CD2B2C"/>
    <w:multiLevelType w:val="hybridMultilevel"/>
    <w:tmpl w:val="5CB2A5DC"/>
    <w:lvl w:ilvl="0" w:tplc="F3B277B8">
      <w:start w:val="1"/>
      <w:numFmt w:val="decimal"/>
      <w:lvlText w:val="(%1)"/>
      <w:lvlJc w:val="left"/>
      <w:pPr>
        <w:ind w:left="1080" w:hanging="72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3" w15:restartNumberingAfterBreak="0">
    <w:nsid w:val="2B1F08EC"/>
    <w:multiLevelType w:val="multilevel"/>
    <w:tmpl w:val="4E220410"/>
    <w:lvl w:ilvl="0">
      <w:start w:val="1"/>
      <w:numFmt w:val="decimal"/>
      <w:pStyle w:val="ListNumber"/>
      <w:lvlText w:val="%1."/>
      <w:lvlJc w:val="left"/>
      <w:pPr>
        <w:tabs>
          <w:tab w:val="num" w:pos="720"/>
        </w:tabs>
        <w:ind w:left="720" w:hanging="720"/>
      </w:pPr>
      <w:rPr>
        <w:rFonts w:hint="default"/>
      </w:rPr>
    </w:lvl>
    <w:lvl w:ilvl="1">
      <w:start w:val="1"/>
      <w:numFmt w:val="decimal"/>
      <w:lvlRestart w:val="0"/>
      <w:pStyle w:val="ListNumber2"/>
      <w:lvlText w:val="%2."/>
      <w:lvlJc w:val="left"/>
      <w:pPr>
        <w:tabs>
          <w:tab w:val="num" w:pos="1440"/>
        </w:tabs>
        <w:ind w:left="1440" w:hanging="720"/>
      </w:pPr>
      <w:rPr>
        <w:rFonts w:hint="default"/>
      </w:rPr>
    </w:lvl>
    <w:lvl w:ilvl="2">
      <w:start w:val="1"/>
      <w:numFmt w:val="decimal"/>
      <w:lvlRestart w:val="0"/>
      <w:pStyle w:val="ListNumber3"/>
      <w:lvlText w:val="%3."/>
      <w:lvlJc w:val="left"/>
      <w:pPr>
        <w:tabs>
          <w:tab w:val="num" w:pos="2160"/>
        </w:tabs>
        <w:ind w:left="2160" w:hanging="720"/>
      </w:pPr>
      <w:rPr>
        <w:rFonts w:hint="default"/>
      </w:rPr>
    </w:lvl>
    <w:lvl w:ilvl="3">
      <w:start w:val="1"/>
      <w:numFmt w:val="decimal"/>
      <w:lvlRestart w:val="0"/>
      <w:pStyle w:val="ListNumber4"/>
      <w:lvlText w:val="%4."/>
      <w:lvlJc w:val="left"/>
      <w:pPr>
        <w:tabs>
          <w:tab w:val="num" w:pos="2880"/>
        </w:tabs>
        <w:ind w:left="2880" w:hanging="720"/>
      </w:pPr>
      <w:rPr>
        <w:rFonts w:hint="default"/>
      </w:rPr>
    </w:lvl>
    <w:lvl w:ilvl="4">
      <w:start w:val="1"/>
      <w:numFmt w:val="decimal"/>
      <w:lvlRestart w:val="0"/>
      <w:pStyle w:val="ListNumber5"/>
      <w:lvlText w:val="%5."/>
      <w:lvlJc w:val="left"/>
      <w:pPr>
        <w:tabs>
          <w:tab w:val="num" w:pos="3600"/>
        </w:tabs>
        <w:ind w:left="3600" w:hanging="720"/>
      </w:pPr>
      <w:rPr>
        <w:rFonts w:hint="default"/>
      </w:rPr>
    </w:lvl>
    <w:lvl w:ilvl="5">
      <w:start w:val="1"/>
      <w:numFmt w:val="decimal"/>
      <w:lvlRestart w:val="0"/>
      <w:lvlText w:val="%6."/>
      <w:lvlJc w:val="left"/>
      <w:pPr>
        <w:tabs>
          <w:tab w:val="num" w:pos="4320"/>
        </w:tabs>
        <w:ind w:left="4320" w:hanging="720"/>
      </w:pPr>
      <w:rPr>
        <w:rFonts w:hint="default"/>
      </w:rPr>
    </w:lvl>
    <w:lvl w:ilvl="6">
      <w:start w:val="1"/>
      <w:numFmt w:val="decimal"/>
      <w:lvlRestart w:val="0"/>
      <w:lvlText w:val="%7."/>
      <w:lvlJc w:val="left"/>
      <w:pPr>
        <w:tabs>
          <w:tab w:val="num" w:pos="5040"/>
        </w:tabs>
        <w:ind w:left="5040" w:hanging="720"/>
      </w:pPr>
      <w:rPr>
        <w:rFonts w:hint="default"/>
      </w:rPr>
    </w:lvl>
    <w:lvl w:ilvl="7">
      <w:start w:val="1"/>
      <w:numFmt w:val="decimal"/>
      <w:lvlRestart w:val="0"/>
      <w:lvlText w:val="%8."/>
      <w:lvlJc w:val="left"/>
      <w:pPr>
        <w:tabs>
          <w:tab w:val="num" w:pos="5760"/>
        </w:tabs>
        <w:ind w:left="5760" w:hanging="720"/>
      </w:pPr>
      <w:rPr>
        <w:rFonts w:hint="default"/>
      </w:rPr>
    </w:lvl>
    <w:lvl w:ilvl="8">
      <w:start w:val="1"/>
      <w:numFmt w:val="decimal"/>
      <w:lvlRestart w:val="0"/>
      <w:lvlText w:val="%9."/>
      <w:lvlJc w:val="left"/>
      <w:pPr>
        <w:tabs>
          <w:tab w:val="num" w:pos="6480"/>
        </w:tabs>
        <w:ind w:left="6480" w:hanging="720"/>
      </w:pPr>
      <w:rPr>
        <w:rFonts w:hint="default"/>
      </w:rPr>
    </w:lvl>
  </w:abstractNum>
  <w:abstractNum w:abstractNumId="24" w15:restartNumberingAfterBreak="0">
    <w:nsid w:val="2D8D361E"/>
    <w:multiLevelType w:val="hybridMultilevel"/>
    <w:tmpl w:val="97701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B10FBA"/>
    <w:multiLevelType w:val="hybridMultilevel"/>
    <w:tmpl w:val="EFC4BE62"/>
    <w:lvl w:ilvl="0" w:tplc="04090019">
      <w:numFmt w:val="bullet"/>
      <w:lvlText w:val="•"/>
      <w:lvlJc w:val="left"/>
      <w:pPr>
        <w:ind w:left="747" w:hanging="360"/>
      </w:pPr>
      <w:rPr>
        <w:rFonts w:ascii="Calibri" w:eastAsia="Times New Roman" w:hAnsi="Calibri" w:cs="Aria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6" w15:restartNumberingAfterBreak="0">
    <w:nsid w:val="333D6DA4"/>
    <w:multiLevelType w:val="hybridMultilevel"/>
    <w:tmpl w:val="0F5ED50C"/>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33BF6B96"/>
    <w:multiLevelType w:val="hybridMultilevel"/>
    <w:tmpl w:val="518029CA"/>
    <w:name w:val="Alpha 2-(a) italic"/>
    <w:lvl w:ilvl="0" w:tplc="D1703956">
      <w:start w:val="1"/>
      <w:numFmt w:val="lowerLetter"/>
      <w:pStyle w:val="Alpha2-aitalic"/>
      <w:lvlText w:val="(%1)"/>
      <w:lvlJc w:val="left"/>
      <w:pPr>
        <w:tabs>
          <w:tab w:val="num" w:pos="992"/>
        </w:tabs>
        <w:ind w:left="992" w:hanging="567"/>
      </w:pPr>
      <w:rPr>
        <w:rFonts w:hint="default"/>
        <w:b w:val="0"/>
        <w:i/>
      </w:rPr>
    </w:lvl>
    <w:lvl w:ilvl="1" w:tplc="F258C8C6" w:tentative="1">
      <w:start w:val="1"/>
      <w:numFmt w:val="lowerLetter"/>
      <w:lvlText w:val="%2."/>
      <w:lvlJc w:val="left"/>
      <w:pPr>
        <w:tabs>
          <w:tab w:val="num" w:pos="1440"/>
        </w:tabs>
        <w:ind w:left="1440" w:hanging="360"/>
      </w:pPr>
    </w:lvl>
    <w:lvl w:ilvl="2" w:tplc="E12E5FFA" w:tentative="1">
      <w:start w:val="1"/>
      <w:numFmt w:val="lowerRoman"/>
      <w:lvlText w:val="%3."/>
      <w:lvlJc w:val="right"/>
      <w:pPr>
        <w:tabs>
          <w:tab w:val="num" w:pos="2160"/>
        </w:tabs>
        <w:ind w:left="2160" w:hanging="180"/>
      </w:pPr>
    </w:lvl>
    <w:lvl w:ilvl="3" w:tplc="95567A54" w:tentative="1">
      <w:start w:val="1"/>
      <w:numFmt w:val="decimal"/>
      <w:lvlText w:val="%4."/>
      <w:lvlJc w:val="left"/>
      <w:pPr>
        <w:tabs>
          <w:tab w:val="num" w:pos="2880"/>
        </w:tabs>
        <w:ind w:left="2880" w:hanging="360"/>
      </w:pPr>
    </w:lvl>
    <w:lvl w:ilvl="4" w:tplc="6D8028B0" w:tentative="1">
      <w:start w:val="1"/>
      <w:numFmt w:val="lowerLetter"/>
      <w:lvlText w:val="%5."/>
      <w:lvlJc w:val="left"/>
      <w:pPr>
        <w:tabs>
          <w:tab w:val="num" w:pos="3600"/>
        </w:tabs>
        <w:ind w:left="3600" w:hanging="360"/>
      </w:pPr>
    </w:lvl>
    <w:lvl w:ilvl="5" w:tplc="6C325904" w:tentative="1">
      <w:start w:val="1"/>
      <w:numFmt w:val="lowerRoman"/>
      <w:lvlText w:val="%6."/>
      <w:lvlJc w:val="right"/>
      <w:pPr>
        <w:tabs>
          <w:tab w:val="num" w:pos="4320"/>
        </w:tabs>
        <w:ind w:left="4320" w:hanging="180"/>
      </w:pPr>
    </w:lvl>
    <w:lvl w:ilvl="6" w:tplc="698A5914" w:tentative="1">
      <w:start w:val="1"/>
      <w:numFmt w:val="decimal"/>
      <w:lvlText w:val="%7."/>
      <w:lvlJc w:val="left"/>
      <w:pPr>
        <w:tabs>
          <w:tab w:val="num" w:pos="5040"/>
        </w:tabs>
        <w:ind w:left="5040" w:hanging="360"/>
      </w:pPr>
    </w:lvl>
    <w:lvl w:ilvl="7" w:tplc="B2E0B6DC" w:tentative="1">
      <w:start w:val="1"/>
      <w:numFmt w:val="lowerLetter"/>
      <w:lvlText w:val="%8."/>
      <w:lvlJc w:val="left"/>
      <w:pPr>
        <w:tabs>
          <w:tab w:val="num" w:pos="5760"/>
        </w:tabs>
        <w:ind w:left="5760" w:hanging="360"/>
      </w:pPr>
    </w:lvl>
    <w:lvl w:ilvl="8" w:tplc="86CE2A96" w:tentative="1">
      <w:start w:val="1"/>
      <w:numFmt w:val="lowerRoman"/>
      <w:lvlText w:val="%9."/>
      <w:lvlJc w:val="right"/>
      <w:pPr>
        <w:tabs>
          <w:tab w:val="num" w:pos="6480"/>
        </w:tabs>
        <w:ind w:left="6480" w:hanging="180"/>
      </w:pPr>
    </w:lvl>
  </w:abstractNum>
  <w:abstractNum w:abstractNumId="28" w15:restartNumberingAfterBreak="0">
    <w:nsid w:val="34880C1F"/>
    <w:multiLevelType w:val="hybridMultilevel"/>
    <w:tmpl w:val="9C2A5C70"/>
    <w:lvl w:ilvl="0" w:tplc="5D144A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8A1FA8"/>
    <w:multiLevelType w:val="hybridMultilevel"/>
    <w:tmpl w:val="CD9A2456"/>
    <w:lvl w:ilvl="0" w:tplc="E1644B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EE2F61"/>
    <w:multiLevelType w:val="hybridMultilevel"/>
    <w:tmpl w:val="A59012B6"/>
    <w:lvl w:ilvl="0" w:tplc="04090019">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A22AAC"/>
    <w:multiLevelType w:val="multilevel"/>
    <w:tmpl w:val="12F23A4C"/>
    <w:lvl w:ilvl="0">
      <w:start w:val="1"/>
      <w:numFmt w:val="decimal"/>
      <w:pStyle w:val="Schedule"/>
      <w:suff w:val="nothing"/>
      <w:lvlText w:val="Schedule %1"/>
      <w:lvlJc w:val="left"/>
      <w:pPr>
        <w:ind w:left="0" w:firstLine="0"/>
      </w:pPr>
      <w:rPr>
        <w:rFonts w:hint="default"/>
        <w:b/>
        <w:i w:val="0"/>
        <w:caps/>
      </w:rPr>
    </w:lvl>
    <w:lvl w:ilvl="1">
      <w:start w:val="1"/>
      <w:numFmt w:val="decimal"/>
      <w:pStyle w:val="SchedulePart"/>
      <w:suff w:val="nothing"/>
      <w:lvlText w:val="Part %2"/>
      <w:lvlJc w:val="left"/>
      <w:pPr>
        <w:ind w:left="0" w:firstLine="0"/>
      </w:pPr>
    </w:lvl>
    <w:lvl w:ilvl="2">
      <w:start w:val="1"/>
      <w:numFmt w:val="none"/>
      <w:lvlText w:val=""/>
      <w:lvlJc w:val="left"/>
      <w:pPr>
        <w:tabs>
          <w:tab w:val="num" w:pos="709"/>
        </w:tabs>
        <w:ind w:left="0" w:firstLine="0"/>
      </w:pPr>
      <w:rPr>
        <w:rFonts w:ascii="Times New Roman" w:hAnsi="Times New Roman" w:hint="default"/>
      </w:rPr>
    </w:lvl>
    <w:lvl w:ilvl="3">
      <w:start w:val="1"/>
      <w:numFmt w:val="none"/>
      <w:lvlText w:val=""/>
      <w:lvlJc w:val="left"/>
      <w:pPr>
        <w:tabs>
          <w:tab w:val="num" w:pos="709"/>
        </w:tabs>
        <w:ind w:left="0" w:firstLine="0"/>
      </w:pPr>
      <w:rPr>
        <w:rFonts w:ascii="Times New Roman" w:hAnsi="Times New Roman" w:hint="default"/>
      </w:rPr>
    </w:lvl>
    <w:lvl w:ilvl="4">
      <w:start w:val="1"/>
      <w:numFmt w:val="none"/>
      <w:lvlText w:val=""/>
      <w:lvlJc w:val="left"/>
      <w:pPr>
        <w:tabs>
          <w:tab w:val="num" w:pos="709"/>
        </w:tabs>
        <w:ind w:left="0" w:firstLine="0"/>
      </w:pPr>
      <w:rPr>
        <w:rFonts w:ascii="Times New Roman" w:hAnsi="Times New Roman" w:hint="default"/>
      </w:rPr>
    </w:lvl>
    <w:lvl w:ilvl="5">
      <w:start w:val="1"/>
      <w:numFmt w:val="none"/>
      <w:lvlText w:val=""/>
      <w:lvlJc w:val="left"/>
      <w:pPr>
        <w:tabs>
          <w:tab w:val="num" w:pos="709"/>
        </w:tabs>
        <w:ind w:left="0" w:firstLine="0"/>
      </w:pPr>
      <w:rPr>
        <w:rFonts w:ascii="Times New Roman" w:hAnsi="Times New Roman" w:hint="default"/>
      </w:rPr>
    </w:lvl>
    <w:lvl w:ilvl="6">
      <w:start w:val="1"/>
      <w:numFmt w:val="none"/>
      <w:lvlText w:val=""/>
      <w:lvlJc w:val="left"/>
      <w:pPr>
        <w:tabs>
          <w:tab w:val="num" w:pos="709"/>
        </w:tabs>
        <w:ind w:left="0" w:firstLine="0"/>
      </w:pPr>
      <w:rPr>
        <w:rFonts w:ascii="Times New Roman" w:hAnsi="Times New Roman" w:hint="default"/>
      </w:rPr>
    </w:lvl>
    <w:lvl w:ilvl="7">
      <w:start w:val="1"/>
      <w:numFmt w:val="none"/>
      <w:lvlText w:val=""/>
      <w:lvlJc w:val="left"/>
      <w:pPr>
        <w:tabs>
          <w:tab w:val="num" w:pos="709"/>
        </w:tabs>
        <w:ind w:left="0" w:firstLine="0"/>
      </w:pPr>
      <w:rPr>
        <w:rFonts w:ascii="Times New Roman" w:hAnsi="Times New Roman" w:hint="default"/>
        <w:b/>
        <w:i w:val="0"/>
        <w:caps/>
      </w:rPr>
    </w:lvl>
    <w:lvl w:ilvl="8">
      <w:start w:val="1"/>
      <w:numFmt w:val="none"/>
      <w:lvlText w:val=""/>
      <w:lvlJc w:val="left"/>
      <w:pPr>
        <w:tabs>
          <w:tab w:val="num" w:pos="709"/>
        </w:tabs>
        <w:ind w:left="0" w:firstLine="0"/>
      </w:pPr>
      <w:rPr>
        <w:rFonts w:ascii="Times New Roman" w:hAnsi="Times New Roman" w:hint="default"/>
        <w:b/>
        <w:i w:val="0"/>
      </w:rPr>
    </w:lvl>
  </w:abstractNum>
  <w:abstractNum w:abstractNumId="32" w15:restartNumberingAfterBreak="0">
    <w:nsid w:val="39D14138"/>
    <w:multiLevelType w:val="hybridMultilevel"/>
    <w:tmpl w:val="70AE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4E095F"/>
    <w:multiLevelType w:val="multilevel"/>
    <w:tmpl w:val="81CC10D0"/>
    <w:lvl w:ilvl="0">
      <w:start w:val="1"/>
      <w:numFmt w:val="none"/>
      <w:pStyle w:val="Definition1"/>
      <w:suff w:val="nothing"/>
      <w:lvlText w:val="%1"/>
      <w:lvlJc w:val="left"/>
      <w:pPr>
        <w:ind w:left="0" w:firstLine="0"/>
      </w:pPr>
      <w:rPr>
        <w:rFonts w:hint="default"/>
      </w:rPr>
    </w:lvl>
    <w:lvl w:ilvl="1">
      <w:start w:val="1"/>
      <w:numFmt w:val="lowerLetter"/>
      <w:pStyle w:val="Definition2"/>
      <w:lvlText w:val="(%2)"/>
      <w:lvlJc w:val="left"/>
      <w:pPr>
        <w:tabs>
          <w:tab w:val="num" w:pos="720"/>
        </w:tabs>
        <w:ind w:left="720" w:hanging="720"/>
      </w:pPr>
      <w:rPr>
        <w:rFonts w:hint="default"/>
      </w:rPr>
    </w:lvl>
    <w:lvl w:ilvl="2">
      <w:start w:val="1"/>
      <w:numFmt w:val="lowerRoman"/>
      <w:pStyle w:val="Definition3"/>
      <w:lvlText w:val="(%3)"/>
      <w:lvlJc w:val="left"/>
      <w:pPr>
        <w:tabs>
          <w:tab w:val="num" w:pos="1440"/>
        </w:tabs>
        <w:ind w:left="1440" w:hanging="720"/>
      </w:pPr>
      <w:rPr>
        <w:rFonts w:hint="default"/>
      </w:rPr>
    </w:lvl>
    <w:lvl w:ilvl="3">
      <w:start w:val="1"/>
      <w:numFmt w:val="upperLetter"/>
      <w:pStyle w:val="Definition4"/>
      <w:lvlText w:val="(%4)"/>
      <w:lvlJc w:val="left"/>
      <w:pPr>
        <w:tabs>
          <w:tab w:val="num" w:pos="2160"/>
        </w:tabs>
        <w:ind w:left="2160" w:hanging="720"/>
      </w:pPr>
      <w:rPr>
        <w:rFonts w:hint="default"/>
      </w:rPr>
    </w:lvl>
    <w:lvl w:ilvl="4">
      <w:start w:val="1"/>
      <w:numFmt w:val="decimal"/>
      <w:pStyle w:val="Definition5"/>
      <w:lvlText w:val="(%5)"/>
      <w:lvlJc w:val="left"/>
      <w:pPr>
        <w:tabs>
          <w:tab w:val="num" w:pos="2880"/>
        </w:tabs>
        <w:ind w:left="2880" w:hanging="720"/>
      </w:pPr>
      <w:rPr>
        <w:rFonts w:hint="default"/>
      </w:rPr>
    </w:lvl>
    <w:lvl w:ilvl="5">
      <w:start w:val="27"/>
      <w:numFmt w:val="lowerLetter"/>
      <w:pStyle w:val="Definition6"/>
      <w:lvlText w:val="(%6)"/>
      <w:lvlJc w:val="left"/>
      <w:pPr>
        <w:tabs>
          <w:tab w:val="num" w:pos="3600"/>
        </w:tabs>
        <w:ind w:left="3600" w:hanging="720"/>
      </w:pPr>
      <w:rPr>
        <w:rFonts w:hint="default"/>
      </w:rPr>
    </w:lvl>
    <w:lvl w:ilvl="6">
      <w:start w:val="1"/>
      <w:numFmt w:val="upperRoman"/>
      <w:pStyle w:val="Definition7"/>
      <w:lvlText w:val="(%7)"/>
      <w:lvlJc w:val="left"/>
      <w:pPr>
        <w:tabs>
          <w:tab w:val="num" w:pos="4320"/>
        </w:tabs>
        <w:ind w:left="4320" w:hanging="720"/>
      </w:pPr>
      <w:rPr>
        <w:rFonts w:hint="default"/>
      </w:rPr>
    </w:lvl>
    <w:lvl w:ilvl="7">
      <w:start w:val="1"/>
      <w:numFmt w:val="lowerLetter"/>
      <w:pStyle w:val="Definition8"/>
      <w:lvlText w:val="(%8)"/>
      <w:lvlJc w:val="left"/>
      <w:pPr>
        <w:tabs>
          <w:tab w:val="num" w:pos="5040"/>
        </w:tabs>
        <w:ind w:left="5040" w:hanging="720"/>
      </w:pPr>
      <w:rPr>
        <w:rFonts w:hint="default"/>
      </w:rPr>
    </w:lvl>
    <w:lvl w:ilvl="8">
      <w:start w:val="1"/>
      <w:numFmt w:val="lowerRoman"/>
      <w:pStyle w:val="Definition9"/>
      <w:lvlText w:val="(%9)"/>
      <w:lvlJc w:val="left"/>
      <w:pPr>
        <w:tabs>
          <w:tab w:val="num" w:pos="5760"/>
        </w:tabs>
        <w:ind w:left="5760" w:hanging="720"/>
      </w:pPr>
      <w:rPr>
        <w:rFonts w:hint="default"/>
      </w:rPr>
    </w:lvl>
  </w:abstractNum>
  <w:abstractNum w:abstractNumId="34" w15:restartNumberingAfterBreak="0">
    <w:nsid w:val="3F2F294A"/>
    <w:multiLevelType w:val="hybridMultilevel"/>
    <w:tmpl w:val="B05ADD00"/>
    <w:lvl w:ilvl="0" w:tplc="F3C45670">
      <w:start w:val="4"/>
      <w:numFmt w:val="bullet"/>
      <w:lvlText w:val="•"/>
      <w:lvlJc w:val="left"/>
      <w:pPr>
        <w:ind w:left="720" w:hanging="360"/>
      </w:pPr>
      <w:rPr>
        <w:rFonts w:ascii="Traditional Arabic" w:eastAsia="Sakkal Majalla" w:hAnsi="Traditional Arabic" w:cs="Traditional Arabic"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5" w15:restartNumberingAfterBreak="0">
    <w:nsid w:val="3FC23B65"/>
    <w:multiLevelType w:val="hybridMultilevel"/>
    <w:tmpl w:val="BA1661E4"/>
    <w:lvl w:ilvl="0" w:tplc="C778CC6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FD337EE"/>
    <w:multiLevelType w:val="hybridMultilevel"/>
    <w:tmpl w:val="C7BC1D62"/>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7" w15:restartNumberingAfterBreak="0">
    <w:nsid w:val="40926B59"/>
    <w:multiLevelType w:val="hybridMultilevel"/>
    <w:tmpl w:val="E4D4236E"/>
    <w:lvl w:ilvl="0" w:tplc="A15CE8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77413A"/>
    <w:multiLevelType w:val="hybridMultilevel"/>
    <w:tmpl w:val="249835BA"/>
    <w:lvl w:ilvl="0" w:tplc="04090019">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8070CC"/>
    <w:multiLevelType w:val="hybridMultilevel"/>
    <w:tmpl w:val="05FE4402"/>
    <w:lvl w:ilvl="0" w:tplc="04090019">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2518CA"/>
    <w:multiLevelType w:val="hybridMultilevel"/>
    <w:tmpl w:val="76D08DA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7DA3A4C"/>
    <w:multiLevelType w:val="hybridMultilevel"/>
    <w:tmpl w:val="5B02BACC"/>
    <w:name w:val="Alpha 2-(a)_1"/>
    <w:lvl w:ilvl="0" w:tplc="D00C1072">
      <w:start w:val="1"/>
      <w:numFmt w:val="lowerLetter"/>
      <w:pStyle w:val="Alpha2-a"/>
      <w:lvlText w:val="(%1)"/>
      <w:lvlJc w:val="left"/>
      <w:pPr>
        <w:tabs>
          <w:tab w:val="num" w:pos="992"/>
        </w:tabs>
        <w:ind w:left="992"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7F00BD2"/>
    <w:multiLevelType w:val="hybridMultilevel"/>
    <w:tmpl w:val="D48210DA"/>
    <w:lvl w:ilvl="0" w:tplc="FFFFFFFF">
      <w:start w:val="1"/>
      <w:numFmt w:val="decimal"/>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107611"/>
    <w:multiLevelType w:val="hybridMultilevel"/>
    <w:tmpl w:val="58EA9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47270A"/>
    <w:multiLevelType w:val="hybridMultilevel"/>
    <w:tmpl w:val="CD640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5D52CF"/>
    <w:multiLevelType w:val="hybridMultilevel"/>
    <w:tmpl w:val="0EF05756"/>
    <w:lvl w:ilvl="0" w:tplc="04090019">
      <w:numFmt w:val="bullet"/>
      <w:lvlText w:val="•"/>
      <w:lvlJc w:val="left"/>
      <w:pPr>
        <w:ind w:left="657" w:hanging="360"/>
      </w:pPr>
      <w:rPr>
        <w:rFonts w:ascii="Calibri" w:eastAsia="Times New Roman" w:hAnsi="Calibri" w:cs="Arial" w:hint="default"/>
      </w:rPr>
    </w:lvl>
    <w:lvl w:ilvl="1" w:tplc="08090003" w:tentative="1">
      <w:start w:val="1"/>
      <w:numFmt w:val="bullet"/>
      <w:lvlText w:val="o"/>
      <w:lvlJc w:val="left"/>
      <w:pPr>
        <w:ind w:left="1377" w:hanging="360"/>
      </w:pPr>
      <w:rPr>
        <w:rFonts w:ascii="Courier New" w:hAnsi="Courier New" w:cs="Courier New" w:hint="default"/>
      </w:rPr>
    </w:lvl>
    <w:lvl w:ilvl="2" w:tplc="08090005" w:tentative="1">
      <w:start w:val="1"/>
      <w:numFmt w:val="bullet"/>
      <w:lvlText w:val=""/>
      <w:lvlJc w:val="left"/>
      <w:pPr>
        <w:ind w:left="2097" w:hanging="360"/>
      </w:pPr>
      <w:rPr>
        <w:rFonts w:ascii="Wingdings" w:hAnsi="Wingdings" w:hint="default"/>
      </w:rPr>
    </w:lvl>
    <w:lvl w:ilvl="3" w:tplc="08090001" w:tentative="1">
      <w:start w:val="1"/>
      <w:numFmt w:val="bullet"/>
      <w:lvlText w:val=""/>
      <w:lvlJc w:val="left"/>
      <w:pPr>
        <w:ind w:left="2817" w:hanging="360"/>
      </w:pPr>
      <w:rPr>
        <w:rFonts w:ascii="Symbol" w:hAnsi="Symbol" w:hint="default"/>
      </w:rPr>
    </w:lvl>
    <w:lvl w:ilvl="4" w:tplc="08090003" w:tentative="1">
      <w:start w:val="1"/>
      <w:numFmt w:val="bullet"/>
      <w:lvlText w:val="o"/>
      <w:lvlJc w:val="left"/>
      <w:pPr>
        <w:ind w:left="3537" w:hanging="360"/>
      </w:pPr>
      <w:rPr>
        <w:rFonts w:ascii="Courier New" w:hAnsi="Courier New" w:cs="Courier New" w:hint="default"/>
      </w:rPr>
    </w:lvl>
    <w:lvl w:ilvl="5" w:tplc="08090005" w:tentative="1">
      <w:start w:val="1"/>
      <w:numFmt w:val="bullet"/>
      <w:lvlText w:val=""/>
      <w:lvlJc w:val="left"/>
      <w:pPr>
        <w:ind w:left="4257" w:hanging="360"/>
      </w:pPr>
      <w:rPr>
        <w:rFonts w:ascii="Wingdings" w:hAnsi="Wingdings" w:hint="default"/>
      </w:rPr>
    </w:lvl>
    <w:lvl w:ilvl="6" w:tplc="08090001" w:tentative="1">
      <w:start w:val="1"/>
      <w:numFmt w:val="bullet"/>
      <w:lvlText w:val=""/>
      <w:lvlJc w:val="left"/>
      <w:pPr>
        <w:ind w:left="4977" w:hanging="360"/>
      </w:pPr>
      <w:rPr>
        <w:rFonts w:ascii="Symbol" w:hAnsi="Symbol" w:hint="default"/>
      </w:rPr>
    </w:lvl>
    <w:lvl w:ilvl="7" w:tplc="08090003" w:tentative="1">
      <w:start w:val="1"/>
      <w:numFmt w:val="bullet"/>
      <w:lvlText w:val="o"/>
      <w:lvlJc w:val="left"/>
      <w:pPr>
        <w:ind w:left="5697" w:hanging="360"/>
      </w:pPr>
      <w:rPr>
        <w:rFonts w:ascii="Courier New" w:hAnsi="Courier New" w:cs="Courier New" w:hint="default"/>
      </w:rPr>
    </w:lvl>
    <w:lvl w:ilvl="8" w:tplc="08090005" w:tentative="1">
      <w:start w:val="1"/>
      <w:numFmt w:val="bullet"/>
      <w:lvlText w:val=""/>
      <w:lvlJc w:val="left"/>
      <w:pPr>
        <w:ind w:left="6417" w:hanging="360"/>
      </w:pPr>
      <w:rPr>
        <w:rFonts w:ascii="Wingdings" w:hAnsi="Wingdings" w:hint="default"/>
      </w:rPr>
    </w:lvl>
  </w:abstractNum>
  <w:abstractNum w:abstractNumId="46" w15:restartNumberingAfterBreak="0">
    <w:nsid w:val="5247353C"/>
    <w:multiLevelType w:val="hybridMultilevel"/>
    <w:tmpl w:val="080C112A"/>
    <w:lvl w:ilvl="0" w:tplc="04090019">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6F327D"/>
    <w:multiLevelType w:val="multilevel"/>
    <w:tmpl w:val="43905C74"/>
    <w:lvl w:ilvl="0">
      <w:start w:val="1"/>
      <w:numFmt w:val="bullet"/>
      <w:pStyle w:val="bullet2"/>
      <w:lvlText w:val=""/>
      <w:lvlJc w:val="left"/>
      <w:pPr>
        <w:tabs>
          <w:tab w:val="num" w:pos="992"/>
        </w:tabs>
        <w:ind w:left="992" w:hanging="567"/>
      </w:pPr>
      <w:rPr>
        <w:rFonts w:ascii="Symbol" w:hAnsi="Symbol" w:hint="default"/>
        <w:b/>
        <w:i w:val="0"/>
        <w:sz w:val="20"/>
      </w:rPr>
    </w:lvl>
    <w:lvl w:ilvl="1">
      <w:start w:val="1"/>
      <w:numFmt w:val="bullet"/>
      <w:lvlText w:val=""/>
      <w:lvlJc w:val="left"/>
      <w:pPr>
        <w:tabs>
          <w:tab w:val="num" w:pos="1417"/>
        </w:tabs>
        <w:ind w:left="1417" w:hanging="567"/>
      </w:pPr>
      <w:rPr>
        <w:rFonts w:ascii="Symbol" w:hAnsi="Symbol" w:hint="default"/>
        <w:sz w:val="20"/>
      </w:rPr>
    </w:lvl>
    <w:lvl w:ilvl="2">
      <w:start w:val="1"/>
      <w:numFmt w:val="bullet"/>
      <w:lvlText w:val=""/>
      <w:lvlJc w:val="left"/>
      <w:pPr>
        <w:tabs>
          <w:tab w:val="num" w:pos="1984"/>
        </w:tabs>
        <w:ind w:left="1984" w:hanging="567"/>
      </w:pPr>
      <w:rPr>
        <w:rFonts w:ascii="Symbol" w:hAnsi="Symbol" w:hint="default"/>
        <w:sz w:val="17"/>
      </w:rPr>
    </w:lvl>
    <w:lvl w:ilvl="3">
      <w:start w:val="1"/>
      <w:numFmt w:val="bullet"/>
      <w:lvlText w:val=""/>
      <w:lvlJc w:val="left"/>
      <w:pPr>
        <w:tabs>
          <w:tab w:val="num" w:pos="2551"/>
        </w:tabs>
        <w:ind w:left="2551" w:hanging="567"/>
      </w:pPr>
      <w:rPr>
        <w:rFonts w:ascii="Symbol" w:hAnsi="Symbol" w:hint="default"/>
        <w:sz w:val="19"/>
      </w:rPr>
    </w:lvl>
    <w:lvl w:ilvl="4">
      <w:start w:val="1"/>
      <w:numFmt w:val="bullet"/>
      <w:lvlText w:val=""/>
      <w:lvlJc w:val="left"/>
      <w:pPr>
        <w:tabs>
          <w:tab w:val="num" w:pos="3118"/>
        </w:tabs>
        <w:ind w:left="3118" w:hanging="567"/>
      </w:pPr>
      <w:rPr>
        <w:rFonts w:ascii="Symbol" w:hAnsi="Symbol" w:hint="default"/>
        <w:sz w:val="19"/>
      </w:rPr>
    </w:lvl>
    <w:lvl w:ilvl="5">
      <w:start w:val="1"/>
      <w:numFmt w:val="upperLetter"/>
      <w:lvlText w:val="(%6)"/>
      <w:lvlJc w:val="left"/>
      <w:pPr>
        <w:tabs>
          <w:tab w:val="num" w:pos="3685"/>
        </w:tabs>
        <w:ind w:left="3685" w:hanging="567"/>
      </w:pPr>
      <w:rPr>
        <w:rFonts w:hint="default"/>
        <w:sz w:val="19"/>
      </w:rPr>
    </w:lvl>
    <w:lvl w:ilvl="6">
      <w:start w:val="1"/>
      <w:numFmt w:val="decimal"/>
      <w:lvlText w:val="%1.%2.%3.%4.%5.%6.%7"/>
      <w:lvlJc w:val="left"/>
      <w:pPr>
        <w:tabs>
          <w:tab w:val="num" w:pos="4252"/>
        </w:tabs>
        <w:ind w:left="4252" w:hanging="3827"/>
      </w:pPr>
      <w:rPr>
        <w:rFonts w:hint="default"/>
      </w:rPr>
    </w:lvl>
    <w:lvl w:ilvl="7">
      <w:start w:val="1"/>
      <w:numFmt w:val="decimal"/>
      <w:lvlText w:val="%1.%2.%3.%4.%5.%6.%7.%8"/>
      <w:lvlJc w:val="left"/>
      <w:pPr>
        <w:tabs>
          <w:tab w:val="num" w:pos="1865"/>
        </w:tabs>
        <w:ind w:left="1865" w:hanging="1440"/>
      </w:pPr>
      <w:rPr>
        <w:rFonts w:hint="default"/>
      </w:rPr>
    </w:lvl>
    <w:lvl w:ilvl="8">
      <w:start w:val="1"/>
      <w:numFmt w:val="decimal"/>
      <w:lvlText w:val="%1.%2.%3.%4.%5.%6.%7.%8.%9"/>
      <w:lvlJc w:val="left"/>
      <w:pPr>
        <w:tabs>
          <w:tab w:val="num" w:pos="2225"/>
        </w:tabs>
        <w:ind w:left="2009" w:hanging="1584"/>
      </w:pPr>
      <w:rPr>
        <w:rFonts w:hint="default"/>
      </w:rPr>
    </w:lvl>
  </w:abstractNum>
  <w:abstractNum w:abstractNumId="48" w15:restartNumberingAfterBreak="0">
    <w:nsid w:val="545474D4"/>
    <w:multiLevelType w:val="hybridMultilevel"/>
    <w:tmpl w:val="8828CBB6"/>
    <w:lvl w:ilvl="0" w:tplc="04090019">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4B4004"/>
    <w:multiLevelType w:val="hybridMultilevel"/>
    <w:tmpl w:val="CD9A245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7B8777A"/>
    <w:multiLevelType w:val="hybridMultilevel"/>
    <w:tmpl w:val="4FA4D43C"/>
    <w:lvl w:ilvl="0" w:tplc="E1644B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2C6602"/>
    <w:multiLevelType w:val="singleLevel"/>
    <w:tmpl w:val="D06E86F4"/>
    <w:name w:val="Alpha 2-(A) bolditalic_1"/>
    <w:lvl w:ilvl="0">
      <w:start w:val="1"/>
      <w:numFmt w:val="upperLetter"/>
      <w:pStyle w:val="Alpha2-Abolditalic"/>
      <w:lvlText w:val="(%1)"/>
      <w:lvlJc w:val="left"/>
      <w:pPr>
        <w:tabs>
          <w:tab w:val="num" w:pos="992"/>
        </w:tabs>
        <w:ind w:left="992" w:hanging="567"/>
      </w:pPr>
      <w:rPr>
        <w:rFonts w:hint="default"/>
      </w:rPr>
    </w:lvl>
  </w:abstractNum>
  <w:abstractNum w:abstractNumId="52" w15:restartNumberingAfterBreak="0">
    <w:nsid w:val="58F87D9E"/>
    <w:multiLevelType w:val="multilevel"/>
    <w:tmpl w:val="13087CF0"/>
    <w:lvl w:ilvl="0">
      <w:start w:val="1"/>
      <w:numFmt w:val="none"/>
      <w:pStyle w:val="ScheduleTitle"/>
      <w:suff w:val="nothing"/>
      <w:lvlText w:val=""/>
      <w:lvlJc w:val="left"/>
      <w:pPr>
        <w:ind w:left="0" w:firstLine="0"/>
      </w:pPr>
      <w:rPr>
        <w:rFonts w:ascii="Times New Roman" w:hAnsi="Times New Roman" w:hint="default"/>
        <w:b/>
        <w:i w:val="0"/>
        <w:sz w:val="22"/>
      </w:rPr>
    </w:lvl>
    <w:lvl w:ilvl="1">
      <w:start w:val="1"/>
      <w:numFmt w:val="upperRoman"/>
      <w:pStyle w:val="Schedule1"/>
      <w:lvlText w:val="%2."/>
      <w:lvlJc w:val="left"/>
      <w:pPr>
        <w:tabs>
          <w:tab w:val="num" w:pos="720"/>
        </w:tabs>
        <w:ind w:left="720" w:hanging="720"/>
      </w:pPr>
      <w:rPr>
        <w:rFonts w:ascii="Times New Roman" w:hAnsi="Times New Roman" w:hint="default"/>
        <w:b/>
        <w:i w:val="0"/>
        <w:sz w:val="22"/>
      </w:rPr>
    </w:lvl>
    <w:lvl w:ilvl="2">
      <w:start w:val="1"/>
      <w:numFmt w:val="upperLetter"/>
      <w:pStyle w:val="Schedule2"/>
      <w:lvlText w:val="%3."/>
      <w:lvlJc w:val="left"/>
      <w:pPr>
        <w:tabs>
          <w:tab w:val="num" w:pos="1440"/>
        </w:tabs>
        <w:ind w:left="1440" w:hanging="720"/>
      </w:pPr>
      <w:rPr>
        <w:rFonts w:ascii="Times New Roman" w:hAnsi="Times New Roman" w:hint="default"/>
        <w:b/>
        <w:i w:val="0"/>
        <w:sz w:val="22"/>
      </w:rPr>
    </w:lvl>
    <w:lvl w:ilvl="3">
      <w:start w:val="1"/>
      <w:numFmt w:val="decimal"/>
      <w:pStyle w:val="Schedule3"/>
      <w:lvlText w:val="%4."/>
      <w:lvlJc w:val="left"/>
      <w:pPr>
        <w:tabs>
          <w:tab w:val="num" w:pos="2160"/>
        </w:tabs>
        <w:ind w:left="2160" w:hanging="720"/>
      </w:pPr>
      <w:rPr>
        <w:rFonts w:ascii="Times New Roman" w:hAnsi="Times New Roman" w:hint="default"/>
        <w:b/>
        <w:i w:val="0"/>
        <w:sz w:val="22"/>
      </w:rPr>
    </w:lvl>
    <w:lvl w:ilvl="4">
      <w:start w:val="1"/>
      <w:numFmt w:val="lowerLetter"/>
      <w:pStyle w:val="Schedule4"/>
      <w:lvlText w:val="%5."/>
      <w:lvlJc w:val="left"/>
      <w:pPr>
        <w:tabs>
          <w:tab w:val="num" w:pos="2880"/>
        </w:tabs>
        <w:ind w:left="2880" w:hanging="720"/>
      </w:pPr>
      <w:rPr>
        <w:rFonts w:ascii="Times New Roman" w:hAnsi="Times New Roman" w:hint="default"/>
        <w:b w:val="0"/>
        <w:i w:val="0"/>
        <w:sz w:val="22"/>
      </w:rPr>
    </w:lvl>
    <w:lvl w:ilvl="5">
      <w:start w:val="1"/>
      <w:numFmt w:val="decimal"/>
      <w:pStyle w:val="Schedule5"/>
      <w:lvlText w:val="(%6)"/>
      <w:lvlJc w:val="left"/>
      <w:pPr>
        <w:tabs>
          <w:tab w:val="num" w:pos="3600"/>
        </w:tabs>
        <w:ind w:left="3600" w:hanging="720"/>
      </w:pPr>
      <w:rPr>
        <w:rFonts w:ascii="Times New Roman" w:hAnsi="Times New Roman" w:hint="default"/>
        <w:b w:val="0"/>
        <w:i w:val="0"/>
        <w:sz w:val="22"/>
      </w:rPr>
    </w:lvl>
    <w:lvl w:ilvl="6">
      <w:start w:val="1"/>
      <w:numFmt w:val="lowerLetter"/>
      <w:pStyle w:val="Schedule6"/>
      <w:lvlText w:val="(%7)"/>
      <w:lvlJc w:val="left"/>
      <w:pPr>
        <w:tabs>
          <w:tab w:val="num" w:pos="4320"/>
        </w:tabs>
        <w:ind w:left="4320" w:hanging="720"/>
      </w:pPr>
      <w:rPr>
        <w:rFonts w:ascii="Times New Roman" w:hAnsi="Times New Roman" w:hint="default"/>
        <w:b w:val="0"/>
        <w:i w:val="0"/>
        <w:sz w:val="22"/>
      </w:rPr>
    </w:lvl>
    <w:lvl w:ilvl="7">
      <w:start w:val="1"/>
      <w:numFmt w:val="lowerRoman"/>
      <w:pStyle w:val="Schedule7"/>
      <w:lvlText w:val="(%8)"/>
      <w:lvlJc w:val="left"/>
      <w:pPr>
        <w:tabs>
          <w:tab w:val="num" w:pos="5040"/>
        </w:tabs>
        <w:ind w:left="5040" w:hanging="720"/>
      </w:pPr>
      <w:rPr>
        <w:rFonts w:ascii="Times New Roman" w:hAnsi="Times New Roman" w:hint="default"/>
        <w:b w:val="0"/>
        <w:i w:val="0"/>
        <w:sz w:val="22"/>
      </w:rPr>
    </w:lvl>
    <w:lvl w:ilvl="8">
      <w:start w:val="1"/>
      <w:numFmt w:val="upperLetter"/>
      <w:pStyle w:val="Schedule8"/>
      <w:lvlText w:val="%9)"/>
      <w:lvlJc w:val="left"/>
      <w:pPr>
        <w:tabs>
          <w:tab w:val="num" w:pos="5760"/>
        </w:tabs>
        <w:ind w:left="5760" w:hanging="720"/>
      </w:pPr>
      <w:rPr>
        <w:rFonts w:hint="default"/>
      </w:rPr>
    </w:lvl>
  </w:abstractNum>
  <w:abstractNum w:abstractNumId="53" w15:restartNumberingAfterBreak="0">
    <w:nsid w:val="59583C3C"/>
    <w:multiLevelType w:val="hybridMultilevel"/>
    <w:tmpl w:val="F6D02162"/>
    <w:lvl w:ilvl="0" w:tplc="C778CC62">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9777EE6"/>
    <w:multiLevelType w:val="hybridMultilevel"/>
    <w:tmpl w:val="73447934"/>
    <w:lvl w:ilvl="0" w:tplc="861A3B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B870BAD"/>
    <w:multiLevelType w:val="multilevel"/>
    <w:tmpl w:val="D0C6FBF6"/>
    <w:lvl w:ilvl="0">
      <w:start w:val="1"/>
      <w:numFmt w:val="upperRoman"/>
      <w:pStyle w:val="Heading1"/>
      <w:suff w:val="nothing"/>
      <w:lvlText w:val="Chapter %1"/>
      <w:lvlJc w:val="left"/>
      <w:pPr>
        <w:ind w:left="4962" w:firstLine="0"/>
      </w:pPr>
      <w:rPr>
        <w:rFonts w:ascii="Calibri" w:hAnsi="Calibri" w:hint="default"/>
        <w:b/>
        <w:i w:val="0"/>
        <w:caps w:val="0"/>
        <w:smallCaps w:val="0"/>
        <w:color w:val="000000"/>
        <w:sz w:val="20"/>
        <w:u w:val="none"/>
      </w:rPr>
    </w:lvl>
    <w:lvl w:ilvl="1">
      <w:start w:val="23"/>
      <w:numFmt w:val="none"/>
      <w:pStyle w:val="Heading2"/>
      <w:suff w:val="nothing"/>
      <w:lvlText w:val=""/>
      <w:lvlJc w:val="left"/>
      <w:pPr>
        <w:ind w:left="0" w:firstLine="0"/>
      </w:pPr>
      <w:rPr>
        <w:rFonts w:ascii="Times New Roman" w:hAnsi="Times New Roman" w:hint="default"/>
        <w:b/>
        <w:i w:val="0"/>
        <w:caps w:val="0"/>
        <w:smallCaps w:val="0"/>
        <w:color w:val="000000"/>
        <w:sz w:val="24"/>
        <w:u w:val="none"/>
      </w:rPr>
    </w:lvl>
    <w:lvl w:ilvl="2">
      <w:start w:val="1"/>
      <w:numFmt w:val="none"/>
      <w:pStyle w:val="Heading3"/>
      <w:suff w:val="nothing"/>
      <w:lvlText w:val=""/>
      <w:lvlJc w:val="left"/>
      <w:pPr>
        <w:ind w:left="0" w:firstLine="0"/>
      </w:pPr>
      <w:rPr>
        <w:rFonts w:ascii="Times New Roman" w:hAnsi="Times New Roman" w:hint="default"/>
        <w:b w:val="0"/>
        <w:i w:val="0"/>
        <w:caps w:val="0"/>
        <w:color w:val="000000"/>
        <w:sz w:val="20"/>
        <w:u w:val="none"/>
      </w:rPr>
    </w:lvl>
    <w:lvl w:ilvl="3">
      <w:start w:val="1"/>
      <w:numFmt w:val="none"/>
      <w:pStyle w:val="Heading4"/>
      <w:suff w:val="nothing"/>
      <w:lvlText w:val=""/>
      <w:lvlJc w:val="left"/>
      <w:pPr>
        <w:ind w:left="0" w:firstLine="0"/>
      </w:pPr>
      <w:rPr>
        <w:rFonts w:ascii="Times New Roman Bold" w:hAnsi="Times New Roman Bold" w:hint="default"/>
        <w:b/>
        <w:i/>
        <w:caps w:val="0"/>
        <w:smallCaps w:val="0"/>
        <w:color w:val="000000"/>
        <w:sz w:val="24"/>
        <w:u w:val="none"/>
      </w:rPr>
    </w:lvl>
    <w:lvl w:ilvl="4">
      <w:start w:val="1"/>
      <w:numFmt w:val="decimal"/>
      <w:pStyle w:val="Heading5"/>
      <w:lvlText w:val="%5."/>
      <w:lvlJc w:val="left"/>
      <w:pPr>
        <w:tabs>
          <w:tab w:val="num" w:pos="720"/>
        </w:tabs>
        <w:ind w:left="720" w:hanging="720"/>
      </w:pPr>
      <w:rPr>
        <w:rFonts w:ascii="Times New Roman Bold" w:hAnsi="Times New Roman Bold" w:hint="default"/>
        <w:b/>
        <w:i/>
        <w:caps w:val="0"/>
        <w:color w:val="000000"/>
        <w:sz w:val="20"/>
        <w:u w:val="none"/>
      </w:rPr>
    </w:lvl>
    <w:lvl w:ilvl="5">
      <w:start w:val="1"/>
      <w:numFmt w:val="decimal"/>
      <w:pStyle w:val="Heading6"/>
      <w:lvlText w:val="%6)"/>
      <w:lvlJc w:val="left"/>
      <w:pPr>
        <w:tabs>
          <w:tab w:val="num" w:pos="1440"/>
        </w:tabs>
        <w:ind w:left="720" w:hanging="720"/>
      </w:pPr>
      <w:rPr>
        <w:rFonts w:hint="default"/>
        <w:smallCaps w:val="0"/>
        <w:sz w:val="20"/>
      </w:rPr>
    </w:lvl>
    <w:lvl w:ilvl="6">
      <w:start w:val="1"/>
      <w:numFmt w:val="decimal"/>
      <w:pStyle w:val="Heading7"/>
      <w:lvlText w:val="%7."/>
      <w:lvlJc w:val="left"/>
      <w:pPr>
        <w:tabs>
          <w:tab w:val="num" w:pos="720"/>
        </w:tabs>
        <w:ind w:left="720" w:hanging="720"/>
      </w:pPr>
      <w:rPr>
        <w:rFonts w:ascii="Calibri" w:hAnsi="Calibri" w:hint="default"/>
        <w:b/>
        <w:i w:val="0"/>
        <w:smallCaps w:val="0"/>
        <w:sz w:val="20"/>
      </w:rPr>
    </w:lvl>
    <w:lvl w:ilvl="7">
      <w:start w:val="1"/>
      <w:numFmt w:val="upperRoman"/>
      <w:pStyle w:val="Heading8"/>
      <w:lvlText w:val="%8."/>
      <w:lvlJc w:val="left"/>
      <w:pPr>
        <w:tabs>
          <w:tab w:val="num" w:pos="1440"/>
        </w:tabs>
        <w:ind w:left="1440" w:hanging="720"/>
      </w:pPr>
      <w:rPr>
        <w:rFonts w:hint="default"/>
      </w:rPr>
    </w:lvl>
    <w:lvl w:ilvl="8">
      <w:start w:val="6"/>
      <w:numFmt w:val="upperLetter"/>
      <w:pStyle w:val="Heading9"/>
      <w:suff w:val="space"/>
      <w:lvlText w:val="%9"/>
      <w:lvlJc w:val="left"/>
      <w:pPr>
        <w:ind w:left="0" w:firstLine="0"/>
      </w:pPr>
      <w:rPr>
        <w:rFonts w:hint="default"/>
        <w:caps w:val="0"/>
        <w:vanish w:val="0"/>
      </w:rPr>
    </w:lvl>
  </w:abstractNum>
  <w:abstractNum w:abstractNumId="56" w15:restartNumberingAfterBreak="0">
    <w:nsid w:val="5D846D44"/>
    <w:multiLevelType w:val="hybridMultilevel"/>
    <w:tmpl w:val="1CF2CD1C"/>
    <w:lvl w:ilvl="0" w:tplc="2460E7AA">
      <w:start w:val="15"/>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8B7E63"/>
    <w:multiLevelType w:val="singleLevel"/>
    <w:tmpl w:val="6EAAF530"/>
    <w:lvl w:ilvl="0">
      <w:start w:val="1"/>
      <w:numFmt w:val="decimal"/>
      <w:pStyle w:val="Note"/>
      <w:lvlText w:val="(%1)"/>
      <w:lvlJc w:val="left"/>
      <w:pPr>
        <w:tabs>
          <w:tab w:val="num" w:pos="425"/>
        </w:tabs>
        <w:ind w:left="425" w:hanging="425"/>
      </w:pPr>
      <w:rPr>
        <w:rFonts w:hint="default"/>
        <w:lang w:bidi="ar-EG"/>
      </w:rPr>
    </w:lvl>
  </w:abstractNum>
  <w:abstractNum w:abstractNumId="58" w15:restartNumberingAfterBreak="0">
    <w:nsid w:val="63184D89"/>
    <w:multiLevelType w:val="hybridMultilevel"/>
    <w:tmpl w:val="9AA8B71A"/>
    <w:lvl w:ilvl="0" w:tplc="08090001">
      <w:start w:val="1"/>
      <w:numFmt w:val="bullet"/>
      <w:lvlText w:val=""/>
      <w:lvlJc w:val="left"/>
      <w:pPr>
        <w:ind w:left="1193" w:hanging="360"/>
      </w:pPr>
      <w:rPr>
        <w:rFonts w:ascii="Symbol" w:hAnsi="Symbol"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59" w15:restartNumberingAfterBreak="0">
    <w:nsid w:val="65A53013"/>
    <w:multiLevelType w:val="hybridMultilevel"/>
    <w:tmpl w:val="1F7C50E6"/>
    <w:lvl w:ilvl="0" w:tplc="897618A4">
      <w:start w:val="1"/>
      <w:numFmt w:val="lowerLetter"/>
      <w:pStyle w:val="PAAlphaListindent2"/>
      <w:lvlText w:val="%1)"/>
      <w:lvlJc w:val="left"/>
      <w:pPr>
        <w:tabs>
          <w:tab w:val="num" w:pos="3600"/>
        </w:tabs>
        <w:ind w:left="36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69CB6D8D"/>
    <w:multiLevelType w:val="hybridMultilevel"/>
    <w:tmpl w:val="07220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200E6A"/>
    <w:multiLevelType w:val="hybridMultilevel"/>
    <w:tmpl w:val="9BCC5252"/>
    <w:lvl w:ilvl="0" w:tplc="39AA7A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A2277C5"/>
    <w:multiLevelType w:val="hybridMultilevel"/>
    <w:tmpl w:val="116A5C88"/>
    <w:lvl w:ilvl="0" w:tplc="04090019">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AF74A8F"/>
    <w:multiLevelType w:val="hybridMultilevel"/>
    <w:tmpl w:val="1980A5B0"/>
    <w:lvl w:ilvl="0" w:tplc="69EE63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6334E6"/>
    <w:multiLevelType w:val="hybridMultilevel"/>
    <w:tmpl w:val="2986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CE4B12"/>
    <w:multiLevelType w:val="hybridMultilevel"/>
    <w:tmpl w:val="598256E2"/>
    <w:lvl w:ilvl="0" w:tplc="04090019">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EDB05A3"/>
    <w:multiLevelType w:val="hybridMultilevel"/>
    <w:tmpl w:val="16B2F256"/>
    <w:lvl w:ilvl="0" w:tplc="BC721C10">
      <w:start w:val="14"/>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891118"/>
    <w:multiLevelType w:val="hybridMultilevel"/>
    <w:tmpl w:val="33BE8C22"/>
    <w:lvl w:ilvl="0" w:tplc="B68CAE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25D23EC"/>
    <w:multiLevelType w:val="hybridMultilevel"/>
    <w:tmpl w:val="8D4ABAB0"/>
    <w:name w:val="Note"/>
    <w:lvl w:ilvl="0" w:tplc="F3C45670">
      <w:start w:val="4"/>
      <w:numFmt w:val="bullet"/>
      <w:lvlText w:val="•"/>
      <w:lvlJc w:val="left"/>
      <w:pPr>
        <w:ind w:left="1500" w:hanging="1140"/>
      </w:pPr>
      <w:rPr>
        <w:rFonts w:ascii="Traditional Arabic" w:eastAsia="Sakkal Majall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9C0F53"/>
    <w:multiLevelType w:val="hybridMultilevel"/>
    <w:tmpl w:val="4A70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7500944"/>
    <w:multiLevelType w:val="hybridMultilevel"/>
    <w:tmpl w:val="3A624A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1" w15:restartNumberingAfterBreak="0">
    <w:nsid w:val="7D50456E"/>
    <w:multiLevelType w:val="multilevel"/>
    <w:tmpl w:val="DC86ACA4"/>
    <w:styleLink w:val="Nada111"/>
    <w:lvl w:ilvl="0">
      <w:start w:val="1"/>
      <w:numFmt w:val="decimal"/>
      <w:lvlText w:val="%1."/>
      <w:lvlJc w:val="left"/>
      <w:pPr>
        <w:ind w:left="360" w:hanging="360"/>
      </w:pPr>
      <w:rPr>
        <w:rFonts w:ascii="Sakkal Majalla" w:hAnsi="Sakkal Majalla" w:cs="Sakkal Majalla" w:hint="default"/>
        <w:sz w:val="32"/>
        <w:szCs w:val="32"/>
        <w:vertAlign w:val="baseline"/>
      </w:rPr>
    </w:lvl>
    <w:lvl w:ilvl="1">
      <w:start w:val="1"/>
      <w:numFmt w:val="decimal"/>
      <w:lvlText w:val="2-%2"/>
      <w:lvlJc w:val="left"/>
      <w:pPr>
        <w:ind w:left="1080" w:hanging="360"/>
      </w:pPr>
      <w:rPr>
        <w:rFonts w:hint="default"/>
      </w:rPr>
    </w:lvl>
    <w:lvl w:ilvl="2">
      <w:start w:val="1"/>
      <w:numFmt w:val="decimal"/>
      <w:lvlText w:val="2-%3-1"/>
      <w:lvlJc w:val="right"/>
      <w:pPr>
        <w:ind w:left="1800" w:hanging="180"/>
      </w:pPr>
      <w:rPr>
        <w:rFonts w:hint="default"/>
      </w:rPr>
    </w:lvl>
    <w:lvl w:ilvl="3">
      <w:start w:val="1"/>
      <w:numFmt w:val="decimal"/>
      <w:lvlText w:val="%4."/>
      <w:lvlJc w:val="left"/>
      <w:pPr>
        <w:ind w:left="360" w:hanging="360"/>
      </w:pPr>
      <w:rPr>
        <w:rFonts w:hint="default"/>
        <w:b w:val="0"/>
        <w:bCs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2" w15:restartNumberingAfterBreak="0">
    <w:nsid w:val="7E29408A"/>
    <w:multiLevelType w:val="hybridMultilevel"/>
    <w:tmpl w:val="4EC8BA6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73" w15:restartNumberingAfterBreak="0">
    <w:nsid w:val="7E474E13"/>
    <w:multiLevelType w:val="hybridMultilevel"/>
    <w:tmpl w:val="77C2E0E0"/>
    <w:lvl w:ilvl="0" w:tplc="AADC62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8893343">
    <w:abstractNumId w:val="29"/>
  </w:num>
  <w:num w:numId="2" w16cid:durableId="394859484">
    <w:abstractNumId w:val="49"/>
  </w:num>
  <w:num w:numId="3" w16cid:durableId="1568764711">
    <w:abstractNumId w:val="17"/>
  </w:num>
  <w:num w:numId="4" w16cid:durableId="1789278766">
    <w:abstractNumId w:val="3"/>
  </w:num>
  <w:num w:numId="5" w16cid:durableId="2128506769">
    <w:abstractNumId w:val="30"/>
  </w:num>
  <w:num w:numId="6" w16cid:durableId="522986846">
    <w:abstractNumId w:val="50"/>
  </w:num>
  <w:num w:numId="7" w16cid:durableId="786310922">
    <w:abstractNumId w:val="57"/>
  </w:num>
  <w:num w:numId="8" w16cid:durableId="116998607">
    <w:abstractNumId w:val="55"/>
  </w:num>
  <w:num w:numId="9" w16cid:durableId="1595941007">
    <w:abstractNumId w:val="39"/>
  </w:num>
  <w:num w:numId="10" w16cid:durableId="1906985500">
    <w:abstractNumId w:val="62"/>
  </w:num>
  <w:num w:numId="11" w16cid:durableId="434524593">
    <w:abstractNumId w:val="6"/>
  </w:num>
  <w:num w:numId="12" w16cid:durableId="1660228705">
    <w:abstractNumId w:val="45"/>
  </w:num>
  <w:num w:numId="13" w16cid:durableId="1055620084">
    <w:abstractNumId w:val="61"/>
  </w:num>
  <w:num w:numId="14" w16cid:durableId="1372849314">
    <w:abstractNumId w:val="37"/>
  </w:num>
  <w:num w:numId="15" w16cid:durableId="1077626896">
    <w:abstractNumId w:val="0"/>
  </w:num>
  <w:num w:numId="16" w16cid:durableId="1001080806">
    <w:abstractNumId w:val="65"/>
  </w:num>
  <w:num w:numId="17" w16cid:durableId="605429186">
    <w:abstractNumId w:val="14"/>
  </w:num>
  <w:num w:numId="18" w16cid:durableId="1973166400">
    <w:abstractNumId w:val="46"/>
  </w:num>
  <w:num w:numId="19" w16cid:durableId="1707099521">
    <w:abstractNumId w:val="18"/>
  </w:num>
  <w:num w:numId="20" w16cid:durableId="697966814">
    <w:abstractNumId w:val="33"/>
  </w:num>
  <w:num w:numId="21" w16cid:durableId="346710074">
    <w:abstractNumId w:val="15"/>
  </w:num>
  <w:num w:numId="22" w16cid:durableId="1168134234">
    <w:abstractNumId w:val="52"/>
  </w:num>
  <w:num w:numId="23" w16cid:durableId="13770551">
    <w:abstractNumId w:val="31"/>
  </w:num>
  <w:num w:numId="24" w16cid:durableId="925066963">
    <w:abstractNumId w:val="23"/>
  </w:num>
  <w:num w:numId="25" w16cid:durableId="1107693751">
    <w:abstractNumId w:val="48"/>
  </w:num>
  <w:num w:numId="26" w16cid:durableId="1092822514">
    <w:abstractNumId w:val="25"/>
  </w:num>
  <w:num w:numId="27" w16cid:durableId="1358505094">
    <w:abstractNumId w:val="67"/>
  </w:num>
  <w:num w:numId="28" w16cid:durableId="2125269114">
    <w:abstractNumId w:val="73"/>
  </w:num>
  <w:num w:numId="29" w16cid:durableId="1274945329">
    <w:abstractNumId w:val="13"/>
  </w:num>
  <w:num w:numId="30" w16cid:durableId="588003748">
    <w:abstractNumId w:val="42"/>
  </w:num>
  <w:num w:numId="31" w16cid:durableId="385688279">
    <w:abstractNumId w:val="35"/>
  </w:num>
  <w:num w:numId="32" w16cid:durableId="1242836929">
    <w:abstractNumId w:val="47"/>
  </w:num>
  <w:num w:numId="33" w16cid:durableId="383678803">
    <w:abstractNumId w:val="57"/>
    <w:lvlOverride w:ilvl="0">
      <w:startOverride w:val="1"/>
    </w:lvlOverride>
  </w:num>
  <w:num w:numId="34" w16cid:durableId="1193223333">
    <w:abstractNumId w:val="32"/>
  </w:num>
  <w:num w:numId="35" w16cid:durableId="812602933">
    <w:abstractNumId w:val="2"/>
  </w:num>
  <w:num w:numId="36" w16cid:durableId="1881934591">
    <w:abstractNumId w:val="44"/>
  </w:num>
  <w:num w:numId="37" w16cid:durableId="1000502000">
    <w:abstractNumId w:val="70"/>
  </w:num>
  <w:num w:numId="38" w16cid:durableId="1790123463">
    <w:abstractNumId w:val="38"/>
  </w:num>
  <w:num w:numId="39" w16cid:durableId="736132229">
    <w:abstractNumId w:val="56"/>
  </w:num>
  <w:num w:numId="40" w16cid:durableId="1513181262">
    <w:abstractNumId w:val="12"/>
  </w:num>
  <w:num w:numId="41" w16cid:durableId="1390419820">
    <w:abstractNumId w:val="40"/>
  </w:num>
  <w:num w:numId="42" w16cid:durableId="1135635346">
    <w:abstractNumId w:val="41"/>
  </w:num>
  <w:num w:numId="43" w16cid:durableId="1896118607">
    <w:abstractNumId w:val="51"/>
  </w:num>
  <w:num w:numId="44" w16cid:durableId="583803850">
    <w:abstractNumId w:val="27"/>
  </w:num>
  <w:num w:numId="45" w16cid:durableId="1417245250">
    <w:abstractNumId w:val="16"/>
  </w:num>
  <w:num w:numId="46" w16cid:durableId="60835102">
    <w:abstractNumId w:val="66"/>
  </w:num>
  <w:num w:numId="47" w16cid:durableId="2042124915">
    <w:abstractNumId w:val="53"/>
  </w:num>
  <w:num w:numId="48" w16cid:durableId="549263811">
    <w:abstractNumId w:val="4"/>
  </w:num>
  <w:num w:numId="49" w16cid:durableId="1900046111">
    <w:abstractNumId w:val="54"/>
  </w:num>
  <w:num w:numId="50" w16cid:durableId="1605727326">
    <w:abstractNumId w:val="28"/>
  </w:num>
  <w:num w:numId="51" w16cid:durableId="928662405">
    <w:abstractNumId w:val="9"/>
  </w:num>
  <w:num w:numId="52" w16cid:durableId="217327996">
    <w:abstractNumId w:val="57"/>
    <w:lvlOverride w:ilvl="0">
      <w:startOverride w:val="1"/>
    </w:lvlOverride>
  </w:num>
  <w:num w:numId="53" w16cid:durableId="148252126">
    <w:abstractNumId w:val="58"/>
  </w:num>
  <w:num w:numId="54" w16cid:durableId="1496267286">
    <w:abstractNumId w:val="57"/>
    <w:lvlOverride w:ilvl="0">
      <w:startOverride w:val="1"/>
    </w:lvlOverride>
  </w:num>
  <w:num w:numId="55" w16cid:durableId="1455563558">
    <w:abstractNumId w:val="26"/>
  </w:num>
  <w:num w:numId="56" w16cid:durableId="1166550138">
    <w:abstractNumId w:val="36"/>
  </w:num>
  <w:num w:numId="57" w16cid:durableId="2052070065">
    <w:abstractNumId w:val="7"/>
  </w:num>
  <w:num w:numId="58" w16cid:durableId="1536236098">
    <w:abstractNumId w:val="72"/>
  </w:num>
  <w:num w:numId="59" w16cid:durableId="1301113160">
    <w:abstractNumId w:val="1"/>
  </w:num>
  <w:num w:numId="60" w16cid:durableId="636879152">
    <w:abstractNumId w:val="21"/>
  </w:num>
  <w:num w:numId="61" w16cid:durableId="153180124">
    <w:abstractNumId w:val="43"/>
  </w:num>
  <w:num w:numId="62" w16cid:durableId="735129276">
    <w:abstractNumId w:val="24"/>
  </w:num>
  <w:num w:numId="63" w16cid:durableId="54932678">
    <w:abstractNumId w:val="69"/>
  </w:num>
  <w:num w:numId="64" w16cid:durableId="1050836406">
    <w:abstractNumId w:val="8"/>
  </w:num>
  <w:num w:numId="65" w16cid:durableId="1068264376">
    <w:abstractNumId w:val="71"/>
  </w:num>
  <w:num w:numId="66" w16cid:durableId="1936861329">
    <w:abstractNumId w:val="59"/>
  </w:num>
  <w:num w:numId="67" w16cid:durableId="1363436469">
    <w:abstractNumId w:val="63"/>
  </w:num>
  <w:num w:numId="68" w16cid:durableId="1710718102">
    <w:abstractNumId w:val="10"/>
  </w:num>
  <w:num w:numId="69" w16cid:durableId="1846894690">
    <w:abstractNumId w:val="64"/>
  </w:num>
  <w:num w:numId="70" w16cid:durableId="1706103632">
    <w:abstractNumId w:val="5"/>
  </w:num>
  <w:num w:numId="71" w16cid:durableId="1406492783">
    <w:abstractNumId w:val="60"/>
  </w:num>
  <w:num w:numId="72" w16cid:durableId="829558620">
    <w:abstractNumId w:val="34"/>
  </w:num>
  <w:num w:numId="73" w16cid:durableId="869026023">
    <w:abstractNumId w:val="20"/>
  </w:num>
  <w:num w:numId="74" w16cid:durableId="1677656446">
    <w:abstractNumId w:val="19"/>
  </w:num>
  <w:num w:numId="75" w16cid:durableId="2127195856">
    <w:abstractNumId w:val="2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VData" w:val="ew0KICAiZG9jSUQiOiAiNzM1NmY0MzYtNzk1Yi00ZDUyLWJiZjItZjY5ZDk2ODhiMGQzIg0KfQ=="/>
    <w:docVar w:name="GVData0" w:val="(end)"/>
  </w:docVars>
  <w:rsids>
    <w:rsidRoot w:val="00AB6446"/>
    <w:rsid w:val="00000148"/>
    <w:rsid w:val="00000366"/>
    <w:rsid w:val="00000DF2"/>
    <w:rsid w:val="0000166D"/>
    <w:rsid w:val="000016EA"/>
    <w:rsid w:val="00002414"/>
    <w:rsid w:val="000028EE"/>
    <w:rsid w:val="00003D64"/>
    <w:rsid w:val="00003FC4"/>
    <w:rsid w:val="0000402C"/>
    <w:rsid w:val="00004930"/>
    <w:rsid w:val="00004AE1"/>
    <w:rsid w:val="000050FF"/>
    <w:rsid w:val="00005136"/>
    <w:rsid w:val="0000522B"/>
    <w:rsid w:val="0000542D"/>
    <w:rsid w:val="00005A64"/>
    <w:rsid w:val="00006159"/>
    <w:rsid w:val="00006743"/>
    <w:rsid w:val="00006776"/>
    <w:rsid w:val="00006B03"/>
    <w:rsid w:val="00006E57"/>
    <w:rsid w:val="000102A3"/>
    <w:rsid w:val="00010336"/>
    <w:rsid w:val="00010339"/>
    <w:rsid w:val="0001049C"/>
    <w:rsid w:val="00010A00"/>
    <w:rsid w:val="0001163B"/>
    <w:rsid w:val="00011A9F"/>
    <w:rsid w:val="00011F9B"/>
    <w:rsid w:val="00012398"/>
    <w:rsid w:val="000128A3"/>
    <w:rsid w:val="000138C0"/>
    <w:rsid w:val="00015142"/>
    <w:rsid w:val="00015768"/>
    <w:rsid w:val="00015C2A"/>
    <w:rsid w:val="00016614"/>
    <w:rsid w:val="000171D8"/>
    <w:rsid w:val="00017465"/>
    <w:rsid w:val="000177F1"/>
    <w:rsid w:val="00017813"/>
    <w:rsid w:val="000179D8"/>
    <w:rsid w:val="000202F6"/>
    <w:rsid w:val="00020AC6"/>
    <w:rsid w:val="00020ED1"/>
    <w:rsid w:val="0002152B"/>
    <w:rsid w:val="00021BE5"/>
    <w:rsid w:val="000221CA"/>
    <w:rsid w:val="000225E9"/>
    <w:rsid w:val="000231AE"/>
    <w:rsid w:val="000234E6"/>
    <w:rsid w:val="0002376A"/>
    <w:rsid w:val="000237F5"/>
    <w:rsid w:val="000238A2"/>
    <w:rsid w:val="00023A0F"/>
    <w:rsid w:val="00023CA0"/>
    <w:rsid w:val="00023DF7"/>
    <w:rsid w:val="000240A8"/>
    <w:rsid w:val="000244E3"/>
    <w:rsid w:val="0002529E"/>
    <w:rsid w:val="00025D1E"/>
    <w:rsid w:val="00025FEB"/>
    <w:rsid w:val="00026541"/>
    <w:rsid w:val="00026C97"/>
    <w:rsid w:val="00027124"/>
    <w:rsid w:val="00027513"/>
    <w:rsid w:val="00027817"/>
    <w:rsid w:val="00027897"/>
    <w:rsid w:val="00027BEB"/>
    <w:rsid w:val="00027D8E"/>
    <w:rsid w:val="00027ED6"/>
    <w:rsid w:val="00030746"/>
    <w:rsid w:val="000309B7"/>
    <w:rsid w:val="00030F37"/>
    <w:rsid w:val="00031247"/>
    <w:rsid w:val="00031553"/>
    <w:rsid w:val="00031925"/>
    <w:rsid w:val="0003239E"/>
    <w:rsid w:val="000332F1"/>
    <w:rsid w:val="0003369F"/>
    <w:rsid w:val="00033B21"/>
    <w:rsid w:val="00033B24"/>
    <w:rsid w:val="000344AC"/>
    <w:rsid w:val="000347D0"/>
    <w:rsid w:val="00034A50"/>
    <w:rsid w:val="00034A7A"/>
    <w:rsid w:val="00035A78"/>
    <w:rsid w:val="00035CC9"/>
    <w:rsid w:val="00035D24"/>
    <w:rsid w:val="0003632E"/>
    <w:rsid w:val="00036B18"/>
    <w:rsid w:val="00036F52"/>
    <w:rsid w:val="00037543"/>
    <w:rsid w:val="00037701"/>
    <w:rsid w:val="00037847"/>
    <w:rsid w:val="00037ABE"/>
    <w:rsid w:val="00037BD0"/>
    <w:rsid w:val="00037C82"/>
    <w:rsid w:val="00037D4B"/>
    <w:rsid w:val="0004023D"/>
    <w:rsid w:val="00040504"/>
    <w:rsid w:val="00040C09"/>
    <w:rsid w:val="00040D5F"/>
    <w:rsid w:val="0004112F"/>
    <w:rsid w:val="00041192"/>
    <w:rsid w:val="00041567"/>
    <w:rsid w:val="00041793"/>
    <w:rsid w:val="000430C5"/>
    <w:rsid w:val="000437A0"/>
    <w:rsid w:val="0004400D"/>
    <w:rsid w:val="0004407F"/>
    <w:rsid w:val="0004411E"/>
    <w:rsid w:val="0004448F"/>
    <w:rsid w:val="000447C9"/>
    <w:rsid w:val="00044A68"/>
    <w:rsid w:val="00044DEB"/>
    <w:rsid w:val="00045645"/>
    <w:rsid w:val="0004574B"/>
    <w:rsid w:val="00045932"/>
    <w:rsid w:val="00045B6E"/>
    <w:rsid w:val="00045C68"/>
    <w:rsid w:val="000464C1"/>
    <w:rsid w:val="000466E7"/>
    <w:rsid w:val="00046C63"/>
    <w:rsid w:val="00046FA2"/>
    <w:rsid w:val="00047685"/>
    <w:rsid w:val="000503E5"/>
    <w:rsid w:val="00050521"/>
    <w:rsid w:val="00050903"/>
    <w:rsid w:val="00050991"/>
    <w:rsid w:val="00050F71"/>
    <w:rsid w:val="00051860"/>
    <w:rsid w:val="000518F3"/>
    <w:rsid w:val="00051B33"/>
    <w:rsid w:val="00051D88"/>
    <w:rsid w:val="000520B9"/>
    <w:rsid w:val="00052910"/>
    <w:rsid w:val="00052D98"/>
    <w:rsid w:val="000533F8"/>
    <w:rsid w:val="00053C8D"/>
    <w:rsid w:val="00053CD8"/>
    <w:rsid w:val="00053E3B"/>
    <w:rsid w:val="00053E79"/>
    <w:rsid w:val="00053FF1"/>
    <w:rsid w:val="000544C5"/>
    <w:rsid w:val="00054750"/>
    <w:rsid w:val="00054B2B"/>
    <w:rsid w:val="00054DE9"/>
    <w:rsid w:val="0005599E"/>
    <w:rsid w:val="000559C6"/>
    <w:rsid w:val="00055ADD"/>
    <w:rsid w:val="00055B90"/>
    <w:rsid w:val="00055DB2"/>
    <w:rsid w:val="000562B1"/>
    <w:rsid w:val="00056A5E"/>
    <w:rsid w:val="0005703A"/>
    <w:rsid w:val="00057585"/>
    <w:rsid w:val="00060191"/>
    <w:rsid w:val="0006072E"/>
    <w:rsid w:val="0006131D"/>
    <w:rsid w:val="00061618"/>
    <w:rsid w:val="00061A0B"/>
    <w:rsid w:val="00061A3C"/>
    <w:rsid w:val="00061A6F"/>
    <w:rsid w:val="00061F0B"/>
    <w:rsid w:val="0006226C"/>
    <w:rsid w:val="000625F7"/>
    <w:rsid w:val="00062941"/>
    <w:rsid w:val="00062B17"/>
    <w:rsid w:val="00063850"/>
    <w:rsid w:val="000638FE"/>
    <w:rsid w:val="0006448A"/>
    <w:rsid w:val="0006449B"/>
    <w:rsid w:val="00064869"/>
    <w:rsid w:val="000649A5"/>
    <w:rsid w:val="00065F9F"/>
    <w:rsid w:val="000663C1"/>
    <w:rsid w:val="00067744"/>
    <w:rsid w:val="00067A6B"/>
    <w:rsid w:val="00067BAB"/>
    <w:rsid w:val="00070AA4"/>
    <w:rsid w:val="00070ABF"/>
    <w:rsid w:val="00070DB2"/>
    <w:rsid w:val="000710EB"/>
    <w:rsid w:val="00071580"/>
    <w:rsid w:val="000725B7"/>
    <w:rsid w:val="000725DA"/>
    <w:rsid w:val="00072D94"/>
    <w:rsid w:val="00072E05"/>
    <w:rsid w:val="00072E7A"/>
    <w:rsid w:val="00072F5F"/>
    <w:rsid w:val="00073D03"/>
    <w:rsid w:val="00074219"/>
    <w:rsid w:val="00074643"/>
    <w:rsid w:val="00074A95"/>
    <w:rsid w:val="00074EC7"/>
    <w:rsid w:val="000756C0"/>
    <w:rsid w:val="0007572D"/>
    <w:rsid w:val="00075F2A"/>
    <w:rsid w:val="00076B15"/>
    <w:rsid w:val="00076D6E"/>
    <w:rsid w:val="00076D72"/>
    <w:rsid w:val="00076DE9"/>
    <w:rsid w:val="00076E40"/>
    <w:rsid w:val="00077573"/>
    <w:rsid w:val="00077F49"/>
    <w:rsid w:val="00080093"/>
    <w:rsid w:val="0008031B"/>
    <w:rsid w:val="00080339"/>
    <w:rsid w:val="00080A22"/>
    <w:rsid w:val="0008119B"/>
    <w:rsid w:val="00081E32"/>
    <w:rsid w:val="00082045"/>
    <w:rsid w:val="000820EC"/>
    <w:rsid w:val="000822FA"/>
    <w:rsid w:val="000823FC"/>
    <w:rsid w:val="00082A74"/>
    <w:rsid w:val="00082B0B"/>
    <w:rsid w:val="00083570"/>
    <w:rsid w:val="00083690"/>
    <w:rsid w:val="000837F3"/>
    <w:rsid w:val="000843A2"/>
    <w:rsid w:val="00084DCA"/>
    <w:rsid w:val="00085076"/>
    <w:rsid w:val="00086023"/>
    <w:rsid w:val="000861C6"/>
    <w:rsid w:val="000866F4"/>
    <w:rsid w:val="00087B1E"/>
    <w:rsid w:val="000901E3"/>
    <w:rsid w:val="00090CF6"/>
    <w:rsid w:val="00090D67"/>
    <w:rsid w:val="00090F32"/>
    <w:rsid w:val="00091614"/>
    <w:rsid w:val="00091D75"/>
    <w:rsid w:val="00092059"/>
    <w:rsid w:val="00092275"/>
    <w:rsid w:val="0009344E"/>
    <w:rsid w:val="00093532"/>
    <w:rsid w:val="00093AAD"/>
    <w:rsid w:val="00093AD0"/>
    <w:rsid w:val="0009435F"/>
    <w:rsid w:val="000943D6"/>
    <w:rsid w:val="0009458B"/>
    <w:rsid w:val="000947E9"/>
    <w:rsid w:val="00094A0E"/>
    <w:rsid w:val="00095077"/>
    <w:rsid w:val="000952B1"/>
    <w:rsid w:val="000953EC"/>
    <w:rsid w:val="00095713"/>
    <w:rsid w:val="0009602B"/>
    <w:rsid w:val="000964EE"/>
    <w:rsid w:val="00096794"/>
    <w:rsid w:val="0009695A"/>
    <w:rsid w:val="00096BC2"/>
    <w:rsid w:val="00096DC8"/>
    <w:rsid w:val="000973AF"/>
    <w:rsid w:val="000974AE"/>
    <w:rsid w:val="000979A5"/>
    <w:rsid w:val="000A0150"/>
    <w:rsid w:val="000A01B9"/>
    <w:rsid w:val="000A02C2"/>
    <w:rsid w:val="000A13D6"/>
    <w:rsid w:val="000A175E"/>
    <w:rsid w:val="000A1B0B"/>
    <w:rsid w:val="000A1EC5"/>
    <w:rsid w:val="000A245C"/>
    <w:rsid w:val="000A2549"/>
    <w:rsid w:val="000A25F6"/>
    <w:rsid w:val="000A4142"/>
    <w:rsid w:val="000A41AE"/>
    <w:rsid w:val="000A48F1"/>
    <w:rsid w:val="000A4F62"/>
    <w:rsid w:val="000A5A91"/>
    <w:rsid w:val="000A67FC"/>
    <w:rsid w:val="000A7396"/>
    <w:rsid w:val="000A765C"/>
    <w:rsid w:val="000A781F"/>
    <w:rsid w:val="000A783B"/>
    <w:rsid w:val="000A78E8"/>
    <w:rsid w:val="000B0809"/>
    <w:rsid w:val="000B0D6C"/>
    <w:rsid w:val="000B0DA0"/>
    <w:rsid w:val="000B12AD"/>
    <w:rsid w:val="000B1475"/>
    <w:rsid w:val="000B1630"/>
    <w:rsid w:val="000B307A"/>
    <w:rsid w:val="000B397F"/>
    <w:rsid w:val="000B4147"/>
    <w:rsid w:val="000B469F"/>
    <w:rsid w:val="000B4824"/>
    <w:rsid w:val="000B4FC2"/>
    <w:rsid w:val="000B556F"/>
    <w:rsid w:val="000B5D24"/>
    <w:rsid w:val="000B5F78"/>
    <w:rsid w:val="000B6542"/>
    <w:rsid w:val="000B6977"/>
    <w:rsid w:val="000B730C"/>
    <w:rsid w:val="000B7720"/>
    <w:rsid w:val="000B7946"/>
    <w:rsid w:val="000B794B"/>
    <w:rsid w:val="000B797D"/>
    <w:rsid w:val="000B7F92"/>
    <w:rsid w:val="000C096E"/>
    <w:rsid w:val="000C0BF1"/>
    <w:rsid w:val="000C19FE"/>
    <w:rsid w:val="000C2447"/>
    <w:rsid w:val="000C2B71"/>
    <w:rsid w:val="000C2F48"/>
    <w:rsid w:val="000C308B"/>
    <w:rsid w:val="000C325A"/>
    <w:rsid w:val="000C35D1"/>
    <w:rsid w:val="000C3A12"/>
    <w:rsid w:val="000C3ECD"/>
    <w:rsid w:val="000C413C"/>
    <w:rsid w:val="000C56EC"/>
    <w:rsid w:val="000C57BC"/>
    <w:rsid w:val="000C5AEC"/>
    <w:rsid w:val="000C5D20"/>
    <w:rsid w:val="000C5E9B"/>
    <w:rsid w:val="000C685E"/>
    <w:rsid w:val="000C693A"/>
    <w:rsid w:val="000D0428"/>
    <w:rsid w:val="000D0438"/>
    <w:rsid w:val="000D049D"/>
    <w:rsid w:val="000D1272"/>
    <w:rsid w:val="000D1474"/>
    <w:rsid w:val="000D183E"/>
    <w:rsid w:val="000D1ACC"/>
    <w:rsid w:val="000D1F47"/>
    <w:rsid w:val="000D20FB"/>
    <w:rsid w:val="000D262B"/>
    <w:rsid w:val="000D2725"/>
    <w:rsid w:val="000D34E7"/>
    <w:rsid w:val="000D3706"/>
    <w:rsid w:val="000D3A09"/>
    <w:rsid w:val="000D425A"/>
    <w:rsid w:val="000D465A"/>
    <w:rsid w:val="000D471D"/>
    <w:rsid w:val="000D48CB"/>
    <w:rsid w:val="000D4FC2"/>
    <w:rsid w:val="000D5FB8"/>
    <w:rsid w:val="000D5FCF"/>
    <w:rsid w:val="000D618B"/>
    <w:rsid w:val="000D62FE"/>
    <w:rsid w:val="000D65C6"/>
    <w:rsid w:val="000D7318"/>
    <w:rsid w:val="000E0640"/>
    <w:rsid w:val="000E06C2"/>
    <w:rsid w:val="000E09F0"/>
    <w:rsid w:val="000E0EC4"/>
    <w:rsid w:val="000E12EA"/>
    <w:rsid w:val="000E1549"/>
    <w:rsid w:val="000E1B01"/>
    <w:rsid w:val="000E1C86"/>
    <w:rsid w:val="000E1ED5"/>
    <w:rsid w:val="000E2337"/>
    <w:rsid w:val="000E2552"/>
    <w:rsid w:val="000E27F1"/>
    <w:rsid w:val="000E298F"/>
    <w:rsid w:val="000E2F13"/>
    <w:rsid w:val="000E31FD"/>
    <w:rsid w:val="000E32B2"/>
    <w:rsid w:val="000E46AA"/>
    <w:rsid w:val="000E4FAC"/>
    <w:rsid w:val="000E5549"/>
    <w:rsid w:val="000E6086"/>
    <w:rsid w:val="000E690C"/>
    <w:rsid w:val="000E6CC2"/>
    <w:rsid w:val="000E6D40"/>
    <w:rsid w:val="000E7B05"/>
    <w:rsid w:val="000E7CCD"/>
    <w:rsid w:val="000F0103"/>
    <w:rsid w:val="000F01A9"/>
    <w:rsid w:val="000F0E3C"/>
    <w:rsid w:val="000F15D5"/>
    <w:rsid w:val="000F16D7"/>
    <w:rsid w:val="000F184E"/>
    <w:rsid w:val="000F2354"/>
    <w:rsid w:val="000F3706"/>
    <w:rsid w:val="000F420C"/>
    <w:rsid w:val="000F469C"/>
    <w:rsid w:val="000F47E6"/>
    <w:rsid w:val="000F48E3"/>
    <w:rsid w:val="000F4B0B"/>
    <w:rsid w:val="000F4E21"/>
    <w:rsid w:val="000F4E50"/>
    <w:rsid w:val="000F5C1C"/>
    <w:rsid w:val="000F5DEA"/>
    <w:rsid w:val="000F5F59"/>
    <w:rsid w:val="000F6363"/>
    <w:rsid w:val="000F677A"/>
    <w:rsid w:val="000F763D"/>
    <w:rsid w:val="000F7788"/>
    <w:rsid w:val="000F7C11"/>
    <w:rsid w:val="00100137"/>
    <w:rsid w:val="0010054C"/>
    <w:rsid w:val="0010110E"/>
    <w:rsid w:val="001011B4"/>
    <w:rsid w:val="0010137F"/>
    <w:rsid w:val="0010191F"/>
    <w:rsid w:val="00102160"/>
    <w:rsid w:val="00102792"/>
    <w:rsid w:val="0010283A"/>
    <w:rsid w:val="00102A8C"/>
    <w:rsid w:val="00102C87"/>
    <w:rsid w:val="00102F90"/>
    <w:rsid w:val="0010451B"/>
    <w:rsid w:val="001047BB"/>
    <w:rsid w:val="00104D21"/>
    <w:rsid w:val="001056FD"/>
    <w:rsid w:val="00105A51"/>
    <w:rsid w:val="00106260"/>
    <w:rsid w:val="0010730F"/>
    <w:rsid w:val="0010747F"/>
    <w:rsid w:val="00107B62"/>
    <w:rsid w:val="00107C27"/>
    <w:rsid w:val="00107EE3"/>
    <w:rsid w:val="0011015D"/>
    <w:rsid w:val="001106C6"/>
    <w:rsid w:val="00110A43"/>
    <w:rsid w:val="00111451"/>
    <w:rsid w:val="00111946"/>
    <w:rsid w:val="00111B0B"/>
    <w:rsid w:val="00111C3B"/>
    <w:rsid w:val="00112121"/>
    <w:rsid w:val="00112C43"/>
    <w:rsid w:val="0011349A"/>
    <w:rsid w:val="0011365C"/>
    <w:rsid w:val="00113F63"/>
    <w:rsid w:val="0011540D"/>
    <w:rsid w:val="0011577A"/>
    <w:rsid w:val="00115F00"/>
    <w:rsid w:val="0011645C"/>
    <w:rsid w:val="001167CB"/>
    <w:rsid w:val="00116B39"/>
    <w:rsid w:val="001173A1"/>
    <w:rsid w:val="00117696"/>
    <w:rsid w:val="00117A1E"/>
    <w:rsid w:val="00117FDE"/>
    <w:rsid w:val="001203F3"/>
    <w:rsid w:val="00120877"/>
    <w:rsid w:val="00120915"/>
    <w:rsid w:val="001209A5"/>
    <w:rsid w:val="001209B5"/>
    <w:rsid w:val="00121BD7"/>
    <w:rsid w:val="00121FA5"/>
    <w:rsid w:val="001220DA"/>
    <w:rsid w:val="001223EB"/>
    <w:rsid w:val="00122517"/>
    <w:rsid w:val="001227AB"/>
    <w:rsid w:val="00122EEE"/>
    <w:rsid w:val="00123345"/>
    <w:rsid w:val="001235E3"/>
    <w:rsid w:val="00123848"/>
    <w:rsid w:val="00124CFE"/>
    <w:rsid w:val="001250DB"/>
    <w:rsid w:val="0012521D"/>
    <w:rsid w:val="0012556F"/>
    <w:rsid w:val="00125702"/>
    <w:rsid w:val="0012573E"/>
    <w:rsid w:val="00126014"/>
    <w:rsid w:val="0012601B"/>
    <w:rsid w:val="00126384"/>
    <w:rsid w:val="00127350"/>
    <w:rsid w:val="001275B6"/>
    <w:rsid w:val="001300C4"/>
    <w:rsid w:val="00130566"/>
    <w:rsid w:val="00130B21"/>
    <w:rsid w:val="00130C36"/>
    <w:rsid w:val="00130F5A"/>
    <w:rsid w:val="0013104F"/>
    <w:rsid w:val="001314E0"/>
    <w:rsid w:val="0013213C"/>
    <w:rsid w:val="0013229F"/>
    <w:rsid w:val="00132741"/>
    <w:rsid w:val="00132B59"/>
    <w:rsid w:val="00132FA6"/>
    <w:rsid w:val="0013331C"/>
    <w:rsid w:val="0013355D"/>
    <w:rsid w:val="00133B69"/>
    <w:rsid w:val="00133F5A"/>
    <w:rsid w:val="00133FE6"/>
    <w:rsid w:val="001342C8"/>
    <w:rsid w:val="00134606"/>
    <w:rsid w:val="00134D88"/>
    <w:rsid w:val="001359E3"/>
    <w:rsid w:val="00135F0E"/>
    <w:rsid w:val="00136077"/>
    <w:rsid w:val="001362D8"/>
    <w:rsid w:val="00136556"/>
    <w:rsid w:val="0013693E"/>
    <w:rsid w:val="00136A92"/>
    <w:rsid w:val="0013711C"/>
    <w:rsid w:val="001375BE"/>
    <w:rsid w:val="00137882"/>
    <w:rsid w:val="00137D6E"/>
    <w:rsid w:val="001405B6"/>
    <w:rsid w:val="001406DD"/>
    <w:rsid w:val="001407BB"/>
    <w:rsid w:val="00140924"/>
    <w:rsid w:val="001409B4"/>
    <w:rsid w:val="00140DFC"/>
    <w:rsid w:val="0014103D"/>
    <w:rsid w:val="00141044"/>
    <w:rsid w:val="0014112B"/>
    <w:rsid w:val="0014179A"/>
    <w:rsid w:val="001418E8"/>
    <w:rsid w:val="00142FE0"/>
    <w:rsid w:val="0014315C"/>
    <w:rsid w:val="001436BE"/>
    <w:rsid w:val="00143B2E"/>
    <w:rsid w:val="0014409A"/>
    <w:rsid w:val="001448BF"/>
    <w:rsid w:val="001450F2"/>
    <w:rsid w:val="0014513B"/>
    <w:rsid w:val="00145255"/>
    <w:rsid w:val="001453E0"/>
    <w:rsid w:val="001455AF"/>
    <w:rsid w:val="00146108"/>
    <w:rsid w:val="0014613A"/>
    <w:rsid w:val="00146947"/>
    <w:rsid w:val="00146BEF"/>
    <w:rsid w:val="001470F8"/>
    <w:rsid w:val="00147AE9"/>
    <w:rsid w:val="00147C35"/>
    <w:rsid w:val="00147CB2"/>
    <w:rsid w:val="001501F1"/>
    <w:rsid w:val="0015074D"/>
    <w:rsid w:val="00150A16"/>
    <w:rsid w:val="00150B31"/>
    <w:rsid w:val="00151104"/>
    <w:rsid w:val="001511C4"/>
    <w:rsid w:val="001513DE"/>
    <w:rsid w:val="001526C8"/>
    <w:rsid w:val="00152978"/>
    <w:rsid w:val="00152E09"/>
    <w:rsid w:val="00153BB4"/>
    <w:rsid w:val="001553A8"/>
    <w:rsid w:val="0015553B"/>
    <w:rsid w:val="00155ABB"/>
    <w:rsid w:val="00156867"/>
    <w:rsid w:val="00156E64"/>
    <w:rsid w:val="00157B96"/>
    <w:rsid w:val="00157B9B"/>
    <w:rsid w:val="00157DAB"/>
    <w:rsid w:val="00160265"/>
    <w:rsid w:val="001604DB"/>
    <w:rsid w:val="00160E40"/>
    <w:rsid w:val="00161581"/>
    <w:rsid w:val="001616F1"/>
    <w:rsid w:val="001618A2"/>
    <w:rsid w:val="001629C5"/>
    <w:rsid w:val="00162BF0"/>
    <w:rsid w:val="001630DE"/>
    <w:rsid w:val="001633DA"/>
    <w:rsid w:val="0016384C"/>
    <w:rsid w:val="00163B6C"/>
    <w:rsid w:val="00164253"/>
    <w:rsid w:val="00164447"/>
    <w:rsid w:val="00164451"/>
    <w:rsid w:val="00164A69"/>
    <w:rsid w:val="00164B1D"/>
    <w:rsid w:val="00164C69"/>
    <w:rsid w:val="00164EF8"/>
    <w:rsid w:val="00165346"/>
    <w:rsid w:val="00165A2E"/>
    <w:rsid w:val="00165E92"/>
    <w:rsid w:val="0016611A"/>
    <w:rsid w:val="00166697"/>
    <w:rsid w:val="0016670A"/>
    <w:rsid w:val="00166AF3"/>
    <w:rsid w:val="0016715E"/>
    <w:rsid w:val="00167760"/>
    <w:rsid w:val="00167CCA"/>
    <w:rsid w:val="00170079"/>
    <w:rsid w:val="001706BB"/>
    <w:rsid w:val="00170B4E"/>
    <w:rsid w:val="0017146F"/>
    <w:rsid w:val="00171739"/>
    <w:rsid w:val="00171CA4"/>
    <w:rsid w:val="00171EF3"/>
    <w:rsid w:val="00172A65"/>
    <w:rsid w:val="00172B64"/>
    <w:rsid w:val="00172CC5"/>
    <w:rsid w:val="00172D8B"/>
    <w:rsid w:val="00173996"/>
    <w:rsid w:val="0017399F"/>
    <w:rsid w:val="001739A6"/>
    <w:rsid w:val="001741E7"/>
    <w:rsid w:val="00174E6B"/>
    <w:rsid w:val="0017589E"/>
    <w:rsid w:val="00175A37"/>
    <w:rsid w:val="0017625A"/>
    <w:rsid w:val="00176CEE"/>
    <w:rsid w:val="00176DD6"/>
    <w:rsid w:val="00176DE5"/>
    <w:rsid w:val="00176F8A"/>
    <w:rsid w:val="00176F9C"/>
    <w:rsid w:val="0018046E"/>
    <w:rsid w:val="001805EC"/>
    <w:rsid w:val="001814FA"/>
    <w:rsid w:val="0018172A"/>
    <w:rsid w:val="00182644"/>
    <w:rsid w:val="00182912"/>
    <w:rsid w:val="001836BF"/>
    <w:rsid w:val="001837AB"/>
    <w:rsid w:val="00183842"/>
    <w:rsid w:val="001838E6"/>
    <w:rsid w:val="00183CB4"/>
    <w:rsid w:val="0018408C"/>
    <w:rsid w:val="00184260"/>
    <w:rsid w:val="00184930"/>
    <w:rsid w:val="001849D8"/>
    <w:rsid w:val="0018510D"/>
    <w:rsid w:val="001855A5"/>
    <w:rsid w:val="00185739"/>
    <w:rsid w:val="001862A9"/>
    <w:rsid w:val="001863A9"/>
    <w:rsid w:val="00186A82"/>
    <w:rsid w:val="00186E41"/>
    <w:rsid w:val="001872ED"/>
    <w:rsid w:val="00187448"/>
    <w:rsid w:val="00187614"/>
    <w:rsid w:val="00187B2F"/>
    <w:rsid w:val="00187F26"/>
    <w:rsid w:val="001901CA"/>
    <w:rsid w:val="00190A6A"/>
    <w:rsid w:val="00190DB7"/>
    <w:rsid w:val="001914F2"/>
    <w:rsid w:val="00191C74"/>
    <w:rsid w:val="00191C9C"/>
    <w:rsid w:val="00191F09"/>
    <w:rsid w:val="00192689"/>
    <w:rsid w:val="001929A8"/>
    <w:rsid w:val="001932C9"/>
    <w:rsid w:val="00194513"/>
    <w:rsid w:val="00194912"/>
    <w:rsid w:val="00194DC1"/>
    <w:rsid w:val="00195B0F"/>
    <w:rsid w:val="00196922"/>
    <w:rsid w:val="00196CF8"/>
    <w:rsid w:val="00196E3F"/>
    <w:rsid w:val="0019710A"/>
    <w:rsid w:val="00197491"/>
    <w:rsid w:val="00197589"/>
    <w:rsid w:val="0019795E"/>
    <w:rsid w:val="00197979"/>
    <w:rsid w:val="001A0324"/>
    <w:rsid w:val="001A172F"/>
    <w:rsid w:val="001A3014"/>
    <w:rsid w:val="001A3C60"/>
    <w:rsid w:val="001A3E61"/>
    <w:rsid w:val="001A3EEA"/>
    <w:rsid w:val="001A46E7"/>
    <w:rsid w:val="001A49EE"/>
    <w:rsid w:val="001A4C9D"/>
    <w:rsid w:val="001A4E09"/>
    <w:rsid w:val="001A50E5"/>
    <w:rsid w:val="001A5430"/>
    <w:rsid w:val="001A5ECB"/>
    <w:rsid w:val="001A6393"/>
    <w:rsid w:val="001A6479"/>
    <w:rsid w:val="001A788A"/>
    <w:rsid w:val="001A7909"/>
    <w:rsid w:val="001A7977"/>
    <w:rsid w:val="001A7EB5"/>
    <w:rsid w:val="001B0A67"/>
    <w:rsid w:val="001B0E33"/>
    <w:rsid w:val="001B1080"/>
    <w:rsid w:val="001B115A"/>
    <w:rsid w:val="001B1654"/>
    <w:rsid w:val="001B1AD7"/>
    <w:rsid w:val="001B228C"/>
    <w:rsid w:val="001B236E"/>
    <w:rsid w:val="001B279A"/>
    <w:rsid w:val="001B30B5"/>
    <w:rsid w:val="001B316A"/>
    <w:rsid w:val="001B35A4"/>
    <w:rsid w:val="001B377A"/>
    <w:rsid w:val="001B42AB"/>
    <w:rsid w:val="001B43AA"/>
    <w:rsid w:val="001B44BE"/>
    <w:rsid w:val="001B4929"/>
    <w:rsid w:val="001B4F49"/>
    <w:rsid w:val="001B5058"/>
    <w:rsid w:val="001B54EC"/>
    <w:rsid w:val="001B5526"/>
    <w:rsid w:val="001B5AED"/>
    <w:rsid w:val="001B6A2F"/>
    <w:rsid w:val="001B735D"/>
    <w:rsid w:val="001B7FAB"/>
    <w:rsid w:val="001C035E"/>
    <w:rsid w:val="001C08F5"/>
    <w:rsid w:val="001C0A30"/>
    <w:rsid w:val="001C0DBE"/>
    <w:rsid w:val="001C1B8B"/>
    <w:rsid w:val="001C2385"/>
    <w:rsid w:val="001C2488"/>
    <w:rsid w:val="001C2AD1"/>
    <w:rsid w:val="001C32D3"/>
    <w:rsid w:val="001C3348"/>
    <w:rsid w:val="001C3C06"/>
    <w:rsid w:val="001C3F3B"/>
    <w:rsid w:val="001C4363"/>
    <w:rsid w:val="001C4BAE"/>
    <w:rsid w:val="001C4C9B"/>
    <w:rsid w:val="001C4D1B"/>
    <w:rsid w:val="001C4DD8"/>
    <w:rsid w:val="001C4F3B"/>
    <w:rsid w:val="001C55AE"/>
    <w:rsid w:val="001C56BA"/>
    <w:rsid w:val="001C5908"/>
    <w:rsid w:val="001C6560"/>
    <w:rsid w:val="001C6C50"/>
    <w:rsid w:val="001C743F"/>
    <w:rsid w:val="001C74EF"/>
    <w:rsid w:val="001C783D"/>
    <w:rsid w:val="001D007C"/>
    <w:rsid w:val="001D015D"/>
    <w:rsid w:val="001D0336"/>
    <w:rsid w:val="001D0B43"/>
    <w:rsid w:val="001D0D3F"/>
    <w:rsid w:val="001D1161"/>
    <w:rsid w:val="001D21C4"/>
    <w:rsid w:val="001D2292"/>
    <w:rsid w:val="001D2E65"/>
    <w:rsid w:val="001D2E80"/>
    <w:rsid w:val="001D367C"/>
    <w:rsid w:val="001D3B60"/>
    <w:rsid w:val="001D3DF1"/>
    <w:rsid w:val="001D49A9"/>
    <w:rsid w:val="001D4C5A"/>
    <w:rsid w:val="001D4E3F"/>
    <w:rsid w:val="001D51F9"/>
    <w:rsid w:val="001D5214"/>
    <w:rsid w:val="001D523F"/>
    <w:rsid w:val="001D5A39"/>
    <w:rsid w:val="001D5D93"/>
    <w:rsid w:val="001D5F1C"/>
    <w:rsid w:val="001D666B"/>
    <w:rsid w:val="001D67A4"/>
    <w:rsid w:val="001D67DF"/>
    <w:rsid w:val="001D6812"/>
    <w:rsid w:val="001D6874"/>
    <w:rsid w:val="001D7432"/>
    <w:rsid w:val="001D790D"/>
    <w:rsid w:val="001E0407"/>
    <w:rsid w:val="001E04E8"/>
    <w:rsid w:val="001E1098"/>
    <w:rsid w:val="001E153D"/>
    <w:rsid w:val="001E17C2"/>
    <w:rsid w:val="001E1D50"/>
    <w:rsid w:val="001E2A10"/>
    <w:rsid w:val="001E2B8E"/>
    <w:rsid w:val="001E2F0B"/>
    <w:rsid w:val="001E2F6F"/>
    <w:rsid w:val="001E3483"/>
    <w:rsid w:val="001E37A6"/>
    <w:rsid w:val="001E3876"/>
    <w:rsid w:val="001E424B"/>
    <w:rsid w:val="001E4A6B"/>
    <w:rsid w:val="001E4DA2"/>
    <w:rsid w:val="001E4DD3"/>
    <w:rsid w:val="001E5172"/>
    <w:rsid w:val="001E5540"/>
    <w:rsid w:val="001E59D0"/>
    <w:rsid w:val="001E6C27"/>
    <w:rsid w:val="001E702B"/>
    <w:rsid w:val="001E72E6"/>
    <w:rsid w:val="001F0367"/>
    <w:rsid w:val="001F042C"/>
    <w:rsid w:val="001F1B65"/>
    <w:rsid w:val="001F2125"/>
    <w:rsid w:val="001F24B8"/>
    <w:rsid w:val="001F3A22"/>
    <w:rsid w:val="001F3A28"/>
    <w:rsid w:val="001F3E1A"/>
    <w:rsid w:val="001F40B2"/>
    <w:rsid w:val="001F44B3"/>
    <w:rsid w:val="001F4E67"/>
    <w:rsid w:val="001F540F"/>
    <w:rsid w:val="001F55AD"/>
    <w:rsid w:val="001F5B0C"/>
    <w:rsid w:val="001F6122"/>
    <w:rsid w:val="001F6155"/>
    <w:rsid w:val="001F628F"/>
    <w:rsid w:val="001F6315"/>
    <w:rsid w:val="001F647C"/>
    <w:rsid w:val="001F6B11"/>
    <w:rsid w:val="001F7B0A"/>
    <w:rsid w:val="001F7C5B"/>
    <w:rsid w:val="00200EB6"/>
    <w:rsid w:val="00200ECC"/>
    <w:rsid w:val="00201C4A"/>
    <w:rsid w:val="00202299"/>
    <w:rsid w:val="002023D5"/>
    <w:rsid w:val="002024D3"/>
    <w:rsid w:val="002026C1"/>
    <w:rsid w:val="002028A9"/>
    <w:rsid w:val="0020319B"/>
    <w:rsid w:val="002033D7"/>
    <w:rsid w:val="002033DA"/>
    <w:rsid w:val="00203CFD"/>
    <w:rsid w:val="00203EE2"/>
    <w:rsid w:val="00203EEA"/>
    <w:rsid w:val="00204285"/>
    <w:rsid w:val="002046E8"/>
    <w:rsid w:val="00204B8B"/>
    <w:rsid w:val="00204E87"/>
    <w:rsid w:val="00205658"/>
    <w:rsid w:val="00205933"/>
    <w:rsid w:val="00205D3A"/>
    <w:rsid w:val="00205F77"/>
    <w:rsid w:val="00206D67"/>
    <w:rsid w:val="00206DDC"/>
    <w:rsid w:val="0020754F"/>
    <w:rsid w:val="00207721"/>
    <w:rsid w:val="00207895"/>
    <w:rsid w:val="002100F6"/>
    <w:rsid w:val="00210290"/>
    <w:rsid w:val="002104A9"/>
    <w:rsid w:val="00210D41"/>
    <w:rsid w:val="00210EEE"/>
    <w:rsid w:val="00210FC7"/>
    <w:rsid w:val="00211B1B"/>
    <w:rsid w:val="0021238B"/>
    <w:rsid w:val="00212457"/>
    <w:rsid w:val="0021263A"/>
    <w:rsid w:val="00213221"/>
    <w:rsid w:val="002132D4"/>
    <w:rsid w:val="0021332D"/>
    <w:rsid w:val="00214990"/>
    <w:rsid w:val="00215963"/>
    <w:rsid w:val="00215ED2"/>
    <w:rsid w:val="00216277"/>
    <w:rsid w:val="0021654C"/>
    <w:rsid w:val="00220513"/>
    <w:rsid w:val="002206C0"/>
    <w:rsid w:val="00220728"/>
    <w:rsid w:val="0022084F"/>
    <w:rsid w:val="00220BE6"/>
    <w:rsid w:val="00220F21"/>
    <w:rsid w:val="00221160"/>
    <w:rsid w:val="002212FE"/>
    <w:rsid w:val="00222122"/>
    <w:rsid w:val="002226FF"/>
    <w:rsid w:val="00222C90"/>
    <w:rsid w:val="0022362D"/>
    <w:rsid w:val="00223A89"/>
    <w:rsid w:val="0022403A"/>
    <w:rsid w:val="00224E80"/>
    <w:rsid w:val="002250C0"/>
    <w:rsid w:val="00225D69"/>
    <w:rsid w:val="00226270"/>
    <w:rsid w:val="002265B2"/>
    <w:rsid w:val="00226652"/>
    <w:rsid w:val="002266EC"/>
    <w:rsid w:val="00226840"/>
    <w:rsid w:val="00226987"/>
    <w:rsid w:val="00226B9E"/>
    <w:rsid w:val="00226EC1"/>
    <w:rsid w:val="002273C0"/>
    <w:rsid w:val="00227874"/>
    <w:rsid w:val="00227AFC"/>
    <w:rsid w:val="00227CD5"/>
    <w:rsid w:val="0023041B"/>
    <w:rsid w:val="002308B8"/>
    <w:rsid w:val="00231321"/>
    <w:rsid w:val="002313D8"/>
    <w:rsid w:val="00231A9F"/>
    <w:rsid w:val="00231F09"/>
    <w:rsid w:val="002320D1"/>
    <w:rsid w:val="0023252B"/>
    <w:rsid w:val="00232836"/>
    <w:rsid w:val="00232AC0"/>
    <w:rsid w:val="00232AC4"/>
    <w:rsid w:val="00232AD8"/>
    <w:rsid w:val="00232C60"/>
    <w:rsid w:val="002335EE"/>
    <w:rsid w:val="002337CD"/>
    <w:rsid w:val="00233EAB"/>
    <w:rsid w:val="00234632"/>
    <w:rsid w:val="002346BD"/>
    <w:rsid w:val="00234D78"/>
    <w:rsid w:val="00235061"/>
    <w:rsid w:val="0023513F"/>
    <w:rsid w:val="00235E3E"/>
    <w:rsid w:val="00236433"/>
    <w:rsid w:val="00236609"/>
    <w:rsid w:val="002372D0"/>
    <w:rsid w:val="002373C2"/>
    <w:rsid w:val="00237513"/>
    <w:rsid w:val="002378F0"/>
    <w:rsid w:val="00237A9D"/>
    <w:rsid w:val="00237B7C"/>
    <w:rsid w:val="00240371"/>
    <w:rsid w:val="002405F5"/>
    <w:rsid w:val="002408DA"/>
    <w:rsid w:val="00241D15"/>
    <w:rsid w:val="00242078"/>
    <w:rsid w:val="00242F69"/>
    <w:rsid w:val="00243552"/>
    <w:rsid w:val="002436A7"/>
    <w:rsid w:val="00243A66"/>
    <w:rsid w:val="00243AB2"/>
    <w:rsid w:val="00243D26"/>
    <w:rsid w:val="00244042"/>
    <w:rsid w:val="00244527"/>
    <w:rsid w:val="00244B31"/>
    <w:rsid w:val="00244CE1"/>
    <w:rsid w:val="00244D7F"/>
    <w:rsid w:val="00244F3C"/>
    <w:rsid w:val="0024519B"/>
    <w:rsid w:val="002452CF"/>
    <w:rsid w:val="00245879"/>
    <w:rsid w:val="00245BFB"/>
    <w:rsid w:val="00245EE6"/>
    <w:rsid w:val="002461B6"/>
    <w:rsid w:val="002468F1"/>
    <w:rsid w:val="00246CD8"/>
    <w:rsid w:val="002470DF"/>
    <w:rsid w:val="002471D5"/>
    <w:rsid w:val="002500D4"/>
    <w:rsid w:val="00250532"/>
    <w:rsid w:val="00250789"/>
    <w:rsid w:val="00250DF3"/>
    <w:rsid w:val="00250F13"/>
    <w:rsid w:val="0025167B"/>
    <w:rsid w:val="002516A5"/>
    <w:rsid w:val="0025189B"/>
    <w:rsid w:val="00251D1B"/>
    <w:rsid w:val="002520F5"/>
    <w:rsid w:val="0025228E"/>
    <w:rsid w:val="0025255A"/>
    <w:rsid w:val="002529F0"/>
    <w:rsid w:val="002540EB"/>
    <w:rsid w:val="00254A17"/>
    <w:rsid w:val="00254A25"/>
    <w:rsid w:val="00254F62"/>
    <w:rsid w:val="002552ED"/>
    <w:rsid w:val="00255588"/>
    <w:rsid w:val="002557BB"/>
    <w:rsid w:val="002557D1"/>
    <w:rsid w:val="00255DE7"/>
    <w:rsid w:val="00255F44"/>
    <w:rsid w:val="00256157"/>
    <w:rsid w:val="0025630A"/>
    <w:rsid w:val="00256736"/>
    <w:rsid w:val="00256909"/>
    <w:rsid w:val="00257C9F"/>
    <w:rsid w:val="0026010D"/>
    <w:rsid w:val="0026077E"/>
    <w:rsid w:val="00260C84"/>
    <w:rsid w:val="00260E00"/>
    <w:rsid w:val="00261423"/>
    <w:rsid w:val="0026181E"/>
    <w:rsid w:val="00261DC8"/>
    <w:rsid w:val="00262221"/>
    <w:rsid w:val="00262268"/>
    <w:rsid w:val="002625BA"/>
    <w:rsid w:val="00262B2F"/>
    <w:rsid w:val="00262B3C"/>
    <w:rsid w:val="002638BB"/>
    <w:rsid w:val="00263BC8"/>
    <w:rsid w:val="00263DD4"/>
    <w:rsid w:val="00264158"/>
    <w:rsid w:val="002646B8"/>
    <w:rsid w:val="00264A0C"/>
    <w:rsid w:val="00264A52"/>
    <w:rsid w:val="00264BD4"/>
    <w:rsid w:val="00264DC0"/>
    <w:rsid w:val="00264EC9"/>
    <w:rsid w:val="00264FE1"/>
    <w:rsid w:val="002654F8"/>
    <w:rsid w:val="00265B4D"/>
    <w:rsid w:val="00265D09"/>
    <w:rsid w:val="00266E69"/>
    <w:rsid w:val="00267082"/>
    <w:rsid w:val="0026715D"/>
    <w:rsid w:val="00267CA6"/>
    <w:rsid w:val="002705B8"/>
    <w:rsid w:val="002717E1"/>
    <w:rsid w:val="0027189A"/>
    <w:rsid w:val="002723A7"/>
    <w:rsid w:val="00272899"/>
    <w:rsid w:val="00272B36"/>
    <w:rsid w:val="002732A2"/>
    <w:rsid w:val="002733C0"/>
    <w:rsid w:val="00273511"/>
    <w:rsid w:val="002739B9"/>
    <w:rsid w:val="002744C4"/>
    <w:rsid w:val="00274ABC"/>
    <w:rsid w:val="0027557C"/>
    <w:rsid w:val="0027581C"/>
    <w:rsid w:val="00275A73"/>
    <w:rsid w:val="002762B2"/>
    <w:rsid w:val="002763A2"/>
    <w:rsid w:val="00276692"/>
    <w:rsid w:val="00276F3A"/>
    <w:rsid w:val="00280650"/>
    <w:rsid w:val="00281135"/>
    <w:rsid w:val="00281176"/>
    <w:rsid w:val="00281471"/>
    <w:rsid w:val="00281A2C"/>
    <w:rsid w:val="00281F7C"/>
    <w:rsid w:val="00282167"/>
    <w:rsid w:val="002827DA"/>
    <w:rsid w:val="00282ABA"/>
    <w:rsid w:val="0028317B"/>
    <w:rsid w:val="0028320B"/>
    <w:rsid w:val="00283B62"/>
    <w:rsid w:val="00283F9E"/>
    <w:rsid w:val="0028451D"/>
    <w:rsid w:val="00284726"/>
    <w:rsid w:val="00285753"/>
    <w:rsid w:val="00285E10"/>
    <w:rsid w:val="00287236"/>
    <w:rsid w:val="00287292"/>
    <w:rsid w:val="002877F4"/>
    <w:rsid w:val="00287B69"/>
    <w:rsid w:val="00287CE3"/>
    <w:rsid w:val="0029060D"/>
    <w:rsid w:val="002906A6"/>
    <w:rsid w:val="00290923"/>
    <w:rsid w:val="00290AD3"/>
    <w:rsid w:val="00290E80"/>
    <w:rsid w:val="00290EF3"/>
    <w:rsid w:val="00290FEC"/>
    <w:rsid w:val="0029176E"/>
    <w:rsid w:val="00291802"/>
    <w:rsid w:val="00291AEC"/>
    <w:rsid w:val="00292F2E"/>
    <w:rsid w:val="002937F3"/>
    <w:rsid w:val="002955E1"/>
    <w:rsid w:val="00295911"/>
    <w:rsid w:val="00295C8F"/>
    <w:rsid w:val="00295FD1"/>
    <w:rsid w:val="00296121"/>
    <w:rsid w:val="00296122"/>
    <w:rsid w:val="0029623E"/>
    <w:rsid w:val="00296497"/>
    <w:rsid w:val="002967B3"/>
    <w:rsid w:val="0029724F"/>
    <w:rsid w:val="002974F9"/>
    <w:rsid w:val="00297693"/>
    <w:rsid w:val="00297862"/>
    <w:rsid w:val="00297ADD"/>
    <w:rsid w:val="002A0927"/>
    <w:rsid w:val="002A1511"/>
    <w:rsid w:val="002A19C8"/>
    <w:rsid w:val="002A2768"/>
    <w:rsid w:val="002A2AFE"/>
    <w:rsid w:val="002A2B1F"/>
    <w:rsid w:val="002A2EB4"/>
    <w:rsid w:val="002A3146"/>
    <w:rsid w:val="002A3A22"/>
    <w:rsid w:val="002A3E68"/>
    <w:rsid w:val="002A3FDC"/>
    <w:rsid w:val="002A45D8"/>
    <w:rsid w:val="002A478C"/>
    <w:rsid w:val="002A4B5D"/>
    <w:rsid w:val="002A50A6"/>
    <w:rsid w:val="002A519F"/>
    <w:rsid w:val="002A5A35"/>
    <w:rsid w:val="002A5BF9"/>
    <w:rsid w:val="002A5CA4"/>
    <w:rsid w:val="002A6056"/>
    <w:rsid w:val="002A622A"/>
    <w:rsid w:val="002A692A"/>
    <w:rsid w:val="002A6FFF"/>
    <w:rsid w:val="002A7A64"/>
    <w:rsid w:val="002A7F47"/>
    <w:rsid w:val="002B0EB1"/>
    <w:rsid w:val="002B1231"/>
    <w:rsid w:val="002B1334"/>
    <w:rsid w:val="002B183E"/>
    <w:rsid w:val="002B20A4"/>
    <w:rsid w:val="002B22BE"/>
    <w:rsid w:val="002B2BEF"/>
    <w:rsid w:val="002B2E59"/>
    <w:rsid w:val="002B5506"/>
    <w:rsid w:val="002B5B2C"/>
    <w:rsid w:val="002B5D33"/>
    <w:rsid w:val="002B5D63"/>
    <w:rsid w:val="002B5E2D"/>
    <w:rsid w:val="002B6035"/>
    <w:rsid w:val="002B60A5"/>
    <w:rsid w:val="002B6995"/>
    <w:rsid w:val="002B6EAC"/>
    <w:rsid w:val="002B7065"/>
    <w:rsid w:val="002B771B"/>
    <w:rsid w:val="002B7A9A"/>
    <w:rsid w:val="002B7DA3"/>
    <w:rsid w:val="002C076A"/>
    <w:rsid w:val="002C077C"/>
    <w:rsid w:val="002C096D"/>
    <w:rsid w:val="002C0CD3"/>
    <w:rsid w:val="002C0E32"/>
    <w:rsid w:val="002C0F51"/>
    <w:rsid w:val="002C20F2"/>
    <w:rsid w:val="002C23E7"/>
    <w:rsid w:val="002C2565"/>
    <w:rsid w:val="002C46CF"/>
    <w:rsid w:val="002C4B00"/>
    <w:rsid w:val="002C4C5E"/>
    <w:rsid w:val="002C4CCE"/>
    <w:rsid w:val="002C6F16"/>
    <w:rsid w:val="002C6F3B"/>
    <w:rsid w:val="002C7362"/>
    <w:rsid w:val="002C7C5C"/>
    <w:rsid w:val="002C7E0E"/>
    <w:rsid w:val="002D01EF"/>
    <w:rsid w:val="002D0795"/>
    <w:rsid w:val="002D08CE"/>
    <w:rsid w:val="002D0B91"/>
    <w:rsid w:val="002D0FF4"/>
    <w:rsid w:val="002D15F0"/>
    <w:rsid w:val="002D1A1E"/>
    <w:rsid w:val="002D1BB3"/>
    <w:rsid w:val="002D2651"/>
    <w:rsid w:val="002D267D"/>
    <w:rsid w:val="002D2758"/>
    <w:rsid w:val="002D3BCF"/>
    <w:rsid w:val="002D3F4A"/>
    <w:rsid w:val="002D4D75"/>
    <w:rsid w:val="002D546F"/>
    <w:rsid w:val="002D6520"/>
    <w:rsid w:val="002D6806"/>
    <w:rsid w:val="002D6D1A"/>
    <w:rsid w:val="002D6F36"/>
    <w:rsid w:val="002D70FE"/>
    <w:rsid w:val="002D7C71"/>
    <w:rsid w:val="002D7E14"/>
    <w:rsid w:val="002D7F96"/>
    <w:rsid w:val="002E0BEE"/>
    <w:rsid w:val="002E0C56"/>
    <w:rsid w:val="002E142B"/>
    <w:rsid w:val="002E205A"/>
    <w:rsid w:val="002E2995"/>
    <w:rsid w:val="002E315C"/>
    <w:rsid w:val="002E389B"/>
    <w:rsid w:val="002E38A9"/>
    <w:rsid w:val="002E3EC0"/>
    <w:rsid w:val="002E446C"/>
    <w:rsid w:val="002E4D2F"/>
    <w:rsid w:val="002E4F65"/>
    <w:rsid w:val="002E51FC"/>
    <w:rsid w:val="002E567D"/>
    <w:rsid w:val="002E5765"/>
    <w:rsid w:val="002E5B85"/>
    <w:rsid w:val="002E61D6"/>
    <w:rsid w:val="002E6B53"/>
    <w:rsid w:val="002E6B9A"/>
    <w:rsid w:val="002E7AFB"/>
    <w:rsid w:val="002E7E9B"/>
    <w:rsid w:val="002F03B1"/>
    <w:rsid w:val="002F0E92"/>
    <w:rsid w:val="002F123C"/>
    <w:rsid w:val="002F1599"/>
    <w:rsid w:val="002F1B80"/>
    <w:rsid w:val="002F2210"/>
    <w:rsid w:val="002F286F"/>
    <w:rsid w:val="002F28ED"/>
    <w:rsid w:val="002F2E49"/>
    <w:rsid w:val="002F2EA1"/>
    <w:rsid w:val="002F3B72"/>
    <w:rsid w:val="002F3BFD"/>
    <w:rsid w:val="002F3E9C"/>
    <w:rsid w:val="002F404C"/>
    <w:rsid w:val="002F43C6"/>
    <w:rsid w:val="002F5741"/>
    <w:rsid w:val="002F58A8"/>
    <w:rsid w:val="002F6059"/>
    <w:rsid w:val="002F69E0"/>
    <w:rsid w:val="002F6AAC"/>
    <w:rsid w:val="002F7055"/>
    <w:rsid w:val="002F7267"/>
    <w:rsid w:val="002F7336"/>
    <w:rsid w:val="002F78EE"/>
    <w:rsid w:val="002F7DAC"/>
    <w:rsid w:val="0030004E"/>
    <w:rsid w:val="0030048D"/>
    <w:rsid w:val="003005CC"/>
    <w:rsid w:val="0030064E"/>
    <w:rsid w:val="00300CAB"/>
    <w:rsid w:val="00300E83"/>
    <w:rsid w:val="0030128F"/>
    <w:rsid w:val="003015FB"/>
    <w:rsid w:val="00301601"/>
    <w:rsid w:val="003019EE"/>
    <w:rsid w:val="00301CC5"/>
    <w:rsid w:val="00301F9F"/>
    <w:rsid w:val="00301FDF"/>
    <w:rsid w:val="00302220"/>
    <w:rsid w:val="00302A33"/>
    <w:rsid w:val="00302C24"/>
    <w:rsid w:val="0030341A"/>
    <w:rsid w:val="00303C26"/>
    <w:rsid w:val="00303C41"/>
    <w:rsid w:val="00304019"/>
    <w:rsid w:val="003046BE"/>
    <w:rsid w:val="00304925"/>
    <w:rsid w:val="00305132"/>
    <w:rsid w:val="00305379"/>
    <w:rsid w:val="003055D8"/>
    <w:rsid w:val="003057A9"/>
    <w:rsid w:val="003061D9"/>
    <w:rsid w:val="00306257"/>
    <w:rsid w:val="00306704"/>
    <w:rsid w:val="00306D91"/>
    <w:rsid w:val="0030744B"/>
    <w:rsid w:val="00307B49"/>
    <w:rsid w:val="00307C11"/>
    <w:rsid w:val="00307EB3"/>
    <w:rsid w:val="00307F97"/>
    <w:rsid w:val="0031077D"/>
    <w:rsid w:val="00310FB4"/>
    <w:rsid w:val="003110A4"/>
    <w:rsid w:val="00311856"/>
    <w:rsid w:val="00311AAC"/>
    <w:rsid w:val="0031287E"/>
    <w:rsid w:val="00312EB8"/>
    <w:rsid w:val="00312F41"/>
    <w:rsid w:val="003135CB"/>
    <w:rsid w:val="00313694"/>
    <w:rsid w:val="00313750"/>
    <w:rsid w:val="003137F2"/>
    <w:rsid w:val="00313A62"/>
    <w:rsid w:val="0031408F"/>
    <w:rsid w:val="003142B3"/>
    <w:rsid w:val="0031487F"/>
    <w:rsid w:val="00315032"/>
    <w:rsid w:val="00315657"/>
    <w:rsid w:val="00315832"/>
    <w:rsid w:val="00315B61"/>
    <w:rsid w:val="003165DE"/>
    <w:rsid w:val="00316CB3"/>
    <w:rsid w:val="003170D6"/>
    <w:rsid w:val="00317225"/>
    <w:rsid w:val="00317660"/>
    <w:rsid w:val="003177D2"/>
    <w:rsid w:val="0032027A"/>
    <w:rsid w:val="00320CD6"/>
    <w:rsid w:val="00321035"/>
    <w:rsid w:val="00321675"/>
    <w:rsid w:val="00321FBE"/>
    <w:rsid w:val="0032262B"/>
    <w:rsid w:val="003227E8"/>
    <w:rsid w:val="00322AFC"/>
    <w:rsid w:val="00322C6A"/>
    <w:rsid w:val="0032330D"/>
    <w:rsid w:val="003237B4"/>
    <w:rsid w:val="0032443A"/>
    <w:rsid w:val="0032454D"/>
    <w:rsid w:val="003246E1"/>
    <w:rsid w:val="0032485E"/>
    <w:rsid w:val="00325227"/>
    <w:rsid w:val="00325789"/>
    <w:rsid w:val="00325B0C"/>
    <w:rsid w:val="00325C59"/>
    <w:rsid w:val="00325FA4"/>
    <w:rsid w:val="003266BE"/>
    <w:rsid w:val="00326A25"/>
    <w:rsid w:val="00326A91"/>
    <w:rsid w:val="00326C2C"/>
    <w:rsid w:val="00326F3B"/>
    <w:rsid w:val="003272D1"/>
    <w:rsid w:val="00327900"/>
    <w:rsid w:val="003279C9"/>
    <w:rsid w:val="00327AAA"/>
    <w:rsid w:val="00327AB5"/>
    <w:rsid w:val="003306CE"/>
    <w:rsid w:val="00330E38"/>
    <w:rsid w:val="00331665"/>
    <w:rsid w:val="00331AC2"/>
    <w:rsid w:val="00331BB9"/>
    <w:rsid w:val="00331BDC"/>
    <w:rsid w:val="00331D82"/>
    <w:rsid w:val="00331FA0"/>
    <w:rsid w:val="003320E1"/>
    <w:rsid w:val="003320F5"/>
    <w:rsid w:val="003323E8"/>
    <w:rsid w:val="00332BBF"/>
    <w:rsid w:val="00332BFF"/>
    <w:rsid w:val="00332F28"/>
    <w:rsid w:val="00333121"/>
    <w:rsid w:val="00333B69"/>
    <w:rsid w:val="00334534"/>
    <w:rsid w:val="00334A29"/>
    <w:rsid w:val="00334B9B"/>
    <w:rsid w:val="00334FC3"/>
    <w:rsid w:val="00335984"/>
    <w:rsid w:val="00336746"/>
    <w:rsid w:val="00336B58"/>
    <w:rsid w:val="00336E71"/>
    <w:rsid w:val="00337352"/>
    <w:rsid w:val="003374E2"/>
    <w:rsid w:val="003376AB"/>
    <w:rsid w:val="003401B7"/>
    <w:rsid w:val="0034086E"/>
    <w:rsid w:val="00340B67"/>
    <w:rsid w:val="00341039"/>
    <w:rsid w:val="00341308"/>
    <w:rsid w:val="00341771"/>
    <w:rsid w:val="0034195E"/>
    <w:rsid w:val="00341B4A"/>
    <w:rsid w:val="00341E76"/>
    <w:rsid w:val="00341E7E"/>
    <w:rsid w:val="00341F90"/>
    <w:rsid w:val="003420B3"/>
    <w:rsid w:val="0034250D"/>
    <w:rsid w:val="00342548"/>
    <w:rsid w:val="00342F23"/>
    <w:rsid w:val="00343276"/>
    <w:rsid w:val="00343FD5"/>
    <w:rsid w:val="003449F7"/>
    <w:rsid w:val="00344E9F"/>
    <w:rsid w:val="00344FE2"/>
    <w:rsid w:val="00345685"/>
    <w:rsid w:val="00345D82"/>
    <w:rsid w:val="00345D84"/>
    <w:rsid w:val="00346443"/>
    <w:rsid w:val="00346C84"/>
    <w:rsid w:val="00347838"/>
    <w:rsid w:val="00347B53"/>
    <w:rsid w:val="00347DC4"/>
    <w:rsid w:val="0035069A"/>
    <w:rsid w:val="00351259"/>
    <w:rsid w:val="00351F22"/>
    <w:rsid w:val="00351FF3"/>
    <w:rsid w:val="003520B7"/>
    <w:rsid w:val="00352F9E"/>
    <w:rsid w:val="00353678"/>
    <w:rsid w:val="0035399E"/>
    <w:rsid w:val="00353CCE"/>
    <w:rsid w:val="003540E0"/>
    <w:rsid w:val="0035445C"/>
    <w:rsid w:val="0035454E"/>
    <w:rsid w:val="00355102"/>
    <w:rsid w:val="003560A4"/>
    <w:rsid w:val="0035653B"/>
    <w:rsid w:val="003568C3"/>
    <w:rsid w:val="00356CCF"/>
    <w:rsid w:val="00356D5B"/>
    <w:rsid w:val="00357364"/>
    <w:rsid w:val="003573D4"/>
    <w:rsid w:val="003577AB"/>
    <w:rsid w:val="00357D42"/>
    <w:rsid w:val="00360533"/>
    <w:rsid w:val="00360952"/>
    <w:rsid w:val="00360FF4"/>
    <w:rsid w:val="003611AA"/>
    <w:rsid w:val="00362B16"/>
    <w:rsid w:val="00362ED2"/>
    <w:rsid w:val="00363354"/>
    <w:rsid w:val="003638F0"/>
    <w:rsid w:val="0036455C"/>
    <w:rsid w:val="00364942"/>
    <w:rsid w:val="00364E0F"/>
    <w:rsid w:val="00364F0D"/>
    <w:rsid w:val="00365745"/>
    <w:rsid w:val="00365BD0"/>
    <w:rsid w:val="00365D34"/>
    <w:rsid w:val="00365F08"/>
    <w:rsid w:val="00366F0D"/>
    <w:rsid w:val="003675F4"/>
    <w:rsid w:val="0036786C"/>
    <w:rsid w:val="00367967"/>
    <w:rsid w:val="00367AFA"/>
    <w:rsid w:val="00367BFF"/>
    <w:rsid w:val="00367F91"/>
    <w:rsid w:val="00370341"/>
    <w:rsid w:val="003703B9"/>
    <w:rsid w:val="003707C0"/>
    <w:rsid w:val="003708A2"/>
    <w:rsid w:val="00371187"/>
    <w:rsid w:val="003713E0"/>
    <w:rsid w:val="00371C20"/>
    <w:rsid w:val="00372946"/>
    <w:rsid w:val="00372AAD"/>
    <w:rsid w:val="003732BD"/>
    <w:rsid w:val="0037332B"/>
    <w:rsid w:val="00373E3F"/>
    <w:rsid w:val="00374655"/>
    <w:rsid w:val="00374C37"/>
    <w:rsid w:val="00374E4C"/>
    <w:rsid w:val="003758C0"/>
    <w:rsid w:val="0037592B"/>
    <w:rsid w:val="00375DE8"/>
    <w:rsid w:val="00375E4B"/>
    <w:rsid w:val="003768E8"/>
    <w:rsid w:val="00376F78"/>
    <w:rsid w:val="003773E4"/>
    <w:rsid w:val="00377407"/>
    <w:rsid w:val="003775F1"/>
    <w:rsid w:val="00380300"/>
    <w:rsid w:val="003804C5"/>
    <w:rsid w:val="00380507"/>
    <w:rsid w:val="003807D8"/>
    <w:rsid w:val="00380B9D"/>
    <w:rsid w:val="00380E89"/>
    <w:rsid w:val="0038114B"/>
    <w:rsid w:val="00381FA2"/>
    <w:rsid w:val="003821D9"/>
    <w:rsid w:val="00382270"/>
    <w:rsid w:val="0038275B"/>
    <w:rsid w:val="00382A99"/>
    <w:rsid w:val="00382C6A"/>
    <w:rsid w:val="00382D93"/>
    <w:rsid w:val="00383048"/>
    <w:rsid w:val="003832A3"/>
    <w:rsid w:val="00383924"/>
    <w:rsid w:val="00384B6D"/>
    <w:rsid w:val="00384CC0"/>
    <w:rsid w:val="0038524A"/>
    <w:rsid w:val="00385E43"/>
    <w:rsid w:val="003869C2"/>
    <w:rsid w:val="00386BE8"/>
    <w:rsid w:val="00386D40"/>
    <w:rsid w:val="0038788E"/>
    <w:rsid w:val="00387BA5"/>
    <w:rsid w:val="0039044C"/>
    <w:rsid w:val="00390C2E"/>
    <w:rsid w:val="003913FA"/>
    <w:rsid w:val="003921E4"/>
    <w:rsid w:val="003924F8"/>
    <w:rsid w:val="0039273B"/>
    <w:rsid w:val="00392C56"/>
    <w:rsid w:val="00393347"/>
    <w:rsid w:val="003934EE"/>
    <w:rsid w:val="00393546"/>
    <w:rsid w:val="003951D2"/>
    <w:rsid w:val="003956C6"/>
    <w:rsid w:val="00395959"/>
    <w:rsid w:val="00395B70"/>
    <w:rsid w:val="00395DDE"/>
    <w:rsid w:val="0039688F"/>
    <w:rsid w:val="00396E8C"/>
    <w:rsid w:val="00397020"/>
    <w:rsid w:val="003970D8"/>
    <w:rsid w:val="00397372"/>
    <w:rsid w:val="003973CA"/>
    <w:rsid w:val="003978A0"/>
    <w:rsid w:val="00397A38"/>
    <w:rsid w:val="00397FEA"/>
    <w:rsid w:val="003A02B7"/>
    <w:rsid w:val="003A089E"/>
    <w:rsid w:val="003A0980"/>
    <w:rsid w:val="003A128C"/>
    <w:rsid w:val="003A15FB"/>
    <w:rsid w:val="003A19BA"/>
    <w:rsid w:val="003A1B83"/>
    <w:rsid w:val="003A20CE"/>
    <w:rsid w:val="003A25AF"/>
    <w:rsid w:val="003A31D2"/>
    <w:rsid w:val="003A3EC6"/>
    <w:rsid w:val="003A4024"/>
    <w:rsid w:val="003A4576"/>
    <w:rsid w:val="003A4750"/>
    <w:rsid w:val="003A4A12"/>
    <w:rsid w:val="003A4FDE"/>
    <w:rsid w:val="003A5597"/>
    <w:rsid w:val="003A5F08"/>
    <w:rsid w:val="003A641D"/>
    <w:rsid w:val="003A6CFC"/>
    <w:rsid w:val="003A72B5"/>
    <w:rsid w:val="003A7A89"/>
    <w:rsid w:val="003A7A90"/>
    <w:rsid w:val="003B0C73"/>
    <w:rsid w:val="003B1A0C"/>
    <w:rsid w:val="003B1DAF"/>
    <w:rsid w:val="003B20F4"/>
    <w:rsid w:val="003B243F"/>
    <w:rsid w:val="003B2A67"/>
    <w:rsid w:val="003B38A6"/>
    <w:rsid w:val="003B393B"/>
    <w:rsid w:val="003B4074"/>
    <w:rsid w:val="003B4DFA"/>
    <w:rsid w:val="003B524E"/>
    <w:rsid w:val="003B5CC8"/>
    <w:rsid w:val="003B5FF0"/>
    <w:rsid w:val="003B6210"/>
    <w:rsid w:val="003B753B"/>
    <w:rsid w:val="003B7913"/>
    <w:rsid w:val="003B7FEC"/>
    <w:rsid w:val="003C070C"/>
    <w:rsid w:val="003C0CB1"/>
    <w:rsid w:val="003C0D88"/>
    <w:rsid w:val="003C1484"/>
    <w:rsid w:val="003C2156"/>
    <w:rsid w:val="003C23B4"/>
    <w:rsid w:val="003C24EC"/>
    <w:rsid w:val="003C2E79"/>
    <w:rsid w:val="003C3827"/>
    <w:rsid w:val="003C39DA"/>
    <w:rsid w:val="003C3D37"/>
    <w:rsid w:val="003C3E51"/>
    <w:rsid w:val="003C4438"/>
    <w:rsid w:val="003C4D71"/>
    <w:rsid w:val="003C5E4B"/>
    <w:rsid w:val="003C6361"/>
    <w:rsid w:val="003C6474"/>
    <w:rsid w:val="003C7353"/>
    <w:rsid w:val="003C790A"/>
    <w:rsid w:val="003C7CE1"/>
    <w:rsid w:val="003C7F75"/>
    <w:rsid w:val="003D012F"/>
    <w:rsid w:val="003D0326"/>
    <w:rsid w:val="003D07AB"/>
    <w:rsid w:val="003D0A9F"/>
    <w:rsid w:val="003D0AE1"/>
    <w:rsid w:val="003D11FA"/>
    <w:rsid w:val="003D126B"/>
    <w:rsid w:val="003D146B"/>
    <w:rsid w:val="003D1A54"/>
    <w:rsid w:val="003D2FEC"/>
    <w:rsid w:val="003D3604"/>
    <w:rsid w:val="003D396F"/>
    <w:rsid w:val="003D39EA"/>
    <w:rsid w:val="003D3E22"/>
    <w:rsid w:val="003D4668"/>
    <w:rsid w:val="003D48E2"/>
    <w:rsid w:val="003D5551"/>
    <w:rsid w:val="003D5674"/>
    <w:rsid w:val="003D5859"/>
    <w:rsid w:val="003D5BB8"/>
    <w:rsid w:val="003D67C4"/>
    <w:rsid w:val="003D6960"/>
    <w:rsid w:val="003D6F94"/>
    <w:rsid w:val="003D77D4"/>
    <w:rsid w:val="003D78FD"/>
    <w:rsid w:val="003D7DB6"/>
    <w:rsid w:val="003E03A2"/>
    <w:rsid w:val="003E239E"/>
    <w:rsid w:val="003E2991"/>
    <w:rsid w:val="003E2DD9"/>
    <w:rsid w:val="003E2F38"/>
    <w:rsid w:val="003E31A4"/>
    <w:rsid w:val="003E3AEC"/>
    <w:rsid w:val="003E3F94"/>
    <w:rsid w:val="003E4A03"/>
    <w:rsid w:val="003E53F4"/>
    <w:rsid w:val="003E54B2"/>
    <w:rsid w:val="003E58F6"/>
    <w:rsid w:val="003E5E4D"/>
    <w:rsid w:val="003E6A2E"/>
    <w:rsid w:val="003E7230"/>
    <w:rsid w:val="003E7545"/>
    <w:rsid w:val="003E76F8"/>
    <w:rsid w:val="003E771E"/>
    <w:rsid w:val="003E77FF"/>
    <w:rsid w:val="003E796A"/>
    <w:rsid w:val="003E7A26"/>
    <w:rsid w:val="003F0388"/>
    <w:rsid w:val="003F0E5A"/>
    <w:rsid w:val="003F12DC"/>
    <w:rsid w:val="003F190E"/>
    <w:rsid w:val="003F2981"/>
    <w:rsid w:val="003F2F72"/>
    <w:rsid w:val="003F3248"/>
    <w:rsid w:val="003F41C9"/>
    <w:rsid w:val="003F5279"/>
    <w:rsid w:val="003F5B8E"/>
    <w:rsid w:val="003F61A7"/>
    <w:rsid w:val="003F61D8"/>
    <w:rsid w:val="003F6534"/>
    <w:rsid w:val="003F68B9"/>
    <w:rsid w:val="003F6923"/>
    <w:rsid w:val="003F6B8A"/>
    <w:rsid w:val="004013C2"/>
    <w:rsid w:val="004015DD"/>
    <w:rsid w:val="004017A4"/>
    <w:rsid w:val="0040265B"/>
    <w:rsid w:val="00402726"/>
    <w:rsid w:val="00402737"/>
    <w:rsid w:val="00402813"/>
    <w:rsid w:val="0040291B"/>
    <w:rsid w:val="004029C2"/>
    <w:rsid w:val="00402E6C"/>
    <w:rsid w:val="00402F9B"/>
    <w:rsid w:val="004036E4"/>
    <w:rsid w:val="0040373B"/>
    <w:rsid w:val="00403A5F"/>
    <w:rsid w:val="00403D4A"/>
    <w:rsid w:val="00404433"/>
    <w:rsid w:val="00404506"/>
    <w:rsid w:val="00404C6C"/>
    <w:rsid w:val="004053A9"/>
    <w:rsid w:val="004057DC"/>
    <w:rsid w:val="00405823"/>
    <w:rsid w:val="00405837"/>
    <w:rsid w:val="004062EF"/>
    <w:rsid w:val="00406380"/>
    <w:rsid w:val="004074EA"/>
    <w:rsid w:val="00407603"/>
    <w:rsid w:val="00407E24"/>
    <w:rsid w:val="00407E2A"/>
    <w:rsid w:val="00407ED4"/>
    <w:rsid w:val="004100AA"/>
    <w:rsid w:val="004102BF"/>
    <w:rsid w:val="004102DA"/>
    <w:rsid w:val="0041071C"/>
    <w:rsid w:val="00411277"/>
    <w:rsid w:val="004114E2"/>
    <w:rsid w:val="004124EE"/>
    <w:rsid w:val="004125F8"/>
    <w:rsid w:val="00412A38"/>
    <w:rsid w:val="00412CF2"/>
    <w:rsid w:val="00413023"/>
    <w:rsid w:val="004130EE"/>
    <w:rsid w:val="004139E6"/>
    <w:rsid w:val="00413A8B"/>
    <w:rsid w:val="00413D10"/>
    <w:rsid w:val="00414944"/>
    <w:rsid w:val="00414FA5"/>
    <w:rsid w:val="004152F0"/>
    <w:rsid w:val="004157AE"/>
    <w:rsid w:val="00415916"/>
    <w:rsid w:val="00416483"/>
    <w:rsid w:val="004169FD"/>
    <w:rsid w:val="00416A0D"/>
    <w:rsid w:val="00416A52"/>
    <w:rsid w:val="00416B4F"/>
    <w:rsid w:val="00417179"/>
    <w:rsid w:val="004173E0"/>
    <w:rsid w:val="004178F9"/>
    <w:rsid w:val="00417DA2"/>
    <w:rsid w:val="004202CA"/>
    <w:rsid w:val="004209D6"/>
    <w:rsid w:val="00420CFB"/>
    <w:rsid w:val="00420DF7"/>
    <w:rsid w:val="004212CF"/>
    <w:rsid w:val="0042140F"/>
    <w:rsid w:val="00421555"/>
    <w:rsid w:val="004218EA"/>
    <w:rsid w:val="00421ED3"/>
    <w:rsid w:val="00421FF7"/>
    <w:rsid w:val="004220B9"/>
    <w:rsid w:val="00422376"/>
    <w:rsid w:val="00423826"/>
    <w:rsid w:val="004239E6"/>
    <w:rsid w:val="00423D44"/>
    <w:rsid w:val="00423E52"/>
    <w:rsid w:val="00424530"/>
    <w:rsid w:val="00425B63"/>
    <w:rsid w:val="00425CC2"/>
    <w:rsid w:val="00426676"/>
    <w:rsid w:val="004268E3"/>
    <w:rsid w:val="00426B62"/>
    <w:rsid w:val="00427028"/>
    <w:rsid w:val="0042794E"/>
    <w:rsid w:val="00427EF0"/>
    <w:rsid w:val="00430333"/>
    <w:rsid w:val="00430658"/>
    <w:rsid w:val="004317D6"/>
    <w:rsid w:val="004319EE"/>
    <w:rsid w:val="00432B15"/>
    <w:rsid w:val="00432E18"/>
    <w:rsid w:val="004334FF"/>
    <w:rsid w:val="00433566"/>
    <w:rsid w:val="004342B0"/>
    <w:rsid w:val="0043459B"/>
    <w:rsid w:val="00434601"/>
    <w:rsid w:val="00434E4F"/>
    <w:rsid w:val="004350BF"/>
    <w:rsid w:val="00435576"/>
    <w:rsid w:val="00435C00"/>
    <w:rsid w:val="004364AF"/>
    <w:rsid w:val="004366FE"/>
    <w:rsid w:val="00436839"/>
    <w:rsid w:val="00436A16"/>
    <w:rsid w:val="004374D2"/>
    <w:rsid w:val="0043796C"/>
    <w:rsid w:val="004379E0"/>
    <w:rsid w:val="00437FC8"/>
    <w:rsid w:val="00440072"/>
    <w:rsid w:val="004400EC"/>
    <w:rsid w:val="00440445"/>
    <w:rsid w:val="00440AC0"/>
    <w:rsid w:val="00441D72"/>
    <w:rsid w:val="0044317E"/>
    <w:rsid w:val="00443628"/>
    <w:rsid w:val="00443D1A"/>
    <w:rsid w:val="00443F6D"/>
    <w:rsid w:val="00444894"/>
    <w:rsid w:val="00444AA0"/>
    <w:rsid w:val="00444FE7"/>
    <w:rsid w:val="00445121"/>
    <w:rsid w:val="0044595A"/>
    <w:rsid w:val="00445DB2"/>
    <w:rsid w:val="00446C8A"/>
    <w:rsid w:val="00447E48"/>
    <w:rsid w:val="004506B0"/>
    <w:rsid w:val="00450FE7"/>
    <w:rsid w:val="004515D7"/>
    <w:rsid w:val="004515FF"/>
    <w:rsid w:val="00451995"/>
    <w:rsid w:val="00451B2A"/>
    <w:rsid w:val="00452224"/>
    <w:rsid w:val="004527FC"/>
    <w:rsid w:val="00452968"/>
    <w:rsid w:val="00452E2E"/>
    <w:rsid w:val="004533D6"/>
    <w:rsid w:val="004535AB"/>
    <w:rsid w:val="00453662"/>
    <w:rsid w:val="00453834"/>
    <w:rsid w:val="004538A0"/>
    <w:rsid w:val="00453CDF"/>
    <w:rsid w:val="00453E51"/>
    <w:rsid w:val="00454209"/>
    <w:rsid w:val="004543D0"/>
    <w:rsid w:val="00454E60"/>
    <w:rsid w:val="00455F9A"/>
    <w:rsid w:val="00456E87"/>
    <w:rsid w:val="004577EC"/>
    <w:rsid w:val="00457A97"/>
    <w:rsid w:val="0046130B"/>
    <w:rsid w:val="004614D0"/>
    <w:rsid w:val="004616FA"/>
    <w:rsid w:val="00461877"/>
    <w:rsid w:val="00461B88"/>
    <w:rsid w:val="004628DB"/>
    <w:rsid w:val="00462D36"/>
    <w:rsid w:val="004630D4"/>
    <w:rsid w:val="004630E1"/>
    <w:rsid w:val="00463283"/>
    <w:rsid w:val="004637A0"/>
    <w:rsid w:val="00464EC7"/>
    <w:rsid w:val="00465ECA"/>
    <w:rsid w:val="004666EE"/>
    <w:rsid w:val="00466759"/>
    <w:rsid w:val="0046679E"/>
    <w:rsid w:val="00467D59"/>
    <w:rsid w:val="00467EA8"/>
    <w:rsid w:val="004705D7"/>
    <w:rsid w:val="004709B3"/>
    <w:rsid w:val="00470C98"/>
    <w:rsid w:val="00470D27"/>
    <w:rsid w:val="00471A17"/>
    <w:rsid w:val="004723E9"/>
    <w:rsid w:val="00472715"/>
    <w:rsid w:val="00472892"/>
    <w:rsid w:val="004728FE"/>
    <w:rsid w:val="00473829"/>
    <w:rsid w:val="00473BAA"/>
    <w:rsid w:val="00473BD5"/>
    <w:rsid w:val="004740FB"/>
    <w:rsid w:val="004741BF"/>
    <w:rsid w:val="00474688"/>
    <w:rsid w:val="00474EC1"/>
    <w:rsid w:val="004759B8"/>
    <w:rsid w:val="00475B5D"/>
    <w:rsid w:val="0047650D"/>
    <w:rsid w:val="00476781"/>
    <w:rsid w:val="00476EE4"/>
    <w:rsid w:val="00476FEA"/>
    <w:rsid w:val="0047700D"/>
    <w:rsid w:val="00477298"/>
    <w:rsid w:val="00477919"/>
    <w:rsid w:val="00477D72"/>
    <w:rsid w:val="00477DA4"/>
    <w:rsid w:val="00477EA4"/>
    <w:rsid w:val="00480ACB"/>
    <w:rsid w:val="0048119C"/>
    <w:rsid w:val="0048123D"/>
    <w:rsid w:val="0048149C"/>
    <w:rsid w:val="00481C3B"/>
    <w:rsid w:val="00482A1F"/>
    <w:rsid w:val="00482AA3"/>
    <w:rsid w:val="00482B15"/>
    <w:rsid w:val="00482CAC"/>
    <w:rsid w:val="00482D14"/>
    <w:rsid w:val="00482DB7"/>
    <w:rsid w:val="00483B5E"/>
    <w:rsid w:val="00483BA3"/>
    <w:rsid w:val="0048403E"/>
    <w:rsid w:val="00484090"/>
    <w:rsid w:val="0048422F"/>
    <w:rsid w:val="0048457C"/>
    <w:rsid w:val="004846C5"/>
    <w:rsid w:val="004846E5"/>
    <w:rsid w:val="00485D0A"/>
    <w:rsid w:val="0048647F"/>
    <w:rsid w:val="0048651F"/>
    <w:rsid w:val="00486C30"/>
    <w:rsid w:val="00486E15"/>
    <w:rsid w:val="0048723E"/>
    <w:rsid w:val="004878A9"/>
    <w:rsid w:val="004902E2"/>
    <w:rsid w:val="00490649"/>
    <w:rsid w:val="00490654"/>
    <w:rsid w:val="00490A97"/>
    <w:rsid w:val="00490E8C"/>
    <w:rsid w:val="00491366"/>
    <w:rsid w:val="00491387"/>
    <w:rsid w:val="0049169F"/>
    <w:rsid w:val="0049197E"/>
    <w:rsid w:val="004919E9"/>
    <w:rsid w:val="00491E0E"/>
    <w:rsid w:val="004922CD"/>
    <w:rsid w:val="004925C7"/>
    <w:rsid w:val="00492702"/>
    <w:rsid w:val="00492E4C"/>
    <w:rsid w:val="0049352D"/>
    <w:rsid w:val="00493834"/>
    <w:rsid w:val="00493AA5"/>
    <w:rsid w:val="00493BD6"/>
    <w:rsid w:val="00493D57"/>
    <w:rsid w:val="0049421A"/>
    <w:rsid w:val="00494298"/>
    <w:rsid w:val="00494338"/>
    <w:rsid w:val="00494377"/>
    <w:rsid w:val="0049472E"/>
    <w:rsid w:val="00494C5E"/>
    <w:rsid w:val="00494C82"/>
    <w:rsid w:val="00494F9E"/>
    <w:rsid w:val="0049582C"/>
    <w:rsid w:val="00495A27"/>
    <w:rsid w:val="00495E9E"/>
    <w:rsid w:val="00495EDC"/>
    <w:rsid w:val="00495FAB"/>
    <w:rsid w:val="00496E8B"/>
    <w:rsid w:val="00497DE1"/>
    <w:rsid w:val="00497E5F"/>
    <w:rsid w:val="004A10A9"/>
    <w:rsid w:val="004A12C1"/>
    <w:rsid w:val="004A15F5"/>
    <w:rsid w:val="004A228C"/>
    <w:rsid w:val="004A26A3"/>
    <w:rsid w:val="004A27EF"/>
    <w:rsid w:val="004A31C1"/>
    <w:rsid w:val="004A403C"/>
    <w:rsid w:val="004A48A4"/>
    <w:rsid w:val="004A49E8"/>
    <w:rsid w:val="004A5390"/>
    <w:rsid w:val="004A56C9"/>
    <w:rsid w:val="004A5A8C"/>
    <w:rsid w:val="004A6140"/>
    <w:rsid w:val="004A6600"/>
    <w:rsid w:val="004A684D"/>
    <w:rsid w:val="004A6FEC"/>
    <w:rsid w:val="004A76C6"/>
    <w:rsid w:val="004A7F82"/>
    <w:rsid w:val="004B02D5"/>
    <w:rsid w:val="004B0AFD"/>
    <w:rsid w:val="004B0DCC"/>
    <w:rsid w:val="004B0ECD"/>
    <w:rsid w:val="004B1995"/>
    <w:rsid w:val="004B1B95"/>
    <w:rsid w:val="004B1F02"/>
    <w:rsid w:val="004B1F4B"/>
    <w:rsid w:val="004B25AB"/>
    <w:rsid w:val="004B27AF"/>
    <w:rsid w:val="004B2869"/>
    <w:rsid w:val="004B29B6"/>
    <w:rsid w:val="004B2B4B"/>
    <w:rsid w:val="004B3514"/>
    <w:rsid w:val="004B35F6"/>
    <w:rsid w:val="004B3A0C"/>
    <w:rsid w:val="004B3DB4"/>
    <w:rsid w:val="004B4934"/>
    <w:rsid w:val="004B4A9D"/>
    <w:rsid w:val="004B4D2F"/>
    <w:rsid w:val="004B4F84"/>
    <w:rsid w:val="004B5505"/>
    <w:rsid w:val="004B55BA"/>
    <w:rsid w:val="004B5E5D"/>
    <w:rsid w:val="004B635B"/>
    <w:rsid w:val="004B641C"/>
    <w:rsid w:val="004B6A73"/>
    <w:rsid w:val="004B6D70"/>
    <w:rsid w:val="004B735E"/>
    <w:rsid w:val="004B74E6"/>
    <w:rsid w:val="004B77CE"/>
    <w:rsid w:val="004B78C0"/>
    <w:rsid w:val="004B7A34"/>
    <w:rsid w:val="004B7B16"/>
    <w:rsid w:val="004B7EF3"/>
    <w:rsid w:val="004C0FC6"/>
    <w:rsid w:val="004C134C"/>
    <w:rsid w:val="004C14A1"/>
    <w:rsid w:val="004C189D"/>
    <w:rsid w:val="004C1B69"/>
    <w:rsid w:val="004C2179"/>
    <w:rsid w:val="004C23AE"/>
    <w:rsid w:val="004C25A7"/>
    <w:rsid w:val="004C27A2"/>
    <w:rsid w:val="004C2C8B"/>
    <w:rsid w:val="004C2EAB"/>
    <w:rsid w:val="004C32D0"/>
    <w:rsid w:val="004C365C"/>
    <w:rsid w:val="004C3861"/>
    <w:rsid w:val="004C421A"/>
    <w:rsid w:val="004C4448"/>
    <w:rsid w:val="004C4D52"/>
    <w:rsid w:val="004C4E53"/>
    <w:rsid w:val="004C67D1"/>
    <w:rsid w:val="004C6B89"/>
    <w:rsid w:val="004C6F6B"/>
    <w:rsid w:val="004C76A0"/>
    <w:rsid w:val="004C7DEE"/>
    <w:rsid w:val="004C7F8D"/>
    <w:rsid w:val="004D00DE"/>
    <w:rsid w:val="004D01CC"/>
    <w:rsid w:val="004D0286"/>
    <w:rsid w:val="004D02C7"/>
    <w:rsid w:val="004D0828"/>
    <w:rsid w:val="004D09EE"/>
    <w:rsid w:val="004D1740"/>
    <w:rsid w:val="004D1AA2"/>
    <w:rsid w:val="004D2178"/>
    <w:rsid w:val="004D24F6"/>
    <w:rsid w:val="004D35CF"/>
    <w:rsid w:val="004D3A9C"/>
    <w:rsid w:val="004D421E"/>
    <w:rsid w:val="004D55F7"/>
    <w:rsid w:val="004D5941"/>
    <w:rsid w:val="004D597D"/>
    <w:rsid w:val="004D6645"/>
    <w:rsid w:val="004D75CB"/>
    <w:rsid w:val="004D7A01"/>
    <w:rsid w:val="004D7EC0"/>
    <w:rsid w:val="004E018C"/>
    <w:rsid w:val="004E024D"/>
    <w:rsid w:val="004E02CD"/>
    <w:rsid w:val="004E03EC"/>
    <w:rsid w:val="004E042E"/>
    <w:rsid w:val="004E0628"/>
    <w:rsid w:val="004E1662"/>
    <w:rsid w:val="004E1915"/>
    <w:rsid w:val="004E1C01"/>
    <w:rsid w:val="004E1D4A"/>
    <w:rsid w:val="004E2019"/>
    <w:rsid w:val="004E2A5E"/>
    <w:rsid w:val="004E2B4D"/>
    <w:rsid w:val="004E2B91"/>
    <w:rsid w:val="004E2D8A"/>
    <w:rsid w:val="004E3352"/>
    <w:rsid w:val="004E35C3"/>
    <w:rsid w:val="004E36CB"/>
    <w:rsid w:val="004E4299"/>
    <w:rsid w:val="004E4357"/>
    <w:rsid w:val="004E459B"/>
    <w:rsid w:val="004E48D6"/>
    <w:rsid w:val="004E4AEF"/>
    <w:rsid w:val="004E537F"/>
    <w:rsid w:val="004E5B96"/>
    <w:rsid w:val="004E6024"/>
    <w:rsid w:val="004E607A"/>
    <w:rsid w:val="004E60D0"/>
    <w:rsid w:val="004E61AD"/>
    <w:rsid w:val="004E6A28"/>
    <w:rsid w:val="004E6BC7"/>
    <w:rsid w:val="004E71E6"/>
    <w:rsid w:val="004F0830"/>
    <w:rsid w:val="004F0B49"/>
    <w:rsid w:val="004F0F19"/>
    <w:rsid w:val="004F15A6"/>
    <w:rsid w:val="004F18F2"/>
    <w:rsid w:val="004F2AA5"/>
    <w:rsid w:val="004F30F4"/>
    <w:rsid w:val="004F3517"/>
    <w:rsid w:val="004F36C3"/>
    <w:rsid w:val="004F374C"/>
    <w:rsid w:val="004F3781"/>
    <w:rsid w:val="004F45EA"/>
    <w:rsid w:val="004F4841"/>
    <w:rsid w:val="004F4988"/>
    <w:rsid w:val="004F49E8"/>
    <w:rsid w:val="004F4BF0"/>
    <w:rsid w:val="004F4EE6"/>
    <w:rsid w:val="004F5431"/>
    <w:rsid w:val="004F610B"/>
    <w:rsid w:val="004F6371"/>
    <w:rsid w:val="004F6A8A"/>
    <w:rsid w:val="004F7011"/>
    <w:rsid w:val="004F7A51"/>
    <w:rsid w:val="004F7A70"/>
    <w:rsid w:val="004F7B71"/>
    <w:rsid w:val="004F7E25"/>
    <w:rsid w:val="00500077"/>
    <w:rsid w:val="00500403"/>
    <w:rsid w:val="005006D7"/>
    <w:rsid w:val="00500B28"/>
    <w:rsid w:val="00500CC0"/>
    <w:rsid w:val="00500DA3"/>
    <w:rsid w:val="0050108B"/>
    <w:rsid w:val="005013F6"/>
    <w:rsid w:val="005015F7"/>
    <w:rsid w:val="00501DDD"/>
    <w:rsid w:val="00502E19"/>
    <w:rsid w:val="005035D5"/>
    <w:rsid w:val="00503896"/>
    <w:rsid w:val="00503BBF"/>
    <w:rsid w:val="00503D52"/>
    <w:rsid w:val="00503F57"/>
    <w:rsid w:val="00504254"/>
    <w:rsid w:val="005043F0"/>
    <w:rsid w:val="00504B38"/>
    <w:rsid w:val="005057CA"/>
    <w:rsid w:val="005058C1"/>
    <w:rsid w:val="00505AF2"/>
    <w:rsid w:val="00506032"/>
    <w:rsid w:val="00507144"/>
    <w:rsid w:val="0050734E"/>
    <w:rsid w:val="00507825"/>
    <w:rsid w:val="00510483"/>
    <w:rsid w:val="00510653"/>
    <w:rsid w:val="005111E0"/>
    <w:rsid w:val="00511678"/>
    <w:rsid w:val="0051174A"/>
    <w:rsid w:val="00512228"/>
    <w:rsid w:val="0051256A"/>
    <w:rsid w:val="005126A8"/>
    <w:rsid w:val="0051287C"/>
    <w:rsid w:val="005129D8"/>
    <w:rsid w:val="00512AFE"/>
    <w:rsid w:val="0051421E"/>
    <w:rsid w:val="00514AEA"/>
    <w:rsid w:val="00515011"/>
    <w:rsid w:val="0051511D"/>
    <w:rsid w:val="005157F9"/>
    <w:rsid w:val="005160CB"/>
    <w:rsid w:val="0051633A"/>
    <w:rsid w:val="00516421"/>
    <w:rsid w:val="005164B8"/>
    <w:rsid w:val="00516585"/>
    <w:rsid w:val="00516F8C"/>
    <w:rsid w:val="005171FF"/>
    <w:rsid w:val="00517324"/>
    <w:rsid w:val="00517787"/>
    <w:rsid w:val="00517AC0"/>
    <w:rsid w:val="00517D31"/>
    <w:rsid w:val="00517E27"/>
    <w:rsid w:val="0052054B"/>
    <w:rsid w:val="005215CE"/>
    <w:rsid w:val="00521640"/>
    <w:rsid w:val="0052281C"/>
    <w:rsid w:val="00522CFA"/>
    <w:rsid w:val="00522D22"/>
    <w:rsid w:val="00522F97"/>
    <w:rsid w:val="005230D0"/>
    <w:rsid w:val="00523743"/>
    <w:rsid w:val="00523F06"/>
    <w:rsid w:val="0052467D"/>
    <w:rsid w:val="00524AAB"/>
    <w:rsid w:val="00524D45"/>
    <w:rsid w:val="00525231"/>
    <w:rsid w:val="00525674"/>
    <w:rsid w:val="00526067"/>
    <w:rsid w:val="005263BB"/>
    <w:rsid w:val="0052648C"/>
    <w:rsid w:val="00526541"/>
    <w:rsid w:val="005265C5"/>
    <w:rsid w:val="005274C4"/>
    <w:rsid w:val="0052760A"/>
    <w:rsid w:val="00527796"/>
    <w:rsid w:val="00530487"/>
    <w:rsid w:val="005307F6"/>
    <w:rsid w:val="00530888"/>
    <w:rsid w:val="0053089B"/>
    <w:rsid w:val="00530A21"/>
    <w:rsid w:val="00530D6A"/>
    <w:rsid w:val="005316D8"/>
    <w:rsid w:val="0053196F"/>
    <w:rsid w:val="00532347"/>
    <w:rsid w:val="00532835"/>
    <w:rsid w:val="00532881"/>
    <w:rsid w:val="00532FA3"/>
    <w:rsid w:val="005336C9"/>
    <w:rsid w:val="0053386F"/>
    <w:rsid w:val="00533AD3"/>
    <w:rsid w:val="00534C2F"/>
    <w:rsid w:val="00534E99"/>
    <w:rsid w:val="005350C4"/>
    <w:rsid w:val="00535546"/>
    <w:rsid w:val="005357B1"/>
    <w:rsid w:val="00535908"/>
    <w:rsid w:val="005361F0"/>
    <w:rsid w:val="00536355"/>
    <w:rsid w:val="00536419"/>
    <w:rsid w:val="005367BA"/>
    <w:rsid w:val="00536E44"/>
    <w:rsid w:val="005371CA"/>
    <w:rsid w:val="0054040C"/>
    <w:rsid w:val="005405E1"/>
    <w:rsid w:val="005406D8"/>
    <w:rsid w:val="00540D4C"/>
    <w:rsid w:val="00541B8A"/>
    <w:rsid w:val="00542489"/>
    <w:rsid w:val="0054288C"/>
    <w:rsid w:val="00542B6C"/>
    <w:rsid w:val="00543052"/>
    <w:rsid w:val="005431E9"/>
    <w:rsid w:val="0054353C"/>
    <w:rsid w:val="00543B8F"/>
    <w:rsid w:val="005444B5"/>
    <w:rsid w:val="0054454F"/>
    <w:rsid w:val="005445F1"/>
    <w:rsid w:val="00544B61"/>
    <w:rsid w:val="00544E97"/>
    <w:rsid w:val="00544F64"/>
    <w:rsid w:val="00544FA9"/>
    <w:rsid w:val="00545CB7"/>
    <w:rsid w:val="00545D4C"/>
    <w:rsid w:val="00545E21"/>
    <w:rsid w:val="005462BF"/>
    <w:rsid w:val="0054758D"/>
    <w:rsid w:val="00547A38"/>
    <w:rsid w:val="005501D2"/>
    <w:rsid w:val="00550826"/>
    <w:rsid w:val="00550A18"/>
    <w:rsid w:val="00550AFB"/>
    <w:rsid w:val="00550B63"/>
    <w:rsid w:val="0055100A"/>
    <w:rsid w:val="00551363"/>
    <w:rsid w:val="0055169E"/>
    <w:rsid w:val="00551806"/>
    <w:rsid w:val="00551852"/>
    <w:rsid w:val="00552E45"/>
    <w:rsid w:val="005536AD"/>
    <w:rsid w:val="005537E8"/>
    <w:rsid w:val="0055386D"/>
    <w:rsid w:val="00554C58"/>
    <w:rsid w:val="00555425"/>
    <w:rsid w:val="0055592E"/>
    <w:rsid w:val="00555938"/>
    <w:rsid w:val="005561E2"/>
    <w:rsid w:val="005568E1"/>
    <w:rsid w:val="00556AFB"/>
    <w:rsid w:val="00556B24"/>
    <w:rsid w:val="0055774D"/>
    <w:rsid w:val="005579AD"/>
    <w:rsid w:val="005600DE"/>
    <w:rsid w:val="00560159"/>
    <w:rsid w:val="0056079D"/>
    <w:rsid w:val="00560C4E"/>
    <w:rsid w:val="005610DF"/>
    <w:rsid w:val="00561502"/>
    <w:rsid w:val="00561971"/>
    <w:rsid w:val="00561A71"/>
    <w:rsid w:val="00562D2C"/>
    <w:rsid w:val="00562E73"/>
    <w:rsid w:val="00563204"/>
    <w:rsid w:val="0056330E"/>
    <w:rsid w:val="00563389"/>
    <w:rsid w:val="005635A0"/>
    <w:rsid w:val="00563D6D"/>
    <w:rsid w:val="00563FCF"/>
    <w:rsid w:val="0056504D"/>
    <w:rsid w:val="0056506C"/>
    <w:rsid w:val="005662CF"/>
    <w:rsid w:val="00566622"/>
    <w:rsid w:val="00566908"/>
    <w:rsid w:val="00566B22"/>
    <w:rsid w:val="00566BB2"/>
    <w:rsid w:val="00566F91"/>
    <w:rsid w:val="00567389"/>
    <w:rsid w:val="00567622"/>
    <w:rsid w:val="00567740"/>
    <w:rsid w:val="00567ED1"/>
    <w:rsid w:val="0057002B"/>
    <w:rsid w:val="00570062"/>
    <w:rsid w:val="0057012E"/>
    <w:rsid w:val="00570400"/>
    <w:rsid w:val="00570466"/>
    <w:rsid w:val="0057046F"/>
    <w:rsid w:val="0057073A"/>
    <w:rsid w:val="00570E6F"/>
    <w:rsid w:val="005713E2"/>
    <w:rsid w:val="00571529"/>
    <w:rsid w:val="005715E1"/>
    <w:rsid w:val="0057164E"/>
    <w:rsid w:val="005716E9"/>
    <w:rsid w:val="00571FA2"/>
    <w:rsid w:val="00572240"/>
    <w:rsid w:val="00572258"/>
    <w:rsid w:val="00572402"/>
    <w:rsid w:val="005727EF"/>
    <w:rsid w:val="00572B02"/>
    <w:rsid w:val="00572E30"/>
    <w:rsid w:val="00572E4A"/>
    <w:rsid w:val="00573901"/>
    <w:rsid w:val="005742D0"/>
    <w:rsid w:val="00574611"/>
    <w:rsid w:val="00574612"/>
    <w:rsid w:val="005753A4"/>
    <w:rsid w:val="00575567"/>
    <w:rsid w:val="0057594C"/>
    <w:rsid w:val="00575AA4"/>
    <w:rsid w:val="00575FB0"/>
    <w:rsid w:val="0057607F"/>
    <w:rsid w:val="00576899"/>
    <w:rsid w:val="00576965"/>
    <w:rsid w:val="00576A04"/>
    <w:rsid w:val="00576B1C"/>
    <w:rsid w:val="00576FC2"/>
    <w:rsid w:val="0057731C"/>
    <w:rsid w:val="005773BD"/>
    <w:rsid w:val="005778AB"/>
    <w:rsid w:val="005804FD"/>
    <w:rsid w:val="00580B37"/>
    <w:rsid w:val="00581241"/>
    <w:rsid w:val="0058229A"/>
    <w:rsid w:val="00582A89"/>
    <w:rsid w:val="0058323C"/>
    <w:rsid w:val="005838C8"/>
    <w:rsid w:val="0058394A"/>
    <w:rsid w:val="00583AB9"/>
    <w:rsid w:val="00583B63"/>
    <w:rsid w:val="00583BF1"/>
    <w:rsid w:val="00583F7E"/>
    <w:rsid w:val="005849BC"/>
    <w:rsid w:val="00585226"/>
    <w:rsid w:val="00585EE1"/>
    <w:rsid w:val="005861A7"/>
    <w:rsid w:val="00586582"/>
    <w:rsid w:val="005865A5"/>
    <w:rsid w:val="005868D5"/>
    <w:rsid w:val="00586C45"/>
    <w:rsid w:val="00586F53"/>
    <w:rsid w:val="00586FDD"/>
    <w:rsid w:val="0058775A"/>
    <w:rsid w:val="005905EE"/>
    <w:rsid w:val="00590B63"/>
    <w:rsid w:val="00591545"/>
    <w:rsid w:val="0059174B"/>
    <w:rsid w:val="00591EA0"/>
    <w:rsid w:val="00591F32"/>
    <w:rsid w:val="005920FA"/>
    <w:rsid w:val="005922F7"/>
    <w:rsid w:val="00592301"/>
    <w:rsid w:val="005937FD"/>
    <w:rsid w:val="005946C6"/>
    <w:rsid w:val="005948ED"/>
    <w:rsid w:val="005955FE"/>
    <w:rsid w:val="00595674"/>
    <w:rsid w:val="00595EE8"/>
    <w:rsid w:val="00595F27"/>
    <w:rsid w:val="005961D3"/>
    <w:rsid w:val="00596482"/>
    <w:rsid w:val="005966F9"/>
    <w:rsid w:val="00596940"/>
    <w:rsid w:val="00596A32"/>
    <w:rsid w:val="0059741C"/>
    <w:rsid w:val="0059755A"/>
    <w:rsid w:val="00597A42"/>
    <w:rsid w:val="00597CAB"/>
    <w:rsid w:val="00597EAA"/>
    <w:rsid w:val="005A0B66"/>
    <w:rsid w:val="005A0BAC"/>
    <w:rsid w:val="005A0C95"/>
    <w:rsid w:val="005A10A9"/>
    <w:rsid w:val="005A16EB"/>
    <w:rsid w:val="005A1E04"/>
    <w:rsid w:val="005A23D7"/>
    <w:rsid w:val="005A27DA"/>
    <w:rsid w:val="005A2919"/>
    <w:rsid w:val="005A3156"/>
    <w:rsid w:val="005A369D"/>
    <w:rsid w:val="005A3A55"/>
    <w:rsid w:val="005A3E08"/>
    <w:rsid w:val="005A3F8A"/>
    <w:rsid w:val="005A468C"/>
    <w:rsid w:val="005A4DE6"/>
    <w:rsid w:val="005A53B6"/>
    <w:rsid w:val="005A5700"/>
    <w:rsid w:val="005A5F9D"/>
    <w:rsid w:val="005A5FE3"/>
    <w:rsid w:val="005A6C22"/>
    <w:rsid w:val="005A7015"/>
    <w:rsid w:val="005A715C"/>
    <w:rsid w:val="005A7344"/>
    <w:rsid w:val="005A7C29"/>
    <w:rsid w:val="005B029F"/>
    <w:rsid w:val="005B0508"/>
    <w:rsid w:val="005B05A6"/>
    <w:rsid w:val="005B0A46"/>
    <w:rsid w:val="005B0E1F"/>
    <w:rsid w:val="005B24D1"/>
    <w:rsid w:val="005B25D8"/>
    <w:rsid w:val="005B2DC6"/>
    <w:rsid w:val="005B3588"/>
    <w:rsid w:val="005B3ADC"/>
    <w:rsid w:val="005B3E3F"/>
    <w:rsid w:val="005B3F1B"/>
    <w:rsid w:val="005B43DB"/>
    <w:rsid w:val="005B46CA"/>
    <w:rsid w:val="005B53CA"/>
    <w:rsid w:val="005B56B8"/>
    <w:rsid w:val="005B5B57"/>
    <w:rsid w:val="005B6BFC"/>
    <w:rsid w:val="005B761C"/>
    <w:rsid w:val="005B7A98"/>
    <w:rsid w:val="005B7BD7"/>
    <w:rsid w:val="005C095E"/>
    <w:rsid w:val="005C12B8"/>
    <w:rsid w:val="005C13A7"/>
    <w:rsid w:val="005C1569"/>
    <w:rsid w:val="005C21C4"/>
    <w:rsid w:val="005C2961"/>
    <w:rsid w:val="005C2AC0"/>
    <w:rsid w:val="005C3EDB"/>
    <w:rsid w:val="005C3EE9"/>
    <w:rsid w:val="005C418C"/>
    <w:rsid w:val="005C4CCF"/>
    <w:rsid w:val="005C4EF8"/>
    <w:rsid w:val="005C546A"/>
    <w:rsid w:val="005C54D5"/>
    <w:rsid w:val="005C593E"/>
    <w:rsid w:val="005C5978"/>
    <w:rsid w:val="005C5B59"/>
    <w:rsid w:val="005C5B87"/>
    <w:rsid w:val="005C6222"/>
    <w:rsid w:val="005C6EA7"/>
    <w:rsid w:val="005C7386"/>
    <w:rsid w:val="005C7BBD"/>
    <w:rsid w:val="005D01CD"/>
    <w:rsid w:val="005D0373"/>
    <w:rsid w:val="005D05E7"/>
    <w:rsid w:val="005D090A"/>
    <w:rsid w:val="005D0B67"/>
    <w:rsid w:val="005D0E85"/>
    <w:rsid w:val="005D13EA"/>
    <w:rsid w:val="005D2459"/>
    <w:rsid w:val="005D2FB3"/>
    <w:rsid w:val="005D3570"/>
    <w:rsid w:val="005D3583"/>
    <w:rsid w:val="005D3968"/>
    <w:rsid w:val="005D3BD5"/>
    <w:rsid w:val="005D4949"/>
    <w:rsid w:val="005D4A17"/>
    <w:rsid w:val="005D4C5F"/>
    <w:rsid w:val="005D4DA5"/>
    <w:rsid w:val="005D4FC1"/>
    <w:rsid w:val="005D5BE2"/>
    <w:rsid w:val="005D65E5"/>
    <w:rsid w:val="005D6975"/>
    <w:rsid w:val="005D7156"/>
    <w:rsid w:val="005D73BB"/>
    <w:rsid w:val="005D7CDF"/>
    <w:rsid w:val="005E02CC"/>
    <w:rsid w:val="005E0608"/>
    <w:rsid w:val="005E0ACE"/>
    <w:rsid w:val="005E11AB"/>
    <w:rsid w:val="005E12C0"/>
    <w:rsid w:val="005E15B6"/>
    <w:rsid w:val="005E1602"/>
    <w:rsid w:val="005E23CE"/>
    <w:rsid w:val="005E2560"/>
    <w:rsid w:val="005E2FDF"/>
    <w:rsid w:val="005E35CF"/>
    <w:rsid w:val="005E3F3A"/>
    <w:rsid w:val="005E403A"/>
    <w:rsid w:val="005E4412"/>
    <w:rsid w:val="005E5107"/>
    <w:rsid w:val="005E534B"/>
    <w:rsid w:val="005E5CFA"/>
    <w:rsid w:val="005E64AE"/>
    <w:rsid w:val="005E69B0"/>
    <w:rsid w:val="005E6BB6"/>
    <w:rsid w:val="005E6F24"/>
    <w:rsid w:val="005E6F47"/>
    <w:rsid w:val="005E74D7"/>
    <w:rsid w:val="005E75E2"/>
    <w:rsid w:val="005E79EC"/>
    <w:rsid w:val="005E7C1D"/>
    <w:rsid w:val="005F076F"/>
    <w:rsid w:val="005F18AE"/>
    <w:rsid w:val="005F2673"/>
    <w:rsid w:val="005F2869"/>
    <w:rsid w:val="005F2E75"/>
    <w:rsid w:val="005F31E5"/>
    <w:rsid w:val="005F4100"/>
    <w:rsid w:val="005F44D3"/>
    <w:rsid w:val="005F4F70"/>
    <w:rsid w:val="005F5362"/>
    <w:rsid w:val="005F60A4"/>
    <w:rsid w:val="005F6902"/>
    <w:rsid w:val="005F716E"/>
    <w:rsid w:val="005F72D8"/>
    <w:rsid w:val="005F7551"/>
    <w:rsid w:val="005F7689"/>
    <w:rsid w:val="00600179"/>
    <w:rsid w:val="006004AA"/>
    <w:rsid w:val="006013DE"/>
    <w:rsid w:val="0060170E"/>
    <w:rsid w:val="006019A9"/>
    <w:rsid w:val="00601DD7"/>
    <w:rsid w:val="00602951"/>
    <w:rsid w:val="0060295C"/>
    <w:rsid w:val="00603021"/>
    <w:rsid w:val="00603197"/>
    <w:rsid w:val="00603396"/>
    <w:rsid w:val="00603592"/>
    <w:rsid w:val="00604594"/>
    <w:rsid w:val="0060477A"/>
    <w:rsid w:val="00604942"/>
    <w:rsid w:val="0060517E"/>
    <w:rsid w:val="00605598"/>
    <w:rsid w:val="006057D9"/>
    <w:rsid w:val="00605AA5"/>
    <w:rsid w:val="00606033"/>
    <w:rsid w:val="0060684E"/>
    <w:rsid w:val="00606F88"/>
    <w:rsid w:val="0060733C"/>
    <w:rsid w:val="00607495"/>
    <w:rsid w:val="006074BE"/>
    <w:rsid w:val="0060780E"/>
    <w:rsid w:val="00607A05"/>
    <w:rsid w:val="00607B02"/>
    <w:rsid w:val="006108B2"/>
    <w:rsid w:val="00611002"/>
    <w:rsid w:val="0061122C"/>
    <w:rsid w:val="006113A2"/>
    <w:rsid w:val="00611A72"/>
    <w:rsid w:val="00611E98"/>
    <w:rsid w:val="006122F4"/>
    <w:rsid w:val="00612F9C"/>
    <w:rsid w:val="00613549"/>
    <w:rsid w:val="00613571"/>
    <w:rsid w:val="00613C6F"/>
    <w:rsid w:val="00613D8D"/>
    <w:rsid w:val="00613F7E"/>
    <w:rsid w:val="00614F12"/>
    <w:rsid w:val="00616652"/>
    <w:rsid w:val="00616B29"/>
    <w:rsid w:val="00617219"/>
    <w:rsid w:val="006178E0"/>
    <w:rsid w:val="00617DFC"/>
    <w:rsid w:val="0062012B"/>
    <w:rsid w:val="006201EB"/>
    <w:rsid w:val="0062031D"/>
    <w:rsid w:val="006203D5"/>
    <w:rsid w:val="006209A9"/>
    <w:rsid w:val="006209BB"/>
    <w:rsid w:val="0062144A"/>
    <w:rsid w:val="006231BD"/>
    <w:rsid w:val="0062396A"/>
    <w:rsid w:val="00624B53"/>
    <w:rsid w:val="006255D4"/>
    <w:rsid w:val="00625724"/>
    <w:rsid w:val="00625ABE"/>
    <w:rsid w:val="00625AE4"/>
    <w:rsid w:val="006261AC"/>
    <w:rsid w:val="0062656B"/>
    <w:rsid w:val="006266EC"/>
    <w:rsid w:val="0062672B"/>
    <w:rsid w:val="00626897"/>
    <w:rsid w:val="00626B6F"/>
    <w:rsid w:val="00626DB1"/>
    <w:rsid w:val="00627348"/>
    <w:rsid w:val="006273FF"/>
    <w:rsid w:val="00627DF2"/>
    <w:rsid w:val="00627E9A"/>
    <w:rsid w:val="006305D7"/>
    <w:rsid w:val="00630747"/>
    <w:rsid w:val="00630A77"/>
    <w:rsid w:val="00631EBD"/>
    <w:rsid w:val="00631F30"/>
    <w:rsid w:val="0063217B"/>
    <w:rsid w:val="00632CF8"/>
    <w:rsid w:val="00632F3E"/>
    <w:rsid w:val="0063338C"/>
    <w:rsid w:val="00633A67"/>
    <w:rsid w:val="00633E4B"/>
    <w:rsid w:val="0063443D"/>
    <w:rsid w:val="006347BD"/>
    <w:rsid w:val="00634BBB"/>
    <w:rsid w:val="00635CB8"/>
    <w:rsid w:val="00635D26"/>
    <w:rsid w:val="00635F3F"/>
    <w:rsid w:val="0063651C"/>
    <w:rsid w:val="0063661E"/>
    <w:rsid w:val="00636A46"/>
    <w:rsid w:val="0063718E"/>
    <w:rsid w:val="0063729E"/>
    <w:rsid w:val="006378B5"/>
    <w:rsid w:val="00637A62"/>
    <w:rsid w:val="00637B51"/>
    <w:rsid w:val="00637B98"/>
    <w:rsid w:val="00637F4F"/>
    <w:rsid w:val="00640098"/>
    <w:rsid w:val="00640406"/>
    <w:rsid w:val="00640B0A"/>
    <w:rsid w:val="00640FC7"/>
    <w:rsid w:val="00641004"/>
    <w:rsid w:val="006426D9"/>
    <w:rsid w:val="006437CB"/>
    <w:rsid w:val="00643A16"/>
    <w:rsid w:val="00643BB6"/>
    <w:rsid w:val="00644160"/>
    <w:rsid w:val="006442D9"/>
    <w:rsid w:val="0064512A"/>
    <w:rsid w:val="00646409"/>
    <w:rsid w:val="00647107"/>
    <w:rsid w:val="00647493"/>
    <w:rsid w:val="0064779C"/>
    <w:rsid w:val="00647F1C"/>
    <w:rsid w:val="00650B8F"/>
    <w:rsid w:val="00650D98"/>
    <w:rsid w:val="00651281"/>
    <w:rsid w:val="0065161C"/>
    <w:rsid w:val="00652016"/>
    <w:rsid w:val="00652213"/>
    <w:rsid w:val="00652304"/>
    <w:rsid w:val="00652445"/>
    <w:rsid w:val="00652563"/>
    <w:rsid w:val="00652720"/>
    <w:rsid w:val="0065272D"/>
    <w:rsid w:val="00652B97"/>
    <w:rsid w:val="006532C1"/>
    <w:rsid w:val="00653E28"/>
    <w:rsid w:val="006545CB"/>
    <w:rsid w:val="00655608"/>
    <w:rsid w:val="00655A89"/>
    <w:rsid w:val="00655E56"/>
    <w:rsid w:val="00656208"/>
    <w:rsid w:val="00656650"/>
    <w:rsid w:val="0065718D"/>
    <w:rsid w:val="00657886"/>
    <w:rsid w:val="00657C1A"/>
    <w:rsid w:val="00657C62"/>
    <w:rsid w:val="00657CD1"/>
    <w:rsid w:val="00657F92"/>
    <w:rsid w:val="0066187D"/>
    <w:rsid w:val="006622AD"/>
    <w:rsid w:val="0066273B"/>
    <w:rsid w:val="006633BD"/>
    <w:rsid w:val="00663A40"/>
    <w:rsid w:val="00663B69"/>
    <w:rsid w:val="006648A4"/>
    <w:rsid w:val="00664C34"/>
    <w:rsid w:val="00665834"/>
    <w:rsid w:val="006661C5"/>
    <w:rsid w:val="00666294"/>
    <w:rsid w:val="00666332"/>
    <w:rsid w:val="00666B73"/>
    <w:rsid w:val="00666BE6"/>
    <w:rsid w:val="00666DC4"/>
    <w:rsid w:val="00670214"/>
    <w:rsid w:val="00670425"/>
    <w:rsid w:val="00670491"/>
    <w:rsid w:val="00670C25"/>
    <w:rsid w:val="00670C42"/>
    <w:rsid w:val="00671488"/>
    <w:rsid w:val="00671975"/>
    <w:rsid w:val="00671A09"/>
    <w:rsid w:val="00671EC2"/>
    <w:rsid w:val="00671ED4"/>
    <w:rsid w:val="006721F9"/>
    <w:rsid w:val="00672212"/>
    <w:rsid w:val="006722A6"/>
    <w:rsid w:val="006733D4"/>
    <w:rsid w:val="00673757"/>
    <w:rsid w:val="006751D8"/>
    <w:rsid w:val="006757EF"/>
    <w:rsid w:val="00675FBC"/>
    <w:rsid w:val="00676690"/>
    <w:rsid w:val="00676EFF"/>
    <w:rsid w:val="006772B1"/>
    <w:rsid w:val="0067733D"/>
    <w:rsid w:val="006773C9"/>
    <w:rsid w:val="00677550"/>
    <w:rsid w:val="0067766E"/>
    <w:rsid w:val="00680391"/>
    <w:rsid w:val="0068070C"/>
    <w:rsid w:val="006815CD"/>
    <w:rsid w:val="00681B2B"/>
    <w:rsid w:val="00681FFA"/>
    <w:rsid w:val="00682300"/>
    <w:rsid w:val="006825C7"/>
    <w:rsid w:val="006826FF"/>
    <w:rsid w:val="00684409"/>
    <w:rsid w:val="00684541"/>
    <w:rsid w:val="006846DF"/>
    <w:rsid w:val="00684A81"/>
    <w:rsid w:val="00686CF6"/>
    <w:rsid w:val="00686FEB"/>
    <w:rsid w:val="00687762"/>
    <w:rsid w:val="00687795"/>
    <w:rsid w:val="006879F9"/>
    <w:rsid w:val="00691785"/>
    <w:rsid w:val="00692067"/>
    <w:rsid w:val="00692B88"/>
    <w:rsid w:val="00693248"/>
    <w:rsid w:val="006937C5"/>
    <w:rsid w:val="006937CE"/>
    <w:rsid w:val="00693BC3"/>
    <w:rsid w:val="006942B0"/>
    <w:rsid w:val="00694A88"/>
    <w:rsid w:val="00694E4F"/>
    <w:rsid w:val="006953B8"/>
    <w:rsid w:val="00695447"/>
    <w:rsid w:val="00695485"/>
    <w:rsid w:val="00695673"/>
    <w:rsid w:val="00695A65"/>
    <w:rsid w:val="00695B27"/>
    <w:rsid w:val="00695C33"/>
    <w:rsid w:val="0069640E"/>
    <w:rsid w:val="00696627"/>
    <w:rsid w:val="00697A79"/>
    <w:rsid w:val="00697C1E"/>
    <w:rsid w:val="006A06D8"/>
    <w:rsid w:val="006A0812"/>
    <w:rsid w:val="006A08C7"/>
    <w:rsid w:val="006A08D2"/>
    <w:rsid w:val="006A163E"/>
    <w:rsid w:val="006A2183"/>
    <w:rsid w:val="006A23EE"/>
    <w:rsid w:val="006A28ED"/>
    <w:rsid w:val="006A2F2B"/>
    <w:rsid w:val="006A33A6"/>
    <w:rsid w:val="006A3536"/>
    <w:rsid w:val="006A39B7"/>
    <w:rsid w:val="006A4401"/>
    <w:rsid w:val="006A44B1"/>
    <w:rsid w:val="006A47CE"/>
    <w:rsid w:val="006A55F6"/>
    <w:rsid w:val="006A5C36"/>
    <w:rsid w:val="006A5F47"/>
    <w:rsid w:val="006A622F"/>
    <w:rsid w:val="006A62C7"/>
    <w:rsid w:val="006A6379"/>
    <w:rsid w:val="006A6E87"/>
    <w:rsid w:val="006A70ED"/>
    <w:rsid w:val="006A71E1"/>
    <w:rsid w:val="006A74AC"/>
    <w:rsid w:val="006A76A6"/>
    <w:rsid w:val="006B028C"/>
    <w:rsid w:val="006B035A"/>
    <w:rsid w:val="006B0660"/>
    <w:rsid w:val="006B08D5"/>
    <w:rsid w:val="006B14B8"/>
    <w:rsid w:val="006B185E"/>
    <w:rsid w:val="006B1A94"/>
    <w:rsid w:val="006B1AFD"/>
    <w:rsid w:val="006B28C3"/>
    <w:rsid w:val="006B2DF9"/>
    <w:rsid w:val="006B3161"/>
    <w:rsid w:val="006B31C4"/>
    <w:rsid w:val="006B349B"/>
    <w:rsid w:val="006B3A3B"/>
    <w:rsid w:val="006B431C"/>
    <w:rsid w:val="006B460C"/>
    <w:rsid w:val="006B4631"/>
    <w:rsid w:val="006B4D9E"/>
    <w:rsid w:val="006B4E82"/>
    <w:rsid w:val="006B556C"/>
    <w:rsid w:val="006B57D8"/>
    <w:rsid w:val="006B5A49"/>
    <w:rsid w:val="006B5DEC"/>
    <w:rsid w:val="006B6173"/>
    <w:rsid w:val="006B62AE"/>
    <w:rsid w:val="006B6F5C"/>
    <w:rsid w:val="006B7D16"/>
    <w:rsid w:val="006C0342"/>
    <w:rsid w:val="006C0378"/>
    <w:rsid w:val="006C0653"/>
    <w:rsid w:val="006C070B"/>
    <w:rsid w:val="006C09E4"/>
    <w:rsid w:val="006C0D44"/>
    <w:rsid w:val="006C0F8E"/>
    <w:rsid w:val="006C1384"/>
    <w:rsid w:val="006C15F6"/>
    <w:rsid w:val="006C167A"/>
    <w:rsid w:val="006C21D7"/>
    <w:rsid w:val="006C26B1"/>
    <w:rsid w:val="006C2960"/>
    <w:rsid w:val="006C2C32"/>
    <w:rsid w:val="006C37CD"/>
    <w:rsid w:val="006C3A1F"/>
    <w:rsid w:val="006C458B"/>
    <w:rsid w:val="006C47A7"/>
    <w:rsid w:val="006C4C26"/>
    <w:rsid w:val="006C4FA0"/>
    <w:rsid w:val="006C518A"/>
    <w:rsid w:val="006C563D"/>
    <w:rsid w:val="006C5998"/>
    <w:rsid w:val="006C6388"/>
    <w:rsid w:val="006C63AF"/>
    <w:rsid w:val="006C69B1"/>
    <w:rsid w:val="006C6A74"/>
    <w:rsid w:val="006C6EE9"/>
    <w:rsid w:val="006C71D9"/>
    <w:rsid w:val="006C78F1"/>
    <w:rsid w:val="006C7946"/>
    <w:rsid w:val="006C79D5"/>
    <w:rsid w:val="006C7D59"/>
    <w:rsid w:val="006D04B6"/>
    <w:rsid w:val="006D08BF"/>
    <w:rsid w:val="006D0A69"/>
    <w:rsid w:val="006D0B50"/>
    <w:rsid w:val="006D0BB1"/>
    <w:rsid w:val="006D1000"/>
    <w:rsid w:val="006D15B9"/>
    <w:rsid w:val="006D1858"/>
    <w:rsid w:val="006D1BCB"/>
    <w:rsid w:val="006D1C0F"/>
    <w:rsid w:val="006D1D85"/>
    <w:rsid w:val="006D20B6"/>
    <w:rsid w:val="006D2256"/>
    <w:rsid w:val="006D2416"/>
    <w:rsid w:val="006D3693"/>
    <w:rsid w:val="006D4377"/>
    <w:rsid w:val="006D4544"/>
    <w:rsid w:val="006D536F"/>
    <w:rsid w:val="006D5422"/>
    <w:rsid w:val="006D54BC"/>
    <w:rsid w:val="006D54D3"/>
    <w:rsid w:val="006D5B1D"/>
    <w:rsid w:val="006D610A"/>
    <w:rsid w:val="006D61F3"/>
    <w:rsid w:val="006D6E75"/>
    <w:rsid w:val="006D744D"/>
    <w:rsid w:val="006D7538"/>
    <w:rsid w:val="006D7818"/>
    <w:rsid w:val="006E0433"/>
    <w:rsid w:val="006E0670"/>
    <w:rsid w:val="006E0D09"/>
    <w:rsid w:val="006E0DFA"/>
    <w:rsid w:val="006E0E56"/>
    <w:rsid w:val="006E0FAC"/>
    <w:rsid w:val="006E0FF6"/>
    <w:rsid w:val="006E1FF2"/>
    <w:rsid w:val="006E40F7"/>
    <w:rsid w:val="006E4170"/>
    <w:rsid w:val="006E41E5"/>
    <w:rsid w:val="006E42BB"/>
    <w:rsid w:val="006E45CF"/>
    <w:rsid w:val="006E50E5"/>
    <w:rsid w:val="006E5359"/>
    <w:rsid w:val="006E5611"/>
    <w:rsid w:val="006E61C7"/>
    <w:rsid w:val="006E637C"/>
    <w:rsid w:val="006E682E"/>
    <w:rsid w:val="006E6A1F"/>
    <w:rsid w:val="006E76B1"/>
    <w:rsid w:val="006E771D"/>
    <w:rsid w:val="006E77B9"/>
    <w:rsid w:val="006E79F1"/>
    <w:rsid w:val="006E7E6E"/>
    <w:rsid w:val="006F014A"/>
    <w:rsid w:val="006F083B"/>
    <w:rsid w:val="006F1097"/>
    <w:rsid w:val="006F10CC"/>
    <w:rsid w:val="006F112C"/>
    <w:rsid w:val="006F12C6"/>
    <w:rsid w:val="006F1C90"/>
    <w:rsid w:val="006F1E5C"/>
    <w:rsid w:val="006F231A"/>
    <w:rsid w:val="006F23A7"/>
    <w:rsid w:val="006F26E7"/>
    <w:rsid w:val="006F275E"/>
    <w:rsid w:val="006F28B9"/>
    <w:rsid w:val="006F2B38"/>
    <w:rsid w:val="006F2FE4"/>
    <w:rsid w:val="006F42E6"/>
    <w:rsid w:val="006F471C"/>
    <w:rsid w:val="006F47B0"/>
    <w:rsid w:val="006F4B0B"/>
    <w:rsid w:val="006F4BAF"/>
    <w:rsid w:val="006F4CB0"/>
    <w:rsid w:val="006F4EB4"/>
    <w:rsid w:val="006F50F9"/>
    <w:rsid w:val="006F5184"/>
    <w:rsid w:val="006F57FF"/>
    <w:rsid w:val="006F609C"/>
    <w:rsid w:val="006F6690"/>
    <w:rsid w:val="006F6B9E"/>
    <w:rsid w:val="006F7168"/>
    <w:rsid w:val="006F728F"/>
    <w:rsid w:val="006F732A"/>
    <w:rsid w:val="006F7451"/>
    <w:rsid w:val="007002AC"/>
    <w:rsid w:val="007004DC"/>
    <w:rsid w:val="00700AFF"/>
    <w:rsid w:val="0070100B"/>
    <w:rsid w:val="007011BB"/>
    <w:rsid w:val="00701B8C"/>
    <w:rsid w:val="00701D8F"/>
    <w:rsid w:val="00701E2A"/>
    <w:rsid w:val="00701F87"/>
    <w:rsid w:val="0070241D"/>
    <w:rsid w:val="007029E4"/>
    <w:rsid w:val="007031DF"/>
    <w:rsid w:val="0070381C"/>
    <w:rsid w:val="00703B3E"/>
    <w:rsid w:val="007043FA"/>
    <w:rsid w:val="00704BEE"/>
    <w:rsid w:val="007053CE"/>
    <w:rsid w:val="00705E3D"/>
    <w:rsid w:val="007063E5"/>
    <w:rsid w:val="0070674E"/>
    <w:rsid w:val="00706857"/>
    <w:rsid w:val="007069A6"/>
    <w:rsid w:val="00706D38"/>
    <w:rsid w:val="007074DB"/>
    <w:rsid w:val="007076C3"/>
    <w:rsid w:val="0070781C"/>
    <w:rsid w:val="00707DF4"/>
    <w:rsid w:val="007100B2"/>
    <w:rsid w:val="00710145"/>
    <w:rsid w:val="007106F1"/>
    <w:rsid w:val="00710C9F"/>
    <w:rsid w:val="00710D56"/>
    <w:rsid w:val="00710E13"/>
    <w:rsid w:val="00710F67"/>
    <w:rsid w:val="00711702"/>
    <w:rsid w:val="00711F85"/>
    <w:rsid w:val="0071273C"/>
    <w:rsid w:val="007127AE"/>
    <w:rsid w:val="00712D13"/>
    <w:rsid w:val="00713182"/>
    <w:rsid w:val="00713442"/>
    <w:rsid w:val="00713882"/>
    <w:rsid w:val="007138F8"/>
    <w:rsid w:val="00713CFE"/>
    <w:rsid w:val="0071401F"/>
    <w:rsid w:val="00714622"/>
    <w:rsid w:val="00714642"/>
    <w:rsid w:val="00714844"/>
    <w:rsid w:val="007149E2"/>
    <w:rsid w:val="00714C92"/>
    <w:rsid w:val="007150D3"/>
    <w:rsid w:val="00715138"/>
    <w:rsid w:val="007154F9"/>
    <w:rsid w:val="00715773"/>
    <w:rsid w:val="00715948"/>
    <w:rsid w:val="00716721"/>
    <w:rsid w:val="00716F0D"/>
    <w:rsid w:val="007171F0"/>
    <w:rsid w:val="0071742B"/>
    <w:rsid w:val="00717480"/>
    <w:rsid w:val="00717A80"/>
    <w:rsid w:val="007205CD"/>
    <w:rsid w:val="00720679"/>
    <w:rsid w:val="00720B41"/>
    <w:rsid w:val="00720D7C"/>
    <w:rsid w:val="007214C9"/>
    <w:rsid w:val="00721B4A"/>
    <w:rsid w:val="00721C38"/>
    <w:rsid w:val="007224F5"/>
    <w:rsid w:val="007225F3"/>
    <w:rsid w:val="007230A3"/>
    <w:rsid w:val="00723A91"/>
    <w:rsid w:val="00723AE3"/>
    <w:rsid w:val="00723C1C"/>
    <w:rsid w:val="00723C4F"/>
    <w:rsid w:val="00723DFC"/>
    <w:rsid w:val="0072458E"/>
    <w:rsid w:val="007246FD"/>
    <w:rsid w:val="00724A83"/>
    <w:rsid w:val="00724A8F"/>
    <w:rsid w:val="007256CC"/>
    <w:rsid w:val="00725F85"/>
    <w:rsid w:val="0072617A"/>
    <w:rsid w:val="00726440"/>
    <w:rsid w:val="007264CA"/>
    <w:rsid w:val="0072753D"/>
    <w:rsid w:val="007276C5"/>
    <w:rsid w:val="007278AA"/>
    <w:rsid w:val="00727930"/>
    <w:rsid w:val="00730400"/>
    <w:rsid w:val="0073066D"/>
    <w:rsid w:val="00730A94"/>
    <w:rsid w:val="007310C4"/>
    <w:rsid w:val="00731341"/>
    <w:rsid w:val="00731A3D"/>
    <w:rsid w:val="00731BE8"/>
    <w:rsid w:val="007322A8"/>
    <w:rsid w:val="00732E0D"/>
    <w:rsid w:val="00733242"/>
    <w:rsid w:val="00733A36"/>
    <w:rsid w:val="00733AFD"/>
    <w:rsid w:val="0073468F"/>
    <w:rsid w:val="007355BA"/>
    <w:rsid w:val="00736323"/>
    <w:rsid w:val="007366E6"/>
    <w:rsid w:val="00737C9C"/>
    <w:rsid w:val="00737DD4"/>
    <w:rsid w:val="00737FAA"/>
    <w:rsid w:val="007409E4"/>
    <w:rsid w:val="00740D02"/>
    <w:rsid w:val="00740D92"/>
    <w:rsid w:val="007419C2"/>
    <w:rsid w:val="00741A1B"/>
    <w:rsid w:val="00741C51"/>
    <w:rsid w:val="007421FD"/>
    <w:rsid w:val="0074238C"/>
    <w:rsid w:val="0074256E"/>
    <w:rsid w:val="007426CA"/>
    <w:rsid w:val="00742BC6"/>
    <w:rsid w:val="00742CBC"/>
    <w:rsid w:val="00742E92"/>
    <w:rsid w:val="00743101"/>
    <w:rsid w:val="00743518"/>
    <w:rsid w:val="00743B7D"/>
    <w:rsid w:val="00743F5A"/>
    <w:rsid w:val="00744631"/>
    <w:rsid w:val="00744846"/>
    <w:rsid w:val="0074498E"/>
    <w:rsid w:val="00744E72"/>
    <w:rsid w:val="00745494"/>
    <w:rsid w:val="00745D4B"/>
    <w:rsid w:val="00745DE1"/>
    <w:rsid w:val="0074646F"/>
    <w:rsid w:val="00746495"/>
    <w:rsid w:val="00746B9C"/>
    <w:rsid w:val="00746F6E"/>
    <w:rsid w:val="0074772E"/>
    <w:rsid w:val="007477C6"/>
    <w:rsid w:val="00750032"/>
    <w:rsid w:val="007501F1"/>
    <w:rsid w:val="007509B9"/>
    <w:rsid w:val="007514E4"/>
    <w:rsid w:val="0075166B"/>
    <w:rsid w:val="007517FB"/>
    <w:rsid w:val="00751AEE"/>
    <w:rsid w:val="007523AD"/>
    <w:rsid w:val="00753112"/>
    <w:rsid w:val="0075379C"/>
    <w:rsid w:val="00753C17"/>
    <w:rsid w:val="00753D9B"/>
    <w:rsid w:val="00753DC4"/>
    <w:rsid w:val="0075410A"/>
    <w:rsid w:val="0075469D"/>
    <w:rsid w:val="00754ACD"/>
    <w:rsid w:val="00755025"/>
    <w:rsid w:val="007554F5"/>
    <w:rsid w:val="0075553D"/>
    <w:rsid w:val="00755E06"/>
    <w:rsid w:val="00755FC1"/>
    <w:rsid w:val="007563EB"/>
    <w:rsid w:val="007570F6"/>
    <w:rsid w:val="007572B6"/>
    <w:rsid w:val="007572F3"/>
    <w:rsid w:val="00757427"/>
    <w:rsid w:val="00757A8D"/>
    <w:rsid w:val="00757F9D"/>
    <w:rsid w:val="0076016B"/>
    <w:rsid w:val="00760220"/>
    <w:rsid w:val="007604AF"/>
    <w:rsid w:val="00760A3F"/>
    <w:rsid w:val="00760DF2"/>
    <w:rsid w:val="00760E1A"/>
    <w:rsid w:val="007610AE"/>
    <w:rsid w:val="00761551"/>
    <w:rsid w:val="0076167B"/>
    <w:rsid w:val="0076177D"/>
    <w:rsid w:val="00762410"/>
    <w:rsid w:val="00762E43"/>
    <w:rsid w:val="00762E5B"/>
    <w:rsid w:val="0076314E"/>
    <w:rsid w:val="00763D1D"/>
    <w:rsid w:val="00763E96"/>
    <w:rsid w:val="00763F1F"/>
    <w:rsid w:val="007641B2"/>
    <w:rsid w:val="007641F6"/>
    <w:rsid w:val="00764653"/>
    <w:rsid w:val="007652D6"/>
    <w:rsid w:val="00765FF7"/>
    <w:rsid w:val="00766F29"/>
    <w:rsid w:val="007677CD"/>
    <w:rsid w:val="00767C6C"/>
    <w:rsid w:val="00767DAD"/>
    <w:rsid w:val="00770006"/>
    <w:rsid w:val="00771058"/>
    <w:rsid w:val="00771A8E"/>
    <w:rsid w:val="00771AAB"/>
    <w:rsid w:val="00771BAE"/>
    <w:rsid w:val="00772CA8"/>
    <w:rsid w:val="007734A5"/>
    <w:rsid w:val="007737B2"/>
    <w:rsid w:val="00774E0B"/>
    <w:rsid w:val="00775045"/>
    <w:rsid w:val="007752CA"/>
    <w:rsid w:val="00775D40"/>
    <w:rsid w:val="00775FC8"/>
    <w:rsid w:val="0077647A"/>
    <w:rsid w:val="0077671C"/>
    <w:rsid w:val="00776937"/>
    <w:rsid w:val="00776FB2"/>
    <w:rsid w:val="0077723C"/>
    <w:rsid w:val="00777386"/>
    <w:rsid w:val="007773C8"/>
    <w:rsid w:val="00777EBD"/>
    <w:rsid w:val="0078058A"/>
    <w:rsid w:val="007806E1"/>
    <w:rsid w:val="00780E12"/>
    <w:rsid w:val="00780F39"/>
    <w:rsid w:val="00781959"/>
    <w:rsid w:val="00781980"/>
    <w:rsid w:val="00781DDC"/>
    <w:rsid w:val="00782156"/>
    <w:rsid w:val="00782462"/>
    <w:rsid w:val="00782A49"/>
    <w:rsid w:val="0078313E"/>
    <w:rsid w:val="007837A3"/>
    <w:rsid w:val="00783A58"/>
    <w:rsid w:val="00783E07"/>
    <w:rsid w:val="00783F63"/>
    <w:rsid w:val="007846B7"/>
    <w:rsid w:val="00784EC8"/>
    <w:rsid w:val="007853C5"/>
    <w:rsid w:val="0078558B"/>
    <w:rsid w:val="007856F0"/>
    <w:rsid w:val="00785C31"/>
    <w:rsid w:val="00786386"/>
    <w:rsid w:val="00786824"/>
    <w:rsid w:val="00786D6C"/>
    <w:rsid w:val="007875E9"/>
    <w:rsid w:val="00787970"/>
    <w:rsid w:val="00790536"/>
    <w:rsid w:val="00790CBC"/>
    <w:rsid w:val="00790ED3"/>
    <w:rsid w:val="00791969"/>
    <w:rsid w:val="00791B05"/>
    <w:rsid w:val="00791C3A"/>
    <w:rsid w:val="00791F26"/>
    <w:rsid w:val="00792359"/>
    <w:rsid w:val="007923AC"/>
    <w:rsid w:val="00792861"/>
    <w:rsid w:val="00792D91"/>
    <w:rsid w:val="007931A8"/>
    <w:rsid w:val="0079324F"/>
    <w:rsid w:val="007933B8"/>
    <w:rsid w:val="007936A9"/>
    <w:rsid w:val="007937F6"/>
    <w:rsid w:val="00793C4A"/>
    <w:rsid w:val="00793D28"/>
    <w:rsid w:val="00795421"/>
    <w:rsid w:val="00795B44"/>
    <w:rsid w:val="00795D8B"/>
    <w:rsid w:val="00796231"/>
    <w:rsid w:val="0079640A"/>
    <w:rsid w:val="00796A13"/>
    <w:rsid w:val="00797D0E"/>
    <w:rsid w:val="00797F12"/>
    <w:rsid w:val="007A0A11"/>
    <w:rsid w:val="007A0E46"/>
    <w:rsid w:val="007A1013"/>
    <w:rsid w:val="007A1B1D"/>
    <w:rsid w:val="007A1E5F"/>
    <w:rsid w:val="007A26E7"/>
    <w:rsid w:val="007A3814"/>
    <w:rsid w:val="007A3DD1"/>
    <w:rsid w:val="007A428D"/>
    <w:rsid w:val="007A4AC6"/>
    <w:rsid w:val="007A58CF"/>
    <w:rsid w:val="007A5A5B"/>
    <w:rsid w:val="007A5F09"/>
    <w:rsid w:val="007A614C"/>
    <w:rsid w:val="007A6481"/>
    <w:rsid w:val="007A64DB"/>
    <w:rsid w:val="007A680A"/>
    <w:rsid w:val="007A7018"/>
    <w:rsid w:val="007A78C3"/>
    <w:rsid w:val="007A7CF6"/>
    <w:rsid w:val="007B0021"/>
    <w:rsid w:val="007B041A"/>
    <w:rsid w:val="007B0596"/>
    <w:rsid w:val="007B091A"/>
    <w:rsid w:val="007B1431"/>
    <w:rsid w:val="007B1831"/>
    <w:rsid w:val="007B1BF6"/>
    <w:rsid w:val="007B1DB4"/>
    <w:rsid w:val="007B27DA"/>
    <w:rsid w:val="007B2C72"/>
    <w:rsid w:val="007B2DF3"/>
    <w:rsid w:val="007B31E4"/>
    <w:rsid w:val="007B3424"/>
    <w:rsid w:val="007B36AC"/>
    <w:rsid w:val="007B39CA"/>
    <w:rsid w:val="007B46E4"/>
    <w:rsid w:val="007B4710"/>
    <w:rsid w:val="007B487C"/>
    <w:rsid w:val="007B4CA6"/>
    <w:rsid w:val="007B4FC2"/>
    <w:rsid w:val="007B53A1"/>
    <w:rsid w:val="007B5A4B"/>
    <w:rsid w:val="007B5ABB"/>
    <w:rsid w:val="007B652F"/>
    <w:rsid w:val="007B67BD"/>
    <w:rsid w:val="007B6E3E"/>
    <w:rsid w:val="007B7495"/>
    <w:rsid w:val="007C048D"/>
    <w:rsid w:val="007C0B83"/>
    <w:rsid w:val="007C122B"/>
    <w:rsid w:val="007C1B7D"/>
    <w:rsid w:val="007C1C53"/>
    <w:rsid w:val="007C1DCC"/>
    <w:rsid w:val="007C23D2"/>
    <w:rsid w:val="007C26F3"/>
    <w:rsid w:val="007C2957"/>
    <w:rsid w:val="007C32ED"/>
    <w:rsid w:val="007C3670"/>
    <w:rsid w:val="007C38C0"/>
    <w:rsid w:val="007C3F07"/>
    <w:rsid w:val="007C4C6C"/>
    <w:rsid w:val="007C51EB"/>
    <w:rsid w:val="007C5403"/>
    <w:rsid w:val="007C5AA3"/>
    <w:rsid w:val="007C5B77"/>
    <w:rsid w:val="007C5C1C"/>
    <w:rsid w:val="007C61D5"/>
    <w:rsid w:val="007C6F3C"/>
    <w:rsid w:val="007C7639"/>
    <w:rsid w:val="007C7853"/>
    <w:rsid w:val="007D0353"/>
    <w:rsid w:val="007D0CC7"/>
    <w:rsid w:val="007D0E76"/>
    <w:rsid w:val="007D108E"/>
    <w:rsid w:val="007D2061"/>
    <w:rsid w:val="007D24E4"/>
    <w:rsid w:val="007D2509"/>
    <w:rsid w:val="007D281C"/>
    <w:rsid w:val="007D2956"/>
    <w:rsid w:val="007D29E0"/>
    <w:rsid w:val="007D3310"/>
    <w:rsid w:val="007D3801"/>
    <w:rsid w:val="007D3874"/>
    <w:rsid w:val="007D3FBD"/>
    <w:rsid w:val="007D4F7A"/>
    <w:rsid w:val="007D5014"/>
    <w:rsid w:val="007D537D"/>
    <w:rsid w:val="007D54C5"/>
    <w:rsid w:val="007D5503"/>
    <w:rsid w:val="007D5629"/>
    <w:rsid w:val="007D59A8"/>
    <w:rsid w:val="007D5B8D"/>
    <w:rsid w:val="007D609A"/>
    <w:rsid w:val="007D659F"/>
    <w:rsid w:val="007D68F5"/>
    <w:rsid w:val="007D6981"/>
    <w:rsid w:val="007D6AD1"/>
    <w:rsid w:val="007D6FC5"/>
    <w:rsid w:val="007E08AA"/>
    <w:rsid w:val="007E1852"/>
    <w:rsid w:val="007E18D4"/>
    <w:rsid w:val="007E1936"/>
    <w:rsid w:val="007E1A6E"/>
    <w:rsid w:val="007E209B"/>
    <w:rsid w:val="007E25D7"/>
    <w:rsid w:val="007E26F4"/>
    <w:rsid w:val="007E2738"/>
    <w:rsid w:val="007E2BA4"/>
    <w:rsid w:val="007E3928"/>
    <w:rsid w:val="007E4032"/>
    <w:rsid w:val="007E444E"/>
    <w:rsid w:val="007E4520"/>
    <w:rsid w:val="007E4B94"/>
    <w:rsid w:val="007E4DBC"/>
    <w:rsid w:val="007E4F01"/>
    <w:rsid w:val="007E4FC6"/>
    <w:rsid w:val="007E5540"/>
    <w:rsid w:val="007E5AB8"/>
    <w:rsid w:val="007E624A"/>
    <w:rsid w:val="007E7922"/>
    <w:rsid w:val="007E7E56"/>
    <w:rsid w:val="007E7ECF"/>
    <w:rsid w:val="007E7F89"/>
    <w:rsid w:val="007F06BC"/>
    <w:rsid w:val="007F133B"/>
    <w:rsid w:val="007F16A3"/>
    <w:rsid w:val="007F18BA"/>
    <w:rsid w:val="007F22C8"/>
    <w:rsid w:val="007F2416"/>
    <w:rsid w:val="007F290C"/>
    <w:rsid w:val="007F32D4"/>
    <w:rsid w:val="007F35F8"/>
    <w:rsid w:val="007F4149"/>
    <w:rsid w:val="007F4318"/>
    <w:rsid w:val="007F4D8B"/>
    <w:rsid w:val="007F56D1"/>
    <w:rsid w:val="007F5FC1"/>
    <w:rsid w:val="007F6CD5"/>
    <w:rsid w:val="007F752A"/>
    <w:rsid w:val="007F7820"/>
    <w:rsid w:val="00800699"/>
    <w:rsid w:val="00800A79"/>
    <w:rsid w:val="00800DF1"/>
    <w:rsid w:val="0080120D"/>
    <w:rsid w:val="00802300"/>
    <w:rsid w:val="0080295F"/>
    <w:rsid w:val="0080296D"/>
    <w:rsid w:val="008029DB"/>
    <w:rsid w:val="00802A9C"/>
    <w:rsid w:val="00802B13"/>
    <w:rsid w:val="00802B78"/>
    <w:rsid w:val="00802E72"/>
    <w:rsid w:val="00803585"/>
    <w:rsid w:val="0080388F"/>
    <w:rsid w:val="00803F4F"/>
    <w:rsid w:val="00803F90"/>
    <w:rsid w:val="00804867"/>
    <w:rsid w:val="00804874"/>
    <w:rsid w:val="00804DF8"/>
    <w:rsid w:val="00805038"/>
    <w:rsid w:val="0080548F"/>
    <w:rsid w:val="00805D3A"/>
    <w:rsid w:val="00806677"/>
    <w:rsid w:val="008066FF"/>
    <w:rsid w:val="00806802"/>
    <w:rsid w:val="008068F0"/>
    <w:rsid w:val="00806DA9"/>
    <w:rsid w:val="00806E70"/>
    <w:rsid w:val="008070DD"/>
    <w:rsid w:val="00807360"/>
    <w:rsid w:val="00807570"/>
    <w:rsid w:val="00807674"/>
    <w:rsid w:val="00807919"/>
    <w:rsid w:val="008079E5"/>
    <w:rsid w:val="008079F1"/>
    <w:rsid w:val="00807D2E"/>
    <w:rsid w:val="00807F25"/>
    <w:rsid w:val="008100F4"/>
    <w:rsid w:val="00810252"/>
    <w:rsid w:val="0081081A"/>
    <w:rsid w:val="00810E07"/>
    <w:rsid w:val="0081142C"/>
    <w:rsid w:val="008114DE"/>
    <w:rsid w:val="008115AB"/>
    <w:rsid w:val="008118F6"/>
    <w:rsid w:val="00812145"/>
    <w:rsid w:val="008121DD"/>
    <w:rsid w:val="0081244F"/>
    <w:rsid w:val="0081261C"/>
    <w:rsid w:val="00813199"/>
    <w:rsid w:val="008133B5"/>
    <w:rsid w:val="00813845"/>
    <w:rsid w:val="00814B2A"/>
    <w:rsid w:val="0081649C"/>
    <w:rsid w:val="00816B1A"/>
    <w:rsid w:val="00817243"/>
    <w:rsid w:val="0081742C"/>
    <w:rsid w:val="00817E9D"/>
    <w:rsid w:val="00820058"/>
    <w:rsid w:val="0082033F"/>
    <w:rsid w:val="0082051D"/>
    <w:rsid w:val="00820CC5"/>
    <w:rsid w:val="00820CE7"/>
    <w:rsid w:val="00820D20"/>
    <w:rsid w:val="00820DF4"/>
    <w:rsid w:val="00821304"/>
    <w:rsid w:val="00821339"/>
    <w:rsid w:val="008214B2"/>
    <w:rsid w:val="0082182B"/>
    <w:rsid w:val="00821979"/>
    <w:rsid w:val="00821D72"/>
    <w:rsid w:val="0082258C"/>
    <w:rsid w:val="00822636"/>
    <w:rsid w:val="00822A20"/>
    <w:rsid w:val="008230FA"/>
    <w:rsid w:val="00824298"/>
    <w:rsid w:val="00824589"/>
    <w:rsid w:val="00824AB9"/>
    <w:rsid w:val="00824B0A"/>
    <w:rsid w:val="00824CC6"/>
    <w:rsid w:val="008252E9"/>
    <w:rsid w:val="008253CE"/>
    <w:rsid w:val="00825925"/>
    <w:rsid w:val="008259B2"/>
    <w:rsid w:val="00825B3F"/>
    <w:rsid w:val="00826562"/>
    <w:rsid w:val="0082659A"/>
    <w:rsid w:val="008268A8"/>
    <w:rsid w:val="00826C07"/>
    <w:rsid w:val="00826D63"/>
    <w:rsid w:val="00827C8C"/>
    <w:rsid w:val="00827CE3"/>
    <w:rsid w:val="00827ED4"/>
    <w:rsid w:val="00830397"/>
    <w:rsid w:val="00830606"/>
    <w:rsid w:val="008308B1"/>
    <w:rsid w:val="00830C8C"/>
    <w:rsid w:val="00830F3F"/>
    <w:rsid w:val="008315C9"/>
    <w:rsid w:val="00832A5C"/>
    <w:rsid w:val="0083344A"/>
    <w:rsid w:val="00833895"/>
    <w:rsid w:val="00833CED"/>
    <w:rsid w:val="008340B5"/>
    <w:rsid w:val="00834314"/>
    <w:rsid w:val="008346F0"/>
    <w:rsid w:val="0083478C"/>
    <w:rsid w:val="00834975"/>
    <w:rsid w:val="00834A9F"/>
    <w:rsid w:val="00834D12"/>
    <w:rsid w:val="00834F43"/>
    <w:rsid w:val="00835B6D"/>
    <w:rsid w:val="00835E60"/>
    <w:rsid w:val="00836183"/>
    <w:rsid w:val="00836704"/>
    <w:rsid w:val="008367F7"/>
    <w:rsid w:val="0083771D"/>
    <w:rsid w:val="0083788C"/>
    <w:rsid w:val="008406F8"/>
    <w:rsid w:val="00840835"/>
    <w:rsid w:val="00840982"/>
    <w:rsid w:val="00840EB1"/>
    <w:rsid w:val="0084103D"/>
    <w:rsid w:val="00841355"/>
    <w:rsid w:val="00841377"/>
    <w:rsid w:val="008414D7"/>
    <w:rsid w:val="00841684"/>
    <w:rsid w:val="00841B3F"/>
    <w:rsid w:val="00842116"/>
    <w:rsid w:val="0084250B"/>
    <w:rsid w:val="0084302C"/>
    <w:rsid w:val="0084386B"/>
    <w:rsid w:val="00843CA1"/>
    <w:rsid w:val="0084444F"/>
    <w:rsid w:val="00844810"/>
    <w:rsid w:val="00845850"/>
    <w:rsid w:val="00845BF9"/>
    <w:rsid w:val="00845DA0"/>
    <w:rsid w:val="0084637A"/>
    <w:rsid w:val="00846551"/>
    <w:rsid w:val="00846B11"/>
    <w:rsid w:val="00846C60"/>
    <w:rsid w:val="00846DB4"/>
    <w:rsid w:val="0084783E"/>
    <w:rsid w:val="00847A3D"/>
    <w:rsid w:val="00847F6C"/>
    <w:rsid w:val="00850409"/>
    <w:rsid w:val="008508CD"/>
    <w:rsid w:val="00850DDC"/>
    <w:rsid w:val="00851D42"/>
    <w:rsid w:val="00852333"/>
    <w:rsid w:val="00853153"/>
    <w:rsid w:val="00853563"/>
    <w:rsid w:val="00853F2B"/>
    <w:rsid w:val="008541D1"/>
    <w:rsid w:val="008544FE"/>
    <w:rsid w:val="00854E4A"/>
    <w:rsid w:val="00855582"/>
    <w:rsid w:val="008561D2"/>
    <w:rsid w:val="0085639C"/>
    <w:rsid w:val="008563F7"/>
    <w:rsid w:val="00856779"/>
    <w:rsid w:val="00856946"/>
    <w:rsid w:val="00857F16"/>
    <w:rsid w:val="00860976"/>
    <w:rsid w:val="00860B8E"/>
    <w:rsid w:val="00860F2E"/>
    <w:rsid w:val="00861187"/>
    <w:rsid w:val="008614C8"/>
    <w:rsid w:val="00861506"/>
    <w:rsid w:val="0086182D"/>
    <w:rsid w:val="00861DEB"/>
    <w:rsid w:val="008625AB"/>
    <w:rsid w:val="00862649"/>
    <w:rsid w:val="008627A7"/>
    <w:rsid w:val="008632AF"/>
    <w:rsid w:val="00863850"/>
    <w:rsid w:val="00863AFB"/>
    <w:rsid w:val="00864312"/>
    <w:rsid w:val="00864680"/>
    <w:rsid w:val="00864759"/>
    <w:rsid w:val="00864CFF"/>
    <w:rsid w:val="0086511B"/>
    <w:rsid w:val="0086545E"/>
    <w:rsid w:val="00865E9F"/>
    <w:rsid w:val="00866378"/>
    <w:rsid w:val="00866AD3"/>
    <w:rsid w:val="00866CD8"/>
    <w:rsid w:val="0086734D"/>
    <w:rsid w:val="008673A2"/>
    <w:rsid w:val="0086776B"/>
    <w:rsid w:val="00867A7A"/>
    <w:rsid w:val="00870140"/>
    <w:rsid w:val="0087025B"/>
    <w:rsid w:val="008709E7"/>
    <w:rsid w:val="00872E98"/>
    <w:rsid w:val="00872F8E"/>
    <w:rsid w:val="00873A89"/>
    <w:rsid w:val="0087472E"/>
    <w:rsid w:val="00875027"/>
    <w:rsid w:val="00875310"/>
    <w:rsid w:val="00875358"/>
    <w:rsid w:val="00875375"/>
    <w:rsid w:val="008753FD"/>
    <w:rsid w:val="00875540"/>
    <w:rsid w:val="008759E9"/>
    <w:rsid w:val="00875A4B"/>
    <w:rsid w:val="00875FC4"/>
    <w:rsid w:val="008760A7"/>
    <w:rsid w:val="00876300"/>
    <w:rsid w:val="008805B1"/>
    <w:rsid w:val="008808E3"/>
    <w:rsid w:val="00880FE8"/>
    <w:rsid w:val="00881006"/>
    <w:rsid w:val="008816BE"/>
    <w:rsid w:val="008819E8"/>
    <w:rsid w:val="00881F1D"/>
    <w:rsid w:val="0088237C"/>
    <w:rsid w:val="00882781"/>
    <w:rsid w:val="00882B99"/>
    <w:rsid w:val="00882DCC"/>
    <w:rsid w:val="008830AE"/>
    <w:rsid w:val="008836DA"/>
    <w:rsid w:val="00883F27"/>
    <w:rsid w:val="00884628"/>
    <w:rsid w:val="00884639"/>
    <w:rsid w:val="00884650"/>
    <w:rsid w:val="00884775"/>
    <w:rsid w:val="00884BA6"/>
    <w:rsid w:val="00884C01"/>
    <w:rsid w:val="00884C29"/>
    <w:rsid w:val="00885687"/>
    <w:rsid w:val="0088584A"/>
    <w:rsid w:val="0088689B"/>
    <w:rsid w:val="00886C47"/>
    <w:rsid w:val="008875E0"/>
    <w:rsid w:val="00887617"/>
    <w:rsid w:val="0088767F"/>
    <w:rsid w:val="0088775E"/>
    <w:rsid w:val="0088775F"/>
    <w:rsid w:val="00887E9C"/>
    <w:rsid w:val="008902AA"/>
    <w:rsid w:val="008908B4"/>
    <w:rsid w:val="0089103C"/>
    <w:rsid w:val="00891427"/>
    <w:rsid w:val="008918F1"/>
    <w:rsid w:val="008928DF"/>
    <w:rsid w:val="00892A7E"/>
    <w:rsid w:val="00892B98"/>
    <w:rsid w:val="0089334E"/>
    <w:rsid w:val="008934C8"/>
    <w:rsid w:val="0089377F"/>
    <w:rsid w:val="00893860"/>
    <w:rsid w:val="00893A9A"/>
    <w:rsid w:val="00893BCF"/>
    <w:rsid w:val="00893BFE"/>
    <w:rsid w:val="00893F59"/>
    <w:rsid w:val="00893FB1"/>
    <w:rsid w:val="008946CF"/>
    <w:rsid w:val="00894ADD"/>
    <w:rsid w:val="00895B82"/>
    <w:rsid w:val="00896062"/>
    <w:rsid w:val="00896180"/>
    <w:rsid w:val="008961AE"/>
    <w:rsid w:val="00897018"/>
    <w:rsid w:val="008973F2"/>
    <w:rsid w:val="00897842"/>
    <w:rsid w:val="00897BB9"/>
    <w:rsid w:val="00897DDD"/>
    <w:rsid w:val="00897E26"/>
    <w:rsid w:val="008A010F"/>
    <w:rsid w:val="008A03D6"/>
    <w:rsid w:val="008A0676"/>
    <w:rsid w:val="008A0B73"/>
    <w:rsid w:val="008A0EFF"/>
    <w:rsid w:val="008A0F93"/>
    <w:rsid w:val="008A16E1"/>
    <w:rsid w:val="008A1744"/>
    <w:rsid w:val="008A177E"/>
    <w:rsid w:val="008A230E"/>
    <w:rsid w:val="008A2735"/>
    <w:rsid w:val="008A34C0"/>
    <w:rsid w:val="008A35B2"/>
    <w:rsid w:val="008A425D"/>
    <w:rsid w:val="008A4272"/>
    <w:rsid w:val="008A4359"/>
    <w:rsid w:val="008A4385"/>
    <w:rsid w:val="008A46AA"/>
    <w:rsid w:val="008A4C71"/>
    <w:rsid w:val="008A5361"/>
    <w:rsid w:val="008A54FE"/>
    <w:rsid w:val="008A6119"/>
    <w:rsid w:val="008A6359"/>
    <w:rsid w:val="008A6451"/>
    <w:rsid w:val="008A6674"/>
    <w:rsid w:val="008A67DC"/>
    <w:rsid w:val="008A6DC9"/>
    <w:rsid w:val="008A6DFF"/>
    <w:rsid w:val="008B063E"/>
    <w:rsid w:val="008B07EA"/>
    <w:rsid w:val="008B08F7"/>
    <w:rsid w:val="008B1700"/>
    <w:rsid w:val="008B2038"/>
    <w:rsid w:val="008B2E18"/>
    <w:rsid w:val="008B2F59"/>
    <w:rsid w:val="008B2F9F"/>
    <w:rsid w:val="008B3147"/>
    <w:rsid w:val="008B330F"/>
    <w:rsid w:val="008B33B5"/>
    <w:rsid w:val="008B402C"/>
    <w:rsid w:val="008B444C"/>
    <w:rsid w:val="008B475A"/>
    <w:rsid w:val="008B49A3"/>
    <w:rsid w:val="008B545F"/>
    <w:rsid w:val="008B56AD"/>
    <w:rsid w:val="008B5CF7"/>
    <w:rsid w:val="008B5ECA"/>
    <w:rsid w:val="008B6B8B"/>
    <w:rsid w:val="008B7341"/>
    <w:rsid w:val="008B7527"/>
    <w:rsid w:val="008B7DDC"/>
    <w:rsid w:val="008B7F49"/>
    <w:rsid w:val="008C01AB"/>
    <w:rsid w:val="008C0855"/>
    <w:rsid w:val="008C22F9"/>
    <w:rsid w:val="008C2BF6"/>
    <w:rsid w:val="008C39BB"/>
    <w:rsid w:val="008C39D0"/>
    <w:rsid w:val="008C451B"/>
    <w:rsid w:val="008C57E0"/>
    <w:rsid w:val="008C580E"/>
    <w:rsid w:val="008C5940"/>
    <w:rsid w:val="008C5A26"/>
    <w:rsid w:val="008C5DD6"/>
    <w:rsid w:val="008C6415"/>
    <w:rsid w:val="008C6796"/>
    <w:rsid w:val="008C6C49"/>
    <w:rsid w:val="008C6E6F"/>
    <w:rsid w:val="008C7414"/>
    <w:rsid w:val="008C78AD"/>
    <w:rsid w:val="008C7D34"/>
    <w:rsid w:val="008C7EEA"/>
    <w:rsid w:val="008D04B2"/>
    <w:rsid w:val="008D085D"/>
    <w:rsid w:val="008D087E"/>
    <w:rsid w:val="008D08D9"/>
    <w:rsid w:val="008D1F7B"/>
    <w:rsid w:val="008D2219"/>
    <w:rsid w:val="008D258E"/>
    <w:rsid w:val="008D2C3F"/>
    <w:rsid w:val="008D3019"/>
    <w:rsid w:val="008D311A"/>
    <w:rsid w:val="008D31A0"/>
    <w:rsid w:val="008D3E4D"/>
    <w:rsid w:val="008D419F"/>
    <w:rsid w:val="008D464F"/>
    <w:rsid w:val="008D48D9"/>
    <w:rsid w:val="008D4DCB"/>
    <w:rsid w:val="008D58E0"/>
    <w:rsid w:val="008D619C"/>
    <w:rsid w:val="008D6D27"/>
    <w:rsid w:val="008D6FC1"/>
    <w:rsid w:val="008D70E0"/>
    <w:rsid w:val="008D7F6F"/>
    <w:rsid w:val="008D7FED"/>
    <w:rsid w:val="008E014B"/>
    <w:rsid w:val="008E04D8"/>
    <w:rsid w:val="008E0D5D"/>
    <w:rsid w:val="008E107C"/>
    <w:rsid w:val="008E14D1"/>
    <w:rsid w:val="008E1681"/>
    <w:rsid w:val="008E17EB"/>
    <w:rsid w:val="008E1846"/>
    <w:rsid w:val="008E18A2"/>
    <w:rsid w:val="008E1B57"/>
    <w:rsid w:val="008E2099"/>
    <w:rsid w:val="008E22D7"/>
    <w:rsid w:val="008E2F9A"/>
    <w:rsid w:val="008E2FB2"/>
    <w:rsid w:val="008E37C8"/>
    <w:rsid w:val="008E3DEF"/>
    <w:rsid w:val="008E4735"/>
    <w:rsid w:val="008E4B1E"/>
    <w:rsid w:val="008E4FB2"/>
    <w:rsid w:val="008E528B"/>
    <w:rsid w:val="008E56AD"/>
    <w:rsid w:val="008E5865"/>
    <w:rsid w:val="008E5BF0"/>
    <w:rsid w:val="008E5F71"/>
    <w:rsid w:val="008E6711"/>
    <w:rsid w:val="008E67B4"/>
    <w:rsid w:val="008E6BCE"/>
    <w:rsid w:val="008E7078"/>
    <w:rsid w:val="008E77CF"/>
    <w:rsid w:val="008E7DE7"/>
    <w:rsid w:val="008F013A"/>
    <w:rsid w:val="008F0796"/>
    <w:rsid w:val="008F08B5"/>
    <w:rsid w:val="008F0A9A"/>
    <w:rsid w:val="008F19A9"/>
    <w:rsid w:val="008F2431"/>
    <w:rsid w:val="008F2791"/>
    <w:rsid w:val="008F295D"/>
    <w:rsid w:val="008F2D45"/>
    <w:rsid w:val="008F3083"/>
    <w:rsid w:val="008F34D4"/>
    <w:rsid w:val="008F383A"/>
    <w:rsid w:val="008F3E15"/>
    <w:rsid w:val="008F43B8"/>
    <w:rsid w:val="008F4825"/>
    <w:rsid w:val="008F4856"/>
    <w:rsid w:val="008F4979"/>
    <w:rsid w:val="008F4985"/>
    <w:rsid w:val="008F4BDC"/>
    <w:rsid w:val="008F5A2F"/>
    <w:rsid w:val="008F6EA6"/>
    <w:rsid w:val="008F7054"/>
    <w:rsid w:val="008F7399"/>
    <w:rsid w:val="008F76C4"/>
    <w:rsid w:val="008F7837"/>
    <w:rsid w:val="008F7D39"/>
    <w:rsid w:val="00900056"/>
    <w:rsid w:val="0090091B"/>
    <w:rsid w:val="009009D0"/>
    <w:rsid w:val="00900E17"/>
    <w:rsid w:val="00900FA9"/>
    <w:rsid w:val="009010D4"/>
    <w:rsid w:val="0090116C"/>
    <w:rsid w:val="009013BB"/>
    <w:rsid w:val="009013E9"/>
    <w:rsid w:val="009014AD"/>
    <w:rsid w:val="00901996"/>
    <w:rsid w:val="009024DC"/>
    <w:rsid w:val="00902C42"/>
    <w:rsid w:val="009031BC"/>
    <w:rsid w:val="00903654"/>
    <w:rsid w:val="00904700"/>
    <w:rsid w:val="0090521F"/>
    <w:rsid w:val="00905246"/>
    <w:rsid w:val="00905694"/>
    <w:rsid w:val="009059B5"/>
    <w:rsid w:val="0090626B"/>
    <w:rsid w:val="009066C3"/>
    <w:rsid w:val="00907102"/>
    <w:rsid w:val="00907C3D"/>
    <w:rsid w:val="00907D34"/>
    <w:rsid w:val="00910052"/>
    <w:rsid w:val="009105A4"/>
    <w:rsid w:val="00910A9D"/>
    <w:rsid w:val="009111FF"/>
    <w:rsid w:val="0091136A"/>
    <w:rsid w:val="009113C5"/>
    <w:rsid w:val="00911741"/>
    <w:rsid w:val="00911FDF"/>
    <w:rsid w:val="0091238D"/>
    <w:rsid w:val="00912C7D"/>
    <w:rsid w:val="00912CF0"/>
    <w:rsid w:val="00912EDA"/>
    <w:rsid w:val="009131E4"/>
    <w:rsid w:val="0091343E"/>
    <w:rsid w:val="009146B9"/>
    <w:rsid w:val="00914D22"/>
    <w:rsid w:val="00914E32"/>
    <w:rsid w:val="00915427"/>
    <w:rsid w:val="00915549"/>
    <w:rsid w:val="00915716"/>
    <w:rsid w:val="00915829"/>
    <w:rsid w:val="0091590F"/>
    <w:rsid w:val="00916397"/>
    <w:rsid w:val="00917678"/>
    <w:rsid w:val="009176BD"/>
    <w:rsid w:val="0091786B"/>
    <w:rsid w:val="009179A5"/>
    <w:rsid w:val="00917DC5"/>
    <w:rsid w:val="00920B4E"/>
    <w:rsid w:val="00920BA7"/>
    <w:rsid w:val="00920D23"/>
    <w:rsid w:val="00920DFB"/>
    <w:rsid w:val="00921DA1"/>
    <w:rsid w:val="00922116"/>
    <w:rsid w:val="00922315"/>
    <w:rsid w:val="0092246A"/>
    <w:rsid w:val="00922C08"/>
    <w:rsid w:val="00922D6C"/>
    <w:rsid w:val="00923B60"/>
    <w:rsid w:val="0092460F"/>
    <w:rsid w:val="00924676"/>
    <w:rsid w:val="009246D1"/>
    <w:rsid w:val="009254A5"/>
    <w:rsid w:val="00925E93"/>
    <w:rsid w:val="0092621D"/>
    <w:rsid w:val="0092650B"/>
    <w:rsid w:val="00926B94"/>
    <w:rsid w:val="009271CE"/>
    <w:rsid w:val="009273BE"/>
    <w:rsid w:val="009279CB"/>
    <w:rsid w:val="00927A57"/>
    <w:rsid w:val="00930362"/>
    <w:rsid w:val="0093051F"/>
    <w:rsid w:val="00930C67"/>
    <w:rsid w:val="00930E33"/>
    <w:rsid w:val="009316BB"/>
    <w:rsid w:val="009319E2"/>
    <w:rsid w:val="00932538"/>
    <w:rsid w:val="009326A0"/>
    <w:rsid w:val="0093280E"/>
    <w:rsid w:val="00932D52"/>
    <w:rsid w:val="00932E50"/>
    <w:rsid w:val="009330BF"/>
    <w:rsid w:val="00933368"/>
    <w:rsid w:val="0093337B"/>
    <w:rsid w:val="00933DD5"/>
    <w:rsid w:val="00934CA9"/>
    <w:rsid w:val="00934FE1"/>
    <w:rsid w:val="0093524B"/>
    <w:rsid w:val="009364CE"/>
    <w:rsid w:val="009367BA"/>
    <w:rsid w:val="00936E9B"/>
    <w:rsid w:val="00936F1F"/>
    <w:rsid w:val="00936F7D"/>
    <w:rsid w:val="00937001"/>
    <w:rsid w:val="009375D8"/>
    <w:rsid w:val="00940F69"/>
    <w:rsid w:val="00941613"/>
    <w:rsid w:val="00942D2B"/>
    <w:rsid w:val="00943880"/>
    <w:rsid w:val="00943CCE"/>
    <w:rsid w:val="00943E71"/>
    <w:rsid w:val="009442B1"/>
    <w:rsid w:val="00944916"/>
    <w:rsid w:val="00944CBD"/>
    <w:rsid w:val="00944D67"/>
    <w:rsid w:val="00944DE0"/>
    <w:rsid w:val="00945304"/>
    <w:rsid w:val="00945588"/>
    <w:rsid w:val="0094591B"/>
    <w:rsid w:val="00946398"/>
    <w:rsid w:val="00946CBE"/>
    <w:rsid w:val="00946D1A"/>
    <w:rsid w:val="00946FD4"/>
    <w:rsid w:val="009476F1"/>
    <w:rsid w:val="00947885"/>
    <w:rsid w:val="00950129"/>
    <w:rsid w:val="00950F5D"/>
    <w:rsid w:val="00951067"/>
    <w:rsid w:val="00951C33"/>
    <w:rsid w:val="00951FF1"/>
    <w:rsid w:val="0095246D"/>
    <w:rsid w:val="00952607"/>
    <w:rsid w:val="00952E30"/>
    <w:rsid w:val="00953622"/>
    <w:rsid w:val="009537F1"/>
    <w:rsid w:val="00953FD2"/>
    <w:rsid w:val="009543EC"/>
    <w:rsid w:val="0095467C"/>
    <w:rsid w:val="009546E1"/>
    <w:rsid w:val="009554D4"/>
    <w:rsid w:val="0095553E"/>
    <w:rsid w:val="00955D2E"/>
    <w:rsid w:val="00956347"/>
    <w:rsid w:val="00956B48"/>
    <w:rsid w:val="0095745B"/>
    <w:rsid w:val="00957A46"/>
    <w:rsid w:val="00957D79"/>
    <w:rsid w:val="009601E7"/>
    <w:rsid w:val="00960581"/>
    <w:rsid w:val="009619FB"/>
    <w:rsid w:val="00961B61"/>
    <w:rsid w:val="00962D8D"/>
    <w:rsid w:val="0096319E"/>
    <w:rsid w:val="0096458C"/>
    <w:rsid w:val="00964861"/>
    <w:rsid w:val="009648F3"/>
    <w:rsid w:val="00964ADD"/>
    <w:rsid w:val="00965282"/>
    <w:rsid w:val="0096557A"/>
    <w:rsid w:val="00965CD7"/>
    <w:rsid w:val="00966350"/>
    <w:rsid w:val="00966592"/>
    <w:rsid w:val="009667CE"/>
    <w:rsid w:val="00966883"/>
    <w:rsid w:val="0096718D"/>
    <w:rsid w:val="009676FE"/>
    <w:rsid w:val="00967C24"/>
    <w:rsid w:val="00967DF8"/>
    <w:rsid w:val="00967FB9"/>
    <w:rsid w:val="00967FF1"/>
    <w:rsid w:val="00970263"/>
    <w:rsid w:val="00970708"/>
    <w:rsid w:val="009712E1"/>
    <w:rsid w:val="00971300"/>
    <w:rsid w:val="00971A21"/>
    <w:rsid w:val="00971E98"/>
    <w:rsid w:val="009726AD"/>
    <w:rsid w:val="00972ADE"/>
    <w:rsid w:val="00972E10"/>
    <w:rsid w:val="009730E0"/>
    <w:rsid w:val="0097397C"/>
    <w:rsid w:val="0097425E"/>
    <w:rsid w:val="00974956"/>
    <w:rsid w:val="00974C01"/>
    <w:rsid w:val="009755DE"/>
    <w:rsid w:val="00975E7B"/>
    <w:rsid w:val="009765A2"/>
    <w:rsid w:val="0097714A"/>
    <w:rsid w:val="00977A9B"/>
    <w:rsid w:val="0098035C"/>
    <w:rsid w:val="009807BA"/>
    <w:rsid w:val="00980FA9"/>
    <w:rsid w:val="009813B1"/>
    <w:rsid w:val="00981681"/>
    <w:rsid w:val="0098213D"/>
    <w:rsid w:val="009824BD"/>
    <w:rsid w:val="00982591"/>
    <w:rsid w:val="00982688"/>
    <w:rsid w:val="009827B0"/>
    <w:rsid w:val="00982DCF"/>
    <w:rsid w:val="00983365"/>
    <w:rsid w:val="009833C1"/>
    <w:rsid w:val="0098389D"/>
    <w:rsid w:val="00983ADF"/>
    <w:rsid w:val="009841B5"/>
    <w:rsid w:val="009842B8"/>
    <w:rsid w:val="009842D3"/>
    <w:rsid w:val="0098436F"/>
    <w:rsid w:val="009850CA"/>
    <w:rsid w:val="00985281"/>
    <w:rsid w:val="00985ABA"/>
    <w:rsid w:val="00985C95"/>
    <w:rsid w:val="00985E6A"/>
    <w:rsid w:val="00986042"/>
    <w:rsid w:val="00986433"/>
    <w:rsid w:val="00986A7A"/>
    <w:rsid w:val="00986EDE"/>
    <w:rsid w:val="0098745A"/>
    <w:rsid w:val="0098782A"/>
    <w:rsid w:val="00990369"/>
    <w:rsid w:val="00990ABF"/>
    <w:rsid w:val="00991DEF"/>
    <w:rsid w:val="00991F3A"/>
    <w:rsid w:val="009924C9"/>
    <w:rsid w:val="00992E8F"/>
    <w:rsid w:val="0099315F"/>
    <w:rsid w:val="009931C2"/>
    <w:rsid w:val="009932D3"/>
    <w:rsid w:val="00993BA4"/>
    <w:rsid w:val="009948CA"/>
    <w:rsid w:val="009948EA"/>
    <w:rsid w:val="0099528A"/>
    <w:rsid w:val="009957F7"/>
    <w:rsid w:val="009962FA"/>
    <w:rsid w:val="009967FA"/>
    <w:rsid w:val="00996B70"/>
    <w:rsid w:val="00996D63"/>
    <w:rsid w:val="009973B5"/>
    <w:rsid w:val="009978D4"/>
    <w:rsid w:val="009A0173"/>
    <w:rsid w:val="009A1718"/>
    <w:rsid w:val="009A1B97"/>
    <w:rsid w:val="009A2885"/>
    <w:rsid w:val="009A2AE1"/>
    <w:rsid w:val="009A2EC7"/>
    <w:rsid w:val="009A3618"/>
    <w:rsid w:val="009A3ABA"/>
    <w:rsid w:val="009A3D78"/>
    <w:rsid w:val="009A4879"/>
    <w:rsid w:val="009A48A2"/>
    <w:rsid w:val="009A4A98"/>
    <w:rsid w:val="009A4B0D"/>
    <w:rsid w:val="009A502C"/>
    <w:rsid w:val="009A526B"/>
    <w:rsid w:val="009A5876"/>
    <w:rsid w:val="009A58AF"/>
    <w:rsid w:val="009A5CF7"/>
    <w:rsid w:val="009A62A1"/>
    <w:rsid w:val="009A638E"/>
    <w:rsid w:val="009A6623"/>
    <w:rsid w:val="009A684A"/>
    <w:rsid w:val="009A709D"/>
    <w:rsid w:val="009A7A53"/>
    <w:rsid w:val="009A7B9E"/>
    <w:rsid w:val="009A7BEE"/>
    <w:rsid w:val="009A7DA7"/>
    <w:rsid w:val="009A7EAE"/>
    <w:rsid w:val="009B0495"/>
    <w:rsid w:val="009B06A5"/>
    <w:rsid w:val="009B0F99"/>
    <w:rsid w:val="009B0FAF"/>
    <w:rsid w:val="009B156E"/>
    <w:rsid w:val="009B15C7"/>
    <w:rsid w:val="009B15E5"/>
    <w:rsid w:val="009B17BA"/>
    <w:rsid w:val="009B1885"/>
    <w:rsid w:val="009B1EE4"/>
    <w:rsid w:val="009B2334"/>
    <w:rsid w:val="009B25F1"/>
    <w:rsid w:val="009B35F9"/>
    <w:rsid w:val="009B360D"/>
    <w:rsid w:val="009B3C5F"/>
    <w:rsid w:val="009B41E5"/>
    <w:rsid w:val="009B42F0"/>
    <w:rsid w:val="009B486D"/>
    <w:rsid w:val="009B54DE"/>
    <w:rsid w:val="009B57FA"/>
    <w:rsid w:val="009B5970"/>
    <w:rsid w:val="009B5D32"/>
    <w:rsid w:val="009B6CD3"/>
    <w:rsid w:val="009B713E"/>
    <w:rsid w:val="009B751E"/>
    <w:rsid w:val="009B754E"/>
    <w:rsid w:val="009B78BA"/>
    <w:rsid w:val="009B7AE7"/>
    <w:rsid w:val="009C0A42"/>
    <w:rsid w:val="009C0C80"/>
    <w:rsid w:val="009C0CA5"/>
    <w:rsid w:val="009C1001"/>
    <w:rsid w:val="009C11FC"/>
    <w:rsid w:val="009C1286"/>
    <w:rsid w:val="009C1690"/>
    <w:rsid w:val="009C192B"/>
    <w:rsid w:val="009C195F"/>
    <w:rsid w:val="009C2D69"/>
    <w:rsid w:val="009C3047"/>
    <w:rsid w:val="009C35BA"/>
    <w:rsid w:val="009C3A28"/>
    <w:rsid w:val="009C3AF4"/>
    <w:rsid w:val="009C3E78"/>
    <w:rsid w:val="009C431C"/>
    <w:rsid w:val="009C44A1"/>
    <w:rsid w:val="009C47F4"/>
    <w:rsid w:val="009C48B9"/>
    <w:rsid w:val="009C48F2"/>
    <w:rsid w:val="009C4B7A"/>
    <w:rsid w:val="009C5181"/>
    <w:rsid w:val="009C575C"/>
    <w:rsid w:val="009C58EB"/>
    <w:rsid w:val="009C608E"/>
    <w:rsid w:val="009C6BBE"/>
    <w:rsid w:val="009C6F6D"/>
    <w:rsid w:val="009C76CC"/>
    <w:rsid w:val="009C7746"/>
    <w:rsid w:val="009D0518"/>
    <w:rsid w:val="009D0AE1"/>
    <w:rsid w:val="009D0B8C"/>
    <w:rsid w:val="009D2212"/>
    <w:rsid w:val="009D23F3"/>
    <w:rsid w:val="009D28A1"/>
    <w:rsid w:val="009D299C"/>
    <w:rsid w:val="009D2D8C"/>
    <w:rsid w:val="009D2E8B"/>
    <w:rsid w:val="009D32BF"/>
    <w:rsid w:val="009D343D"/>
    <w:rsid w:val="009D4059"/>
    <w:rsid w:val="009D474A"/>
    <w:rsid w:val="009D4DA4"/>
    <w:rsid w:val="009D50A1"/>
    <w:rsid w:val="009D5291"/>
    <w:rsid w:val="009D5CCC"/>
    <w:rsid w:val="009D67FB"/>
    <w:rsid w:val="009D7769"/>
    <w:rsid w:val="009D7947"/>
    <w:rsid w:val="009E0333"/>
    <w:rsid w:val="009E06E2"/>
    <w:rsid w:val="009E0BE9"/>
    <w:rsid w:val="009E0F5E"/>
    <w:rsid w:val="009E1527"/>
    <w:rsid w:val="009E160E"/>
    <w:rsid w:val="009E1A79"/>
    <w:rsid w:val="009E1E36"/>
    <w:rsid w:val="009E21A1"/>
    <w:rsid w:val="009E286B"/>
    <w:rsid w:val="009E28DF"/>
    <w:rsid w:val="009E2C31"/>
    <w:rsid w:val="009E2F0F"/>
    <w:rsid w:val="009E3058"/>
    <w:rsid w:val="009E35AE"/>
    <w:rsid w:val="009E40A3"/>
    <w:rsid w:val="009E4352"/>
    <w:rsid w:val="009E4B25"/>
    <w:rsid w:val="009E4B9C"/>
    <w:rsid w:val="009E50C1"/>
    <w:rsid w:val="009E5145"/>
    <w:rsid w:val="009E518B"/>
    <w:rsid w:val="009E51DD"/>
    <w:rsid w:val="009E5570"/>
    <w:rsid w:val="009E5876"/>
    <w:rsid w:val="009E59E9"/>
    <w:rsid w:val="009E62AF"/>
    <w:rsid w:val="009E643F"/>
    <w:rsid w:val="009E64FF"/>
    <w:rsid w:val="009E6514"/>
    <w:rsid w:val="009E672A"/>
    <w:rsid w:val="009E6E8A"/>
    <w:rsid w:val="009E708A"/>
    <w:rsid w:val="009E708C"/>
    <w:rsid w:val="009E7342"/>
    <w:rsid w:val="009E7349"/>
    <w:rsid w:val="009F008C"/>
    <w:rsid w:val="009F0753"/>
    <w:rsid w:val="009F1088"/>
    <w:rsid w:val="009F1829"/>
    <w:rsid w:val="009F1966"/>
    <w:rsid w:val="009F1D7E"/>
    <w:rsid w:val="009F246B"/>
    <w:rsid w:val="009F274F"/>
    <w:rsid w:val="009F29BB"/>
    <w:rsid w:val="009F471B"/>
    <w:rsid w:val="009F4C58"/>
    <w:rsid w:val="009F5168"/>
    <w:rsid w:val="009F53BC"/>
    <w:rsid w:val="009F5967"/>
    <w:rsid w:val="009F5EFB"/>
    <w:rsid w:val="009F6D58"/>
    <w:rsid w:val="009F75F2"/>
    <w:rsid w:val="009F7B0A"/>
    <w:rsid w:val="00A0031A"/>
    <w:rsid w:val="00A00BA3"/>
    <w:rsid w:val="00A00FC6"/>
    <w:rsid w:val="00A00FDF"/>
    <w:rsid w:val="00A011A9"/>
    <w:rsid w:val="00A01A2C"/>
    <w:rsid w:val="00A01C55"/>
    <w:rsid w:val="00A0253D"/>
    <w:rsid w:val="00A02A29"/>
    <w:rsid w:val="00A03416"/>
    <w:rsid w:val="00A0367D"/>
    <w:rsid w:val="00A0449E"/>
    <w:rsid w:val="00A04C44"/>
    <w:rsid w:val="00A04D69"/>
    <w:rsid w:val="00A0549D"/>
    <w:rsid w:val="00A05B1B"/>
    <w:rsid w:val="00A05BCF"/>
    <w:rsid w:val="00A05FEE"/>
    <w:rsid w:val="00A060BA"/>
    <w:rsid w:val="00A062F2"/>
    <w:rsid w:val="00A06ECB"/>
    <w:rsid w:val="00A07AB5"/>
    <w:rsid w:val="00A07C9F"/>
    <w:rsid w:val="00A07D17"/>
    <w:rsid w:val="00A07D6C"/>
    <w:rsid w:val="00A1062A"/>
    <w:rsid w:val="00A10C66"/>
    <w:rsid w:val="00A111C1"/>
    <w:rsid w:val="00A11394"/>
    <w:rsid w:val="00A115FC"/>
    <w:rsid w:val="00A11AFA"/>
    <w:rsid w:val="00A1212D"/>
    <w:rsid w:val="00A12A06"/>
    <w:rsid w:val="00A12FF8"/>
    <w:rsid w:val="00A13508"/>
    <w:rsid w:val="00A139FC"/>
    <w:rsid w:val="00A14923"/>
    <w:rsid w:val="00A14D0A"/>
    <w:rsid w:val="00A150E0"/>
    <w:rsid w:val="00A153A4"/>
    <w:rsid w:val="00A15665"/>
    <w:rsid w:val="00A156E3"/>
    <w:rsid w:val="00A15C68"/>
    <w:rsid w:val="00A15ECC"/>
    <w:rsid w:val="00A16688"/>
    <w:rsid w:val="00A16AB3"/>
    <w:rsid w:val="00A17486"/>
    <w:rsid w:val="00A2080D"/>
    <w:rsid w:val="00A209E1"/>
    <w:rsid w:val="00A2114F"/>
    <w:rsid w:val="00A2122A"/>
    <w:rsid w:val="00A212AA"/>
    <w:rsid w:val="00A2196C"/>
    <w:rsid w:val="00A21E3F"/>
    <w:rsid w:val="00A21E86"/>
    <w:rsid w:val="00A228D1"/>
    <w:rsid w:val="00A24109"/>
    <w:rsid w:val="00A24483"/>
    <w:rsid w:val="00A25103"/>
    <w:rsid w:val="00A2510D"/>
    <w:rsid w:val="00A25709"/>
    <w:rsid w:val="00A25B1C"/>
    <w:rsid w:val="00A25EC0"/>
    <w:rsid w:val="00A25F11"/>
    <w:rsid w:val="00A263F6"/>
    <w:rsid w:val="00A268D4"/>
    <w:rsid w:val="00A26A98"/>
    <w:rsid w:val="00A26C76"/>
    <w:rsid w:val="00A272FE"/>
    <w:rsid w:val="00A2746D"/>
    <w:rsid w:val="00A27BFD"/>
    <w:rsid w:val="00A3057C"/>
    <w:rsid w:val="00A30EAD"/>
    <w:rsid w:val="00A310E8"/>
    <w:rsid w:val="00A312CB"/>
    <w:rsid w:val="00A317E4"/>
    <w:rsid w:val="00A318EF"/>
    <w:rsid w:val="00A31FD5"/>
    <w:rsid w:val="00A3234C"/>
    <w:rsid w:val="00A326D7"/>
    <w:rsid w:val="00A3334A"/>
    <w:rsid w:val="00A3354C"/>
    <w:rsid w:val="00A33A9B"/>
    <w:rsid w:val="00A33FF6"/>
    <w:rsid w:val="00A342C1"/>
    <w:rsid w:val="00A34915"/>
    <w:rsid w:val="00A34F0A"/>
    <w:rsid w:val="00A355CF"/>
    <w:rsid w:val="00A3631C"/>
    <w:rsid w:val="00A366B5"/>
    <w:rsid w:val="00A36DFE"/>
    <w:rsid w:val="00A36FA5"/>
    <w:rsid w:val="00A36FC5"/>
    <w:rsid w:val="00A373E1"/>
    <w:rsid w:val="00A40235"/>
    <w:rsid w:val="00A40262"/>
    <w:rsid w:val="00A41A33"/>
    <w:rsid w:val="00A41F32"/>
    <w:rsid w:val="00A426A2"/>
    <w:rsid w:val="00A42D51"/>
    <w:rsid w:val="00A43075"/>
    <w:rsid w:val="00A4376E"/>
    <w:rsid w:val="00A44440"/>
    <w:rsid w:val="00A4461D"/>
    <w:rsid w:val="00A44B7A"/>
    <w:rsid w:val="00A450FA"/>
    <w:rsid w:val="00A45124"/>
    <w:rsid w:val="00A46146"/>
    <w:rsid w:val="00A465C8"/>
    <w:rsid w:val="00A466C0"/>
    <w:rsid w:val="00A4695D"/>
    <w:rsid w:val="00A477D9"/>
    <w:rsid w:val="00A47834"/>
    <w:rsid w:val="00A47A81"/>
    <w:rsid w:val="00A50053"/>
    <w:rsid w:val="00A5068A"/>
    <w:rsid w:val="00A51A9C"/>
    <w:rsid w:val="00A5232A"/>
    <w:rsid w:val="00A526DF"/>
    <w:rsid w:val="00A52800"/>
    <w:rsid w:val="00A52970"/>
    <w:rsid w:val="00A52ACC"/>
    <w:rsid w:val="00A52ACF"/>
    <w:rsid w:val="00A53567"/>
    <w:rsid w:val="00A54058"/>
    <w:rsid w:val="00A5411D"/>
    <w:rsid w:val="00A541CC"/>
    <w:rsid w:val="00A5459B"/>
    <w:rsid w:val="00A54CF0"/>
    <w:rsid w:val="00A54FE6"/>
    <w:rsid w:val="00A550B7"/>
    <w:rsid w:val="00A55F82"/>
    <w:rsid w:val="00A56623"/>
    <w:rsid w:val="00A56BCE"/>
    <w:rsid w:val="00A56F8A"/>
    <w:rsid w:val="00A57A0A"/>
    <w:rsid w:val="00A60633"/>
    <w:rsid w:val="00A613D8"/>
    <w:rsid w:val="00A61455"/>
    <w:rsid w:val="00A6166E"/>
    <w:rsid w:val="00A619CE"/>
    <w:rsid w:val="00A62119"/>
    <w:rsid w:val="00A626B6"/>
    <w:rsid w:val="00A626C5"/>
    <w:rsid w:val="00A62CF1"/>
    <w:rsid w:val="00A63A83"/>
    <w:rsid w:val="00A63ADF"/>
    <w:rsid w:val="00A63C30"/>
    <w:rsid w:val="00A63EC3"/>
    <w:rsid w:val="00A64297"/>
    <w:rsid w:val="00A64496"/>
    <w:rsid w:val="00A64963"/>
    <w:rsid w:val="00A64AA8"/>
    <w:rsid w:val="00A64C77"/>
    <w:rsid w:val="00A64CBE"/>
    <w:rsid w:val="00A64D52"/>
    <w:rsid w:val="00A64E73"/>
    <w:rsid w:val="00A655E4"/>
    <w:rsid w:val="00A655E6"/>
    <w:rsid w:val="00A65668"/>
    <w:rsid w:val="00A656B1"/>
    <w:rsid w:val="00A65A2A"/>
    <w:rsid w:val="00A6606F"/>
    <w:rsid w:val="00A660EB"/>
    <w:rsid w:val="00A661FB"/>
    <w:rsid w:val="00A66786"/>
    <w:rsid w:val="00A6751A"/>
    <w:rsid w:val="00A676ED"/>
    <w:rsid w:val="00A678AC"/>
    <w:rsid w:val="00A67A04"/>
    <w:rsid w:val="00A67AED"/>
    <w:rsid w:val="00A7096C"/>
    <w:rsid w:val="00A71612"/>
    <w:rsid w:val="00A71840"/>
    <w:rsid w:val="00A72A28"/>
    <w:rsid w:val="00A73F30"/>
    <w:rsid w:val="00A74D27"/>
    <w:rsid w:val="00A757DF"/>
    <w:rsid w:val="00A75AFC"/>
    <w:rsid w:val="00A768C7"/>
    <w:rsid w:val="00A76A41"/>
    <w:rsid w:val="00A76D52"/>
    <w:rsid w:val="00A76F19"/>
    <w:rsid w:val="00A77160"/>
    <w:rsid w:val="00A77870"/>
    <w:rsid w:val="00A80069"/>
    <w:rsid w:val="00A80F77"/>
    <w:rsid w:val="00A80F90"/>
    <w:rsid w:val="00A814EE"/>
    <w:rsid w:val="00A818C2"/>
    <w:rsid w:val="00A81974"/>
    <w:rsid w:val="00A81984"/>
    <w:rsid w:val="00A819ED"/>
    <w:rsid w:val="00A81B74"/>
    <w:rsid w:val="00A82027"/>
    <w:rsid w:val="00A826AB"/>
    <w:rsid w:val="00A827CF"/>
    <w:rsid w:val="00A8297A"/>
    <w:rsid w:val="00A83200"/>
    <w:rsid w:val="00A83E26"/>
    <w:rsid w:val="00A83EF4"/>
    <w:rsid w:val="00A86506"/>
    <w:rsid w:val="00A86B26"/>
    <w:rsid w:val="00A8737F"/>
    <w:rsid w:val="00A8753D"/>
    <w:rsid w:val="00A87545"/>
    <w:rsid w:val="00A877A7"/>
    <w:rsid w:val="00A8787D"/>
    <w:rsid w:val="00A87C7F"/>
    <w:rsid w:val="00A87CAE"/>
    <w:rsid w:val="00A90074"/>
    <w:rsid w:val="00A90360"/>
    <w:rsid w:val="00A90582"/>
    <w:rsid w:val="00A906A9"/>
    <w:rsid w:val="00A908CA"/>
    <w:rsid w:val="00A90E9A"/>
    <w:rsid w:val="00A91602"/>
    <w:rsid w:val="00A918AD"/>
    <w:rsid w:val="00A91AB5"/>
    <w:rsid w:val="00A929AE"/>
    <w:rsid w:val="00A92C9A"/>
    <w:rsid w:val="00A92F42"/>
    <w:rsid w:val="00A939DE"/>
    <w:rsid w:val="00A93B67"/>
    <w:rsid w:val="00A93EE1"/>
    <w:rsid w:val="00A940D9"/>
    <w:rsid w:val="00A94B7A"/>
    <w:rsid w:val="00A94D4B"/>
    <w:rsid w:val="00A94DF0"/>
    <w:rsid w:val="00A94E4D"/>
    <w:rsid w:val="00A94E64"/>
    <w:rsid w:val="00A94F4B"/>
    <w:rsid w:val="00A951A7"/>
    <w:rsid w:val="00A95628"/>
    <w:rsid w:val="00A95937"/>
    <w:rsid w:val="00A96004"/>
    <w:rsid w:val="00A96055"/>
    <w:rsid w:val="00A96318"/>
    <w:rsid w:val="00A97775"/>
    <w:rsid w:val="00A97D14"/>
    <w:rsid w:val="00AA01E6"/>
    <w:rsid w:val="00AA02D4"/>
    <w:rsid w:val="00AA1309"/>
    <w:rsid w:val="00AA18B1"/>
    <w:rsid w:val="00AA2AA1"/>
    <w:rsid w:val="00AA2E52"/>
    <w:rsid w:val="00AA37F3"/>
    <w:rsid w:val="00AA3867"/>
    <w:rsid w:val="00AA3892"/>
    <w:rsid w:val="00AA39FC"/>
    <w:rsid w:val="00AA3A39"/>
    <w:rsid w:val="00AA3D87"/>
    <w:rsid w:val="00AA426D"/>
    <w:rsid w:val="00AA45E0"/>
    <w:rsid w:val="00AA4A9D"/>
    <w:rsid w:val="00AA4D86"/>
    <w:rsid w:val="00AA5357"/>
    <w:rsid w:val="00AA560C"/>
    <w:rsid w:val="00AA5A7A"/>
    <w:rsid w:val="00AA5B39"/>
    <w:rsid w:val="00AA5CB3"/>
    <w:rsid w:val="00AA6CE1"/>
    <w:rsid w:val="00AA786A"/>
    <w:rsid w:val="00AA7FD8"/>
    <w:rsid w:val="00AB06BF"/>
    <w:rsid w:val="00AB0CF8"/>
    <w:rsid w:val="00AB0E7C"/>
    <w:rsid w:val="00AB105C"/>
    <w:rsid w:val="00AB129A"/>
    <w:rsid w:val="00AB130C"/>
    <w:rsid w:val="00AB1640"/>
    <w:rsid w:val="00AB1C26"/>
    <w:rsid w:val="00AB1CBA"/>
    <w:rsid w:val="00AB1DA3"/>
    <w:rsid w:val="00AB265B"/>
    <w:rsid w:val="00AB2777"/>
    <w:rsid w:val="00AB2817"/>
    <w:rsid w:val="00AB2F40"/>
    <w:rsid w:val="00AB35DF"/>
    <w:rsid w:val="00AB3AED"/>
    <w:rsid w:val="00AB3BAB"/>
    <w:rsid w:val="00AB3CF0"/>
    <w:rsid w:val="00AB3D50"/>
    <w:rsid w:val="00AB3E6C"/>
    <w:rsid w:val="00AB459C"/>
    <w:rsid w:val="00AB45E9"/>
    <w:rsid w:val="00AB472B"/>
    <w:rsid w:val="00AB481E"/>
    <w:rsid w:val="00AB4CFE"/>
    <w:rsid w:val="00AB4F7A"/>
    <w:rsid w:val="00AB53BA"/>
    <w:rsid w:val="00AB608F"/>
    <w:rsid w:val="00AB6446"/>
    <w:rsid w:val="00AB6535"/>
    <w:rsid w:val="00AB693D"/>
    <w:rsid w:val="00AB6E2C"/>
    <w:rsid w:val="00AC031A"/>
    <w:rsid w:val="00AC07C9"/>
    <w:rsid w:val="00AC0D26"/>
    <w:rsid w:val="00AC0D4E"/>
    <w:rsid w:val="00AC0DCA"/>
    <w:rsid w:val="00AC0E9A"/>
    <w:rsid w:val="00AC0F12"/>
    <w:rsid w:val="00AC17FC"/>
    <w:rsid w:val="00AC20DD"/>
    <w:rsid w:val="00AC2676"/>
    <w:rsid w:val="00AC27DB"/>
    <w:rsid w:val="00AC2873"/>
    <w:rsid w:val="00AC2AA1"/>
    <w:rsid w:val="00AC2C95"/>
    <w:rsid w:val="00AC2F6B"/>
    <w:rsid w:val="00AC30E4"/>
    <w:rsid w:val="00AC32F6"/>
    <w:rsid w:val="00AC3C5C"/>
    <w:rsid w:val="00AC4066"/>
    <w:rsid w:val="00AC51FE"/>
    <w:rsid w:val="00AC55CC"/>
    <w:rsid w:val="00AC576A"/>
    <w:rsid w:val="00AC5C0C"/>
    <w:rsid w:val="00AC66D6"/>
    <w:rsid w:val="00AC6FFF"/>
    <w:rsid w:val="00AC7586"/>
    <w:rsid w:val="00AC7C87"/>
    <w:rsid w:val="00AC7F41"/>
    <w:rsid w:val="00AD04FD"/>
    <w:rsid w:val="00AD0557"/>
    <w:rsid w:val="00AD0FED"/>
    <w:rsid w:val="00AD1245"/>
    <w:rsid w:val="00AD16C5"/>
    <w:rsid w:val="00AD1E32"/>
    <w:rsid w:val="00AD3120"/>
    <w:rsid w:val="00AD317B"/>
    <w:rsid w:val="00AD333C"/>
    <w:rsid w:val="00AD355E"/>
    <w:rsid w:val="00AD3566"/>
    <w:rsid w:val="00AD382A"/>
    <w:rsid w:val="00AD39A9"/>
    <w:rsid w:val="00AD3A6D"/>
    <w:rsid w:val="00AD3EE1"/>
    <w:rsid w:val="00AD4115"/>
    <w:rsid w:val="00AD4398"/>
    <w:rsid w:val="00AD4A50"/>
    <w:rsid w:val="00AD4E9E"/>
    <w:rsid w:val="00AD58BF"/>
    <w:rsid w:val="00AD5FF9"/>
    <w:rsid w:val="00AD6087"/>
    <w:rsid w:val="00AD68F9"/>
    <w:rsid w:val="00AD6EE9"/>
    <w:rsid w:val="00AD6FFA"/>
    <w:rsid w:val="00AD72CD"/>
    <w:rsid w:val="00AD78AB"/>
    <w:rsid w:val="00AD7EEF"/>
    <w:rsid w:val="00AE0105"/>
    <w:rsid w:val="00AE0735"/>
    <w:rsid w:val="00AE18C8"/>
    <w:rsid w:val="00AE1BAB"/>
    <w:rsid w:val="00AE1CF9"/>
    <w:rsid w:val="00AE1DBD"/>
    <w:rsid w:val="00AE2056"/>
    <w:rsid w:val="00AE2EC3"/>
    <w:rsid w:val="00AE30B5"/>
    <w:rsid w:val="00AE30F9"/>
    <w:rsid w:val="00AE35B8"/>
    <w:rsid w:val="00AE40C1"/>
    <w:rsid w:val="00AE421D"/>
    <w:rsid w:val="00AE4555"/>
    <w:rsid w:val="00AE45BA"/>
    <w:rsid w:val="00AE46EA"/>
    <w:rsid w:val="00AE47BA"/>
    <w:rsid w:val="00AE540A"/>
    <w:rsid w:val="00AE562F"/>
    <w:rsid w:val="00AE5B07"/>
    <w:rsid w:val="00AE6327"/>
    <w:rsid w:val="00AE68A0"/>
    <w:rsid w:val="00AE6C7B"/>
    <w:rsid w:val="00AE6E2B"/>
    <w:rsid w:val="00AE6EFF"/>
    <w:rsid w:val="00AE6F4F"/>
    <w:rsid w:val="00AE6FB4"/>
    <w:rsid w:val="00AE7315"/>
    <w:rsid w:val="00AE7A61"/>
    <w:rsid w:val="00AF063A"/>
    <w:rsid w:val="00AF066B"/>
    <w:rsid w:val="00AF09AC"/>
    <w:rsid w:val="00AF1745"/>
    <w:rsid w:val="00AF1D54"/>
    <w:rsid w:val="00AF20A9"/>
    <w:rsid w:val="00AF2461"/>
    <w:rsid w:val="00AF2AEE"/>
    <w:rsid w:val="00AF2B22"/>
    <w:rsid w:val="00AF2C95"/>
    <w:rsid w:val="00AF3796"/>
    <w:rsid w:val="00AF3A06"/>
    <w:rsid w:val="00AF3A72"/>
    <w:rsid w:val="00AF4308"/>
    <w:rsid w:val="00AF4C51"/>
    <w:rsid w:val="00AF4ED9"/>
    <w:rsid w:val="00AF53AF"/>
    <w:rsid w:val="00AF588E"/>
    <w:rsid w:val="00AF62A9"/>
    <w:rsid w:val="00AF644E"/>
    <w:rsid w:val="00AF65DB"/>
    <w:rsid w:val="00AF6875"/>
    <w:rsid w:val="00AF692F"/>
    <w:rsid w:val="00AF69C8"/>
    <w:rsid w:val="00AF6D49"/>
    <w:rsid w:val="00AF70D9"/>
    <w:rsid w:val="00AF727C"/>
    <w:rsid w:val="00B00454"/>
    <w:rsid w:val="00B00796"/>
    <w:rsid w:val="00B0269F"/>
    <w:rsid w:val="00B02C3E"/>
    <w:rsid w:val="00B033D0"/>
    <w:rsid w:val="00B03A89"/>
    <w:rsid w:val="00B03DC7"/>
    <w:rsid w:val="00B0402B"/>
    <w:rsid w:val="00B0446E"/>
    <w:rsid w:val="00B0455C"/>
    <w:rsid w:val="00B04A62"/>
    <w:rsid w:val="00B04D64"/>
    <w:rsid w:val="00B059AE"/>
    <w:rsid w:val="00B059CE"/>
    <w:rsid w:val="00B05CC3"/>
    <w:rsid w:val="00B0611D"/>
    <w:rsid w:val="00B06281"/>
    <w:rsid w:val="00B06394"/>
    <w:rsid w:val="00B067AF"/>
    <w:rsid w:val="00B0726B"/>
    <w:rsid w:val="00B1015D"/>
    <w:rsid w:val="00B10286"/>
    <w:rsid w:val="00B10335"/>
    <w:rsid w:val="00B108D2"/>
    <w:rsid w:val="00B110EF"/>
    <w:rsid w:val="00B117F0"/>
    <w:rsid w:val="00B11B0A"/>
    <w:rsid w:val="00B11C45"/>
    <w:rsid w:val="00B127B9"/>
    <w:rsid w:val="00B132DD"/>
    <w:rsid w:val="00B13D41"/>
    <w:rsid w:val="00B13E0D"/>
    <w:rsid w:val="00B13F59"/>
    <w:rsid w:val="00B144CA"/>
    <w:rsid w:val="00B14E5D"/>
    <w:rsid w:val="00B15F2C"/>
    <w:rsid w:val="00B1636A"/>
    <w:rsid w:val="00B16658"/>
    <w:rsid w:val="00B167FF"/>
    <w:rsid w:val="00B169F3"/>
    <w:rsid w:val="00B1755A"/>
    <w:rsid w:val="00B1767F"/>
    <w:rsid w:val="00B177B9"/>
    <w:rsid w:val="00B20382"/>
    <w:rsid w:val="00B20DAC"/>
    <w:rsid w:val="00B21476"/>
    <w:rsid w:val="00B22057"/>
    <w:rsid w:val="00B226A5"/>
    <w:rsid w:val="00B228E5"/>
    <w:rsid w:val="00B22E4D"/>
    <w:rsid w:val="00B22FCF"/>
    <w:rsid w:val="00B24031"/>
    <w:rsid w:val="00B240AB"/>
    <w:rsid w:val="00B24F35"/>
    <w:rsid w:val="00B25675"/>
    <w:rsid w:val="00B26791"/>
    <w:rsid w:val="00B270D5"/>
    <w:rsid w:val="00B274B3"/>
    <w:rsid w:val="00B278F4"/>
    <w:rsid w:val="00B27DC2"/>
    <w:rsid w:val="00B30503"/>
    <w:rsid w:val="00B305D0"/>
    <w:rsid w:val="00B30766"/>
    <w:rsid w:val="00B30C5E"/>
    <w:rsid w:val="00B30EA4"/>
    <w:rsid w:val="00B31583"/>
    <w:rsid w:val="00B32090"/>
    <w:rsid w:val="00B32BB0"/>
    <w:rsid w:val="00B3327E"/>
    <w:rsid w:val="00B33AE2"/>
    <w:rsid w:val="00B33E66"/>
    <w:rsid w:val="00B33F83"/>
    <w:rsid w:val="00B34688"/>
    <w:rsid w:val="00B346C9"/>
    <w:rsid w:val="00B3519E"/>
    <w:rsid w:val="00B35433"/>
    <w:rsid w:val="00B355E6"/>
    <w:rsid w:val="00B35721"/>
    <w:rsid w:val="00B35DB2"/>
    <w:rsid w:val="00B3661F"/>
    <w:rsid w:val="00B3694B"/>
    <w:rsid w:val="00B36DEC"/>
    <w:rsid w:val="00B378E6"/>
    <w:rsid w:val="00B404E0"/>
    <w:rsid w:val="00B4086B"/>
    <w:rsid w:val="00B408B8"/>
    <w:rsid w:val="00B40FD7"/>
    <w:rsid w:val="00B41728"/>
    <w:rsid w:val="00B41863"/>
    <w:rsid w:val="00B41A6C"/>
    <w:rsid w:val="00B422D9"/>
    <w:rsid w:val="00B426FA"/>
    <w:rsid w:val="00B4280A"/>
    <w:rsid w:val="00B42A7C"/>
    <w:rsid w:val="00B430A5"/>
    <w:rsid w:val="00B4389B"/>
    <w:rsid w:val="00B43BB6"/>
    <w:rsid w:val="00B44381"/>
    <w:rsid w:val="00B443DC"/>
    <w:rsid w:val="00B44611"/>
    <w:rsid w:val="00B44B82"/>
    <w:rsid w:val="00B45016"/>
    <w:rsid w:val="00B45041"/>
    <w:rsid w:val="00B45441"/>
    <w:rsid w:val="00B45585"/>
    <w:rsid w:val="00B45DF2"/>
    <w:rsid w:val="00B4626B"/>
    <w:rsid w:val="00B46516"/>
    <w:rsid w:val="00B465DC"/>
    <w:rsid w:val="00B467F9"/>
    <w:rsid w:val="00B46AB2"/>
    <w:rsid w:val="00B46AED"/>
    <w:rsid w:val="00B46D67"/>
    <w:rsid w:val="00B46E7E"/>
    <w:rsid w:val="00B4700F"/>
    <w:rsid w:val="00B473F4"/>
    <w:rsid w:val="00B4759B"/>
    <w:rsid w:val="00B478ED"/>
    <w:rsid w:val="00B50CE0"/>
    <w:rsid w:val="00B5214C"/>
    <w:rsid w:val="00B52867"/>
    <w:rsid w:val="00B52D34"/>
    <w:rsid w:val="00B530B2"/>
    <w:rsid w:val="00B5323B"/>
    <w:rsid w:val="00B53C42"/>
    <w:rsid w:val="00B53C45"/>
    <w:rsid w:val="00B53C77"/>
    <w:rsid w:val="00B546D4"/>
    <w:rsid w:val="00B54CD9"/>
    <w:rsid w:val="00B54CF6"/>
    <w:rsid w:val="00B550A8"/>
    <w:rsid w:val="00B550E5"/>
    <w:rsid w:val="00B55511"/>
    <w:rsid w:val="00B55B2E"/>
    <w:rsid w:val="00B55BF0"/>
    <w:rsid w:val="00B55E27"/>
    <w:rsid w:val="00B55EFE"/>
    <w:rsid w:val="00B565F5"/>
    <w:rsid w:val="00B56FD4"/>
    <w:rsid w:val="00B57148"/>
    <w:rsid w:val="00B60B22"/>
    <w:rsid w:val="00B6147F"/>
    <w:rsid w:val="00B61B47"/>
    <w:rsid w:val="00B61E35"/>
    <w:rsid w:val="00B61ED9"/>
    <w:rsid w:val="00B6273E"/>
    <w:rsid w:val="00B6308E"/>
    <w:rsid w:val="00B6315A"/>
    <w:rsid w:val="00B637FC"/>
    <w:rsid w:val="00B6386B"/>
    <w:rsid w:val="00B63A43"/>
    <w:rsid w:val="00B63D96"/>
    <w:rsid w:val="00B64380"/>
    <w:rsid w:val="00B64567"/>
    <w:rsid w:val="00B64E60"/>
    <w:rsid w:val="00B6545F"/>
    <w:rsid w:val="00B65701"/>
    <w:rsid w:val="00B657FB"/>
    <w:rsid w:val="00B65960"/>
    <w:rsid w:val="00B65B1B"/>
    <w:rsid w:val="00B65DFF"/>
    <w:rsid w:val="00B65EB4"/>
    <w:rsid w:val="00B6697D"/>
    <w:rsid w:val="00B67072"/>
    <w:rsid w:val="00B677B7"/>
    <w:rsid w:val="00B7041A"/>
    <w:rsid w:val="00B70EC8"/>
    <w:rsid w:val="00B720E3"/>
    <w:rsid w:val="00B7241B"/>
    <w:rsid w:val="00B72C18"/>
    <w:rsid w:val="00B74215"/>
    <w:rsid w:val="00B749CA"/>
    <w:rsid w:val="00B74C13"/>
    <w:rsid w:val="00B75373"/>
    <w:rsid w:val="00B7655B"/>
    <w:rsid w:val="00B76580"/>
    <w:rsid w:val="00B77557"/>
    <w:rsid w:val="00B777FA"/>
    <w:rsid w:val="00B77F17"/>
    <w:rsid w:val="00B77F2C"/>
    <w:rsid w:val="00B77FE7"/>
    <w:rsid w:val="00B80003"/>
    <w:rsid w:val="00B800E9"/>
    <w:rsid w:val="00B80E02"/>
    <w:rsid w:val="00B825F6"/>
    <w:rsid w:val="00B83659"/>
    <w:rsid w:val="00B83D5E"/>
    <w:rsid w:val="00B8422A"/>
    <w:rsid w:val="00B849C3"/>
    <w:rsid w:val="00B84B59"/>
    <w:rsid w:val="00B8505E"/>
    <w:rsid w:val="00B850E4"/>
    <w:rsid w:val="00B8539A"/>
    <w:rsid w:val="00B85848"/>
    <w:rsid w:val="00B8652C"/>
    <w:rsid w:val="00B86A58"/>
    <w:rsid w:val="00B86E15"/>
    <w:rsid w:val="00B87959"/>
    <w:rsid w:val="00B87B33"/>
    <w:rsid w:val="00B90472"/>
    <w:rsid w:val="00B905E8"/>
    <w:rsid w:val="00B907A6"/>
    <w:rsid w:val="00B90BC6"/>
    <w:rsid w:val="00B912F6"/>
    <w:rsid w:val="00B91A39"/>
    <w:rsid w:val="00B91CB5"/>
    <w:rsid w:val="00B91F15"/>
    <w:rsid w:val="00B9223D"/>
    <w:rsid w:val="00B928FE"/>
    <w:rsid w:val="00B92B59"/>
    <w:rsid w:val="00B92D25"/>
    <w:rsid w:val="00B92EDC"/>
    <w:rsid w:val="00B9346B"/>
    <w:rsid w:val="00B934CE"/>
    <w:rsid w:val="00B937FA"/>
    <w:rsid w:val="00B93DE1"/>
    <w:rsid w:val="00B944EE"/>
    <w:rsid w:val="00B9494D"/>
    <w:rsid w:val="00B94B64"/>
    <w:rsid w:val="00B94BCF"/>
    <w:rsid w:val="00B95139"/>
    <w:rsid w:val="00B953EC"/>
    <w:rsid w:val="00B95DDE"/>
    <w:rsid w:val="00B95FFB"/>
    <w:rsid w:val="00B9621A"/>
    <w:rsid w:val="00B96626"/>
    <w:rsid w:val="00B96B0F"/>
    <w:rsid w:val="00B96F83"/>
    <w:rsid w:val="00B9719E"/>
    <w:rsid w:val="00B9730E"/>
    <w:rsid w:val="00B97E97"/>
    <w:rsid w:val="00B97F11"/>
    <w:rsid w:val="00BA0143"/>
    <w:rsid w:val="00BA07EA"/>
    <w:rsid w:val="00BA0BC0"/>
    <w:rsid w:val="00BA113A"/>
    <w:rsid w:val="00BA1148"/>
    <w:rsid w:val="00BA14B5"/>
    <w:rsid w:val="00BA1F66"/>
    <w:rsid w:val="00BA1F71"/>
    <w:rsid w:val="00BA2E3B"/>
    <w:rsid w:val="00BA3BF4"/>
    <w:rsid w:val="00BA3DB6"/>
    <w:rsid w:val="00BA58D2"/>
    <w:rsid w:val="00BA604C"/>
    <w:rsid w:val="00BA6073"/>
    <w:rsid w:val="00BA6766"/>
    <w:rsid w:val="00BA69A8"/>
    <w:rsid w:val="00BA6E47"/>
    <w:rsid w:val="00BA7C55"/>
    <w:rsid w:val="00BA7CE2"/>
    <w:rsid w:val="00BA7D0D"/>
    <w:rsid w:val="00BB0054"/>
    <w:rsid w:val="00BB0264"/>
    <w:rsid w:val="00BB059D"/>
    <w:rsid w:val="00BB1924"/>
    <w:rsid w:val="00BB1931"/>
    <w:rsid w:val="00BB1A21"/>
    <w:rsid w:val="00BB1DAD"/>
    <w:rsid w:val="00BB1E1C"/>
    <w:rsid w:val="00BB1E80"/>
    <w:rsid w:val="00BB1F6C"/>
    <w:rsid w:val="00BB22CD"/>
    <w:rsid w:val="00BB2574"/>
    <w:rsid w:val="00BB2840"/>
    <w:rsid w:val="00BB285F"/>
    <w:rsid w:val="00BB2FF2"/>
    <w:rsid w:val="00BB3069"/>
    <w:rsid w:val="00BB32A0"/>
    <w:rsid w:val="00BB41D2"/>
    <w:rsid w:val="00BB4418"/>
    <w:rsid w:val="00BB4479"/>
    <w:rsid w:val="00BB4936"/>
    <w:rsid w:val="00BB4A8B"/>
    <w:rsid w:val="00BB4B3E"/>
    <w:rsid w:val="00BB4DE2"/>
    <w:rsid w:val="00BB5316"/>
    <w:rsid w:val="00BB5341"/>
    <w:rsid w:val="00BB5877"/>
    <w:rsid w:val="00BB597A"/>
    <w:rsid w:val="00BB5D2D"/>
    <w:rsid w:val="00BB63A5"/>
    <w:rsid w:val="00BB66D7"/>
    <w:rsid w:val="00BB7076"/>
    <w:rsid w:val="00BB70B4"/>
    <w:rsid w:val="00BB7340"/>
    <w:rsid w:val="00BB73DE"/>
    <w:rsid w:val="00BB788A"/>
    <w:rsid w:val="00BB7AEE"/>
    <w:rsid w:val="00BB7B52"/>
    <w:rsid w:val="00BB7FA9"/>
    <w:rsid w:val="00BC0658"/>
    <w:rsid w:val="00BC11DD"/>
    <w:rsid w:val="00BC120C"/>
    <w:rsid w:val="00BC18AF"/>
    <w:rsid w:val="00BC2054"/>
    <w:rsid w:val="00BC214C"/>
    <w:rsid w:val="00BC229F"/>
    <w:rsid w:val="00BC2510"/>
    <w:rsid w:val="00BC26E2"/>
    <w:rsid w:val="00BC2964"/>
    <w:rsid w:val="00BC3C4F"/>
    <w:rsid w:val="00BC3EA8"/>
    <w:rsid w:val="00BC4017"/>
    <w:rsid w:val="00BC44E5"/>
    <w:rsid w:val="00BC4818"/>
    <w:rsid w:val="00BC4871"/>
    <w:rsid w:val="00BC4908"/>
    <w:rsid w:val="00BC4B85"/>
    <w:rsid w:val="00BC4F34"/>
    <w:rsid w:val="00BC55A3"/>
    <w:rsid w:val="00BC56B3"/>
    <w:rsid w:val="00BC5E02"/>
    <w:rsid w:val="00BC5ED3"/>
    <w:rsid w:val="00BC61C5"/>
    <w:rsid w:val="00BC64F1"/>
    <w:rsid w:val="00BC6A32"/>
    <w:rsid w:val="00BC6DAB"/>
    <w:rsid w:val="00BC6E83"/>
    <w:rsid w:val="00BC73F1"/>
    <w:rsid w:val="00BC7A08"/>
    <w:rsid w:val="00BD0FCE"/>
    <w:rsid w:val="00BD12BB"/>
    <w:rsid w:val="00BD1922"/>
    <w:rsid w:val="00BD2363"/>
    <w:rsid w:val="00BD26E4"/>
    <w:rsid w:val="00BD2B50"/>
    <w:rsid w:val="00BD340D"/>
    <w:rsid w:val="00BD378E"/>
    <w:rsid w:val="00BD37F7"/>
    <w:rsid w:val="00BD4218"/>
    <w:rsid w:val="00BD47BA"/>
    <w:rsid w:val="00BD5288"/>
    <w:rsid w:val="00BD54F9"/>
    <w:rsid w:val="00BD5BBE"/>
    <w:rsid w:val="00BD65B1"/>
    <w:rsid w:val="00BD6E72"/>
    <w:rsid w:val="00BD6F4E"/>
    <w:rsid w:val="00BD737C"/>
    <w:rsid w:val="00BD76E5"/>
    <w:rsid w:val="00BE0D3C"/>
    <w:rsid w:val="00BE0EFE"/>
    <w:rsid w:val="00BE115C"/>
    <w:rsid w:val="00BE12AA"/>
    <w:rsid w:val="00BE17BC"/>
    <w:rsid w:val="00BE1C1E"/>
    <w:rsid w:val="00BE1D5C"/>
    <w:rsid w:val="00BE20F7"/>
    <w:rsid w:val="00BE25BB"/>
    <w:rsid w:val="00BE2799"/>
    <w:rsid w:val="00BE2909"/>
    <w:rsid w:val="00BE3259"/>
    <w:rsid w:val="00BE338E"/>
    <w:rsid w:val="00BE3904"/>
    <w:rsid w:val="00BE3945"/>
    <w:rsid w:val="00BE3B09"/>
    <w:rsid w:val="00BE3BA2"/>
    <w:rsid w:val="00BE58FE"/>
    <w:rsid w:val="00BE5BE8"/>
    <w:rsid w:val="00BE5DD2"/>
    <w:rsid w:val="00BE5E8B"/>
    <w:rsid w:val="00BE6749"/>
    <w:rsid w:val="00BE6ECA"/>
    <w:rsid w:val="00BE70AA"/>
    <w:rsid w:val="00BE72D3"/>
    <w:rsid w:val="00BE755A"/>
    <w:rsid w:val="00BE7A6E"/>
    <w:rsid w:val="00BE7E36"/>
    <w:rsid w:val="00BE7F68"/>
    <w:rsid w:val="00BF01CD"/>
    <w:rsid w:val="00BF0525"/>
    <w:rsid w:val="00BF05B7"/>
    <w:rsid w:val="00BF066D"/>
    <w:rsid w:val="00BF0A8D"/>
    <w:rsid w:val="00BF0C32"/>
    <w:rsid w:val="00BF0F27"/>
    <w:rsid w:val="00BF1153"/>
    <w:rsid w:val="00BF12C6"/>
    <w:rsid w:val="00BF1E87"/>
    <w:rsid w:val="00BF1EB7"/>
    <w:rsid w:val="00BF2090"/>
    <w:rsid w:val="00BF2410"/>
    <w:rsid w:val="00BF27FC"/>
    <w:rsid w:val="00BF294D"/>
    <w:rsid w:val="00BF2C3C"/>
    <w:rsid w:val="00BF398E"/>
    <w:rsid w:val="00BF3E13"/>
    <w:rsid w:val="00BF50E8"/>
    <w:rsid w:val="00BF5225"/>
    <w:rsid w:val="00BF54D8"/>
    <w:rsid w:val="00BF601A"/>
    <w:rsid w:val="00BF6FEE"/>
    <w:rsid w:val="00BF7192"/>
    <w:rsid w:val="00BF77B7"/>
    <w:rsid w:val="00BF795D"/>
    <w:rsid w:val="00BF7987"/>
    <w:rsid w:val="00BF7E25"/>
    <w:rsid w:val="00C0033E"/>
    <w:rsid w:val="00C01388"/>
    <w:rsid w:val="00C022DF"/>
    <w:rsid w:val="00C02358"/>
    <w:rsid w:val="00C0236C"/>
    <w:rsid w:val="00C027DC"/>
    <w:rsid w:val="00C02DD1"/>
    <w:rsid w:val="00C03392"/>
    <w:rsid w:val="00C033BC"/>
    <w:rsid w:val="00C0383E"/>
    <w:rsid w:val="00C03B1E"/>
    <w:rsid w:val="00C03EFB"/>
    <w:rsid w:val="00C03F58"/>
    <w:rsid w:val="00C04049"/>
    <w:rsid w:val="00C040C0"/>
    <w:rsid w:val="00C0446D"/>
    <w:rsid w:val="00C04566"/>
    <w:rsid w:val="00C04802"/>
    <w:rsid w:val="00C04D95"/>
    <w:rsid w:val="00C05028"/>
    <w:rsid w:val="00C0541C"/>
    <w:rsid w:val="00C056F7"/>
    <w:rsid w:val="00C058A7"/>
    <w:rsid w:val="00C05B9B"/>
    <w:rsid w:val="00C05CAA"/>
    <w:rsid w:val="00C0650E"/>
    <w:rsid w:val="00C070AA"/>
    <w:rsid w:val="00C070D1"/>
    <w:rsid w:val="00C07CAD"/>
    <w:rsid w:val="00C07DEC"/>
    <w:rsid w:val="00C1048B"/>
    <w:rsid w:val="00C106B3"/>
    <w:rsid w:val="00C10A13"/>
    <w:rsid w:val="00C111E6"/>
    <w:rsid w:val="00C116C1"/>
    <w:rsid w:val="00C11956"/>
    <w:rsid w:val="00C11A7B"/>
    <w:rsid w:val="00C11E85"/>
    <w:rsid w:val="00C121F4"/>
    <w:rsid w:val="00C12621"/>
    <w:rsid w:val="00C12BEE"/>
    <w:rsid w:val="00C131E5"/>
    <w:rsid w:val="00C13237"/>
    <w:rsid w:val="00C13667"/>
    <w:rsid w:val="00C13C8D"/>
    <w:rsid w:val="00C14091"/>
    <w:rsid w:val="00C14198"/>
    <w:rsid w:val="00C144F3"/>
    <w:rsid w:val="00C147B5"/>
    <w:rsid w:val="00C14C69"/>
    <w:rsid w:val="00C14E10"/>
    <w:rsid w:val="00C15172"/>
    <w:rsid w:val="00C154D0"/>
    <w:rsid w:val="00C155D4"/>
    <w:rsid w:val="00C15728"/>
    <w:rsid w:val="00C159BF"/>
    <w:rsid w:val="00C15BAD"/>
    <w:rsid w:val="00C1663D"/>
    <w:rsid w:val="00C16BAC"/>
    <w:rsid w:val="00C172D2"/>
    <w:rsid w:val="00C17990"/>
    <w:rsid w:val="00C17B57"/>
    <w:rsid w:val="00C2043A"/>
    <w:rsid w:val="00C205BF"/>
    <w:rsid w:val="00C215DE"/>
    <w:rsid w:val="00C21607"/>
    <w:rsid w:val="00C21FF0"/>
    <w:rsid w:val="00C2231F"/>
    <w:rsid w:val="00C227C1"/>
    <w:rsid w:val="00C22835"/>
    <w:rsid w:val="00C22870"/>
    <w:rsid w:val="00C228A0"/>
    <w:rsid w:val="00C23174"/>
    <w:rsid w:val="00C235CA"/>
    <w:rsid w:val="00C23B7F"/>
    <w:rsid w:val="00C23BDF"/>
    <w:rsid w:val="00C23EA5"/>
    <w:rsid w:val="00C24314"/>
    <w:rsid w:val="00C24643"/>
    <w:rsid w:val="00C2538F"/>
    <w:rsid w:val="00C253D2"/>
    <w:rsid w:val="00C253FF"/>
    <w:rsid w:val="00C25A93"/>
    <w:rsid w:val="00C25B90"/>
    <w:rsid w:val="00C2604D"/>
    <w:rsid w:val="00C265E4"/>
    <w:rsid w:val="00C269A7"/>
    <w:rsid w:val="00C26AE7"/>
    <w:rsid w:val="00C26C3F"/>
    <w:rsid w:val="00C26EA6"/>
    <w:rsid w:val="00C27275"/>
    <w:rsid w:val="00C27D3F"/>
    <w:rsid w:val="00C30062"/>
    <w:rsid w:val="00C3055B"/>
    <w:rsid w:val="00C3089F"/>
    <w:rsid w:val="00C30EC8"/>
    <w:rsid w:val="00C319FA"/>
    <w:rsid w:val="00C323C2"/>
    <w:rsid w:val="00C32647"/>
    <w:rsid w:val="00C32750"/>
    <w:rsid w:val="00C32A91"/>
    <w:rsid w:val="00C32B04"/>
    <w:rsid w:val="00C3348F"/>
    <w:rsid w:val="00C33918"/>
    <w:rsid w:val="00C33C61"/>
    <w:rsid w:val="00C34E17"/>
    <w:rsid w:val="00C3501F"/>
    <w:rsid w:val="00C35E9C"/>
    <w:rsid w:val="00C36529"/>
    <w:rsid w:val="00C36704"/>
    <w:rsid w:val="00C37301"/>
    <w:rsid w:val="00C3754E"/>
    <w:rsid w:val="00C37AEC"/>
    <w:rsid w:val="00C37E20"/>
    <w:rsid w:val="00C40321"/>
    <w:rsid w:val="00C4087C"/>
    <w:rsid w:val="00C40A07"/>
    <w:rsid w:val="00C40CB9"/>
    <w:rsid w:val="00C40CCE"/>
    <w:rsid w:val="00C41362"/>
    <w:rsid w:val="00C417F5"/>
    <w:rsid w:val="00C41C82"/>
    <w:rsid w:val="00C42892"/>
    <w:rsid w:val="00C42DB5"/>
    <w:rsid w:val="00C43064"/>
    <w:rsid w:val="00C433C0"/>
    <w:rsid w:val="00C4385F"/>
    <w:rsid w:val="00C44C9C"/>
    <w:rsid w:val="00C44DEB"/>
    <w:rsid w:val="00C44ECA"/>
    <w:rsid w:val="00C451ED"/>
    <w:rsid w:val="00C4595B"/>
    <w:rsid w:val="00C45AC6"/>
    <w:rsid w:val="00C46344"/>
    <w:rsid w:val="00C4658D"/>
    <w:rsid w:val="00C46D42"/>
    <w:rsid w:val="00C47049"/>
    <w:rsid w:val="00C4731B"/>
    <w:rsid w:val="00C4770B"/>
    <w:rsid w:val="00C47B5C"/>
    <w:rsid w:val="00C47B67"/>
    <w:rsid w:val="00C500A1"/>
    <w:rsid w:val="00C514BC"/>
    <w:rsid w:val="00C52040"/>
    <w:rsid w:val="00C52845"/>
    <w:rsid w:val="00C529CF"/>
    <w:rsid w:val="00C52F17"/>
    <w:rsid w:val="00C536C4"/>
    <w:rsid w:val="00C53B7B"/>
    <w:rsid w:val="00C53C10"/>
    <w:rsid w:val="00C541BA"/>
    <w:rsid w:val="00C54289"/>
    <w:rsid w:val="00C542CE"/>
    <w:rsid w:val="00C54398"/>
    <w:rsid w:val="00C54F8B"/>
    <w:rsid w:val="00C550DC"/>
    <w:rsid w:val="00C55526"/>
    <w:rsid w:val="00C560C2"/>
    <w:rsid w:val="00C56521"/>
    <w:rsid w:val="00C56D08"/>
    <w:rsid w:val="00C572CE"/>
    <w:rsid w:val="00C575D0"/>
    <w:rsid w:val="00C57605"/>
    <w:rsid w:val="00C57ABD"/>
    <w:rsid w:val="00C57B93"/>
    <w:rsid w:val="00C60389"/>
    <w:rsid w:val="00C6167E"/>
    <w:rsid w:val="00C61F93"/>
    <w:rsid w:val="00C62080"/>
    <w:rsid w:val="00C6232C"/>
    <w:rsid w:val="00C626E7"/>
    <w:rsid w:val="00C62ED3"/>
    <w:rsid w:val="00C62F9C"/>
    <w:rsid w:val="00C6367F"/>
    <w:rsid w:val="00C63F5F"/>
    <w:rsid w:val="00C64849"/>
    <w:rsid w:val="00C64999"/>
    <w:rsid w:val="00C64C4D"/>
    <w:rsid w:val="00C64DDB"/>
    <w:rsid w:val="00C64EDB"/>
    <w:rsid w:val="00C65BEA"/>
    <w:rsid w:val="00C65F70"/>
    <w:rsid w:val="00C66951"/>
    <w:rsid w:val="00C66DB1"/>
    <w:rsid w:val="00C67601"/>
    <w:rsid w:val="00C67F8C"/>
    <w:rsid w:val="00C7022E"/>
    <w:rsid w:val="00C70CDB"/>
    <w:rsid w:val="00C70E8C"/>
    <w:rsid w:val="00C70F83"/>
    <w:rsid w:val="00C71932"/>
    <w:rsid w:val="00C71B77"/>
    <w:rsid w:val="00C71D18"/>
    <w:rsid w:val="00C71F56"/>
    <w:rsid w:val="00C72187"/>
    <w:rsid w:val="00C72818"/>
    <w:rsid w:val="00C72B14"/>
    <w:rsid w:val="00C7366B"/>
    <w:rsid w:val="00C7406F"/>
    <w:rsid w:val="00C745F3"/>
    <w:rsid w:val="00C74B16"/>
    <w:rsid w:val="00C74B67"/>
    <w:rsid w:val="00C74E6B"/>
    <w:rsid w:val="00C74EBE"/>
    <w:rsid w:val="00C7503B"/>
    <w:rsid w:val="00C755F6"/>
    <w:rsid w:val="00C75635"/>
    <w:rsid w:val="00C756AD"/>
    <w:rsid w:val="00C75B8A"/>
    <w:rsid w:val="00C75C40"/>
    <w:rsid w:val="00C75CC2"/>
    <w:rsid w:val="00C760B4"/>
    <w:rsid w:val="00C76C99"/>
    <w:rsid w:val="00C76CE7"/>
    <w:rsid w:val="00C7719D"/>
    <w:rsid w:val="00C7791C"/>
    <w:rsid w:val="00C77F2D"/>
    <w:rsid w:val="00C80F93"/>
    <w:rsid w:val="00C81BAD"/>
    <w:rsid w:val="00C820AF"/>
    <w:rsid w:val="00C829B8"/>
    <w:rsid w:val="00C82FCA"/>
    <w:rsid w:val="00C8353D"/>
    <w:rsid w:val="00C8363B"/>
    <w:rsid w:val="00C8390F"/>
    <w:rsid w:val="00C83C9C"/>
    <w:rsid w:val="00C845DE"/>
    <w:rsid w:val="00C84AFD"/>
    <w:rsid w:val="00C84E0C"/>
    <w:rsid w:val="00C85B07"/>
    <w:rsid w:val="00C85C01"/>
    <w:rsid w:val="00C85CBE"/>
    <w:rsid w:val="00C8617F"/>
    <w:rsid w:val="00C865DD"/>
    <w:rsid w:val="00C86760"/>
    <w:rsid w:val="00C86799"/>
    <w:rsid w:val="00C87447"/>
    <w:rsid w:val="00C87513"/>
    <w:rsid w:val="00C8761E"/>
    <w:rsid w:val="00C87D4C"/>
    <w:rsid w:val="00C87E04"/>
    <w:rsid w:val="00C87E3F"/>
    <w:rsid w:val="00C87FBA"/>
    <w:rsid w:val="00C903E0"/>
    <w:rsid w:val="00C905A9"/>
    <w:rsid w:val="00C90710"/>
    <w:rsid w:val="00C915BC"/>
    <w:rsid w:val="00C91F02"/>
    <w:rsid w:val="00C9217A"/>
    <w:rsid w:val="00C92544"/>
    <w:rsid w:val="00C92659"/>
    <w:rsid w:val="00C9294B"/>
    <w:rsid w:val="00C92F7C"/>
    <w:rsid w:val="00C93751"/>
    <w:rsid w:val="00C93938"/>
    <w:rsid w:val="00C939C6"/>
    <w:rsid w:val="00C93E72"/>
    <w:rsid w:val="00C942C2"/>
    <w:rsid w:val="00C94A29"/>
    <w:rsid w:val="00C951A5"/>
    <w:rsid w:val="00C955BD"/>
    <w:rsid w:val="00C95B23"/>
    <w:rsid w:val="00C96864"/>
    <w:rsid w:val="00C96FAD"/>
    <w:rsid w:val="00C96FF4"/>
    <w:rsid w:val="00C97205"/>
    <w:rsid w:val="00C97494"/>
    <w:rsid w:val="00C9752B"/>
    <w:rsid w:val="00C976C8"/>
    <w:rsid w:val="00C9780A"/>
    <w:rsid w:val="00CA015D"/>
    <w:rsid w:val="00CA050A"/>
    <w:rsid w:val="00CA07D3"/>
    <w:rsid w:val="00CA09C0"/>
    <w:rsid w:val="00CA0DC7"/>
    <w:rsid w:val="00CA11B9"/>
    <w:rsid w:val="00CA12B3"/>
    <w:rsid w:val="00CA1355"/>
    <w:rsid w:val="00CA14B3"/>
    <w:rsid w:val="00CA1B23"/>
    <w:rsid w:val="00CA1D0C"/>
    <w:rsid w:val="00CA28CD"/>
    <w:rsid w:val="00CA2B14"/>
    <w:rsid w:val="00CA2BAA"/>
    <w:rsid w:val="00CA2C71"/>
    <w:rsid w:val="00CA30C5"/>
    <w:rsid w:val="00CA3964"/>
    <w:rsid w:val="00CA3ABB"/>
    <w:rsid w:val="00CA3AC6"/>
    <w:rsid w:val="00CA438E"/>
    <w:rsid w:val="00CA468B"/>
    <w:rsid w:val="00CA492A"/>
    <w:rsid w:val="00CA4C42"/>
    <w:rsid w:val="00CA4D73"/>
    <w:rsid w:val="00CA5711"/>
    <w:rsid w:val="00CA5C64"/>
    <w:rsid w:val="00CA5F08"/>
    <w:rsid w:val="00CA6244"/>
    <w:rsid w:val="00CA6658"/>
    <w:rsid w:val="00CA6BD2"/>
    <w:rsid w:val="00CA6EED"/>
    <w:rsid w:val="00CA7BA1"/>
    <w:rsid w:val="00CA7DC8"/>
    <w:rsid w:val="00CA7FFB"/>
    <w:rsid w:val="00CB09AC"/>
    <w:rsid w:val="00CB0C1C"/>
    <w:rsid w:val="00CB1321"/>
    <w:rsid w:val="00CB1684"/>
    <w:rsid w:val="00CB188B"/>
    <w:rsid w:val="00CB1D8C"/>
    <w:rsid w:val="00CB2013"/>
    <w:rsid w:val="00CB229B"/>
    <w:rsid w:val="00CB233F"/>
    <w:rsid w:val="00CB23FF"/>
    <w:rsid w:val="00CB2E40"/>
    <w:rsid w:val="00CB2F30"/>
    <w:rsid w:val="00CB3279"/>
    <w:rsid w:val="00CB3312"/>
    <w:rsid w:val="00CB37E2"/>
    <w:rsid w:val="00CB44D7"/>
    <w:rsid w:val="00CB45B3"/>
    <w:rsid w:val="00CB4603"/>
    <w:rsid w:val="00CB4B64"/>
    <w:rsid w:val="00CB4BB1"/>
    <w:rsid w:val="00CB4C20"/>
    <w:rsid w:val="00CB5C0C"/>
    <w:rsid w:val="00CB65F8"/>
    <w:rsid w:val="00CB6CA3"/>
    <w:rsid w:val="00CB7874"/>
    <w:rsid w:val="00CB7A56"/>
    <w:rsid w:val="00CB7C02"/>
    <w:rsid w:val="00CB7F49"/>
    <w:rsid w:val="00CC0077"/>
    <w:rsid w:val="00CC0B26"/>
    <w:rsid w:val="00CC0C27"/>
    <w:rsid w:val="00CC0DD5"/>
    <w:rsid w:val="00CC23FD"/>
    <w:rsid w:val="00CC25A5"/>
    <w:rsid w:val="00CC26ED"/>
    <w:rsid w:val="00CC2FBD"/>
    <w:rsid w:val="00CC3080"/>
    <w:rsid w:val="00CC3329"/>
    <w:rsid w:val="00CC4039"/>
    <w:rsid w:val="00CC45DF"/>
    <w:rsid w:val="00CC49F8"/>
    <w:rsid w:val="00CC4C70"/>
    <w:rsid w:val="00CC4E00"/>
    <w:rsid w:val="00CC5916"/>
    <w:rsid w:val="00CC5D23"/>
    <w:rsid w:val="00CC5D83"/>
    <w:rsid w:val="00CC5EED"/>
    <w:rsid w:val="00CC6498"/>
    <w:rsid w:val="00CC6C2A"/>
    <w:rsid w:val="00CC6F56"/>
    <w:rsid w:val="00CC72C6"/>
    <w:rsid w:val="00CC73F3"/>
    <w:rsid w:val="00CC7808"/>
    <w:rsid w:val="00CC7867"/>
    <w:rsid w:val="00CC7BA5"/>
    <w:rsid w:val="00CC7CCB"/>
    <w:rsid w:val="00CD012B"/>
    <w:rsid w:val="00CD05CF"/>
    <w:rsid w:val="00CD09F9"/>
    <w:rsid w:val="00CD1AC2"/>
    <w:rsid w:val="00CD200C"/>
    <w:rsid w:val="00CD22B2"/>
    <w:rsid w:val="00CD2378"/>
    <w:rsid w:val="00CD2A2B"/>
    <w:rsid w:val="00CD405E"/>
    <w:rsid w:val="00CD4894"/>
    <w:rsid w:val="00CD4BA4"/>
    <w:rsid w:val="00CD4CA8"/>
    <w:rsid w:val="00CD4CF4"/>
    <w:rsid w:val="00CD4CF7"/>
    <w:rsid w:val="00CD4FBF"/>
    <w:rsid w:val="00CD53BC"/>
    <w:rsid w:val="00CD5664"/>
    <w:rsid w:val="00CD56AD"/>
    <w:rsid w:val="00CD5777"/>
    <w:rsid w:val="00CD583D"/>
    <w:rsid w:val="00CD584B"/>
    <w:rsid w:val="00CD5CD6"/>
    <w:rsid w:val="00CD5DA0"/>
    <w:rsid w:val="00CD61C9"/>
    <w:rsid w:val="00CD66C2"/>
    <w:rsid w:val="00CD6E22"/>
    <w:rsid w:val="00CD6EC7"/>
    <w:rsid w:val="00CD7099"/>
    <w:rsid w:val="00CD7C8D"/>
    <w:rsid w:val="00CE0376"/>
    <w:rsid w:val="00CE05B1"/>
    <w:rsid w:val="00CE073B"/>
    <w:rsid w:val="00CE08D1"/>
    <w:rsid w:val="00CE09BC"/>
    <w:rsid w:val="00CE160B"/>
    <w:rsid w:val="00CE1929"/>
    <w:rsid w:val="00CE1B1F"/>
    <w:rsid w:val="00CE2674"/>
    <w:rsid w:val="00CE2D35"/>
    <w:rsid w:val="00CE30E1"/>
    <w:rsid w:val="00CE451D"/>
    <w:rsid w:val="00CE4784"/>
    <w:rsid w:val="00CE496C"/>
    <w:rsid w:val="00CE556A"/>
    <w:rsid w:val="00CE585D"/>
    <w:rsid w:val="00CE5AD5"/>
    <w:rsid w:val="00CE5FA6"/>
    <w:rsid w:val="00CE65B1"/>
    <w:rsid w:val="00CE6BE1"/>
    <w:rsid w:val="00CE713D"/>
    <w:rsid w:val="00CE7804"/>
    <w:rsid w:val="00CE7A65"/>
    <w:rsid w:val="00CE7AE7"/>
    <w:rsid w:val="00CE7E09"/>
    <w:rsid w:val="00CF0700"/>
    <w:rsid w:val="00CF0A23"/>
    <w:rsid w:val="00CF251C"/>
    <w:rsid w:val="00CF30AB"/>
    <w:rsid w:val="00CF39CB"/>
    <w:rsid w:val="00CF3C9A"/>
    <w:rsid w:val="00CF411A"/>
    <w:rsid w:val="00CF4323"/>
    <w:rsid w:val="00CF45A3"/>
    <w:rsid w:val="00CF54C9"/>
    <w:rsid w:val="00CF5A7B"/>
    <w:rsid w:val="00CF5E34"/>
    <w:rsid w:val="00CF5F6C"/>
    <w:rsid w:val="00CF65BF"/>
    <w:rsid w:val="00CF7CB6"/>
    <w:rsid w:val="00D00439"/>
    <w:rsid w:val="00D0065C"/>
    <w:rsid w:val="00D00C41"/>
    <w:rsid w:val="00D00E9B"/>
    <w:rsid w:val="00D01095"/>
    <w:rsid w:val="00D018B1"/>
    <w:rsid w:val="00D02A67"/>
    <w:rsid w:val="00D031DB"/>
    <w:rsid w:val="00D0356B"/>
    <w:rsid w:val="00D04091"/>
    <w:rsid w:val="00D04962"/>
    <w:rsid w:val="00D04BC1"/>
    <w:rsid w:val="00D04DF3"/>
    <w:rsid w:val="00D056EC"/>
    <w:rsid w:val="00D05954"/>
    <w:rsid w:val="00D05CCE"/>
    <w:rsid w:val="00D05E04"/>
    <w:rsid w:val="00D0625A"/>
    <w:rsid w:val="00D0676C"/>
    <w:rsid w:val="00D06C59"/>
    <w:rsid w:val="00D06D2C"/>
    <w:rsid w:val="00D07BB2"/>
    <w:rsid w:val="00D1029B"/>
    <w:rsid w:val="00D10BE5"/>
    <w:rsid w:val="00D10C28"/>
    <w:rsid w:val="00D10E8D"/>
    <w:rsid w:val="00D11029"/>
    <w:rsid w:val="00D11DD2"/>
    <w:rsid w:val="00D12012"/>
    <w:rsid w:val="00D12667"/>
    <w:rsid w:val="00D129FF"/>
    <w:rsid w:val="00D13367"/>
    <w:rsid w:val="00D13567"/>
    <w:rsid w:val="00D13B3C"/>
    <w:rsid w:val="00D13DA6"/>
    <w:rsid w:val="00D14B8B"/>
    <w:rsid w:val="00D15585"/>
    <w:rsid w:val="00D156DE"/>
    <w:rsid w:val="00D15777"/>
    <w:rsid w:val="00D15BF2"/>
    <w:rsid w:val="00D1625A"/>
    <w:rsid w:val="00D16345"/>
    <w:rsid w:val="00D16601"/>
    <w:rsid w:val="00D16934"/>
    <w:rsid w:val="00D16CF7"/>
    <w:rsid w:val="00D16F38"/>
    <w:rsid w:val="00D16F64"/>
    <w:rsid w:val="00D172F7"/>
    <w:rsid w:val="00D17B28"/>
    <w:rsid w:val="00D20339"/>
    <w:rsid w:val="00D2065D"/>
    <w:rsid w:val="00D20760"/>
    <w:rsid w:val="00D2132A"/>
    <w:rsid w:val="00D2134D"/>
    <w:rsid w:val="00D21363"/>
    <w:rsid w:val="00D21CD9"/>
    <w:rsid w:val="00D22865"/>
    <w:rsid w:val="00D22F8B"/>
    <w:rsid w:val="00D232FB"/>
    <w:rsid w:val="00D23838"/>
    <w:rsid w:val="00D23891"/>
    <w:rsid w:val="00D24052"/>
    <w:rsid w:val="00D24B47"/>
    <w:rsid w:val="00D251A4"/>
    <w:rsid w:val="00D2525C"/>
    <w:rsid w:val="00D259F9"/>
    <w:rsid w:val="00D266AA"/>
    <w:rsid w:val="00D26C4F"/>
    <w:rsid w:val="00D26F2A"/>
    <w:rsid w:val="00D27766"/>
    <w:rsid w:val="00D27AAC"/>
    <w:rsid w:val="00D27B6B"/>
    <w:rsid w:val="00D27E09"/>
    <w:rsid w:val="00D27E1A"/>
    <w:rsid w:val="00D306A7"/>
    <w:rsid w:val="00D3071E"/>
    <w:rsid w:val="00D30BEA"/>
    <w:rsid w:val="00D31408"/>
    <w:rsid w:val="00D324F9"/>
    <w:rsid w:val="00D3252F"/>
    <w:rsid w:val="00D327EB"/>
    <w:rsid w:val="00D32C5A"/>
    <w:rsid w:val="00D32CB8"/>
    <w:rsid w:val="00D336A4"/>
    <w:rsid w:val="00D33CB5"/>
    <w:rsid w:val="00D344AB"/>
    <w:rsid w:val="00D359A3"/>
    <w:rsid w:val="00D359B0"/>
    <w:rsid w:val="00D359D6"/>
    <w:rsid w:val="00D3636F"/>
    <w:rsid w:val="00D36625"/>
    <w:rsid w:val="00D36DE2"/>
    <w:rsid w:val="00D36E75"/>
    <w:rsid w:val="00D37A08"/>
    <w:rsid w:val="00D37B65"/>
    <w:rsid w:val="00D37FFE"/>
    <w:rsid w:val="00D40369"/>
    <w:rsid w:val="00D406C5"/>
    <w:rsid w:val="00D40847"/>
    <w:rsid w:val="00D40F14"/>
    <w:rsid w:val="00D4125C"/>
    <w:rsid w:val="00D41767"/>
    <w:rsid w:val="00D42AA1"/>
    <w:rsid w:val="00D42C9B"/>
    <w:rsid w:val="00D42F71"/>
    <w:rsid w:val="00D43185"/>
    <w:rsid w:val="00D435AE"/>
    <w:rsid w:val="00D43A3F"/>
    <w:rsid w:val="00D440BA"/>
    <w:rsid w:val="00D44194"/>
    <w:rsid w:val="00D44750"/>
    <w:rsid w:val="00D449D2"/>
    <w:rsid w:val="00D44A4F"/>
    <w:rsid w:val="00D44B72"/>
    <w:rsid w:val="00D44F26"/>
    <w:rsid w:val="00D4508C"/>
    <w:rsid w:val="00D4572C"/>
    <w:rsid w:val="00D45A85"/>
    <w:rsid w:val="00D46A0C"/>
    <w:rsid w:val="00D4723D"/>
    <w:rsid w:val="00D50239"/>
    <w:rsid w:val="00D503A9"/>
    <w:rsid w:val="00D503EB"/>
    <w:rsid w:val="00D50739"/>
    <w:rsid w:val="00D50A45"/>
    <w:rsid w:val="00D50B95"/>
    <w:rsid w:val="00D50D96"/>
    <w:rsid w:val="00D513B9"/>
    <w:rsid w:val="00D5159C"/>
    <w:rsid w:val="00D516B6"/>
    <w:rsid w:val="00D519EB"/>
    <w:rsid w:val="00D52271"/>
    <w:rsid w:val="00D53011"/>
    <w:rsid w:val="00D5351E"/>
    <w:rsid w:val="00D53CA7"/>
    <w:rsid w:val="00D53CE5"/>
    <w:rsid w:val="00D53DF8"/>
    <w:rsid w:val="00D53F1A"/>
    <w:rsid w:val="00D541EB"/>
    <w:rsid w:val="00D54400"/>
    <w:rsid w:val="00D546EE"/>
    <w:rsid w:val="00D548E4"/>
    <w:rsid w:val="00D54EB2"/>
    <w:rsid w:val="00D553DD"/>
    <w:rsid w:val="00D55447"/>
    <w:rsid w:val="00D55B27"/>
    <w:rsid w:val="00D566A1"/>
    <w:rsid w:val="00D568A2"/>
    <w:rsid w:val="00D56F4E"/>
    <w:rsid w:val="00D57273"/>
    <w:rsid w:val="00D577D4"/>
    <w:rsid w:val="00D609FD"/>
    <w:rsid w:val="00D60EE6"/>
    <w:rsid w:val="00D61230"/>
    <w:rsid w:val="00D61D15"/>
    <w:rsid w:val="00D623FD"/>
    <w:rsid w:val="00D625FD"/>
    <w:rsid w:val="00D6291A"/>
    <w:rsid w:val="00D638C3"/>
    <w:rsid w:val="00D63DA9"/>
    <w:rsid w:val="00D63F24"/>
    <w:rsid w:val="00D64059"/>
    <w:rsid w:val="00D6517A"/>
    <w:rsid w:val="00D65257"/>
    <w:rsid w:val="00D65856"/>
    <w:rsid w:val="00D658B2"/>
    <w:rsid w:val="00D65C06"/>
    <w:rsid w:val="00D65DDB"/>
    <w:rsid w:val="00D6672F"/>
    <w:rsid w:val="00D66A67"/>
    <w:rsid w:val="00D66DC5"/>
    <w:rsid w:val="00D66F60"/>
    <w:rsid w:val="00D67D36"/>
    <w:rsid w:val="00D67E55"/>
    <w:rsid w:val="00D67E74"/>
    <w:rsid w:val="00D703E1"/>
    <w:rsid w:val="00D70B62"/>
    <w:rsid w:val="00D71DF7"/>
    <w:rsid w:val="00D72120"/>
    <w:rsid w:val="00D721D8"/>
    <w:rsid w:val="00D723C7"/>
    <w:rsid w:val="00D725F8"/>
    <w:rsid w:val="00D73305"/>
    <w:rsid w:val="00D7357D"/>
    <w:rsid w:val="00D73935"/>
    <w:rsid w:val="00D739DC"/>
    <w:rsid w:val="00D744F9"/>
    <w:rsid w:val="00D74A43"/>
    <w:rsid w:val="00D74AB6"/>
    <w:rsid w:val="00D75411"/>
    <w:rsid w:val="00D754E9"/>
    <w:rsid w:val="00D7632B"/>
    <w:rsid w:val="00D76C7A"/>
    <w:rsid w:val="00D77A54"/>
    <w:rsid w:val="00D80394"/>
    <w:rsid w:val="00D813BE"/>
    <w:rsid w:val="00D81458"/>
    <w:rsid w:val="00D814CF"/>
    <w:rsid w:val="00D816F5"/>
    <w:rsid w:val="00D81930"/>
    <w:rsid w:val="00D819D6"/>
    <w:rsid w:val="00D8280E"/>
    <w:rsid w:val="00D82BD1"/>
    <w:rsid w:val="00D83083"/>
    <w:rsid w:val="00D83BD0"/>
    <w:rsid w:val="00D83DFA"/>
    <w:rsid w:val="00D83F71"/>
    <w:rsid w:val="00D840F5"/>
    <w:rsid w:val="00D84166"/>
    <w:rsid w:val="00D84C97"/>
    <w:rsid w:val="00D84CD4"/>
    <w:rsid w:val="00D856EF"/>
    <w:rsid w:val="00D85CDB"/>
    <w:rsid w:val="00D85D07"/>
    <w:rsid w:val="00D85EA6"/>
    <w:rsid w:val="00D864D5"/>
    <w:rsid w:val="00D86F20"/>
    <w:rsid w:val="00D87832"/>
    <w:rsid w:val="00D87ACC"/>
    <w:rsid w:val="00D87BCC"/>
    <w:rsid w:val="00D900F9"/>
    <w:rsid w:val="00D9023D"/>
    <w:rsid w:val="00D90907"/>
    <w:rsid w:val="00D90A5A"/>
    <w:rsid w:val="00D924D6"/>
    <w:rsid w:val="00D925C8"/>
    <w:rsid w:val="00D92CB5"/>
    <w:rsid w:val="00D934CB"/>
    <w:rsid w:val="00D936A2"/>
    <w:rsid w:val="00D936D8"/>
    <w:rsid w:val="00D93BB8"/>
    <w:rsid w:val="00D942F0"/>
    <w:rsid w:val="00D9445D"/>
    <w:rsid w:val="00D944B3"/>
    <w:rsid w:val="00D944FD"/>
    <w:rsid w:val="00D94EB7"/>
    <w:rsid w:val="00D95F2C"/>
    <w:rsid w:val="00D95F2E"/>
    <w:rsid w:val="00D9645E"/>
    <w:rsid w:val="00D965D1"/>
    <w:rsid w:val="00D97062"/>
    <w:rsid w:val="00D97275"/>
    <w:rsid w:val="00D972FF"/>
    <w:rsid w:val="00D979E1"/>
    <w:rsid w:val="00D97A38"/>
    <w:rsid w:val="00D97F61"/>
    <w:rsid w:val="00DA0154"/>
    <w:rsid w:val="00DA0B2B"/>
    <w:rsid w:val="00DA127B"/>
    <w:rsid w:val="00DA1D11"/>
    <w:rsid w:val="00DA2614"/>
    <w:rsid w:val="00DA3024"/>
    <w:rsid w:val="00DA306B"/>
    <w:rsid w:val="00DA306E"/>
    <w:rsid w:val="00DA31CE"/>
    <w:rsid w:val="00DA32EC"/>
    <w:rsid w:val="00DA3305"/>
    <w:rsid w:val="00DA352F"/>
    <w:rsid w:val="00DA3A03"/>
    <w:rsid w:val="00DA41BA"/>
    <w:rsid w:val="00DA4251"/>
    <w:rsid w:val="00DA48C7"/>
    <w:rsid w:val="00DA4A9D"/>
    <w:rsid w:val="00DA4DE7"/>
    <w:rsid w:val="00DA5013"/>
    <w:rsid w:val="00DA56CA"/>
    <w:rsid w:val="00DA5CF3"/>
    <w:rsid w:val="00DA66DC"/>
    <w:rsid w:val="00DA677E"/>
    <w:rsid w:val="00DA6906"/>
    <w:rsid w:val="00DA6A17"/>
    <w:rsid w:val="00DA6AC4"/>
    <w:rsid w:val="00DA6F8C"/>
    <w:rsid w:val="00DA70EF"/>
    <w:rsid w:val="00DB087F"/>
    <w:rsid w:val="00DB0E4B"/>
    <w:rsid w:val="00DB1079"/>
    <w:rsid w:val="00DB1303"/>
    <w:rsid w:val="00DB1842"/>
    <w:rsid w:val="00DB28D3"/>
    <w:rsid w:val="00DB2EF1"/>
    <w:rsid w:val="00DB33DA"/>
    <w:rsid w:val="00DB35B3"/>
    <w:rsid w:val="00DB35FF"/>
    <w:rsid w:val="00DB3BBB"/>
    <w:rsid w:val="00DB413F"/>
    <w:rsid w:val="00DB435C"/>
    <w:rsid w:val="00DB43A2"/>
    <w:rsid w:val="00DB444F"/>
    <w:rsid w:val="00DB4A80"/>
    <w:rsid w:val="00DB4A9E"/>
    <w:rsid w:val="00DB4E40"/>
    <w:rsid w:val="00DB53A4"/>
    <w:rsid w:val="00DB54C6"/>
    <w:rsid w:val="00DB5EF7"/>
    <w:rsid w:val="00DB6161"/>
    <w:rsid w:val="00DB74F0"/>
    <w:rsid w:val="00DB754C"/>
    <w:rsid w:val="00DB7BC1"/>
    <w:rsid w:val="00DB7C90"/>
    <w:rsid w:val="00DC0C4F"/>
    <w:rsid w:val="00DC0EC0"/>
    <w:rsid w:val="00DC106F"/>
    <w:rsid w:val="00DC32DD"/>
    <w:rsid w:val="00DC3E26"/>
    <w:rsid w:val="00DC4055"/>
    <w:rsid w:val="00DC4CC1"/>
    <w:rsid w:val="00DC5326"/>
    <w:rsid w:val="00DC5507"/>
    <w:rsid w:val="00DC5AC7"/>
    <w:rsid w:val="00DC5D22"/>
    <w:rsid w:val="00DC6040"/>
    <w:rsid w:val="00DC61E2"/>
    <w:rsid w:val="00DC6CAC"/>
    <w:rsid w:val="00DC6D36"/>
    <w:rsid w:val="00DC7A13"/>
    <w:rsid w:val="00DC7B26"/>
    <w:rsid w:val="00DC7B39"/>
    <w:rsid w:val="00DC7BAE"/>
    <w:rsid w:val="00DD04A1"/>
    <w:rsid w:val="00DD0944"/>
    <w:rsid w:val="00DD1396"/>
    <w:rsid w:val="00DD1744"/>
    <w:rsid w:val="00DD24CC"/>
    <w:rsid w:val="00DD24D2"/>
    <w:rsid w:val="00DD469E"/>
    <w:rsid w:val="00DD47DF"/>
    <w:rsid w:val="00DD4D6C"/>
    <w:rsid w:val="00DD4F26"/>
    <w:rsid w:val="00DD5B89"/>
    <w:rsid w:val="00DD5C62"/>
    <w:rsid w:val="00DD645E"/>
    <w:rsid w:val="00DD70E2"/>
    <w:rsid w:val="00DD74F8"/>
    <w:rsid w:val="00DD765D"/>
    <w:rsid w:val="00DD7C3A"/>
    <w:rsid w:val="00DE097C"/>
    <w:rsid w:val="00DE0A6C"/>
    <w:rsid w:val="00DE0CB8"/>
    <w:rsid w:val="00DE23D1"/>
    <w:rsid w:val="00DE24E5"/>
    <w:rsid w:val="00DE2614"/>
    <w:rsid w:val="00DE2933"/>
    <w:rsid w:val="00DE2F31"/>
    <w:rsid w:val="00DE358E"/>
    <w:rsid w:val="00DE37BE"/>
    <w:rsid w:val="00DE3D15"/>
    <w:rsid w:val="00DE3F02"/>
    <w:rsid w:val="00DE3FCA"/>
    <w:rsid w:val="00DE41EC"/>
    <w:rsid w:val="00DE57BD"/>
    <w:rsid w:val="00DE5AD9"/>
    <w:rsid w:val="00DE5C11"/>
    <w:rsid w:val="00DE6018"/>
    <w:rsid w:val="00DE60CE"/>
    <w:rsid w:val="00DE646A"/>
    <w:rsid w:val="00DE6E17"/>
    <w:rsid w:val="00DE7022"/>
    <w:rsid w:val="00DE72E4"/>
    <w:rsid w:val="00DF05C5"/>
    <w:rsid w:val="00DF0848"/>
    <w:rsid w:val="00DF0C02"/>
    <w:rsid w:val="00DF0E5B"/>
    <w:rsid w:val="00DF0E65"/>
    <w:rsid w:val="00DF10D4"/>
    <w:rsid w:val="00DF12A9"/>
    <w:rsid w:val="00DF1418"/>
    <w:rsid w:val="00DF172F"/>
    <w:rsid w:val="00DF1D74"/>
    <w:rsid w:val="00DF2202"/>
    <w:rsid w:val="00DF262E"/>
    <w:rsid w:val="00DF36DC"/>
    <w:rsid w:val="00DF3959"/>
    <w:rsid w:val="00DF4304"/>
    <w:rsid w:val="00DF45B1"/>
    <w:rsid w:val="00DF4776"/>
    <w:rsid w:val="00DF5152"/>
    <w:rsid w:val="00DF528D"/>
    <w:rsid w:val="00DF69B1"/>
    <w:rsid w:val="00DF69BF"/>
    <w:rsid w:val="00DF6B91"/>
    <w:rsid w:val="00DF72B5"/>
    <w:rsid w:val="00DF747E"/>
    <w:rsid w:val="00E0006E"/>
    <w:rsid w:val="00E00148"/>
    <w:rsid w:val="00E01047"/>
    <w:rsid w:val="00E011CB"/>
    <w:rsid w:val="00E01B34"/>
    <w:rsid w:val="00E01F5E"/>
    <w:rsid w:val="00E01F67"/>
    <w:rsid w:val="00E024A7"/>
    <w:rsid w:val="00E02531"/>
    <w:rsid w:val="00E0265A"/>
    <w:rsid w:val="00E032C0"/>
    <w:rsid w:val="00E0354B"/>
    <w:rsid w:val="00E04239"/>
    <w:rsid w:val="00E04FDD"/>
    <w:rsid w:val="00E050F0"/>
    <w:rsid w:val="00E0566A"/>
    <w:rsid w:val="00E060B5"/>
    <w:rsid w:val="00E061E5"/>
    <w:rsid w:val="00E066F2"/>
    <w:rsid w:val="00E079E3"/>
    <w:rsid w:val="00E07BA1"/>
    <w:rsid w:val="00E07E09"/>
    <w:rsid w:val="00E07F3D"/>
    <w:rsid w:val="00E1023B"/>
    <w:rsid w:val="00E1034B"/>
    <w:rsid w:val="00E1070B"/>
    <w:rsid w:val="00E10884"/>
    <w:rsid w:val="00E108C7"/>
    <w:rsid w:val="00E10FFA"/>
    <w:rsid w:val="00E1122F"/>
    <w:rsid w:val="00E1148B"/>
    <w:rsid w:val="00E1207B"/>
    <w:rsid w:val="00E136D9"/>
    <w:rsid w:val="00E13976"/>
    <w:rsid w:val="00E13AF2"/>
    <w:rsid w:val="00E14382"/>
    <w:rsid w:val="00E14CA9"/>
    <w:rsid w:val="00E14CC0"/>
    <w:rsid w:val="00E14D1B"/>
    <w:rsid w:val="00E15223"/>
    <w:rsid w:val="00E1530D"/>
    <w:rsid w:val="00E159E4"/>
    <w:rsid w:val="00E15F6D"/>
    <w:rsid w:val="00E16089"/>
    <w:rsid w:val="00E16994"/>
    <w:rsid w:val="00E169AA"/>
    <w:rsid w:val="00E16AA3"/>
    <w:rsid w:val="00E20012"/>
    <w:rsid w:val="00E20112"/>
    <w:rsid w:val="00E204C9"/>
    <w:rsid w:val="00E20EB8"/>
    <w:rsid w:val="00E21200"/>
    <w:rsid w:val="00E21BCF"/>
    <w:rsid w:val="00E22415"/>
    <w:rsid w:val="00E22489"/>
    <w:rsid w:val="00E2264E"/>
    <w:rsid w:val="00E227FA"/>
    <w:rsid w:val="00E22A3B"/>
    <w:rsid w:val="00E22B37"/>
    <w:rsid w:val="00E23531"/>
    <w:rsid w:val="00E23944"/>
    <w:rsid w:val="00E23A9D"/>
    <w:rsid w:val="00E23AB3"/>
    <w:rsid w:val="00E2414E"/>
    <w:rsid w:val="00E24DE5"/>
    <w:rsid w:val="00E24FE4"/>
    <w:rsid w:val="00E2513B"/>
    <w:rsid w:val="00E25A28"/>
    <w:rsid w:val="00E25A32"/>
    <w:rsid w:val="00E25CCD"/>
    <w:rsid w:val="00E267F3"/>
    <w:rsid w:val="00E2698E"/>
    <w:rsid w:val="00E26A58"/>
    <w:rsid w:val="00E26FAB"/>
    <w:rsid w:val="00E26FBE"/>
    <w:rsid w:val="00E26FEA"/>
    <w:rsid w:val="00E271D7"/>
    <w:rsid w:val="00E27740"/>
    <w:rsid w:val="00E2784D"/>
    <w:rsid w:val="00E30067"/>
    <w:rsid w:val="00E30156"/>
    <w:rsid w:val="00E30260"/>
    <w:rsid w:val="00E3032B"/>
    <w:rsid w:val="00E30DC0"/>
    <w:rsid w:val="00E30FB9"/>
    <w:rsid w:val="00E310EA"/>
    <w:rsid w:val="00E31550"/>
    <w:rsid w:val="00E31BBA"/>
    <w:rsid w:val="00E325AE"/>
    <w:rsid w:val="00E32751"/>
    <w:rsid w:val="00E3275B"/>
    <w:rsid w:val="00E334E9"/>
    <w:rsid w:val="00E336EF"/>
    <w:rsid w:val="00E33B5B"/>
    <w:rsid w:val="00E3411D"/>
    <w:rsid w:val="00E34319"/>
    <w:rsid w:val="00E34480"/>
    <w:rsid w:val="00E34F95"/>
    <w:rsid w:val="00E35196"/>
    <w:rsid w:val="00E3532E"/>
    <w:rsid w:val="00E354EE"/>
    <w:rsid w:val="00E3550B"/>
    <w:rsid w:val="00E35A66"/>
    <w:rsid w:val="00E35C86"/>
    <w:rsid w:val="00E35CEA"/>
    <w:rsid w:val="00E362C4"/>
    <w:rsid w:val="00E369F8"/>
    <w:rsid w:val="00E36EE9"/>
    <w:rsid w:val="00E37097"/>
    <w:rsid w:val="00E37294"/>
    <w:rsid w:val="00E372FA"/>
    <w:rsid w:val="00E37815"/>
    <w:rsid w:val="00E3785C"/>
    <w:rsid w:val="00E40764"/>
    <w:rsid w:val="00E40C6F"/>
    <w:rsid w:val="00E4170F"/>
    <w:rsid w:val="00E418F2"/>
    <w:rsid w:val="00E41AD4"/>
    <w:rsid w:val="00E41BAE"/>
    <w:rsid w:val="00E41E9C"/>
    <w:rsid w:val="00E4207B"/>
    <w:rsid w:val="00E42786"/>
    <w:rsid w:val="00E428CF"/>
    <w:rsid w:val="00E42F71"/>
    <w:rsid w:val="00E430B7"/>
    <w:rsid w:val="00E4350C"/>
    <w:rsid w:val="00E436AC"/>
    <w:rsid w:val="00E44016"/>
    <w:rsid w:val="00E448E5"/>
    <w:rsid w:val="00E44D6F"/>
    <w:rsid w:val="00E4542E"/>
    <w:rsid w:val="00E454B0"/>
    <w:rsid w:val="00E45568"/>
    <w:rsid w:val="00E46D29"/>
    <w:rsid w:val="00E47A43"/>
    <w:rsid w:val="00E47BAC"/>
    <w:rsid w:val="00E47FB3"/>
    <w:rsid w:val="00E50348"/>
    <w:rsid w:val="00E5186A"/>
    <w:rsid w:val="00E51E37"/>
    <w:rsid w:val="00E52F74"/>
    <w:rsid w:val="00E5317A"/>
    <w:rsid w:val="00E5328D"/>
    <w:rsid w:val="00E5359E"/>
    <w:rsid w:val="00E53AC8"/>
    <w:rsid w:val="00E53E84"/>
    <w:rsid w:val="00E5464F"/>
    <w:rsid w:val="00E55499"/>
    <w:rsid w:val="00E56566"/>
    <w:rsid w:val="00E56567"/>
    <w:rsid w:val="00E569A2"/>
    <w:rsid w:val="00E56BA4"/>
    <w:rsid w:val="00E56FE3"/>
    <w:rsid w:val="00E5724F"/>
    <w:rsid w:val="00E57DE4"/>
    <w:rsid w:val="00E57E5F"/>
    <w:rsid w:val="00E57EFC"/>
    <w:rsid w:val="00E60156"/>
    <w:rsid w:val="00E60562"/>
    <w:rsid w:val="00E60734"/>
    <w:rsid w:val="00E60FDA"/>
    <w:rsid w:val="00E61B5A"/>
    <w:rsid w:val="00E62222"/>
    <w:rsid w:val="00E62415"/>
    <w:rsid w:val="00E62F46"/>
    <w:rsid w:val="00E636F6"/>
    <w:rsid w:val="00E63A87"/>
    <w:rsid w:val="00E6459A"/>
    <w:rsid w:val="00E64676"/>
    <w:rsid w:val="00E65278"/>
    <w:rsid w:val="00E65545"/>
    <w:rsid w:val="00E6557C"/>
    <w:rsid w:val="00E65E26"/>
    <w:rsid w:val="00E663A6"/>
    <w:rsid w:val="00E663CB"/>
    <w:rsid w:val="00E66612"/>
    <w:rsid w:val="00E668E1"/>
    <w:rsid w:val="00E66ABA"/>
    <w:rsid w:val="00E66AF9"/>
    <w:rsid w:val="00E66BC3"/>
    <w:rsid w:val="00E66EF9"/>
    <w:rsid w:val="00E67082"/>
    <w:rsid w:val="00E6711F"/>
    <w:rsid w:val="00E67619"/>
    <w:rsid w:val="00E67753"/>
    <w:rsid w:val="00E67C06"/>
    <w:rsid w:val="00E67C27"/>
    <w:rsid w:val="00E70675"/>
    <w:rsid w:val="00E708AF"/>
    <w:rsid w:val="00E70957"/>
    <w:rsid w:val="00E714F7"/>
    <w:rsid w:val="00E715E9"/>
    <w:rsid w:val="00E71659"/>
    <w:rsid w:val="00E716A7"/>
    <w:rsid w:val="00E71800"/>
    <w:rsid w:val="00E71851"/>
    <w:rsid w:val="00E71A67"/>
    <w:rsid w:val="00E71AC3"/>
    <w:rsid w:val="00E72360"/>
    <w:rsid w:val="00E72424"/>
    <w:rsid w:val="00E731A4"/>
    <w:rsid w:val="00E7329B"/>
    <w:rsid w:val="00E736F9"/>
    <w:rsid w:val="00E7370A"/>
    <w:rsid w:val="00E73A94"/>
    <w:rsid w:val="00E7446F"/>
    <w:rsid w:val="00E74580"/>
    <w:rsid w:val="00E75828"/>
    <w:rsid w:val="00E75AF4"/>
    <w:rsid w:val="00E76229"/>
    <w:rsid w:val="00E76DF2"/>
    <w:rsid w:val="00E77C87"/>
    <w:rsid w:val="00E77E36"/>
    <w:rsid w:val="00E77F2C"/>
    <w:rsid w:val="00E80101"/>
    <w:rsid w:val="00E80424"/>
    <w:rsid w:val="00E8043C"/>
    <w:rsid w:val="00E80527"/>
    <w:rsid w:val="00E80539"/>
    <w:rsid w:val="00E80549"/>
    <w:rsid w:val="00E8081C"/>
    <w:rsid w:val="00E809B6"/>
    <w:rsid w:val="00E80F6E"/>
    <w:rsid w:val="00E8126F"/>
    <w:rsid w:val="00E813E7"/>
    <w:rsid w:val="00E81D4D"/>
    <w:rsid w:val="00E81EC0"/>
    <w:rsid w:val="00E821BE"/>
    <w:rsid w:val="00E82CBA"/>
    <w:rsid w:val="00E82CE0"/>
    <w:rsid w:val="00E83492"/>
    <w:rsid w:val="00E8367C"/>
    <w:rsid w:val="00E8382E"/>
    <w:rsid w:val="00E839B6"/>
    <w:rsid w:val="00E84BE1"/>
    <w:rsid w:val="00E84C09"/>
    <w:rsid w:val="00E856DD"/>
    <w:rsid w:val="00E85E43"/>
    <w:rsid w:val="00E85FAF"/>
    <w:rsid w:val="00E86056"/>
    <w:rsid w:val="00E8611C"/>
    <w:rsid w:val="00E8622E"/>
    <w:rsid w:val="00E86E37"/>
    <w:rsid w:val="00E90034"/>
    <w:rsid w:val="00E901E8"/>
    <w:rsid w:val="00E9054F"/>
    <w:rsid w:val="00E906AD"/>
    <w:rsid w:val="00E90770"/>
    <w:rsid w:val="00E913E4"/>
    <w:rsid w:val="00E91782"/>
    <w:rsid w:val="00E91ED5"/>
    <w:rsid w:val="00E91F30"/>
    <w:rsid w:val="00E91F43"/>
    <w:rsid w:val="00E921CF"/>
    <w:rsid w:val="00E92361"/>
    <w:rsid w:val="00E92449"/>
    <w:rsid w:val="00E9293F"/>
    <w:rsid w:val="00E93414"/>
    <w:rsid w:val="00E93A02"/>
    <w:rsid w:val="00E9491E"/>
    <w:rsid w:val="00E9555F"/>
    <w:rsid w:val="00E95E65"/>
    <w:rsid w:val="00E96030"/>
    <w:rsid w:val="00E96224"/>
    <w:rsid w:val="00E96B39"/>
    <w:rsid w:val="00E970DA"/>
    <w:rsid w:val="00E9735F"/>
    <w:rsid w:val="00E97809"/>
    <w:rsid w:val="00EA05DB"/>
    <w:rsid w:val="00EA08A4"/>
    <w:rsid w:val="00EA15DF"/>
    <w:rsid w:val="00EA17E2"/>
    <w:rsid w:val="00EA193A"/>
    <w:rsid w:val="00EA1B29"/>
    <w:rsid w:val="00EA1B9B"/>
    <w:rsid w:val="00EA1EBA"/>
    <w:rsid w:val="00EA2424"/>
    <w:rsid w:val="00EA255E"/>
    <w:rsid w:val="00EA32D0"/>
    <w:rsid w:val="00EA33D1"/>
    <w:rsid w:val="00EA345A"/>
    <w:rsid w:val="00EA3616"/>
    <w:rsid w:val="00EA36F8"/>
    <w:rsid w:val="00EA41DB"/>
    <w:rsid w:val="00EA5122"/>
    <w:rsid w:val="00EA5150"/>
    <w:rsid w:val="00EA51A3"/>
    <w:rsid w:val="00EA521B"/>
    <w:rsid w:val="00EA52E5"/>
    <w:rsid w:val="00EA548B"/>
    <w:rsid w:val="00EA59E8"/>
    <w:rsid w:val="00EA7158"/>
    <w:rsid w:val="00EA79E2"/>
    <w:rsid w:val="00EB0345"/>
    <w:rsid w:val="00EB09F7"/>
    <w:rsid w:val="00EB0CA9"/>
    <w:rsid w:val="00EB1EAD"/>
    <w:rsid w:val="00EB25E3"/>
    <w:rsid w:val="00EB2788"/>
    <w:rsid w:val="00EB298F"/>
    <w:rsid w:val="00EB2B10"/>
    <w:rsid w:val="00EB3343"/>
    <w:rsid w:val="00EB3482"/>
    <w:rsid w:val="00EB4010"/>
    <w:rsid w:val="00EB41CE"/>
    <w:rsid w:val="00EB4521"/>
    <w:rsid w:val="00EB5276"/>
    <w:rsid w:val="00EB5BCF"/>
    <w:rsid w:val="00EB5EE5"/>
    <w:rsid w:val="00EB6412"/>
    <w:rsid w:val="00EB67A2"/>
    <w:rsid w:val="00EB68CF"/>
    <w:rsid w:val="00EB7287"/>
    <w:rsid w:val="00EB73C6"/>
    <w:rsid w:val="00EB77FA"/>
    <w:rsid w:val="00EB7E73"/>
    <w:rsid w:val="00EC04EB"/>
    <w:rsid w:val="00EC0C08"/>
    <w:rsid w:val="00EC0E7A"/>
    <w:rsid w:val="00EC1107"/>
    <w:rsid w:val="00EC1986"/>
    <w:rsid w:val="00EC1A53"/>
    <w:rsid w:val="00EC1B56"/>
    <w:rsid w:val="00EC1B91"/>
    <w:rsid w:val="00EC20E0"/>
    <w:rsid w:val="00EC29B5"/>
    <w:rsid w:val="00EC2FB8"/>
    <w:rsid w:val="00EC3277"/>
    <w:rsid w:val="00EC3823"/>
    <w:rsid w:val="00EC404A"/>
    <w:rsid w:val="00EC4366"/>
    <w:rsid w:val="00EC4973"/>
    <w:rsid w:val="00EC54A4"/>
    <w:rsid w:val="00EC5529"/>
    <w:rsid w:val="00EC5AF4"/>
    <w:rsid w:val="00EC6390"/>
    <w:rsid w:val="00EC63E6"/>
    <w:rsid w:val="00EC6B08"/>
    <w:rsid w:val="00EC6F8F"/>
    <w:rsid w:val="00EC71E6"/>
    <w:rsid w:val="00EC72A2"/>
    <w:rsid w:val="00ED089A"/>
    <w:rsid w:val="00ED0E0A"/>
    <w:rsid w:val="00ED140A"/>
    <w:rsid w:val="00ED18D4"/>
    <w:rsid w:val="00ED1993"/>
    <w:rsid w:val="00ED19D5"/>
    <w:rsid w:val="00ED2572"/>
    <w:rsid w:val="00ED2A13"/>
    <w:rsid w:val="00ED37DC"/>
    <w:rsid w:val="00ED3B3D"/>
    <w:rsid w:val="00ED4047"/>
    <w:rsid w:val="00ED4A59"/>
    <w:rsid w:val="00ED4B34"/>
    <w:rsid w:val="00ED5313"/>
    <w:rsid w:val="00ED531A"/>
    <w:rsid w:val="00ED5608"/>
    <w:rsid w:val="00ED5AD1"/>
    <w:rsid w:val="00ED5D81"/>
    <w:rsid w:val="00ED61ED"/>
    <w:rsid w:val="00ED64F2"/>
    <w:rsid w:val="00ED74AF"/>
    <w:rsid w:val="00ED7CFB"/>
    <w:rsid w:val="00ED7E7C"/>
    <w:rsid w:val="00ED7F50"/>
    <w:rsid w:val="00EE0FFE"/>
    <w:rsid w:val="00EE11DD"/>
    <w:rsid w:val="00EE143B"/>
    <w:rsid w:val="00EE1525"/>
    <w:rsid w:val="00EE1528"/>
    <w:rsid w:val="00EE19EE"/>
    <w:rsid w:val="00EE1C72"/>
    <w:rsid w:val="00EE1D57"/>
    <w:rsid w:val="00EE26FE"/>
    <w:rsid w:val="00EE291C"/>
    <w:rsid w:val="00EE2BAB"/>
    <w:rsid w:val="00EE3046"/>
    <w:rsid w:val="00EE318C"/>
    <w:rsid w:val="00EE31F5"/>
    <w:rsid w:val="00EE4408"/>
    <w:rsid w:val="00EE44A7"/>
    <w:rsid w:val="00EE4822"/>
    <w:rsid w:val="00EE4DB1"/>
    <w:rsid w:val="00EE527C"/>
    <w:rsid w:val="00EE5463"/>
    <w:rsid w:val="00EE607F"/>
    <w:rsid w:val="00EE721C"/>
    <w:rsid w:val="00EF03B1"/>
    <w:rsid w:val="00EF04AF"/>
    <w:rsid w:val="00EF0853"/>
    <w:rsid w:val="00EF0917"/>
    <w:rsid w:val="00EF169A"/>
    <w:rsid w:val="00EF18C8"/>
    <w:rsid w:val="00EF1B23"/>
    <w:rsid w:val="00EF1BBD"/>
    <w:rsid w:val="00EF2C0D"/>
    <w:rsid w:val="00EF3768"/>
    <w:rsid w:val="00EF3916"/>
    <w:rsid w:val="00EF3B19"/>
    <w:rsid w:val="00EF4A86"/>
    <w:rsid w:val="00EF4ACE"/>
    <w:rsid w:val="00EF5C42"/>
    <w:rsid w:val="00EF62CF"/>
    <w:rsid w:val="00EF6A49"/>
    <w:rsid w:val="00EF7285"/>
    <w:rsid w:val="00EF73E7"/>
    <w:rsid w:val="00EF753D"/>
    <w:rsid w:val="00EF7600"/>
    <w:rsid w:val="00EF7D69"/>
    <w:rsid w:val="00EF7EA4"/>
    <w:rsid w:val="00F003BF"/>
    <w:rsid w:val="00F00C51"/>
    <w:rsid w:val="00F01707"/>
    <w:rsid w:val="00F02249"/>
    <w:rsid w:val="00F025E8"/>
    <w:rsid w:val="00F02BFD"/>
    <w:rsid w:val="00F031AE"/>
    <w:rsid w:val="00F032AF"/>
    <w:rsid w:val="00F033BB"/>
    <w:rsid w:val="00F03870"/>
    <w:rsid w:val="00F0387D"/>
    <w:rsid w:val="00F04819"/>
    <w:rsid w:val="00F05029"/>
    <w:rsid w:val="00F056E3"/>
    <w:rsid w:val="00F057D1"/>
    <w:rsid w:val="00F05E9C"/>
    <w:rsid w:val="00F05EA0"/>
    <w:rsid w:val="00F06565"/>
    <w:rsid w:val="00F067B3"/>
    <w:rsid w:val="00F06EAD"/>
    <w:rsid w:val="00F07362"/>
    <w:rsid w:val="00F07658"/>
    <w:rsid w:val="00F10183"/>
    <w:rsid w:val="00F10463"/>
    <w:rsid w:val="00F10540"/>
    <w:rsid w:val="00F105C9"/>
    <w:rsid w:val="00F109A8"/>
    <w:rsid w:val="00F10CD5"/>
    <w:rsid w:val="00F11796"/>
    <w:rsid w:val="00F11A6C"/>
    <w:rsid w:val="00F11F88"/>
    <w:rsid w:val="00F12012"/>
    <w:rsid w:val="00F1281F"/>
    <w:rsid w:val="00F128FB"/>
    <w:rsid w:val="00F129DF"/>
    <w:rsid w:val="00F12CF9"/>
    <w:rsid w:val="00F138B7"/>
    <w:rsid w:val="00F13B61"/>
    <w:rsid w:val="00F13EB0"/>
    <w:rsid w:val="00F1490A"/>
    <w:rsid w:val="00F15096"/>
    <w:rsid w:val="00F151BA"/>
    <w:rsid w:val="00F15A82"/>
    <w:rsid w:val="00F15DA6"/>
    <w:rsid w:val="00F168A6"/>
    <w:rsid w:val="00F16F53"/>
    <w:rsid w:val="00F1705D"/>
    <w:rsid w:val="00F204B5"/>
    <w:rsid w:val="00F205D2"/>
    <w:rsid w:val="00F2064A"/>
    <w:rsid w:val="00F21BB2"/>
    <w:rsid w:val="00F21FCF"/>
    <w:rsid w:val="00F227D9"/>
    <w:rsid w:val="00F22826"/>
    <w:rsid w:val="00F22BC2"/>
    <w:rsid w:val="00F23122"/>
    <w:rsid w:val="00F23320"/>
    <w:rsid w:val="00F234E6"/>
    <w:rsid w:val="00F237D6"/>
    <w:rsid w:val="00F24356"/>
    <w:rsid w:val="00F24AF8"/>
    <w:rsid w:val="00F24B99"/>
    <w:rsid w:val="00F25A88"/>
    <w:rsid w:val="00F25CB4"/>
    <w:rsid w:val="00F25E17"/>
    <w:rsid w:val="00F25EE7"/>
    <w:rsid w:val="00F264F5"/>
    <w:rsid w:val="00F26531"/>
    <w:rsid w:val="00F265D3"/>
    <w:rsid w:val="00F267D1"/>
    <w:rsid w:val="00F26861"/>
    <w:rsid w:val="00F26967"/>
    <w:rsid w:val="00F26ECD"/>
    <w:rsid w:val="00F27B44"/>
    <w:rsid w:val="00F27D4A"/>
    <w:rsid w:val="00F300C7"/>
    <w:rsid w:val="00F30354"/>
    <w:rsid w:val="00F30CF6"/>
    <w:rsid w:val="00F30D0F"/>
    <w:rsid w:val="00F31E25"/>
    <w:rsid w:val="00F32694"/>
    <w:rsid w:val="00F326E8"/>
    <w:rsid w:val="00F32DCE"/>
    <w:rsid w:val="00F3334F"/>
    <w:rsid w:val="00F3433D"/>
    <w:rsid w:val="00F34433"/>
    <w:rsid w:val="00F35B85"/>
    <w:rsid w:val="00F35C21"/>
    <w:rsid w:val="00F35CA0"/>
    <w:rsid w:val="00F368D9"/>
    <w:rsid w:val="00F36EE1"/>
    <w:rsid w:val="00F36FFF"/>
    <w:rsid w:val="00F37307"/>
    <w:rsid w:val="00F37CF6"/>
    <w:rsid w:val="00F37E63"/>
    <w:rsid w:val="00F37FA8"/>
    <w:rsid w:val="00F40043"/>
    <w:rsid w:val="00F406ED"/>
    <w:rsid w:val="00F408BC"/>
    <w:rsid w:val="00F40EAC"/>
    <w:rsid w:val="00F413F4"/>
    <w:rsid w:val="00F41836"/>
    <w:rsid w:val="00F41849"/>
    <w:rsid w:val="00F41C67"/>
    <w:rsid w:val="00F41CC3"/>
    <w:rsid w:val="00F427E1"/>
    <w:rsid w:val="00F42A15"/>
    <w:rsid w:val="00F43B93"/>
    <w:rsid w:val="00F44025"/>
    <w:rsid w:val="00F440BB"/>
    <w:rsid w:val="00F442A4"/>
    <w:rsid w:val="00F442C7"/>
    <w:rsid w:val="00F44BE9"/>
    <w:rsid w:val="00F452C6"/>
    <w:rsid w:val="00F45349"/>
    <w:rsid w:val="00F455D6"/>
    <w:rsid w:val="00F45A25"/>
    <w:rsid w:val="00F45BFA"/>
    <w:rsid w:val="00F46C06"/>
    <w:rsid w:val="00F46CE0"/>
    <w:rsid w:val="00F47895"/>
    <w:rsid w:val="00F50469"/>
    <w:rsid w:val="00F51460"/>
    <w:rsid w:val="00F51760"/>
    <w:rsid w:val="00F51932"/>
    <w:rsid w:val="00F51E83"/>
    <w:rsid w:val="00F5205A"/>
    <w:rsid w:val="00F5293C"/>
    <w:rsid w:val="00F5387E"/>
    <w:rsid w:val="00F53A15"/>
    <w:rsid w:val="00F54085"/>
    <w:rsid w:val="00F541FC"/>
    <w:rsid w:val="00F54721"/>
    <w:rsid w:val="00F54ECB"/>
    <w:rsid w:val="00F5575F"/>
    <w:rsid w:val="00F557D3"/>
    <w:rsid w:val="00F5583F"/>
    <w:rsid w:val="00F55B8B"/>
    <w:rsid w:val="00F55E88"/>
    <w:rsid w:val="00F56C33"/>
    <w:rsid w:val="00F56DAE"/>
    <w:rsid w:val="00F57204"/>
    <w:rsid w:val="00F572D5"/>
    <w:rsid w:val="00F575A6"/>
    <w:rsid w:val="00F57614"/>
    <w:rsid w:val="00F576ED"/>
    <w:rsid w:val="00F57C46"/>
    <w:rsid w:val="00F57D90"/>
    <w:rsid w:val="00F57E37"/>
    <w:rsid w:val="00F6028A"/>
    <w:rsid w:val="00F60361"/>
    <w:rsid w:val="00F60F7F"/>
    <w:rsid w:val="00F6102B"/>
    <w:rsid w:val="00F61174"/>
    <w:rsid w:val="00F6118E"/>
    <w:rsid w:val="00F612BA"/>
    <w:rsid w:val="00F61360"/>
    <w:rsid w:val="00F616EA"/>
    <w:rsid w:val="00F617C1"/>
    <w:rsid w:val="00F6192A"/>
    <w:rsid w:val="00F61955"/>
    <w:rsid w:val="00F61B65"/>
    <w:rsid w:val="00F622CE"/>
    <w:rsid w:val="00F63515"/>
    <w:rsid w:val="00F6351D"/>
    <w:rsid w:val="00F63572"/>
    <w:rsid w:val="00F63629"/>
    <w:rsid w:val="00F63A30"/>
    <w:rsid w:val="00F63B74"/>
    <w:rsid w:val="00F63CA7"/>
    <w:rsid w:val="00F641BC"/>
    <w:rsid w:val="00F6452F"/>
    <w:rsid w:val="00F64D79"/>
    <w:rsid w:val="00F64E29"/>
    <w:rsid w:val="00F651D6"/>
    <w:rsid w:val="00F658DF"/>
    <w:rsid w:val="00F668C0"/>
    <w:rsid w:val="00F66A24"/>
    <w:rsid w:val="00F66FEE"/>
    <w:rsid w:val="00F67877"/>
    <w:rsid w:val="00F67DD1"/>
    <w:rsid w:val="00F701BF"/>
    <w:rsid w:val="00F703BE"/>
    <w:rsid w:val="00F70715"/>
    <w:rsid w:val="00F70811"/>
    <w:rsid w:val="00F709BA"/>
    <w:rsid w:val="00F70BF6"/>
    <w:rsid w:val="00F70D7B"/>
    <w:rsid w:val="00F71193"/>
    <w:rsid w:val="00F71873"/>
    <w:rsid w:val="00F71B93"/>
    <w:rsid w:val="00F7225D"/>
    <w:rsid w:val="00F72F60"/>
    <w:rsid w:val="00F72FA7"/>
    <w:rsid w:val="00F74727"/>
    <w:rsid w:val="00F74EB7"/>
    <w:rsid w:val="00F74FFA"/>
    <w:rsid w:val="00F7535A"/>
    <w:rsid w:val="00F75564"/>
    <w:rsid w:val="00F7584D"/>
    <w:rsid w:val="00F76190"/>
    <w:rsid w:val="00F76194"/>
    <w:rsid w:val="00F76536"/>
    <w:rsid w:val="00F76BE8"/>
    <w:rsid w:val="00F770DF"/>
    <w:rsid w:val="00F777ED"/>
    <w:rsid w:val="00F7796F"/>
    <w:rsid w:val="00F77BC0"/>
    <w:rsid w:val="00F77F44"/>
    <w:rsid w:val="00F800A7"/>
    <w:rsid w:val="00F803DD"/>
    <w:rsid w:val="00F80609"/>
    <w:rsid w:val="00F809F1"/>
    <w:rsid w:val="00F81F0A"/>
    <w:rsid w:val="00F82A2F"/>
    <w:rsid w:val="00F82E43"/>
    <w:rsid w:val="00F83024"/>
    <w:rsid w:val="00F83C53"/>
    <w:rsid w:val="00F83E90"/>
    <w:rsid w:val="00F841C2"/>
    <w:rsid w:val="00F842EC"/>
    <w:rsid w:val="00F84570"/>
    <w:rsid w:val="00F84900"/>
    <w:rsid w:val="00F84960"/>
    <w:rsid w:val="00F849EE"/>
    <w:rsid w:val="00F84FF9"/>
    <w:rsid w:val="00F858D7"/>
    <w:rsid w:val="00F85EEC"/>
    <w:rsid w:val="00F86B71"/>
    <w:rsid w:val="00F86C00"/>
    <w:rsid w:val="00F86CF6"/>
    <w:rsid w:val="00F86DEC"/>
    <w:rsid w:val="00F874D8"/>
    <w:rsid w:val="00F87923"/>
    <w:rsid w:val="00F87C1B"/>
    <w:rsid w:val="00F87F00"/>
    <w:rsid w:val="00F909CE"/>
    <w:rsid w:val="00F9167B"/>
    <w:rsid w:val="00F91687"/>
    <w:rsid w:val="00F91920"/>
    <w:rsid w:val="00F921FA"/>
    <w:rsid w:val="00F92C9F"/>
    <w:rsid w:val="00F93390"/>
    <w:rsid w:val="00F938DD"/>
    <w:rsid w:val="00F93B6C"/>
    <w:rsid w:val="00F93E88"/>
    <w:rsid w:val="00F941FF"/>
    <w:rsid w:val="00F944D6"/>
    <w:rsid w:val="00F957F2"/>
    <w:rsid w:val="00F959DB"/>
    <w:rsid w:val="00F95CFF"/>
    <w:rsid w:val="00F96B0C"/>
    <w:rsid w:val="00F96BC7"/>
    <w:rsid w:val="00F97570"/>
    <w:rsid w:val="00F97C98"/>
    <w:rsid w:val="00FA02AA"/>
    <w:rsid w:val="00FA0E8A"/>
    <w:rsid w:val="00FA1290"/>
    <w:rsid w:val="00FA1507"/>
    <w:rsid w:val="00FA1CA3"/>
    <w:rsid w:val="00FA2031"/>
    <w:rsid w:val="00FA35C6"/>
    <w:rsid w:val="00FA3629"/>
    <w:rsid w:val="00FA3701"/>
    <w:rsid w:val="00FA425B"/>
    <w:rsid w:val="00FA42B8"/>
    <w:rsid w:val="00FA4428"/>
    <w:rsid w:val="00FA4EDD"/>
    <w:rsid w:val="00FA4F61"/>
    <w:rsid w:val="00FA57A6"/>
    <w:rsid w:val="00FA5838"/>
    <w:rsid w:val="00FA59B1"/>
    <w:rsid w:val="00FA5CF0"/>
    <w:rsid w:val="00FA5E66"/>
    <w:rsid w:val="00FA60B7"/>
    <w:rsid w:val="00FA664A"/>
    <w:rsid w:val="00FA6892"/>
    <w:rsid w:val="00FA6C19"/>
    <w:rsid w:val="00FA6EC3"/>
    <w:rsid w:val="00FA6FB1"/>
    <w:rsid w:val="00FA7BA7"/>
    <w:rsid w:val="00FA7DC9"/>
    <w:rsid w:val="00FA7FCD"/>
    <w:rsid w:val="00FB00D6"/>
    <w:rsid w:val="00FB0BAB"/>
    <w:rsid w:val="00FB0FB4"/>
    <w:rsid w:val="00FB1133"/>
    <w:rsid w:val="00FB1536"/>
    <w:rsid w:val="00FB1D9E"/>
    <w:rsid w:val="00FB24FC"/>
    <w:rsid w:val="00FB2D68"/>
    <w:rsid w:val="00FB2E2B"/>
    <w:rsid w:val="00FB32C3"/>
    <w:rsid w:val="00FB36A3"/>
    <w:rsid w:val="00FB4520"/>
    <w:rsid w:val="00FB4F4A"/>
    <w:rsid w:val="00FB5456"/>
    <w:rsid w:val="00FB59BB"/>
    <w:rsid w:val="00FB7093"/>
    <w:rsid w:val="00FB7173"/>
    <w:rsid w:val="00FB7242"/>
    <w:rsid w:val="00FB7D4D"/>
    <w:rsid w:val="00FB7D67"/>
    <w:rsid w:val="00FC033C"/>
    <w:rsid w:val="00FC038C"/>
    <w:rsid w:val="00FC0936"/>
    <w:rsid w:val="00FC0A99"/>
    <w:rsid w:val="00FC0F8C"/>
    <w:rsid w:val="00FC1191"/>
    <w:rsid w:val="00FC1430"/>
    <w:rsid w:val="00FC18E7"/>
    <w:rsid w:val="00FC1C5E"/>
    <w:rsid w:val="00FC1FB4"/>
    <w:rsid w:val="00FC2C69"/>
    <w:rsid w:val="00FC38A3"/>
    <w:rsid w:val="00FC3B46"/>
    <w:rsid w:val="00FC3BA4"/>
    <w:rsid w:val="00FC3EFD"/>
    <w:rsid w:val="00FC4E9F"/>
    <w:rsid w:val="00FC5123"/>
    <w:rsid w:val="00FC5306"/>
    <w:rsid w:val="00FC552E"/>
    <w:rsid w:val="00FC5CBC"/>
    <w:rsid w:val="00FC6DCE"/>
    <w:rsid w:val="00FD00DE"/>
    <w:rsid w:val="00FD027A"/>
    <w:rsid w:val="00FD0709"/>
    <w:rsid w:val="00FD0841"/>
    <w:rsid w:val="00FD0B9F"/>
    <w:rsid w:val="00FD1227"/>
    <w:rsid w:val="00FD142A"/>
    <w:rsid w:val="00FD1A48"/>
    <w:rsid w:val="00FD1B32"/>
    <w:rsid w:val="00FD251E"/>
    <w:rsid w:val="00FD2525"/>
    <w:rsid w:val="00FD253E"/>
    <w:rsid w:val="00FD2987"/>
    <w:rsid w:val="00FD2B5E"/>
    <w:rsid w:val="00FD2C43"/>
    <w:rsid w:val="00FD2F01"/>
    <w:rsid w:val="00FD3915"/>
    <w:rsid w:val="00FD3923"/>
    <w:rsid w:val="00FD3A07"/>
    <w:rsid w:val="00FD3EFE"/>
    <w:rsid w:val="00FD42C7"/>
    <w:rsid w:val="00FD42CA"/>
    <w:rsid w:val="00FD44BE"/>
    <w:rsid w:val="00FD49EF"/>
    <w:rsid w:val="00FD5DDF"/>
    <w:rsid w:val="00FD62D3"/>
    <w:rsid w:val="00FD63DF"/>
    <w:rsid w:val="00FD66D5"/>
    <w:rsid w:val="00FD677F"/>
    <w:rsid w:val="00FD67FB"/>
    <w:rsid w:val="00FD6800"/>
    <w:rsid w:val="00FD6967"/>
    <w:rsid w:val="00FD700F"/>
    <w:rsid w:val="00FD7485"/>
    <w:rsid w:val="00FD75D3"/>
    <w:rsid w:val="00FD7B9B"/>
    <w:rsid w:val="00FD7D5D"/>
    <w:rsid w:val="00FE0142"/>
    <w:rsid w:val="00FE03FD"/>
    <w:rsid w:val="00FE05E9"/>
    <w:rsid w:val="00FE1236"/>
    <w:rsid w:val="00FE19FB"/>
    <w:rsid w:val="00FE1E54"/>
    <w:rsid w:val="00FE235C"/>
    <w:rsid w:val="00FE24A9"/>
    <w:rsid w:val="00FE25E6"/>
    <w:rsid w:val="00FE2CA5"/>
    <w:rsid w:val="00FE3C32"/>
    <w:rsid w:val="00FE3EAF"/>
    <w:rsid w:val="00FE4E1A"/>
    <w:rsid w:val="00FE523D"/>
    <w:rsid w:val="00FE586A"/>
    <w:rsid w:val="00FE5BA0"/>
    <w:rsid w:val="00FE5D92"/>
    <w:rsid w:val="00FE609D"/>
    <w:rsid w:val="00FE6DF6"/>
    <w:rsid w:val="00FF01ED"/>
    <w:rsid w:val="00FF0494"/>
    <w:rsid w:val="00FF0535"/>
    <w:rsid w:val="00FF1876"/>
    <w:rsid w:val="00FF1AB3"/>
    <w:rsid w:val="00FF1CEF"/>
    <w:rsid w:val="00FF1D3C"/>
    <w:rsid w:val="00FF2021"/>
    <w:rsid w:val="00FF23A4"/>
    <w:rsid w:val="00FF29BB"/>
    <w:rsid w:val="00FF2BAD"/>
    <w:rsid w:val="00FF2ECA"/>
    <w:rsid w:val="00FF2EE8"/>
    <w:rsid w:val="00FF3868"/>
    <w:rsid w:val="00FF3CD6"/>
    <w:rsid w:val="00FF4173"/>
    <w:rsid w:val="00FF4977"/>
    <w:rsid w:val="00FF4D0E"/>
    <w:rsid w:val="00FF4D70"/>
    <w:rsid w:val="00FF4FB2"/>
    <w:rsid w:val="00FF53C6"/>
    <w:rsid w:val="00FF5610"/>
    <w:rsid w:val="00FF567C"/>
    <w:rsid w:val="00FF5E0C"/>
    <w:rsid w:val="00FF6051"/>
    <w:rsid w:val="00FF6AE0"/>
    <w:rsid w:val="00FF7149"/>
    <w:rsid w:val="00FF769C"/>
    <w:rsid w:val="00FF7D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CFF1B"/>
  <w15:chartTrackingRefBased/>
  <w15:docId w15:val="{D119F2F1-AF70-483F-B0B2-066929CE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29"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42" w:unhideWhenUsed="1"/>
    <w:lsdException w:name="macro" w:semiHidden="1" w:unhideWhenUsed="1"/>
    <w:lsdException w:name="toa heading" w:semiHidden="1" w:uiPriority="0" w:unhideWhenUsed="1"/>
    <w:lsdException w:name="List" w:semiHidden="1" w:unhideWhenUsed="1"/>
    <w:lsdException w:name="List Bullet" w:semiHidden="1" w:unhideWhenUsed="1" w:qFormat="1"/>
    <w:lsdException w:name="List Number" w:semiHidden="1" w:uiPriority="2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4" w:unhideWhenUsed="1" w:qFormat="1"/>
    <w:lsdException w:name="List Bullet 3" w:semiHidden="1" w:uiPriority="24" w:unhideWhenUsed="1" w:qFormat="1"/>
    <w:lsdException w:name="List Bullet 4" w:semiHidden="1" w:uiPriority="24" w:unhideWhenUsed="1"/>
    <w:lsdException w:name="List Bullet 5" w:semiHidden="1" w:uiPriority="24" w:unhideWhenUsed="1"/>
    <w:lsdException w:name="List Number 2" w:semiHidden="1" w:uiPriority="24" w:unhideWhenUsed="1"/>
    <w:lsdException w:name="List Number 3" w:semiHidden="1" w:uiPriority="24" w:unhideWhenUsed="1"/>
    <w:lsdException w:name="List Number 4" w:semiHidden="1" w:uiPriority="24" w:unhideWhenUsed="1"/>
    <w:lsdException w:name="List Number 5" w:semiHidden="1" w:uiPriority="24" w:unhideWhenUsed="1"/>
    <w:lsdException w:name="Title" w:uiPriority="10" w:qFormat="1"/>
    <w:lsdException w:name="Closing" w:semiHidden="1" w:unhideWhenUsed="1"/>
    <w:lsdException w:name="Signature" w:semiHidden="1" w:uiPriority="39"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qFormat/>
    <w:rsid w:val="00E37294"/>
    <w:pPr>
      <w:spacing w:after="0" w:line="240" w:lineRule="auto"/>
    </w:pPr>
    <w:rPr>
      <w:rFonts w:ascii="Times New Roman" w:eastAsia="Times New Roman" w:hAnsi="Times New Roman" w:cs="Arial"/>
      <w:sz w:val="20"/>
      <w:szCs w:val="24"/>
    </w:rPr>
  </w:style>
  <w:style w:type="paragraph" w:styleId="Heading1">
    <w:name w:val="heading 1"/>
    <w:aliases w:val="HEADING 1,عنوان 2-1,h1,1,Main Heading,1. Heading 1,maps,Chapter Titles,Clause,Niveau 1,level 1,level1,SECTION,H1,numbered indent 1,ni1,Hanging 1 Indent,Header 1,Numbered indent 1,Head A,FS#Heading,De la Sección,Heading 1(Report Only),De la Sec"/>
    <w:basedOn w:val="Normal"/>
    <w:next w:val="BodyText1"/>
    <w:link w:val="Heading1Char"/>
    <w:uiPriority w:val="9"/>
    <w:qFormat/>
    <w:rsid w:val="00F64E29"/>
    <w:pPr>
      <w:keepNext/>
      <w:keepLines/>
      <w:numPr>
        <w:numId w:val="8"/>
      </w:numPr>
      <w:spacing w:after="200"/>
      <w:jc w:val="center"/>
      <w:outlineLvl w:val="0"/>
    </w:pPr>
    <w:rPr>
      <w:rFonts w:ascii="Times New Roman Bold" w:hAnsi="Times New Roman Bold"/>
      <w:b/>
      <w:color w:val="000000"/>
    </w:rPr>
  </w:style>
  <w:style w:type="paragraph" w:styleId="Heading2">
    <w:name w:val="heading 2"/>
    <w:basedOn w:val="Normal"/>
    <w:next w:val="BodyText1"/>
    <w:link w:val="Heading2Char"/>
    <w:uiPriority w:val="9"/>
    <w:qFormat/>
    <w:rsid w:val="00F64E29"/>
    <w:pPr>
      <w:keepNext/>
      <w:keepLines/>
      <w:numPr>
        <w:ilvl w:val="1"/>
        <w:numId w:val="8"/>
      </w:numPr>
      <w:spacing w:after="200"/>
      <w:jc w:val="both"/>
      <w:outlineLvl w:val="1"/>
    </w:pPr>
    <w:rPr>
      <w:b/>
      <w:color w:val="000000"/>
    </w:rPr>
  </w:style>
  <w:style w:type="paragraph" w:styleId="Heading3">
    <w:name w:val="heading 3"/>
    <w:basedOn w:val="Normal"/>
    <w:next w:val="BodyText1"/>
    <w:link w:val="Heading3Char"/>
    <w:uiPriority w:val="9"/>
    <w:qFormat/>
    <w:rsid w:val="00F64E29"/>
    <w:pPr>
      <w:keepNext/>
      <w:keepLines/>
      <w:numPr>
        <w:ilvl w:val="2"/>
        <w:numId w:val="8"/>
      </w:numPr>
      <w:spacing w:after="200"/>
      <w:jc w:val="both"/>
      <w:outlineLvl w:val="2"/>
    </w:pPr>
    <w:rPr>
      <w:b/>
      <w:i/>
      <w:color w:val="000000"/>
    </w:rPr>
  </w:style>
  <w:style w:type="paragraph" w:styleId="Heading4">
    <w:name w:val="heading 4"/>
    <w:basedOn w:val="Normal"/>
    <w:next w:val="BodyText1"/>
    <w:link w:val="Heading4Char"/>
    <w:uiPriority w:val="9"/>
    <w:unhideWhenUsed/>
    <w:qFormat/>
    <w:rsid w:val="00F64E29"/>
    <w:pPr>
      <w:keepNext/>
      <w:numPr>
        <w:ilvl w:val="3"/>
        <w:numId w:val="8"/>
      </w:numPr>
      <w:spacing w:after="200"/>
      <w:jc w:val="both"/>
      <w:outlineLvl w:val="3"/>
    </w:pPr>
    <w:rPr>
      <w:i/>
      <w:color w:val="000000"/>
    </w:rPr>
  </w:style>
  <w:style w:type="paragraph" w:styleId="Heading5">
    <w:name w:val="heading 5"/>
    <w:basedOn w:val="Normal"/>
    <w:next w:val="BodyText1"/>
    <w:link w:val="Heading5Char"/>
    <w:uiPriority w:val="9"/>
    <w:unhideWhenUsed/>
    <w:qFormat/>
    <w:rsid w:val="00F64E29"/>
    <w:pPr>
      <w:keepNext/>
      <w:numPr>
        <w:ilvl w:val="4"/>
        <w:numId w:val="8"/>
      </w:numPr>
      <w:spacing w:after="200"/>
      <w:outlineLvl w:val="4"/>
    </w:pPr>
    <w:rPr>
      <w:b/>
      <w:i/>
      <w:color w:val="000000"/>
    </w:rPr>
  </w:style>
  <w:style w:type="paragraph" w:styleId="Heading6">
    <w:name w:val="heading 6"/>
    <w:basedOn w:val="Normal"/>
    <w:next w:val="BodyText1"/>
    <w:link w:val="Heading6Char"/>
    <w:uiPriority w:val="9"/>
    <w:unhideWhenUsed/>
    <w:qFormat/>
    <w:rsid w:val="00F64E29"/>
    <w:pPr>
      <w:numPr>
        <w:ilvl w:val="5"/>
        <w:numId w:val="8"/>
      </w:numPr>
      <w:spacing w:after="200"/>
      <w:outlineLvl w:val="5"/>
    </w:pPr>
    <w:rPr>
      <w:color w:val="000000"/>
    </w:rPr>
  </w:style>
  <w:style w:type="paragraph" w:styleId="Heading7">
    <w:name w:val="heading 7"/>
    <w:basedOn w:val="Normal"/>
    <w:next w:val="BodyText1"/>
    <w:link w:val="Heading7Char"/>
    <w:uiPriority w:val="9"/>
    <w:unhideWhenUsed/>
    <w:qFormat/>
    <w:rsid w:val="00F64E29"/>
    <w:pPr>
      <w:numPr>
        <w:ilvl w:val="6"/>
        <w:numId w:val="8"/>
      </w:numPr>
      <w:spacing w:after="200"/>
      <w:jc w:val="both"/>
      <w:outlineLvl w:val="6"/>
    </w:pPr>
    <w:rPr>
      <w:b/>
      <w:color w:val="000000"/>
    </w:rPr>
  </w:style>
  <w:style w:type="paragraph" w:styleId="Heading8">
    <w:name w:val="heading 8"/>
    <w:basedOn w:val="Normal"/>
    <w:next w:val="BodyText1"/>
    <w:link w:val="Heading8Char"/>
    <w:uiPriority w:val="9"/>
    <w:qFormat/>
    <w:rsid w:val="00F64E29"/>
    <w:pPr>
      <w:numPr>
        <w:ilvl w:val="7"/>
        <w:numId w:val="8"/>
      </w:numPr>
      <w:spacing w:after="200"/>
      <w:jc w:val="both"/>
      <w:outlineLvl w:val="7"/>
    </w:pPr>
    <w:rPr>
      <w:color w:val="000000"/>
    </w:rPr>
  </w:style>
  <w:style w:type="paragraph" w:styleId="Heading9">
    <w:name w:val="heading 9"/>
    <w:basedOn w:val="Normal"/>
    <w:next w:val="BodyText1"/>
    <w:link w:val="Heading9Char"/>
    <w:qFormat/>
    <w:rsid w:val="00F64E29"/>
    <w:pPr>
      <w:numPr>
        <w:ilvl w:val="8"/>
        <w:numId w:val="8"/>
      </w:numPr>
      <w:spacing w:after="240"/>
      <w:outlineLvl w:val="8"/>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77F49"/>
    <w:pPr>
      <w:spacing w:after="200"/>
      <w:jc w:val="center"/>
    </w:pPr>
    <w:rPr>
      <w:rFonts w:ascii="Times New Roman Bold" w:hAnsi="Times New Roman Bold"/>
      <w:b/>
      <w:kern w:val="28"/>
    </w:rPr>
  </w:style>
  <w:style w:type="character" w:customStyle="1" w:styleId="TitleChar">
    <w:name w:val="Title Char"/>
    <w:basedOn w:val="DefaultParagraphFont"/>
    <w:link w:val="Title"/>
    <w:rsid w:val="00077F49"/>
    <w:rPr>
      <w:rFonts w:ascii="Times New Roman Bold" w:eastAsia="Times New Roman" w:hAnsi="Times New Roman Bold" w:cs="Arial"/>
      <w:b/>
      <w:kern w:val="28"/>
      <w:sz w:val="20"/>
      <w:szCs w:val="24"/>
    </w:rPr>
  </w:style>
  <w:style w:type="table" w:styleId="TableGrid">
    <w:name w:val="Table Grid"/>
    <w:basedOn w:val="TableNormal"/>
    <w:uiPriority w:val="39"/>
    <w:rsid w:val="00077F49"/>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Text 1"/>
    <w:basedOn w:val="Normal"/>
    <w:link w:val="BodyText1Char"/>
    <w:uiPriority w:val="1"/>
    <w:qFormat/>
    <w:rsid w:val="00077F49"/>
    <w:pPr>
      <w:spacing w:after="200"/>
      <w:jc w:val="both"/>
    </w:pPr>
  </w:style>
  <w:style w:type="paragraph" w:customStyle="1" w:styleId="Centered">
    <w:name w:val="Centered"/>
    <w:basedOn w:val="Normal"/>
    <w:next w:val="BodyText1"/>
    <w:qFormat/>
    <w:rsid w:val="00077F49"/>
    <w:pPr>
      <w:spacing w:after="200"/>
      <w:jc w:val="center"/>
    </w:pPr>
  </w:style>
  <w:style w:type="character" w:customStyle="1" w:styleId="BodyText1Char">
    <w:name w:val="BodyText 1 Char"/>
    <w:basedOn w:val="DefaultParagraphFont"/>
    <w:link w:val="BodyText1"/>
    <w:uiPriority w:val="1"/>
    <w:rsid w:val="00077F49"/>
    <w:rPr>
      <w:rFonts w:ascii="Times New Roman" w:eastAsia="Times New Roman" w:hAnsi="Times New Roman" w:cs="Arial"/>
      <w:sz w:val="20"/>
      <w:szCs w:val="24"/>
    </w:rPr>
  </w:style>
  <w:style w:type="paragraph" w:styleId="ListParagraph">
    <w:name w:val="List Paragraph"/>
    <w:aliases w:val="Heading PA,Liste à puce - Normal,lp1,List Paragraph1,Bullet List,FooterText,numbered,List Paragraph11,Bulletr List Paragraph,列出段落,列出段落1,List Paragraph2,List Paragraph21,Listeafsnit1,Parágrafo da Lista1,TOC style,xxxa),vvv,Dot pt,graph,EC"/>
    <w:basedOn w:val="Normal"/>
    <w:link w:val="ListParagraphChar"/>
    <w:uiPriority w:val="34"/>
    <w:qFormat/>
    <w:rsid w:val="0038275B"/>
    <w:pPr>
      <w:ind w:left="720"/>
      <w:contextualSpacing/>
    </w:pPr>
  </w:style>
  <w:style w:type="character" w:styleId="CommentReference">
    <w:name w:val="annotation reference"/>
    <w:uiPriority w:val="99"/>
    <w:rsid w:val="00AB3D50"/>
    <w:rPr>
      <w:sz w:val="16"/>
      <w:szCs w:val="16"/>
      <w:lang w:val="en-US"/>
    </w:rPr>
  </w:style>
  <w:style w:type="paragraph" w:styleId="CommentText">
    <w:name w:val="annotation text"/>
    <w:aliases w:val=" Char"/>
    <w:basedOn w:val="Normal"/>
    <w:link w:val="CommentTextChar"/>
    <w:uiPriority w:val="99"/>
    <w:qFormat/>
    <w:rsid w:val="00AB3D50"/>
    <w:rPr>
      <w:szCs w:val="20"/>
    </w:rPr>
  </w:style>
  <w:style w:type="character" w:customStyle="1" w:styleId="CommentTextChar">
    <w:name w:val="Comment Text Char"/>
    <w:aliases w:val=" Char Char"/>
    <w:basedOn w:val="DefaultParagraphFont"/>
    <w:link w:val="CommentText"/>
    <w:uiPriority w:val="99"/>
    <w:qFormat/>
    <w:rsid w:val="00AB3D50"/>
    <w:rPr>
      <w:rFonts w:ascii="Times New Roman" w:eastAsia="Times New Roman" w:hAnsi="Times New Roman" w:cs="Arial"/>
      <w:sz w:val="20"/>
      <w:szCs w:val="20"/>
    </w:rPr>
  </w:style>
  <w:style w:type="character" w:styleId="Hyperlink">
    <w:name w:val="Hyperlink"/>
    <w:rsid w:val="00006776"/>
    <w:rPr>
      <w:color w:val="0000FF"/>
      <w:u w:val="single"/>
      <w:lang w:val="en-US"/>
    </w:rPr>
  </w:style>
  <w:style w:type="character" w:customStyle="1" w:styleId="UnresolvedMention1">
    <w:name w:val="Unresolved Mention1"/>
    <w:basedOn w:val="DefaultParagraphFont"/>
    <w:uiPriority w:val="99"/>
    <w:semiHidden/>
    <w:unhideWhenUsed/>
    <w:rsid w:val="00B9730E"/>
    <w:rPr>
      <w:color w:val="605E5C"/>
      <w:shd w:val="clear" w:color="auto" w:fill="E1DFDD"/>
    </w:rPr>
  </w:style>
  <w:style w:type="paragraph" w:styleId="TOC1">
    <w:name w:val="toc 1"/>
    <w:basedOn w:val="Normal"/>
    <w:uiPriority w:val="39"/>
    <w:unhideWhenUsed/>
    <w:rsid w:val="00D85EA6"/>
    <w:pPr>
      <w:keepLines/>
      <w:widowControl w:val="0"/>
      <w:tabs>
        <w:tab w:val="right" w:leader="dot" w:pos="9360"/>
      </w:tabs>
      <w:spacing w:before="240" w:after="240"/>
      <w:ind w:right="720"/>
    </w:pPr>
    <w:rPr>
      <w:rFonts w:ascii="Calibri" w:hAnsi="Calibri"/>
    </w:rPr>
  </w:style>
  <w:style w:type="character" w:customStyle="1" w:styleId="ListParagraphChar">
    <w:name w:val="List Paragraph Char"/>
    <w:aliases w:val="Heading PA Char,Liste à puce - Normal Char,lp1 Char,List Paragraph1 Char,Bullet List Char,FooterText Char,numbered Char,List Paragraph11 Char,Bulletr List Paragraph Char,列出段落 Char,列出段落1 Char,List Paragraph2 Char,List Paragraph21 Char"/>
    <w:basedOn w:val="DefaultParagraphFont"/>
    <w:link w:val="ListParagraph"/>
    <w:uiPriority w:val="34"/>
    <w:qFormat/>
    <w:locked/>
    <w:rsid w:val="00070AA4"/>
    <w:rPr>
      <w:rFonts w:ascii="Times New Roman" w:eastAsia="Times New Roman" w:hAnsi="Times New Roman" w:cs="Arial"/>
      <w:sz w:val="20"/>
      <w:szCs w:val="24"/>
    </w:rPr>
  </w:style>
  <w:style w:type="paragraph" w:customStyle="1" w:styleId="CellRowSpacer">
    <w:name w:val="CellRowSpacer"/>
    <w:basedOn w:val="Normal"/>
    <w:rsid w:val="00D864D5"/>
    <w:pPr>
      <w:spacing w:before="40" w:after="40" w:line="290" w:lineRule="auto"/>
    </w:pPr>
    <w:rPr>
      <w:rFonts w:cs="Times New Roman"/>
      <w:kern w:val="20"/>
      <w:szCs w:val="20"/>
      <w:lang w:val="en-GB"/>
    </w:rPr>
  </w:style>
  <w:style w:type="paragraph" w:customStyle="1" w:styleId="VSmCellBody">
    <w:name w:val="VSmCellBody"/>
    <w:basedOn w:val="Normal"/>
    <w:rsid w:val="00D864D5"/>
    <w:pPr>
      <w:spacing w:before="40" w:after="40" w:line="290" w:lineRule="auto"/>
    </w:pPr>
    <w:rPr>
      <w:rFonts w:cs="Times New Roman"/>
      <w:kern w:val="20"/>
      <w:sz w:val="17"/>
      <w:szCs w:val="20"/>
      <w:lang w:val="en-GB"/>
    </w:rPr>
  </w:style>
  <w:style w:type="paragraph" w:customStyle="1" w:styleId="VSmCellHead">
    <w:name w:val="VSmCellHead"/>
    <w:basedOn w:val="Normal"/>
    <w:rsid w:val="00D864D5"/>
    <w:pPr>
      <w:keepNext/>
      <w:spacing w:before="40" w:after="120" w:line="290" w:lineRule="auto"/>
    </w:pPr>
    <w:rPr>
      <w:rFonts w:cs="Times New Roman"/>
      <w:b/>
      <w:kern w:val="20"/>
      <w:sz w:val="17"/>
      <w:szCs w:val="20"/>
      <w:lang w:val="en-GB"/>
    </w:rPr>
  </w:style>
  <w:style w:type="paragraph" w:customStyle="1" w:styleId="VSmCell-Headitalic">
    <w:name w:val="VSmCell-Headitalic"/>
    <w:basedOn w:val="Normal"/>
    <w:rsid w:val="00D864D5"/>
    <w:pPr>
      <w:keepNext/>
      <w:spacing w:before="40" w:after="120" w:line="290" w:lineRule="auto"/>
      <w:jc w:val="center"/>
    </w:pPr>
    <w:rPr>
      <w:rFonts w:cs="Times New Roman"/>
      <w:i/>
      <w:kern w:val="20"/>
      <w:sz w:val="17"/>
      <w:szCs w:val="20"/>
      <w:lang w:val="en-GB"/>
    </w:rPr>
  </w:style>
  <w:style w:type="paragraph" w:customStyle="1" w:styleId="SmCellBody">
    <w:name w:val="SmCellBody"/>
    <w:basedOn w:val="Normal"/>
    <w:rsid w:val="009D0AE1"/>
    <w:pPr>
      <w:spacing w:before="40" w:after="40" w:line="290" w:lineRule="auto"/>
    </w:pPr>
    <w:rPr>
      <w:rFonts w:cs="Times New Roman"/>
      <w:kern w:val="20"/>
      <w:sz w:val="18"/>
      <w:szCs w:val="20"/>
      <w:lang w:val="en-GB"/>
    </w:rPr>
  </w:style>
  <w:style w:type="paragraph" w:customStyle="1" w:styleId="SmCellHead">
    <w:name w:val="SmCellHead"/>
    <w:basedOn w:val="Normal"/>
    <w:rsid w:val="009D0AE1"/>
    <w:pPr>
      <w:keepNext/>
      <w:spacing w:before="40" w:after="120" w:line="290" w:lineRule="auto"/>
    </w:pPr>
    <w:rPr>
      <w:rFonts w:cs="Times New Roman"/>
      <w:b/>
      <w:kern w:val="20"/>
      <w:sz w:val="18"/>
      <w:szCs w:val="20"/>
      <w:lang w:val="en-GB"/>
    </w:rPr>
  </w:style>
  <w:style w:type="paragraph" w:customStyle="1" w:styleId="SmCell-Headitalic">
    <w:name w:val="SmCell-Headitalic"/>
    <w:basedOn w:val="Normal"/>
    <w:rsid w:val="009D0AE1"/>
    <w:pPr>
      <w:keepNext/>
      <w:spacing w:before="40" w:after="120" w:line="290" w:lineRule="auto"/>
      <w:jc w:val="center"/>
    </w:pPr>
    <w:rPr>
      <w:rFonts w:cs="Times New Roman"/>
      <w:i/>
      <w:kern w:val="20"/>
      <w:sz w:val="18"/>
      <w:szCs w:val="20"/>
      <w:lang w:val="en-GB"/>
    </w:rPr>
  </w:style>
  <w:style w:type="paragraph" w:customStyle="1" w:styleId="Body">
    <w:name w:val="Body"/>
    <w:aliases w:val="by,Text,Body1,Text1,b,b10pt,body,B,byA,by 14pt,2,Body2,Text2,31,t1,newBody,26,by + After:  10 pt,Line spacing:  Multiple 1.2 li,Line spacing:  Multiple 1.2 li + Frutiger 55 Roman...,Line spacing:  Multiple 1.2 li + Frutiger 55 Roman,heading2,Title1"/>
    <w:basedOn w:val="Normal"/>
    <w:link w:val="BodyChar"/>
    <w:qFormat/>
    <w:rsid w:val="00000148"/>
    <w:pPr>
      <w:spacing w:after="140" w:line="290" w:lineRule="auto"/>
      <w:ind w:left="425"/>
      <w:jc w:val="both"/>
    </w:pPr>
    <w:rPr>
      <w:rFonts w:cs="Times New Roman"/>
      <w:kern w:val="20"/>
      <w:szCs w:val="20"/>
      <w:lang w:val="en-GB"/>
    </w:rPr>
  </w:style>
  <w:style w:type="paragraph" w:customStyle="1" w:styleId="Note">
    <w:name w:val="Note"/>
    <w:basedOn w:val="Normal"/>
    <w:rsid w:val="00000148"/>
    <w:pPr>
      <w:numPr>
        <w:numId w:val="7"/>
      </w:numPr>
      <w:spacing w:before="40" w:after="40" w:line="290" w:lineRule="auto"/>
      <w:jc w:val="both"/>
    </w:pPr>
    <w:rPr>
      <w:rFonts w:cs="Times New Roman"/>
      <w:kern w:val="20"/>
      <w:sz w:val="18"/>
      <w:szCs w:val="20"/>
      <w:lang w:val="en-GB"/>
    </w:rPr>
  </w:style>
  <w:style w:type="paragraph" w:customStyle="1" w:styleId="NoteBody">
    <w:name w:val="NoteBody"/>
    <w:basedOn w:val="Body"/>
    <w:rsid w:val="00000148"/>
    <w:pPr>
      <w:spacing w:before="40" w:after="40"/>
      <w:ind w:left="0"/>
    </w:pPr>
    <w:rPr>
      <w:sz w:val="18"/>
    </w:rPr>
  </w:style>
  <w:style w:type="character" w:customStyle="1" w:styleId="BodyChar">
    <w:name w:val="Body Char"/>
    <w:aliases w:val="by Char,b Char,b10pt Char,boby Char,body Char,newBody Char"/>
    <w:link w:val="Body"/>
    <w:locked/>
    <w:rsid w:val="00000148"/>
    <w:rPr>
      <w:rFonts w:ascii="Times New Roman" w:eastAsia="Times New Roman" w:hAnsi="Times New Roman" w:cs="Times New Roman"/>
      <w:kern w:val="20"/>
      <w:sz w:val="20"/>
      <w:szCs w:val="20"/>
      <w:lang w:val="en-GB"/>
    </w:rPr>
  </w:style>
  <w:style w:type="paragraph" w:customStyle="1" w:styleId="CellBody">
    <w:name w:val="CellBody"/>
    <w:basedOn w:val="Normal"/>
    <w:rsid w:val="00455F9A"/>
    <w:pPr>
      <w:spacing w:before="40" w:after="40" w:line="290" w:lineRule="auto"/>
    </w:pPr>
    <w:rPr>
      <w:rFonts w:cs="Times New Roman"/>
      <w:kern w:val="20"/>
      <w:szCs w:val="20"/>
      <w:lang w:val="en-GB"/>
    </w:rPr>
  </w:style>
  <w:style w:type="paragraph" w:customStyle="1" w:styleId="CellHead">
    <w:name w:val="CellHead"/>
    <w:basedOn w:val="Normal"/>
    <w:rsid w:val="00455F9A"/>
    <w:pPr>
      <w:keepNext/>
      <w:spacing w:before="40" w:after="120" w:line="290" w:lineRule="auto"/>
    </w:pPr>
    <w:rPr>
      <w:rFonts w:cs="Times New Roman"/>
      <w:b/>
      <w:kern w:val="20"/>
      <w:szCs w:val="20"/>
      <w:lang w:val="en-GB"/>
    </w:rPr>
  </w:style>
  <w:style w:type="paragraph" w:customStyle="1" w:styleId="Cell-Headitalic">
    <w:name w:val="Cell-Headitalic"/>
    <w:basedOn w:val="CellHead"/>
    <w:rsid w:val="00455F9A"/>
    <w:pPr>
      <w:jc w:val="center"/>
    </w:pPr>
    <w:rPr>
      <w:b w:val="0"/>
      <w:i/>
    </w:rPr>
  </w:style>
  <w:style w:type="character" w:customStyle="1" w:styleId="Heading1Char">
    <w:name w:val="Heading 1 Char"/>
    <w:aliases w:val="HEADING 1 Char,عنوان 2-1 Char,h1 Char,1 Char,Main Heading Char,1. Heading 1 Char,maps Char,Chapter Titles Char,Clause Char,Niveau 1 Char,level 1 Char,level1 Char,SECTION Char,H1 Char,numbered indent 1 Char,ni1 Char,Hanging 1 Indent Char"/>
    <w:basedOn w:val="DefaultParagraphFont"/>
    <w:link w:val="Heading1"/>
    <w:uiPriority w:val="9"/>
    <w:rsid w:val="00F64E29"/>
    <w:rPr>
      <w:rFonts w:ascii="Times New Roman Bold" w:eastAsia="Times New Roman" w:hAnsi="Times New Roman Bold" w:cs="Arial"/>
      <w:b/>
      <w:color w:val="000000"/>
      <w:sz w:val="20"/>
      <w:szCs w:val="24"/>
    </w:rPr>
  </w:style>
  <w:style w:type="character" w:customStyle="1" w:styleId="Heading2Char">
    <w:name w:val="Heading 2 Char"/>
    <w:basedOn w:val="DefaultParagraphFont"/>
    <w:link w:val="Heading2"/>
    <w:uiPriority w:val="9"/>
    <w:rsid w:val="00F64E29"/>
    <w:rPr>
      <w:rFonts w:ascii="Times New Roman" w:eastAsia="Times New Roman" w:hAnsi="Times New Roman" w:cs="Arial"/>
      <w:b/>
      <w:color w:val="000000"/>
      <w:sz w:val="20"/>
      <w:szCs w:val="24"/>
    </w:rPr>
  </w:style>
  <w:style w:type="character" w:customStyle="1" w:styleId="Heading3Char">
    <w:name w:val="Heading 3 Char"/>
    <w:basedOn w:val="DefaultParagraphFont"/>
    <w:link w:val="Heading3"/>
    <w:uiPriority w:val="9"/>
    <w:rsid w:val="00F64E29"/>
    <w:rPr>
      <w:rFonts w:ascii="Times New Roman" w:eastAsia="Times New Roman" w:hAnsi="Times New Roman" w:cs="Arial"/>
      <w:b/>
      <w:i/>
      <w:color w:val="000000"/>
      <w:sz w:val="20"/>
      <w:szCs w:val="24"/>
    </w:rPr>
  </w:style>
  <w:style w:type="character" w:customStyle="1" w:styleId="Heading4Char">
    <w:name w:val="Heading 4 Char"/>
    <w:basedOn w:val="DefaultParagraphFont"/>
    <w:link w:val="Heading4"/>
    <w:uiPriority w:val="9"/>
    <w:rsid w:val="00F64E29"/>
    <w:rPr>
      <w:rFonts w:ascii="Times New Roman" w:eastAsia="Times New Roman" w:hAnsi="Times New Roman" w:cs="Arial"/>
      <w:i/>
      <w:color w:val="000000"/>
      <w:sz w:val="20"/>
      <w:szCs w:val="24"/>
    </w:rPr>
  </w:style>
  <w:style w:type="character" w:customStyle="1" w:styleId="Heading5Char">
    <w:name w:val="Heading 5 Char"/>
    <w:basedOn w:val="DefaultParagraphFont"/>
    <w:link w:val="Heading5"/>
    <w:uiPriority w:val="9"/>
    <w:rsid w:val="00F64E29"/>
    <w:rPr>
      <w:rFonts w:ascii="Times New Roman" w:eastAsia="Times New Roman" w:hAnsi="Times New Roman" w:cs="Arial"/>
      <w:b/>
      <w:i/>
      <w:color w:val="000000"/>
      <w:sz w:val="20"/>
      <w:szCs w:val="24"/>
    </w:rPr>
  </w:style>
  <w:style w:type="character" w:customStyle="1" w:styleId="Heading6Char">
    <w:name w:val="Heading 6 Char"/>
    <w:basedOn w:val="DefaultParagraphFont"/>
    <w:link w:val="Heading6"/>
    <w:uiPriority w:val="9"/>
    <w:rsid w:val="00F64E29"/>
    <w:rPr>
      <w:rFonts w:ascii="Times New Roman" w:eastAsia="Times New Roman" w:hAnsi="Times New Roman" w:cs="Arial"/>
      <w:color w:val="000000"/>
      <w:sz w:val="20"/>
      <w:szCs w:val="24"/>
    </w:rPr>
  </w:style>
  <w:style w:type="character" w:customStyle="1" w:styleId="Heading7Char">
    <w:name w:val="Heading 7 Char"/>
    <w:basedOn w:val="DefaultParagraphFont"/>
    <w:link w:val="Heading7"/>
    <w:uiPriority w:val="9"/>
    <w:rsid w:val="00F64E29"/>
    <w:rPr>
      <w:rFonts w:ascii="Times New Roman" w:eastAsia="Times New Roman" w:hAnsi="Times New Roman" w:cs="Arial"/>
      <w:b/>
      <w:color w:val="000000"/>
      <w:sz w:val="20"/>
      <w:szCs w:val="24"/>
    </w:rPr>
  </w:style>
  <w:style w:type="character" w:customStyle="1" w:styleId="Heading8Char">
    <w:name w:val="Heading 8 Char"/>
    <w:basedOn w:val="DefaultParagraphFont"/>
    <w:link w:val="Heading8"/>
    <w:uiPriority w:val="9"/>
    <w:rsid w:val="00F64E29"/>
    <w:rPr>
      <w:rFonts w:ascii="Times New Roman" w:eastAsia="Times New Roman" w:hAnsi="Times New Roman" w:cs="Arial"/>
      <w:color w:val="000000"/>
      <w:sz w:val="20"/>
      <w:szCs w:val="24"/>
    </w:rPr>
  </w:style>
  <w:style w:type="character" w:customStyle="1" w:styleId="Heading9Char">
    <w:name w:val="Heading 9 Char"/>
    <w:basedOn w:val="DefaultParagraphFont"/>
    <w:link w:val="Heading9"/>
    <w:rsid w:val="00F64E29"/>
    <w:rPr>
      <w:rFonts w:ascii="Times New Roman" w:eastAsia="Times New Roman" w:hAnsi="Times New Roman" w:cs="Arial"/>
      <w:color w:val="000000"/>
      <w:sz w:val="20"/>
      <w:szCs w:val="24"/>
    </w:rPr>
  </w:style>
  <w:style w:type="paragraph" w:styleId="BalloonText">
    <w:name w:val="Balloon Text"/>
    <w:basedOn w:val="Normal"/>
    <w:link w:val="BalloonTextChar"/>
    <w:uiPriority w:val="99"/>
    <w:rsid w:val="008C580E"/>
    <w:rPr>
      <w:rFonts w:ascii="Tahoma" w:hAnsi="Tahoma" w:cs="Tahoma"/>
      <w:sz w:val="16"/>
      <w:szCs w:val="16"/>
    </w:rPr>
  </w:style>
  <w:style w:type="character" w:customStyle="1" w:styleId="BalloonTextChar">
    <w:name w:val="Balloon Text Char"/>
    <w:basedOn w:val="DefaultParagraphFont"/>
    <w:link w:val="BalloonText"/>
    <w:uiPriority w:val="99"/>
    <w:rsid w:val="008C580E"/>
    <w:rPr>
      <w:rFonts w:ascii="Tahoma" w:eastAsia="Times New Roman" w:hAnsi="Tahoma" w:cs="Tahoma"/>
      <w:sz w:val="16"/>
      <w:szCs w:val="16"/>
    </w:rPr>
  </w:style>
  <w:style w:type="paragraph" w:styleId="Bibliography">
    <w:name w:val="Bibliography"/>
    <w:basedOn w:val="Normal"/>
    <w:next w:val="Normal"/>
    <w:uiPriority w:val="99"/>
    <w:semiHidden/>
    <w:rsid w:val="008C580E"/>
  </w:style>
  <w:style w:type="paragraph" w:styleId="BlockText">
    <w:name w:val="Block Text"/>
    <w:basedOn w:val="Normal"/>
    <w:link w:val="BlockTextChar"/>
    <w:rsid w:val="008C580E"/>
    <w:pPr>
      <w:spacing w:after="120"/>
      <w:ind w:left="1440" w:right="1440"/>
    </w:pPr>
  </w:style>
  <w:style w:type="paragraph" w:styleId="BodyText">
    <w:name w:val="Body Text"/>
    <w:basedOn w:val="Normal"/>
    <w:next w:val="BodyText1"/>
    <w:link w:val="BodyTextChar"/>
    <w:uiPriority w:val="1"/>
    <w:qFormat/>
    <w:rsid w:val="008C580E"/>
    <w:pPr>
      <w:spacing w:after="240"/>
      <w:ind w:firstLine="720"/>
    </w:pPr>
  </w:style>
  <w:style w:type="character" w:customStyle="1" w:styleId="BodyTextChar">
    <w:name w:val="Body Text Char"/>
    <w:basedOn w:val="DefaultParagraphFont"/>
    <w:link w:val="BodyText"/>
    <w:uiPriority w:val="1"/>
    <w:rsid w:val="008C580E"/>
    <w:rPr>
      <w:rFonts w:ascii="Times New Roman" w:eastAsia="Times New Roman" w:hAnsi="Times New Roman" w:cs="Arial"/>
      <w:sz w:val="20"/>
      <w:szCs w:val="24"/>
    </w:rPr>
  </w:style>
  <w:style w:type="paragraph" w:styleId="BodyText2">
    <w:name w:val="Body Text 2"/>
    <w:basedOn w:val="Normal"/>
    <w:link w:val="BodyText2Char"/>
    <w:rsid w:val="008C580E"/>
    <w:pPr>
      <w:spacing w:after="120" w:line="480" w:lineRule="auto"/>
    </w:pPr>
  </w:style>
  <w:style w:type="character" w:customStyle="1" w:styleId="BodyText2Char">
    <w:name w:val="Body Text 2 Char"/>
    <w:basedOn w:val="DefaultParagraphFont"/>
    <w:link w:val="BodyText2"/>
    <w:rsid w:val="008C580E"/>
    <w:rPr>
      <w:rFonts w:ascii="Times New Roman" w:eastAsia="Times New Roman" w:hAnsi="Times New Roman" w:cs="Arial"/>
      <w:sz w:val="20"/>
      <w:szCs w:val="24"/>
    </w:rPr>
  </w:style>
  <w:style w:type="paragraph" w:styleId="BodyText3">
    <w:name w:val="Body Text 3"/>
    <w:basedOn w:val="Normal"/>
    <w:link w:val="BodyText3Char"/>
    <w:rsid w:val="008C580E"/>
    <w:pPr>
      <w:spacing w:after="120"/>
    </w:pPr>
    <w:rPr>
      <w:sz w:val="16"/>
      <w:szCs w:val="16"/>
    </w:rPr>
  </w:style>
  <w:style w:type="character" w:customStyle="1" w:styleId="BodyText3Char">
    <w:name w:val="Body Text 3 Char"/>
    <w:basedOn w:val="DefaultParagraphFont"/>
    <w:link w:val="BodyText3"/>
    <w:rsid w:val="008C580E"/>
    <w:rPr>
      <w:rFonts w:ascii="Times New Roman" w:eastAsia="Times New Roman" w:hAnsi="Times New Roman" w:cs="Arial"/>
      <w:sz w:val="16"/>
      <w:szCs w:val="16"/>
    </w:rPr>
  </w:style>
  <w:style w:type="paragraph" w:styleId="BodyTextFirstIndent">
    <w:name w:val="Body Text First Indent"/>
    <w:basedOn w:val="BodyText1"/>
    <w:link w:val="BodyTextFirstIndentChar"/>
    <w:uiPriority w:val="99"/>
    <w:semiHidden/>
    <w:rsid w:val="008C580E"/>
    <w:pPr>
      <w:spacing w:after="120"/>
      <w:ind w:firstLine="210"/>
    </w:pPr>
  </w:style>
  <w:style w:type="character" w:customStyle="1" w:styleId="BodyTextFirstIndentChar">
    <w:name w:val="Body Text First Indent Char"/>
    <w:basedOn w:val="BodyTextChar"/>
    <w:link w:val="BodyTextFirstIndent"/>
    <w:uiPriority w:val="99"/>
    <w:semiHidden/>
    <w:rsid w:val="008C580E"/>
    <w:rPr>
      <w:rFonts w:ascii="Times New Roman" w:eastAsia="Times New Roman" w:hAnsi="Times New Roman" w:cs="Arial"/>
      <w:sz w:val="20"/>
      <w:szCs w:val="24"/>
    </w:rPr>
  </w:style>
  <w:style w:type="paragraph" w:styleId="BodyTextIndent">
    <w:name w:val="Body Text Indent"/>
    <w:basedOn w:val="Normal"/>
    <w:next w:val="BodyText1"/>
    <w:link w:val="BodyTextIndentChar"/>
    <w:rsid w:val="008C580E"/>
    <w:pPr>
      <w:spacing w:after="240"/>
      <w:ind w:left="720"/>
    </w:pPr>
    <w:rPr>
      <w:rFonts w:cs="Times New Roman"/>
      <w:lang w:eastAsia="zh-CN"/>
    </w:rPr>
  </w:style>
  <w:style w:type="character" w:customStyle="1" w:styleId="BodyTextIndentChar">
    <w:name w:val="Body Text Indent Char"/>
    <w:basedOn w:val="DefaultParagraphFont"/>
    <w:link w:val="BodyTextIndent"/>
    <w:rsid w:val="008C580E"/>
    <w:rPr>
      <w:rFonts w:ascii="Times New Roman" w:eastAsia="Times New Roman" w:hAnsi="Times New Roman" w:cs="Times New Roman"/>
      <w:sz w:val="20"/>
      <w:szCs w:val="24"/>
      <w:lang w:eastAsia="zh-CN"/>
    </w:rPr>
  </w:style>
  <w:style w:type="paragraph" w:styleId="BodyTextFirstIndent2">
    <w:name w:val="Body Text First Indent 2"/>
    <w:basedOn w:val="BodyTextIndent"/>
    <w:link w:val="BodyTextFirstIndent2Char"/>
    <w:uiPriority w:val="99"/>
    <w:semiHidden/>
    <w:rsid w:val="008C580E"/>
    <w:pPr>
      <w:spacing w:after="120"/>
      <w:ind w:left="360" w:firstLine="210"/>
    </w:pPr>
  </w:style>
  <w:style w:type="character" w:customStyle="1" w:styleId="BodyTextFirstIndent2Char">
    <w:name w:val="Body Text First Indent 2 Char"/>
    <w:basedOn w:val="BodyTextIndentChar"/>
    <w:link w:val="BodyTextFirstIndent2"/>
    <w:uiPriority w:val="99"/>
    <w:semiHidden/>
    <w:rsid w:val="008C580E"/>
    <w:rPr>
      <w:rFonts w:ascii="Times New Roman" w:eastAsia="Times New Roman" w:hAnsi="Times New Roman" w:cs="Times New Roman"/>
      <w:sz w:val="20"/>
      <w:szCs w:val="24"/>
      <w:lang w:eastAsia="zh-CN"/>
    </w:rPr>
  </w:style>
  <w:style w:type="paragraph" w:styleId="BodyTextIndent2">
    <w:name w:val="Body Text Indent 2"/>
    <w:basedOn w:val="Normal"/>
    <w:link w:val="BodyTextIndent2Char"/>
    <w:rsid w:val="008C580E"/>
    <w:pPr>
      <w:spacing w:after="120" w:line="480" w:lineRule="auto"/>
      <w:ind w:left="360"/>
    </w:pPr>
  </w:style>
  <w:style w:type="character" w:customStyle="1" w:styleId="BodyTextIndent2Char">
    <w:name w:val="Body Text Indent 2 Char"/>
    <w:basedOn w:val="DefaultParagraphFont"/>
    <w:link w:val="BodyTextIndent2"/>
    <w:rsid w:val="008C580E"/>
    <w:rPr>
      <w:rFonts w:ascii="Times New Roman" w:eastAsia="Times New Roman" w:hAnsi="Times New Roman" w:cs="Arial"/>
      <w:sz w:val="20"/>
      <w:szCs w:val="24"/>
    </w:rPr>
  </w:style>
  <w:style w:type="paragraph" w:styleId="BodyTextIndent3">
    <w:name w:val="Body Text Indent 3"/>
    <w:basedOn w:val="Normal"/>
    <w:link w:val="BodyTextIndent3Char"/>
    <w:rsid w:val="008C580E"/>
    <w:pPr>
      <w:spacing w:after="120"/>
      <w:ind w:left="360"/>
    </w:pPr>
    <w:rPr>
      <w:sz w:val="16"/>
      <w:szCs w:val="16"/>
    </w:rPr>
  </w:style>
  <w:style w:type="character" w:customStyle="1" w:styleId="BodyTextIndent3Char">
    <w:name w:val="Body Text Indent 3 Char"/>
    <w:basedOn w:val="DefaultParagraphFont"/>
    <w:link w:val="BodyTextIndent3"/>
    <w:rsid w:val="008C580E"/>
    <w:rPr>
      <w:rFonts w:ascii="Times New Roman" w:eastAsia="Times New Roman" w:hAnsi="Times New Roman" w:cs="Arial"/>
      <w:sz w:val="16"/>
      <w:szCs w:val="16"/>
    </w:rPr>
  </w:style>
  <w:style w:type="character" w:styleId="BookTitle">
    <w:name w:val="Book Title"/>
    <w:uiPriority w:val="99"/>
    <w:rsid w:val="008C580E"/>
    <w:rPr>
      <w:rFonts w:ascii="Times New Roman" w:hAnsi="Times New Roman" w:cs="Times New Roman"/>
      <w:b/>
      <w:bCs/>
      <w:smallCaps/>
      <w:spacing w:val="5"/>
      <w:lang w:val="en-US"/>
    </w:rPr>
  </w:style>
  <w:style w:type="paragraph" w:styleId="Caption">
    <w:name w:val="caption"/>
    <w:basedOn w:val="Normal"/>
    <w:next w:val="Normal"/>
    <w:unhideWhenUsed/>
    <w:qFormat/>
    <w:rsid w:val="008C580E"/>
    <w:pPr>
      <w:spacing w:before="120" w:after="120"/>
    </w:pPr>
    <w:rPr>
      <w:b/>
    </w:rPr>
  </w:style>
  <w:style w:type="paragraph" w:styleId="Closing">
    <w:name w:val="Closing"/>
    <w:basedOn w:val="Normal"/>
    <w:link w:val="ClosingChar"/>
    <w:uiPriority w:val="99"/>
    <w:semiHidden/>
    <w:rsid w:val="008C580E"/>
    <w:pPr>
      <w:ind w:left="4320"/>
    </w:pPr>
  </w:style>
  <w:style w:type="character" w:customStyle="1" w:styleId="ClosingChar">
    <w:name w:val="Closing Char"/>
    <w:basedOn w:val="DefaultParagraphFont"/>
    <w:link w:val="Closing"/>
    <w:uiPriority w:val="99"/>
    <w:semiHidden/>
    <w:rsid w:val="008C580E"/>
    <w:rPr>
      <w:rFonts w:ascii="Times New Roman" w:eastAsia="Times New Roman" w:hAnsi="Times New Roman" w:cs="Arial"/>
      <w:sz w:val="20"/>
      <w:szCs w:val="24"/>
    </w:rPr>
  </w:style>
  <w:style w:type="table" w:customStyle="1" w:styleId="ColorfulGrid1">
    <w:name w:val="Colorful Grid1"/>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CommentSubject">
    <w:name w:val="annotation subject"/>
    <w:basedOn w:val="CommentText"/>
    <w:next w:val="CommentText"/>
    <w:link w:val="CommentSubjectChar"/>
    <w:uiPriority w:val="99"/>
    <w:rsid w:val="008C580E"/>
    <w:rPr>
      <w:b/>
      <w:bCs/>
    </w:rPr>
  </w:style>
  <w:style w:type="character" w:customStyle="1" w:styleId="CommentSubjectChar">
    <w:name w:val="Comment Subject Char"/>
    <w:basedOn w:val="CommentTextChar"/>
    <w:link w:val="CommentSubject"/>
    <w:uiPriority w:val="99"/>
    <w:rsid w:val="008C580E"/>
    <w:rPr>
      <w:rFonts w:ascii="Times New Roman" w:eastAsia="Times New Roman" w:hAnsi="Times New Roman" w:cs="Arial"/>
      <w:b/>
      <w:bCs/>
      <w:sz w:val="20"/>
      <w:szCs w:val="20"/>
    </w:rPr>
  </w:style>
  <w:style w:type="table" w:customStyle="1" w:styleId="DarkList1">
    <w:name w:val="Dark List1"/>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8C580E"/>
  </w:style>
  <w:style w:type="character" w:customStyle="1" w:styleId="DateChar">
    <w:name w:val="Date Char"/>
    <w:basedOn w:val="DefaultParagraphFont"/>
    <w:link w:val="Date"/>
    <w:rsid w:val="008C580E"/>
    <w:rPr>
      <w:rFonts w:ascii="Times New Roman" w:eastAsia="Times New Roman" w:hAnsi="Times New Roman" w:cs="Arial"/>
      <w:sz w:val="20"/>
      <w:szCs w:val="24"/>
    </w:rPr>
  </w:style>
  <w:style w:type="paragraph" w:styleId="DocumentMap">
    <w:name w:val="Document Map"/>
    <w:basedOn w:val="Normal"/>
    <w:link w:val="DocumentMapChar"/>
    <w:semiHidden/>
    <w:rsid w:val="008C580E"/>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8C580E"/>
    <w:rPr>
      <w:rFonts w:ascii="Tahoma" w:eastAsia="Times New Roman" w:hAnsi="Tahoma" w:cs="Tahoma"/>
      <w:sz w:val="20"/>
      <w:szCs w:val="20"/>
      <w:shd w:val="clear" w:color="auto" w:fill="000080"/>
    </w:rPr>
  </w:style>
  <w:style w:type="paragraph" w:styleId="E-mailSignature">
    <w:name w:val="E-mail Signature"/>
    <w:basedOn w:val="Normal"/>
    <w:link w:val="E-mailSignatureChar"/>
    <w:uiPriority w:val="99"/>
    <w:semiHidden/>
    <w:rsid w:val="008C580E"/>
  </w:style>
  <w:style w:type="character" w:customStyle="1" w:styleId="E-mailSignatureChar">
    <w:name w:val="E-mail Signature Char"/>
    <w:basedOn w:val="DefaultParagraphFont"/>
    <w:link w:val="E-mailSignature"/>
    <w:uiPriority w:val="99"/>
    <w:semiHidden/>
    <w:rsid w:val="008C580E"/>
    <w:rPr>
      <w:rFonts w:ascii="Times New Roman" w:eastAsia="Times New Roman" w:hAnsi="Times New Roman" w:cs="Arial"/>
      <w:sz w:val="20"/>
      <w:szCs w:val="24"/>
    </w:rPr>
  </w:style>
  <w:style w:type="character" w:styleId="Emphasis">
    <w:name w:val="Emphasis"/>
    <w:uiPriority w:val="20"/>
    <w:qFormat/>
    <w:rsid w:val="008C580E"/>
    <w:rPr>
      <w:i/>
      <w:iCs/>
      <w:lang w:val="en-US"/>
    </w:rPr>
  </w:style>
  <w:style w:type="character" w:styleId="EndnoteReference">
    <w:name w:val="endnote reference"/>
    <w:rsid w:val="008C580E"/>
    <w:rPr>
      <w:vertAlign w:val="superscript"/>
      <w:lang w:val="en-US"/>
    </w:rPr>
  </w:style>
  <w:style w:type="paragraph" w:styleId="EndnoteText">
    <w:name w:val="endnote text"/>
    <w:basedOn w:val="Normal"/>
    <w:link w:val="EndnoteTextChar"/>
    <w:rsid w:val="008C580E"/>
    <w:rPr>
      <w:szCs w:val="20"/>
    </w:rPr>
  </w:style>
  <w:style w:type="character" w:customStyle="1" w:styleId="EndnoteTextChar">
    <w:name w:val="Endnote Text Char"/>
    <w:basedOn w:val="DefaultParagraphFont"/>
    <w:link w:val="EndnoteText"/>
    <w:rsid w:val="008C580E"/>
    <w:rPr>
      <w:rFonts w:ascii="Times New Roman" w:eastAsia="Times New Roman" w:hAnsi="Times New Roman" w:cs="Arial"/>
      <w:sz w:val="20"/>
      <w:szCs w:val="20"/>
    </w:rPr>
  </w:style>
  <w:style w:type="paragraph" w:styleId="EnvelopeAddress">
    <w:name w:val="envelope address"/>
    <w:basedOn w:val="Normal"/>
    <w:uiPriority w:val="99"/>
    <w:semiHidden/>
    <w:rsid w:val="008C580E"/>
    <w:pPr>
      <w:framePr w:w="7920" w:h="1980" w:hRule="exact" w:hSpace="180" w:wrap="auto" w:hAnchor="page" w:xAlign="center" w:yAlign="bottom"/>
      <w:ind w:left="2880"/>
    </w:pPr>
  </w:style>
  <w:style w:type="paragraph" w:styleId="EnvelopeReturn">
    <w:name w:val="envelope return"/>
    <w:basedOn w:val="Normal"/>
    <w:uiPriority w:val="99"/>
    <w:semiHidden/>
    <w:rsid w:val="008C580E"/>
    <w:rPr>
      <w:sz w:val="18"/>
      <w:szCs w:val="20"/>
    </w:rPr>
  </w:style>
  <w:style w:type="character" w:styleId="FollowedHyperlink">
    <w:name w:val="FollowedHyperlink"/>
    <w:uiPriority w:val="99"/>
    <w:semiHidden/>
    <w:rsid w:val="008C580E"/>
    <w:rPr>
      <w:color w:val="800080"/>
      <w:u w:val="single"/>
      <w:lang w:val="en-US"/>
    </w:rPr>
  </w:style>
  <w:style w:type="paragraph" w:styleId="Footer">
    <w:name w:val="footer"/>
    <w:basedOn w:val="Normal"/>
    <w:link w:val="FooterChar"/>
    <w:uiPriority w:val="99"/>
    <w:qFormat/>
    <w:rsid w:val="008C580E"/>
    <w:pPr>
      <w:tabs>
        <w:tab w:val="center" w:pos="4680"/>
        <w:tab w:val="right" w:pos="9360"/>
      </w:tabs>
    </w:pPr>
    <w:rPr>
      <w:rFonts w:ascii="Calibri" w:hAnsi="Calibri"/>
    </w:rPr>
  </w:style>
  <w:style w:type="character" w:customStyle="1" w:styleId="FooterChar">
    <w:name w:val="Footer Char"/>
    <w:basedOn w:val="DefaultParagraphFont"/>
    <w:link w:val="Footer"/>
    <w:uiPriority w:val="99"/>
    <w:rsid w:val="008C580E"/>
    <w:rPr>
      <w:rFonts w:ascii="Calibri" w:eastAsia="Times New Roman" w:hAnsi="Calibri" w:cs="Arial"/>
      <w:sz w:val="20"/>
      <w:szCs w:val="24"/>
    </w:rPr>
  </w:style>
  <w:style w:type="character" w:styleId="FootnoteReference">
    <w:name w:val="footnote reference"/>
    <w:rsid w:val="008C580E"/>
    <w:rPr>
      <w:vertAlign w:val="superscript"/>
      <w:lang w:val="en-US"/>
    </w:rPr>
  </w:style>
  <w:style w:type="paragraph" w:styleId="FootnoteText">
    <w:name w:val="footnote text"/>
    <w:basedOn w:val="Normal"/>
    <w:link w:val="FootnoteTextChar"/>
    <w:rsid w:val="008C580E"/>
    <w:pPr>
      <w:spacing w:before="120"/>
      <w:ind w:left="720" w:hanging="720"/>
    </w:pPr>
    <w:rPr>
      <w:rFonts w:ascii="Calibri" w:hAnsi="Calibri"/>
      <w:sz w:val="18"/>
    </w:rPr>
  </w:style>
  <w:style w:type="character" w:customStyle="1" w:styleId="FootnoteTextChar">
    <w:name w:val="Footnote Text Char"/>
    <w:basedOn w:val="DefaultParagraphFont"/>
    <w:link w:val="FootnoteText"/>
    <w:rsid w:val="008C580E"/>
    <w:rPr>
      <w:rFonts w:ascii="Calibri" w:eastAsia="Times New Roman" w:hAnsi="Calibri" w:cs="Arial"/>
      <w:sz w:val="18"/>
      <w:szCs w:val="24"/>
    </w:rPr>
  </w:style>
  <w:style w:type="paragraph" w:styleId="Header">
    <w:name w:val="header"/>
    <w:basedOn w:val="Normal"/>
    <w:link w:val="HeaderChar"/>
    <w:uiPriority w:val="99"/>
    <w:rsid w:val="008C580E"/>
    <w:pPr>
      <w:tabs>
        <w:tab w:val="center" w:pos="4680"/>
        <w:tab w:val="right" w:pos="9360"/>
      </w:tabs>
    </w:pPr>
  </w:style>
  <w:style w:type="character" w:customStyle="1" w:styleId="HeaderChar">
    <w:name w:val="Header Char"/>
    <w:basedOn w:val="DefaultParagraphFont"/>
    <w:link w:val="Header"/>
    <w:uiPriority w:val="99"/>
    <w:rsid w:val="008C580E"/>
    <w:rPr>
      <w:rFonts w:ascii="Times New Roman" w:eastAsia="Times New Roman" w:hAnsi="Times New Roman" w:cs="Arial"/>
      <w:sz w:val="20"/>
      <w:szCs w:val="24"/>
    </w:rPr>
  </w:style>
  <w:style w:type="character" w:styleId="HTMLAcronym">
    <w:name w:val="HTML Acronym"/>
    <w:uiPriority w:val="99"/>
    <w:semiHidden/>
    <w:rsid w:val="008C580E"/>
    <w:rPr>
      <w:rFonts w:ascii="Times New Roman" w:hAnsi="Times New Roman" w:cs="Times New Roman"/>
      <w:lang w:val="en-US"/>
    </w:rPr>
  </w:style>
  <w:style w:type="paragraph" w:styleId="HTMLAddress">
    <w:name w:val="HTML Address"/>
    <w:basedOn w:val="Normal"/>
    <w:link w:val="HTMLAddressChar"/>
    <w:uiPriority w:val="99"/>
    <w:semiHidden/>
    <w:rsid w:val="008C580E"/>
    <w:rPr>
      <w:i/>
      <w:iCs/>
    </w:rPr>
  </w:style>
  <w:style w:type="character" w:customStyle="1" w:styleId="HTMLAddressChar">
    <w:name w:val="HTML Address Char"/>
    <w:basedOn w:val="DefaultParagraphFont"/>
    <w:link w:val="HTMLAddress"/>
    <w:uiPriority w:val="99"/>
    <w:semiHidden/>
    <w:rsid w:val="008C580E"/>
    <w:rPr>
      <w:rFonts w:ascii="Times New Roman" w:eastAsia="Times New Roman" w:hAnsi="Times New Roman" w:cs="Arial"/>
      <w:i/>
      <w:iCs/>
      <w:sz w:val="20"/>
      <w:szCs w:val="24"/>
    </w:rPr>
  </w:style>
  <w:style w:type="character" w:styleId="HTMLCite">
    <w:name w:val="HTML Cite"/>
    <w:uiPriority w:val="99"/>
    <w:semiHidden/>
    <w:rsid w:val="008C580E"/>
    <w:rPr>
      <w:i/>
      <w:iCs/>
      <w:lang w:val="en-US"/>
    </w:rPr>
  </w:style>
  <w:style w:type="character" w:styleId="HTMLCode">
    <w:name w:val="HTML Code"/>
    <w:uiPriority w:val="99"/>
    <w:semiHidden/>
    <w:rsid w:val="008C580E"/>
    <w:rPr>
      <w:rFonts w:ascii="Courier New" w:hAnsi="Courier New" w:cs="Courier New"/>
      <w:sz w:val="20"/>
      <w:szCs w:val="20"/>
      <w:lang w:val="en-US"/>
    </w:rPr>
  </w:style>
  <w:style w:type="character" w:styleId="HTMLDefinition">
    <w:name w:val="HTML Definition"/>
    <w:uiPriority w:val="99"/>
    <w:semiHidden/>
    <w:rsid w:val="008C580E"/>
    <w:rPr>
      <w:i/>
      <w:iCs/>
      <w:lang w:val="en-US"/>
    </w:rPr>
  </w:style>
  <w:style w:type="character" w:styleId="HTMLKeyboard">
    <w:name w:val="HTML Keyboard"/>
    <w:uiPriority w:val="99"/>
    <w:semiHidden/>
    <w:rsid w:val="008C580E"/>
    <w:rPr>
      <w:rFonts w:ascii="Courier New" w:hAnsi="Courier New" w:cs="Courier New"/>
      <w:sz w:val="20"/>
      <w:szCs w:val="20"/>
      <w:lang w:val="en-US"/>
    </w:rPr>
  </w:style>
  <w:style w:type="paragraph" w:styleId="HTMLPreformatted">
    <w:name w:val="HTML Preformatted"/>
    <w:basedOn w:val="Normal"/>
    <w:link w:val="HTMLPreformattedChar"/>
    <w:uiPriority w:val="99"/>
    <w:rsid w:val="008C580E"/>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8C580E"/>
    <w:rPr>
      <w:rFonts w:ascii="Courier New" w:eastAsia="Times New Roman" w:hAnsi="Courier New" w:cs="Courier New"/>
      <w:sz w:val="20"/>
      <w:szCs w:val="20"/>
    </w:rPr>
  </w:style>
  <w:style w:type="character" w:styleId="HTMLSample">
    <w:name w:val="HTML Sample"/>
    <w:uiPriority w:val="99"/>
    <w:semiHidden/>
    <w:rsid w:val="008C580E"/>
    <w:rPr>
      <w:rFonts w:ascii="Courier New" w:hAnsi="Courier New" w:cs="Courier New"/>
      <w:lang w:val="en-US"/>
    </w:rPr>
  </w:style>
  <w:style w:type="character" w:styleId="HTMLTypewriter">
    <w:name w:val="HTML Typewriter"/>
    <w:uiPriority w:val="99"/>
    <w:semiHidden/>
    <w:rsid w:val="008C580E"/>
    <w:rPr>
      <w:rFonts w:ascii="Courier New" w:hAnsi="Courier New" w:cs="Courier New"/>
      <w:sz w:val="20"/>
      <w:szCs w:val="20"/>
      <w:lang w:val="en-US"/>
    </w:rPr>
  </w:style>
  <w:style w:type="character" w:styleId="HTMLVariable">
    <w:name w:val="HTML Variable"/>
    <w:uiPriority w:val="99"/>
    <w:semiHidden/>
    <w:rsid w:val="008C580E"/>
    <w:rPr>
      <w:i/>
      <w:iCs/>
      <w:lang w:val="en-US"/>
    </w:rPr>
  </w:style>
  <w:style w:type="paragraph" w:styleId="Index1">
    <w:name w:val="index 1"/>
    <w:basedOn w:val="Normal"/>
    <w:next w:val="Normal"/>
    <w:uiPriority w:val="99"/>
    <w:semiHidden/>
    <w:rsid w:val="008C580E"/>
    <w:pPr>
      <w:ind w:left="240" w:hanging="240"/>
    </w:pPr>
  </w:style>
  <w:style w:type="paragraph" w:styleId="Index2">
    <w:name w:val="index 2"/>
    <w:basedOn w:val="Normal"/>
    <w:next w:val="Normal"/>
    <w:uiPriority w:val="99"/>
    <w:semiHidden/>
    <w:rsid w:val="008C580E"/>
    <w:pPr>
      <w:ind w:left="480" w:hanging="240"/>
    </w:pPr>
  </w:style>
  <w:style w:type="paragraph" w:styleId="Index3">
    <w:name w:val="index 3"/>
    <w:basedOn w:val="Normal"/>
    <w:next w:val="Normal"/>
    <w:uiPriority w:val="99"/>
    <w:semiHidden/>
    <w:rsid w:val="008C580E"/>
    <w:pPr>
      <w:ind w:left="720" w:hanging="240"/>
    </w:pPr>
  </w:style>
  <w:style w:type="paragraph" w:styleId="Index4">
    <w:name w:val="index 4"/>
    <w:basedOn w:val="Normal"/>
    <w:next w:val="Normal"/>
    <w:uiPriority w:val="99"/>
    <w:semiHidden/>
    <w:rsid w:val="008C580E"/>
    <w:pPr>
      <w:ind w:left="960" w:hanging="240"/>
    </w:pPr>
  </w:style>
  <w:style w:type="paragraph" w:styleId="Index5">
    <w:name w:val="index 5"/>
    <w:basedOn w:val="Normal"/>
    <w:next w:val="Normal"/>
    <w:uiPriority w:val="99"/>
    <w:semiHidden/>
    <w:rsid w:val="008C580E"/>
    <w:pPr>
      <w:ind w:left="1200" w:hanging="240"/>
    </w:pPr>
  </w:style>
  <w:style w:type="paragraph" w:styleId="Index6">
    <w:name w:val="index 6"/>
    <w:basedOn w:val="Normal"/>
    <w:next w:val="Normal"/>
    <w:uiPriority w:val="99"/>
    <w:semiHidden/>
    <w:rsid w:val="008C580E"/>
    <w:pPr>
      <w:ind w:left="1440" w:hanging="240"/>
    </w:pPr>
  </w:style>
  <w:style w:type="paragraph" w:styleId="Index7">
    <w:name w:val="index 7"/>
    <w:basedOn w:val="Normal"/>
    <w:next w:val="Normal"/>
    <w:uiPriority w:val="99"/>
    <w:semiHidden/>
    <w:rsid w:val="008C580E"/>
    <w:pPr>
      <w:ind w:left="1680" w:hanging="240"/>
    </w:pPr>
  </w:style>
  <w:style w:type="paragraph" w:styleId="Index8">
    <w:name w:val="index 8"/>
    <w:basedOn w:val="Normal"/>
    <w:next w:val="Normal"/>
    <w:uiPriority w:val="99"/>
    <w:semiHidden/>
    <w:rsid w:val="008C580E"/>
    <w:pPr>
      <w:ind w:left="1920" w:hanging="240"/>
    </w:pPr>
  </w:style>
  <w:style w:type="paragraph" w:styleId="Index9">
    <w:name w:val="index 9"/>
    <w:basedOn w:val="Normal"/>
    <w:next w:val="Normal"/>
    <w:uiPriority w:val="99"/>
    <w:semiHidden/>
    <w:rsid w:val="008C580E"/>
    <w:pPr>
      <w:ind w:left="2160" w:hanging="240"/>
    </w:pPr>
  </w:style>
  <w:style w:type="paragraph" w:styleId="IndexHeading">
    <w:name w:val="index heading"/>
    <w:basedOn w:val="Normal"/>
    <w:next w:val="Index1"/>
    <w:uiPriority w:val="99"/>
    <w:semiHidden/>
    <w:rsid w:val="008C580E"/>
    <w:rPr>
      <w:rFonts w:ascii="Arial" w:hAnsi="Arial"/>
      <w:b/>
      <w:bCs/>
    </w:rPr>
  </w:style>
  <w:style w:type="character" w:styleId="IntenseEmphasis">
    <w:name w:val="Intense Emphasis"/>
    <w:uiPriority w:val="99"/>
    <w:rsid w:val="008C580E"/>
    <w:rPr>
      <w:rFonts w:ascii="Times New Roman" w:hAnsi="Times New Roman" w:cs="Times New Roman"/>
      <w:b/>
      <w:bCs/>
      <w:i/>
      <w:iCs/>
      <w:color w:val="4F81BD"/>
      <w:lang w:val="en-US"/>
    </w:rPr>
  </w:style>
  <w:style w:type="paragraph" w:styleId="IntenseQuote">
    <w:name w:val="Intense Quote"/>
    <w:basedOn w:val="Normal"/>
    <w:next w:val="Normal"/>
    <w:link w:val="IntenseQuoteChar"/>
    <w:uiPriority w:val="99"/>
    <w:rsid w:val="008C580E"/>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rsid w:val="008C580E"/>
    <w:rPr>
      <w:rFonts w:ascii="Times New Roman" w:eastAsia="Times New Roman" w:hAnsi="Times New Roman" w:cs="Arial"/>
      <w:b/>
      <w:bCs/>
      <w:i/>
      <w:iCs/>
      <w:color w:val="4F81BD"/>
      <w:sz w:val="20"/>
      <w:szCs w:val="24"/>
    </w:rPr>
  </w:style>
  <w:style w:type="character" w:styleId="IntenseReference">
    <w:name w:val="Intense Reference"/>
    <w:uiPriority w:val="99"/>
    <w:rsid w:val="008C580E"/>
    <w:rPr>
      <w:rFonts w:ascii="Times New Roman" w:hAnsi="Times New Roman" w:cs="Times New Roman"/>
      <w:b/>
      <w:bCs/>
      <w:smallCaps/>
      <w:color w:val="C0504D"/>
      <w:spacing w:val="5"/>
      <w:u w:val="single"/>
      <w:lang w:val="en-US"/>
    </w:rPr>
  </w:style>
  <w:style w:type="table" w:customStyle="1" w:styleId="LightGrid1">
    <w:name w:val="Light Grid1"/>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uiPriority w:val="60"/>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8C580E"/>
    <w:pPr>
      <w:spacing w:after="0" w:line="240" w:lineRule="auto"/>
    </w:pPr>
    <w:rPr>
      <w:rFonts w:ascii="Times New Roman" w:eastAsia="Times New Roman" w:hAnsi="Times New Roman" w:cs="Arial"/>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C580E"/>
    <w:pPr>
      <w:spacing w:after="0" w:line="240" w:lineRule="auto"/>
    </w:pPr>
    <w:rPr>
      <w:rFonts w:ascii="Times New Roman" w:eastAsia="Times New Roman" w:hAnsi="Times New Roman" w:cs="Arial"/>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C580E"/>
    <w:pPr>
      <w:spacing w:after="0" w:line="240" w:lineRule="auto"/>
    </w:pPr>
    <w:rPr>
      <w:rFonts w:ascii="Times New Roman" w:eastAsia="Times New Roman" w:hAnsi="Times New Roman" w:cs="Arial"/>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C580E"/>
    <w:pPr>
      <w:spacing w:after="0" w:line="240" w:lineRule="auto"/>
    </w:pPr>
    <w:rPr>
      <w:rFonts w:ascii="Times New Roman" w:eastAsia="Times New Roman" w:hAnsi="Times New Roman" w:cs="Arial"/>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C580E"/>
    <w:pPr>
      <w:spacing w:after="0" w:line="240" w:lineRule="auto"/>
    </w:pPr>
    <w:rPr>
      <w:rFonts w:ascii="Times New Roman" w:eastAsia="Times New Roman" w:hAnsi="Times New Roman" w:cs="Arial"/>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C580E"/>
    <w:pPr>
      <w:spacing w:after="0" w:line="240" w:lineRule="auto"/>
    </w:pPr>
    <w:rPr>
      <w:rFonts w:ascii="Times New Roman" w:eastAsia="Times New Roman" w:hAnsi="Times New Roman" w:cs="Arial"/>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uiPriority w:val="99"/>
    <w:semiHidden/>
    <w:rsid w:val="008C580E"/>
    <w:rPr>
      <w:rFonts w:ascii="Times New Roman" w:hAnsi="Times New Roman" w:cs="Times New Roman"/>
      <w:lang w:val="en-US"/>
    </w:rPr>
  </w:style>
  <w:style w:type="paragraph" w:styleId="List">
    <w:name w:val="List"/>
    <w:basedOn w:val="Normal"/>
    <w:uiPriority w:val="99"/>
    <w:semiHidden/>
    <w:rsid w:val="008C580E"/>
    <w:pPr>
      <w:ind w:left="360" w:hanging="360"/>
    </w:pPr>
  </w:style>
  <w:style w:type="paragraph" w:styleId="List2">
    <w:name w:val="List 2"/>
    <w:basedOn w:val="Normal"/>
    <w:uiPriority w:val="99"/>
    <w:semiHidden/>
    <w:rsid w:val="008C580E"/>
    <w:pPr>
      <w:ind w:left="720" w:hanging="360"/>
    </w:pPr>
  </w:style>
  <w:style w:type="paragraph" w:styleId="List3">
    <w:name w:val="List 3"/>
    <w:basedOn w:val="Normal"/>
    <w:uiPriority w:val="99"/>
    <w:semiHidden/>
    <w:rsid w:val="008C580E"/>
    <w:pPr>
      <w:ind w:left="1080" w:hanging="360"/>
    </w:pPr>
  </w:style>
  <w:style w:type="paragraph" w:styleId="List4">
    <w:name w:val="List 4"/>
    <w:basedOn w:val="Normal"/>
    <w:uiPriority w:val="99"/>
    <w:semiHidden/>
    <w:rsid w:val="008C580E"/>
    <w:pPr>
      <w:ind w:left="1440" w:hanging="360"/>
    </w:pPr>
  </w:style>
  <w:style w:type="paragraph" w:styleId="List5">
    <w:name w:val="List 5"/>
    <w:basedOn w:val="Normal"/>
    <w:uiPriority w:val="99"/>
    <w:semiHidden/>
    <w:rsid w:val="008C580E"/>
    <w:pPr>
      <w:ind w:left="1800" w:hanging="360"/>
    </w:pPr>
  </w:style>
  <w:style w:type="paragraph" w:styleId="ListBullet">
    <w:name w:val="List Bullet"/>
    <w:basedOn w:val="BodyText1"/>
    <w:uiPriority w:val="99"/>
    <w:qFormat/>
    <w:rsid w:val="008C580E"/>
    <w:pPr>
      <w:numPr>
        <w:numId w:val="21"/>
      </w:numPr>
    </w:pPr>
    <w:rPr>
      <w:szCs w:val="20"/>
    </w:rPr>
  </w:style>
  <w:style w:type="paragraph" w:styleId="ListBullet2">
    <w:name w:val="List Bullet 2"/>
    <w:basedOn w:val="BodyText1"/>
    <w:uiPriority w:val="24"/>
    <w:unhideWhenUsed/>
    <w:qFormat/>
    <w:rsid w:val="008C580E"/>
    <w:pPr>
      <w:numPr>
        <w:ilvl w:val="1"/>
        <w:numId w:val="21"/>
      </w:numPr>
    </w:pPr>
    <w:rPr>
      <w:szCs w:val="20"/>
    </w:rPr>
  </w:style>
  <w:style w:type="paragraph" w:styleId="ListBullet3">
    <w:name w:val="List Bullet 3"/>
    <w:basedOn w:val="BodyText1"/>
    <w:uiPriority w:val="24"/>
    <w:unhideWhenUsed/>
    <w:qFormat/>
    <w:rsid w:val="008C580E"/>
    <w:pPr>
      <w:numPr>
        <w:ilvl w:val="2"/>
        <w:numId w:val="21"/>
      </w:numPr>
      <w:contextualSpacing/>
    </w:pPr>
    <w:rPr>
      <w:szCs w:val="20"/>
    </w:rPr>
  </w:style>
  <w:style w:type="paragraph" w:styleId="ListBullet4">
    <w:name w:val="List Bullet 4"/>
    <w:basedOn w:val="BodyText1"/>
    <w:uiPriority w:val="24"/>
    <w:unhideWhenUsed/>
    <w:rsid w:val="008C580E"/>
    <w:pPr>
      <w:numPr>
        <w:ilvl w:val="3"/>
        <w:numId w:val="21"/>
      </w:numPr>
    </w:pPr>
    <w:rPr>
      <w:szCs w:val="20"/>
    </w:rPr>
  </w:style>
  <w:style w:type="paragraph" w:styleId="ListBullet5">
    <w:name w:val="List Bullet 5"/>
    <w:basedOn w:val="BodyText1"/>
    <w:uiPriority w:val="24"/>
    <w:semiHidden/>
    <w:unhideWhenUsed/>
    <w:rsid w:val="008C580E"/>
    <w:pPr>
      <w:numPr>
        <w:ilvl w:val="4"/>
        <w:numId w:val="21"/>
      </w:numPr>
      <w:contextualSpacing/>
    </w:pPr>
    <w:rPr>
      <w:szCs w:val="20"/>
    </w:rPr>
  </w:style>
  <w:style w:type="paragraph" w:styleId="ListContinue">
    <w:name w:val="List Continue"/>
    <w:basedOn w:val="Normal"/>
    <w:uiPriority w:val="99"/>
    <w:semiHidden/>
    <w:rsid w:val="008C580E"/>
    <w:pPr>
      <w:spacing w:after="120"/>
      <w:ind w:left="360"/>
    </w:pPr>
  </w:style>
  <w:style w:type="paragraph" w:styleId="ListContinue2">
    <w:name w:val="List Continue 2"/>
    <w:basedOn w:val="Normal"/>
    <w:uiPriority w:val="99"/>
    <w:semiHidden/>
    <w:rsid w:val="008C580E"/>
    <w:pPr>
      <w:spacing w:after="120"/>
      <w:ind w:left="720"/>
    </w:pPr>
  </w:style>
  <w:style w:type="paragraph" w:styleId="ListContinue3">
    <w:name w:val="List Continue 3"/>
    <w:basedOn w:val="Normal"/>
    <w:uiPriority w:val="99"/>
    <w:semiHidden/>
    <w:rsid w:val="008C580E"/>
    <w:pPr>
      <w:spacing w:after="120"/>
      <w:ind w:left="1080"/>
    </w:pPr>
  </w:style>
  <w:style w:type="paragraph" w:styleId="ListContinue4">
    <w:name w:val="List Continue 4"/>
    <w:basedOn w:val="Normal"/>
    <w:uiPriority w:val="99"/>
    <w:semiHidden/>
    <w:rsid w:val="008C580E"/>
    <w:pPr>
      <w:spacing w:after="120"/>
      <w:ind w:left="1440"/>
    </w:pPr>
  </w:style>
  <w:style w:type="paragraph" w:styleId="ListContinue5">
    <w:name w:val="List Continue 5"/>
    <w:basedOn w:val="Normal"/>
    <w:uiPriority w:val="99"/>
    <w:semiHidden/>
    <w:rsid w:val="008C580E"/>
    <w:pPr>
      <w:spacing w:after="120"/>
      <w:ind w:left="1800"/>
    </w:pPr>
  </w:style>
  <w:style w:type="paragraph" w:styleId="ListNumber">
    <w:name w:val="List Number"/>
    <w:basedOn w:val="BodyText1"/>
    <w:uiPriority w:val="24"/>
    <w:qFormat/>
    <w:rsid w:val="008C580E"/>
    <w:pPr>
      <w:numPr>
        <w:numId w:val="24"/>
      </w:numPr>
    </w:pPr>
    <w:rPr>
      <w:rFonts w:cs="Times New Roman"/>
    </w:rPr>
  </w:style>
  <w:style w:type="paragraph" w:styleId="ListNumber2">
    <w:name w:val="List Number 2"/>
    <w:basedOn w:val="BodyText1"/>
    <w:uiPriority w:val="24"/>
    <w:semiHidden/>
    <w:unhideWhenUsed/>
    <w:rsid w:val="008C580E"/>
    <w:pPr>
      <w:numPr>
        <w:ilvl w:val="1"/>
        <w:numId w:val="24"/>
      </w:numPr>
    </w:pPr>
    <w:rPr>
      <w:rFonts w:cs="Times New Roman"/>
    </w:rPr>
  </w:style>
  <w:style w:type="paragraph" w:styleId="ListNumber3">
    <w:name w:val="List Number 3"/>
    <w:basedOn w:val="BodyText1"/>
    <w:uiPriority w:val="24"/>
    <w:semiHidden/>
    <w:unhideWhenUsed/>
    <w:rsid w:val="008C580E"/>
    <w:pPr>
      <w:numPr>
        <w:ilvl w:val="2"/>
        <w:numId w:val="24"/>
      </w:numPr>
    </w:pPr>
    <w:rPr>
      <w:rFonts w:cs="Times New Roman"/>
    </w:rPr>
  </w:style>
  <w:style w:type="paragraph" w:styleId="ListNumber4">
    <w:name w:val="List Number 4"/>
    <w:basedOn w:val="BodyText1"/>
    <w:uiPriority w:val="24"/>
    <w:semiHidden/>
    <w:unhideWhenUsed/>
    <w:rsid w:val="008C580E"/>
    <w:pPr>
      <w:numPr>
        <w:ilvl w:val="3"/>
        <w:numId w:val="24"/>
      </w:numPr>
    </w:pPr>
    <w:rPr>
      <w:rFonts w:cs="Times New Roman"/>
    </w:rPr>
  </w:style>
  <w:style w:type="paragraph" w:styleId="ListNumber5">
    <w:name w:val="List Number 5"/>
    <w:basedOn w:val="BodyText1"/>
    <w:uiPriority w:val="24"/>
    <w:semiHidden/>
    <w:unhideWhenUsed/>
    <w:rsid w:val="008C580E"/>
    <w:pPr>
      <w:numPr>
        <w:ilvl w:val="4"/>
        <w:numId w:val="24"/>
      </w:numPr>
    </w:pPr>
    <w:rPr>
      <w:rFonts w:cs="Times New Roman"/>
    </w:rPr>
  </w:style>
  <w:style w:type="paragraph" w:styleId="MacroText">
    <w:name w:val="macro"/>
    <w:link w:val="MacroTextChar"/>
    <w:uiPriority w:val="99"/>
    <w:semiHidden/>
    <w:rsid w:val="008C580E"/>
    <w:pPr>
      <w:pBdr>
        <w:left w:val="single" w:sz="4" w:space="4" w:color="auto"/>
        <w:right w:val="thinThickThinLargeGap" w:sz="24" w:space="4" w:color="auto"/>
      </w:pBd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zh-CN"/>
    </w:rPr>
  </w:style>
  <w:style w:type="character" w:customStyle="1" w:styleId="MacroTextChar">
    <w:name w:val="Macro Text Char"/>
    <w:basedOn w:val="DefaultParagraphFont"/>
    <w:link w:val="MacroText"/>
    <w:uiPriority w:val="99"/>
    <w:semiHidden/>
    <w:rsid w:val="008C580E"/>
    <w:rPr>
      <w:rFonts w:ascii="Courier New" w:eastAsia="Times New Roman" w:hAnsi="Courier New" w:cs="Courier New"/>
      <w:sz w:val="20"/>
      <w:szCs w:val="20"/>
      <w:lang w:eastAsia="zh-CN"/>
    </w:rPr>
  </w:style>
  <w:style w:type="table" w:customStyle="1" w:styleId="MediumGrid11">
    <w:name w:val="Medium Grid 11"/>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C580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semiHidden/>
    <w:rsid w:val="008C580E"/>
    <w:rPr>
      <w:rFonts w:ascii="Arial" w:eastAsia="Times New Roman" w:hAnsi="Arial" w:cs="Arial"/>
      <w:sz w:val="20"/>
      <w:szCs w:val="24"/>
      <w:shd w:val="pct20" w:color="auto" w:fill="auto"/>
    </w:rPr>
  </w:style>
  <w:style w:type="paragraph" w:styleId="NoSpacing">
    <w:name w:val="No Spacing"/>
    <w:link w:val="NoSpacingChar"/>
    <w:uiPriority w:val="1"/>
    <w:qFormat/>
    <w:rsid w:val="008C580E"/>
    <w:pPr>
      <w:spacing w:after="0" w:line="240" w:lineRule="auto"/>
    </w:pPr>
    <w:rPr>
      <w:rFonts w:ascii="Times New Roman" w:eastAsia="Times New Roman" w:hAnsi="Times New Roman" w:cs="Arial"/>
      <w:sz w:val="24"/>
      <w:szCs w:val="24"/>
    </w:rPr>
  </w:style>
  <w:style w:type="paragraph" w:styleId="NormalWeb">
    <w:name w:val="Normal (Web)"/>
    <w:basedOn w:val="Normal"/>
    <w:uiPriority w:val="99"/>
    <w:rsid w:val="008C580E"/>
  </w:style>
  <w:style w:type="paragraph" w:styleId="NormalIndent">
    <w:name w:val="Normal Indent"/>
    <w:basedOn w:val="Normal"/>
    <w:uiPriority w:val="29"/>
    <w:semiHidden/>
    <w:rsid w:val="008C580E"/>
    <w:pPr>
      <w:ind w:left="720" w:right="720"/>
    </w:pPr>
  </w:style>
  <w:style w:type="paragraph" w:styleId="NoteHeading">
    <w:name w:val="Note Heading"/>
    <w:basedOn w:val="Normal"/>
    <w:next w:val="Normal"/>
    <w:link w:val="NoteHeadingChar"/>
    <w:uiPriority w:val="99"/>
    <w:semiHidden/>
    <w:rsid w:val="008C580E"/>
  </w:style>
  <w:style w:type="character" w:customStyle="1" w:styleId="NoteHeadingChar">
    <w:name w:val="Note Heading Char"/>
    <w:basedOn w:val="DefaultParagraphFont"/>
    <w:link w:val="NoteHeading"/>
    <w:uiPriority w:val="99"/>
    <w:semiHidden/>
    <w:rsid w:val="008C580E"/>
    <w:rPr>
      <w:rFonts w:ascii="Times New Roman" w:eastAsia="Times New Roman" w:hAnsi="Times New Roman" w:cs="Arial"/>
      <w:sz w:val="20"/>
      <w:szCs w:val="24"/>
    </w:rPr>
  </w:style>
  <w:style w:type="character" w:styleId="PageNumber">
    <w:name w:val="page number"/>
    <w:rsid w:val="008C580E"/>
    <w:rPr>
      <w:rFonts w:ascii="Times New Roman" w:hAnsi="Times New Roman" w:cs="Times New Roman"/>
      <w:lang w:val="en-US"/>
    </w:rPr>
  </w:style>
  <w:style w:type="character" w:styleId="PlaceholderText">
    <w:name w:val="Placeholder Text"/>
    <w:uiPriority w:val="99"/>
    <w:semiHidden/>
    <w:rsid w:val="008C580E"/>
    <w:rPr>
      <w:rFonts w:ascii="Times New Roman" w:hAnsi="Times New Roman" w:cs="Times New Roman"/>
      <w:color w:val="808080"/>
      <w:lang w:val="en-US"/>
    </w:rPr>
  </w:style>
  <w:style w:type="paragraph" w:styleId="PlainText">
    <w:name w:val="Plain Text"/>
    <w:basedOn w:val="Normal"/>
    <w:link w:val="PlainTextChar"/>
    <w:uiPriority w:val="99"/>
    <w:semiHidden/>
    <w:rsid w:val="008C580E"/>
    <w:rPr>
      <w:rFonts w:ascii="Courier New" w:hAnsi="Courier New" w:cs="Courier New"/>
      <w:szCs w:val="20"/>
    </w:rPr>
  </w:style>
  <w:style w:type="character" w:customStyle="1" w:styleId="PlainTextChar">
    <w:name w:val="Plain Text Char"/>
    <w:basedOn w:val="DefaultParagraphFont"/>
    <w:link w:val="PlainText"/>
    <w:uiPriority w:val="99"/>
    <w:semiHidden/>
    <w:rsid w:val="008C580E"/>
    <w:rPr>
      <w:rFonts w:ascii="Courier New" w:eastAsia="Times New Roman" w:hAnsi="Courier New" w:cs="Courier New"/>
      <w:sz w:val="20"/>
      <w:szCs w:val="20"/>
    </w:rPr>
  </w:style>
  <w:style w:type="paragraph" w:styleId="Quote">
    <w:name w:val="Quote"/>
    <w:basedOn w:val="Normal"/>
    <w:next w:val="BodyTextContinued"/>
    <w:link w:val="QuoteChar"/>
    <w:uiPriority w:val="39"/>
    <w:rsid w:val="008C580E"/>
    <w:pPr>
      <w:spacing w:after="240"/>
      <w:ind w:left="1440" w:right="1440"/>
    </w:pPr>
  </w:style>
  <w:style w:type="character" w:customStyle="1" w:styleId="QuoteChar">
    <w:name w:val="Quote Char"/>
    <w:basedOn w:val="DefaultParagraphFont"/>
    <w:link w:val="Quote"/>
    <w:uiPriority w:val="39"/>
    <w:rsid w:val="008C580E"/>
    <w:rPr>
      <w:rFonts w:ascii="Times New Roman" w:eastAsia="Times New Roman" w:hAnsi="Times New Roman" w:cs="Arial"/>
      <w:sz w:val="20"/>
      <w:szCs w:val="24"/>
    </w:rPr>
  </w:style>
  <w:style w:type="paragraph" w:styleId="Salutation">
    <w:name w:val="Salutation"/>
    <w:basedOn w:val="Normal"/>
    <w:next w:val="Normal"/>
    <w:link w:val="SalutationChar"/>
    <w:uiPriority w:val="99"/>
    <w:semiHidden/>
    <w:rsid w:val="008C580E"/>
  </w:style>
  <w:style w:type="character" w:customStyle="1" w:styleId="SalutationChar">
    <w:name w:val="Salutation Char"/>
    <w:basedOn w:val="DefaultParagraphFont"/>
    <w:link w:val="Salutation"/>
    <w:uiPriority w:val="99"/>
    <w:semiHidden/>
    <w:rsid w:val="008C580E"/>
    <w:rPr>
      <w:rFonts w:ascii="Times New Roman" w:eastAsia="Times New Roman" w:hAnsi="Times New Roman" w:cs="Arial"/>
      <w:sz w:val="20"/>
      <w:szCs w:val="24"/>
    </w:rPr>
  </w:style>
  <w:style w:type="paragraph" w:styleId="Signature">
    <w:name w:val="Signature"/>
    <w:basedOn w:val="Normal"/>
    <w:link w:val="SignatureChar"/>
    <w:uiPriority w:val="39"/>
    <w:semiHidden/>
    <w:unhideWhenUsed/>
    <w:rsid w:val="008C580E"/>
    <w:pPr>
      <w:ind w:left="4320"/>
    </w:pPr>
  </w:style>
  <w:style w:type="character" w:customStyle="1" w:styleId="SignatureChar">
    <w:name w:val="Signature Char"/>
    <w:basedOn w:val="DefaultParagraphFont"/>
    <w:link w:val="Signature"/>
    <w:uiPriority w:val="39"/>
    <w:semiHidden/>
    <w:rsid w:val="008C580E"/>
    <w:rPr>
      <w:rFonts w:ascii="Times New Roman" w:eastAsia="Times New Roman" w:hAnsi="Times New Roman" w:cs="Arial"/>
      <w:sz w:val="20"/>
      <w:szCs w:val="24"/>
    </w:rPr>
  </w:style>
  <w:style w:type="character" w:styleId="Strong">
    <w:name w:val="Strong"/>
    <w:uiPriority w:val="99"/>
    <w:rsid w:val="008C580E"/>
    <w:rPr>
      <w:b/>
      <w:bCs/>
      <w:lang w:val="en-US"/>
    </w:rPr>
  </w:style>
  <w:style w:type="paragraph" w:styleId="Subtitle">
    <w:name w:val="Subtitle"/>
    <w:basedOn w:val="Normal"/>
    <w:link w:val="SubtitleChar"/>
    <w:uiPriority w:val="11"/>
    <w:unhideWhenUsed/>
    <w:qFormat/>
    <w:rsid w:val="008C580E"/>
    <w:pPr>
      <w:spacing w:after="60"/>
      <w:jc w:val="center"/>
    </w:pPr>
    <w:rPr>
      <w:rFonts w:ascii="Arial" w:hAnsi="Arial"/>
      <w:i/>
    </w:rPr>
  </w:style>
  <w:style w:type="character" w:customStyle="1" w:styleId="SubtitleChar">
    <w:name w:val="Subtitle Char"/>
    <w:basedOn w:val="DefaultParagraphFont"/>
    <w:link w:val="Subtitle"/>
    <w:uiPriority w:val="39"/>
    <w:rsid w:val="008C580E"/>
    <w:rPr>
      <w:rFonts w:ascii="Arial" w:eastAsia="Times New Roman" w:hAnsi="Arial" w:cs="Arial"/>
      <w:i/>
      <w:sz w:val="20"/>
      <w:szCs w:val="24"/>
    </w:rPr>
  </w:style>
  <w:style w:type="character" w:styleId="SubtleEmphasis">
    <w:name w:val="Subtle Emphasis"/>
    <w:uiPriority w:val="99"/>
    <w:rsid w:val="008C580E"/>
    <w:rPr>
      <w:rFonts w:ascii="Times New Roman" w:hAnsi="Times New Roman" w:cs="Times New Roman"/>
      <w:i/>
      <w:iCs/>
      <w:color w:val="808080"/>
      <w:lang w:val="en-US"/>
    </w:rPr>
  </w:style>
  <w:style w:type="character" w:styleId="SubtleReference">
    <w:name w:val="Subtle Reference"/>
    <w:uiPriority w:val="99"/>
    <w:rsid w:val="008C580E"/>
    <w:rPr>
      <w:rFonts w:ascii="Times New Roman" w:hAnsi="Times New Roman" w:cs="Times New Roman"/>
      <w:smallCaps/>
      <w:color w:val="C0504D"/>
      <w:u w:val="single"/>
      <w:lang w:val="en-US"/>
    </w:rPr>
  </w:style>
  <w:style w:type="table" w:styleId="Table3Deffects1">
    <w:name w:val="Table 3D effects 1"/>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C580E"/>
    <w:pPr>
      <w:spacing w:after="0" w:line="240" w:lineRule="auto"/>
    </w:pPr>
    <w:rPr>
      <w:rFonts w:ascii="Times New Roman" w:eastAsia="Times New Roman" w:hAnsi="Times New Roman" w:cs="Arial"/>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C580E"/>
    <w:pPr>
      <w:spacing w:after="0" w:line="240" w:lineRule="auto"/>
    </w:pPr>
    <w:rPr>
      <w:rFonts w:ascii="Times New Roman" w:eastAsia="Times New Roman" w:hAnsi="Times New Roman" w:cs="Arial"/>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C580E"/>
    <w:pPr>
      <w:spacing w:after="0" w:line="240" w:lineRule="auto"/>
    </w:pPr>
    <w:rPr>
      <w:rFonts w:ascii="Times New Roman" w:eastAsia="Times New Roman" w:hAnsi="Times New Roman" w:cs="Arial"/>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42"/>
    <w:semiHidden/>
    <w:unhideWhenUsed/>
    <w:rsid w:val="008C580E"/>
    <w:pPr>
      <w:tabs>
        <w:tab w:val="right" w:leader="dot" w:pos="9360"/>
      </w:tabs>
      <w:spacing w:after="240"/>
      <w:ind w:left="202" w:hanging="202"/>
    </w:pPr>
  </w:style>
  <w:style w:type="paragraph" w:styleId="TableofFigures">
    <w:name w:val="table of figures"/>
    <w:basedOn w:val="Normal"/>
    <w:next w:val="Normal"/>
    <w:uiPriority w:val="39"/>
    <w:semiHidden/>
    <w:rsid w:val="008C580E"/>
    <w:pPr>
      <w:tabs>
        <w:tab w:val="right" w:leader="dot" w:pos="9360"/>
      </w:tabs>
      <w:ind w:left="475" w:firstLine="475"/>
    </w:pPr>
  </w:style>
  <w:style w:type="table" w:styleId="TableProfessional">
    <w:name w:val="Table Professional"/>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8C580E"/>
    <w:pPr>
      <w:spacing w:after="240"/>
      <w:jc w:val="center"/>
    </w:pPr>
    <w:rPr>
      <w:b/>
      <w:caps/>
    </w:rPr>
  </w:style>
  <w:style w:type="paragraph" w:styleId="TOC2">
    <w:name w:val="toc 2"/>
    <w:basedOn w:val="Normal"/>
    <w:uiPriority w:val="39"/>
    <w:unhideWhenUsed/>
    <w:rsid w:val="008C580E"/>
    <w:pPr>
      <w:keepLines/>
      <w:widowControl w:val="0"/>
      <w:tabs>
        <w:tab w:val="right" w:leader="dot" w:pos="9360"/>
      </w:tabs>
      <w:ind w:left="1440" w:right="720" w:hanging="720"/>
    </w:pPr>
  </w:style>
  <w:style w:type="paragraph" w:styleId="TOC3">
    <w:name w:val="toc 3"/>
    <w:basedOn w:val="Normal"/>
    <w:uiPriority w:val="39"/>
    <w:unhideWhenUsed/>
    <w:rsid w:val="008C580E"/>
    <w:pPr>
      <w:keepLines/>
      <w:widowControl w:val="0"/>
      <w:tabs>
        <w:tab w:val="right" w:leader="dot" w:pos="9360"/>
      </w:tabs>
      <w:ind w:left="2160" w:right="720" w:hanging="720"/>
    </w:pPr>
  </w:style>
  <w:style w:type="paragraph" w:styleId="TOC4">
    <w:name w:val="toc 4"/>
    <w:basedOn w:val="Normal"/>
    <w:uiPriority w:val="39"/>
    <w:unhideWhenUsed/>
    <w:rsid w:val="008C580E"/>
    <w:pPr>
      <w:keepLines/>
      <w:widowControl w:val="0"/>
      <w:tabs>
        <w:tab w:val="right" w:leader="dot" w:pos="9360"/>
      </w:tabs>
      <w:ind w:left="2880" w:right="720" w:hanging="720"/>
    </w:pPr>
  </w:style>
  <w:style w:type="paragraph" w:styleId="TOC5">
    <w:name w:val="toc 5"/>
    <w:basedOn w:val="Normal"/>
    <w:uiPriority w:val="39"/>
    <w:unhideWhenUsed/>
    <w:rsid w:val="008C580E"/>
    <w:pPr>
      <w:keepLines/>
      <w:widowControl w:val="0"/>
      <w:tabs>
        <w:tab w:val="right" w:leader="dot" w:pos="9360"/>
      </w:tabs>
      <w:ind w:left="3600" w:right="720" w:hanging="720"/>
    </w:pPr>
  </w:style>
  <w:style w:type="paragraph" w:styleId="TOC6">
    <w:name w:val="toc 6"/>
    <w:basedOn w:val="Normal"/>
    <w:uiPriority w:val="39"/>
    <w:unhideWhenUsed/>
    <w:rsid w:val="008C580E"/>
    <w:pPr>
      <w:keepLines/>
      <w:widowControl w:val="0"/>
      <w:tabs>
        <w:tab w:val="right" w:leader="dot" w:pos="9360"/>
      </w:tabs>
      <w:ind w:left="4320" w:right="720" w:hanging="720"/>
    </w:pPr>
  </w:style>
  <w:style w:type="paragraph" w:styleId="TOC7">
    <w:name w:val="toc 7"/>
    <w:basedOn w:val="Normal"/>
    <w:uiPriority w:val="39"/>
    <w:unhideWhenUsed/>
    <w:rsid w:val="008C580E"/>
    <w:pPr>
      <w:keepLines/>
      <w:widowControl w:val="0"/>
      <w:tabs>
        <w:tab w:val="right" w:leader="dot" w:pos="9360"/>
      </w:tabs>
      <w:ind w:left="5040" w:right="720" w:hanging="720"/>
    </w:pPr>
  </w:style>
  <w:style w:type="paragraph" w:styleId="TOC8">
    <w:name w:val="toc 8"/>
    <w:basedOn w:val="Normal"/>
    <w:uiPriority w:val="39"/>
    <w:unhideWhenUsed/>
    <w:rsid w:val="008C580E"/>
    <w:pPr>
      <w:keepLines/>
      <w:widowControl w:val="0"/>
      <w:tabs>
        <w:tab w:val="right" w:leader="dot" w:pos="9360"/>
      </w:tabs>
      <w:ind w:left="5760" w:right="720" w:hanging="720"/>
    </w:pPr>
  </w:style>
  <w:style w:type="paragraph" w:styleId="TOC9">
    <w:name w:val="toc 9"/>
    <w:basedOn w:val="Normal"/>
    <w:uiPriority w:val="39"/>
    <w:unhideWhenUsed/>
    <w:rsid w:val="008C580E"/>
    <w:pPr>
      <w:keepLines/>
      <w:widowControl w:val="0"/>
      <w:tabs>
        <w:tab w:val="right" w:leader="dot" w:pos="9360"/>
      </w:tabs>
      <w:ind w:left="6480" w:right="720" w:hanging="720"/>
    </w:pPr>
  </w:style>
  <w:style w:type="paragraph" w:styleId="TOCHeading">
    <w:name w:val="TOC Heading"/>
    <w:basedOn w:val="Heading1"/>
    <w:next w:val="Normal"/>
    <w:uiPriority w:val="39"/>
    <w:unhideWhenUsed/>
    <w:qFormat/>
    <w:rsid w:val="008C580E"/>
    <w:pPr>
      <w:numPr>
        <w:numId w:val="0"/>
      </w:numPr>
      <w:outlineLvl w:val="9"/>
    </w:pPr>
  </w:style>
  <w:style w:type="paragraph" w:customStyle="1" w:styleId="BodyTextContinued">
    <w:name w:val="Body Text Continued"/>
    <w:basedOn w:val="Normal"/>
    <w:next w:val="BodyText1"/>
    <w:uiPriority w:val="2"/>
    <w:rsid w:val="008C580E"/>
    <w:pPr>
      <w:spacing w:after="200"/>
    </w:pPr>
  </w:style>
  <w:style w:type="paragraph" w:customStyle="1" w:styleId="BodyText20">
    <w:name w:val="BodyText 2"/>
    <w:basedOn w:val="Normal"/>
    <w:uiPriority w:val="1"/>
    <w:qFormat/>
    <w:rsid w:val="008C580E"/>
    <w:pPr>
      <w:spacing w:after="200"/>
      <w:jc w:val="both"/>
    </w:pPr>
    <w:rPr>
      <w:rFonts w:eastAsia="Calibri"/>
      <w:b/>
      <w:szCs w:val="20"/>
    </w:rPr>
  </w:style>
  <w:style w:type="paragraph" w:customStyle="1" w:styleId="BodyText30">
    <w:name w:val="BodyText 3"/>
    <w:basedOn w:val="Normal"/>
    <w:uiPriority w:val="1"/>
    <w:qFormat/>
    <w:rsid w:val="008C580E"/>
    <w:pPr>
      <w:spacing w:after="200"/>
      <w:jc w:val="both"/>
    </w:pPr>
    <w:rPr>
      <w:rFonts w:eastAsia="Calibri"/>
      <w:b/>
      <w:i/>
      <w:szCs w:val="20"/>
    </w:rPr>
  </w:style>
  <w:style w:type="paragraph" w:customStyle="1" w:styleId="BodyText4">
    <w:name w:val="BodyText 4"/>
    <w:basedOn w:val="Normal"/>
    <w:uiPriority w:val="1"/>
    <w:rsid w:val="008C580E"/>
    <w:pPr>
      <w:spacing w:after="200"/>
      <w:ind w:left="1440" w:hanging="720"/>
      <w:jc w:val="both"/>
    </w:pPr>
    <w:rPr>
      <w:rFonts w:eastAsia="MS Mincho"/>
      <w:szCs w:val="20"/>
    </w:rPr>
  </w:style>
  <w:style w:type="paragraph" w:customStyle="1" w:styleId="BodyText5">
    <w:name w:val="BodyText 5"/>
    <w:basedOn w:val="Normal"/>
    <w:uiPriority w:val="1"/>
    <w:unhideWhenUsed/>
    <w:rsid w:val="008C580E"/>
    <w:pPr>
      <w:spacing w:after="240"/>
      <w:ind w:left="720"/>
      <w:jc w:val="both"/>
    </w:pPr>
    <w:rPr>
      <w:rFonts w:eastAsia="MS Mincho"/>
      <w:szCs w:val="20"/>
    </w:rPr>
  </w:style>
  <w:style w:type="paragraph" w:customStyle="1" w:styleId="BodyText6">
    <w:name w:val="BodyText 6"/>
    <w:basedOn w:val="Normal"/>
    <w:uiPriority w:val="1"/>
    <w:semiHidden/>
    <w:unhideWhenUsed/>
    <w:rsid w:val="008C580E"/>
    <w:pPr>
      <w:spacing w:after="240"/>
      <w:ind w:left="3600" w:firstLine="720"/>
    </w:pPr>
    <w:rPr>
      <w:szCs w:val="20"/>
    </w:rPr>
  </w:style>
  <w:style w:type="paragraph" w:customStyle="1" w:styleId="BodyText7">
    <w:name w:val="BodyText 7"/>
    <w:basedOn w:val="Normal"/>
    <w:uiPriority w:val="1"/>
    <w:semiHidden/>
    <w:unhideWhenUsed/>
    <w:rsid w:val="008C580E"/>
    <w:pPr>
      <w:spacing w:after="240"/>
      <w:ind w:left="4320" w:firstLine="720"/>
    </w:pPr>
    <w:rPr>
      <w:szCs w:val="20"/>
    </w:rPr>
  </w:style>
  <w:style w:type="paragraph" w:customStyle="1" w:styleId="Definition1">
    <w:name w:val="Definition 1"/>
    <w:basedOn w:val="BodyText1"/>
    <w:uiPriority w:val="3"/>
    <w:qFormat/>
    <w:rsid w:val="008C580E"/>
    <w:pPr>
      <w:numPr>
        <w:numId w:val="20"/>
      </w:numPr>
      <w:adjustRightInd w:val="0"/>
      <w:snapToGrid w:val="0"/>
    </w:pPr>
  </w:style>
  <w:style w:type="paragraph" w:customStyle="1" w:styleId="Definition2">
    <w:name w:val="Definition 2"/>
    <w:basedOn w:val="Definition1"/>
    <w:uiPriority w:val="3"/>
    <w:qFormat/>
    <w:rsid w:val="008C580E"/>
    <w:pPr>
      <w:numPr>
        <w:ilvl w:val="1"/>
      </w:numPr>
    </w:pPr>
  </w:style>
  <w:style w:type="paragraph" w:customStyle="1" w:styleId="Definition3">
    <w:name w:val="Definition 3"/>
    <w:basedOn w:val="Definition2"/>
    <w:uiPriority w:val="3"/>
    <w:qFormat/>
    <w:rsid w:val="008C580E"/>
    <w:pPr>
      <w:numPr>
        <w:ilvl w:val="2"/>
      </w:numPr>
    </w:pPr>
  </w:style>
  <w:style w:type="paragraph" w:customStyle="1" w:styleId="Definition4">
    <w:name w:val="Definition 4"/>
    <w:basedOn w:val="Definition3"/>
    <w:uiPriority w:val="3"/>
    <w:qFormat/>
    <w:rsid w:val="008C580E"/>
    <w:pPr>
      <w:numPr>
        <w:ilvl w:val="3"/>
      </w:numPr>
    </w:pPr>
  </w:style>
  <w:style w:type="paragraph" w:customStyle="1" w:styleId="Definition5">
    <w:name w:val="Definition 5"/>
    <w:basedOn w:val="Definition4"/>
    <w:uiPriority w:val="3"/>
    <w:rsid w:val="008C580E"/>
    <w:pPr>
      <w:numPr>
        <w:ilvl w:val="4"/>
      </w:numPr>
    </w:pPr>
  </w:style>
  <w:style w:type="paragraph" w:customStyle="1" w:styleId="Definition6">
    <w:name w:val="Definition 6"/>
    <w:basedOn w:val="Definition5"/>
    <w:uiPriority w:val="3"/>
    <w:semiHidden/>
    <w:unhideWhenUsed/>
    <w:rsid w:val="008C580E"/>
    <w:pPr>
      <w:numPr>
        <w:ilvl w:val="5"/>
      </w:numPr>
    </w:pPr>
  </w:style>
  <w:style w:type="paragraph" w:customStyle="1" w:styleId="Definition7">
    <w:name w:val="Definition 7"/>
    <w:basedOn w:val="Definition6"/>
    <w:uiPriority w:val="3"/>
    <w:semiHidden/>
    <w:unhideWhenUsed/>
    <w:rsid w:val="008C580E"/>
    <w:pPr>
      <w:numPr>
        <w:ilvl w:val="6"/>
      </w:numPr>
    </w:pPr>
  </w:style>
  <w:style w:type="paragraph" w:customStyle="1" w:styleId="Definition8">
    <w:name w:val="Definition 8"/>
    <w:basedOn w:val="Definition7"/>
    <w:uiPriority w:val="3"/>
    <w:semiHidden/>
    <w:unhideWhenUsed/>
    <w:rsid w:val="008C580E"/>
    <w:pPr>
      <w:numPr>
        <w:ilvl w:val="7"/>
      </w:numPr>
    </w:pPr>
  </w:style>
  <w:style w:type="paragraph" w:customStyle="1" w:styleId="Definition9">
    <w:name w:val="Definition 9"/>
    <w:basedOn w:val="Definition8"/>
    <w:uiPriority w:val="3"/>
    <w:semiHidden/>
    <w:unhideWhenUsed/>
    <w:rsid w:val="008C580E"/>
    <w:pPr>
      <w:numPr>
        <w:ilvl w:val="8"/>
      </w:numPr>
    </w:pPr>
  </w:style>
  <w:style w:type="paragraph" w:customStyle="1" w:styleId="LetterClosing">
    <w:name w:val="LetterClosing"/>
    <w:basedOn w:val="Normal"/>
    <w:uiPriority w:val="49"/>
    <w:semiHidden/>
    <w:rsid w:val="008C580E"/>
  </w:style>
  <w:style w:type="paragraph" w:customStyle="1" w:styleId="PleadingSignature">
    <w:name w:val="Pleading Signature"/>
    <w:basedOn w:val="Normal"/>
    <w:uiPriority w:val="49"/>
    <w:semiHidden/>
    <w:rsid w:val="008C580E"/>
    <w:pPr>
      <w:keepNext/>
      <w:keepLines/>
      <w:tabs>
        <w:tab w:val="center" w:pos="5040"/>
        <w:tab w:val="right" w:pos="9360"/>
      </w:tabs>
      <w:spacing w:line="240" w:lineRule="exact"/>
      <w:ind w:left="4680"/>
    </w:pPr>
  </w:style>
  <w:style w:type="paragraph" w:customStyle="1" w:styleId="ReLine">
    <w:name w:val="ReLine"/>
    <w:basedOn w:val="Normal"/>
    <w:next w:val="Normal"/>
    <w:uiPriority w:val="49"/>
    <w:semiHidden/>
    <w:rsid w:val="008C580E"/>
    <w:pPr>
      <w:spacing w:after="240"/>
      <w:ind w:left="2160" w:hanging="720"/>
    </w:pPr>
  </w:style>
  <w:style w:type="paragraph" w:customStyle="1" w:styleId="Schedule1">
    <w:name w:val="Schedule 1"/>
    <w:basedOn w:val="Normal"/>
    <w:next w:val="Schedule2"/>
    <w:uiPriority w:val="19"/>
    <w:semiHidden/>
    <w:unhideWhenUsed/>
    <w:qFormat/>
    <w:rsid w:val="008C580E"/>
    <w:pPr>
      <w:keepNext/>
      <w:numPr>
        <w:ilvl w:val="1"/>
        <w:numId w:val="22"/>
      </w:numPr>
      <w:spacing w:after="240"/>
    </w:pPr>
    <w:rPr>
      <w:b/>
      <w:caps/>
      <w:szCs w:val="22"/>
    </w:rPr>
  </w:style>
  <w:style w:type="paragraph" w:customStyle="1" w:styleId="Schedule2">
    <w:name w:val="Schedule 2"/>
    <w:basedOn w:val="Normal"/>
    <w:uiPriority w:val="19"/>
    <w:semiHidden/>
    <w:unhideWhenUsed/>
    <w:qFormat/>
    <w:rsid w:val="008C580E"/>
    <w:pPr>
      <w:numPr>
        <w:ilvl w:val="2"/>
        <w:numId w:val="22"/>
      </w:numPr>
      <w:spacing w:after="240"/>
    </w:pPr>
  </w:style>
  <w:style w:type="paragraph" w:customStyle="1" w:styleId="Schedule3">
    <w:name w:val="Schedule 3"/>
    <w:basedOn w:val="Normal"/>
    <w:uiPriority w:val="19"/>
    <w:semiHidden/>
    <w:unhideWhenUsed/>
    <w:qFormat/>
    <w:rsid w:val="008C580E"/>
    <w:pPr>
      <w:numPr>
        <w:ilvl w:val="3"/>
        <w:numId w:val="22"/>
      </w:numPr>
      <w:spacing w:after="240"/>
    </w:pPr>
  </w:style>
  <w:style w:type="paragraph" w:customStyle="1" w:styleId="Schedule4">
    <w:name w:val="Schedule 4"/>
    <w:basedOn w:val="Normal"/>
    <w:uiPriority w:val="19"/>
    <w:semiHidden/>
    <w:unhideWhenUsed/>
    <w:qFormat/>
    <w:rsid w:val="008C580E"/>
    <w:pPr>
      <w:numPr>
        <w:ilvl w:val="4"/>
        <w:numId w:val="22"/>
      </w:numPr>
      <w:spacing w:after="240"/>
    </w:pPr>
  </w:style>
  <w:style w:type="paragraph" w:customStyle="1" w:styleId="Schedule5">
    <w:name w:val="Schedule 5"/>
    <w:basedOn w:val="Normal"/>
    <w:uiPriority w:val="19"/>
    <w:semiHidden/>
    <w:unhideWhenUsed/>
    <w:rsid w:val="008C580E"/>
    <w:pPr>
      <w:numPr>
        <w:ilvl w:val="5"/>
        <w:numId w:val="22"/>
      </w:numPr>
      <w:spacing w:after="240"/>
    </w:pPr>
  </w:style>
  <w:style w:type="paragraph" w:customStyle="1" w:styleId="Schedule6">
    <w:name w:val="Schedule 6"/>
    <w:basedOn w:val="Normal"/>
    <w:uiPriority w:val="19"/>
    <w:semiHidden/>
    <w:unhideWhenUsed/>
    <w:rsid w:val="008C580E"/>
    <w:pPr>
      <w:numPr>
        <w:ilvl w:val="6"/>
        <w:numId w:val="22"/>
      </w:numPr>
      <w:spacing w:after="240"/>
    </w:pPr>
  </w:style>
  <w:style w:type="paragraph" w:customStyle="1" w:styleId="Schedule7">
    <w:name w:val="Schedule 7"/>
    <w:basedOn w:val="Normal"/>
    <w:next w:val="Normal"/>
    <w:uiPriority w:val="19"/>
    <w:semiHidden/>
    <w:unhideWhenUsed/>
    <w:rsid w:val="008C580E"/>
    <w:pPr>
      <w:numPr>
        <w:ilvl w:val="7"/>
        <w:numId w:val="22"/>
      </w:numPr>
      <w:spacing w:after="240"/>
    </w:pPr>
    <w:rPr>
      <w:szCs w:val="20"/>
    </w:rPr>
  </w:style>
  <w:style w:type="paragraph" w:customStyle="1" w:styleId="Schedule8">
    <w:name w:val="Schedule 8"/>
    <w:basedOn w:val="Normal"/>
    <w:uiPriority w:val="19"/>
    <w:semiHidden/>
    <w:unhideWhenUsed/>
    <w:rsid w:val="008C580E"/>
    <w:pPr>
      <w:numPr>
        <w:ilvl w:val="8"/>
        <w:numId w:val="22"/>
      </w:numPr>
    </w:pPr>
  </w:style>
  <w:style w:type="paragraph" w:customStyle="1" w:styleId="ScheduleTitle">
    <w:name w:val="Schedule Title"/>
    <w:basedOn w:val="Normal"/>
    <w:next w:val="Schedule1"/>
    <w:uiPriority w:val="17"/>
    <w:semiHidden/>
    <w:unhideWhenUsed/>
    <w:qFormat/>
    <w:rsid w:val="008C580E"/>
    <w:pPr>
      <w:numPr>
        <w:numId w:val="22"/>
      </w:numPr>
      <w:spacing w:after="240"/>
      <w:jc w:val="center"/>
    </w:pPr>
    <w:rPr>
      <w:b/>
      <w:szCs w:val="22"/>
    </w:rPr>
  </w:style>
  <w:style w:type="paragraph" w:customStyle="1" w:styleId="SDP">
    <w:name w:val="SDP"/>
    <w:basedOn w:val="Normal"/>
    <w:next w:val="Normal"/>
    <w:uiPriority w:val="49"/>
    <w:semiHidden/>
    <w:rsid w:val="008C580E"/>
    <w:pPr>
      <w:spacing w:after="240"/>
    </w:pPr>
    <w:rPr>
      <w:b/>
      <w:u w:val="single"/>
    </w:rPr>
  </w:style>
  <w:style w:type="paragraph" w:customStyle="1" w:styleId="Schedule">
    <w:name w:val="Schedule #"/>
    <w:basedOn w:val="Normal"/>
    <w:next w:val="ScheduleTitle"/>
    <w:uiPriority w:val="16"/>
    <w:semiHidden/>
    <w:unhideWhenUsed/>
    <w:qFormat/>
    <w:rsid w:val="008C580E"/>
    <w:pPr>
      <w:pageBreakBefore/>
      <w:numPr>
        <w:numId w:val="23"/>
      </w:numPr>
      <w:spacing w:after="240"/>
      <w:jc w:val="center"/>
      <w:outlineLvl w:val="0"/>
    </w:pPr>
    <w:rPr>
      <w:szCs w:val="20"/>
    </w:rPr>
  </w:style>
  <w:style w:type="paragraph" w:customStyle="1" w:styleId="SchedulePart">
    <w:name w:val="Schedule Part"/>
    <w:basedOn w:val="Schedule"/>
    <w:next w:val="Schedule1"/>
    <w:uiPriority w:val="18"/>
    <w:semiHidden/>
    <w:unhideWhenUsed/>
    <w:qFormat/>
    <w:rsid w:val="008C580E"/>
    <w:pPr>
      <w:pageBreakBefore w:val="0"/>
      <w:numPr>
        <w:ilvl w:val="1"/>
      </w:numPr>
      <w:outlineLvl w:val="1"/>
    </w:pPr>
    <w:rPr>
      <w:b/>
    </w:rPr>
  </w:style>
  <w:style w:type="paragraph" w:customStyle="1" w:styleId="Default">
    <w:name w:val="Default"/>
    <w:rsid w:val="008C580E"/>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S">
    <w:name w:val="S"/>
    <w:basedOn w:val="Normal"/>
    <w:uiPriority w:val="99"/>
    <w:rsid w:val="008C580E"/>
    <w:pPr>
      <w:widowControl w:val="0"/>
      <w:tabs>
        <w:tab w:val="left" w:pos="-720"/>
        <w:tab w:val="left" w:pos="0"/>
        <w:tab w:val="left" w:pos="720"/>
        <w:tab w:val="decimal" w:pos="4320"/>
        <w:tab w:val="decimal" w:pos="5760"/>
        <w:tab w:val="decimal" w:pos="7200"/>
        <w:tab w:val="decimal" w:pos="8640"/>
        <w:tab w:val="decimal" w:pos="9360"/>
        <w:tab w:val="decimal" w:pos="9648"/>
      </w:tabs>
      <w:suppressAutoHyphens/>
      <w:overflowPunct w:val="0"/>
      <w:autoSpaceDE w:val="0"/>
      <w:autoSpaceDN w:val="0"/>
      <w:adjustRightInd w:val="0"/>
      <w:jc w:val="both"/>
      <w:textAlignment w:val="baseline"/>
    </w:pPr>
    <w:rPr>
      <w:rFonts w:cs="Times New Roman"/>
      <w:b/>
      <w:spacing w:val="-2"/>
      <w:szCs w:val="20"/>
      <w:lang w:val="en-GB"/>
    </w:rPr>
  </w:style>
  <w:style w:type="paragraph" w:customStyle="1" w:styleId="mine">
    <w:name w:val="mine"/>
    <w:basedOn w:val="Normal"/>
    <w:uiPriority w:val="99"/>
    <w:rsid w:val="008C580E"/>
    <w:pPr>
      <w:tabs>
        <w:tab w:val="left" w:pos="567"/>
        <w:tab w:val="decimal" w:pos="5387"/>
        <w:tab w:val="decimal" w:pos="6946"/>
        <w:tab w:val="decimal" w:pos="8789"/>
      </w:tabs>
      <w:suppressAutoHyphens/>
      <w:overflowPunct w:val="0"/>
      <w:autoSpaceDE w:val="0"/>
      <w:autoSpaceDN w:val="0"/>
      <w:adjustRightInd w:val="0"/>
      <w:spacing w:line="20" w:lineRule="atLeast"/>
      <w:jc w:val="both"/>
      <w:textAlignment w:val="baseline"/>
    </w:pPr>
    <w:rPr>
      <w:rFonts w:ascii="Times" w:hAnsi="Times" w:cs="Times New Roman"/>
      <w:szCs w:val="20"/>
      <w:lang w:val="en-GB"/>
    </w:rPr>
  </w:style>
  <w:style w:type="paragraph" w:customStyle="1" w:styleId="AccountingPolicy">
    <w:name w:val="Accounting Policy"/>
    <w:basedOn w:val="Normal"/>
    <w:uiPriority w:val="99"/>
    <w:rsid w:val="008C580E"/>
    <w:pPr>
      <w:widowControl w:val="0"/>
      <w:tabs>
        <w:tab w:val="left" w:pos="1531"/>
        <w:tab w:val="left" w:pos="1871"/>
      </w:tabs>
      <w:suppressAutoHyphens/>
      <w:autoSpaceDE w:val="0"/>
      <w:autoSpaceDN w:val="0"/>
      <w:adjustRightInd w:val="0"/>
      <w:spacing w:line="260" w:lineRule="atLeast"/>
      <w:ind w:left="1531" w:hanging="1531"/>
      <w:textAlignment w:val="center"/>
    </w:pPr>
    <w:rPr>
      <w:rFonts w:ascii="Univers 45 Light" w:hAnsi="Univers 45 Light" w:cs="Univers 45 Light"/>
      <w:color w:val="000000"/>
      <w:szCs w:val="20"/>
      <w:lang w:val="en-GB"/>
    </w:rPr>
  </w:style>
  <w:style w:type="paragraph" w:customStyle="1" w:styleId="p20">
    <w:name w:val="p20"/>
    <w:basedOn w:val="Normal"/>
    <w:rsid w:val="008C580E"/>
    <w:pPr>
      <w:widowControl w:val="0"/>
      <w:overflowPunct w:val="0"/>
      <w:autoSpaceDE w:val="0"/>
      <w:autoSpaceDN w:val="0"/>
      <w:adjustRightInd w:val="0"/>
      <w:spacing w:line="240" w:lineRule="atLeast"/>
      <w:ind w:left="720" w:hanging="720"/>
      <w:jc w:val="both"/>
      <w:textAlignment w:val="baseline"/>
    </w:pPr>
    <w:rPr>
      <w:rFonts w:ascii="Times" w:hAnsi="Times" w:cs="Times"/>
      <w:sz w:val="24"/>
      <w:lang w:val="en-GB"/>
    </w:rPr>
  </w:style>
  <w:style w:type="table" w:customStyle="1" w:styleId="TableGrid10">
    <w:name w:val="Table Grid1"/>
    <w:basedOn w:val="TableNormal"/>
    <w:next w:val="TableGrid"/>
    <w:uiPriority w:val="5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
    <w:name w:val="Main"/>
    <w:basedOn w:val="BodyText"/>
    <w:link w:val="MainChar"/>
    <w:uiPriority w:val="99"/>
    <w:rsid w:val="008C580E"/>
    <w:pPr>
      <w:keepLines/>
      <w:tabs>
        <w:tab w:val="left" w:pos="227"/>
        <w:tab w:val="left" w:pos="454"/>
        <w:tab w:val="left" w:pos="680"/>
        <w:tab w:val="left" w:pos="907"/>
        <w:tab w:val="center" w:pos="5330"/>
        <w:tab w:val="decimal" w:pos="7031"/>
        <w:tab w:val="decimal" w:pos="8392"/>
      </w:tabs>
      <w:spacing w:before="130" w:after="130"/>
      <w:ind w:firstLine="0"/>
      <w:jc w:val="both"/>
    </w:pPr>
    <w:rPr>
      <w:rFonts w:cs="Times New Roman"/>
      <w:sz w:val="22"/>
      <w:szCs w:val="20"/>
      <w:lang w:val="en-GB"/>
    </w:rPr>
  </w:style>
  <w:style w:type="character" w:customStyle="1" w:styleId="MainChar">
    <w:name w:val="Main Char"/>
    <w:basedOn w:val="DefaultParagraphFont"/>
    <w:link w:val="Main"/>
    <w:uiPriority w:val="99"/>
    <w:locked/>
    <w:rsid w:val="008C580E"/>
    <w:rPr>
      <w:rFonts w:ascii="Times New Roman" w:eastAsia="Times New Roman" w:hAnsi="Times New Roman" w:cs="Times New Roman"/>
      <w:szCs w:val="20"/>
      <w:lang w:val="en-GB"/>
    </w:rPr>
  </w:style>
  <w:style w:type="paragraph" w:customStyle="1" w:styleId="TableText">
    <w:name w:val="Table Text"/>
    <w:basedOn w:val="BodyText"/>
    <w:uiPriority w:val="99"/>
    <w:rsid w:val="008C580E"/>
    <w:pPr>
      <w:tabs>
        <w:tab w:val="left" w:pos="227"/>
        <w:tab w:val="left" w:pos="454"/>
      </w:tabs>
      <w:spacing w:before="6" w:after="6"/>
      <w:ind w:left="227" w:hanging="227"/>
    </w:pPr>
    <w:rPr>
      <w:rFonts w:cs="Times New Roman"/>
      <w:sz w:val="22"/>
      <w:szCs w:val="20"/>
      <w:lang w:val="en-GB"/>
    </w:rPr>
  </w:style>
  <w:style w:type="paragraph" w:customStyle="1" w:styleId="subheading1">
    <w:name w:val="subheading 1"/>
    <w:basedOn w:val="Normal"/>
    <w:uiPriority w:val="99"/>
    <w:rsid w:val="008C580E"/>
    <w:pPr>
      <w:keepNext/>
      <w:keepLines/>
      <w:tabs>
        <w:tab w:val="left" w:pos="840"/>
        <w:tab w:val="center" w:pos="5103"/>
        <w:tab w:val="decimal" w:pos="7000"/>
        <w:tab w:val="decimal" w:pos="8448"/>
      </w:tabs>
      <w:overflowPunct w:val="0"/>
      <w:autoSpaceDE w:val="0"/>
      <w:autoSpaceDN w:val="0"/>
      <w:adjustRightInd w:val="0"/>
      <w:ind w:left="560" w:right="440" w:hanging="560"/>
      <w:jc w:val="both"/>
      <w:textAlignment w:val="baseline"/>
    </w:pPr>
    <w:rPr>
      <w:rFonts w:ascii="Palatino" w:eastAsia="SimSun" w:hAnsi="Palatino" w:cs="Times New Roman"/>
      <w:b/>
      <w:sz w:val="24"/>
      <w:szCs w:val="20"/>
    </w:rPr>
  </w:style>
  <w:style w:type="paragraph" w:customStyle="1" w:styleId="consomain">
    <w:name w:val="conso main"/>
    <w:basedOn w:val="Normal"/>
    <w:uiPriority w:val="99"/>
    <w:rsid w:val="008C580E"/>
    <w:pPr>
      <w:keepLines/>
      <w:tabs>
        <w:tab w:val="left" w:pos="300"/>
        <w:tab w:val="left" w:pos="560"/>
        <w:tab w:val="left" w:pos="840"/>
        <w:tab w:val="center" w:pos="2680"/>
        <w:tab w:val="decimal" w:pos="4300"/>
        <w:tab w:val="decimal" w:pos="5720"/>
        <w:tab w:val="decimal" w:pos="7080"/>
        <w:tab w:val="decimal" w:pos="8440"/>
      </w:tabs>
      <w:overflowPunct w:val="0"/>
      <w:autoSpaceDE w:val="0"/>
      <w:autoSpaceDN w:val="0"/>
      <w:adjustRightInd w:val="0"/>
      <w:ind w:right="440"/>
      <w:jc w:val="both"/>
      <w:textAlignment w:val="baseline"/>
    </w:pPr>
    <w:rPr>
      <w:rFonts w:ascii="Palatino Linotype" w:hAnsi="Palatino Linotype" w:cs="Times New Roman"/>
      <w:szCs w:val="20"/>
      <w:lang w:val="en-GB"/>
    </w:rPr>
  </w:style>
  <w:style w:type="paragraph" w:customStyle="1" w:styleId="main0">
    <w:name w:val="main"/>
    <w:basedOn w:val="Normal"/>
    <w:uiPriority w:val="99"/>
    <w:rsid w:val="008C580E"/>
    <w:pPr>
      <w:keepLines/>
      <w:tabs>
        <w:tab w:val="left" w:pos="301"/>
        <w:tab w:val="left" w:pos="539"/>
        <w:tab w:val="left" w:pos="839"/>
        <w:tab w:val="center" w:pos="5103"/>
        <w:tab w:val="decimal" w:pos="7002"/>
        <w:tab w:val="decimal" w:pos="8443"/>
      </w:tabs>
      <w:ind w:right="442"/>
      <w:jc w:val="both"/>
    </w:pPr>
    <w:rPr>
      <w:rFonts w:ascii="Palatino Linotype" w:hAnsi="Palatino Linotype" w:cs="Times New Roman"/>
      <w:lang w:val="en-GB"/>
    </w:rPr>
  </w:style>
  <w:style w:type="paragraph" w:customStyle="1" w:styleId="consoyearheads">
    <w:name w:val="conso yearheads"/>
    <w:basedOn w:val="main0"/>
    <w:uiPriority w:val="99"/>
    <w:rsid w:val="008C580E"/>
    <w:pPr>
      <w:tabs>
        <w:tab w:val="clear" w:pos="301"/>
        <w:tab w:val="clear" w:pos="539"/>
        <w:tab w:val="clear" w:pos="839"/>
        <w:tab w:val="clear" w:pos="5103"/>
        <w:tab w:val="clear" w:pos="7002"/>
        <w:tab w:val="clear" w:pos="8443"/>
        <w:tab w:val="left" w:pos="300"/>
        <w:tab w:val="left" w:pos="580"/>
        <w:tab w:val="left" w:pos="840"/>
        <w:tab w:val="center" w:pos="2660"/>
        <w:tab w:val="center" w:pos="3880"/>
        <w:tab w:val="center" w:pos="5260"/>
        <w:tab w:val="center" w:pos="6620"/>
        <w:tab w:val="center" w:pos="7980"/>
      </w:tabs>
      <w:overflowPunct w:val="0"/>
      <w:autoSpaceDE w:val="0"/>
      <w:autoSpaceDN w:val="0"/>
      <w:adjustRightInd w:val="0"/>
      <w:ind w:left="20" w:right="275"/>
      <w:textAlignment w:val="baseline"/>
    </w:pPr>
    <w:rPr>
      <w:b/>
      <w:szCs w:val="20"/>
    </w:rPr>
  </w:style>
  <w:style w:type="paragraph" w:customStyle="1" w:styleId="AccountingPolicyIndent">
    <w:name w:val="Accounting Policy Indent"/>
    <w:basedOn w:val="Normal"/>
    <w:uiPriority w:val="99"/>
    <w:rsid w:val="008C580E"/>
    <w:pPr>
      <w:widowControl w:val="0"/>
      <w:tabs>
        <w:tab w:val="left" w:pos="1531"/>
        <w:tab w:val="left" w:pos="1871"/>
      </w:tabs>
      <w:suppressAutoHyphens/>
      <w:autoSpaceDE w:val="0"/>
      <w:autoSpaceDN w:val="0"/>
      <w:adjustRightInd w:val="0"/>
      <w:spacing w:line="260" w:lineRule="atLeast"/>
      <w:ind w:left="1871" w:hanging="1871"/>
      <w:textAlignment w:val="center"/>
    </w:pPr>
    <w:rPr>
      <w:rFonts w:ascii="Univers 45 Light" w:hAnsi="Univers 45 Light" w:cs="Univers 45 Light"/>
      <w:color w:val="000000"/>
      <w:szCs w:val="20"/>
      <w:lang w:val="en-GB"/>
    </w:rPr>
  </w:style>
  <w:style w:type="table" w:customStyle="1" w:styleId="TableGrid20">
    <w:name w:val="Table Grid2"/>
    <w:basedOn w:val="TableNormal"/>
    <w:next w:val="TableGrid"/>
    <w:uiPriority w:val="3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indent">
    <w:name w:val="1indent"/>
    <w:basedOn w:val="BodyText"/>
    <w:uiPriority w:val="99"/>
    <w:rsid w:val="008C580E"/>
    <w:pPr>
      <w:keepLines/>
      <w:tabs>
        <w:tab w:val="left" w:pos="227"/>
        <w:tab w:val="left" w:pos="454"/>
        <w:tab w:val="left" w:pos="680"/>
        <w:tab w:val="left" w:pos="907"/>
        <w:tab w:val="center" w:pos="5330"/>
        <w:tab w:val="decimal" w:pos="7031"/>
        <w:tab w:val="decimal" w:pos="8392"/>
      </w:tabs>
      <w:spacing w:before="130" w:after="130"/>
      <w:ind w:left="454" w:hanging="454"/>
      <w:jc w:val="both"/>
    </w:pPr>
    <w:rPr>
      <w:rFonts w:eastAsia="SimSun" w:cs="Times New Roman"/>
      <w:sz w:val="22"/>
      <w:szCs w:val="20"/>
      <w:lang w:val="en-GB"/>
    </w:rPr>
  </w:style>
  <w:style w:type="table" w:customStyle="1" w:styleId="TableGrid30">
    <w:name w:val="Table Grid3"/>
    <w:basedOn w:val="TableNormal"/>
    <w:next w:val="TableGrid"/>
    <w:uiPriority w:val="3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rsid w:val="008C580E"/>
    <w:pPr>
      <w:tabs>
        <w:tab w:val="left" w:pos="1440"/>
        <w:tab w:val="left" w:pos="2340"/>
        <w:tab w:val="left" w:pos="3060"/>
      </w:tabs>
      <w:autoSpaceDE w:val="0"/>
      <w:autoSpaceDN w:val="0"/>
      <w:adjustRightInd w:val="0"/>
      <w:spacing w:after="240"/>
      <w:ind w:left="1440" w:hanging="360"/>
      <w:jc w:val="both"/>
      <w:outlineLvl w:val="1"/>
    </w:pPr>
    <w:rPr>
      <w:rFonts w:eastAsia="MS Mincho" w:cs="Times New Roman"/>
      <w:sz w:val="24"/>
      <w:lang w:val="en-GB" w:eastAsia="ja-JP"/>
    </w:rPr>
  </w:style>
  <w:style w:type="table" w:customStyle="1" w:styleId="TableGrid50">
    <w:name w:val="Table Grid5"/>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tab">
    <w:name w:val="fatab"/>
    <w:basedOn w:val="Normal"/>
    <w:rsid w:val="008C580E"/>
    <w:pPr>
      <w:tabs>
        <w:tab w:val="decimal" w:pos="900"/>
      </w:tabs>
      <w:ind w:right="36"/>
    </w:pPr>
    <w:rPr>
      <w:rFonts w:cs="Times New Roman"/>
      <w:szCs w:val="20"/>
    </w:rPr>
  </w:style>
  <w:style w:type="table" w:customStyle="1" w:styleId="TableGrid60">
    <w:name w:val="Table Grid6"/>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8C580E"/>
    <w:rPr>
      <w:spacing w:val="0"/>
      <w:u w:val="double"/>
    </w:rPr>
  </w:style>
  <w:style w:type="table" w:customStyle="1" w:styleId="TableGrid80">
    <w:name w:val="Table Grid8"/>
    <w:basedOn w:val="TableNormal"/>
    <w:next w:val="TableGrid"/>
    <w:uiPriority w:val="59"/>
    <w:rsid w:val="008C580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1">
    <w:name w:val="Colorful Grid11"/>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1">
    <w:name w:val="Colorful List11"/>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1">
    <w:name w:val="Colorful Shading11"/>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1">
    <w:name w:val="Dark List11"/>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1">
    <w:name w:val="Light Grid11"/>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
    <w:name w:val="Light Grid - Accent 111"/>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1">
    <w:name w:val="Light List11"/>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1">
    <w:name w:val="Light Shading11"/>
    <w:basedOn w:val="TableNormal"/>
    <w:uiPriority w:val="60"/>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8C580E"/>
    <w:pPr>
      <w:spacing w:after="0" w:line="240" w:lineRule="auto"/>
    </w:pPr>
    <w:rPr>
      <w:rFonts w:ascii="Times New Roman" w:eastAsia="Times New Roman" w:hAnsi="Times New Roman" w:cs="Arial"/>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8C580E"/>
    <w:pPr>
      <w:spacing w:after="0" w:line="240" w:lineRule="auto"/>
    </w:pPr>
    <w:rPr>
      <w:rFonts w:ascii="Times New Roman" w:eastAsia="Times New Roman" w:hAnsi="Times New Roman" w:cs="Arial"/>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8C580E"/>
    <w:pPr>
      <w:spacing w:after="0" w:line="240" w:lineRule="auto"/>
    </w:pPr>
    <w:rPr>
      <w:rFonts w:ascii="Times New Roman" w:eastAsia="Times New Roman" w:hAnsi="Times New Roman" w:cs="Arial"/>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8C580E"/>
    <w:pPr>
      <w:spacing w:after="0" w:line="240" w:lineRule="auto"/>
    </w:pPr>
    <w:rPr>
      <w:rFonts w:ascii="Times New Roman" w:eastAsia="Times New Roman" w:hAnsi="Times New Roman" w:cs="Arial"/>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8C580E"/>
    <w:pPr>
      <w:spacing w:after="0" w:line="240" w:lineRule="auto"/>
    </w:pPr>
    <w:rPr>
      <w:rFonts w:ascii="Times New Roman" w:eastAsia="Times New Roman" w:hAnsi="Times New Roman" w:cs="Arial"/>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8C580E"/>
    <w:pPr>
      <w:spacing w:after="0" w:line="240" w:lineRule="auto"/>
    </w:pPr>
    <w:rPr>
      <w:rFonts w:ascii="Times New Roman" w:eastAsia="Times New Roman" w:hAnsi="Times New Roman" w:cs="Arial"/>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1">
    <w:name w:val="Medium Grid 111"/>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1">
    <w:name w:val="Medium Grid 211"/>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1">
    <w:name w:val="Medium Grid 311"/>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1">
    <w:name w:val="Medium List 111"/>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
    <w:name w:val="Medium List 1 - Accent 111"/>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1">
    <w:name w:val="Medium List 211"/>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1">
    <w:name w:val="Medium Shading 111"/>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
    <w:name w:val="Medium Shading 2 - Accent 111"/>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8C580E"/>
    <w:pPr>
      <w:spacing w:after="0" w:line="240" w:lineRule="auto"/>
    </w:pPr>
    <w:rPr>
      <w:rFonts w:ascii="Times New Roman" w:eastAsia="Times New Roman" w:hAnsi="Times New Roman" w:cs="Arial"/>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8C580E"/>
    <w:pPr>
      <w:spacing w:after="0" w:line="240" w:lineRule="auto"/>
    </w:pPr>
    <w:rPr>
      <w:rFonts w:ascii="Times New Roman" w:eastAsia="Times New Roman" w:hAnsi="Times New Roman" w:cs="Arial"/>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8C580E"/>
    <w:pPr>
      <w:spacing w:after="0" w:line="240" w:lineRule="auto"/>
    </w:pPr>
    <w:rPr>
      <w:rFonts w:ascii="Times New Roman" w:eastAsia="Times New Roman" w:hAnsi="Times New Roman" w:cs="Arial"/>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8C580E"/>
    <w:pPr>
      <w:spacing w:after="0" w:line="240" w:lineRule="auto"/>
    </w:pPr>
    <w:rPr>
      <w:rFonts w:ascii="Times New Roman" w:eastAsia="Times New Roman" w:hAnsi="Times New Roman" w:cs="Arial"/>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uiPriority w:val="59"/>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8C580E"/>
    <w:pPr>
      <w:spacing w:after="0" w:line="240" w:lineRule="auto"/>
    </w:pPr>
    <w:rPr>
      <w:rFonts w:ascii="Times New Roman" w:eastAsia="Times New Roman" w:hAnsi="Times New Roman" w:cs="Arial"/>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8C580E"/>
    <w:pPr>
      <w:spacing w:after="0" w:line="240" w:lineRule="auto"/>
    </w:pPr>
    <w:rPr>
      <w:rFonts w:ascii="Times New Roman" w:eastAsia="Times New Roman" w:hAnsi="Times New Roman" w:cs="Arial"/>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8C580E"/>
    <w:pPr>
      <w:spacing w:after="0" w:line="240" w:lineRule="auto"/>
    </w:pPr>
    <w:rPr>
      <w:rFonts w:ascii="Times New Roman" w:eastAsia="Times New Roman" w:hAnsi="Times New Roman" w:cs="Arial"/>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0">
    <w:name w:val="Table Grid1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
    <w:basedOn w:val="TableNormal"/>
    <w:next w:val="TableGrid"/>
    <w:uiPriority w:val="59"/>
    <w:rsid w:val="008C580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2">
    <w:name w:val="Colorful Grid12"/>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2">
    <w:name w:val="Colorful List12"/>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2">
    <w:name w:val="Colorful Shading12"/>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2">
    <w:name w:val="Dark List12"/>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2">
    <w:name w:val="Light Grid12"/>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
    <w:name w:val="Light Grid - Accent 112"/>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2">
    <w:name w:val="Light List12"/>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2">
    <w:name w:val="Light List - Accent 112"/>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2">
    <w:name w:val="Light Shading12"/>
    <w:basedOn w:val="TableNormal"/>
    <w:uiPriority w:val="60"/>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uiPriority w:val="60"/>
    <w:rsid w:val="008C580E"/>
    <w:pPr>
      <w:spacing w:after="0" w:line="240" w:lineRule="auto"/>
    </w:pPr>
    <w:rPr>
      <w:rFonts w:ascii="Times New Roman" w:eastAsia="Times New Roman" w:hAnsi="Times New Roman" w:cs="Arial"/>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8C580E"/>
    <w:pPr>
      <w:spacing w:after="0" w:line="240" w:lineRule="auto"/>
    </w:pPr>
    <w:rPr>
      <w:rFonts w:ascii="Times New Roman" w:eastAsia="Times New Roman" w:hAnsi="Times New Roman" w:cs="Arial"/>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8C580E"/>
    <w:pPr>
      <w:spacing w:after="0" w:line="240" w:lineRule="auto"/>
    </w:pPr>
    <w:rPr>
      <w:rFonts w:ascii="Times New Roman" w:eastAsia="Times New Roman" w:hAnsi="Times New Roman" w:cs="Arial"/>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8C580E"/>
    <w:pPr>
      <w:spacing w:after="0" w:line="240" w:lineRule="auto"/>
    </w:pPr>
    <w:rPr>
      <w:rFonts w:ascii="Times New Roman" w:eastAsia="Times New Roman" w:hAnsi="Times New Roman" w:cs="Arial"/>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8C580E"/>
    <w:pPr>
      <w:spacing w:after="0" w:line="240" w:lineRule="auto"/>
    </w:pPr>
    <w:rPr>
      <w:rFonts w:ascii="Times New Roman" w:eastAsia="Times New Roman" w:hAnsi="Times New Roman" w:cs="Arial"/>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8C580E"/>
    <w:pPr>
      <w:spacing w:after="0" w:line="240" w:lineRule="auto"/>
    </w:pPr>
    <w:rPr>
      <w:rFonts w:ascii="Times New Roman" w:eastAsia="Times New Roman" w:hAnsi="Times New Roman" w:cs="Arial"/>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2">
    <w:name w:val="Medium Grid 112"/>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2">
    <w:name w:val="Medium Grid 212"/>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2">
    <w:name w:val="Medium Grid 312"/>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2">
    <w:name w:val="Medium List 112"/>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2">
    <w:name w:val="Medium List 1 - Accent 112"/>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2">
    <w:name w:val="Medium List 212"/>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2">
    <w:name w:val="Medium Shading 112"/>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2">
    <w:name w:val="Medium Shading 1 - Accent 112"/>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2">
    <w:name w:val="Medium Shading 212"/>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2">
    <w:name w:val="Medium Shading 2 - Accent 112"/>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2">
    <w:name w:val="Table 3D effects 12"/>
    <w:basedOn w:val="TableNormal"/>
    <w:next w:val="Table3Deffects1"/>
    <w:uiPriority w:val="99"/>
    <w:semiHidden/>
    <w:unhideWhenUsed/>
    <w:rsid w:val="008C580E"/>
    <w:pPr>
      <w:spacing w:after="0" w:line="240" w:lineRule="auto"/>
    </w:pPr>
    <w:rPr>
      <w:rFonts w:ascii="Times New Roman" w:eastAsia="Times New Roman" w:hAnsi="Times New Roman" w:cs="Arial"/>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unhideWhenUsed/>
    <w:rsid w:val="008C580E"/>
    <w:pPr>
      <w:spacing w:after="0" w:line="240" w:lineRule="auto"/>
    </w:pPr>
    <w:rPr>
      <w:rFonts w:ascii="Times New Roman" w:eastAsia="Times New Roman" w:hAnsi="Times New Roman" w:cs="Arial"/>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uiPriority w:val="99"/>
    <w:semiHidden/>
    <w:unhideWhenUsed/>
    <w:rsid w:val="008C580E"/>
    <w:pPr>
      <w:spacing w:after="0" w:line="240" w:lineRule="auto"/>
    </w:pPr>
    <w:rPr>
      <w:rFonts w:ascii="Times New Roman" w:eastAsia="Times New Roman" w:hAnsi="Times New Roman" w:cs="Arial"/>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uiPriority w:val="99"/>
    <w:semiHidden/>
    <w:unhideWhenUsed/>
    <w:rsid w:val="008C580E"/>
    <w:pPr>
      <w:spacing w:after="0" w:line="240" w:lineRule="auto"/>
    </w:pPr>
    <w:rPr>
      <w:rFonts w:ascii="Times New Roman" w:eastAsia="Times New Roman" w:hAnsi="Times New Roman" w:cs="Arial"/>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0">
    <w:name w:val="Table Grid10"/>
    <w:basedOn w:val="TableNormal"/>
    <w:next w:val="TableGrid"/>
    <w:uiPriority w:val="59"/>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 12"/>
    <w:basedOn w:val="TableNormal"/>
    <w:next w:val="TableGrid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uiPriority w:val="99"/>
    <w:semiHidden/>
    <w:unhideWhenUsed/>
    <w:rsid w:val="008C580E"/>
    <w:pPr>
      <w:spacing w:after="0" w:line="240" w:lineRule="auto"/>
    </w:pPr>
    <w:rPr>
      <w:rFonts w:ascii="Times New Roman" w:eastAsia="Times New Roman" w:hAnsi="Times New Roman" w:cs="Arial"/>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unhideWhenUsed/>
    <w:rsid w:val="008C580E"/>
    <w:pPr>
      <w:spacing w:after="0" w:line="240" w:lineRule="auto"/>
    </w:pPr>
    <w:rPr>
      <w:rFonts w:ascii="Times New Roman" w:eastAsia="Times New Roman" w:hAnsi="Times New Roman" w:cs="Arial"/>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unhideWhenUsed/>
    <w:rsid w:val="008C580E"/>
    <w:pPr>
      <w:spacing w:after="0" w:line="240" w:lineRule="auto"/>
    </w:pPr>
    <w:rPr>
      <w:rFonts w:ascii="Times New Roman" w:eastAsia="Times New Roman" w:hAnsi="Times New Roman" w:cs="Arial"/>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0">
    <w:name w:val="Table Grid12"/>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0">
    <w:name w:val="Table Grid62"/>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uiPriority w:val="59"/>
    <w:rsid w:val="008C580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8C580E"/>
  </w:style>
  <w:style w:type="character" w:customStyle="1" w:styleId="shorttext">
    <w:name w:val="short_text"/>
    <w:basedOn w:val="DefaultParagraphFont"/>
    <w:rsid w:val="008C580E"/>
  </w:style>
  <w:style w:type="table" w:customStyle="1" w:styleId="TableGrid13">
    <w:name w:val="Table Grid13"/>
    <w:basedOn w:val="TableNormal"/>
    <w:next w:val="TableGrid"/>
    <w:uiPriority w:val="59"/>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C580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HEAD">
    <w:name w:val="PAGEHEAD"/>
    <w:basedOn w:val="Normal"/>
    <w:rsid w:val="008C580E"/>
    <w:pPr>
      <w:widowControl w:val="0"/>
    </w:pPr>
    <w:rPr>
      <w:rFonts w:cs="Times New Roman"/>
      <w:b/>
      <w:bCs/>
      <w:noProof/>
      <w:szCs w:val="20"/>
    </w:rPr>
  </w:style>
  <w:style w:type="paragraph" w:customStyle="1" w:styleId="NormalNormal1">
    <w:name w:val="Normal.Normal1"/>
    <w:rsid w:val="008C580E"/>
    <w:pPr>
      <w:widowControl w:val="0"/>
      <w:spacing w:after="0" w:line="240" w:lineRule="auto"/>
    </w:pPr>
    <w:rPr>
      <w:rFonts w:ascii="Times New Roman" w:eastAsia="Times New Roman" w:hAnsi="Times New Roman" w:cs="Times New Roman"/>
      <w:sz w:val="20"/>
      <w:szCs w:val="20"/>
      <w:lang w:val="en-GB"/>
    </w:rPr>
  </w:style>
  <w:style w:type="character" w:customStyle="1" w:styleId="atn">
    <w:name w:val="atn"/>
    <w:basedOn w:val="DefaultParagraphFont"/>
    <w:rsid w:val="008C580E"/>
  </w:style>
  <w:style w:type="table" w:customStyle="1" w:styleId="TableGrid15">
    <w:name w:val="Table Grid15"/>
    <w:basedOn w:val="TableNormal"/>
    <w:next w:val="TableGrid"/>
    <w:uiPriority w:val="59"/>
    <w:rsid w:val="008C580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580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8C580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580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580E"/>
    <w:pPr>
      <w:spacing w:after="0" w:line="240" w:lineRule="auto"/>
    </w:pPr>
    <w:rPr>
      <w:rFonts w:ascii="Times New Roman" w:eastAsia="Times New Roman" w:hAnsi="Times New Roman" w:cs="Arial"/>
      <w:sz w:val="20"/>
      <w:szCs w:val="24"/>
    </w:rPr>
  </w:style>
  <w:style w:type="character" w:customStyle="1" w:styleId="MSGENFONTSTYLENAMETEMPLATEROLELEVELMSGENFONTSTYLENAMEBYROLEHEADING4">
    <w:name w:val="MSG_EN_FONT_STYLE_NAME_TEMPLATE_ROLE_LEVEL MSG_EN_FONT_STYLE_NAME_BY_ROLE_HEADING 4"/>
    <w:basedOn w:val="DefaultParagraphFont"/>
    <w:rsid w:val="008C580E"/>
    <w:rPr>
      <w:rFonts w:ascii="Arial" w:eastAsia="Arial" w:hAnsi="Arial" w:cs="Arial" w:hint="default"/>
      <w:b w:val="0"/>
      <w:bCs w:val="0"/>
      <w:i w:val="0"/>
      <w:iCs w:val="0"/>
      <w:smallCaps w:val="0"/>
      <w:strike w:val="0"/>
      <w:dstrike w:val="0"/>
      <w:color w:val="00BFDF"/>
      <w:spacing w:val="0"/>
      <w:w w:val="100"/>
      <w:position w:val="0"/>
      <w:sz w:val="15"/>
      <w:szCs w:val="15"/>
      <w:u w:val="none"/>
      <w:effect w:val="none"/>
      <w:lang w:val="en-GB"/>
    </w:rPr>
  </w:style>
  <w:style w:type="paragraph" w:customStyle="1" w:styleId="19xx">
    <w:name w:val="19xx"/>
    <w:basedOn w:val="Normal"/>
    <w:rsid w:val="008C580E"/>
    <w:pPr>
      <w:overflowPunct w:val="0"/>
      <w:autoSpaceDE w:val="0"/>
      <w:autoSpaceDN w:val="0"/>
      <w:adjustRightInd w:val="0"/>
      <w:textAlignment w:val="baseline"/>
    </w:pPr>
    <w:rPr>
      <w:rFonts w:cs="Times New Roman"/>
      <w:i/>
      <w:spacing w:val="-2"/>
      <w:szCs w:val="20"/>
    </w:rPr>
  </w:style>
  <w:style w:type="character" w:customStyle="1" w:styleId="Heading20">
    <w:name w:val="Heading #2_"/>
    <w:basedOn w:val="DefaultParagraphFont"/>
    <w:link w:val="Heading21"/>
    <w:rsid w:val="008C580E"/>
    <w:rPr>
      <w:rFonts w:ascii="Arial" w:eastAsia="Arial" w:hAnsi="Arial" w:cs="Arial"/>
      <w:b/>
      <w:bCs/>
      <w:sz w:val="34"/>
      <w:szCs w:val="34"/>
      <w:shd w:val="clear" w:color="auto" w:fill="FFFFFF"/>
    </w:rPr>
  </w:style>
  <w:style w:type="character" w:customStyle="1" w:styleId="Bodytext31">
    <w:name w:val="Body text (3)_"/>
    <w:basedOn w:val="DefaultParagraphFont"/>
    <w:link w:val="Bodytext32"/>
    <w:rsid w:val="008C580E"/>
    <w:rPr>
      <w:rFonts w:ascii="Arial" w:eastAsia="Arial" w:hAnsi="Arial" w:cs="Arial"/>
      <w:b/>
      <w:bCs/>
      <w:shd w:val="clear" w:color="auto" w:fill="FFFFFF"/>
    </w:rPr>
  </w:style>
  <w:style w:type="character" w:customStyle="1" w:styleId="Bodytext40">
    <w:name w:val="Body text (4)_"/>
    <w:basedOn w:val="DefaultParagraphFont"/>
    <w:link w:val="Bodytext41"/>
    <w:rsid w:val="008C580E"/>
    <w:rPr>
      <w:rFonts w:ascii="Arial" w:eastAsia="Arial" w:hAnsi="Arial" w:cs="Arial"/>
      <w:b/>
      <w:bCs/>
      <w:sz w:val="19"/>
      <w:szCs w:val="19"/>
      <w:shd w:val="clear" w:color="auto" w:fill="FFFFFF"/>
    </w:rPr>
  </w:style>
  <w:style w:type="character" w:customStyle="1" w:styleId="Bodytext5Exact">
    <w:name w:val="Body text (5) Exact"/>
    <w:basedOn w:val="DefaultParagraphFont"/>
    <w:rsid w:val="008C580E"/>
    <w:rPr>
      <w:rFonts w:ascii="Arial Narrow" w:eastAsia="Arial Narrow" w:hAnsi="Arial Narrow" w:cs="Arial Narrow"/>
      <w:b/>
      <w:bCs/>
      <w:i w:val="0"/>
      <w:iCs w:val="0"/>
      <w:smallCaps w:val="0"/>
      <w:strike w:val="0"/>
      <w:sz w:val="15"/>
      <w:szCs w:val="15"/>
      <w:u w:val="none"/>
    </w:rPr>
  </w:style>
  <w:style w:type="character" w:customStyle="1" w:styleId="Bodytext3Exact">
    <w:name w:val="Body text (3) Exact"/>
    <w:basedOn w:val="DefaultParagraphFont"/>
    <w:rsid w:val="008C580E"/>
    <w:rPr>
      <w:rFonts w:ascii="Arial" w:eastAsia="Arial" w:hAnsi="Arial" w:cs="Arial"/>
      <w:b/>
      <w:bCs/>
      <w:i w:val="0"/>
      <w:iCs w:val="0"/>
      <w:smallCaps w:val="0"/>
      <w:strike w:val="0"/>
      <w:sz w:val="22"/>
      <w:szCs w:val="22"/>
      <w:u w:val="none"/>
    </w:rPr>
  </w:style>
  <w:style w:type="character" w:customStyle="1" w:styleId="Bodytext2Exact">
    <w:name w:val="Body text (2) Exact"/>
    <w:basedOn w:val="DefaultParagraphFont"/>
    <w:rsid w:val="008C580E"/>
    <w:rPr>
      <w:rFonts w:ascii="Arial" w:eastAsia="Arial" w:hAnsi="Arial" w:cs="Arial"/>
      <w:b w:val="0"/>
      <w:bCs w:val="0"/>
      <w:i w:val="0"/>
      <w:iCs w:val="0"/>
      <w:smallCaps w:val="0"/>
      <w:strike w:val="0"/>
      <w:sz w:val="17"/>
      <w:szCs w:val="17"/>
      <w:u w:val="none"/>
    </w:rPr>
  </w:style>
  <w:style w:type="character" w:customStyle="1" w:styleId="Bodytext9Exact">
    <w:name w:val="Body text (9) Exact"/>
    <w:basedOn w:val="DefaultParagraphFont"/>
    <w:rsid w:val="008C580E"/>
    <w:rPr>
      <w:rFonts w:ascii="Tahoma" w:eastAsia="Tahoma" w:hAnsi="Tahoma" w:cs="Tahoma"/>
      <w:b/>
      <w:bCs/>
      <w:i w:val="0"/>
      <w:iCs w:val="0"/>
      <w:smallCaps w:val="0"/>
      <w:strike w:val="0"/>
      <w:sz w:val="13"/>
      <w:szCs w:val="13"/>
      <w:u w:val="none"/>
    </w:rPr>
  </w:style>
  <w:style w:type="character" w:customStyle="1" w:styleId="Picturecaption2Exact">
    <w:name w:val="Picture caption (2) Exact"/>
    <w:basedOn w:val="DefaultParagraphFont"/>
    <w:link w:val="Picturecaption2"/>
    <w:rsid w:val="008C580E"/>
    <w:rPr>
      <w:rFonts w:ascii="Arial" w:eastAsia="Arial" w:hAnsi="Arial" w:cs="Arial"/>
      <w:sz w:val="19"/>
      <w:szCs w:val="19"/>
      <w:shd w:val="clear" w:color="auto" w:fill="FFFFFF"/>
    </w:rPr>
  </w:style>
  <w:style w:type="character" w:customStyle="1" w:styleId="Picturecaption3Exact">
    <w:name w:val="Picture caption (3) Exact"/>
    <w:basedOn w:val="DefaultParagraphFont"/>
    <w:link w:val="Picturecaption3"/>
    <w:rsid w:val="008C580E"/>
    <w:rPr>
      <w:rFonts w:ascii="David" w:eastAsia="David" w:hAnsi="David" w:cs="David"/>
      <w:b/>
      <w:bCs/>
      <w:sz w:val="15"/>
      <w:szCs w:val="15"/>
      <w:shd w:val="clear" w:color="auto" w:fill="FFFFFF"/>
    </w:rPr>
  </w:style>
  <w:style w:type="character" w:customStyle="1" w:styleId="Picturecaption3ArialNarrow7ptNotBoldExact">
    <w:name w:val="Picture caption (3) + Arial Narrow.7 pt.Not Bold Exact"/>
    <w:basedOn w:val="Picturecaption3Exact"/>
    <w:rsid w:val="008C580E"/>
    <w:rPr>
      <w:rFonts w:ascii="Arial Narrow" w:eastAsia="Arial Narrow" w:hAnsi="Arial Narrow" w:cs="Arial Narrow"/>
      <w:b/>
      <w:bCs/>
      <w:color w:val="526C9A"/>
      <w:spacing w:val="0"/>
      <w:w w:val="100"/>
      <w:position w:val="0"/>
      <w:sz w:val="14"/>
      <w:szCs w:val="14"/>
      <w:shd w:val="clear" w:color="auto" w:fill="FFFFFF"/>
      <w:lang w:val="en-US" w:eastAsia="en-US" w:bidi="en-US"/>
    </w:rPr>
  </w:style>
  <w:style w:type="character" w:customStyle="1" w:styleId="Picturecaption4Exact">
    <w:name w:val="Picture caption (4) Exact"/>
    <w:basedOn w:val="DefaultParagraphFont"/>
    <w:link w:val="Picturecaption4"/>
    <w:rsid w:val="008C580E"/>
    <w:rPr>
      <w:rFonts w:ascii="Arial" w:eastAsia="Arial" w:hAnsi="Arial" w:cs="Arial"/>
      <w:b/>
      <w:bCs/>
      <w:i/>
      <w:iCs/>
      <w:shd w:val="clear" w:color="auto" w:fill="FFFFFF"/>
    </w:rPr>
  </w:style>
  <w:style w:type="character" w:customStyle="1" w:styleId="Picturecaption4ArialNarrowNotBoldNotItalicExact">
    <w:name w:val="Picture caption (4) + Arial Narrow.Not Bold.Not Italic Exact"/>
    <w:basedOn w:val="Picturecaption4Exact"/>
    <w:rsid w:val="008C580E"/>
    <w:rPr>
      <w:rFonts w:ascii="Arial Narrow" w:eastAsia="Arial Narrow" w:hAnsi="Arial Narrow" w:cs="Arial Narrow"/>
      <w:b/>
      <w:bCs/>
      <w:i/>
      <w:iCs/>
      <w:color w:val="526C9A"/>
      <w:spacing w:val="0"/>
      <w:w w:val="100"/>
      <w:position w:val="0"/>
      <w:shd w:val="clear" w:color="auto" w:fill="FFFFFF"/>
      <w:lang w:val="en-US" w:eastAsia="en-US" w:bidi="en-US"/>
    </w:rPr>
  </w:style>
  <w:style w:type="character" w:customStyle="1" w:styleId="Picturecaption4SmallCapsExact">
    <w:name w:val="Picture caption (4) + Small Caps Exact"/>
    <w:basedOn w:val="Picturecaption4Exact"/>
    <w:rsid w:val="008C580E"/>
    <w:rPr>
      <w:rFonts w:ascii="Arial" w:eastAsia="Arial" w:hAnsi="Arial" w:cs="Arial"/>
      <w:b/>
      <w:bCs/>
      <w:i/>
      <w:iCs/>
      <w:smallCaps/>
      <w:color w:val="526C9A"/>
      <w:spacing w:val="0"/>
      <w:w w:val="100"/>
      <w:position w:val="0"/>
      <w:shd w:val="clear" w:color="auto" w:fill="FFFFFF"/>
      <w:lang w:val="en-US" w:eastAsia="en-US" w:bidi="en-US"/>
    </w:rPr>
  </w:style>
  <w:style w:type="character" w:customStyle="1" w:styleId="Picturecaption5Exact">
    <w:name w:val="Picture caption (5) Exact"/>
    <w:basedOn w:val="DefaultParagraphFont"/>
    <w:link w:val="Picturecaption5"/>
    <w:rsid w:val="008C580E"/>
    <w:rPr>
      <w:rFonts w:ascii="Arial" w:eastAsia="Arial" w:hAnsi="Arial" w:cs="Arial"/>
      <w:b/>
      <w:bCs/>
      <w:sz w:val="12"/>
      <w:szCs w:val="12"/>
      <w:shd w:val="clear" w:color="auto" w:fill="FFFFFF"/>
    </w:rPr>
  </w:style>
  <w:style w:type="character" w:customStyle="1" w:styleId="Bodytext12Exact">
    <w:name w:val="Body text (12) Exact"/>
    <w:basedOn w:val="DefaultParagraphFont"/>
    <w:link w:val="Bodytext12"/>
    <w:rsid w:val="008C580E"/>
    <w:rPr>
      <w:rFonts w:ascii="Arial" w:eastAsia="Arial" w:hAnsi="Arial" w:cs="Arial"/>
      <w:b/>
      <w:bCs/>
      <w:sz w:val="12"/>
      <w:szCs w:val="12"/>
      <w:shd w:val="clear" w:color="auto" w:fill="FFFFFF"/>
    </w:rPr>
  </w:style>
  <w:style w:type="character" w:customStyle="1" w:styleId="Bodytext50">
    <w:name w:val="Body text (5)_"/>
    <w:basedOn w:val="DefaultParagraphFont"/>
    <w:link w:val="Bodytext51"/>
    <w:rsid w:val="008C580E"/>
    <w:rPr>
      <w:rFonts w:ascii="Arial Narrow" w:eastAsia="Arial Narrow" w:hAnsi="Arial Narrow" w:cs="Arial Narrow"/>
      <w:b/>
      <w:bCs/>
      <w:sz w:val="15"/>
      <w:szCs w:val="15"/>
      <w:shd w:val="clear" w:color="auto" w:fill="FFFFFF"/>
    </w:rPr>
  </w:style>
  <w:style w:type="character" w:customStyle="1" w:styleId="Bodytext60">
    <w:name w:val="Body text (6)_"/>
    <w:basedOn w:val="DefaultParagraphFont"/>
    <w:link w:val="Bodytext61"/>
    <w:rsid w:val="008C580E"/>
    <w:rPr>
      <w:rFonts w:ascii="Arial Narrow" w:eastAsia="Arial Narrow" w:hAnsi="Arial Narrow" w:cs="Arial Narrow"/>
      <w:b/>
      <w:bCs/>
      <w:i/>
      <w:iCs/>
      <w:shd w:val="clear" w:color="auto" w:fill="FFFFFF"/>
    </w:rPr>
  </w:style>
  <w:style w:type="character" w:customStyle="1" w:styleId="Bodytext70">
    <w:name w:val="Body text (7)_"/>
    <w:basedOn w:val="DefaultParagraphFont"/>
    <w:link w:val="Bodytext71"/>
    <w:rsid w:val="008C580E"/>
    <w:rPr>
      <w:rFonts w:ascii="Arial" w:eastAsia="Arial" w:hAnsi="Arial" w:cs="Arial"/>
      <w:b/>
      <w:bCs/>
      <w:sz w:val="17"/>
      <w:szCs w:val="17"/>
      <w:shd w:val="clear" w:color="auto" w:fill="FFFFFF"/>
    </w:rPr>
  </w:style>
  <w:style w:type="character" w:customStyle="1" w:styleId="Bodytext7ArialNarrow10ptItalic">
    <w:name w:val="Body text (7) + Arial Narrow.10 pt.Italic"/>
    <w:basedOn w:val="Bodytext70"/>
    <w:rsid w:val="008C580E"/>
    <w:rPr>
      <w:rFonts w:ascii="Arial Narrow" w:eastAsia="Arial Narrow" w:hAnsi="Arial Narrow" w:cs="Arial Narrow"/>
      <w:b/>
      <w:bCs/>
      <w:i/>
      <w:iCs/>
      <w:color w:val="000000"/>
      <w:spacing w:val="0"/>
      <w:w w:val="100"/>
      <w:position w:val="0"/>
      <w:sz w:val="20"/>
      <w:szCs w:val="20"/>
      <w:shd w:val="clear" w:color="auto" w:fill="FFFFFF"/>
      <w:lang w:val="en-US" w:eastAsia="en-US" w:bidi="en-US"/>
    </w:rPr>
  </w:style>
  <w:style w:type="character" w:customStyle="1" w:styleId="Bodytext8">
    <w:name w:val="Body text (8)_"/>
    <w:basedOn w:val="DefaultParagraphFont"/>
    <w:link w:val="Bodytext80"/>
    <w:rsid w:val="008C580E"/>
    <w:rPr>
      <w:rFonts w:ascii="Arial" w:eastAsia="Arial" w:hAnsi="Arial" w:cs="Arial"/>
      <w:b/>
      <w:bCs/>
      <w:sz w:val="9"/>
      <w:szCs w:val="9"/>
      <w:shd w:val="clear" w:color="auto" w:fill="FFFFFF"/>
    </w:rPr>
  </w:style>
  <w:style w:type="character" w:customStyle="1" w:styleId="Heading10">
    <w:name w:val="Heading #1_"/>
    <w:basedOn w:val="DefaultParagraphFont"/>
    <w:link w:val="Heading11"/>
    <w:rsid w:val="008C580E"/>
    <w:rPr>
      <w:rFonts w:ascii="Tahoma" w:eastAsia="Tahoma" w:hAnsi="Tahoma" w:cs="Tahoma"/>
      <w:b/>
      <w:bCs/>
      <w:sz w:val="58"/>
      <w:szCs w:val="58"/>
      <w:shd w:val="clear" w:color="auto" w:fill="FFFFFF"/>
    </w:rPr>
  </w:style>
  <w:style w:type="character" w:customStyle="1" w:styleId="Bodytext9">
    <w:name w:val="Body text (9)_"/>
    <w:basedOn w:val="DefaultParagraphFont"/>
    <w:link w:val="Bodytext90"/>
    <w:rsid w:val="008C580E"/>
    <w:rPr>
      <w:rFonts w:ascii="Tahoma" w:eastAsia="Tahoma" w:hAnsi="Tahoma" w:cs="Tahoma"/>
      <w:b/>
      <w:bCs/>
      <w:sz w:val="13"/>
      <w:szCs w:val="13"/>
      <w:shd w:val="clear" w:color="auto" w:fill="FFFFFF"/>
    </w:rPr>
  </w:style>
  <w:style w:type="character" w:customStyle="1" w:styleId="Bodytext10">
    <w:name w:val="Body text (10)_"/>
    <w:basedOn w:val="DefaultParagraphFont"/>
    <w:link w:val="Bodytext100"/>
    <w:rsid w:val="008C580E"/>
    <w:rPr>
      <w:rFonts w:ascii="Arial" w:eastAsia="Arial" w:hAnsi="Arial" w:cs="Arial"/>
      <w:i/>
      <w:iCs/>
      <w:sz w:val="19"/>
      <w:szCs w:val="19"/>
      <w:shd w:val="clear" w:color="auto" w:fill="FFFFFF"/>
    </w:rPr>
  </w:style>
  <w:style w:type="character" w:customStyle="1" w:styleId="Bodytext10NotItalic">
    <w:name w:val="Body text (10) + Not Italic"/>
    <w:basedOn w:val="Bodytext10"/>
    <w:rsid w:val="008C580E"/>
    <w:rPr>
      <w:rFonts w:ascii="Arial" w:eastAsia="Arial" w:hAnsi="Arial" w:cs="Arial"/>
      <w:i/>
      <w:iCs/>
      <w:color w:val="000000"/>
      <w:spacing w:val="0"/>
      <w:w w:val="100"/>
      <w:position w:val="0"/>
      <w:sz w:val="19"/>
      <w:szCs w:val="19"/>
      <w:shd w:val="clear" w:color="auto" w:fill="FFFFFF"/>
      <w:lang w:val="en-US" w:eastAsia="en-US" w:bidi="en-US"/>
    </w:rPr>
  </w:style>
  <w:style w:type="character" w:customStyle="1" w:styleId="Bodytext11">
    <w:name w:val="Body text (11)_"/>
    <w:basedOn w:val="DefaultParagraphFont"/>
    <w:link w:val="Bodytext110"/>
    <w:rsid w:val="008C580E"/>
    <w:rPr>
      <w:rFonts w:ascii="Arial" w:eastAsia="Arial" w:hAnsi="Arial" w:cs="Arial"/>
      <w:sz w:val="19"/>
      <w:szCs w:val="19"/>
      <w:shd w:val="clear" w:color="auto" w:fill="FFFFFF"/>
    </w:rPr>
  </w:style>
  <w:style w:type="character" w:customStyle="1" w:styleId="Bodytext21">
    <w:name w:val="Body text (2)_"/>
    <w:basedOn w:val="DefaultParagraphFont"/>
    <w:rsid w:val="008C580E"/>
    <w:rPr>
      <w:rFonts w:ascii="Arial" w:eastAsia="Arial" w:hAnsi="Arial" w:cs="Arial"/>
      <w:b w:val="0"/>
      <w:bCs w:val="0"/>
      <w:i w:val="0"/>
      <w:iCs w:val="0"/>
      <w:smallCaps w:val="0"/>
      <w:strike w:val="0"/>
      <w:sz w:val="17"/>
      <w:szCs w:val="17"/>
      <w:u w:val="none"/>
    </w:rPr>
  </w:style>
  <w:style w:type="character" w:customStyle="1" w:styleId="Bodytext29ptItalic">
    <w:name w:val="Body text (2) + 9 pt.Italic"/>
    <w:basedOn w:val="Bodytext21"/>
    <w:rsid w:val="008C580E"/>
    <w:rPr>
      <w:rFonts w:ascii="Arial" w:eastAsia="Arial" w:hAnsi="Arial" w:cs="Arial"/>
      <w:b w:val="0"/>
      <w:bCs w:val="0"/>
      <w:i/>
      <w:iCs/>
      <w:smallCaps w:val="0"/>
      <w:strike w:val="0"/>
      <w:color w:val="000000"/>
      <w:spacing w:val="0"/>
      <w:w w:val="100"/>
      <w:position w:val="0"/>
      <w:sz w:val="18"/>
      <w:szCs w:val="18"/>
      <w:u w:val="none"/>
      <w:lang w:val="en-US" w:eastAsia="en-US" w:bidi="en-US"/>
    </w:rPr>
  </w:style>
  <w:style w:type="character" w:customStyle="1" w:styleId="Bodytext22">
    <w:name w:val="Body text (2)"/>
    <w:basedOn w:val="Bodytext21"/>
    <w:rsid w:val="008C580E"/>
    <w:rPr>
      <w:rFonts w:ascii="Arial" w:eastAsia="Arial" w:hAnsi="Arial" w:cs="Arial"/>
      <w:b w:val="0"/>
      <w:bCs w:val="0"/>
      <w:i w:val="0"/>
      <w:iCs w:val="0"/>
      <w:smallCaps w:val="0"/>
      <w:strike w:val="0"/>
      <w:color w:val="000000"/>
      <w:spacing w:val="0"/>
      <w:w w:val="100"/>
      <w:position w:val="0"/>
      <w:sz w:val="17"/>
      <w:szCs w:val="17"/>
      <w:u w:val="none"/>
      <w:lang w:val="en-US" w:eastAsia="en-US" w:bidi="en-US"/>
    </w:rPr>
  </w:style>
  <w:style w:type="character" w:customStyle="1" w:styleId="TablecaptionExact">
    <w:name w:val="Table caption Exact"/>
    <w:basedOn w:val="DefaultParagraphFont"/>
    <w:rsid w:val="008C580E"/>
    <w:rPr>
      <w:rFonts w:ascii="Arial" w:eastAsia="Arial" w:hAnsi="Arial" w:cs="Arial"/>
      <w:b w:val="0"/>
      <w:bCs w:val="0"/>
      <w:i w:val="0"/>
      <w:iCs w:val="0"/>
      <w:smallCaps w:val="0"/>
      <w:strike w:val="0"/>
      <w:sz w:val="17"/>
      <w:szCs w:val="17"/>
      <w:u w:val="none"/>
    </w:rPr>
  </w:style>
  <w:style w:type="character" w:customStyle="1" w:styleId="Bodytext13Exact">
    <w:name w:val="Body text (13) Exact"/>
    <w:basedOn w:val="DefaultParagraphFont"/>
    <w:rsid w:val="008C580E"/>
    <w:rPr>
      <w:rFonts w:ascii="Arial" w:eastAsia="Arial" w:hAnsi="Arial" w:cs="Arial"/>
      <w:b w:val="0"/>
      <w:bCs w:val="0"/>
      <w:i/>
      <w:iCs/>
      <w:smallCaps w:val="0"/>
      <w:strike w:val="0"/>
      <w:sz w:val="17"/>
      <w:szCs w:val="17"/>
      <w:u w:val="none"/>
    </w:rPr>
  </w:style>
  <w:style w:type="character" w:customStyle="1" w:styleId="Bodytext14Exact">
    <w:name w:val="Body text (14) Exact"/>
    <w:basedOn w:val="DefaultParagraphFont"/>
    <w:link w:val="Bodytext14"/>
    <w:rsid w:val="008C580E"/>
    <w:rPr>
      <w:rFonts w:ascii="Arial" w:eastAsia="Arial" w:hAnsi="Arial" w:cs="Arial"/>
      <w:i/>
      <w:iCs/>
      <w:sz w:val="18"/>
      <w:szCs w:val="18"/>
      <w:shd w:val="clear" w:color="auto" w:fill="FFFFFF"/>
    </w:rPr>
  </w:style>
  <w:style w:type="character" w:customStyle="1" w:styleId="Heading40">
    <w:name w:val="Heading #4_"/>
    <w:basedOn w:val="DefaultParagraphFont"/>
    <w:link w:val="Heading41"/>
    <w:rsid w:val="008C580E"/>
    <w:rPr>
      <w:rFonts w:ascii="Arial" w:eastAsia="Arial" w:hAnsi="Arial" w:cs="Arial"/>
      <w:shd w:val="clear" w:color="auto" w:fill="FFFFFF"/>
    </w:rPr>
  </w:style>
  <w:style w:type="character" w:customStyle="1" w:styleId="Headerorfooter">
    <w:name w:val="Header or footer_"/>
    <w:basedOn w:val="DefaultParagraphFont"/>
    <w:rsid w:val="008C580E"/>
    <w:rPr>
      <w:rFonts w:ascii="Arial" w:eastAsia="Arial" w:hAnsi="Arial" w:cs="Arial"/>
      <w:b w:val="0"/>
      <w:bCs w:val="0"/>
      <w:i w:val="0"/>
      <w:iCs w:val="0"/>
      <w:smallCaps w:val="0"/>
      <w:strike w:val="0"/>
      <w:u w:val="none"/>
    </w:rPr>
  </w:style>
  <w:style w:type="character" w:customStyle="1" w:styleId="Headerorfooter0">
    <w:name w:val="Header or footer"/>
    <w:basedOn w:val="Headerorfooter"/>
    <w:rsid w:val="008C580E"/>
    <w:rPr>
      <w:rFonts w:ascii="Arial" w:eastAsia="Arial" w:hAnsi="Arial" w:cs="Arial"/>
      <w:b w:val="0"/>
      <w:bCs w:val="0"/>
      <w:i w:val="0"/>
      <w:iCs w:val="0"/>
      <w:smallCaps w:val="0"/>
      <w:strike w:val="0"/>
      <w:color w:val="000000"/>
      <w:spacing w:val="0"/>
      <w:w w:val="100"/>
      <w:position w:val="0"/>
      <w:sz w:val="24"/>
      <w:szCs w:val="24"/>
      <w:u w:val="none"/>
      <w:lang w:val="en-US" w:eastAsia="en-US" w:bidi="en-US"/>
    </w:rPr>
  </w:style>
  <w:style w:type="character" w:customStyle="1" w:styleId="Headerorfooter4pt">
    <w:name w:val="Header or footer + 4 pt"/>
    <w:basedOn w:val="Headerorfooter"/>
    <w:rsid w:val="008C580E"/>
    <w:rPr>
      <w:rFonts w:ascii="Arial" w:eastAsia="Arial" w:hAnsi="Arial" w:cs="Arial"/>
      <w:b w:val="0"/>
      <w:bCs w:val="0"/>
      <w:i w:val="0"/>
      <w:iCs w:val="0"/>
      <w:smallCaps w:val="0"/>
      <w:strike w:val="0"/>
      <w:color w:val="000000"/>
      <w:spacing w:val="0"/>
      <w:w w:val="100"/>
      <w:position w:val="0"/>
      <w:sz w:val="8"/>
      <w:szCs w:val="8"/>
      <w:u w:val="none"/>
      <w:lang w:val="en-US" w:eastAsia="en-US" w:bidi="en-US"/>
    </w:rPr>
  </w:style>
  <w:style w:type="character" w:customStyle="1" w:styleId="Headerorfooter8pt">
    <w:name w:val="Header or footer + 8 pt"/>
    <w:basedOn w:val="Headerorfooter"/>
    <w:rsid w:val="008C580E"/>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character" w:customStyle="1" w:styleId="Heading50">
    <w:name w:val="Heading #5_"/>
    <w:basedOn w:val="DefaultParagraphFont"/>
    <w:link w:val="Heading51"/>
    <w:rsid w:val="008C580E"/>
    <w:rPr>
      <w:rFonts w:ascii="Arial" w:eastAsia="Arial" w:hAnsi="Arial" w:cs="Arial"/>
      <w:b/>
      <w:bCs/>
      <w:sz w:val="17"/>
      <w:szCs w:val="17"/>
      <w:shd w:val="clear" w:color="auto" w:fill="FFFFFF"/>
    </w:rPr>
  </w:style>
  <w:style w:type="character" w:customStyle="1" w:styleId="Heading30">
    <w:name w:val="Heading #3_"/>
    <w:basedOn w:val="DefaultParagraphFont"/>
    <w:link w:val="Heading31"/>
    <w:rsid w:val="008C580E"/>
    <w:rPr>
      <w:rFonts w:ascii="Arial" w:eastAsia="Arial" w:hAnsi="Arial" w:cs="Arial"/>
      <w:b/>
      <w:bCs/>
      <w:shd w:val="clear" w:color="auto" w:fill="FFFFFF"/>
    </w:rPr>
  </w:style>
  <w:style w:type="character" w:customStyle="1" w:styleId="HeaderorfooterArialUnicodeMS85ptSpacing1pt">
    <w:name w:val="Header or footer + Arial Unicode MS.8.5 pt.Spacing 1 pt"/>
    <w:basedOn w:val="Headerorfooter"/>
    <w:rsid w:val="008C580E"/>
    <w:rPr>
      <w:rFonts w:ascii="Arial Unicode MS" w:eastAsia="Arial Unicode MS" w:hAnsi="Arial Unicode MS" w:cs="Arial Unicode MS"/>
      <w:b/>
      <w:bCs/>
      <w:i w:val="0"/>
      <w:iCs w:val="0"/>
      <w:smallCaps w:val="0"/>
      <w:strike w:val="0"/>
      <w:color w:val="000000"/>
      <w:spacing w:val="20"/>
      <w:w w:val="100"/>
      <w:position w:val="0"/>
      <w:sz w:val="17"/>
      <w:szCs w:val="17"/>
      <w:u w:val="none"/>
      <w:lang w:val="en-US" w:eastAsia="en-US" w:bidi="en-US"/>
    </w:rPr>
  </w:style>
  <w:style w:type="character" w:customStyle="1" w:styleId="Tablecaption2">
    <w:name w:val="Table caption (2)_"/>
    <w:basedOn w:val="DefaultParagraphFont"/>
    <w:link w:val="Tablecaption20"/>
    <w:rsid w:val="008C580E"/>
    <w:rPr>
      <w:rFonts w:ascii="Arial" w:eastAsia="Arial" w:hAnsi="Arial" w:cs="Arial"/>
      <w:b/>
      <w:bCs/>
      <w:sz w:val="17"/>
      <w:szCs w:val="17"/>
      <w:shd w:val="clear" w:color="auto" w:fill="FFFFFF"/>
    </w:rPr>
  </w:style>
  <w:style w:type="character" w:customStyle="1" w:styleId="Bodytext295ptBold">
    <w:name w:val="Body text (2) + 9.5 pt.Bold"/>
    <w:basedOn w:val="Bodytext21"/>
    <w:rsid w:val="008C580E"/>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Bodytext29ptBoldItalic">
    <w:name w:val="Body text (2) + 9 pt.Bold.Italic"/>
    <w:basedOn w:val="Bodytext21"/>
    <w:rsid w:val="008C580E"/>
    <w:rPr>
      <w:rFonts w:ascii="Arial" w:eastAsia="Arial" w:hAnsi="Arial" w:cs="Arial"/>
      <w:b/>
      <w:bCs/>
      <w:i/>
      <w:iCs/>
      <w:smallCaps w:val="0"/>
      <w:strike w:val="0"/>
      <w:color w:val="000000"/>
      <w:spacing w:val="0"/>
      <w:w w:val="100"/>
      <w:position w:val="0"/>
      <w:sz w:val="18"/>
      <w:szCs w:val="18"/>
      <w:u w:val="none"/>
      <w:lang w:val="en-US" w:eastAsia="en-US" w:bidi="en-US"/>
    </w:rPr>
  </w:style>
  <w:style w:type="character" w:customStyle="1" w:styleId="Bodytext29pt">
    <w:name w:val="Body text (2) + 9 pt"/>
    <w:basedOn w:val="Bodytext21"/>
    <w:rsid w:val="008C580E"/>
    <w:rPr>
      <w:rFonts w:ascii="Arial" w:eastAsia="Arial" w:hAnsi="Arial" w:cs="Arial"/>
      <w:b/>
      <w:bCs/>
      <w:i w:val="0"/>
      <w:iCs w:val="0"/>
      <w:smallCaps w:val="0"/>
      <w:strike w:val="0"/>
      <w:color w:val="000000"/>
      <w:spacing w:val="0"/>
      <w:w w:val="100"/>
      <w:position w:val="0"/>
      <w:sz w:val="18"/>
      <w:szCs w:val="18"/>
      <w:u w:val="none"/>
      <w:lang w:val="en-US" w:eastAsia="en-US" w:bidi="en-US"/>
    </w:rPr>
  </w:style>
  <w:style w:type="character" w:customStyle="1" w:styleId="Picturecaption">
    <w:name w:val="Picture caption_"/>
    <w:basedOn w:val="DefaultParagraphFont"/>
    <w:link w:val="Picturecaption0"/>
    <w:rsid w:val="008C580E"/>
    <w:rPr>
      <w:rFonts w:ascii="Arial" w:eastAsia="Arial" w:hAnsi="Arial" w:cs="Arial"/>
      <w:b/>
      <w:bCs/>
      <w:sz w:val="17"/>
      <w:szCs w:val="17"/>
      <w:shd w:val="clear" w:color="auto" w:fill="FFFFFF"/>
    </w:rPr>
  </w:style>
  <w:style w:type="character" w:customStyle="1" w:styleId="PicturecaptionDavid9ptNotBold">
    <w:name w:val="Picture caption + David.9 pt.Not Bold"/>
    <w:basedOn w:val="Picturecaption"/>
    <w:rsid w:val="008C580E"/>
    <w:rPr>
      <w:rFonts w:ascii="David" w:eastAsia="David" w:hAnsi="David" w:cs="David"/>
      <w:b/>
      <w:bCs/>
      <w:color w:val="000000"/>
      <w:spacing w:val="0"/>
      <w:w w:val="100"/>
      <w:position w:val="0"/>
      <w:sz w:val="18"/>
      <w:szCs w:val="18"/>
      <w:shd w:val="clear" w:color="auto" w:fill="FFFFFF"/>
      <w:lang w:val="en-US" w:eastAsia="en-US" w:bidi="en-US"/>
    </w:rPr>
  </w:style>
  <w:style w:type="character" w:customStyle="1" w:styleId="Bodytext15">
    <w:name w:val="Body text (15)_"/>
    <w:basedOn w:val="DefaultParagraphFont"/>
    <w:link w:val="Bodytext150"/>
    <w:rsid w:val="008C580E"/>
    <w:rPr>
      <w:rFonts w:ascii="Arial" w:eastAsia="Arial" w:hAnsi="Arial" w:cs="Arial"/>
      <w:b/>
      <w:bCs/>
      <w:sz w:val="17"/>
      <w:szCs w:val="17"/>
      <w:shd w:val="clear" w:color="auto" w:fill="FFFFFF"/>
    </w:rPr>
  </w:style>
  <w:style w:type="character" w:customStyle="1" w:styleId="Bodytext15NotBold">
    <w:name w:val="Body text (15) + Not Bold"/>
    <w:basedOn w:val="Bodytext15"/>
    <w:rsid w:val="008C580E"/>
    <w:rPr>
      <w:rFonts w:ascii="Arial" w:eastAsia="Arial" w:hAnsi="Arial" w:cs="Arial"/>
      <w:b/>
      <w:bCs/>
      <w:color w:val="000000"/>
      <w:spacing w:val="0"/>
      <w:w w:val="100"/>
      <w:position w:val="0"/>
      <w:sz w:val="17"/>
      <w:szCs w:val="17"/>
      <w:shd w:val="clear" w:color="auto" w:fill="FFFFFF"/>
      <w:lang w:val="en-US" w:eastAsia="en-US" w:bidi="en-US"/>
    </w:rPr>
  </w:style>
  <w:style w:type="character" w:customStyle="1" w:styleId="Bodytext13">
    <w:name w:val="Body text (13)_"/>
    <w:basedOn w:val="DefaultParagraphFont"/>
    <w:link w:val="Bodytext130"/>
    <w:rsid w:val="008C580E"/>
    <w:rPr>
      <w:rFonts w:ascii="Arial" w:eastAsia="Arial" w:hAnsi="Arial" w:cs="Arial"/>
      <w:i/>
      <w:iCs/>
      <w:sz w:val="17"/>
      <w:szCs w:val="17"/>
      <w:shd w:val="clear" w:color="auto" w:fill="FFFFFF"/>
    </w:rPr>
  </w:style>
  <w:style w:type="character" w:customStyle="1" w:styleId="Tablecaption3">
    <w:name w:val="Table caption (3)_"/>
    <w:basedOn w:val="DefaultParagraphFont"/>
    <w:link w:val="Tablecaption30"/>
    <w:rsid w:val="008C580E"/>
    <w:rPr>
      <w:rFonts w:ascii="Arial" w:eastAsia="Arial" w:hAnsi="Arial" w:cs="Arial"/>
      <w:i/>
      <w:iCs/>
      <w:sz w:val="18"/>
      <w:szCs w:val="18"/>
      <w:shd w:val="clear" w:color="auto" w:fill="FFFFFF"/>
    </w:rPr>
  </w:style>
  <w:style w:type="character" w:customStyle="1" w:styleId="Bodytext2Italic">
    <w:name w:val="Body text (2) + Italic"/>
    <w:basedOn w:val="Bodytext21"/>
    <w:rsid w:val="008C580E"/>
    <w:rPr>
      <w:rFonts w:ascii="Arial" w:eastAsia="Arial" w:hAnsi="Arial" w:cs="Arial"/>
      <w:b w:val="0"/>
      <w:bCs w:val="0"/>
      <w:i/>
      <w:iCs/>
      <w:smallCaps w:val="0"/>
      <w:strike w:val="0"/>
      <w:color w:val="000000"/>
      <w:spacing w:val="0"/>
      <w:w w:val="100"/>
      <w:position w:val="0"/>
      <w:sz w:val="17"/>
      <w:szCs w:val="17"/>
      <w:u w:val="none"/>
      <w:lang w:val="en-US" w:eastAsia="en-US" w:bidi="en-US"/>
    </w:rPr>
  </w:style>
  <w:style w:type="character" w:customStyle="1" w:styleId="Bodytext2Bold">
    <w:name w:val="Body text (2) + Bold"/>
    <w:basedOn w:val="Bodytext21"/>
    <w:rsid w:val="008C580E"/>
    <w:rPr>
      <w:rFonts w:ascii="Arial" w:eastAsia="Arial" w:hAnsi="Arial" w:cs="Arial"/>
      <w:b/>
      <w:bCs/>
      <w:i w:val="0"/>
      <w:iCs w:val="0"/>
      <w:smallCaps w:val="0"/>
      <w:strike w:val="0"/>
      <w:color w:val="000000"/>
      <w:spacing w:val="0"/>
      <w:w w:val="100"/>
      <w:position w:val="0"/>
      <w:sz w:val="17"/>
      <w:szCs w:val="17"/>
      <w:u w:val="none"/>
      <w:lang w:val="en-US" w:eastAsia="en-US" w:bidi="en-US"/>
    </w:rPr>
  </w:style>
  <w:style w:type="character" w:customStyle="1" w:styleId="Bodytext24ptBold">
    <w:name w:val="Body text (2) + 4 pt.Bold"/>
    <w:basedOn w:val="Bodytext21"/>
    <w:rsid w:val="008C580E"/>
    <w:rPr>
      <w:rFonts w:ascii="Arial" w:eastAsia="Arial" w:hAnsi="Arial" w:cs="Arial"/>
      <w:b/>
      <w:bCs/>
      <w:i w:val="0"/>
      <w:iCs w:val="0"/>
      <w:smallCaps w:val="0"/>
      <w:strike w:val="0"/>
      <w:color w:val="000000"/>
      <w:spacing w:val="0"/>
      <w:w w:val="100"/>
      <w:position w:val="0"/>
      <w:sz w:val="8"/>
      <w:szCs w:val="8"/>
      <w:u w:val="none"/>
      <w:lang w:val="en-US" w:eastAsia="en-US" w:bidi="en-US"/>
    </w:rPr>
  </w:style>
  <w:style w:type="character" w:customStyle="1" w:styleId="Bodytext219ptBold">
    <w:name w:val="Body text (2) + 19 pt.Bold"/>
    <w:basedOn w:val="Bodytext21"/>
    <w:rsid w:val="008C580E"/>
    <w:rPr>
      <w:rFonts w:ascii="Arial" w:eastAsia="Arial" w:hAnsi="Arial" w:cs="Arial"/>
      <w:b/>
      <w:bCs/>
      <w:i w:val="0"/>
      <w:iCs w:val="0"/>
      <w:smallCaps w:val="0"/>
      <w:strike w:val="0"/>
      <w:color w:val="000000"/>
      <w:spacing w:val="0"/>
      <w:w w:val="100"/>
      <w:position w:val="0"/>
      <w:sz w:val="38"/>
      <w:szCs w:val="38"/>
      <w:u w:val="none"/>
      <w:lang w:val="en-US" w:eastAsia="en-US" w:bidi="en-US"/>
    </w:rPr>
  </w:style>
  <w:style w:type="character" w:customStyle="1" w:styleId="Tablecaption4">
    <w:name w:val="Table caption (4)_"/>
    <w:basedOn w:val="DefaultParagraphFont"/>
    <w:link w:val="Tablecaption40"/>
    <w:rsid w:val="008C580E"/>
    <w:rPr>
      <w:rFonts w:ascii="Arial" w:eastAsia="Arial" w:hAnsi="Arial" w:cs="Arial"/>
      <w:i/>
      <w:iCs/>
      <w:sz w:val="17"/>
      <w:szCs w:val="17"/>
      <w:shd w:val="clear" w:color="auto" w:fill="FFFFFF"/>
    </w:rPr>
  </w:style>
  <w:style w:type="character" w:customStyle="1" w:styleId="Tablecaption">
    <w:name w:val="Table caption_"/>
    <w:basedOn w:val="DefaultParagraphFont"/>
    <w:link w:val="Tablecaption0"/>
    <w:rsid w:val="008C580E"/>
    <w:rPr>
      <w:rFonts w:ascii="Arial" w:eastAsia="Arial" w:hAnsi="Arial" w:cs="Arial"/>
      <w:sz w:val="17"/>
      <w:szCs w:val="17"/>
      <w:shd w:val="clear" w:color="auto" w:fill="FFFFFF"/>
    </w:rPr>
  </w:style>
  <w:style w:type="character" w:customStyle="1" w:styleId="Bodytext2ArialNarrow45pt">
    <w:name w:val="Body text (2) + Arial Narrow.4.5 pt"/>
    <w:basedOn w:val="Bodytext21"/>
    <w:rsid w:val="008C580E"/>
    <w:rPr>
      <w:rFonts w:ascii="Arial Narrow" w:eastAsia="Arial Narrow" w:hAnsi="Arial Narrow" w:cs="Arial Narrow"/>
      <w:b/>
      <w:bCs/>
      <w:i w:val="0"/>
      <w:iCs w:val="0"/>
      <w:smallCaps w:val="0"/>
      <w:strike w:val="0"/>
      <w:color w:val="000000"/>
      <w:spacing w:val="0"/>
      <w:w w:val="100"/>
      <w:position w:val="0"/>
      <w:sz w:val="9"/>
      <w:szCs w:val="9"/>
      <w:u w:val="none"/>
      <w:lang w:val="en-US" w:eastAsia="en-US" w:bidi="en-US"/>
    </w:rPr>
  </w:style>
  <w:style w:type="character" w:customStyle="1" w:styleId="Bodytext24pt">
    <w:name w:val="Body text (2) + 4 pt"/>
    <w:basedOn w:val="Bodytext21"/>
    <w:rsid w:val="008C580E"/>
    <w:rPr>
      <w:rFonts w:ascii="Arial" w:eastAsia="Arial" w:hAnsi="Arial" w:cs="Arial"/>
      <w:b w:val="0"/>
      <w:bCs w:val="0"/>
      <w:i w:val="0"/>
      <w:iCs w:val="0"/>
      <w:smallCaps w:val="0"/>
      <w:strike w:val="0"/>
      <w:color w:val="000000"/>
      <w:spacing w:val="0"/>
      <w:w w:val="100"/>
      <w:position w:val="0"/>
      <w:sz w:val="8"/>
      <w:szCs w:val="8"/>
      <w:u w:val="none"/>
      <w:lang w:val="en-US" w:eastAsia="en-US" w:bidi="en-US"/>
    </w:rPr>
  </w:style>
  <w:style w:type="paragraph" w:customStyle="1" w:styleId="Heading21">
    <w:name w:val="Heading #2"/>
    <w:basedOn w:val="Normal"/>
    <w:link w:val="Heading20"/>
    <w:rsid w:val="008C580E"/>
    <w:pPr>
      <w:widowControl w:val="0"/>
      <w:shd w:val="clear" w:color="auto" w:fill="FFFFFF"/>
      <w:spacing w:after="160" w:line="380" w:lineRule="exact"/>
      <w:outlineLvl w:val="1"/>
    </w:pPr>
    <w:rPr>
      <w:rFonts w:ascii="Arial" w:eastAsia="Arial" w:hAnsi="Arial"/>
      <w:b/>
      <w:bCs/>
      <w:sz w:val="34"/>
      <w:szCs w:val="34"/>
    </w:rPr>
  </w:style>
  <w:style w:type="paragraph" w:customStyle="1" w:styleId="Bodytext32">
    <w:name w:val="Body text (3)"/>
    <w:basedOn w:val="Normal"/>
    <w:link w:val="Bodytext31"/>
    <w:rsid w:val="008C580E"/>
    <w:pPr>
      <w:widowControl w:val="0"/>
      <w:shd w:val="clear" w:color="auto" w:fill="FFFFFF"/>
      <w:spacing w:before="160" w:after="160" w:line="246" w:lineRule="exact"/>
      <w:jc w:val="center"/>
    </w:pPr>
    <w:rPr>
      <w:rFonts w:ascii="Arial" w:eastAsia="Arial" w:hAnsi="Arial"/>
      <w:b/>
      <w:bCs/>
      <w:sz w:val="22"/>
      <w:szCs w:val="22"/>
    </w:rPr>
  </w:style>
  <w:style w:type="paragraph" w:customStyle="1" w:styleId="Bodytext51">
    <w:name w:val="Body text (5)"/>
    <w:basedOn w:val="Normal"/>
    <w:link w:val="Bodytext50"/>
    <w:rsid w:val="008C580E"/>
    <w:pPr>
      <w:widowControl w:val="0"/>
      <w:shd w:val="clear" w:color="auto" w:fill="FFFFFF"/>
      <w:spacing w:line="173" w:lineRule="exact"/>
    </w:pPr>
    <w:rPr>
      <w:rFonts w:ascii="Arial Narrow" w:eastAsia="Arial Narrow" w:hAnsi="Arial Narrow" w:cs="Arial Narrow"/>
      <w:b/>
      <w:bCs/>
      <w:sz w:val="15"/>
      <w:szCs w:val="15"/>
    </w:rPr>
  </w:style>
  <w:style w:type="paragraph" w:customStyle="1" w:styleId="Bodytext90">
    <w:name w:val="Body text (9)"/>
    <w:basedOn w:val="Normal"/>
    <w:link w:val="Bodytext9"/>
    <w:rsid w:val="008C580E"/>
    <w:pPr>
      <w:widowControl w:val="0"/>
      <w:shd w:val="clear" w:color="auto" w:fill="FFFFFF"/>
      <w:spacing w:line="149" w:lineRule="exact"/>
      <w:jc w:val="both"/>
    </w:pPr>
    <w:rPr>
      <w:rFonts w:ascii="Tahoma" w:eastAsia="Tahoma" w:hAnsi="Tahoma" w:cs="Tahoma"/>
      <w:b/>
      <w:bCs/>
      <w:sz w:val="13"/>
      <w:szCs w:val="13"/>
    </w:rPr>
  </w:style>
  <w:style w:type="paragraph" w:customStyle="1" w:styleId="Picturecaption2">
    <w:name w:val="Picture caption (2)"/>
    <w:basedOn w:val="Normal"/>
    <w:link w:val="Picturecaption2Exact"/>
    <w:rsid w:val="008C580E"/>
    <w:pPr>
      <w:widowControl w:val="0"/>
      <w:shd w:val="clear" w:color="auto" w:fill="FFFFFF"/>
      <w:spacing w:line="223" w:lineRule="exact"/>
      <w:jc w:val="both"/>
    </w:pPr>
    <w:rPr>
      <w:rFonts w:ascii="Arial" w:eastAsia="Arial" w:hAnsi="Arial"/>
      <w:sz w:val="19"/>
      <w:szCs w:val="19"/>
    </w:rPr>
  </w:style>
  <w:style w:type="paragraph" w:customStyle="1" w:styleId="Picturecaption3">
    <w:name w:val="Picture caption (3)"/>
    <w:basedOn w:val="Normal"/>
    <w:link w:val="Picturecaption3Exact"/>
    <w:rsid w:val="008C580E"/>
    <w:pPr>
      <w:widowControl w:val="0"/>
      <w:shd w:val="clear" w:color="auto" w:fill="FFFFFF"/>
      <w:spacing w:line="166" w:lineRule="exact"/>
    </w:pPr>
    <w:rPr>
      <w:rFonts w:ascii="David" w:eastAsia="David" w:hAnsi="David" w:cs="David"/>
      <w:b/>
      <w:bCs/>
      <w:sz w:val="15"/>
      <w:szCs w:val="15"/>
    </w:rPr>
  </w:style>
  <w:style w:type="paragraph" w:customStyle="1" w:styleId="Picturecaption4">
    <w:name w:val="Picture caption (4)"/>
    <w:basedOn w:val="Normal"/>
    <w:link w:val="Picturecaption4Exact"/>
    <w:rsid w:val="008C580E"/>
    <w:pPr>
      <w:widowControl w:val="0"/>
      <w:shd w:val="clear" w:color="auto" w:fill="FFFFFF"/>
      <w:spacing w:line="250" w:lineRule="exact"/>
      <w:jc w:val="both"/>
    </w:pPr>
    <w:rPr>
      <w:rFonts w:ascii="Arial" w:eastAsia="Arial" w:hAnsi="Arial"/>
      <w:b/>
      <w:bCs/>
      <w:i/>
      <w:iCs/>
      <w:sz w:val="22"/>
      <w:szCs w:val="22"/>
    </w:rPr>
  </w:style>
  <w:style w:type="paragraph" w:customStyle="1" w:styleId="Picturecaption5">
    <w:name w:val="Picture caption (5)"/>
    <w:basedOn w:val="Normal"/>
    <w:link w:val="Picturecaption5Exact"/>
    <w:rsid w:val="008C580E"/>
    <w:pPr>
      <w:widowControl w:val="0"/>
      <w:shd w:val="clear" w:color="auto" w:fill="FFFFFF"/>
      <w:spacing w:line="134" w:lineRule="exact"/>
      <w:jc w:val="both"/>
    </w:pPr>
    <w:rPr>
      <w:rFonts w:ascii="Arial" w:eastAsia="Arial" w:hAnsi="Arial"/>
      <w:b/>
      <w:bCs/>
      <w:sz w:val="12"/>
      <w:szCs w:val="12"/>
    </w:rPr>
  </w:style>
  <w:style w:type="paragraph" w:customStyle="1" w:styleId="Bodytext12">
    <w:name w:val="Body text (12)"/>
    <w:basedOn w:val="Normal"/>
    <w:link w:val="Bodytext12Exact"/>
    <w:rsid w:val="008C580E"/>
    <w:pPr>
      <w:widowControl w:val="0"/>
      <w:shd w:val="clear" w:color="auto" w:fill="FFFFFF"/>
      <w:spacing w:line="149" w:lineRule="exact"/>
      <w:jc w:val="both"/>
    </w:pPr>
    <w:rPr>
      <w:rFonts w:ascii="Arial" w:eastAsia="Arial" w:hAnsi="Arial"/>
      <w:b/>
      <w:bCs/>
      <w:sz w:val="12"/>
      <w:szCs w:val="12"/>
    </w:rPr>
  </w:style>
  <w:style w:type="paragraph" w:customStyle="1" w:styleId="Bodytext41">
    <w:name w:val="Body text (4)"/>
    <w:basedOn w:val="Normal"/>
    <w:link w:val="Bodytext40"/>
    <w:rsid w:val="008C580E"/>
    <w:pPr>
      <w:widowControl w:val="0"/>
      <w:shd w:val="clear" w:color="auto" w:fill="FFFFFF"/>
      <w:spacing w:before="160" w:line="212" w:lineRule="exact"/>
      <w:jc w:val="center"/>
    </w:pPr>
    <w:rPr>
      <w:rFonts w:ascii="Arial" w:eastAsia="Arial" w:hAnsi="Arial"/>
      <w:b/>
      <w:bCs/>
      <w:sz w:val="19"/>
      <w:szCs w:val="19"/>
    </w:rPr>
  </w:style>
  <w:style w:type="paragraph" w:customStyle="1" w:styleId="Bodytext61">
    <w:name w:val="Body text (6)"/>
    <w:basedOn w:val="Normal"/>
    <w:link w:val="Bodytext60"/>
    <w:rsid w:val="008C580E"/>
    <w:pPr>
      <w:widowControl w:val="0"/>
      <w:shd w:val="clear" w:color="auto" w:fill="FFFFFF"/>
      <w:spacing w:before="200" w:line="230" w:lineRule="exact"/>
    </w:pPr>
    <w:rPr>
      <w:rFonts w:ascii="Arial Narrow" w:eastAsia="Arial Narrow" w:hAnsi="Arial Narrow" w:cs="Arial Narrow"/>
      <w:b/>
      <w:bCs/>
      <w:i/>
      <w:iCs/>
      <w:sz w:val="22"/>
      <w:szCs w:val="22"/>
    </w:rPr>
  </w:style>
  <w:style w:type="paragraph" w:customStyle="1" w:styleId="Bodytext71">
    <w:name w:val="Body text (7)"/>
    <w:basedOn w:val="Normal"/>
    <w:link w:val="Bodytext70"/>
    <w:rsid w:val="008C580E"/>
    <w:pPr>
      <w:widowControl w:val="0"/>
      <w:shd w:val="clear" w:color="auto" w:fill="FFFFFF"/>
      <w:spacing w:after="200" w:line="223" w:lineRule="exact"/>
      <w:jc w:val="both"/>
    </w:pPr>
    <w:rPr>
      <w:rFonts w:ascii="Arial" w:eastAsia="Arial" w:hAnsi="Arial"/>
      <w:b/>
      <w:bCs/>
      <w:sz w:val="17"/>
      <w:szCs w:val="17"/>
    </w:rPr>
  </w:style>
  <w:style w:type="paragraph" w:customStyle="1" w:styleId="Bodytext80">
    <w:name w:val="Body text (8)"/>
    <w:basedOn w:val="Normal"/>
    <w:link w:val="Bodytext8"/>
    <w:rsid w:val="008C580E"/>
    <w:pPr>
      <w:widowControl w:val="0"/>
      <w:shd w:val="clear" w:color="auto" w:fill="FFFFFF"/>
      <w:spacing w:before="2840" w:line="100" w:lineRule="exact"/>
    </w:pPr>
    <w:rPr>
      <w:rFonts w:ascii="Arial" w:eastAsia="Arial" w:hAnsi="Arial"/>
      <w:b/>
      <w:bCs/>
      <w:sz w:val="9"/>
      <w:szCs w:val="9"/>
    </w:rPr>
  </w:style>
  <w:style w:type="paragraph" w:customStyle="1" w:styleId="Heading11">
    <w:name w:val="Heading #1"/>
    <w:basedOn w:val="Normal"/>
    <w:link w:val="Heading10"/>
    <w:rsid w:val="008C580E"/>
    <w:pPr>
      <w:widowControl w:val="0"/>
      <w:shd w:val="clear" w:color="auto" w:fill="FFFFFF"/>
      <w:spacing w:line="700" w:lineRule="exact"/>
      <w:outlineLvl w:val="0"/>
    </w:pPr>
    <w:rPr>
      <w:rFonts w:ascii="Tahoma" w:eastAsia="Tahoma" w:hAnsi="Tahoma" w:cs="Tahoma"/>
      <w:b/>
      <w:bCs/>
      <w:sz w:val="58"/>
      <w:szCs w:val="58"/>
    </w:rPr>
  </w:style>
  <w:style w:type="paragraph" w:customStyle="1" w:styleId="Bodytext100">
    <w:name w:val="Body text (10)"/>
    <w:basedOn w:val="Normal"/>
    <w:link w:val="Bodytext10"/>
    <w:rsid w:val="008C580E"/>
    <w:pPr>
      <w:widowControl w:val="0"/>
      <w:shd w:val="clear" w:color="auto" w:fill="FFFFFF"/>
      <w:spacing w:before="440" w:line="212" w:lineRule="exact"/>
      <w:jc w:val="both"/>
    </w:pPr>
    <w:rPr>
      <w:rFonts w:ascii="Arial" w:eastAsia="Arial" w:hAnsi="Arial"/>
      <w:i/>
      <w:iCs/>
      <w:sz w:val="19"/>
      <w:szCs w:val="19"/>
    </w:rPr>
  </w:style>
  <w:style w:type="paragraph" w:customStyle="1" w:styleId="Bodytext110">
    <w:name w:val="Body text (11)"/>
    <w:basedOn w:val="Normal"/>
    <w:link w:val="Bodytext11"/>
    <w:rsid w:val="008C580E"/>
    <w:pPr>
      <w:widowControl w:val="0"/>
      <w:shd w:val="clear" w:color="auto" w:fill="FFFFFF"/>
      <w:spacing w:after="220" w:line="218" w:lineRule="exact"/>
      <w:ind w:hanging="340"/>
      <w:jc w:val="both"/>
    </w:pPr>
    <w:rPr>
      <w:rFonts w:ascii="Arial" w:eastAsia="Arial" w:hAnsi="Arial"/>
      <w:sz w:val="19"/>
      <w:szCs w:val="19"/>
    </w:rPr>
  </w:style>
  <w:style w:type="paragraph" w:customStyle="1" w:styleId="Tablecaption0">
    <w:name w:val="Table caption"/>
    <w:basedOn w:val="Normal"/>
    <w:link w:val="Tablecaption"/>
    <w:rsid w:val="008C580E"/>
    <w:pPr>
      <w:widowControl w:val="0"/>
      <w:shd w:val="clear" w:color="auto" w:fill="FFFFFF"/>
      <w:spacing w:line="202" w:lineRule="exact"/>
    </w:pPr>
    <w:rPr>
      <w:rFonts w:ascii="Arial" w:eastAsia="Arial" w:hAnsi="Arial"/>
      <w:sz w:val="17"/>
      <w:szCs w:val="17"/>
    </w:rPr>
  </w:style>
  <w:style w:type="paragraph" w:customStyle="1" w:styleId="Bodytext130">
    <w:name w:val="Body text (13)"/>
    <w:basedOn w:val="Normal"/>
    <w:link w:val="Bodytext13"/>
    <w:rsid w:val="008C580E"/>
    <w:pPr>
      <w:widowControl w:val="0"/>
      <w:shd w:val="clear" w:color="auto" w:fill="FFFFFF"/>
      <w:spacing w:line="190" w:lineRule="exact"/>
    </w:pPr>
    <w:rPr>
      <w:rFonts w:ascii="Arial" w:eastAsia="Arial" w:hAnsi="Arial"/>
      <w:i/>
      <w:iCs/>
      <w:sz w:val="17"/>
      <w:szCs w:val="17"/>
    </w:rPr>
  </w:style>
  <w:style w:type="paragraph" w:customStyle="1" w:styleId="Bodytext14">
    <w:name w:val="Body text (14)"/>
    <w:basedOn w:val="Normal"/>
    <w:link w:val="Bodytext14Exact"/>
    <w:rsid w:val="008C580E"/>
    <w:pPr>
      <w:widowControl w:val="0"/>
      <w:shd w:val="clear" w:color="auto" w:fill="FFFFFF"/>
      <w:spacing w:line="200" w:lineRule="exact"/>
    </w:pPr>
    <w:rPr>
      <w:rFonts w:ascii="Arial" w:eastAsia="Arial" w:hAnsi="Arial"/>
      <w:i/>
      <w:iCs/>
      <w:sz w:val="18"/>
      <w:szCs w:val="18"/>
    </w:rPr>
  </w:style>
  <w:style w:type="paragraph" w:customStyle="1" w:styleId="Heading41">
    <w:name w:val="Heading #4"/>
    <w:basedOn w:val="Normal"/>
    <w:link w:val="Heading40"/>
    <w:rsid w:val="008C580E"/>
    <w:pPr>
      <w:widowControl w:val="0"/>
      <w:shd w:val="clear" w:color="auto" w:fill="FFFFFF"/>
      <w:spacing w:line="230" w:lineRule="exact"/>
      <w:outlineLvl w:val="3"/>
    </w:pPr>
    <w:rPr>
      <w:rFonts w:ascii="Arial" w:eastAsia="Arial" w:hAnsi="Arial"/>
      <w:sz w:val="22"/>
      <w:szCs w:val="22"/>
    </w:rPr>
  </w:style>
  <w:style w:type="paragraph" w:customStyle="1" w:styleId="Heading51">
    <w:name w:val="Heading #5"/>
    <w:basedOn w:val="Normal"/>
    <w:link w:val="Heading50"/>
    <w:rsid w:val="008C580E"/>
    <w:pPr>
      <w:widowControl w:val="0"/>
      <w:shd w:val="clear" w:color="auto" w:fill="FFFFFF"/>
      <w:spacing w:line="230" w:lineRule="exact"/>
      <w:outlineLvl w:val="4"/>
    </w:pPr>
    <w:rPr>
      <w:rFonts w:ascii="Arial" w:eastAsia="Arial" w:hAnsi="Arial"/>
      <w:b/>
      <w:bCs/>
      <w:sz w:val="17"/>
      <w:szCs w:val="17"/>
    </w:rPr>
  </w:style>
  <w:style w:type="paragraph" w:customStyle="1" w:styleId="Heading31">
    <w:name w:val="Heading #3"/>
    <w:basedOn w:val="Normal"/>
    <w:link w:val="Heading30"/>
    <w:rsid w:val="008C580E"/>
    <w:pPr>
      <w:widowControl w:val="0"/>
      <w:shd w:val="clear" w:color="auto" w:fill="FFFFFF"/>
      <w:spacing w:line="413" w:lineRule="exact"/>
      <w:outlineLvl w:val="2"/>
    </w:pPr>
    <w:rPr>
      <w:rFonts w:ascii="Arial" w:eastAsia="Arial" w:hAnsi="Arial"/>
      <w:b/>
      <w:bCs/>
      <w:sz w:val="22"/>
      <w:szCs w:val="22"/>
    </w:rPr>
  </w:style>
  <w:style w:type="paragraph" w:customStyle="1" w:styleId="Tablecaption20">
    <w:name w:val="Table caption (2)"/>
    <w:basedOn w:val="Normal"/>
    <w:link w:val="Tablecaption2"/>
    <w:rsid w:val="008C580E"/>
    <w:pPr>
      <w:widowControl w:val="0"/>
      <w:shd w:val="clear" w:color="auto" w:fill="FFFFFF"/>
      <w:spacing w:line="190" w:lineRule="exact"/>
    </w:pPr>
    <w:rPr>
      <w:rFonts w:ascii="Arial" w:eastAsia="Arial" w:hAnsi="Arial"/>
      <w:b/>
      <w:bCs/>
      <w:sz w:val="17"/>
      <w:szCs w:val="17"/>
    </w:rPr>
  </w:style>
  <w:style w:type="paragraph" w:customStyle="1" w:styleId="Picturecaption0">
    <w:name w:val="Picture caption"/>
    <w:basedOn w:val="Normal"/>
    <w:link w:val="Picturecaption"/>
    <w:rsid w:val="008C580E"/>
    <w:pPr>
      <w:widowControl w:val="0"/>
      <w:shd w:val="clear" w:color="auto" w:fill="FFFFFF"/>
      <w:spacing w:line="198" w:lineRule="exact"/>
    </w:pPr>
    <w:rPr>
      <w:rFonts w:ascii="Arial" w:eastAsia="Arial" w:hAnsi="Arial"/>
      <w:b/>
      <w:bCs/>
      <w:sz w:val="17"/>
      <w:szCs w:val="17"/>
    </w:rPr>
  </w:style>
  <w:style w:type="paragraph" w:customStyle="1" w:styleId="Bodytext150">
    <w:name w:val="Body text (15)"/>
    <w:basedOn w:val="Normal"/>
    <w:link w:val="Bodytext15"/>
    <w:rsid w:val="008C580E"/>
    <w:pPr>
      <w:widowControl w:val="0"/>
      <w:shd w:val="clear" w:color="auto" w:fill="FFFFFF"/>
      <w:spacing w:before="200" w:after="200" w:line="190" w:lineRule="exact"/>
      <w:jc w:val="both"/>
    </w:pPr>
    <w:rPr>
      <w:rFonts w:ascii="Arial" w:eastAsia="Arial" w:hAnsi="Arial"/>
      <w:b/>
      <w:bCs/>
      <w:sz w:val="17"/>
      <w:szCs w:val="17"/>
    </w:rPr>
  </w:style>
  <w:style w:type="paragraph" w:customStyle="1" w:styleId="Tablecaption30">
    <w:name w:val="Table caption (3)"/>
    <w:basedOn w:val="Normal"/>
    <w:link w:val="Tablecaption3"/>
    <w:rsid w:val="008C580E"/>
    <w:pPr>
      <w:widowControl w:val="0"/>
      <w:shd w:val="clear" w:color="auto" w:fill="FFFFFF"/>
      <w:spacing w:line="200" w:lineRule="exact"/>
    </w:pPr>
    <w:rPr>
      <w:rFonts w:ascii="Arial" w:eastAsia="Arial" w:hAnsi="Arial"/>
      <w:i/>
      <w:iCs/>
      <w:sz w:val="18"/>
      <w:szCs w:val="18"/>
    </w:rPr>
  </w:style>
  <w:style w:type="paragraph" w:customStyle="1" w:styleId="Tablecaption40">
    <w:name w:val="Table caption (4)"/>
    <w:basedOn w:val="Normal"/>
    <w:link w:val="Tablecaption4"/>
    <w:rsid w:val="008C580E"/>
    <w:pPr>
      <w:widowControl w:val="0"/>
      <w:shd w:val="clear" w:color="auto" w:fill="FFFFFF"/>
      <w:spacing w:line="190" w:lineRule="exact"/>
    </w:pPr>
    <w:rPr>
      <w:rFonts w:ascii="Arial" w:eastAsia="Arial" w:hAnsi="Arial"/>
      <w:i/>
      <w:iCs/>
      <w:sz w:val="17"/>
      <w:szCs w:val="17"/>
    </w:rPr>
  </w:style>
  <w:style w:type="paragraph" w:customStyle="1" w:styleId="m3290324488518500520gmail-bodytext20">
    <w:name w:val="m_3290324488518500520gmail-bodytext20"/>
    <w:basedOn w:val="Normal"/>
    <w:rsid w:val="008C580E"/>
    <w:pPr>
      <w:spacing w:before="100" w:beforeAutospacing="1" w:after="100" w:afterAutospacing="1"/>
    </w:pPr>
    <w:rPr>
      <w:rFonts w:cs="Times New Roman"/>
      <w:sz w:val="24"/>
    </w:rPr>
  </w:style>
  <w:style w:type="paragraph" w:customStyle="1" w:styleId="gmail-bodytext20">
    <w:name w:val="gmail-bodytext20"/>
    <w:basedOn w:val="Normal"/>
    <w:rsid w:val="008C580E"/>
    <w:pPr>
      <w:spacing w:before="100" w:beforeAutospacing="1" w:after="100" w:afterAutospacing="1"/>
    </w:pPr>
    <w:rPr>
      <w:rFonts w:cs="Times New Roman"/>
      <w:sz w:val="24"/>
    </w:rPr>
  </w:style>
  <w:style w:type="paragraph" w:customStyle="1" w:styleId="BlankTab">
    <w:name w:val="Blank Tab"/>
    <w:basedOn w:val="Normal"/>
    <w:rsid w:val="008C580E"/>
    <w:pPr>
      <w:overflowPunct w:val="0"/>
      <w:autoSpaceDE w:val="0"/>
      <w:autoSpaceDN w:val="0"/>
      <w:adjustRightInd w:val="0"/>
      <w:spacing w:before="60" w:after="60"/>
      <w:jc w:val="both"/>
      <w:textAlignment w:val="baseline"/>
    </w:pPr>
    <w:rPr>
      <w:rFonts w:cs="Times New Roman"/>
      <w:szCs w:val="20"/>
      <w:u w:val="single"/>
    </w:rPr>
  </w:style>
  <w:style w:type="paragraph" w:customStyle="1" w:styleId="NewHeader">
    <w:name w:val="New Header"/>
    <w:basedOn w:val="Header"/>
    <w:rsid w:val="008C580E"/>
    <w:pPr>
      <w:pBdr>
        <w:bottom w:val="single" w:sz="6" w:space="5" w:color="auto"/>
      </w:pBdr>
      <w:tabs>
        <w:tab w:val="clear" w:pos="4680"/>
        <w:tab w:val="clear" w:pos="9360"/>
        <w:tab w:val="center" w:pos="4320"/>
        <w:tab w:val="right" w:pos="8640"/>
      </w:tabs>
      <w:overflowPunct w:val="0"/>
      <w:autoSpaceDE w:val="0"/>
      <w:autoSpaceDN w:val="0"/>
      <w:adjustRightInd w:val="0"/>
      <w:spacing w:before="60" w:after="60"/>
      <w:ind w:left="-115"/>
      <w:textAlignment w:val="baseline"/>
    </w:pPr>
    <w:rPr>
      <w:rFonts w:cs="Times New Roman"/>
      <w:spacing w:val="-2"/>
      <w:sz w:val="24"/>
      <w:szCs w:val="20"/>
    </w:rPr>
  </w:style>
  <w:style w:type="paragraph" w:customStyle="1" w:styleId="NewHeader1">
    <w:name w:val="New Header1"/>
    <w:basedOn w:val="Header"/>
    <w:rsid w:val="008C580E"/>
    <w:pPr>
      <w:tabs>
        <w:tab w:val="clear" w:pos="4680"/>
        <w:tab w:val="clear" w:pos="9360"/>
        <w:tab w:val="center" w:pos="4320"/>
        <w:tab w:val="right" w:pos="8640"/>
      </w:tabs>
      <w:overflowPunct w:val="0"/>
      <w:autoSpaceDE w:val="0"/>
      <w:autoSpaceDN w:val="0"/>
      <w:adjustRightInd w:val="0"/>
      <w:ind w:left="-108"/>
      <w:textAlignment w:val="baseline"/>
    </w:pPr>
    <w:rPr>
      <w:rFonts w:cs="Times New Roman"/>
      <w:spacing w:val="-2"/>
      <w:sz w:val="24"/>
      <w:szCs w:val="20"/>
    </w:rPr>
  </w:style>
  <w:style w:type="paragraph" w:customStyle="1" w:styleId="NewHeader2">
    <w:name w:val="New Header2"/>
    <w:basedOn w:val="Header"/>
    <w:rsid w:val="008C580E"/>
    <w:pPr>
      <w:tabs>
        <w:tab w:val="clear" w:pos="4680"/>
        <w:tab w:val="clear" w:pos="9360"/>
        <w:tab w:val="center" w:pos="4320"/>
        <w:tab w:val="right" w:pos="8640"/>
      </w:tabs>
      <w:overflowPunct w:val="0"/>
      <w:autoSpaceDE w:val="0"/>
      <w:autoSpaceDN w:val="0"/>
      <w:adjustRightInd w:val="0"/>
      <w:ind w:left="-108"/>
      <w:textAlignment w:val="baseline"/>
    </w:pPr>
    <w:rPr>
      <w:rFonts w:cs="Times New Roman"/>
      <w:spacing w:val="-2"/>
      <w:szCs w:val="20"/>
    </w:rPr>
  </w:style>
  <w:style w:type="paragraph" w:customStyle="1" w:styleId="normaltext">
    <w:name w:val="normal text"/>
    <w:basedOn w:val="Normal"/>
    <w:rsid w:val="008C580E"/>
    <w:pPr>
      <w:overflowPunct w:val="0"/>
      <w:autoSpaceDE w:val="0"/>
      <w:autoSpaceDN w:val="0"/>
      <w:adjustRightInd w:val="0"/>
      <w:textAlignment w:val="baseline"/>
    </w:pPr>
    <w:rPr>
      <w:rFonts w:cs="Times New Roman"/>
      <w:color w:val="000000"/>
      <w:sz w:val="18"/>
      <w:szCs w:val="20"/>
      <w:lang w:val="en-GB"/>
    </w:rPr>
  </w:style>
  <w:style w:type="paragraph" w:customStyle="1" w:styleId="p22">
    <w:name w:val="p22"/>
    <w:basedOn w:val="Normal"/>
    <w:rsid w:val="008C580E"/>
    <w:pPr>
      <w:widowControl w:val="0"/>
      <w:tabs>
        <w:tab w:val="left" w:pos="720"/>
      </w:tabs>
      <w:overflowPunct w:val="0"/>
      <w:autoSpaceDE w:val="0"/>
      <w:autoSpaceDN w:val="0"/>
      <w:adjustRightInd w:val="0"/>
      <w:spacing w:line="240" w:lineRule="atLeast"/>
      <w:jc w:val="both"/>
      <w:textAlignment w:val="baseline"/>
    </w:pPr>
    <w:rPr>
      <w:rFonts w:ascii="Times" w:hAnsi="Times" w:cs="Times New Roman"/>
      <w:sz w:val="24"/>
      <w:szCs w:val="20"/>
      <w:lang w:val="en-GB"/>
    </w:rPr>
  </w:style>
  <w:style w:type="paragraph" w:customStyle="1" w:styleId="p21">
    <w:name w:val="p21"/>
    <w:basedOn w:val="Normal"/>
    <w:rsid w:val="008C580E"/>
    <w:pPr>
      <w:widowControl w:val="0"/>
      <w:overflowPunct w:val="0"/>
      <w:autoSpaceDE w:val="0"/>
      <w:autoSpaceDN w:val="0"/>
      <w:adjustRightInd w:val="0"/>
      <w:spacing w:line="240" w:lineRule="atLeast"/>
      <w:ind w:left="740" w:hanging="740"/>
      <w:jc w:val="both"/>
      <w:textAlignment w:val="baseline"/>
    </w:pPr>
    <w:rPr>
      <w:rFonts w:ascii="Times" w:hAnsi="Times" w:cs="Times New Roman"/>
      <w:sz w:val="24"/>
      <w:szCs w:val="20"/>
      <w:lang w:val="en-GB"/>
    </w:rPr>
  </w:style>
  <w:style w:type="paragraph" w:customStyle="1" w:styleId="Style1">
    <w:name w:val="Style1"/>
    <w:basedOn w:val="Normal"/>
    <w:rsid w:val="008C580E"/>
    <w:pPr>
      <w:overflowPunct w:val="0"/>
      <w:autoSpaceDE w:val="0"/>
      <w:autoSpaceDN w:val="0"/>
      <w:adjustRightInd w:val="0"/>
      <w:textAlignment w:val="baseline"/>
    </w:pPr>
    <w:rPr>
      <w:rFonts w:cs="Times New Roman"/>
      <w:b/>
      <w:bCs/>
      <w:szCs w:val="20"/>
      <w:lang w:val="en-GB"/>
    </w:rPr>
  </w:style>
  <w:style w:type="paragraph" w:customStyle="1" w:styleId="BodyText29">
    <w:name w:val="Body Text 29"/>
    <w:basedOn w:val="Normal"/>
    <w:uiPriority w:val="99"/>
    <w:rsid w:val="008C580E"/>
    <w:pPr>
      <w:spacing w:line="288" w:lineRule="exact"/>
      <w:ind w:left="426"/>
      <w:jc w:val="both"/>
    </w:pPr>
    <w:rPr>
      <w:rFonts w:ascii="Arial" w:hAnsi="Arial" w:cs="Times New Roman"/>
      <w:spacing w:val="5"/>
      <w:position w:val="2"/>
      <w:sz w:val="22"/>
      <w:szCs w:val="20"/>
    </w:rPr>
  </w:style>
  <w:style w:type="paragraph" w:customStyle="1" w:styleId="Definitions">
    <w:name w:val="Definitions"/>
    <w:basedOn w:val="Normal"/>
    <w:rsid w:val="008C580E"/>
    <w:pPr>
      <w:tabs>
        <w:tab w:val="left" w:pos="720"/>
      </w:tabs>
      <w:spacing w:after="240" w:line="240" w:lineRule="atLeast"/>
    </w:pPr>
    <w:rPr>
      <w:rFonts w:ascii="TimesNewRomanPS" w:hAnsi="TimesNewRomanPS" w:cs="Times New Roman"/>
      <w:szCs w:val="20"/>
      <w:lang w:val="en-GB"/>
    </w:rPr>
  </w:style>
  <w:style w:type="paragraph" w:customStyle="1" w:styleId="fstabs">
    <w:name w:val="fstabs"/>
    <w:basedOn w:val="Normal"/>
    <w:rsid w:val="008C580E"/>
    <w:pPr>
      <w:widowControl w:val="0"/>
      <w:tabs>
        <w:tab w:val="left" w:pos="720"/>
        <w:tab w:val="decimal" w:pos="5760"/>
        <w:tab w:val="decimal" w:pos="7920"/>
      </w:tabs>
      <w:ind w:right="36"/>
      <w:jc w:val="both"/>
    </w:pPr>
    <w:rPr>
      <w:rFonts w:cs="Times New Roman"/>
      <w:b/>
      <w:szCs w:val="20"/>
      <w:lang w:val="en-GB"/>
    </w:rPr>
  </w:style>
  <w:style w:type="character" w:customStyle="1" w:styleId="UnresolvedMention10">
    <w:name w:val="Unresolved Mention1"/>
    <w:basedOn w:val="DefaultParagraphFont"/>
    <w:uiPriority w:val="99"/>
    <w:semiHidden/>
    <w:unhideWhenUsed/>
    <w:rsid w:val="008C580E"/>
    <w:rPr>
      <w:color w:val="605E5C"/>
      <w:shd w:val="clear" w:color="auto" w:fill="E1DFDD"/>
    </w:rPr>
  </w:style>
  <w:style w:type="paragraph" w:customStyle="1" w:styleId="Char">
    <w:name w:val="Char"/>
    <w:basedOn w:val="Normal"/>
    <w:rsid w:val="008C580E"/>
    <w:pPr>
      <w:spacing w:after="160" w:line="240" w:lineRule="exact"/>
    </w:pPr>
    <w:rPr>
      <w:rFonts w:ascii="Tahoma" w:hAnsi="Tahoma" w:cs="Times New Roman"/>
      <w:szCs w:val="20"/>
    </w:rPr>
  </w:style>
  <w:style w:type="paragraph" w:customStyle="1" w:styleId="DefaultParagraphFontParaChar">
    <w:name w:val="Default Paragraph Font Para Char"/>
    <w:basedOn w:val="Normal"/>
    <w:rsid w:val="008C580E"/>
    <w:pPr>
      <w:spacing w:after="160" w:line="240" w:lineRule="exact"/>
    </w:pPr>
    <w:rPr>
      <w:rFonts w:ascii="Tahoma" w:hAnsi="Tahoma" w:cs="Times New Roman"/>
      <w:szCs w:val="20"/>
    </w:rPr>
  </w:style>
  <w:style w:type="table" w:customStyle="1" w:styleId="TableGrid19">
    <w:name w:val="Table Grid19"/>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580E"/>
    <w:pPr>
      <w:widowControl w:val="0"/>
      <w:jc w:val="right"/>
    </w:pPr>
    <w:rPr>
      <w:rFonts w:ascii="Arial" w:eastAsia="Arial" w:hAnsi="Arial"/>
      <w:sz w:val="22"/>
      <w:szCs w:val="22"/>
    </w:rPr>
  </w:style>
  <w:style w:type="paragraph" w:customStyle="1" w:styleId="Char3">
    <w:name w:val="Char3"/>
    <w:basedOn w:val="Normal"/>
    <w:rsid w:val="008C580E"/>
    <w:pPr>
      <w:spacing w:after="160" w:line="240" w:lineRule="exact"/>
    </w:pPr>
    <w:rPr>
      <w:rFonts w:ascii="Tahoma" w:hAnsi="Tahoma" w:cs="Times New Roman"/>
      <w:szCs w:val="20"/>
    </w:rPr>
  </w:style>
  <w:style w:type="paragraph" w:customStyle="1" w:styleId="company">
    <w:name w:val="company"/>
    <w:basedOn w:val="Normal"/>
    <w:rsid w:val="008C580E"/>
    <w:pPr>
      <w:widowControl w:val="0"/>
    </w:pPr>
    <w:rPr>
      <w:rFonts w:cs="Traditional Arabic"/>
      <w:b/>
      <w:bCs/>
      <w:snapToGrid w:val="0"/>
      <w:sz w:val="24"/>
      <w:szCs w:val="20"/>
      <w:lang w:val="en-GB"/>
    </w:rPr>
  </w:style>
  <w:style w:type="table" w:customStyle="1" w:styleId="TableGrid200">
    <w:name w:val="Table Grid20"/>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1">
    <w:name w:val="short_text1"/>
    <w:uiPriority w:val="99"/>
    <w:rsid w:val="008C580E"/>
    <w:rPr>
      <w:sz w:val="29"/>
      <w:szCs w:val="29"/>
    </w:rPr>
  </w:style>
  <w:style w:type="character" w:customStyle="1" w:styleId="longtext1">
    <w:name w:val="long_text1"/>
    <w:rsid w:val="008C580E"/>
    <w:rPr>
      <w:sz w:val="20"/>
      <w:szCs w:val="20"/>
    </w:rPr>
  </w:style>
  <w:style w:type="character" w:customStyle="1" w:styleId="mediumtext1">
    <w:name w:val="medium_text1"/>
    <w:uiPriority w:val="99"/>
    <w:rsid w:val="008C580E"/>
    <w:rPr>
      <w:sz w:val="24"/>
      <w:szCs w:val="24"/>
    </w:rPr>
  </w:style>
  <w:style w:type="paragraph" w:customStyle="1" w:styleId="Char2">
    <w:name w:val="Char2"/>
    <w:basedOn w:val="Normal"/>
    <w:rsid w:val="008C580E"/>
    <w:pPr>
      <w:spacing w:after="160" w:line="240" w:lineRule="exact"/>
    </w:pPr>
    <w:rPr>
      <w:rFonts w:ascii="Tahoma" w:hAnsi="Tahoma" w:cs="Times New Roman"/>
      <w:szCs w:val="20"/>
    </w:rPr>
  </w:style>
  <w:style w:type="table" w:customStyle="1" w:styleId="TableGrid23">
    <w:name w:val="Table Grid23"/>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8C580E"/>
    <w:pPr>
      <w:spacing w:after="160" w:line="240" w:lineRule="exact"/>
    </w:pPr>
    <w:rPr>
      <w:rFonts w:ascii="Tahoma" w:hAnsi="Tahoma" w:cs="Times New Roman"/>
      <w:szCs w:val="20"/>
    </w:rPr>
  </w:style>
  <w:style w:type="table" w:customStyle="1" w:styleId="TableGrid25">
    <w:name w:val="Table Grid25"/>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rsid w:val="008C580E"/>
    <w:pPr>
      <w:spacing w:after="160" w:line="240" w:lineRule="exact"/>
    </w:pPr>
    <w:rPr>
      <w:rFonts w:ascii="Tahoma" w:hAnsi="Tahoma" w:cs="Times New Roman"/>
      <w:szCs w:val="20"/>
    </w:rPr>
  </w:style>
  <w:style w:type="table" w:customStyle="1" w:styleId="TableGrid26">
    <w:name w:val="Table Grid26"/>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
    <w:name w:val="Char8"/>
    <w:basedOn w:val="Normal"/>
    <w:rsid w:val="008C580E"/>
    <w:pPr>
      <w:spacing w:after="160" w:line="240" w:lineRule="exact"/>
    </w:pPr>
    <w:rPr>
      <w:rFonts w:ascii="Tahoma" w:hAnsi="Tahoma" w:cs="Times New Roman"/>
      <w:szCs w:val="20"/>
    </w:rPr>
  </w:style>
  <w:style w:type="table" w:customStyle="1" w:styleId="TableGrid27">
    <w:name w:val="Table Grid27"/>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link w:val="BodycopyChar"/>
    <w:rsid w:val="008C580E"/>
    <w:pPr>
      <w:spacing w:before="20" w:after="0" w:line="210" w:lineRule="exact"/>
    </w:pPr>
    <w:rPr>
      <w:rFonts w:ascii="Arial" w:eastAsia="PMingLiU" w:hAnsi="Arial" w:cs="Arial"/>
      <w:color w:val="000000"/>
      <w:sz w:val="17"/>
      <w:szCs w:val="17"/>
    </w:rPr>
  </w:style>
  <w:style w:type="character" w:customStyle="1" w:styleId="BodycopyChar">
    <w:name w:val="Body copy Char"/>
    <w:link w:val="Bodycopy"/>
    <w:rsid w:val="008C580E"/>
    <w:rPr>
      <w:rFonts w:ascii="Arial" w:eastAsia="PMingLiU" w:hAnsi="Arial" w:cs="Arial"/>
      <w:color w:val="000000"/>
      <w:sz w:val="17"/>
      <w:szCs w:val="17"/>
    </w:rPr>
  </w:style>
  <w:style w:type="paragraph" w:customStyle="1" w:styleId="Char7">
    <w:name w:val="Char7"/>
    <w:basedOn w:val="Normal"/>
    <w:rsid w:val="008C580E"/>
    <w:pPr>
      <w:spacing w:after="160" w:line="240" w:lineRule="exact"/>
    </w:pPr>
    <w:rPr>
      <w:rFonts w:ascii="Tahoma" w:hAnsi="Tahoma" w:cs="Times New Roman"/>
      <w:szCs w:val="20"/>
    </w:rPr>
  </w:style>
  <w:style w:type="table" w:customStyle="1" w:styleId="TableGrid28">
    <w:name w:val="Table Grid28"/>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6">
    <w:name w:val="Char6"/>
    <w:basedOn w:val="Normal"/>
    <w:rsid w:val="008C580E"/>
    <w:pPr>
      <w:spacing w:after="160" w:line="240" w:lineRule="exact"/>
    </w:pPr>
    <w:rPr>
      <w:rFonts w:ascii="Tahoma" w:hAnsi="Tahoma" w:cs="Times New Roman"/>
      <w:szCs w:val="20"/>
    </w:rPr>
  </w:style>
  <w:style w:type="table" w:customStyle="1" w:styleId="TableGrid300">
    <w:name w:val="Table Grid30"/>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rsid w:val="008C580E"/>
    <w:pPr>
      <w:spacing w:after="160" w:line="240" w:lineRule="exact"/>
    </w:pPr>
    <w:rPr>
      <w:rFonts w:ascii="Tahoma" w:hAnsi="Tahoma" w:cs="Times New Roman"/>
      <w:szCs w:val="20"/>
    </w:rPr>
  </w:style>
  <w:style w:type="table" w:customStyle="1" w:styleId="TableGrid33">
    <w:name w:val="Table Grid33"/>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3">
    <w:name w:val="Colorful Grid13"/>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3">
    <w:name w:val="Colorful Grid - Accent 33"/>
    <w:basedOn w:val="TableNormal"/>
    <w:next w:val="ColorfulGrid-Accent3"/>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3">
    <w:name w:val="Colorful Grid - Accent 53"/>
    <w:basedOn w:val="TableNormal"/>
    <w:next w:val="ColorfulGrid-Accent5"/>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3">
    <w:name w:val="Colorful Grid - Accent 63"/>
    <w:basedOn w:val="TableNormal"/>
    <w:next w:val="ColorfulGrid-Accent6"/>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3">
    <w:name w:val="Colorful List13"/>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3">
    <w:name w:val="Colorful List - Accent 13"/>
    <w:basedOn w:val="TableNormal"/>
    <w:next w:val="ColorfulList-Accent1"/>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3">
    <w:name w:val="Colorful List - Accent 23"/>
    <w:basedOn w:val="TableNormal"/>
    <w:next w:val="ColorfulList-Accent2"/>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3">
    <w:name w:val="Colorful List - Accent 33"/>
    <w:basedOn w:val="TableNormal"/>
    <w:next w:val="ColorfulList-Accent3"/>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
    <w:name w:val="Colorful List - Accent 43"/>
    <w:basedOn w:val="TableNormal"/>
    <w:next w:val="ColorfulList-Accent4"/>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3">
    <w:name w:val="Colorful List - Accent 53"/>
    <w:basedOn w:val="TableNormal"/>
    <w:next w:val="ColorfulList-Accent5"/>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3">
    <w:name w:val="Colorful List - Accent 63"/>
    <w:basedOn w:val="TableNormal"/>
    <w:next w:val="ColorfulList-Accent6"/>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3">
    <w:name w:val="Colorful Shading13"/>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3">
    <w:name w:val="Colorful Shading - Accent 23"/>
    <w:basedOn w:val="TableNormal"/>
    <w:next w:val="ColorfulShading-Accent2"/>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3">
    <w:name w:val="Colorful Shading - Accent 43"/>
    <w:basedOn w:val="TableNormal"/>
    <w:next w:val="ColorfulShading-Accent4"/>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3">
    <w:name w:val="Colorful Shading - Accent 53"/>
    <w:basedOn w:val="TableNormal"/>
    <w:next w:val="ColorfulShading-Accent5"/>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3">
    <w:name w:val="Colorful Shading - Accent 63"/>
    <w:basedOn w:val="TableNormal"/>
    <w:next w:val="ColorfulShading-Accent6"/>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3">
    <w:name w:val="Dark List13"/>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3">
    <w:name w:val="Dark List - Accent 33"/>
    <w:basedOn w:val="TableNormal"/>
    <w:next w:val="DarkList-Accent3"/>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3">
    <w:name w:val="Dark List - Accent 43"/>
    <w:basedOn w:val="TableNormal"/>
    <w:next w:val="DarkList-Accent4"/>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3">
    <w:name w:val="Dark List - Accent 53"/>
    <w:basedOn w:val="TableNormal"/>
    <w:next w:val="DarkList-Accent5"/>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3">
    <w:name w:val="Dark List - Accent 63"/>
    <w:basedOn w:val="TableNormal"/>
    <w:next w:val="DarkList-Accent6"/>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3">
    <w:name w:val="Light Grid13"/>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3">
    <w:name w:val="Light Grid - Accent 113"/>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3">
    <w:name w:val="Light Grid - Accent 23"/>
    <w:basedOn w:val="TableNormal"/>
    <w:next w:val="LightGrid-Accent2"/>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3">
    <w:name w:val="Light Grid - Accent 33"/>
    <w:basedOn w:val="TableNormal"/>
    <w:next w:val="LightGrid-Accent3"/>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next w:val="LightGrid-Accent4"/>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
    <w:name w:val="Light Grid - Accent 53"/>
    <w:basedOn w:val="TableNormal"/>
    <w:next w:val="LightGrid-Accent5"/>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next w:val="LightGrid-Accent6"/>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3">
    <w:name w:val="Light List13"/>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3">
    <w:name w:val="Light List - Accent 113"/>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3">
    <w:name w:val="Light List - Accent 23"/>
    <w:basedOn w:val="TableNormal"/>
    <w:next w:val="LightList-Accent2"/>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3">
    <w:name w:val="Light List - Accent 33"/>
    <w:basedOn w:val="TableNormal"/>
    <w:next w:val="LightList-Accent3"/>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3">
    <w:name w:val="Light List - Accent 43"/>
    <w:basedOn w:val="TableNormal"/>
    <w:next w:val="LightList-Accent4"/>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3">
    <w:name w:val="Light List - Accent 63"/>
    <w:basedOn w:val="TableNormal"/>
    <w:next w:val="LightList-Accent6"/>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3">
    <w:name w:val="Light Shading13"/>
    <w:basedOn w:val="TableNormal"/>
    <w:uiPriority w:val="60"/>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TableNormal"/>
    <w:uiPriority w:val="60"/>
    <w:rsid w:val="008C580E"/>
    <w:pPr>
      <w:spacing w:after="0" w:line="240" w:lineRule="auto"/>
    </w:pPr>
    <w:rPr>
      <w:rFonts w:ascii="Times New Roman" w:eastAsia="Times New Roman" w:hAnsi="Times New Roman" w:cs="Arial"/>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8C580E"/>
    <w:pPr>
      <w:spacing w:after="0" w:line="240" w:lineRule="auto"/>
    </w:pPr>
    <w:rPr>
      <w:rFonts w:ascii="Times New Roman" w:eastAsia="Times New Roman" w:hAnsi="Times New Roman" w:cs="Arial"/>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8C580E"/>
    <w:pPr>
      <w:spacing w:after="0" w:line="240" w:lineRule="auto"/>
    </w:pPr>
    <w:rPr>
      <w:rFonts w:ascii="Times New Roman" w:eastAsia="Times New Roman" w:hAnsi="Times New Roman" w:cs="Arial"/>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8C580E"/>
    <w:pPr>
      <w:spacing w:after="0" w:line="240" w:lineRule="auto"/>
    </w:pPr>
    <w:rPr>
      <w:rFonts w:ascii="Times New Roman" w:eastAsia="Times New Roman" w:hAnsi="Times New Roman" w:cs="Arial"/>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8C580E"/>
    <w:pPr>
      <w:spacing w:after="0" w:line="240" w:lineRule="auto"/>
    </w:pPr>
    <w:rPr>
      <w:rFonts w:ascii="Times New Roman" w:eastAsia="Times New Roman" w:hAnsi="Times New Roman" w:cs="Arial"/>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3">
    <w:name w:val="Light Shading - Accent 63"/>
    <w:basedOn w:val="TableNormal"/>
    <w:next w:val="LightShading-Accent6"/>
    <w:uiPriority w:val="60"/>
    <w:rsid w:val="008C580E"/>
    <w:pPr>
      <w:spacing w:after="0" w:line="240" w:lineRule="auto"/>
    </w:pPr>
    <w:rPr>
      <w:rFonts w:ascii="Times New Roman" w:eastAsia="Times New Roman" w:hAnsi="Times New Roman" w:cs="Arial"/>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3">
    <w:name w:val="Medium Grid 113"/>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3">
    <w:name w:val="Medium Grid 1 - Accent 23"/>
    <w:basedOn w:val="TableNormal"/>
    <w:next w:val="MediumGrid1-Accent2"/>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3">
    <w:name w:val="Medium Grid 1 - Accent 33"/>
    <w:basedOn w:val="TableNormal"/>
    <w:next w:val="MediumGrid1-Accent3"/>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3">
    <w:name w:val="Medium Grid 1 - Accent 43"/>
    <w:basedOn w:val="TableNormal"/>
    <w:next w:val="MediumGrid1-Accent4"/>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3">
    <w:name w:val="Medium Grid 1 - Accent 53"/>
    <w:basedOn w:val="TableNormal"/>
    <w:next w:val="MediumGrid1-Accent5"/>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3">
    <w:name w:val="Medium Grid 1 - Accent 63"/>
    <w:basedOn w:val="TableNormal"/>
    <w:next w:val="MediumGrid1-Accent6"/>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3">
    <w:name w:val="Medium Grid 213"/>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3">
    <w:name w:val="Medium Grid 2 - Accent 13"/>
    <w:basedOn w:val="TableNormal"/>
    <w:next w:val="MediumGrid2-Accent1"/>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3">
    <w:name w:val="Medium Grid 2 - Accent 23"/>
    <w:basedOn w:val="TableNormal"/>
    <w:next w:val="MediumGrid2-Accent2"/>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3">
    <w:name w:val="Medium Grid 2 - Accent 33"/>
    <w:basedOn w:val="TableNormal"/>
    <w:next w:val="MediumGrid2-Accent3"/>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3">
    <w:name w:val="Medium Grid 2 - Accent 43"/>
    <w:basedOn w:val="TableNormal"/>
    <w:next w:val="MediumGrid2-Accent4"/>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3">
    <w:name w:val="Medium Grid 2 - Accent 53"/>
    <w:basedOn w:val="TableNormal"/>
    <w:next w:val="MediumGrid2-Accent5"/>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3">
    <w:name w:val="Medium Grid 2 - Accent 63"/>
    <w:basedOn w:val="TableNormal"/>
    <w:next w:val="MediumGrid2-Accent6"/>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3">
    <w:name w:val="Medium Grid 313"/>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3">
    <w:name w:val="Medium Grid 3 - Accent 23"/>
    <w:basedOn w:val="TableNormal"/>
    <w:next w:val="MediumGrid3-Accent2"/>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3">
    <w:name w:val="Medium Grid 3 - Accent 33"/>
    <w:basedOn w:val="TableNormal"/>
    <w:next w:val="MediumGrid3-Accent3"/>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3">
    <w:name w:val="Medium Grid 3 - Accent 43"/>
    <w:basedOn w:val="TableNormal"/>
    <w:next w:val="MediumGrid3-Accent4"/>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3">
    <w:name w:val="Medium Grid 3 - Accent 53"/>
    <w:basedOn w:val="TableNormal"/>
    <w:next w:val="MediumGrid3-Accent5"/>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3">
    <w:name w:val="Medium Grid 3 - Accent 63"/>
    <w:basedOn w:val="TableNormal"/>
    <w:next w:val="MediumGrid3-Accent6"/>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3">
    <w:name w:val="Medium List 113"/>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3">
    <w:name w:val="Medium List 1 - Accent 113"/>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
    <w:name w:val="Medium List 1 - Accent 23"/>
    <w:basedOn w:val="TableNormal"/>
    <w:next w:val="MediumList1-Accent2"/>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3">
    <w:name w:val="Medium List 1 - Accent 33"/>
    <w:basedOn w:val="TableNormal"/>
    <w:next w:val="MediumList1-Accent3"/>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3">
    <w:name w:val="Medium List 1 - Accent 43"/>
    <w:basedOn w:val="TableNormal"/>
    <w:next w:val="MediumList1-Accent4"/>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3">
    <w:name w:val="Medium List 1 - Accent 53"/>
    <w:basedOn w:val="TableNormal"/>
    <w:next w:val="MediumList1-Accent5"/>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3">
    <w:name w:val="Medium List 1 - Accent 63"/>
    <w:basedOn w:val="TableNormal"/>
    <w:next w:val="MediumList1-Accent6"/>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3">
    <w:name w:val="Medium List 213"/>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MediumList2-Accent2"/>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3">
    <w:name w:val="Medium List 2 - Accent 33"/>
    <w:basedOn w:val="TableNormal"/>
    <w:next w:val="MediumList2-Accent3"/>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TableNormal"/>
    <w:next w:val="MediumList2-Accent4"/>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3">
    <w:name w:val="Medium List 2 - Accent 63"/>
    <w:basedOn w:val="TableNormal"/>
    <w:next w:val="MediumList2-Accent6"/>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3">
    <w:name w:val="Medium Shading 113"/>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3">
    <w:name w:val="Medium Shading 1 - Accent 113"/>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3">
    <w:name w:val="Medium Shading 213"/>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3">
    <w:name w:val="Medium Shading 2 - Accent 113"/>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3">
    <w:name w:val="Table 3D effects 13"/>
    <w:basedOn w:val="TableNormal"/>
    <w:next w:val="Table3Deffects1"/>
    <w:uiPriority w:val="99"/>
    <w:semiHidden/>
    <w:unhideWhenUsed/>
    <w:rsid w:val="008C580E"/>
    <w:pPr>
      <w:spacing w:after="0" w:line="240" w:lineRule="auto"/>
    </w:pPr>
    <w:rPr>
      <w:rFonts w:ascii="Times New Roman" w:eastAsia="Times New Roman" w:hAnsi="Times New Roman" w:cs="Arial"/>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uiPriority w:val="99"/>
    <w:semiHidden/>
    <w:unhideWhenUsed/>
    <w:rsid w:val="008C580E"/>
    <w:pPr>
      <w:spacing w:after="0" w:line="240" w:lineRule="auto"/>
    </w:pPr>
    <w:rPr>
      <w:rFonts w:ascii="Times New Roman" w:eastAsia="Times New Roman" w:hAnsi="Times New Roman" w:cs="Arial"/>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uiPriority w:val="99"/>
    <w:semiHidden/>
    <w:unhideWhenUsed/>
    <w:rsid w:val="008C580E"/>
    <w:pPr>
      <w:spacing w:after="0" w:line="240" w:lineRule="auto"/>
    </w:pPr>
    <w:rPr>
      <w:rFonts w:ascii="Times New Roman" w:eastAsia="Times New Roman" w:hAnsi="Times New Roman" w:cs="Arial"/>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uiPriority w:val="99"/>
    <w:semiHidden/>
    <w:unhideWhenUsed/>
    <w:rsid w:val="008C580E"/>
    <w:pPr>
      <w:spacing w:after="0" w:line="240" w:lineRule="auto"/>
    </w:pPr>
    <w:rPr>
      <w:rFonts w:ascii="Times New Roman" w:eastAsia="Times New Roman" w:hAnsi="Times New Roman" w:cs="Arial"/>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uiPriority w:val="99"/>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34">
    <w:name w:val="Table Grid34"/>
    <w:basedOn w:val="TableNormal"/>
    <w:next w:val="TableGrid"/>
    <w:uiPriority w:val="59"/>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 13"/>
    <w:basedOn w:val="TableNormal"/>
    <w:next w:val="TableGrid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
    <w:uiPriority w:val="99"/>
    <w:semiHidden/>
    <w:unhideWhenUsed/>
    <w:rsid w:val="008C580E"/>
    <w:pPr>
      <w:spacing w:after="0" w:line="240" w:lineRule="auto"/>
    </w:pPr>
    <w:rPr>
      <w:rFonts w:ascii="Times New Roman" w:eastAsia="Times New Roman" w:hAnsi="Times New Roman" w:cs="Arial"/>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uiPriority w:val="99"/>
    <w:semiHidden/>
    <w:unhideWhenUsed/>
    <w:rsid w:val="008C580E"/>
    <w:pPr>
      <w:spacing w:after="0" w:line="240" w:lineRule="auto"/>
    </w:pPr>
    <w:rPr>
      <w:rFonts w:ascii="Times New Roman" w:eastAsia="Times New Roman" w:hAnsi="Times New Roman" w:cs="Arial"/>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uiPriority w:val="99"/>
    <w:semiHidden/>
    <w:unhideWhenUsed/>
    <w:rsid w:val="008C580E"/>
    <w:pPr>
      <w:spacing w:after="0" w:line="240" w:lineRule="auto"/>
    </w:pPr>
    <w:rPr>
      <w:rFonts w:ascii="Times New Roman" w:eastAsia="Times New Roman" w:hAnsi="Times New Roman" w:cs="Arial"/>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uiPriority w:val="99"/>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00">
    <w:name w:val="Table Grid110"/>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0">
    <w:name w:val="Table Grid210"/>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0">
    <w:name w:val="Table Grid63"/>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 Grid73"/>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uiPriority w:val="59"/>
    <w:rsid w:val="008C580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11">
    <w:name w:val="Colorful Grid111"/>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1">
    <w:name w:val="Colorful Grid - Accent 111"/>
    <w:basedOn w:val="TableNormal"/>
    <w:next w:val="ColorfulGrid-Accent1"/>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1">
    <w:name w:val="Colorful Grid - Accent 211"/>
    <w:basedOn w:val="TableNormal"/>
    <w:next w:val="ColorfulGrid-Accent2"/>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1">
    <w:name w:val="Colorful Grid - Accent 311"/>
    <w:basedOn w:val="TableNormal"/>
    <w:next w:val="ColorfulGrid-Accent3"/>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1">
    <w:name w:val="Colorful Grid - Accent 411"/>
    <w:basedOn w:val="TableNormal"/>
    <w:next w:val="ColorfulGrid-Accent4"/>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1">
    <w:name w:val="Colorful Grid - Accent 511"/>
    <w:basedOn w:val="TableNormal"/>
    <w:next w:val="ColorfulGrid-Accent5"/>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1">
    <w:name w:val="Colorful Grid - Accent 611"/>
    <w:basedOn w:val="TableNormal"/>
    <w:next w:val="ColorfulGrid-Accent6"/>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11">
    <w:name w:val="Colorful List111"/>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1">
    <w:name w:val="Colorful List - Accent 111"/>
    <w:basedOn w:val="TableNormal"/>
    <w:next w:val="ColorfulList-Accent1"/>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1">
    <w:name w:val="Colorful List - Accent 211"/>
    <w:basedOn w:val="TableNormal"/>
    <w:next w:val="ColorfulList-Accent2"/>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1">
    <w:name w:val="Colorful List - Accent 311"/>
    <w:basedOn w:val="TableNormal"/>
    <w:next w:val="ColorfulList-Accent3"/>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1">
    <w:name w:val="Colorful List - Accent 411"/>
    <w:basedOn w:val="TableNormal"/>
    <w:next w:val="ColorfulList-Accent4"/>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1">
    <w:name w:val="Colorful List - Accent 511"/>
    <w:basedOn w:val="TableNormal"/>
    <w:next w:val="ColorfulList-Accent5"/>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1">
    <w:name w:val="Colorful List - Accent 611"/>
    <w:basedOn w:val="TableNormal"/>
    <w:next w:val="ColorfulList-Accent6"/>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11">
    <w:name w:val="Colorful Shading111"/>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1">
    <w:name w:val="Colorful Shading - Accent 111"/>
    <w:basedOn w:val="TableNormal"/>
    <w:next w:val="ColorfulShading-Accent1"/>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1">
    <w:name w:val="Colorful Shading - Accent 211"/>
    <w:basedOn w:val="TableNormal"/>
    <w:next w:val="ColorfulShading-Accent2"/>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1">
    <w:name w:val="Colorful Shading - Accent 311"/>
    <w:basedOn w:val="TableNormal"/>
    <w:next w:val="ColorfulShading-Accent3"/>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1">
    <w:name w:val="Colorful Shading - Accent 411"/>
    <w:basedOn w:val="TableNormal"/>
    <w:next w:val="ColorfulShading-Accent4"/>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1">
    <w:name w:val="Colorful Shading - Accent 511"/>
    <w:basedOn w:val="TableNormal"/>
    <w:next w:val="ColorfulShading-Accent5"/>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1">
    <w:name w:val="Colorful Shading - Accent 611"/>
    <w:basedOn w:val="TableNormal"/>
    <w:next w:val="ColorfulShading-Accent6"/>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11">
    <w:name w:val="Dark List111"/>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1">
    <w:name w:val="Dark List - Accent 111"/>
    <w:basedOn w:val="TableNormal"/>
    <w:next w:val="DarkList-Accent1"/>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1">
    <w:name w:val="Dark List - Accent 211"/>
    <w:basedOn w:val="TableNormal"/>
    <w:next w:val="DarkList-Accent2"/>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1">
    <w:name w:val="Dark List - Accent 311"/>
    <w:basedOn w:val="TableNormal"/>
    <w:next w:val="DarkList-Accent3"/>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1">
    <w:name w:val="Dark List - Accent 411"/>
    <w:basedOn w:val="TableNormal"/>
    <w:next w:val="DarkList-Accent4"/>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1">
    <w:name w:val="Dark List - Accent 511"/>
    <w:basedOn w:val="TableNormal"/>
    <w:next w:val="DarkList-Accent5"/>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1">
    <w:name w:val="Dark List - Accent 611"/>
    <w:basedOn w:val="TableNormal"/>
    <w:next w:val="DarkList-Accent6"/>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11">
    <w:name w:val="Light Grid111"/>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
    <w:name w:val="Light Grid - Accent 1111"/>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1">
    <w:name w:val="Light Grid - Accent 211"/>
    <w:basedOn w:val="TableNormal"/>
    <w:next w:val="LightGrid-Accent2"/>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1">
    <w:name w:val="Light Grid - Accent 311"/>
    <w:basedOn w:val="TableNormal"/>
    <w:next w:val="LightGrid-Accent3"/>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1">
    <w:name w:val="Light Grid - Accent 411"/>
    <w:basedOn w:val="TableNormal"/>
    <w:next w:val="LightGrid-Accent4"/>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1">
    <w:name w:val="Light Grid - Accent 511"/>
    <w:basedOn w:val="TableNormal"/>
    <w:next w:val="LightGrid-Accent5"/>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1">
    <w:name w:val="Light Grid - Accent 611"/>
    <w:basedOn w:val="TableNormal"/>
    <w:next w:val="LightGrid-Accent6"/>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11">
    <w:name w:val="Light List111"/>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
    <w:name w:val="Light List - Accent 1111"/>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1">
    <w:name w:val="Light List - Accent 211"/>
    <w:basedOn w:val="TableNormal"/>
    <w:next w:val="LightList-Accent2"/>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1">
    <w:name w:val="Light List - Accent 311"/>
    <w:basedOn w:val="TableNormal"/>
    <w:next w:val="LightList-Accent3"/>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1">
    <w:name w:val="Light List - Accent 411"/>
    <w:basedOn w:val="TableNormal"/>
    <w:next w:val="LightList-Accent4"/>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1">
    <w:name w:val="Light List - Accent 511"/>
    <w:basedOn w:val="TableNormal"/>
    <w:next w:val="LightList-Accent5"/>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1">
    <w:name w:val="Light List - Accent 611"/>
    <w:basedOn w:val="TableNormal"/>
    <w:next w:val="LightList-Accent6"/>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11">
    <w:name w:val="Light Shading111"/>
    <w:basedOn w:val="TableNormal"/>
    <w:uiPriority w:val="60"/>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
    <w:name w:val="Light Shading - Accent 1111"/>
    <w:basedOn w:val="TableNormal"/>
    <w:uiPriority w:val="60"/>
    <w:rsid w:val="008C580E"/>
    <w:pPr>
      <w:spacing w:after="0" w:line="240" w:lineRule="auto"/>
    </w:pPr>
    <w:rPr>
      <w:rFonts w:ascii="Times New Roman" w:eastAsia="Times New Roman" w:hAnsi="Times New Roman" w:cs="Arial"/>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
    <w:name w:val="Light Shading - Accent 211"/>
    <w:basedOn w:val="TableNormal"/>
    <w:next w:val="LightShading-Accent2"/>
    <w:uiPriority w:val="60"/>
    <w:rsid w:val="008C580E"/>
    <w:pPr>
      <w:spacing w:after="0" w:line="240" w:lineRule="auto"/>
    </w:pPr>
    <w:rPr>
      <w:rFonts w:ascii="Times New Roman" w:eastAsia="Times New Roman" w:hAnsi="Times New Roman" w:cs="Arial"/>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
    <w:name w:val="Light Shading - Accent 311"/>
    <w:basedOn w:val="TableNormal"/>
    <w:next w:val="LightShading-Accent3"/>
    <w:uiPriority w:val="60"/>
    <w:rsid w:val="008C580E"/>
    <w:pPr>
      <w:spacing w:after="0" w:line="240" w:lineRule="auto"/>
    </w:pPr>
    <w:rPr>
      <w:rFonts w:ascii="Times New Roman" w:eastAsia="Times New Roman" w:hAnsi="Times New Roman" w:cs="Arial"/>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1">
    <w:name w:val="Light Shading - Accent 411"/>
    <w:basedOn w:val="TableNormal"/>
    <w:next w:val="LightShading-Accent4"/>
    <w:uiPriority w:val="60"/>
    <w:rsid w:val="008C580E"/>
    <w:pPr>
      <w:spacing w:after="0" w:line="240" w:lineRule="auto"/>
    </w:pPr>
    <w:rPr>
      <w:rFonts w:ascii="Times New Roman" w:eastAsia="Times New Roman" w:hAnsi="Times New Roman" w:cs="Arial"/>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
    <w:name w:val="Light Shading - Accent 511"/>
    <w:basedOn w:val="TableNormal"/>
    <w:next w:val="LightShading-Accent5"/>
    <w:uiPriority w:val="60"/>
    <w:rsid w:val="008C580E"/>
    <w:pPr>
      <w:spacing w:after="0" w:line="240" w:lineRule="auto"/>
    </w:pPr>
    <w:rPr>
      <w:rFonts w:ascii="Times New Roman" w:eastAsia="Times New Roman" w:hAnsi="Times New Roman" w:cs="Arial"/>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1">
    <w:name w:val="Light Shading - Accent 611"/>
    <w:basedOn w:val="TableNormal"/>
    <w:next w:val="LightShading-Accent6"/>
    <w:uiPriority w:val="60"/>
    <w:rsid w:val="008C580E"/>
    <w:pPr>
      <w:spacing w:after="0" w:line="240" w:lineRule="auto"/>
    </w:pPr>
    <w:rPr>
      <w:rFonts w:ascii="Times New Roman" w:eastAsia="Times New Roman" w:hAnsi="Times New Roman" w:cs="Arial"/>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11">
    <w:name w:val="Medium Grid 1111"/>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1">
    <w:name w:val="Medium Grid 1 - Accent 111"/>
    <w:basedOn w:val="TableNormal"/>
    <w:next w:val="MediumGrid1-Accent1"/>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1">
    <w:name w:val="Medium Grid 1 - Accent 211"/>
    <w:basedOn w:val="TableNormal"/>
    <w:next w:val="MediumGrid1-Accent2"/>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1">
    <w:name w:val="Medium Grid 1 - Accent 311"/>
    <w:basedOn w:val="TableNormal"/>
    <w:next w:val="MediumGrid1-Accent3"/>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1">
    <w:name w:val="Medium Grid 1 - Accent 411"/>
    <w:basedOn w:val="TableNormal"/>
    <w:next w:val="MediumGrid1-Accent4"/>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1">
    <w:name w:val="Medium Grid 1 - Accent 511"/>
    <w:basedOn w:val="TableNormal"/>
    <w:next w:val="MediumGrid1-Accent5"/>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1">
    <w:name w:val="Medium Grid 1 - Accent 611"/>
    <w:basedOn w:val="TableNormal"/>
    <w:next w:val="MediumGrid1-Accent6"/>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11">
    <w:name w:val="Medium Grid 2111"/>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1">
    <w:name w:val="Medium Grid 2 - Accent 111"/>
    <w:basedOn w:val="TableNormal"/>
    <w:next w:val="MediumGrid2-Accent1"/>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1">
    <w:name w:val="Medium Grid 2 - Accent 211"/>
    <w:basedOn w:val="TableNormal"/>
    <w:next w:val="MediumGrid2-Accent2"/>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1">
    <w:name w:val="Medium Grid 2 - Accent 311"/>
    <w:basedOn w:val="TableNormal"/>
    <w:next w:val="MediumGrid2-Accent3"/>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1">
    <w:name w:val="Medium Grid 2 - Accent 411"/>
    <w:basedOn w:val="TableNormal"/>
    <w:next w:val="MediumGrid2-Accent4"/>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1">
    <w:name w:val="Medium Grid 2 - Accent 511"/>
    <w:basedOn w:val="TableNormal"/>
    <w:next w:val="MediumGrid2-Accent5"/>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1">
    <w:name w:val="Medium Grid 2 - Accent 611"/>
    <w:basedOn w:val="TableNormal"/>
    <w:next w:val="MediumGrid2-Accent6"/>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11">
    <w:name w:val="Medium Grid 3111"/>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1">
    <w:name w:val="Medium Grid 3 - Accent 111"/>
    <w:basedOn w:val="TableNormal"/>
    <w:next w:val="MediumGrid3-Accent1"/>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1">
    <w:name w:val="Medium Grid 3 - Accent 211"/>
    <w:basedOn w:val="TableNormal"/>
    <w:next w:val="MediumGrid3-Accent2"/>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1">
    <w:name w:val="Medium Grid 3 - Accent 311"/>
    <w:basedOn w:val="TableNormal"/>
    <w:next w:val="MediumGrid3-Accent3"/>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1">
    <w:name w:val="Medium Grid 3 - Accent 411"/>
    <w:basedOn w:val="TableNormal"/>
    <w:next w:val="MediumGrid3-Accent4"/>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1">
    <w:name w:val="Medium Grid 3 - Accent 511"/>
    <w:basedOn w:val="TableNormal"/>
    <w:next w:val="MediumGrid3-Accent5"/>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1">
    <w:name w:val="Medium Grid 3 - Accent 611"/>
    <w:basedOn w:val="TableNormal"/>
    <w:next w:val="MediumGrid3-Accent6"/>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11">
    <w:name w:val="Medium List 1111"/>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1">
    <w:name w:val="Medium List 1 - Accent 1111"/>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1">
    <w:name w:val="Medium List 1 - Accent 211"/>
    <w:basedOn w:val="TableNormal"/>
    <w:next w:val="MediumList1-Accent2"/>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1">
    <w:name w:val="Medium List 1 - Accent 311"/>
    <w:basedOn w:val="TableNormal"/>
    <w:next w:val="MediumList1-Accent3"/>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1">
    <w:name w:val="Medium List 1 - Accent 411"/>
    <w:basedOn w:val="TableNormal"/>
    <w:next w:val="MediumList1-Accent4"/>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1">
    <w:name w:val="Medium List 1 - Accent 511"/>
    <w:basedOn w:val="TableNormal"/>
    <w:next w:val="MediumList1-Accent5"/>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1">
    <w:name w:val="Medium List 1 - Accent 611"/>
    <w:basedOn w:val="TableNormal"/>
    <w:next w:val="MediumList1-Accent6"/>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11">
    <w:name w:val="Medium List 2111"/>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1">
    <w:name w:val="Medium List 2 - Accent 111"/>
    <w:basedOn w:val="TableNormal"/>
    <w:next w:val="MediumList2-Accent1"/>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1">
    <w:name w:val="Medium List 2 - Accent 211"/>
    <w:basedOn w:val="TableNormal"/>
    <w:next w:val="MediumList2-Accent2"/>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1">
    <w:name w:val="Medium List 2 - Accent 311"/>
    <w:basedOn w:val="TableNormal"/>
    <w:next w:val="MediumList2-Accent3"/>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1">
    <w:name w:val="Medium List 2 - Accent 411"/>
    <w:basedOn w:val="TableNormal"/>
    <w:next w:val="MediumList2-Accent4"/>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1">
    <w:name w:val="Medium List 2 - Accent 511"/>
    <w:basedOn w:val="TableNormal"/>
    <w:next w:val="MediumList2-Accent5"/>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1">
    <w:name w:val="Medium List 2 - Accent 611"/>
    <w:basedOn w:val="TableNormal"/>
    <w:next w:val="MediumList2-Accent6"/>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11">
    <w:name w:val="Medium Shading 1111"/>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
    <w:name w:val="Medium Shading 1 - Accent 1111"/>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1">
    <w:name w:val="Medium Shading 1 - Accent 411"/>
    <w:basedOn w:val="TableNormal"/>
    <w:next w:val="MediumShading1-Accent4"/>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1">
    <w:name w:val="Medium Shading 1 - Accent 511"/>
    <w:basedOn w:val="TableNormal"/>
    <w:next w:val="MediumShading1-Accent5"/>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11">
    <w:name w:val="Medium Shading 2111"/>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1">
    <w:name w:val="Medium Shading 2 - Accent 1111"/>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1">
    <w:name w:val="Medium Shading 2 - Accent 311"/>
    <w:basedOn w:val="TableNormal"/>
    <w:next w:val="MediumShading2-Accent3"/>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1">
    <w:name w:val="Medium Shading 2 - Accent 411"/>
    <w:basedOn w:val="TableNormal"/>
    <w:next w:val="MediumShading2-Accent4"/>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1">
    <w:name w:val="Medium Shading 2 - Accent 611"/>
    <w:basedOn w:val="TableNormal"/>
    <w:next w:val="MediumShading2-Accent6"/>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1">
    <w:name w:val="Table 3D effects 111"/>
    <w:basedOn w:val="TableNormal"/>
    <w:next w:val="Table3Deffects1"/>
    <w:uiPriority w:val="99"/>
    <w:semiHidden/>
    <w:unhideWhenUsed/>
    <w:rsid w:val="008C580E"/>
    <w:pPr>
      <w:spacing w:after="0" w:line="240" w:lineRule="auto"/>
    </w:pPr>
    <w:rPr>
      <w:rFonts w:ascii="Times New Roman" w:eastAsia="Times New Roman" w:hAnsi="Times New Roman" w:cs="Arial"/>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uiPriority w:val="99"/>
    <w:semiHidden/>
    <w:unhideWhenUsed/>
    <w:rsid w:val="008C580E"/>
    <w:pPr>
      <w:spacing w:after="0" w:line="240" w:lineRule="auto"/>
    </w:pPr>
    <w:rPr>
      <w:rFonts w:ascii="Times New Roman" w:eastAsia="Times New Roman" w:hAnsi="Times New Roman" w:cs="Arial"/>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uiPriority w:val="99"/>
    <w:semiHidden/>
    <w:unhideWhenUsed/>
    <w:rsid w:val="008C580E"/>
    <w:pPr>
      <w:spacing w:after="0" w:line="240" w:lineRule="auto"/>
    </w:pPr>
    <w:rPr>
      <w:rFonts w:ascii="Times New Roman" w:eastAsia="Times New Roman" w:hAnsi="Times New Roman" w:cs="Arial"/>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uiPriority w:val="99"/>
    <w:semiHidden/>
    <w:unhideWhenUsed/>
    <w:rsid w:val="008C580E"/>
    <w:pPr>
      <w:spacing w:after="0" w:line="240" w:lineRule="auto"/>
    </w:pPr>
    <w:rPr>
      <w:rFonts w:ascii="Times New Roman" w:eastAsia="Times New Roman" w:hAnsi="Times New Roman" w:cs="Arial"/>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uiPriority w:val="99"/>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1">
    <w:name w:val="Table Grid91"/>
    <w:basedOn w:val="TableNormal"/>
    <w:next w:val="TableGrid"/>
    <w:uiPriority w:val="59"/>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 111"/>
    <w:basedOn w:val="TableNormal"/>
    <w:next w:val="TableGrid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uiPriority w:val="99"/>
    <w:semiHidden/>
    <w:unhideWhenUsed/>
    <w:rsid w:val="008C580E"/>
    <w:pPr>
      <w:spacing w:after="0" w:line="240" w:lineRule="auto"/>
    </w:pPr>
    <w:rPr>
      <w:rFonts w:ascii="Times New Roman" w:eastAsia="Times New Roman" w:hAnsi="Times New Roman" w:cs="Arial"/>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uiPriority w:val="99"/>
    <w:semiHidden/>
    <w:unhideWhenUsed/>
    <w:rsid w:val="008C580E"/>
    <w:pPr>
      <w:spacing w:after="0" w:line="240" w:lineRule="auto"/>
    </w:pPr>
    <w:rPr>
      <w:rFonts w:ascii="Times New Roman" w:eastAsia="Times New Roman" w:hAnsi="Times New Roman" w:cs="Arial"/>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uiPriority w:val="99"/>
    <w:semiHidden/>
    <w:unhideWhenUsed/>
    <w:rsid w:val="008C580E"/>
    <w:pPr>
      <w:spacing w:after="0" w:line="240" w:lineRule="auto"/>
    </w:pPr>
    <w:rPr>
      <w:rFonts w:ascii="Times New Roman" w:eastAsia="Times New Roman" w:hAnsi="Times New Roman" w:cs="Arial"/>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uiPriority w:val="99"/>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10">
    <w:name w:val="Table Grid11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0">
    <w:name w:val="Table Grid61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1"/>
    <w:basedOn w:val="TableNormal"/>
    <w:next w:val="TableGrid"/>
    <w:uiPriority w:val="59"/>
    <w:rsid w:val="008C580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21">
    <w:name w:val="Colorful Grid121"/>
    <w:basedOn w:val="TableNormal"/>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1">
    <w:name w:val="Colorful Grid - Accent 121"/>
    <w:basedOn w:val="TableNormal"/>
    <w:next w:val="ColorfulGrid-Accent1"/>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1">
    <w:name w:val="Colorful Grid - Accent 221"/>
    <w:basedOn w:val="TableNormal"/>
    <w:next w:val="ColorfulGrid-Accent2"/>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1">
    <w:name w:val="Colorful Grid - Accent 321"/>
    <w:basedOn w:val="TableNormal"/>
    <w:next w:val="ColorfulGrid-Accent3"/>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1">
    <w:name w:val="Colorful Grid - Accent 421"/>
    <w:basedOn w:val="TableNormal"/>
    <w:next w:val="ColorfulGrid-Accent4"/>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1">
    <w:name w:val="Colorful Grid - Accent 521"/>
    <w:basedOn w:val="TableNormal"/>
    <w:next w:val="ColorfulGrid-Accent5"/>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1">
    <w:name w:val="Colorful Grid - Accent 621"/>
    <w:basedOn w:val="TableNormal"/>
    <w:next w:val="ColorfulGrid-Accent6"/>
    <w:uiPriority w:val="73"/>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21">
    <w:name w:val="Colorful List121"/>
    <w:basedOn w:val="TableNormal"/>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1">
    <w:name w:val="Colorful List - Accent 121"/>
    <w:basedOn w:val="TableNormal"/>
    <w:next w:val="ColorfulList-Accent1"/>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1">
    <w:name w:val="Colorful List - Accent 221"/>
    <w:basedOn w:val="TableNormal"/>
    <w:next w:val="ColorfulList-Accent2"/>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1">
    <w:name w:val="Colorful List - Accent 321"/>
    <w:basedOn w:val="TableNormal"/>
    <w:next w:val="ColorfulList-Accent3"/>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1">
    <w:name w:val="Colorful List - Accent 421"/>
    <w:basedOn w:val="TableNormal"/>
    <w:next w:val="ColorfulList-Accent4"/>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1">
    <w:name w:val="Colorful List - Accent 521"/>
    <w:basedOn w:val="TableNormal"/>
    <w:next w:val="ColorfulList-Accent5"/>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1">
    <w:name w:val="Colorful List - Accent 621"/>
    <w:basedOn w:val="TableNormal"/>
    <w:next w:val="ColorfulList-Accent6"/>
    <w:uiPriority w:val="72"/>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21">
    <w:name w:val="Colorful Shading121"/>
    <w:basedOn w:val="TableNormal"/>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1">
    <w:name w:val="Colorful Shading - Accent 121"/>
    <w:basedOn w:val="TableNormal"/>
    <w:next w:val="ColorfulShading-Accent1"/>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1">
    <w:name w:val="Colorful Shading - Accent 221"/>
    <w:basedOn w:val="TableNormal"/>
    <w:next w:val="ColorfulShading-Accent2"/>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1">
    <w:name w:val="Colorful Shading - Accent 321"/>
    <w:basedOn w:val="TableNormal"/>
    <w:next w:val="ColorfulShading-Accent3"/>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1">
    <w:name w:val="Colorful Shading - Accent 421"/>
    <w:basedOn w:val="TableNormal"/>
    <w:next w:val="ColorfulShading-Accent4"/>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1">
    <w:name w:val="Colorful Shading - Accent 521"/>
    <w:basedOn w:val="TableNormal"/>
    <w:next w:val="ColorfulShading-Accent5"/>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1">
    <w:name w:val="Colorful Shading - Accent 621"/>
    <w:basedOn w:val="TableNormal"/>
    <w:next w:val="ColorfulShading-Accent6"/>
    <w:uiPriority w:val="71"/>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21">
    <w:name w:val="Dark List121"/>
    <w:basedOn w:val="TableNormal"/>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1">
    <w:name w:val="Dark List - Accent 121"/>
    <w:basedOn w:val="TableNormal"/>
    <w:next w:val="DarkList-Accent1"/>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1">
    <w:name w:val="Dark List - Accent 221"/>
    <w:basedOn w:val="TableNormal"/>
    <w:next w:val="DarkList-Accent2"/>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1">
    <w:name w:val="Dark List - Accent 321"/>
    <w:basedOn w:val="TableNormal"/>
    <w:next w:val="DarkList-Accent3"/>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1">
    <w:name w:val="Dark List - Accent 421"/>
    <w:basedOn w:val="TableNormal"/>
    <w:next w:val="DarkList-Accent4"/>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1">
    <w:name w:val="Dark List - Accent 521"/>
    <w:basedOn w:val="TableNormal"/>
    <w:next w:val="DarkList-Accent5"/>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1">
    <w:name w:val="Dark List - Accent 621"/>
    <w:basedOn w:val="TableNormal"/>
    <w:next w:val="DarkList-Accent6"/>
    <w:uiPriority w:val="70"/>
    <w:rsid w:val="008C580E"/>
    <w:pPr>
      <w:spacing w:after="0" w:line="240" w:lineRule="auto"/>
    </w:pPr>
    <w:rPr>
      <w:rFonts w:ascii="Times New Roman" w:eastAsia="Times New Roman" w:hAnsi="Times New Roman" w:cs="Arial"/>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21">
    <w:name w:val="Light Grid121"/>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1">
    <w:name w:val="Light Grid - Accent 1121"/>
    <w:basedOn w:val="TableNormal"/>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1">
    <w:name w:val="Light Grid - Accent 221"/>
    <w:basedOn w:val="TableNormal"/>
    <w:next w:val="LightGrid-Accent2"/>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1">
    <w:name w:val="Light Grid - Accent 321"/>
    <w:basedOn w:val="TableNormal"/>
    <w:next w:val="LightGrid-Accent3"/>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1">
    <w:name w:val="Light Grid - Accent 421"/>
    <w:basedOn w:val="TableNormal"/>
    <w:next w:val="LightGrid-Accent4"/>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1">
    <w:name w:val="Light Grid - Accent 521"/>
    <w:basedOn w:val="TableNormal"/>
    <w:next w:val="LightGrid-Accent5"/>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1">
    <w:name w:val="Light Grid - Accent 621"/>
    <w:basedOn w:val="TableNormal"/>
    <w:next w:val="LightGrid-Accent6"/>
    <w:uiPriority w:val="62"/>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21">
    <w:name w:val="Light List121"/>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21">
    <w:name w:val="Light List - Accent 1121"/>
    <w:basedOn w:val="TableNormal"/>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1">
    <w:name w:val="Light List - Accent 221"/>
    <w:basedOn w:val="TableNormal"/>
    <w:next w:val="LightList-Accent2"/>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1">
    <w:name w:val="Light List - Accent 321"/>
    <w:basedOn w:val="TableNormal"/>
    <w:next w:val="LightList-Accent3"/>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1">
    <w:name w:val="Light List - Accent 421"/>
    <w:basedOn w:val="TableNormal"/>
    <w:next w:val="LightList-Accent4"/>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1">
    <w:name w:val="Light List - Accent 521"/>
    <w:basedOn w:val="TableNormal"/>
    <w:next w:val="LightList-Accent5"/>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1">
    <w:name w:val="Light List - Accent 621"/>
    <w:basedOn w:val="TableNormal"/>
    <w:next w:val="LightList-Accent6"/>
    <w:uiPriority w:val="61"/>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21">
    <w:name w:val="Light Shading121"/>
    <w:basedOn w:val="TableNormal"/>
    <w:uiPriority w:val="60"/>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1">
    <w:name w:val="Light Shading - Accent 1121"/>
    <w:basedOn w:val="TableNormal"/>
    <w:uiPriority w:val="60"/>
    <w:rsid w:val="008C580E"/>
    <w:pPr>
      <w:spacing w:after="0" w:line="240" w:lineRule="auto"/>
    </w:pPr>
    <w:rPr>
      <w:rFonts w:ascii="Times New Roman" w:eastAsia="Times New Roman" w:hAnsi="Times New Roman" w:cs="Arial"/>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1">
    <w:name w:val="Light Shading - Accent 221"/>
    <w:basedOn w:val="TableNormal"/>
    <w:next w:val="LightShading-Accent2"/>
    <w:uiPriority w:val="60"/>
    <w:rsid w:val="008C580E"/>
    <w:pPr>
      <w:spacing w:after="0" w:line="240" w:lineRule="auto"/>
    </w:pPr>
    <w:rPr>
      <w:rFonts w:ascii="Times New Roman" w:eastAsia="Times New Roman" w:hAnsi="Times New Roman" w:cs="Arial"/>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
    <w:name w:val="Light Shading - Accent 321"/>
    <w:basedOn w:val="TableNormal"/>
    <w:next w:val="LightShading-Accent3"/>
    <w:uiPriority w:val="60"/>
    <w:rsid w:val="008C580E"/>
    <w:pPr>
      <w:spacing w:after="0" w:line="240" w:lineRule="auto"/>
    </w:pPr>
    <w:rPr>
      <w:rFonts w:ascii="Times New Roman" w:eastAsia="Times New Roman" w:hAnsi="Times New Roman" w:cs="Arial"/>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1">
    <w:name w:val="Light Shading - Accent 421"/>
    <w:basedOn w:val="TableNormal"/>
    <w:next w:val="LightShading-Accent4"/>
    <w:uiPriority w:val="60"/>
    <w:rsid w:val="008C580E"/>
    <w:pPr>
      <w:spacing w:after="0" w:line="240" w:lineRule="auto"/>
    </w:pPr>
    <w:rPr>
      <w:rFonts w:ascii="Times New Roman" w:eastAsia="Times New Roman" w:hAnsi="Times New Roman" w:cs="Arial"/>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1">
    <w:name w:val="Light Shading - Accent 521"/>
    <w:basedOn w:val="TableNormal"/>
    <w:next w:val="LightShading-Accent5"/>
    <w:uiPriority w:val="60"/>
    <w:rsid w:val="008C580E"/>
    <w:pPr>
      <w:spacing w:after="0" w:line="240" w:lineRule="auto"/>
    </w:pPr>
    <w:rPr>
      <w:rFonts w:ascii="Times New Roman" w:eastAsia="Times New Roman" w:hAnsi="Times New Roman" w:cs="Arial"/>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1">
    <w:name w:val="Light Shading - Accent 621"/>
    <w:basedOn w:val="TableNormal"/>
    <w:next w:val="LightShading-Accent6"/>
    <w:uiPriority w:val="60"/>
    <w:rsid w:val="008C580E"/>
    <w:pPr>
      <w:spacing w:after="0" w:line="240" w:lineRule="auto"/>
    </w:pPr>
    <w:rPr>
      <w:rFonts w:ascii="Times New Roman" w:eastAsia="Times New Roman" w:hAnsi="Times New Roman" w:cs="Arial"/>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21">
    <w:name w:val="Medium Grid 1121"/>
    <w:basedOn w:val="TableNormal"/>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1">
    <w:name w:val="Medium Grid 1 - Accent 121"/>
    <w:basedOn w:val="TableNormal"/>
    <w:next w:val="MediumGrid1-Accent1"/>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1">
    <w:name w:val="Medium Grid 1 - Accent 221"/>
    <w:basedOn w:val="TableNormal"/>
    <w:next w:val="MediumGrid1-Accent2"/>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1">
    <w:name w:val="Medium Grid 1 - Accent 321"/>
    <w:basedOn w:val="TableNormal"/>
    <w:next w:val="MediumGrid1-Accent3"/>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1">
    <w:name w:val="Medium Grid 1 - Accent 421"/>
    <w:basedOn w:val="TableNormal"/>
    <w:next w:val="MediumGrid1-Accent4"/>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1">
    <w:name w:val="Medium Grid 1 - Accent 521"/>
    <w:basedOn w:val="TableNormal"/>
    <w:next w:val="MediumGrid1-Accent5"/>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1">
    <w:name w:val="Medium Grid 1 - Accent 621"/>
    <w:basedOn w:val="TableNormal"/>
    <w:next w:val="MediumGrid1-Accent6"/>
    <w:uiPriority w:val="67"/>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21">
    <w:name w:val="Medium Grid 2121"/>
    <w:basedOn w:val="TableNormal"/>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1">
    <w:name w:val="Medium Grid 2 - Accent 121"/>
    <w:basedOn w:val="TableNormal"/>
    <w:next w:val="MediumGrid2-Accent1"/>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1">
    <w:name w:val="Medium Grid 2 - Accent 221"/>
    <w:basedOn w:val="TableNormal"/>
    <w:next w:val="MediumGrid2-Accent2"/>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1">
    <w:name w:val="Medium Grid 2 - Accent 321"/>
    <w:basedOn w:val="TableNormal"/>
    <w:next w:val="MediumGrid2-Accent3"/>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1">
    <w:name w:val="Medium Grid 2 - Accent 421"/>
    <w:basedOn w:val="TableNormal"/>
    <w:next w:val="MediumGrid2-Accent4"/>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1">
    <w:name w:val="Medium Grid 2 - Accent 521"/>
    <w:basedOn w:val="TableNormal"/>
    <w:next w:val="MediumGrid2-Accent5"/>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1">
    <w:name w:val="Medium Grid 2 - Accent 621"/>
    <w:basedOn w:val="TableNormal"/>
    <w:next w:val="MediumGrid2-Accent6"/>
    <w:uiPriority w:val="68"/>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21">
    <w:name w:val="Medium Grid 3121"/>
    <w:basedOn w:val="TableNormal"/>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
    <w:name w:val="Medium Grid 3 - Accent 221"/>
    <w:basedOn w:val="TableNormal"/>
    <w:next w:val="MediumGrid3-Accent2"/>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
    <w:name w:val="Medium Grid 3 - Accent 321"/>
    <w:basedOn w:val="TableNormal"/>
    <w:next w:val="MediumGrid3-Accent3"/>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
    <w:name w:val="Medium Grid 3 - Accent 421"/>
    <w:basedOn w:val="TableNormal"/>
    <w:next w:val="MediumGrid3-Accent4"/>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
    <w:name w:val="Medium Grid 3 - Accent 521"/>
    <w:basedOn w:val="TableNormal"/>
    <w:next w:val="MediumGrid3-Accent5"/>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
    <w:name w:val="Medium Grid 3 - Accent 621"/>
    <w:basedOn w:val="TableNormal"/>
    <w:next w:val="MediumGrid3-Accent6"/>
    <w:uiPriority w:val="69"/>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21">
    <w:name w:val="Medium List 1121"/>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21">
    <w:name w:val="Medium List 1 - Accent 1121"/>
    <w:basedOn w:val="TableNormal"/>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1">
    <w:name w:val="Medium List 1 - Accent 221"/>
    <w:basedOn w:val="TableNormal"/>
    <w:next w:val="MediumList1-Accent2"/>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1">
    <w:name w:val="Medium List 1 - Accent 321"/>
    <w:basedOn w:val="TableNormal"/>
    <w:next w:val="MediumList1-Accent3"/>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1">
    <w:name w:val="Medium List 1 - Accent 421"/>
    <w:basedOn w:val="TableNormal"/>
    <w:next w:val="MediumList1-Accent4"/>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1">
    <w:name w:val="Medium List 1 - Accent 521"/>
    <w:basedOn w:val="TableNormal"/>
    <w:next w:val="MediumList1-Accent5"/>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1">
    <w:name w:val="Medium List 1 - Accent 621"/>
    <w:basedOn w:val="TableNormal"/>
    <w:next w:val="MediumList1-Accent6"/>
    <w:uiPriority w:val="65"/>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21">
    <w:name w:val="Medium List 2121"/>
    <w:basedOn w:val="TableNormal"/>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1">
    <w:name w:val="Medium List 2 - Accent 121"/>
    <w:basedOn w:val="TableNormal"/>
    <w:next w:val="MediumList2-Accent1"/>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1">
    <w:name w:val="Medium List 2 - Accent 221"/>
    <w:basedOn w:val="TableNormal"/>
    <w:next w:val="MediumList2-Accent2"/>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1">
    <w:name w:val="Medium List 2 - Accent 321"/>
    <w:basedOn w:val="TableNormal"/>
    <w:next w:val="MediumList2-Accent3"/>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1">
    <w:name w:val="Medium List 2 - Accent 421"/>
    <w:basedOn w:val="TableNormal"/>
    <w:next w:val="MediumList2-Accent4"/>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1">
    <w:name w:val="Medium List 2 - Accent 521"/>
    <w:basedOn w:val="TableNormal"/>
    <w:next w:val="MediumList2-Accent5"/>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1">
    <w:name w:val="Medium List 2 - Accent 621"/>
    <w:basedOn w:val="TableNormal"/>
    <w:next w:val="MediumList2-Accent6"/>
    <w:uiPriority w:val="66"/>
    <w:rsid w:val="008C580E"/>
    <w:pPr>
      <w:spacing w:after="0" w:line="240" w:lineRule="auto"/>
    </w:pPr>
    <w:rPr>
      <w:rFonts w:ascii="Times New Roman" w:eastAsia="Times New Roman" w:hAnsi="Times New Roman" w:cs="Arial"/>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21">
    <w:name w:val="Medium Shading 1121"/>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21">
    <w:name w:val="Medium Shading 1 - Accent 1121"/>
    <w:basedOn w:val="TableNormal"/>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1">
    <w:name w:val="Medium Shading 1 - Accent 221"/>
    <w:basedOn w:val="TableNormal"/>
    <w:next w:val="MediumShading1-Accent2"/>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1">
    <w:name w:val="Medium Shading 1 - Accent 321"/>
    <w:basedOn w:val="TableNormal"/>
    <w:next w:val="MediumShading1-Accent3"/>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1">
    <w:name w:val="Medium Shading 1 - Accent 421"/>
    <w:basedOn w:val="TableNormal"/>
    <w:next w:val="MediumShading1-Accent4"/>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1">
    <w:name w:val="Medium Shading 1 - Accent 621"/>
    <w:basedOn w:val="TableNormal"/>
    <w:next w:val="MediumShading1-Accent6"/>
    <w:uiPriority w:val="63"/>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21">
    <w:name w:val="Medium Shading 2121"/>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21">
    <w:name w:val="Medium Shading 2 - Accent 1121"/>
    <w:basedOn w:val="TableNormal"/>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
    <w:name w:val="Medium Shading 2 - Accent 221"/>
    <w:basedOn w:val="TableNormal"/>
    <w:next w:val="MediumShading2-Accent2"/>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1">
    <w:name w:val="Medium Shading 2 - Accent 321"/>
    <w:basedOn w:val="TableNormal"/>
    <w:next w:val="MediumShading2-Accent3"/>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1">
    <w:name w:val="Medium Shading 2 - Accent 421"/>
    <w:basedOn w:val="TableNormal"/>
    <w:next w:val="MediumShading2-Accent4"/>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
    <w:name w:val="Medium Shading 2 - Accent 521"/>
    <w:basedOn w:val="TableNormal"/>
    <w:next w:val="MediumShading2-Accent5"/>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1">
    <w:name w:val="Medium Shading 2 - Accent 621"/>
    <w:basedOn w:val="TableNormal"/>
    <w:next w:val="MediumShading2-Accent6"/>
    <w:uiPriority w:val="64"/>
    <w:rsid w:val="008C580E"/>
    <w:pPr>
      <w:spacing w:after="0" w:line="240" w:lineRule="auto"/>
    </w:pPr>
    <w:rPr>
      <w:rFonts w:ascii="Times New Roman" w:eastAsia="Times New Roman" w:hAnsi="Times New Roman" w:cs="Arial"/>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21">
    <w:name w:val="Table 3D effects 121"/>
    <w:basedOn w:val="TableNormal"/>
    <w:next w:val="Table3Deffects1"/>
    <w:uiPriority w:val="99"/>
    <w:semiHidden/>
    <w:unhideWhenUsed/>
    <w:rsid w:val="008C580E"/>
    <w:pPr>
      <w:spacing w:after="0" w:line="240" w:lineRule="auto"/>
    </w:pPr>
    <w:rPr>
      <w:rFonts w:ascii="Times New Roman" w:eastAsia="Times New Roman" w:hAnsi="Times New Roman" w:cs="Arial"/>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uiPriority w:val="99"/>
    <w:semiHidden/>
    <w:unhideWhenUsed/>
    <w:rsid w:val="008C580E"/>
    <w:pPr>
      <w:spacing w:after="0" w:line="240" w:lineRule="auto"/>
    </w:pPr>
    <w:rPr>
      <w:rFonts w:ascii="Times New Roman" w:eastAsia="Times New Roman" w:hAnsi="Times New Roman" w:cs="Arial"/>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uiPriority w:val="99"/>
    <w:semiHidden/>
    <w:unhideWhenUsed/>
    <w:rsid w:val="008C580E"/>
    <w:pPr>
      <w:spacing w:after="0" w:line="240" w:lineRule="auto"/>
    </w:pPr>
    <w:rPr>
      <w:rFonts w:ascii="Times New Roman" w:eastAsia="Times New Roman" w:hAnsi="Times New Roman" w:cs="Arial"/>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uiPriority w:val="99"/>
    <w:semiHidden/>
    <w:unhideWhenUsed/>
    <w:rsid w:val="008C580E"/>
    <w:pPr>
      <w:spacing w:after="0" w:line="240" w:lineRule="auto"/>
    </w:pPr>
    <w:rPr>
      <w:rFonts w:ascii="Times New Roman" w:eastAsia="Times New Roman" w:hAnsi="Times New Roman" w:cs="Arial"/>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uiPriority w:val="99"/>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uiPriority w:val="99"/>
    <w:semiHidden/>
    <w:unhideWhenUsed/>
    <w:rsid w:val="008C580E"/>
    <w:pPr>
      <w:spacing w:after="0" w:line="240" w:lineRule="auto"/>
    </w:pPr>
    <w:rPr>
      <w:rFonts w:ascii="Times New Roman" w:eastAsia="Times New Roman" w:hAnsi="Times New Roman" w:cs="Arial"/>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uiPriority w:val="99"/>
    <w:semiHidden/>
    <w:unhideWhenUsed/>
    <w:rsid w:val="008C580E"/>
    <w:pPr>
      <w:spacing w:after="0" w:line="240" w:lineRule="auto"/>
    </w:pPr>
    <w:rPr>
      <w:rFonts w:ascii="Times New Roman" w:eastAsia="Times New Roman" w:hAnsi="Times New Roman" w:cs="Arial"/>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1">
    <w:name w:val="Table Grid101"/>
    <w:basedOn w:val="TableNormal"/>
    <w:next w:val="TableGrid"/>
    <w:uiPriority w:val="59"/>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 121"/>
    <w:basedOn w:val="TableNormal"/>
    <w:next w:val="TableGrid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uiPriority w:val="99"/>
    <w:semiHidden/>
    <w:unhideWhenUsed/>
    <w:rsid w:val="008C580E"/>
    <w:pPr>
      <w:spacing w:after="0" w:line="240" w:lineRule="auto"/>
    </w:pPr>
    <w:rPr>
      <w:rFonts w:ascii="Times New Roman" w:eastAsia="Times New Roman" w:hAnsi="Times New Roman" w:cs="Arial"/>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uiPriority w:val="99"/>
    <w:semiHidden/>
    <w:unhideWhenUsed/>
    <w:rsid w:val="008C580E"/>
    <w:pPr>
      <w:spacing w:after="0" w:line="240" w:lineRule="auto"/>
    </w:pPr>
    <w:rPr>
      <w:rFonts w:ascii="Times New Roman" w:eastAsia="Times New Roman" w:hAnsi="Times New Roman" w:cs="Arial"/>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uiPriority w:val="99"/>
    <w:semiHidden/>
    <w:unhideWhenUsed/>
    <w:rsid w:val="008C580E"/>
    <w:pPr>
      <w:spacing w:after="0" w:line="240" w:lineRule="auto"/>
    </w:pPr>
    <w:rPr>
      <w:rFonts w:ascii="Times New Roman" w:eastAsia="Times New Roman" w:hAnsi="Times New Roman" w:cs="Arial"/>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uiPriority w:val="99"/>
    <w:semiHidden/>
    <w:unhideWhenUsed/>
    <w:rsid w:val="008C580E"/>
    <w:pPr>
      <w:spacing w:after="0" w:line="240" w:lineRule="auto"/>
    </w:pPr>
    <w:rPr>
      <w:rFonts w:ascii="Times New Roman" w:eastAsia="Times New Roman" w:hAnsi="Times New Roman" w:cs="Arial"/>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uiPriority w:val="99"/>
    <w:semiHidden/>
    <w:unhideWhenUsed/>
    <w:rsid w:val="008C580E"/>
    <w:pPr>
      <w:spacing w:after="0" w:line="240" w:lineRule="auto"/>
    </w:pPr>
    <w:rPr>
      <w:rFonts w:ascii="Times New Roman" w:eastAsia="Times New Roman" w:hAnsi="Times New Roman" w:cs="Arial"/>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uiPriority w:val="99"/>
    <w:semiHidden/>
    <w:unhideWhenUsed/>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uiPriority w:val="99"/>
    <w:semiHidden/>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uiPriority w:val="99"/>
    <w:unhideWhenUsed/>
    <w:rsid w:val="008C580E"/>
    <w:pPr>
      <w:spacing w:after="0" w:line="240" w:lineRule="auto"/>
    </w:pPr>
    <w:rPr>
      <w:rFonts w:ascii="Times New Roman" w:eastAsia="Times New Roman" w:hAnsi="Times New Roman" w:cs="Arial"/>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10">
    <w:name w:val="Table Grid12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0">
    <w:name w:val="Table Grid42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0">
    <w:name w:val="Table Grid52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0">
    <w:name w:val="Table Grid62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0">
    <w:name w:val="Table Grid721"/>
    <w:basedOn w:val="TableNormal"/>
    <w:next w:val="TableGrid"/>
    <w:uiPriority w:val="99"/>
    <w:rsid w:val="008C58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0">
    <w:name w:val="Table Grid821"/>
    <w:basedOn w:val="TableNormal"/>
    <w:next w:val="TableGrid"/>
    <w:uiPriority w:val="59"/>
    <w:rsid w:val="008C580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8C580E"/>
    <w:pPr>
      <w:spacing w:after="0" w:line="240" w:lineRule="auto"/>
    </w:pPr>
    <w:rPr>
      <w:rFonts w:ascii="Times New Roman" w:eastAsia="Times New Roman" w:hAnsi="Times New Roman"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8C580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8C580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8C580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8C580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C580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8C580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4"/>
    <w:basedOn w:val="Normal"/>
    <w:rsid w:val="008C580E"/>
    <w:pPr>
      <w:spacing w:after="160" w:line="240" w:lineRule="exact"/>
    </w:pPr>
    <w:rPr>
      <w:rFonts w:ascii="Tahoma" w:hAnsi="Tahoma" w:cs="Times New Roman"/>
      <w:szCs w:val="20"/>
    </w:rPr>
  </w:style>
  <w:style w:type="table" w:customStyle="1" w:styleId="TableGrid36">
    <w:name w:val="Table Grid36"/>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8C580E"/>
  </w:style>
  <w:style w:type="character" w:customStyle="1" w:styleId="UnresolvedMention2">
    <w:name w:val="Unresolved Mention2"/>
    <w:basedOn w:val="DefaultParagraphFont"/>
    <w:uiPriority w:val="99"/>
    <w:semiHidden/>
    <w:unhideWhenUsed/>
    <w:rsid w:val="008C580E"/>
    <w:rPr>
      <w:color w:val="605E5C"/>
      <w:shd w:val="clear" w:color="auto" w:fill="E1DFDD"/>
    </w:rPr>
  </w:style>
  <w:style w:type="paragraph" w:customStyle="1" w:styleId="Subhead3">
    <w:name w:val="Subhead 3"/>
    <w:basedOn w:val="Normal"/>
    <w:uiPriority w:val="99"/>
    <w:rsid w:val="008C580E"/>
    <w:pPr>
      <w:widowControl w:val="0"/>
      <w:tabs>
        <w:tab w:val="left" w:pos="1134"/>
        <w:tab w:val="left" w:pos="1531"/>
        <w:tab w:val="left" w:pos="1871"/>
      </w:tabs>
      <w:suppressAutoHyphens/>
      <w:autoSpaceDE w:val="0"/>
      <w:autoSpaceDN w:val="0"/>
      <w:adjustRightInd w:val="0"/>
      <w:spacing w:line="260" w:lineRule="atLeast"/>
      <w:ind w:left="1531" w:right="935" w:hanging="1531"/>
      <w:textAlignment w:val="center"/>
    </w:pPr>
    <w:rPr>
      <w:rFonts w:ascii="Univers 45 Light" w:hAnsi="Univers 45 Light" w:cs="Univers 55"/>
      <w:b/>
      <w:bCs/>
      <w:color w:val="0C2D83"/>
      <w:szCs w:val="20"/>
      <w:lang w:val="en-GB" w:eastAsia="en-GB"/>
    </w:rPr>
  </w:style>
  <w:style w:type="paragraph" w:customStyle="1" w:styleId="Subhead4">
    <w:name w:val="Subhead 4"/>
    <w:basedOn w:val="Normal"/>
    <w:rsid w:val="008C580E"/>
    <w:pPr>
      <w:widowControl w:val="0"/>
      <w:tabs>
        <w:tab w:val="left" w:pos="1134"/>
        <w:tab w:val="left" w:pos="1531"/>
        <w:tab w:val="left" w:pos="1871"/>
      </w:tabs>
      <w:suppressAutoHyphens/>
      <w:autoSpaceDE w:val="0"/>
      <w:autoSpaceDN w:val="0"/>
      <w:adjustRightInd w:val="0"/>
      <w:spacing w:line="260" w:lineRule="atLeast"/>
      <w:ind w:left="1531" w:right="935" w:hanging="1531"/>
      <w:textAlignment w:val="center"/>
    </w:pPr>
    <w:rPr>
      <w:rFonts w:ascii="Univers 45 Light" w:hAnsi="Univers 45 Light" w:cs="Univers 55"/>
      <w:b/>
      <w:bCs/>
      <w:color w:val="808EC8"/>
      <w:szCs w:val="20"/>
      <w:lang w:val="en-GB"/>
    </w:rPr>
  </w:style>
  <w:style w:type="character" w:customStyle="1" w:styleId="apple-converted-space">
    <w:name w:val="apple-converted-space"/>
    <w:basedOn w:val="DefaultParagraphFont"/>
    <w:rsid w:val="008C580E"/>
  </w:style>
  <w:style w:type="paragraph" w:customStyle="1" w:styleId="KAMKNormal">
    <w:name w:val="KAMKNormal"/>
    <w:basedOn w:val="Normal"/>
    <w:link w:val="KAMKNormalChar"/>
    <w:qFormat/>
    <w:rsid w:val="008C580E"/>
    <w:pPr>
      <w:spacing w:before="120" w:after="120"/>
    </w:pPr>
    <w:rPr>
      <w:rFonts w:ascii="Tahoma" w:eastAsia="MS Mincho" w:hAnsi="Tahoma" w:cs="Times New Roman"/>
      <w:color w:val="000000"/>
      <w:sz w:val="22"/>
      <w:lang w:val="x-none" w:eastAsia="x-none"/>
    </w:rPr>
  </w:style>
  <w:style w:type="character" w:customStyle="1" w:styleId="KAMKNormalChar">
    <w:name w:val="KAMKNormal Char"/>
    <w:link w:val="KAMKNormal"/>
    <w:rsid w:val="008C580E"/>
    <w:rPr>
      <w:rFonts w:ascii="Tahoma" w:eastAsia="MS Mincho" w:hAnsi="Tahoma" w:cs="Times New Roman"/>
      <w:color w:val="000000"/>
      <w:szCs w:val="24"/>
      <w:lang w:val="x-none" w:eastAsia="x-none"/>
    </w:rPr>
  </w:style>
  <w:style w:type="paragraph" w:customStyle="1" w:styleId="Address">
    <w:name w:val="Address"/>
    <w:basedOn w:val="Normal"/>
    <w:rsid w:val="008C580E"/>
    <w:pPr>
      <w:overflowPunct w:val="0"/>
      <w:autoSpaceDE w:val="0"/>
      <w:autoSpaceDN w:val="0"/>
      <w:adjustRightInd w:val="0"/>
      <w:spacing w:line="288" w:lineRule="exact"/>
      <w:textAlignment w:val="baseline"/>
    </w:pPr>
    <w:rPr>
      <w:rFonts w:ascii="Arial" w:hAnsi="Arial" w:cs="Times New Roman"/>
      <w:spacing w:val="5"/>
      <w:position w:val="2"/>
      <w:sz w:val="22"/>
      <w:szCs w:val="20"/>
    </w:rPr>
  </w:style>
  <w:style w:type="character" w:customStyle="1" w:styleId="BlockTextChar">
    <w:name w:val="Block Text Char"/>
    <w:link w:val="BlockText"/>
    <w:uiPriority w:val="99"/>
    <w:rsid w:val="008C580E"/>
    <w:rPr>
      <w:rFonts w:ascii="Times New Roman" w:eastAsia="Times New Roman" w:hAnsi="Times New Roman" w:cs="Arial"/>
      <w:sz w:val="20"/>
      <w:szCs w:val="24"/>
    </w:rPr>
  </w:style>
  <w:style w:type="paragraph" w:customStyle="1" w:styleId="msonormal0">
    <w:name w:val="msonormal"/>
    <w:basedOn w:val="Normal"/>
    <w:rsid w:val="008C580E"/>
    <w:pPr>
      <w:spacing w:before="100" w:beforeAutospacing="1" w:after="100" w:afterAutospacing="1"/>
    </w:pPr>
    <w:rPr>
      <w:rFonts w:cs="Times New Roman"/>
      <w:sz w:val="24"/>
    </w:rPr>
  </w:style>
  <w:style w:type="table" w:customStyle="1" w:styleId="TableGrid37">
    <w:name w:val="Table Grid37"/>
    <w:basedOn w:val="TableNormal"/>
    <w:next w:val="TableGrid"/>
    <w:rsid w:val="008C580E"/>
    <w:pPr>
      <w:autoSpaceDE w:val="0"/>
      <w:autoSpaceDN w:val="0"/>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7">
    <w:name w:val="t7"/>
    <w:basedOn w:val="Normal"/>
    <w:rsid w:val="008C580E"/>
    <w:pPr>
      <w:tabs>
        <w:tab w:val="decimal" w:pos="7060"/>
        <w:tab w:val="decimal" w:pos="9040"/>
      </w:tabs>
      <w:overflowPunct w:val="0"/>
      <w:autoSpaceDE w:val="0"/>
      <w:autoSpaceDN w:val="0"/>
      <w:adjustRightInd w:val="0"/>
      <w:spacing w:line="240" w:lineRule="atLeast"/>
      <w:textAlignment w:val="baseline"/>
    </w:pPr>
    <w:rPr>
      <w:rFonts w:ascii="Times" w:hAnsi="Times" w:cs="Times New Roman"/>
      <w:sz w:val="24"/>
      <w:szCs w:val="20"/>
      <w:lang w:val="en-GB"/>
    </w:rPr>
  </w:style>
  <w:style w:type="paragraph" w:customStyle="1" w:styleId="xl29">
    <w:name w:val="xl29"/>
    <w:basedOn w:val="Normal"/>
    <w:rsid w:val="008C580E"/>
    <w:pPr>
      <w:spacing w:before="100" w:beforeAutospacing="1" w:after="100" w:afterAutospacing="1"/>
      <w:jc w:val="right"/>
    </w:pPr>
    <w:rPr>
      <w:rFonts w:ascii="Arial" w:eastAsia="Arial Unicode MS" w:hAnsi="Arial"/>
      <w:sz w:val="24"/>
    </w:rPr>
  </w:style>
  <w:style w:type="character" w:customStyle="1" w:styleId="NoSpacingChar">
    <w:name w:val="No Spacing Char"/>
    <w:link w:val="NoSpacing"/>
    <w:uiPriority w:val="1"/>
    <w:rsid w:val="008C580E"/>
    <w:rPr>
      <w:rFonts w:ascii="Times New Roman" w:eastAsia="Times New Roman" w:hAnsi="Times New Roman" w:cs="Arial"/>
      <w:sz w:val="24"/>
      <w:szCs w:val="24"/>
    </w:rPr>
  </w:style>
  <w:style w:type="paragraph" w:customStyle="1" w:styleId="Pa18">
    <w:name w:val="Pa18"/>
    <w:basedOn w:val="Default"/>
    <w:next w:val="Default"/>
    <w:uiPriority w:val="99"/>
    <w:rsid w:val="008C580E"/>
    <w:pPr>
      <w:spacing w:line="191" w:lineRule="atLeast"/>
    </w:pPr>
    <w:rPr>
      <w:rFonts w:ascii="Univers LT Std 45 Light" w:hAnsi="Univers LT Std 45 Light" w:cs="Times New Roman"/>
      <w:color w:val="auto"/>
      <w:lang w:val="en-GB" w:eastAsia="en-GB"/>
    </w:rPr>
  </w:style>
  <w:style w:type="paragraph" w:customStyle="1" w:styleId="p4">
    <w:name w:val="p4"/>
    <w:rsid w:val="008C580E"/>
    <w:pPr>
      <w:tabs>
        <w:tab w:val="left" w:pos="720"/>
      </w:tabs>
      <w:spacing w:after="0" w:line="240" w:lineRule="auto"/>
      <w:jc w:val="both"/>
    </w:pPr>
    <w:rPr>
      <w:rFonts w:ascii="Courier" w:eastAsia="Times New Roman" w:hAnsi="Courier" w:cs="Times New Roman"/>
      <w:sz w:val="20"/>
      <w:szCs w:val="20"/>
    </w:rPr>
  </w:style>
  <w:style w:type="paragraph" w:customStyle="1" w:styleId="Example">
    <w:name w:val="Example"/>
    <w:basedOn w:val="BodyText"/>
    <w:rsid w:val="008C580E"/>
    <w:pPr>
      <w:spacing w:after="260"/>
      <w:ind w:firstLine="0"/>
      <w:jc w:val="both"/>
    </w:pPr>
    <w:rPr>
      <w:rFonts w:ascii="Arial" w:hAnsi="Arial" w:cs="Times New Roman"/>
      <w:b/>
      <w:sz w:val="22"/>
      <w:szCs w:val="20"/>
    </w:rPr>
  </w:style>
  <w:style w:type="paragraph" w:customStyle="1" w:styleId="Pa24">
    <w:name w:val="Pa24"/>
    <w:basedOn w:val="Normal"/>
    <w:next w:val="Normal"/>
    <w:uiPriority w:val="99"/>
    <w:rsid w:val="008C580E"/>
    <w:pPr>
      <w:autoSpaceDE w:val="0"/>
      <w:autoSpaceDN w:val="0"/>
      <w:adjustRightInd w:val="0"/>
      <w:spacing w:line="191" w:lineRule="atLeast"/>
    </w:pPr>
    <w:rPr>
      <w:rFonts w:ascii="Univers LT Std 45 Light" w:eastAsia="Calibri" w:hAnsi="Univers LT Std 45 Light"/>
      <w:sz w:val="24"/>
    </w:rPr>
  </w:style>
  <w:style w:type="character" w:customStyle="1" w:styleId="A3">
    <w:name w:val="A3"/>
    <w:uiPriority w:val="99"/>
    <w:rsid w:val="008C580E"/>
    <w:rPr>
      <w:rFonts w:cs="Univers LT Std 45 Light"/>
      <w:b/>
      <w:bCs/>
      <w:color w:val="211E1F"/>
      <w:sz w:val="16"/>
      <w:szCs w:val="16"/>
    </w:rPr>
  </w:style>
  <w:style w:type="paragraph" w:customStyle="1" w:styleId="Pa20">
    <w:name w:val="Pa20"/>
    <w:basedOn w:val="Normal"/>
    <w:next w:val="Normal"/>
    <w:uiPriority w:val="99"/>
    <w:rsid w:val="008C580E"/>
    <w:pPr>
      <w:autoSpaceDE w:val="0"/>
      <w:autoSpaceDN w:val="0"/>
      <w:adjustRightInd w:val="0"/>
      <w:spacing w:line="161" w:lineRule="atLeast"/>
    </w:pPr>
    <w:rPr>
      <w:rFonts w:ascii="Univers 45 Light" w:eastAsia="Calibri" w:hAnsi="Univers 45 Light"/>
      <w:sz w:val="24"/>
    </w:rPr>
  </w:style>
  <w:style w:type="table" w:customStyle="1" w:styleId="TableGrid112">
    <w:name w:val="Table Grid112"/>
    <w:basedOn w:val="TableNormal"/>
    <w:next w:val="TableGrid"/>
    <w:uiPriority w:val="39"/>
    <w:rsid w:val="008C580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 11"/>
    <w:aliases w:val="Justified"/>
    <w:basedOn w:val="Normal"/>
    <w:rsid w:val="008C580E"/>
    <w:pPr>
      <w:spacing w:line="288" w:lineRule="exact"/>
      <w:jc w:val="both"/>
    </w:pPr>
    <w:rPr>
      <w:rFonts w:cs="Times New Roman"/>
      <w:spacing w:val="5"/>
      <w:position w:val="2"/>
      <w:sz w:val="22"/>
      <w:szCs w:val="22"/>
    </w:rPr>
  </w:style>
  <w:style w:type="character" w:customStyle="1" w:styleId="UnresolvedMention3">
    <w:name w:val="Unresolved Mention3"/>
    <w:basedOn w:val="DefaultParagraphFont"/>
    <w:uiPriority w:val="99"/>
    <w:semiHidden/>
    <w:unhideWhenUsed/>
    <w:rsid w:val="008C580E"/>
    <w:rPr>
      <w:color w:val="605E5C"/>
      <w:shd w:val="clear" w:color="auto" w:fill="E1DFDD"/>
    </w:rPr>
  </w:style>
  <w:style w:type="table" w:customStyle="1" w:styleId="TableGrid38">
    <w:name w:val="Table Grid38"/>
    <w:basedOn w:val="TableNormal"/>
    <w:next w:val="TableGrid"/>
    <w:rsid w:val="008C580E"/>
    <w:pPr>
      <w:spacing w:after="0" w:line="240" w:lineRule="auto"/>
    </w:pPr>
    <w:rPr>
      <w:rFonts w:ascii="Times New Roman" w:eastAsia="MS Mincho" w:hAnsi="Times New Roman" w:cs="Arial"/>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8C580E"/>
    <w:rPr>
      <w:rFonts w:ascii="Segoe UI" w:eastAsia="Segoe UI" w:hAnsi="Segoe UI" w:cs="Segoe UI"/>
      <w:sz w:val="17"/>
      <w:szCs w:val="17"/>
      <w:shd w:val="clear" w:color="auto" w:fill="FFFFFF"/>
    </w:rPr>
  </w:style>
  <w:style w:type="paragraph" w:customStyle="1" w:styleId="Other0">
    <w:name w:val="Other"/>
    <w:basedOn w:val="Normal"/>
    <w:link w:val="Other"/>
    <w:rsid w:val="008C580E"/>
    <w:pPr>
      <w:widowControl w:val="0"/>
      <w:shd w:val="clear" w:color="auto" w:fill="FFFFFF"/>
      <w:spacing w:line="254" w:lineRule="auto"/>
    </w:pPr>
    <w:rPr>
      <w:rFonts w:ascii="Segoe UI" w:eastAsia="Segoe UI" w:hAnsi="Segoe UI" w:cs="Segoe UI"/>
      <w:sz w:val="17"/>
      <w:szCs w:val="17"/>
    </w:rPr>
  </w:style>
  <w:style w:type="character" w:customStyle="1" w:styleId="UnresolvedMention4">
    <w:name w:val="Unresolved Mention4"/>
    <w:basedOn w:val="DefaultParagraphFont"/>
    <w:uiPriority w:val="99"/>
    <w:semiHidden/>
    <w:unhideWhenUsed/>
    <w:rsid w:val="008C580E"/>
    <w:rPr>
      <w:color w:val="605E5C"/>
      <w:shd w:val="clear" w:color="auto" w:fill="E1DFDD"/>
    </w:rPr>
  </w:style>
  <w:style w:type="table" w:customStyle="1" w:styleId="TableGrid39">
    <w:name w:val="Table Grid39"/>
    <w:basedOn w:val="TableNormal"/>
    <w:next w:val="TableGrid"/>
    <w:rsid w:val="008C580E"/>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8C580E"/>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C580E"/>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0">
    <w:name w:val="Table Grid310"/>
    <w:basedOn w:val="TableNormal"/>
    <w:next w:val="TableGrid"/>
    <w:uiPriority w:val="39"/>
    <w:rsid w:val="008C580E"/>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8C580E"/>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
    <w:name w:val="TOCHead"/>
    <w:basedOn w:val="Normal"/>
    <w:next w:val="Body"/>
    <w:rsid w:val="0075166B"/>
    <w:pPr>
      <w:keepNext/>
      <w:spacing w:before="295" w:after="175" w:line="290" w:lineRule="auto"/>
      <w:ind w:left="425"/>
      <w:jc w:val="center"/>
      <w:outlineLvl w:val="0"/>
    </w:pPr>
    <w:rPr>
      <w:rFonts w:cs="Times New Roman"/>
      <w:b/>
      <w:kern w:val="20"/>
      <w:sz w:val="22"/>
      <w:szCs w:val="20"/>
      <w:lang w:val="en-GB"/>
    </w:rPr>
  </w:style>
  <w:style w:type="paragraph" w:customStyle="1" w:styleId="bullet2">
    <w:name w:val="bullet 2"/>
    <w:basedOn w:val="Normal"/>
    <w:rsid w:val="003323E8"/>
    <w:pPr>
      <w:numPr>
        <w:numId w:val="32"/>
      </w:numPr>
      <w:tabs>
        <w:tab w:val="clear" w:pos="992"/>
        <w:tab w:val="num" w:pos="360"/>
      </w:tabs>
      <w:spacing w:after="140" w:line="290" w:lineRule="auto"/>
      <w:ind w:left="0" w:firstLine="0"/>
      <w:jc w:val="both"/>
    </w:pPr>
    <w:rPr>
      <w:rFonts w:cs="Times New Roman"/>
      <w:kern w:val="20"/>
      <w:szCs w:val="20"/>
      <w:lang w:val="en-GB"/>
    </w:rPr>
  </w:style>
  <w:style w:type="paragraph" w:customStyle="1" w:styleId="doctext">
    <w:name w:val="doctext"/>
    <w:basedOn w:val="Normal"/>
    <w:uiPriority w:val="99"/>
    <w:rsid w:val="001220DA"/>
    <w:pPr>
      <w:spacing w:before="240" w:line="260" w:lineRule="atLeast"/>
      <w:jc w:val="both"/>
    </w:pPr>
    <w:rPr>
      <w:rFonts w:eastAsiaTheme="minorHAnsi" w:cs="Times New Roman"/>
      <w:szCs w:val="20"/>
      <w:lang w:val="ar"/>
      <w14:ligatures w14:val="standardContextual"/>
    </w:rPr>
  </w:style>
  <w:style w:type="table" w:styleId="GridTable1Light-Accent6">
    <w:name w:val="Grid Table 1 Light Accent 6"/>
    <w:basedOn w:val="TableNormal"/>
    <w:uiPriority w:val="46"/>
    <w:rsid w:val="00345685"/>
    <w:pPr>
      <w:spacing w:after="0" w:line="240" w:lineRule="auto"/>
    </w:pPr>
    <w:rPr>
      <w:rFonts w:ascii="Times New Roman" w:eastAsia="MS Mincho" w:hAnsi="Times New Roman" w:cs="Times New Roman"/>
      <w14:ligatures w14:val="standardContextua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P68B1DB1-KeyMessage1">
    <w:name w:val="P68B1DB1-KeyMessage1"/>
    <w:basedOn w:val="Normal"/>
    <w:rsid w:val="00CD200C"/>
    <w:pPr>
      <w:bidi/>
      <w:spacing w:after="400" w:line="276" w:lineRule="auto"/>
      <w:jc w:val="both"/>
    </w:pPr>
    <w:rPr>
      <w:rFonts w:asciiTheme="minorHAnsi" w:eastAsiaTheme="minorHAnsi" w:hAnsiTheme="minorHAnsi" w:cstheme="minorHAnsi"/>
      <w:b/>
      <w:sz w:val="22"/>
      <w:szCs w:val="20"/>
      <w:rtl/>
      <w14:ligatures w14:val="standardContextual"/>
    </w:rPr>
  </w:style>
  <w:style w:type="paragraph" w:customStyle="1" w:styleId="Alpha2-a">
    <w:name w:val="Alpha 2-(a)"/>
    <w:basedOn w:val="Normal"/>
    <w:rsid w:val="004B3A0C"/>
    <w:pPr>
      <w:numPr>
        <w:numId w:val="42"/>
      </w:numPr>
      <w:spacing w:after="140" w:line="290" w:lineRule="auto"/>
      <w:jc w:val="both"/>
    </w:pPr>
    <w:rPr>
      <w:rFonts w:cs="Times New Roman"/>
      <w:kern w:val="20"/>
      <w:szCs w:val="20"/>
      <w:lang w:val="en-GB"/>
    </w:rPr>
  </w:style>
  <w:style w:type="character" w:customStyle="1" w:styleId="UnresolvedMention100">
    <w:name w:val="Unresolved Mention10"/>
    <w:basedOn w:val="DefaultParagraphFont"/>
    <w:uiPriority w:val="99"/>
    <w:semiHidden/>
    <w:unhideWhenUsed/>
    <w:rsid w:val="00C53B7B"/>
    <w:rPr>
      <w:color w:val="605E5C"/>
      <w:shd w:val="clear" w:color="auto" w:fill="E1DFDD"/>
    </w:rPr>
  </w:style>
  <w:style w:type="paragraph" w:customStyle="1" w:styleId="Head">
    <w:name w:val="Head"/>
    <w:basedOn w:val="Normal"/>
    <w:next w:val="Body"/>
    <w:rsid w:val="00C53B7B"/>
    <w:pPr>
      <w:keepNext/>
      <w:spacing w:before="295" w:after="175" w:line="290" w:lineRule="auto"/>
      <w:ind w:left="425"/>
      <w:jc w:val="both"/>
      <w:outlineLvl w:val="0"/>
    </w:pPr>
    <w:rPr>
      <w:rFonts w:cs="Times New Roman"/>
      <w:b/>
      <w:kern w:val="20"/>
      <w:sz w:val="22"/>
      <w:szCs w:val="20"/>
      <w:lang w:val="en-GB"/>
    </w:rPr>
  </w:style>
  <w:style w:type="paragraph" w:customStyle="1" w:styleId="CellBodyIndent1">
    <w:name w:val="CellBody Indent 1"/>
    <w:basedOn w:val="CellBody"/>
    <w:rsid w:val="00C53B7B"/>
    <w:pPr>
      <w:ind w:left="170"/>
    </w:pPr>
  </w:style>
  <w:style w:type="paragraph" w:customStyle="1" w:styleId="Alpha2-Abolditalic">
    <w:name w:val="Alpha 2-(A) bolditalic"/>
    <w:basedOn w:val="Normal"/>
    <w:next w:val="Normal"/>
    <w:rsid w:val="00C53B7B"/>
    <w:pPr>
      <w:keepNext/>
      <w:numPr>
        <w:numId w:val="43"/>
      </w:numPr>
      <w:spacing w:after="140" w:line="290" w:lineRule="auto"/>
    </w:pPr>
    <w:rPr>
      <w:rFonts w:cs="Times New Roman"/>
      <w:b/>
      <w:i/>
      <w:kern w:val="20"/>
      <w:sz w:val="21"/>
      <w:szCs w:val="20"/>
      <w:lang w:val="en-GB"/>
    </w:rPr>
  </w:style>
  <w:style w:type="paragraph" w:customStyle="1" w:styleId="Alpha2-aitalic">
    <w:name w:val="Alpha 2-(a) italic"/>
    <w:basedOn w:val="Normal"/>
    <w:next w:val="Normal"/>
    <w:rsid w:val="00C53B7B"/>
    <w:pPr>
      <w:keepNext/>
      <w:numPr>
        <w:numId w:val="44"/>
      </w:numPr>
      <w:spacing w:after="140" w:line="290" w:lineRule="auto"/>
      <w:jc w:val="both"/>
    </w:pPr>
    <w:rPr>
      <w:rFonts w:cs="Times New Roman"/>
      <w:i/>
      <w:kern w:val="20"/>
      <w:sz w:val="21"/>
      <w:szCs w:val="20"/>
      <w:lang w:val="en-GB"/>
    </w:rPr>
  </w:style>
  <w:style w:type="paragraph" w:customStyle="1" w:styleId="Title16">
    <w:name w:val="Title16"/>
    <w:basedOn w:val="Normal"/>
    <w:rsid w:val="00C53B7B"/>
    <w:pPr>
      <w:keepNext/>
      <w:keepLines/>
      <w:spacing w:after="120" w:line="290" w:lineRule="auto"/>
      <w:jc w:val="center"/>
      <w:outlineLvl w:val="0"/>
    </w:pPr>
    <w:rPr>
      <w:rFonts w:cs="Times New Roman"/>
      <w:b/>
      <w:kern w:val="20"/>
      <w:sz w:val="32"/>
      <w:szCs w:val="20"/>
      <w:lang w:val="en-GB"/>
    </w:rPr>
  </w:style>
  <w:style w:type="paragraph" w:customStyle="1" w:styleId="Titleitalic">
    <w:name w:val="Title italic"/>
    <w:basedOn w:val="Normal"/>
    <w:rsid w:val="00C53B7B"/>
    <w:pPr>
      <w:keepNext/>
      <w:keepLines/>
      <w:spacing w:after="240" w:line="290" w:lineRule="auto"/>
      <w:jc w:val="center"/>
      <w:outlineLvl w:val="0"/>
    </w:pPr>
    <w:rPr>
      <w:rFonts w:cs="Times New Roman"/>
      <w:i/>
      <w:kern w:val="20"/>
      <w:szCs w:val="20"/>
      <w:lang w:val="en-GB"/>
    </w:rPr>
  </w:style>
  <w:style w:type="character" w:customStyle="1" w:styleId="Mention1">
    <w:name w:val="Mention1"/>
    <w:basedOn w:val="DefaultParagraphFont"/>
    <w:uiPriority w:val="99"/>
    <w:unhideWhenUsed/>
    <w:rsid w:val="00C53B7B"/>
    <w:rPr>
      <w:color w:val="2B579A"/>
      <w:shd w:val="clear" w:color="auto" w:fill="E1DFDD"/>
    </w:rPr>
  </w:style>
  <w:style w:type="character" w:customStyle="1" w:styleId="UnresolvedMention5">
    <w:name w:val="Unresolved Mention5"/>
    <w:basedOn w:val="DefaultParagraphFont"/>
    <w:uiPriority w:val="99"/>
    <w:semiHidden/>
    <w:unhideWhenUsed/>
    <w:rsid w:val="00C53B7B"/>
    <w:rPr>
      <w:color w:val="605E5C"/>
      <w:shd w:val="clear" w:color="auto" w:fill="E1DFDD"/>
    </w:rPr>
  </w:style>
  <w:style w:type="numbering" w:customStyle="1" w:styleId="NoList1">
    <w:name w:val="No List1"/>
    <w:next w:val="NoList"/>
    <w:uiPriority w:val="99"/>
    <w:semiHidden/>
    <w:unhideWhenUsed/>
    <w:rsid w:val="00E8611C"/>
  </w:style>
  <w:style w:type="numbering" w:customStyle="1" w:styleId="Nada111">
    <w:name w:val="Nada111"/>
    <w:rsid w:val="00E8611C"/>
    <w:pPr>
      <w:numPr>
        <w:numId w:val="65"/>
      </w:numPr>
    </w:pPr>
  </w:style>
  <w:style w:type="paragraph" w:customStyle="1" w:styleId="4">
    <w:name w:val="اقسام 4"/>
    <w:basedOn w:val="Normal"/>
    <w:qFormat/>
    <w:rsid w:val="00E8611C"/>
    <w:pPr>
      <w:keepNext/>
      <w:keepLines/>
      <w:bidi/>
      <w:spacing w:before="240"/>
      <w:jc w:val="both"/>
      <w:outlineLvl w:val="0"/>
    </w:pPr>
    <w:rPr>
      <w:rFonts w:ascii="Sakkal Majalla" w:eastAsiaTheme="majorEastAsia" w:hAnsi="Sakkal Majalla" w:cs="Sakkal Majalla"/>
      <w:b/>
      <w:bCs/>
      <w:color w:val="002060"/>
      <w:sz w:val="28"/>
      <w:szCs w:val="28"/>
    </w:rPr>
  </w:style>
  <w:style w:type="table" w:customStyle="1" w:styleId="zaintable7">
    <w:name w:val="zain table7"/>
    <w:basedOn w:val="TableNormal"/>
    <w:next w:val="TableGrid"/>
    <w:uiPriority w:val="39"/>
    <w:rsid w:val="00E8611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rsid w:val="00E86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E8611C"/>
  </w:style>
  <w:style w:type="paragraph" w:customStyle="1" w:styleId="PAAlphaListindent2">
    <w:name w:val="PA Alpha List indent 2"/>
    <w:basedOn w:val="Normal"/>
    <w:rsid w:val="00E8611C"/>
    <w:pPr>
      <w:numPr>
        <w:numId w:val="66"/>
      </w:numPr>
      <w:spacing w:after="120"/>
      <w:jc w:val="both"/>
    </w:pPr>
    <w:rPr>
      <w:rFonts w:ascii="Sakkal Majalla" w:eastAsia="Sakkal Majalla" w:hAnsi="Sakkal Majalla" w:cs="Sakkal Majalla"/>
      <w:szCs w:val="20"/>
      <w:lang w:val="en-GB"/>
    </w:rPr>
  </w:style>
  <w:style w:type="character" w:customStyle="1" w:styleId="y2iqfc">
    <w:name w:val="y2iqfc"/>
    <w:basedOn w:val="DefaultParagraphFont"/>
    <w:rsid w:val="00E8611C"/>
  </w:style>
  <w:style w:type="paragraph" w:customStyle="1" w:styleId="DefaultText">
    <w:name w:val="Default Text"/>
    <w:basedOn w:val="Normal"/>
    <w:link w:val="DefaultTextChar"/>
    <w:rsid w:val="00E8611C"/>
    <w:rPr>
      <w:rFonts w:cs="Times New Roman"/>
      <w:snapToGrid w:val="0"/>
      <w:sz w:val="24"/>
      <w:szCs w:val="28"/>
    </w:rPr>
  </w:style>
  <w:style w:type="character" w:customStyle="1" w:styleId="DefaultTextChar">
    <w:name w:val="Default Text Char"/>
    <w:link w:val="DefaultText"/>
    <w:rsid w:val="00E8611C"/>
    <w:rPr>
      <w:rFonts w:ascii="Times New Roman" w:eastAsia="Times New Roman" w:hAnsi="Times New Roman" w:cs="Times New Roman"/>
      <w:snapToGrid w:val="0"/>
      <w:sz w:val="24"/>
      <w:szCs w:val="28"/>
    </w:rPr>
  </w:style>
  <w:style w:type="character" w:customStyle="1" w:styleId="Mention2">
    <w:name w:val="Mention2"/>
    <w:basedOn w:val="DefaultParagraphFont"/>
    <w:uiPriority w:val="99"/>
    <w:unhideWhenUsed/>
    <w:rsid w:val="00E8611C"/>
    <w:rPr>
      <w:color w:val="2B579A"/>
      <w:shd w:val="clear" w:color="auto" w:fill="E1DFDD"/>
    </w:rPr>
  </w:style>
  <w:style w:type="table" w:customStyle="1" w:styleId="TableGrid114">
    <w:name w:val="Table Grid114"/>
    <w:basedOn w:val="TableNormal"/>
    <w:next w:val="TableGrid"/>
    <w:uiPriority w:val="59"/>
    <w:rsid w:val="00E8611C"/>
    <w:pPr>
      <w:spacing w:after="0" w:line="240" w:lineRule="auto"/>
    </w:pPr>
    <w:rPr>
      <w:rFonts w:ascii="Arial" w:eastAsia="Arial" w:hAnsi="Arial" w:cs="Arial"/>
      <w:sz w:val="20"/>
      <w:szCs w:val="20"/>
      <w:lang w:val="en-GB" w:eastAsia="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utlook-search-highlight">
    <w:name w:val="outlook-search-highlight"/>
    <w:basedOn w:val="DefaultParagraphFont"/>
    <w:rsid w:val="00AD333C"/>
  </w:style>
  <w:style w:type="character" w:styleId="UnresolvedMention">
    <w:name w:val="Unresolved Mention"/>
    <w:basedOn w:val="DefaultParagraphFont"/>
    <w:uiPriority w:val="99"/>
    <w:semiHidden/>
    <w:unhideWhenUsed/>
    <w:rsid w:val="0065161C"/>
    <w:rPr>
      <w:color w:val="605E5C"/>
      <w:shd w:val="clear" w:color="auto" w:fill="E1DFDD"/>
    </w:rPr>
  </w:style>
  <w:style w:type="character" w:styleId="Mention">
    <w:name w:val="Mention"/>
    <w:basedOn w:val="DefaultParagraphFont"/>
    <w:uiPriority w:val="99"/>
    <w:unhideWhenUsed/>
    <w:rsid w:val="006516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643">
      <w:bodyDiv w:val="1"/>
      <w:marLeft w:val="0"/>
      <w:marRight w:val="0"/>
      <w:marTop w:val="0"/>
      <w:marBottom w:val="0"/>
      <w:divBdr>
        <w:top w:val="none" w:sz="0" w:space="0" w:color="auto"/>
        <w:left w:val="none" w:sz="0" w:space="0" w:color="auto"/>
        <w:bottom w:val="none" w:sz="0" w:space="0" w:color="auto"/>
        <w:right w:val="none" w:sz="0" w:space="0" w:color="auto"/>
      </w:divBdr>
    </w:div>
    <w:div w:id="4748305">
      <w:bodyDiv w:val="1"/>
      <w:marLeft w:val="0"/>
      <w:marRight w:val="0"/>
      <w:marTop w:val="0"/>
      <w:marBottom w:val="0"/>
      <w:divBdr>
        <w:top w:val="none" w:sz="0" w:space="0" w:color="auto"/>
        <w:left w:val="none" w:sz="0" w:space="0" w:color="auto"/>
        <w:bottom w:val="none" w:sz="0" w:space="0" w:color="auto"/>
        <w:right w:val="none" w:sz="0" w:space="0" w:color="auto"/>
      </w:divBdr>
    </w:div>
    <w:div w:id="86460100">
      <w:bodyDiv w:val="1"/>
      <w:marLeft w:val="0"/>
      <w:marRight w:val="0"/>
      <w:marTop w:val="0"/>
      <w:marBottom w:val="0"/>
      <w:divBdr>
        <w:top w:val="none" w:sz="0" w:space="0" w:color="auto"/>
        <w:left w:val="none" w:sz="0" w:space="0" w:color="auto"/>
        <w:bottom w:val="none" w:sz="0" w:space="0" w:color="auto"/>
        <w:right w:val="none" w:sz="0" w:space="0" w:color="auto"/>
      </w:divBdr>
    </w:div>
    <w:div w:id="88888704">
      <w:bodyDiv w:val="1"/>
      <w:marLeft w:val="0"/>
      <w:marRight w:val="0"/>
      <w:marTop w:val="0"/>
      <w:marBottom w:val="0"/>
      <w:divBdr>
        <w:top w:val="none" w:sz="0" w:space="0" w:color="auto"/>
        <w:left w:val="none" w:sz="0" w:space="0" w:color="auto"/>
        <w:bottom w:val="none" w:sz="0" w:space="0" w:color="auto"/>
        <w:right w:val="none" w:sz="0" w:space="0" w:color="auto"/>
      </w:divBdr>
    </w:div>
    <w:div w:id="103351251">
      <w:bodyDiv w:val="1"/>
      <w:marLeft w:val="0"/>
      <w:marRight w:val="0"/>
      <w:marTop w:val="0"/>
      <w:marBottom w:val="0"/>
      <w:divBdr>
        <w:top w:val="none" w:sz="0" w:space="0" w:color="auto"/>
        <w:left w:val="none" w:sz="0" w:space="0" w:color="auto"/>
        <w:bottom w:val="none" w:sz="0" w:space="0" w:color="auto"/>
        <w:right w:val="none" w:sz="0" w:space="0" w:color="auto"/>
      </w:divBdr>
    </w:div>
    <w:div w:id="117723080">
      <w:bodyDiv w:val="1"/>
      <w:marLeft w:val="0"/>
      <w:marRight w:val="0"/>
      <w:marTop w:val="0"/>
      <w:marBottom w:val="0"/>
      <w:divBdr>
        <w:top w:val="none" w:sz="0" w:space="0" w:color="auto"/>
        <w:left w:val="none" w:sz="0" w:space="0" w:color="auto"/>
        <w:bottom w:val="none" w:sz="0" w:space="0" w:color="auto"/>
        <w:right w:val="none" w:sz="0" w:space="0" w:color="auto"/>
      </w:divBdr>
    </w:div>
    <w:div w:id="139200199">
      <w:bodyDiv w:val="1"/>
      <w:marLeft w:val="0"/>
      <w:marRight w:val="0"/>
      <w:marTop w:val="0"/>
      <w:marBottom w:val="0"/>
      <w:divBdr>
        <w:top w:val="none" w:sz="0" w:space="0" w:color="auto"/>
        <w:left w:val="none" w:sz="0" w:space="0" w:color="auto"/>
        <w:bottom w:val="none" w:sz="0" w:space="0" w:color="auto"/>
        <w:right w:val="none" w:sz="0" w:space="0" w:color="auto"/>
      </w:divBdr>
    </w:div>
    <w:div w:id="168108726">
      <w:bodyDiv w:val="1"/>
      <w:marLeft w:val="0"/>
      <w:marRight w:val="0"/>
      <w:marTop w:val="0"/>
      <w:marBottom w:val="0"/>
      <w:divBdr>
        <w:top w:val="none" w:sz="0" w:space="0" w:color="auto"/>
        <w:left w:val="none" w:sz="0" w:space="0" w:color="auto"/>
        <w:bottom w:val="none" w:sz="0" w:space="0" w:color="auto"/>
        <w:right w:val="none" w:sz="0" w:space="0" w:color="auto"/>
      </w:divBdr>
    </w:div>
    <w:div w:id="177037891">
      <w:bodyDiv w:val="1"/>
      <w:marLeft w:val="0"/>
      <w:marRight w:val="0"/>
      <w:marTop w:val="0"/>
      <w:marBottom w:val="0"/>
      <w:divBdr>
        <w:top w:val="none" w:sz="0" w:space="0" w:color="auto"/>
        <w:left w:val="none" w:sz="0" w:space="0" w:color="auto"/>
        <w:bottom w:val="none" w:sz="0" w:space="0" w:color="auto"/>
        <w:right w:val="none" w:sz="0" w:space="0" w:color="auto"/>
      </w:divBdr>
    </w:div>
    <w:div w:id="180171283">
      <w:bodyDiv w:val="1"/>
      <w:marLeft w:val="0"/>
      <w:marRight w:val="0"/>
      <w:marTop w:val="0"/>
      <w:marBottom w:val="0"/>
      <w:divBdr>
        <w:top w:val="none" w:sz="0" w:space="0" w:color="auto"/>
        <w:left w:val="none" w:sz="0" w:space="0" w:color="auto"/>
        <w:bottom w:val="none" w:sz="0" w:space="0" w:color="auto"/>
        <w:right w:val="none" w:sz="0" w:space="0" w:color="auto"/>
      </w:divBdr>
    </w:div>
    <w:div w:id="240025081">
      <w:bodyDiv w:val="1"/>
      <w:marLeft w:val="0"/>
      <w:marRight w:val="0"/>
      <w:marTop w:val="0"/>
      <w:marBottom w:val="0"/>
      <w:divBdr>
        <w:top w:val="none" w:sz="0" w:space="0" w:color="auto"/>
        <w:left w:val="none" w:sz="0" w:space="0" w:color="auto"/>
        <w:bottom w:val="none" w:sz="0" w:space="0" w:color="auto"/>
        <w:right w:val="none" w:sz="0" w:space="0" w:color="auto"/>
      </w:divBdr>
    </w:div>
    <w:div w:id="312222805">
      <w:bodyDiv w:val="1"/>
      <w:marLeft w:val="0"/>
      <w:marRight w:val="0"/>
      <w:marTop w:val="0"/>
      <w:marBottom w:val="0"/>
      <w:divBdr>
        <w:top w:val="none" w:sz="0" w:space="0" w:color="auto"/>
        <w:left w:val="none" w:sz="0" w:space="0" w:color="auto"/>
        <w:bottom w:val="none" w:sz="0" w:space="0" w:color="auto"/>
        <w:right w:val="none" w:sz="0" w:space="0" w:color="auto"/>
      </w:divBdr>
    </w:div>
    <w:div w:id="402290701">
      <w:bodyDiv w:val="1"/>
      <w:marLeft w:val="0"/>
      <w:marRight w:val="0"/>
      <w:marTop w:val="0"/>
      <w:marBottom w:val="0"/>
      <w:divBdr>
        <w:top w:val="none" w:sz="0" w:space="0" w:color="auto"/>
        <w:left w:val="none" w:sz="0" w:space="0" w:color="auto"/>
        <w:bottom w:val="none" w:sz="0" w:space="0" w:color="auto"/>
        <w:right w:val="none" w:sz="0" w:space="0" w:color="auto"/>
      </w:divBdr>
      <w:divsChild>
        <w:div w:id="379134152">
          <w:marLeft w:val="1166"/>
          <w:marRight w:val="0"/>
          <w:marTop w:val="0"/>
          <w:marBottom w:val="0"/>
          <w:divBdr>
            <w:top w:val="none" w:sz="0" w:space="0" w:color="auto"/>
            <w:left w:val="none" w:sz="0" w:space="0" w:color="auto"/>
            <w:bottom w:val="none" w:sz="0" w:space="0" w:color="auto"/>
            <w:right w:val="none" w:sz="0" w:space="0" w:color="auto"/>
          </w:divBdr>
        </w:div>
        <w:div w:id="1724790915">
          <w:marLeft w:val="547"/>
          <w:marRight w:val="0"/>
          <w:marTop w:val="0"/>
          <w:marBottom w:val="0"/>
          <w:divBdr>
            <w:top w:val="none" w:sz="0" w:space="0" w:color="auto"/>
            <w:left w:val="none" w:sz="0" w:space="0" w:color="auto"/>
            <w:bottom w:val="none" w:sz="0" w:space="0" w:color="auto"/>
            <w:right w:val="none" w:sz="0" w:space="0" w:color="auto"/>
          </w:divBdr>
        </w:div>
      </w:divsChild>
    </w:div>
    <w:div w:id="402336696">
      <w:bodyDiv w:val="1"/>
      <w:marLeft w:val="0"/>
      <w:marRight w:val="0"/>
      <w:marTop w:val="0"/>
      <w:marBottom w:val="0"/>
      <w:divBdr>
        <w:top w:val="none" w:sz="0" w:space="0" w:color="auto"/>
        <w:left w:val="none" w:sz="0" w:space="0" w:color="auto"/>
        <w:bottom w:val="none" w:sz="0" w:space="0" w:color="auto"/>
        <w:right w:val="none" w:sz="0" w:space="0" w:color="auto"/>
      </w:divBdr>
    </w:div>
    <w:div w:id="464198024">
      <w:bodyDiv w:val="1"/>
      <w:marLeft w:val="0"/>
      <w:marRight w:val="0"/>
      <w:marTop w:val="0"/>
      <w:marBottom w:val="0"/>
      <w:divBdr>
        <w:top w:val="none" w:sz="0" w:space="0" w:color="auto"/>
        <w:left w:val="none" w:sz="0" w:space="0" w:color="auto"/>
        <w:bottom w:val="none" w:sz="0" w:space="0" w:color="auto"/>
        <w:right w:val="none" w:sz="0" w:space="0" w:color="auto"/>
      </w:divBdr>
    </w:div>
    <w:div w:id="478350026">
      <w:bodyDiv w:val="1"/>
      <w:marLeft w:val="0"/>
      <w:marRight w:val="0"/>
      <w:marTop w:val="0"/>
      <w:marBottom w:val="0"/>
      <w:divBdr>
        <w:top w:val="none" w:sz="0" w:space="0" w:color="auto"/>
        <w:left w:val="none" w:sz="0" w:space="0" w:color="auto"/>
        <w:bottom w:val="none" w:sz="0" w:space="0" w:color="auto"/>
        <w:right w:val="none" w:sz="0" w:space="0" w:color="auto"/>
      </w:divBdr>
    </w:div>
    <w:div w:id="562570748">
      <w:bodyDiv w:val="1"/>
      <w:marLeft w:val="0"/>
      <w:marRight w:val="0"/>
      <w:marTop w:val="0"/>
      <w:marBottom w:val="0"/>
      <w:divBdr>
        <w:top w:val="none" w:sz="0" w:space="0" w:color="auto"/>
        <w:left w:val="none" w:sz="0" w:space="0" w:color="auto"/>
        <w:bottom w:val="none" w:sz="0" w:space="0" w:color="auto"/>
        <w:right w:val="none" w:sz="0" w:space="0" w:color="auto"/>
      </w:divBdr>
    </w:div>
    <w:div w:id="568157354">
      <w:bodyDiv w:val="1"/>
      <w:marLeft w:val="0"/>
      <w:marRight w:val="0"/>
      <w:marTop w:val="0"/>
      <w:marBottom w:val="0"/>
      <w:divBdr>
        <w:top w:val="none" w:sz="0" w:space="0" w:color="auto"/>
        <w:left w:val="none" w:sz="0" w:space="0" w:color="auto"/>
        <w:bottom w:val="none" w:sz="0" w:space="0" w:color="auto"/>
        <w:right w:val="none" w:sz="0" w:space="0" w:color="auto"/>
      </w:divBdr>
    </w:div>
    <w:div w:id="600188707">
      <w:bodyDiv w:val="1"/>
      <w:marLeft w:val="0"/>
      <w:marRight w:val="0"/>
      <w:marTop w:val="0"/>
      <w:marBottom w:val="0"/>
      <w:divBdr>
        <w:top w:val="none" w:sz="0" w:space="0" w:color="auto"/>
        <w:left w:val="none" w:sz="0" w:space="0" w:color="auto"/>
        <w:bottom w:val="none" w:sz="0" w:space="0" w:color="auto"/>
        <w:right w:val="none" w:sz="0" w:space="0" w:color="auto"/>
      </w:divBdr>
    </w:div>
    <w:div w:id="603616881">
      <w:bodyDiv w:val="1"/>
      <w:marLeft w:val="0"/>
      <w:marRight w:val="0"/>
      <w:marTop w:val="0"/>
      <w:marBottom w:val="0"/>
      <w:divBdr>
        <w:top w:val="none" w:sz="0" w:space="0" w:color="auto"/>
        <w:left w:val="none" w:sz="0" w:space="0" w:color="auto"/>
        <w:bottom w:val="none" w:sz="0" w:space="0" w:color="auto"/>
        <w:right w:val="none" w:sz="0" w:space="0" w:color="auto"/>
      </w:divBdr>
    </w:div>
    <w:div w:id="674724934">
      <w:bodyDiv w:val="1"/>
      <w:marLeft w:val="0"/>
      <w:marRight w:val="0"/>
      <w:marTop w:val="0"/>
      <w:marBottom w:val="0"/>
      <w:divBdr>
        <w:top w:val="none" w:sz="0" w:space="0" w:color="auto"/>
        <w:left w:val="none" w:sz="0" w:space="0" w:color="auto"/>
        <w:bottom w:val="none" w:sz="0" w:space="0" w:color="auto"/>
        <w:right w:val="none" w:sz="0" w:space="0" w:color="auto"/>
      </w:divBdr>
    </w:div>
    <w:div w:id="690759820">
      <w:bodyDiv w:val="1"/>
      <w:marLeft w:val="0"/>
      <w:marRight w:val="0"/>
      <w:marTop w:val="0"/>
      <w:marBottom w:val="0"/>
      <w:divBdr>
        <w:top w:val="none" w:sz="0" w:space="0" w:color="auto"/>
        <w:left w:val="none" w:sz="0" w:space="0" w:color="auto"/>
        <w:bottom w:val="none" w:sz="0" w:space="0" w:color="auto"/>
        <w:right w:val="none" w:sz="0" w:space="0" w:color="auto"/>
      </w:divBdr>
    </w:div>
    <w:div w:id="725908701">
      <w:bodyDiv w:val="1"/>
      <w:marLeft w:val="0"/>
      <w:marRight w:val="0"/>
      <w:marTop w:val="0"/>
      <w:marBottom w:val="0"/>
      <w:divBdr>
        <w:top w:val="none" w:sz="0" w:space="0" w:color="auto"/>
        <w:left w:val="none" w:sz="0" w:space="0" w:color="auto"/>
        <w:bottom w:val="none" w:sz="0" w:space="0" w:color="auto"/>
        <w:right w:val="none" w:sz="0" w:space="0" w:color="auto"/>
      </w:divBdr>
    </w:div>
    <w:div w:id="727457488">
      <w:bodyDiv w:val="1"/>
      <w:marLeft w:val="0"/>
      <w:marRight w:val="0"/>
      <w:marTop w:val="0"/>
      <w:marBottom w:val="0"/>
      <w:divBdr>
        <w:top w:val="none" w:sz="0" w:space="0" w:color="auto"/>
        <w:left w:val="none" w:sz="0" w:space="0" w:color="auto"/>
        <w:bottom w:val="none" w:sz="0" w:space="0" w:color="auto"/>
        <w:right w:val="none" w:sz="0" w:space="0" w:color="auto"/>
      </w:divBdr>
      <w:divsChild>
        <w:div w:id="1745107818">
          <w:marLeft w:val="0"/>
          <w:marRight w:val="0"/>
          <w:marTop w:val="0"/>
          <w:marBottom w:val="0"/>
          <w:divBdr>
            <w:top w:val="none" w:sz="0" w:space="0" w:color="auto"/>
            <w:left w:val="none" w:sz="0" w:space="0" w:color="auto"/>
            <w:bottom w:val="none" w:sz="0" w:space="0" w:color="auto"/>
            <w:right w:val="none" w:sz="0" w:space="0" w:color="auto"/>
          </w:divBdr>
          <w:divsChild>
            <w:div w:id="543709970">
              <w:marLeft w:val="0"/>
              <w:marRight w:val="0"/>
              <w:marTop w:val="0"/>
              <w:marBottom w:val="0"/>
              <w:divBdr>
                <w:top w:val="none" w:sz="0" w:space="0" w:color="auto"/>
                <w:left w:val="none" w:sz="0" w:space="0" w:color="auto"/>
                <w:bottom w:val="none" w:sz="0" w:space="0" w:color="auto"/>
                <w:right w:val="none" w:sz="0" w:space="0" w:color="auto"/>
              </w:divBdr>
              <w:divsChild>
                <w:div w:id="1178884470">
                  <w:marLeft w:val="0"/>
                  <w:marRight w:val="0"/>
                  <w:marTop w:val="0"/>
                  <w:marBottom w:val="0"/>
                  <w:divBdr>
                    <w:top w:val="none" w:sz="0" w:space="0" w:color="auto"/>
                    <w:left w:val="none" w:sz="0" w:space="0" w:color="auto"/>
                    <w:bottom w:val="none" w:sz="0" w:space="0" w:color="auto"/>
                    <w:right w:val="none" w:sz="0" w:space="0" w:color="auto"/>
                  </w:divBdr>
                  <w:divsChild>
                    <w:div w:id="65171426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942447406">
          <w:marLeft w:val="0"/>
          <w:marRight w:val="0"/>
          <w:marTop w:val="0"/>
          <w:marBottom w:val="0"/>
          <w:divBdr>
            <w:top w:val="none" w:sz="0" w:space="0" w:color="auto"/>
            <w:left w:val="none" w:sz="0" w:space="0" w:color="auto"/>
            <w:bottom w:val="none" w:sz="0" w:space="0" w:color="auto"/>
            <w:right w:val="none" w:sz="0" w:space="0" w:color="auto"/>
          </w:divBdr>
          <w:divsChild>
            <w:div w:id="228423581">
              <w:marLeft w:val="0"/>
              <w:marRight w:val="0"/>
              <w:marTop w:val="0"/>
              <w:marBottom w:val="0"/>
              <w:divBdr>
                <w:top w:val="none" w:sz="0" w:space="0" w:color="auto"/>
                <w:left w:val="none" w:sz="0" w:space="0" w:color="auto"/>
                <w:bottom w:val="none" w:sz="0" w:space="0" w:color="auto"/>
                <w:right w:val="none" w:sz="0" w:space="0" w:color="auto"/>
              </w:divBdr>
              <w:divsChild>
                <w:div w:id="165795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79040">
      <w:bodyDiv w:val="1"/>
      <w:marLeft w:val="0"/>
      <w:marRight w:val="0"/>
      <w:marTop w:val="0"/>
      <w:marBottom w:val="0"/>
      <w:divBdr>
        <w:top w:val="none" w:sz="0" w:space="0" w:color="auto"/>
        <w:left w:val="none" w:sz="0" w:space="0" w:color="auto"/>
        <w:bottom w:val="none" w:sz="0" w:space="0" w:color="auto"/>
        <w:right w:val="none" w:sz="0" w:space="0" w:color="auto"/>
      </w:divBdr>
    </w:div>
    <w:div w:id="787701118">
      <w:bodyDiv w:val="1"/>
      <w:marLeft w:val="0"/>
      <w:marRight w:val="0"/>
      <w:marTop w:val="0"/>
      <w:marBottom w:val="0"/>
      <w:divBdr>
        <w:top w:val="none" w:sz="0" w:space="0" w:color="auto"/>
        <w:left w:val="none" w:sz="0" w:space="0" w:color="auto"/>
        <w:bottom w:val="none" w:sz="0" w:space="0" w:color="auto"/>
        <w:right w:val="none" w:sz="0" w:space="0" w:color="auto"/>
      </w:divBdr>
    </w:div>
    <w:div w:id="822770420">
      <w:bodyDiv w:val="1"/>
      <w:marLeft w:val="0"/>
      <w:marRight w:val="0"/>
      <w:marTop w:val="0"/>
      <w:marBottom w:val="0"/>
      <w:divBdr>
        <w:top w:val="none" w:sz="0" w:space="0" w:color="auto"/>
        <w:left w:val="none" w:sz="0" w:space="0" w:color="auto"/>
        <w:bottom w:val="none" w:sz="0" w:space="0" w:color="auto"/>
        <w:right w:val="none" w:sz="0" w:space="0" w:color="auto"/>
      </w:divBdr>
    </w:div>
    <w:div w:id="839008193">
      <w:bodyDiv w:val="1"/>
      <w:marLeft w:val="0"/>
      <w:marRight w:val="0"/>
      <w:marTop w:val="0"/>
      <w:marBottom w:val="0"/>
      <w:divBdr>
        <w:top w:val="none" w:sz="0" w:space="0" w:color="auto"/>
        <w:left w:val="none" w:sz="0" w:space="0" w:color="auto"/>
        <w:bottom w:val="none" w:sz="0" w:space="0" w:color="auto"/>
        <w:right w:val="none" w:sz="0" w:space="0" w:color="auto"/>
      </w:divBdr>
    </w:div>
    <w:div w:id="859316574">
      <w:bodyDiv w:val="1"/>
      <w:marLeft w:val="0"/>
      <w:marRight w:val="0"/>
      <w:marTop w:val="0"/>
      <w:marBottom w:val="0"/>
      <w:divBdr>
        <w:top w:val="none" w:sz="0" w:space="0" w:color="auto"/>
        <w:left w:val="none" w:sz="0" w:space="0" w:color="auto"/>
        <w:bottom w:val="none" w:sz="0" w:space="0" w:color="auto"/>
        <w:right w:val="none" w:sz="0" w:space="0" w:color="auto"/>
      </w:divBdr>
    </w:div>
    <w:div w:id="887496018">
      <w:bodyDiv w:val="1"/>
      <w:marLeft w:val="0"/>
      <w:marRight w:val="0"/>
      <w:marTop w:val="0"/>
      <w:marBottom w:val="0"/>
      <w:divBdr>
        <w:top w:val="none" w:sz="0" w:space="0" w:color="auto"/>
        <w:left w:val="none" w:sz="0" w:space="0" w:color="auto"/>
        <w:bottom w:val="none" w:sz="0" w:space="0" w:color="auto"/>
        <w:right w:val="none" w:sz="0" w:space="0" w:color="auto"/>
      </w:divBdr>
    </w:div>
    <w:div w:id="907499787">
      <w:bodyDiv w:val="1"/>
      <w:marLeft w:val="0"/>
      <w:marRight w:val="0"/>
      <w:marTop w:val="0"/>
      <w:marBottom w:val="0"/>
      <w:divBdr>
        <w:top w:val="none" w:sz="0" w:space="0" w:color="auto"/>
        <w:left w:val="none" w:sz="0" w:space="0" w:color="auto"/>
        <w:bottom w:val="none" w:sz="0" w:space="0" w:color="auto"/>
        <w:right w:val="none" w:sz="0" w:space="0" w:color="auto"/>
      </w:divBdr>
    </w:div>
    <w:div w:id="915894198">
      <w:bodyDiv w:val="1"/>
      <w:marLeft w:val="0"/>
      <w:marRight w:val="0"/>
      <w:marTop w:val="0"/>
      <w:marBottom w:val="0"/>
      <w:divBdr>
        <w:top w:val="none" w:sz="0" w:space="0" w:color="auto"/>
        <w:left w:val="none" w:sz="0" w:space="0" w:color="auto"/>
        <w:bottom w:val="none" w:sz="0" w:space="0" w:color="auto"/>
        <w:right w:val="none" w:sz="0" w:space="0" w:color="auto"/>
      </w:divBdr>
    </w:div>
    <w:div w:id="919752749">
      <w:bodyDiv w:val="1"/>
      <w:marLeft w:val="0"/>
      <w:marRight w:val="0"/>
      <w:marTop w:val="0"/>
      <w:marBottom w:val="0"/>
      <w:divBdr>
        <w:top w:val="none" w:sz="0" w:space="0" w:color="auto"/>
        <w:left w:val="none" w:sz="0" w:space="0" w:color="auto"/>
        <w:bottom w:val="none" w:sz="0" w:space="0" w:color="auto"/>
        <w:right w:val="none" w:sz="0" w:space="0" w:color="auto"/>
      </w:divBdr>
      <w:divsChild>
        <w:div w:id="17896796">
          <w:marLeft w:val="0"/>
          <w:marRight w:val="0"/>
          <w:marTop w:val="0"/>
          <w:marBottom w:val="0"/>
          <w:divBdr>
            <w:top w:val="none" w:sz="0" w:space="0" w:color="auto"/>
            <w:left w:val="none" w:sz="0" w:space="0" w:color="auto"/>
            <w:bottom w:val="none" w:sz="0" w:space="0" w:color="auto"/>
            <w:right w:val="none" w:sz="0" w:space="0" w:color="auto"/>
          </w:divBdr>
        </w:div>
        <w:div w:id="73212717">
          <w:marLeft w:val="0"/>
          <w:marRight w:val="0"/>
          <w:marTop w:val="0"/>
          <w:marBottom w:val="0"/>
          <w:divBdr>
            <w:top w:val="none" w:sz="0" w:space="0" w:color="auto"/>
            <w:left w:val="none" w:sz="0" w:space="0" w:color="auto"/>
            <w:bottom w:val="none" w:sz="0" w:space="0" w:color="auto"/>
            <w:right w:val="none" w:sz="0" w:space="0" w:color="auto"/>
          </w:divBdr>
        </w:div>
        <w:div w:id="206065422">
          <w:marLeft w:val="0"/>
          <w:marRight w:val="0"/>
          <w:marTop w:val="0"/>
          <w:marBottom w:val="0"/>
          <w:divBdr>
            <w:top w:val="none" w:sz="0" w:space="0" w:color="auto"/>
            <w:left w:val="none" w:sz="0" w:space="0" w:color="auto"/>
            <w:bottom w:val="none" w:sz="0" w:space="0" w:color="auto"/>
            <w:right w:val="none" w:sz="0" w:space="0" w:color="auto"/>
          </w:divBdr>
        </w:div>
        <w:div w:id="406654641">
          <w:marLeft w:val="0"/>
          <w:marRight w:val="0"/>
          <w:marTop w:val="0"/>
          <w:marBottom w:val="0"/>
          <w:divBdr>
            <w:top w:val="none" w:sz="0" w:space="0" w:color="auto"/>
            <w:left w:val="none" w:sz="0" w:space="0" w:color="auto"/>
            <w:bottom w:val="none" w:sz="0" w:space="0" w:color="auto"/>
            <w:right w:val="none" w:sz="0" w:space="0" w:color="auto"/>
          </w:divBdr>
        </w:div>
        <w:div w:id="1316494835">
          <w:marLeft w:val="0"/>
          <w:marRight w:val="0"/>
          <w:marTop w:val="0"/>
          <w:marBottom w:val="0"/>
          <w:divBdr>
            <w:top w:val="none" w:sz="0" w:space="0" w:color="auto"/>
            <w:left w:val="none" w:sz="0" w:space="0" w:color="auto"/>
            <w:bottom w:val="none" w:sz="0" w:space="0" w:color="auto"/>
            <w:right w:val="none" w:sz="0" w:space="0" w:color="auto"/>
          </w:divBdr>
        </w:div>
        <w:div w:id="1622804109">
          <w:marLeft w:val="0"/>
          <w:marRight w:val="0"/>
          <w:marTop w:val="0"/>
          <w:marBottom w:val="0"/>
          <w:divBdr>
            <w:top w:val="none" w:sz="0" w:space="0" w:color="auto"/>
            <w:left w:val="none" w:sz="0" w:space="0" w:color="auto"/>
            <w:bottom w:val="none" w:sz="0" w:space="0" w:color="auto"/>
            <w:right w:val="none" w:sz="0" w:space="0" w:color="auto"/>
          </w:divBdr>
        </w:div>
        <w:div w:id="1643119055">
          <w:marLeft w:val="0"/>
          <w:marRight w:val="0"/>
          <w:marTop w:val="0"/>
          <w:marBottom w:val="0"/>
          <w:divBdr>
            <w:top w:val="none" w:sz="0" w:space="0" w:color="auto"/>
            <w:left w:val="none" w:sz="0" w:space="0" w:color="auto"/>
            <w:bottom w:val="none" w:sz="0" w:space="0" w:color="auto"/>
            <w:right w:val="none" w:sz="0" w:space="0" w:color="auto"/>
          </w:divBdr>
        </w:div>
        <w:div w:id="1824001955">
          <w:marLeft w:val="0"/>
          <w:marRight w:val="0"/>
          <w:marTop w:val="0"/>
          <w:marBottom w:val="0"/>
          <w:divBdr>
            <w:top w:val="none" w:sz="0" w:space="0" w:color="auto"/>
            <w:left w:val="none" w:sz="0" w:space="0" w:color="auto"/>
            <w:bottom w:val="none" w:sz="0" w:space="0" w:color="auto"/>
            <w:right w:val="none" w:sz="0" w:space="0" w:color="auto"/>
          </w:divBdr>
        </w:div>
        <w:div w:id="1972974425">
          <w:marLeft w:val="0"/>
          <w:marRight w:val="0"/>
          <w:marTop w:val="0"/>
          <w:marBottom w:val="0"/>
          <w:divBdr>
            <w:top w:val="none" w:sz="0" w:space="0" w:color="auto"/>
            <w:left w:val="none" w:sz="0" w:space="0" w:color="auto"/>
            <w:bottom w:val="none" w:sz="0" w:space="0" w:color="auto"/>
            <w:right w:val="none" w:sz="0" w:space="0" w:color="auto"/>
          </w:divBdr>
        </w:div>
        <w:div w:id="1991711513">
          <w:marLeft w:val="0"/>
          <w:marRight w:val="0"/>
          <w:marTop w:val="0"/>
          <w:marBottom w:val="0"/>
          <w:divBdr>
            <w:top w:val="none" w:sz="0" w:space="0" w:color="auto"/>
            <w:left w:val="none" w:sz="0" w:space="0" w:color="auto"/>
            <w:bottom w:val="none" w:sz="0" w:space="0" w:color="auto"/>
            <w:right w:val="none" w:sz="0" w:space="0" w:color="auto"/>
          </w:divBdr>
        </w:div>
        <w:div w:id="2028863957">
          <w:marLeft w:val="0"/>
          <w:marRight w:val="0"/>
          <w:marTop w:val="0"/>
          <w:marBottom w:val="0"/>
          <w:divBdr>
            <w:top w:val="none" w:sz="0" w:space="0" w:color="auto"/>
            <w:left w:val="none" w:sz="0" w:space="0" w:color="auto"/>
            <w:bottom w:val="none" w:sz="0" w:space="0" w:color="auto"/>
            <w:right w:val="none" w:sz="0" w:space="0" w:color="auto"/>
          </w:divBdr>
        </w:div>
        <w:div w:id="2059477949">
          <w:marLeft w:val="0"/>
          <w:marRight w:val="0"/>
          <w:marTop w:val="0"/>
          <w:marBottom w:val="0"/>
          <w:divBdr>
            <w:top w:val="none" w:sz="0" w:space="0" w:color="auto"/>
            <w:left w:val="none" w:sz="0" w:space="0" w:color="auto"/>
            <w:bottom w:val="none" w:sz="0" w:space="0" w:color="auto"/>
            <w:right w:val="none" w:sz="0" w:space="0" w:color="auto"/>
          </w:divBdr>
        </w:div>
      </w:divsChild>
    </w:div>
    <w:div w:id="928345899">
      <w:bodyDiv w:val="1"/>
      <w:marLeft w:val="0"/>
      <w:marRight w:val="0"/>
      <w:marTop w:val="0"/>
      <w:marBottom w:val="0"/>
      <w:divBdr>
        <w:top w:val="none" w:sz="0" w:space="0" w:color="auto"/>
        <w:left w:val="none" w:sz="0" w:space="0" w:color="auto"/>
        <w:bottom w:val="none" w:sz="0" w:space="0" w:color="auto"/>
        <w:right w:val="none" w:sz="0" w:space="0" w:color="auto"/>
      </w:divBdr>
    </w:div>
    <w:div w:id="929432826">
      <w:bodyDiv w:val="1"/>
      <w:marLeft w:val="0"/>
      <w:marRight w:val="0"/>
      <w:marTop w:val="0"/>
      <w:marBottom w:val="0"/>
      <w:divBdr>
        <w:top w:val="none" w:sz="0" w:space="0" w:color="auto"/>
        <w:left w:val="none" w:sz="0" w:space="0" w:color="auto"/>
        <w:bottom w:val="none" w:sz="0" w:space="0" w:color="auto"/>
        <w:right w:val="none" w:sz="0" w:space="0" w:color="auto"/>
      </w:divBdr>
    </w:div>
    <w:div w:id="968507806">
      <w:bodyDiv w:val="1"/>
      <w:marLeft w:val="0"/>
      <w:marRight w:val="0"/>
      <w:marTop w:val="0"/>
      <w:marBottom w:val="0"/>
      <w:divBdr>
        <w:top w:val="none" w:sz="0" w:space="0" w:color="auto"/>
        <w:left w:val="none" w:sz="0" w:space="0" w:color="auto"/>
        <w:bottom w:val="none" w:sz="0" w:space="0" w:color="auto"/>
        <w:right w:val="none" w:sz="0" w:space="0" w:color="auto"/>
      </w:divBdr>
    </w:div>
    <w:div w:id="1089810902">
      <w:bodyDiv w:val="1"/>
      <w:marLeft w:val="0"/>
      <w:marRight w:val="0"/>
      <w:marTop w:val="0"/>
      <w:marBottom w:val="0"/>
      <w:divBdr>
        <w:top w:val="none" w:sz="0" w:space="0" w:color="auto"/>
        <w:left w:val="none" w:sz="0" w:space="0" w:color="auto"/>
        <w:bottom w:val="none" w:sz="0" w:space="0" w:color="auto"/>
        <w:right w:val="none" w:sz="0" w:space="0" w:color="auto"/>
      </w:divBdr>
    </w:div>
    <w:div w:id="1122767832">
      <w:bodyDiv w:val="1"/>
      <w:marLeft w:val="0"/>
      <w:marRight w:val="0"/>
      <w:marTop w:val="0"/>
      <w:marBottom w:val="0"/>
      <w:divBdr>
        <w:top w:val="none" w:sz="0" w:space="0" w:color="auto"/>
        <w:left w:val="none" w:sz="0" w:space="0" w:color="auto"/>
        <w:bottom w:val="none" w:sz="0" w:space="0" w:color="auto"/>
        <w:right w:val="none" w:sz="0" w:space="0" w:color="auto"/>
      </w:divBdr>
    </w:div>
    <w:div w:id="1145977382">
      <w:bodyDiv w:val="1"/>
      <w:marLeft w:val="0"/>
      <w:marRight w:val="0"/>
      <w:marTop w:val="0"/>
      <w:marBottom w:val="0"/>
      <w:divBdr>
        <w:top w:val="none" w:sz="0" w:space="0" w:color="auto"/>
        <w:left w:val="none" w:sz="0" w:space="0" w:color="auto"/>
        <w:bottom w:val="none" w:sz="0" w:space="0" w:color="auto"/>
        <w:right w:val="none" w:sz="0" w:space="0" w:color="auto"/>
      </w:divBdr>
    </w:div>
    <w:div w:id="1189172839">
      <w:bodyDiv w:val="1"/>
      <w:marLeft w:val="0"/>
      <w:marRight w:val="0"/>
      <w:marTop w:val="0"/>
      <w:marBottom w:val="0"/>
      <w:divBdr>
        <w:top w:val="none" w:sz="0" w:space="0" w:color="auto"/>
        <w:left w:val="none" w:sz="0" w:space="0" w:color="auto"/>
        <w:bottom w:val="none" w:sz="0" w:space="0" w:color="auto"/>
        <w:right w:val="none" w:sz="0" w:space="0" w:color="auto"/>
      </w:divBdr>
      <w:divsChild>
        <w:div w:id="1330600848">
          <w:marLeft w:val="0"/>
          <w:marRight w:val="0"/>
          <w:marTop w:val="0"/>
          <w:marBottom w:val="0"/>
          <w:divBdr>
            <w:top w:val="none" w:sz="0" w:space="0" w:color="auto"/>
            <w:left w:val="none" w:sz="0" w:space="0" w:color="auto"/>
            <w:bottom w:val="none" w:sz="0" w:space="0" w:color="auto"/>
            <w:right w:val="none" w:sz="0" w:space="0" w:color="auto"/>
          </w:divBdr>
          <w:divsChild>
            <w:div w:id="735519568">
              <w:marLeft w:val="0"/>
              <w:marRight w:val="0"/>
              <w:marTop w:val="0"/>
              <w:marBottom w:val="0"/>
              <w:divBdr>
                <w:top w:val="none" w:sz="0" w:space="0" w:color="auto"/>
                <w:left w:val="none" w:sz="0" w:space="0" w:color="auto"/>
                <w:bottom w:val="none" w:sz="0" w:space="0" w:color="auto"/>
                <w:right w:val="none" w:sz="0" w:space="0" w:color="auto"/>
              </w:divBdr>
              <w:divsChild>
                <w:div w:id="46747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97999">
          <w:marLeft w:val="0"/>
          <w:marRight w:val="0"/>
          <w:marTop w:val="0"/>
          <w:marBottom w:val="0"/>
          <w:divBdr>
            <w:top w:val="none" w:sz="0" w:space="0" w:color="auto"/>
            <w:left w:val="none" w:sz="0" w:space="0" w:color="auto"/>
            <w:bottom w:val="none" w:sz="0" w:space="0" w:color="auto"/>
            <w:right w:val="none" w:sz="0" w:space="0" w:color="auto"/>
          </w:divBdr>
          <w:divsChild>
            <w:div w:id="1248267664">
              <w:marLeft w:val="0"/>
              <w:marRight w:val="0"/>
              <w:marTop w:val="0"/>
              <w:marBottom w:val="0"/>
              <w:divBdr>
                <w:top w:val="none" w:sz="0" w:space="0" w:color="auto"/>
                <w:left w:val="none" w:sz="0" w:space="0" w:color="auto"/>
                <w:bottom w:val="none" w:sz="0" w:space="0" w:color="auto"/>
                <w:right w:val="none" w:sz="0" w:space="0" w:color="auto"/>
              </w:divBdr>
              <w:divsChild>
                <w:div w:id="1477212844">
                  <w:marLeft w:val="0"/>
                  <w:marRight w:val="0"/>
                  <w:marTop w:val="0"/>
                  <w:marBottom w:val="0"/>
                  <w:divBdr>
                    <w:top w:val="none" w:sz="0" w:space="0" w:color="auto"/>
                    <w:left w:val="none" w:sz="0" w:space="0" w:color="auto"/>
                    <w:bottom w:val="none" w:sz="0" w:space="0" w:color="auto"/>
                    <w:right w:val="none" w:sz="0" w:space="0" w:color="auto"/>
                  </w:divBdr>
                  <w:divsChild>
                    <w:div w:id="1712794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199513452">
      <w:bodyDiv w:val="1"/>
      <w:marLeft w:val="0"/>
      <w:marRight w:val="0"/>
      <w:marTop w:val="0"/>
      <w:marBottom w:val="0"/>
      <w:divBdr>
        <w:top w:val="none" w:sz="0" w:space="0" w:color="auto"/>
        <w:left w:val="none" w:sz="0" w:space="0" w:color="auto"/>
        <w:bottom w:val="none" w:sz="0" w:space="0" w:color="auto"/>
        <w:right w:val="none" w:sz="0" w:space="0" w:color="auto"/>
      </w:divBdr>
    </w:div>
    <w:div w:id="1214194632">
      <w:bodyDiv w:val="1"/>
      <w:marLeft w:val="0"/>
      <w:marRight w:val="0"/>
      <w:marTop w:val="0"/>
      <w:marBottom w:val="0"/>
      <w:divBdr>
        <w:top w:val="none" w:sz="0" w:space="0" w:color="auto"/>
        <w:left w:val="none" w:sz="0" w:space="0" w:color="auto"/>
        <w:bottom w:val="none" w:sz="0" w:space="0" w:color="auto"/>
        <w:right w:val="none" w:sz="0" w:space="0" w:color="auto"/>
      </w:divBdr>
    </w:div>
    <w:div w:id="1328246273">
      <w:bodyDiv w:val="1"/>
      <w:marLeft w:val="0"/>
      <w:marRight w:val="0"/>
      <w:marTop w:val="0"/>
      <w:marBottom w:val="0"/>
      <w:divBdr>
        <w:top w:val="none" w:sz="0" w:space="0" w:color="auto"/>
        <w:left w:val="none" w:sz="0" w:space="0" w:color="auto"/>
        <w:bottom w:val="none" w:sz="0" w:space="0" w:color="auto"/>
        <w:right w:val="none" w:sz="0" w:space="0" w:color="auto"/>
      </w:divBdr>
    </w:div>
    <w:div w:id="1339624231">
      <w:bodyDiv w:val="1"/>
      <w:marLeft w:val="0"/>
      <w:marRight w:val="0"/>
      <w:marTop w:val="0"/>
      <w:marBottom w:val="0"/>
      <w:divBdr>
        <w:top w:val="none" w:sz="0" w:space="0" w:color="auto"/>
        <w:left w:val="none" w:sz="0" w:space="0" w:color="auto"/>
        <w:bottom w:val="none" w:sz="0" w:space="0" w:color="auto"/>
        <w:right w:val="none" w:sz="0" w:space="0" w:color="auto"/>
      </w:divBdr>
      <w:divsChild>
        <w:div w:id="1007826027">
          <w:marLeft w:val="0"/>
          <w:marRight w:val="0"/>
          <w:marTop w:val="0"/>
          <w:marBottom w:val="0"/>
          <w:divBdr>
            <w:top w:val="none" w:sz="0" w:space="0" w:color="auto"/>
            <w:left w:val="none" w:sz="0" w:space="0" w:color="auto"/>
            <w:bottom w:val="none" w:sz="0" w:space="0" w:color="auto"/>
            <w:right w:val="none" w:sz="0" w:space="0" w:color="auto"/>
          </w:divBdr>
          <w:divsChild>
            <w:div w:id="2122534028">
              <w:marLeft w:val="0"/>
              <w:marRight w:val="0"/>
              <w:marTop w:val="0"/>
              <w:marBottom w:val="0"/>
              <w:divBdr>
                <w:top w:val="none" w:sz="0" w:space="0" w:color="auto"/>
                <w:left w:val="none" w:sz="0" w:space="0" w:color="auto"/>
                <w:bottom w:val="none" w:sz="0" w:space="0" w:color="auto"/>
                <w:right w:val="none" w:sz="0" w:space="0" w:color="auto"/>
              </w:divBdr>
              <w:divsChild>
                <w:div w:id="742720429">
                  <w:marLeft w:val="0"/>
                  <w:marRight w:val="0"/>
                  <w:marTop w:val="0"/>
                  <w:marBottom w:val="0"/>
                  <w:divBdr>
                    <w:top w:val="none" w:sz="0" w:space="0" w:color="auto"/>
                    <w:left w:val="none" w:sz="0" w:space="0" w:color="auto"/>
                    <w:bottom w:val="none" w:sz="0" w:space="0" w:color="auto"/>
                    <w:right w:val="none" w:sz="0" w:space="0" w:color="auto"/>
                  </w:divBdr>
                  <w:divsChild>
                    <w:div w:id="199557241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407653695">
          <w:marLeft w:val="0"/>
          <w:marRight w:val="0"/>
          <w:marTop w:val="0"/>
          <w:marBottom w:val="0"/>
          <w:divBdr>
            <w:top w:val="none" w:sz="0" w:space="0" w:color="auto"/>
            <w:left w:val="none" w:sz="0" w:space="0" w:color="auto"/>
            <w:bottom w:val="none" w:sz="0" w:space="0" w:color="auto"/>
            <w:right w:val="none" w:sz="0" w:space="0" w:color="auto"/>
          </w:divBdr>
          <w:divsChild>
            <w:div w:id="1697274111">
              <w:marLeft w:val="0"/>
              <w:marRight w:val="0"/>
              <w:marTop w:val="0"/>
              <w:marBottom w:val="0"/>
              <w:divBdr>
                <w:top w:val="none" w:sz="0" w:space="0" w:color="auto"/>
                <w:left w:val="none" w:sz="0" w:space="0" w:color="auto"/>
                <w:bottom w:val="none" w:sz="0" w:space="0" w:color="auto"/>
                <w:right w:val="none" w:sz="0" w:space="0" w:color="auto"/>
              </w:divBdr>
              <w:divsChild>
                <w:div w:id="20178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121330">
      <w:bodyDiv w:val="1"/>
      <w:marLeft w:val="0"/>
      <w:marRight w:val="0"/>
      <w:marTop w:val="0"/>
      <w:marBottom w:val="0"/>
      <w:divBdr>
        <w:top w:val="none" w:sz="0" w:space="0" w:color="auto"/>
        <w:left w:val="none" w:sz="0" w:space="0" w:color="auto"/>
        <w:bottom w:val="none" w:sz="0" w:space="0" w:color="auto"/>
        <w:right w:val="none" w:sz="0" w:space="0" w:color="auto"/>
      </w:divBdr>
    </w:div>
    <w:div w:id="1397512776">
      <w:bodyDiv w:val="1"/>
      <w:marLeft w:val="0"/>
      <w:marRight w:val="0"/>
      <w:marTop w:val="0"/>
      <w:marBottom w:val="0"/>
      <w:divBdr>
        <w:top w:val="none" w:sz="0" w:space="0" w:color="auto"/>
        <w:left w:val="none" w:sz="0" w:space="0" w:color="auto"/>
        <w:bottom w:val="none" w:sz="0" w:space="0" w:color="auto"/>
        <w:right w:val="none" w:sz="0" w:space="0" w:color="auto"/>
      </w:divBdr>
    </w:div>
    <w:div w:id="1482960537">
      <w:bodyDiv w:val="1"/>
      <w:marLeft w:val="0"/>
      <w:marRight w:val="0"/>
      <w:marTop w:val="0"/>
      <w:marBottom w:val="0"/>
      <w:divBdr>
        <w:top w:val="none" w:sz="0" w:space="0" w:color="auto"/>
        <w:left w:val="none" w:sz="0" w:space="0" w:color="auto"/>
        <w:bottom w:val="none" w:sz="0" w:space="0" w:color="auto"/>
        <w:right w:val="none" w:sz="0" w:space="0" w:color="auto"/>
      </w:divBdr>
    </w:div>
    <w:div w:id="1504589601">
      <w:bodyDiv w:val="1"/>
      <w:marLeft w:val="0"/>
      <w:marRight w:val="0"/>
      <w:marTop w:val="0"/>
      <w:marBottom w:val="0"/>
      <w:divBdr>
        <w:top w:val="none" w:sz="0" w:space="0" w:color="auto"/>
        <w:left w:val="none" w:sz="0" w:space="0" w:color="auto"/>
        <w:bottom w:val="none" w:sz="0" w:space="0" w:color="auto"/>
        <w:right w:val="none" w:sz="0" w:space="0" w:color="auto"/>
      </w:divBdr>
    </w:div>
    <w:div w:id="1552887176">
      <w:bodyDiv w:val="1"/>
      <w:marLeft w:val="0"/>
      <w:marRight w:val="0"/>
      <w:marTop w:val="0"/>
      <w:marBottom w:val="0"/>
      <w:divBdr>
        <w:top w:val="none" w:sz="0" w:space="0" w:color="auto"/>
        <w:left w:val="none" w:sz="0" w:space="0" w:color="auto"/>
        <w:bottom w:val="none" w:sz="0" w:space="0" w:color="auto"/>
        <w:right w:val="none" w:sz="0" w:space="0" w:color="auto"/>
      </w:divBdr>
    </w:div>
    <w:div w:id="1556697637">
      <w:bodyDiv w:val="1"/>
      <w:marLeft w:val="0"/>
      <w:marRight w:val="0"/>
      <w:marTop w:val="0"/>
      <w:marBottom w:val="0"/>
      <w:divBdr>
        <w:top w:val="none" w:sz="0" w:space="0" w:color="auto"/>
        <w:left w:val="none" w:sz="0" w:space="0" w:color="auto"/>
        <w:bottom w:val="none" w:sz="0" w:space="0" w:color="auto"/>
        <w:right w:val="none" w:sz="0" w:space="0" w:color="auto"/>
      </w:divBdr>
    </w:div>
    <w:div w:id="1597247267">
      <w:bodyDiv w:val="1"/>
      <w:marLeft w:val="0"/>
      <w:marRight w:val="0"/>
      <w:marTop w:val="0"/>
      <w:marBottom w:val="0"/>
      <w:divBdr>
        <w:top w:val="none" w:sz="0" w:space="0" w:color="auto"/>
        <w:left w:val="none" w:sz="0" w:space="0" w:color="auto"/>
        <w:bottom w:val="none" w:sz="0" w:space="0" w:color="auto"/>
        <w:right w:val="none" w:sz="0" w:space="0" w:color="auto"/>
      </w:divBdr>
    </w:div>
    <w:div w:id="1611663086">
      <w:bodyDiv w:val="1"/>
      <w:marLeft w:val="0"/>
      <w:marRight w:val="0"/>
      <w:marTop w:val="0"/>
      <w:marBottom w:val="0"/>
      <w:divBdr>
        <w:top w:val="none" w:sz="0" w:space="0" w:color="auto"/>
        <w:left w:val="none" w:sz="0" w:space="0" w:color="auto"/>
        <w:bottom w:val="none" w:sz="0" w:space="0" w:color="auto"/>
        <w:right w:val="none" w:sz="0" w:space="0" w:color="auto"/>
      </w:divBdr>
      <w:divsChild>
        <w:div w:id="1248229550">
          <w:marLeft w:val="547"/>
          <w:marRight w:val="0"/>
          <w:marTop w:val="0"/>
          <w:marBottom w:val="0"/>
          <w:divBdr>
            <w:top w:val="none" w:sz="0" w:space="0" w:color="auto"/>
            <w:left w:val="none" w:sz="0" w:space="0" w:color="auto"/>
            <w:bottom w:val="none" w:sz="0" w:space="0" w:color="auto"/>
            <w:right w:val="none" w:sz="0" w:space="0" w:color="auto"/>
          </w:divBdr>
        </w:div>
        <w:div w:id="1866291589">
          <w:marLeft w:val="547"/>
          <w:marRight w:val="0"/>
          <w:marTop w:val="0"/>
          <w:marBottom w:val="0"/>
          <w:divBdr>
            <w:top w:val="none" w:sz="0" w:space="0" w:color="auto"/>
            <w:left w:val="none" w:sz="0" w:space="0" w:color="auto"/>
            <w:bottom w:val="none" w:sz="0" w:space="0" w:color="auto"/>
            <w:right w:val="none" w:sz="0" w:space="0" w:color="auto"/>
          </w:divBdr>
        </w:div>
      </w:divsChild>
    </w:div>
    <w:div w:id="1614552058">
      <w:bodyDiv w:val="1"/>
      <w:marLeft w:val="0"/>
      <w:marRight w:val="0"/>
      <w:marTop w:val="0"/>
      <w:marBottom w:val="0"/>
      <w:divBdr>
        <w:top w:val="none" w:sz="0" w:space="0" w:color="auto"/>
        <w:left w:val="none" w:sz="0" w:space="0" w:color="auto"/>
        <w:bottom w:val="none" w:sz="0" w:space="0" w:color="auto"/>
        <w:right w:val="none" w:sz="0" w:space="0" w:color="auto"/>
      </w:divBdr>
    </w:div>
    <w:div w:id="1647317300">
      <w:bodyDiv w:val="1"/>
      <w:marLeft w:val="0"/>
      <w:marRight w:val="0"/>
      <w:marTop w:val="0"/>
      <w:marBottom w:val="0"/>
      <w:divBdr>
        <w:top w:val="none" w:sz="0" w:space="0" w:color="auto"/>
        <w:left w:val="none" w:sz="0" w:space="0" w:color="auto"/>
        <w:bottom w:val="none" w:sz="0" w:space="0" w:color="auto"/>
        <w:right w:val="none" w:sz="0" w:space="0" w:color="auto"/>
      </w:divBdr>
    </w:div>
    <w:div w:id="1703742415">
      <w:bodyDiv w:val="1"/>
      <w:marLeft w:val="0"/>
      <w:marRight w:val="0"/>
      <w:marTop w:val="0"/>
      <w:marBottom w:val="0"/>
      <w:divBdr>
        <w:top w:val="none" w:sz="0" w:space="0" w:color="auto"/>
        <w:left w:val="none" w:sz="0" w:space="0" w:color="auto"/>
        <w:bottom w:val="none" w:sz="0" w:space="0" w:color="auto"/>
        <w:right w:val="none" w:sz="0" w:space="0" w:color="auto"/>
      </w:divBdr>
    </w:div>
    <w:div w:id="1724597981">
      <w:bodyDiv w:val="1"/>
      <w:marLeft w:val="0"/>
      <w:marRight w:val="0"/>
      <w:marTop w:val="0"/>
      <w:marBottom w:val="0"/>
      <w:divBdr>
        <w:top w:val="none" w:sz="0" w:space="0" w:color="auto"/>
        <w:left w:val="none" w:sz="0" w:space="0" w:color="auto"/>
        <w:bottom w:val="none" w:sz="0" w:space="0" w:color="auto"/>
        <w:right w:val="none" w:sz="0" w:space="0" w:color="auto"/>
      </w:divBdr>
    </w:div>
    <w:div w:id="1802573069">
      <w:bodyDiv w:val="1"/>
      <w:marLeft w:val="0"/>
      <w:marRight w:val="0"/>
      <w:marTop w:val="0"/>
      <w:marBottom w:val="0"/>
      <w:divBdr>
        <w:top w:val="none" w:sz="0" w:space="0" w:color="auto"/>
        <w:left w:val="none" w:sz="0" w:space="0" w:color="auto"/>
        <w:bottom w:val="none" w:sz="0" w:space="0" w:color="auto"/>
        <w:right w:val="none" w:sz="0" w:space="0" w:color="auto"/>
      </w:divBdr>
    </w:div>
    <w:div w:id="1839269175">
      <w:bodyDiv w:val="1"/>
      <w:marLeft w:val="0"/>
      <w:marRight w:val="0"/>
      <w:marTop w:val="0"/>
      <w:marBottom w:val="0"/>
      <w:divBdr>
        <w:top w:val="none" w:sz="0" w:space="0" w:color="auto"/>
        <w:left w:val="none" w:sz="0" w:space="0" w:color="auto"/>
        <w:bottom w:val="none" w:sz="0" w:space="0" w:color="auto"/>
        <w:right w:val="none" w:sz="0" w:space="0" w:color="auto"/>
      </w:divBdr>
    </w:div>
    <w:div w:id="1860462528">
      <w:bodyDiv w:val="1"/>
      <w:marLeft w:val="0"/>
      <w:marRight w:val="0"/>
      <w:marTop w:val="0"/>
      <w:marBottom w:val="0"/>
      <w:divBdr>
        <w:top w:val="none" w:sz="0" w:space="0" w:color="auto"/>
        <w:left w:val="none" w:sz="0" w:space="0" w:color="auto"/>
        <w:bottom w:val="none" w:sz="0" w:space="0" w:color="auto"/>
        <w:right w:val="none" w:sz="0" w:space="0" w:color="auto"/>
      </w:divBdr>
    </w:div>
    <w:div w:id="1874148369">
      <w:bodyDiv w:val="1"/>
      <w:marLeft w:val="0"/>
      <w:marRight w:val="0"/>
      <w:marTop w:val="0"/>
      <w:marBottom w:val="0"/>
      <w:divBdr>
        <w:top w:val="none" w:sz="0" w:space="0" w:color="auto"/>
        <w:left w:val="none" w:sz="0" w:space="0" w:color="auto"/>
        <w:bottom w:val="none" w:sz="0" w:space="0" w:color="auto"/>
        <w:right w:val="none" w:sz="0" w:space="0" w:color="auto"/>
      </w:divBdr>
    </w:div>
    <w:div w:id="1889341381">
      <w:bodyDiv w:val="1"/>
      <w:marLeft w:val="0"/>
      <w:marRight w:val="0"/>
      <w:marTop w:val="0"/>
      <w:marBottom w:val="0"/>
      <w:divBdr>
        <w:top w:val="none" w:sz="0" w:space="0" w:color="auto"/>
        <w:left w:val="none" w:sz="0" w:space="0" w:color="auto"/>
        <w:bottom w:val="none" w:sz="0" w:space="0" w:color="auto"/>
        <w:right w:val="none" w:sz="0" w:space="0" w:color="auto"/>
      </w:divBdr>
    </w:div>
    <w:div w:id="1901088833">
      <w:bodyDiv w:val="1"/>
      <w:marLeft w:val="0"/>
      <w:marRight w:val="0"/>
      <w:marTop w:val="0"/>
      <w:marBottom w:val="0"/>
      <w:divBdr>
        <w:top w:val="none" w:sz="0" w:space="0" w:color="auto"/>
        <w:left w:val="none" w:sz="0" w:space="0" w:color="auto"/>
        <w:bottom w:val="none" w:sz="0" w:space="0" w:color="auto"/>
        <w:right w:val="none" w:sz="0" w:space="0" w:color="auto"/>
      </w:divBdr>
    </w:div>
    <w:div w:id="1969357515">
      <w:bodyDiv w:val="1"/>
      <w:marLeft w:val="0"/>
      <w:marRight w:val="0"/>
      <w:marTop w:val="0"/>
      <w:marBottom w:val="0"/>
      <w:divBdr>
        <w:top w:val="none" w:sz="0" w:space="0" w:color="auto"/>
        <w:left w:val="none" w:sz="0" w:space="0" w:color="auto"/>
        <w:bottom w:val="none" w:sz="0" w:space="0" w:color="auto"/>
        <w:right w:val="none" w:sz="0" w:space="0" w:color="auto"/>
      </w:divBdr>
      <w:divsChild>
        <w:div w:id="646009404">
          <w:marLeft w:val="0"/>
          <w:marRight w:val="0"/>
          <w:marTop w:val="0"/>
          <w:marBottom w:val="0"/>
          <w:divBdr>
            <w:top w:val="none" w:sz="0" w:space="0" w:color="auto"/>
            <w:left w:val="none" w:sz="0" w:space="0" w:color="auto"/>
            <w:bottom w:val="none" w:sz="0" w:space="0" w:color="auto"/>
            <w:right w:val="none" w:sz="0" w:space="0" w:color="auto"/>
          </w:divBdr>
          <w:divsChild>
            <w:div w:id="1027415390">
              <w:marLeft w:val="0"/>
              <w:marRight w:val="0"/>
              <w:marTop w:val="0"/>
              <w:marBottom w:val="0"/>
              <w:divBdr>
                <w:top w:val="none" w:sz="0" w:space="0" w:color="auto"/>
                <w:left w:val="none" w:sz="0" w:space="0" w:color="auto"/>
                <w:bottom w:val="none" w:sz="0" w:space="0" w:color="auto"/>
                <w:right w:val="none" w:sz="0" w:space="0" w:color="auto"/>
              </w:divBdr>
              <w:divsChild>
                <w:div w:id="1101729598">
                  <w:marLeft w:val="0"/>
                  <w:marRight w:val="0"/>
                  <w:marTop w:val="0"/>
                  <w:marBottom w:val="0"/>
                  <w:divBdr>
                    <w:top w:val="none" w:sz="0" w:space="0" w:color="auto"/>
                    <w:left w:val="none" w:sz="0" w:space="0" w:color="auto"/>
                    <w:bottom w:val="none" w:sz="0" w:space="0" w:color="auto"/>
                    <w:right w:val="none" w:sz="0" w:space="0" w:color="auto"/>
                  </w:divBdr>
                  <w:divsChild>
                    <w:div w:id="21264637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130126045">
          <w:marLeft w:val="0"/>
          <w:marRight w:val="0"/>
          <w:marTop w:val="0"/>
          <w:marBottom w:val="0"/>
          <w:divBdr>
            <w:top w:val="none" w:sz="0" w:space="0" w:color="auto"/>
            <w:left w:val="none" w:sz="0" w:space="0" w:color="auto"/>
            <w:bottom w:val="none" w:sz="0" w:space="0" w:color="auto"/>
            <w:right w:val="none" w:sz="0" w:space="0" w:color="auto"/>
          </w:divBdr>
          <w:divsChild>
            <w:div w:id="1544439287">
              <w:marLeft w:val="0"/>
              <w:marRight w:val="0"/>
              <w:marTop w:val="0"/>
              <w:marBottom w:val="0"/>
              <w:divBdr>
                <w:top w:val="none" w:sz="0" w:space="0" w:color="auto"/>
                <w:left w:val="none" w:sz="0" w:space="0" w:color="auto"/>
                <w:bottom w:val="none" w:sz="0" w:space="0" w:color="auto"/>
                <w:right w:val="none" w:sz="0" w:space="0" w:color="auto"/>
              </w:divBdr>
              <w:divsChild>
                <w:div w:id="14441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8998">
      <w:bodyDiv w:val="1"/>
      <w:marLeft w:val="0"/>
      <w:marRight w:val="0"/>
      <w:marTop w:val="0"/>
      <w:marBottom w:val="0"/>
      <w:divBdr>
        <w:top w:val="none" w:sz="0" w:space="0" w:color="auto"/>
        <w:left w:val="none" w:sz="0" w:space="0" w:color="auto"/>
        <w:bottom w:val="none" w:sz="0" w:space="0" w:color="auto"/>
        <w:right w:val="none" w:sz="0" w:space="0" w:color="auto"/>
      </w:divBdr>
    </w:div>
    <w:div w:id="2029019079">
      <w:bodyDiv w:val="1"/>
      <w:marLeft w:val="0"/>
      <w:marRight w:val="0"/>
      <w:marTop w:val="0"/>
      <w:marBottom w:val="0"/>
      <w:divBdr>
        <w:top w:val="none" w:sz="0" w:space="0" w:color="auto"/>
        <w:left w:val="none" w:sz="0" w:space="0" w:color="auto"/>
        <w:bottom w:val="none" w:sz="0" w:space="0" w:color="auto"/>
        <w:right w:val="none" w:sz="0" w:space="0" w:color="auto"/>
      </w:divBdr>
    </w:div>
    <w:div w:id="2066295300">
      <w:bodyDiv w:val="1"/>
      <w:marLeft w:val="0"/>
      <w:marRight w:val="0"/>
      <w:marTop w:val="0"/>
      <w:marBottom w:val="0"/>
      <w:divBdr>
        <w:top w:val="none" w:sz="0" w:space="0" w:color="auto"/>
        <w:left w:val="none" w:sz="0" w:space="0" w:color="auto"/>
        <w:bottom w:val="none" w:sz="0" w:space="0" w:color="auto"/>
        <w:right w:val="none" w:sz="0" w:space="0" w:color="auto"/>
      </w:divBdr>
    </w:div>
    <w:div w:id="212954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hyperlink" Target="tel:+96824754526" TargetMode="External"/><Relationship Id="rId89" Type="http://schemas.openxmlformats.org/officeDocument/2006/relationships/hyperlink" Target="mailto:lubna@hcmoman.com" TargetMode="External"/><Relationship Id="rId16" Type="http://schemas.openxmlformats.org/officeDocument/2006/relationships/image" Target="media/image3.png"/><Relationship Id="rId107" Type="http://schemas.openxmlformats.org/officeDocument/2006/relationships/hyperlink" Target="mailto:k.alsinani@cfi.trade" TargetMode="External"/><Relationship Id="rId11" Type="http://schemas.openxmlformats.org/officeDocument/2006/relationships/image" Target="media/image1.jpeg"/><Relationship Id="rId32" Type="http://schemas.openxmlformats.org/officeDocument/2006/relationships/image" Target="media/image19.png"/><Relationship Id="rId37" Type="http://schemas.openxmlformats.org/officeDocument/2006/relationships/image" Target="media/image24.emf"/><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hyperlink" Target="http://www.mcd.om" TargetMode="External"/><Relationship Id="rId102" Type="http://schemas.openxmlformats.org/officeDocument/2006/relationships/hyperlink" Target="tel:+96824760017" TargetMode="External"/><Relationship Id="rId5" Type="http://schemas.openxmlformats.org/officeDocument/2006/relationships/numbering" Target="numbering.xml"/><Relationship Id="rId90" Type="http://schemas.openxmlformats.org/officeDocument/2006/relationships/hyperlink" Target="tel:+96824826036" TargetMode="External"/><Relationship Id="rId95" Type="http://schemas.openxmlformats.org/officeDocument/2006/relationships/hyperlink" Target="mailto:musallam@u-capital.net"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hyperlink" Target="mailto:InvestmentBackOffice@bankdhofar.com" TargetMode="External"/><Relationship Id="rId85" Type="http://schemas.openxmlformats.org/officeDocument/2006/relationships/hyperlink" Target="mailto:Ghada.AlRaisi@oman-arabbank.com" TargetMode="External"/><Relationship Id="rId12" Type="http://schemas.openxmlformats.org/officeDocument/2006/relationships/footer" Target="footer1.xm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emf"/><Relationship Id="rId59" Type="http://schemas.openxmlformats.org/officeDocument/2006/relationships/image" Target="media/image46.png"/><Relationship Id="rId103" Type="http://schemas.openxmlformats.org/officeDocument/2006/relationships/hyperlink" Target="mailto:mohammed.m@visioncapital.om" TargetMode="External"/><Relationship Id="rId108" Type="http://schemas.openxmlformats.org/officeDocument/2006/relationships/hyperlink" Target="tel:+96897756000" TargetMode="External"/><Relationship Id="rId54" Type="http://schemas.openxmlformats.org/officeDocument/2006/relationships/image" Target="media/image41.emf"/><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hyperlink" Target="mailto:i.al-hasani@u-capital.net" TargetMode="External"/><Relationship Id="rId96" Type="http://schemas.openxmlformats.org/officeDocument/2006/relationships/hyperlink" Target="tel:+9682494906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emf"/><Relationship Id="rId49" Type="http://schemas.openxmlformats.org/officeDocument/2006/relationships/image" Target="media/image36.png"/><Relationship Id="rId57" Type="http://schemas.openxmlformats.org/officeDocument/2006/relationships/image" Target="media/image44.emf"/><Relationship Id="rId106" Type="http://schemas.openxmlformats.org/officeDocument/2006/relationships/hyperlink" Target="tel:+96899256619" TargetMode="Externa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emf"/><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hyperlink" Target="tel:+96897027773" TargetMode="External"/><Relationship Id="rId86" Type="http://schemas.openxmlformats.org/officeDocument/2006/relationships/hyperlink" Target="tel:+96824754653" TargetMode="External"/><Relationship Id="rId94" Type="http://schemas.openxmlformats.org/officeDocument/2006/relationships/hyperlink" Target="tel:+96824949060" TargetMode="External"/><Relationship Id="rId99" Type="http://schemas.openxmlformats.org/officeDocument/2006/relationships/hyperlink" Target="mailto:Osama@usoman.com" TargetMode="External"/><Relationship Id="rId101" Type="http://schemas.openxmlformats.org/officeDocument/2006/relationships/hyperlink" Target="mailto:mohd.gouda@visioncapital.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msm.gov.om" TargetMode="External"/><Relationship Id="rId18" Type="http://schemas.openxmlformats.org/officeDocument/2006/relationships/image" Target="media/image5.png"/><Relationship Id="rId39" Type="http://schemas.openxmlformats.org/officeDocument/2006/relationships/image" Target="media/image26.emf"/><Relationship Id="rId109" Type="http://schemas.openxmlformats.org/officeDocument/2006/relationships/hyperlink" Target="mailto:almuatasim.almutairi@soharinternational.com" TargetMode="External"/><Relationship Id="rId34" Type="http://schemas.openxmlformats.org/officeDocument/2006/relationships/image" Target="media/image21.emf"/><Relationship Id="rId50" Type="http://schemas.openxmlformats.org/officeDocument/2006/relationships/image" Target="media/image37.png"/><Relationship Id="rId55" Type="http://schemas.openxmlformats.org/officeDocument/2006/relationships/image" Target="media/image42.emf"/><Relationship Id="rId76" Type="http://schemas.openxmlformats.org/officeDocument/2006/relationships/image" Target="media/image63.png"/><Relationship Id="rId97" Type="http://schemas.openxmlformats.org/officeDocument/2006/relationships/hyperlink" Target="mailto:Ayman@usoman.com" TargetMode="External"/><Relationship Id="rId104" Type="http://schemas.openxmlformats.org/officeDocument/2006/relationships/hyperlink" Target="tel:+96824760015" TargetMode="External"/><Relationship Id="rId7" Type="http://schemas.openxmlformats.org/officeDocument/2006/relationships/settings" Target="settings.xml"/><Relationship Id="rId71" Type="http://schemas.openxmlformats.org/officeDocument/2006/relationships/image" Target="media/image58.png"/><Relationship Id="rId92" Type="http://schemas.openxmlformats.org/officeDocument/2006/relationships/hyperlink" Target="tel:+96824949004"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emf"/><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hyperlink" Target="mailto:hamed.mo@hcmoman.com" TargetMode="External"/><Relationship Id="rId110" Type="http://schemas.openxmlformats.org/officeDocument/2006/relationships/fontTable" Target="fontTable.xml"/><Relationship Id="rId61" Type="http://schemas.openxmlformats.org/officeDocument/2006/relationships/image" Target="media/image48.emf"/><Relationship Id="rId82" Type="http://schemas.openxmlformats.org/officeDocument/2006/relationships/hyperlink" Target="mailto:p.mathur@bankdhofar.com" TargetMode="External"/><Relationship Id="rId19" Type="http://schemas.openxmlformats.org/officeDocument/2006/relationships/image" Target="media/image6.png"/><Relationship Id="rId14" Type="http://schemas.openxmlformats.org/officeDocument/2006/relationships/chart" Target="charts/chart1.xml"/><Relationship Id="rId30" Type="http://schemas.openxmlformats.org/officeDocument/2006/relationships/image" Target="media/image17.png"/><Relationship Id="rId35" Type="http://schemas.openxmlformats.org/officeDocument/2006/relationships/image" Target="media/image22.emf"/><Relationship Id="rId56" Type="http://schemas.openxmlformats.org/officeDocument/2006/relationships/image" Target="media/image43.emf"/><Relationship Id="rId77" Type="http://schemas.openxmlformats.org/officeDocument/2006/relationships/image" Target="media/image64.png"/><Relationship Id="rId100" Type="http://schemas.openxmlformats.org/officeDocument/2006/relationships/hyperlink" Target="tel:+96824763329" TargetMode="External"/><Relationship Id="rId105" Type="http://schemas.openxmlformats.org/officeDocument/2006/relationships/hyperlink" Target="mailto:s.alnuumani@cfi.trade" TargetMode="Externa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hyperlink" Target="mailto:ahmed.alajmi@ucapital.net" TargetMode="External"/><Relationship Id="rId98" Type="http://schemas.openxmlformats.org/officeDocument/2006/relationships/hyperlink" Target="tel:+96824763337" TargetMode="External"/><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hyperlink" Target="mailto:Saker.AlHarasi@omanarabbank.com" TargetMode="External"/><Relationship Id="rId88" Type="http://schemas.openxmlformats.org/officeDocument/2006/relationships/hyperlink" Target="tel:+96824826053" TargetMode="External"/><Relationship Id="rId111"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stump\AppData\Local\Microsoft\Windows\INetCache\Content.Outlook\3YP4KDV1\Ulya-Prospectus%20(Oil%20and%20Gas%20production%20chart)%20(0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5400000" spcFirstLastPara="1" vertOverflow="ellipsis" wrap="square" anchor="ctr" anchorCtr="1"/>
          <a:lstStyle/>
          <a:p>
            <a:pPr>
              <a:defRPr sz="1400" b="0" i="0" u="none" strike="noStrike" kern="1200" spc="0" baseline="0">
                <a:solidFill>
                  <a:sysClr val="windowText" lastClr="000000"/>
                </a:solidFill>
                <a:latin typeface="+mn-lt"/>
                <a:ea typeface="+mn-ea"/>
                <a:cs typeface="+mn-cs"/>
              </a:defRPr>
            </a:pPr>
            <a:r>
              <a:rPr lang="en-US" sz="1000">
                <a:solidFill>
                  <a:sysClr val="windowText" lastClr="000000"/>
                </a:solidFill>
              </a:rPr>
              <a:t>mmboe</a:t>
            </a:r>
          </a:p>
        </c:rich>
      </c:tx>
      <c:layout>
        <c:manualLayout>
          <c:xMode val="edge"/>
          <c:yMode val="edge"/>
          <c:x val="2.3333333333333334E-2"/>
          <c:y val="0.36318407960199006"/>
        </c:manualLayout>
      </c:layout>
      <c:overlay val="1"/>
      <c:spPr>
        <a:noFill/>
        <a:ln>
          <a:noFill/>
        </a:ln>
        <a:effectLst/>
      </c:spPr>
      <c:txPr>
        <a:bodyPr rot="-5400000" spcFirstLastPara="1" vertOverflow="ellipsis"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990990990990991"/>
          <c:y val="0.17962275237983311"/>
          <c:w val="0.8900900900900901"/>
          <c:h val="0.60584714224154812"/>
        </c:manualLayout>
      </c:layout>
      <c:barChart>
        <c:barDir val="col"/>
        <c:grouping val="clustered"/>
        <c:varyColors val="0"/>
        <c:ser>
          <c:idx val="0"/>
          <c:order val="0"/>
          <c:tx>
            <c:strRef>
              <c:f>'Oman oil and gas prod split'!$B$21:$R$21</c:f>
              <c:strCache>
                <c:ptCount val="17"/>
                <c:pt idx="0">
                  <c:v>Oil</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'Oman oil and gas prod split'!$S$20:$AB$20</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'Oman oil and gas prod split'!$S$21:$AB$21</c:f>
              <c:numCache>
                <c:formatCode>0</c:formatCode>
                <c:ptCount val="10"/>
                <c:pt idx="0">
                  <c:v>313.39630000000005</c:v>
                </c:pt>
                <c:pt idx="1">
                  <c:v>323.17100000000005</c:v>
                </c:pt>
                <c:pt idx="2">
                  <c:v>332.27775000000003</c:v>
                </c:pt>
                <c:pt idx="3">
                  <c:v>323.16735000000006</c:v>
                </c:pt>
                <c:pt idx="4">
                  <c:v>333.50779999999997</c:v>
                </c:pt>
                <c:pt idx="5">
                  <c:v>338.05204999999995</c:v>
                </c:pt>
                <c:pt idx="6">
                  <c:v>325.09820000000002</c:v>
                </c:pt>
                <c:pt idx="7">
                  <c:v>347.13690000000003</c:v>
                </c:pt>
                <c:pt idx="8">
                  <c:v>361.94130000000001</c:v>
                </c:pt>
                <c:pt idx="9">
                  <c:v>365.34309999999999</c:v>
                </c:pt>
              </c:numCache>
            </c:numRef>
          </c:val>
          <c:extLst>
            <c:ext xmlns:c16="http://schemas.microsoft.com/office/drawing/2014/chart" uri="{C3380CC4-5D6E-409C-BE32-E72D297353CC}">
              <c16:uniqueId val="{00000000-771A-45D1-B265-1FACEF4CDEB8}"/>
            </c:ext>
          </c:extLst>
        </c:ser>
        <c:ser>
          <c:idx val="1"/>
          <c:order val="1"/>
          <c:tx>
            <c:strRef>
              <c:f>'Oman oil and gas prod split'!$B$22:$R$22</c:f>
              <c:strCache>
                <c:ptCount val="17"/>
                <c:pt idx="0">
                  <c:v>Gas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'Oman oil and gas prod split'!$S$20:$AB$20</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'Oman oil and gas prod split'!$S$22:$AB$22</c:f>
              <c:numCache>
                <c:formatCode>0</c:formatCode>
                <c:ptCount val="10"/>
                <c:pt idx="0">
                  <c:v>198.38669045305852</c:v>
                </c:pt>
                <c:pt idx="1">
                  <c:v>210.50697748034915</c:v>
                </c:pt>
                <c:pt idx="2">
                  <c:v>213.03964539188954</c:v>
                </c:pt>
                <c:pt idx="3">
                  <c:v>207.92764624190875</c:v>
                </c:pt>
                <c:pt idx="4">
                  <c:v>233.64724460431972</c:v>
                </c:pt>
                <c:pt idx="5">
                  <c:v>234.34043126768208</c:v>
                </c:pt>
                <c:pt idx="6">
                  <c:v>242.6742278413931</c:v>
                </c:pt>
                <c:pt idx="7">
                  <c:v>253.98771324701957</c:v>
                </c:pt>
                <c:pt idx="8">
                  <c:v>272.96547862915651</c:v>
                </c:pt>
                <c:pt idx="9">
                  <c:v>275.14309922963935</c:v>
                </c:pt>
              </c:numCache>
            </c:numRef>
          </c:val>
          <c:extLst>
            <c:ext xmlns:c16="http://schemas.microsoft.com/office/drawing/2014/chart" uri="{C3380CC4-5D6E-409C-BE32-E72D297353CC}">
              <c16:uniqueId val="{00000001-771A-45D1-B265-1FACEF4CDEB8}"/>
            </c:ext>
          </c:extLst>
        </c:ser>
        <c:dLbls>
          <c:dLblPos val="outEnd"/>
          <c:showLegendKey val="0"/>
          <c:showVal val="1"/>
          <c:showCatName val="0"/>
          <c:showSerName val="0"/>
          <c:showPercent val="0"/>
          <c:showBubbleSize val="0"/>
        </c:dLbls>
        <c:gapWidth val="100"/>
        <c:axId val="1504066943"/>
        <c:axId val="1504067775"/>
      </c:barChart>
      <c:catAx>
        <c:axId val="1504066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crossAx val="1504067775"/>
        <c:crosses val="autoZero"/>
        <c:auto val="1"/>
        <c:lblAlgn val="ctr"/>
        <c:lblOffset val="100"/>
        <c:noMultiLvlLbl val="0"/>
      </c:catAx>
      <c:valAx>
        <c:axId val="1504067775"/>
        <c:scaling>
          <c:orientation val="minMax"/>
          <c:max val="380"/>
          <c:min val="180"/>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04066943"/>
        <c:crosses val="autoZero"/>
        <c:crossBetween val="between"/>
        <c:majorUnit val="20"/>
      </c:valAx>
      <c:spPr>
        <a:noFill/>
        <a:ln>
          <a:noFill/>
        </a:ln>
        <a:effectLst/>
      </c:spPr>
    </c:plotArea>
    <c:legend>
      <c:legendPos val="b"/>
      <c:layout>
        <c:manualLayout>
          <c:xMode val="edge"/>
          <c:yMode val="edge"/>
          <c:x val="0.46692416826275096"/>
          <c:y val="0.89079837035295961"/>
          <c:w val="9.8583954032772925E-2"/>
          <c:h val="7.935088337838366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30f840-5a8f-47da-ade1-92122442f4fa">
      <Terms xmlns="http://schemas.microsoft.com/office/infopath/2007/PartnerControls"/>
    </lcf76f155ced4ddcb4097134ff3c332f>
    <TaxCatchAll xmlns="200a37f2-2a02-4b24-8123-22a0ab2177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29E73707039748AEBADDBB053040D7" ma:contentTypeVersion="14" ma:contentTypeDescription="Create a new document." ma:contentTypeScope="" ma:versionID="b9a3cbd1aeae6a4e7e4e46904bd366ca">
  <xsd:schema xmlns:xsd="http://www.w3.org/2001/XMLSchema" xmlns:xs="http://www.w3.org/2001/XMLSchema" xmlns:p="http://schemas.microsoft.com/office/2006/metadata/properties" xmlns:ns2="4030f840-5a8f-47da-ade1-92122442f4fa" xmlns:ns3="200a37f2-2a02-4b24-8123-22a0ab217730" targetNamespace="http://schemas.microsoft.com/office/2006/metadata/properties" ma:root="true" ma:fieldsID="93b1f8b2ba0902af2fe611b47662bf4d" ns2:_="" ns3:_="">
    <xsd:import namespace="4030f840-5a8f-47da-ade1-92122442f4fa"/>
    <xsd:import namespace="200a37f2-2a02-4b24-8123-22a0ab2177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0f840-5a8f-47da-ade1-92122442f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3494a7-718c-44f2-92f0-5aea7263c45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0a37f2-2a02-4b24-8123-22a0ab2177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e67663-a13a-48e7-9f33-7f6e81dd5711}" ma:internalName="TaxCatchAll" ma:showField="CatchAllData" ma:web="200a37f2-2a02-4b24-8123-22a0ab217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515A0E-8CBD-4B31-9F76-3E7C44C7E2BF}">
  <ds:schemaRefs>
    <ds:schemaRef ds:uri="http://schemas.openxmlformats.org/officeDocument/2006/bibliography"/>
  </ds:schemaRefs>
</ds:datastoreItem>
</file>

<file path=customXml/itemProps2.xml><?xml version="1.0" encoding="utf-8"?>
<ds:datastoreItem xmlns:ds="http://schemas.openxmlformats.org/officeDocument/2006/customXml" ds:itemID="{185361EF-4D90-4731-99DC-F1B93E3C9478}">
  <ds:schemaRefs>
    <ds:schemaRef ds:uri="http://schemas.microsoft.com/sharepoint/v3/contenttype/forms"/>
  </ds:schemaRefs>
</ds:datastoreItem>
</file>

<file path=customXml/itemProps3.xml><?xml version="1.0" encoding="utf-8"?>
<ds:datastoreItem xmlns:ds="http://schemas.openxmlformats.org/officeDocument/2006/customXml" ds:itemID="{98A83BE4-15AD-4755-9B34-B8CEA4CD4B59}">
  <ds:schemaRefs>
    <ds:schemaRef ds:uri="http://schemas.microsoft.com/office/2006/metadata/properties"/>
    <ds:schemaRef ds:uri="http://schemas.microsoft.com/office/infopath/2007/PartnerControls"/>
    <ds:schemaRef ds:uri="4030f840-5a8f-47da-ade1-92122442f4fa"/>
    <ds:schemaRef ds:uri="200a37f2-2a02-4b24-8123-22a0ab217730"/>
  </ds:schemaRefs>
</ds:datastoreItem>
</file>

<file path=customXml/itemProps4.xml><?xml version="1.0" encoding="utf-8"?>
<ds:datastoreItem xmlns:ds="http://schemas.openxmlformats.org/officeDocument/2006/customXml" ds:itemID="{8DCF3ED3-44A4-4630-9F66-1EF190332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0f840-5a8f-47da-ade1-92122442f4fa"/>
    <ds:schemaRef ds:uri="200a37f2-2a02-4b24-8123-22a0ab217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409</Pages>
  <Words>115699</Words>
  <Characters>591224</Characters>
  <Application>Microsoft Office Word</Application>
  <DocSecurity>0</DocSecurity>
  <PresentationFormat/>
  <Lines>22739</Lines>
  <Paragraphs>11401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 Salt Al Yahmdi</cp:lastModifiedBy>
  <cp:revision>4</cp:revision>
  <cp:lastPrinted>2024-12-24T22:43:00Z</cp:lastPrinted>
  <dcterms:created xsi:type="dcterms:W3CDTF">2025-02-17T10:57:00Z</dcterms:created>
  <dcterms:modified xsi:type="dcterms:W3CDTF">2026-04-14T05:44:00Z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78a34f0781a5be5d077426a658b2044120f294c2c54bb42693d16cc0015bfbd9</vt:lpwstr>
  </property>
  <property fmtid="{D5CDD505-2E9C-101B-9397-08002B2CF9AE}" pid="3" name="ContentTypeId">
    <vt:lpwstr>0x010100F229E73707039748AEBADDBB053040D7</vt:lpwstr>
  </property>
  <property fmtid="{D5CDD505-2E9C-101B-9397-08002B2CF9AE}" pid="4" name="MediaServiceImageTags">
    <vt:lpwstr/>
  </property>
  <property fmtid="{D5CDD505-2E9C-101B-9397-08002B2CF9AE}" pid="5" name="GVData">
    <vt:lpwstr>ew0KICAidGFnc2V0X2UxNjQwOWE3XzE3MDBfNDE1M185MDkwXzM5NTViYzJmMGFlOF9jbGFzc2lmaWNhdGlvbiI6ICJDb25maWRlbnRpYWwiLA0KICAidGFnc2V0XzAwNGRlYTMzXzg3NTFfNDM5OV9hNzZlXzk1ZjM3MWNiNDExOV9kaXN0cmlidXRpb24iOiAiSW50</vt:lpwstr>
  </property>
  <property fmtid="{D5CDD505-2E9C-101B-9397-08002B2CF9AE}" pid="6" name="GVData0">
    <vt:lpwstr>ZXJuYWwiLA0KICAiZG9jSUQiOiAiNzM1NmY0MzYtNzk1Yi00ZDUyLWJiZjItZjY5ZDk2ODhiMGQzIiwNCiAgIk9TIjogIldpbmRvd3MiLA0KICAiT3B0aW9ucyI6ICJ7XHUwMDIyUG9wdXBDb25maWd1cmF0aW9uXHUwMDIyOntcdTAwMjJBbHdheXNTaG93UG9wdXBc</vt:lpwstr>
  </property>
  <property fmtid="{D5CDD505-2E9C-101B-9397-08002B2CF9AE}" pid="7" name="3rdPartyFooter">
    <vt:lpwstr>1</vt:lpwstr>
  </property>
  <property fmtid="{D5CDD505-2E9C-101B-9397-08002B2CF9AE}" pid="8" name="CurrentState">
    <vt:lpwstr>{"FirstPageDifferent":false,"DifferentOddAndEvenPages":false,"PageCount":410,"HeaderMetadata":"","ThirdPartyHeaderMetadata":"","GVHeaderExists":false,"NonGVHeaderExists":false,"FloatingHeaderExists":false,"NonGVHeaderShapeExists":false,"ThirdPartyHeaders"</vt:lpwstr>
  </property>
  <property fmtid="{D5CDD505-2E9C-101B-9397-08002B2CF9AE}" pid="9" name="Footer">
    <vt:lpwstr>&lt;span style='color:black;text-align:center'&gt;Classified as: &lt;span style='color: #eb622c;'&gt;Internal - Confidential&lt;/span&gt;&lt;/span&gt;</vt:lpwstr>
  </property>
  <property fmtid="{D5CDD505-2E9C-101B-9397-08002B2CF9AE}" pid="10" name="GVData1">
    <vt:lpwstr>dTAwMjI6ZmFsc2UsXHUwMDIyRW5mb3JjZUhlYWRlckZvb3RlclR5cGVcdTAwMjI6dHJ1ZSxcdTAwMjJIZWFkZXJQbGFjZW1lbnRUeXBlXHUwMDIyOjEsXHUwMDIyRm9vdGVyUGxhY2VtZW50VHlwZVx1MDAyMjoxLFx1MDAyMkVuZm9yY2VMYXlvdXRPcHRpb25cdTAw</vt:lpwstr>
  </property>
  <property fmtid="{D5CDD505-2E9C-101B-9397-08002B2CF9AE}" pid="11" name="GVData2">
    <vt:lpwstr>MjI6dHJ1ZSxcdTAwMjJMYXlvdXRPcHRpb25cdTAwMjI6MCxcdTAwMjJUcmlnZ2VyTnVtYmVyXHUwMDIyOjAsXHUwMDIyRnJvbUluZGV4XHUwMDIyOjAsXHUwMDIyVG9JbmRleFx1MDAyMjowLFx1MDAyMkVuZm9yY2VPdmVyd3JpdGVPcHRpb25cdTAwMjI6dHJ1ZSxc</vt:lpwstr>
  </property>
  <property fmtid="{D5CDD505-2E9C-101B-9397-08002B2CF9AE}" pid="12" name="GVData3">
    <vt:lpwstr>dTAwMjJPdmVyd3JpdGVPcHRpb25cdTAwMjI6MH0sXHUwMDIySGVhZGVyRW5hYmxlZFx1MDAyMjpmYWxzZSxcdTAwMjJIZWFkZXJcdTAwMjI6XHUwMDIyXHUwMDIyLFx1MDAyMkhlYWRlcnNcdTAwMjI6W1x1MDAyMlx1MDAyMl0sXHUwMDIySGVhZGVyVHlwZVx1MDAy</vt:lpwstr>
  </property>
  <property fmtid="{D5CDD505-2E9C-101B-9397-08002B2CF9AE}" pid="13" name="GVData4">
    <vt:lpwstr>MjoyLFx1MDAyMkhlYWRlclR5cGVzQWxsb3dlZFx1MDAyMjpbMl0sXHUwMDIySGVhZGVyVXBkYXRlVHlwZVx1MDAyMjowLFx1MDAyMkZvb3RlckVuYWJsZWRcdTAwMjI6ZmFsc2UsXHUwMDIyRm9vdGVyXHUwMDIyOlx1MDAyMlx1MDAzQ3NwYW4gc3R5bGU9XHUwMDI3</vt:lpwstr>
  </property>
  <property fmtid="{D5CDD505-2E9C-101B-9397-08002B2CF9AE}" pid="14" name="GVData5">
    <vt:lpwstr>Y29sb3I6YmxhY2s7dGV4dC1hbGlnbjpjZW50ZXJcdTAwMjdcdTAwM0VDbGFzc2lmaWVkIGFzOiBcdTAwM0NzcGFuIHN0eWxlPVx1MDAyN2NvbG9yOiAjZWI2MjJjO1x1MDAyN1x1MDAzRUludGVybmFsIC0gQ29uZmlkZW50aWFsXHUwMDNDL3NwYW5cdTAwM0VcdTAw</vt:lpwstr>
  </property>
  <property fmtid="{D5CDD505-2E9C-101B-9397-08002B2CF9AE}" pid="15" name="GVData6">
    <vt:lpwstr>M0Mvc3Bhblx1MDAzRVx1MDAyMixcdTAwMjJGb290ZXJzXHUwMDIyOltcdTAwMjJcdTAwM0NzcGFuIHN0eWxlPVx1MDAyN2NvbG9yOmJsYWNrO3RleHQtYWxpZ246Y2VudGVyXHUwMDI3XHUwMDNFQ2xhc3NpZmllZCBhczogXHUwMDNDc3BhbiBzdHlsZT1cdTAwMjdj</vt:lpwstr>
  </property>
  <property fmtid="{D5CDD505-2E9C-101B-9397-08002B2CF9AE}" pid="16" name="GVData7">
    <vt:lpwstr>b2xvcjogI2ViNjIyYztcdTAwMjdcdTAwM0VJbnRlcm5hbCAtIENvbmZpZGVudGlhbFx1MDAzQy9zcGFuXHUwMDNFXHUwMDNDL3NwYW5cdTAwM0VcdTAwMjJdLFx1MDAyMkZvb3RlclR5cGVcdTAwMjI6MSxcdTAwMjJGb290ZXJUeXBlc0FsbG93ZWRcdTAwMjI6WzAs</vt:lpwstr>
  </property>
  <property fmtid="{D5CDD505-2E9C-101B-9397-08002B2CF9AE}" pid="17" name="GVData8">
    <vt:lpwstr>MV0sXHUwMDIyRm9vdGVyVXBkYXRlVHlwZVx1MDAyMjoxLFx1MDAyMldhdGVybWFya1x1MDAyMjpcdTAwMjJcdTAwMjIsXHUwMDIyV2F0ZXJtYXJrRW5hYmxlZFx1MDAyMjpmYWxzZSxcdTAwMjJTaG91bGRXcml0ZVdhdGVybWFya1x1MDAyMjpmYWxzZSxcdTAwMjJX</vt:lpwstr>
  </property>
  <property fmtid="{D5CDD505-2E9C-101B-9397-08002B2CF9AE}" pid="18" name="GVData9">
    <vt:lpwstr>YXRlcm1hcmtVcGRhdGVUeXBlXHUwMDIyOjEsXHUwMDIyUG93ZXJwb2ludFRpdGxlXHUwMDIyOm51bGwsXHUwMDIyUG93ZXJwb2ludFN1Yml0bGVcdTAwMjI6bnVsbH0iLA0KICAiU3RhdGUiOiAie1x1MDAyMkZpcnN0UGFnZURpZmZlcmVudFx1MDAyMjpmYWxzZSxc</vt:lpwstr>
  </property>
  <property fmtid="{D5CDD505-2E9C-101B-9397-08002B2CF9AE}" pid="19" name="GVData10">
    <vt:lpwstr>dTAwMjJEaWZmZXJlbnRPZGRBbmRFdmVuUGFnZXNcdTAwMjI6ZmFsc2UsXHUwMDIyUGFnZUNvdW50XHUwMDIyOjQxMCxcdTAwMjJIZWFkZXJNZXRhZGF0YVx1MDAyMjpcdTAwMjJcdTAwMjIsXHUwMDIyVGhpcmRQYXJ0eUhlYWRlck1ldGFkYXRhXHUwMDIyOlx1MDAy</vt:lpwstr>
  </property>
  <property fmtid="{D5CDD505-2E9C-101B-9397-08002B2CF9AE}" pid="20" name="GVData11">
    <vt:lpwstr>Mlx1MDAyMixcdTAwMjJHVkhlYWRlckV4aXN0c1x1MDAyMjpmYWxzZSxcdTAwMjJOb25HVkhlYWRlckV4aXN0c1x1MDAyMjpmYWxzZSxcdTAwMjJGbG9hdGluZ0hlYWRlckV4aXN0c1x1MDAyMjpmYWxzZSxcdTAwMjJOb25HVkhlYWRlclNoYXBlRXhpc3RzXHUwMDIy</vt:lpwstr>
  </property>
  <property fmtid="{D5CDD505-2E9C-101B-9397-08002B2CF9AE}" pid="21" name="GVData12">
    <vt:lpwstr>OmZhbHNlLFx1MDAyMlRoaXJkUGFydHlIZWFkZXJzXHUwMDIyOltdLFx1MDAyMkZvb3Rlck1ldGFkYXRhXHUwMDIyOlx1MDAyMlx1MDAzQ3NwYW4gc3R5bGU9XHUwMDI3Y29sb3I6YmxhY2s7dGV4dC1hbGlnbjpjZW50ZXJcdTAwMjdcdTAwM0VDbGFzc2lmaWVkIGFz</vt:lpwstr>
  </property>
  <property fmtid="{D5CDD505-2E9C-101B-9397-08002B2CF9AE}" pid="22" name="GVData13">
    <vt:lpwstr>OiBcdTAwM0NzcGFuIHN0eWxlPVx1MDAyN2NvbG9yOiAjZWI2MjJjO1x1MDAyN1x1MDAzRUludGVybmFsIC0gQ29uZmlkZW50aWFsXHUwMDNDL3NwYW5cdTAwM0VcdTAwM0Mvc3Bhblx1MDAzRVx1MDAyMixcdTAwMjJUaGlyZFBhcnR5Rm9vdGVyTWV0YWRhdGFcdTAw</vt:lpwstr>
  </property>
  <property fmtid="{D5CDD505-2E9C-101B-9397-08002B2CF9AE}" pid="23" name="GVData14">
    <vt:lpwstr>MjI6XHUwMDIyMVx1MDAyMixcdTAwMjJHVkZvb3RlckV4aXN0c1x1MDAyMjpmYWxzZSxcdTAwMjJOb25HVkZvb3RlckV4aXN0c1x1MDAyMjp0cnVlLFx1MDAyMkZsb2F0aW5nRm9vdGVyRXhpc3RzXHUwMDIyOnRydWUsXHUwMDIyTm9uR1ZGb290ZXJTaGFwZUV4aXN0</vt:lpwstr>
  </property>
  <property fmtid="{D5CDD505-2E9C-101B-9397-08002B2CF9AE}" pid="24" name="GVData15">
    <vt:lpwstr>c1x1MDAyMjpmYWxzZSxcdTAwMjJUaGlyZFBhcnR5Rm9vdGVyc1x1MDAyMjpbXSxcdTAwMjJXYXRlcm1hcmtNZXRhZGF0YVx1MDAyMjpcdTAwMjJcdTAwMjIsXHUwMDIyV2F0ZXJtYXJrRXhpc3RzXHUwMDIyOmZhbHNlLFx1MDAyMlBvd2VycG9pbnRUaXRsZU1ldGFk</vt:lpwstr>
  </property>
  <property fmtid="{D5CDD505-2E9C-101B-9397-08002B2CF9AE}" pid="25" name="GVData16">
    <vt:lpwstr>YXRhXHUwMDIyOm51bGwsXHUwMDIyUG93ZXJwb2ludFN1YnRpdGxlTWV0YWRhdGFcdTAwMjI6bnVsbCxcdTAwMjJUaGlyZFBhcnR5TWV0YWRhdGFGb3VuZFx1MDAyMjpmYWxzZX0iDQp9</vt:lpwstr>
  </property>
  <property fmtid="{D5CDD505-2E9C-101B-9397-08002B2CF9AE}" pid="26" name="GVData17">
    <vt:lpwstr>(end)</vt:lpwstr>
  </property>
</Properties>
</file>